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4.xml" ContentType="application/vnd.openxmlformats-officedocument.wordprocessingml.header+xml"/>
  <Override PartName="/word/footer16.xml" ContentType="application/vnd.openxmlformats-officedocument.wordprocessingml.footer+xml"/>
  <Override PartName="/word/header15.xml" ContentType="application/vnd.openxmlformats-officedocument.wordprocessingml.header+xml"/>
  <Override PartName="/word/footer17.xml" ContentType="application/vnd.openxmlformats-officedocument.wordprocessingml.footer+xml"/>
  <Override PartName="/word/header16.xml" ContentType="application/vnd.openxmlformats-officedocument.wordprocessingml.header+xml"/>
  <Override PartName="/word/footer18.xml" ContentType="application/vnd.openxmlformats-officedocument.wordprocessingml.footer+xml"/>
  <Override PartName="/word/header17.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8.xml" ContentType="application/vnd.openxmlformats-officedocument.wordprocessingml.header+xml"/>
  <Override PartName="/word/footer22.xml" ContentType="application/vnd.openxmlformats-officedocument.wordprocessingml.footer+xml"/>
  <Override PartName="/word/header19.xml" ContentType="application/vnd.openxmlformats-officedocument.wordprocessingml.header+xml"/>
  <Override PartName="/word/footer23.xml" ContentType="application/vnd.openxmlformats-officedocument.wordprocessingml.footer+xml"/>
  <Override PartName="/word/header20.xml" ContentType="application/vnd.openxmlformats-officedocument.wordprocessingml.header+xml"/>
  <Override PartName="/word/footer24.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5.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6.xml" ContentType="application/vnd.openxmlformats-officedocument.wordprocessingml.footer+xml"/>
  <Override PartName="/word/header25.xml" ContentType="application/vnd.openxmlformats-officedocument.wordprocessingml.header+xml"/>
  <Override PartName="/word/footer27.xml" ContentType="application/vnd.openxmlformats-officedocument.wordprocessingml.footer+xml"/>
  <Override PartName="/word/header26.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7"/>
          <w:szCs w:val="27"/>
        </w:rPr>
      </w:pPr>
    </w:p>
    <w:p>
      <w:pPr>
        <w:spacing w:line="1874" w:lineRule="exact"/>
        <w:ind w:left="335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6"/>
          <w:sz w:val="20"/>
          <w:szCs w:val="20"/>
        </w:rPr>
        <w:drawing>
          <wp:inline distT="0" distB="0" distL="0" distR="0">
            <wp:extent cx="1760014" cy="119014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760014" cy="1190148"/>
                    </a:xfrm>
                    <a:prstGeom prst="rect">
                      <a:avLst/>
                    </a:prstGeom>
                  </pic:spPr>
                </pic:pic>
              </a:graphicData>
            </a:graphic>
          </wp:inline>
        </w:drawing>
      </w:r>
      <w:r>
        <w:rPr>
          <w:rFonts w:ascii="Times New Roman" w:hAnsi="Times New Roman" w:cs="Times New Roman" w:eastAsia="Times New Roman" w:hint="default"/>
          <w:position w:val="-36"/>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90"/>
        <w:ind w:left="2500" w:right="2509" w:firstLine="0"/>
        <w:jc w:val="center"/>
        <w:rPr>
          <w:rFonts w:ascii="黑体" w:hAnsi="黑体" w:cs="黑体" w:eastAsia="黑体" w:hint="default"/>
          <w:sz w:val="44"/>
          <w:szCs w:val="44"/>
        </w:rPr>
      </w:pPr>
      <w:bookmarkStart w:name="用友软件2012年度报告正文" w:id="1"/>
      <w:bookmarkEnd w:id="1"/>
      <w:r>
        <w:rPr/>
      </w:r>
      <w:r>
        <w:rPr>
          <w:rFonts w:ascii="黑体" w:hAnsi="黑体" w:cs="黑体" w:eastAsia="黑体" w:hint="default"/>
          <w:b/>
          <w:bCs/>
          <w:color w:val="FF0000"/>
          <w:sz w:val="44"/>
          <w:szCs w:val="44"/>
        </w:rPr>
        <w:t>用友软件股份有限公司</w:t>
      </w:r>
      <w:r>
        <w:rPr>
          <w:rFonts w:ascii="黑体" w:hAnsi="黑体" w:cs="黑体" w:eastAsia="黑体" w:hint="default"/>
          <w:sz w:val="44"/>
          <w:szCs w:val="44"/>
        </w:rPr>
      </w:r>
    </w:p>
    <w:p>
      <w:pPr>
        <w:spacing w:before="133"/>
        <w:ind w:left="2500" w:right="2502" w:firstLine="0"/>
        <w:jc w:val="center"/>
        <w:rPr>
          <w:rFonts w:ascii="黑体" w:hAnsi="黑体" w:cs="黑体" w:eastAsia="黑体" w:hint="default"/>
          <w:sz w:val="32"/>
          <w:szCs w:val="32"/>
        </w:rPr>
      </w:pPr>
      <w:r>
        <w:rPr>
          <w:rFonts w:ascii="黑体"/>
          <w:b/>
          <w:color w:val="FF0000"/>
          <w:sz w:val="32"/>
        </w:rPr>
        <w:t>600588</w:t>
      </w:r>
      <w:r>
        <w:rPr>
          <w:rFonts w:ascii="黑体"/>
          <w:sz w:val="32"/>
        </w:rPr>
      </w:r>
    </w:p>
    <w:p>
      <w:pPr>
        <w:spacing w:line="240" w:lineRule="auto" w:before="11"/>
        <w:rPr>
          <w:rFonts w:ascii="黑体" w:hAnsi="黑体" w:cs="黑体" w:eastAsia="黑体" w:hint="default"/>
          <w:b/>
          <w:bCs/>
          <w:sz w:val="41"/>
          <w:szCs w:val="41"/>
        </w:rPr>
      </w:pPr>
    </w:p>
    <w:p>
      <w:pPr>
        <w:spacing w:before="0"/>
        <w:ind w:left="2500" w:right="2508"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2012</w:t>
      </w:r>
      <w:r>
        <w:rPr>
          <w:rFonts w:ascii="黑体" w:hAnsi="黑体" w:cs="黑体" w:eastAsia="黑体" w:hint="default"/>
          <w:b/>
          <w:bCs/>
          <w:color w:val="FF0000"/>
          <w:spacing w:val="-117"/>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jc w:val="center"/>
        <w:rPr>
          <w:rFonts w:ascii="黑体" w:hAnsi="黑体" w:cs="黑体" w:eastAsia="黑体" w:hint="default"/>
          <w:sz w:val="44"/>
          <w:szCs w:val="44"/>
        </w:rPr>
        <w:sectPr>
          <w:headerReference w:type="default" r:id="rId5"/>
          <w:type w:val="continuous"/>
          <w:pgSz w:w="11910" w:h="16850"/>
          <w:pgMar w:header="752" w:top="1020" w:bottom="280" w:left="1280" w:right="1160"/>
        </w:sect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8"/>
          <w:szCs w:val="28"/>
        </w:rPr>
      </w:pPr>
    </w:p>
    <w:p>
      <w:pPr>
        <w:spacing w:before="14"/>
        <w:ind w:left="35" w:right="0" w:firstLine="0"/>
        <w:jc w:val="center"/>
        <w:rPr>
          <w:rFonts w:ascii="宋体" w:hAnsi="宋体" w:cs="宋体" w:eastAsia="宋体" w:hint="default"/>
          <w:sz w:val="28"/>
          <w:szCs w:val="28"/>
        </w:rPr>
      </w:pPr>
      <w:r>
        <w:rPr>
          <w:rFonts w:ascii="宋体" w:hAnsi="宋体" w:cs="宋体" w:eastAsia="宋体" w:hint="default"/>
          <w:b/>
          <w:bCs/>
          <w:sz w:val="28"/>
          <w:szCs w:val="28"/>
        </w:rPr>
        <w:t>重要提示</w:t>
      </w:r>
      <w:r>
        <w:rPr>
          <w:rFonts w:ascii="宋体" w:hAnsi="宋体" w:cs="宋体" w:eastAsia="宋体" w:hint="default"/>
          <w:sz w:val="28"/>
          <w:szCs w:val="28"/>
        </w:rPr>
      </w:r>
    </w:p>
    <w:p>
      <w:pPr>
        <w:spacing w:line="240" w:lineRule="auto" w:before="3"/>
        <w:rPr>
          <w:rFonts w:ascii="宋体" w:hAnsi="宋体" w:cs="宋体" w:eastAsia="宋体" w:hint="default"/>
          <w:b/>
          <w:bCs/>
          <w:sz w:val="37"/>
          <w:szCs w:val="37"/>
        </w:rPr>
      </w:pPr>
    </w:p>
    <w:p>
      <w:pPr>
        <w:pStyle w:val="Heading2"/>
        <w:spacing w:line="285" w:lineRule="auto"/>
        <w:ind w:right="232"/>
        <w:jc w:val="left"/>
        <w:rPr>
          <w:b w:val="0"/>
          <w:bCs w:val="0"/>
        </w:rPr>
      </w:pPr>
      <w:r>
        <w:rPr>
          <w:spacing w:val="-2"/>
          <w:w w:val="95"/>
        </w:rPr>
        <w:t>一、公司董事会、监事会及董事、监事、高级管理人员保证年度报告内容的真实、准确、</w:t>
      </w:r>
      <w:r>
        <w:rPr>
          <w:spacing w:val="104"/>
          <w:w w:val="95"/>
        </w:rPr>
        <w:t> </w:t>
      </w:r>
      <w:r>
        <w:rPr>
          <w:spacing w:val="104"/>
          <w:w w:val="95"/>
        </w:rPr>
      </w:r>
      <w:r>
        <w:rPr/>
        <w:t>完整，不存在虚假记载、误导性陈述或重大遗漏，并承担个别和连带的法律责任。</w:t>
      </w:r>
      <w:r>
        <w:rPr>
          <w:b w:val="0"/>
          <w:bCs w:val="0"/>
        </w:rPr>
      </w:r>
    </w:p>
    <w:p>
      <w:pPr>
        <w:spacing w:line="240" w:lineRule="auto" w:before="10"/>
        <w:rPr>
          <w:rFonts w:ascii="宋体" w:hAnsi="宋体" w:cs="宋体" w:eastAsia="宋体" w:hint="default"/>
          <w:b/>
          <w:bCs/>
          <w:sz w:val="24"/>
          <w:szCs w:val="24"/>
        </w:rPr>
      </w:pPr>
    </w:p>
    <w:p>
      <w:pPr>
        <w:pStyle w:val="Heading2"/>
        <w:spacing w:line="240" w:lineRule="auto"/>
        <w:ind w:right="232"/>
        <w:jc w:val="left"/>
        <w:rPr>
          <w:b w:val="0"/>
          <w:bCs w:val="0"/>
        </w:rPr>
      </w:pPr>
      <w:r>
        <w:rPr/>
        <w:t>二、公司全体董事出席董事会会议。</w:t>
      </w:r>
      <w:r>
        <w:rPr>
          <w:b w:val="0"/>
          <w:bCs w:val="0"/>
        </w:rPr>
      </w:r>
    </w:p>
    <w:p>
      <w:pPr>
        <w:spacing w:line="240" w:lineRule="auto" w:before="6"/>
        <w:rPr>
          <w:rFonts w:ascii="宋体" w:hAnsi="宋体" w:cs="宋体" w:eastAsia="宋体" w:hint="default"/>
          <w:b/>
          <w:bCs/>
          <w:sz w:val="28"/>
          <w:szCs w:val="28"/>
        </w:rPr>
      </w:pPr>
    </w:p>
    <w:p>
      <w:pPr>
        <w:pStyle w:val="Heading2"/>
        <w:spacing w:line="283" w:lineRule="auto"/>
        <w:ind w:right="232"/>
        <w:jc w:val="left"/>
        <w:rPr>
          <w:b w:val="0"/>
          <w:bCs w:val="0"/>
        </w:rPr>
      </w:pPr>
      <w:r>
        <w:rPr/>
        <w:t>三、安永华明会计师事务所（特殊普通合伙）为本公司出具了标准无保留意见的审计报</w:t>
      </w:r>
      <w:r>
        <w:rPr>
          <w:w w:val="99"/>
        </w:rPr>
        <w:t> </w:t>
      </w:r>
      <w:r>
        <w:rPr/>
        <w:t>告。</w:t>
      </w:r>
      <w:r>
        <w:rPr>
          <w:b w:val="0"/>
          <w:bCs w:val="0"/>
        </w:rPr>
      </w:r>
    </w:p>
    <w:p>
      <w:pPr>
        <w:spacing w:line="240" w:lineRule="auto" w:before="13"/>
        <w:rPr>
          <w:rFonts w:ascii="宋体" w:hAnsi="宋体" w:cs="宋体" w:eastAsia="宋体" w:hint="default"/>
          <w:b/>
          <w:bCs/>
          <w:sz w:val="24"/>
          <w:szCs w:val="24"/>
        </w:rPr>
      </w:pPr>
    </w:p>
    <w:p>
      <w:pPr>
        <w:pStyle w:val="Heading2"/>
        <w:spacing w:line="285" w:lineRule="auto"/>
        <w:ind w:right="232"/>
        <w:jc w:val="left"/>
        <w:rPr>
          <w:b w:val="0"/>
          <w:bCs w:val="0"/>
        </w:rPr>
      </w:pPr>
      <w:r>
        <w:rPr/>
        <w:t>四、公司董事长兼总裁王文京先生、执行副总裁兼财务总监章培林先生及总会计师王仕</w:t>
      </w:r>
      <w:r>
        <w:rPr>
          <w:w w:val="99"/>
        </w:rPr>
        <w:t> </w:t>
      </w:r>
      <w:r>
        <w:rPr/>
        <w:t>平先生声明：保证年度报告中财务报告的真实、完整。</w:t>
      </w:r>
      <w:r>
        <w:rPr>
          <w:b w:val="0"/>
          <w:bCs w:val="0"/>
        </w:rPr>
      </w:r>
    </w:p>
    <w:p>
      <w:pPr>
        <w:spacing w:line="240" w:lineRule="auto" w:before="10"/>
        <w:rPr>
          <w:rFonts w:ascii="宋体" w:hAnsi="宋体" w:cs="宋体" w:eastAsia="宋体" w:hint="default"/>
          <w:b/>
          <w:bCs/>
          <w:sz w:val="24"/>
          <w:szCs w:val="24"/>
        </w:rPr>
      </w:pPr>
    </w:p>
    <w:p>
      <w:pPr>
        <w:spacing w:line="285" w:lineRule="auto" w:before="0"/>
        <w:ind w:left="618" w:right="82" w:hanging="480"/>
        <w:jc w:val="left"/>
        <w:rPr>
          <w:rFonts w:ascii="宋体" w:hAnsi="宋体" w:cs="宋体" w:eastAsia="宋体" w:hint="default"/>
          <w:sz w:val="24"/>
          <w:szCs w:val="24"/>
        </w:rPr>
      </w:pPr>
      <w:r>
        <w:rPr>
          <w:rFonts w:ascii="宋体" w:hAnsi="宋体" w:cs="宋体" w:eastAsia="宋体" w:hint="default"/>
          <w:b/>
          <w:bCs/>
          <w:sz w:val="24"/>
          <w:szCs w:val="24"/>
        </w:rPr>
        <w:t>五、经董事会审议的报告期利润分配预案或公积金转增股本预案：</w:t>
      </w:r>
      <w:r>
        <w:rPr>
          <w:rFonts w:ascii="宋体" w:hAnsi="宋体" w:cs="宋体" w:eastAsia="宋体" w:hint="default"/>
          <w:b/>
          <w:bCs/>
          <w:w w:val="99"/>
          <w:sz w:val="24"/>
          <w:szCs w:val="24"/>
        </w:rPr>
        <w:t> </w:t>
      </w:r>
      <w:r>
        <w:rPr>
          <w:rFonts w:ascii="宋体" w:hAnsi="宋体" w:cs="宋体" w:eastAsia="宋体" w:hint="default"/>
          <w:spacing w:val="4"/>
          <w:sz w:val="24"/>
          <w:szCs w:val="24"/>
        </w:rPr>
        <w:t>经安永华明会计师事务所（特殊普通合伙）审计确认，</w:t>
      </w:r>
      <w:r>
        <w:rPr>
          <w:rFonts w:ascii="宋体" w:hAnsi="宋体" w:cs="宋体" w:eastAsia="宋体" w:hint="default"/>
          <w:spacing w:val="4"/>
          <w:sz w:val="24"/>
          <w:szCs w:val="24"/>
        </w:rPr>
        <w:t>2012</w:t>
      </w:r>
      <w:r>
        <w:rPr>
          <w:rFonts w:ascii="宋体" w:hAnsi="宋体" w:cs="宋体" w:eastAsia="宋体" w:hint="default"/>
          <w:spacing w:val="7"/>
          <w:sz w:val="24"/>
          <w:szCs w:val="24"/>
        </w:rPr>
        <w:t> </w:t>
      </w:r>
      <w:r>
        <w:rPr>
          <w:rFonts w:ascii="宋体" w:hAnsi="宋体" w:cs="宋体" w:eastAsia="宋体" w:hint="default"/>
          <w:spacing w:val="5"/>
          <w:sz w:val="24"/>
          <w:szCs w:val="24"/>
        </w:rPr>
        <w:t>年度公司实现净利润</w:t>
      </w:r>
      <w:r>
        <w:rPr>
          <w:rFonts w:ascii="宋体" w:hAnsi="宋体" w:cs="宋体" w:eastAsia="宋体" w:hint="default"/>
          <w:sz w:val="24"/>
          <w:szCs w:val="24"/>
        </w:rPr>
      </w:r>
    </w:p>
    <w:p>
      <w:pPr>
        <w:pStyle w:val="Heading3"/>
        <w:spacing w:line="240" w:lineRule="auto" w:before="14"/>
        <w:ind w:right="82"/>
        <w:jc w:val="left"/>
      </w:pPr>
      <w:r>
        <w:rPr>
          <w:rFonts w:ascii="宋体" w:hAnsi="宋体" w:cs="宋体" w:eastAsia="宋体" w:hint="default"/>
        </w:rPr>
        <w:t>426,571,801</w:t>
      </w:r>
      <w:r>
        <w:rPr>
          <w:rFonts w:ascii="宋体" w:hAnsi="宋体" w:cs="宋体" w:eastAsia="宋体" w:hint="default"/>
          <w:spacing w:val="-60"/>
        </w:rPr>
        <w:t> </w:t>
      </w:r>
      <w:r>
        <w:rPr/>
        <w:t>元。公司以</w:t>
      </w:r>
      <w:r>
        <w:rPr>
          <w:spacing w:val="-60"/>
        </w:rPr>
        <w:t> </w:t>
      </w:r>
      <w:r>
        <w:rPr>
          <w:rFonts w:ascii="宋体" w:hAnsi="宋体" w:cs="宋体" w:eastAsia="宋体" w:hint="default"/>
        </w:rPr>
        <w:t>2012</w:t>
      </w:r>
      <w:r>
        <w:rPr>
          <w:rFonts w:ascii="宋体" w:hAnsi="宋体" w:cs="宋体" w:eastAsia="宋体" w:hint="default"/>
          <w:spacing w:val="-60"/>
        </w:rPr>
        <w:t> </w:t>
      </w:r>
      <w:r>
        <w:rPr/>
        <w:t>年度净利润</w:t>
      </w:r>
      <w:r>
        <w:rPr>
          <w:spacing w:val="-60"/>
        </w:rPr>
        <w:t> </w:t>
      </w:r>
      <w:r>
        <w:rPr>
          <w:rFonts w:ascii="宋体" w:hAnsi="宋体" w:cs="宋体" w:eastAsia="宋体" w:hint="default"/>
        </w:rPr>
        <w:t>426,571,801 </w:t>
      </w:r>
      <w:r>
        <w:rPr/>
        <w:t>元为基数，提取</w:t>
      </w:r>
      <w:r>
        <w:rPr>
          <w:spacing w:val="-60"/>
        </w:rPr>
        <w:t> </w:t>
      </w:r>
      <w:r>
        <w:rPr>
          <w:rFonts w:ascii="宋体" w:hAnsi="宋体" w:cs="宋体" w:eastAsia="宋体" w:hint="default"/>
        </w:rPr>
        <w:t>10%</w:t>
      </w:r>
      <w:r>
        <w:rPr/>
        <w:t>的法定盈余</w:t>
      </w:r>
    </w:p>
    <w:p>
      <w:pPr>
        <w:pStyle w:val="Heading3"/>
        <w:spacing w:line="240" w:lineRule="auto" w:before="58"/>
        <w:ind w:right="82"/>
        <w:jc w:val="left"/>
      </w:pPr>
      <w:r>
        <w:rPr/>
        <w:t>公积金</w:t>
      </w:r>
      <w:r>
        <w:rPr>
          <w:spacing w:val="-60"/>
        </w:rPr>
        <w:t> </w:t>
      </w:r>
      <w:r>
        <w:rPr>
          <w:rFonts w:ascii="宋体" w:hAnsi="宋体" w:cs="宋体" w:eastAsia="宋体" w:hint="default"/>
        </w:rPr>
        <w:t>42,657,180</w:t>
      </w:r>
      <w:r>
        <w:rPr>
          <w:rFonts w:ascii="宋体" w:hAnsi="宋体" w:cs="宋体" w:eastAsia="宋体" w:hint="default"/>
          <w:spacing w:val="-58"/>
        </w:rPr>
        <w:t> </w:t>
      </w:r>
      <w:r>
        <w:rPr/>
        <w:t>元，提取</w:t>
      </w:r>
      <w:r>
        <w:rPr>
          <w:spacing w:val="-60"/>
        </w:rPr>
        <w:t> </w:t>
      </w:r>
      <w:r>
        <w:rPr>
          <w:rFonts w:ascii="宋体" w:hAnsi="宋体" w:cs="宋体" w:eastAsia="宋体" w:hint="default"/>
        </w:rPr>
        <w:t>5%</w:t>
      </w:r>
      <w:r>
        <w:rPr/>
        <w:t>任意盈余公积金</w:t>
      </w:r>
      <w:r>
        <w:rPr>
          <w:spacing w:val="-60"/>
        </w:rPr>
        <w:t> </w:t>
      </w:r>
      <w:r>
        <w:rPr>
          <w:rFonts w:ascii="宋体" w:hAnsi="宋体" w:cs="宋体" w:eastAsia="宋体" w:hint="default"/>
        </w:rPr>
        <w:t>21,328,590</w:t>
      </w:r>
      <w:r>
        <w:rPr>
          <w:rFonts w:ascii="宋体" w:hAnsi="宋体" w:cs="宋体" w:eastAsia="宋体" w:hint="default"/>
          <w:spacing w:val="-58"/>
        </w:rPr>
        <w:t> </w:t>
      </w:r>
      <w:r>
        <w:rPr/>
        <w:t>元，加往年累积的未分配利</w:t>
      </w:r>
    </w:p>
    <w:p>
      <w:pPr>
        <w:pStyle w:val="Heading3"/>
        <w:spacing w:line="240" w:lineRule="auto" w:before="60"/>
        <w:ind w:right="82"/>
        <w:jc w:val="left"/>
      </w:pPr>
      <w:r>
        <w:rPr/>
        <w:t>润</w:t>
      </w:r>
      <w:r>
        <w:rPr>
          <w:spacing w:val="-64"/>
        </w:rPr>
        <w:t> </w:t>
      </w:r>
      <w:r>
        <w:rPr>
          <w:rFonts w:ascii="宋体" w:hAnsi="宋体" w:cs="宋体" w:eastAsia="宋体" w:hint="default"/>
        </w:rPr>
        <w:t>608,244,632</w:t>
      </w:r>
      <w:r>
        <w:rPr>
          <w:rFonts w:ascii="宋体" w:hAnsi="宋体" w:cs="宋体" w:eastAsia="宋体" w:hint="default"/>
          <w:spacing w:val="-64"/>
        </w:rPr>
        <w:t> </w:t>
      </w:r>
      <w:r>
        <w:rPr/>
        <w:t>元，本次实际可供分配的利润为</w:t>
      </w:r>
      <w:r>
        <w:rPr>
          <w:spacing w:val="-64"/>
        </w:rPr>
        <w:t> </w:t>
      </w:r>
      <w:r>
        <w:rPr>
          <w:rFonts w:ascii="宋体" w:hAnsi="宋体" w:cs="宋体" w:eastAsia="宋体" w:hint="default"/>
        </w:rPr>
        <w:t>970,830,663</w:t>
      </w:r>
      <w:r>
        <w:rPr>
          <w:rFonts w:ascii="宋体" w:hAnsi="宋体" w:cs="宋体" w:eastAsia="宋体" w:hint="default"/>
          <w:spacing w:val="-64"/>
        </w:rPr>
        <w:t> </w:t>
      </w:r>
      <w:r>
        <w:rPr>
          <w:spacing w:val="-6"/>
        </w:rPr>
        <w:t>元；公司以</w:t>
      </w:r>
      <w:r>
        <w:rPr>
          <w:spacing w:val="-64"/>
        </w:rPr>
        <w:t> </w:t>
      </w:r>
      <w:r>
        <w:rPr>
          <w:rFonts w:ascii="宋体" w:hAnsi="宋体" w:cs="宋体" w:eastAsia="宋体" w:hint="default"/>
        </w:rPr>
        <w:t>2012</w:t>
      </w:r>
      <w:r>
        <w:rPr>
          <w:rFonts w:ascii="宋体" w:hAnsi="宋体" w:cs="宋体" w:eastAsia="宋体" w:hint="default"/>
          <w:spacing w:val="-64"/>
        </w:rPr>
        <w:t> </w:t>
      </w:r>
      <w:r>
        <w:rPr/>
        <w:t>年末总股</w:t>
      </w:r>
    </w:p>
    <w:p>
      <w:pPr>
        <w:pStyle w:val="Heading3"/>
        <w:spacing w:line="240" w:lineRule="auto" w:before="60"/>
        <w:ind w:right="82"/>
        <w:jc w:val="left"/>
      </w:pPr>
      <w:r>
        <w:rPr/>
        <w:t>本 </w:t>
      </w:r>
      <w:r>
        <w:rPr>
          <w:rFonts w:ascii="宋体" w:hAnsi="宋体" w:cs="宋体" w:eastAsia="宋体" w:hint="default"/>
        </w:rPr>
        <w:t>979,084,040 </w:t>
      </w:r>
      <w:r>
        <w:rPr/>
        <w:t>股扣除已于 </w:t>
      </w:r>
      <w:r>
        <w:rPr>
          <w:rFonts w:ascii="宋体" w:hAnsi="宋体" w:cs="宋体" w:eastAsia="宋体" w:hint="default"/>
        </w:rPr>
        <w:t>2013 </w:t>
      </w:r>
      <w:r>
        <w:rPr/>
        <w:t>年 </w:t>
      </w:r>
      <w:r>
        <w:rPr>
          <w:rFonts w:ascii="宋体" w:hAnsi="宋体" w:cs="宋体" w:eastAsia="宋体" w:hint="default"/>
        </w:rPr>
        <w:t>1 </w:t>
      </w:r>
      <w:r>
        <w:rPr/>
        <w:t>月 </w:t>
      </w:r>
      <w:r>
        <w:rPr>
          <w:rFonts w:ascii="宋体" w:hAnsi="宋体" w:cs="宋体" w:eastAsia="宋体" w:hint="default"/>
        </w:rPr>
        <w:t>11 </w:t>
      </w:r>
      <w:r>
        <w:rPr/>
        <w:t>日注销的回购股份 </w:t>
      </w:r>
      <w:r>
        <w:rPr>
          <w:rFonts w:ascii="宋体" w:hAnsi="宋体" w:cs="宋体" w:eastAsia="宋体" w:hint="default"/>
        </w:rPr>
        <w:t>19,837,802</w:t>
      </w:r>
      <w:r>
        <w:rPr>
          <w:rFonts w:ascii="宋体" w:hAnsi="宋体" w:cs="宋体" w:eastAsia="宋体" w:hint="default"/>
          <w:spacing w:val="49"/>
        </w:rPr>
        <w:t> </w:t>
      </w:r>
      <w:r>
        <w:rPr>
          <w:spacing w:val="2"/>
        </w:rPr>
        <w:t>股后的</w:t>
      </w:r>
      <w:r>
        <w:rPr/>
      </w:r>
    </w:p>
    <w:p>
      <w:pPr>
        <w:pStyle w:val="Heading3"/>
        <w:spacing w:line="240" w:lineRule="auto" w:before="58"/>
        <w:ind w:right="82"/>
        <w:jc w:val="left"/>
      </w:pPr>
      <w:r>
        <w:rPr>
          <w:rFonts w:ascii="宋体" w:hAnsi="宋体" w:cs="宋体" w:eastAsia="宋体" w:hint="default"/>
        </w:rPr>
        <w:t>959,246,238</w:t>
      </w:r>
      <w:r>
        <w:rPr>
          <w:rFonts w:ascii="宋体" w:hAnsi="宋体" w:cs="宋体" w:eastAsia="宋体" w:hint="default"/>
          <w:spacing w:val="-60"/>
        </w:rPr>
        <w:t> </w:t>
      </w:r>
      <w:r>
        <w:rPr/>
        <w:t>股为基数</w:t>
      </w:r>
      <w:r>
        <w:rPr>
          <w:rFonts w:ascii="宋体" w:hAnsi="宋体" w:cs="宋体" w:eastAsia="宋体" w:hint="default"/>
        </w:rPr>
        <w:t>,</w:t>
      </w:r>
      <w:r>
        <w:rPr/>
        <w:t>拟向全体股东每</w:t>
      </w:r>
      <w:r>
        <w:rPr>
          <w:spacing w:val="-60"/>
        </w:rPr>
        <w:t> </w:t>
      </w:r>
      <w:r>
        <w:rPr>
          <w:rFonts w:ascii="宋体" w:hAnsi="宋体" w:cs="宋体" w:eastAsia="宋体" w:hint="default"/>
        </w:rPr>
        <w:t>10</w:t>
      </w:r>
      <w:r>
        <w:rPr>
          <w:rFonts w:ascii="宋体" w:hAnsi="宋体" w:cs="宋体" w:eastAsia="宋体" w:hint="default"/>
          <w:spacing w:val="-60"/>
        </w:rPr>
        <w:t> </w:t>
      </w:r>
      <w:r>
        <w:rPr/>
        <w:t>股派发现金股利</w:t>
      </w:r>
      <w:r>
        <w:rPr>
          <w:spacing w:val="-60"/>
        </w:rPr>
        <w:t> </w:t>
      </w:r>
      <w:r>
        <w:rPr>
          <w:rFonts w:ascii="宋体" w:hAnsi="宋体" w:cs="宋体" w:eastAsia="宋体" w:hint="default"/>
        </w:rPr>
        <w:t>2</w:t>
      </w:r>
      <w:r>
        <w:rPr>
          <w:rFonts w:ascii="宋体" w:hAnsi="宋体" w:cs="宋体" w:eastAsia="宋体" w:hint="default"/>
          <w:spacing w:val="-60"/>
        </w:rPr>
        <w:t> </w:t>
      </w:r>
      <w:r>
        <w:rPr/>
        <w:t>元</w:t>
      </w:r>
      <w:r>
        <w:rPr>
          <w:rFonts w:ascii="宋体" w:hAnsi="宋体" w:cs="宋体" w:eastAsia="宋体" w:hint="default"/>
        </w:rPr>
        <w:t>(</w:t>
      </w:r>
      <w:r>
        <w:rPr/>
        <w:t>含税</w:t>
      </w:r>
      <w:r>
        <w:rPr>
          <w:rFonts w:ascii="宋体" w:hAnsi="宋体" w:cs="宋体" w:eastAsia="宋体" w:hint="default"/>
        </w:rPr>
        <w:t>),</w:t>
      </w:r>
      <w:r>
        <w:rPr/>
        <w:t>共计派发现金股</w:t>
      </w:r>
    </w:p>
    <w:p>
      <w:pPr>
        <w:pStyle w:val="Heading3"/>
        <w:spacing w:line="240" w:lineRule="auto" w:before="60"/>
        <w:ind w:right="232"/>
        <w:jc w:val="left"/>
      </w:pPr>
      <w:r>
        <w:rPr/>
        <w:t>利</w:t>
      </w:r>
      <w:r>
        <w:rPr>
          <w:spacing w:val="-60"/>
        </w:rPr>
        <w:t> </w:t>
      </w:r>
      <w:r>
        <w:rPr>
          <w:rFonts w:ascii="宋体" w:hAnsi="宋体" w:cs="宋体" w:eastAsia="宋体" w:hint="default"/>
        </w:rPr>
        <w:t>191,849,248</w:t>
      </w:r>
      <w:r>
        <w:rPr>
          <w:rFonts w:ascii="宋体" w:hAnsi="宋体" w:cs="宋体" w:eastAsia="宋体" w:hint="default"/>
          <w:spacing w:val="-60"/>
        </w:rPr>
        <w:t> </w:t>
      </w:r>
      <w:r>
        <w:rPr/>
        <w:t>元。</w:t>
      </w: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20"/>
          <w:szCs w:val="20"/>
        </w:rPr>
      </w:pPr>
    </w:p>
    <w:p>
      <w:pPr>
        <w:pStyle w:val="Heading2"/>
        <w:spacing w:line="285" w:lineRule="auto"/>
        <w:ind w:right="232"/>
        <w:jc w:val="left"/>
        <w:rPr>
          <w:b w:val="0"/>
          <w:bCs w:val="0"/>
        </w:rPr>
      </w:pPr>
      <w:r>
        <w:rPr>
          <w:spacing w:val="-2"/>
          <w:w w:val="95"/>
        </w:rPr>
        <w:t>六、报告中所涉及的未来计划、发展战略等前瞻性描述不构成公司对投资者的实质承诺，</w:t>
      </w:r>
      <w:r>
        <w:rPr>
          <w:spacing w:val="106"/>
          <w:w w:val="95"/>
        </w:rPr>
        <w:t> </w:t>
      </w:r>
      <w:r>
        <w:rPr>
          <w:spacing w:val="106"/>
          <w:w w:val="95"/>
        </w:rPr>
      </w:r>
      <w:r>
        <w:rPr/>
        <w:t>敬请投资者注意投资风险。</w:t>
      </w:r>
      <w:r>
        <w:rPr>
          <w:b w:val="0"/>
          <w:bCs w:val="0"/>
        </w:rPr>
      </w:r>
    </w:p>
    <w:p>
      <w:pPr>
        <w:spacing w:line="240" w:lineRule="auto" w:before="7"/>
        <w:rPr>
          <w:rFonts w:ascii="宋体" w:hAnsi="宋体" w:cs="宋体" w:eastAsia="宋体" w:hint="default"/>
          <w:b/>
          <w:bCs/>
          <w:sz w:val="29"/>
          <w:szCs w:val="29"/>
        </w:rPr>
      </w:pPr>
    </w:p>
    <w:p>
      <w:pPr>
        <w:pStyle w:val="Heading2"/>
        <w:spacing w:line="523" w:lineRule="auto"/>
        <w:ind w:right="2642"/>
        <w:jc w:val="left"/>
        <w:rPr>
          <w:b w:val="0"/>
          <w:bCs w:val="0"/>
        </w:rPr>
      </w:pPr>
      <w:r>
        <w:rPr/>
        <w:t>七、公司不存在被控股股东及其关联方非经营性占用资金情况。</w:t>
      </w:r>
      <w:r>
        <w:rPr>
          <w:w w:val="99"/>
        </w:rPr>
        <w:t> </w:t>
      </w:r>
      <w:r>
        <w:rPr/>
        <w:t>八、公司不存在违反规定决策程序对外提供担保的情况。</w:t>
      </w:r>
      <w:r>
        <w:rPr>
          <w:b w:val="0"/>
          <w:bCs w:val="0"/>
        </w:rPr>
      </w:r>
    </w:p>
    <w:p>
      <w:pPr>
        <w:spacing w:after="0" w:line="523" w:lineRule="auto"/>
        <w:jc w:val="left"/>
        <w:sectPr>
          <w:pgSz w:w="11910" w:h="16850"/>
          <w:pgMar w:header="752" w:footer="0" w:top="1020" w:bottom="280" w:left="1280" w:right="10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460" w:lineRule="exact" w:before="0"/>
        <w:ind w:left="4351" w:right="4371" w:firstLine="0"/>
        <w:jc w:val="center"/>
        <w:rPr>
          <w:rFonts w:ascii="黑体" w:hAnsi="黑体" w:cs="黑体" w:eastAsia="黑体" w:hint="default"/>
          <w:sz w:val="36"/>
          <w:szCs w:val="36"/>
        </w:rPr>
      </w:pPr>
      <w:r>
        <w:rPr>
          <w:rFonts w:ascii="黑体" w:hAnsi="黑体" w:cs="黑体" w:eastAsia="黑体" w:hint="default"/>
          <w:b/>
          <w:bCs/>
          <w:sz w:val="36"/>
          <w:szCs w:val="36"/>
        </w:rPr>
        <w:t>目录</w:t>
      </w:r>
      <w:r>
        <w:rPr>
          <w:rFonts w:ascii="黑体" w:hAnsi="黑体" w:cs="黑体" w:eastAsia="黑体" w:hint="default"/>
          <w:sz w:val="36"/>
          <w:szCs w:val="36"/>
        </w:rPr>
      </w:r>
    </w:p>
    <w:sdt>
      <w:sdtPr>
        <w:docPartObj>
          <w:docPartGallery w:val="Table of Contents"/>
          <w:docPartUnique/>
        </w:docPartObj>
      </w:sdtPr>
      <w:sdtEndPr/>
      <w:sdtContent>
        <w:p>
          <w:pPr>
            <w:pStyle w:val="TOC1"/>
            <w:tabs>
              <w:tab w:pos="9371" w:val="right" w:leader="dot"/>
            </w:tabs>
            <w:spacing w:line="240" w:lineRule="auto" w:before="758"/>
            <w:ind w:right="0"/>
            <w:jc w:val="left"/>
            <w:rPr>
              <w:b w:val="0"/>
              <w:bCs w:val="0"/>
            </w:rPr>
          </w:pPr>
          <w:r>
            <w:fldChar w:fldCharType="begin"/>
          </w:r>
          <w:r>
            <w:instrText>TOC \o "1-1" \h \z \u </w:instrText>
          </w:r>
          <w:r>
            <w:fldChar w:fldCharType="separate"/>
          </w:r>
          <w:hyperlink w:history="true" w:anchor="_TOC_250010">
            <w:r>
              <w:rPr/>
              <w:t>第一节 释义及重大风险提示</w:t>
            </w:r>
            <w:r>
              <w:rPr>
                <w:rFonts w:ascii="Times New Roman" w:hAnsi="Times New Roman" w:cs="Times New Roman" w:eastAsia="Times New Roman" w:hint="default"/>
                <w:b w:val="0"/>
                <w:bCs w:val="0"/>
              </w:rPr>
              <w:tab/>
            </w:r>
            <w:r>
              <w:rPr/>
              <w:t>1</w:t>
            </w:r>
            <w:r>
              <w:rPr>
                <w:b w:val="0"/>
                <w:bCs w:val="0"/>
              </w:rPr>
            </w:r>
          </w:hyperlink>
        </w:p>
        <w:p>
          <w:pPr>
            <w:pStyle w:val="TOC1"/>
            <w:tabs>
              <w:tab w:pos="9371" w:val="right" w:leader="dot"/>
            </w:tabs>
            <w:spacing w:line="240" w:lineRule="auto"/>
            <w:ind w:right="0"/>
            <w:jc w:val="left"/>
            <w:rPr>
              <w:b w:val="0"/>
              <w:bCs w:val="0"/>
            </w:rPr>
          </w:pPr>
          <w:hyperlink w:history="true" w:anchor="_TOC_250009">
            <w:r>
              <w:rPr/>
              <w:t>第二节 公司简介</w:t>
            </w:r>
            <w:r>
              <w:rPr>
                <w:rFonts w:ascii="Times New Roman" w:hAnsi="Times New Roman" w:cs="Times New Roman" w:eastAsia="Times New Roman" w:hint="default"/>
                <w:b w:val="0"/>
                <w:bCs w:val="0"/>
              </w:rPr>
              <w:tab/>
            </w:r>
            <w:r>
              <w:rPr/>
              <w:t>3</w:t>
            </w:r>
            <w:r>
              <w:rPr>
                <w:b w:val="0"/>
                <w:bCs w:val="0"/>
              </w:rPr>
            </w:r>
          </w:hyperlink>
        </w:p>
        <w:p>
          <w:pPr>
            <w:pStyle w:val="TOC1"/>
            <w:tabs>
              <w:tab w:pos="9371" w:val="right" w:leader="dot"/>
            </w:tabs>
            <w:spacing w:line="240" w:lineRule="auto"/>
            <w:ind w:right="0"/>
            <w:jc w:val="left"/>
            <w:rPr>
              <w:b w:val="0"/>
              <w:bCs w:val="0"/>
            </w:rPr>
          </w:pPr>
          <w:hyperlink w:history="true" w:anchor="_TOC_250008">
            <w:r>
              <w:rPr/>
              <w:t>第三节 会计数据和财务指标摘要</w:t>
            </w:r>
            <w:r>
              <w:rPr>
                <w:rFonts w:ascii="Times New Roman" w:hAnsi="Times New Roman" w:cs="Times New Roman" w:eastAsia="Times New Roman" w:hint="default"/>
                <w:b w:val="0"/>
                <w:bCs w:val="0"/>
              </w:rPr>
              <w:tab/>
            </w:r>
            <w:r>
              <w:rPr/>
              <w:t>5</w:t>
            </w:r>
            <w:r>
              <w:rPr>
                <w:b w:val="0"/>
                <w:bCs w:val="0"/>
              </w:rPr>
            </w:r>
          </w:hyperlink>
        </w:p>
        <w:p>
          <w:pPr>
            <w:pStyle w:val="TOC1"/>
            <w:tabs>
              <w:tab w:pos="9371" w:val="right" w:leader="dot"/>
            </w:tabs>
            <w:spacing w:line="240" w:lineRule="auto"/>
            <w:ind w:right="0"/>
            <w:jc w:val="left"/>
            <w:rPr>
              <w:b w:val="0"/>
              <w:bCs w:val="0"/>
            </w:rPr>
          </w:pPr>
          <w:hyperlink w:history="true" w:anchor="_TOC_250007">
            <w:r>
              <w:rPr/>
              <w:t>第四节 董事会报告</w:t>
            </w:r>
            <w:r>
              <w:rPr>
                <w:rFonts w:ascii="Times New Roman" w:hAnsi="Times New Roman" w:cs="Times New Roman" w:eastAsia="Times New Roman" w:hint="default"/>
                <w:b w:val="0"/>
                <w:bCs w:val="0"/>
              </w:rPr>
              <w:tab/>
            </w:r>
            <w:r>
              <w:rPr/>
              <w:t>7</w:t>
            </w:r>
            <w:r>
              <w:rPr>
                <w:b w:val="0"/>
                <w:bCs w:val="0"/>
              </w:rPr>
            </w:r>
          </w:hyperlink>
        </w:p>
        <w:p>
          <w:pPr>
            <w:pStyle w:val="TOC1"/>
            <w:tabs>
              <w:tab w:pos="9373" w:val="right" w:leader="dot"/>
            </w:tabs>
            <w:spacing w:line="240" w:lineRule="auto"/>
            <w:ind w:right="0"/>
            <w:jc w:val="left"/>
            <w:rPr>
              <w:b w:val="0"/>
              <w:bCs w:val="0"/>
            </w:rPr>
          </w:pPr>
          <w:hyperlink w:history="true" w:anchor="_TOC_250006">
            <w:r>
              <w:rPr/>
              <w:t>第五节</w:t>
            </w:r>
            <w:r>
              <w:rPr>
                <w:spacing w:val="1"/>
              </w:rPr>
              <w:t> </w:t>
            </w:r>
            <w:r>
              <w:rPr/>
              <w:t>重要事项</w:t>
            </w:r>
            <w:r>
              <w:rPr>
                <w:rFonts w:ascii="Times New Roman" w:hAnsi="Times New Roman" w:cs="Times New Roman" w:eastAsia="Times New Roman" w:hint="default"/>
                <w:b w:val="0"/>
                <w:bCs w:val="0"/>
              </w:rPr>
              <w:tab/>
            </w:r>
            <w:r>
              <w:rPr/>
              <w:t>30</w:t>
            </w:r>
            <w:r>
              <w:rPr>
                <w:b w:val="0"/>
                <w:bCs w:val="0"/>
              </w:rPr>
            </w:r>
          </w:hyperlink>
        </w:p>
        <w:p>
          <w:pPr>
            <w:pStyle w:val="TOC1"/>
            <w:tabs>
              <w:tab w:pos="9373" w:val="right" w:leader="dot"/>
            </w:tabs>
            <w:spacing w:line="240" w:lineRule="auto"/>
            <w:ind w:right="0"/>
            <w:jc w:val="left"/>
            <w:rPr>
              <w:b w:val="0"/>
              <w:bCs w:val="0"/>
            </w:rPr>
          </w:pPr>
          <w:hyperlink w:history="true" w:anchor="_TOC_250005">
            <w:r>
              <w:rPr/>
              <w:t>第六节 股份变动及股东情况</w:t>
            </w:r>
            <w:r>
              <w:rPr>
                <w:rFonts w:ascii="Times New Roman" w:hAnsi="Times New Roman" w:cs="Times New Roman" w:eastAsia="Times New Roman" w:hint="default"/>
                <w:b w:val="0"/>
                <w:bCs w:val="0"/>
              </w:rPr>
              <w:tab/>
            </w:r>
            <w:r>
              <w:rPr/>
              <w:t>39</w:t>
            </w:r>
            <w:r>
              <w:rPr>
                <w:b w:val="0"/>
                <w:bCs w:val="0"/>
              </w:rPr>
            </w:r>
          </w:hyperlink>
        </w:p>
        <w:p>
          <w:pPr>
            <w:pStyle w:val="TOC1"/>
            <w:tabs>
              <w:tab w:pos="9373" w:val="right" w:leader="dot"/>
            </w:tabs>
            <w:spacing w:line="240" w:lineRule="auto"/>
            <w:ind w:right="0"/>
            <w:jc w:val="left"/>
            <w:rPr>
              <w:b w:val="0"/>
              <w:bCs w:val="0"/>
            </w:rPr>
          </w:pPr>
          <w:hyperlink w:history="true" w:anchor="_TOC_250004">
            <w:r>
              <w:rPr/>
              <w:t>第七节 董事、监事、高级管理人员和员工情况</w:t>
            </w:r>
            <w:r>
              <w:rPr>
                <w:rFonts w:ascii="Times New Roman" w:hAnsi="Times New Roman" w:cs="Times New Roman" w:eastAsia="Times New Roman" w:hint="default"/>
                <w:b w:val="0"/>
                <w:bCs w:val="0"/>
              </w:rPr>
              <w:tab/>
            </w:r>
            <w:r>
              <w:rPr/>
              <w:t>44</w:t>
            </w:r>
            <w:r>
              <w:rPr>
                <w:b w:val="0"/>
                <w:bCs w:val="0"/>
              </w:rPr>
            </w:r>
          </w:hyperlink>
        </w:p>
        <w:p>
          <w:pPr>
            <w:pStyle w:val="TOC1"/>
            <w:tabs>
              <w:tab w:pos="9373" w:val="right" w:leader="dot"/>
            </w:tabs>
            <w:spacing w:line="240" w:lineRule="auto"/>
            <w:ind w:right="0"/>
            <w:jc w:val="left"/>
            <w:rPr>
              <w:b w:val="0"/>
              <w:bCs w:val="0"/>
            </w:rPr>
          </w:pPr>
          <w:hyperlink w:history="true" w:anchor="_TOC_250003">
            <w:r>
              <w:rPr/>
              <w:t>第八节</w:t>
            </w:r>
            <w:r>
              <w:rPr>
                <w:spacing w:val="1"/>
              </w:rPr>
              <w:t> </w:t>
            </w:r>
            <w:r>
              <w:rPr/>
              <w:t>公司治理</w:t>
            </w:r>
            <w:r>
              <w:rPr>
                <w:rFonts w:ascii="Times New Roman" w:hAnsi="Times New Roman" w:cs="Times New Roman" w:eastAsia="Times New Roman" w:hint="default"/>
                <w:b w:val="0"/>
                <w:bCs w:val="0"/>
              </w:rPr>
              <w:tab/>
            </w:r>
            <w:r>
              <w:rPr/>
              <w:t>55</w:t>
            </w:r>
            <w:r>
              <w:rPr>
                <w:b w:val="0"/>
                <w:bCs w:val="0"/>
              </w:rPr>
            </w:r>
          </w:hyperlink>
        </w:p>
        <w:p>
          <w:pPr>
            <w:pStyle w:val="TOC1"/>
            <w:tabs>
              <w:tab w:pos="9373" w:val="right" w:leader="dot"/>
            </w:tabs>
            <w:spacing w:line="240" w:lineRule="auto"/>
            <w:ind w:right="0"/>
            <w:jc w:val="left"/>
            <w:rPr>
              <w:b w:val="0"/>
              <w:bCs w:val="0"/>
            </w:rPr>
          </w:pPr>
          <w:hyperlink w:history="true" w:anchor="_TOC_250002">
            <w:r>
              <w:rPr/>
              <w:t>第九节</w:t>
            </w:r>
            <w:r>
              <w:rPr>
                <w:spacing w:val="1"/>
              </w:rPr>
              <w:t> </w:t>
            </w:r>
            <w:r>
              <w:rPr/>
              <w:t>内部控制</w:t>
            </w:r>
            <w:r>
              <w:rPr>
                <w:rFonts w:ascii="Times New Roman" w:hAnsi="Times New Roman" w:cs="Times New Roman" w:eastAsia="Times New Roman" w:hint="default"/>
                <w:b w:val="0"/>
                <w:bCs w:val="0"/>
              </w:rPr>
              <w:tab/>
            </w:r>
            <w:r>
              <w:rPr/>
              <w:t>59</w:t>
            </w:r>
            <w:r>
              <w:rPr>
                <w:b w:val="0"/>
                <w:bCs w:val="0"/>
              </w:rPr>
            </w:r>
          </w:hyperlink>
        </w:p>
        <w:p>
          <w:pPr>
            <w:pStyle w:val="TOC1"/>
            <w:tabs>
              <w:tab w:pos="9373" w:val="right" w:leader="dot"/>
            </w:tabs>
            <w:spacing w:line="240" w:lineRule="auto" w:before="77"/>
            <w:ind w:right="0"/>
            <w:jc w:val="left"/>
            <w:rPr>
              <w:b w:val="0"/>
              <w:bCs w:val="0"/>
            </w:rPr>
          </w:pPr>
          <w:hyperlink w:history="true" w:anchor="_TOC_250001">
            <w:r>
              <w:rPr/>
              <w:t>第十节</w:t>
            </w:r>
            <w:r>
              <w:rPr>
                <w:spacing w:val="1"/>
              </w:rPr>
              <w:t> </w:t>
            </w:r>
            <w:r>
              <w:rPr/>
              <w:t>财务报告（后附）</w:t>
            </w:r>
            <w:r>
              <w:rPr>
                <w:rFonts w:ascii="Times New Roman" w:hAnsi="Times New Roman" w:cs="Times New Roman" w:eastAsia="Times New Roman" w:hint="default"/>
                <w:b w:val="0"/>
                <w:bCs w:val="0"/>
              </w:rPr>
              <w:tab/>
            </w:r>
            <w:r>
              <w:rPr/>
              <w:t>60</w:t>
            </w:r>
            <w:r>
              <w:rPr>
                <w:b w:val="0"/>
                <w:bCs w:val="0"/>
              </w:rPr>
            </w:r>
          </w:hyperlink>
        </w:p>
        <w:p>
          <w:pPr>
            <w:pStyle w:val="TOC1"/>
            <w:tabs>
              <w:tab w:pos="9373" w:val="right" w:leader="dot"/>
            </w:tabs>
            <w:spacing w:line="240" w:lineRule="auto"/>
            <w:ind w:right="0"/>
            <w:jc w:val="left"/>
            <w:rPr>
              <w:b w:val="0"/>
              <w:bCs w:val="0"/>
            </w:rPr>
          </w:pPr>
          <w:hyperlink w:history="true" w:anchor="_TOC_250000">
            <w:r>
              <w:rPr/>
              <w:t>第十一节</w:t>
            </w:r>
            <w:r>
              <w:rPr>
                <w:spacing w:val="-1"/>
              </w:rPr>
              <w:t> </w:t>
            </w:r>
            <w:r>
              <w:rPr/>
              <w:t>备查文件目录</w:t>
            </w:r>
            <w:r>
              <w:rPr>
                <w:rFonts w:ascii="Times New Roman" w:hAnsi="Times New Roman" w:cs="Times New Roman" w:eastAsia="Times New Roman" w:hint="default"/>
                <w:b w:val="0"/>
                <w:bCs w:val="0"/>
              </w:rPr>
              <w:tab/>
            </w:r>
            <w:r>
              <w:rPr/>
              <w:t>60</w:t>
            </w:r>
            <w:r>
              <w:rPr>
                <w:b w:val="0"/>
                <w:bCs w:val="0"/>
              </w:rPr>
            </w:r>
          </w:hyperlink>
        </w:p>
        <w:p>
          <w:pPr/>
          <w:r>
            <w:fldChar w:fldCharType="end"/>
          </w:r>
        </w:p>
      </w:sdtContent>
    </w:sdt>
    <w:p>
      <w:pPr>
        <w:spacing w:after="0"/>
        <w:sectPr>
          <w:pgSz w:w="11910" w:h="16850"/>
          <w:pgMar w:header="752" w:footer="0" w:top="1020" w:bottom="280" w:left="1280" w:right="1140"/>
        </w:sectPr>
      </w:pPr>
    </w:p>
    <w:p>
      <w:pPr>
        <w:spacing w:line="240" w:lineRule="auto" w:before="0"/>
        <w:rPr>
          <w:rFonts w:ascii="黑体" w:hAnsi="黑体" w:cs="黑体" w:eastAsia="黑体" w:hint="default"/>
          <w:b/>
          <w:bCs/>
          <w:sz w:val="28"/>
          <w:szCs w:val="28"/>
        </w:rPr>
      </w:pPr>
    </w:p>
    <w:p>
      <w:pPr>
        <w:pStyle w:val="Heading1"/>
        <w:spacing w:line="240" w:lineRule="auto" w:before="0"/>
        <w:ind w:left="2972" w:right="232"/>
        <w:jc w:val="left"/>
        <w:rPr>
          <w:b w:val="0"/>
          <w:bCs w:val="0"/>
        </w:rPr>
      </w:pPr>
      <w:bookmarkStart w:name="_TOC_250010" w:id="2"/>
      <w:r>
        <w:rPr/>
        <w:t>第一节</w:t>
      </w:r>
      <w:r>
        <w:rPr>
          <w:spacing w:val="-2"/>
        </w:rPr>
        <w:t> </w:t>
      </w:r>
      <w:r>
        <w:rPr/>
        <w:t>释义及重大风险提示</w:t>
      </w:r>
      <w:bookmarkEnd w:id="2"/>
      <w:r>
        <w:rPr>
          <w:b w:val="0"/>
          <w:bCs w:val="0"/>
        </w:rPr>
      </w:r>
    </w:p>
    <w:p>
      <w:pPr>
        <w:spacing w:line="240" w:lineRule="auto" w:before="1"/>
        <w:rPr>
          <w:rFonts w:ascii="黑体" w:hAnsi="黑体" w:cs="黑体" w:eastAsia="黑体" w:hint="default"/>
          <w:b/>
          <w:bCs/>
          <w:sz w:val="27"/>
          <w:szCs w:val="27"/>
        </w:rPr>
      </w:pPr>
    </w:p>
    <w:p>
      <w:pPr>
        <w:pStyle w:val="Heading2"/>
        <w:spacing w:line="240" w:lineRule="auto"/>
        <w:ind w:right="232"/>
        <w:jc w:val="left"/>
        <w:rPr>
          <w:b w:val="0"/>
          <w:bCs w:val="0"/>
        </w:rPr>
      </w:pPr>
      <w:r>
        <w:rPr/>
        <w:t>一、释义</w:t>
      </w:r>
      <w:r>
        <w:rPr>
          <w:b w:val="0"/>
          <w:bCs w:val="0"/>
        </w:rPr>
      </w:r>
    </w:p>
    <w:p>
      <w:pPr>
        <w:pStyle w:val="Heading3"/>
        <w:spacing w:line="240" w:lineRule="auto" w:before="62"/>
        <w:ind w:left="618" w:right="232"/>
        <w:jc w:val="left"/>
      </w:pPr>
      <w:r>
        <w:rPr/>
        <w:t>在本报告书中，除非文义另有所指，下列词语具有如下含义：</w:t>
      </w:r>
    </w:p>
    <w:p>
      <w:pPr>
        <w:pStyle w:val="Heading3"/>
        <w:spacing w:line="297" w:lineRule="auto" w:before="194"/>
        <w:ind w:right="268" w:firstLine="480"/>
        <w:jc w:val="left"/>
      </w:pPr>
      <w:r>
        <w:rPr>
          <w:rFonts w:ascii="宋体" w:hAnsi="宋体" w:cs="宋体" w:eastAsia="宋体" w:hint="default"/>
        </w:rPr>
        <w:t>ERP</w:t>
      </w:r>
      <w:r>
        <w:rPr/>
        <w:t>：“企业资源计划”（</w:t>
      </w:r>
      <w:r>
        <w:rPr>
          <w:rFonts w:ascii="宋体" w:hAnsi="宋体" w:cs="宋体" w:eastAsia="宋体" w:hint="default"/>
        </w:rPr>
        <w:t>Enterprise Resources Planning</w:t>
      </w:r>
      <w:r>
        <w:rPr/>
        <w:t>）的英文缩写，是一种 企业应用软件系统。</w:t>
      </w:r>
    </w:p>
    <w:p>
      <w:pPr>
        <w:pStyle w:val="Heading3"/>
        <w:spacing w:line="297" w:lineRule="auto"/>
        <w:ind w:right="204" w:firstLine="480"/>
        <w:jc w:val="left"/>
      </w:pPr>
      <w:r>
        <w:rPr>
          <w:rFonts w:ascii="宋体" w:hAnsi="宋体" w:cs="宋体" w:eastAsia="宋体" w:hint="default"/>
        </w:rPr>
        <w:t>HRM</w:t>
      </w:r>
      <w:r>
        <w:rPr/>
        <w:t>：“人力资源管理”（</w:t>
      </w:r>
      <w:r>
        <w:rPr>
          <w:rFonts w:ascii="宋体" w:hAnsi="宋体" w:cs="宋体" w:eastAsia="宋体" w:hint="default"/>
        </w:rPr>
        <w:t>Human Resources</w:t>
      </w:r>
      <w:r>
        <w:rPr>
          <w:rFonts w:ascii="宋体" w:hAnsi="宋体" w:cs="宋体" w:eastAsia="宋体" w:hint="default"/>
          <w:spacing w:val="-56"/>
        </w:rPr>
        <w:t> </w:t>
      </w:r>
      <w:r>
        <w:rPr>
          <w:rFonts w:ascii="宋体" w:hAnsi="宋体" w:cs="宋体" w:eastAsia="宋体" w:hint="default"/>
        </w:rPr>
        <w:t>Management</w:t>
      </w:r>
      <w:r>
        <w:rPr/>
        <w:t>）的英文缩写，是一种企业 应用软件系统。</w:t>
      </w:r>
    </w:p>
    <w:p>
      <w:pPr>
        <w:pStyle w:val="Heading3"/>
        <w:spacing w:line="391" w:lineRule="auto"/>
        <w:ind w:left="618" w:right="82"/>
        <w:jc w:val="left"/>
      </w:pPr>
      <w:r>
        <w:rPr>
          <w:rFonts w:ascii="宋体" w:hAnsi="宋体" w:cs="宋体" w:eastAsia="宋体" w:hint="default"/>
          <w:spacing w:val="-5"/>
        </w:rPr>
        <w:t>OA</w:t>
      </w:r>
      <w:r>
        <w:rPr>
          <w:spacing w:val="-5"/>
        </w:rPr>
        <w:t>：“办公自动化”（</w:t>
      </w:r>
      <w:r>
        <w:rPr>
          <w:rFonts w:ascii="宋体" w:hAnsi="宋体" w:cs="宋体" w:eastAsia="宋体" w:hint="default"/>
          <w:spacing w:val="-5"/>
        </w:rPr>
        <w:t>Office</w:t>
      </w:r>
      <w:r>
        <w:rPr>
          <w:rFonts w:ascii="宋体" w:hAnsi="宋体" w:cs="宋体" w:eastAsia="宋体" w:hint="default"/>
          <w:spacing w:val="-89"/>
        </w:rPr>
        <w:t> </w:t>
      </w:r>
      <w:r>
        <w:rPr>
          <w:rFonts w:ascii="宋体" w:hAnsi="宋体" w:cs="宋体" w:eastAsia="宋体" w:hint="default"/>
        </w:rPr>
        <w:t>Automation</w:t>
      </w:r>
      <w:r>
        <w:rPr/>
        <w:t>）的英文缩写，是一种企业应用软件系统。 用友</w:t>
      </w:r>
      <w:r>
        <w:rPr>
          <w:spacing w:val="-60"/>
        </w:rPr>
        <w:t> </w:t>
      </w:r>
      <w:r>
        <w:rPr>
          <w:rFonts w:ascii="宋体" w:hAnsi="宋体" w:cs="宋体" w:eastAsia="宋体" w:hint="default"/>
        </w:rPr>
        <w:t>ERP-NC</w:t>
      </w:r>
      <w:r>
        <w:rPr/>
        <w:t>：</w:t>
      </w:r>
      <w:r>
        <w:rPr>
          <w:rFonts w:ascii="宋体" w:hAnsi="宋体" w:cs="宋体" w:eastAsia="宋体" w:hint="default"/>
        </w:rPr>
        <w:t>NC</w:t>
      </w:r>
      <w:r>
        <w:rPr>
          <w:rFonts w:ascii="宋体" w:hAnsi="宋体" w:cs="宋体" w:eastAsia="宋体" w:hint="default"/>
          <w:spacing w:val="-60"/>
        </w:rPr>
        <w:t> </w:t>
      </w:r>
      <w:r>
        <w:rPr/>
        <w:t>是“新世纪”（</w:t>
      </w:r>
      <w:r>
        <w:rPr>
          <w:rFonts w:ascii="宋体" w:hAnsi="宋体" w:cs="宋体" w:eastAsia="宋体" w:hint="default"/>
        </w:rPr>
        <w:t>New Century</w:t>
      </w:r>
      <w:r>
        <w:rPr/>
        <w:t>）的英文缩写，公司推出的面向大型</w:t>
      </w:r>
    </w:p>
    <w:p>
      <w:pPr>
        <w:pStyle w:val="Heading3"/>
        <w:spacing w:line="238" w:lineRule="exact" w:before="0"/>
        <w:ind w:right="232"/>
        <w:jc w:val="left"/>
      </w:pPr>
      <w:r>
        <w:rPr/>
        <w:t>用户的企业应用软件系列产品名称。</w:t>
      </w:r>
    </w:p>
    <w:p>
      <w:pPr>
        <w:pStyle w:val="Heading3"/>
        <w:spacing w:line="388" w:lineRule="auto" w:before="194"/>
        <w:ind w:left="618" w:right="148"/>
        <w:jc w:val="left"/>
      </w:pPr>
      <w:r>
        <w:rPr/>
        <w:t>用友</w:t>
      </w:r>
      <w:r>
        <w:rPr>
          <w:spacing w:val="-60"/>
        </w:rPr>
        <w:t> </w:t>
      </w:r>
      <w:r>
        <w:rPr>
          <w:rFonts w:ascii="宋体" w:hAnsi="宋体" w:cs="宋体" w:eastAsia="宋体" w:hint="default"/>
        </w:rPr>
        <w:t>ERP-U8</w:t>
      </w:r>
      <w:r>
        <w:rPr/>
        <w:t>：公司推出的面向中型用户的企业应用软件系列产品名称。 畅捷通系列产品：公司推出的面向小微型用户的企业应用软件系列产品名称。 </w:t>
      </w:r>
      <w:r>
        <w:rPr>
          <w:rFonts w:ascii="宋体" w:hAnsi="宋体" w:cs="宋体" w:eastAsia="宋体" w:hint="default"/>
        </w:rPr>
        <w:t>CRM</w:t>
      </w:r>
      <w:r>
        <w:rPr/>
        <w:t>：“客户关系管理软件”（</w:t>
      </w:r>
      <w:r>
        <w:rPr>
          <w:rFonts w:ascii="宋体" w:hAnsi="宋体" w:cs="宋体" w:eastAsia="宋体" w:hint="default"/>
        </w:rPr>
        <w:t>Customer Relationship Management</w:t>
      </w:r>
      <w:r>
        <w:rPr/>
        <w:t>）的英文缩写，</w:t>
      </w:r>
    </w:p>
    <w:p>
      <w:pPr>
        <w:pStyle w:val="Heading3"/>
        <w:spacing w:line="240" w:lineRule="exact" w:before="0"/>
        <w:ind w:right="232"/>
        <w:jc w:val="left"/>
      </w:pPr>
      <w:r>
        <w:rPr/>
        <w:t>是一种企业应用软件系统。</w:t>
      </w:r>
    </w:p>
    <w:p>
      <w:pPr>
        <w:pStyle w:val="Heading3"/>
        <w:spacing w:line="297" w:lineRule="auto" w:before="194"/>
        <w:ind w:right="148" w:firstLine="480"/>
        <w:jc w:val="left"/>
      </w:pPr>
      <w:r>
        <w:rPr>
          <w:rFonts w:ascii="宋体" w:hAnsi="宋体" w:cs="宋体" w:eastAsia="宋体" w:hint="default"/>
        </w:rPr>
        <w:t>PLM</w:t>
      </w:r>
      <w:r>
        <w:rPr/>
        <w:t>：“产品生命周期管理软件”（</w:t>
      </w:r>
      <w:r>
        <w:rPr>
          <w:rFonts w:ascii="宋体" w:hAnsi="宋体" w:cs="宋体" w:eastAsia="宋体" w:hint="default"/>
        </w:rPr>
        <w:t>Product Lifecycle Management</w:t>
      </w:r>
      <w:r>
        <w:rPr/>
        <w:t>）的英文缩写， 是一种支持产品全生命周期信息创建、管理、分发和应用的解决方案。</w:t>
      </w:r>
    </w:p>
    <w:p>
      <w:pPr>
        <w:pStyle w:val="Heading3"/>
        <w:spacing w:line="297" w:lineRule="auto"/>
        <w:ind w:right="268" w:firstLine="480"/>
        <w:jc w:val="left"/>
      </w:pPr>
      <w:r>
        <w:rPr>
          <w:rFonts w:ascii="宋体" w:hAnsi="宋体" w:cs="宋体" w:eastAsia="宋体" w:hint="default"/>
        </w:rPr>
        <w:t>PDM</w:t>
      </w:r>
      <w:r>
        <w:rPr/>
        <w:t>：“产品数据管理”（</w:t>
      </w:r>
      <w:r>
        <w:rPr>
          <w:rFonts w:ascii="宋体" w:hAnsi="宋体" w:cs="宋体" w:eastAsia="宋体" w:hint="default"/>
        </w:rPr>
        <w:t>Product Data Management</w:t>
      </w:r>
      <w:r>
        <w:rPr/>
        <w:t>）的英文缩写，是一种以产品 为核心，对产品相关的数据、过程、资源一体化集成管理的系统。</w:t>
      </w:r>
    </w:p>
    <w:p>
      <w:pPr>
        <w:pStyle w:val="Heading3"/>
        <w:spacing w:line="297" w:lineRule="auto" w:before="139"/>
        <w:ind w:right="268" w:firstLine="480"/>
        <w:jc w:val="left"/>
      </w:pPr>
      <w:r>
        <w:rPr>
          <w:rFonts w:ascii="宋体" w:hAnsi="宋体" w:cs="宋体" w:eastAsia="宋体" w:hint="default"/>
        </w:rPr>
        <w:t>CPD</w:t>
      </w:r>
      <w:r>
        <w:rPr/>
        <w:t>：“集成产品开发”（</w:t>
      </w:r>
      <w:r>
        <w:rPr>
          <w:rFonts w:ascii="宋体" w:hAnsi="宋体" w:cs="宋体" w:eastAsia="宋体" w:hint="default"/>
        </w:rPr>
        <w:t>Collaborative Product Development</w:t>
      </w:r>
      <w:r>
        <w:rPr/>
        <w:t>）的英文缩写</w:t>
      </w:r>
      <w:r>
        <w:rPr>
          <w:rFonts w:ascii="宋体" w:hAnsi="宋体" w:cs="宋体" w:eastAsia="宋体" w:hint="default"/>
        </w:rPr>
        <w:t>, </w:t>
      </w:r>
      <w:r>
        <w:rPr/>
        <w:t>是 一种产品开发管理的应用系统。</w:t>
      </w:r>
    </w:p>
    <w:p>
      <w:pPr>
        <w:pStyle w:val="Heading3"/>
        <w:spacing w:line="297" w:lineRule="auto"/>
        <w:ind w:right="268" w:firstLine="480"/>
        <w:jc w:val="left"/>
      </w:pPr>
      <w:r>
        <w:rPr>
          <w:rFonts w:ascii="宋体" w:hAnsi="宋体" w:cs="宋体" w:eastAsia="宋体" w:hint="default"/>
        </w:rPr>
        <w:t>EAM</w:t>
      </w:r>
      <w:r>
        <w:rPr/>
        <w:t>：“企业资产管理”（</w:t>
      </w:r>
      <w:r>
        <w:rPr>
          <w:rFonts w:ascii="宋体" w:hAnsi="宋体" w:cs="宋体" w:eastAsia="宋体" w:hint="default"/>
        </w:rPr>
        <w:t>Enterprise Asset Management</w:t>
      </w:r>
      <w:r>
        <w:rPr/>
        <w:t>）的英文缩写，是一种企 业应用软件系统。</w:t>
      </w:r>
    </w:p>
    <w:p>
      <w:pPr>
        <w:pStyle w:val="Heading3"/>
        <w:spacing w:line="297" w:lineRule="auto"/>
        <w:ind w:right="202" w:firstLine="480"/>
        <w:jc w:val="left"/>
      </w:pPr>
      <w:r>
        <w:rPr>
          <w:rFonts w:ascii="宋体" w:hAnsi="宋体" w:cs="宋体" w:eastAsia="宋体" w:hint="default"/>
        </w:rPr>
        <w:t>UAP</w:t>
      </w:r>
      <w:r>
        <w:rPr/>
        <w:t>：“统一应用平台”（</w:t>
      </w:r>
      <w:r>
        <w:rPr>
          <w:rFonts w:ascii="宋体" w:hAnsi="宋体" w:cs="宋体" w:eastAsia="宋体" w:hint="default"/>
        </w:rPr>
        <w:t>Unified Application</w:t>
      </w:r>
      <w:r>
        <w:rPr>
          <w:rFonts w:ascii="宋体" w:hAnsi="宋体" w:cs="宋体" w:eastAsia="宋体" w:hint="default"/>
          <w:spacing w:val="-54"/>
        </w:rPr>
        <w:t> </w:t>
      </w:r>
      <w:r>
        <w:rPr>
          <w:rFonts w:ascii="宋体" w:hAnsi="宋体" w:cs="宋体" w:eastAsia="宋体" w:hint="default"/>
        </w:rPr>
        <w:t>Platform</w:t>
      </w:r>
      <w:r>
        <w:rPr/>
        <w:t>）的英文缩写，是公司开 发的企业管理软件产品的统一应用私有云平台。</w:t>
      </w:r>
    </w:p>
    <w:p>
      <w:pPr>
        <w:pStyle w:val="Heading3"/>
        <w:spacing w:line="297" w:lineRule="auto"/>
        <w:ind w:right="207" w:firstLine="480"/>
        <w:jc w:val="left"/>
      </w:pPr>
      <w:r>
        <w:rPr>
          <w:rFonts w:ascii="宋体" w:hAnsi="宋体" w:cs="宋体" w:eastAsia="宋体" w:hint="default"/>
        </w:rPr>
        <w:t>SaaS</w:t>
      </w:r>
      <w:r>
        <w:rPr/>
        <w:t>：“软件作为服务”（</w:t>
      </w:r>
      <w:r>
        <w:rPr>
          <w:rFonts w:ascii="宋体" w:hAnsi="宋体" w:cs="宋体" w:eastAsia="宋体" w:hint="default"/>
        </w:rPr>
        <w:t>Software as a</w:t>
      </w:r>
      <w:r>
        <w:rPr>
          <w:rFonts w:ascii="宋体" w:hAnsi="宋体" w:cs="宋体" w:eastAsia="宋体" w:hint="default"/>
          <w:spacing w:val="-59"/>
        </w:rPr>
        <w:t> </w:t>
      </w:r>
      <w:r>
        <w:rPr>
          <w:rFonts w:ascii="宋体" w:hAnsi="宋体" w:cs="宋体" w:eastAsia="宋体" w:hint="default"/>
        </w:rPr>
        <w:t>Service</w:t>
      </w:r>
      <w:r>
        <w:rPr/>
        <w:t>）的英文缩写，是云计算模式下 的应用软件服务。</w:t>
      </w:r>
    </w:p>
    <w:p>
      <w:pPr>
        <w:pStyle w:val="Heading3"/>
        <w:spacing w:line="300" w:lineRule="auto"/>
        <w:ind w:right="207" w:firstLine="480"/>
        <w:jc w:val="left"/>
      </w:pPr>
      <w:r>
        <w:rPr>
          <w:rFonts w:ascii="宋体" w:hAnsi="宋体" w:cs="宋体" w:eastAsia="宋体" w:hint="default"/>
        </w:rPr>
        <w:t>PaaS</w:t>
      </w:r>
      <w:r>
        <w:rPr/>
        <w:t>：“平台作为服务”（</w:t>
      </w:r>
      <w:r>
        <w:rPr>
          <w:rFonts w:ascii="宋体" w:hAnsi="宋体" w:cs="宋体" w:eastAsia="宋体" w:hint="default"/>
        </w:rPr>
        <w:t>Platform as a</w:t>
      </w:r>
      <w:r>
        <w:rPr>
          <w:rFonts w:ascii="宋体" w:hAnsi="宋体" w:cs="宋体" w:eastAsia="宋体" w:hint="default"/>
          <w:spacing w:val="-59"/>
        </w:rPr>
        <w:t> </w:t>
      </w:r>
      <w:r>
        <w:rPr>
          <w:rFonts w:ascii="宋体" w:hAnsi="宋体" w:cs="宋体" w:eastAsia="宋体" w:hint="default"/>
        </w:rPr>
        <w:t>Service</w:t>
      </w:r>
      <w:r>
        <w:rPr/>
        <w:t>）的英文缩写，是云计算模式下 的平台软件服务。</w:t>
      </w:r>
    </w:p>
    <w:p>
      <w:pPr>
        <w:spacing w:after="0" w:line="300" w:lineRule="auto"/>
        <w:jc w:val="left"/>
        <w:sectPr>
          <w:footerReference w:type="default" r:id="rId7"/>
          <w:pgSz w:w="11910" w:h="16850"/>
          <w:pgMar w:footer="730" w:header="752" w:top="1020" w:bottom="920" w:left="1280" w:right="1080"/>
          <w:pgNumType w:start="1"/>
        </w:sectPr>
      </w:pPr>
    </w:p>
    <w:p>
      <w:pPr>
        <w:spacing w:line="240" w:lineRule="auto" w:before="6"/>
        <w:rPr>
          <w:rFonts w:ascii="宋体" w:hAnsi="宋体" w:cs="宋体" w:eastAsia="宋体" w:hint="default"/>
          <w:sz w:val="26"/>
          <w:szCs w:val="26"/>
        </w:rPr>
      </w:pPr>
    </w:p>
    <w:p>
      <w:pPr>
        <w:spacing w:line="288" w:lineRule="auto" w:before="26"/>
        <w:ind w:left="618" w:right="188" w:hanging="480"/>
        <w:jc w:val="left"/>
        <w:rPr>
          <w:rFonts w:ascii="宋体" w:hAnsi="宋体" w:cs="宋体" w:eastAsia="宋体" w:hint="default"/>
          <w:sz w:val="24"/>
          <w:szCs w:val="24"/>
        </w:rPr>
      </w:pPr>
      <w:r>
        <w:rPr>
          <w:rFonts w:ascii="宋体" w:hAnsi="宋体" w:cs="宋体" w:eastAsia="宋体" w:hint="default"/>
          <w:b/>
          <w:bCs/>
          <w:sz w:val="24"/>
          <w:szCs w:val="24"/>
        </w:rPr>
        <w:t>二、重大风险提示：</w:t>
      </w:r>
      <w:r>
        <w:rPr>
          <w:rFonts w:ascii="宋体" w:hAnsi="宋体" w:cs="宋体" w:eastAsia="宋体" w:hint="default"/>
          <w:b/>
          <w:bCs/>
          <w:w w:val="99"/>
          <w:sz w:val="24"/>
          <w:szCs w:val="24"/>
        </w:rPr>
        <w:t> </w:t>
      </w:r>
      <w:r>
        <w:rPr>
          <w:rFonts w:ascii="宋体" w:hAnsi="宋体" w:cs="宋体" w:eastAsia="宋体" w:hint="default"/>
          <w:sz w:val="24"/>
          <w:szCs w:val="24"/>
        </w:rPr>
        <w:t>公司存在的风险因素主要有新模式业务培育风险和人力资源风险，有关风险因素内</w:t>
      </w:r>
    </w:p>
    <w:p>
      <w:pPr>
        <w:pStyle w:val="Heading3"/>
        <w:spacing w:line="297" w:lineRule="auto" w:before="26"/>
        <w:ind w:right="124"/>
        <w:jc w:val="left"/>
      </w:pPr>
      <w:r>
        <w:rPr/>
        <w:t>容与对策措施已在本报告中“第四节</w:t>
      </w:r>
      <w:r>
        <w:rPr>
          <w:spacing w:val="-56"/>
        </w:rPr>
        <w:t> </w:t>
      </w:r>
      <w:r>
        <w:rPr/>
        <w:t>董事会报告”中关于“董事会关于公司未来发展的</w:t>
      </w:r>
      <w:r>
        <w:rPr/>
        <w:t> 讨论与分析”部分予以了详细描述，敬请查阅相关内容。</w:t>
      </w:r>
    </w:p>
    <w:p>
      <w:pPr>
        <w:spacing w:after="0" w:line="297" w:lineRule="auto"/>
        <w:jc w:val="left"/>
        <w:sectPr>
          <w:pgSz w:w="11910" w:h="16850"/>
          <w:pgMar w:header="752" w:footer="730" w:top="1020" w:bottom="920" w:left="128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88"/>
        <w:ind w:right="2085"/>
        <w:jc w:val="center"/>
        <w:rPr>
          <w:b w:val="0"/>
          <w:bCs w:val="0"/>
        </w:rPr>
      </w:pPr>
      <w:bookmarkStart w:name="_TOC_250009" w:id="3"/>
      <w:r>
        <w:rPr/>
        <w:t>第二节</w:t>
      </w:r>
      <w:r>
        <w:rPr>
          <w:spacing w:val="-3"/>
        </w:rPr>
        <w:t> </w:t>
      </w:r>
      <w:r>
        <w:rPr/>
        <w:t>公司简介</w:t>
      </w:r>
      <w:bookmarkEnd w:id="3"/>
      <w:r>
        <w:rPr>
          <w:b w:val="0"/>
          <w:bCs w:val="0"/>
        </w:rPr>
      </w:r>
    </w:p>
    <w:p>
      <w:pPr>
        <w:spacing w:line="240" w:lineRule="auto" w:before="4"/>
        <w:rPr>
          <w:rFonts w:ascii="黑体" w:hAnsi="黑体" w:cs="黑体" w:eastAsia="黑体" w:hint="default"/>
          <w:b/>
          <w:bCs/>
          <w:sz w:val="25"/>
          <w:szCs w:val="25"/>
        </w:rPr>
      </w:pPr>
    </w:p>
    <w:p>
      <w:pPr>
        <w:pStyle w:val="Heading2"/>
        <w:spacing w:line="240" w:lineRule="auto" w:before="26"/>
        <w:ind w:right="188"/>
        <w:jc w:val="left"/>
        <w:rPr>
          <w:b w:val="0"/>
          <w:bCs w:val="0"/>
        </w:rPr>
      </w:pPr>
      <w:r>
        <w:rPr/>
        <w:t>一、公司信息</w:t>
      </w:r>
      <w:r>
        <w:rPr>
          <w:b w:val="0"/>
          <w:bCs w:val="0"/>
        </w:rPr>
      </w:r>
    </w:p>
    <w:p>
      <w:pPr>
        <w:pStyle w:val="Heading3"/>
        <w:spacing w:line="388" w:lineRule="auto" w:before="194"/>
        <w:ind w:left="618" w:right="3908"/>
        <w:jc w:val="left"/>
        <w:rPr>
          <w:rFonts w:ascii="宋体" w:hAnsi="宋体" w:cs="宋体" w:eastAsia="宋体" w:hint="default"/>
        </w:rPr>
      </w:pPr>
      <w:r>
        <w:rPr/>
        <w:t>公司的中文名称：用友软件股份有限公司 公司的中文名称缩写：用友软件 公司的外文名称：</w:t>
      </w:r>
      <w:r>
        <w:rPr>
          <w:rFonts w:ascii="宋体" w:hAnsi="宋体" w:cs="宋体" w:eastAsia="宋体" w:hint="default"/>
        </w:rPr>
        <w:t>YONYOU SOFTWARE CO., LTD.</w:t>
      </w:r>
    </w:p>
    <w:p>
      <w:pPr>
        <w:pStyle w:val="Heading3"/>
        <w:spacing w:line="388" w:lineRule="auto" w:before="46"/>
        <w:ind w:left="618" w:right="5708"/>
        <w:jc w:val="left"/>
      </w:pPr>
      <w:r>
        <w:rPr/>
        <w:t>公司的外文名称缩写：</w:t>
      </w:r>
      <w:r>
        <w:rPr>
          <w:rFonts w:ascii="宋体" w:hAnsi="宋体" w:cs="宋体" w:eastAsia="宋体" w:hint="default"/>
        </w:rPr>
        <w:t>yonyou </w:t>
      </w:r>
      <w:r>
        <w:rPr/>
        <w:t>公司法定代表人：王文京</w:t>
      </w:r>
    </w:p>
    <w:p>
      <w:pPr>
        <w:pStyle w:val="Heading3"/>
        <w:spacing w:line="388" w:lineRule="auto" w:before="48"/>
        <w:ind w:left="618" w:right="4886" w:hanging="480"/>
        <w:jc w:val="left"/>
        <w:rPr>
          <w:rFonts w:ascii="宋体" w:hAnsi="宋体" w:cs="宋体" w:eastAsia="宋体" w:hint="default"/>
        </w:rPr>
      </w:pPr>
      <w:r>
        <w:rPr>
          <w:rFonts w:ascii="宋体" w:hAnsi="宋体" w:cs="宋体" w:eastAsia="宋体" w:hint="default"/>
          <w:b/>
          <w:bCs/>
        </w:rPr>
        <w:t>二、联系人和联系方式</w:t>
      </w:r>
      <w:r>
        <w:rPr>
          <w:rFonts w:ascii="宋体" w:hAnsi="宋体" w:cs="宋体" w:eastAsia="宋体" w:hint="default"/>
          <w:b/>
          <w:bCs/>
          <w:w w:val="99"/>
        </w:rPr>
        <w:t> </w:t>
      </w:r>
      <w:r>
        <w:rPr/>
        <w:t>公司董事会秘书：欧阳青 联系地址：北京市海淀区北清路</w:t>
      </w:r>
      <w:r>
        <w:rPr>
          <w:spacing w:val="-60"/>
        </w:rPr>
        <w:t> </w:t>
      </w:r>
      <w:r>
        <w:rPr>
          <w:rFonts w:ascii="宋体" w:hAnsi="宋体" w:cs="宋体" w:eastAsia="宋体" w:hint="default"/>
        </w:rPr>
        <w:t>68</w:t>
      </w:r>
      <w:r>
        <w:rPr>
          <w:rFonts w:ascii="宋体" w:hAnsi="宋体" w:cs="宋体" w:eastAsia="宋体" w:hint="default"/>
          <w:spacing w:val="-60"/>
        </w:rPr>
        <w:t> </w:t>
      </w:r>
      <w:r>
        <w:rPr/>
        <w:t>号 电话：</w:t>
      </w:r>
      <w:r>
        <w:rPr>
          <w:rFonts w:ascii="宋体" w:hAnsi="宋体" w:cs="宋体" w:eastAsia="宋体" w:hint="default"/>
        </w:rPr>
        <w:t>010-62436838</w:t>
      </w:r>
    </w:p>
    <w:p>
      <w:pPr>
        <w:pStyle w:val="Heading3"/>
        <w:spacing w:line="240" w:lineRule="auto" w:before="46"/>
        <w:ind w:left="618" w:right="188"/>
        <w:jc w:val="left"/>
        <w:rPr>
          <w:rFonts w:ascii="宋体" w:hAnsi="宋体" w:cs="宋体" w:eastAsia="宋体" w:hint="default"/>
        </w:rPr>
      </w:pPr>
      <w:r>
        <w:rPr/>
        <w:t>传真：</w:t>
      </w:r>
      <w:r>
        <w:rPr>
          <w:rFonts w:ascii="宋体" w:hAnsi="宋体" w:cs="宋体" w:eastAsia="宋体" w:hint="default"/>
        </w:rPr>
        <w:t>010-62436639</w:t>
      </w:r>
    </w:p>
    <w:p>
      <w:pPr>
        <w:pStyle w:val="Heading3"/>
        <w:spacing w:line="240" w:lineRule="auto" w:before="194"/>
        <w:ind w:left="618" w:right="188"/>
        <w:jc w:val="left"/>
        <w:rPr>
          <w:rFonts w:ascii="宋体" w:hAnsi="宋体" w:cs="宋体" w:eastAsia="宋体" w:hint="default"/>
        </w:rPr>
      </w:pPr>
      <w:r>
        <w:rPr/>
        <w:t>电子信箱：</w:t>
      </w:r>
      <w:hyperlink r:id="rId8">
        <w:r>
          <w:rPr>
            <w:rFonts w:ascii="宋体" w:hAnsi="宋体" w:cs="宋体" w:eastAsia="宋体" w:hint="default"/>
          </w:rPr>
          <w:t>ir@yonyou.com</w:t>
        </w:r>
      </w:hyperlink>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9"/>
          <w:szCs w:val="29"/>
        </w:rPr>
      </w:pPr>
    </w:p>
    <w:p>
      <w:pPr>
        <w:pStyle w:val="Heading3"/>
        <w:spacing w:line="388" w:lineRule="auto" w:before="0"/>
        <w:ind w:left="618" w:right="4886"/>
        <w:jc w:val="left"/>
        <w:rPr>
          <w:rFonts w:ascii="宋体" w:hAnsi="宋体" w:cs="宋体" w:eastAsia="宋体" w:hint="default"/>
        </w:rPr>
      </w:pPr>
      <w:r>
        <w:rPr/>
        <w:t>公司证券事务代表：梁万栋 联系地址：北京市海淀区北清路</w:t>
      </w:r>
      <w:r>
        <w:rPr>
          <w:spacing w:val="-60"/>
        </w:rPr>
        <w:t> </w:t>
      </w:r>
      <w:r>
        <w:rPr>
          <w:rFonts w:ascii="宋体" w:hAnsi="宋体" w:cs="宋体" w:eastAsia="宋体" w:hint="default"/>
        </w:rPr>
        <w:t>68</w:t>
      </w:r>
      <w:r>
        <w:rPr>
          <w:rFonts w:ascii="宋体" w:hAnsi="宋体" w:cs="宋体" w:eastAsia="宋体" w:hint="default"/>
          <w:spacing w:val="-60"/>
        </w:rPr>
        <w:t> </w:t>
      </w:r>
      <w:r>
        <w:rPr/>
        <w:t>号 电话：</w:t>
      </w:r>
      <w:r>
        <w:rPr>
          <w:rFonts w:ascii="宋体" w:hAnsi="宋体" w:cs="宋体" w:eastAsia="宋体" w:hint="default"/>
        </w:rPr>
        <w:t>010-62436637</w:t>
      </w:r>
    </w:p>
    <w:p>
      <w:pPr>
        <w:pStyle w:val="Heading3"/>
        <w:spacing w:line="240" w:lineRule="auto" w:before="46"/>
        <w:ind w:left="618" w:right="188"/>
        <w:jc w:val="left"/>
        <w:rPr>
          <w:rFonts w:ascii="宋体" w:hAnsi="宋体" w:cs="宋体" w:eastAsia="宋体" w:hint="default"/>
        </w:rPr>
      </w:pPr>
      <w:r>
        <w:rPr/>
        <w:t>传真：</w:t>
      </w:r>
      <w:r>
        <w:rPr>
          <w:rFonts w:ascii="宋体" w:hAnsi="宋体" w:cs="宋体" w:eastAsia="宋体" w:hint="default"/>
        </w:rPr>
        <w:t>010-62436639</w:t>
      </w:r>
    </w:p>
    <w:p>
      <w:pPr>
        <w:spacing w:line="388" w:lineRule="auto" w:before="194"/>
        <w:ind w:left="138" w:right="6068" w:firstLine="480"/>
        <w:jc w:val="left"/>
        <w:rPr>
          <w:rFonts w:ascii="宋体" w:hAnsi="宋体" w:cs="宋体" w:eastAsia="宋体" w:hint="default"/>
          <w:sz w:val="24"/>
          <w:szCs w:val="24"/>
        </w:rPr>
      </w:pPr>
      <w:r>
        <w:rPr>
          <w:rFonts w:ascii="宋体" w:hAnsi="宋体" w:cs="宋体" w:eastAsia="宋体" w:hint="default"/>
          <w:sz w:val="24"/>
          <w:szCs w:val="24"/>
        </w:rPr>
        <w:t>电子信箱：</w:t>
      </w:r>
      <w:hyperlink r:id="rId8">
        <w:r>
          <w:rPr>
            <w:rFonts w:ascii="宋体" w:hAnsi="宋体" w:cs="宋体" w:eastAsia="宋体" w:hint="default"/>
            <w:sz w:val="24"/>
            <w:szCs w:val="24"/>
          </w:rPr>
          <w:t>ir@yonyou.com</w:t>
        </w:r>
      </w:hyperlink>
      <w:r>
        <w:rPr>
          <w:rFonts w:ascii="宋体" w:hAnsi="宋体" w:cs="宋体" w:eastAsia="宋体" w:hint="default"/>
          <w:sz w:val="24"/>
          <w:szCs w:val="24"/>
        </w:rPr>
        <w:t> </w:t>
      </w:r>
      <w:r>
        <w:rPr>
          <w:rFonts w:ascii="宋体" w:hAnsi="宋体" w:cs="宋体" w:eastAsia="宋体" w:hint="default"/>
          <w:b/>
          <w:bCs/>
          <w:sz w:val="24"/>
          <w:szCs w:val="24"/>
        </w:rPr>
        <w:t>三、基本情况简介</w:t>
      </w:r>
      <w:r>
        <w:rPr>
          <w:rFonts w:ascii="宋体" w:hAnsi="宋体" w:cs="宋体" w:eastAsia="宋体" w:hint="default"/>
          <w:sz w:val="24"/>
          <w:szCs w:val="24"/>
        </w:rPr>
      </w:r>
    </w:p>
    <w:p>
      <w:pPr>
        <w:pStyle w:val="Heading3"/>
        <w:spacing w:line="240" w:lineRule="auto" w:before="46"/>
        <w:ind w:left="618" w:right="188"/>
        <w:jc w:val="left"/>
      </w:pPr>
      <w:r>
        <w:rPr/>
        <w:t>公司注册地址：北京市海淀区北清路</w:t>
      </w:r>
      <w:r>
        <w:rPr>
          <w:spacing w:val="-60"/>
        </w:rPr>
        <w:t> </w:t>
      </w:r>
      <w:r>
        <w:rPr>
          <w:rFonts w:ascii="宋体" w:hAnsi="宋体" w:cs="宋体" w:eastAsia="宋体" w:hint="default"/>
        </w:rPr>
        <w:t>68</w:t>
      </w:r>
      <w:r>
        <w:rPr>
          <w:rFonts w:ascii="宋体" w:hAnsi="宋体" w:cs="宋体" w:eastAsia="宋体" w:hint="default"/>
          <w:spacing w:val="-60"/>
        </w:rPr>
        <w:t> </w:t>
      </w:r>
      <w:r>
        <w:rPr/>
        <w:t>号</w:t>
      </w:r>
    </w:p>
    <w:p>
      <w:pPr>
        <w:pStyle w:val="Heading3"/>
        <w:spacing w:line="388" w:lineRule="auto" w:before="194"/>
        <w:ind w:left="618" w:right="4388"/>
        <w:jc w:val="left"/>
        <w:rPr>
          <w:rFonts w:ascii="宋体" w:hAnsi="宋体" w:cs="宋体" w:eastAsia="宋体" w:hint="default"/>
        </w:rPr>
      </w:pPr>
      <w:r>
        <w:rPr/>
        <w:t>公司办公地址：北京市海淀区北清路</w:t>
      </w:r>
      <w:r>
        <w:rPr>
          <w:spacing w:val="-60"/>
        </w:rPr>
        <w:t> </w:t>
      </w:r>
      <w:r>
        <w:rPr>
          <w:rFonts w:ascii="宋体" w:hAnsi="宋体" w:cs="宋体" w:eastAsia="宋体" w:hint="default"/>
        </w:rPr>
        <w:t>68</w:t>
      </w:r>
      <w:r>
        <w:rPr>
          <w:rFonts w:ascii="宋体" w:hAnsi="宋体" w:cs="宋体" w:eastAsia="宋体" w:hint="default"/>
          <w:spacing w:val="-60"/>
        </w:rPr>
        <w:t> </w:t>
      </w:r>
      <w:r>
        <w:rPr/>
        <w:t>号 邮政编码：</w:t>
      </w:r>
      <w:r>
        <w:rPr>
          <w:rFonts w:ascii="宋体" w:hAnsi="宋体" w:cs="宋体" w:eastAsia="宋体" w:hint="default"/>
        </w:rPr>
        <w:t>100094 </w:t>
      </w:r>
      <w:r>
        <w:rPr/>
        <w:t>公司网址：</w:t>
      </w:r>
      <w:hyperlink r:id="rId9">
        <w:r>
          <w:rPr>
            <w:rFonts w:ascii="宋体" w:hAnsi="宋体" w:cs="宋体" w:eastAsia="宋体" w:hint="default"/>
          </w:rPr>
          <w:t>http://www.yonyou.com</w:t>
        </w:r>
      </w:hyperlink>
      <w:r>
        <w:rPr>
          <w:rFonts w:ascii="宋体" w:hAnsi="宋体" w:cs="宋体" w:eastAsia="宋体" w:hint="default"/>
        </w:rPr>
        <w:t> </w:t>
      </w:r>
      <w:r>
        <w:rPr/>
        <w:t>电子信箱：</w:t>
      </w:r>
      <w:hyperlink r:id="rId8">
        <w:r>
          <w:rPr>
            <w:rFonts w:ascii="宋体" w:hAnsi="宋体" w:cs="宋体" w:eastAsia="宋体" w:hint="default"/>
          </w:rPr>
          <w:t>ir@yonyou.com</w:t>
        </w:r>
      </w:hyperlink>
    </w:p>
    <w:p>
      <w:pPr>
        <w:pStyle w:val="Heading2"/>
        <w:spacing w:line="240" w:lineRule="auto" w:before="46"/>
        <w:ind w:right="188"/>
        <w:jc w:val="left"/>
        <w:rPr>
          <w:b w:val="0"/>
          <w:bCs w:val="0"/>
        </w:rPr>
      </w:pPr>
      <w:r>
        <w:rPr/>
        <w:t>四、信息披露及备置地点</w:t>
      </w:r>
      <w:r>
        <w:rPr>
          <w:b w:val="0"/>
          <w:bCs w:val="0"/>
        </w:rPr>
      </w:r>
    </w:p>
    <w:p>
      <w:pPr>
        <w:spacing w:after="0" w:line="240" w:lineRule="auto"/>
        <w:jc w:val="left"/>
        <w:sectPr>
          <w:pgSz w:w="11910" w:h="16850"/>
          <w:pgMar w:header="752" w:footer="730" w:top="1020" w:bottom="920" w:left="1280" w:right="1160"/>
        </w:sectPr>
      </w:pPr>
    </w:p>
    <w:p>
      <w:pPr>
        <w:spacing w:line="240" w:lineRule="auto" w:before="9"/>
        <w:rPr>
          <w:rFonts w:ascii="宋体" w:hAnsi="宋体" w:cs="宋体" w:eastAsia="宋体" w:hint="default"/>
          <w:b/>
          <w:bCs/>
          <w:sz w:val="26"/>
          <w:szCs w:val="26"/>
        </w:rPr>
      </w:pPr>
    </w:p>
    <w:p>
      <w:pPr>
        <w:pStyle w:val="Heading3"/>
        <w:spacing w:line="240" w:lineRule="auto" w:before="26"/>
        <w:ind w:left="558" w:right="0"/>
        <w:jc w:val="left"/>
      </w:pPr>
      <w:r>
        <w:rPr/>
        <w:t>公司选定的信息披露报纸名称：《上海证券报》、《中国证券报》、《证券时报》、</w:t>
      </w:r>
    </w:p>
    <w:p>
      <w:pPr>
        <w:pStyle w:val="Heading3"/>
        <w:spacing w:line="388" w:lineRule="auto" w:before="74"/>
        <w:ind w:left="618" w:right="1588" w:firstLine="3300"/>
        <w:jc w:val="left"/>
      </w:pPr>
      <w:r>
        <w:rPr/>
        <w:t>《证券日报》 登载年度报告的中国证监会指定网站的网址：</w:t>
      </w:r>
      <w:hyperlink r:id="rId10">
        <w:r>
          <w:rPr>
            <w:rFonts w:ascii="宋体" w:hAnsi="宋体" w:cs="宋体" w:eastAsia="宋体" w:hint="default"/>
          </w:rPr>
          <w:t>http://www.sse.com.cn</w:t>
        </w:r>
      </w:hyperlink>
      <w:r>
        <w:rPr>
          <w:rFonts w:ascii="宋体" w:hAnsi="宋体" w:cs="宋体" w:eastAsia="宋体" w:hint="default"/>
        </w:rPr>
        <w:t> </w:t>
      </w:r>
      <w:r>
        <w:rPr/>
        <w:t>公司年度报告备置地点：公司证券与投资者关系部</w:t>
      </w:r>
    </w:p>
    <w:p>
      <w:pPr>
        <w:spacing w:line="391" w:lineRule="auto" w:before="46"/>
        <w:ind w:left="618" w:right="7288" w:hanging="480"/>
        <w:jc w:val="left"/>
        <w:rPr>
          <w:rFonts w:ascii="宋体" w:hAnsi="宋体" w:cs="宋体" w:eastAsia="宋体" w:hint="default"/>
          <w:sz w:val="24"/>
          <w:szCs w:val="24"/>
        </w:rPr>
      </w:pPr>
      <w:r>
        <w:rPr>
          <w:rFonts w:ascii="宋体" w:hAnsi="宋体" w:cs="宋体" w:eastAsia="宋体" w:hint="default"/>
          <w:b/>
          <w:bCs/>
          <w:sz w:val="24"/>
          <w:szCs w:val="24"/>
        </w:rPr>
        <w:t>五、公司股票简况</w:t>
      </w:r>
      <w:r>
        <w:rPr>
          <w:rFonts w:ascii="宋体" w:hAnsi="宋体" w:cs="宋体" w:eastAsia="宋体" w:hint="default"/>
          <w:b/>
          <w:bCs/>
          <w:w w:val="99"/>
          <w:sz w:val="24"/>
          <w:szCs w:val="24"/>
        </w:rPr>
        <w:t> </w:t>
      </w:r>
      <w:r>
        <w:rPr>
          <w:rFonts w:ascii="宋体" w:hAnsi="宋体" w:cs="宋体" w:eastAsia="宋体" w:hint="default"/>
          <w:sz w:val="24"/>
          <w:szCs w:val="24"/>
        </w:rPr>
        <w:t>股票各类：</w:t>
      </w:r>
      <w:r>
        <w:rPr>
          <w:rFonts w:ascii="宋体" w:hAnsi="宋体" w:cs="宋体" w:eastAsia="宋体" w:hint="default"/>
          <w:sz w:val="24"/>
          <w:szCs w:val="24"/>
        </w:rPr>
        <w:t>A</w:t>
      </w:r>
      <w:r>
        <w:rPr>
          <w:rFonts w:ascii="宋体" w:hAnsi="宋体" w:cs="宋体" w:eastAsia="宋体" w:hint="default"/>
          <w:spacing w:val="-60"/>
          <w:sz w:val="24"/>
          <w:szCs w:val="24"/>
        </w:rPr>
        <w:t> </w:t>
      </w:r>
      <w:r>
        <w:rPr>
          <w:rFonts w:ascii="宋体" w:hAnsi="宋体" w:cs="宋体" w:eastAsia="宋体" w:hint="default"/>
          <w:sz w:val="24"/>
          <w:szCs w:val="24"/>
        </w:rPr>
        <w:t>股</w:t>
      </w:r>
    </w:p>
    <w:p>
      <w:pPr>
        <w:pStyle w:val="Heading3"/>
        <w:spacing w:line="388" w:lineRule="auto" w:before="43"/>
        <w:ind w:left="618" w:right="5308"/>
        <w:jc w:val="left"/>
      </w:pPr>
      <w:r>
        <w:rPr/>
        <w:t>股票上市交易所：上海证券交易所 股票简称 ：用友软件</w:t>
      </w:r>
    </w:p>
    <w:p>
      <w:pPr>
        <w:spacing w:line="388" w:lineRule="auto" w:before="46"/>
        <w:ind w:left="138" w:right="6015" w:firstLine="480"/>
        <w:jc w:val="left"/>
        <w:rPr>
          <w:rFonts w:ascii="宋体" w:hAnsi="宋体" w:cs="宋体" w:eastAsia="宋体" w:hint="default"/>
          <w:sz w:val="24"/>
          <w:szCs w:val="24"/>
        </w:rPr>
      </w:pPr>
      <w:r>
        <w:rPr>
          <w:rFonts w:ascii="宋体" w:hAnsi="宋体" w:cs="宋体" w:eastAsia="宋体" w:hint="default"/>
          <w:sz w:val="24"/>
          <w:szCs w:val="24"/>
        </w:rPr>
        <w:t>股票代码 ：</w:t>
      </w:r>
      <w:r>
        <w:rPr>
          <w:rFonts w:ascii="宋体" w:hAnsi="宋体" w:cs="宋体" w:eastAsia="宋体" w:hint="default"/>
          <w:sz w:val="24"/>
          <w:szCs w:val="24"/>
        </w:rPr>
        <w:t>600588 </w:t>
      </w:r>
      <w:r>
        <w:rPr>
          <w:rFonts w:ascii="宋体" w:hAnsi="宋体" w:cs="宋体" w:eastAsia="宋体" w:hint="default"/>
          <w:b/>
          <w:bCs/>
          <w:sz w:val="24"/>
          <w:szCs w:val="24"/>
        </w:rPr>
        <w:t>六、公司报告期内注册变更情况</w:t>
      </w:r>
      <w:r>
        <w:rPr>
          <w:rFonts w:ascii="宋体" w:hAnsi="宋体" w:cs="宋体" w:eastAsia="宋体" w:hint="default"/>
          <w:sz w:val="24"/>
          <w:szCs w:val="24"/>
        </w:rPr>
      </w:r>
    </w:p>
    <w:p>
      <w:pPr>
        <w:pStyle w:val="Heading2"/>
        <w:spacing w:line="240" w:lineRule="auto" w:before="46"/>
        <w:ind w:left="704" w:right="232"/>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基本情况</w:t>
      </w:r>
      <w:r>
        <w:rPr>
          <w:b w:val="0"/>
          <w:bCs w:val="0"/>
        </w:rPr>
      </w:r>
    </w:p>
    <w:p>
      <w:pPr>
        <w:pStyle w:val="Heading3"/>
        <w:spacing w:line="240" w:lineRule="auto" w:before="194"/>
        <w:ind w:left="618" w:right="232"/>
        <w:jc w:val="left"/>
      </w:pPr>
      <w:r>
        <w:rPr>
          <w:rFonts w:ascii="宋体" w:hAnsi="宋体" w:cs="宋体" w:eastAsia="宋体" w:hint="default"/>
        </w:rPr>
        <w:t>1</w:t>
      </w:r>
      <w:r>
        <w:rPr/>
        <w:t>、公司变更股份有限公司的注册登记日期：</w:t>
      </w:r>
      <w:r>
        <w:rPr>
          <w:rFonts w:ascii="宋体" w:hAnsi="宋体" w:cs="宋体" w:eastAsia="宋体" w:hint="default"/>
        </w:rPr>
        <w:t>1999</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06</w:t>
      </w:r>
      <w:r>
        <w:rPr>
          <w:rFonts w:ascii="宋体" w:hAnsi="宋体" w:cs="宋体" w:eastAsia="宋体" w:hint="default"/>
          <w:spacing w:val="-60"/>
        </w:rPr>
        <w:t> </w:t>
      </w:r>
      <w:r>
        <w:rPr/>
        <w:t>日</w:t>
      </w:r>
    </w:p>
    <w:p>
      <w:pPr>
        <w:pStyle w:val="Heading3"/>
        <w:spacing w:line="240" w:lineRule="auto" w:before="194"/>
        <w:ind w:left="618" w:right="232"/>
        <w:jc w:val="left"/>
      </w:pPr>
      <w:r>
        <w:rPr>
          <w:rFonts w:ascii="宋体" w:hAnsi="宋体" w:cs="宋体" w:eastAsia="宋体" w:hint="default"/>
        </w:rPr>
        <w:t>2</w:t>
      </w:r>
      <w:r>
        <w:rPr/>
        <w:t>、注册登记地点：北京市工商行政管理局</w:t>
      </w:r>
    </w:p>
    <w:p>
      <w:pPr>
        <w:pStyle w:val="Heading3"/>
        <w:spacing w:line="240" w:lineRule="auto" w:before="194"/>
        <w:ind w:left="618" w:right="232"/>
        <w:jc w:val="left"/>
        <w:rPr>
          <w:rFonts w:ascii="宋体" w:hAnsi="宋体" w:cs="宋体" w:eastAsia="宋体" w:hint="default"/>
        </w:rPr>
      </w:pPr>
      <w:r>
        <w:rPr>
          <w:rFonts w:ascii="宋体" w:hAnsi="宋体" w:cs="宋体" w:eastAsia="宋体" w:hint="default"/>
        </w:rPr>
        <w:t>3</w:t>
      </w:r>
      <w:r>
        <w:rPr/>
        <w:t>、企业法人营业执照注册号：</w:t>
      </w:r>
      <w:r>
        <w:rPr>
          <w:rFonts w:ascii="宋体" w:hAnsi="宋体" w:cs="宋体" w:eastAsia="宋体" w:hint="default"/>
        </w:rPr>
        <w:t>110000005119254</w:t>
      </w:r>
    </w:p>
    <w:p>
      <w:pPr>
        <w:pStyle w:val="Heading3"/>
        <w:spacing w:line="240" w:lineRule="auto" w:before="197"/>
        <w:ind w:left="618" w:right="232"/>
        <w:jc w:val="left"/>
        <w:rPr>
          <w:rFonts w:ascii="宋体" w:hAnsi="宋体" w:cs="宋体" w:eastAsia="宋体" w:hint="default"/>
        </w:rPr>
      </w:pPr>
      <w:r>
        <w:rPr>
          <w:rFonts w:ascii="宋体" w:hAnsi="宋体" w:cs="宋体" w:eastAsia="宋体" w:hint="default"/>
        </w:rPr>
        <w:t>4</w:t>
      </w:r>
      <w:r>
        <w:rPr/>
        <w:t>、税务登记号码：</w:t>
      </w:r>
      <w:r>
        <w:rPr>
          <w:rFonts w:ascii="宋体" w:hAnsi="宋体" w:cs="宋体" w:eastAsia="宋体" w:hint="default"/>
        </w:rPr>
        <w:t>110108600001760</w:t>
      </w:r>
    </w:p>
    <w:p>
      <w:pPr>
        <w:spacing w:line="388" w:lineRule="auto" w:before="194"/>
        <w:ind w:left="618" w:right="3028" w:firstLine="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z w:val="24"/>
          <w:szCs w:val="24"/>
        </w:rPr>
        <w:t>、组织机构代码：</w:t>
      </w:r>
      <w:r>
        <w:rPr>
          <w:rFonts w:ascii="宋体" w:hAnsi="宋体" w:cs="宋体" w:eastAsia="宋体" w:hint="default"/>
          <w:sz w:val="24"/>
          <w:szCs w:val="24"/>
        </w:rPr>
        <w:t>60000176-0 </w:t>
      </w:r>
      <w:r>
        <w:rPr>
          <w:rFonts w:ascii="宋体" w:hAnsi="宋体" w:cs="宋体" w:eastAsia="宋体" w:hint="default"/>
          <w:b/>
          <w:bCs/>
          <w:sz w:val="24"/>
          <w:szCs w:val="24"/>
        </w:rPr>
        <w:t>(</w:t>
      </w:r>
      <w:r>
        <w:rPr>
          <w:rFonts w:ascii="宋体" w:hAnsi="宋体" w:cs="宋体" w:eastAsia="宋体" w:hint="default"/>
          <w:b/>
          <w:bCs/>
          <w:sz w:val="24"/>
          <w:szCs w:val="24"/>
        </w:rPr>
        <w:t>二</w:t>
      </w:r>
      <w:r>
        <w:rPr>
          <w:rFonts w:ascii="宋体" w:hAnsi="宋体" w:cs="宋体" w:eastAsia="宋体" w:hint="default"/>
          <w:b/>
          <w:bCs/>
          <w:sz w:val="24"/>
          <w:szCs w:val="24"/>
        </w:rPr>
        <w:t>)</w:t>
      </w:r>
      <w:r>
        <w:rPr>
          <w:rFonts w:ascii="宋体" w:hAnsi="宋体" w:cs="宋体" w:eastAsia="宋体" w:hint="default"/>
          <w:b/>
          <w:bCs/>
          <w:sz w:val="24"/>
          <w:szCs w:val="24"/>
        </w:rPr>
        <w:t>公司首次注册情况的相关查询索引</w:t>
      </w:r>
      <w:r>
        <w:rPr>
          <w:rFonts w:ascii="宋体" w:hAnsi="宋体" w:cs="宋体" w:eastAsia="宋体" w:hint="default"/>
          <w:b/>
          <w:bCs/>
          <w:w w:val="99"/>
          <w:sz w:val="24"/>
          <w:szCs w:val="24"/>
        </w:rPr>
        <w:t> </w:t>
      </w:r>
      <w:r>
        <w:rPr>
          <w:rFonts w:ascii="宋体" w:hAnsi="宋体" w:cs="宋体" w:eastAsia="宋体" w:hint="default"/>
          <w:sz w:val="24"/>
          <w:szCs w:val="24"/>
        </w:rPr>
        <w:t>公司首次注册情况详见</w:t>
      </w:r>
      <w:r>
        <w:rPr>
          <w:rFonts w:ascii="宋体" w:hAnsi="宋体" w:cs="宋体" w:eastAsia="宋体" w:hint="default"/>
          <w:spacing w:val="-60"/>
          <w:sz w:val="24"/>
          <w:szCs w:val="24"/>
        </w:rPr>
        <w:t> </w:t>
      </w:r>
      <w:r>
        <w:rPr>
          <w:rFonts w:ascii="宋体" w:hAnsi="宋体" w:cs="宋体" w:eastAsia="宋体" w:hint="default"/>
          <w:sz w:val="24"/>
          <w:szCs w:val="24"/>
        </w:rPr>
        <w:t>2001</w:t>
      </w:r>
      <w:r>
        <w:rPr>
          <w:rFonts w:ascii="宋体" w:hAnsi="宋体" w:cs="宋体" w:eastAsia="宋体" w:hint="default"/>
          <w:spacing w:val="-60"/>
          <w:sz w:val="24"/>
          <w:szCs w:val="24"/>
        </w:rPr>
        <w:t> </w:t>
      </w:r>
      <w:r>
        <w:rPr>
          <w:rFonts w:ascii="宋体" w:hAnsi="宋体" w:cs="宋体" w:eastAsia="宋体" w:hint="default"/>
          <w:sz w:val="24"/>
          <w:szCs w:val="24"/>
        </w:rPr>
        <w:t>年年度报告公司基本情况。 </w:t>
      </w:r>
      <w:r>
        <w:rPr>
          <w:rFonts w:ascii="宋体" w:hAnsi="宋体" w:cs="宋体" w:eastAsia="宋体" w:hint="default"/>
          <w:b/>
          <w:bCs/>
          <w:sz w:val="24"/>
          <w:szCs w:val="24"/>
        </w:rPr>
        <w:t>(</w:t>
      </w:r>
      <w:r>
        <w:rPr>
          <w:rFonts w:ascii="宋体" w:hAnsi="宋体" w:cs="宋体" w:eastAsia="宋体" w:hint="default"/>
          <w:b/>
          <w:bCs/>
          <w:sz w:val="24"/>
          <w:szCs w:val="24"/>
        </w:rPr>
        <w:t>三</w:t>
      </w:r>
      <w:r>
        <w:rPr>
          <w:rFonts w:ascii="宋体" w:hAnsi="宋体" w:cs="宋体" w:eastAsia="宋体" w:hint="default"/>
          <w:b/>
          <w:bCs/>
          <w:sz w:val="24"/>
          <w:szCs w:val="24"/>
        </w:rPr>
        <w:t>)</w:t>
      </w:r>
      <w:r>
        <w:rPr>
          <w:rFonts w:ascii="宋体" w:hAnsi="宋体" w:cs="宋体" w:eastAsia="宋体" w:hint="default"/>
          <w:b/>
          <w:bCs/>
          <w:sz w:val="24"/>
          <w:szCs w:val="24"/>
        </w:rPr>
        <w:t>公司上市以来，主营业务的变化情况</w:t>
      </w:r>
      <w:r>
        <w:rPr>
          <w:rFonts w:ascii="宋体" w:hAnsi="宋体" w:cs="宋体" w:eastAsia="宋体" w:hint="default"/>
          <w:b/>
          <w:bCs/>
          <w:w w:val="99"/>
          <w:sz w:val="24"/>
          <w:szCs w:val="24"/>
        </w:rPr>
        <w:t> </w:t>
      </w:r>
      <w:r>
        <w:rPr>
          <w:rFonts w:ascii="宋体" w:hAnsi="宋体" w:cs="宋体" w:eastAsia="宋体" w:hint="default"/>
          <w:sz w:val="24"/>
          <w:szCs w:val="24"/>
        </w:rPr>
        <w:t>公司上市以来，主营业务未发生变化。 </w:t>
      </w:r>
      <w:r>
        <w:rPr>
          <w:rFonts w:ascii="宋体" w:hAnsi="宋体" w:cs="宋体" w:eastAsia="宋体" w:hint="default"/>
          <w:b/>
          <w:bCs/>
          <w:sz w:val="24"/>
          <w:szCs w:val="24"/>
        </w:rPr>
        <w:t>(</w:t>
      </w:r>
      <w:r>
        <w:rPr>
          <w:rFonts w:ascii="宋体" w:hAnsi="宋体" w:cs="宋体" w:eastAsia="宋体" w:hint="default"/>
          <w:b/>
          <w:bCs/>
          <w:sz w:val="24"/>
          <w:szCs w:val="24"/>
        </w:rPr>
        <w:t>四</w:t>
      </w:r>
      <w:r>
        <w:rPr>
          <w:rFonts w:ascii="宋体" w:hAnsi="宋体" w:cs="宋体" w:eastAsia="宋体" w:hint="default"/>
          <w:b/>
          <w:bCs/>
          <w:sz w:val="24"/>
          <w:szCs w:val="24"/>
        </w:rPr>
        <w:t>)</w:t>
      </w:r>
      <w:r>
        <w:rPr>
          <w:rFonts w:ascii="宋体" w:hAnsi="宋体" w:cs="宋体" w:eastAsia="宋体" w:hint="default"/>
          <w:b/>
          <w:bCs/>
          <w:sz w:val="24"/>
          <w:szCs w:val="24"/>
        </w:rPr>
        <w:t>公司上市以来</w:t>
      </w:r>
      <w:r>
        <w:rPr>
          <w:rFonts w:ascii="宋体" w:hAnsi="宋体" w:cs="宋体" w:eastAsia="宋体" w:hint="default"/>
          <w:b/>
          <w:bCs/>
          <w:sz w:val="24"/>
          <w:szCs w:val="24"/>
        </w:rPr>
        <w:t>,</w:t>
      </w:r>
      <w:r>
        <w:rPr>
          <w:rFonts w:ascii="宋体" w:hAnsi="宋体" w:cs="宋体" w:eastAsia="宋体" w:hint="default"/>
          <w:b/>
          <w:bCs/>
          <w:sz w:val="24"/>
          <w:szCs w:val="24"/>
        </w:rPr>
        <w:t>历次控股股东的变更情况</w:t>
      </w:r>
      <w:r>
        <w:rPr>
          <w:rFonts w:ascii="宋体" w:hAnsi="宋体" w:cs="宋体" w:eastAsia="宋体" w:hint="default"/>
          <w:b/>
          <w:bCs/>
          <w:w w:val="99"/>
          <w:sz w:val="24"/>
          <w:szCs w:val="24"/>
        </w:rPr>
        <w:t> </w:t>
      </w:r>
      <w:r>
        <w:rPr>
          <w:rFonts w:ascii="宋体" w:hAnsi="宋体" w:cs="宋体" w:eastAsia="宋体" w:hint="default"/>
          <w:sz w:val="24"/>
          <w:szCs w:val="24"/>
        </w:rPr>
        <w:t>公司上市以来控股股东未发生变更。</w:t>
      </w:r>
    </w:p>
    <w:p>
      <w:pPr>
        <w:pStyle w:val="Heading3"/>
        <w:spacing w:line="388" w:lineRule="auto" w:before="46"/>
        <w:ind w:left="618" w:right="268" w:hanging="480"/>
        <w:jc w:val="left"/>
      </w:pPr>
      <w:r>
        <w:rPr>
          <w:rFonts w:ascii="宋体" w:hAnsi="宋体" w:cs="宋体" w:eastAsia="宋体" w:hint="default"/>
          <w:b/>
          <w:bCs/>
        </w:rPr>
        <w:t>七、其他有关资料</w:t>
      </w:r>
      <w:r>
        <w:rPr>
          <w:rFonts w:ascii="宋体" w:hAnsi="宋体" w:cs="宋体" w:eastAsia="宋体" w:hint="default"/>
          <w:b/>
          <w:bCs/>
          <w:w w:val="99"/>
        </w:rPr>
        <w:t> </w:t>
      </w:r>
      <w:r>
        <w:rPr/>
        <w:t>公司聘请的会计师事务所名称：安永华明会计师事务所（特殊普通合伙） 会计师事务所办公地址：北京市东城区东长安街</w:t>
      </w:r>
      <w:r>
        <w:rPr>
          <w:spacing w:val="-60"/>
        </w:rPr>
        <w:t> </w:t>
      </w:r>
      <w:r>
        <w:rPr>
          <w:rFonts w:ascii="宋体" w:hAnsi="宋体" w:cs="宋体" w:eastAsia="宋体" w:hint="default"/>
        </w:rPr>
        <w:t>1</w:t>
      </w:r>
      <w:r>
        <w:rPr>
          <w:rFonts w:ascii="宋体" w:hAnsi="宋体" w:cs="宋体" w:eastAsia="宋体" w:hint="default"/>
          <w:spacing w:val="-60"/>
        </w:rPr>
        <w:t> </w:t>
      </w:r>
      <w:r>
        <w:rPr/>
        <w:t>号东方广场安永大楼（东三办公</w:t>
      </w:r>
    </w:p>
    <w:p>
      <w:pPr>
        <w:pStyle w:val="Heading3"/>
        <w:spacing w:line="240" w:lineRule="exact" w:before="0"/>
        <w:ind w:right="232"/>
        <w:jc w:val="left"/>
      </w:pPr>
      <w:r>
        <w:rPr/>
        <w:t>楼）</w:t>
      </w:r>
      <w:r>
        <w:rPr>
          <w:rFonts w:ascii="宋体" w:hAnsi="宋体" w:cs="宋体" w:eastAsia="宋体" w:hint="default"/>
        </w:rPr>
        <w:t>16</w:t>
      </w:r>
      <w:r>
        <w:rPr>
          <w:rFonts w:ascii="宋体" w:hAnsi="宋体" w:cs="宋体" w:eastAsia="宋体" w:hint="default"/>
          <w:spacing w:val="-60"/>
        </w:rPr>
        <w:t> </w:t>
      </w:r>
      <w:r>
        <w:rPr/>
        <w:t>层</w:t>
      </w:r>
    </w:p>
    <w:p>
      <w:pPr>
        <w:pStyle w:val="Heading3"/>
        <w:spacing w:line="240" w:lineRule="auto" w:before="194"/>
        <w:ind w:left="618" w:right="232"/>
        <w:jc w:val="left"/>
      </w:pPr>
      <w:r>
        <w:rPr/>
        <w:t>签字会计师姓名：陈静 张瑞</w:t>
      </w:r>
    </w:p>
    <w:p>
      <w:pPr>
        <w:spacing w:after="0" w:line="240" w:lineRule="auto"/>
        <w:jc w:val="left"/>
        <w:sectPr>
          <w:pgSz w:w="11910" w:h="16850"/>
          <w:pgMar w:header="752" w:footer="730" w:top="1020" w:bottom="920" w:left="1280" w:right="10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1"/>
        <w:tabs>
          <w:tab w:pos="3956" w:val="left" w:leader="none"/>
        </w:tabs>
        <w:spacing w:line="240" w:lineRule="auto"/>
        <w:ind w:left="2831" w:right="0"/>
        <w:jc w:val="left"/>
        <w:rPr>
          <w:b w:val="0"/>
          <w:bCs w:val="0"/>
        </w:rPr>
      </w:pPr>
      <w:bookmarkStart w:name="_TOC_250008" w:id="4"/>
      <w:r>
        <w:rPr>
          <w:w w:val="95"/>
        </w:rPr>
        <w:t>第三节</w:t>
        <w:tab/>
      </w:r>
      <w:r>
        <w:rPr/>
        <w:t>会计数据和财务指标摘要</w:t>
      </w:r>
      <w:bookmarkEnd w:id="4"/>
      <w:r>
        <w:rPr>
          <w:b w:val="0"/>
          <w:bCs w:val="0"/>
        </w:rPr>
      </w:r>
    </w:p>
    <w:p>
      <w:pPr>
        <w:spacing w:line="240" w:lineRule="auto" w:before="4"/>
        <w:rPr>
          <w:rFonts w:ascii="黑体" w:hAnsi="黑体" w:cs="黑体" w:eastAsia="黑体" w:hint="default"/>
          <w:b/>
          <w:bCs/>
          <w:sz w:val="27"/>
          <w:szCs w:val="27"/>
        </w:rPr>
      </w:pPr>
    </w:p>
    <w:p>
      <w:pPr>
        <w:pStyle w:val="Heading2"/>
        <w:spacing w:line="240" w:lineRule="auto"/>
        <w:ind w:right="0"/>
        <w:jc w:val="left"/>
        <w:rPr>
          <w:b w:val="0"/>
          <w:bCs w:val="0"/>
        </w:rPr>
      </w:pPr>
      <w:r>
        <w:rPr/>
        <w:t>一、报告期末公司近三年主要会计数据和财务指标</w:t>
      </w:r>
      <w:r>
        <w:rPr>
          <w:b w:val="0"/>
          <w:bCs w:val="0"/>
        </w:rPr>
      </w:r>
    </w:p>
    <w:p>
      <w:pPr>
        <w:pStyle w:val="Heading2"/>
        <w:spacing w:line="240" w:lineRule="auto" w:before="194"/>
        <w:ind w:left="704" w:right="0"/>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主要会计数据</w:t>
      </w:r>
      <w:r>
        <w:rPr>
          <w:b w:val="0"/>
          <w:bCs w:val="0"/>
        </w:rPr>
      </w:r>
    </w:p>
    <w:p>
      <w:pPr>
        <w:spacing w:line="240" w:lineRule="auto" w:before="8"/>
        <w:rPr>
          <w:rFonts w:ascii="宋体" w:hAnsi="宋体" w:cs="宋体" w:eastAsia="宋体" w:hint="default"/>
          <w:b/>
          <w:bCs/>
          <w:sz w:val="12"/>
          <w:szCs w:val="12"/>
        </w:rPr>
      </w:pPr>
    </w:p>
    <w:p>
      <w:pPr>
        <w:pStyle w:val="Heading5"/>
        <w:spacing w:line="240" w:lineRule="auto"/>
        <w:ind w:right="298"/>
        <w:jc w:val="right"/>
      </w:pPr>
      <w:r>
        <w:rPr>
          <w:spacing w:val="-1"/>
        </w:rPr>
        <w:t>单位：元</w:t>
      </w:r>
    </w:p>
    <w:p>
      <w:pPr>
        <w:spacing w:line="240" w:lineRule="auto" w:before="8"/>
        <w:rPr>
          <w:rFonts w:ascii="宋体" w:hAnsi="宋体" w:cs="宋体" w:eastAsia="宋体" w:hint="default"/>
          <w:sz w:val="16"/>
          <w:szCs w:val="16"/>
        </w:rPr>
      </w:pPr>
    </w:p>
    <w:tbl>
      <w:tblPr>
        <w:tblW w:w="0" w:type="auto"/>
        <w:jc w:val="left"/>
        <w:tblInd w:w="123" w:type="dxa"/>
        <w:tblLayout w:type="fixed"/>
        <w:tblCellMar>
          <w:top w:w="0" w:type="dxa"/>
          <w:left w:w="0" w:type="dxa"/>
          <w:bottom w:w="0" w:type="dxa"/>
          <w:right w:w="0" w:type="dxa"/>
        </w:tblCellMar>
        <w:tblLook w:val="01E0"/>
      </w:tblPr>
      <w:tblGrid>
        <w:gridCol w:w="2842"/>
        <w:gridCol w:w="1843"/>
        <w:gridCol w:w="1582"/>
        <w:gridCol w:w="1397"/>
        <w:gridCol w:w="1579"/>
      </w:tblGrid>
      <w:tr>
        <w:trPr>
          <w:trHeight w:val="562"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84"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7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41"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13" w:right="0" w:firstLine="52"/>
              <w:jc w:val="left"/>
              <w:rPr>
                <w:rFonts w:ascii="宋体" w:hAnsi="宋体" w:cs="宋体" w:eastAsia="宋体" w:hint="default"/>
                <w:sz w:val="21"/>
                <w:szCs w:val="21"/>
              </w:rPr>
            </w:pPr>
            <w:r>
              <w:rPr>
                <w:rFonts w:ascii="宋体" w:hAnsi="宋体" w:cs="宋体" w:eastAsia="宋体" w:hint="default"/>
                <w:sz w:val="21"/>
                <w:szCs w:val="21"/>
              </w:rPr>
              <w:t>本期比上年</w:t>
            </w:r>
          </w:p>
          <w:p>
            <w:pPr>
              <w:pStyle w:val="TableParagraph"/>
              <w:spacing w:line="273" w:lineRule="exact"/>
              <w:ind w:left="113" w:right="0"/>
              <w:jc w:val="left"/>
              <w:rPr>
                <w:rFonts w:ascii="宋体" w:hAnsi="宋体" w:cs="宋体" w:eastAsia="宋体" w:hint="default"/>
                <w:sz w:val="21"/>
                <w:szCs w:val="21"/>
              </w:rPr>
            </w:pPr>
            <w:r>
              <w:rPr>
                <w:rFonts w:ascii="宋体" w:hAnsi="宋体" w:cs="宋体" w:eastAsia="宋体" w:hint="default"/>
                <w:sz w:val="21"/>
                <w:szCs w:val="21"/>
              </w:rPr>
              <w:t>同期增减</w:t>
            </w:r>
            <w:r>
              <w:rPr>
                <w:rFonts w:ascii="宋体" w:hAnsi="宋体" w:cs="宋体" w:eastAsia="宋体" w:hint="default"/>
                <w:sz w:val="21"/>
                <w:szCs w:val="21"/>
              </w:rPr>
              <w:t>(%)</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39"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286"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营业总收入</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4,235,210,610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4,122,161,666</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2.7</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2,978,826,039</w:t>
            </w:r>
          </w:p>
        </w:tc>
      </w:tr>
      <w:tr>
        <w:trPr>
          <w:trHeight w:val="288"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156,560,099</w:t>
            </w:r>
            <w:r>
              <w:rPr>
                <w:rFonts w:ascii="宋体"/>
                <w:sz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310,055,512</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-49.5</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113,142,306</w:t>
            </w:r>
          </w:p>
        </w:tc>
      </w:tr>
      <w:tr>
        <w:trPr>
          <w:trHeight w:val="288"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441,034,267</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605,905,956</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-27.2</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347,684,467</w:t>
            </w:r>
          </w:p>
        </w:tc>
      </w:tr>
      <w:tr>
        <w:trPr>
          <w:trHeight w:val="559"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379,601,971</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7"/>
              <w:jc w:val="right"/>
              <w:rPr>
                <w:rFonts w:ascii="宋体" w:hAnsi="宋体" w:cs="宋体" w:eastAsia="宋体" w:hint="default"/>
                <w:sz w:val="21"/>
                <w:szCs w:val="21"/>
              </w:rPr>
            </w:pPr>
            <w:r>
              <w:rPr>
                <w:rFonts w:ascii="宋体"/>
                <w:spacing w:val="-1"/>
                <w:sz w:val="21"/>
              </w:rPr>
              <w:t>536,784,549</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-29.3</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宋体" w:hAnsi="宋体" w:cs="宋体" w:eastAsia="宋体" w:hint="default"/>
                <w:sz w:val="21"/>
                <w:szCs w:val="21"/>
              </w:rPr>
            </w:pPr>
            <w:r>
              <w:rPr>
                <w:rFonts w:ascii="宋体"/>
                <w:spacing w:val="-1"/>
                <w:sz w:val="21"/>
              </w:rPr>
              <w:t>332,031,113</w:t>
            </w:r>
          </w:p>
        </w:tc>
      </w:tr>
      <w:tr>
        <w:trPr>
          <w:trHeight w:val="559"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非经常性损益的净利润</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347,811,902</w:t>
            </w:r>
            <w:r>
              <w:rPr>
                <w:rFonts w:ascii="宋体"/>
                <w:sz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492,294,515</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-29.3</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286,366,807</w:t>
            </w:r>
          </w:p>
        </w:tc>
      </w:tr>
      <w:tr>
        <w:trPr>
          <w:trHeight w:val="833"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w:t>
            </w:r>
          </w:p>
          <w:p>
            <w:pPr>
              <w:pStyle w:val="TableParagraph"/>
              <w:spacing w:line="272" w:lineRule="exact" w:before="27"/>
              <w:ind w:left="100" w:right="201"/>
              <w:jc w:val="left"/>
              <w:rPr>
                <w:rFonts w:ascii="宋体" w:hAnsi="宋体" w:cs="宋体" w:eastAsia="宋体" w:hint="default"/>
                <w:sz w:val="21"/>
                <w:szCs w:val="21"/>
              </w:rPr>
            </w:pPr>
            <w:r>
              <w:rPr>
                <w:rFonts w:ascii="宋体" w:hAnsi="宋体" w:cs="宋体" w:eastAsia="宋体" w:hint="default"/>
                <w:spacing w:val="-2"/>
                <w:sz w:val="21"/>
                <w:szCs w:val="21"/>
              </w:rPr>
              <w:t>非经常性损益和股权激励成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本的净利润</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338,934,273</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7"/>
              <w:jc w:val="right"/>
              <w:rPr>
                <w:rFonts w:ascii="宋体" w:hAnsi="宋体" w:cs="宋体" w:eastAsia="宋体" w:hint="default"/>
                <w:sz w:val="21"/>
                <w:szCs w:val="21"/>
              </w:rPr>
            </w:pPr>
            <w:r>
              <w:rPr>
                <w:rFonts w:ascii="宋体"/>
                <w:spacing w:val="-1"/>
                <w:sz w:val="21"/>
              </w:rPr>
              <w:t>523,294,202</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-35.2</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301,169,963</w:t>
            </w:r>
          </w:p>
        </w:tc>
      </w:tr>
      <w:tr>
        <w:trPr>
          <w:trHeight w:val="559"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498,651,913</w:t>
            </w:r>
            <w:r>
              <w:rPr>
                <w:rFonts w:ascii="宋体"/>
                <w:sz w:val="21"/>
              </w:rPr>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471,621,829</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5.7</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489,378,293</w:t>
            </w:r>
          </w:p>
        </w:tc>
      </w:tr>
      <w:tr>
        <w:trPr>
          <w:trHeight w:val="833" w:hRule="exact"/>
        </w:trPr>
        <w:tc>
          <w:tcPr>
            <w:tcW w:w="2842"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67"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36"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hAnsi="宋体" w:cs="宋体" w:eastAsia="宋体" w:hint="default"/>
                <w:sz w:val="21"/>
                <w:szCs w:val="21"/>
              </w:rPr>
              <w:t>本期末比上</w:t>
            </w:r>
          </w:p>
          <w:p>
            <w:pPr>
              <w:pStyle w:val="TableParagraph"/>
              <w:spacing w:line="272" w:lineRule="exact" w:before="27"/>
              <w:ind w:left="427" w:right="160" w:hanging="262"/>
              <w:jc w:val="left"/>
              <w:rPr>
                <w:rFonts w:ascii="宋体" w:hAnsi="宋体" w:cs="宋体" w:eastAsia="宋体" w:hint="default"/>
                <w:sz w:val="21"/>
                <w:szCs w:val="21"/>
              </w:rPr>
            </w:pPr>
            <w:r>
              <w:rPr>
                <w:rFonts w:ascii="宋体" w:hAnsi="宋体" w:cs="宋体" w:eastAsia="宋体" w:hint="default"/>
                <w:sz w:val="21"/>
                <w:szCs w:val="21"/>
              </w:rPr>
              <w:t>年同期末增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r>
              <w:rPr>
                <w:rFonts w:ascii="宋体" w:hAnsi="宋体" w:cs="宋体" w:eastAsia="宋体" w:hint="default"/>
                <w:sz w:val="21"/>
                <w:szCs w:val="21"/>
              </w:rPr>
              <w:t>(%)</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34"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年末</w:t>
            </w:r>
          </w:p>
        </w:tc>
      </w:tr>
      <w:tr>
        <w:trPr>
          <w:trHeight w:val="286"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6,156,291,272</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5,461,679,188</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12.7</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4,765,924,161</w:t>
            </w:r>
          </w:p>
        </w:tc>
      </w:tr>
      <w:tr>
        <w:trPr>
          <w:trHeight w:val="288"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3,082,808,550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2,434,556,430</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26.6</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2,200,117,607</w:t>
            </w:r>
          </w:p>
        </w:tc>
      </w:tr>
      <w:tr>
        <w:trPr>
          <w:trHeight w:val="559"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归属于上市公司股东的所有</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者权益</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2,993,568,597</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2,955,558,863</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1.3</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2,525,994,897</w:t>
            </w:r>
          </w:p>
        </w:tc>
      </w:tr>
      <w:tr>
        <w:trPr>
          <w:trHeight w:val="288" w:hRule="exact"/>
        </w:trPr>
        <w:tc>
          <w:tcPr>
            <w:tcW w:w="284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总股本</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979,084,040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815,903,367</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20.0</w:t>
            </w:r>
          </w:p>
        </w:tc>
        <w:tc>
          <w:tcPr>
            <w:tcW w:w="157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816,131,907</w:t>
            </w:r>
          </w:p>
        </w:tc>
      </w:tr>
    </w:tbl>
    <w:p>
      <w:pPr>
        <w:spacing w:line="240" w:lineRule="auto" w:before="0"/>
        <w:rPr>
          <w:rFonts w:ascii="宋体" w:hAnsi="宋体" w:cs="宋体" w:eastAsia="宋体" w:hint="default"/>
          <w:sz w:val="16"/>
          <w:szCs w:val="16"/>
        </w:rPr>
      </w:pPr>
    </w:p>
    <w:p>
      <w:pPr>
        <w:pStyle w:val="Heading2"/>
        <w:spacing w:line="240" w:lineRule="auto" w:before="26"/>
        <w:ind w:left="704" w:right="0"/>
        <w:jc w:val="left"/>
        <w:rPr>
          <w:b w:val="0"/>
          <w:bCs w:val="0"/>
        </w:rPr>
      </w:pPr>
      <w:r>
        <w:rPr>
          <w:rFonts w:ascii="宋体" w:hAnsi="宋体" w:cs="宋体" w:eastAsia="宋体" w:hint="default"/>
        </w:rPr>
        <w:t>(</w:t>
      </w:r>
      <w:r>
        <w:rPr/>
        <w:t>二</w:t>
      </w:r>
      <w:r>
        <w:rPr>
          <w:rFonts w:ascii="宋体" w:hAnsi="宋体" w:cs="宋体" w:eastAsia="宋体" w:hint="default"/>
        </w:rPr>
        <w:t>)</w:t>
      </w:r>
      <w:r>
        <w:rPr/>
        <w:t>主要财务数据</w:t>
      </w:r>
      <w:r>
        <w:rPr>
          <w:b w:val="0"/>
          <w:bCs w:val="0"/>
        </w:rPr>
      </w:r>
    </w:p>
    <w:p>
      <w:pPr>
        <w:spacing w:line="240" w:lineRule="auto" w:before="10"/>
        <w:rPr>
          <w:rFonts w:ascii="宋体" w:hAnsi="宋体" w:cs="宋体" w:eastAsia="宋体" w:hint="default"/>
          <w:b/>
          <w:bCs/>
          <w:sz w:val="17"/>
          <w:szCs w:val="17"/>
        </w:rPr>
      </w:pPr>
    </w:p>
    <w:tbl>
      <w:tblPr>
        <w:tblW w:w="0" w:type="auto"/>
        <w:jc w:val="left"/>
        <w:tblInd w:w="123" w:type="dxa"/>
        <w:tblLayout w:type="fixed"/>
        <w:tblCellMar>
          <w:top w:w="0" w:type="dxa"/>
          <w:left w:w="0" w:type="dxa"/>
          <w:bottom w:w="0" w:type="dxa"/>
          <w:right w:w="0" w:type="dxa"/>
        </w:tblCellMar>
        <w:tblLook w:val="01E0"/>
      </w:tblPr>
      <w:tblGrid>
        <w:gridCol w:w="2702"/>
        <w:gridCol w:w="1416"/>
        <w:gridCol w:w="1560"/>
        <w:gridCol w:w="1985"/>
        <w:gridCol w:w="1699"/>
      </w:tblGrid>
      <w:tr>
        <w:trPr>
          <w:trHeight w:val="559" w:hRule="exact"/>
        </w:trPr>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12" w:right="0"/>
              <w:jc w:val="left"/>
              <w:rPr>
                <w:rFonts w:ascii="宋体" w:hAnsi="宋体" w:cs="宋体" w:eastAsia="宋体" w:hint="default"/>
                <w:sz w:val="21"/>
                <w:szCs w:val="21"/>
              </w:rPr>
            </w:pPr>
            <w:r>
              <w:rPr>
                <w:rFonts w:ascii="宋体" w:hAnsi="宋体" w:cs="宋体" w:eastAsia="宋体" w:hint="default"/>
                <w:sz w:val="21"/>
                <w:szCs w:val="21"/>
              </w:rPr>
              <w:t>主要财务指标</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本期比上年同期增</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288" w:hRule="exact"/>
        </w:trPr>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0.39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0.55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-29.1</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0.34</w:t>
            </w:r>
          </w:p>
        </w:tc>
      </w:tr>
      <w:tr>
        <w:trPr>
          <w:trHeight w:val="288" w:hRule="exact"/>
        </w:trPr>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0.39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0.55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-29.1</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0.34</w:t>
            </w:r>
          </w:p>
        </w:tc>
      </w:tr>
      <w:tr>
        <w:trPr>
          <w:trHeight w:val="559" w:hRule="exact"/>
        </w:trPr>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用最新股本计算的每股收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益（元</w:t>
            </w:r>
            <w:r>
              <w:rPr>
                <w:rFonts w:ascii="宋体" w:hAnsi="宋体" w:cs="宋体" w:eastAsia="宋体" w:hint="default"/>
                <w:sz w:val="21"/>
                <w:szCs w:val="21"/>
              </w:rPr>
              <w:t>/</w:t>
            </w:r>
            <w:r>
              <w:rPr>
                <w:rFonts w:ascii="宋体" w:hAnsi="宋体" w:cs="宋体" w:eastAsia="宋体" w:hint="default"/>
                <w:sz w:val="21"/>
                <w:szCs w:val="21"/>
              </w:rPr>
              <w:t>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0.39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0.55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-29.1</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0.34</w:t>
            </w:r>
          </w:p>
        </w:tc>
      </w:tr>
      <w:tr>
        <w:trPr>
          <w:trHeight w:val="559" w:hRule="exact"/>
        </w:trPr>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扣除非经常性损益后的基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本每股收益（元／股）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0.36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0.50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-28.0</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0.29</w:t>
            </w:r>
          </w:p>
        </w:tc>
      </w:tr>
      <w:tr>
        <w:trPr>
          <w:trHeight w:val="833" w:hRule="exact"/>
        </w:trPr>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扣除非经常性损益和股权</w:t>
            </w:r>
          </w:p>
          <w:p>
            <w:pPr>
              <w:pStyle w:val="TableParagraph"/>
              <w:spacing w:line="272" w:lineRule="exact" w:before="27"/>
              <w:ind w:left="100" w:right="271"/>
              <w:jc w:val="left"/>
              <w:rPr>
                <w:rFonts w:ascii="宋体" w:hAnsi="宋体" w:cs="宋体" w:eastAsia="宋体" w:hint="default"/>
                <w:sz w:val="21"/>
                <w:szCs w:val="21"/>
              </w:rPr>
            </w:pPr>
            <w:r>
              <w:rPr>
                <w:rFonts w:ascii="宋体" w:hAnsi="宋体" w:cs="宋体" w:eastAsia="宋体" w:hint="default"/>
                <w:sz w:val="21"/>
                <w:szCs w:val="21"/>
              </w:rPr>
              <w:t>激励成本后的基本每股收</w:t>
            </w:r>
            <w:r>
              <w:rPr>
                <w:rFonts w:ascii="宋体" w:hAnsi="宋体" w:cs="宋体" w:eastAsia="宋体" w:hint="default"/>
                <w:w w:val="100"/>
                <w:sz w:val="21"/>
                <w:szCs w:val="21"/>
              </w:rPr>
              <w:t> </w:t>
            </w:r>
            <w:r>
              <w:rPr>
                <w:rFonts w:ascii="宋体" w:hAnsi="宋体" w:cs="宋体" w:eastAsia="宋体" w:hint="default"/>
                <w:sz w:val="21"/>
                <w:szCs w:val="21"/>
              </w:rPr>
              <w:t>益（元／股）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2"/>
              <w:jc w:val="center"/>
              <w:rPr>
                <w:rFonts w:ascii="宋体" w:hAnsi="宋体" w:cs="宋体" w:eastAsia="宋体" w:hint="default"/>
                <w:sz w:val="21"/>
                <w:szCs w:val="21"/>
              </w:rPr>
            </w:pPr>
            <w:r>
              <w:rPr>
                <w:rFonts w:ascii="宋体"/>
                <w:sz w:val="21"/>
              </w:rPr>
              <w:t>0.35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0.53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-34.0</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0.31</w:t>
            </w:r>
          </w:p>
        </w:tc>
      </w:tr>
      <w:tr>
        <w:trPr>
          <w:trHeight w:val="286" w:hRule="exact"/>
        </w:trPr>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pacing w:val="-4"/>
                <w:sz w:val="21"/>
                <w:szCs w:val="21"/>
              </w:rPr>
              <w:t>加权平均净资产收益率（</w:t>
            </w:r>
            <w:r>
              <w:rPr>
                <w:rFonts w:ascii="宋体" w:hAnsi="宋体" w:cs="宋体" w:eastAsia="宋体" w:hint="default"/>
                <w:spacing w:val="-4"/>
                <w:sz w:val="21"/>
                <w:szCs w:val="21"/>
              </w:rPr>
              <w:t>%</w:t>
            </w:r>
            <w:r>
              <w:rPr>
                <w:rFonts w:ascii="宋体" w:hAnsi="宋体" w:cs="宋体" w:eastAsia="宋体" w:hint="default"/>
                <w:spacing w:val="-4"/>
                <w:sz w:val="21"/>
                <w:szCs w:val="21"/>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12.91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19.82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降低</w:t>
            </w:r>
            <w:r>
              <w:rPr>
                <w:rFonts w:ascii="宋体" w:hAnsi="宋体" w:cs="宋体" w:eastAsia="宋体" w:hint="default"/>
                <w:spacing w:val="-49"/>
                <w:sz w:val="21"/>
                <w:szCs w:val="21"/>
              </w:rPr>
              <w:t> </w:t>
            </w:r>
            <w:r>
              <w:rPr>
                <w:rFonts w:ascii="宋体" w:hAnsi="宋体" w:cs="宋体" w:eastAsia="宋体" w:hint="default"/>
                <w:sz w:val="21"/>
                <w:szCs w:val="21"/>
              </w:rPr>
              <w:t>6.9</w:t>
            </w:r>
            <w:r>
              <w:rPr>
                <w:rFonts w:ascii="宋体" w:hAnsi="宋体" w:cs="宋体" w:eastAsia="宋体" w:hint="default"/>
                <w:spacing w:val="-49"/>
                <w:sz w:val="21"/>
                <w:szCs w:val="21"/>
              </w:rPr>
              <w:t> </w:t>
            </w:r>
            <w:r>
              <w:rPr>
                <w:rFonts w:ascii="宋体" w:hAnsi="宋体" w:cs="宋体" w:eastAsia="宋体" w:hint="default"/>
                <w:spacing w:val="-3"/>
                <w:sz w:val="21"/>
                <w:szCs w:val="21"/>
              </w:rPr>
              <w:t>个百分点</w:t>
            </w:r>
            <w:r>
              <w:rPr>
                <w:rFonts w:ascii="宋体" w:hAnsi="宋体" w:cs="宋体" w:eastAsia="宋体" w:hint="default"/>
                <w:sz w:val="21"/>
                <w:szCs w:val="21"/>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14.89</w:t>
            </w:r>
          </w:p>
        </w:tc>
      </w:tr>
      <w:tr>
        <w:trPr>
          <w:trHeight w:val="562" w:hRule="exact"/>
        </w:trPr>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扣除非经常性损益后的加</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权平均净资产收益率（</w:t>
            </w:r>
            <w:r>
              <w:rPr>
                <w:rFonts w:ascii="宋体" w:hAnsi="宋体" w:cs="宋体" w:eastAsia="宋体" w:hint="default"/>
                <w:sz w:val="21"/>
                <w:szCs w:val="21"/>
              </w:rPr>
              <w:t>%</w:t>
            </w:r>
            <w:r>
              <w:rPr>
                <w:rFonts w:ascii="宋体" w:hAnsi="宋体" w:cs="宋体" w:eastAsia="宋体" w:hint="default"/>
                <w:sz w:val="21"/>
                <w:szCs w:val="21"/>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11.83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18.18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4"/>
              <w:jc w:val="center"/>
              <w:rPr>
                <w:rFonts w:ascii="宋体" w:hAnsi="宋体" w:cs="宋体" w:eastAsia="宋体" w:hint="default"/>
                <w:sz w:val="21"/>
                <w:szCs w:val="21"/>
              </w:rPr>
            </w:pPr>
            <w:r>
              <w:rPr>
                <w:rFonts w:ascii="宋体" w:hAnsi="宋体" w:cs="宋体" w:eastAsia="宋体" w:hint="default"/>
                <w:sz w:val="21"/>
                <w:szCs w:val="21"/>
              </w:rPr>
              <w:t>降低</w:t>
            </w:r>
            <w:r>
              <w:rPr>
                <w:rFonts w:ascii="宋体" w:hAnsi="宋体" w:cs="宋体" w:eastAsia="宋体" w:hint="default"/>
                <w:spacing w:val="-49"/>
                <w:sz w:val="21"/>
                <w:szCs w:val="21"/>
              </w:rPr>
              <w:t> </w:t>
            </w:r>
            <w:r>
              <w:rPr>
                <w:rFonts w:ascii="宋体" w:hAnsi="宋体" w:cs="宋体" w:eastAsia="宋体" w:hint="default"/>
                <w:sz w:val="21"/>
                <w:szCs w:val="21"/>
              </w:rPr>
              <w:t>6.4</w:t>
            </w:r>
            <w:r>
              <w:rPr>
                <w:rFonts w:ascii="宋体" w:hAnsi="宋体" w:cs="宋体" w:eastAsia="宋体" w:hint="default"/>
                <w:spacing w:val="-49"/>
                <w:sz w:val="21"/>
                <w:szCs w:val="21"/>
              </w:rPr>
              <w:t> </w:t>
            </w:r>
            <w:r>
              <w:rPr>
                <w:rFonts w:ascii="宋体" w:hAnsi="宋体" w:cs="宋体" w:eastAsia="宋体" w:hint="default"/>
                <w:spacing w:val="-3"/>
                <w:sz w:val="21"/>
                <w:szCs w:val="21"/>
              </w:rPr>
              <w:t>个百分点</w:t>
            </w:r>
            <w:r>
              <w:rPr>
                <w:rFonts w:ascii="宋体" w:hAnsi="宋体" w:cs="宋体" w:eastAsia="宋体" w:hint="default"/>
                <w:sz w:val="21"/>
                <w:szCs w:val="21"/>
              </w:rPr>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12.84</w:t>
            </w:r>
          </w:p>
        </w:tc>
      </w:tr>
      <w:tr>
        <w:trPr>
          <w:trHeight w:val="559" w:hRule="exact"/>
        </w:trPr>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每股经营活动产生的现金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流量净额（元／股）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0.51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0.48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6.3</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0.5</w:t>
            </w:r>
          </w:p>
        </w:tc>
      </w:tr>
    </w:tbl>
    <w:p>
      <w:pPr>
        <w:spacing w:after="0" w:line="240" w:lineRule="auto"/>
        <w:jc w:val="center"/>
        <w:rPr>
          <w:rFonts w:ascii="宋体" w:hAnsi="宋体" w:cs="宋体" w:eastAsia="宋体" w:hint="default"/>
          <w:sz w:val="21"/>
          <w:szCs w:val="21"/>
        </w:rPr>
        <w:sectPr>
          <w:pgSz w:w="11910" w:h="16850"/>
          <w:pgMar w:header="752" w:footer="730" w:top="1020" w:bottom="920" w:left="1280" w:right="100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1"/>
          <w:szCs w:val="11"/>
        </w:rPr>
      </w:pPr>
    </w:p>
    <w:tbl>
      <w:tblPr>
        <w:tblW w:w="0" w:type="auto"/>
        <w:jc w:val="left"/>
        <w:tblInd w:w="123" w:type="dxa"/>
        <w:tblLayout w:type="fixed"/>
        <w:tblCellMar>
          <w:top w:w="0" w:type="dxa"/>
          <w:left w:w="0" w:type="dxa"/>
          <w:bottom w:w="0" w:type="dxa"/>
          <w:right w:w="0" w:type="dxa"/>
        </w:tblCellMar>
        <w:tblLook w:val="01E0"/>
      </w:tblPr>
      <w:tblGrid>
        <w:gridCol w:w="2702"/>
        <w:gridCol w:w="1416"/>
        <w:gridCol w:w="1560"/>
        <w:gridCol w:w="1985"/>
        <w:gridCol w:w="1699"/>
      </w:tblGrid>
      <w:tr>
        <w:trPr>
          <w:trHeight w:val="559" w:hRule="exact"/>
        </w:trPr>
        <w:tc>
          <w:tcPr>
            <w:tcW w:w="2702"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本期末比上年同期</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末增减</w:t>
            </w:r>
            <w:r>
              <w:rPr>
                <w:rFonts w:ascii="宋体" w:hAnsi="宋体" w:cs="宋体" w:eastAsia="宋体" w:hint="default"/>
                <w:sz w:val="21"/>
                <w:szCs w:val="21"/>
              </w:rPr>
              <w:t>(%)</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年末</w:t>
            </w:r>
          </w:p>
        </w:tc>
      </w:tr>
      <w:tr>
        <w:trPr>
          <w:trHeight w:val="559" w:hRule="exact"/>
        </w:trPr>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归属于上市公司股东的每</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股净资产（元／股）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3.06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3.02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1.3</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2.58</w:t>
            </w:r>
          </w:p>
        </w:tc>
      </w:tr>
      <w:tr>
        <w:trPr>
          <w:trHeight w:val="562" w:hRule="exact"/>
        </w:trPr>
        <w:tc>
          <w:tcPr>
            <w:tcW w:w="2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宋体" w:hAnsi="宋体" w:cs="宋体" w:eastAsia="宋体" w:hint="default"/>
                <w:sz w:val="21"/>
                <w:szCs w:val="21"/>
              </w:rPr>
              <w:t>%</w:t>
            </w:r>
            <w:r>
              <w:rPr>
                <w:rFonts w:ascii="宋体" w:hAnsi="宋体" w:cs="宋体" w:eastAsia="宋体" w:hint="default"/>
                <w:sz w:val="21"/>
                <w:szCs w:val="21"/>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50.1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44.6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上升了</w:t>
            </w:r>
            <w:r>
              <w:rPr>
                <w:rFonts w:ascii="宋体" w:hAnsi="宋体" w:cs="宋体" w:eastAsia="宋体" w:hint="default"/>
                <w:spacing w:val="-53"/>
                <w:sz w:val="21"/>
                <w:szCs w:val="21"/>
              </w:rPr>
              <w:t> </w:t>
            </w:r>
            <w:r>
              <w:rPr>
                <w:rFonts w:ascii="宋体" w:hAnsi="宋体" w:cs="宋体" w:eastAsia="宋体" w:hint="default"/>
                <w:sz w:val="21"/>
                <w:szCs w:val="21"/>
              </w:rPr>
              <w:t>5.5</w:t>
            </w:r>
            <w:r>
              <w:rPr>
                <w:rFonts w:ascii="宋体" w:hAnsi="宋体" w:cs="宋体" w:eastAsia="宋体" w:hint="default"/>
                <w:spacing w:val="-55"/>
                <w:sz w:val="21"/>
                <w:szCs w:val="21"/>
              </w:rPr>
              <w:t> </w:t>
            </w:r>
            <w:r>
              <w:rPr>
                <w:rFonts w:ascii="宋体" w:hAnsi="宋体" w:cs="宋体" w:eastAsia="宋体" w:hint="default"/>
                <w:sz w:val="21"/>
                <w:szCs w:val="21"/>
              </w:rPr>
              <w:t>个百分</w:t>
            </w:r>
          </w:p>
          <w:p>
            <w:pPr>
              <w:pStyle w:val="TableParagraph"/>
              <w:spacing w:line="273" w:lineRule="exact"/>
              <w:ind w:right="4"/>
              <w:jc w:val="center"/>
              <w:rPr>
                <w:rFonts w:ascii="宋体" w:hAnsi="宋体" w:cs="宋体" w:eastAsia="宋体" w:hint="default"/>
                <w:sz w:val="21"/>
                <w:szCs w:val="21"/>
              </w:rPr>
            </w:pPr>
            <w:r>
              <w:rPr>
                <w:rFonts w:ascii="宋体" w:hAnsi="宋体" w:cs="宋体" w:eastAsia="宋体" w:hint="default"/>
                <w:w w:val="100"/>
                <w:sz w:val="21"/>
                <w:szCs w:val="21"/>
              </w:rPr>
              <w:t>点</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46.16</w:t>
            </w:r>
          </w:p>
        </w:tc>
      </w:tr>
    </w:tbl>
    <w:p>
      <w:pPr>
        <w:pStyle w:val="Heading3"/>
        <w:spacing w:line="297" w:lineRule="auto" w:before="82"/>
        <w:ind w:right="306" w:firstLine="480"/>
        <w:jc w:val="both"/>
      </w:pPr>
      <w:r>
        <w:rPr/>
        <w:t>注：基本每股收益、稀释每股收益、每股经营活动产生的现金流量净额和归属于上 市公司股东的每股净资产以报告期加权平均股本为基数计算，本报告期加权平均股数为 </w:t>
      </w:r>
      <w:r>
        <w:rPr>
          <w:rFonts w:ascii="宋体" w:hAnsi="宋体" w:cs="宋体" w:eastAsia="宋体" w:hint="default"/>
        </w:rPr>
        <w:t>979,084,040</w:t>
      </w:r>
      <w:r>
        <w:rPr>
          <w:rFonts w:ascii="宋体" w:hAnsi="宋体" w:cs="宋体" w:eastAsia="宋体" w:hint="default"/>
          <w:spacing w:val="-60"/>
        </w:rPr>
        <w:t> </w:t>
      </w:r>
      <w:r>
        <w:rPr/>
        <w:t>股，</w:t>
      </w:r>
      <w:r>
        <w:rPr>
          <w:rFonts w:ascii="宋体" w:hAnsi="宋体" w:cs="宋体" w:eastAsia="宋体" w:hint="default"/>
        </w:rPr>
        <w:t>2011</w:t>
      </w:r>
      <w:r>
        <w:rPr>
          <w:rFonts w:ascii="宋体" w:hAnsi="宋体" w:cs="宋体" w:eastAsia="宋体" w:hint="default"/>
          <w:spacing w:val="-60"/>
        </w:rPr>
        <w:t> </w:t>
      </w:r>
      <w:r>
        <w:rPr/>
        <w:t>年调整后的加权平均股数为</w:t>
      </w:r>
      <w:r>
        <w:rPr>
          <w:spacing w:val="-60"/>
        </w:rPr>
        <w:t> </w:t>
      </w:r>
      <w:r>
        <w:rPr>
          <w:rFonts w:ascii="宋体" w:hAnsi="宋体" w:cs="宋体" w:eastAsia="宋体" w:hint="default"/>
        </w:rPr>
        <w:t>979,226,437</w:t>
      </w:r>
      <w:r>
        <w:rPr>
          <w:rFonts w:ascii="宋体" w:hAnsi="宋体" w:cs="宋体" w:eastAsia="宋体" w:hint="default"/>
          <w:spacing w:val="-60"/>
        </w:rPr>
        <w:t> </w:t>
      </w:r>
      <w:r>
        <w:rPr/>
        <w:t>股，</w:t>
      </w:r>
      <w:r>
        <w:rPr>
          <w:rFonts w:ascii="宋体" w:hAnsi="宋体" w:cs="宋体" w:eastAsia="宋体" w:hint="default"/>
        </w:rPr>
        <w:t>2010</w:t>
      </w:r>
      <w:r>
        <w:rPr>
          <w:rFonts w:ascii="宋体" w:hAnsi="宋体" w:cs="宋体" w:eastAsia="宋体" w:hint="default"/>
          <w:spacing w:val="-60"/>
        </w:rPr>
        <w:t> </w:t>
      </w:r>
      <w:r>
        <w:rPr/>
        <w:t>年调整后的加</w:t>
      </w:r>
    </w:p>
    <w:p>
      <w:pPr>
        <w:pStyle w:val="Heading3"/>
        <w:spacing w:line="240" w:lineRule="auto" w:before="17"/>
        <w:ind w:right="0"/>
        <w:jc w:val="left"/>
      </w:pPr>
      <w:r>
        <w:rPr/>
        <w:t>权平均股数为</w:t>
      </w:r>
      <w:r>
        <w:rPr>
          <w:spacing w:val="-60"/>
        </w:rPr>
        <w:t> </w:t>
      </w:r>
      <w:r>
        <w:rPr>
          <w:rFonts w:ascii="宋体" w:hAnsi="宋体" w:cs="宋体" w:eastAsia="宋体" w:hint="default"/>
        </w:rPr>
        <w:t>979,420,056</w:t>
      </w:r>
      <w:r>
        <w:rPr>
          <w:rFonts w:ascii="宋体" w:hAnsi="宋体" w:cs="宋体" w:eastAsia="宋体" w:hint="default"/>
          <w:spacing w:val="-60"/>
        </w:rPr>
        <w:t> </w:t>
      </w:r>
      <w:r>
        <w:rPr/>
        <w:t>股。</w:t>
      </w:r>
    </w:p>
    <w:p>
      <w:pPr>
        <w:spacing w:line="240" w:lineRule="auto" w:before="10"/>
        <w:rPr>
          <w:rFonts w:ascii="宋体" w:hAnsi="宋体" w:cs="宋体" w:eastAsia="宋体" w:hint="default"/>
          <w:sz w:val="35"/>
          <w:szCs w:val="35"/>
        </w:rPr>
      </w:pPr>
    </w:p>
    <w:p>
      <w:pPr>
        <w:pStyle w:val="Heading2"/>
        <w:spacing w:line="240" w:lineRule="auto"/>
        <w:ind w:right="0"/>
        <w:jc w:val="left"/>
        <w:rPr>
          <w:b w:val="0"/>
          <w:bCs w:val="0"/>
        </w:rPr>
      </w:pPr>
      <w:r>
        <w:rPr/>
        <w:t>二、非经常性损益项目和金额</w:t>
      </w:r>
      <w:r>
        <w:rPr>
          <w:b w:val="0"/>
          <w:bCs w:val="0"/>
        </w:rPr>
      </w:r>
    </w:p>
    <w:p>
      <w:pPr>
        <w:pStyle w:val="Heading5"/>
        <w:spacing w:line="240" w:lineRule="auto" w:before="198"/>
        <w:ind w:right="298"/>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26"/>
        <w:gridCol w:w="2177"/>
        <w:gridCol w:w="1985"/>
        <w:gridCol w:w="1843"/>
      </w:tblGrid>
      <w:tr>
        <w:trPr>
          <w:trHeight w:val="283"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年金额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年金额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5"/>
                <w:sz w:val="21"/>
                <w:szCs w:val="21"/>
              </w:rPr>
              <w:t> </w:t>
            </w:r>
            <w:r>
              <w:rPr>
                <w:rFonts w:ascii="宋体" w:hAnsi="宋体" w:cs="宋体" w:eastAsia="宋体" w:hint="default"/>
                <w:sz w:val="21"/>
                <w:szCs w:val="21"/>
              </w:rPr>
              <w:t>年金额</w:t>
            </w:r>
          </w:p>
        </w:tc>
      </w:tr>
      <w:tr>
        <w:trPr>
          <w:trHeight w:val="283"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-366,001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spacing w:val="-1"/>
                <w:sz w:val="21"/>
              </w:rPr>
              <w:t>462,527</w:t>
            </w:r>
            <w:r>
              <w:rPr>
                <w:rFonts w:ascii="宋体"/>
                <w:sz w:val="21"/>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1,059,441</w:t>
            </w:r>
          </w:p>
        </w:tc>
      </w:tr>
      <w:tr>
        <w:trPr>
          <w:trHeight w:val="1370"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计入当期损益的政府补助，但与</w:t>
            </w:r>
          </w:p>
          <w:p>
            <w:pPr>
              <w:pStyle w:val="TableParagraph"/>
              <w:spacing w:line="237" w:lineRule="auto"/>
              <w:ind w:left="103" w:right="165"/>
              <w:jc w:val="both"/>
              <w:rPr>
                <w:rFonts w:ascii="宋体" w:hAnsi="宋体" w:cs="宋体" w:eastAsia="宋体" w:hint="default"/>
                <w:sz w:val="21"/>
                <w:szCs w:val="21"/>
              </w:rPr>
            </w:pPr>
            <w:r>
              <w:rPr>
                <w:rFonts w:ascii="宋体" w:hAnsi="宋体" w:cs="宋体" w:eastAsia="宋体" w:hint="default"/>
                <w:spacing w:val="-2"/>
                <w:sz w:val="21"/>
                <w:szCs w:val="21"/>
              </w:rPr>
              <w:t>公司正常经营业务密切相关，符</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合国家政策规定、按照一定标准</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定额或定量持续享受的政府补助</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除外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35,693,305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48,162,007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44,346,663</w:t>
            </w:r>
          </w:p>
        </w:tc>
      </w:tr>
      <w:tr>
        <w:trPr>
          <w:trHeight w:val="554"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入和支出</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740,911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1,615,284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-278,107</w:t>
            </w:r>
          </w:p>
        </w:tc>
      </w:tr>
      <w:tr>
        <w:trPr>
          <w:trHeight w:val="554"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益项目</w:t>
            </w:r>
          </w:p>
        </w:tc>
        <w:tc>
          <w:tcPr>
            <w:tcW w:w="2177"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5,746,058</w:t>
            </w:r>
          </w:p>
        </w:tc>
      </w:tr>
      <w:tr>
        <w:trPr>
          <w:trHeight w:val="283"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-4,278,146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-5,749,784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-5,209,749</w:t>
            </w:r>
          </w:p>
        </w:tc>
      </w:tr>
      <w:tr>
        <w:trPr>
          <w:trHeight w:val="283" w:hRule="exact"/>
        </w:trPr>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31,790,069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44,490,034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45,664,306</w:t>
            </w:r>
          </w:p>
        </w:tc>
      </w:tr>
    </w:tbl>
    <w:p>
      <w:pPr>
        <w:pStyle w:val="Heading3"/>
        <w:spacing w:line="240" w:lineRule="auto" w:before="82"/>
        <w:ind w:left="618" w:right="0"/>
        <w:jc w:val="left"/>
      </w:pPr>
      <w:r>
        <w:rPr/>
        <w:t>注：公司对非经常性损益项目的确认依照中国证券监督管理委员会公告</w:t>
      </w:r>
      <w:r>
        <w:rPr>
          <w:rFonts w:ascii="宋体" w:hAnsi="宋体" w:cs="宋体" w:eastAsia="宋体" w:hint="default"/>
        </w:rPr>
        <w:t>[2008]43</w:t>
      </w:r>
      <w:r>
        <w:rPr>
          <w:rFonts w:ascii="宋体" w:hAnsi="宋体" w:cs="宋体" w:eastAsia="宋体" w:hint="default"/>
          <w:spacing w:val="-60"/>
        </w:rPr>
        <w:t> </w:t>
      </w:r>
      <w:r>
        <w:rPr/>
        <w:t>号</w:t>
      </w:r>
    </w:p>
    <w:p>
      <w:pPr>
        <w:pStyle w:val="Heading3"/>
        <w:spacing w:line="240" w:lineRule="auto" w:before="74"/>
        <w:ind w:right="0"/>
        <w:jc w:val="left"/>
      </w:pPr>
      <w:r>
        <w:rPr/>
        <w:t>《公开发行证券的公司信息披露解释性公告第</w:t>
      </w:r>
      <w:r>
        <w:rPr>
          <w:spacing w:val="-60"/>
        </w:rPr>
        <w:t> </w:t>
      </w:r>
      <w:r>
        <w:rPr>
          <w:rFonts w:ascii="宋体" w:hAnsi="宋体" w:cs="宋体" w:eastAsia="宋体" w:hint="default"/>
        </w:rPr>
        <w:t>1</w:t>
      </w:r>
      <w:r>
        <w:rPr>
          <w:rFonts w:ascii="宋体" w:hAnsi="宋体" w:cs="宋体" w:eastAsia="宋体" w:hint="default"/>
          <w:spacing w:val="-60"/>
        </w:rPr>
        <w:t> </w:t>
      </w:r>
      <w:r>
        <w:rPr/>
        <w:t>号</w:t>
      </w:r>
      <w:r>
        <w:rPr>
          <w:rFonts w:ascii="宋体" w:hAnsi="宋体" w:cs="宋体" w:eastAsia="宋体" w:hint="default"/>
        </w:rPr>
        <w:t>-</w:t>
      </w:r>
      <w:r>
        <w:rPr/>
        <w:t>非经常性损益</w:t>
      </w:r>
      <w:r>
        <w:rPr>
          <w:rFonts w:ascii="宋体" w:hAnsi="宋体" w:cs="宋体" w:eastAsia="宋体" w:hint="default"/>
        </w:rPr>
        <w:t>(2008)</w:t>
      </w:r>
      <w:r>
        <w:rPr/>
        <w:t>》的规定执行。</w:t>
      </w:r>
    </w:p>
    <w:p>
      <w:pPr>
        <w:spacing w:after="0" w:line="240" w:lineRule="auto"/>
        <w:jc w:val="left"/>
        <w:sectPr>
          <w:pgSz w:w="11910" w:h="16850"/>
          <w:pgMar w:header="752" w:footer="730" w:top="1020" w:bottom="920" w:left="1280" w:right="10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Heading1"/>
        <w:tabs>
          <w:tab w:pos="1460" w:val="left" w:leader="none"/>
        </w:tabs>
        <w:spacing w:line="240" w:lineRule="auto"/>
        <w:ind w:left="335" w:right="0"/>
        <w:jc w:val="center"/>
        <w:rPr>
          <w:b w:val="0"/>
          <w:bCs w:val="0"/>
        </w:rPr>
      </w:pPr>
      <w:bookmarkStart w:name="_TOC_250007" w:id="5"/>
      <w:r>
        <w:rPr>
          <w:w w:val="95"/>
        </w:rPr>
        <w:t>第四节</w:t>
        <w:tab/>
      </w:r>
      <w:r>
        <w:rPr/>
        <w:t>董事会报告</w:t>
      </w:r>
      <w:bookmarkEnd w:id="5"/>
      <w:r>
        <w:rPr>
          <w:b w:val="0"/>
          <w:bCs w:val="0"/>
        </w:rPr>
      </w:r>
    </w:p>
    <w:p>
      <w:pPr>
        <w:spacing w:line="240" w:lineRule="auto" w:before="4"/>
        <w:rPr>
          <w:rFonts w:ascii="黑体" w:hAnsi="黑体" w:cs="黑体" w:eastAsia="黑体" w:hint="default"/>
          <w:b/>
          <w:bCs/>
          <w:sz w:val="27"/>
          <w:szCs w:val="27"/>
        </w:rPr>
      </w:pPr>
    </w:p>
    <w:p>
      <w:pPr>
        <w:pStyle w:val="Heading2"/>
        <w:spacing w:line="388" w:lineRule="auto"/>
        <w:ind w:left="620" w:right="3847" w:hanging="483"/>
        <w:jc w:val="left"/>
        <w:rPr>
          <w:b w:val="0"/>
          <w:bCs w:val="0"/>
        </w:rPr>
      </w:pPr>
      <w:r>
        <w:rPr/>
        <w:t>一、董事会关于公司报告期内经营情况的讨论与分析</w:t>
      </w:r>
      <w:r>
        <w:rPr>
          <w:w w:val="99"/>
        </w:rPr>
        <w:t> </w:t>
      </w:r>
      <w:r>
        <w:rPr>
          <w:rFonts w:ascii="宋体" w:hAnsi="宋体" w:cs="宋体" w:eastAsia="宋体" w:hint="default"/>
        </w:rPr>
        <w:t>(</w:t>
      </w:r>
      <w:r>
        <w:rPr/>
        <w:t>一</w:t>
      </w:r>
      <w:r>
        <w:rPr>
          <w:rFonts w:ascii="宋体" w:hAnsi="宋体" w:cs="宋体" w:eastAsia="宋体" w:hint="default"/>
        </w:rPr>
        <w:t>) </w:t>
      </w:r>
      <w:r>
        <w:rPr/>
        <w:t>管理层讨论与分析</w:t>
      </w:r>
      <w:r>
        <w:rPr>
          <w:w w:val="99"/>
        </w:rPr>
        <w:t> </w:t>
      </w:r>
      <w:r>
        <w:rPr>
          <w:rFonts w:ascii="宋体" w:hAnsi="宋体" w:cs="宋体" w:eastAsia="宋体" w:hint="default"/>
        </w:rPr>
        <w:t>1</w:t>
      </w:r>
      <w:r>
        <w:rPr/>
        <w:t>、公司主营业务及其经营状况</w:t>
      </w:r>
      <w:r>
        <w:rPr>
          <w:b w:val="0"/>
          <w:bCs w:val="0"/>
        </w:rPr>
      </w:r>
    </w:p>
    <w:p>
      <w:pPr>
        <w:pStyle w:val="Heading3"/>
        <w:spacing w:line="240" w:lineRule="auto" w:before="46"/>
        <w:ind w:left="618" w:right="82"/>
        <w:jc w:val="left"/>
        <w:rPr>
          <w:rFonts w:ascii="宋体" w:hAnsi="宋体" w:cs="宋体" w:eastAsia="宋体" w:hint="default"/>
        </w:rPr>
      </w:pPr>
      <w:r>
        <w:rPr>
          <w:spacing w:val="-4"/>
        </w:rPr>
        <w:t>报告期内，公司按照年度经营目标积极推进各项工作，实现营业收入</w:t>
      </w:r>
      <w:r>
        <w:rPr>
          <w:spacing w:val="-56"/>
        </w:rPr>
        <w:t> </w:t>
      </w:r>
      <w:r>
        <w:rPr>
          <w:rFonts w:ascii="宋体" w:hAnsi="宋体" w:cs="宋体" w:eastAsia="宋体" w:hint="default"/>
        </w:rPr>
        <w:t>4,235,210,610</w:t>
      </w:r>
    </w:p>
    <w:p>
      <w:pPr>
        <w:pStyle w:val="Heading3"/>
        <w:spacing w:line="240" w:lineRule="auto" w:before="77"/>
        <w:ind w:right="82"/>
        <w:jc w:val="left"/>
      </w:pPr>
      <w:r>
        <w:rPr>
          <w:spacing w:val="12"/>
        </w:rPr>
        <w:t>元、归属于上市公司股东的净利润 </w:t>
      </w:r>
      <w:r>
        <w:rPr>
          <w:rFonts w:ascii="宋体" w:hAnsi="宋体" w:cs="宋体" w:eastAsia="宋体" w:hint="default"/>
        </w:rPr>
        <w:t>379,601,971</w:t>
      </w:r>
      <w:r>
        <w:rPr>
          <w:rFonts w:ascii="宋体" w:hAnsi="宋体" w:cs="宋体" w:eastAsia="宋体" w:hint="default"/>
          <w:spacing w:val="39"/>
        </w:rPr>
        <w:t> </w:t>
      </w:r>
      <w:r>
        <w:rPr>
          <w:spacing w:val="13"/>
        </w:rPr>
        <w:t>元、扣除非经常性损益后的净利润</w:t>
      </w:r>
      <w:r>
        <w:rPr/>
      </w:r>
    </w:p>
    <w:p>
      <w:pPr>
        <w:pStyle w:val="Heading3"/>
        <w:spacing w:line="297" w:lineRule="auto" w:before="74"/>
        <w:ind w:right="205"/>
        <w:jc w:val="left"/>
      </w:pPr>
      <w:r>
        <w:rPr>
          <w:rFonts w:ascii="宋体" w:hAnsi="宋体" w:cs="宋体" w:eastAsia="宋体" w:hint="default"/>
        </w:rPr>
        <w:t>347,811,902</w:t>
      </w:r>
      <w:r>
        <w:rPr>
          <w:rFonts w:ascii="宋体" w:hAnsi="宋体" w:cs="宋体" w:eastAsia="宋体" w:hint="default"/>
          <w:spacing w:val="-57"/>
        </w:rPr>
        <w:t> </w:t>
      </w:r>
      <w:r>
        <w:rPr>
          <w:spacing w:val="-3"/>
        </w:rPr>
        <w:t>元、扣除非经常性损益和股权激励成本后的净利润</w:t>
      </w:r>
      <w:r>
        <w:rPr>
          <w:spacing w:val="-57"/>
        </w:rPr>
        <w:t> </w:t>
      </w:r>
      <w:r>
        <w:rPr>
          <w:rFonts w:ascii="宋体" w:hAnsi="宋体" w:cs="宋体" w:eastAsia="宋体" w:hint="default"/>
        </w:rPr>
        <w:t>338,934,273</w:t>
      </w:r>
      <w:r>
        <w:rPr>
          <w:rFonts w:ascii="宋体" w:hAnsi="宋体" w:cs="宋体" w:eastAsia="宋体" w:hint="default"/>
          <w:spacing w:val="-57"/>
        </w:rPr>
        <w:t> </w:t>
      </w:r>
      <w:r>
        <w:rPr>
          <w:spacing w:val="-12"/>
        </w:rPr>
        <w:t>元，同比分</w:t>
      </w:r>
      <w:r>
        <w:rPr/>
        <w:t> 别增长</w:t>
      </w:r>
      <w:r>
        <w:rPr>
          <w:spacing w:val="-60"/>
        </w:rPr>
        <w:t> </w:t>
      </w:r>
      <w:r>
        <w:rPr>
          <w:rFonts w:ascii="宋体" w:hAnsi="宋体" w:cs="宋体" w:eastAsia="宋体" w:hint="default"/>
        </w:rPr>
        <w:t>2.7%</w:t>
      </w:r>
      <w:r>
        <w:rPr/>
        <w:t>、</w:t>
      </w:r>
      <w:r>
        <w:rPr>
          <w:rFonts w:ascii="宋体" w:hAnsi="宋体" w:cs="宋体" w:eastAsia="宋体" w:hint="default"/>
        </w:rPr>
        <w:t>-29.3%</w:t>
      </w:r>
      <w:r>
        <w:rPr/>
        <w:t>、</w:t>
      </w:r>
      <w:r>
        <w:rPr>
          <w:rFonts w:ascii="宋体" w:hAnsi="宋体" w:cs="宋体" w:eastAsia="宋体" w:hint="default"/>
        </w:rPr>
        <w:t>-29.3%</w:t>
      </w:r>
      <w:r>
        <w:rPr/>
        <w:t>、</w:t>
      </w:r>
      <w:r>
        <w:rPr>
          <w:rFonts w:ascii="宋体" w:hAnsi="宋体" w:cs="宋体" w:eastAsia="宋体" w:hint="default"/>
        </w:rPr>
        <w:t>-35.2%</w:t>
      </w:r>
      <w:r>
        <w:rPr/>
        <w:t>。</w:t>
      </w:r>
    </w:p>
    <w:p>
      <w:pPr>
        <w:pStyle w:val="Heading3"/>
        <w:spacing w:line="297" w:lineRule="auto"/>
        <w:ind w:right="215" w:firstLine="480"/>
        <w:jc w:val="both"/>
      </w:pPr>
      <w:r>
        <w:rPr/>
        <w:t>报告期内，公司正处在业务结构转型时期，面对宏观经济形势对业务影响的压力，</w:t>
      </w:r>
      <w:r>
        <w:rPr>
          <w:spacing w:val="2"/>
        </w:rPr>
        <w:t> </w:t>
      </w:r>
      <w:r>
        <w:rPr/>
        <w:t>公司积极应对，克服困难，采取切实有效措施，增收节支，加强回款，实现了主营业务</w:t>
      </w:r>
      <w:r>
        <w:rPr>
          <w:spacing w:val="-65"/>
        </w:rPr>
        <w:t> </w:t>
      </w:r>
      <w:r>
        <w:rPr>
          <w:spacing w:val="-65"/>
        </w:rPr>
      </w:r>
      <w:r>
        <w:rPr>
          <w:spacing w:val="-3"/>
        </w:rPr>
        <w:t>收入的稳定和一定规模的净利润。报告期内公司净利润与</w:t>
      </w:r>
      <w:r>
        <w:rPr>
          <w:spacing w:val="-52"/>
        </w:rPr>
        <w:t> </w:t>
      </w:r>
      <w:r>
        <w:rPr>
          <w:rFonts w:ascii="宋体" w:hAnsi="宋体" w:cs="宋体" w:eastAsia="宋体" w:hint="default"/>
        </w:rPr>
        <w:t>2011</w:t>
      </w:r>
      <w:r>
        <w:rPr>
          <w:rFonts w:ascii="宋体" w:hAnsi="宋体" w:cs="宋体" w:eastAsia="宋体" w:hint="default"/>
          <w:spacing w:val="-52"/>
        </w:rPr>
        <w:t> </w:t>
      </w:r>
      <w:r>
        <w:rPr/>
        <w:t>年相比尽管有一定幅度的 下滑，但公司整体经营质量得到了进一步提高，应收账款同比增幅</w:t>
      </w:r>
      <w:r>
        <w:rPr>
          <w:spacing w:val="-56"/>
        </w:rPr>
        <w:t> </w:t>
      </w:r>
      <w:r>
        <w:rPr>
          <w:rFonts w:ascii="宋体" w:hAnsi="宋体" w:cs="宋体" w:eastAsia="宋体" w:hint="default"/>
        </w:rPr>
        <w:t>3.2%</w:t>
      </w:r>
      <w:r>
        <w:rPr/>
        <w:t>，低于前几年的 增幅水平；经营活动现金流量净额同比增长</w:t>
      </w:r>
      <w:r>
        <w:rPr>
          <w:spacing w:val="-56"/>
        </w:rPr>
        <w:t> </w:t>
      </w:r>
      <w:r>
        <w:rPr>
          <w:rFonts w:ascii="宋体" w:hAnsi="宋体" w:cs="宋体" w:eastAsia="宋体" w:hint="default"/>
        </w:rPr>
        <w:t>5.7%</w:t>
      </w:r>
      <w:r>
        <w:rPr/>
        <w:t>；项目签约质量得到提高，预收账款同 比增长</w:t>
      </w:r>
      <w:r>
        <w:rPr>
          <w:spacing w:val="-60"/>
        </w:rPr>
        <w:t> </w:t>
      </w:r>
      <w:r>
        <w:rPr>
          <w:rFonts w:ascii="宋体" w:hAnsi="宋体" w:cs="宋体" w:eastAsia="宋体" w:hint="default"/>
        </w:rPr>
        <w:t>37.6%</w:t>
      </w:r>
      <w:r>
        <w:rPr/>
        <w:t>。</w:t>
      </w:r>
    </w:p>
    <w:p>
      <w:pPr>
        <w:pStyle w:val="Heading3"/>
        <w:spacing w:line="240" w:lineRule="auto"/>
        <w:ind w:left="618" w:right="232"/>
        <w:jc w:val="left"/>
      </w:pPr>
      <w:r>
        <w:rPr/>
        <w:t>（</w:t>
      </w:r>
      <w:r>
        <w:rPr>
          <w:rFonts w:ascii="宋体" w:hAnsi="宋体" w:cs="宋体" w:eastAsia="宋体" w:hint="default"/>
        </w:rPr>
        <w:t>1</w:t>
      </w:r>
      <w:r>
        <w:rPr/>
        <w:t>）公司各项业务发展情况</w:t>
      </w:r>
    </w:p>
    <w:p>
      <w:pPr>
        <w:pStyle w:val="Heading3"/>
        <w:spacing w:line="240" w:lineRule="auto" w:before="197"/>
        <w:ind w:left="618" w:right="232"/>
        <w:jc w:val="left"/>
      </w:pPr>
      <w:r>
        <w:rPr>
          <w:rFonts w:ascii="宋体" w:hAnsi="宋体" w:cs="宋体" w:eastAsia="宋体" w:hint="default"/>
        </w:rPr>
        <w:t>1</w:t>
      </w:r>
      <w:r>
        <w:rPr/>
        <w:t>）面向大型企业的产品与解决方案业务发展情况</w:t>
      </w:r>
    </w:p>
    <w:p>
      <w:pPr>
        <w:spacing w:line="240" w:lineRule="auto" w:before="13"/>
        <w:rPr>
          <w:rFonts w:ascii="宋体" w:hAnsi="宋体" w:cs="宋体" w:eastAsia="宋体" w:hint="default"/>
          <w:sz w:val="26"/>
          <w:szCs w:val="26"/>
        </w:rPr>
      </w:pPr>
    </w:p>
    <w:p>
      <w:pPr>
        <w:pStyle w:val="Heading3"/>
        <w:spacing w:line="297" w:lineRule="auto" w:before="0"/>
        <w:ind w:right="215" w:firstLine="480"/>
        <w:jc w:val="both"/>
      </w:pPr>
      <w:r>
        <w:rPr/>
        <w:t>报告期内，公司面向大型企业的产品与解决方案业务，采取解决方案加咨询实施、</w:t>
      </w:r>
      <w:r>
        <w:rPr>
          <w:spacing w:val="2"/>
        </w:rPr>
        <w:t> </w:t>
      </w:r>
      <w:r>
        <w:rPr/>
        <w:t>持续优化服务的业务模式和深化客户经营的策略，发挥产品优势，并切实提升项目签约</w:t>
      </w:r>
      <w:r>
        <w:rPr>
          <w:spacing w:val="-65"/>
        </w:rPr>
        <w:t> </w:t>
      </w:r>
      <w:r>
        <w:rPr>
          <w:spacing w:val="-65"/>
        </w:rPr>
      </w:r>
      <w:r>
        <w:rPr/>
        <w:t>质量，强化项目全生命周期管理，提升项目利润。公司在制造、流通服务、建筑地产等</w:t>
      </w:r>
      <w:r>
        <w:rPr>
          <w:spacing w:val="-65"/>
        </w:rPr>
        <w:t> </w:t>
      </w:r>
      <w:r>
        <w:rPr>
          <w:spacing w:val="-65"/>
        </w:rPr>
      </w:r>
      <w:r>
        <w:rPr/>
        <w:t>重要行业依然保持稳步增长势头。</w:t>
      </w:r>
    </w:p>
    <w:p>
      <w:pPr>
        <w:spacing w:line="240" w:lineRule="auto" w:before="10"/>
        <w:rPr>
          <w:rFonts w:ascii="宋体" w:hAnsi="宋体" w:cs="宋体" w:eastAsia="宋体" w:hint="default"/>
          <w:sz w:val="22"/>
          <w:szCs w:val="22"/>
        </w:rPr>
      </w:pPr>
    </w:p>
    <w:p>
      <w:pPr>
        <w:pStyle w:val="Heading3"/>
        <w:spacing w:line="297" w:lineRule="auto" w:before="0"/>
        <w:ind w:right="82" w:firstLine="480"/>
        <w:jc w:val="left"/>
      </w:pPr>
      <w:r>
        <w:rPr>
          <w:spacing w:val="-3"/>
        </w:rPr>
        <w:t>报告期内，公司发布了具有世界领先水平的里程碑产品</w:t>
      </w:r>
      <w:r>
        <w:rPr>
          <w:rFonts w:ascii="宋体" w:hAnsi="宋体" w:cs="宋体" w:eastAsia="宋体" w:hint="default"/>
          <w:spacing w:val="-3"/>
        </w:rPr>
        <w:t>——</w:t>
      </w:r>
      <w:r>
        <w:rPr>
          <w:spacing w:val="-3"/>
        </w:rPr>
        <w:t>用友</w:t>
      </w:r>
      <w:r>
        <w:rPr>
          <w:spacing w:val="-52"/>
        </w:rPr>
        <w:t> </w:t>
      </w:r>
      <w:r>
        <w:rPr>
          <w:rFonts w:ascii="宋体" w:hAnsi="宋体" w:cs="宋体" w:eastAsia="宋体" w:hint="default"/>
          <w:spacing w:val="-6"/>
        </w:rPr>
        <w:t>NC6</w:t>
      </w:r>
      <w:r>
        <w:rPr>
          <w:spacing w:val="-6"/>
        </w:rPr>
        <w:t>，该产品面向大</w:t>
      </w:r>
      <w:r>
        <w:rPr/>
        <w:t> </w:t>
      </w:r>
      <w:r>
        <w:rPr>
          <w:spacing w:val="-2"/>
        </w:rPr>
        <w:t>型集团企业和成长型集团企业的信息化需求，综合利用最新的云计算、移动应用等技术，</w:t>
      </w:r>
      <w:r>
        <w:rPr>
          <w:spacing w:val="-96"/>
        </w:rPr>
        <w:t> </w:t>
      </w:r>
      <w:r>
        <w:rPr>
          <w:spacing w:val="-96"/>
        </w:rPr>
      </w:r>
      <w:r>
        <w:rPr/>
        <w:t>通过构建大企业私有云来全面满足集团企业管理和电子商务运营的需求，帮助集团企业</w:t>
      </w:r>
      <w:r>
        <w:rPr>
          <w:spacing w:val="-65"/>
        </w:rPr>
        <w:t> </w:t>
      </w:r>
      <w:r>
        <w:rPr>
          <w:spacing w:val="-65"/>
        </w:rPr>
      </w:r>
      <w:r>
        <w:rPr/>
        <w:t>客户实现管理升级和商业变革。用友 </w:t>
      </w:r>
      <w:r>
        <w:rPr>
          <w:rFonts w:ascii="宋体" w:hAnsi="宋体" w:cs="宋体" w:eastAsia="宋体" w:hint="default"/>
        </w:rPr>
        <w:t>NC6</w:t>
      </w:r>
      <w:r>
        <w:rPr>
          <w:rFonts w:ascii="宋体" w:hAnsi="宋体" w:cs="宋体" w:eastAsia="宋体" w:hint="default"/>
          <w:spacing w:val="-56"/>
        </w:rPr>
        <w:t> </w:t>
      </w:r>
      <w:r>
        <w:rPr/>
        <w:t>产品是多元化产业集团企业实现多级集团管控 和矩阵式多级组织管控体系的一体化信息平台，支持集团企业专业化分工、多组织协同</w:t>
      </w:r>
      <w:r>
        <w:rPr>
          <w:spacing w:val="-65"/>
        </w:rPr>
        <w:t> </w:t>
      </w:r>
      <w:r>
        <w:rPr>
          <w:spacing w:val="-65"/>
        </w:rPr>
      </w:r>
      <w:r>
        <w:rPr/>
        <w:t>的运作、管控对象从“法人架构”到“业务单元组织架构”的进化，实现了从以后台管</w:t>
      </w:r>
      <w:r>
        <w:rPr>
          <w:spacing w:val="-65"/>
        </w:rPr>
        <w:t> </w:t>
      </w:r>
      <w:r>
        <w:rPr>
          <w:spacing w:val="-65"/>
        </w:rPr>
      </w:r>
      <w:r>
        <w:rPr/>
        <w:t>理为核心到支持前端商业创新的完整业务解决方案的转变；通过动态企业建模设计，真</w:t>
      </w:r>
      <w:r>
        <w:rPr>
          <w:spacing w:val="-65"/>
        </w:rPr>
        <w:t> </w:t>
      </w:r>
      <w:r>
        <w:rPr>
          <w:spacing w:val="-65"/>
        </w:rPr>
      </w:r>
      <w:r>
        <w:rPr/>
        <w:t>正实现大型集团企业信息系统的灵活性，以适应企业业务和管理发展变化的需要；实现</w:t>
      </w:r>
      <w:r>
        <w:rPr>
          <w:spacing w:val="-65"/>
        </w:rPr>
        <w:t> </w:t>
      </w:r>
      <w:r>
        <w:rPr>
          <w:spacing w:val="-65"/>
        </w:rPr>
      </w:r>
      <w:r>
        <w:rPr/>
        <w:t>灵活高效的全球部署，适配企业跨国业务开展，协同高效管理全球化企业运营；同时以</w:t>
      </w:r>
      <w:r>
        <w:rPr>
          <w:spacing w:val="-65"/>
        </w:rPr>
        <w:t> </w:t>
      </w:r>
      <w:r>
        <w:rPr>
          <w:spacing w:val="-65"/>
        </w:rPr>
      </w:r>
      <w:r>
        <w:rPr/>
        <w:t>供应链系统为支撑，创新电子商务等通路模式，实现企业线上与线下交易的创新营销模</w:t>
      </w:r>
      <w:r>
        <w:rPr>
          <w:spacing w:val="-65"/>
        </w:rPr>
        <w:t> </w:t>
      </w:r>
      <w:r>
        <w:rPr>
          <w:spacing w:val="-65"/>
        </w:rPr>
      </w:r>
      <w:r>
        <w:rPr/>
        <w:t>式，从而整合企业上、下游资源，掌控并协同管理全产业链，提升效率，共享数据与服</w:t>
      </w:r>
    </w:p>
    <w:p>
      <w:pPr>
        <w:spacing w:after="0" w:line="297" w:lineRule="auto"/>
        <w:jc w:val="left"/>
        <w:sectPr>
          <w:pgSz w:w="11910" w:h="16850"/>
          <w:pgMar w:header="752" w:footer="730" w:top="1020" w:bottom="920" w:left="1280" w:right="1080"/>
        </w:sectPr>
      </w:pPr>
    </w:p>
    <w:p>
      <w:pPr>
        <w:spacing w:line="240" w:lineRule="auto" w:before="9"/>
        <w:rPr>
          <w:rFonts w:ascii="宋体" w:hAnsi="宋体" w:cs="宋体" w:eastAsia="宋体" w:hint="default"/>
          <w:sz w:val="26"/>
          <w:szCs w:val="26"/>
        </w:rPr>
      </w:pPr>
    </w:p>
    <w:p>
      <w:pPr>
        <w:pStyle w:val="Heading3"/>
        <w:spacing w:line="297" w:lineRule="auto" w:before="26"/>
        <w:ind w:right="205"/>
        <w:jc w:val="left"/>
      </w:pPr>
      <w:r>
        <w:rPr>
          <w:spacing w:val="-6"/>
        </w:rPr>
        <w:t>务。报告期内，</w:t>
      </w:r>
      <w:r>
        <w:rPr>
          <w:rFonts w:ascii="宋体" w:hAnsi="宋体" w:cs="宋体" w:eastAsia="宋体" w:hint="default"/>
          <w:spacing w:val="-6"/>
        </w:rPr>
        <w:t>NC6</w:t>
      </w:r>
      <w:r>
        <w:rPr>
          <w:rFonts w:ascii="宋体" w:hAnsi="宋体" w:cs="宋体" w:eastAsia="宋体" w:hint="default"/>
          <w:spacing w:val="-57"/>
        </w:rPr>
        <w:t> </w:t>
      </w:r>
      <w:r>
        <w:rPr>
          <w:spacing w:val="-2"/>
        </w:rPr>
        <w:t>产品已成功交付近百家大型集团企业客户；海外市场知名度提升，并</w:t>
      </w:r>
      <w:r>
        <w:rPr/>
        <w:t> 与全球</w:t>
      </w:r>
      <w:r>
        <w:rPr>
          <w:spacing w:val="-60"/>
        </w:rPr>
        <w:t> </w:t>
      </w:r>
      <w:r>
        <w:rPr>
          <w:rFonts w:ascii="宋体" w:hAnsi="宋体" w:cs="宋体" w:eastAsia="宋体" w:hint="default"/>
        </w:rPr>
        <w:t>IT</w:t>
      </w:r>
      <w:r>
        <w:rPr>
          <w:rFonts w:ascii="宋体" w:hAnsi="宋体" w:cs="宋体" w:eastAsia="宋体" w:hint="default"/>
          <w:spacing w:val="-60"/>
        </w:rPr>
        <w:t> </w:t>
      </w:r>
      <w:r>
        <w:rPr/>
        <w:t>服务巨头源讯公司合作，积极开拓欧洲及其他海外市场。</w:t>
      </w:r>
    </w:p>
    <w:p>
      <w:pPr>
        <w:spacing w:line="240" w:lineRule="auto" w:before="8"/>
        <w:rPr>
          <w:rFonts w:ascii="宋体" w:hAnsi="宋体" w:cs="宋体" w:eastAsia="宋体" w:hint="default"/>
          <w:sz w:val="22"/>
          <w:szCs w:val="22"/>
        </w:rPr>
      </w:pPr>
    </w:p>
    <w:p>
      <w:pPr>
        <w:pStyle w:val="Heading3"/>
        <w:spacing w:line="300" w:lineRule="auto" w:before="0"/>
        <w:ind w:right="287" w:firstLine="480"/>
        <w:jc w:val="both"/>
      </w:pPr>
      <w:r>
        <w:rPr/>
        <w:t>报告期内，公司</w:t>
      </w:r>
      <w:r>
        <w:rPr>
          <w:spacing w:val="-60"/>
        </w:rPr>
        <w:t> </w:t>
      </w:r>
      <w:r>
        <w:rPr>
          <w:rFonts w:ascii="宋体" w:hAnsi="宋体" w:cs="宋体" w:eastAsia="宋体" w:hint="default"/>
        </w:rPr>
        <w:t>NC5.7</w:t>
      </w:r>
      <w:r>
        <w:rPr>
          <w:rFonts w:ascii="宋体" w:hAnsi="宋体" w:cs="宋体" w:eastAsia="宋体" w:hint="default"/>
          <w:spacing w:val="-60"/>
        </w:rPr>
        <w:t> </w:t>
      </w:r>
      <w:r>
        <w:rPr/>
        <w:t>产品发版了多个行业应用产品，满足了各个行业不同客户不 同层次的业务需求。</w:t>
      </w:r>
    </w:p>
    <w:p>
      <w:pPr>
        <w:pStyle w:val="Heading3"/>
        <w:spacing w:line="240" w:lineRule="auto" w:before="134"/>
        <w:ind w:left="618" w:right="232"/>
        <w:jc w:val="left"/>
      </w:pPr>
      <w:r>
        <w:rPr>
          <w:rFonts w:ascii="宋体" w:hAnsi="宋体" w:cs="宋体" w:eastAsia="宋体" w:hint="default"/>
        </w:rPr>
        <w:t>2</w:t>
      </w:r>
      <w:r>
        <w:rPr/>
        <w:t>）面向中型企业的产品与解决方案业务发展情况</w:t>
      </w:r>
    </w:p>
    <w:p>
      <w:pPr>
        <w:spacing w:line="240" w:lineRule="auto" w:before="13"/>
        <w:rPr>
          <w:rFonts w:ascii="宋体" w:hAnsi="宋体" w:cs="宋体" w:eastAsia="宋体" w:hint="default"/>
          <w:sz w:val="26"/>
          <w:szCs w:val="26"/>
        </w:rPr>
      </w:pPr>
    </w:p>
    <w:p>
      <w:pPr>
        <w:pStyle w:val="Heading3"/>
        <w:spacing w:line="297" w:lineRule="auto" w:before="0"/>
        <w:ind w:right="215" w:firstLine="480"/>
        <w:jc w:val="both"/>
      </w:pPr>
      <w:r>
        <w:rPr/>
        <w:t>报告期内，公司继续通过行业标准化解决方案驱动中型客户规模化经营，战略加强</w:t>
      </w:r>
      <w:r>
        <w:rPr>
          <w:spacing w:val="2"/>
        </w:rPr>
        <w:t> </w:t>
      </w:r>
      <w:r>
        <w:rPr/>
        <w:t>分销业务，持续进行老客户专项经营，并在</w:t>
      </w:r>
      <w:r>
        <w:rPr>
          <w:spacing w:val="-60"/>
        </w:rPr>
        <w:t> </w:t>
      </w:r>
      <w:r>
        <w:rPr>
          <w:rFonts w:ascii="宋体" w:hAnsi="宋体" w:cs="宋体" w:eastAsia="宋体" w:hint="default"/>
        </w:rPr>
        <w:t>CRM</w:t>
      </w:r>
      <w:r>
        <w:rPr/>
        <w:t>、</w:t>
      </w:r>
      <w:r>
        <w:rPr>
          <w:rFonts w:ascii="宋体" w:hAnsi="宋体" w:cs="宋体" w:eastAsia="宋体" w:hint="default"/>
        </w:rPr>
        <w:t>PLM</w:t>
      </w:r>
      <w:r>
        <w:rPr>
          <w:rFonts w:ascii="宋体" w:hAnsi="宋体" w:cs="宋体" w:eastAsia="宋体" w:hint="default"/>
          <w:spacing w:val="-60"/>
        </w:rPr>
        <w:t> </w:t>
      </w:r>
      <w:r>
        <w:rPr/>
        <w:t>等领域取得了突破性的进展。</w:t>
      </w:r>
    </w:p>
    <w:p>
      <w:pPr>
        <w:spacing w:line="240" w:lineRule="auto" w:before="12"/>
        <w:rPr>
          <w:rFonts w:ascii="宋体" w:hAnsi="宋体" w:cs="宋体" w:eastAsia="宋体" w:hint="default"/>
          <w:sz w:val="22"/>
          <w:szCs w:val="22"/>
        </w:rPr>
      </w:pPr>
    </w:p>
    <w:p>
      <w:pPr>
        <w:pStyle w:val="Heading3"/>
        <w:spacing w:line="297" w:lineRule="auto" w:before="0"/>
        <w:ind w:right="82" w:firstLine="480"/>
        <w:jc w:val="left"/>
      </w:pPr>
      <w:r>
        <w:rPr/>
        <w:t>公司发布了面向成长型企业的用友</w:t>
      </w:r>
      <w:r>
        <w:rPr>
          <w:spacing w:val="-60"/>
        </w:rPr>
        <w:t> </w:t>
      </w:r>
      <w:r>
        <w:rPr>
          <w:rFonts w:ascii="宋体" w:hAnsi="宋体" w:cs="宋体" w:eastAsia="宋体" w:hint="default"/>
        </w:rPr>
        <w:t>U8</w:t>
      </w:r>
      <w:r>
        <w:rPr>
          <w:rFonts w:ascii="宋体" w:hAnsi="宋体" w:cs="宋体" w:eastAsia="宋体" w:hint="default"/>
          <w:spacing w:val="-56"/>
        </w:rPr>
        <w:t> </w:t>
      </w:r>
      <w:r>
        <w:rPr>
          <w:rFonts w:ascii="宋体" w:hAnsi="宋体" w:cs="宋体" w:eastAsia="宋体" w:hint="default"/>
        </w:rPr>
        <w:t>V11.0</w:t>
      </w:r>
      <w:r>
        <w:rPr>
          <w:rFonts w:ascii="宋体" w:hAnsi="宋体" w:cs="宋体" w:eastAsia="宋体" w:hint="default"/>
          <w:spacing w:val="-60"/>
        </w:rPr>
        <w:t> </w:t>
      </w:r>
      <w:r>
        <w:rPr/>
        <w:t>产品和多个行业及领域插件产品。用友 </w:t>
      </w:r>
      <w:r>
        <w:rPr>
          <w:rFonts w:ascii="宋体" w:hAnsi="宋体" w:cs="宋体" w:eastAsia="宋体" w:hint="default"/>
        </w:rPr>
        <w:t>U8 V11.0</w:t>
      </w:r>
      <w:r>
        <w:rPr>
          <w:rFonts w:ascii="宋体" w:hAnsi="宋体" w:cs="宋体" w:eastAsia="宋体" w:hint="default"/>
          <w:spacing w:val="-56"/>
        </w:rPr>
        <w:t> </w:t>
      </w:r>
      <w:r>
        <w:rPr/>
        <w:t>产品符合新经济形势下成长型企业的管理需求，产品应用涵盖营销、设计、生 产、供应、人力、财务、办公、商业分析等全部领域，是成长型企业的经营创新和管理</w:t>
      </w:r>
      <w:r>
        <w:rPr>
          <w:spacing w:val="-65"/>
        </w:rPr>
        <w:t> </w:t>
      </w:r>
      <w:r>
        <w:rPr>
          <w:spacing w:val="-65"/>
        </w:rPr>
      </w:r>
      <w:r>
        <w:rPr/>
        <w:t>决策平台。</w:t>
      </w:r>
      <w:r>
        <w:rPr>
          <w:rFonts w:ascii="宋体" w:hAnsi="宋体" w:cs="宋体" w:eastAsia="宋体" w:hint="default"/>
        </w:rPr>
        <w:t>U8 V11.0</w:t>
      </w:r>
      <w:r>
        <w:rPr>
          <w:rFonts w:ascii="宋体" w:hAnsi="宋体" w:cs="宋体" w:eastAsia="宋体" w:hint="default"/>
          <w:spacing w:val="-58"/>
        </w:rPr>
        <w:t> </w:t>
      </w:r>
      <w:r>
        <w:rPr/>
        <w:t>以客户需求为根本出发点，在</w:t>
      </w:r>
      <w:r>
        <w:rPr>
          <w:spacing w:val="-58"/>
        </w:rPr>
        <w:t> </w:t>
      </w:r>
      <w:r>
        <w:rPr>
          <w:rFonts w:ascii="宋体" w:hAnsi="宋体" w:cs="宋体" w:eastAsia="宋体" w:hint="default"/>
        </w:rPr>
        <w:t>CRM</w:t>
      </w:r>
      <w:r>
        <w:rPr/>
        <w:t>、</w:t>
      </w:r>
      <w:r>
        <w:rPr>
          <w:rFonts w:ascii="宋体" w:hAnsi="宋体" w:cs="宋体" w:eastAsia="宋体" w:hint="default"/>
        </w:rPr>
        <w:t>PLM</w:t>
      </w:r>
      <w:r>
        <w:rPr/>
        <w:t>、</w:t>
      </w:r>
      <w:r>
        <w:rPr>
          <w:rFonts w:ascii="宋体" w:hAnsi="宋体" w:cs="宋体" w:eastAsia="宋体" w:hint="default"/>
        </w:rPr>
        <w:t>B2C</w:t>
      </w:r>
      <w:r>
        <w:rPr>
          <w:rFonts w:ascii="宋体" w:hAnsi="宋体" w:cs="宋体" w:eastAsia="宋体" w:hint="default"/>
          <w:spacing w:val="-60"/>
        </w:rPr>
        <w:t> </w:t>
      </w:r>
      <w:r>
        <w:rPr/>
        <w:t>集成、供应链协同、 </w:t>
      </w:r>
      <w:r>
        <w:rPr>
          <w:spacing w:val="-2"/>
        </w:rPr>
        <w:t>商业分析、移动应用等领域的研发，取得了突破性的进展，以人为本大幅改善交互体验，</w:t>
      </w:r>
      <w:r>
        <w:rPr>
          <w:spacing w:val="-102"/>
        </w:rPr>
        <w:t> </w:t>
      </w:r>
      <w:r>
        <w:rPr>
          <w:spacing w:val="-102"/>
        </w:rPr>
      </w:r>
      <w:r>
        <w:rPr/>
        <w:t>用新技术有力支持企业经营管理模式的创新；丰富的行业及领域插件为行业核心需求提</w:t>
      </w:r>
      <w:r>
        <w:rPr>
          <w:spacing w:val="-65"/>
        </w:rPr>
        <w:t> </w:t>
      </w:r>
      <w:r>
        <w:rPr>
          <w:spacing w:val="-65"/>
        </w:rPr>
      </w:r>
      <w:r>
        <w:rPr/>
        <w:t>供深层匹配的行业解决方案；与产业链伙伴合作开发并推广的软硬一体</w:t>
      </w:r>
      <w:r>
        <w:rPr>
          <w:spacing w:val="-66"/>
        </w:rPr>
        <w:t> </w:t>
      </w:r>
      <w:r>
        <w:rPr>
          <w:rFonts w:ascii="宋体" w:hAnsi="宋体" w:cs="宋体" w:eastAsia="宋体" w:hint="default"/>
        </w:rPr>
        <w:t>IT</w:t>
      </w:r>
      <w:r>
        <w:rPr>
          <w:rFonts w:ascii="宋体" w:hAnsi="宋体" w:cs="宋体" w:eastAsia="宋体" w:hint="default"/>
          <w:spacing w:val="-66"/>
        </w:rPr>
        <w:t> </w:t>
      </w:r>
      <w:r>
        <w:rPr>
          <w:spacing w:val="-5"/>
        </w:rPr>
        <w:t>解决方案，让</w:t>
      </w:r>
      <w:r>
        <w:rPr/>
        <w:t> 客户的信息化部署更方便，运行更高效。客户可以通过这个平台实现全新的应用交互体</w:t>
      </w:r>
      <w:r>
        <w:rPr>
          <w:spacing w:val="-65"/>
        </w:rPr>
        <w:t> </w:t>
      </w:r>
      <w:r>
        <w:rPr>
          <w:spacing w:val="-65"/>
        </w:rPr>
      </w:r>
      <w:r>
        <w:rPr/>
        <w:t>验、随时随地的移动应用、绿色智能的云服务管理、精细的成本与费用管理。</w:t>
      </w:r>
    </w:p>
    <w:p>
      <w:pPr>
        <w:spacing w:line="240" w:lineRule="auto" w:before="10"/>
        <w:rPr>
          <w:rFonts w:ascii="宋体" w:hAnsi="宋体" w:cs="宋体" w:eastAsia="宋体" w:hint="default"/>
          <w:sz w:val="22"/>
          <w:szCs w:val="22"/>
        </w:rPr>
      </w:pPr>
    </w:p>
    <w:p>
      <w:pPr>
        <w:pStyle w:val="Heading3"/>
        <w:spacing w:line="297" w:lineRule="auto" w:before="0"/>
        <w:ind w:right="216" w:firstLine="480"/>
        <w:jc w:val="both"/>
      </w:pPr>
      <w:r>
        <w:rPr/>
        <w:t>公司在全国</w:t>
      </w:r>
      <w:r>
        <w:rPr>
          <w:spacing w:val="-58"/>
        </w:rPr>
        <w:t> </w:t>
      </w:r>
      <w:r>
        <w:rPr>
          <w:rFonts w:ascii="宋体" w:hAnsi="宋体" w:cs="宋体" w:eastAsia="宋体" w:hint="default"/>
        </w:rPr>
        <w:t>200</w:t>
      </w:r>
      <w:r>
        <w:rPr>
          <w:rFonts w:ascii="宋体" w:hAnsi="宋体" w:cs="宋体" w:eastAsia="宋体" w:hint="default"/>
          <w:spacing w:val="-58"/>
        </w:rPr>
        <w:t> </w:t>
      </w:r>
      <w:r>
        <w:rPr/>
        <w:t>多个城市举办了近千场“创新应用</w:t>
      </w:r>
      <w:r>
        <w:rPr>
          <w:spacing w:val="-58"/>
        </w:rPr>
        <w:t> </w:t>
      </w:r>
      <w:r>
        <w:rPr>
          <w:spacing w:val="-5"/>
        </w:rPr>
        <w:t>管理升级”、“信息化企业从</w:t>
      </w:r>
      <w:r>
        <w:rPr>
          <w:spacing w:val="-58"/>
        </w:rPr>
        <w:t> </w:t>
      </w:r>
      <w:r>
        <w:rPr>
          <w:rFonts w:ascii="宋体" w:hAnsi="宋体" w:cs="宋体" w:eastAsia="宋体" w:hint="default"/>
        </w:rPr>
        <w:t>U8 All-in-One</w:t>
      </w:r>
      <w:r>
        <w:rPr>
          <w:rFonts w:ascii="宋体" w:hAnsi="宋体" w:cs="宋体" w:eastAsia="宋体" w:hint="default"/>
          <w:spacing w:val="9"/>
        </w:rPr>
        <w:t> </w:t>
      </w:r>
      <w:r>
        <w:rPr>
          <w:spacing w:val="5"/>
        </w:rPr>
        <w:t>开始”和“行业客户体验会”的客户活动，并配合工业和信息化部推进的</w:t>
      </w:r>
      <w:r>
        <w:rPr>
          <w:spacing w:val="4"/>
        </w:rPr>
        <w:t> </w:t>
      </w:r>
      <w:r>
        <w:rPr/>
        <w:t>“两化融合成果展”工作，在全国参与“两化融合深度行活动”。</w:t>
      </w:r>
    </w:p>
    <w:p>
      <w:pPr>
        <w:spacing w:line="240" w:lineRule="auto" w:before="10"/>
        <w:rPr>
          <w:rFonts w:ascii="宋体" w:hAnsi="宋体" w:cs="宋体" w:eastAsia="宋体" w:hint="default"/>
          <w:sz w:val="22"/>
          <w:szCs w:val="22"/>
        </w:rPr>
      </w:pPr>
    </w:p>
    <w:p>
      <w:pPr>
        <w:pStyle w:val="Heading3"/>
        <w:spacing w:line="391" w:lineRule="auto" w:before="0"/>
        <w:ind w:left="618" w:right="206"/>
        <w:jc w:val="left"/>
      </w:pPr>
      <w:r>
        <w:rPr>
          <w:rFonts w:ascii="宋体" w:hAnsi="宋体" w:cs="宋体" w:eastAsia="宋体" w:hint="default"/>
        </w:rPr>
        <w:t>3</w:t>
      </w:r>
      <w:r>
        <w:rPr/>
        <w:t>）面向小型微型企业的全面信息化服务业务发展情况 报告期内，畅捷通信息技术股份有限公司（下称“畅捷通公司”）共发布了</w:t>
      </w:r>
      <w:r>
        <w:rPr>
          <w:spacing w:val="-89"/>
        </w:rPr>
        <w:t> </w:t>
      </w:r>
      <w:r>
        <w:rPr>
          <w:rFonts w:ascii="宋体" w:hAnsi="宋体" w:cs="宋体" w:eastAsia="宋体" w:hint="default"/>
        </w:rPr>
        <w:t>33</w:t>
      </w:r>
      <w:r>
        <w:rPr>
          <w:rFonts w:ascii="宋体" w:hAnsi="宋体" w:cs="宋体" w:eastAsia="宋体" w:hint="default"/>
          <w:spacing w:val="-89"/>
        </w:rPr>
        <w:t> </w:t>
      </w:r>
      <w:r>
        <w:rPr/>
        <w:t>个产</w:t>
      </w:r>
    </w:p>
    <w:p>
      <w:pPr>
        <w:pStyle w:val="Heading3"/>
        <w:spacing w:line="238" w:lineRule="exact" w:before="0"/>
        <w:ind w:right="232"/>
        <w:jc w:val="left"/>
      </w:pPr>
      <w:r>
        <w:rPr/>
        <w:t>品版本，主要包括畅捷通新一代产品、</w:t>
      </w:r>
      <w:r>
        <w:rPr>
          <w:rFonts w:ascii="宋体" w:hAnsi="宋体" w:cs="宋体" w:eastAsia="宋体" w:hint="default"/>
        </w:rPr>
        <w:t>T3</w:t>
      </w:r>
      <w:r>
        <w:rPr/>
        <w:t>、</w:t>
      </w:r>
      <w:r>
        <w:rPr>
          <w:rFonts w:ascii="宋体" w:hAnsi="宋体" w:cs="宋体" w:eastAsia="宋体" w:hint="default"/>
        </w:rPr>
        <w:t>T6</w:t>
      </w:r>
      <w:r>
        <w:rPr/>
        <w:t>、</w:t>
      </w:r>
      <w:r>
        <w:rPr>
          <w:rFonts w:ascii="宋体" w:hAnsi="宋体" w:cs="宋体" w:eastAsia="宋体" w:hint="default"/>
        </w:rPr>
        <w:t>OA</w:t>
      </w:r>
      <w:r>
        <w:rPr/>
        <w:t>、小企业新会计准则学习版等。畅捷</w:t>
      </w:r>
    </w:p>
    <w:p>
      <w:pPr>
        <w:pStyle w:val="Heading3"/>
        <w:spacing w:line="240" w:lineRule="auto" w:before="74"/>
        <w:ind w:right="82"/>
        <w:jc w:val="left"/>
      </w:pPr>
      <w:r>
        <w:rPr/>
        <w:t>通公司与中国电信公司成功合作推出“旺铺助手”云服务产品，在全国</w:t>
      </w:r>
      <w:r>
        <w:rPr>
          <w:spacing w:val="-88"/>
        </w:rPr>
        <w:t> </w:t>
      </w:r>
      <w:r>
        <w:rPr>
          <w:rFonts w:ascii="宋体" w:hAnsi="宋体" w:cs="宋体" w:eastAsia="宋体" w:hint="default"/>
        </w:rPr>
        <w:t>10</w:t>
      </w:r>
      <w:r>
        <w:rPr>
          <w:rFonts w:ascii="宋体" w:hAnsi="宋体" w:cs="宋体" w:eastAsia="宋体" w:hint="default"/>
          <w:spacing w:val="-88"/>
        </w:rPr>
        <w:t> </w:t>
      </w:r>
      <w:r>
        <w:rPr/>
        <w:t>个重点城市推</w:t>
      </w:r>
    </w:p>
    <w:p>
      <w:pPr>
        <w:pStyle w:val="Heading3"/>
        <w:spacing w:line="240" w:lineRule="auto" w:before="74"/>
        <w:ind w:right="232"/>
        <w:jc w:val="left"/>
      </w:pPr>
      <w:r>
        <w:rPr/>
        <w:t>广使用，截至报告期末付费客户已累计达到</w:t>
      </w:r>
      <w:r>
        <w:rPr>
          <w:spacing w:val="-60"/>
        </w:rPr>
        <w:t> </w:t>
      </w:r>
      <w:r>
        <w:rPr>
          <w:rFonts w:ascii="宋体" w:hAnsi="宋体" w:cs="宋体" w:eastAsia="宋体" w:hint="default"/>
        </w:rPr>
        <w:t>25</w:t>
      </w:r>
      <w:r>
        <w:rPr>
          <w:rFonts w:ascii="宋体" w:hAnsi="宋体" w:cs="宋体" w:eastAsia="宋体" w:hint="default"/>
          <w:spacing w:val="-60"/>
        </w:rPr>
        <w:t> </w:t>
      </w:r>
      <w:r>
        <w:rPr/>
        <w:t>万余户。</w:t>
      </w:r>
    </w:p>
    <w:p>
      <w:pPr>
        <w:pStyle w:val="Heading3"/>
        <w:spacing w:line="297" w:lineRule="auto" w:before="194"/>
        <w:ind w:right="218" w:firstLine="480"/>
        <w:jc w:val="both"/>
      </w:pPr>
      <w:r>
        <w:rPr>
          <w:spacing w:val="-4"/>
        </w:rPr>
        <w:t>畅捷通公司为广大小微企业客户提供更全面、及时、便捷的信息化服务，在全国</w:t>
      </w:r>
      <w:r>
        <w:rPr>
          <w:spacing w:val="-41"/>
        </w:rPr>
        <w:t> </w:t>
      </w:r>
      <w:r>
        <w:rPr>
          <w:rFonts w:ascii="宋体" w:hAnsi="宋体" w:cs="宋体" w:eastAsia="宋体" w:hint="default"/>
        </w:rPr>
        <w:t>200 </w:t>
      </w:r>
      <w:r>
        <w:rPr/>
        <w:t>多个城市举办了“小微企业扶助行动”、“小企业会计准则”和“会计文化节”的客户</w:t>
      </w:r>
      <w:r>
        <w:rPr>
          <w:spacing w:val="-65"/>
        </w:rPr>
        <w:t> </w:t>
      </w:r>
      <w:r>
        <w:rPr>
          <w:spacing w:val="-65"/>
        </w:rPr>
      </w:r>
      <w:r>
        <w:rPr/>
        <w:t>活动，并配合工信部推进的“中小企业服务年”及“两化融合成果展”工作，与全国生</w:t>
      </w:r>
      <w:r>
        <w:rPr>
          <w:spacing w:val="-65"/>
        </w:rPr>
        <w:t> </w:t>
      </w:r>
      <w:r>
        <w:rPr>
          <w:spacing w:val="-65"/>
        </w:rPr>
      </w:r>
      <w:r>
        <w:rPr/>
        <w:t>产力促进中心合作推进“创新中国行活动”，进一步提升小微企业客户的信息化意识与</w:t>
      </w:r>
      <w:r>
        <w:rPr>
          <w:spacing w:val="-65"/>
        </w:rPr>
        <w:t> </w:t>
      </w:r>
      <w:r>
        <w:rPr>
          <w:spacing w:val="-65"/>
        </w:rPr>
      </w:r>
      <w:r>
        <w:rPr/>
        <w:t>应用水平，有效支持了国家针对小微企业政策导向所要求的相关工作。为进一步服务好</w:t>
      </w:r>
      <w:r>
        <w:rPr>
          <w:spacing w:val="-65"/>
        </w:rPr>
        <w:t> </w:t>
      </w:r>
      <w:r>
        <w:rPr>
          <w:spacing w:val="-65"/>
        </w:rPr>
      </w:r>
      <w:r>
        <w:rPr/>
        <w:t>小微企业信息化建设，畅捷通公司在报告期内启动全国“畅捷服务”联盟计划，开启服</w:t>
      </w:r>
      <w:r>
        <w:rPr>
          <w:spacing w:val="-65"/>
        </w:rPr>
        <w:t> </w:t>
      </w:r>
      <w:r>
        <w:rPr>
          <w:spacing w:val="-65"/>
        </w:rPr>
      </w:r>
      <w:r>
        <w:rPr/>
        <w:t>务管理、客户经营的新阶段，客户服务满意度稳步提升。</w:t>
      </w:r>
    </w:p>
    <w:p>
      <w:pPr>
        <w:pStyle w:val="Heading3"/>
        <w:spacing w:line="240" w:lineRule="auto"/>
        <w:ind w:left="618" w:right="232"/>
        <w:jc w:val="left"/>
      </w:pPr>
      <w:r>
        <w:rPr>
          <w:rFonts w:ascii="宋体" w:hAnsi="宋体" w:cs="宋体" w:eastAsia="宋体" w:hint="default"/>
        </w:rPr>
        <w:t>4</w:t>
      </w:r>
      <w:r>
        <w:rPr/>
        <w:t>）面向行业和领域的产品与解决方案业务发展情况</w:t>
      </w:r>
    </w:p>
    <w:p>
      <w:pPr>
        <w:spacing w:after="0" w:line="240" w:lineRule="auto"/>
        <w:jc w:val="left"/>
        <w:sectPr>
          <w:pgSz w:w="11910" w:h="16850"/>
          <w:pgMar w:header="752" w:footer="730" w:top="1020" w:bottom="920" w:left="1280" w:right="1080"/>
        </w:sectPr>
      </w:pPr>
    </w:p>
    <w:p>
      <w:pPr>
        <w:spacing w:line="240" w:lineRule="auto" w:before="9"/>
        <w:rPr>
          <w:rFonts w:ascii="宋体" w:hAnsi="宋体" w:cs="宋体" w:eastAsia="宋体" w:hint="default"/>
          <w:sz w:val="26"/>
          <w:szCs w:val="26"/>
        </w:rPr>
      </w:pPr>
    </w:p>
    <w:p>
      <w:pPr>
        <w:pStyle w:val="Heading3"/>
        <w:spacing w:line="388" w:lineRule="auto" w:before="26"/>
        <w:ind w:left="618" w:right="126"/>
        <w:jc w:val="left"/>
        <w:rPr>
          <w:rFonts w:ascii="宋体" w:hAnsi="宋体" w:cs="宋体" w:eastAsia="宋体" w:hint="default"/>
        </w:rPr>
      </w:pPr>
      <w:r>
        <w:rPr/>
        <w:t>① 面向财政与行政事业单位的产品与解决方案业务发展情况 </w:t>
      </w:r>
      <w:r>
        <w:rPr>
          <w:spacing w:val="-11"/>
        </w:rPr>
        <w:t>报告期内，北京用友政务软件有限公司（下称“用友政务公司”）发布了用友</w:t>
      </w:r>
      <w:r>
        <w:rPr>
          <w:spacing w:val="-44"/>
        </w:rPr>
        <w:t> </w:t>
      </w:r>
      <w:r>
        <w:rPr>
          <w:rFonts w:ascii="宋体" w:hAnsi="宋体" w:cs="宋体" w:eastAsia="宋体" w:hint="default"/>
        </w:rPr>
        <w:t>GRP-A++</w:t>
      </w:r>
    </w:p>
    <w:p>
      <w:pPr>
        <w:pStyle w:val="Heading3"/>
        <w:spacing w:line="240" w:lineRule="exact" w:before="0"/>
        <w:ind w:right="0"/>
        <w:jc w:val="both"/>
      </w:pPr>
      <w:r>
        <w:rPr/>
        <w:t>的非税收入管理系统、财政综合业务管理系统</w:t>
      </w:r>
      <w:r>
        <w:rPr>
          <w:spacing w:val="-97"/>
        </w:rPr>
        <w:t> </w:t>
      </w:r>
      <w:r>
        <w:rPr>
          <w:rFonts w:ascii="宋体" w:hAnsi="宋体" w:cs="宋体" w:eastAsia="宋体" w:hint="default"/>
          <w:spacing w:val="-4"/>
        </w:rPr>
        <w:t>6.0</w:t>
      </w:r>
      <w:r>
        <w:rPr>
          <w:spacing w:val="-4"/>
        </w:rPr>
        <w:t>、社保基金管理软件、综合计划财务系</w:t>
      </w:r>
    </w:p>
    <w:p>
      <w:pPr>
        <w:pStyle w:val="Heading3"/>
        <w:spacing w:line="297" w:lineRule="auto" w:before="74"/>
        <w:ind w:right="141"/>
        <w:jc w:val="both"/>
      </w:pPr>
      <w:r>
        <w:rPr/>
        <w:t>统</w:t>
      </w:r>
      <w:r>
        <w:rPr>
          <w:spacing w:val="-60"/>
        </w:rPr>
        <w:t> </w:t>
      </w:r>
      <w:r>
        <w:rPr>
          <w:rFonts w:ascii="宋体" w:hAnsi="宋体" w:cs="宋体" w:eastAsia="宋体" w:hint="default"/>
          <w:spacing w:val="-3"/>
        </w:rPr>
        <w:t>6.0</w:t>
      </w:r>
      <w:r>
        <w:rPr>
          <w:spacing w:val="-3"/>
        </w:rPr>
        <w:t>、报表汇总统计分析系统等产品；完成新的政府服务产品体系总体规划，发布了标</w:t>
      </w:r>
      <w:r>
        <w:rPr/>
        <w:t> 准支持服务产品</w:t>
      </w:r>
      <w:r>
        <w:rPr>
          <w:spacing w:val="-60"/>
        </w:rPr>
        <w:t> </w:t>
      </w:r>
      <w:r>
        <w:rPr>
          <w:rFonts w:ascii="宋体" w:hAnsi="宋体" w:cs="宋体" w:eastAsia="宋体" w:hint="default"/>
        </w:rPr>
        <w:t>V1.0</w:t>
      </w:r>
      <w:r>
        <w:rPr/>
        <w:t>。</w:t>
      </w:r>
    </w:p>
    <w:p>
      <w:pPr>
        <w:pStyle w:val="Heading3"/>
        <w:spacing w:line="297" w:lineRule="auto" w:before="139"/>
        <w:ind w:right="135" w:firstLine="480"/>
        <w:jc w:val="both"/>
      </w:pPr>
      <w:r>
        <w:rPr/>
        <w:t>用友政务公司在财政业务领域成功中标签约多项财政核心业务系统；计划财务市场</w:t>
      </w:r>
      <w:r>
        <w:rPr>
          <w:spacing w:val="2"/>
        </w:rPr>
        <w:t> </w:t>
      </w:r>
      <w:r>
        <w:rPr/>
        <w:t>新增客户超过 </w:t>
      </w:r>
      <w:r>
        <w:rPr>
          <w:rFonts w:ascii="宋体" w:hAnsi="宋体" w:cs="宋体" w:eastAsia="宋体" w:hint="default"/>
        </w:rPr>
        <w:t>120</w:t>
      </w:r>
      <w:r>
        <w:rPr>
          <w:rFonts w:ascii="宋体" w:hAnsi="宋体" w:cs="宋体" w:eastAsia="宋体" w:hint="default"/>
          <w:spacing w:val="-57"/>
        </w:rPr>
        <w:t> </w:t>
      </w:r>
      <w:r>
        <w:rPr/>
        <w:t>个；社保领域，实现部分系统全国推广，取得较好市场效果；税务市 场，完成税务相关产品的发版并进行了实施推广。</w:t>
      </w:r>
    </w:p>
    <w:p>
      <w:pPr>
        <w:pStyle w:val="Heading3"/>
        <w:spacing w:line="388" w:lineRule="auto"/>
        <w:ind w:left="618" w:right="124"/>
        <w:jc w:val="left"/>
      </w:pPr>
      <w:r>
        <w:rPr/>
        <w:t>② 面向汽车行业的产品与解决方案业务发展情况 报告期内，用友汽车信息科技（上海）有限公司</w:t>
      </w:r>
      <w:r>
        <w:rPr>
          <w:rFonts w:ascii="宋体" w:hAnsi="宋体" w:cs="宋体" w:eastAsia="宋体" w:hint="default"/>
        </w:rPr>
        <w:t>(</w:t>
      </w:r>
      <w:r>
        <w:rPr/>
        <w:t>下称“用友汽车公司”)发布了用</w:t>
      </w:r>
    </w:p>
    <w:p>
      <w:pPr>
        <w:pStyle w:val="Heading3"/>
        <w:spacing w:line="240" w:lineRule="exact" w:before="0"/>
        <w:ind w:right="0"/>
        <w:jc w:val="both"/>
      </w:pPr>
      <w:r>
        <w:rPr/>
        <w:t>友经销商集团综合业务管理系统</w:t>
      </w:r>
      <w:r>
        <w:rPr>
          <w:spacing w:val="-74"/>
        </w:rPr>
        <w:t> </w:t>
      </w:r>
      <w:r>
        <w:rPr>
          <w:rFonts w:ascii="宋体" w:hAnsi="宋体" w:cs="宋体" w:eastAsia="宋体" w:hint="default"/>
        </w:rPr>
        <w:t>V2.0</w:t>
      </w:r>
      <w:r>
        <w:rPr/>
        <w:t>、用友整车厂经销商协同管理系统</w:t>
      </w:r>
      <w:r>
        <w:rPr>
          <w:spacing w:val="-74"/>
        </w:rPr>
        <w:t> </w:t>
      </w:r>
      <w:r>
        <w:rPr>
          <w:rFonts w:ascii="宋体" w:hAnsi="宋体" w:cs="宋体" w:eastAsia="宋体" w:hint="default"/>
          <w:spacing w:val="-3"/>
        </w:rPr>
        <w:t>V2.0</w:t>
      </w:r>
      <w:r>
        <w:rPr>
          <w:spacing w:val="-3"/>
        </w:rPr>
        <w:t>、用友汽车</w:t>
      </w:r>
    </w:p>
    <w:p>
      <w:pPr>
        <w:pStyle w:val="Heading3"/>
        <w:spacing w:line="388" w:lineRule="auto" w:before="74"/>
        <w:ind w:left="618" w:right="124" w:hanging="480"/>
        <w:jc w:val="left"/>
      </w:pPr>
      <w:r>
        <w:rPr/>
        <w:t>经销商管理系统</w:t>
      </w:r>
      <w:r>
        <w:rPr>
          <w:spacing w:val="-60"/>
        </w:rPr>
        <w:t> </w:t>
      </w:r>
      <w:r>
        <w:rPr>
          <w:rFonts w:ascii="宋体" w:hAnsi="宋体" w:cs="宋体" w:eastAsia="宋体" w:hint="default"/>
        </w:rPr>
        <w:t>V5.5</w:t>
      </w:r>
      <w:r>
        <w:rPr/>
        <w:t>、用友数字化汽车经销商精益车间管理软件</w:t>
      </w:r>
      <w:r>
        <w:rPr>
          <w:spacing w:val="-60"/>
        </w:rPr>
        <w:t> </w:t>
      </w:r>
      <w:r>
        <w:rPr>
          <w:rFonts w:ascii="宋体" w:hAnsi="宋体" w:cs="宋体" w:eastAsia="宋体" w:hint="default"/>
        </w:rPr>
        <w:t>V2.5</w:t>
      </w:r>
      <w:r>
        <w:rPr>
          <w:rFonts w:ascii="宋体" w:hAnsi="宋体" w:cs="宋体" w:eastAsia="宋体" w:hint="default"/>
          <w:spacing w:val="-60"/>
        </w:rPr>
        <w:t> </w:t>
      </w:r>
      <w:r>
        <w:rPr/>
        <w:t>等产品。 用友汽车公司继续大力拓展新业务与战略客户，在汽车行业营销与售后服务领域继</w:t>
      </w:r>
    </w:p>
    <w:p>
      <w:pPr>
        <w:pStyle w:val="Heading3"/>
        <w:spacing w:line="240" w:lineRule="exact" w:before="0"/>
        <w:ind w:right="0"/>
        <w:jc w:val="both"/>
      </w:pPr>
      <w:r>
        <w:rPr/>
        <w:t>续扩大领先优势，保持在汽车经销商管理（</w:t>
      </w:r>
      <w:r>
        <w:rPr>
          <w:rFonts w:ascii="宋体" w:hAnsi="宋体" w:cs="宋体" w:eastAsia="宋体" w:hint="default"/>
        </w:rPr>
        <w:t>DMS</w:t>
      </w:r>
      <w:r>
        <w:rPr/>
        <w:t>）与汽车销售服务管理（</w:t>
      </w:r>
      <w:r>
        <w:rPr>
          <w:rFonts w:ascii="宋体" w:hAnsi="宋体" w:cs="宋体" w:eastAsia="宋体" w:hint="default"/>
        </w:rPr>
        <w:t>DCS</w:t>
      </w:r>
      <w:r>
        <w:rPr/>
        <w:t>）方面的领</w:t>
      </w:r>
    </w:p>
    <w:p>
      <w:pPr>
        <w:pStyle w:val="Heading3"/>
        <w:spacing w:line="297" w:lineRule="auto" w:before="77"/>
        <w:ind w:right="138"/>
        <w:jc w:val="both"/>
      </w:pPr>
      <w:r>
        <w:rPr/>
        <w:t>先地位，并在商用车、摩托车和工程机械等子行业取得较大突破。用友汽车公司软件产</w:t>
      </w:r>
      <w:r>
        <w:rPr>
          <w:spacing w:val="-65"/>
        </w:rPr>
        <w:t> </w:t>
      </w:r>
      <w:r>
        <w:rPr>
          <w:spacing w:val="-65"/>
        </w:rPr>
      </w:r>
      <w:r>
        <w:rPr/>
        <w:t>品售后服务收入稳步提高。</w:t>
      </w:r>
    </w:p>
    <w:p>
      <w:pPr>
        <w:pStyle w:val="Heading3"/>
        <w:spacing w:line="388" w:lineRule="auto"/>
        <w:ind w:left="618" w:right="124"/>
        <w:jc w:val="left"/>
      </w:pPr>
      <w:r>
        <w:rPr/>
        <w:t>③ 面向金融行业的产品与解决方案业务发展情况 </w:t>
      </w:r>
      <w:r>
        <w:rPr>
          <w:spacing w:val="-2"/>
        </w:rPr>
        <w:t>报告期内，用友金融信息技术有限公司</w:t>
      </w:r>
      <w:r>
        <w:rPr>
          <w:rFonts w:ascii="宋体" w:hAnsi="宋体" w:cs="宋体" w:eastAsia="宋体" w:hint="default"/>
          <w:spacing w:val="-2"/>
        </w:rPr>
        <w:t>(</w:t>
      </w:r>
      <w:r>
        <w:rPr>
          <w:spacing w:val="-2"/>
        </w:rPr>
        <w:t>原名北京用友金融软件系统有限公司，下称</w:t>
      </w:r>
    </w:p>
    <w:p>
      <w:pPr>
        <w:pStyle w:val="Heading3"/>
        <w:spacing w:line="240" w:lineRule="exact" w:before="0"/>
        <w:ind w:right="0"/>
        <w:jc w:val="both"/>
      </w:pPr>
      <w:r>
        <w:rPr/>
        <w:t>“用友金融公司”)重新启动公司化业务运行，重点发展和推进金融</w:t>
      </w:r>
      <w:r>
        <w:rPr>
          <w:spacing w:val="-56"/>
        </w:rPr>
        <w:t> </w:t>
      </w:r>
      <w:r>
        <w:rPr>
          <w:rFonts w:ascii="宋体" w:hAnsi="宋体" w:cs="宋体" w:eastAsia="宋体" w:hint="default"/>
        </w:rPr>
        <w:t>ERP</w:t>
      </w:r>
      <w:r>
        <w:rPr/>
        <w:t>、管理会计、风</w:t>
      </w:r>
    </w:p>
    <w:p>
      <w:pPr>
        <w:pStyle w:val="Heading3"/>
        <w:spacing w:line="297" w:lineRule="auto" w:before="74"/>
        <w:ind w:right="138"/>
        <w:jc w:val="both"/>
      </w:pPr>
      <w:r>
        <w:rPr/>
        <w:t>险管理和全面绩效管理等金融企业管理解决方案，发版了金融资金交易系统、资本管理</w:t>
      </w:r>
      <w:r>
        <w:rPr>
          <w:spacing w:val="-65"/>
        </w:rPr>
        <w:t> </w:t>
      </w:r>
      <w:r>
        <w:rPr>
          <w:spacing w:val="-65"/>
        </w:rPr>
      </w:r>
      <w:r>
        <w:rPr/>
        <w:t>两个新产品，提升了用友金融公司在金融管理系统领域较强的市场竞争力。用友金融公</w:t>
      </w:r>
      <w:r>
        <w:rPr>
          <w:spacing w:val="-65"/>
        </w:rPr>
        <w:t> </w:t>
      </w:r>
      <w:r>
        <w:rPr>
          <w:spacing w:val="-65"/>
        </w:rPr>
      </w:r>
      <w:r>
        <w:rPr/>
        <w:t>司企业年金及福利计划解决方案继续保持国内领先地位，并保持较高的市场占有率。金</w:t>
      </w:r>
      <w:r>
        <w:rPr>
          <w:spacing w:val="-65"/>
        </w:rPr>
        <w:t> </w:t>
      </w:r>
      <w:r>
        <w:rPr>
          <w:spacing w:val="-65"/>
        </w:rPr>
      </w:r>
      <w:r>
        <w:rPr/>
        <w:t>融租赁解决方案业务在客户交付、产品发展和新客户拓展等方面取得突破。</w:t>
      </w:r>
    </w:p>
    <w:p>
      <w:pPr>
        <w:pStyle w:val="Heading3"/>
        <w:spacing w:line="388" w:lineRule="auto" w:before="139"/>
        <w:ind w:left="618" w:right="124"/>
        <w:jc w:val="left"/>
      </w:pPr>
      <w:r>
        <w:rPr/>
        <w:t>④ 面向烟草行业的产品与解决方案业务发展情况 报告期内，厦门用友烟草软件有限责任公司</w:t>
      </w:r>
      <w:r>
        <w:rPr>
          <w:rFonts w:ascii="宋体" w:hAnsi="宋体" w:cs="宋体" w:eastAsia="宋体" w:hint="default"/>
        </w:rPr>
        <w:t>(</w:t>
      </w:r>
      <w:r>
        <w:rPr/>
        <w:t>下称“用友烟草公司”)重点推动行业</w:t>
      </w:r>
    </w:p>
    <w:p>
      <w:pPr>
        <w:pStyle w:val="Heading3"/>
        <w:spacing w:line="240" w:lineRule="exact" w:before="0"/>
        <w:ind w:right="0"/>
        <w:jc w:val="both"/>
      </w:pPr>
      <w:r>
        <w:rPr/>
        <w:t>“核算、预算、资产、资金监管”的财务四融合项目，本年度已经完成试点单位上线工</w:t>
      </w:r>
    </w:p>
    <w:p>
      <w:pPr>
        <w:pStyle w:val="Heading3"/>
        <w:spacing w:line="297" w:lineRule="auto" w:before="74"/>
        <w:ind w:right="138"/>
        <w:jc w:val="both"/>
      </w:pPr>
      <w:r>
        <w:rPr/>
        <w:t>作。在财务管理领域继续保持并积极巩固行业领先地位；工业 </w:t>
      </w:r>
      <w:r>
        <w:rPr>
          <w:rFonts w:ascii="宋体" w:hAnsi="宋体" w:cs="宋体" w:eastAsia="宋体" w:hint="default"/>
        </w:rPr>
        <w:t>ERP</w:t>
      </w:r>
      <w:r>
        <w:rPr>
          <w:rFonts w:ascii="宋体" w:hAnsi="宋体" w:cs="宋体" w:eastAsia="宋体" w:hint="default"/>
          <w:spacing w:val="-56"/>
        </w:rPr>
        <w:t> </w:t>
      </w:r>
      <w:r>
        <w:rPr/>
        <w:t>项目在中烟实业下属 </w:t>
      </w:r>
      <w:r>
        <w:rPr>
          <w:spacing w:val="-3"/>
        </w:rPr>
        <w:t>的多家工业公司积极推广，已经取得良好的业务进展。部分客户已经实现</w:t>
      </w:r>
      <w:r>
        <w:rPr>
          <w:spacing w:val="-44"/>
        </w:rPr>
        <w:t> </w:t>
      </w:r>
      <w:r>
        <w:rPr>
          <w:rFonts w:ascii="宋体" w:hAnsi="宋体" w:cs="宋体" w:eastAsia="宋体" w:hint="default"/>
          <w:spacing w:val="-5"/>
        </w:rPr>
        <w:t>ABU</w:t>
      </w:r>
      <w:r>
        <w:rPr>
          <w:spacing w:val="-5"/>
        </w:rPr>
        <w:t>（客户业务</w:t>
      </w:r>
      <w:r>
        <w:rPr>
          <w:spacing w:val="-118"/>
        </w:rPr>
        <w:t> </w:t>
      </w:r>
      <w:r>
        <w:rPr/>
        <w:t>部）模式经营，在深度服务客户的同时完善公司级工业</w:t>
      </w:r>
      <w:r>
        <w:rPr>
          <w:spacing w:val="-44"/>
        </w:rPr>
        <w:t> </w:t>
      </w:r>
      <w:r>
        <w:rPr>
          <w:rFonts w:ascii="宋体" w:hAnsi="宋体" w:cs="宋体" w:eastAsia="宋体" w:hint="default"/>
        </w:rPr>
        <w:t>ERP</w:t>
      </w:r>
      <w:r>
        <w:rPr>
          <w:rFonts w:ascii="宋体" w:hAnsi="宋体" w:cs="宋体" w:eastAsia="宋体" w:hint="default"/>
          <w:spacing w:val="-44"/>
        </w:rPr>
        <w:t> </w:t>
      </w:r>
      <w:r>
        <w:rPr/>
        <w:t>产品；商业</w:t>
      </w:r>
      <w:r>
        <w:rPr>
          <w:spacing w:val="-44"/>
        </w:rPr>
        <w:t> </w:t>
      </w:r>
      <w:r>
        <w:rPr>
          <w:rFonts w:ascii="宋体" w:hAnsi="宋体" w:cs="宋体" w:eastAsia="宋体" w:hint="default"/>
        </w:rPr>
        <w:t>ERP</w:t>
      </w:r>
      <w:r>
        <w:rPr>
          <w:rFonts w:ascii="宋体" w:hAnsi="宋体" w:cs="宋体" w:eastAsia="宋体" w:hint="default"/>
          <w:spacing w:val="-44"/>
        </w:rPr>
        <w:t> </w:t>
      </w:r>
      <w:r>
        <w:rPr/>
        <w:t>产品取得一 定的业务商机。</w:t>
      </w:r>
    </w:p>
    <w:p>
      <w:pPr>
        <w:pStyle w:val="Heading3"/>
        <w:spacing w:line="388" w:lineRule="auto"/>
        <w:ind w:left="618" w:right="124"/>
        <w:jc w:val="left"/>
      </w:pPr>
      <w:r>
        <w:rPr/>
        <w:t>⑤ 面向医疗卫生行业的产品与解决方案业务发展情况 报告期内，用友医疗卫生信息系统有限公司（下称“用友医疗公司”）</w:t>
      </w:r>
      <w:r>
        <w:rPr>
          <w:spacing w:val="-56"/>
        </w:rPr>
        <w:t> </w:t>
      </w:r>
      <w:r>
        <w:rPr/>
        <w:t>发版并上市</w:t>
      </w:r>
    </w:p>
    <w:p>
      <w:pPr>
        <w:pStyle w:val="Heading3"/>
        <w:spacing w:line="242" w:lineRule="exact" w:before="0"/>
        <w:ind w:right="0"/>
        <w:jc w:val="both"/>
      </w:pPr>
      <w:r>
        <w:rPr/>
        <w:t>了基层医疗卫生信息系统</w:t>
      </w:r>
      <w:r>
        <w:rPr>
          <w:spacing w:val="-58"/>
        </w:rPr>
        <w:t> </w:t>
      </w:r>
      <w:r>
        <w:rPr>
          <w:rFonts w:ascii="宋体" w:hAnsi="宋体" w:cs="宋体" w:eastAsia="宋体" w:hint="default"/>
        </w:rPr>
        <w:t>PHS V2.4</w:t>
      </w:r>
      <w:r>
        <w:rPr/>
        <w:t>，全面启动区域卫生信息平台</w:t>
      </w:r>
      <w:r>
        <w:rPr>
          <w:spacing w:val="-58"/>
        </w:rPr>
        <w:t> </w:t>
      </w:r>
      <w:r>
        <w:rPr>
          <w:rFonts w:ascii="宋体" w:hAnsi="宋体" w:cs="宋体" w:eastAsia="宋体" w:hint="default"/>
        </w:rPr>
        <w:t>RHIP V3.0</w:t>
      </w:r>
      <w:r>
        <w:rPr>
          <w:rFonts w:ascii="宋体" w:hAnsi="宋体" w:cs="宋体" w:eastAsia="宋体" w:hint="default"/>
          <w:spacing w:val="-58"/>
        </w:rPr>
        <w:t> </w:t>
      </w:r>
      <w:r>
        <w:rPr/>
        <w:t>新版产品研</w:t>
      </w:r>
    </w:p>
    <w:p>
      <w:pPr>
        <w:spacing w:after="0" w:line="242" w:lineRule="exact"/>
        <w:jc w:val="both"/>
        <w:sectPr>
          <w:pgSz w:w="11910" w:h="16850"/>
          <w:pgMar w:header="752" w:footer="730" w:top="1020" w:bottom="920" w:left="1280" w:right="1160"/>
        </w:sectPr>
      </w:pPr>
    </w:p>
    <w:p>
      <w:pPr>
        <w:spacing w:line="240" w:lineRule="auto" w:before="9"/>
        <w:rPr>
          <w:rFonts w:ascii="宋体" w:hAnsi="宋体" w:cs="宋体" w:eastAsia="宋体" w:hint="default"/>
          <w:sz w:val="26"/>
          <w:szCs w:val="26"/>
        </w:rPr>
      </w:pPr>
    </w:p>
    <w:p>
      <w:pPr>
        <w:pStyle w:val="Heading3"/>
        <w:spacing w:line="297" w:lineRule="auto" w:before="26"/>
        <w:ind w:right="158"/>
        <w:jc w:val="both"/>
      </w:pPr>
      <w:r>
        <w:rPr/>
        <w:t>发，围绕县乡村一体化解决方案，核心产品研发取得较大进展。根据市场需求，用友医</w:t>
      </w:r>
      <w:r>
        <w:rPr>
          <w:spacing w:val="-65"/>
        </w:rPr>
        <w:t> </w:t>
      </w:r>
      <w:r>
        <w:rPr>
          <w:spacing w:val="-65"/>
        </w:rPr>
      </w:r>
      <w:r>
        <w:rPr/>
        <w:t>疗公司推出“智慧健康城市解决方案”，提升了面向区域卫生、县乡村一体化、大中型</w:t>
      </w:r>
      <w:r>
        <w:rPr>
          <w:spacing w:val="-65"/>
        </w:rPr>
        <w:t> </w:t>
      </w:r>
      <w:r>
        <w:rPr>
          <w:spacing w:val="-65"/>
        </w:rPr>
      </w:r>
      <w:r>
        <w:rPr/>
        <w:t>医疗机构运营管理等三大目标市场解决方案的竞争力。</w:t>
      </w:r>
    </w:p>
    <w:p>
      <w:pPr>
        <w:pStyle w:val="Heading3"/>
        <w:spacing w:line="388" w:lineRule="auto"/>
        <w:ind w:left="618" w:right="0"/>
        <w:jc w:val="left"/>
      </w:pPr>
      <w:r>
        <w:rPr/>
        <w:t>⑥ 面向审计领域的产品与解决方案业务发展情况 报告期内，北京用友审计软件有限公司（下称“用友审计公司”）继续贯彻“聚焦</w:t>
      </w:r>
    </w:p>
    <w:p>
      <w:pPr>
        <w:pStyle w:val="Heading3"/>
        <w:spacing w:line="242" w:lineRule="exact" w:before="0"/>
        <w:ind w:right="0"/>
        <w:jc w:val="left"/>
      </w:pPr>
      <w:r>
        <w:rPr/>
        <w:t>内审、聚焦行业”的业务策略，成功推出了审计、风控一体化解决方案，发版了用友审</w:t>
      </w:r>
    </w:p>
    <w:p>
      <w:pPr>
        <w:pStyle w:val="Heading3"/>
        <w:spacing w:line="297" w:lineRule="auto" w:before="74"/>
        <w:ind w:right="158"/>
        <w:jc w:val="both"/>
      </w:pPr>
      <w:r>
        <w:rPr/>
        <w:t>计管理系统</w:t>
      </w:r>
      <w:r>
        <w:rPr>
          <w:spacing w:val="-74"/>
        </w:rPr>
        <w:t> </w:t>
      </w:r>
      <w:r>
        <w:rPr>
          <w:rFonts w:ascii="宋体" w:hAnsi="宋体" w:cs="宋体" w:eastAsia="宋体" w:hint="default"/>
        </w:rPr>
        <w:t>V5.85</w:t>
      </w:r>
      <w:r>
        <w:rPr/>
        <w:t>、用友在线审计作业系统</w:t>
      </w:r>
      <w:r>
        <w:rPr>
          <w:spacing w:val="-74"/>
        </w:rPr>
        <w:t> </w:t>
      </w:r>
      <w:r>
        <w:rPr>
          <w:rFonts w:ascii="宋体" w:hAnsi="宋体" w:cs="宋体" w:eastAsia="宋体" w:hint="default"/>
        </w:rPr>
        <w:t>V5.85</w:t>
      </w:r>
      <w:r>
        <w:rPr/>
        <w:t>、用友审计监控预警系统</w:t>
      </w:r>
      <w:r>
        <w:rPr>
          <w:spacing w:val="-74"/>
        </w:rPr>
        <w:t> </w:t>
      </w:r>
      <w:r>
        <w:rPr>
          <w:rFonts w:ascii="宋体" w:hAnsi="宋体" w:cs="宋体" w:eastAsia="宋体" w:hint="default"/>
        </w:rPr>
        <w:t>V5.85</w:t>
      </w:r>
      <w:r>
        <w:rPr>
          <w:rFonts w:ascii="宋体" w:hAnsi="宋体" w:cs="宋体" w:eastAsia="宋体" w:hint="default"/>
          <w:spacing w:val="-74"/>
        </w:rPr>
        <w:t> </w:t>
      </w:r>
      <w:r>
        <w:rPr/>
        <w:t>以及用 友现场审计作业系统（审易）</w:t>
      </w:r>
      <w:r>
        <w:rPr>
          <w:rFonts w:ascii="宋体" w:hAnsi="宋体" w:cs="宋体" w:eastAsia="宋体" w:hint="default"/>
        </w:rPr>
        <w:t>V5.85</w:t>
      </w:r>
      <w:r>
        <w:rPr>
          <w:rFonts w:ascii="宋体" w:hAnsi="宋体" w:cs="宋体" w:eastAsia="宋体" w:hint="default"/>
          <w:spacing w:val="-60"/>
        </w:rPr>
        <w:t> </w:t>
      </w:r>
      <w:r>
        <w:rPr/>
        <w:t>各行业版本等产品。</w:t>
      </w:r>
    </w:p>
    <w:p>
      <w:pPr>
        <w:pStyle w:val="Heading3"/>
        <w:spacing w:line="388" w:lineRule="auto"/>
        <w:ind w:left="618" w:right="0"/>
        <w:jc w:val="left"/>
        <w:rPr>
          <w:rFonts w:ascii="宋体" w:hAnsi="宋体" w:cs="宋体" w:eastAsia="宋体" w:hint="default"/>
        </w:rPr>
      </w:pPr>
      <w:r>
        <w:rPr/>
        <w:t>⑦ 培训教育业务发展情况 报告期内，用友新道科技有限公司（下称“用友新道公司”）按照“实践育人、</w:t>
      </w:r>
      <w:r>
        <w:rPr>
          <w:rFonts w:ascii="宋体" w:hAnsi="宋体" w:cs="宋体" w:eastAsia="宋体" w:hint="default"/>
        </w:rPr>
        <w:t>IT</w:t>
      </w:r>
    </w:p>
    <w:p>
      <w:pPr>
        <w:pStyle w:val="Heading3"/>
        <w:spacing w:line="240" w:lineRule="exact" w:before="0"/>
        <w:ind w:right="0"/>
        <w:jc w:val="left"/>
      </w:pPr>
      <w:r>
        <w:rPr/>
        <w:t>支撑、师资研修”模式，面向本科、高职、中职院校提供综合实训解决方案、人才服务</w:t>
      </w:r>
    </w:p>
    <w:p>
      <w:pPr>
        <w:pStyle w:val="Heading3"/>
        <w:spacing w:line="297" w:lineRule="auto" w:before="74"/>
        <w:ind w:right="158"/>
        <w:jc w:val="both"/>
      </w:pPr>
      <w:r>
        <w:rPr/>
        <w:t>解决方案，以用友新道师资研修院的形式，建立了新型的校企合作模式，业务取得了快</w:t>
      </w:r>
      <w:r>
        <w:rPr>
          <w:spacing w:val="-65"/>
        </w:rPr>
        <w:t> </w:t>
      </w:r>
      <w:r>
        <w:rPr>
          <w:spacing w:val="-65"/>
        </w:rPr>
      </w:r>
      <w:r>
        <w:rPr/>
        <w:t>速发展，确立了该领域市场的领先地位。</w:t>
      </w:r>
    </w:p>
    <w:p>
      <w:pPr>
        <w:pStyle w:val="Heading3"/>
        <w:spacing w:line="297" w:lineRule="auto"/>
        <w:ind w:right="107" w:firstLine="480"/>
        <w:jc w:val="both"/>
      </w:pPr>
      <w:r>
        <w:rPr/>
        <w:t>用友新道公司发布了面向院校客户的综合实习实训平台“虚拟商业社会环境全景仿</w:t>
      </w:r>
      <w:r>
        <w:rPr>
          <w:spacing w:val="2"/>
        </w:rPr>
        <w:t> </w:t>
      </w:r>
      <w:r>
        <w:rPr/>
        <w:t>真系统”（</w:t>
      </w:r>
      <w:r>
        <w:rPr>
          <w:rFonts w:ascii="宋体" w:hAnsi="宋体" w:cs="宋体" w:eastAsia="宋体" w:hint="default"/>
        </w:rPr>
        <w:t>VBSE</w:t>
      </w:r>
      <w:r>
        <w:rPr/>
        <w:t>）综合版</w:t>
      </w:r>
      <w:r>
        <w:rPr>
          <w:spacing w:val="-60"/>
        </w:rPr>
        <w:t> </w:t>
      </w:r>
      <w:r>
        <w:rPr>
          <w:rFonts w:ascii="宋体" w:hAnsi="宋体" w:cs="宋体" w:eastAsia="宋体" w:hint="default"/>
        </w:rPr>
        <w:t>V1.0</w:t>
      </w:r>
      <w:r>
        <w:rPr/>
        <w:t>、</w:t>
      </w:r>
      <w:r>
        <w:rPr>
          <w:rFonts w:ascii="宋体" w:hAnsi="宋体" w:cs="宋体" w:eastAsia="宋体" w:hint="default"/>
        </w:rPr>
        <w:t>V1.1</w:t>
      </w:r>
      <w:r>
        <w:rPr/>
        <w:t>、</w:t>
      </w:r>
      <w:r>
        <w:rPr>
          <w:rFonts w:ascii="宋体" w:hAnsi="宋体" w:cs="宋体" w:eastAsia="宋体" w:hint="default"/>
        </w:rPr>
        <w:t>V2.0</w:t>
      </w:r>
      <w:r>
        <w:rPr>
          <w:rFonts w:ascii="宋体" w:hAnsi="宋体" w:cs="宋体" w:eastAsia="宋体" w:hint="default"/>
          <w:spacing w:val="-60"/>
        </w:rPr>
        <w:t> </w:t>
      </w:r>
      <w:r>
        <w:rPr/>
        <w:t>版、“虚拟商业社会全景仿真系统（</w:t>
      </w:r>
      <w:r>
        <w:rPr>
          <w:rFonts w:ascii="宋体" w:hAnsi="宋体" w:cs="宋体" w:eastAsia="宋体" w:hint="default"/>
        </w:rPr>
        <w:t>VBSE</w:t>
      </w:r>
      <w:r>
        <w:rPr/>
        <w:t>） 财务版</w:t>
      </w:r>
      <w:r>
        <w:rPr>
          <w:spacing w:val="-60"/>
        </w:rPr>
        <w:t> </w:t>
      </w:r>
      <w:r>
        <w:rPr>
          <w:rFonts w:ascii="宋体" w:hAnsi="宋体" w:cs="宋体" w:eastAsia="宋体" w:hint="default"/>
        </w:rPr>
        <w:t>1.0</w:t>
      </w:r>
      <w:r>
        <w:rPr>
          <w:rFonts w:ascii="宋体" w:hAnsi="宋体" w:cs="宋体" w:eastAsia="宋体" w:hint="default"/>
          <w:spacing w:val="-60"/>
        </w:rPr>
        <w:t> </w:t>
      </w:r>
      <w:r>
        <w:rPr/>
        <w:t>版、新道新商战电子沙盘系统</w:t>
      </w:r>
      <w:r>
        <w:rPr>
          <w:spacing w:val="-60"/>
        </w:rPr>
        <w:t> </w:t>
      </w:r>
      <w:r>
        <w:rPr>
          <w:rFonts w:ascii="宋体" w:hAnsi="宋体" w:cs="宋体" w:eastAsia="宋体" w:hint="default"/>
        </w:rPr>
        <w:t>V1.0 </w:t>
      </w:r>
      <w:r>
        <w:rPr/>
        <w:t>、新道新创业者电子沙盘系统</w:t>
      </w:r>
      <w:r>
        <w:rPr>
          <w:spacing w:val="-60"/>
        </w:rPr>
        <w:t> </w:t>
      </w:r>
      <w:r>
        <w:rPr>
          <w:rFonts w:ascii="宋体" w:hAnsi="宋体" w:cs="宋体" w:eastAsia="宋体" w:hint="default"/>
        </w:rPr>
        <w:t>V1.0</w:t>
      </w:r>
      <w:r>
        <w:rPr>
          <w:rFonts w:ascii="宋体" w:hAnsi="宋体" w:cs="宋体" w:eastAsia="宋体" w:hint="default"/>
          <w:spacing w:val="-60"/>
        </w:rPr>
        <w:t> </w:t>
      </w:r>
      <w:r>
        <w:rPr/>
        <w:t>等产 品。</w:t>
      </w:r>
    </w:p>
    <w:p>
      <w:pPr>
        <w:pStyle w:val="Heading3"/>
        <w:spacing w:line="388" w:lineRule="auto"/>
        <w:ind w:left="618" w:right="0"/>
        <w:jc w:val="left"/>
      </w:pPr>
      <w:r>
        <w:rPr/>
        <w:t>⑧ 商业智能（</w:t>
      </w:r>
      <w:r>
        <w:rPr>
          <w:rFonts w:ascii="宋体" w:hAnsi="宋体" w:cs="宋体" w:eastAsia="宋体" w:hint="default"/>
        </w:rPr>
        <w:t>BI</w:t>
      </w:r>
      <w:r>
        <w:rPr/>
        <w:t>）业务发展情况 报告期内，北京用友华表软件技术有限公司（下称“用友华表公司”）发布了用友</w:t>
      </w:r>
    </w:p>
    <w:p>
      <w:pPr>
        <w:pStyle w:val="Heading3"/>
        <w:spacing w:line="240" w:lineRule="exact" w:before="0"/>
        <w:ind w:right="0"/>
        <w:jc w:val="left"/>
      </w:pPr>
      <w:r>
        <w:rPr>
          <w:rFonts w:ascii="宋体" w:hAnsi="宋体" w:cs="宋体" w:eastAsia="宋体" w:hint="default"/>
        </w:rPr>
        <w:t>BQ</w:t>
      </w:r>
      <w:r>
        <w:rPr>
          <w:rFonts w:ascii="宋体" w:hAnsi="宋体" w:cs="宋体" w:eastAsia="宋体" w:hint="default"/>
          <w:spacing w:val="-44"/>
        </w:rPr>
        <w:t> </w:t>
      </w:r>
      <w:r>
        <w:rPr/>
        <w:t>商业智能平台</w:t>
      </w:r>
      <w:r>
        <w:rPr>
          <w:spacing w:val="-44"/>
        </w:rPr>
        <w:t> </w:t>
      </w:r>
      <w:r>
        <w:rPr>
          <w:rFonts w:ascii="宋体" w:hAnsi="宋体" w:cs="宋体" w:eastAsia="宋体" w:hint="default"/>
        </w:rPr>
        <w:t>Unicode</w:t>
      </w:r>
      <w:r>
        <w:rPr>
          <w:rFonts w:ascii="宋体" w:hAnsi="宋体" w:cs="宋体" w:eastAsia="宋体" w:hint="default"/>
          <w:spacing w:val="-44"/>
        </w:rPr>
        <w:t> </w:t>
      </w:r>
      <w:r>
        <w:rPr/>
        <w:t>版、决策体验产品用友</w:t>
      </w:r>
      <w:r>
        <w:rPr>
          <w:spacing w:val="-44"/>
        </w:rPr>
        <w:t> </w:t>
      </w:r>
      <w:r>
        <w:rPr>
          <w:rFonts w:ascii="宋体" w:hAnsi="宋体" w:cs="宋体" w:eastAsia="宋体" w:hint="default"/>
        </w:rPr>
        <w:t>BQ</w:t>
      </w:r>
      <w:r>
        <w:rPr>
          <w:rFonts w:ascii="宋体" w:hAnsi="宋体" w:cs="宋体" w:eastAsia="宋体" w:hint="default"/>
          <w:spacing w:val="-44"/>
        </w:rPr>
        <w:t> </w:t>
      </w:r>
      <w:r>
        <w:rPr/>
        <w:t>企业驾驶舱</w:t>
      </w:r>
      <w:r>
        <w:rPr>
          <w:spacing w:val="-44"/>
        </w:rPr>
        <w:t> </w:t>
      </w:r>
      <w:r>
        <w:rPr>
          <w:rFonts w:ascii="宋体" w:hAnsi="宋体" w:cs="宋体" w:eastAsia="宋体" w:hint="default"/>
        </w:rPr>
        <w:t>2.0</w:t>
      </w:r>
      <w:r>
        <w:rPr/>
        <w:t>、</w:t>
      </w:r>
      <w:r>
        <w:rPr>
          <w:rFonts w:ascii="宋体" w:hAnsi="宋体" w:cs="宋体" w:eastAsia="宋体" w:hint="default"/>
        </w:rPr>
        <w:t>BQ</w:t>
      </w:r>
      <w:r>
        <w:rPr>
          <w:rFonts w:ascii="宋体" w:hAnsi="宋体" w:cs="宋体" w:eastAsia="宋体" w:hint="default"/>
          <w:spacing w:val="-44"/>
        </w:rPr>
        <w:t> </w:t>
      </w:r>
      <w:r>
        <w:rPr/>
        <w:t>商业智能平台</w:t>
      </w:r>
    </w:p>
    <w:p>
      <w:pPr>
        <w:pStyle w:val="Heading3"/>
        <w:spacing w:line="388" w:lineRule="auto" w:before="74"/>
        <w:ind w:left="618" w:right="808" w:hanging="480"/>
        <w:jc w:val="left"/>
      </w:pPr>
      <w:r>
        <w:rPr>
          <w:rFonts w:ascii="宋体" w:hAnsi="宋体" w:cs="宋体" w:eastAsia="宋体" w:hint="default"/>
        </w:rPr>
        <w:t>V7.8</w:t>
      </w:r>
      <w:r>
        <w:rPr/>
        <w:t>和移动</w:t>
      </w:r>
      <w:r>
        <w:rPr>
          <w:spacing w:val="-60"/>
        </w:rPr>
        <w:t> </w:t>
      </w:r>
      <w:r>
        <w:rPr>
          <w:rFonts w:ascii="宋体" w:hAnsi="宋体" w:cs="宋体" w:eastAsia="宋体" w:hint="default"/>
        </w:rPr>
        <w:t>BI</w:t>
      </w:r>
      <w:r>
        <w:rPr>
          <w:rFonts w:ascii="宋体" w:hAnsi="宋体" w:cs="宋体" w:eastAsia="宋体" w:hint="default"/>
          <w:spacing w:val="-60"/>
        </w:rPr>
        <w:t> </w:t>
      </w:r>
      <w:r>
        <w:rPr/>
        <w:t>升级版等产品。 用友华表公司通过多项市场活动，进一步提升了用友</w:t>
      </w:r>
      <w:r>
        <w:rPr>
          <w:spacing w:val="-60"/>
        </w:rPr>
        <w:t> </w:t>
      </w:r>
      <w:r>
        <w:rPr>
          <w:rFonts w:ascii="宋体" w:hAnsi="宋体" w:cs="宋体" w:eastAsia="宋体" w:hint="default"/>
        </w:rPr>
        <w:t>BQ</w:t>
      </w:r>
      <w:r>
        <w:rPr>
          <w:rFonts w:ascii="宋体" w:hAnsi="宋体" w:cs="宋体" w:eastAsia="宋体" w:hint="default"/>
          <w:spacing w:val="-60"/>
        </w:rPr>
        <w:t> </w:t>
      </w:r>
      <w:r>
        <w:rPr/>
        <w:t>产品的市场影响力。 </w:t>
      </w:r>
      <w:r>
        <w:rPr>
          <w:rFonts w:ascii="宋体" w:hAnsi="宋体" w:cs="宋体" w:eastAsia="宋体" w:hint="default"/>
        </w:rPr>
        <w:t>5)</w:t>
      </w:r>
      <w:r>
        <w:rPr/>
        <w:t>国际化战略及业务开展情况</w:t>
      </w:r>
    </w:p>
    <w:p>
      <w:pPr>
        <w:pStyle w:val="Heading3"/>
        <w:spacing w:line="297" w:lineRule="auto" w:before="48"/>
        <w:ind w:right="155" w:firstLine="480"/>
        <w:jc w:val="both"/>
      </w:pPr>
      <w:r>
        <w:rPr/>
        <w:t>公司海外业务布局初步完成，近年来在香港、澳门、台湾、新加坡、马来西亚、泰</w:t>
      </w:r>
      <w:r>
        <w:rPr>
          <w:spacing w:val="2"/>
        </w:rPr>
        <w:t> </w:t>
      </w:r>
      <w:r>
        <w:rPr/>
        <w:t>国、法国、加拿大、日本等地区和国家陆续设立了营销机构，业务取得了快速成长。公</w:t>
      </w:r>
      <w:r>
        <w:rPr>
          <w:spacing w:val="-65"/>
        </w:rPr>
        <w:t> </w:t>
      </w:r>
      <w:r>
        <w:rPr>
          <w:spacing w:val="-65"/>
        </w:rPr>
      </w:r>
      <w:r>
        <w:rPr/>
        <w:t>司与全球</w:t>
      </w:r>
      <w:r>
        <w:rPr>
          <w:spacing w:val="-85"/>
        </w:rPr>
        <w:t> </w:t>
      </w:r>
      <w:r>
        <w:rPr>
          <w:rFonts w:ascii="宋体" w:hAnsi="宋体" w:cs="宋体" w:eastAsia="宋体" w:hint="default"/>
        </w:rPr>
        <w:t>IT</w:t>
      </w:r>
      <w:r>
        <w:rPr>
          <w:rFonts w:ascii="宋体" w:hAnsi="宋体" w:cs="宋体" w:eastAsia="宋体" w:hint="default"/>
          <w:spacing w:val="-85"/>
        </w:rPr>
        <w:t> </w:t>
      </w:r>
      <w:r>
        <w:rPr/>
        <w:t>服务巨头源讯公司合作，积极开拓欧洲及其他海外市场，海外市场知名度大 大提升。</w:t>
      </w:r>
    </w:p>
    <w:p>
      <w:pPr>
        <w:pStyle w:val="Heading3"/>
        <w:spacing w:line="240" w:lineRule="auto"/>
        <w:ind w:left="618" w:right="0"/>
        <w:jc w:val="left"/>
      </w:pPr>
      <w:r>
        <w:rPr>
          <w:rFonts w:ascii="宋体" w:hAnsi="宋体" w:cs="宋体" w:eastAsia="宋体" w:hint="default"/>
        </w:rPr>
        <w:t>6</w:t>
      </w:r>
      <w:r>
        <w:rPr/>
        <w:t>）研发与创新情况</w:t>
      </w:r>
    </w:p>
    <w:p>
      <w:pPr>
        <w:pStyle w:val="Heading3"/>
        <w:spacing w:line="297" w:lineRule="auto" w:before="194"/>
        <w:ind w:right="163" w:firstLine="480"/>
        <w:jc w:val="both"/>
      </w:pPr>
      <w:r>
        <w:rPr/>
        <w:t>报告期内，公司继续加大研发投入，研发支出总金额约人民币</w:t>
      </w:r>
      <w:r>
        <w:rPr>
          <w:spacing w:val="-79"/>
        </w:rPr>
        <w:t> </w:t>
      </w:r>
      <w:r>
        <w:rPr>
          <w:rFonts w:ascii="宋体" w:hAnsi="宋体" w:cs="宋体" w:eastAsia="宋体" w:hint="default"/>
        </w:rPr>
        <w:t>6.64</w:t>
      </w:r>
      <w:r>
        <w:rPr>
          <w:rFonts w:ascii="宋体" w:hAnsi="宋体" w:cs="宋体" w:eastAsia="宋体" w:hint="default"/>
          <w:spacing w:val="-79"/>
        </w:rPr>
        <w:t> </w:t>
      </w:r>
      <w:r>
        <w:rPr>
          <w:spacing w:val="-3"/>
        </w:rPr>
        <w:t>亿元，较上年同</w:t>
      </w:r>
      <w:r>
        <w:rPr/>
        <w:t> 期增加了</w:t>
      </w:r>
      <w:r>
        <w:rPr>
          <w:spacing w:val="-60"/>
        </w:rPr>
        <w:t> </w:t>
      </w:r>
      <w:r>
        <w:rPr>
          <w:rFonts w:ascii="宋体" w:hAnsi="宋体" w:cs="宋体" w:eastAsia="宋体" w:hint="default"/>
        </w:rPr>
        <w:t>25.8%</w:t>
      </w:r>
      <w:r>
        <w:rPr/>
        <w:t>，占当期营业收入比重达</w:t>
      </w:r>
      <w:r>
        <w:rPr>
          <w:spacing w:val="-60"/>
        </w:rPr>
        <w:t> </w:t>
      </w:r>
      <w:r>
        <w:rPr>
          <w:rFonts w:ascii="宋体" w:hAnsi="宋体" w:cs="宋体" w:eastAsia="宋体" w:hint="default"/>
        </w:rPr>
        <w:t>15.7%</w:t>
      </w:r>
      <w:r>
        <w:rPr/>
        <w:t>。</w:t>
      </w:r>
    </w:p>
    <w:p>
      <w:pPr>
        <w:pStyle w:val="Heading3"/>
        <w:spacing w:line="297" w:lineRule="auto"/>
        <w:ind w:right="155" w:firstLine="480"/>
        <w:jc w:val="both"/>
      </w:pPr>
      <w:r>
        <w:rPr/>
        <w:t>公司加强了产品规划管理，强化产品市场进入与退出的管理，加强了对各子公司产</w:t>
      </w:r>
      <w:r>
        <w:rPr>
          <w:spacing w:val="2"/>
        </w:rPr>
        <w:t> </w:t>
      </w:r>
      <w:r>
        <w:rPr>
          <w:spacing w:val="-3"/>
        </w:rPr>
        <w:t>品的共享、整合、升迁等整合管理，公司产品逐步聚焦到</w:t>
      </w:r>
      <w:r>
        <w:rPr>
          <w:spacing w:val="-58"/>
        </w:rPr>
        <w:t> </w:t>
      </w:r>
      <w:r>
        <w:rPr>
          <w:rFonts w:ascii="宋体" w:hAnsi="宋体" w:cs="宋体" w:eastAsia="宋体" w:hint="default"/>
        </w:rPr>
        <w:t>2</w:t>
      </w:r>
      <w:r>
        <w:rPr>
          <w:rFonts w:ascii="宋体" w:hAnsi="宋体" w:cs="宋体" w:eastAsia="宋体" w:hint="default"/>
          <w:spacing w:val="-58"/>
        </w:rPr>
        <w:t> </w:t>
      </w:r>
      <w:r>
        <w:rPr>
          <w:spacing w:val="-5"/>
        </w:rPr>
        <w:t>大平台、</w:t>
      </w:r>
      <w:r>
        <w:rPr>
          <w:rFonts w:ascii="宋体" w:hAnsi="宋体" w:cs="宋体" w:eastAsia="宋体" w:hint="default"/>
          <w:spacing w:val="-5"/>
        </w:rPr>
        <w:t>3</w:t>
      </w:r>
      <w:r>
        <w:rPr>
          <w:rFonts w:ascii="宋体" w:hAnsi="宋体" w:cs="宋体" w:eastAsia="宋体" w:hint="default"/>
          <w:spacing w:val="-58"/>
        </w:rPr>
        <w:t> </w:t>
      </w:r>
      <w:r>
        <w:rPr>
          <w:spacing w:val="-3"/>
        </w:rPr>
        <w:t>条产品线。公司积</w:t>
      </w:r>
    </w:p>
    <w:p>
      <w:pPr>
        <w:spacing w:after="0" w:line="297" w:lineRule="auto"/>
        <w:jc w:val="both"/>
        <w:sectPr>
          <w:pgSz w:w="11910" w:h="16850"/>
          <w:pgMar w:header="752" w:footer="730" w:top="1020" w:bottom="920" w:left="1280" w:right="1140"/>
        </w:sectPr>
      </w:pPr>
    </w:p>
    <w:p>
      <w:pPr>
        <w:spacing w:line="240" w:lineRule="auto" w:before="9"/>
        <w:rPr>
          <w:rFonts w:ascii="宋体" w:hAnsi="宋体" w:cs="宋体" w:eastAsia="宋体" w:hint="default"/>
          <w:sz w:val="26"/>
          <w:szCs w:val="26"/>
        </w:rPr>
      </w:pPr>
    </w:p>
    <w:p>
      <w:pPr>
        <w:pStyle w:val="Heading3"/>
        <w:spacing w:line="297" w:lineRule="auto" w:before="26"/>
        <w:ind w:right="141"/>
        <w:jc w:val="both"/>
      </w:pPr>
      <w:r>
        <w:rPr>
          <w:spacing w:val="-4"/>
        </w:rPr>
        <w:t>极开展了云计算等技术创新，加强了</w:t>
      </w:r>
      <w:r>
        <w:rPr>
          <w:spacing w:val="-57"/>
        </w:rPr>
        <w:t> </w:t>
      </w:r>
      <w:r>
        <w:rPr>
          <w:rFonts w:ascii="宋体" w:hAnsi="宋体" w:cs="宋体" w:eastAsia="宋体" w:hint="default"/>
        </w:rPr>
        <w:t>UAP</w:t>
      </w:r>
      <w:r>
        <w:rPr>
          <w:rFonts w:ascii="宋体" w:hAnsi="宋体" w:cs="宋体" w:eastAsia="宋体" w:hint="default"/>
          <w:spacing w:val="-57"/>
        </w:rPr>
        <w:t> </w:t>
      </w:r>
      <w:r>
        <w:rPr>
          <w:spacing w:val="-7"/>
        </w:rPr>
        <w:t>平台的研发，</w:t>
      </w:r>
      <w:r>
        <w:rPr>
          <w:rFonts w:ascii="宋体" w:hAnsi="宋体" w:cs="宋体" w:eastAsia="宋体" w:hint="default"/>
          <w:spacing w:val="-7"/>
        </w:rPr>
        <w:t>UAP</w:t>
      </w:r>
      <w:r>
        <w:rPr>
          <w:rFonts w:ascii="宋体" w:hAnsi="宋体" w:cs="宋体" w:eastAsia="宋体" w:hint="default"/>
          <w:spacing w:val="-57"/>
        </w:rPr>
        <w:t> </w:t>
      </w:r>
      <w:r>
        <w:rPr/>
        <w:t>平台实现了企业动态建模并支 持了产业链多层开发，公司积极开展了</w:t>
      </w:r>
      <w:r>
        <w:rPr>
          <w:spacing w:val="-77"/>
        </w:rPr>
        <w:t> </w:t>
      </w:r>
      <w:r>
        <w:rPr>
          <w:rFonts w:ascii="宋体" w:hAnsi="宋体" w:cs="宋体" w:eastAsia="宋体" w:hint="default"/>
          <w:spacing w:val="-4"/>
        </w:rPr>
        <w:t>NC6</w:t>
      </w:r>
      <w:r>
        <w:rPr>
          <w:spacing w:val="-4"/>
        </w:rPr>
        <w:t>、</w:t>
      </w:r>
      <w:r>
        <w:rPr>
          <w:rFonts w:ascii="宋体" w:hAnsi="宋体" w:cs="宋体" w:eastAsia="宋体" w:hint="default"/>
          <w:spacing w:val="-4"/>
        </w:rPr>
        <w:t>U8</w:t>
      </w:r>
      <w:r>
        <w:rPr>
          <w:rFonts w:ascii="宋体" w:hAnsi="宋体" w:cs="宋体" w:eastAsia="宋体" w:hint="default"/>
          <w:spacing w:val="-77"/>
        </w:rPr>
        <w:t> </w:t>
      </w:r>
      <w:r>
        <w:rPr>
          <w:rFonts w:ascii="宋体" w:hAnsi="宋体" w:cs="宋体" w:eastAsia="宋体" w:hint="default"/>
        </w:rPr>
        <w:t>V11.0</w:t>
      </w:r>
      <w:r>
        <w:rPr/>
        <w:t>、畅捷通新一代等产品的重大升级 </w:t>
      </w:r>
      <w:r>
        <w:rPr>
          <w:spacing w:val="-3"/>
        </w:rPr>
        <w:t>活动，并推进商业模式创新，开展了公有云</w:t>
      </w:r>
      <w:r>
        <w:rPr>
          <w:spacing w:val="-62"/>
        </w:rPr>
        <w:t> </w:t>
      </w:r>
      <w:r>
        <w:rPr>
          <w:rFonts w:ascii="宋体" w:hAnsi="宋体" w:cs="宋体" w:eastAsia="宋体" w:hint="default"/>
        </w:rPr>
        <w:t>PaaS</w:t>
      </w:r>
      <w:r>
        <w:rPr>
          <w:rFonts w:ascii="宋体" w:hAnsi="宋体" w:cs="宋体" w:eastAsia="宋体" w:hint="default"/>
          <w:spacing w:val="-62"/>
        </w:rPr>
        <w:t> </w:t>
      </w:r>
      <w:r>
        <w:rPr/>
        <w:t>业务的前期开发与运营，及面向小微企 业的财税、协同、营销、支付云服务。</w:t>
      </w:r>
    </w:p>
    <w:p>
      <w:pPr>
        <w:pStyle w:val="Heading3"/>
        <w:spacing w:line="297" w:lineRule="auto"/>
        <w:ind w:right="135" w:firstLine="480"/>
        <w:jc w:val="both"/>
      </w:pPr>
      <w:r>
        <w:rPr/>
        <w:t>公司重视并鼓励研发与创新，设立创新奖励基金，并完善了专利奖励办法，对取得</w:t>
      </w:r>
      <w:r>
        <w:rPr>
          <w:spacing w:val="2"/>
        </w:rPr>
        <w:t> </w:t>
      </w:r>
      <w:r>
        <w:rPr/>
        <w:t>技术创新成果和申请专利的研发人员实行奖励，鼓励和激发了研发人员参与技术创新和</w:t>
      </w:r>
      <w:r>
        <w:rPr>
          <w:spacing w:val="-65"/>
        </w:rPr>
        <w:t> </w:t>
      </w:r>
      <w:r>
        <w:rPr>
          <w:spacing w:val="-65"/>
        </w:rPr>
      </w:r>
      <w:r>
        <w:rPr/>
        <w:t>申请专利相关工作。报告期内公司取得了</w:t>
      </w:r>
      <w:r>
        <w:rPr>
          <w:spacing w:val="-44"/>
        </w:rPr>
        <w:t> </w:t>
      </w:r>
      <w:r>
        <w:rPr>
          <w:rFonts w:ascii="宋体" w:hAnsi="宋体" w:cs="宋体" w:eastAsia="宋体" w:hint="default"/>
        </w:rPr>
        <w:t>37</w:t>
      </w:r>
      <w:r>
        <w:rPr>
          <w:rFonts w:ascii="宋体" w:hAnsi="宋体" w:cs="宋体" w:eastAsia="宋体" w:hint="default"/>
          <w:spacing w:val="-44"/>
        </w:rPr>
        <w:t> </w:t>
      </w:r>
      <w:r>
        <w:rPr/>
        <w:t>项专利授权和</w:t>
      </w:r>
      <w:r>
        <w:rPr>
          <w:spacing w:val="-44"/>
        </w:rPr>
        <w:t> </w:t>
      </w:r>
      <w:r>
        <w:rPr>
          <w:rFonts w:ascii="宋体" w:hAnsi="宋体" w:cs="宋体" w:eastAsia="宋体" w:hint="default"/>
        </w:rPr>
        <w:t>58</w:t>
      </w:r>
      <w:r>
        <w:rPr>
          <w:rFonts w:ascii="宋体" w:hAnsi="宋体" w:cs="宋体" w:eastAsia="宋体" w:hint="default"/>
          <w:spacing w:val="-44"/>
        </w:rPr>
        <w:t> </w:t>
      </w:r>
      <w:r>
        <w:rPr/>
        <w:t>项软件著作权，详细情况 敬请参阅“第五节 重要事项”中“十一、其他重大事项的说明”部分。</w:t>
      </w:r>
    </w:p>
    <w:p>
      <w:pPr>
        <w:pStyle w:val="Heading3"/>
        <w:spacing w:line="240" w:lineRule="auto"/>
        <w:ind w:left="618" w:right="188"/>
        <w:jc w:val="left"/>
      </w:pPr>
      <w:r>
        <w:rPr>
          <w:rFonts w:ascii="宋体" w:hAnsi="宋体" w:cs="宋体" w:eastAsia="宋体" w:hint="default"/>
        </w:rPr>
        <w:t>7</w:t>
      </w:r>
      <w:r>
        <w:rPr/>
        <w:t>）云平台与业务开展情况</w:t>
      </w:r>
    </w:p>
    <w:p>
      <w:pPr>
        <w:spacing w:line="240" w:lineRule="auto" w:before="13"/>
        <w:rPr>
          <w:rFonts w:ascii="宋体" w:hAnsi="宋体" w:cs="宋体" w:eastAsia="宋体" w:hint="default"/>
          <w:sz w:val="26"/>
          <w:szCs w:val="26"/>
        </w:rPr>
      </w:pPr>
    </w:p>
    <w:p>
      <w:pPr>
        <w:pStyle w:val="Heading3"/>
        <w:spacing w:line="295" w:lineRule="auto" w:before="0"/>
        <w:ind w:right="135" w:firstLine="480"/>
        <w:jc w:val="both"/>
      </w:pPr>
      <w:r>
        <w:rPr/>
        <w:t>报告期内，公司加快了云平台与云服务业务的开展，加强了基础技术人才的引进，</w:t>
      </w:r>
      <w:r>
        <w:rPr>
          <w:spacing w:val="2"/>
        </w:rPr>
        <w:t> </w:t>
      </w:r>
      <w:r>
        <w:rPr/>
        <w:t>成立了硅谷技术研发中心。公司发布了“用友企业云平台”（</w:t>
      </w:r>
      <w:r>
        <w:rPr>
          <w:rFonts w:ascii="宋体" w:hAnsi="宋体" w:cs="宋体" w:eastAsia="宋体" w:hint="default"/>
        </w:rPr>
        <w:t>PaaS</w:t>
      </w:r>
      <w:r>
        <w:rPr>
          <w:rFonts w:ascii="宋体" w:hAnsi="宋体" w:cs="宋体" w:eastAsia="宋体" w:hint="default"/>
          <w:spacing w:val="-56"/>
        </w:rPr>
        <w:t> </w:t>
      </w:r>
      <w:r>
        <w:rPr/>
        <w:t>平台），支持了公司 和伙伴</w:t>
      </w:r>
      <w:r>
        <w:rPr>
          <w:spacing w:val="-44"/>
        </w:rPr>
        <w:t> </w:t>
      </w:r>
      <w:r>
        <w:rPr>
          <w:rFonts w:ascii="宋体" w:hAnsi="宋体" w:cs="宋体" w:eastAsia="宋体" w:hint="default"/>
        </w:rPr>
        <w:t>SaaS</w:t>
      </w:r>
      <w:r>
        <w:rPr>
          <w:rFonts w:ascii="宋体" w:hAnsi="宋体" w:cs="宋体" w:eastAsia="宋体" w:hint="default"/>
          <w:spacing w:val="-44"/>
        </w:rPr>
        <w:t> </w:t>
      </w:r>
      <w:r>
        <w:rPr/>
        <w:t>业务的开展；公司加快了</w:t>
      </w:r>
      <w:r>
        <w:rPr>
          <w:spacing w:val="-44"/>
        </w:rPr>
        <w:t> </w:t>
      </w:r>
      <w:r>
        <w:rPr>
          <w:rFonts w:ascii="宋体" w:hAnsi="宋体" w:cs="宋体" w:eastAsia="宋体" w:hint="default"/>
        </w:rPr>
        <w:t>SaaS</w:t>
      </w:r>
      <w:r>
        <w:rPr>
          <w:rFonts w:ascii="宋体" w:hAnsi="宋体" w:cs="宋体" w:eastAsia="宋体" w:hint="default"/>
          <w:spacing w:val="-44"/>
        </w:rPr>
        <w:t> </w:t>
      </w:r>
      <w:r>
        <w:rPr/>
        <w:t>业务发展，发布了包括财税、协同、营销、 支付在内的四朵云应用服务。公司加快了解决方案</w:t>
      </w:r>
      <w:r>
        <w:rPr>
          <w:rFonts w:ascii="宋体" w:hAnsi="宋体" w:cs="宋体" w:eastAsia="宋体" w:hint="default"/>
        </w:rPr>
        <w:t>+</w:t>
      </w:r>
      <w:r>
        <w:rPr/>
        <w:t>（“云</w:t>
      </w:r>
      <w:r>
        <w:rPr>
          <w:rFonts w:ascii="宋体" w:hAnsi="宋体" w:cs="宋体" w:eastAsia="宋体" w:hint="default"/>
        </w:rPr>
        <w:t>+</w:t>
      </w:r>
      <w:r>
        <w:rPr/>
        <w:t>端”）业务模式的尝试和产</w:t>
      </w:r>
      <w:r>
        <w:rPr>
          <w:spacing w:val="-63"/>
        </w:rPr>
        <w:t> </w:t>
      </w:r>
      <w:r>
        <w:rPr>
          <w:spacing w:val="-63"/>
        </w:rPr>
      </w:r>
      <w:r>
        <w:rPr>
          <w:spacing w:val="-3"/>
        </w:rPr>
        <w:t>品的发展，发布了</w:t>
      </w:r>
      <w:r>
        <w:rPr>
          <w:spacing w:val="-64"/>
        </w:rPr>
        <w:t> </w:t>
      </w:r>
      <w:r>
        <w:rPr>
          <w:rFonts w:ascii="宋体" w:hAnsi="宋体" w:cs="宋体" w:eastAsia="宋体" w:hint="default"/>
          <w:spacing w:val="-4"/>
        </w:rPr>
        <w:t>U8+</w:t>
      </w:r>
      <w:r>
        <w:rPr>
          <w:spacing w:val="-4"/>
        </w:rPr>
        <w:t>、畅捷通</w:t>
      </w:r>
      <w:r>
        <w:rPr>
          <w:spacing w:val="-64"/>
        </w:rPr>
        <w:t> </w:t>
      </w:r>
      <w:r>
        <w:rPr>
          <w:rFonts w:ascii="宋体" w:hAnsi="宋体" w:cs="宋体" w:eastAsia="宋体" w:hint="default"/>
        </w:rPr>
        <w:t>T+</w:t>
      </w:r>
      <w:r>
        <w:rPr/>
        <w:t>等产品。公司加快了</w:t>
      </w:r>
      <w:r>
        <w:rPr>
          <w:rFonts w:ascii="Arial" w:hAnsi="Arial" w:cs="Arial" w:eastAsia="Arial" w:hint="default"/>
        </w:rPr>
        <w:t>“</w:t>
      </w:r>
      <w:r>
        <w:rPr/>
        <w:t>用友</w:t>
      </w:r>
      <w:r>
        <w:rPr>
          <w:spacing w:val="-64"/>
        </w:rPr>
        <w:t> </w:t>
      </w:r>
      <w:r>
        <w:rPr>
          <w:rFonts w:ascii="宋体" w:hAnsi="宋体" w:cs="宋体" w:eastAsia="宋体" w:hint="default"/>
        </w:rPr>
        <w:t>UAP</w:t>
      </w:r>
      <w:r>
        <w:rPr>
          <w:rFonts w:ascii="宋体" w:hAnsi="宋体" w:cs="宋体" w:eastAsia="宋体" w:hint="default"/>
          <w:spacing w:val="-64"/>
        </w:rPr>
        <w:t> </w:t>
      </w:r>
      <w:r>
        <w:rPr>
          <w:spacing w:val="-3"/>
        </w:rPr>
        <w:t>平台</w:t>
      </w:r>
      <w:r>
        <w:rPr>
          <w:rFonts w:ascii="Arial" w:hAnsi="Arial" w:cs="Arial" w:eastAsia="Arial" w:hint="default"/>
          <w:spacing w:val="-3"/>
        </w:rPr>
        <w:t>”</w:t>
      </w:r>
      <w:r>
        <w:rPr>
          <w:spacing w:val="-3"/>
        </w:rPr>
        <w:t>（高端及中端私有</w:t>
      </w:r>
      <w:r>
        <w:rPr/>
        <w:t> 云解决方案平台）对私有云的支持，在一些大型企业、大型公共组织、智慧城市、智慧</w:t>
      </w:r>
      <w:r>
        <w:rPr>
          <w:spacing w:val="-65"/>
        </w:rPr>
        <w:t> </w:t>
      </w:r>
      <w:r>
        <w:rPr>
          <w:spacing w:val="-65"/>
        </w:rPr>
      </w:r>
      <w:r>
        <w:rPr/>
        <w:t>园区得到成功应用。</w:t>
      </w:r>
    </w:p>
    <w:p>
      <w:pPr>
        <w:spacing w:line="240" w:lineRule="auto" w:before="2"/>
        <w:rPr>
          <w:rFonts w:ascii="宋体" w:hAnsi="宋体" w:cs="宋体" w:eastAsia="宋体" w:hint="default"/>
          <w:sz w:val="23"/>
          <w:szCs w:val="23"/>
        </w:rPr>
      </w:pPr>
    </w:p>
    <w:p>
      <w:pPr>
        <w:pStyle w:val="Heading3"/>
        <w:spacing w:line="290" w:lineRule="auto" w:before="0"/>
        <w:ind w:right="135" w:firstLine="480"/>
        <w:jc w:val="both"/>
      </w:pPr>
      <w:r>
        <w:rPr/>
        <w:t>报告期间，公司作为发起单位之一，与北京航空航天大学、宽带资本、百度、中国</w:t>
      </w:r>
      <w:r>
        <w:rPr>
          <w:spacing w:val="2"/>
        </w:rPr>
        <w:t> 联通、龙湖地产、</w:t>
      </w:r>
      <w:r>
        <w:rPr>
          <w:rFonts w:ascii="宋体" w:hAnsi="宋体" w:cs="宋体" w:eastAsia="宋体" w:hint="default"/>
          <w:spacing w:val="2"/>
        </w:rPr>
        <w:t>TCL</w:t>
      </w:r>
      <w:r>
        <w:rPr>
          <w:spacing w:val="2"/>
        </w:rPr>
        <w:t>、联想、阿里巴巴、腾讯和北京大学共同发起成立</w:t>
      </w:r>
      <w:r>
        <w:rPr>
          <w:rFonts w:ascii="Arial" w:hAnsi="Arial" w:cs="Arial" w:eastAsia="Arial" w:hint="default"/>
          <w:spacing w:val="2"/>
        </w:rPr>
        <w:t>“</w:t>
      </w:r>
      <w:r>
        <w:rPr>
          <w:spacing w:val="2"/>
        </w:rPr>
        <w:t>中国云产业联</w:t>
      </w:r>
      <w:r>
        <w:rPr>
          <w:spacing w:val="-112"/>
        </w:rPr>
        <w:t> </w:t>
      </w:r>
      <w:r>
        <w:rPr>
          <w:spacing w:val="-112"/>
        </w:rPr>
      </w:r>
      <w:r>
        <w:rPr/>
        <w:t>盟</w:t>
      </w:r>
      <w:r>
        <w:rPr>
          <w:rFonts w:ascii="Arial" w:hAnsi="Arial" w:cs="Arial" w:eastAsia="Arial" w:hint="default"/>
        </w:rPr>
        <w:t>”</w:t>
      </w:r>
      <w:r>
        <w:rPr/>
        <w:t>，共同推进中国云产业发展和生态系统建立。</w:t>
      </w:r>
    </w:p>
    <w:p>
      <w:pPr>
        <w:pStyle w:val="Heading3"/>
        <w:spacing w:line="240" w:lineRule="auto" w:before="121"/>
        <w:ind w:left="618" w:right="188"/>
        <w:jc w:val="left"/>
      </w:pPr>
      <w:r>
        <w:rPr>
          <w:rFonts w:ascii="宋体" w:hAnsi="宋体" w:cs="宋体" w:eastAsia="宋体" w:hint="default"/>
        </w:rPr>
        <w:t>8</w:t>
      </w:r>
      <w:r>
        <w:rPr/>
        <w:t>）员工发展与激励</w:t>
      </w:r>
    </w:p>
    <w:p>
      <w:pPr>
        <w:pStyle w:val="Heading3"/>
        <w:spacing w:line="297" w:lineRule="auto" w:before="197"/>
        <w:ind w:right="141" w:firstLine="480"/>
        <w:jc w:val="both"/>
      </w:pPr>
      <w:r>
        <w:rPr/>
        <w:t>报告期内，公司适度控制了人员规模，人员数量增长控制在</w:t>
      </w:r>
      <w:r>
        <w:rPr>
          <w:spacing w:val="-56"/>
        </w:rPr>
        <w:t> </w:t>
      </w:r>
      <w:r>
        <w:rPr>
          <w:rFonts w:ascii="宋体" w:hAnsi="宋体" w:cs="宋体" w:eastAsia="宋体" w:hint="default"/>
        </w:rPr>
        <w:t>5%</w:t>
      </w:r>
      <w:r>
        <w:rPr/>
        <w:t>以内，期末员工数量 </w:t>
      </w:r>
      <w:r>
        <w:rPr>
          <w:rFonts w:ascii="宋体" w:hAnsi="宋体" w:cs="宋体" w:eastAsia="宋体" w:hint="default"/>
        </w:rPr>
        <w:t>13075</w:t>
      </w:r>
      <w:r>
        <w:rPr>
          <w:rFonts w:ascii="宋体" w:hAnsi="宋体" w:cs="宋体" w:eastAsia="宋体" w:hint="default"/>
          <w:spacing w:val="-37"/>
        </w:rPr>
        <w:t> </w:t>
      </w:r>
      <w:r>
        <w:rPr>
          <w:spacing w:val="-4"/>
        </w:rPr>
        <w:t>人；同时公司对新招聘的人员素质提出了更高要求，并加大了末位淘汰的力度。为</w:t>
      </w:r>
      <w:r>
        <w:rPr>
          <w:spacing w:val="-117"/>
        </w:rPr>
        <w:t> </w:t>
      </w:r>
      <w:r>
        <w:rPr>
          <w:spacing w:val="-117"/>
        </w:rPr>
      </w:r>
      <w:r>
        <w:rPr/>
        <w:t>加强后备人才建设，特别是后备干部队伍建设，报告期内公司启动了“人才梯队建设”</w:t>
      </w:r>
      <w:r>
        <w:rPr>
          <w:spacing w:val="-67"/>
        </w:rPr>
        <w:t> </w:t>
      </w:r>
      <w:r>
        <w:rPr>
          <w:spacing w:val="-67"/>
        </w:rPr>
      </w:r>
      <w:r>
        <w:rPr/>
        <w:t>专项工作，为公司的长期发展建立了基础。</w:t>
      </w:r>
    </w:p>
    <w:p>
      <w:pPr>
        <w:pStyle w:val="Heading3"/>
        <w:spacing w:line="297" w:lineRule="auto"/>
        <w:ind w:right="135" w:firstLine="480"/>
        <w:jc w:val="both"/>
      </w:pPr>
      <w:r>
        <w:rPr/>
        <w:t>公司针对各控股子公司的业务特点和发展阶段，为进一步激励骨干员工与公司长期</w:t>
      </w:r>
      <w:r>
        <w:rPr>
          <w:spacing w:val="2"/>
        </w:rPr>
        <w:t> </w:t>
      </w:r>
      <w:r>
        <w:rPr/>
        <w:t>共同发展，</w:t>
      </w:r>
      <w:r>
        <w:rPr>
          <w:rFonts w:ascii="宋体" w:hAnsi="宋体" w:cs="宋体" w:eastAsia="宋体" w:hint="default"/>
        </w:rPr>
        <w:t>2012</w:t>
      </w:r>
      <w:r>
        <w:rPr>
          <w:rFonts w:ascii="宋体" w:hAnsi="宋体" w:cs="宋体" w:eastAsia="宋体" w:hint="default"/>
          <w:spacing w:val="-56"/>
        </w:rPr>
        <w:t> </w:t>
      </w:r>
      <w:r>
        <w:rPr/>
        <w:t>年度公司规划了各控股子公司的中长期激励方案，并在大部分控股子公 司中实施。</w:t>
      </w:r>
    </w:p>
    <w:p>
      <w:pPr>
        <w:pStyle w:val="Heading3"/>
        <w:spacing w:line="297" w:lineRule="auto"/>
        <w:ind w:right="138" w:firstLine="600"/>
        <w:jc w:val="both"/>
      </w:pPr>
      <w:r>
        <w:rPr>
          <w:rFonts w:ascii="宋体" w:hAnsi="宋体" w:cs="宋体" w:eastAsia="宋体" w:hint="default"/>
        </w:rPr>
        <w:t>2012</w:t>
      </w:r>
      <w:r>
        <w:rPr>
          <w:rFonts w:ascii="宋体" w:hAnsi="宋体" w:cs="宋体" w:eastAsia="宋体" w:hint="default"/>
          <w:spacing w:val="-43"/>
        </w:rPr>
        <w:t> </w:t>
      </w:r>
      <w:r>
        <w:rPr>
          <w:spacing w:val="-4"/>
        </w:rPr>
        <w:t>年度公司加强了文化建设，强化了“一切基于创造客户价值”的经营观念，通</w:t>
      </w:r>
      <w:r>
        <w:rPr/>
        <w:t> 过干部与专家夏令营、全员培训学习等活动，使得“一切基于创造客户价值”的经营理</w:t>
      </w:r>
      <w:r>
        <w:rPr>
          <w:spacing w:val="-65"/>
        </w:rPr>
        <w:t> </w:t>
      </w:r>
      <w:r>
        <w:rPr>
          <w:spacing w:val="-65"/>
        </w:rPr>
      </w:r>
      <w:r>
        <w:rPr/>
        <w:t>念深入人心，促进提升了公司业务开展的质量和可持续性。</w:t>
      </w:r>
    </w:p>
    <w:p>
      <w:pPr>
        <w:pStyle w:val="Heading3"/>
        <w:spacing w:line="388" w:lineRule="auto"/>
        <w:ind w:left="618" w:right="124"/>
        <w:jc w:val="left"/>
      </w:pPr>
      <w:r>
        <w:rPr>
          <w:rFonts w:ascii="宋体" w:hAnsi="宋体" w:cs="宋体" w:eastAsia="宋体" w:hint="default"/>
        </w:rPr>
        <w:t>9</w:t>
      </w:r>
      <w:r>
        <w:rPr/>
        <w:t>）品牌与市场发展情况 报告期内，公司正式发布“用友企业云平台”，推出面向大型企业、小微企业的云</w:t>
      </w:r>
    </w:p>
    <w:p>
      <w:pPr>
        <w:spacing w:after="0" w:line="388" w:lineRule="auto"/>
        <w:jc w:val="left"/>
        <w:sectPr>
          <w:pgSz w:w="11910" w:h="16850"/>
          <w:pgMar w:header="752" w:footer="730" w:top="1020" w:bottom="920" w:left="1280" w:right="1160"/>
        </w:sectPr>
      </w:pPr>
    </w:p>
    <w:p>
      <w:pPr>
        <w:spacing w:line="240" w:lineRule="auto" w:before="9"/>
        <w:rPr>
          <w:rFonts w:ascii="宋体" w:hAnsi="宋体" w:cs="宋体" w:eastAsia="宋体" w:hint="default"/>
          <w:sz w:val="26"/>
          <w:szCs w:val="26"/>
        </w:rPr>
      </w:pPr>
    </w:p>
    <w:p>
      <w:pPr>
        <w:pStyle w:val="Heading3"/>
        <w:spacing w:line="297" w:lineRule="auto" w:before="26"/>
        <w:ind w:right="218"/>
        <w:jc w:val="both"/>
      </w:pPr>
      <w:r>
        <w:rPr/>
        <w:t>平台与云服务；宣布实施“新长城计划”，启用用友新的英文字号“yonyou”和新品牌</w:t>
      </w:r>
      <w:r>
        <w:rPr>
          <w:spacing w:val="-66"/>
        </w:rPr>
        <w:t> </w:t>
      </w:r>
      <w:r>
        <w:rPr>
          <w:spacing w:val="-66"/>
        </w:rPr>
      </w:r>
      <w:r>
        <w:rPr/>
        <w:t>标识；在苏州成功举办了主题为“大转型</w:t>
      </w:r>
      <w:r>
        <w:rPr>
          <w:rFonts w:ascii="宋体" w:hAnsi="宋体" w:cs="宋体" w:eastAsia="宋体" w:hint="default"/>
        </w:rPr>
        <w:t>——</w:t>
      </w:r>
      <w:r>
        <w:rPr/>
        <w:t>从中国一流到世界一流”的“2012</w:t>
      </w:r>
      <w:r>
        <w:rPr>
          <w:spacing w:val="-56"/>
        </w:rPr>
        <w:t> </w:t>
      </w:r>
      <w:r>
        <w:rPr/>
        <w:t>经营管</w:t>
      </w:r>
      <w:r>
        <w:rPr/>
        <w:t> 理创新年度峰会”，与</w:t>
      </w:r>
      <w:r>
        <w:rPr>
          <w:spacing w:val="-44"/>
        </w:rPr>
        <w:t> </w:t>
      </w:r>
      <w:r>
        <w:rPr>
          <w:rFonts w:ascii="宋体" w:hAnsi="宋体" w:cs="宋体" w:eastAsia="宋体" w:hint="default"/>
        </w:rPr>
        <w:t>2000</w:t>
      </w:r>
      <w:r>
        <w:rPr>
          <w:rFonts w:ascii="宋体" w:hAnsi="宋体" w:cs="宋体" w:eastAsia="宋体" w:hint="default"/>
          <w:spacing w:val="-44"/>
        </w:rPr>
        <w:t> </w:t>
      </w:r>
      <w:r>
        <w:rPr/>
        <w:t>多位有影响力的企业家和</w:t>
      </w:r>
      <w:r>
        <w:rPr>
          <w:spacing w:val="-44"/>
        </w:rPr>
        <w:t> </w:t>
      </w:r>
      <w:r>
        <w:rPr>
          <w:rFonts w:ascii="宋体" w:hAnsi="宋体" w:cs="宋体" w:eastAsia="宋体" w:hint="default"/>
        </w:rPr>
        <w:t>CEO</w:t>
      </w:r>
      <w:r>
        <w:rPr/>
        <w:t>、</w:t>
      </w:r>
      <w:r>
        <w:rPr>
          <w:rFonts w:ascii="宋体" w:hAnsi="宋体" w:cs="宋体" w:eastAsia="宋体" w:hint="default"/>
        </w:rPr>
        <w:t>CIO</w:t>
      </w:r>
      <w:r>
        <w:rPr/>
        <w:t>、</w:t>
      </w:r>
      <w:r>
        <w:rPr>
          <w:rFonts w:ascii="宋体" w:hAnsi="宋体" w:cs="宋体" w:eastAsia="宋体" w:hint="default"/>
        </w:rPr>
        <w:t>CFO</w:t>
      </w:r>
      <w:r>
        <w:rPr/>
        <w:t>、</w:t>
      </w:r>
      <w:r>
        <w:rPr>
          <w:rFonts w:ascii="宋体" w:hAnsi="宋体" w:cs="宋体" w:eastAsia="宋体" w:hint="default"/>
        </w:rPr>
        <w:t>CHO</w:t>
      </w:r>
      <w:r>
        <w:rPr>
          <w:rFonts w:ascii="宋体" w:hAnsi="宋体" w:cs="宋体" w:eastAsia="宋体" w:hint="default"/>
          <w:spacing w:val="-44"/>
        </w:rPr>
        <w:t> </w:t>
      </w:r>
      <w:r>
        <w:rPr/>
        <w:t>等企业高管 以及政府领导、专家学者探讨在当前全球经济环境下，中国企业如何加快战略变革，实</w:t>
      </w:r>
      <w:r>
        <w:rPr>
          <w:spacing w:val="-65"/>
        </w:rPr>
        <w:t> </w:t>
      </w:r>
      <w:r>
        <w:rPr>
          <w:spacing w:val="-65"/>
        </w:rPr>
      </w:r>
      <w:r>
        <w:rPr/>
        <w:t>现转型升级之路。</w:t>
      </w:r>
    </w:p>
    <w:p>
      <w:pPr>
        <w:pStyle w:val="Heading3"/>
        <w:spacing w:line="297" w:lineRule="auto" w:before="139"/>
        <w:ind w:right="214" w:firstLine="480"/>
        <w:jc w:val="both"/>
      </w:pPr>
      <w:r>
        <w:rPr/>
        <w:t>报告期间，公司荣获了由赛迪顾问股份有限公司评选的“新一代信息技术创新典范</w:t>
      </w:r>
      <w:r>
        <w:rPr>
          <w:spacing w:val="2"/>
        </w:rPr>
        <w:t> </w:t>
      </w:r>
      <w:r>
        <w:rPr/>
        <w:t>企业”特殊荣誉，以及“中国管理软件市场年度成功企业”、“中国 </w:t>
      </w:r>
      <w:r>
        <w:rPr>
          <w:rFonts w:ascii="宋体" w:hAnsi="宋体" w:cs="宋体" w:eastAsia="宋体" w:hint="default"/>
        </w:rPr>
        <w:t>ERP</w:t>
      </w:r>
      <w:r>
        <w:rPr>
          <w:rFonts w:ascii="宋体" w:hAnsi="宋体" w:cs="宋体" w:eastAsia="宋体" w:hint="default"/>
          <w:spacing w:val="-54"/>
        </w:rPr>
        <w:t> </w:t>
      </w:r>
      <w:r>
        <w:rPr/>
        <w:t>软件市场年度 成功企业”、“中国集团财务软件市场年度成功企业”、“中国 </w:t>
      </w:r>
      <w:r>
        <w:rPr>
          <w:rFonts w:ascii="宋体" w:hAnsi="宋体" w:cs="宋体" w:eastAsia="宋体" w:hint="default"/>
        </w:rPr>
        <w:t>HRM</w:t>
      </w:r>
      <w:r>
        <w:rPr>
          <w:rFonts w:ascii="宋体" w:hAnsi="宋体" w:cs="宋体" w:eastAsia="宋体" w:hint="default"/>
          <w:spacing w:val="-54"/>
        </w:rPr>
        <w:t> </w:t>
      </w:r>
      <w:r>
        <w:rPr/>
        <w:t>软件市场年度成功 企业”、“中国</w:t>
      </w:r>
      <w:r>
        <w:rPr>
          <w:spacing w:val="-60"/>
        </w:rPr>
        <w:t> </w:t>
      </w:r>
      <w:r>
        <w:rPr>
          <w:rFonts w:ascii="宋体" w:hAnsi="宋体" w:cs="宋体" w:eastAsia="宋体" w:hint="default"/>
        </w:rPr>
        <w:t>CRM</w:t>
      </w:r>
      <w:r>
        <w:rPr>
          <w:rFonts w:ascii="宋体" w:hAnsi="宋体" w:cs="宋体" w:eastAsia="宋体" w:hint="default"/>
          <w:spacing w:val="-60"/>
        </w:rPr>
        <w:t> </w:t>
      </w:r>
      <w:r>
        <w:rPr/>
        <w:t>软件市场年度成功企业”等十个奖项。</w:t>
      </w:r>
    </w:p>
    <w:p>
      <w:pPr>
        <w:pStyle w:val="Heading3"/>
        <w:spacing w:line="297" w:lineRule="auto"/>
        <w:ind w:right="88" w:firstLine="480"/>
        <w:jc w:val="left"/>
      </w:pPr>
      <w:r>
        <w:rPr/>
        <w:t>在由中国质量协会用户委员会、工业和信息化部电子科学技术情报研究所、计世资</w:t>
      </w:r>
      <w:r>
        <w:rPr>
          <w:spacing w:val="2"/>
        </w:rPr>
        <w:t> </w:t>
      </w:r>
      <w:r>
        <w:rPr/>
        <w:t>讯</w:t>
      </w:r>
      <w:r>
        <w:rPr>
          <w:rFonts w:ascii="宋体" w:hAnsi="宋体" w:cs="宋体" w:eastAsia="宋体" w:hint="default"/>
        </w:rPr>
        <w:t>(CCWResearch)</w:t>
      </w:r>
      <w:r>
        <w:rPr/>
        <w:t>联合主办的“2012</w:t>
      </w:r>
      <w:r>
        <w:rPr>
          <w:spacing w:val="-36"/>
        </w:rPr>
        <w:t> </w:t>
      </w:r>
      <w:r>
        <w:rPr/>
        <w:t>中国</w:t>
      </w:r>
      <w:r>
        <w:rPr>
          <w:spacing w:val="-36"/>
        </w:rPr>
        <w:t> </w:t>
      </w:r>
      <w:r>
        <w:rPr>
          <w:rFonts w:ascii="宋体" w:hAnsi="宋体" w:cs="宋体" w:eastAsia="宋体" w:hint="default"/>
        </w:rPr>
        <w:t>IT</w:t>
      </w:r>
      <w:r>
        <w:rPr>
          <w:rFonts w:ascii="宋体" w:hAnsi="宋体" w:cs="宋体" w:eastAsia="宋体" w:hint="default"/>
          <w:spacing w:val="-34"/>
        </w:rPr>
        <w:t> </w:t>
      </w:r>
      <w:r>
        <w:rPr/>
        <w:t>用户满意度年会”上，公司荣获</w:t>
      </w:r>
      <w:r>
        <w:rPr>
          <w:spacing w:val="-36"/>
        </w:rPr>
        <w:t> </w:t>
      </w:r>
      <w:r>
        <w:rPr>
          <w:rFonts w:ascii="宋体" w:hAnsi="宋体" w:cs="宋体" w:eastAsia="宋体" w:hint="default"/>
        </w:rPr>
        <w:t>2012</w:t>
      </w:r>
      <w:r>
        <w:rPr>
          <w:rFonts w:ascii="宋体" w:hAnsi="宋体" w:cs="宋体" w:eastAsia="宋体" w:hint="default"/>
          <w:spacing w:val="-36"/>
        </w:rPr>
        <w:t> </w:t>
      </w:r>
      <w:r>
        <w:rPr/>
        <w:t>中国 </w:t>
      </w:r>
      <w:r>
        <w:rPr>
          <w:rFonts w:ascii="宋体" w:hAnsi="宋体" w:cs="宋体" w:eastAsia="宋体" w:hint="default"/>
        </w:rPr>
        <w:t>IT</w:t>
      </w:r>
      <w:r>
        <w:rPr>
          <w:rFonts w:ascii="宋体" w:hAnsi="宋体" w:cs="宋体" w:eastAsia="宋体" w:hint="default"/>
          <w:spacing w:val="-74"/>
        </w:rPr>
        <w:t> </w:t>
      </w:r>
      <w:r>
        <w:rPr/>
        <w:t>用户满意度调研“管理软件用户满意度第一”、“ERP</w:t>
      </w:r>
      <w:r>
        <w:rPr>
          <w:spacing w:val="-74"/>
        </w:rPr>
        <w:t> </w:t>
      </w:r>
      <w:r>
        <w:rPr/>
        <w:t>软件用户满意度第一”、“ERP</w:t>
      </w:r>
      <w:r>
        <w:rPr/>
        <w:t> 软件产品满意度第一”、“ERP</w:t>
      </w:r>
      <w:r>
        <w:rPr>
          <w:spacing w:val="-60"/>
        </w:rPr>
        <w:t> </w:t>
      </w:r>
      <w:r>
        <w:rPr/>
        <w:t>软件服务满意度第一”、“财务软件用户满意度第一”、</w:t>
      </w:r>
      <w:r>
        <w:rPr/>
        <w:t> “HR 软件用户满意度第一”、“CRM</w:t>
      </w:r>
      <w:r>
        <w:rPr>
          <w:spacing w:val="-54"/>
        </w:rPr>
        <w:t> </w:t>
      </w:r>
      <w:r>
        <w:rPr/>
        <w:t>用户满意度第一”等奖项，畅捷通公司荣获“小微</w:t>
      </w:r>
      <w:r>
        <w:rPr/>
        <w:t> 企业管理软件用户满意度第一”，用友政务公司荣获“公共财政管理软件用户满意度第</w:t>
      </w:r>
      <w:r>
        <w:rPr>
          <w:spacing w:val="-65"/>
        </w:rPr>
        <w:t> </w:t>
      </w:r>
      <w:r>
        <w:rPr>
          <w:spacing w:val="-65"/>
        </w:rPr>
      </w:r>
      <w:r>
        <w:rPr/>
        <w:t>一”和“行政事业财务管理软件用户满意度第一”等奖项。</w:t>
      </w:r>
    </w:p>
    <w:p>
      <w:pPr>
        <w:pStyle w:val="Heading3"/>
        <w:spacing w:line="297" w:lineRule="auto"/>
        <w:ind w:right="84" w:firstLine="480"/>
        <w:jc w:val="left"/>
      </w:pPr>
      <w:r>
        <w:rPr/>
        <w:t>在工业和信息化部指导下，由中国电子信息产业发展研究院（</w:t>
      </w:r>
      <w:r>
        <w:rPr>
          <w:rFonts w:ascii="宋体" w:hAnsi="宋体" w:cs="宋体" w:eastAsia="宋体" w:hint="default"/>
        </w:rPr>
        <w:t>CCID</w:t>
      </w:r>
      <w:r>
        <w:rPr/>
        <w:t>）主办，中国软</w:t>
      </w:r>
      <w:r>
        <w:rPr>
          <w:spacing w:val="2"/>
        </w:rPr>
        <w:t> </w:t>
      </w:r>
      <w:r>
        <w:rPr/>
        <w:t>件评测中心、赛迪智库软件与信息服务业研究所、《软件和信息服务》杂志社联合承办</w:t>
      </w:r>
      <w:r>
        <w:rPr>
          <w:spacing w:val="-65"/>
        </w:rPr>
        <w:t> </w:t>
      </w:r>
      <w:r>
        <w:rPr>
          <w:spacing w:val="-65"/>
        </w:rPr>
      </w:r>
      <w:r>
        <w:rPr>
          <w:spacing w:val="-15"/>
        </w:rPr>
        <w:t>的“</w:t>
      </w:r>
      <w:r>
        <w:rPr>
          <w:rFonts w:ascii="宋体" w:hAnsi="宋体" w:cs="宋体" w:eastAsia="宋体" w:hint="default"/>
          <w:spacing w:val="-15"/>
        </w:rPr>
        <w:t>2012</w:t>
      </w:r>
      <w:r>
        <w:rPr>
          <w:rFonts w:ascii="宋体" w:hAnsi="宋体" w:cs="宋体" w:eastAsia="宋体" w:hint="default"/>
          <w:spacing w:val="-58"/>
        </w:rPr>
        <w:t> </w:t>
      </w:r>
      <w:r>
        <w:rPr>
          <w:spacing w:val="-5"/>
        </w:rPr>
        <w:t>中国软件大会”上，公司荣获“2012</w:t>
      </w:r>
      <w:r>
        <w:rPr>
          <w:spacing w:val="-58"/>
        </w:rPr>
        <w:t> </w:t>
      </w:r>
      <w:r>
        <w:rPr/>
        <w:t>中国软件和信息服务十大领军企业”奖项，</w:t>
      </w:r>
      <w:r>
        <w:rPr/>
        <w:t> 公司董事长兼总裁王文京荣获“2012 中国软件与信息服务十大领军人物”奖项。</w:t>
      </w:r>
    </w:p>
    <w:p>
      <w:pPr>
        <w:pStyle w:val="Heading3"/>
        <w:spacing w:line="297" w:lineRule="auto"/>
        <w:ind w:right="215" w:firstLine="480"/>
        <w:jc w:val="both"/>
      </w:pPr>
      <w:r>
        <w:rPr/>
        <w:t>在由中国电子信息产业发展研究院主办、赛迪顾问股份有限公司承办、中国信息化</w:t>
      </w:r>
      <w:r>
        <w:rPr>
          <w:spacing w:val="2"/>
        </w:rPr>
        <w:t> </w:t>
      </w:r>
      <w:r>
        <w:rPr>
          <w:spacing w:val="-5"/>
        </w:rPr>
        <w:t>推进联盟协办的“</w:t>
      </w:r>
      <w:r>
        <w:rPr>
          <w:rFonts w:ascii="宋体" w:hAnsi="宋体" w:cs="宋体" w:eastAsia="宋体" w:hint="default"/>
          <w:spacing w:val="-5"/>
        </w:rPr>
        <w:t>2012</w:t>
      </w:r>
      <w:r>
        <w:rPr>
          <w:rFonts w:ascii="宋体" w:hAnsi="宋体" w:cs="宋体" w:eastAsia="宋体" w:hint="default"/>
          <w:spacing w:val="-55"/>
        </w:rPr>
        <w:t> </w:t>
      </w:r>
      <w:r>
        <w:rPr/>
        <w:t>中国</w:t>
      </w:r>
      <w:r>
        <w:rPr>
          <w:spacing w:val="-55"/>
        </w:rPr>
        <w:t> </w:t>
      </w:r>
      <w:r>
        <w:rPr>
          <w:rFonts w:ascii="宋体" w:hAnsi="宋体" w:cs="宋体" w:eastAsia="宋体" w:hint="default"/>
        </w:rPr>
        <w:t>IT</w:t>
      </w:r>
      <w:r>
        <w:rPr>
          <w:rFonts w:ascii="宋体" w:hAnsi="宋体" w:cs="宋体" w:eastAsia="宋体" w:hint="default"/>
          <w:spacing w:val="-55"/>
        </w:rPr>
        <w:t> </w:t>
      </w:r>
      <w:r>
        <w:rPr>
          <w:spacing w:val="-3"/>
        </w:rPr>
        <w:t>服务年会”上，公司凭借多年的服务经验与对客户负责任</w:t>
      </w:r>
      <w:r>
        <w:rPr/>
        <w:t> </w:t>
      </w:r>
      <w:r>
        <w:rPr>
          <w:spacing w:val="-3"/>
        </w:rPr>
        <w:t>的服务态度，荣获“2012</w:t>
      </w:r>
      <w:r>
        <w:rPr>
          <w:spacing w:val="-67"/>
        </w:rPr>
        <w:t> </w:t>
      </w:r>
      <w:r>
        <w:rPr/>
        <w:t>服务满意度金奖”、“2012</w:t>
      </w:r>
      <w:r>
        <w:rPr>
          <w:spacing w:val="-67"/>
        </w:rPr>
        <w:t> </w:t>
      </w:r>
      <w:r>
        <w:rPr/>
        <w:t>云计算解决方案典范奖”及“2012</w:t>
      </w:r>
      <w:r>
        <w:rPr/>
        <w:t> 云服务典范奖”。</w:t>
      </w:r>
    </w:p>
    <w:p>
      <w:pPr>
        <w:pStyle w:val="Heading3"/>
        <w:spacing w:line="297" w:lineRule="auto"/>
        <w:ind w:right="206" w:firstLine="480"/>
        <w:jc w:val="both"/>
      </w:pPr>
      <w:r>
        <w:rPr>
          <w:spacing w:val="8"/>
        </w:rPr>
        <w:t>在第十五届科博会中国自主创新评选活动中，公司荣获“中国自主创新杰出贡献</w:t>
      </w:r>
      <w:r>
        <w:rPr>
          <w:spacing w:val="9"/>
        </w:rPr>
        <w:t> </w:t>
      </w:r>
      <w:r>
        <w:rPr/>
        <w:t>奖 ”。</w:t>
      </w:r>
    </w:p>
    <w:p>
      <w:pPr>
        <w:pStyle w:val="Heading3"/>
        <w:spacing w:line="388" w:lineRule="auto"/>
        <w:ind w:left="618" w:right="232"/>
        <w:jc w:val="left"/>
      </w:pPr>
      <w:r>
        <w:rPr>
          <w:rFonts w:ascii="宋体" w:hAnsi="宋体" w:cs="宋体" w:eastAsia="宋体" w:hint="default"/>
        </w:rPr>
        <w:t>10</w:t>
      </w:r>
      <w:r>
        <w:rPr/>
        <w:t>）投资与并购业务发展情况 报告期内，结合公司战略布局与转型以云计算及移动平台技术与应用服务、数据处</w:t>
      </w:r>
    </w:p>
    <w:p>
      <w:pPr>
        <w:pStyle w:val="Heading3"/>
        <w:spacing w:line="240" w:lineRule="exact" w:before="0"/>
        <w:ind w:right="0"/>
        <w:jc w:val="both"/>
      </w:pPr>
      <w:r>
        <w:rPr/>
        <w:t>理技术为重点，公司开展了收购兼并项目的调研分析工作。</w:t>
      </w:r>
    </w:p>
    <w:p>
      <w:pPr>
        <w:pStyle w:val="Heading3"/>
        <w:spacing w:line="297" w:lineRule="auto" w:before="194"/>
        <w:ind w:right="215" w:firstLine="480"/>
        <w:jc w:val="both"/>
      </w:pPr>
      <w:r>
        <w:rPr/>
        <w:t>报告期内，北京用友幸福投资管理有限公司所管理的北京用友创新投资中心（有限</w:t>
      </w:r>
      <w:r>
        <w:rPr>
          <w:spacing w:val="2"/>
        </w:rPr>
        <w:t> </w:t>
      </w:r>
      <w:r>
        <w:rPr/>
        <w:t>合伙）于</w:t>
      </w:r>
      <w:r>
        <w:rPr>
          <w:spacing w:val="-49"/>
        </w:rPr>
        <w:t> </w:t>
      </w:r>
      <w:r>
        <w:rPr>
          <w:rFonts w:ascii="宋体" w:hAnsi="宋体" w:cs="宋体" w:eastAsia="宋体" w:hint="default"/>
        </w:rPr>
        <w:t>2012</w:t>
      </w:r>
      <w:r>
        <w:rPr>
          <w:rFonts w:ascii="宋体" w:hAnsi="宋体" w:cs="宋体" w:eastAsia="宋体" w:hint="default"/>
          <w:spacing w:val="-49"/>
        </w:rPr>
        <w:t> </w:t>
      </w:r>
      <w:r>
        <w:rPr/>
        <w:t>年</w:t>
      </w:r>
      <w:r>
        <w:rPr>
          <w:spacing w:val="-49"/>
        </w:rPr>
        <w:t> </w:t>
      </w:r>
      <w:r>
        <w:rPr>
          <w:rFonts w:ascii="宋体" w:hAnsi="宋体" w:cs="宋体" w:eastAsia="宋体" w:hint="default"/>
        </w:rPr>
        <w:t>10</w:t>
      </w:r>
      <w:r>
        <w:rPr>
          <w:rFonts w:ascii="宋体" w:hAnsi="宋体" w:cs="宋体" w:eastAsia="宋体" w:hint="default"/>
          <w:spacing w:val="-49"/>
        </w:rPr>
        <w:t> </w:t>
      </w:r>
      <w:r>
        <w:rPr/>
        <w:t>月以增资方式投资北京家酷天成商贸有限公司，投资金额为</w:t>
      </w:r>
      <w:r>
        <w:rPr>
          <w:spacing w:val="-49"/>
        </w:rPr>
        <w:t> </w:t>
      </w:r>
      <w:r>
        <w:rPr>
          <w:rFonts w:ascii="宋体" w:hAnsi="宋体" w:cs="宋体" w:eastAsia="宋体" w:hint="default"/>
        </w:rPr>
        <w:t>200</w:t>
      </w:r>
      <w:r>
        <w:rPr>
          <w:rFonts w:ascii="宋体" w:hAnsi="宋体" w:cs="宋体" w:eastAsia="宋体" w:hint="default"/>
          <w:spacing w:val="-49"/>
        </w:rPr>
        <w:t> </w:t>
      </w:r>
      <w:r>
        <w:rPr/>
        <w:t>万 元，增资后所持的股权比例低于</w:t>
      </w:r>
      <w:r>
        <w:rPr>
          <w:spacing w:val="-60"/>
        </w:rPr>
        <w:t> </w:t>
      </w:r>
      <w:r>
        <w:rPr>
          <w:rFonts w:ascii="宋体" w:hAnsi="宋体" w:cs="宋体" w:eastAsia="宋体" w:hint="default"/>
        </w:rPr>
        <w:t>20%</w:t>
      </w:r>
      <w:r>
        <w:rPr/>
        <w:t>。</w:t>
      </w:r>
    </w:p>
    <w:p>
      <w:pPr>
        <w:pStyle w:val="Heading3"/>
        <w:spacing w:line="240" w:lineRule="auto" w:before="139"/>
        <w:ind w:left="618" w:right="232"/>
        <w:jc w:val="left"/>
      </w:pPr>
      <w:r>
        <w:rPr>
          <w:rFonts w:ascii="宋体" w:hAnsi="宋体" w:cs="宋体" w:eastAsia="宋体" w:hint="default"/>
        </w:rPr>
        <w:t>11</w:t>
      </w:r>
      <w:r>
        <w:rPr/>
        <w:t>）产业基地建设情况</w:t>
      </w:r>
    </w:p>
    <w:p>
      <w:pPr>
        <w:spacing w:after="0" w:line="240" w:lineRule="auto"/>
        <w:jc w:val="left"/>
        <w:sectPr>
          <w:pgSz w:w="11910" w:h="16850"/>
          <w:pgMar w:header="752" w:footer="730" w:top="1020" w:bottom="920" w:left="1280" w:right="1080"/>
        </w:sectPr>
      </w:pPr>
    </w:p>
    <w:p>
      <w:pPr>
        <w:spacing w:line="240" w:lineRule="auto" w:before="9"/>
        <w:rPr>
          <w:rFonts w:ascii="宋体" w:hAnsi="宋体" w:cs="宋体" w:eastAsia="宋体" w:hint="default"/>
          <w:sz w:val="26"/>
          <w:szCs w:val="26"/>
        </w:rPr>
      </w:pPr>
    </w:p>
    <w:p>
      <w:pPr>
        <w:pStyle w:val="Heading3"/>
        <w:spacing w:line="297" w:lineRule="auto" w:before="26"/>
        <w:ind w:left="218" w:right="180" w:firstLine="600"/>
        <w:jc w:val="left"/>
      </w:pPr>
      <w:r>
        <w:rPr>
          <w:spacing w:val="-2"/>
        </w:rPr>
        <w:t>报告期内，用友北京产业基地的研发中心等项目按计划建设，推进顺利；用友南昌</w:t>
      </w:r>
      <w:r>
        <w:rPr/>
        <w:t> 产业基地一期工程建设正常进行。</w:t>
      </w:r>
    </w:p>
    <w:p>
      <w:pPr>
        <w:pStyle w:val="Heading2"/>
        <w:spacing w:line="240" w:lineRule="auto" w:before="137"/>
        <w:ind w:left="700" w:right="180"/>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主营业务分析</w:t>
      </w:r>
      <w:r>
        <w:rPr>
          <w:b w:val="0"/>
          <w:bCs w:val="0"/>
        </w:rPr>
      </w:r>
    </w:p>
    <w:p>
      <w:pPr>
        <w:pStyle w:val="Heading2"/>
        <w:spacing w:line="240" w:lineRule="auto" w:before="194"/>
        <w:ind w:left="784" w:right="180"/>
        <w:jc w:val="left"/>
        <w:rPr>
          <w:b w:val="0"/>
          <w:bCs w:val="0"/>
        </w:rPr>
      </w:pPr>
      <w:r>
        <w:rPr>
          <w:rFonts w:ascii="宋体" w:hAnsi="宋体" w:cs="宋体" w:eastAsia="宋体" w:hint="default"/>
        </w:rPr>
        <w:t>1</w:t>
      </w:r>
      <w:r>
        <w:rPr/>
        <w:t>、利润表及现金流量表相关科目变动分析表</w:t>
      </w:r>
      <w:r>
        <w:rPr>
          <w:b w:val="0"/>
          <w:bCs w:val="0"/>
        </w:rPr>
      </w:r>
    </w:p>
    <w:p>
      <w:pPr>
        <w:pStyle w:val="Heading5"/>
        <w:spacing w:line="240" w:lineRule="auto" w:before="198"/>
        <w:ind w:right="181"/>
        <w:jc w:val="right"/>
      </w:pPr>
      <w:r>
        <w:rPr/>
        <w:t>单位：元</w:t>
      </w:r>
      <w:r>
        <w:rPr>
          <w:spacing w:val="-3"/>
        </w:rPr>
        <w:t> </w:t>
      </w:r>
      <w:r>
        <w:rPr/>
        <w:t>币种</w:t>
      </w:r>
      <w:r>
        <w:rPr>
          <w:rFonts w:ascii="宋体" w:hAnsi="宋体" w:cs="宋体" w:eastAsia="宋体" w:hint="default"/>
        </w:rPr>
        <w:t>:</w:t>
      </w:r>
      <w:r>
        <w:rPr/>
        <w:t>人民币</w:t>
      </w:r>
    </w:p>
    <w:p>
      <w:pPr>
        <w:spacing w:line="240" w:lineRule="auto" w:before="11"/>
        <w:rPr>
          <w:rFonts w:ascii="宋体" w:hAnsi="宋体" w:cs="宋体" w:eastAsia="宋体" w:hint="default"/>
          <w:sz w:val="16"/>
          <w:szCs w:val="16"/>
        </w:rPr>
      </w:pPr>
    </w:p>
    <w:tbl>
      <w:tblPr>
        <w:tblW w:w="0" w:type="auto"/>
        <w:jc w:val="left"/>
        <w:tblInd w:w="103" w:type="dxa"/>
        <w:tblLayout w:type="fixed"/>
        <w:tblCellMar>
          <w:top w:w="0" w:type="dxa"/>
          <w:left w:w="0" w:type="dxa"/>
          <w:bottom w:w="0" w:type="dxa"/>
          <w:right w:w="0" w:type="dxa"/>
        </w:tblCellMar>
        <w:tblLook w:val="01E0"/>
      </w:tblPr>
      <w:tblGrid>
        <w:gridCol w:w="3478"/>
        <w:gridCol w:w="2302"/>
        <w:gridCol w:w="1985"/>
        <w:gridCol w:w="1594"/>
      </w:tblGrid>
      <w:tr>
        <w:trPr>
          <w:trHeight w:val="288" w:hRule="exact"/>
        </w:trPr>
        <w:tc>
          <w:tcPr>
            <w:tcW w:w="34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58"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288" w:hRule="exact"/>
        </w:trPr>
        <w:tc>
          <w:tcPr>
            <w:tcW w:w="34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4,235,210,610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4,122,161,666</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2.7</w:t>
            </w:r>
          </w:p>
        </w:tc>
      </w:tr>
      <w:tr>
        <w:trPr>
          <w:trHeight w:val="286" w:hRule="exact"/>
        </w:trPr>
        <w:tc>
          <w:tcPr>
            <w:tcW w:w="34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674,885,159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623,616,446</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8.2</w:t>
            </w:r>
          </w:p>
        </w:tc>
      </w:tr>
      <w:tr>
        <w:trPr>
          <w:trHeight w:val="288" w:hRule="exact"/>
        </w:trPr>
        <w:tc>
          <w:tcPr>
            <w:tcW w:w="34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1,937,578,118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1,815,627,537</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6.7</w:t>
            </w:r>
          </w:p>
        </w:tc>
      </w:tr>
      <w:tr>
        <w:trPr>
          <w:trHeight w:val="288" w:hRule="exact"/>
        </w:trPr>
        <w:tc>
          <w:tcPr>
            <w:tcW w:w="34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1,274,911,715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1,171,550,102</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8.8</w:t>
            </w:r>
          </w:p>
        </w:tc>
      </w:tr>
      <w:tr>
        <w:trPr>
          <w:trHeight w:val="288" w:hRule="exact"/>
        </w:trPr>
        <w:tc>
          <w:tcPr>
            <w:tcW w:w="34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56,548,249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31,828,345</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77.7</w:t>
            </w:r>
          </w:p>
        </w:tc>
      </w:tr>
      <w:tr>
        <w:trPr>
          <w:trHeight w:val="286" w:hRule="exact"/>
        </w:trPr>
        <w:tc>
          <w:tcPr>
            <w:tcW w:w="34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498,651,913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471,621,829</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5.7</w:t>
            </w:r>
          </w:p>
        </w:tc>
      </w:tr>
      <w:tr>
        <w:trPr>
          <w:trHeight w:val="288" w:hRule="exact"/>
        </w:trPr>
        <w:tc>
          <w:tcPr>
            <w:tcW w:w="34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-406,028,415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-628,697,920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288" w:hRule="exact"/>
        </w:trPr>
        <w:tc>
          <w:tcPr>
            <w:tcW w:w="34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198,816,036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155,624,025</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27.8</w:t>
            </w:r>
          </w:p>
        </w:tc>
      </w:tr>
      <w:tr>
        <w:trPr>
          <w:trHeight w:val="288" w:hRule="exact"/>
        </w:trPr>
        <w:tc>
          <w:tcPr>
            <w:tcW w:w="34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663,866,960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527,815,625</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25.8</w:t>
            </w:r>
          </w:p>
        </w:tc>
      </w:tr>
    </w:tbl>
    <w:p>
      <w:pPr>
        <w:spacing w:line="388" w:lineRule="auto" w:before="82"/>
        <w:ind w:left="698" w:right="5388" w:firstLine="86"/>
        <w:jc w:val="left"/>
        <w:rPr>
          <w:rFonts w:ascii="宋体" w:hAnsi="宋体" w:cs="宋体" w:eastAsia="宋体" w:hint="default"/>
          <w:sz w:val="24"/>
          <w:szCs w:val="24"/>
        </w:rPr>
      </w:pPr>
      <w:r>
        <w:rPr>
          <w:rFonts w:ascii="宋体" w:hAnsi="宋体" w:cs="宋体" w:eastAsia="宋体" w:hint="default"/>
          <w:b/>
          <w:bCs/>
          <w:sz w:val="24"/>
          <w:szCs w:val="24"/>
        </w:rPr>
        <w:t>2</w:t>
      </w:r>
      <w:r>
        <w:rPr>
          <w:rFonts w:ascii="宋体" w:hAnsi="宋体" w:cs="宋体" w:eastAsia="宋体" w:hint="default"/>
          <w:b/>
          <w:bCs/>
          <w:sz w:val="24"/>
          <w:szCs w:val="24"/>
        </w:rPr>
        <w:t>、收入</w:t>
      </w:r>
      <w:r>
        <w:rPr>
          <w:rFonts w:ascii="宋体" w:hAnsi="宋体" w:cs="宋体" w:eastAsia="宋体" w:hint="default"/>
          <w:b/>
          <w:bCs/>
          <w:spacing w:val="2"/>
          <w:w w:val="99"/>
          <w:sz w:val="24"/>
          <w:szCs w:val="24"/>
        </w:rPr>
        <w:t> </w:t>
      </w:r>
      <w:r>
        <w:rPr>
          <w:rFonts w:ascii="宋体" w:hAnsi="宋体" w:cs="宋体" w:eastAsia="宋体" w:hint="default"/>
          <w:sz w:val="24"/>
          <w:szCs w:val="24"/>
        </w:rPr>
        <w:t>(1)</w:t>
      </w:r>
      <w:r>
        <w:rPr>
          <w:rFonts w:ascii="宋体" w:hAnsi="宋体" w:cs="宋体" w:eastAsia="宋体" w:hint="default"/>
          <w:sz w:val="24"/>
          <w:szCs w:val="24"/>
        </w:rPr>
        <w:t>驱动业务收入变化的因素分析</w:t>
      </w:r>
    </w:p>
    <w:p>
      <w:pPr>
        <w:pStyle w:val="Heading3"/>
        <w:spacing w:line="295" w:lineRule="auto" w:before="46"/>
        <w:ind w:left="218" w:right="247" w:firstLine="480"/>
        <w:jc w:val="both"/>
      </w:pPr>
      <w:r>
        <w:rPr/>
        <w:t>报告期内，宏观经济发展速度放缓，对局部地区、行业的业务开展产生一定影响， 虽然管理软件行业相对其他行业对经济波动的敏感性相对要低，但仍受整体经济形势的 影响。</w:t>
      </w:r>
    </w:p>
    <w:p>
      <w:pPr>
        <w:pStyle w:val="Heading3"/>
        <w:spacing w:line="297" w:lineRule="auto" w:before="142"/>
        <w:ind w:left="218" w:right="247" w:firstLine="480"/>
        <w:jc w:val="both"/>
      </w:pPr>
      <w:r>
        <w:rPr/>
        <w:t>公司洞察到，国家及产业的总体策略是通过转型升级，调整结构，其中重要方面之 一就是管理升级。同时，在当前经济增速放缓的形势下，相当一部分企业会更加重视管 理信息化，同时伴随中国逐步进入高人力成本时代，企业会通过加强自动化、信息化提 高效率来平衡人力成本上升的影响。此外，政府职能向服务和民生方向深化转型，电子 政务市场需求继续增长。以上都为软件产业特别是管理软件产业提供了重要市场与发展 机会。</w:t>
      </w:r>
    </w:p>
    <w:p>
      <w:pPr>
        <w:pStyle w:val="Heading3"/>
        <w:spacing w:line="388" w:lineRule="auto" w:before="139"/>
        <w:ind w:left="698" w:right="228"/>
        <w:jc w:val="left"/>
      </w:pPr>
      <w:r>
        <w:rPr>
          <w:rFonts w:ascii="宋体" w:hAnsi="宋体" w:cs="宋体" w:eastAsia="宋体" w:hint="default"/>
        </w:rPr>
        <w:t>(2)</w:t>
      </w:r>
      <w:r>
        <w:rPr/>
        <w:t>订单分析 受宏观经济形势影响，大中型客户的合同数量略有下降，但合同金额保持增长，尤</w:t>
      </w:r>
    </w:p>
    <w:p>
      <w:pPr>
        <w:pStyle w:val="Heading3"/>
        <w:spacing w:line="240" w:lineRule="exact" w:before="0"/>
        <w:ind w:left="218" w:right="180"/>
        <w:jc w:val="left"/>
      </w:pPr>
      <w:r>
        <w:rPr/>
        <w:t>其是高端客户的合同单产明显提高，充分显示优势企业更加重视信息化，公司在高端客</w:t>
      </w:r>
    </w:p>
    <w:p>
      <w:pPr>
        <w:pStyle w:val="Heading3"/>
        <w:spacing w:line="297" w:lineRule="auto" w:before="74"/>
        <w:ind w:left="218" w:right="228"/>
        <w:jc w:val="left"/>
      </w:pPr>
      <w:r>
        <w:rPr/>
        <w:t>户经营方面的优势逐渐凸显。小型微型企业的新客户增长数量放缓，但老客户的再购买 与服务收入增加。各行业或领域公司整体来看新签合同保持稳定增长。</w:t>
      </w:r>
    </w:p>
    <w:p>
      <w:pPr>
        <w:pStyle w:val="Heading3"/>
        <w:spacing w:line="240" w:lineRule="auto" w:before="139"/>
        <w:ind w:left="698" w:right="180"/>
        <w:jc w:val="left"/>
      </w:pPr>
      <w:r>
        <w:rPr>
          <w:rFonts w:ascii="宋体" w:hAnsi="宋体" w:cs="宋体" w:eastAsia="宋体" w:hint="default"/>
        </w:rPr>
        <w:t>(3)</w:t>
      </w:r>
      <w:r>
        <w:rPr/>
        <w:t>主要销售客户的情况</w:t>
      </w:r>
    </w:p>
    <w:p>
      <w:pPr>
        <w:pStyle w:val="Heading5"/>
        <w:spacing w:line="240" w:lineRule="auto" w:before="198"/>
        <w:ind w:right="180"/>
        <w:jc w:val="right"/>
      </w:pPr>
      <w:r>
        <w:rPr/>
        <w:t>单位</w:t>
      </w:r>
      <w:r>
        <w:rPr>
          <w:rFonts w:ascii="宋体" w:hAnsi="宋体" w:cs="宋体" w:eastAsia="宋体" w:hint="default"/>
        </w:rPr>
        <w:t>:</w:t>
      </w:r>
      <w:r>
        <w:rPr/>
        <w:t>元</w:t>
      </w:r>
      <w:r>
        <w:rPr>
          <w:spacing w:val="-5"/>
        </w:rPr>
        <w:t> </w:t>
      </w:r>
      <w:r>
        <w:rPr/>
        <w:t>币种</w:t>
      </w:r>
      <w:r>
        <w:rPr>
          <w:rFonts w:ascii="宋体" w:hAnsi="宋体" w:cs="宋体" w:eastAsia="宋体" w:hint="default"/>
        </w:rPr>
        <w:t>:</w:t>
      </w:r>
      <w:r>
        <w:rPr/>
        <w:t>人民币</w:t>
      </w:r>
    </w:p>
    <w:p>
      <w:pPr>
        <w:spacing w:line="240" w:lineRule="auto" w:before="11"/>
        <w:rPr>
          <w:rFonts w:ascii="宋体" w:hAnsi="宋体" w:cs="宋体" w:eastAsia="宋体" w:hint="default"/>
          <w:sz w:val="16"/>
          <w:szCs w:val="16"/>
        </w:rPr>
      </w:pPr>
    </w:p>
    <w:tbl>
      <w:tblPr>
        <w:tblW w:w="0" w:type="auto"/>
        <w:jc w:val="left"/>
        <w:tblInd w:w="208" w:type="dxa"/>
        <w:tblLayout w:type="fixed"/>
        <w:tblCellMar>
          <w:top w:w="0" w:type="dxa"/>
          <w:left w:w="0" w:type="dxa"/>
          <w:bottom w:w="0" w:type="dxa"/>
          <w:right w:w="0" w:type="dxa"/>
        </w:tblCellMar>
        <w:tblLook w:val="01E0"/>
      </w:tblPr>
      <w:tblGrid>
        <w:gridCol w:w="3098"/>
        <w:gridCol w:w="2009"/>
        <w:gridCol w:w="2978"/>
        <w:gridCol w:w="1142"/>
      </w:tblGrid>
      <w:tr>
        <w:trPr>
          <w:trHeight w:val="310" w:hRule="exact"/>
        </w:trPr>
        <w:tc>
          <w:tcPr>
            <w:tcW w:w="309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前五名客户的营业收入合计</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767" w:right="0"/>
              <w:jc w:val="left"/>
              <w:rPr>
                <w:rFonts w:ascii="宋体" w:hAnsi="宋体" w:cs="宋体" w:eastAsia="宋体" w:hint="default"/>
                <w:sz w:val="21"/>
                <w:szCs w:val="21"/>
              </w:rPr>
            </w:pPr>
            <w:r>
              <w:rPr>
                <w:rFonts w:ascii="宋体"/>
                <w:sz w:val="21"/>
              </w:rPr>
              <w:t>126,464,737</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占公司营业收入的比重（</w:t>
            </w:r>
            <w:r>
              <w:rPr>
                <w:rFonts w:ascii="宋体" w:hAnsi="宋体" w:cs="宋体" w:eastAsia="宋体" w:hint="default"/>
                <w:sz w:val="21"/>
                <w:szCs w:val="21"/>
              </w:rPr>
              <w:t>%</w:t>
            </w:r>
            <w:r>
              <w:rPr>
                <w:rFonts w:ascii="宋体" w:hAnsi="宋体" w:cs="宋体" w:eastAsia="宋体" w:hint="default"/>
                <w:sz w:val="21"/>
                <w:szCs w:val="21"/>
              </w:rPr>
              <w:t>）</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9" w:right="0"/>
              <w:jc w:val="center"/>
              <w:rPr>
                <w:rFonts w:ascii="宋体" w:hAnsi="宋体" w:cs="宋体" w:eastAsia="宋体" w:hint="default"/>
                <w:sz w:val="21"/>
                <w:szCs w:val="21"/>
              </w:rPr>
            </w:pPr>
            <w:r>
              <w:rPr>
                <w:rFonts w:ascii="宋体"/>
                <w:sz w:val="21"/>
              </w:rPr>
              <w:t>3.0</w:t>
            </w:r>
          </w:p>
        </w:tc>
      </w:tr>
    </w:tbl>
    <w:p>
      <w:pPr>
        <w:pStyle w:val="Heading2"/>
        <w:spacing w:line="240" w:lineRule="auto" w:before="82"/>
        <w:ind w:left="784" w:right="180"/>
        <w:jc w:val="left"/>
        <w:rPr>
          <w:b w:val="0"/>
          <w:bCs w:val="0"/>
        </w:rPr>
      </w:pPr>
      <w:r>
        <w:rPr>
          <w:rFonts w:ascii="宋体" w:hAnsi="宋体" w:cs="宋体" w:eastAsia="宋体" w:hint="default"/>
        </w:rPr>
        <w:t>3</w:t>
      </w:r>
      <w:r>
        <w:rPr/>
        <w:t>、成本</w:t>
      </w:r>
      <w:r>
        <w:rPr>
          <w:b w:val="0"/>
          <w:bCs w:val="0"/>
        </w:rPr>
      </w:r>
    </w:p>
    <w:p>
      <w:pPr>
        <w:spacing w:after="0" w:line="240" w:lineRule="auto"/>
        <w:jc w:val="left"/>
        <w:sectPr>
          <w:pgSz w:w="11910" w:h="16850"/>
          <w:pgMar w:header="752" w:footer="730" w:top="1020" w:bottom="920" w:left="1200" w:right="1120"/>
        </w:sectPr>
      </w:pPr>
    </w:p>
    <w:p>
      <w:pPr>
        <w:spacing w:line="240" w:lineRule="auto" w:before="9"/>
        <w:rPr>
          <w:rFonts w:ascii="宋体" w:hAnsi="宋体" w:cs="宋体" w:eastAsia="宋体" w:hint="default"/>
          <w:b/>
          <w:bCs/>
          <w:sz w:val="26"/>
          <w:szCs w:val="26"/>
        </w:rPr>
      </w:pPr>
    </w:p>
    <w:p>
      <w:pPr>
        <w:pStyle w:val="Heading3"/>
        <w:spacing w:line="240" w:lineRule="auto" w:before="26"/>
        <w:ind w:left="704" w:right="188"/>
        <w:jc w:val="left"/>
      </w:pPr>
      <w:r>
        <w:rPr>
          <w:rFonts w:ascii="宋体" w:hAnsi="宋体" w:cs="宋体" w:eastAsia="宋体" w:hint="default"/>
        </w:rPr>
        <w:t>(1)</w:t>
      </w:r>
      <w:r>
        <w:rPr/>
        <w:t>成本分析表</w:t>
      </w:r>
    </w:p>
    <w:p>
      <w:pPr>
        <w:spacing w:line="240" w:lineRule="auto" w:before="5"/>
        <w:rPr>
          <w:rFonts w:ascii="宋体" w:hAnsi="宋体" w:cs="宋体" w:eastAsia="宋体" w:hint="default"/>
          <w:sz w:val="12"/>
          <w:szCs w:val="12"/>
        </w:rPr>
      </w:pPr>
    </w:p>
    <w:p>
      <w:pPr>
        <w:pStyle w:val="Heading5"/>
        <w:spacing w:line="240" w:lineRule="auto"/>
        <w:ind w:right="140"/>
        <w:jc w:val="right"/>
      </w:pPr>
      <w:r>
        <w:rPr/>
        <w:t>单位</w:t>
      </w:r>
      <w:r>
        <w:rPr>
          <w:rFonts w:ascii="宋体" w:hAnsi="宋体" w:cs="宋体" w:eastAsia="宋体" w:hint="default"/>
        </w:rPr>
        <w:t>:</w:t>
      </w:r>
      <w:r>
        <w:rPr/>
        <w:t>元</w:t>
      </w:r>
      <w:r>
        <w:rPr>
          <w:spacing w:val="-5"/>
        </w:rPr>
        <w:t> </w:t>
      </w:r>
      <w:r>
        <w:rPr/>
        <w:t>币种</w:t>
      </w:r>
      <w:r>
        <w:rPr>
          <w:rFonts w:ascii="宋体" w:hAnsi="宋体" w:cs="宋体" w:eastAsia="宋体" w:hint="default"/>
        </w:rPr>
        <w:t>:</w:t>
      </w:r>
      <w:r>
        <w:rPr/>
        <w:t>人民币</w:t>
      </w:r>
    </w:p>
    <w:p>
      <w:pPr>
        <w:spacing w:line="240" w:lineRule="auto" w:before="11"/>
        <w:rPr>
          <w:rFonts w:ascii="宋体" w:hAnsi="宋体" w:cs="宋体" w:eastAsia="宋体" w:hint="default"/>
          <w:sz w:val="16"/>
          <w:szCs w:val="16"/>
        </w:rPr>
      </w:pPr>
    </w:p>
    <w:tbl>
      <w:tblPr>
        <w:tblW w:w="0" w:type="auto"/>
        <w:jc w:val="left"/>
        <w:tblInd w:w="123" w:type="dxa"/>
        <w:tblLayout w:type="fixed"/>
        <w:tblCellMar>
          <w:top w:w="0" w:type="dxa"/>
          <w:left w:w="0" w:type="dxa"/>
          <w:bottom w:w="0" w:type="dxa"/>
          <w:right w:w="0" w:type="dxa"/>
        </w:tblCellMar>
        <w:tblLook w:val="01E0"/>
      </w:tblPr>
      <w:tblGrid>
        <w:gridCol w:w="2417"/>
        <w:gridCol w:w="1702"/>
        <w:gridCol w:w="1073"/>
        <w:gridCol w:w="1620"/>
        <w:gridCol w:w="1135"/>
        <w:gridCol w:w="1274"/>
      </w:tblGrid>
      <w:tr>
        <w:trPr>
          <w:trHeight w:val="288" w:hRule="exact"/>
        </w:trPr>
        <w:tc>
          <w:tcPr>
            <w:tcW w:w="9221"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分业务类型</w:t>
            </w:r>
          </w:p>
        </w:tc>
      </w:tr>
      <w:tr>
        <w:trPr>
          <w:trHeight w:val="830" w:hRule="exact"/>
        </w:trPr>
        <w:tc>
          <w:tcPr>
            <w:tcW w:w="2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分业务</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本期占总</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成本比例</w:t>
            </w:r>
          </w:p>
          <w:p>
            <w:pPr>
              <w:pStyle w:val="TableParagraph"/>
              <w:spacing w:line="274" w:lineRule="exact"/>
              <w:ind w:left="2" w:right="0"/>
              <w:jc w:val="center"/>
              <w:rPr>
                <w:rFonts w:ascii="宋体" w:hAnsi="宋体" w:cs="宋体" w:eastAsia="宋体" w:hint="default"/>
                <w:sz w:val="21"/>
                <w:szCs w:val="21"/>
              </w:rPr>
            </w:pPr>
            <w:r>
              <w:rPr>
                <w:rFonts w:ascii="宋体"/>
                <w:sz w:val="21"/>
              </w:rPr>
              <w:t>(%)</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68"/>
              <w:jc w:val="right"/>
              <w:rPr>
                <w:rFonts w:ascii="宋体" w:hAnsi="宋体" w:cs="宋体" w:eastAsia="宋体" w:hint="default"/>
                <w:sz w:val="21"/>
                <w:szCs w:val="21"/>
              </w:rPr>
            </w:pPr>
            <w:r>
              <w:rPr>
                <w:rFonts w:ascii="宋体" w:hAnsi="宋体" w:cs="宋体" w:eastAsia="宋体" w:hint="default"/>
                <w:spacing w:val="-1"/>
                <w:sz w:val="21"/>
                <w:szCs w:val="21"/>
              </w:rPr>
              <w:t>上年同期金额</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hAnsi="宋体" w:cs="宋体" w:eastAsia="宋体" w:hint="default"/>
                <w:sz w:val="21"/>
                <w:szCs w:val="21"/>
              </w:rPr>
              <w:t>上年同期</w:t>
            </w:r>
          </w:p>
          <w:p>
            <w:pPr>
              <w:pStyle w:val="TableParagraph"/>
              <w:spacing w:line="240" w:lineRule="auto"/>
              <w:ind w:left="192" w:right="137" w:hanging="53"/>
              <w:jc w:val="left"/>
              <w:rPr>
                <w:rFonts w:ascii="宋体" w:hAnsi="宋体" w:cs="宋体" w:eastAsia="宋体" w:hint="default"/>
                <w:sz w:val="21"/>
                <w:szCs w:val="21"/>
              </w:rPr>
            </w:pPr>
            <w:r>
              <w:rPr>
                <w:rFonts w:ascii="宋体" w:hAnsi="宋体" w:cs="宋体" w:eastAsia="宋体" w:hint="default"/>
                <w:sz w:val="21"/>
                <w:szCs w:val="21"/>
              </w:rPr>
              <w:t>占总成本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本期金额较</w:t>
            </w:r>
          </w:p>
          <w:p>
            <w:pPr>
              <w:pStyle w:val="TableParagraph"/>
              <w:spacing w:line="240" w:lineRule="auto"/>
              <w:ind w:left="156" w:right="101" w:hanging="53"/>
              <w:jc w:val="left"/>
              <w:rPr>
                <w:rFonts w:ascii="宋体" w:hAnsi="宋体" w:cs="宋体" w:eastAsia="宋体" w:hint="default"/>
                <w:sz w:val="21"/>
                <w:szCs w:val="21"/>
              </w:rPr>
            </w:pPr>
            <w:r>
              <w:rPr>
                <w:rFonts w:ascii="宋体" w:hAnsi="宋体" w:cs="宋体" w:eastAsia="宋体" w:hint="default"/>
                <w:sz w:val="21"/>
                <w:szCs w:val="21"/>
              </w:rPr>
              <w:t>上年同期变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动比例</w:t>
            </w:r>
            <w:r>
              <w:rPr>
                <w:rFonts w:ascii="宋体" w:hAnsi="宋体" w:cs="宋体" w:eastAsia="宋体" w:hint="default"/>
                <w:sz w:val="21"/>
                <w:szCs w:val="21"/>
              </w:rPr>
              <w:t>(%)</w:t>
            </w:r>
          </w:p>
        </w:tc>
      </w:tr>
      <w:tr>
        <w:trPr>
          <w:trHeight w:val="288" w:hRule="exact"/>
        </w:trPr>
        <w:tc>
          <w:tcPr>
            <w:tcW w:w="24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软件产品</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125,223,986</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9" w:right="0"/>
              <w:jc w:val="left"/>
              <w:rPr>
                <w:rFonts w:ascii="宋体" w:hAnsi="宋体" w:cs="宋体" w:eastAsia="宋体" w:hint="default"/>
                <w:sz w:val="21"/>
                <w:szCs w:val="21"/>
              </w:rPr>
            </w:pPr>
            <w:r>
              <w:rPr>
                <w:rFonts w:ascii="宋体"/>
                <w:sz w:val="21"/>
              </w:rPr>
              <w:t>18.6</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151,877,976</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sz w:val="21"/>
              </w:rPr>
              <w:t>24.4</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sz w:val="21"/>
              </w:rPr>
              <w:t>-17.5</w:t>
            </w:r>
          </w:p>
        </w:tc>
      </w:tr>
      <w:tr>
        <w:trPr>
          <w:trHeight w:val="288" w:hRule="exact"/>
        </w:trPr>
        <w:tc>
          <w:tcPr>
            <w:tcW w:w="24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支持服务</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34,382,070</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1" w:right="0"/>
              <w:jc w:val="left"/>
              <w:rPr>
                <w:rFonts w:ascii="宋体" w:hAnsi="宋体" w:cs="宋体" w:eastAsia="宋体" w:hint="default"/>
                <w:sz w:val="21"/>
                <w:szCs w:val="21"/>
              </w:rPr>
            </w:pPr>
            <w:r>
              <w:rPr>
                <w:rFonts w:ascii="宋体"/>
                <w:sz w:val="21"/>
              </w:rPr>
              <w:t>5.1</w:t>
            </w:r>
          </w:p>
        </w:tc>
        <w:tc>
          <w:tcPr>
            <w:tcW w:w="1620" w:type="dxa"/>
            <w:vMerge w:val="restart"/>
            <w:tcBorders>
              <w:top w:val="single" w:sz="6" w:space="0" w:color="000000"/>
              <w:left w:val="single" w:sz="6" w:space="0" w:color="000000"/>
              <w:right w:val="single" w:sz="6" w:space="0" w:color="000000"/>
            </w:tcBorders>
          </w:tcPr>
          <w:p>
            <w:pPr>
              <w:pStyle w:val="TableParagraph"/>
              <w:spacing w:line="240" w:lineRule="auto" w:before="110"/>
              <w:ind w:left="350" w:right="0"/>
              <w:jc w:val="left"/>
              <w:rPr>
                <w:rFonts w:ascii="宋体" w:hAnsi="宋体" w:cs="宋体" w:eastAsia="宋体" w:hint="default"/>
                <w:sz w:val="21"/>
                <w:szCs w:val="21"/>
              </w:rPr>
            </w:pPr>
            <w:r>
              <w:rPr>
                <w:rFonts w:ascii="宋体"/>
                <w:sz w:val="21"/>
              </w:rPr>
              <w:t>376,306,830</w:t>
            </w:r>
          </w:p>
        </w:tc>
        <w:tc>
          <w:tcPr>
            <w:tcW w:w="1135" w:type="dxa"/>
            <w:vMerge w:val="restart"/>
            <w:tcBorders>
              <w:top w:val="single" w:sz="6" w:space="0" w:color="000000"/>
              <w:left w:val="single" w:sz="6" w:space="0" w:color="000000"/>
              <w:right w:val="single" w:sz="6" w:space="0" w:color="000000"/>
            </w:tcBorders>
          </w:tcPr>
          <w:p>
            <w:pPr>
              <w:pStyle w:val="TableParagraph"/>
              <w:spacing w:line="240" w:lineRule="auto" w:before="110"/>
              <w:ind w:left="350" w:right="0"/>
              <w:jc w:val="left"/>
              <w:rPr>
                <w:rFonts w:ascii="宋体" w:hAnsi="宋体" w:cs="宋体" w:eastAsia="宋体" w:hint="default"/>
                <w:sz w:val="21"/>
                <w:szCs w:val="21"/>
              </w:rPr>
            </w:pPr>
            <w:r>
              <w:rPr>
                <w:rFonts w:ascii="宋体"/>
                <w:sz w:val="21"/>
              </w:rPr>
              <w:t>60.5</w:t>
            </w:r>
          </w:p>
        </w:tc>
        <w:tc>
          <w:tcPr>
            <w:tcW w:w="1274" w:type="dxa"/>
            <w:vMerge w:val="restart"/>
            <w:tcBorders>
              <w:top w:val="single" w:sz="6" w:space="0" w:color="000000"/>
              <w:left w:val="single" w:sz="6" w:space="0" w:color="000000"/>
              <w:right w:val="single" w:sz="6" w:space="0" w:color="000000"/>
            </w:tcBorders>
          </w:tcPr>
          <w:p>
            <w:pPr>
              <w:pStyle w:val="TableParagraph"/>
              <w:spacing w:line="240" w:lineRule="auto" w:before="110"/>
              <w:ind w:left="420" w:right="0"/>
              <w:jc w:val="left"/>
              <w:rPr>
                <w:rFonts w:ascii="宋体" w:hAnsi="宋体" w:cs="宋体" w:eastAsia="宋体" w:hint="default"/>
                <w:sz w:val="21"/>
                <w:szCs w:val="21"/>
              </w:rPr>
            </w:pPr>
            <w:r>
              <w:rPr>
                <w:rFonts w:ascii="宋体"/>
                <w:sz w:val="21"/>
              </w:rPr>
              <w:t>15.4</w:t>
            </w:r>
          </w:p>
        </w:tc>
      </w:tr>
      <w:tr>
        <w:trPr>
          <w:trHeight w:val="288" w:hRule="exact"/>
        </w:trPr>
        <w:tc>
          <w:tcPr>
            <w:tcW w:w="24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咨询实施及培训服务</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399,917,067</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sz w:val="21"/>
              </w:rPr>
              <w:t>59.4</w:t>
            </w:r>
          </w:p>
        </w:tc>
        <w:tc>
          <w:tcPr>
            <w:tcW w:w="1620" w:type="dxa"/>
            <w:vMerge/>
            <w:tcBorders>
              <w:left w:val="single" w:sz="6" w:space="0" w:color="000000"/>
              <w:bottom w:val="single" w:sz="6" w:space="0" w:color="000000"/>
              <w:right w:val="single" w:sz="6" w:space="0" w:color="000000"/>
            </w:tcBorders>
          </w:tcPr>
          <w:p>
            <w:pPr/>
          </w:p>
        </w:tc>
        <w:tc>
          <w:tcPr>
            <w:tcW w:w="1135" w:type="dxa"/>
            <w:vMerge/>
            <w:tcBorders>
              <w:left w:val="single" w:sz="6" w:space="0" w:color="000000"/>
              <w:bottom w:val="single" w:sz="6" w:space="0" w:color="000000"/>
              <w:right w:val="single" w:sz="6" w:space="0" w:color="000000"/>
            </w:tcBorders>
          </w:tcPr>
          <w:p>
            <w:pPr/>
          </w:p>
        </w:tc>
        <w:tc>
          <w:tcPr>
            <w:tcW w:w="1274" w:type="dxa"/>
            <w:vMerge/>
            <w:tcBorders>
              <w:left w:val="single" w:sz="6" w:space="0" w:color="000000"/>
              <w:bottom w:val="single" w:sz="6" w:space="0" w:color="000000"/>
              <w:right w:val="single" w:sz="6" w:space="0" w:color="000000"/>
            </w:tcBorders>
          </w:tcPr>
          <w:p>
            <w:pPr/>
          </w:p>
        </w:tc>
      </w:tr>
      <w:tr>
        <w:trPr>
          <w:trHeight w:val="288" w:hRule="exact"/>
        </w:trPr>
        <w:tc>
          <w:tcPr>
            <w:tcW w:w="24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113,909,796</w:t>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sz w:val="21"/>
              </w:rPr>
              <w:t>16.9</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93,572,588</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15.1</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sz w:val="21"/>
              </w:rPr>
              <w:t>21.7</w:t>
            </w:r>
          </w:p>
        </w:tc>
      </w:tr>
    </w:tbl>
    <w:p>
      <w:pPr>
        <w:spacing w:line="240" w:lineRule="auto" w:before="9"/>
        <w:rPr>
          <w:rFonts w:ascii="宋体" w:hAnsi="宋体" w:cs="宋体" w:eastAsia="宋体" w:hint="default"/>
          <w:sz w:val="23"/>
          <w:szCs w:val="23"/>
        </w:rPr>
      </w:pPr>
    </w:p>
    <w:tbl>
      <w:tblPr>
        <w:tblW w:w="0" w:type="auto"/>
        <w:jc w:val="left"/>
        <w:tblInd w:w="123" w:type="dxa"/>
        <w:tblLayout w:type="fixed"/>
        <w:tblCellMar>
          <w:top w:w="0" w:type="dxa"/>
          <w:left w:w="0" w:type="dxa"/>
          <w:bottom w:w="0" w:type="dxa"/>
          <w:right w:w="0" w:type="dxa"/>
        </w:tblCellMar>
        <w:tblLook w:val="01E0"/>
      </w:tblPr>
      <w:tblGrid>
        <w:gridCol w:w="2417"/>
        <w:gridCol w:w="1702"/>
        <w:gridCol w:w="1133"/>
        <w:gridCol w:w="1560"/>
        <w:gridCol w:w="1135"/>
        <w:gridCol w:w="1274"/>
      </w:tblGrid>
      <w:tr>
        <w:trPr>
          <w:trHeight w:val="288" w:hRule="exact"/>
        </w:trPr>
        <w:tc>
          <w:tcPr>
            <w:tcW w:w="9221" w:type="dxa"/>
            <w:gridSpan w:val="6"/>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833" w:hRule="exact"/>
        </w:trPr>
        <w:tc>
          <w:tcPr>
            <w:tcW w:w="2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分产品</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本期占总</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成本比例</w:t>
            </w:r>
          </w:p>
          <w:p>
            <w:pPr>
              <w:pStyle w:val="TableParagraph"/>
              <w:spacing w:line="273" w:lineRule="exact"/>
              <w:ind w:right="0"/>
              <w:jc w:val="center"/>
              <w:rPr>
                <w:rFonts w:ascii="宋体" w:hAnsi="宋体" w:cs="宋体" w:eastAsia="宋体" w:hint="default"/>
                <w:sz w:val="21"/>
                <w:szCs w:val="21"/>
              </w:rPr>
            </w:pPr>
            <w:r>
              <w:rPr>
                <w:rFonts w:ascii="宋体"/>
                <w:sz w:val="21"/>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39"/>
              <w:jc w:val="right"/>
              <w:rPr>
                <w:rFonts w:ascii="宋体" w:hAnsi="宋体" w:cs="宋体" w:eastAsia="宋体" w:hint="default"/>
                <w:sz w:val="21"/>
                <w:szCs w:val="21"/>
              </w:rPr>
            </w:pPr>
            <w:r>
              <w:rPr>
                <w:rFonts w:ascii="宋体" w:hAnsi="宋体" w:cs="宋体" w:eastAsia="宋体" w:hint="default"/>
                <w:spacing w:val="-1"/>
                <w:sz w:val="21"/>
                <w:szCs w:val="21"/>
              </w:rPr>
              <w:t>上年同期金额</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上年同期</w:t>
            </w:r>
          </w:p>
          <w:p>
            <w:pPr>
              <w:pStyle w:val="TableParagraph"/>
              <w:spacing w:line="272" w:lineRule="exact" w:before="27"/>
              <w:ind w:left="192" w:right="136" w:hanging="53"/>
              <w:jc w:val="left"/>
              <w:rPr>
                <w:rFonts w:ascii="宋体" w:hAnsi="宋体" w:cs="宋体" w:eastAsia="宋体" w:hint="default"/>
                <w:sz w:val="21"/>
                <w:szCs w:val="21"/>
              </w:rPr>
            </w:pPr>
            <w:r>
              <w:rPr>
                <w:rFonts w:ascii="宋体" w:hAnsi="宋体" w:cs="宋体" w:eastAsia="宋体" w:hint="default"/>
                <w:sz w:val="21"/>
                <w:szCs w:val="21"/>
              </w:rPr>
              <w:t>占总成本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本期金额较</w:t>
            </w:r>
          </w:p>
          <w:p>
            <w:pPr>
              <w:pStyle w:val="TableParagraph"/>
              <w:spacing w:line="272" w:lineRule="exact" w:before="27"/>
              <w:ind w:left="156" w:right="100" w:hanging="53"/>
              <w:jc w:val="left"/>
              <w:rPr>
                <w:rFonts w:ascii="宋体" w:hAnsi="宋体" w:cs="宋体" w:eastAsia="宋体" w:hint="default"/>
                <w:sz w:val="21"/>
                <w:szCs w:val="21"/>
              </w:rPr>
            </w:pPr>
            <w:r>
              <w:rPr>
                <w:rFonts w:ascii="宋体" w:hAnsi="宋体" w:cs="宋体" w:eastAsia="宋体" w:hint="default"/>
                <w:sz w:val="21"/>
                <w:szCs w:val="21"/>
              </w:rPr>
              <w:t>上年同期变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动比例</w:t>
            </w:r>
            <w:r>
              <w:rPr>
                <w:rFonts w:ascii="宋体" w:hAnsi="宋体" w:cs="宋体" w:eastAsia="宋体" w:hint="default"/>
                <w:sz w:val="21"/>
                <w:szCs w:val="21"/>
              </w:rPr>
              <w:t>(%)</w:t>
            </w:r>
          </w:p>
        </w:tc>
      </w:tr>
      <w:tr>
        <w:trPr>
          <w:trHeight w:val="286" w:hRule="exact"/>
        </w:trPr>
        <w:tc>
          <w:tcPr>
            <w:tcW w:w="24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高端客户软件服务收入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385,169,944</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57.2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378,101,043</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7" w:right="0"/>
              <w:jc w:val="left"/>
              <w:rPr>
                <w:rFonts w:ascii="宋体" w:hAnsi="宋体" w:cs="宋体" w:eastAsia="宋体" w:hint="default"/>
                <w:sz w:val="21"/>
                <w:szCs w:val="21"/>
              </w:rPr>
            </w:pPr>
            <w:r>
              <w:rPr>
                <w:rFonts w:ascii="宋体"/>
                <w:sz w:val="21"/>
              </w:rPr>
              <w:t>60.8</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1.9</w:t>
            </w:r>
          </w:p>
        </w:tc>
      </w:tr>
      <w:tr>
        <w:trPr>
          <w:trHeight w:val="288" w:hRule="exact"/>
        </w:trPr>
        <w:tc>
          <w:tcPr>
            <w:tcW w:w="241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中端客户软件服务收入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140,633,051</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20.9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134,241,407</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47" w:right="0"/>
              <w:jc w:val="left"/>
              <w:rPr>
                <w:rFonts w:ascii="宋体" w:hAnsi="宋体" w:cs="宋体" w:eastAsia="宋体" w:hint="default"/>
                <w:sz w:val="21"/>
                <w:szCs w:val="21"/>
              </w:rPr>
            </w:pPr>
            <w:r>
              <w:rPr>
                <w:rFonts w:ascii="宋体"/>
                <w:sz w:val="21"/>
              </w:rPr>
              <w:t>21.6</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4.8</w:t>
            </w:r>
          </w:p>
        </w:tc>
      </w:tr>
      <w:tr>
        <w:trPr>
          <w:trHeight w:val="288" w:hRule="exact"/>
        </w:trPr>
        <w:tc>
          <w:tcPr>
            <w:tcW w:w="24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低端客户软件服务收入</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33,720,128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15,842,356</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00" w:right="0"/>
              <w:jc w:val="left"/>
              <w:rPr>
                <w:rFonts w:ascii="宋体" w:hAnsi="宋体" w:cs="宋体" w:eastAsia="宋体" w:hint="default"/>
                <w:sz w:val="21"/>
                <w:szCs w:val="21"/>
              </w:rPr>
            </w:pPr>
            <w:r>
              <w:rPr>
                <w:rFonts w:ascii="宋体"/>
                <w:sz w:val="21"/>
              </w:rPr>
              <w:t>2.5</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112.8</w:t>
            </w:r>
          </w:p>
        </w:tc>
      </w:tr>
      <w:tr>
        <w:trPr>
          <w:trHeight w:val="288" w:hRule="exact"/>
        </w:trPr>
        <w:tc>
          <w:tcPr>
            <w:tcW w:w="24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113,909,796</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16.9</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93,572,588</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8" w:right="0"/>
              <w:jc w:val="left"/>
              <w:rPr>
                <w:rFonts w:ascii="宋体" w:hAnsi="宋体" w:cs="宋体" w:eastAsia="宋体" w:hint="default"/>
                <w:sz w:val="21"/>
                <w:szCs w:val="21"/>
              </w:rPr>
            </w:pPr>
            <w:r>
              <w:rPr>
                <w:rFonts w:ascii="宋体"/>
                <w:sz w:val="21"/>
              </w:rPr>
              <w:t>15.1</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21.7</w:t>
            </w:r>
          </w:p>
        </w:tc>
      </w:tr>
    </w:tbl>
    <w:p>
      <w:pPr>
        <w:pStyle w:val="Heading3"/>
        <w:spacing w:line="240" w:lineRule="auto" w:before="82"/>
        <w:ind w:left="704" w:right="188"/>
        <w:jc w:val="left"/>
      </w:pPr>
      <w:r>
        <w:rPr>
          <w:rFonts w:ascii="宋体" w:hAnsi="宋体" w:cs="宋体" w:eastAsia="宋体" w:hint="default"/>
        </w:rPr>
        <w:t>(2)</w:t>
      </w:r>
      <w:r>
        <w:rPr/>
        <w:t>主要供应商情况</w:t>
      </w:r>
    </w:p>
    <w:p>
      <w:pPr>
        <w:spacing w:line="240" w:lineRule="auto" w:before="5"/>
        <w:rPr>
          <w:rFonts w:ascii="宋体" w:hAnsi="宋体" w:cs="宋体" w:eastAsia="宋体" w:hint="default"/>
          <w:sz w:val="12"/>
          <w:szCs w:val="12"/>
        </w:rPr>
      </w:pPr>
    </w:p>
    <w:p>
      <w:pPr>
        <w:pStyle w:val="Heading5"/>
        <w:spacing w:line="240" w:lineRule="auto"/>
        <w:ind w:right="140"/>
        <w:jc w:val="right"/>
      </w:pPr>
      <w:r>
        <w:rPr/>
        <w:t>单位</w:t>
      </w:r>
      <w:r>
        <w:rPr>
          <w:rFonts w:ascii="宋体" w:hAnsi="宋体" w:cs="宋体" w:eastAsia="宋体" w:hint="default"/>
        </w:rPr>
        <w:t>:</w:t>
      </w:r>
      <w:r>
        <w:rPr/>
        <w:t>元</w:t>
      </w:r>
      <w:r>
        <w:rPr>
          <w:spacing w:val="-5"/>
        </w:rPr>
        <w:t> </w:t>
      </w:r>
      <w:r>
        <w:rPr/>
        <w:t>币种</w:t>
      </w:r>
      <w:r>
        <w:rPr>
          <w:rFonts w:ascii="宋体" w:hAnsi="宋体" w:cs="宋体" w:eastAsia="宋体" w:hint="default"/>
        </w:rPr>
        <w:t>:</w:t>
      </w:r>
      <w:r>
        <w:rPr/>
        <w:t>人民币</w:t>
      </w:r>
    </w:p>
    <w:p>
      <w:pPr>
        <w:spacing w:line="240" w:lineRule="auto" w:before="11"/>
        <w:rPr>
          <w:rFonts w:ascii="宋体" w:hAnsi="宋体" w:cs="宋体" w:eastAsia="宋体" w:hint="default"/>
          <w:sz w:val="16"/>
          <w:szCs w:val="16"/>
        </w:rPr>
      </w:pPr>
    </w:p>
    <w:tbl>
      <w:tblPr>
        <w:tblW w:w="0" w:type="auto"/>
        <w:jc w:val="left"/>
        <w:tblInd w:w="128" w:type="dxa"/>
        <w:tblLayout w:type="fixed"/>
        <w:tblCellMar>
          <w:top w:w="0" w:type="dxa"/>
          <w:left w:w="0" w:type="dxa"/>
          <w:bottom w:w="0" w:type="dxa"/>
          <w:right w:w="0" w:type="dxa"/>
        </w:tblCellMar>
        <w:tblLook w:val="01E0"/>
      </w:tblPr>
      <w:tblGrid>
        <w:gridCol w:w="3401"/>
        <w:gridCol w:w="1399"/>
        <w:gridCol w:w="3101"/>
        <w:gridCol w:w="1318"/>
      </w:tblGrid>
      <w:tr>
        <w:trPr>
          <w:trHeight w:val="310" w:hRule="exact"/>
        </w:trPr>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前五名供应商采购金额合计</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32" w:right="0"/>
              <w:jc w:val="left"/>
              <w:rPr>
                <w:rFonts w:ascii="宋体" w:hAnsi="宋体" w:cs="宋体" w:eastAsia="宋体" w:hint="default"/>
                <w:sz w:val="21"/>
                <w:szCs w:val="21"/>
              </w:rPr>
            </w:pPr>
            <w:r>
              <w:rPr>
                <w:rFonts w:ascii="宋体"/>
                <w:sz w:val="21"/>
              </w:rPr>
              <w:t>57,481,350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占年度采购总额比重（％）</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50" w:right="0"/>
              <w:jc w:val="center"/>
              <w:rPr>
                <w:rFonts w:ascii="宋体" w:hAnsi="宋体" w:cs="宋体" w:eastAsia="宋体" w:hint="default"/>
                <w:sz w:val="21"/>
                <w:szCs w:val="21"/>
              </w:rPr>
            </w:pPr>
            <w:r>
              <w:rPr>
                <w:rFonts w:ascii="宋体"/>
                <w:sz w:val="21"/>
              </w:rPr>
              <w:t>8.5</w:t>
            </w:r>
          </w:p>
        </w:tc>
      </w:tr>
    </w:tbl>
    <w:p>
      <w:pPr>
        <w:pStyle w:val="Heading2"/>
        <w:spacing w:line="240" w:lineRule="auto" w:before="82"/>
        <w:ind w:left="704" w:right="188"/>
        <w:jc w:val="left"/>
        <w:rPr>
          <w:b w:val="0"/>
          <w:bCs w:val="0"/>
        </w:rPr>
      </w:pPr>
      <w:r>
        <w:rPr>
          <w:rFonts w:ascii="宋体" w:hAnsi="宋体" w:cs="宋体" w:eastAsia="宋体" w:hint="default"/>
        </w:rPr>
        <w:t>4</w:t>
      </w:r>
      <w:r>
        <w:rPr/>
        <w:t>、费用</w:t>
      </w:r>
      <w:r>
        <w:rPr>
          <w:b w:val="0"/>
          <w:bCs w:val="0"/>
        </w:rPr>
      </w:r>
    </w:p>
    <w:p>
      <w:pPr>
        <w:spacing w:line="240" w:lineRule="auto" w:before="5"/>
        <w:rPr>
          <w:rFonts w:ascii="宋体" w:hAnsi="宋体" w:cs="宋体" w:eastAsia="宋体" w:hint="default"/>
          <w:b/>
          <w:bCs/>
          <w:sz w:val="12"/>
          <w:szCs w:val="12"/>
        </w:rPr>
      </w:pPr>
    </w:p>
    <w:p>
      <w:pPr>
        <w:pStyle w:val="Heading5"/>
        <w:spacing w:line="240" w:lineRule="auto"/>
        <w:ind w:right="140"/>
        <w:jc w:val="right"/>
      </w:pPr>
      <w:r>
        <w:rPr/>
        <w:t>单位</w:t>
      </w:r>
      <w:r>
        <w:rPr>
          <w:rFonts w:ascii="宋体" w:hAnsi="宋体" w:cs="宋体" w:eastAsia="宋体" w:hint="default"/>
        </w:rPr>
        <w:t>:</w:t>
      </w:r>
      <w:r>
        <w:rPr/>
        <w:t>元</w:t>
      </w:r>
      <w:r>
        <w:rPr>
          <w:spacing w:val="-5"/>
        </w:rPr>
        <w:t> </w:t>
      </w:r>
      <w:r>
        <w:rPr/>
        <w:t>币种</w:t>
      </w:r>
      <w:r>
        <w:rPr>
          <w:rFonts w:ascii="宋体" w:hAnsi="宋体" w:cs="宋体" w:eastAsia="宋体" w:hint="default"/>
        </w:rPr>
        <w:t>:</w:t>
      </w:r>
      <w:r>
        <w:rPr/>
        <w:t>人民币</w:t>
      </w:r>
    </w:p>
    <w:p>
      <w:pPr>
        <w:spacing w:line="240" w:lineRule="auto" w:before="11"/>
        <w:rPr>
          <w:rFonts w:ascii="宋体" w:hAnsi="宋体" w:cs="宋体" w:eastAsia="宋体" w:hint="default"/>
          <w:sz w:val="16"/>
          <w:szCs w:val="16"/>
        </w:rPr>
      </w:pPr>
    </w:p>
    <w:tbl>
      <w:tblPr>
        <w:tblW w:w="0" w:type="auto"/>
        <w:jc w:val="left"/>
        <w:tblInd w:w="128" w:type="dxa"/>
        <w:tblLayout w:type="fixed"/>
        <w:tblCellMar>
          <w:top w:w="0" w:type="dxa"/>
          <w:left w:w="0" w:type="dxa"/>
          <w:bottom w:w="0" w:type="dxa"/>
          <w:right w:w="0" w:type="dxa"/>
        </w:tblCellMar>
        <w:tblLook w:val="01E0"/>
      </w:tblPr>
      <w:tblGrid>
        <w:gridCol w:w="1980"/>
        <w:gridCol w:w="2561"/>
        <w:gridCol w:w="2551"/>
        <w:gridCol w:w="2126"/>
      </w:tblGrid>
      <w:tr>
        <w:trPr>
          <w:trHeight w:val="295" w:hRule="exact"/>
        </w:trPr>
        <w:tc>
          <w:tcPr>
            <w:tcW w:w="1980" w:type="dxa"/>
            <w:tcBorders>
              <w:top w:val="single" w:sz="4" w:space="0" w:color="000000"/>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828"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823"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2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pacing w:val="-1"/>
                <w:sz w:val="21"/>
              </w:rPr>
              <w:t>1,937,578,118</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pacing w:val="-1"/>
                <w:sz w:val="21"/>
              </w:rPr>
              <w:t>1,815,627,537</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sz w:val="21"/>
              </w:rPr>
              <w:t>6.7</w:t>
            </w:r>
          </w:p>
        </w:tc>
      </w:tr>
      <w:tr>
        <w:trPr>
          <w:trHeight w:val="32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pacing w:val="-1"/>
                <w:sz w:val="21"/>
              </w:rPr>
              <w:t>1,274,911,715</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pacing w:val="-1"/>
                <w:sz w:val="21"/>
              </w:rPr>
              <w:t>1,171,550,102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sz w:val="21"/>
              </w:rPr>
              <w:t>8.8</w:t>
            </w:r>
          </w:p>
        </w:tc>
      </w:tr>
      <w:tr>
        <w:trPr>
          <w:trHeight w:val="32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pacing w:val="-1"/>
                <w:sz w:val="21"/>
              </w:rPr>
              <w:t>56,548,249</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pacing w:val="-1"/>
                <w:sz w:val="21"/>
              </w:rPr>
              <w:t>31,828,345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sz w:val="21"/>
              </w:rPr>
              <w:t>77.7</w:t>
            </w:r>
          </w:p>
        </w:tc>
      </w:tr>
      <w:tr>
        <w:trPr>
          <w:trHeight w:val="32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pacing w:val="-1"/>
                <w:sz w:val="21"/>
              </w:rPr>
              <w:t>3,269,038,082</w:t>
            </w:r>
          </w:p>
        </w:tc>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98"/>
              <w:jc w:val="right"/>
              <w:rPr>
                <w:rFonts w:ascii="宋体" w:hAnsi="宋体" w:cs="宋体" w:eastAsia="宋体" w:hint="default"/>
                <w:sz w:val="21"/>
                <w:szCs w:val="21"/>
              </w:rPr>
            </w:pPr>
            <w:r>
              <w:rPr>
                <w:rFonts w:ascii="宋体"/>
                <w:spacing w:val="-1"/>
                <w:sz w:val="21"/>
              </w:rPr>
              <w:t>3,019,005,984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sz w:val="21"/>
              </w:rPr>
              <w:t>8.3</w:t>
            </w:r>
          </w:p>
        </w:tc>
      </w:tr>
    </w:tbl>
    <w:p>
      <w:pPr>
        <w:pStyle w:val="Heading2"/>
        <w:spacing w:line="240" w:lineRule="auto" w:before="82"/>
        <w:ind w:left="704" w:right="188"/>
        <w:jc w:val="left"/>
        <w:rPr>
          <w:b w:val="0"/>
          <w:bCs w:val="0"/>
        </w:rPr>
      </w:pPr>
      <w:r>
        <w:rPr>
          <w:rFonts w:ascii="宋体" w:hAnsi="宋体" w:cs="宋体" w:eastAsia="宋体" w:hint="default"/>
        </w:rPr>
        <w:t>5</w:t>
      </w:r>
      <w:r>
        <w:rPr/>
        <w:t>、研发支出</w:t>
      </w:r>
      <w:r>
        <w:rPr>
          <w:b w:val="0"/>
          <w:bCs w:val="0"/>
        </w:rPr>
      </w:r>
    </w:p>
    <w:p>
      <w:pPr>
        <w:pStyle w:val="Heading3"/>
        <w:spacing w:line="240" w:lineRule="auto" w:before="194"/>
        <w:ind w:left="704" w:right="188"/>
        <w:jc w:val="left"/>
      </w:pPr>
      <w:r>
        <w:rPr>
          <w:rFonts w:ascii="宋体" w:hAnsi="宋体" w:cs="宋体" w:eastAsia="宋体" w:hint="default"/>
        </w:rPr>
        <w:t>(1) </w:t>
      </w:r>
      <w:r>
        <w:rPr/>
        <w:t>研发支出情况表</w:t>
      </w:r>
    </w:p>
    <w:p>
      <w:pPr>
        <w:spacing w:line="240" w:lineRule="auto" w:before="5"/>
        <w:rPr>
          <w:rFonts w:ascii="宋体" w:hAnsi="宋体" w:cs="宋体" w:eastAsia="宋体" w:hint="default"/>
          <w:sz w:val="12"/>
          <w:szCs w:val="12"/>
        </w:rPr>
      </w:pPr>
    </w:p>
    <w:p>
      <w:pPr>
        <w:pStyle w:val="Heading5"/>
        <w:spacing w:line="240" w:lineRule="auto"/>
        <w:ind w:right="140"/>
        <w:jc w:val="right"/>
      </w:pPr>
      <w:r>
        <w:rPr/>
        <w:t>单位</w:t>
      </w:r>
      <w:r>
        <w:rPr>
          <w:rFonts w:ascii="宋体" w:hAnsi="宋体" w:cs="宋体" w:eastAsia="宋体" w:hint="default"/>
        </w:rPr>
        <w:t>:</w:t>
      </w:r>
      <w:r>
        <w:rPr/>
        <w:t>元</w:t>
      </w:r>
      <w:r>
        <w:rPr>
          <w:spacing w:val="-5"/>
        </w:rPr>
        <w:t> </w:t>
      </w:r>
      <w:r>
        <w:rPr/>
        <w:t>币种</w:t>
      </w:r>
      <w:r>
        <w:rPr>
          <w:rFonts w:ascii="宋体" w:hAnsi="宋体" w:cs="宋体" w:eastAsia="宋体" w:hint="default"/>
        </w:rPr>
        <w:t>:</w:t>
      </w:r>
      <w:r>
        <w:rPr/>
        <w:t>人民币</w:t>
      </w:r>
    </w:p>
    <w:p>
      <w:pPr>
        <w:spacing w:line="240" w:lineRule="auto" w:before="11"/>
        <w:rPr>
          <w:rFonts w:ascii="宋体" w:hAnsi="宋体" w:cs="宋体" w:eastAsia="宋体" w:hint="default"/>
          <w:sz w:val="16"/>
          <w:szCs w:val="16"/>
        </w:rPr>
      </w:pPr>
    </w:p>
    <w:tbl>
      <w:tblPr>
        <w:tblW w:w="0" w:type="auto"/>
        <w:jc w:val="left"/>
        <w:tblInd w:w="123" w:type="dxa"/>
        <w:tblLayout w:type="fixed"/>
        <w:tblCellMar>
          <w:top w:w="0" w:type="dxa"/>
          <w:left w:w="0" w:type="dxa"/>
          <w:bottom w:w="0" w:type="dxa"/>
          <w:right w:w="0" w:type="dxa"/>
        </w:tblCellMar>
        <w:tblLook w:val="01E0"/>
      </w:tblPr>
      <w:tblGrid>
        <w:gridCol w:w="4260"/>
        <w:gridCol w:w="4961"/>
      </w:tblGrid>
      <w:tr>
        <w:trPr>
          <w:trHeight w:val="288" w:hRule="exact"/>
        </w:trPr>
        <w:tc>
          <w:tcPr>
            <w:tcW w:w="4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本期费用化研发支出</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623,556,179</w:t>
            </w:r>
          </w:p>
        </w:tc>
      </w:tr>
      <w:tr>
        <w:trPr>
          <w:trHeight w:val="286" w:hRule="exact"/>
        </w:trPr>
        <w:tc>
          <w:tcPr>
            <w:tcW w:w="4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本期资本化研发支出</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40,310,781</w:t>
            </w:r>
          </w:p>
        </w:tc>
      </w:tr>
      <w:tr>
        <w:trPr>
          <w:trHeight w:val="288" w:hRule="exact"/>
        </w:trPr>
        <w:tc>
          <w:tcPr>
            <w:tcW w:w="42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研发支出合计</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663,866,960</w:t>
            </w:r>
          </w:p>
        </w:tc>
      </w:tr>
      <w:tr>
        <w:trPr>
          <w:trHeight w:val="288" w:hRule="exact"/>
        </w:trPr>
        <w:tc>
          <w:tcPr>
            <w:tcW w:w="4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研发支出总额占净资产比例（</w:t>
            </w:r>
            <w:r>
              <w:rPr>
                <w:rFonts w:ascii="宋体" w:hAnsi="宋体" w:cs="宋体" w:eastAsia="宋体" w:hint="default"/>
                <w:sz w:val="21"/>
                <w:szCs w:val="21"/>
              </w:rPr>
              <w:t>%</w:t>
            </w:r>
            <w:r>
              <w:rPr>
                <w:rFonts w:ascii="宋体" w:hAnsi="宋体" w:cs="宋体" w:eastAsia="宋体" w:hint="default"/>
                <w:sz w:val="21"/>
                <w:szCs w:val="21"/>
              </w:rPr>
              <w:t>）</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22.2</w:t>
            </w:r>
          </w:p>
        </w:tc>
      </w:tr>
      <w:tr>
        <w:trPr>
          <w:trHeight w:val="288" w:hRule="exact"/>
        </w:trPr>
        <w:tc>
          <w:tcPr>
            <w:tcW w:w="42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研发支出总额占营业收入比例（</w:t>
            </w:r>
            <w:r>
              <w:rPr>
                <w:rFonts w:ascii="宋体" w:hAnsi="宋体" w:cs="宋体" w:eastAsia="宋体" w:hint="default"/>
                <w:sz w:val="21"/>
                <w:szCs w:val="21"/>
              </w:rPr>
              <w:t>%</w:t>
            </w:r>
            <w:r>
              <w:rPr>
                <w:rFonts w:ascii="宋体" w:hAnsi="宋体" w:cs="宋体" w:eastAsia="宋体" w:hint="default"/>
                <w:sz w:val="21"/>
                <w:szCs w:val="21"/>
              </w:rPr>
              <w:t>）</w:t>
            </w:r>
          </w:p>
        </w:tc>
        <w:tc>
          <w:tcPr>
            <w:tcW w:w="496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15.7</w:t>
            </w:r>
          </w:p>
        </w:tc>
      </w:tr>
    </w:tbl>
    <w:p>
      <w:pPr>
        <w:pStyle w:val="Heading3"/>
        <w:spacing w:line="240" w:lineRule="auto" w:before="82"/>
        <w:ind w:left="704" w:right="188"/>
        <w:jc w:val="left"/>
      </w:pPr>
      <w:r>
        <w:rPr>
          <w:rFonts w:ascii="宋体" w:hAnsi="宋体" w:cs="宋体" w:eastAsia="宋体" w:hint="default"/>
        </w:rPr>
        <w:t>(2)</w:t>
      </w:r>
      <w:r>
        <w:rPr/>
        <w:t>情况说明</w:t>
      </w:r>
    </w:p>
    <w:p>
      <w:pPr>
        <w:spacing w:after="0" w:line="240" w:lineRule="auto"/>
        <w:jc w:val="left"/>
        <w:sectPr>
          <w:pgSz w:w="11910" w:h="16850"/>
          <w:pgMar w:header="752" w:footer="730" w:top="1020" w:bottom="920" w:left="1280" w:right="1160"/>
        </w:sectPr>
      </w:pPr>
    </w:p>
    <w:p>
      <w:pPr>
        <w:spacing w:line="240" w:lineRule="auto" w:before="9"/>
        <w:rPr>
          <w:rFonts w:ascii="宋体" w:hAnsi="宋体" w:cs="宋体" w:eastAsia="宋体" w:hint="default"/>
          <w:sz w:val="26"/>
          <w:szCs w:val="26"/>
        </w:rPr>
      </w:pPr>
    </w:p>
    <w:p>
      <w:pPr>
        <w:pStyle w:val="Heading3"/>
        <w:spacing w:line="297" w:lineRule="auto" w:before="26"/>
        <w:ind w:right="143" w:firstLine="480"/>
        <w:jc w:val="both"/>
      </w:pPr>
      <w:r>
        <w:rPr/>
        <w:t>报告期内，公司继续加大研发投入，整体研发支出较</w:t>
      </w:r>
      <w:r>
        <w:rPr>
          <w:spacing w:val="-60"/>
        </w:rPr>
        <w:t> </w:t>
      </w:r>
      <w:r>
        <w:rPr>
          <w:rFonts w:ascii="宋体" w:hAnsi="宋体" w:cs="宋体" w:eastAsia="宋体" w:hint="default"/>
        </w:rPr>
        <w:t>2011</w:t>
      </w:r>
      <w:r>
        <w:rPr>
          <w:rFonts w:ascii="宋体" w:hAnsi="宋体" w:cs="宋体" w:eastAsia="宋体" w:hint="default"/>
          <w:spacing w:val="-60"/>
        </w:rPr>
        <w:t> </w:t>
      </w:r>
      <w:r>
        <w:rPr/>
        <w:t>年度增加了</w:t>
      </w:r>
      <w:r>
        <w:rPr>
          <w:spacing w:val="-60"/>
        </w:rPr>
        <w:t> </w:t>
      </w:r>
      <w:r>
        <w:rPr>
          <w:rFonts w:ascii="宋体" w:hAnsi="宋体" w:cs="宋体" w:eastAsia="宋体" w:hint="default"/>
        </w:rPr>
        <w:t>25.8%</w:t>
      </w:r>
      <w:r>
        <w:rPr/>
        <w:t>，高于 销售与管理费用的增长。公司对符合资本化条件在中长期产生效益的全新形态的产品与 </w:t>
      </w:r>
      <w:r>
        <w:rPr>
          <w:spacing w:val="-3"/>
        </w:rPr>
        <w:t>技术研发项目，包括</w:t>
      </w:r>
      <w:r>
        <w:rPr>
          <w:spacing w:val="-68"/>
        </w:rPr>
        <w:t> </w:t>
      </w:r>
      <w:r>
        <w:rPr>
          <w:rFonts w:ascii="宋体" w:hAnsi="宋体" w:cs="宋体" w:eastAsia="宋体" w:hint="default"/>
        </w:rPr>
        <w:t>PaaS</w:t>
      </w:r>
      <w:r>
        <w:rPr>
          <w:rFonts w:ascii="宋体" w:hAnsi="宋体" w:cs="宋体" w:eastAsia="宋体" w:hint="default"/>
          <w:spacing w:val="-68"/>
        </w:rPr>
        <w:t> </w:t>
      </w:r>
      <w:r>
        <w:rPr/>
        <w:t>云平台、新一代商业智能平台</w:t>
      </w:r>
      <w:r>
        <w:rPr>
          <w:spacing w:val="-68"/>
        </w:rPr>
        <w:t> </w:t>
      </w:r>
      <w:r>
        <w:rPr>
          <w:rFonts w:ascii="宋体" w:hAnsi="宋体" w:cs="宋体" w:eastAsia="宋体" w:hint="default"/>
        </w:rPr>
        <w:t>BQ8</w:t>
      </w:r>
      <w:r>
        <w:rPr>
          <w:rFonts w:ascii="宋体" w:hAnsi="宋体" w:cs="宋体" w:eastAsia="宋体" w:hint="default"/>
          <w:spacing w:val="-68"/>
        </w:rPr>
        <w:t> </w:t>
      </w:r>
      <w:r>
        <w:rPr/>
        <w:t>项目、区域卫生服务平台和 畅捷通云服务平台共四个研发项目进行了研发支出资本化，资本化研发支出金额占当期 研发总支出的</w:t>
      </w:r>
      <w:r>
        <w:rPr>
          <w:spacing w:val="-60"/>
        </w:rPr>
        <w:t> </w:t>
      </w:r>
      <w:r>
        <w:rPr>
          <w:rFonts w:ascii="宋体" w:hAnsi="宋体" w:cs="宋体" w:eastAsia="宋体" w:hint="default"/>
        </w:rPr>
        <w:t>6.1%</w:t>
      </w:r>
      <w:r>
        <w:rPr/>
        <w:t>。</w:t>
      </w:r>
    </w:p>
    <w:p>
      <w:pPr>
        <w:pStyle w:val="Heading2"/>
        <w:spacing w:line="240" w:lineRule="auto" w:before="139"/>
        <w:ind w:left="704" w:right="188"/>
        <w:jc w:val="left"/>
        <w:rPr>
          <w:b w:val="0"/>
          <w:bCs w:val="0"/>
        </w:rPr>
      </w:pPr>
      <w:r>
        <w:rPr>
          <w:rFonts w:ascii="宋体" w:hAnsi="宋体" w:cs="宋体" w:eastAsia="宋体" w:hint="default"/>
        </w:rPr>
        <w:t>6</w:t>
      </w:r>
      <w:r>
        <w:rPr/>
        <w:t>、现金流</w:t>
      </w:r>
      <w:r>
        <w:rPr>
          <w:b w:val="0"/>
          <w:bCs w:val="0"/>
        </w:rPr>
      </w:r>
    </w:p>
    <w:p>
      <w:pPr>
        <w:pStyle w:val="Heading5"/>
        <w:spacing w:line="240" w:lineRule="auto" w:before="198"/>
        <w:ind w:right="140"/>
        <w:jc w:val="right"/>
      </w:pPr>
      <w:r>
        <w:rPr/>
        <w:t>单位</w:t>
      </w:r>
      <w:r>
        <w:rPr>
          <w:rFonts w:ascii="宋体" w:hAnsi="宋体" w:cs="宋体" w:eastAsia="宋体" w:hint="default"/>
        </w:rPr>
        <w:t>:</w:t>
      </w:r>
      <w:r>
        <w:rPr/>
        <w:t>元</w:t>
      </w:r>
      <w:r>
        <w:rPr>
          <w:spacing w:val="-5"/>
        </w:rPr>
        <w:t> </w:t>
      </w:r>
      <w:r>
        <w:rPr/>
        <w:t>币种</w:t>
      </w:r>
      <w:r>
        <w:rPr>
          <w:rFonts w:ascii="宋体" w:hAnsi="宋体" w:cs="宋体" w:eastAsia="宋体" w:hint="default"/>
        </w:rPr>
        <w:t>:</w:t>
      </w:r>
      <w:r>
        <w:rPr/>
        <w:t>人民币</w:t>
      </w:r>
    </w:p>
    <w:p>
      <w:pPr>
        <w:spacing w:line="240" w:lineRule="auto" w:before="11"/>
        <w:rPr>
          <w:rFonts w:ascii="宋体" w:hAnsi="宋体" w:cs="宋体" w:eastAsia="宋体" w:hint="default"/>
          <w:sz w:val="16"/>
          <w:szCs w:val="16"/>
        </w:rPr>
      </w:pPr>
    </w:p>
    <w:tbl>
      <w:tblPr>
        <w:tblW w:w="0" w:type="auto"/>
        <w:jc w:val="left"/>
        <w:tblInd w:w="133" w:type="dxa"/>
        <w:tblLayout w:type="fixed"/>
        <w:tblCellMar>
          <w:top w:w="0" w:type="dxa"/>
          <w:left w:w="0" w:type="dxa"/>
          <w:bottom w:w="0" w:type="dxa"/>
          <w:right w:w="0" w:type="dxa"/>
        </w:tblCellMar>
        <w:tblLook w:val="01E0"/>
      </w:tblPr>
      <w:tblGrid>
        <w:gridCol w:w="3262"/>
        <w:gridCol w:w="2304"/>
        <w:gridCol w:w="2126"/>
        <w:gridCol w:w="1522"/>
      </w:tblGrid>
      <w:tr>
        <w:trPr>
          <w:trHeight w:val="518"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0"/>
              <w:jc w:val="center"/>
              <w:rPr>
                <w:rFonts w:ascii="宋体" w:hAnsi="宋体" w:cs="宋体" w:eastAsia="宋体" w:hint="default"/>
                <w:sz w:val="21"/>
                <w:szCs w:val="21"/>
              </w:rPr>
            </w:pPr>
            <w:r>
              <w:rPr>
                <w:rFonts w:ascii="宋体" w:hAnsi="宋体" w:cs="宋体" w:eastAsia="宋体" w:hint="default"/>
                <w:sz w:val="21"/>
                <w:szCs w:val="21"/>
              </w:rPr>
              <w:t>本期数</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532"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62" w:right="0"/>
              <w:jc w:val="center"/>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10"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spacing w:val="-1"/>
                <w:sz w:val="21"/>
              </w:rPr>
              <w:t>498,651,913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spacing w:val="-1"/>
                <w:sz w:val="21"/>
              </w:rPr>
              <w:t>471,621,829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sz w:val="21"/>
              </w:rPr>
              <w:t>5.7</w:t>
            </w:r>
          </w:p>
        </w:tc>
      </w:tr>
      <w:tr>
        <w:trPr>
          <w:trHeight w:val="295"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-406,028,415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98"/>
              <w:jc w:val="right"/>
              <w:rPr>
                <w:rFonts w:ascii="宋体" w:hAnsi="宋体" w:cs="宋体" w:eastAsia="宋体" w:hint="default"/>
                <w:sz w:val="21"/>
                <w:szCs w:val="21"/>
              </w:rPr>
            </w:pPr>
            <w:r>
              <w:rPr>
                <w:rFonts w:ascii="宋体"/>
                <w:spacing w:val="-1"/>
                <w:sz w:val="21"/>
              </w:rPr>
              <w:t>-628,697,920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r>
        <w:trPr>
          <w:trHeight w:val="31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spacing w:val="-1"/>
                <w:sz w:val="21"/>
              </w:rPr>
              <w:t>198,816,036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98"/>
              <w:jc w:val="right"/>
              <w:rPr>
                <w:rFonts w:ascii="宋体" w:hAnsi="宋体" w:cs="宋体" w:eastAsia="宋体" w:hint="default"/>
                <w:sz w:val="21"/>
                <w:szCs w:val="21"/>
              </w:rPr>
            </w:pPr>
            <w:r>
              <w:rPr>
                <w:rFonts w:ascii="宋体"/>
                <w:spacing w:val="-1"/>
                <w:sz w:val="21"/>
              </w:rPr>
              <w:t>155,624,025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sz w:val="21"/>
              </w:rPr>
              <w:t>27.8</w:t>
            </w:r>
          </w:p>
        </w:tc>
      </w:tr>
    </w:tbl>
    <w:p>
      <w:pPr>
        <w:pStyle w:val="Heading2"/>
        <w:spacing w:line="240" w:lineRule="auto" w:before="82"/>
        <w:ind w:left="704" w:right="188"/>
        <w:jc w:val="left"/>
        <w:rPr>
          <w:b w:val="0"/>
          <w:bCs w:val="0"/>
        </w:rPr>
      </w:pPr>
      <w:r>
        <w:rPr>
          <w:rFonts w:ascii="宋体" w:hAnsi="宋体" w:cs="宋体" w:eastAsia="宋体" w:hint="default"/>
        </w:rPr>
        <w:t>7</w:t>
      </w:r>
      <w:r>
        <w:rPr/>
        <w:t>、其它</w:t>
      </w:r>
      <w:r>
        <w:rPr>
          <w:b w:val="0"/>
          <w:bCs w:val="0"/>
        </w:rPr>
      </w:r>
    </w:p>
    <w:p>
      <w:pPr>
        <w:pStyle w:val="Heading3"/>
        <w:spacing w:line="388" w:lineRule="auto" w:before="194"/>
        <w:ind w:left="618" w:right="2982" w:firstLine="86"/>
        <w:jc w:val="left"/>
      </w:pPr>
      <w:r>
        <w:rPr>
          <w:rFonts w:ascii="宋体" w:hAnsi="宋体" w:cs="宋体" w:eastAsia="宋体" w:hint="default"/>
        </w:rPr>
        <w:t>(1) </w:t>
      </w:r>
      <w:r>
        <w:rPr/>
        <w:t>公司利润构成或利润来源发生重大变动的详细说明 报告期内公司利润构成或利润来源无重大变化。</w:t>
      </w:r>
    </w:p>
    <w:p>
      <w:pPr>
        <w:pStyle w:val="Heading3"/>
        <w:spacing w:line="240" w:lineRule="auto" w:before="46"/>
        <w:ind w:left="704" w:right="188"/>
        <w:jc w:val="left"/>
      </w:pPr>
      <w:r>
        <w:rPr>
          <w:rFonts w:ascii="宋体" w:hAnsi="宋体" w:cs="宋体" w:eastAsia="宋体" w:hint="default"/>
        </w:rPr>
        <w:t>(2) </w:t>
      </w:r>
      <w:r>
        <w:rPr/>
        <w:t>公司前期各类融资、重大资产重组事项实施进度分析说明</w:t>
      </w:r>
    </w:p>
    <w:p>
      <w:pPr>
        <w:pStyle w:val="Heading3"/>
        <w:spacing w:line="240" w:lineRule="auto" w:before="194"/>
        <w:ind w:left="618" w:right="124"/>
        <w:jc w:val="left"/>
      </w:pPr>
      <w:r>
        <w:rPr/>
        <w:t>公司于</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24</w:t>
      </w:r>
      <w:r>
        <w:rPr>
          <w:rFonts w:ascii="宋体" w:hAnsi="宋体" w:cs="宋体" w:eastAsia="宋体" w:hint="default"/>
          <w:spacing w:val="-60"/>
        </w:rPr>
        <w:t> </w:t>
      </w:r>
      <w:r>
        <w:rPr/>
        <w:t>日获得中国银行间市场交易商协会的中期票据发行注册通知</w:t>
      </w:r>
    </w:p>
    <w:p>
      <w:pPr>
        <w:pStyle w:val="Heading3"/>
        <w:spacing w:line="297" w:lineRule="auto" w:before="74"/>
        <w:ind w:right="122"/>
        <w:jc w:val="left"/>
      </w:pPr>
      <w:r>
        <w:rPr/>
        <w:t>书，在注册有效期内可于银行间债券市场发行待偿还余额不超过</w:t>
      </w:r>
      <w:r>
        <w:rPr>
          <w:spacing w:val="-87"/>
        </w:rPr>
        <w:t> </w:t>
      </w:r>
      <w:r>
        <w:rPr>
          <w:rFonts w:ascii="宋体" w:hAnsi="宋体" w:cs="宋体" w:eastAsia="宋体" w:hint="default"/>
        </w:rPr>
        <w:t>10</w:t>
      </w:r>
      <w:r>
        <w:rPr>
          <w:rFonts w:ascii="宋体" w:hAnsi="宋体" w:cs="宋体" w:eastAsia="宋体" w:hint="default"/>
          <w:spacing w:val="-87"/>
        </w:rPr>
        <w:t> </w:t>
      </w:r>
      <w:r>
        <w:rPr/>
        <w:t>亿元人民币的中期票 据。根据自身资金需求和市场情况，公司目前正在推进中期票据的发行工作。</w:t>
      </w:r>
    </w:p>
    <w:p>
      <w:pPr>
        <w:pStyle w:val="Heading3"/>
        <w:spacing w:line="240" w:lineRule="auto"/>
        <w:ind w:left="618" w:right="0"/>
        <w:jc w:val="left"/>
      </w:pPr>
      <w:r>
        <w:rPr/>
        <w:t>公司于</w:t>
      </w:r>
      <w:r>
        <w:rPr>
          <w:spacing w:val="-57"/>
        </w:rPr>
        <w:t> </w:t>
      </w:r>
      <w:r>
        <w:rPr>
          <w:rFonts w:ascii="宋体" w:hAnsi="宋体" w:cs="宋体" w:eastAsia="宋体" w:hint="default"/>
        </w:rPr>
        <w:t>2012</w:t>
      </w:r>
      <w:r>
        <w:rPr>
          <w:rFonts w:ascii="宋体" w:hAnsi="宋体" w:cs="宋体" w:eastAsia="宋体" w:hint="default"/>
          <w:spacing w:val="-57"/>
        </w:rPr>
        <w:t> </w:t>
      </w:r>
      <w:r>
        <w:rPr/>
        <w:t>年</w:t>
      </w:r>
      <w:r>
        <w:rPr>
          <w:spacing w:val="-57"/>
        </w:rPr>
        <w:t> </w:t>
      </w:r>
      <w:r>
        <w:rPr>
          <w:rFonts w:ascii="宋体" w:hAnsi="宋体" w:cs="宋体" w:eastAsia="宋体" w:hint="default"/>
        </w:rPr>
        <w:t>10</w:t>
      </w:r>
      <w:r>
        <w:rPr>
          <w:rFonts w:ascii="宋体" w:hAnsi="宋体" w:cs="宋体" w:eastAsia="宋体" w:hint="default"/>
          <w:spacing w:val="-57"/>
        </w:rPr>
        <w:t> </w:t>
      </w:r>
      <w:r>
        <w:rPr/>
        <w:t>月</w:t>
      </w:r>
      <w:r>
        <w:rPr>
          <w:spacing w:val="-57"/>
        </w:rPr>
        <w:t> </w:t>
      </w:r>
      <w:r>
        <w:rPr>
          <w:rFonts w:ascii="宋体" w:hAnsi="宋体" w:cs="宋体" w:eastAsia="宋体" w:hint="default"/>
        </w:rPr>
        <w:t>15</w:t>
      </w:r>
      <w:r>
        <w:rPr>
          <w:rFonts w:ascii="宋体" w:hAnsi="宋体" w:cs="宋体" w:eastAsia="宋体" w:hint="default"/>
          <w:spacing w:val="-57"/>
        </w:rPr>
        <w:t> </w:t>
      </w:r>
      <w:r>
        <w:rPr>
          <w:spacing w:val="-3"/>
        </w:rPr>
        <w:t>日收到中国证券监督管理委员会《关于核准用友软件股份有</w:t>
      </w:r>
    </w:p>
    <w:p>
      <w:pPr>
        <w:pStyle w:val="Heading3"/>
        <w:spacing w:line="240" w:lineRule="auto" w:before="74"/>
        <w:ind w:right="0"/>
        <w:jc w:val="left"/>
      </w:pPr>
      <w:r>
        <w:rPr/>
        <w:t>限公司非公开发行股票的批复》，核准公司非公开发行不超过</w:t>
      </w:r>
      <w:r>
        <w:rPr>
          <w:spacing w:val="-77"/>
        </w:rPr>
        <w:t> </w:t>
      </w:r>
      <w:r>
        <w:rPr>
          <w:rFonts w:ascii="宋体" w:hAnsi="宋体" w:cs="宋体" w:eastAsia="宋体" w:hint="default"/>
        </w:rPr>
        <w:t>13,833</w:t>
      </w:r>
      <w:r>
        <w:rPr>
          <w:rFonts w:ascii="宋体" w:hAnsi="宋体" w:cs="宋体" w:eastAsia="宋体" w:hint="default"/>
          <w:spacing w:val="-77"/>
        </w:rPr>
        <w:t> </w:t>
      </w:r>
      <w:r>
        <w:rPr>
          <w:spacing w:val="-3"/>
        </w:rPr>
        <w:t>万股新股，批复自</w:t>
      </w:r>
    </w:p>
    <w:p>
      <w:pPr>
        <w:pStyle w:val="Heading3"/>
        <w:spacing w:line="297" w:lineRule="auto" w:before="77"/>
        <w:ind w:right="188"/>
        <w:jc w:val="left"/>
      </w:pPr>
      <w:r>
        <w:rPr/>
        <w:t>核准发行之日起</w:t>
      </w:r>
      <w:r>
        <w:rPr>
          <w:spacing w:val="-60"/>
        </w:rPr>
        <w:t> </w:t>
      </w:r>
      <w:r>
        <w:rPr>
          <w:rFonts w:ascii="宋体" w:hAnsi="宋体" w:cs="宋体" w:eastAsia="宋体" w:hint="default"/>
        </w:rPr>
        <w:t>6</w:t>
      </w:r>
      <w:r>
        <w:rPr>
          <w:rFonts w:ascii="宋体" w:hAnsi="宋体" w:cs="宋体" w:eastAsia="宋体" w:hint="default"/>
          <w:spacing w:val="-60"/>
        </w:rPr>
        <w:t> </w:t>
      </w:r>
      <w:r>
        <w:rPr/>
        <w:t>个月内有效。截至目前，公司正在推进本次非公开发行股票的实施工 作。</w:t>
      </w:r>
    </w:p>
    <w:p>
      <w:pPr>
        <w:pStyle w:val="Heading3"/>
        <w:spacing w:line="388" w:lineRule="auto"/>
        <w:ind w:left="618" w:right="4988" w:firstLine="86"/>
        <w:jc w:val="left"/>
      </w:pPr>
      <w:r>
        <w:rPr>
          <w:rFonts w:ascii="宋体" w:hAnsi="宋体" w:cs="宋体" w:eastAsia="宋体" w:hint="default"/>
        </w:rPr>
        <w:t>(3) </w:t>
      </w:r>
      <w:r>
        <w:rPr/>
        <w:t>发展战略和经营计划进展说明 见本节前述经营情况的讨论与分析。</w:t>
      </w:r>
    </w:p>
    <w:p>
      <w:pPr>
        <w:pStyle w:val="Heading2"/>
        <w:spacing w:line="240" w:lineRule="auto" w:before="46"/>
        <w:ind w:left="620" w:right="188"/>
        <w:jc w:val="left"/>
        <w:rPr>
          <w:b w:val="0"/>
          <w:bCs w:val="0"/>
        </w:rPr>
      </w:pPr>
      <w:r>
        <w:rPr/>
        <w:t>（三）</w:t>
      </w:r>
      <w:r>
        <w:rPr>
          <w:spacing w:val="-3"/>
        </w:rPr>
        <w:t> </w:t>
      </w:r>
      <w:r>
        <w:rPr/>
        <w:t>行业、产品或地区经营情况分析</w:t>
      </w:r>
      <w:r>
        <w:rPr>
          <w:b w:val="0"/>
          <w:bCs w:val="0"/>
        </w:rPr>
      </w:r>
    </w:p>
    <w:p>
      <w:pPr>
        <w:pStyle w:val="Heading2"/>
        <w:spacing w:line="240" w:lineRule="auto" w:before="194"/>
        <w:ind w:left="620" w:right="188"/>
        <w:jc w:val="left"/>
        <w:rPr>
          <w:b w:val="0"/>
          <w:bCs w:val="0"/>
        </w:rPr>
      </w:pPr>
      <w:r>
        <w:rPr>
          <w:rFonts w:ascii="宋体" w:hAnsi="宋体" w:cs="宋体" w:eastAsia="宋体" w:hint="default"/>
        </w:rPr>
        <w:t>1</w:t>
      </w:r>
      <w:r>
        <w:rPr/>
        <w:t>、主营业务分行业、分产品情况</w:t>
      </w:r>
      <w:r>
        <w:rPr>
          <w:b w:val="0"/>
          <w:bCs w:val="0"/>
        </w:rPr>
      </w:r>
    </w:p>
    <w:p>
      <w:pPr>
        <w:spacing w:after="0" w:line="240" w:lineRule="auto"/>
        <w:jc w:val="left"/>
        <w:sectPr>
          <w:pgSz w:w="11910" w:h="16850"/>
          <w:pgMar w:header="752" w:footer="730" w:top="1020" w:bottom="920" w:left="1280" w:right="1160"/>
        </w:sectPr>
      </w:pPr>
    </w:p>
    <w:p>
      <w:pPr>
        <w:spacing w:line="240" w:lineRule="auto" w:before="2"/>
        <w:rPr>
          <w:rFonts w:ascii="宋体" w:hAnsi="宋体" w:cs="宋体" w:eastAsia="宋体" w:hint="default"/>
          <w:b/>
          <w:bCs/>
          <w:sz w:val="26"/>
          <w:szCs w:val="26"/>
        </w:rPr>
      </w:pPr>
    </w:p>
    <w:p>
      <w:pPr>
        <w:pStyle w:val="Heading5"/>
        <w:spacing w:line="240" w:lineRule="auto"/>
        <w:ind w:right="280"/>
        <w:jc w:val="right"/>
      </w:pPr>
      <w:r>
        <w:rPr/>
        <w:t>单位</w:t>
      </w:r>
      <w:r>
        <w:rPr>
          <w:rFonts w:ascii="宋体" w:hAnsi="宋体" w:cs="宋体" w:eastAsia="宋体" w:hint="default"/>
        </w:rPr>
        <w:t>:</w:t>
      </w:r>
      <w:r>
        <w:rPr/>
        <w:t>元</w:t>
      </w:r>
      <w:r>
        <w:rPr>
          <w:spacing w:val="-5"/>
        </w:rPr>
        <w:t> </w:t>
      </w:r>
      <w:r>
        <w:rPr/>
        <w:t>币种</w:t>
      </w:r>
      <w:r>
        <w:rPr>
          <w:rFonts w:ascii="宋体" w:hAnsi="宋体" w:cs="宋体" w:eastAsia="宋体" w:hint="default"/>
        </w:rPr>
        <w:t>:</w:t>
      </w:r>
      <w:r>
        <w:rPr/>
        <w:t>人民币</w:t>
      </w:r>
    </w:p>
    <w:p>
      <w:pPr>
        <w:spacing w:line="240" w:lineRule="auto" w:before="11"/>
        <w:rPr>
          <w:rFonts w:ascii="宋体" w:hAnsi="宋体" w:cs="宋体" w:eastAsia="宋体" w:hint="default"/>
          <w:sz w:val="16"/>
          <w:szCs w:val="16"/>
        </w:rPr>
      </w:pPr>
    </w:p>
    <w:tbl>
      <w:tblPr>
        <w:tblW w:w="0" w:type="auto"/>
        <w:jc w:val="left"/>
        <w:tblInd w:w="243" w:type="dxa"/>
        <w:tblLayout w:type="fixed"/>
        <w:tblCellMar>
          <w:top w:w="0" w:type="dxa"/>
          <w:left w:w="0" w:type="dxa"/>
          <w:bottom w:w="0" w:type="dxa"/>
          <w:right w:w="0" w:type="dxa"/>
        </w:tblCellMar>
        <w:tblLook w:val="01E0"/>
      </w:tblPr>
      <w:tblGrid>
        <w:gridCol w:w="1848"/>
        <w:gridCol w:w="1691"/>
        <w:gridCol w:w="1429"/>
        <w:gridCol w:w="943"/>
        <w:gridCol w:w="1042"/>
        <w:gridCol w:w="1130"/>
        <w:gridCol w:w="996"/>
      </w:tblGrid>
      <w:tr>
        <w:trPr>
          <w:trHeight w:val="288" w:hRule="exact"/>
        </w:trPr>
        <w:tc>
          <w:tcPr>
            <w:tcW w:w="9079"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主营业务分业务类型情况</w:t>
            </w:r>
          </w:p>
        </w:tc>
      </w:tr>
      <w:tr>
        <w:trPr>
          <w:trHeight w:val="1104" w:hRule="exact"/>
        </w:trPr>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99"/>
              <w:jc w:val="right"/>
              <w:rPr>
                <w:rFonts w:ascii="宋体" w:hAnsi="宋体" w:cs="宋体" w:eastAsia="宋体" w:hint="default"/>
                <w:sz w:val="21"/>
                <w:szCs w:val="21"/>
              </w:rPr>
            </w:pPr>
            <w:r>
              <w:rPr>
                <w:rFonts w:ascii="宋体" w:hAnsi="宋体" w:cs="宋体" w:eastAsia="宋体" w:hint="default"/>
                <w:sz w:val="21"/>
                <w:szCs w:val="21"/>
              </w:rPr>
              <w:t>分业务</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148"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148" w:right="0"/>
              <w:jc w:val="left"/>
              <w:rPr>
                <w:rFonts w:ascii="宋体" w:hAnsi="宋体" w:cs="宋体" w:eastAsia="宋体" w:hint="default"/>
                <w:sz w:val="21"/>
                <w:szCs w:val="21"/>
              </w:rPr>
            </w:pPr>
            <w:r>
              <w:rPr>
                <w:rFonts w:ascii="宋体" w:hAnsi="宋体" w:cs="宋体" w:eastAsia="宋体" w:hint="default"/>
                <w:sz w:val="21"/>
                <w:szCs w:val="21"/>
              </w:rPr>
              <w:t>（％）</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37" w:lineRule="auto"/>
              <w:ind w:left="196" w:right="194"/>
              <w:jc w:val="center"/>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宋体" w:hAnsi="宋体" w:cs="宋体" w:eastAsia="宋体" w:hint="default"/>
                <w:w w:val="100"/>
                <w:sz w:val="21"/>
                <w:szCs w:val="21"/>
              </w:rPr>
              <w:t> </w:t>
            </w:r>
            <w:r>
              <w:rPr>
                <w:rFonts w:ascii="宋体" w:hAnsi="宋体" w:cs="宋体" w:eastAsia="宋体" w:hint="default"/>
                <w:sz w:val="21"/>
                <w:szCs w:val="21"/>
              </w:rPr>
              <w:t>(%)</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134" w:right="136"/>
              <w:jc w:val="center"/>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93" w:right="-8" w:hanging="108"/>
              <w:jc w:val="center"/>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w w:val="100"/>
                <w:sz w:val="21"/>
                <w:szCs w:val="21"/>
              </w:rPr>
              <w:t> </w:t>
            </w:r>
            <w:r>
              <w:rPr>
                <w:rFonts w:ascii="宋体" w:hAnsi="宋体" w:cs="宋体" w:eastAsia="宋体" w:hint="default"/>
                <w:sz w:val="21"/>
                <w:szCs w:val="21"/>
              </w:rPr>
              <w:t>比上年</w:t>
            </w:r>
            <w:r>
              <w:rPr>
                <w:rFonts w:ascii="宋体" w:hAnsi="宋体" w:cs="宋体" w:eastAsia="宋体" w:hint="default"/>
                <w:w w:val="100"/>
                <w:sz w:val="21"/>
                <w:szCs w:val="21"/>
              </w:rPr>
              <w:t> </w:t>
            </w:r>
            <w:r>
              <w:rPr>
                <w:rFonts w:ascii="宋体" w:hAnsi="宋体" w:cs="宋体" w:eastAsia="宋体" w:hint="default"/>
                <w:spacing w:val="-12"/>
                <w:sz w:val="21"/>
                <w:szCs w:val="21"/>
              </w:rPr>
              <w:t>增减（</w:t>
            </w:r>
            <w:r>
              <w:rPr>
                <w:rFonts w:ascii="宋体" w:hAnsi="宋体" w:cs="宋体" w:eastAsia="宋体" w:hint="default"/>
                <w:spacing w:val="-12"/>
                <w:sz w:val="21"/>
                <w:szCs w:val="21"/>
              </w:rPr>
              <w:t>%</w:t>
            </w:r>
            <w:r>
              <w:rPr>
                <w:rFonts w:ascii="宋体" w:hAnsi="宋体" w:cs="宋体" w:eastAsia="宋体" w:hint="default"/>
                <w:spacing w:val="-12"/>
                <w:sz w:val="21"/>
                <w:szCs w:val="21"/>
              </w:rPr>
              <w:t>）</w:t>
            </w:r>
          </w:p>
        </w:tc>
      </w:tr>
      <w:tr>
        <w:trPr>
          <w:trHeight w:val="286" w:hRule="exact"/>
        </w:trPr>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软件产品</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5"/>
              <w:jc w:val="right"/>
              <w:rPr>
                <w:rFonts w:ascii="宋体" w:hAnsi="宋体" w:cs="宋体" w:eastAsia="宋体" w:hint="default"/>
                <w:sz w:val="21"/>
                <w:szCs w:val="21"/>
              </w:rPr>
            </w:pPr>
            <w:r>
              <w:rPr>
                <w:rFonts w:ascii="宋体"/>
                <w:spacing w:val="-1"/>
                <w:sz w:val="21"/>
              </w:rPr>
              <w:t>2,303,740,308</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1" w:right="0"/>
              <w:jc w:val="center"/>
              <w:rPr>
                <w:rFonts w:ascii="宋体" w:hAnsi="宋体" w:cs="宋体" w:eastAsia="宋体" w:hint="default"/>
                <w:sz w:val="21"/>
                <w:szCs w:val="21"/>
              </w:rPr>
            </w:pPr>
            <w:r>
              <w:rPr>
                <w:rFonts w:ascii="宋体"/>
                <w:sz w:val="21"/>
              </w:rPr>
              <w:t>125,223,986</w:t>
            </w:r>
          </w:p>
        </w:tc>
        <w:tc>
          <w:tcPr>
            <w:tcW w:w="9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94.6</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0.9</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3"/>
              <w:jc w:val="right"/>
              <w:rPr>
                <w:rFonts w:ascii="宋体" w:hAnsi="宋体" w:cs="宋体" w:eastAsia="宋体" w:hint="default"/>
                <w:sz w:val="21"/>
                <w:szCs w:val="21"/>
              </w:rPr>
            </w:pPr>
            <w:r>
              <w:rPr>
                <w:rFonts w:ascii="宋体"/>
                <w:sz w:val="21"/>
              </w:rPr>
              <w:t>-17.5</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1.2</w:t>
            </w:r>
          </w:p>
        </w:tc>
      </w:tr>
      <w:tr>
        <w:trPr>
          <w:trHeight w:val="288" w:hRule="exact"/>
        </w:trPr>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支持服务</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5"/>
              <w:jc w:val="right"/>
              <w:rPr>
                <w:rFonts w:ascii="宋体" w:hAnsi="宋体" w:cs="宋体" w:eastAsia="宋体" w:hint="default"/>
                <w:sz w:val="21"/>
                <w:szCs w:val="21"/>
              </w:rPr>
            </w:pPr>
            <w:r>
              <w:rPr>
                <w:rFonts w:ascii="宋体"/>
                <w:spacing w:val="-1"/>
                <w:sz w:val="21"/>
              </w:rPr>
              <w:t>511,830,897</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64" w:right="0"/>
              <w:jc w:val="center"/>
              <w:rPr>
                <w:rFonts w:ascii="宋体" w:hAnsi="宋体" w:cs="宋体" w:eastAsia="宋体" w:hint="default"/>
                <w:sz w:val="21"/>
                <w:szCs w:val="21"/>
              </w:rPr>
            </w:pPr>
            <w:r>
              <w:rPr>
                <w:rFonts w:ascii="宋体"/>
                <w:sz w:val="21"/>
              </w:rPr>
              <w:t>34,382,070</w:t>
            </w:r>
          </w:p>
        </w:tc>
        <w:tc>
          <w:tcPr>
            <w:tcW w:w="94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93.3</w:t>
            </w:r>
          </w:p>
        </w:tc>
        <w:tc>
          <w:tcPr>
            <w:tcW w:w="1042"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11" w:right="0"/>
              <w:jc w:val="left"/>
              <w:rPr>
                <w:rFonts w:ascii="宋体" w:hAnsi="宋体" w:cs="宋体" w:eastAsia="宋体" w:hint="default"/>
                <w:sz w:val="21"/>
                <w:szCs w:val="21"/>
              </w:rPr>
            </w:pPr>
            <w:r>
              <w:rPr>
                <w:rFonts w:ascii="宋体"/>
                <w:sz w:val="21"/>
              </w:rPr>
              <w:t>3.1</w:t>
            </w:r>
          </w:p>
        </w:tc>
        <w:tc>
          <w:tcPr>
            <w:tcW w:w="1130"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87" w:right="0"/>
              <w:jc w:val="left"/>
              <w:rPr>
                <w:rFonts w:ascii="宋体" w:hAnsi="宋体" w:cs="宋体" w:eastAsia="宋体" w:hint="default"/>
                <w:sz w:val="21"/>
                <w:szCs w:val="21"/>
              </w:rPr>
            </w:pPr>
            <w:r>
              <w:rPr>
                <w:rFonts w:ascii="宋体"/>
                <w:sz w:val="21"/>
              </w:rPr>
              <w:t>15.4</w:t>
            </w:r>
          </w:p>
        </w:tc>
        <w:tc>
          <w:tcPr>
            <w:tcW w:w="99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60" w:right="0"/>
              <w:jc w:val="left"/>
              <w:rPr>
                <w:rFonts w:ascii="宋体" w:hAnsi="宋体" w:cs="宋体" w:eastAsia="宋体" w:hint="default"/>
                <w:sz w:val="21"/>
                <w:szCs w:val="21"/>
              </w:rPr>
            </w:pPr>
            <w:r>
              <w:rPr>
                <w:rFonts w:ascii="宋体"/>
                <w:sz w:val="21"/>
              </w:rPr>
              <w:t>-2.7</w:t>
            </w:r>
          </w:p>
        </w:tc>
      </w:tr>
      <w:tr>
        <w:trPr>
          <w:trHeight w:val="559" w:hRule="exact"/>
        </w:trPr>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咨询实施及培训</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5"/>
              <w:jc w:val="right"/>
              <w:rPr>
                <w:rFonts w:ascii="宋体" w:hAnsi="宋体" w:cs="宋体" w:eastAsia="宋体" w:hint="default"/>
                <w:sz w:val="21"/>
                <w:szCs w:val="21"/>
              </w:rPr>
            </w:pPr>
            <w:r>
              <w:rPr>
                <w:rFonts w:ascii="宋体"/>
                <w:spacing w:val="-1"/>
                <w:sz w:val="21"/>
              </w:rPr>
              <w:t>1,236,383,172</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1" w:right="0"/>
              <w:jc w:val="center"/>
              <w:rPr>
                <w:rFonts w:ascii="宋体" w:hAnsi="宋体" w:cs="宋体" w:eastAsia="宋体" w:hint="default"/>
                <w:sz w:val="21"/>
                <w:szCs w:val="21"/>
              </w:rPr>
            </w:pPr>
            <w:r>
              <w:rPr>
                <w:rFonts w:ascii="宋体"/>
                <w:sz w:val="21"/>
              </w:rPr>
              <w:t>399,917,067</w:t>
            </w:r>
          </w:p>
        </w:tc>
        <w:tc>
          <w:tcPr>
            <w:tcW w:w="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67.7</w:t>
            </w:r>
          </w:p>
        </w:tc>
        <w:tc>
          <w:tcPr>
            <w:tcW w:w="1042" w:type="dxa"/>
            <w:vMerge/>
            <w:tcBorders>
              <w:left w:val="single" w:sz="6" w:space="0" w:color="000000"/>
              <w:bottom w:val="single" w:sz="6" w:space="0" w:color="000000"/>
              <w:right w:val="single" w:sz="6" w:space="0" w:color="000000"/>
            </w:tcBorders>
          </w:tcPr>
          <w:p>
            <w:pPr/>
          </w:p>
        </w:tc>
        <w:tc>
          <w:tcPr>
            <w:tcW w:w="1130" w:type="dxa"/>
            <w:vMerge/>
            <w:tcBorders>
              <w:left w:val="single" w:sz="6" w:space="0" w:color="000000"/>
              <w:bottom w:val="single" w:sz="6" w:space="0" w:color="000000"/>
              <w:right w:val="single" w:sz="6" w:space="0" w:color="000000"/>
            </w:tcBorders>
          </w:tcPr>
          <w:p>
            <w:pPr/>
          </w:p>
        </w:tc>
        <w:tc>
          <w:tcPr>
            <w:tcW w:w="996" w:type="dxa"/>
            <w:vMerge/>
            <w:tcBorders>
              <w:left w:val="single" w:sz="6" w:space="0" w:color="000000"/>
              <w:bottom w:val="single" w:sz="6" w:space="0" w:color="000000"/>
              <w:right w:val="single" w:sz="6" w:space="0" w:color="000000"/>
            </w:tcBorders>
          </w:tcPr>
          <w:p>
            <w:pPr/>
          </w:p>
        </w:tc>
      </w:tr>
      <w:tr>
        <w:trPr>
          <w:trHeight w:val="288" w:hRule="exact"/>
        </w:trPr>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5"/>
              <w:jc w:val="right"/>
              <w:rPr>
                <w:rFonts w:ascii="宋体" w:hAnsi="宋体" w:cs="宋体" w:eastAsia="宋体" w:hint="default"/>
                <w:sz w:val="21"/>
                <w:szCs w:val="21"/>
              </w:rPr>
            </w:pPr>
            <w:r>
              <w:rPr>
                <w:rFonts w:ascii="宋体"/>
                <w:spacing w:val="-1"/>
                <w:sz w:val="21"/>
              </w:rPr>
              <w:t>158,393,528</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1" w:right="0"/>
              <w:jc w:val="center"/>
              <w:rPr>
                <w:rFonts w:ascii="宋体" w:hAnsi="宋体" w:cs="宋体" w:eastAsia="宋体" w:hint="default"/>
                <w:sz w:val="21"/>
                <w:szCs w:val="21"/>
              </w:rPr>
            </w:pPr>
            <w:r>
              <w:rPr>
                <w:rFonts w:ascii="宋体"/>
                <w:sz w:val="21"/>
              </w:rPr>
              <w:t>113,909,796</w:t>
            </w:r>
          </w:p>
        </w:tc>
        <w:tc>
          <w:tcPr>
            <w:tcW w:w="94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28.1</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23.6</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3"/>
              <w:jc w:val="right"/>
              <w:rPr>
                <w:rFonts w:ascii="宋体" w:hAnsi="宋体" w:cs="宋体" w:eastAsia="宋体" w:hint="default"/>
                <w:sz w:val="21"/>
                <w:szCs w:val="21"/>
              </w:rPr>
            </w:pPr>
            <w:r>
              <w:rPr>
                <w:rFonts w:ascii="宋体"/>
                <w:sz w:val="21"/>
              </w:rPr>
              <w:t>21.7</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z w:val="21"/>
              </w:rPr>
              <w:t>1.1</w:t>
            </w:r>
          </w:p>
        </w:tc>
      </w:tr>
      <w:tr>
        <w:trPr>
          <w:trHeight w:val="288" w:hRule="exact"/>
        </w:trPr>
        <w:tc>
          <w:tcPr>
            <w:tcW w:w="9079" w:type="dxa"/>
            <w:gridSpan w:val="7"/>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1104" w:hRule="exact"/>
        </w:trPr>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99"/>
              <w:jc w:val="right"/>
              <w:rPr>
                <w:rFonts w:ascii="宋体" w:hAnsi="宋体" w:cs="宋体" w:eastAsia="宋体" w:hint="default"/>
                <w:sz w:val="21"/>
                <w:szCs w:val="21"/>
              </w:rPr>
            </w:pPr>
            <w:r>
              <w:rPr>
                <w:rFonts w:ascii="宋体" w:hAnsi="宋体" w:cs="宋体" w:eastAsia="宋体" w:hint="default"/>
                <w:sz w:val="21"/>
                <w:szCs w:val="21"/>
              </w:rPr>
              <w:t>分产品</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148"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3" w:lineRule="exact"/>
              <w:ind w:left="148" w:right="0"/>
              <w:jc w:val="left"/>
              <w:rPr>
                <w:rFonts w:ascii="宋体" w:hAnsi="宋体" w:cs="宋体" w:eastAsia="宋体" w:hint="default"/>
                <w:sz w:val="21"/>
                <w:szCs w:val="21"/>
              </w:rPr>
            </w:pPr>
            <w:r>
              <w:rPr>
                <w:rFonts w:ascii="宋体" w:hAnsi="宋体" w:cs="宋体" w:eastAsia="宋体" w:hint="default"/>
                <w:sz w:val="21"/>
                <w:szCs w:val="21"/>
              </w:rPr>
              <w:t>（％）</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37" w:lineRule="auto" w:before="2"/>
              <w:ind w:left="196" w:right="194"/>
              <w:jc w:val="center"/>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w w:val="100"/>
                <w:sz w:val="21"/>
                <w:szCs w:val="21"/>
              </w:rPr>
              <w:t> </w:t>
            </w:r>
            <w:r>
              <w:rPr>
                <w:rFonts w:ascii="宋体" w:hAnsi="宋体" w:cs="宋体" w:eastAsia="宋体" w:hint="default"/>
                <w:sz w:val="21"/>
                <w:szCs w:val="21"/>
              </w:rPr>
              <w:t>年增减</w:t>
            </w:r>
            <w:r>
              <w:rPr>
                <w:rFonts w:ascii="宋体" w:hAnsi="宋体" w:cs="宋体" w:eastAsia="宋体" w:hint="default"/>
                <w:w w:val="100"/>
                <w:sz w:val="21"/>
                <w:szCs w:val="21"/>
              </w:rPr>
              <w:t> </w:t>
            </w:r>
            <w:r>
              <w:rPr>
                <w:rFonts w:ascii="宋体" w:hAnsi="宋体" w:cs="宋体" w:eastAsia="宋体" w:hint="default"/>
                <w:sz w:val="21"/>
                <w:szCs w:val="21"/>
              </w:rPr>
              <w:t>(%)</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39" w:right="132"/>
              <w:jc w:val="center"/>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w w:val="100"/>
                <w:sz w:val="21"/>
                <w:szCs w:val="21"/>
              </w:rPr>
              <w:t> </w:t>
            </w:r>
            <w:r>
              <w:rPr>
                <w:rFonts w:ascii="宋体" w:hAnsi="宋体" w:cs="宋体" w:eastAsia="宋体" w:hint="default"/>
                <w:sz w:val="21"/>
                <w:szCs w:val="21"/>
              </w:rPr>
              <w:t>比上年增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105" w:right="-8" w:firstLine="72"/>
              <w:jc w:val="left"/>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w w:val="100"/>
                <w:sz w:val="21"/>
                <w:szCs w:val="21"/>
              </w:rPr>
              <w:t> </w:t>
            </w:r>
            <w:r>
              <w:rPr>
                <w:rFonts w:ascii="宋体" w:hAnsi="宋体" w:cs="宋体" w:eastAsia="宋体" w:hint="default"/>
                <w:sz w:val="21"/>
                <w:szCs w:val="21"/>
              </w:rPr>
              <w:t>比上年</w:t>
            </w:r>
            <w:r>
              <w:rPr>
                <w:rFonts w:ascii="宋体" w:hAnsi="宋体" w:cs="宋体" w:eastAsia="宋体" w:hint="default"/>
                <w:spacing w:val="-102"/>
                <w:sz w:val="21"/>
                <w:szCs w:val="21"/>
              </w:rPr>
              <w:t> </w:t>
            </w:r>
            <w:r>
              <w:rPr>
                <w:rFonts w:ascii="宋体" w:hAnsi="宋体" w:cs="宋体" w:eastAsia="宋体" w:hint="default"/>
                <w:spacing w:val="-14"/>
                <w:sz w:val="21"/>
                <w:szCs w:val="21"/>
              </w:rPr>
              <w:t>增减（</w:t>
            </w:r>
            <w:r>
              <w:rPr>
                <w:rFonts w:ascii="宋体" w:hAnsi="宋体" w:cs="宋体" w:eastAsia="宋体" w:hint="default"/>
                <w:spacing w:val="-14"/>
                <w:sz w:val="21"/>
                <w:szCs w:val="21"/>
              </w:rPr>
              <w:t>%</w:t>
            </w:r>
            <w:r>
              <w:rPr>
                <w:rFonts w:ascii="宋体" w:hAnsi="宋体" w:cs="宋体" w:eastAsia="宋体" w:hint="default"/>
                <w:spacing w:val="-14"/>
                <w:sz w:val="21"/>
                <w:szCs w:val="21"/>
              </w:rPr>
              <w:t>）</w:t>
            </w:r>
          </w:p>
        </w:tc>
      </w:tr>
      <w:tr>
        <w:trPr>
          <w:trHeight w:val="559" w:hRule="exact"/>
        </w:trPr>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高端客户软件服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务收入</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7"/>
              <w:jc w:val="right"/>
              <w:rPr>
                <w:rFonts w:ascii="宋体" w:hAnsi="宋体" w:cs="宋体" w:eastAsia="宋体" w:hint="default"/>
                <w:sz w:val="21"/>
                <w:szCs w:val="21"/>
              </w:rPr>
            </w:pPr>
            <w:r>
              <w:rPr>
                <w:rFonts w:ascii="宋体"/>
                <w:spacing w:val="-1"/>
                <w:sz w:val="21"/>
              </w:rPr>
              <w:t>2,296,465,696</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1" w:right="0"/>
              <w:jc w:val="center"/>
              <w:rPr>
                <w:rFonts w:ascii="宋体" w:hAnsi="宋体" w:cs="宋体" w:eastAsia="宋体" w:hint="default"/>
                <w:sz w:val="21"/>
                <w:szCs w:val="21"/>
              </w:rPr>
            </w:pPr>
            <w:r>
              <w:rPr>
                <w:rFonts w:ascii="宋体"/>
                <w:sz w:val="21"/>
              </w:rPr>
              <w:t>385,169,944</w:t>
            </w:r>
          </w:p>
        </w:tc>
        <w:tc>
          <w:tcPr>
            <w:tcW w:w="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83.2</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1.0</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宋体" w:hAnsi="宋体" w:cs="宋体" w:eastAsia="宋体" w:hint="default"/>
                <w:sz w:val="21"/>
                <w:szCs w:val="21"/>
              </w:rPr>
            </w:pPr>
            <w:r>
              <w:rPr>
                <w:rFonts w:ascii="宋体"/>
                <w:sz w:val="21"/>
              </w:rPr>
              <w:t>1.9</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-0.1</w:t>
            </w:r>
          </w:p>
        </w:tc>
      </w:tr>
      <w:tr>
        <w:trPr>
          <w:trHeight w:val="559" w:hRule="exact"/>
        </w:trPr>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中端客户软件服</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务收入</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7"/>
              <w:jc w:val="right"/>
              <w:rPr>
                <w:rFonts w:ascii="宋体" w:hAnsi="宋体" w:cs="宋体" w:eastAsia="宋体" w:hint="default"/>
                <w:sz w:val="21"/>
                <w:szCs w:val="21"/>
              </w:rPr>
            </w:pPr>
            <w:r>
              <w:rPr>
                <w:rFonts w:ascii="宋体"/>
                <w:spacing w:val="-1"/>
                <w:sz w:val="21"/>
              </w:rPr>
              <w:t>1,423,574,464</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1" w:right="0"/>
              <w:jc w:val="center"/>
              <w:rPr>
                <w:rFonts w:ascii="宋体" w:hAnsi="宋体" w:cs="宋体" w:eastAsia="宋体" w:hint="default"/>
                <w:sz w:val="21"/>
                <w:szCs w:val="21"/>
              </w:rPr>
            </w:pPr>
            <w:r>
              <w:rPr>
                <w:rFonts w:ascii="宋体"/>
                <w:sz w:val="21"/>
              </w:rPr>
              <w:t>140,633,051</w:t>
            </w:r>
          </w:p>
        </w:tc>
        <w:tc>
          <w:tcPr>
            <w:tcW w:w="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90.1</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2.3</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宋体" w:hAnsi="宋体" w:cs="宋体" w:eastAsia="宋体" w:hint="default"/>
                <w:sz w:val="21"/>
                <w:szCs w:val="21"/>
              </w:rPr>
            </w:pPr>
            <w:r>
              <w:rPr>
                <w:rFonts w:ascii="宋体"/>
                <w:sz w:val="21"/>
              </w:rPr>
              <w:t>4.8</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-0.2</w:t>
            </w:r>
          </w:p>
        </w:tc>
      </w:tr>
      <w:tr>
        <w:trPr>
          <w:trHeight w:val="562" w:hRule="exact"/>
        </w:trPr>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低端客户软件服</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务收入</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7"/>
              <w:jc w:val="right"/>
              <w:rPr>
                <w:rFonts w:ascii="宋体" w:hAnsi="宋体" w:cs="宋体" w:eastAsia="宋体" w:hint="default"/>
                <w:sz w:val="21"/>
                <w:szCs w:val="21"/>
              </w:rPr>
            </w:pPr>
            <w:r>
              <w:rPr>
                <w:rFonts w:ascii="宋体"/>
                <w:spacing w:val="-1"/>
                <w:sz w:val="21"/>
              </w:rPr>
              <w:t>331,914,217</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64" w:right="0"/>
              <w:jc w:val="center"/>
              <w:rPr>
                <w:rFonts w:ascii="宋体" w:hAnsi="宋体" w:cs="宋体" w:eastAsia="宋体" w:hint="default"/>
                <w:sz w:val="21"/>
                <w:szCs w:val="21"/>
              </w:rPr>
            </w:pPr>
            <w:r>
              <w:rPr>
                <w:rFonts w:ascii="宋体"/>
                <w:sz w:val="21"/>
              </w:rPr>
              <w:t>33,720,128</w:t>
            </w:r>
          </w:p>
        </w:tc>
        <w:tc>
          <w:tcPr>
            <w:tcW w:w="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89.8</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6.0</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5"/>
              <w:jc w:val="right"/>
              <w:rPr>
                <w:rFonts w:ascii="宋体" w:hAnsi="宋体" w:cs="宋体" w:eastAsia="宋体" w:hint="default"/>
                <w:sz w:val="21"/>
                <w:szCs w:val="21"/>
              </w:rPr>
            </w:pPr>
            <w:r>
              <w:rPr>
                <w:rFonts w:ascii="宋体"/>
                <w:sz w:val="21"/>
              </w:rPr>
              <w:t>112.8</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z w:val="21"/>
              </w:rPr>
              <w:t>-5.1</w:t>
            </w:r>
          </w:p>
        </w:tc>
      </w:tr>
      <w:tr>
        <w:trPr>
          <w:trHeight w:val="288" w:hRule="exact"/>
        </w:trPr>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7"/>
              <w:jc w:val="right"/>
              <w:rPr>
                <w:rFonts w:ascii="宋体" w:hAnsi="宋体" w:cs="宋体" w:eastAsia="宋体" w:hint="default"/>
                <w:sz w:val="21"/>
                <w:szCs w:val="21"/>
              </w:rPr>
            </w:pPr>
            <w:r>
              <w:rPr>
                <w:rFonts w:ascii="宋体"/>
                <w:spacing w:val="-1"/>
                <w:sz w:val="21"/>
              </w:rPr>
              <w:t>158,393,528</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1" w:right="0"/>
              <w:jc w:val="center"/>
              <w:rPr>
                <w:rFonts w:ascii="宋体" w:hAnsi="宋体" w:cs="宋体" w:eastAsia="宋体" w:hint="default"/>
                <w:sz w:val="21"/>
                <w:szCs w:val="21"/>
              </w:rPr>
            </w:pPr>
            <w:r>
              <w:rPr>
                <w:rFonts w:ascii="宋体"/>
                <w:sz w:val="21"/>
              </w:rPr>
              <w:t>113,909,796</w:t>
            </w:r>
          </w:p>
        </w:tc>
        <w:tc>
          <w:tcPr>
            <w:tcW w:w="9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28.1</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23.6</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21.7</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z w:val="21"/>
              </w:rPr>
              <w:t>1.1</w:t>
            </w:r>
          </w:p>
        </w:tc>
      </w:tr>
    </w:tbl>
    <w:p>
      <w:pPr>
        <w:pStyle w:val="Heading3"/>
        <w:spacing w:line="240" w:lineRule="auto" w:before="82"/>
        <w:ind w:left="738" w:right="0"/>
        <w:jc w:val="left"/>
      </w:pPr>
      <w:r>
        <w:rPr/>
        <w:t>报告期内，主营业务收入明细表：</w:t>
      </w:r>
    </w:p>
    <w:p>
      <w:pPr>
        <w:spacing w:line="240" w:lineRule="auto" w:before="5"/>
        <w:rPr>
          <w:rFonts w:ascii="宋体" w:hAnsi="宋体" w:cs="宋体" w:eastAsia="宋体" w:hint="default"/>
          <w:sz w:val="12"/>
          <w:szCs w:val="12"/>
        </w:rPr>
      </w:pPr>
    </w:p>
    <w:p>
      <w:pPr>
        <w:pStyle w:val="Heading5"/>
        <w:spacing w:line="240" w:lineRule="auto"/>
        <w:ind w:right="280"/>
        <w:jc w:val="right"/>
      </w:pPr>
      <w:r>
        <w:rPr/>
        <w:pict>
          <v:group style="position:absolute;margin-left:64.080002pt;margin-top:27.023687pt;width:78.25pt;height:57pt;mso-position-horizontal-relative:page;mso-position-vertical-relative:paragraph;z-index:-1311616" coordorigin="1282,540" coordsize="1565,1140">
            <v:shape style="position:absolute;left:1282;top:540;width:1565;height:1140" coordorigin="1282,540" coordsize="1565,1140" path="m1282,540l2846,1680e" filled="false" stroked="true" strokeweight=".48pt" strokecolor="#000000">
              <v:path arrowok="t"/>
            </v:shape>
            <w10:wrap type="none"/>
          </v:group>
        </w:pict>
      </w:r>
      <w:r>
        <w:rPr/>
        <w:t>单位</w:t>
      </w:r>
      <w:r>
        <w:rPr>
          <w:rFonts w:ascii="宋体" w:hAnsi="宋体" w:cs="宋体" w:eastAsia="宋体" w:hint="default"/>
        </w:rPr>
        <w:t>:</w:t>
      </w:r>
      <w:r>
        <w:rPr/>
        <w:t>元</w:t>
      </w:r>
      <w:r>
        <w:rPr>
          <w:spacing w:val="-5"/>
        </w:rPr>
        <w:t> </w:t>
      </w:r>
      <w:r>
        <w:rPr/>
        <w:t>币种</w:t>
      </w:r>
      <w:r>
        <w:rPr>
          <w:rFonts w:ascii="宋体" w:hAnsi="宋体" w:cs="宋体" w:eastAsia="宋体" w:hint="default"/>
        </w:rPr>
        <w:t>:</w:t>
      </w:r>
      <w:r>
        <w:rPr/>
        <w:t>人民币</w:t>
      </w:r>
    </w:p>
    <w:p>
      <w:pPr>
        <w:spacing w:line="240" w:lineRule="auto" w:before="11"/>
        <w:rPr>
          <w:rFonts w:ascii="宋体" w:hAnsi="宋体" w:cs="宋体" w:eastAsia="宋体" w:hint="default"/>
          <w:sz w:val="16"/>
          <w:szCs w:val="16"/>
        </w:rPr>
      </w:pPr>
    </w:p>
    <w:tbl>
      <w:tblPr>
        <w:tblW w:w="0" w:type="auto"/>
        <w:jc w:val="left"/>
        <w:tblInd w:w="111" w:type="dxa"/>
        <w:tblLayout w:type="fixed"/>
        <w:tblCellMar>
          <w:top w:w="0" w:type="dxa"/>
          <w:left w:w="0" w:type="dxa"/>
          <w:bottom w:w="0" w:type="dxa"/>
          <w:right w:w="0" w:type="dxa"/>
        </w:tblCellMar>
        <w:tblLook w:val="01E0"/>
      </w:tblPr>
      <w:tblGrid>
        <w:gridCol w:w="1574"/>
        <w:gridCol w:w="1687"/>
        <w:gridCol w:w="1416"/>
        <w:gridCol w:w="1702"/>
        <w:gridCol w:w="1418"/>
        <w:gridCol w:w="1699"/>
      </w:tblGrid>
      <w:tr>
        <w:trPr>
          <w:trHeight w:val="1150"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
              <w:ind w:left="943" w:right="196" w:firstLine="2"/>
              <w:jc w:val="left"/>
              <w:rPr>
                <w:rFonts w:ascii="宋体" w:hAnsi="宋体" w:cs="宋体" w:eastAsia="宋体" w:hint="default"/>
                <w:sz w:val="21"/>
                <w:szCs w:val="21"/>
              </w:rPr>
            </w:pPr>
            <w:r>
              <w:rPr>
                <w:rFonts w:ascii="宋体" w:hAnsi="宋体" w:cs="宋体" w:eastAsia="宋体" w:hint="default"/>
                <w:spacing w:val="-3"/>
                <w:sz w:val="21"/>
                <w:szCs w:val="21"/>
              </w:rPr>
              <w:t>业务</w:t>
            </w:r>
            <w:r>
              <w:rPr>
                <w:rFonts w:ascii="宋体" w:hAnsi="宋体" w:cs="宋体" w:eastAsia="宋体" w:hint="default"/>
                <w:spacing w:val="-3"/>
                <w:w w:val="100"/>
                <w:sz w:val="21"/>
                <w:szCs w:val="21"/>
              </w:rPr>
              <w:t> </w:t>
            </w:r>
            <w:r>
              <w:rPr>
                <w:rFonts w:ascii="宋体" w:hAnsi="宋体" w:cs="宋体" w:eastAsia="宋体" w:hint="default"/>
                <w:sz w:val="21"/>
                <w:szCs w:val="21"/>
              </w:rPr>
              <w:t>分类</w:t>
            </w:r>
          </w:p>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分类</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206" w:right="0"/>
              <w:jc w:val="left"/>
              <w:rPr>
                <w:rFonts w:ascii="宋体" w:hAnsi="宋体" w:cs="宋体" w:eastAsia="宋体" w:hint="default"/>
                <w:sz w:val="21"/>
                <w:szCs w:val="21"/>
              </w:rPr>
            </w:pPr>
            <w:r>
              <w:rPr>
                <w:rFonts w:ascii="宋体" w:hAnsi="宋体" w:cs="宋体" w:eastAsia="宋体" w:hint="default"/>
                <w:sz w:val="21"/>
                <w:szCs w:val="21"/>
              </w:rPr>
              <w:t>软件产品销售</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281" w:right="0"/>
              <w:jc w:val="left"/>
              <w:rPr>
                <w:rFonts w:ascii="宋体" w:hAnsi="宋体" w:cs="宋体" w:eastAsia="宋体" w:hint="default"/>
                <w:sz w:val="21"/>
                <w:szCs w:val="21"/>
              </w:rPr>
            </w:pPr>
            <w:r>
              <w:rPr>
                <w:rFonts w:ascii="宋体" w:hAnsi="宋体" w:cs="宋体" w:eastAsia="宋体" w:hint="default"/>
                <w:sz w:val="21"/>
                <w:szCs w:val="21"/>
              </w:rPr>
              <w:t>支持服务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72" w:lineRule="exact"/>
              <w:ind w:left="636" w:right="105" w:hanging="526"/>
              <w:jc w:val="left"/>
              <w:rPr>
                <w:rFonts w:ascii="宋体" w:hAnsi="宋体" w:cs="宋体" w:eastAsia="宋体" w:hint="default"/>
                <w:sz w:val="21"/>
                <w:szCs w:val="21"/>
              </w:rPr>
            </w:pPr>
            <w:r>
              <w:rPr>
                <w:rFonts w:ascii="宋体" w:hAnsi="宋体" w:cs="宋体" w:eastAsia="宋体" w:hint="default"/>
                <w:sz w:val="21"/>
                <w:szCs w:val="21"/>
              </w:rPr>
              <w:t>咨询实施及培训</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服务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3"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554"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高端客户软件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服务收入</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6" w:right="0"/>
              <w:jc w:val="left"/>
              <w:rPr>
                <w:rFonts w:ascii="宋体" w:hAnsi="宋体" w:cs="宋体" w:eastAsia="宋体" w:hint="default"/>
                <w:sz w:val="21"/>
                <w:szCs w:val="21"/>
              </w:rPr>
            </w:pPr>
            <w:r>
              <w:rPr>
                <w:rFonts w:ascii="宋体"/>
                <w:sz w:val="21"/>
              </w:rPr>
              <w:t>1,104,033,249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3"/>
              <w:jc w:val="right"/>
              <w:rPr>
                <w:rFonts w:ascii="宋体" w:hAnsi="宋体" w:cs="宋体" w:eastAsia="宋体" w:hint="default"/>
                <w:sz w:val="21"/>
                <w:szCs w:val="21"/>
              </w:rPr>
            </w:pPr>
            <w:r>
              <w:rPr>
                <w:rFonts w:ascii="宋体"/>
                <w:spacing w:val="-1"/>
                <w:sz w:val="21"/>
              </w:rPr>
              <w:t>311,546,672</w:t>
            </w:r>
            <w:r>
              <w:rPr>
                <w:rFonts w:ascii="宋体"/>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880,885,775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2,296,465,696</w:t>
            </w:r>
          </w:p>
        </w:tc>
      </w:tr>
      <w:tr>
        <w:trPr>
          <w:trHeight w:val="554"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中端客户软件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服务收入</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891,581,954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2"/>
              <w:jc w:val="right"/>
              <w:rPr>
                <w:rFonts w:ascii="宋体" w:hAnsi="宋体" w:cs="宋体" w:eastAsia="宋体" w:hint="default"/>
                <w:sz w:val="21"/>
                <w:szCs w:val="21"/>
              </w:rPr>
            </w:pPr>
            <w:r>
              <w:rPr>
                <w:rFonts w:ascii="宋体"/>
                <w:spacing w:val="-1"/>
                <w:sz w:val="21"/>
              </w:rPr>
              <w:t>197,540,514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334,451,996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1,423,574,464</w:t>
            </w:r>
          </w:p>
        </w:tc>
      </w:tr>
      <w:tr>
        <w:trPr>
          <w:trHeight w:val="554"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低端客户软件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服务收入</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308,125,105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2,743,711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21,045,401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w w:val="100"/>
                <w:sz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331,914,217</w:t>
            </w:r>
          </w:p>
        </w:tc>
      </w:tr>
      <w:tr>
        <w:trPr>
          <w:trHeight w:val="350"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3"/>
              <w:jc w:val="right"/>
              <w:rPr>
                <w:rFonts w:ascii="宋体" w:hAnsi="宋体" w:cs="宋体" w:eastAsia="宋体" w:hint="default"/>
                <w:sz w:val="21"/>
                <w:szCs w:val="21"/>
              </w:rPr>
            </w:pPr>
            <w:r>
              <w:rPr>
                <w:rFonts w:ascii="宋体"/>
                <w:w w:val="100"/>
                <w:sz w:val="21"/>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3"/>
              <w:jc w:val="right"/>
              <w:rPr>
                <w:rFonts w:ascii="宋体" w:hAnsi="宋体" w:cs="宋体" w:eastAsia="宋体" w:hint="default"/>
                <w:sz w:val="21"/>
                <w:szCs w:val="21"/>
              </w:rPr>
            </w:pPr>
            <w:r>
              <w:rPr>
                <w:rFonts w:ascii="宋体"/>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w w:val="100"/>
                <w:sz w:val="21"/>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158,393,528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98"/>
              <w:jc w:val="right"/>
              <w:rPr>
                <w:rFonts w:ascii="宋体" w:hAnsi="宋体" w:cs="宋体" w:eastAsia="宋体" w:hint="default"/>
                <w:sz w:val="21"/>
                <w:szCs w:val="21"/>
              </w:rPr>
            </w:pPr>
            <w:r>
              <w:rPr>
                <w:rFonts w:ascii="宋体"/>
                <w:spacing w:val="-1"/>
                <w:sz w:val="21"/>
              </w:rPr>
              <w:t>158,393,528</w:t>
            </w:r>
          </w:p>
        </w:tc>
      </w:tr>
      <w:tr>
        <w:trPr>
          <w:trHeight w:val="547" w:hRule="exact"/>
        </w:trPr>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06" w:right="0"/>
              <w:jc w:val="left"/>
              <w:rPr>
                <w:rFonts w:ascii="宋体" w:hAnsi="宋体" w:cs="宋体" w:eastAsia="宋体" w:hint="default"/>
                <w:sz w:val="21"/>
                <w:szCs w:val="21"/>
              </w:rPr>
            </w:pPr>
            <w:r>
              <w:rPr>
                <w:rFonts w:ascii="宋体"/>
                <w:sz w:val="21"/>
              </w:rPr>
              <w:t>2,303,740,308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0"/>
              <w:jc w:val="right"/>
              <w:rPr>
                <w:rFonts w:ascii="宋体" w:hAnsi="宋体" w:cs="宋体" w:eastAsia="宋体" w:hint="default"/>
                <w:sz w:val="21"/>
                <w:szCs w:val="21"/>
              </w:rPr>
            </w:pPr>
            <w:r>
              <w:rPr>
                <w:rFonts w:ascii="宋体"/>
                <w:spacing w:val="-1"/>
                <w:sz w:val="21"/>
              </w:rPr>
              <w:t>511,830,897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宋体" w:hAnsi="宋体" w:cs="宋体" w:eastAsia="宋体" w:hint="default"/>
                <w:sz w:val="21"/>
                <w:szCs w:val="21"/>
              </w:rPr>
            </w:pPr>
            <w:r>
              <w:rPr>
                <w:rFonts w:ascii="宋体"/>
                <w:spacing w:val="-1"/>
                <w:sz w:val="21"/>
              </w:rPr>
              <w:t>1,236,383,172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宋体" w:hAnsi="宋体" w:cs="宋体" w:eastAsia="宋体" w:hint="default"/>
                <w:sz w:val="21"/>
                <w:szCs w:val="21"/>
              </w:rPr>
            </w:pPr>
            <w:r>
              <w:rPr>
                <w:rFonts w:ascii="宋体"/>
                <w:spacing w:val="-1"/>
                <w:sz w:val="21"/>
              </w:rPr>
              <w:t>158,393,528</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8"/>
              <w:jc w:val="right"/>
              <w:rPr>
                <w:rFonts w:ascii="宋体" w:hAnsi="宋体" w:cs="宋体" w:eastAsia="宋体" w:hint="default"/>
                <w:sz w:val="21"/>
                <w:szCs w:val="21"/>
              </w:rPr>
            </w:pPr>
            <w:r>
              <w:rPr>
                <w:rFonts w:ascii="宋体"/>
                <w:spacing w:val="-1"/>
                <w:sz w:val="21"/>
              </w:rPr>
              <w:t>4,210,347,905</w:t>
            </w:r>
          </w:p>
        </w:tc>
      </w:tr>
    </w:tbl>
    <w:p>
      <w:pPr>
        <w:pStyle w:val="Heading2"/>
        <w:spacing w:line="240" w:lineRule="auto" w:before="82"/>
        <w:ind w:left="740" w:right="0"/>
        <w:jc w:val="left"/>
        <w:rPr>
          <w:b w:val="0"/>
          <w:bCs w:val="0"/>
        </w:rPr>
      </w:pPr>
      <w:r>
        <w:rPr>
          <w:rFonts w:ascii="宋体" w:hAnsi="宋体" w:cs="宋体" w:eastAsia="宋体" w:hint="default"/>
        </w:rPr>
        <w:t>2</w:t>
      </w:r>
      <w:r>
        <w:rPr/>
        <w:t>、主营业务分地区情况</w:t>
      </w:r>
      <w:r>
        <w:rPr>
          <w:b w:val="0"/>
          <w:bCs w:val="0"/>
        </w:rPr>
      </w:r>
    </w:p>
    <w:p>
      <w:pPr>
        <w:spacing w:line="240" w:lineRule="auto" w:before="5"/>
        <w:rPr>
          <w:rFonts w:ascii="宋体" w:hAnsi="宋体" w:cs="宋体" w:eastAsia="宋体" w:hint="default"/>
          <w:b/>
          <w:bCs/>
          <w:sz w:val="12"/>
          <w:szCs w:val="12"/>
        </w:rPr>
      </w:pPr>
    </w:p>
    <w:p>
      <w:pPr>
        <w:pStyle w:val="Heading5"/>
        <w:spacing w:line="240" w:lineRule="auto"/>
        <w:ind w:right="280"/>
        <w:jc w:val="right"/>
      </w:pPr>
      <w:r>
        <w:rPr/>
        <w:t>单位</w:t>
      </w:r>
      <w:r>
        <w:rPr>
          <w:rFonts w:ascii="宋体" w:hAnsi="宋体" w:cs="宋体" w:eastAsia="宋体" w:hint="default"/>
        </w:rPr>
        <w:t>:</w:t>
      </w:r>
      <w:r>
        <w:rPr/>
        <w:t>元</w:t>
      </w:r>
      <w:r>
        <w:rPr>
          <w:spacing w:val="-5"/>
        </w:rPr>
        <w:t> </w:t>
      </w:r>
      <w:r>
        <w:rPr/>
        <w:t>币种</w:t>
      </w:r>
      <w:r>
        <w:rPr>
          <w:rFonts w:ascii="宋体" w:hAnsi="宋体" w:cs="宋体" w:eastAsia="宋体" w:hint="default"/>
        </w:rPr>
        <w:t>:</w:t>
      </w:r>
      <w:r>
        <w:rPr/>
        <w:t>人民币</w:t>
      </w:r>
    </w:p>
    <w:p>
      <w:pPr>
        <w:spacing w:line="240" w:lineRule="auto" w:before="11"/>
        <w:rPr>
          <w:rFonts w:ascii="宋体" w:hAnsi="宋体" w:cs="宋体" w:eastAsia="宋体" w:hint="default"/>
          <w:sz w:val="16"/>
          <w:szCs w:val="16"/>
        </w:rPr>
      </w:pPr>
    </w:p>
    <w:tbl>
      <w:tblPr>
        <w:tblW w:w="0" w:type="auto"/>
        <w:jc w:val="left"/>
        <w:tblInd w:w="243" w:type="dxa"/>
        <w:tblLayout w:type="fixed"/>
        <w:tblCellMar>
          <w:top w:w="0" w:type="dxa"/>
          <w:left w:w="0" w:type="dxa"/>
          <w:bottom w:w="0" w:type="dxa"/>
          <w:right w:w="0" w:type="dxa"/>
        </w:tblCellMar>
        <w:tblLook w:val="01E0"/>
      </w:tblPr>
      <w:tblGrid>
        <w:gridCol w:w="2441"/>
        <w:gridCol w:w="3007"/>
        <w:gridCol w:w="3852"/>
      </w:tblGrid>
      <w:tr>
        <w:trPr>
          <w:trHeight w:val="286" w:hRule="exact"/>
        </w:trPr>
        <w:tc>
          <w:tcPr>
            <w:tcW w:w="24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地区</w:t>
            </w:r>
          </w:p>
        </w:tc>
        <w:tc>
          <w:tcPr>
            <w:tcW w:w="30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288" w:hRule="exact"/>
        </w:trPr>
        <w:tc>
          <w:tcPr>
            <w:tcW w:w="24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中国境内</w:t>
            </w:r>
          </w:p>
        </w:tc>
        <w:tc>
          <w:tcPr>
            <w:tcW w:w="30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4,162,306,929</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2.1</w:t>
            </w:r>
          </w:p>
        </w:tc>
      </w:tr>
      <w:tr>
        <w:trPr>
          <w:trHeight w:val="288" w:hRule="exact"/>
        </w:trPr>
        <w:tc>
          <w:tcPr>
            <w:tcW w:w="24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中国境外</w:t>
            </w:r>
          </w:p>
        </w:tc>
        <w:tc>
          <w:tcPr>
            <w:tcW w:w="300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48,040,976</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64.0</w:t>
            </w:r>
          </w:p>
        </w:tc>
      </w:tr>
    </w:tbl>
    <w:p>
      <w:pPr>
        <w:pStyle w:val="Heading2"/>
        <w:spacing w:line="240" w:lineRule="auto" w:before="82"/>
        <w:ind w:left="740" w:right="0"/>
        <w:jc w:val="left"/>
        <w:rPr>
          <w:b w:val="0"/>
          <w:bCs w:val="0"/>
        </w:rPr>
      </w:pPr>
      <w:r>
        <w:rPr/>
        <w:t>（四）</w:t>
      </w:r>
      <w:r>
        <w:rPr>
          <w:spacing w:val="-3"/>
        </w:rPr>
        <w:t> </w:t>
      </w:r>
      <w:r>
        <w:rPr/>
        <w:t>资产、负债情况分析</w:t>
      </w:r>
      <w:r>
        <w:rPr>
          <w:b w:val="0"/>
          <w:bCs w:val="0"/>
        </w:rPr>
      </w:r>
    </w:p>
    <w:p>
      <w:pPr>
        <w:spacing w:after="0" w:line="240" w:lineRule="auto"/>
        <w:jc w:val="left"/>
        <w:sectPr>
          <w:pgSz w:w="11910" w:h="16850"/>
          <w:pgMar w:header="752" w:footer="730" w:top="1020" w:bottom="920" w:left="1160" w:right="1020"/>
        </w:sectPr>
      </w:pPr>
    </w:p>
    <w:p>
      <w:pPr>
        <w:spacing w:line="240" w:lineRule="auto" w:before="9"/>
        <w:rPr>
          <w:rFonts w:ascii="宋体" w:hAnsi="宋体" w:cs="宋体" w:eastAsia="宋体" w:hint="default"/>
          <w:b/>
          <w:bCs/>
          <w:sz w:val="26"/>
          <w:szCs w:val="26"/>
        </w:rPr>
      </w:pPr>
    </w:p>
    <w:p>
      <w:pPr>
        <w:pStyle w:val="Heading2"/>
        <w:spacing w:line="240" w:lineRule="auto" w:before="26"/>
        <w:ind w:left="620" w:right="0"/>
        <w:jc w:val="left"/>
        <w:rPr>
          <w:b w:val="0"/>
          <w:bCs w:val="0"/>
        </w:rPr>
      </w:pPr>
      <w:r>
        <w:rPr>
          <w:rFonts w:ascii="宋体" w:hAnsi="宋体" w:cs="宋体" w:eastAsia="宋体" w:hint="default"/>
        </w:rPr>
        <w:t>1</w:t>
      </w:r>
      <w:r>
        <w:rPr/>
        <w:t>、资产负债情况分析表</w:t>
      </w:r>
      <w:r>
        <w:rPr>
          <w:b w:val="0"/>
          <w:bCs w:val="0"/>
        </w:rPr>
      </w:r>
    </w:p>
    <w:p>
      <w:pPr>
        <w:spacing w:line="240" w:lineRule="auto" w:before="5"/>
        <w:rPr>
          <w:rFonts w:ascii="宋体" w:hAnsi="宋体" w:cs="宋体" w:eastAsia="宋体" w:hint="default"/>
          <w:b/>
          <w:bCs/>
          <w:sz w:val="12"/>
          <w:szCs w:val="12"/>
        </w:rPr>
      </w:pPr>
    </w:p>
    <w:p>
      <w:pPr>
        <w:pStyle w:val="Heading5"/>
        <w:spacing w:line="240" w:lineRule="auto"/>
        <w:ind w:right="300"/>
        <w:jc w:val="right"/>
      </w:pPr>
      <w:r>
        <w:rPr/>
        <w:t>单位</w:t>
      </w:r>
      <w:r>
        <w:rPr>
          <w:rFonts w:ascii="宋体" w:hAnsi="宋体" w:cs="宋体" w:eastAsia="宋体" w:hint="default"/>
        </w:rPr>
        <w:t>:</w:t>
      </w:r>
      <w:r>
        <w:rPr/>
        <w:t>元</w:t>
      </w:r>
      <w:r>
        <w:rPr>
          <w:spacing w:val="-5"/>
        </w:rPr>
        <w:t> </w:t>
      </w:r>
      <w:r>
        <w:rPr/>
        <w:t>币种</w:t>
      </w:r>
      <w:r>
        <w:rPr>
          <w:rFonts w:ascii="宋体" w:hAnsi="宋体" w:cs="宋体" w:eastAsia="宋体" w:hint="default"/>
        </w:rPr>
        <w:t>:</w:t>
      </w:r>
      <w:r>
        <w:rPr/>
        <w:t>人民币</w:t>
      </w:r>
    </w:p>
    <w:p>
      <w:pPr>
        <w:spacing w:line="240" w:lineRule="auto" w:before="11"/>
        <w:rPr>
          <w:rFonts w:ascii="宋体" w:hAnsi="宋体" w:cs="宋体" w:eastAsia="宋体" w:hint="default"/>
          <w:sz w:val="16"/>
          <w:szCs w:val="16"/>
        </w:rPr>
      </w:pPr>
    </w:p>
    <w:tbl>
      <w:tblPr>
        <w:tblW w:w="0" w:type="auto"/>
        <w:jc w:val="left"/>
        <w:tblInd w:w="123" w:type="dxa"/>
        <w:tblLayout w:type="fixed"/>
        <w:tblCellMar>
          <w:top w:w="0" w:type="dxa"/>
          <w:left w:w="0" w:type="dxa"/>
          <w:bottom w:w="0" w:type="dxa"/>
          <w:right w:w="0" w:type="dxa"/>
        </w:tblCellMar>
        <w:tblLook w:val="01E0"/>
      </w:tblPr>
      <w:tblGrid>
        <w:gridCol w:w="1282"/>
        <w:gridCol w:w="1582"/>
        <w:gridCol w:w="970"/>
        <w:gridCol w:w="1582"/>
        <w:gridCol w:w="1123"/>
        <w:gridCol w:w="1126"/>
        <w:gridCol w:w="1699"/>
      </w:tblGrid>
      <w:tr>
        <w:trPr>
          <w:trHeight w:val="1378" w:hRule="exact"/>
        </w:trPr>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本期期末数</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本期期</w:t>
            </w:r>
          </w:p>
          <w:p>
            <w:pPr>
              <w:pStyle w:val="TableParagraph"/>
              <w:spacing w:line="237" w:lineRule="auto" w:before="2"/>
              <w:ind w:left="100" w:right="218"/>
              <w:jc w:val="both"/>
              <w:rPr>
                <w:rFonts w:ascii="宋体" w:hAnsi="宋体" w:cs="宋体" w:eastAsia="宋体" w:hint="default"/>
                <w:sz w:val="21"/>
                <w:szCs w:val="21"/>
              </w:rPr>
            </w:pP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r>
              <w:rPr>
                <w:rFonts w:ascii="宋体" w:hAnsi="宋体" w:cs="宋体" w:eastAsia="宋体" w:hint="default"/>
                <w:spacing w:val="-102"/>
                <w:sz w:val="21"/>
                <w:szCs w:val="21"/>
              </w:rPr>
              <w:t> </w:t>
            </w:r>
            <w:r>
              <w:rPr>
                <w:rFonts w:ascii="宋体" w:hAnsi="宋体" w:cs="宋体" w:eastAsia="宋体" w:hint="default"/>
                <w:sz w:val="21"/>
                <w:szCs w:val="21"/>
              </w:rPr>
              <w:t>的比例</w:t>
            </w:r>
          </w:p>
          <w:p>
            <w:pPr>
              <w:pStyle w:val="TableParagraph"/>
              <w:spacing w:line="271" w:lineRule="exact"/>
              <w:ind w:left="100"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上期期末数</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4"/>
              <w:ind w:left="100" w:right="163"/>
              <w:jc w:val="both"/>
              <w:rPr>
                <w:rFonts w:ascii="宋体" w:hAnsi="宋体" w:cs="宋体" w:eastAsia="宋体" w:hint="default"/>
                <w:sz w:val="21"/>
                <w:szCs w:val="21"/>
              </w:rPr>
            </w:pPr>
            <w:r>
              <w:rPr>
                <w:rFonts w:ascii="宋体" w:hAnsi="宋体" w:cs="宋体" w:eastAsia="宋体" w:hint="default"/>
                <w:sz w:val="21"/>
                <w:szCs w:val="21"/>
              </w:rPr>
              <w:t>上期期末</w:t>
            </w:r>
            <w:r>
              <w:rPr>
                <w:rFonts w:ascii="宋体" w:hAnsi="宋体" w:cs="宋体" w:eastAsia="宋体" w:hint="default"/>
                <w:w w:val="100"/>
                <w:sz w:val="21"/>
                <w:szCs w:val="21"/>
              </w:rPr>
              <w:t> </w:t>
            </w: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71" w:lineRule="exact"/>
              <w:ind w:left="100"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本期期末</w:t>
            </w:r>
          </w:p>
          <w:p>
            <w:pPr>
              <w:pStyle w:val="TableParagraph"/>
              <w:spacing w:line="237" w:lineRule="auto" w:before="2"/>
              <w:ind w:left="100" w:right="166"/>
              <w:jc w:val="both"/>
              <w:rPr>
                <w:rFonts w:ascii="宋体" w:hAnsi="宋体" w:cs="宋体" w:eastAsia="宋体" w:hint="default"/>
                <w:sz w:val="21"/>
                <w:szCs w:val="21"/>
              </w:rPr>
            </w:pPr>
            <w:r>
              <w:rPr>
                <w:rFonts w:ascii="宋体" w:hAnsi="宋体" w:cs="宋体" w:eastAsia="宋体" w:hint="default"/>
                <w:sz w:val="21"/>
                <w:szCs w:val="21"/>
              </w:rPr>
              <w:t>金额较上</w:t>
            </w:r>
            <w:r>
              <w:rPr>
                <w:rFonts w:ascii="宋体" w:hAnsi="宋体" w:cs="宋体" w:eastAsia="宋体" w:hint="default"/>
                <w:w w:val="100"/>
                <w:sz w:val="21"/>
                <w:szCs w:val="21"/>
              </w:rPr>
              <w:t> </w:t>
            </w:r>
            <w:r>
              <w:rPr>
                <w:rFonts w:ascii="宋体" w:hAnsi="宋体" w:cs="宋体" w:eastAsia="宋体" w:hint="default"/>
                <w:sz w:val="21"/>
                <w:szCs w:val="21"/>
              </w:rPr>
              <w:t>期期末变</w:t>
            </w:r>
            <w:r>
              <w:rPr>
                <w:rFonts w:ascii="宋体" w:hAnsi="宋体" w:cs="宋体" w:eastAsia="宋体" w:hint="default"/>
                <w:w w:val="100"/>
                <w:sz w:val="21"/>
                <w:szCs w:val="21"/>
              </w:rPr>
              <w:t> </w:t>
            </w:r>
            <w:r>
              <w:rPr>
                <w:rFonts w:ascii="宋体" w:hAnsi="宋体" w:cs="宋体" w:eastAsia="宋体" w:hint="default"/>
                <w:sz w:val="21"/>
                <w:szCs w:val="21"/>
              </w:rPr>
              <w:t>动比例</w:t>
            </w:r>
          </w:p>
          <w:p>
            <w:pPr>
              <w:pStyle w:val="TableParagraph"/>
              <w:spacing w:line="271" w:lineRule="exact"/>
              <w:ind w:left="100"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情况说明</w:t>
            </w:r>
          </w:p>
        </w:tc>
      </w:tr>
      <w:tr>
        <w:trPr>
          <w:trHeight w:val="286" w:hRule="exact"/>
        </w:trPr>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1,697,036,209</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27.6</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1,397,118,426</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25.6</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21.5</w:t>
            </w: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1922" w:hRule="exact"/>
        </w:trPr>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53,428,161</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sz w:val="21"/>
              </w:rPr>
              <w:t>0.9</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13,254,381</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sz w:val="21"/>
              </w:rPr>
              <w:t>0.2</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sz w:val="21"/>
              </w:rPr>
              <w:t>303.1</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主要是由于</w:t>
            </w:r>
          </w:p>
          <w:p>
            <w:pPr>
              <w:pStyle w:val="TableParagraph"/>
              <w:spacing w:line="237" w:lineRule="auto"/>
              <w:ind w:left="98" w:right="110" w:hanging="1"/>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年受整体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经济形势影响，</w:t>
            </w:r>
            <w:r>
              <w:rPr>
                <w:rFonts w:ascii="宋体" w:hAnsi="宋体" w:cs="宋体" w:eastAsia="宋体" w:hint="default"/>
                <w:w w:val="100"/>
                <w:sz w:val="21"/>
                <w:szCs w:val="21"/>
              </w:rPr>
              <w:t> </w:t>
            </w:r>
            <w:r>
              <w:rPr>
                <w:rFonts w:ascii="宋体" w:hAnsi="宋体" w:cs="宋体" w:eastAsia="宋体" w:hint="default"/>
                <w:sz w:val="21"/>
                <w:szCs w:val="21"/>
              </w:rPr>
              <w:t>部分客户资金周</w:t>
            </w:r>
            <w:r>
              <w:rPr>
                <w:rFonts w:ascii="宋体" w:hAnsi="宋体" w:cs="宋体" w:eastAsia="宋体" w:hint="default"/>
                <w:w w:val="100"/>
                <w:sz w:val="21"/>
                <w:szCs w:val="21"/>
              </w:rPr>
              <w:t> </w:t>
            </w:r>
            <w:r>
              <w:rPr>
                <w:rFonts w:ascii="宋体" w:hAnsi="宋体" w:cs="宋体" w:eastAsia="宋体" w:hint="default"/>
                <w:sz w:val="21"/>
                <w:szCs w:val="21"/>
              </w:rPr>
              <w:t>转紧张，一些客</w:t>
            </w:r>
            <w:r>
              <w:rPr>
                <w:rFonts w:ascii="宋体" w:hAnsi="宋体" w:cs="宋体" w:eastAsia="宋体" w:hint="default"/>
                <w:w w:val="100"/>
                <w:sz w:val="21"/>
                <w:szCs w:val="21"/>
              </w:rPr>
              <w:t> </w:t>
            </w:r>
            <w:r>
              <w:rPr>
                <w:rFonts w:ascii="宋体" w:hAnsi="宋体" w:cs="宋体" w:eastAsia="宋体" w:hint="default"/>
                <w:sz w:val="21"/>
                <w:szCs w:val="21"/>
              </w:rPr>
              <w:t>户通过票据承兑</w:t>
            </w:r>
            <w:r>
              <w:rPr>
                <w:rFonts w:ascii="宋体" w:hAnsi="宋体" w:cs="宋体" w:eastAsia="宋体" w:hint="default"/>
                <w:w w:val="100"/>
                <w:sz w:val="21"/>
                <w:szCs w:val="21"/>
              </w:rPr>
              <w:t> </w:t>
            </w:r>
            <w:r>
              <w:rPr>
                <w:rFonts w:ascii="宋体" w:hAnsi="宋体" w:cs="宋体" w:eastAsia="宋体" w:hint="default"/>
                <w:sz w:val="21"/>
                <w:szCs w:val="21"/>
              </w:rPr>
              <w:t>方式进行支付。</w:t>
            </w:r>
          </w:p>
        </w:tc>
      </w:tr>
      <w:tr>
        <w:trPr>
          <w:trHeight w:val="288" w:hRule="exact"/>
        </w:trPr>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1,306,428,847</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21.2</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1,266,411,804</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23.2</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3.2</w:t>
            </w: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1375" w:hRule="exact"/>
        </w:trPr>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29,387,378</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sz w:val="21"/>
              </w:rPr>
              <w:t>0.5</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4,892,105</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sz w:val="21"/>
              </w:rPr>
              <w:t>0.1</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sz w:val="21"/>
              </w:rPr>
              <w:t>500.7</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8" w:right="0"/>
              <w:jc w:val="both"/>
              <w:rPr>
                <w:rFonts w:ascii="宋体" w:hAnsi="宋体" w:cs="宋体" w:eastAsia="宋体" w:hint="default"/>
                <w:sz w:val="21"/>
                <w:szCs w:val="21"/>
              </w:rPr>
            </w:pPr>
            <w:r>
              <w:rPr>
                <w:rFonts w:ascii="宋体" w:hAnsi="宋体" w:cs="宋体" w:eastAsia="宋体" w:hint="default"/>
                <w:sz w:val="21"/>
                <w:szCs w:val="21"/>
              </w:rPr>
              <w:t>主要是由于用友</w:t>
            </w:r>
          </w:p>
          <w:p>
            <w:pPr>
              <w:pStyle w:val="TableParagraph"/>
              <w:spacing w:line="237" w:lineRule="auto"/>
              <w:ind w:left="98" w:right="110"/>
              <w:jc w:val="both"/>
              <w:rPr>
                <w:rFonts w:ascii="宋体" w:hAnsi="宋体" w:cs="宋体" w:eastAsia="宋体" w:hint="default"/>
                <w:sz w:val="21"/>
                <w:szCs w:val="21"/>
              </w:rPr>
            </w:pPr>
            <w:r>
              <w:rPr>
                <w:rFonts w:ascii="宋体" w:hAnsi="宋体" w:cs="宋体" w:eastAsia="宋体" w:hint="default"/>
                <w:sz w:val="21"/>
                <w:szCs w:val="21"/>
              </w:rPr>
              <w:t>政务公司和畅捷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通公司预付供应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商技术开发费所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致。</w:t>
            </w:r>
          </w:p>
        </w:tc>
      </w:tr>
      <w:tr>
        <w:trPr>
          <w:trHeight w:val="288" w:hRule="exact"/>
        </w:trPr>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86,933,586</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1.4</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81,057,244</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1.5</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7.2</w:t>
            </w: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长期股权投</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资</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176,629,176</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2.9</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162,896,353</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3.0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8.4</w:t>
            </w: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863,232,527</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14.0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795,826,110</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14.6</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8.5</w:t>
            </w: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2465" w:hRule="exact"/>
        </w:trPr>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526,077,920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8.5</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335,887,800</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6.1</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56.6</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主要是由于本年</w:t>
            </w:r>
          </w:p>
          <w:p>
            <w:pPr>
              <w:pStyle w:val="TableParagraph"/>
              <w:spacing w:line="237" w:lineRule="auto" w:before="2"/>
              <w:ind w:left="98" w:right="110"/>
              <w:jc w:val="left"/>
              <w:rPr>
                <w:rFonts w:ascii="宋体" w:hAnsi="宋体" w:cs="宋体" w:eastAsia="宋体" w:hint="default"/>
                <w:sz w:val="21"/>
                <w:szCs w:val="21"/>
              </w:rPr>
            </w:pPr>
            <w:r>
              <w:rPr>
                <w:rFonts w:ascii="宋体" w:hAnsi="宋体" w:cs="宋体" w:eastAsia="宋体" w:hint="default"/>
                <w:sz w:val="21"/>
                <w:szCs w:val="21"/>
              </w:rPr>
              <w:t>在建工程投入人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民币</w:t>
            </w:r>
            <w:r>
              <w:rPr>
                <w:rFonts w:ascii="宋体" w:hAnsi="宋体" w:cs="宋体" w:eastAsia="宋体" w:hint="default"/>
                <w:spacing w:val="-103"/>
                <w:sz w:val="21"/>
                <w:szCs w:val="21"/>
              </w:rPr>
              <w:t> </w:t>
            </w:r>
            <w:r>
              <w:rPr>
                <w:rFonts w:ascii="宋体" w:hAnsi="宋体" w:cs="宋体" w:eastAsia="宋体" w:hint="default"/>
                <w:sz w:val="21"/>
                <w:szCs w:val="21"/>
              </w:rPr>
              <w:t>302,944,893</w:t>
            </w:r>
            <w:r>
              <w:rPr>
                <w:rFonts w:ascii="宋体" w:hAnsi="宋体" w:cs="宋体" w:eastAsia="宋体" w:hint="default"/>
                <w:spacing w:val="-52"/>
                <w:sz w:val="21"/>
                <w:szCs w:val="21"/>
              </w:rPr>
              <w:t> </w:t>
            </w:r>
            <w:r>
              <w:rPr>
                <w:rFonts w:ascii="宋体" w:hAnsi="宋体" w:cs="宋体" w:eastAsia="宋体" w:hint="default"/>
                <w:sz w:val="21"/>
                <w:szCs w:val="21"/>
              </w:rPr>
              <w:t>元</w:t>
            </w:r>
          </w:p>
          <w:p>
            <w:pPr>
              <w:pStyle w:val="TableParagraph"/>
              <w:spacing w:line="237" w:lineRule="auto"/>
              <w:ind w:left="98" w:right="110"/>
              <w:jc w:val="left"/>
              <w:rPr>
                <w:rFonts w:ascii="宋体" w:hAnsi="宋体" w:cs="宋体" w:eastAsia="宋体" w:hint="default"/>
                <w:sz w:val="21"/>
                <w:szCs w:val="21"/>
              </w:rPr>
            </w:pPr>
            <w:r>
              <w:rPr>
                <w:rFonts w:ascii="宋体" w:hAnsi="宋体" w:cs="宋体" w:eastAsia="宋体" w:hint="default"/>
                <w:sz w:val="21"/>
                <w:szCs w:val="21"/>
              </w:rPr>
              <w:t>以及本年在建工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程转入固定资产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人民币</w:t>
            </w:r>
            <w:r>
              <w:rPr>
                <w:rFonts w:ascii="宋体" w:hAnsi="宋体" w:cs="宋体" w:eastAsia="宋体" w:hint="default"/>
                <w:spacing w:val="-102"/>
                <w:sz w:val="21"/>
                <w:szCs w:val="21"/>
              </w:rPr>
              <w:t> </w:t>
            </w:r>
            <w:r>
              <w:rPr>
                <w:rFonts w:ascii="宋体" w:hAnsi="宋体" w:cs="宋体" w:eastAsia="宋体" w:hint="default"/>
                <w:sz w:val="21"/>
                <w:szCs w:val="21"/>
              </w:rPr>
              <w:t>112,754,773</w:t>
            </w:r>
            <w:r>
              <w:rPr>
                <w:rFonts w:ascii="宋体" w:hAnsi="宋体" w:cs="宋体" w:eastAsia="宋体" w:hint="default"/>
                <w:spacing w:val="-52"/>
                <w:sz w:val="21"/>
                <w:szCs w:val="21"/>
              </w:rPr>
              <w:t> </w:t>
            </w:r>
            <w:r>
              <w:rPr>
                <w:rFonts w:ascii="宋体" w:hAnsi="宋体" w:cs="宋体" w:eastAsia="宋体" w:hint="default"/>
                <w:sz w:val="21"/>
                <w:szCs w:val="21"/>
              </w:rPr>
              <w:t>元</w:t>
            </w:r>
          </w:p>
          <w:p>
            <w:pPr>
              <w:pStyle w:val="TableParagraph"/>
              <w:spacing w:line="271" w:lineRule="exact"/>
              <w:ind w:left="98" w:right="0"/>
              <w:jc w:val="left"/>
              <w:rPr>
                <w:rFonts w:ascii="宋体" w:hAnsi="宋体" w:cs="宋体" w:eastAsia="宋体" w:hint="default"/>
                <w:sz w:val="21"/>
                <w:szCs w:val="21"/>
              </w:rPr>
            </w:pPr>
            <w:r>
              <w:rPr>
                <w:rFonts w:ascii="宋体" w:hAnsi="宋体" w:cs="宋体" w:eastAsia="宋体" w:hint="default"/>
                <w:sz w:val="21"/>
                <w:szCs w:val="21"/>
              </w:rPr>
              <w:t>所致。</w:t>
            </w:r>
          </w:p>
        </w:tc>
      </w:tr>
      <w:tr>
        <w:trPr>
          <w:trHeight w:val="288" w:hRule="exact"/>
        </w:trPr>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374,370,913</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6.1</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396,699,277</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7.3</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sz w:val="21"/>
              </w:rPr>
              <w:t>-5.6</w:t>
            </w: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1649" w:hRule="exact"/>
        </w:trPr>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40,310,781</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sz w:val="21"/>
              </w:rPr>
              <w:t>0.7</w:t>
            </w:r>
          </w:p>
        </w:tc>
        <w:tc>
          <w:tcPr>
            <w:tcW w:w="1582" w:type="dxa"/>
            <w:tcBorders>
              <w:top w:val="single" w:sz="6" w:space="0" w:color="000000"/>
              <w:left w:val="single" w:sz="6" w:space="0" w:color="000000"/>
              <w:bottom w:val="single" w:sz="6" w:space="0" w:color="000000"/>
              <w:right w:val="single" w:sz="6" w:space="0" w:color="000000"/>
            </w:tcBorders>
          </w:tcPr>
          <w:p>
            <w:pPr/>
          </w:p>
        </w:tc>
        <w:tc>
          <w:tcPr>
            <w:tcW w:w="1123"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主要是由于本年</w:t>
            </w:r>
          </w:p>
          <w:p>
            <w:pPr>
              <w:pStyle w:val="TableParagraph"/>
              <w:spacing w:line="237" w:lineRule="auto" w:before="2"/>
              <w:ind w:left="98" w:right="110" w:hanging="1"/>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宋体" w:hAnsi="宋体" w:cs="宋体" w:eastAsia="宋体" w:hint="default"/>
                <w:sz w:val="21"/>
                <w:szCs w:val="21"/>
              </w:rPr>
              <w:t>PaaS</w:t>
            </w:r>
            <w:r>
              <w:rPr>
                <w:rFonts w:ascii="宋体" w:hAnsi="宋体" w:cs="宋体" w:eastAsia="宋体" w:hint="default"/>
                <w:spacing w:val="-55"/>
                <w:sz w:val="21"/>
                <w:szCs w:val="21"/>
              </w:rPr>
              <w:t> </w:t>
            </w:r>
            <w:r>
              <w:rPr>
                <w:rFonts w:ascii="宋体" w:hAnsi="宋体" w:cs="宋体" w:eastAsia="宋体" w:hint="default"/>
                <w:sz w:val="21"/>
                <w:szCs w:val="21"/>
              </w:rPr>
              <w:t>云平</w:t>
            </w:r>
            <w:r>
              <w:rPr>
                <w:rFonts w:ascii="宋体" w:hAnsi="宋体" w:cs="宋体" w:eastAsia="宋体" w:hint="default"/>
                <w:spacing w:val="-103"/>
                <w:sz w:val="21"/>
                <w:szCs w:val="21"/>
              </w:rPr>
              <w:t> </w:t>
            </w:r>
            <w:r>
              <w:rPr>
                <w:rFonts w:ascii="宋体" w:hAnsi="宋体" w:cs="宋体" w:eastAsia="宋体" w:hint="default"/>
                <w:sz w:val="21"/>
                <w:szCs w:val="21"/>
              </w:rPr>
              <w:t>台等</w:t>
            </w:r>
            <w:r>
              <w:rPr>
                <w:rFonts w:ascii="宋体" w:hAnsi="宋体" w:cs="宋体" w:eastAsia="宋体" w:hint="default"/>
                <w:spacing w:val="-51"/>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个开发项</w:t>
            </w:r>
            <w:r>
              <w:rPr>
                <w:rFonts w:ascii="宋体" w:hAnsi="宋体" w:cs="宋体" w:eastAsia="宋体" w:hint="default"/>
                <w:w w:val="100"/>
                <w:sz w:val="21"/>
                <w:szCs w:val="21"/>
              </w:rPr>
              <w:t> </w:t>
            </w:r>
            <w:r>
              <w:rPr>
                <w:rFonts w:ascii="宋体" w:hAnsi="宋体" w:cs="宋体" w:eastAsia="宋体" w:hint="default"/>
                <w:sz w:val="21"/>
                <w:szCs w:val="21"/>
              </w:rPr>
              <w:t>目已进入到开发</w:t>
            </w:r>
            <w:r>
              <w:rPr>
                <w:rFonts w:ascii="宋体" w:hAnsi="宋体" w:cs="宋体" w:eastAsia="宋体" w:hint="default"/>
                <w:w w:val="100"/>
                <w:sz w:val="21"/>
                <w:szCs w:val="21"/>
              </w:rPr>
              <w:t> </w:t>
            </w:r>
            <w:r>
              <w:rPr>
                <w:rFonts w:ascii="宋体" w:hAnsi="宋体" w:cs="宋体" w:eastAsia="宋体" w:hint="default"/>
                <w:sz w:val="21"/>
                <w:szCs w:val="21"/>
              </w:rPr>
              <w:t>阶段、开始资本</w:t>
            </w:r>
            <w:r>
              <w:rPr>
                <w:rFonts w:ascii="宋体" w:hAnsi="宋体" w:cs="宋体" w:eastAsia="宋体" w:hint="default"/>
                <w:w w:val="100"/>
                <w:sz w:val="21"/>
                <w:szCs w:val="21"/>
              </w:rPr>
              <w:t> </w:t>
            </w:r>
            <w:r>
              <w:rPr>
                <w:rFonts w:ascii="宋体" w:hAnsi="宋体" w:cs="宋体" w:eastAsia="宋体" w:hint="default"/>
                <w:sz w:val="21"/>
                <w:szCs w:val="21"/>
              </w:rPr>
              <w:t>化所致。</w:t>
            </w:r>
          </w:p>
        </w:tc>
      </w:tr>
      <w:tr>
        <w:trPr>
          <w:trHeight w:val="437" w:hRule="exact"/>
        </w:trPr>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871,300,204</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14.2</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871,340,889</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16.0</w:t>
            </w:r>
          </w:p>
        </w:tc>
        <w:tc>
          <w:tcPr>
            <w:tcW w:w="1126" w:type="dxa"/>
            <w:tcBorders>
              <w:top w:val="single" w:sz="6" w:space="0" w:color="000000"/>
              <w:left w:val="single" w:sz="6" w:space="0" w:color="000000"/>
              <w:bottom w:val="single" w:sz="6" w:space="0" w:color="000000"/>
              <w:right w:val="single" w:sz="6" w:space="0" w:color="000000"/>
            </w:tcBorders>
          </w:tcPr>
          <w:p>
            <w:pP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72,302,533</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1.2</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68,313,588</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1.3</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5.8</w:t>
            </w: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830" w:hRule="exact"/>
        </w:trPr>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sz w:val="21"/>
              </w:rPr>
              <w:t>1,010,000,000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16.4</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490,000,000</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9.0</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106.1</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8" w:right="0" w:hanging="1"/>
              <w:jc w:val="left"/>
              <w:rPr>
                <w:rFonts w:ascii="宋体" w:hAnsi="宋体" w:cs="宋体" w:eastAsia="宋体" w:hint="default"/>
                <w:sz w:val="21"/>
                <w:szCs w:val="21"/>
              </w:rPr>
            </w:pPr>
            <w:r>
              <w:rPr>
                <w:rFonts w:ascii="宋体" w:hAnsi="宋体" w:cs="宋体" w:eastAsia="宋体" w:hint="default"/>
                <w:sz w:val="21"/>
                <w:szCs w:val="21"/>
              </w:rPr>
              <w:t>主要为</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40" w:lineRule="auto"/>
              <w:ind w:left="98" w:right="110"/>
              <w:jc w:val="left"/>
              <w:rPr>
                <w:rFonts w:ascii="宋体" w:hAnsi="宋体" w:cs="宋体" w:eastAsia="宋体" w:hint="default"/>
                <w:sz w:val="21"/>
                <w:szCs w:val="21"/>
              </w:rPr>
            </w:pPr>
            <w:r>
              <w:rPr>
                <w:rFonts w:ascii="宋体" w:hAnsi="宋体" w:cs="宋体" w:eastAsia="宋体" w:hint="default"/>
                <w:sz w:val="21"/>
                <w:szCs w:val="21"/>
              </w:rPr>
              <w:t>增加流动资金贷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款所致。</w:t>
            </w:r>
          </w:p>
        </w:tc>
      </w:tr>
      <w:tr>
        <w:trPr>
          <w:trHeight w:val="449" w:hRule="exact"/>
        </w:trPr>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96"/>
              <w:jc w:val="right"/>
              <w:rPr>
                <w:rFonts w:ascii="宋体" w:hAnsi="宋体" w:cs="宋体" w:eastAsia="宋体" w:hint="default"/>
                <w:sz w:val="21"/>
                <w:szCs w:val="21"/>
              </w:rPr>
            </w:pPr>
            <w:r>
              <w:rPr>
                <w:rFonts w:ascii="宋体"/>
                <w:spacing w:val="-1"/>
                <w:sz w:val="21"/>
              </w:rPr>
              <w:t>289,175,529</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4.7</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96"/>
              <w:jc w:val="right"/>
              <w:rPr>
                <w:rFonts w:ascii="宋体" w:hAnsi="宋体" w:cs="宋体" w:eastAsia="宋体" w:hint="default"/>
                <w:sz w:val="21"/>
                <w:szCs w:val="21"/>
              </w:rPr>
            </w:pPr>
            <w:r>
              <w:rPr>
                <w:rFonts w:ascii="宋体"/>
                <w:spacing w:val="-1"/>
                <w:sz w:val="21"/>
              </w:rPr>
              <w:t>227,014,672</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4.2</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sz w:val="21"/>
              </w:rPr>
              <w:t>27.4</w:t>
            </w:r>
          </w:p>
        </w:tc>
        <w:tc>
          <w:tcPr>
            <w:tcW w:w="169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52" w:footer="730" w:top="1020" w:bottom="920" w:left="1280" w:right="10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23" w:type="dxa"/>
        <w:tblLayout w:type="fixed"/>
        <w:tblCellMar>
          <w:top w:w="0" w:type="dxa"/>
          <w:left w:w="0" w:type="dxa"/>
          <w:bottom w:w="0" w:type="dxa"/>
          <w:right w:w="0" w:type="dxa"/>
        </w:tblCellMar>
        <w:tblLook w:val="01E0"/>
      </w:tblPr>
      <w:tblGrid>
        <w:gridCol w:w="1282"/>
        <w:gridCol w:w="1582"/>
        <w:gridCol w:w="970"/>
        <w:gridCol w:w="1582"/>
        <w:gridCol w:w="1123"/>
        <w:gridCol w:w="1126"/>
        <w:gridCol w:w="1699"/>
      </w:tblGrid>
      <w:tr>
        <w:trPr>
          <w:trHeight w:val="833" w:hRule="exact"/>
        </w:trPr>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532,385,527</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8.6</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386,945,061</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7.1</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37.6</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hanging="1"/>
              <w:jc w:val="left"/>
              <w:rPr>
                <w:rFonts w:ascii="宋体" w:hAnsi="宋体" w:cs="宋体" w:eastAsia="宋体" w:hint="default"/>
                <w:sz w:val="21"/>
                <w:szCs w:val="21"/>
              </w:rPr>
            </w:pPr>
            <w:r>
              <w:rPr>
                <w:rFonts w:ascii="宋体" w:hAnsi="宋体" w:cs="宋体" w:eastAsia="宋体" w:hint="default"/>
                <w:sz w:val="21"/>
                <w:szCs w:val="21"/>
              </w:rPr>
              <w:t>主要为公司本年</w:t>
            </w:r>
          </w:p>
          <w:p>
            <w:pPr>
              <w:pStyle w:val="TableParagraph"/>
              <w:spacing w:line="272" w:lineRule="exact" w:before="27"/>
              <w:ind w:left="98" w:right="110"/>
              <w:jc w:val="left"/>
              <w:rPr>
                <w:rFonts w:ascii="宋体" w:hAnsi="宋体" w:cs="宋体" w:eastAsia="宋体" w:hint="default"/>
                <w:sz w:val="21"/>
                <w:szCs w:val="21"/>
              </w:rPr>
            </w:pPr>
            <w:r>
              <w:rPr>
                <w:rFonts w:ascii="宋体" w:hAnsi="宋体" w:cs="宋体" w:eastAsia="宋体" w:hint="default"/>
                <w:sz w:val="21"/>
                <w:szCs w:val="21"/>
              </w:rPr>
              <w:t>加强签约质量和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收款管理所致。</w:t>
            </w:r>
          </w:p>
        </w:tc>
      </w:tr>
      <w:tr>
        <w:trPr>
          <w:trHeight w:val="559" w:hRule="exact"/>
        </w:trPr>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应付职工薪</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酬</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452,523,530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7.4</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96"/>
              <w:jc w:val="right"/>
              <w:rPr>
                <w:rFonts w:ascii="宋体" w:hAnsi="宋体" w:cs="宋体" w:eastAsia="宋体" w:hint="default"/>
                <w:sz w:val="21"/>
                <w:szCs w:val="21"/>
              </w:rPr>
            </w:pPr>
            <w:r>
              <w:rPr>
                <w:rFonts w:ascii="宋体"/>
                <w:spacing w:val="-1"/>
                <w:sz w:val="21"/>
              </w:rPr>
              <w:t>501,191,931</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9.2</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-9.7</w:t>
            </w: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248,120,009</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346,597,557</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6.3</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-28.4</w:t>
            </w: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202,230,359</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3.3</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258,500,441</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4.7</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-21.8</w:t>
            </w: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0" w:right="110"/>
              <w:jc w:val="both"/>
              <w:rPr>
                <w:rFonts w:ascii="宋体" w:hAnsi="宋体" w:cs="宋体" w:eastAsia="宋体" w:hint="default"/>
                <w:sz w:val="21"/>
                <w:szCs w:val="21"/>
              </w:rPr>
            </w:pPr>
            <w:r>
              <w:rPr>
                <w:rFonts w:ascii="宋体" w:hAnsi="宋体" w:cs="宋体" w:eastAsia="宋体" w:hint="default"/>
                <w:sz w:val="21"/>
                <w:szCs w:val="21"/>
              </w:rPr>
              <w:t>一年内到期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的非流动负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债</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120,571,200</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sz w:val="21"/>
              </w:rPr>
              <w:t>2.0</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14,240,000</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sz w:val="21"/>
              </w:rPr>
              <w:t>0.3</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sz w:val="21"/>
              </w:rPr>
              <w:t>746.7</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主要是由于公司</w:t>
            </w:r>
          </w:p>
          <w:p>
            <w:pPr>
              <w:pStyle w:val="TableParagraph"/>
              <w:spacing w:line="272" w:lineRule="exact"/>
              <w:ind w:left="98" w:right="0"/>
              <w:jc w:val="left"/>
              <w:rPr>
                <w:rFonts w:ascii="宋体" w:hAnsi="宋体" w:cs="宋体" w:eastAsia="宋体" w:hint="default"/>
                <w:sz w:val="21"/>
                <w:szCs w:val="21"/>
              </w:rPr>
            </w:pPr>
            <w:r>
              <w:rPr>
                <w:rFonts w:ascii="宋体" w:hAnsi="宋体" w:cs="宋体" w:eastAsia="宋体" w:hint="default"/>
                <w:sz w:val="21"/>
                <w:szCs w:val="21"/>
              </w:rPr>
              <w:t>长期借款人民币</w:t>
            </w:r>
          </w:p>
          <w:p>
            <w:pPr>
              <w:pStyle w:val="TableParagraph"/>
              <w:spacing w:line="272" w:lineRule="exact"/>
              <w:ind w:left="98" w:right="0"/>
              <w:jc w:val="left"/>
              <w:rPr>
                <w:rFonts w:ascii="宋体" w:hAnsi="宋体" w:cs="宋体" w:eastAsia="宋体" w:hint="default"/>
                <w:sz w:val="21"/>
                <w:szCs w:val="21"/>
              </w:rPr>
            </w:pPr>
            <w:r>
              <w:rPr>
                <w:rFonts w:ascii="宋体" w:hAnsi="宋体" w:cs="宋体" w:eastAsia="宋体" w:hint="default"/>
                <w:sz w:val="21"/>
                <w:szCs w:val="21"/>
              </w:rPr>
              <w:t>100,000,000</w:t>
            </w:r>
            <w:r>
              <w:rPr>
                <w:rFonts w:ascii="宋体" w:hAnsi="宋体" w:cs="宋体" w:eastAsia="宋体" w:hint="default"/>
                <w:spacing w:val="-52"/>
                <w:sz w:val="21"/>
                <w:szCs w:val="21"/>
              </w:rPr>
              <w:t> </w:t>
            </w:r>
            <w:r>
              <w:rPr>
                <w:rFonts w:ascii="宋体" w:hAnsi="宋体" w:cs="宋体" w:eastAsia="宋体" w:hint="default"/>
                <w:sz w:val="21"/>
                <w:szCs w:val="21"/>
              </w:rPr>
              <w:t>元</w:t>
            </w:r>
          </w:p>
          <w:p>
            <w:pPr>
              <w:pStyle w:val="TableParagraph"/>
              <w:spacing w:line="272" w:lineRule="exact" w:before="26"/>
              <w:ind w:left="98" w:right="216"/>
              <w:jc w:val="left"/>
              <w:rPr>
                <w:rFonts w:ascii="宋体" w:hAnsi="宋体" w:cs="宋体" w:eastAsia="宋体" w:hint="default"/>
                <w:sz w:val="21"/>
                <w:szCs w:val="21"/>
              </w:rPr>
            </w:pPr>
            <w:r>
              <w:rPr>
                <w:rFonts w:ascii="宋体" w:hAnsi="宋体" w:cs="宋体" w:eastAsia="宋体" w:hint="default"/>
                <w:sz w:val="21"/>
                <w:szCs w:val="21"/>
              </w:rPr>
              <w:t>将于</w:t>
            </w:r>
            <w:r>
              <w:rPr>
                <w:rFonts w:ascii="宋体" w:hAnsi="宋体" w:cs="宋体" w:eastAsia="宋体" w:hint="default"/>
                <w:spacing w:val="-52"/>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年到</w:t>
            </w:r>
            <w:r>
              <w:rPr>
                <w:rFonts w:ascii="宋体" w:hAnsi="宋体" w:cs="宋体" w:eastAsia="宋体" w:hint="default"/>
                <w:w w:val="100"/>
                <w:sz w:val="21"/>
                <w:szCs w:val="21"/>
              </w:rPr>
              <w:t> </w:t>
            </w:r>
            <w:r>
              <w:rPr>
                <w:rFonts w:ascii="宋体" w:hAnsi="宋体" w:cs="宋体" w:eastAsia="宋体" w:hint="default"/>
                <w:sz w:val="21"/>
                <w:szCs w:val="21"/>
              </w:rPr>
              <w:t>期所致。</w:t>
            </w:r>
          </w:p>
        </w:tc>
      </w:tr>
      <w:tr>
        <w:trPr>
          <w:trHeight w:val="288" w:hRule="exact"/>
        </w:trPr>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158,763,319</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2.6</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180,000,000</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3.3</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-11.8</w:t>
            </w:r>
          </w:p>
        </w:tc>
        <w:tc>
          <w:tcPr>
            <w:tcW w:w="1699" w:type="dxa"/>
            <w:tcBorders>
              <w:top w:val="single" w:sz="6" w:space="0" w:color="000000"/>
              <w:left w:val="single" w:sz="6" w:space="0" w:color="000000"/>
              <w:bottom w:val="single" w:sz="6" w:space="0" w:color="000000"/>
              <w:right w:val="single" w:sz="6" w:space="0" w:color="000000"/>
            </w:tcBorders>
          </w:tcPr>
          <w:p>
            <w:pPr/>
          </w:p>
        </w:tc>
      </w:tr>
      <w:tr>
        <w:trPr>
          <w:trHeight w:val="1378" w:hRule="exact"/>
        </w:trPr>
        <w:tc>
          <w:tcPr>
            <w:tcW w:w="12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49,757,234</w:t>
            </w:r>
          </w:p>
        </w:tc>
        <w:tc>
          <w:tcPr>
            <w:tcW w:w="9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sz w:val="21"/>
              </w:rPr>
              <w:t>0.8</w:t>
            </w:r>
          </w:p>
        </w:tc>
        <w:tc>
          <w:tcPr>
            <w:tcW w:w="1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pacing w:val="-1"/>
                <w:sz w:val="21"/>
              </w:rPr>
              <w:t>10,502,234</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sz w:val="21"/>
              </w:rPr>
              <w:t>0.2</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sz w:val="21"/>
              </w:rPr>
              <w:t>373.8</w:t>
            </w:r>
          </w:p>
        </w:tc>
        <w:tc>
          <w:tcPr>
            <w:tcW w:w="169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8" w:right="0"/>
              <w:jc w:val="both"/>
              <w:rPr>
                <w:rFonts w:ascii="宋体" w:hAnsi="宋体" w:cs="宋体" w:eastAsia="宋体" w:hint="default"/>
                <w:sz w:val="21"/>
                <w:szCs w:val="21"/>
              </w:rPr>
            </w:pPr>
            <w:r>
              <w:rPr>
                <w:rFonts w:ascii="宋体" w:hAnsi="宋体" w:cs="宋体" w:eastAsia="宋体" w:hint="default"/>
                <w:sz w:val="21"/>
                <w:szCs w:val="21"/>
              </w:rPr>
              <w:t>主要是由于公司</w:t>
            </w:r>
          </w:p>
          <w:p>
            <w:pPr>
              <w:pStyle w:val="TableParagraph"/>
              <w:spacing w:line="237" w:lineRule="auto"/>
              <w:ind w:left="98" w:right="110"/>
              <w:jc w:val="both"/>
              <w:rPr>
                <w:rFonts w:ascii="宋体" w:hAnsi="宋体" w:cs="宋体" w:eastAsia="宋体" w:hint="default"/>
                <w:sz w:val="21"/>
                <w:szCs w:val="21"/>
              </w:rPr>
            </w:pPr>
            <w:r>
              <w:rPr>
                <w:rFonts w:ascii="宋体" w:hAnsi="宋体" w:cs="宋体" w:eastAsia="宋体" w:hint="default"/>
                <w:sz w:val="21"/>
                <w:szCs w:val="21"/>
              </w:rPr>
              <w:t>本年收到的政府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部门拨付的用于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科研开发的经费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增加所致。</w:t>
            </w:r>
          </w:p>
        </w:tc>
      </w:tr>
    </w:tbl>
    <w:p>
      <w:pPr>
        <w:pStyle w:val="Heading2"/>
        <w:spacing w:line="240" w:lineRule="auto" w:before="82"/>
        <w:ind w:left="620" w:right="0"/>
        <w:jc w:val="left"/>
        <w:rPr>
          <w:b w:val="0"/>
          <w:bCs w:val="0"/>
        </w:rPr>
      </w:pPr>
      <w:r>
        <w:rPr>
          <w:rFonts w:ascii="宋体" w:hAnsi="宋体" w:cs="宋体" w:eastAsia="宋体" w:hint="default"/>
        </w:rPr>
        <w:t>2</w:t>
      </w:r>
      <w:r>
        <w:rPr/>
        <w:t>、公司不存在公允价值计量资产、主要资产计量属性变化的情况。</w:t>
      </w:r>
      <w:r>
        <w:rPr>
          <w:b w:val="0"/>
          <w:bCs w:val="0"/>
        </w:rPr>
      </w:r>
    </w:p>
    <w:p>
      <w:pPr>
        <w:spacing w:line="388" w:lineRule="auto" w:before="194"/>
        <w:ind w:left="618" w:right="0" w:firstLine="2"/>
        <w:jc w:val="left"/>
        <w:rPr>
          <w:rFonts w:ascii="宋体" w:hAnsi="宋体" w:cs="宋体" w:eastAsia="宋体" w:hint="default"/>
          <w:sz w:val="24"/>
          <w:szCs w:val="24"/>
        </w:rPr>
      </w:pPr>
      <w:r>
        <w:rPr>
          <w:rFonts w:ascii="宋体" w:hAnsi="宋体" w:cs="宋体" w:eastAsia="宋体" w:hint="default"/>
          <w:b/>
          <w:bCs/>
          <w:sz w:val="24"/>
          <w:szCs w:val="24"/>
        </w:rPr>
        <w:t>（五） 核心竞争力分析</w:t>
      </w:r>
      <w:r>
        <w:rPr>
          <w:rFonts w:ascii="宋体" w:hAnsi="宋体" w:cs="宋体" w:eastAsia="宋体" w:hint="default"/>
          <w:b/>
          <w:bCs/>
          <w:w w:val="99"/>
          <w:sz w:val="24"/>
          <w:szCs w:val="24"/>
        </w:rPr>
        <w:t> </w:t>
      </w:r>
      <w:r>
        <w:rPr>
          <w:rFonts w:ascii="宋体" w:hAnsi="宋体" w:cs="宋体" w:eastAsia="宋体" w:hint="default"/>
          <w:spacing w:val="-2"/>
          <w:sz w:val="24"/>
          <w:szCs w:val="24"/>
        </w:rPr>
        <w:t>参见“二、董事会关于公司未来发展的讨论与分析”中“（一）、</w:t>
      </w:r>
      <w:r>
        <w:rPr>
          <w:rFonts w:ascii="宋体" w:hAnsi="宋体" w:cs="宋体" w:eastAsia="宋体" w:hint="default"/>
          <w:spacing w:val="-2"/>
          <w:sz w:val="24"/>
          <w:szCs w:val="24"/>
        </w:rPr>
        <w:t>3</w:t>
      </w:r>
      <w:r>
        <w:rPr>
          <w:rFonts w:ascii="宋体" w:hAnsi="宋体" w:cs="宋体" w:eastAsia="宋体" w:hint="default"/>
          <w:spacing w:val="-2"/>
          <w:sz w:val="24"/>
          <w:szCs w:val="24"/>
        </w:rPr>
        <w:t>、公司主要的竞</w:t>
      </w:r>
    </w:p>
    <w:p>
      <w:pPr>
        <w:pStyle w:val="Heading3"/>
        <w:spacing w:line="240" w:lineRule="exact" w:before="0"/>
        <w:ind w:right="0"/>
        <w:jc w:val="left"/>
      </w:pPr>
      <w:r>
        <w:rPr/>
        <w:t>争优势”部分。</w:t>
      </w:r>
    </w:p>
    <w:p>
      <w:pPr>
        <w:pStyle w:val="Heading2"/>
        <w:spacing w:line="240" w:lineRule="auto" w:before="194"/>
        <w:ind w:left="620" w:right="0"/>
        <w:jc w:val="left"/>
        <w:rPr>
          <w:b w:val="0"/>
          <w:bCs w:val="0"/>
        </w:rPr>
      </w:pPr>
      <w:r>
        <w:rPr/>
        <w:t>（六）投资状况分析</w:t>
      </w:r>
      <w:r>
        <w:rPr>
          <w:b w:val="0"/>
          <w:bCs w:val="0"/>
        </w:rPr>
      </w:r>
    </w:p>
    <w:p>
      <w:pPr>
        <w:spacing w:line="388" w:lineRule="auto" w:before="194"/>
        <w:ind w:left="618" w:right="348" w:firstLine="124"/>
        <w:jc w:val="left"/>
        <w:rPr>
          <w:rFonts w:ascii="宋体" w:hAnsi="宋体" w:cs="宋体" w:eastAsia="宋体" w:hint="default"/>
          <w:sz w:val="24"/>
          <w:szCs w:val="24"/>
        </w:rPr>
      </w:pPr>
      <w:r>
        <w:rPr>
          <w:rFonts w:ascii="宋体" w:hAnsi="宋体" w:cs="宋体" w:eastAsia="宋体" w:hint="default"/>
          <w:b/>
          <w:bCs/>
          <w:sz w:val="24"/>
          <w:szCs w:val="24"/>
        </w:rPr>
        <w:t>1</w:t>
      </w:r>
      <w:r>
        <w:rPr>
          <w:rFonts w:ascii="宋体" w:hAnsi="宋体" w:cs="宋体" w:eastAsia="宋体" w:hint="default"/>
          <w:b/>
          <w:bCs/>
          <w:sz w:val="24"/>
          <w:szCs w:val="24"/>
        </w:rPr>
        <w:t>、对外股权投资情况</w:t>
      </w:r>
      <w:r>
        <w:rPr>
          <w:rFonts w:ascii="宋体" w:hAnsi="宋体" w:cs="宋体" w:eastAsia="宋体" w:hint="default"/>
          <w:b/>
          <w:bCs/>
          <w:w w:val="99"/>
          <w:sz w:val="24"/>
          <w:szCs w:val="24"/>
        </w:rPr>
        <w:t> </w:t>
      </w:r>
      <w:r>
        <w:rPr>
          <w:rFonts w:ascii="宋体" w:hAnsi="宋体" w:cs="宋体" w:eastAsia="宋体" w:hint="default"/>
          <w:sz w:val="24"/>
          <w:szCs w:val="24"/>
        </w:rPr>
        <w:t>公司全资子公司北京用友幸福投资管理有限公司管理的北京用友创新投资中心（有</w:t>
      </w:r>
    </w:p>
    <w:p>
      <w:pPr>
        <w:pStyle w:val="Heading3"/>
        <w:spacing w:line="240" w:lineRule="exact" w:before="0"/>
        <w:ind w:right="0"/>
        <w:jc w:val="left"/>
        <w:rPr>
          <w:rFonts w:ascii="宋体" w:hAnsi="宋体" w:cs="宋体" w:eastAsia="宋体" w:hint="default"/>
        </w:rPr>
      </w:pPr>
      <w:r>
        <w:rPr/>
        <w:t>限合伙）于</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月以增资方式投资北京家酷天成商贸有限公司，投资金额为</w:t>
      </w:r>
      <w:r>
        <w:rPr>
          <w:spacing w:val="-60"/>
        </w:rPr>
        <w:t> </w:t>
      </w:r>
      <w:r>
        <w:rPr>
          <w:rFonts w:ascii="宋体" w:hAnsi="宋体" w:cs="宋体" w:eastAsia="宋体" w:hint="default"/>
        </w:rPr>
        <w:t>200</w:t>
      </w:r>
    </w:p>
    <w:p>
      <w:pPr>
        <w:spacing w:line="391" w:lineRule="auto" w:before="74"/>
        <w:ind w:left="620" w:right="4046" w:hanging="483"/>
        <w:jc w:val="left"/>
        <w:rPr>
          <w:rFonts w:ascii="宋体" w:hAnsi="宋体" w:cs="宋体" w:eastAsia="宋体" w:hint="default"/>
          <w:sz w:val="24"/>
          <w:szCs w:val="24"/>
        </w:rPr>
      </w:pPr>
      <w:r>
        <w:rPr>
          <w:rFonts w:ascii="宋体" w:hAnsi="宋体" w:cs="宋体" w:eastAsia="宋体" w:hint="default"/>
          <w:sz w:val="24"/>
          <w:szCs w:val="24"/>
        </w:rPr>
        <w:t>万元，增资后所持的股权比例低于</w:t>
      </w:r>
      <w:r>
        <w:rPr>
          <w:rFonts w:ascii="宋体" w:hAnsi="宋体" w:cs="宋体" w:eastAsia="宋体" w:hint="default"/>
          <w:spacing w:val="-60"/>
          <w:sz w:val="24"/>
          <w:szCs w:val="24"/>
        </w:rPr>
        <w:t> </w:t>
      </w:r>
      <w:r>
        <w:rPr>
          <w:rFonts w:ascii="宋体" w:hAnsi="宋体" w:cs="宋体" w:eastAsia="宋体" w:hint="default"/>
          <w:sz w:val="24"/>
          <w:szCs w:val="24"/>
        </w:rPr>
        <w:t>20%</w:t>
      </w:r>
      <w:r>
        <w:rPr>
          <w:rFonts w:ascii="宋体" w:hAnsi="宋体" w:cs="宋体" w:eastAsia="宋体" w:hint="default"/>
          <w:sz w:val="24"/>
          <w:szCs w:val="24"/>
        </w:rPr>
        <w:t>。 </w:t>
      </w:r>
      <w:r>
        <w:rPr>
          <w:rFonts w:ascii="宋体" w:hAnsi="宋体" w:cs="宋体" w:eastAsia="宋体" w:hint="default"/>
          <w:b/>
          <w:bCs/>
          <w:sz w:val="24"/>
          <w:szCs w:val="24"/>
        </w:rPr>
        <w:t>2</w:t>
      </w:r>
      <w:r>
        <w:rPr>
          <w:rFonts w:ascii="宋体" w:hAnsi="宋体" w:cs="宋体" w:eastAsia="宋体" w:hint="default"/>
          <w:b/>
          <w:bCs/>
          <w:sz w:val="24"/>
          <w:szCs w:val="24"/>
        </w:rPr>
        <w:t>、非金融类公司委托理财及衍生品投资的情况</w:t>
      </w:r>
      <w:r>
        <w:rPr>
          <w:rFonts w:ascii="宋体" w:hAnsi="宋体" w:cs="宋体" w:eastAsia="宋体" w:hint="default"/>
          <w:sz w:val="24"/>
          <w:szCs w:val="24"/>
        </w:rPr>
      </w:r>
    </w:p>
    <w:p>
      <w:pPr>
        <w:pStyle w:val="Heading3"/>
        <w:spacing w:line="388" w:lineRule="auto" w:before="43"/>
        <w:ind w:left="738" w:right="5748" w:hanging="120"/>
        <w:jc w:val="left"/>
      </w:pPr>
      <w:r>
        <w:rPr/>
        <w:t>（</w:t>
      </w:r>
      <w:r>
        <w:rPr>
          <w:rFonts w:ascii="宋体" w:hAnsi="宋体" w:cs="宋体" w:eastAsia="宋体" w:hint="default"/>
        </w:rPr>
        <w:t>1</w:t>
      </w:r>
      <w:r>
        <w:rPr/>
        <w:t>） 委托理财情况 本年度公司无委托理财事项。</w:t>
      </w:r>
    </w:p>
    <w:p>
      <w:pPr>
        <w:spacing w:line="388" w:lineRule="auto" w:before="46"/>
        <w:ind w:left="618" w:right="5388" w:firstLine="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 委托贷款情况 报告期内，公司无委托贷款事项。 </w:t>
      </w:r>
      <w:r>
        <w:rPr>
          <w:rFonts w:ascii="宋体" w:hAnsi="宋体" w:cs="宋体" w:eastAsia="宋体" w:hint="default"/>
          <w:b/>
          <w:bCs/>
          <w:sz w:val="24"/>
          <w:szCs w:val="24"/>
        </w:rPr>
        <w:t>3</w:t>
      </w:r>
      <w:r>
        <w:rPr>
          <w:rFonts w:ascii="宋体" w:hAnsi="宋体" w:cs="宋体" w:eastAsia="宋体" w:hint="default"/>
          <w:b/>
          <w:bCs/>
          <w:sz w:val="24"/>
          <w:szCs w:val="24"/>
        </w:rPr>
        <w:t>、募集资金使用情况</w:t>
      </w:r>
      <w:r>
        <w:rPr>
          <w:rFonts w:ascii="宋体" w:hAnsi="宋体" w:cs="宋体" w:eastAsia="宋体" w:hint="default"/>
          <w:sz w:val="24"/>
          <w:szCs w:val="24"/>
        </w:rPr>
      </w:r>
    </w:p>
    <w:p>
      <w:pPr>
        <w:pStyle w:val="Heading3"/>
        <w:spacing w:line="240" w:lineRule="auto" w:before="46"/>
        <w:ind w:left="618" w:right="0"/>
        <w:jc w:val="left"/>
      </w:pPr>
      <w:r>
        <w:rPr/>
        <w:t>报告期内，公司无募集资金或前期募集资金使用到本期的情况。</w:t>
      </w:r>
    </w:p>
    <w:p>
      <w:pPr>
        <w:pStyle w:val="Heading3"/>
        <w:spacing w:line="297" w:lineRule="auto" w:before="194"/>
        <w:ind w:right="288" w:firstLine="480"/>
        <w:jc w:val="left"/>
      </w:pPr>
      <w:r>
        <w:rPr/>
        <w:t>公司于</w:t>
      </w:r>
      <w:r>
        <w:rPr>
          <w:spacing w:val="-60"/>
        </w:rPr>
        <w:t> </w:t>
      </w:r>
      <w:r>
        <w:rPr>
          <w:rFonts w:ascii="宋体" w:hAnsi="宋体" w:cs="宋体" w:eastAsia="宋体" w:hint="default"/>
        </w:rPr>
        <w:t>2001</w:t>
      </w:r>
      <w:r>
        <w:rPr>
          <w:rFonts w:ascii="宋体" w:hAnsi="宋体" w:cs="宋体" w:eastAsia="宋体" w:hint="default"/>
          <w:spacing w:val="-60"/>
        </w:rPr>
        <w:t> </w:t>
      </w:r>
      <w:r>
        <w:rPr/>
        <w:t>年通过首次发行募集资金</w:t>
      </w:r>
      <w:r>
        <w:rPr>
          <w:spacing w:val="-60"/>
        </w:rPr>
        <w:t> </w:t>
      </w:r>
      <w:r>
        <w:rPr>
          <w:rFonts w:ascii="宋体" w:hAnsi="宋体" w:cs="宋体" w:eastAsia="宋体" w:hint="default"/>
        </w:rPr>
        <w:t>88,750</w:t>
      </w:r>
      <w:r>
        <w:rPr>
          <w:rFonts w:ascii="宋体" w:hAnsi="宋体" w:cs="宋体" w:eastAsia="宋体" w:hint="default"/>
          <w:spacing w:val="-60"/>
        </w:rPr>
        <w:t> </w:t>
      </w:r>
      <w:r>
        <w:rPr>
          <w:spacing w:val="-12"/>
        </w:rPr>
        <w:t>万元，截至</w:t>
      </w:r>
      <w:r>
        <w:rPr>
          <w:spacing w:val="-60"/>
        </w:rPr>
        <w:t> </w:t>
      </w:r>
      <w:r>
        <w:rPr>
          <w:rFonts w:ascii="宋体" w:hAnsi="宋体" w:cs="宋体" w:eastAsia="宋体" w:hint="default"/>
        </w:rPr>
        <w:t>2006</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日公司募 集资金已全部使用完毕。</w:t>
      </w:r>
    </w:p>
    <w:p>
      <w:pPr>
        <w:pStyle w:val="Heading2"/>
        <w:spacing w:line="240" w:lineRule="auto" w:before="139"/>
        <w:ind w:left="620" w:right="0"/>
        <w:jc w:val="left"/>
        <w:rPr>
          <w:b w:val="0"/>
          <w:bCs w:val="0"/>
        </w:rPr>
      </w:pPr>
      <w:r>
        <w:rPr/>
        <w:t>（七）主要子公司、参股公司分析</w:t>
      </w:r>
      <w:r>
        <w:rPr>
          <w:b w:val="0"/>
          <w:bCs w:val="0"/>
        </w:rPr>
      </w:r>
    </w:p>
    <w:p>
      <w:pPr>
        <w:spacing w:after="0" w:line="240" w:lineRule="auto"/>
        <w:jc w:val="left"/>
        <w:sectPr>
          <w:pgSz w:w="11910" w:h="16850"/>
          <w:pgMar w:header="752" w:footer="730" w:top="1020" w:bottom="920" w:left="1280" w:right="1000"/>
        </w:sectPr>
      </w:pPr>
    </w:p>
    <w:p>
      <w:pPr>
        <w:spacing w:line="240" w:lineRule="auto" w:before="2"/>
        <w:rPr>
          <w:rFonts w:ascii="宋体" w:hAnsi="宋体" w:cs="宋体" w:eastAsia="宋体" w:hint="default"/>
          <w:b/>
          <w:bCs/>
          <w:sz w:val="26"/>
          <w:szCs w:val="26"/>
        </w:rPr>
      </w:pPr>
    </w:p>
    <w:p>
      <w:pPr>
        <w:pStyle w:val="Heading5"/>
        <w:spacing w:line="240" w:lineRule="auto"/>
        <w:ind w:right="640"/>
        <w:jc w:val="right"/>
      </w:pPr>
      <w:r>
        <w:rPr/>
        <w:t>单位</w:t>
      </w:r>
      <w:r>
        <w:rPr>
          <w:rFonts w:ascii="宋体" w:hAnsi="宋体" w:cs="宋体" w:eastAsia="宋体" w:hint="default"/>
        </w:rPr>
        <w:t>:</w:t>
      </w:r>
      <w:r>
        <w:rPr/>
        <w:t>元</w:t>
      </w:r>
      <w:r>
        <w:rPr>
          <w:spacing w:val="-5"/>
        </w:rPr>
        <w:t> </w:t>
      </w:r>
      <w:r>
        <w:rPr/>
        <w:t>币种</w:t>
      </w:r>
      <w:r>
        <w:rPr>
          <w:rFonts w:ascii="宋体" w:hAnsi="宋体" w:cs="宋体" w:eastAsia="宋体" w:hint="default"/>
        </w:rPr>
        <w:t>:</w:t>
      </w:r>
      <w:r>
        <w:rPr/>
        <w:t>人民币</w:t>
      </w:r>
    </w:p>
    <w:p>
      <w:pPr>
        <w:spacing w:line="240" w:lineRule="auto" w:before="11"/>
        <w:rPr>
          <w:rFonts w:ascii="宋体" w:hAnsi="宋体" w:cs="宋体" w:eastAsia="宋体" w:hint="default"/>
          <w:sz w:val="16"/>
          <w:szCs w:val="16"/>
        </w:rPr>
      </w:pPr>
    </w:p>
    <w:tbl>
      <w:tblPr>
        <w:tblW w:w="0" w:type="auto"/>
        <w:jc w:val="left"/>
        <w:tblInd w:w="107" w:type="dxa"/>
        <w:tblLayout w:type="fixed"/>
        <w:tblCellMar>
          <w:top w:w="0" w:type="dxa"/>
          <w:left w:w="0" w:type="dxa"/>
          <w:bottom w:w="0" w:type="dxa"/>
          <w:right w:w="0" w:type="dxa"/>
        </w:tblCellMar>
        <w:tblLook w:val="01E0"/>
      </w:tblPr>
      <w:tblGrid>
        <w:gridCol w:w="1291"/>
        <w:gridCol w:w="1274"/>
        <w:gridCol w:w="1037"/>
        <w:gridCol w:w="1704"/>
        <w:gridCol w:w="804"/>
        <w:gridCol w:w="1274"/>
        <w:gridCol w:w="1214"/>
        <w:gridCol w:w="1243"/>
      </w:tblGrid>
      <w:tr>
        <w:trPr>
          <w:trHeight w:val="117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240" w:right="151" w:hanging="89"/>
              <w:jc w:val="left"/>
              <w:rPr>
                <w:rFonts w:ascii="宋体" w:hAnsi="宋体" w:cs="宋体" w:eastAsia="宋体" w:hint="default"/>
                <w:sz w:val="18"/>
                <w:szCs w:val="18"/>
              </w:rPr>
            </w:pPr>
            <w:r>
              <w:rPr>
                <w:rFonts w:ascii="宋体" w:hAnsi="宋体" w:cs="宋体" w:eastAsia="宋体" w:hint="default"/>
                <w:b/>
                <w:bCs/>
                <w:sz w:val="18"/>
                <w:szCs w:val="18"/>
              </w:rPr>
              <w:t>主要产品</w:t>
            </w:r>
            <w:r>
              <w:rPr>
                <w:rFonts w:ascii="宋体" w:hAnsi="宋体" w:cs="宋体" w:eastAsia="宋体" w:hint="default"/>
                <w:b/>
                <w:bCs/>
                <w:w w:val="99"/>
                <w:sz w:val="18"/>
                <w:szCs w:val="18"/>
              </w:rPr>
              <w:t> </w:t>
            </w:r>
            <w:r>
              <w:rPr>
                <w:rFonts w:ascii="宋体" w:hAnsi="宋体" w:cs="宋体" w:eastAsia="宋体" w:hint="default"/>
                <w:b/>
                <w:bCs/>
                <w:sz w:val="18"/>
                <w:szCs w:val="18"/>
              </w:rPr>
              <w:t>或服务</w:t>
            </w:r>
            <w:r>
              <w:rPr>
                <w:rFonts w:ascii="宋体" w:hAnsi="宋体" w:cs="宋体" w:eastAsia="宋体" w:hint="default"/>
                <w:sz w:val="18"/>
                <w:szCs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24" w:right="125"/>
              <w:jc w:val="both"/>
              <w:rPr>
                <w:rFonts w:ascii="宋体" w:hAnsi="宋体" w:cs="宋体" w:eastAsia="宋体" w:hint="default"/>
                <w:sz w:val="18"/>
                <w:szCs w:val="18"/>
              </w:rPr>
            </w:pPr>
            <w:r>
              <w:rPr>
                <w:rFonts w:ascii="宋体" w:hAnsi="宋体" w:cs="宋体" w:eastAsia="宋体" w:hint="default"/>
                <w:b/>
                <w:bCs/>
                <w:sz w:val="18"/>
                <w:szCs w:val="18"/>
              </w:rPr>
              <w:t>公司直</w:t>
            </w:r>
            <w:r>
              <w:rPr>
                <w:rFonts w:ascii="宋体" w:hAnsi="宋体" w:cs="宋体" w:eastAsia="宋体" w:hint="default"/>
                <w:b/>
                <w:bCs/>
                <w:w w:val="99"/>
                <w:sz w:val="18"/>
                <w:szCs w:val="18"/>
              </w:rPr>
              <w:t> </w:t>
            </w:r>
            <w:r>
              <w:rPr>
                <w:rFonts w:ascii="宋体" w:hAnsi="宋体" w:cs="宋体" w:eastAsia="宋体" w:hint="default"/>
                <w:b/>
                <w:bCs/>
                <w:sz w:val="18"/>
                <w:szCs w:val="18"/>
              </w:rPr>
              <w:t>接持股</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12" w:lineRule="exact"/>
              <w:ind w:left="170" w:right="0"/>
              <w:jc w:val="both"/>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32" w:lineRule="exact"/>
              <w:ind w:left="540" w:right="182" w:hanging="363"/>
              <w:jc w:val="left"/>
              <w:rPr>
                <w:rFonts w:ascii="宋体" w:hAnsi="宋体" w:cs="宋体" w:eastAsia="宋体" w:hint="default"/>
                <w:sz w:val="18"/>
                <w:szCs w:val="18"/>
              </w:rPr>
            </w:pPr>
            <w:r>
              <w:rPr>
                <w:rFonts w:ascii="宋体" w:hAnsi="宋体" w:cs="宋体" w:eastAsia="宋体" w:hint="default"/>
                <w:b/>
                <w:bCs/>
                <w:sz w:val="18"/>
                <w:szCs w:val="18"/>
              </w:rPr>
              <w:t>主营业务收</w:t>
            </w:r>
            <w:r>
              <w:rPr>
                <w:rFonts w:ascii="宋体" w:hAnsi="宋体" w:cs="宋体" w:eastAsia="宋体" w:hint="default"/>
                <w:b/>
                <w:bCs/>
                <w:w w:val="99"/>
                <w:sz w:val="18"/>
                <w:szCs w:val="18"/>
              </w:rPr>
              <w:t> </w:t>
            </w:r>
            <w:r>
              <w:rPr>
                <w:rFonts w:ascii="宋体" w:hAnsi="宋体" w:cs="宋体" w:eastAsia="宋体" w:hint="default"/>
                <w:b/>
                <w:bCs/>
                <w:sz w:val="18"/>
                <w:szCs w:val="18"/>
              </w:rPr>
              <w:t>入</w:t>
            </w:r>
            <w:r>
              <w:rPr>
                <w:rFonts w:ascii="宋体" w:hAnsi="宋体" w:cs="宋体" w:eastAsia="宋体" w:hint="default"/>
                <w:sz w:val="18"/>
                <w:szCs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b/>
                <w:bCs/>
                <w:sz w:val="18"/>
                <w:szCs w:val="18"/>
              </w:rPr>
              <w:t>总资产</w:t>
            </w:r>
            <w:r>
              <w:rPr>
                <w:rFonts w:ascii="宋体" w:hAnsi="宋体" w:cs="宋体" w:eastAsia="宋体" w:hint="default"/>
                <w:sz w:val="18"/>
                <w:szCs w:val="18"/>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（净损失）</w:t>
            </w:r>
            <w:r>
              <w:rPr>
                <w:rFonts w:ascii="宋体" w:hAnsi="宋体" w:cs="宋体" w:eastAsia="宋体" w:hint="default"/>
                <w:sz w:val="18"/>
                <w:szCs w:val="18"/>
              </w:rPr>
            </w:r>
          </w:p>
        </w:tc>
      </w:tr>
      <w:tr>
        <w:trPr>
          <w:trHeight w:val="922" w:hRule="exact"/>
        </w:trPr>
        <w:tc>
          <w:tcPr>
            <w:tcW w:w="1291" w:type="dxa"/>
            <w:tcBorders>
              <w:top w:val="single" w:sz="4" w:space="0" w:color="000000"/>
              <w:left w:val="single" w:sz="8" w:space="0" w:color="000000"/>
              <w:bottom w:val="single" w:sz="8" w:space="0" w:color="000000"/>
              <w:right w:val="single" w:sz="8" w:space="0" w:color="000000"/>
            </w:tcBorders>
          </w:tcPr>
          <w:p>
            <w:pPr>
              <w:pStyle w:val="TableParagraph"/>
              <w:spacing w:line="237" w:lineRule="auto" w:before="75"/>
              <w:ind w:left="98" w:right="271"/>
              <w:jc w:val="both"/>
              <w:rPr>
                <w:rFonts w:ascii="宋体" w:hAnsi="宋体" w:cs="宋体" w:eastAsia="宋体" w:hint="default"/>
                <w:sz w:val="18"/>
                <w:szCs w:val="18"/>
              </w:rPr>
            </w:pPr>
            <w:r>
              <w:rPr>
                <w:rFonts w:ascii="宋体" w:hAnsi="宋体" w:cs="宋体" w:eastAsia="宋体" w:hint="default"/>
                <w:sz w:val="18"/>
                <w:szCs w:val="18"/>
              </w:rPr>
              <w:t>北京用友政 务软件有限 公司</w:t>
            </w:r>
          </w:p>
        </w:tc>
        <w:tc>
          <w:tcPr>
            <w:tcW w:w="1274"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1"/>
              <w:jc w:val="right"/>
              <w:rPr>
                <w:rFonts w:ascii="宋体" w:hAnsi="宋体" w:cs="宋体" w:eastAsia="宋体" w:hint="default"/>
                <w:sz w:val="18"/>
                <w:szCs w:val="18"/>
              </w:rPr>
            </w:pPr>
            <w:r>
              <w:rPr>
                <w:rFonts w:ascii="宋体"/>
                <w:spacing w:val="-1"/>
                <w:sz w:val="18"/>
              </w:rPr>
              <w:t>115,618,500</w:t>
            </w:r>
            <w:r>
              <w:rPr>
                <w:rFonts w:ascii="宋体"/>
                <w:sz w:val="18"/>
              </w:rPr>
            </w:r>
          </w:p>
        </w:tc>
        <w:tc>
          <w:tcPr>
            <w:tcW w:w="1037" w:type="dxa"/>
            <w:tcBorders>
              <w:top w:val="single" w:sz="4" w:space="0" w:color="000000"/>
              <w:left w:val="single" w:sz="8" w:space="0" w:color="000000"/>
              <w:bottom w:val="single" w:sz="8" w:space="0" w:color="000000"/>
              <w:right w:val="single" w:sz="8" w:space="0" w:color="000000"/>
            </w:tcBorders>
          </w:tcPr>
          <w:p>
            <w:pPr>
              <w:pStyle w:val="TableParagraph"/>
              <w:spacing w:line="237" w:lineRule="auto" w:before="75"/>
              <w:ind w:left="98" w:right="98"/>
              <w:jc w:val="both"/>
              <w:rPr>
                <w:rFonts w:ascii="宋体" w:hAnsi="宋体" w:cs="宋体" w:eastAsia="宋体" w:hint="default"/>
                <w:sz w:val="18"/>
                <w:szCs w:val="18"/>
              </w:rPr>
            </w:pPr>
            <w:r>
              <w:rPr>
                <w:rFonts w:ascii="宋体" w:hAnsi="宋体" w:cs="宋体" w:eastAsia="宋体" w:hint="default"/>
                <w:sz w:val="18"/>
                <w:szCs w:val="18"/>
              </w:rPr>
              <w:t>计算机软</w:t>
            </w:r>
            <w:r>
              <w:rPr>
                <w:rFonts w:ascii="宋体" w:hAnsi="宋体" w:cs="宋体" w:eastAsia="宋体" w:hint="default"/>
                <w:sz w:val="18"/>
                <w:szCs w:val="18"/>
              </w:rPr>
              <w:t>/ </w:t>
            </w:r>
            <w:r>
              <w:rPr>
                <w:rFonts w:ascii="宋体" w:hAnsi="宋体" w:cs="宋体" w:eastAsia="宋体" w:hint="default"/>
                <w:spacing w:val="-17"/>
                <w:sz w:val="18"/>
                <w:szCs w:val="18"/>
              </w:rPr>
              <w:t>硬件、技术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咨询</w:t>
            </w:r>
          </w:p>
        </w:tc>
        <w:tc>
          <w:tcPr>
            <w:tcW w:w="1704" w:type="dxa"/>
            <w:tcBorders>
              <w:top w:val="single" w:sz="4" w:space="0" w:color="000000"/>
              <w:left w:val="single" w:sz="8" w:space="0" w:color="000000"/>
              <w:bottom w:val="single" w:sz="8" w:space="0" w:color="000000"/>
              <w:right w:val="single" w:sz="8" w:space="0" w:color="000000"/>
            </w:tcBorders>
          </w:tcPr>
          <w:p>
            <w:pPr>
              <w:pStyle w:val="TableParagraph"/>
              <w:spacing w:line="237" w:lineRule="auto" w:before="75"/>
              <w:ind w:left="96" w:right="146"/>
              <w:jc w:val="both"/>
              <w:rPr>
                <w:rFonts w:ascii="宋体" w:hAnsi="宋体" w:cs="宋体" w:eastAsia="宋体" w:hint="default"/>
                <w:sz w:val="18"/>
                <w:szCs w:val="18"/>
              </w:rPr>
            </w:pPr>
            <w:r>
              <w:rPr>
                <w:rFonts w:ascii="宋体" w:hAnsi="宋体" w:cs="宋体" w:eastAsia="宋体" w:hint="default"/>
                <w:sz w:val="18"/>
                <w:szCs w:val="18"/>
              </w:rPr>
              <w:t>应用软件服务；销 售计算机、软件及 辅助设备</w:t>
            </w:r>
          </w:p>
        </w:tc>
        <w:tc>
          <w:tcPr>
            <w:tcW w:w="804"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sz w:val="18"/>
              </w:rPr>
              <w:t>94.5</w:t>
            </w:r>
          </w:p>
        </w:tc>
        <w:tc>
          <w:tcPr>
            <w:tcW w:w="1274"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420,559,153</w:t>
            </w:r>
            <w:r>
              <w:rPr>
                <w:rFonts w:ascii="宋体"/>
                <w:sz w:val="18"/>
              </w:rPr>
            </w:r>
          </w:p>
        </w:tc>
        <w:tc>
          <w:tcPr>
            <w:tcW w:w="1214"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495,637,133</w:t>
            </w:r>
            <w:r>
              <w:rPr>
                <w:rFonts w:ascii="宋体"/>
                <w:sz w:val="18"/>
              </w:rPr>
            </w:r>
          </w:p>
        </w:tc>
        <w:tc>
          <w:tcPr>
            <w:tcW w:w="1243"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32,054,925</w:t>
            </w:r>
          </w:p>
        </w:tc>
      </w:tr>
      <w:tr>
        <w:trPr>
          <w:trHeight w:val="720"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北京用友幸</w:t>
            </w:r>
          </w:p>
          <w:p>
            <w:pPr>
              <w:pStyle w:val="TableParagraph"/>
              <w:spacing w:line="232" w:lineRule="exact" w:before="24"/>
              <w:ind w:left="98" w:right="271"/>
              <w:jc w:val="left"/>
              <w:rPr>
                <w:rFonts w:ascii="宋体" w:hAnsi="宋体" w:cs="宋体" w:eastAsia="宋体" w:hint="default"/>
                <w:sz w:val="18"/>
                <w:szCs w:val="18"/>
              </w:rPr>
            </w:pPr>
            <w:r>
              <w:rPr>
                <w:rFonts w:ascii="宋体" w:hAnsi="宋体" w:cs="宋体" w:eastAsia="宋体" w:hint="default"/>
                <w:sz w:val="18"/>
                <w:szCs w:val="18"/>
              </w:rPr>
              <w:t>福投资管理 有限公司</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1"/>
              <w:jc w:val="right"/>
              <w:rPr>
                <w:rFonts w:ascii="宋体" w:hAnsi="宋体" w:cs="宋体" w:eastAsia="宋体" w:hint="default"/>
                <w:sz w:val="18"/>
                <w:szCs w:val="18"/>
              </w:rPr>
            </w:pPr>
            <w:r>
              <w:rPr>
                <w:rFonts w:ascii="宋体"/>
                <w:sz w:val="18"/>
              </w:rPr>
              <w:t>5,000,000</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100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6,876,877</w:t>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3"/>
              <w:jc w:val="right"/>
              <w:rPr>
                <w:rFonts w:ascii="宋体" w:hAnsi="宋体" w:cs="宋体" w:eastAsia="宋体" w:hint="default"/>
                <w:sz w:val="18"/>
                <w:szCs w:val="18"/>
              </w:rPr>
            </w:pPr>
            <w:r>
              <w:rPr>
                <w:rFonts w:ascii="宋体"/>
                <w:sz w:val="18"/>
              </w:rPr>
              <w:t>6,819,650</w:t>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3"/>
              <w:jc w:val="right"/>
              <w:rPr>
                <w:rFonts w:ascii="宋体" w:hAnsi="宋体" w:cs="宋体" w:eastAsia="宋体" w:hint="default"/>
                <w:sz w:val="18"/>
                <w:szCs w:val="18"/>
              </w:rPr>
            </w:pPr>
            <w:r>
              <w:rPr>
                <w:rFonts w:ascii="宋体"/>
                <w:sz w:val="18"/>
              </w:rPr>
              <w:t>1,615,824</w:t>
            </w:r>
          </w:p>
        </w:tc>
      </w:tr>
      <w:tr>
        <w:trPr>
          <w:trHeight w:val="720"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北京用友创</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新投资中心</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4"/>
              <w:jc w:val="right"/>
              <w:rPr>
                <w:rFonts w:ascii="宋体" w:hAnsi="宋体" w:cs="宋体" w:eastAsia="宋体" w:hint="default"/>
                <w:sz w:val="18"/>
                <w:szCs w:val="18"/>
              </w:rPr>
            </w:pPr>
            <w:r>
              <w:rPr>
                <w:rFonts w:ascii="宋体" w:hAnsi="宋体" w:cs="宋体" w:eastAsia="宋体" w:hint="default"/>
                <w:sz w:val="18"/>
                <w:szCs w:val="18"/>
              </w:rPr>
              <w:t>不适用</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99</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w:t>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95,313,614</w:t>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-4,646,451</w:t>
            </w:r>
            <w:r>
              <w:rPr>
                <w:rFonts w:ascii="宋体"/>
                <w:sz w:val="18"/>
              </w:rPr>
            </w:r>
          </w:p>
        </w:tc>
      </w:tr>
      <w:tr>
        <w:trPr>
          <w:trHeight w:val="2254"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32" w:lineRule="exact"/>
              <w:ind w:left="98" w:right="96"/>
              <w:jc w:val="left"/>
              <w:rPr>
                <w:rFonts w:ascii="宋体" w:hAnsi="宋体" w:cs="宋体" w:eastAsia="宋体" w:hint="default"/>
                <w:sz w:val="18"/>
                <w:szCs w:val="18"/>
              </w:rPr>
            </w:pPr>
            <w:r>
              <w:rPr>
                <w:rFonts w:ascii="宋体" w:hAnsi="宋体" w:cs="宋体" w:eastAsia="宋体" w:hint="default"/>
                <w:sz w:val="18"/>
                <w:szCs w:val="18"/>
              </w:rPr>
              <w:t>用友汽车信 息科技（上 海）有限公司</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2"/>
              <w:jc w:val="right"/>
              <w:rPr>
                <w:rFonts w:ascii="宋体" w:hAnsi="宋体" w:cs="宋体" w:eastAsia="宋体" w:hint="default"/>
                <w:sz w:val="18"/>
                <w:szCs w:val="18"/>
              </w:rPr>
            </w:pPr>
            <w:r>
              <w:rPr>
                <w:rFonts w:ascii="宋体"/>
                <w:spacing w:val="-1"/>
                <w:sz w:val="18"/>
              </w:rPr>
              <w:t>36,000,000</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51"/>
              <w:ind w:left="98" w:right="105"/>
              <w:jc w:val="left"/>
              <w:rPr>
                <w:rFonts w:ascii="宋体" w:hAnsi="宋体" w:cs="宋体" w:eastAsia="宋体" w:hint="default"/>
                <w:sz w:val="18"/>
                <w:szCs w:val="18"/>
              </w:rPr>
            </w:pPr>
            <w:r>
              <w:rPr>
                <w:rFonts w:ascii="宋体" w:hAnsi="宋体" w:cs="宋体" w:eastAsia="宋体" w:hint="default"/>
                <w:sz w:val="18"/>
                <w:szCs w:val="18"/>
              </w:rPr>
              <w:t>计算机软 件</w:t>
            </w:r>
            <w:r>
              <w:rPr>
                <w:rFonts w:ascii="宋体" w:hAnsi="宋体" w:cs="宋体" w:eastAsia="宋体" w:hint="default"/>
                <w:sz w:val="18"/>
                <w:szCs w:val="18"/>
              </w:rPr>
              <w:t>/</w:t>
            </w:r>
            <w:r>
              <w:rPr>
                <w:rFonts w:ascii="宋体" w:hAnsi="宋体" w:cs="宋体" w:eastAsia="宋体" w:hint="default"/>
                <w:sz w:val="18"/>
                <w:szCs w:val="18"/>
              </w:rPr>
              <w:t>系统集 成</w:t>
            </w:r>
            <w:r>
              <w:rPr>
                <w:rFonts w:ascii="宋体" w:hAnsi="宋体" w:cs="宋体" w:eastAsia="宋体" w:hint="default"/>
                <w:sz w:val="18"/>
                <w:szCs w:val="18"/>
              </w:rPr>
              <w:t>/</w:t>
            </w:r>
            <w:r>
              <w:rPr>
                <w:rFonts w:ascii="宋体" w:hAnsi="宋体" w:cs="宋体" w:eastAsia="宋体" w:hint="default"/>
                <w:sz w:val="18"/>
                <w:szCs w:val="18"/>
              </w:rPr>
              <w:t>咨询行 业</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39"/>
              <w:ind w:left="96" w:right="146"/>
              <w:jc w:val="left"/>
              <w:rPr>
                <w:rFonts w:ascii="宋体" w:hAnsi="宋体" w:cs="宋体" w:eastAsia="宋体" w:hint="default"/>
                <w:sz w:val="18"/>
                <w:szCs w:val="18"/>
              </w:rPr>
            </w:pPr>
            <w:r>
              <w:rPr>
                <w:rFonts w:ascii="宋体" w:hAnsi="宋体" w:cs="宋体" w:eastAsia="宋体" w:hint="default"/>
                <w:sz w:val="18"/>
                <w:szCs w:val="18"/>
              </w:rPr>
              <w:t>计算机软硬件及网 络设备、产品及系 统集成的技术开 发、转让、服务、 咨询、网络布线、 办公自动化产品、 电子产品、通讯设 备的销售，企业管 理咨询。</w:t>
            </w:r>
          </w:p>
        </w:tc>
        <w:tc>
          <w:tcPr>
            <w:tcW w:w="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sz w:val="18"/>
              </w:rPr>
              <w:t>99</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282,640,055</w:t>
            </w:r>
            <w:r>
              <w:rPr>
                <w:rFonts w:ascii="宋体"/>
                <w:sz w:val="18"/>
              </w:rPr>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278,176,922</w:t>
            </w:r>
            <w:r>
              <w:rPr>
                <w:rFonts w:ascii="宋体"/>
                <w:sz w:val="18"/>
              </w:rPr>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44,160,082</w:t>
            </w:r>
          </w:p>
        </w:tc>
      </w:tr>
      <w:tr>
        <w:trPr>
          <w:trHeight w:val="1817"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32" w:lineRule="exact"/>
              <w:ind w:left="98" w:right="96"/>
              <w:jc w:val="left"/>
              <w:rPr>
                <w:rFonts w:ascii="宋体" w:hAnsi="宋体" w:cs="宋体" w:eastAsia="宋体" w:hint="default"/>
                <w:sz w:val="18"/>
                <w:szCs w:val="18"/>
              </w:rPr>
            </w:pPr>
            <w:r>
              <w:rPr>
                <w:rFonts w:ascii="宋体" w:hAnsi="宋体" w:cs="宋体" w:eastAsia="宋体" w:hint="default"/>
                <w:sz w:val="18"/>
                <w:szCs w:val="18"/>
              </w:rPr>
              <w:t>用友长伴管 理咨询（上 海）有限公司</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30,000,000</w:t>
            </w:r>
            <w:r>
              <w:rPr>
                <w:rFonts w:ascii="宋体"/>
                <w:sz w:val="18"/>
              </w:rPr>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37" w:lineRule="auto"/>
              <w:ind w:left="98" w:right="17"/>
              <w:jc w:val="left"/>
              <w:rPr>
                <w:rFonts w:ascii="宋体" w:hAnsi="宋体" w:cs="宋体" w:eastAsia="宋体" w:hint="default"/>
                <w:sz w:val="18"/>
                <w:szCs w:val="18"/>
              </w:rPr>
            </w:pPr>
            <w:r>
              <w:rPr>
                <w:rFonts w:ascii="宋体" w:hAnsi="宋体" w:cs="宋体" w:eastAsia="宋体" w:hint="default"/>
                <w:sz w:val="18"/>
                <w:szCs w:val="18"/>
              </w:rPr>
              <w:t>企业管理 咨询</w:t>
            </w:r>
            <w:r>
              <w:rPr>
                <w:rFonts w:ascii="宋体" w:hAnsi="宋体" w:cs="宋体" w:eastAsia="宋体" w:hint="default"/>
                <w:sz w:val="18"/>
                <w:szCs w:val="18"/>
              </w:rPr>
              <w:t>/</w:t>
            </w:r>
            <w:r>
              <w:rPr>
                <w:rFonts w:ascii="宋体" w:hAnsi="宋体" w:cs="宋体" w:eastAsia="宋体" w:hint="default"/>
                <w:sz w:val="18"/>
                <w:szCs w:val="18"/>
              </w:rPr>
              <w:t>计算 机应用系 统的规划、 集成和开</w:t>
            </w:r>
          </w:p>
          <w:p>
            <w:pPr>
              <w:pStyle w:val="TableParagraph"/>
              <w:spacing w:line="233" w:lineRule="exact"/>
              <w:ind w:left="98"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53"/>
              <w:ind w:left="96" w:right="7"/>
              <w:jc w:val="left"/>
              <w:rPr>
                <w:rFonts w:ascii="宋体" w:hAnsi="宋体" w:cs="宋体" w:eastAsia="宋体" w:hint="default"/>
                <w:sz w:val="18"/>
                <w:szCs w:val="18"/>
              </w:rPr>
            </w:pPr>
            <w:r>
              <w:rPr>
                <w:rFonts w:ascii="宋体" w:hAnsi="宋体" w:cs="宋体" w:eastAsia="宋体" w:hint="default"/>
                <w:sz w:val="18"/>
                <w:szCs w:val="18"/>
              </w:rPr>
              <w:t>企业管理服务，计 算机应用系统的规 划、集成和开发、 相关技术支持服 </w:t>
            </w:r>
            <w:r>
              <w:rPr>
                <w:rFonts w:ascii="宋体" w:hAnsi="宋体" w:cs="宋体" w:eastAsia="宋体" w:hint="default"/>
                <w:spacing w:val="-5"/>
                <w:sz w:val="18"/>
                <w:szCs w:val="18"/>
              </w:rPr>
              <w:t>务，商务信息咨询，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财务咨询（除代理 记账）。</w:t>
            </w:r>
          </w:p>
        </w:tc>
        <w:tc>
          <w:tcPr>
            <w:tcW w:w="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sz w:val="18"/>
              </w:rPr>
              <w:t>100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12,167,278</w:t>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93"/>
              <w:jc w:val="right"/>
              <w:rPr>
                <w:rFonts w:ascii="宋体" w:hAnsi="宋体" w:cs="宋体" w:eastAsia="宋体" w:hint="default"/>
                <w:sz w:val="18"/>
                <w:szCs w:val="18"/>
              </w:rPr>
            </w:pPr>
            <w:r>
              <w:rPr>
                <w:rFonts w:ascii="宋体"/>
                <w:sz w:val="18"/>
              </w:rPr>
              <w:t>2,236,682</w:t>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-23,357,634</w:t>
            </w:r>
            <w:r>
              <w:rPr>
                <w:rFonts w:ascii="宋体"/>
                <w:sz w:val="18"/>
              </w:rPr>
            </w:r>
          </w:p>
        </w:tc>
      </w:tr>
      <w:tr>
        <w:trPr>
          <w:trHeight w:val="2587"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37" w:lineRule="auto"/>
              <w:ind w:left="98" w:right="271"/>
              <w:jc w:val="both"/>
              <w:rPr>
                <w:rFonts w:ascii="宋体" w:hAnsi="宋体" w:cs="宋体" w:eastAsia="宋体" w:hint="default"/>
                <w:sz w:val="18"/>
                <w:szCs w:val="18"/>
              </w:rPr>
            </w:pPr>
            <w:r>
              <w:rPr>
                <w:rFonts w:ascii="宋体" w:hAnsi="宋体" w:cs="宋体" w:eastAsia="宋体" w:hint="default"/>
                <w:sz w:val="18"/>
                <w:szCs w:val="18"/>
              </w:rPr>
              <w:t>北京用友华 表软件技术 有限公司</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2"/>
              <w:jc w:val="right"/>
              <w:rPr>
                <w:rFonts w:ascii="宋体" w:hAnsi="宋体" w:cs="宋体" w:eastAsia="宋体" w:hint="default"/>
                <w:sz w:val="18"/>
                <w:szCs w:val="18"/>
              </w:rPr>
            </w:pPr>
            <w:r>
              <w:rPr>
                <w:rFonts w:ascii="宋体"/>
                <w:spacing w:val="-1"/>
                <w:sz w:val="18"/>
              </w:rPr>
              <w:t>41,888,000</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37" w:lineRule="auto"/>
              <w:ind w:left="98" w:right="98"/>
              <w:jc w:val="left"/>
              <w:rPr>
                <w:rFonts w:ascii="宋体" w:hAnsi="宋体" w:cs="宋体" w:eastAsia="宋体" w:hint="default"/>
                <w:sz w:val="18"/>
                <w:szCs w:val="18"/>
              </w:rPr>
            </w:pPr>
            <w:r>
              <w:rPr>
                <w:rFonts w:ascii="宋体" w:hAnsi="宋体" w:cs="宋体" w:eastAsia="宋体" w:hint="default"/>
                <w:sz w:val="18"/>
                <w:szCs w:val="18"/>
              </w:rPr>
              <w:t>计算机软</w:t>
            </w:r>
            <w:r>
              <w:rPr>
                <w:rFonts w:ascii="宋体" w:hAnsi="宋体" w:cs="宋体" w:eastAsia="宋体" w:hint="default"/>
                <w:sz w:val="18"/>
                <w:szCs w:val="18"/>
              </w:rPr>
              <w:t>/ </w:t>
            </w:r>
            <w:r>
              <w:rPr>
                <w:rFonts w:ascii="宋体" w:hAnsi="宋体" w:cs="宋体" w:eastAsia="宋体" w:hint="default"/>
                <w:spacing w:val="-17"/>
                <w:sz w:val="18"/>
                <w:szCs w:val="18"/>
              </w:rPr>
              <w:t>硬件、技术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咨询及电 子行业</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6" w:right="0"/>
              <w:jc w:val="both"/>
              <w:rPr>
                <w:rFonts w:ascii="宋体" w:hAnsi="宋体" w:cs="宋体" w:eastAsia="宋体" w:hint="default"/>
                <w:sz w:val="18"/>
                <w:szCs w:val="18"/>
              </w:rPr>
            </w:pPr>
            <w:r>
              <w:rPr>
                <w:rFonts w:ascii="宋体" w:hAnsi="宋体" w:cs="宋体" w:eastAsia="宋体" w:hint="default"/>
                <w:sz w:val="18"/>
                <w:szCs w:val="18"/>
              </w:rPr>
              <w:t>经营本企业和成员</w:t>
            </w:r>
          </w:p>
          <w:p>
            <w:pPr>
              <w:pStyle w:val="TableParagraph"/>
              <w:spacing w:line="237" w:lineRule="auto" w:before="2"/>
              <w:ind w:left="96" w:right="146"/>
              <w:jc w:val="both"/>
              <w:rPr>
                <w:rFonts w:ascii="宋体" w:hAnsi="宋体" w:cs="宋体" w:eastAsia="宋体" w:hint="default"/>
                <w:sz w:val="18"/>
                <w:szCs w:val="18"/>
              </w:rPr>
            </w:pPr>
            <w:r>
              <w:rPr>
                <w:rFonts w:ascii="宋体" w:hAnsi="宋体" w:cs="宋体" w:eastAsia="宋体" w:hint="default"/>
                <w:sz w:val="18"/>
                <w:szCs w:val="18"/>
              </w:rPr>
              <w:t>企业自产产品及技 术出口业务；本企 业和成员企业生产 所需的原辅材料、 仪器仪表、机械设 备、零配件及技术 的进口业务；经营 进料加工和“三来 一补”业务；技术 开发。</w:t>
            </w:r>
          </w:p>
        </w:tc>
        <w:tc>
          <w:tcPr>
            <w:tcW w:w="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99.43</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21,754,838</w:t>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50,345,287</w:t>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-11,703,295</w:t>
            </w:r>
            <w:r>
              <w:rPr>
                <w:rFonts w:ascii="宋体"/>
                <w:sz w:val="18"/>
              </w:rPr>
            </w:r>
          </w:p>
        </w:tc>
      </w:tr>
      <w:tr>
        <w:trPr>
          <w:trHeight w:val="1188"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98" w:right="271"/>
              <w:jc w:val="both"/>
              <w:rPr>
                <w:rFonts w:ascii="宋体" w:hAnsi="宋体" w:cs="宋体" w:eastAsia="宋体" w:hint="default"/>
                <w:sz w:val="18"/>
                <w:szCs w:val="18"/>
              </w:rPr>
            </w:pPr>
            <w:r>
              <w:rPr>
                <w:rFonts w:ascii="宋体" w:hAnsi="宋体" w:cs="宋体" w:eastAsia="宋体" w:hint="default"/>
                <w:sz w:val="18"/>
                <w:szCs w:val="18"/>
              </w:rPr>
              <w:t>北京用友艾 福斯软件系 统有限公司</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2"/>
              <w:jc w:val="right"/>
              <w:rPr>
                <w:rFonts w:ascii="宋体" w:hAnsi="宋体" w:cs="宋体" w:eastAsia="宋体" w:hint="default"/>
                <w:sz w:val="18"/>
                <w:szCs w:val="18"/>
              </w:rPr>
            </w:pPr>
            <w:r>
              <w:rPr>
                <w:rFonts w:ascii="宋体"/>
                <w:spacing w:val="-1"/>
                <w:sz w:val="18"/>
              </w:rPr>
              <w:t>11,035,739</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89"/>
              <w:ind w:left="98" w:right="98"/>
              <w:jc w:val="left"/>
              <w:rPr>
                <w:rFonts w:ascii="宋体" w:hAnsi="宋体" w:cs="宋体" w:eastAsia="宋体" w:hint="default"/>
                <w:sz w:val="18"/>
                <w:szCs w:val="18"/>
              </w:rPr>
            </w:pPr>
            <w:r>
              <w:rPr>
                <w:rFonts w:ascii="宋体" w:hAnsi="宋体" w:cs="宋体" w:eastAsia="宋体" w:hint="default"/>
                <w:sz w:val="18"/>
                <w:szCs w:val="18"/>
              </w:rPr>
              <w:t>计算机软</w:t>
            </w:r>
            <w:r>
              <w:rPr>
                <w:rFonts w:ascii="宋体" w:hAnsi="宋体" w:cs="宋体" w:eastAsia="宋体" w:hint="default"/>
                <w:sz w:val="18"/>
                <w:szCs w:val="18"/>
              </w:rPr>
              <w:t>/ </w:t>
            </w:r>
            <w:r>
              <w:rPr>
                <w:rFonts w:ascii="宋体" w:hAnsi="宋体" w:cs="宋体" w:eastAsia="宋体" w:hint="default"/>
                <w:spacing w:val="-17"/>
                <w:sz w:val="18"/>
                <w:szCs w:val="18"/>
              </w:rPr>
              <w:t>硬件、技术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咨询及电 子行业</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6" w:right="0"/>
              <w:jc w:val="both"/>
              <w:rPr>
                <w:rFonts w:ascii="宋体" w:hAnsi="宋体" w:cs="宋体" w:eastAsia="宋体" w:hint="default"/>
                <w:sz w:val="18"/>
                <w:szCs w:val="18"/>
              </w:rPr>
            </w:pPr>
            <w:r>
              <w:rPr>
                <w:rFonts w:ascii="宋体" w:hAnsi="宋体" w:cs="宋体" w:eastAsia="宋体" w:hint="default"/>
                <w:sz w:val="18"/>
                <w:szCs w:val="18"/>
              </w:rPr>
              <w:t>应用软件服务、基</w:t>
            </w:r>
          </w:p>
          <w:p>
            <w:pPr>
              <w:pStyle w:val="TableParagraph"/>
              <w:spacing w:line="237" w:lineRule="auto"/>
              <w:ind w:left="96" w:right="146"/>
              <w:jc w:val="both"/>
              <w:rPr>
                <w:rFonts w:ascii="宋体" w:hAnsi="宋体" w:cs="宋体" w:eastAsia="宋体" w:hint="default"/>
                <w:sz w:val="18"/>
                <w:szCs w:val="18"/>
              </w:rPr>
            </w:pPr>
            <w:r>
              <w:rPr>
                <w:rFonts w:ascii="宋体" w:hAnsi="宋体" w:cs="宋体" w:eastAsia="宋体" w:hint="default"/>
                <w:sz w:val="18"/>
                <w:szCs w:val="18"/>
              </w:rPr>
              <w:t>础软件服务、技术 开发、技术咨询、 销售自行开发的产 品。</w:t>
            </w:r>
          </w:p>
        </w:tc>
        <w:tc>
          <w:tcPr>
            <w:tcW w:w="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100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8"/>
                <w:szCs w:val="18"/>
              </w:rPr>
            </w:pPr>
            <w:r>
              <w:rPr>
                <w:rFonts w:ascii="宋体"/>
                <w:sz w:val="18"/>
              </w:rPr>
              <w:t>4,904,916</w:t>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3"/>
              <w:jc w:val="right"/>
              <w:rPr>
                <w:rFonts w:ascii="宋体" w:hAnsi="宋体" w:cs="宋体" w:eastAsia="宋体" w:hint="default"/>
                <w:sz w:val="18"/>
                <w:szCs w:val="18"/>
              </w:rPr>
            </w:pPr>
            <w:r>
              <w:rPr>
                <w:rFonts w:ascii="宋体"/>
                <w:sz w:val="18"/>
              </w:rPr>
              <w:t>6,858,279</w:t>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3"/>
              <w:jc w:val="right"/>
              <w:rPr>
                <w:rFonts w:ascii="宋体" w:hAnsi="宋体" w:cs="宋体" w:eastAsia="宋体" w:hint="default"/>
                <w:sz w:val="18"/>
                <w:szCs w:val="18"/>
              </w:rPr>
            </w:pPr>
            <w:r>
              <w:rPr>
                <w:rFonts w:ascii="宋体"/>
                <w:sz w:val="18"/>
              </w:rPr>
              <w:t>1,800,207</w:t>
            </w:r>
          </w:p>
        </w:tc>
      </w:tr>
      <w:tr>
        <w:trPr>
          <w:trHeight w:val="1421"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98" w:right="271"/>
              <w:jc w:val="both"/>
              <w:rPr>
                <w:rFonts w:ascii="宋体" w:hAnsi="宋体" w:cs="宋体" w:eastAsia="宋体" w:hint="default"/>
                <w:sz w:val="18"/>
                <w:szCs w:val="18"/>
              </w:rPr>
            </w:pPr>
            <w:r>
              <w:rPr>
                <w:rFonts w:ascii="宋体" w:hAnsi="宋体" w:cs="宋体" w:eastAsia="宋体" w:hint="default"/>
                <w:sz w:val="18"/>
                <w:szCs w:val="18"/>
              </w:rPr>
              <w:t>用友金融信 息技术有限 公司</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50,000,000</w:t>
            </w:r>
            <w:r>
              <w:rPr>
                <w:rFonts w:ascii="宋体"/>
                <w:sz w:val="18"/>
              </w:rPr>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89"/>
              <w:ind w:left="98" w:right="98"/>
              <w:jc w:val="left"/>
              <w:rPr>
                <w:rFonts w:ascii="宋体" w:hAnsi="宋体" w:cs="宋体" w:eastAsia="宋体" w:hint="default"/>
                <w:sz w:val="18"/>
                <w:szCs w:val="18"/>
              </w:rPr>
            </w:pPr>
            <w:r>
              <w:rPr>
                <w:rFonts w:ascii="宋体" w:hAnsi="宋体" w:cs="宋体" w:eastAsia="宋体" w:hint="default"/>
                <w:sz w:val="18"/>
                <w:szCs w:val="18"/>
              </w:rPr>
              <w:t>计算机软</w:t>
            </w:r>
            <w:r>
              <w:rPr>
                <w:rFonts w:ascii="宋体" w:hAnsi="宋体" w:cs="宋体" w:eastAsia="宋体" w:hint="default"/>
                <w:sz w:val="18"/>
                <w:szCs w:val="18"/>
              </w:rPr>
              <w:t>/ </w:t>
            </w:r>
            <w:r>
              <w:rPr>
                <w:rFonts w:ascii="宋体" w:hAnsi="宋体" w:cs="宋体" w:eastAsia="宋体" w:hint="default"/>
                <w:sz w:val="18"/>
                <w:szCs w:val="18"/>
              </w:rPr>
              <w:t>硬件</w:t>
            </w:r>
            <w:r>
              <w:rPr>
                <w:rFonts w:ascii="宋体" w:hAnsi="宋体" w:cs="宋体" w:eastAsia="宋体" w:hint="default"/>
                <w:sz w:val="18"/>
                <w:szCs w:val="18"/>
              </w:rPr>
              <w:t>/</w:t>
            </w:r>
            <w:r>
              <w:rPr>
                <w:rFonts w:ascii="宋体" w:hAnsi="宋体" w:cs="宋体" w:eastAsia="宋体" w:hint="default"/>
                <w:sz w:val="18"/>
                <w:szCs w:val="18"/>
              </w:rPr>
              <w:t>网 </w:t>
            </w:r>
            <w:r>
              <w:rPr>
                <w:rFonts w:ascii="宋体" w:hAnsi="宋体" w:cs="宋体" w:eastAsia="宋体" w:hint="default"/>
                <w:spacing w:val="-17"/>
                <w:sz w:val="18"/>
                <w:szCs w:val="18"/>
              </w:rPr>
              <w:t>络、技术咨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询及电子 行业</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6" w:right="0"/>
              <w:jc w:val="left"/>
              <w:rPr>
                <w:rFonts w:ascii="宋体" w:hAnsi="宋体" w:cs="宋体" w:eastAsia="宋体" w:hint="default"/>
                <w:sz w:val="18"/>
                <w:szCs w:val="18"/>
              </w:rPr>
            </w:pPr>
            <w:r>
              <w:rPr>
                <w:rFonts w:ascii="宋体" w:hAnsi="宋体" w:cs="宋体" w:eastAsia="宋体" w:hint="default"/>
                <w:sz w:val="18"/>
                <w:szCs w:val="18"/>
              </w:rPr>
              <w:t>金融软件及计算机</w:t>
            </w:r>
          </w:p>
          <w:p>
            <w:pPr>
              <w:pStyle w:val="TableParagraph"/>
              <w:spacing w:line="237" w:lineRule="auto" w:before="2"/>
              <w:ind w:left="96" w:right="7"/>
              <w:jc w:val="left"/>
              <w:rPr>
                <w:rFonts w:ascii="宋体" w:hAnsi="宋体" w:cs="宋体" w:eastAsia="宋体" w:hint="default"/>
                <w:sz w:val="18"/>
                <w:szCs w:val="18"/>
              </w:rPr>
            </w:pPr>
            <w:r>
              <w:rPr>
                <w:rFonts w:ascii="宋体" w:hAnsi="宋体" w:cs="宋体" w:eastAsia="宋体" w:hint="default"/>
                <w:sz w:val="18"/>
                <w:szCs w:val="18"/>
              </w:rPr>
              <w:t>网络技术开发；销 </w:t>
            </w:r>
            <w:r>
              <w:rPr>
                <w:rFonts w:ascii="宋体" w:hAnsi="宋体" w:cs="宋体" w:eastAsia="宋体" w:hint="default"/>
                <w:spacing w:val="-5"/>
                <w:sz w:val="18"/>
                <w:szCs w:val="18"/>
              </w:rPr>
              <w:t>售计算机软、硬件；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计算机系统集成； 技术咨询、技术服 务、技术培训。</w:t>
            </w:r>
          </w:p>
        </w:tc>
        <w:tc>
          <w:tcPr>
            <w:tcW w:w="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sz w:val="18"/>
              </w:rPr>
              <w:t>100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6,951,047</w:t>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66,963,241</w:t>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-13,045,587</w:t>
            </w:r>
            <w:r>
              <w:rPr>
                <w:rFonts w:ascii="宋体"/>
                <w:sz w:val="18"/>
              </w:rPr>
            </w:r>
          </w:p>
        </w:tc>
      </w:tr>
    </w:tbl>
    <w:p>
      <w:pPr>
        <w:spacing w:after="0" w:line="240" w:lineRule="auto"/>
        <w:jc w:val="right"/>
        <w:rPr>
          <w:rFonts w:ascii="宋体" w:hAnsi="宋体" w:cs="宋体" w:eastAsia="宋体" w:hint="default"/>
          <w:sz w:val="18"/>
          <w:szCs w:val="18"/>
        </w:rPr>
        <w:sectPr>
          <w:pgSz w:w="11910" w:h="16850"/>
          <w:pgMar w:header="752" w:footer="730" w:top="1020" w:bottom="920" w:left="1160" w:right="6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07" w:type="dxa"/>
        <w:tblLayout w:type="fixed"/>
        <w:tblCellMar>
          <w:top w:w="0" w:type="dxa"/>
          <w:left w:w="0" w:type="dxa"/>
          <w:bottom w:w="0" w:type="dxa"/>
          <w:right w:w="0" w:type="dxa"/>
        </w:tblCellMar>
        <w:tblLook w:val="01E0"/>
      </w:tblPr>
      <w:tblGrid>
        <w:gridCol w:w="1291"/>
        <w:gridCol w:w="1274"/>
        <w:gridCol w:w="1037"/>
        <w:gridCol w:w="1704"/>
        <w:gridCol w:w="804"/>
        <w:gridCol w:w="1274"/>
        <w:gridCol w:w="1214"/>
        <w:gridCol w:w="1243"/>
      </w:tblGrid>
      <w:tr>
        <w:trPr>
          <w:trHeight w:val="117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240" w:right="151" w:hanging="89"/>
              <w:jc w:val="left"/>
              <w:rPr>
                <w:rFonts w:ascii="宋体" w:hAnsi="宋体" w:cs="宋体" w:eastAsia="宋体" w:hint="default"/>
                <w:sz w:val="18"/>
                <w:szCs w:val="18"/>
              </w:rPr>
            </w:pPr>
            <w:r>
              <w:rPr>
                <w:rFonts w:ascii="宋体" w:hAnsi="宋体" w:cs="宋体" w:eastAsia="宋体" w:hint="default"/>
                <w:b/>
                <w:bCs/>
                <w:sz w:val="18"/>
                <w:szCs w:val="18"/>
              </w:rPr>
              <w:t>主要产品</w:t>
            </w:r>
            <w:r>
              <w:rPr>
                <w:rFonts w:ascii="宋体" w:hAnsi="宋体" w:cs="宋体" w:eastAsia="宋体" w:hint="default"/>
                <w:b/>
                <w:bCs/>
                <w:w w:val="99"/>
                <w:sz w:val="18"/>
                <w:szCs w:val="18"/>
              </w:rPr>
              <w:t> </w:t>
            </w:r>
            <w:r>
              <w:rPr>
                <w:rFonts w:ascii="宋体" w:hAnsi="宋体" w:cs="宋体" w:eastAsia="宋体" w:hint="default"/>
                <w:b/>
                <w:bCs/>
                <w:sz w:val="18"/>
                <w:szCs w:val="18"/>
              </w:rPr>
              <w:t>或服务</w:t>
            </w:r>
            <w:r>
              <w:rPr>
                <w:rFonts w:ascii="宋体" w:hAnsi="宋体" w:cs="宋体" w:eastAsia="宋体" w:hint="default"/>
                <w:sz w:val="18"/>
                <w:szCs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24" w:right="125"/>
              <w:jc w:val="both"/>
              <w:rPr>
                <w:rFonts w:ascii="宋体" w:hAnsi="宋体" w:cs="宋体" w:eastAsia="宋体" w:hint="default"/>
                <w:sz w:val="18"/>
                <w:szCs w:val="18"/>
              </w:rPr>
            </w:pPr>
            <w:r>
              <w:rPr>
                <w:rFonts w:ascii="宋体" w:hAnsi="宋体" w:cs="宋体" w:eastAsia="宋体" w:hint="default"/>
                <w:b/>
                <w:bCs/>
                <w:sz w:val="18"/>
                <w:szCs w:val="18"/>
              </w:rPr>
              <w:t>公司直</w:t>
            </w:r>
            <w:r>
              <w:rPr>
                <w:rFonts w:ascii="宋体" w:hAnsi="宋体" w:cs="宋体" w:eastAsia="宋体" w:hint="default"/>
                <w:b/>
                <w:bCs/>
                <w:w w:val="99"/>
                <w:sz w:val="18"/>
                <w:szCs w:val="18"/>
              </w:rPr>
              <w:t> </w:t>
            </w:r>
            <w:r>
              <w:rPr>
                <w:rFonts w:ascii="宋体" w:hAnsi="宋体" w:cs="宋体" w:eastAsia="宋体" w:hint="default"/>
                <w:b/>
                <w:bCs/>
                <w:sz w:val="18"/>
                <w:szCs w:val="18"/>
              </w:rPr>
              <w:t>接持股</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14" w:lineRule="exact"/>
              <w:ind w:left="170" w:right="0"/>
              <w:jc w:val="both"/>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540" w:right="182" w:hanging="363"/>
              <w:jc w:val="left"/>
              <w:rPr>
                <w:rFonts w:ascii="宋体" w:hAnsi="宋体" w:cs="宋体" w:eastAsia="宋体" w:hint="default"/>
                <w:sz w:val="18"/>
                <w:szCs w:val="18"/>
              </w:rPr>
            </w:pPr>
            <w:r>
              <w:rPr>
                <w:rFonts w:ascii="宋体" w:hAnsi="宋体" w:cs="宋体" w:eastAsia="宋体" w:hint="default"/>
                <w:b/>
                <w:bCs/>
                <w:sz w:val="18"/>
                <w:szCs w:val="18"/>
              </w:rPr>
              <w:t>主营业务收</w:t>
            </w:r>
            <w:r>
              <w:rPr>
                <w:rFonts w:ascii="宋体" w:hAnsi="宋体" w:cs="宋体" w:eastAsia="宋体" w:hint="default"/>
                <w:b/>
                <w:bCs/>
                <w:w w:val="99"/>
                <w:sz w:val="18"/>
                <w:szCs w:val="18"/>
              </w:rPr>
              <w:t> </w:t>
            </w:r>
            <w:r>
              <w:rPr>
                <w:rFonts w:ascii="宋体" w:hAnsi="宋体" w:cs="宋体" w:eastAsia="宋体" w:hint="default"/>
                <w:b/>
                <w:bCs/>
                <w:sz w:val="18"/>
                <w:szCs w:val="18"/>
              </w:rPr>
              <w:t>入</w:t>
            </w:r>
            <w:r>
              <w:rPr>
                <w:rFonts w:ascii="宋体" w:hAnsi="宋体" w:cs="宋体" w:eastAsia="宋体" w:hint="default"/>
                <w:sz w:val="18"/>
                <w:szCs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b/>
                <w:bCs/>
                <w:sz w:val="18"/>
                <w:szCs w:val="18"/>
              </w:rPr>
              <w:t>总资产</w:t>
            </w:r>
            <w:r>
              <w:rPr>
                <w:rFonts w:ascii="宋体" w:hAnsi="宋体" w:cs="宋体" w:eastAsia="宋体" w:hint="default"/>
                <w:sz w:val="18"/>
                <w:szCs w:val="18"/>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13"/>
              <w:ind w:right="0"/>
              <w:jc w:val="center"/>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（净损失）</w:t>
            </w:r>
            <w:r>
              <w:rPr>
                <w:rFonts w:ascii="宋体" w:hAnsi="宋体" w:cs="宋体" w:eastAsia="宋体" w:hint="default"/>
                <w:sz w:val="18"/>
                <w:szCs w:val="18"/>
              </w:rPr>
            </w:r>
          </w:p>
        </w:tc>
      </w:tr>
      <w:tr>
        <w:trPr>
          <w:trHeight w:val="1183" w:hRule="exact"/>
        </w:trPr>
        <w:tc>
          <w:tcPr>
            <w:tcW w:w="1291"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98" w:right="271"/>
              <w:jc w:val="both"/>
              <w:rPr>
                <w:rFonts w:ascii="宋体" w:hAnsi="宋体" w:cs="宋体" w:eastAsia="宋体" w:hint="default"/>
                <w:sz w:val="18"/>
                <w:szCs w:val="18"/>
              </w:rPr>
            </w:pPr>
            <w:r>
              <w:rPr>
                <w:rFonts w:ascii="宋体" w:hAnsi="宋体" w:cs="宋体" w:eastAsia="宋体" w:hint="default"/>
                <w:sz w:val="18"/>
                <w:szCs w:val="18"/>
              </w:rPr>
              <w:t>厦门用友烟 草软件有限 责任公司</w:t>
            </w:r>
          </w:p>
        </w:tc>
        <w:tc>
          <w:tcPr>
            <w:tcW w:w="1274"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2"/>
              <w:jc w:val="right"/>
              <w:rPr>
                <w:rFonts w:ascii="宋体" w:hAnsi="宋体" w:cs="宋体" w:eastAsia="宋体" w:hint="default"/>
                <w:sz w:val="18"/>
                <w:szCs w:val="18"/>
              </w:rPr>
            </w:pPr>
            <w:r>
              <w:rPr>
                <w:rFonts w:ascii="宋体"/>
                <w:spacing w:val="-1"/>
                <w:sz w:val="18"/>
              </w:rPr>
              <w:t>20,000,000</w:t>
            </w:r>
          </w:p>
        </w:tc>
        <w:tc>
          <w:tcPr>
            <w:tcW w:w="1037"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98" w:right="105"/>
              <w:jc w:val="both"/>
              <w:rPr>
                <w:rFonts w:ascii="宋体" w:hAnsi="宋体" w:cs="宋体" w:eastAsia="宋体" w:hint="default"/>
                <w:sz w:val="18"/>
                <w:szCs w:val="18"/>
              </w:rPr>
            </w:pPr>
            <w:r>
              <w:rPr>
                <w:rFonts w:ascii="宋体" w:hAnsi="宋体" w:cs="宋体" w:eastAsia="宋体" w:hint="default"/>
                <w:sz w:val="18"/>
                <w:szCs w:val="18"/>
              </w:rPr>
              <w:t>计算机软</w:t>
            </w:r>
            <w:r>
              <w:rPr>
                <w:rFonts w:ascii="宋体" w:hAnsi="宋体" w:cs="宋体" w:eastAsia="宋体" w:hint="default"/>
                <w:sz w:val="18"/>
                <w:szCs w:val="18"/>
              </w:rPr>
              <w:t>/ </w:t>
            </w:r>
            <w:r>
              <w:rPr>
                <w:rFonts w:ascii="宋体" w:hAnsi="宋体" w:cs="宋体" w:eastAsia="宋体" w:hint="default"/>
                <w:sz w:val="18"/>
                <w:szCs w:val="18"/>
              </w:rPr>
              <w:t>硬件</w:t>
            </w:r>
            <w:r>
              <w:rPr>
                <w:rFonts w:ascii="宋体" w:hAnsi="宋体" w:cs="宋体" w:eastAsia="宋体" w:hint="default"/>
                <w:sz w:val="18"/>
                <w:szCs w:val="18"/>
              </w:rPr>
              <w:t>/</w:t>
            </w:r>
            <w:r>
              <w:rPr>
                <w:rFonts w:ascii="宋体" w:hAnsi="宋体" w:cs="宋体" w:eastAsia="宋体" w:hint="default"/>
                <w:sz w:val="18"/>
                <w:szCs w:val="18"/>
              </w:rPr>
              <w:t>电子 行业</w:t>
            </w:r>
          </w:p>
        </w:tc>
        <w:tc>
          <w:tcPr>
            <w:tcW w:w="1704" w:type="dxa"/>
            <w:tcBorders>
              <w:top w:val="single" w:sz="4" w:space="0" w:color="000000"/>
              <w:left w:val="single" w:sz="8" w:space="0" w:color="000000"/>
              <w:bottom w:val="single" w:sz="8" w:space="0" w:color="000000"/>
              <w:right w:val="single" w:sz="8" w:space="0" w:color="000000"/>
            </w:tcBorders>
          </w:tcPr>
          <w:p>
            <w:pPr>
              <w:pStyle w:val="TableParagraph"/>
              <w:spacing w:line="206" w:lineRule="exact"/>
              <w:ind w:left="96" w:right="0"/>
              <w:jc w:val="left"/>
              <w:rPr>
                <w:rFonts w:ascii="宋体" w:hAnsi="宋体" w:cs="宋体" w:eastAsia="宋体" w:hint="default"/>
                <w:sz w:val="18"/>
                <w:szCs w:val="18"/>
              </w:rPr>
            </w:pPr>
            <w:r>
              <w:rPr>
                <w:rFonts w:ascii="宋体" w:hAnsi="宋体" w:cs="宋体" w:eastAsia="宋体" w:hint="default"/>
                <w:sz w:val="18"/>
                <w:szCs w:val="18"/>
              </w:rPr>
              <w:t>烟草软件及其它相</w:t>
            </w:r>
          </w:p>
          <w:p>
            <w:pPr>
              <w:pStyle w:val="TableParagraph"/>
              <w:spacing w:line="237" w:lineRule="auto"/>
              <w:ind w:left="96" w:right="144"/>
              <w:jc w:val="left"/>
              <w:rPr>
                <w:rFonts w:ascii="宋体" w:hAnsi="宋体" w:cs="宋体" w:eastAsia="宋体" w:hint="default"/>
                <w:sz w:val="18"/>
                <w:szCs w:val="18"/>
              </w:rPr>
            </w:pPr>
            <w:r>
              <w:rPr>
                <w:rFonts w:ascii="宋体" w:hAnsi="宋体" w:cs="宋体" w:eastAsia="宋体" w:hint="default"/>
                <w:sz w:val="18"/>
                <w:szCs w:val="18"/>
              </w:rPr>
              <w:t>关软件开发设计</w:t>
            </w:r>
            <w:r>
              <w:rPr>
                <w:rFonts w:ascii="宋体" w:hAnsi="宋体" w:cs="宋体" w:eastAsia="宋体" w:hint="default"/>
                <w:sz w:val="18"/>
                <w:szCs w:val="18"/>
              </w:rPr>
              <w:t>, </w:t>
            </w:r>
            <w:r>
              <w:rPr>
                <w:rFonts w:ascii="宋体" w:hAnsi="宋体" w:cs="宋体" w:eastAsia="宋体" w:hint="default"/>
                <w:sz w:val="18"/>
                <w:szCs w:val="18"/>
              </w:rPr>
              <w:t>硬件制造</w:t>
            </w:r>
            <w:r>
              <w:rPr>
                <w:rFonts w:ascii="宋体" w:hAnsi="宋体" w:cs="宋体" w:eastAsia="宋体" w:hint="default"/>
                <w:sz w:val="18"/>
                <w:szCs w:val="18"/>
              </w:rPr>
              <w:t>,</w:t>
            </w:r>
            <w:r>
              <w:rPr>
                <w:rFonts w:ascii="宋体" w:hAnsi="宋体" w:cs="宋体" w:eastAsia="宋体" w:hint="default"/>
                <w:sz w:val="18"/>
                <w:szCs w:val="18"/>
              </w:rPr>
              <w:t>销售</w:t>
            </w:r>
            <w:r>
              <w:rPr>
                <w:rFonts w:ascii="宋体" w:hAnsi="宋体" w:cs="宋体" w:eastAsia="宋体" w:hint="default"/>
                <w:sz w:val="18"/>
                <w:szCs w:val="18"/>
              </w:rPr>
              <w:t>,</w:t>
            </w:r>
            <w:r>
              <w:rPr>
                <w:rFonts w:ascii="宋体" w:hAnsi="宋体" w:cs="宋体" w:eastAsia="宋体" w:hint="default"/>
                <w:sz w:val="18"/>
                <w:szCs w:val="18"/>
              </w:rPr>
              <w:t>并 提供烟草行业信息 化咨询服务。</w:t>
            </w:r>
          </w:p>
        </w:tc>
        <w:tc>
          <w:tcPr>
            <w:tcW w:w="804"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3" w:right="0"/>
              <w:jc w:val="center"/>
              <w:rPr>
                <w:rFonts w:ascii="宋体" w:hAnsi="宋体" w:cs="宋体" w:eastAsia="宋体" w:hint="default"/>
                <w:sz w:val="18"/>
                <w:szCs w:val="18"/>
              </w:rPr>
            </w:pPr>
            <w:r>
              <w:rPr>
                <w:rFonts w:ascii="宋体"/>
                <w:sz w:val="18"/>
              </w:rPr>
              <w:t>76</w:t>
            </w:r>
          </w:p>
        </w:tc>
        <w:tc>
          <w:tcPr>
            <w:tcW w:w="1274"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53,985,936</w:t>
            </w:r>
          </w:p>
        </w:tc>
        <w:tc>
          <w:tcPr>
            <w:tcW w:w="1214"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4"/>
              <w:jc w:val="right"/>
              <w:rPr>
                <w:rFonts w:ascii="宋体" w:hAnsi="宋体" w:cs="宋体" w:eastAsia="宋体" w:hint="default"/>
                <w:sz w:val="18"/>
                <w:szCs w:val="18"/>
              </w:rPr>
            </w:pPr>
            <w:r>
              <w:rPr>
                <w:rFonts w:ascii="宋体"/>
                <w:spacing w:val="-1"/>
                <w:sz w:val="18"/>
              </w:rPr>
              <w:t>94,804,599</w:t>
            </w:r>
          </w:p>
        </w:tc>
        <w:tc>
          <w:tcPr>
            <w:tcW w:w="1243"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-13,567,232</w:t>
            </w:r>
            <w:r>
              <w:rPr>
                <w:rFonts w:ascii="宋体"/>
                <w:sz w:val="18"/>
              </w:rPr>
            </w:r>
          </w:p>
        </w:tc>
      </w:tr>
      <w:tr>
        <w:trPr>
          <w:trHeight w:val="953"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112"/>
              <w:ind w:left="98" w:right="271"/>
              <w:jc w:val="both"/>
              <w:rPr>
                <w:rFonts w:ascii="宋体" w:hAnsi="宋体" w:cs="宋体" w:eastAsia="宋体" w:hint="default"/>
                <w:sz w:val="18"/>
                <w:szCs w:val="18"/>
              </w:rPr>
            </w:pPr>
            <w:r>
              <w:rPr>
                <w:rFonts w:ascii="宋体" w:hAnsi="宋体" w:cs="宋体" w:eastAsia="宋体" w:hint="default"/>
                <w:sz w:val="18"/>
                <w:szCs w:val="18"/>
              </w:rPr>
              <w:t>用友医疗卫 生信息系统 有限公司</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1"/>
              <w:jc w:val="right"/>
              <w:rPr>
                <w:rFonts w:ascii="宋体" w:hAnsi="宋体" w:cs="宋体" w:eastAsia="宋体" w:hint="default"/>
                <w:sz w:val="18"/>
                <w:szCs w:val="18"/>
              </w:rPr>
            </w:pPr>
            <w:r>
              <w:rPr>
                <w:rFonts w:ascii="宋体"/>
                <w:spacing w:val="-1"/>
                <w:sz w:val="18"/>
              </w:rPr>
              <w:t>100,000,000</w:t>
            </w:r>
            <w:r>
              <w:rPr>
                <w:rFonts w:ascii="宋体"/>
                <w:sz w:val="18"/>
              </w:rPr>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8" w:right="0"/>
              <w:jc w:val="both"/>
              <w:rPr>
                <w:rFonts w:ascii="宋体" w:hAnsi="宋体" w:cs="宋体" w:eastAsia="宋体" w:hint="default"/>
                <w:sz w:val="18"/>
                <w:szCs w:val="18"/>
              </w:rPr>
            </w:pPr>
            <w:r>
              <w:rPr>
                <w:rFonts w:ascii="宋体" w:hAnsi="宋体" w:cs="宋体" w:eastAsia="宋体" w:hint="default"/>
                <w:sz w:val="18"/>
                <w:szCs w:val="18"/>
              </w:rPr>
              <w:t>计算机软</w:t>
            </w:r>
          </w:p>
          <w:p>
            <w:pPr>
              <w:pStyle w:val="TableParagraph"/>
              <w:spacing w:line="232" w:lineRule="exact" w:before="24"/>
              <w:ind w:left="98" w:right="105"/>
              <w:jc w:val="both"/>
              <w:rPr>
                <w:rFonts w:ascii="宋体" w:hAnsi="宋体" w:cs="宋体" w:eastAsia="宋体" w:hint="default"/>
                <w:sz w:val="18"/>
                <w:szCs w:val="18"/>
              </w:rPr>
            </w:pPr>
            <w:r>
              <w:rPr>
                <w:rFonts w:ascii="宋体" w:hAnsi="宋体" w:cs="宋体" w:eastAsia="宋体" w:hint="default"/>
                <w:sz w:val="18"/>
                <w:szCs w:val="18"/>
              </w:rPr>
              <w:t>件</w:t>
            </w:r>
            <w:r>
              <w:rPr>
                <w:rFonts w:ascii="宋体" w:hAnsi="宋体" w:cs="宋体" w:eastAsia="宋体" w:hint="default"/>
                <w:sz w:val="18"/>
                <w:szCs w:val="18"/>
              </w:rPr>
              <w:t>/</w:t>
            </w:r>
            <w:r>
              <w:rPr>
                <w:rFonts w:ascii="宋体" w:hAnsi="宋体" w:cs="宋体" w:eastAsia="宋体" w:hint="default"/>
                <w:sz w:val="18"/>
                <w:szCs w:val="18"/>
              </w:rPr>
              <w:t>系统集 成</w:t>
            </w:r>
            <w:r>
              <w:rPr>
                <w:rFonts w:ascii="宋体" w:hAnsi="宋体" w:cs="宋体" w:eastAsia="宋体" w:hint="default"/>
                <w:sz w:val="18"/>
                <w:szCs w:val="18"/>
              </w:rPr>
              <w:t>/</w:t>
            </w:r>
            <w:r>
              <w:rPr>
                <w:rFonts w:ascii="宋体" w:hAnsi="宋体" w:cs="宋体" w:eastAsia="宋体" w:hint="default"/>
                <w:sz w:val="18"/>
                <w:szCs w:val="18"/>
              </w:rPr>
              <w:t>咨询行 业</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112"/>
              <w:ind w:left="96" w:right="7"/>
              <w:jc w:val="left"/>
              <w:rPr>
                <w:rFonts w:ascii="宋体" w:hAnsi="宋体" w:cs="宋体" w:eastAsia="宋体" w:hint="default"/>
                <w:sz w:val="18"/>
                <w:szCs w:val="18"/>
              </w:rPr>
            </w:pPr>
            <w:r>
              <w:rPr>
                <w:rFonts w:ascii="宋体" w:hAnsi="宋体" w:cs="宋体" w:eastAsia="宋体" w:hint="default"/>
                <w:sz w:val="18"/>
                <w:szCs w:val="18"/>
              </w:rPr>
              <w:t>开发、销售医疗软 件；医疗软件的技 </w:t>
            </w:r>
            <w:r>
              <w:rPr>
                <w:rFonts w:ascii="宋体" w:hAnsi="宋体" w:cs="宋体" w:eastAsia="宋体" w:hint="default"/>
                <w:spacing w:val="-5"/>
                <w:sz w:val="18"/>
                <w:szCs w:val="18"/>
              </w:rPr>
              <w:t>术培训、系统集成。</w:t>
            </w:r>
          </w:p>
        </w:tc>
        <w:tc>
          <w:tcPr>
            <w:tcW w:w="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 w:right="0"/>
              <w:jc w:val="center"/>
              <w:rPr>
                <w:rFonts w:ascii="宋体" w:hAnsi="宋体" w:cs="宋体" w:eastAsia="宋体" w:hint="default"/>
                <w:sz w:val="18"/>
                <w:szCs w:val="18"/>
              </w:rPr>
            </w:pPr>
            <w:r>
              <w:rPr>
                <w:rFonts w:ascii="宋体"/>
                <w:sz w:val="18"/>
              </w:rPr>
              <w:t>100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6"/>
              <w:jc w:val="right"/>
              <w:rPr>
                <w:rFonts w:ascii="宋体" w:hAnsi="宋体" w:cs="宋体" w:eastAsia="宋体" w:hint="default"/>
                <w:sz w:val="18"/>
                <w:szCs w:val="18"/>
              </w:rPr>
            </w:pPr>
            <w:r>
              <w:rPr>
                <w:rFonts w:ascii="宋体"/>
                <w:spacing w:val="-1"/>
                <w:sz w:val="18"/>
              </w:rPr>
              <w:t>112,332,558</w:t>
            </w:r>
            <w:r>
              <w:rPr>
                <w:rFonts w:ascii="宋体"/>
                <w:sz w:val="18"/>
              </w:rPr>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3"/>
              <w:jc w:val="right"/>
              <w:rPr>
                <w:rFonts w:ascii="宋体" w:hAnsi="宋体" w:cs="宋体" w:eastAsia="宋体" w:hint="default"/>
                <w:sz w:val="18"/>
                <w:szCs w:val="18"/>
              </w:rPr>
            </w:pPr>
            <w:r>
              <w:rPr>
                <w:rFonts w:ascii="宋体"/>
                <w:spacing w:val="-1"/>
                <w:sz w:val="18"/>
              </w:rPr>
              <w:t>107,032,829</w:t>
            </w:r>
            <w:r>
              <w:rPr>
                <w:rFonts w:ascii="宋体"/>
                <w:sz w:val="18"/>
              </w:rPr>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3"/>
              <w:jc w:val="right"/>
              <w:rPr>
                <w:rFonts w:ascii="宋体" w:hAnsi="宋体" w:cs="宋体" w:eastAsia="宋体" w:hint="default"/>
                <w:sz w:val="18"/>
                <w:szCs w:val="18"/>
              </w:rPr>
            </w:pPr>
            <w:r>
              <w:rPr>
                <w:rFonts w:ascii="宋体"/>
                <w:spacing w:val="-1"/>
                <w:sz w:val="18"/>
              </w:rPr>
              <w:t>-10,746,291</w:t>
            </w:r>
            <w:r>
              <w:rPr>
                <w:rFonts w:ascii="宋体"/>
                <w:sz w:val="18"/>
              </w:rPr>
            </w:r>
          </w:p>
        </w:tc>
      </w:tr>
      <w:tr>
        <w:trPr>
          <w:trHeight w:val="2122"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37" w:lineRule="auto"/>
              <w:ind w:left="98" w:right="271"/>
              <w:jc w:val="both"/>
              <w:rPr>
                <w:rFonts w:ascii="宋体" w:hAnsi="宋体" w:cs="宋体" w:eastAsia="宋体" w:hint="default"/>
                <w:sz w:val="18"/>
                <w:szCs w:val="18"/>
              </w:rPr>
            </w:pPr>
            <w:r>
              <w:rPr>
                <w:rFonts w:ascii="宋体" w:hAnsi="宋体" w:cs="宋体" w:eastAsia="宋体" w:hint="default"/>
                <w:sz w:val="18"/>
                <w:szCs w:val="18"/>
              </w:rPr>
              <w:t>畅捷通信息 技术股份有 限公司</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91"/>
              <w:jc w:val="right"/>
              <w:rPr>
                <w:rFonts w:ascii="宋体" w:hAnsi="宋体" w:cs="宋体" w:eastAsia="宋体" w:hint="default"/>
                <w:sz w:val="18"/>
                <w:szCs w:val="18"/>
              </w:rPr>
            </w:pPr>
            <w:r>
              <w:rPr>
                <w:rFonts w:ascii="宋体"/>
                <w:spacing w:val="-1"/>
                <w:sz w:val="18"/>
              </w:rPr>
              <w:t>162,181,666</w:t>
            </w:r>
            <w:r>
              <w:rPr>
                <w:rFonts w:ascii="宋体"/>
                <w:sz w:val="18"/>
              </w:rPr>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43"/>
              <w:ind w:left="98" w:right="98"/>
              <w:jc w:val="left"/>
              <w:rPr>
                <w:rFonts w:ascii="宋体" w:hAnsi="宋体" w:cs="宋体" w:eastAsia="宋体" w:hint="default"/>
                <w:sz w:val="18"/>
                <w:szCs w:val="18"/>
              </w:rPr>
            </w:pPr>
            <w:r>
              <w:rPr>
                <w:rFonts w:ascii="宋体" w:hAnsi="宋体" w:cs="宋体" w:eastAsia="宋体" w:hint="default"/>
                <w:sz w:val="18"/>
                <w:szCs w:val="18"/>
              </w:rPr>
              <w:t>计算机软</w:t>
            </w:r>
            <w:r>
              <w:rPr>
                <w:rFonts w:ascii="宋体" w:hAnsi="宋体" w:cs="宋体" w:eastAsia="宋体" w:hint="default"/>
                <w:sz w:val="18"/>
                <w:szCs w:val="18"/>
              </w:rPr>
              <w:t>/ </w:t>
            </w:r>
            <w:r>
              <w:rPr>
                <w:rFonts w:ascii="宋体" w:hAnsi="宋体" w:cs="宋体" w:eastAsia="宋体" w:hint="default"/>
                <w:sz w:val="18"/>
                <w:szCs w:val="18"/>
              </w:rPr>
              <w:t>硬件</w:t>
            </w:r>
            <w:r>
              <w:rPr>
                <w:rFonts w:ascii="宋体" w:hAnsi="宋体" w:cs="宋体" w:eastAsia="宋体" w:hint="default"/>
                <w:sz w:val="18"/>
                <w:szCs w:val="18"/>
              </w:rPr>
              <w:t>/</w:t>
            </w:r>
            <w:r>
              <w:rPr>
                <w:rFonts w:ascii="宋体" w:hAnsi="宋体" w:cs="宋体" w:eastAsia="宋体" w:hint="default"/>
                <w:sz w:val="18"/>
                <w:szCs w:val="18"/>
              </w:rPr>
              <w:t>耗 </w:t>
            </w:r>
            <w:r>
              <w:rPr>
                <w:rFonts w:ascii="宋体" w:hAnsi="宋体" w:cs="宋体" w:eastAsia="宋体" w:hint="default"/>
                <w:spacing w:val="-17"/>
                <w:sz w:val="18"/>
                <w:szCs w:val="18"/>
              </w:rPr>
              <w:t>材、电子行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6" w:right="0"/>
              <w:jc w:val="left"/>
              <w:rPr>
                <w:rFonts w:ascii="宋体" w:hAnsi="宋体" w:cs="宋体" w:eastAsia="宋体" w:hint="default"/>
                <w:sz w:val="18"/>
                <w:szCs w:val="18"/>
              </w:rPr>
            </w:pPr>
            <w:r>
              <w:rPr>
                <w:rFonts w:ascii="宋体" w:hAnsi="宋体" w:cs="宋体" w:eastAsia="宋体" w:hint="default"/>
                <w:sz w:val="18"/>
                <w:szCs w:val="18"/>
              </w:rPr>
              <w:t>电子计算机软件、</w:t>
            </w:r>
          </w:p>
          <w:p>
            <w:pPr>
              <w:pStyle w:val="TableParagraph"/>
              <w:spacing w:line="237" w:lineRule="auto"/>
              <w:ind w:left="96" w:right="7"/>
              <w:jc w:val="left"/>
              <w:rPr>
                <w:rFonts w:ascii="宋体" w:hAnsi="宋体" w:cs="宋体" w:eastAsia="宋体" w:hint="default"/>
                <w:sz w:val="18"/>
                <w:szCs w:val="18"/>
              </w:rPr>
            </w:pPr>
            <w:r>
              <w:rPr>
                <w:rFonts w:ascii="宋体" w:hAnsi="宋体" w:cs="宋体" w:eastAsia="宋体" w:hint="default"/>
                <w:sz w:val="18"/>
                <w:szCs w:val="18"/>
              </w:rPr>
              <w:t>硬件及外部设备的 技术开发、技术咨 询、技术转让、技 </w:t>
            </w:r>
            <w:r>
              <w:rPr>
                <w:rFonts w:ascii="宋体" w:hAnsi="宋体" w:cs="宋体" w:eastAsia="宋体" w:hint="default"/>
                <w:spacing w:val="-5"/>
                <w:sz w:val="18"/>
                <w:szCs w:val="18"/>
              </w:rPr>
              <w:t>术服务、技术培训；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销售打印纸和计算 机耗材、电子计算 机软硬件及外部设 备；数据库服务。</w:t>
            </w:r>
          </w:p>
        </w:tc>
        <w:tc>
          <w:tcPr>
            <w:tcW w:w="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92.32</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351,112,349</w:t>
            </w:r>
            <w:r>
              <w:rPr>
                <w:rFonts w:ascii="宋体"/>
                <w:sz w:val="18"/>
              </w:rPr>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607,255,319</w:t>
            </w:r>
            <w:r>
              <w:rPr>
                <w:rFonts w:ascii="宋体"/>
                <w:sz w:val="18"/>
              </w:rPr>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106,533,208</w:t>
            </w:r>
            <w:r>
              <w:rPr>
                <w:rFonts w:ascii="宋体"/>
                <w:sz w:val="18"/>
              </w:rPr>
            </w:r>
          </w:p>
        </w:tc>
      </w:tr>
      <w:tr>
        <w:trPr>
          <w:trHeight w:val="953"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98" w:right="271"/>
              <w:jc w:val="left"/>
              <w:rPr>
                <w:rFonts w:ascii="宋体" w:hAnsi="宋体" w:cs="宋体" w:eastAsia="宋体" w:hint="default"/>
                <w:sz w:val="18"/>
                <w:szCs w:val="18"/>
              </w:rPr>
            </w:pPr>
            <w:r>
              <w:rPr>
                <w:rFonts w:ascii="宋体" w:hAnsi="宋体" w:cs="宋体" w:eastAsia="宋体" w:hint="default"/>
                <w:sz w:val="18"/>
                <w:szCs w:val="18"/>
              </w:rPr>
              <w:t>用友新道科 技有限公司</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2"/>
              <w:jc w:val="right"/>
              <w:rPr>
                <w:rFonts w:ascii="宋体" w:hAnsi="宋体" w:cs="宋体" w:eastAsia="宋体" w:hint="default"/>
                <w:sz w:val="18"/>
                <w:szCs w:val="18"/>
              </w:rPr>
            </w:pPr>
            <w:r>
              <w:rPr>
                <w:rFonts w:ascii="宋体"/>
                <w:spacing w:val="-1"/>
                <w:sz w:val="18"/>
              </w:rPr>
              <w:t>50,000,000</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89"/>
              <w:ind w:left="98" w:right="105"/>
              <w:jc w:val="left"/>
              <w:rPr>
                <w:rFonts w:ascii="宋体" w:hAnsi="宋体" w:cs="宋体" w:eastAsia="宋体" w:hint="default"/>
                <w:sz w:val="18"/>
                <w:szCs w:val="18"/>
              </w:rPr>
            </w:pPr>
            <w:r>
              <w:rPr>
                <w:rFonts w:ascii="宋体" w:hAnsi="宋体" w:cs="宋体" w:eastAsia="宋体" w:hint="default"/>
                <w:sz w:val="18"/>
                <w:szCs w:val="18"/>
              </w:rPr>
              <w:t>计算机软 件</w:t>
            </w:r>
            <w:r>
              <w:rPr>
                <w:rFonts w:ascii="宋体" w:hAnsi="宋体" w:cs="宋体" w:eastAsia="宋体" w:hint="default"/>
                <w:sz w:val="18"/>
                <w:szCs w:val="18"/>
              </w:rPr>
              <w:t>/</w:t>
            </w:r>
            <w:r>
              <w:rPr>
                <w:rFonts w:ascii="宋体" w:hAnsi="宋体" w:cs="宋体" w:eastAsia="宋体" w:hint="default"/>
                <w:sz w:val="18"/>
                <w:szCs w:val="18"/>
              </w:rPr>
              <w:t>管理培 训</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6" w:right="0"/>
              <w:jc w:val="left"/>
              <w:rPr>
                <w:rFonts w:ascii="宋体" w:hAnsi="宋体" w:cs="宋体" w:eastAsia="宋体" w:hint="default"/>
                <w:sz w:val="18"/>
                <w:szCs w:val="18"/>
              </w:rPr>
            </w:pPr>
            <w:r>
              <w:rPr>
                <w:rFonts w:ascii="宋体" w:hAnsi="宋体" w:cs="宋体" w:eastAsia="宋体" w:hint="default"/>
                <w:sz w:val="18"/>
                <w:szCs w:val="18"/>
              </w:rPr>
              <w:t>管理课程开发与培</w:t>
            </w:r>
          </w:p>
          <w:p>
            <w:pPr>
              <w:pStyle w:val="TableParagraph"/>
              <w:spacing w:line="232" w:lineRule="exact" w:before="24"/>
              <w:ind w:left="96" w:right="7"/>
              <w:jc w:val="left"/>
              <w:rPr>
                <w:rFonts w:ascii="宋体" w:hAnsi="宋体" w:cs="宋体" w:eastAsia="宋体" w:hint="default"/>
                <w:sz w:val="18"/>
                <w:szCs w:val="18"/>
              </w:rPr>
            </w:pPr>
            <w:r>
              <w:rPr>
                <w:rFonts w:ascii="宋体" w:hAnsi="宋体" w:cs="宋体" w:eastAsia="宋体" w:hint="default"/>
                <w:spacing w:val="-5"/>
                <w:sz w:val="18"/>
                <w:szCs w:val="18"/>
              </w:rPr>
              <w:t>训，软件开发销售、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咨询服务，在线学 习</w:t>
            </w:r>
          </w:p>
        </w:tc>
        <w:tc>
          <w:tcPr>
            <w:tcW w:w="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 w:right="0"/>
              <w:jc w:val="center"/>
              <w:rPr>
                <w:rFonts w:ascii="宋体" w:hAnsi="宋体" w:cs="宋体" w:eastAsia="宋体" w:hint="default"/>
                <w:sz w:val="18"/>
                <w:szCs w:val="18"/>
              </w:rPr>
            </w:pPr>
            <w:r>
              <w:rPr>
                <w:rFonts w:ascii="宋体"/>
                <w:sz w:val="18"/>
              </w:rPr>
              <w:t>100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7"/>
              <w:jc w:val="right"/>
              <w:rPr>
                <w:rFonts w:ascii="宋体" w:hAnsi="宋体" w:cs="宋体" w:eastAsia="宋体" w:hint="default"/>
                <w:sz w:val="18"/>
                <w:szCs w:val="18"/>
              </w:rPr>
            </w:pPr>
            <w:r>
              <w:rPr>
                <w:rFonts w:ascii="宋体"/>
                <w:spacing w:val="-1"/>
                <w:sz w:val="18"/>
              </w:rPr>
              <w:t>91,993,038</w:t>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5"/>
              <w:jc w:val="right"/>
              <w:rPr>
                <w:rFonts w:ascii="宋体" w:hAnsi="宋体" w:cs="宋体" w:eastAsia="宋体" w:hint="default"/>
                <w:sz w:val="18"/>
                <w:szCs w:val="18"/>
              </w:rPr>
            </w:pPr>
            <w:r>
              <w:rPr>
                <w:rFonts w:ascii="宋体"/>
                <w:spacing w:val="-1"/>
                <w:sz w:val="18"/>
              </w:rPr>
              <w:t>91,134,868</w:t>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4"/>
              <w:jc w:val="right"/>
              <w:rPr>
                <w:rFonts w:ascii="宋体" w:hAnsi="宋体" w:cs="宋体" w:eastAsia="宋体" w:hint="default"/>
                <w:sz w:val="18"/>
                <w:szCs w:val="18"/>
              </w:rPr>
            </w:pPr>
            <w:r>
              <w:rPr>
                <w:rFonts w:ascii="宋体"/>
                <w:spacing w:val="-1"/>
                <w:sz w:val="18"/>
              </w:rPr>
              <w:t>17,666,246</w:t>
            </w:r>
          </w:p>
        </w:tc>
      </w:tr>
      <w:tr>
        <w:trPr>
          <w:trHeight w:val="2590"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32" w:lineRule="exact"/>
              <w:ind w:left="98" w:right="271"/>
              <w:jc w:val="both"/>
              <w:rPr>
                <w:rFonts w:ascii="宋体" w:hAnsi="宋体" w:cs="宋体" w:eastAsia="宋体" w:hint="default"/>
                <w:sz w:val="18"/>
                <w:szCs w:val="18"/>
              </w:rPr>
            </w:pPr>
            <w:r>
              <w:rPr>
                <w:rFonts w:ascii="宋体" w:hAnsi="宋体" w:cs="宋体" w:eastAsia="宋体" w:hint="default"/>
                <w:sz w:val="18"/>
                <w:szCs w:val="18"/>
              </w:rPr>
              <w:t>北京用友审 计软件有限 公司</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92"/>
              <w:jc w:val="right"/>
              <w:rPr>
                <w:rFonts w:ascii="宋体" w:hAnsi="宋体" w:cs="宋体" w:eastAsia="宋体" w:hint="default"/>
                <w:sz w:val="18"/>
                <w:szCs w:val="18"/>
              </w:rPr>
            </w:pPr>
            <w:r>
              <w:rPr>
                <w:rFonts w:ascii="宋体"/>
                <w:spacing w:val="-1"/>
                <w:sz w:val="18"/>
              </w:rPr>
              <w:t>10,000,000</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32" w:lineRule="exact"/>
              <w:ind w:left="98" w:right="17"/>
              <w:jc w:val="left"/>
              <w:rPr>
                <w:rFonts w:ascii="宋体" w:hAnsi="宋体" w:cs="宋体" w:eastAsia="宋体" w:hint="default"/>
                <w:sz w:val="18"/>
                <w:szCs w:val="18"/>
              </w:rPr>
            </w:pPr>
            <w:r>
              <w:rPr>
                <w:rFonts w:ascii="宋体" w:hAnsi="宋体" w:cs="宋体" w:eastAsia="宋体" w:hint="default"/>
                <w:sz w:val="18"/>
                <w:szCs w:val="18"/>
              </w:rPr>
              <w:t>计算机软、 硬件</w:t>
            </w:r>
            <w:r>
              <w:rPr>
                <w:rFonts w:ascii="宋体" w:hAnsi="宋体" w:cs="宋体" w:eastAsia="宋体" w:hint="default"/>
                <w:sz w:val="18"/>
                <w:szCs w:val="18"/>
              </w:rPr>
              <w:t>/</w:t>
            </w:r>
            <w:r>
              <w:rPr>
                <w:rFonts w:ascii="宋体" w:hAnsi="宋体" w:cs="宋体" w:eastAsia="宋体" w:hint="default"/>
                <w:sz w:val="18"/>
                <w:szCs w:val="18"/>
              </w:rPr>
              <w:t>系统 集成行业</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6" w:right="0"/>
              <w:jc w:val="both"/>
              <w:rPr>
                <w:rFonts w:ascii="宋体" w:hAnsi="宋体" w:cs="宋体" w:eastAsia="宋体" w:hint="default"/>
                <w:sz w:val="18"/>
                <w:szCs w:val="18"/>
              </w:rPr>
            </w:pPr>
            <w:r>
              <w:rPr>
                <w:rFonts w:ascii="宋体" w:hAnsi="宋体" w:cs="宋体" w:eastAsia="宋体" w:hint="default"/>
                <w:sz w:val="18"/>
                <w:szCs w:val="18"/>
              </w:rPr>
              <w:t>基础软件服务；应</w:t>
            </w:r>
          </w:p>
          <w:p>
            <w:pPr>
              <w:pStyle w:val="TableParagraph"/>
              <w:spacing w:line="237" w:lineRule="auto"/>
              <w:ind w:left="96" w:right="146"/>
              <w:jc w:val="both"/>
              <w:rPr>
                <w:rFonts w:ascii="宋体" w:hAnsi="宋体" w:cs="宋体" w:eastAsia="宋体" w:hint="default"/>
                <w:sz w:val="18"/>
                <w:szCs w:val="18"/>
              </w:rPr>
            </w:pPr>
            <w:r>
              <w:rPr>
                <w:rFonts w:ascii="宋体" w:hAnsi="宋体" w:cs="宋体" w:eastAsia="宋体" w:hint="default"/>
                <w:sz w:val="18"/>
                <w:szCs w:val="18"/>
              </w:rPr>
              <w:t>用软件服务；技术 开发、技术推广、 技术转让、技术咨 询、技术服务；计 算机系统服务；计 算机维修；销售计 算机、软件及辅助 设备、电子产品、 机械设备、通讯设 备。</w:t>
            </w:r>
          </w:p>
        </w:tc>
        <w:tc>
          <w:tcPr>
            <w:tcW w:w="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sz w:val="18"/>
              </w:rPr>
              <w:t>82</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43,994,915</w:t>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34,100,431</w:t>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93"/>
              <w:jc w:val="right"/>
              <w:rPr>
                <w:rFonts w:ascii="宋体" w:hAnsi="宋体" w:cs="宋体" w:eastAsia="宋体" w:hint="default"/>
                <w:sz w:val="18"/>
                <w:szCs w:val="18"/>
              </w:rPr>
            </w:pPr>
            <w:r>
              <w:rPr>
                <w:rFonts w:ascii="宋体"/>
                <w:sz w:val="18"/>
              </w:rPr>
              <w:t>4,882,680</w:t>
            </w:r>
          </w:p>
        </w:tc>
      </w:tr>
      <w:tr>
        <w:trPr>
          <w:trHeight w:val="1186"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sz w:val="18"/>
              </w:rPr>
              <w:t>YONYOU</w:t>
            </w:r>
          </w:p>
          <w:p>
            <w:pPr>
              <w:pStyle w:val="TableParagraph"/>
              <w:spacing w:line="237" w:lineRule="auto"/>
              <w:ind w:left="98" w:right="177"/>
              <w:jc w:val="left"/>
              <w:rPr>
                <w:rFonts w:ascii="宋体" w:hAnsi="宋体" w:cs="宋体" w:eastAsia="宋体" w:hint="default"/>
                <w:sz w:val="18"/>
                <w:szCs w:val="18"/>
              </w:rPr>
            </w:pPr>
            <w:r>
              <w:rPr>
                <w:rFonts w:ascii="宋体"/>
                <w:sz w:val="18"/>
              </w:rPr>
              <w:t>INTERNATION</w:t>
            </w:r>
            <w:r>
              <w:rPr>
                <w:rFonts w:ascii="宋体"/>
                <w:spacing w:val="1"/>
                <w:sz w:val="18"/>
              </w:rPr>
              <w:t> </w:t>
            </w:r>
            <w:r>
              <w:rPr>
                <w:rFonts w:ascii="宋体"/>
                <w:sz w:val="18"/>
              </w:rPr>
              <w:t>AL</w:t>
            </w:r>
            <w:r>
              <w:rPr>
                <w:rFonts w:ascii="宋体"/>
                <w:spacing w:val="1"/>
                <w:sz w:val="18"/>
              </w:rPr>
              <w:t> </w:t>
            </w:r>
            <w:r>
              <w:rPr>
                <w:rFonts w:ascii="宋体"/>
                <w:sz w:val="18"/>
              </w:rPr>
              <w:t>HOLDINGS.,L</w:t>
            </w:r>
            <w:r>
              <w:rPr>
                <w:rFonts w:ascii="宋体"/>
                <w:spacing w:val="1"/>
                <w:sz w:val="18"/>
              </w:rPr>
              <w:t> </w:t>
            </w:r>
            <w:r>
              <w:rPr>
                <w:rFonts w:ascii="宋体"/>
                <w:sz w:val="18"/>
              </w:rPr>
              <w:t>TD.</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美元</w:t>
            </w:r>
            <w:r>
              <w:rPr>
                <w:rFonts w:ascii="宋体" w:hAnsi="宋体" w:cs="宋体" w:eastAsia="宋体" w:hint="default"/>
                <w:spacing w:val="-45"/>
                <w:sz w:val="18"/>
                <w:szCs w:val="18"/>
              </w:rPr>
              <w:t> </w:t>
            </w:r>
            <w:r>
              <w:rPr>
                <w:rFonts w:ascii="宋体" w:hAnsi="宋体" w:cs="宋体" w:eastAsia="宋体" w:hint="default"/>
                <w:sz w:val="18"/>
                <w:szCs w:val="18"/>
              </w:rPr>
              <w:t>30,000</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111"/>
              <w:ind w:left="98" w:right="17"/>
              <w:jc w:val="left"/>
              <w:rPr>
                <w:rFonts w:ascii="宋体" w:hAnsi="宋体" w:cs="宋体" w:eastAsia="宋体" w:hint="default"/>
                <w:sz w:val="18"/>
                <w:szCs w:val="18"/>
              </w:rPr>
            </w:pPr>
            <w:r>
              <w:rPr>
                <w:rFonts w:ascii="宋体" w:hAnsi="宋体" w:cs="宋体" w:eastAsia="宋体" w:hint="default"/>
                <w:sz w:val="18"/>
                <w:szCs w:val="18"/>
              </w:rPr>
              <w:t>投资控股、 计算机软 件开发及 技术咨询</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37" w:lineRule="auto"/>
              <w:ind w:left="96" w:right="146"/>
              <w:jc w:val="both"/>
              <w:rPr>
                <w:rFonts w:ascii="宋体" w:hAnsi="宋体" w:cs="宋体" w:eastAsia="宋体" w:hint="default"/>
                <w:sz w:val="18"/>
                <w:szCs w:val="18"/>
              </w:rPr>
            </w:pPr>
            <w:r>
              <w:rPr>
                <w:rFonts w:ascii="宋体" w:hAnsi="宋体" w:cs="宋体" w:eastAsia="宋体" w:hint="default"/>
                <w:sz w:val="18"/>
                <w:szCs w:val="18"/>
              </w:rPr>
              <w:t>投资控股、计算机 软件开发及技术咨 询</w:t>
            </w:r>
          </w:p>
        </w:tc>
        <w:tc>
          <w:tcPr>
            <w:tcW w:w="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18"/>
                <w:szCs w:val="18"/>
              </w:rPr>
            </w:pPr>
            <w:r>
              <w:rPr>
                <w:rFonts w:ascii="宋体"/>
                <w:sz w:val="18"/>
              </w:rPr>
              <w:t>100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48,041,125</w:t>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54,491,564</w:t>
            </w:r>
            <w:r>
              <w:rPr>
                <w:rFonts w:ascii="宋体"/>
                <w:sz w:val="18"/>
              </w:rPr>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-3,742,812</w:t>
            </w:r>
            <w:r>
              <w:rPr>
                <w:rFonts w:ascii="宋体"/>
                <w:sz w:val="18"/>
              </w:rPr>
            </w:r>
          </w:p>
        </w:tc>
      </w:tr>
      <w:tr>
        <w:trPr>
          <w:trHeight w:val="1378"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37" w:lineRule="auto"/>
              <w:ind w:left="98" w:right="271"/>
              <w:jc w:val="both"/>
              <w:rPr>
                <w:rFonts w:ascii="宋体" w:hAnsi="宋体" w:cs="宋体" w:eastAsia="宋体" w:hint="default"/>
                <w:sz w:val="18"/>
                <w:szCs w:val="18"/>
              </w:rPr>
            </w:pPr>
            <w:r>
              <w:rPr>
                <w:rFonts w:ascii="宋体" w:hAnsi="宋体" w:cs="宋体" w:eastAsia="宋体" w:hint="default"/>
                <w:sz w:val="18"/>
                <w:szCs w:val="18"/>
              </w:rPr>
              <w:t>三亚用友软 件科技有限 公司</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91"/>
              <w:jc w:val="right"/>
              <w:rPr>
                <w:rFonts w:ascii="宋体" w:hAnsi="宋体" w:cs="宋体" w:eastAsia="宋体" w:hint="default"/>
                <w:sz w:val="18"/>
                <w:szCs w:val="18"/>
              </w:rPr>
            </w:pPr>
            <w:r>
              <w:rPr>
                <w:rFonts w:ascii="宋体"/>
                <w:spacing w:val="-1"/>
                <w:sz w:val="18"/>
              </w:rPr>
              <w:t>100,000,000</w:t>
            </w:r>
            <w:r>
              <w:rPr>
                <w:rFonts w:ascii="宋体"/>
                <w:sz w:val="18"/>
              </w:rPr>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67"/>
              <w:ind w:left="98" w:right="96"/>
              <w:jc w:val="left"/>
              <w:rPr>
                <w:rFonts w:ascii="宋体" w:hAnsi="宋体" w:cs="宋体" w:eastAsia="宋体" w:hint="default"/>
                <w:sz w:val="18"/>
                <w:szCs w:val="18"/>
              </w:rPr>
            </w:pPr>
            <w:r>
              <w:rPr>
                <w:rFonts w:ascii="宋体" w:hAnsi="宋体" w:cs="宋体" w:eastAsia="宋体" w:hint="default"/>
                <w:sz w:val="18"/>
                <w:szCs w:val="18"/>
              </w:rPr>
              <w:t>软件研发 </w:t>
            </w:r>
            <w:r>
              <w:rPr>
                <w:rFonts w:ascii="宋体" w:hAnsi="宋体" w:cs="宋体" w:eastAsia="宋体" w:hint="default"/>
                <w:spacing w:val="-14"/>
                <w:sz w:val="18"/>
                <w:szCs w:val="18"/>
              </w:rPr>
              <w:t>和销售，</w:t>
            </w:r>
            <w:r>
              <w:rPr>
                <w:rFonts w:ascii="宋体" w:hAnsi="宋体" w:cs="宋体" w:eastAsia="宋体" w:hint="default"/>
                <w:spacing w:val="-14"/>
                <w:sz w:val="18"/>
                <w:szCs w:val="18"/>
              </w:rPr>
              <w:t>IT</w:t>
            </w:r>
            <w:r>
              <w:rPr>
                <w:rFonts w:ascii="宋体" w:hAnsi="宋体" w:cs="宋体" w:eastAsia="宋体" w:hint="default"/>
                <w:spacing w:val="-86"/>
                <w:sz w:val="18"/>
                <w:szCs w:val="18"/>
              </w:rPr>
              <w:t> </w:t>
            </w:r>
            <w:r>
              <w:rPr>
                <w:rFonts w:ascii="宋体" w:hAnsi="宋体" w:cs="宋体" w:eastAsia="宋体" w:hint="default"/>
                <w:spacing w:val="-17"/>
                <w:sz w:val="18"/>
                <w:szCs w:val="18"/>
              </w:rPr>
              <w:t>服务，技术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交流和培 训</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37" w:lineRule="auto"/>
              <w:ind w:left="96" w:right="98"/>
              <w:jc w:val="both"/>
              <w:rPr>
                <w:rFonts w:ascii="宋体" w:hAnsi="宋体" w:cs="宋体" w:eastAsia="宋体" w:hint="default"/>
                <w:sz w:val="18"/>
                <w:szCs w:val="18"/>
              </w:rPr>
            </w:pPr>
            <w:r>
              <w:rPr>
                <w:rFonts w:ascii="宋体" w:hAnsi="宋体" w:cs="宋体" w:eastAsia="宋体" w:hint="default"/>
                <w:sz w:val="18"/>
                <w:szCs w:val="18"/>
              </w:rPr>
              <w:t>软件研发与销售， </w:t>
            </w:r>
            <w:r>
              <w:rPr>
                <w:rFonts w:ascii="宋体" w:hAnsi="宋体" w:cs="宋体" w:eastAsia="宋体" w:hint="default"/>
                <w:sz w:val="18"/>
                <w:szCs w:val="18"/>
              </w:rPr>
              <w:t>IT</w:t>
            </w:r>
            <w:r>
              <w:rPr>
                <w:rFonts w:ascii="宋体" w:hAnsi="宋体" w:cs="宋体" w:eastAsia="宋体" w:hint="default"/>
                <w:spacing w:val="-44"/>
                <w:sz w:val="18"/>
                <w:szCs w:val="18"/>
              </w:rPr>
              <w:t> </w:t>
            </w:r>
            <w:r>
              <w:rPr>
                <w:rFonts w:ascii="宋体" w:hAnsi="宋体" w:cs="宋体" w:eastAsia="宋体" w:hint="default"/>
                <w:sz w:val="18"/>
                <w:szCs w:val="18"/>
              </w:rPr>
              <w:t>服务，技术交流 与培训。</w:t>
            </w:r>
          </w:p>
        </w:tc>
        <w:tc>
          <w:tcPr>
            <w:tcW w:w="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 w:right="0"/>
              <w:jc w:val="center"/>
              <w:rPr>
                <w:rFonts w:ascii="宋体" w:hAnsi="宋体" w:cs="宋体" w:eastAsia="宋体" w:hint="default"/>
                <w:sz w:val="18"/>
                <w:szCs w:val="18"/>
              </w:rPr>
            </w:pPr>
            <w:r>
              <w:rPr>
                <w:rFonts w:ascii="宋体"/>
                <w:sz w:val="18"/>
              </w:rPr>
              <w:t>100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93"/>
              <w:jc w:val="right"/>
              <w:rPr>
                <w:rFonts w:ascii="宋体" w:hAnsi="宋体" w:cs="宋体" w:eastAsia="宋体" w:hint="default"/>
                <w:sz w:val="18"/>
                <w:szCs w:val="18"/>
              </w:rPr>
            </w:pPr>
            <w:r>
              <w:rPr>
                <w:rFonts w:ascii="宋体"/>
                <w:spacing w:val="-1"/>
                <w:sz w:val="18"/>
              </w:rPr>
              <w:t>100,197,955</w:t>
            </w:r>
            <w:r>
              <w:rPr>
                <w:rFonts w:ascii="宋体"/>
                <w:sz w:val="18"/>
              </w:rPr>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right="93"/>
              <w:jc w:val="right"/>
              <w:rPr>
                <w:rFonts w:ascii="宋体" w:hAnsi="宋体" w:cs="宋体" w:eastAsia="宋体" w:hint="default"/>
                <w:sz w:val="18"/>
                <w:szCs w:val="18"/>
              </w:rPr>
            </w:pPr>
            <w:r>
              <w:rPr>
                <w:rFonts w:ascii="宋体"/>
                <w:sz w:val="18"/>
              </w:rPr>
              <w:t>-97,514</w:t>
            </w:r>
          </w:p>
        </w:tc>
      </w:tr>
    </w:tbl>
    <w:p>
      <w:pPr>
        <w:spacing w:after="0" w:line="240" w:lineRule="auto"/>
        <w:jc w:val="right"/>
        <w:rPr>
          <w:rFonts w:ascii="宋体" w:hAnsi="宋体" w:cs="宋体" w:eastAsia="宋体" w:hint="default"/>
          <w:sz w:val="18"/>
          <w:szCs w:val="18"/>
        </w:rPr>
        <w:sectPr>
          <w:pgSz w:w="11910" w:h="16850"/>
          <w:pgMar w:header="752" w:footer="730" w:top="1020" w:bottom="920" w:left="1160" w:right="6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07" w:type="dxa"/>
        <w:tblLayout w:type="fixed"/>
        <w:tblCellMar>
          <w:top w:w="0" w:type="dxa"/>
          <w:left w:w="0" w:type="dxa"/>
          <w:bottom w:w="0" w:type="dxa"/>
          <w:right w:w="0" w:type="dxa"/>
        </w:tblCellMar>
        <w:tblLook w:val="01E0"/>
      </w:tblPr>
      <w:tblGrid>
        <w:gridCol w:w="1291"/>
        <w:gridCol w:w="1274"/>
        <w:gridCol w:w="1037"/>
        <w:gridCol w:w="1704"/>
        <w:gridCol w:w="804"/>
        <w:gridCol w:w="1274"/>
        <w:gridCol w:w="1214"/>
        <w:gridCol w:w="1243"/>
      </w:tblGrid>
      <w:tr>
        <w:trPr>
          <w:trHeight w:val="117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240" w:right="151" w:hanging="89"/>
              <w:jc w:val="left"/>
              <w:rPr>
                <w:rFonts w:ascii="宋体" w:hAnsi="宋体" w:cs="宋体" w:eastAsia="宋体" w:hint="default"/>
                <w:sz w:val="18"/>
                <w:szCs w:val="18"/>
              </w:rPr>
            </w:pPr>
            <w:r>
              <w:rPr>
                <w:rFonts w:ascii="宋体" w:hAnsi="宋体" w:cs="宋体" w:eastAsia="宋体" w:hint="default"/>
                <w:b/>
                <w:bCs/>
                <w:sz w:val="18"/>
                <w:szCs w:val="18"/>
              </w:rPr>
              <w:t>主要产品</w:t>
            </w:r>
            <w:r>
              <w:rPr>
                <w:rFonts w:ascii="宋体" w:hAnsi="宋体" w:cs="宋体" w:eastAsia="宋体" w:hint="default"/>
                <w:b/>
                <w:bCs/>
                <w:w w:val="99"/>
                <w:sz w:val="18"/>
                <w:szCs w:val="18"/>
              </w:rPr>
              <w:t> </w:t>
            </w:r>
            <w:r>
              <w:rPr>
                <w:rFonts w:ascii="宋体" w:hAnsi="宋体" w:cs="宋体" w:eastAsia="宋体" w:hint="default"/>
                <w:b/>
                <w:bCs/>
                <w:sz w:val="18"/>
                <w:szCs w:val="18"/>
              </w:rPr>
              <w:t>或服务</w:t>
            </w:r>
            <w:r>
              <w:rPr>
                <w:rFonts w:ascii="宋体" w:hAnsi="宋体" w:cs="宋体" w:eastAsia="宋体" w:hint="default"/>
                <w:sz w:val="18"/>
                <w:szCs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24" w:right="125"/>
              <w:jc w:val="both"/>
              <w:rPr>
                <w:rFonts w:ascii="宋体" w:hAnsi="宋体" w:cs="宋体" w:eastAsia="宋体" w:hint="default"/>
                <w:sz w:val="18"/>
                <w:szCs w:val="18"/>
              </w:rPr>
            </w:pPr>
            <w:r>
              <w:rPr>
                <w:rFonts w:ascii="宋体" w:hAnsi="宋体" w:cs="宋体" w:eastAsia="宋体" w:hint="default"/>
                <w:b/>
                <w:bCs/>
                <w:sz w:val="18"/>
                <w:szCs w:val="18"/>
              </w:rPr>
              <w:t>公司直</w:t>
            </w:r>
            <w:r>
              <w:rPr>
                <w:rFonts w:ascii="宋体" w:hAnsi="宋体" w:cs="宋体" w:eastAsia="宋体" w:hint="default"/>
                <w:b/>
                <w:bCs/>
                <w:w w:val="99"/>
                <w:sz w:val="18"/>
                <w:szCs w:val="18"/>
              </w:rPr>
              <w:t> </w:t>
            </w:r>
            <w:r>
              <w:rPr>
                <w:rFonts w:ascii="宋体" w:hAnsi="宋体" w:cs="宋体" w:eastAsia="宋体" w:hint="default"/>
                <w:b/>
                <w:bCs/>
                <w:sz w:val="18"/>
                <w:szCs w:val="18"/>
              </w:rPr>
              <w:t>接持股</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14" w:lineRule="exact"/>
              <w:ind w:left="170" w:right="0"/>
              <w:jc w:val="both"/>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540" w:right="182" w:hanging="363"/>
              <w:jc w:val="left"/>
              <w:rPr>
                <w:rFonts w:ascii="宋体" w:hAnsi="宋体" w:cs="宋体" w:eastAsia="宋体" w:hint="default"/>
                <w:sz w:val="18"/>
                <w:szCs w:val="18"/>
              </w:rPr>
            </w:pPr>
            <w:r>
              <w:rPr>
                <w:rFonts w:ascii="宋体" w:hAnsi="宋体" w:cs="宋体" w:eastAsia="宋体" w:hint="default"/>
                <w:b/>
                <w:bCs/>
                <w:sz w:val="18"/>
                <w:szCs w:val="18"/>
              </w:rPr>
              <w:t>主营业务收</w:t>
            </w:r>
            <w:r>
              <w:rPr>
                <w:rFonts w:ascii="宋体" w:hAnsi="宋体" w:cs="宋体" w:eastAsia="宋体" w:hint="default"/>
                <w:b/>
                <w:bCs/>
                <w:w w:val="99"/>
                <w:sz w:val="18"/>
                <w:szCs w:val="18"/>
              </w:rPr>
              <w:t> </w:t>
            </w:r>
            <w:r>
              <w:rPr>
                <w:rFonts w:ascii="宋体" w:hAnsi="宋体" w:cs="宋体" w:eastAsia="宋体" w:hint="default"/>
                <w:b/>
                <w:bCs/>
                <w:sz w:val="18"/>
                <w:szCs w:val="18"/>
              </w:rPr>
              <w:t>入</w:t>
            </w:r>
            <w:r>
              <w:rPr>
                <w:rFonts w:ascii="宋体" w:hAnsi="宋体" w:cs="宋体" w:eastAsia="宋体" w:hint="default"/>
                <w:sz w:val="18"/>
                <w:szCs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b/>
                <w:bCs/>
                <w:sz w:val="18"/>
                <w:szCs w:val="18"/>
              </w:rPr>
              <w:t>总资产</w:t>
            </w:r>
            <w:r>
              <w:rPr>
                <w:rFonts w:ascii="宋体" w:hAnsi="宋体" w:cs="宋体" w:eastAsia="宋体" w:hint="default"/>
                <w:sz w:val="18"/>
                <w:szCs w:val="18"/>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13"/>
              <w:ind w:right="0"/>
              <w:jc w:val="center"/>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（净损失）</w:t>
            </w:r>
            <w:r>
              <w:rPr>
                <w:rFonts w:ascii="宋体" w:hAnsi="宋体" w:cs="宋体" w:eastAsia="宋体" w:hint="default"/>
                <w:sz w:val="18"/>
                <w:szCs w:val="18"/>
              </w:rPr>
            </w:r>
          </w:p>
        </w:tc>
      </w:tr>
      <w:tr>
        <w:trPr>
          <w:trHeight w:val="3444" w:hRule="exact"/>
        </w:trPr>
        <w:tc>
          <w:tcPr>
            <w:tcW w:w="1291"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18"/>
              <w:ind w:left="98" w:right="91"/>
              <w:jc w:val="left"/>
              <w:rPr>
                <w:rFonts w:ascii="宋体" w:hAnsi="宋体" w:cs="宋体" w:eastAsia="宋体" w:hint="default"/>
                <w:sz w:val="18"/>
                <w:szCs w:val="18"/>
              </w:rPr>
            </w:pPr>
            <w:r>
              <w:rPr>
                <w:rFonts w:ascii="宋体" w:hAnsi="宋体" w:cs="宋体" w:eastAsia="宋体" w:hint="default"/>
                <w:sz w:val="18"/>
                <w:szCs w:val="18"/>
              </w:rPr>
              <w:t>用友（南昌） 产业基地发 展有限公司</w:t>
            </w:r>
          </w:p>
        </w:tc>
        <w:tc>
          <w:tcPr>
            <w:tcW w:w="1274"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2"/>
              <w:jc w:val="right"/>
              <w:rPr>
                <w:rFonts w:ascii="宋体" w:hAnsi="宋体" w:cs="宋体" w:eastAsia="宋体" w:hint="default"/>
                <w:sz w:val="18"/>
                <w:szCs w:val="18"/>
              </w:rPr>
            </w:pPr>
            <w:r>
              <w:rPr>
                <w:rFonts w:ascii="宋体"/>
                <w:spacing w:val="-1"/>
                <w:sz w:val="18"/>
              </w:rPr>
              <w:t>80,000,000</w:t>
            </w:r>
          </w:p>
        </w:tc>
        <w:tc>
          <w:tcPr>
            <w:tcW w:w="1037"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59"/>
              <w:ind w:left="98" w:right="17"/>
              <w:jc w:val="left"/>
              <w:rPr>
                <w:rFonts w:ascii="宋体" w:hAnsi="宋体" w:cs="宋体" w:eastAsia="宋体" w:hint="default"/>
                <w:sz w:val="18"/>
                <w:szCs w:val="18"/>
              </w:rPr>
            </w:pPr>
            <w:r>
              <w:rPr>
                <w:rFonts w:ascii="宋体" w:hAnsi="宋体" w:cs="宋体" w:eastAsia="宋体" w:hint="default"/>
                <w:sz w:val="18"/>
                <w:szCs w:val="18"/>
              </w:rPr>
              <w:t>房地产</w:t>
            </w:r>
            <w:r>
              <w:rPr>
                <w:rFonts w:ascii="宋体" w:hAnsi="宋体" w:cs="宋体" w:eastAsia="宋体" w:hint="default"/>
                <w:sz w:val="18"/>
                <w:szCs w:val="18"/>
              </w:rPr>
              <w:t>/</w:t>
            </w:r>
            <w:r>
              <w:rPr>
                <w:rFonts w:ascii="宋体" w:hAnsi="宋体" w:cs="宋体" w:eastAsia="宋体" w:hint="default"/>
                <w:sz w:val="18"/>
                <w:szCs w:val="18"/>
              </w:rPr>
              <w:t>金 融投资业</w:t>
            </w:r>
            <w:r>
              <w:rPr>
                <w:rFonts w:ascii="宋体" w:hAnsi="宋体" w:cs="宋体" w:eastAsia="宋体" w:hint="default"/>
                <w:sz w:val="18"/>
                <w:szCs w:val="18"/>
              </w:rPr>
              <w:t>/ </w:t>
            </w:r>
            <w:r>
              <w:rPr>
                <w:rFonts w:ascii="宋体" w:hAnsi="宋体" w:cs="宋体" w:eastAsia="宋体" w:hint="default"/>
                <w:sz w:val="18"/>
                <w:szCs w:val="18"/>
              </w:rPr>
              <w:t>计算机软、 硬件和耗 </w:t>
            </w:r>
            <w:r>
              <w:rPr>
                <w:rFonts w:ascii="宋体" w:hAnsi="宋体" w:cs="宋体" w:eastAsia="宋体" w:hint="default"/>
                <w:spacing w:val="-17"/>
                <w:sz w:val="18"/>
                <w:szCs w:val="18"/>
              </w:rPr>
              <w:t>材、电子行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w:t>
            </w:r>
          </w:p>
        </w:tc>
        <w:tc>
          <w:tcPr>
            <w:tcW w:w="1704" w:type="dxa"/>
            <w:tcBorders>
              <w:top w:val="single" w:sz="4" w:space="0" w:color="000000"/>
              <w:left w:val="single" w:sz="8" w:space="0" w:color="000000"/>
              <w:bottom w:val="single" w:sz="8" w:space="0" w:color="000000"/>
              <w:right w:val="single" w:sz="8" w:space="0" w:color="000000"/>
            </w:tcBorders>
          </w:tcPr>
          <w:p>
            <w:pPr>
              <w:pStyle w:val="TableParagraph"/>
              <w:spacing w:line="237" w:lineRule="auto" w:before="53"/>
              <w:ind w:left="96" w:right="7"/>
              <w:jc w:val="left"/>
              <w:rPr>
                <w:rFonts w:ascii="宋体" w:hAnsi="宋体" w:cs="宋体" w:eastAsia="宋体" w:hint="default"/>
                <w:sz w:val="18"/>
                <w:szCs w:val="18"/>
              </w:rPr>
            </w:pPr>
            <w:r>
              <w:rPr>
                <w:rFonts w:ascii="宋体" w:hAnsi="宋体" w:cs="宋体" w:eastAsia="宋体" w:hint="default"/>
                <w:sz w:val="18"/>
                <w:szCs w:val="18"/>
              </w:rPr>
              <w:t>实业投资（金融、 期货、保险、证券 除外）；自有房租 赁；电子计算机软 件、硬件及外部设 备的技术开发、技 </w:t>
            </w:r>
            <w:r>
              <w:rPr>
                <w:rFonts w:ascii="宋体" w:hAnsi="宋体" w:cs="宋体" w:eastAsia="宋体" w:hint="default"/>
                <w:spacing w:val="-5"/>
                <w:sz w:val="18"/>
                <w:szCs w:val="18"/>
              </w:rPr>
              <w:t>术咨询、技术转让、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技术服务、技术培 </w:t>
            </w:r>
            <w:r>
              <w:rPr>
                <w:rFonts w:ascii="宋体" w:hAnsi="宋体" w:cs="宋体" w:eastAsia="宋体" w:hint="default"/>
                <w:spacing w:val="-5"/>
                <w:sz w:val="18"/>
                <w:szCs w:val="18"/>
              </w:rPr>
              <w:t>训；企业管理咨询；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数据库服务；打印 纸、计算机耗材、 电子计算机软硬件 及外部设备销售； 系统集成。</w:t>
            </w:r>
          </w:p>
        </w:tc>
        <w:tc>
          <w:tcPr>
            <w:tcW w:w="804"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2" w:right="0"/>
              <w:jc w:val="center"/>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9"/>
              <w:jc w:val="right"/>
              <w:rPr>
                <w:rFonts w:ascii="宋体" w:hAnsi="宋体" w:cs="宋体" w:eastAsia="宋体" w:hint="default"/>
                <w:sz w:val="18"/>
                <w:szCs w:val="18"/>
              </w:rPr>
            </w:pPr>
            <w:r>
              <w:rPr>
                <w:rFonts w:ascii="宋体"/>
                <w:sz w:val="18"/>
              </w:rPr>
              <w:t>-</w:t>
            </w:r>
          </w:p>
        </w:tc>
        <w:tc>
          <w:tcPr>
            <w:tcW w:w="1214"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3"/>
              <w:jc w:val="right"/>
              <w:rPr>
                <w:rFonts w:ascii="宋体" w:hAnsi="宋体" w:cs="宋体" w:eastAsia="宋体" w:hint="default"/>
                <w:sz w:val="18"/>
                <w:szCs w:val="18"/>
              </w:rPr>
            </w:pPr>
            <w:r>
              <w:rPr>
                <w:rFonts w:ascii="宋体"/>
                <w:spacing w:val="-1"/>
                <w:sz w:val="18"/>
              </w:rPr>
              <w:t>137,870,266</w:t>
            </w:r>
            <w:r>
              <w:rPr>
                <w:rFonts w:ascii="宋体"/>
                <w:sz w:val="18"/>
              </w:rPr>
            </w:r>
          </w:p>
        </w:tc>
        <w:tc>
          <w:tcPr>
            <w:tcW w:w="1243"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96"/>
              <w:jc w:val="right"/>
              <w:rPr>
                <w:rFonts w:ascii="宋体" w:hAnsi="宋体" w:cs="宋体" w:eastAsia="宋体" w:hint="default"/>
                <w:sz w:val="18"/>
                <w:szCs w:val="18"/>
              </w:rPr>
            </w:pPr>
            <w:r>
              <w:rPr>
                <w:rFonts w:ascii="宋体"/>
                <w:spacing w:val="-1"/>
                <w:sz w:val="18"/>
              </w:rPr>
              <w:t>-2,961,010</w:t>
            </w:r>
            <w:r>
              <w:rPr>
                <w:rFonts w:ascii="宋体"/>
                <w:sz w:val="18"/>
              </w:rPr>
            </w:r>
          </w:p>
        </w:tc>
      </w:tr>
      <w:tr>
        <w:trPr>
          <w:trHeight w:val="1186"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98" w:right="271"/>
              <w:jc w:val="left"/>
              <w:rPr>
                <w:rFonts w:ascii="宋体" w:hAnsi="宋体" w:cs="宋体" w:eastAsia="宋体" w:hint="default"/>
                <w:sz w:val="18"/>
                <w:szCs w:val="18"/>
              </w:rPr>
            </w:pPr>
            <w:r>
              <w:rPr>
                <w:rFonts w:ascii="宋体" w:hAnsi="宋体" w:cs="宋体" w:eastAsia="宋体" w:hint="default"/>
                <w:sz w:val="18"/>
                <w:szCs w:val="18"/>
              </w:rPr>
              <w:t>重庆用友软 件有限公司</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1"/>
              <w:jc w:val="right"/>
              <w:rPr>
                <w:rFonts w:ascii="宋体" w:hAnsi="宋体" w:cs="宋体" w:eastAsia="宋体" w:hint="default"/>
                <w:sz w:val="18"/>
                <w:szCs w:val="18"/>
              </w:rPr>
            </w:pPr>
            <w:r>
              <w:rPr>
                <w:rFonts w:ascii="宋体"/>
                <w:sz w:val="18"/>
              </w:rPr>
              <w:t>800,000</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98" w:right="107"/>
              <w:jc w:val="left"/>
              <w:rPr>
                <w:rFonts w:ascii="宋体" w:hAnsi="宋体" w:cs="宋体" w:eastAsia="宋体" w:hint="default"/>
                <w:sz w:val="18"/>
                <w:szCs w:val="18"/>
              </w:rPr>
            </w:pPr>
            <w:r>
              <w:rPr>
                <w:rFonts w:ascii="宋体" w:hAnsi="宋体" w:cs="宋体" w:eastAsia="宋体" w:hint="default"/>
                <w:sz w:val="18"/>
                <w:szCs w:val="18"/>
              </w:rPr>
              <w:t>计算机软</w:t>
            </w:r>
            <w:r>
              <w:rPr>
                <w:rFonts w:ascii="宋体" w:hAnsi="宋体" w:cs="宋体" w:eastAsia="宋体" w:hint="default"/>
                <w:sz w:val="18"/>
                <w:szCs w:val="18"/>
              </w:rPr>
              <w:t>/ </w:t>
            </w:r>
            <w:r>
              <w:rPr>
                <w:rFonts w:ascii="宋体" w:hAnsi="宋体" w:cs="宋体" w:eastAsia="宋体" w:hint="default"/>
                <w:sz w:val="18"/>
                <w:szCs w:val="18"/>
              </w:rPr>
              <w:t>硬件行业</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6" w:right="0"/>
              <w:jc w:val="both"/>
              <w:rPr>
                <w:rFonts w:ascii="宋体" w:hAnsi="宋体" w:cs="宋体" w:eastAsia="宋体" w:hint="default"/>
                <w:sz w:val="18"/>
                <w:szCs w:val="18"/>
              </w:rPr>
            </w:pPr>
            <w:r>
              <w:rPr>
                <w:rFonts w:ascii="宋体" w:hAnsi="宋体" w:cs="宋体" w:eastAsia="宋体" w:hint="default"/>
                <w:sz w:val="18"/>
                <w:szCs w:val="18"/>
              </w:rPr>
              <w:t>计算机软、硬件及</w:t>
            </w:r>
          </w:p>
          <w:p>
            <w:pPr>
              <w:pStyle w:val="TableParagraph"/>
              <w:spacing w:line="237" w:lineRule="auto"/>
              <w:ind w:left="96" w:right="146"/>
              <w:jc w:val="both"/>
              <w:rPr>
                <w:rFonts w:ascii="宋体" w:hAnsi="宋体" w:cs="宋体" w:eastAsia="宋体" w:hint="default"/>
                <w:sz w:val="18"/>
                <w:szCs w:val="18"/>
              </w:rPr>
            </w:pPr>
            <w:r>
              <w:rPr>
                <w:rFonts w:ascii="宋体" w:hAnsi="宋体" w:cs="宋体" w:eastAsia="宋体" w:hint="default"/>
                <w:sz w:val="18"/>
                <w:szCs w:val="18"/>
              </w:rPr>
              <w:t>外围设备的开发、 销售和技术服务； 财会电算化管理服 务。</w:t>
            </w:r>
          </w:p>
        </w:tc>
        <w:tc>
          <w:tcPr>
            <w:tcW w:w="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81.88</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48,638,191</w:t>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26,072,591</w:t>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-4,753,571</w:t>
            </w:r>
            <w:r>
              <w:rPr>
                <w:rFonts w:ascii="宋体"/>
                <w:sz w:val="18"/>
              </w:rPr>
            </w:r>
          </w:p>
        </w:tc>
      </w:tr>
      <w:tr>
        <w:trPr>
          <w:trHeight w:val="720"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深圳巿灏麓</w:t>
            </w:r>
          </w:p>
          <w:p>
            <w:pPr>
              <w:pStyle w:val="TableParagraph"/>
              <w:spacing w:line="232" w:lineRule="exact" w:before="24"/>
              <w:ind w:left="98" w:right="271"/>
              <w:jc w:val="left"/>
              <w:rPr>
                <w:rFonts w:ascii="宋体" w:hAnsi="宋体" w:cs="宋体" w:eastAsia="宋体" w:hint="default"/>
                <w:sz w:val="18"/>
                <w:szCs w:val="18"/>
              </w:rPr>
            </w:pPr>
            <w:r>
              <w:rPr>
                <w:rFonts w:ascii="宋体" w:hAnsi="宋体" w:cs="宋体" w:eastAsia="宋体" w:hint="default"/>
                <w:sz w:val="18"/>
                <w:szCs w:val="18"/>
              </w:rPr>
              <w:t>梵科技有限 公司</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1"/>
              <w:jc w:val="right"/>
              <w:rPr>
                <w:rFonts w:ascii="宋体" w:hAnsi="宋体" w:cs="宋体" w:eastAsia="宋体" w:hint="default"/>
                <w:sz w:val="18"/>
                <w:szCs w:val="18"/>
              </w:rPr>
            </w:pPr>
            <w:r>
              <w:rPr>
                <w:rFonts w:ascii="宋体"/>
                <w:sz w:val="18"/>
              </w:rPr>
              <w:t>1,000,000</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112"/>
              <w:ind w:left="98" w:right="197"/>
              <w:jc w:val="left"/>
              <w:rPr>
                <w:rFonts w:ascii="宋体" w:hAnsi="宋体" w:cs="宋体" w:eastAsia="宋体" w:hint="default"/>
                <w:sz w:val="18"/>
                <w:szCs w:val="18"/>
              </w:rPr>
            </w:pPr>
            <w:r>
              <w:rPr>
                <w:rFonts w:ascii="宋体" w:hAnsi="宋体" w:cs="宋体" w:eastAsia="宋体" w:hint="default"/>
                <w:sz w:val="18"/>
                <w:szCs w:val="18"/>
              </w:rPr>
              <w:t>计算机软 件行业</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112"/>
              <w:ind w:left="96" w:right="146"/>
              <w:jc w:val="left"/>
              <w:rPr>
                <w:rFonts w:ascii="宋体" w:hAnsi="宋体" w:cs="宋体" w:eastAsia="宋体" w:hint="default"/>
                <w:sz w:val="18"/>
                <w:szCs w:val="18"/>
              </w:rPr>
            </w:pPr>
            <w:r>
              <w:rPr>
                <w:rFonts w:ascii="宋体" w:hAnsi="宋体" w:cs="宋体" w:eastAsia="宋体" w:hint="default"/>
                <w:sz w:val="18"/>
                <w:szCs w:val="18"/>
              </w:rPr>
              <w:t>电脑软件的技术开 发及销售。</w:t>
            </w:r>
          </w:p>
        </w:tc>
        <w:tc>
          <w:tcPr>
            <w:tcW w:w="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sz w:val="18"/>
              </w:rPr>
              <w:t>100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3"/>
              <w:jc w:val="right"/>
              <w:rPr>
                <w:rFonts w:ascii="宋体" w:hAnsi="宋体" w:cs="宋体" w:eastAsia="宋体" w:hint="default"/>
                <w:sz w:val="18"/>
                <w:szCs w:val="18"/>
              </w:rPr>
            </w:pPr>
            <w:r>
              <w:rPr>
                <w:rFonts w:ascii="宋体"/>
                <w:sz w:val="18"/>
              </w:rPr>
              <w:t>1,002,163</w:t>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421"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0"/>
              <w:ind w:left="98" w:right="271"/>
              <w:jc w:val="both"/>
              <w:rPr>
                <w:rFonts w:ascii="宋体" w:hAnsi="宋体" w:cs="宋体" w:eastAsia="宋体" w:hint="default"/>
                <w:sz w:val="18"/>
                <w:szCs w:val="18"/>
              </w:rPr>
            </w:pPr>
            <w:r>
              <w:rPr>
                <w:rFonts w:ascii="宋体" w:hAnsi="宋体" w:cs="宋体" w:eastAsia="宋体" w:hint="default"/>
                <w:sz w:val="18"/>
                <w:szCs w:val="18"/>
              </w:rPr>
              <w:t>武汉用友软 件有限责任 公司</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91"/>
              <w:jc w:val="right"/>
              <w:rPr>
                <w:rFonts w:ascii="宋体" w:hAnsi="宋体" w:cs="宋体" w:eastAsia="宋体" w:hint="default"/>
                <w:sz w:val="18"/>
                <w:szCs w:val="18"/>
              </w:rPr>
            </w:pPr>
            <w:r>
              <w:rPr>
                <w:rFonts w:ascii="宋体"/>
                <w:sz w:val="18"/>
              </w:rPr>
              <w:t>500,000</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0"/>
              <w:ind w:left="98" w:right="107"/>
              <w:jc w:val="left"/>
              <w:rPr>
                <w:rFonts w:ascii="宋体" w:hAnsi="宋体" w:cs="宋体" w:eastAsia="宋体" w:hint="default"/>
                <w:sz w:val="18"/>
                <w:szCs w:val="18"/>
              </w:rPr>
            </w:pPr>
            <w:r>
              <w:rPr>
                <w:rFonts w:ascii="宋体" w:hAnsi="宋体" w:cs="宋体" w:eastAsia="宋体" w:hint="default"/>
                <w:sz w:val="18"/>
                <w:szCs w:val="18"/>
              </w:rPr>
              <w:t>计算机软</w:t>
            </w:r>
            <w:r>
              <w:rPr>
                <w:rFonts w:ascii="宋体" w:hAnsi="宋体" w:cs="宋体" w:eastAsia="宋体" w:hint="default"/>
                <w:sz w:val="18"/>
                <w:szCs w:val="18"/>
              </w:rPr>
              <w:t>/ </w:t>
            </w:r>
            <w:r>
              <w:rPr>
                <w:rFonts w:ascii="宋体" w:hAnsi="宋体" w:cs="宋体" w:eastAsia="宋体" w:hint="default"/>
                <w:sz w:val="18"/>
                <w:szCs w:val="18"/>
              </w:rPr>
              <w:t>硬件及电 子行业</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6" w:right="0"/>
              <w:jc w:val="left"/>
              <w:rPr>
                <w:rFonts w:ascii="宋体" w:hAnsi="宋体" w:cs="宋体" w:eastAsia="宋体" w:hint="default"/>
                <w:sz w:val="18"/>
                <w:szCs w:val="18"/>
              </w:rPr>
            </w:pPr>
            <w:r>
              <w:rPr>
                <w:rFonts w:ascii="宋体" w:hAnsi="宋体" w:cs="宋体" w:eastAsia="宋体" w:hint="default"/>
                <w:sz w:val="18"/>
                <w:szCs w:val="18"/>
              </w:rPr>
              <w:t>计算机软件、电子</w:t>
            </w:r>
          </w:p>
          <w:p>
            <w:pPr>
              <w:pStyle w:val="TableParagraph"/>
              <w:spacing w:line="237" w:lineRule="auto"/>
              <w:ind w:left="96" w:right="7"/>
              <w:jc w:val="left"/>
              <w:rPr>
                <w:rFonts w:ascii="宋体" w:hAnsi="宋体" w:cs="宋体" w:eastAsia="宋体" w:hint="default"/>
                <w:sz w:val="18"/>
                <w:szCs w:val="18"/>
              </w:rPr>
            </w:pPr>
            <w:r>
              <w:rPr>
                <w:rFonts w:ascii="宋体" w:hAnsi="宋体" w:cs="宋体" w:eastAsia="宋体" w:hint="default"/>
                <w:spacing w:val="-5"/>
                <w:sz w:val="18"/>
                <w:szCs w:val="18"/>
              </w:rPr>
              <w:t>技术的开发、研制、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技术服务及咨询； 计算机及配件、电 子元器件批发兼零 售、信息服务。</w:t>
            </w:r>
          </w:p>
        </w:tc>
        <w:tc>
          <w:tcPr>
            <w:tcW w:w="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 w:right="0"/>
              <w:jc w:val="center"/>
              <w:rPr>
                <w:rFonts w:ascii="宋体" w:hAnsi="宋体" w:cs="宋体" w:eastAsia="宋体" w:hint="default"/>
                <w:sz w:val="18"/>
                <w:szCs w:val="18"/>
              </w:rPr>
            </w:pPr>
            <w:r>
              <w:rPr>
                <w:rFonts w:ascii="宋体"/>
                <w:sz w:val="18"/>
              </w:rPr>
              <w:t>95</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97"/>
              <w:jc w:val="right"/>
              <w:rPr>
                <w:rFonts w:ascii="宋体" w:hAnsi="宋体" w:cs="宋体" w:eastAsia="宋体" w:hint="default"/>
                <w:sz w:val="18"/>
                <w:szCs w:val="18"/>
              </w:rPr>
            </w:pPr>
            <w:r>
              <w:rPr>
                <w:rFonts w:ascii="宋体"/>
                <w:spacing w:val="-1"/>
                <w:sz w:val="18"/>
              </w:rPr>
              <w:t>27,119,283</w:t>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93"/>
              <w:jc w:val="right"/>
              <w:rPr>
                <w:rFonts w:ascii="宋体" w:hAnsi="宋体" w:cs="宋体" w:eastAsia="宋体" w:hint="default"/>
                <w:sz w:val="18"/>
                <w:szCs w:val="18"/>
              </w:rPr>
            </w:pPr>
            <w:r>
              <w:rPr>
                <w:rFonts w:ascii="宋体"/>
                <w:sz w:val="18"/>
              </w:rPr>
              <w:t>8,017,759</w:t>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93"/>
              <w:jc w:val="right"/>
              <w:rPr>
                <w:rFonts w:ascii="宋体" w:hAnsi="宋体" w:cs="宋体" w:eastAsia="宋体" w:hint="default"/>
                <w:sz w:val="18"/>
                <w:szCs w:val="18"/>
              </w:rPr>
            </w:pPr>
            <w:r>
              <w:rPr>
                <w:rFonts w:ascii="宋体"/>
                <w:sz w:val="18"/>
              </w:rPr>
              <w:t>356,852</w:t>
            </w:r>
          </w:p>
        </w:tc>
      </w:tr>
      <w:tr>
        <w:trPr>
          <w:trHeight w:val="2822"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28"/>
              <w:ind w:left="98" w:right="271"/>
              <w:jc w:val="left"/>
              <w:rPr>
                <w:rFonts w:ascii="宋体" w:hAnsi="宋体" w:cs="宋体" w:eastAsia="宋体" w:hint="default"/>
                <w:sz w:val="18"/>
                <w:szCs w:val="18"/>
              </w:rPr>
            </w:pPr>
            <w:r>
              <w:rPr>
                <w:rFonts w:ascii="宋体" w:hAnsi="宋体" w:cs="宋体" w:eastAsia="宋体" w:hint="default"/>
                <w:sz w:val="18"/>
                <w:szCs w:val="18"/>
              </w:rPr>
              <w:t>广东用友软 件有限公司</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1"/>
              <w:jc w:val="right"/>
              <w:rPr>
                <w:rFonts w:ascii="宋体" w:hAnsi="宋体" w:cs="宋体" w:eastAsia="宋体" w:hint="default"/>
                <w:sz w:val="18"/>
                <w:szCs w:val="18"/>
              </w:rPr>
            </w:pPr>
            <w:r>
              <w:rPr>
                <w:rFonts w:ascii="宋体"/>
                <w:sz w:val="18"/>
              </w:rPr>
              <w:t>5,000,000</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37" w:lineRule="auto"/>
              <w:ind w:left="98" w:right="98"/>
              <w:jc w:val="left"/>
              <w:rPr>
                <w:rFonts w:ascii="宋体" w:hAnsi="宋体" w:cs="宋体" w:eastAsia="宋体" w:hint="default"/>
                <w:sz w:val="18"/>
                <w:szCs w:val="18"/>
              </w:rPr>
            </w:pPr>
            <w:r>
              <w:rPr>
                <w:rFonts w:ascii="宋体" w:hAnsi="宋体" w:cs="宋体" w:eastAsia="宋体" w:hint="default"/>
                <w:sz w:val="18"/>
                <w:szCs w:val="18"/>
              </w:rPr>
              <w:t>计算机软</w:t>
            </w:r>
            <w:r>
              <w:rPr>
                <w:rFonts w:ascii="宋体" w:hAnsi="宋体" w:cs="宋体" w:eastAsia="宋体" w:hint="default"/>
                <w:sz w:val="18"/>
                <w:szCs w:val="18"/>
              </w:rPr>
              <w:t>/ </w:t>
            </w:r>
            <w:r>
              <w:rPr>
                <w:rFonts w:ascii="宋体" w:hAnsi="宋体" w:cs="宋体" w:eastAsia="宋体" w:hint="default"/>
                <w:sz w:val="18"/>
                <w:szCs w:val="18"/>
              </w:rPr>
              <w:t>硬件</w:t>
            </w:r>
            <w:r>
              <w:rPr>
                <w:rFonts w:ascii="宋体" w:hAnsi="宋体" w:cs="宋体" w:eastAsia="宋体" w:hint="default"/>
                <w:sz w:val="18"/>
                <w:szCs w:val="18"/>
              </w:rPr>
              <w:t>/</w:t>
            </w:r>
            <w:r>
              <w:rPr>
                <w:rFonts w:ascii="宋体" w:hAnsi="宋体" w:cs="宋体" w:eastAsia="宋体" w:hint="default"/>
                <w:sz w:val="18"/>
                <w:szCs w:val="18"/>
              </w:rPr>
              <w:t>网 </w:t>
            </w:r>
            <w:r>
              <w:rPr>
                <w:rFonts w:ascii="宋体" w:hAnsi="宋体" w:cs="宋体" w:eastAsia="宋体" w:hint="default"/>
                <w:spacing w:val="-17"/>
                <w:sz w:val="18"/>
                <w:szCs w:val="18"/>
              </w:rPr>
              <w:t>络、技术咨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询及电子 行业</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6" w:right="0"/>
              <w:jc w:val="left"/>
              <w:rPr>
                <w:rFonts w:ascii="宋体" w:hAnsi="宋体" w:cs="宋体" w:eastAsia="宋体" w:hint="default"/>
                <w:sz w:val="18"/>
                <w:szCs w:val="18"/>
              </w:rPr>
            </w:pPr>
            <w:r>
              <w:rPr>
                <w:rFonts w:ascii="宋体" w:hAnsi="宋体" w:cs="宋体" w:eastAsia="宋体" w:hint="default"/>
                <w:sz w:val="18"/>
                <w:szCs w:val="18"/>
              </w:rPr>
              <w:t>电子计算机软硬</w:t>
            </w:r>
          </w:p>
          <w:p>
            <w:pPr>
              <w:pStyle w:val="TableParagraph"/>
              <w:spacing w:line="237" w:lineRule="auto"/>
              <w:ind w:left="96" w:right="7"/>
              <w:jc w:val="left"/>
              <w:rPr>
                <w:rFonts w:ascii="宋体" w:hAnsi="宋体" w:cs="宋体" w:eastAsia="宋体" w:hint="default"/>
                <w:sz w:val="18"/>
                <w:szCs w:val="18"/>
              </w:rPr>
            </w:pPr>
            <w:r>
              <w:rPr>
                <w:rFonts w:ascii="宋体" w:hAnsi="宋体" w:cs="宋体" w:eastAsia="宋体" w:hint="default"/>
                <w:sz w:val="18"/>
                <w:szCs w:val="18"/>
              </w:rPr>
              <w:t>件、网络工程的技 </w:t>
            </w:r>
            <w:r>
              <w:rPr>
                <w:rFonts w:ascii="宋体" w:hAnsi="宋体" w:cs="宋体" w:eastAsia="宋体" w:hint="default"/>
                <w:spacing w:val="-5"/>
                <w:sz w:val="18"/>
                <w:szCs w:val="18"/>
              </w:rPr>
              <w:t>术服务、技术转让、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信息咨询、技术培 训、数据库服务； 销售电子计算机及 配件、办公设备、 电子产品及通信设 备（不含广播、电 视接收、发射设 备）；企业管理咨 询。</w:t>
            </w:r>
          </w:p>
        </w:tc>
        <w:tc>
          <w:tcPr>
            <w:tcW w:w="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sz w:val="18"/>
              </w:rPr>
              <w:t>90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120,231,875</w:t>
            </w:r>
            <w:r>
              <w:rPr>
                <w:rFonts w:ascii="宋体"/>
                <w:sz w:val="18"/>
              </w:rPr>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64,223,637</w:t>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-24,087,791</w:t>
            </w:r>
            <w:r>
              <w:rPr>
                <w:rFonts w:ascii="宋体"/>
                <w:sz w:val="18"/>
              </w:rPr>
            </w:r>
          </w:p>
        </w:tc>
      </w:tr>
      <w:tr>
        <w:trPr>
          <w:trHeight w:val="1747"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37" w:lineRule="auto"/>
              <w:ind w:left="98" w:right="271"/>
              <w:jc w:val="both"/>
              <w:rPr>
                <w:rFonts w:ascii="宋体" w:hAnsi="宋体" w:cs="宋体" w:eastAsia="宋体" w:hint="default"/>
                <w:sz w:val="18"/>
                <w:szCs w:val="18"/>
              </w:rPr>
            </w:pPr>
            <w:r>
              <w:rPr>
                <w:rFonts w:ascii="宋体" w:hAnsi="宋体" w:cs="宋体" w:eastAsia="宋体" w:hint="default"/>
                <w:sz w:val="18"/>
                <w:szCs w:val="18"/>
              </w:rPr>
              <w:t>天津用友软 件技术有限 公司</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92"/>
              <w:jc w:val="right"/>
              <w:rPr>
                <w:rFonts w:ascii="宋体" w:hAnsi="宋体" w:cs="宋体" w:eastAsia="宋体" w:hint="default"/>
                <w:sz w:val="18"/>
                <w:szCs w:val="18"/>
              </w:rPr>
            </w:pPr>
            <w:r>
              <w:rPr>
                <w:rFonts w:ascii="宋体"/>
                <w:spacing w:val="-1"/>
                <w:sz w:val="18"/>
              </w:rPr>
              <w:t>5,000,000</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32" w:lineRule="exact"/>
              <w:ind w:left="98" w:right="98"/>
              <w:jc w:val="left"/>
              <w:rPr>
                <w:rFonts w:ascii="宋体" w:hAnsi="宋体" w:cs="宋体" w:eastAsia="宋体" w:hint="default"/>
                <w:sz w:val="18"/>
                <w:szCs w:val="18"/>
              </w:rPr>
            </w:pPr>
            <w:r>
              <w:rPr>
                <w:rFonts w:ascii="宋体" w:hAnsi="宋体" w:cs="宋体" w:eastAsia="宋体" w:hint="default"/>
                <w:sz w:val="18"/>
                <w:szCs w:val="18"/>
              </w:rPr>
              <w:t>计算机软</w:t>
            </w:r>
            <w:r>
              <w:rPr>
                <w:rFonts w:ascii="宋体" w:hAnsi="宋体" w:cs="宋体" w:eastAsia="宋体" w:hint="default"/>
                <w:sz w:val="18"/>
                <w:szCs w:val="18"/>
              </w:rPr>
              <w:t>/ </w:t>
            </w:r>
            <w:r>
              <w:rPr>
                <w:rFonts w:ascii="宋体" w:hAnsi="宋体" w:cs="宋体" w:eastAsia="宋体" w:hint="default"/>
                <w:spacing w:val="-17"/>
                <w:sz w:val="18"/>
                <w:szCs w:val="18"/>
              </w:rPr>
              <w:t>硬件、技术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咨询及电 子行业</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37" w:lineRule="auto" w:before="19"/>
              <w:ind w:left="96" w:right="55"/>
              <w:jc w:val="left"/>
              <w:rPr>
                <w:rFonts w:ascii="宋体" w:hAnsi="宋体" w:cs="宋体" w:eastAsia="宋体" w:hint="default"/>
                <w:sz w:val="18"/>
                <w:szCs w:val="18"/>
              </w:rPr>
            </w:pPr>
            <w:r>
              <w:rPr>
                <w:rFonts w:ascii="宋体" w:hAnsi="宋体" w:cs="宋体" w:eastAsia="宋体" w:hint="default"/>
                <w:sz w:val="18"/>
                <w:szCs w:val="18"/>
              </w:rPr>
              <w:t>技术开发、咨询、 服务、转让、培训 </w:t>
            </w:r>
            <w:r>
              <w:rPr>
                <w:rFonts w:ascii="宋体" w:hAnsi="宋体" w:cs="宋体" w:eastAsia="宋体" w:hint="default"/>
                <w:spacing w:val="-5"/>
                <w:sz w:val="18"/>
                <w:szCs w:val="18"/>
              </w:rPr>
              <w:t>(</w:t>
            </w:r>
            <w:r>
              <w:rPr>
                <w:rFonts w:ascii="宋体" w:hAnsi="宋体" w:cs="宋体" w:eastAsia="宋体" w:hint="default"/>
                <w:spacing w:val="-5"/>
                <w:sz w:val="18"/>
                <w:szCs w:val="18"/>
              </w:rPr>
              <w:t>电子与信息、机电</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一体化的技术及产 品</w:t>
            </w:r>
            <w:r>
              <w:rPr>
                <w:rFonts w:ascii="宋体" w:hAnsi="宋体" w:cs="宋体" w:eastAsia="宋体" w:hint="default"/>
                <w:sz w:val="18"/>
                <w:szCs w:val="18"/>
              </w:rPr>
              <w:t>)</w:t>
            </w:r>
            <w:r>
              <w:rPr>
                <w:rFonts w:ascii="宋体" w:hAnsi="宋体" w:cs="宋体" w:eastAsia="宋体" w:hint="default"/>
                <w:sz w:val="18"/>
                <w:szCs w:val="18"/>
              </w:rPr>
              <w:t>；计算机软件、 文化办公用机械批 发兼零售。</w:t>
            </w:r>
          </w:p>
        </w:tc>
        <w:tc>
          <w:tcPr>
            <w:tcW w:w="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sz w:val="18"/>
              </w:rPr>
              <w:t>90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46,629,914</w:t>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28,473,443</w:t>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-12,857,956</w:t>
            </w:r>
            <w:r>
              <w:rPr>
                <w:rFonts w:ascii="宋体"/>
                <w:sz w:val="18"/>
              </w:rPr>
            </w:r>
          </w:p>
        </w:tc>
      </w:tr>
      <w:tr>
        <w:trPr>
          <w:trHeight w:val="1421"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32" w:lineRule="exact"/>
              <w:ind w:left="98" w:right="271"/>
              <w:jc w:val="left"/>
              <w:rPr>
                <w:rFonts w:ascii="宋体" w:hAnsi="宋体" w:cs="宋体" w:eastAsia="宋体" w:hint="default"/>
                <w:sz w:val="18"/>
                <w:szCs w:val="18"/>
              </w:rPr>
            </w:pPr>
            <w:r>
              <w:rPr>
                <w:rFonts w:ascii="宋体" w:hAnsi="宋体" w:cs="宋体" w:eastAsia="宋体" w:hint="default"/>
                <w:sz w:val="18"/>
                <w:szCs w:val="18"/>
              </w:rPr>
              <w:t>安徽用友软 件有限公司</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91"/>
              <w:jc w:val="right"/>
              <w:rPr>
                <w:rFonts w:ascii="宋体" w:hAnsi="宋体" w:cs="宋体" w:eastAsia="宋体" w:hint="default"/>
                <w:sz w:val="18"/>
                <w:szCs w:val="18"/>
              </w:rPr>
            </w:pPr>
            <w:r>
              <w:rPr>
                <w:rFonts w:ascii="宋体"/>
                <w:sz w:val="18"/>
              </w:rPr>
              <w:t>1,200,000</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98" w:right="98"/>
              <w:jc w:val="left"/>
              <w:rPr>
                <w:rFonts w:ascii="宋体" w:hAnsi="宋体" w:cs="宋体" w:eastAsia="宋体" w:hint="default"/>
                <w:sz w:val="18"/>
                <w:szCs w:val="18"/>
              </w:rPr>
            </w:pPr>
            <w:r>
              <w:rPr>
                <w:rFonts w:ascii="宋体" w:hAnsi="宋体" w:cs="宋体" w:eastAsia="宋体" w:hint="default"/>
                <w:sz w:val="18"/>
                <w:szCs w:val="18"/>
              </w:rPr>
              <w:t>计算机软</w:t>
            </w:r>
            <w:r>
              <w:rPr>
                <w:rFonts w:ascii="宋体" w:hAnsi="宋体" w:cs="宋体" w:eastAsia="宋体" w:hint="default"/>
                <w:sz w:val="18"/>
                <w:szCs w:val="18"/>
              </w:rPr>
              <w:t>/ </w:t>
            </w:r>
            <w:r>
              <w:rPr>
                <w:rFonts w:ascii="宋体" w:hAnsi="宋体" w:cs="宋体" w:eastAsia="宋体" w:hint="default"/>
                <w:spacing w:val="-17"/>
                <w:sz w:val="18"/>
                <w:szCs w:val="18"/>
              </w:rPr>
              <w:t>硬件、技术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咨询及电 子行业</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6" w:right="0"/>
              <w:jc w:val="left"/>
              <w:rPr>
                <w:rFonts w:ascii="宋体" w:hAnsi="宋体" w:cs="宋体" w:eastAsia="宋体" w:hint="default"/>
                <w:sz w:val="18"/>
                <w:szCs w:val="18"/>
              </w:rPr>
            </w:pPr>
            <w:r>
              <w:rPr>
                <w:rFonts w:ascii="宋体" w:hAnsi="宋体" w:cs="宋体" w:eastAsia="宋体" w:hint="default"/>
                <w:sz w:val="18"/>
                <w:szCs w:val="18"/>
              </w:rPr>
              <w:t>会计电算化、电子</w:t>
            </w:r>
          </w:p>
          <w:p>
            <w:pPr>
              <w:pStyle w:val="TableParagraph"/>
              <w:spacing w:line="237" w:lineRule="auto" w:before="2"/>
              <w:ind w:left="96" w:right="146"/>
              <w:jc w:val="left"/>
              <w:rPr>
                <w:rFonts w:ascii="宋体" w:hAnsi="宋体" w:cs="宋体" w:eastAsia="宋体" w:hint="default"/>
                <w:sz w:val="18"/>
                <w:szCs w:val="18"/>
              </w:rPr>
            </w:pPr>
            <w:r>
              <w:rPr>
                <w:rFonts w:ascii="宋体" w:hAnsi="宋体" w:cs="宋体" w:eastAsia="宋体" w:hint="default"/>
                <w:sz w:val="18"/>
                <w:szCs w:val="18"/>
              </w:rPr>
              <w:t>化推广与技术服 务、计算机软件开 发及网络工程施 工、电子计算机及 软件销售、培训。</w:t>
            </w:r>
          </w:p>
        </w:tc>
        <w:tc>
          <w:tcPr>
            <w:tcW w:w="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 w:right="0"/>
              <w:jc w:val="center"/>
              <w:rPr>
                <w:rFonts w:ascii="宋体" w:hAnsi="宋体" w:cs="宋体" w:eastAsia="宋体" w:hint="default"/>
                <w:sz w:val="18"/>
                <w:szCs w:val="18"/>
              </w:rPr>
            </w:pPr>
            <w:r>
              <w:rPr>
                <w:rFonts w:ascii="宋体"/>
                <w:sz w:val="18"/>
              </w:rPr>
              <w:t>82</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97"/>
              <w:jc w:val="right"/>
              <w:rPr>
                <w:rFonts w:ascii="宋体" w:hAnsi="宋体" w:cs="宋体" w:eastAsia="宋体" w:hint="default"/>
                <w:sz w:val="18"/>
                <w:szCs w:val="18"/>
              </w:rPr>
            </w:pPr>
            <w:r>
              <w:rPr>
                <w:rFonts w:ascii="宋体"/>
                <w:spacing w:val="-1"/>
                <w:sz w:val="18"/>
              </w:rPr>
              <w:t>22,482,535</w:t>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95"/>
              <w:jc w:val="right"/>
              <w:rPr>
                <w:rFonts w:ascii="宋体" w:hAnsi="宋体" w:cs="宋体" w:eastAsia="宋体" w:hint="default"/>
                <w:sz w:val="18"/>
                <w:szCs w:val="18"/>
              </w:rPr>
            </w:pPr>
            <w:r>
              <w:rPr>
                <w:rFonts w:ascii="宋体"/>
                <w:spacing w:val="-1"/>
                <w:sz w:val="18"/>
              </w:rPr>
              <w:t>14,692,194</w:t>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96"/>
              <w:jc w:val="right"/>
              <w:rPr>
                <w:rFonts w:ascii="宋体" w:hAnsi="宋体" w:cs="宋体" w:eastAsia="宋体" w:hint="default"/>
                <w:sz w:val="18"/>
                <w:szCs w:val="18"/>
              </w:rPr>
            </w:pPr>
            <w:r>
              <w:rPr>
                <w:rFonts w:ascii="宋体"/>
                <w:spacing w:val="-1"/>
                <w:sz w:val="18"/>
              </w:rPr>
              <w:t>-2,059,220</w:t>
            </w:r>
            <w:r>
              <w:rPr>
                <w:rFonts w:ascii="宋体"/>
                <w:sz w:val="18"/>
              </w:rPr>
            </w:r>
          </w:p>
        </w:tc>
      </w:tr>
    </w:tbl>
    <w:p>
      <w:pPr>
        <w:spacing w:after="0" w:line="240" w:lineRule="auto"/>
        <w:jc w:val="right"/>
        <w:rPr>
          <w:rFonts w:ascii="宋体" w:hAnsi="宋体" w:cs="宋体" w:eastAsia="宋体" w:hint="default"/>
          <w:sz w:val="18"/>
          <w:szCs w:val="18"/>
        </w:rPr>
        <w:sectPr>
          <w:pgSz w:w="11910" w:h="16850"/>
          <w:pgMar w:header="752" w:footer="730" w:top="1020" w:bottom="920" w:left="1160" w:right="6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07" w:type="dxa"/>
        <w:tblLayout w:type="fixed"/>
        <w:tblCellMar>
          <w:top w:w="0" w:type="dxa"/>
          <w:left w:w="0" w:type="dxa"/>
          <w:bottom w:w="0" w:type="dxa"/>
          <w:right w:w="0" w:type="dxa"/>
        </w:tblCellMar>
        <w:tblLook w:val="01E0"/>
      </w:tblPr>
      <w:tblGrid>
        <w:gridCol w:w="1291"/>
        <w:gridCol w:w="1274"/>
        <w:gridCol w:w="1037"/>
        <w:gridCol w:w="1704"/>
        <w:gridCol w:w="804"/>
        <w:gridCol w:w="1274"/>
        <w:gridCol w:w="1214"/>
        <w:gridCol w:w="1243"/>
      </w:tblGrid>
      <w:tr>
        <w:trPr>
          <w:trHeight w:val="117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240" w:right="151" w:hanging="89"/>
              <w:jc w:val="left"/>
              <w:rPr>
                <w:rFonts w:ascii="宋体" w:hAnsi="宋体" w:cs="宋体" w:eastAsia="宋体" w:hint="default"/>
                <w:sz w:val="18"/>
                <w:szCs w:val="18"/>
              </w:rPr>
            </w:pPr>
            <w:r>
              <w:rPr>
                <w:rFonts w:ascii="宋体" w:hAnsi="宋体" w:cs="宋体" w:eastAsia="宋体" w:hint="default"/>
                <w:b/>
                <w:bCs/>
                <w:sz w:val="18"/>
                <w:szCs w:val="18"/>
              </w:rPr>
              <w:t>主要产品</w:t>
            </w:r>
            <w:r>
              <w:rPr>
                <w:rFonts w:ascii="宋体" w:hAnsi="宋体" w:cs="宋体" w:eastAsia="宋体" w:hint="default"/>
                <w:b/>
                <w:bCs/>
                <w:w w:val="99"/>
                <w:sz w:val="18"/>
                <w:szCs w:val="18"/>
              </w:rPr>
              <w:t> </w:t>
            </w:r>
            <w:r>
              <w:rPr>
                <w:rFonts w:ascii="宋体" w:hAnsi="宋体" w:cs="宋体" w:eastAsia="宋体" w:hint="default"/>
                <w:b/>
                <w:bCs/>
                <w:sz w:val="18"/>
                <w:szCs w:val="18"/>
              </w:rPr>
              <w:t>或服务</w:t>
            </w:r>
            <w:r>
              <w:rPr>
                <w:rFonts w:ascii="宋体" w:hAnsi="宋体" w:cs="宋体" w:eastAsia="宋体" w:hint="default"/>
                <w:sz w:val="18"/>
                <w:szCs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24" w:right="125"/>
              <w:jc w:val="both"/>
              <w:rPr>
                <w:rFonts w:ascii="宋体" w:hAnsi="宋体" w:cs="宋体" w:eastAsia="宋体" w:hint="default"/>
                <w:sz w:val="18"/>
                <w:szCs w:val="18"/>
              </w:rPr>
            </w:pPr>
            <w:r>
              <w:rPr>
                <w:rFonts w:ascii="宋体" w:hAnsi="宋体" w:cs="宋体" w:eastAsia="宋体" w:hint="default"/>
                <w:b/>
                <w:bCs/>
                <w:sz w:val="18"/>
                <w:szCs w:val="18"/>
              </w:rPr>
              <w:t>公司直</w:t>
            </w:r>
            <w:r>
              <w:rPr>
                <w:rFonts w:ascii="宋体" w:hAnsi="宋体" w:cs="宋体" w:eastAsia="宋体" w:hint="default"/>
                <w:b/>
                <w:bCs/>
                <w:w w:val="99"/>
                <w:sz w:val="18"/>
                <w:szCs w:val="18"/>
              </w:rPr>
              <w:t> </w:t>
            </w:r>
            <w:r>
              <w:rPr>
                <w:rFonts w:ascii="宋体" w:hAnsi="宋体" w:cs="宋体" w:eastAsia="宋体" w:hint="default"/>
                <w:b/>
                <w:bCs/>
                <w:sz w:val="18"/>
                <w:szCs w:val="18"/>
              </w:rPr>
              <w:t>接持股</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14" w:lineRule="exact"/>
              <w:ind w:left="170" w:right="0"/>
              <w:jc w:val="both"/>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540" w:right="182" w:hanging="363"/>
              <w:jc w:val="left"/>
              <w:rPr>
                <w:rFonts w:ascii="宋体" w:hAnsi="宋体" w:cs="宋体" w:eastAsia="宋体" w:hint="default"/>
                <w:sz w:val="18"/>
                <w:szCs w:val="18"/>
              </w:rPr>
            </w:pPr>
            <w:r>
              <w:rPr>
                <w:rFonts w:ascii="宋体" w:hAnsi="宋体" w:cs="宋体" w:eastAsia="宋体" w:hint="default"/>
                <w:b/>
                <w:bCs/>
                <w:sz w:val="18"/>
                <w:szCs w:val="18"/>
              </w:rPr>
              <w:t>主营业务收</w:t>
            </w:r>
            <w:r>
              <w:rPr>
                <w:rFonts w:ascii="宋体" w:hAnsi="宋体" w:cs="宋体" w:eastAsia="宋体" w:hint="default"/>
                <w:b/>
                <w:bCs/>
                <w:w w:val="99"/>
                <w:sz w:val="18"/>
                <w:szCs w:val="18"/>
              </w:rPr>
              <w:t> </w:t>
            </w:r>
            <w:r>
              <w:rPr>
                <w:rFonts w:ascii="宋体" w:hAnsi="宋体" w:cs="宋体" w:eastAsia="宋体" w:hint="default"/>
                <w:b/>
                <w:bCs/>
                <w:sz w:val="18"/>
                <w:szCs w:val="18"/>
              </w:rPr>
              <w:t>入</w:t>
            </w:r>
            <w:r>
              <w:rPr>
                <w:rFonts w:ascii="宋体" w:hAnsi="宋体" w:cs="宋体" w:eastAsia="宋体" w:hint="default"/>
                <w:sz w:val="18"/>
                <w:szCs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b/>
                <w:bCs/>
                <w:sz w:val="18"/>
                <w:szCs w:val="18"/>
              </w:rPr>
              <w:t>总资产</w:t>
            </w:r>
            <w:r>
              <w:rPr>
                <w:rFonts w:ascii="宋体" w:hAnsi="宋体" w:cs="宋体" w:eastAsia="宋体" w:hint="default"/>
                <w:sz w:val="18"/>
                <w:szCs w:val="18"/>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13"/>
              <w:ind w:right="0"/>
              <w:jc w:val="center"/>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（净损失）</w:t>
            </w:r>
            <w:r>
              <w:rPr>
                <w:rFonts w:ascii="宋体" w:hAnsi="宋体" w:cs="宋体" w:eastAsia="宋体" w:hint="default"/>
                <w:sz w:val="18"/>
                <w:szCs w:val="18"/>
              </w:rPr>
            </w:r>
          </w:p>
        </w:tc>
      </w:tr>
      <w:tr>
        <w:trPr>
          <w:trHeight w:val="2585" w:hRule="exact"/>
        </w:trPr>
        <w:tc>
          <w:tcPr>
            <w:tcW w:w="1291"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98" w:right="271"/>
              <w:jc w:val="left"/>
              <w:rPr>
                <w:rFonts w:ascii="宋体" w:hAnsi="宋体" w:cs="宋体" w:eastAsia="宋体" w:hint="default"/>
                <w:sz w:val="18"/>
                <w:szCs w:val="18"/>
              </w:rPr>
            </w:pPr>
            <w:r>
              <w:rPr>
                <w:rFonts w:ascii="宋体" w:hAnsi="宋体" w:cs="宋体" w:eastAsia="宋体" w:hint="default"/>
                <w:sz w:val="18"/>
                <w:szCs w:val="18"/>
              </w:rPr>
              <w:t>浙江用友软 件有限公司</w:t>
            </w:r>
          </w:p>
        </w:tc>
        <w:tc>
          <w:tcPr>
            <w:tcW w:w="1274"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91"/>
              <w:jc w:val="right"/>
              <w:rPr>
                <w:rFonts w:ascii="宋体" w:hAnsi="宋体" w:cs="宋体" w:eastAsia="宋体" w:hint="default"/>
                <w:sz w:val="18"/>
                <w:szCs w:val="18"/>
              </w:rPr>
            </w:pPr>
            <w:r>
              <w:rPr>
                <w:rFonts w:ascii="宋体"/>
                <w:sz w:val="18"/>
              </w:rPr>
              <w:t>5,000,000</w:t>
            </w:r>
          </w:p>
        </w:tc>
        <w:tc>
          <w:tcPr>
            <w:tcW w:w="1037"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37" w:lineRule="auto"/>
              <w:ind w:left="98" w:right="98"/>
              <w:jc w:val="left"/>
              <w:rPr>
                <w:rFonts w:ascii="宋体" w:hAnsi="宋体" w:cs="宋体" w:eastAsia="宋体" w:hint="default"/>
                <w:sz w:val="18"/>
                <w:szCs w:val="18"/>
              </w:rPr>
            </w:pPr>
            <w:r>
              <w:rPr>
                <w:rFonts w:ascii="宋体" w:hAnsi="宋体" w:cs="宋体" w:eastAsia="宋体" w:hint="default"/>
                <w:sz w:val="18"/>
                <w:szCs w:val="18"/>
              </w:rPr>
              <w:t>计算机软</w:t>
            </w:r>
            <w:r>
              <w:rPr>
                <w:rFonts w:ascii="宋体" w:hAnsi="宋体" w:cs="宋体" w:eastAsia="宋体" w:hint="default"/>
                <w:sz w:val="18"/>
                <w:szCs w:val="18"/>
              </w:rPr>
              <w:t>/ </w:t>
            </w:r>
            <w:r>
              <w:rPr>
                <w:rFonts w:ascii="宋体" w:hAnsi="宋体" w:cs="宋体" w:eastAsia="宋体" w:hint="default"/>
                <w:sz w:val="18"/>
                <w:szCs w:val="18"/>
              </w:rPr>
              <w:t>硬件</w:t>
            </w:r>
            <w:r>
              <w:rPr>
                <w:rFonts w:ascii="宋体" w:hAnsi="宋体" w:cs="宋体" w:eastAsia="宋体" w:hint="default"/>
                <w:sz w:val="18"/>
                <w:szCs w:val="18"/>
              </w:rPr>
              <w:t>/</w:t>
            </w:r>
            <w:r>
              <w:rPr>
                <w:rFonts w:ascii="宋体" w:hAnsi="宋体" w:cs="宋体" w:eastAsia="宋体" w:hint="default"/>
                <w:sz w:val="18"/>
                <w:szCs w:val="18"/>
              </w:rPr>
              <w:t>网 </w:t>
            </w:r>
            <w:r>
              <w:rPr>
                <w:rFonts w:ascii="宋体" w:hAnsi="宋体" w:cs="宋体" w:eastAsia="宋体" w:hint="default"/>
                <w:spacing w:val="-17"/>
                <w:sz w:val="18"/>
                <w:szCs w:val="18"/>
              </w:rPr>
              <w:t>络、技术咨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询及电子 行业</w:t>
            </w:r>
          </w:p>
        </w:tc>
        <w:tc>
          <w:tcPr>
            <w:tcW w:w="1704" w:type="dxa"/>
            <w:tcBorders>
              <w:top w:val="single" w:sz="4" w:space="0" w:color="000000"/>
              <w:left w:val="single" w:sz="8" w:space="0" w:color="000000"/>
              <w:bottom w:val="single" w:sz="8" w:space="0" w:color="000000"/>
              <w:right w:val="single" w:sz="8" w:space="0" w:color="000000"/>
            </w:tcBorders>
          </w:tcPr>
          <w:p>
            <w:pPr>
              <w:pStyle w:val="TableParagraph"/>
              <w:spacing w:line="206" w:lineRule="exact"/>
              <w:ind w:left="96" w:right="0"/>
              <w:jc w:val="left"/>
              <w:rPr>
                <w:rFonts w:ascii="宋体" w:hAnsi="宋体" w:cs="宋体" w:eastAsia="宋体" w:hint="default"/>
                <w:sz w:val="18"/>
                <w:szCs w:val="18"/>
              </w:rPr>
            </w:pPr>
            <w:r>
              <w:rPr>
                <w:rFonts w:ascii="宋体" w:hAnsi="宋体" w:cs="宋体" w:eastAsia="宋体" w:hint="default"/>
                <w:sz w:val="18"/>
                <w:szCs w:val="18"/>
              </w:rPr>
              <w:t>技术开发、技术咨</w:t>
            </w:r>
          </w:p>
          <w:p>
            <w:pPr>
              <w:pStyle w:val="TableParagraph"/>
              <w:spacing w:line="237" w:lineRule="auto"/>
              <w:ind w:left="96" w:right="7"/>
              <w:jc w:val="left"/>
              <w:rPr>
                <w:rFonts w:ascii="宋体" w:hAnsi="宋体" w:cs="宋体" w:eastAsia="宋体" w:hint="default"/>
                <w:sz w:val="18"/>
                <w:szCs w:val="18"/>
              </w:rPr>
            </w:pPr>
            <w:r>
              <w:rPr>
                <w:rFonts w:ascii="宋体" w:hAnsi="宋体" w:cs="宋体" w:eastAsia="宋体" w:hint="default"/>
                <w:sz w:val="18"/>
                <w:szCs w:val="18"/>
              </w:rPr>
              <w:t>询、技术服务、技 </w:t>
            </w:r>
            <w:r>
              <w:rPr>
                <w:rFonts w:ascii="宋体" w:hAnsi="宋体" w:cs="宋体" w:eastAsia="宋体" w:hint="default"/>
                <w:spacing w:val="-5"/>
                <w:sz w:val="18"/>
                <w:szCs w:val="18"/>
              </w:rPr>
              <w:t>术培训、成果转让；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计算机软件、硬件 及外部设备批发、 零售；计算机软、 硬件及外部设备、 打印纸、计算机耗 </w:t>
            </w:r>
            <w:r>
              <w:rPr>
                <w:rFonts w:ascii="宋体" w:hAnsi="宋体" w:cs="宋体" w:eastAsia="宋体" w:hint="default"/>
                <w:spacing w:val="-5"/>
                <w:sz w:val="18"/>
                <w:szCs w:val="18"/>
              </w:rPr>
              <w:t>材；企业管理咨询；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其他无需报经审批 的一切合法项目。</w:t>
            </w:r>
          </w:p>
        </w:tc>
        <w:tc>
          <w:tcPr>
            <w:tcW w:w="804"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 w:right="0"/>
              <w:jc w:val="center"/>
              <w:rPr>
                <w:rFonts w:ascii="宋体" w:hAnsi="宋体" w:cs="宋体" w:eastAsia="宋体" w:hint="default"/>
                <w:sz w:val="18"/>
                <w:szCs w:val="18"/>
              </w:rPr>
            </w:pPr>
            <w:r>
              <w:rPr>
                <w:rFonts w:ascii="宋体"/>
                <w:sz w:val="18"/>
              </w:rPr>
              <w:t>90</w:t>
            </w:r>
          </w:p>
        </w:tc>
        <w:tc>
          <w:tcPr>
            <w:tcW w:w="1274"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97"/>
              <w:jc w:val="right"/>
              <w:rPr>
                <w:rFonts w:ascii="宋体" w:hAnsi="宋体" w:cs="宋体" w:eastAsia="宋体" w:hint="default"/>
                <w:sz w:val="18"/>
                <w:szCs w:val="18"/>
              </w:rPr>
            </w:pPr>
            <w:r>
              <w:rPr>
                <w:rFonts w:ascii="宋体"/>
                <w:spacing w:val="-1"/>
                <w:sz w:val="18"/>
              </w:rPr>
              <w:t>75,367,256</w:t>
            </w:r>
          </w:p>
        </w:tc>
        <w:tc>
          <w:tcPr>
            <w:tcW w:w="1214"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95"/>
              <w:jc w:val="right"/>
              <w:rPr>
                <w:rFonts w:ascii="宋体" w:hAnsi="宋体" w:cs="宋体" w:eastAsia="宋体" w:hint="default"/>
                <w:sz w:val="18"/>
                <w:szCs w:val="18"/>
              </w:rPr>
            </w:pPr>
            <w:r>
              <w:rPr>
                <w:rFonts w:ascii="宋体"/>
                <w:spacing w:val="-1"/>
                <w:sz w:val="18"/>
              </w:rPr>
              <w:t>30,299,175</w:t>
            </w:r>
          </w:p>
        </w:tc>
        <w:tc>
          <w:tcPr>
            <w:tcW w:w="1243"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93"/>
              <w:jc w:val="right"/>
              <w:rPr>
                <w:rFonts w:ascii="宋体" w:hAnsi="宋体" w:cs="宋体" w:eastAsia="宋体" w:hint="default"/>
                <w:sz w:val="18"/>
                <w:szCs w:val="18"/>
              </w:rPr>
            </w:pPr>
            <w:r>
              <w:rPr>
                <w:rFonts w:ascii="宋体"/>
                <w:sz w:val="18"/>
              </w:rPr>
              <w:t>517,425</w:t>
            </w:r>
          </w:p>
        </w:tc>
      </w:tr>
      <w:tr>
        <w:trPr>
          <w:trHeight w:val="2352"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32" w:lineRule="exact"/>
              <w:ind w:left="98" w:right="271"/>
              <w:jc w:val="left"/>
              <w:rPr>
                <w:rFonts w:ascii="宋体" w:hAnsi="宋体" w:cs="宋体" w:eastAsia="宋体" w:hint="default"/>
                <w:sz w:val="18"/>
                <w:szCs w:val="18"/>
              </w:rPr>
            </w:pPr>
            <w:r>
              <w:rPr>
                <w:rFonts w:ascii="宋体" w:hAnsi="宋体" w:cs="宋体" w:eastAsia="宋体" w:hint="default"/>
                <w:sz w:val="18"/>
                <w:szCs w:val="18"/>
              </w:rPr>
              <w:t>沈阳用友软 件有限公司</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1"/>
              <w:jc w:val="right"/>
              <w:rPr>
                <w:rFonts w:ascii="宋体" w:hAnsi="宋体" w:cs="宋体" w:eastAsia="宋体" w:hint="default"/>
                <w:sz w:val="18"/>
                <w:szCs w:val="18"/>
              </w:rPr>
            </w:pPr>
            <w:r>
              <w:rPr>
                <w:rFonts w:ascii="宋体"/>
                <w:sz w:val="18"/>
              </w:rPr>
              <w:t>3,000,000</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32" w:lineRule="exact"/>
              <w:ind w:left="98" w:right="105"/>
              <w:jc w:val="left"/>
              <w:rPr>
                <w:rFonts w:ascii="宋体" w:hAnsi="宋体" w:cs="宋体" w:eastAsia="宋体" w:hint="default"/>
                <w:sz w:val="18"/>
                <w:szCs w:val="18"/>
              </w:rPr>
            </w:pPr>
            <w:r>
              <w:rPr>
                <w:rFonts w:ascii="宋体" w:hAnsi="宋体" w:cs="宋体" w:eastAsia="宋体" w:hint="default"/>
                <w:sz w:val="18"/>
                <w:szCs w:val="18"/>
              </w:rPr>
              <w:t>计算机软</w:t>
            </w:r>
            <w:r>
              <w:rPr>
                <w:rFonts w:ascii="宋体" w:hAnsi="宋体" w:cs="宋体" w:eastAsia="宋体" w:hint="default"/>
                <w:sz w:val="18"/>
                <w:szCs w:val="18"/>
              </w:rPr>
              <w:t>/ </w:t>
            </w:r>
            <w:r>
              <w:rPr>
                <w:rFonts w:ascii="宋体" w:hAnsi="宋体" w:cs="宋体" w:eastAsia="宋体" w:hint="default"/>
                <w:sz w:val="18"/>
                <w:szCs w:val="18"/>
              </w:rPr>
              <w:t>硬件</w:t>
            </w:r>
            <w:r>
              <w:rPr>
                <w:rFonts w:ascii="宋体" w:hAnsi="宋体" w:cs="宋体" w:eastAsia="宋体" w:hint="default"/>
                <w:sz w:val="18"/>
                <w:szCs w:val="18"/>
              </w:rPr>
              <w:t>/</w:t>
            </w:r>
            <w:r>
              <w:rPr>
                <w:rFonts w:ascii="宋体" w:hAnsi="宋体" w:cs="宋体" w:eastAsia="宋体" w:hint="default"/>
                <w:sz w:val="18"/>
                <w:szCs w:val="18"/>
              </w:rPr>
              <w:t>技术 咨询及电 子行业</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6" w:right="0"/>
              <w:jc w:val="left"/>
              <w:rPr>
                <w:rFonts w:ascii="宋体" w:hAnsi="宋体" w:cs="宋体" w:eastAsia="宋体" w:hint="default"/>
                <w:sz w:val="18"/>
                <w:szCs w:val="18"/>
              </w:rPr>
            </w:pPr>
            <w:r>
              <w:rPr>
                <w:rFonts w:ascii="宋体" w:hAnsi="宋体" w:cs="宋体" w:eastAsia="宋体" w:hint="default"/>
                <w:sz w:val="18"/>
                <w:szCs w:val="18"/>
              </w:rPr>
              <w:t>电子计算机软件、</w:t>
            </w:r>
          </w:p>
          <w:p>
            <w:pPr>
              <w:pStyle w:val="TableParagraph"/>
              <w:spacing w:line="237" w:lineRule="auto"/>
              <w:ind w:left="96" w:right="7"/>
              <w:jc w:val="left"/>
              <w:rPr>
                <w:rFonts w:ascii="宋体" w:hAnsi="宋体" w:cs="宋体" w:eastAsia="宋体" w:hint="default"/>
                <w:sz w:val="18"/>
                <w:szCs w:val="18"/>
              </w:rPr>
            </w:pPr>
            <w:r>
              <w:rPr>
                <w:rFonts w:ascii="宋体" w:hAnsi="宋体" w:cs="宋体" w:eastAsia="宋体" w:hint="default"/>
                <w:sz w:val="18"/>
                <w:szCs w:val="18"/>
              </w:rPr>
              <w:t>硬件及外部设备的 技术开发、技术咨 询、技术转让、技 </w:t>
            </w:r>
            <w:r>
              <w:rPr>
                <w:rFonts w:ascii="宋体" w:hAnsi="宋体" w:cs="宋体" w:eastAsia="宋体" w:hint="default"/>
                <w:spacing w:val="-5"/>
                <w:sz w:val="18"/>
                <w:szCs w:val="18"/>
              </w:rPr>
              <w:t>术服务、技术培训；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电子计算机软硬件 及外部设备、计算 机耗材、打印纸销 </w:t>
            </w:r>
            <w:r>
              <w:rPr>
                <w:rFonts w:ascii="宋体" w:hAnsi="宋体" w:cs="宋体" w:eastAsia="宋体" w:hint="default"/>
                <w:spacing w:val="-5"/>
                <w:sz w:val="18"/>
                <w:szCs w:val="18"/>
              </w:rPr>
              <w:t>售；企业管理咨询；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数据库服务。</w:t>
            </w:r>
          </w:p>
        </w:tc>
        <w:tc>
          <w:tcPr>
            <w:tcW w:w="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sz w:val="18"/>
              </w:rPr>
              <w:t>90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17,512,314</w:t>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3"/>
              <w:jc w:val="right"/>
              <w:rPr>
                <w:rFonts w:ascii="宋体" w:hAnsi="宋体" w:cs="宋体" w:eastAsia="宋体" w:hint="default"/>
                <w:sz w:val="18"/>
                <w:szCs w:val="18"/>
              </w:rPr>
            </w:pPr>
            <w:r>
              <w:rPr>
                <w:rFonts w:ascii="宋体"/>
                <w:sz w:val="18"/>
              </w:rPr>
              <w:t>8,863,928</w:t>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-7,850,075</w:t>
            </w:r>
            <w:r>
              <w:rPr>
                <w:rFonts w:ascii="宋体"/>
                <w:sz w:val="18"/>
              </w:rPr>
            </w:r>
          </w:p>
        </w:tc>
      </w:tr>
      <w:tr>
        <w:trPr>
          <w:trHeight w:val="1889"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32" w:lineRule="exact"/>
              <w:ind w:left="98" w:right="271"/>
              <w:jc w:val="left"/>
              <w:rPr>
                <w:rFonts w:ascii="宋体" w:hAnsi="宋体" w:cs="宋体" w:eastAsia="宋体" w:hint="default"/>
                <w:sz w:val="18"/>
                <w:szCs w:val="18"/>
              </w:rPr>
            </w:pPr>
            <w:r>
              <w:rPr>
                <w:rFonts w:ascii="宋体" w:hAnsi="宋体" w:cs="宋体" w:eastAsia="宋体" w:hint="default"/>
                <w:sz w:val="18"/>
                <w:szCs w:val="18"/>
              </w:rPr>
              <w:t>大连用友软 件有限公司</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1"/>
              <w:jc w:val="right"/>
              <w:rPr>
                <w:rFonts w:ascii="宋体" w:hAnsi="宋体" w:cs="宋体" w:eastAsia="宋体" w:hint="default"/>
                <w:sz w:val="18"/>
                <w:szCs w:val="18"/>
              </w:rPr>
            </w:pPr>
            <w:r>
              <w:rPr>
                <w:rFonts w:ascii="宋体"/>
                <w:sz w:val="18"/>
              </w:rPr>
              <w:t>3,000,000</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37" w:lineRule="auto"/>
              <w:ind w:left="98" w:right="105"/>
              <w:jc w:val="left"/>
              <w:rPr>
                <w:rFonts w:ascii="宋体" w:hAnsi="宋体" w:cs="宋体" w:eastAsia="宋体" w:hint="default"/>
                <w:sz w:val="18"/>
                <w:szCs w:val="18"/>
              </w:rPr>
            </w:pPr>
            <w:r>
              <w:rPr>
                <w:rFonts w:ascii="宋体" w:hAnsi="宋体" w:cs="宋体" w:eastAsia="宋体" w:hint="default"/>
                <w:sz w:val="18"/>
                <w:szCs w:val="18"/>
              </w:rPr>
              <w:t>计算机软</w:t>
            </w:r>
            <w:r>
              <w:rPr>
                <w:rFonts w:ascii="宋体" w:hAnsi="宋体" w:cs="宋体" w:eastAsia="宋体" w:hint="default"/>
                <w:sz w:val="18"/>
                <w:szCs w:val="18"/>
              </w:rPr>
              <w:t>/ </w:t>
            </w:r>
            <w:r>
              <w:rPr>
                <w:rFonts w:ascii="宋体" w:hAnsi="宋体" w:cs="宋体" w:eastAsia="宋体" w:hint="default"/>
                <w:sz w:val="18"/>
                <w:szCs w:val="18"/>
              </w:rPr>
              <w:t>硬件</w:t>
            </w:r>
            <w:r>
              <w:rPr>
                <w:rFonts w:ascii="宋体" w:hAnsi="宋体" w:cs="宋体" w:eastAsia="宋体" w:hint="default"/>
                <w:sz w:val="18"/>
                <w:szCs w:val="18"/>
              </w:rPr>
              <w:t>/</w:t>
            </w:r>
            <w:r>
              <w:rPr>
                <w:rFonts w:ascii="宋体" w:hAnsi="宋体" w:cs="宋体" w:eastAsia="宋体" w:hint="default"/>
                <w:sz w:val="18"/>
                <w:szCs w:val="18"/>
              </w:rPr>
              <w:t>技术 咨询及电 子行业</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6" w:right="0"/>
              <w:jc w:val="both"/>
              <w:rPr>
                <w:rFonts w:ascii="宋体" w:hAnsi="宋体" w:cs="宋体" w:eastAsia="宋体" w:hint="default"/>
                <w:sz w:val="18"/>
                <w:szCs w:val="18"/>
              </w:rPr>
            </w:pPr>
            <w:r>
              <w:rPr>
                <w:rFonts w:ascii="宋体" w:hAnsi="宋体" w:cs="宋体" w:eastAsia="宋体" w:hint="default"/>
                <w:sz w:val="18"/>
                <w:szCs w:val="18"/>
              </w:rPr>
              <w:t>电子计算机软件、</w:t>
            </w:r>
          </w:p>
          <w:p>
            <w:pPr>
              <w:pStyle w:val="TableParagraph"/>
              <w:spacing w:line="237" w:lineRule="auto"/>
              <w:ind w:left="96" w:right="146"/>
              <w:jc w:val="both"/>
              <w:rPr>
                <w:rFonts w:ascii="宋体" w:hAnsi="宋体" w:cs="宋体" w:eastAsia="宋体" w:hint="default"/>
                <w:sz w:val="18"/>
                <w:szCs w:val="18"/>
              </w:rPr>
            </w:pPr>
            <w:r>
              <w:rPr>
                <w:rFonts w:ascii="宋体" w:hAnsi="宋体" w:cs="宋体" w:eastAsia="宋体" w:hint="default"/>
                <w:sz w:val="18"/>
                <w:szCs w:val="18"/>
              </w:rPr>
              <w:t>硬件的技术开发、 技术咨询、技术转 让、技术服务；企 业管理咨询；电子 计算机软硬件及外 围设备、打印纸的 销售。</w:t>
            </w:r>
          </w:p>
        </w:tc>
        <w:tc>
          <w:tcPr>
            <w:tcW w:w="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sz w:val="18"/>
              </w:rPr>
              <w:t>90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19,849,126</w:t>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12,811,022</w:t>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-684,861</w:t>
            </w:r>
            <w:r>
              <w:rPr>
                <w:rFonts w:ascii="宋体"/>
                <w:sz w:val="18"/>
              </w:rPr>
            </w:r>
          </w:p>
        </w:tc>
      </w:tr>
      <w:tr>
        <w:trPr>
          <w:trHeight w:val="2587"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32" w:lineRule="exact"/>
              <w:ind w:left="98" w:right="271"/>
              <w:jc w:val="left"/>
              <w:rPr>
                <w:rFonts w:ascii="宋体" w:hAnsi="宋体" w:cs="宋体" w:eastAsia="宋体" w:hint="default"/>
                <w:sz w:val="18"/>
                <w:szCs w:val="18"/>
              </w:rPr>
            </w:pPr>
            <w:r>
              <w:rPr>
                <w:rFonts w:ascii="宋体" w:hAnsi="宋体" w:cs="宋体" w:eastAsia="宋体" w:hint="default"/>
                <w:sz w:val="18"/>
                <w:szCs w:val="18"/>
              </w:rPr>
              <w:t>广西用友软 件有限公司</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91"/>
              <w:jc w:val="right"/>
              <w:rPr>
                <w:rFonts w:ascii="宋体" w:hAnsi="宋体" w:cs="宋体" w:eastAsia="宋体" w:hint="default"/>
                <w:sz w:val="18"/>
                <w:szCs w:val="18"/>
              </w:rPr>
            </w:pPr>
            <w:r>
              <w:rPr>
                <w:rFonts w:ascii="宋体"/>
                <w:sz w:val="18"/>
              </w:rPr>
              <w:t>3,000,000</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37" w:lineRule="auto"/>
              <w:ind w:left="98" w:right="105"/>
              <w:jc w:val="left"/>
              <w:rPr>
                <w:rFonts w:ascii="宋体" w:hAnsi="宋体" w:cs="宋体" w:eastAsia="宋体" w:hint="default"/>
                <w:sz w:val="18"/>
                <w:szCs w:val="18"/>
              </w:rPr>
            </w:pPr>
            <w:r>
              <w:rPr>
                <w:rFonts w:ascii="宋体" w:hAnsi="宋体" w:cs="宋体" w:eastAsia="宋体" w:hint="default"/>
                <w:sz w:val="18"/>
                <w:szCs w:val="18"/>
              </w:rPr>
              <w:t>计算机软</w:t>
            </w:r>
            <w:r>
              <w:rPr>
                <w:rFonts w:ascii="宋体" w:hAnsi="宋体" w:cs="宋体" w:eastAsia="宋体" w:hint="default"/>
                <w:sz w:val="18"/>
                <w:szCs w:val="18"/>
              </w:rPr>
              <w:t>/ </w:t>
            </w:r>
            <w:r>
              <w:rPr>
                <w:rFonts w:ascii="宋体" w:hAnsi="宋体" w:cs="宋体" w:eastAsia="宋体" w:hint="default"/>
                <w:sz w:val="18"/>
                <w:szCs w:val="18"/>
              </w:rPr>
              <w:t>硬件</w:t>
            </w:r>
            <w:r>
              <w:rPr>
                <w:rFonts w:ascii="宋体" w:hAnsi="宋体" w:cs="宋体" w:eastAsia="宋体" w:hint="default"/>
                <w:sz w:val="18"/>
                <w:szCs w:val="18"/>
              </w:rPr>
              <w:t>/</w:t>
            </w:r>
            <w:r>
              <w:rPr>
                <w:rFonts w:ascii="宋体" w:hAnsi="宋体" w:cs="宋体" w:eastAsia="宋体" w:hint="default"/>
                <w:sz w:val="18"/>
                <w:szCs w:val="18"/>
              </w:rPr>
              <w:t>咨询 及电子行 业</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6" w:right="0"/>
              <w:jc w:val="both"/>
              <w:rPr>
                <w:rFonts w:ascii="宋体" w:hAnsi="宋体" w:cs="宋体" w:eastAsia="宋体" w:hint="default"/>
                <w:sz w:val="18"/>
                <w:szCs w:val="18"/>
              </w:rPr>
            </w:pPr>
            <w:r>
              <w:rPr>
                <w:rFonts w:ascii="宋体" w:hAnsi="宋体" w:cs="宋体" w:eastAsia="宋体" w:hint="default"/>
                <w:sz w:val="18"/>
                <w:szCs w:val="18"/>
              </w:rPr>
              <w:t>计算机软件、硬件</w:t>
            </w:r>
          </w:p>
          <w:p>
            <w:pPr>
              <w:pStyle w:val="TableParagraph"/>
              <w:spacing w:line="237" w:lineRule="auto" w:before="2"/>
              <w:ind w:left="96" w:right="146"/>
              <w:jc w:val="both"/>
              <w:rPr>
                <w:rFonts w:ascii="宋体" w:hAnsi="宋体" w:cs="宋体" w:eastAsia="宋体" w:hint="default"/>
                <w:sz w:val="18"/>
                <w:szCs w:val="18"/>
              </w:rPr>
            </w:pPr>
            <w:r>
              <w:rPr>
                <w:rFonts w:ascii="宋体" w:hAnsi="宋体" w:cs="宋体" w:eastAsia="宋体" w:hint="default"/>
                <w:sz w:val="18"/>
                <w:szCs w:val="18"/>
              </w:rPr>
              <w:t>及外部设备的技术 开发、技术咨询、 技术转让、技术服 务；数据库服务； 企业管理咨询；计 算机硬件及外部设 备、打印纸及耗材 的销售；企业管理 培训（除职业技能 培训）。</w:t>
            </w:r>
          </w:p>
        </w:tc>
        <w:tc>
          <w:tcPr>
            <w:tcW w:w="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sz w:val="18"/>
              </w:rPr>
              <w:t>90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24,418,580</w:t>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14,536,758</w:t>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93"/>
              <w:jc w:val="right"/>
              <w:rPr>
                <w:rFonts w:ascii="宋体" w:hAnsi="宋体" w:cs="宋体" w:eastAsia="宋体" w:hint="default"/>
                <w:sz w:val="18"/>
                <w:szCs w:val="18"/>
              </w:rPr>
            </w:pPr>
            <w:r>
              <w:rPr>
                <w:rFonts w:ascii="宋体"/>
                <w:sz w:val="18"/>
              </w:rPr>
              <w:t>511,064</w:t>
            </w:r>
          </w:p>
        </w:tc>
      </w:tr>
      <w:tr>
        <w:trPr>
          <w:trHeight w:val="1421"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32" w:lineRule="exact"/>
              <w:ind w:left="98" w:right="271"/>
              <w:jc w:val="left"/>
              <w:rPr>
                <w:rFonts w:ascii="宋体" w:hAnsi="宋体" w:cs="宋体" w:eastAsia="宋体" w:hint="default"/>
                <w:sz w:val="18"/>
                <w:szCs w:val="18"/>
              </w:rPr>
            </w:pPr>
            <w:r>
              <w:rPr>
                <w:rFonts w:ascii="宋体" w:hAnsi="宋体" w:cs="宋体" w:eastAsia="宋体" w:hint="default"/>
                <w:sz w:val="18"/>
                <w:szCs w:val="18"/>
              </w:rPr>
              <w:t>深圳用友软 件有限公司</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92"/>
              <w:jc w:val="right"/>
              <w:rPr>
                <w:rFonts w:ascii="宋体" w:hAnsi="宋体" w:cs="宋体" w:eastAsia="宋体" w:hint="default"/>
                <w:sz w:val="18"/>
                <w:szCs w:val="18"/>
              </w:rPr>
            </w:pPr>
            <w:r>
              <w:rPr>
                <w:rFonts w:ascii="宋体"/>
                <w:spacing w:val="-1"/>
                <w:sz w:val="18"/>
              </w:rPr>
              <w:t>10,000,000</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37" w:lineRule="auto"/>
              <w:ind w:left="98" w:right="98"/>
              <w:jc w:val="left"/>
              <w:rPr>
                <w:rFonts w:ascii="宋体" w:hAnsi="宋体" w:cs="宋体" w:eastAsia="宋体" w:hint="default"/>
                <w:sz w:val="18"/>
                <w:szCs w:val="18"/>
              </w:rPr>
            </w:pPr>
            <w:r>
              <w:rPr>
                <w:rFonts w:ascii="宋体" w:hAnsi="宋体" w:cs="宋体" w:eastAsia="宋体" w:hint="default"/>
                <w:sz w:val="18"/>
                <w:szCs w:val="18"/>
              </w:rPr>
              <w:t>计算机软</w:t>
            </w:r>
            <w:r>
              <w:rPr>
                <w:rFonts w:ascii="宋体" w:hAnsi="宋体" w:cs="宋体" w:eastAsia="宋体" w:hint="default"/>
                <w:sz w:val="18"/>
                <w:szCs w:val="18"/>
              </w:rPr>
              <w:t>/ </w:t>
            </w:r>
            <w:r>
              <w:rPr>
                <w:rFonts w:ascii="宋体" w:hAnsi="宋体" w:cs="宋体" w:eastAsia="宋体" w:hint="default"/>
                <w:sz w:val="18"/>
                <w:szCs w:val="18"/>
              </w:rPr>
              <w:t>硬件</w:t>
            </w:r>
            <w:r>
              <w:rPr>
                <w:rFonts w:ascii="宋体" w:hAnsi="宋体" w:cs="宋体" w:eastAsia="宋体" w:hint="default"/>
                <w:sz w:val="18"/>
                <w:szCs w:val="18"/>
              </w:rPr>
              <w:t>/</w:t>
            </w:r>
            <w:r>
              <w:rPr>
                <w:rFonts w:ascii="宋体" w:hAnsi="宋体" w:cs="宋体" w:eastAsia="宋体" w:hint="default"/>
                <w:sz w:val="18"/>
                <w:szCs w:val="18"/>
              </w:rPr>
              <w:t>耗 </w:t>
            </w:r>
            <w:r>
              <w:rPr>
                <w:rFonts w:ascii="宋体" w:hAnsi="宋体" w:cs="宋体" w:eastAsia="宋体" w:hint="default"/>
                <w:spacing w:val="-17"/>
                <w:sz w:val="18"/>
                <w:szCs w:val="18"/>
              </w:rPr>
              <w:t>材、电子行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6" w:right="0"/>
              <w:jc w:val="both"/>
              <w:rPr>
                <w:rFonts w:ascii="宋体" w:hAnsi="宋体" w:cs="宋体" w:eastAsia="宋体" w:hint="default"/>
                <w:sz w:val="18"/>
                <w:szCs w:val="18"/>
              </w:rPr>
            </w:pPr>
            <w:r>
              <w:rPr>
                <w:rFonts w:ascii="宋体" w:hAnsi="宋体" w:cs="宋体" w:eastAsia="宋体" w:hint="default"/>
                <w:sz w:val="18"/>
                <w:szCs w:val="18"/>
              </w:rPr>
              <w:t>计算机软件硬件及</w:t>
            </w:r>
          </w:p>
          <w:p>
            <w:pPr>
              <w:pStyle w:val="TableParagraph"/>
              <w:spacing w:line="237" w:lineRule="auto"/>
              <w:ind w:left="96" w:right="146"/>
              <w:jc w:val="both"/>
              <w:rPr>
                <w:rFonts w:ascii="宋体" w:hAnsi="宋体" w:cs="宋体" w:eastAsia="宋体" w:hint="default"/>
                <w:sz w:val="18"/>
                <w:szCs w:val="18"/>
              </w:rPr>
            </w:pPr>
            <w:r>
              <w:rPr>
                <w:rFonts w:ascii="宋体" w:hAnsi="宋体" w:cs="宋体" w:eastAsia="宋体" w:hint="default"/>
                <w:sz w:val="18"/>
                <w:szCs w:val="18"/>
              </w:rPr>
              <w:t>外部设备的技术开 发、技术咨询及购 销；打印纸、计算 机耗材的购销；企 业管理咨询。</w:t>
            </w:r>
          </w:p>
        </w:tc>
        <w:tc>
          <w:tcPr>
            <w:tcW w:w="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 w:right="0"/>
              <w:jc w:val="center"/>
              <w:rPr>
                <w:rFonts w:ascii="宋体" w:hAnsi="宋体" w:cs="宋体" w:eastAsia="宋体" w:hint="default"/>
                <w:sz w:val="18"/>
                <w:szCs w:val="18"/>
              </w:rPr>
            </w:pPr>
            <w:r>
              <w:rPr>
                <w:rFonts w:ascii="宋体"/>
                <w:sz w:val="18"/>
              </w:rPr>
              <w:t>90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97"/>
              <w:jc w:val="right"/>
              <w:rPr>
                <w:rFonts w:ascii="宋体" w:hAnsi="宋体" w:cs="宋体" w:eastAsia="宋体" w:hint="default"/>
                <w:sz w:val="18"/>
                <w:szCs w:val="18"/>
              </w:rPr>
            </w:pPr>
            <w:r>
              <w:rPr>
                <w:rFonts w:ascii="宋体"/>
                <w:spacing w:val="-1"/>
                <w:sz w:val="18"/>
              </w:rPr>
              <w:t>87,839,427</w:t>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95"/>
              <w:jc w:val="right"/>
              <w:rPr>
                <w:rFonts w:ascii="宋体" w:hAnsi="宋体" w:cs="宋体" w:eastAsia="宋体" w:hint="default"/>
                <w:sz w:val="18"/>
                <w:szCs w:val="18"/>
              </w:rPr>
            </w:pPr>
            <w:r>
              <w:rPr>
                <w:rFonts w:ascii="宋体"/>
                <w:spacing w:val="-1"/>
                <w:sz w:val="18"/>
              </w:rPr>
              <w:t>25,933,536</w:t>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right="93"/>
              <w:jc w:val="right"/>
              <w:rPr>
                <w:rFonts w:ascii="宋体" w:hAnsi="宋体" w:cs="宋体" w:eastAsia="宋体" w:hint="default"/>
                <w:sz w:val="18"/>
                <w:szCs w:val="18"/>
              </w:rPr>
            </w:pPr>
            <w:r>
              <w:rPr>
                <w:rFonts w:ascii="宋体"/>
                <w:spacing w:val="-1"/>
                <w:sz w:val="18"/>
              </w:rPr>
              <w:t>-20,301,937</w:t>
            </w:r>
            <w:r>
              <w:rPr>
                <w:rFonts w:ascii="宋体"/>
                <w:sz w:val="18"/>
              </w:rPr>
            </w:r>
          </w:p>
        </w:tc>
      </w:tr>
      <w:tr>
        <w:trPr>
          <w:trHeight w:val="2122"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37" w:lineRule="auto"/>
              <w:ind w:left="98" w:right="271"/>
              <w:jc w:val="both"/>
              <w:rPr>
                <w:rFonts w:ascii="宋体" w:hAnsi="宋体" w:cs="宋体" w:eastAsia="宋体" w:hint="default"/>
                <w:sz w:val="18"/>
                <w:szCs w:val="18"/>
              </w:rPr>
            </w:pPr>
            <w:r>
              <w:rPr>
                <w:rFonts w:ascii="宋体" w:hAnsi="宋体" w:cs="宋体" w:eastAsia="宋体" w:hint="default"/>
                <w:sz w:val="18"/>
                <w:szCs w:val="18"/>
              </w:rPr>
              <w:t>山东用友软 件技术有限 公司</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91"/>
              <w:jc w:val="right"/>
              <w:rPr>
                <w:rFonts w:ascii="宋体" w:hAnsi="宋体" w:cs="宋体" w:eastAsia="宋体" w:hint="default"/>
                <w:sz w:val="18"/>
                <w:szCs w:val="18"/>
              </w:rPr>
            </w:pPr>
            <w:r>
              <w:rPr>
                <w:rFonts w:ascii="宋体"/>
                <w:sz w:val="18"/>
              </w:rPr>
              <w:t>5,000,000</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37" w:lineRule="auto"/>
              <w:ind w:left="98" w:right="98"/>
              <w:jc w:val="left"/>
              <w:rPr>
                <w:rFonts w:ascii="宋体" w:hAnsi="宋体" w:cs="宋体" w:eastAsia="宋体" w:hint="default"/>
                <w:sz w:val="18"/>
                <w:szCs w:val="18"/>
              </w:rPr>
            </w:pPr>
            <w:r>
              <w:rPr>
                <w:rFonts w:ascii="宋体" w:hAnsi="宋体" w:cs="宋体" w:eastAsia="宋体" w:hint="default"/>
                <w:sz w:val="18"/>
                <w:szCs w:val="18"/>
              </w:rPr>
              <w:t>计算机软</w:t>
            </w:r>
            <w:r>
              <w:rPr>
                <w:rFonts w:ascii="宋体" w:hAnsi="宋体" w:cs="宋体" w:eastAsia="宋体" w:hint="default"/>
                <w:sz w:val="18"/>
                <w:szCs w:val="18"/>
              </w:rPr>
              <w:t>/ </w:t>
            </w:r>
            <w:r>
              <w:rPr>
                <w:rFonts w:ascii="宋体" w:hAnsi="宋体" w:cs="宋体" w:eastAsia="宋体" w:hint="default"/>
                <w:sz w:val="18"/>
                <w:szCs w:val="18"/>
              </w:rPr>
              <w:t>硬件</w:t>
            </w:r>
            <w:r>
              <w:rPr>
                <w:rFonts w:ascii="宋体" w:hAnsi="宋体" w:cs="宋体" w:eastAsia="宋体" w:hint="default"/>
                <w:sz w:val="18"/>
                <w:szCs w:val="18"/>
              </w:rPr>
              <w:t>/</w:t>
            </w:r>
            <w:r>
              <w:rPr>
                <w:rFonts w:ascii="宋体" w:hAnsi="宋体" w:cs="宋体" w:eastAsia="宋体" w:hint="default"/>
                <w:sz w:val="18"/>
                <w:szCs w:val="18"/>
              </w:rPr>
              <w:t>耗 </w:t>
            </w:r>
            <w:r>
              <w:rPr>
                <w:rFonts w:ascii="宋体" w:hAnsi="宋体" w:cs="宋体" w:eastAsia="宋体" w:hint="default"/>
                <w:spacing w:val="-17"/>
                <w:sz w:val="18"/>
                <w:szCs w:val="18"/>
              </w:rPr>
              <w:t>材、技术咨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7"/>
                <w:sz w:val="18"/>
                <w:szCs w:val="18"/>
              </w:rPr>
              <w:t>询、电子行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6" w:right="0"/>
              <w:jc w:val="left"/>
              <w:rPr>
                <w:rFonts w:ascii="宋体" w:hAnsi="宋体" w:cs="宋体" w:eastAsia="宋体" w:hint="default"/>
                <w:sz w:val="18"/>
                <w:szCs w:val="18"/>
              </w:rPr>
            </w:pPr>
            <w:r>
              <w:rPr>
                <w:rFonts w:ascii="宋体" w:hAnsi="宋体" w:cs="宋体" w:eastAsia="宋体" w:hint="default"/>
                <w:sz w:val="18"/>
                <w:szCs w:val="18"/>
              </w:rPr>
              <w:t>计算机软、硬件及</w:t>
            </w:r>
          </w:p>
          <w:p>
            <w:pPr>
              <w:pStyle w:val="TableParagraph"/>
              <w:spacing w:line="237" w:lineRule="auto" w:before="2"/>
              <w:ind w:left="96" w:right="7"/>
              <w:jc w:val="left"/>
              <w:rPr>
                <w:rFonts w:ascii="宋体" w:hAnsi="宋体" w:cs="宋体" w:eastAsia="宋体" w:hint="default"/>
                <w:sz w:val="18"/>
                <w:szCs w:val="18"/>
              </w:rPr>
            </w:pPr>
            <w:r>
              <w:rPr>
                <w:rFonts w:ascii="宋体" w:hAnsi="宋体" w:cs="宋体" w:eastAsia="宋体" w:hint="default"/>
                <w:sz w:val="18"/>
                <w:szCs w:val="18"/>
              </w:rPr>
              <w:t>外部设备的技术开 发、咨询服务；技 术转让，技术培训 及数据库服务；企 业管理咨询；进出 </w:t>
            </w:r>
            <w:r>
              <w:rPr>
                <w:rFonts w:ascii="宋体" w:hAnsi="宋体" w:cs="宋体" w:eastAsia="宋体" w:hint="default"/>
                <w:spacing w:val="-5"/>
                <w:sz w:val="18"/>
                <w:szCs w:val="18"/>
              </w:rPr>
              <w:t>口业务；计算机软、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硬件及外部设备、 </w:t>
            </w:r>
            <w:r>
              <w:rPr>
                <w:rFonts w:ascii="宋体" w:hAnsi="宋体" w:cs="宋体" w:eastAsia="宋体" w:hint="default"/>
                <w:spacing w:val="-5"/>
                <w:sz w:val="18"/>
                <w:szCs w:val="18"/>
              </w:rPr>
              <w:t>耗材、打印纸销售。</w:t>
            </w:r>
          </w:p>
        </w:tc>
        <w:tc>
          <w:tcPr>
            <w:tcW w:w="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sz w:val="18"/>
              </w:rPr>
              <w:t>90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27,672,461</w:t>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13,517,006</w:t>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93"/>
              <w:jc w:val="right"/>
              <w:rPr>
                <w:rFonts w:ascii="宋体" w:hAnsi="宋体" w:cs="宋体" w:eastAsia="宋体" w:hint="default"/>
                <w:sz w:val="18"/>
                <w:szCs w:val="18"/>
              </w:rPr>
            </w:pPr>
            <w:r>
              <w:rPr>
                <w:rFonts w:ascii="宋体"/>
                <w:sz w:val="18"/>
              </w:rPr>
              <w:t>1,426,778</w:t>
            </w:r>
          </w:p>
        </w:tc>
      </w:tr>
    </w:tbl>
    <w:p>
      <w:pPr>
        <w:spacing w:after="0" w:line="240" w:lineRule="auto"/>
        <w:jc w:val="right"/>
        <w:rPr>
          <w:rFonts w:ascii="宋体" w:hAnsi="宋体" w:cs="宋体" w:eastAsia="宋体" w:hint="default"/>
          <w:sz w:val="18"/>
          <w:szCs w:val="18"/>
        </w:rPr>
        <w:sectPr>
          <w:pgSz w:w="11910" w:h="16850"/>
          <w:pgMar w:header="752" w:footer="730" w:top="1020" w:bottom="920" w:left="1160" w:right="6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07" w:type="dxa"/>
        <w:tblLayout w:type="fixed"/>
        <w:tblCellMar>
          <w:top w:w="0" w:type="dxa"/>
          <w:left w:w="0" w:type="dxa"/>
          <w:bottom w:w="0" w:type="dxa"/>
          <w:right w:w="0" w:type="dxa"/>
        </w:tblCellMar>
        <w:tblLook w:val="01E0"/>
      </w:tblPr>
      <w:tblGrid>
        <w:gridCol w:w="1291"/>
        <w:gridCol w:w="1274"/>
        <w:gridCol w:w="1037"/>
        <w:gridCol w:w="1704"/>
        <w:gridCol w:w="804"/>
        <w:gridCol w:w="1274"/>
        <w:gridCol w:w="1214"/>
        <w:gridCol w:w="1243"/>
      </w:tblGrid>
      <w:tr>
        <w:trPr>
          <w:trHeight w:val="1176"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78" w:right="0"/>
              <w:jc w:val="left"/>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240" w:right="151" w:hanging="89"/>
              <w:jc w:val="left"/>
              <w:rPr>
                <w:rFonts w:ascii="宋体" w:hAnsi="宋体" w:cs="宋体" w:eastAsia="宋体" w:hint="default"/>
                <w:sz w:val="18"/>
                <w:szCs w:val="18"/>
              </w:rPr>
            </w:pPr>
            <w:r>
              <w:rPr>
                <w:rFonts w:ascii="宋体" w:hAnsi="宋体" w:cs="宋体" w:eastAsia="宋体" w:hint="default"/>
                <w:b/>
                <w:bCs/>
                <w:sz w:val="18"/>
                <w:szCs w:val="18"/>
              </w:rPr>
              <w:t>主要产品</w:t>
            </w:r>
            <w:r>
              <w:rPr>
                <w:rFonts w:ascii="宋体" w:hAnsi="宋体" w:cs="宋体" w:eastAsia="宋体" w:hint="default"/>
                <w:b/>
                <w:bCs/>
                <w:w w:val="99"/>
                <w:sz w:val="18"/>
                <w:szCs w:val="18"/>
              </w:rPr>
              <w:t> </w:t>
            </w:r>
            <w:r>
              <w:rPr>
                <w:rFonts w:ascii="宋体" w:hAnsi="宋体" w:cs="宋体" w:eastAsia="宋体" w:hint="default"/>
                <w:b/>
                <w:bCs/>
                <w:sz w:val="18"/>
                <w:szCs w:val="18"/>
              </w:rPr>
              <w:t>或服务</w:t>
            </w:r>
            <w:r>
              <w:rPr>
                <w:rFonts w:ascii="宋体" w:hAnsi="宋体" w:cs="宋体" w:eastAsia="宋体" w:hint="default"/>
                <w:sz w:val="18"/>
                <w:szCs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482" w:right="0"/>
              <w:jc w:val="left"/>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24" w:right="125"/>
              <w:jc w:val="both"/>
              <w:rPr>
                <w:rFonts w:ascii="宋体" w:hAnsi="宋体" w:cs="宋体" w:eastAsia="宋体" w:hint="default"/>
                <w:sz w:val="18"/>
                <w:szCs w:val="18"/>
              </w:rPr>
            </w:pPr>
            <w:r>
              <w:rPr>
                <w:rFonts w:ascii="宋体" w:hAnsi="宋体" w:cs="宋体" w:eastAsia="宋体" w:hint="default"/>
                <w:b/>
                <w:bCs/>
                <w:sz w:val="18"/>
                <w:szCs w:val="18"/>
              </w:rPr>
              <w:t>公司直</w:t>
            </w:r>
            <w:r>
              <w:rPr>
                <w:rFonts w:ascii="宋体" w:hAnsi="宋体" w:cs="宋体" w:eastAsia="宋体" w:hint="default"/>
                <w:b/>
                <w:bCs/>
                <w:w w:val="99"/>
                <w:sz w:val="18"/>
                <w:szCs w:val="18"/>
              </w:rPr>
              <w:t> </w:t>
            </w:r>
            <w:r>
              <w:rPr>
                <w:rFonts w:ascii="宋体" w:hAnsi="宋体" w:cs="宋体" w:eastAsia="宋体" w:hint="default"/>
                <w:b/>
                <w:bCs/>
                <w:sz w:val="18"/>
                <w:szCs w:val="18"/>
              </w:rPr>
              <w:t>接持股</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p>
            <w:pPr>
              <w:pStyle w:val="TableParagraph"/>
              <w:spacing w:line="214" w:lineRule="exact"/>
              <w:ind w:left="170" w:right="0"/>
              <w:jc w:val="both"/>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540" w:right="182" w:hanging="363"/>
              <w:jc w:val="left"/>
              <w:rPr>
                <w:rFonts w:ascii="宋体" w:hAnsi="宋体" w:cs="宋体" w:eastAsia="宋体" w:hint="default"/>
                <w:sz w:val="18"/>
                <w:szCs w:val="18"/>
              </w:rPr>
            </w:pPr>
            <w:r>
              <w:rPr>
                <w:rFonts w:ascii="宋体" w:hAnsi="宋体" w:cs="宋体" w:eastAsia="宋体" w:hint="default"/>
                <w:b/>
                <w:bCs/>
                <w:sz w:val="18"/>
                <w:szCs w:val="18"/>
              </w:rPr>
              <w:t>主营业务收</w:t>
            </w:r>
            <w:r>
              <w:rPr>
                <w:rFonts w:ascii="宋体" w:hAnsi="宋体" w:cs="宋体" w:eastAsia="宋体" w:hint="default"/>
                <w:b/>
                <w:bCs/>
                <w:w w:val="99"/>
                <w:sz w:val="18"/>
                <w:szCs w:val="18"/>
              </w:rPr>
              <w:t> </w:t>
            </w:r>
            <w:r>
              <w:rPr>
                <w:rFonts w:ascii="宋体" w:hAnsi="宋体" w:cs="宋体" w:eastAsia="宋体" w:hint="default"/>
                <w:b/>
                <w:bCs/>
                <w:sz w:val="18"/>
                <w:szCs w:val="18"/>
              </w:rPr>
              <w:t>入</w:t>
            </w:r>
            <w:r>
              <w:rPr>
                <w:rFonts w:ascii="宋体" w:hAnsi="宋体" w:cs="宋体" w:eastAsia="宋体" w:hint="default"/>
                <w:sz w:val="18"/>
                <w:szCs w:val="18"/>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b/>
                <w:bCs/>
                <w:sz w:val="18"/>
                <w:szCs w:val="18"/>
              </w:rPr>
              <w:t>总资产</w:t>
            </w:r>
            <w:r>
              <w:rPr>
                <w:rFonts w:ascii="宋体" w:hAnsi="宋体" w:cs="宋体" w:eastAsia="宋体" w:hint="default"/>
                <w:sz w:val="18"/>
                <w:szCs w:val="18"/>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13"/>
              <w:ind w:right="0"/>
              <w:jc w:val="center"/>
              <w:rPr>
                <w:rFonts w:ascii="宋体" w:hAnsi="宋体" w:cs="宋体" w:eastAsia="宋体" w:hint="default"/>
                <w:sz w:val="18"/>
                <w:szCs w:val="18"/>
              </w:rPr>
            </w:pPr>
            <w:r>
              <w:rPr>
                <w:rFonts w:ascii="宋体" w:hAnsi="宋体" w:cs="宋体" w:eastAsia="宋体" w:hint="default"/>
                <w:b/>
                <w:bCs/>
                <w:sz w:val="18"/>
                <w:szCs w:val="18"/>
              </w:rPr>
              <w:t>净利润</w:t>
            </w:r>
            <w:r>
              <w:rPr>
                <w:rFonts w:ascii="宋体" w:hAnsi="宋体" w:cs="宋体" w:eastAsia="宋体" w:hint="default"/>
                <w:sz w:val="18"/>
                <w:szCs w:val="18"/>
              </w:rPr>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（净损失）</w:t>
            </w:r>
            <w:r>
              <w:rPr>
                <w:rFonts w:ascii="宋体" w:hAnsi="宋体" w:cs="宋体" w:eastAsia="宋体" w:hint="default"/>
                <w:sz w:val="18"/>
                <w:szCs w:val="18"/>
              </w:rPr>
            </w:r>
          </w:p>
        </w:tc>
      </w:tr>
      <w:tr>
        <w:trPr>
          <w:trHeight w:val="2350" w:hRule="exact"/>
        </w:trPr>
        <w:tc>
          <w:tcPr>
            <w:tcW w:w="1291"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37" w:lineRule="auto"/>
              <w:ind w:left="98" w:right="271"/>
              <w:jc w:val="both"/>
              <w:rPr>
                <w:rFonts w:ascii="宋体" w:hAnsi="宋体" w:cs="宋体" w:eastAsia="宋体" w:hint="default"/>
                <w:sz w:val="18"/>
                <w:szCs w:val="18"/>
              </w:rPr>
            </w:pPr>
            <w:r>
              <w:rPr>
                <w:rFonts w:ascii="宋体" w:hAnsi="宋体" w:cs="宋体" w:eastAsia="宋体" w:hint="default"/>
                <w:sz w:val="18"/>
                <w:szCs w:val="18"/>
              </w:rPr>
              <w:t>江西用友软 件有限责任 公司</w:t>
            </w:r>
          </w:p>
        </w:tc>
        <w:tc>
          <w:tcPr>
            <w:tcW w:w="1274"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2"/>
              <w:jc w:val="right"/>
              <w:rPr>
                <w:rFonts w:ascii="宋体" w:hAnsi="宋体" w:cs="宋体" w:eastAsia="宋体" w:hint="default"/>
                <w:sz w:val="18"/>
                <w:szCs w:val="18"/>
              </w:rPr>
            </w:pPr>
            <w:r>
              <w:rPr>
                <w:rFonts w:ascii="宋体"/>
                <w:spacing w:val="-1"/>
                <w:sz w:val="18"/>
              </w:rPr>
              <w:t>20,000,000</w:t>
            </w:r>
          </w:p>
        </w:tc>
        <w:tc>
          <w:tcPr>
            <w:tcW w:w="1037"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37" w:lineRule="auto"/>
              <w:ind w:left="98" w:right="98"/>
              <w:jc w:val="left"/>
              <w:rPr>
                <w:rFonts w:ascii="宋体" w:hAnsi="宋体" w:cs="宋体" w:eastAsia="宋体" w:hint="default"/>
                <w:sz w:val="18"/>
                <w:szCs w:val="18"/>
              </w:rPr>
            </w:pPr>
            <w:r>
              <w:rPr>
                <w:rFonts w:ascii="宋体" w:hAnsi="宋体" w:cs="宋体" w:eastAsia="宋体" w:hint="default"/>
                <w:sz w:val="18"/>
                <w:szCs w:val="18"/>
              </w:rPr>
              <w:t>计算机软</w:t>
            </w:r>
            <w:r>
              <w:rPr>
                <w:rFonts w:ascii="宋体" w:hAnsi="宋体" w:cs="宋体" w:eastAsia="宋体" w:hint="default"/>
                <w:sz w:val="18"/>
                <w:szCs w:val="18"/>
              </w:rPr>
              <w:t>/ </w:t>
            </w:r>
            <w:r>
              <w:rPr>
                <w:rFonts w:ascii="宋体" w:hAnsi="宋体" w:cs="宋体" w:eastAsia="宋体" w:hint="default"/>
                <w:sz w:val="18"/>
                <w:szCs w:val="18"/>
              </w:rPr>
              <w:t>硬件</w:t>
            </w:r>
            <w:r>
              <w:rPr>
                <w:rFonts w:ascii="宋体" w:hAnsi="宋体" w:cs="宋体" w:eastAsia="宋体" w:hint="default"/>
                <w:sz w:val="18"/>
                <w:szCs w:val="18"/>
              </w:rPr>
              <w:t>/</w:t>
            </w:r>
            <w:r>
              <w:rPr>
                <w:rFonts w:ascii="宋体" w:hAnsi="宋体" w:cs="宋体" w:eastAsia="宋体" w:hint="default"/>
                <w:sz w:val="18"/>
                <w:szCs w:val="18"/>
              </w:rPr>
              <w:t>耗 </w:t>
            </w:r>
            <w:r>
              <w:rPr>
                <w:rFonts w:ascii="宋体" w:hAnsi="宋体" w:cs="宋体" w:eastAsia="宋体" w:hint="default"/>
                <w:spacing w:val="-17"/>
                <w:sz w:val="18"/>
                <w:szCs w:val="18"/>
              </w:rPr>
              <w:t>材、电子行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w:t>
            </w:r>
          </w:p>
        </w:tc>
        <w:tc>
          <w:tcPr>
            <w:tcW w:w="1704" w:type="dxa"/>
            <w:tcBorders>
              <w:top w:val="single" w:sz="4" w:space="0" w:color="000000"/>
              <w:left w:val="single" w:sz="8" w:space="0" w:color="000000"/>
              <w:bottom w:val="single" w:sz="8" w:space="0" w:color="000000"/>
              <w:right w:val="single" w:sz="8" w:space="0" w:color="000000"/>
            </w:tcBorders>
          </w:tcPr>
          <w:p>
            <w:pPr>
              <w:pStyle w:val="TableParagraph"/>
              <w:spacing w:line="206" w:lineRule="exact"/>
              <w:ind w:left="96" w:right="0"/>
              <w:jc w:val="left"/>
              <w:rPr>
                <w:rFonts w:ascii="宋体" w:hAnsi="宋体" w:cs="宋体" w:eastAsia="宋体" w:hint="default"/>
                <w:sz w:val="18"/>
                <w:szCs w:val="18"/>
              </w:rPr>
            </w:pPr>
            <w:r>
              <w:rPr>
                <w:rFonts w:ascii="宋体" w:hAnsi="宋体" w:cs="宋体" w:eastAsia="宋体" w:hint="default"/>
                <w:sz w:val="18"/>
                <w:szCs w:val="18"/>
              </w:rPr>
              <w:t>计算机软、硬件及</w:t>
            </w:r>
          </w:p>
          <w:p>
            <w:pPr>
              <w:pStyle w:val="TableParagraph"/>
              <w:spacing w:line="237" w:lineRule="auto"/>
              <w:ind w:left="96" w:right="7"/>
              <w:jc w:val="left"/>
              <w:rPr>
                <w:rFonts w:ascii="宋体" w:hAnsi="宋体" w:cs="宋体" w:eastAsia="宋体" w:hint="default"/>
                <w:sz w:val="18"/>
                <w:szCs w:val="18"/>
              </w:rPr>
            </w:pPr>
            <w:r>
              <w:rPr>
                <w:rFonts w:ascii="宋体" w:hAnsi="宋体" w:cs="宋体" w:eastAsia="宋体" w:hint="default"/>
                <w:sz w:val="18"/>
                <w:szCs w:val="18"/>
              </w:rPr>
              <w:t>外部设备的技术开 发、技术咨询、技 </w:t>
            </w:r>
            <w:r>
              <w:rPr>
                <w:rFonts w:ascii="宋体" w:hAnsi="宋体" w:cs="宋体" w:eastAsia="宋体" w:hint="default"/>
                <w:spacing w:val="-5"/>
                <w:sz w:val="18"/>
                <w:szCs w:val="18"/>
              </w:rPr>
              <w:t>术转让、技术服务；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企业管理咨询；数 据库服务；系统集 成；计算机软硬件 及外部设备、打印 纸、计算机耗材销 售。</w:t>
            </w:r>
          </w:p>
        </w:tc>
        <w:tc>
          <w:tcPr>
            <w:tcW w:w="804"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56" w:right="0"/>
              <w:jc w:val="left"/>
              <w:rPr>
                <w:rFonts w:ascii="宋体" w:hAnsi="宋体" w:cs="宋体" w:eastAsia="宋体" w:hint="default"/>
                <w:sz w:val="18"/>
                <w:szCs w:val="18"/>
              </w:rPr>
            </w:pPr>
            <w:r>
              <w:rPr>
                <w:rFonts w:ascii="宋体"/>
                <w:sz w:val="18"/>
              </w:rPr>
              <w:t>100</w:t>
            </w:r>
          </w:p>
        </w:tc>
        <w:tc>
          <w:tcPr>
            <w:tcW w:w="1274"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15,306,796</w:t>
            </w:r>
          </w:p>
        </w:tc>
        <w:tc>
          <w:tcPr>
            <w:tcW w:w="1214"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20,885,975</w:t>
            </w:r>
            <w:r>
              <w:rPr>
                <w:rFonts w:ascii="宋体"/>
                <w:sz w:val="18"/>
              </w:rPr>
            </w:r>
          </w:p>
        </w:tc>
        <w:tc>
          <w:tcPr>
            <w:tcW w:w="1243"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-20,759,699</w:t>
            </w:r>
            <w:r>
              <w:rPr>
                <w:rFonts w:ascii="宋体"/>
                <w:sz w:val="18"/>
              </w:rPr>
            </w:r>
          </w:p>
        </w:tc>
      </w:tr>
      <w:tr>
        <w:trPr>
          <w:trHeight w:val="1188"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98" w:right="271"/>
              <w:jc w:val="left"/>
              <w:rPr>
                <w:rFonts w:ascii="宋体" w:hAnsi="宋体" w:cs="宋体" w:eastAsia="宋体" w:hint="default"/>
                <w:sz w:val="18"/>
                <w:szCs w:val="18"/>
              </w:rPr>
            </w:pPr>
            <w:r>
              <w:rPr>
                <w:rFonts w:ascii="宋体" w:hAnsi="宋体" w:cs="宋体" w:eastAsia="宋体" w:hint="default"/>
                <w:sz w:val="18"/>
                <w:szCs w:val="18"/>
              </w:rPr>
              <w:t>湖南用友软 件有限公司</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1"/>
              <w:jc w:val="right"/>
              <w:rPr>
                <w:rFonts w:ascii="宋体" w:hAnsi="宋体" w:cs="宋体" w:eastAsia="宋体" w:hint="default"/>
                <w:sz w:val="18"/>
                <w:szCs w:val="18"/>
              </w:rPr>
            </w:pPr>
            <w:r>
              <w:rPr>
                <w:rFonts w:ascii="宋体"/>
                <w:sz w:val="18"/>
              </w:rPr>
              <w:t>3,000,000</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98" w:right="105"/>
              <w:jc w:val="both"/>
              <w:rPr>
                <w:rFonts w:ascii="宋体" w:hAnsi="宋体" w:cs="宋体" w:eastAsia="宋体" w:hint="default"/>
                <w:sz w:val="18"/>
                <w:szCs w:val="18"/>
              </w:rPr>
            </w:pPr>
            <w:r>
              <w:rPr>
                <w:rFonts w:ascii="宋体" w:hAnsi="宋体" w:cs="宋体" w:eastAsia="宋体" w:hint="default"/>
                <w:sz w:val="18"/>
                <w:szCs w:val="18"/>
              </w:rPr>
              <w:t>计算机软</w:t>
            </w:r>
            <w:r>
              <w:rPr>
                <w:rFonts w:ascii="宋体" w:hAnsi="宋体" w:cs="宋体" w:eastAsia="宋体" w:hint="default"/>
                <w:sz w:val="18"/>
                <w:szCs w:val="18"/>
              </w:rPr>
              <w:t>/ </w:t>
            </w:r>
            <w:r>
              <w:rPr>
                <w:rFonts w:ascii="宋体" w:hAnsi="宋体" w:cs="宋体" w:eastAsia="宋体" w:hint="default"/>
                <w:sz w:val="18"/>
                <w:szCs w:val="18"/>
              </w:rPr>
              <w:t>硬件</w:t>
            </w:r>
            <w:r>
              <w:rPr>
                <w:rFonts w:ascii="宋体" w:hAnsi="宋体" w:cs="宋体" w:eastAsia="宋体" w:hint="default"/>
                <w:sz w:val="18"/>
                <w:szCs w:val="18"/>
              </w:rPr>
              <w:t>/</w:t>
            </w:r>
            <w:r>
              <w:rPr>
                <w:rFonts w:ascii="宋体" w:hAnsi="宋体" w:cs="宋体" w:eastAsia="宋体" w:hint="default"/>
                <w:sz w:val="18"/>
                <w:szCs w:val="18"/>
              </w:rPr>
              <w:t>咨询 行业</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6" w:right="0"/>
              <w:jc w:val="both"/>
              <w:rPr>
                <w:rFonts w:ascii="宋体" w:hAnsi="宋体" w:cs="宋体" w:eastAsia="宋体" w:hint="default"/>
                <w:sz w:val="18"/>
                <w:szCs w:val="18"/>
              </w:rPr>
            </w:pPr>
            <w:r>
              <w:rPr>
                <w:rFonts w:ascii="宋体" w:hAnsi="宋体" w:cs="宋体" w:eastAsia="宋体" w:hint="default"/>
                <w:sz w:val="18"/>
                <w:szCs w:val="18"/>
              </w:rPr>
              <w:t>计算机软、硬件及</w:t>
            </w:r>
          </w:p>
          <w:p>
            <w:pPr>
              <w:pStyle w:val="TableParagraph"/>
              <w:spacing w:line="237" w:lineRule="auto"/>
              <w:ind w:left="96" w:right="235"/>
              <w:jc w:val="both"/>
              <w:rPr>
                <w:rFonts w:ascii="宋体" w:hAnsi="宋体" w:cs="宋体" w:eastAsia="宋体" w:hint="default"/>
                <w:sz w:val="18"/>
                <w:szCs w:val="18"/>
              </w:rPr>
            </w:pPr>
            <w:r>
              <w:rPr>
                <w:rFonts w:ascii="宋体" w:hAnsi="宋体" w:cs="宋体" w:eastAsia="宋体" w:hint="default"/>
                <w:sz w:val="18"/>
                <w:szCs w:val="18"/>
              </w:rPr>
              <w:t>配件的开发</w:t>
            </w:r>
            <w:r>
              <w:rPr>
                <w:rFonts w:ascii="宋体" w:hAnsi="宋体" w:cs="宋体" w:eastAsia="宋体" w:hint="default"/>
                <w:sz w:val="18"/>
                <w:szCs w:val="18"/>
              </w:rPr>
              <w:t>,</w:t>
            </w:r>
            <w:r>
              <w:rPr>
                <w:rFonts w:ascii="宋体" w:hAnsi="宋体" w:cs="宋体" w:eastAsia="宋体" w:hint="default"/>
                <w:sz w:val="18"/>
                <w:szCs w:val="18"/>
              </w:rPr>
              <w:t>技术 咨询</w:t>
            </w:r>
            <w:r>
              <w:rPr>
                <w:rFonts w:ascii="宋体" w:hAnsi="宋体" w:cs="宋体" w:eastAsia="宋体" w:hint="default"/>
                <w:sz w:val="18"/>
                <w:szCs w:val="18"/>
              </w:rPr>
              <w:t>,</w:t>
            </w:r>
            <w:r>
              <w:rPr>
                <w:rFonts w:ascii="宋体" w:hAnsi="宋体" w:cs="宋体" w:eastAsia="宋体" w:hint="default"/>
                <w:sz w:val="18"/>
                <w:szCs w:val="18"/>
              </w:rPr>
              <w:t>技术转让及 销售数据库服务</w:t>
            </w:r>
            <w:r>
              <w:rPr>
                <w:rFonts w:ascii="宋体" w:hAnsi="宋体" w:cs="宋体" w:eastAsia="宋体" w:hint="default"/>
                <w:sz w:val="18"/>
                <w:szCs w:val="18"/>
              </w:rPr>
              <w:t>, </w:t>
            </w:r>
            <w:r>
              <w:rPr>
                <w:rFonts w:ascii="宋体" w:hAnsi="宋体" w:cs="宋体" w:eastAsia="宋体" w:hint="default"/>
                <w:sz w:val="18"/>
                <w:szCs w:val="18"/>
              </w:rPr>
              <w:t>企业管理咨询。</w:t>
            </w:r>
          </w:p>
        </w:tc>
        <w:tc>
          <w:tcPr>
            <w:tcW w:w="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302" w:right="0"/>
              <w:jc w:val="left"/>
              <w:rPr>
                <w:rFonts w:ascii="宋体" w:hAnsi="宋体" w:cs="宋体" w:eastAsia="宋体" w:hint="default"/>
                <w:sz w:val="18"/>
                <w:szCs w:val="18"/>
              </w:rPr>
            </w:pPr>
            <w:r>
              <w:rPr>
                <w:rFonts w:ascii="宋体"/>
                <w:sz w:val="18"/>
              </w:rPr>
              <w:t>90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7"/>
              <w:jc w:val="right"/>
              <w:rPr>
                <w:rFonts w:ascii="宋体" w:hAnsi="宋体" w:cs="宋体" w:eastAsia="宋体" w:hint="default"/>
                <w:sz w:val="18"/>
                <w:szCs w:val="18"/>
              </w:rPr>
            </w:pPr>
            <w:r>
              <w:rPr>
                <w:rFonts w:ascii="宋体"/>
                <w:spacing w:val="-1"/>
                <w:sz w:val="18"/>
              </w:rPr>
              <w:t>16,099,692</w:t>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宋体" w:hAnsi="宋体" w:cs="宋体" w:eastAsia="宋体" w:hint="default"/>
                <w:sz w:val="18"/>
                <w:szCs w:val="18"/>
              </w:rPr>
            </w:pPr>
            <w:r>
              <w:rPr>
                <w:rFonts w:ascii="宋体"/>
                <w:spacing w:val="-1"/>
                <w:sz w:val="18"/>
              </w:rPr>
              <w:t>16,099,719</w:t>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-8,177,712</w:t>
            </w:r>
            <w:r>
              <w:rPr>
                <w:rFonts w:ascii="宋体"/>
                <w:sz w:val="18"/>
              </w:rPr>
            </w:r>
          </w:p>
        </w:tc>
      </w:tr>
      <w:tr>
        <w:trPr>
          <w:trHeight w:val="953"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112"/>
              <w:ind w:left="98" w:right="271"/>
              <w:jc w:val="both"/>
              <w:rPr>
                <w:rFonts w:ascii="宋体" w:hAnsi="宋体" w:cs="宋体" w:eastAsia="宋体" w:hint="default"/>
                <w:sz w:val="18"/>
                <w:szCs w:val="18"/>
              </w:rPr>
            </w:pPr>
            <w:r>
              <w:rPr>
                <w:rFonts w:ascii="宋体" w:hAnsi="宋体" w:cs="宋体" w:eastAsia="宋体" w:hint="default"/>
                <w:sz w:val="18"/>
                <w:szCs w:val="18"/>
              </w:rPr>
              <w:t>内蒙古用友 软件技术有 限公司</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1"/>
              <w:jc w:val="right"/>
              <w:rPr>
                <w:rFonts w:ascii="宋体" w:hAnsi="宋体" w:cs="宋体" w:eastAsia="宋体" w:hint="default"/>
                <w:sz w:val="18"/>
                <w:szCs w:val="18"/>
              </w:rPr>
            </w:pPr>
            <w:r>
              <w:rPr>
                <w:rFonts w:ascii="宋体"/>
                <w:sz w:val="18"/>
              </w:rPr>
              <w:t>3,000,000</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112"/>
              <w:ind w:left="98" w:right="105"/>
              <w:jc w:val="both"/>
              <w:rPr>
                <w:rFonts w:ascii="宋体" w:hAnsi="宋体" w:cs="宋体" w:eastAsia="宋体" w:hint="default"/>
                <w:sz w:val="18"/>
                <w:szCs w:val="18"/>
              </w:rPr>
            </w:pPr>
            <w:r>
              <w:rPr>
                <w:rFonts w:ascii="宋体" w:hAnsi="宋体" w:cs="宋体" w:eastAsia="宋体" w:hint="default"/>
                <w:sz w:val="18"/>
                <w:szCs w:val="18"/>
              </w:rPr>
              <w:t>计算机软</w:t>
            </w:r>
            <w:r>
              <w:rPr>
                <w:rFonts w:ascii="宋体" w:hAnsi="宋体" w:cs="宋体" w:eastAsia="宋体" w:hint="default"/>
                <w:sz w:val="18"/>
                <w:szCs w:val="18"/>
              </w:rPr>
              <w:t>/ </w:t>
            </w:r>
            <w:r>
              <w:rPr>
                <w:rFonts w:ascii="宋体" w:hAnsi="宋体" w:cs="宋体" w:eastAsia="宋体" w:hint="default"/>
                <w:sz w:val="18"/>
                <w:szCs w:val="18"/>
              </w:rPr>
              <w:t>硬件</w:t>
            </w:r>
            <w:r>
              <w:rPr>
                <w:rFonts w:ascii="宋体" w:hAnsi="宋体" w:cs="宋体" w:eastAsia="宋体" w:hint="default"/>
                <w:sz w:val="18"/>
                <w:szCs w:val="18"/>
              </w:rPr>
              <w:t>/</w:t>
            </w:r>
            <w:r>
              <w:rPr>
                <w:rFonts w:ascii="宋体" w:hAnsi="宋体" w:cs="宋体" w:eastAsia="宋体" w:hint="default"/>
                <w:sz w:val="18"/>
                <w:szCs w:val="18"/>
              </w:rPr>
              <w:t>咨询 行业</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6" w:right="0"/>
              <w:jc w:val="left"/>
              <w:rPr>
                <w:rFonts w:ascii="宋体" w:hAnsi="宋体" w:cs="宋体" w:eastAsia="宋体" w:hint="default"/>
                <w:sz w:val="18"/>
                <w:szCs w:val="18"/>
              </w:rPr>
            </w:pPr>
            <w:r>
              <w:rPr>
                <w:rFonts w:ascii="宋体" w:hAnsi="宋体" w:cs="宋体" w:eastAsia="宋体" w:hint="default"/>
                <w:sz w:val="18"/>
                <w:szCs w:val="18"/>
              </w:rPr>
              <w:t>软件业；计算机服</w:t>
            </w:r>
          </w:p>
          <w:p>
            <w:pPr>
              <w:pStyle w:val="TableParagraph"/>
              <w:spacing w:line="232" w:lineRule="exact" w:before="24"/>
              <w:ind w:left="96" w:right="7"/>
              <w:jc w:val="left"/>
              <w:rPr>
                <w:rFonts w:ascii="宋体" w:hAnsi="宋体" w:cs="宋体" w:eastAsia="宋体" w:hint="default"/>
                <w:sz w:val="18"/>
                <w:szCs w:val="18"/>
              </w:rPr>
            </w:pPr>
            <w:r>
              <w:rPr>
                <w:rFonts w:ascii="宋体" w:hAnsi="宋体" w:cs="宋体" w:eastAsia="宋体" w:hint="default"/>
                <w:sz w:val="18"/>
                <w:szCs w:val="18"/>
              </w:rPr>
              <w:t>务业；计算机、软 件及辅助设备销 </w:t>
            </w:r>
            <w:r>
              <w:rPr>
                <w:rFonts w:ascii="宋体" w:hAnsi="宋体" w:cs="宋体" w:eastAsia="宋体" w:hint="default"/>
                <w:spacing w:val="-5"/>
                <w:sz w:val="18"/>
                <w:szCs w:val="18"/>
              </w:rPr>
              <w:t>售；企业管理咨询。</w:t>
            </w:r>
          </w:p>
        </w:tc>
        <w:tc>
          <w:tcPr>
            <w:tcW w:w="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302" w:right="0"/>
              <w:jc w:val="left"/>
              <w:rPr>
                <w:rFonts w:ascii="宋体" w:hAnsi="宋体" w:cs="宋体" w:eastAsia="宋体" w:hint="default"/>
                <w:sz w:val="18"/>
                <w:szCs w:val="18"/>
              </w:rPr>
            </w:pPr>
            <w:r>
              <w:rPr>
                <w:rFonts w:ascii="宋体"/>
                <w:sz w:val="18"/>
              </w:rPr>
              <w:t>90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7"/>
              <w:jc w:val="right"/>
              <w:rPr>
                <w:rFonts w:ascii="宋体" w:hAnsi="宋体" w:cs="宋体" w:eastAsia="宋体" w:hint="default"/>
                <w:sz w:val="18"/>
                <w:szCs w:val="18"/>
              </w:rPr>
            </w:pPr>
            <w:r>
              <w:rPr>
                <w:rFonts w:ascii="宋体"/>
                <w:spacing w:val="-1"/>
                <w:sz w:val="18"/>
              </w:rPr>
              <w:t>10,433,548</w:t>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3"/>
              <w:jc w:val="right"/>
              <w:rPr>
                <w:rFonts w:ascii="宋体" w:hAnsi="宋体" w:cs="宋体" w:eastAsia="宋体" w:hint="default"/>
                <w:sz w:val="18"/>
                <w:szCs w:val="18"/>
              </w:rPr>
            </w:pPr>
            <w:r>
              <w:rPr>
                <w:rFonts w:ascii="宋体"/>
                <w:sz w:val="18"/>
              </w:rPr>
              <w:t>4,540,200</w:t>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6"/>
              <w:jc w:val="right"/>
              <w:rPr>
                <w:rFonts w:ascii="宋体" w:hAnsi="宋体" w:cs="宋体" w:eastAsia="宋体" w:hint="default"/>
                <w:sz w:val="18"/>
                <w:szCs w:val="18"/>
              </w:rPr>
            </w:pPr>
            <w:r>
              <w:rPr>
                <w:rFonts w:ascii="宋体"/>
                <w:spacing w:val="-1"/>
                <w:sz w:val="18"/>
              </w:rPr>
              <w:t>-152,343</w:t>
            </w:r>
            <w:r>
              <w:rPr>
                <w:rFonts w:ascii="宋体"/>
                <w:sz w:val="18"/>
              </w:rPr>
            </w:r>
          </w:p>
        </w:tc>
      </w:tr>
      <w:tr>
        <w:trPr>
          <w:trHeight w:val="1889"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32" w:lineRule="exact"/>
              <w:ind w:left="98" w:right="271"/>
              <w:jc w:val="both"/>
              <w:rPr>
                <w:rFonts w:ascii="宋体" w:hAnsi="宋体" w:cs="宋体" w:eastAsia="宋体" w:hint="default"/>
                <w:sz w:val="18"/>
                <w:szCs w:val="18"/>
              </w:rPr>
            </w:pPr>
            <w:r>
              <w:rPr>
                <w:rFonts w:ascii="宋体" w:hAnsi="宋体" w:cs="宋体" w:eastAsia="宋体" w:hint="default"/>
                <w:sz w:val="18"/>
                <w:szCs w:val="18"/>
              </w:rPr>
              <w:t>天津滨海用 友软件有限 公司</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1"/>
              <w:jc w:val="right"/>
              <w:rPr>
                <w:rFonts w:ascii="宋体" w:hAnsi="宋体" w:cs="宋体" w:eastAsia="宋体" w:hint="default"/>
                <w:sz w:val="18"/>
                <w:szCs w:val="18"/>
              </w:rPr>
            </w:pPr>
            <w:r>
              <w:rPr>
                <w:rFonts w:ascii="宋体"/>
                <w:sz w:val="18"/>
              </w:rPr>
              <w:t>2,000,000</w:t>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98" w:right="197"/>
              <w:jc w:val="left"/>
              <w:rPr>
                <w:rFonts w:ascii="宋体" w:hAnsi="宋体" w:cs="宋体" w:eastAsia="宋体" w:hint="default"/>
                <w:sz w:val="18"/>
                <w:szCs w:val="18"/>
              </w:rPr>
            </w:pPr>
            <w:r>
              <w:rPr>
                <w:rFonts w:ascii="宋体" w:hAnsi="宋体" w:cs="宋体" w:eastAsia="宋体" w:hint="default"/>
                <w:sz w:val="18"/>
                <w:szCs w:val="18"/>
              </w:rPr>
              <w:t>计算机技 术及产品</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6" w:right="0"/>
              <w:jc w:val="both"/>
              <w:rPr>
                <w:rFonts w:ascii="宋体" w:hAnsi="宋体" w:cs="宋体" w:eastAsia="宋体" w:hint="default"/>
                <w:sz w:val="18"/>
                <w:szCs w:val="18"/>
              </w:rPr>
            </w:pPr>
            <w:r>
              <w:rPr>
                <w:rFonts w:ascii="宋体" w:hAnsi="宋体" w:cs="宋体" w:eastAsia="宋体" w:hint="default"/>
                <w:sz w:val="18"/>
                <w:szCs w:val="18"/>
              </w:rPr>
              <w:t>技术开发、技术转</w:t>
            </w:r>
          </w:p>
          <w:p>
            <w:pPr>
              <w:pStyle w:val="TableParagraph"/>
              <w:spacing w:line="237" w:lineRule="auto"/>
              <w:ind w:left="96" w:right="146"/>
              <w:jc w:val="both"/>
              <w:rPr>
                <w:rFonts w:ascii="宋体" w:hAnsi="宋体" w:cs="宋体" w:eastAsia="宋体" w:hint="default"/>
                <w:sz w:val="18"/>
                <w:szCs w:val="18"/>
              </w:rPr>
            </w:pPr>
            <w:r>
              <w:rPr>
                <w:rFonts w:ascii="宋体" w:hAnsi="宋体" w:cs="宋体" w:eastAsia="宋体" w:hint="default"/>
                <w:sz w:val="18"/>
                <w:szCs w:val="18"/>
              </w:rPr>
              <w:t>让、技术培训、技 术服务（电子与信 息、机电一体化的 技术及产品）；计 算机软件，文化办 公用机械设备批发 兼零售。</w:t>
            </w:r>
          </w:p>
        </w:tc>
        <w:tc>
          <w:tcPr>
            <w:tcW w:w="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02" w:right="0"/>
              <w:jc w:val="left"/>
              <w:rPr>
                <w:rFonts w:ascii="宋体" w:hAnsi="宋体" w:cs="宋体" w:eastAsia="宋体" w:hint="default"/>
                <w:sz w:val="18"/>
                <w:szCs w:val="18"/>
              </w:rPr>
            </w:pPr>
            <w:r>
              <w:rPr>
                <w:rFonts w:ascii="宋体"/>
                <w:sz w:val="18"/>
              </w:rPr>
              <w:t>90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6"/>
              <w:jc w:val="right"/>
              <w:rPr>
                <w:rFonts w:ascii="宋体" w:hAnsi="宋体" w:cs="宋体" w:eastAsia="宋体" w:hint="default"/>
                <w:sz w:val="18"/>
                <w:szCs w:val="18"/>
              </w:rPr>
            </w:pPr>
            <w:r>
              <w:rPr>
                <w:rFonts w:ascii="宋体"/>
                <w:sz w:val="18"/>
              </w:rPr>
              <w:t>9,932,904</w:t>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3"/>
              <w:jc w:val="right"/>
              <w:rPr>
                <w:rFonts w:ascii="宋体" w:hAnsi="宋体" w:cs="宋体" w:eastAsia="宋体" w:hint="default"/>
                <w:sz w:val="18"/>
                <w:szCs w:val="18"/>
              </w:rPr>
            </w:pPr>
            <w:r>
              <w:rPr>
                <w:rFonts w:ascii="宋体"/>
                <w:sz w:val="18"/>
              </w:rPr>
              <w:t>8,473,489</w:t>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3"/>
              <w:jc w:val="right"/>
              <w:rPr>
                <w:rFonts w:ascii="宋体" w:hAnsi="宋体" w:cs="宋体" w:eastAsia="宋体" w:hint="default"/>
                <w:sz w:val="18"/>
                <w:szCs w:val="18"/>
              </w:rPr>
            </w:pPr>
            <w:r>
              <w:rPr>
                <w:rFonts w:ascii="宋体"/>
                <w:sz w:val="18"/>
              </w:rPr>
              <w:t>724,414</w:t>
            </w:r>
          </w:p>
        </w:tc>
      </w:tr>
      <w:tr>
        <w:trPr>
          <w:trHeight w:val="2122" w:hRule="exact"/>
        </w:trPr>
        <w:tc>
          <w:tcPr>
            <w:tcW w:w="12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98" w:right="271"/>
              <w:jc w:val="left"/>
              <w:rPr>
                <w:rFonts w:ascii="宋体" w:hAnsi="宋体" w:cs="宋体" w:eastAsia="宋体" w:hint="default"/>
                <w:sz w:val="18"/>
                <w:szCs w:val="18"/>
              </w:rPr>
            </w:pPr>
            <w:r>
              <w:rPr>
                <w:rFonts w:ascii="宋体" w:hAnsi="宋体" w:cs="宋体" w:eastAsia="宋体" w:hint="default"/>
                <w:sz w:val="18"/>
                <w:szCs w:val="18"/>
              </w:rPr>
              <w:t>用友云达信 息技术服务</w:t>
            </w:r>
          </w:p>
          <w:p>
            <w:pPr>
              <w:pStyle w:val="TableParagraph"/>
              <w:spacing w:line="232" w:lineRule="exact" w:before="22"/>
              <w:ind w:left="98" w:right="96"/>
              <w:jc w:val="left"/>
              <w:rPr>
                <w:rFonts w:ascii="宋体" w:hAnsi="宋体" w:cs="宋体" w:eastAsia="宋体" w:hint="default"/>
                <w:sz w:val="18"/>
                <w:szCs w:val="18"/>
              </w:rPr>
            </w:pPr>
            <w:r>
              <w:rPr>
                <w:rFonts w:ascii="宋体" w:hAnsi="宋体" w:cs="宋体" w:eastAsia="宋体" w:hint="default"/>
                <w:sz w:val="18"/>
                <w:szCs w:val="18"/>
              </w:rPr>
              <w:t>（南昌）有限 公司</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3"/>
              <w:jc w:val="right"/>
              <w:rPr>
                <w:rFonts w:ascii="宋体" w:hAnsi="宋体" w:cs="宋体" w:eastAsia="宋体" w:hint="default"/>
                <w:sz w:val="18"/>
                <w:szCs w:val="18"/>
              </w:rPr>
            </w:pPr>
            <w:r>
              <w:rPr>
                <w:rFonts w:ascii="宋体"/>
                <w:spacing w:val="-1"/>
                <w:sz w:val="18"/>
              </w:rPr>
              <w:t>10,000,000</w:t>
            </w:r>
            <w:r>
              <w:rPr>
                <w:rFonts w:ascii="宋体"/>
                <w:sz w:val="18"/>
              </w:rPr>
            </w:r>
          </w:p>
        </w:tc>
        <w:tc>
          <w:tcPr>
            <w:tcW w:w="10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7" w:lineRule="auto" w:before="141"/>
              <w:ind w:left="98" w:right="105"/>
              <w:jc w:val="left"/>
              <w:rPr>
                <w:rFonts w:ascii="宋体" w:hAnsi="宋体" w:cs="宋体" w:eastAsia="宋体" w:hint="default"/>
                <w:sz w:val="18"/>
                <w:szCs w:val="18"/>
              </w:rPr>
            </w:pPr>
            <w:r>
              <w:rPr>
                <w:rFonts w:ascii="宋体" w:hAnsi="宋体" w:cs="宋体" w:eastAsia="宋体" w:hint="default"/>
                <w:sz w:val="18"/>
                <w:szCs w:val="18"/>
              </w:rPr>
              <w:t>计算机软 件</w:t>
            </w:r>
            <w:r>
              <w:rPr>
                <w:rFonts w:ascii="宋体" w:hAnsi="宋体" w:cs="宋体" w:eastAsia="宋体" w:hint="default"/>
                <w:sz w:val="18"/>
                <w:szCs w:val="18"/>
              </w:rPr>
              <w:t>/</w:t>
            </w:r>
            <w:r>
              <w:rPr>
                <w:rFonts w:ascii="宋体" w:hAnsi="宋体" w:cs="宋体" w:eastAsia="宋体" w:hint="default"/>
                <w:sz w:val="18"/>
                <w:szCs w:val="18"/>
              </w:rPr>
              <w:t>系统集 成</w:t>
            </w:r>
            <w:r>
              <w:rPr>
                <w:rFonts w:ascii="宋体" w:hAnsi="宋体" w:cs="宋体" w:eastAsia="宋体" w:hint="default"/>
                <w:sz w:val="18"/>
                <w:szCs w:val="18"/>
              </w:rPr>
              <w:t>/</w:t>
            </w:r>
            <w:r>
              <w:rPr>
                <w:rFonts w:ascii="宋体" w:hAnsi="宋体" w:cs="宋体" w:eastAsia="宋体" w:hint="default"/>
                <w:sz w:val="18"/>
                <w:szCs w:val="18"/>
              </w:rPr>
              <w:t>咨询行 业</w:t>
            </w:r>
          </w:p>
        </w:tc>
        <w:tc>
          <w:tcPr>
            <w:tcW w:w="1704"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6" w:right="0"/>
              <w:jc w:val="both"/>
              <w:rPr>
                <w:rFonts w:ascii="宋体" w:hAnsi="宋体" w:cs="宋体" w:eastAsia="宋体" w:hint="default"/>
                <w:sz w:val="18"/>
                <w:szCs w:val="18"/>
              </w:rPr>
            </w:pPr>
            <w:r>
              <w:rPr>
                <w:rFonts w:ascii="宋体" w:hAnsi="宋体" w:cs="宋体" w:eastAsia="宋体" w:hint="default"/>
                <w:sz w:val="18"/>
                <w:szCs w:val="18"/>
              </w:rPr>
              <w:t>计算机软件、硬件</w:t>
            </w:r>
          </w:p>
          <w:p>
            <w:pPr>
              <w:pStyle w:val="TableParagraph"/>
              <w:spacing w:line="237" w:lineRule="auto"/>
              <w:ind w:left="96" w:right="146"/>
              <w:jc w:val="both"/>
              <w:rPr>
                <w:rFonts w:ascii="宋体" w:hAnsi="宋体" w:cs="宋体" w:eastAsia="宋体" w:hint="default"/>
                <w:sz w:val="18"/>
                <w:szCs w:val="18"/>
              </w:rPr>
            </w:pPr>
            <w:r>
              <w:rPr>
                <w:rFonts w:ascii="宋体" w:hAnsi="宋体" w:cs="宋体" w:eastAsia="宋体" w:hint="default"/>
                <w:sz w:val="18"/>
                <w:szCs w:val="18"/>
              </w:rPr>
              <w:t>及外部设备的技术 开发、技术转让、 技术服务；企业管 理咨询；数据库服 务；系统集成；计 算机软硬件及外部 设备、打印纸、计 算机耗材销售。</w:t>
            </w:r>
          </w:p>
        </w:tc>
        <w:tc>
          <w:tcPr>
            <w:tcW w:w="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56" w:right="0"/>
              <w:jc w:val="left"/>
              <w:rPr>
                <w:rFonts w:ascii="宋体" w:hAnsi="宋体" w:cs="宋体" w:eastAsia="宋体" w:hint="default"/>
                <w:sz w:val="18"/>
                <w:szCs w:val="18"/>
              </w:rPr>
            </w:pPr>
            <w:r>
              <w:rPr>
                <w:rFonts w:ascii="宋体"/>
                <w:sz w:val="18"/>
              </w:rPr>
              <w:t>100</w:t>
            </w:r>
          </w:p>
        </w:tc>
        <w:tc>
          <w:tcPr>
            <w:tcW w:w="12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宋体" w:hAnsi="宋体" w:cs="宋体" w:eastAsia="宋体" w:hint="default"/>
                <w:sz w:val="18"/>
                <w:szCs w:val="18"/>
              </w:rPr>
            </w:pPr>
            <w:r>
              <w:rPr>
                <w:rFonts w:ascii="宋体"/>
                <w:sz w:val="18"/>
              </w:rPr>
              <w:t>-</w:t>
            </w:r>
          </w:p>
        </w:tc>
        <w:tc>
          <w:tcPr>
            <w:tcW w:w="12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宋体" w:hAnsi="宋体" w:cs="宋体" w:eastAsia="宋体" w:hint="default"/>
                <w:sz w:val="18"/>
                <w:szCs w:val="18"/>
              </w:rPr>
            </w:pPr>
            <w:r>
              <w:rPr>
                <w:rFonts w:ascii="宋体"/>
                <w:spacing w:val="-1"/>
                <w:sz w:val="18"/>
              </w:rPr>
              <w:t>10,000,000</w:t>
            </w:r>
            <w:r>
              <w:rPr>
                <w:rFonts w:ascii="宋体"/>
                <w:sz w:val="18"/>
              </w:rPr>
            </w:r>
          </w:p>
        </w:tc>
        <w:tc>
          <w:tcPr>
            <w:tcW w:w="12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宋体" w:hAnsi="宋体" w:cs="宋体" w:eastAsia="宋体" w:hint="default"/>
                <w:sz w:val="18"/>
                <w:szCs w:val="18"/>
              </w:rPr>
            </w:pPr>
            <w:r>
              <w:rPr>
                <w:rFonts w:ascii="宋体"/>
                <w:sz w:val="18"/>
              </w:rPr>
              <w:t>-</w:t>
            </w:r>
          </w:p>
        </w:tc>
      </w:tr>
    </w:tbl>
    <w:p>
      <w:pPr>
        <w:spacing w:line="388" w:lineRule="auto" w:before="82"/>
        <w:ind w:left="738" w:right="1408" w:firstLine="2"/>
        <w:jc w:val="left"/>
        <w:rPr>
          <w:rFonts w:ascii="宋体" w:hAnsi="宋体" w:cs="宋体" w:eastAsia="宋体" w:hint="default"/>
          <w:sz w:val="24"/>
          <w:szCs w:val="24"/>
        </w:rPr>
      </w:pPr>
      <w:r>
        <w:rPr>
          <w:rFonts w:ascii="宋体" w:hAnsi="宋体" w:cs="宋体" w:eastAsia="宋体" w:hint="default"/>
          <w:b/>
          <w:bCs/>
          <w:sz w:val="24"/>
          <w:szCs w:val="24"/>
        </w:rPr>
        <w:t>（八）非募集资金项目情况</w:t>
      </w:r>
      <w:r>
        <w:rPr>
          <w:rFonts w:ascii="宋体" w:hAnsi="宋体" w:cs="宋体" w:eastAsia="宋体" w:hint="default"/>
          <w:b/>
          <w:bCs/>
          <w:w w:val="99"/>
          <w:sz w:val="24"/>
          <w:szCs w:val="24"/>
        </w:rPr>
        <w:t> </w:t>
      </w:r>
      <w:r>
        <w:rPr>
          <w:rFonts w:ascii="宋体" w:hAnsi="宋体" w:cs="宋体" w:eastAsia="宋体" w:hint="default"/>
          <w:sz w:val="24"/>
          <w:szCs w:val="24"/>
        </w:rPr>
        <w:t>公司继续推进用友产业基地建设，截至报告期末，已累计投资</w:t>
      </w:r>
      <w:r>
        <w:rPr>
          <w:rFonts w:ascii="宋体" w:hAnsi="宋体" w:cs="宋体" w:eastAsia="宋体" w:hint="default"/>
          <w:spacing w:val="-60"/>
          <w:sz w:val="24"/>
          <w:szCs w:val="24"/>
        </w:rPr>
        <w:t> </w:t>
      </w:r>
      <w:r>
        <w:rPr>
          <w:rFonts w:ascii="宋体" w:hAnsi="宋体" w:cs="宋体" w:eastAsia="宋体" w:hint="default"/>
          <w:sz w:val="24"/>
          <w:szCs w:val="24"/>
        </w:rPr>
        <w:t>14.96</w:t>
      </w:r>
      <w:r>
        <w:rPr>
          <w:rFonts w:ascii="宋体" w:hAnsi="宋体" w:cs="宋体" w:eastAsia="宋体" w:hint="default"/>
          <w:spacing w:val="-60"/>
          <w:sz w:val="24"/>
          <w:szCs w:val="24"/>
        </w:rPr>
        <w:t> </w:t>
      </w:r>
      <w:r>
        <w:rPr>
          <w:rFonts w:ascii="宋体" w:hAnsi="宋体" w:cs="宋体" w:eastAsia="宋体" w:hint="default"/>
          <w:sz w:val="24"/>
          <w:szCs w:val="24"/>
        </w:rPr>
        <w:t>亿元。</w:t>
      </w:r>
    </w:p>
    <w:p>
      <w:pPr>
        <w:pStyle w:val="Heading2"/>
        <w:spacing w:line="240" w:lineRule="auto" w:before="46"/>
        <w:ind w:left="258" w:right="1408"/>
        <w:jc w:val="left"/>
        <w:rPr>
          <w:b w:val="0"/>
          <w:bCs w:val="0"/>
        </w:rPr>
      </w:pPr>
      <w:r>
        <w:rPr/>
        <w:t>二、</w:t>
      </w:r>
      <w:r>
        <w:rPr>
          <w:spacing w:val="-3"/>
        </w:rPr>
        <w:t> </w:t>
      </w:r>
      <w:r>
        <w:rPr/>
        <w:t>董事会关于公司未来发展的讨论与分析</w:t>
      </w:r>
      <w:r>
        <w:rPr>
          <w:b w:val="0"/>
          <w:bCs w:val="0"/>
        </w:rPr>
      </w:r>
    </w:p>
    <w:p>
      <w:pPr>
        <w:spacing w:line="388" w:lineRule="auto" w:before="194"/>
        <w:ind w:left="740" w:right="622" w:hanging="56"/>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一</w:t>
      </w:r>
      <w:r>
        <w:rPr>
          <w:rFonts w:ascii="宋体" w:hAnsi="宋体" w:cs="宋体" w:eastAsia="宋体" w:hint="default"/>
          <w:b/>
          <w:bCs/>
          <w:sz w:val="24"/>
          <w:szCs w:val="24"/>
        </w:rPr>
        <w:t>) </w:t>
      </w:r>
      <w:r>
        <w:rPr>
          <w:rFonts w:ascii="宋体" w:hAnsi="宋体" w:cs="宋体" w:eastAsia="宋体" w:hint="default"/>
          <w:b/>
          <w:bCs/>
          <w:sz w:val="24"/>
          <w:szCs w:val="24"/>
        </w:rPr>
        <w:t>行业发展趋势和竞争格局</w:t>
      </w:r>
      <w:r>
        <w:rPr>
          <w:rFonts w:ascii="宋体" w:hAnsi="宋体" w:cs="宋体" w:eastAsia="宋体" w:hint="default"/>
          <w:b/>
          <w:bCs/>
          <w:w w:val="99"/>
          <w:sz w:val="24"/>
          <w:szCs w:val="24"/>
        </w:rPr>
        <w:t> </w:t>
      </w:r>
      <w:r>
        <w:rPr>
          <w:rFonts w:ascii="宋体" w:hAnsi="宋体" w:cs="宋体" w:eastAsia="宋体" w:hint="default"/>
          <w:sz w:val="24"/>
          <w:szCs w:val="24"/>
        </w:rPr>
        <w:t>在当前的宏观经济形势和行业发展背景下，公司主营业务发展的机会与挑战并存。</w:t>
      </w:r>
    </w:p>
    <w:p>
      <w:pPr>
        <w:pStyle w:val="Heading3"/>
        <w:spacing w:line="331" w:lineRule="auto" w:before="43"/>
        <w:ind w:left="740" w:right="622" w:firstLine="2"/>
        <w:jc w:val="left"/>
      </w:pPr>
      <w:r>
        <w:rPr>
          <w:rFonts w:ascii="宋体" w:hAnsi="宋体" w:cs="宋体" w:eastAsia="宋体" w:hint="default"/>
          <w:b/>
          <w:bCs/>
        </w:rPr>
        <w:t>1</w:t>
      </w:r>
      <w:r>
        <w:rPr>
          <w:rFonts w:ascii="宋体" w:hAnsi="宋体" w:cs="宋体" w:eastAsia="宋体" w:hint="default"/>
          <w:b/>
          <w:bCs/>
        </w:rPr>
        <w:t>、行业发展趋势</w:t>
      </w:r>
      <w:r>
        <w:rPr>
          <w:rFonts w:ascii="宋体" w:hAnsi="宋体" w:cs="宋体" w:eastAsia="宋体" w:hint="default"/>
          <w:b/>
          <w:bCs/>
          <w:w w:val="99"/>
        </w:rPr>
        <w:t> </w:t>
      </w:r>
      <w:r>
        <w:rPr/>
        <w:t>我国正处于经济转型的关键时期，人力、材料、土地、环境成本快速上升、人民币</w:t>
      </w:r>
    </w:p>
    <w:p>
      <w:pPr>
        <w:pStyle w:val="Heading3"/>
        <w:spacing w:line="298" w:lineRule="exact" w:before="0"/>
        <w:ind w:left="258" w:right="622"/>
        <w:jc w:val="left"/>
      </w:pPr>
      <w:r>
        <w:rPr/>
        <w:t>升值、出口需求下降等外部环境变化，使得中国企业粗放式经营走到尽头，必须全面推</w:t>
      </w:r>
    </w:p>
    <w:p>
      <w:pPr>
        <w:pStyle w:val="Heading3"/>
        <w:spacing w:line="297" w:lineRule="auto" w:before="74"/>
        <w:ind w:left="258" w:right="622"/>
        <w:jc w:val="left"/>
      </w:pPr>
      <w:r>
        <w:rPr/>
        <w:t>进转型升级，实行集约化经营、精细化管理，依托</w:t>
      </w:r>
      <w:r>
        <w:rPr>
          <w:spacing w:val="-87"/>
        </w:rPr>
        <w:t> </w:t>
      </w:r>
      <w:r>
        <w:rPr>
          <w:rFonts w:ascii="宋体" w:hAnsi="宋体" w:cs="宋体" w:eastAsia="宋体" w:hint="default"/>
        </w:rPr>
        <w:t>IT</w:t>
      </w:r>
      <w:r>
        <w:rPr>
          <w:rFonts w:ascii="宋体" w:hAnsi="宋体" w:cs="宋体" w:eastAsia="宋体" w:hint="default"/>
          <w:spacing w:val="-87"/>
        </w:rPr>
        <w:t> </w:t>
      </w:r>
      <w:r>
        <w:rPr/>
        <w:t>技术实现转型升级是必然选择。目 前我国的</w:t>
      </w:r>
      <w:r>
        <w:rPr>
          <w:spacing w:val="-66"/>
        </w:rPr>
        <w:t> </w:t>
      </w:r>
      <w:r>
        <w:rPr>
          <w:rFonts w:ascii="宋体" w:hAnsi="宋体" w:cs="宋体" w:eastAsia="宋体" w:hint="default"/>
        </w:rPr>
        <w:t>IT</w:t>
      </w:r>
      <w:r>
        <w:rPr>
          <w:rFonts w:ascii="宋体" w:hAnsi="宋体" w:cs="宋体" w:eastAsia="宋体" w:hint="default"/>
          <w:spacing w:val="-66"/>
        </w:rPr>
        <w:t> </w:t>
      </w:r>
      <w:r>
        <w:rPr>
          <w:spacing w:val="-3"/>
        </w:rPr>
        <w:t>投入，特别是软件投入占</w:t>
      </w:r>
      <w:r>
        <w:rPr>
          <w:spacing w:val="-66"/>
        </w:rPr>
        <w:t> </w:t>
      </w:r>
      <w:r>
        <w:rPr>
          <w:rFonts w:ascii="宋体" w:hAnsi="宋体" w:cs="宋体" w:eastAsia="宋体" w:hint="default"/>
        </w:rPr>
        <w:t>GDP</w:t>
      </w:r>
      <w:r>
        <w:rPr>
          <w:rFonts w:ascii="宋体" w:hAnsi="宋体" w:cs="宋体" w:eastAsia="宋体" w:hint="default"/>
          <w:spacing w:val="-66"/>
        </w:rPr>
        <w:t> </w:t>
      </w:r>
      <w:r>
        <w:rPr/>
        <w:t>比重远低于全球平均水平，尤其是在管理软件</w:t>
      </w:r>
    </w:p>
    <w:p>
      <w:pPr>
        <w:spacing w:after="0" w:line="297" w:lineRule="auto"/>
        <w:jc w:val="left"/>
        <w:sectPr>
          <w:pgSz w:w="11910" w:h="16850"/>
          <w:pgMar w:header="752" w:footer="730" w:top="1020" w:bottom="920" w:left="1160" w:right="660"/>
        </w:sectPr>
      </w:pPr>
    </w:p>
    <w:p>
      <w:pPr>
        <w:spacing w:line="240" w:lineRule="auto" w:before="9"/>
        <w:rPr>
          <w:rFonts w:ascii="宋体" w:hAnsi="宋体" w:cs="宋体" w:eastAsia="宋体" w:hint="default"/>
          <w:sz w:val="26"/>
          <w:szCs w:val="26"/>
        </w:rPr>
      </w:pPr>
    </w:p>
    <w:p>
      <w:pPr>
        <w:pStyle w:val="Heading3"/>
        <w:spacing w:line="297" w:lineRule="auto" w:before="26"/>
        <w:ind w:right="167"/>
        <w:jc w:val="both"/>
      </w:pPr>
      <w:r>
        <w:rPr/>
        <w:t>领域与发达国家差距明显，</w:t>
      </w:r>
      <w:r>
        <w:rPr>
          <w:rFonts w:ascii="宋体" w:hAnsi="宋体" w:cs="宋体" w:eastAsia="宋体" w:hint="default"/>
        </w:rPr>
        <w:t>ERP</w:t>
      </w:r>
      <w:r>
        <w:rPr>
          <w:rFonts w:ascii="宋体" w:hAnsi="宋体" w:cs="宋体" w:eastAsia="宋体" w:hint="default"/>
          <w:spacing w:val="-60"/>
        </w:rPr>
        <w:t> </w:t>
      </w:r>
      <w:r>
        <w:rPr/>
        <w:t>软件占 </w:t>
      </w:r>
      <w:r>
        <w:rPr>
          <w:rFonts w:ascii="宋体" w:hAnsi="宋体" w:cs="宋体" w:eastAsia="宋体" w:hint="default"/>
        </w:rPr>
        <w:t>IT</w:t>
      </w:r>
      <w:r>
        <w:rPr>
          <w:rFonts w:ascii="宋体" w:hAnsi="宋体" w:cs="宋体" w:eastAsia="宋体" w:hint="default"/>
          <w:spacing w:val="-60"/>
        </w:rPr>
        <w:t> </w:t>
      </w:r>
      <w:r>
        <w:rPr/>
        <w:t>投入的比重低于发达国家甚至全球平均水平， 预示着我国包括管理软件在内的</w:t>
      </w:r>
      <w:r>
        <w:rPr>
          <w:spacing w:val="-59"/>
        </w:rPr>
        <w:t> </w:t>
      </w:r>
      <w:r>
        <w:rPr>
          <w:rFonts w:ascii="宋体" w:hAnsi="宋体" w:cs="宋体" w:eastAsia="宋体" w:hint="default"/>
        </w:rPr>
        <w:t>IT</w:t>
      </w:r>
      <w:r>
        <w:rPr>
          <w:rFonts w:ascii="宋体" w:hAnsi="宋体" w:cs="宋体" w:eastAsia="宋体" w:hint="default"/>
          <w:spacing w:val="-59"/>
        </w:rPr>
        <w:t> </w:t>
      </w:r>
      <w:r>
        <w:rPr/>
        <w:t>行业仍具有很大的成长空间。根据国际</w:t>
      </w:r>
      <w:r>
        <w:rPr>
          <w:spacing w:val="-59"/>
        </w:rPr>
        <w:t> </w:t>
      </w:r>
      <w:r>
        <w:rPr>
          <w:rFonts w:ascii="宋体" w:hAnsi="宋体" w:cs="宋体" w:eastAsia="宋体" w:hint="default"/>
        </w:rPr>
        <w:t>IT</w:t>
      </w:r>
      <w:r>
        <w:rPr>
          <w:rFonts w:ascii="宋体" w:hAnsi="宋体" w:cs="宋体" w:eastAsia="宋体" w:hint="default"/>
          <w:spacing w:val="-1"/>
        </w:rPr>
        <w:t> </w:t>
      </w:r>
      <w:r>
        <w:rPr/>
        <w:t>咨询公司 </w:t>
      </w:r>
      <w:r>
        <w:rPr>
          <w:rFonts w:ascii="宋体" w:hAnsi="宋体" w:cs="宋体" w:eastAsia="宋体" w:hint="default"/>
        </w:rPr>
        <w:t>Gartner</w:t>
      </w:r>
      <w:r>
        <w:rPr>
          <w:rFonts w:ascii="宋体" w:hAnsi="宋体" w:cs="宋体" w:eastAsia="宋体" w:hint="default"/>
          <w:spacing w:val="-1"/>
        </w:rPr>
        <w:t> </w:t>
      </w:r>
      <w:r>
        <w:rPr>
          <w:rFonts w:ascii="宋体" w:hAnsi="宋体" w:cs="宋体" w:eastAsia="宋体" w:hint="default"/>
        </w:rPr>
        <w:t>2012</w:t>
      </w:r>
      <w:r>
        <w:rPr>
          <w:rFonts w:ascii="宋体" w:hAnsi="宋体" w:cs="宋体" w:eastAsia="宋体" w:hint="default"/>
          <w:spacing w:val="-59"/>
        </w:rPr>
        <w:t> </w:t>
      </w:r>
      <w:r>
        <w:rPr/>
        <w:t>年</w:t>
      </w:r>
      <w:r>
        <w:rPr>
          <w:spacing w:val="-59"/>
        </w:rPr>
        <w:t> </w:t>
      </w:r>
      <w:r>
        <w:rPr>
          <w:rFonts w:ascii="宋体" w:hAnsi="宋体" w:cs="宋体" w:eastAsia="宋体" w:hint="default"/>
        </w:rPr>
        <w:t>10</w:t>
      </w:r>
      <w:r>
        <w:rPr>
          <w:rFonts w:ascii="宋体" w:hAnsi="宋体" w:cs="宋体" w:eastAsia="宋体" w:hint="default"/>
          <w:spacing w:val="-59"/>
        </w:rPr>
        <w:t> </w:t>
      </w:r>
      <w:r>
        <w:rPr/>
        <w:t>月份的预测，</w:t>
      </w:r>
      <w:r>
        <w:rPr>
          <w:rFonts w:ascii="宋体" w:hAnsi="宋体" w:cs="宋体" w:eastAsia="宋体" w:hint="default"/>
        </w:rPr>
        <w:t>2012</w:t>
      </w:r>
      <w:r>
        <w:rPr>
          <w:rFonts w:ascii="宋体" w:hAnsi="宋体" w:cs="宋体" w:eastAsia="宋体" w:hint="default"/>
          <w:spacing w:val="-1"/>
        </w:rPr>
        <w:t> </w:t>
      </w:r>
      <w:r>
        <w:rPr/>
        <w:t>年是中国企业应用软件市场增速的一个低点，未</w:t>
      </w:r>
    </w:p>
    <w:p>
      <w:pPr>
        <w:pStyle w:val="Heading3"/>
        <w:spacing w:line="297" w:lineRule="auto" w:before="17"/>
        <w:ind w:right="221"/>
        <w:jc w:val="both"/>
      </w:pPr>
      <w:r>
        <w:rPr/>
        <w:t>来</w:t>
      </w:r>
      <w:r>
        <w:rPr>
          <w:spacing w:val="-60"/>
        </w:rPr>
        <w:t> </w:t>
      </w:r>
      <w:r>
        <w:rPr>
          <w:rFonts w:ascii="宋体" w:hAnsi="宋体" w:cs="宋体" w:eastAsia="宋体" w:hint="default"/>
        </w:rPr>
        <w:t>4</w:t>
      </w:r>
      <w:r>
        <w:rPr>
          <w:rFonts w:ascii="宋体" w:hAnsi="宋体" w:cs="宋体" w:eastAsia="宋体" w:hint="default"/>
          <w:spacing w:val="-58"/>
        </w:rPr>
        <w:t> </w:t>
      </w:r>
      <w:r>
        <w:rPr/>
        <w:t>年中国企业应用软件市场表现都将要好于</w:t>
      </w:r>
      <w:r>
        <w:rPr>
          <w:spacing w:val="-60"/>
        </w:rPr>
        <w:t> </w:t>
      </w:r>
      <w:r>
        <w:rPr>
          <w:rFonts w:ascii="宋体" w:hAnsi="宋体" w:cs="宋体" w:eastAsia="宋体" w:hint="default"/>
        </w:rPr>
        <w:t>2012</w:t>
      </w:r>
      <w:r>
        <w:rPr>
          <w:rFonts w:ascii="宋体" w:hAnsi="宋体" w:cs="宋体" w:eastAsia="宋体" w:hint="default"/>
          <w:spacing w:val="-58"/>
        </w:rPr>
        <w:t> </w:t>
      </w:r>
      <w:r>
        <w:rPr/>
        <w:t>年。</w:t>
      </w:r>
      <w:r>
        <w:rPr>
          <w:rFonts w:ascii="宋体" w:hAnsi="宋体" w:cs="宋体" w:eastAsia="宋体" w:hint="default"/>
        </w:rPr>
        <w:t>ERP</w:t>
      </w:r>
      <w:r>
        <w:rPr>
          <w:rFonts w:ascii="宋体" w:hAnsi="宋体" w:cs="宋体" w:eastAsia="宋体" w:hint="default"/>
          <w:spacing w:val="-60"/>
        </w:rPr>
        <w:t> </w:t>
      </w:r>
      <w:r>
        <w:rPr/>
        <w:t>软件（企业管理软件）作为 企业应用软件中的主力产品之一，未来</w:t>
      </w:r>
      <w:r>
        <w:rPr>
          <w:spacing w:val="-60"/>
        </w:rPr>
        <w:t> </w:t>
      </w:r>
      <w:r>
        <w:rPr>
          <w:rFonts w:ascii="宋体" w:hAnsi="宋体" w:cs="宋体" w:eastAsia="宋体" w:hint="default"/>
        </w:rPr>
        <w:t>5</w:t>
      </w:r>
      <w:r>
        <w:rPr>
          <w:rFonts w:ascii="宋体" w:hAnsi="宋体" w:cs="宋体" w:eastAsia="宋体" w:hint="default"/>
          <w:spacing w:val="-60"/>
        </w:rPr>
        <w:t> </w:t>
      </w:r>
      <w:r>
        <w:rPr/>
        <w:t>年将保持年均</w:t>
      </w:r>
      <w:r>
        <w:rPr>
          <w:spacing w:val="-60"/>
        </w:rPr>
        <w:t> </w:t>
      </w:r>
      <w:r>
        <w:rPr>
          <w:rFonts w:ascii="宋体" w:hAnsi="宋体" w:cs="宋体" w:eastAsia="宋体" w:hint="default"/>
        </w:rPr>
        <w:t>17%</w:t>
      </w:r>
      <w:r>
        <w:rPr/>
        <w:t>的速度增长。</w:t>
      </w:r>
    </w:p>
    <w:p>
      <w:pPr>
        <w:pStyle w:val="Heading3"/>
        <w:spacing w:line="297" w:lineRule="auto" w:before="139"/>
        <w:ind w:right="82" w:firstLine="482"/>
        <w:jc w:val="left"/>
      </w:pPr>
      <w:r>
        <w:rPr/>
        <w:t>从客户的需求来看，在这一转型升级驱动带来的新一轮信息化升级浪潮中，全产业 链应用是其重要诉求点；“云</w:t>
      </w:r>
      <w:r>
        <w:rPr>
          <w:rFonts w:ascii="宋体" w:hAnsi="宋体" w:cs="宋体" w:eastAsia="宋体" w:hint="default"/>
        </w:rPr>
        <w:t>+</w:t>
      </w:r>
      <w:r>
        <w:rPr/>
        <w:t>端”的企业应用模式正在从探讨走向实践；企业移动应用 将逐步普及；单一领域级采购正在被平台升级及综合整体解决方案采购所替代，采购标</w:t>
      </w:r>
      <w:r>
        <w:rPr>
          <w:spacing w:val="-65"/>
        </w:rPr>
        <w:t> </w:t>
      </w:r>
      <w:r>
        <w:rPr>
          <w:spacing w:val="-65"/>
        </w:rPr>
      </w:r>
      <w:r>
        <w:rPr>
          <w:spacing w:val="-2"/>
        </w:rPr>
        <w:t>准将不仅是满足客户当期需求，而更多是要高于企业运营现状、满足可持续发展的需要；</w:t>
      </w:r>
      <w:r>
        <w:rPr>
          <w:spacing w:val="-96"/>
        </w:rPr>
        <w:t> </w:t>
      </w:r>
      <w:r>
        <w:rPr>
          <w:spacing w:val="-96"/>
        </w:rPr>
      </w:r>
      <w:r>
        <w:rPr/>
        <w:t>信息化被要求与企业战略进行高度适配，在客户采购的决策中，厂商的品牌、专业性、</w:t>
      </w:r>
      <w:r>
        <w:rPr>
          <w:spacing w:val="-65"/>
        </w:rPr>
        <w:t> </w:t>
      </w:r>
      <w:r>
        <w:rPr>
          <w:spacing w:val="-65"/>
        </w:rPr>
      </w:r>
      <w:r>
        <w:rPr/>
        <w:t>综合实力将起重要作用。</w:t>
      </w:r>
    </w:p>
    <w:p>
      <w:pPr>
        <w:pStyle w:val="Heading3"/>
        <w:spacing w:line="388" w:lineRule="auto"/>
        <w:ind w:left="618" w:right="232" w:firstLine="4"/>
        <w:jc w:val="left"/>
      </w:pPr>
      <w:r>
        <w:rPr>
          <w:rFonts w:ascii="宋体" w:hAnsi="宋体" w:cs="宋体" w:eastAsia="宋体" w:hint="default"/>
          <w:b/>
          <w:bCs/>
        </w:rPr>
        <w:t>2</w:t>
      </w:r>
      <w:r>
        <w:rPr>
          <w:rFonts w:ascii="宋体" w:hAnsi="宋体" w:cs="宋体" w:eastAsia="宋体" w:hint="default"/>
          <w:b/>
          <w:bCs/>
        </w:rPr>
        <w:t>、行业竞争趋势</w:t>
      </w:r>
      <w:r>
        <w:rPr>
          <w:rFonts w:ascii="宋体" w:hAnsi="宋体" w:cs="宋体" w:eastAsia="宋体" w:hint="default"/>
          <w:b/>
          <w:bCs/>
          <w:w w:val="99"/>
        </w:rPr>
        <w:t> </w:t>
      </w:r>
      <w:r>
        <w:rPr/>
        <w:t>在近年来企业应用软件市场中，产品技术的研发创新能力、产业生态链的构建与运</w:t>
      </w:r>
    </w:p>
    <w:p>
      <w:pPr>
        <w:pStyle w:val="Heading3"/>
        <w:spacing w:line="240" w:lineRule="exact" w:before="0"/>
        <w:ind w:right="0"/>
        <w:jc w:val="both"/>
      </w:pPr>
      <w:r>
        <w:rPr/>
        <w:t>营能力越来越成为竞争的焦点。此外，除了传统国内企业应用软件供应商之间的竞争，</w:t>
      </w:r>
    </w:p>
    <w:p>
      <w:pPr>
        <w:pStyle w:val="Heading3"/>
        <w:spacing w:line="297" w:lineRule="auto" w:before="77"/>
        <w:ind w:right="218"/>
        <w:jc w:val="both"/>
      </w:pPr>
      <w:r>
        <w:rPr/>
        <w:t>国际企业应用软件厂商在不断加大投资发展力度，互联网公司也开始跨界到企业应用软</w:t>
      </w:r>
      <w:r>
        <w:rPr>
          <w:spacing w:val="-65"/>
        </w:rPr>
        <w:t> </w:t>
      </w:r>
      <w:r>
        <w:rPr>
          <w:spacing w:val="-65"/>
        </w:rPr>
      </w:r>
      <w:r>
        <w:rPr/>
        <w:t>件市场。</w:t>
      </w:r>
    </w:p>
    <w:p>
      <w:pPr>
        <w:pStyle w:val="Heading2"/>
        <w:spacing w:line="240" w:lineRule="auto" w:before="137"/>
        <w:ind w:left="623" w:right="232"/>
        <w:jc w:val="left"/>
        <w:rPr>
          <w:b w:val="0"/>
          <w:bCs w:val="0"/>
        </w:rPr>
      </w:pPr>
      <w:r>
        <w:rPr>
          <w:rFonts w:ascii="宋体" w:hAnsi="宋体" w:cs="宋体" w:eastAsia="宋体" w:hint="default"/>
        </w:rPr>
        <w:t>3</w:t>
      </w:r>
      <w:r>
        <w:rPr/>
        <w:t>、公司主要的竞争优势</w:t>
      </w:r>
      <w:r>
        <w:rPr>
          <w:b w:val="0"/>
          <w:bCs w:val="0"/>
        </w:rPr>
      </w:r>
    </w:p>
    <w:p>
      <w:pPr>
        <w:pStyle w:val="Heading3"/>
        <w:spacing w:line="388" w:lineRule="auto" w:before="194"/>
        <w:ind w:left="618" w:right="2188"/>
        <w:jc w:val="left"/>
      </w:pPr>
      <w:r>
        <w:rPr/>
        <w:t>（</w:t>
      </w:r>
      <w:r>
        <w:rPr>
          <w:rFonts w:ascii="宋体" w:hAnsi="宋体" w:cs="宋体" w:eastAsia="宋体" w:hint="default"/>
        </w:rPr>
        <w:t>1</w:t>
      </w:r>
      <w:r>
        <w:rPr/>
        <w:t>）产品优势 在企业及政府信息化方面，公司长期累积的产品基础优势显著。</w:t>
      </w:r>
    </w:p>
    <w:p>
      <w:pPr>
        <w:pStyle w:val="Heading3"/>
        <w:spacing w:line="297" w:lineRule="auto" w:before="46"/>
        <w:ind w:right="221" w:firstLine="480"/>
        <w:jc w:val="right"/>
      </w:pPr>
      <w:r>
        <w:rPr>
          <w:rFonts w:ascii="宋体" w:hAnsi="宋体" w:cs="宋体" w:eastAsia="宋体" w:hint="default"/>
        </w:rPr>
        <w:t>NC6 </w:t>
      </w:r>
      <w:r>
        <w:rPr/>
        <w:t>和 </w:t>
      </w:r>
      <w:r>
        <w:rPr>
          <w:rFonts w:ascii="宋体" w:hAnsi="宋体" w:cs="宋体" w:eastAsia="宋体" w:hint="default"/>
        </w:rPr>
        <w:t>UAP</w:t>
      </w:r>
      <w:r>
        <w:rPr>
          <w:rFonts w:ascii="宋体" w:hAnsi="宋体" w:cs="宋体" w:eastAsia="宋体" w:hint="default"/>
          <w:spacing w:val="-57"/>
        </w:rPr>
        <w:t> </w:t>
      </w:r>
      <w:r>
        <w:rPr/>
        <w:t>平台在产品技术上已经达到国际先进水平，产品优势大幅提升，显著拉 开了与国内主要厂商的差距，并在海外市场得到认同，赢得了客户与合作伙伴的选择。</w:t>
      </w:r>
    </w:p>
    <w:p>
      <w:pPr>
        <w:pStyle w:val="Heading3"/>
        <w:spacing w:line="297" w:lineRule="auto"/>
        <w:ind w:right="204" w:firstLine="480"/>
        <w:jc w:val="left"/>
      </w:pPr>
      <w:r>
        <w:rPr>
          <w:rFonts w:ascii="宋体" w:hAnsi="宋体" w:cs="宋体" w:eastAsia="宋体" w:hint="default"/>
        </w:rPr>
        <w:t>U8 V11.0</w:t>
      </w:r>
      <w:r>
        <w:rPr>
          <w:rFonts w:ascii="宋体" w:hAnsi="宋体" w:cs="宋体" w:eastAsia="宋体" w:hint="default"/>
          <w:spacing w:val="-56"/>
        </w:rPr>
        <w:t> </w:t>
      </w:r>
      <w:r>
        <w:rPr/>
        <w:t>产品应用涵盖营销、设计、生产、供应、人力、财务、办公、商业分析等 全部领域，产品成熟度高，国内市场占有率持续排名第一。</w:t>
      </w:r>
    </w:p>
    <w:p>
      <w:pPr>
        <w:pStyle w:val="Heading3"/>
        <w:spacing w:line="297" w:lineRule="auto" w:before="139"/>
        <w:ind w:right="82" w:firstLine="480"/>
        <w:jc w:val="left"/>
      </w:pPr>
      <w:r>
        <w:rPr>
          <w:spacing w:val="-6"/>
        </w:rPr>
        <w:t>公司的云服务业务已经有了初步基础，</w:t>
      </w:r>
      <w:r>
        <w:rPr>
          <w:rFonts w:ascii="宋体" w:hAnsi="宋体" w:cs="宋体" w:eastAsia="宋体" w:hint="default"/>
          <w:spacing w:val="-6"/>
        </w:rPr>
        <w:t>180</w:t>
      </w:r>
      <w:r>
        <w:rPr>
          <w:rFonts w:ascii="宋体" w:hAnsi="宋体" w:cs="宋体" w:eastAsia="宋体" w:hint="default"/>
          <w:spacing w:val="-59"/>
        </w:rPr>
        <w:t> </w:t>
      </w:r>
      <w:r>
        <w:rPr/>
        <w:t>万家客户群体形成了云服务业务发展的战 略优势，用友公有云平台将成为用友面向小微企业市场和企业公共应用市场新的竞争利</w:t>
      </w:r>
      <w:r>
        <w:rPr>
          <w:spacing w:val="-67"/>
        </w:rPr>
        <w:t> </w:t>
      </w:r>
      <w:r>
        <w:rPr>
          <w:spacing w:val="-67"/>
        </w:rPr>
      </w:r>
      <w:r>
        <w:rPr>
          <w:spacing w:val="-2"/>
        </w:rPr>
        <w:t>器，这一平台产品提供了底层硬件系统的自动化运维管理、海量数据和应用的运行支撑、</w:t>
      </w:r>
      <w:r>
        <w:rPr>
          <w:spacing w:val="-96"/>
        </w:rPr>
        <w:t> </w:t>
      </w:r>
      <w:r>
        <w:rPr>
          <w:spacing w:val="-96"/>
        </w:rPr>
      </w:r>
      <w:r>
        <w:rPr/>
        <w:t>面向客户的运营管理以及面向开发者的开放应用开发环境等。</w:t>
      </w:r>
    </w:p>
    <w:p>
      <w:pPr>
        <w:pStyle w:val="Heading3"/>
        <w:spacing w:line="297" w:lineRule="auto"/>
        <w:ind w:right="232" w:firstLine="480"/>
        <w:jc w:val="left"/>
      </w:pPr>
      <w:r>
        <w:rPr/>
        <w:t>在财政、汽车、金融、烟草、医疗、教育等行业和审计、商业智能分析领域的产品</w:t>
      </w:r>
      <w:r>
        <w:rPr>
          <w:spacing w:val="2"/>
        </w:rPr>
        <w:t> </w:t>
      </w:r>
      <w:r>
        <w:rPr/>
        <w:t>与解决方案居国内领先水平。</w:t>
      </w:r>
    </w:p>
    <w:p>
      <w:pPr>
        <w:pStyle w:val="Heading3"/>
        <w:spacing w:line="240" w:lineRule="auto"/>
        <w:ind w:left="618" w:right="232"/>
        <w:jc w:val="left"/>
      </w:pPr>
      <w:r>
        <w:rPr/>
        <w:t>（</w:t>
      </w:r>
      <w:r>
        <w:rPr>
          <w:rFonts w:ascii="宋体" w:hAnsi="宋体" w:cs="宋体" w:eastAsia="宋体" w:hint="default"/>
        </w:rPr>
        <w:t>2</w:t>
      </w:r>
      <w:r>
        <w:rPr/>
        <w:t>）研发优势</w:t>
      </w:r>
    </w:p>
    <w:p>
      <w:pPr>
        <w:pStyle w:val="Heading3"/>
        <w:spacing w:line="297" w:lineRule="auto" w:before="194"/>
        <w:ind w:right="218" w:firstLine="480"/>
        <w:jc w:val="both"/>
      </w:pPr>
      <w:r>
        <w:rPr/>
        <w:t>公司拥有由总部研发中心、总部 </w:t>
      </w:r>
      <w:r>
        <w:rPr>
          <w:rFonts w:ascii="宋体" w:hAnsi="宋体" w:cs="宋体" w:eastAsia="宋体" w:hint="default"/>
        </w:rPr>
        <w:t>UAP</w:t>
      </w:r>
      <w:r>
        <w:rPr>
          <w:rFonts w:ascii="宋体" w:hAnsi="宋体" w:cs="宋体" w:eastAsia="宋体" w:hint="default"/>
          <w:spacing w:val="-57"/>
        </w:rPr>
        <w:t> </w:t>
      </w:r>
      <w:r>
        <w:rPr/>
        <w:t>中心、美国硅谷技术研发中心、南京制造业研 发中心、重庆 </w:t>
      </w:r>
      <w:r>
        <w:rPr>
          <w:rFonts w:ascii="宋体" w:hAnsi="宋体" w:cs="宋体" w:eastAsia="宋体" w:hint="default"/>
        </w:rPr>
        <w:t>PLM</w:t>
      </w:r>
      <w:r>
        <w:rPr>
          <w:rFonts w:ascii="宋体" w:hAnsi="宋体" w:cs="宋体" w:eastAsia="宋体" w:hint="default"/>
          <w:spacing w:val="-57"/>
        </w:rPr>
        <w:t> </w:t>
      </w:r>
      <w:r>
        <w:rPr/>
        <w:t>研发中心、上海汽车行业应用研发中心、厦门烟草行业应用研发中心 等在内的中国最大的企业及财政等公共组织应用软件和云服务研发体系，拥有一支人数</w:t>
      </w:r>
    </w:p>
    <w:p>
      <w:pPr>
        <w:spacing w:after="0" w:line="297" w:lineRule="auto"/>
        <w:jc w:val="both"/>
        <w:sectPr>
          <w:footerReference w:type="default" r:id="rId11"/>
          <w:pgSz w:w="11910" w:h="16850"/>
          <w:pgMar w:footer="730" w:header="752" w:top="1020" w:bottom="920" w:left="1280" w:right="1080"/>
          <w:pgNumType w:start="24"/>
        </w:sectPr>
      </w:pPr>
    </w:p>
    <w:p>
      <w:pPr>
        <w:spacing w:line="240" w:lineRule="auto" w:before="9"/>
        <w:rPr>
          <w:rFonts w:ascii="宋体" w:hAnsi="宋体" w:cs="宋体" w:eastAsia="宋体" w:hint="default"/>
          <w:sz w:val="26"/>
          <w:szCs w:val="26"/>
        </w:rPr>
      </w:pPr>
    </w:p>
    <w:p>
      <w:pPr>
        <w:pStyle w:val="Heading3"/>
        <w:spacing w:line="297" w:lineRule="auto" w:before="26"/>
        <w:ind w:right="204"/>
        <w:jc w:val="left"/>
      </w:pPr>
      <w:r>
        <w:rPr/>
        <w:t>超过</w:t>
      </w:r>
      <w:r>
        <w:rPr>
          <w:spacing w:val="-44"/>
        </w:rPr>
        <w:t> </w:t>
      </w:r>
      <w:r>
        <w:rPr>
          <w:rFonts w:ascii="宋体" w:hAnsi="宋体" w:cs="宋体" w:eastAsia="宋体" w:hint="default"/>
        </w:rPr>
        <w:t>3000</w:t>
      </w:r>
      <w:r>
        <w:rPr>
          <w:rFonts w:ascii="宋体" w:hAnsi="宋体" w:cs="宋体" w:eastAsia="宋体" w:hint="default"/>
          <w:spacing w:val="-44"/>
        </w:rPr>
        <w:t> </w:t>
      </w:r>
      <w:r>
        <w:rPr/>
        <w:t>人的研发队伍和行业领先的研发管理体系与平台，公司</w:t>
      </w:r>
      <w:r>
        <w:rPr>
          <w:spacing w:val="-44"/>
        </w:rPr>
        <w:t> </w:t>
      </w:r>
      <w:r>
        <w:rPr>
          <w:rFonts w:ascii="宋体" w:hAnsi="宋体" w:cs="宋体" w:eastAsia="宋体" w:hint="default"/>
        </w:rPr>
        <w:t>2012</w:t>
      </w:r>
      <w:r>
        <w:rPr>
          <w:rFonts w:ascii="宋体" w:hAnsi="宋体" w:cs="宋体" w:eastAsia="宋体" w:hint="default"/>
          <w:spacing w:val="-44"/>
        </w:rPr>
        <w:t> </w:t>
      </w:r>
      <w:r>
        <w:rPr/>
        <w:t>年用于研发的投 入占主营业务收入的</w:t>
      </w:r>
      <w:r>
        <w:rPr>
          <w:spacing w:val="-60"/>
        </w:rPr>
        <w:t> </w:t>
      </w:r>
      <w:r>
        <w:rPr>
          <w:rFonts w:ascii="宋体" w:hAnsi="宋体" w:cs="宋体" w:eastAsia="宋体" w:hint="default"/>
        </w:rPr>
        <w:t>15.7%</w:t>
      </w:r>
      <w:r>
        <w:rPr/>
        <w:t>。</w:t>
      </w:r>
    </w:p>
    <w:p>
      <w:pPr>
        <w:pStyle w:val="Heading3"/>
        <w:spacing w:line="388" w:lineRule="auto"/>
        <w:ind w:left="618" w:right="232"/>
        <w:jc w:val="left"/>
      </w:pPr>
      <w:r>
        <w:rPr/>
        <w:t>（</w:t>
      </w:r>
      <w:r>
        <w:rPr>
          <w:rFonts w:ascii="宋体" w:hAnsi="宋体" w:cs="宋体" w:eastAsia="宋体" w:hint="default"/>
        </w:rPr>
        <w:t>3</w:t>
      </w:r>
      <w:r>
        <w:rPr/>
        <w:t>）品牌及市场优势 行业本土第一品牌的品牌优势是公司具有的重要竞争优势之一。公司拥有持续经营</w:t>
      </w:r>
    </w:p>
    <w:p>
      <w:pPr>
        <w:pStyle w:val="Heading3"/>
        <w:spacing w:line="240" w:lineRule="exact" w:before="0"/>
        <w:ind w:right="82"/>
        <w:jc w:val="left"/>
      </w:pPr>
      <w:r>
        <w:rPr>
          <w:rFonts w:ascii="宋体" w:hAnsi="宋体" w:cs="宋体" w:eastAsia="宋体" w:hint="default"/>
        </w:rPr>
        <w:t>24</w:t>
      </w:r>
      <w:r>
        <w:rPr>
          <w:rFonts w:ascii="宋体" w:hAnsi="宋体" w:cs="宋体" w:eastAsia="宋体" w:hint="default"/>
          <w:spacing w:val="-56"/>
        </w:rPr>
        <w:t> </w:t>
      </w:r>
      <w:r>
        <w:rPr/>
        <w:t>年并获得客户信赖的企业品牌；相对于国外竞争对手，公司产品对中国市场的客户需</w:t>
      </w:r>
    </w:p>
    <w:p>
      <w:pPr>
        <w:pStyle w:val="Heading3"/>
        <w:spacing w:line="297" w:lineRule="auto" w:before="77"/>
        <w:ind w:right="232"/>
        <w:jc w:val="left"/>
      </w:pPr>
      <w:r>
        <w:rPr/>
        <w:t>求理解更深刻，产品更加契合用户的应用需求，性价比更高，服务更加贴近客户，更具</w:t>
      </w:r>
      <w:r>
        <w:rPr>
          <w:spacing w:val="-65"/>
        </w:rPr>
        <w:t> </w:t>
      </w:r>
      <w:r>
        <w:rPr>
          <w:spacing w:val="-65"/>
        </w:rPr>
      </w:r>
      <w:r>
        <w:rPr/>
        <w:t>便利性和及时性。公司在海外市场的品牌影响力也在逐步上升。</w:t>
      </w:r>
    </w:p>
    <w:p>
      <w:pPr>
        <w:pStyle w:val="Heading3"/>
        <w:spacing w:line="297" w:lineRule="auto"/>
        <w:ind w:right="218" w:firstLine="480"/>
        <w:jc w:val="both"/>
      </w:pPr>
      <w:r>
        <w:rPr/>
        <w:t>公司在企业管理软件、</w:t>
      </w:r>
      <w:r>
        <w:rPr>
          <w:rFonts w:ascii="宋体" w:hAnsi="宋体" w:cs="宋体" w:eastAsia="宋体" w:hint="default"/>
        </w:rPr>
        <w:t>ERP</w:t>
      </w:r>
      <w:r>
        <w:rPr>
          <w:rFonts w:ascii="宋体" w:hAnsi="宋体" w:cs="宋体" w:eastAsia="宋体" w:hint="default"/>
          <w:spacing w:val="-87"/>
        </w:rPr>
        <w:t> </w:t>
      </w:r>
      <w:r>
        <w:rPr/>
        <w:t>软件、</w:t>
      </w:r>
      <w:r>
        <w:rPr>
          <w:rFonts w:ascii="宋体" w:hAnsi="宋体" w:cs="宋体" w:eastAsia="宋体" w:hint="default"/>
        </w:rPr>
        <w:t>CRM</w:t>
      </w:r>
      <w:r>
        <w:rPr>
          <w:rFonts w:ascii="宋体" w:hAnsi="宋体" w:cs="宋体" w:eastAsia="宋体" w:hint="default"/>
          <w:spacing w:val="-87"/>
        </w:rPr>
        <w:t> </w:t>
      </w:r>
      <w:r>
        <w:rPr/>
        <w:t>软件、集团人力资源管理软件、内审软件、</w:t>
      </w:r>
      <w:r>
        <w:rPr>
          <w:rFonts w:ascii="宋体" w:hAnsi="宋体" w:cs="宋体" w:eastAsia="宋体" w:hint="default"/>
        </w:rPr>
        <w:t>BI </w:t>
      </w:r>
      <w:r>
        <w:rPr/>
        <w:t>软件、财务软件、财政软件、烟草行业软件、汽车销售与服务管理软件、金融企业管理</w:t>
      </w:r>
      <w:r>
        <w:rPr>
          <w:spacing w:val="-65"/>
        </w:rPr>
        <w:t> </w:t>
      </w:r>
      <w:r>
        <w:rPr>
          <w:spacing w:val="-65"/>
        </w:rPr>
      </w:r>
      <w:r>
        <w:rPr/>
        <w:t>软件和小微型企业信息化服务等领域连续多年荣获桂冠。目前，在中国及亚太地区超过</w:t>
      </w:r>
      <w:r>
        <w:rPr>
          <w:spacing w:val="-65"/>
        </w:rPr>
        <w:t> </w:t>
      </w:r>
      <w:r>
        <w:rPr>
          <w:spacing w:val="-65"/>
        </w:rPr>
      </w:r>
      <w:r>
        <w:rPr>
          <w:rFonts w:ascii="宋体" w:hAnsi="宋体" w:cs="宋体" w:eastAsia="宋体" w:hint="default"/>
        </w:rPr>
        <w:t>180</w:t>
      </w:r>
      <w:r>
        <w:rPr>
          <w:rFonts w:ascii="宋体" w:hAnsi="宋体" w:cs="宋体" w:eastAsia="宋体" w:hint="default"/>
          <w:spacing w:val="-60"/>
        </w:rPr>
        <w:t> </w:t>
      </w:r>
      <w:r>
        <w:rPr/>
        <w:t>万家企业与机构通过使用用友软件和服务，实现精细管理、敏捷经营。</w:t>
      </w:r>
    </w:p>
    <w:p>
      <w:pPr>
        <w:pStyle w:val="Heading3"/>
        <w:spacing w:line="388" w:lineRule="auto"/>
        <w:ind w:left="618" w:right="82"/>
        <w:jc w:val="left"/>
      </w:pPr>
      <w:r>
        <w:rPr/>
        <w:t>（</w:t>
      </w:r>
      <w:r>
        <w:rPr>
          <w:rFonts w:ascii="宋体" w:hAnsi="宋体" w:cs="宋体" w:eastAsia="宋体" w:hint="default"/>
        </w:rPr>
        <w:t>4</w:t>
      </w:r>
      <w:r>
        <w:rPr/>
        <w:t>）营销服务网络优势 </w:t>
      </w:r>
      <w:r>
        <w:rPr>
          <w:spacing w:val="-2"/>
        </w:rPr>
        <w:t>公司拥有亚太本土管理软件领域规模最大的销售、支持、咨询实施、培训服务网络，</w:t>
      </w:r>
    </w:p>
    <w:p>
      <w:pPr>
        <w:pStyle w:val="Heading3"/>
        <w:spacing w:line="240" w:lineRule="exact" w:before="0"/>
        <w:ind w:right="82"/>
        <w:jc w:val="left"/>
      </w:pPr>
      <w:r>
        <w:rPr/>
        <w:t>公司近</w:t>
      </w:r>
      <w:r>
        <w:rPr>
          <w:spacing w:val="-59"/>
        </w:rPr>
        <w:t> </w:t>
      </w:r>
      <w:r>
        <w:rPr>
          <w:rFonts w:ascii="宋体" w:hAnsi="宋体" w:cs="宋体" w:eastAsia="宋体" w:hint="default"/>
        </w:rPr>
        <w:t>200</w:t>
      </w:r>
      <w:r>
        <w:rPr>
          <w:rFonts w:ascii="宋体" w:hAnsi="宋体" w:cs="宋体" w:eastAsia="宋体" w:hint="default"/>
          <w:spacing w:val="-59"/>
        </w:rPr>
        <w:t> </w:t>
      </w:r>
      <w:r>
        <w:rPr>
          <w:spacing w:val="-3"/>
        </w:rPr>
        <w:t>家分支机构、</w:t>
      </w:r>
      <w:r>
        <w:rPr>
          <w:rFonts w:ascii="宋体" w:hAnsi="宋体" w:cs="宋体" w:eastAsia="宋体" w:hint="default"/>
          <w:spacing w:val="-3"/>
        </w:rPr>
        <w:t>3000</w:t>
      </w:r>
      <w:r>
        <w:rPr>
          <w:rFonts w:ascii="宋体" w:hAnsi="宋体" w:cs="宋体" w:eastAsia="宋体" w:hint="default"/>
          <w:spacing w:val="-59"/>
        </w:rPr>
        <w:t> </w:t>
      </w:r>
      <w:r>
        <w:rPr>
          <w:spacing w:val="-3"/>
        </w:rPr>
        <w:t>多名服务人员、</w:t>
      </w:r>
      <w:r>
        <w:rPr>
          <w:rFonts w:ascii="宋体" w:hAnsi="宋体" w:cs="宋体" w:eastAsia="宋体" w:hint="default"/>
          <w:spacing w:val="-3"/>
        </w:rPr>
        <w:t>3000</w:t>
      </w:r>
      <w:r>
        <w:rPr>
          <w:rFonts w:ascii="宋体" w:hAnsi="宋体" w:cs="宋体" w:eastAsia="宋体" w:hint="default"/>
          <w:spacing w:val="-59"/>
        </w:rPr>
        <w:t> </w:t>
      </w:r>
      <w:r>
        <w:rPr/>
        <w:t>多家合作伙伴组成了中国管理软件业</w:t>
      </w:r>
    </w:p>
    <w:p>
      <w:pPr>
        <w:pStyle w:val="Heading3"/>
        <w:spacing w:line="297" w:lineRule="auto" w:before="77"/>
        <w:ind w:right="232"/>
        <w:jc w:val="left"/>
      </w:pPr>
      <w:r>
        <w:rPr/>
        <w:t>最大的营销服务网络，并在香港、澳门、台湾、新加坡、马来西亚、泰国、法国、加拿</w:t>
      </w:r>
      <w:r>
        <w:rPr>
          <w:spacing w:val="-65"/>
        </w:rPr>
        <w:t> </w:t>
      </w:r>
      <w:r>
        <w:rPr>
          <w:spacing w:val="-65"/>
        </w:rPr>
      </w:r>
      <w:r>
        <w:rPr/>
        <w:t>大、日本等地区和国家设立了营销服务机构。</w:t>
      </w:r>
    </w:p>
    <w:p>
      <w:pPr>
        <w:pStyle w:val="Heading2"/>
        <w:spacing w:line="240" w:lineRule="auto" w:before="137"/>
        <w:ind w:left="565" w:right="232"/>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公司发展战略</w:t>
      </w:r>
      <w:r>
        <w:rPr>
          <w:b w:val="0"/>
          <w:bCs w:val="0"/>
        </w:rPr>
      </w:r>
    </w:p>
    <w:p>
      <w:pPr>
        <w:pStyle w:val="Heading3"/>
        <w:spacing w:line="297" w:lineRule="auto" w:before="194"/>
        <w:ind w:right="101" w:firstLine="480"/>
        <w:jc w:val="both"/>
      </w:pPr>
      <w:r>
        <w:rPr/>
        <w:t>公司于</w:t>
      </w:r>
      <w:r>
        <w:rPr>
          <w:spacing w:val="-60"/>
        </w:rPr>
        <w:t> </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21</w:t>
      </w:r>
      <w:r>
        <w:rPr>
          <w:rFonts w:ascii="宋体" w:hAnsi="宋体" w:cs="宋体" w:eastAsia="宋体" w:hint="default"/>
          <w:spacing w:val="-60"/>
        </w:rPr>
        <w:t> </w:t>
      </w:r>
      <w:r>
        <w:rPr/>
        <w:t>日召开的第五届董事会</w:t>
      </w:r>
      <w:r>
        <w:rPr>
          <w:spacing w:val="-60"/>
        </w:rPr>
        <w:t> </w:t>
      </w:r>
      <w:r>
        <w:rPr>
          <w:rFonts w:ascii="宋体" w:hAnsi="宋体" w:cs="宋体" w:eastAsia="宋体" w:hint="default"/>
        </w:rPr>
        <w:t>2013</w:t>
      </w:r>
      <w:r>
        <w:rPr>
          <w:rFonts w:ascii="宋体" w:hAnsi="宋体" w:cs="宋体" w:eastAsia="宋体" w:hint="default"/>
          <w:spacing w:val="-60"/>
        </w:rPr>
        <w:t> </w:t>
      </w:r>
      <w:r>
        <w:rPr>
          <w:spacing w:val="-4"/>
        </w:rPr>
        <w:t>年第二次会议审议通过了《公司</w:t>
      </w:r>
      <w:r>
        <w:rPr/>
        <w:t> 新三年规划（</w:t>
      </w:r>
      <w:r>
        <w:rPr>
          <w:rFonts w:ascii="宋体" w:hAnsi="宋体" w:cs="宋体" w:eastAsia="宋体" w:hint="default"/>
        </w:rPr>
        <w:t>2013</w:t>
      </w:r>
      <w:r>
        <w:rPr>
          <w:rFonts w:ascii="宋体" w:hAnsi="宋体" w:cs="宋体" w:eastAsia="宋体" w:hint="default"/>
          <w:spacing w:val="-67"/>
        </w:rPr>
        <w:t> </w:t>
      </w:r>
      <w:r>
        <w:rPr/>
        <w:t>年</w:t>
      </w:r>
      <w:r>
        <w:rPr>
          <w:rFonts w:ascii="宋体" w:hAnsi="宋体" w:cs="宋体" w:eastAsia="宋体" w:hint="default"/>
        </w:rPr>
        <w:t>-2015</w:t>
      </w:r>
      <w:r>
        <w:rPr>
          <w:rFonts w:ascii="宋体" w:hAnsi="宋体" w:cs="宋体" w:eastAsia="宋体" w:hint="default"/>
          <w:spacing w:val="-67"/>
        </w:rPr>
        <w:t> </w:t>
      </w:r>
      <w:r>
        <w:rPr>
          <w:spacing w:val="-5"/>
        </w:rPr>
        <w:t>年）及</w:t>
      </w:r>
      <w:r>
        <w:rPr>
          <w:spacing w:val="-67"/>
        </w:rPr>
        <w:t> </w:t>
      </w:r>
      <w:r>
        <w:rPr>
          <w:rFonts w:ascii="宋体" w:hAnsi="宋体" w:cs="宋体" w:eastAsia="宋体" w:hint="default"/>
        </w:rPr>
        <w:t>2013</w:t>
      </w:r>
      <w:r>
        <w:rPr>
          <w:rFonts w:ascii="宋体" w:hAnsi="宋体" w:cs="宋体" w:eastAsia="宋体" w:hint="default"/>
          <w:spacing w:val="-67"/>
        </w:rPr>
        <w:t> </w:t>
      </w:r>
      <w:r>
        <w:rPr/>
        <w:t>年度总计划的议案》，明确了未来三年的发展目 标，包括三个方面：一是软件业务经营模式与结构升级到位，竞争力亚州第一；二是云</w:t>
      </w:r>
      <w:r>
        <w:rPr>
          <w:spacing w:val="-67"/>
        </w:rPr>
        <w:t> </w:t>
      </w:r>
      <w:r>
        <w:rPr>
          <w:spacing w:val="-67"/>
        </w:rPr>
      </w:r>
      <w:r>
        <w:rPr>
          <w:spacing w:val="-2"/>
        </w:rPr>
        <w:t>平台与云应用服务业务培育成功，并实现战略领先；三是赢利能力、收入规模显著提升。</w:t>
      </w:r>
    </w:p>
    <w:p>
      <w:pPr>
        <w:pStyle w:val="Heading3"/>
        <w:spacing w:line="297" w:lineRule="auto"/>
        <w:ind w:right="215" w:firstLine="480"/>
        <w:jc w:val="both"/>
      </w:pPr>
      <w:r>
        <w:rPr/>
        <w:t>公司在未来三年将坚持“坚实、突破、效益”的基本工作方针，“坚实”即要实现</w:t>
      </w:r>
      <w:r>
        <w:rPr>
          <w:spacing w:val="2"/>
        </w:rPr>
        <w:t> </w:t>
      </w:r>
      <w:r>
        <w:rPr/>
        <w:t>战略落实、业务扎实、财务健实</w:t>
      </w:r>
      <w:r>
        <w:rPr>
          <w:spacing w:val="-56"/>
        </w:rPr>
        <w:t> </w:t>
      </w:r>
      <w:r>
        <w:rPr/>
        <w:t>；“突破”即是要大力推进产品技术创新、业务优化转</w:t>
      </w:r>
      <w:r>
        <w:rPr/>
        <w:t> 型、运营管理升级；“效益”则是要在创造客户价值基础上，全面提高主营业务利润、</w:t>
      </w:r>
      <w:r>
        <w:rPr>
          <w:spacing w:val="-65"/>
        </w:rPr>
        <w:t> </w:t>
      </w:r>
      <w:r>
        <w:rPr>
          <w:spacing w:val="-65"/>
        </w:rPr>
      </w:r>
      <w:r>
        <w:rPr/>
        <w:t>资产经营收益和投资收益。</w:t>
      </w:r>
    </w:p>
    <w:p>
      <w:pPr>
        <w:pStyle w:val="Heading3"/>
        <w:spacing w:line="297" w:lineRule="auto"/>
        <w:ind w:right="82" w:firstLine="480"/>
        <w:jc w:val="left"/>
      </w:pPr>
      <w:r>
        <w:rPr/>
        <w:t>在此基本工作方针指导下，公司的业务发展将向两个方向推进：对于现有软件业务</w:t>
      </w:r>
      <w:r>
        <w:rPr>
          <w:spacing w:val="2"/>
        </w:rPr>
        <w:t> </w:t>
      </w:r>
      <w:r>
        <w:rPr>
          <w:spacing w:val="-2"/>
        </w:rPr>
        <w:t>要大力改进经营，包括调整业务模式、做强产品、突破产品支持服务业务、做大产业链、</w:t>
      </w:r>
      <w:r>
        <w:rPr>
          <w:spacing w:val="-102"/>
        </w:rPr>
        <w:t> </w:t>
      </w:r>
      <w:r>
        <w:rPr>
          <w:spacing w:val="-102"/>
        </w:rPr>
      </w:r>
      <w:r>
        <w:rPr/>
        <w:t>升级管理；对于云业务则是要加快战略培育，包括研发运营到位、加快业务发展速度、</w:t>
      </w:r>
      <w:r>
        <w:rPr>
          <w:spacing w:val="-65"/>
        </w:rPr>
        <w:t> </w:t>
      </w:r>
      <w:r>
        <w:rPr>
          <w:spacing w:val="-65"/>
        </w:rPr>
      </w:r>
      <w:r>
        <w:rPr/>
        <w:t>实现市场占位及战略领先。</w:t>
      </w:r>
    </w:p>
    <w:p>
      <w:pPr>
        <w:pStyle w:val="Heading3"/>
        <w:spacing w:line="297" w:lineRule="auto"/>
        <w:ind w:right="215" w:firstLine="480"/>
        <w:jc w:val="both"/>
      </w:pPr>
      <w:r>
        <w:rPr/>
        <w:t>为了在业务和管理上落实“坚实、突破、效益”的基本工作方针，公司确定了未来</w:t>
      </w:r>
      <w:r>
        <w:rPr>
          <w:spacing w:val="2"/>
        </w:rPr>
        <w:t> </w:t>
      </w:r>
      <w:r>
        <w:rPr/>
        <w:t>三年的关键发展策略为“平台化转型”、“业务聚焦”和“管理升级”。</w:t>
      </w:r>
    </w:p>
    <w:p>
      <w:pPr>
        <w:pStyle w:val="Heading3"/>
        <w:spacing w:line="300" w:lineRule="auto"/>
        <w:ind w:right="218" w:firstLine="480"/>
        <w:jc w:val="both"/>
      </w:pPr>
      <w:r>
        <w:rPr/>
        <w:t>“平台化转型”就是要推进“新长城计划”，加快</w:t>
      </w:r>
      <w:r>
        <w:rPr>
          <w:spacing w:val="-56"/>
        </w:rPr>
        <w:t> </w:t>
      </w:r>
      <w:r>
        <w:rPr>
          <w:rFonts w:ascii="宋体" w:hAnsi="宋体" w:cs="宋体" w:eastAsia="宋体" w:hint="default"/>
        </w:rPr>
        <w:t>UAP</w:t>
      </w:r>
      <w:r>
        <w:rPr/>
        <w:t>、</w:t>
      </w:r>
      <w:r>
        <w:rPr>
          <w:rFonts w:ascii="宋体" w:hAnsi="宋体" w:cs="宋体" w:eastAsia="宋体" w:hint="default"/>
        </w:rPr>
        <w:t>CSP</w:t>
      </w:r>
      <w:r>
        <w:rPr/>
        <w:t>（公有云平台）、下一 代企业与政府应用、移动应用、数据技术产品发展；软件包、解决方案向平台化模式转</w:t>
      </w:r>
    </w:p>
    <w:p>
      <w:pPr>
        <w:spacing w:after="0" w:line="300" w:lineRule="auto"/>
        <w:jc w:val="both"/>
        <w:sectPr>
          <w:footerReference w:type="default" r:id="rId12"/>
          <w:pgSz w:w="11910" w:h="16850"/>
          <w:pgMar w:footer="730" w:header="752" w:top="1020" w:bottom="920" w:left="1280" w:right="1080"/>
          <w:pgNumType w:start="25"/>
        </w:sectPr>
      </w:pPr>
    </w:p>
    <w:p>
      <w:pPr>
        <w:spacing w:line="240" w:lineRule="auto" w:before="9"/>
        <w:rPr>
          <w:rFonts w:ascii="宋体" w:hAnsi="宋体" w:cs="宋体" w:eastAsia="宋体" w:hint="default"/>
          <w:sz w:val="26"/>
          <w:szCs w:val="26"/>
        </w:rPr>
      </w:pPr>
    </w:p>
    <w:p>
      <w:pPr>
        <w:pStyle w:val="Heading3"/>
        <w:spacing w:line="297" w:lineRule="auto" w:before="26"/>
        <w:ind w:right="232"/>
        <w:jc w:val="left"/>
      </w:pPr>
      <w:r>
        <w:rPr/>
        <w:t>型、升级；加快建立基于用友平台和产品的强大产业生态链，与伙伴合作共赢，实现规</w:t>
      </w:r>
      <w:r>
        <w:rPr>
          <w:spacing w:val="-65"/>
        </w:rPr>
        <w:t> </w:t>
      </w:r>
      <w:r>
        <w:rPr>
          <w:spacing w:val="-65"/>
        </w:rPr>
      </w:r>
      <w:r>
        <w:rPr/>
        <w:t>模化、效益化发展。</w:t>
      </w:r>
    </w:p>
    <w:p>
      <w:pPr>
        <w:pStyle w:val="Heading3"/>
        <w:spacing w:line="297" w:lineRule="auto"/>
        <w:ind w:right="215" w:firstLine="480"/>
        <w:jc w:val="both"/>
      </w:pPr>
      <w:r>
        <w:rPr/>
        <w:t>“业务聚焦”一是产品发展统一到两大平台上来，公司未来的所有产品都将围绕着</w:t>
      </w:r>
      <w:r>
        <w:rPr>
          <w:spacing w:val="2"/>
        </w:rPr>
        <w:t> </w:t>
      </w:r>
      <w:r>
        <w:rPr>
          <w:rFonts w:ascii="宋体" w:hAnsi="宋体" w:cs="宋体" w:eastAsia="宋体" w:hint="default"/>
        </w:rPr>
        <w:t>UAP </w:t>
      </w:r>
      <w:r>
        <w:rPr/>
        <w:t>和 </w:t>
      </w:r>
      <w:r>
        <w:rPr>
          <w:rFonts w:ascii="宋体" w:hAnsi="宋体" w:cs="宋体" w:eastAsia="宋体" w:hint="default"/>
        </w:rPr>
        <w:t>CSP</w:t>
      </w:r>
      <w:r>
        <w:rPr>
          <w:rFonts w:ascii="宋体" w:hAnsi="宋体" w:cs="宋体" w:eastAsia="宋体" w:hint="default"/>
          <w:spacing w:val="-56"/>
        </w:rPr>
        <w:t> </w:t>
      </w:r>
      <w:r>
        <w:rPr/>
        <w:t>两大基础性平台进行开发，提高产品发展的整体效率和效益；二是精简产品 线、业务线，行业聚焦发展；三是除部分客户外，推行咨询实施业务由专业服务伙伴与</w:t>
      </w:r>
      <w:r>
        <w:rPr>
          <w:spacing w:val="-65"/>
        </w:rPr>
        <w:t> </w:t>
      </w:r>
      <w:r>
        <w:rPr>
          <w:spacing w:val="-65"/>
        </w:rPr>
      </w:r>
      <w:r>
        <w:rPr/>
        <w:t>客户直接签约交付模式（分签模式），公司解决方案业务聚焦产品、营销、高端客户深</w:t>
      </w:r>
      <w:r>
        <w:rPr>
          <w:spacing w:val="-65"/>
        </w:rPr>
        <w:t> </w:t>
      </w:r>
      <w:r>
        <w:rPr>
          <w:spacing w:val="-65"/>
        </w:rPr>
      </w:r>
      <w:r>
        <w:rPr/>
        <w:t>度经营。</w:t>
      </w:r>
    </w:p>
    <w:p>
      <w:pPr>
        <w:pStyle w:val="Heading3"/>
        <w:spacing w:line="297" w:lineRule="auto"/>
        <w:ind w:right="82" w:firstLine="480"/>
        <w:jc w:val="left"/>
      </w:pPr>
      <w:r>
        <w:rPr/>
        <w:t>“管理升级”包括升级员工发展体系，控制人员规模，调整人员结构，提高人均利</w:t>
      </w:r>
      <w:r>
        <w:rPr>
          <w:spacing w:val="2"/>
        </w:rPr>
        <w:t> </w:t>
      </w:r>
      <w:r>
        <w:rPr>
          <w:spacing w:val="-2"/>
        </w:rPr>
        <w:t>润水平；加强产品管理，推进研发组织向产品组织的转化和发展，强化“产品经理制”；</w:t>
      </w:r>
      <w:r>
        <w:rPr>
          <w:spacing w:val="-102"/>
        </w:rPr>
        <w:t> </w:t>
      </w:r>
      <w:r>
        <w:rPr>
          <w:spacing w:val="-102"/>
        </w:rPr>
      </w:r>
      <w:r>
        <w:rPr>
          <w:spacing w:val="-2"/>
        </w:rPr>
        <w:t>加强项目管理；深化客户经营；建立高效、可持续的绩效管理体系；升级管理会计体系、</w:t>
      </w:r>
      <w:r>
        <w:rPr>
          <w:spacing w:val="-100"/>
        </w:rPr>
        <w:t> </w:t>
      </w:r>
      <w:r>
        <w:rPr>
          <w:spacing w:val="-100"/>
        </w:rPr>
      </w:r>
      <w:r>
        <w:rPr/>
        <w:t>运营管理支撑的信息化平台。</w:t>
      </w:r>
    </w:p>
    <w:p>
      <w:pPr>
        <w:pStyle w:val="Heading2"/>
        <w:spacing w:line="240" w:lineRule="auto" w:before="137"/>
        <w:ind w:left="565" w:right="232"/>
        <w:jc w:val="left"/>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公司</w:t>
      </w:r>
      <w:r>
        <w:rPr>
          <w:spacing w:val="-61"/>
        </w:rPr>
        <w:t> </w:t>
      </w:r>
      <w:r>
        <w:rPr>
          <w:rFonts w:ascii="宋体" w:hAnsi="宋体" w:cs="宋体" w:eastAsia="宋体" w:hint="default"/>
        </w:rPr>
        <w:t>2013</w:t>
      </w:r>
      <w:r>
        <w:rPr>
          <w:rFonts w:ascii="宋体" w:hAnsi="宋体" w:cs="宋体" w:eastAsia="宋体" w:hint="default"/>
          <w:spacing w:val="-63"/>
        </w:rPr>
        <w:t> </w:t>
      </w:r>
      <w:r>
        <w:rPr/>
        <w:t>年经营计划</w:t>
      </w:r>
      <w:r>
        <w:rPr>
          <w:b w:val="0"/>
          <w:bCs w:val="0"/>
        </w:rPr>
      </w:r>
    </w:p>
    <w:p>
      <w:pPr>
        <w:pStyle w:val="Heading3"/>
        <w:spacing w:line="297" w:lineRule="auto" w:before="194"/>
        <w:ind w:right="227" w:firstLine="480"/>
        <w:jc w:val="both"/>
      </w:pPr>
      <w:r>
        <w:rPr>
          <w:rFonts w:ascii="宋体" w:hAnsi="宋体" w:cs="宋体" w:eastAsia="宋体" w:hint="default"/>
        </w:rPr>
        <w:t>2013</w:t>
      </w:r>
      <w:r>
        <w:rPr>
          <w:rFonts w:ascii="宋体" w:hAnsi="宋体" w:cs="宋体" w:eastAsia="宋体" w:hint="default"/>
          <w:spacing w:val="-60"/>
        </w:rPr>
        <w:t> </w:t>
      </w:r>
      <w:r>
        <w:rPr/>
        <w:t>年，公司将切实贯彻落实新三年规划中提出的关键策略，积极行动，推进各项 关键任务，坚实工作，在软件业务转型升级、新业务培植两大方面实现突破，突破提升 效益水平，增强竞争力，全面达成各项业务业绩目标。</w:t>
      </w:r>
    </w:p>
    <w:p>
      <w:pPr>
        <w:spacing w:line="388" w:lineRule="auto" w:before="137"/>
        <w:ind w:left="618" w:right="268" w:hanging="53"/>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四</w:t>
      </w:r>
      <w:r>
        <w:rPr>
          <w:rFonts w:ascii="宋体" w:hAnsi="宋体" w:cs="宋体" w:eastAsia="宋体" w:hint="default"/>
          <w:b/>
          <w:bCs/>
          <w:sz w:val="24"/>
          <w:szCs w:val="24"/>
        </w:rPr>
        <w:t>) </w:t>
      </w:r>
      <w:r>
        <w:rPr>
          <w:rFonts w:ascii="宋体" w:hAnsi="宋体" w:cs="宋体" w:eastAsia="宋体" w:hint="default"/>
          <w:b/>
          <w:bCs/>
          <w:sz w:val="24"/>
          <w:szCs w:val="24"/>
        </w:rPr>
        <w:t>因维持当前业务并完成在建投资项目公司所需的资金需求</w:t>
      </w:r>
      <w:r>
        <w:rPr>
          <w:rFonts w:ascii="宋体" w:hAnsi="宋体" w:cs="宋体" w:eastAsia="宋体" w:hint="default"/>
          <w:b/>
          <w:bCs/>
          <w:w w:val="99"/>
          <w:sz w:val="24"/>
          <w:szCs w:val="24"/>
        </w:rPr>
        <w:t> </w:t>
      </w:r>
      <w:r>
        <w:rPr>
          <w:rFonts w:ascii="宋体" w:hAnsi="宋体" w:cs="宋体" w:eastAsia="宋体" w:hint="default"/>
          <w:sz w:val="24"/>
          <w:szCs w:val="24"/>
        </w:rPr>
        <w:t>根据公司当前业务发展计划及产业基地建设规划，</w:t>
      </w: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年度公司所需资金约为</w:t>
      </w:r>
      <w:r>
        <w:rPr>
          <w:rFonts w:ascii="宋体" w:hAnsi="宋体" w:cs="宋体" w:eastAsia="宋体" w:hint="default"/>
          <w:spacing w:val="-60"/>
          <w:sz w:val="24"/>
          <w:szCs w:val="24"/>
        </w:rPr>
        <w:t> </w:t>
      </w:r>
      <w:r>
        <w:rPr>
          <w:rFonts w:ascii="宋体" w:hAnsi="宋体" w:cs="宋体" w:eastAsia="宋体" w:hint="default"/>
          <w:sz w:val="24"/>
          <w:szCs w:val="24"/>
        </w:rPr>
        <w:t>5.9</w:t>
      </w:r>
    </w:p>
    <w:p>
      <w:pPr>
        <w:pStyle w:val="Heading3"/>
        <w:spacing w:line="240" w:lineRule="exact" w:before="0"/>
        <w:ind w:right="232"/>
        <w:jc w:val="left"/>
      </w:pPr>
      <w:r>
        <w:rPr/>
        <w:t>亿元。</w:t>
      </w:r>
    </w:p>
    <w:p>
      <w:pPr>
        <w:pStyle w:val="Heading2"/>
        <w:spacing w:line="240" w:lineRule="auto" w:before="194"/>
        <w:ind w:left="565" w:right="232"/>
        <w:jc w:val="left"/>
        <w:rPr>
          <w:b w:val="0"/>
          <w:bCs w:val="0"/>
        </w:rPr>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3"/>
        </w:rPr>
        <w:t> </w:t>
      </w:r>
      <w:r>
        <w:rPr/>
        <w:t>可能面对的风险</w:t>
      </w:r>
      <w:r>
        <w:rPr>
          <w:b w:val="0"/>
          <w:bCs w:val="0"/>
        </w:rPr>
      </w:r>
    </w:p>
    <w:p>
      <w:pPr>
        <w:pStyle w:val="Heading3"/>
        <w:spacing w:line="388" w:lineRule="auto" w:before="194"/>
        <w:ind w:left="618" w:right="268"/>
        <w:jc w:val="left"/>
      </w:pPr>
      <w:r>
        <w:rPr>
          <w:rFonts w:ascii="宋体" w:hAnsi="宋体" w:cs="宋体" w:eastAsia="宋体" w:hint="default"/>
        </w:rPr>
        <w:t>1</w:t>
      </w:r>
      <w:r>
        <w:rPr/>
        <w:t>、新模式业务培育的风险 公司的公有云（平台与应用）服务业务经过近年来的投入发展，已经有了初步的基</w:t>
      </w:r>
    </w:p>
    <w:p>
      <w:pPr>
        <w:pStyle w:val="Heading3"/>
        <w:spacing w:line="240" w:lineRule="exact" w:before="0"/>
        <w:ind w:right="232"/>
        <w:jc w:val="left"/>
      </w:pPr>
      <w:r>
        <w:rPr/>
        <w:t>础，但公有云服务业务模式与公司原有软件业务模式差异大，需要不同的思维和经营组</w:t>
      </w:r>
    </w:p>
    <w:p>
      <w:pPr>
        <w:pStyle w:val="Heading3"/>
        <w:spacing w:line="300" w:lineRule="auto" w:before="74"/>
        <w:ind w:right="268"/>
        <w:jc w:val="left"/>
      </w:pPr>
      <w:r>
        <w:rPr/>
        <w:t>织方式，同时，公有云服务业务大范围推广应用还存在一个市场培育与发展的过程，具 有一定的不确定性，并对公司的业绩表现产生相应的影响。</w:t>
      </w:r>
    </w:p>
    <w:p>
      <w:pPr>
        <w:pStyle w:val="Heading3"/>
        <w:spacing w:line="297" w:lineRule="auto" w:before="134"/>
        <w:ind w:right="98" w:firstLine="480"/>
        <w:jc w:val="both"/>
      </w:pPr>
      <w:r>
        <w:rPr/>
        <w:t>在应对措施上：（</w:t>
      </w:r>
      <w:r>
        <w:rPr>
          <w:rFonts w:ascii="宋体" w:hAnsi="宋体" w:cs="宋体" w:eastAsia="宋体" w:hint="default"/>
        </w:rPr>
        <w:t>1</w:t>
      </w:r>
      <w:r>
        <w:rPr/>
        <w:t>）公司将云业务发展作为战略业务予以高度重视，建立专门组织 并保证资源配置到位；（</w:t>
      </w:r>
      <w:r>
        <w:rPr>
          <w:rFonts w:ascii="宋体" w:hAnsi="宋体" w:cs="宋体" w:eastAsia="宋体" w:hint="default"/>
        </w:rPr>
        <w:t>2</w:t>
      </w:r>
      <w:r>
        <w:rPr/>
        <w:t>）加强对云业务发展的战略管理，制订专门的战略项目计划， </w:t>
      </w:r>
      <w:r>
        <w:rPr>
          <w:spacing w:val="-2"/>
        </w:rPr>
        <w:t>定期评估业务进展，及时掌控并规避市场发展的不确定性，并进行资源调配和策略调整；</w:t>
      </w:r>
    </w:p>
    <w:p>
      <w:pPr>
        <w:pStyle w:val="Heading3"/>
        <w:spacing w:line="240" w:lineRule="auto" w:before="17"/>
        <w:ind w:right="82"/>
        <w:jc w:val="left"/>
      </w:pPr>
      <w:r>
        <w:rPr/>
        <w:t>（</w:t>
      </w:r>
      <w:r>
        <w:rPr>
          <w:rFonts w:ascii="宋体" w:hAnsi="宋体" w:cs="宋体" w:eastAsia="宋体" w:hint="default"/>
        </w:rPr>
        <w:t>3</w:t>
      </w:r>
      <w:r>
        <w:rPr/>
        <w:t>）在业务运营流程设计上强调尽量借鉴国内外同行的成功经验，降低业务模式风险；</w:t>
      </w:r>
    </w:p>
    <w:p>
      <w:pPr>
        <w:pStyle w:val="Heading3"/>
        <w:spacing w:line="388" w:lineRule="auto" w:before="74"/>
        <w:ind w:left="618" w:right="268" w:hanging="480"/>
        <w:jc w:val="left"/>
      </w:pPr>
      <w:r>
        <w:rPr/>
        <w:t>（</w:t>
      </w:r>
      <w:r>
        <w:rPr>
          <w:rFonts w:ascii="宋体" w:hAnsi="宋体" w:cs="宋体" w:eastAsia="宋体" w:hint="default"/>
        </w:rPr>
        <w:t>4</w:t>
      </w:r>
      <w:r>
        <w:rPr/>
        <w:t>）发挥公司现有软件用户基础的优势，促进云服务业务培育的成功。 </w:t>
      </w:r>
      <w:r>
        <w:rPr>
          <w:rFonts w:ascii="宋体" w:hAnsi="宋体" w:cs="宋体" w:eastAsia="宋体" w:hint="default"/>
        </w:rPr>
        <w:t>2</w:t>
      </w:r>
      <w:r>
        <w:rPr/>
        <w:t>、人力资源风险 优秀的专业技术、业务和管理人才对公司持续发展至关重要。如果公司不能吸引到</w:t>
      </w:r>
    </w:p>
    <w:p>
      <w:pPr>
        <w:pStyle w:val="Heading3"/>
        <w:spacing w:line="240" w:lineRule="exact" w:before="0"/>
        <w:ind w:right="0"/>
        <w:jc w:val="left"/>
      </w:pPr>
      <w:r>
        <w:rPr/>
        <w:t>发展所需的关键人才或者公司核心骨干人员流失，都将对公司经营发展造成不利的影响。</w:t>
      </w:r>
    </w:p>
    <w:p>
      <w:pPr>
        <w:pStyle w:val="Heading3"/>
        <w:spacing w:line="240" w:lineRule="auto" w:before="77"/>
        <w:ind w:right="232"/>
        <w:jc w:val="left"/>
      </w:pPr>
      <w:r>
        <w:rPr/>
        <w:t>同时，由于社会与行业的薪酬水平上涨和公司保持薪酬竞争力的需要，拉动公司人力成</w:t>
      </w:r>
    </w:p>
    <w:p>
      <w:pPr>
        <w:spacing w:after="0" w:line="240" w:lineRule="auto"/>
        <w:jc w:val="left"/>
        <w:sectPr>
          <w:footerReference w:type="default" r:id="rId13"/>
          <w:pgSz w:w="11910" w:h="16850"/>
          <w:pgMar w:footer="730" w:header="752" w:top="1020" w:bottom="920" w:left="1280" w:right="1080"/>
          <w:pgNumType w:start="26"/>
        </w:sectPr>
      </w:pPr>
    </w:p>
    <w:p>
      <w:pPr>
        <w:spacing w:line="240" w:lineRule="auto" w:before="9"/>
        <w:rPr>
          <w:rFonts w:ascii="宋体" w:hAnsi="宋体" w:cs="宋体" w:eastAsia="宋体" w:hint="default"/>
          <w:sz w:val="26"/>
          <w:szCs w:val="26"/>
        </w:rPr>
      </w:pPr>
    </w:p>
    <w:p>
      <w:pPr>
        <w:pStyle w:val="Heading3"/>
        <w:spacing w:line="297" w:lineRule="auto" w:before="26"/>
        <w:ind w:right="287"/>
        <w:jc w:val="both"/>
      </w:pPr>
      <w:r>
        <w:rPr/>
        <w:t>本上涨，公司如果不能持续提高人员工作效率，增加人均产出，将对公司经营效益水平 带来较大影响。</w:t>
      </w:r>
    </w:p>
    <w:p>
      <w:pPr>
        <w:pStyle w:val="Heading3"/>
        <w:spacing w:line="297" w:lineRule="auto"/>
        <w:ind w:right="148" w:firstLine="420"/>
        <w:jc w:val="left"/>
      </w:pPr>
      <w:r>
        <w:rPr/>
        <w:t>在应对措施上主要包括：（</w:t>
      </w:r>
      <w:r>
        <w:rPr>
          <w:rFonts w:ascii="宋体" w:hAnsi="宋体" w:cs="宋体" w:eastAsia="宋体" w:hint="default"/>
        </w:rPr>
        <w:t>1</w:t>
      </w:r>
      <w:r>
        <w:rPr/>
        <w:t>）全面升级员工发展体系，加强专业人才队伍的规划与 建设；（</w:t>
      </w:r>
      <w:r>
        <w:rPr>
          <w:rFonts w:ascii="宋体" w:hAnsi="宋体" w:cs="宋体" w:eastAsia="宋体" w:hint="default"/>
        </w:rPr>
        <w:t>2</w:t>
      </w:r>
      <w:r>
        <w:rPr/>
        <w:t>）对于创新业务所需的核心骨干人才，制定专项计划，加大投入和引进力度；</w:t>
      </w:r>
    </w:p>
    <w:p>
      <w:pPr>
        <w:pStyle w:val="Heading3"/>
        <w:spacing w:line="297" w:lineRule="auto" w:before="17"/>
        <w:ind w:right="218"/>
        <w:jc w:val="both"/>
      </w:pPr>
      <w:r>
        <w:rPr/>
        <w:t>（</w:t>
      </w:r>
      <w:r>
        <w:rPr>
          <w:rFonts w:ascii="宋体" w:hAnsi="宋体" w:cs="宋体" w:eastAsia="宋体" w:hint="default"/>
        </w:rPr>
        <w:t>3</w:t>
      </w:r>
      <w:r>
        <w:rPr/>
        <w:t>）继续推进“幸福用友”建设，吸引和保留人才；（</w:t>
      </w:r>
      <w:r>
        <w:rPr>
          <w:rFonts w:ascii="宋体" w:hAnsi="宋体" w:cs="宋体" w:eastAsia="宋体" w:hint="default"/>
        </w:rPr>
        <w:t>4</w:t>
      </w:r>
      <w:r>
        <w:rPr/>
        <w:t>）实施对核心骨干员工的中长 </w:t>
      </w:r>
      <w:r>
        <w:rPr>
          <w:spacing w:val="-2"/>
        </w:rPr>
        <w:t>期激励方案；（</w:t>
      </w:r>
      <w:r>
        <w:rPr>
          <w:rFonts w:ascii="宋体" w:hAnsi="宋体" w:cs="宋体" w:eastAsia="宋体" w:hint="default"/>
          <w:spacing w:val="-2"/>
        </w:rPr>
        <w:t>5</w:t>
      </w:r>
      <w:r>
        <w:rPr>
          <w:spacing w:val="-2"/>
        </w:rPr>
        <w:t>）改进经营，升级管理，控制人员规模，调整人员结构，提高人员效率</w:t>
      </w:r>
      <w:r>
        <w:rPr>
          <w:spacing w:val="-100"/>
        </w:rPr>
        <w:t> </w:t>
      </w:r>
      <w:r>
        <w:rPr>
          <w:spacing w:val="-100"/>
        </w:rPr>
      </w:r>
      <w:r>
        <w:rPr/>
        <w:t>和人均产出。</w:t>
      </w:r>
    </w:p>
    <w:p>
      <w:pPr>
        <w:pStyle w:val="Heading2"/>
        <w:spacing w:line="240" w:lineRule="auto" w:before="139"/>
        <w:ind w:right="0"/>
        <w:jc w:val="both"/>
        <w:rPr>
          <w:b w:val="0"/>
          <w:bCs w:val="0"/>
        </w:rPr>
      </w:pPr>
      <w:r>
        <w:rPr/>
        <w:t>三、利润分配或资本公积金转增预案</w:t>
      </w:r>
      <w:r>
        <w:rPr>
          <w:b w:val="0"/>
          <w:bCs w:val="0"/>
        </w:rPr>
      </w:r>
    </w:p>
    <w:p>
      <w:pPr>
        <w:pStyle w:val="Heading2"/>
        <w:spacing w:line="240" w:lineRule="auto" w:before="194"/>
        <w:ind w:left="620" w:right="232"/>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4"/>
        </w:rPr>
        <w:t> </w:t>
      </w:r>
      <w:r>
        <w:rPr/>
        <w:t>现金分红政策的制定、执行或调整情况</w:t>
      </w:r>
      <w:r>
        <w:rPr>
          <w:b w:val="0"/>
          <w:bCs w:val="0"/>
        </w:rPr>
      </w:r>
    </w:p>
    <w:p>
      <w:pPr>
        <w:pStyle w:val="Heading3"/>
        <w:spacing w:line="388" w:lineRule="auto" w:before="194"/>
        <w:ind w:left="560" w:right="566"/>
        <w:jc w:val="left"/>
      </w:pPr>
      <w:r>
        <w:rPr>
          <w:rFonts w:ascii="宋体" w:hAnsi="宋体" w:cs="宋体" w:eastAsia="宋体" w:hint="default"/>
        </w:rPr>
        <w:t>1</w:t>
      </w:r>
      <w:r>
        <w:rPr/>
        <w:t>、公司利润分配政策的修订情况 根据中国证监会《关于进一步落实上市公司现金分红有关事项的通知》（证监发</w:t>
      </w:r>
    </w:p>
    <w:p>
      <w:pPr>
        <w:pStyle w:val="Heading3"/>
        <w:spacing w:line="240" w:lineRule="exact" w:before="0"/>
        <w:ind w:right="0"/>
        <w:jc w:val="both"/>
      </w:pPr>
      <w:r>
        <w:rPr>
          <w:rFonts w:ascii="宋体" w:hAnsi="宋体" w:cs="宋体" w:eastAsia="宋体" w:hint="default"/>
        </w:rPr>
        <w:t>[2012]37</w:t>
      </w:r>
      <w:r>
        <w:rPr>
          <w:rFonts w:ascii="宋体" w:hAnsi="宋体" w:cs="宋体" w:eastAsia="宋体" w:hint="default"/>
          <w:spacing w:val="-60"/>
        </w:rPr>
        <w:t> </w:t>
      </w:r>
      <w:r>
        <w:rPr>
          <w:spacing w:val="-10"/>
        </w:rPr>
        <w:t>号）的要求，公司</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16</w:t>
      </w:r>
      <w:r>
        <w:rPr>
          <w:rFonts w:ascii="宋体" w:hAnsi="宋体" w:cs="宋体" w:eastAsia="宋体" w:hint="default"/>
          <w:spacing w:val="-60"/>
        </w:rPr>
        <w:t> </w:t>
      </w:r>
      <w:r>
        <w:rPr/>
        <w:t>日召开的</w:t>
      </w:r>
      <w:r>
        <w:rPr>
          <w:spacing w:val="-60"/>
        </w:rPr>
        <w:t> </w:t>
      </w:r>
      <w:r>
        <w:rPr>
          <w:rFonts w:ascii="宋体" w:hAnsi="宋体" w:cs="宋体" w:eastAsia="宋体" w:hint="default"/>
        </w:rPr>
        <w:t>2012</w:t>
      </w:r>
      <w:r>
        <w:rPr>
          <w:rFonts w:ascii="宋体" w:hAnsi="宋体" w:cs="宋体" w:eastAsia="宋体" w:hint="default"/>
          <w:spacing w:val="-60"/>
        </w:rPr>
        <w:t> </w:t>
      </w:r>
      <w:r>
        <w:rPr>
          <w:spacing w:val="-3"/>
        </w:rPr>
        <w:t>年第一次临时股东大会对《公</w:t>
      </w:r>
    </w:p>
    <w:p>
      <w:pPr>
        <w:pStyle w:val="Heading3"/>
        <w:spacing w:line="388" w:lineRule="auto" w:before="74"/>
        <w:ind w:left="560" w:right="1229" w:hanging="423"/>
        <w:jc w:val="left"/>
      </w:pPr>
      <w:r>
        <w:rPr/>
        <w:t>司章程》进行了修订，进一步完善了公司现金分红政策和利润分配决策程序。 修订后的利润分配政策为：</w:t>
      </w:r>
    </w:p>
    <w:p>
      <w:pPr>
        <w:pStyle w:val="Heading3"/>
        <w:spacing w:line="388" w:lineRule="auto" w:before="48"/>
        <w:ind w:left="560" w:right="86" w:firstLine="57"/>
        <w:jc w:val="left"/>
      </w:pPr>
      <w:r>
        <w:rPr/>
        <w:t>（</w:t>
      </w:r>
      <w:r>
        <w:rPr>
          <w:rFonts w:ascii="宋体" w:hAnsi="宋体" w:cs="宋体" w:eastAsia="宋体" w:hint="default"/>
        </w:rPr>
        <w:t>1</w:t>
      </w:r>
      <w:r>
        <w:rPr/>
        <w:t>）公司的利润分配原则： 公司重视对投资者的合理投资回报，充分维护公司股东依法享有的资产收益等权利，</w:t>
      </w:r>
    </w:p>
    <w:p>
      <w:pPr>
        <w:pStyle w:val="Heading3"/>
        <w:spacing w:line="240" w:lineRule="exact" w:before="0"/>
        <w:ind w:right="0"/>
        <w:jc w:val="both"/>
      </w:pPr>
      <w:r>
        <w:rPr/>
        <w:t>实行持续、稳定的利润分配政策。公司分红回报规划着眼于公司的长远和可持续发展，</w:t>
      </w:r>
    </w:p>
    <w:p>
      <w:pPr>
        <w:pStyle w:val="Heading3"/>
        <w:spacing w:line="297" w:lineRule="auto" w:before="74"/>
        <w:ind w:right="287"/>
        <w:jc w:val="both"/>
      </w:pPr>
      <w:r>
        <w:rPr/>
        <w:t>综合考虑公司经营发展实际、股东要求和意愿、社会资金成本、外部融资环境等因素。 公司董事会和股东大会对利润分配政策的决策和论证过程中应充分考虑独立董事及中小 股东的意见。</w:t>
      </w:r>
    </w:p>
    <w:p>
      <w:pPr>
        <w:pStyle w:val="Heading3"/>
        <w:spacing w:line="388" w:lineRule="auto"/>
        <w:ind w:left="618" w:right="268"/>
        <w:jc w:val="left"/>
      </w:pPr>
      <w:r>
        <w:rPr/>
        <w:t>（</w:t>
      </w:r>
      <w:r>
        <w:rPr>
          <w:rFonts w:ascii="宋体" w:hAnsi="宋体" w:cs="宋体" w:eastAsia="宋体" w:hint="default"/>
        </w:rPr>
        <w:t>2</w:t>
      </w:r>
      <w:r>
        <w:rPr/>
        <w:t>）利润分配的决策程序和机制： 公司每年的利润分配预案由公司董事会根据公司的实际盈利情况、现金流量状况和</w:t>
      </w:r>
    </w:p>
    <w:p>
      <w:pPr>
        <w:pStyle w:val="Heading3"/>
        <w:spacing w:line="240" w:lineRule="exact" w:before="0"/>
        <w:ind w:right="0"/>
        <w:jc w:val="both"/>
      </w:pPr>
      <w:r>
        <w:rPr/>
        <w:t>未来的经营计划等因素拟定，经独立董事对此发表独立意见后提交股东大会审议。董事</w:t>
      </w:r>
    </w:p>
    <w:p>
      <w:pPr>
        <w:pStyle w:val="Heading3"/>
        <w:spacing w:line="297" w:lineRule="auto" w:before="77"/>
        <w:ind w:right="287"/>
        <w:jc w:val="both"/>
      </w:pPr>
      <w:r>
        <w:rPr/>
        <w:t>会审议现金分红具体方案时，应当认真研究和论证公司现金分红的时机、条件和最低比 例、调整的条件及其决策程序要求等事宜。</w:t>
      </w:r>
    </w:p>
    <w:p>
      <w:pPr>
        <w:pStyle w:val="Heading3"/>
        <w:spacing w:line="297" w:lineRule="auto"/>
        <w:ind w:right="82" w:firstLine="422"/>
        <w:jc w:val="left"/>
      </w:pPr>
      <w:r>
        <w:rPr>
          <w:spacing w:val="-4"/>
        </w:rPr>
        <w:t>股东大会对现金分红具体方案进行审议时，应通过多种渠道主动与股东特别是中小股</w:t>
      </w:r>
      <w:r>
        <w:rPr/>
        <w:t> </w:t>
      </w:r>
      <w:r>
        <w:rPr>
          <w:spacing w:val="-2"/>
        </w:rPr>
        <w:t>东进行沟通和交流，充分听取中小股东的意见和诉求，并及时答复中小股东关心的问题。</w:t>
      </w:r>
    </w:p>
    <w:p>
      <w:pPr>
        <w:pStyle w:val="Heading3"/>
        <w:spacing w:line="388" w:lineRule="auto"/>
        <w:ind w:left="618" w:right="268"/>
        <w:jc w:val="left"/>
      </w:pPr>
      <w:r>
        <w:rPr/>
        <w:t>（</w:t>
      </w:r>
      <w:r>
        <w:rPr>
          <w:rFonts w:ascii="宋体" w:hAnsi="宋体" w:cs="宋体" w:eastAsia="宋体" w:hint="default"/>
        </w:rPr>
        <w:t>3</w:t>
      </w:r>
      <w:r>
        <w:rPr/>
        <w:t>）利润分配条件和比例： 在当年盈利的条件下，公司未分配利润期末余额为正且公司现金流可以满足公司正</w:t>
      </w:r>
    </w:p>
    <w:p>
      <w:pPr>
        <w:pStyle w:val="Heading3"/>
        <w:spacing w:line="240" w:lineRule="exact" w:before="0"/>
        <w:ind w:right="0"/>
        <w:jc w:val="both"/>
      </w:pPr>
      <w:r>
        <w:rPr/>
        <w:t>常经营和可持续发展的情况下，公司应采用现金方式分配股利，以现金方式分配的利润</w:t>
      </w:r>
    </w:p>
    <w:p>
      <w:pPr>
        <w:pStyle w:val="Heading3"/>
        <w:spacing w:line="297" w:lineRule="auto" w:before="74"/>
        <w:ind w:right="287"/>
        <w:jc w:val="both"/>
      </w:pPr>
      <w:r>
        <w:rPr/>
        <w:t>不少于当年实现的可分配利润的百分之十，最近三年以现金方式累计分配的利润不少于 最近三年实现的年均可分配利润的百分之三十。</w:t>
      </w:r>
    </w:p>
    <w:p>
      <w:pPr>
        <w:spacing w:after="0" w:line="297" w:lineRule="auto"/>
        <w:jc w:val="both"/>
        <w:sectPr>
          <w:pgSz w:w="11910" w:h="16850"/>
          <w:pgMar w:header="752" w:footer="730" w:top="1020" w:bottom="920" w:left="1280" w:right="1080"/>
        </w:sectPr>
      </w:pPr>
    </w:p>
    <w:p>
      <w:pPr>
        <w:spacing w:line="240" w:lineRule="auto" w:before="9"/>
        <w:rPr>
          <w:rFonts w:ascii="宋体" w:hAnsi="宋体" w:cs="宋体" w:eastAsia="宋体" w:hint="default"/>
          <w:sz w:val="26"/>
          <w:szCs w:val="26"/>
        </w:rPr>
      </w:pPr>
    </w:p>
    <w:p>
      <w:pPr>
        <w:pStyle w:val="Heading3"/>
        <w:spacing w:line="297" w:lineRule="auto" w:before="26"/>
        <w:ind w:right="0" w:firstLine="422"/>
        <w:jc w:val="left"/>
      </w:pPr>
      <w:r>
        <w:rPr>
          <w:spacing w:val="-4"/>
        </w:rPr>
        <w:t>在保证现金股利分配的前提下，公司可以采用股票股利的方式进行利润分配。在符合</w:t>
      </w:r>
      <w:r>
        <w:rPr/>
        <w:t> 条件的情况下，公司可以进行中期利润分配。</w:t>
      </w:r>
    </w:p>
    <w:p>
      <w:pPr>
        <w:pStyle w:val="Heading3"/>
        <w:spacing w:line="388" w:lineRule="auto"/>
        <w:ind w:left="618" w:right="208"/>
        <w:jc w:val="left"/>
      </w:pPr>
      <w:r>
        <w:rPr/>
        <w:t>（</w:t>
      </w:r>
      <w:r>
        <w:rPr>
          <w:rFonts w:ascii="宋体" w:hAnsi="宋体" w:cs="宋体" w:eastAsia="宋体" w:hint="default"/>
        </w:rPr>
        <w:t>4</w:t>
      </w:r>
      <w:r>
        <w:rPr/>
        <w:t>）调整或变更利润分配政策的条件和决策机制： 因外部经营环境或公司自身经营情况发生较大变化，确有必要对公司已经确定的现</w:t>
      </w:r>
    </w:p>
    <w:p>
      <w:pPr>
        <w:pStyle w:val="Heading3"/>
        <w:spacing w:line="240" w:lineRule="exact" w:before="0"/>
        <w:ind w:right="0"/>
        <w:jc w:val="left"/>
      </w:pPr>
      <w:r>
        <w:rPr/>
        <w:t>金分红政策进行调整或变更的，新的现金分红政策应符合法律、行政法规、部门规章及</w:t>
      </w:r>
    </w:p>
    <w:p>
      <w:pPr>
        <w:pStyle w:val="Heading3"/>
        <w:spacing w:line="388" w:lineRule="auto" w:before="77"/>
        <w:ind w:left="560" w:right="0" w:hanging="423"/>
        <w:jc w:val="left"/>
      </w:pPr>
      <w:r>
        <w:rPr/>
        <w:t>规范性文件的相关规定。 </w:t>
      </w:r>
      <w:r>
        <w:rPr>
          <w:spacing w:val="-4"/>
        </w:rPr>
        <w:t>有关现金分红政策调整或变更的议案由董事会拟定，经独立董事对此发表独立意见后</w:t>
      </w:r>
    </w:p>
    <w:p>
      <w:pPr>
        <w:pStyle w:val="Heading3"/>
        <w:spacing w:line="240" w:lineRule="exact" w:before="0"/>
        <w:ind w:right="0"/>
        <w:jc w:val="left"/>
      </w:pPr>
      <w:r>
        <w:rPr/>
        <w:t>提交股东大会审议，并经出席股东大会的股东所持表决权的</w:t>
      </w:r>
      <w:r>
        <w:rPr>
          <w:spacing w:val="-60"/>
        </w:rPr>
        <w:t> </w:t>
      </w:r>
      <w:r>
        <w:rPr>
          <w:rFonts w:ascii="宋体" w:hAnsi="宋体" w:cs="宋体" w:eastAsia="宋体" w:hint="default"/>
        </w:rPr>
        <w:t>2/3</w:t>
      </w:r>
      <w:r>
        <w:rPr>
          <w:rFonts w:ascii="宋体" w:hAnsi="宋体" w:cs="宋体" w:eastAsia="宋体" w:hint="default"/>
          <w:spacing w:val="-60"/>
        </w:rPr>
        <w:t> </w:t>
      </w:r>
      <w:r>
        <w:rPr/>
        <w:t>以上通过。</w:t>
      </w:r>
    </w:p>
    <w:p>
      <w:pPr>
        <w:pStyle w:val="Heading3"/>
        <w:spacing w:line="388" w:lineRule="auto" w:before="194"/>
        <w:ind w:left="560" w:right="446"/>
        <w:jc w:val="left"/>
      </w:pPr>
      <w:r>
        <w:rPr>
          <w:rFonts w:ascii="宋体" w:hAnsi="宋体" w:cs="宋体" w:eastAsia="宋体" w:hint="default"/>
        </w:rPr>
        <w:t>2</w:t>
      </w:r>
      <w:r>
        <w:rPr/>
        <w:t>、公司</w:t>
      </w:r>
      <w:r>
        <w:rPr>
          <w:spacing w:val="-60"/>
        </w:rPr>
        <w:t> </w:t>
      </w:r>
      <w:r>
        <w:rPr>
          <w:rFonts w:ascii="宋体" w:hAnsi="宋体" w:cs="宋体" w:eastAsia="宋体" w:hint="default"/>
        </w:rPr>
        <w:t>2012</w:t>
      </w:r>
      <w:r>
        <w:rPr>
          <w:rFonts w:ascii="宋体" w:hAnsi="宋体" w:cs="宋体" w:eastAsia="宋体" w:hint="default"/>
          <w:spacing w:val="-60"/>
        </w:rPr>
        <w:t> </w:t>
      </w:r>
      <w:r>
        <w:rPr/>
        <w:t>年度利润分配方案 经安永华明会计师事务所（特殊普通合伙）审计确认，</w:t>
      </w:r>
      <w:r>
        <w:rPr>
          <w:rFonts w:ascii="宋体" w:hAnsi="宋体" w:cs="宋体" w:eastAsia="宋体" w:hint="default"/>
        </w:rPr>
        <w:t>2012</w:t>
      </w:r>
      <w:r>
        <w:rPr>
          <w:rFonts w:ascii="宋体" w:hAnsi="宋体" w:cs="宋体" w:eastAsia="宋体" w:hint="default"/>
          <w:spacing w:val="-60"/>
        </w:rPr>
        <w:t> </w:t>
      </w:r>
      <w:r>
        <w:rPr/>
        <w:t>年度公司实现净利润</w:t>
      </w:r>
    </w:p>
    <w:p>
      <w:pPr>
        <w:pStyle w:val="Heading3"/>
        <w:spacing w:line="240" w:lineRule="exact" w:before="0"/>
        <w:ind w:right="0"/>
        <w:jc w:val="left"/>
      </w:pPr>
      <w:r>
        <w:rPr>
          <w:rFonts w:ascii="宋体" w:hAnsi="宋体" w:cs="宋体" w:eastAsia="宋体" w:hint="default"/>
        </w:rPr>
        <w:t>426,571,801</w:t>
      </w:r>
      <w:r>
        <w:rPr>
          <w:rFonts w:ascii="宋体" w:hAnsi="宋体" w:cs="宋体" w:eastAsia="宋体" w:hint="default"/>
          <w:spacing w:val="-60"/>
        </w:rPr>
        <w:t> </w:t>
      </w:r>
      <w:r>
        <w:rPr/>
        <w:t>元。公司以</w:t>
      </w:r>
      <w:r>
        <w:rPr>
          <w:spacing w:val="-60"/>
        </w:rPr>
        <w:t> </w:t>
      </w:r>
      <w:r>
        <w:rPr>
          <w:rFonts w:ascii="宋体" w:hAnsi="宋体" w:cs="宋体" w:eastAsia="宋体" w:hint="default"/>
        </w:rPr>
        <w:t>2012</w:t>
      </w:r>
      <w:r>
        <w:rPr>
          <w:rFonts w:ascii="宋体" w:hAnsi="宋体" w:cs="宋体" w:eastAsia="宋体" w:hint="default"/>
          <w:spacing w:val="-60"/>
        </w:rPr>
        <w:t> </w:t>
      </w:r>
      <w:r>
        <w:rPr/>
        <w:t>年度净利润</w:t>
      </w:r>
      <w:r>
        <w:rPr>
          <w:spacing w:val="-60"/>
        </w:rPr>
        <w:t> </w:t>
      </w:r>
      <w:r>
        <w:rPr>
          <w:rFonts w:ascii="宋体" w:hAnsi="宋体" w:cs="宋体" w:eastAsia="宋体" w:hint="default"/>
        </w:rPr>
        <w:t>426,571,801 </w:t>
      </w:r>
      <w:r>
        <w:rPr/>
        <w:t>元为基数，提取</w:t>
      </w:r>
      <w:r>
        <w:rPr>
          <w:spacing w:val="-60"/>
        </w:rPr>
        <w:t> </w:t>
      </w:r>
      <w:r>
        <w:rPr>
          <w:rFonts w:ascii="宋体" w:hAnsi="宋体" w:cs="宋体" w:eastAsia="宋体" w:hint="default"/>
        </w:rPr>
        <w:t>10%</w:t>
      </w:r>
      <w:r>
        <w:rPr/>
        <w:t>的法定盈余</w:t>
      </w:r>
    </w:p>
    <w:p>
      <w:pPr>
        <w:pStyle w:val="Heading3"/>
        <w:spacing w:line="240" w:lineRule="auto" w:before="74"/>
        <w:ind w:right="0"/>
        <w:jc w:val="left"/>
      </w:pPr>
      <w:r>
        <w:rPr/>
        <w:t>公积金</w:t>
      </w:r>
      <w:r>
        <w:rPr>
          <w:spacing w:val="-60"/>
        </w:rPr>
        <w:t> </w:t>
      </w:r>
      <w:r>
        <w:rPr>
          <w:rFonts w:ascii="宋体" w:hAnsi="宋体" w:cs="宋体" w:eastAsia="宋体" w:hint="default"/>
        </w:rPr>
        <w:t>42,657,180</w:t>
      </w:r>
      <w:r>
        <w:rPr>
          <w:rFonts w:ascii="宋体" w:hAnsi="宋体" w:cs="宋体" w:eastAsia="宋体" w:hint="default"/>
          <w:spacing w:val="-58"/>
        </w:rPr>
        <w:t> </w:t>
      </w:r>
      <w:r>
        <w:rPr/>
        <w:t>元，提取</w:t>
      </w:r>
      <w:r>
        <w:rPr>
          <w:spacing w:val="-60"/>
        </w:rPr>
        <w:t> </w:t>
      </w:r>
      <w:r>
        <w:rPr>
          <w:rFonts w:ascii="宋体" w:hAnsi="宋体" w:cs="宋体" w:eastAsia="宋体" w:hint="default"/>
        </w:rPr>
        <w:t>5%</w:t>
      </w:r>
      <w:r>
        <w:rPr/>
        <w:t>任意盈余公积金</w:t>
      </w:r>
      <w:r>
        <w:rPr>
          <w:spacing w:val="-60"/>
        </w:rPr>
        <w:t> </w:t>
      </w:r>
      <w:r>
        <w:rPr>
          <w:rFonts w:ascii="宋体" w:hAnsi="宋体" w:cs="宋体" w:eastAsia="宋体" w:hint="default"/>
        </w:rPr>
        <w:t>21,328,590</w:t>
      </w:r>
      <w:r>
        <w:rPr>
          <w:rFonts w:ascii="宋体" w:hAnsi="宋体" w:cs="宋体" w:eastAsia="宋体" w:hint="default"/>
          <w:spacing w:val="-58"/>
        </w:rPr>
        <w:t> </w:t>
      </w:r>
      <w:r>
        <w:rPr/>
        <w:t>元，加往年累积的未分配利</w:t>
      </w:r>
    </w:p>
    <w:p>
      <w:pPr>
        <w:pStyle w:val="Heading3"/>
        <w:spacing w:line="240" w:lineRule="auto" w:before="74"/>
        <w:ind w:right="0"/>
        <w:jc w:val="left"/>
      </w:pPr>
      <w:r>
        <w:rPr/>
        <w:t>润</w:t>
      </w:r>
      <w:r>
        <w:rPr>
          <w:spacing w:val="-64"/>
        </w:rPr>
        <w:t> </w:t>
      </w:r>
      <w:r>
        <w:rPr>
          <w:rFonts w:ascii="宋体" w:hAnsi="宋体" w:cs="宋体" w:eastAsia="宋体" w:hint="default"/>
        </w:rPr>
        <w:t>608,244,632</w:t>
      </w:r>
      <w:r>
        <w:rPr>
          <w:rFonts w:ascii="宋体" w:hAnsi="宋体" w:cs="宋体" w:eastAsia="宋体" w:hint="default"/>
          <w:spacing w:val="-64"/>
        </w:rPr>
        <w:t> </w:t>
      </w:r>
      <w:r>
        <w:rPr/>
        <w:t>元，本次实际可供分配的利润为</w:t>
      </w:r>
      <w:r>
        <w:rPr>
          <w:spacing w:val="-64"/>
        </w:rPr>
        <w:t> </w:t>
      </w:r>
      <w:r>
        <w:rPr>
          <w:rFonts w:ascii="宋体" w:hAnsi="宋体" w:cs="宋体" w:eastAsia="宋体" w:hint="default"/>
        </w:rPr>
        <w:t>970,830,663</w:t>
      </w:r>
      <w:r>
        <w:rPr>
          <w:rFonts w:ascii="宋体" w:hAnsi="宋体" w:cs="宋体" w:eastAsia="宋体" w:hint="default"/>
          <w:spacing w:val="-64"/>
        </w:rPr>
        <w:t> </w:t>
      </w:r>
      <w:r>
        <w:rPr>
          <w:spacing w:val="-6"/>
        </w:rPr>
        <w:t>元；公司以</w:t>
      </w:r>
      <w:r>
        <w:rPr>
          <w:spacing w:val="-64"/>
        </w:rPr>
        <w:t> </w:t>
      </w:r>
      <w:r>
        <w:rPr>
          <w:rFonts w:ascii="宋体" w:hAnsi="宋体" w:cs="宋体" w:eastAsia="宋体" w:hint="default"/>
        </w:rPr>
        <w:t>2012</w:t>
      </w:r>
      <w:r>
        <w:rPr>
          <w:rFonts w:ascii="宋体" w:hAnsi="宋体" w:cs="宋体" w:eastAsia="宋体" w:hint="default"/>
          <w:spacing w:val="-64"/>
        </w:rPr>
        <w:t> </w:t>
      </w:r>
      <w:r>
        <w:rPr/>
        <w:t>年末总股</w:t>
      </w:r>
    </w:p>
    <w:p>
      <w:pPr>
        <w:pStyle w:val="Heading3"/>
        <w:spacing w:line="240" w:lineRule="auto" w:before="74"/>
        <w:ind w:right="0"/>
        <w:jc w:val="left"/>
      </w:pPr>
      <w:r>
        <w:rPr/>
        <w:t>本</w:t>
      </w:r>
      <w:r>
        <w:rPr>
          <w:spacing w:val="-60"/>
        </w:rPr>
        <w:t> </w:t>
      </w:r>
      <w:r>
        <w:rPr>
          <w:rFonts w:ascii="宋体" w:hAnsi="宋体" w:cs="宋体" w:eastAsia="宋体" w:hint="default"/>
        </w:rPr>
        <w:t>979,084,040</w:t>
      </w:r>
      <w:r>
        <w:rPr>
          <w:rFonts w:ascii="宋体" w:hAnsi="宋体" w:cs="宋体" w:eastAsia="宋体" w:hint="default"/>
          <w:spacing w:val="-60"/>
        </w:rPr>
        <w:t> </w:t>
      </w:r>
      <w:r>
        <w:rPr/>
        <w:t>股扣除已于</w:t>
      </w:r>
      <w:r>
        <w:rPr>
          <w:spacing w:val="-60"/>
        </w:rPr>
        <w:t> </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11</w:t>
      </w:r>
      <w:r>
        <w:rPr>
          <w:rFonts w:ascii="宋体" w:hAnsi="宋体" w:cs="宋体" w:eastAsia="宋体" w:hint="default"/>
          <w:spacing w:val="-60"/>
        </w:rPr>
        <w:t> </w:t>
      </w:r>
      <w:r>
        <w:rPr/>
        <w:t>日注销的回购股份</w:t>
      </w:r>
      <w:r>
        <w:rPr>
          <w:spacing w:val="-60"/>
        </w:rPr>
        <w:t> </w:t>
      </w:r>
      <w:r>
        <w:rPr>
          <w:rFonts w:ascii="宋体" w:hAnsi="宋体" w:cs="宋体" w:eastAsia="宋体" w:hint="default"/>
        </w:rPr>
        <w:t>19,837,802</w:t>
      </w:r>
      <w:r>
        <w:rPr>
          <w:rFonts w:ascii="宋体" w:hAnsi="宋体" w:cs="宋体" w:eastAsia="宋体" w:hint="default"/>
          <w:spacing w:val="-60"/>
        </w:rPr>
        <w:t> </w:t>
      </w:r>
      <w:r>
        <w:rPr/>
        <w:t>股后的</w:t>
      </w:r>
    </w:p>
    <w:p>
      <w:pPr>
        <w:pStyle w:val="Heading3"/>
        <w:spacing w:line="240" w:lineRule="auto" w:before="77"/>
        <w:ind w:right="0"/>
        <w:jc w:val="left"/>
      </w:pPr>
      <w:r>
        <w:rPr>
          <w:rFonts w:ascii="宋体" w:hAnsi="宋体" w:cs="宋体" w:eastAsia="宋体" w:hint="default"/>
        </w:rPr>
        <w:t>959,246,238</w:t>
      </w:r>
      <w:r>
        <w:rPr>
          <w:rFonts w:ascii="宋体" w:hAnsi="宋体" w:cs="宋体" w:eastAsia="宋体" w:hint="default"/>
          <w:spacing w:val="-60"/>
        </w:rPr>
        <w:t> </w:t>
      </w:r>
      <w:r>
        <w:rPr/>
        <w:t>股为基数</w:t>
      </w:r>
      <w:r>
        <w:rPr>
          <w:rFonts w:ascii="宋体" w:hAnsi="宋体" w:cs="宋体" w:eastAsia="宋体" w:hint="default"/>
        </w:rPr>
        <w:t>,</w:t>
      </w:r>
      <w:r>
        <w:rPr/>
        <w:t>拟向全体股东每</w:t>
      </w:r>
      <w:r>
        <w:rPr>
          <w:spacing w:val="-60"/>
        </w:rPr>
        <w:t> </w:t>
      </w:r>
      <w:r>
        <w:rPr>
          <w:rFonts w:ascii="宋体" w:hAnsi="宋体" w:cs="宋体" w:eastAsia="宋体" w:hint="default"/>
        </w:rPr>
        <w:t>10</w:t>
      </w:r>
      <w:r>
        <w:rPr>
          <w:rFonts w:ascii="宋体" w:hAnsi="宋体" w:cs="宋体" w:eastAsia="宋体" w:hint="default"/>
          <w:spacing w:val="-60"/>
        </w:rPr>
        <w:t> </w:t>
      </w:r>
      <w:r>
        <w:rPr/>
        <w:t>股派发现金股利</w:t>
      </w:r>
      <w:r>
        <w:rPr>
          <w:spacing w:val="-60"/>
        </w:rPr>
        <w:t> </w:t>
      </w:r>
      <w:r>
        <w:rPr>
          <w:rFonts w:ascii="宋体" w:hAnsi="宋体" w:cs="宋体" w:eastAsia="宋体" w:hint="default"/>
        </w:rPr>
        <w:t>2</w:t>
      </w:r>
      <w:r>
        <w:rPr>
          <w:rFonts w:ascii="宋体" w:hAnsi="宋体" w:cs="宋体" w:eastAsia="宋体" w:hint="default"/>
          <w:spacing w:val="-60"/>
        </w:rPr>
        <w:t> </w:t>
      </w:r>
      <w:r>
        <w:rPr/>
        <w:t>元</w:t>
      </w:r>
      <w:r>
        <w:rPr>
          <w:rFonts w:ascii="宋体" w:hAnsi="宋体" w:cs="宋体" w:eastAsia="宋体" w:hint="default"/>
        </w:rPr>
        <w:t>(</w:t>
      </w:r>
      <w:r>
        <w:rPr/>
        <w:t>含税</w:t>
      </w:r>
      <w:r>
        <w:rPr>
          <w:rFonts w:ascii="宋体" w:hAnsi="宋体" w:cs="宋体" w:eastAsia="宋体" w:hint="default"/>
        </w:rPr>
        <w:t>),</w:t>
      </w:r>
      <w:r>
        <w:rPr/>
        <w:t>共计派发现金股</w:t>
      </w:r>
    </w:p>
    <w:p>
      <w:pPr>
        <w:pStyle w:val="Heading3"/>
        <w:spacing w:line="240" w:lineRule="auto" w:before="74"/>
        <w:ind w:right="0"/>
        <w:jc w:val="left"/>
      </w:pPr>
      <w:r>
        <w:rPr/>
        <w:t>利</w:t>
      </w:r>
      <w:r>
        <w:rPr>
          <w:spacing w:val="-60"/>
        </w:rPr>
        <w:t> </w:t>
      </w:r>
      <w:r>
        <w:rPr>
          <w:rFonts w:ascii="宋体" w:hAnsi="宋体" w:cs="宋体" w:eastAsia="宋体" w:hint="default"/>
        </w:rPr>
        <w:t>191,849,248</w:t>
      </w:r>
      <w:r>
        <w:rPr>
          <w:rFonts w:ascii="宋体" w:hAnsi="宋体" w:cs="宋体" w:eastAsia="宋体" w:hint="default"/>
          <w:spacing w:val="-60"/>
        </w:rPr>
        <w:t> </w:t>
      </w:r>
      <w:r>
        <w:rPr/>
        <w:t>元。</w:t>
      </w:r>
    </w:p>
    <w:p>
      <w:pPr>
        <w:pStyle w:val="Heading2"/>
        <w:spacing w:line="297" w:lineRule="auto" w:before="194"/>
        <w:ind w:right="0" w:firstLine="482"/>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r>
      <w:r>
        <w:rPr>
          <w:rFonts w:ascii="宋体" w:hAnsi="宋体" w:cs="宋体" w:eastAsia="宋体" w:hint="default"/>
          <w:spacing w:val="77"/>
          <w:w w:val="95"/>
        </w:rPr>
        <w:t> </w:t>
      </w:r>
      <w:r>
        <w:rPr>
          <w:w w:val="95"/>
        </w:rPr>
        <w:t>报告期内盈利且母公司未分配利润为正，但未提出现金红利分配预案的，公司</w:t>
      </w:r>
      <w:r>
        <w:rPr>
          <w:w w:val="99"/>
        </w:rPr>
        <w:t> </w:t>
      </w:r>
      <w:r>
        <w:rPr/>
        <w:t>应当详细披露原因以及未分配利润的用途和使用计划</w:t>
      </w:r>
      <w:r>
        <w:rPr>
          <w:b w:val="0"/>
          <w:bCs w:val="0"/>
        </w:rPr>
      </w:r>
    </w:p>
    <w:p>
      <w:pPr>
        <w:pStyle w:val="Heading3"/>
        <w:tabs>
          <w:tab w:pos="1098" w:val="left" w:leader="none"/>
        </w:tabs>
        <w:spacing w:line="240" w:lineRule="auto"/>
        <w:ind w:left="618" w:right="0"/>
        <w:jc w:val="left"/>
      </w:pPr>
      <w:r>
        <w:rPr/>
        <w:t>√</w:t>
        <w:tab/>
        <w:t>不适用</w:t>
      </w:r>
    </w:p>
    <w:p>
      <w:pPr>
        <w:pStyle w:val="Heading2"/>
        <w:spacing w:line="297" w:lineRule="auto" w:before="194"/>
        <w:ind w:right="150" w:firstLine="482"/>
        <w:jc w:val="left"/>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spacing w:val="-3"/>
        </w:rPr>
        <w:t>公司近三年（含报告期）的利润分配方案或预案、资本公积金转增股本方案或</w:t>
      </w:r>
      <w:r>
        <w:rPr>
          <w:w w:val="99"/>
        </w:rPr>
        <w:t> </w:t>
      </w:r>
      <w:r>
        <w:rPr/>
        <w:t>预案</w:t>
      </w:r>
      <w:r>
        <w:rPr>
          <w:b w:val="0"/>
          <w:bCs w:val="0"/>
        </w:rPr>
      </w:r>
    </w:p>
    <w:p>
      <w:pPr>
        <w:pStyle w:val="Heading5"/>
        <w:spacing w:line="240" w:lineRule="auto" w:before="141"/>
        <w:ind w:right="158"/>
        <w:jc w:val="right"/>
      </w:pPr>
      <w:r>
        <w:rPr/>
        <w:t>单位：元</w:t>
      </w:r>
      <w:r>
        <w:rPr>
          <w:spacing w:val="1"/>
        </w:rPr>
        <w:t> </w:t>
      </w:r>
      <w:r>
        <w:rPr/>
        <w:t>币种：人民币</w:t>
      </w:r>
    </w:p>
    <w:p>
      <w:pPr>
        <w:spacing w:line="240" w:lineRule="auto" w:before="11"/>
        <w:rPr>
          <w:rFonts w:ascii="宋体" w:hAnsi="宋体" w:cs="宋体" w:eastAsia="宋体" w:hint="default"/>
          <w:sz w:val="16"/>
          <w:szCs w:val="16"/>
        </w:rPr>
      </w:pPr>
    </w:p>
    <w:tbl>
      <w:tblPr>
        <w:tblW w:w="0" w:type="auto"/>
        <w:jc w:val="left"/>
        <w:tblInd w:w="123" w:type="dxa"/>
        <w:tblLayout w:type="fixed"/>
        <w:tblCellMar>
          <w:top w:w="0" w:type="dxa"/>
          <w:left w:w="0" w:type="dxa"/>
          <w:bottom w:w="0" w:type="dxa"/>
          <w:right w:w="0" w:type="dxa"/>
        </w:tblCellMar>
        <w:tblLook w:val="01E0"/>
      </w:tblPr>
      <w:tblGrid>
        <w:gridCol w:w="1078"/>
        <w:gridCol w:w="1085"/>
        <w:gridCol w:w="1082"/>
        <w:gridCol w:w="1082"/>
        <w:gridCol w:w="1637"/>
        <w:gridCol w:w="1987"/>
        <w:gridCol w:w="1272"/>
      </w:tblGrid>
      <w:tr>
        <w:trPr>
          <w:trHeight w:val="2016" w:hRule="exact"/>
        </w:trPr>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125"/>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送红股数</w:t>
            </w:r>
          </w:p>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62"/>
              <w:ind w:left="98" w:right="127"/>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派息数</w:t>
            </w:r>
            <w:r>
              <w:rPr>
                <w:rFonts w:ascii="宋体" w:hAnsi="宋体" w:cs="宋体" w:eastAsia="宋体" w:hint="default"/>
                <w:spacing w:val="-102"/>
                <w:sz w:val="21"/>
                <w:szCs w:val="21"/>
              </w:rPr>
              <w:t> </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（含</w:t>
            </w:r>
            <w:r>
              <w:rPr>
                <w:rFonts w:ascii="宋体" w:hAnsi="宋体" w:cs="宋体" w:eastAsia="宋体" w:hint="default"/>
                <w:spacing w:val="-3"/>
                <w:w w:val="100"/>
                <w:sz w:val="21"/>
                <w:szCs w:val="21"/>
              </w:rPr>
              <w:t> </w:t>
            </w:r>
            <w:r>
              <w:rPr>
                <w:rFonts w:ascii="宋体" w:hAnsi="宋体" w:cs="宋体" w:eastAsia="宋体" w:hint="default"/>
                <w:sz w:val="21"/>
                <w:szCs w:val="21"/>
              </w:rPr>
              <w:t>税）</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228"/>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转增数</w:t>
            </w:r>
          </w:p>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72" w:lineRule="exact"/>
              <w:ind w:left="100" w:right="256"/>
              <w:jc w:val="left"/>
              <w:rPr>
                <w:rFonts w:ascii="宋体" w:hAnsi="宋体" w:cs="宋体" w:eastAsia="宋体" w:hint="default"/>
                <w:sz w:val="21"/>
                <w:szCs w:val="21"/>
              </w:rPr>
            </w:pPr>
            <w:r>
              <w:rPr>
                <w:rFonts w:ascii="宋体" w:hAnsi="宋体" w:cs="宋体" w:eastAsia="宋体" w:hint="default"/>
                <w:sz w:val="21"/>
                <w:szCs w:val="21"/>
              </w:rPr>
              <w:t>现金分红的数</w:t>
            </w:r>
            <w:r>
              <w:rPr>
                <w:rFonts w:ascii="宋体" w:hAnsi="宋体" w:cs="宋体" w:eastAsia="宋体" w:hint="default"/>
                <w:w w:val="100"/>
                <w:sz w:val="21"/>
                <w:szCs w:val="21"/>
              </w:rPr>
              <w:t> </w:t>
            </w:r>
            <w:r>
              <w:rPr>
                <w:rFonts w:ascii="宋体" w:hAnsi="宋体" w:cs="宋体" w:eastAsia="宋体" w:hint="default"/>
                <w:sz w:val="21"/>
                <w:szCs w:val="21"/>
              </w:rPr>
              <w:t>额（含税）</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37" w:lineRule="auto"/>
              <w:ind w:left="100" w:right="187"/>
              <w:jc w:val="both"/>
              <w:rPr>
                <w:rFonts w:ascii="宋体" w:hAnsi="宋体" w:cs="宋体" w:eastAsia="宋体" w:hint="default"/>
                <w:sz w:val="21"/>
                <w:szCs w:val="21"/>
              </w:rPr>
            </w:pPr>
            <w:r>
              <w:rPr>
                <w:rFonts w:ascii="宋体" w:hAnsi="宋体" w:cs="宋体" w:eastAsia="宋体" w:hint="default"/>
                <w:sz w:val="21"/>
                <w:szCs w:val="21"/>
              </w:rPr>
              <w:t>分红年度合并报表</w:t>
            </w:r>
            <w:r>
              <w:rPr>
                <w:rFonts w:ascii="宋体" w:hAnsi="宋体" w:cs="宋体" w:eastAsia="宋体" w:hint="default"/>
                <w:w w:val="100"/>
                <w:sz w:val="21"/>
                <w:szCs w:val="21"/>
              </w:rPr>
              <w:t> </w:t>
            </w:r>
            <w:r>
              <w:rPr>
                <w:rFonts w:ascii="宋体" w:hAnsi="宋体" w:cs="宋体" w:eastAsia="宋体" w:hint="default"/>
                <w:sz w:val="21"/>
                <w:szCs w:val="21"/>
              </w:rPr>
              <w:t>中归属于上市公司</w:t>
            </w:r>
            <w:r>
              <w:rPr>
                <w:rFonts w:ascii="宋体" w:hAnsi="宋体" w:cs="宋体" w:eastAsia="宋体" w:hint="default"/>
                <w:w w:val="100"/>
                <w:sz w:val="21"/>
                <w:szCs w:val="21"/>
              </w:rPr>
              <w:t> </w:t>
            </w:r>
            <w:r>
              <w:rPr>
                <w:rFonts w:ascii="宋体" w:hAnsi="宋体" w:cs="宋体" w:eastAsia="宋体" w:hint="default"/>
                <w:sz w:val="21"/>
                <w:szCs w:val="21"/>
              </w:rPr>
              <w:t>股东的净利润</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37" w:lineRule="auto"/>
              <w:ind w:left="98" w:right="103"/>
              <w:jc w:val="both"/>
              <w:rPr>
                <w:rFonts w:ascii="宋体" w:hAnsi="宋体" w:cs="宋体" w:eastAsia="宋体" w:hint="default"/>
                <w:sz w:val="21"/>
                <w:szCs w:val="21"/>
              </w:rPr>
            </w:pPr>
            <w:r>
              <w:rPr>
                <w:rFonts w:ascii="宋体" w:hAnsi="宋体" w:cs="宋体" w:eastAsia="宋体" w:hint="default"/>
                <w:sz w:val="21"/>
                <w:szCs w:val="21"/>
              </w:rPr>
              <w:t>占合并报表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中归属于上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市公司股东</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的净利润的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比率</w:t>
            </w:r>
            <w:r>
              <w:rPr>
                <w:rFonts w:ascii="宋体" w:hAnsi="宋体" w:cs="宋体" w:eastAsia="宋体" w:hint="default"/>
                <w:sz w:val="21"/>
                <w:szCs w:val="21"/>
              </w:rPr>
              <w:t>(%)</w:t>
            </w:r>
          </w:p>
        </w:tc>
      </w:tr>
      <w:tr>
        <w:trPr>
          <w:trHeight w:val="466" w:hRule="exact"/>
        </w:trPr>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left="4"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085"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w w:val="100"/>
                <w:sz w:val="21"/>
              </w:rPr>
              <w:t>2</w:t>
            </w:r>
          </w:p>
        </w:tc>
        <w:tc>
          <w:tcPr>
            <w:tcW w:w="1082"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6"/>
              <w:jc w:val="right"/>
              <w:rPr>
                <w:rFonts w:ascii="宋体" w:hAnsi="宋体" w:cs="宋体" w:eastAsia="宋体" w:hint="default"/>
                <w:sz w:val="21"/>
                <w:szCs w:val="21"/>
              </w:rPr>
            </w:pPr>
            <w:r>
              <w:rPr>
                <w:rFonts w:ascii="宋体"/>
                <w:spacing w:val="-1"/>
                <w:sz w:val="21"/>
              </w:rPr>
              <w:t>191,849,248</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96"/>
              <w:jc w:val="right"/>
              <w:rPr>
                <w:rFonts w:ascii="宋体" w:hAnsi="宋体" w:cs="宋体" w:eastAsia="宋体" w:hint="default"/>
                <w:sz w:val="21"/>
                <w:szCs w:val="21"/>
              </w:rPr>
            </w:pPr>
            <w:r>
              <w:rPr>
                <w:rFonts w:ascii="宋体"/>
                <w:spacing w:val="-1"/>
                <w:sz w:val="21"/>
              </w:rPr>
              <w:t>379,601,971</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4"/>
              <w:ind w:right="101"/>
              <w:jc w:val="right"/>
              <w:rPr>
                <w:rFonts w:ascii="宋体" w:hAnsi="宋体" w:cs="宋体" w:eastAsia="宋体" w:hint="default"/>
                <w:sz w:val="21"/>
                <w:szCs w:val="21"/>
              </w:rPr>
            </w:pPr>
            <w:r>
              <w:rPr>
                <w:rFonts w:ascii="宋体"/>
                <w:sz w:val="21"/>
              </w:rPr>
              <w:t>51</w:t>
            </w:r>
          </w:p>
        </w:tc>
      </w:tr>
      <w:tr>
        <w:trPr>
          <w:trHeight w:val="418" w:hRule="exact"/>
        </w:trPr>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085"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w w:val="100"/>
                <w:sz w:val="21"/>
              </w:rPr>
              <w:t>4</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8"/>
              <w:jc w:val="right"/>
              <w:rPr>
                <w:rFonts w:ascii="宋体" w:hAnsi="宋体" w:cs="宋体" w:eastAsia="宋体" w:hint="default"/>
                <w:sz w:val="21"/>
                <w:szCs w:val="21"/>
              </w:rPr>
            </w:pPr>
            <w:r>
              <w:rPr>
                <w:rFonts w:ascii="宋体"/>
                <w:w w:val="100"/>
                <w:sz w:val="21"/>
              </w:rPr>
              <w:t>2</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宋体" w:hAnsi="宋体" w:cs="宋体" w:eastAsia="宋体" w:hint="default"/>
                <w:sz w:val="21"/>
                <w:szCs w:val="21"/>
              </w:rPr>
            </w:pPr>
            <w:r>
              <w:rPr>
                <w:rFonts w:ascii="宋体"/>
                <w:spacing w:val="-1"/>
                <w:sz w:val="21"/>
              </w:rPr>
              <w:t>326,361,347</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96"/>
              <w:jc w:val="right"/>
              <w:rPr>
                <w:rFonts w:ascii="宋体" w:hAnsi="宋体" w:cs="宋体" w:eastAsia="宋体" w:hint="default"/>
                <w:sz w:val="21"/>
                <w:szCs w:val="21"/>
              </w:rPr>
            </w:pPr>
            <w:r>
              <w:rPr>
                <w:rFonts w:ascii="宋体"/>
                <w:spacing w:val="-1"/>
                <w:sz w:val="21"/>
              </w:rPr>
              <w:t>536,784,549</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101"/>
              <w:jc w:val="right"/>
              <w:rPr>
                <w:rFonts w:ascii="宋体" w:hAnsi="宋体" w:cs="宋体" w:eastAsia="宋体" w:hint="default"/>
                <w:sz w:val="21"/>
                <w:szCs w:val="21"/>
              </w:rPr>
            </w:pPr>
            <w:r>
              <w:rPr>
                <w:rFonts w:ascii="宋体"/>
                <w:sz w:val="21"/>
              </w:rPr>
              <w:t>61</w:t>
            </w:r>
          </w:p>
        </w:tc>
      </w:tr>
      <w:tr>
        <w:trPr>
          <w:trHeight w:val="427" w:hRule="exact"/>
        </w:trPr>
        <w:tc>
          <w:tcPr>
            <w:tcW w:w="1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1085" w:type="dxa"/>
            <w:tcBorders>
              <w:top w:val="single" w:sz="6" w:space="0" w:color="000000"/>
              <w:left w:val="single" w:sz="6" w:space="0" w:color="000000"/>
              <w:bottom w:val="single" w:sz="6" w:space="0" w:color="000000"/>
              <w:right w:val="single" w:sz="6" w:space="0" w:color="000000"/>
            </w:tcBorders>
          </w:tcPr>
          <w:p>
            <w:pP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宋体" w:hAnsi="宋体" w:cs="宋体" w:eastAsia="宋体" w:hint="default"/>
                <w:sz w:val="21"/>
                <w:szCs w:val="21"/>
              </w:rPr>
            </w:pPr>
            <w:r>
              <w:rPr>
                <w:rFonts w:ascii="宋体"/>
                <w:sz w:val="21"/>
              </w:rPr>
              <w:t>2.2</w:t>
            </w:r>
          </w:p>
        </w:tc>
        <w:tc>
          <w:tcPr>
            <w:tcW w:w="1082" w:type="dxa"/>
            <w:tcBorders>
              <w:top w:val="single" w:sz="6" w:space="0" w:color="000000"/>
              <w:left w:val="single" w:sz="6" w:space="0" w:color="000000"/>
              <w:bottom w:val="single" w:sz="6" w:space="0" w:color="000000"/>
              <w:right w:val="single" w:sz="6" w:space="0" w:color="000000"/>
            </w:tcBorders>
          </w:tcPr>
          <w:p>
            <w:pP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宋体" w:hAnsi="宋体" w:cs="宋体" w:eastAsia="宋体" w:hint="default"/>
                <w:sz w:val="21"/>
                <w:szCs w:val="21"/>
              </w:rPr>
            </w:pPr>
            <w:r>
              <w:rPr>
                <w:rFonts w:ascii="宋体"/>
                <w:spacing w:val="-1"/>
                <w:sz w:val="21"/>
              </w:rPr>
              <w:t>179,526,780</w:t>
            </w:r>
          </w:p>
        </w:tc>
        <w:tc>
          <w:tcPr>
            <w:tcW w:w="19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宋体" w:hAnsi="宋体" w:cs="宋体" w:eastAsia="宋体" w:hint="default"/>
                <w:sz w:val="21"/>
                <w:szCs w:val="21"/>
              </w:rPr>
            </w:pPr>
            <w:r>
              <w:rPr>
                <w:rFonts w:ascii="宋体"/>
                <w:spacing w:val="-1"/>
                <w:sz w:val="21"/>
              </w:rPr>
              <w:t>332,031,113</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01"/>
              <w:jc w:val="right"/>
              <w:rPr>
                <w:rFonts w:ascii="宋体" w:hAnsi="宋体" w:cs="宋体" w:eastAsia="宋体" w:hint="default"/>
                <w:sz w:val="22"/>
                <w:szCs w:val="22"/>
              </w:rPr>
            </w:pPr>
            <w:r>
              <w:rPr>
                <w:rFonts w:ascii="宋体"/>
                <w:sz w:val="22"/>
              </w:rPr>
              <w:t>54</w:t>
            </w:r>
          </w:p>
        </w:tc>
      </w:tr>
    </w:tbl>
    <w:p>
      <w:pPr>
        <w:pStyle w:val="Heading2"/>
        <w:spacing w:line="240" w:lineRule="auto" w:before="82"/>
        <w:ind w:right="0"/>
        <w:jc w:val="left"/>
        <w:rPr>
          <w:b w:val="0"/>
          <w:bCs w:val="0"/>
        </w:rPr>
      </w:pPr>
      <w:r>
        <w:rPr/>
        <w:t>四、积极履行社会责任的工作情况</w:t>
      </w:r>
      <w:r>
        <w:rPr>
          <w:b w:val="0"/>
          <w:bCs w:val="0"/>
        </w:rPr>
      </w:r>
    </w:p>
    <w:p>
      <w:pPr>
        <w:pStyle w:val="Heading2"/>
        <w:spacing w:line="240" w:lineRule="auto" w:before="194"/>
        <w:ind w:left="563" w:right="0"/>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社会责任工作情况</w:t>
      </w:r>
      <w:r>
        <w:rPr>
          <w:b w:val="0"/>
          <w:bCs w:val="0"/>
        </w:rPr>
      </w:r>
    </w:p>
    <w:p>
      <w:pPr>
        <w:spacing w:after="0" w:line="240" w:lineRule="auto"/>
        <w:jc w:val="left"/>
        <w:sectPr>
          <w:pgSz w:w="11910" w:h="16850"/>
          <w:pgMar w:header="752" w:footer="730" w:top="1020" w:bottom="920" w:left="1280" w:right="1140"/>
        </w:sectPr>
      </w:pPr>
    </w:p>
    <w:p>
      <w:pPr>
        <w:spacing w:line="240" w:lineRule="auto" w:before="9"/>
        <w:rPr>
          <w:rFonts w:ascii="宋体" w:hAnsi="宋体" w:cs="宋体" w:eastAsia="宋体" w:hint="default"/>
          <w:b/>
          <w:bCs/>
          <w:sz w:val="26"/>
          <w:szCs w:val="26"/>
        </w:rPr>
      </w:pPr>
    </w:p>
    <w:p>
      <w:pPr>
        <w:pStyle w:val="Heading3"/>
        <w:spacing w:line="297" w:lineRule="auto" w:before="26"/>
        <w:ind w:right="1268" w:firstLine="480"/>
        <w:jc w:val="left"/>
      </w:pPr>
      <w:r>
        <w:rPr/>
        <w:t>公司披露了《用友软件股份有限公司</w:t>
      </w:r>
      <w:r>
        <w:rPr>
          <w:spacing w:val="-60"/>
        </w:rPr>
        <w:t> </w:t>
      </w:r>
      <w:r>
        <w:rPr>
          <w:rFonts w:ascii="宋体" w:hAnsi="宋体" w:cs="宋体" w:eastAsia="宋体" w:hint="default"/>
        </w:rPr>
        <w:t>2012</w:t>
      </w:r>
      <w:r>
        <w:rPr>
          <w:rFonts w:ascii="宋体" w:hAnsi="宋体" w:cs="宋体" w:eastAsia="宋体" w:hint="default"/>
          <w:spacing w:val="-60"/>
        </w:rPr>
        <w:t> </w:t>
      </w:r>
      <w:r>
        <w:rPr/>
        <w:t>年度社会责任报告》，披露网 址：</w:t>
      </w:r>
      <w:r>
        <w:rPr>
          <w:rFonts w:ascii="宋体" w:hAnsi="宋体" w:cs="宋体" w:eastAsia="宋体" w:hint="default"/>
          <w:color w:val="0000FF"/>
        </w:rPr>
      </w:r>
      <w:hyperlink r:id="rId10">
        <w:r>
          <w:rPr>
            <w:rFonts w:ascii="宋体" w:hAnsi="宋体" w:cs="宋体" w:eastAsia="宋体" w:hint="default"/>
            <w:color w:val="0000FF"/>
            <w:u w:val="single" w:color="0000FF"/>
          </w:rPr>
          <w:t>www.sse.com.cn</w:t>
        </w:r>
        <w:r>
          <w:rPr>
            <w:rFonts w:ascii="宋体" w:hAnsi="宋体" w:cs="宋体" w:eastAsia="宋体" w:hint="default"/>
            <w:color w:val="0000FF"/>
          </w:rPr>
        </w:r>
      </w:hyperlink>
      <w:r>
        <w:rPr/>
        <w:t>。</w:t>
      </w:r>
    </w:p>
    <w:p>
      <w:pPr>
        <w:pStyle w:val="Heading3"/>
        <w:spacing w:line="388" w:lineRule="auto"/>
        <w:ind w:left="618" w:right="188" w:hanging="480"/>
        <w:jc w:val="left"/>
      </w:pPr>
      <w:r>
        <w:rPr>
          <w:rFonts w:ascii="宋体" w:hAnsi="宋体" w:cs="宋体" w:eastAsia="宋体" w:hint="default"/>
          <w:b/>
          <w:bCs/>
        </w:rPr>
        <w:t>五、其他披露事项</w:t>
      </w:r>
      <w:r>
        <w:rPr>
          <w:rFonts w:ascii="宋体" w:hAnsi="宋体" w:cs="宋体" w:eastAsia="宋体" w:hint="default"/>
          <w:b/>
          <w:bCs/>
          <w:w w:val="99"/>
        </w:rPr>
        <w:t> </w:t>
      </w:r>
      <w:r>
        <w:rPr/>
        <w:t>报告期内，公司继续选定《上海证券报》、《中国证券报》、《证券时报》和《证</w:t>
      </w:r>
    </w:p>
    <w:p>
      <w:pPr>
        <w:pStyle w:val="Heading3"/>
        <w:spacing w:line="240" w:lineRule="exact" w:before="0"/>
        <w:ind w:right="188"/>
        <w:jc w:val="left"/>
      </w:pPr>
      <w:r>
        <w:rPr/>
        <w:t>券日报》为公司指定信息披露报刊。</w:t>
      </w:r>
    </w:p>
    <w:p>
      <w:pPr>
        <w:spacing w:after="0" w:line="240" w:lineRule="exact"/>
        <w:jc w:val="left"/>
        <w:sectPr>
          <w:pgSz w:w="11910" w:h="16850"/>
          <w:pgMar w:header="752" w:footer="730" w:top="1020" w:bottom="920" w:left="1280" w:right="11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Heading1"/>
        <w:spacing w:line="240" w:lineRule="auto"/>
        <w:ind w:left="3851" w:right="232"/>
        <w:jc w:val="left"/>
        <w:rPr>
          <w:b w:val="0"/>
          <w:bCs w:val="0"/>
        </w:rPr>
      </w:pPr>
      <w:bookmarkStart w:name="_TOC_250006" w:id="6"/>
      <w:r>
        <w:rPr/>
        <w:t>第五节</w:t>
      </w:r>
      <w:r>
        <w:rPr>
          <w:spacing w:val="67"/>
        </w:rPr>
        <w:t> </w:t>
      </w:r>
      <w:r>
        <w:rPr/>
        <w:t>重要事项</w:t>
      </w:r>
      <w:bookmarkEnd w:id="6"/>
      <w:r>
        <w:rPr>
          <w:b w:val="0"/>
          <w:bCs w:val="0"/>
        </w:rPr>
      </w:r>
    </w:p>
    <w:p>
      <w:pPr>
        <w:spacing w:line="240" w:lineRule="auto" w:before="0"/>
        <w:rPr>
          <w:rFonts w:ascii="黑体" w:hAnsi="黑体" w:cs="黑体" w:eastAsia="黑体" w:hint="default"/>
          <w:b/>
          <w:bCs/>
          <w:sz w:val="28"/>
          <w:szCs w:val="28"/>
        </w:rPr>
      </w:pPr>
    </w:p>
    <w:p>
      <w:pPr>
        <w:spacing w:line="240" w:lineRule="auto" w:before="6"/>
        <w:rPr>
          <w:rFonts w:ascii="黑体" w:hAnsi="黑体" w:cs="黑体" w:eastAsia="黑体" w:hint="default"/>
          <w:b/>
          <w:bCs/>
          <w:sz w:val="32"/>
          <w:szCs w:val="32"/>
        </w:rPr>
      </w:pPr>
    </w:p>
    <w:p>
      <w:pPr>
        <w:spacing w:line="388" w:lineRule="auto" w:before="0"/>
        <w:ind w:left="618" w:right="3868" w:hanging="480"/>
        <w:jc w:val="left"/>
        <w:rPr>
          <w:rFonts w:ascii="宋体" w:hAnsi="宋体" w:cs="宋体" w:eastAsia="宋体" w:hint="default"/>
          <w:sz w:val="24"/>
          <w:szCs w:val="24"/>
        </w:rPr>
      </w:pPr>
      <w:r>
        <w:rPr>
          <w:rFonts w:ascii="宋体" w:hAnsi="宋体" w:cs="宋体" w:eastAsia="宋体" w:hint="default"/>
          <w:b/>
          <w:bCs/>
          <w:sz w:val="24"/>
          <w:szCs w:val="24"/>
        </w:rPr>
        <w:t>一、重大诉讼、仲裁和媒体普遍质疑的事项</w:t>
      </w:r>
      <w:r>
        <w:rPr>
          <w:rFonts w:ascii="宋体" w:hAnsi="宋体" w:cs="宋体" w:eastAsia="宋体" w:hint="default"/>
          <w:b/>
          <w:bCs/>
          <w:w w:val="99"/>
          <w:sz w:val="24"/>
          <w:szCs w:val="24"/>
        </w:rPr>
        <w:t> </w:t>
      </w:r>
      <w:r>
        <w:rPr>
          <w:rFonts w:ascii="宋体" w:hAnsi="宋体" w:cs="宋体" w:eastAsia="宋体" w:hint="default"/>
          <w:sz w:val="24"/>
          <w:szCs w:val="24"/>
        </w:rPr>
        <w:t>本年度公司无重大诉讼、仲裁和媒体质疑事项。</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18"/>
          <w:szCs w:val="18"/>
        </w:rPr>
      </w:pPr>
    </w:p>
    <w:p>
      <w:pPr>
        <w:pStyle w:val="Heading2"/>
        <w:spacing w:line="240" w:lineRule="auto"/>
        <w:ind w:right="232"/>
        <w:jc w:val="left"/>
        <w:rPr>
          <w:b w:val="0"/>
          <w:bCs w:val="0"/>
        </w:rPr>
      </w:pPr>
      <w:r>
        <w:rPr/>
        <w:t>二、报告期内资金被占用情况及清欠进展情况</w:t>
      </w:r>
      <w:r>
        <w:rPr>
          <w:b w:val="0"/>
          <w:bCs w:val="0"/>
        </w:rPr>
      </w:r>
    </w:p>
    <w:p>
      <w:pPr>
        <w:pStyle w:val="Heading3"/>
        <w:spacing w:line="240" w:lineRule="auto" w:before="194"/>
        <w:ind w:left="618" w:right="232"/>
        <w:jc w:val="left"/>
      </w:pPr>
      <w:r>
        <w:rPr/>
        <w:t>√ 不适用</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9"/>
          <w:szCs w:val="29"/>
        </w:rPr>
      </w:pPr>
    </w:p>
    <w:p>
      <w:pPr>
        <w:spacing w:line="388" w:lineRule="auto" w:before="0"/>
        <w:ind w:left="618" w:right="5308" w:hanging="480"/>
        <w:jc w:val="left"/>
        <w:rPr>
          <w:rFonts w:ascii="宋体" w:hAnsi="宋体" w:cs="宋体" w:eastAsia="宋体" w:hint="default"/>
          <w:sz w:val="24"/>
          <w:szCs w:val="24"/>
        </w:rPr>
      </w:pPr>
      <w:r>
        <w:rPr>
          <w:rFonts w:ascii="宋体" w:hAnsi="宋体" w:cs="宋体" w:eastAsia="宋体" w:hint="default"/>
          <w:b/>
          <w:bCs/>
          <w:sz w:val="24"/>
          <w:szCs w:val="24"/>
        </w:rPr>
        <w:t>三、 破产重整相关事项</w:t>
      </w:r>
      <w:r>
        <w:rPr>
          <w:rFonts w:ascii="宋体" w:hAnsi="宋体" w:cs="宋体" w:eastAsia="宋体" w:hint="default"/>
          <w:b/>
          <w:bCs/>
          <w:w w:val="99"/>
          <w:sz w:val="24"/>
          <w:szCs w:val="24"/>
        </w:rPr>
        <w:t> </w:t>
      </w:r>
      <w:r>
        <w:rPr>
          <w:rFonts w:ascii="宋体" w:hAnsi="宋体" w:cs="宋体" w:eastAsia="宋体" w:hint="default"/>
          <w:sz w:val="24"/>
          <w:szCs w:val="24"/>
        </w:rPr>
        <w:t>本年度公司无破产重整相关事项。</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18"/>
          <w:szCs w:val="18"/>
        </w:rPr>
      </w:pPr>
    </w:p>
    <w:p>
      <w:pPr>
        <w:pStyle w:val="Heading2"/>
        <w:spacing w:line="240" w:lineRule="auto"/>
        <w:ind w:right="232"/>
        <w:jc w:val="left"/>
        <w:rPr>
          <w:b w:val="0"/>
          <w:bCs w:val="0"/>
        </w:rPr>
      </w:pPr>
      <w:r>
        <w:rPr/>
        <w:t>四、</w:t>
      </w:r>
      <w:r>
        <w:rPr>
          <w:spacing w:val="-2"/>
        </w:rPr>
        <w:t> </w:t>
      </w:r>
      <w:r>
        <w:rPr/>
        <w:t>资产交易、企业合并事项</w:t>
      </w:r>
      <w:r>
        <w:rPr>
          <w:b w:val="0"/>
          <w:bCs w:val="0"/>
        </w:rPr>
      </w:r>
    </w:p>
    <w:p>
      <w:pPr>
        <w:pStyle w:val="Heading3"/>
        <w:spacing w:line="240" w:lineRule="auto" w:before="194"/>
        <w:ind w:left="618" w:right="232"/>
        <w:jc w:val="left"/>
      </w:pPr>
      <w:r>
        <w:rPr/>
        <w:t>√ 不适用</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9"/>
          <w:szCs w:val="29"/>
        </w:rPr>
      </w:pPr>
    </w:p>
    <w:p>
      <w:pPr>
        <w:pStyle w:val="Heading2"/>
        <w:spacing w:line="240" w:lineRule="auto"/>
        <w:ind w:right="232"/>
        <w:jc w:val="left"/>
        <w:rPr>
          <w:b w:val="0"/>
          <w:bCs w:val="0"/>
        </w:rPr>
      </w:pPr>
      <w:r>
        <w:rPr/>
        <w:t>五、</w:t>
      </w:r>
      <w:r>
        <w:rPr>
          <w:spacing w:val="-3"/>
        </w:rPr>
        <w:t> </w:t>
      </w:r>
      <w:r>
        <w:rPr/>
        <w:t>公司股权激励情况及其影响</w:t>
      </w:r>
      <w:r>
        <w:rPr>
          <w:b w:val="0"/>
          <w:bCs w:val="0"/>
        </w:rPr>
      </w:r>
    </w:p>
    <w:p>
      <w:pPr>
        <w:pStyle w:val="Heading2"/>
        <w:spacing w:line="240" w:lineRule="auto" w:before="194"/>
        <w:ind w:left="560" w:right="232"/>
        <w:jc w:val="left"/>
        <w:rPr>
          <w:b w:val="0"/>
          <w:bCs w:val="0"/>
        </w:rPr>
      </w:pPr>
      <w:r>
        <w:rPr/>
        <w:t>（一）报告期公司股权激励相关情况说明</w:t>
      </w:r>
      <w:r>
        <w:rPr>
          <w:b w:val="0"/>
          <w:bCs w:val="0"/>
        </w:rPr>
      </w:r>
    </w:p>
    <w:p>
      <w:pPr>
        <w:pStyle w:val="Heading3"/>
        <w:spacing w:line="297" w:lineRule="auto" w:before="194"/>
        <w:ind w:right="171" w:firstLine="480"/>
        <w:jc w:val="left"/>
      </w:pPr>
      <w:r>
        <w:rPr/>
        <w:t>公司董事会于</w:t>
      </w:r>
      <w:r>
        <w:rPr>
          <w:spacing w:val="-58"/>
        </w:rPr>
        <w:t> </w:t>
      </w:r>
      <w:r>
        <w:rPr>
          <w:rFonts w:ascii="宋体" w:hAnsi="宋体" w:cs="宋体" w:eastAsia="宋体" w:hint="default"/>
        </w:rPr>
        <w:t>2010</w:t>
      </w:r>
      <w:r>
        <w:rPr>
          <w:rFonts w:ascii="宋体" w:hAnsi="宋体" w:cs="宋体" w:eastAsia="宋体" w:hint="default"/>
          <w:spacing w:val="-58"/>
        </w:rPr>
        <w:t> </w:t>
      </w:r>
      <w:r>
        <w:rPr/>
        <w:t>年</w:t>
      </w:r>
      <w:r>
        <w:rPr>
          <w:spacing w:val="-58"/>
        </w:rPr>
        <w:t> </w:t>
      </w:r>
      <w:r>
        <w:rPr>
          <w:rFonts w:ascii="宋体" w:hAnsi="宋体" w:cs="宋体" w:eastAsia="宋体" w:hint="default"/>
        </w:rPr>
        <w:t>11</w:t>
      </w:r>
      <w:r>
        <w:rPr>
          <w:rFonts w:ascii="宋体" w:hAnsi="宋体" w:cs="宋体" w:eastAsia="宋体" w:hint="default"/>
          <w:spacing w:val="-58"/>
        </w:rPr>
        <w:t> </w:t>
      </w:r>
      <w:r>
        <w:rPr/>
        <w:t>月</w:t>
      </w:r>
      <w:r>
        <w:rPr>
          <w:spacing w:val="-58"/>
        </w:rPr>
        <w:t> </w:t>
      </w:r>
      <w:r>
        <w:rPr>
          <w:rFonts w:ascii="宋体" w:hAnsi="宋体" w:cs="宋体" w:eastAsia="宋体" w:hint="default"/>
        </w:rPr>
        <w:t>29</w:t>
      </w:r>
      <w:r>
        <w:rPr>
          <w:rFonts w:ascii="宋体" w:hAnsi="宋体" w:cs="宋体" w:eastAsia="宋体" w:hint="default"/>
          <w:spacing w:val="-58"/>
        </w:rPr>
        <w:t> </w:t>
      </w:r>
      <w:r>
        <w:rPr>
          <w:spacing w:val="-11"/>
        </w:rPr>
        <w:t>日审议通过了《用友软件股票期权激励计划</w:t>
      </w:r>
      <w:r>
        <w:rPr>
          <w:rFonts w:ascii="宋体" w:hAnsi="宋体" w:cs="宋体" w:eastAsia="宋体" w:hint="default"/>
          <w:spacing w:val="-11"/>
        </w:rPr>
        <w:t>(</w:t>
      </w:r>
      <w:r>
        <w:rPr>
          <w:spacing w:val="-11"/>
        </w:rPr>
        <w:t>草案</w:t>
      </w:r>
      <w:r>
        <w:rPr>
          <w:rFonts w:ascii="宋体" w:hAnsi="宋体" w:cs="宋体" w:eastAsia="宋体" w:hint="default"/>
          <w:spacing w:val="-11"/>
        </w:rPr>
        <w:t>)</w:t>
      </w:r>
      <w:r>
        <w:rPr>
          <w:spacing w:val="-11"/>
        </w:rPr>
        <w:t>》，</w:t>
      </w:r>
      <w:r>
        <w:rPr>
          <w:spacing w:val="-87"/>
        </w:rPr>
        <w:t> </w:t>
      </w:r>
      <w:r>
        <w:rPr/>
        <w:t>拟向激励对象授予</w:t>
      </w:r>
      <w:r>
        <w:rPr>
          <w:spacing w:val="-60"/>
        </w:rPr>
        <w:t> </w:t>
      </w:r>
      <w:r>
        <w:rPr>
          <w:rFonts w:ascii="宋体" w:hAnsi="宋体" w:cs="宋体" w:eastAsia="宋体" w:hint="default"/>
        </w:rPr>
        <w:t>24,483,956</w:t>
      </w:r>
      <w:r>
        <w:rPr>
          <w:rFonts w:ascii="宋体" w:hAnsi="宋体" w:cs="宋体" w:eastAsia="宋体" w:hint="default"/>
          <w:spacing w:val="-60"/>
        </w:rPr>
        <w:t> </w:t>
      </w:r>
      <w:r>
        <w:rPr/>
        <w:t>份股票期权，占本公司股本总额的 </w:t>
      </w:r>
      <w:r>
        <w:rPr>
          <w:rFonts w:ascii="宋体" w:hAnsi="宋体" w:cs="宋体" w:eastAsia="宋体" w:hint="default"/>
        </w:rPr>
        <w:t>3%</w:t>
      </w:r>
      <w:r>
        <w:rPr/>
        <w:t>，其中首次授予 </w:t>
      </w:r>
      <w:r>
        <w:rPr>
          <w:rFonts w:ascii="宋体" w:hAnsi="宋体" w:cs="宋体" w:eastAsia="宋体" w:hint="default"/>
        </w:rPr>
        <w:t>22,035,561</w:t>
      </w:r>
      <w:r>
        <w:rPr>
          <w:rFonts w:ascii="宋体" w:hAnsi="宋体" w:cs="宋体" w:eastAsia="宋体" w:hint="default"/>
          <w:spacing w:val="-60"/>
        </w:rPr>
        <w:t> </w:t>
      </w:r>
      <w:r>
        <w:rPr/>
        <w:t>份股票期权数量占本公司股本总额的</w:t>
      </w:r>
      <w:r>
        <w:rPr>
          <w:spacing w:val="-60"/>
        </w:rPr>
        <w:t> </w:t>
      </w:r>
      <w:r>
        <w:rPr>
          <w:rFonts w:ascii="宋体" w:hAnsi="宋体" w:cs="宋体" w:eastAsia="宋体" w:hint="default"/>
          <w:spacing w:val="-8"/>
        </w:rPr>
        <w:t>2.7%</w:t>
      </w:r>
      <w:r>
        <w:rPr>
          <w:spacing w:val="-8"/>
        </w:rPr>
        <w:t>，预留</w:t>
      </w:r>
      <w:r>
        <w:rPr>
          <w:spacing w:val="-60"/>
        </w:rPr>
        <w:t> </w:t>
      </w:r>
      <w:r>
        <w:rPr>
          <w:rFonts w:ascii="宋体" w:hAnsi="宋体" w:cs="宋体" w:eastAsia="宋体" w:hint="default"/>
        </w:rPr>
        <w:t>2,448,395</w:t>
      </w:r>
      <w:r>
        <w:rPr>
          <w:rFonts w:ascii="宋体" w:hAnsi="宋体" w:cs="宋体" w:eastAsia="宋体" w:hint="default"/>
          <w:spacing w:val="-60"/>
        </w:rPr>
        <w:t> </w:t>
      </w:r>
      <w:r>
        <w:rPr/>
        <w:t>份股票期权数量 占本公司股本总额的</w:t>
      </w:r>
      <w:r>
        <w:rPr>
          <w:spacing w:val="-60"/>
        </w:rPr>
        <w:t> </w:t>
      </w:r>
      <w:r>
        <w:rPr>
          <w:rFonts w:ascii="宋体" w:hAnsi="宋体" w:cs="宋体" w:eastAsia="宋体" w:hint="default"/>
        </w:rPr>
        <w:t>0.3%</w:t>
      </w:r>
      <w:r>
        <w:rPr/>
        <w:t>。</w:t>
      </w:r>
    </w:p>
    <w:p>
      <w:pPr>
        <w:pStyle w:val="Heading3"/>
        <w:spacing w:line="297" w:lineRule="auto"/>
        <w:ind w:right="268" w:firstLine="480"/>
        <w:jc w:val="left"/>
        <w:rPr>
          <w:rFonts w:ascii="宋体" w:hAnsi="宋体" w:cs="宋体" w:eastAsia="宋体" w:hint="default"/>
        </w:rPr>
      </w:pPr>
      <w:r>
        <w:rPr/>
        <w:t>根据中国证监会的反馈意见，本公司修订了公司《股票期权激励计划</w:t>
      </w:r>
      <w:r>
        <w:rPr>
          <w:rFonts w:ascii="宋体" w:hAnsi="宋体" w:cs="宋体" w:eastAsia="宋体" w:hint="default"/>
        </w:rPr>
        <w:t>(</w:t>
      </w:r>
      <w:r>
        <w:rPr/>
        <w:t>草案</w:t>
      </w:r>
      <w:r>
        <w:rPr>
          <w:rFonts w:ascii="宋体" w:hAnsi="宋体" w:cs="宋体" w:eastAsia="宋体" w:hint="default"/>
        </w:rPr>
        <w:t>)</w:t>
      </w:r>
      <w:r>
        <w:rPr/>
        <w:t>》，形 成了《股票期权激励计划</w:t>
      </w:r>
      <w:r>
        <w:rPr>
          <w:rFonts w:ascii="宋体" w:hAnsi="宋体" w:cs="宋体" w:eastAsia="宋体" w:hint="default"/>
        </w:rPr>
        <w:t>(</w:t>
      </w:r>
      <w:r>
        <w:rPr/>
        <w:t>修订稿</w:t>
      </w:r>
      <w:r>
        <w:rPr>
          <w:rFonts w:ascii="宋体" w:hAnsi="宋体" w:cs="宋体" w:eastAsia="宋体" w:hint="default"/>
        </w:rPr>
        <w:t>)</w:t>
      </w:r>
      <w:r>
        <w:rPr/>
        <w:t>》，并报中国证监会备案无异议。于</w:t>
      </w:r>
      <w:r>
        <w:rPr>
          <w:spacing w:val="-60"/>
        </w:rPr>
        <w:t> </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26</w:t>
      </w:r>
    </w:p>
    <w:p>
      <w:pPr>
        <w:pStyle w:val="Heading3"/>
        <w:spacing w:line="240" w:lineRule="auto" w:before="17"/>
        <w:ind w:right="232"/>
        <w:jc w:val="left"/>
      </w:pPr>
      <w:r>
        <w:rPr/>
        <w:t>日，公司</w:t>
      </w:r>
      <w:r>
        <w:rPr>
          <w:spacing w:val="-60"/>
        </w:rPr>
        <w:t> </w:t>
      </w:r>
      <w:r>
        <w:rPr>
          <w:rFonts w:ascii="宋体" w:hAnsi="宋体" w:cs="宋体" w:eastAsia="宋体" w:hint="default"/>
        </w:rPr>
        <w:t>2010</w:t>
      </w:r>
      <w:r>
        <w:rPr>
          <w:rFonts w:ascii="宋体" w:hAnsi="宋体" w:cs="宋体" w:eastAsia="宋体" w:hint="default"/>
          <w:spacing w:val="-60"/>
        </w:rPr>
        <w:t> </w:t>
      </w:r>
      <w:r>
        <w:rPr/>
        <w:t>年年度股东大会审议通过了《股票期权激励计划</w:t>
      </w:r>
      <w:r>
        <w:rPr>
          <w:rFonts w:ascii="宋体" w:hAnsi="宋体" w:cs="宋体" w:eastAsia="宋体" w:hint="default"/>
        </w:rPr>
        <w:t>(</w:t>
      </w:r>
      <w:r>
        <w:rPr/>
        <w:t>修订稿</w:t>
      </w:r>
      <w:r>
        <w:rPr>
          <w:rFonts w:ascii="宋体" w:hAnsi="宋体" w:cs="宋体" w:eastAsia="宋体" w:hint="default"/>
        </w:rPr>
        <w:t>)</w:t>
      </w:r>
      <w:r>
        <w:rPr/>
        <w:t>》。</w:t>
      </w:r>
    </w:p>
    <w:p>
      <w:pPr>
        <w:pStyle w:val="Heading3"/>
        <w:spacing w:line="240" w:lineRule="auto" w:before="194"/>
        <w:ind w:left="618" w:right="82"/>
        <w:jc w:val="left"/>
      </w:pPr>
      <w:r>
        <w:rPr/>
        <w:t>公司于</w:t>
      </w:r>
      <w:r>
        <w:rPr>
          <w:spacing w:val="-56"/>
        </w:rPr>
        <w:t> </w:t>
      </w:r>
      <w:r>
        <w:rPr>
          <w:rFonts w:ascii="宋体" w:hAnsi="宋体" w:cs="宋体" w:eastAsia="宋体" w:hint="default"/>
        </w:rPr>
        <w:t>2011</w:t>
      </w:r>
      <w:r>
        <w:rPr>
          <w:rFonts w:ascii="宋体" w:hAnsi="宋体" w:cs="宋体" w:eastAsia="宋体" w:hint="default"/>
          <w:spacing w:val="-56"/>
        </w:rPr>
        <w:t> </w:t>
      </w:r>
      <w:r>
        <w:rPr/>
        <w:t>年</w:t>
      </w:r>
      <w:r>
        <w:rPr>
          <w:spacing w:val="-56"/>
        </w:rPr>
        <w:t> </w:t>
      </w:r>
      <w:r>
        <w:rPr>
          <w:rFonts w:ascii="宋体" w:hAnsi="宋体" w:cs="宋体" w:eastAsia="宋体" w:hint="default"/>
        </w:rPr>
        <w:t>5</w:t>
      </w:r>
      <w:r>
        <w:rPr>
          <w:rFonts w:ascii="宋体" w:hAnsi="宋体" w:cs="宋体" w:eastAsia="宋体" w:hint="default"/>
          <w:spacing w:val="-56"/>
        </w:rPr>
        <w:t> </w:t>
      </w:r>
      <w:r>
        <w:rPr/>
        <w:t>月</w:t>
      </w:r>
      <w:r>
        <w:rPr>
          <w:spacing w:val="-56"/>
        </w:rPr>
        <w:t> </w:t>
      </w:r>
      <w:r>
        <w:rPr>
          <w:rFonts w:ascii="宋体" w:hAnsi="宋体" w:cs="宋体" w:eastAsia="宋体" w:hint="default"/>
        </w:rPr>
        <w:t>4</w:t>
      </w:r>
      <w:r>
        <w:rPr>
          <w:rFonts w:ascii="宋体" w:hAnsi="宋体" w:cs="宋体" w:eastAsia="宋体" w:hint="default"/>
          <w:spacing w:val="-56"/>
        </w:rPr>
        <w:t> </w:t>
      </w:r>
      <w:r>
        <w:rPr>
          <w:spacing w:val="-3"/>
        </w:rPr>
        <w:t>日首次授予激励对象股票期权，首次授予的股票期权行权价格</w:t>
      </w:r>
    </w:p>
    <w:p>
      <w:pPr>
        <w:pStyle w:val="Heading3"/>
        <w:spacing w:line="240" w:lineRule="auto" w:before="74"/>
        <w:ind w:right="82"/>
        <w:jc w:val="left"/>
      </w:pPr>
      <w:r>
        <w:rPr/>
        <w:t>为人民币</w:t>
      </w:r>
      <w:r>
        <w:rPr>
          <w:spacing w:val="-59"/>
        </w:rPr>
        <w:t> </w:t>
      </w:r>
      <w:r>
        <w:rPr>
          <w:rFonts w:ascii="宋体" w:hAnsi="宋体" w:cs="宋体" w:eastAsia="宋体" w:hint="default"/>
        </w:rPr>
        <w:t>25.16</w:t>
      </w:r>
      <w:r>
        <w:rPr>
          <w:rFonts w:ascii="宋体" w:hAnsi="宋体" w:cs="宋体" w:eastAsia="宋体" w:hint="default"/>
          <w:spacing w:val="-59"/>
        </w:rPr>
        <w:t> </w:t>
      </w:r>
      <w:r>
        <w:rPr>
          <w:spacing w:val="-3"/>
        </w:rPr>
        <w:t>元，股份期权数量为</w:t>
      </w:r>
      <w:r>
        <w:rPr>
          <w:spacing w:val="-59"/>
        </w:rPr>
        <w:t> </w:t>
      </w:r>
      <w:r>
        <w:rPr>
          <w:rFonts w:ascii="宋体" w:hAnsi="宋体" w:cs="宋体" w:eastAsia="宋体" w:hint="default"/>
        </w:rPr>
        <w:t>22,035,561</w:t>
      </w:r>
      <w:r>
        <w:rPr>
          <w:rFonts w:ascii="宋体" w:hAnsi="宋体" w:cs="宋体" w:eastAsia="宋体" w:hint="default"/>
          <w:spacing w:val="-59"/>
        </w:rPr>
        <w:t> </w:t>
      </w:r>
      <w:r>
        <w:rPr>
          <w:spacing w:val="-7"/>
        </w:rPr>
        <w:t>份，经</w:t>
      </w:r>
      <w:r>
        <w:rPr>
          <w:spacing w:val="-59"/>
        </w:rPr>
        <w:t> </w:t>
      </w:r>
      <w:r>
        <w:rPr>
          <w:rFonts w:ascii="宋体" w:hAnsi="宋体" w:cs="宋体" w:eastAsia="宋体" w:hint="default"/>
        </w:rPr>
        <w:t>2010</w:t>
      </w:r>
      <w:r>
        <w:rPr>
          <w:rFonts w:ascii="宋体" w:hAnsi="宋体" w:cs="宋体" w:eastAsia="宋体" w:hint="default"/>
          <w:spacing w:val="-59"/>
        </w:rPr>
        <w:t> </w:t>
      </w:r>
      <w:r>
        <w:rPr>
          <w:spacing w:val="-3"/>
        </w:rPr>
        <w:t>年度现金分红（每</w:t>
      </w:r>
      <w:r>
        <w:rPr>
          <w:spacing w:val="-59"/>
        </w:rPr>
        <w:t> </w:t>
      </w:r>
      <w:r>
        <w:rPr>
          <w:rFonts w:ascii="宋体" w:hAnsi="宋体" w:cs="宋体" w:eastAsia="宋体" w:hint="default"/>
        </w:rPr>
        <w:t>10</w:t>
      </w:r>
      <w:r>
        <w:rPr>
          <w:rFonts w:ascii="宋体" w:hAnsi="宋体" w:cs="宋体" w:eastAsia="宋体" w:hint="default"/>
          <w:spacing w:val="-59"/>
        </w:rPr>
        <w:t> </w:t>
      </w:r>
      <w:r>
        <w:rPr/>
        <w:t>股派</w:t>
      </w:r>
    </w:p>
    <w:p>
      <w:pPr>
        <w:pStyle w:val="Heading3"/>
        <w:spacing w:line="240" w:lineRule="auto" w:before="74"/>
        <w:ind w:right="82"/>
        <w:jc w:val="left"/>
      </w:pPr>
      <w:r>
        <w:rPr/>
        <w:t>发</w:t>
      </w:r>
      <w:r>
        <w:rPr>
          <w:spacing w:val="-60"/>
        </w:rPr>
        <w:t> </w:t>
      </w:r>
      <w:r>
        <w:rPr>
          <w:rFonts w:ascii="宋体" w:hAnsi="宋体" w:cs="宋体" w:eastAsia="宋体" w:hint="default"/>
        </w:rPr>
        <w:t>2.2</w:t>
      </w:r>
      <w:r>
        <w:rPr>
          <w:rFonts w:ascii="宋体" w:hAnsi="宋体" w:cs="宋体" w:eastAsia="宋体" w:hint="default"/>
          <w:spacing w:val="-60"/>
        </w:rPr>
        <w:t> </w:t>
      </w:r>
      <w:r>
        <w:rPr/>
        <w:t>元）、</w:t>
      </w:r>
      <w:r>
        <w:rPr>
          <w:rFonts w:ascii="宋体" w:hAnsi="宋体" w:cs="宋体" w:eastAsia="宋体" w:hint="default"/>
        </w:rPr>
        <w:t>2011</w:t>
      </w:r>
      <w:r>
        <w:rPr>
          <w:rFonts w:ascii="宋体" w:hAnsi="宋体" w:cs="宋体" w:eastAsia="宋体" w:hint="default"/>
          <w:spacing w:val="-60"/>
        </w:rPr>
        <w:t> </w:t>
      </w:r>
      <w:r>
        <w:rPr/>
        <w:t>年度现金分红（每</w:t>
      </w:r>
      <w:r>
        <w:rPr>
          <w:spacing w:val="-60"/>
        </w:rPr>
        <w:t> </w:t>
      </w:r>
      <w:r>
        <w:rPr>
          <w:rFonts w:ascii="宋体" w:hAnsi="宋体" w:cs="宋体" w:eastAsia="宋体" w:hint="default"/>
        </w:rPr>
        <w:t>10</w:t>
      </w:r>
      <w:r>
        <w:rPr>
          <w:rFonts w:ascii="宋体" w:hAnsi="宋体" w:cs="宋体" w:eastAsia="宋体" w:hint="default"/>
          <w:spacing w:val="-60"/>
        </w:rPr>
        <w:t> </w:t>
      </w:r>
      <w:r>
        <w:rPr/>
        <w:t>股派发</w:t>
      </w:r>
      <w:r>
        <w:rPr>
          <w:spacing w:val="-60"/>
        </w:rPr>
        <w:t> </w:t>
      </w:r>
      <w:r>
        <w:rPr>
          <w:rFonts w:ascii="宋体" w:hAnsi="宋体" w:cs="宋体" w:eastAsia="宋体" w:hint="default"/>
        </w:rPr>
        <w:t>4</w:t>
      </w:r>
      <w:r>
        <w:rPr>
          <w:rFonts w:ascii="宋体" w:hAnsi="宋体" w:cs="宋体" w:eastAsia="宋体" w:hint="default"/>
          <w:spacing w:val="-60"/>
        </w:rPr>
        <w:t> </w:t>
      </w:r>
      <w:r>
        <w:rPr/>
        <w:t>元）及资本公积转增股本（每</w:t>
      </w:r>
      <w:r>
        <w:rPr>
          <w:spacing w:val="-60"/>
        </w:rPr>
        <w:t> </w:t>
      </w:r>
      <w:r>
        <w:rPr>
          <w:rFonts w:ascii="宋体" w:hAnsi="宋体" w:cs="宋体" w:eastAsia="宋体" w:hint="default"/>
        </w:rPr>
        <w:t>10</w:t>
      </w:r>
      <w:r>
        <w:rPr>
          <w:rFonts w:ascii="宋体" w:hAnsi="宋体" w:cs="宋体" w:eastAsia="宋体" w:hint="default"/>
          <w:spacing w:val="-60"/>
        </w:rPr>
        <w:t> </w:t>
      </w:r>
      <w:r>
        <w:rPr/>
        <w:t>股转</w:t>
      </w:r>
    </w:p>
    <w:p>
      <w:pPr>
        <w:pStyle w:val="Heading3"/>
        <w:spacing w:line="297" w:lineRule="auto" w:before="74"/>
        <w:ind w:right="220"/>
        <w:jc w:val="left"/>
      </w:pPr>
      <w:r>
        <w:rPr/>
        <w:t>增</w:t>
      </w:r>
      <w:r>
        <w:rPr>
          <w:spacing w:val="-67"/>
        </w:rPr>
        <w:t> </w:t>
      </w:r>
      <w:r>
        <w:rPr>
          <w:rFonts w:ascii="宋体" w:hAnsi="宋体" w:cs="宋体" w:eastAsia="宋体" w:hint="default"/>
        </w:rPr>
        <w:t>2</w:t>
      </w:r>
      <w:r>
        <w:rPr>
          <w:rFonts w:ascii="宋体" w:hAnsi="宋体" w:cs="宋体" w:eastAsia="宋体" w:hint="default"/>
          <w:spacing w:val="-67"/>
        </w:rPr>
        <w:t> </w:t>
      </w:r>
      <w:r>
        <w:rPr/>
        <w:t>股）后，行权价格调整为人民币</w:t>
      </w:r>
      <w:r>
        <w:rPr>
          <w:spacing w:val="-67"/>
        </w:rPr>
        <w:t> </w:t>
      </w:r>
      <w:r>
        <w:rPr>
          <w:rFonts w:ascii="宋体" w:hAnsi="宋体" w:cs="宋体" w:eastAsia="宋体" w:hint="default"/>
        </w:rPr>
        <w:t>20.45</w:t>
      </w:r>
      <w:r>
        <w:rPr>
          <w:rFonts w:ascii="宋体" w:hAnsi="宋体" w:cs="宋体" w:eastAsia="宋体" w:hint="default"/>
          <w:spacing w:val="-67"/>
        </w:rPr>
        <w:t> </w:t>
      </w:r>
      <w:r>
        <w:rPr/>
        <w:t>元，股份期权数量调整为</w:t>
      </w:r>
      <w:r>
        <w:rPr>
          <w:spacing w:val="-67"/>
        </w:rPr>
        <w:t> </w:t>
      </w:r>
      <w:r>
        <w:rPr>
          <w:rFonts w:ascii="宋体" w:hAnsi="宋体" w:cs="宋体" w:eastAsia="宋体" w:hint="default"/>
        </w:rPr>
        <w:t>26,442,673</w:t>
      </w:r>
      <w:r>
        <w:rPr>
          <w:rFonts w:ascii="宋体" w:hAnsi="宋体" w:cs="宋体" w:eastAsia="宋体" w:hint="default"/>
          <w:spacing w:val="-67"/>
        </w:rPr>
        <w:t> </w:t>
      </w:r>
      <w:r>
        <w:rPr>
          <w:spacing w:val="-10"/>
        </w:rPr>
        <w:t>份。上</w:t>
      </w:r>
      <w:r>
        <w:rPr>
          <w:spacing w:val="-15"/>
        </w:rPr>
        <w:t> </w:t>
      </w:r>
      <w:r>
        <w:rPr/>
        <w:t>述调整尚需经本公司董事会审批。</w:t>
      </w:r>
    </w:p>
    <w:p>
      <w:pPr>
        <w:pStyle w:val="Heading3"/>
        <w:spacing w:line="240" w:lineRule="auto" w:before="139"/>
        <w:ind w:left="618" w:right="0"/>
        <w:jc w:val="left"/>
      </w:pPr>
      <w:r>
        <w:rPr>
          <w:rFonts w:ascii="宋体" w:hAnsi="宋体" w:cs="宋体" w:eastAsia="宋体" w:hint="default"/>
        </w:rPr>
        <w:t>2011</w:t>
      </w:r>
      <w:r>
        <w:rPr>
          <w:rFonts w:ascii="宋体" w:hAnsi="宋体" w:cs="宋体" w:eastAsia="宋体" w:hint="default"/>
          <w:spacing w:val="-60"/>
        </w:rPr>
        <w:t> </w:t>
      </w:r>
      <w:r>
        <w:rPr/>
        <w:t>年授予的股票期权的公允价值为人民币</w:t>
      </w:r>
      <w:r>
        <w:rPr>
          <w:spacing w:val="-60"/>
        </w:rPr>
        <w:t> </w:t>
      </w:r>
      <w:r>
        <w:rPr>
          <w:rFonts w:ascii="宋体" w:hAnsi="宋体" w:cs="宋体" w:eastAsia="宋体" w:hint="default"/>
        </w:rPr>
        <w:t>66,582,226</w:t>
      </w:r>
      <w:r>
        <w:rPr>
          <w:rFonts w:ascii="宋体" w:hAnsi="宋体" w:cs="宋体" w:eastAsia="宋体" w:hint="default"/>
          <w:spacing w:val="-60"/>
        </w:rPr>
        <w:t> </w:t>
      </w:r>
      <w:r>
        <w:rPr/>
        <w:t>元（人民币</w:t>
      </w:r>
      <w:r>
        <w:rPr>
          <w:spacing w:val="-60"/>
        </w:rPr>
        <w:t> </w:t>
      </w:r>
      <w:r>
        <w:rPr>
          <w:rFonts w:ascii="宋体" w:hAnsi="宋体" w:cs="宋体" w:eastAsia="宋体" w:hint="default"/>
        </w:rPr>
        <w:t>3.02</w:t>
      </w:r>
      <w:r>
        <w:rPr>
          <w:rFonts w:ascii="宋体" w:hAnsi="宋体" w:cs="宋体" w:eastAsia="宋体" w:hint="default"/>
          <w:spacing w:val="-60"/>
        </w:rPr>
        <w:t> </w:t>
      </w:r>
      <w:r>
        <w:rPr/>
        <w:t>元</w:t>
      </w:r>
      <w:r>
        <w:rPr>
          <w:rFonts w:ascii="宋体" w:hAnsi="宋体" w:cs="宋体" w:eastAsia="宋体" w:hint="default"/>
        </w:rPr>
        <w:t>/</w:t>
      </w:r>
      <w:r>
        <w:rPr/>
        <w:t>股），</w:t>
      </w:r>
    </w:p>
    <w:p>
      <w:pPr>
        <w:spacing w:after="0" w:line="240" w:lineRule="auto"/>
        <w:jc w:val="left"/>
        <w:sectPr>
          <w:pgSz w:w="11910" w:h="16850"/>
          <w:pgMar w:header="752" w:footer="730" w:top="1020" w:bottom="920" w:left="1280" w:right="1080"/>
        </w:sectPr>
      </w:pPr>
    </w:p>
    <w:p>
      <w:pPr>
        <w:spacing w:line="240" w:lineRule="auto" w:before="9"/>
        <w:rPr>
          <w:rFonts w:ascii="宋体" w:hAnsi="宋体" w:cs="宋体" w:eastAsia="宋体" w:hint="default"/>
          <w:sz w:val="26"/>
          <w:szCs w:val="26"/>
        </w:rPr>
      </w:pPr>
    </w:p>
    <w:p>
      <w:pPr>
        <w:pStyle w:val="Heading3"/>
        <w:spacing w:line="297" w:lineRule="auto" w:before="26"/>
        <w:ind w:right="287"/>
        <w:jc w:val="both"/>
      </w:pPr>
      <w:r>
        <w:rPr/>
        <w:t>其中公司于</w:t>
      </w:r>
      <w:r>
        <w:rPr>
          <w:spacing w:val="-60"/>
        </w:rPr>
        <w:t> </w:t>
      </w:r>
      <w:r>
        <w:rPr>
          <w:rFonts w:ascii="宋体" w:hAnsi="宋体" w:cs="宋体" w:eastAsia="宋体" w:hint="default"/>
        </w:rPr>
        <w:t>2012</w:t>
      </w:r>
      <w:r>
        <w:rPr>
          <w:rFonts w:ascii="宋体" w:hAnsi="宋体" w:cs="宋体" w:eastAsia="宋体" w:hint="default"/>
          <w:spacing w:val="-60"/>
        </w:rPr>
        <w:t> </w:t>
      </w:r>
      <w:r>
        <w:rPr/>
        <w:t>年确认的股票期权费用为人民币</w:t>
      </w:r>
      <w:r>
        <w:rPr>
          <w:spacing w:val="-60"/>
        </w:rPr>
        <w:t> </w:t>
      </w:r>
      <w:r>
        <w:rPr>
          <w:rFonts w:ascii="宋体" w:hAnsi="宋体" w:cs="宋体" w:eastAsia="宋体" w:hint="default"/>
        </w:rPr>
        <w:t>29,961,997</w:t>
      </w:r>
      <w:r>
        <w:rPr>
          <w:rFonts w:ascii="宋体" w:hAnsi="宋体" w:cs="宋体" w:eastAsia="宋体" w:hint="default"/>
          <w:spacing w:val="-60"/>
        </w:rPr>
        <w:t> </w:t>
      </w:r>
      <w:r>
        <w:rPr/>
        <w:t>元，公司因不符合《股票 期权激励计划</w:t>
      </w:r>
      <w:r>
        <w:rPr>
          <w:rFonts w:ascii="宋体" w:hAnsi="宋体" w:cs="宋体" w:eastAsia="宋体" w:hint="default"/>
        </w:rPr>
        <w:t>(</w:t>
      </w:r>
      <w:r>
        <w:rPr/>
        <w:t>修订稿</w:t>
      </w:r>
      <w:r>
        <w:rPr>
          <w:rFonts w:ascii="宋体" w:hAnsi="宋体" w:cs="宋体" w:eastAsia="宋体" w:hint="default"/>
        </w:rPr>
        <w:t>)</w:t>
      </w:r>
      <w:r>
        <w:rPr/>
        <w:t>》约定的首次授予股票期权第二个行权期的业绩条件而冲减的股 票期权费用为人民币</w:t>
      </w:r>
      <w:r>
        <w:rPr>
          <w:spacing w:val="-60"/>
        </w:rPr>
        <w:t> </w:t>
      </w:r>
      <w:r>
        <w:rPr>
          <w:rFonts w:ascii="宋体" w:hAnsi="宋体" w:cs="宋体" w:eastAsia="宋体" w:hint="default"/>
        </w:rPr>
        <w:t>38,839,626</w:t>
      </w:r>
      <w:r>
        <w:rPr>
          <w:rFonts w:ascii="宋体" w:hAnsi="宋体" w:cs="宋体" w:eastAsia="宋体" w:hint="default"/>
          <w:spacing w:val="-60"/>
        </w:rPr>
        <w:t> </w:t>
      </w:r>
      <w:r>
        <w:rPr/>
        <w:t>元，合计为冲减股票期权费用人民币</w:t>
      </w:r>
      <w:r>
        <w:rPr>
          <w:spacing w:val="-60"/>
        </w:rPr>
        <w:t> </w:t>
      </w:r>
      <w:r>
        <w:rPr>
          <w:rFonts w:ascii="宋体" w:hAnsi="宋体" w:cs="宋体" w:eastAsia="宋体" w:hint="default"/>
        </w:rPr>
        <w:t>8,877,629</w:t>
      </w:r>
      <w:r>
        <w:rPr>
          <w:rFonts w:ascii="宋体" w:hAnsi="宋体" w:cs="宋体" w:eastAsia="宋体" w:hint="default"/>
          <w:spacing w:val="-60"/>
        </w:rPr>
        <w:t> </w:t>
      </w:r>
      <w:r>
        <w:rPr/>
        <w:t>元。</w:t>
      </w:r>
    </w:p>
    <w:p>
      <w:pPr>
        <w:spacing w:line="388" w:lineRule="auto" w:before="137"/>
        <w:ind w:left="618" w:right="4828" w:hanging="480"/>
        <w:jc w:val="left"/>
        <w:rPr>
          <w:rFonts w:ascii="宋体" w:hAnsi="宋体" w:cs="宋体" w:eastAsia="宋体" w:hint="default"/>
          <w:sz w:val="24"/>
          <w:szCs w:val="24"/>
        </w:rPr>
      </w:pPr>
      <w:r>
        <w:rPr>
          <w:rFonts w:ascii="宋体" w:hAnsi="宋体" w:cs="宋体" w:eastAsia="宋体" w:hint="default"/>
          <w:b/>
          <w:bCs/>
          <w:sz w:val="24"/>
          <w:szCs w:val="24"/>
        </w:rPr>
        <w:t>六、重大关联交易</w:t>
      </w:r>
      <w:r>
        <w:rPr>
          <w:rFonts w:ascii="宋体" w:hAnsi="宋体" w:cs="宋体" w:eastAsia="宋体" w:hint="default"/>
          <w:b/>
          <w:bCs/>
          <w:w w:val="99"/>
          <w:sz w:val="24"/>
          <w:szCs w:val="24"/>
        </w:rPr>
        <w:t> </w:t>
      </w:r>
      <w:r>
        <w:rPr>
          <w:rFonts w:ascii="宋体" w:hAnsi="宋体" w:cs="宋体" w:eastAsia="宋体" w:hint="default"/>
          <w:sz w:val="24"/>
          <w:szCs w:val="24"/>
        </w:rPr>
        <w:t>报告期内，公司不存在重大关联交易。</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18"/>
          <w:szCs w:val="18"/>
        </w:rPr>
      </w:pPr>
    </w:p>
    <w:p>
      <w:pPr>
        <w:pStyle w:val="Heading2"/>
        <w:spacing w:line="240" w:lineRule="auto"/>
        <w:ind w:right="0"/>
        <w:jc w:val="both"/>
        <w:rPr>
          <w:b w:val="0"/>
          <w:bCs w:val="0"/>
        </w:rPr>
      </w:pPr>
      <w:r>
        <w:rPr/>
        <w:t>七、</w:t>
      </w:r>
      <w:r>
        <w:rPr>
          <w:spacing w:val="-3"/>
        </w:rPr>
        <w:t> </w:t>
      </w:r>
      <w:r>
        <w:rPr/>
        <w:t>重大合同及其履行情况</w:t>
      </w:r>
      <w:r>
        <w:rPr>
          <w:b w:val="0"/>
          <w:bCs w:val="0"/>
        </w:rPr>
      </w:r>
    </w:p>
    <w:p>
      <w:pPr>
        <w:pStyle w:val="Heading2"/>
        <w:spacing w:line="240" w:lineRule="auto" w:before="194"/>
        <w:ind w:left="620" w:right="232"/>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4"/>
        </w:rPr>
        <w:t> </w:t>
      </w:r>
      <w:r>
        <w:rPr/>
        <w:t>托管、承包、租赁事项</w:t>
      </w:r>
      <w:r>
        <w:rPr>
          <w:b w:val="0"/>
          <w:bCs w:val="0"/>
        </w:rPr>
      </w:r>
    </w:p>
    <w:p>
      <w:pPr>
        <w:pStyle w:val="Heading3"/>
        <w:spacing w:line="240" w:lineRule="auto" w:before="194"/>
        <w:ind w:left="618" w:right="232"/>
        <w:jc w:val="left"/>
      </w:pPr>
      <w:r>
        <w:rPr/>
        <w:t>√ 不适用</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9"/>
          <w:szCs w:val="29"/>
        </w:rPr>
      </w:pPr>
    </w:p>
    <w:p>
      <w:pPr>
        <w:pStyle w:val="Heading2"/>
        <w:spacing w:line="240" w:lineRule="auto"/>
        <w:ind w:left="620" w:right="232"/>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担保情况</w:t>
      </w:r>
      <w:r>
        <w:rPr>
          <w:b w:val="0"/>
          <w:bCs w:val="0"/>
        </w:rPr>
      </w:r>
    </w:p>
    <w:p>
      <w:pPr>
        <w:pStyle w:val="Heading3"/>
        <w:spacing w:line="240" w:lineRule="auto" w:before="194"/>
        <w:ind w:left="618" w:right="232"/>
        <w:jc w:val="left"/>
      </w:pPr>
      <w:r>
        <w:rPr/>
        <w:t>√ 不适用</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9"/>
          <w:szCs w:val="29"/>
        </w:rPr>
      </w:pPr>
    </w:p>
    <w:p>
      <w:pPr>
        <w:pStyle w:val="Heading2"/>
        <w:spacing w:line="240" w:lineRule="auto"/>
        <w:ind w:left="620" w:right="232"/>
        <w:jc w:val="left"/>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其他重大合同</w:t>
      </w:r>
      <w:r>
        <w:rPr>
          <w:b w:val="0"/>
          <w:bCs w:val="0"/>
        </w:rPr>
      </w:r>
    </w:p>
    <w:p>
      <w:pPr>
        <w:pStyle w:val="Heading3"/>
        <w:spacing w:line="297" w:lineRule="auto" w:before="197"/>
        <w:ind w:right="82" w:firstLine="480"/>
        <w:jc w:val="left"/>
      </w:pP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月，公司与中国建筑第五工程局有限公司签署《用友分销管理软件开发基 地</w:t>
      </w:r>
      <w:r>
        <w:rPr>
          <w:spacing w:val="-60"/>
        </w:rPr>
        <w:t> </w:t>
      </w:r>
      <w:r>
        <w:rPr>
          <w:rFonts w:ascii="宋体" w:hAnsi="宋体" w:cs="宋体" w:eastAsia="宋体" w:hint="default"/>
        </w:rPr>
        <w:t>1#</w:t>
      </w:r>
      <w:r>
        <w:rPr/>
        <w:t>、</w:t>
      </w:r>
      <w:r>
        <w:rPr>
          <w:rFonts w:ascii="宋体" w:hAnsi="宋体" w:cs="宋体" w:eastAsia="宋体" w:hint="default"/>
        </w:rPr>
        <w:t>2#</w:t>
      </w:r>
      <w:r>
        <w:rPr/>
        <w:t>建筑组团（培训）工程补充协议书》，依据合同约定，中国建筑第五工程局有 </w:t>
      </w:r>
      <w:r>
        <w:rPr>
          <w:spacing w:val="-2"/>
        </w:rPr>
        <w:t>限公司承包公司新版施工图纸范围内土建、装修、给排水、通风空调、采暖、电气工程，</w:t>
      </w:r>
      <w:r>
        <w:rPr>
          <w:spacing w:val="-100"/>
        </w:rPr>
        <w:t> </w:t>
      </w:r>
      <w:r>
        <w:rPr>
          <w:spacing w:val="-100"/>
        </w:rPr>
      </w:r>
      <w:r>
        <w:rPr/>
        <w:t>拆除工程，合同价款为</w:t>
      </w:r>
      <w:r>
        <w:rPr>
          <w:spacing w:val="-60"/>
        </w:rPr>
        <w:t> </w:t>
      </w:r>
      <w:r>
        <w:rPr>
          <w:rFonts w:ascii="宋体" w:hAnsi="宋体" w:cs="宋体" w:eastAsia="宋体" w:hint="default"/>
        </w:rPr>
        <w:t>4,500</w:t>
      </w:r>
      <w:r>
        <w:rPr>
          <w:rFonts w:ascii="宋体" w:hAnsi="宋体" w:cs="宋体" w:eastAsia="宋体" w:hint="default"/>
          <w:spacing w:val="-60"/>
        </w:rPr>
        <w:t> </w:t>
      </w:r>
      <w:r>
        <w:rPr/>
        <w:t>万元。</w:t>
      </w:r>
    </w:p>
    <w:p>
      <w:pPr>
        <w:pStyle w:val="Heading3"/>
        <w:spacing w:line="297" w:lineRule="auto"/>
        <w:ind w:right="287" w:firstLine="480"/>
        <w:jc w:val="both"/>
      </w:pP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月，公司与中国联合网络通信有限公司签署《</w:t>
      </w:r>
      <w:r>
        <w:rPr>
          <w:rFonts w:ascii="宋体" w:hAnsi="宋体" w:cs="宋体" w:eastAsia="宋体" w:hint="default"/>
        </w:rPr>
        <w:t>2012</w:t>
      </w:r>
      <w:r>
        <w:rPr>
          <w:rFonts w:ascii="宋体" w:hAnsi="宋体" w:cs="宋体" w:eastAsia="宋体" w:hint="default"/>
          <w:spacing w:val="-60"/>
        </w:rPr>
        <w:t> </w:t>
      </w:r>
      <w:r>
        <w:rPr/>
        <w:t>年中国联通总部采购 管理系统应用软件更新改造工程软件委托开发合同》，依据合同约定，中国联合网络通 信有限公司委托公司开发应用软件，进而在相关系统和设备上使用该等软件，合同价款 为</w:t>
      </w:r>
      <w:r>
        <w:rPr>
          <w:spacing w:val="-60"/>
        </w:rPr>
        <w:t> </w:t>
      </w:r>
      <w:r>
        <w:rPr>
          <w:rFonts w:ascii="宋体" w:hAnsi="宋体" w:cs="宋体" w:eastAsia="宋体" w:hint="default"/>
        </w:rPr>
        <w:t>2,080</w:t>
      </w:r>
      <w:r>
        <w:rPr>
          <w:rFonts w:ascii="宋体" w:hAnsi="宋体" w:cs="宋体" w:eastAsia="宋体" w:hint="default"/>
          <w:spacing w:val="-60"/>
        </w:rPr>
        <w:t> </w:t>
      </w:r>
      <w:r>
        <w:rPr/>
        <w:t>万元。</w:t>
      </w:r>
    </w:p>
    <w:p>
      <w:pPr>
        <w:pStyle w:val="Heading2"/>
        <w:spacing w:line="240" w:lineRule="auto" w:before="137"/>
        <w:ind w:right="0"/>
        <w:jc w:val="both"/>
        <w:rPr>
          <w:b w:val="0"/>
          <w:bCs w:val="0"/>
        </w:rPr>
      </w:pPr>
      <w:r>
        <w:rPr/>
        <w:t>八、</w:t>
      </w:r>
      <w:r>
        <w:rPr>
          <w:spacing w:val="-1"/>
        </w:rPr>
        <w:t> </w:t>
      </w:r>
      <w:r>
        <w:rPr/>
        <w:t>承诺事项履行情况</w:t>
      </w:r>
      <w:r>
        <w:rPr>
          <w:b w:val="0"/>
          <w:bCs w:val="0"/>
        </w:rPr>
      </w:r>
    </w:p>
    <w:p>
      <w:pPr>
        <w:spacing w:line="388" w:lineRule="auto" w:before="197"/>
        <w:ind w:left="138" w:right="5774" w:firstLine="480"/>
        <w:jc w:val="left"/>
        <w:rPr>
          <w:rFonts w:ascii="宋体" w:hAnsi="宋体" w:cs="宋体" w:eastAsia="宋体" w:hint="default"/>
          <w:sz w:val="24"/>
          <w:szCs w:val="24"/>
        </w:rPr>
      </w:pPr>
      <w:r>
        <w:rPr>
          <w:rFonts w:ascii="宋体" w:hAnsi="宋体" w:cs="宋体" w:eastAsia="宋体" w:hint="default"/>
          <w:sz w:val="24"/>
          <w:szCs w:val="24"/>
        </w:rPr>
        <w:t>√不适用 </w:t>
      </w:r>
      <w:r>
        <w:rPr>
          <w:rFonts w:ascii="宋体" w:hAnsi="宋体" w:cs="宋体" w:eastAsia="宋体" w:hint="default"/>
          <w:b/>
          <w:bCs/>
          <w:sz w:val="24"/>
          <w:szCs w:val="24"/>
        </w:rPr>
        <w:t>九、聘任、解聘会计师事务所情况</w:t>
      </w:r>
      <w:r>
        <w:rPr>
          <w:rFonts w:ascii="宋体" w:hAnsi="宋体" w:cs="宋体" w:eastAsia="宋体" w:hint="default"/>
          <w:sz w:val="24"/>
          <w:szCs w:val="24"/>
        </w:rPr>
      </w:r>
    </w:p>
    <w:p>
      <w:pPr>
        <w:pStyle w:val="Heading3"/>
        <w:spacing w:line="297" w:lineRule="auto" w:before="46"/>
        <w:ind w:right="268" w:firstLine="480"/>
        <w:jc w:val="left"/>
      </w:pPr>
      <w:r>
        <w:rPr/>
        <w:t>报告期内，公司继续聘用安永华明会计师事务所（特殊普通合伙）为公司财务报告 审计机构，支付费用情况如下：</w:t>
      </w:r>
    </w:p>
    <w:p>
      <w:pPr>
        <w:pStyle w:val="Heading5"/>
        <w:spacing w:line="240" w:lineRule="auto" w:before="141"/>
        <w:ind w:right="218"/>
        <w:jc w:val="right"/>
      </w:pPr>
      <w:r>
        <w:rPr/>
        <w:t>单位：元</w:t>
      </w:r>
      <w:r>
        <w:rPr>
          <w:spacing w:val="1"/>
        </w:rPr>
        <w:t> </w:t>
      </w:r>
      <w:r>
        <w:rPr/>
        <w:t>币种：人民币</w:t>
      </w:r>
    </w:p>
    <w:p>
      <w:pPr>
        <w:spacing w:line="240" w:lineRule="auto" w:before="11"/>
        <w:rPr>
          <w:rFonts w:ascii="宋体" w:hAnsi="宋体" w:cs="宋体" w:eastAsia="宋体" w:hint="default"/>
          <w:sz w:val="16"/>
          <w:szCs w:val="16"/>
        </w:rPr>
      </w:pPr>
    </w:p>
    <w:tbl>
      <w:tblPr>
        <w:tblW w:w="0" w:type="auto"/>
        <w:jc w:val="left"/>
        <w:tblInd w:w="555" w:type="dxa"/>
        <w:tblLayout w:type="fixed"/>
        <w:tblCellMar>
          <w:top w:w="0" w:type="dxa"/>
          <w:left w:w="0" w:type="dxa"/>
          <w:bottom w:w="0" w:type="dxa"/>
          <w:right w:w="0" w:type="dxa"/>
        </w:tblCellMar>
        <w:tblLook w:val="01E0"/>
      </w:tblPr>
      <w:tblGrid>
        <w:gridCol w:w="3259"/>
        <w:gridCol w:w="2551"/>
        <w:gridCol w:w="2693"/>
      </w:tblGrid>
      <w:tr>
        <w:trPr>
          <w:trHeight w:val="494" w:hRule="exact"/>
        </w:trPr>
        <w:tc>
          <w:tcPr>
            <w:tcW w:w="325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42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51"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1029"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1099"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年度</w:t>
            </w:r>
          </w:p>
        </w:tc>
      </w:tr>
      <w:tr>
        <w:trPr>
          <w:trHeight w:val="396" w:hRule="exact"/>
        </w:trPr>
        <w:tc>
          <w:tcPr>
            <w:tcW w:w="32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1"/>
              <w:ind w:left="4" w:right="0"/>
              <w:jc w:val="left"/>
              <w:rPr>
                <w:rFonts w:ascii="宋体" w:hAnsi="宋体" w:cs="宋体" w:eastAsia="宋体" w:hint="default"/>
                <w:sz w:val="21"/>
                <w:szCs w:val="21"/>
              </w:rPr>
            </w:pPr>
            <w:r>
              <w:rPr>
                <w:rFonts w:ascii="宋体" w:hAnsi="宋体" w:cs="宋体" w:eastAsia="宋体" w:hint="default"/>
                <w:sz w:val="21"/>
                <w:szCs w:val="21"/>
              </w:rPr>
              <w:t>财务报告审计费用</w:t>
            </w:r>
          </w:p>
        </w:tc>
        <w:tc>
          <w:tcPr>
            <w:tcW w:w="25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1"/>
              <w:ind w:left="1586" w:right="-3"/>
              <w:jc w:val="left"/>
              <w:rPr>
                <w:rFonts w:ascii="宋体" w:hAnsi="宋体" w:cs="宋体" w:eastAsia="宋体" w:hint="default"/>
                <w:sz w:val="21"/>
                <w:szCs w:val="21"/>
              </w:rPr>
            </w:pPr>
            <w:r>
              <w:rPr>
                <w:rFonts w:ascii="宋体"/>
                <w:sz w:val="21"/>
              </w:rPr>
              <w:t>1,950,000</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1"/>
              <w:ind w:left="1723" w:right="0"/>
              <w:jc w:val="left"/>
              <w:rPr>
                <w:rFonts w:ascii="宋体" w:hAnsi="宋体" w:cs="宋体" w:eastAsia="宋体" w:hint="default"/>
                <w:sz w:val="21"/>
                <w:szCs w:val="21"/>
              </w:rPr>
            </w:pPr>
            <w:r>
              <w:rPr>
                <w:rFonts w:ascii="宋体"/>
                <w:sz w:val="21"/>
              </w:rPr>
              <w:t>1,850,000</w:t>
            </w:r>
          </w:p>
        </w:tc>
      </w:tr>
    </w:tbl>
    <w:p>
      <w:pPr>
        <w:spacing w:after="0" w:line="240" w:lineRule="auto"/>
        <w:jc w:val="left"/>
        <w:rPr>
          <w:rFonts w:ascii="宋体" w:hAnsi="宋体" w:cs="宋体" w:eastAsia="宋体" w:hint="default"/>
          <w:sz w:val="21"/>
          <w:szCs w:val="21"/>
        </w:rPr>
        <w:sectPr>
          <w:pgSz w:w="11910" w:h="16850"/>
          <w:pgMar w:header="752" w:footer="730" w:top="1020" w:bottom="920" w:left="1280" w:right="10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675" w:type="dxa"/>
        <w:tblLayout w:type="fixed"/>
        <w:tblCellMar>
          <w:top w:w="0" w:type="dxa"/>
          <w:left w:w="0" w:type="dxa"/>
          <w:bottom w:w="0" w:type="dxa"/>
          <w:right w:w="0" w:type="dxa"/>
        </w:tblCellMar>
        <w:tblLook w:val="01E0"/>
      </w:tblPr>
      <w:tblGrid>
        <w:gridCol w:w="3259"/>
        <w:gridCol w:w="2551"/>
        <w:gridCol w:w="2693"/>
      </w:tblGrid>
      <w:tr>
        <w:trPr>
          <w:trHeight w:val="396" w:hRule="exact"/>
        </w:trPr>
        <w:tc>
          <w:tcPr>
            <w:tcW w:w="32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1"/>
              <w:ind w:left="4" w:right="0"/>
              <w:jc w:val="left"/>
              <w:rPr>
                <w:rFonts w:ascii="宋体" w:hAnsi="宋体" w:cs="宋体" w:eastAsia="宋体" w:hint="default"/>
                <w:sz w:val="21"/>
                <w:szCs w:val="21"/>
              </w:rPr>
            </w:pPr>
            <w:r>
              <w:rPr>
                <w:rFonts w:ascii="宋体" w:hAnsi="宋体" w:cs="宋体" w:eastAsia="宋体" w:hint="default"/>
                <w:sz w:val="21"/>
                <w:szCs w:val="21"/>
              </w:rPr>
              <w:t>其中：年末应付未付费用</w:t>
            </w:r>
          </w:p>
        </w:tc>
        <w:tc>
          <w:tcPr>
            <w:tcW w:w="25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1"/>
              <w:ind w:right="-3"/>
              <w:jc w:val="right"/>
              <w:rPr>
                <w:rFonts w:ascii="宋体" w:hAnsi="宋体" w:cs="宋体" w:eastAsia="宋体" w:hint="default"/>
                <w:sz w:val="21"/>
                <w:szCs w:val="21"/>
              </w:rPr>
            </w:pPr>
            <w:r>
              <w:rPr>
                <w:rFonts w:ascii="宋体"/>
                <w:spacing w:val="-1"/>
                <w:sz w:val="21"/>
              </w:rPr>
              <w:t>1,950,000</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1"/>
              <w:ind w:right="0"/>
              <w:jc w:val="right"/>
              <w:rPr>
                <w:rFonts w:ascii="宋体" w:hAnsi="宋体" w:cs="宋体" w:eastAsia="宋体" w:hint="default"/>
                <w:sz w:val="21"/>
                <w:szCs w:val="21"/>
              </w:rPr>
            </w:pPr>
            <w:r>
              <w:rPr>
                <w:rFonts w:ascii="宋体"/>
                <w:spacing w:val="-1"/>
                <w:sz w:val="21"/>
              </w:rPr>
              <w:t>1,350,000</w:t>
            </w:r>
          </w:p>
        </w:tc>
      </w:tr>
      <w:tr>
        <w:trPr>
          <w:trHeight w:val="394" w:hRule="exact"/>
        </w:trPr>
        <w:tc>
          <w:tcPr>
            <w:tcW w:w="32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left="4" w:right="0"/>
              <w:jc w:val="left"/>
              <w:rPr>
                <w:rFonts w:ascii="宋体" w:hAnsi="宋体" w:cs="宋体" w:eastAsia="宋体" w:hint="default"/>
                <w:sz w:val="21"/>
                <w:szCs w:val="21"/>
              </w:rPr>
            </w:pPr>
            <w:r>
              <w:rPr>
                <w:rFonts w:ascii="宋体" w:hAnsi="宋体" w:cs="宋体" w:eastAsia="宋体" w:hint="default"/>
                <w:sz w:val="21"/>
                <w:szCs w:val="21"/>
              </w:rPr>
              <w:t>差旅费用</w:t>
            </w:r>
          </w:p>
        </w:tc>
        <w:tc>
          <w:tcPr>
            <w:tcW w:w="25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3"/>
              <w:jc w:val="right"/>
              <w:rPr>
                <w:rFonts w:ascii="宋体" w:hAnsi="宋体" w:cs="宋体" w:eastAsia="宋体" w:hint="default"/>
                <w:sz w:val="21"/>
                <w:szCs w:val="21"/>
              </w:rPr>
            </w:pPr>
            <w:r>
              <w:rPr>
                <w:rFonts w:ascii="宋体"/>
                <w:spacing w:val="-1"/>
                <w:sz w:val="21"/>
              </w:rPr>
              <w:t>250,000</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0"/>
              <w:jc w:val="right"/>
              <w:rPr>
                <w:rFonts w:ascii="宋体" w:hAnsi="宋体" w:cs="宋体" w:eastAsia="宋体" w:hint="default"/>
                <w:sz w:val="21"/>
                <w:szCs w:val="21"/>
              </w:rPr>
            </w:pPr>
            <w:r>
              <w:rPr>
                <w:rFonts w:ascii="宋体"/>
                <w:spacing w:val="-1"/>
                <w:sz w:val="21"/>
              </w:rPr>
              <w:t>250,000</w:t>
            </w:r>
          </w:p>
        </w:tc>
      </w:tr>
      <w:tr>
        <w:trPr>
          <w:trHeight w:val="396" w:hRule="exact"/>
        </w:trPr>
        <w:tc>
          <w:tcPr>
            <w:tcW w:w="32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1"/>
              <w:ind w:left="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1"/>
              <w:ind w:right="-3"/>
              <w:jc w:val="right"/>
              <w:rPr>
                <w:rFonts w:ascii="宋体" w:hAnsi="宋体" w:cs="宋体" w:eastAsia="宋体" w:hint="default"/>
                <w:sz w:val="21"/>
                <w:szCs w:val="21"/>
              </w:rPr>
            </w:pPr>
            <w:r>
              <w:rPr>
                <w:rFonts w:ascii="宋体"/>
                <w:spacing w:val="-1"/>
                <w:sz w:val="21"/>
              </w:rPr>
              <w:t>2,200,000</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1"/>
              <w:ind w:right="0"/>
              <w:jc w:val="right"/>
              <w:rPr>
                <w:rFonts w:ascii="宋体" w:hAnsi="宋体" w:cs="宋体" w:eastAsia="宋体" w:hint="default"/>
                <w:sz w:val="21"/>
                <w:szCs w:val="21"/>
              </w:rPr>
            </w:pPr>
            <w:r>
              <w:rPr>
                <w:rFonts w:ascii="宋体"/>
                <w:spacing w:val="-1"/>
                <w:sz w:val="21"/>
              </w:rPr>
              <w:t>2,100,000</w:t>
            </w:r>
          </w:p>
        </w:tc>
      </w:tr>
    </w:tbl>
    <w:p>
      <w:pPr>
        <w:pStyle w:val="Heading3"/>
        <w:spacing w:line="273" w:lineRule="exact" w:before="0"/>
        <w:ind w:left="738" w:right="175"/>
        <w:jc w:val="left"/>
      </w:pPr>
      <w:r>
        <w:rPr/>
        <w:t>注：截至报告期末，安永华明会计师事务所（特殊普通合伙）已连续</w:t>
      </w:r>
      <w:r>
        <w:rPr>
          <w:spacing w:val="-89"/>
        </w:rPr>
        <w:t> </w:t>
      </w:r>
      <w:r>
        <w:rPr>
          <w:rFonts w:ascii="宋体" w:hAnsi="宋体" w:cs="宋体" w:eastAsia="宋体" w:hint="default"/>
        </w:rPr>
        <w:t>15</w:t>
      </w:r>
      <w:r>
        <w:rPr>
          <w:rFonts w:ascii="宋体" w:hAnsi="宋体" w:cs="宋体" w:eastAsia="宋体" w:hint="default"/>
          <w:spacing w:val="-89"/>
        </w:rPr>
        <w:t> </w:t>
      </w:r>
      <w:r>
        <w:rPr/>
        <w:t>年为公司提</w:t>
      </w:r>
    </w:p>
    <w:p>
      <w:pPr>
        <w:pStyle w:val="Heading3"/>
        <w:spacing w:line="313" w:lineRule="exact" w:before="0"/>
        <w:ind w:left="258" w:right="175"/>
        <w:jc w:val="left"/>
      </w:pPr>
      <w:r>
        <w:rPr/>
        <w:t>供审计服务。</w:t>
      </w:r>
    </w:p>
    <w:p>
      <w:pPr>
        <w:spacing w:line="240" w:lineRule="auto" w:before="1"/>
        <w:rPr>
          <w:rFonts w:ascii="宋体" w:hAnsi="宋体" w:cs="宋体" w:eastAsia="宋体" w:hint="default"/>
          <w:sz w:val="21"/>
          <w:szCs w:val="21"/>
        </w:rPr>
      </w:pPr>
    </w:p>
    <w:tbl>
      <w:tblPr>
        <w:tblW w:w="0" w:type="auto"/>
        <w:jc w:val="left"/>
        <w:tblInd w:w="675" w:type="dxa"/>
        <w:tblLayout w:type="fixed"/>
        <w:tblCellMar>
          <w:top w:w="0" w:type="dxa"/>
          <w:left w:w="0" w:type="dxa"/>
          <w:bottom w:w="0" w:type="dxa"/>
          <w:right w:w="0" w:type="dxa"/>
        </w:tblCellMar>
        <w:tblLook w:val="01E0"/>
      </w:tblPr>
      <w:tblGrid>
        <w:gridCol w:w="3401"/>
        <w:gridCol w:w="2695"/>
        <w:gridCol w:w="2410"/>
      </w:tblGrid>
      <w:tr>
        <w:trPr>
          <w:trHeight w:val="396" w:hRule="exact"/>
        </w:trPr>
        <w:tc>
          <w:tcPr>
            <w:tcW w:w="3401" w:type="dxa"/>
            <w:tcBorders>
              <w:top w:val="single" w:sz="8" w:space="0" w:color="000000"/>
              <w:left w:val="single" w:sz="8" w:space="0" w:color="000000"/>
              <w:bottom w:val="single" w:sz="8" w:space="0" w:color="000000"/>
              <w:right w:val="single" w:sz="8" w:space="0" w:color="000000"/>
            </w:tcBorders>
          </w:tcPr>
          <w:p>
            <w:pPr/>
          </w:p>
        </w:tc>
        <w:tc>
          <w:tcPr>
            <w:tcW w:w="269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756" w:hRule="exact"/>
        </w:trPr>
        <w:tc>
          <w:tcPr>
            <w:tcW w:w="34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29"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2695" w:type="dxa"/>
            <w:tcBorders>
              <w:top w:val="single" w:sz="8" w:space="0" w:color="000000"/>
              <w:left w:val="single" w:sz="8" w:space="0" w:color="000000"/>
              <w:bottom w:val="single" w:sz="8" w:space="0" w:color="000000"/>
              <w:right w:val="single" w:sz="8" w:space="0" w:color="000000"/>
            </w:tcBorders>
          </w:tcPr>
          <w:p>
            <w:pPr>
              <w:pStyle w:val="TableParagraph"/>
              <w:spacing w:line="314" w:lineRule="auto" w:before="71"/>
              <w:ind w:left="810" w:right="0" w:hanging="811"/>
              <w:jc w:val="left"/>
              <w:rPr>
                <w:rFonts w:ascii="宋体" w:hAnsi="宋体" w:cs="宋体" w:eastAsia="宋体" w:hint="default"/>
                <w:sz w:val="21"/>
                <w:szCs w:val="21"/>
              </w:rPr>
            </w:pPr>
            <w:r>
              <w:rPr>
                <w:rFonts w:ascii="宋体" w:hAnsi="宋体" w:cs="宋体" w:eastAsia="宋体" w:hint="default"/>
                <w:spacing w:val="-6"/>
                <w:sz w:val="21"/>
                <w:szCs w:val="21"/>
              </w:rPr>
              <w:t>信永中和会计师事务所（特殊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普通合伙）</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600,000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Heading2"/>
        <w:spacing w:line="297" w:lineRule="auto" w:before="26"/>
        <w:ind w:left="258" w:right="175"/>
        <w:jc w:val="left"/>
        <w:rPr>
          <w:b w:val="0"/>
          <w:bCs w:val="0"/>
        </w:rPr>
      </w:pPr>
      <w:r>
        <w:rPr/>
        <w:t>十、上市公司及其董事、监事、高级管理人员、持有</w:t>
      </w:r>
      <w:r>
        <w:rPr>
          <w:spacing w:val="-65"/>
        </w:rPr>
        <w:t> </w:t>
      </w:r>
      <w:r>
        <w:rPr>
          <w:rFonts w:ascii="宋体" w:hAnsi="宋体" w:cs="宋体" w:eastAsia="宋体" w:hint="default"/>
        </w:rPr>
        <w:t>5%</w:t>
      </w:r>
      <w:r>
        <w:rPr/>
        <w:t>以上股份的股东、实际控制人、</w:t>
      </w:r>
      <w:r>
        <w:rPr>
          <w:w w:val="99"/>
        </w:rPr>
        <w:t> </w:t>
      </w:r>
      <w:r>
        <w:rPr/>
        <w:t>收购人处罚及整改情况</w:t>
      </w:r>
      <w:r>
        <w:rPr>
          <w:b w:val="0"/>
          <w:bCs w:val="0"/>
        </w:rPr>
      </w:r>
    </w:p>
    <w:p>
      <w:pPr>
        <w:pStyle w:val="Heading3"/>
        <w:spacing w:line="297" w:lineRule="auto"/>
        <w:ind w:left="258" w:right="82" w:firstLine="480"/>
        <w:jc w:val="left"/>
      </w:pPr>
      <w:r>
        <w:rPr>
          <w:spacing w:val="-4"/>
        </w:rPr>
        <w:t>本年度公司及其董事、监事、高级管理人员、持有</w:t>
      </w:r>
      <w:r>
        <w:rPr>
          <w:spacing w:val="-86"/>
        </w:rPr>
        <w:t> </w:t>
      </w:r>
      <w:r>
        <w:rPr>
          <w:rFonts w:ascii="宋体" w:hAnsi="宋体" w:cs="宋体" w:eastAsia="宋体" w:hint="default"/>
        </w:rPr>
        <w:t>5%</w:t>
      </w:r>
      <w:r>
        <w:rPr/>
        <w:t>以上股份的股东、实际控制人、 收购人均未受中国证监会的稽查、行政处罚、通报批评及证券交易所的公开谴责。</w:t>
      </w:r>
    </w:p>
    <w:p>
      <w:pPr>
        <w:spacing w:line="388" w:lineRule="auto" w:before="139"/>
        <w:ind w:left="738" w:right="268" w:hanging="480"/>
        <w:jc w:val="left"/>
        <w:rPr>
          <w:rFonts w:ascii="宋体" w:hAnsi="宋体" w:cs="宋体" w:eastAsia="宋体" w:hint="default"/>
          <w:sz w:val="24"/>
          <w:szCs w:val="24"/>
        </w:rPr>
      </w:pPr>
      <w:r>
        <w:rPr>
          <w:rFonts w:ascii="宋体" w:hAnsi="宋体" w:cs="宋体" w:eastAsia="宋体" w:hint="default"/>
          <w:b/>
          <w:bCs/>
          <w:sz w:val="24"/>
          <w:szCs w:val="24"/>
        </w:rPr>
        <w:t>十一、其他重大事项的说明</w:t>
      </w:r>
      <w:r>
        <w:rPr>
          <w:rFonts w:ascii="宋体" w:hAnsi="宋体" w:cs="宋体" w:eastAsia="宋体" w:hint="default"/>
          <w:b/>
          <w:bCs/>
          <w:w w:val="99"/>
          <w:sz w:val="24"/>
          <w:szCs w:val="24"/>
        </w:rPr>
        <w:t> </w:t>
      </w:r>
      <w:r>
        <w:rPr>
          <w:rFonts w:ascii="宋体" w:hAnsi="宋体" w:cs="宋体" w:eastAsia="宋体" w:hint="default"/>
          <w:sz w:val="24"/>
          <w:szCs w:val="24"/>
        </w:rPr>
        <w:t>报告期内，公司根据《计算机软件保护条例》及《计算机软件著作权登记办法》规</w:t>
      </w:r>
    </w:p>
    <w:p>
      <w:pPr>
        <w:pStyle w:val="Heading3"/>
        <w:spacing w:line="240" w:lineRule="exact" w:before="0"/>
        <w:ind w:left="258" w:right="175"/>
        <w:jc w:val="left"/>
      </w:pPr>
      <w:r>
        <w:rPr/>
        <w:t>定，经中华人民共和国国家版权局批准，获得的软件著作权如下：</w:t>
      </w:r>
    </w:p>
    <w:p>
      <w:pPr>
        <w:spacing w:line="240" w:lineRule="auto" w:before="10"/>
        <w:rPr>
          <w:rFonts w:ascii="宋体" w:hAnsi="宋体" w:cs="宋体" w:eastAsia="宋体" w:hint="default"/>
          <w:sz w:val="17"/>
          <w:szCs w:val="17"/>
        </w:rPr>
      </w:pPr>
    </w:p>
    <w:tbl>
      <w:tblPr>
        <w:tblW w:w="0" w:type="auto"/>
        <w:jc w:val="left"/>
        <w:tblInd w:w="111" w:type="dxa"/>
        <w:tblLayout w:type="fixed"/>
        <w:tblCellMar>
          <w:top w:w="0" w:type="dxa"/>
          <w:left w:w="0" w:type="dxa"/>
          <w:bottom w:w="0" w:type="dxa"/>
          <w:right w:w="0" w:type="dxa"/>
        </w:tblCellMar>
        <w:tblLook w:val="01E0"/>
      </w:tblPr>
      <w:tblGrid>
        <w:gridCol w:w="708"/>
        <w:gridCol w:w="1702"/>
        <w:gridCol w:w="1274"/>
        <w:gridCol w:w="852"/>
        <w:gridCol w:w="1476"/>
        <w:gridCol w:w="1279"/>
        <w:gridCol w:w="1274"/>
        <w:gridCol w:w="773"/>
      </w:tblGrid>
      <w:tr>
        <w:trPr>
          <w:trHeight w:val="28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软件名称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产品简称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版本号</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登记号</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登记批准日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权利起算日</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82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w w:val="100"/>
                <w:sz w:val="21"/>
              </w:rPr>
              <w:t>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UFIDA</w:t>
            </w:r>
            <w:r>
              <w:rPr>
                <w:rFonts w:ascii="宋体" w:hAnsi="宋体" w:cs="宋体" w:eastAsia="宋体" w:hint="default"/>
                <w:spacing w:val="2"/>
                <w:sz w:val="21"/>
                <w:szCs w:val="21"/>
              </w:rPr>
              <w:t> </w:t>
            </w:r>
            <w:r>
              <w:rPr>
                <w:rFonts w:ascii="宋体" w:hAnsi="宋体" w:cs="宋体" w:eastAsia="宋体" w:hint="default"/>
                <w:sz w:val="21"/>
                <w:szCs w:val="21"/>
              </w:rPr>
              <w:t>ERP-</w:t>
            </w:r>
            <w:r>
              <w:rPr>
                <w:rFonts w:ascii="宋体" w:hAnsi="宋体" w:cs="宋体" w:eastAsia="宋体" w:hint="default"/>
                <w:sz w:val="21"/>
                <w:szCs w:val="21"/>
              </w:rPr>
              <w:t>房地</w:t>
            </w:r>
          </w:p>
          <w:p>
            <w:pPr>
              <w:pStyle w:val="TableParagraph"/>
              <w:spacing w:line="240" w:lineRule="auto"/>
              <w:ind w:left="103" w:right="113"/>
              <w:jc w:val="left"/>
              <w:rPr>
                <w:rFonts w:ascii="宋体" w:hAnsi="宋体" w:cs="宋体" w:eastAsia="宋体" w:hint="default"/>
                <w:sz w:val="21"/>
                <w:szCs w:val="21"/>
              </w:rPr>
            </w:pPr>
            <w:r>
              <w:rPr>
                <w:rFonts w:ascii="宋体" w:hAnsi="宋体" w:cs="宋体" w:eastAsia="宋体" w:hint="default"/>
                <w:sz w:val="21"/>
                <w:szCs w:val="21"/>
              </w:rPr>
              <w:t>产行业专业版软</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件</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05"/>
              <w:jc w:val="left"/>
              <w:rPr>
                <w:rFonts w:ascii="宋体" w:hAnsi="宋体" w:cs="宋体" w:eastAsia="宋体" w:hint="default"/>
                <w:sz w:val="21"/>
                <w:szCs w:val="21"/>
              </w:rPr>
            </w:pPr>
            <w:r>
              <w:rPr>
                <w:rFonts w:ascii="宋体" w:hAnsi="宋体" w:cs="宋体" w:eastAsia="宋体" w:hint="default"/>
                <w:sz w:val="21"/>
                <w:szCs w:val="21"/>
              </w:rPr>
              <w:t>用友地产专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业版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21"/>
                <w:szCs w:val="21"/>
              </w:rPr>
            </w:pPr>
            <w:r>
              <w:rPr>
                <w:rFonts w:ascii="宋体"/>
                <w:sz w:val="21"/>
              </w:rPr>
              <w:t>V5.0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2012SR016727</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2012-3-5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2011-10-18</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235"/>
              <w:jc w:val="left"/>
              <w:rPr>
                <w:rFonts w:ascii="宋体" w:hAnsi="宋体" w:cs="宋体" w:eastAsia="宋体" w:hint="default"/>
                <w:sz w:val="21"/>
                <w:szCs w:val="21"/>
              </w:rPr>
            </w:pPr>
            <w:r>
              <w:rPr>
                <w:rFonts w:ascii="宋体" w:hAnsi="宋体" w:cs="宋体" w:eastAsia="宋体" w:hint="default"/>
                <w:sz w:val="21"/>
                <w:szCs w:val="21"/>
              </w:rPr>
              <w:t>原始</w:t>
            </w:r>
            <w:r>
              <w:rPr>
                <w:rFonts w:ascii="宋体" w:hAnsi="宋体" w:cs="宋体" w:eastAsia="宋体" w:hint="default"/>
                <w:spacing w:val="-103"/>
                <w:sz w:val="21"/>
                <w:szCs w:val="21"/>
              </w:rPr>
              <w:t> </w:t>
            </w:r>
            <w:r>
              <w:rPr>
                <w:rFonts w:ascii="宋体" w:hAnsi="宋体" w:cs="宋体" w:eastAsia="宋体" w:hint="default"/>
                <w:sz w:val="21"/>
                <w:szCs w:val="21"/>
              </w:rPr>
              <w:t>取得</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UFIDA</w:t>
            </w:r>
            <w:r>
              <w:rPr>
                <w:rFonts w:ascii="宋体" w:hAnsi="宋体" w:cs="宋体" w:eastAsia="宋体" w:hint="default"/>
                <w:spacing w:val="-37"/>
                <w:sz w:val="21"/>
                <w:szCs w:val="21"/>
              </w:rPr>
              <w:t> </w:t>
            </w:r>
            <w:r>
              <w:rPr>
                <w:rFonts w:ascii="宋体" w:hAnsi="宋体" w:cs="宋体" w:eastAsia="宋体" w:hint="default"/>
                <w:sz w:val="21"/>
                <w:szCs w:val="21"/>
              </w:rPr>
              <w:t>NC</w:t>
            </w:r>
            <w:r>
              <w:rPr>
                <w:rFonts w:ascii="宋体" w:hAnsi="宋体" w:cs="宋体" w:eastAsia="宋体" w:hint="default"/>
                <w:spacing w:val="-53"/>
                <w:sz w:val="21"/>
                <w:szCs w:val="21"/>
              </w:rPr>
              <w:t> </w:t>
            </w:r>
            <w:r>
              <w:rPr>
                <w:rFonts w:ascii="宋体" w:hAnsi="宋体" w:cs="宋体" w:eastAsia="宋体" w:hint="default"/>
                <w:sz w:val="21"/>
                <w:szCs w:val="21"/>
              </w:rPr>
              <w:t>人力资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本管理系统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用友</w:t>
            </w:r>
            <w:r>
              <w:rPr>
                <w:rFonts w:ascii="宋体" w:hAnsi="宋体" w:cs="宋体" w:eastAsia="宋体" w:hint="default"/>
                <w:spacing w:val="-52"/>
                <w:sz w:val="21"/>
                <w:szCs w:val="21"/>
              </w:rPr>
              <w:t> </w:t>
            </w:r>
            <w:r>
              <w:rPr>
                <w:rFonts w:ascii="宋体" w:hAnsi="宋体" w:cs="宋体" w:eastAsia="宋体" w:hint="default"/>
                <w:sz w:val="21"/>
                <w:szCs w:val="21"/>
              </w:rPr>
              <w:t>HCM</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sz w:val="21"/>
              </w:rPr>
              <w:t>V6.0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2012SR026421</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2012-4-6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2011-11-30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原始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UFIDA UAP</w:t>
            </w:r>
            <w:r>
              <w:rPr>
                <w:rFonts w:ascii="宋体" w:hAnsi="宋体" w:cs="宋体" w:eastAsia="宋体" w:hint="default"/>
                <w:spacing w:val="-50"/>
                <w:sz w:val="21"/>
                <w:szCs w:val="21"/>
              </w:rPr>
              <w:t> </w:t>
            </w:r>
            <w:r>
              <w:rPr>
                <w:rFonts w:ascii="宋体" w:hAnsi="宋体" w:cs="宋体" w:eastAsia="宋体" w:hint="default"/>
                <w:sz w:val="21"/>
                <w:szCs w:val="21"/>
              </w:rPr>
              <w:t>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应用平台软件</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UFIDA</w:t>
            </w:r>
            <w:r>
              <w:rPr>
                <w:rFonts w:ascii="宋体"/>
                <w:spacing w:val="2"/>
                <w:sz w:val="21"/>
              </w:rPr>
              <w:t> </w:t>
            </w:r>
            <w:r>
              <w:rPr>
                <w:rFonts w:ascii="宋体"/>
                <w:sz w:val="21"/>
              </w:rPr>
              <w:t>UAP</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sz w:val="21"/>
              </w:rPr>
              <w:t>V6.0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2012SR026213</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2012-4-6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2011-11-30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原始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UFIDA</w:t>
            </w:r>
            <w:r>
              <w:rPr>
                <w:rFonts w:ascii="宋体" w:hAnsi="宋体" w:cs="宋体" w:eastAsia="宋体" w:hint="default"/>
                <w:spacing w:val="-37"/>
                <w:sz w:val="21"/>
                <w:szCs w:val="21"/>
              </w:rPr>
              <w:t> </w:t>
            </w:r>
            <w:r>
              <w:rPr>
                <w:rFonts w:ascii="宋体" w:hAnsi="宋体" w:cs="宋体" w:eastAsia="宋体" w:hint="default"/>
                <w:sz w:val="21"/>
                <w:szCs w:val="21"/>
              </w:rPr>
              <w:t>NC</w:t>
            </w:r>
            <w:r>
              <w:rPr>
                <w:rFonts w:ascii="宋体" w:hAnsi="宋体" w:cs="宋体" w:eastAsia="宋体" w:hint="default"/>
                <w:spacing w:val="-53"/>
                <w:sz w:val="21"/>
                <w:szCs w:val="21"/>
              </w:rPr>
              <w:t> </w:t>
            </w:r>
            <w:r>
              <w:rPr>
                <w:rFonts w:ascii="宋体" w:hAnsi="宋体" w:cs="宋体" w:eastAsia="宋体" w:hint="default"/>
                <w:sz w:val="21"/>
                <w:szCs w:val="21"/>
              </w:rPr>
              <w:t>企业管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理软件</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UFIDA</w:t>
            </w:r>
            <w:r>
              <w:rPr>
                <w:rFonts w:ascii="宋体"/>
                <w:spacing w:val="2"/>
                <w:sz w:val="21"/>
              </w:rPr>
              <w:t> </w:t>
            </w:r>
            <w:r>
              <w:rPr>
                <w:rFonts w:ascii="宋体"/>
                <w:sz w:val="21"/>
              </w:rPr>
              <w:t>NC</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sz w:val="21"/>
              </w:rPr>
              <w:t>V6.0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2012SR026210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2012-4-6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2011-11-30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原始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w:t>
            </w:r>
          </w:p>
        </w:tc>
      </w:tr>
      <w:tr>
        <w:trPr>
          <w:trHeight w:val="55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用友智能监控系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用友</w:t>
            </w:r>
            <w:r>
              <w:rPr>
                <w:rFonts w:ascii="宋体" w:hAnsi="宋体" w:cs="宋体" w:eastAsia="宋体" w:hint="default"/>
                <w:spacing w:val="-52"/>
                <w:sz w:val="21"/>
                <w:szCs w:val="21"/>
              </w:rPr>
              <w:t> </w:t>
            </w:r>
            <w:r>
              <w:rPr>
                <w:rFonts w:ascii="宋体" w:hAnsi="宋体" w:cs="宋体" w:eastAsia="宋体" w:hint="default"/>
                <w:sz w:val="21"/>
                <w:szCs w:val="21"/>
              </w:rPr>
              <w:t>NMC</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sz w:val="21"/>
              </w:rPr>
              <w:t>V6.0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2012SR026424</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2012-4-6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2011-11-30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w w:val="100"/>
                <w:sz w:val="21"/>
              </w:rPr>
              <w:t>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用友企业服务总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线系统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企业服务总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线</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1" w:right="0"/>
              <w:jc w:val="left"/>
              <w:rPr>
                <w:rFonts w:ascii="宋体" w:hAnsi="宋体" w:cs="宋体" w:eastAsia="宋体" w:hint="default"/>
                <w:sz w:val="21"/>
                <w:szCs w:val="21"/>
              </w:rPr>
            </w:pPr>
            <w:r>
              <w:rPr>
                <w:rFonts w:ascii="宋体"/>
                <w:sz w:val="21"/>
              </w:rPr>
              <w:t>V6.0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sz w:val="21"/>
              </w:rPr>
              <w:t>2012SR026422</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2012-4-6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2011-11-30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原始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w:t>
            </w:r>
          </w:p>
        </w:tc>
      </w:tr>
      <w:tr>
        <w:trPr>
          <w:trHeight w:val="1099"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w w:val="100"/>
                <w:sz w:val="21"/>
              </w:rPr>
              <w:t>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用友产品数据管</w:t>
            </w:r>
          </w:p>
          <w:p>
            <w:pPr>
              <w:pStyle w:val="TableParagraph"/>
              <w:spacing w:line="237" w:lineRule="auto"/>
              <w:ind w:left="103" w:right="324"/>
              <w:jc w:val="left"/>
              <w:rPr>
                <w:rFonts w:ascii="宋体" w:hAnsi="宋体" w:cs="宋体" w:eastAsia="宋体" w:hint="default"/>
                <w:sz w:val="21"/>
                <w:szCs w:val="21"/>
              </w:rPr>
            </w:pP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Professional</w:t>
            </w:r>
            <w:r>
              <w:rPr>
                <w:rFonts w:ascii="宋体" w:hAnsi="宋体" w:cs="宋体" w:eastAsia="宋体" w:hint="default"/>
                <w:w w:val="100"/>
                <w:sz w:val="21"/>
                <w:szCs w:val="21"/>
              </w:rPr>
              <w:t> </w:t>
            </w:r>
            <w:r>
              <w:rPr>
                <w:rFonts w:ascii="宋体" w:hAnsi="宋体" w:cs="宋体" w:eastAsia="宋体" w:hint="default"/>
                <w:sz w:val="21"/>
                <w:szCs w:val="21"/>
              </w:rPr>
              <w:t>版系统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5"/>
              <w:jc w:val="left"/>
              <w:rPr>
                <w:rFonts w:ascii="宋体" w:hAnsi="宋体" w:cs="宋体" w:eastAsia="宋体" w:hint="default"/>
                <w:sz w:val="21"/>
                <w:szCs w:val="21"/>
              </w:rPr>
            </w:pPr>
            <w:r>
              <w:rPr>
                <w:rFonts w:ascii="宋体" w:hAnsi="宋体" w:cs="宋体" w:eastAsia="宋体" w:hint="default"/>
                <w:sz w:val="21"/>
                <w:szCs w:val="21"/>
              </w:rPr>
              <w:t>用友</w:t>
            </w:r>
            <w:r>
              <w:rPr>
                <w:rFonts w:ascii="宋体" w:hAnsi="宋体" w:cs="宋体" w:eastAsia="宋体" w:hint="default"/>
                <w:spacing w:val="-53"/>
                <w:sz w:val="21"/>
                <w:szCs w:val="21"/>
              </w:rPr>
              <w:t> </w:t>
            </w:r>
            <w:r>
              <w:rPr>
                <w:rFonts w:ascii="宋体" w:hAnsi="宋体" w:cs="宋体" w:eastAsia="宋体" w:hint="default"/>
                <w:sz w:val="21"/>
                <w:szCs w:val="21"/>
              </w:rPr>
              <w:t>PDM</w:t>
            </w:r>
            <w:r>
              <w:rPr>
                <w:rFonts w:ascii="宋体" w:hAnsi="宋体" w:cs="宋体" w:eastAsia="宋体" w:hint="default"/>
                <w:w w:val="100"/>
                <w:sz w:val="21"/>
                <w:szCs w:val="21"/>
              </w:rPr>
              <w:t> </w:t>
            </w:r>
            <w:r>
              <w:rPr>
                <w:rFonts w:ascii="宋体" w:hAnsi="宋体" w:cs="宋体" w:eastAsia="宋体" w:hint="default"/>
                <w:sz w:val="21"/>
                <w:szCs w:val="21"/>
              </w:rPr>
              <w:t>Profession</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al</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211" w:right="0"/>
              <w:jc w:val="left"/>
              <w:rPr>
                <w:rFonts w:ascii="宋体" w:hAnsi="宋体" w:cs="宋体" w:eastAsia="宋体" w:hint="default"/>
                <w:sz w:val="21"/>
                <w:szCs w:val="21"/>
              </w:rPr>
            </w:pPr>
            <w:r>
              <w:rPr>
                <w:rFonts w:ascii="宋体"/>
                <w:sz w:val="21"/>
              </w:rPr>
              <w:t>V7.0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2" w:right="0"/>
              <w:jc w:val="center"/>
              <w:rPr>
                <w:rFonts w:ascii="宋体" w:hAnsi="宋体" w:cs="宋体" w:eastAsia="宋体" w:hint="default"/>
                <w:sz w:val="21"/>
                <w:szCs w:val="21"/>
              </w:rPr>
            </w:pPr>
            <w:r>
              <w:rPr>
                <w:rFonts w:ascii="宋体"/>
                <w:sz w:val="21"/>
              </w:rPr>
              <w:t>2012SR028232</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2012-4-12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sz w:val="21"/>
              </w:rPr>
              <w:t>2012-1-11</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03" w:right="235"/>
              <w:jc w:val="left"/>
              <w:rPr>
                <w:rFonts w:ascii="宋体" w:hAnsi="宋体" w:cs="宋体" w:eastAsia="宋体" w:hint="default"/>
                <w:sz w:val="21"/>
                <w:szCs w:val="21"/>
              </w:rPr>
            </w:pPr>
            <w:r>
              <w:rPr>
                <w:rFonts w:ascii="宋体" w:hAnsi="宋体" w:cs="宋体" w:eastAsia="宋体" w:hint="default"/>
                <w:sz w:val="21"/>
                <w:szCs w:val="21"/>
              </w:rPr>
              <w:t>原始</w:t>
            </w:r>
            <w:r>
              <w:rPr>
                <w:rFonts w:ascii="宋体" w:hAnsi="宋体" w:cs="宋体" w:eastAsia="宋体" w:hint="default"/>
                <w:spacing w:val="-103"/>
                <w:sz w:val="21"/>
                <w:szCs w:val="21"/>
              </w:rPr>
              <w:t> </w:t>
            </w:r>
            <w:r>
              <w:rPr>
                <w:rFonts w:ascii="宋体" w:hAnsi="宋体" w:cs="宋体" w:eastAsia="宋体" w:hint="default"/>
                <w:sz w:val="21"/>
                <w:szCs w:val="21"/>
              </w:rPr>
              <w:t>取得</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用友分析引擎软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件</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UFIDA</w:t>
            </w:r>
            <w:r>
              <w:rPr>
                <w:rFonts w:ascii="宋体"/>
                <w:spacing w:val="2"/>
                <w:sz w:val="21"/>
              </w:rPr>
              <w:t> </w:t>
            </w:r>
            <w:r>
              <w:rPr>
                <w:rFonts w:ascii="宋体"/>
                <w:sz w:val="21"/>
              </w:rPr>
              <w:t>AE</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sz w:val="21"/>
              </w:rPr>
              <w:t>V6.0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2012SR031111</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2012-4-20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2011-11-30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原始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UFIDA</w:t>
            </w:r>
            <w:r>
              <w:rPr>
                <w:rFonts w:ascii="宋体" w:hAnsi="宋体" w:cs="宋体" w:eastAsia="宋体" w:hint="default"/>
                <w:spacing w:val="-37"/>
                <w:sz w:val="21"/>
                <w:szCs w:val="21"/>
              </w:rPr>
              <w:t> </w:t>
            </w:r>
            <w:r>
              <w:rPr>
                <w:rFonts w:ascii="宋体" w:hAnsi="宋体" w:cs="宋体" w:eastAsia="宋体" w:hint="default"/>
                <w:sz w:val="21"/>
                <w:szCs w:val="21"/>
              </w:rPr>
              <w:t>U9</w:t>
            </w:r>
            <w:r>
              <w:rPr>
                <w:rFonts w:ascii="宋体" w:hAnsi="宋体" w:cs="宋体" w:eastAsia="宋体" w:hint="default"/>
                <w:spacing w:val="-53"/>
                <w:sz w:val="21"/>
                <w:szCs w:val="21"/>
              </w:rPr>
              <w:t> </w:t>
            </w:r>
            <w:r>
              <w:rPr>
                <w:rFonts w:ascii="宋体" w:hAnsi="宋体" w:cs="宋体" w:eastAsia="宋体" w:hint="default"/>
                <w:sz w:val="21"/>
                <w:szCs w:val="21"/>
              </w:rPr>
              <w:t>企业管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理软件</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UFIDA</w:t>
            </w:r>
            <w:r>
              <w:rPr>
                <w:rFonts w:ascii="宋体"/>
                <w:spacing w:val="2"/>
                <w:sz w:val="21"/>
              </w:rPr>
              <w:t> </w:t>
            </w:r>
            <w:r>
              <w:rPr>
                <w:rFonts w:ascii="宋体"/>
                <w:sz w:val="21"/>
              </w:rPr>
              <w:t>U9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54"/>
              <w:jc w:val="right"/>
              <w:rPr>
                <w:rFonts w:ascii="宋体" w:hAnsi="宋体" w:cs="宋体" w:eastAsia="宋体" w:hint="default"/>
                <w:sz w:val="21"/>
                <w:szCs w:val="21"/>
              </w:rPr>
            </w:pPr>
            <w:r>
              <w:rPr>
                <w:rFonts w:ascii="宋体"/>
                <w:sz w:val="21"/>
              </w:rPr>
              <w:t>V2.50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2012SR047251</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2012-6-6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2012-3-6</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原始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农民工人力资源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管理系统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农民工系统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54"/>
              <w:jc w:val="right"/>
              <w:rPr>
                <w:rFonts w:ascii="宋体" w:hAnsi="宋体" w:cs="宋体" w:eastAsia="宋体" w:hint="default"/>
                <w:sz w:val="21"/>
                <w:szCs w:val="21"/>
              </w:rPr>
            </w:pPr>
            <w:r>
              <w:rPr>
                <w:rFonts w:ascii="宋体"/>
                <w:sz w:val="21"/>
              </w:rPr>
              <w:t>V10.5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2012SR009571</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2012-2-14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2011-12-19</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原始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税务通软件</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税务通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53"/>
              <w:jc w:val="right"/>
              <w:rPr>
                <w:rFonts w:ascii="宋体" w:hAnsi="宋体" w:cs="宋体" w:eastAsia="宋体" w:hint="default"/>
                <w:sz w:val="21"/>
                <w:szCs w:val="21"/>
              </w:rPr>
            </w:pPr>
            <w:r>
              <w:rPr>
                <w:rFonts w:ascii="宋体"/>
                <w:sz w:val="21"/>
              </w:rPr>
              <w:t>V10.0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2012SR009581</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2012-2-14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2011-12-12</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原始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w:t>
            </w:r>
          </w:p>
        </w:tc>
      </w:tr>
    </w:tbl>
    <w:p>
      <w:pPr>
        <w:spacing w:after="0" w:line="274" w:lineRule="exact"/>
        <w:jc w:val="left"/>
        <w:rPr>
          <w:rFonts w:ascii="宋体" w:hAnsi="宋体" w:cs="宋体" w:eastAsia="宋体" w:hint="default"/>
          <w:sz w:val="21"/>
          <w:szCs w:val="21"/>
        </w:rPr>
        <w:sectPr>
          <w:pgSz w:w="11910" w:h="16850"/>
          <w:pgMar w:header="752" w:footer="730" w:top="1020" w:bottom="920" w:left="1160" w:right="10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11" w:type="dxa"/>
        <w:tblLayout w:type="fixed"/>
        <w:tblCellMar>
          <w:top w:w="0" w:type="dxa"/>
          <w:left w:w="0" w:type="dxa"/>
          <w:bottom w:w="0" w:type="dxa"/>
          <w:right w:w="0" w:type="dxa"/>
        </w:tblCellMar>
        <w:tblLook w:val="01E0"/>
      </w:tblPr>
      <w:tblGrid>
        <w:gridCol w:w="708"/>
        <w:gridCol w:w="1702"/>
        <w:gridCol w:w="1274"/>
        <w:gridCol w:w="852"/>
        <w:gridCol w:w="1476"/>
        <w:gridCol w:w="1279"/>
        <w:gridCol w:w="1274"/>
        <w:gridCol w:w="773"/>
      </w:tblGrid>
      <w:tr>
        <w:trPr>
          <w:trHeight w:val="28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软件名称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产品简称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版本号</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登记号</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登记批准日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权利起算日</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G9-</w:t>
            </w:r>
            <w:r>
              <w:rPr>
                <w:rFonts w:ascii="宋体" w:hAnsi="宋体" w:cs="宋体" w:eastAsia="宋体" w:hint="default"/>
                <w:sz w:val="21"/>
                <w:szCs w:val="21"/>
              </w:rPr>
              <w:t>综合计划财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务管理系统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G9-</w:t>
            </w:r>
            <w:r>
              <w:rPr>
                <w:rFonts w:ascii="宋体" w:hAnsi="宋体" w:cs="宋体" w:eastAsia="宋体" w:hint="default"/>
                <w:sz w:val="21"/>
                <w:szCs w:val="21"/>
              </w:rPr>
              <w:t>综合计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划财务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10.6.0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2012SR027583</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2012-4-10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2012-1-9</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原始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T3-</w:t>
            </w:r>
            <w:r>
              <w:rPr>
                <w:rFonts w:ascii="宋体" w:hAnsi="宋体" w:cs="宋体" w:eastAsia="宋体" w:hint="default"/>
                <w:sz w:val="21"/>
                <w:szCs w:val="21"/>
              </w:rPr>
              <w:t>人事通普及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版软件</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T3-</w:t>
            </w:r>
            <w:r>
              <w:rPr>
                <w:rFonts w:ascii="宋体" w:hAnsi="宋体" w:cs="宋体" w:eastAsia="宋体" w:hint="default"/>
                <w:sz w:val="21"/>
                <w:szCs w:val="21"/>
              </w:rPr>
              <w:t>人事通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普及版</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53"/>
              <w:jc w:val="right"/>
              <w:rPr>
                <w:rFonts w:ascii="宋体" w:hAnsi="宋体" w:cs="宋体" w:eastAsia="宋体" w:hint="default"/>
                <w:sz w:val="21"/>
                <w:szCs w:val="21"/>
              </w:rPr>
            </w:pPr>
            <w:r>
              <w:rPr>
                <w:rFonts w:ascii="宋体"/>
                <w:sz w:val="21"/>
              </w:rPr>
              <w:t>V10.5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2012SR038567</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2012-5-12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2011-8-19</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原始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畅捷通记账宝软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件</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记账宝软件</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V12.00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2012SR046151</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2012-6-4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2012-3-30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原始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
              <w:jc w:val="center"/>
              <w:rPr>
                <w:rFonts w:ascii="宋体" w:hAnsi="宋体" w:cs="宋体" w:eastAsia="宋体" w:hint="default"/>
                <w:sz w:val="21"/>
                <w:szCs w:val="21"/>
              </w:rPr>
            </w:pPr>
            <w:r>
              <w:rPr>
                <w:rFonts w:ascii="宋体" w:hAnsi="宋体" w:cs="宋体" w:eastAsia="宋体" w:hint="default"/>
                <w:sz w:val="21"/>
                <w:szCs w:val="21"/>
              </w:rPr>
              <w:t>畅捷快递通软件</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畅捷快递通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1" w:right="0"/>
              <w:jc w:val="left"/>
              <w:rPr>
                <w:rFonts w:ascii="宋体" w:hAnsi="宋体" w:cs="宋体" w:eastAsia="宋体" w:hint="default"/>
                <w:sz w:val="21"/>
                <w:szCs w:val="21"/>
              </w:rPr>
            </w:pPr>
            <w:r>
              <w:rPr>
                <w:rFonts w:ascii="宋体"/>
                <w:sz w:val="21"/>
              </w:rPr>
              <w:t>1.0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2012SR055264</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2012-6-26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2012-3-22</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原始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hanging="1"/>
              <w:jc w:val="left"/>
              <w:rPr>
                <w:rFonts w:ascii="宋体" w:hAnsi="宋体" w:cs="宋体" w:eastAsia="宋体" w:hint="default"/>
                <w:sz w:val="21"/>
                <w:szCs w:val="21"/>
              </w:rPr>
            </w:pPr>
            <w:r>
              <w:rPr>
                <w:rFonts w:ascii="宋体" w:hAnsi="宋体" w:cs="宋体" w:eastAsia="宋体" w:hint="default"/>
                <w:sz w:val="21"/>
                <w:szCs w:val="21"/>
              </w:rPr>
              <w:t>用友</w:t>
            </w:r>
            <w:r>
              <w:rPr>
                <w:rFonts w:ascii="宋体" w:hAnsi="宋体" w:cs="宋体" w:eastAsia="宋体" w:hint="default"/>
                <w:spacing w:val="-52"/>
                <w:sz w:val="21"/>
                <w:szCs w:val="21"/>
              </w:rPr>
              <w:t> </w:t>
            </w:r>
            <w:r>
              <w:rPr>
                <w:rFonts w:ascii="宋体" w:hAnsi="宋体" w:cs="宋体" w:eastAsia="宋体" w:hint="default"/>
                <w:sz w:val="21"/>
                <w:szCs w:val="21"/>
              </w:rPr>
              <w:t>GRP-A++</w:t>
            </w:r>
            <w:r>
              <w:rPr>
                <w:rFonts w:ascii="宋体" w:hAnsi="宋体" w:cs="宋体" w:eastAsia="宋体" w:hint="default"/>
                <w:sz w:val="21"/>
                <w:szCs w:val="21"/>
              </w:rPr>
              <w:t>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育财务管理软件</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教育财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sz w:val="21"/>
              </w:rPr>
              <w:t>V6.0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2012SR114830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2012-11-27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2012-5-31</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原始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w:t>
            </w:r>
          </w:p>
        </w:tc>
      </w:tr>
      <w:tr>
        <w:trPr>
          <w:trHeight w:val="82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17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hanging="1"/>
              <w:jc w:val="left"/>
              <w:rPr>
                <w:rFonts w:ascii="宋体" w:hAnsi="宋体" w:cs="宋体" w:eastAsia="宋体" w:hint="default"/>
                <w:sz w:val="21"/>
                <w:szCs w:val="21"/>
              </w:rPr>
            </w:pPr>
            <w:r>
              <w:rPr>
                <w:rFonts w:ascii="宋体" w:hAnsi="宋体" w:cs="宋体" w:eastAsia="宋体" w:hint="default"/>
                <w:sz w:val="21"/>
                <w:szCs w:val="21"/>
              </w:rPr>
              <w:t>用友</w:t>
            </w:r>
            <w:r>
              <w:rPr>
                <w:rFonts w:ascii="宋体" w:hAnsi="宋体" w:cs="宋体" w:eastAsia="宋体" w:hint="default"/>
                <w:spacing w:val="-52"/>
                <w:sz w:val="21"/>
                <w:szCs w:val="21"/>
              </w:rPr>
              <w:t> </w:t>
            </w:r>
            <w:r>
              <w:rPr>
                <w:rFonts w:ascii="宋体" w:hAnsi="宋体" w:cs="宋体" w:eastAsia="宋体" w:hint="default"/>
                <w:sz w:val="21"/>
                <w:szCs w:val="21"/>
              </w:rPr>
              <w:t>GRP-A++</w:t>
            </w:r>
            <w:r>
              <w:rPr>
                <w:rFonts w:ascii="宋体" w:hAnsi="宋体" w:cs="宋体" w:eastAsia="宋体" w:hint="default"/>
                <w:sz w:val="21"/>
                <w:szCs w:val="21"/>
              </w:rPr>
              <w:t>报</w:t>
            </w:r>
          </w:p>
          <w:p>
            <w:pPr>
              <w:pStyle w:val="TableParagraph"/>
              <w:spacing w:line="272" w:lineRule="exact" w:before="27"/>
              <w:ind w:left="103" w:right="112"/>
              <w:jc w:val="left"/>
              <w:rPr>
                <w:rFonts w:ascii="宋体" w:hAnsi="宋体" w:cs="宋体" w:eastAsia="宋体" w:hint="default"/>
                <w:sz w:val="21"/>
                <w:szCs w:val="21"/>
              </w:rPr>
            </w:pPr>
            <w:r>
              <w:rPr>
                <w:rFonts w:ascii="宋体" w:hAnsi="宋体" w:cs="宋体" w:eastAsia="宋体" w:hint="default"/>
                <w:sz w:val="21"/>
                <w:szCs w:val="21"/>
              </w:rPr>
              <w:t>表汇总统计分析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软件</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03" w:right="0"/>
              <w:jc w:val="left"/>
              <w:rPr>
                <w:rFonts w:ascii="宋体" w:hAnsi="宋体" w:cs="宋体" w:eastAsia="宋体" w:hint="default"/>
                <w:sz w:val="21"/>
                <w:szCs w:val="21"/>
              </w:rPr>
            </w:pPr>
            <w:r>
              <w:rPr>
                <w:rFonts w:ascii="宋体" w:hAnsi="宋体" w:cs="宋体" w:eastAsia="宋体" w:hint="default"/>
                <w:sz w:val="21"/>
                <w:szCs w:val="21"/>
              </w:rPr>
              <w:t>用友</w:t>
            </w:r>
          </w:p>
          <w:p>
            <w:pPr>
              <w:pStyle w:val="TableParagraph"/>
              <w:spacing w:line="274" w:lineRule="exact"/>
              <w:ind w:left="103" w:right="0"/>
              <w:jc w:val="left"/>
              <w:rPr>
                <w:rFonts w:ascii="宋体" w:hAnsi="宋体" w:cs="宋体" w:eastAsia="宋体" w:hint="default"/>
                <w:sz w:val="21"/>
                <w:szCs w:val="21"/>
              </w:rPr>
            </w:pPr>
            <w:r>
              <w:rPr>
                <w:rFonts w:ascii="宋体"/>
                <w:sz w:val="21"/>
              </w:rPr>
              <w:t>GRP-RMIS</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11" w:right="0"/>
              <w:jc w:val="left"/>
              <w:rPr>
                <w:rFonts w:ascii="宋体" w:hAnsi="宋体" w:cs="宋体" w:eastAsia="宋体" w:hint="default"/>
                <w:sz w:val="21"/>
                <w:szCs w:val="21"/>
              </w:rPr>
            </w:pPr>
            <w:r>
              <w:rPr>
                <w:rFonts w:ascii="宋体"/>
                <w:sz w:val="21"/>
              </w:rPr>
              <w:t>V6.0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2012SR112669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2012-11-23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2012-5-30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235"/>
              <w:jc w:val="left"/>
              <w:rPr>
                <w:rFonts w:ascii="宋体" w:hAnsi="宋体" w:cs="宋体" w:eastAsia="宋体" w:hint="default"/>
                <w:sz w:val="21"/>
                <w:szCs w:val="21"/>
              </w:rPr>
            </w:pPr>
            <w:r>
              <w:rPr>
                <w:rFonts w:ascii="宋体" w:hAnsi="宋体" w:cs="宋体" w:eastAsia="宋体" w:hint="default"/>
                <w:sz w:val="21"/>
                <w:szCs w:val="21"/>
              </w:rPr>
              <w:t>原始</w:t>
            </w:r>
            <w:r>
              <w:rPr>
                <w:rFonts w:ascii="宋体" w:hAnsi="宋体" w:cs="宋体" w:eastAsia="宋体" w:hint="default"/>
                <w:spacing w:val="-103"/>
                <w:sz w:val="21"/>
                <w:szCs w:val="21"/>
              </w:rPr>
              <w:t> </w:t>
            </w:r>
            <w:r>
              <w:rPr>
                <w:rFonts w:ascii="宋体" w:hAnsi="宋体" w:cs="宋体" w:eastAsia="宋体" w:hint="default"/>
                <w:sz w:val="21"/>
                <w:szCs w:val="21"/>
              </w:rPr>
              <w:t>取得</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hanging="1"/>
              <w:jc w:val="left"/>
              <w:rPr>
                <w:rFonts w:ascii="宋体" w:hAnsi="宋体" w:cs="宋体" w:eastAsia="宋体" w:hint="default"/>
                <w:sz w:val="21"/>
                <w:szCs w:val="21"/>
              </w:rPr>
            </w:pPr>
            <w:r>
              <w:rPr>
                <w:rFonts w:ascii="宋体" w:hAnsi="宋体" w:cs="宋体" w:eastAsia="宋体" w:hint="default"/>
                <w:sz w:val="21"/>
                <w:szCs w:val="21"/>
              </w:rPr>
              <w:t>用友</w:t>
            </w:r>
            <w:r>
              <w:rPr>
                <w:rFonts w:ascii="宋体" w:hAnsi="宋体" w:cs="宋体" w:eastAsia="宋体" w:hint="default"/>
                <w:spacing w:val="-52"/>
                <w:sz w:val="21"/>
                <w:szCs w:val="21"/>
              </w:rPr>
              <w:t> </w:t>
            </w:r>
            <w:r>
              <w:rPr>
                <w:rFonts w:ascii="宋体" w:hAnsi="宋体" w:cs="宋体" w:eastAsia="宋体" w:hint="default"/>
                <w:sz w:val="21"/>
                <w:szCs w:val="21"/>
              </w:rPr>
              <w:t>GRP-A++</w:t>
            </w:r>
            <w:r>
              <w:rPr>
                <w:rFonts w:ascii="宋体" w:hAnsi="宋体" w:cs="宋体" w:eastAsia="宋体" w:hint="default"/>
                <w:sz w:val="21"/>
                <w:szCs w:val="21"/>
              </w:rPr>
              <w:t>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合计划财务软件</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综合计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划财务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sz w:val="21"/>
              </w:rPr>
              <w:t>V6.0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sz w:val="21"/>
              </w:rPr>
              <w:t>2012SR112618</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2012-11-23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2012-9-29</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原始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w:t>
            </w:r>
          </w:p>
        </w:tc>
      </w:tr>
      <w:tr>
        <w:trPr>
          <w:trHeight w:val="82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19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w:t>
            </w:r>
            <w:r>
              <w:rPr>
                <w:rFonts w:ascii="宋体" w:hAnsi="宋体" w:cs="宋体" w:eastAsia="宋体" w:hint="default"/>
                <w:spacing w:val="-52"/>
                <w:sz w:val="21"/>
                <w:szCs w:val="21"/>
              </w:rPr>
              <w:t> </w:t>
            </w:r>
            <w:r>
              <w:rPr>
                <w:rFonts w:ascii="宋体" w:hAnsi="宋体" w:cs="宋体" w:eastAsia="宋体" w:hint="default"/>
                <w:sz w:val="21"/>
                <w:szCs w:val="21"/>
              </w:rPr>
              <w:t>GRP-U8R10</w:t>
            </w:r>
          </w:p>
          <w:p>
            <w:pPr>
              <w:pStyle w:val="TableParagraph"/>
              <w:spacing w:line="272" w:lineRule="exact" w:before="27"/>
              <w:ind w:left="103" w:right="113"/>
              <w:jc w:val="left"/>
              <w:rPr>
                <w:rFonts w:ascii="宋体" w:hAnsi="宋体" w:cs="宋体" w:eastAsia="宋体" w:hint="default"/>
                <w:sz w:val="21"/>
                <w:szCs w:val="21"/>
              </w:rPr>
            </w:pPr>
            <w:r>
              <w:rPr>
                <w:rFonts w:ascii="宋体" w:hAnsi="宋体" w:cs="宋体" w:eastAsia="宋体" w:hint="default"/>
                <w:sz w:val="21"/>
                <w:szCs w:val="21"/>
              </w:rPr>
              <w:t>乡镇财政精细化</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管理软件</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GRP-U8</w:t>
            </w:r>
            <w:r>
              <w:rPr>
                <w:rFonts w:ascii="宋体" w:hAnsi="宋体" w:cs="宋体" w:eastAsia="宋体" w:hint="default"/>
                <w:spacing w:val="-52"/>
                <w:sz w:val="21"/>
                <w:szCs w:val="21"/>
              </w:rPr>
              <w:t> </w:t>
            </w:r>
            <w:r>
              <w:rPr>
                <w:rFonts w:ascii="宋体" w:hAnsi="宋体" w:cs="宋体" w:eastAsia="宋体" w:hint="default"/>
                <w:sz w:val="21"/>
                <w:szCs w:val="21"/>
              </w:rPr>
              <w:t>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镇财政</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53"/>
              <w:jc w:val="right"/>
              <w:rPr>
                <w:rFonts w:ascii="宋体" w:hAnsi="宋体" w:cs="宋体" w:eastAsia="宋体" w:hint="default"/>
                <w:sz w:val="21"/>
                <w:szCs w:val="21"/>
              </w:rPr>
            </w:pPr>
            <w:r>
              <w:rPr>
                <w:rFonts w:ascii="宋体"/>
                <w:sz w:val="21"/>
              </w:rPr>
              <w:t>V10.0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2012SRBJ0070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2012-2-22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2011-11-12</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235"/>
              <w:jc w:val="left"/>
              <w:rPr>
                <w:rFonts w:ascii="宋体" w:hAnsi="宋体" w:cs="宋体" w:eastAsia="宋体" w:hint="default"/>
                <w:sz w:val="21"/>
                <w:szCs w:val="21"/>
              </w:rPr>
            </w:pPr>
            <w:r>
              <w:rPr>
                <w:rFonts w:ascii="宋体" w:hAnsi="宋体" w:cs="宋体" w:eastAsia="宋体" w:hint="default"/>
                <w:sz w:val="21"/>
                <w:szCs w:val="21"/>
              </w:rPr>
              <w:t>原始</w:t>
            </w:r>
            <w:r>
              <w:rPr>
                <w:rFonts w:ascii="宋体" w:hAnsi="宋体" w:cs="宋体" w:eastAsia="宋体" w:hint="default"/>
                <w:spacing w:val="-103"/>
                <w:sz w:val="21"/>
                <w:szCs w:val="21"/>
              </w:rPr>
              <w:t> </w:t>
            </w:r>
            <w:r>
              <w:rPr>
                <w:rFonts w:ascii="宋体" w:hAnsi="宋体" w:cs="宋体" w:eastAsia="宋体" w:hint="default"/>
                <w:sz w:val="21"/>
                <w:szCs w:val="21"/>
              </w:rPr>
              <w:t>取得</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w:t>
            </w:r>
            <w:r>
              <w:rPr>
                <w:rFonts w:ascii="宋体" w:hAnsi="宋体" w:cs="宋体" w:eastAsia="宋体" w:hint="default"/>
                <w:spacing w:val="-53"/>
                <w:sz w:val="21"/>
                <w:szCs w:val="21"/>
              </w:rPr>
              <w:t> </w:t>
            </w:r>
            <w:r>
              <w:rPr>
                <w:rFonts w:ascii="宋体" w:hAnsi="宋体" w:cs="宋体" w:eastAsia="宋体" w:hint="default"/>
                <w:sz w:val="21"/>
                <w:szCs w:val="21"/>
              </w:rPr>
              <w:t>BQ</w:t>
            </w:r>
            <w:r>
              <w:rPr>
                <w:rFonts w:ascii="宋体" w:hAnsi="宋体" w:cs="宋体" w:eastAsia="宋体" w:hint="default"/>
                <w:spacing w:val="-53"/>
                <w:sz w:val="21"/>
                <w:szCs w:val="21"/>
              </w:rPr>
              <w:t> </w:t>
            </w:r>
            <w:r>
              <w:rPr>
                <w:rFonts w:ascii="宋体" w:hAnsi="宋体" w:cs="宋体" w:eastAsia="宋体" w:hint="default"/>
                <w:sz w:val="21"/>
                <w:szCs w:val="21"/>
              </w:rPr>
              <w:t>商业分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析移动版软件</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BQBAM</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V2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sz w:val="21"/>
              </w:rPr>
              <w:t>2012SR017900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2012-3-8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2011-11-22</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原始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用友金审</w:t>
            </w:r>
            <w:r>
              <w:rPr>
                <w:rFonts w:ascii="宋体" w:hAnsi="宋体" w:cs="宋体" w:eastAsia="宋体" w:hint="default"/>
                <w:sz w:val="21"/>
                <w:szCs w:val="21"/>
              </w:rPr>
              <w:t>-</w:t>
            </w:r>
            <w:r>
              <w:rPr>
                <w:rFonts w:ascii="宋体" w:hAnsi="宋体" w:cs="宋体" w:eastAsia="宋体" w:hint="default"/>
                <w:sz w:val="21"/>
                <w:szCs w:val="21"/>
              </w:rPr>
              <w:t>数字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化审计平台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数字化审计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平台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sz w:val="21"/>
              </w:rPr>
              <w:t>V5.8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2012SR026889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2012-4-9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2011-4-2</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原始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用友数据采集工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具</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取数工具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sz w:val="21"/>
              </w:rPr>
              <w:t>V5.8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2012SR026206</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2012-4-6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2012-1-1</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原始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用友数据转换系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转换系统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sz w:val="21"/>
              </w:rPr>
              <w:t>V5.8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2012SR026699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2012-4-9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2012-1-1</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原始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w:t>
            </w:r>
          </w:p>
        </w:tc>
      </w:tr>
      <w:tr>
        <w:trPr>
          <w:trHeight w:val="82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用友医疗电子病</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历系统软件</w:t>
            </w:r>
          </w:p>
          <w:p>
            <w:pPr>
              <w:pStyle w:val="TableParagraph"/>
              <w:spacing w:line="273" w:lineRule="exact"/>
              <w:ind w:left="103" w:right="0"/>
              <w:jc w:val="left"/>
              <w:rPr>
                <w:rFonts w:ascii="宋体" w:hAnsi="宋体" w:cs="宋体" w:eastAsia="宋体" w:hint="default"/>
                <w:sz w:val="21"/>
                <w:szCs w:val="21"/>
              </w:rPr>
            </w:pPr>
            <w:r>
              <w:rPr>
                <w:rFonts w:ascii="宋体"/>
                <w:sz w:val="21"/>
              </w:rPr>
              <w:t>v6.3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5"/>
              <w:jc w:val="left"/>
              <w:rPr>
                <w:rFonts w:ascii="宋体" w:hAnsi="宋体" w:cs="宋体" w:eastAsia="宋体" w:hint="default"/>
                <w:sz w:val="21"/>
                <w:szCs w:val="21"/>
              </w:rPr>
            </w:pPr>
            <w:r>
              <w:rPr>
                <w:rFonts w:ascii="宋体" w:hAnsi="宋体" w:cs="宋体" w:eastAsia="宋体" w:hint="default"/>
                <w:sz w:val="21"/>
                <w:szCs w:val="21"/>
              </w:rPr>
              <w:t>用友电子病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11" w:right="0"/>
              <w:jc w:val="left"/>
              <w:rPr>
                <w:rFonts w:ascii="宋体" w:hAnsi="宋体" w:cs="宋体" w:eastAsia="宋体" w:hint="default"/>
                <w:sz w:val="21"/>
                <w:szCs w:val="21"/>
              </w:rPr>
            </w:pPr>
            <w:r>
              <w:rPr>
                <w:rFonts w:ascii="宋体"/>
                <w:sz w:val="21"/>
              </w:rPr>
              <w:t>V6.3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2012SR002278</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2012-1-12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2010-6-30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235"/>
              <w:jc w:val="left"/>
              <w:rPr>
                <w:rFonts w:ascii="宋体" w:hAnsi="宋体" w:cs="宋体" w:eastAsia="宋体" w:hint="default"/>
                <w:sz w:val="21"/>
                <w:szCs w:val="21"/>
              </w:rPr>
            </w:pPr>
            <w:r>
              <w:rPr>
                <w:rFonts w:ascii="宋体" w:hAnsi="宋体" w:cs="宋体" w:eastAsia="宋体" w:hint="default"/>
                <w:sz w:val="21"/>
                <w:szCs w:val="21"/>
              </w:rPr>
              <w:t>原始</w:t>
            </w:r>
            <w:r>
              <w:rPr>
                <w:rFonts w:ascii="宋体" w:hAnsi="宋体" w:cs="宋体" w:eastAsia="宋体" w:hint="default"/>
                <w:spacing w:val="-103"/>
                <w:sz w:val="21"/>
                <w:szCs w:val="21"/>
              </w:rPr>
              <w:t> </w:t>
            </w:r>
            <w:r>
              <w:rPr>
                <w:rFonts w:ascii="宋体" w:hAnsi="宋体" w:cs="宋体" w:eastAsia="宋体" w:hint="default"/>
                <w:sz w:val="21"/>
                <w:szCs w:val="21"/>
              </w:rPr>
              <w:t>取得</w:t>
            </w:r>
          </w:p>
        </w:tc>
      </w:tr>
      <w:tr>
        <w:trPr>
          <w:trHeight w:val="82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用友医疗医学影</w:t>
            </w:r>
          </w:p>
          <w:p>
            <w:pPr>
              <w:pStyle w:val="TableParagraph"/>
              <w:spacing w:line="240" w:lineRule="auto"/>
              <w:ind w:left="103" w:right="113"/>
              <w:jc w:val="left"/>
              <w:rPr>
                <w:rFonts w:ascii="宋体" w:hAnsi="宋体" w:cs="宋体" w:eastAsia="宋体" w:hint="default"/>
                <w:sz w:val="21"/>
                <w:szCs w:val="21"/>
              </w:rPr>
            </w:pPr>
            <w:r>
              <w:rPr>
                <w:rFonts w:ascii="宋体" w:hAnsi="宋体" w:cs="宋体" w:eastAsia="宋体" w:hint="default"/>
                <w:sz w:val="21"/>
                <w:szCs w:val="21"/>
              </w:rPr>
              <w:t>像信息管理系统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软件</w:t>
            </w:r>
            <w:r>
              <w:rPr>
                <w:rFonts w:ascii="宋体" w:hAnsi="宋体" w:cs="宋体" w:eastAsia="宋体" w:hint="default"/>
                <w:spacing w:val="-52"/>
                <w:sz w:val="21"/>
                <w:szCs w:val="21"/>
              </w:rPr>
              <w:t> </w:t>
            </w:r>
            <w:r>
              <w:rPr>
                <w:rFonts w:ascii="宋体" w:hAnsi="宋体" w:cs="宋体" w:eastAsia="宋体" w:hint="default"/>
                <w:sz w:val="21"/>
                <w:szCs w:val="21"/>
              </w:rPr>
              <w:t>v6.3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用友</w:t>
            </w:r>
            <w:r>
              <w:rPr>
                <w:rFonts w:ascii="宋体" w:hAnsi="宋体" w:cs="宋体" w:eastAsia="宋体" w:hint="default"/>
                <w:spacing w:val="-52"/>
                <w:sz w:val="21"/>
                <w:szCs w:val="21"/>
              </w:rPr>
              <w:t> </w:t>
            </w:r>
            <w:r>
              <w:rPr>
                <w:rFonts w:ascii="宋体" w:hAnsi="宋体" w:cs="宋体" w:eastAsia="宋体" w:hint="default"/>
                <w:sz w:val="21"/>
                <w:szCs w:val="21"/>
              </w:rPr>
              <w:t>PACS</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11" w:right="0"/>
              <w:jc w:val="left"/>
              <w:rPr>
                <w:rFonts w:ascii="宋体" w:hAnsi="宋体" w:cs="宋体" w:eastAsia="宋体" w:hint="default"/>
                <w:sz w:val="21"/>
                <w:szCs w:val="21"/>
              </w:rPr>
            </w:pPr>
            <w:r>
              <w:rPr>
                <w:rFonts w:ascii="宋体"/>
                <w:sz w:val="21"/>
              </w:rPr>
              <w:t>V6.3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2012SR002275</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2012-1-12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2010-6-30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235"/>
              <w:jc w:val="left"/>
              <w:rPr>
                <w:rFonts w:ascii="宋体" w:hAnsi="宋体" w:cs="宋体" w:eastAsia="宋体" w:hint="default"/>
                <w:sz w:val="21"/>
                <w:szCs w:val="21"/>
              </w:rPr>
            </w:pPr>
            <w:r>
              <w:rPr>
                <w:rFonts w:ascii="宋体" w:hAnsi="宋体" w:cs="宋体" w:eastAsia="宋体" w:hint="default"/>
                <w:sz w:val="21"/>
                <w:szCs w:val="21"/>
              </w:rPr>
              <w:t>原始</w:t>
            </w:r>
            <w:r>
              <w:rPr>
                <w:rFonts w:ascii="宋体" w:hAnsi="宋体" w:cs="宋体" w:eastAsia="宋体" w:hint="default"/>
                <w:spacing w:val="-103"/>
                <w:sz w:val="21"/>
                <w:szCs w:val="21"/>
              </w:rPr>
              <w:t> </w:t>
            </w:r>
            <w:r>
              <w:rPr>
                <w:rFonts w:ascii="宋体" w:hAnsi="宋体" w:cs="宋体" w:eastAsia="宋体" w:hint="default"/>
                <w:sz w:val="21"/>
                <w:szCs w:val="21"/>
              </w:rPr>
              <w:t>取得</w:t>
            </w:r>
          </w:p>
        </w:tc>
      </w:tr>
      <w:tr>
        <w:trPr>
          <w:trHeight w:val="82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用友医疗医院信</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息管理系统软件</w:t>
            </w:r>
          </w:p>
          <w:p>
            <w:pPr>
              <w:pStyle w:val="TableParagraph"/>
              <w:spacing w:line="273" w:lineRule="exact"/>
              <w:ind w:left="103" w:right="0"/>
              <w:jc w:val="left"/>
              <w:rPr>
                <w:rFonts w:ascii="宋体" w:hAnsi="宋体" w:cs="宋体" w:eastAsia="宋体" w:hint="default"/>
                <w:sz w:val="21"/>
                <w:szCs w:val="21"/>
              </w:rPr>
            </w:pPr>
            <w:r>
              <w:rPr>
                <w:rFonts w:ascii="宋体"/>
                <w:sz w:val="21"/>
              </w:rPr>
              <w:t>v6.3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用友</w:t>
            </w:r>
            <w:r>
              <w:rPr>
                <w:rFonts w:ascii="宋体" w:hAnsi="宋体" w:cs="宋体" w:eastAsia="宋体" w:hint="default"/>
                <w:spacing w:val="-52"/>
                <w:sz w:val="21"/>
                <w:szCs w:val="21"/>
              </w:rPr>
              <w:t> </w:t>
            </w:r>
            <w:r>
              <w:rPr>
                <w:rFonts w:ascii="宋体" w:hAnsi="宋体" w:cs="宋体" w:eastAsia="宋体" w:hint="default"/>
                <w:sz w:val="21"/>
                <w:szCs w:val="21"/>
              </w:rPr>
              <w:t>HIS</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11" w:right="0"/>
              <w:jc w:val="left"/>
              <w:rPr>
                <w:rFonts w:ascii="宋体" w:hAnsi="宋体" w:cs="宋体" w:eastAsia="宋体" w:hint="default"/>
                <w:sz w:val="21"/>
                <w:szCs w:val="21"/>
              </w:rPr>
            </w:pPr>
            <w:r>
              <w:rPr>
                <w:rFonts w:ascii="宋体"/>
                <w:sz w:val="21"/>
              </w:rPr>
              <w:t>V6.3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2012SR002272</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2012-1-12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2010-6-30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235"/>
              <w:jc w:val="left"/>
              <w:rPr>
                <w:rFonts w:ascii="宋体" w:hAnsi="宋体" w:cs="宋体" w:eastAsia="宋体" w:hint="default"/>
                <w:sz w:val="21"/>
                <w:szCs w:val="21"/>
              </w:rPr>
            </w:pPr>
            <w:r>
              <w:rPr>
                <w:rFonts w:ascii="宋体" w:hAnsi="宋体" w:cs="宋体" w:eastAsia="宋体" w:hint="default"/>
                <w:sz w:val="21"/>
                <w:szCs w:val="21"/>
              </w:rPr>
              <w:t>原始</w:t>
            </w:r>
            <w:r>
              <w:rPr>
                <w:rFonts w:ascii="宋体" w:hAnsi="宋体" w:cs="宋体" w:eastAsia="宋体" w:hint="default"/>
                <w:spacing w:val="-103"/>
                <w:sz w:val="21"/>
                <w:szCs w:val="21"/>
              </w:rPr>
              <w:t> </w:t>
            </w:r>
            <w:r>
              <w:rPr>
                <w:rFonts w:ascii="宋体" w:hAnsi="宋体" w:cs="宋体" w:eastAsia="宋体" w:hint="default"/>
                <w:sz w:val="21"/>
                <w:szCs w:val="21"/>
              </w:rPr>
              <w:t>取得</w:t>
            </w:r>
          </w:p>
        </w:tc>
      </w:tr>
      <w:tr>
        <w:trPr>
          <w:trHeight w:val="82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用友医疗检验信</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息管理系统软件</w:t>
            </w:r>
          </w:p>
          <w:p>
            <w:pPr>
              <w:pStyle w:val="TableParagraph"/>
              <w:spacing w:line="274" w:lineRule="exact"/>
              <w:ind w:left="103" w:right="0"/>
              <w:jc w:val="left"/>
              <w:rPr>
                <w:rFonts w:ascii="宋体" w:hAnsi="宋体" w:cs="宋体" w:eastAsia="宋体" w:hint="default"/>
                <w:sz w:val="21"/>
                <w:szCs w:val="21"/>
              </w:rPr>
            </w:pPr>
            <w:r>
              <w:rPr>
                <w:rFonts w:ascii="宋体"/>
                <w:sz w:val="21"/>
              </w:rPr>
              <w:t>v6.3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用友</w:t>
            </w:r>
            <w:r>
              <w:rPr>
                <w:rFonts w:ascii="宋体" w:hAnsi="宋体" w:cs="宋体" w:eastAsia="宋体" w:hint="default"/>
                <w:spacing w:val="-52"/>
                <w:sz w:val="21"/>
                <w:szCs w:val="21"/>
              </w:rPr>
              <w:t> </w:t>
            </w:r>
            <w:r>
              <w:rPr>
                <w:rFonts w:ascii="宋体" w:hAnsi="宋体" w:cs="宋体" w:eastAsia="宋体" w:hint="default"/>
                <w:sz w:val="21"/>
                <w:szCs w:val="21"/>
              </w:rPr>
              <w:t>LIS</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11" w:right="0"/>
              <w:jc w:val="left"/>
              <w:rPr>
                <w:rFonts w:ascii="宋体" w:hAnsi="宋体" w:cs="宋体" w:eastAsia="宋体" w:hint="default"/>
                <w:sz w:val="21"/>
                <w:szCs w:val="21"/>
              </w:rPr>
            </w:pPr>
            <w:r>
              <w:rPr>
                <w:rFonts w:ascii="宋体"/>
                <w:sz w:val="21"/>
              </w:rPr>
              <w:t>V6.3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2012SR002270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2012-1-12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2010-6-30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235"/>
              <w:jc w:val="left"/>
              <w:rPr>
                <w:rFonts w:ascii="宋体" w:hAnsi="宋体" w:cs="宋体" w:eastAsia="宋体" w:hint="default"/>
                <w:sz w:val="21"/>
                <w:szCs w:val="21"/>
              </w:rPr>
            </w:pPr>
            <w:r>
              <w:rPr>
                <w:rFonts w:ascii="宋体" w:hAnsi="宋体" w:cs="宋体" w:eastAsia="宋体" w:hint="default"/>
                <w:sz w:val="21"/>
                <w:szCs w:val="21"/>
              </w:rPr>
              <w:t>原始</w:t>
            </w:r>
            <w:r>
              <w:rPr>
                <w:rFonts w:ascii="宋体" w:hAnsi="宋体" w:cs="宋体" w:eastAsia="宋体" w:hint="default"/>
                <w:spacing w:val="-103"/>
                <w:sz w:val="21"/>
                <w:szCs w:val="21"/>
              </w:rPr>
              <w:t> </w:t>
            </w:r>
            <w:r>
              <w:rPr>
                <w:rFonts w:ascii="宋体" w:hAnsi="宋体" w:cs="宋体" w:eastAsia="宋体" w:hint="default"/>
                <w:sz w:val="21"/>
                <w:szCs w:val="21"/>
              </w:rPr>
              <w:t>取得</w:t>
            </w:r>
          </w:p>
        </w:tc>
      </w:tr>
      <w:tr>
        <w:trPr>
          <w:trHeight w:val="82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用友医疗健康体</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检管理系统软件</w:t>
            </w:r>
          </w:p>
          <w:p>
            <w:pPr>
              <w:pStyle w:val="TableParagraph"/>
              <w:spacing w:line="274" w:lineRule="exact"/>
              <w:ind w:left="103" w:right="0"/>
              <w:jc w:val="left"/>
              <w:rPr>
                <w:rFonts w:ascii="宋体" w:hAnsi="宋体" w:cs="宋体" w:eastAsia="宋体" w:hint="default"/>
                <w:sz w:val="21"/>
                <w:szCs w:val="21"/>
              </w:rPr>
            </w:pPr>
            <w:r>
              <w:rPr>
                <w:rFonts w:ascii="宋体"/>
                <w:sz w:val="21"/>
              </w:rPr>
              <w:t>v6.3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05"/>
              <w:jc w:val="left"/>
              <w:rPr>
                <w:rFonts w:ascii="宋体" w:hAnsi="宋体" w:cs="宋体" w:eastAsia="宋体" w:hint="default"/>
                <w:sz w:val="21"/>
                <w:szCs w:val="21"/>
              </w:rPr>
            </w:pPr>
            <w:r>
              <w:rPr>
                <w:rFonts w:ascii="宋体" w:hAnsi="宋体" w:cs="宋体" w:eastAsia="宋体" w:hint="default"/>
                <w:sz w:val="21"/>
                <w:szCs w:val="21"/>
              </w:rPr>
              <w:t>用友健康体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11" w:right="0"/>
              <w:jc w:val="left"/>
              <w:rPr>
                <w:rFonts w:ascii="宋体" w:hAnsi="宋体" w:cs="宋体" w:eastAsia="宋体" w:hint="default"/>
                <w:sz w:val="21"/>
                <w:szCs w:val="21"/>
              </w:rPr>
            </w:pPr>
            <w:r>
              <w:rPr>
                <w:rFonts w:ascii="宋体"/>
                <w:sz w:val="21"/>
              </w:rPr>
              <w:t>V6.3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2012SR002269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2012-1-12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2010-6-30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235"/>
              <w:jc w:val="left"/>
              <w:rPr>
                <w:rFonts w:ascii="宋体" w:hAnsi="宋体" w:cs="宋体" w:eastAsia="宋体" w:hint="default"/>
                <w:sz w:val="21"/>
                <w:szCs w:val="21"/>
              </w:rPr>
            </w:pPr>
            <w:r>
              <w:rPr>
                <w:rFonts w:ascii="宋体" w:hAnsi="宋体" w:cs="宋体" w:eastAsia="宋体" w:hint="default"/>
                <w:sz w:val="21"/>
                <w:szCs w:val="21"/>
              </w:rPr>
              <w:t>原始</w:t>
            </w:r>
            <w:r>
              <w:rPr>
                <w:rFonts w:ascii="宋体" w:hAnsi="宋体" w:cs="宋体" w:eastAsia="宋体" w:hint="default"/>
                <w:spacing w:val="-103"/>
                <w:sz w:val="21"/>
                <w:szCs w:val="21"/>
              </w:rPr>
              <w:t> </w:t>
            </w:r>
            <w:r>
              <w:rPr>
                <w:rFonts w:ascii="宋体" w:hAnsi="宋体" w:cs="宋体" w:eastAsia="宋体" w:hint="default"/>
                <w:sz w:val="21"/>
                <w:szCs w:val="21"/>
              </w:rPr>
              <w:t>取得</w:t>
            </w:r>
          </w:p>
        </w:tc>
      </w:tr>
      <w:tr>
        <w:trPr>
          <w:trHeight w:val="82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用友医疗社区卫</w:t>
            </w:r>
          </w:p>
          <w:p>
            <w:pPr>
              <w:pStyle w:val="TableParagraph"/>
              <w:spacing w:line="272" w:lineRule="exact" w:before="27"/>
              <w:ind w:left="103" w:right="113"/>
              <w:jc w:val="left"/>
              <w:rPr>
                <w:rFonts w:ascii="宋体" w:hAnsi="宋体" w:cs="宋体" w:eastAsia="宋体" w:hint="default"/>
                <w:sz w:val="21"/>
                <w:szCs w:val="21"/>
              </w:rPr>
            </w:pPr>
            <w:r>
              <w:rPr>
                <w:rFonts w:ascii="宋体" w:hAnsi="宋体" w:cs="宋体" w:eastAsia="宋体" w:hint="default"/>
                <w:sz w:val="21"/>
                <w:szCs w:val="21"/>
              </w:rPr>
              <w:t>生服务信息系统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软件</w:t>
            </w:r>
            <w:r>
              <w:rPr>
                <w:rFonts w:ascii="宋体" w:hAnsi="宋体" w:cs="宋体" w:eastAsia="宋体" w:hint="default"/>
                <w:spacing w:val="-52"/>
                <w:sz w:val="21"/>
                <w:szCs w:val="21"/>
              </w:rPr>
              <w:t> </w:t>
            </w:r>
            <w:r>
              <w:rPr>
                <w:rFonts w:ascii="宋体" w:hAnsi="宋体" w:cs="宋体" w:eastAsia="宋体" w:hint="default"/>
                <w:sz w:val="21"/>
                <w:szCs w:val="21"/>
              </w:rPr>
              <w:t>v2.0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sz w:val="21"/>
              </w:rPr>
              <w:t>UFCHSS</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11" w:right="0"/>
              <w:jc w:val="left"/>
              <w:rPr>
                <w:rFonts w:ascii="宋体" w:hAnsi="宋体" w:cs="宋体" w:eastAsia="宋体" w:hint="default"/>
                <w:sz w:val="21"/>
                <w:szCs w:val="21"/>
              </w:rPr>
            </w:pPr>
            <w:r>
              <w:rPr>
                <w:rFonts w:ascii="宋体"/>
                <w:sz w:val="21"/>
              </w:rPr>
              <w:t>V2.0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2012SR002281</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2012-1-12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2010-6-30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235"/>
              <w:jc w:val="left"/>
              <w:rPr>
                <w:rFonts w:ascii="宋体" w:hAnsi="宋体" w:cs="宋体" w:eastAsia="宋体" w:hint="default"/>
                <w:sz w:val="21"/>
                <w:szCs w:val="21"/>
              </w:rPr>
            </w:pPr>
            <w:r>
              <w:rPr>
                <w:rFonts w:ascii="宋体" w:hAnsi="宋体" w:cs="宋体" w:eastAsia="宋体" w:hint="default"/>
                <w:sz w:val="21"/>
                <w:szCs w:val="21"/>
              </w:rPr>
              <w:t>原始</w:t>
            </w:r>
            <w:r>
              <w:rPr>
                <w:rFonts w:ascii="宋体" w:hAnsi="宋体" w:cs="宋体" w:eastAsia="宋体" w:hint="default"/>
                <w:spacing w:val="-103"/>
                <w:sz w:val="21"/>
                <w:szCs w:val="21"/>
              </w:rPr>
              <w:t> </w:t>
            </w:r>
            <w:r>
              <w:rPr>
                <w:rFonts w:ascii="宋体" w:hAnsi="宋体" w:cs="宋体" w:eastAsia="宋体" w:hint="default"/>
                <w:sz w:val="21"/>
                <w:szCs w:val="21"/>
              </w:rPr>
              <w:t>取得</w:t>
            </w:r>
          </w:p>
        </w:tc>
      </w:tr>
      <w:tr>
        <w:trPr>
          <w:trHeight w:val="82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30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用友医疗临床医</w:t>
            </w:r>
          </w:p>
          <w:p>
            <w:pPr>
              <w:pStyle w:val="TableParagraph"/>
              <w:spacing w:line="240" w:lineRule="auto"/>
              <w:ind w:left="103" w:right="113"/>
              <w:jc w:val="left"/>
              <w:rPr>
                <w:rFonts w:ascii="宋体" w:hAnsi="宋体" w:cs="宋体" w:eastAsia="宋体" w:hint="default"/>
                <w:sz w:val="21"/>
                <w:szCs w:val="21"/>
              </w:rPr>
            </w:pPr>
            <w:r>
              <w:rPr>
                <w:rFonts w:ascii="宋体" w:hAnsi="宋体" w:cs="宋体" w:eastAsia="宋体" w:hint="default"/>
                <w:sz w:val="21"/>
                <w:szCs w:val="21"/>
              </w:rPr>
              <w:t>生工作站系统软</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件</w:t>
            </w:r>
            <w:r>
              <w:rPr>
                <w:rFonts w:ascii="宋体" w:hAnsi="宋体" w:cs="宋体" w:eastAsia="宋体" w:hint="default"/>
                <w:spacing w:val="-53"/>
                <w:sz w:val="21"/>
                <w:szCs w:val="21"/>
              </w:rPr>
              <w:t> </w:t>
            </w:r>
            <w:r>
              <w:rPr>
                <w:rFonts w:ascii="宋体" w:hAnsi="宋体" w:cs="宋体" w:eastAsia="宋体" w:hint="default"/>
                <w:sz w:val="21"/>
                <w:szCs w:val="21"/>
              </w:rPr>
              <w:t>v6.3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用友</w:t>
            </w:r>
            <w:r>
              <w:rPr>
                <w:rFonts w:ascii="宋体" w:hAnsi="宋体" w:cs="宋体" w:eastAsia="宋体" w:hint="default"/>
                <w:spacing w:val="-52"/>
                <w:sz w:val="21"/>
                <w:szCs w:val="21"/>
              </w:rPr>
              <w:t> </w:t>
            </w:r>
            <w:r>
              <w:rPr>
                <w:rFonts w:ascii="宋体" w:hAnsi="宋体" w:cs="宋体" w:eastAsia="宋体" w:hint="default"/>
                <w:sz w:val="21"/>
                <w:szCs w:val="21"/>
              </w:rPr>
              <w:t>CIS</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11" w:right="0"/>
              <w:jc w:val="left"/>
              <w:rPr>
                <w:rFonts w:ascii="宋体" w:hAnsi="宋体" w:cs="宋体" w:eastAsia="宋体" w:hint="default"/>
                <w:sz w:val="21"/>
                <w:szCs w:val="21"/>
              </w:rPr>
            </w:pPr>
            <w:r>
              <w:rPr>
                <w:rFonts w:ascii="宋体"/>
                <w:sz w:val="21"/>
              </w:rPr>
              <w:t>V6.3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2012SR002729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2012-1-13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2010-6-30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235"/>
              <w:jc w:val="left"/>
              <w:rPr>
                <w:rFonts w:ascii="宋体" w:hAnsi="宋体" w:cs="宋体" w:eastAsia="宋体" w:hint="default"/>
                <w:sz w:val="21"/>
                <w:szCs w:val="21"/>
              </w:rPr>
            </w:pPr>
            <w:r>
              <w:rPr>
                <w:rFonts w:ascii="宋体" w:hAnsi="宋体" w:cs="宋体" w:eastAsia="宋体" w:hint="default"/>
                <w:sz w:val="21"/>
                <w:szCs w:val="21"/>
              </w:rPr>
              <w:t>原始</w:t>
            </w:r>
            <w:r>
              <w:rPr>
                <w:rFonts w:ascii="宋体" w:hAnsi="宋体" w:cs="宋体" w:eastAsia="宋体" w:hint="default"/>
                <w:spacing w:val="-103"/>
                <w:sz w:val="21"/>
                <w:szCs w:val="21"/>
              </w:rPr>
              <w:t> </w:t>
            </w:r>
            <w:r>
              <w:rPr>
                <w:rFonts w:ascii="宋体" w:hAnsi="宋体" w:cs="宋体" w:eastAsia="宋体" w:hint="default"/>
                <w:sz w:val="21"/>
                <w:szCs w:val="21"/>
              </w:rPr>
              <w:t>取得</w:t>
            </w:r>
          </w:p>
        </w:tc>
      </w:tr>
      <w:tr>
        <w:trPr>
          <w:trHeight w:val="82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31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用友医疗大型医</w:t>
            </w:r>
          </w:p>
          <w:p>
            <w:pPr>
              <w:pStyle w:val="TableParagraph"/>
              <w:spacing w:line="272" w:lineRule="exact" w:before="27"/>
              <w:ind w:left="103" w:right="113"/>
              <w:jc w:val="left"/>
              <w:rPr>
                <w:rFonts w:ascii="宋体" w:hAnsi="宋体" w:cs="宋体" w:eastAsia="宋体" w:hint="default"/>
                <w:sz w:val="21"/>
                <w:szCs w:val="21"/>
              </w:rPr>
            </w:pPr>
            <w:r>
              <w:rPr>
                <w:rFonts w:ascii="宋体" w:hAnsi="宋体" w:cs="宋体" w:eastAsia="宋体" w:hint="default"/>
                <w:sz w:val="21"/>
                <w:szCs w:val="21"/>
              </w:rPr>
              <w:t>院综合运营管理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信息系统软件</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sz w:val="21"/>
              </w:rPr>
              <w:t>HRPG</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11" w:right="0"/>
              <w:jc w:val="left"/>
              <w:rPr>
                <w:rFonts w:ascii="宋体" w:hAnsi="宋体" w:cs="宋体" w:eastAsia="宋体" w:hint="default"/>
                <w:sz w:val="21"/>
                <w:szCs w:val="21"/>
              </w:rPr>
            </w:pPr>
            <w:r>
              <w:rPr>
                <w:rFonts w:ascii="宋体"/>
                <w:sz w:val="21"/>
              </w:rPr>
              <w:t>V3.0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2012SR036909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2012-5-9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2010-1-15</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235"/>
              <w:jc w:val="left"/>
              <w:rPr>
                <w:rFonts w:ascii="宋体" w:hAnsi="宋体" w:cs="宋体" w:eastAsia="宋体" w:hint="default"/>
                <w:sz w:val="21"/>
                <w:szCs w:val="21"/>
              </w:rPr>
            </w:pPr>
            <w:r>
              <w:rPr>
                <w:rFonts w:ascii="宋体" w:hAnsi="宋体" w:cs="宋体" w:eastAsia="宋体" w:hint="default"/>
                <w:sz w:val="21"/>
                <w:szCs w:val="21"/>
              </w:rPr>
              <w:t>原始</w:t>
            </w:r>
            <w:r>
              <w:rPr>
                <w:rFonts w:ascii="宋体" w:hAnsi="宋体" w:cs="宋体" w:eastAsia="宋体" w:hint="default"/>
                <w:spacing w:val="-103"/>
                <w:sz w:val="21"/>
                <w:szCs w:val="21"/>
              </w:rPr>
              <w:t> </w:t>
            </w:r>
            <w:r>
              <w:rPr>
                <w:rFonts w:ascii="宋体" w:hAnsi="宋体" w:cs="宋体" w:eastAsia="宋体" w:hint="default"/>
                <w:sz w:val="21"/>
                <w:szCs w:val="21"/>
              </w:rPr>
              <w:t>取得</w:t>
            </w:r>
          </w:p>
        </w:tc>
      </w:tr>
    </w:tbl>
    <w:p>
      <w:pPr>
        <w:spacing w:after="0" w:line="240" w:lineRule="auto"/>
        <w:jc w:val="left"/>
        <w:rPr>
          <w:rFonts w:ascii="宋体" w:hAnsi="宋体" w:cs="宋体" w:eastAsia="宋体" w:hint="default"/>
          <w:sz w:val="21"/>
          <w:szCs w:val="21"/>
        </w:rPr>
        <w:sectPr>
          <w:pgSz w:w="11910" w:h="16850"/>
          <w:pgMar w:header="752" w:footer="730" w:top="1020" w:bottom="920" w:left="1160" w:right="11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11" w:type="dxa"/>
        <w:tblLayout w:type="fixed"/>
        <w:tblCellMar>
          <w:top w:w="0" w:type="dxa"/>
          <w:left w:w="0" w:type="dxa"/>
          <w:bottom w:w="0" w:type="dxa"/>
          <w:right w:w="0" w:type="dxa"/>
        </w:tblCellMar>
        <w:tblLook w:val="01E0"/>
      </w:tblPr>
      <w:tblGrid>
        <w:gridCol w:w="708"/>
        <w:gridCol w:w="1702"/>
        <w:gridCol w:w="1274"/>
        <w:gridCol w:w="852"/>
        <w:gridCol w:w="1476"/>
        <w:gridCol w:w="1279"/>
        <w:gridCol w:w="1274"/>
        <w:gridCol w:w="773"/>
      </w:tblGrid>
      <w:tr>
        <w:trPr>
          <w:trHeight w:val="28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软件名称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产品简称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版本号</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登记号</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登记批准日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权利起算日</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288" w:hRule="exact"/>
        </w:trPr>
        <w:tc>
          <w:tcPr>
            <w:tcW w:w="70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v3.0</w:t>
            </w:r>
          </w:p>
        </w:tc>
        <w:tc>
          <w:tcPr>
            <w:tcW w:w="1274"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用友基层医疗卫</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生信息系统软件</w:t>
            </w:r>
          </w:p>
          <w:p>
            <w:pPr>
              <w:pStyle w:val="TableParagraph"/>
              <w:spacing w:line="274" w:lineRule="exact"/>
              <w:ind w:left="103" w:right="0"/>
              <w:jc w:val="left"/>
              <w:rPr>
                <w:rFonts w:ascii="宋体" w:hAnsi="宋体" w:cs="宋体" w:eastAsia="宋体" w:hint="default"/>
                <w:sz w:val="21"/>
                <w:szCs w:val="21"/>
              </w:rPr>
            </w:pPr>
            <w:r>
              <w:rPr>
                <w:rFonts w:ascii="宋体"/>
                <w:sz w:val="21"/>
              </w:rPr>
              <w:t>V2.4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tabs>
                <w:tab w:pos="631" w:val="left" w:leader="none"/>
              </w:tabs>
              <w:spacing w:line="240" w:lineRule="auto"/>
              <w:ind w:left="103" w:right="0"/>
              <w:jc w:val="left"/>
              <w:rPr>
                <w:rFonts w:ascii="宋体" w:hAnsi="宋体" w:cs="宋体" w:eastAsia="宋体" w:hint="default"/>
                <w:sz w:val="21"/>
                <w:szCs w:val="21"/>
              </w:rPr>
            </w:pPr>
            <w:r>
              <w:rPr>
                <w:rFonts w:ascii="宋体"/>
                <w:sz w:val="21"/>
              </w:rPr>
              <w:t>PHS</w:t>
              <w:tab/>
              <w:t>V2.4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V2.4</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sz w:val="21"/>
              </w:rPr>
              <w:t>2012SR084715</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2012-9-7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58" w:right="0"/>
              <w:jc w:val="left"/>
              <w:rPr>
                <w:rFonts w:ascii="宋体" w:hAnsi="宋体" w:cs="宋体" w:eastAsia="宋体" w:hint="default"/>
                <w:sz w:val="21"/>
                <w:szCs w:val="21"/>
              </w:rPr>
            </w:pPr>
            <w:r>
              <w:rPr>
                <w:rFonts w:ascii="宋体"/>
                <w:sz w:val="21"/>
              </w:rPr>
              <w:t>2012-6-30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235"/>
              <w:jc w:val="left"/>
              <w:rPr>
                <w:rFonts w:ascii="宋体" w:hAnsi="宋体" w:cs="宋体" w:eastAsia="宋体" w:hint="default"/>
                <w:sz w:val="21"/>
                <w:szCs w:val="21"/>
              </w:rPr>
            </w:pPr>
            <w:r>
              <w:rPr>
                <w:rFonts w:ascii="宋体" w:hAnsi="宋体" w:cs="宋体" w:eastAsia="宋体" w:hint="default"/>
                <w:sz w:val="21"/>
                <w:szCs w:val="21"/>
              </w:rPr>
              <w:t>原始</w:t>
            </w:r>
            <w:r>
              <w:rPr>
                <w:rFonts w:ascii="宋体" w:hAnsi="宋体" w:cs="宋体" w:eastAsia="宋体" w:hint="default"/>
                <w:spacing w:val="-103"/>
                <w:sz w:val="21"/>
                <w:szCs w:val="21"/>
              </w:rPr>
              <w:t> </w:t>
            </w:r>
            <w:r>
              <w:rPr>
                <w:rFonts w:ascii="宋体" w:hAnsi="宋体" w:cs="宋体" w:eastAsia="宋体" w:hint="default"/>
                <w:sz w:val="21"/>
                <w:szCs w:val="21"/>
              </w:rPr>
              <w:t>取得</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33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用友金融企业总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账系统软件</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企业总账</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V5.7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2012SR128280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2012-12-19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sz w:val="21"/>
              </w:rPr>
              <w:t>2012-8-8</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原始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34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用友金融财务管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理系统软件</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财务管理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V5.7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2012SR125513</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2012-12-15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sz w:val="21"/>
              </w:rPr>
              <w:t>2012-8-8</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w:t>
            </w:r>
          </w:p>
        </w:tc>
      </w:tr>
      <w:tr>
        <w:trPr>
          <w:trHeight w:val="55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35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用友金融新会计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准则系统软件</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新会计准则</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V5.7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2012SR126890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2012-12-18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sz w:val="21"/>
              </w:rPr>
              <w:t>2011-4-12</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36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用友金融税务管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理系统软件</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税务管理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V5.7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2012SR127074</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2012-12-18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sz w:val="21"/>
              </w:rPr>
              <w:t>2011-5-10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原始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用友金融资金管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理系统软件</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资金管理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V5.7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2012SR125571</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2012-12-15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sz w:val="21"/>
              </w:rPr>
              <w:t>2012-8-8</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原始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38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用友金融管理会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计系统软件</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管理会计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V5.7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2012SR126701</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2012-12-18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sz w:val="21"/>
              </w:rPr>
              <w:t>2010-12-30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原始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39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用友金融绩效管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理系统软件</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绩效管理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V5.7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2012SR127459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2012-12-18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sz w:val="21"/>
              </w:rPr>
              <w:t>2011-1-30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原始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40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用友金融资产负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债管理系统软件</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资产负债管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V5.7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2012SR127757</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2012-12-19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sz w:val="21"/>
              </w:rPr>
              <w:t>2011-8-31</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原始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用友金融资金转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移定价系统软件</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资金转移定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V5.7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2012SR126648</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2012-12-18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sz w:val="21"/>
              </w:rPr>
              <w:t>2012-3-30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原始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用友金融资本管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理系统软件</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资本管理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V5.7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2012SR126679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2012-12-18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sz w:val="21"/>
              </w:rPr>
              <w:t>2012-10-15</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原始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w:t>
            </w:r>
          </w:p>
        </w:tc>
      </w:tr>
      <w:tr>
        <w:trPr>
          <w:trHeight w:val="55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用友金融风险管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理系统软件</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风险管理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V5.7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2012SR127065</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2012-12-18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44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用友金融电子采</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购管理系统软件</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电子采购管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sz w:val="21"/>
              </w:rPr>
              <w:t>V5.7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sz w:val="21"/>
              </w:rPr>
              <w:t>2012SR126719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2012-12-18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宋体" w:hAnsi="宋体" w:cs="宋体" w:eastAsia="宋体" w:hint="default"/>
                <w:sz w:val="21"/>
                <w:szCs w:val="21"/>
              </w:rPr>
            </w:pPr>
            <w:r>
              <w:rPr>
                <w:rFonts w:ascii="宋体"/>
                <w:sz w:val="21"/>
              </w:rPr>
              <w:t>2011-12-31</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原始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45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用友金融实物资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产管理系统软件</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实物资产管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V5.7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2012SR127613</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2012-12-19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sz w:val="21"/>
              </w:rPr>
              <w:t>2012-8-8</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原始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46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用友金融资金交</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易系统软件</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资金交易</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V5.7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2012SR125279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2012-12-15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原始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47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用友金融人力资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源管理系统软件</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人力资源管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V5.7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2012SR125292</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2012-12-15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sz w:val="21"/>
              </w:rPr>
              <w:t>2011-11-10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原始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用友金融养老金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账户管理系统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养老金账户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V5.7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2012SR127267</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2012-12-18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sz w:val="21"/>
              </w:rPr>
              <w:t>2009-3-31</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原始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49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用友金融养老金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委托人系统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养老金委托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人</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V5.7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2012SR127458</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
              <w:jc w:val="center"/>
              <w:rPr>
                <w:rFonts w:ascii="宋体" w:hAnsi="宋体" w:cs="宋体" w:eastAsia="宋体" w:hint="default"/>
                <w:sz w:val="21"/>
                <w:szCs w:val="21"/>
              </w:rPr>
            </w:pPr>
            <w:r>
              <w:rPr>
                <w:rFonts w:ascii="宋体"/>
                <w:sz w:val="21"/>
              </w:rPr>
              <w:t>2012-12-18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2011-11-1</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原始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用友金融弹性福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利计划系统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弹性福利计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划</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V5.7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2012SR125182</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
              <w:jc w:val="center"/>
              <w:rPr>
                <w:rFonts w:ascii="宋体" w:hAnsi="宋体" w:cs="宋体" w:eastAsia="宋体" w:hint="default"/>
                <w:sz w:val="21"/>
                <w:szCs w:val="21"/>
              </w:rPr>
            </w:pPr>
            <w:r>
              <w:rPr>
                <w:rFonts w:ascii="宋体"/>
                <w:sz w:val="21"/>
              </w:rPr>
              <w:t>2012-12-15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原始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w:t>
            </w:r>
          </w:p>
        </w:tc>
      </w:tr>
      <w:tr>
        <w:trPr>
          <w:trHeight w:val="55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51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用友金融证券系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统软件</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证券系统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V5.7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2012SR125218</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
              <w:jc w:val="center"/>
              <w:rPr>
                <w:rFonts w:ascii="宋体" w:hAnsi="宋体" w:cs="宋体" w:eastAsia="宋体" w:hint="default"/>
                <w:sz w:val="21"/>
                <w:szCs w:val="21"/>
              </w:rPr>
            </w:pPr>
            <w:r>
              <w:rPr>
                <w:rFonts w:ascii="宋体"/>
                <w:sz w:val="21"/>
              </w:rPr>
              <w:t>2012-12-15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2010-7-1</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用友金融保险系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统软件</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保险系统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sz w:val="21"/>
              </w:rPr>
              <w:t>V5.7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宋体" w:hAnsi="宋体" w:cs="宋体" w:eastAsia="宋体" w:hint="default"/>
                <w:sz w:val="21"/>
                <w:szCs w:val="21"/>
              </w:rPr>
            </w:pPr>
            <w:r>
              <w:rPr>
                <w:rFonts w:ascii="宋体"/>
                <w:sz w:val="21"/>
              </w:rPr>
              <w:t>2012SR127510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7"/>
              <w:jc w:val="center"/>
              <w:rPr>
                <w:rFonts w:ascii="宋体" w:hAnsi="宋体" w:cs="宋体" w:eastAsia="宋体" w:hint="default"/>
                <w:sz w:val="21"/>
                <w:szCs w:val="21"/>
              </w:rPr>
            </w:pPr>
            <w:r>
              <w:rPr>
                <w:rFonts w:ascii="宋体"/>
                <w:sz w:val="21"/>
              </w:rPr>
              <w:t>2012-12-18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2010-5-1</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原始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53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用友金融信托系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统软件</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信托系统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V5.7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2012SR129103</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
              <w:jc w:val="center"/>
              <w:rPr>
                <w:rFonts w:ascii="宋体" w:hAnsi="宋体" w:cs="宋体" w:eastAsia="宋体" w:hint="default"/>
                <w:sz w:val="21"/>
                <w:szCs w:val="21"/>
              </w:rPr>
            </w:pPr>
            <w:r>
              <w:rPr>
                <w:rFonts w:ascii="宋体"/>
                <w:sz w:val="21"/>
              </w:rPr>
              <w:t>2012-12-20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2011-8-1</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原始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54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用友金融期货系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统软件</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期货系统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V5.7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2012SR127463</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
              <w:jc w:val="center"/>
              <w:rPr>
                <w:rFonts w:ascii="宋体" w:hAnsi="宋体" w:cs="宋体" w:eastAsia="宋体" w:hint="default"/>
                <w:sz w:val="21"/>
                <w:szCs w:val="21"/>
              </w:rPr>
            </w:pPr>
            <w:r>
              <w:rPr>
                <w:rFonts w:ascii="宋体"/>
                <w:sz w:val="21"/>
              </w:rPr>
              <w:t>2012-12-18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2010-8-1</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原始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用友金融租赁系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统软件</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租赁系统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V5.7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2012SR126711</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
              <w:jc w:val="center"/>
              <w:rPr>
                <w:rFonts w:ascii="宋体" w:hAnsi="宋体" w:cs="宋体" w:eastAsia="宋体" w:hint="default"/>
                <w:sz w:val="21"/>
                <w:szCs w:val="21"/>
              </w:rPr>
            </w:pPr>
            <w:r>
              <w:rPr>
                <w:rFonts w:ascii="宋体"/>
                <w:sz w:val="21"/>
              </w:rPr>
              <w:t>2012-12-18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原始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w:t>
            </w:r>
          </w:p>
        </w:tc>
      </w:tr>
    </w:tbl>
    <w:p>
      <w:pPr>
        <w:spacing w:after="0" w:line="274" w:lineRule="exact"/>
        <w:jc w:val="left"/>
        <w:rPr>
          <w:rFonts w:ascii="宋体" w:hAnsi="宋体" w:cs="宋体" w:eastAsia="宋体" w:hint="default"/>
          <w:sz w:val="21"/>
          <w:szCs w:val="21"/>
        </w:rPr>
        <w:sectPr>
          <w:pgSz w:w="11910" w:h="16850"/>
          <w:pgMar w:header="752" w:footer="730" w:top="1020" w:bottom="920" w:left="1160" w:right="11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11" w:type="dxa"/>
        <w:tblLayout w:type="fixed"/>
        <w:tblCellMar>
          <w:top w:w="0" w:type="dxa"/>
          <w:left w:w="0" w:type="dxa"/>
          <w:bottom w:w="0" w:type="dxa"/>
          <w:right w:w="0" w:type="dxa"/>
        </w:tblCellMar>
        <w:tblLook w:val="01E0"/>
      </w:tblPr>
      <w:tblGrid>
        <w:gridCol w:w="708"/>
        <w:gridCol w:w="1702"/>
        <w:gridCol w:w="1274"/>
        <w:gridCol w:w="852"/>
        <w:gridCol w:w="1476"/>
        <w:gridCol w:w="1279"/>
        <w:gridCol w:w="1274"/>
        <w:gridCol w:w="773"/>
      </w:tblGrid>
      <w:tr>
        <w:trPr>
          <w:trHeight w:val="28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软件名称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产品简称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版本号</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登记号</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登记批准日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权利起算日</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56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用友金融养老金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业务辅助系统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养老金业务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辅助</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V5.7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2012SR127153</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
              <w:jc w:val="center"/>
              <w:rPr>
                <w:rFonts w:ascii="宋体" w:hAnsi="宋体" w:cs="宋体" w:eastAsia="宋体" w:hint="default"/>
                <w:sz w:val="21"/>
                <w:szCs w:val="21"/>
              </w:rPr>
            </w:pPr>
            <w:r>
              <w:rPr>
                <w:rFonts w:ascii="宋体"/>
                <w:sz w:val="21"/>
              </w:rPr>
              <w:t>2012-12-18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2011-7-28</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原始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57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用友金融受托管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理系统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受托管理</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V5.7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2012SR127612</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
              <w:jc w:val="center"/>
              <w:rPr>
                <w:rFonts w:ascii="宋体" w:hAnsi="宋体" w:cs="宋体" w:eastAsia="宋体" w:hint="default"/>
                <w:sz w:val="21"/>
                <w:szCs w:val="21"/>
              </w:rPr>
            </w:pPr>
            <w:r>
              <w:rPr>
                <w:rFonts w:ascii="宋体"/>
                <w:sz w:val="21"/>
              </w:rPr>
              <w:t>2012-12-19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2009-12-20</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原始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58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用友金融养老金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网上服务系统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养老金网上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V5.7</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2012SR126903</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
              <w:jc w:val="center"/>
              <w:rPr>
                <w:rFonts w:ascii="宋体" w:hAnsi="宋体" w:cs="宋体" w:eastAsia="宋体" w:hint="default"/>
                <w:sz w:val="21"/>
                <w:szCs w:val="21"/>
              </w:rPr>
            </w:pPr>
            <w:r>
              <w:rPr>
                <w:rFonts w:ascii="宋体"/>
                <w:sz w:val="21"/>
              </w:rPr>
              <w:t>2012-12-18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2011-6-6</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原始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w:t>
            </w:r>
          </w:p>
        </w:tc>
      </w:tr>
    </w:tbl>
    <w:p>
      <w:pPr>
        <w:pStyle w:val="Heading3"/>
        <w:spacing w:line="297" w:lineRule="auto" w:before="82"/>
        <w:ind w:left="258" w:right="188" w:firstLine="480"/>
        <w:jc w:val="left"/>
      </w:pPr>
      <w:r>
        <w:rPr/>
        <w:t>报告期内，根据《中华人民共和国专利法》规定，经中华人民共和国知识产权局核 准，公司获得</w:t>
      </w:r>
      <w:r>
        <w:rPr>
          <w:spacing w:val="-60"/>
        </w:rPr>
        <w:t> </w:t>
      </w:r>
      <w:r>
        <w:rPr>
          <w:rFonts w:ascii="宋体" w:hAnsi="宋体" w:cs="宋体" w:eastAsia="宋体" w:hint="default"/>
        </w:rPr>
        <w:t>37</w:t>
      </w:r>
      <w:r>
        <w:rPr>
          <w:rFonts w:ascii="宋体" w:hAnsi="宋体" w:cs="宋体" w:eastAsia="宋体" w:hint="default"/>
          <w:spacing w:val="-60"/>
        </w:rPr>
        <w:t> </w:t>
      </w:r>
      <w:r>
        <w:rPr/>
        <w:t>项专利授权</w:t>
      </w:r>
      <w:r>
        <w:rPr>
          <w:rFonts w:ascii="宋体" w:hAnsi="宋体" w:cs="宋体" w:eastAsia="宋体" w:hint="default"/>
        </w:rPr>
        <w:t>, </w:t>
      </w:r>
      <w:r>
        <w:rPr/>
        <w:t>如下所示：</w:t>
      </w:r>
    </w:p>
    <w:p>
      <w:pPr>
        <w:spacing w:line="240" w:lineRule="auto" w:before="5"/>
        <w:rPr>
          <w:rFonts w:ascii="宋体" w:hAnsi="宋体" w:cs="宋体" w:eastAsia="宋体"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708"/>
        <w:gridCol w:w="2268"/>
        <w:gridCol w:w="1073"/>
        <w:gridCol w:w="2330"/>
        <w:gridCol w:w="1274"/>
        <w:gridCol w:w="1687"/>
      </w:tblGrid>
      <w:tr>
        <w:trPr>
          <w:trHeight w:val="28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08" w:right="0"/>
              <w:jc w:val="left"/>
              <w:rPr>
                <w:rFonts w:ascii="宋体" w:hAnsi="宋体" w:cs="宋体" w:eastAsia="宋体" w:hint="default"/>
                <w:sz w:val="21"/>
                <w:szCs w:val="21"/>
              </w:rPr>
            </w:pPr>
            <w:r>
              <w:rPr>
                <w:rFonts w:ascii="宋体" w:hAnsi="宋体" w:cs="宋体" w:eastAsia="宋体" w:hint="default"/>
                <w:sz w:val="21"/>
                <w:szCs w:val="21"/>
              </w:rPr>
              <w:t>发明名称</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6" w:right="0"/>
              <w:jc w:val="left"/>
              <w:rPr>
                <w:rFonts w:ascii="宋体" w:hAnsi="宋体" w:cs="宋体" w:eastAsia="宋体" w:hint="default"/>
                <w:sz w:val="21"/>
                <w:szCs w:val="21"/>
              </w:rPr>
            </w:pPr>
            <w:r>
              <w:rPr>
                <w:rFonts w:ascii="宋体" w:hAnsi="宋体" w:cs="宋体" w:eastAsia="宋体" w:hint="default"/>
                <w:sz w:val="21"/>
                <w:szCs w:val="21"/>
              </w:rPr>
              <w:t>发明人</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权利人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6" w:right="0"/>
              <w:jc w:val="left"/>
              <w:rPr>
                <w:rFonts w:ascii="宋体" w:hAnsi="宋体" w:cs="宋体" w:eastAsia="宋体" w:hint="default"/>
                <w:sz w:val="21"/>
                <w:szCs w:val="21"/>
              </w:rPr>
            </w:pPr>
            <w:r>
              <w:rPr>
                <w:rFonts w:ascii="宋体" w:hAnsi="宋体" w:cs="宋体" w:eastAsia="宋体" w:hint="default"/>
                <w:sz w:val="21"/>
                <w:szCs w:val="21"/>
              </w:rPr>
              <w:t>申请日</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申请号</w:t>
            </w:r>
          </w:p>
        </w:tc>
      </w:tr>
      <w:tr>
        <w:trPr>
          <w:trHeight w:val="82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w w:val="100"/>
                <w:sz w:val="21"/>
              </w:rPr>
              <w:t>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pacing w:val="-79"/>
                <w:sz w:val="21"/>
                <w:szCs w:val="21"/>
              </w:rPr>
              <w:t> </w:t>
            </w:r>
            <w:r>
              <w:rPr>
                <w:rFonts w:ascii="宋体" w:hAnsi="宋体" w:cs="宋体" w:eastAsia="宋体" w:hint="default"/>
                <w:sz w:val="21"/>
                <w:szCs w:val="21"/>
              </w:rPr>
              <w:t>WAP</w:t>
            </w:r>
            <w:r>
              <w:rPr>
                <w:rFonts w:ascii="宋体" w:hAnsi="宋体" w:cs="宋体" w:eastAsia="宋体" w:hint="default"/>
                <w:spacing w:val="-79"/>
                <w:sz w:val="21"/>
                <w:szCs w:val="21"/>
              </w:rPr>
              <w:t> </w:t>
            </w:r>
            <w:r>
              <w:rPr>
                <w:rFonts w:ascii="宋体" w:hAnsi="宋体" w:cs="宋体" w:eastAsia="宋体" w:hint="default"/>
                <w:sz w:val="21"/>
                <w:szCs w:val="21"/>
              </w:rPr>
              <w:t>系统的移动终</w:t>
            </w:r>
          </w:p>
          <w:p>
            <w:pPr>
              <w:pStyle w:val="TableParagraph"/>
              <w:spacing w:line="272" w:lineRule="exact" w:before="27"/>
              <w:ind w:left="103" w:right="259"/>
              <w:jc w:val="left"/>
              <w:rPr>
                <w:rFonts w:ascii="宋体" w:hAnsi="宋体" w:cs="宋体" w:eastAsia="宋体" w:hint="default"/>
                <w:sz w:val="21"/>
                <w:szCs w:val="21"/>
              </w:rPr>
            </w:pPr>
            <w:r>
              <w:rPr>
                <w:rFonts w:ascii="宋体" w:hAnsi="宋体" w:cs="宋体" w:eastAsia="宋体" w:hint="default"/>
                <w:sz w:val="21"/>
                <w:szCs w:val="21"/>
              </w:rPr>
              <w:t>端适配处理方法和装</w:t>
            </w:r>
            <w:r>
              <w:rPr>
                <w:rFonts w:ascii="宋体" w:hAnsi="宋体" w:cs="宋体" w:eastAsia="宋体" w:hint="default"/>
                <w:w w:val="100"/>
                <w:sz w:val="21"/>
                <w:szCs w:val="21"/>
              </w:rPr>
              <w:t> </w:t>
            </w:r>
            <w:r>
              <w:rPr>
                <w:rFonts w:ascii="宋体" w:hAnsi="宋体" w:cs="宋体" w:eastAsia="宋体" w:hint="default"/>
                <w:sz w:val="21"/>
                <w:szCs w:val="21"/>
              </w:rPr>
              <w:t>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王继伟</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
              <w:jc w:val="center"/>
              <w:rPr>
                <w:rFonts w:ascii="宋体" w:hAnsi="宋体" w:cs="宋体" w:eastAsia="宋体" w:hint="default"/>
                <w:sz w:val="21"/>
                <w:szCs w:val="21"/>
              </w:rPr>
            </w:pPr>
            <w:r>
              <w:rPr>
                <w:rFonts w:ascii="宋体" w:hAnsi="宋体" w:cs="宋体" w:eastAsia="宋体" w:hint="default"/>
                <w:sz w:val="21"/>
                <w:szCs w:val="21"/>
              </w:rPr>
              <w:t>用友软件股份有限公司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2008-11-07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200810225960.2</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一种保存和重现打印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场景的方法和系统</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薄奇</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
              <w:jc w:val="center"/>
              <w:rPr>
                <w:rFonts w:ascii="宋体" w:hAnsi="宋体" w:cs="宋体" w:eastAsia="宋体" w:hint="default"/>
                <w:sz w:val="21"/>
                <w:szCs w:val="21"/>
              </w:rPr>
            </w:pPr>
            <w:r>
              <w:rPr>
                <w:rFonts w:ascii="宋体" w:hAnsi="宋体" w:cs="宋体" w:eastAsia="宋体" w:hint="default"/>
                <w:sz w:val="21"/>
                <w:szCs w:val="21"/>
              </w:rPr>
              <w:t>用友软件股份有限公司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2008-11-07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200810225961.7</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协议无关的</w:t>
            </w:r>
            <w:r>
              <w:rPr>
                <w:rFonts w:ascii="宋体" w:hAnsi="宋体" w:cs="宋体" w:eastAsia="宋体" w:hint="default"/>
                <w:spacing w:val="-78"/>
                <w:sz w:val="21"/>
                <w:szCs w:val="21"/>
              </w:rPr>
              <w:t> </w:t>
            </w:r>
            <w:r>
              <w:rPr>
                <w:rFonts w:ascii="宋体" w:hAnsi="宋体" w:cs="宋体" w:eastAsia="宋体" w:hint="default"/>
                <w:sz w:val="21"/>
                <w:szCs w:val="21"/>
              </w:rPr>
              <w:t>SOA</w:t>
            </w:r>
            <w:r>
              <w:rPr>
                <w:rFonts w:ascii="宋体" w:hAnsi="宋体" w:cs="宋体" w:eastAsia="宋体" w:hint="default"/>
                <w:spacing w:val="-80"/>
                <w:sz w:val="21"/>
                <w:szCs w:val="21"/>
              </w:rPr>
              <w:t> </w:t>
            </w:r>
            <w:r>
              <w:rPr>
                <w:rFonts w:ascii="宋体" w:hAnsi="宋体" w:cs="宋体" w:eastAsia="宋体" w:hint="default"/>
                <w:sz w:val="21"/>
                <w:szCs w:val="21"/>
              </w:rPr>
              <w:t>系统和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业务处理方法</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方豪</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
              <w:jc w:val="center"/>
              <w:rPr>
                <w:rFonts w:ascii="宋体" w:hAnsi="宋体" w:cs="宋体" w:eastAsia="宋体" w:hint="default"/>
                <w:sz w:val="21"/>
                <w:szCs w:val="21"/>
              </w:rPr>
            </w:pPr>
            <w:r>
              <w:rPr>
                <w:rFonts w:ascii="宋体" w:hAnsi="宋体" w:cs="宋体" w:eastAsia="宋体" w:hint="default"/>
                <w:sz w:val="21"/>
                <w:szCs w:val="21"/>
              </w:rPr>
              <w:t>用友软件股份有限公司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2008-12-01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200810227919.9</w:t>
            </w:r>
          </w:p>
        </w:tc>
      </w:tr>
      <w:tr>
        <w:trPr>
          <w:trHeight w:val="82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w w:val="100"/>
                <w:sz w:val="21"/>
              </w:rPr>
              <w:t>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5"/>
              <w:jc w:val="left"/>
              <w:rPr>
                <w:rFonts w:ascii="宋体" w:hAnsi="宋体" w:cs="宋体" w:eastAsia="宋体" w:hint="default"/>
                <w:sz w:val="21"/>
                <w:szCs w:val="21"/>
              </w:rPr>
            </w:pPr>
            <w:r>
              <w:rPr>
                <w:rFonts w:ascii="宋体" w:hAnsi="宋体" w:cs="宋体" w:eastAsia="宋体" w:hint="default"/>
                <w:sz w:val="21"/>
                <w:szCs w:val="21"/>
              </w:rPr>
              <w:t>ERP</w:t>
            </w:r>
            <w:r>
              <w:rPr>
                <w:rFonts w:ascii="宋体" w:hAnsi="宋体" w:cs="宋体" w:eastAsia="宋体" w:hint="default"/>
                <w:spacing w:val="-56"/>
                <w:sz w:val="21"/>
                <w:szCs w:val="21"/>
              </w:rPr>
              <w:t> </w:t>
            </w:r>
            <w:r>
              <w:rPr>
                <w:rFonts w:ascii="宋体" w:hAnsi="宋体" w:cs="宋体" w:eastAsia="宋体" w:hint="default"/>
                <w:sz w:val="21"/>
                <w:szCs w:val="21"/>
              </w:rPr>
              <w:t>单据搜索方法和系</w:t>
            </w:r>
            <w:r>
              <w:rPr>
                <w:rFonts w:ascii="宋体" w:hAnsi="宋体" w:cs="宋体" w:eastAsia="宋体" w:hint="default"/>
                <w:spacing w:val="-3"/>
                <w:w w:val="100"/>
                <w:sz w:val="21"/>
                <w:szCs w:val="21"/>
              </w:rPr>
              <w:t> </w:t>
            </w:r>
            <w:r>
              <w:rPr>
                <w:rFonts w:ascii="宋体" w:hAnsi="宋体" w:cs="宋体" w:eastAsia="宋体" w:hint="default"/>
                <w:sz w:val="21"/>
                <w:szCs w:val="21"/>
              </w:rPr>
              <w:t>统</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宋永强、</w:t>
            </w:r>
          </w:p>
          <w:p>
            <w:pPr>
              <w:pStyle w:val="TableParagraph"/>
              <w:spacing w:line="272" w:lineRule="exact" w:before="27"/>
              <w:ind w:left="103" w:right="115"/>
              <w:jc w:val="left"/>
              <w:rPr>
                <w:rFonts w:ascii="宋体" w:hAnsi="宋体" w:cs="宋体" w:eastAsia="宋体" w:hint="default"/>
                <w:sz w:val="21"/>
                <w:szCs w:val="21"/>
              </w:rPr>
            </w:pPr>
            <w:r>
              <w:rPr>
                <w:rFonts w:ascii="宋体" w:hAnsi="宋体" w:cs="宋体" w:eastAsia="宋体" w:hint="default"/>
                <w:sz w:val="21"/>
                <w:szCs w:val="21"/>
              </w:rPr>
              <w:t>连林江、</w:t>
            </w:r>
            <w:r>
              <w:rPr>
                <w:rFonts w:ascii="宋体" w:hAnsi="宋体" w:cs="宋体" w:eastAsia="宋体" w:hint="default"/>
                <w:w w:val="100"/>
                <w:sz w:val="21"/>
                <w:szCs w:val="21"/>
              </w:rPr>
              <w:t> </w:t>
            </w:r>
            <w:r>
              <w:rPr>
                <w:rFonts w:ascii="宋体" w:hAnsi="宋体" w:cs="宋体" w:eastAsia="宋体" w:hint="default"/>
                <w:sz w:val="21"/>
                <w:szCs w:val="21"/>
              </w:rPr>
              <w:t>杨历</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
              <w:jc w:val="center"/>
              <w:rPr>
                <w:rFonts w:ascii="宋体" w:hAnsi="宋体" w:cs="宋体" w:eastAsia="宋体" w:hint="default"/>
                <w:sz w:val="21"/>
                <w:szCs w:val="21"/>
              </w:rPr>
            </w:pPr>
            <w:r>
              <w:rPr>
                <w:rFonts w:ascii="宋体" w:hAnsi="宋体" w:cs="宋体" w:eastAsia="宋体" w:hint="default"/>
                <w:sz w:val="21"/>
                <w:szCs w:val="21"/>
              </w:rPr>
              <w:t>用友软件股份有限公司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2009-6-25</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200910087449.5</w:t>
            </w:r>
          </w:p>
        </w:tc>
      </w:tr>
      <w:tr>
        <w:trPr>
          <w:trHeight w:val="55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一种组件构建方法和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装置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何冠宇</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
              <w:jc w:val="center"/>
              <w:rPr>
                <w:rFonts w:ascii="宋体" w:hAnsi="宋体" w:cs="宋体" w:eastAsia="宋体" w:hint="default"/>
                <w:sz w:val="21"/>
                <w:szCs w:val="21"/>
              </w:rPr>
            </w:pPr>
            <w:r>
              <w:rPr>
                <w:rFonts w:ascii="宋体" w:hAnsi="宋体" w:cs="宋体" w:eastAsia="宋体" w:hint="default"/>
                <w:sz w:val="21"/>
                <w:szCs w:val="21"/>
              </w:rPr>
              <w:t>用友软件股份有限公司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2009-9-1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200910091882.6</w:t>
            </w:r>
          </w:p>
        </w:tc>
      </w:tr>
      <w:tr>
        <w:trPr>
          <w:trHeight w:val="137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w w:val="100"/>
                <w:sz w:val="21"/>
              </w:rPr>
              <w:t>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接入系统和接入方法</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魏同军、</w:t>
            </w:r>
          </w:p>
          <w:p>
            <w:pPr>
              <w:pStyle w:val="TableParagraph"/>
              <w:spacing w:line="237" w:lineRule="auto"/>
              <w:ind w:left="103" w:right="115"/>
              <w:jc w:val="both"/>
              <w:rPr>
                <w:rFonts w:ascii="宋体" w:hAnsi="宋体" w:cs="宋体" w:eastAsia="宋体" w:hint="default"/>
                <w:sz w:val="21"/>
                <w:szCs w:val="21"/>
              </w:rPr>
            </w:pPr>
            <w:r>
              <w:rPr>
                <w:rFonts w:ascii="宋体" w:hAnsi="宋体" w:cs="宋体" w:eastAsia="宋体" w:hint="default"/>
                <w:sz w:val="21"/>
                <w:szCs w:val="21"/>
              </w:rPr>
              <w:t>郭俊灵、</w:t>
            </w:r>
            <w:r>
              <w:rPr>
                <w:rFonts w:ascii="宋体" w:hAnsi="宋体" w:cs="宋体" w:eastAsia="宋体" w:hint="default"/>
                <w:w w:val="100"/>
                <w:sz w:val="21"/>
                <w:szCs w:val="21"/>
              </w:rPr>
              <w:t> </w:t>
            </w:r>
            <w:r>
              <w:rPr>
                <w:rFonts w:ascii="宋体" w:hAnsi="宋体" w:cs="宋体" w:eastAsia="宋体" w:hint="default"/>
                <w:sz w:val="21"/>
                <w:szCs w:val="21"/>
              </w:rPr>
              <w:t>陈龙、李</w:t>
            </w:r>
            <w:r>
              <w:rPr>
                <w:rFonts w:ascii="宋体" w:hAnsi="宋体" w:cs="宋体" w:eastAsia="宋体" w:hint="default"/>
                <w:w w:val="100"/>
                <w:sz w:val="21"/>
                <w:szCs w:val="21"/>
              </w:rPr>
              <w:t> </w:t>
            </w:r>
            <w:r>
              <w:rPr>
                <w:rFonts w:ascii="宋体" w:hAnsi="宋体" w:cs="宋体" w:eastAsia="宋体" w:hint="default"/>
                <w:sz w:val="21"/>
                <w:szCs w:val="21"/>
              </w:rPr>
              <w:t>洪福、李</w:t>
            </w:r>
            <w:r>
              <w:rPr>
                <w:rFonts w:ascii="宋体" w:hAnsi="宋体" w:cs="宋体" w:eastAsia="宋体" w:hint="default"/>
                <w:w w:val="100"/>
                <w:sz w:val="21"/>
                <w:szCs w:val="21"/>
              </w:rPr>
              <w:t> </w:t>
            </w:r>
            <w:r>
              <w:rPr>
                <w:rFonts w:ascii="宋体" w:hAnsi="宋体" w:cs="宋体" w:eastAsia="宋体" w:hint="default"/>
                <w:sz w:val="21"/>
                <w:szCs w:val="21"/>
              </w:rPr>
              <w:t>秋平</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
              <w:jc w:val="center"/>
              <w:rPr>
                <w:rFonts w:ascii="宋体" w:hAnsi="宋体" w:cs="宋体" w:eastAsia="宋体" w:hint="default"/>
                <w:sz w:val="21"/>
                <w:szCs w:val="21"/>
              </w:rPr>
            </w:pPr>
            <w:r>
              <w:rPr>
                <w:rFonts w:ascii="宋体" w:hAnsi="宋体" w:cs="宋体" w:eastAsia="宋体" w:hint="default"/>
                <w:sz w:val="21"/>
                <w:szCs w:val="21"/>
              </w:rPr>
              <w:t>用友软件股份有限公司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2009-6-25</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21"/>
                <w:szCs w:val="21"/>
              </w:rPr>
            </w:pPr>
            <w:r>
              <w:rPr>
                <w:rFonts w:ascii="宋体"/>
                <w:sz w:val="21"/>
              </w:rPr>
              <w:t>200910087448.0</w:t>
            </w:r>
          </w:p>
        </w:tc>
      </w:tr>
      <w:tr>
        <w:trPr>
          <w:trHeight w:val="82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w w:val="100"/>
                <w:sz w:val="21"/>
              </w:rPr>
              <w:t>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带有前处理和后处理</w:t>
            </w:r>
          </w:p>
          <w:p>
            <w:pPr>
              <w:pStyle w:val="TableParagraph"/>
              <w:spacing w:line="272" w:lineRule="exact" w:before="27"/>
              <w:ind w:left="103" w:right="259"/>
              <w:jc w:val="left"/>
              <w:rPr>
                <w:rFonts w:ascii="宋体" w:hAnsi="宋体" w:cs="宋体" w:eastAsia="宋体" w:hint="default"/>
                <w:sz w:val="21"/>
                <w:szCs w:val="21"/>
              </w:rPr>
            </w:pPr>
            <w:r>
              <w:rPr>
                <w:rFonts w:ascii="宋体" w:hAnsi="宋体" w:cs="宋体" w:eastAsia="宋体" w:hint="default"/>
                <w:sz w:val="21"/>
                <w:szCs w:val="21"/>
              </w:rPr>
              <w:t>的数据库复合查询系</w:t>
            </w:r>
            <w:r>
              <w:rPr>
                <w:rFonts w:ascii="宋体" w:hAnsi="宋体" w:cs="宋体" w:eastAsia="宋体" w:hint="default"/>
                <w:w w:val="100"/>
                <w:sz w:val="21"/>
                <w:szCs w:val="21"/>
              </w:rPr>
              <w:t> </w:t>
            </w:r>
            <w:r>
              <w:rPr>
                <w:rFonts w:ascii="宋体" w:hAnsi="宋体" w:cs="宋体" w:eastAsia="宋体" w:hint="default"/>
                <w:sz w:val="21"/>
                <w:szCs w:val="21"/>
              </w:rPr>
              <w:t>统及方法</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朱俊彬</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
              <w:jc w:val="center"/>
              <w:rPr>
                <w:rFonts w:ascii="宋体" w:hAnsi="宋体" w:cs="宋体" w:eastAsia="宋体" w:hint="default"/>
                <w:sz w:val="21"/>
                <w:szCs w:val="21"/>
              </w:rPr>
            </w:pPr>
            <w:r>
              <w:rPr>
                <w:rFonts w:ascii="宋体" w:hAnsi="宋体" w:cs="宋体" w:eastAsia="宋体" w:hint="default"/>
                <w:sz w:val="21"/>
                <w:szCs w:val="21"/>
              </w:rPr>
              <w:t>用友软件股份有限公司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2009-5-12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200910083914.8</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w w:val="100"/>
                <w:sz w:val="21"/>
              </w:rPr>
              <w:t>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不规则字段存储方法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和系统</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杜树峰</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
              <w:jc w:val="center"/>
              <w:rPr>
                <w:rFonts w:ascii="宋体" w:hAnsi="宋体" w:cs="宋体" w:eastAsia="宋体" w:hint="default"/>
                <w:sz w:val="21"/>
                <w:szCs w:val="21"/>
              </w:rPr>
            </w:pPr>
            <w:r>
              <w:rPr>
                <w:rFonts w:ascii="宋体" w:hAnsi="宋体" w:cs="宋体" w:eastAsia="宋体" w:hint="default"/>
                <w:sz w:val="21"/>
                <w:szCs w:val="21"/>
              </w:rPr>
              <w:t>用友软件股份有限公司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2009-9-3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200910090657.0</w:t>
            </w:r>
          </w:p>
        </w:tc>
      </w:tr>
      <w:tr>
        <w:trPr>
          <w:trHeight w:val="82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w w:val="100"/>
                <w:sz w:val="21"/>
              </w:rPr>
              <w:t>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打印方法和打印装置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马骥、邱</w:t>
            </w:r>
          </w:p>
          <w:p>
            <w:pPr>
              <w:pStyle w:val="TableParagraph"/>
              <w:spacing w:line="240" w:lineRule="auto"/>
              <w:ind w:left="103" w:right="115"/>
              <w:jc w:val="left"/>
              <w:rPr>
                <w:rFonts w:ascii="宋体" w:hAnsi="宋体" w:cs="宋体" w:eastAsia="宋体" w:hint="default"/>
                <w:sz w:val="21"/>
                <w:szCs w:val="21"/>
              </w:rPr>
            </w:pPr>
            <w:r>
              <w:rPr>
                <w:rFonts w:ascii="宋体" w:hAnsi="宋体" w:cs="宋体" w:eastAsia="宋体" w:hint="default"/>
                <w:sz w:val="21"/>
                <w:szCs w:val="21"/>
              </w:rPr>
              <w:t>东强、宋</w:t>
            </w:r>
            <w:r>
              <w:rPr>
                <w:rFonts w:ascii="宋体" w:hAnsi="宋体" w:cs="宋体" w:eastAsia="宋体" w:hint="default"/>
                <w:w w:val="100"/>
                <w:sz w:val="21"/>
                <w:szCs w:val="21"/>
              </w:rPr>
              <w:t> </w:t>
            </w:r>
            <w:r>
              <w:rPr>
                <w:rFonts w:ascii="宋体" w:hAnsi="宋体" w:cs="宋体" w:eastAsia="宋体" w:hint="default"/>
                <w:sz w:val="21"/>
                <w:szCs w:val="21"/>
              </w:rPr>
              <w:t>涛</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
              <w:jc w:val="center"/>
              <w:rPr>
                <w:rFonts w:ascii="宋体" w:hAnsi="宋体" w:cs="宋体" w:eastAsia="宋体" w:hint="default"/>
                <w:sz w:val="21"/>
                <w:szCs w:val="21"/>
              </w:rPr>
            </w:pPr>
            <w:r>
              <w:rPr>
                <w:rFonts w:ascii="宋体" w:hAnsi="宋体" w:cs="宋体" w:eastAsia="宋体" w:hint="default"/>
                <w:sz w:val="21"/>
                <w:szCs w:val="21"/>
              </w:rPr>
              <w:t>用友软件股份有限公司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2009-12-29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200910243132.6</w:t>
            </w:r>
          </w:p>
        </w:tc>
      </w:tr>
      <w:tr>
        <w:trPr>
          <w:trHeight w:val="82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spacing w:val="-78"/>
                <w:sz w:val="21"/>
                <w:szCs w:val="21"/>
              </w:rPr>
              <w:t> </w:t>
            </w:r>
            <w:r>
              <w:rPr>
                <w:rFonts w:ascii="宋体" w:hAnsi="宋体" w:cs="宋体" w:eastAsia="宋体" w:hint="default"/>
                <w:sz w:val="21"/>
                <w:szCs w:val="21"/>
              </w:rPr>
              <w:t>B/S</w:t>
            </w:r>
            <w:r>
              <w:rPr>
                <w:rFonts w:ascii="宋体" w:hAnsi="宋体" w:cs="宋体" w:eastAsia="宋体" w:hint="default"/>
                <w:spacing w:val="-80"/>
                <w:sz w:val="21"/>
                <w:szCs w:val="21"/>
              </w:rPr>
              <w:t> </w:t>
            </w:r>
            <w:r>
              <w:rPr>
                <w:rFonts w:ascii="宋体" w:hAnsi="宋体" w:cs="宋体" w:eastAsia="宋体" w:hint="default"/>
                <w:sz w:val="21"/>
                <w:szCs w:val="21"/>
              </w:rPr>
              <w:t>架构中确定客户</w:t>
            </w:r>
          </w:p>
          <w:p>
            <w:pPr>
              <w:pStyle w:val="TableParagraph"/>
              <w:spacing w:line="240" w:lineRule="auto"/>
              <w:ind w:left="103" w:right="259"/>
              <w:jc w:val="left"/>
              <w:rPr>
                <w:rFonts w:ascii="宋体" w:hAnsi="宋体" w:cs="宋体" w:eastAsia="宋体" w:hint="default"/>
                <w:sz w:val="21"/>
                <w:szCs w:val="21"/>
              </w:rPr>
            </w:pPr>
            <w:r>
              <w:rPr>
                <w:rFonts w:ascii="宋体" w:hAnsi="宋体" w:cs="宋体" w:eastAsia="宋体" w:hint="default"/>
                <w:sz w:val="21"/>
                <w:szCs w:val="21"/>
              </w:rPr>
              <w:t>端是否在线的方法和</w:t>
            </w:r>
            <w:r>
              <w:rPr>
                <w:rFonts w:ascii="宋体" w:hAnsi="宋体" w:cs="宋体" w:eastAsia="宋体" w:hint="default"/>
                <w:w w:val="100"/>
                <w:sz w:val="21"/>
                <w:szCs w:val="21"/>
              </w:rPr>
              <w:t> </w:t>
            </w:r>
            <w:r>
              <w:rPr>
                <w:rFonts w:ascii="宋体" w:hAnsi="宋体" w:cs="宋体" w:eastAsia="宋体" w:hint="default"/>
                <w:sz w:val="21"/>
                <w:szCs w:val="21"/>
              </w:rPr>
              <w:t>系统</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邓君涛</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
              <w:jc w:val="center"/>
              <w:rPr>
                <w:rFonts w:ascii="宋体" w:hAnsi="宋体" w:cs="宋体" w:eastAsia="宋体" w:hint="default"/>
                <w:sz w:val="21"/>
                <w:szCs w:val="21"/>
              </w:rPr>
            </w:pPr>
            <w:r>
              <w:rPr>
                <w:rFonts w:ascii="宋体" w:hAnsi="宋体" w:cs="宋体" w:eastAsia="宋体" w:hint="default"/>
                <w:sz w:val="21"/>
                <w:szCs w:val="21"/>
              </w:rPr>
              <w:t>用友软件股份有限公司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2009-10-30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200910235949.9</w:t>
            </w:r>
          </w:p>
        </w:tc>
      </w:tr>
      <w:tr>
        <w:trPr>
          <w:trHeight w:val="82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用于动态报表区域的</w:t>
            </w:r>
          </w:p>
          <w:p>
            <w:pPr>
              <w:pStyle w:val="TableParagraph"/>
              <w:spacing w:line="272" w:lineRule="exact" w:before="27"/>
              <w:ind w:left="103" w:right="259"/>
              <w:jc w:val="left"/>
              <w:rPr>
                <w:rFonts w:ascii="宋体" w:hAnsi="宋体" w:cs="宋体" w:eastAsia="宋体" w:hint="default"/>
                <w:sz w:val="21"/>
                <w:szCs w:val="21"/>
              </w:rPr>
            </w:pPr>
            <w:r>
              <w:rPr>
                <w:rFonts w:ascii="宋体" w:hAnsi="宋体" w:cs="宋体" w:eastAsia="宋体" w:hint="default"/>
                <w:sz w:val="21"/>
                <w:szCs w:val="21"/>
              </w:rPr>
              <w:t>公式处理系统及其方</w:t>
            </w:r>
            <w:r>
              <w:rPr>
                <w:rFonts w:ascii="宋体" w:hAnsi="宋体" w:cs="宋体" w:eastAsia="宋体" w:hint="default"/>
                <w:w w:val="100"/>
                <w:sz w:val="21"/>
                <w:szCs w:val="21"/>
              </w:rPr>
              <w:t> </w:t>
            </w:r>
            <w:r>
              <w:rPr>
                <w:rFonts w:ascii="宋体" w:hAnsi="宋体" w:cs="宋体" w:eastAsia="宋体" w:hint="default"/>
                <w:sz w:val="21"/>
                <w:szCs w:val="21"/>
              </w:rPr>
              <w:t>法</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王宇光</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
              <w:jc w:val="center"/>
              <w:rPr>
                <w:rFonts w:ascii="宋体" w:hAnsi="宋体" w:cs="宋体" w:eastAsia="宋体" w:hint="default"/>
                <w:sz w:val="21"/>
                <w:szCs w:val="21"/>
              </w:rPr>
            </w:pPr>
            <w:r>
              <w:rPr>
                <w:rFonts w:ascii="宋体" w:hAnsi="宋体" w:cs="宋体" w:eastAsia="宋体" w:hint="default"/>
                <w:sz w:val="21"/>
                <w:szCs w:val="21"/>
              </w:rPr>
              <w:t>用友软件股份有限公司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2009-5-8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200910083855.4</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一种实现应用组件热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插拔的方法和装置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祁宏伟</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
              <w:jc w:val="center"/>
              <w:rPr>
                <w:rFonts w:ascii="宋体" w:hAnsi="宋体" w:cs="宋体" w:eastAsia="宋体" w:hint="default"/>
                <w:sz w:val="21"/>
                <w:szCs w:val="21"/>
              </w:rPr>
            </w:pPr>
            <w:r>
              <w:rPr>
                <w:rFonts w:ascii="宋体" w:hAnsi="宋体" w:cs="宋体" w:eastAsia="宋体" w:hint="default"/>
                <w:sz w:val="21"/>
                <w:szCs w:val="21"/>
              </w:rPr>
              <w:t>用友软件股份有限公司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2009-9-22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200910092661.0</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验证方法和装置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伍国锋、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题华龙</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
              <w:jc w:val="center"/>
              <w:rPr>
                <w:rFonts w:ascii="宋体" w:hAnsi="宋体" w:cs="宋体" w:eastAsia="宋体" w:hint="default"/>
                <w:sz w:val="21"/>
                <w:szCs w:val="21"/>
              </w:rPr>
            </w:pPr>
            <w:r>
              <w:rPr>
                <w:rFonts w:ascii="宋体" w:hAnsi="宋体" w:cs="宋体" w:eastAsia="宋体" w:hint="default"/>
                <w:sz w:val="21"/>
                <w:szCs w:val="21"/>
              </w:rPr>
              <w:t>用友软件股份有限公司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2009-4-30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200910083266.6</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具备负载均衡功能的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数据缓存系统</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王加位</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
              <w:jc w:val="center"/>
              <w:rPr>
                <w:rFonts w:ascii="宋体" w:hAnsi="宋体" w:cs="宋体" w:eastAsia="宋体" w:hint="default"/>
                <w:sz w:val="21"/>
                <w:szCs w:val="21"/>
              </w:rPr>
            </w:pPr>
            <w:r>
              <w:rPr>
                <w:rFonts w:ascii="宋体" w:hAnsi="宋体" w:cs="宋体" w:eastAsia="宋体" w:hint="default"/>
                <w:sz w:val="21"/>
                <w:szCs w:val="21"/>
              </w:rPr>
              <w:t>用友软件股份有限公司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2009-6-19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200910087247.0</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一种调用功能函数的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方法和装置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李静</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
              <w:jc w:val="center"/>
              <w:rPr>
                <w:rFonts w:ascii="宋体" w:hAnsi="宋体" w:cs="宋体" w:eastAsia="宋体" w:hint="default"/>
                <w:sz w:val="21"/>
                <w:szCs w:val="21"/>
              </w:rPr>
            </w:pPr>
            <w:r>
              <w:rPr>
                <w:rFonts w:ascii="宋体" w:hAnsi="宋体" w:cs="宋体" w:eastAsia="宋体" w:hint="default"/>
                <w:sz w:val="21"/>
                <w:szCs w:val="21"/>
              </w:rPr>
              <w:t>用友软件股份有限公司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2009-8-17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200910091240.6</w:t>
            </w:r>
          </w:p>
        </w:tc>
      </w:tr>
    </w:tbl>
    <w:p>
      <w:pPr>
        <w:spacing w:after="0" w:line="240" w:lineRule="auto"/>
        <w:jc w:val="center"/>
        <w:rPr>
          <w:rFonts w:ascii="宋体" w:hAnsi="宋体" w:cs="宋体" w:eastAsia="宋体" w:hint="default"/>
          <w:sz w:val="21"/>
          <w:szCs w:val="21"/>
        </w:rPr>
        <w:sectPr>
          <w:pgSz w:w="11910" w:h="16850"/>
          <w:pgMar w:header="752" w:footer="730" w:top="1020" w:bottom="920" w:left="1160" w:right="11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708"/>
        <w:gridCol w:w="2268"/>
        <w:gridCol w:w="1073"/>
        <w:gridCol w:w="2330"/>
        <w:gridCol w:w="1274"/>
        <w:gridCol w:w="1687"/>
      </w:tblGrid>
      <w:tr>
        <w:trPr>
          <w:trHeight w:val="28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sz w:val="21"/>
                <w:szCs w:val="21"/>
              </w:rPr>
              <w:t>发明名称</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6" w:right="0"/>
              <w:jc w:val="left"/>
              <w:rPr>
                <w:rFonts w:ascii="宋体" w:hAnsi="宋体" w:cs="宋体" w:eastAsia="宋体" w:hint="default"/>
                <w:sz w:val="21"/>
                <w:szCs w:val="21"/>
              </w:rPr>
            </w:pPr>
            <w:r>
              <w:rPr>
                <w:rFonts w:ascii="宋体" w:hAnsi="宋体" w:cs="宋体" w:eastAsia="宋体" w:hint="default"/>
                <w:sz w:val="21"/>
                <w:szCs w:val="21"/>
              </w:rPr>
              <w:t>发明人</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权利人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6" w:right="0"/>
              <w:jc w:val="left"/>
              <w:rPr>
                <w:rFonts w:ascii="宋体" w:hAnsi="宋体" w:cs="宋体" w:eastAsia="宋体" w:hint="default"/>
                <w:sz w:val="21"/>
                <w:szCs w:val="21"/>
              </w:rPr>
            </w:pPr>
            <w:r>
              <w:rPr>
                <w:rFonts w:ascii="宋体" w:hAnsi="宋体" w:cs="宋体" w:eastAsia="宋体" w:hint="default"/>
                <w:sz w:val="21"/>
                <w:szCs w:val="21"/>
              </w:rPr>
              <w:t>申请日</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申请号</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一种加速实现软件运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营应用的方法和装置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孟鑫、陈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水超</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
              <w:jc w:val="center"/>
              <w:rPr>
                <w:rFonts w:ascii="宋体" w:hAnsi="宋体" w:cs="宋体" w:eastAsia="宋体" w:hint="default"/>
                <w:sz w:val="21"/>
                <w:szCs w:val="21"/>
              </w:rPr>
            </w:pPr>
            <w:r>
              <w:rPr>
                <w:rFonts w:ascii="宋体" w:hAnsi="宋体" w:cs="宋体" w:eastAsia="宋体" w:hint="default"/>
                <w:sz w:val="21"/>
                <w:szCs w:val="21"/>
              </w:rPr>
              <w:t>用友软件股份有限公司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2009-11-30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200910238674.4</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17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一种动态选择数据库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的方法和装置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刘晨伟</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
              <w:jc w:val="center"/>
              <w:rPr>
                <w:rFonts w:ascii="宋体" w:hAnsi="宋体" w:cs="宋体" w:eastAsia="宋体" w:hint="default"/>
                <w:sz w:val="21"/>
                <w:szCs w:val="21"/>
              </w:rPr>
            </w:pPr>
            <w:r>
              <w:rPr>
                <w:rFonts w:ascii="宋体" w:hAnsi="宋体" w:cs="宋体" w:eastAsia="宋体" w:hint="default"/>
                <w:sz w:val="21"/>
                <w:szCs w:val="21"/>
              </w:rPr>
              <w:t>用友软件股份有限公司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2009-10-27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200910236914.7</w:t>
            </w:r>
          </w:p>
        </w:tc>
      </w:tr>
      <w:tr>
        <w:trPr>
          <w:trHeight w:val="28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分页方法和装置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王东</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
              <w:jc w:val="center"/>
              <w:rPr>
                <w:rFonts w:ascii="宋体" w:hAnsi="宋体" w:cs="宋体" w:eastAsia="宋体" w:hint="default"/>
                <w:sz w:val="21"/>
                <w:szCs w:val="21"/>
              </w:rPr>
            </w:pPr>
            <w:r>
              <w:rPr>
                <w:rFonts w:ascii="宋体" w:hAnsi="宋体" w:cs="宋体" w:eastAsia="宋体" w:hint="default"/>
                <w:sz w:val="21"/>
                <w:szCs w:val="21"/>
              </w:rPr>
              <w:t>用友软件股份有限公司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2009-8-13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200910090893.2</w:t>
            </w:r>
          </w:p>
        </w:tc>
      </w:tr>
      <w:tr>
        <w:trPr>
          <w:trHeight w:val="82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19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搜索引擎系统</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杨历、连</w:t>
            </w:r>
          </w:p>
          <w:p>
            <w:pPr>
              <w:pStyle w:val="TableParagraph"/>
              <w:spacing w:line="240" w:lineRule="auto"/>
              <w:ind w:left="103" w:right="115"/>
              <w:jc w:val="left"/>
              <w:rPr>
                <w:rFonts w:ascii="宋体" w:hAnsi="宋体" w:cs="宋体" w:eastAsia="宋体" w:hint="default"/>
                <w:sz w:val="21"/>
                <w:szCs w:val="21"/>
              </w:rPr>
            </w:pPr>
            <w:r>
              <w:rPr>
                <w:rFonts w:ascii="宋体" w:hAnsi="宋体" w:cs="宋体" w:eastAsia="宋体" w:hint="default"/>
                <w:sz w:val="21"/>
                <w:szCs w:val="21"/>
              </w:rPr>
              <w:t>林江、宋</w:t>
            </w:r>
            <w:r>
              <w:rPr>
                <w:rFonts w:ascii="宋体" w:hAnsi="宋体" w:cs="宋体" w:eastAsia="宋体" w:hint="default"/>
                <w:w w:val="100"/>
                <w:sz w:val="21"/>
                <w:szCs w:val="21"/>
              </w:rPr>
              <w:t> </w:t>
            </w:r>
            <w:r>
              <w:rPr>
                <w:rFonts w:ascii="宋体" w:hAnsi="宋体" w:cs="宋体" w:eastAsia="宋体" w:hint="default"/>
                <w:sz w:val="21"/>
                <w:szCs w:val="21"/>
              </w:rPr>
              <w:t>永强</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
              <w:jc w:val="center"/>
              <w:rPr>
                <w:rFonts w:ascii="宋体" w:hAnsi="宋体" w:cs="宋体" w:eastAsia="宋体" w:hint="default"/>
                <w:sz w:val="21"/>
                <w:szCs w:val="21"/>
              </w:rPr>
            </w:pPr>
            <w:r>
              <w:rPr>
                <w:rFonts w:ascii="宋体" w:hAnsi="宋体" w:cs="宋体" w:eastAsia="宋体" w:hint="default"/>
                <w:sz w:val="21"/>
                <w:szCs w:val="21"/>
              </w:rPr>
              <w:t>用友软件股份有限公司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2009-6-19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200910087250.2</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插件订购方法及其装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胡列剑</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
              <w:jc w:val="center"/>
              <w:rPr>
                <w:rFonts w:ascii="宋体" w:hAnsi="宋体" w:cs="宋体" w:eastAsia="宋体" w:hint="default"/>
                <w:sz w:val="21"/>
                <w:szCs w:val="21"/>
              </w:rPr>
            </w:pPr>
            <w:r>
              <w:rPr>
                <w:rFonts w:ascii="宋体" w:hAnsi="宋体" w:cs="宋体" w:eastAsia="宋体" w:hint="default"/>
                <w:sz w:val="21"/>
                <w:szCs w:val="21"/>
              </w:rPr>
              <w:t>用友软件股份有限公司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2009-4-30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200910083267.0</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移动存储设备上的管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理软件的运行方法</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秦健</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
              <w:jc w:val="center"/>
              <w:rPr>
                <w:rFonts w:ascii="宋体" w:hAnsi="宋体" w:cs="宋体" w:eastAsia="宋体" w:hint="default"/>
                <w:sz w:val="21"/>
                <w:szCs w:val="21"/>
              </w:rPr>
            </w:pPr>
            <w:r>
              <w:rPr>
                <w:rFonts w:ascii="宋体" w:hAnsi="宋体" w:cs="宋体" w:eastAsia="宋体" w:hint="default"/>
                <w:sz w:val="21"/>
                <w:szCs w:val="21"/>
              </w:rPr>
              <w:t>用友软件股份有限公司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2009-6-25</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200910087451.2</w:t>
            </w:r>
          </w:p>
        </w:tc>
      </w:tr>
      <w:tr>
        <w:trPr>
          <w:trHeight w:val="82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22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动态维护集群中的成</w:t>
            </w:r>
          </w:p>
          <w:p>
            <w:pPr>
              <w:pStyle w:val="TableParagraph"/>
              <w:spacing w:line="272" w:lineRule="exact" w:before="26"/>
              <w:ind w:left="103" w:right="259"/>
              <w:jc w:val="left"/>
              <w:rPr>
                <w:rFonts w:ascii="宋体" w:hAnsi="宋体" w:cs="宋体" w:eastAsia="宋体" w:hint="default"/>
                <w:sz w:val="21"/>
                <w:szCs w:val="21"/>
              </w:rPr>
            </w:pPr>
            <w:r>
              <w:rPr>
                <w:rFonts w:ascii="宋体" w:hAnsi="宋体" w:cs="宋体" w:eastAsia="宋体" w:hint="default"/>
                <w:sz w:val="21"/>
                <w:szCs w:val="21"/>
              </w:rPr>
              <w:t>员服务器的方法和系</w:t>
            </w:r>
            <w:r>
              <w:rPr>
                <w:rFonts w:ascii="宋体" w:hAnsi="宋体" w:cs="宋体" w:eastAsia="宋体" w:hint="default"/>
                <w:w w:val="100"/>
                <w:sz w:val="21"/>
                <w:szCs w:val="21"/>
              </w:rPr>
              <w:t> </w:t>
            </w:r>
            <w:r>
              <w:rPr>
                <w:rFonts w:ascii="宋体" w:hAnsi="宋体" w:cs="宋体" w:eastAsia="宋体" w:hint="default"/>
                <w:sz w:val="21"/>
                <w:szCs w:val="21"/>
              </w:rPr>
              <w:t>统</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何冠宇</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
              <w:jc w:val="center"/>
              <w:rPr>
                <w:rFonts w:ascii="宋体" w:hAnsi="宋体" w:cs="宋体" w:eastAsia="宋体" w:hint="default"/>
                <w:sz w:val="21"/>
                <w:szCs w:val="21"/>
              </w:rPr>
            </w:pPr>
            <w:r>
              <w:rPr>
                <w:rFonts w:ascii="宋体" w:hAnsi="宋体" w:cs="宋体" w:eastAsia="宋体" w:hint="default"/>
                <w:sz w:val="21"/>
                <w:szCs w:val="21"/>
              </w:rPr>
              <w:t>用友软件股份有限公司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2010-6-13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201010207992.7</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数据变化驱动业务逻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辑的方法和系统</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侯关士</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
              <w:jc w:val="center"/>
              <w:rPr>
                <w:rFonts w:ascii="宋体" w:hAnsi="宋体" w:cs="宋体" w:eastAsia="宋体" w:hint="default"/>
                <w:sz w:val="21"/>
                <w:szCs w:val="21"/>
              </w:rPr>
            </w:pPr>
            <w:r>
              <w:rPr>
                <w:rFonts w:ascii="宋体" w:hAnsi="宋体" w:cs="宋体" w:eastAsia="宋体" w:hint="default"/>
                <w:sz w:val="21"/>
                <w:szCs w:val="21"/>
              </w:rPr>
              <w:t>用友软件股份有限公司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2010-6-8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sz w:val="21"/>
              </w:rPr>
              <w:t>201010199877.X</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报表公式树形追踪方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法和装置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刘春</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
              <w:jc w:val="center"/>
              <w:rPr>
                <w:rFonts w:ascii="宋体" w:hAnsi="宋体" w:cs="宋体" w:eastAsia="宋体" w:hint="default"/>
                <w:sz w:val="21"/>
                <w:szCs w:val="21"/>
              </w:rPr>
            </w:pPr>
            <w:r>
              <w:rPr>
                <w:rFonts w:ascii="宋体" w:hAnsi="宋体" w:cs="宋体" w:eastAsia="宋体" w:hint="default"/>
                <w:sz w:val="21"/>
                <w:szCs w:val="21"/>
              </w:rPr>
              <w:t>用友软件股份有限公司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2010-6-22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201010215979.6</w:t>
            </w:r>
          </w:p>
        </w:tc>
      </w:tr>
      <w:tr>
        <w:trPr>
          <w:trHeight w:val="28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权限角色继承方法</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史周军</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
              <w:jc w:val="center"/>
              <w:rPr>
                <w:rFonts w:ascii="宋体" w:hAnsi="宋体" w:cs="宋体" w:eastAsia="宋体" w:hint="default"/>
                <w:sz w:val="21"/>
                <w:szCs w:val="21"/>
              </w:rPr>
            </w:pPr>
            <w:r>
              <w:rPr>
                <w:rFonts w:ascii="宋体" w:hAnsi="宋体" w:cs="宋体" w:eastAsia="宋体" w:hint="default"/>
                <w:sz w:val="21"/>
                <w:szCs w:val="21"/>
              </w:rPr>
              <w:t>用友软件股份有限公司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2010-6-8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201010199857.2</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基于离散条件查询人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员的方法和装置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周春星、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孙晓军</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
              <w:jc w:val="center"/>
              <w:rPr>
                <w:rFonts w:ascii="宋体" w:hAnsi="宋体" w:cs="宋体" w:eastAsia="宋体" w:hint="default"/>
                <w:sz w:val="21"/>
                <w:szCs w:val="21"/>
              </w:rPr>
            </w:pPr>
            <w:r>
              <w:rPr>
                <w:rFonts w:ascii="宋体" w:hAnsi="宋体" w:cs="宋体" w:eastAsia="宋体" w:hint="default"/>
                <w:sz w:val="21"/>
                <w:szCs w:val="21"/>
              </w:rPr>
              <w:t>用友软件股份有限公司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2010-6-22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201010215976.2</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多版本报表数据管理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方法和系统</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魏享林</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
              <w:jc w:val="center"/>
              <w:rPr>
                <w:rFonts w:ascii="宋体" w:hAnsi="宋体" w:cs="宋体" w:eastAsia="宋体" w:hint="default"/>
                <w:sz w:val="21"/>
                <w:szCs w:val="21"/>
              </w:rPr>
            </w:pPr>
            <w:r>
              <w:rPr>
                <w:rFonts w:ascii="宋体" w:hAnsi="宋体" w:cs="宋体" w:eastAsia="宋体" w:hint="default"/>
                <w:sz w:val="21"/>
                <w:szCs w:val="21"/>
              </w:rPr>
              <w:t>用友软件股份有限公司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2010-6-22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201010215990.2</w:t>
            </w:r>
          </w:p>
        </w:tc>
      </w:tr>
      <w:tr>
        <w:trPr>
          <w:trHeight w:val="28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28</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权限查询方法和装置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郑芸</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
              <w:jc w:val="center"/>
              <w:rPr>
                <w:rFonts w:ascii="宋体" w:hAnsi="宋体" w:cs="宋体" w:eastAsia="宋体" w:hint="default"/>
                <w:sz w:val="21"/>
                <w:szCs w:val="21"/>
              </w:rPr>
            </w:pPr>
            <w:r>
              <w:rPr>
                <w:rFonts w:ascii="宋体" w:hAnsi="宋体" w:cs="宋体" w:eastAsia="宋体" w:hint="default"/>
                <w:sz w:val="21"/>
                <w:szCs w:val="21"/>
              </w:rPr>
              <w:t>用友软件股份有限公司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2010-6-22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201010216106.7</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29</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Silverlight</w:t>
            </w:r>
            <w:r>
              <w:rPr>
                <w:rFonts w:ascii="宋体" w:hAnsi="宋体" w:cs="宋体" w:eastAsia="宋体" w:hint="default"/>
                <w:spacing w:val="-45"/>
                <w:sz w:val="21"/>
                <w:szCs w:val="21"/>
              </w:rPr>
              <w:t> </w:t>
            </w:r>
            <w:r>
              <w:rPr>
                <w:rFonts w:ascii="宋体" w:hAnsi="宋体" w:cs="宋体" w:eastAsia="宋体" w:hint="default"/>
                <w:spacing w:val="-3"/>
                <w:sz w:val="21"/>
                <w:szCs w:val="21"/>
              </w:rPr>
              <w:t>客户端可</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控缓存方法和系统</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毕涛</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
              <w:jc w:val="center"/>
              <w:rPr>
                <w:rFonts w:ascii="宋体" w:hAnsi="宋体" w:cs="宋体" w:eastAsia="宋体" w:hint="default"/>
                <w:sz w:val="21"/>
                <w:szCs w:val="21"/>
              </w:rPr>
            </w:pPr>
            <w:r>
              <w:rPr>
                <w:rFonts w:ascii="宋体" w:hAnsi="宋体" w:cs="宋体" w:eastAsia="宋体" w:hint="default"/>
                <w:sz w:val="21"/>
                <w:szCs w:val="21"/>
              </w:rPr>
              <w:t>用友软件股份有限公司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2010-6-13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201010207983.8</w:t>
            </w:r>
          </w:p>
        </w:tc>
      </w:tr>
      <w:tr>
        <w:trPr>
          <w:trHeight w:val="28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权限控制方法和系统</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郑芸</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
              <w:jc w:val="center"/>
              <w:rPr>
                <w:rFonts w:ascii="宋体" w:hAnsi="宋体" w:cs="宋体" w:eastAsia="宋体" w:hint="default"/>
                <w:sz w:val="21"/>
                <w:szCs w:val="21"/>
              </w:rPr>
            </w:pPr>
            <w:r>
              <w:rPr>
                <w:rFonts w:ascii="宋体" w:hAnsi="宋体" w:cs="宋体" w:eastAsia="宋体" w:hint="default"/>
                <w:sz w:val="21"/>
                <w:szCs w:val="21"/>
              </w:rPr>
              <w:t>用友软件股份有限公司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2010-9-21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201010289764.9</w:t>
            </w:r>
          </w:p>
        </w:tc>
      </w:tr>
      <w:tr>
        <w:trPr>
          <w:trHeight w:val="55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31</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表单编号生成方法和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系统</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陈鸿远</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
              <w:jc w:val="center"/>
              <w:rPr>
                <w:rFonts w:ascii="宋体" w:hAnsi="宋体" w:cs="宋体" w:eastAsia="宋体" w:hint="default"/>
                <w:sz w:val="21"/>
                <w:szCs w:val="21"/>
              </w:rPr>
            </w:pPr>
            <w:r>
              <w:rPr>
                <w:rFonts w:ascii="宋体" w:hAnsi="宋体" w:cs="宋体" w:eastAsia="宋体" w:hint="default"/>
                <w:sz w:val="21"/>
                <w:szCs w:val="21"/>
              </w:rPr>
              <w:t>用友软件股份有限公司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2010-9-21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 w:right="0"/>
              <w:jc w:val="center"/>
              <w:rPr>
                <w:rFonts w:ascii="宋体" w:hAnsi="宋体" w:cs="宋体" w:eastAsia="宋体" w:hint="default"/>
                <w:sz w:val="21"/>
                <w:szCs w:val="21"/>
              </w:rPr>
            </w:pPr>
            <w:r>
              <w:rPr>
                <w:rFonts w:ascii="宋体"/>
                <w:sz w:val="21"/>
              </w:rPr>
              <w:t>201010289762.X</w:t>
            </w:r>
          </w:p>
        </w:tc>
      </w:tr>
      <w:tr>
        <w:trPr>
          <w:trHeight w:val="28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32</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数字签名和验签方法</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潘飞</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
              <w:jc w:val="center"/>
              <w:rPr>
                <w:rFonts w:ascii="宋体" w:hAnsi="宋体" w:cs="宋体" w:eastAsia="宋体" w:hint="default"/>
                <w:sz w:val="21"/>
                <w:szCs w:val="21"/>
              </w:rPr>
            </w:pPr>
            <w:r>
              <w:rPr>
                <w:rFonts w:ascii="宋体" w:hAnsi="宋体" w:cs="宋体" w:eastAsia="宋体" w:hint="default"/>
                <w:sz w:val="21"/>
                <w:szCs w:val="21"/>
              </w:rPr>
              <w:t>用友软件股份有限公司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2010-9-26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201010292017.0</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33</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生成表格数据的关联</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信息的方法和系统</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童志杰</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
              <w:jc w:val="center"/>
              <w:rPr>
                <w:rFonts w:ascii="宋体" w:hAnsi="宋体" w:cs="宋体" w:eastAsia="宋体" w:hint="default"/>
                <w:sz w:val="21"/>
                <w:szCs w:val="21"/>
              </w:rPr>
            </w:pPr>
            <w:r>
              <w:rPr>
                <w:rFonts w:ascii="宋体" w:hAnsi="宋体" w:cs="宋体" w:eastAsia="宋体" w:hint="default"/>
                <w:sz w:val="21"/>
                <w:szCs w:val="21"/>
              </w:rPr>
              <w:t>用友软件股份有限公司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2010-9-26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201010291999.1</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34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软件系统模块独立授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权控制方法和装置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孙晓军、</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周春星</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
              <w:jc w:val="center"/>
              <w:rPr>
                <w:rFonts w:ascii="宋体" w:hAnsi="宋体" w:cs="宋体" w:eastAsia="宋体" w:hint="default"/>
                <w:sz w:val="21"/>
                <w:szCs w:val="21"/>
              </w:rPr>
            </w:pPr>
            <w:r>
              <w:rPr>
                <w:rFonts w:ascii="宋体" w:hAnsi="宋体" w:cs="宋体" w:eastAsia="宋体" w:hint="default"/>
                <w:sz w:val="21"/>
                <w:szCs w:val="21"/>
              </w:rPr>
              <w:t>用友软件股份有限公司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2010-6-13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201010207995.0</w:t>
            </w:r>
          </w:p>
        </w:tc>
      </w:tr>
      <w:tr>
        <w:trPr>
          <w:trHeight w:val="828"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sz w:val="21"/>
              </w:rPr>
              <w:t>35</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生成业务对象的内部</w:t>
            </w:r>
          </w:p>
          <w:p>
            <w:pPr>
              <w:pStyle w:val="TableParagraph"/>
              <w:spacing w:line="240" w:lineRule="auto"/>
              <w:ind w:left="103" w:right="259"/>
              <w:jc w:val="left"/>
              <w:rPr>
                <w:rFonts w:ascii="宋体" w:hAnsi="宋体" w:cs="宋体" w:eastAsia="宋体" w:hint="default"/>
                <w:sz w:val="21"/>
                <w:szCs w:val="21"/>
              </w:rPr>
            </w:pPr>
            <w:r>
              <w:rPr>
                <w:rFonts w:ascii="宋体" w:hAnsi="宋体" w:cs="宋体" w:eastAsia="宋体" w:hint="default"/>
                <w:sz w:val="21"/>
                <w:szCs w:val="21"/>
              </w:rPr>
              <w:t>级次编码的方法和系</w:t>
            </w:r>
            <w:r>
              <w:rPr>
                <w:rFonts w:ascii="宋体" w:hAnsi="宋体" w:cs="宋体" w:eastAsia="宋体" w:hint="default"/>
                <w:w w:val="100"/>
                <w:sz w:val="21"/>
                <w:szCs w:val="21"/>
              </w:rPr>
              <w:t> </w:t>
            </w:r>
            <w:r>
              <w:rPr>
                <w:rFonts w:ascii="宋体" w:hAnsi="宋体" w:cs="宋体" w:eastAsia="宋体" w:hint="default"/>
                <w:sz w:val="21"/>
                <w:szCs w:val="21"/>
              </w:rPr>
              <w:t>统</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史周军</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
              <w:jc w:val="center"/>
              <w:rPr>
                <w:rFonts w:ascii="宋体" w:hAnsi="宋体" w:cs="宋体" w:eastAsia="宋体" w:hint="default"/>
                <w:sz w:val="21"/>
                <w:szCs w:val="21"/>
              </w:rPr>
            </w:pPr>
            <w:r>
              <w:rPr>
                <w:rFonts w:ascii="宋体" w:hAnsi="宋体" w:cs="宋体" w:eastAsia="宋体" w:hint="default"/>
                <w:sz w:val="21"/>
                <w:szCs w:val="21"/>
              </w:rPr>
              <w:t>用友软件股份有限公司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sz w:val="21"/>
              </w:rPr>
              <w:t>2010-9-26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sz w:val="21"/>
              </w:rPr>
              <w:t>201010292020.2</w:t>
            </w:r>
          </w:p>
        </w:tc>
      </w:tr>
      <w:tr>
        <w:trPr>
          <w:trHeight w:val="55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36</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扩展软件应用的方法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和装置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袁昌龙</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
              <w:jc w:val="center"/>
              <w:rPr>
                <w:rFonts w:ascii="宋体" w:hAnsi="宋体" w:cs="宋体" w:eastAsia="宋体" w:hint="default"/>
                <w:sz w:val="21"/>
                <w:szCs w:val="21"/>
              </w:rPr>
            </w:pPr>
            <w:r>
              <w:rPr>
                <w:rFonts w:ascii="宋体" w:hAnsi="宋体" w:cs="宋体" w:eastAsia="宋体" w:hint="default"/>
                <w:sz w:val="21"/>
                <w:szCs w:val="21"/>
              </w:rPr>
              <w:t>用友软件股份有限公司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2010-6-8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201010199865.7</w:t>
            </w:r>
          </w:p>
        </w:tc>
      </w:tr>
      <w:tr>
        <w:trPr>
          <w:trHeight w:val="28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37</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任务处理方法和装置</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王昊沙</w:t>
            </w:r>
          </w:p>
        </w:tc>
        <w:tc>
          <w:tcPr>
            <w:tcW w:w="2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
              <w:jc w:val="center"/>
              <w:rPr>
                <w:rFonts w:ascii="宋体" w:hAnsi="宋体" w:cs="宋体" w:eastAsia="宋体" w:hint="default"/>
                <w:sz w:val="21"/>
                <w:szCs w:val="21"/>
              </w:rPr>
            </w:pPr>
            <w:r>
              <w:rPr>
                <w:rFonts w:ascii="宋体" w:hAnsi="宋体" w:cs="宋体" w:eastAsia="宋体" w:hint="default"/>
                <w:sz w:val="21"/>
                <w:szCs w:val="21"/>
              </w:rPr>
              <w:t>用友软件股份有限公司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2010-9-29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201010299851.2</w:t>
            </w:r>
          </w:p>
        </w:tc>
      </w:tr>
    </w:tbl>
    <w:p>
      <w:pPr>
        <w:pStyle w:val="Heading3"/>
        <w:spacing w:line="276" w:lineRule="exact" w:before="0"/>
        <w:ind w:left="738" w:right="0"/>
        <w:jc w:val="left"/>
      </w:pPr>
      <w:r>
        <w:rPr/>
        <w:t>报告期内，根据《中华人民共和国商标法》规定，经中华人民共和国国家工商行政</w:t>
      </w:r>
    </w:p>
    <w:p>
      <w:pPr>
        <w:pStyle w:val="Heading3"/>
        <w:spacing w:line="240" w:lineRule="auto" w:before="74"/>
        <w:ind w:left="258" w:right="180"/>
        <w:jc w:val="left"/>
      </w:pPr>
      <w:r>
        <w:rPr/>
        <w:t>管理总局商标局核准，公司新获得</w:t>
      </w:r>
      <w:r>
        <w:rPr>
          <w:spacing w:val="-60"/>
        </w:rPr>
        <w:t> </w:t>
      </w:r>
      <w:r>
        <w:rPr>
          <w:rFonts w:ascii="宋体" w:hAnsi="宋体" w:cs="宋体" w:eastAsia="宋体" w:hint="default"/>
        </w:rPr>
        <w:t>32</w:t>
      </w:r>
      <w:r>
        <w:rPr>
          <w:rFonts w:ascii="宋体" w:hAnsi="宋体" w:cs="宋体" w:eastAsia="宋体" w:hint="default"/>
          <w:spacing w:val="-60"/>
        </w:rPr>
        <w:t> </w:t>
      </w:r>
      <w:r>
        <w:rPr/>
        <w:t>个注册商标专有权</w:t>
      </w:r>
      <w:r>
        <w:rPr>
          <w:rFonts w:ascii="宋体" w:hAnsi="宋体" w:cs="宋体" w:eastAsia="宋体" w:hint="default"/>
        </w:rPr>
        <w:t>, </w:t>
      </w:r>
      <w:r>
        <w:rPr/>
        <w:t>如下所示：</w:t>
      </w:r>
    </w:p>
    <w:p>
      <w:pPr>
        <w:spacing w:after="0" w:line="240" w:lineRule="auto"/>
        <w:jc w:val="left"/>
        <w:sectPr>
          <w:pgSz w:w="11910" w:h="16850"/>
          <w:pgMar w:header="752" w:footer="730" w:top="1020" w:bottom="920" w:left="1160" w:right="1160"/>
        </w:sectPr>
      </w:pPr>
    </w:p>
    <w:p>
      <w:pPr>
        <w:spacing w:line="240" w:lineRule="auto" w:before="0"/>
        <w:rPr>
          <w:rFonts w:ascii="Times New Roman" w:hAnsi="Times New Roman" w:cs="Times New Roman" w:eastAsia="Times New Roman" w:hint="default"/>
          <w:sz w:val="20"/>
          <w:szCs w:val="20"/>
        </w:rPr>
      </w:pPr>
      <w:r>
        <w:rPr/>
        <w:pict>
          <v:group style="position:absolute;margin-left:103.080002pt;margin-top:564.359985pt;width:87.85pt;height:52.8pt;mso-position-horizontal-relative:page;mso-position-vertical-relative:page;z-index:-1311592" coordorigin="2062,11287" coordsize="1757,1056">
            <v:shape style="position:absolute;left:2081;top:11287;width:1738;height:540" type="#_x0000_t75" alt="9-1.jpg" stroked="false">
              <v:imagedata r:id="rId14" o:title=""/>
            </v:shape>
            <v:shape style="position:absolute;left:2062;top:11820;width:1723;height:523" type="#_x0000_t75" alt="9-1.jpg" stroked="false">
              <v:imagedata r:id="rId14" o:title=""/>
            </v:shape>
            <w10:wrap type="none"/>
          </v:group>
        </w:pict>
      </w:r>
    </w:p>
    <w:p>
      <w:pPr>
        <w:spacing w:line="240" w:lineRule="auto" w:before="10"/>
        <w:rPr>
          <w:rFonts w:ascii="Times New Roman" w:hAnsi="Times New Roman" w:cs="Times New Roman" w:eastAsia="Times New Roman" w:hint="default"/>
          <w:sz w:val="15"/>
          <w:szCs w:val="15"/>
        </w:rPr>
      </w:pPr>
    </w:p>
    <w:tbl>
      <w:tblPr>
        <w:tblW w:w="0" w:type="auto"/>
        <w:jc w:val="left"/>
        <w:tblInd w:w="116" w:type="dxa"/>
        <w:tblLayout w:type="fixed"/>
        <w:tblCellMar>
          <w:top w:w="0" w:type="dxa"/>
          <w:left w:w="0" w:type="dxa"/>
          <w:bottom w:w="0" w:type="dxa"/>
          <w:right w:w="0" w:type="dxa"/>
        </w:tblCellMar>
        <w:tblLook w:val="01E0"/>
      </w:tblPr>
      <w:tblGrid>
        <w:gridCol w:w="427"/>
        <w:gridCol w:w="2076"/>
        <w:gridCol w:w="3022"/>
        <w:gridCol w:w="821"/>
        <w:gridCol w:w="1363"/>
        <w:gridCol w:w="1500"/>
      </w:tblGrid>
      <w:tr>
        <w:trPr>
          <w:trHeight w:val="614" w:hRule="exact"/>
        </w:trPr>
        <w:tc>
          <w:tcPr>
            <w:tcW w:w="427" w:type="dxa"/>
            <w:tcBorders>
              <w:top w:val="single" w:sz="8" w:space="0" w:color="000000"/>
              <w:left w:val="single" w:sz="8" w:space="0" w:color="000000"/>
              <w:bottom w:val="single" w:sz="4" w:space="0" w:color="000000"/>
              <w:right w:val="single" w:sz="8" w:space="0" w:color="000000"/>
            </w:tcBorders>
          </w:tcPr>
          <w:p>
            <w:pPr>
              <w:pStyle w:val="TableParagraph"/>
              <w:spacing w:line="272" w:lineRule="exact" w:before="22"/>
              <w:ind w:left="98" w:right="96"/>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100"/>
                <w:sz w:val="21"/>
                <w:szCs w:val="21"/>
              </w:rPr>
              <w:t> </w:t>
            </w:r>
            <w:r>
              <w:rPr>
                <w:rFonts w:ascii="宋体" w:hAnsi="宋体" w:cs="宋体" w:eastAsia="宋体" w:hint="default"/>
                <w:sz w:val="21"/>
                <w:szCs w:val="21"/>
              </w:rPr>
              <w:t>号</w:t>
            </w:r>
          </w:p>
        </w:tc>
        <w:tc>
          <w:tcPr>
            <w:tcW w:w="2076"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31"/>
              <w:ind w:left="396" w:right="0"/>
              <w:jc w:val="left"/>
              <w:rPr>
                <w:rFonts w:ascii="宋体" w:hAnsi="宋体" w:cs="宋体" w:eastAsia="宋体" w:hint="default"/>
                <w:sz w:val="21"/>
                <w:szCs w:val="21"/>
              </w:rPr>
            </w:pPr>
            <w:r>
              <w:rPr>
                <w:rFonts w:ascii="宋体" w:hAnsi="宋体" w:cs="宋体" w:eastAsia="宋体" w:hint="default"/>
                <w:sz w:val="21"/>
                <w:szCs w:val="21"/>
              </w:rPr>
              <w:t>注册商标样式</w:t>
            </w:r>
          </w:p>
        </w:tc>
        <w:tc>
          <w:tcPr>
            <w:tcW w:w="3022"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hAnsi="宋体" w:cs="宋体" w:eastAsia="宋体" w:hint="default"/>
                <w:sz w:val="21"/>
                <w:szCs w:val="21"/>
              </w:rPr>
              <w:t>申请人</w:t>
            </w:r>
          </w:p>
        </w:tc>
        <w:tc>
          <w:tcPr>
            <w:tcW w:w="821"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363"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31"/>
              <w:ind w:left="252" w:right="0"/>
              <w:jc w:val="left"/>
              <w:rPr>
                <w:rFonts w:ascii="宋体" w:hAnsi="宋体" w:cs="宋体" w:eastAsia="宋体" w:hint="default"/>
                <w:sz w:val="21"/>
                <w:szCs w:val="21"/>
              </w:rPr>
            </w:pPr>
            <w:r>
              <w:rPr>
                <w:rFonts w:ascii="宋体" w:hAnsi="宋体" w:cs="宋体" w:eastAsia="宋体" w:hint="default"/>
                <w:sz w:val="21"/>
                <w:szCs w:val="21"/>
              </w:rPr>
              <w:t>证书编号</w:t>
            </w:r>
          </w:p>
        </w:tc>
        <w:tc>
          <w:tcPr>
            <w:tcW w:w="1500"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31"/>
              <w:ind w:right="317"/>
              <w:jc w:val="right"/>
              <w:rPr>
                <w:rFonts w:ascii="宋体" w:hAnsi="宋体" w:cs="宋体" w:eastAsia="宋体" w:hint="default"/>
                <w:sz w:val="21"/>
                <w:szCs w:val="21"/>
              </w:rPr>
            </w:pPr>
            <w:r>
              <w:rPr>
                <w:rFonts w:ascii="宋体" w:hAnsi="宋体" w:cs="宋体" w:eastAsia="宋体" w:hint="default"/>
                <w:spacing w:val="-1"/>
                <w:sz w:val="21"/>
                <w:szCs w:val="21"/>
              </w:rPr>
              <w:t>注册日期</w:t>
            </w:r>
          </w:p>
        </w:tc>
      </w:tr>
      <w:tr>
        <w:trPr>
          <w:trHeight w:val="612"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w w:val="100"/>
                <w:sz w:val="21"/>
              </w:rPr>
              <w:t>1</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
                <w:szCs w:val="2"/>
              </w:rPr>
            </w:pPr>
          </w:p>
          <w:p>
            <w:pPr>
              <w:pStyle w:val="TableParagraph"/>
              <w:spacing w:line="519" w:lineRule="exact"/>
              <w:ind w:left="189"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1096100" cy="330041"/>
                  <wp:effectExtent l="0" t="0" r="0" b="0"/>
                  <wp:docPr id="3" name="image2.png" descr="9-1.jpg"/>
                  <wp:cNvGraphicFramePr>
                    <a:graphicFrameLocks noChangeAspect="1"/>
                  </wp:cNvGraphicFramePr>
                  <a:graphic>
                    <a:graphicData uri="http://schemas.openxmlformats.org/drawingml/2006/picture">
                      <pic:pic>
                        <pic:nvPicPr>
                          <pic:cNvPr id="4" name="image2.png"/>
                          <pic:cNvPicPr/>
                        </pic:nvPicPr>
                        <pic:blipFill>
                          <a:blip r:embed="rId14" cstate="print"/>
                          <a:stretch>
                            <a:fillRect/>
                          </a:stretch>
                        </pic:blipFill>
                        <pic:spPr>
                          <a:xfrm>
                            <a:off x="0" y="0"/>
                            <a:ext cx="1096100" cy="330041"/>
                          </a:xfrm>
                          <a:prstGeom prst="rect">
                            <a:avLst/>
                          </a:prstGeom>
                        </pic:spPr>
                      </pic:pic>
                    </a:graphicData>
                  </a:graphic>
                </wp:inline>
              </w:drawing>
            </w:r>
            <w:r>
              <w:rPr>
                <w:rFonts w:ascii="Times New Roman" w:hAnsi="Times New Roman" w:cs="Times New Roman" w:eastAsia="Times New Roman" w:hint="default"/>
                <w:position w:val="-9"/>
                <w:sz w:val="20"/>
                <w:szCs w:val="20"/>
              </w:rPr>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hAnsi="宋体" w:cs="宋体" w:eastAsia="宋体" w:hint="default"/>
                <w:sz w:val="21"/>
                <w:szCs w:val="21"/>
              </w:rPr>
              <w:t>畅捷通公司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sz w:val="21"/>
              </w:rPr>
              <w:t>35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98"/>
              <w:jc w:val="right"/>
              <w:rPr>
                <w:rFonts w:ascii="宋体" w:hAnsi="宋体" w:cs="宋体" w:eastAsia="宋体" w:hint="default"/>
                <w:sz w:val="21"/>
                <w:szCs w:val="21"/>
              </w:rPr>
            </w:pPr>
            <w:r>
              <w:rPr>
                <w:rFonts w:ascii="宋体"/>
                <w:spacing w:val="-1"/>
                <w:sz w:val="21"/>
              </w:rPr>
              <w:t>8910225</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69"/>
              <w:jc w:val="right"/>
              <w:rPr>
                <w:rFonts w:ascii="宋体" w:hAnsi="宋体" w:cs="宋体" w:eastAsia="宋体" w:hint="default"/>
                <w:sz w:val="21"/>
                <w:szCs w:val="21"/>
              </w:rPr>
            </w:pPr>
            <w:r>
              <w:rPr>
                <w:rFonts w:ascii="宋体"/>
                <w:spacing w:val="-1"/>
                <w:sz w:val="21"/>
              </w:rPr>
              <w:t>2012-1-28</w:t>
            </w:r>
          </w:p>
        </w:tc>
      </w:tr>
      <w:tr>
        <w:trPr>
          <w:trHeight w:val="610"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w w:val="100"/>
                <w:sz w:val="21"/>
              </w:rPr>
              <w:t>2</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519" w:lineRule="exact"/>
              <w:ind w:left="189"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1096100" cy="330041"/>
                  <wp:effectExtent l="0" t="0" r="0" b="0"/>
                  <wp:docPr id="5" name="image2.png" descr="9-1.jpg"/>
                  <wp:cNvGraphicFramePr>
                    <a:graphicFrameLocks noChangeAspect="1"/>
                  </wp:cNvGraphicFramePr>
                  <a:graphic>
                    <a:graphicData uri="http://schemas.openxmlformats.org/drawingml/2006/picture">
                      <pic:pic>
                        <pic:nvPicPr>
                          <pic:cNvPr id="6" name="image2.png"/>
                          <pic:cNvPicPr/>
                        </pic:nvPicPr>
                        <pic:blipFill>
                          <a:blip r:embed="rId14" cstate="print"/>
                          <a:stretch>
                            <a:fillRect/>
                          </a:stretch>
                        </pic:blipFill>
                        <pic:spPr>
                          <a:xfrm>
                            <a:off x="0" y="0"/>
                            <a:ext cx="1096100" cy="330041"/>
                          </a:xfrm>
                          <a:prstGeom prst="rect">
                            <a:avLst/>
                          </a:prstGeom>
                        </pic:spPr>
                      </pic:pic>
                    </a:graphicData>
                  </a:graphic>
                </wp:inline>
              </w:drawing>
            </w:r>
            <w:r>
              <w:rPr>
                <w:rFonts w:ascii="Times New Roman" w:hAnsi="Times New Roman" w:cs="Times New Roman" w:eastAsia="Times New Roman" w:hint="default"/>
                <w:position w:val="-9"/>
                <w:sz w:val="20"/>
                <w:szCs w:val="20"/>
              </w:rPr>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畅捷通公司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sz w:val="21"/>
              </w:rPr>
              <w:t>36</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宋体" w:hAnsi="宋体" w:cs="宋体" w:eastAsia="宋体" w:hint="default"/>
                <w:sz w:val="21"/>
                <w:szCs w:val="21"/>
              </w:rPr>
            </w:pPr>
            <w:r>
              <w:rPr>
                <w:rFonts w:ascii="宋体"/>
                <w:spacing w:val="-1"/>
                <w:sz w:val="21"/>
              </w:rPr>
              <w:t>8910226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69"/>
              <w:jc w:val="right"/>
              <w:rPr>
                <w:rFonts w:ascii="宋体" w:hAnsi="宋体" w:cs="宋体" w:eastAsia="宋体" w:hint="default"/>
                <w:sz w:val="21"/>
                <w:szCs w:val="21"/>
              </w:rPr>
            </w:pPr>
            <w:r>
              <w:rPr>
                <w:rFonts w:ascii="宋体"/>
                <w:spacing w:val="-1"/>
                <w:sz w:val="21"/>
              </w:rPr>
              <w:t>2012-1-28</w:t>
            </w:r>
          </w:p>
        </w:tc>
      </w:tr>
      <w:tr>
        <w:trPr>
          <w:trHeight w:val="610"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w w:val="100"/>
                <w:sz w:val="21"/>
              </w:rPr>
              <w:t>3</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495" w:lineRule="exact"/>
              <w:ind w:left="26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944689" cy="314896"/>
                  <wp:effectExtent l="0" t="0" r="0" b="0"/>
                  <wp:docPr id="7" name="image3.png" descr="8-1.jpg"/>
                  <wp:cNvGraphicFramePr>
                    <a:graphicFrameLocks noChangeAspect="1"/>
                  </wp:cNvGraphicFramePr>
                  <a:graphic>
                    <a:graphicData uri="http://schemas.openxmlformats.org/drawingml/2006/picture">
                      <pic:pic>
                        <pic:nvPicPr>
                          <pic:cNvPr id="8" name="image3.png"/>
                          <pic:cNvPicPr/>
                        </pic:nvPicPr>
                        <pic:blipFill>
                          <a:blip r:embed="rId15" cstate="print"/>
                          <a:stretch>
                            <a:fillRect/>
                          </a:stretch>
                        </pic:blipFill>
                        <pic:spPr>
                          <a:xfrm>
                            <a:off x="0" y="0"/>
                            <a:ext cx="944689" cy="314896"/>
                          </a:xfrm>
                          <a:prstGeom prst="rect">
                            <a:avLst/>
                          </a:prstGeom>
                        </pic:spPr>
                      </pic:pic>
                    </a:graphicData>
                  </a:graphic>
                </wp:inline>
              </w:drawing>
            </w:r>
            <w:r>
              <w:rPr>
                <w:rFonts w:ascii="Times New Roman" w:hAnsi="Times New Roman" w:cs="Times New Roman" w:eastAsia="Times New Roman" w:hint="default"/>
                <w:position w:val="-9"/>
                <w:sz w:val="20"/>
                <w:szCs w:val="20"/>
              </w:rPr>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畅捷通公司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sz w:val="21"/>
              </w:rPr>
              <w:t>36</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宋体" w:hAnsi="宋体" w:cs="宋体" w:eastAsia="宋体" w:hint="default"/>
                <w:sz w:val="21"/>
                <w:szCs w:val="21"/>
              </w:rPr>
            </w:pPr>
            <w:r>
              <w:rPr>
                <w:rFonts w:ascii="宋体"/>
                <w:spacing w:val="-1"/>
                <w:sz w:val="21"/>
              </w:rPr>
              <w:t>8910229</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69"/>
              <w:jc w:val="right"/>
              <w:rPr>
                <w:rFonts w:ascii="宋体" w:hAnsi="宋体" w:cs="宋体" w:eastAsia="宋体" w:hint="default"/>
                <w:sz w:val="21"/>
                <w:szCs w:val="21"/>
              </w:rPr>
            </w:pPr>
            <w:r>
              <w:rPr>
                <w:rFonts w:ascii="宋体"/>
                <w:spacing w:val="-1"/>
                <w:sz w:val="21"/>
              </w:rPr>
              <w:t>2012-1-28</w:t>
            </w:r>
          </w:p>
        </w:tc>
      </w:tr>
      <w:tr>
        <w:trPr>
          <w:trHeight w:val="610"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w w:val="100"/>
                <w:sz w:val="21"/>
              </w:rPr>
              <w:t>4</w:t>
            </w:r>
          </w:p>
        </w:tc>
        <w:tc>
          <w:tcPr>
            <w:tcW w:w="207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7"/>
                <w:szCs w:val="7"/>
              </w:rPr>
            </w:pPr>
          </w:p>
          <w:p>
            <w:pPr>
              <w:pStyle w:val="TableParagraph"/>
              <w:spacing w:line="504" w:lineRule="exact"/>
              <w:ind w:left="25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954846" cy="320325"/>
                  <wp:effectExtent l="0" t="0" r="0" b="0"/>
                  <wp:docPr id="9" name="image4.png" descr="8-1.jpg"/>
                  <wp:cNvGraphicFramePr>
                    <a:graphicFrameLocks noChangeAspect="1"/>
                  </wp:cNvGraphicFramePr>
                  <a:graphic>
                    <a:graphicData uri="http://schemas.openxmlformats.org/drawingml/2006/picture">
                      <pic:pic>
                        <pic:nvPicPr>
                          <pic:cNvPr id="10" name="image4.png"/>
                          <pic:cNvPicPr/>
                        </pic:nvPicPr>
                        <pic:blipFill>
                          <a:blip r:embed="rId16" cstate="print"/>
                          <a:stretch>
                            <a:fillRect/>
                          </a:stretch>
                        </pic:blipFill>
                        <pic:spPr>
                          <a:xfrm>
                            <a:off x="0" y="0"/>
                            <a:ext cx="954846" cy="320325"/>
                          </a:xfrm>
                          <a:prstGeom prst="rect">
                            <a:avLst/>
                          </a:prstGeom>
                        </pic:spPr>
                      </pic:pic>
                    </a:graphicData>
                  </a:graphic>
                </wp:inline>
              </w:drawing>
            </w:r>
            <w:r>
              <w:rPr>
                <w:rFonts w:ascii="Times New Roman" w:hAnsi="Times New Roman" w:cs="Times New Roman" w:eastAsia="Times New Roman" w:hint="default"/>
                <w:position w:val="-9"/>
                <w:sz w:val="20"/>
                <w:szCs w:val="20"/>
              </w:rPr>
            </w:r>
          </w:p>
          <w:p>
            <w:pPr>
              <w:pStyle w:val="TableParagraph"/>
              <w:spacing w:line="240" w:lineRule="auto" w:before="3"/>
              <w:ind w:right="0"/>
              <w:jc w:val="left"/>
              <w:rPr>
                <w:rFonts w:ascii="Times New Roman" w:hAnsi="Times New Roman" w:cs="Times New Roman" w:eastAsia="Times New Roman" w:hint="default"/>
                <w:sz w:val="6"/>
                <w:szCs w:val="6"/>
              </w:rPr>
            </w:pPr>
          </w:p>
          <w:p>
            <w:pPr>
              <w:pStyle w:val="TableParagraph"/>
              <w:spacing w:line="470" w:lineRule="exact"/>
              <w:ind w:left="26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drawing>
                <wp:inline distT="0" distB="0" distL="0" distR="0">
                  <wp:extent cx="889763" cy="298608"/>
                  <wp:effectExtent l="0" t="0" r="0" b="0"/>
                  <wp:docPr id="11" name="image4.png" descr="8-1.jpg"/>
                  <wp:cNvGraphicFramePr>
                    <a:graphicFrameLocks noChangeAspect="1"/>
                  </wp:cNvGraphicFramePr>
                  <a:graphic>
                    <a:graphicData uri="http://schemas.openxmlformats.org/drawingml/2006/picture">
                      <pic:pic>
                        <pic:nvPicPr>
                          <pic:cNvPr id="12" name="image4.png"/>
                          <pic:cNvPicPr/>
                        </pic:nvPicPr>
                        <pic:blipFill>
                          <a:blip r:embed="rId16" cstate="print"/>
                          <a:stretch>
                            <a:fillRect/>
                          </a:stretch>
                        </pic:blipFill>
                        <pic:spPr>
                          <a:xfrm>
                            <a:off x="0" y="0"/>
                            <a:ext cx="889763" cy="298608"/>
                          </a:xfrm>
                          <a:prstGeom prst="rect">
                            <a:avLst/>
                          </a:prstGeom>
                        </pic:spPr>
                      </pic:pic>
                    </a:graphicData>
                  </a:graphic>
                </wp:inline>
              </w:drawing>
            </w:r>
            <w:r>
              <w:rPr>
                <w:rFonts w:ascii="Times New Roman" w:hAnsi="Times New Roman" w:cs="Times New Roman" w:eastAsia="Times New Roman" w:hint="default"/>
                <w:position w:val="-8"/>
                <w:sz w:val="20"/>
                <w:szCs w:val="20"/>
              </w:rPr>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畅捷通公司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sz w:val="21"/>
              </w:rPr>
              <w:t>35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宋体" w:hAnsi="宋体" w:cs="宋体" w:eastAsia="宋体" w:hint="default"/>
                <w:sz w:val="21"/>
                <w:szCs w:val="21"/>
              </w:rPr>
            </w:pPr>
            <w:r>
              <w:rPr>
                <w:rFonts w:ascii="宋体"/>
                <w:spacing w:val="-1"/>
                <w:sz w:val="21"/>
              </w:rPr>
              <w:t>8910230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69"/>
              <w:jc w:val="right"/>
              <w:rPr>
                <w:rFonts w:ascii="宋体" w:hAnsi="宋体" w:cs="宋体" w:eastAsia="宋体" w:hint="default"/>
                <w:sz w:val="21"/>
                <w:szCs w:val="21"/>
              </w:rPr>
            </w:pPr>
            <w:r>
              <w:rPr>
                <w:rFonts w:ascii="宋体"/>
                <w:spacing w:val="-1"/>
                <w:sz w:val="21"/>
              </w:rPr>
              <w:t>2012-1-28</w:t>
            </w:r>
          </w:p>
        </w:tc>
      </w:tr>
      <w:tr>
        <w:trPr>
          <w:trHeight w:val="610"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5</w:t>
            </w:r>
          </w:p>
        </w:tc>
        <w:tc>
          <w:tcPr>
            <w:tcW w:w="2076" w:type="dxa"/>
            <w:vMerge/>
            <w:tcBorders>
              <w:left w:val="single" w:sz="4" w:space="0" w:color="000000"/>
              <w:bottom w:val="single" w:sz="4" w:space="0" w:color="000000"/>
              <w:right w:val="single" w:sz="4" w:space="0" w:color="000000"/>
            </w:tcBorders>
          </w:tcPr>
          <w:p>
            <w:pP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畅捷通公司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sz w:val="21"/>
              </w:rPr>
              <w:t>42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宋体" w:hAnsi="宋体" w:cs="宋体" w:eastAsia="宋体" w:hint="default"/>
                <w:sz w:val="21"/>
                <w:szCs w:val="21"/>
              </w:rPr>
            </w:pPr>
            <w:r>
              <w:rPr>
                <w:rFonts w:ascii="宋体"/>
                <w:spacing w:val="-1"/>
                <w:sz w:val="21"/>
              </w:rPr>
              <w:t>8910223</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69"/>
              <w:jc w:val="right"/>
              <w:rPr>
                <w:rFonts w:ascii="宋体" w:hAnsi="宋体" w:cs="宋体" w:eastAsia="宋体" w:hint="default"/>
                <w:sz w:val="21"/>
                <w:szCs w:val="21"/>
              </w:rPr>
            </w:pPr>
            <w:r>
              <w:rPr>
                <w:rFonts w:ascii="宋体"/>
                <w:spacing w:val="-1"/>
                <w:sz w:val="21"/>
              </w:rPr>
              <w:t>2012-2-28</w:t>
            </w:r>
          </w:p>
        </w:tc>
      </w:tr>
      <w:tr>
        <w:trPr>
          <w:trHeight w:val="610"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w w:val="100"/>
                <w:sz w:val="21"/>
              </w:rPr>
              <w:t>6</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3"/>
                <w:szCs w:val="3"/>
              </w:rPr>
            </w:pPr>
          </w:p>
          <w:p>
            <w:pPr>
              <w:pStyle w:val="TableParagraph"/>
              <w:spacing w:line="519" w:lineRule="exact"/>
              <w:ind w:left="266"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1096100" cy="330041"/>
                  <wp:effectExtent l="0" t="0" r="0" b="0"/>
                  <wp:docPr id="13" name="image2.png" descr="9-1.jpg"/>
                  <wp:cNvGraphicFramePr>
                    <a:graphicFrameLocks noChangeAspect="1"/>
                  </wp:cNvGraphicFramePr>
                  <a:graphic>
                    <a:graphicData uri="http://schemas.openxmlformats.org/drawingml/2006/picture">
                      <pic:pic>
                        <pic:nvPicPr>
                          <pic:cNvPr id="14" name="image2.png"/>
                          <pic:cNvPicPr/>
                        </pic:nvPicPr>
                        <pic:blipFill>
                          <a:blip r:embed="rId14" cstate="print"/>
                          <a:stretch>
                            <a:fillRect/>
                          </a:stretch>
                        </pic:blipFill>
                        <pic:spPr>
                          <a:xfrm>
                            <a:off x="0" y="0"/>
                            <a:ext cx="1096100" cy="330041"/>
                          </a:xfrm>
                          <a:prstGeom prst="rect">
                            <a:avLst/>
                          </a:prstGeom>
                        </pic:spPr>
                      </pic:pic>
                    </a:graphicData>
                  </a:graphic>
                </wp:inline>
              </w:drawing>
            </w:r>
            <w:r>
              <w:rPr>
                <w:rFonts w:ascii="Times New Roman" w:hAnsi="Times New Roman" w:cs="Times New Roman" w:eastAsia="Times New Roman" w:hint="default"/>
                <w:position w:val="-9"/>
                <w:sz w:val="20"/>
                <w:szCs w:val="20"/>
              </w:rPr>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hAnsi="宋体" w:cs="宋体" w:eastAsia="宋体" w:hint="default"/>
                <w:sz w:val="21"/>
                <w:szCs w:val="21"/>
              </w:rPr>
              <w:t>畅捷通公司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sz w:val="21"/>
              </w:rPr>
              <w:t>41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98"/>
              <w:jc w:val="right"/>
              <w:rPr>
                <w:rFonts w:ascii="宋体" w:hAnsi="宋体" w:cs="宋体" w:eastAsia="宋体" w:hint="default"/>
                <w:sz w:val="21"/>
                <w:szCs w:val="21"/>
              </w:rPr>
            </w:pPr>
            <w:r>
              <w:rPr>
                <w:rFonts w:ascii="宋体"/>
                <w:spacing w:val="-1"/>
                <w:sz w:val="21"/>
              </w:rPr>
              <w:t>9496656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69"/>
              <w:jc w:val="right"/>
              <w:rPr>
                <w:rFonts w:ascii="宋体" w:hAnsi="宋体" w:cs="宋体" w:eastAsia="宋体" w:hint="default"/>
                <w:sz w:val="21"/>
                <w:szCs w:val="21"/>
              </w:rPr>
            </w:pPr>
            <w:r>
              <w:rPr>
                <w:rFonts w:ascii="宋体"/>
                <w:spacing w:val="-1"/>
                <w:sz w:val="21"/>
              </w:rPr>
              <w:t>2012-6-14</w:t>
            </w:r>
          </w:p>
        </w:tc>
      </w:tr>
      <w:tr>
        <w:trPr>
          <w:trHeight w:val="612"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w w:val="100"/>
                <w:sz w:val="21"/>
              </w:rPr>
              <w:t>7</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
                <w:szCs w:val="2"/>
              </w:rPr>
            </w:pPr>
          </w:p>
          <w:p>
            <w:pPr>
              <w:pStyle w:val="TableParagraph"/>
              <w:spacing w:line="520" w:lineRule="exact"/>
              <w:ind w:left="189"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1042185" cy="330707"/>
                  <wp:effectExtent l="0" t="0" r="0" b="0"/>
                  <wp:docPr id="15" name="image5.png" descr="8-1.jpg"/>
                  <wp:cNvGraphicFramePr>
                    <a:graphicFrameLocks noChangeAspect="1"/>
                  </wp:cNvGraphicFramePr>
                  <a:graphic>
                    <a:graphicData uri="http://schemas.openxmlformats.org/drawingml/2006/picture">
                      <pic:pic>
                        <pic:nvPicPr>
                          <pic:cNvPr id="16" name="image5.png"/>
                          <pic:cNvPicPr/>
                        </pic:nvPicPr>
                        <pic:blipFill>
                          <a:blip r:embed="rId17" cstate="print"/>
                          <a:stretch>
                            <a:fillRect/>
                          </a:stretch>
                        </pic:blipFill>
                        <pic:spPr>
                          <a:xfrm>
                            <a:off x="0" y="0"/>
                            <a:ext cx="1042185" cy="330707"/>
                          </a:xfrm>
                          <a:prstGeom prst="rect">
                            <a:avLst/>
                          </a:prstGeom>
                        </pic:spPr>
                      </pic:pic>
                    </a:graphicData>
                  </a:graphic>
                </wp:inline>
              </w:drawing>
            </w:r>
            <w:r>
              <w:rPr>
                <w:rFonts w:ascii="Times New Roman" w:hAnsi="Times New Roman" w:cs="Times New Roman" w:eastAsia="Times New Roman" w:hint="default"/>
                <w:position w:val="-9"/>
                <w:sz w:val="20"/>
                <w:szCs w:val="20"/>
              </w:rPr>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hAnsi="宋体" w:cs="宋体" w:eastAsia="宋体" w:hint="default"/>
                <w:sz w:val="21"/>
                <w:szCs w:val="21"/>
              </w:rPr>
              <w:t>畅捷通公司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sz w:val="21"/>
              </w:rPr>
              <w:t>43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98"/>
              <w:jc w:val="right"/>
              <w:rPr>
                <w:rFonts w:ascii="宋体" w:hAnsi="宋体" w:cs="宋体" w:eastAsia="宋体" w:hint="default"/>
                <w:sz w:val="21"/>
                <w:szCs w:val="21"/>
              </w:rPr>
            </w:pPr>
            <w:r>
              <w:rPr>
                <w:rFonts w:ascii="宋体"/>
                <w:spacing w:val="-1"/>
                <w:sz w:val="21"/>
              </w:rPr>
              <w:t>9519900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69"/>
              <w:jc w:val="right"/>
              <w:rPr>
                <w:rFonts w:ascii="宋体" w:hAnsi="宋体" w:cs="宋体" w:eastAsia="宋体" w:hint="default"/>
                <w:sz w:val="21"/>
                <w:szCs w:val="21"/>
              </w:rPr>
            </w:pPr>
            <w:r>
              <w:rPr>
                <w:rFonts w:ascii="宋体"/>
                <w:spacing w:val="-1"/>
                <w:sz w:val="21"/>
              </w:rPr>
              <w:t>2012-6-21</w:t>
            </w:r>
          </w:p>
        </w:tc>
      </w:tr>
      <w:tr>
        <w:trPr>
          <w:trHeight w:val="610"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w w:val="100"/>
                <w:sz w:val="21"/>
              </w:rPr>
              <w:t>8</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555" w:lineRule="exact"/>
              <w:ind w:left="189"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1049537" cy="352901"/>
                  <wp:effectExtent l="0" t="0" r="0" b="0"/>
                  <wp:docPr id="17" name="image4.png" descr="8-1.jpg"/>
                  <wp:cNvGraphicFramePr>
                    <a:graphicFrameLocks noChangeAspect="1"/>
                  </wp:cNvGraphicFramePr>
                  <a:graphic>
                    <a:graphicData uri="http://schemas.openxmlformats.org/drawingml/2006/picture">
                      <pic:pic>
                        <pic:nvPicPr>
                          <pic:cNvPr id="18" name="image4.png"/>
                          <pic:cNvPicPr/>
                        </pic:nvPicPr>
                        <pic:blipFill>
                          <a:blip r:embed="rId16" cstate="print"/>
                          <a:stretch>
                            <a:fillRect/>
                          </a:stretch>
                        </pic:blipFill>
                        <pic:spPr>
                          <a:xfrm>
                            <a:off x="0" y="0"/>
                            <a:ext cx="1049537" cy="352901"/>
                          </a:xfrm>
                          <a:prstGeom prst="rect">
                            <a:avLst/>
                          </a:prstGeom>
                        </pic:spPr>
                      </pic:pic>
                    </a:graphicData>
                  </a:graphic>
                </wp:inline>
              </w:drawing>
            </w:r>
            <w:r>
              <w:rPr>
                <w:rFonts w:ascii="Times New Roman" w:hAnsi="Times New Roman" w:cs="Times New Roman" w:eastAsia="Times New Roman" w:hint="default"/>
                <w:position w:val="-10"/>
                <w:sz w:val="20"/>
                <w:szCs w:val="20"/>
              </w:rPr>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畅捷通公司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sz w:val="21"/>
              </w:rPr>
              <w:t>40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宋体" w:hAnsi="宋体" w:cs="宋体" w:eastAsia="宋体" w:hint="default"/>
                <w:sz w:val="21"/>
                <w:szCs w:val="21"/>
              </w:rPr>
            </w:pPr>
            <w:r>
              <w:rPr>
                <w:rFonts w:ascii="宋体"/>
                <w:spacing w:val="-1"/>
                <w:sz w:val="21"/>
              </w:rPr>
              <w:t>9519901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69"/>
              <w:jc w:val="right"/>
              <w:rPr>
                <w:rFonts w:ascii="宋体" w:hAnsi="宋体" w:cs="宋体" w:eastAsia="宋体" w:hint="default"/>
                <w:sz w:val="21"/>
                <w:szCs w:val="21"/>
              </w:rPr>
            </w:pPr>
            <w:r>
              <w:rPr>
                <w:rFonts w:ascii="宋体"/>
                <w:spacing w:val="-1"/>
                <w:sz w:val="21"/>
              </w:rPr>
              <w:t>2012-6-21</w:t>
            </w:r>
          </w:p>
        </w:tc>
      </w:tr>
      <w:tr>
        <w:trPr>
          <w:trHeight w:val="610"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w w:val="100"/>
                <w:sz w:val="21"/>
              </w:rPr>
              <w:t>9</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
                <w:szCs w:val="2"/>
              </w:rPr>
            </w:pPr>
          </w:p>
          <w:p>
            <w:pPr>
              <w:pStyle w:val="TableParagraph"/>
              <w:spacing w:line="520" w:lineRule="exact"/>
              <w:ind w:left="189"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1042185" cy="330708"/>
                  <wp:effectExtent l="0" t="0" r="0" b="0"/>
                  <wp:docPr id="19" name="image5.png" descr="8-1.jpg"/>
                  <wp:cNvGraphicFramePr>
                    <a:graphicFrameLocks noChangeAspect="1"/>
                  </wp:cNvGraphicFramePr>
                  <a:graphic>
                    <a:graphicData uri="http://schemas.openxmlformats.org/drawingml/2006/picture">
                      <pic:pic>
                        <pic:nvPicPr>
                          <pic:cNvPr id="20" name="image5.png"/>
                          <pic:cNvPicPr/>
                        </pic:nvPicPr>
                        <pic:blipFill>
                          <a:blip r:embed="rId17" cstate="print"/>
                          <a:stretch>
                            <a:fillRect/>
                          </a:stretch>
                        </pic:blipFill>
                        <pic:spPr>
                          <a:xfrm>
                            <a:off x="0" y="0"/>
                            <a:ext cx="1042185" cy="330708"/>
                          </a:xfrm>
                          <a:prstGeom prst="rect">
                            <a:avLst/>
                          </a:prstGeom>
                        </pic:spPr>
                      </pic:pic>
                    </a:graphicData>
                  </a:graphic>
                </wp:inline>
              </w:drawing>
            </w:r>
            <w:r>
              <w:rPr>
                <w:rFonts w:ascii="Times New Roman" w:hAnsi="Times New Roman" w:cs="Times New Roman" w:eastAsia="Times New Roman" w:hint="default"/>
                <w:position w:val="-9"/>
                <w:sz w:val="20"/>
                <w:szCs w:val="20"/>
              </w:rPr>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畅捷通公司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sz w:val="21"/>
              </w:rPr>
              <w:t>45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宋体" w:hAnsi="宋体" w:cs="宋体" w:eastAsia="宋体" w:hint="default"/>
                <w:sz w:val="21"/>
                <w:szCs w:val="21"/>
              </w:rPr>
            </w:pPr>
            <w:r>
              <w:rPr>
                <w:rFonts w:ascii="宋体"/>
                <w:spacing w:val="-1"/>
                <w:sz w:val="21"/>
              </w:rPr>
              <w:t>9519902</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69"/>
              <w:jc w:val="right"/>
              <w:rPr>
                <w:rFonts w:ascii="宋体" w:hAnsi="宋体" w:cs="宋体" w:eastAsia="宋体" w:hint="default"/>
                <w:sz w:val="21"/>
                <w:szCs w:val="21"/>
              </w:rPr>
            </w:pPr>
            <w:r>
              <w:rPr>
                <w:rFonts w:ascii="宋体"/>
                <w:spacing w:val="-1"/>
                <w:sz w:val="21"/>
              </w:rPr>
              <w:t>2012-6-21</w:t>
            </w:r>
          </w:p>
        </w:tc>
      </w:tr>
      <w:tr>
        <w:trPr>
          <w:trHeight w:val="610"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sz w:val="21"/>
              </w:rPr>
              <w:t>10</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555" w:lineRule="exact"/>
              <w:ind w:left="189"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1049537" cy="352901"/>
                  <wp:effectExtent l="0" t="0" r="0" b="0"/>
                  <wp:docPr id="21" name="image4.png" descr="8-1.jpg"/>
                  <wp:cNvGraphicFramePr>
                    <a:graphicFrameLocks noChangeAspect="1"/>
                  </wp:cNvGraphicFramePr>
                  <a:graphic>
                    <a:graphicData uri="http://schemas.openxmlformats.org/drawingml/2006/picture">
                      <pic:pic>
                        <pic:nvPicPr>
                          <pic:cNvPr id="22" name="image4.png"/>
                          <pic:cNvPicPr/>
                        </pic:nvPicPr>
                        <pic:blipFill>
                          <a:blip r:embed="rId16" cstate="print"/>
                          <a:stretch>
                            <a:fillRect/>
                          </a:stretch>
                        </pic:blipFill>
                        <pic:spPr>
                          <a:xfrm>
                            <a:off x="0" y="0"/>
                            <a:ext cx="1049537" cy="352901"/>
                          </a:xfrm>
                          <a:prstGeom prst="rect">
                            <a:avLst/>
                          </a:prstGeom>
                        </pic:spPr>
                      </pic:pic>
                    </a:graphicData>
                  </a:graphic>
                </wp:inline>
              </w:drawing>
            </w:r>
            <w:r>
              <w:rPr>
                <w:rFonts w:ascii="Times New Roman" w:hAnsi="Times New Roman" w:cs="Times New Roman" w:eastAsia="Times New Roman" w:hint="default"/>
                <w:position w:val="-10"/>
                <w:sz w:val="20"/>
                <w:szCs w:val="20"/>
              </w:rPr>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畅捷通公司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sz w:val="21"/>
              </w:rPr>
              <w:t>39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宋体" w:hAnsi="宋体" w:cs="宋体" w:eastAsia="宋体" w:hint="default"/>
                <w:sz w:val="21"/>
                <w:szCs w:val="21"/>
              </w:rPr>
            </w:pPr>
            <w:r>
              <w:rPr>
                <w:rFonts w:ascii="宋体"/>
                <w:spacing w:val="-1"/>
                <w:sz w:val="21"/>
              </w:rPr>
              <w:t>9519903</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69"/>
              <w:jc w:val="right"/>
              <w:rPr>
                <w:rFonts w:ascii="宋体" w:hAnsi="宋体" w:cs="宋体" w:eastAsia="宋体" w:hint="default"/>
                <w:sz w:val="21"/>
                <w:szCs w:val="21"/>
              </w:rPr>
            </w:pPr>
            <w:r>
              <w:rPr>
                <w:rFonts w:ascii="宋体"/>
                <w:spacing w:val="-1"/>
                <w:sz w:val="21"/>
              </w:rPr>
              <w:t>2012-6-21</w:t>
            </w:r>
          </w:p>
        </w:tc>
      </w:tr>
      <w:tr>
        <w:trPr>
          <w:trHeight w:val="610"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sz w:val="21"/>
              </w:rPr>
              <w:t>11</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
                <w:szCs w:val="2"/>
              </w:rPr>
            </w:pPr>
          </w:p>
          <w:p>
            <w:pPr>
              <w:pStyle w:val="TableParagraph"/>
              <w:spacing w:line="555" w:lineRule="exact"/>
              <w:ind w:left="266"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1058703" cy="352901"/>
                  <wp:effectExtent l="0" t="0" r="0" b="0"/>
                  <wp:docPr id="23" name="image4.png" descr="8-1.jpg"/>
                  <wp:cNvGraphicFramePr>
                    <a:graphicFrameLocks noChangeAspect="1"/>
                  </wp:cNvGraphicFramePr>
                  <a:graphic>
                    <a:graphicData uri="http://schemas.openxmlformats.org/drawingml/2006/picture">
                      <pic:pic>
                        <pic:nvPicPr>
                          <pic:cNvPr id="24" name="image4.png"/>
                          <pic:cNvPicPr/>
                        </pic:nvPicPr>
                        <pic:blipFill>
                          <a:blip r:embed="rId16" cstate="print"/>
                          <a:stretch>
                            <a:fillRect/>
                          </a:stretch>
                        </pic:blipFill>
                        <pic:spPr>
                          <a:xfrm>
                            <a:off x="0" y="0"/>
                            <a:ext cx="1058703" cy="352901"/>
                          </a:xfrm>
                          <a:prstGeom prst="rect">
                            <a:avLst/>
                          </a:prstGeom>
                        </pic:spPr>
                      </pic:pic>
                    </a:graphicData>
                  </a:graphic>
                </wp:inline>
              </w:drawing>
            </w:r>
            <w:r>
              <w:rPr>
                <w:rFonts w:ascii="Times New Roman" w:hAnsi="Times New Roman" w:cs="Times New Roman" w:eastAsia="Times New Roman" w:hint="default"/>
                <w:position w:val="-10"/>
                <w:sz w:val="20"/>
                <w:szCs w:val="20"/>
              </w:rPr>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畅捷通公司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sz w:val="21"/>
              </w:rPr>
              <w:t>37</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宋体" w:hAnsi="宋体" w:cs="宋体" w:eastAsia="宋体" w:hint="default"/>
                <w:sz w:val="21"/>
                <w:szCs w:val="21"/>
              </w:rPr>
            </w:pPr>
            <w:r>
              <w:rPr>
                <w:rFonts w:ascii="宋体"/>
                <w:spacing w:val="-1"/>
                <w:sz w:val="21"/>
              </w:rPr>
              <w:t>9519904</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69"/>
              <w:jc w:val="right"/>
              <w:rPr>
                <w:rFonts w:ascii="宋体" w:hAnsi="宋体" w:cs="宋体" w:eastAsia="宋体" w:hint="default"/>
                <w:sz w:val="21"/>
                <w:szCs w:val="21"/>
              </w:rPr>
            </w:pPr>
            <w:r>
              <w:rPr>
                <w:rFonts w:ascii="宋体"/>
                <w:spacing w:val="-1"/>
                <w:sz w:val="21"/>
              </w:rPr>
              <w:t>2012-6-21</w:t>
            </w:r>
          </w:p>
        </w:tc>
      </w:tr>
      <w:tr>
        <w:trPr>
          <w:trHeight w:val="610"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sz w:val="21"/>
              </w:rPr>
              <w:t>12</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3"/>
                <w:szCs w:val="3"/>
              </w:rPr>
            </w:pPr>
          </w:p>
          <w:p>
            <w:pPr>
              <w:pStyle w:val="TableParagraph"/>
              <w:spacing w:line="520" w:lineRule="exact"/>
              <w:ind w:left="266"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1051287" cy="330708"/>
                  <wp:effectExtent l="0" t="0" r="0" b="0"/>
                  <wp:docPr id="25" name="image5.png" descr="8-1.jpg"/>
                  <wp:cNvGraphicFramePr>
                    <a:graphicFrameLocks noChangeAspect="1"/>
                  </wp:cNvGraphicFramePr>
                  <a:graphic>
                    <a:graphicData uri="http://schemas.openxmlformats.org/drawingml/2006/picture">
                      <pic:pic>
                        <pic:nvPicPr>
                          <pic:cNvPr id="26" name="image5.png"/>
                          <pic:cNvPicPr/>
                        </pic:nvPicPr>
                        <pic:blipFill>
                          <a:blip r:embed="rId17" cstate="print"/>
                          <a:stretch>
                            <a:fillRect/>
                          </a:stretch>
                        </pic:blipFill>
                        <pic:spPr>
                          <a:xfrm>
                            <a:off x="0" y="0"/>
                            <a:ext cx="1051287" cy="330708"/>
                          </a:xfrm>
                          <a:prstGeom prst="rect">
                            <a:avLst/>
                          </a:prstGeom>
                        </pic:spPr>
                      </pic:pic>
                    </a:graphicData>
                  </a:graphic>
                </wp:inline>
              </w:drawing>
            </w:r>
            <w:r>
              <w:rPr>
                <w:rFonts w:ascii="Times New Roman" w:hAnsi="Times New Roman" w:cs="Times New Roman" w:eastAsia="Times New Roman" w:hint="default"/>
                <w:position w:val="-9"/>
                <w:sz w:val="20"/>
                <w:szCs w:val="20"/>
              </w:rPr>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hAnsi="宋体" w:cs="宋体" w:eastAsia="宋体" w:hint="default"/>
                <w:sz w:val="21"/>
                <w:szCs w:val="21"/>
              </w:rPr>
              <w:t>畅捷通公司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sz w:val="21"/>
              </w:rPr>
              <w:t>44</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98"/>
              <w:jc w:val="right"/>
              <w:rPr>
                <w:rFonts w:ascii="宋体" w:hAnsi="宋体" w:cs="宋体" w:eastAsia="宋体" w:hint="default"/>
                <w:sz w:val="21"/>
                <w:szCs w:val="21"/>
              </w:rPr>
            </w:pPr>
            <w:r>
              <w:rPr>
                <w:rFonts w:ascii="宋体"/>
                <w:spacing w:val="-1"/>
                <w:sz w:val="21"/>
              </w:rPr>
              <w:t>9519905</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69"/>
              <w:jc w:val="right"/>
              <w:rPr>
                <w:rFonts w:ascii="宋体" w:hAnsi="宋体" w:cs="宋体" w:eastAsia="宋体" w:hint="default"/>
                <w:sz w:val="21"/>
                <w:szCs w:val="21"/>
              </w:rPr>
            </w:pPr>
            <w:r>
              <w:rPr>
                <w:rFonts w:ascii="宋体"/>
                <w:spacing w:val="-1"/>
                <w:sz w:val="21"/>
              </w:rPr>
              <w:t>2012-6-21</w:t>
            </w:r>
          </w:p>
        </w:tc>
      </w:tr>
      <w:tr>
        <w:trPr>
          <w:trHeight w:val="612"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sz w:val="21"/>
              </w:rPr>
              <w:t>13</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
                <w:szCs w:val="2"/>
              </w:rPr>
            </w:pPr>
          </w:p>
          <w:p>
            <w:pPr>
              <w:pStyle w:val="TableParagraph"/>
              <w:spacing w:line="555" w:lineRule="exact"/>
              <w:ind w:left="266"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1058703" cy="352901"/>
                  <wp:effectExtent l="0" t="0" r="0" b="0"/>
                  <wp:docPr id="27" name="image4.png" descr="8-1.jpg"/>
                  <wp:cNvGraphicFramePr>
                    <a:graphicFrameLocks noChangeAspect="1"/>
                  </wp:cNvGraphicFramePr>
                  <a:graphic>
                    <a:graphicData uri="http://schemas.openxmlformats.org/drawingml/2006/picture">
                      <pic:pic>
                        <pic:nvPicPr>
                          <pic:cNvPr id="28" name="image4.png"/>
                          <pic:cNvPicPr/>
                        </pic:nvPicPr>
                        <pic:blipFill>
                          <a:blip r:embed="rId16" cstate="print"/>
                          <a:stretch>
                            <a:fillRect/>
                          </a:stretch>
                        </pic:blipFill>
                        <pic:spPr>
                          <a:xfrm>
                            <a:off x="0" y="0"/>
                            <a:ext cx="1058703" cy="352901"/>
                          </a:xfrm>
                          <a:prstGeom prst="rect">
                            <a:avLst/>
                          </a:prstGeom>
                        </pic:spPr>
                      </pic:pic>
                    </a:graphicData>
                  </a:graphic>
                </wp:inline>
              </w:drawing>
            </w:r>
            <w:r>
              <w:rPr>
                <w:rFonts w:ascii="Times New Roman" w:hAnsi="Times New Roman" w:cs="Times New Roman" w:eastAsia="Times New Roman" w:hint="default"/>
                <w:position w:val="-10"/>
                <w:sz w:val="20"/>
                <w:szCs w:val="20"/>
              </w:rPr>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hAnsi="宋体" w:cs="宋体" w:eastAsia="宋体" w:hint="default"/>
                <w:sz w:val="21"/>
                <w:szCs w:val="21"/>
              </w:rPr>
              <w:t>畅捷通公司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sz w:val="21"/>
              </w:rPr>
              <w:t>41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98"/>
              <w:jc w:val="right"/>
              <w:rPr>
                <w:rFonts w:ascii="宋体" w:hAnsi="宋体" w:cs="宋体" w:eastAsia="宋体" w:hint="default"/>
                <w:sz w:val="21"/>
                <w:szCs w:val="21"/>
              </w:rPr>
            </w:pPr>
            <w:r>
              <w:rPr>
                <w:rFonts w:ascii="宋体"/>
                <w:spacing w:val="-1"/>
                <w:sz w:val="21"/>
              </w:rPr>
              <w:t>9519906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69"/>
              <w:jc w:val="right"/>
              <w:rPr>
                <w:rFonts w:ascii="宋体" w:hAnsi="宋体" w:cs="宋体" w:eastAsia="宋体" w:hint="default"/>
                <w:sz w:val="21"/>
                <w:szCs w:val="21"/>
              </w:rPr>
            </w:pPr>
            <w:r>
              <w:rPr>
                <w:rFonts w:ascii="宋体"/>
                <w:spacing w:val="-1"/>
                <w:sz w:val="21"/>
              </w:rPr>
              <w:t>2012-6-21</w:t>
            </w:r>
          </w:p>
        </w:tc>
      </w:tr>
      <w:tr>
        <w:trPr>
          <w:trHeight w:val="610"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sz w:val="21"/>
              </w:rPr>
              <w:t>14</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3"/>
                <w:szCs w:val="3"/>
              </w:rPr>
            </w:pPr>
          </w:p>
          <w:p>
            <w:pPr>
              <w:pStyle w:val="TableParagraph"/>
              <w:spacing w:line="520" w:lineRule="exact"/>
              <w:ind w:left="266"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1051287" cy="330708"/>
                  <wp:effectExtent l="0" t="0" r="0" b="0"/>
                  <wp:docPr id="29" name="image5.png" descr="8-1.jpg"/>
                  <wp:cNvGraphicFramePr>
                    <a:graphicFrameLocks noChangeAspect="1"/>
                  </wp:cNvGraphicFramePr>
                  <a:graphic>
                    <a:graphicData uri="http://schemas.openxmlformats.org/drawingml/2006/picture">
                      <pic:pic>
                        <pic:nvPicPr>
                          <pic:cNvPr id="30" name="image5.png"/>
                          <pic:cNvPicPr/>
                        </pic:nvPicPr>
                        <pic:blipFill>
                          <a:blip r:embed="rId17" cstate="print"/>
                          <a:stretch>
                            <a:fillRect/>
                          </a:stretch>
                        </pic:blipFill>
                        <pic:spPr>
                          <a:xfrm>
                            <a:off x="0" y="0"/>
                            <a:ext cx="1051287" cy="330708"/>
                          </a:xfrm>
                          <a:prstGeom prst="rect">
                            <a:avLst/>
                          </a:prstGeom>
                        </pic:spPr>
                      </pic:pic>
                    </a:graphicData>
                  </a:graphic>
                </wp:inline>
              </w:drawing>
            </w:r>
            <w:r>
              <w:rPr>
                <w:rFonts w:ascii="Times New Roman" w:hAnsi="Times New Roman" w:cs="Times New Roman" w:eastAsia="Times New Roman" w:hint="default"/>
                <w:position w:val="-9"/>
                <w:sz w:val="20"/>
                <w:szCs w:val="20"/>
              </w:rPr>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畅捷通公司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sz w:val="21"/>
              </w:rPr>
              <w:t>42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宋体" w:hAnsi="宋体" w:cs="宋体" w:eastAsia="宋体" w:hint="default"/>
                <w:sz w:val="21"/>
                <w:szCs w:val="21"/>
              </w:rPr>
            </w:pPr>
            <w:r>
              <w:rPr>
                <w:rFonts w:ascii="宋体"/>
                <w:spacing w:val="-1"/>
                <w:sz w:val="21"/>
              </w:rPr>
              <w:t>9533638</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69"/>
              <w:jc w:val="right"/>
              <w:rPr>
                <w:rFonts w:ascii="宋体" w:hAnsi="宋体" w:cs="宋体" w:eastAsia="宋体" w:hint="default"/>
                <w:sz w:val="21"/>
                <w:szCs w:val="21"/>
              </w:rPr>
            </w:pPr>
            <w:r>
              <w:rPr>
                <w:rFonts w:ascii="宋体"/>
                <w:spacing w:val="-1"/>
                <w:sz w:val="21"/>
              </w:rPr>
              <w:t>2012-6-21</w:t>
            </w:r>
          </w:p>
        </w:tc>
      </w:tr>
      <w:tr>
        <w:trPr>
          <w:trHeight w:val="610"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sz w:val="21"/>
              </w:rPr>
              <w:t>15</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5"/>
                <w:szCs w:val="5"/>
              </w:rPr>
            </w:pPr>
          </w:p>
          <w:p>
            <w:pPr>
              <w:pStyle w:val="TableParagraph"/>
              <w:spacing w:line="519" w:lineRule="exact"/>
              <w:ind w:left="225"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1097614" cy="330041"/>
                  <wp:effectExtent l="0" t="0" r="0" b="0"/>
                  <wp:docPr id="31" name="image6.png" descr="9-1.jpg"/>
                  <wp:cNvGraphicFramePr>
                    <a:graphicFrameLocks noChangeAspect="1"/>
                  </wp:cNvGraphicFramePr>
                  <a:graphic>
                    <a:graphicData uri="http://schemas.openxmlformats.org/drawingml/2006/picture">
                      <pic:pic>
                        <pic:nvPicPr>
                          <pic:cNvPr id="32" name="image6.png"/>
                          <pic:cNvPicPr/>
                        </pic:nvPicPr>
                        <pic:blipFill>
                          <a:blip r:embed="rId18" cstate="print"/>
                          <a:stretch>
                            <a:fillRect/>
                          </a:stretch>
                        </pic:blipFill>
                        <pic:spPr>
                          <a:xfrm>
                            <a:off x="0" y="0"/>
                            <a:ext cx="1097614" cy="330041"/>
                          </a:xfrm>
                          <a:prstGeom prst="rect">
                            <a:avLst/>
                          </a:prstGeom>
                        </pic:spPr>
                      </pic:pic>
                    </a:graphicData>
                  </a:graphic>
                </wp:inline>
              </w:drawing>
            </w:r>
            <w:r>
              <w:rPr>
                <w:rFonts w:ascii="Times New Roman" w:hAnsi="Times New Roman" w:cs="Times New Roman" w:eastAsia="Times New Roman" w:hint="default"/>
                <w:position w:val="-9"/>
                <w:sz w:val="20"/>
                <w:szCs w:val="20"/>
              </w:rPr>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畅捷通公司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sz w:val="21"/>
              </w:rPr>
              <w:t>35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宋体" w:hAnsi="宋体" w:cs="宋体" w:eastAsia="宋体" w:hint="default"/>
                <w:sz w:val="21"/>
                <w:szCs w:val="21"/>
              </w:rPr>
            </w:pPr>
            <w:r>
              <w:rPr>
                <w:rFonts w:ascii="宋体"/>
                <w:spacing w:val="-1"/>
                <w:sz w:val="21"/>
              </w:rPr>
              <w:t>9533637</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69"/>
              <w:jc w:val="right"/>
              <w:rPr>
                <w:rFonts w:ascii="宋体" w:hAnsi="宋体" w:cs="宋体" w:eastAsia="宋体" w:hint="default"/>
                <w:sz w:val="21"/>
                <w:szCs w:val="21"/>
              </w:rPr>
            </w:pPr>
            <w:r>
              <w:rPr>
                <w:rFonts w:ascii="宋体"/>
                <w:spacing w:val="-1"/>
                <w:sz w:val="21"/>
              </w:rPr>
              <w:t>2012-6-21</w:t>
            </w:r>
          </w:p>
        </w:tc>
      </w:tr>
      <w:tr>
        <w:trPr>
          <w:trHeight w:val="610"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sz w:val="21"/>
              </w:rPr>
              <w:t>16</w:t>
            </w:r>
          </w:p>
        </w:tc>
        <w:tc>
          <w:tcPr>
            <w:tcW w:w="2076" w:type="dxa"/>
            <w:tcBorders>
              <w:top w:val="single" w:sz="4" w:space="0" w:color="000000"/>
              <w:left w:val="single" w:sz="4" w:space="0" w:color="000000"/>
              <w:bottom w:val="single" w:sz="4" w:space="0" w:color="000000"/>
              <w:right w:val="single" w:sz="4" w:space="0" w:color="000000"/>
            </w:tcBorders>
          </w:tcPr>
          <w:p>
            <w:pP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畅捷通公司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sz w:val="21"/>
              </w:rPr>
              <w:t>37</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宋体" w:hAnsi="宋体" w:cs="宋体" w:eastAsia="宋体" w:hint="default"/>
                <w:sz w:val="21"/>
                <w:szCs w:val="21"/>
              </w:rPr>
            </w:pPr>
            <w:r>
              <w:rPr>
                <w:rFonts w:ascii="宋体"/>
                <w:spacing w:val="-1"/>
                <w:sz w:val="21"/>
              </w:rPr>
              <w:t>9496657</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69"/>
              <w:jc w:val="right"/>
              <w:rPr>
                <w:rFonts w:ascii="宋体" w:hAnsi="宋体" w:cs="宋体" w:eastAsia="宋体" w:hint="default"/>
                <w:sz w:val="21"/>
                <w:szCs w:val="21"/>
              </w:rPr>
            </w:pPr>
            <w:r>
              <w:rPr>
                <w:rFonts w:ascii="宋体"/>
                <w:spacing w:val="-1"/>
                <w:sz w:val="21"/>
              </w:rPr>
              <w:t>2012-7-14</w:t>
            </w:r>
          </w:p>
        </w:tc>
      </w:tr>
      <w:tr>
        <w:trPr>
          <w:trHeight w:val="610"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sz w:val="21"/>
              </w:rPr>
              <w:t>17</w:t>
            </w:r>
          </w:p>
        </w:tc>
        <w:tc>
          <w:tcPr>
            <w:tcW w:w="2076" w:type="dxa"/>
            <w:tcBorders>
              <w:top w:val="single" w:sz="4" w:space="0" w:color="000000"/>
              <w:left w:val="single" w:sz="4" w:space="0" w:color="000000"/>
              <w:bottom w:val="single" w:sz="4" w:space="0" w:color="000000"/>
              <w:right w:val="single" w:sz="4" w:space="0" w:color="000000"/>
            </w:tcBorders>
          </w:tcPr>
          <w:p>
            <w:pP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畅捷通公司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sz w:val="21"/>
              </w:rPr>
              <w:t>40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宋体" w:hAnsi="宋体" w:cs="宋体" w:eastAsia="宋体" w:hint="default"/>
                <w:sz w:val="21"/>
                <w:szCs w:val="21"/>
              </w:rPr>
            </w:pPr>
            <w:r>
              <w:rPr>
                <w:rFonts w:ascii="宋体"/>
                <w:spacing w:val="-1"/>
                <w:sz w:val="21"/>
              </w:rPr>
              <w:t>9496658</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69"/>
              <w:jc w:val="right"/>
              <w:rPr>
                <w:rFonts w:ascii="宋体" w:hAnsi="宋体" w:cs="宋体" w:eastAsia="宋体" w:hint="default"/>
                <w:sz w:val="21"/>
                <w:szCs w:val="21"/>
              </w:rPr>
            </w:pPr>
            <w:r>
              <w:rPr>
                <w:rFonts w:ascii="宋体"/>
                <w:spacing w:val="-1"/>
                <w:sz w:val="21"/>
              </w:rPr>
              <w:t>2012-7-14</w:t>
            </w:r>
          </w:p>
        </w:tc>
      </w:tr>
      <w:tr>
        <w:trPr>
          <w:trHeight w:val="610"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sz w:val="21"/>
              </w:rPr>
              <w:t>18</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4"/>
                <w:szCs w:val="4"/>
              </w:rPr>
            </w:pPr>
          </w:p>
          <w:p>
            <w:pPr>
              <w:pStyle w:val="TableParagraph"/>
              <w:spacing w:line="519" w:lineRule="exact"/>
              <w:ind w:left="30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1087016" cy="330041"/>
                  <wp:effectExtent l="0" t="0" r="0" b="0"/>
                  <wp:docPr id="33" name="image2.png" descr="9-1.jpg"/>
                  <wp:cNvGraphicFramePr>
                    <a:graphicFrameLocks noChangeAspect="1"/>
                  </wp:cNvGraphicFramePr>
                  <a:graphic>
                    <a:graphicData uri="http://schemas.openxmlformats.org/drawingml/2006/picture">
                      <pic:pic>
                        <pic:nvPicPr>
                          <pic:cNvPr id="34" name="image2.png"/>
                          <pic:cNvPicPr/>
                        </pic:nvPicPr>
                        <pic:blipFill>
                          <a:blip r:embed="rId14" cstate="print"/>
                          <a:stretch>
                            <a:fillRect/>
                          </a:stretch>
                        </pic:blipFill>
                        <pic:spPr>
                          <a:xfrm>
                            <a:off x="0" y="0"/>
                            <a:ext cx="1087016" cy="330041"/>
                          </a:xfrm>
                          <a:prstGeom prst="rect">
                            <a:avLst/>
                          </a:prstGeom>
                        </pic:spPr>
                      </pic:pic>
                    </a:graphicData>
                  </a:graphic>
                </wp:inline>
              </w:drawing>
            </w:r>
            <w:r>
              <w:rPr>
                <w:rFonts w:ascii="Times New Roman" w:hAnsi="Times New Roman" w:cs="Times New Roman" w:eastAsia="Times New Roman" w:hint="default"/>
                <w:position w:val="-9"/>
                <w:sz w:val="20"/>
                <w:szCs w:val="20"/>
              </w:rPr>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hAnsi="宋体" w:cs="宋体" w:eastAsia="宋体" w:hint="default"/>
                <w:sz w:val="21"/>
                <w:szCs w:val="21"/>
              </w:rPr>
              <w:t>畅捷通公司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sz w:val="21"/>
              </w:rPr>
              <w:t>43</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98"/>
              <w:jc w:val="right"/>
              <w:rPr>
                <w:rFonts w:ascii="宋体" w:hAnsi="宋体" w:cs="宋体" w:eastAsia="宋体" w:hint="default"/>
                <w:sz w:val="21"/>
                <w:szCs w:val="21"/>
              </w:rPr>
            </w:pPr>
            <w:r>
              <w:rPr>
                <w:rFonts w:ascii="宋体"/>
                <w:spacing w:val="-1"/>
                <w:sz w:val="21"/>
              </w:rPr>
              <w:t>9496659</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69"/>
              <w:jc w:val="right"/>
              <w:rPr>
                <w:rFonts w:ascii="宋体" w:hAnsi="宋体" w:cs="宋体" w:eastAsia="宋体" w:hint="default"/>
                <w:sz w:val="21"/>
                <w:szCs w:val="21"/>
              </w:rPr>
            </w:pPr>
            <w:r>
              <w:rPr>
                <w:rFonts w:ascii="宋体"/>
                <w:spacing w:val="-1"/>
                <w:sz w:val="21"/>
              </w:rPr>
              <w:t>2012-7-14</w:t>
            </w:r>
          </w:p>
        </w:tc>
      </w:tr>
      <w:tr>
        <w:trPr>
          <w:trHeight w:val="612"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sz w:val="21"/>
              </w:rPr>
              <w:t>19</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
                <w:szCs w:val="2"/>
              </w:rPr>
            </w:pPr>
          </w:p>
          <w:p>
            <w:pPr>
              <w:pStyle w:val="TableParagraph"/>
              <w:spacing w:line="519" w:lineRule="exact"/>
              <w:ind w:left="249"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1087016" cy="330041"/>
                  <wp:effectExtent l="0" t="0" r="0" b="0"/>
                  <wp:docPr id="35" name="image2.png" descr="9-1.jpg"/>
                  <wp:cNvGraphicFramePr>
                    <a:graphicFrameLocks noChangeAspect="1"/>
                  </wp:cNvGraphicFramePr>
                  <a:graphic>
                    <a:graphicData uri="http://schemas.openxmlformats.org/drawingml/2006/picture">
                      <pic:pic>
                        <pic:nvPicPr>
                          <pic:cNvPr id="36" name="image2.png"/>
                          <pic:cNvPicPr/>
                        </pic:nvPicPr>
                        <pic:blipFill>
                          <a:blip r:embed="rId14" cstate="print"/>
                          <a:stretch>
                            <a:fillRect/>
                          </a:stretch>
                        </pic:blipFill>
                        <pic:spPr>
                          <a:xfrm>
                            <a:off x="0" y="0"/>
                            <a:ext cx="1087016" cy="330041"/>
                          </a:xfrm>
                          <a:prstGeom prst="rect">
                            <a:avLst/>
                          </a:prstGeom>
                        </pic:spPr>
                      </pic:pic>
                    </a:graphicData>
                  </a:graphic>
                </wp:inline>
              </w:drawing>
            </w:r>
            <w:r>
              <w:rPr>
                <w:rFonts w:ascii="Times New Roman" w:hAnsi="Times New Roman" w:cs="Times New Roman" w:eastAsia="Times New Roman" w:hint="default"/>
                <w:position w:val="-9"/>
                <w:sz w:val="20"/>
                <w:szCs w:val="20"/>
              </w:rPr>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hAnsi="宋体" w:cs="宋体" w:eastAsia="宋体" w:hint="default"/>
                <w:sz w:val="21"/>
                <w:szCs w:val="21"/>
              </w:rPr>
              <w:t>畅捷通公司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sz w:val="21"/>
              </w:rPr>
              <w:t>45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98"/>
              <w:jc w:val="right"/>
              <w:rPr>
                <w:rFonts w:ascii="宋体" w:hAnsi="宋体" w:cs="宋体" w:eastAsia="宋体" w:hint="default"/>
                <w:sz w:val="21"/>
                <w:szCs w:val="21"/>
              </w:rPr>
            </w:pPr>
            <w:r>
              <w:rPr>
                <w:rFonts w:ascii="宋体"/>
                <w:spacing w:val="-1"/>
                <w:sz w:val="21"/>
              </w:rPr>
              <w:t>9496660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69"/>
              <w:jc w:val="right"/>
              <w:rPr>
                <w:rFonts w:ascii="宋体" w:hAnsi="宋体" w:cs="宋体" w:eastAsia="宋体" w:hint="default"/>
                <w:sz w:val="21"/>
                <w:szCs w:val="21"/>
              </w:rPr>
            </w:pPr>
            <w:r>
              <w:rPr>
                <w:rFonts w:ascii="宋体"/>
                <w:spacing w:val="-1"/>
                <w:sz w:val="21"/>
              </w:rPr>
              <w:t>2012-7-14</w:t>
            </w:r>
          </w:p>
        </w:tc>
      </w:tr>
      <w:tr>
        <w:trPr>
          <w:trHeight w:val="610"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sz w:val="21"/>
              </w:rPr>
              <w:t>20</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519" w:lineRule="exact"/>
              <w:ind w:left="249"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1087016" cy="330041"/>
                  <wp:effectExtent l="0" t="0" r="0" b="0"/>
                  <wp:docPr id="37" name="image2.png" descr="9-1.jpg"/>
                  <wp:cNvGraphicFramePr>
                    <a:graphicFrameLocks noChangeAspect="1"/>
                  </wp:cNvGraphicFramePr>
                  <a:graphic>
                    <a:graphicData uri="http://schemas.openxmlformats.org/drawingml/2006/picture">
                      <pic:pic>
                        <pic:nvPicPr>
                          <pic:cNvPr id="38" name="image2.png"/>
                          <pic:cNvPicPr/>
                        </pic:nvPicPr>
                        <pic:blipFill>
                          <a:blip r:embed="rId14" cstate="print"/>
                          <a:stretch>
                            <a:fillRect/>
                          </a:stretch>
                        </pic:blipFill>
                        <pic:spPr>
                          <a:xfrm>
                            <a:off x="0" y="0"/>
                            <a:ext cx="1087016" cy="330041"/>
                          </a:xfrm>
                          <a:prstGeom prst="rect">
                            <a:avLst/>
                          </a:prstGeom>
                        </pic:spPr>
                      </pic:pic>
                    </a:graphicData>
                  </a:graphic>
                </wp:inline>
              </w:drawing>
            </w:r>
            <w:r>
              <w:rPr>
                <w:rFonts w:ascii="Times New Roman" w:hAnsi="Times New Roman" w:cs="Times New Roman" w:eastAsia="Times New Roman" w:hint="default"/>
                <w:position w:val="-9"/>
                <w:sz w:val="20"/>
                <w:szCs w:val="20"/>
              </w:rPr>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畅捷通公司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sz w:val="21"/>
              </w:rPr>
              <w:t>44</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宋体" w:hAnsi="宋体" w:cs="宋体" w:eastAsia="宋体" w:hint="default"/>
                <w:sz w:val="21"/>
                <w:szCs w:val="21"/>
              </w:rPr>
            </w:pPr>
            <w:r>
              <w:rPr>
                <w:rFonts w:ascii="宋体"/>
                <w:spacing w:val="-1"/>
                <w:sz w:val="21"/>
              </w:rPr>
              <w:t>9496661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69"/>
              <w:jc w:val="right"/>
              <w:rPr>
                <w:rFonts w:ascii="宋体" w:hAnsi="宋体" w:cs="宋体" w:eastAsia="宋体" w:hint="default"/>
                <w:sz w:val="21"/>
                <w:szCs w:val="21"/>
              </w:rPr>
            </w:pPr>
            <w:r>
              <w:rPr>
                <w:rFonts w:ascii="宋体"/>
                <w:spacing w:val="-1"/>
                <w:sz w:val="21"/>
              </w:rPr>
              <w:t>2012-7-14</w:t>
            </w:r>
          </w:p>
        </w:tc>
      </w:tr>
      <w:tr>
        <w:trPr>
          <w:trHeight w:val="610"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sz w:val="21"/>
              </w:rPr>
              <w:t>21</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5"/>
                <w:szCs w:val="5"/>
              </w:rPr>
            </w:pPr>
          </w:p>
          <w:p>
            <w:pPr>
              <w:pStyle w:val="TableParagraph"/>
              <w:spacing w:line="519" w:lineRule="exact"/>
              <w:ind w:left="489"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652512" cy="330041"/>
                  <wp:effectExtent l="0" t="0" r="0" b="0"/>
                  <wp:docPr id="39" name="image7.png" descr="9572929图.jpg"/>
                  <wp:cNvGraphicFramePr>
                    <a:graphicFrameLocks noChangeAspect="1"/>
                  </wp:cNvGraphicFramePr>
                  <a:graphic>
                    <a:graphicData uri="http://schemas.openxmlformats.org/drawingml/2006/picture">
                      <pic:pic>
                        <pic:nvPicPr>
                          <pic:cNvPr id="40" name="image7.png"/>
                          <pic:cNvPicPr/>
                        </pic:nvPicPr>
                        <pic:blipFill>
                          <a:blip r:embed="rId19" cstate="print"/>
                          <a:stretch>
                            <a:fillRect/>
                          </a:stretch>
                        </pic:blipFill>
                        <pic:spPr>
                          <a:xfrm>
                            <a:off x="0" y="0"/>
                            <a:ext cx="652512" cy="330041"/>
                          </a:xfrm>
                          <a:prstGeom prst="rect">
                            <a:avLst/>
                          </a:prstGeom>
                        </pic:spPr>
                      </pic:pic>
                    </a:graphicData>
                  </a:graphic>
                </wp:inline>
              </w:drawing>
            </w:r>
            <w:r>
              <w:rPr>
                <w:rFonts w:ascii="Times New Roman" w:hAnsi="Times New Roman" w:cs="Times New Roman" w:eastAsia="Times New Roman" w:hint="default"/>
                <w:position w:val="-9"/>
                <w:sz w:val="20"/>
                <w:szCs w:val="20"/>
              </w:rPr>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用友新道公司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w w:val="100"/>
                <w:sz w:val="21"/>
              </w:rPr>
              <w:t>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宋体" w:hAnsi="宋体" w:cs="宋体" w:eastAsia="宋体" w:hint="default"/>
                <w:sz w:val="21"/>
                <w:szCs w:val="21"/>
              </w:rPr>
            </w:pPr>
            <w:r>
              <w:rPr>
                <w:rFonts w:ascii="宋体"/>
                <w:spacing w:val="-1"/>
                <w:sz w:val="21"/>
              </w:rPr>
              <w:t>9572939</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2"/>
              <w:jc w:val="right"/>
              <w:rPr>
                <w:rFonts w:ascii="宋体" w:hAnsi="宋体" w:cs="宋体" w:eastAsia="宋体" w:hint="default"/>
                <w:sz w:val="21"/>
                <w:szCs w:val="21"/>
              </w:rPr>
            </w:pPr>
            <w:r>
              <w:rPr>
                <w:rFonts w:ascii="宋体"/>
                <w:spacing w:val="-1"/>
                <w:sz w:val="21"/>
              </w:rPr>
              <w:t>2012-8-7</w:t>
            </w:r>
          </w:p>
        </w:tc>
      </w:tr>
      <w:tr>
        <w:trPr>
          <w:trHeight w:val="610"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sz w:val="21"/>
              </w:rPr>
              <w:t>22</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555" w:lineRule="exact"/>
              <w:ind w:left="220"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1087730" cy="352901"/>
                  <wp:effectExtent l="0" t="0" r="0" b="0"/>
                  <wp:docPr id="41" name="image8.png" descr="9572957图.jpg"/>
                  <wp:cNvGraphicFramePr>
                    <a:graphicFrameLocks noChangeAspect="1"/>
                  </wp:cNvGraphicFramePr>
                  <a:graphic>
                    <a:graphicData uri="http://schemas.openxmlformats.org/drawingml/2006/picture">
                      <pic:pic>
                        <pic:nvPicPr>
                          <pic:cNvPr id="42" name="image8.png"/>
                          <pic:cNvPicPr/>
                        </pic:nvPicPr>
                        <pic:blipFill>
                          <a:blip r:embed="rId20" cstate="print"/>
                          <a:stretch>
                            <a:fillRect/>
                          </a:stretch>
                        </pic:blipFill>
                        <pic:spPr>
                          <a:xfrm>
                            <a:off x="0" y="0"/>
                            <a:ext cx="1087730" cy="352901"/>
                          </a:xfrm>
                          <a:prstGeom prst="rect">
                            <a:avLst/>
                          </a:prstGeom>
                        </pic:spPr>
                      </pic:pic>
                    </a:graphicData>
                  </a:graphic>
                </wp:inline>
              </w:drawing>
            </w:r>
            <w:r>
              <w:rPr>
                <w:rFonts w:ascii="Times New Roman" w:hAnsi="Times New Roman" w:cs="Times New Roman" w:eastAsia="Times New Roman" w:hint="default"/>
                <w:position w:val="-10"/>
                <w:sz w:val="20"/>
                <w:szCs w:val="20"/>
              </w:rPr>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用友新道公司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w w:val="100"/>
                <w:sz w:val="21"/>
              </w:rPr>
              <w:t>9</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宋体" w:hAnsi="宋体" w:cs="宋体" w:eastAsia="宋体" w:hint="default"/>
                <w:sz w:val="21"/>
                <w:szCs w:val="21"/>
              </w:rPr>
            </w:pPr>
            <w:r>
              <w:rPr>
                <w:rFonts w:ascii="宋体"/>
                <w:spacing w:val="-1"/>
                <w:sz w:val="21"/>
              </w:rPr>
              <w:t>9572957</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22"/>
              <w:jc w:val="right"/>
              <w:rPr>
                <w:rFonts w:ascii="宋体" w:hAnsi="宋体" w:cs="宋体" w:eastAsia="宋体" w:hint="default"/>
                <w:sz w:val="21"/>
                <w:szCs w:val="21"/>
              </w:rPr>
            </w:pPr>
            <w:r>
              <w:rPr>
                <w:rFonts w:ascii="宋体"/>
                <w:spacing w:val="-1"/>
                <w:sz w:val="21"/>
              </w:rPr>
              <w:t>2012-8-7</w:t>
            </w:r>
          </w:p>
        </w:tc>
      </w:tr>
    </w:tbl>
    <w:p>
      <w:pPr>
        <w:spacing w:after="0" w:line="240" w:lineRule="auto"/>
        <w:jc w:val="right"/>
        <w:rPr>
          <w:rFonts w:ascii="宋体" w:hAnsi="宋体" w:cs="宋体" w:eastAsia="宋体" w:hint="default"/>
          <w:sz w:val="21"/>
          <w:szCs w:val="21"/>
        </w:rPr>
        <w:sectPr>
          <w:pgSz w:w="11910" w:h="16850"/>
          <w:pgMar w:header="752" w:footer="730" w:top="1020" w:bottom="920" w:left="1280" w:right="11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16" w:type="dxa"/>
        <w:tblLayout w:type="fixed"/>
        <w:tblCellMar>
          <w:top w:w="0" w:type="dxa"/>
          <w:left w:w="0" w:type="dxa"/>
          <w:bottom w:w="0" w:type="dxa"/>
          <w:right w:w="0" w:type="dxa"/>
        </w:tblCellMar>
        <w:tblLook w:val="01E0"/>
      </w:tblPr>
      <w:tblGrid>
        <w:gridCol w:w="427"/>
        <w:gridCol w:w="2076"/>
        <w:gridCol w:w="3022"/>
        <w:gridCol w:w="821"/>
        <w:gridCol w:w="1363"/>
        <w:gridCol w:w="1500"/>
      </w:tblGrid>
      <w:tr>
        <w:trPr>
          <w:trHeight w:val="678" w:hRule="exact"/>
        </w:trPr>
        <w:tc>
          <w:tcPr>
            <w:tcW w:w="427" w:type="dxa"/>
            <w:tcBorders>
              <w:top w:val="single" w:sz="8" w:space="0" w:color="000000"/>
              <w:left w:val="single" w:sz="8" w:space="0" w:color="000000"/>
              <w:bottom w:val="nil" w:sz="6" w:space="0" w:color="auto"/>
              <w:right w:val="single" w:sz="8" w:space="0" w:color="000000"/>
            </w:tcBorders>
          </w:tcPr>
          <w:p>
            <w:pPr>
              <w:pStyle w:val="TableParagraph"/>
              <w:spacing w:line="272" w:lineRule="exact" w:before="22"/>
              <w:ind w:left="98" w:right="96"/>
              <w:jc w:val="left"/>
              <w:rPr>
                <w:rFonts w:ascii="宋体" w:hAnsi="宋体" w:cs="宋体" w:eastAsia="宋体" w:hint="default"/>
                <w:sz w:val="21"/>
                <w:szCs w:val="21"/>
              </w:rPr>
            </w:pPr>
            <w:r>
              <w:rPr>
                <w:rFonts w:ascii="宋体" w:hAnsi="宋体" w:cs="宋体" w:eastAsia="宋体" w:hint="default"/>
                <w:sz w:val="21"/>
                <w:szCs w:val="21"/>
              </w:rPr>
              <w:t>序</w:t>
            </w:r>
            <w:r>
              <w:rPr>
                <w:rFonts w:ascii="宋体" w:hAnsi="宋体" w:cs="宋体" w:eastAsia="宋体" w:hint="default"/>
                <w:w w:val="100"/>
                <w:sz w:val="21"/>
                <w:szCs w:val="21"/>
              </w:rPr>
              <w:t> </w:t>
            </w:r>
            <w:r>
              <w:rPr>
                <w:rFonts w:ascii="宋体" w:hAnsi="宋体" w:cs="宋体" w:eastAsia="宋体" w:hint="default"/>
                <w:sz w:val="21"/>
                <w:szCs w:val="21"/>
              </w:rPr>
              <w:t>号</w:t>
            </w:r>
          </w:p>
        </w:tc>
        <w:tc>
          <w:tcPr>
            <w:tcW w:w="2076" w:type="dxa"/>
            <w:vMerge w:val="restart"/>
            <w:tcBorders>
              <w:top w:val="single" w:sz="8" w:space="0" w:color="000000"/>
              <w:left w:val="single" w:sz="8" w:space="0" w:color="000000"/>
              <w:right w:val="single" w:sz="8" w:space="0" w:color="000000"/>
            </w:tcBorders>
          </w:tcPr>
          <w:p>
            <w:pPr>
              <w:pStyle w:val="TableParagraph"/>
              <w:spacing w:line="240" w:lineRule="auto" w:before="131"/>
              <w:ind w:left="396" w:right="0"/>
              <w:jc w:val="left"/>
              <w:rPr>
                <w:rFonts w:ascii="宋体" w:hAnsi="宋体" w:cs="宋体" w:eastAsia="宋体" w:hint="default"/>
                <w:sz w:val="21"/>
                <w:szCs w:val="21"/>
              </w:rPr>
            </w:pPr>
            <w:r>
              <w:rPr>
                <w:rFonts w:ascii="宋体" w:hAnsi="宋体" w:cs="宋体" w:eastAsia="宋体" w:hint="default"/>
                <w:sz w:val="21"/>
                <w:szCs w:val="21"/>
              </w:rPr>
              <w:t>注册商标样式</w:t>
            </w: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556" w:lineRule="exact"/>
              <w:ind w:left="24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1080601" cy="353568"/>
                  <wp:effectExtent l="0" t="0" r="0" b="0"/>
                  <wp:docPr id="43" name="image9.png" descr="9572980图.jpg"/>
                  <wp:cNvGraphicFramePr>
                    <a:graphicFrameLocks noChangeAspect="1"/>
                  </wp:cNvGraphicFramePr>
                  <a:graphic>
                    <a:graphicData uri="http://schemas.openxmlformats.org/drawingml/2006/picture">
                      <pic:pic>
                        <pic:nvPicPr>
                          <pic:cNvPr id="44" name="image9.png"/>
                          <pic:cNvPicPr/>
                        </pic:nvPicPr>
                        <pic:blipFill>
                          <a:blip r:embed="rId21" cstate="print"/>
                          <a:stretch>
                            <a:fillRect/>
                          </a:stretch>
                        </pic:blipFill>
                        <pic:spPr>
                          <a:xfrm>
                            <a:off x="0" y="0"/>
                            <a:ext cx="1080601" cy="353568"/>
                          </a:xfrm>
                          <a:prstGeom prst="rect">
                            <a:avLst/>
                          </a:prstGeom>
                        </pic:spPr>
                      </pic:pic>
                    </a:graphicData>
                  </a:graphic>
                </wp:inline>
              </w:drawing>
            </w:r>
            <w:r>
              <w:rPr>
                <w:rFonts w:ascii="Times New Roman" w:hAnsi="Times New Roman" w:cs="Times New Roman" w:eastAsia="Times New Roman" w:hint="default"/>
                <w:position w:val="-10"/>
                <w:sz w:val="20"/>
                <w:szCs w:val="20"/>
              </w:rPr>
            </w:r>
          </w:p>
        </w:tc>
        <w:tc>
          <w:tcPr>
            <w:tcW w:w="3022"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hAnsi="宋体" w:cs="宋体" w:eastAsia="宋体" w:hint="default"/>
                <w:sz w:val="21"/>
                <w:szCs w:val="21"/>
              </w:rPr>
              <w:t>申请人</w:t>
            </w:r>
          </w:p>
        </w:tc>
        <w:tc>
          <w:tcPr>
            <w:tcW w:w="821"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363"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31"/>
              <w:ind w:left="252" w:right="0"/>
              <w:jc w:val="left"/>
              <w:rPr>
                <w:rFonts w:ascii="宋体" w:hAnsi="宋体" w:cs="宋体" w:eastAsia="宋体" w:hint="default"/>
                <w:sz w:val="21"/>
                <w:szCs w:val="21"/>
              </w:rPr>
            </w:pPr>
            <w:r>
              <w:rPr>
                <w:rFonts w:ascii="宋体" w:hAnsi="宋体" w:cs="宋体" w:eastAsia="宋体" w:hint="default"/>
                <w:sz w:val="21"/>
                <w:szCs w:val="21"/>
              </w:rPr>
              <w:t>证书编号</w:t>
            </w:r>
          </w:p>
        </w:tc>
        <w:tc>
          <w:tcPr>
            <w:tcW w:w="1500"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hAnsi="宋体" w:cs="宋体" w:eastAsia="宋体" w:hint="default"/>
                <w:sz w:val="21"/>
                <w:szCs w:val="21"/>
              </w:rPr>
              <w:t>注册日期</w:t>
            </w:r>
          </w:p>
        </w:tc>
      </w:tr>
      <w:tr>
        <w:trPr>
          <w:trHeight w:val="537" w:hRule="exact"/>
        </w:trPr>
        <w:tc>
          <w:tcPr>
            <w:tcW w:w="4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23</w:t>
            </w:r>
          </w:p>
        </w:tc>
        <w:tc>
          <w:tcPr>
            <w:tcW w:w="2076" w:type="dxa"/>
            <w:vMerge/>
            <w:tcBorders>
              <w:left w:val="single" w:sz="8" w:space="0" w:color="000000"/>
              <w:bottom w:val="single" w:sz="4" w:space="0" w:color="000000"/>
              <w:right w:val="single" w:sz="8" w:space="0" w:color="000000"/>
            </w:tcBorders>
          </w:tcPr>
          <w:p>
            <w:pPr/>
          </w:p>
        </w:tc>
        <w:tc>
          <w:tcPr>
            <w:tcW w:w="30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用友新道公司</w:t>
            </w:r>
          </w:p>
        </w:tc>
        <w:tc>
          <w:tcPr>
            <w:tcW w:w="8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w w:val="100"/>
                <w:sz w:val="21"/>
              </w:rPr>
              <w:t>9</w:t>
            </w:r>
          </w:p>
        </w:tc>
        <w:tc>
          <w:tcPr>
            <w:tcW w:w="13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3"/>
              <w:ind w:right="98"/>
              <w:jc w:val="right"/>
              <w:rPr>
                <w:rFonts w:ascii="宋体" w:hAnsi="宋体" w:cs="宋体" w:eastAsia="宋体" w:hint="default"/>
                <w:sz w:val="21"/>
                <w:szCs w:val="21"/>
              </w:rPr>
            </w:pPr>
            <w:r>
              <w:rPr>
                <w:rFonts w:ascii="宋体"/>
                <w:spacing w:val="-1"/>
                <w:sz w:val="21"/>
              </w:rPr>
              <w:t>9572980</w:t>
            </w:r>
          </w:p>
        </w:tc>
        <w:tc>
          <w:tcPr>
            <w:tcW w:w="15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sz w:val="21"/>
              </w:rPr>
              <w:t>2012-8-7</w:t>
            </w:r>
          </w:p>
        </w:tc>
      </w:tr>
      <w:tr>
        <w:trPr>
          <w:trHeight w:val="612"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sz w:val="21"/>
              </w:rPr>
              <w:t>24</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3"/>
                <w:szCs w:val="3"/>
              </w:rPr>
            </w:pPr>
          </w:p>
          <w:p>
            <w:pPr>
              <w:pStyle w:val="TableParagraph"/>
              <w:spacing w:line="491" w:lineRule="exact"/>
              <w:ind w:left="189"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1107283" cy="312039"/>
                  <wp:effectExtent l="0" t="0" r="0" b="0"/>
                  <wp:docPr id="45" name="image10.png" descr="9573019图.jpg"/>
                  <wp:cNvGraphicFramePr>
                    <a:graphicFrameLocks noChangeAspect="1"/>
                  </wp:cNvGraphicFramePr>
                  <a:graphic>
                    <a:graphicData uri="http://schemas.openxmlformats.org/drawingml/2006/picture">
                      <pic:pic>
                        <pic:nvPicPr>
                          <pic:cNvPr id="46" name="image10.png"/>
                          <pic:cNvPicPr/>
                        </pic:nvPicPr>
                        <pic:blipFill>
                          <a:blip r:embed="rId22" cstate="print"/>
                          <a:stretch>
                            <a:fillRect/>
                          </a:stretch>
                        </pic:blipFill>
                        <pic:spPr>
                          <a:xfrm>
                            <a:off x="0" y="0"/>
                            <a:ext cx="1107283" cy="312039"/>
                          </a:xfrm>
                          <a:prstGeom prst="rect">
                            <a:avLst/>
                          </a:prstGeom>
                        </pic:spPr>
                      </pic:pic>
                    </a:graphicData>
                  </a:graphic>
                </wp:inline>
              </w:drawing>
            </w:r>
            <w:r>
              <w:rPr>
                <w:rFonts w:ascii="Times New Roman" w:hAnsi="Times New Roman" w:cs="Times New Roman" w:eastAsia="Times New Roman" w:hint="default"/>
                <w:position w:val="-9"/>
                <w:sz w:val="20"/>
                <w:szCs w:val="20"/>
              </w:rPr>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hAnsi="宋体" w:cs="宋体" w:eastAsia="宋体" w:hint="default"/>
                <w:sz w:val="21"/>
                <w:szCs w:val="21"/>
              </w:rPr>
              <w:t>用友新道公司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sz w:val="21"/>
              </w:rPr>
              <w:t>16</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98"/>
              <w:jc w:val="right"/>
              <w:rPr>
                <w:rFonts w:ascii="宋体" w:hAnsi="宋体" w:cs="宋体" w:eastAsia="宋体" w:hint="default"/>
                <w:sz w:val="21"/>
                <w:szCs w:val="21"/>
              </w:rPr>
            </w:pPr>
            <w:r>
              <w:rPr>
                <w:rFonts w:ascii="宋体"/>
                <w:spacing w:val="-1"/>
                <w:sz w:val="21"/>
              </w:rPr>
              <w:t>9573019</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sz w:val="21"/>
              </w:rPr>
              <w:t>2012-7-7</w:t>
            </w:r>
          </w:p>
        </w:tc>
      </w:tr>
      <w:tr>
        <w:trPr>
          <w:trHeight w:val="610"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sz w:val="21"/>
              </w:rPr>
              <w:t>25</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
                <w:szCs w:val="2"/>
              </w:rPr>
            </w:pPr>
          </w:p>
          <w:p>
            <w:pPr>
              <w:pStyle w:val="TableParagraph"/>
              <w:spacing w:line="555" w:lineRule="exact"/>
              <w:ind w:left="220" w:right="-2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1164115" cy="352901"/>
                  <wp:effectExtent l="0" t="0" r="0" b="0"/>
                  <wp:docPr id="47" name="image11.png" descr="9573027图.jpg"/>
                  <wp:cNvGraphicFramePr>
                    <a:graphicFrameLocks noChangeAspect="1"/>
                  </wp:cNvGraphicFramePr>
                  <a:graphic>
                    <a:graphicData uri="http://schemas.openxmlformats.org/drawingml/2006/picture">
                      <pic:pic>
                        <pic:nvPicPr>
                          <pic:cNvPr id="48" name="image11.png"/>
                          <pic:cNvPicPr/>
                        </pic:nvPicPr>
                        <pic:blipFill>
                          <a:blip r:embed="rId23" cstate="print"/>
                          <a:stretch>
                            <a:fillRect/>
                          </a:stretch>
                        </pic:blipFill>
                        <pic:spPr>
                          <a:xfrm>
                            <a:off x="0" y="0"/>
                            <a:ext cx="1164115" cy="352901"/>
                          </a:xfrm>
                          <a:prstGeom prst="rect">
                            <a:avLst/>
                          </a:prstGeom>
                        </pic:spPr>
                      </pic:pic>
                    </a:graphicData>
                  </a:graphic>
                </wp:inline>
              </w:drawing>
            </w:r>
            <w:r>
              <w:rPr>
                <w:rFonts w:ascii="Times New Roman" w:hAnsi="Times New Roman" w:cs="Times New Roman" w:eastAsia="Times New Roman" w:hint="default"/>
                <w:position w:val="-10"/>
                <w:sz w:val="20"/>
                <w:szCs w:val="20"/>
              </w:rPr>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用友新道公司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sz w:val="21"/>
              </w:rPr>
              <w:t>16</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宋体" w:hAnsi="宋体" w:cs="宋体" w:eastAsia="宋体" w:hint="default"/>
                <w:sz w:val="21"/>
                <w:szCs w:val="21"/>
              </w:rPr>
            </w:pPr>
            <w:r>
              <w:rPr>
                <w:rFonts w:ascii="宋体"/>
                <w:spacing w:val="-1"/>
                <w:sz w:val="21"/>
              </w:rPr>
              <w:t>9573027</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sz w:val="21"/>
              </w:rPr>
              <w:t>2012-7-7</w:t>
            </w:r>
          </w:p>
        </w:tc>
      </w:tr>
      <w:tr>
        <w:trPr>
          <w:trHeight w:val="610"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sz w:val="21"/>
              </w:rPr>
              <w:t>26</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555" w:lineRule="exact"/>
              <w:ind w:left="460"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676776" cy="352901"/>
                  <wp:effectExtent l="0" t="0" r="0" b="0"/>
                  <wp:docPr id="49" name="image12.png" descr="9573053图.jpg"/>
                  <wp:cNvGraphicFramePr>
                    <a:graphicFrameLocks noChangeAspect="1"/>
                  </wp:cNvGraphicFramePr>
                  <a:graphic>
                    <a:graphicData uri="http://schemas.openxmlformats.org/drawingml/2006/picture">
                      <pic:pic>
                        <pic:nvPicPr>
                          <pic:cNvPr id="50" name="image12.png"/>
                          <pic:cNvPicPr/>
                        </pic:nvPicPr>
                        <pic:blipFill>
                          <a:blip r:embed="rId24" cstate="print"/>
                          <a:stretch>
                            <a:fillRect/>
                          </a:stretch>
                        </pic:blipFill>
                        <pic:spPr>
                          <a:xfrm>
                            <a:off x="0" y="0"/>
                            <a:ext cx="676776" cy="352901"/>
                          </a:xfrm>
                          <a:prstGeom prst="rect">
                            <a:avLst/>
                          </a:prstGeom>
                        </pic:spPr>
                      </pic:pic>
                    </a:graphicData>
                  </a:graphic>
                </wp:inline>
              </w:drawing>
            </w:r>
            <w:r>
              <w:rPr>
                <w:rFonts w:ascii="Times New Roman" w:hAnsi="Times New Roman" w:cs="Times New Roman" w:eastAsia="Times New Roman" w:hint="default"/>
                <w:position w:val="-10"/>
                <w:sz w:val="20"/>
                <w:szCs w:val="20"/>
              </w:rPr>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用友新道公司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sz w:val="21"/>
              </w:rPr>
              <w:t>16</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宋体" w:hAnsi="宋体" w:cs="宋体" w:eastAsia="宋体" w:hint="default"/>
                <w:sz w:val="21"/>
                <w:szCs w:val="21"/>
              </w:rPr>
            </w:pPr>
            <w:r>
              <w:rPr>
                <w:rFonts w:ascii="宋体"/>
                <w:spacing w:val="-1"/>
                <w:sz w:val="21"/>
              </w:rPr>
              <w:t>9573053</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sz w:val="21"/>
              </w:rPr>
              <w:t>2012-7-7</w:t>
            </w:r>
          </w:p>
        </w:tc>
      </w:tr>
      <w:tr>
        <w:trPr>
          <w:trHeight w:val="610"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sz w:val="21"/>
              </w:rPr>
              <w:t>27</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5"/>
                <w:szCs w:val="5"/>
              </w:rPr>
            </w:pPr>
          </w:p>
          <w:p>
            <w:pPr>
              <w:pStyle w:val="TableParagraph"/>
              <w:spacing w:line="491" w:lineRule="exact"/>
              <w:ind w:left="326"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869467" cy="312039"/>
                  <wp:effectExtent l="0" t="0" r="0" b="0"/>
                  <wp:docPr id="51" name="image13.png" descr="9573134图.jpg"/>
                  <wp:cNvGraphicFramePr>
                    <a:graphicFrameLocks noChangeAspect="1"/>
                  </wp:cNvGraphicFramePr>
                  <a:graphic>
                    <a:graphicData uri="http://schemas.openxmlformats.org/drawingml/2006/picture">
                      <pic:pic>
                        <pic:nvPicPr>
                          <pic:cNvPr id="52" name="image13.png"/>
                          <pic:cNvPicPr/>
                        </pic:nvPicPr>
                        <pic:blipFill>
                          <a:blip r:embed="rId25" cstate="print"/>
                          <a:stretch>
                            <a:fillRect/>
                          </a:stretch>
                        </pic:blipFill>
                        <pic:spPr>
                          <a:xfrm>
                            <a:off x="0" y="0"/>
                            <a:ext cx="869467" cy="312039"/>
                          </a:xfrm>
                          <a:prstGeom prst="rect">
                            <a:avLst/>
                          </a:prstGeom>
                        </pic:spPr>
                      </pic:pic>
                    </a:graphicData>
                  </a:graphic>
                </wp:inline>
              </w:drawing>
            </w:r>
            <w:r>
              <w:rPr>
                <w:rFonts w:ascii="Times New Roman" w:hAnsi="Times New Roman" w:cs="Times New Roman" w:eastAsia="Times New Roman" w:hint="default"/>
                <w:position w:val="-9"/>
                <w:sz w:val="20"/>
                <w:szCs w:val="20"/>
              </w:rPr>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用友新道公司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sz w:val="21"/>
              </w:rPr>
              <w:t>41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宋体" w:hAnsi="宋体" w:cs="宋体" w:eastAsia="宋体" w:hint="default"/>
                <w:sz w:val="21"/>
                <w:szCs w:val="21"/>
              </w:rPr>
            </w:pPr>
            <w:r>
              <w:rPr>
                <w:rFonts w:ascii="宋体"/>
                <w:spacing w:val="-1"/>
                <w:sz w:val="21"/>
              </w:rPr>
              <w:t>9573134</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sz w:val="21"/>
              </w:rPr>
              <w:t>2012-7-7</w:t>
            </w:r>
          </w:p>
        </w:tc>
      </w:tr>
      <w:tr>
        <w:trPr>
          <w:trHeight w:val="610"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sz w:val="21"/>
              </w:rPr>
              <w:t>28</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5"/>
                <w:szCs w:val="5"/>
              </w:rPr>
            </w:pPr>
          </w:p>
          <w:p>
            <w:pPr>
              <w:pStyle w:val="TableParagraph"/>
              <w:spacing w:line="507" w:lineRule="exact"/>
              <w:ind w:left="266"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1081249" cy="321945"/>
                  <wp:effectExtent l="0" t="0" r="0" b="0"/>
                  <wp:docPr id="53" name="image14.png" descr="9573163图.jpg"/>
                  <wp:cNvGraphicFramePr>
                    <a:graphicFrameLocks noChangeAspect="1"/>
                  </wp:cNvGraphicFramePr>
                  <a:graphic>
                    <a:graphicData uri="http://schemas.openxmlformats.org/drawingml/2006/picture">
                      <pic:pic>
                        <pic:nvPicPr>
                          <pic:cNvPr id="54" name="image14.png"/>
                          <pic:cNvPicPr/>
                        </pic:nvPicPr>
                        <pic:blipFill>
                          <a:blip r:embed="rId26" cstate="print"/>
                          <a:stretch>
                            <a:fillRect/>
                          </a:stretch>
                        </pic:blipFill>
                        <pic:spPr>
                          <a:xfrm>
                            <a:off x="0" y="0"/>
                            <a:ext cx="1081249" cy="321945"/>
                          </a:xfrm>
                          <a:prstGeom prst="rect">
                            <a:avLst/>
                          </a:prstGeom>
                        </pic:spPr>
                      </pic:pic>
                    </a:graphicData>
                  </a:graphic>
                </wp:inline>
              </w:drawing>
            </w:r>
            <w:r>
              <w:rPr>
                <w:rFonts w:ascii="Times New Roman" w:hAnsi="Times New Roman" w:cs="Times New Roman" w:eastAsia="Times New Roman" w:hint="default"/>
                <w:position w:val="-9"/>
                <w:sz w:val="20"/>
                <w:szCs w:val="20"/>
              </w:rPr>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用友新道公司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sz w:val="21"/>
              </w:rPr>
              <w:t>41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宋体" w:hAnsi="宋体" w:cs="宋体" w:eastAsia="宋体" w:hint="default"/>
                <w:sz w:val="21"/>
                <w:szCs w:val="21"/>
              </w:rPr>
            </w:pPr>
            <w:r>
              <w:rPr>
                <w:rFonts w:ascii="宋体"/>
                <w:spacing w:val="-1"/>
                <w:sz w:val="21"/>
              </w:rPr>
              <w:t>9573163</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sz w:val="21"/>
              </w:rPr>
              <w:t>2012-7-7</w:t>
            </w:r>
          </w:p>
        </w:tc>
      </w:tr>
      <w:tr>
        <w:trPr>
          <w:trHeight w:val="610"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sz w:val="21"/>
              </w:rPr>
              <w:t>29</w:t>
            </w:r>
          </w:p>
        </w:tc>
        <w:tc>
          <w:tcPr>
            <w:tcW w:w="207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5"/>
                <w:szCs w:val="5"/>
              </w:rPr>
            </w:pPr>
          </w:p>
          <w:p>
            <w:pPr>
              <w:pStyle w:val="TableParagraph"/>
              <w:spacing w:line="556" w:lineRule="exact"/>
              <w:ind w:left="220"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1080601" cy="353568"/>
                  <wp:effectExtent l="0" t="0" r="0" b="0"/>
                  <wp:docPr id="55" name="image15.png" descr="9577816图.jpg"/>
                  <wp:cNvGraphicFramePr>
                    <a:graphicFrameLocks noChangeAspect="1"/>
                  </wp:cNvGraphicFramePr>
                  <a:graphic>
                    <a:graphicData uri="http://schemas.openxmlformats.org/drawingml/2006/picture">
                      <pic:pic>
                        <pic:nvPicPr>
                          <pic:cNvPr id="56" name="image15.png"/>
                          <pic:cNvPicPr/>
                        </pic:nvPicPr>
                        <pic:blipFill>
                          <a:blip r:embed="rId27" cstate="print"/>
                          <a:stretch>
                            <a:fillRect/>
                          </a:stretch>
                        </pic:blipFill>
                        <pic:spPr>
                          <a:xfrm>
                            <a:off x="0" y="0"/>
                            <a:ext cx="1080601" cy="353568"/>
                          </a:xfrm>
                          <a:prstGeom prst="rect">
                            <a:avLst/>
                          </a:prstGeom>
                        </pic:spPr>
                      </pic:pic>
                    </a:graphicData>
                  </a:graphic>
                </wp:inline>
              </w:drawing>
            </w:r>
            <w:r>
              <w:rPr>
                <w:rFonts w:ascii="Times New Roman" w:hAnsi="Times New Roman" w:cs="Times New Roman" w:eastAsia="Times New Roman" w:hint="default"/>
                <w:position w:val="-10"/>
                <w:sz w:val="20"/>
                <w:szCs w:val="20"/>
              </w:rPr>
            </w:r>
          </w:p>
          <w:p>
            <w:pPr>
              <w:pStyle w:val="TableParagraph"/>
              <w:spacing w:line="240" w:lineRule="auto" w:before="7"/>
              <w:ind w:right="0"/>
              <w:jc w:val="left"/>
              <w:rPr>
                <w:rFonts w:ascii="Times New Roman" w:hAnsi="Times New Roman" w:cs="Times New Roman" w:eastAsia="Times New Roman" w:hint="default"/>
                <w:sz w:val="2"/>
                <w:szCs w:val="2"/>
              </w:rPr>
            </w:pPr>
          </w:p>
          <w:p>
            <w:pPr>
              <w:pStyle w:val="TableParagraph"/>
              <w:spacing w:line="519" w:lineRule="exact"/>
              <w:ind w:left="266"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973470" cy="330041"/>
                  <wp:effectExtent l="0" t="0" r="0" b="0"/>
                  <wp:docPr id="57" name="image16.png" descr="9577845图.jpg"/>
                  <wp:cNvGraphicFramePr>
                    <a:graphicFrameLocks noChangeAspect="1"/>
                  </wp:cNvGraphicFramePr>
                  <a:graphic>
                    <a:graphicData uri="http://schemas.openxmlformats.org/drawingml/2006/picture">
                      <pic:pic>
                        <pic:nvPicPr>
                          <pic:cNvPr id="58" name="image16.png"/>
                          <pic:cNvPicPr/>
                        </pic:nvPicPr>
                        <pic:blipFill>
                          <a:blip r:embed="rId28" cstate="print"/>
                          <a:stretch>
                            <a:fillRect/>
                          </a:stretch>
                        </pic:blipFill>
                        <pic:spPr>
                          <a:xfrm>
                            <a:off x="0" y="0"/>
                            <a:ext cx="973470" cy="330041"/>
                          </a:xfrm>
                          <a:prstGeom prst="rect">
                            <a:avLst/>
                          </a:prstGeom>
                        </pic:spPr>
                      </pic:pic>
                    </a:graphicData>
                  </a:graphic>
                </wp:inline>
              </w:drawing>
            </w:r>
            <w:r>
              <w:rPr>
                <w:rFonts w:ascii="Times New Roman" w:hAnsi="Times New Roman" w:cs="Times New Roman" w:eastAsia="Times New Roman" w:hint="default"/>
                <w:position w:val="-9"/>
                <w:sz w:val="20"/>
                <w:szCs w:val="20"/>
              </w:rPr>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hAnsi="宋体" w:cs="宋体" w:eastAsia="宋体" w:hint="default"/>
                <w:sz w:val="21"/>
                <w:szCs w:val="21"/>
              </w:rPr>
              <w:t>用友新道公司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sz w:val="21"/>
              </w:rPr>
              <w:t>41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98"/>
              <w:jc w:val="right"/>
              <w:rPr>
                <w:rFonts w:ascii="宋体" w:hAnsi="宋体" w:cs="宋体" w:eastAsia="宋体" w:hint="default"/>
                <w:sz w:val="21"/>
                <w:szCs w:val="21"/>
              </w:rPr>
            </w:pPr>
            <w:r>
              <w:rPr>
                <w:rFonts w:ascii="宋体"/>
                <w:spacing w:val="-1"/>
                <w:sz w:val="21"/>
              </w:rPr>
              <w:t>9577816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sz w:val="21"/>
              </w:rPr>
              <w:t>2012-7-7</w:t>
            </w:r>
          </w:p>
        </w:tc>
      </w:tr>
      <w:tr>
        <w:trPr>
          <w:trHeight w:val="612"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sz w:val="21"/>
              </w:rPr>
              <w:t>30</w:t>
            </w:r>
          </w:p>
        </w:tc>
        <w:tc>
          <w:tcPr>
            <w:tcW w:w="2076" w:type="dxa"/>
            <w:vMerge/>
            <w:tcBorders>
              <w:left w:val="single" w:sz="4" w:space="0" w:color="000000"/>
              <w:bottom w:val="single" w:sz="4" w:space="0" w:color="000000"/>
              <w:right w:val="single" w:sz="4" w:space="0" w:color="000000"/>
            </w:tcBorders>
          </w:tcPr>
          <w:p>
            <w:pP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hAnsi="宋体" w:cs="宋体" w:eastAsia="宋体" w:hint="default"/>
                <w:sz w:val="21"/>
                <w:szCs w:val="21"/>
              </w:rPr>
              <w:t>用友新道公司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sz w:val="21"/>
              </w:rPr>
              <w:t>42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98"/>
              <w:jc w:val="right"/>
              <w:rPr>
                <w:rFonts w:ascii="宋体" w:hAnsi="宋体" w:cs="宋体" w:eastAsia="宋体" w:hint="default"/>
                <w:sz w:val="21"/>
                <w:szCs w:val="21"/>
              </w:rPr>
            </w:pPr>
            <w:r>
              <w:rPr>
                <w:rFonts w:ascii="宋体"/>
                <w:spacing w:val="-1"/>
                <w:sz w:val="21"/>
              </w:rPr>
              <w:t>9577845</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0"/>
              <w:jc w:val="center"/>
              <w:rPr>
                <w:rFonts w:ascii="宋体" w:hAnsi="宋体" w:cs="宋体" w:eastAsia="宋体" w:hint="default"/>
                <w:sz w:val="21"/>
                <w:szCs w:val="21"/>
              </w:rPr>
            </w:pPr>
            <w:r>
              <w:rPr>
                <w:rFonts w:ascii="宋体"/>
                <w:sz w:val="21"/>
              </w:rPr>
              <w:t>2012-7-7</w:t>
            </w:r>
          </w:p>
        </w:tc>
      </w:tr>
      <w:tr>
        <w:trPr>
          <w:trHeight w:val="610"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sz w:val="21"/>
              </w:rPr>
              <w:t>31</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5"/>
                <w:szCs w:val="5"/>
              </w:rPr>
            </w:pPr>
          </w:p>
          <w:p>
            <w:pPr>
              <w:pStyle w:val="TableParagraph"/>
              <w:spacing w:line="491" w:lineRule="exact"/>
              <w:ind w:left="249"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1087592" cy="312038"/>
                  <wp:effectExtent l="0" t="0" r="0" b="0"/>
                  <wp:docPr id="59" name="image17.png" descr="9577858图.jpg"/>
                  <wp:cNvGraphicFramePr>
                    <a:graphicFrameLocks noChangeAspect="1"/>
                  </wp:cNvGraphicFramePr>
                  <a:graphic>
                    <a:graphicData uri="http://schemas.openxmlformats.org/drawingml/2006/picture">
                      <pic:pic>
                        <pic:nvPicPr>
                          <pic:cNvPr id="60" name="image17.png"/>
                          <pic:cNvPicPr/>
                        </pic:nvPicPr>
                        <pic:blipFill>
                          <a:blip r:embed="rId29" cstate="print"/>
                          <a:stretch>
                            <a:fillRect/>
                          </a:stretch>
                        </pic:blipFill>
                        <pic:spPr>
                          <a:xfrm>
                            <a:off x="0" y="0"/>
                            <a:ext cx="1087592" cy="312038"/>
                          </a:xfrm>
                          <a:prstGeom prst="rect">
                            <a:avLst/>
                          </a:prstGeom>
                        </pic:spPr>
                      </pic:pic>
                    </a:graphicData>
                  </a:graphic>
                </wp:inline>
              </w:drawing>
            </w:r>
            <w:r>
              <w:rPr>
                <w:rFonts w:ascii="Times New Roman" w:hAnsi="Times New Roman" w:cs="Times New Roman" w:eastAsia="Times New Roman" w:hint="default"/>
                <w:position w:val="-9"/>
                <w:sz w:val="20"/>
                <w:szCs w:val="20"/>
              </w:rPr>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用友新道公司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sz w:val="21"/>
              </w:rPr>
              <w:t>42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宋体" w:hAnsi="宋体" w:cs="宋体" w:eastAsia="宋体" w:hint="default"/>
                <w:sz w:val="21"/>
                <w:szCs w:val="21"/>
              </w:rPr>
            </w:pPr>
            <w:r>
              <w:rPr>
                <w:rFonts w:ascii="宋体"/>
                <w:spacing w:val="-1"/>
                <w:sz w:val="21"/>
              </w:rPr>
              <w:t>9577858</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sz w:val="21"/>
              </w:rPr>
              <w:t>2012-7-7</w:t>
            </w:r>
          </w:p>
        </w:tc>
      </w:tr>
      <w:tr>
        <w:trPr>
          <w:trHeight w:val="610" w:hRule="exact"/>
        </w:trPr>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sz w:val="21"/>
              </w:rPr>
              <w:t>32</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3"/>
                <w:szCs w:val="3"/>
              </w:rPr>
            </w:pPr>
          </w:p>
          <w:p>
            <w:pPr>
              <w:pStyle w:val="TableParagraph"/>
              <w:spacing w:line="526" w:lineRule="exact"/>
              <w:ind w:left="429"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679390" cy="334327"/>
                  <wp:effectExtent l="0" t="0" r="0" b="0"/>
                  <wp:docPr id="61" name="image18.png" descr="9577864图.jpg"/>
                  <wp:cNvGraphicFramePr>
                    <a:graphicFrameLocks noChangeAspect="1"/>
                  </wp:cNvGraphicFramePr>
                  <a:graphic>
                    <a:graphicData uri="http://schemas.openxmlformats.org/drawingml/2006/picture">
                      <pic:pic>
                        <pic:nvPicPr>
                          <pic:cNvPr id="62" name="image18.png"/>
                          <pic:cNvPicPr/>
                        </pic:nvPicPr>
                        <pic:blipFill>
                          <a:blip r:embed="rId30" cstate="print"/>
                          <a:stretch>
                            <a:fillRect/>
                          </a:stretch>
                        </pic:blipFill>
                        <pic:spPr>
                          <a:xfrm>
                            <a:off x="0" y="0"/>
                            <a:ext cx="679390" cy="334327"/>
                          </a:xfrm>
                          <a:prstGeom prst="rect">
                            <a:avLst/>
                          </a:prstGeom>
                        </pic:spPr>
                      </pic:pic>
                    </a:graphicData>
                  </a:graphic>
                </wp:inline>
              </w:drawing>
            </w:r>
            <w:r>
              <w:rPr>
                <w:rFonts w:ascii="Times New Roman" w:hAnsi="Times New Roman" w:cs="Times New Roman" w:eastAsia="Times New Roman" w:hint="default"/>
                <w:position w:val="-10"/>
                <w:sz w:val="20"/>
                <w:szCs w:val="20"/>
              </w:rPr>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用友新道公司</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sz w:val="21"/>
              </w:rPr>
              <w:t>42</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8"/>
              <w:jc w:val="right"/>
              <w:rPr>
                <w:rFonts w:ascii="宋体" w:hAnsi="宋体" w:cs="宋体" w:eastAsia="宋体" w:hint="default"/>
                <w:sz w:val="21"/>
                <w:szCs w:val="21"/>
              </w:rPr>
            </w:pPr>
            <w:r>
              <w:rPr>
                <w:rFonts w:ascii="宋体"/>
                <w:spacing w:val="-1"/>
                <w:sz w:val="21"/>
              </w:rPr>
              <w:t>9577864</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sz w:val="21"/>
              </w:rPr>
              <w:t>2012-7-7</w:t>
            </w:r>
          </w:p>
        </w:tc>
      </w:tr>
    </w:tbl>
    <w:p>
      <w:pPr>
        <w:spacing w:after="0" w:line="240" w:lineRule="auto"/>
        <w:jc w:val="center"/>
        <w:rPr>
          <w:rFonts w:ascii="宋体" w:hAnsi="宋体" w:cs="宋体" w:eastAsia="宋体" w:hint="default"/>
          <w:sz w:val="21"/>
          <w:szCs w:val="21"/>
        </w:rPr>
        <w:sectPr>
          <w:pgSz w:w="11910" w:h="16850"/>
          <w:pgMar w:header="752" w:footer="730" w:top="1020" w:bottom="920" w:left="1280" w:right="11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7"/>
          <w:szCs w:val="17"/>
        </w:rPr>
      </w:pPr>
    </w:p>
    <w:p>
      <w:pPr>
        <w:pStyle w:val="Heading1"/>
        <w:spacing w:line="240" w:lineRule="auto"/>
        <w:ind w:left="3253" w:right="188"/>
        <w:jc w:val="left"/>
        <w:rPr>
          <w:b w:val="0"/>
          <w:bCs w:val="0"/>
        </w:rPr>
      </w:pPr>
      <w:bookmarkStart w:name="_TOC_250005" w:id="7"/>
      <w:r>
        <w:rPr/>
        <w:t>第六节 股份变动及股东情况</w:t>
      </w:r>
      <w:bookmarkEnd w:id="7"/>
      <w:r>
        <w:rPr>
          <w:b w:val="0"/>
          <w:bCs w:val="0"/>
        </w:rPr>
      </w:r>
    </w:p>
    <w:p>
      <w:pPr>
        <w:spacing w:line="240" w:lineRule="auto" w:before="0"/>
        <w:rPr>
          <w:rFonts w:ascii="黑体" w:hAnsi="黑体" w:cs="黑体" w:eastAsia="黑体" w:hint="default"/>
          <w:b/>
          <w:bCs/>
          <w:sz w:val="20"/>
          <w:szCs w:val="20"/>
        </w:rPr>
      </w:pPr>
    </w:p>
    <w:p>
      <w:pPr>
        <w:spacing w:line="240" w:lineRule="auto" w:before="9"/>
        <w:rPr>
          <w:rFonts w:ascii="黑体" w:hAnsi="黑体" w:cs="黑体" w:eastAsia="黑体" w:hint="default"/>
          <w:b/>
          <w:bCs/>
          <w:sz w:val="29"/>
          <w:szCs w:val="29"/>
        </w:rPr>
      </w:pPr>
    </w:p>
    <w:p>
      <w:pPr>
        <w:pStyle w:val="Heading2"/>
        <w:spacing w:line="240" w:lineRule="auto" w:before="26"/>
        <w:ind w:right="188"/>
        <w:jc w:val="left"/>
        <w:rPr>
          <w:b w:val="0"/>
          <w:bCs w:val="0"/>
        </w:rPr>
      </w:pPr>
      <w:r>
        <w:rPr/>
        <w:t>一、</w:t>
      </w:r>
      <w:r>
        <w:rPr>
          <w:spacing w:val="-1"/>
        </w:rPr>
        <w:t> </w:t>
      </w:r>
      <w:r>
        <w:rPr/>
        <w:t>股本变动情况</w:t>
      </w:r>
      <w:r>
        <w:rPr>
          <w:b w:val="0"/>
          <w:bCs w:val="0"/>
        </w:rPr>
      </w:r>
    </w:p>
    <w:p>
      <w:pPr>
        <w:pStyle w:val="Heading2"/>
        <w:spacing w:line="240" w:lineRule="auto" w:before="194"/>
        <w:ind w:left="620" w:right="188"/>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
        </w:rPr>
        <w:t> </w:t>
      </w:r>
      <w:r>
        <w:rPr/>
        <w:t>股份变动情况表</w:t>
      </w:r>
      <w:r>
        <w:rPr>
          <w:b w:val="0"/>
          <w:bCs w:val="0"/>
        </w:rPr>
      </w:r>
    </w:p>
    <w:p>
      <w:pPr>
        <w:pStyle w:val="Heading2"/>
        <w:spacing w:line="240" w:lineRule="auto" w:before="194"/>
        <w:ind w:left="620" w:right="188"/>
        <w:jc w:val="left"/>
        <w:rPr>
          <w:b w:val="0"/>
          <w:bCs w:val="0"/>
        </w:rPr>
      </w:pPr>
      <w:r>
        <w:rPr>
          <w:rFonts w:ascii="宋体" w:hAnsi="宋体" w:cs="宋体" w:eastAsia="宋体" w:hint="default"/>
        </w:rPr>
        <w:t>1</w:t>
      </w:r>
      <w:r>
        <w:rPr/>
        <w:t>、股份变动情况表</w:t>
      </w:r>
      <w:r>
        <w:rPr>
          <w:b w:val="0"/>
          <w:bCs w:val="0"/>
        </w:rPr>
      </w:r>
    </w:p>
    <w:p>
      <w:pPr>
        <w:spacing w:line="240" w:lineRule="auto" w:before="5"/>
        <w:rPr>
          <w:rFonts w:ascii="宋体" w:hAnsi="宋体" w:cs="宋体" w:eastAsia="宋体" w:hint="default"/>
          <w:b/>
          <w:bCs/>
          <w:sz w:val="12"/>
          <w:szCs w:val="12"/>
        </w:rPr>
      </w:pPr>
    </w:p>
    <w:p>
      <w:pPr>
        <w:pStyle w:val="Heading5"/>
        <w:spacing w:line="240" w:lineRule="auto"/>
        <w:ind w:right="138"/>
        <w:jc w:val="right"/>
      </w:pPr>
      <w:r>
        <w:rPr>
          <w:spacing w:val="-1"/>
        </w:rPr>
        <w:t>单位：股</w:t>
      </w: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142"/>
        <w:gridCol w:w="1205"/>
        <w:gridCol w:w="502"/>
        <w:gridCol w:w="358"/>
        <w:gridCol w:w="360"/>
        <w:gridCol w:w="1330"/>
        <w:gridCol w:w="708"/>
        <w:gridCol w:w="1207"/>
        <w:gridCol w:w="1855"/>
        <w:gridCol w:w="554"/>
      </w:tblGrid>
      <w:tr>
        <w:trPr>
          <w:trHeight w:val="250" w:hRule="exact"/>
        </w:trPr>
        <w:tc>
          <w:tcPr>
            <w:tcW w:w="1142" w:type="dxa"/>
            <w:vMerge w:val="restart"/>
            <w:tcBorders>
              <w:top w:val="single" w:sz="6" w:space="0" w:color="000000"/>
              <w:left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本次变动前</w:t>
            </w:r>
          </w:p>
        </w:tc>
        <w:tc>
          <w:tcPr>
            <w:tcW w:w="4464" w:type="dxa"/>
            <w:gridSpan w:val="6"/>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23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4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74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948" w:hRule="exact"/>
        </w:trPr>
        <w:tc>
          <w:tcPr>
            <w:tcW w:w="1142" w:type="dxa"/>
            <w:vMerge/>
            <w:tcBorders>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数量</w:t>
            </w:r>
          </w:p>
        </w:tc>
        <w:tc>
          <w:tcPr>
            <w:tcW w:w="50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07" w:right="103" w:firstLine="45"/>
              <w:jc w:val="both"/>
              <w:rPr>
                <w:rFonts w:ascii="宋体" w:hAnsi="宋体" w:cs="宋体" w:eastAsia="宋体" w:hint="default"/>
                <w:sz w:val="18"/>
                <w:szCs w:val="18"/>
              </w:rPr>
            </w:pPr>
            <w:r>
              <w:rPr>
                <w:rFonts w:ascii="宋体" w:hAnsi="宋体" w:cs="宋体" w:eastAsia="宋体" w:hint="default"/>
                <w:sz w:val="18"/>
                <w:szCs w:val="18"/>
              </w:rPr>
              <w:t>比 例 </w:t>
            </w:r>
            <w:r>
              <w:rPr>
                <w:rFonts w:ascii="宋体" w:hAnsi="宋体" w:cs="宋体" w:eastAsia="宋体" w:hint="default"/>
                <w:sz w:val="18"/>
                <w:szCs w:val="18"/>
              </w:rPr>
              <w:t>(%)</w:t>
            </w:r>
          </w:p>
        </w:tc>
        <w:tc>
          <w:tcPr>
            <w:tcW w:w="35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both"/>
              <w:rPr>
                <w:rFonts w:ascii="宋体" w:hAnsi="宋体" w:cs="宋体" w:eastAsia="宋体" w:hint="default"/>
                <w:sz w:val="18"/>
                <w:szCs w:val="18"/>
              </w:rPr>
            </w:pPr>
            <w:r>
              <w:rPr>
                <w:rFonts w:ascii="宋体" w:hAnsi="宋体" w:cs="宋体" w:eastAsia="宋体" w:hint="default"/>
                <w:sz w:val="18"/>
                <w:szCs w:val="18"/>
              </w:rPr>
              <w:t>发</w:t>
            </w:r>
          </w:p>
          <w:p>
            <w:pPr>
              <w:pStyle w:val="TableParagraph"/>
              <w:spacing w:line="237" w:lineRule="auto"/>
              <w:ind w:left="100" w:right="60"/>
              <w:jc w:val="both"/>
              <w:rPr>
                <w:rFonts w:ascii="宋体" w:hAnsi="宋体" w:cs="宋体" w:eastAsia="宋体" w:hint="default"/>
                <w:sz w:val="18"/>
                <w:szCs w:val="18"/>
              </w:rPr>
            </w:pPr>
            <w:r>
              <w:rPr>
                <w:rFonts w:ascii="宋体" w:hAnsi="宋体" w:cs="宋体" w:eastAsia="宋体" w:hint="default"/>
                <w:sz w:val="18"/>
                <w:szCs w:val="18"/>
              </w:rPr>
              <w:t>行 新 股</w:t>
            </w:r>
          </w:p>
        </w:tc>
        <w:tc>
          <w:tcPr>
            <w:tcW w:w="3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0" w:right="62"/>
              <w:jc w:val="left"/>
              <w:rPr>
                <w:rFonts w:ascii="宋体" w:hAnsi="宋体" w:cs="宋体" w:eastAsia="宋体" w:hint="default"/>
                <w:sz w:val="18"/>
                <w:szCs w:val="18"/>
              </w:rPr>
            </w:pPr>
            <w:r>
              <w:rPr>
                <w:rFonts w:ascii="宋体" w:hAnsi="宋体" w:cs="宋体" w:eastAsia="宋体" w:hint="default"/>
                <w:sz w:val="18"/>
                <w:szCs w:val="18"/>
              </w:rPr>
              <w:t>送 股</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132" w:right="132" w:firstLine="45"/>
              <w:jc w:val="both"/>
              <w:rPr>
                <w:rFonts w:ascii="宋体" w:hAnsi="宋体" w:cs="宋体" w:eastAsia="宋体" w:hint="default"/>
                <w:sz w:val="18"/>
                <w:szCs w:val="18"/>
              </w:rPr>
            </w:pPr>
            <w:r>
              <w:rPr>
                <w:rFonts w:ascii="宋体" w:hAnsi="宋体" w:cs="宋体" w:eastAsia="宋体" w:hint="default"/>
                <w:sz w:val="18"/>
                <w:szCs w:val="18"/>
              </w:rPr>
              <w:t>比 例 </w:t>
            </w:r>
            <w:r>
              <w:rPr>
                <w:rFonts w:ascii="宋体" w:hAnsi="宋体" w:cs="宋体" w:eastAsia="宋体" w:hint="default"/>
                <w:sz w:val="18"/>
                <w:szCs w:val="18"/>
              </w:rPr>
              <w:t>(%)</w:t>
            </w:r>
          </w:p>
        </w:tc>
      </w:tr>
      <w:tr>
        <w:trPr>
          <w:trHeight w:val="482" w:hRule="exact"/>
        </w:trPr>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一、有限售</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条件股份</w:t>
            </w:r>
          </w:p>
        </w:tc>
        <w:tc>
          <w:tcPr>
            <w:tcW w:w="1205" w:type="dxa"/>
            <w:tcBorders>
              <w:top w:val="single" w:sz="6" w:space="0" w:color="000000"/>
              <w:left w:val="single" w:sz="6" w:space="0" w:color="000000"/>
              <w:bottom w:val="single" w:sz="6" w:space="0" w:color="000000"/>
              <w:right w:val="single" w:sz="6" w:space="0" w:color="000000"/>
            </w:tcBorders>
          </w:tcPr>
          <w:p>
            <w:pPr/>
          </w:p>
        </w:tc>
        <w:tc>
          <w:tcPr>
            <w:tcW w:w="502" w:type="dxa"/>
            <w:tcBorders>
              <w:top w:val="single" w:sz="6" w:space="0" w:color="000000"/>
              <w:left w:val="single" w:sz="6" w:space="0" w:color="000000"/>
              <w:bottom w:val="single" w:sz="6" w:space="0" w:color="000000"/>
              <w:right w:val="single" w:sz="6" w:space="0" w:color="000000"/>
            </w:tcBorders>
          </w:tcPr>
          <w:p>
            <w:pPr/>
          </w:p>
        </w:tc>
        <w:tc>
          <w:tcPr>
            <w:tcW w:w="358"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
        </w:tc>
        <w:tc>
          <w:tcPr>
            <w:tcW w:w="1855" w:type="dxa"/>
            <w:tcBorders>
              <w:top w:val="single" w:sz="6" w:space="0" w:color="000000"/>
              <w:left w:val="single" w:sz="6" w:space="0" w:color="000000"/>
              <w:bottom w:val="single" w:sz="6" w:space="0" w:color="000000"/>
              <w:right w:val="single" w:sz="6" w:space="0" w:color="000000"/>
            </w:tcBorders>
          </w:tcPr>
          <w:p>
            <w:pPr/>
          </w:p>
        </w:tc>
        <w:tc>
          <w:tcPr>
            <w:tcW w:w="554"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1"/>
                <w:sz w:val="18"/>
                <w:szCs w:val="18"/>
              </w:rPr>
              <w:t>1</w:t>
            </w:r>
            <w:r>
              <w:rPr>
                <w:rFonts w:ascii="宋体" w:hAnsi="宋体" w:cs="宋体" w:eastAsia="宋体" w:hint="default"/>
                <w:spacing w:val="-11"/>
                <w:sz w:val="18"/>
                <w:szCs w:val="18"/>
              </w:rPr>
              <w:t>、国家持股</w:t>
            </w:r>
          </w:p>
        </w:tc>
        <w:tc>
          <w:tcPr>
            <w:tcW w:w="1205" w:type="dxa"/>
            <w:tcBorders>
              <w:top w:val="single" w:sz="6" w:space="0" w:color="000000"/>
              <w:left w:val="single" w:sz="6" w:space="0" w:color="000000"/>
              <w:bottom w:val="single" w:sz="6" w:space="0" w:color="000000"/>
              <w:right w:val="single" w:sz="6" w:space="0" w:color="000000"/>
            </w:tcBorders>
          </w:tcPr>
          <w:p>
            <w:pPr/>
          </w:p>
        </w:tc>
        <w:tc>
          <w:tcPr>
            <w:tcW w:w="502" w:type="dxa"/>
            <w:tcBorders>
              <w:top w:val="single" w:sz="6" w:space="0" w:color="000000"/>
              <w:left w:val="single" w:sz="6" w:space="0" w:color="000000"/>
              <w:bottom w:val="single" w:sz="6" w:space="0" w:color="000000"/>
              <w:right w:val="single" w:sz="6" w:space="0" w:color="000000"/>
            </w:tcBorders>
          </w:tcPr>
          <w:p>
            <w:pPr/>
          </w:p>
        </w:tc>
        <w:tc>
          <w:tcPr>
            <w:tcW w:w="358"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
        </w:tc>
        <w:tc>
          <w:tcPr>
            <w:tcW w:w="1855" w:type="dxa"/>
            <w:tcBorders>
              <w:top w:val="single" w:sz="6" w:space="0" w:color="000000"/>
              <w:left w:val="single" w:sz="6" w:space="0" w:color="000000"/>
              <w:bottom w:val="single" w:sz="6" w:space="0" w:color="000000"/>
              <w:right w:val="single" w:sz="6" w:space="0" w:color="000000"/>
            </w:tcBorders>
          </w:tcPr>
          <w:p>
            <w:pPr/>
          </w:p>
        </w:tc>
        <w:tc>
          <w:tcPr>
            <w:tcW w:w="554"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1"/>
                <w:sz w:val="18"/>
                <w:szCs w:val="18"/>
              </w:rPr>
              <w:t>2</w:t>
            </w:r>
            <w:r>
              <w:rPr>
                <w:rFonts w:ascii="宋体" w:hAnsi="宋体" w:cs="宋体" w:eastAsia="宋体" w:hint="default"/>
                <w:spacing w:val="-11"/>
                <w:sz w:val="18"/>
                <w:szCs w:val="18"/>
              </w:rPr>
              <w:t>、国有法人</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1205" w:type="dxa"/>
            <w:tcBorders>
              <w:top w:val="single" w:sz="6" w:space="0" w:color="000000"/>
              <w:left w:val="single" w:sz="6" w:space="0" w:color="000000"/>
              <w:bottom w:val="single" w:sz="6" w:space="0" w:color="000000"/>
              <w:right w:val="single" w:sz="6" w:space="0" w:color="000000"/>
            </w:tcBorders>
          </w:tcPr>
          <w:p>
            <w:pPr/>
          </w:p>
        </w:tc>
        <w:tc>
          <w:tcPr>
            <w:tcW w:w="502" w:type="dxa"/>
            <w:tcBorders>
              <w:top w:val="single" w:sz="6" w:space="0" w:color="000000"/>
              <w:left w:val="single" w:sz="6" w:space="0" w:color="000000"/>
              <w:bottom w:val="single" w:sz="6" w:space="0" w:color="000000"/>
              <w:right w:val="single" w:sz="6" w:space="0" w:color="000000"/>
            </w:tcBorders>
          </w:tcPr>
          <w:p>
            <w:pPr/>
          </w:p>
        </w:tc>
        <w:tc>
          <w:tcPr>
            <w:tcW w:w="358"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
        </w:tc>
        <w:tc>
          <w:tcPr>
            <w:tcW w:w="1855" w:type="dxa"/>
            <w:tcBorders>
              <w:top w:val="single" w:sz="6" w:space="0" w:color="000000"/>
              <w:left w:val="single" w:sz="6" w:space="0" w:color="000000"/>
              <w:bottom w:val="single" w:sz="6" w:space="0" w:color="000000"/>
              <w:right w:val="single" w:sz="6" w:space="0" w:color="000000"/>
            </w:tcBorders>
          </w:tcPr>
          <w:p>
            <w:pPr/>
          </w:p>
        </w:tc>
        <w:tc>
          <w:tcPr>
            <w:tcW w:w="554"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1"/>
                <w:sz w:val="18"/>
                <w:szCs w:val="18"/>
              </w:rPr>
              <w:t>3</w:t>
            </w:r>
            <w:r>
              <w:rPr>
                <w:rFonts w:ascii="宋体" w:hAnsi="宋体" w:cs="宋体" w:eastAsia="宋体" w:hint="default"/>
                <w:spacing w:val="-11"/>
                <w:sz w:val="18"/>
                <w:szCs w:val="18"/>
              </w:rPr>
              <w:t>、其他内资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1205" w:type="dxa"/>
            <w:tcBorders>
              <w:top w:val="single" w:sz="6" w:space="0" w:color="000000"/>
              <w:left w:val="single" w:sz="6" w:space="0" w:color="000000"/>
              <w:bottom w:val="single" w:sz="6" w:space="0" w:color="000000"/>
              <w:right w:val="single" w:sz="6" w:space="0" w:color="000000"/>
            </w:tcBorders>
          </w:tcPr>
          <w:p>
            <w:pPr/>
          </w:p>
        </w:tc>
        <w:tc>
          <w:tcPr>
            <w:tcW w:w="502" w:type="dxa"/>
            <w:tcBorders>
              <w:top w:val="single" w:sz="6" w:space="0" w:color="000000"/>
              <w:left w:val="single" w:sz="6" w:space="0" w:color="000000"/>
              <w:bottom w:val="single" w:sz="6" w:space="0" w:color="000000"/>
              <w:right w:val="single" w:sz="6" w:space="0" w:color="000000"/>
            </w:tcBorders>
          </w:tcPr>
          <w:p>
            <w:pPr/>
          </w:p>
        </w:tc>
        <w:tc>
          <w:tcPr>
            <w:tcW w:w="358"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
        </w:tc>
        <w:tc>
          <w:tcPr>
            <w:tcW w:w="1855" w:type="dxa"/>
            <w:tcBorders>
              <w:top w:val="single" w:sz="6" w:space="0" w:color="000000"/>
              <w:left w:val="single" w:sz="6" w:space="0" w:color="000000"/>
              <w:bottom w:val="single" w:sz="6" w:space="0" w:color="000000"/>
              <w:right w:val="single" w:sz="6" w:space="0" w:color="000000"/>
            </w:tcBorders>
          </w:tcPr>
          <w:p>
            <w:pPr/>
          </w:p>
        </w:tc>
        <w:tc>
          <w:tcPr>
            <w:tcW w:w="554"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64"/>
                <w:sz w:val="18"/>
                <w:szCs w:val="18"/>
              </w:rPr>
              <w:t> </w:t>
            </w:r>
            <w:r>
              <w:rPr>
                <w:rFonts w:ascii="宋体" w:hAnsi="宋体" w:cs="宋体" w:eastAsia="宋体" w:hint="default"/>
                <w:sz w:val="18"/>
                <w:szCs w:val="18"/>
              </w:rPr>
              <w:t>境内</w:t>
            </w:r>
          </w:p>
          <w:p>
            <w:pPr>
              <w:pStyle w:val="TableParagraph"/>
              <w:spacing w:line="232" w:lineRule="exact" w:before="24"/>
              <w:ind w:left="100" w:right="125"/>
              <w:jc w:val="left"/>
              <w:rPr>
                <w:rFonts w:ascii="宋体" w:hAnsi="宋体" w:cs="宋体" w:eastAsia="宋体" w:hint="default"/>
                <w:sz w:val="18"/>
                <w:szCs w:val="18"/>
              </w:rPr>
            </w:pPr>
            <w:r>
              <w:rPr>
                <w:rFonts w:ascii="宋体" w:hAnsi="宋体" w:cs="宋体" w:eastAsia="宋体" w:hint="default"/>
                <w:sz w:val="18"/>
                <w:szCs w:val="18"/>
              </w:rPr>
              <w:t>非国有法人 持股</w:t>
            </w:r>
          </w:p>
        </w:tc>
        <w:tc>
          <w:tcPr>
            <w:tcW w:w="1205" w:type="dxa"/>
            <w:tcBorders>
              <w:top w:val="single" w:sz="6" w:space="0" w:color="000000"/>
              <w:left w:val="single" w:sz="6" w:space="0" w:color="000000"/>
              <w:bottom w:val="single" w:sz="6" w:space="0" w:color="000000"/>
              <w:right w:val="single" w:sz="6" w:space="0" w:color="000000"/>
            </w:tcBorders>
          </w:tcPr>
          <w:p>
            <w:pPr/>
          </w:p>
        </w:tc>
        <w:tc>
          <w:tcPr>
            <w:tcW w:w="502" w:type="dxa"/>
            <w:tcBorders>
              <w:top w:val="single" w:sz="6" w:space="0" w:color="000000"/>
              <w:left w:val="single" w:sz="6" w:space="0" w:color="000000"/>
              <w:bottom w:val="single" w:sz="6" w:space="0" w:color="000000"/>
              <w:right w:val="single" w:sz="6" w:space="0" w:color="000000"/>
            </w:tcBorders>
          </w:tcPr>
          <w:p>
            <w:pPr/>
          </w:p>
        </w:tc>
        <w:tc>
          <w:tcPr>
            <w:tcW w:w="358"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
        </w:tc>
        <w:tc>
          <w:tcPr>
            <w:tcW w:w="1855" w:type="dxa"/>
            <w:tcBorders>
              <w:top w:val="single" w:sz="6" w:space="0" w:color="000000"/>
              <w:left w:val="single" w:sz="6" w:space="0" w:color="000000"/>
              <w:bottom w:val="single" w:sz="6" w:space="0" w:color="000000"/>
              <w:right w:val="single" w:sz="6" w:space="0" w:color="000000"/>
            </w:tcBorders>
          </w:tcPr>
          <w:p>
            <w:pPr/>
          </w:p>
        </w:tc>
        <w:tc>
          <w:tcPr>
            <w:tcW w:w="554"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firstLine="542"/>
              <w:jc w:val="left"/>
              <w:rPr>
                <w:rFonts w:ascii="宋体" w:hAnsi="宋体" w:cs="宋体" w:eastAsia="宋体" w:hint="default"/>
                <w:sz w:val="18"/>
                <w:szCs w:val="18"/>
              </w:rPr>
            </w:pPr>
            <w:r>
              <w:rPr>
                <w:rFonts w:ascii="宋体" w:hAnsi="宋体" w:cs="宋体" w:eastAsia="宋体" w:hint="default"/>
                <w:sz w:val="18"/>
                <w:szCs w:val="18"/>
              </w:rPr>
              <w:t>境内</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自然人持股</w:t>
            </w:r>
          </w:p>
        </w:tc>
        <w:tc>
          <w:tcPr>
            <w:tcW w:w="1205" w:type="dxa"/>
            <w:tcBorders>
              <w:top w:val="single" w:sz="6" w:space="0" w:color="000000"/>
              <w:left w:val="single" w:sz="6" w:space="0" w:color="000000"/>
              <w:bottom w:val="single" w:sz="6" w:space="0" w:color="000000"/>
              <w:right w:val="single" w:sz="6" w:space="0" w:color="000000"/>
            </w:tcBorders>
          </w:tcPr>
          <w:p>
            <w:pPr/>
          </w:p>
        </w:tc>
        <w:tc>
          <w:tcPr>
            <w:tcW w:w="502" w:type="dxa"/>
            <w:tcBorders>
              <w:top w:val="single" w:sz="6" w:space="0" w:color="000000"/>
              <w:left w:val="single" w:sz="6" w:space="0" w:color="000000"/>
              <w:bottom w:val="single" w:sz="6" w:space="0" w:color="000000"/>
              <w:right w:val="single" w:sz="6" w:space="0" w:color="000000"/>
            </w:tcBorders>
          </w:tcPr>
          <w:p>
            <w:pPr/>
          </w:p>
        </w:tc>
        <w:tc>
          <w:tcPr>
            <w:tcW w:w="358"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
        </w:tc>
        <w:tc>
          <w:tcPr>
            <w:tcW w:w="1855" w:type="dxa"/>
            <w:tcBorders>
              <w:top w:val="single" w:sz="6" w:space="0" w:color="000000"/>
              <w:left w:val="single" w:sz="6" w:space="0" w:color="000000"/>
              <w:bottom w:val="single" w:sz="6" w:space="0" w:color="000000"/>
              <w:right w:val="single" w:sz="6" w:space="0" w:color="000000"/>
            </w:tcBorders>
          </w:tcPr>
          <w:p>
            <w:pPr/>
          </w:p>
        </w:tc>
        <w:tc>
          <w:tcPr>
            <w:tcW w:w="554"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1"/>
                <w:sz w:val="18"/>
                <w:szCs w:val="18"/>
              </w:rPr>
              <w:t>4</w:t>
            </w:r>
            <w:r>
              <w:rPr>
                <w:rFonts w:ascii="宋体" w:hAnsi="宋体" w:cs="宋体" w:eastAsia="宋体" w:hint="default"/>
                <w:spacing w:val="-11"/>
                <w:sz w:val="18"/>
                <w:szCs w:val="18"/>
              </w:rPr>
              <w:t>、外资持股</w:t>
            </w:r>
          </w:p>
        </w:tc>
        <w:tc>
          <w:tcPr>
            <w:tcW w:w="1205" w:type="dxa"/>
            <w:tcBorders>
              <w:top w:val="single" w:sz="6" w:space="0" w:color="000000"/>
              <w:left w:val="single" w:sz="6" w:space="0" w:color="000000"/>
              <w:bottom w:val="single" w:sz="6" w:space="0" w:color="000000"/>
              <w:right w:val="single" w:sz="6" w:space="0" w:color="000000"/>
            </w:tcBorders>
          </w:tcPr>
          <w:p>
            <w:pPr/>
          </w:p>
        </w:tc>
        <w:tc>
          <w:tcPr>
            <w:tcW w:w="502" w:type="dxa"/>
            <w:tcBorders>
              <w:top w:val="single" w:sz="6" w:space="0" w:color="000000"/>
              <w:left w:val="single" w:sz="6" w:space="0" w:color="000000"/>
              <w:bottom w:val="single" w:sz="6" w:space="0" w:color="000000"/>
              <w:right w:val="single" w:sz="6" w:space="0" w:color="000000"/>
            </w:tcBorders>
          </w:tcPr>
          <w:p>
            <w:pPr/>
          </w:p>
        </w:tc>
        <w:tc>
          <w:tcPr>
            <w:tcW w:w="358"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
        </w:tc>
        <w:tc>
          <w:tcPr>
            <w:tcW w:w="1855" w:type="dxa"/>
            <w:tcBorders>
              <w:top w:val="single" w:sz="6" w:space="0" w:color="000000"/>
              <w:left w:val="single" w:sz="6" w:space="0" w:color="000000"/>
              <w:bottom w:val="single" w:sz="6" w:space="0" w:color="000000"/>
              <w:right w:val="single" w:sz="6" w:space="0" w:color="000000"/>
            </w:tcBorders>
          </w:tcPr>
          <w:p>
            <w:pPr/>
          </w:p>
        </w:tc>
        <w:tc>
          <w:tcPr>
            <w:tcW w:w="554"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64"/>
                <w:sz w:val="18"/>
                <w:szCs w:val="18"/>
              </w:rPr>
              <w:t> </w:t>
            </w:r>
            <w:r>
              <w:rPr>
                <w:rFonts w:ascii="宋体" w:hAnsi="宋体" w:cs="宋体" w:eastAsia="宋体" w:hint="default"/>
                <w:sz w:val="18"/>
                <w:szCs w:val="18"/>
              </w:rPr>
              <w:t>境外</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法人持股</w:t>
            </w:r>
          </w:p>
        </w:tc>
        <w:tc>
          <w:tcPr>
            <w:tcW w:w="1205" w:type="dxa"/>
            <w:tcBorders>
              <w:top w:val="single" w:sz="6" w:space="0" w:color="000000"/>
              <w:left w:val="single" w:sz="6" w:space="0" w:color="000000"/>
              <w:bottom w:val="single" w:sz="6" w:space="0" w:color="000000"/>
              <w:right w:val="single" w:sz="6" w:space="0" w:color="000000"/>
            </w:tcBorders>
          </w:tcPr>
          <w:p>
            <w:pPr/>
          </w:p>
        </w:tc>
        <w:tc>
          <w:tcPr>
            <w:tcW w:w="502" w:type="dxa"/>
            <w:tcBorders>
              <w:top w:val="single" w:sz="6" w:space="0" w:color="000000"/>
              <w:left w:val="single" w:sz="6" w:space="0" w:color="000000"/>
              <w:bottom w:val="single" w:sz="6" w:space="0" w:color="000000"/>
              <w:right w:val="single" w:sz="6" w:space="0" w:color="000000"/>
            </w:tcBorders>
          </w:tcPr>
          <w:p>
            <w:pPr/>
          </w:p>
        </w:tc>
        <w:tc>
          <w:tcPr>
            <w:tcW w:w="358"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
        </w:tc>
        <w:tc>
          <w:tcPr>
            <w:tcW w:w="1855" w:type="dxa"/>
            <w:tcBorders>
              <w:top w:val="single" w:sz="6" w:space="0" w:color="000000"/>
              <w:left w:val="single" w:sz="6" w:space="0" w:color="000000"/>
              <w:bottom w:val="single" w:sz="6" w:space="0" w:color="000000"/>
              <w:right w:val="single" w:sz="6" w:space="0" w:color="000000"/>
            </w:tcBorders>
          </w:tcPr>
          <w:p>
            <w:pPr/>
          </w:p>
        </w:tc>
        <w:tc>
          <w:tcPr>
            <w:tcW w:w="554"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firstLine="542"/>
              <w:jc w:val="left"/>
              <w:rPr>
                <w:rFonts w:ascii="宋体" w:hAnsi="宋体" w:cs="宋体" w:eastAsia="宋体" w:hint="default"/>
                <w:sz w:val="18"/>
                <w:szCs w:val="18"/>
              </w:rPr>
            </w:pPr>
            <w:r>
              <w:rPr>
                <w:rFonts w:ascii="宋体" w:hAnsi="宋体" w:cs="宋体" w:eastAsia="宋体" w:hint="default"/>
                <w:sz w:val="18"/>
                <w:szCs w:val="18"/>
              </w:rPr>
              <w:t>境外</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自然人持股</w:t>
            </w:r>
          </w:p>
        </w:tc>
        <w:tc>
          <w:tcPr>
            <w:tcW w:w="1205" w:type="dxa"/>
            <w:tcBorders>
              <w:top w:val="single" w:sz="6" w:space="0" w:color="000000"/>
              <w:left w:val="single" w:sz="6" w:space="0" w:color="000000"/>
              <w:bottom w:val="single" w:sz="6" w:space="0" w:color="000000"/>
              <w:right w:val="single" w:sz="6" w:space="0" w:color="000000"/>
            </w:tcBorders>
          </w:tcPr>
          <w:p>
            <w:pPr/>
          </w:p>
        </w:tc>
        <w:tc>
          <w:tcPr>
            <w:tcW w:w="502" w:type="dxa"/>
            <w:tcBorders>
              <w:top w:val="single" w:sz="6" w:space="0" w:color="000000"/>
              <w:left w:val="single" w:sz="6" w:space="0" w:color="000000"/>
              <w:bottom w:val="single" w:sz="6" w:space="0" w:color="000000"/>
              <w:right w:val="single" w:sz="6" w:space="0" w:color="000000"/>
            </w:tcBorders>
          </w:tcPr>
          <w:p>
            <w:pPr/>
          </w:p>
        </w:tc>
        <w:tc>
          <w:tcPr>
            <w:tcW w:w="358"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
        </w:tc>
        <w:tc>
          <w:tcPr>
            <w:tcW w:w="1855" w:type="dxa"/>
            <w:tcBorders>
              <w:top w:val="single" w:sz="6" w:space="0" w:color="000000"/>
              <w:left w:val="single" w:sz="6" w:space="0" w:color="000000"/>
              <w:bottom w:val="single" w:sz="6" w:space="0" w:color="000000"/>
              <w:right w:val="single" w:sz="6" w:space="0" w:color="000000"/>
            </w:tcBorders>
          </w:tcPr>
          <w:p>
            <w:pPr/>
          </w:p>
        </w:tc>
        <w:tc>
          <w:tcPr>
            <w:tcW w:w="554" w:type="dxa"/>
            <w:tcBorders>
              <w:top w:val="single" w:sz="6" w:space="0" w:color="000000"/>
              <w:left w:val="single" w:sz="6" w:space="0" w:color="000000"/>
              <w:bottom w:val="single" w:sz="6" w:space="0" w:color="000000"/>
              <w:right w:val="single" w:sz="6" w:space="0" w:color="000000"/>
            </w:tcBorders>
          </w:tcPr>
          <w:p>
            <w:pPr/>
          </w:p>
        </w:tc>
      </w:tr>
      <w:tr>
        <w:trPr>
          <w:trHeight w:val="715" w:hRule="exact"/>
        </w:trPr>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二、无限售</w:t>
            </w:r>
          </w:p>
          <w:p>
            <w:pPr>
              <w:pStyle w:val="TableParagraph"/>
              <w:spacing w:line="232" w:lineRule="exact" w:before="24"/>
              <w:ind w:left="100" w:right="125"/>
              <w:jc w:val="left"/>
              <w:rPr>
                <w:rFonts w:ascii="宋体" w:hAnsi="宋体" w:cs="宋体" w:eastAsia="宋体" w:hint="default"/>
                <w:sz w:val="18"/>
                <w:szCs w:val="18"/>
              </w:rPr>
            </w:pPr>
            <w:r>
              <w:rPr>
                <w:rFonts w:ascii="宋体" w:hAnsi="宋体" w:cs="宋体" w:eastAsia="宋体" w:hint="default"/>
                <w:sz w:val="18"/>
                <w:szCs w:val="18"/>
              </w:rPr>
              <w:t>条件流通股 份</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815,903,367</w:t>
            </w:r>
          </w:p>
        </w:tc>
        <w:tc>
          <w:tcPr>
            <w:tcW w:w="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sz w:val="18"/>
              </w:rPr>
              <w:t>100</w:t>
            </w:r>
          </w:p>
        </w:tc>
        <w:tc>
          <w:tcPr>
            <w:tcW w:w="358"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sz w:val="18"/>
              </w:rPr>
              <w:t>163,180,673</w:t>
            </w:r>
          </w:p>
        </w:tc>
        <w:tc>
          <w:tcPr>
            <w:tcW w:w="708"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163,180,673</w:t>
            </w:r>
          </w:p>
        </w:tc>
        <w:tc>
          <w:tcPr>
            <w:tcW w:w="1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sz w:val="18"/>
              </w:rPr>
              <w:t>979,084,040</w:t>
            </w:r>
          </w:p>
        </w:tc>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5"/>
              <w:jc w:val="right"/>
              <w:rPr>
                <w:rFonts w:ascii="宋体" w:hAnsi="宋体" w:cs="宋体" w:eastAsia="宋体" w:hint="default"/>
                <w:sz w:val="18"/>
                <w:szCs w:val="18"/>
              </w:rPr>
            </w:pPr>
            <w:r>
              <w:rPr>
                <w:rFonts w:ascii="宋体"/>
                <w:sz w:val="18"/>
              </w:rPr>
              <w:t>100</w:t>
            </w:r>
          </w:p>
        </w:tc>
      </w:tr>
      <w:tr>
        <w:trPr>
          <w:trHeight w:val="482" w:hRule="exact"/>
        </w:trPr>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1"/>
                <w:sz w:val="18"/>
                <w:szCs w:val="18"/>
              </w:rPr>
              <w:t>1</w:t>
            </w:r>
            <w:r>
              <w:rPr>
                <w:rFonts w:ascii="宋体" w:hAnsi="宋体" w:cs="宋体" w:eastAsia="宋体" w:hint="default"/>
                <w:spacing w:val="-11"/>
                <w:sz w:val="18"/>
                <w:szCs w:val="18"/>
              </w:rPr>
              <w:t>、人民币普</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815,903,367</w:t>
            </w:r>
          </w:p>
        </w:tc>
        <w:tc>
          <w:tcPr>
            <w:tcW w:w="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100</w:t>
            </w:r>
          </w:p>
        </w:tc>
        <w:tc>
          <w:tcPr>
            <w:tcW w:w="358"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23" w:right="0"/>
              <w:jc w:val="left"/>
              <w:rPr>
                <w:rFonts w:ascii="宋体" w:hAnsi="宋体" w:cs="宋体" w:eastAsia="宋体" w:hint="default"/>
                <w:sz w:val="18"/>
                <w:szCs w:val="18"/>
              </w:rPr>
            </w:pPr>
            <w:r>
              <w:rPr>
                <w:rFonts w:ascii="宋体"/>
                <w:sz w:val="18"/>
              </w:rPr>
              <w:t>163,180,673</w:t>
            </w:r>
          </w:p>
        </w:tc>
        <w:tc>
          <w:tcPr>
            <w:tcW w:w="708"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sz w:val="18"/>
              </w:rPr>
              <w:t>163,180,673</w:t>
            </w:r>
          </w:p>
        </w:tc>
        <w:tc>
          <w:tcPr>
            <w:tcW w:w="1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46" w:right="0"/>
              <w:jc w:val="left"/>
              <w:rPr>
                <w:rFonts w:ascii="宋体" w:hAnsi="宋体" w:cs="宋体" w:eastAsia="宋体" w:hint="default"/>
                <w:sz w:val="18"/>
                <w:szCs w:val="18"/>
              </w:rPr>
            </w:pPr>
            <w:r>
              <w:rPr>
                <w:rFonts w:ascii="宋体"/>
                <w:sz w:val="18"/>
              </w:rPr>
              <w:t>979,084,040</w:t>
            </w:r>
          </w:p>
        </w:tc>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z w:val="18"/>
              </w:rPr>
              <w:t>100</w:t>
            </w:r>
          </w:p>
        </w:tc>
      </w:tr>
      <w:tr>
        <w:trPr>
          <w:trHeight w:val="482" w:hRule="exact"/>
        </w:trPr>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1"/>
                <w:sz w:val="18"/>
                <w:szCs w:val="18"/>
              </w:rPr>
              <w:t>2</w:t>
            </w:r>
            <w:r>
              <w:rPr>
                <w:rFonts w:ascii="宋体" w:hAnsi="宋体" w:cs="宋体" w:eastAsia="宋体" w:hint="default"/>
                <w:spacing w:val="-11"/>
                <w:sz w:val="18"/>
                <w:szCs w:val="18"/>
              </w:rPr>
              <w:t>、境内上市</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的外资股</w:t>
            </w:r>
          </w:p>
        </w:tc>
        <w:tc>
          <w:tcPr>
            <w:tcW w:w="1205" w:type="dxa"/>
            <w:tcBorders>
              <w:top w:val="single" w:sz="6" w:space="0" w:color="000000"/>
              <w:left w:val="single" w:sz="6" w:space="0" w:color="000000"/>
              <w:bottom w:val="single" w:sz="6" w:space="0" w:color="000000"/>
              <w:right w:val="single" w:sz="6" w:space="0" w:color="000000"/>
            </w:tcBorders>
          </w:tcPr>
          <w:p>
            <w:pPr/>
          </w:p>
        </w:tc>
        <w:tc>
          <w:tcPr>
            <w:tcW w:w="502" w:type="dxa"/>
            <w:tcBorders>
              <w:top w:val="single" w:sz="6" w:space="0" w:color="000000"/>
              <w:left w:val="single" w:sz="6" w:space="0" w:color="000000"/>
              <w:bottom w:val="single" w:sz="6" w:space="0" w:color="000000"/>
              <w:right w:val="single" w:sz="6" w:space="0" w:color="000000"/>
            </w:tcBorders>
          </w:tcPr>
          <w:p>
            <w:pPr/>
          </w:p>
        </w:tc>
        <w:tc>
          <w:tcPr>
            <w:tcW w:w="358"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
        </w:tc>
        <w:tc>
          <w:tcPr>
            <w:tcW w:w="1855" w:type="dxa"/>
            <w:tcBorders>
              <w:top w:val="single" w:sz="6" w:space="0" w:color="000000"/>
              <w:left w:val="single" w:sz="6" w:space="0" w:color="000000"/>
              <w:bottom w:val="single" w:sz="6" w:space="0" w:color="000000"/>
              <w:right w:val="single" w:sz="6" w:space="0" w:color="000000"/>
            </w:tcBorders>
          </w:tcPr>
          <w:p>
            <w:pPr/>
          </w:p>
        </w:tc>
        <w:tc>
          <w:tcPr>
            <w:tcW w:w="554"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1"/>
                <w:sz w:val="18"/>
                <w:szCs w:val="18"/>
              </w:rPr>
              <w:t>3</w:t>
            </w:r>
            <w:r>
              <w:rPr>
                <w:rFonts w:ascii="宋体" w:hAnsi="宋体" w:cs="宋体" w:eastAsia="宋体" w:hint="default"/>
                <w:spacing w:val="-11"/>
                <w:sz w:val="18"/>
                <w:szCs w:val="18"/>
              </w:rPr>
              <w:t>、境外上市</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的外资股</w:t>
            </w:r>
          </w:p>
        </w:tc>
        <w:tc>
          <w:tcPr>
            <w:tcW w:w="1205" w:type="dxa"/>
            <w:tcBorders>
              <w:top w:val="single" w:sz="6" w:space="0" w:color="000000"/>
              <w:left w:val="single" w:sz="6" w:space="0" w:color="000000"/>
              <w:bottom w:val="single" w:sz="6" w:space="0" w:color="000000"/>
              <w:right w:val="single" w:sz="6" w:space="0" w:color="000000"/>
            </w:tcBorders>
          </w:tcPr>
          <w:p>
            <w:pPr/>
          </w:p>
        </w:tc>
        <w:tc>
          <w:tcPr>
            <w:tcW w:w="502" w:type="dxa"/>
            <w:tcBorders>
              <w:top w:val="single" w:sz="6" w:space="0" w:color="000000"/>
              <w:left w:val="single" w:sz="6" w:space="0" w:color="000000"/>
              <w:bottom w:val="single" w:sz="6" w:space="0" w:color="000000"/>
              <w:right w:val="single" w:sz="6" w:space="0" w:color="000000"/>
            </w:tcBorders>
          </w:tcPr>
          <w:p>
            <w:pPr/>
          </w:p>
        </w:tc>
        <w:tc>
          <w:tcPr>
            <w:tcW w:w="358"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
        </w:tc>
        <w:tc>
          <w:tcPr>
            <w:tcW w:w="1855" w:type="dxa"/>
            <w:tcBorders>
              <w:top w:val="single" w:sz="6" w:space="0" w:color="000000"/>
              <w:left w:val="single" w:sz="6" w:space="0" w:color="000000"/>
              <w:bottom w:val="single" w:sz="6" w:space="0" w:color="000000"/>
              <w:right w:val="single" w:sz="6" w:space="0" w:color="000000"/>
            </w:tcBorders>
          </w:tcPr>
          <w:p>
            <w:pPr/>
          </w:p>
        </w:tc>
        <w:tc>
          <w:tcPr>
            <w:tcW w:w="554"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05" w:type="dxa"/>
            <w:tcBorders>
              <w:top w:val="single" w:sz="6" w:space="0" w:color="000000"/>
              <w:left w:val="single" w:sz="6" w:space="0" w:color="000000"/>
              <w:bottom w:val="single" w:sz="6" w:space="0" w:color="000000"/>
              <w:right w:val="single" w:sz="6" w:space="0" w:color="000000"/>
            </w:tcBorders>
          </w:tcPr>
          <w:p>
            <w:pPr/>
          </w:p>
        </w:tc>
        <w:tc>
          <w:tcPr>
            <w:tcW w:w="502" w:type="dxa"/>
            <w:tcBorders>
              <w:top w:val="single" w:sz="6" w:space="0" w:color="000000"/>
              <w:left w:val="single" w:sz="6" w:space="0" w:color="000000"/>
              <w:bottom w:val="single" w:sz="6" w:space="0" w:color="000000"/>
              <w:right w:val="single" w:sz="6" w:space="0" w:color="000000"/>
            </w:tcBorders>
          </w:tcPr>
          <w:p>
            <w:pPr/>
          </w:p>
        </w:tc>
        <w:tc>
          <w:tcPr>
            <w:tcW w:w="358"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
        </w:tc>
        <w:tc>
          <w:tcPr>
            <w:tcW w:w="1855" w:type="dxa"/>
            <w:tcBorders>
              <w:top w:val="single" w:sz="6" w:space="0" w:color="000000"/>
              <w:left w:val="single" w:sz="6" w:space="0" w:color="000000"/>
              <w:bottom w:val="single" w:sz="6" w:space="0" w:color="000000"/>
              <w:right w:val="single" w:sz="6" w:space="0" w:color="000000"/>
            </w:tcBorders>
          </w:tcPr>
          <w:p>
            <w:pPr/>
          </w:p>
        </w:tc>
        <w:tc>
          <w:tcPr>
            <w:tcW w:w="554"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三、股份总</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数</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815,903,367</w:t>
            </w:r>
          </w:p>
        </w:tc>
        <w:tc>
          <w:tcPr>
            <w:tcW w:w="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100</w:t>
            </w:r>
          </w:p>
        </w:tc>
        <w:tc>
          <w:tcPr>
            <w:tcW w:w="358" w:type="dxa"/>
            <w:tcBorders>
              <w:top w:val="single" w:sz="6" w:space="0" w:color="000000"/>
              <w:left w:val="single" w:sz="6" w:space="0" w:color="000000"/>
              <w:bottom w:val="single" w:sz="6" w:space="0" w:color="000000"/>
              <w:right w:val="single" w:sz="6" w:space="0" w:color="000000"/>
            </w:tcBorders>
          </w:tcPr>
          <w:p>
            <w:pPr/>
          </w:p>
        </w:tc>
        <w:tc>
          <w:tcPr>
            <w:tcW w:w="360" w:type="dxa"/>
            <w:tcBorders>
              <w:top w:val="single" w:sz="6" w:space="0" w:color="000000"/>
              <w:left w:val="single" w:sz="6" w:space="0" w:color="000000"/>
              <w:bottom w:val="single" w:sz="6" w:space="0" w:color="000000"/>
              <w:right w:val="single" w:sz="6" w:space="0" w:color="000000"/>
            </w:tcBorders>
          </w:tcPr>
          <w:p>
            <w:pP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23" w:right="0"/>
              <w:jc w:val="left"/>
              <w:rPr>
                <w:rFonts w:ascii="宋体" w:hAnsi="宋体" w:cs="宋体" w:eastAsia="宋体" w:hint="default"/>
                <w:sz w:val="18"/>
                <w:szCs w:val="18"/>
              </w:rPr>
            </w:pPr>
            <w:r>
              <w:rPr>
                <w:rFonts w:ascii="宋体"/>
                <w:sz w:val="18"/>
              </w:rPr>
              <w:t>163,180,673</w:t>
            </w:r>
          </w:p>
        </w:tc>
        <w:tc>
          <w:tcPr>
            <w:tcW w:w="708" w:type="dxa"/>
            <w:tcBorders>
              <w:top w:val="single" w:sz="6" w:space="0" w:color="000000"/>
              <w:left w:val="single" w:sz="6" w:space="0" w:color="000000"/>
              <w:bottom w:val="single" w:sz="6" w:space="0" w:color="000000"/>
              <w:right w:val="single" w:sz="6" w:space="0" w:color="000000"/>
            </w:tcBorders>
          </w:tcPr>
          <w:p>
            <w:pPr/>
          </w:p>
        </w:tc>
        <w:tc>
          <w:tcPr>
            <w:tcW w:w="1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sz w:val="18"/>
              </w:rPr>
              <w:t>163,180,673</w:t>
            </w:r>
          </w:p>
        </w:tc>
        <w:tc>
          <w:tcPr>
            <w:tcW w:w="1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46" w:right="0"/>
              <w:jc w:val="left"/>
              <w:rPr>
                <w:rFonts w:ascii="宋体" w:hAnsi="宋体" w:cs="宋体" w:eastAsia="宋体" w:hint="default"/>
                <w:sz w:val="18"/>
                <w:szCs w:val="18"/>
              </w:rPr>
            </w:pPr>
            <w:r>
              <w:rPr>
                <w:rFonts w:ascii="宋体"/>
                <w:sz w:val="18"/>
              </w:rPr>
              <w:t>979,084,040</w:t>
            </w:r>
          </w:p>
        </w:tc>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95"/>
              <w:jc w:val="right"/>
              <w:rPr>
                <w:rFonts w:ascii="宋体" w:hAnsi="宋体" w:cs="宋体" w:eastAsia="宋体" w:hint="default"/>
                <w:sz w:val="18"/>
                <w:szCs w:val="18"/>
              </w:rPr>
            </w:pPr>
            <w:r>
              <w:rPr>
                <w:rFonts w:ascii="宋体"/>
                <w:sz w:val="18"/>
              </w:rPr>
              <w:t>100</w:t>
            </w:r>
          </w:p>
        </w:tc>
      </w:tr>
    </w:tbl>
    <w:p>
      <w:pPr>
        <w:pStyle w:val="Heading2"/>
        <w:spacing w:line="240" w:lineRule="auto" w:before="82"/>
        <w:ind w:left="620" w:right="188"/>
        <w:jc w:val="left"/>
        <w:rPr>
          <w:b w:val="0"/>
          <w:bCs w:val="0"/>
        </w:rPr>
      </w:pPr>
      <w:r>
        <w:rPr>
          <w:rFonts w:ascii="宋体" w:hAnsi="宋体" w:cs="宋体" w:eastAsia="宋体" w:hint="default"/>
        </w:rPr>
        <w:t>2</w:t>
      </w:r>
      <w:r>
        <w:rPr/>
        <w:t>、股份变动情况说明</w:t>
      </w:r>
      <w:r>
        <w:rPr>
          <w:b w:val="0"/>
          <w:bCs w:val="0"/>
        </w:rPr>
      </w:r>
    </w:p>
    <w:p>
      <w:pPr>
        <w:pStyle w:val="Heading3"/>
        <w:spacing w:line="240" w:lineRule="auto" w:before="194"/>
        <w:ind w:left="618" w:right="0"/>
        <w:jc w:val="left"/>
      </w:pPr>
      <w:r>
        <w:rPr/>
        <w:t>经本公司于</w:t>
      </w:r>
      <w:r>
        <w:rPr>
          <w:spacing w:val="-60"/>
        </w:rPr>
        <w:t> </w:t>
      </w:r>
      <w:r>
        <w:rPr>
          <w:rFonts w:ascii="宋体" w:hAnsi="宋体" w:cs="宋体" w:eastAsia="宋体" w:hint="default"/>
        </w:rPr>
        <w:t>2012</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30</w:t>
      </w:r>
      <w:r>
        <w:rPr>
          <w:rFonts w:ascii="宋体" w:hAnsi="宋体" w:cs="宋体" w:eastAsia="宋体" w:hint="default"/>
          <w:spacing w:val="-60"/>
        </w:rPr>
        <w:t> </w:t>
      </w:r>
      <w:r>
        <w:rPr/>
        <w:t>日召开的</w:t>
      </w:r>
      <w:r>
        <w:rPr>
          <w:spacing w:val="-60"/>
        </w:rPr>
        <w:t> </w:t>
      </w:r>
      <w:r>
        <w:rPr>
          <w:rFonts w:ascii="宋体" w:hAnsi="宋体" w:cs="宋体" w:eastAsia="宋体" w:hint="default"/>
        </w:rPr>
        <w:t>2011</w:t>
      </w:r>
      <w:r>
        <w:rPr>
          <w:rFonts w:ascii="宋体" w:hAnsi="宋体" w:cs="宋体" w:eastAsia="宋体" w:hint="default"/>
          <w:spacing w:val="-60"/>
        </w:rPr>
        <w:t> </w:t>
      </w:r>
      <w:r>
        <w:rPr/>
        <w:t>年度股东大会决议通过</w:t>
      </w:r>
      <w:r>
        <w:rPr>
          <w:spacing w:val="-116"/>
        </w:rPr>
        <w:t>的</w:t>
      </w:r>
      <w:r>
        <w:rPr/>
        <w:t>《</w:t>
      </w:r>
      <w:r>
        <w:rPr>
          <w:rFonts w:ascii="宋体" w:hAnsi="宋体" w:cs="宋体" w:eastAsia="宋体" w:hint="default"/>
        </w:rPr>
        <w:t>2011</w:t>
      </w:r>
      <w:r>
        <w:rPr>
          <w:rFonts w:ascii="宋体" w:hAnsi="宋体" w:cs="宋体" w:eastAsia="宋体" w:hint="default"/>
          <w:spacing w:val="-60"/>
        </w:rPr>
        <w:t> </w:t>
      </w:r>
      <w:r>
        <w:rPr/>
        <w:t>年度资本</w:t>
      </w:r>
    </w:p>
    <w:p>
      <w:pPr>
        <w:pStyle w:val="Heading3"/>
        <w:spacing w:line="240" w:lineRule="auto" w:before="74"/>
        <w:ind w:right="0"/>
        <w:jc w:val="left"/>
      </w:pPr>
      <w:r>
        <w:rPr>
          <w:spacing w:val="-3"/>
        </w:rPr>
        <w:t>公积金转增股本议案》，本公司以</w:t>
      </w:r>
      <w:r>
        <w:rPr>
          <w:spacing w:val="-64"/>
        </w:rPr>
        <w:t> </w:t>
      </w:r>
      <w:r>
        <w:rPr>
          <w:rFonts w:ascii="宋体" w:hAnsi="宋体" w:cs="宋体" w:eastAsia="宋体" w:hint="default"/>
        </w:rPr>
        <w:t>2011</w:t>
      </w:r>
      <w:r>
        <w:rPr>
          <w:rFonts w:ascii="宋体" w:hAnsi="宋体" w:cs="宋体" w:eastAsia="宋体" w:hint="default"/>
          <w:spacing w:val="-64"/>
        </w:rPr>
        <w:t> </w:t>
      </w:r>
      <w:r>
        <w:rPr/>
        <w:t>年末总股本</w:t>
      </w:r>
      <w:r>
        <w:rPr>
          <w:spacing w:val="-64"/>
        </w:rPr>
        <w:t> </w:t>
      </w:r>
      <w:r>
        <w:rPr>
          <w:rFonts w:ascii="宋体" w:hAnsi="宋体" w:cs="宋体" w:eastAsia="宋体" w:hint="default"/>
        </w:rPr>
        <w:t>815,903,367</w:t>
      </w:r>
      <w:r>
        <w:rPr>
          <w:rFonts w:ascii="宋体" w:hAnsi="宋体" w:cs="宋体" w:eastAsia="宋体" w:hint="default"/>
          <w:spacing w:val="-64"/>
        </w:rPr>
        <w:t> </w:t>
      </w:r>
      <w:r>
        <w:rPr/>
        <w:t>股为基数，向全体股东</w:t>
      </w:r>
    </w:p>
    <w:p>
      <w:pPr>
        <w:pStyle w:val="Heading3"/>
        <w:spacing w:line="240" w:lineRule="auto" w:before="74"/>
        <w:ind w:right="188"/>
        <w:jc w:val="left"/>
      </w:pPr>
      <w:r>
        <w:rPr/>
        <w:t>每</w:t>
      </w:r>
      <w:r>
        <w:rPr>
          <w:spacing w:val="-60"/>
        </w:rPr>
        <w:t> </w:t>
      </w:r>
      <w:r>
        <w:rPr>
          <w:rFonts w:ascii="宋体" w:hAnsi="宋体" w:cs="宋体" w:eastAsia="宋体" w:hint="default"/>
        </w:rPr>
        <w:t>10</w:t>
      </w:r>
      <w:r>
        <w:rPr>
          <w:rFonts w:ascii="宋体" w:hAnsi="宋体" w:cs="宋体" w:eastAsia="宋体" w:hint="default"/>
          <w:spacing w:val="-60"/>
        </w:rPr>
        <w:t> </w:t>
      </w:r>
      <w:r>
        <w:rPr/>
        <w:t>股转增</w:t>
      </w:r>
      <w:r>
        <w:rPr>
          <w:spacing w:val="-60"/>
        </w:rPr>
        <w:t> </w:t>
      </w:r>
      <w:r>
        <w:rPr>
          <w:rFonts w:ascii="宋体" w:hAnsi="宋体" w:cs="宋体" w:eastAsia="宋体" w:hint="default"/>
        </w:rPr>
        <w:t>2</w:t>
      </w:r>
      <w:r>
        <w:rPr>
          <w:rFonts w:ascii="宋体" w:hAnsi="宋体" w:cs="宋体" w:eastAsia="宋体" w:hint="default"/>
          <w:spacing w:val="-60"/>
        </w:rPr>
        <w:t> </w:t>
      </w:r>
      <w:r>
        <w:rPr/>
        <w:t>股，共计转增</w:t>
      </w:r>
      <w:r>
        <w:rPr>
          <w:spacing w:val="-60"/>
        </w:rPr>
        <w:t> </w:t>
      </w:r>
      <w:r>
        <w:rPr>
          <w:rFonts w:ascii="宋体" w:hAnsi="宋体" w:cs="宋体" w:eastAsia="宋体" w:hint="default"/>
        </w:rPr>
        <w:t>163,180,673</w:t>
      </w:r>
      <w:r>
        <w:rPr>
          <w:rFonts w:ascii="宋体" w:hAnsi="宋体" w:cs="宋体" w:eastAsia="宋体" w:hint="default"/>
          <w:spacing w:val="-60"/>
        </w:rPr>
        <w:t> </w:t>
      </w:r>
      <w:r>
        <w:rPr/>
        <w:t>股。转增后</w:t>
      </w:r>
      <w:r>
        <w:rPr>
          <w:rFonts w:ascii="宋体" w:hAnsi="宋体" w:cs="宋体" w:eastAsia="宋体" w:hint="default"/>
        </w:rPr>
        <w:t>,</w:t>
      </w:r>
      <w:r>
        <w:rPr/>
        <w:t>公司总股本</w:t>
      </w:r>
      <w:r>
        <w:rPr>
          <w:spacing w:val="-60"/>
        </w:rPr>
        <w:t> </w:t>
      </w:r>
      <w:r>
        <w:rPr>
          <w:rFonts w:ascii="宋体" w:hAnsi="宋体" w:cs="宋体" w:eastAsia="宋体" w:hint="default"/>
        </w:rPr>
        <w:t>979,084,040</w:t>
      </w:r>
      <w:r>
        <w:rPr>
          <w:rFonts w:ascii="宋体" w:hAnsi="宋体" w:cs="宋体" w:eastAsia="宋体" w:hint="default"/>
          <w:spacing w:val="-60"/>
        </w:rPr>
        <w:t> </w:t>
      </w:r>
      <w:r>
        <w:rPr/>
        <w:t>股。</w:t>
      </w:r>
    </w:p>
    <w:p>
      <w:pPr>
        <w:pStyle w:val="Heading3"/>
        <w:spacing w:line="240" w:lineRule="auto" w:before="194"/>
        <w:ind w:left="618" w:right="0"/>
        <w:jc w:val="left"/>
      </w:pPr>
      <w:r>
        <w:rPr/>
        <w:t>股份回购情况说明：本公司于</w:t>
      </w:r>
      <w:r>
        <w:rPr>
          <w:spacing w:val="-53"/>
        </w:rPr>
        <w:t> </w:t>
      </w:r>
      <w:r>
        <w:rPr>
          <w:rFonts w:ascii="宋体" w:hAnsi="宋体" w:cs="宋体" w:eastAsia="宋体" w:hint="default"/>
        </w:rPr>
        <w:t>2012</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20</w:t>
      </w:r>
      <w:r>
        <w:rPr>
          <w:rFonts w:ascii="宋体" w:hAnsi="宋体" w:cs="宋体" w:eastAsia="宋体" w:hint="default"/>
          <w:spacing w:val="-53"/>
        </w:rPr>
        <w:t> </w:t>
      </w:r>
      <w:r>
        <w:rPr/>
        <w:t>日召开的</w:t>
      </w:r>
      <w:r>
        <w:rPr>
          <w:spacing w:val="-53"/>
        </w:rPr>
        <w:t> </w:t>
      </w:r>
      <w:r>
        <w:rPr>
          <w:rFonts w:ascii="宋体" w:hAnsi="宋体" w:cs="宋体" w:eastAsia="宋体" w:hint="default"/>
        </w:rPr>
        <w:t>2012</w:t>
      </w:r>
      <w:r>
        <w:rPr>
          <w:rFonts w:ascii="宋体" w:hAnsi="宋体" w:cs="宋体" w:eastAsia="宋体" w:hint="default"/>
          <w:spacing w:val="-53"/>
        </w:rPr>
        <w:t> </w:t>
      </w:r>
      <w:r>
        <w:rPr/>
        <w:t>年第二次临时股东大</w:t>
      </w:r>
    </w:p>
    <w:p>
      <w:pPr>
        <w:pStyle w:val="Heading3"/>
        <w:spacing w:line="240" w:lineRule="auto" w:before="77"/>
        <w:ind w:right="0"/>
        <w:jc w:val="left"/>
        <w:rPr>
          <w:rFonts w:ascii="宋体" w:hAnsi="宋体" w:cs="宋体" w:eastAsia="宋体" w:hint="default"/>
        </w:rPr>
      </w:pPr>
      <w:r>
        <w:rPr>
          <w:spacing w:val="-4"/>
        </w:rPr>
        <w:t>会决议通过的《公司关于以集中竞价交易方式回购本公司股份的议案》，并于</w:t>
      </w:r>
      <w:r>
        <w:rPr>
          <w:spacing w:val="-54"/>
        </w:rPr>
        <w:t> </w:t>
      </w:r>
      <w:r>
        <w:rPr>
          <w:rFonts w:ascii="宋体" w:hAnsi="宋体" w:cs="宋体" w:eastAsia="宋体" w:hint="default"/>
        </w:rPr>
        <w:t>2012</w:t>
      </w:r>
      <w:r>
        <w:rPr>
          <w:rFonts w:ascii="宋体" w:hAnsi="宋体" w:cs="宋体" w:eastAsia="宋体" w:hint="default"/>
          <w:spacing w:val="-54"/>
        </w:rPr>
        <w:t> </w:t>
      </w:r>
      <w:r>
        <w:rPr/>
        <w:t>年</w:t>
      </w:r>
      <w:r>
        <w:rPr>
          <w:spacing w:val="-54"/>
        </w:rPr>
        <w:t> </w:t>
      </w:r>
      <w:r>
        <w:rPr>
          <w:rFonts w:ascii="宋体" w:hAnsi="宋体" w:cs="宋体" w:eastAsia="宋体" w:hint="default"/>
        </w:rPr>
        <w:t>12</w:t>
      </w:r>
    </w:p>
    <w:p>
      <w:pPr>
        <w:spacing w:after="0" w:line="240" w:lineRule="auto"/>
        <w:jc w:val="left"/>
        <w:rPr>
          <w:rFonts w:ascii="宋体" w:hAnsi="宋体" w:cs="宋体" w:eastAsia="宋体" w:hint="default"/>
        </w:rPr>
        <w:sectPr>
          <w:pgSz w:w="11910" w:h="16850"/>
          <w:pgMar w:header="752" w:footer="730" w:top="1020" w:bottom="920" w:left="1280" w:right="1160"/>
        </w:sectPr>
      </w:pPr>
    </w:p>
    <w:p>
      <w:pPr>
        <w:spacing w:line="240" w:lineRule="auto" w:before="9"/>
        <w:rPr>
          <w:rFonts w:ascii="宋体" w:hAnsi="宋体" w:cs="宋体" w:eastAsia="宋体" w:hint="default"/>
          <w:sz w:val="26"/>
          <w:szCs w:val="26"/>
        </w:rPr>
      </w:pPr>
    </w:p>
    <w:p>
      <w:pPr>
        <w:pStyle w:val="Heading3"/>
        <w:spacing w:line="297" w:lineRule="auto" w:before="26"/>
        <w:ind w:right="288"/>
        <w:jc w:val="left"/>
      </w:pPr>
      <w:r>
        <w:rPr/>
        <w:t>月 </w:t>
      </w:r>
      <w:r>
        <w:rPr>
          <w:rFonts w:ascii="宋体" w:hAnsi="宋体" w:cs="宋体" w:eastAsia="宋体" w:hint="default"/>
        </w:rPr>
        <w:t>28 </w:t>
      </w:r>
      <w:r>
        <w:rPr/>
        <w:t>日在《上海证券报》、《中国证券报》、《证券日报》、《证券时报》及上海证</w:t>
      </w:r>
      <w:r>
        <w:rPr>
          <w:spacing w:val="-65"/>
        </w:rPr>
        <w:t> </w:t>
      </w:r>
      <w:r>
        <w:rPr>
          <w:spacing w:val="-65"/>
        </w:rPr>
      </w:r>
      <w:r>
        <w:rPr>
          <w:spacing w:val="-9"/>
        </w:rPr>
        <w:t>券交易所网站（</w:t>
      </w:r>
      <w:hyperlink r:id="rId10">
        <w:r>
          <w:rPr>
            <w:rFonts w:ascii="宋体" w:hAnsi="宋体" w:cs="宋体" w:eastAsia="宋体" w:hint="default"/>
            <w:spacing w:val="-9"/>
          </w:rPr>
          <w:t>http://www.sse.com.cn</w:t>
        </w:r>
      </w:hyperlink>
      <w:r>
        <w:rPr>
          <w:spacing w:val="-9"/>
        </w:rPr>
        <w:t>）上刊登了《用友软件股份有限公司回购报告书》。</w:t>
      </w:r>
    </w:p>
    <w:p>
      <w:pPr>
        <w:pStyle w:val="Heading3"/>
        <w:spacing w:line="240" w:lineRule="auto"/>
        <w:ind w:left="618" w:right="288"/>
        <w:jc w:val="left"/>
      </w:pPr>
      <w:r>
        <w:rPr/>
        <w:t>公司于</w:t>
      </w:r>
      <w:r>
        <w:rPr>
          <w:spacing w:val="-64"/>
        </w:rPr>
        <w:t> </w:t>
      </w:r>
      <w:r>
        <w:rPr>
          <w:rFonts w:ascii="宋体" w:hAnsi="宋体" w:cs="宋体" w:eastAsia="宋体" w:hint="default"/>
        </w:rPr>
        <w:t>2012</w:t>
      </w:r>
      <w:r>
        <w:rPr>
          <w:rFonts w:ascii="宋体" w:hAnsi="宋体" w:cs="宋体" w:eastAsia="宋体" w:hint="default"/>
          <w:spacing w:val="-64"/>
        </w:rPr>
        <w:t> </w:t>
      </w:r>
      <w:r>
        <w:rPr/>
        <w:t>年</w:t>
      </w:r>
      <w:r>
        <w:rPr>
          <w:spacing w:val="-64"/>
        </w:rPr>
        <w:t> </w:t>
      </w:r>
      <w:r>
        <w:rPr>
          <w:rFonts w:ascii="宋体" w:hAnsi="宋体" w:cs="宋体" w:eastAsia="宋体" w:hint="default"/>
        </w:rPr>
        <w:t>12</w:t>
      </w:r>
      <w:r>
        <w:rPr>
          <w:rFonts w:ascii="宋体" w:hAnsi="宋体" w:cs="宋体" w:eastAsia="宋体" w:hint="default"/>
          <w:spacing w:val="-64"/>
        </w:rPr>
        <w:t> </w:t>
      </w:r>
      <w:r>
        <w:rPr/>
        <w:t>月</w:t>
      </w:r>
      <w:r>
        <w:rPr>
          <w:spacing w:val="-64"/>
        </w:rPr>
        <w:t> </w:t>
      </w:r>
      <w:r>
        <w:rPr>
          <w:rFonts w:ascii="宋体" w:hAnsi="宋体" w:cs="宋体" w:eastAsia="宋体" w:hint="default"/>
        </w:rPr>
        <w:t>31</w:t>
      </w:r>
      <w:r>
        <w:rPr>
          <w:rFonts w:ascii="宋体" w:hAnsi="宋体" w:cs="宋体" w:eastAsia="宋体" w:hint="default"/>
          <w:spacing w:val="-64"/>
        </w:rPr>
        <w:t> </w:t>
      </w:r>
      <w:r>
        <w:rPr/>
        <w:t>日首次实施了回购，首次回购股份数量为</w:t>
      </w:r>
      <w:r>
        <w:rPr>
          <w:spacing w:val="-64"/>
        </w:rPr>
        <w:t> </w:t>
      </w:r>
      <w:r>
        <w:rPr>
          <w:rFonts w:ascii="宋体" w:hAnsi="宋体" w:cs="宋体" w:eastAsia="宋体" w:hint="default"/>
        </w:rPr>
        <w:t>2,024,199</w:t>
      </w:r>
      <w:r>
        <w:rPr>
          <w:rFonts w:ascii="宋体" w:hAnsi="宋体" w:cs="宋体" w:eastAsia="宋体" w:hint="default"/>
          <w:spacing w:val="-64"/>
        </w:rPr>
        <w:t> </w:t>
      </w:r>
      <w:r>
        <w:rPr>
          <w:spacing w:val="-9"/>
        </w:rPr>
        <w:t>股，占</w:t>
      </w:r>
    </w:p>
    <w:p>
      <w:pPr>
        <w:pStyle w:val="Heading3"/>
        <w:spacing w:line="297" w:lineRule="auto" w:before="74"/>
        <w:ind w:right="418"/>
        <w:jc w:val="both"/>
      </w:pPr>
      <w:r>
        <w:rPr/>
        <w:t>公司总股本的比例为</w:t>
      </w:r>
      <w:r>
        <w:rPr>
          <w:spacing w:val="-37"/>
        </w:rPr>
        <w:t> </w:t>
      </w:r>
      <w:r>
        <w:rPr>
          <w:rFonts w:ascii="宋体" w:hAnsi="宋体" w:cs="宋体" w:eastAsia="宋体" w:hint="default"/>
        </w:rPr>
        <w:t>0.21%</w:t>
      </w:r>
      <w:r>
        <w:rPr/>
        <w:t>；截至</w:t>
      </w:r>
      <w:r>
        <w:rPr>
          <w:spacing w:val="-37"/>
        </w:rPr>
        <w:t> </w:t>
      </w:r>
      <w:r>
        <w:rPr>
          <w:rFonts w:ascii="宋体" w:hAnsi="宋体" w:cs="宋体" w:eastAsia="宋体" w:hint="default"/>
        </w:rPr>
        <w:t>2013</w:t>
      </w:r>
      <w:r>
        <w:rPr>
          <w:rFonts w:ascii="宋体" w:hAnsi="宋体" w:cs="宋体" w:eastAsia="宋体" w:hint="default"/>
          <w:spacing w:val="-37"/>
        </w:rPr>
        <w:t> </w:t>
      </w:r>
      <w:r>
        <w:rPr/>
        <w:t>年</w:t>
      </w:r>
      <w:r>
        <w:rPr>
          <w:spacing w:val="-37"/>
        </w:rPr>
        <w:t> </w:t>
      </w:r>
      <w:r>
        <w:rPr>
          <w:rFonts w:ascii="宋体" w:hAnsi="宋体" w:cs="宋体" w:eastAsia="宋体" w:hint="default"/>
        </w:rPr>
        <w:t>1</w:t>
      </w:r>
      <w:r>
        <w:rPr>
          <w:rFonts w:ascii="宋体" w:hAnsi="宋体" w:cs="宋体" w:eastAsia="宋体" w:hint="default"/>
          <w:spacing w:val="-40"/>
        </w:rPr>
        <w:t> </w:t>
      </w:r>
      <w:r>
        <w:rPr/>
        <w:t>月</w:t>
      </w:r>
      <w:r>
        <w:rPr>
          <w:spacing w:val="-37"/>
        </w:rPr>
        <w:t> </w:t>
      </w:r>
      <w:r>
        <w:rPr>
          <w:rFonts w:ascii="宋体" w:hAnsi="宋体" w:cs="宋体" w:eastAsia="宋体" w:hint="default"/>
        </w:rPr>
        <w:t>8</w:t>
      </w:r>
      <w:r>
        <w:rPr>
          <w:rFonts w:ascii="宋体" w:hAnsi="宋体" w:cs="宋体" w:eastAsia="宋体" w:hint="default"/>
          <w:spacing w:val="-37"/>
        </w:rPr>
        <w:t> </w:t>
      </w:r>
      <w:r>
        <w:rPr/>
        <w:t>日，公司回购股份数量为</w:t>
      </w:r>
      <w:r>
        <w:rPr>
          <w:spacing w:val="-37"/>
        </w:rPr>
        <w:t> </w:t>
      </w:r>
      <w:r>
        <w:rPr>
          <w:rFonts w:ascii="宋体" w:hAnsi="宋体" w:cs="宋体" w:eastAsia="宋体" w:hint="default"/>
        </w:rPr>
        <w:t>19,837,802 </w:t>
      </w:r>
      <w:r>
        <w:rPr>
          <w:spacing w:val="-4"/>
        </w:rPr>
        <w:t>股，占公司总股本的比例为</w:t>
      </w:r>
      <w:r>
        <w:rPr>
          <w:spacing w:val="-45"/>
        </w:rPr>
        <w:t> </w:t>
      </w:r>
      <w:r>
        <w:rPr>
          <w:rFonts w:ascii="宋体" w:hAnsi="宋体" w:cs="宋体" w:eastAsia="宋体" w:hint="default"/>
          <w:spacing w:val="-3"/>
        </w:rPr>
        <w:t>2.03%</w:t>
      </w:r>
      <w:r>
        <w:rPr>
          <w:spacing w:val="-3"/>
        </w:rPr>
        <w:t>，已达到本次回购股份总金额上限，公司回购部分社会</w:t>
      </w:r>
      <w:r>
        <w:rPr>
          <w:spacing w:val="-118"/>
        </w:rPr>
        <w:t> </w:t>
      </w:r>
      <w:r>
        <w:rPr>
          <w:spacing w:val="-118"/>
        </w:rPr>
      </w:r>
      <w:r>
        <w:rPr/>
        <w:t>公众股份方案实施完毕。</w:t>
      </w:r>
    </w:p>
    <w:p>
      <w:pPr>
        <w:pStyle w:val="Heading3"/>
        <w:spacing w:line="240" w:lineRule="auto"/>
        <w:ind w:left="618" w:right="288"/>
        <w:jc w:val="left"/>
      </w:pPr>
      <w:r>
        <w:rPr/>
        <w:t>公司已于</w:t>
      </w:r>
      <w:r>
        <w:rPr>
          <w:spacing w:val="-70"/>
        </w:rPr>
        <w:t> </w:t>
      </w:r>
      <w:r>
        <w:rPr>
          <w:rFonts w:ascii="宋体" w:hAnsi="宋体" w:cs="宋体" w:eastAsia="宋体" w:hint="default"/>
        </w:rPr>
        <w:t>2013</w:t>
      </w:r>
      <w:r>
        <w:rPr>
          <w:rFonts w:ascii="宋体" w:hAnsi="宋体" w:cs="宋体" w:eastAsia="宋体" w:hint="default"/>
          <w:spacing w:val="-70"/>
        </w:rPr>
        <w:t> </w:t>
      </w:r>
      <w:r>
        <w:rPr/>
        <w:t>年</w:t>
      </w:r>
      <w:r>
        <w:rPr>
          <w:spacing w:val="-70"/>
        </w:rPr>
        <w:t> </w:t>
      </w:r>
      <w:r>
        <w:rPr>
          <w:rFonts w:ascii="宋体" w:hAnsi="宋体" w:cs="宋体" w:eastAsia="宋体" w:hint="default"/>
        </w:rPr>
        <w:t>1</w:t>
      </w:r>
      <w:r>
        <w:rPr>
          <w:rFonts w:ascii="宋体" w:hAnsi="宋体" w:cs="宋体" w:eastAsia="宋体" w:hint="default"/>
          <w:spacing w:val="-70"/>
        </w:rPr>
        <w:t> </w:t>
      </w:r>
      <w:r>
        <w:rPr/>
        <w:t>月</w:t>
      </w:r>
      <w:r>
        <w:rPr>
          <w:spacing w:val="-68"/>
        </w:rPr>
        <w:t> </w:t>
      </w:r>
      <w:r>
        <w:rPr>
          <w:rFonts w:ascii="宋体" w:hAnsi="宋体" w:cs="宋体" w:eastAsia="宋体" w:hint="default"/>
        </w:rPr>
        <w:t>9</w:t>
      </w:r>
      <w:r>
        <w:rPr>
          <w:rFonts w:ascii="宋体" w:hAnsi="宋体" w:cs="宋体" w:eastAsia="宋体" w:hint="default"/>
          <w:spacing w:val="-70"/>
        </w:rPr>
        <w:t> </w:t>
      </w:r>
      <w:r>
        <w:rPr/>
        <w:t>日向上海证券交易所和中国证券登记结算有限公司上海分公</w:t>
      </w:r>
    </w:p>
    <w:p>
      <w:pPr>
        <w:pStyle w:val="Heading3"/>
        <w:spacing w:line="297" w:lineRule="auto" w:before="74"/>
        <w:ind w:right="402"/>
        <w:jc w:val="left"/>
      </w:pPr>
      <w:r>
        <w:rPr/>
        <w:t>司申请注销上述回购股份共计</w:t>
      </w:r>
      <w:r>
        <w:rPr>
          <w:spacing w:val="-59"/>
        </w:rPr>
        <w:t> </w:t>
      </w:r>
      <w:r>
        <w:rPr>
          <w:rFonts w:ascii="宋体" w:hAnsi="宋体" w:cs="宋体" w:eastAsia="宋体" w:hint="default"/>
        </w:rPr>
        <w:t>19,837,802</w:t>
      </w:r>
      <w:r>
        <w:rPr>
          <w:rFonts w:ascii="宋体" w:hAnsi="宋体" w:cs="宋体" w:eastAsia="宋体" w:hint="default"/>
          <w:spacing w:val="-59"/>
        </w:rPr>
        <w:t> </w:t>
      </w:r>
      <w:r>
        <w:rPr>
          <w:spacing w:val="-4"/>
        </w:rPr>
        <w:t>股，股票注销日为</w:t>
      </w:r>
      <w:r>
        <w:rPr>
          <w:spacing w:val="-59"/>
        </w:rPr>
        <w:t> </w:t>
      </w:r>
      <w:r>
        <w:rPr>
          <w:rFonts w:ascii="宋体" w:hAnsi="宋体" w:cs="宋体" w:eastAsia="宋体" w:hint="default"/>
        </w:rPr>
        <w:t>2013</w:t>
      </w:r>
      <w:r>
        <w:rPr>
          <w:rFonts w:ascii="宋体" w:hAnsi="宋体" w:cs="宋体" w:eastAsia="宋体" w:hint="default"/>
          <w:spacing w:val="-59"/>
        </w:rPr>
        <w:t> </w:t>
      </w:r>
      <w:r>
        <w:rPr/>
        <w:t>年</w:t>
      </w:r>
      <w:r>
        <w:rPr>
          <w:spacing w:val="-59"/>
        </w:rPr>
        <w:t> </w:t>
      </w:r>
      <w:r>
        <w:rPr>
          <w:rFonts w:ascii="宋体" w:hAnsi="宋体" w:cs="宋体" w:eastAsia="宋体" w:hint="default"/>
        </w:rPr>
        <w:t>1</w:t>
      </w:r>
      <w:r>
        <w:rPr>
          <w:rFonts w:ascii="宋体" w:hAnsi="宋体" w:cs="宋体" w:eastAsia="宋体" w:hint="default"/>
          <w:spacing w:val="-59"/>
        </w:rPr>
        <w:t> </w:t>
      </w:r>
      <w:r>
        <w:rPr/>
        <w:t>月</w:t>
      </w:r>
      <w:r>
        <w:rPr>
          <w:spacing w:val="-59"/>
        </w:rPr>
        <w:t> </w:t>
      </w:r>
      <w:r>
        <w:rPr>
          <w:rFonts w:ascii="宋体" w:hAnsi="宋体" w:cs="宋体" w:eastAsia="宋体" w:hint="default"/>
        </w:rPr>
        <w:t>11</w:t>
      </w:r>
      <w:r>
        <w:rPr>
          <w:rFonts w:ascii="宋体" w:hAnsi="宋体" w:cs="宋体" w:eastAsia="宋体" w:hint="default"/>
          <w:spacing w:val="-59"/>
        </w:rPr>
        <w:t> </w:t>
      </w:r>
      <w:r>
        <w:rPr>
          <w:spacing w:val="-6"/>
        </w:rPr>
        <w:t>日。目前公</w:t>
      </w:r>
      <w:r>
        <w:rPr/>
        <w:t> 司正在办理工商变更登记手续等相关事宜。</w:t>
      </w:r>
    </w:p>
    <w:p>
      <w:pPr>
        <w:pStyle w:val="Heading2"/>
        <w:spacing w:line="240" w:lineRule="auto" w:before="137"/>
        <w:ind w:left="620" w:right="288"/>
        <w:jc w:val="left"/>
        <w:rPr>
          <w:b w:val="0"/>
          <w:bCs w:val="0"/>
        </w:rPr>
      </w:pPr>
      <w:r>
        <w:rPr>
          <w:rFonts w:ascii="宋体" w:hAnsi="宋体" w:cs="宋体" w:eastAsia="宋体" w:hint="default"/>
        </w:rPr>
        <w:t>3</w:t>
      </w:r>
      <w:r>
        <w:rPr/>
        <w:t>、股份变动对最近一年和最近一期每股收益、每股净资产等财务指标的影响</w:t>
      </w:r>
      <w:r>
        <w:rPr>
          <w:b w:val="0"/>
          <w:bCs w:val="0"/>
        </w:rPr>
      </w:r>
    </w:p>
    <w:p>
      <w:pPr>
        <w:pStyle w:val="Heading3"/>
        <w:spacing w:line="240" w:lineRule="auto" w:before="194"/>
        <w:ind w:left="618" w:right="288"/>
        <w:jc w:val="left"/>
      </w:pPr>
      <w:r>
        <w:rPr>
          <w:rFonts w:ascii="宋体" w:hAnsi="宋体" w:cs="宋体" w:eastAsia="宋体" w:hint="default"/>
        </w:rPr>
        <w:t>2011</w:t>
      </w:r>
      <w:r>
        <w:rPr>
          <w:rFonts w:ascii="宋体" w:hAnsi="宋体" w:cs="宋体" w:eastAsia="宋体" w:hint="default"/>
          <w:spacing w:val="-60"/>
        </w:rPr>
        <w:t> </w:t>
      </w:r>
      <w:r>
        <w:rPr/>
        <w:t>年度资本公积转增股本实施完成后，重新计算</w:t>
      </w:r>
      <w:r>
        <w:rPr>
          <w:spacing w:val="-60"/>
        </w:rPr>
        <w:t> </w:t>
      </w:r>
      <w:r>
        <w:rPr>
          <w:rFonts w:ascii="宋体" w:hAnsi="宋体" w:cs="宋体" w:eastAsia="宋体" w:hint="default"/>
        </w:rPr>
        <w:t>2011</w:t>
      </w:r>
      <w:r>
        <w:rPr>
          <w:rFonts w:ascii="宋体" w:hAnsi="宋体" w:cs="宋体" w:eastAsia="宋体" w:hint="default"/>
          <w:spacing w:val="-60"/>
        </w:rPr>
        <w:t> </w:t>
      </w:r>
      <w:r>
        <w:rPr/>
        <w:t>年基本每股收益由</w:t>
      </w:r>
      <w:r>
        <w:rPr>
          <w:spacing w:val="-60"/>
        </w:rPr>
        <w:t> </w:t>
      </w:r>
      <w:r>
        <w:rPr>
          <w:rFonts w:ascii="宋体" w:hAnsi="宋体" w:cs="宋体" w:eastAsia="宋体" w:hint="default"/>
        </w:rPr>
        <w:t>0.66</w:t>
      </w:r>
      <w:r>
        <w:rPr>
          <w:rFonts w:ascii="宋体" w:hAnsi="宋体" w:cs="宋体" w:eastAsia="宋体" w:hint="default"/>
          <w:spacing w:val="-60"/>
        </w:rPr>
        <w:t> </w:t>
      </w:r>
      <w:r>
        <w:rPr/>
        <w:t>元</w:t>
      </w:r>
    </w:p>
    <w:p>
      <w:pPr>
        <w:pStyle w:val="Heading3"/>
        <w:spacing w:line="388" w:lineRule="auto" w:before="74"/>
        <w:ind w:right="288"/>
        <w:jc w:val="left"/>
        <w:rPr>
          <w:rFonts w:ascii="宋体" w:hAnsi="宋体" w:cs="宋体" w:eastAsia="宋体" w:hint="default"/>
        </w:rPr>
      </w:pPr>
      <w:r>
        <w:rPr/>
        <w:t>调整为</w:t>
      </w:r>
      <w:r>
        <w:rPr>
          <w:spacing w:val="-60"/>
        </w:rPr>
        <w:t> </w:t>
      </w:r>
      <w:r>
        <w:rPr>
          <w:rFonts w:ascii="宋体" w:hAnsi="宋体" w:cs="宋体" w:eastAsia="宋体" w:hint="default"/>
        </w:rPr>
        <w:t>0.55</w:t>
      </w:r>
      <w:r>
        <w:rPr>
          <w:rFonts w:ascii="宋体" w:hAnsi="宋体" w:cs="宋体" w:eastAsia="宋体" w:hint="default"/>
          <w:spacing w:val="-60"/>
        </w:rPr>
        <w:t> </w:t>
      </w:r>
      <w:r>
        <w:rPr>
          <w:spacing w:val="-10"/>
        </w:rPr>
        <w:t>元，重新计算</w:t>
      </w:r>
      <w:r>
        <w:rPr>
          <w:spacing w:val="-60"/>
        </w:rPr>
        <w:t> </w:t>
      </w:r>
      <w:r>
        <w:rPr>
          <w:rFonts w:ascii="宋体" w:hAnsi="宋体" w:cs="宋体" w:eastAsia="宋体" w:hint="default"/>
        </w:rPr>
        <w:t>2011</w:t>
      </w:r>
      <w:r>
        <w:rPr>
          <w:rFonts w:ascii="宋体" w:hAnsi="宋体" w:cs="宋体" w:eastAsia="宋体" w:hint="default"/>
          <w:spacing w:val="-60"/>
        </w:rPr>
        <w:t> </w:t>
      </w:r>
      <w:r>
        <w:rPr/>
        <w:t>年归属于上市公司每股净资产由</w:t>
      </w:r>
      <w:r>
        <w:rPr>
          <w:spacing w:val="-60"/>
        </w:rPr>
        <w:t> </w:t>
      </w:r>
      <w:r>
        <w:rPr>
          <w:rFonts w:ascii="宋体" w:hAnsi="宋体" w:cs="宋体" w:eastAsia="宋体" w:hint="default"/>
        </w:rPr>
        <w:t>3.62</w:t>
      </w:r>
      <w:r>
        <w:rPr>
          <w:rFonts w:ascii="宋体" w:hAnsi="宋体" w:cs="宋体" w:eastAsia="宋体" w:hint="default"/>
          <w:spacing w:val="-60"/>
        </w:rPr>
        <w:t> </w:t>
      </w:r>
      <w:r>
        <w:rPr/>
        <w:t>元调整为</w:t>
      </w:r>
      <w:r>
        <w:rPr>
          <w:spacing w:val="-60"/>
        </w:rPr>
        <w:t> </w:t>
      </w:r>
      <w:r>
        <w:rPr>
          <w:rFonts w:ascii="宋体" w:hAnsi="宋体" w:cs="宋体" w:eastAsia="宋体" w:hint="default"/>
        </w:rPr>
        <w:t>3.02</w:t>
      </w:r>
      <w:r>
        <w:rPr>
          <w:rFonts w:ascii="宋体" w:hAnsi="宋体" w:cs="宋体" w:eastAsia="宋体" w:hint="default"/>
          <w:spacing w:val="-60"/>
        </w:rPr>
        <w:t> </w:t>
      </w:r>
      <w:r>
        <w:rPr/>
        <w:t>元。 </w:t>
      </w:r>
      <w:r>
        <w:rPr>
          <w:rFonts w:ascii="宋体" w:hAnsi="宋体" w:cs="宋体" w:eastAsia="宋体" w:hint="default"/>
          <w:b/>
          <w:bCs/>
        </w:rPr>
        <w:t>二、</w:t>
      </w:r>
      <w:r>
        <w:rPr>
          <w:rFonts w:ascii="宋体" w:hAnsi="宋体" w:cs="宋体" w:eastAsia="宋体" w:hint="default"/>
          <w:b/>
          <w:bCs/>
          <w:spacing w:val="-2"/>
        </w:rPr>
        <w:t> </w:t>
      </w:r>
      <w:r>
        <w:rPr>
          <w:rFonts w:ascii="宋体" w:hAnsi="宋体" w:cs="宋体" w:eastAsia="宋体" w:hint="default"/>
          <w:b/>
          <w:bCs/>
        </w:rPr>
        <w:t>证券发行与上市情况</w:t>
      </w:r>
      <w:r>
        <w:rPr>
          <w:rFonts w:ascii="宋体" w:hAnsi="宋体" w:cs="宋体" w:eastAsia="宋体" w:hint="default"/>
        </w:rPr>
      </w:r>
    </w:p>
    <w:p>
      <w:pPr>
        <w:spacing w:line="391" w:lineRule="auto" w:before="46"/>
        <w:ind w:left="618" w:right="2868" w:firstLine="2"/>
        <w:jc w:val="left"/>
        <w:rPr>
          <w:rFonts w:ascii="宋体" w:hAnsi="宋体" w:cs="宋体" w:eastAsia="宋体" w:hint="default"/>
          <w:sz w:val="24"/>
          <w:szCs w:val="24"/>
        </w:rPr>
      </w:pPr>
      <w:r>
        <w:rPr>
          <w:rFonts w:ascii="宋体" w:hAnsi="宋体" w:cs="宋体" w:eastAsia="宋体" w:hint="default"/>
          <w:b/>
          <w:bCs/>
          <w:sz w:val="24"/>
          <w:szCs w:val="24"/>
        </w:rPr>
        <w:t>（一）截至报告期末近</w:t>
      </w:r>
      <w:r>
        <w:rPr>
          <w:rFonts w:ascii="宋体" w:hAnsi="宋体" w:cs="宋体" w:eastAsia="宋体" w:hint="default"/>
          <w:b/>
          <w:bCs/>
          <w:spacing w:val="-60"/>
          <w:sz w:val="24"/>
          <w:szCs w:val="24"/>
        </w:rPr>
        <w:t> </w:t>
      </w:r>
      <w:r>
        <w:rPr>
          <w:rFonts w:ascii="宋体" w:hAnsi="宋体" w:cs="宋体" w:eastAsia="宋体" w:hint="default"/>
          <w:b/>
          <w:bCs/>
          <w:sz w:val="24"/>
          <w:szCs w:val="24"/>
        </w:rPr>
        <w:t>3</w:t>
      </w:r>
      <w:r>
        <w:rPr>
          <w:rFonts w:ascii="宋体" w:hAnsi="宋体" w:cs="宋体" w:eastAsia="宋体" w:hint="default"/>
          <w:b/>
          <w:bCs/>
          <w:spacing w:val="-62"/>
          <w:sz w:val="24"/>
          <w:szCs w:val="24"/>
        </w:rPr>
        <w:t> </w:t>
      </w:r>
      <w:r>
        <w:rPr>
          <w:rFonts w:ascii="宋体" w:hAnsi="宋体" w:cs="宋体" w:eastAsia="宋体" w:hint="default"/>
          <w:b/>
          <w:bCs/>
          <w:sz w:val="24"/>
          <w:szCs w:val="24"/>
        </w:rPr>
        <w:t>年历次证券发行情况</w:t>
      </w:r>
      <w:r>
        <w:rPr>
          <w:rFonts w:ascii="宋体" w:hAnsi="宋体" w:cs="宋体" w:eastAsia="宋体" w:hint="default"/>
          <w:b/>
          <w:bCs/>
          <w:w w:val="99"/>
          <w:sz w:val="24"/>
          <w:szCs w:val="24"/>
        </w:rPr>
        <w:t> </w:t>
      </w:r>
      <w:r>
        <w:rPr>
          <w:rFonts w:ascii="宋体" w:hAnsi="宋体" w:cs="宋体" w:eastAsia="宋体" w:hint="default"/>
          <w:sz w:val="24"/>
          <w:szCs w:val="24"/>
        </w:rPr>
        <w:t>截止本报告期末至前三年，公司未有证券发行与上市情况。</w:t>
      </w:r>
    </w:p>
    <w:p>
      <w:pPr>
        <w:spacing w:line="388" w:lineRule="auto" w:before="43"/>
        <w:ind w:left="618" w:right="288" w:firstLine="2"/>
        <w:jc w:val="left"/>
        <w:rPr>
          <w:rFonts w:ascii="宋体" w:hAnsi="宋体" w:cs="宋体" w:eastAsia="宋体" w:hint="default"/>
          <w:sz w:val="24"/>
          <w:szCs w:val="24"/>
        </w:rPr>
      </w:pPr>
      <w:r>
        <w:rPr>
          <w:rFonts w:ascii="宋体" w:hAnsi="宋体" w:cs="宋体" w:eastAsia="宋体" w:hint="default"/>
          <w:b/>
          <w:bCs/>
          <w:sz w:val="24"/>
          <w:szCs w:val="24"/>
        </w:rPr>
        <w:t>（二） 公司股份总数及股东结构变动及公司资产和负债结构的变动情况</w:t>
      </w:r>
      <w:r>
        <w:rPr>
          <w:rFonts w:ascii="宋体" w:hAnsi="宋体" w:cs="宋体" w:eastAsia="宋体" w:hint="default"/>
          <w:b/>
          <w:bCs/>
          <w:w w:val="99"/>
          <w:sz w:val="24"/>
          <w:szCs w:val="24"/>
        </w:rPr>
        <w:t> </w:t>
      </w:r>
      <w:r>
        <w:rPr>
          <w:rFonts w:ascii="宋体" w:hAnsi="宋体" w:cs="宋体" w:eastAsia="宋体" w:hint="default"/>
          <w:sz w:val="24"/>
          <w:szCs w:val="24"/>
        </w:rPr>
        <w:t>除上述“股份变动情况说明”所述情况外，公司无因送股、配股、增发新股、吸收</w:t>
      </w:r>
    </w:p>
    <w:p>
      <w:pPr>
        <w:pStyle w:val="Heading3"/>
        <w:spacing w:line="240" w:lineRule="exact" w:before="0"/>
        <w:ind w:right="0"/>
        <w:jc w:val="both"/>
      </w:pPr>
      <w:r>
        <w:rPr/>
        <w:t>合并、可转换公司债券转股、减资、内部职工股或公司职工股上市或其他原因引起公司</w:t>
      </w:r>
    </w:p>
    <w:p>
      <w:pPr>
        <w:pStyle w:val="Heading3"/>
        <w:spacing w:line="240" w:lineRule="auto" w:before="74"/>
        <w:ind w:right="0"/>
        <w:jc w:val="both"/>
      </w:pPr>
      <w:r>
        <w:rPr/>
        <w:t>股份总数及结构变动的情况。</w:t>
      </w:r>
    </w:p>
    <w:p>
      <w:pPr>
        <w:spacing w:line="388" w:lineRule="auto" w:before="194"/>
        <w:ind w:left="618" w:right="5748" w:firstLine="2"/>
        <w:jc w:val="left"/>
        <w:rPr>
          <w:rFonts w:ascii="宋体" w:hAnsi="宋体" w:cs="宋体" w:eastAsia="宋体" w:hint="default"/>
          <w:sz w:val="24"/>
          <w:szCs w:val="24"/>
        </w:rPr>
      </w:pPr>
      <w:r>
        <w:rPr>
          <w:rFonts w:ascii="宋体" w:hAnsi="宋体" w:cs="宋体" w:eastAsia="宋体" w:hint="default"/>
          <w:b/>
          <w:bCs/>
          <w:sz w:val="24"/>
          <w:szCs w:val="24"/>
        </w:rPr>
        <w:t>（三）</w:t>
      </w:r>
      <w:r>
        <w:rPr>
          <w:rFonts w:ascii="宋体" w:hAnsi="宋体" w:cs="宋体" w:eastAsia="宋体" w:hint="default"/>
          <w:b/>
          <w:bCs/>
          <w:spacing w:val="-1"/>
          <w:sz w:val="24"/>
          <w:szCs w:val="24"/>
        </w:rPr>
        <w:t> </w:t>
      </w:r>
      <w:r>
        <w:rPr>
          <w:rFonts w:ascii="宋体" w:hAnsi="宋体" w:cs="宋体" w:eastAsia="宋体" w:hint="default"/>
          <w:b/>
          <w:bCs/>
          <w:sz w:val="24"/>
          <w:szCs w:val="24"/>
        </w:rPr>
        <w:t>现存的内部职工股情况</w:t>
      </w:r>
      <w:r>
        <w:rPr>
          <w:rFonts w:ascii="宋体" w:hAnsi="宋体" w:cs="宋体" w:eastAsia="宋体" w:hint="default"/>
          <w:b/>
          <w:bCs/>
          <w:w w:val="99"/>
          <w:sz w:val="24"/>
          <w:szCs w:val="24"/>
        </w:rPr>
        <w:t> </w:t>
      </w:r>
      <w:r>
        <w:rPr>
          <w:rFonts w:ascii="宋体" w:hAnsi="宋体" w:cs="宋体" w:eastAsia="宋体" w:hint="default"/>
          <w:sz w:val="24"/>
          <w:szCs w:val="24"/>
        </w:rPr>
        <w:t>本报告期末公司无内部职工股。</w:t>
      </w:r>
    </w:p>
    <w:p>
      <w:pPr>
        <w:pStyle w:val="Heading2"/>
        <w:spacing w:line="240" w:lineRule="auto" w:before="46"/>
        <w:ind w:right="0"/>
        <w:jc w:val="both"/>
        <w:rPr>
          <w:b w:val="0"/>
          <w:bCs w:val="0"/>
        </w:rPr>
      </w:pPr>
      <w:r>
        <w:rPr/>
        <w:t>三、股东和实际控制人情况</w:t>
      </w:r>
      <w:r>
        <w:rPr>
          <w:b w:val="0"/>
          <w:bCs w:val="0"/>
        </w:rPr>
      </w:r>
    </w:p>
    <w:p>
      <w:pPr>
        <w:pStyle w:val="Heading2"/>
        <w:spacing w:line="240" w:lineRule="auto" w:before="194"/>
        <w:ind w:left="620" w:right="288"/>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
        </w:rPr>
        <w:t> </w:t>
      </w:r>
      <w:r>
        <w:rPr/>
        <w:t>股东数量和持股情况</w:t>
      </w:r>
      <w:r>
        <w:rPr>
          <w:b w:val="0"/>
          <w:bCs w:val="0"/>
        </w:rPr>
      </w:r>
    </w:p>
    <w:p>
      <w:pPr>
        <w:spacing w:line="240" w:lineRule="auto" w:before="13"/>
        <w:rPr>
          <w:rFonts w:ascii="宋体" w:hAnsi="宋体" w:cs="宋体" w:eastAsia="宋体" w:hint="default"/>
          <w:b/>
          <w:bCs/>
          <w:sz w:val="17"/>
          <w:szCs w:val="17"/>
        </w:rPr>
      </w:pPr>
    </w:p>
    <w:tbl>
      <w:tblPr>
        <w:tblW w:w="0" w:type="auto"/>
        <w:jc w:val="left"/>
        <w:tblInd w:w="126" w:type="dxa"/>
        <w:tblLayout w:type="fixed"/>
        <w:tblCellMar>
          <w:top w:w="0" w:type="dxa"/>
          <w:left w:w="0" w:type="dxa"/>
          <w:bottom w:w="0" w:type="dxa"/>
          <w:right w:w="0" w:type="dxa"/>
        </w:tblCellMar>
        <w:tblLook w:val="01E0"/>
      </w:tblPr>
      <w:tblGrid>
        <w:gridCol w:w="3269"/>
        <w:gridCol w:w="6094"/>
      </w:tblGrid>
      <w:tr>
        <w:trPr>
          <w:trHeight w:val="281"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截止报告期末股东总数（户）</w:t>
            </w:r>
          </w:p>
        </w:tc>
        <w:tc>
          <w:tcPr>
            <w:tcW w:w="6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44,768</w:t>
            </w:r>
          </w:p>
        </w:tc>
      </w:tr>
      <w:tr>
        <w:trPr>
          <w:trHeight w:val="554"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年度报告披露日前第</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个交易日</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末股东总数（户）</w:t>
            </w:r>
          </w:p>
        </w:tc>
        <w:tc>
          <w:tcPr>
            <w:tcW w:w="6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42,981</w:t>
            </w:r>
          </w:p>
        </w:tc>
      </w:tr>
    </w:tbl>
    <w:p>
      <w:pPr>
        <w:pStyle w:val="Heading2"/>
        <w:spacing w:line="240" w:lineRule="auto" w:before="82"/>
        <w:ind w:left="620" w:right="288"/>
        <w:jc w:val="left"/>
        <w:rPr>
          <w:b w:val="0"/>
          <w:bCs w:val="0"/>
        </w:rPr>
      </w:pPr>
      <w:r>
        <w:rPr>
          <w:rFonts w:ascii="宋体" w:hAnsi="宋体" w:cs="宋体" w:eastAsia="宋体" w:hint="default"/>
        </w:rPr>
        <w:t>(</w:t>
      </w:r>
      <w:r>
        <w:rPr/>
        <w:t>二</w:t>
      </w:r>
      <w:r>
        <w:rPr>
          <w:rFonts w:ascii="宋体" w:hAnsi="宋体" w:cs="宋体" w:eastAsia="宋体" w:hint="default"/>
        </w:rPr>
        <w:t>)</w:t>
      </w:r>
      <w:r>
        <w:rPr/>
        <w:t>前十名股东持股情况</w:t>
      </w:r>
      <w:r>
        <w:rPr>
          <w:b w:val="0"/>
          <w:bCs w:val="0"/>
        </w:rPr>
      </w:r>
    </w:p>
    <w:p>
      <w:pPr>
        <w:spacing w:line="240" w:lineRule="auto" w:before="8"/>
        <w:rPr>
          <w:rFonts w:ascii="宋体" w:hAnsi="宋体" w:cs="宋体" w:eastAsia="宋体" w:hint="default"/>
          <w:b/>
          <w:bCs/>
          <w:sz w:val="12"/>
          <w:szCs w:val="12"/>
        </w:rPr>
      </w:pPr>
    </w:p>
    <w:p>
      <w:pPr>
        <w:pStyle w:val="Heading5"/>
        <w:spacing w:line="240" w:lineRule="auto"/>
        <w:ind w:right="418"/>
        <w:jc w:val="right"/>
      </w:pPr>
      <w:r>
        <w:rPr>
          <w:spacing w:val="-1"/>
        </w:rPr>
        <w:t>单位：股</w:t>
      </w:r>
    </w:p>
    <w:p>
      <w:pPr>
        <w:spacing w:line="240" w:lineRule="auto" w:before="8"/>
        <w:rPr>
          <w:rFonts w:ascii="宋体" w:hAnsi="宋体" w:cs="宋体" w:eastAsia="宋体" w:hint="default"/>
          <w:sz w:val="16"/>
          <w:szCs w:val="16"/>
        </w:rPr>
      </w:pPr>
    </w:p>
    <w:tbl>
      <w:tblPr>
        <w:tblW w:w="0" w:type="auto"/>
        <w:jc w:val="left"/>
        <w:tblInd w:w="126" w:type="dxa"/>
        <w:tblLayout w:type="fixed"/>
        <w:tblCellMar>
          <w:top w:w="0" w:type="dxa"/>
          <w:left w:w="0" w:type="dxa"/>
          <w:bottom w:w="0" w:type="dxa"/>
          <w:right w:w="0" w:type="dxa"/>
        </w:tblCellMar>
        <w:tblLook w:val="01E0"/>
      </w:tblPr>
      <w:tblGrid>
        <w:gridCol w:w="1992"/>
        <w:gridCol w:w="1135"/>
        <w:gridCol w:w="996"/>
        <w:gridCol w:w="1517"/>
        <w:gridCol w:w="1320"/>
        <w:gridCol w:w="1133"/>
        <w:gridCol w:w="1406"/>
      </w:tblGrid>
      <w:tr>
        <w:trPr>
          <w:trHeight w:val="283" w:hRule="exact"/>
        </w:trPr>
        <w:tc>
          <w:tcPr>
            <w:tcW w:w="94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828"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68"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27" w:right="175" w:hanging="53"/>
              <w:jc w:val="left"/>
              <w:rPr>
                <w:rFonts w:ascii="宋体" w:hAnsi="宋体" w:cs="宋体" w:eastAsia="宋体" w:hint="default"/>
                <w:sz w:val="21"/>
                <w:szCs w:val="21"/>
              </w:rPr>
            </w:pP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564" w:right="189" w:hanging="500"/>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9" w:right="0" w:hanging="58"/>
              <w:jc w:val="left"/>
              <w:rPr>
                <w:rFonts w:ascii="宋体" w:hAnsi="宋体" w:cs="宋体" w:eastAsia="宋体" w:hint="default"/>
                <w:sz w:val="21"/>
                <w:szCs w:val="21"/>
              </w:rPr>
            </w:pPr>
            <w:r>
              <w:rPr>
                <w:rFonts w:ascii="宋体" w:hAnsi="宋体" w:cs="宋体" w:eastAsia="宋体" w:hint="default"/>
                <w:sz w:val="21"/>
                <w:szCs w:val="21"/>
              </w:rPr>
              <w:t>持有有限</w:t>
            </w:r>
          </w:p>
          <w:p>
            <w:pPr>
              <w:pStyle w:val="TableParagraph"/>
              <w:spacing w:line="272" w:lineRule="exact" w:before="27"/>
              <w:ind w:left="252" w:right="129" w:hanging="104"/>
              <w:jc w:val="left"/>
              <w:rPr>
                <w:rFonts w:ascii="宋体" w:hAnsi="宋体" w:cs="宋体" w:eastAsia="宋体" w:hint="default"/>
                <w:sz w:val="21"/>
                <w:szCs w:val="21"/>
              </w:rPr>
            </w:pPr>
            <w:r>
              <w:rPr>
                <w:rFonts w:ascii="宋体" w:hAnsi="宋体" w:cs="宋体" w:eastAsia="宋体" w:hint="default"/>
                <w:sz w:val="21"/>
                <w:szCs w:val="21"/>
              </w:rPr>
              <w:t>售条件股</w:t>
            </w:r>
            <w:r>
              <w:rPr>
                <w:rFonts w:ascii="宋体" w:hAnsi="宋体" w:cs="宋体" w:eastAsia="宋体" w:hint="default"/>
                <w:w w:val="100"/>
                <w:sz w:val="21"/>
                <w:szCs w:val="21"/>
              </w:rPr>
              <w:t> </w:t>
            </w:r>
            <w:r>
              <w:rPr>
                <w:rFonts w:ascii="宋体" w:hAnsi="宋体" w:cs="宋体" w:eastAsia="宋体" w:hint="default"/>
                <w:sz w:val="21"/>
                <w:szCs w:val="21"/>
              </w:rPr>
              <w:t>份数量</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5" w:right="215"/>
              <w:jc w:val="left"/>
              <w:rPr>
                <w:rFonts w:ascii="宋体" w:hAnsi="宋体" w:cs="宋体" w:eastAsia="宋体" w:hint="default"/>
                <w:sz w:val="21"/>
                <w:szCs w:val="21"/>
              </w:rPr>
            </w:pPr>
            <w:r>
              <w:rPr>
                <w:rFonts w:ascii="宋体" w:hAnsi="宋体" w:cs="宋体" w:eastAsia="宋体" w:hint="default"/>
                <w:sz w:val="21"/>
                <w:szCs w:val="21"/>
              </w:rPr>
              <w:t>质押或冻结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的股份数量</w:t>
            </w:r>
          </w:p>
        </w:tc>
      </w:tr>
      <w:tr>
        <w:trPr>
          <w:trHeight w:val="55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北京用友科技有限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有法人</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5" w:right="0"/>
              <w:jc w:val="left"/>
              <w:rPr>
                <w:rFonts w:ascii="宋体" w:hAnsi="宋体" w:cs="宋体" w:eastAsia="宋体" w:hint="default"/>
                <w:sz w:val="21"/>
                <w:szCs w:val="21"/>
              </w:rPr>
            </w:pPr>
            <w:r>
              <w:rPr>
                <w:rFonts w:ascii="宋体"/>
                <w:sz w:val="21"/>
              </w:rPr>
              <w:t>29.31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6" w:right="0"/>
              <w:jc w:val="left"/>
              <w:rPr>
                <w:rFonts w:ascii="宋体" w:hAnsi="宋体" w:cs="宋体" w:eastAsia="宋体" w:hint="default"/>
                <w:sz w:val="21"/>
                <w:szCs w:val="21"/>
              </w:rPr>
            </w:pPr>
            <w:r>
              <w:rPr>
                <w:rFonts w:ascii="宋体"/>
                <w:sz w:val="21"/>
              </w:rPr>
              <w:t>286,972,029</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sz w:val="21"/>
              </w:rPr>
              <w:t>49,696,029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质押</w:t>
            </w:r>
          </w:p>
          <w:p>
            <w:pPr>
              <w:pStyle w:val="TableParagraph"/>
              <w:spacing w:line="273" w:lineRule="exact"/>
              <w:ind w:right="0"/>
              <w:jc w:val="center"/>
              <w:rPr>
                <w:rFonts w:ascii="宋体" w:hAnsi="宋体" w:cs="宋体" w:eastAsia="宋体" w:hint="default"/>
                <w:sz w:val="21"/>
                <w:szCs w:val="21"/>
              </w:rPr>
            </w:pPr>
            <w:r>
              <w:rPr>
                <w:rFonts w:ascii="宋体"/>
                <w:sz w:val="21"/>
              </w:rPr>
              <w:t>163,600,000</w:t>
            </w:r>
          </w:p>
        </w:tc>
      </w:tr>
    </w:tbl>
    <w:p>
      <w:pPr>
        <w:spacing w:after="0" w:line="273" w:lineRule="exact"/>
        <w:jc w:val="center"/>
        <w:rPr>
          <w:rFonts w:ascii="宋体" w:hAnsi="宋体" w:cs="宋体" w:eastAsia="宋体" w:hint="default"/>
          <w:sz w:val="21"/>
          <w:szCs w:val="21"/>
        </w:rPr>
        <w:sectPr>
          <w:pgSz w:w="11910" w:h="16850"/>
          <w:pgMar w:header="752" w:footer="730" w:top="1020" w:bottom="920" w:left="1280" w:right="8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1992"/>
        <w:gridCol w:w="1135"/>
        <w:gridCol w:w="996"/>
        <w:gridCol w:w="1517"/>
        <w:gridCol w:w="1320"/>
        <w:gridCol w:w="1133"/>
        <w:gridCol w:w="1406"/>
      </w:tblGrid>
      <w:tr>
        <w:trPr>
          <w:trHeight w:val="283" w:hRule="exact"/>
        </w:trPr>
        <w:tc>
          <w:tcPr>
            <w:tcW w:w="94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826"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68"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27" w:right="175" w:hanging="53"/>
              <w:jc w:val="left"/>
              <w:rPr>
                <w:rFonts w:ascii="宋体" w:hAnsi="宋体" w:cs="宋体" w:eastAsia="宋体" w:hint="default"/>
                <w:sz w:val="21"/>
                <w:szCs w:val="21"/>
              </w:rPr>
            </w:pP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564" w:right="189" w:hanging="500"/>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9" w:right="0" w:hanging="58"/>
              <w:jc w:val="left"/>
              <w:rPr>
                <w:rFonts w:ascii="宋体" w:hAnsi="宋体" w:cs="宋体" w:eastAsia="宋体" w:hint="default"/>
                <w:sz w:val="21"/>
                <w:szCs w:val="21"/>
              </w:rPr>
            </w:pPr>
            <w:r>
              <w:rPr>
                <w:rFonts w:ascii="宋体" w:hAnsi="宋体" w:cs="宋体" w:eastAsia="宋体" w:hint="default"/>
                <w:sz w:val="21"/>
                <w:szCs w:val="21"/>
              </w:rPr>
              <w:t>持有有限</w:t>
            </w:r>
          </w:p>
          <w:p>
            <w:pPr>
              <w:pStyle w:val="TableParagraph"/>
              <w:spacing w:line="240" w:lineRule="auto"/>
              <w:ind w:left="252" w:right="129" w:hanging="104"/>
              <w:jc w:val="left"/>
              <w:rPr>
                <w:rFonts w:ascii="宋体" w:hAnsi="宋体" w:cs="宋体" w:eastAsia="宋体" w:hint="default"/>
                <w:sz w:val="21"/>
                <w:szCs w:val="21"/>
              </w:rPr>
            </w:pPr>
            <w:r>
              <w:rPr>
                <w:rFonts w:ascii="宋体" w:hAnsi="宋体" w:cs="宋体" w:eastAsia="宋体" w:hint="default"/>
                <w:sz w:val="21"/>
                <w:szCs w:val="21"/>
              </w:rPr>
              <w:t>售条件股</w:t>
            </w:r>
            <w:r>
              <w:rPr>
                <w:rFonts w:ascii="宋体" w:hAnsi="宋体" w:cs="宋体" w:eastAsia="宋体" w:hint="default"/>
                <w:w w:val="100"/>
                <w:sz w:val="21"/>
                <w:szCs w:val="21"/>
              </w:rPr>
              <w:t> </w:t>
            </w:r>
            <w:r>
              <w:rPr>
                <w:rFonts w:ascii="宋体" w:hAnsi="宋体" w:cs="宋体" w:eastAsia="宋体" w:hint="default"/>
                <w:sz w:val="21"/>
                <w:szCs w:val="21"/>
              </w:rPr>
              <w:t>份数量</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5" w:right="215"/>
              <w:jc w:val="left"/>
              <w:rPr>
                <w:rFonts w:ascii="宋体" w:hAnsi="宋体" w:cs="宋体" w:eastAsia="宋体" w:hint="default"/>
                <w:sz w:val="21"/>
                <w:szCs w:val="21"/>
              </w:rPr>
            </w:pPr>
            <w:r>
              <w:rPr>
                <w:rFonts w:ascii="宋体" w:hAnsi="宋体" w:cs="宋体" w:eastAsia="宋体" w:hint="default"/>
                <w:sz w:val="21"/>
                <w:szCs w:val="21"/>
              </w:rPr>
              <w:t>质押或冻结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的股份数量</w:t>
            </w:r>
          </w:p>
        </w:tc>
      </w:tr>
      <w:tr>
        <w:trPr>
          <w:trHeight w:val="55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上海用友科技咨询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有法人</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center"/>
              <w:rPr>
                <w:rFonts w:ascii="宋体" w:hAnsi="宋体" w:cs="宋体" w:eastAsia="宋体" w:hint="default"/>
                <w:sz w:val="21"/>
                <w:szCs w:val="21"/>
              </w:rPr>
            </w:pPr>
            <w:r>
              <w:rPr>
                <w:rFonts w:ascii="宋体"/>
                <w:sz w:val="21"/>
              </w:rPr>
              <w:t>13.39</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1"/>
              <w:jc w:val="right"/>
              <w:rPr>
                <w:rFonts w:ascii="宋体" w:hAnsi="宋体" w:cs="宋体" w:eastAsia="宋体" w:hint="default"/>
                <w:sz w:val="21"/>
                <w:szCs w:val="21"/>
              </w:rPr>
            </w:pPr>
            <w:r>
              <w:rPr>
                <w:rFonts w:ascii="宋体"/>
                <w:spacing w:val="-1"/>
                <w:sz w:val="21"/>
              </w:rPr>
              <w:t>131,094,765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51"/>
              <w:jc w:val="right"/>
              <w:rPr>
                <w:rFonts w:ascii="宋体" w:hAnsi="宋体" w:cs="宋体" w:eastAsia="宋体" w:hint="default"/>
                <w:sz w:val="21"/>
                <w:szCs w:val="21"/>
              </w:rPr>
            </w:pPr>
            <w:r>
              <w:rPr>
                <w:rFonts w:ascii="宋体"/>
                <w:spacing w:val="-1"/>
                <w:sz w:val="21"/>
              </w:rPr>
              <w:t>21,849,128</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上海益倍管理咨询</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有法人</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center"/>
              <w:rPr>
                <w:rFonts w:ascii="宋体" w:hAnsi="宋体" w:cs="宋体" w:eastAsia="宋体" w:hint="default"/>
                <w:sz w:val="21"/>
                <w:szCs w:val="21"/>
              </w:rPr>
            </w:pPr>
            <w:r>
              <w:rPr>
                <w:rFonts w:ascii="宋体"/>
                <w:sz w:val="21"/>
              </w:rPr>
              <w:t>5.177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1"/>
              <w:jc w:val="right"/>
              <w:rPr>
                <w:rFonts w:ascii="宋体" w:hAnsi="宋体" w:cs="宋体" w:eastAsia="宋体" w:hint="default"/>
                <w:sz w:val="21"/>
                <w:szCs w:val="21"/>
              </w:rPr>
            </w:pPr>
            <w:r>
              <w:rPr>
                <w:rFonts w:ascii="宋体"/>
                <w:spacing w:val="-1"/>
                <w:sz w:val="21"/>
              </w:rPr>
              <w:t>50,687,705</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51"/>
              <w:jc w:val="right"/>
              <w:rPr>
                <w:rFonts w:ascii="宋体" w:hAnsi="宋体" w:cs="宋体" w:eastAsia="宋体" w:hint="default"/>
                <w:sz w:val="21"/>
                <w:szCs w:val="21"/>
              </w:rPr>
            </w:pPr>
            <w:r>
              <w:rPr>
                <w:rFonts w:ascii="宋体"/>
                <w:spacing w:val="-1"/>
                <w:sz w:val="21"/>
              </w:rPr>
              <w:t>8,359,226</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北京用友企业管理</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研究所有限公司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有法人</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center"/>
              <w:rPr>
                <w:rFonts w:ascii="宋体" w:hAnsi="宋体" w:cs="宋体" w:eastAsia="宋体" w:hint="default"/>
                <w:sz w:val="21"/>
                <w:szCs w:val="21"/>
              </w:rPr>
            </w:pPr>
            <w:r>
              <w:rPr>
                <w:rFonts w:ascii="宋体"/>
                <w:sz w:val="21"/>
              </w:rPr>
              <w:t>5.089</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1"/>
              <w:jc w:val="right"/>
              <w:rPr>
                <w:rFonts w:ascii="宋体" w:hAnsi="宋体" w:cs="宋体" w:eastAsia="宋体" w:hint="default"/>
                <w:sz w:val="21"/>
                <w:szCs w:val="21"/>
              </w:rPr>
            </w:pPr>
            <w:r>
              <w:rPr>
                <w:rFonts w:ascii="宋体"/>
                <w:spacing w:val="-1"/>
                <w:sz w:val="21"/>
              </w:rPr>
              <w:t>49,828,492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51"/>
              <w:jc w:val="right"/>
              <w:rPr>
                <w:rFonts w:ascii="宋体" w:hAnsi="宋体" w:cs="宋体" w:eastAsia="宋体" w:hint="default"/>
                <w:sz w:val="21"/>
                <w:szCs w:val="21"/>
              </w:rPr>
            </w:pPr>
            <w:r>
              <w:rPr>
                <w:rFonts w:ascii="宋体"/>
                <w:spacing w:val="-1"/>
                <w:sz w:val="21"/>
              </w:rPr>
              <w:t>8,304,749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5" w:right="0"/>
              <w:jc w:val="left"/>
              <w:rPr>
                <w:rFonts w:ascii="宋体" w:hAnsi="宋体" w:cs="宋体" w:eastAsia="宋体" w:hint="default"/>
                <w:sz w:val="21"/>
                <w:szCs w:val="21"/>
              </w:rPr>
            </w:pPr>
            <w:r>
              <w:rPr>
                <w:rFonts w:ascii="宋体" w:hAnsi="宋体" w:cs="宋体" w:eastAsia="宋体" w:hint="default"/>
                <w:sz w:val="21"/>
                <w:szCs w:val="21"/>
              </w:rPr>
              <w:t>质押</w:t>
            </w:r>
          </w:p>
          <w:p>
            <w:pPr>
              <w:pStyle w:val="TableParagraph"/>
              <w:spacing w:line="273" w:lineRule="exact"/>
              <w:ind w:left="172" w:right="0"/>
              <w:jc w:val="left"/>
              <w:rPr>
                <w:rFonts w:ascii="宋体" w:hAnsi="宋体" w:cs="宋体" w:eastAsia="宋体" w:hint="default"/>
                <w:sz w:val="21"/>
                <w:szCs w:val="21"/>
              </w:rPr>
            </w:pPr>
            <w:r>
              <w:rPr>
                <w:rFonts w:ascii="宋体"/>
                <w:sz w:val="21"/>
              </w:rPr>
              <w:t>18,000,000</w:t>
            </w:r>
          </w:p>
        </w:tc>
      </w:tr>
      <w:tr>
        <w:trPr>
          <w:trHeight w:val="55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上海优富信息咨询</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境内非国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有法人</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3.04</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1"/>
              <w:jc w:val="right"/>
              <w:rPr>
                <w:rFonts w:ascii="宋体" w:hAnsi="宋体" w:cs="宋体" w:eastAsia="宋体" w:hint="default"/>
                <w:sz w:val="21"/>
                <w:szCs w:val="21"/>
              </w:rPr>
            </w:pPr>
            <w:r>
              <w:rPr>
                <w:rFonts w:ascii="宋体"/>
                <w:spacing w:val="-1"/>
                <w:sz w:val="21"/>
              </w:rPr>
              <w:t>29,761,238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51"/>
              <w:jc w:val="right"/>
              <w:rPr>
                <w:rFonts w:ascii="宋体" w:hAnsi="宋体" w:cs="宋体" w:eastAsia="宋体" w:hint="default"/>
                <w:sz w:val="21"/>
                <w:szCs w:val="21"/>
              </w:rPr>
            </w:pPr>
            <w:r>
              <w:rPr>
                <w:rFonts w:ascii="宋体"/>
                <w:spacing w:val="-1"/>
                <w:sz w:val="21"/>
              </w:rPr>
              <w:t>6,033,638</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招商银行股份有限</w:t>
            </w:r>
          </w:p>
          <w:p>
            <w:pPr>
              <w:pStyle w:val="TableParagraph"/>
              <w:spacing w:line="237" w:lineRule="auto"/>
              <w:ind w:left="100" w:right="196"/>
              <w:jc w:val="both"/>
              <w:rPr>
                <w:rFonts w:ascii="宋体" w:hAnsi="宋体" w:cs="宋体" w:eastAsia="宋体" w:hint="default"/>
                <w:sz w:val="21"/>
                <w:szCs w:val="21"/>
              </w:rPr>
            </w:pPr>
            <w:r>
              <w:rPr>
                <w:rFonts w:ascii="宋体" w:hAnsi="宋体" w:cs="宋体" w:eastAsia="宋体" w:hint="default"/>
                <w:sz w:val="21"/>
                <w:szCs w:val="21"/>
              </w:rPr>
              <w:t>公司－光大保德信</w:t>
            </w:r>
            <w:r>
              <w:rPr>
                <w:rFonts w:ascii="宋体" w:hAnsi="宋体" w:cs="宋体" w:eastAsia="宋体" w:hint="default"/>
                <w:w w:val="100"/>
                <w:sz w:val="21"/>
                <w:szCs w:val="21"/>
              </w:rPr>
              <w:t> </w:t>
            </w:r>
            <w:r>
              <w:rPr>
                <w:rFonts w:ascii="宋体" w:hAnsi="宋体" w:cs="宋体" w:eastAsia="宋体" w:hint="default"/>
                <w:sz w:val="21"/>
                <w:szCs w:val="21"/>
              </w:rPr>
              <w:t>优势配置股票型证</w:t>
            </w:r>
            <w:r>
              <w:rPr>
                <w:rFonts w:ascii="宋体" w:hAnsi="宋体" w:cs="宋体" w:eastAsia="宋体" w:hint="default"/>
                <w:w w:val="100"/>
                <w:sz w:val="21"/>
                <w:szCs w:val="21"/>
              </w:rPr>
              <w:t> </w:t>
            </w:r>
            <w:r>
              <w:rPr>
                <w:rFonts w:ascii="宋体" w:hAnsi="宋体" w:cs="宋体" w:eastAsia="宋体" w:hint="default"/>
                <w:sz w:val="21"/>
                <w:szCs w:val="21"/>
              </w:rPr>
              <w:t>券投资基金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8"/>
                <w:szCs w:val="28"/>
              </w:rPr>
            </w:pPr>
          </w:p>
          <w:p>
            <w:pPr>
              <w:pStyle w:val="TableParagraph"/>
              <w:spacing w:line="240" w:lineRule="auto"/>
              <w:ind w:right="5"/>
              <w:jc w:val="center"/>
              <w:rPr>
                <w:rFonts w:ascii="宋体" w:hAnsi="宋体" w:cs="宋体" w:eastAsia="宋体" w:hint="default"/>
                <w:sz w:val="21"/>
                <w:szCs w:val="21"/>
              </w:rPr>
            </w:pPr>
            <w:r>
              <w:rPr>
                <w:rFonts w:ascii="宋体"/>
                <w:sz w:val="21"/>
              </w:rPr>
              <w:t>2.598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41"/>
              <w:jc w:val="right"/>
              <w:rPr>
                <w:rFonts w:ascii="宋体" w:hAnsi="宋体" w:cs="宋体" w:eastAsia="宋体" w:hint="default"/>
                <w:sz w:val="21"/>
                <w:szCs w:val="21"/>
              </w:rPr>
            </w:pPr>
            <w:r>
              <w:rPr>
                <w:rFonts w:ascii="宋体"/>
                <w:spacing w:val="-1"/>
                <w:sz w:val="21"/>
              </w:rPr>
              <w:t>25,439,558</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51"/>
              <w:jc w:val="right"/>
              <w:rPr>
                <w:rFonts w:ascii="宋体" w:hAnsi="宋体" w:cs="宋体" w:eastAsia="宋体" w:hint="default"/>
                <w:sz w:val="21"/>
                <w:szCs w:val="21"/>
              </w:rPr>
            </w:pPr>
            <w:r>
              <w:rPr>
                <w:rFonts w:ascii="宋体"/>
                <w:spacing w:val="-1"/>
                <w:sz w:val="21"/>
              </w:rPr>
              <w:t>12,944,317</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瑞士信贷</w:t>
            </w:r>
            <w:r>
              <w:rPr>
                <w:rFonts w:ascii="宋体" w:hAnsi="宋体" w:cs="宋体" w:eastAsia="宋体" w:hint="default"/>
                <w:sz w:val="21"/>
                <w:szCs w:val="21"/>
              </w:rPr>
              <w:t>(</w:t>
            </w:r>
            <w:r>
              <w:rPr>
                <w:rFonts w:ascii="宋体" w:hAnsi="宋体" w:cs="宋体" w:eastAsia="宋体" w:hint="default"/>
                <w:sz w:val="21"/>
                <w:szCs w:val="21"/>
              </w:rPr>
              <w:t>香港</w:t>
            </w:r>
            <w:r>
              <w:rPr>
                <w:rFonts w:ascii="宋体" w:hAnsi="宋体" w:cs="宋体" w:eastAsia="宋体" w:hint="default"/>
                <w:sz w:val="21"/>
                <w:szCs w:val="21"/>
              </w:rPr>
              <w:t>)</w:t>
            </w:r>
            <w:r>
              <w:rPr>
                <w:rFonts w:ascii="宋体" w:hAnsi="宋体" w:cs="宋体" w:eastAsia="宋体" w:hint="default"/>
                <w:sz w:val="21"/>
                <w:szCs w:val="21"/>
              </w:rPr>
              <w:t>有</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
              <w:jc w:val="center"/>
              <w:rPr>
                <w:rFonts w:ascii="宋体" w:hAnsi="宋体" w:cs="宋体" w:eastAsia="宋体" w:hint="default"/>
                <w:sz w:val="21"/>
                <w:szCs w:val="21"/>
              </w:rPr>
            </w:pPr>
            <w:r>
              <w:rPr>
                <w:rFonts w:ascii="宋体"/>
                <w:sz w:val="21"/>
              </w:rPr>
              <w:t>2.035</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1"/>
              <w:jc w:val="right"/>
              <w:rPr>
                <w:rFonts w:ascii="宋体" w:hAnsi="宋体" w:cs="宋体" w:eastAsia="宋体" w:hint="default"/>
                <w:sz w:val="21"/>
                <w:szCs w:val="21"/>
              </w:rPr>
            </w:pPr>
            <w:r>
              <w:rPr>
                <w:rFonts w:ascii="宋体"/>
                <w:spacing w:val="-1"/>
                <w:sz w:val="21"/>
              </w:rPr>
              <w:t>19,921,016</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51"/>
              <w:jc w:val="right"/>
              <w:rPr>
                <w:rFonts w:ascii="宋体" w:hAnsi="宋体" w:cs="宋体" w:eastAsia="宋体" w:hint="default"/>
                <w:sz w:val="21"/>
                <w:szCs w:val="21"/>
              </w:rPr>
            </w:pPr>
            <w:r>
              <w:rPr>
                <w:rFonts w:ascii="宋体"/>
                <w:spacing w:val="-1"/>
                <w:sz w:val="21"/>
              </w:rPr>
              <w:t>-3,377,015</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摩根士丹利投资管</w:t>
            </w:r>
          </w:p>
          <w:p>
            <w:pPr>
              <w:pStyle w:val="TableParagraph"/>
              <w:spacing w:line="272" w:lineRule="exact" w:before="27"/>
              <w:ind w:left="100" w:right="196"/>
              <w:jc w:val="left"/>
              <w:rPr>
                <w:rFonts w:ascii="宋体" w:hAnsi="宋体" w:cs="宋体" w:eastAsia="宋体" w:hint="default"/>
                <w:sz w:val="21"/>
                <w:szCs w:val="21"/>
              </w:rPr>
            </w:pPr>
            <w:r>
              <w:rPr>
                <w:rFonts w:ascii="宋体" w:hAnsi="宋体" w:cs="宋体" w:eastAsia="宋体" w:hint="default"/>
                <w:sz w:val="21"/>
                <w:szCs w:val="21"/>
              </w:rPr>
              <w:t>理公司－摩根士丹</w:t>
            </w:r>
            <w:r>
              <w:rPr>
                <w:rFonts w:ascii="宋体" w:hAnsi="宋体" w:cs="宋体" w:eastAsia="宋体" w:hint="default"/>
                <w:w w:val="100"/>
                <w:sz w:val="21"/>
                <w:szCs w:val="21"/>
              </w:rPr>
              <w:t> </w:t>
            </w:r>
            <w:r>
              <w:rPr>
                <w:rFonts w:ascii="宋体" w:hAnsi="宋体" w:cs="宋体" w:eastAsia="宋体" w:hint="default"/>
                <w:sz w:val="21"/>
                <w:szCs w:val="21"/>
              </w:rPr>
              <w:t>利中国</w:t>
            </w:r>
            <w:r>
              <w:rPr>
                <w:rFonts w:ascii="宋体" w:hAnsi="宋体" w:cs="宋体" w:eastAsia="宋体" w:hint="default"/>
                <w:spacing w:val="-53"/>
                <w:sz w:val="21"/>
                <w:szCs w:val="21"/>
              </w:rPr>
              <w:t> </w:t>
            </w:r>
            <w:r>
              <w:rPr>
                <w:rFonts w:ascii="宋体" w:hAnsi="宋体" w:cs="宋体" w:eastAsia="宋体" w:hint="default"/>
                <w:sz w:val="21"/>
                <w:szCs w:val="21"/>
              </w:rPr>
              <w:t>A</w:t>
            </w:r>
            <w:r>
              <w:rPr>
                <w:rFonts w:ascii="宋体" w:hAnsi="宋体" w:cs="宋体" w:eastAsia="宋体" w:hint="default"/>
                <w:spacing w:val="-53"/>
                <w:sz w:val="21"/>
                <w:szCs w:val="21"/>
              </w:rPr>
              <w:t> </w:t>
            </w:r>
            <w:r>
              <w:rPr>
                <w:rFonts w:ascii="宋体" w:hAnsi="宋体" w:cs="宋体" w:eastAsia="宋体" w:hint="default"/>
                <w:sz w:val="21"/>
                <w:szCs w:val="21"/>
              </w:rPr>
              <w:t>股基金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
              <w:jc w:val="center"/>
              <w:rPr>
                <w:rFonts w:ascii="宋体" w:hAnsi="宋体" w:cs="宋体" w:eastAsia="宋体" w:hint="default"/>
                <w:sz w:val="21"/>
                <w:szCs w:val="21"/>
              </w:rPr>
            </w:pPr>
            <w:r>
              <w:rPr>
                <w:rFonts w:ascii="宋体"/>
                <w:sz w:val="21"/>
              </w:rPr>
              <w:t>1.318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41"/>
              <w:jc w:val="right"/>
              <w:rPr>
                <w:rFonts w:ascii="宋体" w:hAnsi="宋体" w:cs="宋体" w:eastAsia="宋体" w:hint="default"/>
                <w:sz w:val="21"/>
                <w:szCs w:val="21"/>
              </w:rPr>
            </w:pPr>
            <w:r>
              <w:rPr>
                <w:rFonts w:ascii="宋体"/>
                <w:spacing w:val="-1"/>
                <w:sz w:val="21"/>
              </w:rPr>
              <w:t>12,903,284</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51"/>
              <w:jc w:val="right"/>
              <w:rPr>
                <w:rFonts w:ascii="宋体" w:hAnsi="宋体" w:cs="宋体" w:eastAsia="宋体" w:hint="default"/>
                <w:sz w:val="21"/>
                <w:szCs w:val="21"/>
              </w:rPr>
            </w:pPr>
            <w:r>
              <w:rPr>
                <w:rFonts w:ascii="宋体"/>
                <w:spacing w:val="-1"/>
                <w:sz w:val="21"/>
              </w:rPr>
              <w:t>1,452,953</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tabs>
                <w:tab w:pos="731" w:val="left" w:leader="none"/>
              </w:tabs>
              <w:spacing w:line="241" w:lineRule="exact"/>
              <w:ind w:left="100" w:right="0"/>
              <w:jc w:val="left"/>
              <w:rPr>
                <w:rFonts w:ascii="宋体" w:hAnsi="宋体" w:cs="宋体" w:eastAsia="宋体" w:hint="default"/>
                <w:sz w:val="21"/>
                <w:szCs w:val="21"/>
              </w:rPr>
            </w:pPr>
            <w:r>
              <w:rPr>
                <w:rFonts w:ascii="宋体"/>
                <w:sz w:val="21"/>
              </w:rPr>
              <w:t>UBS</w:t>
              <w:tab/>
              <w:t>AG</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1.073</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
              <w:jc w:val="right"/>
              <w:rPr>
                <w:rFonts w:ascii="宋体" w:hAnsi="宋体" w:cs="宋体" w:eastAsia="宋体" w:hint="default"/>
                <w:sz w:val="21"/>
                <w:szCs w:val="21"/>
              </w:rPr>
            </w:pPr>
            <w:r>
              <w:rPr>
                <w:rFonts w:ascii="宋体"/>
                <w:spacing w:val="-1"/>
                <w:sz w:val="21"/>
              </w:rPr>
              <w:t>10,508,812</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
              <w:jc w:val="right"/>
              <w:rPr>
                <w:rFonts w:ascii="宋体" w:hAnsi="宋体" w:cs="宋体" w:eastAsia="宋体" w:hint="default"/>
                <w:sz w:val="21"/>
                <w:szCs w:val="21"/>
              </w:rPr>
            </w:pPr>
            <w:r>
              <w:rPr>
                <w:rFonts w:ascii="宋体"/>
                <w:spacing w:val="-1"/>
                <w:sz w:val="21"/>
              </w:rPr>
              <w:t>-2,653,703</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铂金投资管理有限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
              <w:jc w:val="center"/>
              <w:rPr>
                <w:rFonts w:ascii="宋体" w:hAnsi="宋体" w:cs="宋体" w:eastAsia="宋体" w:hint="default"/>
                <w:sz w:val="21"/>
                <w:szCs w:val="21"/>
              </w:rPr>
            </w:pPr>
            <w:r>
              <w:rPr>
                <w:rFonts w:ascii="宋体"/>
                <w:sz w:val="21"/>
              </w:rPr>
              <w:t>1.035</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41"/>
              <w:jc w:val="right"/>
              <w:rPr>
                <w:rFonts w:ascii="宋体" w:hAnsi="宋体" w:cs="宋体" w:eastAsia="宋体" w:hint="default"/>
                <w:sz w:val="21"/>
                <w:szCs w:val="21"/>
              </w:rPr>
            </w:pPr>
            <w:r>
              <w:rPr>
                <w:rFonts w:ascii="宋体"/>
                <w:spacing w:val="-1"/>
                <w:sz w:val="21"/>
              </w:rPr>
              <w:t>10,133,083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51"/>
              <w:jc w:val="right"/>
              <w:rPr>
                <w:rFonts w:ascii="宋体" w:hAnsi="宋体" w:cs="宋体" w:eastAsia="宋体" w:hint="default"/>
                <w:sz w:val="21"/>
                <w:szCs w:val="21"/>
              </w:rPr>
            </w:pPr>
            <w:r>
              <w:rPr>
                <w:rFonts w:ascii="宋体"/>
                <w:spacing w:val="-1"/>
                <w:sz w:val="21"/>
              </w:rPr>
              <w:t>5,808,139</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r>
    </w:tbl>
    <w:p>
      <w:pPr>
        <w:pStyle w:val="Heading5"/>
        <w:spacing w:line="240" w:lineRule="auto" w:before="86"/>
        <w:ind w:left="558" w:right="288"/>
        <w:jc w:val="left"/>
      </w:pPr>
      <w:r>
        <w:rPr/>
        <w:t>前十名无限售条件股东持股情况</w:t>
      </w:r>
    </w:p>
    <w:p>
      <w:pPr>
        <w:spacing w:line="240" w:lineRule="auto" w:before="11"/>
        <w:rPr>
          <w:rFonts w:ascii="宋体" w:hAnsi="宋体" w:cs="宋体" w:eastAsia="宋体" w:hint="default"/>
          <w:sz w:val="16"/>
          <w:szCs w:val="16"/>
        </w:rPr>
      </w:pPr>
    </w:p>
    <w:tbl>
      <w:tblPr>
        <w:tblW w:w="0" w:type="auto"/>
        <w:jc w:val="left"/>
        <w:tblInd w:w="123" w:type="dxa"/>
        <w:tblLayout w:type="fixed"/>
        <w:tblCellMar>
          <w:top w:w="0" w:type="dxa"/>
          <w:left w:w="0" w:type="dxa"/>
          <w:bottom w:w="0" w:type="dxa"/>
          <w:right w:w="0" w:type="dxa"/>
        </w:tblCellMar>
        <w:tblLook w:val="01E0"/>
      </w:tblPr>
      <w:tblGrid>
        <w:gridCol w:w="3125"/>
        <w:gridCol w:w="2947"/>
        <w:gridCol w:w="3127"/>
      </w:tblGrid>
      <w:tr>
        <w:trPr>
          <w:trHeight w:val="288" w:hRule="exact"/>
        </w:trPr>
        <w:tc>
          <w:tcPr>
            <w:tcW w:w="3125" w:type="dxa"/>
            <w:tcBorders>
              <w:top w:val="single" w:sz="6" w:space="0" w:color="090909"/>
              <w:left w:val="single" w:sz="6" w:space="0" w:color="090909"/>
              <w:bottom w:val="single" w:sz="6" w:space="0" w:color="090909"/>
              <w:right w:val="single" w:sz="6" w:space="0" w:color="090909"/>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2947" w:type="dxa"/>
            <w:tcBorders>
              <w:top w:val="single" w:sz="6" w:space="0" w:color="090909"/>
              <w:left w:val="single" w:sz="6" w:space="0" w:color="090909"/>
              <w:bottom w:val="single" w:sz="6" w:space="0" w:color="090909"/>
              <w:right w:val="single" w:sz="6" w:space="0" w:color="090909"/>
            </w:tcBorders>
          </w:tcPr>
          <w:p>
            <w:pPr>
              <w:pStyle w:val="TableParagraph"/>
              <w:spacing w:line="243" w:lineRule="exact"/>
              <w:ind w:left="453"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3127" w:type="dxa"/>
            <w:tcBorders>
              <w:top w:val="single" w:sz="6" w:space="0" w:color="090909"/>
              <w:left w:val="single" w:sz="6" w:space="0" w:color="090909"/>
              <w:bottom w:val="single" w:sz="6" w:space="0" w:color="090909"/>
              <w:right w:val="single" w:sz="6" w:space="0" w:color="090909"/>
            </w:tcBorders>
          </w:tcPr>
          <w:p>
            <w:pPr>
              <w:pStyle w:val="TableParagraph"/>
              <w:spacing w:line="243" w:lineRule="exact"/>
              <w:ind w:right="43"/>
              <w:jc w:val="center"/>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288" w:hRule="exact"/>
        </w:trPr>
        <w:tc>
          <w:tcPr>
            <w:tcW w:w="3125" w:type="dxa"/>
            <w:tcBorders>
              <w:top w:val="single" w:sz="6" w:space="0" w:color="090909"/>
              <w:left w:val="single" w:sz="6" w:space="0" w:color="090909"/>
              <w:bottom w:val="single" w:sz="6" w:space="0" w:color="090909"/>
              <w:right w:val="single" w:sz="6" w:space="0" w:color="090909"/>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北京用友科技有限公司</w:t>
            </w:r>
          </w:p>
        </w:tc>
        <w:tc>
          <w:tcPr>
            <w:tcW w:w="2947" w:type="dxa"/>
            <w:tcBorders>
              <w:top w:val="single" w:sz="6" w:space="0" w:color="090909"/>
              <w:left w:val="single" w:sz="6" w:space="0" w:color="090909"/>
              <w:bottom w:val="single" w:sz="6" w:space="0" w:color="090909"/>
              <w:right w:val="single" w:sz="6" w:space="0" w:color="090909"/>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286,972,029</w:t>
            </w:r>
          </w:p>
        </w:tc>
        <w:tc>
          <w:tcPr>
            <w:tcW w:w="3127" w:type="dxa"/>
            <w:tcBorders>
              <w:top w:val="single" w:sz="6" w:space="0" w:color="090909"/>
              <w:left w:val="single" w:sz="6" w:space="0" w:color="090909"/>
              <w:bottom w:val="single" w:sz="6" w:space="0" w:color="090909"/>
              <w:right w:val="single" w:sz="6" w:space="0" w:color="090909"/>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6" w:hRule="exact"/>
        </w:trPr>
        <w:tc>
          <w:tcPr>
            <w:tcW w:w="3125" w:type="dxa"/>
            <w:tcBorders>
              <w:top w:val="single" w:sz="6" w:space="0" w:color="090909"/>
              <w:left w:val="single" w:sz="6" w:space="0" w:color="090909"/>
              <w:bottom w:val="single" w:sz="6" w:space="0" w:color="090909"/>
              <w:right w:val="single" w:sz="6" w:space="0" w:color="090909"/>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上海用友科技咨询有限公司</w:t>
            </w:r>
          </w:p>
        </w:tc>
        <w:tc>
          <w:tcPr>
            <w:tcW w:w="2947" w:type="dxa"/>
            <w:tcBorders>
              <w:top w:val="single" w:sz="6" w:space="0" w:color="090909"/>
              <w:left w:val="single" w:sz="6" w:space="0" w:color="090909"/>
              <w:bottom w:val="single" w:sz="6" w:space="0" w:color="090909"/>
              <w:right w:val="single" w:sz="6" w:space="0" w:color="090909"/>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131,094,765</w:t>
            </w:r>
          </w:p>
        </w:tc>
        <w:tc>
          <w:tcPr>
            <w:tcW w:w="3127" w:type="dxa"/>
            <w:tcBorders>
              <w:top w:val="single" w:sz="6" w:space="0" w:color="090909"/>
              <w:left w:val="single" w:sz="6" w:space="0" w:color="090909"/>
              <w:bottom w:val="single" w:sz="6" w:space="0" w:color="090909"/>
              <w:right w:val="single" w:sz="6" w:space="0" w:color="090909"/>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3125" w:type="dxa"/>
            <w:tcBorders>
              <w:top w:val="single" w:sz="6" w:space="0" w:color="090909"/>
              <w:left w:val="single" w:sz="6" w:space="0" w:color="090909"/>
              <w:bottom w:val="single" w:sz="6" w:space="0" w:color="090909"/>
              <w:right w:val="single" w:sz="6" w:space="0" w:color="090909"/>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上海益倍管理咨询有限公司</w:t>
            </w:r>
          </w:p>
        </w:tc>
        <w:tc>
          <w:tcPr>
            <w:tcW w:w="2947" w:type="dxa"/>
            <w:tcBorders>
              <w:top w:val="single" w:sz="6" w:space="0" w:color="090909"/>
              <w:left w:val="single" w:sz="6" w:space="0" w:color="090909"/>
              <w:bottom w:val="single" w:sz="6" w:space="0" w:color="090909"/>
              <w:right w:val="single" w:sz="6" w:space="0" w:color="090909"/>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50,687,705</w:t>
            </w:r>
          </w:p>
        </w:tc>
        <w:tc>
          <w:tcPr>
            <w:tcW w:w="3127" w:type="dxa"/>
            <w:tcBorders>
              <w:top w:val="single" w:sz="6" w:space="0" w:color="090909"/>
              <w:left w:val="single" w:sz="6" w:space="0" w:color="090909"/>
              <w:bottom w:val="single" w:sz="6" w:space="0" w:color="090909"/>
              <w:right w:val="single" w:sz="6" w:space="0" w:color="090909"/>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9" w:hRule="exact"/>
        </w:trPr>
        <w:tc>
          <w:tcPr>
            <w:tcW w:w="3125" w:type="dxa"/>
            <w:tcBorders>
              <w:top w:val="single" w:sz="6" w:space="0" w:color="090909"/>
              <w:left w:val="single" w:sz="6" w:space="0" w:color="090909"/>
              <w:bottom w:val="single" w:sz="6" w:space="0" w:color="090909"/>
              <w:right w:val="single" w:sz="6" w:space="0" w:color="090909"/>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北京用友企业管理研究所有限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947" w:type="dxa"/>
            <w:tcBorders>
              <w:top w:val="single" w:sz="6" w:space="0" w:color="090909"/>
              <w:left w:val="single" w:sz="6" w:space="0" w:color="090909"/>
              <w:bottom w:val="single" w:sz="6" w:space="0" w:color="090909"/>
              <w:right w:val="single" w:sz="6" w:space="0" w:color="090909"/>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49,828,492</w:t>
            </w:r>
          </w:p>
        </w:tc>
        <w:tc>
          <w:tcPr>
            <w:tcW w:w="3127" w:type="dxa"/>
            <w:tcBorders>
              <w:top w:val="single" w:sz="6" w:space="0" w:color="090909"/>
              <w:left w:val="single" w:sz="6" w:space="0" w:color="090909"/>
              <w:bottom w:val="single" w:sz="6" w:space="0" w:color="090909"/>
              <w:right w:val="single" w:sz="6" w:space="0" w:color="090909"/>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3125" w:type="dxa"/>
            <w:tcBorders>
              <w:top w:val="single" w:sz="6" w:space="0" w:color="090909"/>
              <w:left w:val="single" w:sz="6" w:space="0" w:color="090909"/>
              <w:bottom w:val="single" w:sz="6" w:space="0" w:color="090909"/>
              <w:right w:val="single" w:sz="6" w:space="0" w:color="090909"/>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上海优富信息咨询有限公司</w:t>
            </w:r>
          </w:p>
        </w:tc>
        <w:tc>
          <w:tcPr>
            <w:tcW w:w="2947" w:type="dxa"/>
            <w:tcBorders>
              <w:top w:val="single" w:sz="6" w:space="0" w:color="090909"/>
              <w:left w:val="single" w:sz="6" w:space="0" w:color="090909"/>
              <w:bottom w:val="single" w:sz="6" w:space="0" w:color="090909"/>
              <w:right w:val="single" w:sz="6" w:space="0" w:color="090909"/>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29,761,238</w:t>
            </w:r>
          </w:p>
        </w:tc>
        <w:tc>
          <w:tcPr>
            <w:tcW w:w="3127" w:type="dxa"/>
            <w:tcBorders>
              <w:top w:val="single" w:sz="6" w:space="0" w:color="090909"/>
              <w:left w:val="single" w:sz="6" w:space="0" w:color="090909"/>
              <w:bottom w:val="single" w:sz="6" w:space="0" w:color="090909"/>
              <w:right w:val="single" w:sz="6" w:space="0" w:color="090909"/>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833" w:hRule="exact"/>
        </w:trPr>
        <w:tc>
          <w:tcPr>
            <w:tcW w:w="3125" w:type="dxa"/>
            <w:tcBorders>
              <w:top w:val="single" w:sz="6" w:space="0" w:color="090909"/>
              <w:left w:val="single" w:sz="6" w:space="0" w:color="090909"/>
              <w:bottom w:val="single" w:sz="6" w:space="0" w:color="090909"/>
              <w:right w:val="single" w:sz="6" w:space="0" w:color="090909"/>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招商银行股份有限公司－光大</w:t>
            </w:r>
          </w:p>
          <w:p>
            <w:pPr>
              <w:pStyle w:val="TableParagraph"/>
              <w:spacing w:line="272" w:lineRule="exact" w:before="27"/>
              <w:ind w:left="100" w:right="273"/>
              <w:jc w:val="left"/>
              <w:rPr>
                <w:rFonts w:ascii="宋体" w:hAnsi="宋体" w:cs="宋体" w:eastAsia="宋体" w:hint="default"/>
                <w:sz w:val="21"/>
                <w:szCs w:val="21"/>
              </w:rPr>
            </w:pPr>
            <w:r>
              <w:rPr>
                <w:rFonts w:ascii="宋体" w:hAnsi="宋体" w:cs="宋体" w:eastAsia="宋体" w:hint="default"/>
                <w:spacing w:val="-2"/>
                <w:sz w:val="21"/>
                <w:szCs w:val="21"/>
              </w:rPr>
              <w:t>保德信优势配置股票型证券投</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资基金</w:t>
            </w:r>
          </w:p>
        </w:tc>
        <w:tc>
          <w:tcPr>
            <w:tcW w:w="2947" w:type="dxa"/>
            <w:tcBorders>
              <w:top w:val="single" w:sz="6" w:space="0" w:color="090909"/>
              <w:left w:val="single" w:sz="6" w:space="0" w:color="090909"/>
              <w:bottom w:val="single" w:sz="6" w:space="0" w:color="090909"/>
              <w:right w:val="single" w:sz="6" w:space="0" w:color="090909"/>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21"/>
                <w:szCs w:val="21"/>
              </w:rPr>
            </w:pPr>
            <w:r>
              <w:rPr>
                <w:rFonts w:ascii="宋体"/>
                <w:spacing w:val="-1"/>
                <w:sz w:val="21"/>
              </w:rPr>
              <w:t>25,439,558</w:t>
            </w:r>
          </w:p>
        </w:tc>
        <w:tc>
          <w:tcPr>
            <w:tcW w:w="3127" w:type="dxa"/>
            <w:tcBorders>
              <w:top w:val="single" w:sz="6" w:space="0" w:color="090909"/>
              <w:left w:val="single" w:sz="6" w:space="0" w:color="090909"/>
              <w:bottom w:val="single" w:sz="6" w:space="0" w:color="090909"/>
              <w:right w:val="single" w:sz="6" w:space="0" w:color="090909"/>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3125" w:type="dxa"/>
            <w:tcBorders>
              <w:top w:val="single" w:sz="6" w:space="0" w:color="090909"/>
              <w:left w:val="single" w:sz="6" w:space="0" w:color="090909"/>
              <w:bottom w:val="single" w:sz="6" w:space="0" w:color="090909"/>
              <w:right w:val="single" w:sz="6" w:space="0" w:color="090909"/>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瑞士信贷</w:t>
            </w:r>
            <w:r>
              <w:rPr>
                <w:rFonts w:ascii="宋体" w:hAnsi="宋体" w:cs="宋体" w:eastAsia="宋体" w:hint="default"/>
                <w:sz w:val="21"/>
                <w:szCs w:val="21"/>
              </w:rPr>
              <w:t>(</w:t>
            </w:r>
            <w:r>
              <w:rPr>
                <w:rFonts w:ascii="宋体" w:hAnsi="宋体" w:cs="宋体" w:eastAsia="宋体" w:hint="default"/>
                <w:sz w:val="21"/>
                <w:szCs w:val="21"/>
              </w:rPr>
              <w:t>香港</w:t>
            </w:r>
            <w:r>
              <w:rPr>
                <w:rFonts w:ascii="宋体" w:hAnsi="宋体" w:cs="宋体" w:eastAsia="宋体" w:hint="default"/>
                <w:sz w:val="21"/>
                <w:szCs w:val="21"/>
              </w:rPr>
              <w:t>)</w:t>
            </w:r>
            <w:r>
              <w:rPr>
                <w:rFonts w:ascii="宋体" w:hAnsi="宋体" w:cs="宋体" w:eastAsia="宋体" w:hint="default"/>
                <w:sz w:val="21"/>
                <w:szCs w:val="21"/>
              </w:rPr>
              <w:t>有限公司</w:t>
            </w:r>
          </w:p>
        </w:tc>
        <w:tc>
          <w:tcPr>
            <w:tcW w:w="2947" w:type="dxa"/>
            <w:tcBorders>
              <w:top w:val="single" w:sz="6" w:space="0" w:color="090909"/>
              <w:left w:val="single" w:sz="6" w:space="0" w:color="090909"/>
              <w:bottom w:val="single" w:sz="6" w:space="0" w:color="090909"/>
              <w:right w:val="single" w:sz="6" w:space="0" w:color="090909"/>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19,921,016</w:t>
            </w:r>
          </w:p>
        </w:tc>
        <w:tc>
          <w:tcPr>
            <w:tcW w:w="3127" w:type="dxa"/>
            <w:tcBorders>
              <w:top w:val="single" w:sz="6" w:space="0" w:color="090909"/>
              <w:left w:val="single" w:sz="6" w:space="0" w:color="090909"/>
              <w:bottom w:val="single" w:sz="6" w:space="0" w:color="090909"/>
              <w:right w:val="single" w:sz="6" w:space="0" w:color="090909"/>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559" w:hRule="exact"/>
        </w:trPr>
        <w:tc>
          <w:tcPr>
            <w:tcW w:w="3125" w:type="dxa"/>
            <w:tcBorders>
              <w:top w:val="single" w:sz="6" w:space="0" w:color="090909"/>
              <w:left w:val="single" w:sz="6" w:space="0" w:color="090909"/>
              <w:bottom w:val="single" w:sz="6" w:space="0" w:color="090909"/>
              <w:right w:val="single" w:sz="6" w:space="0" w:color="090909"/>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摩根士丹利投资管理公司－摩</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根士丹利中国</w:t>
            </w:r>
            <w:r>
              <w:rPr>
                <w:rFonts w:ascii="宋体" w:hAnsi="宋体" w:cs="宋体" w:eastAsia="宋体" w:hint="default"/>
                <w:spacing w:val="-54"/>
                <w:sz w:val="21"/>
                <w:szCs w:val="21"/>
              </w:rPr>
              <w:t> </w:t>
            </w:r>
            <w:r>
              <w:rPr>
                <w:rFonts w:ascii="宋体" w:hAnsi="宋体" w:cs="宋体" w:eastAsia="宋体" w:hint="default"/>
                <w:sz w:val="21"/>
                <w:szCs w:val="21"/>
              </w:rPr>
              <w:t>A</w:t>
            </w:r>
            <w:r>
              <w:rPr>
                <w:rFonts w:ascii="宋体" w:hAnsi="宋体" w:cs="宋体" w:eastAsia="宋体" w:hint="default"/>
                <w:spacing w:val="-56"/>
                <w:sz w:val="21"/>
                <w:szCs w:val="21"/>
              </w:rPr>
              <w:t> </w:t>
            </w:r>
            <w:r>
              <w:rPr>
                <w:rFonts w:ascii="宋体" w:hAnsi="宋体" w:cs="宋体" w:eastAsia="宋体" w:hint="default"/>
                <w:sz w:val="21"/>
                <w:szCs w:val="21"/>
              </w:rPr>
              <w:t>股基金</w:t>
            </w:r>
          </w:p>
        </w:tc>
        <w:tc>
          <w:tcPr>
            <w:tcW w:w="2947" w:type="dxa"/>
            <w:tcBorders>
              <w:top w:val="single" w:sz="6" w:space="0" w:color="090909"/>
              <w:left w:val="single" w:sz="6" w:space="0" w:color="090909"/>
              <w:bottom w:val="single" w:sz="6" w:space="0" w:color="090909"/>
              <w:right w:val="single" w:sz="6" w:space="0" w:color="090909"/>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12,903,284</w:t>
            </w:r>
          </w:p>
        </w:tc>
        <w:tc>
          <w:tcPr>
            <w:tcW w:w="3127" w:type="dxa"/>
            <w:tcBorders>
              <w:top w:val="single" w:sz="6" w:space="0" w:color="090909"/>
              <w:left w:val="single" w:sz="6" w:space="0" w:color="090909"/>
              <w:bottom w:val="single" w:sz="6" w:space="0" w:color="090909"/>
              <w:right w:val="single" w:sz="6" w:space="0" w:color="090909"/>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6" w:hRule="exact"/>
        </w:trPr>
        <w:tc>
          <w:tcPr>
            <w:tcW w:w="3125" w:type="dxa"/>
            <w:tcBorders>
              <w:top w:val="single" w:sz="6" w:space="0" w:color="090909"/>
              <w:left w:val="single" w:sz="6" w:space="0" w:color="090909"/>
              <w:bottom w:val="single" w:sz="6" w:space="0" w:color="090909"/>
              <w:right w:val="single" w:sz="6" w:space="0" w:color="090909"/>
            </w:tcBorders>
          </w:tcPr>
          <w:p>
            <w:pPr>
              <w:pStyle w:val="TableParagraph"/>
              <w:tabs>
                <w:tab w:pos="731" w:val="left" w:leader="none"/>
              </w:tabs>
              <w:spacing w:line="241" w:lineRule="exact"/>
              <w:ind w:left="100" w:right="0"/>
              <w:jc w:val="left"/>
              <w:rPr>
                <w:rFonts w:ascii="宋体" w:hAnsi="宋体" w:cs="宋体" w:eastAsia="宋体" w:hint="default"/>
                <w:sz w:val="21"/>
                <w:szCs w:val="21"/>
              </w:rPr>
            </w:pPr>
            <w:r>
              <w:rPr>
                <w:rFonts w:ascii="宋体"/>
                <w:sz w:val="21"/>
              </w:rPr>
              <w:t>UBS</w:t>
              <w:tab/>
              <w:t>AG</w:t>
            </w:r>
          </w:p>
        </w:tc>
        <w:tc>
          <w:tcPr>
            <w:tcW w:w="2947" w:type="dxa"/>
            <w:tcBorders>
              <w:top w:val="single" w:sz="6" w:space="0" w:color="090909"/>
              <w:left w:val="single" w:sz="6" w:space="0" w:color="090909"/>
              <w:bottom w:val="single" w:sz="6" w:space="0" w:color="090909"/>
              <w:right w:val="single" w:sz="6" w:space="0" w:color="090909"/>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10,508,812</w:t>
            </w:r>
          </w:p>
        </w:tc>
        <w:tc>
          <w:tcPr>
            <w:tcW w:w="3127" w:type="dxa"/>
            <w:tcBorders>
              <w:top w:val="single" w:sz="6" w:space="0" w:color="090909"/>
              <w:left w:val="single" w:sz="6" w:space="0" w:color="090909"/>
              <w:bottom w:val="single" w:sz="6" w:space="0" w:color="090909"/>
              <w:right w:val="single" w:sz="6" w:space="0" w:color="090909"/>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88" w:hRule="exact"/>
        </w:trPr>
        <w:tc>
          <w:tcPr>
            <w:tcW w:w="3125" w:type="dxa"/>
            <w:tcBorders>
              <w:top w:val="single" w:sz="6" w:space="0" w:color="090909"/>
              <w:left w:val="single" w:sz="6" w:space="0" w:color="090909"/>
              <w:bottom w:val="single" w:sz="6" w:space="0" w:color="090909"/>
              <w:right w:val="single" w:sz="6" w:space="0" w:color="090909"/>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铂金投资管理有限公司</w:t>
            </w:r>
          </w:p>
        </w:tc>
        <w:tc>
          <w:tcPr>
            <w:tcW w:w="2947" w:type="dxa"/>
            <w:tcBorders>
              <w:top w:val="single" w:sz="6" w:space="0" w:color="090909"/>
              <w:left w:val="single" w:sz="6" w:space="0" w:color="090909"/>
              <w:bottom w:val="single" w:sz="6" w:space="0" w:color="090909"/>
              <w:right w:val="single" w:sz="6" w:space="0" w:color="090909"/>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10,133,083</w:t>
            </w:r>
          </w:p>
        </w:tc>
        <w:tc>
          <w:tcPr>
            <w:tcW w:w="3127" w:type="dxa"/>
            <w:tcBorders>
              <w:top w:val="single" w:sz="6" w:space="0" w:color="090909"/>
              <w:left w:val="single" w:sz="6" w:space="0" w:color="090909"/>
              <w:bottom w:val="single" w:sz="6" w:space="0" w:color="090909"/>
              <w:right w:val="single" w:sz="6" w:space="0" w:color="090909"/>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2738" w:hRule="exact"/>
        </w:trPr>
        <w:tc>
          <w:tcPr>
            <w:tcW w:w="3125" w:type="dxa"/>
            <w:tcBorders>
              <w:top w:val="single" w:sz="6" w:space="0" w:color="090909"/>
              <w:left w:val="single" w:sz="6" w:space="0" w:color="090909"/>
              <w:bottom w:val="single" w:sz="6" w:space="0" w:color="090909"/>
              <w:right w:val="single" w:sz="6" w:space="0" w:color="090909"/>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上述股东关联关系或一致行动</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关系的说明</w:t>
            </w:r>
          </w:p>
        </w:tc>
        <w:tc>
          <w:tcPr>
            <w:tcW w:w="6074" w:type="dxa"/>
            <w:gridSpan w:val="2"/>
            <w:tcBorders>
              <w:top w:val="single" w:sz="6" w:space="0" w:color="090909"/>
              <w:left w:val="single" w:sz="6" w:space="0" w:color="090909"/>
              <w:bottom w:val="single" w:sz="6" w:space="0" w:color="090909"/>
              <w:right w:val="single" w:sz="6" w:space="0" w:color="090909"/>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北京用友科技有限公司</w:t>
            </w:r>
            <w:r>
              <w:rPr>
                <w:rFonts w:ascii="宋体" w:hAnsi="宋体" w:cs="宋体" w:eastAsia="宋体" w:hint="default"/>
                <w:spacing w:val="-3"/>
                <w:sz w:val="21"/>
                <w:szCs w:val="21"/>
              </w:rPr>
              <w:t>(</w:t>
            </w:r>
            <w:r>
              <w:rPr>
                <w:rFonts w:ascii="宋体" w:hAnsi="宋体" w:cs="宋体" w:eastAsia="宋体" w:hint="default"/>
                <w:spacing w:val="-3"/>
                <w:sz w:val="21"/>
                <w:szCs w:val="21"/>
              </w:rPr>
              <w:t>简称“用友科技”</w:t>
            </w:r>
            <w:r>
              <w:rPr>
                <w:rFonts w:ascii="宋体" w:hAnsi="宋体" w:cs="宋体" w:eastAsia="宋体" w:hint="default"/>
                <w:spacing w:val="-3"/>
                <w:sz w:val="21"/>
                <w:szCs w:val="21"/>
              </w:rPr>
              <w:t>)</w:t>
            </w:r>
            <w:r>
              <w:rPr>
                <w:rFonts w:ascii="宋体" w:hAnsi="宋体" w:cs="宋体" w:eastAsia="宋体" w:hint="default"/>
                <w:spacing w:val="-3"/>
                <w:sz w:val="21"/>
                <w:szCs w:val="21"/>
              </w:rPr>
              <w:t>、上海用友科技咨询</w:t>
            </w:r>
          </w:p>
          <w:p>
            <w:pPr>
              <w:pStyle w:val="TableParagraph"/>
              <w:spacing w:line="237" w:lineRule="auto" w:before="2"/>
              <w:ind w:left="100" w:right="-8"/>
              <w:jc w:val="left"/>
              <w:rPr>
                <w:rFonts w:ascii="宋体" w:hAnsi="宋体" w:cs="宋体" w:eastAsia="宋体" w:hint="default"/>
                <w:sz w:val="21"/>
                <w:szCs w:val="21"/>
              </w:rPr>
            </w:pPr>
            <w:r>
              <w:rPr>
                <w:rFonts w:ascii="宋体" w:hAnsi="宋体" w:cs="宋体" w:eastAsia="宋体" w:hint="default"/>
                <w:spacing w:val="-3"/>
                <w:sz w:val="21"/>
                <w:szCs w:val="21"/>
              </w:rPr>
              <w:t>有限公司</w:t>
            </w:r>
            <w:r>
              <w:rPr>
                <w:rFonts w:ascii="宋体" w:hAnsi="宋体" w:cs="宋体" w:eastAsia="宋体" w:hint="default"/>
                <w:spacing w:val="-3"/>
                <w:sz w:val="21"/>
                <w:szCs w:val="21"/>
              </w:rPr>
              <w:t>(</w:t>
            </w:r>
            <w:r>
              <w:rPr>
                <w:rFonts w:ascii="宋体" w:hAnsi="宋体" w:cs="宋体" w:eastAsia="宋体" w:hint="default"/>
                <w:spacing w:val="-3"/>
                <w:sz w:val="21"/>
                <w:szCs w:val="21"/>
              </w:rPr>
              <w:t>简称“用友咨询”</w:t>
            </w:r>
            <w:r>
              <w:rPr>
                <w:rFonts w:ascii="宋体" w:hAnsi="宋体" w:cs="宋体" w:eastAsia="宋体" w:hint="default"/>
                <w:spacing w:val="-3"/>
                <w:sz w:val="21"/>
                <w:szCs w:val="21"/>
              </w:rPr>
              <w:t>)</w:t>
            </w:r>
            <w:r>
              <w:rPr>
                <w:rFonts w:ascii="宋体" w:hAnsi="宋体" w:cs="宋体" w:eastAsia="宋体" w:hint="default"/>
                <w:spacing w:val="-3"/>
                <w:sz w:val="21"/>
                <w:szCs w:val="21"/>
              </w:rPr>
              <w:t>和北京用友企业管理研究所有限公</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6"/>
                <w:sz w:val="21"/>
                <w:szCs w:val="21"/>
              </w:rPr>
              <w:t>司</w:t>
            </w:r>
            <w:r>
              <w:rPr>
                <w:rFonts w:ascii="宋体" w:hAnsi="宋体" w:cs="宋体" w:eastAsia="宋体" w:hint="default"/>
                <w:spacing w:val="-6"/>
                <w:sz w:val="21"/>
                <w:szCs w:val="21"/>
              </w:rPr>
              <w:t>(</w:t>
            </w:r>
            <w:r>
              <w:rPr>
                <w:rFonts w:ascii="宋体" w:hAnsi="宋体" w:cs="宋体" w:eastAsia="宋体" w:hint="default"/>
                <w:spacing w:val="-6"/>
                <w:sz w:val="21"/>
                <w:szCs w:val="21"/>
              </w:rPr>
              <w:t>简称“用友研究所”</w:t>
            </w:r>
            <w:r>
              <w:rPr>
                <w:rFonts w:ascii="宋体" w:hAnsi="宋体" w:cs="宋体" w:eastAsia="宋体" w:hint="default"/>
                <w:spacing w:val="-6"/>
                <w:sz w:val="21"/>
                <w:szCs w:val="21"/>
              </w:rPr>
              <w:t>)</w:t>
            </w:r>
            <w:r>
              <w:rPr>
                <w:rFonts w:ascii="宋体" w:hAnsi="宋体" w:cs="宋体" w:eastAsia="宋体" w:hint="default"/>
                <w:spacing w:val="-6"/>
                <w:sz w:val="21"/>
                <w:szCs w:val="21"/>
              </w:rPr>
              <w:t>因受相同控股股东控制而存在关联关系，</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3"/>
                <w:sz w:val="21"/>
                <w:szCs w:val="21"/>
              </w:rPr>
              <w:t>上海益倍管理咨询有限公司</w:t>
            </w:r>
            <w:r>
              <w:rPr>
                <w:rFonts w:ascii="宋体" w:hAnsi="宋体" w:cs="宋体" w:eastAsia="宋体" w:hint="default"/>
                <w:spacing w:val="-3"/>
                <w:sz w:val="21"/>
                <w:szCs w:val="21"/>
              </w:rPr>
              <w:t>(</w:t>
            </w:r>
            <w:r>
              <w:rPr>
                <w:rFonts w:ascii="宋体" w:hAnsi="宋体" w:cs="宋体" w:eastAsia="宋体" w:hint="default"/>
                <w:spacing w:val="-3"/>
                <w:sz w:val="21"/>
                <w:szCs w:val="21"/>
              </w:rPr>
              <w:t>简称“上海益倍”</w:t>
            </w:r>
            <w:r>
              <w:rPr>
                <w:rFonts w:ascii="宋体" w:hAnsi="宋体" w:cs="宋体" w:eastAsia="宋体" w:hint="default"/>
                <w:spacing w:val="-3"/>
                <w:sz w:val="21"/>
                <w:szCs w:val="21"/>
              </w:rPr>
              <w:t>)</w:t>
            </w:r>
            <w:r>
              <w:rPr>
                <w:rFonts w:ascii="宋体" w:hAnsi="宋体" w:cs="宋体" w:eastAsia="宋体" w:hint="default"/>
                <w:spacing w:val="-3"/>
                <w:sz w:val="21"/>
                <w:szCs w:val="21"/>
              </w:rPr>
              <w:t>与上海优富信息</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3"/>
                <w:sz w:val="21"/>
                <w:szCs w:val="21"/>
              </w:rPr>
              <w:t>咨询有限公司</w:t>
            </w:r>
            <w:r>
              <w:rPr>
                <w:rFonts w:ascii="宋体" w:hAnsi="宋体" w:cs="宋体" w:eastAsia="宋体" w:hint="default"/>
                <w:spacing w:val="-3"/>
                <w:sz w:val="21"/>
                <w:szCs w:val="21"/>
              </w:rPr>
              <w:t>(</w:t>
            </w:r>
            <w:r>
              <w:rPr>
                <w:rFonts w:ascii="宋体" w:hAnsi="宋体" w:cs="宋体" w:eastAsia="宋体" w:hint="default"/>
                <w:spacing w:val="-3"/>
                <w:sz w:val="21"/>
                <w:szCs w:val="21"/>
              </w:rPr>
              <w:t>简称“上海优富”</w:t>
            </w:r>
            <w:r>
              <w:rPr>
                <w:rFonts w:ascii="宋体" w:hAnsi="宋体" w:cs="宋体" w:eastAsia="宋体" w:hint="default"/>
                <w:spacing w:val="-3"/>
                <w:sz w:val="21"/>
                <w:szCs w:val="21"/>
              </w:rPr>
              <w:t>)</w:t>
            </w:r>
            <w:r>
              <w:rPr>
                <w:rFonts w:ascii="宋体" w:hAnsi="宋体" w:cs="宋体" w:eastAsia="宋体" w:hint="default"/>
                <w:spacing w:val="-3"/>
                <w:sz w:val="21"/>
                <w:szCs w:val="21"/>
              </w:rPr>
              <w:t>因其执行董事同时担任用友咨</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4"/>
                <w:sz w:val="21"/>
                <w:szCs w:val="21"/>
              </w:rPr>
              <w:t>询与用友研究所的董事而分别与用友咨询和用友研究所形成关</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3"/>
                <w:sz w:val="21"/>
                <w:szCs w:val="21"/>
              </w:rPr>
              <w:t>联关系。上海益倍与上海优富因受不同控股股东控制而不存在关</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联关系，与用友科技因受不同控股股东控制也不存在关联关系。</w:t>
            </w:r>
            <w:r>
              <w:rPr>
                <w:rFonts w:ascii="宋体" w:hAnsi="宋体" w:cs="宋体" w:eastAsia="宋体" w:hint="default"/>
                <w:w w:val="100"/>
                <w:sz w:val="21"/>
                <w:szCs w:val="21"/>
              </w:rPr>
              <w:t> </w:t>
            </w:r>
            <w:r>
              <w:rPr>
                <w:rFonts w:ascii="宋体" w:hAnsi="宋体" w:cs="宋体" w:eastAsia="宋体" w:hint="default"/>
                <w:spacing w:val="-3"/>
                <w:sz w:val="21"/>
                <w:szCs w:val="21"/>
              </w:rPr>
              <w:t>上述五家股东与其他股东之间不存在关联关系。本公司不了解其</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他股东之间是否存在关联关系或是否是一致行动人。</w:t>
            </w:r>
          </w:p>
        </w:tc>
      </w:tr>
    </w:tbl>
    <w:p>
      <w:pPr>
        <w:spacing w:after="0" w:line="237" w:lineRule="auto"/>
        <w:jc w:val="left"/>
        <w:rPr>
          <w:rFonts w:ascii="宋体" w:hAnsi="宋体" w:cs="宋体" w:eastAsia="宋体" w:hint="default"/>
          <w:sz w:val="21"/>
          <w:szCs w:val="21"/>
        </w:rPr>
        <w:sectPr>
          <w:pgSz w:w="11910" w:h="16850"/>
          <w:pgMar w:header="752" w:footer="730" w:top="1020" w:bottom="920" w:left="1280" w:right="880"/>
        </w:sectPr>
      </w:pPr>
    </w:p>
    <w:p>
      <w:pPr>
        <w:spacing w:line="240" w:lineRule="auto" w:before="9"/>
        <w:rPr>
          <w:rFonts w:ascii="宋体" w:hAnsi="宋体" w:cs="宋体" w:eastAsia="宋体" w:hint="default"/>
          <w:sz w:val="26"/>
          <w:szCs w:val="26"/>
        </w:rPr>
      </w:pPr>
    </w:p>
    <w:p>
      <w:pPr>
        <w:pStyle w:val="Heading2"/>
        <w:spacing w:line="240" w:lineRule="auto" w:before="26"/>
        <w:ind w:right="232"/>
        <w:jc w:val="left"/>
        <w:rPr>
          <w:b w:val="0"/>
          <w:bCs w:val="0"/>
        </w:rPr>
      </w:pPr>
      <w:r>
        <w:rPr/>
        <w:t>四、控股股东及实际控制人情况</w:t>
      </w:r>
      <w:r>
        <w:rPr>
          <w:b w:val="0"/>
          <w:bCs w:val="0"/>
        </w:rPr>
      </w:r>
    </w:p>
    <w:p>
      <w:pPr>
        <w:spacing w:line="388" w:lineRule="auto" w:before="194"/>
        <w:ind w:left="618" w:right="4348" w:firstLine="2"/>
        <w:jc w:val="left"/>
        <w:rPr>
          <w:rFonts w:ascii="宋体" w:hAnsi="宋体" w:cs="宋体" w:eastAsia="宋体" w:hint="default"/>
          <w:sz w:val="24"/>
          <w:szCs w:val="24"/>
        </w:rPr>
      </w:pPr>
      <w:r>
        <w:rPr>
          <w:rFonts w:ascii="宋体" w:hAnsi="宋体" w:cs="宋体" w:eastAsia="宋体" w:hint="default"/>
          <w:b/>
          <w:bCs/>
          <w:sz w:val="24"/>
          <w:szCs w:val="24"/>
        </w:rPr>
        <w:t>（一）控股股东情况</w:t>
      </w:r>
      <w:r>
        <w:rPr>
          <w:rFonts w:ascii="宋体" w:hAnsi="宋体" w:cs="宋体" w:eastAsia="宋体" w:hint="default"/>
          <w:b/>
          <w:bCs/>
          <w:w w:val="99"/>
          <w:sz w:val="24"/>
          <w:szCs w:val="24"/>
        </w:rPr>
        <w:t> </w:t>
      </w:r>
      <w:r>
        <w:rPr>
          <w:rFonts w:ascii="宋体" w:hAnsi="宋体" w:cs="宋体" w:eastAsia="宋体" w:hint="default"/>
          <w:sz w:val="24"/>
          <w:szCs w:val="24"/>
        </w:rPr>
        <w:t>公司第一大股东为北京用友科技有限公司。</w:t>
      </w:r>
    </w:p>
    <w:p>
      <w:pPr>
        <w:pStyle w:val="Heading3"/>
        <w:spacing w:line="240" w:lineRule="auto" w:before="46"/>
        <w:ind w:left="618" w:right="0"/>
        <w:jc w:val="left"/>
      </w:pPr>
      <w:r>
        <w:rPr/>
        <w:t>北京用友科技有限公司法定代表人为王文京先生。该公司成立于</w:t>
      </w:r>
      <w:r>
        <w:rPr>
          <w:spacing w:val="-70"/>
        </w:rPr>
        <w:t> </w:t>
      </w:r>
      <w:r>
        <w:rPr>
          <w:rFonts w:ascii="宋体" w:hAnsi="宋体" w:cs="宋体" w:eastAsia="宋体" w:hint="default"/>
        </w:rPr>
        <w:t>1999</w:t>
      </w:r>
      <w:r>
        <w:rPr>
          <w:rFonts w:ascii="宋体" w:hAnsi="宋体" w:cs="宋体" w:eastAsia="宋体" w:hint="default"/>
          <w:spacing w:val="-70"/>
        </w:rPr>
        <w:t> </w:t>
      </w:r>
      <w:r>
        <w:rPr/>
        <w:t>年</w:t>
      </w:r>
      <w:r>
        <w:rPr>
          <w:spacing w:val="-70"/>
        </w:rPr>
        <w:t> </w:t>
      </w:r>
      <w:r>
        <w:rPr>
          <w:rFonts w:ascii="宋体" w:hAnsi="宋体" w:cs="宋体" w:eastAsia="宋体" w:hint="default"/>
        </w:rPr>
        <w:t>4</w:t>
      </w:r>
      <w:r>
        <w:rPr>
          <w:rFonts w:ascii="宋体" w:hAnsi="宋体" w:cs="宋体" w:eastAsia="宋体" w:hint="default"/>
          <w:spacing w:val="-70"/>
        </w:rPr>
        <w:t> </w:t>
      </w:r>
      <w:r>
        <w:rPr/>
        <w:t>月</w:t>
      </w:r>
      <w:r>
        <w:rPr>
          <w:spacing w:val="-70"/>
        </w:rPr>
        <w:t> </w:t>
      </w:r>
      <w:r>
        <w:rPr>
          <w:rFonts w:ascii="宋体" w:hAnsi="宋体" w:cs="宋体" w:eastAsia="宋体" w:hint="default"/>
        </w:rPr>
        <w:t>15</w:t>
      </w:r>
      <w:r>
        <w:rPr>
          <w:rFonts w:ascii="宋体" w:hAnsi="宋体" w:cs="宋体" w:eastAsia="宋体" w:hint="default"/>
          <w:spacing w:val="-70"/>
        </w:rPr>
        <w:t> </w:t>
      </w:r>
      <w:r>
        <w:rPr/>
        <w:t>日，</w:t>
      </w:r>
    </w:p>
    <w:p>
      <w:pPr>
        <w:pStyle w:val="Heading3"/>
        <w:spacing w:line="300" w:lineRule="auto" w:before="74"/>
        <w:ind w:right="207"/>
        <w:jc w:val="left"/>
      </w:pPr>
      <w:r>
        <w:rPr/>
        <w:t>注册资本为人民币</w:t>
      </w:r>
      <w:r>
        <w:rPr>
          <w:spacing w:val="-52"/>
        </w:rPr>
        <w:t> </w:t>
      </w:r>
      <w:r>
        <w:rPr>
          <w:rFonts w:ascii="宋体" w:hAnsi="宋体" w:cs="宋体" w:eastAsia="宋体" w:hint="default"/>
        </w:rPr>
        <w:t>85,000,000</w:t>
      </w:r>
      <w:r>
        <w:rPr>
          <w:rFonts w:ascii="宋体" w:hAnsi="宋体" w:cs="宋体" w:eastAsia="宋体" w:hint="default"/>
          <w:spacing w:val="-52"/>
        </w:rPr>
        <w:t> </w:t>
      </w:r>
      <w:r>
        <w:rPr>
          <w:spacing w:val="-3"/>
        </w:rPr>
        <w:t>元，经营范围包括：技术开发、技术转让、技术咨询、技</w:t>
      </w:r>
      <w:r>
        <w:rPr/>
        <w:t> 术服务；企业管理咨询、经济信息咨询；项目投资；投资管理。</w:t>
      </w:r>
    </w:p>
    <w:p>
      <w:pPr>
        <w:pStyle w:val="Heading2"/>
        <w:spacing w:line="240" w:lineRule="auto" w:before="134"/>
        <w:ind w:left="620" w:right="232"/>
        <w:jc w:val="left"/>
        <w:rPr>
          <w:b w:val="0"/>
          <w:bCs w:val="0"/>
        </w:rPr>
      </w:pPr>
      <w:r>
        <w:rPr/>
        <w:t>（二）实际控制人情况</w:t>
      </w:r>
      <w:r>
        <w:rPr>
          <w:b w:val="0"/>
          <w:bCs w:val="0"/>
        </w:rPr>
      </w:r>
    </w:p>
    <w:p>
      <w:pPr>
        <w:pStyle w:val="Heading2"/>
        <w:spacing w:line="240" w:lineRule="auto" w:before="194"/>
        <w:ind w:left="704" w:right="232"/>
        <w:jc w:val="left"/>
        <w:rPr>
          <w:b w:val="0"/>
          <w:bCs w:val="0"/>
        </w:rPr>
      </w:pPr>
      <w:r>
        <w:rPr>
          <w:rFonts w:ascii="宋体" w:hAnsi="宋体" w:cs="宋体" w:eastAsia="宋体" w:hint="default"/>
        </w:rPr>
        <w:t>1</w:t>
      </w:r>
      <w:r>
        <w:rPr/>
        <w:t>、自然人</w:t>
      </w:r>
      <w:r>
        <w:rPr>
          <w:b w:val="0"/>
          <w:bCs w:val="0"/>
        </w:rPr>
      </w:r>
    </w:p>
    <w:p>
      <w:pPr>
        <w:spacing w:line="240" w:lineRule="auto" w:before="10"/>
        <w:rPr>
          <w:rFonts w:ascii="宋体" w:hAnsi="宋体" w:cs="宋体" w:eastAsia="宋体" w:hint="default"/>
          <w:b/>
          <w:bCs/>
          <w:sz w:val="17"/>
          <w:szCs w:val="17"/>
        </w:rPr>
      </w:pPr>
    </w:p>
    <w:tbl>
      <w:tblPr>
        <w:tblW w:w="0" w:type="auto"/>
        <w:jc w:val="left"/>
        <w:tblInd w:w="123" w:type="dxa"/>
        <w:tblLayout w:type="fixed"/>
        <w:tblCellMar>
          <w:top w:w="0" w:type="dxa"/>
          <w:left w:w="0" w:type="dxa"/>
          <w:bottom w:w="0" w:type="dxa"/>
          <w:right w:w="0" w:type="dxa"/>
        </w:tblCellMar>
        <w:tblLook w:val="01E0"/>
      </w:tblPr>
      <w:tblGrid>
        <w:gridCol w:w="4603"/>
        <w:gridCol w:w="4697"/>
      </w:tblGrid>
      <w:tr>
        <w:trPr>
          <w:trHeight w:val="355" w:hRule="exact"/>
        </w:trPr>
        <w:tc>
          <w:tcPr>
            <w:tcW w:w="4603" w:type="dxa"/>
            <w:tcBorders>
              <w:top w:val="single" w:sz="6" w:space="0" w:color="090909"/>
              <w:left w:val="single" w:sz="6" w:space="0" w:color="090909"/>
              <w:bottom w:val="single" w:sz="6" w:space="0" w:color="090909"/>
              <w:right w:val="single" w:sz="6" w:space="0" w:color="090909"/>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4697" w:type="dxa"/>
            <w:tcBorders>
              <w:top w:val="single" w:sz="6" w:space="0" w:color="090909"/>
              <w:left w:val="single" w:sz="6" w:space="0" w:color="090909"/>
              <w:bottom w:val="single" w:sz="6" w:space="0" w:color="090909"/>
              <w:right w:val="single" w:sz="6" w:space="0" w:color="090909"/>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王文京</w:t>
            </w:r>
          </w:p>
        </w:tc>
      </w:tr>
      <w:tr>
        <w:trPr>
          <w:trHeight w:val="355" w:hRule="exact"/>
        </w:trPr>
        <w:tc>
          <w:tcPr>
            <w:tcW w:w="4603" w:type="dxa"/>
            <w:tcBorders>
              <w:top w:val="single" w:sz="6" w:space="0" w:color="090909"/>
              <w:left w:val="single" w:sz="6" w:space="0" w:color="090909"/>
              <w:bottom w:val="single" w:sz="6" w:space="0" w:color="090909"/>
              <w:right w:val="single" w:sz="6" w:space="0" w:color="090909"/>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4697" w:type="dxa"/>
            <w:tcBorders>
              <w:top w:val="single" w:sz="6" w:space="0" w:color="090909"/>
              <w:left w:val="single" w:sz="6" w:space="0" w:color="090909"/>
              <w:bottom w:val="single" w:sz="6" w:space="0" w:color="090909"/>
              <w:right w:val="single" w:sz="6" w:space="0" w:color="090909"/>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355" w:hRule="exact"/>
        </w:trPr>
        <w:tc>
          <w:tcPr>
            <w:tcW w:w="4603" w:type="dxa"/>
            <w:tcBorders>
              <w:top w:val="single" w:sz="6" w:space="0" w:color="090909"/>
              <w:left w:val="single" w:sz="6" w:space="0" w:color="090909"/>
              <w:bottom w:val="single" w:sz="6" w:space="0" w:color="090909"/>
              <w:right w:val="single" w:sz="6" w:space="0" w:color="090909"/>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4697" w:type="dxa"/>
            <w:tcBorders>
              <w:top w:val="single" w:sz="6" w:space="0" w:color="090909"/>
              <w:left w:val="single" w:sz="6" w:space="0" w:color="090909"/>
              <w:bottom w:val="single" w:sz="6" w:space="0" w:color="090909"/>
              <w:right w:val="single" w:sz="6" w:space="0" w:color="090909"/>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1378" w:hRule="exact"/>
        </w:trPr>
        <w:tc>
          <w:tcPr>
            <w:tcW w:w="4603" w:type="dxa"/>
            <w:tcBorders>
              <w:top w:val="single" w:sz="6" w:space="0" w:color="090909"/>
              <w:left w:val="single" w:sz="6" w:space="0" w:color="090909"/>
              <w:bottom w:val="single" w:sz="6" w:space="0" w:color="090909"/>
              <w:right w:val="single" w:sz="6" w:space="0" w:color="090909"/>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年内的职业及职务</w:t>
            </w:r>
          </w:p>
        </w:tc>
        <w:tc>
          <w:tcPr>
            <w:tcW w:w="4697" w:type="dxa"/>
            <w:tcBorders>
              <w:top w:val="single" w:sz="6" w:space="0" w:color="090909"/>
              <w:left w:val="single" w:sz="6" w:space="0" w:color="090909"/>
              <w:bottom w:val="single" w:sz="6" w:space="0" w:color="090909"/>
              <w:right w:val="single" w:sz="6" w:space="0" w:color="090909"/>
            </w:tcBorders>
          </w:tcPr>
          <w:p>
            <w:pPr>
              <w:pStyle w:val="TableParagraph"/>
              <w:spacing w:line="241" w:lineRule="exact"/>
              <w:ind w:left="98" w:right="0" w:hanging="1"/>
              <w:jc w:val="both"/>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6"/>
                <w:sz w:val="21"/>
                <w:szCs w:val="21"/>
              </w:rPr>
              <w:t> </w:t>
            </w:r>
            <w:r>
              <w:rPr>
                <w:rFonts w:ascii="宋体" w:hAnsi="宋体" w:cs="宋体" w:eastAsia="宋体" w:hint="default"/>
                <w:sz w:val="21"/>
                <w:szCs w:val="21"/>
              </w:rPr>
              <w:t>年任公司董事长兼总裁，还担任畅捷通公</w:t>
            </w:r>
          </w:p>
          <w:p>
            <w:pPr>
              <w:pStyle w:val="TableParagraph"/>
              <w:spacing w:line="297" w:lineRule="auto" w:before="66"/>
              <w:ind w:left="98" w:right="167"/>
              <w:jc w:val="both"/>
              <w:rPr>
                <w:rFonts w:ascii="宋体" w:hAnsi="宋体" w:cs="宋体" w:eastAsia="宋体" w:hint="default"/>
                <w:sz w:val="21"/>
                <w:szCs w:val="21"/>
              </w:rPr>
            </w:pPr>
            <w:r>
              <w:rPr>
                <w:rFonts w:ascii="宋体" w:hAnsi="宋体" w:cs="宋体" w:eastAsia="宋体" w:hint="default"/>
                <w:spacing w:val="-2"/>
                <w:sz w:val="21"/>
                <w:szCs w:val="21"/>
              </w:rPr>
              <w:t>司董事长、用友政务公司董事长、用友烟草公司</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2"/>
                <w:sz w:val="21"/>
                <w:szCs w:val="21"/>
              </w:rPr>
              <w:t>董事长、用友汽车公司董事长、用友新道公司执</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行董事等职务。</w:t>
            </w:r>
          </w:p>
        </w:tc>
      </w:tr>
      <w:tr>
        <w:trPr>
          <w:trHeight w:val="355" w:hRule="exact"/>
        </w:trPr>
        <w:tc>
          <w:tcPr>
            <w:tcW w:w="4603" w:type="dxa"/>
            <w:tcBorders>
              <w:top w:val="single" w:sz="6" w:space="0" w:color="090909"/>
              <w:left w:val="single" w:sz="6" w:space="0" w:color="090909"/>
              <w:bottom w:val="single" w:sz="6" w:space="0" w:color="090909"/>
              <w:right w:val="single" w:sz="6" w:space="0" w:color="090909"/>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57"/>
                <w:sz w:val="21"/>
                <w:szCs w:val="21"/>
              </w:rPr>
              <w:t> </w:t>
            </w:r>
            <w:r>
              <w:rPr>
                <w:rFonts w:ascii="宋体" w:hAnsi="宋体" w:cs="宋体" w:eastAsia="宋体" w:hint="default"/>
                <w:sz w:val="21"/>
                <w:szCs w:val="21"/>
              </w:rPr>
              <w:t>10</w:t>
            </w:r>
            <w:r>
              <w:rPr>
                <w:rFonts w:ascii="宋体" w:hAnsi="宋体" w:cs="宋体" w:eastAsia="宋体" w:hint="default"/>
                <w:spacing w:val="-57"/>
                <w:sz w:val="21"/>
                <w:szCs w:val="21"/>
              </w:rPr>
              <w:t> </w:t>
            </w:r>
            <w:r>
              <w:rPr>
                <w:rFonts w:ascii="宋体" w:hAnsi="宋体" w:cs="宋体" w:eastAsia="宋体" w:hint="default"/>
                <w:sz w:val="21"/>
                <w:szCs w:val="21"/>
              </w:rPr>
              <w:t>年曾控股的境内外上市公司情况</w:t>
            </w:r>
          </w:p>
        </w:tc>
        <w:tc>
          <w:tcPr>
            <w:tcW w:w="4697" w:type="dxa"/>
            <w:tcBorders>
              <w:top w:val="single" w:sz="6" w:space="0" w:color="090909"/>
              <w:left w:val="single" w:sz="6" w:space="0" w:color="090909"/>
              <w:bottom w:val="single" w:sz="6" w:space="0" w:color="090909"/>
              <w:right w:val="single" w:sz="6" w:space="0" w:color="090909"/>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Heading3"/>
        <w:spacing w:line="240" w:lineRule="auto" w:before="82"/>
        <w:ind w:left="618" w:right="232"/>
        <w:jc w:val="left"/>
      </w:pPr>
      <w:r>
        <w:rPr/>
        <w:t>该公司的实际控制人为王文京先生，其具体情况如下：</w:t>
      </w:r>
    </w:p>
    <w:p>
      <w:pPr>
        <w:pStyle w:val="Heading3"/>
        <w:spacing w:line="297" w:lineRule="auto" w:before="194"/>
        <w:ind w:right="218" w:firstLine="480"/>
        <w:jc w:val="both"/>
      </w:pPr>
      <w:r>
        <w:rPr/>
        <w:t>王文京先生，</w:t>
      </w:r>
      <w:r>
        <w:rPr>
          <w:rFonts w:ascii="宋体" w:hAnsi="宋体" w:cs="宋体" w:eastAsia="宋体" w:hint="default"/>
        </w:rPr>
        <w:t>1964</w:t>
      </w:r>
      <w:r>
        <w:rPr>
          <w:rFonts w:ascii="宋体" w:hAnsi="宋体" w:cs="宋体" w:eastAsia="宋体" w:hint="default"/>
          <w:spacing w:val="-44"/>
        </w:rPr>
        <w:t> </w:t>
      </w:r>
      <w:r>
        <w:rPr/>
        <w:t>年</w:t>
      </w:r>
      <w:r>
        <w:rPr>
          <w:spacing w:val="-44"/>
        </w:rPr>
        <w:t> </w:t>
      </w:r>
      <w:r>
        <w:rPr>
          <w:rFonts w:ascii="宋体" w:hAnsi="宋体" w:cs="宋体" w:eastAsia="宋体" w:hint="default"/>
        </w:rPr>
        <w:t>12</w:t>
      </w:r>
      <w:r>
        <w:rPr>
          <w:rFonts w:ascii="宋体" w:hAnsi="宋体" w:cs="宋体" w:eastAsia="宋体" w:hint="default"/>
          <w:spacing w:val="-44"/>
        </w:rPr>
        <w:t> </w:t>
      </w:r>
      <w:r>
        <w:rPr/>
        <w:t>月出生，经济学学士，</w:t>
      </w:r>
      <w:r>
        <w:rPr>
          <w:rFonts w:ascii="宋体" w:hAnsi="宋体" w:cs="宋体" w:eastAsia="宋体" w:hint="default"/>
        </w:rPr>
        <w:t>1983</w:t>
      </w:r>
      <w:r>
        <w:rPr/>
        <w:t>～</w:t>
      </w:r>
      <w:r>
        <w:rPr>
          <w:rFonts w:ascii="宋体" w:hAnsi="宋体" w:cs="宋体" w:eastAsia="宋体" w:hint="default"/>
        </w:rPr>
        <w:t>1988</w:t>
      </w:r>
      <w:r>
        <w:rPr>
          <w:rFonts w:ascii="宋体" w:hAnsi="宋体" w:cs="宋体" w:eastAsia="宋体" w:hint="default"/>
          <w:spacing w:val="-44"/>
        </w:rPr>
        <w:t> </w:t>
      </w:r>
      <w:r>
        <w:rPr/>
        <w:t>年在国务院某直属机关 工作。</w:t>
      </w:r>
      <w:r>
        <w:rPr>
          <w:rFonts w:ascii="宋体" w:hAnsi="宋体" w:cs="宋体" w:eastAsia="宋体" w:hint="default"/>
        </w:rPr>
        <w:t>1988</w:t>
      </w:r>
      <w:r>
        <w:rPr>
          <w:rFonts w:ascii="宋体" w:hAnsi="宋体" w:cs="宋体" w:eastAsia="宋体" w:hint="default"/>
          <w:spacing w:val="-56"/>
        </w:rPr>
        <w:t> </w:t>
      </w:r>
      <w:r>
        <w:rPr/>
        <w:t>年与苏启强先生共同出资创建用友软件服务社，曾任用友软件股份有限公司 董事长、总裁等职务，现任公司董事长兼总裁。王文京先生是中国软件行业协会副理事</w:t>
      </w:r>
      <w:r>
        <w:rPr>
          <w:spacing w:val="-65"/>
        </w:rPr>
        <w:t> </w:t>
      </w:r>
      <w:r>
        <w:rPr>
          <w:spacing w:val="-65"/>
        </w:rPr>
      </w:r>
      <w:r>
        <w:rPr/>
        <w:t>长、第九届、第十届、第十一届和第十二届全国人大代表。</w:t>
      </w:r>
    </w:p>
    <w:p>
      <w:pPr>
        <w:pStyle w:val="Heading3"/>
        <w:spacing w:line="297" w:lineRule="auto"/>
        <w:ind w:right="214" w:firstLine="480"/>
        <w:jc w:val="both"/>
      </w:pPr>
      <w:r>
        <w:rPr/>
        <w:t>王文京先生曾荣获“中国优秀民营企业家”、“中国优秀民办科技实业家”、“优 秀董事长”、“全国劳动模范”、“优秀中国特色社会主义事业建设者”、“求是杰出</w:t>
      </w:r>
      <w:r>
        <w:rPr>
          <w:spacing w:val="-65"/>
        </w:rPr>
        <w:t> </w:t>
      </w:r>
      <w:r>
        <w:rPr>
          <w:spacing w:val="-65"/>
        </w:rPr>
      </w:r>
      <w:r>
        <w:rPr/>
        <w:t>青年”、</w:t>
      </w:r>
      <w:r>
        <w:rPr>
          <w:spacing w:val="29"/>
        </w:rPr>
        <w:t> </w:t>
      </w:r>
      <w:r>
        <w:rPr/>
        <w:t>“中国软件企业十大领军人物”、“中国年度经济人物”（</w:t>
      </w:r>
      <w:r>
        <w:rPr>
          <w:rFonts w:ascii="宋体" w:hAnsi="宋体" w:cs="宋体" w:eastAsia="宋体" w:hint="default"/>
        </w:rPr>
        <w:t>CCTV</w:t>
      </w:r>
      <w:r>
        <w:rPr>
          <w:rFonts w:ascii="宋体" w:hAnsi="宋体" w:cs="宋体" w:eastAsia="宋体" w:hint="default"/>
          <w:spacing w:val="26"/>
        </w:rPr>
        <w:t> </w:t>
      </w:r>
      <w:r>
        <w:rPr>
          <w:rFonts w:ascii="宋体" w:hAnsi="宋体" w:cs="宋体" w:eastAsia="宋体" w:hint="default"/>
        </w:rPr>
        <w:t>2001</w:t>
      </w:r>
      <w:r>
        <w:rPr/>
        <w:t>’）、</w:t>
      </w:r>
      <w:r>
        <w:rPr>
          <w:spacing w:val="-117"/>
        </w:rPr>
        <w:t> </w:t>
      </w:r>
      <w:r>
        <w:rPr/>
        <w:t>美国《商业周刊》评选的“亚洲之星”、“爱心捐助奖”等称号及荣誉。</w:t>
      </w:r>
    </w:p>
    <w:p>
      <w:pPr>
        <w:spacing w:line="388" w:lineRule="auto" w:before="137"/>
        <w:ind w:left="618" w:right="4328" w:firstLine="2"/>
        <w:jc w:val="left"/>
        <w:rPr>
          <w:rFonts w:ascii="宋体" w:hAnsi="宋体" w:cs="宋体" w:eastAsia="宋体" w:hint="default"/>
          <w:sz w:val="24"/>
          <w:szCs w:val="24"/>
        </w:rPr>
      </w:pPr>
      <w:r>
        <w:rPr>
          <w:rFonts w:ascii="宋体" w:hAnsi="宋体" w:cs="宋体" w:eastAsia="宋体" w:hint="default"/>
          <w:b/>
          <w:bCs/>
          <w:sz w:val="24"/>
          <w:szCs w:val="24"/>
        </w:rPr>
        <w:t>（三）控股股东及实际控制人其他情况介绍</w:t>
      </w:r>
      <w:r>
        <w:rPr>
          <w:rFonts w:ascii="宋体" w:hAnsi="宋体" w:cs="宋体" w:eastAsia="宋体" w:hint="default"/>
          <w:b/>
          <w:bCs/>
          <w:w w:val="99"/>
          <w:sz w:val="24"/>
          <w:szCs w:val="24"/>
        </w:rPr>
        <w:t> </w:t>
      </w:r>
      <w:r>
        <w:rPr>
          <w:rFonts w:ascii="宋体" w:hAnsi="宋体" w:cs="宋体" w:eastAsia="宋体" w:hint="default"/>
          <w:sz w:val="24"/>
          <w:szCs w:val="24"/>
        </w:rPr>
        <w:t>公司与实际控制人的产权控制关系如下：</w:t>
      </w:r>
    </w:p>
    <w:p>
      <w:pPr>
        <w:spacing w:after="0" w:line="388" w:lineRule="auto"/>
        <w:jc w:val="left"/>
        <w:rPr>
          <w:rFonts w:ascii="宋体" w:hAnsi="宋体" w:cs="宋体" w:eastAsia="宋体" w:hint="default"/>
          <w:sz w:val="24"/>
          <w:szCs w:val="24"/>
        </w:rPr>
        <w:sectPr>
          <w:pgSz w:w="11910" w:h="16850"/>
          <w:pgMar w:header="752" w:footer="730" w:top="1020" w:bottom="920" w:left="1280" w:right="10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Heading5"/>
        <w:spacing w:line="240" w:lineRule="auto" w:before="74"/>
        <w:ind w:right="914"/>
        <w:jc w:val="right"/>
        <w:rPr>
          <w:rFonts w:ascii="Arial" w:hAnsi="Arial" w:cs="Arial" w:eastAsia="Arial" w:hint="default"/>
        </w:rPr>
      </w:pPr>
      <w:r>
        <w:rPr/>
        <w:pict>
          <v:group style="position:absolute;margin-left:159pt;margin-top:-55.586143pt;width:294pt;height:78.4pt;mso-position-horizontal-relative:page;mso-position-vertical-relative:paragraph;z-index:-1311472" coordorigin="3180,-1112" coordsize="5880,1568">
            <v:group style="position:absolute;left:5040;top:-1104;width:1980;height:531" coordorigin="5040,-1104" coordsize="1980,531">
              <v:shape style="position:absolute;left:5040;top:-1104;width:1980;height:531" coordorigin="5040,-1104" coordsize="1980,531" path="m5040,-573l7020,-573,7020,-1104,5040,-1104,5040,-573xe" filled="false" stroked="true" strokeweight=".75pt" strokecolor="#000000">
                <v:path arrowok="t"/>
              </v:shape>
            </v:group>
            <v:group style="position:absolute;left:3240;top:-324;width:5760;height:2" coordorigin="3240,-324" coordsize="5760,2">
              <v:shape style="position:absolute;left:3240;top:-324;width:5760;height:2" coordorigin="3240,-324" coordsize="5760,1" path="m3240,-324l9000,-323e" filled="false" stroked="true" strokeweight=".75pt" strokecolor="#000000">
                <v:path arrowok="t"/>
              </v:shape>
            </v:group>
            <v:group style="position:absolute;left:6120;top:-600;width:2;height:276" coordorigin="6120,-600" coordsize="2,276">
              <v:shape style="position:absolute;left:6120;top:-600;width:2;height:276" coordorigin="6120,-600" coordsize="1,276" path="m6120,-600l6121,-324e" filled="false" stroked="true" strokeweight=".75pt" strokecolor="#000000">
                <v:path arrowok="t"/>
              </v:shape>
            </v:group>
            <v:group style="position:absolute;left:3240;top:-324;width:2;height:680" coordorigin="3240,-324" coordsize="2,680">
              <v:shape style="position:absolute;left:3240;top:-324;width:2;height:680" coordorigin="3240,-324" coordsize="0,680" path="m3240,-324l3240,356e" filled="false" stroked="true" strokeweight="1pt" strokecolor="#000000">
                <v:path arrowok="t"/>
              </v:shape>
            </v:group>
            <v:group style="position:absolute;left:3180;top:336;width:120;height:120" coordorigin="3180,336" coordsize="120,120">
              <v:shape style="position:absolute;left:3180;top:336;width:120;height:120" coordorigin="3180,336" coordsize="120,120" path="m3300,336l3180,336,3240,456,3300,336xe" filled="true" fillcolor="#000000" stroked="false">
                <v:path arrowok="t"/>
                <v:fill type="solid"/>
              </v:shape>
            </v:group>
            <v:group style="position:absolute;left:6120;top:-324;width:2;height:680" coordorigin="6120,-324" coordsize="2,680">
              <v:shape style="position:absolute;left:6120;top:-324;width:2;height:680" coordorigin="6120,-324" coordsize="0,680" path="m6120,-324l6120,356e" filled="false" stroked="true" strokeweight="1pt" strokecolor="#000000">
                <v:path arrowok="t"/>
              </v:shape>
            </v:group>
            <v:group style="position:absolute;left:6060;top:336;width:120;height:120" coordorigin="6060,336" coordsize="120,120">
              <v:shape style="position:absolute;left:6060;top:336;width:120;height:120" coordorigin="6060,336" coordsize="120,120" path="m6180,336l6060,336,6120,456,6180,336xe" filled="true" fillcolor="#000000" stroked="false">
                <v:path arrowok="t"/>
                <v:fill type="solid"/>
              </v:shape>
            </v:group>
            <v:group style="position:absolute;left:9000;top:-324;width:2;height:680" coordorigin="9000,-324" coordsize="2,680">
              <v:shape style="position:absolute;left:9000;top:-324;width:2;height:680" coordorigin="9000,-324" coordsize="0,680" path="m9000,-324l9000,356e" filled="false" stroked="true" strokeweight="1pt" strokecolor="#000000">
                <v:path arrowok="t"/>
              </v:shape>
            </v:group>
            <v:group style="position:absolute;left:8940;top:336;width:120;height:120" coordorigin="8940,336" coordsize="120,120">
              <v:shape style="position:absolute;left:8940;top:336;width:120;height:120" coordorigin="8940,336" coordsize="120,120" path="m9060,336l8940,336,9000,456,9060,336xe" filled="true" fillcolor="#000000" stroked="false">
                <v:path arrowok="t"/>
                <v:fill type="solid"/>
              </v:shape>
              <v:shape style="position:absolute;left:5040;top:-1104;width:1980;height:531" type="#_x0000_t202" filled="false" stroked="false">
                <v:textbox inset="0,0,0,0">
                  <w:txbxContent>
                    <w:p>
                      <w:pPr>
                        <w:spacing w:before="45"/>
                        <w:ind w:left="2" w:right="0" w:firstLine="0"/>
                        <w:jc w:val="center"/>
                        <w:rPr>
                          <w:rFonts w:ascii="宋体" w:hAnsi="宋体" w:cs="宋体" w:eastAsia="宋体" w:hint="default"/>
                          <w:sz w:val="21"/>
                          <w:szCs w:val="21"/>
                        </w:rPr>
                      </w:pPr>
                      <w:r>
                        <w:rPr>
                          <w:rFonts w:ascii="宋体" w:hAnsi="宋体" w:cs="宋体" w:eastAsia="宋体" w:hint="default"/>
                          <w:sz w:val="21"/>
                          <w:szCs w:val="21"/>
                        </w:rPr>
                        <w:t>王文京</w:t>
                      </w:r>
                    </w:p>
                  </w:txbxContent>
                </v:textbox>
                <w10:wrap type="none"/>
              </v:shape>
              <v:shape style="position:absolute;left:3406;top:11;width:424;height:212" type="#_x0000_t202" filled="false" stroked="false">
                <v:textbox inset="0,0,0,0">
                  <w:txbxContent>
                    <w:p>
                      <w:pPr>
                        <w:spacing w:line="211" w:lineRule="exact" w:before="0"/>
                        <w:ind w:left="0" w:right="0" w:firstLine="0"/>
                        <w:jc w:val="left"/>
                        <w:rPr>
                          <w:rFonts w:ascii="Arial" w:hAnsi="Arial" w:cs="Arial" w:eastAsia="Arial" w:hint="default"/>
                          <w:sz w:val="21"/>
                          <w:szCs w:val="21"/>
                        </w:rPr>
                      </w:pPr>
                      <w:r>
                        <w:rPr>
                          <w:rFonts w:ascii="Arial"/>
                          <w:sz w:val="21"/>
                        </w:rPr>
                        <w:t>99%</w:t>
                      </w:r>
                    </w:p>
                  </w:txbxContent>
                </v:textbox>
                <w10:wrap type="none"/>
              </v:shape>
              <v:shape style="position:absolute;left:6286;top:61;width:716;height:212" type="#_x0000_t202" filled="false" stroked="false">
                <v:textbox inset="0,0,0,0">
                  <w:txbxContent>
                    <w:p>
                      <w:pPr>
                        <w:spacing w:line="211" w:lineRule="exact" w:before="0"/>
                        <w:ind w:left="0" w:right="0" w:firstLine="0"/>
                        <w:jc w:val="left"/>
                        <w:rPr>
                          <w:rFonts w:ascii="Arial" w:hAnsi="Arial" w:cs="Arial" w:eastAsia="Arial" w:hint="default"/>
                          <w:sz w:val="21"/>
                          <w:szCs w:val="21"/>
                        </w:rPr>
                      </w:pPr>
                      <w:r>
                        <w:rPr>
                          <w:rFonts w:ascii="Arial"/>
                          <w:spacing w:val="-1"/>
                          <w:sz w:val="21"/>
                        </w:rPr>
                        <w:t>66.54%</w:t>
                      </w:r>
                    </w:p>
                  </w:txbxContent>
                </v:textbox>
                <w10:wrap type="none"/>
              </v:shape>
            </v:group>
            <w10:wrap type="none"/>
          </v:group>
        </w:pict>
      </w:r>
      <w:r>
        <w:rPr>
          <w:rFonts w:ascii="Arial"/>
          <w:spacing w:val="-1"/>
        </w:rPr>
        <w:t>76.26%</w:t>
      </w:r>
    </w:p>
    <w:p>
      <w:pPr>
        <w:spacing w:line="240" w:lineRule="auto" w:before="6"/>
        <w:rPr>
          <w:rFonts w:ascii="Arial" w:hAnsi="Arial" w:cs="Arial" w:eastAsia="Arial" w:hint="default"/>
          <w:sz w:val="11"/>
          <w:szCs w:val="11"/>
        </w:rPr>
      </w:pPr>
    </w:p>
    <w:tbl>
      <w:tblPr>
        <w:tblW w:w="0" w:type="auto"/>
        <w:jc w:val="left"/>
        <w:tblInd w:w="1052" w:type="dxa"/>
        <w:tblLayout w:type="fixed"/>
        <w:tblCellMar>
          <w:top w:w="0" w:type="dxa"/>
          <w:left w:w="0" w:type="dxa"/>
          <w:bottom w:w="0" w:type="dxa"/>
          <w:right w:w="0" w:type="dxa"/>
        </w:tblCellMar>
        <w:tblLook w:val="01E0"/>
      </w:tblPr>
      <w:tblGrid>
        <w:gridCol w:w="901"/>
        <w:gridCol w:w="1080"/>
        <w:gridCol w:w="720"/>
        <w:gridCol w:w="1080"/>
        <w:gridCol w:w="900"/>
        <w:gridCol w:w="960"/>
        <w:gridCol w:w="1020"/>
        <w:gridCol w:w="1080"/>
      </w:tblGrid>
      <w:tr>
        <w:trPr>
          <w:trHeight w:val="687" w:hRule="exact"/>
        </w:trPr>
        <w:tc>
          <w:tcPr>
            <w:tcW w:w="198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666" w:right="242" w:hanging="421"/>
              <w:jc w:val="left"/>
              <w:rPr>
                <w:rFonts w:ascii="宋体" w:hAnsi="宋体" w:cs="宋体" w:eastAsia="宋体" w:hint="default"/>
                <w:sz w:val="21"/>
                <w:szCs w:val="21"/>
              </w:rPr>
            </w:pPr>
            <w:r>
              <w:rPr>
                <w:rFonts w:ascii="宋体" w:hAnsi="宋体" w:cs="宋体" w:eastAsia="宋体" w:hint="default"/>
                <w:sz w:val="21"/>
                <w:szCs w:val="21"/>
              </w:rPr>
              <w:t>北京用友科技有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p>
        </w:tc>
        <w:tc>
          <w:tcPr>
            <w:tcW w:w="720" w:type="dxa"/>
            <w:tcBorders>
              <w:top w:val="nil" w:sz="6" w:space="0" w:color="auto"/>
              <w:left w:val="single" w:sz="6" w:space="0" w:color="000000"/>
              <w:bottom w:val="nil" w:sz="6" w:space="0" w:color="auto"/>
              <w:right w:val="single" w:sz="6" w:space="0" w:color="000000"/>
            </w:tcBorders>
          </w:tcPr>
          <w:p>
            <w:pPr/>
          </w:p>
        </w:tc>
        <w:tc>
          <w:tcPr>
            <w:tcW w:w="198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352" w:right="347"/>
              <w:jc w:val="left"/>
              <w:rPr>
                <w:rFonts w:ascii="宋体" w:hAnsi="宋体" w:cs="宋体" w:eastAsia="宋体" w:hint="default"/>
                <w:sz w:val="21"/>
                <w:szCs w:val="21"/>
              </w:rPr>
            </w:pPr>
            <w:r>
              <w:rPr>
                <w:rFonts w:ascii="宋体" w:hAnsi="宋体" w:cs="宋体" w:eastAsia="宋体" w:hint="default"/>
                <w:sz w:val="21"/>
                <w:szCs w:val="21"/>
              </w:rPr>
              <w:t>上海用友科技</w:t>
            </w:r>
            <w:r>
              <w:rPr>
                <w:rFonts w:ascii="宋体" w:hAnsi="宋体" w:cs="宋体" w:eastAsia="宋体" w:hint="default"/>
                <w:w w:val="100"/>
                <w:sz w:val="21"/>
                <w:szCs w:val="21"/>
              </w:rPr>
              <w:t> </w:t>
            </w:r>
            <w:r>
              <w:rPr>
                <w:rFonts w:ascii="宋体" w:hAnsi="宋体" w:cs="宋体" w:eastAsia="宋体" w:hint="default"/>
                <w:sz w:val="21"/>
                <w:szCs w:val="21"/>
              </w:rPr>
              <w:t>咨询有限公司</w:t>
            </w:r>
          </w:p>
        </w:tc>
        <w:tc>
          <w:tcPr>
            <w:tcW w:w="960" w:type="dxa"/>
            <w:tcBorders>
              <w:top w:val="nil" w:sz="6" w:space="0" w:color="auto"/>
              <w:left w:val="single" w:sz="6" w:space="0" w:color="000000"/>
              <w:bottom w:val="nil" w:sz="6" w:space="0" w:color="auto"/>
              <w:right w:val="single" w:sz="6" w:space="0" w:color="000000"/>
            </w:tcBorders>
          </w:tcPr>
          <w:p>
            <w:pPr/>
          </w:p>
        </w:tc>
        <w:tc>
          <w:tcPr>
            <w:tcW w:w="21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left="306" w:right="199" w:hanging="106"/>
              <w:jc w:val="left"/>
              <w:rPr>
                <w:rFonts w:ascii="宋体" w:hAnsi="宋体" w:cs="宋体" w:eastAsia="宋体" w:hint="default"/>
                <w:sz w:val="21"/>
                <w:szCs w:val="21"/>
              </w:rPr>
            </w:pPr>
            <w:r>
              <w:rPr>
                <w:rFonts w:ascii="宋体" w:hAnsi="宋体" w:cs="宋体" w:eastAsia="宋体" w:hint="default"/>
                <w:sz w:val="21"/>
                <w:szCs w:val="21"/>
              </w:rPr>
              <w:t>北京用友企业管理</w:t>
            </w:r>
            <w:r>
              <w:rPr>
                <w:rFonts w:ascii="宋体" w:hAnsi="宋体" w:cs="宋体" w:eastAsia="宋体" w:hint="default"/>
                <w:w w:val="100"/>
                <w:sz w:val="21"/>
                <w:szCs w:val="21"/>
              </w:rPr>
              <w:t> </w:t>
            </w:r>
            <w:r>
              <w:rPr>
                <w:rFonts w:ascii="宋体" w:hAnsi="宋体" w:cs="宋体" w:eastAsia="宋体" w:hint="default"/>
                <w:sz w:val="21"/>
                <w:szCs w:val="21"/>
              </w:rPr>
              <w:t>研究所有限公司</w:t>
            </w:r>
          </w:p>
        </w:tc>
      </w:tr>
      <w:tr>
        <w:trPr>
          <w:trHeight w:val="717" w:hRule="exact"/>
        </w:trPr>
        <w:tc>
          <w:tcPr>
            <w:tcW w:w="901" w:type="dxa"/>
            <w:tcBorders>
              <w:top w:val="single" w:sz="6" w:space="0" w:color="000000"/>
              <w:left w:val="nil" w:sz="6" w:space="0" w:color="auto"/>
              <w:bottom w:val="nil" w:sz="6" w:space="0" w:color="auto"/>
              <w:right w:val="single" w:sz="6" w:space="0" w:color="000000"/>
            </w:tcBorders>
          </w:tcPr>
          <w:p>
            <w:pPr/>
          </w:p>
        </w:tc>
        <w:tc>
          <w:tcPr>
            <w:tcW w:w="288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Arial" w:hAnsi="Arial" w:cs="Arial" w:eastAsia="Arial" w:hint="default"/>
                <w:sz w:val="20"/>
                <w:szCs w:val="20"/>
              </w:rPr>
            </w:pPr>
          </w:p>
          <w:p>
            <w:pPr>
              <w:pStyle w:val="TableParagraph"/>
              <w:spacing w:line="240" w:lineRule="auto"/>
              <w:ind w:left="171" w:right="0"/>
              <w:jc w:val="left"/>
              <w:rPr>
                <w:rFonts w:ascii="Arial" w:hAnsi="Arial" w:cs="Arial" w:eastAsia="Arial" w:hint="default"/>
                <w:sz w:val="21"/>
                <w:szCs w:val="21"/>
              </w:rPr>
            </w:pPr>
            <w:r>
              <w:rPr>
                <w:rFonts w:ascii="Arial"/>
                <w:sz w:val="21"/>
              </w:rPr>
              <w:t>29.31%</w:t>
            </w:r>
          </w:p>
        </w:tc>
        <w:tc>
          <w:tcPr>
            <w:tcW w:w="288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Arial" w:hAnsi="Arial" w:cs="Arial" w:eastAsia="Arial" w:hint="default"/>
                <w:sz w:val="20"/>
                <w:szCs w:val="20"/>
              </w:rPr>
            </w:pPr>
          </w:p>
          <w:p>
            <w:pPr>
              <w:pStyle w:val="TableParagraph"/>
              <w:spacing w:line="240" w:lineRule="auto"/>
              <w:ind w:left="171" w:right="0"/>
              <w:jc w:val="left"/>
              <w:rPr>
                <w:rFonts w:ascii="Arial" w:hAnsi="Arial" w:cs="Arial" w:eastAsia="Arial" w:hint="default"/>
                <w:sz w:val="21"/>
                <w:szCs w:val="21"/>
              </w:rPr>
            </w:pPr>
            <w:r>
              <w:rPr>
                <w:rFonts w:ascii="Arial"/>
                <w:sz w:val="21"/>
              </w:rPr>
              <w:t>13.39%</w:t>
            </w:r>
          </w:p>
        </w:tc>
        <w:tc>
          <w:tcPr>
            <w:tcW w:w="1080" w:type="dxa"/>
            <w:tcBorders>
              <w:top w:val="single" w:sz="6" w:space="0" w:color="000000"/>
              <w:left w:val="single" w:sz="6" w:space="0" w:color="000000"/>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20"/>
                <w:szCs w:val="20"/>
              </w:rPr>
            </w:pPr>
          </w:p>
          <w:p>
            <w:pPr>
              <w:pStyle w:val="TableParagraph"/>
              <w:spacing w:line="240" w:lineRule="auto"/>
              <w:ind w:left="171" w:right="0"/>
              <w:jc w:val="left"/>
              <w:rPr>
                <w:rFonts w:ascii="Arial" w:hAnsi="Arial" w:cs="Arial" w:eastAsia="Arial" w:hint="default"/>
                <w:sz w:val="21"/>
                <w:szCs w:val="21"/>
              </w:rPr>
            </w:pPr>
            <w:r>
              <w:rPr>
                <w:rFonts w:ascii="Arial"/>
                <w:sz w:val="21"/>
              </w:rPr>
              <w:t>5.089%</w:t>
            </w:r>
          </w:p>
        </w:tc>
      </w:tr>
      <w:tr>
        <w:trPr>
          <w:trHeight w:val="212" w:hRule="exact"/>
        </w:trPr>
        <w:tc>
          <w:tcPr>
            <w:tcW w:w="3780" w:type="dxa"/>
            <w:gridSpan w:val="4"/>
            <w:tcBorders>
              <w:top w:val="nil" w:sz="6" w:space="0" w:color="auto"/>
              <w:left w:val="nil" w:sz="6" w:space="0" w:color="auto"/>
              <w:bottom w:val="nil" w:sz="6" w:space="0" w:color="auto"/>
              <w:right w:val="single" w:sz="8" w:space="0" w:color="000000"/>
            </w:tcBorders>
          </w:tcPr>
          <w:p>
            <w:pPr/>
          </w:p>
        </w:tc>
        <w:tc>
          <w:tcPr>
            <w:tcW w:w="3960" w:type="dxa"/>
            <w:gridSpan w:val="4"/>
            <w:tcBorders>
              <w:top w:val="nil" w:sz="6" w:space="0" w:color="auto"/>
              <w:left w:val="single" w:sz="8" w:space="0" w:color="000000"/>
              <w:bottom w:val="nil" w:sz="6" w:space="0" w:color="auto"/>
              <w:right w:val="nil" w:sz="6" w:space="0" w:color="auto"/>
            </w:tcBorders>
          </w:tcPr>
          <w:p>
            <w:pPr/>
          </w:p>
        </w:tc>
      </w:tr>
    </w:tbl>
    <w:p>
      <w:pPr>
        <w:spacing w:line="240" w:lineRule="auto" w:before="8"/>
        <w:rPr>
          <w:rFonts w:ascii="Arial" w:hAnsi="Arial" w:cs="Arial" w:eastAsia="Arial" w:hint="default"/>
          <w:sz w:val="8"/>
          <w:szCs w:val="8"/>
        </w:rPr>
      </w:pPr>
    </w:p>
    <w:p>
      <w:pPr>
        <w:spacing w:line="531" w:lineRule="exact"/>
        <w:ind w:left="3760" w:right="0" w:firstLine="0"/>
        <w:rPr>
          <w:rFonts w:ascii="Arial" w:hAnsi="Arial" w:cs="Arial" w:eastAsia="Arial" w:hint="default"/>
          <w:sz w:val="20"/>
          <w:szCs w:val="20"/>
        </w:rPr>
      </w:pPr>
      <w:r>
        <w:rPr>
          <w:rFonts w:ascii="Arial" w:hAnsi="Arial" w:cs="Arial" w:eastAsia="Arial" w:hint="default"/>
          <w:position w:val="-10"/>
          <w:sz w:val="20"/>
          <w:szCs w:val="20"/>
        </w:rPr>
        <w:pict>
          <v:shape style="width:99pt;height:26.55pt;mso-position-horizontal-relative:char;mso-position-vertical-relative:line" type="#_x0000_t202" filled="false" stroked="true" strokeweight=".75pt" strokecolor="#000000">
            <w10:anchorlock/>
            <v:textbox inset="0,0,0,0">
              <w:txbxContent>
                <w:p>
                  <w:pPr>
                    <w:spacing w:before="37"/>
                    <w:ind w:left="561" w:right="0" w:firstLine="0"/>
                    <w:jc w:val="left"/>
                    <w:rPr>
                      <w:rFonts w:ascii="宋体" w:hAnsi="宋体" w:cs="宋体" w:eastAsia="宋体" w:hint="default"/>
                      <w:sz w:val="21"/>
                      <w:szCs w:val="21"/>
                    </w:rPr>
                  </w:pPr>
                  <w:r>
                    <w:rPr>
                      <w:rFonts w:ascii="宋体" w:hAnsi="宋体" w:cs="宋体" w:eastAsia="宋体" w:hint="default"/>
                      <w:sz w:val="21"/>
                      <w:szCs w:val="21"/>
                    </w:rPr>
                    <w:t>用友软件</w:t>
                  </w:r>
                </w:p>
              </w:txbxContent>
            </v:textbox>
          </v:shape>
        </w:pict>
      </w:r>
      <w:r>
        <w:rPr>
          <w:rFonts w:ascii="Arial" w:hAnsi="Arial" w:cs="Arial" w:eastAsia="Arial" w:hint="default"/>
          <w:position w:val="-10"/>
          <w:sz w:val="20"/>
          <w:szCs w:val="20"/>
        </w:rPr>
      </w:r>
    </w:p>
    <w:p>
      <w:pPr>
        <w:spacing w:line="240" w:lineRule="auto" w:before="10"/>
        <w:rPr>
          <w:rFonts w:ascii="Arial" w:hAnsi="Arial" w:cs="Arial" w:eastAsia="Arial" w:hint="default"/>
          <w:sz w:val="19"/>
          <w:szCs w:val="19"/>
        </w:rPr>
      </w:pPr>
    </w:p>
    <w:p>
      <w:pPr>
        <w:spacing w:line="388" w:lineRule="auto" w:before="26"/>
        <w:ind w:left="618" w:right="3148" w:firstLine="2"/>
        <w:jc w:val="left"/>
        <w:rPr>
          <w:rFonts w:ascii="宋体" w:hAnsi="宋体" w:cs="宋体" w:eastAsia="宋体" w:hint="default"/>
          <w:sz w:val="24"/>
          <w:szCs w:val="24"/>
        </w:rPr>
      </w:pPr>
      <w:r>
        <w:rPr/>
        <w:pict>
          <v:group style="position:absolute;margin-left:303pt;margin-top:-43.964401pt;width:6pt;height:6pt;mso-position-horizontal-relative:page;mso-position-vertical-relative:paragraph;z-index:-1311448" coordorigin="6060,-879" coordsize="120,120">
            <v:shape style="position:absolute;left:6060;top:-879;width:120;height:120" coordorigin="6060,-879" coordsize="120,120" path="m6180,-879l6060,-879,6120,-759,6180,-879xe" filled="true" fillcolor="#000000" stroked="false">
              <v:path arrowok="t"/>
              <v:fill type="solid"/>
            </v:shape>
            <w10:wrap type="none"/>
          </v:group>
        </w:pict>
      </w:r>
      <w:r>
        <w:rPr>
          <w:rFonts w:ascii="宋体" w:hAnsi="宋体" w:cs="宋体" w:eastAsia="宋体" w:hint="default"/>
          <w:b/>
          <w:bCs/>
          <w:sz w:val="24"/>
          <w:szCs w:val="24"/>
        </w:rPr>
        <w:t>(</w:t>
      </w:r>
      <w:r>
        <w:rPr>
          <w:rFonts w:ascii="宋体" w:hAnsi="宋体" w:cs="宋体" w:eastAsia="宋体" w:hint="default"/>
          <w:b/>
          <w:bCs/>
          <w:sz w:val="24"/>
          <w:szCs w:val="24"/>
        </w:rPr>
        <w:t>四</w:t>
      </w:r>
      <w:r>
        <w:rPr>
          <w:rFonts w:ascii="宋体" w:hAnsi="宋体" w:cs="宋体" w:eastAsia="宋体" w:hint="default"/>
          <w:b/>
          <w:bCs/>
          <w:sz w:val="24"/>
          <w:szCs w:val="24"/>
        </w:rPr>
        <w:t>) </w:t>
      </w:r>
      <w:r>
        <w:rPr>
          <w:rFonts w:ascii="宋体" w:hAnsi="宋体" w:cs="宋体" w:eastAsia="宋体" w:hint="default"/>
          <w:b/>
          <w:bCs/>
          <w:sz w:val="24"/>
          <w:szCs w:val="24"/>
        </w:rPr>
        <w:t>控股股东及实际控制人变更情况</w:t>
      </w:r>
      <w:r>
        <w:rPr>
          <w:rFonts w:ascii="宋体" w:hAnsi="宋体" w:cs="宋体" w:eastAsia="宋体" w:hint="default"/>
          <w:b/>
          <w:bCs/>
          <w:w w:val="99"/>
          <w:sz w:val="24"/>
          <w:szCs w:val="24"/>
        </w:rPr>
        <w:t> </w:t>
      </w:r>
      <w:r>
        <w:rPr>
          <w:rFonts w:ascii="宋体" w:hAnsi="宋体" w:cs="宋体" w:eastAsia="宋体" w:hint="default"/>
          <w:sz w:val="24"/>
          <w:szCs w:val="24"/>
        </w:rPr>
        <w:t>本报告期内公司控股股东及实际控制人没有发生变更。</w:t>
      </w:r>
    </w:p>
    <w:p>
      <w:pPr>
        <w:pStyle w:val="Heading2"/>
        <w:spacing w:line="240" w:lineRule="auto" w:before="46"/>
        <w:ind w:right="232"/>
        <w:jc w:val="left"/>
        <w:rPr>
          <w:b w:val="0"/>
          <w:bCs w:val="0"/>
        </w:rPr>
      </w:pPr>
      <w:r>
        <w:rPr/>
        <w:t>五、其他持股在百分之十以上的法人股东</w:t>
      </w:r>
      <w:r>
        <w:rPr>
          <w:b w:val="0"/>
          <w:bCs w:val="0"/>
        </w:rPr>
      </w:r>
    </w:p>
    <w:p>
      <w:pPr>
        <w:spacing w:line="240" w:lineRule="auto" w:before="8"/>
        <w:rPr>
          <w:rFonts w:ascii="宋体" w:hAnsi="宋体" w:cs="宋体" w:eastAsia="宋体" w:hint="default"/>
          <w:b/>
          <w:bCs/>
          <w:sz w:val="12"/>
          <w:szCs w:val="12"/>
        </w:rPr>
      </w:pPr>
    </w:p>
    <w:p>
      <w:pPr>
        <w:pStyle w:val="Heading5"/>
        <w:spacing w:line="240" w:lineRule="auto"/>
        <w:ind w:right="220"/>
        <w:jc w:val="right"/>
      </w:pPr>
      <w:r>
        <w:rPr/>
        <w:t>单位</w:t>
      </w:r>
      <w:r>
        <w:rPr>
          <w:rFonts w:ascii="宋体" w:hAnsi="宋体" w:cs="宋体" w:eastAsia="宋体" w:hint="default"/>
        </w:rPr>
        <w:t>:</w:t>
      </w:r>
      <w:r>
        <w:rPr/>
        <w:t>元</w:t>
      </w:r>
      <w:r>
        <w:rPr>
          <w:spacing w:val="-5"/>
        </w:rPr>
        <w:t> </w:t>
      </w:r>
      <w:r>
        <w:rPr/>
        <w:t>币种</w:t>
      </w:r>
      <w:r>
        <w:rPr>
          <w:rFonts w:ascii="宋体" w:hAnsi="宋体" w:cs="宋体" w:eastAsia="宋体" w:hint="default"/>
        </w:rPr>
        <w:t>:</w:t>
      </w:r>
      <w:r>
        <w:rPr/>
        <w:t>人民币</w:t>
      </w:r>
    </w:p>
    <w:p>
      <w:pPr>
        <w:spacing w:line="240" w:lineRule="auto" w:before="4"/>
        <w:rPr>
          <w:rFonts w:ascii="宋体" w:hAnsi="宋体" w:cs="宋体" w:eastAsia="宋体" w:hint="default"/>
          <w:sz w:val="11"/>
          <w:szCs w:val="11"/>
        </w:rPr>
      </w:pPr>
    </w:p>
    <w:tbl>
      <w:tblPr>
        <w:tblW w:w="0" w:type="auto"/>
        <w:jc w:val="left"/>
        <w:tblInd w:w="123" w:type="dxa"/>
        <w:tblLayout w:type="fixed"/>
        <w:tblCellMar>
          <w:top w:w="0" w:type="dxa"/>
          <w:left w:w="0" w:type="dxa"/>
          <w:bottom w:w="0" w:type="dxa"/>
          <w:right w:w="0" w:type="dxa"/>
        </w:tblCellMar>
        <w:tblLook w:val="01E0"/>
      </w:tblPr>
      <w:tblGrid>
        <w:gridCol w:w="1406"/>
        <w:gridCol w:w="1406"/>
        <w:gridCol w:w="1896"/>
        <w:gridCol w:w="1406"/>
        <w:gridCol w:w="1406"/>
        <w:gridCol w:w="1778"/>
      </w:tblGrid>
      <w:tr>
        <w:trPr>
          <w:trHeight w:val="833" w:hRule="exact"/>
        </w:trPr>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0" w:right="165" w:hanging="421"/>
              <w:jc w:val="left"/>
              <w:rPr>
                <w:rFonts w:ascii="宋体" w:hAnsi="宋体" w:cs="宋体" w:eastAsia="宋体" w:hint="default"/>
                <w:sz w:val="21"/>
                <w:szCs w:val="21"/>
              </w:rPr>
            </w:pPr>
            <w:r>
              <w:rPr>
                <w:rFonts w:ascii="宋体" w:hAnsi="宋体" w:cs="宋体" w:eastAsia="宋体" w:hint="default"/>
                <w:sz w:val="21"/>
                <w:szCs w:val="21"/>
              </w:rPr>
              <w:t>法人股东名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称</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0" w:right="0"/>
              <w:jc w:val="left"/>
              <w:rPr>
                <w:rFonts w:ascii="宋体" w:hAnsi="宋体" w:cs="宋体" w:eastAsia="宋体" w:hint="default"/>
                <w:sz w:val="21"/>
                <w:szCs w:val="21"/>
              </w:rPr>
            </w:pPr>
            <w:r>
              <w:rPr>
                <w:rFonts w:ascii="宋体" w:hAnsi="宋体" w:cs="宋体" w:eastAsia="宋体" w:hint="default"/>
                <w:sz w:val="21"/>
                <w:szCs w:val="21"/>
              </w:rPr>
              <w:t>单位负责人</w:t>
            </w:r>
          </w:p>
          <w:p>
            <w:pPr>
              <w:pStyle w:val="TableParagraph"/>
              <w:spacing w:line="272" w:lineRule="exact" w:before="27"/>
              <w:ind w:left="590" w:right="165" w:hanging="421"/>
              <w:jc w:val="left"/>
              <w:rPr>
                <w:rFonts w:ascii="宋体" w:hAnsi="宋体" w:cs="宋体" w:eastAsia="宋体" w:hint="default"/>
                <w:sz w:val="21"/>
                <w:szCs w:val="21"/>
              </w:rPr>
            </w:pPr>
            <w:r>
              <w:rPr>
                <w:rFonts w:ascii="宋体" w:hAnsi="宋体" w:cs="宋体" w:eastAsia="宋体" w:hint="default"/>
                <w:sz w:val="21"/>
                <w:szCs w:val="21"/>
              </w:rPr>
              <w:t>或法定代表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人</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0" w:right="165" w:hanging="421"/>
              <w:jc w:val="left"/>
              <w:rPr>
                <w:rFonts w:ascii="宋体" w:hAnsi="宋体" w:cs="宋体" w:eastAsia="宋体" w:hint="default"/>
                <w:sz w:val="21"/>
                <w:szCs w:val="21"/>
              </w:rPr>
            </w:pPr>
            <w:r>
              <w:rPr>
                <w:rFonts w:ascii="宋体" w:hAnsi="宋体" w:cs="宋体" w:eastAsia="宋体" w:hint="default"/>
                <w:sz w:val="21"/>
                <w:szCs w:val="21"/>
              </w:rPr>
              <w:t>组织机构代</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码</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76"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6" w:right="141"/>
              <w:jc w:val="left"/>
              <w:rPr>
                <w:rFonts w:ascii="宋体" w:hAnsi="宋体" w:cs="宋体" w:eastAsia="宋体" w:hint="default"/>
                <w:sz w:val="21"/>
                <w:szCs w:val="21"/>
              </w:rPr>
            </w:pPr>
            <w:r>
              <w:rPr>
                <w:rFonts w:ascii="宋体" w:hAnsi="宋体" w:cs="宋体" w:eastAsia="宋体" w:hint="default"/>
                <w:sz w:val="21"/>
                <w:szCs w:val="21"/>
              </w:rPr>
              <w:t>主要经营业务或</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管理活动等情况</w:t>
            </w:r>
          </w:p>
        </w:tc>
      </w:tr>
      <w:tr>
        <w:trPr>
          <w:trHeight w:val="2738" w:hRule="exact"/>
        </w:trPr>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6"/>
              <w:ind w:left="170" w:right="165"/>
              <w:jc w:val="center"/>
              <w:rPr>
                <w:rFonts w:ascii="宋体" w:hAnsi="宋体" w:cs="宋体" w:eastAsia="宋体" w:hint="default"/>
                <w:sz w:val="21"/>
                <w:szCs w:val="21"/>
              </w:rPr>
            </w:pPr>
            <w:r>
              <w:rPr>
                <w:rFonts w:ascii="宋体" w:hAnsi="宋体" w:cs="宋体" w:eastAsia="宋体" w:hint="default"/>
                <w:sz w:val="21"/>
                <w:szCs w:val="21"/>
              </w:rPr>
              <w:t>上海用友科</w:t>
            </w:r>
            <w:r>
              <w:rPr>
                <w:rFonts w:ascii="宋体" w:hAnsi="宋体" w:cs="宋体" w:eastAsia="宋体" w:hint="default"/>
                <w:w w:val="100"/>
                <w:sz w:val="21"/>
                <w:szCs w:val="21"/>
              </w:rPr>
              <w:t> </w:t>
            </w:r>
            <w:r>
              <w:rPr>
                <w:rFonts w:ascii="宋体" w:hAnsi="宋体" w:cs="宋体" w:eastAsia="宋体" w:hint="default"/>
                <w:sz w:val="21"/>
                <w:szCs w:val="21"/>
              </w:rPr>
              <w:t>技咨询有限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left="379"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left="520" w:right="0"/>
              <w:jc w:val="left"/>
              <w:rPr>
                <w:rFonts w:ascii="宋体" w:hAnsi="宋体" w:cs="宋体" w:eastAsia="宋体" w:hint="default"/>
                <w:sz w:val="21"/>
                <w:szCs w:val="21"/>
              </w:rPr>
            </w:pPr>
            <w:r>
              <w:rPr>
                <w:rFonts w:ascii="宋体"/>
                <w:sz w:val="21"/>
              </w:rPr>
              <w:t>19940513</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left="170" w:right="0"/>
              <w:jc w:val="left"/>
              <w:rPr>
                <w:rFonts w:ascii="宋体" w:hAnsi="宋体" w:cs="宋体" w:eastAsia="宋体" w:hint="default"/>
                <w:sz w:val="21"/>
                <w:szCs w:val="21"/>
              </w:rPr>
            </w:pPr>
            <w:r>
              <w:rPr>
                <w:rFonts w:ascii="宋体"/>
                <w:sz w:val="21"/>
              </w:rPr>
              <w:t>60772100-7</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left="239" w:right="0"/>
              <w:jc w:val="left"/>
              <w:rPr>
                <w:rFonts w:ascii="宋体" w:hAnsi="宋体" w:cs="宋体" w:eastAsia="宋体" w:hint="default"/>
                <w:sz w:val="21"/>
                <w:szCs w:val="21"/>
              </w:rPr>
            </w:pPr>
            <w:r>
              <w:rPr>
                <w:rFonts w:ascii="宋体"/>
                <w:sz w:val="21"/>
              </w:rPr>
              <w:t>25,000,000</w:t>
            </w:r>
          </w:p>
        </w:tc>
        <w:tc>
          <w:tcPr>
            <w:tcW w:w="17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计算机软硬件的</w:t>
            </w:r>
          </w:p>
          <w:p>
            <w:pPr>
              <w:pStyle w:val="TableParagraph"/>
              <w:spacing w:line="237" w:lineRule="auto" w:before="2"/>
              <w:ind w:left="100" w:right="-8"/>
              <w:jc w:val="left"/>
              <w:rPr>
                <w:rFonts w:ascii="宋体" w:hAnsi="宋体" w:cs="宋体" w:eastAsia="宋体" w:hint="default"/>
                <w:sz w:val="21"/>
                <w:szCs w:val="21"/>
              </w:rPr>
            </w:pPr>
            <w:r>
              <w:rPr>
                <w:rFonts w:ascii="宋体" w:hAnsi="宋体" w:cs="宋体" w:eastAsia="宋体" w:hint="default"/>
                <w:sz w:val="21"/>
                <w:szCs w:val="21"/>
              </w:rPr>
              <w:t>技术开发、技术</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sz w:val="21"/>
                <w:szCs w:val="21"/>
              </w:rPr>
              <w:t>转让、技术咨询、</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技术服务，企业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管理咨询，投资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sz w:val="21"/>
                <w:szCs w:val="21"/>
              </w:rPr>
              <w:t>管理，实业投资，</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计算机软硬件的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销售。（涉及行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政许可的，凭许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可证经营）</w:t>
            </w:r>
          </w:p>
        </w:tc>
      </w:tr>
    </w:tbl>
    <w:p>
      <w:pPr>
        <w:spacing w:after="0" w:line="237" w:lineRule="auto"/>
        <w:jc w:val="left"/>
        <w:rPr>
          <w:rFonts w:ascii="宋体" w:hAnsi="宋体" w:cs="宋体" w:eastAsia="宋体" w:hint="default"/>
          <w:sz w:val="21"/>
          <w:szCs w:val="21"/>
        </w:rPr>
        <w:sectPr>
          <w:pgSz w:w="11910" w:h="16850"/>
          <w:pgMar w:header="752" w:footer="730" w:top="1020" w:bottom="920" w:left="1280" w:right="10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88"/>
        <w:ind w:left="2748" w:right="705"/>
        <w:jc w:val="left"/>
        <w:rPr>
          <w:b w:val="0"/>
          <w:bCs w:val="0"/>
        </w:rPr>
      </w:pPr>
      <w:bookmarkStart w:name="_TOC_250004" w:id="8"/>
      <w:r>
        <w:rPr/>
        <w:t>第七节 董事、监事、高级管理人员和员工情况</w:t>
      </w:r>
      <w:bookmarkEnd w:id="8"/>
      <w:r>
        <w:rPr>
          <w:b w:val="0"/>
          <w:bCs w:val="0"/>
        </w:rPr>
      </w:r>
    </w:p>
    <w:p>
      <w:pPr>
        <w:spacing w:line="240" w:lineRule="auto" w:before="0"/>
        <w:rPr>
          <w:rFonts w:ascii="黑体" w:hAnsi="黑体" w:cs="黑体" w:eastAsia="黑体" w:hint="default"/>
          <w:b/>
          <w:bCs/>
          <w:sz w:val="28"/>
          <w:szCs w:val="28"/>
        </w:rPr>
      </w:pPr>
    </w:p>
    <w:p>
      <w:pPr>
        <w:spacing w:line="240" w:lineRule="auto" w:before="9"/>
        <w:rPr>
          <w:rFonts w:ascii="黑体" w:hAnsi="黑体" w:cs="黑体" w:eastAsia="黑体" w:hint="default"/>
          <w:b/>
          <w:bCs/>
          <w:sz w:val="34"/>
          <w:szCs w:val="34"/>
        </w:rPr>
      </w:pPr>
    </w:p>
    <w:p>
      <w:pPr>
        <w:pStyle w:val="Heading2"/>
        <w:spacing w:line="240" w:lineRule="auto"/>
        <w:ind w:left="758" w:right="705"/>
        <w:jc w:val="left"/>
        <w:rPr>
          <w:b w:val="0"/>
          <w:bCs w:val="0"/>
        </w:rPr>
      </w:pPr>
      <w:r>
        <w:rPr/>
        <w:t>一、持股变动及报酬情况</w:t>
      </w:r>
      <w:r>
        <w:rPr>
          <w:b w:val="0"/>
          <w:bCs w:val="0"/>
        </w:rPr>
      </w:r>
    </w:p>
    <w:p>
      <w:pPr>
        <w:pStyle w:val="Heading2"/>
        <w:spacing w:line="240" w:lineRule="auto" w:before="197"/>
        <w:ind w:left="1240" w:right="705"/>
        <w:jc w:val="left"/>
        <w:rPr>
          <w:b w:val="0"/>
          <w:bCs w:val="0"/>
        </w:rPr>
      </w:pPr>
      <w:r>
        <w:rPr>
          <w:rFonts w:ascii="宋体" w:hAnsi="宋体" w:cs="宋体" w:eastAsia="宋体" w:hint="default"/>
        </w:rPr>
        <w:t>(</w:t>
      </w:r>
      <w:r>
        <w:rPr/>
        <w:t>一</w:t>
      </w:r>
      <w:r>
        <w:rPr>
          <w:rFonts w:ascii="宋体" w:hAnsi="宋体" w:cs="宋体" w:eastAsia="宋体" w:hint="default"/>
        </w:rPr>
        <w:t>) </w:t>
      </w:r>
      <w:r>
        <w:rPr/>
        <w:t>现任及报告期内离任</w:t>
      </w:r>
      <w:r>
        <w:rPr>
          <w:spacing w:val="-6"/>
        </w:rPr>
        <w:t> </w:t>
      </w:r>
      <w:r>
        <w:rPr/>
        <w:t>董事、监事和高级管理人员持股变动及报酬情况</w:t>
      </w:r>
      <w:r>
        <w:rPr>
          <w:b w:val="0"/>
          <w:bCs w:val="0"/>
        </w:rPr>
      </w:r>
    </w:p>
    <w:p>
      <w:pPr>
        <w:pStyle w:val="Heading5"/>
        <w:spacing w:line="240" w:lineRule="auto" w:before="198"/>
        <w:ind w:right="718"/>
        <w:jc w:val="right"/>
      </w:pPr>
      <w:r>
        <w:rPr>
          <w:spacing w:val="-1"/>
        </w:rPr>
        <w:t>单位：股</w:t>
      </w:r>
    </w:p>
    <w:p>
      <w:pPr>
        <w:spacing w:line="240" w:lineRule="auto" w:before="4"/>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857"/>
        <w:gridCol w:w="670"/>
        <w:gridCol w:w="566"/>
        <w:gridCol w:w="533"/>
        <w:gridCol w:w="1135"/>
        <w:gridCol w:w="1133"/>
        <w:gridCol w:w="991"/>
        <w:gridCol w:w="994"/>
        <w:gridCol w:w="994"/>
        <w:gridCol w:w="850"/>
        <w:gridCol w:w="991"/>
        <w:gridCol w:w="708"/>
      </w:tblGrid>
      <w:tr>
        <w:trPr>
          <w:trHeight w:val="3007"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3"/>
              <w:ind w:left="172" w:right="170"/>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3"/>
              <w:ind w:left="156" w:right="155"/>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龄</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3"/>
              <w:ind w:left="244" w:right="245"/>
              <w:jc w:val="left"/>
              <w:rPr>
                <w:rFonts w:ascii="宋体" w:hAnsi="宋体" w:cs="宋体" w:eastAsia="宋体" w:hint="default"/>
                <w:sz w:val="21"/>
                <w:szCs w:val="21"/>
              </w:rPr>
            </w:pPr>
            <w:r>
              <w:rPr>
                <w:rFonts w:ascii="宋体" w:hAnsi="宋体" w:cs="宋体" w:eastAsia="宋体" w:hint="default"/>
                <w:sz w:val="21"/>
                <w:szCs w:val="21"/>
              </w:rPr>
              <w:t>任期起</w:t>
            </w:r>
            <w:r>
              <w:rPr>
                <w:rFonts w:ascii="宋体" w:hAnsi="宋体" w:cs="宋体" w:eastAsia="宋体" w:hint="default"/>
                <w:spacing w:val="-102"/>
                <w:sz w:val="21"/>
                <w:szCs w:val="21"/>
              </w:rPr>
              <w:t> </w:t>
            </w:r>
            <w:r>
              <w:rPr>
                <w:rFonts w:ascii="宋体" w:hAnsi="宋体" w:cs="宋体" w:eastAsia="宋体" w:hint="default"/>
                <w:sz w:val="21"/>
                <w:szCs w:val="21"/>
              </w:rPr>
              <w:t>始日期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3"/>
              <w:ind w:left="444" w:right="43" w:hanging="421"/>
              <w:jc w:val="left"/>
              <w:rPr>
                <w:rFonts w:ascii="宋体" w:hAnsi="宋体" w:cs="宋体" w:eastAsia="宋体" w:hint="default"/>
                <w:sz w:val="21"/>
                <w:szCs w:val="21"/>
              </w:rPr>
            </w:pPr>
            <w:r>
              <w:rPr>
                <w:rFonts w:ascii="宋体" w:hAnsi="宋体" w:cs="宋体" w:eastAsia="宋体" w:hint="default"/>
                <w:sz w:val="21"/>
                <w:szCs w:val="21"/>
              </w:rPr>
              <w:t>任期终止日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3"/>
              <w:ind w:left="439" w:right="12" w:hanging="315"/>
              <w:jc w:val="left"/>
              <w:rPr>
                <w:rFonts w:ascii="宋体" w:hAnsi="宋体" w:cs="宋体" w:eastAsia="宋体" w:hint="default"/>
                <w:sz w:val="21"/>
                <w:szCs w:val="21"/>
              </w:rPr>
            </w:pPr>
            <w:r>
              <w:rPr>
                <w:rFonts w:ascii="宋体" w:hAnsi="宋体" w:cs="宋体" w:eastAsia="宋体" w:hint="default"/>
                <w:sz w:val="21"/>
                <w:szCs w:val="21"/>
              </w:rPr>
              <w:t>年初持股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3"/>
              <w:ind w:left="280" w:right="173" w:hanging="106"/>
              <w:jc w:val="left"/>
              <w:rPr>
                <w:rFonts w:ascii="宋体" w:hAnsi="宋体" w:cs="宋体" w:eastAsia="宋体" w:hint="default"/>
                <w:sz w:val="21"/>
                <w:szCs w:val="21"/>
              </w:rPr>
            </w:pPr>
            <w:r>
              <w:rPr>
                <w:rFonts w:ascii="宋体" w:hAnsi="宋体" w:cs="宋体" w:eastAsia="宋体" w:hint="default"/>
                <w:sz w:val="21"/>
                <w:szCs w:val="21"/>
              </w:rPr>
              <w:t>年末持</w:t>
            </w:r>
            <w:r>
              <w:rPr>
                <w:rFonts w:ascii="宋体" w:hAnsi="宋体" w:cs="宋体" w:eastAsia="宋体" w:hint="default"/>
                <w:spacing w:val="-102"/>
                <w:sz w:val="21"/>
                <w:szCs w:val="21"/>
              </w:rPr>
              <w:t> </w:t>
            </w:r>
            <w:r>
              <w:rPr>
                <w:rFonts w:ascii="宋体" w:hAnsi="宋体" w:cs="宋体" w:eastAsia="宋体" w:hint="default"/>
                <w:sz w:val="21"/>
                <w:szCs w:val="21"/>
              </w:rPr>
              <w:t>股数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6"/>
              <w:ind w:left="175" w:right="174"/>
              <w:jc w:val="center"/>
              <w:rPr>
                <w:rFonts w:ascii="宋体" w:hAnsi="宋体" w:cs="宋体" w:eastAsia="宋体" w:hint="default"/>
                <w:sz w:val="21"/>
                <w:szCs w:val="21"/>
              </w:rPr>
            </w:pPr>
            <w:r>
              <w:rPr>
                <w:rFonts w:ascii="宋体" w:hAnsi="宋体" w:cs="宋体" w:eastAsia="宋体" w:hint="default"/>
                <w:sz w:val="21"/>
                <w:szCs w:val="21"/>
              </w:rPr>
              <w:t>年度内</w:t>
            </w:r>
            <w:r>
              <w:rPr>
                <w:rFonts w:ascii="宋体" w:hAnsi="宋体" w:cs="宋体" w:eastAsia="宋体" w:hint="default"/>
                <w:w w:val="100"/>
                <w:sz w:val="21"/>
                <w:szCs w:val="21"/>
              </w:rPr>
              <w:t> </w:t>
            </w:r>
            <w:r>
              <w:rPr>
                <w:rFonts w:ascii="宋体" w:hAnsi="宋体" w:cs="宋体" w:eastAsia="宋体" w:hint="default"/>
                <w:sz w:val="21"/>
                <w:szCs w:val="21"/>
              </w:rPr>
              <w:t>股份增</w:t>
            </w:r>
            <w:r>
              <w:rPr>
                <w:rFonts w:ascii="宋体" w:hAnsi="宋体" w:cs="宋体" w:eastAsia="宋体" w:hint="default"/>
                <w:w w:val="100"/>
                <w:sz w:val="21"/>
                <w:szCs w:val="21"/>
              </w:rPr>
              <w:t> </w:t>
            </w:r>
            <w:r>
              <w:rPr>
                <w:rFonts w:ascii="宋体" w:hAnsi="宋体" w:cs="宋体" w:eastAsia="宋体" w:hint="default"/>
                <w:sz w:val="21"/>
                <w:szCs w:val="21"/>
              </w:rPr>
              <w:t>减变动</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2"/>
              <w:ind w:left="103" w:right="100"/>
              <w:jc w:val="left"/>
              <w:rPr>
                <w:rFonts w:ascii="宋体" w:hAnsi="宋体" w:cs="宋体" w:eastAsia="宋体" w:hint="default"/>
                <w:sz w:val="21"/>
                <w:szCs w:val="21"/>
              </w:rPr>
            </w:pPr>
            <w:r>
              <w:rPr>
                <w:rFonts w:ascii="宋体" w:hAnsi="宋体" w:cs="宋体" w:eastAsia="宋体" w:hint="default"/>
                <w:sz w:val="21"/>
                <w:szCs w:val="21"/>
              </w:rPr>
              <w:t>增减变</w:t>
            </w:r>
            <w:r>
              <w:rPr>
                <w:rFonts w:ascii="宋体" w:hAnsi="宋体" w:cs="宋体" w:eastAsia="宋体" w:hint="default"/>
                <w:spacing w:val="-102"/>
                <w:sz w:val="21"/>
                <w:szCs w:val="21"/>
              </w:rPr>
              <w:t> </w:t>
            </w:r>
            <w:r>
              <w:rPr>
                <w:rFonts w:ascii="宋体" w:hAnsi="宋体" w:cs="宋体" w:eastAsia="宋体" w:hint="default"/>
                <w:sz w:val="21"/>
                <w:szCs w:val="21"/>
              </w:rPr>
              <w:t>动原因</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37" w:lineRule="auto"/>
              <w:ind w:left="175" w:right="170"/>
              <w:jc w:val="center"/>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w w:val="100"/>
                <w:sz w:val="21"/>
                <w:szCs w:val="21"/>
              </w:rPr>
              <w:t> </w:t>
            </w:r>
            <w:r>
              <w:rPr>
                <w:rFonts w:ascii="宋体" w:hAnsi="宋体" w:cs="宋体" w:eastAsia="宋体" w:hint="default"/>
                <w:sz w:val="21"/>
                <w:szCs w:val="21"/>
              </w:rPr>
              <w:t>内从公</w:t>
            </w:r>
            <w:r>
              <w:rPr>
                <w:rFonts w:ascii="宋体" w:hAnsi="宋体" w:cs="宋体" w:eastAsia="宋体" w:hint="default"/>
                <w:w w:val="100"/>
                <w:sz w:val="21"/>
                <w:szCs w:val="21"/>
              </w:rPr>
              <w:t> </w:t>
            </w:r>
            <w:r>
              <w:rPr>
                <w:rFonts w:ascii="宋体" w:hAnsi="宋体" w:cs="宋体" w:eastAsia="宋体" w:hint="default"/>
                <w:sz w:val="21"/>
                <w:szCs w:val="21"/>
              </w:rPr>
              <w:t>司领取</w:t>
            </w:r>
            <w:r>
              <w:rPr>
                <w:rFonts w:ascii="宋体" w:hAnsi="宋体" w:cs="宋体" w:eastAsia="宋体" w:hint="default"/>
                <w:w w:val="100"/>
                <w:sz w:val="21"/>
                <w:szCs w:val="21"/>
              </w:rPr>
              <w:t> </w:t>
            </w:r>
            <w:r>
              <w:rPr>
                <w:rFonts w:ascii="宋体" w:hAnsi="宋体" w:cs="宋体" w:eastAsia="宋体" w:hint="default"/>
                <w:sz w:val="21"/>
                <w:szCs w:val="21"/>
              </w:rPr>
              <w:t>的应付</w:t>
            </w:r>
            <w:r>
              <w:rPr>
                <w:rFonts w:ascii="宋体" w:hAnsi="宋体" w:cs="宋体" w:eastAsia="宋体" w:hint="default"/>
                <w:w w:val="100"/>
                <w:sz w:val="21"/>
                <w:szCs w:val="21"/>
              </w:rPr>
              <w:t> </w:t>
            </w:r>
            <w:r>
              <w:rPr>
                <w:rFonts w:ascii="宋体" w:hAnsi="宋体" w:cs="宋体" w:eastAsia="宋体" w:hint="default"/>
                <w:sz w:val="21"/>
                <w:szCs w:val="21"/>
              </w:rPr>
              <w:t>报酬总</w:t>
            </w:r>
            <w:r>
              <w:rPr>
                <w:rFonts w:ascii="宋体" w:hAnsi="宋体" w:cs="宋体" w:eastAsia="宋体" w:hint="default"/>
                <w:w w:val="100"/>
                <w:sz w:val="21"/>
                <w:szCs w:val="21"/>
              </w:rPr>
              <w:t> </w:t>
            </w:r>
            <w:r>
              <w:rPr>
                <w:rFonts w:ascii="宋体" w:hAnsi="宋体" w:cs="宋体" w:eastAsia="宋体" w:hint="default"/>
                <w:sz w:val="21"/>
                <w:szCs w:val="21"/>
              </w:rPr>
              <w:t>额</w:t>
            </w:r>
          </w:p>
          <w:p>
            <w:pPr>
              <w:pStyle w:val="TableParagraph"/>
              <w:spacing w:line="271" w:lineRule="exact"/>
              <w:ind w:left="67" w:right="0"/>
              <w:jc w:val="center"/>
              <w:rPr>
                <w:rFonts w:ascii="宋体" w:hAnsi="宋体" w:cs="宋体" w:eastAsia="宋体" w:hint="default"/>
                <w:sz w:val="21"/>
                <w:szCs w:val="21"/>
              </w:rPr>
            </w:pPr>
            <w:r>
              <w:rPr>
                <w:rFonts w:ascii="宋体" w:hAnsi="宋体" w:cs="宋体" w:eastAsia="宋体" w:hint="default"/>
                <w:sz w:val="21"/>
                <w:szCs w:val="21"/>
              </w:rPr>
              <w:t>（万元）</w:t>
            </w:r>
          </w:p>
          <w:p>
            <w:pPr>
              <w:pStyle w:val="TableParagraph"/>
              <w:spacing w:line="274" w:lineRule="exact"/>
              <w:ind w:left="67" w:right="0"/>
              <w:jc w:val="center"/>
              <w:rPr>
                <w:rFonts w:ascii="宋体" w:hAnsi="宋体" w:cs="宋体" w:eastAsia="宋体" w:hint="default"/>
                <w:sz w:val="21"/>
                <w:szCs w:val="21"/>
              </w:rPr>
            </w:pPr>
            <w:r>
              <w:rPr>
                <w:rFonts w:ascii="宋体" w:hAnsi="宋体" w:cs="宋体" w:eastAsia="宋体" w:hint="default"/>
                <w:sz w:val="21"/>
                <w:szCs w:val="21"/>
              </w:rPr>
              <w:t>（税前）</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both"/>
              <w:rPr>
                <w:rFonts w:ascii="宋体" w:hAnsi="宋体" w:cs="宋体" w:eastAsia="宋体" w:hint="default"/>
                <w:sz w:val="21"/>
                <w:szCs w:val="21"/>
              </w:rPr>
            </w:pPr>
            <w:r>
              <w:rPr>
                <w:rFonts w:ascii="宋体" w:hAnsi="宋体" w:cs="宋体" w:eastAsia="宋体" w:hint="default"/>
                <w:sz w:val="21"/>
                <w:szCs w:val="21"/>
              </w:rPr>
              <w:t>报告</w:t>
            </w:r>
          </w:p>
          <w:p>
            <w:pPr>
              <w:pStyle w:val="TableParagraph"/>
              <w:spacing w:line="237" w:lineRule="auto" w:before="2"/>
              <w:ind w:left="139" w:right="134"/>
              <w:jc w:val="both"/>
              <w:rPr>
                <w:rFonts w:ascii="宋体" w:hAnsi="宋体" w:cs="宋体" w:eastAsia="宋体" w:hint="default"/>
                <w:sz w:val="21"/>
                <w:szCs w:val="21"/>
              </w:rPr>
            </w:pPr>
            <w:r>
              <w:rPr>
                <w:rFonts w:ascii="宋体" w:hAnsi="宋体" w:cs="宋体" w:eastAsia="宋体" w:hint="default"/>
                <w:sz w:val="21"/>
                <w:szCs w:val="21"/>
              </w:rPr>
              <w:t>期从</w:t>
            </w:r>
            <w:r>
              <w:rPr>
                <w:rFonts w:ascii="宋体" w:hAnsi="宋体" w:cs="宋体" w:eastAsia="宋体" w:hint="default"/>
                <w:spacing w:val="-103"/>
                <w:sz w:val="21"/>
                <w:szCs w:val="21"/>
              </w:rPr>
              <w:t> </w:t>
            </w: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单位</w:t>
            </w:r>
            <w:r>
              <w:rPr>
                <w:rFonts w:ascii="宋体" w:hAnsi="宋体" w:cs="宋体" w:eastAsia="宋体" w:hint="default"/>
                <w:spacing w:val="-103"/>
                <w:sz w:val="21"/>
                <w:szCs w:val="21"/>
              </w:rPr>
              <w:t> </w:t>
            </w:r>
            <w:r>
              <w:rPr>
                <w:rFonts w:ascii="宋体" w:hAnsi="宋体" w:cs="宋体" w:eastAsia="宋体" w:hint="default"/>
                <w:sz w:val="21"/>
                <w:szCs w:val="21"/>
              </w:rPr>
              <w:t>获得</w:t>
            </w:r>
            <w:r>
              <w:rPr>
                <w:rFonts w:ascii="宋体" w:hAnsi="宋体" w:cs="宋体" w:eastAsia="宋体" w:hint="default"/>
                <w:spacing w:val="-103"/>
                <w:sz w:val="21"/>
                <w:szCs w:val="21"/>
              </w:rPr>
              <w:t> </w:t>
            </w:r>
            <w:r>
              <w:rPr>
                <w:rFonts w:ascii="宋体" w:hAnsi="宋体" w:cs="宋体" w:eastAsia="宋体" w:hint="default"/>
                <w:sz w:val="21"/>
                <w:szCs w:val="21"/>
              </w:rPr>
              <w:t>的应</w:t>
            </w:r>
            <w:r>
              <w:rPr>
                <w:rFonts w:ascii="宋体" w:hAnsi="宋体" w:cs="宋体" w:eastAsia="宋体" w:hint="default"/>
                <w:spacing w:val="-103"/>
                <w:sz w:val="21"/>
                <w:szCs w:val="21"/>
              </w:rPr>
              <w:t> </w:t>
            </w:r>
            <w:r>
              <w:rPr>
                <w:rFonts w:ascii="宋体" w:hAnsi="宋体" w:cs="宋体" w:eastAsia="宋体" w:hint="default"/>
                <w:sz w:val="21"/>
                <w:szCs w:val="21"/>
              </w:rPr>
              <w:t>付报</w:t>
            </w:r>
            <w:r>
              <w:rPr>
                <w:rFonts w:ascii="宋体" w:hAnsi="宋体" w:cs="宋体" w:eastAsia="宋体" w:hint="default"/>
                <w:spacing w:val="-103"/>
                <w:sz w:val="21"/>
                <w:szCs w:val="21"/>
              </w:rPr>
              <w:t> </w:t>
            </w:r>
            <w:r>
              <w:rPr>
                <w:rFonts w:ascii="宋体" w:hAnsi="宋体" w:cs="宋体" w:eastAsia="宋体" w:hint="default"/>
                <w:sz w:val="21"/>
                <w:szCs w:val="21"/>
              </w:rPr>
              <w:t>酬总</w:t>
            </w:r>
            <w:r>
              <w:rPr>
                <w:rFonts w:ascii="宋体" w:hAnsi="宋体" w:cs="宋体" w:eastAsia="宋体" w:hint="default"/>
                <w:spacing w:val="-103"/>
                <w:sz w:val="21"/>
                <w:szCs w:val="21"/>
              </w:rPr>
              <w:t> </w:t>
            </w:r>
            <w:r>
              <w:rPr>
                <w:rFonts w:ascii="宋体" w:hAnsi="宋体" w:cs="宋体" w:eastAsia="宋体" w:hint="default"/>
                <w:sz w:val="21"/>
                <w:szCs w:val="21"/>
              </w:rPr>
              <w:t>额</w:t>
            </w:r>
          </w:p>
          <w:p>
            <w:pPr>
              <w:pStyle w:val="TableParagraph"/>
              <w:spacing w:line="272" w:lineRule="exact" w:before="26"/>
              <w:ind w:left="139" w:right="134"/>
              <w:jc w:val="both"/>
              <w:rPr>
                <w:rFonts w:ascii="宋体" w:hAnsi="宋体" w:cs="宋体" w:eastAsia="宋体" w:hint="default"/>
                <w:sz w:val="21"/>
                <w:szCs w:val="21"/>
              </w:rPr>
            </w:pPr>
            <w:r>
              <w:rPr>
                <w:rFonts w:ascii="宋体" w:hAnsi="宋体" w:cs="宋体" w:eastAsia="宋体" w:hint="default"/>
                <w:sz w:val="21"/>
                <w:szCs w:val="21"/>
              </w:rPr>
              <w:t>（万</w:t>
            </w:r>
            <w:r>
              <w:rPr>
                <w:rFonts w:ascii="宋体" w:hAnsi="宋体" w:cs="宋体" w:eastAsia="宋体" w:hint="default"/>
                <w:spacing w:val="-103"/>
                <w:sz w:val="21"/>
                <w:szCs w:val="21"/>
              </w:rPr>
              <w:t> </w:t>
            </w:r>
            <w:r>
              <w:rPr>
                <w:rFonts w:ascii="宋体" w:hAnsi="宋体" w:cs="宋体" w:eastAsia="宋体" w:hint="default"/>
                <w:sz w:val="21"/>
                <w:szCs w:val="21"/>
              </w:rPr>
              <w:t>元）</w:t>
            </w:r>
          </w:p>
        </w:tc>
      </w:tr>
      <w:tr>
        <w:trPr>
          <w:trHeight w:val="826"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p>
            <w:pPr>
              <w:pStyle w:val="TableParagraph"/>
              <w:spacing w:line="240" w:lineRule="auto"/>
              <w:ind w:left="100" w:right="134"/>
              <w:jc w:val="left"/>
              <w:rPr>
                <w:rFonts w:ascii="宋体" w:hAnsi="宋体" w:cs="宋体" w:eastAsia="宋体" w:hint="default"/>
                <w:sz w:val="21"/>
                <w:szCs w:val="21"/>
              </w:rPr>
            </w:pPr>
            <w:r>
              <w:rPr>
                <w:rFonts w:ascii="宋体" w:hAnsi="宋体" w:cs="宋体" w:eastAsia="宋体" w:hint="default"/>
                <w:sz w:val="21"/>
                <w:szCs w:val="21"/>
              </w:rPr>
              <w:t>长兼</w:t>
            </w:r>
            <w:r>
              <w:rPr>
                <w:rFonts w:ascii="宋体" w:hAnsi="宋体" w:cs="宋体" w:eastAsia="宋体" w:hint="default"/>
                <w:spacing w:val="-103"/>
                <w:sz w:val="21"/>
                <w:szCs w:val="21"/>
              </w:rPr>
              <w:t> </w:t>
            </w:r>
            <w:r>
              <w:rPr>
                <w:rFonts w:ascii="宋体" w:hAnsi="宋体" w:cs="宋体" w:eastAsia="宋体" w:hint="default"/>
                <w:sz w:val="21"/>
                <w:szCs w:val="21"/>
              </w:rPr>
              <w:t>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65" w:right="0"/>
              <w:jc w:val="left"/>
              <w:rPr>
                <w:rFonts w:ascii="Arial Narrow" w:hAnsi="Arial Narrow" w:cs="Arial Narrow" w:eastAsia="Arial Narrow" w:hint="default"/>
                <w:sz w:val="21"/>
                <w:szCs w:val="21"/>
              </w:rPr>
            </w:pPr>
            <w:r>
              <w:rPr>
                <w:rFonts w:ascii="Arial Narrow"/>
                <w:sz w:val="21"/>
              </w:rPr>
              <w:t>48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Arial Narrow" w:hAnsi="Arial Narrow" w:cs="Arial Narrow" w:eastAsia="Arial Narrow" w:hint="default"/>
                <w:sz w:val="21"/>
                <w:szCs w:val="21"/>
              </w:rPr>
            </w:pPr>
            <w:r>
              <w:rPr>
                <w:rFonts w:ascii="Arial Narrow"/>
                <w:sz w:val="21"/>
              </w:rPr>
              <w:t>2011-4-26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Narrow" w:hAnsi="Arial Narrow" w:cs="Arial Narrow" w:eastAsia="Arial Narrow" w:hint="default"/>
                <w:sz w:val="21"/>
                <w:szCs w:val="21"/>
              </w:rPr>
              <w:t>1</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178.55</w:t>
            </w:r>
            <w:r>
              <w:rPr>
                <w:rFonts w:ascii="Arial Narrow"/>
                <w:sz w:val="21"/>
              </w:rPr>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left"/>
              <w:rPr>
                <w:rFonts w:ascii="宋体" w:hAnsi="宋体" w:cs="宋体" w:eastAsia="宋体" w:hint="default"/>
                <w:sz w:val="21"/>
                <w:szCs w:val="21"/>
              </w:rPr>
            </w:pPr>
            <w:r>
              <w:rPr>
                <w:rFonts w:ascii="宋体" w:hAnsi="宋体" w:cs="宋体" w:eastAsia="宋体" w:hint="default"/>
                <w:sz w:val="21"/>
                <w:szCs w:val="21"/>
              </w:rPr>
              <w:t>郭新平</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副董</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65" w:right="0"/>
              <w:jc w:val="left"/>
              <w:rPr>
                <w:rFonts w:ascii="Arial Narrow" w:hAnsi="Arial Narrow" w:cs="Arial Narrow" w:eastAsia="Arial Narrow" w:hint="default"/>
                <w:sz w:val="21"/>
                <w:szCs w:val="21"/>
              </w:rPr>
            </w:pPr>
            <w:r>
              <w:rPr>
                <w:rFonts w:ascii="Arial Narrow"/>
                <w:sz w:val="21"/>
              </w:rPr>
              <w:t>49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Arial Narrow" w:hAnsi="Arial Narrow" w:cs="Arial Narrow" w:eastAsia="Arial Narrow" w:hint="default"/>
                <w:sz w:val="21"/>
                <w:szCs w:val="21"/>
              </w:rPr>
            </w:pPr>
            <w:r>
              <w:rPr>
                <w:rFonts w:ascii="Arial Narrow"/>
                <w:sz w:val="21"/>
              </w:rPr>
              <w:t>2011-4-26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Narrow" w:hAnsi="Arial Narrow" w:cs="Arial Narrow" w:eastAsia="Arial Narrow" w:hint="default"/>
                <w:sz w:val="21"/>
                <w:szCs w:val="21"/>
              </w:rPr>
              <w:t>1</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8"/>
              <w:jc w:val="right"/>
              <w:rPr>
                <w:rFonts w:ascii="Arial Narrow" w:hAnsi="Arial Narrow" w:cs="Arial Narrow" w:eastAsia="Arial Narrow" w:hint="default"/>
                <w:sz w:val="21"/>
                <w:szCs w:val="21"/>
              </w:rPr>
            </w:pPr>
            <w:r>
              <w:rPr>
                <w:rFonts w:ascii="Arial Narrow"/>
                <w:spacing w:val="-1"/>
                <w:sz w:val="21"/>
              </w:rPr>
              <w:t>216.10</w:t>
            </w:r>
            <w:r>
              <w:rPr>
                <w:rFonts w:ascii="Arial Narrow"/>
                <w:sz w:val="21"/>
              </w:rPr>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3"/>
              <w:jc w:val="center"/>
              <w:rPr>
                <w:rFonts w:ascii="宋体" w:hAnsi="宋体" w:cs="宋体" w:eastAsia="宋体" w:hint="default"/>
                <w:sz w:val="21"/>
                <w:szCs w:val="21"/>
              </w:rPr>
            </w:pPr>
            <w:r>
              <w:rPr>
                <w:rFonts w:ascii="宋体" w:hAnsi="宋体" w:cs="宋体" w:eastAsia="宋体" w:hint="default"/>
                <w:sz w:val="21"/>
                <w:szCs w:val="21"/>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165" w:right="0"/>
              <w:jc w:val="left"/>
              <w:rPr>
                <w:rFonts w:ascii="Arial Narrow" w:hAnsi="Arial Narrow" w:cs="Arial Narrow" w:eastAsia="Arial Narrow" w:hint="default"/>
                <w:sz w:val="21"/>
                <w:szCs w:val="21"/>
              </w:rPr>
            </w:pPr>
            <w:r>
              <w:rPr>
                <w:rFonts w:ascii="Arial Narrow"/>
                <w:sz w:val="21"/>
              </w:rPr>
              <w:t>48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1"/>
              <w:jc w:val="center"/>
              <w:rPr>
                <w:rFonts w:ascii="Arial Narrow" w:hAnsi="Arial Narrow" w:cs="Arial Narrow" w:eastAsia="Arial Narrow" w:hint="default"/>
                <w:sz w:val="21"/>
                <w:szCs w:val="21"/>
              </w:rPr>
            </w:pPr>
            <w:r>
              <w:rPr>
                <w:rFonts w:ascii="Arial Narrow"/>
                <w:sz w:val="21"/>
              </w:rPr>
              <w:t>2011-4-26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Narrow" w:hAnsi="Arial Narrow" w:cs="Arial Narrow" w:eastAsia="Arial Narrow" w:hint="default"/>
                <w:sz w:val="21"/>
                <w:szCs w:val="21"/>
              </w:rPr>
              <w:t>1</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1,284,696</w:t>
            </w:r>
            <w:r>
              <w:rPr>
                <w:rFonts w:ascii="Arial Narrow"/>
                <w:sz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1,284,696</w:t>
            </w:r>
            <w:r>
              <w:rPr>
                <w:rFonts w:ascii="Arial Narrow"/>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二级市</w:t>
            </w:r>
          </w:p>
          <w:p>
            <w:pPr>
              <w:pStyle w:val="TableParagraph"/>
              <w:spacing w:line="237" w:lineRule="auto" w:before="2"/>
              <w:ind w:left="100" w:right="103"/>
              <w:jc w:val="left"/>
              <w:rPr>
                <w:rFonts w:ascii="宋体" w:hAnsi="宋体" w:cs="宋体" w:eastAsia="宋体" w:hint="default"/>
                <w:sz w:val="21"/>
                <w:szCs w:val="21"/>
              </w:rPr>
            </w:pPr>
            <w:r>
              <w:rPr>
                <w:rFonts w:ascii="宋体" w:hAnsi="宋体" w:cs="宋体" w:eastAsia="宋体" w:hint="default"/>
                <w:sz w:val="21"/>
                <w:szCs w:val="21"/>
              </w:rPr>
              <w:t>场买</w:t>
            </w:r>
            <w:r>
              <w:rPr>
                <w:rFonts w:ascii="宋体" w:hAnsi="宋体" w:cs="宋体" w:eastAsia="宋体" w:hint="default"/>
                <w:spacing w:val="-103"/>
                <w:sz w:val="21"/>
                <w:szCs w:val="21"/>
              </w:rPr>
              <w:t> </w:t>
            </w:r>
            <w:r>
              <w:rPr>
                <w:rFonts w:ascii="宋体" w:hAnsi="宋体" w:cs="宋体" w:eastAsia="宋体" w:hint="default"/>
                <w:sz w:val="21"/>
                <w:szCs w:val="21"/>
              </w:rPr>
              <w:t>卖、转</w:t>
            </w:r>
            <w:r>
              <w:rPr>
                <w:rFonts w:ascii="宋体" w:hAnsi="宋体" w:cs="宋体" w:eastAsia="宋体" w:hint="default"/>
                <w:spacing w:val="-102"/>
                <w:sz w:val="21"/>
                <w:szCs w:val="21"/>
              </w:rPr>
              <w:t> </w:t>
            </w:r>
            <w:r>
              <w:rPr>
                <w:rFonts w:ascii="宋体" w:hAnsi="宋体" w:cs="宋体" w:eastAsia="宋体" w:hint="default"/>
                <w:sz w:val="21"/>
                <w:szCs w:val="21"/>
              </w:rPr>
              <w:t>增股本</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98"/>
              <w:jc w:val="right"/>
              <w:rPr>
                <w:rFonts w:ascii="Arial Narrow" w:hAnsi="Arial Narrow" w:cs="Arial Narrow" w:eastAsia="Arial Narrow" w:hint="default"/>
                <w:sz w:val="21"/>
                <w:szCs w:val="21"/>
              </w:rPr>
            </w:pPr>
            <w:r>
              <w:rPr>
                <w:rFonts w:ascii="Arial Narrow"/>
                <w:spacing w:val="-1"/>
                <w:sz w:val="21"/>
              </w:rPr>
              <w:t>178.66</w:t>
            </w:r>
            <w:r>
              <w:rPr>
                <w:rFonts w:ascii="Arial Narrow"/>
                <w:sz w:val="21"/>
              </w:rPr>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left"/>
              <w:rPr>
                <w:rFonts w:ascii="宋体" w:hAnsi="宋体" w:cs="宋体" w:eastAsia="宋体" w:hint="default"/>
                <w:sz w:val="21"/>
                <w:szCs w:val="21"/>
              </w:rPr>
            </w:pPr>
            <w:r>
              <w:rPr>
                <w:rFonts w:ascii="宋体" w:hAnsi="宋体" w:cs="宋体" w:eastAsia="宋体" w:hint="default"/>
                <w:sz w:val="21"/>
                <w:szCs w:val="21"/>
              </w:rPr>
              <w:t>吴晓球</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65" w:right="0"/>
              <w:jc w:val="left"/>
              <w:rPr>
                <w:rFonts w:ascii="Arial Narrow" w:hAnsi="Arial Narrow" w:cs="Arial Narrow" w:eastAsia="Arial Narrow" w:hint="default"/>
                <w:sz w:val="21"/>
                <w:szCs w:val="21"/>
              </w:rPr>
            </w:pPr>
            <w:r>
              <w:rPr>
                <w:rFonts w:ascii="Arial Narrow"/>
                <w:sz w:val="21"/>
              </w:rPr>
              <w:t>54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Arial Narrow" w:hAnsi="Arial Narrow" w:cs="Arial Narrow" w:eastAsia="Arial Narrow" w:hint="default"/>
                <w:sz w:val="21"/>
                <w:szCs w:val="21"/>
              </w:rPr>
            </w:pPr>
            <w:r>
              <w:rPr>
                <w:rFonts w:ascii="Arial Narrow"/>
                <w:sz w:val="21"/>
              </w:rPr>
              <w:t>2011-4-26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Narrow" w:hAnsi="Arial Narrow" w:cs="Arial Narrow" w:eastAsia="Arial Narrow" w:hint="default"/>
                <w:sz w:val="21"/>
                <w:szCs w:val="21"/>
              </w:rPr>
              <w:t>1</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Arial Narrow" w:hAnsi="Arial Narrow" w:cs="Arial Narrow" w:eastAsia="Arial Narrow" w:hint="default"/>
                <w:sz w:val="21"/>
                <w:szCs w:val="21"/>
              </w:rPr>
            </w:pPr>
            <w:r>
              <w:rPr>
                <w:rFonts w:ascii="Arial Narrow"/>
                <w:spacing w:val="-1"/>
                <w:sz w:val="21"/>
              </w:rPr>
              <w:t>8.00</w:t>
            </w:r>
            <w:r>
              <w:rPr>
                <w:rFonts w:ascii="Arial Narrow"/>
                <w:sz w:val="21"/>
              </w:rPr>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8" w:right="0"/>
              <w:jc w:val="left"/>
              <w:rPr>
                <w:rFonts w:ascii="宋体" w:hAnsi="宋体" w:cs="宋体" w:eastAsia="宋体" w:hint="default"/>
                <w:sz w:val="21"/>
                <w:szCs w:val="21"/>
              </w:rPr>
            </w:pPr>
            <w:r>
              <w:rPr>
                <w:rFonts w:ascii="宋体" w:hAnsi="宋体" w:cs="宋体" w:eastAsia="宋体" w:hint="default"/>
                <w:sz w:val="21"/>
                <w:szCs w:val="21"/>
              </w:rPr>
              <w:t>夏冬林</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65" w:right="0"/>
              <w:jc w:val="left"/>
              <w:rPr>
                <w:rFonts w:ascii="Arial Narrow" w:hAnsi="Arial Narrow" w:cs="Arial Narrow" w:eastAsia="Arial Narrow" w:hint="default"/>
                <w:sz w:val="21"/>
                <w:szCs w:val="21"/>
              </w:rPr>
            </w:pPr>
            <w:r>
              <w:rPr>
                <w:rFonts w:ascii="Arial Narrow"/>
                <w:sz w:val="21"/>
              </w:rPr>
              <w:t>52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Arial Narrow" w:hAnsi="Arial Narrow" w:cs="Arial Narrow" w:eastAsia="Arial Narrow" w:hint="default"/>
                <w:sz w:val="21"/>
                <w:szCs w:val="21"/>
              </w:rPr>
            </w:pPr>
            <w:r>
              <w:rPr>
                <w:rFonts w:ascii="Arial Narrow"/>
                <w:sz w:val="21"/>
              </w:rPr>
              <w:t>2011-4-26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Narrow" w:hAnsi="Arial Narrow" w:cs="Arial Narrow" w:eastAsia="Arial Narrow" w:hint="default"/>
                <w:sz w:val="21"/>
                <w:szCs w:val="21"/>
              </w:rPr>
              <w:t>1</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Arial Narrow" w:hAnsi="Arial Narrow" w:cs="Arial Narrow" w:eastAsia="Arial Narrow" w:hint="default"/>
                <w:sz w:val="21"/>
                <w:szCs w:val="21"/>
              </w:rPr>
            </w:pPr>
            <w:r>
              <w:rPr>
                <w:rFonts w:ascii="Arial Narrow"/>
                <w:spacing w:val="-1"/>
                <w:sz w:val="21"/>
              </w:rPr>
              <w:t>8.00</w:t>
            </w:r>
            <w:r>
              <w:rPr>
                <w:rFonts w:ascii="Arial Narrow"/>
                <w:sz w:val="21"/>
              </w:rPr>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8" w:right="0"/>
              <w:jc w:val="left"/>
              <w:rPr>
                <w:rFonts w:ascii="宋体" w:hAnsi="宋体" w:cs="宋体" w:eastAsia="宋体" w:hint="default"/>
                <w:sz w:val="21"/>
                <w:szCs w:val="21"/>
              </w:rPr>
            </w:pPr>
            <w:r>
              <w:rPr>
                <w:rFonts w:ascii="宋体" w:hAnsi="宋体" w:cs="宋体" w:eastAsia="宋体" w:hint="default"/>
                <w:sz w:val="21"/>
                <w:szCs w:val="21"/>
              </w:rPr>
              <w:t>李绍唐</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独立</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65" w:right="0"/>
              <w:jc w:val="left"/>
              <w:rPr>
                <w:rFonts w:ascii="Arial Narrow" w:hAnsi="Arial Narrow" w:cs="Arial Narrow" w:eastAsia="Arial Narrow" w:hint="default"/>
                <w:sz w:val="21"/>
                <w:szCs w:val="21"/>
              </w:rPr>
            </w:pPr>
            <w:r>
              <w:rPr>
                <w:rFonts w:ascii="Arial Narrow"/>
                <w:sz w:val="21"/>
              </w:rPr>
              <w:t>55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
              <w:jc w:val="center"/>
              <w:rPr>
                <w:rFonts w:ascii="Arial Narrow" w:hAnsi="Arial Narrow" w:cs="Arial Narrow" w:eastAsia="Arial Narrow" w:hint="default"/>
                <w:sz w:val="21"/>
                <w:szCs w:val="21"/>
              </w:rPr>
            </w:pPr>
            <w:r>
              <w:rPr>
                <w:rFonts w:ascii="Arial Narrow"/>
                <w:sz w:val="21"/>
              </w:rPr>
              <w:t>2011-4-26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Narrow" w:hAnsi="Arial Narrow" w:cs="Arial Narrow" w:eastAsia="Arial Narrow" w:hint="default"/>
                <w:sz w:val="21"/>
                <w:szCs w:val="21"/>
              </w:rPr>
              <w:t>1</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Arial Narrow" w:hAnsi="Arial Narrow" w:cs="Arial Narrow" w:eastAsia="Arial Narrow" w:hint="default"/>
                <w:sz w:val="21"/>
                <w:szCs w:val="21"/>
              </w:rPr>
            </w:pPr>
            <w:r>
              <w:rPr>
                <w:rFonts w:ascii="Arial Narrow"/>
                <w:spacing w:val="-1"/>
                <w:sz w:val="21"/>
              </w:rPr>
              <w:t>8.00</w:t>
            </w:r>
            <w:r>
              <w:rPr>
                <w:rFonts w:ascii="Arial Narrow"/>
                <w:sz w:val="21"/>
              </w:rPr>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许建钢</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134"/>
              <w:jc w:val="both"/>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pacing w:val="-103"/>
                <w:sz w:val="21"/>
                <w:szCs w:val="21"/>
              </w:rPr>
              <w:t> </w:t>
            </w:r>
            <w:r>
              <w:rPr>
                <w:rFonts w:ascii="宋体" w:hAnsi="宋体" w:cs="宋体" w:eastAsia="宋体" w:hint="default"/>
                <w:sz w:val="21"/>
                <w:szCs w:val="21"/>
              </w:rPr>
              <w:t>会主</w:t>
            </w:r>
            <w:r>
              <w:rPr>
                <w:rFonts w:ascii="宋体" w:hAnsi="宋体" w:cs="宋体" w:eastAsia="宋体" w:hint="default"/>
                <w:spacing w:val="-103"/>
                <w:sz w:val="21"/>
                <w:szCs w:val="21"/>
              </w:rPr>
              <w:t> </w:t>
            </w:r>
            <w:r>
              <w:rPr>
                <w:rFonts w:ascii="宋体" w:hAnsi="宋体" w:cs="宋体" w:eastAsia="宋体" w:hint="default"/>
                <w:sz w:val="21"/>
                <w:szCs w:val="21"/>
              </w:rPr>
              <w:t>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165" w:right="0"/>
              <w:jc w:val="left"/>
              <w:rPr>
                <w:rFonts w:ascii="Arial Narrow" w:hAnsi="Arial Narrow" w:cs="Arial Narrow" w:eastAsia="Arial Narrow" w:hint="default"/>
                <w:sz w:val="21"/>
                <w:szCs w:val="21"/>
              </w:rPr>
            </w:pPr>
            <w:r>
              <w:rPr>
                <w:rFonts w:ascii="Arial Narrow"/>
                <w:sz w:val="21"/>
              </w:rPr>
              <w:t>52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0"/>
              <w:jc w:val="center"/>
              <w:rPr>
                <w:rFonts w:ascii="Arial Narrow" w:hAnsi="Arial Narrow" w:cs="Arial Narrow" w:eastAsia="Arial Narrow" w:hint="default"/>
                <w:sz w:val="21"/>
                <w:szCs w:val="21"/>
              </w:rPr>
            </w:pPr>
            <w:r>
              <w:rPr>
                <w:rFonts w:ascii="Arial Narrow"/>
                <w:sz w:val="21"/>
              </w:rPr>
              <w:t>2011-4-26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Narrow" w:hAnsi="Arial Narrow" w:cs="Arial Narrow" w:eastAsia="Arial Narrow" w:hint="default"/>
                <w:sz w:val="21"/>
                <w:szCs w:val="21"/>
              </w:rPr>
              <w:t>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98"/>
              <w:jc w:val="right"/>
              <w:rPr>
                <w:rFonts w:ascii="Arial Narrow" w:hAnsi="Arial Narrow" w:cs="Arial Narrow" w:eastAsia="Arial Narrow" w:hint="default"/>
                <w:sz w:val="21"/>
                <w:szCs w:val="21"/>
              </w:rPr>
            </w:pPr>
            <w:r>
              <w:rPr>
                <w:rFonts w:ascii="Arial Narrow"/>
                <w:spacing w:val="-1"/>
                <w:sz w:val="21"/>
              </w:rPr>
              <w:t>133,510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101"/>
              <w:jc w:val="right"/>
              <w:rPr>
                <w:rFonts w:ascii="Arial Narrow" w:hAnsi="Arial Narrow" w:cs="Arial Narrow" w:eastAsia="Arial Narrow" w:hint="default"/>
                <w:sz w:val="21"/>
                <w:szCs w:val="21"/>
              </w:rPr>
            </w:pPr>
            <w:r>
              <w:rPr>
                <w:rFonts w:ascii="Arial Narrow"/>
                <w:spacing w:val="-1"/>
                <w:sz w:val="21"/>
              </w:rPr>
              <w:t>165,212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101"/>
              <w:jc w:val="right"/>
              <w:rPr>
                <w:rFonts w:ascii="Arial Narrow" w:hAnsi="Arial Narrow" w:cs="Arial Narrow" w:eastAsia="Arial Narrow" w:hint="default"/>
                <w:sz w:val="21"/>
                <w:szCs w:val="21"/>
              </w:rPr>
            </w:pPr>
            <w:r>
              <w:rPr>
                <w:rFonts w:ascii="Arial Narrow"/>
                <w:spacing w:val="-1"/>
                <w:sz w:val="21"/>
              </w:rPr>
              <w:t>31,702</w:t>
            </w:r>
            <w:r>
              <w:rPr>
                <w:rFonts w:ascii="Arial Narrow"/>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二级市</w:t>
            </w:r>
          </w:p>
          <w:p>
            <w:pPr>
              <w:pStyle w:val="TableParagraph"/>
              <w:spacing w:line="237" w:lineRule="auto"/>
              <w:ind w:left="100" w:right="104"/>
              <w:jc w:val="left"/>
              <w:rPr>
                <w:rFonts w:ascii="宋体" w:hAnsi="宋体" w:cs="宋体" w:eastAsia="宋体" w:hint="default"/>
                <w:sz w:val="21"/>
                <w:szCs w:val="21"/>
              </w:rPr>
            </w:pPr>
            <w:r>
              <w:rPr>
                <w:rFonts w:ascii="宋体" w:hAnsi="宋体" w:cs="宋体" w:eastAsia="宋体" w:hint="default"/>
                <w:sz w:val="21"/>
                <w:szCs w:val="21"/>
              </w:rPr>
              <w:t>场买</w:t>
            </w:r>
            <w:r>
              <w:rPr>
                <w:rFonts w:ascii="宋体" w:hAnsi="宋体" w:cs="宋体" w:eastAsia="宋体" w:hint="default"/>
                <w:spacing w:val="-103"/>
                <w:sz w:val="21"/>
                <w:szCs w:val="21"/>
              </w:rPr>
              <w:t> </w:t>
            </w:r>
            <w:r>
              <w:rPr>
                <w:rFonts w:ascii="宋体" w:hAnsi="宋体" w:cs="宋体" w:eastAsia="宋体" w:hint="default"/>
                <w:sz w:val="21"/>
                <w:szCs w:val="21"/>
              </w:rPr>
              <w:t>卖、转</w:t>
            </w:r>
            <w:r>
              <w:rPr>
                <w:rFonts w:ascii="宋体" w:hAnsi="宋体" w:cs="宋体" w:eastAsia="宋体" w:hint="default"/>
                <w:spacing w:val="-102"/>
                <w:sz w:val="21"/>
                <w:szCs w:val="21"/>
              </w:rPr>
              <w:t> </w:t>
            </w:r>
            <w:r>
              <w:rPr>
                <w:rFonts w:ascii="宋体" w:hAnsi="宋体" w:cs="宋体" w:eastAsia="宋体" w:hint="default"/>
                <w:sz w:val="21"/>
                <w:szCs w:val="21"/>
              </w:rPr>
              <w:t>增股本</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101"/>
              <w:jc w:val="right"/>
              <w:rPr>
                <w:rFonts w:ascii="Arial Narrow" w:hAnsi="Arial Narrow" w:cs="Arial Narrow" w:eastAsia="Arial Narrow" w:hint="default"/>
                <w:sz w:val="21"/>
                <w:szCs w:val="21"/>
              </w:rPr>
            </w:pPr>
            <w:r>
              <w:rPr>
                <w:rFonts w:ascii="Arial Narrow"/>
                <w:spacing w:val="-1"/>
                <w:sz w:val="21"/>
              </w:rPr>
              <w:t>64.26</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高志勇</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5"/>
              <w:jc w:val="center"/>
              <w:rPr>
                <w:rFonts w:ascii="宋体" w:hAnsi="宋体" w:cs="宋体" w:eastAsia="宋体" w:hint="default"/>
                <w:sz w:val="21"/>
                <w:szCs w:val="21"/>
              </w:rPr>
            </w:pPr>
            <w:r>
              <w:rPr>
                <w:rFonts w:ascii="宋体" w:hAnsi="宋体" w:cs="宋体" w:eastAsia="宋体" w:hint="default"/>
                <w:sz w:val="21"/>
                <w:szCs w:val="21"/>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65" w:right="0"/>
              <w:jc w:val="left"/>
              <w:rPr>
                <w:rFonts w:ascii="Arial Narrow" w:hAnsi="Arial Narrow" w:cs="Arial Narrow" w:eastAsia="Arial Narrow" w:hint="default"/>
                <w:sz w:val="21"/>
                <w:szCs w:val="21"/>
              </w:rPr>
            </w:pPr>
            <w:r>
              <w:rPr>
                <w:rFonts w:ascii="Arial Narrow"/>
                <w:sz w:val="21"/>
              </w:rPr>
              <w:t>50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Arial Narrow" w:hAnsi="Arial Narrow" w:cs="Arial Narrow" w:eastAsia="Arial Narrow" w:hint="default"/>
                <w:sz w:val="21"/>
                <w:szCs w:val="21"/>
              </w:rPr>
            </w:pPr>
            <w:r>
              <w:rPr>
                <w:rFonts w:ascii="Arial Narrow"/>
                <w:sz w:val="21"/>
              </w:rPr>
              <w:t>2011-4-26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Narrow" w:hAnsi="Arial Narrow" w:cs="Arial Narrow" w:eastAsia="Arial Narrow" w:hint="default"/>
                <w:sz w:val="21"/>
                <w:szCs w:val="21"/>
              </w:rPr>
              <w:t>1</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Arial Narrow" w:hAnsi="Arial Narrow" w:cs="Arial Narrow" w:eastAsia="Arial Narrow" w:hint="default"/>
                <w:sz w:val="21"/>
                <w:szCs w:val="21"/>
              </w:rPr>
            </w:pPr>
            <w:r>
              <w:rPr>
                <w:rFonts w:ascii="Arial Narrow"/>
                <w:w w:val="100"/>
                <w:sz w:val="21"/>
              </w:rPr>
              <w:t>-</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章珂</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5"/>
              <w:jc w:val="center"/>
              <w:rPr>
                <w:rFonts w:ascii="宋体" w:hAnsi="宋体" w:cs="宋体" w:eastAsia="宋体" w:hint="default"/>
                <w:sz w:val="21"/>
                <w:szCs w:val="21"/>
              </w:rPr>
            </w:pPr>
            <w:r>
              <w:rPr>
                <w:rFonts w:ascii="宋体" w:hAnsi="宋体" w:cs="宋体" w:eastAsia="宋体" w:hint="default"/>
                <w:sz w:val="21"/>
                <w:szCs w:val="21"/>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65" w:right="0"/>
              <w:jc w:val="left"/>
              <w:rPr>
                <w:rFonts w:ascii="Arial Narrow" w:hAnsi="Arial Narrow" w:cs="Arial Narrow" w:eastAsia="Arial Narrow" w:hint="default"/>
                <w:sz w:val="21"/>
                <w:szCs w:val="21"/>
              </w:rPr>
            </w:pPr>
            <w:r>
              <w:rPr>
                <w:rFonts w:ascii="Arial Narrow"/>
                <w:sz w:val="21"/>
              </w:rPr>
              <w:t>47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Arial Narrow" w:hAnsi="Arial Narrow" w:cs="Arial Narrow" w:eastAsia="Arial Narrow" w:hint="default"/>
                <w:sz w:val="21"/>
                <w:szCs w:val="21"/>
              </w:rPr>
            </w:pPr>
            <w:r>
              <w:rPr>
                <w:rFonts w:ascii="Arial Narrow"/>
                <w:sz w:val="21"/>
              </w:rPr>
              <w:t>2011-4-26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2"/>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Narrow" w:hAnsi="Arial Narrow" w:cs="Arial Narrow" w:eastAsia="Arial Narrow" w:hint="default"/>
                <w:sz w:val="21"/>
                <w:szCs w:val="21"/>
              </w:rPr>
              <w:t>1</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Arial Narrow" w:hAnsi="Arial Narrow" w:cs="Arial Narrow" w:eastAsia="Arial Narrow" w:hint="default"/>
                <w:sz w:val="21"/>
                <w:szCs w:val="21"/>
              </w:rPr>
            </w:pPr>
            <w:r>
              <w:rPr>
                <w:rFonts w:ascii="Arial Narrow"/>
                <w:w w:val="100"/>
                <w:sz w:val="21"/>
              </w:rPr>
              <w:t>-</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向奇汉</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100" w:right="134"/>
              <w:jc w:val="left"/>
              <w:rPr>
                <w:rFonts w:ascii="宋体" w:hAnsi="宋体" w:cs="宋体" w:eastAsia="宋体" w:hint="default"/>
                <w:sz w:val="21"/>
                <w:szCs w:val="21"/>
              </w:rPr>
            </w:pPr>
            <w:r>
              <w:rPr>
                <w:rFonts w:ascii="宋体" w:hAnsi="宋体" w:cs="宋体" w:eastAsia="宋体" w:hint="default"/>
                <w:sz w:val="21"/>
                <w:szCs w:val="21"/>
              </w:rPr>
              <w:t>执行</w:t>
            </w:r>
            <w:r>
              <w:rPr>
                <w:rFonts w:ascii="宋体" w:hAnsi="宋体" w:cs="宋体" w:eastAsia="宋体" w:hint="default"/>
                <w:spacing w:val="-103"/>
                <w:sz w:val="21"/>
                <w:szCs w:val="21"/>
              </w:rPr>
              <w:t> </w:t>
            </w:r>
            <w:r>
              <w:rPr>
                <w:rFonts w:ascii="宋体" w:hAnsi="宋体" w:cs="宋体" w:eastAsia="宋体" w:hint="default"/>
                <w:sz w:val="21"/>
                <w:szCs w:val="21"/>
              </w:rPr>
              <w:t>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165" w:right="0"/>
              <w:jc w:val="left"/>
              <w:rPr>
                <w:rFonts w:ascii="Arial Narrow" w:hAnsi="Arial Narrow" w:cs="Arial Narrow" w:eastAsia="Arial Narrow" w:hint="default"/>
                <w:sz w:val="21"/>
                <w:szCs w:val="21"/>
              </w:rPr>
            </w:pPr>
            <w:r>
              <w:rPr>
                <w:rFonts w:ascii="Arial Narrow"/>
                <w:sz w:val="21"/>
              </w:rPr>
              <w:t>47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1"/>
              <w:jc w:val="center"/>
              <w:rPr>
                <w:rFonts w:ascii="Arial Narrow" w:hAnsi="Arial Narrow" w:cs="Arial Narrow" w:eastAsia="Arial Narrow" w:hint="default"/>
                <w:sz w:val="21"/>
                <w:szCs w:val="21"/>
              </w:rPr>
            </w:pPr>
            <w:r>
              <w:rPr>
                <w:rFonts w:ascii="Arial Narrow"/>
                <w:sz w:val="21"/>
              </w:rPr>
              <w:t>2013-3-18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Narrow" w:hAnsi="Arial Narrow" w:cs="Arial Narrow" w:eastAsia="Arial Narrow" w:hint="default"/>
                <w:sz w:val="21"/>
                <w:szCs w:val="21"/>
              </w:rPr>
              <w:t>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98"/>
              <w:jc w:val="right"/>
              <w:rPr>
                <w:rFonts w:ascii="Arial Narrow" w:hAnsi="Arial Narrow" w:cs="Arial Narrow" w:eastAsia="Arial Narrow" w:hint="default"/>
                <w:sz w:val="21"/>
                <w:szCs w:val="21"/>
              </w:rPr>
            </w:pPr>
            <w:r>
              <w:rPr>
                <w:rFonts w:ascii="Arial Narrow"/>
                <w:spacing w:val="-1"/>
                <w:sz w:val="21"/>
              </w:rPr>
              <w:t>224,629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100"/>
              <w:jc w:val="right"/>
              <w:rPr>
                <w:rFonts w:ascii="Arial Narrow" w:hAnsi="Arial Narrow" w:cs="Arial Narrow" w:eastAsia="Arial Narrow" w:hint="default"/>
                <w:sz w:val="21"/>
                <w:szCs w:val="21"/>
              </w:rPr>
            </w:pPr>
            <w:r>
              <w:rPr>
                <w:rFonts w:ascii="Arial Narrow"/>
                <w:spacing w:val="-1"/>
                <w:sz w:val="21"/>
              </w:rPr>
              <w:t>360,555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102"/>
              <w:jc w:val="right"/>
              <w:rPr>
                <w:rFonts w:ascii="Arial Narrow" w:hAnsi="Arial Narrow" w:cs="Arial Narrow" w:eastAsia="Arial Narrow" w:hint="default"/>
                <w:sz w:val="21"/>
                <w:szCs w:val="21"/>
              </w:rPr>
            </w:pPr>
            <w:r>
              <w:rPr>
                <w:rFonts w:ascii="Arial Narrow"/>
                <w:spacing w:val="-1"/>
                <w:sz w:val="21"/>
              </w:rPr>
              <w:t>135,926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二级市</w:t>
            </w:r>
          </w:p>
          <w:p>
            <w:pPr>
              <w:pStyle w:val="TableParagraph"/>
              <w:spacing w:line="237" w:lineRule="auto" w:before="2"/>
              <w:ind w:left="100" w:right="103"/>
              <w:jc w:val="left"/>
              <w:rPr>
                <w:rFonts w:ascii="宋体" w:hAnsi="宋体" w:cs="宋体" w:eastAsia="宋体" w:hint="default"/>
                <w:sz w:val="21"/>
                <w:szCs w:val="21"/>
              </w:rPr>
            </w:pPr>
            <w:r>
              <w:rPr>
                <w:rFonts w:ascii="宋体" w:hAnsi="宋体" w:cs="宋体" w:eastAsia="宋体" w:hint="default"/>
                <w:sz w:val="21"/>
                <w:szCs w:val="21"/>
              </w:rPr>
              <w:t>场买</w:t>
            </w:r>
            <w:r>
              <w:rPr>
                <w:rFonts w:ascii="宋体" w:hAnsi="宋体" w:cs="宋体" w:eastAsia="宋体" w:hint="default"/>
                <w:spacing w:val="-103"/>
                <w:sz w:val="21"/>
                <w:szCs w:val="21"/>
              </w:rPr>
              <w:t> </w:t>
            </w:r>
            <w:r>
              <w:rPr>
                <w:rFonts w:ascii="宋体" w:hAnsi="宋体" w:cs="宋体" w:eastAsia="宋体" w:hint="default"/>
                <w:sz w:val="21"/>
                <w:szCs w:val="21"/>
              </w:rPr>
              <w:t>卖、转</w:t>
            </w:r>
            <w:r>
              <w:rPr>
                <w:rFonts w:ascii="宋体" w:hAnsi="宋体" w:cs="宋体" w:eastAsia="宋体" w:hint="default"/>
                <w:spacing w:val="-102"/>
                <w:sz w:val="21"/>
                <w:szCs w:val="21"/>
              </w:rPr>
              <w:t> </w:t>
            </w:r>
            <w:r>
              <w:rPr>
                <w:rFonts w:ascii="宋体" w:hAnsi="宋体" w:cs="宋体" w:eastAsia="宋体" w:hint="default"/>
                <w:sz w:val="21"/>
                <w:szCs w:val="21"/>
              </w:rPr>
              <w:t>增股本</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98"/>
              <w:jc w:val="right"/>
              <w:rPr>
                <w:rFonts w:ascii="Arial Narrow" w:hAnsi="Arial Narrow" w:cs="Arial Narrow" w:eastAsia="Arial Narrow" w:hint="default"/>
                <w:sz w:val="21"/>
                <w:szCs w:val="21"/>
              </w:rPr>
            </w:pPr>
            <w:r>
              <w:rPr>
                <w:rFonts w:ascii="Arial Narrow"/>
                <w:spacing w:val="-1"/>
                <w:sz w:val="21"/>
              </w:rPr>
              <w:t>382.94</w:t>
            </w:r>
            <w:r>
              <w:rPr>
                <w:rFonts w:ascii="Arial Narrow"/>
                <w:sz w:val="21"/>
              </w:rPr>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李友</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65" w:right="0"/>
              <w:jc w:val="left"/>
              <w:rPr>
                <w:rFonts w:ascii="Arial Narrow" w:hAnsi="Arial Narrow" w:cs="Arial Narrow" w:eastAsia="Arial Narrow" w:hint="default"/>
                <w:sz w:val="21"/>
                <w:szCs w:val="21"/>
              </w:rPr>
            </w:pPr>
            <w:r>
              <w:rPr>
                <w:rFonts w:ascii="Arial Narrow"/>
                <w:sz w:val="21"/>
              </w:rPr>
              <w:t>48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Arial Narrow" w:hAnsi="Arial Narrow" w:cs="Arial Narrow" w:eastAsia="Arial Narrow" w:hint="default"/>
                <w:sz w:val="21"/>
                <w:szCs w:val="21"/>
              </w:rPr>
            </w:pPr>
            <w:r>
              <w:rPr>
                <w:rFonts w:ascii="Arial Narrow"/>
                <w:sz w:val="21"/>
              </w:rPr>
              <w:t>2011-5-11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
              <w:jc w:val="center"/>
              <w:rPr>
                <w:rFonts w:ascii="Arial Narrow" w:hAnsi="Arial Narrow" w:cs="Arial Narrow" w:eastAsia="Arial Narrow" w:hint="default"/>
                <w:sz w:val="21"/>
                <w:szCs w:val="21"/>
              </w:rPr>
            </w:pPr>
            <w:r>
              <w:rPr>
                <w:rFonts w:ascii="Arial Narrow"/>
                <w:sz w:val="21"/>
              </w:rPr>
              <w:t>2012-7-2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1" w:right="0"/>
              <w:jc w:val="left"/>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Narrow" w:hAnsi="Arial Narrow" w:cs="Arial Narrow" w:eastAsia="Arial Narrow" w:hint="default"/>
                <w:sz w:val="21"/>
                <w:szCs w:val="21"/>
              </w:rPr>
              <w:t>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Narrow" w:hAnsi="Arial Narrow" w:cs="Arial Narrow" w:eastAsia="Arial Narrow" w:hint="default"/>
                <w:sz w:val="21"/>
                <w:szCs w:val="21"/>
              </w:rPr>
              <w:t>3</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8"/>
              <w:jc w:val="right"/>
              <w:rPr>
                <w:rFonts w:ascii="Arial Narrow" w:hAnsi="Arial Narrow" w:cs="Arial Narrow" w:eastAsia="Arial Narrow" w:hint="default"/>
                <w:sz w:val="21"/>
                <w:szCs w:val="21"/>
              </w:rPr>
            </w:pPr>
            <w:r>
              <w:rPr>
                <w:rFonts w:ascii="Arial Narrow"/>
                <w:spacing w:val="-1"/>
                <w:sz w:val="21"/>
              </w:rPr>
              <w:t>528.01</w:t>
            </w:r>
            <w:r>
              <w:rPr>
                <w:rFonts w:ascii="Arial Narrow"/>
                <w:sz w:val="21"/>
              </w:rPr>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章培林</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副总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65" w:right="0"/>
              <w:jc w:val="left"/>
              <w:rPr>
                <w:rFonts w:ascii="Arial Narrow" w:hAnsi="Arial Narrow" w:cs="Arial Narrow" w:eastAsia="Arial Narrow" w:hint="default"/>
                <w:sz w:val="21"/>
                <w:szCs w:val="21"/>
              </w:rPr>
            </w:pPr>
            <w:r>
              <w:rPr>
                <w:rFonts w:ascii="Arial Narrow"/>
                <w:sz w:val="21"/>
              </w:rPr>
              <w:t>48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Arial Narrow" w:hAnsi="Arial Narrow" w:cs="Arial Narrow" w:eastAsia="Arial Narrow" w:hint="default"/>
                <w:sz w:val="21"/>
                <w:szCs w:val="21"/>
              </w:rPr>
            </w:pPr>
            <w:r>
              <w:rPr>
                <w:rFonts w:ascii="Arial Narrow"/>
                <w:sz w:val="21"/>
              </w:rPr>
              <w:t>2012-7-13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Narrow" w:hAnsi="Arial Narrow" w:cs="Arial Narrow" w:eastAsia="Arial Narrow" w:hint="default"/>
                <w:sz w:val="21"/>
                <w:szCs w:val="21"/>
              </w:rPr>
              <w:t>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79" w:right="0"/>
              <w:jc w:val="left"/>
              <w:rPr>
                <w:rFonts w:ascii="Arial Narrow" w:hAnsi="Arial Narrow" w:cs="Arial Narrow" w:eastAsia="Arial Narrow" w:hint="default"/>
                <w:sz w:val="21"/>
                <w:szCs w:val="21"/>
              </w:rPr>
            </w:pPr>
            <w:r>
              <w:rPr>
                <w:rFonts w:ascii="Arial Narrow"/>
                <w:sz w:val="21"/>
              </w:rPr>
              <w:t>328,427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3"/>
              <w:jc w:val="right"/>
              <w:rPr>
                <w:rFonts w:ascii="Arial Narrow" w:hAnsi="Arial Narrow" w:cs="Arial Narrow" w:eastAsia="Arial Narrow" w:hint="default"/>
                <w:sz w:val="21"/>
                <w:szCs w:val="21"/>
              </w:rPr>
            </w:pPr>
            <w:r>
              <w:rPr>
                <w:rFonts w:ascii="Arial Narrow"/>
                <w:spacing w:val="-1"/>
                <w:sz w:val="21"/>
              </w:rPr>
              <w:t>404,112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1"/>
              <w:jc w:val="right"/>
              <w:rPr>
                <w:rFonts w:ascii="Arial Narrow" w:hAnsi="Arial Narrow" w:cs="Arial Narrow" w:eastAsia="Arial Narrow" w:hint="default"/>
                <w:sz w:val="21"/>
                <w:szCs w:val="21"/>
              </w:rPr>
            </w:pPr>
            <w:r>
              <w:rPr>
                <w:rFonts w:ascii="Arial Narrow"/>
                <w:spacing w:val="-1"/>
                <w:sz w:val="21"/>
              </w:rPr>
              <w:t>75,685</w:t>
            </w:r>
            <w:r>
              <w:rPr>
                <w:rFonts w:ascii="Arial Narrow"/>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二级市</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场买</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8"/>
              <w:jc w:val="right"/>
              <w:rPr>
                <w:rFonts w:ascii="Arial Narrow" w:hAnsi="Arial Narrow" w:cs="Arial Narrow" w:eastAsia="Arial Narrow" w:hint="default"/>
                <w:sz w:val="21"/>
                <w:szCs w:val="21"/>
              </w:rPr>
            </w:pPr>
            <w:r>
              <w:rPr>
                <w:rFonts w:ascii="Arial Narrow"/>
                <w:spacing w:val="-1"/>
                <w:sz w:val="21"/>
              </w:rPr>
              <w:t>421.85</w:t>
            </w:r>
            <w:r>
              <w:rPr>
                <w:rFonts w:ascii="Arial Narrow"/>
                <w:sz w:val="21"/>
              </w:rPr>
            </w:r>
          </w:p>
        </w:tc>
        <w:tc>
          <w:tcPr>
            <w:tcW w:w="7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50"/>
          <w:pgMar w:header="752" w:footer="730" w:top="1020" w:bottom="920" w:left="660" w:right="5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12" w:type="dxa"/>
        <w:tblLayout w:type="fixed"/>
        <w:tblCellMar>
          <w:top w:w="0" w:type="dxa"/>
          <w:left w:w="0" w:type="dxa"/>
          <w:bottom w:w="0" w:type="dxa"/>
          <w:right w:w="0" w:type="dxa"/>
        </w:tblCellMar>
        <w:tblLook w:val="01E0"/>
      </w:tblPr>
      <w:tblGrid>
        <w:gridCol w:w="857"/>
        <w:gridCol w:w="670"/>
        <w:gridCol w:w="566"/>
        <w:gridCol w:w="533"/>
        <w:gridCol w:w="1135"/>
        <w:gridCol w:w="1133"/>
        <w:gridCol w:w="991"/>
        <w:gridCol w:w="994"/>
        <w:gridCol w:w="994"/>
        <w:gridCol w:w="850"/>
        <w:gridCol w:w="991"/>
        <w:gridCol w:w="708"/>
      </w:tblGrid>
      <w:tr>
        <w:trPr>
          <w:trHeight w:val="3005"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9"/>
              <w:ind w:left="2"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9"/>
              <w:ind w:left="117"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2" w:lineRule="exact"/>
              <w:ind w:left="172" w:right="170"/>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2" w:lineRule="exact"/>
              <w:ind w:left="156" w:right="153"/>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龄</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2" w:lineRule="exact"/>
              <w:ind w:left="244" w:right="245"/>
              <w:jc w:val="left"/>
              <w:rPr>
                <w:rFonts w:ascii="宋体" w:hAnsi="宋体" w:cs="宋体" w:eastAsia="宋体" w:hint="default"/>
                <w:sz w:val="21"/>
                <w:szCs w:val="21"/>
              </w:rPr>
            </w:pPr>
            <w:r>
              <w:rPr>
                <w:rFonts w:ascii="宋体" w:hAnsi="宋体" w:cs="宋体" w:eastAsia="宋体" w:hint="default"/>
                <w:sz w:val="21"/>
                <w:szCs w:val="21"/>
              </w:rPr>
              <w:t>任期起</w:t>
            </w:r>
            <w:r>
              <w:rPr>
                <w:rFonts w:ascii="宋体" w:hAnsi="宋体" w:cs="宋体" w:eastAsia="宋体" w:hint="default"/>
                <w:spacing w:val="-102"/>
                <w:sz w:val="21"/>
                <w:szCs w:val="21"/>
              </w:rPr>
              <w:t> </w:t>
            </w:r>
            <w:r>
              <w:rPr>
                <w:rFonts w:ascii="宋体" w:hAnsi="宋体" w:cs="宋体" w:eastAsia="宋体" w:hint="default"/>
                <w:sz w:val="21"/>
                <w:szCs w:val="21"/>
              </w:rPr>
              <w:t>始日期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2" w:lineRule="exact"/>
              <w:ind w:left="444" w:right="43" w:hanging="421"/>
              <w:jc w:val="left"/>
              <w:rPr>
                <w:rFonts w:ascii="宋体" w:hAnsi="宋体" w:cs="宋体" w:eastAsia="宋体" w:hint="default"/>
                <w:sz w:val="21"/>
                <w:szCs w:val="21"/>
              </w:rPr>
            </w:pPr>
            <w:r>
              <w:rPr>
                <w:rFonts w:ascii="宋体" w:hAnsi="宋体" w:cs="宋体" w:eastAsia="宋体" w:hint="default"/>
                <w:sz w:val="21"/>
                <w:szCs w:val="21"/>
              </w:rPr>
              <w:t>任期终止日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2" w:lineRule="exact"/>
              <w:ind w:left="439" w:right="12" w:hanging="315"/>
              <w:jc w:val="left"/>
              <w:rPr>
                <w:rFonts w:ascii="宋体" w:hAnsi="宋体" w:cs="宋体" w:eastAsia="宋体" w:hint="default"/>
                <w:sz w:val="21"/>
                <w:szCs w:val="21"/>
              </w:rPr>
            </w:pPr>
            <w:r>
              <w:rPr>
                <w:rFonts w:ascii="宋体" w:hAnsi="宋体" w:cs="宋体" w:eastAsia="宋体" w:hint="default"/>
                <w:sz w:val="21"/>
                <w:szCs w:val="21"/>
              </w:rPr>
              <w:t>年初持股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2" w:lineRule="exact"/>
              <w:ind w:left="281" w:right="172" w:hanging="106"/>
              <w:jc w:val="left"/>
              <w:rPr>
                <w:rFonts w:ascii="宋体" w:hAnsi="宋体" w:cs="宋体" w:eastAsia="宋体" w:hint="default"/>
                <w:sz w:val="21"/>
                <w:szCs w:val="21"/>
              </w:rPr>
            </w:pPr>
            <w:r>
              <w:rPr>
                <w:rFonts w:ascii="宋体" w:hAnsi="宋体" w:cs="宋体" w:eastAsia="宋体" w:hint="default"/>
                <w:sz w:val="21"/>
                <w:szCs w:val="21"/>
              </w:rPr>
              <w:t>年末持</w:t>
            </w:r>
            <w:r>
              <w:rPr>
                <w:rFonts w:ascii="宋体" w:hAnsi="宋体" w:cs="宋体" w:eastAsia="宋体" w:hint="default"/>
                <w:spacing w:val="-102"/>
                <w:sz w:val="21"/>
                <w:szCs w:val="21"/>
              </w:rPr>
              <w:t> </w:t>
            </w:r>
            <w:r>
              <w:rPr>
                <w:rFonts w:ascii="宋体" w:hAnsi="宋体" w:cs="宋体" w:eastAsia="宋体" w:hint="default"/>
                <w:sz w:val="21"/>
                <w:szCs w:val="21"/>
              </w:rPr>
              <w:t>股数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7" w:lineRule="auto"/>
              <w:ind w:left="175" w:right="172"/>
              <w:jc w:val="center"/>
              <w:rPr>
                <w:rFonts w:ascii="宋体" w:hAnsi="宋体" w:cs="宋体" w:eastAsia="宋体" w:hint="default"/>
                <w:sz w:val="21"/>
                <w:szCs w:val="21"/>
              </w:rPr>
            </w:pPr>
            <w:r>
              <w:rPr>
                <w:rFonts w:ascii="宋体" w:hAnsi="宋体" w:cs="宋体" w:eastAsia="宋体" w:hint="default"/>
                <w:sz w:val="21"/>
                <w:szCs w:val="21"/>
              </w:rPr>
              <w:t>年度内</w:t>
            </w:r>
            <w:r>
              <w:rPr>
                <w:rFonts w:ascii="宋体" w:hAnsi="宋体" w:cs="宋体" w:eastAsia="宋体" w:hint="default"/>
                <w:w w:val="100"/>
                <w:sz w:val="21"/>
                <w:szCs w:val="21"/>
              </w:rPr>
              <w:t> </w:t>
            </w:r>
            <w:r>
              <w:rPr>
                <w:rFonts w:ascii="宋体" w:hAnsi="宋体" w:cs="宋体" w:eastAsia="宋体" w:hint="default"/>
                <w:sz w:val="21"/>
                <w:szCs w:val="21"/>
              </w:rPr>
              <w:t>股份增</w:t>
            </w:r>
            <w:r>
              <w:rPr>
                <w:rFonts w:ascii="宋体" w:hAnsi="宋体" w:cs="宋体" w:eastAsia="宋体" w:hint="default"/>
                <w:w w:val="100"/>
                <w:sz w:val="21"/>
                <w:szCs w:val="21"/>
              </w:rPr>
              <w:t> </w:t>
            </w:r>
            <w:r>
              <w:rPr>
                <w:rFonts w:ascii="宋体" w:hAnsi="宋体" w:cs="宋体" w:eastAsia="宋体" w:hint="default"/>
                <w:sz w:val="21"/>
                <w:szCs w:val="21"/>
              </w:rPr>
              <w:t>减变动</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2" w:lineRule="exact"/>
              <w:ind w:left="103" w:right="100"/>
              <w:jc w:val="left"/>
              <w:rPr>
                <w:rFonts w:ascii="宋体" w:hAnsi="宋体" w:cs="宋体" w:eastAsia="宋体" w:hint="default"/>
                <w:sz w:val="21"/>
                <w:szCs w:val="21"/>
              </w:rPr>
            </w:pPr>
            <w:r>
              <w:rPr>
                <w:rFonts w:ascii="宋体" w:hAnsi="宋体" w:cs="宋体" w:eastAsia="宋体" w:hint="default"/>
                <w:sz w:val="21"/>
                <w:szCs w:val="21"/>
              </w:rPr>
              <w:t>增减变</w:t>
            </w:r>
            <w:r>
              <w:rPr>
                <w:rFonts w:ascii="宋体" w:hAnsi="宋体" w:cs="宋体" w:eastAsia="宋体" w:hint="default"/>
                <w:spacing w:val="-102"/>
                <w:sz w:val="21"/>
                <w:szCs w:val="21"/>
              </w:rPr>
              <w:t> </w:t>
            </w:r>
            <w:r>
              <w:rPr>
                <w:rFonts w:ascii="宋体" w:hAnsi="宋体" w:cs="宋体" w:eastAsia="宋体" w:hint="default"/>
                <w:sz w:val="21"/>
                <w:szCs w:val="21"/>
              </w:rPr>
              <w:t>动原因</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6"/>
              <w:ind w:left="175" w:right="170"/>
              <w:jc w:val="center"/>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w w:val="100"/>
                <w:sz w:val="21"/>
                <w:szCs w:val="21"/>
              </w:rPr>
              <w:t> </w:t>
            </w:r>
            <w:r>
              <w:rPr>
                <w:rFonts w:ascii="宋体" w:hAnsi="宋体" w:cs="宋体" w:eastAsia="宋体" w:hint="default"/>
                <w:sz w:val="21"/>
                <w:szCs w:val="21"/>
              </w:rPr>
              <w:t>内从公</w:t>
            </w:r>
            <w:r>
              <w:rPr>
                <w:rFonts w:ascii="宋体" w:hAnsi="宋体" w:cs="宋体" w:eastAsia="宋体" w:hint="default"/>
                <w:w w:val="100"/>
                <w:sz w:val="21"/>
                <w:szCs w:val="21"/>
              </w:rPr>
              <w:t> </w:t>
            </w:r>
            <w:r>
              <w:rPr>
                <w:rFonts w:ascii="宋体" w:hAnsi="宋体" w:cs="宋体" w:eastAsia="宋体" w:hint="default"/>
                <w:sz w:val="21"/>
                <w:szCs w:val="21"/>
              </w:rPr>
              <w:t>司领取</w:t>
            </w:r>
            <w:r>
              <w:rPr>
                <w:rFonts w:ascii="宋体" w:hAnsi="宋体" w:cs="宋体" w:eastAsia="宋体" w:hint="default"/>
                <w:w w:val="100"/>
                <w:sz w:val="21"/>
                <w:szCs w:val="21"/>
              </w:rPr>
              <w:t> </w:t>
            </w:r>
            <w:r>
              <w:rPr>
                <w:rFonts w:ascii="宋体" w:hAnsi="宋体" w:cs="宋体" w:eastAsia="宋体" w:hint="default"/>
                <w:sz w:val="21"/>
                <w:szCs w:val="21"/>
              </w:rPr>
              <w:t>的应付</w:t>
            </w:r>
            <w:r>
              <w:rPr>
                <w:rFonts w:ascii="宋体" w:hAnsi="宋体" w:cs="宋体" w:eastAsia="宋体" w:hint="default"/>
                <w:w w:val="100"/>
                <w:sz w:val="21"/>
                <w:szCs w:val="21"/>
              </w:rPr>
              <w:t> </w:t>
            </w:r>
            <w:r>
              <w:rPr>
                <w:rFonts w:ascii="宋体" w:hAnsi="宋体" w:cs="宋体" w:eastAsia="宋体" w:hint="default"/>
                <w:sz w:val="21"/>
                <w:szCs w:val="21"/>
              </w:rPr>
              <w:t>报酬总</w:t>
            </w:r>
            <w:r>
              <w:rPr>
                <w:rFonts w:ascii="宋体" w:hAnsi="宋体" w:cs="宋体" w:eastAsia="宋体" w:hint="default"/>
                <w:w w:val="100"/>
                <w:sz w:val="21"/>
                <w:szCs w:val="21"/>
              </w:rPr>
              <w:t> </w:t>
            </w:r>
            <w:r>
              <w:rPr>
                <w:rFonts w:ascii="宋体" w:hAnsi="宋体" w:cs="宋体" w:eastAsia="宋体" w:hint="default"/>
                <w:sz w:val="21"/>
                <w:szCs w:val="21"/>
              </w:rPr>
              <w:t>额</w:t>
            </w:r>
          </w:p>
          <w:p>
            <w:pPr>
              <w:pStyle w:val="TableParagraph"/>
              <w:spacing w:line="271" w:lineRule="exact"/>
              <w:ind w:left="68" w:right="0"/>
              <w:jc w:val="center"/>
              <w:rPr>
                <w:rFonts w:ascii="宋体" w:hAnsi="宋体" w:cs="宋体" w:eastAsia="宋体" w:hint="default"/>
                <w:sz w:val="21"/>
                <w:szCs w:val="21"/>
              </w:rPr>
            </w:pPr>
            <w:r>
              <w:rPr>
                <w:rFonts w:ascii="宋体" w:hAnsi="宋体" w:cs="宋体" w:eastAsia="宋体" w:hint="default"/>
                <w:sz w:val="21"/>
                <w:szCs w:val="21"/>
              </w:rPr>
              <w:t>（万元）</w:t>
            </w:r>
          </w:p>
          <w:p>
            <w:pPr>
              <w:pStyle w:val="TableParagraph"/>
              <w:spacing w:line="274" w:lineRule="exact"/>
              <w:ind w:left="68" w:right="0"/>
              <w:jc w:val="center"/>
              <w:rPr>
                <w:rFonts w:ascii="宋体" w:hAnsi="宋体" w:cs="宋体" w:eastAsia="宋体" w:hint="default"/>
                <w:sz w:val="21"/>
                <w:szCs w:val="21"/>
              </w:rPr>
            </w:pPr>
            <w:r>
              <w:rPr>
                <w:rFonts w:ascii="宋体" w:hAnsi="宋体" w:cs="宋体" w:eastAsia="宋体" w:hint="default"/>
                <w:sz w:val="21"/>
                <w:szCs w:val="21"/>
              </w:rPr>
              <w:t>（税前）</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both"/>
              <w:rPr>
                <w:rFonts w:ascii="宋体" w:hAnsi="宋体" w:cs="宋体" w:eastAsia="宋体" w:hint="default"/>
                <w:sz w:val="21"/>
                <w:szCs w:val="21"/>
              </w:rPr>
            </w:pPr>
            <w:r>
              <w:rPr>
                <w:rFonts w:ascii="宋体" w:hAnsi="宋体" w:cs="宋体" w:eastAsia="宋体" w:hint="default"/>
                <w:sz w:val="21"/>
                <w:szCs w:val="21"/>
              </w:rPr>
              <w:t>报告</w:t>
            </w:r>
          </w:p>
          <w:p>
            <w:pPr>
              <w:pStyle w:val="TableParagraph"/>
              <w:spacing w:line="237" w:lineRule="auto" w:before="2"/>
              <w:ind w:left="139" w:right="134"/>
              <w:jc w:val="both"/>
              <w:rPr>
                <w:rFonts w:ascii="宋体" w:hAnsi="宋体" w:cs="宋体" w:eastAsia="宋体" w:hint="default"/>
                <w:sz w:val="21"/>
                <w:szCs w:val="21"/>
              </w:rPr>
            </w:pPr>
            <w:r>
              <w:rPr>
                <w:rFonts w:ascii="宋体" w:hAnsi="宋体" w:cs="宋体" w:eastAsia="宋体" w:hint="default"/>
                <w:sz w:val="21"/>
                <w:szCs w:val="21"/>
              </w:rPr>
              <w:t>期从</w:t>
            </w:r>
            <w:r>
              <w:rPr>
                <w:rFonts w:ascii="宋体" w:hAnsi="宋体" w:cs="宋体" w:eastAsia="宋体" w:hint="default"/>
                <w:spacing w:val="-103"/>
                <w:sz w:val="21"/>
                <w:szCs w:val="21"/>
              </w:rPr>
              <w:t> </w:t>
            </w: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单位</w:t>
            </w:r>
            <w:r>
              <w:rPr>
                <w:rFonts w:ascii="宋体" w:hAnsi="宋体" w:cs="宋体" w:eastAsia="宋体" w:hint="default"/>
                <w:spacing w:val="-103"/>
                <w:sz w:val="21"/>
                <w:szCs w:val="21"/>
              </w:rPr>
              <w:t> </w:t>
            </w:r>
            <w:r>
              <w:rPr>
                <w:rFonts w:ascii="宋体" w:hAnsi="宋体" w:cs="宋体" w:eastAsia="宋体" w:hint="default"/>
                <w:sz w:val="21"/>
                <w:szCs w:val="21"/>
              </w:rPr>
              <w:t>获得</w:t>
            </w:r>
            <w:r>
              <w:rPr>
                <w:rFonts w:ascii="宋体" w:hAnsi="宋体" w:cs="宋体" w:eastAsia="宋体" w:hint="default"/>
                <w:spacing w:val="-103"/>
                <w:sz w:val="21"/>
                <w:szCs w:val="21"/>
              </w:rPr>
              <w:t> </w:t>
            </w:r>
            <w:r>
              <w:rPr>
                <w:rFonts w:ascii="宋体" w:hAnsi="宋体" w:cs="宋体" w:eastAsia="宋体" w:hint="default"/>
                <w:sz w:val="21"/>
                <w:szCs w:val="21"/>
              </w:rPr>
              <w:t>的应</w:t>
            </w:r>
            <w:r>
              <w:rPr>
                <w:rFonts w:ascii="宋体" w:hAnsi="宋体" w:cs="宋体" w:eastAsia="宋体" w:hint="default"/>
                <w:spacing w:val="-103"/>
                <w:sz w:val="21"/>
                <w:szCs w:val="21"/>
              </w:rPr>
              <w:t> </w:t>
            </w:r>
            <w:r>
              <w:rPr>
                <w:rFonts w:ascii="宋体" w:hAnsi="宋体" w:cs="宋体" w:eastAsia="宋体" w:hint="default"/>
                <w:sz w:val="21"/>
                <w:szCs w:val="21"/>
              </w:rPr>
              <w:t>付报</w:t>
            </w:r>
            <w:r>
              <w:rPr>
                <w:rFonts w:ascii="宋体" w:hAnsi="宋体" w:cs="宋体" w:eastAsia="宋体" w:hint="default"/>
                <w:spacing w:val="-103"/>
                <w:sz w:val="21"/>
                <w:szCs w:val="21"/>
              </w:rPr>
              <w:t> </w:t>
            </w:r>
            <w:r>
              <w:rPr>
                <w:rFonts w:ascii="宋体" w:hAnsi="宋体" w:cs="宋体" w:eastAsia="宋体" w:hint="default"/>
                <w:sz w:val="21"/>
                <w:szCs w:val="21"/>
              </w:rPr>
              <w:t>酬总</w:t>
            </w:r>
            <w:r>
              <w:rPr>
                <w:rFonts w:ascii="宋体" w:hAnsi="宋体" w:cs="宋体" w:eastAsia="宋体" w:hint="default"/>
                <w:spacing w:val="-103"/>
                <w:sz w:val="21"/>
                <w:szCs w:val="21"/>
              </w:rPr>
              <w:t> </w:t>
            </w:r>
            <w:r>
              <w:rPr>
                <w:rFonts w:ascii="宋体" w:hAnsi="宋体" w:cs="宋体" w:eastAsia="宋体" w:hint="default"/>
                <w:sz w:val="21"/>
                <w:szCs w:val="21"/>
              </w:rPr>
              <w:t>额</w:t>
            </w:r>
          </w:p>
          <w:p>
            <w:pPr>
              <w:pStyle w:val="TableParagraph"/>
              <w:spacing w:line="274" w:lineRule="exact" w:before="22"/>
              <w:ind w:left="139" w:right="134"/>
              <w:jc w:val="both"/>
              <w:rPr>
                <w:rFonts w:ascii="宋体" w:hAnsi="宋体" w:cs="宋体" w:eastAsia="宋体" w:hint="default"/>
                <w:sz w:val="21"/>
                <w:szCs w:val="21"/>
              </w:rPr>
            </w:pPr>
            <w:r>
              <w:rPr>
                <w:rFonts w:ascii="宋体" w:hAnsi="宋体" w:cs="宋体" w:eastAsia="宋体" w:hint="default"/>
                <w:sz w:val="21"/>
                <w:szCs w:val="21"/>
              </w:rPr>
              <w:t>（万</w:t>
            </w:r>
            <w:r>
              <w:rPr>
                <w:rFonts w:ascii="宋体" w:hAnsi="宋体" w:cs="宋体" w:eastAsia="宋体" w:hint="default"/>
                <w:spacing w:val="-103"/>
                <w:sz w:val="21"/>
                <w:szCs w:val="21"/>
              </w:rPr>
              <w:t> </w:t>
            </w:r>
            <w:r>
              <w:rPr>
                <w:rFonts w:ascii="宋体" w:hAnsi="宋体" w:cs="宋体" w:eastAsia="宋体" w:hint="default"/>
                <w:sz w:val="21"/>
                <w:szCs w:val="21"/>
              </w:rPr>
              <w:t>元）</w:t>
            </w:r>
          </w:p>
        </w:tc>
      </w:tr>
      <w:tr>
        <w:trPr>
          <w:trHeight w:val="828" w:hRule="exact"/>
        </w:trPr>
        <w:tc>
          <w:tcPr>
            <w:tcW w:w="857"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裁兼</w:t>
            </w:r>
          </w:p>
          <w:p>
            <w:pPr>
              <w:pStyle w:val="TableParagraph"/>
              <w:spacing w:line="240" w:lineRule="auto"/>
              <w:ind w:left="100" w:right="134"/>
              <w:jc w:val="left"/>
              <w:rPr>
                <w:rFonts w:ascii="宋体" w:hAnsi="宋体" w:cs="宋体" w:eastAsia="宋体" w:hint="default"/>
                <w:sz w:val="21"/>
                <w:szCs w:val="21"/>
              </w:rPr>
            </w:pPr>
            <w:r>
              <w:rPr>
                <w:rFonts w:ascii="宋体" w:hAnsi="宋体" w:cs="宋体" w:eastAsia="宋体" w:hint="default"/>
                <w:sz w:val="21"/>
                <w:szCs w:val="21"/>
              </w:rPr>
              <w:t>财务</w:t>
            </w:r>
            <w:r>
              <w:rPr>
                <w:rFonts w:ascii="宋体" w:hAnsi="宋体" w:cs="宋体" w:eastAsia="宋体" w:hint="default"/>
                <w:spacing w:val="-103"/>
                <w:sz w:val="21"/>
                <w:szCs w:val="21"/>
              </w:rPr>
              <w:t> </w:t>
            </w:r>
            <w:r>
              <w:rPr>
                <w:rFonts w:ascii="宋体" w:hAnsi="宋体" w:cs="宋体" w:eastAsia="宋体" w:hint="default"/>
                <w:sz w:val="21"/>
                <w:szCs w:val="21"/>
              </w:rPr>
              <w:t>总监</w:t>
            </w:r>
          </w:p>
        </w:tc>
        <w:tc>
          <w:tcPr>
            <w:tcW w:w="566"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卖、转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增股本</w:t>
            </w:r>
          </w:p>
        </w:tc>
        <w:tc>
          <w:tcPr>
            <w:tcW w:w="99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郭延生</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高级</w:t>
            </w:r>
          </w:p>
          <w:p>
            <w:pPr>
              <w:pStyle w:val="TableParagraph"/>
              <w:spacing w:line="272" w:lineRule="exact" w:before="27"/>
              <w:ind w:left="100" w:right="134"/>
              <w:jc w:val="left"/>
              <w:rPr>
                <w:rFonts w:ascii="宋体" w:hAnsi="宋体" w:cs="宋体" w:eastAsia="宋体" w:hint="default"/>
                <w:sz w:val="21"/>
                <w:szCs w:val="21"/>
              </w:rPr>
            </w:pPr>
            <w:r>
              <w:rPr>
                <w:rFonts w:ascii="宋体" w:hAnsi="宋体" w:cs="宋体" w:eastAsia="宋体" w:hint="default"/>
                <w:sz w:val="21"/>
                <w:szCs w:val="21"/>
              </w:rPr>
              <w:t>副总</w:t>
            </w:r>
            <w:r>
              <w:rPr>
                <w:rFonts w:ascii="宋体" w:hAnsi="宋体" w:cs="宋体" w:eastAsia="宋体" w:hint="default"/>
                <w:spacing w:val="-103"/>
                <w:sz w:val="21"/>
                <w:szCs w:val="21"/>
              </w:rPr>
              <w:t> </w:t>
            </w:r>
            <w:r>
              <w:rPr>
                <w:rFonts w:ascii="宋体" w:hAnsi="宋体" w:cs="宋体" w:eastAsia="宋体" w:hint="default"/>
                <w:sz w:val="21"/>
                <w:szCs w:val="21"/>
              </w:rPr>
              <w:t>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165" w:right="0"/>
              <w:jc w:val="left"/>
              <w:rPr>
                <w:rFonts w:ascii="Arial Narrow" w:hAnsi="Arial Narrow" w:cs="Arial Narrow" w:eastAsia="Arial Narrow" w:hint="default"/>
                <w:sz w:val="21"/>
                <w:szCs w:val="21"/>
              </w:rPr>
            </w:pPr>
            <w:r>
              <w:rPr>
                <w:rFonts w:ascii="Arial Narrow"/>
                <w:sz w:val="21"/>
              </w:rPr>
              <w:t>46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2011-5-11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
              <w:jc w:val="center"/>
              <w:rPr>
                <w:rFonts w:ascii="Arial Narrow" w:hAnsi="Arial Narrow" w:cs="Arial Narrow" w:eastAsia="Arial Narrow" w:hint="default"/>
                <w:sz w:val="21"/>
                <w:szCs w:val="21"/>
              </w:rPr>
            </w:pPr>
            <w:r>
              <w:rPr>
                <w:rFonts w:ascii="Arial Narrow"/>
                <w:sz w:val="21"/>
              </w:rPr>
              <w:t>2012-7-13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311" w:right="0"/>
              <w:jc w:val="left"/>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Narrow" w:hAnsi="Arial Narrow" w:cs="Arial Narrow" w:eastAsia="Arial Narrow" w:hint="default"/>
                <w:sz w:val="21"/>
                <w:szCs w:val="21"/>
              </w:rPr>
              <w:t>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Narrow" w:hAnsi="Arial Narrow" w:cs="Arial Narrow" w:eastAsia="Arial Narrow" w:hint="default"/>
                <w:sz w:val="21"/>
                <w:szCs w:val="21"/>
              </w:rPr>
              <w:t>3</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171.42</w:t>
            </w:r>
            <w:r>
              <w:rPr>
                <w:rFonts w:ascii="Arial Narrow"/>
                <w:sz w:val="21"/>
              </w:rPr>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 w:right="0"/>
              <w:jc w:val="center"/>
              <w:rPr>
                <w:rFonts w:ascii="宋体" w:hAnsi="宋体" w:cs="宋体" w:eastAsia="宋体" w:hint="default"/>
                <w:sz w:val="21"/>
                <w:szCs w:val="21"/>
              </w:rPr>
            </w:pPr>
            <w:r>
              <w:rPr>
                <w:rFonts w:ascii="宋体" w:hAnsi="宋体" w:cs="宋体" w:eastAsia="宋体" w:hint="default"/>
                <w:sz w:val="21"/>
                <w:szCs w:val="21"/>
              </w:rPr>
              <w:t>吴健</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0" w:right="134"/>
              <w:jc w:val="both"/>
              <w:rPr>
                <w:rFonts w:ascii="宋体" w:hAnsi="宋体" w:cs="宋体" w:eastAsia="宋体" w:hint="default"/>
                <w:sz w:val="21"/>
                <w:szCs w:val="21"/>
              </w:rPr>
            </w:pPr>
            <w:r>
              <w:rPr>
                <w:rFonts w:ascii="宋体" w:hAnsi="宋体" w:cs="宋体" w:eastAsia="宋体" w:hint="default"/>
                <w:sz w:val="21"/>
                <w:szCs w:val="21"/>
              </w:rPr>
              <w:t>高级</w:t>
            </w:r>
            <w:r>
              <w:rPr>
                <w:rFonts w:ascii="宋体" w:hAnsi="宋体" w:cs="宋体" w:eastAsia="宋体" w:hint="default"/>
                <w:spacing w:val="-103"/>
                <w:sz w:val="21"/>
                <w:szCs w:val="21"/>
              </w:rPr>
              <w:t> </w:t>
            </w:r>
            <w:r>
              <w:rPr>
                <w:rFonts w:ascii="宋体" w:hAnsi="宋体" w:cs="宋体" w:eastAsia="宋体" w:hint="default"/>
                <w:sz w:val="21"/>
                <w:szCs w:val="21"/>
              </w:rPr>
              <w:t>副总</w:t>
            </w:r>
            <w:r>
              <w:rPr>
                <w:rFonts w:ascii="宋体" w:hAnsi="宋体" w:cs="宋体" w:eastAsia="宋体" w:hint="default"/>
                <w:spacing w:val="-103"/>
                <w:sz w:val="21"/>
                <w:szCs w:val="21"/>
              </w:rPr>
              <w:t> </w:t>
            </w:r>
            <w:r>
              <w:rPr>
                <w:rFonts w:ascii="宋体" w:hAnsi="宋体" w:cs="宋体" w:eastAsia="宋体" w:hint="default"/>
                <w:sz w:val="21"/>
                <w:szCs w:val="21"/>
              </w:rPr>
              <w:t>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65" w:right="0"/>
              <w:jc w:val="left"/>
              <w:rPr>
                <w:rFonts w:ascii="Arial Narrow" w:hAnsi="Arial Narrow" w:cs="Arial Narrow" w:eastAsia="Arial Narrow" w:hint="default"/>
                <w:sz w:val="21"/>
                <w:szCs w:val="21"/>
              </w:rPr>
            </w:pPr>
            <w:r>
              <w:rPr>
                <w:rFonts w:ascii="Arial Narrow"/>
                <w:sz w:val="21"/>
              </w:rPr>
              <w:t>47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2011-5-11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32"/>
                <w:szCs w:val="32"/>
              </w:rPr>
            </w:pPr>
          </w:p>
          <w:p>
            <w:pPr>
              <w:pStyle w:val="TableParagraph"/>
              <w:spacing w:line="240" w:lineRule="auto"/>
              <w:ind w:right="2"/>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Narrow" w:hAnsi="Arial Narrow" w:cs="Arial Narrow" w:eastAsia="Arial Narrow" w:hint="default"/>
                <w:sz w:val="21"/>
                <w:szCs w:val="21"/>
              </w:rPr>
              <w:t>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56" w:right="0"/>
              <w:jc w:val="left"/>
              <w:rPr>
                <w:rFonts w:ascii="Arial Narrow" w:hAnsi="Arial Narrow" w:cs="Arial Narrow" w:eastAsia="Arial Narrow" w:hint="default"/>
                <w:sz w:val="21"/>
                <w:szCs w:val="21"/>
              </w:rPr>
            </w:pPr>
            <w:r>
              <w:rPr>
                <w:rFonts w:ascii="Arial Narrow"/>
                <w:sz w:val="21"/>
              </w:rPr>
              <w:t>416,429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509,715</w:t>
            </w:r>
            <w:r>
              <w:rPr>
                <w:rFonts w:ascii="Arial Narrow"/>
                <w:sz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93,286</w:t>
            </w:r>
            <w:r>
              <w:rPr>
                <w:rFonts w:ascii="Arial Narrow"/>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二级市</w:t>
            </w:r>
          </w:p>
          <w:p>
            <w:pPr>
              <w:pStyle w:val="TableParagraph"/>
              <w:spacing w:line="237" w:lineRule="auto"/>
              <w:ind w:left="100" w:right="103"/>
              <w:jc w:val="left"/>
              <w:rPr>
                <w:rFonts w:ascii="宋体" w:hAnsi="宋体" w:cs="宋体" w:eastAsia="宋体" w:hint="default"/>
                <w:sz w:val="21"/>
                <w:szCs w:val="21"/>
              </w:rPr>
            </w:pPr>
            <w:r>
              <w:rPr>
                <w:rFonts w:ascii="宋体" w:hAnsi="宋体" w:cs="宋体" w:eastAsia="宋体" w:hint="default"/>
                <w:sz w:val="21"/>
                <w:szCs w:val="21"/>
              </w:rPr>
              <w:t>场买</w:t>
            </w:r>
            <w:r>
              <w:rPr>
                <w:rFonts w:ascii="宋体" w:hAnsi="宋体" w:cs="宋体" w:eastAsia="宋体" w:hint="default"/>
                <w:spacing w:val="-103"/>
                <w:sz w:val="21"/>
                <w:szCs w:val="21"/>
              </w:rPr>
              <w:t> </w:t>
            </w:r>
            <w:r>
              <w:rPr>
                <w:rFonts w:ascii="宋体" w:hAnsi="宋体" w:cs="宋体" w:eastAsia="宋体" w:hint="default"/>
                <w:sz w:val="21"/>
                <w:szCs w:val="21"/>
              </w:rPr>
              <w:t>卖、转</w:t>
            </w:r>
            <w:r>
              <w:rPr>
                <w:rFonts w:ascii="宋体" w:hAnsi="宋体" w:cs="宋体" w:eastAsia="宋体" w:hint="default"/>
                <w:spacing w:val="-102"/>
                <w:sz w:val="21"/>
                <w:szCs w:val="21"/>
              </w:rPr>
              <w:t> </w:t>
            </w:r>
            <w:r>
              <w:rPr>
                <w:rFonts w:ascii="宋体" w:hAnsi="宋体" w:cs="宋体" w:eastAsia="宋体" w:hint="default"/>
                <w:sz w:val="21"/>
                <w:szCs w:val="21"/>
              </w:rPr>
              <w:t>增股本</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291.98</w:t>
            </w:r>
            <w:r>
              <w:rPr>
                <w:rFonts w:ascii="Arial Narrow"/>
                <w:sz w:val="21"/>
              </w:rPr>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1370"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何景霄</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高级</w:t>
            </w:r>
          </w:p>
          <w:p>
            <w:pPr>
              <w:pStyle w:val="TableParagraph"/>
              <w:spacing w:line="237" w:lineRule="auto"/>
              <w:ind w:left="100" w:right="134"/>
              <w:jc w:val="both"/>
              <w:rPr>
                <w:rFonts w:ascii="宋体" w:hAnsi="宋体" w:cs="宋体" w:eastAsia="宋体" w:hint="default"/>
                <w:sz w:val="21"/>
                <w:szCs w:val="21"/>
              </w:rPr>
            </w:pPr>
            <w:r>
              <w:rPr>
                <w:rFonts w:ascii="宋体" w:hAnsi="宋体" w:cs="宋体" w:eastAsia="宋体" w:hint="default"/>
                <w:sz w:val="21"/>
                <w:szCs w:val="21"/>
              </w:rPr>
              <w:t>副总</w:t>
            </w:r>
            <w:r>
              <w:rPr>
                <w:rFonts w:ascii="宋体" w:hAnsi="宋体" w:cs="宋体" w:eastAsia="宋体" w:hint="default"/>
                <w:spacing w:val="-103"/>
                <w:sz w:val="21"/>
                <w:szCs w:val="21"/>
              </w:rPr>
              <w:t> </w:t>
            </w:r>
            <w:r>
              <w:rPr>
                <w:rFonts w:ascii="宋体" w:hAnsi="宋体" w:cs="宋体" w:eastAsia="宋体" w:hint="default"/>
                <w:sz w:val="21"/>
                <w:szCs w:val="21"/>
              </w:rPr>
              <w:t>裁兼</w:t>
            </w:r>
            <w:r>
              <w:rPr>
                <w:rFonts w:ascii="宋体" w:hAnsi="宋体" w:cs="宋体" w:eastAsia="宋体" w:hint="default"/>
                <w:spacing w:val="-103"/>
                <w:sz w:val="21"/>
                <w:szCs w:val="21"/>
              </w:rPr>
              <w:t> </w:t>
            </w:r>
            <w:r>
              <w:rPr>
                <w:rFonts w:ascii="宋体" w:hAnsi="宋体" w:cs="宋体" w:eastAsia="宋体" w:hint="default"/>
                <w:sz w:val="21"/>
                <w:szCs w:val="21"/>
              </w:rPr>
              <w:t>财务</w:t>
            </w:r>
            <w:r>
              <w:rPr>
                <w:rFonts w:ascii="宋体" w:hAnsi="宋体" w:cs="宋体" w:eastAsia="宋体" w:hint="default"/>
                <w:spacing w:val="-103"/>
                <w:sz w:val="21"/>
                <w:szCs w:val="21"/>
              </w:rPr>
              <w:t> </w:t>
            </w:r>
            <w:r>
              <w:rPr>
                <w:rFonts w:ascii="宋体" w:hAnsi="宋体" w:cs="宋体" w:eastAsia="宋体" w:hint="default"/>
                <w:sz w:val="21"/>
                <w:szCs w:val="21"/>
              </w:rPr>
              <w:t>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left="165" w:right="0"/>
              <w:jc w:val="left"/>
              <w:rPr>
                <w:rFonts w:ascii="Arial Narrow" w:hAnsi="Arial Narrow" w:cs="Arial Narrow" w:eastAsia="Arial Narrow" w:hint="default"/>
                <w:sz w:val="21"/>
                <w:szCs w:val="21"/>
              </w:rPr>
            </w:pPr>
            <w:r>
              <w:rPr>
                <w:rFonts w:ascii="Arial Narrow"/>
                <w:sz w:val="21"/>
              </w:rPr>
              <w:t>51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1"/>
              <w:jc w:val="center"/>
              <w:rPr>
                <w:rFonts w:ascii="Arial Narrow" w:hAnsi="Arial Narrow" w:cs="Arial Narrow" w:eastAsia="Arial Narrow" w:hint="default"/>
                <w:sz w:val="21"/>
                <w:szCs w:val="21"/>
              </w:rPr>
            </w:pPr>
            <w:r>
              <w:rPr>
                <w:rFonts w:ascii="Arial Narrow"/>
                <w:sz w:val="21"/>
              </w:rPr>
              <w:t>2011-5-11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2"/>
              <w:jc w:val="center"/>
              <w:rPr>
                <w:rFonts w:ascii="Arial Narrow" w:hAnsi="Arial Narrow" w:cs="Arial Narrow" w:eastAsia="Arial Narrow" w:hint="default"/>
                <w:sz w:val="21"/>
                <w:szCs w:val="21"/>
              </w:rPr>
            </w:pPr>
            <w:r>
              <w:rPr>
                <w:rFonts w:ascii="Arial Narrow"/>
                <w:sz w:val="21"/>
              </w:rPr>
              <w:t>2012-7-13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311" w:right="0"/>
              <w:jc w:val="left"/>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Narrow" w:hAnsi="Arial Narrow" w:cs="Arial Narrow" w:eastAsia="Arial Narrow" w:hint="default"/>
                <w:sz w:val="21"/>
                <w:szCs w:val="21"/>
              </w:rPr>
              <w:t>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Narrow" w:hAnsi="Arial Narrow" w:cs="Arial Narrow" w:eastAsia="Arial Narrow" w:hint="default"/>
                <w:sz w:val="21"/>
                <w:szCs w:val="21"/>
              </w:rPr>
              <w:t>3</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280.91</w:t>
            </w:r>
            <w:r>
              <w:rPr>
                <w:rFonts w:ascii="Arial Narrow"/>
                <w:sz w:val="21"/>
              </w:rPr>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郑雨林</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134"/>
              <w:jc w:val="both"/>
              <w:rPr>
                <w:rFonts w:ascii="宋体" w:hAnsi="宋体" w:cs="宋体" w:eastAsia="宋体" w:hint="default"/>
                <w:sz w:val="21"/>
                <w:szCs w:val="21"/>
              </w:rPr>
            </w:pPr>
            <w:r>
              <w:rPr>
                <w:rFonts w:ascii="宋体" w:hAnsi="宋体" w:cs="宋体" w:eastAsia="宋体" w:hint="default"/>
                <w:sz w:val="21"/>
                <w:szCs w:val="21"/>
              </w:rPr>
              <w:t>高级</w:t>
            </w:r>
            <w:r>
              <w:rPr>
                <w:rFonts w:ascii="宋体" w:hAnsi="宋体" w:cs="宋体" w:eastAsia="宋体" w:hint="default"/>
                <w:spacing w:val="-103"/>
                <w:sz w:val="21"/>
                <w:szCs w:val="21"/>
              </w:rPr>
              <w:t> </w:t>
            </w:r>
            <w:r>
              <w:rPr>
                <w:rFonts w:ascii="宋体" w:hAnsi="宋体" w:cs="宋体" w:eastAsia="宋体" w:hint="default"/>
                <w:sz w:val="21"/>
                <w:szCs w:val="21"/>
              </w:rPr>
              <w:t>副总</w:t>
            </w:r>
            <w:r>
              <w:rPr>
                <w:rFonts w:ascii="宋体" w:hAnsi="宋体" w:cs="宋体" w:eastAsia="宋体" w:hint="default"/>
                <w:spacing w:val="-103"/>
                <w:sz w:val="21"/>
                <w:szCs w:val="21"/>
              </w:rPr>
              <w:t> </w:t>
            </w:r>
            <w:r>
              <w:rPr>
                <w:rFonts w:ascii="宋体" w:hAnsi="宋体" w:cs="宋体" w:eastAsia="宋体" w:hint="default"/>
                <w:sz w:val="21"/>
                <w:szCs w:val="21"/>
              </w:rPr>
              <w:t>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65" w:right="0"/>
              <w:jc w:val="left"/>
              <w:rPr>
                <w:rFonts w:ascii="Arial Narrow" w:hAnsi="Arial Narrow" w:cs="Arial Narrow" w:eastAsia="Arial Narrow" w:hint="default"/>
                <w:sz w:val="21"/>
                <w:szCs w:val="21"/>
              </w:rPr>
            </w:pPr>
            <w:r>
              <w:rPr>
                <w:rFonts w:ascii="Arial Narrow"/>
                <w:sz w:val="21"/>
              </w:rPr>
              <w:t>47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2011-5-11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32"/>
                <w:szCs w:val="32"/>
              </w:rPr>
            </w:pPr>
          </w:p>
          <w:p>
            <w:pPr>
              <w:pStyle w:val="TableParagraph"/>
              <w:spacing w:line="240" w:lineRule="auto"/>
              <w:ind w:right="2"/>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Narrow" w:hAnsi="Arial Narrow" w:cs="Arial Narrow" w:eastAsia="Arial Narrow" w:hint="default"/>
                <w:sz w:val="21"/>
                <w:szCs w:val="21"/>
              </w:rPr>
              <w:t>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56" w:right="0"/>
              <w:jc w:val="left"/>
              <w:rPr>
                <w:rFonts w:ascii="Arial Narrow" w:hAnsi="Arial Narrow" w:cs="Arial Narrow" w:eastAsia="Arial Narrow" w:hint="default"/>
                <w:sz w:val="21"/>
                <w:szCs w:val="21"/>
              </w:rPr>
            </w:pPr>
            <w:r>
              <w:rPr>
                <w:rFonts w:ascii="Arial Narrow"/>
                <w:sz w:val="21"/>
              </w:rPr>
              <w:t>288,054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376,465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88,411</w:t>
            </w:r>
            <w:r>
              <w:rPr>
                <w:rFonts w:ascii="Arial Narrow"/>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二级市</w:t>
            </w:r>
          </w:p>
          <w:p>
            <w:pPr>
              <w:pStyle w:val="TableParagraph"/>
              <w:spacing w:line="237" w:lineRule="auto" w:before="2"/>
              <w:ind w:left="100" w:right="103"/>
              <w:jc w:val="left"/>
              <w:rPr>
                <w:rFonts w:ascii="宋体" w:hAnsi="宋体" w:cs="宋体" w:eastAsia="宋体" w:hint="default"/>
                <w:sz w:val="21"/>
                <w:szCs w:val="21"/>
              </w:rPr>
            </w:pPr>
            <w:r>
              <w:rPr>
                <w:rFonts w:ascii="宋体" w:hAnsi="宋体" w:cs="宋体" w:eastAsia="宋体" w:hint="default"/>
                <w:sz w:val="21"/>
                <w:szCs w:val="21"/>
              </w:rPr>
              <w:t>场买</w:t>
            </w:r>
            <w:r>
              <w:rPr>
                <w:rFonts w:ascii="宋体" w:hAnsi="宋体" w:cs="宋体" w:eastAsia="宋体" w:hint="default"/>
                <w:spacing w:val="-103"/>
                <w:sz w:val="21"/>
                <w:szCs w:val="21"/>
              </w:rPr>
              <w:t> </w:t>
            </w:r>
            <w:r>
              <w:rPr>
                <w:rFonts w:ascii="宋体" w:hAnsi="宋体" w:cs="宋体" w:eastAsia="宋体" w:hint="default"/>
                <w:sz w:val="21"/>
                <w:szCs w:val="21"/>
              </w:rPr>
              <w:t>卖、转</w:t>
            </w:r>
            <w:r>
              <w:rPr>
                <w:rFonts w:ascii="宋体" w:hAnsi="宋体" w:cs="宋体" w:eastAsia="宋体" w:hint="default"/>
                <w:spacing w:val="-102"/>
                <w:sz w:val="21"/>
                <w:szCs w:val="21"/>
              </w:rPr>
              <w:t> </w:t>
            </w:r>
            <w:r>
              <w:rPr>
                <w:rFonts w:ascii="宋体" w:hAnsi="宋体" w:cs="宋体" w:eastAsia="宋体" w:hint="default"/>
                <w:sz w:val="21"/>
                <w:szCs w:val="21"/>
              </w:rPr>
              <w:t>增股本</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218.90</w:t>
            </w:r>
            <w:r>
              <w:rPr>
                <w:rFonts w:ascii="Arial Narrow"/>
                <w:sz w:val="21"/>
              </w:rPr>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sz w:val="21"/>
                <w:szCs w:val="21"/>
              </w:rPr>
              <w:t>朱铁生</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134"/>
              <w:jc w:val="both"/>
              <w:rPr>
                <w:rFonts w:ascii="宋体" w:hAnsi="宋体" w:cs="宋体" w:eastAsia="宋体" w:hint="default"/>
                <w:sz w:val="21"/>
                <w:szCs w:val="21"/>
              </w:rPr>
            </w:pPr>
            <w:r>
              <w:rPr>
                <w:rFonts w:ascii="宋体" w:hAnsi="宋体" w:cs="宋体" w:eastAsia="宋体" w:hint="default"/>
                <w:sz w:val="21"/>
                <w:szCs w:val="21"/>
              </w:rPr>
              <w:t>高级</w:t>
            </w:r>
            <w:r>
              <w:rPr>
                <w:rFonts w:ascii="宋体" w:hAnsi="宋体" w:cs="宋体" w:eastAsia="宋体" w:hint="default"/>
                <w:spacing w:val="-103"/>
                <w:sz w:val="21"/>
                <w:szCs w:val="21"/>
              </w:rPr>
              <w:t> </w:t>
            </w:r>
            <w:r>
              <w:rPr>
                <w:rFonts w:ascii="宋体" w:hAnsi="宋体" w:cs="宋体" w:eastAsia="宋体" w:hint="default"/>
                <w:sz w:val="21"/>
                <w:szCs w:val="21"/>
              </w:rPr>
              <w:t>副总</w:t>
            </w:r>
            <w:r>
              <w:rPr>
                <w:rFonts w:ascii="宋体" w:hAnsi="宋体" w:cs="宋体" w:eastAsia="宋体" w:hint="default"/>
                <w:spacing w:val="-103"/>
                <w:sz w:val="21"/>
                <w:szCs w:val="21"/>
              </w:rPr>
              <w:t> </w:t>
            </w:r>
            <w:r>
              <w:rPr>
                <w:rFonts w:ascii="宋体" w:hAnsi="宋体" w:cs="宋体" w:eastAsia="宋体" w:hint="default"/>
                <w:sz w:val="21"/>
                <w:szCs w:val="21"/>
              </w:rPr>
              <w:t>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65" w:right="0"/>
              <w:jc w:val="left"/>
              <w:rPr>
                <w:rFonts w:ascii="Arial Narrow" w:hAnsi="Arial Narrow" w:cs="Arial Narrow" w:eastAsia="Arial Narrow" w:hint="default"/>
                <w:sz w:val="21"/>
                <w:szCs w:val="21"/>
              </w:rPr>
            </w:pPr>
            <w:r>
              <w:rPr>
                <w:rFonts w:ascii="Arial Narrow"/>
                <w:sz w:val="21"/>
              </w:rPr>
              <w:t>38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2011-5-11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32"/>
                <w:szCs w:val="32"/>
              </w:rPr>
            </w:pPr>
          </w:p>
          <w:p>
            <w:pPr>
              <w:pStyle w:val="TableParagraph"/>
              <w:spacing w:line="240" w:lineRule="auto"/>
              <w:ind w:right="2"/>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Narrow" w:hAnsi="Arial Narrow" w:cs="Arial Narrow" w:eastAsia="Arial Narrow" w:hint="default"/>
                <w:sz w:val="21"/>
                <w:szCs w:val="21"/>
              </w:rPr>
              <w:t>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56" w:right="0"/>
              <w:jc w:val="left"/>
              <w:rPr>
                <w:rFonts w:ascii="Arial Narrow" w:hAnsi="Arial Narrow" w:cs="Arial Narrow" w:eastAsia="Arial Narrow" w:hint="default"/>
                <w:sz w:val="21"/>
                <w:szCs w:val="21"/>
              </w:rPr>
            </w:pPr>
            <w:r>
              <w:rPr>
                <w:rFonts w:ascii="Arial Narrow"/>
                <w:sz w:val="21"/>
              </w:rPr>
              <w:t>159,338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151,206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-8,132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二级市</w:t>
            </w:r>
          </w:p>
          <w:p>
            <w:pPr>
              <w:pStyle w:val="TableParagraph"/>
              <w:spacing w:line="237" w:lineRule="auto" w:before="2"/>
              <w:ind w:left="100" w:right="103"/>
              <w:jc w:val="left"/>
              <w:rPr>
                <w:rFonts w:ascii="宋体" w:hAnsi="宋体" w:cs="宋体" w:eastAsia="宋体" w:hint="default"/>
                <w:sz w:val="21"/>
                <w:szCs w:val="21"/>
              </w:rPr>
            </w:pPr>
            <w:r>
              <w:rPr>
                <w:rFonts w:ascii="宋体" w:hAnsi="宋体" w:cs="宋体" w:eastAsia="宋体" w:hint="default"/>
                <w:sz w:val="21"/>
                <w:szCs w:val="21"/>
              </w:rPr>
              <w:t>场买</w:t>
            </w:r>
            <w:r>
              <w:rPr>
                <w:rFonts w:ascii="宋体" w:hAnsi="宋体" w:cs="宋体" w:eastAsia="宋体" w:hint="default"/>
                <w:spacing w:val="-103"/>
                <w:sz w:val="21"/>
                <w:szCs w:val="21"/>
              </w:rPr>
              <w:t> </w:t>
            </w:r>
            <w:r>
              <w:rPr>
                <w:rFonts w:ascii="宋体" w:hAnsi="宋体" w:cs="宋体" w:eastAsia="宋体" w:hint="default"/>
                <w:sz w:val="21"/>
                <w:szCs w:val="21"/>
              </w:rPr>
              <w:t>卖、转</w:t>
            </w:r>
            <w:r>
              <w:rPr>
                <w:rFonts w:ascii="宋体" w:hAnsi="宋体" w:cs="宋体" w:eastAsia="宋体" w:hint="default"/>
                <w:spacing w:val="-102"/>
                <w:sz w:val="21"/>
                <w:szCs w:val="21"/>
              </w:rPr>
              <w:t> </w:t>
            </w:r>
            <w:r>
              <w:rPr>
                <w:rFonts w:ascii="宋体" w:hAnsi="宋体" w:cs="宋体" w:eastAsia="宋体" w:hint="default"/>
                <w:sz w:val="21"/>
                <w:szCs w:val="21"/>
              </w:rPr>
              <w:t>增股本</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347.40</w:t>
            </w:r>
            <w:r>
              <w:rPr>
                <w:rFonts w:ascii="Arial Narrow"/>
                <w:sz w:val="21"/>
              </w:rPr>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欧阳青</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z w:val="21"/>
                <w:szCs w:val="21"/>
              </w:rPr>
              <w:t>高级</w:t>
            </w:r>
          </w:p>
          <w:p>
            <w:pPr>
              <w:pStyle w:val="TableParagraph"/>
              <w:spacing w:line="237" w:lineRule="auto"/>
              <w:ind w:left="100" w:right="134"/>
              <w:jc w:val="both"/>
              <w:rPr>
                <w:rFonts w:ascii="宋体" w:hAnsi="宋体" w:cs="宋体" w:eastAsia="宋体" w:hint="default"/>
                <w:sz w:val="21"/>
                <w:szCs w:val="21"/>
              </w:rPr>
            </w:pPr>
            <w:r>
              <w:rPr>
                <w:rFonts w:ascii="宋体" w:hAnsi="宋体" w:cs="宋体" w:eastAsia="宋体" w:hint="default"/>
                <w:sz w:val="21"/>
                <w:szCs w:val="21"/>
              </w:rPr>
              <w:t>副总</w:t>
            </w:r>
            <w:r>
              <w:rPr>
                <w:rFonts w:ascii="宋体" w:hAnsi="宋体" w:cs="宋体" w:eastAsia="宋体" w:hint="default"/>
                <w:spacing w:val="-103"/>
                <w:sz w:val="21"/>
                <w:szCs w:val="21"/>
              </w:rPr>
              <w:t> </w:t>
            </w:r>
            <w:r>
              <w:rPr>
                <w:rFonts w:ascii="宋体" w:hAnsi="宋体" w:cs="宋体" w:eastAsia="宋体" w:hint="default"/>
                <w:sz w:val="21"/>
                <w:szCs w:val="21"/>
              </w:rPr>
              <w:t>裁兼</w:t>
            </w:r>
            <w:r>
              <w:rPr>
                <w:rFonts w:ascii="宋体" w:hAnsi="宋体" w:cs="宋体" w:eastAsia="宋体" w:hint="default"/>
                <w:spacing w:val="-103"/>
                <w:sz w:val="21"/>
                <w:szCs w:val="21"/>
              </w:rPr>
              <w:t> </w:t>
            </w: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会秘</w:t>
            </w:r>
            <w:r>
              <w:rPr>
                <w:rFonts w:ascii="宋体" w:hAnsi="宋体" w:cs="宋体" w:eastAsia="宋体" w:hint="default"/>
                <w:spacing w:val="-103"/>
                <w:sz w:val="21"/>
                <w:szCs w:val="21"/>
              </w:rPr>
              <w:t> </w:t>
            </w:r>
            <w:r>
              <w:rPr>
                <w:rFonts w:ascii="宋体" w:hAnsi="宋体" w:cs="宋体" w:eastAsia="宋体" w:hint="default"/>
                <w:sz w:val="21"/>
                <w:szCs w:val="21"/>
              </w:rPr>
              <w:t>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65" w:right="0"/>
              <w:jc w:val="left"/>
              <w:rPr>
                <w:rFonts w:ascii="Arial Narrow" w:hAnsi="Arial Narrow" w:cs="Arial Narrow" w:eastAsia="Arial Narrow" w:hint="default"/>
                <w:sz w:val="21"/>
                <w:szCs w:val="21"/>
              </w:rPr>
            </w:pPr>
            <w:r>
              <w:rPr>
                <w:rFonts w:ascii="Arial Narrow"/>
                <w:sz w:val="21"/>
              </w:rPr>
              <w:t>47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2011-4-26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41"/>
              <w:ind w:right="2"/>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Narrow" w:hAnsi="Arial Narrow" w:cs="Arial Narrow" w:eastAsia="Arial Narrow" w:hint="default"/>
                <w:sz w:val="21"/>
                <w:szCs w:val="21"/>
              </w:rPr>
              <w:t>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56" w:right="0"/>
              <w:jc w:val="left"/>
              <w:rPr>
                <w:rFonts w:ascii="Arial Narrow" w:hAnsi="Arial Narrow" w:cs="Arial Narrow" w:eastAsia="Arial Narrow" w:hint="default"/>
                <w:sz w:val="21"/>
                <w:szCs w:val="21"/>
              </w:rPr>
            </w:pPr>
            <w:r>
              <w:rPr>
                <w:rFonts w:ascii="Arial Narrow"/>
                <w:sz w:val="21"/>
              </w:rPr>
              <w:t>293,319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357,983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64,664</w:t>
            </w:r>
            <w:r>
              <w:rPr>
                <w:rFonts w:ascii="Arial Narrow"/>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37" w:lineRule="auto"/>
              <w:ind w:left="100" w:right="104"/>
              <w:jc w:val="left"/>
              <w:rPr>
                <w:rFonts w:ascii="宋体" w:hAnsi="宋体" w:cs="宋体" w:eastAsia="宋体" w:hint="default"/>
                <w:sz w:val="21"/>
                <w:szCs w:val="21"/>
              </w:rPr>
            </w:pPr>
            <w:r>
              <w:rPr>
                <w:rFonts w:ascii="宋体" w:hAnsi="宋体" w:cs="宋体" w:eastAsia="宋体" w:hint="default"/>
                <w:sz w:val="21"/>
                <w:szCs w:val="21"/>
              </w:rPr>
              <w:t>二级市</w:t>
            </w:r>
            <w:r>
              <w:rPr>
                <w:rFonts w:ascii="宋体" w:hAnsi="宋体" w:cs="宋体" w:eastAsia="宋体" w:hint="default"/>
                <w:spacing w:val="-102"/>
                <w:sz w:val="21"/>
                <w:szCs w:val="21"/>
              </w:rPr>
              <w:t> </w:t>
            </w:r>
            <w:r>
              <w:rPr>
                <w:rFonts w:ascii="宋体" w:hAnsi="宋体" w:cs="宋体" w:eastAsia="宋体" w:hint="default"/>
                <w:sz w:val="21"/>
                <w:szCs w:val="21"/>
              </w:rPr>
              <w:t>场买</w:t>
            </w:r>
            <w:r>
              <w:rPr>
                <w:rFonts w:ascii="宋体" w:hAnsi="宋体" w:cs="宋体" w:eastAsia="宋体" w:hint="default"/>
                <w:spacing w:val="-103"/>
                <w:sz w:val="21"/>
                <w:szCs w:val="21"/>
              </w:rPr>
              <w:t> </w:t>
            </w:r>
            <w:r>
              <w:rPr>
                <w:rFonts w:ascii="宋体" w:hAnsi="宋体" w:cs="宋体" w:eastAsia="宋体" w:hint="default"/>
                <w:sz w:val="21"/>
                <w:szCs w:val="21"/>
              </w:rPr>
              <w:t>卖、转</w:t>
            </w:r>
            <w:r>
              <w:rPr>
                <w:rFonts w:ascii="宋体" w:hAnsi="宋体" w:cs="宋体" w:eastAsia="宋体" w:hint="default"/>
                <w:spacing w:val="-102"/>
                <w:sz w:val="21"/>
                <w:szCs w:val="21"/>
              </w:rPr>
              <w:t> </w:t>
            </w:r>
            <w:r>
              <w:rPr>
                <w:rFonts w:ascii="宋体" w:hAnsi="宋体" w:cs="宋体" w:eastAsia="宋体" w:hint="default"/>
                <w:sz w:val="21"/>
                <w:szCs w:val="21"/>
              </w:rPr>
              <w:t>增股本</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116.62</w:t>
            </w:r>
            <w:r>
              <w:rPr>
                <w:rFonts w:ascii="Arial Narrow"/>
                <w:sz w:val="21"/>
              </w:rPr>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陈巧红</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高级</w:t>
            </w:r>
          </w:p>
          <w:p>
            <w:pPr>
              <w:pStyle w:val="TableParagraph"/>
              <w:spacing w:line="240" w:lineRule="auto"/>
              <w:ind w:left="100" w:right="134"/>
              <w:jc w:val="left"/>
              <w:rPr>
                <w:rFonts w:ascii="宋体" w:hAnsi="宋体" w:cs="宋体" w:eastAsia="宋体" w:hint="default"/>
                <w:sz w:val="21"/>
                <w:szCs w:val="21"/>
              </w:rPr>
            </w:pPr>
            <w:r>
              <w:rPr>
                <w:rFonts w:ascii="宋体" w:hAnsi="宋体" w:cs="宋体" w:eastAsia="宋体" w:hint="default"/>
                <w:sz w:val="21"/>
                <w:szCs w:val="21"/>
              </w:rPr>
              <w:t>副总</w:t>
            </w:r>
            <w:r>
              <w:rPr>
                <w:rFonts w:ascii="宋体" w:hAnsi="宋体" w:cs="宋体" w:eastAsia="宋体" w:hint="default"/>
                <w:spacing w:val="-103"/>
                <w:sz w:val="21"/>
                <w:szCs w:val="21"/>
              </w:rPr>
              <w:t> </w:t>
            </w:r>
            <w:r>
              <w:rPr>
                <w:rFonts w:ascii="宋体" w:hAnsi="宋体" w:cs="宋体" w:eastAsia="宋体" w:hint="default"/>
                <w:sz w:val="21"/>
                <w:szCs w:val="21"/>
              </w:rPr>
              <w:t>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65" w:right="0"/>
              <w:jc w:val="left"/>
              <w:rPr>
                <w:rFonts w:ascii="Arial Narrow" w:hAnsi="Arial Narrow" w:cs="Arial Narrow" w:eastAsia="Arial Narrow" w:hint="default"/>
                <w:sz w:val="21"/>
                <w:szCs w:val="21"/>
              </w:rPr>
            </w:pPr>
            <w:r>
              <w:rPr>
                <w:rFonts w:ascii="Arial Narrow"/>
                <w:sz w:val="21"/>
              </w:rPr>
              <w:t>48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2011-5-11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Narrow" w:hAnsi="Arial Narrow" w:cs="Arial Narrow" w:eastAsia="Arial Narrow" w:hint="default"/>
                <w:sz w:val="21"/>
                <w:szCs w:val="21"/>
              </w:rPr>
              <w:t>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256" w:right="0"/>
              <w:jc w:val="left"/>
              <w:rPr>
                <w:rFonts w:ascii="Arial Narrow" w:hAnsi="Arial Narrow" w:cs="Arial Narrow" w:eastAsia="Arial Narrow" w:hint="default"/>
                <w:sz w:val="21"/>
                <w:szCs w:val="21"/>
              </w:rPr>
            </w:pPr>
            <w:r>
              <w:rPr>
                <w:rFonts w:ascii="Arial Narrow"/>
                <w:sz w:val="21"/>
              </w:rPr>
              <w:t>520,962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625,155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104,193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104"/>
              <w:jc w:val="left"/>
              <w:rPr>
                <w:rFonts w:ascii="宋体" w:hAnsi="宋体" w:cs="宋体" w:eastAsia="宋体" w:hint="default"/>
                <w:sz w:val="21"/>
                <w:szCs w:val="21"/>
              </w:rPr>
            </w:pPr>
            <w:r>
              <w:rPr>
                <w:rFonts w:ascii="宋体" w:hAnsi="宋体" w:cs="宋体" w:eastAsia="宋体" w:hint="default"/>
                <w:sz w:val="21"/>
                <w:szCs w:val="21"/>
              </w:rPr>
              <w:t>转增股</w:t>
            </w:r>
            <w:r>
              <w:rPr>
                <w:rFonts w:ascii="宋体" w:hAnsi="宋体" w:cs="宋体" w:eastAsia="宋体" w:hint="default"/>
                <w:spacing w:val="-102"/>
                <w:sz w:val="21"/>
                <w:szCs w:val="21"/>
              </w:rPr>
              <w:t> </w:t>
            </w:r>
            <w:r>
              <w:rPr>
                <w:rFonts w:ascii="宋体" w:hAnsi="宋体" w:cs="宋体" w:eastAsia="宋体" w:hint="default"/>
                <w:sz w:val="21"/>
                <w:szCs w:val="21"/>
              </w:rPr>
              <w:t>本</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92.15</w:t>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 w:right="0"/>
              <w:jc w:val="center"/>
              <w:rPr>
                <w:rFonts w:ascii="宋体" w:hAnsi="宋体" w:cs="宋体" w:eastAsia="宋体" w:hint="default"/>
                <w:sz w:val="21"/>
                <w:szCs w:val="21"/>
              </w:rPr>
            </w:pPr>
            <w:r>
              <w:rPr>
                <w:rFonts w:ascii="宋体" w:hAnsi="宋体" w:cs="宋体" w:eastAsia="宋体" w:hint="default"/>
                <w:sz w:val="21"/>
                <w:szCs w:val="21"/>
              </w:rPr>
              <w:t>卢刚</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134"/>
              <w:jc w:val="both"/>
              <w:rPr>
                <w:rFonts w:ascii="宋体" w:hAnsi="宋体" w:cs="宋体" w:eastAsia="宋体" w:hint="default"/>
                <w:sz w:val="21"/>
                <w:szCs w:val="21"/>
              </w:rPr>
            </w:pPr>
            <w:r>
              <w:rPr>
                <w:rFonts w:ascii="宋体" w:hAnsi="宋体" w:cs="宋体" w:eastAsia="宋体" w:hint="default"/>
                <w:sz w:val="21"/>
                <w:szCs w:val="21"/>
              </w:rPr>
              <w:t>高级</w:t>
            </w:r>
            <w:r>
              <w:rPr>
                <w:rFonts w:ascii="宋体" w:hAnsi="宋体" w:cs="宋体" w:eastAsia="宋体" w:hint="default"/>
                <w:spacing w:val="-103"/>
                <w:sz w:val="21"/>
                <w:szCs w:val="21"/>
              </w:rPr>
              <w:t> </w:t>
            </w:r>
            <w:r>
              <w:rPr>
                <w:rFonts w:ascii="宋体" w:hAnsi="宋体" w:cs="宋体" w:eastAsia="宋体" w:hint="default"/>
                <w:sz w:val="21"/>
                <w:szCs w:val="21"/>
              </w:rPr>
              <w:t>副总</w:t>
            </w:r>
            <w:r>
              <w:rPr>
                <w:rFonts w:ascii="宋体" w:hAnsi="宋体" w:cs="宋体" w:eastAsia="宋体" w:hint="default"/>
                <w:spacing w:val="-103"/>
                <w:sz w:val="21"/>
                <w:szCs w:val="21"/>
              </w:rPr>
              <w:t> </w:t>
            </w:r>
            <w:r>
              <w:rPr>
                <w:rFonts w:ascii="宋体" w:hAnsi="宋体" w:cs="宋体" w:eastAsia="宋体" w:hint="default"/>
                <w:sz w:val="21"/>
                <w:szCs w:val="21"/>
              </w:rPr>
              <w:t>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65" w:right="0"/>
              <w:jc w:val="left"/>
              <w:rPr>
                <w:rFonts w:ascii="Arial Narrow" w:hAnsi="Arial Narrow" w:cs="Arial Narrow" w:eastAsia="Arial Narrow" w:hint="default"/>
                <w:sz w:val="21"/>
                <w:szCs w:val="21"/>
              </w:rPr>
            </w:pPr>
            <w:r>
              <w:rPr>
                <w:rFonts w:ascii="Arial Narrow"/>
                <w:sz w:val="21"/>
              </w:rPr>
              <w:t>50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2011-5-11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2"/>
              <w:jc w:val="center"/>
              <w:rPr>
                <w:rFonts w:ascii="Arial Narrow" w:hAnsi="Arial Narrow" w:cs="Arial Narrow" w:eastAsia="Arial Narrow" w:hint="default"/>
                <w:sz w:val="21"/>
                <w:szCs w:val="21"/>
              </w:rPr>
            </w:pPr>
            <w:r>
              <w:rPr>
                <w:rFonts w:ascii="Arial Narrow"/>
                <w:sz w:val="21"/>
              </w:rPr>
              <w:t>2013-3-18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56" w:right="0"/>
              <w:jc w:val="left"/>
              <w:rPr>
                <w:rFonts w:ascii="Arial Narrow" w:hAnsi="Arial Narrow" w:cs="Arial Narrow" w:eastAsia="Arial Narrow" w:hint="default"/>
                <w:sz w:val="21"/>
                <w:szCs w:val="21"/>
              </w:rPr>
            </w:pPr>
            <w:r>
              <w:rPr>
                <w:rFonts w:ascii="Arial Narrow"/>
                <w:sz w:val="21"/>
              </w:rPr>
              <w:t>214,643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277,572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62,929</w:t>
            </w:r>
            <w:r>
              <w:rPr>
                <w:rFonts w:ascii="Arial Narrow"/>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二级市</w:t>
            </w:r>
          </w:p>
          <w:p>
            <w:pPr>
              <w:pStyle w:val="TableParagraph"/>
              <w:spacing w:line="237" w:lineRule="auto" w:before="2"/>
              <w:ind w:left="100" w:right="103"/>
              <w:jc w:val="left"/>
              <w:rPr>
                <w:rFonts w:ascii="宋体" w:hAnsi="宋体" w:cs="宋体" w:eastAsia="宋体" w:hint="default"/>
                <w:sz w:val="21"/>
                <w:szCs w:val="21"/>
              </w:rPr>
            </w:pPr>
            <w:r>
              <w:rPr>
                <w:rFonts w:ascii="宋体" w:hAnsi="宋体" w:cs="宋体" w:eastAsia="宋体" w:hint="default"/>
                <w:sz w:val="21"/>
                <w:szCs w:val="21"/>
              </w:rPr>
              <w:t>场买</w:t>
            </w:r>
            <w:r>
              <w:rPr>
                <w:rFonts w:ascii="宋体" w:hAnsi="宋体" w:cs="宋体" w:eastAsia="宋体" w:hint="default"/>
                <w:spacing w:val="-103"/>
                <w:sz w:val="21"/>
                <w:szCs w:val="21"/>
              </w:rPr>
              <w:t> </w:t>
            </w:r>
            <w:r>
              <w:rPr>
                <w:rFonts w:ascii="宋体" w:hAnsi="宋体" w:cs="宋体" w:eastAsia="宋体" w:hint="default"/>
                <w:sz w:val="21"/>
                <w:szCs w:val="21"/>
              </w:rPr>
              <w:t>卖、转</w:t>
            </w:r>
            <w:r>
              <w:rPr>
                <w:rFonts w:ascii="宋体" w:hAnsi="宋体" w:cs="宋体" w:eastAsia="宋体" w:hint="default"/>
                <w:spacing w:val="-102"/>
                <w:sz w:val="21"/>
                <w:szCs w:val="21"/>
              </w:rPr>
              <w:t> </w:t>
            </w:r>
            <w:r>
              <w:rPr>
                <w:rFonts w:ascii="宋体" w:hAnsi="宋体" w:cs="宋体" w:eastAsia="宋体" w:hint="default"/>
                <w:sz w:val="21"/>
                <w:szCs w:val="21"/>
              </w:rPr>
              <w:t>增股本</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204.62</w:t>
            </w:r>
            <w:r>
              <w:rPr>
                <w:rFonts w:ascii="Arial Narrow"/>
                <w:sz w:val="21"/>
              </w:rPr>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薛峰</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高级</w:t>
            </w:r>
          </w:p>
          <w:p>
            <w:pPr>
              <w:pStyle w:val="TableParagraph"/>
              <w:spacing w:line="272" w:lineRule="exact" w:before="27"/>
              <w:ind w:left="100" w:right="134"/>
              <w:jc w:val="left"/>
              <w:rPr>
                <w:rFonts w:ascii="宋体" w:hAnsi="宋体" w:cs="宋体" w:eastAsia="宋体" w:hint="default"/>
                <w:sz w:val="21"/>
                <w:szCs w:val="21"/>
              </w:rPr>
            </w:pPr>
            <w:r>
              <w:rPr>
                <w:rFonts w:ascii="宋体" w:hAnsi="宋体" w:cs="宋体" w:eastAsia="宋体" w:hint="default"/>
                <w:sz w:val="21"/>
                <w:szCs w:val="21"/>
              </w:rPr>
              <w:t>副总</w:t>
            </w:r>
            <w:r>
              <w:rPr>
                <w:rFonts w:ascii="宋体" w:hAnsi="宋体" w:cs="宋体" w:eastAsia="宋体" w:hint="default"/>
                <w:spacing w:val="-103"/>
                <w:sz w:val="21"/>
                <w:szCs w:val="21"/>
              </w:rPr>
              <w:t> </w:t>
            </w:r>
            <w:r>
              <w:rPr>
                <w:rFonts w:ascii="宋体" w:hAnsi="宋体" w:cs="宋体" w:eastAsia="宋体" w:hint="default"/>
                <w:sz w:val="21"/>
                <w:szCs w:val="21"/>
              </w:rPr>
              <w:t>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165" w:right="0"/>
              <w:jc w:val="left"/>
              <w:rPr>
                <w:rFonts w:ascii="Arial Narrow" w:hAnsi="Arial Narrow" w:cs="Arial Narrow" w:eastAsia="Arial Narrow" w:hint="default"/>
                <w:sz w:val="21"/>
                <w:szCs w:val="21"/>
              </w:rPr>
            </w:pPr>
            <w:r>
              <w:rPr>
                <w:rFonts w:ascii="Arial Narrow"/>
                <w:sz w:val="21"/>
              </w:rPr>
              <w:t>43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2011-5-11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2"/>
              <w:jc w:val="center"/>
              <w:rPr>
                <w:rFonts w:ascii="Arial Narrow" w:hAnsi="Arial Narrow" w:cs="Arial Narrow" w:eastAsia="Arial Narrow" w:hint="default"/>
                <w:sz w:val="21"/>
                <w:szCs w:val="21"/>
              </w:rPr>
            </w:pPr>
            <w:r>
              <w:rPr>
                <w:rFonts w:ascii="Arial Narrow"/>
                <w:sz w:val="21"/>
              </w:rPr>
              <w:t>2012-7-13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311" w:right="0"/>
              <w:jc w:val="left"/>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Narrow" w:hAnsi="Arial Narrow" w:cs="Arial Narrow" w:eastAsia="Arial Narrow" w:hint="default"/>
                <w:sz w:val="21"/>
                <w:szCs w:val="21"/>
              </w:rPr>
              <w:t>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Narrow" w:hAnsi="Arial Narrow" w:cs="Arial Narrow" w:eastAsia="Arial Narrow" w:hint="default"/>
                <w:sz w:val="21"/>
                <w:szCs w:val="21"/>
              </w:rPr>
              <w:t>3</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93.86</w:t>
            </w:r>
          </w:p>
        </w:tc>
        <w:tc>
          <w:tcPr>
            <w:tcW w:w="70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50"/>
          <w:pgMar w:header="752" w:footer="730" w:top="1020" w:bottom="920" w:left="660" w:right="5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12" w:type="dxa"/>
        <w:tblLayout w:type="fixed"/>
        <w:tblCellMar>
          <w:top w:w="0" w:type="dxa"/>
          <w:left w:w="0" w:type="dxa"/>
          <w:bottom w:w="0" w:type="dxa"/>
          <w:right w:w="0" w:type="dxa"/>
        </w:tblCellMar>
        <w:tblLook w:val="01E0"/>
      </w:tblPr>
      <w:tblGrid>
        <w:gridCol w:w="857"/>
        <w:gridCol w:w="670"/>
        <w:gridCol w:w="566"/>
        <w:gridCol w:w="533"/>
        <w:gridCol w:w="1135"/>
        <w:gridCol w:w="1133"/>
        <w:gridCol w:w="991"/>
        <w:gridCol w:w="994"/>
        <w:gridCol w:w="994"/>
        <w:gridCol w:w="850"/>
        <w:gridCol w:w="991"/>
        <w:gridCol w:w="708"/>
      </w:tblGrid>
      <w:tr>
        <w:trPr>
          <w:trHeight w:val="3005"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9"/>
              <w:ind w:left="21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9"/>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2" w:lineRule="exact"/>
              <w:ind w:left="172" w:right="170"/>
              <w:jc w:val="left"/>
              <w:rPr>
                <w:rFonts w:ascii="宋体" w:hAnsi="宋体" w:cs="宋体" w:eastAsia="宋体" w:hint="default"/>
                <w:sz w:val="21"/>
                <w:szCs w:val="21"/>
              </w:rPr>
            </w:pP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2" w:lineRule="exact"/>
              <w:ind w:left="156" w:right="153"/>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龄</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2" w:lineRule="exact"/>
              <w:ind w:left="244" w:right="245"/>
              <w:jc w:val="left"/>
              <w:rPr>
                <w:rFonts w:ascii="宋体" w:hAnsi="宋体" w:cs="宋体" w:eastAsia="宋体" w:hint="default"/>
                <w:sz w:val="21"/>
                <w:szCs w:val="21"/>
              </w:rPr>
            </w:pPr>
            <w:r>
              <w:rPr>
                <w:rFonts w:ascii="宋体" w:hAnsi="宋体" w:cs="宋体" w:eastAsia="宋体" w:hint="default"/>
                <w:sz w:val="21"/>
                <w:szCs w:val="21"/>
              </w:rPr>
              <w:t>任期起</w:t>
            </w:r>
            <w:r>
              <w:rPr>
                <w:rFonts w:ascii="宋体" w:hAnsi="宋体" w:cs="宋体" w:eastAsia="宋体" w:hint="default"/>
                <w:spacing w:val="-102"/>
                <w:sz w:val="21"/>
                <w:szCs w:val="21"/>
              </w:rPr>
              <w:t> </w:t>
            </w:r>
            <w:r>
              <w:rPr>
                <w:rFonts w:ascii="宋体" w:hAnsi="宋体" w:cs="宋体" w:eastAsia="宋体" w:hint="default"/>
                <w:sz w:val="21"/>
                <w:szCs w:val="21"/>
              </w:rPr>
              <w:t>始日期</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2" w:lineRule="exact"/>
              <w:ind w:left="444" w:right="43" w:hanging="421"/>
              <w:jc w:val="left"/>
              <w:rPr>
                <w:rFonts w:ascii="宋体" w:hAnsi="宋体" w:cs="宋体" w:eastAsia="宋体" w:hint="default"/>
                <w:sz w:val="21"/>
                <w:szCs w:val="21"/>
              </w:rPr>
            </w:pPr>
            <w:r>
              <w:rPr>
                <w:rFonts w:ascii="宋体" w:hAnsi="宋体" w:cs="宋体" w:eastAsia="宋体" w:hint="default"/>
                <w:sz w:val="21"/>
                <w:szCs w:val="21"/>
              </w:rPr>
              <w:t>任期终止日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2" w:lineRule="exact"/>
              <w:ind w:left="439" w:right="12" w:hanging="315"/>
              <w:jc w:val="left"/>
              <w:rPr>
                <w:rFonts w:ascii="宋体" w:hAnsi="宋体" w:cs="宋体" w:eastAsia="宋体" w:hint="default"/>
                <w:sz w:val="21"/>
                <w:szCs w:val="21"/>
              </w:rPr>
            </w:pPr>
            <w:r>
              <w:rPr>
                <w:rFonts w:ascii="宋体" w:hAnsi="宋体" w:cs="宋体" w:eastAsia="宋体" w:hint="default"/>
                <w:sz w:val="21"/>
                <w:szCs w:val="21"/>
              </w:rPr>
              <w:t>年初持股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2" w:lineRule="exact"/>
              <w:ind w:left="281" w:right="172" w:hanging="106"/>
              <w:jc w:val="left"/>
              <w:rPr>
                <w:rFonts w:ascii="宋体" w:hAnsi="宋体" w:cs="宋体" w:eastAsia="宋体" w:hint="default"/>
                <w:sz w:val="21"/>
                <w:szCs w:val="21"/>
              </w:rPr>
            </w:pPr>
            <w:r>
              <w:rPr>
                <w:rFonts w:ascii="宋体" w:hAnsi="宋体" w:cs="宋体" w:eastAsia="宋体" w:hint="default"/>
                <w:sz w:val="21"/>
                <w:szCs w:val="21"/>
              </w:rPr>
              <w:t>年末持</w:t>
            </w:r>
            <w:r>
              <w:rPr>
                <w:rFonts w:ascii="宋体" w:hAnsi="宋体" w:cs="宋体" w:eastAsia="宋体" w:hint="default"/>
                <w:spacing w:val="-102"/>
                <w:sz w:val="21"/>
                <w:szCs w:val="21"/>
              </w:rPr>
              <w:t> </w:t>
            </w:r>
            <w:r>
              <w:rPr>
                <w:rFonts w:ascii="宋体" w:hAnsi="宋体" w:cs="宋体" w:eastAsia="宋体" w:hint="default"/>
                <w:sz w:val="21"/>
                <w:szCs w:val="21"/>
              </w:rPr>
              <w:t>股数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37" w:lineRule="auto"/>
              <w:ind w:left="175" w:right="172"/>
              <w:jc w:val="center"/>
              <w:rPr>
                <w:rFonts w:ascii="宋体" w:hAnsi="宋体" w:cs="宋体" w:eastAsia="宋体" w:hint="default"/>
                <w:sz w:val="21"/>
                <w:szCs w:val="21"/>
              </w:rPr>
            </w:pPr>
            <w:r>
              <w:rPr>
                <w:rFonts w:ascii="宋体" w:hAnsi="宋体" w:cs="宋体" w:eastAsia="宋体" w:hint="default"/>
                <w:sz w:val="21"/>
                <w:szCs w:val="21"/>
              </w:rPr>
              <w:t>年度内</w:t>
            </w:r>
            <w:r>
              <w:rPr>
                <w:rFonts w:ascii="宋体" w:hAnsi="宋体" w:cs="宋体" w:eastAsia="宋体" w:hint="default"/>
                <w:w w:val="100"/>
                <w:sz w:val="21"/>
                <w:szCs w:val="21"/>
              </w:rPr>
              <w:t> </w:t>
            </w:r>
            <w:r>
              <w:rPr>
                <w:rFonts w:ascii="宋体" w:hAnsi="宋体" w:cs="宋体" w:eastAsia="宋体" w:hint="default"/>
                <w:sz w:val="21"/>
                <w:szCs w:val="21"/>
              </w:rPr>
              <w:t>股份增</w:t>
            </w:r>
            <w:r>
              <w:rPr>
                <w:rFonts w:ascii="宋体" w:hAnsi="宋体" w:cs="宋体" w:eastAsia="宋体" w:hint="default"/>
                <w:w w:val="100"/>
                <w:sz w:val="21"/>
                <w:szCs w:val="21"/>
              </w:rPr>
              <w:t> </w:t>
            </w:r>
            <w:r>
              <w:rPr>
                <w:rFonts w:ascii="宋体" w:hAnsi="宋体" w:cs="宋体" w:eastAsia="宋体" w:hint="default"/>
                <w:sz w:val="21"/>
                <w:szCs w:val="21"/>
              </w:rPr>
              <w:t>减变动</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72" w:lineRule="exact"/>
              <w:ind w:left="103" w:right="100"/>
              <w:jc w:val="left"/>
              <w:rPr>
                <w:rFonts w:ascii="宋体" w:hAnsi="宋体" w:cs="宋体" w:eastAsia="宋体" w:hint="default"/>
                <w:sz w:val="21"/>
                <w:szCs w:val="21"/>
              </w:rPr>
            </w:pPr>
            <w:r>
              <w:rPr>
                <w:rFonts w:ascii="宋体" w:hAnsi="宋体" w:cs="宋体" w:eastAsia="宋体" w:hint="default"/>
                <w:sz w:val="21"/>
                <w:szCs w:val="21"/>
              </w:rPr>
              <w:t>增减变</w:t>
            </w:r>
            <w:r>
              <w:rPr>
                <w:rFonts w:ascii="宋体" w:hAnsi="宋体" w:cs="宋体" w:eastAsia="宋体" w:hint="default"/>
                <w:spacing w:val="-102"/>
                <w:sz w:val="21"/>
                <w:szCs w:val="21"/>
              </w:rPr>
              <w:t> </w:t>
            </w:r>
            <w:r>
              <w:rPr>
                <w:rFonts w:ascii="宋体" w:hAnsi="宋体" w:cs="宋体" w:eastAsia="宋体" w:hint="default"/>
                <w:sz w:val="21"/>
                <w:szCs w:val="21"/>
              </w:rPr>
              <w:t>动原因</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6"/>
              <w:ind w:left="175" w:right="170"/>
              <w:jc w:val="center"/>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w w:val="100"/>
                <w:sz w:val="21"/>
                <w:szCs w:val="21"/>
              </w:rPr>
              <w:t> </w:t>
            </w:r>
            <w:r>
              <w:rPr>
                <w:rFonts w:ascii="宋体" w:hAnsi="宋体" w:cs="宋体" w:eastAsia="宋体" w:hint="default"/>
                <w:sz w:val="21"/>
                <w:szCs w:val="21"/>
              </w:rPr>
              <w:t>内从公</w:t>
            </w:r>
            <w:r>
              <w:rPr>
                <w:rFonts w:ascii="宋体" w:hAnsi="宋体" w:cs="宋体" w:eastAsia="宋体" w:hint="default"/>
                <w:w w:val="100"/>
                <w:sz w:val="21"/>
                <w:szCs w:val="21"/>
              </w:rPr>
              <w:t> </w:t>
            </w:r>
            <w:r>
              <w:rPr>
                <w:rFonts w:ascii="宋体" w:hAnsi="宋体" w:cs="宋体" w:eastAsia="宋体" w:hint="default"/>
                <w:sz w:val="21"/>
                <w:szCs w:val="21"/>
              </w:rPr>
              <w:t>司领取</w:t>
            </w:r>
            <w:r>
              <w:rPr>
                <w:rFonts w:ascii="宋体" w:hAnsi="宋体" w:cs="宋体" w:eastAsia="宋体" w:hint="default"/>
                <w:w w:val="100"/>
                <w:sz w:val="21"/>
                <w:szCs w:val="21"/>
              </w:rPr>
              <w:t> </w:t>
            </w:r>
            <w:r>
              <w:rPr>
                <w:rFonts w:ascii="宋体" w:hAnsi="宋体" w:cs="宋体" w:eastAsia="宋体" w:hint="default"/>
                <w:sz w:val="21"/>
                <w:szCs w:val="21"/>
              </w:rPr>
              <w:t>的应付</w:t>
            </w:r>
            <w:r>
              <w:rPr>
                <w:rFonts w:ascii="宋体" w:hAnsi="宋体" w:cs="宋体" w:eastAsia="宋体" w:hint="default"/>
                <w:w w:val="100"/>
                <w:sz w:val="21"/>
                <w:szCs w:val="21"/>
              </w:rPr>
              <w:t> </w:t>
            </w:r>
            <w:r>
              <w:rPr>
                <w:rFonts w:ascii="宋体" w:hAnsi="宋体" w:cs="宋体" w:eastAsia="宋体" w:hint="default"/>
                <w:sz w:val="21"/>
                <w:szCs w:val="21"/>
              </w:rPr>
              <w:t>报酬总</w:t>
            </w:r>
            <w:r>
              <w:rPr>
                <w:rFonts w:ascii="宋体" w:hAnsi="宋体" w:cs="宋体" w:eastAsia="宋体" w:hint="default"/>
                <w:w w:val="100"/>
                <w:sz w:val="21"/>
                <w:szCs w:val="21"/>
              </w:rPr>
              <w:t> </w:t>
            </w:r>
            <w:r>
              <w:rPr>
                <w:rFonts w:ascii="宋体" w:hAnsi="宋体" w:cs="宋体" w:eastAsia="宋体" w:hint="default"/>
                <w:sz w:val="21"/>
                <w:szCs w:val="21"/>
              </w:rPr>
              <w:t>额</w:t>
            </w:r>
          </w:p>
          <w:p>
            <w:pPr>
              <w:pStyle w:val="TableParagraph"/>
              <w:spacing w:line="271" w:lineRule="exact"/>
              <w:ind w:left="68" w:right="0"/>
              <w:jc w:val="center"/>
              <w:rPr>
                <w:rFonts w:ascii="宋体" w:hAnsi="宋体" w:cs="宋体" w:eastAsia="宋体" w:hint="default"/>
                <w:sz w:val="21"/>
                <w:szCs w:val="21"/>
              </w:rPr>
            </w:pPr>
            <w:r>
              <w:rPr>
                <w:rFonts w:ascii="宋体" w:hAnsi="宋体" w:cs="宋体" w:eastAsia="宋体" w:hint="default"/>
                <w:sz w:val="21"/>
                <w:szCs w:val="21"/>
              </w:rPr>
              <w:t>（万元）</w:t>
            </w:r>
          </w:p>
          <w:p>
            <w:pPr>
              <w:pStyle w:val="TableParagraph"/>
              <w:spacing w:line="274" w:lineRule="exact"/>
              <w:ind w:left="68" w:right="0"/>
              <w:jc w:val="center"/>
              <w:rPr>
                <w:rFonts w:ascii="宋体" w:hAnsi="宋体" w:cs="宋体" w:eastAsia="宋体" w:hint="default"/>
                <w:sz w:val="21"/>
                <w:szCs w:val="21"/>
              </w:rPr>
            </w:pPr>
            <w:r>
              <w:rPr>
                <w:rFonts w:ascii="宋体" w:hAnsi="宋体" w:cs="宋体" w:eastAsia="宋体" w:hint="default"/>
                <w:sz w:val="21"/>
                <w:szCs w:val="21"/>
              </w:rPr>
              <w:t>（税前）</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both"/>
              <w:rPr>
                <w:rFonts w:ascii="宋体" w:hAnsi="宋体" w:cs="宋体" w:eastAsia="宋体" w:hint="default"/>
                <w:sz w:val="21"/>
                <w:szCs w:val="21"/>
              </w:rPr>
            </w:pPr>
            <w:r>
              <w:rPr>
                <w:rFonts w:ascii="宋体" w:hAnsi="宋体" w:cs="宋体" w:eastAsia="宋体" w:hint="default"/>
                <w:sz w:val="21"/>
                <w:szCs w:val="21"/>
              </w:rPr>
              <w:t>报告</w:t>
            </w:r>
          </w:p>
          <w:p>
            <w:pPr>
              <w:pStyle w:val="TableParagraph"/>
              <w:spacing w:line="237" w:lineRule="auto" w:before="2"/>
              <w:ind w:left="139" w:right="134"/>
              <w:jc w:val="both"/>
              <w:rPr>
                <w:rFonts w:ascii="宋体" w:hAnsi="宋体" w:cs="宋体" w:eastAsia="宋体" w:hint="default"/>
                <w:sz w:val="21"/>
                <w:szCs w:val="21"/>
              </w:rPr>
            </w:pPr>
            <w:r>
              <w:rPr>
                <w:rFonts w:ascii="宋体" w:hAnsi="宋体" w:cs="宋体" w:eastAsia="宋体" w:hint="default"/>
                <w:sz w:val="21"/>
                <w:szCs w:val="21"/>
              </w:rPr>
              <w:t>期从</w:t>
            </w:r>
            <w:r>
              <w:rPr>
                <w:rFonts w:ascii="宋体" w:hAnsi="宋体" w:cs="宋体" w:eastAsia="宋体" w:hint="default"/>
                <w:spacing w:val="-103"/>
                <w:sz w:val="21"/>
                <w:szCs w:val="21"/>
              </w:rPr>
              <w:t> </w:t>
            </w: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单位</w:t>
            </w:r>
            <w:r>
              <w:rPr>
                <w:rFonts w:ascii="宋体" w:hAnsi="宋体" w:cs="宋体" w:eastAsia="宋体" w:hint="default"/>
                <w:spacing w:val="-103"/>
                <w:sz w:val="21"/>
                <w:szCs w:val="21"/>
              </w:rPr>
              <w:t> </w:t>
            </w:r>
            <w:r>
              <w:rPr>
                <w:rFonts w:ascii="宋体" w:hAnsi="宋体" w:cs="宋体" w:eastAsia="宋体" w:hint="default"/>
                <w:sz w:val="21"/>
                <w:szCs w:val="21"/>
              </w:rPr>
              <w:t>获得</w:t>
            </w:r>
            <w:r>
              <w:rPr>
                <w:rFonts w:ascii="宋体" w:hAnsi="宋体" w:cs="宋体" w:eastAsia="宋体" w:hint="default"/>
                <w:spacing w:val="-103"/>
                <w:sz w:val="21"/>
                <w:szCs w:val="21"/>
              </w:rPr>
              <w:t> </w:t>
            </w:r>
            <w:r>
              <w:rPr>
                <w:rFonts w:ascii="宋体" w:hAnsi="宋体" w:cs="宋体" w:eastAsia="宋体" w:hint="default"/>
                <w:sz w:val="21"/>
                <w:szCs w:val="21"/>
              </w:rPr>
              <w:t>的应</w:t>
            </w:r>
            <w:r>
              <w:rPr>
                <w:rFonts w:ascii="宋体" w:hAnsi="宋体" w:cs="宋体" w:eastAsia="宋体" w:hint="default"/>
                <w:spacing w:val="-103"/>
                <w:sz w:val="21"/>
                <w:szCs w:val="21"/>
              </w:rPr>
              <w:t> </w:t>
            </w:r>
            <w:r>
              <w:rPr>
                <w:rFonts w:ascii="宋体" w:hAnsi="宋体" w:cs="宋体" w:eastAsia="宋体" w:hint="default"/>
                <w:sz w:val="21"/>
                <w:szCs w:val="21"/>
              </w:rPr>
              <w:t>付报</w:t>
            </w:r>
            <w:r>
              <w:rPr>
                <w:rFonts w:ascii="宋体" w:hAnsi="宋体" w:cs="宋体" w:eastAsia="宋体" w:hint="default"/>
                <w:spacing w:val="-103"/>
                <w:sz w:val="21"/>
                <w:szCs w:val="21"/>
              </w:rPr>
              <w:t> </w:t>
            </w:r>
            <w:r>
              <w:rPr>
                <w:rFonts w:ascii="宋体" w:hAnsi="宋体" w:cs="宋体" w:eastAsia="宋体" w:hint="default"/>
                <w:sz w:val="21"/>
                <w:szCs w:val="21"/>
              </w:rPr>
              <w:t>酬总</w:t>
            </w:r>
            <w:r>
              <w:rPr>
                <w:rFonts w:ascii="宋体" w:hAnsi="宋体" w:cs="宋体" w:eastAsia="宋体" w:hint="default"/>
                <w:spacing w:val="-103"/>
                <w:sz w:val="21"/>
                <w:szCs w:val="21"/>
              </w:rPr>
              <w:t> </w:t>
            </w:r>
            <w:r>
              <w:rPr>
                <w:rFonts w:ascii="宋体" w:hAnsi="宋体" w:cs="宋体" w:eastAsia="宋体" w:hint="default"/>
                <w:sz w:val="21"/>
                <w:szCs w:val="21"/>
              </w:rPr>
              <w:t>额</w:t>
            </w:r>
          </w:p>
          <w:p>
            <w:pPr>
              <w:pStyle w:val="TableParagraph"/>
              <w:spacing w:line="274" w:lineRule="exact" w:before="22"/>
              <w:ind w:left="139" w:right="134"/>
              <w:jc w:val="both"/>
              <w:rPr>
                <w:rFonts w:ascii="宋体" w:hAnsi="宋体" w:cs="宋体" w:eastAsia="宋体" w:hint="default"/>
                <w:sz w:val="21"/>
                <w:szCs w:val="21"/>
              </w:rPr>
            </w:pPr>
            <w:r>
              <w:rPr>
                <w:rFonts w:ascii="宋体" w:hAnsi="宋体" w:cs="宋体" w:eastAsia="宋体" w:hint="default"/>
                <w:sz w:val="21"/>
                <w:szCs w:val="21"/>
              </w:rPr>
              <w:t>（万</w:t>
            </w:r>
            <w:r>
              <w:rPr>
                <w:rFonts w:ascii="宋体" w:hAnsi="宋体" w:cs="宋体" w:eastAsia="宋体" w:hint="default"/>
                <w:spacing w:val="-103"/>
                <w:sz w:val="21"/>
                <w:szCs w:val="21"/>
              </w:rPr>
              <w:t> </w:t>
            </w:r>
            <w:r>
              <w:rPr>
                <w:rFonts w:ascii="宋体" w:hAnsi="宋体" w:cs="宋体" w:eastAsia="宋体" w:hint="default"/>
                <w:sz w:val="21"/>
                <w:szCs w:val="21"/>
              </w:rPr>
              <w:t>元）</w:t>
            </w:r>
          </w:p>
        </w:tc>
      </w:tr>
      <w:tr>
        <w:trPr>
          <w:trHeight w:val="1099"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left="103" w:right="0"/>
              <w:jc w:val="left"/>
              <w:rPr>
                <w:rFonts w:ascii="宋体" w:hAnsi="宋体" w:cs="宋体" w:eastAsia="宋体" w:hint="default"/>
                <w:sz w:val="21"/>
                <w:szCs w:val="21"/>
              </w:rPr>
            </w:pPr>
            <w:r>
              <w:rPr>
                <w:rFonts w:ascii="宋体" w:hAnsi="宋体" w:cs="宋体" w:eastAsia="宋体" w:hint="default"/>
                <w:sz w:val="21"/>
                <w:szCs w:val="21"/>
              </w:rPr>
              <w:t>谢志华</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134"/>
              <w:jc w:val="both"/>
              <w:rPr>
                <w:rFonts w:ascii="宋体" w:hAnsi="宋体" w:cs="宋体" w:eastAsia="宋体" w:hint="default"/>
                <w:sz w:val="21"/>
                <w:szCs w:val="21"/>
              </w:rPr>
            </w:pPr>
            <w:r>
              <w:rPr>
                <w:rFonts w:ascii="宋体" w:hAnsi="宋体" w:cs="宋体" w:eastAsia="宋体" w:hint="default"/>
                <w:sz w:val="21"/>
                <w:szCs w:val="21"/>
              </w:rPr>
              <w:t>高级</w:t>
            </w:r>
            <w:r>
              <w:rPr>
                <w:rFonts w:ascii="宋体" w:hAnsi="宋体" w:cs="宋体" w:eastAsia="宋体" w:hint="default"/>
                <w:spacing w:val="-103"/>
                <w:sz w:val="21"/>
                <w:szCs w:val="21"/>
              </w:rPr>
              <w:t> </w:t>
            </w:r>
            <w:r>
              <w:rPr>
                <w:rFonts w:ascii="宋体" w:hAnsi="宋体" w:cs="宋体" w:eastAsia="宋体" w:hint="default"/>
                <w:sz w:val="21"/>
                <w:szCs w:val="21"/>
              </w:rPr>
              <w:t>副总</w:t>
            </w:r>
            <w:r>
              <w:rPr>
                <w:rFonts w:ascii="宋体" w:hAnsi="宋体" w:cs="宋体" w:eastAsia="宋体" w:hint="default"/>
                <w:spacing w:val="-103"/>
                <w:sz w:val="21"/>
                <w:szCs w:val="21"/>
              </w:rPr>
              <w:t> </w:t>
            </w:r>
            <w:r>
              <w:rPr>
                <w:rFonts w:ascii="宋体" w:hAnsi="宋体" w:cs="宋体" w:eastAsia="宋体" w:hint="default"/>
                <w:sz w:val="21"/>
                <w:szCs w:val="21"/>
              </w:rPr>
              <w:t>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65" w:right="0"/>
              <w:jc w:val="left"/>
              <w:rPr>
                <w:rFonts w:ascii="Arial Narrow" w:hAnsi="Arial Narrow" w:cs="Arial Narrow" w:eastAsia="Arial Narrow" w:hint="default"/>
                <w:sz w:val="21"/>
                <w:szCs w:val="21"/>
              </w:rPr>
            </w:pPr>
            <w:r>
              <w:rPr>
                <w:rFonts w:ascii="Arial Narrow"/>
                <w:sz w:val="21"/>
              </w:rPr>
              <w:t>36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2011-5-11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32"/>
                <w:szCs w:val="32"/>
              </w:rPr>
            </w:pPr>
          </w:p>
          <w:p>
            <w:pPr>
              <w:pStyle w:val="TableParagraph"/>
              <w:spacing w:line="240" w:lineRule="auto"/>
              <w:ind w:right="2"/>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Narrow" w:hAnsi="Arial Narrow" w:cs="Arial Narrow" w:eastAsia="Arial Narrow" w:hint="default"/>
                <w:sz w:val="21"/>
                <w:szCs w:val="21"/>
              </w:rPr>
              <w:t>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180,000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53" w:right="0"/>
              <w:jc w:val="center"/>
              <w:rPr>
                <w:rFonts w:ascii="Arial Narrow" w:hAnsi="Arial Narrow" w:cs="Arial Narrow" w:eastAsia="Arial Narrow" w:hint="default"/>
                <w:sz w:val="21"/>
                <w:szCs w:val="21"/>
              </w:rPr>
            </w:pPr>
            <w:r>
              <w:rPr>
                <w:rFonts w:ascii="Arial Narrow"/>
                <w:sz w:val="21"/>
              </w:rPr>
              <w:t>226,000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46,000</w:t>
            </w:r>
            <w:r>
              <w:rPr>
                <w:rFonts w:ascii="Arial Narrow"/>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二级市</w:t>
            </w:r>
          </w:p>
          <w:p>
            <w:pPr>
              <w:pStyle w:val="TableParagraph"/>
              <w:spacing w:line="237" w:lineRule="auto"/>
              <w:ind w:left="100" w:right="104"/>
              <w:jc w:val="left"/>
              <w:rPr>
                <w:rFonts w:ascii="宋体" w:hAnsi="宋体" w:cs="宋体" w:eastAsia="宋体" w:hint="default"/>
                <w:sz w:val="21"/>
                <w:szCs w:val="21"/>
              </w:rPr>
            </w:pPr>
            <w:r>
              <w:rPr>
                <w:rFonts w:ascii="宋体" w:hAnsi="宋体" w:cs="宋体" w:eastAsia="宋体" w:hint="default"/>
                <w:sz w:val="21"/>
                <w:szCs w:val="21"/>
              </w:rPr>
              <w:t>场买</w:t>
            </w:r>
            <w:r>
              <w:rPr>
                <w:rFonts w:ascii="宋体" w:hAnsi="宋体" w:cs="宋体" w:eastAsia="宋体" w:hint="default"/>
                <w:spacing w:val="-103"/>
                <w:sz w:val="21"/>
                <w:szCs w:val="21"/>
              </w:rPr>
              <w:t> </w:t>
            </w:r>
            <w:r>
              <w:rPr>
                <w:rFonts w:ascii="宋体" w:hAnsi="宋体" w:cs="宋体" w:eastAsia="宋体" w:hint="default"/>
                <w:sz w:val="21"/>
                <w:szCs w:val="21"/>
              </w:rPr>
              <w:t>卖、转</w:t>
            </w:r>
            <w:r>
              <w:rPr>
                <w:rFonts w:ascii="宋体" w:hAnsi="宋体" w:cs="宋体" w:eastAsia="宋体" w:hint="default"/>
                <w:spacing w:val="-102"/>
                <w:sz w:val="21"/>
                <w:szCs w:val="21"/>
              </w:rPr>
              <w:t> </w:t>
            </w:r>
            <w:r>
              <w:rPr>
                <w:rFonts w:ascii="宋体" w:hAnsi="宋体" w:cs="宋体" w:eastAsia="宋体" w:hint="default"/>
                <w:sz w:val="21"/>
                <w:szCs w:val="21"/>
              </w:rPr>
              <w:t>增股本</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290.30</w:t>
            </w:r>
            <w:r>
              <w:rPr>
                <w:rFonts w:ascii="Arial Narrow"/>
                <w:sz w:val="21"/>
              </w:rPr>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胡彬</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高级</w:t>
            </w:r>
          </w:p>
          <w:p>
            <w:pPr>
              <w:pStyle w:val="TableParagraph"/>
              <w:spacing w:line="240" w:lineRule="auto"/>
              <w:ind w:left="100" w:right="134"/>
              <w:jc w:val="left"/>
              <w:rPr>
                <w:rFonts w:ascii="宋体" w:hAnsi="宋体" w:cs="宋体" w:eastAsia="宋体" w:hint="default"/>
                <w:sz w:val="21"/>
                <w:szCs w:val="21"/>
              </w:rPr>
            </w:pPr>
            <w:r>
              <w:rPr>
                <w:rFonts w:ascii="宋体" w:hAnsi="宋体" w:cs="宋体" w:eastAsia="宋体" w:hint="default"/>
                <w:sz w:val="21"/>
                <w:szCs w:val="21"/>
              </w:rPr>
              <w:t>副总</w:t>
            </w:r>
            <w:r>
              <w:rPr>
                <w:rFonts w:ascii="宋体" w:hAnsi="宋体" w:cs="宋体" w:eastAsia="宋体" w:hint="default"/>
                <w:spacing w:val="-103"/>
                <w:sz w:val="21"/>
                <w:szCs w:val="21"/>
              </w:rPr>
              <w:t> </w:t>
            </w:r>
            <w:r>
              <w:rPr>
                <w:rFonts w:ascii="宋体" w:hAnsi="宋体" w:cs="宋体" w:eastAsia="宋体" w:hint="default"/>
                <w:sz w:val="21"/>
                <w:szCs w:val="21"/>
              </w:rPr>
              <w:t>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65" w:right="0"/>
              <w:jc w:val="left"/>
              <w:rPr>
                <w:rFonts w:ascii="Arial Narrow" w:hAnsi="Arial Narrow" w:cs="Arial Narrow" w:eastAsia="Arial Narrow" w:hint="default"/>
                <w:sz w:val="21"/>
                <w:szCs w:val="21"/>
              </w:rPr>
            </w:pPr>
            <w:r>
              <w:rPr>
                <w:rFonts w:ascii="Arial Narrow"/>
                <w:sz w:val="21"/>
              </w:rPr>
              <w:t>48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2012-3-8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Narrow" w:hAnsi="Arial Narrow" w:cs="Arial Narrow" w:eastAsia="Arial Narrow" w:hint="default"/>
                <w:sz w:val="21"/>
                <w:szCs w:val="21"/>
              </w:rPr>
              <w:t>2</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153" w:right="0"/>
              <w:jc w:val="center"/>
              <w:rPr>
                <w:rFonts w:ascii="Arial Narrow" w:hAnsi="Arial Narrow" w:cs="Arial Narrow" w:eastAsia="Arial Narrow" w:hint="default"/>
                <w:sz w:val="21"/>
                <w:szCs w:val="21"/>
              </w:rPr>
            </w:pPr>
            <w:r>
              <w:rPr>
                <w:rFonts w:ascii="Arial Narrow"/>
                <w:sz w:val="21"/>
              </w:rPr>
              <w:t>117,000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新聘</w:t>
            </w:r>
          </w:p>
          <w:p>
            <w:pPr>
              <w:pStyle w:val="TableParagraph"/>
              <w:spacing w:line="240" w:lineRule="auto"/>
              <w:ind w:left="100" w:right="103"/>
              <w:jc w:val="left"/>
              <w:rPr>
                <w:rFonts w:ascii="宋体" w:hAnsi="宋体" w:cs="宋体" w:eastAsia="宋体" w:hint="default"/>
                <w:sz w:val="21"/>
                <w:szCs w:val="21"/>
              </w:rPr>
            </w:pPr>
            <w:r>
              <w:rPr>
                <w:rFonts w:ascii="宋体" w:hAnsi="宋体" w:cs="宋体" w:eastAsia="宋体" w:hint="default"/>
                <w:sz w:val="21"/>
                <w:szCs w:val="21"/>
              </w:rPr>
              <w:t>任、转</w:t>
            </w:r>
            <w:r>
              <w:rPr>
                <w:rFonts w:ascii="宋体" w:hAnsi="宋体" w:cs="宋体" w:eastAsia="宋体" w:hint="default"/>
                <w:spacing w:val="-102"/>
                <w:sz w:val="21"/>
                <w:szCs w:val="21"/>
              </w:rPr>
              <w:t> </w:t>
            </w:r>
            <w:r>
              <w:rPr>
                <w:rFonts w:ascii="宋体" w:hAnsi="宋体" w:cs="宋体" w:eastAsia="宋体" w:hint="default"/>
                <w:sz w:val="21"/>
                <w:szCs w:val="21"/>
              </w:rPr>
              <w:t>增股本</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211.58</w:t>
            </w:r>
            <w:r>
              <w:rPr>
                <w:rFonts w:ascii="Arial Narrow"/>
                <w:sz w:val="21"/>
              </w:rPr>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李宏伟</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高级</w:t>
            </w:r>
          </w:p>
          <w:p>
            <w:pPr>
              <w:pStyle w:val="TableParagraph"/>
              <w:spacing w:line="272" w:lineRule="exact" w:before="27"/>
              <w:ind w:left="100" w:right="134"/>
              <w:jc w:val="left"/>
              <w:rPr>
                <w:rFonts w:ascii="宋体" w:hAnsi="宋体" w:cs="宋体" w:eastAsia="宋体" w:hint="default"/>
                <w:sz w:val="21"/>
                <w:szCs w:val="21"/>
              </w:rPr>
            </w:pPr>
            <w:r>
              <w:rPr>
                <w:rFonts w:ascii="宋体" w:hAnsi="宋体" w:cs="宋体" w:eastAsia="宋体" w:hint="default"/>
                <w:sz w:val="21"/>
                <w:szCs w:val="21"/>
              </w:rPr>
              <w:t>副总</w:t>
            </w:r>
            <w:r>
              <w:rPr>
                <w:rFonts w:ascii="宋体" w:hAnsi="宋体" w:cs="宋体" w:eastAsia="宋体" w:hint="default"/>
                <w:spacing w:val="-103"/>
                <w:sz w:val="21"/>
                <w:szCs w:val="21"/>
              </w:rPr>
              <w:t> </w:t>
            </w:r>
            <w:r>
              <w:rPr>
                <w:rFonts w:ascii="宋体" w:hAnsi="宋体" w:cs="宋体" w:eastAsia="宋体" w:hint="default"/>
                <w:sz w:val="21"/>
                <w:szCs w:val="21"/>
              </w:rPr>
              <w:t>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165" w:right="0"/>
              <w:jc w:val="left"/>
              <w:rPr>
                <w:rFonts w:ascii="Arial Narrow" w:hAnsi="Arial Narrow" w:cs="Arial Narrow" w:eastAsia="Arial Narrow" w:hint="default"/>
                <w:sz w:val="21"/>
                <w:szCs w:val="21"/>
              </w:rPr>
            </w:pPr>
            <w:r>
              <w:rPr>
                <w:rFonts w:ascii="Arial Narrow"/>
                <w:sz w:val="21"/>
              </w:rPr>
              <w:t>42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2012-3-8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Narrow" w:hAnsi="Arial Narrow" w:cs="Arial Narrow" w:eastAsia="Arial Narrow" w:hint="default"/>
                <w:sz w:val="21"/>
                <w:szCs w:val="21"/>
              </w:rPr>
              <w:t>2</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新聘任</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239.92</w:t>
            </w:r>
            <w:r>
              <w:rPr>
                <w:rFonts w:ascii="Arial Narrow"/>
                <w:sz w:val="21"/>
              </w:rPr>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徐宝东</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6"/>
              <w:ind w:left="100" w:right="134"/>
              <w:jc w:val="both"/>
              <w:rPr>
                <w:rFonts w:ascii="宋体" w:hAnsi="宋体" w:cs="宋体" w:eastAsia="宋体" w:hint="default"/>
                <w:sz w:val="21"/>
                <w:szCs w:val="21"/>
              </w:rPr>
            </w:pPr>
            <w:r>
              <w:rPr>
                <w:rFonts w:ascii="宋体" w:hAnsi="宋体" w:cs="宋体" w:eastAsia="宋体" w:hint="default"/>
                <w:sz w:val="21"/>
                <w:szCs w:val="21"/>
              </w:rPr>
              <w:t>高级</w:t>
            </w:r>
            <w:r>
              <w:rPr>
                <w:rFonts w:ascii="宋体" w:hAnsi="宋体" w:cs="宋体" w:eastAsia="宋体" w:hint="default"/>
                <w:spacing w:val="-103"/>
                <w:sz w:val="21"/>
                <w:szCs w:val="21"/>
              </w:rPr>
              <w:t> </w:t>
            </w:r>
            <w:r>
              <w:rPr>
                <w:rFonts w:ascii="宋体" w:hAnsi="宋体" w:cs="宋体" w:eastAsia="宋体" w:hint="default"/>
                <w:sz w:val="21"/>
                <w:szCs w:val="21"/>
              </w:rPr>
              <w:t>副总</w:t>
            </w:r>
            <w:r>
              <w:rPr>
                <w:rFonts w:ascii="宋体" w:hAnsi="宋体" w:cs="宋体" w:eastAsia="宋体" w:hint="default"/>
                <w:spacing w:val="-103"/>
                <w:sz w:val="21"/>
                <w:szCs w:val="21"/>
              </w:rPr>
              <w:t> </w:t>
            </w:r>
            <w:r>
              <w:rPr>
                <w:rFonts w:ascii="宋体" w:hAnsi="宋体" w:cs="宋体" w:eastAsia="宋体" w:hint="default"/>
                <w:sz w:val="21"/>
                <w:szCs w:val="21"/>
              </w:rPr>
              <w:t>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65" w:right="0"/>
              <w:jc w:val="left"/>
              <w:rPr>
                <w:rFonts w:ascii="Arial Narrow" w:hAnsi="Arial Narrow" w:cs="Arial Narrow" w:eastAsia="Arial Narrow" w:hint="default"/>
                <w:sz w:val="21"/>
                <w:szCs w:val="21"/>
              </w:rPr>
            </w:pPr>
            <w:r>
              <w:rPr>
                <w:rFonts w:ascii="Arial Narrow"/>
                <w:sz w:val="21"/>
              </w:rPr>
              <w:t>48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2012-3-8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41"/>
              <w:ind w:right="2"/>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Narrow" w:hAnsi="Arial Narrow" w:cs="Arial Narrow" w:eastAsia="Arial Narrow" w:hint="default"/>
                <w:sz w:val="21"/>
                <w:szCs w:val="21"/>
              </w:rPr>
              <w:t>2</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53" w:right="0"/>
              <w:jc w:val="center"/>
              <w:rPr>
                <w:rFonts w:ascii="Arial Narrow" w:hAnsi="Arial Narrow" w:cs="Arial Narrow" w:eastAsia="Arial Narrow" w:hint="default"/>
                <w:sz w:val="21"/>
                <w:szCs w:val="21"/>
              </w:rPr>
            </w:pPr>
            <w:r>
              <w:rPr>
                <w:rFonts w:ascii="Arial Narrow"/>
                <w:sz w:val="21"/>
              </w:rPr>
              <w:t>300,500</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新聘</w:t>
            </w:r>
          </w:p>
          <w:p>
            <w:pPr>
              <w:pStyle w:val="TableParagraph"/>
              <w:spacing w:line="237" w:lineRule="auto"/>
              <w:ind w:left="100" w:right="103"/>
              <w:jc w:val="both"/>
              <w:rPr>
                <w:rFonts w:ascii="宋体" w:hAnsi="宋体" w:cs="宋体" w:eastAsia="宋体" w:hint="default"/>
                <w:sz w:val="21"/>
                <w:szCs w:val="21"/>
              </w:rPr>
            </w:pPr>
            <w:r>
              <w:rPr>
                <w:rFonts w:ascii="宋体" w:hAnsi="宋体" w:cs="宋体" w:eastAsia="宋体" w:hint="default"/>
                <w:sz w:val="21"/>
                <w:szCs w:val="21"/>
              </w:rPr>
              <w:t>任、二</w:t>
            </w:r>
            <w:r>
              <w:rPr>
                <w:rFonts w:ascii="宋体" w:hAnsi="宋体" w:cs="宋体" w:eastAsia="宋体" w:hint="default"/>
                <w:spacing w:val="-102"/>
                <w:sz w:val="21"/>
                <w:szCs w:val="21"/>
              </w:rPr>
              <w:t> </w:t>
            </w:r>
            <w:r>
              <w:rPr>
                <w:rFonts w:ascii="宋体" w:hAnsi="宋体" w:cs="宋体" w:eastAsia="宋体" w:hint="default"/>
                <w:sz w:val="21"/>
                <w:szCs w:val="21"/>
              </w:rPr>
              <w:t>级市场</w:t>
            </w:r>
            <w:r>
              <w:rPr>
                <w:rFonts w:ascii="宋体" w:hAnsi="宋体" w:cs="宋体" w:eastAsia="宋体" w:hint="default"/>
                <w:spacing w:val="-102"/>
                <w:sz w:val="21"/>
                <w:szCs w:val="21"/>
              </w:rPr>
              <w:t> </w:t>
            </w:r>
            <w:r>
              <w:rPr>
                <w:rFonts w:ascii="宋体" w:hAnsi="宋体" w:cs="宋体" w:eastAsia="宋体" w:hint="default"/>
                <w:sz w:val="21"/>
                <w:szCs w:val="21"/>
              </w:rPr>
              <w:t>买卖、</w:t>
            </w:r>
            <w:r>
              <w:rPr>
                <w:rFonts w:ascii="宋体" w:hAnsi="宋体" w:cs="宋体" w:eastAsia="宋体" w:hint="default"/>
                <w:spacing w:val="-102"/>
                <w:sz w:val="21"/>
                <w:szCs w:val="21"/>
              </w:rPr>
              <w:t> </w:t>
            </w:r>
            <w:r>
              <w:rPr>
                <w:rFonts w:ascii="宋体" w:hAnsi="宋体" w:cs="宋体" w:eastAsia="宋体" w:hint="default"/>
                <w:sz w:val="21"/>
                <w:szCs w:val="21"/>
              </w:rPr>
              <w:t>转增股</w:t>
            </w:r>
            <w:r>
              <w:rPr>
                <w:rFonts w:ascii="宋体" w:hAnsi="宋体" w:cs="宋体" w:eastAsia="宋体" w:hint="default"/>
                <w:spacing w:val="-102"/>
                <w:sz w:val="21"/>
                <w:szCs w:val="21"/>
              </w:rPr>
              <w:t> </w:t>
            </w:r>
            <w:r>
              <w:rPr>
                <w:rFonts w:ascii="宋体" w:hAnsi="宋体" w:cs="宋体" w:eastAsia="宋体" w:hint="default"/>
                <w:sz w:val="21"/>
                <w:szCs w:val="21"/>
              </w:rPr>
              <w:t>本</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295.30</w:t>
            </w:r>
            <w:r>
              <w:rPr>
                <w:rFonts w:ascii="Arial Narrow"/>
                <w:sz w:val="21"/>
              </w:rPr>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杨晓柏</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高级</w:t>
            </w:r>
          </w:p>
          <w:p>
            <w:pPr>
              <w:pStyle w:val="TableParagraph"/>
              <w:spacing w:line="240" w:lineRule="auto"/>
              <w:ind w:left="100" w:right="134"/>
              <w:jc w:val="left"/>
              <w:rPr>
                <w:rFonts w:ascii="宋体" w:hAnsi="宋体" w:cs="宋体" w:eastAsia="宋体" w:hint="default"/>
                <w:sz w:val="21"/>
                <w:szCs w:val="21"/>
              </w:rPr>
            </w:pPr>
            <w:r>
              <w:rPr>
                <w:rFonts w:ascii="宋体" w:hAnsi="宋体" w:cs="宋体" w:eastAsia="宋体" w:hint="default"/>
                <w:sz w:val="21"/>
                <w:szCs w:val="21"/>
              </w:rPr>
              <w:t>副总</w:t>
            </w:r>
            <w:r>
              <w:rPr>
                <w:rFonts w:ascii="宋体" w:hAnsi="宋体" w:cs="宋体" w:eastAsia="宋体" w:hint="default"/>
                <w:spacing w:val="-103"/>
                <w:sz w:val="21"/>
                <w:szCs w:val="21"/>
              </w:rPr>
              <w:t> </w:t>
            </w:r>
            <w:r>
              <w:rPr>
                <w:rFonts w:ascii="宋体" w:hAnsi="宋体" w:cs="宋体" w:eastAsia="宋体" w:hint="default"/>
                <w:sz w:val="21"/>
                <w:szCs w:val="21"/>
              </w:rPr>
              <w:t>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165" w:right="0"/>
              <w:jc w:val="left"/>
              <w:rPr>
                <w:rFonts w:ascii="Arial Narrow" w:hAnsi="Arial Narrow" w:cs="Arial Narrow" w:eastAsia="Arial Narrow" w:hint="default"/>
                <w:sz w:val="21"/>
                <w:szCs w:val="21"/>
              </w:rPr>
            </w:pPr>
            <w:r>
              <w:rPr>
                <w:rFonts w:ascii="Arial Narrow"/>
                <w:sz w:val="21"/>
              </w:rPr>
              <w:t>41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2012-3-8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Narrow" w:hAnsi="Arial Narrow" w:cs="Arial Narrow" w:eastAsia="Arial Narrow" w:hint="default"/>
                <w:sz w:val="21"/>
                <w:szCs w:val="21"/>
              </w:rPr>
              <w:t>2</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新聘任</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184.48</w:t>
            </w:r>
            <w:r>
              <w:rPr>
                <w:rFonts w:ascii="Arial Narrow"/>
                <w:sz w:val="21"/>
              </w:rPr>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牛立伟</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高级</w:t>
            </w:r>
          </w:p>
          <w:p>
            <w:pPr>
              <w:pStyle w:val="TableParagraph"/>
              <w:spacing w:line="272" w:lineRule="exact" w:before="27"/>
              <w:ind w:left="100" w:right="134"/>
              <w:jc w:val="left"/>
              <w:rPr>
                <w:rFonts w:ascii="宋体" w:hAnsi="宋体" w:cs="宋体" w:eastAsia="宋体" w:hint="default"/>
                <w:sz w:val="21"/>
                <w:szCs w:val="21"/>
              </w:rPr>
            </w:pPr>
            <w:r>
              <w:rPr>
                <w:rFonts w:ascii="宋体" w:hAnsi="宋体" w:cs="宋体" w:eastAsia="宋体" w:hint="default"/>
                <w:sz w:val="21"/>
                <w:szCs w:val="21"/>
              </w:rPr>
              <w:t>副总</w:t>
            </w:r>
            <w:r>
              <w:rPr>
                <w:rFonts w:ascii="宋体" w:hAnsi="宋体" w:cs="宋体" w:eastAsia="宋体" w:hint="default"/>
                <w:spacing w:val="-103"/>
                <w:sz w:val="21"/>
                <w:szCs w:val="21"/>
              </w:rPr>
              <w:t> </w:t>
            </w:r>
            <w:r>
              <w:rPr>
                <w:rFonts w:ascii="宋体" w:hAnsi="宋体" w:cs="宋体" w:eastAsia="宋体" w:hint="default"/>
                <w:sz w:val="21"/>
                <w:szCs w:val="21"/>
              </w:rPr>
              <w:t>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165" w:right="0"/>
              <w:jc w:val="left"/>
              <w:rPr>
                <w:rFonts w:ascii="Arial Narrow" w:hAnsi="Arial Narrow" w:cs="Arial Narrow" w:eastAsia="Arial Narrow" w:hint="default"/>
                <w:sz w:val="21"/>
                <w:szCs w:val="21"/>
              </w:rPr>
            </w:pPr>
            <w:r>
              <w:rPr>
                <w:rFonts w:ascii="Arial Narrow"/>
                <w:sz w:val="21"/>
              </w:rPr>
              <w:t>38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2012-3-8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
              <w:jc w:val="center"/>
              <w:rPr>
                <w:rFonts w:ascii="Arial Narrow" w:hAnsi="Arial Narrow" w:cs="Arial Narrow" w:eastAsia="Arial Narrow"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Arial Narrow" w:hAnsi="Arial Narrow" w:cs="Arial Narrow" w:eastAsia="Arial Narrow" w:hint="default"/>
                <w:sz w:val="21"/>
                <w:szCs w:val="21"/>
              </w:rPr>
              <w:t>2</w:t>
            </w:r>
          </w:p>
        </w:tc>
        <w:tc>
          <w:tcPr>
            <w:tcW w:w="99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153" w:right="0"/>
              <w:jc w:val="center"/>
              <w:rPr>
                <w:rFonts w:ascii="Arial Narrow" w:hAnsi="Arial Narrow" w:cs="Arial Narrow" w:eastAsia="Arial Narrow" w:hint="default"/>
                <w:sz w:val="21"/>
                <w:szCs w:val="21"/>
              </w:rPr>
            </w:pPr>
            <w:r>
              <w:rPr>
                <w:rFonts w:ascii="Arial Narrow"/>
                <w:sz w:val="21"/>
              </w:rPr>
              <w:t>117,611</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新聘</w:t>
            </w:r>
          </w:p>
          <w:p>
            <w:pPr>
              <w:pStyle w:val="TableParagraph"/>
              <w:spacing w:line="272" w:lineRule="exact" w:before="27"/>
              <w:ind w:left="100" w:right="103"/>
              <w:jc w:val="left"/>
              <w:rPr>
                <w:rFonts w:ascii="宋体" w:hAnsi="宋体" w:cs="宋体" w:eastAsia="宋体" w:hint="default"/>
                <w:sz w:val="21"/>
                <w:szCs w:val="21"/>
              </w:rPr>
            </w:pPr>
            <w:r>
              <w:rPr>
                <w:rFonts w:ascii="宋体" w:hAnsi="宋体" w:cs="宋体" w:eastAsia="宋体" w:hint="default"/>
                <w:sz w:val="21"/>
                <w:szCs w:val="21"/>
              </w:rPr>
              <w:t>任、转</w:t>
            </w:r>
            <w:r>
              <w:rPr>
                <w:rFonts w:ascii="宋体" w:hAnsi="宋体" w:cs="宋体" w:eastAsia="宋体" w:hint="default"/>
                <w:spacing w:val="-102"/>
                <w:sz w:val="21"/>
                <w:szCs w:val="21"/>
              </w:rPr>
              <w:t> </w:t>
            </w:r>
            <w:r>
              <w:rPr>
                <w:rFonts w:ascii="宋体" w:hAnsi="宋体" w:cs="宋体" w:eastAsia="宋体" w:hint="default"/>
                <w:sz w:val="21"/>
                <w:szCs w:val="21"/>
              </w:rPr>
              <w:t>增股本</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1"/>
                <w:sz w:val="21"/>
              </w:rPr>
              <w:t>213.69</w:t>
            </w:r>
            <w:r>
              <w:rPr>
                <w:rFonts w:ascii="Arial Narrow"/>
                <w:sz w:val="21"/>
              </w:rPr>
            </w:r>
          </w:p>
        </w:tc>
        <w:tc>
          <w:tcPr>
            <w:tcW w:w="708" w:type="dxa"/>
            <w:tcBorders>
              <w:top w:val="single" w:sz="4" w:space="0" w:color="000000"/>
              <w:left w:val="single" w:sz="4" w:space="0" w:color="000000"/>
              <w:bottom w:val="single" w:sz="4" w:space="0" w:color="000000"/>
              <w:right w:val="single" w:sz="4" w:space="0" w:color="000000"/>
            </w:tcBorders>
          </w:tcPr>
          <w:p>
            <w:pPr/>
          </w:p>
        </w:tc>
      </w:tr>
      <w:tr>
        <w:trPr>
          <w:trHeight w:val="290" w:hRule="exact"/>
        </w:trPr>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1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5"/>
              <w:jc w:val="center"/>
              <w:rPr>
                <w:rFonts w:ascii="Arial Narrow" w:hAnsi="Arial Narrow" w:cs="Arial Narrow" w:eastAsia="Arial Narrow" w:hint="default"/>
                <w:sz w:val="21"/>
                <w:szCs w:val="21"/>
              </w:rPr>
            </w:pPr>
            <w:r>
              <w:rPr>
                <w:rFonts w:ascii="Arial Narrow"/>
                <w:w w:val="100"/>
                <w:sz w:val="21"/>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Arial Narrow" w:hAnsi="Arial Narrow" w:cs="Arial Narrow" w:eastAsia="Arial Narrow" w:hint="default"/>
                <w:sz w:val="21"/>
                <w:szCs w:val="21"/>
              </w:rPr>
            </w:pPr>
            <w:r>
              <w:rPr>
                <w:rFonts w:ascii="Arial Narrow"/>
                <w:w w:val="100"/>
                <w:sz w:val="21"/>
              </w:rPr>
              <w:t>/</w:t>
            </w:r>
          </w:p>
        </w:tc>
        <w:tc>
          <w:tcPr>
            <w:tcW w:w="53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Arial Narrow" w:hAnsi="Arial Narrow" w:cs="Arial Narrow" w:eastAsia="Arial Narrow" w:hint="default"/>
                <w:sz w:val="21"/>
                <w:szCs w:val="21"/>
              </w:rPr>
            </w:pPr>
            <w:r>
              <w:rPr>
                <w:rFonts w:ascii="Arial Narrow"/>
                <w:w w:val="100"/>
                <w:sz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center"/>
              <w:rPr>
                <w:rFonts w:ascii="Arial Narrow" w:hAnsi="Arial Narrow" w:cs="Arial Narrow" w:eastAsia="Arial Narrow" w:hint="default"/>
                <w:sz w:val="21"/>
                <w:szCs w:val="21"/>
              </w:rPr>
            </w:pPr>
            <w:r>
              <w:rPr>
                <w:rFonts w:ascii="Arial Narrow"/>
                <w:w w:val="100"/>
                <w:sz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8"/>
              <w:jc w:val="right"/>
              <w:rPr>
                <w:rFonts w:ascii="Arial Narrow" w:hAnsi="Arial Narrow" w:cs="Arial Narrow" w:eastAsia="Arial Narrow" w:hint="default"/>
                <w:sz w:val="21"/>
                <w:szCs w:val="21"/>
              </w:rPr>
            </w:pPr>
            <w:r>
              <w:rPr>
                <w:rFonts w:ascii="Arial Narrow"/>
                <w:spacing w:val="-1"/>
                <w:sz w:val="21"/>
              </w:rPr>
              <w:t>2,759,311</w:t>
            </w:r>
            <w:r>
              <w:rPr>
                <w:rFonts w:ascii="Arial Narrow"/>
                <w:sz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9" w:right="0"/>
              <w:jc w:val="center"/>
              <w:rPr>
                <w:rFonts w:ascii="Arial Narrow" w:hAnsi="Arial Narrow" w:cs="Arial Narrow" w:eastAsia="Arial Narrow" w:hint="default"/>
                <w:sz w:val="21"/>
                <w:szCs w:val="21"/>
              </w:rPr>
            </w:pPr>
            <w:r>
              <w:rPr>
                <w:rFonts w:ascii="Arial Narrow"/>
                <w:sz w:val="21"/>
              </w:rPr>
              <w:t>5,273,782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8"/>
              <w:jc w:val="right"/>
              <w:rPr>
                <w:rFonts w:ascii="Arial Narrow" w:hAnsi="Arial Narrow" w:cs="Arial Narrow" w:eastAsia="Arial Narrow" w:hint="default"/>
                <w:sz w:val="21"/>
                <w:szCs w:val="21"/>
              </w:rPr>
            </w:pPr>
            <w:r>
              <w:rPr>
                <w:rFonts w:ascii="Arial Narrow"/>
                <w:spacing w:val="-1"/>
                <w:sz w:val="21"/>
              </w:rPr>
              <w:t>1,979,360</w:t>
            </w:r>
            <w:r>
              <w:rPr>
                <w:rFonts w:ascii="Arial Narrow"/>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
              <w:jc w:val="center"/>
              <w:rPr>
                <w:rFonts w:ascii="Arial Narrow" w:hAnsi="Arial Narrow" w:cs="Arial Narrow" w:eastAsia="Arial Narrow" w:hint="default"/>
                <w:sz w:val="21"/>
                <w:szCs w:val="21"/>
              </w:rPr>
            </w:pPr>
            <w:r>
              <w:rPr>
                <w:rFonts w:ascii="Arial Narrow"/>
                <w:w w:val="100"/>
                <w:sz w:val="21"/>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8"/>
              <w:jc w:val="right"/>
              <w:rPr>
                <w:rFonts w:ascii="Arial Narrow" w:hAnsi="Arial Narrow" w:cs="Arial Narrow" w:eastAsia="Arial Narrow" w:hint="default"/>
                <w:sz w:val="21"/>
                <w:szCs w:val="21"/>
              </w:rPr>
            </w:pPr>
            <w:r>
              <w:rPr>
                <w:rFonts w:ascii="Arial Narrow"/>
                <w:spacing w:val="-1"/>
                <w:sz w:val="21"/>
              </w:rPr>
              <w:t>5,247.50</w:t>
            </w:r>
          </w:p>
        </w:tc>
        <w:tc>
          <w:tcPr>
            <w:tcW w:w="708" w:type="dxa"/>
            <w:tcBorders>
              <w:top w:val="single" w:sz="4" w:space="0" w:color="000000"/>
              <w:left w:val="single" w:sz="4" w:space="0" w:color="000000"/>
              <w:bottom w:val="single" w:sz="4" w:space="0" w:color="000000"/>
              <w:right w:val="single" w:sz="4" w:space="0" w:color="000000"/>
            </w:tcBorders>
          </w:tcPr>
          <w:p>
            <w:pPr/>
          </w:p>
        </w:tc>
      </w:tr>
    </w:tbl>
    <w:p>
      <w:pPr>
        <w:pStyle w:val="Heading3"/>
        <w:spacing w:line="240" w:lineRule="auto" w:before="82"/>
        <w:ind w:left="1238" w:right="705"/>
        <w:jc w:val="left"/>
      </w:pPr>
      <w:r>
        <w:rPr/>
        <w:t>注</w:t>
      </w:r>
      <w:r>
        <w:rPr>
          <w:spacing w:val="-60"/>
        </w:rPr>
        <w:t> </w:t>
      </w:r>
      <w:r>
        <w:rPr>
          <w:rFonts w:ascii="宋体" w:hAnsi="宋体" w:cs="宋体" w:eastAsia="宋体" w:hint="default"/>
        </w:rPr>
        <w:t>1</w:t>
      </w:r>
      <w:r>
        <w:rPr/>
        <w:t>：任期至公司</w:t>
      </w:r>
      <w:r>
        <w:rPr>
          <w:spacing w:val="-60"/>
        </w:rPr>
        <w:t> </w:t>
      </w:r>
      <w:r>
        <w:rPr>
          <w:rFonts w:ascii="宋体" w:hAnsi="宋体" w:cs="宋体" w:eastAsia="宋体" w:hint="default"/>
        </w:rPr>
        <w:t>2013</w:t>
      </w:r>
      <w:r>
        <w:rPr>
          <w:rFonts w:ascii="宋体" w:hAnsi="宋体" w:cs="宋体" w:eastAsia="宋体" w:hint="default"/>
          <w:spacing w:val="-60"/>
        </w:rPr>
        <w:t> </w:t>
      </w:r>
      <w:r>
        <w:rPr/>
        <w:t>年年度股东大会选举出新一届董事会、监事会之日止。</w:t>
      </w:r>
    </w:p>
    <w:p>
      <w:pPr>
        <w:pStyle w:val="Heading3"/>
        <w:spacing w:line="300" w:lineRule="auto" w:before="194"/>
        <w:ind w:left="758" w:right="705" w:firstLine="480"/>
        <w:jc w:val="left"/>
      </w:pPr>
      <w:r>
        <w:rPr/>
        <w:t>注</w:t>
      </w:r>
      <w:r>
        <w:rPr>
          <w:spacing w:val="-59"/>
        </w:rPr>
        <w:t> </w:t>
      </w:r>
      <w:r>
        <w:rPr>
          <w:rFonts w:ascii="宋体" w:hAnsi="宋体" w:cs="宋体" w:eastAsia="宋体" w:hint="default"/>
        </w:rPr>
        <w:t>2</w:t>
      </w:r>
      <w:r>
        <w:rPr/>
        <w:t>：任期至公司</w:t>
      </w:r>
      <w:r>
        <w:rPr>
          <w:spacing w:val="-59"/>
        </w:rPr>
        <w:t> </w:t>
      </w:r>
      <w:r>
        <w:rPr>
          <w:rFonts w:ascii="宋体" w:hAnsi="宋体" w:cs="宋体" w:eastAsia="宋体" w:hint="default"/>
        </w:rPr>
        <w:t>2013</w:t>
      </w:r>
      <w:r>
        <w:rPr>
          <w:rFonts w:ascii="宋体" w:hAnsi="宋体" w:cs="宋体" w:eastAsia="宋体" w:hint="default"/>
          <w:spacing w:val="-59"/>
        </w:rPr>
        <w:t> </w:t>
      </w:r>
      <w:r>
        <w:rPr/>
        <w:t>年年度股东大会选举出的新一届董事会聘任公司高级管理人 员之日止。</w:t>
      </w:r>
    </w:p>
    <w:p>
      <w:pPr>
        <w:pStyle w:val="Heading3"/>
        <w:spacing w:line="240" w:lineRule="auto" w:before="134"/>
        <w:ind w:left="1238" w:right="705"/>
        <w:jc w:val="left"/>
      </w:pPr>
      <w:r>
        <w:rPr/>
        <w:t>注</w:t>
      </w:r>
      <w:r>
        <w:rPr>
          <w:spacing w:val="-60"/>
        </w:rPr>
        <w:t> </w:t>
      </w:r>
      <w:r>
        <w:rPr>
          <w:rFonts w:ascii="宋体" w:hAnsi="宋体" w:cs="宋体" w:eastAsia="宋体" w:hint="default"/>
        </w:rPr>
        <w:t>3</w:t>
      </w:r>
      <w:r>
        <w:rPr/>
        <w:t>：截至报告期末，不再担任公司高级管理人员。</w:t>
      </w:r>
    </w:p>
    <w:p>
      <w:pPr>
        <w:pStyle w:val="Heading3"/>
        <w:spacing w:line="297" w:lineRule="auto" w:before="194"/>
        <w:ind w:left="758" w:right="588" w:firstLine="480"/>
        <w:jc w:val="left"/>
      </w:pPr>
      <w:r>
        <w:rPr/>
        <w:t>注</w:t>
      </w:r>
      <w:r>
        <w:rPr>
          <w:spacing w:val="-60"/>
        </w:rPr>
        <w:t> </w:t>
      </w:r>
      <w:r>
        <w:rPr>
          <w:rFonts w:ascii="宋体" w:hAnsi="宋体" w:cs="宋体" w:eastAsia="宋体" w:hint="default"/>
          <w:spacing w:val="-40"/>
        </w:rPr>
        <w:t>4</w:t>
      </w:r>
      <w:r>
        <w:rPr>
          <w:spacing w:val="-40"/>
        </w:rPr>
        <w:t>：经</w:t>
      </w:r>
      <w:r>
        <w:rPr>
          <w:spacing w:val="-60"/>
        </w:rPr>
        <w:t> </w:t>
      </w:r>
      <w:r>
        <w:rPr>
          <w:rFonts w:ascii="宋体" w:hAnsi="宋体" w:cs="宋体" w:eastAsia="宋体" w:hint="default"/>
        </w:rPr>
        <w:t>2013</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18</w:t>
      </w:r>
      <w:r>
        <w:rPr>
          <w:rFonts w:ascii="宋体" w:hAnsi="宋体" w:cs="宋体" w:eastAsia="宋体" w:hint="default"/>
          <w:spacing w:val="-60"/>
        </w:rPr>
        <w:t> </w:t>
      </w:r>
      <w:r>
        <w:rPr/>
        <w:t>日召开的公司第五届董事会</w:t>
      </w:r>
      <w:r>
        <w:rPr>
          <w:spacing w:val="-60"/>
        </w:rPr>
        <w:t> </w:t>
      </w:r>
      <w:r>
        <w:rPr>
          <w:rFonts w:ascii="宋体" w:hAnsi="宋体" w:cs="宋体" w:eastAsia="宋体" w:hint="default"/>
        </w:rPr>
        <w:t>2013</w:t>
      </w:r>
      <w:r>
        <w:rPr>
          <w:rFonts w:ascii="宋体" w:hAnsi="宋体" w:cs="宋体" w:eastAsia="宋体" w:hint="default"/>
          <w:spacing w:val="-60"/>
        </w:rPr>
        <w:t> </w:t>
      </w:r>
      <w:r>
        <w:rPr>
          <w:spacing w:val="-10"/>
        </w:rPr>
        <w:t>年第四次会议审议通过《公</w:t>
      </w:r>
      <w:r>
        <w:rPr/>
        <w:t> </w:t>
      </w:r>
      <w:r>
        <w:rPr>
          <w:spacing w:val="-2"/>
        </w:rPr>
        <w:t>司关于聘任高级管理人员的议案》，经公司总裁提名，聘任向奇汉先生为公司执行总裁，</w:t>
      </w:r>
      <w:r>
        <w:rPr>
          <w:spacing w:val="-100"/>
        </w:rPr>
        <w:t> </w:t>
      </w:r>
      <w:r>
        <w:rPr>
          <w:spacing w:val="-100"/>
        </w:rPr>
      </w:r>
      <w:r>
        <w:rPr/>
        <w:t>不再担任公司执行副总裁；聘任严绍业先生、邹丹女士为公司高级副总裁，任期至公司</w:t>
      </w:r>
      <w:r>
        <w:rPr>
          <w:spacing w:val="-65"/>
        </w:rPr>
        <w:t> </w:t>
      </w:r>
      <w:r>
        <w:rPr>
          <w:spacing w:val="-65"/>
        </w:rPr>
      </w:r>
      <w:r>
        <w:rPr>
          <w:rFonts w:ascii="宋体" w:hAnsi="宋体" w:cs="宋体" w:eastAsia="宋体" w:hint="default"/>
        </w:rPr>
        <w:t>2013</w:t>
      </w:r>
      <w:r>
        <w:rPr>
          <w:rFonts w:ascii="宋体" w:hAnsi="宋体" w:cs="宋体" w:eastAsia="宋体" w:hint="default"/>
          <w:spacing w:val="-56"/>
        </w:rPr>
        <w:t> </w:t>
      </w:r>
      <w:r>
        <w:rPr/>
        <w:t>年年度股东大会选举出的新一届董事会聘任公司高级管理人员之日止；卢刚先生不 再担任公司高级副总裁，继续担任公司</w:t>
      </w:r>
      <w:r>
        <w:rPr>
          <w:spacing w:val="-60"/>
        </w:rPr>
        <w:t> </w:t>
      </w:r>
      <w:r>
        <w:rPr>
          <w:rFonts w:ascii="宋体" w:hAnsi="宋体" w:cs="宋体" w:eastAsia="宋体" w:hint="default"/>
        </w:rPr>
        <w:t>ERP</w:t>
      </w:r>
      <w:r>
        <w:rPr>
          <w:rFonts w:ascii="宋体" w:hAnsi="宋体" w:cs="宋体" w:eastAsia="宋体" w:hint="default"/>
          <w:spacing w:val="-60"/>
        </w:rPr>
        <w:t> </w:t>
      </w:r>
      <w:r>
        <w:rPr/>
        <w:t>首席顾问。</w:t>
      </w:r>
    </w:p>
    <w:p>
      <w:pPr>
        <w:pStyle w:val="Heading3"/>
        <w:spacing w:line="297" w:lineRule="auto"/>
        <w:ind w:left="758" w:right="588" w:firstLine="480"/>
        <w:jc w:val="left"/>
      </w:pPr>
      <w:r>
        <w:rPr/>
        <w:t>注</w:t>
      </w:r>
      <w:r>
        <w:rPr>
          <w:spacing w:val="-58"/>
        </w:rPr>
        <w:t> </w:t>
      </w:r>
      <w:r>
        <w:rPr>
          <w:rFonts w:ascii="宋体" w:hAnsi="宋体" w:cs="宋体" w:eastAsia="宋体" w:hint="default"/>
        </w:rPr>
        <w:t>5</w:t>
      </w:r>
      <w:r>
        <w:rPr/>
        <w:t>：报告期内，公司董事、监事和高级管理人员领取的报酬包括</w:t>
      </w:r>
      <w:r>
        <w:rPr>
          <w:spacing w:val="-58"/>
        </w:rPr>
        <w:t> </w:t>
      </w:r>
      <w:r>
        <w:rPr>
          <w:rFonts w:ascii="宋体" w:hAnsi="宋体" w:cs="宋体" w:eastAsia="宋体" w:hint="default"/>
        </w:rPr>
        <w:t>2011</w:t>
      </w:r>
      <w:r>
        <w:rPr>
          <w:rFonts w:ascii="宋体" w:hAnsi="宋体" w:cs="宋体" w:eastAsia="宋体" w:hint="default"/>
          <w:spacing w:val="-58"/>
        </w:rPr>
        <w:t> </w:t>
      </w:r>
      <w:r>
        <w:rPr/>
        <w:t>年度绩效奖 金和</w:t>
      </w:r>
      <w:r>
        <w:rPr>
          <w:spacing w:val="-60"/>
        </w:rPr>
        <w:t> </w:t>
      </w:r>
      <w:r>
        <w:rPr>
          <w:rFonts w:ascii="宋体" w:hAnsi="宋体" w:cs="宋体" w:eastAsia="宋体" w:hint="default"/>
        </w:rPr>
        <w:t>2012</w:t>
      </w:r>
      <w:r>
        <w:rPr>
          <w:rFonts w:ascii="宋体" w:hAnsi="宋体" w:cs="宋体" w:eastAsia="宋体" w:hint="default"/>
          <w:spacing w:val="-60"/>
        </w:rPr>
        <w:t> </w:t>
      </w:r>
      <w:r>
        <w:rPr/>
        <w:t>年度工资与各项补贴两部分。</w:t>
      </w:r>
      <w:r>
        <w:rPr>
          <w:rFonts w:ascii="宋体" w:hAnsi="宋体" w:cs="宋体" w:eastAsia="宋体" w:hint="default"/>
        </w:rPr>
        <w:t>2012</w:t>
      </w:r>
      <w:r>
        <w:rPr>
          <w:rFonts w:ascii="宋体" w:hAnsi="宋体" w:cs="宋体" w:eastAsia="宋体" w:hint="default"/>
          <w:spacing w:val="-60"/>
        </w:rPr>
        <w:t> </w:t>
      </w:r>
      <w:r>
        <w:rPr/>
        <w:t>年度公司部分高级管理人员报酬数额较高，</w:t>
      </w:r>
    </w:p>
    <w:p>
      <w:pPr>
        <w:spacing w:after="0" w:line="297" w:lineRule="auto"/>
        <w:jc w:val="left"/>
        <w:sectPr>
          <w:pgSz w:w="11910" w:h="16850"/>
          <w:pgMar w:header="752" w:footer="730" w:top="1020" w:bottom="920" w:left="660" w:right="580"/>
        </w:sectPr>
      </w:pPr>
    </w:p>
    <w:p>
      <w:pPr>
        <w:spacing w:line="240" w:lineRule="auto" w:before="9"/>
        <w:rPr>
          <w:rFonts w:ascii="宋体" w:hAnsi="宋体" w:cs="宋体" w:eastAsia="宋体" w:hint="default"/>
          <w:sz w:val="26"/>
          <w:szCs w:val="26"/>
        </w:rPr>
      </w:pPr>
    </w:p>
    <w:p>
      <w:pPr>
        <w:pStyle w:val="Heading3"/>
        <w:spacing w:line="297" w:lineRule="auto" w:before="26"/>
        <w:ind w:left="538" w:right="202"/>
        <w:jc w:val="left"/>
      </w:pPr>
      <w:r>
        <w:rPr/>
        <w:t>是因为其所在机构</w:t>
      </w:r>
      <w:r>
        <w:rPr>
          <w:spacing w:val="-87"/>
        </w:rPr>
        <w:t> </w:t>
      </w:r>
      <w:r>
        <w:rPr>
          <w:rFonts w:ascii="宋体" w:hAnsi="宋体" w:cs="宋体" w:eastAsia="宋体" w:hint="default"/>
        </w:rPr>
        <w:t>2011</w:t>
      </w:r>
      <w:r>
        <w:rPr>
          <w:rFonts w:ascii="宋体" w:hAnsi="宋体" w:cs="宋体" w:eastAsia="宋体" w:hint="default"/>
          <w:spacing w:val="-87"/>
        </w:rPr>
        <w:t> </w:t>
      </w:r>
      <w:r>
        <w:rPr/>
        <w:t>年度业绩优秀，按公司绩效考核与薪酬制度计发的绩效奖金较高 所致。</w:t>
      </w:r>
    </w:p>
    <w:p>
      <w:pPr>
        <w:pStyle w:val="Heading2"/>
        <w:spacing w:line="240" w:lineRule="auto" w:before="137"/>
        <w:ind w:left="1020" w:right="202"/>
        <w:jc w:val="left"/>
        <w:rPr>
          <w:b w:val="0"/>
          <w:bCs w:val="0"/>
        </w:rPr>
      </w:pPr>
      <w:r>
        <w:rPr/>
        <w:t>（二）董事、监事、高级管理人员报告期内被授予的股权激励情况</w:t>
      </w:r>
      <w:r>
        <w:rPr>
          <w:b w:val="0"/>
          <w:bCs w:val="0"/>
        </w:rPr>
      </w:r>
    </w:p>
    <w:p>
      <w:pPr>
        <w:spacing w:line="240" w:lineRule="auto" w:before="10"/>
        <w:rPr>
          <w:rFonts w:ascii="宋体" w:hAnsi="宋体" w:cs="宋体" w:eastAsia="宋体" w:hint="default"/>
          <w:b/>
          <w:bCs/>
          <w:sz w:val="17"/>
          <w:szCs w:val="17"/>
        </w:rPr>
      </w:pPr>
    </w:p>
    <w:tbl>
      <w:tblPr>
        <w:tblW w:w="0" w:type="auto"/>
        <w:jc w:val="left"/>
        <w:tblInd w:w="106" w:type="dxa"/>
        <w:tblLayout w:type="fixed"/>
        <w:tblCellMar>
          <w:top w:w="0" w:type="dxa"/>
          <w:left w:w="0" w:type="dxa"/>
          <w:bottom w:w="0" w:type="dxa"/>
          <w:right w:w="0" w:type="dxa"/>
        </w:tblCellMar>
        <w:tblLook w:val="01E0"/>
      </w:tblPr>
      <w:tblGrid>
        <w:gridCol w:w="1092"/>
        <w:gridCol w:w="1493"/>
        <w:gridCol w:w="1253"/>
        <w:gridCol w:w="1217"/>
        <w:gridCol w:w="1186"/>
        <w:gridCol w:w="818"/>
        <w:gridCol w:w="1085"/>
        <w:gridCol w:w="1438"/>
      </w:tblGrid>
      <w:tr>
        <w:trPr>
          <w:trHeight w:val="1644"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left="328"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9"/>
                <w:szCs w:val="29"/>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职务</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8"/>
                <w:szCs w:val="28"/>
              </w:rPr>
            </w:pPr>
          </w:p>
          <w:p>
            <w:pPr>
              <w:pStyle w:val="TableParagraph"/>
              <w:spacing w:line="237" w:lineRule="auto"/>
              <w:ind w:left="201" w:right="198"/>
              <w:jc w:val="center"/>
              <w:rPr>
                <w:rFonts w:ascii="宋体" w:hAnsi="宋体" w:cs="宋体" w:eastAsia="宋体" w:hint="default"/>
                <w:sz w:val="21"/>
                <w:szCs w:val="21"/>
              </w:rPr>
            </w:pPr>
            <w:r>
              <w:rPr>
                <w:rFonts w:ascii="宋体" w:hAnsi="宋体" w:cs="宋体" w:eastAsia="宋体" w:hint="default"/>
                <w:sz w:val="21"/>
                <w:szCs w:val="21"/>
              </w:rPr>
              <w:t>年初持有</w:t>
            </w:r>
            <w:r>
              <w:rPr>
                <w:rFonts w:ascii="宋体" w:hAnsi="宋体" w:cs="宋体" w:eastAsia="宋体" w:hint="default"/>
                <w:w w:val="100"/>
                <w:sz w:val="21"/>
                <w:szCs w:val="21"/>
              </w:rPr>
              <w:t> </w:t>
            </w:r>
            <w:r>
              <w:rPr>
                <w:rFonts w:ascii="宋体" w:hAnsi="宋体" w:cs="宋体" w:eastAsia="宋体" w:hint="default"/>
                <w:sz w:val="21"/>
                <w:szCs w:val="21"/>
              </w:rPr>
              <w:t>股票期权</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37" w:lineRule="auto"/>
              <w:ind w:left="182" w:right="179"/>
              <w:jc w:val="both"/>
              <w:rPr>
                <w:rFonts w:ascii="宋体" w:hAnsi="宋体" w:cs="宋体" w:eastAsia="宋体" w:hint="default"/>
                <w:sz w:val="21"/>
                <w:szCs w:val="21"/>
              </w:rPr>
            </w:pPr>
            <w:r>
              <w:rPr>
                <w:rFonts w:ascii="宋体" w:hAnsi="宋体" w:cs="宋体" w:eastAsia="宋体" w:hint="default"/>
                <w:sz w:val="21"/>
                <w:szCs w:val="21"/>
              </w:rPr>
              <w:t>报告期新</w:t>
            </w:r>
            <w:r>
              <w:rPr>
                <w:rFonts w:ascii="宋体" w:hAnsi="宋体" w:cs="宋体" w:eastAsia="宋体" w:hint="default"/>
                <w:w w:val="100"/>
                <w:sz w:val="21"/>
                <w:szCs w:val="21"/>
              </w:rPr>
              <w:t> </w:t>
            </w:r>
            <w:r>
              <w:rPr>
                <w:rFonts w:ascii="宋体" w:hAnsi="宋体" w:cs="宋体" w:eastAsia="宋体" w:hint="default"/>
                <w:sz w:val="21"/>
                <w:szCs w:val="21"/>
              </w:rPr>
              <w:t>授予股票</w:t>
            </w:r>
            <w:r>
              <w:rPr>
                <w:rFonts w:ascii="宋体" w:hAnsi="宋体" w:cs="宋体" w:eastAsia="宋体" w:hint="default"/>
                <w:w w:val="100"/>
                <w:sz w:val="21"/>
                <w:szCs w:val="21"/>
              </w:rPr>
              <w:t> </w:t>
            </w:r>
            <w:r>
              <w:rPr>
                <w:rFonts w:ascii="宋体" w:hAnsi="宋体" w:cs="宋体" w:eastAsia="宋体" w:hint="default"/>
                <w:sz w:val="21"/>
                <w:szCs w:val="21"/>
              </w:rPr>
              <w:t>期权数量</w:t>
            </w:r>
          </w:p>
          <w:p>
            <w:pPr>
              <w:pStyle w:val="TableParagraph"/>
              <w:spacing w:line="271" w:lineRule="exact"/>
              <w:ind w:left="209" w:right="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8"/>
                <w:szCs w:val="28"/>
              </w:rPr>
            </w:pPr>
          </w:p>
          <w:p>
            <w:pPr>
              <w:pStyle w:val="TableParagraph"/>
              <w:spacing w:line="237" w:lineRule="auto"/>
              <w:ind w:left="166" w:right="165"/>
              <w:jc w:val="center"/>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w w:val="100"/>
                <w:sz w:val="21"/>
                <w:szCs w:val="21"/>
              </w:rPr>
              <w:t> </w:t>
            </w:r>
            <w:r>
              <w:rPr>
                <w:rFonts w:ascii="宋体" w:hAnsi="宋体" w:cs="宋体" w:eastAsia="宋体" w:hint="default"/>
                <w:sz w:val="21"/>
                <w:szCs w:val="21"/>
              </w:rPr>
              <w:t>可行权股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2" w:right="0"/>
              <w:jc w:val="both"/>
              <w:rPr>
                <w:rFonts w:ascii="宋体" w:hAnsi="宋体" w:cs="宋体" w:eastAsia="宋体" w:hint="default"/>
                <w:sz w:val="21"/>
                <w:szCs w:val="21"/>
              </w:rPr>
            </w:pPr>
            <w:r>
              <w:rPr>
                <w:rFonts w:ascii="宋体" w:hAnsi="宋体" w:cs="宋体" w:eastAsia="宋体" w:hint="default"/>
                <w:sz w:val="21"/>
                <w:szCs w:val="21"/>
              </w:rPr>
              <w:t>报告</w:t>
            </w:r>
          </w:p>
          <w:p>
            <w:pPr>
              <w:pStyle w:val="TableParagraph"/>
              <w:spacing w:line="237" w:lineRule="auto" w:before="2"/>
              <w:ind w:left="192" w:right="191"/>
              <w:jc w:val="both"/>
              <w:rPr>
                <w:rFonts w:ascii="宋体" w:hAnsi="宋体" w:cs="宋体" w:eastAsia="宋体" w:hint="default"/>
                <w:sz w:val="21"/>
                <w:szCs w:val="21"/>
              </w:rPr>
            </w:pPr>
            <w:r>
              <w:rPr>
                <w:rFonts w:ascii="宋体" w:hAnsi="宋体" w:cs="宋体" w:eastAsia="宋体" w:hint="default"/>
                <w:sz w:val="21"/>
                <w:szCs w:val="21"/>
              </w:rPr>
              <w:t>期股</w:t>
            </w:r>
            <w:r>
              <w:rPr>
                <w:rFonts w:ascii="宋体" w:hAnsi="宋体" w:cs="宋体" w:eastAsia="宋体" w:hint="default"/>
                <w:spacing w:val="-103"/>
                <w:sz w:val="21"/>
                <w:szCs w:val="21"/>
              </w:rPr>
              <w:t> </w:t>
            </w:r>
            <w:r>
              <w:rPr>
                <w:rFonts w:ascii="宋体" w:hAnsi="宋体" w:cs="宋体" w:eastAsia="宋体" w:hint="default"/>
                <w:sz w:val="21"/>
                <w:szCs w:val="21"/>
              </w:rPr>
              <w:t>票期</w:t>
            </w:r>
            <w:r>
              <w:rPr>
                <w:rFonts w:ascii="宋体" w:hAnsi="宋体" w:cs="宋体" w:eastAsia="宋体" w:hint="default"/>
                <w:spacing w:val="-103"/>
                <w:sz w:val="21"/>
                <w:szCs w:val="21"/>
              </w:rPr>
              <w:t> </w:t>
            </w:r>
            <w:r>
              <w:rPr>
                <w:rFonts w:ascii="宋体" w:hAnsi="宋体" w:cs="宋体" w:eastAsia="宋体" w:hint="default"/>
                <w:sz w:val="21"/>
                <w:szCs w:val="21"/>
              </w:rPr>
              <w:t>权行</w:t>
            </w:r>
            <w:r>
              <w:rPr>
                <w:rFonts w:ascii="宋体" w:hAnsi="宋体" w:cs="宋体" w:eastAsia="宋体" w:hint="default"/>
                <w:spacing w:val="-103"/>
                <w:sz w:val="21"/>
                <w:szCs w:val="21"/>
              </w:rPr>
              <w:t> </w:t>
            </w:r>
            <w:r>
              <w:rPr>
                <w:rFonts w:ascii="宋体" w:hAnsi="宋体" w:cs="宋体" w:eastAsia="宋体" w:hint="default"/>
                <w:sz w:val="21"/>
                <w:szCs w:val="21"/>
              </w:rPr>
              <w:t>权数</w:t>
            </w:r>
            <w:r>
              <w:rPr>
                <w:rFonts w:ascii="宋体" w:hAnsi="宋体" w:cs="宋体" w:eastAsia="宋体" w:hint="default"/>
                <w:spacing w:val="-103"/>
                <w:sz w:val="21"/>
                <w:szCs w:val="21"/>
              </w:rPr>
              <w:t> </w:t>
            </w:r>
            <w:r>
              <w:rPr>
                <w:rFonts w:ascii="宋体" w:hAnsi="宋体" w:cs="宋体" w:eastAsia="宋体" w:hint="default"/>
                <w:sz w:val="21"/>
                <w:szCs w:val="21"/>
              </w:rPr>
              <w:t>量</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37" w:lineRule="auto"/>
              <w:ind w:left="115" w:right="114"/>
              <w:jc w:val="center"/>
              <w:rPr>
                <w:rFonts w:ascii="宋体" w:hAnsi="宋体" w:cs="宋体" w:eastAsia="宋体" w:hint="default"/>
                <w:sz w:val="21"/>
                <w:szCs w:val="21"/>
              </w:rPr>
            </w:pPr>
            <w:r>
              <w:rPr>
                <w:rFonts w:ascii="宋体" w:hAnsi="宋体" w:cs="宋体" w:eastAsia="宋体" w:hint="default"/>
                <w:sz w:val="21"/>
                <w:szCs w:val="21"/>
              </w:rPr>
              <w:t>股票期权</w:t>
            </w:r>
            <w:r>
              <w:rPr>
                <w:rFonts w:ascii="宋体" w:hAnsi="宋体" w:cs="宋体" w:eastAsia="宋体" w:hint="default"/>
                <w:w w:val="100"/>
                <w:sz w:val="21"/>
                <w:szCs w:val="21"/>
              </w:rPr>
              <w:t> </w:t>
            </w:r>
            <w:r>
              <w:rPr>
                <w:rFonts w:ascii="宋体" w:hAnsi="宋体" w:cs="宋体" w:eastAsia="宋体" w:hint="default"/>
                <w:sz w:val="21"/>
                <w:szCs w:val="21"/>
              </w:rPr>
              <w:t>行权价格</w:t>
            </w:r>
            <w:r>
              <w:rPr>
                <w:rFonts w:ascii="宋体" w:hAnsi="宋体" w:cs="宋体" w:eastAsia="宋体" w:hint="default"/>
                <w:w w:val="100"/>
                <w:sz w:val="21"/>
                <w:szCs w:val="21"/>
              </w:rPr>
              <w:t> </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p>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187" w:right="184"/>
              <w:jc w:val="left"/>
              <w:rPr>
                <w:rFonts w:ascii="宋体" w:hAnsi="宋体" w:cs="宋体" w:eastAsia="宋体" w:hint="default"/>
                <w:sz w:val="21"/>
                <w:szCs w:val="21"/>
              </w:rPr>
            </w:pPr>
            <w:r>
              <w:rPr>
                <w:rFonts w:ascii="宋体" w:hAnsi="宋体" w:cs="宋体" w:eastAsia="宋体" w:hint="default"/>
                <w:sz w:val="21"/>
                <w:szCs w:val="21"/>
              </w:rPr>
              <w:t>期末持有股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票期权数量</w:t>
            </w:r>
          </w:p>
        </w:tc>
      </w:tr>
      <w:tr>
        <w:trPr>
          <w:trHeight w:val="336"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23" w:right="0"/>
              <w:jc w:val="left"/>
              <w:rPr>
                <w:rFonts w:ascii="宋体" w:hAnsi="宋体" w:cs="宋体" w:eastAsia="宋体" w:hint="default"/>
                <w:sz w:val="21"/>
                <w:szCs w:val="21"/>
              </w:rPr>
            </w:pPr>
            <w:r>
              <w:rPr>
                <w:rFonts w:ascii="宋体" w:hAnsi="宋体" w:cs="宋体" w:eastAsia="宋体" w:hint="default"/>
                <w:sz w:val="21"/>
                <w:szCs w:val="21"/>
              </w:rPr>
              <w:t>向奇汉</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执行总裁</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120,000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24,000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z w:val="21"/>
              </w:rPr>
              <w:t>43,200</w:t>
            </w:r>
          </w:p>
        </w:tc>
        <w:tc>
          <w:tcPr>
            <w:tcW w:w="81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2"/>
              <w:jc w:val="center"/>
              <w:rPr>
                <w:rFonts w:ascii="宋体" w:hAnsi="宋体" w:cs="宋体" w:eastAsia="宋体" w:hint="default"/>
                <w:sz w:val="21"/>
                <w:szCs w:val="21"/>
              </w:rPr>
            </w:pPr>
            <w:r>
              <w:rPr>
                <w:rFonts w:ascii="宋体"/>
                <w:sz w:val="21"/>
              </w:rPr>
              <w:t>20.45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144,000</w:t>
            </w:r>
          </w:p>
        </w:tc>
      </w:tr>
      <w:tr>
        <w:trPr>
          <w:trHeight w:val="554"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3" w:right="0"/>
              <w:jc w:val="left"/>
              <w:rPr>
                <w:rFonts w:ascii="宋体" w:hAnsi="宋体" w:cs="宋体" w:eastAsia="宋体" w:hint="default"/>
                <w:sz w:val="21"/>
                <w:szCs w:val="21"/>
              </w:rPr>
            </w:pPr>
            <w:r>
              <w:rPr>
                <w:rFonts w:ascii="宋体" w:hAnsi="宋体" w:cs="宋体" w:eastAsia="宋体" w:hint="default"/>
                <w:sz w:val="21"/>
                <w:szCs w:val="21"/>
              </w:rPr>
              <w:t>章培林</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执行副总裁兼</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128,000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25,600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46,080</w:t>
            </w:r>
          </w:p>
        </w:tc>
        <w:tc>
          <w:tcPr>
            <w:tcW w:w="81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20.45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153,600</w:t>
            </w:r>
          </w:p>
        </w:tc>
      </w:tr>
      <w:tr>
        <w:trPr>
          <w:trHeight w:val="283"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8" w:right="0"/>
              <w:jc w:val="left"/>
              <w:rPr>
                <w:rFonts w:ascii="宋体" w:hAnsi="宋体" w:cs="宋体" w:eastAsia="宋体" w:hint="default"/>
                <w:sz w:val="21"/>
                <w:szCs w:val="21"/>
              </w:rPr>
            </w:pPr>
            <w:r>
              <w:rPr>
                <w:rFonts w:ascii="宋体" w:hAnsi="宋体" w:cs="宋体" w:eastAsia="宋体" w:hint="default"/>
                <w:sz w:val="21"/>
                <w:szCs w:val="21"/>
              </w:rPr>
              <w:t>吴健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高级副总裁</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24,000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43,200</w:t>
            </w:r>
          </w:p>
        </w:tc>
        <w:tc>
          <w:tcPr>
            <w:tcW w:w="81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20.45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144,000</w:t>
            </w:r>
          </w:p>
        </w:tc>
      </w:tr>
      <w:tr>
        <w:trPr>
          <w:trHeight w:val="281"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sz w:val="21"/>
                <w:szCs w:val="21"/>
              </w:rPr>
              <w:t>郑雨林</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高级副总裁</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36,000</w:t>
            </w:r>
          </w:p>
        </w:tc>
        <w:tc>
          <w:tcPr>
            <w:tcW w:w="81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20.45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120,000</w:t>
            </w:r>
          </w:p>
        </w:tc>
      </w:tr>
      <w:tr>
        <w:trPr>
          <w:trHeight w:val="283"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23" w:right="0"/>
              <w:jc w:val="left"/>
              <w:rPr>
                <w:rFonts w:ascii="宋体" w:hAnsi="宋体" w:cs="宋体" w:eastAsia="宋体" w:hint="default"/>
                <w:sz w:val="21"/>
                <w:szCs w:val="21"/>
              </w:rPr>
            </w:pPr>
            <w:r>
              <w:rPr>
                <w:rFonts w:ascii="宋体" w:hAnsi="宋体" w:cs="宋体" w:eastAsia="宋体" w:hint="default"/>
                <w:sz w:val="21"/>
                <w:szCs w:val="21"/>
              </w:rPr>
              <w:t>朱铁生</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高级副总裁</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110,000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22,000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39,600</w:t>
            </w:r>
          </w:p>
        </w:tc>
        <w:tc>
          <w:tcPr>
            <w:tcW w:w="81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sz w:val="21"/>
              </w:rPr>
              <w:t>20.45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132,000</w:t>
            </w:r>
          </w:p>
        </w:tc>
      </w:tr>
      <w:tr>
        <w:trPr>
          <w:trHeight w:val="554"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3" w:right="0"/>
              <w:jc w:val="left"/>
              <w:rPr>
                <w:rFonts w:ascii="宋体" w:hAnsi="宋体" w:cs="宋体" w:eastAsia="宋体" w:hint="default"/>
                <w:sz w:val="21"/>
                <w:szCs w:val="21"/>
              </w:rPr>
            </w:pPr>
            <w:r>
              <w:rPr>
                <w:rFonts w:ascii="宋体" w:hAnsi="宋体" w:cs="宋体" w:eastAsia="宋体" w:hint="default"/>
                <w:sz w:val="21"/>
                <w:szCs w:val="21"/>
              </w:rPr>
              <w:t>欧阳青</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高级副总裁兼</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pacing w:val="-1"/>
                <w:sz w:val="21"/>
              </w:rPr>
              <w:t>100,000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8"/>
              <w:jc w:val="right"/>
              <w:rPr>
                <w:rFonts w:ascii="宋体" w:hAnsi="宋体" w:cs="宋体" w:eastAsia="宋体" w:hint="default"/>
                <w:sz w:val="21"/>
                <w:szCs w:val="21"/>
              </w:rPr>
            </w:pPr>
            <w:r>
              <w:rPr>
                <w:rFonts w:ascii="宋体"/>
                <w:sz w:val="21"/>
              </w:rPr>
              <w:t>20,000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z w:val="21"/>
              </w:rPr>
              <w:t>36,000</w:t>
            </w:r>
          </w:p>
        </w:tc>
        <w:tc>
          <w:tcPr>
            <w:tcW w:w="81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sz w:val="21"/>
              </w:rPr>
              <w:t>20.45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宋体" w:hAnsi="宋体" w:cs="宋体" w:eastAsia="宋体" w:hint="default"/>
                <w:sz w:val="21"/>
                <w:szCs w:val="21"/>
              </w:rPr>
            </w:pPr>
            <w:r>
              <w:rPr>
                <w:rFonts w:ascii="宋体"/>
                <w:spacing w:val="-1"/>
                <w:sz w:val="21"/>
              </w:rPr>
              <w:t>120,000</w:t>
            </w:r>
          </w:p>
        </w:tc>
      </w:tr>
      <w:tr>
        <w:trPr>
          <w:trHeight w:val="283"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陈巧红</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高级副总裁</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36,000</w:t>
            </w:r>
          </w:p>
        </w:tc>
        <w:tc>
          <w:tcPr>
            <w:tcW w:w="81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20.45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120,000</w:t>
            </w:r>
          </w:p>
        </w:tc>
      </w:tr>
      <w:tr>
        <w:trPr>
          <w:trHeight w:val="281"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8" w:right="0"/>
              <w:jc w:val="left"/>
              <w:rPr>
                <w:rFonts w:ascii="宋体" w:hAnsi="宋体" w:cs="宋体" w:eastAsia="宋体" w:hint="default"/>
                <w:sz w:val="21"/>
                <w:szCs w:val="21"/>
              </w:rPr>
            </w:pPr>
            <w:r>
              <w:rPr>
                <w:rFonts w:ascii="宋体" w:hAnsi="宋体" w:cs="宋体" w:eastAsia="宋体" w:hint="default"/>
                <w:sz w:val="21"/>
                <w:szCs w:val="21"/>
              </w:rPr>
              <w:t>卢刚</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高级副总裁</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100,000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20,000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36,000</w:t>
            </w:r>
          </w:p>
        </w:tc>
        <w:tc>
          <w:tcPr>
            <w:tcW w:w="81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20.45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120,000</w:t>
            </w:r>
          </w:p>
        </w:tc>
      </w:tr>
      <w:tr>
        <w:trPr>
          <w:trHeight w:val="283"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hAnsi="宋体" w:cs="宋体" w:eastAsia="宋体" w:hint="default"/>
                <w:sz w:val="21"/>
                <w:szCs w:val="21"/>
              </w:rPr>
              <w:t>谢志华</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高级副总裁</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100,000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20,000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z w:val="21"/>
              </w:rPr>
              <w:t>36,000</w:t>
            </w:r>
          </w:p>
        </w:tc>
        <w:tc>
          <w:tcPr>
            <w:tcW w:w="81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center"/>
              <w:rPr>
                <w:rFonts w:ascii="宋体" w:hAnsi="宋体" w:cs="宋体" w:eastAsia="宋体" w:hint="default"/>
                <w:sz w:val="21"/>
                <w:szCs w:val="21"/>
              </w:rPr>
            </w:pPr>
            <w:r>
              <w:rPr>
                <w:rFonts w:ascii="宋体"/>
                <w:sz w:val="21"/>
              </w:rPr>
              <w:t>20.45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spacing w:val="-1"/>
                <w:sz w:val="21"/>
              </w:rPr>
              <w:t>120,000</w:t>
            </w:r>
          </w:p>
        </w:tc>
      </w:tr>
      <w:tr>
        <w:trPr>
          <w:trHeight w:val="283"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8" w:right="0"/>
              <w:jc w:val="left"/>
              <w:rPr>
                <w:rFonts w:ascii="宋体" w:hAnsi="宋体" w:cs="宋体" w:eastAsia="宋体" w:hint="default"/>
                <w:sz w:val="21"/>
                <w:szCs w:val="21"/>
              </w:rPr>
            </w:pPr>
            <w:r>
              <w:rPr>
                <w:rFonts w:ascii="宋体" w:hAnsi="宋体" w:cs="宋体" w:eastAsia="宋体" w:hint="default"/>
                <w:sz w:val="21"/>
                <w:szCs w:val="21"/>
              </w:rPr>
              <w:t>胡彬</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高级副总裁</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90,000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18,000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32,400</w:t>
            </w:r>
          </w:p>
        </w:tc>
        <w:tc>
          <w:tcPr>
            <w:tcW w:w="81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20.45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108,000</w:t>
            </w:r>
          </w:p>
        </w:tc>
      </w:tr>
      <w:tr>
        <w:trPr>
          <w:trHeight w:val="281"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李宏伟</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高级副总裁</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88,000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17,600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31,680</w:t>
            </w:r>
          </w:p>
        </w:tc>
        <w:tc>
          <w:tcPr>
            <w:tcW w:w="81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20.45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105,600</w:t>
            </w:r>
          </w:p>
        </w:tc>
      </w:tr>
      <w:tr>
        <w:trPr>
          <w:trHeight w:val="283"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徐宝东</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高级副总裁</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88,000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17,600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31,680</w:t>
            </w:r>
          </w:p>
        </w:tc>
        <w:tc>
          <w:tcPr>
            <w:tcW w:w="81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20.45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105,600</w:t>
            </w:r>
          </w:p>
        </w:tc>
      </w:tr>
      <w:tr>
        <w:trPr>
          <w:trHeight w:val="283"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杨晓柏</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高级副总裁</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88,000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17,600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31,680</w:t>
            </w:r>
          </w:p>
        </w:tc>
        <w:tc>
          <w:tcPr>
            <w:tcW w:w="81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20.45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105,600</w:t>
            </w:r>
          </w:p>
        </w:tc>
      </w:tr>
      <w:tr>
        <w:trPr>
          <w:trHeight w:val="281"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3" w:right="0"/>
              <w:jc w:val="left"/>
              <w:rPr>
                <w:rFonts w:ascii="宋体" w:hAnsi="宋体" w:cs="宋体" w:eastAsia="宋体" w:hint="default"/>
                <w:sz w:val="21"/>
                <w:szCs w:val="21"/>
              </w:rPr>
            </w:pPr>
            <w:r>
              <w:rPr>
                <w:rFonts w:ascii="宋体" w:hAnsi="宋体" w:cs="宋体" w:eastAsia="宋体" w:hint="default"/>
                <w:sz w:val="21"/>
                <w:szCs w:val="21"/>
              </w:rPr>
              <w:t>牛立伟</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高级副总裁</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88,000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17,600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31,680</w:t>
            </w:r>
          </w:p>
        </w:tc>
        <w:tc>
          <w:tcPr>
            <w:tcW w:w="81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20.45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105,600</w:t>
            </w:r>
          </w:p>
        </w:tc>
      </w:tr>
      <w:tr>
        <w:trPr>
          <w:trHeight w:val="283"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1,420,000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284,000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511,200</w:t>
            </w:r>
          </w:p>
        </w:tc>
        <w:tc>
          <w:tcPr>
            <w:tcW w:w="818"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w w:val="100"/>
                <w:sz w:val="21"/>
              </w:rPr>
              <w:t>/</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1,704,000</w:t>
            </w:r>
          </w:p>
        </w:tc>
      </w:tr>
    </w:tbl>
    <w:p>
      <w:pPr>
        <w:pStyle w:val="Heading3"/>
        <w:spacing w:line="297" w:lineRule="auto" w:before="82"/>
        <w:ind w:left="538" w:right="218" w:firstLine="470"/>
        <w:jc w:val="left"/>
      </w:pPr>
      <w:r>
        <w:rPr/>
        <w:t>注</w:t>
      </w:r>
      <w:r>
        <w:rPr>
          <w:spacing w:val="-60"/>
        </w:rPr>
        <w:t> </w:t>
      </w:r>
      <w:r>
        <w:rPr>
          <w:rFonts w:ascii="宋体" w:hAnsi="宋体" w:cs="宋体" w:eastAsia="宋体" w:hint="default"/>
        </w:rPr>
        <w:t>1</w:t>
      </w:r>
      <w:r>
        <w:rPr/>
        <w:t>：根据</w:t>
      </w:r>
      <w:r>
        <w:rPr>
          <w:spacing w:val="-60"/>
        </w:rPr>
        <w:t> </w:t>
      </w:r>
      <w:r>
        <w:rPr>
          <w:rFonts w:ascii="宋体" w:hAnsi="宋体" w:cs="宋体" w:eastAsia="宋体" w:hint="default"/>
        </w:rPr>
        <w:t>2011</w:t>
      </w:r>
      <w:r>
        <w:rPr>
          <w:rFonts w:ascii="宋体" w:hAnsi="宋体" w:cs="宋体" w:eastAsia="宋体" w:hint="default"/>
          <w:spacing w:val="-60"/>
        </w:rPr>
        <w:t> </w:t>
      </w:r>
      <w:r>
        <w:rPr/>
        <w:t>年度资本公积转增股本方案，对股票期权数量进行相应调整，相关 调整需要经公司董事会审批；</w:t>
      </w:r>
    </w:p>
    <w:p>
      <w:pPr>
        <w:pStyle w:val="Heading3"/>
        <w:spacing w:line="297" w:lineRule="auto"/>
        <w:ind w:left="538" w:right="203" w:firstLine="470"/>
        <w:jc w:val="left"/>
      </w:pPr>
      <w:r>
        <w:rPr/>
        <w:t>注</w:t>
      </w:r>
      <w:r>
        <w:rPr>
          <w:spacing w:val="-62"/>
        </w:rPr>
        <w:t> </w:t>
      </w:r>
      <w:r>
        <w:rPr>
          <w:rFonts w:ascii="宋体" w:hAnsi="宋体" w:cs="宋体" w:eastAsia="宋体" w:hint="default"/>
          <w:spacing w:val="-4"/>
        </w:rPr>
        <w:t>2</w:t>
      </w:r>
      <w:r>
        <w:rPr>
          <w:spacing w:val="-4"/>
        </w:rPr>
        <w:t>：根据</w:t>
      </w:r>
      <w:r>
        <w:rPr>
          <w:spacing w:val="-62"/>
        </w:rPr>
        <w:t> </w:t>
      </w:r>
      <w:r>
        <w:rPr>
          <w:rFonts w:ascii="宋体" w:hAnsi="宋体" w:cs="宋体" w:eastAsia="宋体" w:hint="default"/>
        </w:rPr>
        <w:t>2010</w:t>
      </w:r>
      <w:r>
        <w:rPr>
          <w:rFonts w:ascii="宋体" w:hAnsi="宋体" w:cs="宋体" w:eastAsia="宋体" w:hint="default"/>
          <w:spacing w:val="-62"/>
        </w:rPr>
        <w:t> </w:t>
      </w:r>
      <w:r>
        <w:rPr>
          <w:spacing w:val="-3"/>
        </w:rPr>
        <w:t>年度、</w:t>
      </w:r>
      <w:r>
        <w:rPr>
          <w:rFonts w:ascii="宋体" w:hAnsi="宋体" w:cs="宋体" w:eastAsia="宋体" w:hint="default"/>
          <w:spacing w:val="-3"/>
        </w:rPr>
        <w:t>2011</w:t>
      </w:r>
      <w:r>
        <w:rPr>
          <w:rFonts w:ascii="宋体" w:hAnsi="宋体" w:cs="宋体" w:eastAsia="宋体" w:hint="default"/>
          <w:spacing w:val="-62"/>
        </w:rPr>
        <w:t> </w:t>
      </w:r>
      <w:r>
        <w:rPr/>
        <w:t>年度现金股利分配和资本公积转增股本方案，相应调整 行权价格，相关调整需经公司董事会审批。</w:t>
      </w:r>
    </w:p>
    <w:p>
      <w:pPr>
        <w:pStyle w:val="Heading2"/>
        <w:spacing w:line="240" w:lineRule="auto" w:before="139"/>
        <w:ind w:left="538" w:right="202"/>
        <w:jc w:val="left"/>
        <w:rPr>
          <w:b w:val="0"/>
          <w:bCs w:val="0"/>
        </w:rPr>
      </w:pPr>
      <w:r>
        <w:rPr/>
        <w:t>二、现任及报告期内离任董事、监事和高级管理人员的任职情况</w:t>
      </w:r>
      <w:r>
        <w:rPr>
          <w:b w:val="0"/>
          <w:bCs w:val="0"/>
        </w:rPr>
      </w:r>
    </w:p>
    <w:p>
      <w:pPr>
        <w:pStyle w:val="Heading2"/>
        <w:spacing w:line="240" w:lineRule="auto" w:before="192"/>
        <w:ind w:left="1107" w:right="202"/>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3"/>
        </w:rPr>
        <w:t> </w:t>
      </w:r>
      <w:r>
        <w:rPr/>
        <w:t>董事、监事、高级管理人员最近</w:t>
      </w:r>
      <w:r>
        <w:rPr>
          <w:spacing w:val="-61"/>
        </w:rPr>
        <w:t> </w:t>
      </w:r>
      <w:r>
        <w:rPr>
          <w:rFonts w:ascii="宋体" w:hAnsi="宋体" w:cs="宋体" w:eastAsia="宋体" w:hint="default"/>
        </w:rPr>
        <w:t>5</w:t>
      </w:r>
      <w:r>
        <w:rPr>
          <w:rFonts w:ascii="宋体" w:hAnsi="宋体" w:cs="宋体" w:eastAsia="宋体" w:hint="default"/>
          <w:spacing w:val="-63"/>
        </w:rPr>
        <w:t> </w:t>
      </w:r>
      <w:r>
        <w:rPr/>
        <w:t>年的主要工作经历：</w:t>
      </w:r>
      <w:r>
        <w:rPr>
          <w:b w:val="0"/>
          <w:bCs w:val="0"/>
        </w:rPr>
      </w:r>
    </w:p>
    <w:p>
      <w:pPr>
        <w:pStyle w:val="Heading3"/>
        <w:spacing w:line="297" w:lineRule="auto" w:before="127"/>
        <w:ind w:left="538" w:right="218" w:firstLine="480"/>
        <w:jc w:val="both"/>
      </w:pPr>
      <w:r>
        <w:rPr>
          <w:spacing w:val="-4"/>
        </w:rPr>
        <w:t>（</w:t>
      </w:r>
      <w:r>
        <w:rPr>
          <w:rFonts w:ascii="宋体" w:hAnsi="宋体" w:cs="宋体" w:eastAsia="宋体" w:hint="default"/>
          <w:spacing w:val="-4"/>
        </w:rPr>
        <w:t>1</w:t>
      </w:r>
      <w:r>
        <w:rPr>
          <w:spacing w:val="-4"/>
        </w:rPr>
        <w:t>）董事长兼总裁王文京先生，</w:t>
      </w:r>
      <w:r>
        <w:rPr>
          <w:rFonts w:ascii="宋体" w:hAnsi="宋体" w:cs="宋体" w:eastAsia="宋体" w:hint="default"/>
          <w:spacing w:val="-4"/>
        </w:rPr>
        <w:t>1988</w:t>
      </w:r>
      <w:r>
        <w:rPr>
          <w:rFonts w:ascii="宋体" w:hAnsi="宋体" w:cs="宋体" w:eastAsia="宋体" w:hint="default"/>
          <w:spacing w:val="-43"/>
        </w:rPr>
        <w:t> </w:t>
      </w:r>
      <w:r>
        <w:rPr>
          <w:spacing w:val="-3"/>
        </w:rPr>
        <w:t>年创建用友公司，曾任公司董事长、总裁等职</w:t>
      </w:r>
      <w:r>
        <w:rPr/>
        <w:t> 务，目前还担任畅捷通信息技术股份有限公司董事长、北京用友政务软件有限公司董事</w:t>
      </w:r>
      <w:r>
        <w:rPr>
          <w:spacing w:val="-65"/>
        </w:rPr>
        <w:t> </w:t>
      </w:r>
      <w:r>
        <w:rPr>
          <w:spacing w:val="-65"/>
        </w:rPr>
      </w:r>
      <w:r>
        <w:rPr/>
        <w:t>长、厦门用友烟草软件有限责任公司董事长、用友汽车信息科技（上海）有限公司董事</w:t>
      </w:r>
      <w:r>
        <w:rPr>
          <w:spacing w:val="-65"/>
        </w:rPr>
        <w:t> </w:t>
      </w:r>
      <w:r>
        <w:rPr>
          <w:spacing w:val="-65"/>
        </w:rPr>
      </w:r>
      <w:r>
        <w:rPr/>
        <w:t>长、用友新道科技有限公司执行董事等职务。</w:t>
      </w:r>
    </w:p>
    <w:p>
      <w:pPr>
        <w:pStyle w:val="Heading3"/>
        <w:spacing w:line="297" w:lineRule="auto"/>
        <w:ind w:left="538" w:right="0" w:firstLine="480"/>
        <w:jc w:val="left"/>
      </w:pPr>
      <w:r>
        <w:rPr>
          <w:spacing w:val="-3"/>
        </w:rPr>
        <w:t>（</w:t>
      </w:r>
      <w:r>
        <w:rPr>
          <w:rFonts w:ascii="宋体" w:hAnsi="宋体" w:cs="宋体" w:eastAsia="宋体" w:hint="default"/>
          <w:spacing w:val="-3"/>
        </w:rPr>
        <w:t>2</w:t>
      </w:r>
      <w:r>
        <w:rPr>
          <w:spacing w:val="-3"/>
        </w:rPr>
        <w:t>）副董事长郭新平先生，</w:t>
      </w:r>
      <w:r>
        <w:rPr>
          <w:rFonts w:ascii="宋体" w:hAnsi="宋体" w:cs="宋体" w:eastAsia="宋体" w:hint="default"/>
          <w:spacing w:val="-3"/>
        </w:rPr>
        <w:t>1989</w:t>
      </w:r>
      <w:r>
        <w:rPr>
          <w:rFonts w:ascii="宋体" w:hAnsi="宋体" w:cs="宋体" w:eastAsia="宋体" w:hint="default"/>
          <w:spacing w:val="-54"/>
        </w:rPr>
        <w:t> </w:t>
      </w:r>
      <w:r>
        <w:rPr>
          <w:spacing w:val="-4"/>
        </w:rPr>
        <w:t>年加入用友，曾任公司副董事长、总裁、财务总监</w:t>
      </w:r>
      <w:r>
        <w:rPr/>
        <w:t> 等职务，目前还担任畅捷通信息技术股份有限公司监事会主席、北京用友政务软件有限</w:t>
      </w:r>
      <w:r>
        <w:rPr>
          <w:spacing w:val="-65"/>
        </w:rPr>
        <w:t> </w:t>
      </w:r>
      <w:r>
        <w:rPr>
          <w:spacing w:val="-65"/>
        </w:rPr>
      </w:r>
      <w:r>
        <w:rPr>
          <w:spacing w:val="-2"/>
        </w:rPr>
        <w:t>公司董事、厦门用友烟草软件有限责任公司董事、用友医疗卫生信息系统有限公司监事、</w:t>
      </w:r>
      <w:r>
        <w:rPr>
          <w:spacing w:val="-96"/>
        </w:rPr>
        <w:t> </w:t>
      </w:r>
      <w:r>
        <w:rPr>
          <w:spacing w:val="-96"/>
        </w:rPr>
      </w:r>
      <w:r>
        <w:rPr/>
        <w:t>北京用友审计软件有限公司董事长、北京用友幸福投资管理有限公司监事等职务。</w:t>
      </w:r>
    </w:p>
    <w:p>
      <w:pPr>
        <w:spacing w:after="0" w:line="297" w:lineRule="auto"/>
        <w:jc w:val="left"/>
        <w:sectPr>
          <w:pgSz w:w="11910" w:h="16850"/>
          <w:pgMar w:header="752" w:footer="730" w:top="1020" w:bottom="920" w:left="880" w:right="1080"/>
        </w:sectPr>
      </w:pPr>
    </w:p>
    <w:p>
      <w:pPr>
        <w:spacing w:line="240" w:lineRule="auto" w:before="9"/>
        <w:rPr>
          <w:rFonts w:ascii="宋体" w:hAnsi="宋体" w:cs="宋体" w:eastAsia="宋体" w:hint="default"/>
          <w:sz w:val="26"/>
          <w:szCs w:val="26"/>
        </w:rPr>
      </w:pPr>
    </w:p>
    <w:p>
      <w:pPr>
        <w:pStyle w:val="Heading3"/>
        <w:spacing w:line="297" w:lineRule="auto" w:before="26"/>
        <w:ind w:right="88" w:firstLine="480"/>
        <w:jc w:val="left"/>
      </w:pPr>
      <w:r>
        <w:rPr>
          <w:spacing w:val="-7"/>
        </w:rPr>
        <w:t>（</w:t>
      </w:r>
      <w:r>
        <w:rPr>
          <w:rFonts w:ascii="宋体" w:hAnsi="宋体" w:cs="宋体" w:eastAsia="宋体" w:hint="default"/>
          <w:spacing w:val="-7"/>
        </w:rPr>
        <w:t>3</w:t>
      </w:r>
      <w:r>
        <w:rPr>
          <w:spacing w:val="-7"/>
        </w:rPr>
        <w:t>）董事吴政平先生，</w:t>
      </w:r>
      <w:r>
        <w:rPr>
          <w:rFonts w:ascii="宋体" w:hAnsi="宋体" w:cs="宋体" w:eastAsia="宋体" w:hint="default"/>
          <w:spacing w:val="-7"/>
        </w:rPr>
        <w:t>1992</w:t>
      </w:r>
      <w:r>
        <w:rPr>
          <w:rFonts w:ascii="宋体" w:hAnsi="宋体" w:cs="宋体" w:eastAsia="宋体" w:hint="default"/>
          <w:spacing w:val="-45"/>
        </w:rPr>
        <w:t> </w:t>
      </w:r>
      <w:r>
        <w:rPr>
          <w:spacing w:val="-6"/>
        </w:rPr>
        <w:t>年加入用友，曾任公司董事、执行副总裁、高级副总裁、</w:t>
      </w:r>
      <w:r>
        <w:rPr/>
        <w:t> 财务总监和行政总监等职务，目前还担任畅捷通信息技术股份有限公司董事、北京用友</w:t>
      </w:r>
      <w:r>
        <w:rPr>
          <w:spacing w:val="-65"/>
        </w:rPr>
        <w:t> </w:t>
      </w:r>
      <w:r>
        <w:rPr>
          <w:spacing w:val="-65"/>
        </w:rPr>
      </w:r>
      <w:r>
        <w:rPr/>
        <w:t>政务软件有限公司董事、厦门用友烟草软件有限责任公司董事、用友医疗卫生信息系统</w:t>
      </w:r>
      <w:r>
        <w:rPr>
          <w:spacing w:val="-65"/>
        </w:rPr>
        <w:t> </w:t>
      </w:r>
      <w:r>
        <w:rPr>
          <w:spacing w:val="-65"/>
        </w:rPr>
      </w:r>
      <w:r>
        <w:rPr/>
        <w:t>有限公司执行董事、北京用友审计软件有限公司监事、北京用友幸福投资管理有限公司</w:t>
      </w:r>
      <w:r>
        <w:rPr>
          <w:spacing w:val="-65"/>
        </w:rPr>
        <w:t> </w:t>
      </w:r>
      <w:r>
        <w:rPr>
          <w:spacing w:val="-65"/>
        </w:rPr>
      </w:r>
      <w:r>
        <w:rPr/>
        <w:t>执行董事等职务。</w:t>
      </w:r>
    </w:p>
    <w:p>
      <w:pPr>
        <w:pStyle w:val="Heading3"/>
        <w:spacing w:line="297" w:lineRule="auto" w:before="139"/>
        <w:ind w:right="223" w:firstLine="480"/>
        <w:jc w:val="both"/>
      </w:pPr>
      <w:r>
        <w:rPr>
          <w:spacing w:val="-2"/>
        </w:rPr>
        <w:t>（</w:t>
      </w:r>
      <w:r>
        <w:rPr>
          <w:rFonts w:ascii="宋体" w:hAnsi="宋体" w:cs="宋体" w:eastAsia="宋体" w:hint="default"/>
          <w:spacing w:val="-2"/>
        </w:rPr>
        <w:t>4</w:t>
      </w:r>
      <w:r>
        <w:rPr>
          <w:spacing w:val="-2"/>
        </w:rPr>
        <w:t>）独立董事吴晓球先生，经济学博士学位，现任中国人民大学财政金融学院博士</w:t>
      </w:r>
      <w:r>
        <w:rPr/>
        <w:t> 生导师、教授，金融与证券研究所所长。目前还担任北京银行股份有限公司独立董事及 兴业证券股份有限公司非独立董事等职务。</w:t>
      </w:r>
    </w:p>
    <w:p>
      <w:pPr>
        <w:pStyle w:val="Heading3"/>
        <w:spacing w:line="297" w:lineRule="auto"/>
        <w:ind w:right="221" w:firstLine="480"/>
        <w:jc w:val="both"/>
      </w:pPr>
      <w:r>
        <w:rPr>
          <w:spacing w:val="-2"/>
        </w:rPr>
        <w:t>（</w:t>
      </w:r>
      <w:r>
        <w:rPr>
          <w:rFonts w:ascii="宋体" w:hAnsi="宋体" w:cs="宋体" w:eastAsia="宋体" w:hint="default"/>
          <w:spacing w:val="-2"/>
        </w:rPr>
        <w:t>5</w:t>
      </w:r>
      <w:r>
        <w:rPr>
          <w:spacing w:val="-2"/>
        </w:rPr>
        <w:t>）独立董事夏冬林先生，经济学（会计学）博士学位，现任清华大学经济管理学</w:t>
      </w:r>
      <w:r>
        <w:rPr/>
        <w:t> 院副院长、会计学教授、博士生导师。目前还担任同方股份有限公司监事会主席、平安 银行股份有限公司和博彦科技股份有限公司独立董事等职务。</w:t>
      </w:r>
    </w:p>
    <w:p>
      <w:pPr>
        <w:pStyle w:val="Heading3"/>
        <w:spacing w:line="297" w:lineRule="auto"/>
        <w:ind w:right="218" w:firstLine="480"/>
        <w:jc w:val="both"/>
      </w:pPr>
      <w:r>
        <w:rPr>
          <w:spacing w:val="-3"/>
        </w:rPr>
        <w:t>（</w:t>
      </w:r>
      <w:r>
        <w:rPr>
          <w:rFonts w:ascii="宋体" w:hAnsi="宋体" w:cs="宋体" w:eastAsia="宋体" w:hint="default"/>
          <w:spacing w:val="-3"/>
        </w:rPr>
        <w:t>6</w:t>
      </w:r>
      <w:r>
        <w:rPr>
          <w:spacing w:val="-3"/>
        </w:rPr>
        <w:t>）独立董事李绍唐先生，曾任</w:t>
      </w:r>
      <w:r>
        <w:rPr>
          <w:spacing w:val="-67"/>
        </w:rPr>
        <w:t> </w:t>
      </w:r>
      <w:r>
        <w:rPr>
          <w:rFonts w:ascii="宋体" w:hAnsi="宋体" w:cs="宋体" w:eastAsia="宋体" w:hint="default"/>
        </w:rPr>
        <w:t>IBM</w:t>
      </w:r>
      <w:r>
        <w:rPr>
          <w:rFonts w:ascii="宋体" w:hAnsi="宋体" w:cs="宋体" w:eastAsia="宋体" w:hint="default"/>
          <w:spacing w:val="-67"/>
        </w:rPr>
        <w:t> </w:t>
      </w:r>
      <w:r>
        <w:rPr/>
        <w:t>台湾分公司协理，北京甲骨文软件系统有限公 司华东暨华西区董事总经理，中国多普达通讯有限公司首席执行官兼总裁，连营科技股</w:t>
      </w:r>
      <w:r>
        <w:rPr>
          <w:spacing w:val="-65"/>
        </w:rPr>
        <w:t> </w:t>
      </w:r>
      <w:r>
        <w:rPr>
          <w:spacing w:val="-65"/>
        </w:rPr>
      </w:r>
      <w:r>
        <w:rPr>
          <w:spacing w:val="-2"/>
        </w:rPr>
        <w:t>份有限公司总经理，晶赞光电股份有限公司首席执行官，</w:t>
      </w:r>
      <w:r>
        <w:rPr>
          <w:rFonts w:ascii="宋体" w:hAnsi="宋体" w:cs="宋体" w:eastAsia="宋体" w:hint="default"/>
          <w:spacing w:val="-2"/>
        </w:rPr>
        <w:t>1111</w:t>
      </w:r>
      <w:r>
        <w:rPr>
          <w:rFonts w:ascii="宋体" w:hAnsi="宋体" w:cs="宋体" w:eastAsia="宋体" w:hint="default"/>
          <w:spacing w:val="-54"/>
        </w:rPr>
        <w:t> </w:t>
      </w:r>
      <w:r>
        <w:rPr>
          <w:spacing w:val="-5"/>
        </w:rPr>
        <w:t>人力银行执行长（</w:t>
      </w:r>
      <w:r>
        <w:rPr>
          <w:rFonts w:ascii="宋体" w:hAnsi="宋体" w:cs="宋体" w:eastAsia="宋体" w:hint="default"/>
          <w:spacing w:val="-5"/>
        </w:rPr>
        <w:t>CEO</w:t>
      </w:r>
      <w:r>
        <w:rPr>
          <w:spacing w:val="-5"/>
        </w:rPr>
        <w:t>）等</w:t>
      </w:r>
      <w:r>
        <w:rPr/>
        <w:t> 职务。</w:t>
      </w:r>
    </w:p>
    <w:p>
      <w:pPr>
        <w:pStyle w:val="Heading3"/>
        <w:spacing w:line="297" w:lineRule="auto"/>
        <w:ind w:right="221" w:firstLine="480"/>
        <w:jc w:val="both"/>
      </w:pPr>
      <w:r>
        <w:rPr>
          <w:spacing w:val="-4"/>
        </w:rPr>
        <w:t>（</w:t>
      </w:r>
      <w:r>
        <w:rPr>
          <w:rFonts w:ascii="宋体" w:hAnsi="宋体" w:cs="宋体" w:eastAsia="宋体" w:hint="default"/>
          <w:spacing w:val="-4"/>
        </w:rPr>
        <w:t>7</w:t>
      </w:r>
      <w:r>
        <w:rPr>
          <w:spacing w:val="-4"/>
        </w:rPr>
        <w:t>）监事会主席许建钢先生，</w:t>
      </w:r>
      <w:r>
        <w:rPr>
          <w:rFonts w:ascii="宋体" w:hAnsi="宋体" w:cs="宋体" w:eastAsia="宋体" w:hint="default"/>
          <w:spacing w:val="-4"/>
        </w:rPr>
        <w:t>2001</w:t>
      </w:r>
      <w:r>
        <w:rPr>
          <w:rFonts w:ascii="宋体" w:hAnsi="宋体" w:cs="宋体" w:eastAsia="宋体" w:hint="default"/>
          <w:spacing w:val="-50"/>
        </w:rPr>
        <w:t> </w:t>
      </w:r>
      <w:r>
        <w:rPr/>
        <w:t>年</w:t>
      </w:r>
      <w:r>
        <w:rPr>
          <w:spacing w:val="-50"/>
        </w:rPr>
        <w:t> </w:t>
      </w:r>
      <w:r>
        <w:rPr>
          <w:rFonts w:ascii="宋体" w:hAnsi="宋体" w:cs="宋体" w:eastAsia="宋体" w:hint="default"/>
        </w:rPr>
        <w:t>5</w:t>
      </w:r>
      <w:r>
        <w:rPr>
          <w:rFonts w:ascii="宋体" w:hAnsi="宋体" w:cs="宋体" w:eastAsia="宋体" w:hint="default"/>
          <w:spacing w:val="-50"/>
        </w:rPr>
        <w:t> </w:t>
      </w:r>
      <w:r>
        <w:rPr>
          <w:spacing w:val="-4"/>
        </w:rPr>
        <w:t>月加入用友，曾任公司业务发展总监、产业</w:t>
      </w:r>
      <w:r>
        <w:rPr/>
        <w:t> 发展总监、副总裁等职务。</w:t>
      </w:r>
    </w:p>
    <w:p>
      <w:pPr>
        <w:pStyle w:val="Heading3"/>
        <w:spacing w:line="297" w:lineRule="auto"/>
        <w:ind w:right="218" w:firstLine="480"/>
        <w:jc w:val="both"/>
      </w:pPr>
      <w:r>
        <w:rPr>
          <w:spacing w:val="-2"/>
        </w:rPr>
        <w:t>（</w:t>
      </w:r>
      <w:r>
        <w:rPr>
          <w:rFonts w:ascii="宋体" w:hAnsi="宋体" w:cs="宋体" w:eastAsia="宋体" w:hint="default"/>
          <w:spacing w:val="-2"/>
        </w:rPr>
        <w:t>8</w:t>
      </w:r>
      <w:r>
        <w:rPr>
          <w:spacing w:val="-2"/>
        </w:rPr>
        <w:t>）监事章珂先生，管理学博士，曾任公司副总裁、董事会秘书等职务，现任上海</w:t>
      </w:r>
      <w:r>
        <w:rPr/>
        <w:t> 兰基斯软件有限公司执行董事、北京如临其境科技有限公司董事、上海爱都创意网络科</w:t>
      </w:r>
      <w:r>
        <w:rPr>
          <w:spacing w:val="-65"/>
        </w:rPr>
        <w:t> </w:t>
      </w:r>
      <w:r>
        <w:rPr>
          <w:spacing w:val="-65"/>
        </w:rPr>
      </w:r>
      <w:r>
        <w:rPr/>
        <w:t>技有限公司董事等职务。</w:t>
      </w:r>
    </w:p>
    <w:p>
      <w:pPr>
        <w:pStyle w:val="Heading3"/>
        <w:spacing w:line="297" w:lineRule="auto"/>
        <w:ind w:right="218" w:firstLine="480"/>
        <w:jc w:val="both"/>
      </w:pPr>
      <w:r>
        <w:rPr>
          <w:spacing w:val="-2"/>
        </w:rPr>
        <w:t>（</w:t>
      </w:r>
      <w:r>
        <w:rPr>
          <w:rFonts w:ascii="宋体" w:hAnsi="宋体" w:cs="宋体" w:eastAsia="宋体" w:hint="default"/>
          <w:spacing w:val="-2"/>
        </w:rPr>
        <w:t>9</w:t>
      </w:r>
      <w:r>
        <w:rPr>
          <w:spacing w:val="-2"/>
        </w:rPr>
        <w:t>）监事高志勇先生，经济学学士，注册会计师、注册税务师、高级会计师，曾任</w:t>
      </w:r>
      <w:r>
        <w:rPr/>
        <w:t> 信诚会计师事务所董事长兼主任会计师、岳华会计师事务所税务合伙人、北青传媒股份</w:t>
      </w:r>
      <w:r>
        <w:rPr>
          <w:spacing w:val="-65"/>
        </w:rPr>
        <w:t> </w:t>
      </w:r>
      <w:r>
        <w:rPr>
          <w:spacing w:val="-65"/>
        </w:rPr>
      </w:r>
      <w:r>
        <w:rPr/>
        <w:t>有限公司独立监事，现任北京用友科技有限公司董事长助理、北京注册会计师协会专家</w:t>
      </w:r>
      <w:r>
        <w:rPr>
          <w:spacing w:val="-65"/>
        </w:rPr>
        <w:t> </w:t>
      </w:r>
      <w:r>
        <w:rPr>
          <w:spacing w:val="-65"/>
        </w:rPr>
      </w:r>
      <w:r>
        <w:rPr/>
        <w:t>委员会委员、中央国家机关政府采购中心评标委员、财政部企业内部控制标准委员会咨</w:t>
      </w:r>
      <w:r>
        <w:rPr>
          <w:spacing w:val="-65"/>
        </w:rPr>
        <w:t> </w:t>
      </w:r>
      <w:r>
        <w:rPr>
          <w:spacing w:val="-65"/>
        </w:rPr>
      </w:r>
      <w:r>
        <w:rPr/>
        <w:t>询专家、湘潭市政府特聘经济顾问等职务。</w:t>
      </w:r>
    </w:p>
    <w:p>
      <w:pPr>
        <w:pStyle w:val="Heading3"/>
        <w:spacing w:line="297" w:lineRule="auto"/>
        <w:ind w:right="209" w:firstLine="600"/>
        <w:jc w:val="left"/>
      </w:pPr>
      <w:r>
        <w:rPr>
          <w:rFonts w:ascii="宋体" w:hAnsi="宋体" w:cs="宋体" w:eastAsia="宋体" w:hint="default"/>
        </w:rPr>
        <w:t>(10)</w:t>
      </w:r>
      <w:r>
        <w:rPr>
          <w:rFonts w:ascii="宋体" w:hAnsi="宋体" w:cs="宋体" w:eastAsia="宋体" w:hint="default"/>
          <w:spacing w:val="-61"/>
        </w:rPr>
        <w:t> </w:t>
      </w:r>
      <w:r>
        <w:rPr/>
        <w:t>执行总裁向奇汉先生，</w:t>
      </w:r>
      <w:r>
        <w:rPr>
          <w:rFonts w:ascii="宋体" w:hAnsi="宋体" w:cs="宋体" w:eastAsia="宋体" w:hint="default"/>
        </w:rPr>
        <w:t>2003</w:t>
      </w:r>
      <w:r>
        <w:rPr>
          <w:rFonts w:ascii="宋体" w:hAnsi="宋体" w:cs="宋体" w:eastAsia="宋体" w:hint="default"/>
          <w:spacing w:val="-61"/>
        </w:rPr>
        <w:t> </w:t>
      </w:r>
      <w:r>
        <w:rPr/>
        <w:t>年</w:t>
      </w:r>
      <w:r>
        <w:rPr>
          <w:spacing w:val="-61"/>
        </w:rPr>
        <w:t> </w:t>
      </w:r>
      <w:r>
        <w:rPr>
          <w:rFonts w:ascii="宋体" w:hAnsi="宋体" w:cs="宋体" w:eastAsia="宋体" w:hint="default"/>
        </w:rPr>
        <w:t>10</w:t>
      </w:r>
      <w:r>
        <w:rPr>
          <w:rFonts w:ascii="宋体" w:hAnsi="宋体" w:cs="宋体" w:eastAsia="宋体" w:hint="default"/>
          <w:spacing w:val="-61"/>
        </w:rPr>
        <w:t> </w:t>
      </w:r>
      <w:r>
        <w:rPr>
          <w:spacing w:val="-3"/>
        </w:rPr>
        <w:t>月加入用友，曾任产品市场部总经理、产品</w:t>
      </w:r>
      <w:r>
        <w:rPr/>
        <w:t> 市场总监、公司副总裁、高级副总裁、执行副总裁等职务。</w:t>
      </w:r>
    </w:p>
    <w:p>
      <w:pPr>
        <w:pStyle w:val="Heading3"/>
        <w:spacing w:line="297" w:lineRule="auto"/>
        <w:ind w:right="88" w:firstLine="480"/>
        <w:jc w:val="left"/>
      </w:pPr>
      <w:r>
        <w:rPr/>
        <w:t>（</w:t>
      </w:r>
      <w:r>
        <w:rPr>
          <w:rFonts w:ascii="宋体" w:hAnsi="宋体" w:cs="宋体" w:eastAsia="宋体" w:hint="default"/>
        </w:rPr>
        <w:t>11</w:t>
      </w:r>
      <w:r>
        <w:rPr/>
        <w:t>）执行副总裁兼财务总监章培林先生， </w:t>
      </w:r>
      <w:r>
        <w:rPr>
          <w:rFonts w:ascii="宋体" w:hAnsi="宋体" w:cs="宋体" w:eastAsia="宋体" w:hint="default"/>
        </w:rPr>
        <w:t>2001</w:t>
      </w:r>
      <w:r>
        <w:rPr>
          <w:rFonts w:ascii="宋体" w:hAnsi="宋体" w:cs="宋体" w:eastAsia="宋体" w:hint="default"/>
          <w:spacing w:val="-60"/>
        </w:rPr>
        <w:t> </w:t>
      </w:r>
      <w:r>
        <w:rPr/>
        <w:t>年加入用友，曾任公司副总经理、 副总裁、高级副总裁等职务。</w:t>
      </w:r>
    </w:p>
    <w:p>
      <w:pPr>
        <w:pStyle w:val="Heading3"/>
        <w:spacing w:line="297" w:lineRule="auto"/>
        <w:ind w:right="223" w:firstLine="480"/>
        <w:jc w:val="both"/>
      </w:pPr>
      <w:r>
        <w:rPr/>
        <w:t>（</w:t>
      </w:r>
      <w:r>
        <w:rPr>
          <w:rFonts w:ascii="宋体" w:hAnsi="宋体" w:cs="宋体" w:eastAsia="宋体" w:hint="default"/>
        </w:rPr>
        <w:t>12</w:t>
      </w:r>
      <w:r>
        <w:rPr/>
        <w:t>）高级副总裁吴健先生，</w:t>
      </w:r>
      <w:r>
        <w:rPr>
          <w:spacing w:val="-84"/>
        </w:rPr>
        <w:t> </w:t>
      </w:r>
      <w:r>
        <w:rPr>
          <w:rFonts w:ascii="宋体" w:hAnsi="宋体" w:cs="宋体" w:eastAsia="宋体" w:hint="default"/>
        </w:rPr>
        <w:t>1992</w:t>
      </w:r>
      <w:r>
        <w:rPr>
          <w:rFonts w:ascii="宋体" w:hAnsi="宋体" w:cs="宋体" w:eastAsia="宋体" w:hint="default"/>
          <w:spacing w:val="-72"/>
        </w:rPr>
        <w:t> </w:t>
      </w:r>
      <w:r>
        <w:rPr/>
        <w:t>年</w:t>
      </w:r>
      <w:r>
        <w:rPr>
          <w:spacing w:val="-72"/>
        </w:rPr>
        <w:t> </w:t>
      </w:r>
      <w:r>
        <w:rPr>
          <w:rFonts w:ascii="宋体" w:hAnsi="宋体" w:cs="宋体" w:eastAsia="宋体" w:hint="default"/>
        </w:rPr>
        <w:t>5</w:t>
      </w:r>
      <w:r>
        <w:rPr>
          <w:rFonts w:ascii="宋体" w:hAnsi="宋体" w:cs="宋体" w:eastAsia="宋体" w:hint="default"/>
          <w:spacing w:val="-72"/>
        </w:rPr>
        <w:t> </w:t>
      </w:r>
      <w:r>
        <w:rPr/>
        <w:t>月加入用友，曾任公司销售部经理、公司中 南大区总经理及广州分公司总经理、北方大区总经理、公司副总裁等职务。</w:t>
      </w:r>
    </w:p>
    <w:p>
      <w:pPr>
        <w:pStyle w:val="Heading3"/>
        <w:spacing w:line="300" w:lineRule="auto"/>
        <w:ind w:right="223" w:firstLine="480"/>
        <w:jc w:val="both"/>
      </w:pPr>
      <w:r>
        <w:rPr/>
        <w:t>（</w:t>
      </w:r>
      <w:r>
        <w:rPr>
          <w:rFonts w:ascii="宋体" w:hAnsi="宋体" w:cs="宋体" w:eastAsia="宋体" w:hint="default"/>
        </w:rPr>
        <w:t>13</w:t>
      </w:r>
      <w:r>
        <w:rPr/>
        <w:t>）高级副总裁郑雨林先生，</w:t>
      </w:r>
      <w:r>
        <w:rPr>
          <w:spacing w:val="-87"/>
        </w:rPr>
        <w:t> </w:t>
      </w:r>
      <w:r>
        <w:rPr>
          <w:rFonts w:ascii="宋体" w:hAnsi="宋体" w:cs="宋体" w:eastAsia="宋体" w:hint="default"/>
        </w:rPr>
        <w:t>2001</w:t>
      </w:r>
      <w:r>
        <w:rPr>
          <w:rFonts w:ascii="宋体" w:hAnsi="宋体" w:cs="宋体" w:eastAsia="宋体" w:hint="default"/>
          <w:spacing w:val="-71"/>
        </w:rPr>
        <w:t> </w:t>
      </w:r>
      <w:r>
        <w:rPr/>
        <w:t>年</w:t>
      </w:r>
      <w:r>
        <w:rPr>
          <w:spacing w:val="-71"/>
        </w:rPr>
        <w:t> </w:t>
      </w:r>
      <w:r>
        <w:rPr>
          <w:rFonts w:ascii="宋体" w:hAnsi="宋体" w:cs="宋体" w:eastAsia="宋体" w:hint="default"/>
        </w:rPr>
        <w:t>8</w:t>
      </w:r>
      <w:r>
        <w:rPr>
          <w:rFonts w:ascii="宋体" w:hAnsi="宋体" w:cs="宋体" w:eastAsia="宋体" w:hint="default"/>
          <w:spacing w:val="-71"/>
        </w:rPr>
        <w:t> </w:t>
      </w:r>
      <w:r>
        <w:rPr/>
        <w:t>月加入用友，曾任公司产品管理总部总经 理、副总裁等职务。</w:t>
      </w:r>
    </w:p>
    <w:p>
      <w:pPr>
        <w:spacing w:after="0" w:line="300" w:lineRule="auto"/>
        <w:jc w:val="both"/>
        <w:sectPr>
          <w:pgSz w:w="11910" w:h="16850"/>
          <w:pgMar w:header="752" w:footer="730" w:top="1020" w:bottom="920" w:left="1280" w:right="1080"/>
        </w:sectPr>
      </w:pPr>
    </w:p>
    <w:p>
      <w:pPr>
        <w:spacing w:line="240" w:lineRule="auto" w:before="9"/>
        <w:rPr>
          <w:rFonts w:ascii="宋体" w:hAnsi="宋体" w:cs="宋体" w:eastAsia="宋体" w:hint="default"/>
          <w:sz w:val="26"/>
          <w:szCs w:val="26"/>
        </w:rPr>
      </w:pPr>
    </w:p>
    <w:p>
      <w:pPr>
        <w:pStyle w:val="Heading3"/>
        <w:spacing w:line="297" w:lineRule="auto" w:before="26"/>
        <w:ind w:right="138" w:firstLine="480"/>
        <w:jc w:val="both"/>
      </w:pPr>
      <w:r>
        <w:rPr/>
        <w:t>（</w:t>
      </w:r>
      <w:r>
        <w:rPr>
          <w:rFonts w:ascii="宋体" w:hAnsi="宋体" w:cs="宋体" w:eastAsia="宋体" w:hint="default"/>
        </w:rPr>
        <w:t>14</w:t>
      </w:r>
      <w:r>
        <w:rPr/>
        <w:t>）高级副总裁朱铁生先生，</w:t>
      </w:r>
      <w:r>
        <w:rPr>
          <w:rFonts w:ascii="宋体" w:hAnsi="宋体" w:cs="宋体" w:eastAsia="宋体" w:hint="default"/>
        </w:rPr>
        <w:t>1997</w:t>
      </w:r>
      <w:r>
        <w:rPr>
          <w:rFonts w:ascii="宋体" w:hAnsi="宋体" w:cs="宋体" w:eastAsia="宋体" w:hint="default"/>
          <w:spacing w:val="-56"/>
        </w:rPr>
        <w:t> </w:t>
      </w:r>
      <w:r>
        <w:rPr/>
        <w:t>年加入用友，曾任深圳用友公司销售经理、客 户总监、副总经理、公司中南大区销售总监、深圳用友公司总经理、公司中南大区总经</w:t>
      </w:r>
      <w:r>
        <w:rPr>
          <w:spacing w:val="-65"/>
        </w:rPr>
        <w:t> </w:t>
      </w:r>
      <w:r>
        <w:rPr>
          <w:spacing w:val="-65"/>
        </w:rPr>
      </w:r>
      <w:r>
        <w:rPr/>
        <w:t>理、助理总裁兼广东区总经理、公司副总裁等职务。</w:t>
      </w:r>
    </w:p>
    <w:p>
      <w:pPr>
        <w:pStyle w:val="Heading3"/>
        <w:spacing w:line="297" w:lineRule="auto"/>
        <w:ind w:right="141" w:firstLine="480"/>
        <w:jc w:val="both"/>
      </w:pPr>
      <w:r>
        <w:rPr/>
        <w:t>（</w:t>
      </w:r>
      <w:r>
        <w:rPr>
          <w:rFonts w:ascii="宋体" w:hAnsi="宋体" w:cs="宋体" w:eastAsia="宋体" w:hint="default"/>
        </w:rPr>
        <w:t>15</w:t>
      </w:r>
      <w:r>
        <w:rPr/>
        <w:t>）高级副总裁兼董事会秘书欧阳青先生，</w:t>
      </w:r>
      <w:r>
        <w:rPr>
          <w:rFonts w:ascii="宋体" w:hAnsi="宋体" w:cs="宋体" w:eastAsia="宋体" w:hint="default"/>
        </w:rPr>
        <w:t>2003</w:t>
      </w:r>
      <w:r>
        <w:rPr>
          <w:rFonts w:ascii="宋体" w:hAnsi="宋体" w:cs="宋体" w:eastAsia="宋体" w:hint="default"/>
          <w:spacing w:val="-59"/>
        </w:rPr>
        <w:t> </w:t>
      </w:r>
      <w:r>
        <w:rPr/>
        <w:t>年</w:t>
      </w:r>
      <w:r>
        <w:rPr>
          <w:spacing w:val="-59"/>
        </w:rPr>
        <w:t> </w:t>
      </w:r>
      <w:r>
        <w:rPr>
          <w:rFonts w:ascii="宋体" w:hAnsi="宋体" w:cs="宋体" w:eastAsia="宋体" w:hint="default"/>
        </w:rPr>
        <w:t>2</w:t>
      </w:r>
      <w:r>
        <w:rPr>
          <w:rFonts w:ascii="宋体" w:hAnsi="宋体" w:cs="宋体" w:eastAsia="宋体" w:hint="default"/>
          <w:spacing w:val="-59"/>
        </w:rPr>
        <w:t> </w:t>
      </w:r>
      <w:r>
        <w:rPr/>
        <w:t>月加入用友，曾任公司副总 裁、董事会秘书。</w:t>
      </w:r>
    </w:p>
    <w:p>
      <w:pPr>
        <w:pStyle w:val="Heading3"/>
        <w:spacing w:line="297" w:lineRule="auto" w:before="139"/>
        <w:ind w:right="141" w:firstLine="480"/>
        <w:jc w:val="both"/>
      </w:pPr>
      <w:r>
        <w:rPr/>
        <w:t>（</w:t>
      </w:r>
      <w:r>
        <w:rPr>
          <w:rFonts w:ascii="宋体" w:hAnsi="宋体" w:cs="宋体" w:eastAsia="宋体" w:hint="default"/>
        </w:rPr>
        <w:t>16</w:t>
      </w:r>
      <w:r>
        <w:rPr/>
        <w:t>）高级副总裁陈巧红女士，</w:t>
      </w:r>
      <w:r>
        <w:rPr>
          <w:rFonts w:ascii="宋体" w:hAnsi="宋体" w:cs="宋体" w:eastAsia="宋体" w:hint="default"/>
        </w:rPr>
        <w:t>1992</w:t>
      </w:r>
      <w:r>
        <w:rPr>
          <w:rFonts w:ascii="宋体" w:hAnsi="宋体" w:cs="宋体" w:eastAsia="宋体" w:hint="default"/>
          <w:spacing w:val="-56"/>
        </w:rPr>
        <w:t> </w:t>
      </w:r>
      <w:r>
        <w:rPr/>
        <w:t>年加入用友，曾任公司总裁助理兼政府及行业 大客户总部总经理、副总裁等职务。</w:t>
      </w:r>
    </w:p>
    <w:p>
      <w:pPr>
        <w:pStyle w:val="Heading3"/>
        <w:spacing w:line="297" w:lineRule="auto"/>
        <w:ind w:right="141" w:firstLine="480"/>
        <w:jc w:val="both"/>
      </w:pPr>
      <w:r>
        <w:rPr/>
        <w:t>（</w:t>
      </w:r>
      <w:r>
        <w:rPr>
          <w:rFonts w:ascii="宋体" w:hAnsi="宋体" w:cs="宋体" w:eastAsia="宋体" w:hint="default"/>
        </w:rPr>
        <w:t>17</w:t>
      </w:r>
      <w:r>
        <w:rPr/>
        <w:t>）高级副总裁谢志华先生，</w:t>
      </w:r>
      <w:r>
        <w:rPr>
          <w:rFonts w:ascii="宋体" w:hAnsi="宋体" w:cs="宋体" w:eastAsia="宋体" w:hint="default"/>
        </w:rPr>
        <w:t>1998</w:t>
      </w:r>
      <w:r>
        <w:rPr>
          <w:rFonts w:ascii="宋体" w:hAnsi="宋体" w:cs="宋体" w:eastAsia="宋体" w:hint="default"/>
          <w:spacing w:val="-56"/>
        </w:rPr>
        <w:t> </w:t>
      </w:r>
      <w:r>
        <w:rPr/>
        <w:t>年加入用友，曾任公司研发工程师、开发部经 理、</w:t>
      </w:r>
      <w:r>
        <w:rPr>
          <w:rFonts w:ascii="宋体" w:hAnsi="宋体" w:cs="宋体" w:eastAsia="宋体" w:hint="default"/>
        </w:rPr>
        <w:t>NC</w:t>
      </w:r>
      <w:r>
        <w:rPr>
          <w:rFonts w:ascii="宋体" w:hAnsi="宋体" w:cs="宋体" w:eastAsia="宋体" w:hint="default"/>
          <w:spacing w:val="-60"/>
        </w:rPr>
        <w:t> </w:t>
      </w:r>
      <w:r>
        <w:rPr/>
        <w:t>事业部副总经理、</w:t>
      </w:r>
      <w:r>
        <w:rPr>
          <w:rFonts w:ascii="宋体" w:hAnsi="宋体" w:cs="宋体" w:eastAsia="宋体" w:hint="default"/>
        </w:rPr>
        <w:t>NC</w:t>
      </w:r>
      <w:r>
        <w:rPr>
          <w:rFonts w:ascii="宋体" w:hAnsi="宋体" w:cs="宋体" w:eastAsia="宋体" w:hint="default"/>
          <w:spacing w:val="-60"/>
        </w:rPr>
        <w:t> </w:t>
      </w:r>
      <w:r>
        <w:rPr/>
        <w:t>产品本部总经理、助理总裁、副总裁等职务。</w:t>
      </w:r>
    </w:p>
    <w:p>
      <w:pPr>
        <w:pStyle w:val="Heading3"/>
        <w:spacing w:line="240" w:lineRule="auto"/>
        <w:ind w:left="618" w:right="188"/>
        <w:jc w:val="left"/>
      </w:pPr>
      <w:r>
        <w:rPr/>
        <w:t>（</w:t>
      </w:r>
      <w:r>
        <w:rPr>
          <w:rFonts w:ascii="宋体" w:hAnsi="宋体" w:cs="宋体" w:eastAsia="宋体" w:hint="default"/>
        </w:rPr>
        <w:t>18</w:t>
      </w:r>
      <w:r>
        <w:rPr/>
        <w:t>）高级副总裁胡彬先生，</w:t>
      </w:r>
      <w:r>
        <w:rPr>
          <w:rFonts w:ascii="宋体" w:hAnsi="宋体" w:cs="宋体" w:eastAsia="宋体" w:hint="default"/>
        </w:rPr>
        <w:t>2009</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月加入用友，曾任公司副总裁等职务。</w:t>
      </w:r>
    </w:p>
    <w:p>
      <w:pPr>
        <w:pStyle w:val="Heading3"/>
        <w:spacing w:line="297" w:lineRule="auto" w:before="194"/>
        <w:ind w:right="143" w:firstLine="480"/>
        <w:jc w:val="both"/>
      </w:pPr>
      <w:r>
        <w:rPr/>
        <w:t>（</w:t>
      </w:r>
      <w:r>
        <w:rPr>
          <w:rFonts w:ascii="宋体" w:hAnsi="宋体" w:cs="宋体" w:eastAsia="宋体" w:hint="default"/>
        </w:rPr>
        <w:t>19</w:t>
      </w:r>
      <w:r>
        <w:rPr/>
        <w:t>）高级副总裁李宏伟先生，</w:t>
      </w:r>
      <w:r>
        <w:rPr>
          <w:spacing w:val="-93"/>
        </w:rPr>
        <w:t> </w:t>
      </w:r>
      <w:r>
        <w:rPr>
          <w:rFonts w:ascii="宋体" w:hAnsi="宋体" w:cs="宋体" w:eastAsia="宋体" w:hint="default"/>
        </w:rPr>
        <w:t>1995</w:t>
      </w:r>
      <w:r>
        <w:rPr>
          <w:rFonts w:ascii="宋体" w:hAnsi="宋体" w:cs="宋体" w:eastAsia="宋体" w:hint="default"/>
          <w:spacing w:val="-84"/>
        </w:rPr>
        <w:t> </w:t>
      </w:r>
      <w:r>
        <w:rPr/>
        <w:t>年加入用友，曾任公司浙江大区总经理、公司 助理总裁、上海分公司总经理、公司副总裁等职务。</w:t>
      </w:r>
    </w:p>
    <w:p>
      <w:pPr>
        <w:pStyle w:val="Heading3"/>
        <w:spacing w:line="297" w:lineRule="auto"/>
        <w:ind w:right="143" w:firstLine="480"/>
        <w:jc w:val="both"/>
      </w:pPr>
      <w:r>
        <w:rPr/>
        <w:t>（</w:t>
      </w:r>
      <w:r>
        <w:rPr>
          <w:rFonts w:ascii="宋体" w:hAnsi="宋体" w:cs="宋体" w:eastAsia="宋体" w:hint="default"/>
        </w:rPr>
        <w:t>20</w:t>
      </w:r>
      <w:r>
        <w:rPr/>
        <w:t>）高级副总裁徐宝东先生，</w:t>
      </w:r>
      <w:r>
        <w:rPr>
          <w:spacing w:val="-93"/>
        </w:rPr>
        <w:t> </w:t>
      </w:r>
      <w:r>
        <w:rPr>
          <w:rFonts w:ascii="宋体" w:hAnsi="宋体" w:cs="宋体" w:eastAsia="宋体" w:hint="default"/>
        </w:rPr>
        <w:t>2007</w:t>
      </w:r>
      <w:r>
        <w:rPr>
          <w:rFonts w:ascii="宋体" w:hAnsi="宋体" w:cs="宋体" w:eastAsia="宋体" w:hint="default"/>
          <w:spacing w:val="-84"/>
        </w:rPr>
        <w:t> </w:t>
      </w:r>
      <w:r>
        <w:rPr/>
        <w:t>年加入用友，曾任公司助理总裁、山东区总经 理、公司副总裁等职务。</w:t>
      </w:r>
    </w:p>
    <w:p>
      <w:pPr>
        <w:pStyle w:val="Heading3"/>
        <w:spacing w:line="297" w:lineRule="auto" w:before="139"/>
        <w:ind w:right="143" w:firstLine="480"/>
        <w:jc w:val="both"/>
      </w:pPr>
      <w:r>
        <w:rPr/>
        <w:t>（</w:t>
      </w:r>
      <w:r>
        <w:rPr>
          <w:rFonts w:ascii="宋体" w:hAnsi="宋体" w:cs="宋体" w:eastAsia="宋体" w:hint="default"/>
        </w:rPr>
        <w:t>21</w:t>
      </w:r>
      <w:r>
        <w:rPr/>
        <w:t>）高级副总裁杨晓柏先生，</w:t>
      </w:r>
      <w:r>
        <w:rPr>
          <w:spacing w:val="-93"/>
        </w:rPr>
        <w:t> </w:t>
      </w:r>
      <w:r>
        <w:rPr>
          <w:rFonts w:ascii="宋体" w:hAnsi="宋体" w:cs="宋体" w:eastAsia="宋体" w:hint="default"/>
        </w:rPr>
        <w:t>1996</w:t>
      </w:r>
      <w:r>
        <w:rPr>
          <w:rFonts w:ascii="宋体" w:hAnsi="宋体" w:cs="宋体" w:eastAsia="宋体" w:hint="default"/>
          <w:spacing w:val="-84"/>
        </w:rPr>
        <w:t> </w:t>
      </w:r>
      <w:r>
        <w:rPr/>
        <w:t>年加入用友，曾任江西分公司总经理、南京分 公司总经理、江苏区总经理、公司助理总裁、公司副总裁等职务。</w:t>
      </w:r>
    </w:p>
    <w:p>
      <w:pPr>
        <w:pStyle w:val="Heading3"/>
        <w:spacing w:line="297" w:lineRule="auto"/>
        <w:ind w:right="143" w:firstLine="480"/>
        <w:jc w:val="both"/>
      </w:pPr>
      <w:r>
        <w:rPr/>
        <w:t>（</w:t>
      </w:r>
      <w:r>
        <w:rPr>
          <w:rFonts w:ascii="宋体" w:hAnsi="宋体" w:cs="宋体" w:eastAsia="宋体" w:hint="default"/>
        </w:rPr>
        <w:t>22</w:t>
      </w:r>
      <w:r>
        <w:rPr/>
        <w:t>）高级副总裁牛立伟先生，</w:t>
      </w:r>
      <w:r>
        <w:rPr>
          <w:spacing w:val="-93"/>
        </w:rPr>
        <w:t> </w:t>
      </w:r>
      <w:r>
        <w:rPr>
          <w:rFonts w:ascii="宋体" w:hAnsi="宋体" w:cs="宋体" w:eastAsia="宋体" w:hint="default"/>
        </w:rPr>
        <w:t>1997</w:t>
      </w:r>
      <w:r>
        <w:rPr>
          <w:rFonts w:ascii="宋体" w:hAnsi="宋体" w:cs="宋体" w:eastAsia="宋体" w:hint="default"/>
          <w:spacing w:val="-84"/>
        </w:rPr>
        <w:t> </w:t>
      </w:r>
      <w:r>
        <w:rPr/>
        <w:t>年加入用友，曾任公司咨询部经理、北方区客 户总监、北京分公司副总经理、天津用友总经理、中央大客户事业部总经理、公司助理 总裁、公司副总裁等职务。</w:t>
      </w:r>
    </w:p>
    <w:p>
      <w:pPr>
        <w:pStyle w:val="Heading2"/>
        <w:spacing w:line="240" w:lineRule="auto" w:before="134"/>
        <w:ind w:left="707" w:right="188"/>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3"/>
        </w:rPr>
        <w:t> </w:t>
      </w:r>
      <w:r>
        <w:rPr/>
        <w:t>在股东单位任职情况</w:t>
      </w:r>
      <w:r>
        <w:rPr>
          <w:b w:val="0"/>
          <w:bCs w:val="0"/>
        </w:rPr>
      </w:r>
    </w:p>
    <w:p>
      <w:pPr>
        <w:spacing w:line="240" w:lineRule="auto" w:before="8"/>
        <w:rPr>
          <w:rFonts w:ascii="宋体" w:hAnsi="宋体" w:cs="宋体" w:eastAsia="宋体" w:hint="default"/>
          <w:b/>
          <w:bCs/>
          <w:sz w:val="12"/>
          <w:szCs w:val="12"/>
        </w:rPr>
      </w:pPr>
    </w:p>
    <w:tbl>
      <w:tblPr>
        <w:tblW w:w="0" w:type="auto"/>
        <w:jc w:val="left"/>
        <w:tblInd w:w="123" w:type="dxa"/>
        <w:tblLayout w:type="fixed"/>
        <w:tblCellMar>
          <w:top w:w="0" w:type="dxa"/>
          <w:left w:w="0" w:type="dxa"/>
          <w:bottom w:w="0" w:type="dxa"/>
          <w:right w:w="0" w:type="dxa"/>
        </w:tblCellMar>
        <w:tblLook w:val="01E0"/>
      </w:tblPr>
      <w:tblGrid>
        <w:gridCol w:w="881"/>
        <w:gridCol w:w="3000"/>
        <w:gridCol w:w="1298"/>
        <w:gridCol w:w="1490"/>
        <w:gridCol w:w="1140"/>
        <w:gridCol w:w="806"/>
      </w:tblGrid>
      <w:tr>
        <w:trPr>
          <w:trHeight w:val="833" w:hRule="exact"/>
        </w:trPr>
        <w:tc>
          <w:tcPr>
            <w:tcW w:w="881" w:type="dxa"/>
            <w:tcBorders>
              <w:top w:val="single" w:sz="6" w:space="0" w:color="090909"/>
              <w:left w:val="single" w:sz="6" w:space="0" w:color="090909"/>
              <w:bottom w:val="single" w:sz="6" w:space="0" w:color="090909"/>
              <w:right w:val="single" w:sz="6" w:space="0" w:color="090909"/>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000" w:type="dxa"/>
            <w:tcBorders>
              <w:top w:val="single" w:sz="6" w:space="0" w:color="090909"/>
              <w:left w:val="single" w:sz="6" w:space="0" w:color="090909"/>
              <w:bottom w:val="single" w:sz="6" w:space="0" w:color="090909"/>
              <w:right w:val="single" w:sz="6" w:space="0" w:color="090909"/>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861"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298" w:type="dxa"/>
            <w:tcBorders>
              <w:top w:val="single" w:sz="6" w:space="0" w:color="090909"/>
              <w:left w:val="single" w:sz="6" w:space="0" w:color="090909"/>
              <w:bottom w:val="single" w:sz="6" w:space="0" w:color="090909"/>
              <w:right w:val="single" w:sz="6" w:space="0" w:color="090909"/>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490" w:type="dxa"/>
            <w:tcBorders>
              <w:top w:val="single" w:sz="6" w:space="0" w:color="090909"/>
              <w:left w:val="single" w:sz="6" w:space="0" w:color="090909"/>
              <w:bottom w:val="single" w:sz="6" w:space="0" w:color="090909"/>
              <w:right w:val="single" w:sz="6" w:space="0" w:color="090909"/>
            </w:tcBorders>
          </w:tcPr>
          <w:p>
            <w:pPr>
              <w:pStyle w:val="TableParagraph"/>
              <w:spacing w:line="272" w:lineRule="exact" w:before="130"/>
              <w:ind w:left="422" w:right="417"/>
              <w:jc w:val="left"/>
              <w:rPr>
                <w:rFonts w:ascii="宋体" w:hAnsi="宋体" w:cs="宋体" w:eastAsia="宋体" w:hint="default"/>
                <w:sz w:val="21"/>
                <w:szCs w:val="21"/>
              </w:rPr>
            </w:pPr>
            <w:r>
              <w:rPr>
                <w:rFonts w:ascii="宋体" w:hAnsi="宋体" w:cs="宋体" w:eastAsia="宋体" w:hint="default"/>
                <w:sz w:val="21"/>
                <w:szCs w:val="21"/>
              </w:rPr>
              <w:t>任期起</w:t>
            </w:r>
            <w:r>
              <w:rPr>
                <w:rFonts w:ascii="宋体" w:hAnsi="宋体" w:cs="宋体" w:eastAsia="宋体" w:hint="default"/>
                <w:spacing w:val="-102"/>
                <w:sz w:val="21"/>
                <w:szCs w:val="21"/>
              </w:rPr>
              <w:t> </w:t>
            </w:r>
            <w:r>
              <w:rPr>
                <w:rFonts w:ascii="宋体" w:hAnsi="宋体" w:cs="宋体" w:eastAsia="宋体" w:hint="default"/>
                <w:sz w:val="21"/>
                <w:szCs w:val="21"/>
              </w:rPr>
              <w:t>始日期</w:t>
            </w:r>
          </w:p>
        </w:tc>
        <w:tc>
          <w:tcPr>
            <w:tcW w:w="1140" w:type="dxa"/>
            <w:tcBorders>
              <w:top w:val="single" w:sz="6" w:space="0" w:color="090909"/>
              <w:left w:val="single" w:sz="6" w:space="0" w:color="090909"/>
              <w:bottom w:val="single" w:sz="6" w:space="0" w:color="090909"/>
              <w:right w:val="single" w:sz="6" w:space="0" w:color="090909"/>
            </w:tcBorders>
          </w:tcPr>
          <w:p>
            <w:pPr>
              <w:pStyle w:val="TableParagraph"/>
              <w:spacing w:line="272" w:lineRule="exact" w:before="130"/>
              <w:ind w:left="247" w:right="242"/>
              <w:jc w:val="left"/>
              <w:rPr>
                <w:rFonts w:ascii="宋体" w:hAnsi="宋体" w:cs="宋体" w:eastAsia="宋体" w:hint="default"/>
                <w:sz w:val="21"/>
                <w:szCs w:val="21"/>
              </w:rPr>
            </w:pPr>
            <w:r>
              <w:rPr>
                <w:rFonts w:ascii="宋体" w:hAnsi="宋体" w:cs="宋体" w:eastAsia="宋体" w:hint="default"/>
                <w:sz w:val="21"/>
                <w:szCs w:val="21"/>
              </w:rPr>
              <w:t>任期终</w:t>
            </w:r>
            <w:r>
              <w:rPr>
                <w:rFonts w:ascii="宋体" w:hAnsi="宋体" w:cs="宋体" w:eastAsia="宋体" w:hint="default"/>
                <w:spacing w:val="-102"/>
                <w:sz w:val="21"/>
                <w:szCs w:val="21"/>
              </w:rPr>
              <w:t> </w:t>
            </w:r>
            <w:r>
              <w:rPr>
                <w:rFonts w:ascii="宋体" w:hAnsi="宋体" w:cs="宋体" w:eastAsia="宋体" w:hint="default"/>
                <w:sz w:val="21"/>
                <w:szCs w:val="21"/>
              </w:rPr>
              <w:t>止日期</w:t>
            </w:r>
          </w:p>
        </w:tc>
        <w:tc>
          <w:tcPr>
            <w:tcW w:w="806" w:type="dxa"/>
            <w:tcBorders>
              <w:top w:val="single" w:sz="6" w:space="0" w:color="090909"/>
              <w:left w:val="single" w:sz="6" w:space="0" w:color="090909"/>
              <w:bottom w:val="single" w:sz="6" w:space="0" w:color="090909"/>
              <w:right w:val="single" w:sz="6" w:space="0" w:color="090909"/>
            </w:tcBorders>
          </w:tcPr>
          <w:p>
            <w:pPr>
              <w:pStyle w:val="TableParagraph"/>
              <w:spacing w:line="240" w:lineRule="exact"/>
              <w:ind w:left="34" w:right="0"/>
              <w:jc w:val="left"/>
              <w:rPr>
                <w:rFonts w:ascii="宋体" w:hAnsi="宋体" w:cs="宋体" w:eastAsia="宋体" w:hint="default"/>
                <w:sz w:val="21"/>
                <w:szCs w:val="21"/>
              </w:rPr>
            </w:pPr>
            <w:r>
              <w:rPr>
                <w:rFonts w:ascii="宋体" w:hAnsi="宋体" w:cs="宋体" w:eastAsia="宋体" w:hint="default"/>
                <w:sz w:val="21"/>
                <w:szCs w:val="21"/>
              </w:rPr>
              <w:t>是否领</w:t>
            </w:r>
          </w:p>
          <w:p>
            <w:pPr>
              <w:pStyle w:val="TableParagraph"/>
              <w:spacing w:line="272" w:lineRule="exact" w:before="27"/>
              <w:ind w:left="139" w:right="122" w:hanging="106"/>
              <w:jc w:val="left"/>
              <w:rPr>
                <w:rFonts w:ascii="宋体" w:hAnsi="宋体" w:cs="宋体" w:eastAsia="宋体" w:hint="default"/>
                <w:sz w:val="21"/>
                <w:szCs w:val="21"/>
              </w:rPr>
            </w:pPr>
            <w:r>
              <w:rPr>
                <w:rFonts w:ascii="宋体" w:hAnsi="宋体" w:cs="宋体" w:eastAsia="宋体" w:hint="default"/>
                <w:sz w:val="21"/>
                <w:szCs w:val="21"/>
              </w:rPr>
              <w:t>取报酬</w:t>
            </w:r>
            <w:r>
              <w:rPr>
                <w:rFonts w:ascii="宋体" w:hAnsi="宋体" w:cs="宋体" w:eastAsia="宋体" w:hint="default"/>
                <w:spacing w:val="-102"/>
                <w:sz w:val="21"/>
                <w:szCs w:val="21"/>
              </w:rPr>
              <w:t> </w:t>
            </w:r>
            <w:r>
              <w:rPr>
                <w:rFonts w:ascii="宋体" w:hAnsi="宋体" w:cs="宋体" w:eastAsia="宋体" w:hint="default"/>
                <w:sz w:val="21"/>
                <w:szCs w:val="21"/>
              </w:rPr>
              <w:t>津贴</w:t>
            </w:r>
          </w:p>
        </w:tc>
      </w:tr>
      <w:tr>
        <w:trPr>
          <w:trHeight w:val="286" w:hRule="exact"/>
        </w:trPr>
        <w:tc>
          <w:tcPr>
            <w:tcW w:w="881" w:type="dxa"/>
            <w:vMerge w:val="restart"/>
            <w:tcBorders>
              <w:top w:val="single" w:sz="6" w:space="0" w:color="090909"/>
              <w:left w:val="single" w:sz="6" w:space="0" w:color="090909"/>
              <w:right w:val="single" w:sz="6" w:space="0" w:color="090909"/>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117"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3000" w:type="dxa"/>
            <w:tcBorders>
              <w:top w:val="single" w:sz="6" w:space="0" w:color="090909"/>
              <w:left w:val="single" w:sz="6" w:space="0" w:color="090909"/>
              <w:bottom w:val="single" w:sz="6" w:space="0" w:color="090909"/>
              <w:right w:val="single" w:sz="6" w:space="0" w:color="090909"/>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北京用友科技有限公司</w:t>
            </w:r>
          </w:p>
        </w:tc>
        <w:tc>
          <w:tcPr>
            <w:tcW w:w="1298" w:type="dxa"/>
            <w:tcBorders>
              <w:top w:val="single" w:sz="6" w:space="0" w:color="090909"/>
              <w:left w:val="single" w:sz="6" w:space="0" w:color="090909"/>
              <w:bottom w:val="single" w:sz="6" w:space="0" w:color="090909"/>
              <w:right w:val="single" w:sz="6" w:space="0" w:color="090909"/>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490" w:type="dxa"/>
            <w:tcBorders>
              <w:top w:val="single" w:sz="6" w:space="0" w:color="090909"/>
              <w:left w:val="single" w:sz="6" w:space="0" w:color="090909"/>
              <w:bottom w:val="single" w:sz="6" w:space="0" w:color="090909"/>
              <w:right w:val="single" w:sz="6" w:space="0" w:color="090909"/>
            </w:tcBorders>
          </w:tcPr>
          <w:p>
            <w:pPr>
              <w:pStyle w:val="TableParagraph"/>
              <w:spacing w:line="241" w:lineRule="exact"/>
              <w:ind w:left="76" w:right="0"/>
              <w:jc w:val="left"/>
              <w:rPr>
                <w:rFonts w:ascii="宋体" w:hAnsi="宋体" w:cs="宋体" w:eastAsia="宋体" w:hint="default"/>
                <w:sz w:val="21"/>
                <w:szCs w:val="21"/>
              </w:rPr>
            </w:pPr>
            <w:r>
              <w:rPr>
                <w:rFonts w:ascii="宋体"/>
                <w:sz w:val="21"/>
              </w:rPr>
              <w:t>2012-6-15</w:t>
            </w:r>
          </w:p>
        </w:tc>
        <w:tc>
          <w:tcPr>
            <w:tcW w:w="1140" w:type="dxa"/>
            <w:tcBorders>
              <w:top w:val="single" w:sz="6" w:space="0" w:color="090909"/>
              <w:left w:val="single" w:sz="6" w:space="0" w:color="090909"/>
              <w:bottom w:val="single" w:sz="6" w:space="0" w:color="090909"/>
              <w:right w:val="single" w:sz="6" w:space="0" w:color="090909"/>
            </w:tcBorders>
          </w:tcPr>
          <w:p>
            <w:pPr>
              <w:pStyle w:val="TableParagraph"/>
              <w:spacing w:line="241" w:lineRule="exact"/>
              <w:ind w:right="21"/>
              <w:jc w:val="center"/>
              <w:rPr>
                <w:rFonts w:ascii="宋体" w:hAnsi="宋体" w:cs="宋体" w:eastAsia="宋体" w:hint="default"/>
                <w:sz w:val="21"/>
                <w:szCs w:val="21"/>
              </w:rPr>
            </w:pPr>
            <w:r>
              <w:rPr>
                <w:rFonts w:ascii="宋体"/>
                <w:sz w:val="21"/>
              </w:rPr>
              <w:t>2015-6-14</w:t>
            </w:r>
          </w:p>
        </w:tc>
        <w:tc>
          <w:tcPr>
            <w:tcW w:w="806" w:type="dxa"/>
            <w:tcBorders>
              <w:top w:val="single" w:sz="6" w:space="0" w:color="090909"/>
              <w:left w:val="single" w:sz="6" w:space="0" w:color="090909"/>
              <w:bottom w:val="single" w:sz="6" w:space="0" w:color="090909"/>
              <w:right w:val="single" w:sz="6" w:space="0" w:color="090909"/>
            </w:tcBorders>
          </w:tcPr>
          <w:p>
            <w:pPr>
              <w:pStyle w:val="TableParagraph"/>
              <w:spacing w:line="241" w:lineRule="exact"/>
              <w:ind w:right="288"/>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62" w:hRule="exact"/>
        </w:trPr>
        <w:tc>
          <w:tcPr>
            <w:tcW w:w="881" w:type="dxa"/>
            <w:vMerge/>
            <w:tcBorders>
              <w:left w:val="single" w:sz="6" w:space="0" w:color="090909"/>
              <w:right w:val="single" w:sz="6" w:space="0" w:color="090909"/>
            </w:tcBorders>
          </w:tcPr>
          <w:p>
            <w:pPr/>
          </w:p>
        </w:tc>
        <w:tc>
          <w:tcPr>
            <w:tcW w:w="3000" w:type="dxa"/>
            <w:tcBorders>
              <w:top w:val="single" w:sz="6" w:space="0" w:color="090909"/>
              <w:left w:val="single" w:sz="6" w:space="0" w:color="090909"/>
              <w:bottom w:val="single" w:sz="6" w:space="0" w:color="090909"/>
              <w:right w:val="single" w:sz="6" w:space="0" w:color="090909"/>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北京用友企业管理研究所有限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98" w:type="dxa"/>
            <w:tcBorders>
              <w:top w:val="single" w:sz="6" w:space="0" w:color="090909"/>
              <w:left w:val="single" w:sz="6" w:space="0" w:color="090909"/>
              <w:bottom w:val="single" w:sz="6" w:space="0" w:color="090909"/>
              <w:right w:val="single" w:sz="6" w:space="0" w:color="090909"/>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90" w:type="dxa"/>
            <w:tcBorders>
              <w:top w:val="single" w:sz="6" w:space="0" w:color="090909"/>
              <w:left w:val="single" w:sz="6" w:space="0" w:color="090909"/>
              <w:bottom w:val="single" w:sz="6" w:space="0" w:color="090909"/>
              <w:right w:val="single" w:sz="6" w:space="0" w:color="090909"/>
            </w:tcBorders>
          </w:tcPr>
          <w:p>
            <w:pPr>
              <w:pStyle w:val="TableParagraph"/>
              <w:spacing w:line="240" w:lineRule="auto" w:before="102"/>
              <w:ind w:left="76" w:right="0"/>
              <w:jc w:val="left"/>
              <w:rPr>
                <w:rFonts w:ascii="宋体" w:hAnsi="宋体" w:cs="宋体" w:eastAsia="宋体" w:hint="default"/>
                <w:sz w:val="21"/>
                <w:szCs w:val="21"/>
              </w:rPr>
            </w:pPr>
            <w:r>
              <w:rPr>
                <w:rFonts w:ascii="宋体"/>
                <w:sz w:val="21"/>
              </w:rPr>
              <w:t>2012-6-15</w:t>
            </w:r>
          </w:p>
        </w:tc>
        <w:tc>
          <w:tcPr>
            <w:tcW w:w="1140" w:type="dxa"/>
            <w:tcBorders>
              <w:top w:val="single" w:sz="6" w:space="0" w:color="090909"/>
              <w:left w:val="single" w:sz="6" w:space="0" w:color="090909"/>
              <w:bottom w:val="single" w:sz="6" w:space="0" w:color="090909"/>
              <w:right w:val="single" w:sz="6" w:space="0" w:color="090909"/>
            </w:tcBorders>
          </w:tcPr>
          <w:p>
            <w:pPr>
              <w:pStyle w:val="TableParagraph"/>
              <w:spacing w:line="240" w:lineRule="auto" w:before="102"/>
              <w:ind w:right="21"/>
              <w:jc w:val="center"/>
              <w:rPr>
                <w:rFonts w:ascii="宋体" w:hAnsi="宋体" w:cs="宋体" w:eastAsia="宋体" w:hint="default"/>
                <w:sz w:val="21"/>
                <w:szCs w:val="21"/>
              </w:rPr>
            </w:pPr>
            <w:r>
              <w:rPr>
                <w:rFonts w:ascii="宋体"/>
                <w:sz w:val="21"/>
              </w:rPr>
              <w:t>2015-6-14</w:t>
            </w:r>
          </w:p>
        </w:tc>
        <w:tc>
          <w:tcPr>
            <w:tcW w:w="806" w:type="dxa"/>
            <w:tcBorders>
              <w:top w:val="single" w:sz="6" w:space="0" w:color="090909"/>
              <w:left w:val="single" w:sz="6" w:space="0" w:color="090909"/>
              <w:bottom w:val="single" w:sz="6" w:space="0" w:color="090909"/>
              <w:right w:val="single" w:sz="6" w:space="0" w:color="090909"/>
            </w:tcBorders>
          </w:tcPr>
          <w:p>
            <w:pPr>
              <w:pStyle w:val="TableParagraph"/>
              <w:spacing w:line="240" w:lineRule="auto" w:before="102"/>
              <w:ind w:right="287"/>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6" w:hRule="exact"/>
        </w:trPr>
        <w:tc>
          <w:tcPr>
            <w:tcW w:w="881" w:type="dxa"/>
            <w:vMerge/>
            <w:tcBorders>
              <w:left w:val="single" w:sz="6" w:space="0" w:color="090909"/>
              <w:bottom w:val="single" w:sz="6" w:space="0" w:color="090909"/>
              <w:right w:val="single" w:sz="6" w:space="0" w:color="090909"/>
            </w:tcBorders>
          </w:tcPr>
          <w:p>
            <w:pPr/>
          </w:p>
        </w:tc>
        <w:tc>
          <w:tcPr>
            <w:tcW w:w="3000" w:type="dxa"/>
            <w:tcBorders>
              <w:top w:val="single" w:sz="6" w:space="0" w:color="090909"/>
              <w:left w:val="single" w:sz="6" w:space="0" w:color="090909"/>
              <w:bottom w:val="single" w:sz="6" w:space="0" w:color="090909"/>
              <w:right w:val="single" w:sz="6" w:space="0" w:color="090909"/>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上海用友科技咨询有限公司</w:t>
            </w:r>
          </w:p>
        </w:tc>
        <w:tc>
          <w:tcPr>
            <w:tcW w:w="1298" w:type="dxa"/>
            <w:tcBorders>
              <w:top w:val="single" w:sz="6" w:space="0" w:color="090909"/>
              <w:left w:val="single" w:sz="6" w:space="0" w:color="090909"/>
              <w:bottom w:val="single" w:sz="6" w:space="0" w:color="090909"/>
              <w:right w:val="single" w:sz="6" w:space="0" w:color="090909"/>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90" w:type="dxa"/>
            <w:tcBorders>
              <w:top w:val="single" w:sz="6" w:space="0" w:color="090909"/>
              <w:left w:val="single" w:sz="6" w:space="0" w:color="090909"/>
              <w:bottom w:val="single" w:sz="6" w:space="0" w:color="090909"/>
              <w:right w:val="single" w:sz="6" w:space="0" w:color="090909"/>
            </w:tcBorders>
          </w:tcPr>
          <w:p>
            <w:pPr>
              <w:pStyle w:val="TableParagraph"/>
              <w:spacing w:line="241" w:lineRule="exact"/>
              <w:ind w:left="76" w:right="0"/>
              <w:jc w:val="left"/>
              <w:rPr>
                <w:rFonts w:ascii="宋体" w:hAnsi="宋体" w:cs="宋体" w:eastAsia="宋体" w:hint="default"/>
                <w:sz w:val="21"/>
                <w:szCs w:val="21"/>
              </w:rPr>
            </w:pPr>
            <w:r>
              <w:rPr>
                <w:rFonts w:ascii="宋体"/>
                <w:sz w:val="21"/>
              </w:rPr>
              <w:t>2012-6-15</w:t>
            </w:r>
          </w:p>
        </w:tc>
        <w:tc>
          <w:tcPr>
            <w:tcW w:w="1140" w:type="dxa"/>
            <w:tcBorders>
              <w:top w:val="single" w:sz="6" w:space="0" w:color="090909"/>
              <w:left w:val="single" w:sz="6" w:space="0" w:color="090909"/>
              <w:bottom w:val="single" w:sz="6" w:space="0" w:color="090909"/>
              <w:right w:val="single" w:sz="6" w:space="0" w:color="090909"/>
            </w:tcBorders>
          </w:tcPr>
          <w:p>
            <w:pPr>
              <w:pStyle w:val="TableParagraph"/>
              <w:spacing w:line="241" w:lineRule="exact"/>
              <w:ind w:right="21"/>
              <w:jc w:val="center"/>
              <w:rPr>
                <w:rFonts w:ascii="宋体" w:hAnsi="宋体" w:cs="宋体" w:eastAsia="宋体" w:hint="default"/>
                <w:sz w:val="21"/>
                <w:szCs w:val="21"/>
              </w:rPr>
            </w:pPr>
            <w:r>
              <w:rPr>
                <w:rFonts w:ascii="宋体"/>
                <w:sz w:val="21"/>
              </w:rPr>
              <w:t>2015-6-14</w:t>
            </w:r>
          </w:p>
        </w:tc>
        <w:tc>
          <w:tcPr>
            <w:tcW w:w="806" w:type="dxa"/>
            <w:tcBorders>
              <w:top w:val="single" w:sz="6" w:space="0" w:color="090909"/>
              <w:left w:val="single" w:sz="6" w:space="0" w:color="090909"/>
              <w:bottom w:val="single" w:sz="6" w:space="0" w:color="090909"/>
              <w:right w:val="single" w:sz="6" w:space="0" w:color="090909"/>
            </w:tcBorders>
          </w:tcPr>
          <w:p>
            <w:pPr>
              <w:pStyle w:val="TableParagraph"/>
              <w:spacing w:line="241" w:lineRule="exact"/>
              <w:ind w:right="287"/>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881" w:type="dxa"/>
            <w:vMerge w:val="restart"/>
            <w:tcBorders>
              <w:top w:val="single" w:sz="6" w:space="0" w:color="090909"/>
              <w:left w:val="single" w:sz="6" w:space="0" w:color="090909"/>
              <w:right w:val="single" w:sz="6" w:space="0" w:color="090909"/>
            </w:tcBorders>
          </w:tcPr>
          <w:p>
            <w:pPr>
              <w:pStyle w:val="TableParagraph"/>
              <w:spacing w:line="240" w:lineRule="auto" w:before="11"/>
              <w:ind w:right="0"/>
              <w:jc w:val="left"/>
              <w:rPr>
                <w:rFonts w:ascii="宋体" w:hAnsi="宋体" w:cs="宋体" w:eastAsia="宋体" w:hint="default"/>
                <w:b/>
                <w:bCs/>
                <w:sz w:val="29"/>
                <w:szCs w:val="29"/>
              </w:rPr>
            </w:pPr>
          </w:p>
          <w:p>
            <w:pPr>
              <w:pStyle w:val="TableParagraph"/>
              <w:spacing w:line="240" w:lineRule="auto"/>
              <w:ind w:left="117" w:right="0"/>
              <w:jc w:val="left"/>
              <w:rPr>
                <w:rFonts w:ascii="宋体" w:hAnsi="宋体" w:cs="宋体" w:eastAsia="宋体" w:hint="default"/>
                <w:sz w:val="21"/>
                <w:szCs w:val="21"/>
              </w:rPr>
            </w:pPr>
            <w:r>
              <w:rPr>
                <w:rFonts w:ascii="宋体" w:hAnsi="宋体" w:cs="宋体" w:eastAsia="宋体" w:hint="default"/>
                <w:sz w:val="21"/>
                <w:szCs w:val="21"/>
              </w:rPr>
              <w:t>郭新平</w:t>
            </w:r>
          </w:p>
        </w:tc>
        <w:tc>
          <w:tcPr>
            <w:tcW w:w="3000" w:type="dxa"/>
            <w:tcBorders>
              <w:top w:val="single" w:sz="6" w:space="0" w:color="090909"/>
              <w:left w:val="single" w:sz="6" w:space="0" w:color="090909"/>
              <w:bottom w:val="single" w:sz="6" w:space="0" w:color="090909"/>
              <w:right w:val="single" w:sz="6" w:space="0" w:color="090909"/>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上海益倍管理咨询有限公司</w:t>
            </w:r>
          </w:p>
        </w:tc>
        <w:tc>
          <w:tcPr>
            <w:tcW w:w="1298" w:type="dxa"/>
            <w:tcBorders>
              <w:top w:val="single" w:sz="6" w:space="0" w:color="090909"/>
              <w:left w:val="single" w:sz="6" w:space="0" w:color="090909"/>
              <w:bottom w:val="single" w:sz="6" w:space="0" w:color="090909"/>
              <w:right w:val="single" w:sz="6" w:space="0" w:color="090909"/>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490" w:type="dxa"/>
            <w:tcBorders>
              <w:top w:val="single" w:sz="6" w:space="0" w:color="090909"/>
              <w:left w:val="single" w:sz="6" w:space="0" w:color="090909"/>
              <w:bottom w:val="single" w:sz="6" w:space="0" w:color="090909"/>
              <w:right w:val="single" w:sz="6" w:space="0" w:color="090909"/>
            </w:tcBorders>
          </w:tcPr>
          <w:p>
            <w:pPr>
              <w:pStyle w:val="TableParagraph"/>
              <w:spacing w:line="243" w:lineRule="exact"/>
              <w:ind w:left="76" w:right="0"/>
              <w:jc w:val="left"/>
              <w:rPr>
                <w:rFonts w:ascii="宋体" w:hAnsi="宋体" w:cs="宋体" w:eastAsia="宋体" w:hint="default"/>
                <w:sz w:val="21"/>
                <w:szCs w:val="21"/>
              </w:rPr>
            </w:pPr>
            <w:r>
              <w:rPr>
                <w:rFonts w:ascii="宋体"/>
                <w:sz w:val="21"/>
              </w:rPr>
              <w:t>2012-6-15</w:t>
            </w:r>
          </w:p>
        </w:tc>
        <w:tc>
          <w:tcPr>
            <w:tcW w:w="1140" w:type="dxa"/>
            <w:tcBorders>
              <w:top w:val="single" w:sz="6" w:space="0" w:color="090909"/>
              <w:left w:val="single" w:sz="6" w:space="0" w:color="090909"/>
              <w:bottom w:val="single" w:sz="6" w:space="0" w:color="090909"/>
              <w:right w:val="single" w:sz="6" w:space="0" w:color="090909"/>
            </w:tcBorders>
          </w:tcPr>
          <w:p>
            <w:pPr>
              <w:pStyle w:val="TableParagraph"/>
              <w:spacing w:line="243" w:lineRule="exact"/>
              <w:ind w:right="21"/>
              <w:jc w:val="center"/>
              <w:rPr>
                <w:rFonts w:ascii="宋体" w:hAnsi="宋体" w:cs="宋体" w:eastAsia="宋体" w:hint="default"/>
                <w:sz w:val="21"/>
                <w:szCs w:val="21"/>
              </w:rPr>
            </w:pPr>
            <w:r>
              <w:rPr>
                <w:rFonts w:ascii="宋体"/>
                <w:sz w:val="21"/>
              </w:rPr>
              <w:t>2015-6-14</w:t>
            </w:r>
          </w:p>
        </w:tc>
        <w:tc>
          <w:tcPr>
            <w:tcW w:w="806" w:type="dxa"/>
            <w:tcBorders>
              <w:top w:val="single" w:sz="6" w:space="0" w:color="090909"/>
              <w:left w:val="single" w:sz="6" w:space="0" w:color="090909"/>
              <w:bottom w:val="single" w:sz="6" w:space="0" w:color="090909"/>
              <w:right w:val="single" w:sz="6" w:space="0" w:color="090909"/>
            </w:tcBorders>
          </w:tcPr>
          <w:p>
            <w:pPr>
              <w:pStyle w:val="TableParagraph"/>
              <w:spacing w:line="243" w:lineRule="exact"/>
              <w:ind w:right="287"/>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9" w:hRule="exact"/>
        </w:trPr>
        <w:tc>
          <w:tcPr>
            <w:tcW w:w="881" w:type="dxa"/>
            <w:vMerge/>
            <w:tcBorders>
              <w:left w:val="single" w:sz="6" w:space="0" w:color="090909"/>
              <w:right w:val="single" w:sz="6" w:space="0" w:color="090909"/>
            </w:tcBorders>
          </w:tcPr>
          <w:p>
            <w:pPr/>
          </w:p>
        </w:tc>
        <w:tc>
          <w:tcPr>
            <w:tcW w:w="3000" w:type="dxa"/>
            <w:tcBorders>
              <w:top w:val="single" w:sz="6" w:space="0" w:color="090909"/>
              <w:left w:val="single" w:sz="6" w:space="0" w:color="090909"/>
              <w:bottom w:val="single" w:sz="6" w:space="0" w:color="090909"/>
              <w:right w:val="single" w:sz="6" w:space="0" w:color="090909"/>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北京用友企业管理研究所有限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98" w:type="dxa"/>
            <w:tcBorders>
              <w:top w:val="single" w:sz="6" w:space="0" w:color="090909"/>
              <w:left w:val="single" w:sz="6" w:space="0" w:color="090909"/>
              <w:bottom w:val="single" w:sz="6" w:space="0" w:color="090909"/>
              <w:right w:val="single" w:sz="6" w:space="0" w:color="090909"/>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90" w:type="dxa"/>
            <w:tcBorders>
              <w:top w:val="single" w:sz="6" w:space="0" w:color="090909"/>
              <w:left w:val="single" w:sz="6" w:space="0" w:color="090909"/>
              <w:bottom w:val="single" w:sz="6" w:space="0" w:color="090909"/>
              <w:right w:val="single" w:sz="6" w:space="0" w:color="090909"/>
            </w:tcBorders>
          </w:tcPr>
          <w:p>
            <w:pPr>
              <w:pStyle w:val="TableParagraph"/>
              <w:spacing w:line="240" w:lineRule="auto" w:before="102"/>
              <w:ind w:left="76" w:right="0"/>
              <w:jc w:val="left"/>
              <w:rPr>
                <w:rFonts w:ascii="宋体" w:hAnsi="宋体" w:cs="宋体" w:eastAsia="宋体" w:hint="default"/>
                <w:sz w:val="21"/>
                <w:szCs w:val="21"/>
              </w:rPr>
            </w:pPr>
            <w:r>
              <w:rPr>
                <w:rFonts w:ascii="宋体"/>
                <w:sz w:val="21"/>
              </w:rPr>
              <w:t>2012-6-15</w:t>
            </w:r>
          </w:p>
        </w:tc>
        <w:tc>
          <w:tcPr>
            <w:tcW w:w="1140" w:type="dxa"/>
            <w:tcBorders>
              <w:top w:val="single" w:sz="6" w:space="0" w:color="090909"/>
              <w:left w:val="single" w:sz="6" w:space="0" w:color="090909"/>
              <w:bottom w:val="single" w:sz="6" w:space="0" w:color="090909"/>
              <w:right w:val="single" w:sz="6" w:space="0" w:color="090909"/>
            </w:tcBorders>
          </w:tcPr>
          <w:p>
            <w:pPr>
              <w:pStyle w:val="TableParagraph"/>
              <w:spacing w:line="240" w:lineRule="auto" w:before="102"/>
              <w:ind w:right="21"/>
              <w:jc w:val="center"/>
              <w:rPr>
                <w:rFonts w:ascii="宋体" w:hAnsi="宋体" w:cs="宋体" w:eastAsia="宋体" w:hint="default"/>
                <w:sz w:val="21"/>
                <w:szCs w:val="21"/>
              </w:rPr>
            </w:pPr>
            <w:r>
              <w:rPr>
                <w:rFonts w:ascii="宋体"/>
                <w:sz w:val="21"/>
              </w:rPr>
              <w:t>2015-6-14</w:t>
            </w:r>
          </w:p>
        </w:tc>
        <w:tc>
          <w:tcPr>
            <w:tcW w:w="806" w:type="dxa"/>
            <w:tcBorders>
              <w:top w:val="single" w:sz="6" w:space="0" w:color="090909"/>
              <w:left w:val="single" w:sz="6" w:space="0" w:color="090909"/>
              <w:bottom w:val="single" w:sz="6" w:space="0" w:color="090909"/>
              <w:right w:val="single" w:sz="6" w:space="0" w:color="090909"/>
            </w:tcBorders>
          </w:tcPr>
          <w:p>
            <w:pPr>
              <w:pStyle w:val="TableParagraph"/>
              <w:spacing w:line="240" w:lineRule="auto" w:before="102"/>
              <w:ind w:right="287"/>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881" w:type="dxa"/>
            <w:vMerge/>
            <w:tcBorders>
              <w:left w:val="single" w:sz="6" w:space="0" w:color="090909"/>
              <w:bottom w:val="single" w:sz="6" w:space="0" w:color="090909"/>
              <w:right w:val="single" w:sz="6" w:space="0" w:color="090909"/>
            </w:tcBorders>
          </w:tcPr>
          <w:p>
            <w:pPr/>
          </w:p>
        </w:tc>
        <w:tc>
          <w:tcPr>
            <w:tcW w:w="3000" w:type="dxa"/>
            <w:tcBorders>
              <w:top w:val="single" w:sz="6" w:space="0" w:color="090909"/>
              <w:left w:val="single" w:sz="6" w:space="0" w:color="090909"/>
              <w:bottom w:val="single" w:sz="6" w:space="0" w:color="090909"/>
              <w:right w:val="single" w:sz="6" w:space="0" w:color="090909"/>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上海用友科技咨询有限公司</w:t>
            </w:r>
          </w:p>
        </w:tc>
        <w:tc>
          <w:tcPr>
            <w:tcW w:w="1298" w:type="dxa"/>
            <w:tcBorders>
              <w:top w:val="single" w:sz="6" w:space="0" w:color="090909"/>
              <w:left w:val="single" w:sz="6" w:space="0" w:color="090909"/>
              <w:bottom w:val="single" w:sz="6" w:space="0" w:color="090909"/>
              <w:right w:val="single" w:sz="6" w:space="0" w:color="090909"/>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90" w:type="dxa"/>
            <w:tcBorders>
              <w:top w:val="single" w:sz="6" w:space="0" w:color="090909"/>
              <w:left w:val="single" w:sz="6" w:space="0" w:color="090909"/>
              <w:bottom w:val="single" w:sz="6" w:space="0" w:color="090909"/>
              <w:right w:val="single" w:sz="6" w:space="0" w:color="090909"/>
            </w:tcBorders>
          </w:tcPr>
          <w:p>
            <w:pPr>
              <w:pStyle w:val="TableParagraph"/>
              <w:spacing w:line="243" w:lineRule="exact"/>
              <w:ind w:left="76" w:right="0"/>
              <w:jc w:val="left"/>
              <w:rPr>
                <w:rFonts w:ascii="宋体" w:hAnsi="宋体" w:cs="宋体" w:eastAsia="宋体" w:hint="default"/>
                <w:sz w:val="21"/>
                <w:szCs w:val="21"/>
              </w:rPr>
            </w:pPr>
            <w:r>
              <w:rPr>
                <w:rFonts w:ascii="宋体"/>
                <w:sz w:val="21"/>
              </w:rPr>
              <w:t>2012-6-15</w:t>
            </w:r>
          </w:p>
        </w:tc>
        <w:tc>
          <w:tcPr>
            <w:tcW w:w="1140" w:type="dxa"/>
            <w:tcBorders>
              <w:top w:val="single" w:sz="6" w:space="0" w:color="090909"/>
              <w:left w:val="single" w:sz="6" w:space="0" w:color="090909"/>
              <w:bottom w:val="single" w:sz="6" w:space="0" w:color="090909"/>
              <w:right w:val="single" w:sz="6" w:space="0" w:color="090909"/>
            </w:tcBorders>
          </w:tcPr>
          <w:p>
            <w:pPr>
              <w:pStyle w:val="TableParagraph"/>
              <w:spacing w:line="243" w:lineRule="exact"/>
              <w:ind w:right="21"/>
              <w:jc w:val="center"/>
              <w:rPr>
                <w:rFonts w:ascii="宋体" w:hAnsi="宋体" w:cs="宋体" w:eastAsia="宋体" w:hint="default"/>
                <w:sz w:val="21"/>
                <w:szCs w:val="21"/>
              </w:rPr>
            </w:pPr>
            <w:r>
              <w:rPr>
                <w:rFonts w:ascii="宋体"/>
                <w:sz w:val="21"/>
              </w:rPr>
              <w:t>2015-6-14</w:t>
            </w:r>
          </w:p>
        </w:tc>
        <w:tc>
          <w:tcPr>
            <w:tcW w:w="806" w:type="dxa"/>
            <w:tcBorders>
              <w:top w:val="single" w:sz="6" w:space="0" w:color="090909"/>
              <w:left w:val="single" w:sz="6" w:space="0" w:color="090909"/>
              <w:bottom w:val="single" w:sz="6" w:space="0" w:color="090909"/>
              <w:right w:val="single" w:sz="6" w:space="0" w:color="090909"/>
            </w:tcBorders>
          </w:tcPr>
          <w:p>
            <w:pPr>
              <w:pStyle w:val="TableParagraph"/>
              <w:spacing w:line="243" w:lineRule="exact"/>
              <w:ind w:right="287"/>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881" w:type="dxa"/>
            <w:vMerge w:val="restart"/>
            <w:tcBorders>
              <w:top w:val="single" w:sz="6" w:space="0" w:color="090909"/>
              <w:left w:val="single" w:sz="6" w:space="0" w:color="090909"/>
              <w:right w:val="single" w:sz="6" w:space="0" w:color="090909"/>
            </w:tcBorders>
          </w:tcPr>
          <w:p>
            <w:pPr>
              <w:pStyle w:val="TableParagraph"/>
              <w:spacing w:line="240" w:lineRule="auto" w:before="11"/>
              <w:ind w:right="0"/>
              <w:jc w:val="left"/>
              <w:rPr>
                <w:rFonts w:ascii="宋体" w:hAnsi="宋体" w:cs="宋体" w:eastAsia="宋体" w:hint="default"/>
                <w:b/>
                <w:bCs/>
                <w:sz w:val="29"/>
                <w:szCs w:val="29"/>
              </w:rPr>
            </w:pPr>
          </w:p>
          <w:p>
            <w:pPr>
              <w:pStyle w:val="TableParagraph"/>
              <w:spacing w:line="240" w:lineRule="auto"/>
              <w:ind w:left="117"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3000" w:type="dxa"/>
            <w:tcBorders>
              <w:top w:val="single" w:sz="6" w:space="0" w:color="090909"/>
              <w:left w:val="single" w:sz="6" w:space="0" w:color="090909"/>
              <w:bottom w:val="single" w:sz="6" w:space="0" w:color="090909"/>
              <w:right w:val="single" w:sz="6" w:space="0" w:color="090909"/>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上海优富信息咨询有限公司</w:t>
            </w:r>
          </w:p>
        </w:tc>
        <w:tc>
          <w:tcPr>
            <w:tcW w:w="1298" w:type="dxa"/>
            <w:tcBorders>
              <w:top w:val="single" w:sz="6" w:space="0" w:color="090909"/>
              <w:left w:val="single" w:sz="6" w:space="0" w:color="090909"/>
              <w:bottom w:val="single" w:sz="6" w:space="0" w:color="090909"/>
              <w:right w:val="single" w:sz="6" w:space="0" w:color="090909"/>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490" w:type="dxa"/>
            <w:tcBorders>
              <w:top w:val="single" w:sz="6" w:space="0" w:color="090909"/>
              <w:left w:val="single" w:sz="6" w:space="0" w:color="090909"/>
              <w:bottom w:val="single" w:sz="6" w:space="0" w:color="090909"/>
              <w:right w:val="single" w:sz="6" w:space="0" w:color="090909"/>
            </w:tcBorders>
          </w:tcPr>
          <w:p>
            <w:pPr>
              <w:pStyle w:val="TableParagraph"/>
              <w:spacing w:line="241" w:lineRule="exact"/>
              <w:ind w:left="76" w:right="0"/>
              <w:jc w:val="left"/>
              <w:rPr>
                <w:rFonts w:ascii="宋体" w:hAnsi="宋体" w:cs="宋体" w:eastAsia="宋体" w:hint="default"/>
                <w:sz w:val="21"/>
                <w:szCs w:val="21"/>
              </w:rPr>
            </w:pPr>
            <w:r>
              <w:rPr>
                <w:rFonts w:ascii="宋体"/>
                <w:sz w:val="21"/>
              </w:rPr>
              <w:t>2012-6-15</w:t>
            </w:r>
          </w:p>
        </w:tc>
        <w:tc>
          <w:tcPr>
            <w:tcW w:w="1140" w:type="dxa"/>
            <w:tcBorders>
              <w:top w:val="single" w:sz="6" w:space="0" w:color="090909"/>
              <w:left w:val="single" w:sz="6" w:space="0" w:color="090909"/>
              <w:bottom w:val="single" w:sz="6" w:space="0" w:color="090909"/>
              <w:right w:val="single" w:sz="6" w:space="0" w:color="090909"/>
            </w:tcBorders>
          </w:tcPr>
          <w:p>
            <w:pPr>
              <w:pStyle w:val="TableParagraph"/>
              <w:spacing w:line="241" w:lineRule="exact"/>
              <w:ind w:right="21"/>
              <w:jc w:val="center"/>
              <w:rPr>
                <w:rFonts w:ascii="宋体" w:hAnsi="宋体" w:cs="宋体" w:eastAsia="宋体" w:hint="default"/>
                <w:sz w:val="21"/>
                <w:szCs w:val="21"/>
              </w:rPr>
            </w:pPr>
            <w:r>
              <w:rPr>
                <w:rFonts w:ascii="宋体"/>
                <w:sz w:val="21"/>
              </w:rPr>
              <w:t>2015-6-14</w:t>
            </w:r>
          </w:p>
        </w:tc>
        <w:tc>
          <w:tcPr>
            <w:tcW w:w="806" w:type="dxa"/>
            <w:tcBorders>
              <w:top w:val="single" w:sz="6" w:space="0" w:color="090909"/>
              <w:left w:val="single" w:sz="6" w:space="0" w:color="090909"/>
              <w:bottom w:val="single" w:sz="6" w:space="0" w:color="090909"/>
              <w:right w:val="single" w:sz="6" w:space="0" w:color="090909"/>
            </w:tcBorders>
          </w:tcPr>
          <w:p>
            <w:pPr>
              <w:pStyle w:val="TableParagraph"/>
              <w:spacing w:line="241" w:lineRule="exact"/>
              <w:ind w:right="287"/>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9" w:hRule="exact"/>
        </w:trPr>
        <w:tc>
          <w:tcPr>
            <w:tcW w:w="881" w:type="dxa"/>
            <w:vMerge/>
            <w:tcBorders>
              <w:left w:val="single" w:sz="6" w:space="0" w:color="090909"/>
              <w:right w:val="single" w:sz="6" w:space="0" w:color="090909"/>
            </w:tcBorders>
          </w:tcPr>
          <w:p>
            <w:pPr/>
          </w:p>
        </w:tc>
        <w:tc>
          <w:tcPr>
            <w:tcW w:w="3000" w:type="dxa"/>
            <w:tcBorders>
              <w:top w:val="single" w:sz="6" w:space="0" w:color="090909"/>
              <w:left w:val="single" w:sz="6" w:space="0" w:color="090909"/>
              <w:bottom w:val="single" w:sz="6" w:space="0" w:color="090909"/>
              <w:right w:val="single" w:sz="6" w:space="0" w:color="090909"/>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北京用友企业管理研究所有限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298" w:type="dxa"/>
            <w:tcBorders>
              <w:top w:val="single" w:sz="6" w:space="0" w:color="090909"/>
              <w:left w:val="single" w:sz="6" w:space="0" w:color="090909"/>
              <w:bottom w:val="single" w:sz="6" w:space="0" w:color="090909"/>
              <w:right w:val="single" w:sz="6" w:space="0" w:color="090909"/>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90" w:type="dxa"/>
            <w:tcBorders>
              <w:top w:val="single" w:sz="6" w:space="0" w:color="090909"/>
              <w:left w:val="single" w:sz="6" w:space="0" w:color="090909"/>
              <w:bottom w:val="single" w:sz="6" w:space="0" w:color="090909"/>
              <w:right w:val="single" w:sz="6" w:space="0" w:color="090909"/>
            </w:tcBorders>
          </w:tcPr>
          <w:p>
            <w:pPr>
              <w:pStyle w:val="TableParagraph"/>
              <w:spacing w:line="240" w:lineRule="auto" w:before="102"/>
              <w:ind w:left="76" w:right="0"/>
              <w:jc w:val="left"/>
              <w:rPr>
                <w:rFonts w:ascii="宋体" w:hAnsi="宋体" w:cs="宋体" w:eastAsia="宋体" w:hint="default"/>
                <w:sz w:val="21"/>
                <w:szCs w:val="21"/>
              </w:rPr>
            </w:pPr>
            <w:r>
              <w:rPr>
                <w:rFonts w:ascii="宋体"/>
                <w:sz w:val="21"/>
              </w:rPr>
              <w:t>2012-6-15</w:t>
            </w:r>
          </w:p>
        </w:tc>
        <w:tc>
          <w:tcPr>
            <w:tcW w:w="1140" w:type="dxa"/>
            <w:tcBorders>
              <w:top w:val="single" w:sz="6" w:space="0" w:color="090909"/>
              <w:left w:val="single" w:sz="6" w:space="0" w:color="090909"/>
              <w:bottom w:val="single" w:sz="6" w:space="0" w:color="090909"/>
              <w:right w:val="single" w:sz="6" w:space="0" w:color="090909"/>
            </w:tcBorders>
          </w:tcPr>
          <w:p>
            <w:pPr>
              <w:pStyle w:val="TableParagraph"/>
              <w:spacing w:line="240" w:lineRule="auto" w:before="102"/>
              <w:ind w:right="21"/>
              <w:jc w:val="center"/>
              <w:rPr>
                <w:rFonts w:ascii="宋体" w:hAnsi="宋体" w:cs="宋体" w:eastAsia="宋体" w:hint="default"/>
                <w:sz w:val="21"/>
                <w:szCs w:val="21"/>
              </w:rPr>
            </w:pPr>
            <w:r>
              <w:rPr>
                <w:rFonts w:ascii="宋体"/>
                <w:sz w:val="21"/>
              </w:rPr>
              <w:t>2015-6-14</w:t>
            </w:r>
          </w:p>
        </w:tc>
        <w:tc>
          <w:tcPr>
            <w:tcW w:w="806" w:type="dxa"/>
            <w:tcBorders>
              <w:top w:val="single" w:sz="6" w:space="0" w:color="090909"/>
              <w:left w:val="single" w:sz="6" w:space="0" w:color="090909"/>
              <w:bottom w:val="single" w:sz="6" w:space="0" w:color="090909"/>
              <w:right w:val="single" w:sz="6" w:space="0" w:color="090909"/>
            </w:tcBorders>
          </w:tcPr>
          <w:p>
            <w:pPr>
              <w:pStyle w:val="TableParagraph"/>
              <w:spacing w:line="240" w:lineRule="auto" w:before="102"/>
              <w:ind w:right="287"/>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881" w:type="dxa"/>
            <w:vMerge/>
            <w:tcBorders>
              <w:left w:val="single" w:sz="6" w:space="0" w:color="090909"/>
              <w:bottom w:val="single" w:sz="6" w:space="0" w:color="090909"/>
              <w:right w:val="single" w:sz="6" w:space="0" w:color="090909"/>
            </w:tcBorders>
          </w:tcPr>
          <w:p>
            <w:pPr/>
          </w:p>
        </w:tc>
        <w:tc>
          <w:tcPr>
            <w:tcW w:w="3000" w:type="dxa"/>
            <w:tcBorders>
              <w:top w:val="single" w:sz="6" w:space="0" w:color="090909"/>
              <w:left w:val="single" w:sz="6" w:space="0" w:color="090909"/>
              <w:bottom w:val="single" w:sz="6" w:space="0" w:color="090909"/>
              <w:right w:val="single" w:sz="6" w:space="0" w:color="090909"/>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上海用友科技咨询有限公司</w:t>
            </w:r>
          </w:p>
        </w:tc>
        <w:tc>
          <w:tcPr>
            <w:tcW w:w="1298" w:type="dxa"/>
            <w:tcBorders>
              <w:top w:val="single" w:sz="6" w:space="0" w:color="090909"/>
              <w:left w:val="single" w:sz="6" w:space="0" w:color="090909"/>
              <w:bottom w:val="single" w:sz="6" w:space="0" w:color="090909"/>
              <w:right w:val="single" w:sz="6" w:space="0" w:color="090909"/>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90" w:type="dxa"/>
            <w:tcBorders>
              <w:top w:val="single" w:sz="6" w:space="0" w:color="090909"/>
              <w:left w:val="single" w:sz="6" w:space="0" w:color="090909"/>
              <w:bottom w:val="single" w:sz="6" w:space="0" w:color="090909"/>
              <w:right w:val="single" w:sz="6" w:space="0" w:color="090909"/>
            </w:tcBorders>
          </w:tcPr>
          <w:p>
            <w:pPr>
              <w:pStyle w:val="TableParagraph"/>
              <w:spacing w:line="241" w:lineRule="exact"/>
              <w:ind w:left="76" w:right="0"/>
              <w:jc w:val="left"/>
              <w:rPr>
                <w:rFonts w:ascii="宋体" w:hAnsi="宋体" w:cs="宋体" w:eastAsia="宋体" w:hint="default"/>
                <w:sz w:val="21"/>
                <w:szCs w:val="21"/>
              </w:rPr>
            </w:pPr>
            <w:r>
              <w:rPr>
                <w:rFonts w:ascii="宋体"/>
                <w:sz w:val="21"/>
              </w:rPr>
              <w:t>2012-6-15</w:t>
            </w:r>
          </w:p>
        </w:tc>
        <w:tc>
          <w:tcPr>
            <w:tcW w:w="1140" w:type="dxa"/>
            <w:tcBorders>
              <w:top w:val="single" w:sz="6" w:space="0" w:color="090909"/>
              <w:left w:val="single" w:sz="6" w:space="0" w:color="090909"/>
              <w:bottom w:val="single" w:sz="6" w:space="0" w:color="090909"/>
              <w:right w:val="single" w:sz="6" w:space="0" w:color="090909"/>
            </w:tcBorders>
          </w:tcPr>
          <w:p>
            <w:pPr>
              <w:pStyle w:val="TableParagraph"/>
              <w:spacing w:line="241" w:lineRule="exact"/>
              <w:ind w:right="21"/>
              <w:jc w:val="center"/>
              <w:rPr>
                <w:rFonts w:ascii="宋体" w:hAnsi="宋体" w:cs="宋体" w:eastAsia="宋体" w:hint="default"/>
                <w:sz w:val="21"/>
                <w:szCs w:val="21"/>
              </w:rPr>
            </w:pPr>
            <w:r>
              <w:rPr>
                <w:rFonts w:ascii="宋体"/>
                <w:sz w:val="21"/>
              </w:rPr>
              <w:t>2015-6-14</w:t>
            </w:r>
          </w:p>
        </w:tc>
        <w:tc>
          <w:tcPr>
            <w:tcW w:w="806" w:type="dxa"/>
            <w:tcBorders>
              <w:top w:val="single" w:sz="6" w:space="0" w:color="090909"/>
              <w:left w:val="single" w:sz="6" w:space="0" w:color="090909"/>
              <w:bottom w:val="single" w:sz="6" w:space="0" w:color="090909"/>
              <w:right w:val="single" w:sz="6" w:space="0" w:color="090909"/>
            </w:tcBorders>
          </w:tcPr>
          <w:p>
            <w:pPr>
              <w:pStyle w:val="TableParagraph"/>
              <w:spacing w:line="241" w:lineRule="exact"/>
              <w:ind w:right="287"/>
              <w:jc w:val="righ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2"/>
        <w:rPr>
          <w:rFonts w:ascii="宋体" w:hAnsi="宋体" w:cs="宋体" w:eastAsia="宋体" w:hint="default"/>
          <w:b/>
          <w:bCs/>
          <w:sz w:val="28"/>
          <w:szCs w:val="28"/>
        </w:rPr>
      </w:pPr>
    </w:p>
    <w:p>
      <w:pPr>
        <w:pStyle w:val="Heading2"/>
        <w:spacing w:line="240" w:lineRule="auto" w:before="26"/>
        <w:ind w:left="704" w:right="188"/>
        <w:jc w:val="left"/>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3"/>
        </w:rPr>
        <w:t> </w:t>
      </w:r>
      <w:r>
        <w:rPr/>
        <w:t>在其他单位任职情况</w:t>
      </w:r>
      <w:r>
        <w:rPr>
          <w:b w:val="0"/>
          <w:bCs w:val="0"/>
        </w:rPr>
      </w:r>
    </w:p>
    <w:p>
      <w:pPr>
        <w:spacing w:after="0" w:line="240" w:lineRule="auto"/>
        <w:jc w:val="left"/>
        <w:sectPr>
          <w:pgSz w:w="11910" w:h="16850"/>
          <w:pgMar w:header="752" w:footer="730" w:top="1020" w:bottom="920" w:left="1280" w:right="11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530"/>
        <w:gridCol w:w="3602"/>
        <w:gridCol w:w="1402"/>
        <w:gridCol w:w="1536"/>
        <w:gridCol w:w="1397"/>
        <w:gridCol w:w="934"/>
      </w:tblGrid>
      <w:tr>
        <w:trPr>
          <w:trHeight w:val="828" w:hRule="exact"/>
        </w:trPr>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53" w:right="155"/>
              <w:jc w:val="left"/>
              <w:rPr>
                <w:rFonts w:ascii="宋体" w:hAnsi="宋体" w:cs="宋体" w:eastAsia="宋体" w:hint="default"/>
                <w:sz w:val="21"/>
                <w:szCs w:val="21"/>
              </w:rPr>
            </w:pPr>
            <w:r>
              <w:rPr>
                <w:rFonts w:ascii="宋体" w:hAnsi="宋体" w:cs="宋体" w:eastAsia="宋体" w:hint="default"/>
                <w:sz w:val="21"/>
                <w:szCs w:val="21"/>
              </w:rPr>
              <w:t>姓</w:t>
            </w:r>
            <w:r>
              <w:rPr>
                <w:rFonts w:ascii="宋体" w:hAnsi="宋体" w:cs="宋体" w:eastAsia="宋体" w:hint="default"/>
                <w:w w:val="100"/>
                <w:sz w:val="21"/>
                <w:szCs w:val="21"/>
              </w:rPr>
              <w:t> </w:t>
            </w:r>
            <w:r>
              <w:rPr>
                <w:rFonts w:ascii="宋体" w:hAnsi="宋体" w:cs="宋体" w:eastAsia="宋体" w:hint="default"/>
                <w:sz w:val="21"/>
                <w:szCs w:val="21"/>
              </w:rPr>
              <w:t>名</w:t>
            </w: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787"/>
              <w:jc w:val="left"/>
              <w:rPr>
                <w:rFonts w:ascii="宋体" w:hAnsi="宋体" w:cs="宋体" w:eastAsia="宋体" w:hint="default"/>
                <w:sz w:val="21"/>
                <w:szCs w:val="21"/>
              </w:rPr>
            </w:pPr>
            <w:r>
              <w:rPr>
                <w:rFonts w:ascii="宋体" w:hAnsi="宋体" w:cs="宋体" w:eastAsia="宋体" w:hint="default"/>
                <w:sz w:val="21"/>
                <w:szCs w:val="21"/>
              </w:rPr>
              <w:t>任期起</w:t>
            </w:r>
            <w:r>
              <w:rPr>
                <w:rFonts w:ascii="宋体" w:hAnsi="宋体" w:cs="宋体" w:eastAsia="宋体" w:hint="default"/>
                <w:spacing w:val="-102"/>
                <w:sz w:val="21"/>
                <w:szCs w:val="21"/>
              </w:rPr>
              <w:t> </w:t>
            </w:r>
            <w:r>
              <w:rPr>
                <w:rFonts w:ascii="宋体" w:hAnsi="宋体" w:cs="宋体" w:eastAsia="宋体" w:hint="default"/>
                <w:sz w:val="21"/>
                <w:szCs w:val="21"/>
              </w:rPr>
              <w:t>始日期</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648"/>
              <w:jc w:val="left"/>
              <w:rPr>
                <w:rFonts w:ascii="宋体" w:hAnsi="宋体" w:cs="宋体" w:eastAsia="宋体" w:hint="default"/>
                <w:sz w:val="21"/>
                <w:szCs w:val="21"/>
              </w:rPr>
            </w:pPr>
            <w:r>
              <w:rPr>
                <w:rFonts w:ascii="宋体" w:hAnsi="宋体" w:cs="宋体" w:eastAsia="宋体" w:hint="default"/>
                <w:sz w:val="21"/>
                <w:szCs w:val="21"/>
              </w:rPr>
              <w:t>任期终</w:t>
            </w:r>
            <w:r>
              <w:rPr>
                <w:rFonts w:ascii="宋体" w:hAnsi="宋体" w:cs="宋体" w:eastAsia="宋体" w:hint="default"/>
                <w:spacing w:val="-102"/>
                <w:sz w:val="21"/>
                <w:szCs w:val="21"/>
              </w:rPr>
              <w:t> </w:t>
            </w:r>
            <w:r>
              <w:rPr>
                <w:rFonts w:ascii="宋体" w:hAnsi="宋体" w:cs="宋体" w:eastAsia="宋体" w:hint="default"/>
                <w:sz w:val="21"/>
                <w:szCs w:val="21"/>
              </w:rPr>
              <w:t>止日期</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hAnsi="宋体" w:cs="宋体" w:eastAsia="宋体" w:hint="default"/>
                <w:sz w:val="21"/>
                <w:szCs w:val="21"/>
              </w:rPr>
              <w:t>是否领</w:t>
            </w:r>
          </w:p>
          <w:p>
            <w:pPr>
              <w:pStyle w:val="TableParagraph"/>
              <w:spacing w:line="272" w:lineRule="exact" w:before="27"/>
              <w:ind w:left="252" w:right="141" w:hanging="106"/>
              <w:jc w:val="left"/>
              <w:rPr>
                <w:rFonts w:ascii="宋体" w:hAnsi="宋体" w:cs="宋体" w:eastAsia="宋体" w:hint="default"/>
                <w:sz w:val="21"/>
                <w:szCs w:val="21"/>
              </w:rPr>
            </w:pPr>
            <w:r>
              <w:rPr>
                <w:rFonts w:ascii="宋体" w:hAnsi="宋体" w:cs="宋体" w:eastAsia="宋体" w:hint="default"/>
                <w:sz w:val="21"/>
                <w:szCs w:val="21"/>
              </w:rPr>
              <w:t>取报酬</w:t>
            </w:r>
            <w:r>
              <w:rPr>
                <w:rFonts w:ascii="宋体" w:hAnsi="宋体" w:cs="宋体" w:eastAsia="宋体" w:hint="default"/>
                <w:spacing w:val="-102"/>
                <w:sz w:val="21"/>
                <w:szCs w:val="21"/>
              </w:rPr>
              <w:t> </w:t>
            </w:r>
            <w:r>
              <w:rPr>
                <w:rFonts w:ascii="宋体" w:hAnsi="宋体" w:cs="宋体" w:eastAsia="宋体" w:hint="default"/>
                <w:sz w:val="21"/>
                <w:szCs w:val="21"/>
              </w:rPr>
              <w:t>津贴</w:t>
            </w:r>
          </w:p>
        </w:tc>
      </w:tr>
      <w:tr>
        <w:trPr>
          <w:trHeight w:val="312" w:hRule="exact"/>
        </w:trPr>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37" w:lineRule="auto"/>
              <w:ind w:left="153" w:right="155"/>
              <w:jc w:val="both"/>
              <w:rPr>
                <w:rFonts w:ascii="宋体" w:hAnsi="宋体" w:cs="宋体" w:eastAsia="宋体" w:hint="default"/>
                <w:sz w:val="21"/>
                <w:szCs w:val="21"/>
              </w:rPr>
            </w:pPr>
            <w:r>
              <w:rPr>
                <w:rFonts w:ascii="宋体" w:hAnsi="宋体" w:cs="宋体" w:eastAsia="宋体" w:hint="default"/>
                <w:sz w:val="21"/>
                <w:szCs w:val="21"/>
              </w:rPr>
              <w:t>王</w:t>
            </w:r>
            <w:r>
              <w:rPr>
                <w:rFonts w:ascii="宋体" w:hAnsi="宋体" w:cs="宋体" w:eastAsia="宋体" w:hint="default"/>
                <w:w w:val="100"/>
                <w:sz w:val="21"/>
                <w:szCs w:val="21"/>
              </w:rPr>
              <w:t> </w:t>
            </w:r>
            <w:r>
              <w:rPr>
                <w:rFonts w:ascii="宋体" w:hAnsi="宋体" w:cs="宋体" w:eastAsia="宋体" w:hint="default"/>
                <w:sz w:val="21"/>
                <w:szCs w:val="21"/>
              </w:rPr>
              <w:t>文</w:t>
            </w:r>
            <w:r>
              <w:rPr>
                <w:rFonts w:ascii="宋体" w:hAnsi="宋体" w:cs="宋体" w:eastAsia="宋体" w:hint="default"/>
                <w:w w:val="100"/>
                <w:sz w:val="21"/>
                <w:szCs w:val="21"/>
              </w:rPr>
              <w:t> </w:t>
            </w:r>
            <w:r>
              <w:rPr>
                <w:rFonts w:ascii="宋体" w:hAnsi="宋体" w:cs="宋体" w:eastAsia="宋体" w:hint="default"/>
                <w:sz w:val="21"/>
                <w:szCs w:val="21"/>
              </w:rPr>
              <w:t>京</w:t>
            </w: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厦门用友烟草软件有限责任公司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2011-8-21</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2014-8-21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畅捷通信息技术股份有限公司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2010-3-17</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2013-3-16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用友汽车信息科技（上海）有限公司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2010-6-21</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2013-6-20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用友长伴管理咨询（上海）有限公司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2010-10-29</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2013-10-28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武汉用友软件有限责任公司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2010-5-30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2013-5-29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北京伟库电子商务科技有限公司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2010-4-3</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2013-4-2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北京用友政务软件有限公司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2010-11-10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2013-11-9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用友金融信息技术有限公司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2012-7-4</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2015-7-3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19"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23"/>
              <w:ind w:left="103" w:right="122"/>
              <w:jc w:val="left"/>
              <w:rPr>
                <w:rFonts w:ascii="宋体" w:hAnsi="宋体" w:cs="宋体" w:eastAsia="宋体" w:hint="default"/>
                <w:sz w:val="21"/>
                <w:szCs w:val="21"/>
              </w:rPr>
            </w:pPr>
            <w:r>
              <w:rPr>
                <w:rFonts w:ascii="宋体" w:hAnsi="宋体" w:cs="宋体" w:eastAsia="宋体" w:hint="default"/>
                <w:spacing w:val="-2"/>
                <w:sz w:val="21"/>
                <w:szCs w:val="21"/>
              </w:rPr>
              <w:t>用友云达信息技术服务（南昌）有限</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21"/>
                <w:szCs w:val="21"/>
              </w:rPr>
            </w:pPr>
            <w:r>
              <w:rPr>
                <w:rFonts w:ascii="宋体"/>
                <w:sz w:val="21"/>
              </w:rPr>
              <w:t>2012-12-27</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left="103" w:right="0"/>
              <w:jc w:val="left"/>
              <w:rPr>
                <w:rFonts w:ascii="宋体" w:hAnsi="宋体" w:cs="宋体" w:eastAsia="宋体" w:hint="default"/>
                <w:sz w:val="21"/>
                <w:szCs w:val="21"/>
              </w:rPr>
            </w:pPr>
            <w:r>
              <w:rPr>
                <w:rFonts w:ascii="宋体"/>
                <w:sz w:val="21"/>
              </w:rPr>
              <w:t>2015-12-26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北京用友审计软件有限公司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2012-9-25</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2015-9-24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用友新道科技有限公司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2011-4-30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2014-4-30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北京用友华表软件技术有限公司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2012-10-8</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2015-10-7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14"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YONYOU INTERNATIONAL</w:t>
            </w:r>
            <w:r>
              <w:rPr>
                <w:rFonts w:ascii="宋体"/>
                <w:spacing w:val="-3"/>
                <w:sz w:val="21"/>
              </w:rPr>
              <w:t> </w:t>
            </w:r>
            <w:r>
              <w:rPr>
                <w:rFonts w:ascii="宋体"/>
                <w:sz w:val="21"/>
              </w:rPr>
              <w:t>HOLDINGS.,</w:t>
            </w:r>
          </w:p>
          <w:p>
            <w:pPr>
              <w:pStyle w:val="TableParagraph"/>
              <w:spacing w:line="274" w:lineRule="exact"/>
              <w:ind w:left="103" w:right="0"/>
              <w:jc w:val="left"/>
              <w:rPr>
                <w:rFonts w:ascii="宋体" w:hAnsi="宋体" w:cs="宋体" w:eastAsia="宋体" w:hint="default"/>
                <w:sz w:val="21"/>
                <w:szCs w:val="21"/>
              </w:rPr>
            </w:pPr>
            <w:r>
              <w:rPr>
                <w:rFonts w:ascii="宋体"/>
                <w:sz w:val="21"/>
              </w:rPr>
              <w:t>LTD.</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21"/>
                <w:szCs w:val="21"/>
              </w:rPr>
            </w:pPr>
            <w:r>
              <w:rPr>
                <w:rFonts w:ascii="宋体"/>
                <w:sz w:val="21"/>
              </w:rPr>
              <w:t>2010-4-3</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21"/>
                <w:szCs w:val="21"/>
              </w:rPr>
            </w:pPr>
            <w:r>
              <w:rPr>
                <w:rFonts w:ascii="宋体"/>
                <w:sz w:val="21"/>
              </w:rPr>
              <w:t>2013-4-2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2"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WECOO NETWORK</w:t>
            </w:r>
            <w:r>
              <w:rPr>
                <w:rFonts w:ascii="宋体"/>
                <w:spacing w:val="-3"/>
                <w:sz w:val="21"/>
              </w:rPr>
              <w:t> </w:t>
            </w:r>
            <w:r>
              <w:rPr>
                <w:rFonts w:ascii="宋体"/>
                <w:sz w:val="21"/>
              </w:rPr>
              <w:t>TECHNOLOGES</w:t>
            </w:r>
          </w:p>
          <w:p>
            <w:pPr>
              <w:pStyle w:val="TableParagraph"/>
              <w:spacing w:line="274" w:lineRule="exact"/>
              <w:ind w:left="103" w:right="0"/>
              <w:jc w:val="left"/>
              <w:rPr>
                <w:rFonts w:ascii="宋体" w:hAnsi="宋体" w:cs="宋体" w:eastAsia="宋体" w:hint="default"/>
                <w:sz w:val="21"/>
                <w:szCs w:val="21"/>
              </w:rPr>
            </w:pPr>
            <w:r>
              <w:rPr>
                <w:rFonts w:ascii="宋体"/>
                <w:sz w:val="21"/>
              </w:rPr>
              <w:t>CO.,LTD.</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2012-6-28</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21"/>
                <w:szCs w:val="21"/>
              </w:rPr>
            </w:pPr>
            <w:r>
              <w:rPr>
                <w:rFonts w:ascii="宋体"/>
                <w:sz w:val="21"/>
              </w:rPr>
              <w:t>2015-6-27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重庆用友软件有限公司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2011-2-7</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2014-2-7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广东用友软件有限公司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2012-12-5</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2015-12-4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深圳用友软件有限公司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2012-10-15</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2015-10-14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江西用友软件有限公司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2011-5-27</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2014-5-27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26"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YONYOU (SINGAPORE)</w:t>
            </w:r>
            <w:r>
              <w:rPr>
                <w:rFonts w:ascii="宋体"/>
                <w:spacing w:val="-2"/>
                <w:sz w:val="21"/>
              </w:rPr>
              <w:t> </w:t>
            </w:r>
            <w:r>
              <w:rPr>
                <w:rFonts w:ascii="宋体"/>
                <w:sz w:val="21"/>
              </w:rPr>
              <w:t>PRIVATE</w:t>
            </w:r>
          </w:p>
          <w:p>
            <w:pPr>
              <w:pStyle w:val="TableParagraph"/>
              <w:spacing w:line="273" w:lineRule="exact"/>
              <w:ind w:left="103" w:right="0"/>
              <w:jc w:val="left"/>
              <w:rPr>
                <w:rFonts w:ascii="宋体" w:hAnsi="宋体" w:cs="宋体" w:eastAsia="宋体" w:hint="default"/>
                <w:sz w:val="21"/>
                <w:szCs w:val="21"/>
              </w:rPr>
            </w:pPr>
            <w:r>
              <w:rPr>
                <w:rFonts w:ascii="宋体"/>
                <w:sz w:val="21"/>
              </w:rPr>
              <w:t>LIMITED</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sz w:val="21"/>
              </w:rPr>
              <w:t>2010-8-27</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sz w:val="21"/>
              </w:rPr>
              <w:t>2013-8-26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64"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sz w:val="21"/>
              </w:rPr>
              <w:t>YONYOU</w:t>
            </w:r>
            <w:r>
              <w:rPr>
                <w:rFonts w:ascii="宋体"/>
                <w:spacing w:val="-48"/>
                <w:sz w:val="21"/>
              </w:rPr>
              <w:t> </w:t>
            </w:r>
            <w:r>
              <w:rPr>
                <w:rFonts w:ascii="宋体"/>
                <w:sz w:val="21"/>
              </w:rPr>
              <w:t>(HONG</w:t>
            </w:r>
            <w:r>
              <w:rPr>
                <w:rFonts w:ascii="宋体"/>
                <w:spacing w:val="-48"/>
                <w:sz w:val="21"/>
              </w:rPr>
              <w:t> </w:t>
            </w:r>
            <w:r>
              <w:rPr>
                <w:rFonts w:ascii="宋体"/>
                <w:sz w:val="21"/>
              </w:rPr>
              <w:t>KONG)</w:t>
            </w:r>
            <w:r>
              <w:rPr>
                <w:rFonts w:ascii="宋体"/>
                <w:spacing w:val="-45"/>
                <w:sz w:val="21"/>
              </w:rPr>
              <w:t> </w:t>
            </w:r>
            <w:r>
              <w:rPr>
                <w:rFonts w:ascii="宋体"/>
                <w:sz w:val="21"/>
              </w:rPr>
              <w:t>COMPANY</w:t>
            </w:r>
            <w:r>
              <w:rPr>
                <w:rFonts w:ascii="宋体"/>
                <w:spacing w:val="-45"/>
                <w:sz w:val="21"/>
              </w:rPr>
              <w:t> </w:t>
            </w:r>
            <w:r>
              <w:rPr>
                <w:rFonts w:ascii="宋体"/>
                <w:sz w:val="21"/>
              </w:rPr>
              <w:t>LIMITED</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sz w:val="21"/>
              </w:rPr>
              <w:t>2009-6-27</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sz w:val="21"/>
              </w:rPr>
              <w:t>2015-6-26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YONYOU</w:t>
            </w:r>
            <w:r>
              <w:rPr>
                <w:rFonts w:ascii="宋体"/>
                <w:spacing w:val="-20"/>
                <w:sz w:val="21"/>
              </w:rPr>
              <w:t> </w:t>
            </w:r>
            <w:r>
              <w:rPr>
                <w:rFonts w:ascii="宋体"/>
                <w:sz w:val="21"/>
              </w:rPr>
              <w:t>SOFTWARE</w:t>
            </w:r>
            <w:r>
              <w:rPr>
                <w:rFonts w:ascii="宋体"/>
                <w:spacing w:val="-20"/>
                <w:sz w:val="21"/>
              </w:rPr>
              <w:t> </w:t>
            </w:r>
            <w:r>
              <w:rPr>
                <w:rFonts w:ascii="宋体"/>
                <w:sz w:val="21"/>
              </w:rPr>
              <w:t>(MACAU)</w:t>
            </w:r>
            <w:r>
              <w:rPr>
                <w:rFonts w:ascii="宋体"/>
                <w:spacing w:val="-20"/>
                <w:sz w:val="21"/>
              </w:rPr>
              <w:t> </w:t>
            </w:r>
            <w:r>
              <w:rPr>
                <w:rFonts w:ascii="宋体"/>
                <w:sz w:val="21"/>
              </w:rPr>
              <w:t>CO.,</w:t>
            </w:r>
            <w:r>
              <w:rPr>
                <w:rFonts w:ascii="宋体"/>
                <w:spacing w:val="-20"/>
                <w:sz w:val="21"/>
              </w:rPr>
              <w:t> </w:t>
            </w:r>
            <w:r>
              <w:rPr>
                <w:rFonts w:ascii="宋体"/>
                <w:sz w:val="21"/>
              </w:rPr>
              <w:t>LTD.</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2010-3-17</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2013-3-16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YUNANO</w:t>
            </w:r>
            <w:r>
              <w:rPr>
                <w:rFonts w:ascii="宋体"/>
                <w:spacing w:val="3"/>
                <w:sz w:val="21"/>
              </w:rPr>
              <w:t> </w:t>
            </w:r>
            <w:r>
              <w:rPr>
                <w:rFonts w:ascii="宋体"/>
                <w:sz w:val="21"/>
              </w:rPr>
              <w:t>SAS</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2012-3-21</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2015-3-20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Yonyou (Canada) Company</w:t>
            </w:r>
            <w:r>
              <w:rPr>
                <w:rFonts w:ascii="宋体"/>
                <w:spacing w:val="-3"/>
                <w:sz w:val="21"/>
              </w:rPr>
              <w:t> </w:t>
            </w:r>
            <w:r>
              <w:rPr>
                <w:rFonts w:ascii="宋体"/>
                <w:sz w:val="21"/>
              </w:rPr>
              <w:t>Limited</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2012-7-20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2015-7-19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中科方德软件有限公司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2012-12-25</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2015-12-24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tcBorders>
              <w:left w:val="single" w:sz="4" w:space="0" w:color="000000"/>
              <w:bottom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通联支付网络服务股份有限公司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2011-10-15</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2014-10-15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22"/>
              <w:ind w:left="153" w:right="155"/>
              <w:jc w:val="both"/>
              <w:rPr>
                <w:rFonts w:ascii="宋体" w:hAnsi="宋体" w:cs="宋体" w:eastAsia="宋体" w:hint="default"/>
                <w:sz w:val="21"/>
                <w:szCs w:val="21"/>
              </w:rPr>
            </w:pPr>
            <w:r>
              <w:rPr>
                <w:rFonts w:ascii="宋体" w:hAnsi="宋体" w:cs="宋体" w:eastAsia="宋体" w:hint="default"/>
                <w:sz w:val="21"/>
                <w:szCs w:val="21"/>
              </w:rPr>
              <w:t>郭</w:t>
            </w:r>
            <w:r>
              <w:rPr>
                <w:rFonts w:ascii="宋体" w:hAnsi="宋体" w:cs="宋体" w:eastAsia="宋体" w:hint="default"/>
                <w:w w:val="100"/>
                <w:sz w:val="21"/>
                <w:szCs w:val="21"/>
              </w:rPr>
              <w:t> </w:t>
            </w:r>
            <w:r>
              <w:rPr>
                <w:rFonts w:ascii="宋体" w:hAnsi="宋体" w:cs="宋体" w:eastAsia="宋体" w:hint="default"/>
                <w:sz w:val="21"/>
                <w:szCs w:val="21"/>
              </w:rPr>
              <w:t>新</w:t>
            </w:r>
            <w:r>
              <w:rPr>
                <w:rFonts w:ascii="宋体" w:hAnsi="宋体" w:cs="宋体" w:eastAsia="宋体" w:hint="default"/>
                <w:w w:val="100"/>
                <w:sz w:val="21"/>
                <w:szCs w:val="21"/>
              </w:rPr>
              <w:t> </w:t>
            </w:r>
            <w:r>
              <w:rPr>
                <w:rFonts w:ascii="宋体" w:hAnsi="宋体" w:cs="宋体" w:eastAsia="宋体" w:hint="default"/>
                <w:sz w:val="21"/>
                <w:szCs w:val="21"/>
              </w:rPr>
              <w:t>平</w:t>
            </w: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用友（南昌）产业基地发展有限公司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2012-9-7</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2015-9-6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三亚用友软件科技有限公司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2010-2-11</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2013-2-10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天津用友软件技术有限公司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2011-3-13</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2014-3-13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安徽用友软件有限公司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2009-12-31</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2015-12-30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北京用友政务软件有限公司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2010-11-10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2013-11-9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厦门用友烟草软件有限责任公司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2011-8-21</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2014-8-21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畅捷通信息技术股份有限公司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2010-3-17</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2013-3-16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YONYOU (SINGAPORE)</w:t>
            </w:r>
            <w:r>
              <w:rPr>
                <w:rFonts w:ascii="宋体"/>
                <w:spacing w:val="-2"/>
                <w:sz w:val="21"/>
              </w:rPr>
              <w:t> </w:t>
            </w:r>
            <w:r>
              <w:rPr>
                <w:rFonts w:ascii="宋体"/>
                <w:sz w:val="21"/>
              </w:rPr>
              <w:t>PRIVATE</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2010-8-27</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2013-8-26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YONYOU</w:t>
            </w:r>
            <w:r>
              <w:rPr>
                <w:rFonts w:ascii="宋体"/>
                <w:spacing w:val="-48"/>
                <w:sz w:val="21"/>
              </w:rPr>
              <w:t> </w:t>
            </w:r>
            <w:r>
              <w:rPr>
                <w:rFonts w:ascii="宋体"/>
                <w:sz w:val="21"/>
              </w:rPr>
              <w:t>(HONG</w:t>
            </w:r>
            <w:r>
              <w:rPr>
                <w:rFonts w:ascii="宋体"/>
                <w:spacing w:val="-48"/>
                <w:sz w:val="21"/>
              </w:rPr>
              <w:t> </w:t>
            </w:r>
            <w:r>
              <w:rPr>
                <w:rFonts w:ascii="宋体"/>
                <w:sz w:val="21"/>
              </w:rPr>
              <w:t>KONG)</w:t>
            </w:r>
            <w:r>
              <w:rPr>
                <w:rFonts w:ascii="宋体"/>
                <w:spacing w:val="-45"/>
                <w:sz w:val="21"/>
              </w:rPr>
              <w:t> </w:t>
            </w:r>
            <w:r>
              <w:rPr>
                <w:rFonts w:ascii="宋体"/>
                <w:sz w:val="21"/>
              </w:rPr>
              <w:t>COMPANY</w:t>
            </w:r>
            <w:r>
              <w:rPr>
                <w:rFonts w:ascii="宋体"/>
                <w:spacing w:val="-45"/>
                <w:sz w:val="21"/>
              </w:rPr>
              <w:t> </w:t>
            </w:r>
            <w:r>
              <w:rPr>
                <w:rFonts w:ascii="宋体"/>
                <w:sz w:val="21"/>
              </w:rPr>
              <w:t>LIMITED</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2009-6-27</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2015-6-26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武汉用友软件有限责任公司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2010-7-3</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2013-7-2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北京致远协创软件有限公司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2011-4-1</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2014-4-1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北京精友时代信息技术发展有限公司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2010-11-2</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2013-11-1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用友医疗卫生信息系统有限公司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2009-9-17</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2015-9-16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tcBorders>
              <w:left w:val="single" w:sz="4" w:space="0" w:color="000000"/>
              <w:bottom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北京用友幸福投资管理有限公司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2010-5-12</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sz w:val="21"/>
              </w:rPr>
              <w:t>2013-5-11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55" w:lineRule="exact"/>
        <w:jc w:val="center"/>
        <w:rPr>
          <w:rFonts w:ascii="宋体" w:hAnsi="宋体" w:cs="宋体" w:eastAsia="宋体" w:hint="default"/>
          <w:sz w:val="21"/>
          <w:szCs w:val="21"/>
        </w:rPr>
        <w:sectPr>
          <w:pgSz w:w="11910" w:h="16850"/>
          <w:pgMar w:header="752" w:footer="730" w:top="1020" w:bottom="920" w:left="1200" w:right="108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530"/>
        <w:gridCol w:w="3602"/>
        <w:gridCol w:w="1402"/>
        <w:gridCol w:w="1536"/>
        <w:gridCol w:w="1397"/>
        <w:gridCol w:w="934"/>
      </w:tblGrid>
      <w:tr>
        <w:trPr>
          <w:trHeight w:val="336" w:hRule="exact"/>
        </w:trPr>
        <w:tc>
          <w:tcPr>
            <w:tcW w:w="530" w:type="dxa"/>
            <w:vMerge w:val="restart"/>
            <w:tcBorders>
              <w:top w:val="single" w:sz="4" w:space="0" w:color="000000"/>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广东用友软件有限公司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sz w:val="21"/>
              </w:rPr>
              <w:t>2012-5-6</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03" w:right="0"/>
              <w:jc w:val="left"/>
              <w:rPr>
                <w:rFonts w:ascii="宋体" w:hAnsi="宋体" w:cs="宋体" w:eastAsia="宋体" w:hint="default"/>
                <w:sz w:val="21"/>
                <w:szCs w:val="21"/>
              </w:rPr>
            </w:pPr>
            <w:r>
              <w:rPr>
                <w:rFonts w:ascii="宋体"/>
                <w:sz w:val="21"/>
              </w:rPr>
              <w:t>2015-5-5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深圳用友软件有限公司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sz w:val="21"/>
              </w:rPr>
              <w:t>2012-10-15</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sz w:val="21"/>
              </w:rPr>
              <w:t>2015-10-14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北京伟库电子商务科技有限公司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sz w:val="21"/>
              </w:rPr>
              <w:t>2010-3-5</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sz w:val="21"/>
              </w:rPr>
              <w:t>2013-3-5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tcBorders>
              <w:left w:val="single" w:sz="4" w:space="0" w:color="000000"/>
              <w:bottom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用友教育投资有限公司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sz w:val="21"/>
              </w:rPr>
              <w:t>2011-9-15</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sz w:val="21"/>
              </w:rPr>
              <w:t>2014-9-14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3"/>
              <w:ind w:left="153" w:right="155"/>
              <w:jc w:val="both"/>
              <w:rPr>
                <w:rFonts w:ascii="宋体" w:hAnsi="宋体" w:cs="宋体" w:eastAsia="宋体" w:hint="default"/>
                <w:sz w:val="21"/>
                <w:szCs w:val="21"/>
              </w:rPr>
            </w:pPr>
            <w:r>
              <w:rPr>
                <w:rFonts w:ascii="宋体" w:hAnsi="宋体" w:cs="宋体" w:eastAsia="宋体" w:hint="default"/>
                <w:sz w:val="21"/>
                <w:szCs w:val="21"/>
              </w:rPr>
              <w:t>吴</w:t>
            </w:r>
            <w:r>
              <w:rPr>
                <w:rFonts w:ascii="宋体" w:hAnsi="宋体" w:cs="宋体" w:eastAsia="宋体" w:hint="default"/>
                <w:w w:val="100"/>
                <w:sz w:val="21"/>
                <w:szCs w:val="21"/>
              </w:rPr>
              <w:t> </w:t>
            </w:r>
            <w:r>
              <w:rPr>
                <w:rFonts w:ascii="宋体" w:hAnsi="宋体" w:cs="宋体" w:eastAsia="宋体" w:hint="default"/>
                <w:sz w:val="21"/>
                <w:szCs w:val="21"/>
              </w:rPr>
              <w:t>政</w:t>
            </w:r>
            <w:r>
              <w:rPr>
                <w:rFonts w:ascii="宋体" w:hAnsi="宋体" w:cs="宋体" w:eastAsia="宋体" w:hint="default"/>
                <w:w w:val="100"/>
                <w:sz w:val="21"/>
                <w:szCs w:val="21"/>
              </w:rPr>
              <w:t> </w:t>
            </w:r>
            <w:r>
              <w:rPr>
                <w:rFonts w:ascii="宋体" w:hAnsi="宋体" w:cs="宋体" w:eastAsia="宋体" w:hint="default"/>
                <w:sz w:val="21"/>
                <w:szCs w:val="21"/>
              </w:rPr>
              <w:t>平</w:t>
            </w: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用友医疗卫生信息系统有限公司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sz w:val="21"/>
              </w:rPr>
              <w:t>2012-9-16</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宋体"/>
                <w:sz w:val="21"/>
              </w:rPr>
              <w:t>2015-9-15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79"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北京用友幸福投资管理有限公司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sz w:val="21"/>
              </w:rPr>
              <w:t>2010-5-12</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sz w:val="21"/>
              </w:rPr>
              <w:t>2013-5-11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77"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用友教育投资有限公司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sz w:val="21"/>
              </w:rPr>
              <w:t>2011-9-15</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sz w:val="21"/>
              </w:rPr>
              <w:t>2014-9-14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48"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用友智慧健康研究院镇江有限公司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2" w:right="0"/>
              <w:jc w:val="left"/>
              <w:rPr>
                <w:rFonts w:ascii="宋体" w:hAnsi="宋体" w:cs="宋体" w:eastAsia="宋体" w:hint="default"/>
                <w:sz w:val="21"/>
                <w:szCs w:val="21"/>
              </w:rPr>
            </w:pPr>
            <w:r>
              <w:rPr>
                <w:rFonts w:ascii="宋体"/>
                <w:sz w:val="21"/>
              </w:rPr>
              <w:t>2011-9-15</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sz w:val="21"/>
              </w:rPr>
              <w:t>2014-9-14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50"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北京用友创新投资中心（有限合伙）</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委派代表</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2" w:right="0"/>
              <w:jc w:val="left"/>
              <w:rPr>
                <w:rFonts w:ascii="宋体" w:hAnsi="宋体" w:cs="宋体" w:eastAsia="宋体" w:hint="default"/>
                <w:sz w:val="21"/>
                <w:szCs w:val="21"/>
              </w:rPr>
            </w:pPr>
            <w:r>
              <w:rPr>
                <w:rFonts w:ascii="宋体"/>
                <w:sz w:val="21"/>
              </w:rPr>
              <w:t>2010-7-19</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sz w:val="21"/>
              </w:rPr>
              <w:t>2013-7-18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31"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北京用友政务软件有限公司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sz w:val="21"/>
              </w:rPr>
              <w:t>2010-11-10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sz w:val="21"/>
              </w:rPr>
              <w:t>2013-11-9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厦门用友烟草软件有限责任公司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sz w:val="21"/>
              </w:rPr>
              <w:t>2011-8-21</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sz w:val="21"/>
              </w:rPr>
              <w:t>2014-8-20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畅捷通信息技术股份有限公司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sz w:val="21"/>
              </w:rPr>
              <w:t>2010-3-17</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sz w:val="21"/>
              </w:rPr>
              <w:t>2013-3-16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北京瑞友科技股份有限公司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sz w:val="21"/>
              </w:rPr>
              <w:t>2012-7-31</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sz w:val="21"/>
              </w:rPr>
              <w:t>2015-7-30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北京致远协创软件有限公司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sz w:val="21"/>
              </w:rPr>
              <w:t>2011-4-1</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sz w:val="21"/>
              </w:rPr>
              <w:t>2014-3-31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北京西玛永泰商用表单技术有限公司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sz w:val="21"/>
              </w:rPr>
              <w:t>2012-9-3</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sz w:val="21"/>
              </w:rPr>
              <w:t>2015-9-2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北京西玛国正商用表单技术有限公司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sz w:val="21"/>
              </w:rPr>
              <w:t>2012-9-3</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sz w:val="21"/>
              </w:rPr>
              <w:t>2015-9-2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北京伟库电子商务科技有限公司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sz w:val="21"/>
              </w:rPr>
              <w:t>2010-3-5</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sz w:val="21"/>
              </w:rPr>
              <w:t>2013-3-5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北京用友审计软件有限公司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sz w:val="21"/>
              </w:rPr>
              <w:t>2012-3-8</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sz w:val="21"/>
              </w:rPr>
              <w:t>2015-3-7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用友（南昌）产业基地发展有限公司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sz w:val="21"/>
              </w:rPr>
              <w:t>2012-9-7</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sz w:val="21"/>
              </w:rPr>
              <w:t>2015-9-6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三亚用友软件科技有限公司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sz w:val="21"/>
              </w:rPr>
              <w:t>2010-2-11</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sz w:val="21"/>
              </w:rPr>
              <w:t>2013-2-10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00"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重庆用友软件有限公司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sz w:val="21"/>
              </w:rPr>
              <w:t>2011-2-7</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sz w:val="21"/>
              </w:rPr>
              <w:t>2014-2-6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武汉用友软件有限责任公司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sz w:val="21"/>
              </w:rPr>
              <w:t>2010-5-30</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sz w:val="21"/>
              </w:rPr>
              <w:t>2013-5-29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天津用友软件技术有限公司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sz w:val="21"/>
              </w:rPr>
              <w:t>2011-3-13</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sz w:val="21"/>
              </w:rPr>
              <w:t>2014-3-12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安徽用友软件有限公司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sz w:val="21"/>
              </w:rPr>
              <w:t>2010-1-1</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sz w:val="21"/>
              </w:rPr>
              <w:t>2015-12-31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浙江用友软件有限公司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sz w:val="21"/>
              </w:rPr>
              <w:t>2011-5-22</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sz w:val="21"/>
              </w:rPr>
              <w:t>2014-5-21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广西用友软件有限公司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sz w:val="21"/>
              </w:rPr>
              <w:t>2011-9-6</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sz w:val="21"/>
              </w:rPr>
              <w:t>2014-9-5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大连用友软件有限公司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sz w:val="21"/>
              </w:rPr>
              <w:t>2011-10-11</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sz w:val="21"/>
              </w:rPr>
              <w:t>2014-10-10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山东用友软件有限公司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sz w:val="21"/>
              </w:rPr>
              <w:t>2012-6-19</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sz w:val="21"/>
              </w:rPr>
              <w:t>2015-6-18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湖南用友软件有限公司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sz w:val="21"/>
              </w:rPr>
              <w:t>2012-9-15</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sz w:val="21"/>
              </w:rPr>
              <w:t>2015-9-14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tcBorders>
              <w:left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内蒙古用友软件有限公司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sz w:val="21"/>
              </w:rPr>
              <w:t>2012-1-22</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sz w:val="21"/>
              </w:rPr>
              <w:t>2015-1-21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12" w:hRule="exact"/>
        </w:trPr>
        <w:tc>
          <w:tcPr>
            <w:tcW w:w="530" w:type="dxa"/>
            <w:vMerge/>
            <w:tcBorders>
              <w:left w:val="single" w:sz="4" w:space="0" w:color="000000"/>
              <w:bottom w:val="single" w:sz="4" w:space="0" w:color="000000"/>
              <w:right w:val="single" w:sz="4" w:space="0" w:color="000000"/>
            </w:tcBorders>
          </w:tcPr>
          <w:p>
            <w:pPr/>
          </w:p>
        </w:tc>
        <w:tc>
          <w:tcPr>
            <w:tcW w:w="36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沈阳用友软件有限公司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sz w:val="21"/>
              </w:rPr>
              <w:t>2012-8-4</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sz w:val="21"/>
              </w:rPr>
              <w:t>2015-8-3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pStyle w:val="Heading2"/>
        <w:spacing w:line="240" w:lineRule="auto" w:before="82"/>
        <w:ind w:left="218" w:right="0"/>
        <w:jc w:val="left"/>
        <w:rPr>
          <w:b w:val="0"/>
          <w:bCs w:val="0"/>
        </w:rPr>
      </w:pPr>
      <w:r>
        <w:rPr/>
        <w:t>三、</w:t>
      </w:r>
      <w:r>
        <w:rPr>
          <w:spacing w:val="-2"/>
        </w:rPr>
        <w:t> </w:t>
      </w:r>
      <w:r>
        <w:rPr/>
        <w:t>董事、监事、高级管理人员报酬情况</w:t>
      </w:r>
      <w:r>
        <w:rPr>
          <w:b w:val="0"/>
          <w:bCs w:val="0"/>
        </w:rPr>
      </w:r>
    </w:p>
    <w:p>
      <w:pPr>
        <w:pStyle w:val="Heading3"/>
        <w:spacing w:line="240" w:lineRule="auto" w:before="194"/>
        <w:ind w:left="698" w:right="0"/>
        <w:jc w:val="left"/>
      </w:pPr>
      <w:r>
        <w:rPr/>
        <w:t>（一）董事、监事、高级管理人员报酬的决策程序</w:t>
      </w:r>
    </w:p>
    <w:p>
      <w:pPr>
        <w:pStyle w:val="Heading3"/>
        <w:spacing w:line="297" w:lineRule="auto" w:before="197"/>
        <w:ind w:left="218" w:right="0" w:firstLine="480"/>
        <w:jc w:val="left"/>
      </w:pPr>
      <w:r>
        <w:rPr>
          <w:rFonts w:ascii="宋体" w:hAnsi="宋体" w:cs="宋体" w:eastAsia="宋体" w:hint="default"/>
          <w:spacing w:val="-2"/>
        </w:rPr>
        <w:t>1</w:t>
      </w:r>
      <w:r>
        <w:rPr>
          <w:spacing w:val="-2"/>
        </w:rPr>
        <w:t>、公司按年度对公司董事、监事和高级管理人员的业绩和履行职责情况进行考评并</w:t>
      </w:r>
      <w:r>
        <w:rPr/>
        <w:t> 进行可比企业董事、监事和高级管理人员报酬调查。</w:t>
      </w:r>
    </w:p>
    <w:p>
      <w:pPr>
        <w:pStyle w:val="Heading3"/>
        <w:spacing w:line="240" w:lineRule="auto"/>
        <w:ind w:left="698" w:right="0"/>
        <w:jc w:val="left"/>
      </w:pPr>
      <w:r>
        <w:rPr>
          <w:rFonts w:ascii="宋体" w:hAnsi="宋体" w:cs="宋体" w:eastAsia="宋体" w:hint="default"/>
        </w:rPr>
        <w:t>2</w:t>
      </w:r>
      <w:r>
        <w:rPr/>
        <w:t>、公司根据绩效考评结果和报酬调查结果，确定有竞争力的年薪报酬和薪酬结构。</w:t>
      </w:r>
    </w:p>
    <w:p>
      <w:pPr>
        <w:pStyle w:val="Heading3"/>
        <w:spacing w:line="297" w:lineRule="auto" w:before="194"/>
        <w:ind w:left="218" w:right="0" w:firstLine="480"/>
        <w:jc w:val="left"/>
      </w:pPr>
      <w:r>
        <w:rPr>
          <w:rFonts w:ascii="宋体" w:hAnsi="宋体" w:cs="宋体" w:eastAsia="宋体" w:hint="default"/>
        </w:rPr>
        <w:t>3</w:t>
      </w:r>
      <w:r>
        <w:rPr/>
        <w:t>、公司董事、监事和高级管理人员奖金报酬与公司经营业绩结果直接挂钩。公司每 </w:t>
      </w:r>
      <w:r>
        <w:rPr>
          <w:spacing w:val="-2"/>
        </w:rPr>
        <w:t>年年初审定批准公司年度经营计划和业绩目标，年度结束后根据实际业绩结果完成情况，</w:t>
      </w:r>
      <w:r>
        <w:rPr>
          <w:spacing w:val="-98"/>
        </w:rPr>
        <w:t> </w:t>
      </w:r>
      <w:r>
        <w:rPr>
          <w:spacing w:val="-98"/>
        </w:rPr>
      </w:r>
      <w:r>
        <w:rPr/>
        <w:t>核定批准公司董事、监事和高级管理人员的奖金数。</w:t>
      </w:r>
    </w:p>
    <w:p>
      <w:pPr>
        <w:pStyle w:val="Heading3"/>
        <w:spacing w:line="240" w:lineRule="auto"/>
        <w:ind w:left="698" w:right="0"/>
        <w:jc w:val="left"/>
      </w:pPr>
      <w:r>
        <w:rPr>
          <w:rFonts w:ascii="宋体" w:hAnsi="宋体" w:cs="宋体" w:eastAsia="宋体" w:hint="default"/>
        </w:rPr>
        <w:t>4</w:t>
      </w:r>
      <w:r>
        <w:rPr/>
        <w:t>、独立董事实行年度津贴制，由公司董事会确定年度津贴标准议案，报经股东大会</w:t>
      </w:r>
    </w:p>
    <w:p>
      <w:pPr>
        <w:spacing w:after="0" w:line="240" w:lineRule="auto"/>
        <w:jc w:val="left"/>
        <w:sectPr>
          <w:pgSz w:w="11910" w:h="16850"/>
          <w:pgMar w:header="752" w:footer="730" w:top="1020" w:bottom="920" w:left="1200" w:right="1080"/>
        </w:sectPr>
      </w:pPr>
    </w:p>
    <w:p>
      <w:pPr>
        <w:spacing w:line="240" w:lineRule="auto" w:before="9"/>
        <w:rPr>
          <w:rFonts w:ascii="宋体" w:hAnsi="宋体" w:cs="宋体" w:eastAsia="宋体" w:hint="default"/>
          <w:sz w:val="26"/>
          <w:szCs w:val="26"/>
        </w:rPr>
      </w:pPr>
    </w:p>
    <w:p>
      <w:pPr>
        <w:pStyle w:val="Heading3"/>
        <w:spacing w:line="240" w:lineRule="auto" w:before="26"/>
        <w:ind w:right="266"/>
        <w:jc w:val="left"/>
      </w:pPr>
      <w:r>
        <w:rPr/>
        <w:t>批准执行。</w:t>
      </w:r>
    </w:p>
    <w:p>
      <w:pPr>
        <w:pStyle w:val="Heading3"/>
        <w:spacing w:line="388" w:lineRule="auto" w:before="194"/>
        <w:ind w:left="618" w:right="266"/>
        <w:jc w:val="left"/>
      </w:pPr>
      <w:r>
        <w:rPr/>
        <w:t>（二）董事、监事、高级管理人员报酬确定依据 公司董事、监事、高级管理人员报酬确定依据主要是年度绩效考评结果、公司年度</w:t>
      </w:r>
    </w:p>
    <w:p>
      <w:pPr>
        <w:pStyle w:val="Heading3"/>
        <w:spacing w:line="240" w:lineRule="exact" w:before="0"/>
        <w:ind w:right="266"/>
        <w:jc w:val="left"/>
      </w:pPr>
      <w:r>
        <w:rPr/>
        <w:t>业绩完成率和可比企业董事、监事、高级管理人员报酬行情。</w:t>
      </w:r>
    </w:p>
    <w:p>
      <w:pPr>
        <w:pStyle w:val="Heading3"/>
        <w:spacing w:line="391" w:lineRule="auto" w:before="194"/>
        <w:ind w:left="618" w:right="1648"/>
        <w:jc w:val="left"/>
      </w:pPr>
      <w:r>
        <w:rPr/>
        <w:t>（三）董事、监事和高级管理人员报酬的应付报酬情况 报告期内，董事、监事和高级管理人员应付报酬合计</w:t>
      </w:r>
      <w:r>
        <w:rPr>
          <w:spacing w:val="-60"/>
        </w:rPr>
        <w:t> </w:t>
      </w:r>
      <w:r>
        <w:rPr>
          <w:rFonts w:ascii="宋体" w:hAnsi="宋体" w:cs="宋体" w:eastAsia="宋体" w:hint="default"/>
        </w:rPr>
        <w:t>5,247.50</w:t>
      </w:r>
      <w:r>
        <w:rPr>
          <w:rFonts w:ascii="宋体" w:hAnsi="宋体" w:cs="宋体" w:eastAsia="宋体" w:hint="default"/>
          <w:spacing w:val="-60"/>
        </w:rPr>
        <w:t> </w:t>
      </w:r>
      <w:r>
        <w:rPr/>
        <w:t>万元。</w:t>
      </w:r>
    </w:p>
    <w:p>
      <w:pPr>
        <w:pStyle w:val="Heading3"/>
        <w:spacing w:line="388" w:lineRule="auto" w:before="43"/>
        <w:ind w:left="618" w:right="688"/>
        <w:jc w:val="left"/>
      </w:pPr>
      <w:r>
        <w:rPr/>
        <w:t>（四）报告期末全体董事、监事和高级管理人员实际获得的报酬合计 报告期末，全体董事、监事和高级管理人员实际获得的报酬为</w:t>
      </w:r>
      <w:r>
        <w:rPr>
          <w:spacing w:val="-60"/>
        </w:rPr>
        <w:t> </w:t>
      </w:r>
      <w:r>
        <w:rPr>
          <w:rFonts w:ascii="宋体" w:hAnsi="宋体" w:cs="宋体" w:eastAsia="宋体" w:hint="default"/>
        </w:rPr>
        <w:t>5,247.50</w:t>
      </w:r>
      <w:r>
        <w:rPr>
          <w:rFonts w:ascii="宋体" w:hAnsi="宋体" w:cs="宋体" w:eastAsia="宋体" w:hint="default"/>
          <w:spacing w:val="-60"/>
        </w:rPr>
        <w:t> </w:t>
      </w:r>
      <w:r>
        <w:rPr/>
        <w:t>万元。</w:t>
      </w:r>
    </w:p>
    <w:p>
      <w:pPr>
        <w:pStyle w:val="Heading2"/>
        <w:spacing w:line="240" w:lineRule="auto" w:before="46"/>
        <w:ind w:right="266"/>
        <w:jc w:val="left"/>
        <w:rPr>
          <w:b w:val="0"/>
          <w:bCs w:val="0"/>
        </w:rPr>
      </w:pPr>
      <w:r>
        <w:rPr/>
        <w:t>四、</w:t>
      </w:r>
      <w:r>
        <w:rPr>
          <w:spacing w:val="-2"/>
        </w:rPr>
        <w:t> </w:t>
      </w:r>
      <w:r>
        <w:rPr/>
        <w:t>公司董事、监事、高级管理人员变动情况</w:t>
      </w:r>
      <w:r>
        <w:rPr>
          <w:b w:val="0"/>
          <w:bCs w:val="0"/>
        </w:rPr>
      </w:r>
    </w:p>
    <w:p>
      <w:pPr>
        <w:spacing w:line="240" w:lineRule="auto" w:before="10"/>
        <w:rPr>
          <w:rFonts w:ascii="宋体" w:hAnsi="宋体" w:cs="宋体" w:eastAsia="宋体" w:hint="default"/>
          <w:b/>
          <w:bCs/>
          <w:sz w:val="17"/>
          <w:szCs w:val="17"/>
        </w:rPr>
      </w:pPr>
    </w:p>
    <w:tbl>
      <w:tblPr>
        <w:tblW w:w="0" w:type="auto"/>
        <w:jc w:val="left"/>
        <w:tblInd w:w="123" w:type="dxa"/>
        <w:tblLayout w:type="fixed"/>
        <w:tblCellMar>
          <w:top w:w="0" w:type="dxa"/>
          <w:left w:w="0" w:type="dxa"/>
          <w:bottom w:w="0" w:type="dxa"/>
          <w:right w:w="0" w:type="dxa"/>
        </w:tblCellMar>
        <w:tblLook w:val="01E0"/>
      </w:tblPr>
      <w:tblGrid>
        <w:gridCol w:w="2131"/>
        <w:gridCol w:w="2340"/>
        <w:gridCol w:w="2443"/>
        <w:gridCol w:w="2443"/>
      </w:tblGrid>
      <w:tr>
        <w:trPr>
          <w:trHeight w:val="341" w:hRule="exact"/>
        </w:trPr>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b/>
                <w:bCs/>
                <w:sz w:val="21"/>
                <w:szCs w:val="21"/>
              </w:rPr>
              <w:t>姓名</w:t>
            </w:r>
            <w:r>
              <w:rPr>
                <w:rFonts w:ascii="宋体" w:hAnsi="宋体" w:cs="宋体" w:eastAsia="宋体" w:hint="default"/>
                <w:sz w:val="21"/>
                <w:szCs w:val="21"/>
              </w:rPr>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担任的职务</w:t>
            </w:r>
            <w:r>
              <w:rPr>
                <w:rFonts w:ascii="宋体" w:hAnsi="宋体" w:cs="宋体" w:eastAsia="宋体" w:hint="default"/>
                <w:sz w:val="21"/>
                <w:szCs w:val="21"/>
              </w:rPr>
            </w:r>
          </w:p>
        </w:tc>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b/>
                <w:bCs/>
                <w:sz w:val="21"/>
                <w:szCs w:val="21"/>
              </w:rPr>
              <w:t>变动情形</w:t>
            </w:r>
            <w:r>
              <w:rPr>
                <w:rFonts w:ascii="宋体" w:hAnsi="宋体" w:cs="宋体" w:eastAsia="宋体" w:hint="default"/>
                <w:sz w:val="21"/>
                <w:szCs w:val="21"/>
              </w:rPr>
            </w:r>
          </w:p>
        </w:tc>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b/>
                <w:bCs/>
                <w:sz w:val="21"/>
                <w:szCs w:val="21"/>
              </w:rPr>
              <w:t>变动原因</w:t>
            </w:r>
            <w:r>
              <w:rPr>
                <w:rFonts w:ascii="宋体" w:hAnsi="宋体" w:cs="宋体" w:eastAsia="宋体" w:hint="default"/>
                <w:sz w:val="21"/>
                <w:szCs w:val="21"/>
              </w:rPr>
            </w:r>
          </w:p>
        </w:tc>
      </w:tr>
      <w:tr>
        <w:trPr>
          <w:trHeight w:val="338" w:hRule="exact"/>
        </w:trPr>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李友</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执行总裁</w:t>
            </w:r>
          </w:p>
        </w:tc>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不再担任</w:t>
            </w:r>
          </w:p>
        </w:tc>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公司内部工作调动</w:t>
            </w:r>
          </w:p>
        </w:tc>
      </w:tr>
      <w:tr>
        <w:trPr>
          <w:trHeight w:val="341" w:hRule="exact"/>
        </w:trPr>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郭延生</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高级副总裁</w:t>
            </w:r>
          </w:p>
        </w:tc>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center"/>
              <w:rPr>
                <w:rFonts w:ascii="宋体" w:hAnsi="宋体" w:cs="宋体" w:eastAsia="宋体" w:hint="default"/>
                <w:sz w:val="21"/>
                <w:szCs w:val="21"/>
              </w:rPr>
            </w:pPr>
            <w:r>
              <w:rPr>
                <w:rFonts w:ascii="宋体" w:hAnsi="宋体" w:cs="宋体" w:eastAsia="宋体" w:hint="default"/>
                <w:sz w:val="21"/>
                <w:szCs w:val="21"/>
              </w:rPr>
              <w:t>不再担任</w:t>
            </w:r>
          </w:p>
        </w:tc>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公司内部工作调动</w:t>
            </w:r>
          </w:p>
        </w:tc>
      </w:tr>
      <w:tr>
        <w:trPr>
          <w:trHeight w:val="341" w:hRule="exact"/>
        </w:trPr>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章培林</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执行副总裁兼财务总监</w:t>
            </w:r>
          </w:p>
        </w:tc>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聘任</w:t>
            </w:r>
          </w:p>
        </w:tc>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新聘任</w:t>
            </w:r>
          </w:p>
        </w:tc>
      </w:tr>
      <w:tr>
        <w:trPr>
          <w:trHeight w:val="338" w:hRule="exact"/>
        </w:trPr>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何景霄</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高级副总裁兼财务总监</w:t>
            </w:r>
          </w:p>
        </w:tc>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不再担任</w:t>
            </w:r>
          </w:p>
        </w:tc>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公司内部工作调动</w:t>
            </w:r>
          </w:p>
        </w:tc>
      </w:tr>
      <w:tr>
        <w:trPr>
          <w:trHeight w:val="341" w:hRule="exact"/>
        </w:trPr>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向奇汉</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执行副总裁</w:t>
            </w:r>
          </w:p>
        </w:tc>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聘任</w:t>
            </w:r>
          </w:p>
        </w:tc>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新聘任</w:t>
            </w:r>
          </w:p>
        </w:tc>
      </w:tr>
      <w:tr>
        <w:trPr>
          <w:trHeight w:val="341" w:hRule="exact"/>
        </w:trPr>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薛峰</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高级副总裁</w:t>
            </w:r>
          </w:p>
        </w:tc>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不再担任</w:t>
            </w:r>
          </w:p>
        </w:tc>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公司内部工作调动</w:t>
            </w:r>
          </w:p>
        </w:tc>
      </w:tr>
      <w:tr>
        <w:trPr>
          <w:trHeight w:val="338" w:hRule="exact"/>
        </w:trPr>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胡彬</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高级副总裁</w:t>
            </w:r>
          </w:p>
        </w:tc>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聘任</w:t>
            </w:r>
          </w:p>
        </w:tc>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新聘任</w:t>
            </w:r>
          </w:p>
        </w:tc>
      </w:tr>
      <w:tr>
        <w:trPr>
          <w:trHeight w:val="341" w:hRule="exact"/>
        </w:trPr>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李宏伟</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高级副总裁</w:t>
            </w:r>
          </w:p>
        </w:tc>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聘任</w:t>
            </w:r>
          </w:p>
        </w:tc>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新聘任</w:t>
            </w:r>
          </w:p>
        </w:tc>
      </w:tr>
      <w:tr>
        <w:trPr>
          <w:trHeight w:val="341" w:hRule="exact"/>
        </w:trPr>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牛立伟</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高级副总裁</w:t>
            </w:r>
          </w:p>
        </w:tc>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聘任</w:t>
            </w:r>
          </w:p>
        </w:tc>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新聘任</w:t>
            </w:r>
          </w:p>
        </w:tc>
      </w:tr>
      <w:tr>
        <w:trPr>
          <w:trHeight w:val="338" w:hRule="exact"/>
        </w:trPr>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杨晓柏</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高级副总裁</w:t>
            </w:r>
          </w:p>
        </w:tc>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聘任</w:t>
            </w:r>
          </w:p>
        </w:tc>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新聘任</w:t>
            </w:r>
          </w:p>
        </w:tc>
      </w:tr>
      <w:tr>
        <w:trPr>
          <w:trHeight w:val="341" w:hRule="exact"/>
        </w:trPr>
        <w:tc>
          <w:tcPr>
            <w:tcW w:w="213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徐宝东</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高级副总裁</w:t>
            </w:r>
          </w:p>
        </w:tc>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聘任</w:t>
            </w:r>
          </w:p>
        </w:tc>
        <w:tc>
          <w:tcPr>
            <w:tcW w:w="244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新聘任</w:t>
            </w:r>
          </w:p>
        </w:tc>
      </w:tr>
    </w:tbl>
    <w:p>
      <w:pPr>
        <w:spacing w:line="388" w:lineRule="auto" w:before="82"/>
        <w:ind w:left="618" w:right="328" w:hanging="480"/>
        <w:jc w:val="left"/>
        <w:rPr>
          <w:rFonts w:ascii="宋体" w:hAnsi="宋体" w:cs="宋体" w:eastAsia="宋体" w:hint="default"/>
          <w:sz w:val="24"/>
          <w:szCs w:val="24"/>
        </w:rPr>
      </w:pPr>
      <w:r>
        <w:rPr>
          <w:rFonts w:ascii="宋体" w:hAnsi="宋体" w:cs="宋体" w:eastAsia="宋体" w:hint="default"/>
          <w:b/>
          <w:bCs/>
          <w:sz w:val="24"/>
          <w:szCs w:val="24"/>
        </w:rPr>
        <w:t>五、 公司核心技术团队或关键技术人员情况</w:t>
      </w:r>
      <w:r>
        <w:rPr>
          <w:rFonts w:ascii="宋体" w:hAnsi="宋体" w:cs="宋体" w:eastAsia="宋体" w:hint="default"/>
          <w:b/>
          <w:bCs/>
          <w:w w:val="99"/>
          <w:sz w:val="24"/>
          <w:szCs w:val="24"/>
        </w:rPr>
        <w:t> </w:t>
      </w:r>
      <w:r>
        <w:rPr>
          <w:rFonts w:ascii="宋体" w:hAnsi="宋体" w:cs="宋体" w:eastAsia="宋体" w:hint="default"/>
          <w:sz w:val="24"/>
          <w:szCs w:val="24"/>
        </w:rPr>
        <w:t>公司按照《专业人员管理制度》等制度确定员工的专业发展通道和专业职级，专业</w:t>
      </w:r>
    </w:p>
    <w:p>
      <w:pPr>
        <w:pStyle w:val="Heading3"/>
        <w:spacing w:line="240" w:lineRule="exact" w:before="0"/>
        <w:ind w:right="266"/>
        <w:jc w:val="left"/>
      </w:pPr>
      <w:r>
        <w:rPr/>
        <w:t>职级共有初级、中级、高级、专家级、高级专家级、资深专家级</w:t>
      </w:r>
      <w:r>
        <w:rPr>
          <w:spacing w:val="-60"/>
        </w:rPr>
        <w:t> </w:t>
      </w:r>
      <w:r>
        <w:rPr>
          <w:rFonts w:ascii="宋体" w:hAnsi="宋体" w:cs="宋体" w:eastAsia="宋体" w:hint="default"/>
        </w:rPr>
        <w:t>6</w:t>
      </w:r>
      <w:r>
        <w:rPr>
          <w:rFonts w:ascii="宋体" w:hAnsi="宋体" w:cs="宋体" w:eastAsia="宋体" w:hint="default"/>
          <w:spacing w:val="-60"/>
        </w:rPr>
        <w:t> </w:t>
      </w:r>
      <w:r>
        <w:rPr/>
        <w:t>个等级。截至目前，</w:t>
      </w:r>
    </w:p>
    <w:p>
      <w:pPr>
        <w:pStyle w:val="Heading3"/>
        <w:spacing w:line="297" w:lineRule="auto" w:before="77"/>
        <w:ind w:right="266"/>
        <w:jc w:val="left"/>
      </w:pPr>
      <w:r>
        <w:rPr/>
        <w:t>公司共有高级专家（含）以上人员</w:t>
      </w:r>
      <w:r>
        <w:rPr>
          <w:spacing w:val="-70"/>
        </w:rPr>
        <w:t> </w:t>
      </w:r>
      <w:r>
        <w:rPr>
          <w:rFonts w:ascii="宋体" w:hAnsi="宋体" w:cs="宋体" w:eastAsia="宋体" w:hint="default"/>
        </w:rPr>
        <w:t>28</w:t>
      </w:r>
      <w:r>
        <w:rPr>
          <w:rFonts w:ascii="宋体" w:hAnsi="宋体" w:cs="宋体" w:eastAsia="宋体" w:hint="default"/>
          <w:spacing w:val="-70"/>
        </w:rPr>
        <w:t> </w:t>
      </w:r>
      <w:r>
        <w:rPr>
          <w:spacing w:val="-3"/>
        </w:rPr>
        <w:t>人，专家人员</w:t>
      </w:r>
      <w:r>
        <w:rPr>
          <w:spacing w:val="-70"/>
        </w:rPr>
        <w:t> </w:t>
      </w:r>
      <w:r>
        <w:rPr>
          <w:rFonts w:ascii="宋体" w:hAnsi="宋体" w:cs="宋体" w:eastAsia="宋体" w:hint="default"/>
        </w:rPr>
        <w:t>228</w:t>
      </w:r>
      <w:r>
        <w:rPr>
          <w:rFonts w:ascii="宋体" w:hAnsi="宋体" w:cs="宋体" w:eastAsia="宋体" w:hint="default"/>
          <w:spacing w:val="-70"/>
        </w:rPr>
        <w:t> </w:t>
      </w:r>
      <w:r>
        <w:rPr/>
        <w:t>人，从事的专业领域包括计算机 技术、互联网与通信技术、企业管理与行业管理等主要领域，他们是公司的关键人才。</w:t>
      </w:r>
    </w:p>
    <w:p>
      <w:pPr>
        <w:spacing w:line="388" w:lineRule="auto" w:before="137"/>
        <w:ind w:left="138" w:right="1648" w:firstLine="480"/>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pacing w:val="-60"/>
          <w:sz w:val="24"/>
          <w:szCs w:val="24"/>
        </w:rPr>
        <w:t> </w:t>
      </w:r>
      <w:r>
        <w:rPr>
          <w:rFonts w:ascii="宋体" w:hAnsi="宋体" w:cs="宋体" w:eastAsia="宋体" w:hint="default"/>
          <w:sz w:val="24"/>
          <w:szCs w:val="24"/>
        </w:rPr>
        <w:t>2012</w:t>
      </w:r>
      <w:r>
        <w:rPr>
          <w:rFonts w:ascii="宋体" w:hAnsi="宋体" w:cs="宋体" w:eastAsia="宋体" w:hint="default"/>
          <w:spacing w:val="-60"/>
          <w:sz w:val="24"/>
          <w:szCs w:val="24"/>
        </w:rPr>
        <w:t> </w:t>
      </w:r>
      <w:r>
        <w:rPr>
          <w:rFonts w:ascii="宋体" w:hAnsi="宋体" w:cs="宋体" w:eastAsia="宋体" w:hint="default"/>
          <w:sz w:val="24"/>
          <w:szCs w:val="24"/>
        </w:rPr>
        <w:t>年度没有发生影响业务的重大的关键技术人才的变动情况。 </w:t>
      </w:r>
      <w:r>
        <w:rPr>
          <w:rFonts w:ascii="宋体" w:hAnsi="宋体" w:cs="宋体" w:eastAsia="宋体" w:hint="default"/>
          <w:b/>
          <w:bCs/>
          <w:sz w:val="24"/>
          <w:szCs w:val="24"/>
        </w:rPr>
        <w:t>六、</w:t>
      </w:r>
      <w:r>
        <w:rPr>
          <w:rFonts w:ascii="宋体" w:hAnsi="宋体" w:cs="宋体" w:eastAsia="宋体" w:hint="default"/>
          <w:b/>
          <w:bCs/>
          <w:spacing w:val="-3"/>
          <w:sz w:val="24"/>
          <w:szCs w:val="24"/>
        </w:rPr>
        <w:t> </w:t>
      </w:r>
      <w:r>
        <w:rPr>
          <w:rFonts w:ascii="宋体" w:hAnsi="宋体" w:cs="宋体" w:eastAsia="宋体" w:hint="default"/>
          <w:b/>
          <w:bCs/>
          <w:sz w:val="24"/>
          <w:szCs w:val="24"/>
        </w:rPr>
        <w:t>母公司和主要子公司的员工情况</w:t>
      </w:r>
      <w:r>
        <w:rPr>
          <w:rFonts w:ascii="宋体" w:hAnsi="宋体" w:cs="宋体" w:eastAsia="宋体" w:hint="default"/>
          <w:sz w:val="24"/>
          <w:szCs w:val="24"/>
        </w:rPr>
      </w:r>
    </w:p>
    <w:p>
      <w:pPr>
        <w:pStyle w:val="Heading2"/>
        <w:spacing w:line="240" w:lineRule="auto" w:before="46"/>
        <w:ind w:left="620" w:right="266"/>
        <w:jc w:val="left"/>
        <w:rPr>
          <w:b w:val="0"/>
          <w:bCs w:val="0"/>
        </w:rPr>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48"/>
        </w:rPr>
        <w:t> </w:t>
      </w:r>
      <w:r>
        <w:rPr/>
        <w:t>员工情况</w:t>
      </w:r>
      <w:r>
        <w:rPr>
          <w:b w:val="0"/>
          <w:bCs w:val="0"/>
        </w:rPr>
      </w:r>
    </w:p>
    <w:p>
      <w:pPr>
        <w:spacing w:line="240" w:lineRule="auto" w:before="10"/>
        <w:rPr>
          <w:rFonts w:ascii="宋体" w:hAnsi="宋体" w:cs="宋体" w:eastAsia="宋体" w:hint="default"/>
          <w:b/>
          <w:bCs/>
          <w:sz w:val="17"/>
          <w:szCs w:val="17"/>
        </w:rPr>
      </w:pPr>
    </w:p>
    <w:tbl>
      <w:tblPr>
        <w:tblW w:w="0" w:type="auto"/>
        <w:jc w:val="left"/>
        <w:tblInd w:w="272" w:type="dxa"/>
        <w:tblLayout w:type="fixed"/>
        <w:tblCellMar>
          <w:top w:w="0" w:type="dxa"/>
          <w:left w:w="0" w:type="dxa"/>
          <w:bottom w:w="0" w:type="dxa"/>
          <w:right w:w="0" w:type="dxa"/>
        </w:tblCellMar>
        <w:tblLook w:val="01E0"/>
      </w:tblPr>
      <w:tblGrid>
        <w:gridCol w:w="4558"/>
        <w:gridCol w:w="4524"/>
      </w:tblGrid>
      <w:tr>
        <w:trPr>
          <w:trHeight w:val="341"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8,710</w:t>
            </w:r>
          </w:p>
        </w:tc>
      </w:tr>
      <w:tr>
        <w:trPr>
          <w:trHeight w:val="33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z w:val="21"/>
              </w:rPr>
              <w:t>4,365</w:t>
            </w:r>
          </w:p>
        </w:tc>
      </w:tr>
      <w:tr>
        <w:trPr>
          <w:trHeight w:val="341"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13,075</w:t>
            </w:r>
          </w:p>
        </w:tc>
      </w:tr>
      <w:tr>
        <w:trPr>
          <w:trHeight w:val="694"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left="100" w:right="235"/>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人数</w:t>
            </w:r>
          </w:p>
        </w:tc>
        <w:tc>
          <w:tcPr>
            <w:tcW w:w="45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9"/>
              <w:ind w:right="101"/>
              <w:jc w:val="right"/>
              <w:rPr>
                <w:rFonts w:ascii="宋体" w:hAnsi="宋体" w:cs="宋体" w:eastAsia="宋体" w:hint="default"/>
                <w:sz w:val="21"/>
                <w:szCs w:val="21"/>
              </w:rPr>
            </w:pPr>
            <w:r>
              <w:rPr>
                <w:rFonts w:ascii="宋体"/>
                <w:w w:val="100"/>
                <w:sz w:val="21"/>
              </w:rPr>
              <w:t>0</w:t>
            </w:r>
          </w:p>
        </w:tc>
      </w:tr>
    </w:tbl>
    <w:p>
      <w:pPr>
        <w:spacing w:after="0" w:line="240" w:lineRule="auto"/>
        <w:jc w:val="right"/>
        <w:rPr>
          <w:rFonts w:ascii="宋体" w:hAnsi="宋体" w:cs="宋体" w:eastAsia="宋体" w:hint="default"/>
          <w:sz w:val="21"/>
          <w:szCs w:val="21"/>
        </w:rPr>
        <w:sectPr>
          <w:pgSz w:w="11910" w:h="16850"/>
          <w:pgMar w:header="752" w:footer="730" w:top="1020" w:bottom="920" w:left="1280" w:right="102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1"/>
          <w:szCs w:val="11"/>
        </w:rPr>
      </w:pPr>
    </w:p>
    <w:tbl>
      <w:tblPr>
        <w:tblW w:w="0" w:type="auto"/>
        <w:jc w:val="left"/>
        <w:tblInd w:w="272" w:type="dxa"/>
        <w:tblLayout w:type="fixed"/>
        <w:tblCellMar>
          <w:top w:w="0" w:type="dxa"/>
          <w:left w:w="0" w:type="dxa"/>
          <w:bottom w:w="0" w:type="dxa"/>
          <w:right w:w="0" w:type="dxa"/>
        </w:tblCellMar>
        <w:tblLook w:val="01E0"/>
      </w:tblPr>
      <w:tblGrid>
        <w:gridCol w:w="4558"/>
        <w:gridCol w:w="4524"/>
      </w:tblGrid>
      <w:tr>
        <w:trPr>
          <w:trHeight w:val="341" w:hRule="exact"/>
        </w:trPr>
        <w:tc>
          <w:tcPr>
            <w:tcW w:w="90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2"/>
                <w:szCs w:val="22"/>
              </w:rPr>
            </w:pPr>
            <w:r>
              <w:rPr>
                <w:rFonts w:ascii="宋体" w:hAnsi="宋体" w:cs="宋体" w:eastAsia="宋体" w:hint="default"/>
                <w:sz w:val="22"/>
                <w:szCs w:val="22"/>
              </w:rPr>
              <w:t>专业构成</w:t>
            </w:r>
          </w:p>
        </w:tc>
      </w:tr>
      <w:tr>
        <w:trPr>
          <w:trHeight w:val="33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1390"/>
              <w:jc w:val="right"/>
              <w:rPr>
                <w:rFonts w:ascii="宋体" w:hAnsi="宋体" w:cs="宋体" w:eastAsia="宋体" w:hint="default"/>
                <w:sz w:val="22"/>
                <w:szCs w:val="22"/>
              </w:rPr>
            </w:pPr>
            <w:r>
              <w:rPr>
                <w:rFonts w:ascii="宋体" w:hAnsi="宋体" w:cs="宋体" w:eastAsia="宋体" w:hint="default"/>
                <w:spacing w:val="-1"/>
                <w:sz w:val="22"/>
                <w:szCs w:val="22"/>
              </w:rPr>
              <w:t>专业构成类别</w:t>
            </w:r>
          </w:p>
        </w:tc>
        <w:tc>
          <w:tcPr>
            <w:tcW w:w="452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811" w:right="0"/>
              <w:jc w:val="left"/>
              <w:rPr>
                <w:rFonts w:ascii="宋体" w:hAnsi="宋体" w:cs="宋体" w:eastAsia="宋体" w:hint="default"/>
                <w:sz w:val="22"/>
                <w:szCs w:val="22"/>
              </w:rPr>
            </w:pPr>
            <w:r>
              <w:rPr>
                <w:rFonts w:ascii="宋体" w:hAnsi="宋体" w:cs="宋体" w:eastAsia="宋体" w:hint="default"/>
                <w:sz w:val="22"/>
                <w:szCs w:val="22"/>
              </w:rPr>
              <w:t>专业构成人数</w:t>
            </w:r>
          </w:p>
        </w:tc>
      </w:tr>
      <w:tr>
        <w:trPr>
          <w:trHeight w:val="341"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452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01"/>
              <w:jc w:val="right"/>
              <w:rPr>
                <w:rFonts w:ascii="宋体" w:hAnsi="宋体" w:cs="宋体" w:eastAsia="宋体" w:hint="default"/>
                <w:sz w:val="21"/>
                <w:szCs w:val="21"/>
              </w:rPr>
            </w:pPr>
            <w:r>
              <w:rPr>
                <w:rFonts w:ascii="宋体"/>
                <w:sz w:val="21"/>
              </w:rPr>
              <w:t>28</w:t>
            </w:r>
          </w:p>
        </w:tc>
      </w:tr>
      <w:tr>
        <w:trPr>
          <w:trHeight w:val="341"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452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3,089</w:t>
            </w:r>
          </w:p>
        </w:tc>
      </w:tr>
      <w:tr>
        <w:trPr>
          <w:trHeight w:val="33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研发人员</w:t>
            </w:r>
          </w:p>
        </w:tc>
        <w:tc>
          <w:tcPr>
            <w:tcW w:w="452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3,903</w:t>
            </w:r>
          </w:p>
        </w:tc>
      </w:tr>
      <w:tr>
        <w:trPr>
          <w:trHeight w:val="341"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咨询实施及培训人员</w:t>
            </w:r>
          </w:p>
        </w:tc>
        <w:tc>
          <w:tcPr>
            <w:tcW w:w="452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3,680</w:t>
            </w:r>
          </w:p>
        </w:tc>
      </w:tr>
      <w:tr>
        <w:trPr>
          <w:trHeight w:val="341"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支持服务人员</w:t>
            </w:r>
          </w:p>
        </w:tc>
        <w:tc>
          <w:tcPr>
            <w:tcW w:w="452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811</w:t>
            </w:r>
          </w:p>
        </w:tc>
      </w:tr>
      <w:tr>
        <w:trPr>
          <w:trHeight w:val="33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452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430</w:t>
            </w:r>
          </w:p>
        </w:tc>
      </w:tr>
      <w:tr>
        <w:trPr>
          <w:trHeight w:val="341"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452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1,134</w:t>
            </w:r>
          </w:p>
        </w:tc>
      </w:tr>
      <w:tr>
        <w:trPr>
          <w:trHeight w:val="341"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52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13,075</w:t>
            </w:r>
          </w:p>
        </w:tc>
      </w:tr>
      <w:tr>
        <w:trPr>
          <w:trHeight w:val="33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1390"/>
              <w:jc w:val="right"/>
              <w:rPr>
                <w:rFonts w:ascii="宋体" w:hAnsi="宋体" w:cs="宋体" w:eastAsia="宋体" w:hint="default"/>
                <w:sz w:val="22"/>
                <w:szCs w:val="22"/>
              </w:rPr>
            </w:pPr>
            <w:r>
              <w:rPr>
                <w:rFonts w:ascii="宋体" w:hAnsi="宋体" w:cs="宋体" w:eastAsia="宋体" w:hint="default"/>
                <w:spacing w:val="-1"/>
                <w:sz w:val="22"/>
                <w:szCs w:val="22"/>
              </w:rPr>
              <w:t>教育程度类别</w:t>
            </w:r>
          </w:p>
        </w:tc>
        <w:tc>
          <w:tcPr>
            <w:tcW w:w="4524"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1922" w:right="0"/>
              <w:jc w:val="left"/>
              <w:rPr>
                <w:rFonts w:ascii="宋体" w:hAnsi="宋体" w:cs="宋体" w:eastAsia="宋体" w:hint="default"/>
                <w:sz w:val="22"/>
                <w:szCs w:val="22"/>
              </w:rPr>
            </w:pPr>
            <w:r>
              <w:rPr>
                <w:rFonts w:ascii="宋体" w:hAnsi="宋体" w:cs="宋体" w:eastAsia="宋体" w:hint="default"/>
                <w:sz w:val="22"/>
                <w:szCs w:val="22"/>
              </w:rPr>
              <w:t>数量（人）</w:t>
            </w:r>
          </w:p>
        </w:tc>
      </w:tr>
      <w:tr>
        <w:trPr>
          <w:trHeight w:val="341"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博士</w:t>
            </w:r>
          </w:p>
        </w:tc>
        <w:tc>
          <w:tcPr>
            <w:tcW w:w="452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01"/>
              <w:jc w:val="right"/>
              <w:rPr>
                <w:rFonts w:ascii="宋体" w:hAnsi="宋体" w:cs="宋体" w:eastAsia="宋体" w:hint="default"/>
                <w:sz w:val="21"/>
                <w:szCs w:val="21"/>
              </w:rPr>
            </w:pPr>
            <w:r>
              <w:rPr>
                <w:rFonts w:ascii="宋体"/>
                <w:sz w:val="21"/>
              </w:rPr>
              <w:t>43</w:t>
            </w:r>
          </w:p>
        </w:tc>
      </w:tr>
      <w:tr>
        <w:trPr>
          <w:trHeight w:val="341"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硕士</w:t>
            </w:r>
          </w:p>
        </w:tc>
        <w:tc>
          <w:tcPr>
            <w:tcW w:w="452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1,237</w:t>
            </w:r>
          </w:p>
        </w:tc>
      </w:tr>
      <w:tr>
        <w:trPr>
          <w:trHeight w:val="33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本科</w:t>
            </w:r>
          </w:p>
        </w:tc>
        <w:tc>
          <w:tcPr>
            <w:tcW w:w="452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98"/>
              <w:jc w:val="right"/>
              <w:rPr>
                <w:rFonts w:ascii="宋体" w:hAnsi="宋体" w:cs="宋体" w:eastAsia="宋体" w:hint="default"/>
                <w:sz w:val="21"/>
                <w:szCs w:val="21"/>
              </w:rPr>
            </w:pPr>
            <w:r>
              <w:rPr>
                <w:rFonts w:ascii="宋体"/>
                <w:spacing w:val="-1"/>
                <w:sz w:val="21"/>
              </w:rPr>
              <w:t>8,884</w:t>
            </w:r>
          </w:p>
        </w:tc>
      </w:tr>
      <w:tr>
        <w:trPr>
          <w:trHeight w:val="341"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0"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452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98"/>
              <w:jc w:val="right"/>
              <w:rPr>
                <w:rFonts w:ascii="宋体" w:hAnsi="宋体" w:cs="宋体" w:eastAsia="宋体" w:hint="default"/>
                <w:sz w:val="21"/>
                <w:szCs w:val="21"/>
              </w:rPr>
            </w:pPr>
            <w:r>
              <w:rPr>
                <w:rFonts w:ascii="宋体"/>
                <w:spacing w:val="-1"/>
                <w:sz w:val="21"/>
              </w:rPr>
              <w:t>2,748</w:t>
            </w:r>
          </w:p>
        </w:tc>
      </w:tr>
      <w:tr>
        <w:trPr>
          <w:trHeight w:val="341"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大专以下</w:t>
            </w:r>
          </w:p>
        </w:tc>
        <w:tc>
          <w:tcPr>
            <w:tcW w:w="452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163</w:t>
            </w:r>
          </w:p>
        </w:tc>
      </w:tr>
      <w:tr>
        <w:trPr>
          <w:trHeight w:val="341"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524" w:type="dxa"/>
            <w:tcBorders>
              <w:top w:val="single" w:sz="6" w:space="0" w:color="000000"/>
              <w:left w:val="single" w:sz="6" w:space="0" w:color="000000"/>
              <w:bottom w:val="single" w:sz="6" w:space="0" w:color="000000"/>
              <w:right w:val="single" w:sz="6" w:space="0" w:color="000000"/>
            </w:tcBorders>
          </w:tcPr>
          <w:p>
            <w:pPr>
              <w:pStyle w:val="TableParagraph"/>
              <w:spacing w:line="267" w:lineRule="exact"/>
              <w:ind w:right="101"/>
              <w:jc w:val="right"/>
              <w:rPr>
                <w:rFonts w:ascii="宋体" w:hAnsi="宋体" w:cs="宋体" w:eastAsia="宋体" w:hint="default"/>
                <w:sz w:val="21"/>
                <w:szCs w:val="21"/>
              </w:rPr>
            </w:pPr>
            <w:r>
              <w:rPr>
                <w:rFonts w:ascii="宋体"/>
                <w:spacing w:val="-1"/>
                <w:sz w:val="21"/>
              </w:rPr>
              <w:t>13,075</w:t>
            </w:r>
          </w:p>
        </w:tc>
      </w:tr>
    </w:tbl>
    <w:p>
      <w:pPr>
        <w:pStyle w:val="Heading3"/>
        <w:spacing w:line="388" w:lineRule="auto" w:before="82"/>
        <w:ind w:left="618" w:right="208" w:firstLine="2"/>
        <w:jc w:val="left"/>
      </w:pPr>
      <w:r>
        <w:rPr>
          <w:rFonts w:ascii="宋体" w:hAnsi="宋体" w:cs="宋体" w:eastAsia="宋体" w:hint="default"/>
          <w:b/>
          <w:bCs/>
        </w:rPr>
        <w:t>(</w:t>
      </w:r>
      <w:r>
        <w:rPr>
          <w:rFonts w:ascii="宋体" w:hAnsi="宋体" w:cs="宋体" w:eastAsia="宋体" w:hint="default"/>
          <w:b/>
          <w:bCs/>
        </w:rPr>
        <w:t>二</w:t>
      </w:r>
      <w:r>
        <w:rPr>
          <w:rFonts w:ascii="宋体" w:hAnsi="宋体" w:cs="宋体" w:eastAsia="宋体" w:hint="default"/>
          <w:b/>
          <w:bCs/>
        </w:rPr>
        <w:t>)</w:t>
      </w:r>
      <w:r>
        <w:rPr>
          <w:rFonts w:ascii="宋体" w:hAnsi="宋体" w:cs="宋体" w:eastAsia="宋体" w:hint="default"/>
          <w:b/>
          <w:bCs/>
          <w:spacing w:val="47"/>
        </w:rPr>
        <w:t> </w:t>
      </w:r>
      <w:r>
        <w:rPr>
          <w:rFonts w:ascii="宋体" w:hAnsi="宋体" w:cs="宋体" w:eastAsia="宋体" w:hint="default"/>
          <w:b/>
          <w:bCs/>
        </w:rPr>
        <w:t>薪酬政策</w:t>
      </w:r>
      <w:r>
        <w:rPr>
          <w:rFonts w:ascii="宋体" w:hAnsi="宋体" w:cs="宋体" w:eastAsia="宋体" w:hint="default"/>
          <w:b/>
          <w:bCs/>
          <w:spacing w:val="2"/>
          <w:w w:val="99"/>
        </w:rPr>
        <w:t> </w:t>
      </w:r>
      <w:r>
        <w:rPr/>
        <w:t>公司员工薪酬主要由月度基本工资、季度绩效工资、年度绩效奖金等组成，其中季</w:t>
      </w:r>
    </w:p>
    <w:p>
      <w:pPr>
        <w:pStyle w:val="Heading3"/>
        <w:spacing w:line="240" w:lineRule="exact" w:before="0"/>
        <w:ind w:right="0"/>
        <w:jc w:val="left"/>
      </w:pPr>
      <w:r>
        <w:rPr/>
        <w:t>度绩效工资与员工季度个人业绩挂钩，属于短期激励；年度绩效奖金与公司经营目标完</w:t>
      </w:r>
    </w:p>
    <w:p>
      <w:pPr>
        <w:pStyle w:val="Heading3"/>
        <w:spacing w:line="388" w:lineRule="auto" w:before="74"/>
        <w:ind w:left="618" w:right="1408" w:hanging="480"/>
        <w:jc w:val="left"/>
        <w:rPr>
          <w:rFonts w:ascii="宋体" w:hAnsi="宋体" w:cs="宋体" w:eastAsia="宋体" w:hint="default"/>
        </w:rPr>
      </w:pPr>
      <w:r>
        <w:rPr/>
        <w:t>成情况、部门目标实现情况、个人年度绩效挂钩，属于中短期激励。 公司还实行期权计划、其他股权计划等中长期激励措施。 公司建立有完善的社会福利体系，并普遍建立了基础性商业保险制度。 </w:t>
      </w:r>
      <w:r>
        <w:rPr>
          <w:rFonts w:ascii="宋体" w:hAnsi="宋体" w:cs="宋体" w:eastAsia="宋体" w:hint="default"/>
          <w:b/>
          <w:bCs/>
        </w:rPr>
        <w:t>(</w:t>
      </w:r>
      <w:r>
        <w:rPr>
          <w:rFonts w:ascii="宋体" w:hAnsi="宋体" w:cs="宋体" w:eastAsia="宋体" w:hint="default"/>
          <w:b/>
          <w:bCs/>
        </w:rPr>
        <w:t>三</w:t>
      </w:r>
      <w:r>
        <w:rPr>
          <w:rFonts w:ascii="宋体" w:hAnsi="宋体" w:cs="宋体" w:eastAsia="宋体" w:hint="default"/>
          <w:b/>
          <w:bCs/>
        </w:rPr>
        <w:t>)</w:t>
      </w:r>
      <w:r>
        <w:rPr>
          <w:rFonts w:ascii="宋体" w:hAnsi="宋体" w:cs="宋体" w:eastAsia="宋体" w:hint="default"/>
          <w:b/>
          <w:bCs/>
          <w:spacing w:val="48"/>
        </w:rPr>
        <w:t> </w:t>
      </w:r>
      <w:r>
        <w:rPr>
          <w:rFonts w:ascii="宋体" w:hAnsi="宋体" w:cs="宋体" w:eastAsia="宋体" w:hint="default"/>
          <w:b/>
          <w:bCs/>
        </w:rPr>
        <w:t>培训计划</w:t>
      </w:r>
      <w:r>
        <w:rPr>
          <w:rFonts w:ascii="宋体" w:hAnsi="宋体" w:cs="宋体" w:eastAsia="宋体" w:hint="default"/>
        </w:rPr>
      </w:r>
    </w:p>
    <w:p>
      <w:pPr>
        <w:pStyle w:val="Heading3"/>
        <w:spacing w:line="297" w:lineRule="auto" w:before="46"/>
        <w:ind w:right="161" w:firstLine="480"/>
        <w:jc w:val="both"/>
      </w:pPr>
      <w:r>
        <w:rPr/>
        <w:t>公司坚持“上接战略，下接绩效”的培训方针，持续开发接轨战略、紧贴业务的精 品培训课程，深化行动学习在全公司的深入推广应用，加强“一切基于创造价值”的全 </w:t>
      </w:r>
      <w:r>
        <w:rPr>
          <w:spacing w:val="-2"/>
        </w:rPr>
        <w:t>员核心价值观训导。公司在员工培训中重点加强三个方面的培训：</w:t>
      </w:r>
      <w:r>
        <w:rPr>
          <w:rFonts w:ascii="宋体" w:hAnsi="宋体" w:cs="宋体" w:eastAsia="宋体" w:hint="default"/>
          <w:spacing w:val="-2"/>
        </w:rPr>
        <w:t>1</w:t>
      </w:r>
      <w:r>
        <w:rPr>
          <w:spacing w:val="-2"/>
        </w:rPr>
        <w:t>、提升中高端管理人</w:t>
      </w:r>
      <w:r>
        <w:rPr>
          <w:spacing w:val="-102"/>
        </w:rPr>
        <w:t> </w:t>
      </w:r>
      <w:r>
        <w:rPr>
          <w:spacing w:val="-102"/>
        </w:rPr>
      </w:r>
      <w:r>
        <w:rPr/>
        <w:t>员的业务领导力，结合公司继任者计划，重点培养中高级管理人员的业务管理及团队管 </w:t>
      </w:r>
      <w:r>
        <w:rPr>
          <w:spacing w:val="-2"/>
        </w:rPr>
        <w:t>理能力；</w:t>
      </w:r>
      <w:r>
        <w:rPr>
          <w:rFonts w:ascii="宋体" w:hAnsi="宋体" w:cs="宋体" w:eastAsia="宋体" w:hint="default"/>
          <w:spacing w:val="-2"/>
        </w:rPr>
        <w:t>2</w:t>
      </w:r>
      <w:r>
        <w:rPr>
          <w:spacing w:val="-2"/>
        </w:rPr>
        <w:t>、深入推广针对业务人员的绩效改进技术的推广，部分重点岗位采用培养项目</w:t>
      </w:r>
      <w:r>
        <w:rPr>
          <w:spacing w:val="-100"/>
        </w:rPr>
        <w:t> </w:t>
      </w:r>
      <w:r>
        <w:rPr>
          <w:spacing w:val="-100"/>
        </w:rPr>
      </w:r>
      <w:r>
        <w:rPr>
          <w:spacing w:val="-2"/>
        </w:rPr>
        <w:t>的方式，持续培养有潜力的骨干员工，带动全员专业技术能力的提升；</w:t>
      </w:r>
      <w:r>
        <w:rPr>
          <w:rFonts w:ascii="宋体" w:hAnsi="宋体" w:cs="宋体" w:eastAsia="宋体" w:hint="default"/>
          <w:spacing w:val="-2"/>
        </w:rPr>
        <w:t>3</w:t>
      </w:r>
      <w:r>
        <w:rPr>
          <w:spacing w:val="-2"/>
        </w:rPr>
        <w:t>、普及职业发展</w:t>
      </w:r>
      <w:r>
        <w:rPr>
          <w:spacing w:val="-102"/>
        </w:rPr>
        <w:t> </w:t>
      </w:r>
      <w:r>
        <w:rPr>
          <w:spacing w:val="-102"/>
        </w:rPr>
      </w:r>
      <w:r>
        <w:rPr/>
        <w:t>类规划培训，用引导的方式激发员工正能量和创造力，结合公司文化，提升员工职业荣 誉感、工作忠诚度和单位产出。</w:t>
      </w:r>
    </w:p>
    <w:p>
      <w:pPr>
        <w:pStyle w:val="Heading2"/>
        <w:spacing w:line="240" w:lineRule="auto" w:before="139"/>
        <w:ind w:left="620" w:right="0"/>
        <w:jc w:val="left"/>
        <w:rPr>
          <w:b w:val="0"/>
          <w:bCs w:val="0"/>
        </w:rPr>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45"/>
        </w:rPr>
        <w:t> </w:t>
      </w:r>
      <w:r>
        <w:rPr/>
        <w:t>专业构成统计图</w:t>
      </w:r>
      <w:r>
        <w:rPr>
          <w:b w:val="0"/>
          <w:bCs w:val="0"/>
        </w:rPr>
      </w:r>
    </w:p>
    <w:p>
      <w:pPr>
        <w:spacing w:after="0" w:line="240" w:lineRule="auto"/>
        <w:jc w:val="left"/>
        <w:sectPr>
          <w:pgSz w:w="11910" w:h="16850"/>
          <w:pgMar w:header="752" w:footer="730" w:top="1020" w:bottom="920" w:left="1280" w:right="1140"/>
        </w:sect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1"/>
          <w:szCs w:val="11"/>
        </w:rPr>
      </w:pPr>
    </w:p>
    <w:p>
      <w:pPr>
        <w:spacing w:line="4956" w:lineRule="exact"/>
        <w:ind w:left="1021" w:right="0" w:firstLine="0"/>
        <w:rPr>
          <w:rFonts w:ascii="宋体" w:hAnsi="宋体" w:cs="宋体" w:eastAsia="宋体" w:hint="default"/>
          <w:sz w:val="20"/>
          <w:szCs w:val="20"/>
        </w:rPr>
      </w:pPr>
      <w:r>
        <w:rPr>
          <w:rFonts w:ascii="宋体" w:hAnsi="宋体" w:cs="宋体" w:eastAsia="宋体" w:hint="default"/>
          <w:position w:val="-98"/>
          <w:sz w:val="20"/>
          <w:szCs w:val="20"/>
        </w:rPr>
        <w:drawing>
          <wp:inline distT="0" distB="0" distL="0" distR="0">
            <wp:extent cx="4732934" cy="3147631"/>
            <wp:effectExtent l="0" t="0" r="0" b="0"/>
            <wp:docPr id="63" name="image19.png" descr=""/>
            <wp:cNvGraphicFramePr>
              <a:graphicFrameLocks noChangeAspect="1"/>
            </wp:cNvGraphicFramePr>
            <a:graphic>
              <a:graphicData uri="http://schemas.openxmlformats.org/drawingml/2006/picture">
                <pic:pic>
                  <pic:nvPicPr>
                    <pic:cNvPr id="64" name="image19.png"/>
                    <pic:cNvPicPr/>
                  </pic:nvPicPr>
                  <pic:blipFill>
                    <a:blip r:embed="rId31" cstate="print"/>
                    <a:stretch>
                      <a:fillRect/>
                    </a:stretch>
                  </pic:blipFill>
                  <pic:spPr>
                    <a:xfrm>
                      <a:off x="0" y="0"/>
                      <a:ext cx="4732934" cy="3147631"/>
                    </a:xfrm>
                    <a:prstGeom prst="rect">
                      <a:avLst/>
                    </a:prstGeom>
                  </pic:spPr>
                </pic:pic>
              </a:graphicData>
            </a:graphic>
          </wp:inline>
        </w:drawing>
      </w:r>
      <w:r>
        <w:rPr>
          <w:rFonts w:ascii="宋体" w:hAnsi="宋体" w:cs="宋体" w:eastAsia="宋体" w:hint="default"/>
          <w:position w:val="-98"/>
          <w:sz w:val="20"/>
          <w:szCs w:val="20"/>
        </w:rPr>
      </w:r>
    </w:p>
    <w:p>
      <w:pPr>
        <w:pStyle w:val="Heading2"/>
        <w:spacing w:line="240" w:lineRule="auto" w:before="60"/>
        <w:ind w:left="620" w:right="188"/>
        <w:jc w:val="left"/>
        <w:rPr>
          <w:b w:val="0"/>
          <w:bCs w:val="0"/>
        </w:rPr>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45"/>
        </w:rPr>
        <w:t> </w:t>
      </w:r>
      <w:r>
        <w:rPr/>
        <w:t>教育程度统计图</w:t>
      </w:r>
      <w:r>
        <w:rPr>
          <w:b w:val="0"/>
          <w:bCs w:val="0"/>
        </w:rPr>
      </w:r>
    </w:p>
    <w:p>
      <w:pPr>
        <w:spacing w:line="240" w:lineRule="auto" w:before="10"/>
        <w:rPr>
          <w:rFonts w:ascii="宋体" w:hAnsi="宋体" w:cs="宋体" w:eastAsia="宋体" w:hint="default"/>
          <w:b/>
          <w:bCs/>
          <w:sz w:val="17"/>
          <w:szCs w:val="17"/>
        </w:rPr>
      </w:pPr>
    </w:p>
    <w:p>
      <w:pPr>
        <w:spacing w:line="4339" w:lineRule="exact"/>
        <w:ind w:left="992"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4868162" cy="2755392"/>
            <wp:effectExtent l="0" t="0" r="0" b="0"/>
            <wp:docPr id="65" name="image20.png" descr=""/>
            <wp:cNvGraphicFramePr>
              <a:graphicFrameLocks noChangeAspect="1"/>
            </wp:cNvGraphicFramePr>
            <a:graphic>
              <a:graphicData uri="http://schemas.openxmlformats.org/drawingml/2006/picture">
                <pic:pic>
                  <pic:nvPicPr>
                    <pic:cNvPr id="66" name="image20.png"/>
                    <pic:cNvPicPr/>
                  </pic:nvPicPr>
                  <pic:blipFill>
                    <a:blip r:embed="rId32" cstate="print"/>
                    <a:stretch>
                      <a:fillRect/>
                    </a:stretch>
                  </pic:blipFill>
                  <pic:spPr>
                    <a:xfrm>
                      <a:off x="0" y="0"/>
                      <a:ext cx="4868162" cy="2755392"/>
                    </a:xfrm>
                    <a:prstGeom prst="rect">
                      <a:avLst/>
                    </a:prstGeom>
                  </pic:spPr>
                </pic:pic>
              </a:graphicData>
            </a:graphic>
          </wp:inline>
        </w:drawing>
      </w:r>
      <w:r>
        <w:rPr>
          <w:rFonts w:ascii="宋体" w:hAnsi="宋体" w:cs="宋体" w:eastAsia="宋体" w:hint="default"/>
          <w:position w:val="-86"/>
          <w:sz w:val="20"/>
          <w:szCs w:val="20"/>
        </w:rPr>
      </w:r>
    </w:p>
    <w:p>
      <w:pPr>
        <w:spacing w:after="0" w:line="4339" w:lineRule="exact"/>
        <w:rPr>
          <w:rFonts w:ascii="宋体" w:hAnsi="宋体" w:cs="宋体" w:eastAsia="宋体" w:hint="default"/>
          <w:sz w:val="20"/>
          <w:szCs w:val="20"/>
        </w:rPr>
        <w:sectPr>
          <w:pgSz w:w="11910" w:h="16850"/>
          <w:pgMar w:header="752" w:footer="730" w:top="1020" w:bottom="920" w:left="1280" w:right="11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1"/>
        <w:spacing w:line="240" w:lineRule="auto" w:before="155"/>
        <w:ind w:left="3927" w:right="232"/>
        <w:jc w:val="left"/>
        <w:rPr>
          <w:b w:val="0"/>
          <w:bCs w:val="0"/>
        </w:rPr>
      </w:pPr>
      <w:bookmarkStart w:name="_TOC_250003" w:id="9"/>
      <w:r>
        <w:rPr/>
        <w:t>第八节</w:t>
      </w:r>
      <w:r>
        <w:rPr>
          <w:spacing w:val="-22"/>
        </w:rPr>
        <w:t> </w:t>
      </w:r>
      <w:r>
        <w:rPr/>
        <w:t>公司治理</w:t>
      </w:r>
      <w:bookmarkEnd w:id="9"/>
      <w:r>
        <w:rPr>
          <w:b w:val="0"/>
          <w:bCs w:val="0"/>
        </w:rPr>
      </w:r>
    </w:p>
    <w:p>
      <w:pPr>
        <w:spacing w:line="240" w:lineRule="auto" w:before="0"/>
        <w:rPr>
          <w:rFonts w:ascii="黑体" w:hAnsi="黑体" w:cs="黑体" w:eastAsia="黑体" w:hint="default"/>
          <w:b/>
          <w:bCs/>
          <w:sz w:val="28"/>
          <w:szCs w:val="28"/>
        </w:rPr>
      </w:pPr>
    </w:p>
    <w:p>
      <w:pPr>
        <w:spacing w:line="240" w:lineRule="auto" w:before="4"/>
        <w:rPr>
          <w:rFonts w:ascii="黑体" w:hAnsi="黑体" w:cs="黑体" w:eastAsia="黑体" w:hint="default"/>
          <w:b/>
          <w:bCs/>
          <w:sz w:val="32"/>
          <w:szCs w:val="32"/>
        </w:rPr>
      </w:pPr>
    </w:p>
    <w:p>
      <w:pPr>
        <w:pStyle w:val="Heading2"/>
        <w:spacing w:line="240" w:lineRule="auto"/>
        <w:ind w:right="232"/>
        <w:jc w:val="left"/>
        <w:rPr>
          <w:b w:val="0"/>
          <w:bCs w:val="0"/>
        </w:rPr>
      </w:pPr>
      <w:r>
        <w:rPr/>
        <w:t>一、公司治理及内幕知情人登记管理等相关情况说明</w:t>
      </w:r>
      <w:r>
        <w:rPr>
          <w:b w:val="0"/>
          <w:bCs w:val="0"/>
        </w:rPr>
      </w:r>
    </w:p>
    <w:p>
      <w:pPr>
        <w:spacing w:line="388" w:lineRule="auto" w:before="194"/>
        <w:ind w:left="620" w:right="232"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宋体" w:hAnsi="宋体" w:cs="宋体" w:eastAsia="宋体" w:hint="default"/>
          <w:b/>
          <w:bCs/>
          <w:sz w:val="24"/>
          <w:szCs w:val="24"/>
        </w:rPr>
        <w:t>一</w:t>
      </w:r>
      <w:r>
        <w:rPr>
          <w:rFonts w:ascii="宋体" w:hAnsi="宋体" w:cs="宋体" w:eastAsia="宋体" w:hint="default"/>
          <w:b/>
          <w:bCs/>
          <w:sz w:val="24"/>
          <w:szCs w:val="24"/>
        </w:rPr>
        <w:t>) </w:t>
      </w:r>
      <w:r>
        <w:rPr>
          <w:rFonts w:ascii="宋体" w:hAnsi="宋体" w:cs="宋体" w:eastAsia="宋体" w:hint="default"/>
          <w:b/>
          <w:bCs/>
          <w:sz w:val="24"/>
          <w:szCs w:val="24"/>
        </w:rPr>
        <w:t>公司治理的情况</w:t>
      </w:r>
      <w:r>
        <w:rPr>
          <w:rFonts w:ascii="宋体" w:hAnsi="宋体" w:cs="宋体" w:eastAsia="宋体" w:hint="default"/>
          <w:b/>
          <w:bCs/>
          <w:w w:val="99"/>
          <w:sz w:val="24"/>
          <w:szCs w:val="24"/>
        </w:rPr>
        <w:t> </w:t>
      </w:r>
      <w:r>
        <w:rPr>
          <w:rFonts w:ascii="宋体" w:hAnsi="宋体" w:cs="宋体" w:eastAsia="宋体" w:hint="default"/>
          <w:sz w:val="24"/>
          <w:szCs w:val="24"/>
        </w:rPr>
        <w:t>报告期内，公司严格按照《公司法》、《证券法》和中国证监会、上海证券交易所</w:t>
      </w:r>
    </w:p>
    <w:p>
      <w:pPr>
        <w:pStyle w:val="Heading3"/>
        <w:spacing w:line="240" w:lineRule="exact" w:before="0"/>
        <w:ind w:right="232"/>
        <w:jc w:val="left"/>
      </w:pPr>
      <w:r>
        <w:rPr/>
        <w:t>有关规定和要求，修订了《公司章程》，制定了《内幕信息知情人登记管理制度》、和</w:t>
      </w:r>
    </w:p>
    <w:p>
      <w:pPr>
        <w:pStyle w:val="Heading3"/>
        <w:spacing w:line="297" w:lineRule="auto" w:before="74"/>
        <w:ind w:right="232"/>
        <w:jc w:val="left"/>
      </w:pPr>
      <w:r>
        <w:rPr/>
        <w:t>《募集资金管理办法》。公司法人治理结构的实际情况与中国证监会发布的有关上市公</w:t>
      </w:r>
      <w:r>
        <w:rPr>
          <w:spacing w:val="-65"/>
        </w:rPr>
        <w:t> </w:t>
      </w:r>
      <w:r>
        <w:rPr>
          <w:spacing w:val="-65"/>
        </w:rPr>
      </w:r>
      <w:r>
        <w:rPr/>
        <w:t>司治理的规范性文件要求不存在差异。公司治理活动开展情况如下：</w:t>
      </w:r>
    </w:p>
    <w:p>
      <w:pPr>
        <w:pStyle w:val="Heading3"/>
        <w:spacing w:line="297" w:lineRule="auto" w:before="139"/>
        <w:ind w:right="218" w:firstLine="482"/>
        <w:jc w:val="both"/>
      </w:pPr>
      <w:r>
        <w:rPr>
          <w:rFonts w:ascii="宋体" w:hAnsi="宋体" w:cs="宋体" w:eastAsia="宋体" w:hint="default"/>
          <w:spacing w:val="-4"/>
        </w:rPr>
        <w:t>1</w:t>
      </w:r>
      <w:r>
        <w:rPr>
          <w:spacing w:val="-4"/>
        </w:rPr>
        <w:t>、报告期内，公司召开了</w:t>
      </w:r>
      <w:r>
        <w:rPr>
          <w:spacing w:val="-63"/>
        </w:rPr>
        <w:t> </w:t>
      </w:r>
      <w:r>
        <w:rPr>
          <w:rFonts w:ascii="宋体" w:hAnsi="宋体" w:cs="宋体" w:eastAsia="宋体" w:hint="default"/>
        </w:rPr>
        <w:t>1</w:t>
      </w:r>
      <w:r>
        <w:rPr>
          <w:rFonts w:ascii="宋体" w:hAnsi="宋体" w:cs="宋体" w:eastAsia="宋体" w:hint="default"/>
          <w:spacing w:val="-63"/>
        </w:rPr>
        <w:t> </w:t>
      </w:r>
      <w:r>
        <w:rPr/>
        <w:t>次年度股东大会和</w:t>
      </w:r>
      <w:r>
        <w:rPr>
          <w:spacing w:val="-63"/>
        </w:rPr>
        <w:t> </w:t>
      </w:r>
      <w:r>
        <w:rPr>
          <w:rFonts w:ascii="宋体" w:hAnsi="宋体" w:cs="宋体" w:eastAsia="宋体" w:hint="default"/>
        </w:rPr>
        <w:t>2</w:t>
      </w:r>
      <w:r>
        <w:rPr>
          <w:rFonts w:ascii="宋体" w:hAnsi="宋体" w:cs="宋体" w:eastAsia="宋体" w:hint="default"/>
          <w:spacing w:val="-63"/>
        </w:rPr>
        <w:t> </w:t>
      </w:r>
      <w:r>
        <w:rPr/>
        <w:t>次临时股东大会。公司股东大会的 召集、召开等相关程序完全符合《公司章程》及《股东大会议事规则》的相关规定，公</w:t>
      </w:r>
      <w:r>
        <w:rPr>
          <w:spacing w:val="-65"/>
        </w:rPr>
        <w:t> </w:t>
      </w:r>
      <w:r>
        <w:rPr>
          <w:spacing w:val="-65"/>
        </w:rPr>
      </w:r>
      <w:r>
        <w:rPr/>
        <w:t>司能够确保所有股东尤其是中小股东的合法权益。</w:t>
      </w:r>
    </w:p>
    <w:p>
      <w:pPr>
        <w:pStyle w:val="Heading3"/>
        <w:spacing w:line="297" w:lineRule="auto"/>
        <w:ind w:right="82" w:firstLine="482"/>
        <w:jc w:val="left"/>
      </w:pPr>
      <w:r>
        <w:rPr>
          <w:rFonts w:ascii="宋体" w:hAnsi="宋体" w:cs="宋体" w:eastAsia="宋体" w:hint="default"/>
        </w:rPr>
        <w:t>2</w:t>
      </w:r>
      <w:r>
        <w:rPr/>
        <w:t>、报告期内，公司共召开了</w:t>
      </w:r>
      <w:r>
        <w:rPr>
          <w:spacing w:val="-60"/>
        </w:rPr>
        <w:t> </w:t>
      </w:r>
      <w:r>
        <w:rPr>
          <w:rFonts w:ascii="宋体" w:hAnsi="宋体" w:cs="宋体" w:eastAsia="宋体" w:hint="default"/>
        </w:rPr>
        <w:t>14 </w:t>
      </w:r>
      <w:r>
        <w:rPr/>
        <w:t>次董事会和</w:t>
      </w:r>
      <w:r>
        <w:rPr>
          <w:spacing w:val="-58"/>
        </w:rPr>
        <w:t> </w:t>
      </w:r>
      <w:r>
        <w:rPr>
          <w:rFonts w:ascii="宋体" w:hAnsi="宋体" w:cs="宋体" w:eastAsia="宋体" w:hint="default"/>
        </w:rPr>
        <w:t>9</w:t>
      </w:r>
      <w:r>
        <w:rPr>
          <w:rFonts w:ascii="宋体" w:hAnsi="宋体" w:cs="宋体" w:eastAsia="宋体" w:hint="default"/>
          <w:spacing w:val="-60"/>
        </w:rPr>
        <w:t> </w:t>
      </w:r>
      <w:r>
        <w:rPr/>
        <w:t>次董事会专门委员会会议。公司董事 会五个专门委员会对公司的发展规划、财务审计、对外投资、关联交易、股权激励计划</w:t>
      </w:r>
      <w:r>
        <w:rPr>
          <w:spacing w:val="-65"/>
        </w:rPr>
        <w:t> </w:t>
      </w:r>
      <w:r>
        <w:rPr>
          <w:spacing w:val="-65"/>
        </w:rPr>
      </w:r>
      <w:r>
        <w:rPr>
          <w:spacing w:val="-2"/>
        </w:rPr>
        <w:t>和内控制度等进行研究并召开相关会议，充分发挥专业作用，加强了公司决策的科学性，</w:t>
      </w:r>
      <w:r>
        <w:rPr>
          <w:spacing w:val="-96"/>
        </w:rPr>
        <w:t> </w:t>
      </w:r>
      <w:r>
        <w:rPr>
          <w:spacing w:val="-96"/>
        </w:rPr>
      </w:r>
      <w:r>
        <w:rPr/>
        <w:t>提高了重大事项决策的效益和质量。</w:t>
      </w:r>
    </w:p>
    <w:p>
      <w:pPr>
        <w:pStyle w:val="Heading3"/>
        <w:spacing w:line="297" w:lineRule="auto"/>
        <w:ind w:right="218" w:firstLine="482"/>
        <w:jc w:val="both"/>
      </w:pPr>
      <w:r>
        <w:rPr>
          <w:rFonts w:ascii="宋体" w:hAnsi="宋体" w:cs="宋体" w:eastAsia="宋体" w:hint="default"/>
          <w:spacing w:val="-3"/>
        </w:rPr>
        <w:t>3</w:t>
      </w:r>
      <w:r>
        <w:rPr>
          <w:spacing w:val="-3"/>
        </w:rPr>
        <w:t>、报告期内，公司共召开了</w:t>
      </w:r>
      <w:r>
        <w:rPr>
          <w:spacing w:val="-70"/>
        </w:rPr>
        <w:t> </w:t>
      </w:r>
      <w:r>
        <w:rPr>
          <w:rFonts w:ascii="宋体" w:hAnsi="宋体" w:cs="宋体" w:eastAsia="宋体" w:hint="default"/>
        </w:rPr>
        <w:t>4</w:t>
      </w:r>
      <w:r>
        <w:rPr>
          <w:rFonts w:ascii="宋体" w:hAnsi="宋体" w:cs="宋体" w:eastAsia="宋体" w:hint="default"/>
          <w:spacing w:val="-70"/>
        </w:rPr>
        <w:t> </w:t>
      </w:r>
      <w:r>
        <w:rPr/>
        <w:t>次监事会会议。除监事会日常工作外，全体监事全部 列席公司的董事会会议，及时全面掌握公司的经营情况，履行对董事会和管理层的监督</w:t>
      </w:r>
      <w:r>
        <w:rPr>
          <w:spacing w:val="-65"/>
        </w:rPr>
        <w:t> </w:t>
      </w:r>
      <w:r>
        <w:rPr>
          <w:spacing w:val="-65"/>
        </w:rPr>
      </w:r>
      <w:r>
        <w:rPr/>
        <w:t>职责。公司监事会的人数和人员构成符合相关法律、法规和《公司章程》的要求，公司</w:t>
      </w:r>
      <w:r>
        <w:rPr>
          <w:spacing w:val="-65"/>
        </w:rPr>
        <w:t> </w:t>
      </w:r>
      <w:r>
        <w:rPr>
          <w:spacing w:val="-65"/>
        </w:rPr>
      </w:r>
      <w:r>
        <w:rPr/>
        <w:t>监事能够认真履行自己的职责，能够本着为股东负责的态度，对公司董事及高级管理人</w:t>
      </w:r>
      <w:r>
        <w:rPr>
          <w:spacing w:val="-65"/>
        </w:rPr>
        <w:t> </w:t>
      </w:r>
      <w:r>
        <w:rPr>
          <w:spacing w:val="-65"/>
        </w:rPr>
      </w:r>
      <w:r>
        <w:rPr/>
        <w:t>员履行职责的合法合规性进行监督。</w:t>
      </w:r>
    </w:p>
    <w:p>
      <w:pPr>
        <w:pStyle w:val="Heading3"/>
        <w:spacing w:line="297" w:lineRule="auto"/>
        <w:ind w:right="82" w:firstLine="482"/>
        <w:jc w:val="left"/>
      </w:pPr>
      <w:r>
        <w:rPr>
          <w:rFonts w:ascii="宋体" w:hAnsi="宋体" w:cs="宋体" w:eastAsia="宋体" w:hint="default"/>
        </w:rPr>
        <w:t>4</w:t>
      </w:r>
      <w:r>
        <w:rPr/>
        <w:t>、公司按照《公司法》、《上海证券交易所股票上市规则》及《公司章程》等相关 </w:t>
      </w:r>
      <w:r>
        <w:rPr>
          <w:spacing w:val="-2"/>
        </w:rPr>
        <w:t>规定，真实、准确、完整、及时、公平地披露信息。公司不断完善投资者关系管理工作，</w:t>
      </w:r>
      <w:r>
        <w:rPr>
          <w:spacing w:val="-100"/>
        </w:rPr>
        <w:t> </w:t>
      </w:r>
      <w:r>
        <w:rPr>
          <w:spacing w:val="-100"/>
        </w:rPr>
      </w:r>
      <w:r>
        <w:rPr/>
        <w:t>严格信息披露，确保信息披露真实、准确、完整、及时、公平。公司通过组织投资者交</w:t>
      </w:r>
      <w:r>
        <w:rPr>
          <w:spacing w:val="-65"/>
        </w:rPr>
        <w:t> </w:t>
      </w:r>
      <w:r>
        <w:rPr>
          <w:spacing w:val="-65"/>
        </w:rPr>
      </w:r>
      <w:r>
        <w:rPr/>
        <w:t>流会、接待股东来访、回答咨询等多种方式增强信息披露的透明度，并指定《上海证券</w:t>
      </w:r>
      <w:r>
        <w:rPr>
          <w:spacing w:val="-65"/>
        </w:rPr>
        <w:t> </w:t>
      </w:r>
      <w:r>
        <w:rPr>
          <w:spacing w:val="-65"/>
        </w:rPr>
      </w:r>
      <w:r>
        <w:rPr/>
        <w:t>报》、《中国证券报》、《证券时报》、《证券日报》为公司信息披露的报纸，使所有</w:t>
      </w:r>
      <w:r>
        <w:rPr>
          <w:spacing w:val="-65"/>
        </w:rPr>
        <w:t> </w:t>
      </w:r>
      <w:r>
        <w:rPr>
          <w:spacing w:val="-65"/>
        </w:rPr>
      </w:r>
      <w:r>
        <w:rPr/>
        <w:t>股东都有平等的机会获得信息。</w:t>
      </w:r>
    </w:p>
    <w:p>
      <w:pPr>
        <w:pStyle w:val="Heading3"/>
        <w:spacing w:line="297" w:lineRule="auto" w:before="139"/>
        <w:ind w:right="218" w:firstLine="482"/>
        <w:jc w:val="both"/>
      </w:pPr>
      <w:r>
        <w:rPr>
          <w:rFonts w:ascii="宋体" w:hAnsi="宋体" w:cs="宋体" w:eastAsia="宋体" w:hint="default"/>
          <w:spacing w:val="-2"/>
        </w:rPr>
        <w:t>5</w:t>
      </w:r>
      <w:r>
        <w:rPr>
          <w:spacing w:val="-2"/>
        </w:rPr>
        <w:t>、公司通过安排董事、监事、高管积极参加证券监管部门组织的专项培训活动，使</w:t>
      </w:r>
      <w:r>
        <w:rPr/>
        <w:t> 公司董事、监事、高管进一步增强了法制意识、责任意识，公司治理知识结构得到更新</w:t>
      </w:r>
      <w:r>
        <w:rPr>
          <w:spacing w:val="-65"/>
        </w:rPr>
        <w:t> </w:t>
      </w:r>
      <w:r>
        <w:rPr>
          <w:spacing w:val="-65"/>
        </w:rPr>
      </w:r>
      <w:r>
        <w:rPr/>
        <w:t>和加强，促使董事、监事、高管更加忠实、勤勉地履行义务，提高公司决策和管理的规</w:t>
      </w:r>
      <w:r>
        <w:rPr>
          <w:spacing w:val="-65"/>
        </w:rPr>
        <w:t> </w:t>
      </w:r>
      <w:r>
        <w:rPr>
          <w:spacing w:val="-65"/>
        </w:rPr>
      </w:r>
      <w:r>
        <w:rPr/>
        <w:t>范性。</w:t>
      </w:r>
    </w:p>
    <w:p>
      <w:pPr>
        <w:pStyle w:val="Heading3"/>
        <w:spacing w:line="297" w:lineRule="auto"/>
        <w:ind w:right="218" w:firstLine="422"/>
        <w:jc w:val="both"/>
      </w:pPr>
      <w:r>
        <w:rPr>
          <w:rFonts w:ascii="宋体" w:hAnsi="宋体" w:cs="宋体" w:eastAsia="宋体" w:hint="default"/>
        </w:rPr>
        <w:t>6</w:t>
      </w:r>
      <w:r>
        <w:rPr/>
        <w:t>、公司治理的完善是一项长期的系统工程，需要持续地改进和提高。公司将继续根 据有关规定及时完善公司内部制度，不断强化企业管理，夯实管理基础，通过完善法人</w:t>
      </w:r>
    </w:p>
    <w:p>
      <w:pPr>
        <w:spacing w:after="0" w:line="297" w:lineRule="auto"/>
        <w:jc w:val="both"/>
        <w:sectPr>
          <w:pgSz w:w="11910" w:h="16850"/>
          <w:pgMar w:header="752" w:footer="730" w:top="1020" w:bottom="920" w:left="1280" w:right="1080"/>
        </w:sectPr>
      </w:pPr>
    </w:p>
    <w:p>
      <w:pPr>
        <w:spacing w:line="240" w:lineRule="auto" w:before="9"/>
        <w:rPr>
          <w:rFonts w:ascii="宋体" w:hAnsi="宋体" w:cs="宋体" w:eastAsia="宋体" w:hint="default"/>
          <w:sz w:val="26"/>
          <w:szCs w:val="26"/>
        </w:rPr>
      </w:pPr>
    </w:p>
    <w:p>
      <w:pPr>
        <w:pStyle w:val="Heading3"/>
        <w:spacing w:line="297" w:lineRule="auto" w:before="26"/>
        <w:ind w:right="0"/>
        <w:jc w:val="left"/>
      </w:pPr>
      <w:r>
        <w:rPr/>
        <w:t>治理、强化内部管理，加强科学决策与内部控制，不断提高公司规范运作和法人治理水</w:t>
      </w:r>
      <w:r>
        <w:rPr>
          <w:spacing w:val="-65"/>
        </w:rPr>
        <w:t> </w:t>
      </w:r>
      <w:r>
        <w:rPr>
          <w:spacing w:val="-65"/>
        </w:rPr>
      </w:r>
      <w:r>
        <w:rPr/>
        <w:t>平，促进公司平稳健康发展。</w:t>
      </w:r>
    </w:p>
    <w:p>
      <w:pPr>
        <w:spacing w:line="388" w:lineRule="auto" w:before="137"/>
        <w:ind w:left="618" w:right="0" w:firstLine="2"/>
        <w:jc w:val="left"/>
        <w:rPr>
          <w:rFonts w:ascii="宋体" w:hAnsi="宋体" w:cs="宋体" w:eastAsia="宋体" w:hint="default"/>
          <w:sz w:val="24"/>
          <w:szCs w:val="24"/>
        </w:rPr>
      </w:pPr>
      <w:r>
        <w:rPr>
          <w:rFonts w:ascii="宋体" w:hAnsi="宋体" w:cs="宋体" w:eastAsia="宋体" w:hint="default"/>
          <w:b/>
          <w:bCs/>
          <w:sz w:val="24"/>
          <w:szCs w:val="24"/>
        </w:rPr>
        <w:t>（二） 内幕信息知情人管理情况说明</w:t>
      </w:r>
      <w:r>
        <w:rPr>
          <w:rFonts w:ascii="宋体" w:hAnsi="宋体" w:cs="宋体" w:eastAsia="宋体" w:hint="default"/>
          <w:b/>
          <w:bCs/>
          <w:w w:val="99"/>
          <w:sz w:val="24"/>
          <w:szCs w:val="24"/>
        </w:rPr>
        <w:t> </w:t>
      </w:r>
      <w:r>
        <w:rPr>
          <w:rFonts w:ascii="宋体" w:hAnsi="宋体" w:cs="宋体" w:eastAsia="宋体" w:hint="default"/>
          <w:sz w:val="24"/>
          <w:szCs w:val="24"/>
        </w:rPr>
        <w:t>报告期内，公司按照《内幕信息知情人登记管理规定》的要求，对公司定期报告披</w:t>
      </w:r>
    </w:p>
    <w:p>
      <w:pPr>
        <w:pStyle w:val="Heading3"/>
        <w:spacing w:line="240" w:lineRule="exact" w:before="0"/>
        <w:ind w:right="0"/>
        <w:jc w:val="left"/>
      </w:pPr>
      <w:r>
        <w:rPr/>
        <w:t>露以及非公开发行等重要事项进行了内幕信息知情人员的登记备案。</w:t>
      </w:r>
    </w:p>
    <w:p>
      <w:pPr>
        <w:pStyle w:val="Heading2"/>
        <w:spacing w:line="240" w:lineRule="auto" w:before="197"/>
        <w:ind w:right="0"/>
        <w:jc w:val="left"/>
        <w:rPr>
          <w:b w:val="0"/>
          <w:bCs w:val="0"/>
        </w:rPr>
      </w:pPr>
      <w:r>
        <w:rPr/>
        <w:t>二、股东大会情况简介</w:t>
      </w:r>
      <w:r>
        <w:rPr>
          <w:b w:val="0"/>
          <w:bCs w:val="0"/>
        </w:rPr>
      </w:r>
    </w:p>
    <w:p>
      <w:pPr>
        <w:spacing w:line="240" w:lineRule="auto" w:before="10"/>
        <w:rPr>
          <w:rFonts w:ascii="宋体" w:hAnsi="宋体" w:cs="宋体" w:eastAsia="宋体" w:hint="default"/>
          <w:b/>
          <w:bCs/>
          <w:sz w:val="17"/>
          <w:szCs w:val="17"/>
        </w:rPr>
      </w:pPr>
    </w:p>
    <w:tbl>
      <w:tblPr>
        <w:tblW w:w="0" w:type="auto"/>
        <w:jc w:val="left"/>
        <w:tblInd w:w="272" w:type="dxa"/>
        <w:tblLayout w:type="fixed"/>
        <w:tblCellMar>
          <w:top w:w="0" w:type="dxa"/>
          <w:left w:w="0" w:type="dxa"/>
          <w:bottom w:w="0" w:type="dxa"/>
          <w:right w:w="0" w:type="dxa"/>
        </w:tblCellMar>
        <w:tblLook w:val="01E0"/>
      </w:tblPr>
      <w:tblGrid>
        <w:gridCol w:w="1502"/>
        <w:gridCol w:w="1265"/>
        <w:gridCol w:w="2395"/>
        <w:gridCol w:w="1217"/>
        <w:gridCol w:w="1416"/>
        <w:gridCol w:w="1284"/>
      </w:tblGrid>
      <w:tr>
        <w:trPr>
          <w:trHeight w:val="830"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b/>
                <w:bCs/>
                <w:sz w:val="21"/>
                <w:szCs w:val="21"/>
              </w:rPr>
              <w:t>会议届次</w:t>
            </w:r>
            <w:r>
              <w:rPr>
                <w:rFonts w:ascii="宋体" w:hAnsi="宋体" w:cs="宋体" w:eastAsia="宋体" w:hint="default"/>
                <w:sz w:val="21"/>
                <w:szCs w:val="21"/>
              </w:rPr>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召开日期</w:t>
            </w:r>
            <w:r>
              <w:rPr>
                <w:rFonts w:ascii="宋体" w:hAnsi="宋体" w:cs="宋体" w:eastAsia="宋体" w:hint="default"/>
                <w:sz w:val="21"/>
                <w:szCs w:val="21"/>
              </w:rPr>
            </w:r>
          </w:p>
        </w:tc>
        <w:tc>
          <w:tcPr>
            <w:tcW w:w="2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556" w:right="0"/>
              <w:jc w:val="left"/>
              <w:rPr>
                <w:rFonts w:ascii="宋体" w:hAnsi="宋体" w:cs="宋体" w:eastAsia="宋体" w:hint="default"/>
                <w:sz w:val="21"/>
                <w:szCs w:val="21"/>
              </w:rPr>
            </w:pPr>
            <w:r>
              <w:rPr>
                <w:rFonts w:ascii="宋体" w:hAnsi="宋体" w:cs="宋体" w:eastAsia="宋体" w:hint="default"/>
                <w:b/>
                <w:bCs/>
                <w:sz w:val="21"/>
                <w:szCs w:val="21"/>
              </w:rPr>
              <w:t>会议议案名称</w:t>
            </w:r>
            <w:r>
              <w:rPr>
                <w:rFonts w:ascii="宋体" w:hAnsi="宋体" w:cs="宋体" w:eastAsia="宋体" w:hint="default"/>
                <w:sz w:val="21"/>
                <w:szCs w:val="21"/>
              </w:rPr>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80" w:right="0"/>
              <w:jc w:val="left"/>
              <w:rPr>
                <w:rFonts w:ascii="宋体" w:hAnsi="宋体" w:cs="宋体" w:eastAsia="宋体" w:hint="default"/>
                <w:sz w:val="21"/>
                <w:szCs w:val="21"/>
              </w:rPr>
            </w:pPr>
            <w:r>
              <w:rPr>
                <w:rFonts w:ascii="宋体" w:hAnsi="宋体" w:cs="宋体" w:eastAsia="宋体" w:hint="default"/>
                <w:b/>
                <w:bCs/>
                <w:sz w:val="21"/>
                <w:szCs w:val="21"/>
              </w:rPr>
              <w:t>决议情况</w:t>
            </w:r>
            <w:r>
              <w:rPr>
                <w:rFonts w:ascii="宋体" w:hAnsi="宋体" w:cs="宋体" w:eastAsia="宋体" w:hint="default"/>
                <w:sz w:val="21"/>
                <w:szCs w:val="21"/>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hAnsi="宋体" w:cs="宋体" w:eastAsia="宋体" w:hint="default"/>
                <w:b/>
                <w:bCs/>
                <w:sz w:val="21"/>
                <w:szCs w:val="21"/>
              </w:rPr>
              <w:t>决议刊登的</w:t>
            </w:r>
            <w:r>
              <w:rPr>
                <w:rFonts w:ascii="宋体" w:hAnsi="宋体" w:cs="宋体" w:eastAsia="宋体" w:hint="default"/>
                <w:sz w:val="21"/>
                <w:szCs w:val="21"/>
              </w:rPr>
            </w:r>
          </w:p>
          <w:p>
            <w:pPr>
              <w:pStyle w:val="TableParagraph"/>
              <w:spacing w:line="240" w:lineRule="auto"/>
              <w:ind w:left="278" w:right="170" w:hanging="106"/>
              <w:jc w:val="left"/>
              <w:rPr>
                <w:rFonts w:ascii="宋体" w:hAnsi="宋体" w:cs="宋体" w:eastAsia="宋体" w:hint="default"/>
                <w:sz w:val="21"/>
                <w:szCs w:val="21"/>
              </w:rPr>
            </w:pPr>
            <w:r>
              <w:rPr>
                <w:rFonts w:ascii="宋体" w:hAnsi="宋体" w:cs="宋体" w:eastAsia="宋体" w:hint="default"/>
                <w:b/>
                <w:bCs/>
                <w:sz w:val="21"/>
                <w:szCs w:val="21"/>
              </w:rPr>
              <w:t>指定网站的</w:t>
            </w:r>
            <w:r>
              <w:rPr>
                <w:rFonts w:ascii="宋体" w:hAnsi="宋体" w:cs="宋体" w:eastAsia="宋体" w:hint="default"/>
                <w:b/>
                <w:bCs/>
                <w:w w:val="100"/>
                <w:sz w:val="21"/>
                <w:szCs w:val="21"/>
              </w:rPr>
              <w:t> </w:t>
            </w:r>
            <w:r>
              <w:rPr>
                <w:rFonts w:ascii="宋体" w:hAnsi="宋体" w:cs="宋体" w:eastAsia="宋体" w:hint="default"/>
                <w:b/>
                <w:bCs/>
                <w:sz w:val="21"/>
                <w:szCs w:val="21"/>
              </w:rPr>
              <w:t>查询索引</w:t>
            </w:r>
            <w:r>
              <w:rPr>
                <w:rFonts w:ascii="宋体" w:hAnsi="宋体" w:cs="宋体" w:eastAsia="宋体" w:hint="default"/>
                <w:sz w:val="21"/>
                <w:szCs w:val="21"/>
              </w:rPr>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213" w:right="103" w:hanging="106"/>
              <w:jc w:val="left"/>
              <w:rPr>
                <w:rFonts w:ascii="宋体" w:hAnsi="宋体" w:cs="宋体" w:eastAsia="宋体" w:hint="default"/>
                <w:sz w:val="21"/>
                <w:szCs w:val="21"/>
              </w:rPr>
            </w:pPr>
            <w:r>
              <w:rPr>
                <w:rFonts w:ascii="宋体" w:hAnsi="宋体" w:cs="宋体" w:eastAsia="宋体" w:hint="default"/>
                <w:b/>
                <w:bCs/>
                <w:sz w:val="21"/>
                <w:szCs w:val="21"/>
              </w:rPr>
              <w:t>决议刊登的</w:t>
            </w:r>
            <w:r>
              <w:rPr>
                <w:rFonts w:ascii="宋体" w:hAnsi="宋体" w:cs="宋体" w:eastAsia="宋体" w:hint="default"/>
                <w:b/>
                <w:bCs/>
                <w:w w:val="100"/>
                <w:sz w:val="21"/>
                <w:szCs w:val="21"/>
              </w:rPr>
              <w:t> </w:t>
            </w:r>
            <w:r>
              <w:rPr>
                <w:rFonts w:ascii="宋体" w:hAnsi="宋体" w:cs="宋体" w:eastAsia="宋体" w:hint="default"/>
                <w:b/>
                <w:bCs/>
                <w:sz w:val="21"/>
                <w:szCs w:val="21"/>
              </w:rPr>
              <w:t>披露日期</w:t>
            </w:r>
            <w:r>
              <w:rPr>
                <w:rFonts w:ascii="宋体" w:hAnsi="宋体" w:cs="宋体" w:eastAsia="宋体" w:hint="default"/>
                <w:sz w:val="21"/>
                <w:szCs w:val="21"/>
              </w:rPr>
            </w:r>
          </w:p>
        </w:tc>
      </w:tr>
      <w:tr>
        <w:trPr>
          <w:trHeight w:val="10366"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37" w:lineRule="auto" w:before="151"/>
              <w:ind w:left="100" w:right="122"/>
              <w:jc w:val="left"/>
              <w:rPr>
                <w:rFonts w:ascii="宋体" w:hAnsi="宋体" w:cs="宋体" w:eastAsia="宋体" w:hint="default"/>
                <w:sz w:val="21"/>
                <w:szCs w:val="21"/>
              </w:rPr>
            </w:pPr>
            <w:r>
              <w:rPr>
                <w:rFonts w:ascii="宋体" w:hAnsi="宋体" w:cs="宋体" w:eastAsia="宋体" w:hint="default"/>
                <w:sz w:val="21"/>
                <w:szCs w:val="21"/>
              </w:rPr>
              <w:t>用友软件股份</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w w:val="100"/>
                <w:sz w:val="21"/>
                <w:szCs w:val="21"/>
              </w:rPr>
              <w:t> </w:t>
            </w:r>
            <w:r>
              <w:rPr>
                <w:rFonts w:ascii="宋体" w:hAnsi="宋体" w:cs="宋体" w:eastAsia="宋体" w:hint="default"/>
                <w:sz w:val="21"/>
                <w:szCs w:val="21"/>
              </w:rPr>
              <w:t>2011</w:t>
            </w:r>
            <w:r>
              <w:rPr>
                <w:rFonts w:ascii="宋体" w:hAnsi="宋体" w:cs="宋体" w:eastAsia="宋体" w:hint="default"/>
                <w:spacing w:val="-55"/>
                <w:sz w:val="21"/>
                <w:szCs w:val="21"/>
              </w:rPr>
              <w:t> </w:t>
            </w:r>
            <w:r>
              <w:rPr>
                <w:rFonts w:ascii="宋体" w:hAnsi="宋体" w:cs="宋体" w:eastAsia="宋体" w:hint="default"/>
                <w:sz w:val="21"/>
                <w:szCs w:val="21"/>
              </w:rPr>
              <w:t>年年度</w:t>
            </w:r>
            <w:r>
              <w:rPr>
                <w:rFonts w:ascii="宋体" w:hAnsi="宋体" w:cs="宋体" w:eastAsia="宋体" w:hint="default"/>
                <w:spacing w:val="-3"/>
                <w:w w:val="100"/>
                <w:sz w:val="21"/>
                <w:szCs w:val="21"/>
              </w:rPr>
              <w:t> </w:t>
            </w:r>
            <w:r>
              <w:rPr>
                <w:rFonts w:ascii="宋体" w:hAnsi="宋体" w:cs="宋体" w:eastAsia="宋体" w:hint="default"/>
                <w:sz w:val="21"/>
                <w:szCs w:val="21"/>
              </w:rPr>
              <w:t>股东大会</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2012-03-30</w:t>
            </w:r>
          </w:p>
        </w:tc>
        <w:tc>
          <w:tcPr>
            <w:tcW w:w="23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1</w:t>
            </w:r>
            <w:r>
              <w:rPr>
                <w:rFonts w:ascii="宋体" w:hAnsi="宋体" w:cs="宋体" w:eastAsia="宋体" w:hint="default"/>
                <w:spacing w:val="-9"/>
                <w:sz w:val="21"/>
                <w:szCs w:val="21"/>
              </w:rPr>
              <w:t>、审议公司《</w:t>
            </w:r>
            <w:r>
              <w:rPr>
                <w:rFonts w:ascii="宋体" w:hAnsi="宋体" w:cs="宋体" w:eastAsia="宋体" w:hint="default"/>
                <w:spacing w:val="-9"/>
                <w:sz w:val="21"/>
                <w:szCs w:val="21"/>
              </w:rPr>
              <w:t>2011</w:t>
            </w:r>
            <w:r>
              <w:rPr>
                <w:rFonts w:ascii="宋体" w:hAnsi="宋体" w:cs="宋体" w:eastAsia="宋体" w:hint="default"/>
                <w:spacing w:val="-33"/>
                <w:sz w:val="21"/>
                <w:szCs w:val="21"/>
              </w:rPr>
              <w:t> </w:t>
            </w:r>
            <w:r>
              <w:rPr>
                <w:rFonts w:ascii="宋体" w:hAnsi="宋体" w:cs="宋体" w:eastAsia="宋体" w:hint="default"/>
                <w:sz w:val="21"/>
                <w:szCs w:val="21"/>
              </w:rPr>
              <w:t>年度</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董事会报告》</w:t>
            </w:r>
          </w:p>
          <w:p>
            <w:pPr>
              <w:pStyle w:val="TableParagraph"/>
              <w:spacing w:line="272" w:lineRule="exact" w:before="27"/>
              <w:ind w:left="100" w:right="96"/>
              <w:jc w:val="left"/>
              <w:rPr>
                <w:rFonts w:ascii="宋体" w:hAnsi="宋体" w:cs="宋体" w:eastAsia="宋体" w:hint="default"/>
                <w:sz w:val="21"/>
                <w:szCs w:val="21"/>
              </w:rPr>
            </w:pPr>
            <w:r>
              <w:rPr>
                <w:rFonts w:ascii="宋体" w:hAnsi="宋体" w:cs="宋体" w:eastAsia="宋体" w:hint="default"/>
                <w:spacing w:val="-9"/>
                <w:sz w:val="21"/>
                <w:szCs w:val="21"/>
              </w:rPr>
              <w:t>2</w:t>
            </w:r>
            <w:r>
              <w:rPr>
                <w:rFonts w:ascii="宋体" w:hAnsi="宋体" w:cs="宋体" w:eastAsia="宋体" w:hint="default"/>
                <w:spacing w:val="-9"/>
                <w:sz w:val="21"/>
                <w:szCs w:val="21"/>
              </w:rPr>
              <w:t>、审议公司《</w:t>
            </w:r>
            <w:r>
              <w:rPr>
                <w:rFonts w:ascii="宋体" w:hAnsi="宋体" w:cs="宋体" w:eastAsia="宋体" w:hint="default"/>
                <w:spacing w:val="-9"/>
                <w:sz w:val="21"/>
                <w:szCs w:val="21"/>
              </w:rPr>
              <w:t>2011</w:t>
            </w:r>
            <w:r>
              <w:rPr>
                <w:rFonts w:ascii="宋体" w:hAnsi="宋体" w:cs="宋体" w:eastAsia="宋体" w:hint="default"/>
                <w:spacing w:val="-39"/>
                <w:sz w:val="21"/>
                <w:szCs w:val="21"/>
              </w:rPr>
              <w:t> </w:t>
            </w:r>
            <w:r>
              <w:rPr>
                <w:rFonts w:ascii="宋体" w:hAnsi="宋体" w:cs="宋体" w:eastAsia="宋体" w:hint="default"/>
                <w:sz w:val="21"/>
                <w:szCs w:val="21"/>
              </w:rPr>
              <w:t>年度</w:t>
            </w:r>
            <w:r>
              <w:rPr>
                <w:rFonts w:ascii="宋体" w:hAnsi="宋体" w:cs="宋体" w:eastAsia="宋体" w:hint="default"/>
                <w:spacing w:val="-99"/>
                <w:sz w:val="21"/>
                <w:szCs w:val="21"/>
              </w:rPr>
              <w:t> </w:t>
            </w:r>
            <w:r>
              <w:rPr>
                <w:rFonts w:ascii="宋体" w:hAnsi="宋体" w:cs="宋体" w:eastAsia="宋体" w:hint="default"/>
                <w:sz w:val="21"/>
                <w:szCs w:val="21"/>
              </w:rPr>
              <w:t>监事会报告》</w:t>
            </w:r>
          </w:p>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3</w:t>
            </w:r>
            <w:r>
              <w:rPr>
                <w:rFonts w:ascii="宋体" w:hAnsi="宋体" w:cs="宋体" w:eastAsia="宋体" w:hint="default"/>
                <w:spacing w:val="-9"/>
                <w:sz w:val="21"/>
                <w:szCs w:val="21"/>
              </w:rPr>
              <w:t>、审议公司《</w:t>
            </w:r>
            <w:r>
              <w:rPr>
                <w:rFonts w:ascii="宋体" w:hAnsi="宋体" w:cs="宋体" w:eastAsia="宋体" w:hint="default"/>
                <w:spacing w:val="-9"/>
                <w:sz w:val="21"/>
                <w:szCs w:val="21"/>
              </w:rPr>
              <w:t>2011</w:t>
            </w:r>
            <w:r>
              <w:rPr>
                <w:rFonts w:ascii="宋体" w:hAnsi="宋体" w:cs="宋体" w:eastAsia="宋体" w:hint="default"/>
                <w:spacing w:val="-33"/>
                <w:sz w:val="21"/>
                <w:szCs w:val="21"/>
              </w:rPr>
              <w:t> </w:t>
            </w:r>
            <w:r>
              <w:rPr>
                <w:rFonts w:ascii="宋体" w:hAnsi="宋体" w:cs="宋体" w:eastAsia="宋体" w:hint="default"/>
                <w:sz w:val="21"/>
                <w:szCs w:val="21"/>
              </w:rPr>
              <w:t>年度</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财务决算方案》</w:t>
            </w:r>
          </w:p>
          <w:p>
            <w:pPr>
              <w:pStyle w:val="TableParagraph"/>
              <w:spacing w:line="240" w:lineRule="auto"/>
              <w:ind w:left="99" w:right="97"/>
              <w:jc w:val="left"/>
              <w:rPr>
                <w:rFonts w:ascii="宋体" w:hAnsi="宋体" w:cs="宋体" w:eastAsia="宋体" w:hint="default"/>
                <w:sz w:val="21"/>
                <w:szCs w:val="21"/>
              </w:rPr>
            </w:pPr>
            <w:r>
              <w:rPr>
                <w:rFonts w:ascii="宋体" w:hAnsi="宋体" w:cs="宋体" w:eastAsia="宋体" w:hint="default"/>
                <w:spacing w:val="-9"/>
                <w:sz w:val="21"/>
                <w:szCs w:val="21"/>
              </w:rPr>
              <w:t>4</w:t>
            </w:r>
            <w:r>
              <w:rPr>
                <w:rFonts w:ascii="宋体" w:hAnsi="宋体" w:cs="宋体" w:eastAsia="宋体" w:hint="default"/>
                <w:spacing w:val="-9"/>
                <w:sz w:val="21"/>
                <w:szCs w:val="21"/>
              </w:rPr>
              <w:t>、审议公司《</w:t>
            </w:r>
            <w:r>
              <w:rPr>
                <w:rFonts w:ascii="宋体" w:hAnsi="宋体" w:cs="宋体" w:eastAsia="宋体" w:hint="default"/>
                <w:spacing w:val="-9"/>
                <w:sz w:val="21"/>
                <w:szCs w:val="21"/>
              </w:rPr>
              <w:t>2011</w:t>
            </w:r>
            <w:r>
              <w:rPr>
                <w:rFonts w:ascii="宋体" w:hAnsi="宋体" w:cs="宋体" w:eastAsia="宋体" w:hint="default"/>
                <w:spacing w:val="-39"/>
                <w:sz w:val="21"/>
                <w:szCs w:val="21"/>
              </w:rPr>
              <w:t> </w:t>
            </w:r>
            <w:r>
              <w:rPr>
                <w:rFonts w:ascii="宋体" w:hAnsi="宋体" w:cs="宋体" w:eastAsia="宋体" w:hint="default"/>
                <w:sz w:val="21"/>
                <w:szCs w:val="21"/>
              </w:rPr>
              <w:t>年度</w:t>
            </w:r>
            <w:r>
              <w:rPr>
                <w:rFonts w:ascii="宋体" w:hAnsi="宋体" w:cs="宋体" w:eastAsia="宋体" w:hint="default"/>
                <w:spacing w:val="-99"/>
                <w:sz w:val="21"/>
                <w:szCs w:val="21"/>
              </w:rPr>
              <w:t> </w:t>
            </w:r>
            <w:r>
              <w:rPr>
                <w:rFonts w:ascii="宋体" w:hAnsi="宋体" w:cs="宋体" w:eastAsia="宋体" w:hint="default"/>
                <w:sz w:val="21"/>
                <w:szCs w:val="21"/>
              </w:rPr>
              <w:t>利润分配议案》</w:t>
            </w:r>
          </w:p>
          <w:p>
            <w:pPr>
              <w:pStyle w:val="TableParagraph"/>
              <w:spacing w:line="237" w:lineRule="auto"/>
              <w:ind w:left="99" w:right="97"/>
              <w:jc w:val="left"/>
              <w:rPr>
                <w:rFonts w:ascii="宋体" w:hAnsi="宋体" w:cs="宋体" w:eastAsia="宋体" w:hint="default"/>
                <w:sz w:val="21"/>
                <w:szCs w:val="21"/>
              </w:rPr>
            </w:pPr>
            <w:r>
              <w:rPr>
                <w:rFonts w:ascii="宋体" w:hAnsi="宋体" w:cs="宋体" w:eastAsia="宋体" w:hint="default"/>
                <w:spacing w:val="-9"/>
                <w:sz w:val="21"/>
                <w:szCs w:val="21"/>
              </w:rPr>
              <w:t>5</w:t>
            </w:r>
            <w:r>
              <w:rPr>
                <w:rFonts w:ascii="宋体" w:hAnsi="宋体" w:cs="宋体" w:eastAsia="宋体" w:hint="default"/>
                <w:spacing w:val="-9"/>
                <w:sz w:val="21"/>
                <w:szCs w:val="21"/>
              </w:rPr>
              <w:t>、审议公司《</w:t>
            </w:r>
            <w:r>
              <w:rPr>
                <w:rFonts w:ascii="宋体" w:hAnsi="宋体" w:cs="宋体" w:eastAsia="宋体" w:hint="default"/>
                <w:spacing w:val="-9"/>
                <w:sz w:val="21"/>
                <w:szCs w:val="21"/>
              </w:rPr>
              <w:t>2011</w:t>
            </w:r>
            <w:r>
              <w:rPr>
                <w:rFonts w:ascii="宋体" w:hAnsi="宋体" w:cs="宋体" w:eastAsia="宋体" w:hint="default"/>
                <w:spacing w:val="-39"/>
                <w:sz w:val="21"/>
                <w:szCs w:val="21"/>
              </w:rPr>
              <w:t> </w:t>
            </w:r>
            <w:r>
              <w:rPr>
                <w:rFonts w:ascii="宋体" w:hAnsi="宋体" w:cs="宋体" w:eastAsia="宋体" w:hint="default"/>
                <w:sz w:val="21"/>
                <w:szCs w:val="21"/>
              </w:rPr>
              <w:t>年度</w:t>
            </w:r>
            <w:r>
              <w:rPr>
                <w:rFonts w:ascii="宋体" w:hAnsi="宋体" w:cs="宋体" w:eastAsia="宋体" w:hint="default"/>
                <w:spacing w:val="-99"/>
                <w:sz w:val="21"/>
                <w:szCs w:val="21"/>
              </w:rPr>
              <w:t> </w:t>
            </w:r>
            <w:r>
              <w:rPr>
                <w:rFonts w:ascii="宋体" w:hAnsi="宋体" w:cs="宋体" w:eastAsia="宋体" w:hint="default"/>
                <w:sz w:val="21"/>
                <w:szCs w:val="21"/>
              </w:rPr>
              <w:t>资本公积转增股本议</w:t>
            </w:r>
            <w:r>
              <w:rPr>
                <w:rFonts w:ascii="宋体" w:hAnsi="宋体" w:cs="宋体" w:eastAsia="宋体" w:hint="default"/>
                <w:w w:val="100"/>
                <w:sz w:val="21"/>
                <w:szCs w:val="21"/>
              </w:rPr>
              <w:t> </w:t>
            </w:r>
            <w:r>
              <w:rPr>
                <w:rFonts w:ascii="宋体" w:hAnsi="宋体" w:cs="宋体" w:eastAsia="宋体" w:hint="default"/>
                <w:sz w:val="21"/>
                <w:szCs w:val="21"/>
              </w:rPr>
              <w:t>案》</w:t>
            </w:r>
          </w:p>
          <w:p>
            <w:pPr>
              <w:pStyle w:val="TableParagraph"/>
              <w:spacing w:line="237" w:lineRule="auto" w:before="1"/>
              <w:ind w:left="99" w:right="97"/>
              <w:jc w:val="left"/>
              <w:rPr>
                <w:rFonts w:ascii="宋体" w:hAnsi="宋体" w:cs="宋体" w:eastAsia="宋体" w:hint="default"/>
                <w:sz w:val="21"/>
                <w:szCs w:val="21"/>
              </w:rPr>
            </w:pPr>
            <w:r>
              <w:rPr>
                <w:rFonts w:ascii="宋体" w:hAnsi="宋体" w:cs="宋体" w:eastAsia="宋体" w:hint="default"/>
                <w:spacing w:val="-9"/>
                <w:sz w:val="21"/>
                <w:szCs w:val="21"/>
              </w:rPr>
              <w:t>6</w:t>
            </w:r>
            <w:r>
              <w:rPr>
                <w:rFonts w:ascii="宋体" w:hAnsi="宋体" w:cs="宋体" w:eastAsia="宋体" w:hint="default"/>
                <w:spacing w:val="-9"/>
                <w:sz w:val="21"/>
                <w:szCs w:val="21"/>
              </w:rPr>
              <w:t>、审议公司《</w:t>
            </w:r>
            <w:r>
              <w:rPr>
                <w:rFonts w:ascii="宋体" w:hAnsi="宋体" w:cs="宋体" w:eastAsia="宋体" w:hint="default"/>
                <w:spacing w:val="-9"/>
                <w:sz w:val="21"/>
                <w:szCs w:val="21"/>
              </w:rPr>
              <w:t>2011</w:t>
            </w:r>
            <w:r>
              <w:rPr>
                <w:rFonts w:ascii="宋体" w:hAnsi="宋体" w:cs="宋体" w:eastAsia="宋体" w:hint="default"/>
                <w:spacing w:val="-39"/>
                <w:sz w:val="21"/>
                <w:szCs w:val="21"/>
              </w:rPr>
              <w:t> </w:t>
            </w:r>
            <w:r>
              <w:rPr>
                <w:rFonts w:ascii="宋体" w:hAnsi="宋体" w:cs="宋体" w:eastAsia="宋体" w:hint="default"/>
                <w:sz w:val="21"/>
                <w:szCs w:val="21"/>
              </w:rPr>
              <w:t>年年</w:t>
            </w:r>
            <w:r>
              <w:rPr>
                <w:rFonts w:ascii="宋体" w:hAnsi="宋体" w:cs="宋体" w:eastAsia="宋体" w:hint="default"/>
                <w:spacing w:val="-99"/>
                <w:sz w:val="21"/>
                <w:szCs w:val="21"/>
              </w:rPr>
              <w:t> </w:t>
            </w:r>
            <w:r>
              <w:rPr>
                <w:rFonts w:ascii="宋体" w:hAnsi="宋体" w:cs="宋体" w:eastAsia="宋体" w:hint="default"/>
                <w:sz w:val="21"/>
                <w:szCs w:val="21"/>
              </w:rPr>
              <w:t>度报告及摘要》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4"/>
                <w:sz w:val="21"/>
                <w:szCs w:val="21"/>
              </w:rPr>
              <w:t>7</w:t>
            </w:r>
            <w:r>
              <w:rPr>
                <w:rFonts w:ascii="宋体" w:hAnsi="宋体" w:cs="宋体" w:eastAsia="宋体" w:hint="default"/>
                <w:spacing w:val="-4"/>
                <w:sz w:val="21"/>
                <w:szCs w:val="21"/>
              </w:rPr>
              <w:t>、审议公司《关于聘任</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财务报告审计机构的议</w:t>
            </w:r>
            <w:r>
              <w:rPr>
                <w:rFonts w:ascii="宋体" w:hAnsi="宋体" w:cs="宋体" w:eastAsia="宋体" w:hint="default"/>
                <w:w w:val="100"/>
                <w:sz w:val="21"/>
                <w:szCs w:val="21"/>
              </w:rPr>
              <w:t> </w:t>
            </w:r>
            <w:r>
              <w:rPr>
                <w:rFonts w:ascii="宋体" w:hAnsi="宋体" w:cs="宋体" w:eastAsia="宋体" w:hint="default"/>
                <w:sz w:val="21"/>
                <w:szCs w:val="21"/>
              </w:rPr>
              <w:t>案》</w:t>
            </w:r>
            <w:r>
              <w:rPr>
                <w:rFonts w:ascii="宋体" w:hAnsi="宋体" w:cs="宋体" w:eastAsia="宋体" w:hint="default"/>
                <w:spacing w:val="-103"/>
                <w:sz w:val="21"/>
                <w:szCs w:val="21"/>
              </w:rPr>
              <w:t> </w:t>
            </w:r>
            <w:r>
              <w:rPr>
                <w:rFonts w:ascii="宋体" w:hAnsi="宋体" w:cs="宋体" w:eastAsia="宋体" w:hint="default"/>
                <w:spacing w:val="-4"/>
                <w:sz w:val="21"/>
                <w:szCs w:val="21"/>
              </w:rPr>
              <w:t>8</w:t>
            </w:r>
            <w:r>
              <w:rPr>
                <w:rFonts w:ascii="宋体" w:hAnsi="宋体" w:cs="宋体" w:eastAsia="宋体" w:hint="default"/>
                <w:spacing w:val="-4"/>
                <w:sz w:val="21"/>
                <w:szCs w:val="21"/>
              </w:rPr>
              <w:t>、审议公司《关于聘任</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内部控制审计机构的议</w:t>
            </w:r>
            <w:r>
              <w:rPr>
                <w:rFonts w:ascii="宋体" w:hAnsi="宋体" w:cs="宋体" w:eastAsia="宋体" w:hint="default"/>
                <w:w w:val="100"/>
                <w:sz w:val="21"/>
                <w:szCs w:val="21"/>
              </w:rPr>
              <w:t> </w:t>
            </w:r>
            <w:r>
              <w:rPr>
                <w:rFonts w:ascii="宋体" w:hAnsi="宋体" w:cs="宋体" w:eastAsia="宋体" w:hint="default"/>
                <w:sz w:val="21"/>
                <w:szCs w:val="21"/>
              </w:rPr>
              <w:t>案》</w:t>
            </w:r>
            <w:r>
              <w:rPr>
                <w:rFonts w:ascii="宋体" w:hAnsi="宋体" w:cs="宋体" w:eastAsia="宋体" w:hint="default"/>
                <w:spacing w:val="-103"/>
                <w:sz w:val="21"/>
                <w:szCs w:val="21"/>
              </w:rPr>
              <w:t> </w:t>
            </w:r>
            <w:r>
              <w:rPr>
                <w:rFonts w:ascii="宋体" w:hAnsi="宋体" w:cs="宋体" w:eastAsia="宋体" w:hint="default"/>
                <w:spacing w:val="-4"/>
                <w:sz w:val="21"/>
                <w:szCs w:val="21"/>
              </w:rPr>
              <w:t>9</w:t>
            </w:r>
            <w:r>
              <w:rPr>
                <w:rFonts w:ascii="宋体" w:hAnsi="宋体" w:cs="宋体" w:eastAsia="宋体" w:hint="default"/>
                <w:spacing w:val="-4"/>
                <w:sz w:val="21"/>
                <w:szCs w:val="21"/>
              </w:rPr>
              <w:t>、审议公司《章程修正</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案（十五）》及修正后</w:t>
            </w:r>
            <w:r>
              <w:rPr>
                <w:rFonts w:ascii="宋体" w:hAnsi="宋体" w:cs="宋体" w:eastAsia="宋体" w:hint="default"/>
                <w:w w:val="100"/>
                <w:sz w:val="21"/>
                <w:szCs w:val="21"/>
              </w:rPr>
              <w:t> </w:t>
            </w:r>
            <w:r>
              <w:rPr>
                <w:rFonts w:ascii="宋体" w:hAnsi="宋体" w:cs="宋体" w:eastAsia="宋体" w:hint="default"/>
                <w:sz w:val="21"/>
                <w:szCs w:val="21"/>
              </w:rPr>
              <w:t>的《公司章程》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10</w:t>
            </w:r>
            <w:r>
              <w:rPr>
                <w:rFonts w:ascii="宋体" w:hAnsi="宋体" w:cs="宋体" w:eastAsia="宋体" w:hint="default"/>
                <w:sz w:val="21"/>
                <w:szCs w:val="21"/>
              </w:rPr>
              <w:t>、审议《关于公司符</w:t>
            </w:r>
            <w:r>
              <w:rPr>
                <w:rFonts w:ascii="宋体" w:hAnsi="宋体" w:cs="宋体" w:eastAsia="宋体" w:hint="default"/>
                <w:spacing w:val="-3"/>
                <w:w w:val="100"/>
                <w:sz w:val="21"/>
                <w:szCs w:val="21"/>
              </w:rPr>
              <w:t> </w:t>
            </w:r>
            <w:r>
              <w:rPr>
                <w:rFonts w:ascii="宋体" w:hAnsi="宋体" w:cs="宋体" w:eastAsia="宋体" w:hint="default"/>
                <w:sz w:val="21"/>
                <w:szCs w:val="21"/>
              </w:rPr>
              <w:t>合非公开发行股票条件</w:t>
            </w:r>
            <w:r>
              <w:rPr>
                <w:rFonts w:ascii="宋体" w:hAnsi="宋体" w:cs="宋体" w:eastAsia="宋体" w:hint="default"/>
                <w:w w:val="100"/>
                <w:sz w:val="21"/>
                <w:szCs w:val="21"/>
              </w:rPr>
              <w:t> </w:t>
            </w:r>
            <w:r>
              <w:rPr>
                <w:rFonts w:ascii="宋体" w:hAnsi="宋体" w:cs="宋体" w:eastAsia="宋体" w:hint="default"/>
                <w:sz w:val="21"/>
                <w:szCs w:val="21"/>
              </w:rPr>
              <w:t>的议案》</w:t>
            </w:r>
            <w:r>
              <w:rPr>
                <w:rFonts w:ascii="宋体" w:hAnsi="宋体" w:cs="宋体" w:eastAsia="宋体" w:hint="default"/>
                <w:w w:val="100"/>
                <w:sz w:val="21"/>
                <w:szCs w:val="21"/>
              </w:rPr>
              <w:t> </w:t>
            </w:r>
            <w:r>
              <w:rPr>
                <w:rFonts w:ascii="宋体" w:hAnsi="宋体" w:cs="宋体" w:eastAsia="宋体" w:hint="default"/>
                <w:sz w:val="21"/>
                <w:szCs w:val="21"/>
              </w:rPr>
              <w:t>11</w:t>
            </w:r>
            <w:r>
              <w:rPr>
                <w:rFonts w:ascii="宋体" w:hAnsi="宋体" w:cs="宋体" w:eastAsia="宋体" w:hint="default"/>
                <w:sz w:val="21"/>
                <w:szCs w:val="21"/>
              </w:rPr>
              <w:t>、逐项审议公司《关</w:t>
            </w:r>
            <w:r>
              <w:rPr>
                <w:rFonts w:ascii="宋体" w:hAnsi="宋体" w:cs="宋体" w:eastAsia="宋体" w:hint="default"/>
                <w:spacing w:val="-3"/>
                <w:w w:val="100"/>
                <w:sz w:val="21"/>
                <w:szCs w:val="21"/>
              </w:rPr>
              <w:t> </w:t>
            </w:r>
            <w:r>
              <w:rPr>
                <w:rFonts w:ascii="宋体" w:hAnsi="宋体" w:cs="宋体" w:eastAsia="宋体" w:hint="default"/>
                <w:sz w:val="21"/>
                <w:szCs w:val="21"/>
              </w:rPr>
              <w:t>于非公开发行股票方案</w:t>
            </w:r>
            <w:r>
              <w:rPr>
                <w:rFonts w:ascii="宋体" w:hAnsi="宋体" w:cs="宋体" w:eastAsia="宋体" w:hint="default"/>
                <w:w w:val="100"/>
                <w:sz w:val="21"/>
                <w:szCs w:val="21"/>
              </w:rPr>
              <w:t> </w:t>
            </w:r>
            <w:r>
              <w:rPr>
                <w:rFonts w:ascii="宋体" w:hAnsi="宋体" w:cs="宋体" w:eastAsia="宋体" w:hint="default"/>
                <w:sz w:val="21"/>
                <w:szCs w:val="21"/>
              </w:rPr>
              <w:t>的议案》</w:t>
            </w:r>
          </w:p>
          <w:p>
            <w:pPr>
              <w:pStyle w:val="TableParagraph"/>
              <w:spacing w:line="272" w:lineRule="exact"/>
              <w:ind w:left="99" w:right="0"/>
              <w:jc w:val="left"/>
              <w:rPr>
                <w:rFonts w:ascii="宋体" w:hAnsi="宋体" w:cs="宋体" w:eastAsia="宋体" w:hint="default"/>
                <w:sz w:val="21"/>
                <w:szCs w:val="21"/>
              </w:rPr>
            </w:pPr>
            <w:r>
              <w:rPr>
                <w:rFonts w:ascii="宋体" w:hAnsi="宋体" w:cs="宋体" w:eastAsia="宋体" w:hint="default"/>
                <w:sz w:val="21"/>
                <w:szCs w:val="21"/>
              </w:rPr>
              <w:t>11.1</w:t>
            </w:r>
            <w:r>
              <w:rPr>
                <w:rFonts w:ascii="宋体" w:hAnsi="宋体" w:cs="宋体" w:eastAsia="宋体" w:hint="default"/>
                <w:spacing w:val="-51"/>
                <w:sz w:val="21"/>
                <w:szCs w:val="21"/>
              </w:rPr>
              <w:t> </w:t>
            </w:r>
            <w:r>
              <w:rPr>
                <w:rFonts w:ascii="宋体" w:hAnsi="宋体" w:cs="宋体" w:eastAsia="宋体" w:hint="default"/>
                <w:sz w:val="21"/>
                <w:szCs w:val="21"/>
              </w:rPr>
              <w:t>发行方式</w:t>
            </w:r>
          </w:p>
          <w:p>
            <w:pPr>
              <w:pStyle w:val="TableParagraph"/>
              <w:spacing w:line="240" w:lineRule="auto"/>
              <w:ind w:left="99" w:right="123"/>
              <w:jc w:val="left"/>
              <w:rPr>
                <w:rFonts w:ascii="宋体" w:hAnsi="宋体" w:cs="宋体" w:eastAsia="宋体" w:hint="default"/>
                <w:sz w:val="21"/>
                <w:szCs w:val="21"/>
              </w:rPr>
            </w:pPr>
            <w:r>
              <w:rPr>
                <w:rFonts w:ascii="宋体" w:hAnsi="宋体" w:cs="宋体" w:eastAsia="宋体" w:hint="default"/>
                <w:sz w:val="21"/>
                <w:szCs w:val="21"/>
              </w:rPr>
              <w:t>11.2</w:t>
            </w:r>
            <w:r>
              <w:rPr>
                <w:rFonts w:ascii="宋体" w:hAnsi="宋体" w:cs="宋体" w:eastAsia="宋体" w:hint="default"/>
                <w:spacing w:val="-53"/>
                <w:sz w:val="21"/>
                <w:szCs w:val="21"/>
              </w:rPr>
              <w:t> </w:t>
            </w:r>
            <w:r>
              <w:rPr>
                <w:rFonts w:ascii="宋体" w:hAnsi="宋体" w:cs="宋体" w:eastAsia="宋体" w:hint="default"/>
                <w:sz w:val="21"/>
                <w:szCs w:val="21"/>
              </w:rPr>
              <w:t>本次发行股票的种</w:t>
            </w:r>
            <w:r>
              <w:rPr>
                <w:rFonts w:ascii="宋体" w:hAnsi="宋体" w:cs="宋体" w:eastAsia="宋体" w:hint="default"/>
                <w:w w:val="100"/>
                <w:sz w:val="21"/>
                <w:szCs w:val="21"/>
              </w:rPr>
              <w:t> </w:t>
            </w:r>
            <w:r>
              <w:rPr>
                <w:rFonts w:ascii="宋体" w:hAnsi="宋体" w:cs="宋体" w:eastAsia="宋体" w:hint="default"/>
                <w:sz w:val="21"/>
                <w:szCs w:val="21"/>
              </w:rPr>
              <w:t>类和面值</w:t>
            </w:r>
          </w:p>
          <w:p>
            <w:pPr>
              <w:pStyle w:val="TableParagraph"/>
              <w:spacing w:line="271" w:lineRule="exact"/>
              <w:ind w:left="99" w:right="0"/>
              <w:jc w:val="left"/>
              <w:rPr>
                <w:rFonts w:ascii="宋体" w:hAnsi="宋体" w:cs="宋体" w:eastAsia="宋体" w:hint="default"/>
                <w:sz w:val="21"/>
                <w:szCs w:val="21"/>
              </w:rPr>
            </w:pPr>
            <w:r>
              <w:rPr>
                <w:rFonts w:ascii="宋体" w:hAnsi="宋体" w:cs="宋体" w:eastAsia="宋体" w:hint="default"/>
                <w:sz w:val="21"/>
                <w:szCs w:val="21"/>
              </w:rPr>
              <w:t>11.3</w:t>
            </w:r>
            <w:r>
              <w:rPr>
                <w:rFonts w:ascii="宋体" w:hAnsi="宋体" w:cs="宋体" w:eastAsia="宋体" w:hint="default"/>
                <w:spacing w:val="-57"/>
                <w:sz w:val="21"/>
                <w:szCs w:val="21"/>
              </w:rPr>
              <w:t> </w:t>
            </w:r>
            <w:r>
              <w:rPr>
                <w:rFonts w:ascii="宋体" w:hAnsi="宋体" w:cs="宋体" w:eastAsia="宋体" w:hint="default"/>
                <w:sz w:val="21"/>
                <w:szCs w:val="21"/>
              </w:rPr>
              <w:t>本次发行的数量</w:t>
            </w:r>
          </w:p>
          <w:p>
            <w:pPr>
              <w:pStyle w:val="TableParagraph"/>
              <w:spacing w:line="272" w:lineRule="exact"/>
              <w:ind w:left="99" w:right="0"/>
              <w:jc w:val="left"/>
              <w:rPr>
                <w:rFonts w:ascii="宋体" w:hAnsi="宋体" w:cs="宋体" w:eastAsia="宋体" w:hint="default"/>
                <w:sz w:val="21"/>
                <w:szCs w:val="21"/>
              </w:rPr>
            </w:pPr>
            <w:r>
              <w:rPr>
                <w:rFonts w:ascii="宋体" w:hAnsi="宋体" w:cs="宋体" w:eastAsia="宋体" w:hint="default"/>
                <w:sz w:val="21"/>
                <w:szCs w:val="21"/>
              </w:rPr>
              <w:t>11.4</w:t>
            </w:r>
            <w:r>
              <w:rPr>
                <w:rFonts w:ascii="宋体" w:hAnsi="宋体" w:cs="宋体" w:eastAsia="宋体" w:hint="default"/>
                <w:spacing w:val="-51"/>
                <w:sz w:val="21"/>
                <w:szCs w:val="21"/>
              </w:rPr>
              <w:t> </w:t>
            </w:r>
            <w:r>
              <w:rPr>
                <w:rFonts w:ascii="宋体" w:hAnsi="宋体" w:cs="宋体" w:eastAsia="宋体" w:hint="default"/>
                <w:sz w:val="21"/>
                <w:szCs w:val="21"/>
              </w:rPr>
              <w:t>发行对象</w:t>
            </w:r>
          </w:p>
          <w:p>
            <w:pPr>
              <w:pStyle w:val="TableParagraph"/>
              <w:spacing w:line="272" w:lineRule="exact"/>
              <w:ind w:left="99" w:right="0"/>
              <w:jc w:val="left"/>
              <w:rPr>
                <w:rFonts w:ascii="宋体" w:hAnsi="宋体" w:cs="宋体" w:eastAsia="宋体" w:hint="default"/>
                <w:sz w:val="21"/>
                <w:szCs w:val="21"/>
              </w:rPr>
            </w:pPr>
            <w:r>
              <w:rPr>
                <w:rFonts w:ascii="宋体" w:hAnsi="宋体" w:cs="宋体" w:eastAsia="宋体" w:hint="default"/>
                <w:sz w:val="21"/>
                <w:szCs w:val="21"/>
              </w:rPr>
              <w:t>11.5</w:t>
            </w:r>
            <w:r>
              <w:rPr>
                <w:rFonts w:ascii="宋体" w:hAnsi="宋体" w:cs="宋体" w:eastAsia="宋体" w:hint="default"/>
                <w:spacing w:val="-51"/>
                <w:sz w:val="21"/>
                <w:szCs w:val="21"/>
              </w:rPr>
              <w:t> </w:t>
            </w:r>
            <w:r>
              <w:rPr>
                <w:rFonts w:ascii="宋体" w:hAnsi="宋体" w:cs="宋体" w:eastAsia="宋体" w:hint="default"/>
                <w:sz w:val="21"/>
                <w:szCs w:val="21"/>
              </w:rPr>
              <w:t>认购方式</w:t>
            </w:r>
          </w:p>
          <w:p>
            <w:pPr>
              <w:pStyle w:val="TableParagraph"/>
              <w:spacing w:line="272" w:lineRule="exact"/>
              <w:ind w:left="99" w:right="0"/>
              <w:jc w:val="left"/>
              <w:rPr>
                <w:rFonts w:ascii="宋体" w:hAnsi="宋体" w:cs="宋体" w:eastAsia="宋体" w:hint="default"/>
                <w:sz w:val="21"/>
                <w:szCs w:val="21"/>
              </w:rPr>
            </w:pPr>
            <w:r>
              <w:rPr>
                <w:rFonts w:ascii="宋体" w:hAnsi="宋体" w:cs="宋体" w:eastAsia="宋体" w:hint="default"/>
                <w:sz w:val="21"/>
                <w:szCs w:val="21"/>
              </w:rPr>
              <w:t>11.6</w:t>
            </w:r>
            <w:r>
              <w:rPr>
                <w:rFonts w:ascii="宋体" w:hAnsi="宋体" w:cs="宋体" w:eastAsia="宋体" w:hint="default"/>
                <w:spacing w:val="-51"/>
                <w:sz w:val="21"/>
                <w:szCs w:val="21"/>
              </w:rPr>
              <w:t> </w:t>
            </w:r>
            <w:r>
              <w:rPr>
                <w:rFonts w:ascii="宋体" w:hAnsi="宋体" w:cs="宋体" w:eastAsia="宋体" w:hint="default"/>
                <w:sz w:val="21"/>
                <w:szCs w:val="21"/>
              </w:rPr>
              <w:t>上市地点</w:t>
            </w:r>
          </w:p>
          <w:p>
            <w:pPr>
              <w:pStyle w:val="TableParagraph"/>
              <w:spacing w:line="240" w:lineRule="auto"/>
              <w:ind w:left="99" w:right="123"/>
              <w:jc w:val="left"/>
              <w:rPr>
                <w:rFonts w:ascii="宋体" w:hAnsi="宋体" w:cs="宋体" w:eastAsia="宋体" w:hint="default"/>
                <w:sz w:val="21"/>
                <w:szCs w:val="21"/>
              </w:rPr>
            </w:pPr>
            <w:r>
              <w:rPr>
                <w:rFonts w:ascii="宋体" w:hAnsi="宋体" w:cs="宋体" w:eastAsia="宋体" w:hint="default"/>
                <w:sz w:val="21"/>
                <w:szCs w:val="21"/>
              </w:rPr>
              <w:t>11.7</w:t>
            </w:r>
            <w:r>
              <w:rPr>
                <w:rFonts w:ascii="宋体" w:hAnsi="宋体" w:cs="宋体" w:eastAsia="宋体" w:hint="default"/>
                <w:spacing w:val="-53"/>
                <w:sz w:val="21"/>
                <w:szCs w:val="21"/>
              </w:rPr>
              <w:t> </w:t>
            </w:r>
            <w:r>
              <w:rPr>
                <w:rFonts w:ascii="宋体" w:hAnsi="宋体" w:cs="宋体" w:eastAsia="宋体" w:hint="default"/>
                <w:sz w:val="21"/>
                <w:szCs w:val="21"/>
              </w:rPr>
              <w:t>发行股份的价格及</w:t>
            </w:r>
            <w:r>
              <w:rPr>
                <w:rFonts w:ascii="宋体" w:hAnsi="宋体" w:cs="宋体" w:eastAsia="宋体" w:hint="default"/>
                <w:w w:val="100"/>
                <w:sz w:val="21"/>
                <w:szCs w:val="21"/>
              </w:rPr>
              <w:t> </w:t>
            </w:r>
            <w:r>
              <w:rPr>
                <w:rFonts w:ascii="宋体" w:hAnsi="宋体" w:cs="宋体" w:eastAsia="宋体" w:hint="default"/>
                <w:sz w:val="21"/>
                <w:szCs w:val="21"/>
              </w:rPr>
              <w:t>定价原则</w:t>
            </w:r>
          </w:p>
          <w:p>
            <w:pPr>
              <w:pStyle w:val="TableParagraph"/>
              <w:spacing w:line="271" w:lineRule="exact"/>
              <w:ind w:left="99" w:right="0"/>
              <w:jc w:val="left"/>
              <w:rPr>
                <w:rFonts w:ascii="宋体" w:hAnsi="宋体" w:cs="宋体" w:eastAsia="宋体" w:hint="default"/>
                <w:sz w:val="21"/>
                <w:szCs w:val="21"/>
              </w:rPr>
            </w:pPr>
            <w:r>
              <w:rPr>
                <w:rFonts w:ascii="宋体" w:hAnsi="宋体" w:cs="宋体" w:eastAsia="宋体" w:hint="default"/>
                <w:sz w:val="21"/>
                <w:szCs w:val="21"/>
              </w:rPr>
              <w:t>11.8</w:t>
            </w:r>
            <w:r>
              <w:rPr>
                <w:rFonts w:ascii="宋体" w:hAnsi="宋体" w:cs="宋体" w:eastAsia="宋体" w:hint="default"/>
                <w:spacing w:val="-52"/>
                <w:sz w:val="21"/>
                <w:szCs w:val="21"/>
              </w:rPr>
              <w:t> </w:t>
            </w:r>
            <w:r>
              <w:rPr>
                <w:rFonts w:ascii="宋体" w:hAnsi="宋体" w:cs="宋体" w:eastAsia="宋体" w:hint="default"/>
                <w:sz w:val="21"/>
                <w:szCs w:val="21"/>
              </w:rPr>
              <w:t>发行股份的限售期</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left="99" w:right="0"/>
              <w:jc w:val="left"/>
              <w:rPr>
                <w:rFonts w:ascii="宋体" w:hAnsi="宋体" w:cs="宋体" w:eastAsia="宋体" w:hint="default"/>
                <w:sz w:val="21"/>
                <w:szCs w:val="21"/>
              </w:rPr>
            </w:pPr>
            <w:r>
              <w:rPr>
                <w:rFonts w:ascii="宋体" w:hAnsi="宋体" w:cs="宋体" w:eastAsia="宋体" w:hint="default"/>
                <w:sz w:val="21"/>
                <w:szCs w:val="21"/>
              </w:rPr>
              <w:t>全部通过</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4" w:lineRule="exact" w:before="156"/>
              <w:ind w:left="99" w:right="0"/>
              <w:jc w:val="left"/>
              <w:rPr>
                <w:rFonts w:ascii="宋体" w:hAnsi="宋体" w:cs="宋体" w:eastAsia="宋体" w:hint="default"/>
                <w:sz w:val="21"/>
                <w:szCs w:val="21"/>
              </w:rPr>
            </w:pPr>
            <w:hyperlink r:id="rId33">
              <w:r>
                <w:rPr>
                  <w:rFonts w:ascii="宋体"/>
                  <w:sz w:val="21"/>
                </w:rPr>
                <w:t>www.sse.com</w:t>
              </w:r>
            </w:hyperlink>
          </w:p>
          <w:p>
            <w:pPr>
              <w:pStyle w:val="TableParagraph"/>
              <w:spacing w:line="274" w:lineRule="exact"/>
              <w:ind w:left="99" w:right="0"/>
              <w:jc w:val="left"/>
              <w:rPr>
                <w:rFonts w:ascii="宋体" w:hAnsi="宋体" w:cs="宋体" w:eastAsia="宋体" w:hint="default"/>
                <w:sz w:val="21"/>
                <w:szCs w:val="21"/>
              </w:rPr>
            </w:pPr>
            <w:r>
              <w:rPr>
                <w:rFonts w:ascii="宋体"/>
                <w:sz w:val="21"/>
              </w:rPr>
              <w:t>.cn</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left="99" w:right="0"/>
              <w:jc w:val="left"/>
              <w:rPr>
                <w:rFonts w:ascii="宋体" w:hAnsi="宋体" w:cs="宋体" w:eastAsia="宋体" w:hint="default"/>
                <w:sz w:val="21"/>
                <w:szCs w:val="21"/>
              </w:rPr>
            </w:pPr>
            <w:r>
              <w:rPr>
                <w:rFonts w:ascii="宋体"/>
                <w:sz w:val="21"/>
              </w:rPr>
              <w:t>2012-3-31</w:t>
            </w:r>
          </w:p>
        </w:tc>
      </w:tr>
    </w:tbl>
    <w:p>
      <w:pPr>
        <w:spacing w:after="0" w:line="240" w:lineRule="auto"/>
        <w:jc w:val="left"/>
        <w:rPr>
          <w:rFonts w:ascii="宋体" w:hAnsi="宋体" w:cs="宋体" w:eastAsia="宋体" w:hint="default"/>
          <w:sz w:val="21"/>
          <w:szCs w:val="21"/>
        </w:rPr>
        <w:sectPr>
          <w:pgSz w:w="11910" w:h="16850"/>
          <w:pgMar w:header="752" w:footer="730" w:top="1020" w:bottom="920" w:left="1280" w:right="114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1"/>
          <w:szCs w:val="11"/>
        </w:rPr>
      </w:pPr>
    </w:p>
    <w:tbl>
      <w:tblPr>
        <w:tblW w:w="0" w:type="auto"/>
        <w:jc w:val="left"/>
        <w:tblInd w:w="272" w:type="dxa"/>
        <w:tblLayout w:type="fixed"/>
        <w:tblCellMar>
          <w:top w:w="0" w:type="dxa"/>
          <w:left w:w="0" w:type="dxa"/>
          <w:bottom w:w="0" w:type="dxa"/>
          <w:right w:w="0" w:type="dxa"/>
        </w:tblCellMar>
        <w:tblLook w:val="01E0"/>
      </w:tblPr>
      <w:tblGrid>
        <w:gridCol w:w="1502"/>
        <w:gridCol w:w="1265"/>
        <w:gridCol w:w="2395"/>
        <w:gridCol w:w="1217"/>
        <w:gridCol w:w="1416"/>
        <w:gridCol w:w="1284"/>
      </w:tblGrid>
      <w:tr>
        <w:trPr>
          <w:trHeight w:val="833"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b/>
                <w:bCs/>
                <w:sz w:val="21"/>
                <w:szCs w:val="21"/>
              </w:rPr>
              <w:t>会议届次</w:t>
            </w:r>
            <w:r>
              <w:rPr>
                <w:rFonts w:ascii="宋体" w:hAnsi="宋体" w:cs="宋体" w:eastAsia="宋体" w:hint="default"/>
                <w:sz w:val="21"/>
                <w:szCs w:val="21"/>
              </w:rPr>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召开日期</w:t>
            </w:r>
            <w:r>
              <w:rPr>
                <w:rFonts w:ascii="宋体" w:hAnsi="宋体" w:cs="宋体" w:eastAsia="宋体" w:hint="default"/>
                <w:sz w:val="21"/>
                <w:szCs w:val="21"/>
              </w:rPr>
            </w:r>
          </w:p>
        </w:tc>
        <w:tc>
          <w:tcPr>
            <w:tcW w:w="23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556" w:right="0"/>
              <w:jc w:val="left"/>
              <w:rPr>
                <w:rFonts w:ascii="宋体" w:hAnsi="宋体" w:cs="宋体" w:eastAsia="宋体" w:hint="default"/>
                <w:sz w:val="21"/>
                <w:szCs w:val="21"/>
              </w:rPr>
            </w:pPr>
            <w:r>
              <w:rPr>
                <w:rFonts w:ascii="宋体" w:hAnsi="宋体" w:cs="宋体" w:eastAsia="宋体" w:hint="default"/>
                <w:b/>
                <w:bCs/>
                <w:sz w:val="21"/>
                <w:szCs w:val="21"/>
              </w:rPr>
              <w:t>会议议案名称</w:t>
            </w:r>
            <w:r>
              <w:rPr>
                <w:rFonts w:ascii="宋体" w:hAnsi="宋体" w:cs="宋体" w:eastAsia="宋体" w:hint="default"/>
                <w:sz w:val="21"/>
                <w:szCs w:val="21"/>
              </w:rPr>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180" w:right="0"/>
              <w:jc w:val="left"/>
              <w:rPr>
                <w:rFonts w:ascii="宋体" w:hAnsi="宋体" w:cs="宋体" w:eastAsia="宋体" w:hint="default"/>
                <w:sz w:val="21"/>
                <w:szCs w:val="21"/>
              </w:rPr>
            </w:pPr>
            <w:r>
              <w:rPr>
                <w:rFonts w:ascii="宋体" w:hAnsi="宋体" w:cs="宋体" w:eastAsia="宋体" w:hint="default"/>
                <w:b/>
                <w:bCs/>
                <w:sz w:val="21"/>
                <w:szCs w:val="21"/>
              </w:rPr>
              <w:t>决议情况</w:t>
            </w:r>
            <w:r>
              <w:rPr>
                <w:rFonts w:ascii="宋体" w:hAnsi="宋体" w:cs="宋体" w:eastAsia="宋体" w:hint="default"/>
                <w:sz w:val="21"/>
                <w:szCs w:val="21"/>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hAnsi="宋体" w:cs="宋体" w:eastAsia="宋体" w:hint="default"/>
                <w:b/>
                <w:bCs/>
                <w:sz w:val="21"/>
                <w:szCs w:val="21"/>
              </w:rPr>
              <w:t>决议刊登的</w:t>
            </w:r>
            <w:r>
              <w:rPr>
                <w:rFonts w:ascii="宋体" w:hAnsi="宋体" w:cs="宋体" w:eastAsia="宋体" w:hint="default"/>
                <w:sz w:val="21"/>
                <w:szCs w:val="21"/>
              </w:rPr>
            </w:r>
          </w:p>
          <w:p>
            <w:pPr>
              <w:pStyle w:val="TableParagraph"/>
              <w:spacing w:line="272" w:lineRule="exact" w:before="27"/>
              <w:ind w:left="278" w:right="170" w:hanging="106"/>
              <w:jc w:val="left"/>
              <w:rPr>
                <w:rFonts w:ascii="宋体" w:hAnsi="宋体" w:cs="宋体" w:eastAsia="宋体" w:hint="default"/>
                <w:sz w:val="21"/>
                <w:szCs w:val="21"/>
              </w:rPr>
            </w:pPr>
            <w:r>
              <w:rPr>
                <w:rFonts w:ascii="宋体" w:hAnsi="宋体" w:cs="宋体" w:eastAsia="宋体" w:hint="default"/>
                <w:b/>
                <w:bCs/>
                <w:sz w:val="21"/>
                <w:szCs w:val="21"/>
              </w:rPr>
              <w:t>指定网站的</w:t>
            </w:r>
            <w:r>
              <w:rPr>
                <w:rFonts w:ascii="宋体" w:hAnsi="宋体" w:cs="宋体" w:eastAsia="宋体" w:hint="default"/>
                <w:b/>
                <w:bCs/>
                <w:w w:val="100"/>
                <w:sz w:val="21"/>
                <w:szCs w:val="21"/>
              </w:rPr>
              <w:t> </w:t>
            </w:r>
            <w:r>
              <w:rPr>
                <w:rFonts w:ascii="宋体" w:hAnsi="宋体" w:cs="宋体" w:eastAsia="宋体" w:hint="default"/>
                <w:b/>
                <w:bCs/>
                <w:sz w:val="21"/>
                <w:szCs w:val="21"/>
              </w:rPr>
              <w:t>查询索引</w:t>
            </w:r>
            <w:r>
              <w:rPr>
                <w:rFonts w:ascii="宋体" w:hAnsi="宋体" w:cs="宋体" w:eastAsia="宋体" w:hint="default"/>
                <w:sz w:val="21"/>
                <w:szCs w:val="21"/>
              </w:rPr>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213" w:right="103" w:hanging="106"/>
              <w:jc w:val="left"/>
              <w:rPr>
                <w:rFonts w:ascii="宋体" w:hAnsi="宋体" w:cs="宋体" w:eastAsia="宋体" w:hint="default"/>
                <w:sz w:val="21"/>
                <w:szCs w:val="21"/>
              </w:rPr>
            </w:pPr>
            <w:r>
              <w:rPr>
                <w:rFonts w:ascii="宋体" w:hAnsi="宋体" w:cs="宋体" w:eastAsia="宋体" w:hint="default"/>
                <w:b/>
                <w:bCs/>
                <w:sz w:val="21"/>
                <w:szCs w:val="21"/>
              </w:rPr>
              <w:t>决议刊登的</w:t>
            </w:r>
            <w:r>
              <w:rPr>
                <w:rFonts w:ascii="宋体" w:hAnsi="宋体" w:cs="宋体" w:eastAsia="宋体" w:hint="default"/>
                <w:b/>
                <w:bCs/>
                <w:w w:val="100"/>
                <w:sz w:val="21"/>
                <w:szCs w:val="21"/>
              </w:rPr>
              <w:t> </w:t>
            </w:r>
            <w:r>
              <w:rPr>
                <w:rFonts w:ascii="宋体" w:hAnsi="宋体" w:cs="宋体" w:eastAsia="宋体" w:hint="default"/>
                <w:b/>
                <w:bCs/>
                <w:sz w:val="21"/>
                <w:szCs w:val="21"/>
              </w:rPr>
              <w:t>披露日期</w:t>
            </w:r>
            <w:r>
              <w:rPr>
                <w:rFonts w:ascii="宋体" w:hAnsi="宋体" w:cs="宋体" w:eastAsia="宋体" w:hint="default"/>
                <w:sz w:val="21"/>
                <w:szCs w:val="21"/>
              </w:rPr>
            </w:r>
          </w:p>
        </w:tc>
      </w:tr>
      <w:tr>
        <w:trPr>
          <w:trHeight w:val="4373" w:hRule="exact"/>
        </w:trPr>
        <w:tc>
          <w:tcPr>
            <w:tcW w:w="1502" w:type="dxa"/>
            <w:tcBorders>
              <w:top w:val="single" w:sz="6" w:space="0" w:color="000000"/>
              <w:left w:val="single" w:sz="6" w:space="0" w:color="000000"/>
              <w:bottom w:val="single" w:sz="6" w:space="0" w:color="000000"/>
              <w:right w:val="single" w:sz="6" w:space="0" w:color="000000"/>
            </w:tcBorders>
          </w:tcPr>
          <w:p>
            <w:pPr/>
          </w:p>
        </w:tc>
        <w:tc>
          <w:tcPr>
            <w:tcW w:w="1265" w:type="dxa"/>
            <w:tcBorders>
              <w:top w:val="single" w:sz="6" w:space="0" w:color="000000"/>
              <w:left w:val="single" w:sz="6" w:space="0" w:color="000000"/>
              <w:bottom w:val="single" w:sz="6" w:space="0" w:color="000000"/>
              <w:right w:val="single" w:sz="6" w:space="0" w:color="000000"/>
            </w:tcBorders>
          </w:tcPr>
          <w:p>
            <w:pPr/>
          </w:p>
        </w:tc>
        <w:tc>
          <w:tcPr>
            <w:tcW w:w="239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11.9</w:t>
            </w:r>
            <w:r>
              <w:rPr>
                <w:rFonts w:ascii="宋体" w:hAnsi="宋体" w:cs="宋体" w:eastAsia="宋体" w:hint="default"/>
                <w:spacing w:val="-52"/>
                <w:sz w:val="21"/>
                <w:szCs w:val="21"/>
              </w:rPr>
              <w:t> </w:t>
            </w:r>
            <w:r>
              <w:rPr>
                <w:rFonts w:ascii="宋体" w:hAnsi="宋体" w:cs="宋体" w:eastAsia="宋体" w:hint="default"/>
                <w:sz w:val="21"/>
                <w:szCs w:val="21"/>
              </w:rPr>
              <w:t>募集资金用途</w:t>
            </w:r>
          </w:p>
          <w:p>
            <w:pPr>
              <w:pStyle w:val="TableParagraph"/>
              <w:spacing w:line="237" w:lineRule="auto"/>
              <w:ind w:left="100" w:right="175"/>
              <w:jc w:val="both"/>
              <w:rPr>
                <w:rFonts w:ascii="宋体" w:hAnsi="宋体" w:cs="宋体" w:eastAsia="宋体" w:hint="default"/>
                <w:sz w:val="21"/>
                <w:szCs w:val="21"/>
              </w:rPr>
            </w:pPr>
            <w:r>
              <w:rPr>
                <w:rFonts w:ascii="宋体" w:hAnsi="宋体" w:cs="宋体" w:eastAsia="宋体" w:hint="default"/>
                <w:sz w:val="21"/>
                <w:szCs w:val="21"/>
              </w:rPr>
              <w:t>11.10</w:t>
            </w:r>
            <w:r>
              <w:rPr>
                <w:rFonts w:ascii="宋体" w:hAnsi="宋体" w:cs="宋体" w:eastAsia="宋体" w:hint="default"/>
                <w:spacing w:val="-56"/>
                <w:sz w:val="21"/>
                <w:szCs w:val="21"/>
              </w:rPr>
              <w:t> </w:t>
            </w:r>
            <w:r>
              <w:rPr>
                <w:rFonts w:ascii="宋体" w:hAnsi="宋体" w:cs="宋体" w:eastAsia="宋体" w:hint="default"/>
                <w:sz w:val="21"/>
                <w:szCs w:val="21"/>
              </w:rPr>
              <w:t>本次发行前滚存</w:t>
            </w:r>
            <w:r>
              <w:rPr>
                <w:rFonts w:ascii="宋体" w:hAnsi="宋体" w:cs="宋体" w:eastAsia="宋体" w:hint="default"/>
                <w:spacing w:val="-3"/>
                <w:w w:val="100"/>
                <w:sz w:val="21"/>
                <w:szCs w:val="21"/>
              </w:rPr>
              <w:t> </w:t>
            </w:r>
            <w:r>
              <w:rPr>
                <w:rFonts w:ascii="宋体" w:hAnsi="宋体" w:cs="宋体" w:eastAsia="宋体" w:hint="default"/>
                <w:sz w:val="21"/>
                <w:szCs w:val="21"/>
              </w:rPr>
              <w:t>未分配利润的处置方案</w:t>
            </w:r>
            <w:r>
              <w:rPr>
                <w:rFonts w:ascii="宋体" w:hAnsi="宋体" w:cs="宋体" w:eastAsia="宋体" w:hint="default"/>
                <w:w w:val="100"/>
                <w:sz w:val="21"/>
                <w:szCs w:val="21"/>
              </w:rPr>
              <w:t> </w:t>
            </w:r>
            <w:r>
              <w:rPr>
                <w:rFonts w:ascii="宋体" w:hAnsi="宋体" w:cs="宋体" w:eastAsia="宋体" w:hint="default"/>
                <w:sz w:val="21"/>
                <w:szCs w:val="21"/>
              </w:rPr>
              <w:t>11.11</w:t>
            </w:r>
            <w:r>
              <w:rPr>
                <w:rFonts w:ascii="宋体" w:hAnsi="宋体" w:cs="宋体" w:eastAsia="宋体" w:hint="default"/>
                <w:spacing w:val="-51"/>
                <w:sz w:val="21"/>
                <w:szCs w:val="21"/>
              </w:rPr>
              <w:t> </w:t>
            </w:r>
            <w:r>
              <w:rPr>
                <w:rFonts w:ascii="宋体" w:hAnsi="宋体" w:cs="宋体" w:eastAsia="宋体" w:hint="default"/>
                <w:sz w:val="21"/>
                <w:szCs w:val="21"/>
              </w:rPr>
              <w:t>决议的有效期</w:t>
            </w:r>
          </w:p>
          <w:p>
            <w:pPr>
              <w:pStyle w:val="TableParagraph"/>
              <w:spacing w:line="237" w:lineRule="auto" w:before="1"/>
              <w:ind w:left="100" w:right="175"/>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、审议公司《关于非</w:t>
            </w:r>
            <w:r>
              <w:rPr>
                <w:rFonts w:ascii="宋体" w:hAnsi="宋体" w:cs="宋体" w:eastAsia="宋体" w:hint="default"/>
                <w:spacing w:val="-3"/>
                <w:w w:val="100"/>
                <w:sz w:val="21"/>
                <w:szCs w:val="21"/>
              </w:rPr>
              <w:t> </w:t>
            </w:r>
            <w:r>
              <w:rPr>
                <w:rFonts w:ascii="宋体" w:hAnsi="宋体" w:cs="宋体" w:eastAsia="宋体" w:hint="default"/>
                <w:sz w:val="21"/>
                <w:szCs w:val="21"/>
              </w:rPr>
              <w:t>公开发行股票预案的议</w:t>
            </w:r>
            <w:r>
              <w:rPr>
                <w:rFonts w:ascii="宋体" w:hAnsi="宋体" w:cs="宋体" w:eastAsia="宋体" w:hint="default"/>
                <w:w w:val="100"/>
                <w:sz w:val="21"/>
                <w:szCs w:val="21"/>
              </w:rPr>
              <w:t> </w:t>
            </w:r>
            <w:r>
              <w:rPr>
                <w:rFonts w:ascii="宋体" w:hAnsi="宋体" w:cs="宋体" w:eastAsia="宋体" w:hint="default"/>
                <w:sz w:val="21"/>
                <w:szCs w:val="21"/>
              </w:rPr>
              <w:t>案》</w:t>
            </w:r>
            <w:r>
              <w:rPr>
                <w:rFonts w:ascii="宋体" w:hAnsi="宋体" w:cs="宋体" w:eastAsia="宋体" w:hint="default"/>
                <w:spacing w:val="-103"/>
                <w:sz w:val="21"/>
                <w:szCs w:val="21"/>
              </w:rPr>
              <w:t> </w:t>
            </w:r>
            <w:r>
              <w:rPr>
                <w:rFonts w:ascii="宋体" w:hAnsi="宋体" w:cs="宋体" w:eastAsia="宋体" w:hint="default"/>
                <w:sz w:val="21"/>
                <w:szCs w:val="21"/>
              </w:rPr>
              <w:t>13</w:t>
            </w:r>
            <w:r>
              <w:rPr>
                <w:rFonts w:ascii="宋体" w:hAnsi="宋体" w:cs="宋体" w:eastAsia="宋体" w:hint="default"/>
                <w:sz w:val="21"/>
                <w:szCs w:val="21"/>
              </w:rPr>
              <w:t>、审议公司《关于本</w:t>
            </w:r>
            <w:r>
              <w:rPr>
                <w:rFonts w:ascii="宋体" w:hAnsi="宋体" w:cs="宋体" w:eastAsia="宋体" w:hint="default"/>
                <w:spacing w:val="-3"/>
                <w:w w:val="100"/>
                <w:sz w:val="21"/>
                <w:szCs w:val="21"/>
              </w:rPr>
              <w:t> </w:t>
            </w:r>
            <w:r>
              <w:rPr>
                <w:rFonts w:ascii="宋体" w:hAnsi="宋体" w:cs="宋体" w:eastAsia="宋体" w:hint="default"/>
                <w:sz w:val="21"/>
                <w:szCs w:val="21"/>
              </w:rPr>
              <w:t>次非公开发行股票募集</w:t>
            </w:r>
            <w:r>
              <w:rPr>
                <w:rFonts w:ascii="宋体" w:hAnsi="宋体" w:cs="宋体" w:eastAsia="宋体" w:hint="default"/>
                <w:w w:val="100"/>
                <w:sz w:val="21"/>
                <w:szCs w:val="21"/>
              </w:rPr>
              <w:t> </w:t>
            </w:r>
            <w:r>
              <w:rPr>
                <w:rFonts w:ascii="宋体" w:hAnsi="宋体" w:cs="宋体" w:eastAsia="宋体" w:hint="default"/>
                <w:sz w:val="21"/>
                <w:szCs w:val="21"/>
              </w:rPr>
              <w:t>资金运用可行性分析报</w:t>
            </w:r>
            <w:r>
              <w:rPr>
                <w:rFonts w:ascii="宋体" w:hAnsi="宋体" w:cs="宋体" w:eastAsia="宋体" w:hint="default"/>
                <w:w w:val="100"/>
                <w:sz w:val="21"/>
                <w:szCs w:val="21"/>
              </w:rPr>
              <w:t> </w:t>
            </w:r>
            <w:r>
              <w:rPr>
                <w:rFonts w:ascii="宋体" w:hAnsi="宋体" w:cs="宋体" w:eastAsia="宋体" w:hint="default"/>
                <w:sz w:val="21"/>
                <w:szCs w:val="21"/>
              </w:rPr>
              <w:t>告的议案》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14</w:t>
            </w:r>
            <w:r>
              <w:rPr>
                <w:rFonts w:ascii="宋体" w:hAnsi="宋体" w:cs="宋体" w:eastAsia="宋体" w:hint="default"/>
                <w:sz w:val="21"/>
                <w:szCs w:val="21"/>
              </w:rPr>
              <w:t>、审议公司《关于提</w:t>
            </w:r>
            <w:r>
              <w:rPr>
                <w:rFonts w:ascii="宋体" w:hAnsi="宋体" w:cs="宋体" w:eastAsia="宋体" w:hint="default"/>
                <w:spacing w:val="-3"/>
                <w:w w:val="100"/>
                <w:sz w:val="21"/>
                <w:szCs w:val="21"/>
              </w:rPr>
              <w:t> </w:t>
            </w:r>
            <w:r>
              <w:rPr>
                <w:rFonts w:ascii="宋体" w:hAnsi="宋体" w:cs="宋体" w:eastAsia="宋体" w:hint="default"/>
                <w:sz w:val="21"/>
                <w:szCs w:val="21"/>
              </w:rPr>
              <w:t>请股东大会授权董事会</w:t>
            </w:r>
            <w:r>
              <w:rPr>
                <w:rFonts w:ascii="宋体" w:hAnsi="宋体" w:cs="宋体" w:eastAsia="宋体" w:hint="default"/>
                <w:w w:val="100"/>
                <w:sz w:val="21"/>
                <w:szCs w:val="21"/>
              </w:rPr>
              <w:t> </w:t>
            </w:r>
            <w:r>
              <w:rPr>
                <w:rFonts w:ascii="宋体" w:hAnsi="宋体" w:cs="宋体" w:eastAsia="宋体" w:hint="default"/>
                <w:sz w:val="21"/>
                <w:szCs w:val="21"/>
              </w:rPr>
              <w:t>全权办理本次非公开发</w:t>
            </w:r>
            <w:r>
              <w:rPr>
                <w:rFonts w:ascii="宋体" w:hAnsi="宋体" w:cs="宋体" w:eastAsia="宋体" w:hint="default"/>
                <w:w w:val="100"/>
                <w:sz w:val="21"/>
                <w:szCs w:val="21"/>
              </w:rPr>
              <w:t> </w:t>
            </w:r>
            <w:r>
              <w:rPr>
                <w:rFonts w:ascii="宋体" w:hAnsi="宋体" w:cs="宋体" w:eastAsia="宋体" w:hint="default"/>
                <w:sz w:val="21"/>
                <w:szCs w:val="21"/>
              </w:rPr>
              <w:t>行股票具体事宜的议</w:t>
            </w:r>
            <w:r>
              <w:rPr>
                <w:rFonts w:ascii="宋体" w:hAnsi="宋体" w:cs="宋体" w:eastAsia="宋体" w:hint="default"/>
                <w:w w:val="100"/>
                <w:sz w:val="21"/>
                <w:szCs w:val="21"/>
              </w:rPr>
              <w:t> </w:t>
            </w:r>
            <w:r>
              <w:rPr>
                <w:rFonts w:ascii="宋体" w:hAnsi="宋体" w:cs="宋体" w:eastAsia="宋体" w:hint="default"/>
                <w:sz w:val="21"/>
                <w:szCs w:val="21"/>
              </w:rPr>
              <w:t>案》</w:t>
            </w:r>
          </w:p>
        </w:tc>
        <w:tc>
          <w:tcPr>
            <w:tcW w:w="1217" w:type="dxa"/>
            <w:tcBorders>
              <w:top w:val="single" w:sz="6" w:space="0" w:color="000000"/>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
        </w:tc>
        <w:tc>
          <w:tcPr>
            <w:tcW w:w="1284" w:type="dxa"/>
            <w:tcBorders>
              <w:top w:val="single" w:sz="6" w:space="0" w:color="000000"/>
              <w:left w:val="single" w:sz="6" w:space="0" w:color="000000"/>
              <w:bottom w:val="single" w:sz="6" w:space="0" w:color="000000"/>
              <w:right w:val="single" w:sz="6" w:space="0" w:color="000000"/>
            </w:tcBorders>
          </w:tcPr>
          <w:p>
            <w:pPr/>
          </w:p>
        </w:tc>
      </w:tr>
      <w:tr>
        <w:trPr>
          <w:trHeight w:val="2194"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28"/>
                <w:szCs w:val="28"/>
              </w:rPr>
            </w:pPr>
          </w:p>
          <w:p>
            <w:pPr>
              <w:pStyle w:val="TableParagraph"/>
              <w:spacing w:line="237" w:lineRule="auto"/>
              <w:ind w:left="100" w:right="122"/>
              <w:jc w:val="left"/>
              <w:rPr>
                <w:rFonts w:ascii="宋体" w:hAnsi="宋体" w:cs="宋体" w:eastAsia="宋体" w:hint="default"/>
                <w:sz w:val="21"/>
                <w:szCs w:val="21"/>
              </w:rPr>
            </w:pPr>
            <w:r>
              <w:rPr>
                <w:rFonts w:ascii="宋体" w:hAnsi="宋体" w:cs="宋体" w:eastAsia="宋体" w:hint="default"/>
                <w:sz w:val="21"/>
                <w:szCs w:val="21"/>
              </w:rPr>
              <w:t>用友软件股份</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w w:val="100"/>
                <w:sz w:val="21"/>
                <w:szCs w:val="21"/>
              </w:rPr>
              <w:t> </w:t>
            </w: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年第一</w:t>
            </w:r>
            <w:r>
              <w:rPr>
                <w:rFonts w:ascii="宋体" w:hAnsi="宋体" w:cs="宋体" w:eastAsia="宋体" w:hint="default"/>
                <w:spacing w:val="-3"/>
                <w:w w:val="100"/>
                <w:sz w:val="21"/>
                <w:szCs w:val="21"/>
              </w:rPr>
              <w:t> </w:t>
            </w:r>
            <w:r>
              <w:rPr>
                <w:rFonts w:ascii="宋体" w:hAnsi="宋体" w:cs="宋体" w:eastAsia="宋体" w:hint="default"/>
                <w:sz w:val="21"/>
                <w:szCs w:val="21"/>
              </w:rPr>
              <w:t>次临时股东大</w:t>
            </w:r>
            <w:r>
              <w:rPr>
                <w:rFonts w:ascii="宋体" w:hAnsi="宋体" w:cs="宋体" w:eastAsia="宋体" w:hint="default"/>
                <w:w w:val="100"/>
                <w:sz w:val="21"/>
                <w:szCs w:val="21"/>
              </w:rPr>
              <w:t> </w:t>
            </w:r>
            <w:r>
              <w:rPr>
                <w:rFonts w:ascii="宋体" w:hAnsi="宋体" w:cs="宋体" w:eastAsia="宋体" w:hint="default"/>
                <w:sz w:val="21"/>
                <w:szCs w:val="21"/>
              </w:rPr>
              <w:t>会</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3"/>
              <w:ind w:right="0"/>
              <w:jc w:val="center"/>
              <w:rPr>
                <w:rFonts w:ascii="宋体" w:hAnsi="宋体" w:cs="宋体" w:eastAsia="宋体" w:hint="default"/>
                <w:sz w:val="21"/>
                <w:szCs w:val="21"/>
              </w:rPr>
            </w:pPr>
            <w:r>
              <w:rPr>
                <w:rFonts w:ascii="宋体"/>
                <w:sz w:val="21"/>
              </w:rPr>
              <w:t>2012-07-16</w:t>
            </w:r>
          </w:p>
        </w:tc>
        <w:tc>
          <w:tcPr>
            <w:tcW w:w="239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1</w:t>
            </w:r>
            <w:r>
              <w:rPr>
                <w:rFonts w:ascii="宋体" w:hAnsi="宋体" w:cs="宋体" w:eastAsia="宋体" w:hint="default"/>
                <w:spacing w:val="-4"/>
                <w:sz w:val="21"/>
                <w:szCs w:val="21"/>
              </w:rPr>
              <w:t>、审议《公司章程修正</w:t>
            </w:r>
          </w:p>
          <w:p>
            <w:pPr>
              <w:pStyle w:val="TableParagraph"/>
              <w:spacing w:line="237" w:lineRule="auto"/>
              <w:ind w:left="100" w:right="96"/>
              <w:jc w:val="left"/>
              <w:rPr>
                <w:rFonts w:ascii="宋体" w:hAnsi="宋体" w:cs="宋体" w:eastAsia="宋体" w:hint="default"/>
                <w:sz w:val="21"/>
                <w:szCs w:val="21"/>
              </w:rPr>
            </w:pPr>
            <w:r>
              <w:rPr>
                <w:rFonts w:ascii="宋体" w:hAnsi="宋体" w:cs="宋体" w:eastAsia="宋体" w:hint="default"/>
                <w:sz w:val="21"/>
                <w:szCs w:val="21"/>
              </w:rPr>
              <w:t>案（十六）》及修正后</w:t>
            </w:r>
            <w:r>
              <w:rPr>
                <w:rFonts w:ascii="宋体" w:hAnsi="宋体" w:cs="宋体" w:eastAsia="宋体" w:hint="default"/>
                <w:w w:val="100"/>
                <w:sz w:val="21"/>
                <w:szCs w:val="21"/>
              </w:rPr>
              <w:t> </w:t>
            </w:r>
            <w:r>
              <w:rPr>
                <w:rFonts w:ascii="宋体" w:hAnsi="宋体" w:cs="宋体" w:eastAsia="宋体" w:hint="default"/>
                <w:sz w:val="21"/>
                <w:szCs w:val="21"/>
              </w:rPr>
              <w:t>的《公司章程》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4"/>
                <w:sz w:val="21"/>
                <w:szCs w:val="21"/>
              </w:rPr>
              <w:t>2</w:t>
            </w:r>
            <w:r>
              <w:rPr>
                <w:rFonts w:ascii="宋体" w:hAnsi="宋体" w:cs="宋体" w:eastAsia="宋体" w:hint="default"/>
                <w:spacing w:val="-4"/>
                <w:sz w:val="21"/>
                <w:szCs w:val="21"/>
              </w:rPr>
              <w:t>、审议《公司未来三年</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股东回报规划（</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37" w:lineRule="auto"/>
              <w:ind w:left="100" w:right="-8"/>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3"/>
                <w:w w:val="100"/>
                <w:sz w:val="21"/>
                <w:szCs w:val="21"/>
              </w:rPr>
              <w:t> </w:t>
            </w:r>
            <w:r>
              <w:rPr>
                <w:rFonts w:ascii="宋体" w:hAnsi="宋体" w:cs="宋体" w:eastAsia="宋体" w:hint="default"/>
                <w:spacing w:val="-4"/>
                <w:sz w:val="21"/>
                <w:szCs w:val="21"/>
              </w:rPr>
              <w:t>3</w:t>
            </w:r>
            <w:r>
              <w:rPr>
                <w:rFonts w:ascii="宋体" w:hAnsi="宋体" w:cs="宋体" w:eastAsia="宋体" w:hint="default"/>
                <w:spacing w:val="-4"/>
                <w:sz w:val="21"/>
                <w:szCs w:val="21"/>
              </w:rPr>
              <w:t>、审议《公司非公开发</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4"/>
                <w:sz w:val="21"/>
                <w:szCs w:val="21"/>
              </w:rPr>
              <w:t>行股票预案（修订稿）》</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3"/>
              <w:ind w:left="100" w:right="0"/>
              <w:jc w:val="left"/>
              <w:rPr>
                <w:rFonts w:ascii="宋体" w:hAnsi="宋体" w:cs="宋体" w:eastAsia="宋体" w:hint="default"/>
                <w:sz w:val="21"/>
                <w:szCs w:val="21"/>
              </w:rPr>
            </w:pPr>
            <w:r>
              <w:rPr>
                <w:rFonts w:ascii="宋体" w:hAnsi="宋体" w:cs="宋体" w:eastAsia="宋体" w:hint="default"/>
                <w:sz w:val="21"/>
                <w:szCs w:val="21"/>
              </w:rPr>
              <w:t>全部通过</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274" w:lineRule="exact"/>
              <w:ind w:left="100" w:right="0"/>
              <w:jc w:val="left"/>
              <w:rPr>
                <w:rFonts w:ascii="宋体" w:hAnsi="宋体" w:cs="宋体" w:eastAsia="宋体" w:hint="default"/>
                <w:sz w:val="21"/>
                <w:szCs w:val="21"/>
              </w:rPr>
            </w:pPr>
            <w:hyperlink r:id="rId33">
              <w:r>
                <w:rPr>
                  <w:rFonts w:ascii="宋体"/>
                  <w:sz w:val="21"/>
                </w:rPr>
                <w:t>www.sse.com</w:t>
              </w:r>
            </w:hyperlink>
          </w:p>
          <w:p>
            <w:pPr>
              <w:pStyle w:val="TableParagraph"/>
              <w:spacing w:line="274" w:lineRule="exact"/>
              <w:ind w:left="100" w:right="0"/>
              <w:jc w:val="left"/>
              <w:rPr>
                <w:rFonts w:ascii="宋体" w:hAnsi="宋体" w:cs="宋体" w:eastAsia="宋体" w:hint="default"/>
                <w:sz w:val="21"/>
                <w:szCs w:val="21"/>
              </w:rPr>
            </w:pPr>
            <w:r>
              <w:rPr>
                <w:rFonts w:ascii="宋体"/>
                <w:sz w:val="21"/>
              </w:rPr>
              <w:t>.cn</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3"/>
              <w:ind w:left="100" w:right="0"/>
              <w:jc w:val="left"/>
              <w:rPr>
                <w:rFonts w:ascii="宋体" w:hAnsi="宋体" w:cs="宋体" w:eastAsia="宋体" w:hint="default"/>
                <w:sz w:val="21"/>
                <w:szCs w:val="21"/>
              </w:rPr>
            </w:pPr>
            <w:r>
              <w:rPr>
                <w:rFonts w:ascii="宋体"/>
                <w:sz w:val="21"/>
              </w:rPr>
              <w:t>2012-07-17</w:t>
            </w:r>
          </w:p>
        </w:tc>
      </w:tr>
      <w:tr>
        <w:trPr>
          <w:trHeight w:val="3554"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0"/>
                <w:szCs w:val="20"/>
              </w:rPr>
            </w:pPr>
          </w:p>
          <w:p>
            <w:pPr>
              <w:pStyle w:val="TableParagraph"/>
              <w:spacing w:line="237" w:lineRule="auto"/>
              <w:ind w:left="100" w:right="122"/>
              <w:jc w:val="left"/>
              <w:rPr>
                <w:rFonts w:ascii="宋体" w:hAnsi="宋体" w:cs="宋体" w:eastAsia="宋体" w:hint="default"/>
                <w:sz w:val="21"/>
                <w:szCs w:val="21"/>
              </w:rPr>
            </w:pPr>
            <w:r>
              <w:rPr>
                <w:rFonts w:ascii="宋体" w:hAnsi="宋体" w:cs="宋体" w:eastAsia="宋体" w:hint="default"/>
                <w:sz w:val="21"/>
                <w:szCs w:val="21"/>
              </w:rPr>
              <w:t>用友软件股份</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w w:val="100"/>
                <w:sz w:val="21"/>
                <w:szCs w:val="21"/>
              </w:rPr>
              <w:t> </w:t>
            </w: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年第二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次临时股东大</w:t>
            </w:r>
            <w:r>
              <w:rPr>
                <w:rFonts w:ascii="宋体" w:hAnsi="宋体" w:cs="宋体" w:eastAsia="宋体" w:hint="default"/>
                <w:w w:val="100"/>
                <w:sz w:val="21"/>
                <w:szCs w:val="21"/>
              </w:rPr>
              <w:t> </w:t>
            </w:r>
            <w:r>
              <w:rPr>
                <w:rFonts w:ascii="宋体" w:hAnsi="宋体" w:cs="宋体" w:eastAsia="宋体" w:hint="default"/>
                <w:sz w:val="21"/>
                <w:szCs w:val="21"/>
              </w:rPr>
              <w:t>会</w:t>
            </w:r>
          </w:p>
        </w:tc>
        <w:tc>
          <w:tcPr>
            <w:tcW w:w="1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sz w:val="21"/>
              </w:rPr>
              <w:t>2012-12-20</w:t>
            </w:r>
          </w:p>
        </w:tc>
        <w:tc>
          <w:tcPr>
            <w:tcW w:w="239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逐项审议《公司关于以</w:t>
            </w:r>
          </w:p>
          <w:p>
            <w:pPr>
              <w:pStyle w:val="TableParagraph"/>
              <w:spacing w:line="237" w:lineRule="auto"/>
              <w:ind w:left="100" w:right="175"/>
              <w:jc w:val="left"/>
              <w:rPr>
                <w:rFonts w:ascii="宋体" w:hAnsi="宋体" w:cs="宋体" w:eastAsia="宋体" w:hint="default"/>
                <w:sz w:val="21"/>
                <w:szCs w:val="21"/>
              </w:rPr>
            </w:pPr>
            <w:r>
              <w:rPr>
                <w:rFonts w:ascii="宋体" w:hAnsi="宋体" w:cs="宋体" w:eastAsia="宋体" w:hint="default"/>
                <w:sz w:val="21"/>
                <w:szCs w:val="21"/>
              </w:rPr>
              <w:t>集中竞价交易方式回购</w:t>
            </w:r>
            <w:r>
              <w:rPr>
                <w:rFonts w:ascii="宋体" w:hAnsi="宋体" w:cs="宋体" w:eastAsia="宋体" w:hint="default"/>
                <w:w w:val="100"/>
                <w:sz w:val="21"/>
                <w:szCs w:val="21"/>
              </w:rPr>
              <w:t> </w:t>
            </w:r>
            <w:r>
              <w:rPr>
                <w:rFonts w:ascii="宋体" w:hAnsi="宋体" w:cs="宋体" w:eastAsia="宋体" w:hint="default"/>
                <w:sz w:val="21"/>
                <w:szCs w:val="21"/>
              </w:rPr>
              <w:t>本公司股份的议案》</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、回购股份的方式</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、回购股份的用途</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3</w:t>
            </w:r>
            <w:r>
              <w:rPr>
                <w:rFonts w:ascii="宋体" w:hAnsi="宋体" w:cs="宋体" w:eastAsia="宋体" w:hint="default"/>
                <w:spacing w:val="-4"/>
                <w:sz w:val="21"/>
                <w:szCs w:val="21"/>
              </w:rPr>
              <w:t>、回购股份的价格区间</w:t>
            </w:r>
          </w:p>
          <w:p>
            <w:pPr>
              <w:pStyle w:val="TableParagraph"/>
              <w:spacing w:line="237" w:lineRule="auto" w:before="2"/>
              <w:ind w:left="100" w:right="69"/>
              <w:jc w:val="left"/>
              <w:rPr>
                <w:rFonts w:ascii="宋体" w:hAnsi="宋体" w:cs="宋体" w:eastAsia="宋体" w:hint="default"/>
                <w:sz w:val="21"/>
                <w:szCs w:val="21"/>
              </w:rPr>
            </w:pPr>
            <w:r>
              <w:rPr>
                <w:rFonts w:ascii="宋体" w:hAnsi="宋体" w:cs="宋体" w:eastAsia="宋体" w:hint="default"/>
                <w:spacing w:val="-4"/>
                <w:sz w:val="21"/>
                <w:szCs w:val="21"/>
              </w:rPr>
              <w:t>4</w:t>
            </w:r>
            <w:r>
              <w:rPr>
                <w:rFonts w:ascii="宋体" w:hAnsi="宋体" w:cs="宋体" w:eastAsia="宋体" w:hint="default"/>
                <w:spacing w:val="-4"/>
                <w:sz w:val="21"/>
                <w:szCs w:val="21"/>
              </w:rPr>
              <w:t>、拟用于回购的资金总</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额以及资金来源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5</w:t>
            </w:r>
            <w:r>
              <w:rPr>
                <w:rFonts w:ascii="宋体" w:hAnsi="宋体" w:cs="宋体" w:eastAsia="宋体" w:hint="default"/>
                <w:sz w:val="21"/>
                <w:szCs w:val="21"/>
              </w:rPr>
              <w:t>、拟回购股份的种类、</w:t>
            </w:r>
            <w:r>
              <w:rPr>
                <w:rFonts w:ascii="宋体" w:hAnsi="宋体" w:cs="宋体" w:eastAsia="宋体" w:hint="default"/>
                <w:w w:val="100"/>
                <w:sz w:val="21"/>
                <w:szCs w:val="21"/>
              </w:rPr>
              <w:t> </w:t>
            </w:r>
            <w:r>
              <w:rPr>
                <w:rFonts w:ascii="宋体" w:hAnsi="宋体" w:cs="宋体" w:eastAsia="宋体" w:hint="default"/>
                <w:sz w:val="21"/>
                <w:szCs w:val="21"/>
              </w:rPr>
              <w:t>数量及其占公司总股本</w:t>
            </w:r>
            <w:r>
              <w:rPr>
                <w:rFonts w:ascii="宋体" w:hAnsi="宋体" w:cs="宋体" w:eastAsia="宋体" w:hint="default"/>
                <w:w w:val="100"/>
                <w:sz w:val="21"/>
                <w:szCs w:val="21"/>
              </w:rPr>
              <w:t> </w:t>
            </w:r>
            <w:r>
              <w:rPr>
                <w:rFonts w:ascii="宋体" w:hAnsi="宋体" w:cs="宋体" w:eastAsia="宋体" w:hint="default"/>
                <w:sz w:val="21"/>
                <w:szCs w:val="21"/>
              </w:rPr>
              <w:t>的比例</w:t>
            </w:r>
            <w:r>
              <w:rPr>
                <w:rFonts w:ascii="宋体" w:hAnsi="宋体" w:cs="宋体" w:eastAsia="宋体" w:hint="default"/>
                <w:spacing w:val="-102"/>
                <w:sz w:val="21"/>
                <w:szCs w:val="21"/>
              </w:rPr>
              <w:t> </w:t>
            </w:r>
            <w:r>
              <w:rPr>
                <w:rFonts w:ascii="宋体" w:hAnsi="宋体" w:cs="宋体" w:eastAsia="宋体" w:hint="default"/>
                <w:sz w:val="21"/>
                <w:szCs w:val="21"/>
              </w:rPr>
              <w:t>6</w:t>
            </w:r>
            <w:r>
              <w:rPr>
                <w:rFonts w:ascii="宋体" w:hAnsi="宋体" w:cs="宋体" w:eastAsia="宋体" w:hint="default"/>
                <w:sz w:val="21"/>
                <w:szCs w:val="21"/>
              </w:rPr>
              <w:t>、回购股份的期限</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z w:val="21"/>
                <w:szCs w:val="21"/>
              </w:rPr>
              <w:t>、授权事项</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全部通过</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3" w:lineRule="exact" w:before="154"/>
              <w:ind w:left="100" w:right="0"/>
              <w:jc w:val="left"/>
              <w:rPr>
                <w:rFonts w:ascii="宋体" w:hAnsi="宋体" w:cs="宋体" w:eastAsia="宋体" w:hint="default"/>
                <w:sz w:val="21"/>
                <w:szCs w:val="21"/>
              </w:rPr>
            </w:pPr>
            <w:hyperlink r:id="rId33">
              <w:r>
                <w:rPr>
                  <w:rFonts w:ascii="宋体"/>
                  <w:sz w:val="21"/>
                </w:rPr>
                <w:t>www.sse.com</w:t>
              </w:r>
            </w:hyperlink>
          </w:p>
          <w:p>
            <w:pPr>
              <w:pStyle w:val="TableParagraph"/>
              <w:spacing w:line="273" w:lineRule="exact"/>
              <w:ind w:left="100" w:right="0"/>
              <w:jc w:val="left"/>
              <w:rPr>
                <w:rFonts w:ascii="宋体" w:hAnsi="宋体" w:cs="宋体" w:eastAsia="宋体" w:hint="default"/>
                <w:sz w:val="21"/>
                <w:szCs w:val="21"/>
              </w:rPr>
            </w:pPr>
            <w:r>
              <w:rPr>
                <w:rFonts w:ascii="宋体"/>
                <w:sz w:val="21"/>
              </w:rPr>
              <w:t>.cn</w:t>
            </w:r>
          </w:p>
        </w:tc>
        <w:tc>
          <w:tcPr>
            <w:tcW w:w="12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sz w:val="21"/>
              </w:rPr>
              <w:t>2012-12-21</w:t>
            </w:r>
          </w:p>
        </w:tc>
      </w:tr>
    </w:tbl>
    <w:p>
      <w:pPr>
        <w:pStyle w:val="Heading2"/>
        <w:spacing w:line="240" w:lineRule="auto" w:before="82"/>
        <w:ind w:right="202"/>
        <w:jc w:val="left"/>
        <w:rPr>
          <w:b w:val="0"/>
          <w:bCs w:val="0"/>
        </w:rPr>
      </w:pPr>
      <w:r>
        <w:rPr/>
        <w:t>三、董事履行职责情况</w:t>
      </w:r>
      <w:r>
        <w:rPr>
          <w:b w:val="0"/>
          <w:bCs w:val="0"/>
        </w:rPr>
      </w:r>
    </w:p>
    <w:p>
      <w:pPr>
        <w:pStyle w:val="Heading2"/>
        <w:spacing w:line="240" w:lineRule="auto" w:before="194"/>
        <w:ind w:left="620" w:right="202"/>
        <w:jc w:val="left"/>
        <w:rPr>
          <w:b w:val="0"/>
          <w:bCs w:val="0"/>
        </w:rPr>
      </w:pPr>
      <w:r>
        <w:rPr/>
        <w:t>（一）董事参加董事会和股东大会的情况</w:t>
      </w:r>
      <w:r>
        <w:rPr>
          <w:b w:val="0"/>
          <w:bCs w:val="0"/>
        </w:rPr>
      </w:r>
    </w:p>
    <w:p>
      <w:pPr>
        <w:spacing w:line="240" w:lineRule="auto" w:before="13"/>
        <w:rPr>
          <w:rFonts w:ascii="宋体" w:hAnsi="宋体" w:cs="宋体" w:eastAsia="宋体" w:hint="default"/>
          <w:b/>
          <w:bCs/>
          <w:sz w:val="17"/>
          <w:szCs w:val="17"/>
        </w:rPr>
      </w:pPr>
    </w:p>
    <w:tbl>
      <w:tblPr>
        <w:tblW w:w="0" w:type="auto"/>
        <w:jc w:val="left"/>
        <w:tblInd w:w="123" w:type="dxa"/>
        <w:tblLayout w:type="fixed"/>
        <w:tblCellMar>
          <w:top w:w="0" w:type="dxa"/>
          <w:left w:w="0" w:type="dxa"/>
          <w:bottom w:w="0" w:type="dxa"/>
          <w:right w:w="0" w:type="dxa"/>
        </w:tblCellMar>
        <w:tblLook w:val="01E0"/>
      </w:tblPr>
      <w:tblGrid>
        <w:gridCol w:w="1154"/>
        <w:gridCol w:w="1154"/>
        <w:gridCol w:w="1154"/>
        <w:gridCol w:w="941"/>
        <w:gridCol w:w="878"/>
        <w:gridCol w:w="854"/>
        <w:gridCol w:w="686"/>
        <w:gridCol w:w="1406"/>
        <w:gridCol w:w="1154"/>
      </w:tblGrid>
      <w:tr>
        <w:trPr>
          <w:trHeight w:val="559" w:hRule="exact"/>
        </w:trPr>
        <w:tc>
          <w:tcPr>
            <w:tcW w:w="115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148" w:right="0"/>
              <w:jc w:val="left"/>
              <w:rPr>
                <w:rFonts w:ascii="宋体" w:hAnsi="宋体" w:cs="宋体" w:eastAsia="宋体" w:hint="default"/>
                <w:sz w:val="21"/>
                <w:szCs w:val="21"/>
              </w:rPr>
            </w:pPr>
            <w:r>
              <w:rPr>
                <w:rFonts w:ascii="宋体" w:hAnsi="宋体" w:cs="宋体" w:eastAsia="宋体" w:hint="default"/>
                <w:sz w:val="21"/>
                <w:szCs w:val="21"/>
              </w:rPr>
              <w:t>董事姓名</w:t>
            </w:r>
          </w:p>
        </w:tc>
        <w:tc>
          <w:tcPr>
            <w:tcW w:w="1154"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29"/>
                <w:szCs w:val="29"/>
              </w:rPr>
            </w:pPr>
          </w:p>
          <w:p>
            <w:pPr>
              <w:pStyle w:val="TableParagraph"/>
              <w:spacing w:line="240" w:lineRule="auto"/>
              <w:ind w:left="360" w:right="146" w:hanging="212"/>
              <w:jc w:val="left"/>
              <w:rPr>
                <w:rFonts w:ascii="宋体" w:hAnsi="宋体" w:cs="宋体" w:eastAsia="宋体" w:hint="default"/>
                <w:sz w:val="21"/>
                <w:szCs w:val="21"/>
              </w:rPr>
            </w:pPr>
            <w:r>
              <w:rPr>
                <w:rFonts w:ascii="宋体" w:hAnsi="宋体" w:cs="宋体" w:eastAsia="宋体" w:hint="default"/>
                <w:sz w:val="21"/>
                <w:szCs w:val="21"/>
              </w:rPr>
              <w:t>是否独立</w:t>
            </w:r>
            <w:r>
              <w:rPr>
                <w:rFonts w:ascii="宋体" w:hAnsi="宋体" w:cs="宋体" w:eastAsia="宋体" w:hint="default"/>
                <w:w w:val="100"/>
                <w:sz w:val="21"/>
                <w:szCs w:val="21"/>
              </w:rPr>
              <w:t> </w:t>
            </w:r>
            <w:r>
              <w:rPr>
                <w:rFonts w:ascii="宋体" w:hAnsi="宋体" w:cs="宋体" w:eastAsia="宋体" w:hint="default"/>
                <w:sz w:val="21"/>
                <w:szCs w:val="21"/>
              </w:rPr>
              <w:t>董事</w:t>
            </w:r>
          </w:p>
        </w:tc>
        <w:tc>
          <w:tcPr>
            <w:tcW w:w="5921"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49" w:right="0"/>
              <w:jc w:val="left"/>
              <w:rPr>
                <w:rFonts w:ascii="宋体" w:hAnsi="宋体" w:cs="宋体" w:eastAsia="宋体" w:hint="default"/>
                <w:sz w:val="21"/>
                <w:szCs w:val="21"/>
              </w:rPr>
            </w:pPr>
            <w:r>
              <w:rPr>
                <w:rFonts w:ascii="宋体" w:hAnsi="宋体" w:cs="宋体" w:eastAsia="宋体" w:hint="default"/>
                <w:sz w:val="21"/>
                <w:szCs w:val="21"/>
              </w:rPr>
              <w:t>参加股东</w:t>
            </w:r>
          </w:p>
          <w:p>
            <w:pPr>
              <w:pStyle w:val="TableParagraph"/>
              <w:spacing w:line="273" w:lineRule="exact"/>
              <w:ind w:left="149" w:right="0"/>
              <w:jc w:val="left"/>
              <w:rPr>
                <w:rFonts w:ascii="宋体" w:hAnsi="宋体" w:cs="宋体" w:eastAsia="宋体" w:hint="default"/>
                <w:sz w:val="21"/>
                <w:szCs w:val="21"/>
              </w:rPr>
            </w:pPr>
            <w:r>
              <w:rPr>
                <w:rFonts w:ascii="宋体" w:hAnsi="宋体" w:cs="宋体" w:eastAsia="宋体" w:hint="default"/>
                <w:sz w:val="21"/>
                <w:szCs w:val="21"/>
              </w:rPr>
              <w:t>大会情况</w:t>
            </w:r>
          </w:p>
        </w:tc>
      </w:tr>
      <w:tr>
        <w:trPr>
          <w:trHeight w:val="830" w:hRule="exact"/>
        </w:trPr>
        <w:tc>
          <w:tcPr>
            <w:tcW w:w="1154" w:type="dxa"/>
            <w:vMerge/>
            <w:tcBorders>
              <w:left w:val="single" w:sz="6" w:space="0" w:color="000000"/>
              <w:bottom w:val="single" w:sz="6" w:space="0" w:color="000000"/>
              <w:right w:val="single" w:sz="6" w:space="0" w:color="000000"/>
            </w:tcBorders>
          </w:tcPr>
          <w:p>
            <w:pPr/>
          </w:p>
        </w:tc>
        <w:tc>
          <w:tcPr>
            <w:tcW w:w="1154" w:type="dxa"/>
            <w:vMerge/>
            <w:tcBorders>
              <w:left w:val="single" w:sz="6" w:space="0" w:color="000000"/>
              <w:bottom w:val="single" w:sz="6" w:space="0" w:color="000000"/>
              <w:right w:val="single" w:sz="6" w:space="0" w:color="000000"/>
            </w:tcBorders>
          </w:tcPr>
          <w:p>
            <w:pP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40" w:lineRule="auto"/>
              <w:ind w:left="360" w:right="146" w:hanging="212"/>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146" w:right="144"/>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40" w:lineRule="auto"/>
              <w:ind w:left="117" w:right="110"/>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103" w:right="100"/>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125" w:right="122"/>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68"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40" w:lineRule="auto"/>
              <w:ind w:left="379" w:right="167" w:hanging="212"/>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left="149"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40" w:lineRule="auto"/>
              <w:ind w:left="463" w:right="146"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8" w:hRule="exact"/>
        </w:trPr>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王文京</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14</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14</w:t>
            </w:r>
          </w:p>
        </w:tc>
        <w:tc>
          <w:tcPr>
            <w:tcW w:w="878"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686" w:type="dxa"/>
            <w:tcBorders>
              <w:top w:val="single" w:sz="6" w:space="0" w:color="000000"/>
              <w:left w:val="single" w:sz="6" w:space="0" w:color="000000"/>
              <w:bottom w:val="single" w:sz="6" w:space="0" w:color="000000"/>
              <w:right w:val="single" w:sz="6" w:space="0" w:color="000000"/>
            </w:tcBorders>
          </w:tcPr>
          <w:p>
            <w:pP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88"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16" w:right="0"/>
              <w:jc w:val="left"/>
              <w:rPr>
                <w:rFonts w:ascii="宋体" w:hAnsi="宋体" w:cs="宋体" w:eastAsia="宋体" w:hint="default"/>
                <w:sz w:val="21"/>
                <w:szCs w:val="21"/>
              </w:rPr>
            </w:pPr>
            <w:r>
              <w:rPr>
                <w:rFonts w:ascii="宋体"/>
                <w:w w:val="100"/>
                <w:sz w:val="21"/>
              </w:rPr>
              <w:t>3</w:t>
            </w:r>
          </w:p>
        </w:tc>
      </w:tr>
      <w:tr>
        <w:trPr>
          <w:trHeight w:val="288" w:hRule="exact"/>
        </w:trPr>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郭新平</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w:t>
            </w:r>
          </w:p>
        </w:tc>
        <w:tc>
          <w:tcPr>
            <w:tcW w:w="878"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686" w:type="dxa"/>
            <w:tcBorders>
              <w:top w:val="single" w:sz="6" w:space="0" w:color="000000"/>
              <w:left w:val="single" w:sz="6" w:space="0" w:color="000000"/>
              <w:bottom w:val="single" w:sz="6" w:space="0" w:color="000000"/>
              <w:right w:val="single" w:sz="6" w:space="0" w:color="000000"/>
            </w:tcBorders>
          </w:tcPr>
          <w:p>
            <w:pP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88"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16" w:right="0"/>
              <w:jc w:val="left"/>
              <w:rPr>
                <w:rFonts w:ascii="宋体" w:hAnsi="宋体" w:cs="宋体" w:eastAsia="宋体" w:hint="default"/>
                <w:sz w:val="21"/>
                <w:szCs w:val="21"/>
              </w:rPr>
            </w:pPr>
            <w:r>
              <w:rPr>
                <w:rFonts w:ascii="宋体"/>
                <w:w w:val="100"/>
                <w:sz w:val="21"/>
              </w:rPr>
              <w:t>3</w:t>
            </w:r>
          </w:p>
        </w:tc>
      </w:tr>
    </w:tbl>
    <w:p>
      <w:pPr>
        <w:spacing w:after="0" w:line="241" w:lineRule="exact"/>
        <w:jc w:val="left"/>
        <w:rPr>
          <w:rFonts w:ascii="宋体" w:hAnsi="宋体" w:cs="宋体" w:eastAsia="宋体" w:hint="default"/>
          <w:sz w:val="21"/>
          <w:szCs w:val="21"/>
        </w:rPr>
        <w:sectPr>
          <w:pgSz w:w="11910" w:h="16850"/>
          <w:pgMar w:header="752" w:footer="730" w:top="1020" w:bottom="920" w:left="1280" w:right="980"/>
        </w:sect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1"/>
          <w:szCs w:val="11"/>
        </w:rPr>
      </w:pPr>
    </w:p>
    <w:tbl>
      <w:tblPr>
        <w:tblW w:w="0" w:type="auto"/>
        <w:jc w:val="left"/>
        <w:tblInd w:w="123" w:type="dxa"/>
        <w:tblLayout w:type="fixed"/>
        <w:tblCellMar>
          <w:top w:w="0" w:type="dxa"/>
          <w:left w:w="0" w:type="dxa"/>
          <w:bottom w:w="0" w:type="dxa"/>
          <w:right w:w="0" w:type="dxa"/>
        </w:tblCellMar>
        <w:tblLook w:val="01E0"/>
      </w:tblPr>
      <w:tblGrid>
        <w:gridCol w:w="1154"/>
        <w:gridCol w:w="1154"/>
        <w:gridCol w:w="1154"/>
        <w:gridCol w:w="941"/>
        <w:gridCol w:w="878"/>
        <w:gridCol w:w="854"/>
        <w:gridCol w:w="686"/>
        <w:gridCol w:w="1406"/>
        <w:gridCol w:w="1154"/>
      </w:tblGrid>
      <w:tr>
        <w:trPr>
          <w:trHeight w:val="559" w:hRule="exact"/>
        </w:trPr>
        <w:tc>
          <w:tcPr>
            <w:tcW w:w="115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148" w:right="0"/>
              <w:jc w:val="left"/>
              <w:rPr>
                <w:rFonts w:ascii="宋体" w:hAnsi="宋体" w:cs="宋体" w:eastAsia="宋体" w:hint="default"/>
                <w:sz w:val="21"/>
                <w:szCs w:val="21"/>
              </w:rPr>
            </w:pPr>
            <w:r>
              <w:rPr>
                <w:rFonts w:ascii="宋体" w:hAnsi="宋体" w:cs="宋体" w:eastAsia="宋体" w:hint="default"/>
                <w:sz w:val="21"/>
                <w:szCs w:val="21"/>
              </w:rPr>
              <w:t>董事姓名</w:t>
            </w:r>
          </w:p>
        </w:tc>
        <w:tc>
          <w:tcPr>
            <w:tcW w:w="115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49"/>
              <w:ind w:left="360" w:right="146" w:hanging="212"/>
              <w:jc w:val="left"/>
              <w:rPr>
                <w:rFonts w:ascii="宋体" w:hAnsi="宋体" w:cs="宋体" w:eastAsia="宋体" w:hint="default"/>
                <w:sz w:val="21"/>
                <w:szCs w:val="21"/>
              </w:rPr>
            </w:pPr>
            <w:r>
              <w:rPr>
                <w:rFonts w:ascii="宋体" w:hAnsi="宋体" w:cs="宋体" w:eastAsia="宋体" w:hint="default"/>
                <w:sz w:val="21"/>
                <w:szCs w:val="21"/>
              </w:rPr>
              <w:t>是否独立</w:t>
            </w:r>
            <w:r>
              <w:rPr>
                <w:rFonts w:ascii="宋体" w:hAnsi="宋体" w:cs="宋体" w:eastAsia="宋体" w:hint="default"/>
                <w:w w:val="100"/>
                <w:sz w:val="21"/>
                <w:szCs w:val="21"/>
              </w:rPr>
              <w:t> </w:t>
            </w:r>
            <w:r>
              <w:rPr>
                <w:rFonts w:ascii="宋体" w:hAnsi="宋体" w:cs="宋体" w:eastAsia="宋体" w:hint="default"/>
                <w:sz w:val="21"/>
                <w:szCs w:val="21"/>
              </w:rPr>
              <w:t>董事</w:t>
            </w:r>
          </w:p>
        </w:tc>
        <w:tc>
          <w:tcPr>
            <w:tcW w:w="5921"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9" w:right="0"/>
              <w:jc w:val="left"/>
              <w:rPr>
                <w:rFonts w:ascii="宋体" w:hAnsi="宋体" w:cs="宋体" w:eastAsia="宋体" w:hint="default"/>
                <w:sz w:val="21"/>
                <w:szCs w:val="21"/>
              </w:rPr>
            </w:pPr>
            <w:r>
              <w:rPr>
                <w:rFonts w:ascii="宋体" w:hAnsi="宋体" w:cs="宋体" w:eastAsia="宋体" w:hint="default"/>
                <w:sz w:val="21"/>
                <w:szCs w:val="21"/>
              </w:rPr>
              <w:t>参加股东</w:t>
            </w:r>
          </w:p>
          <w:p>
            <w:pPr>
              <w:pStyle w:val="TableParagraph"/>
              <w:spacing w:line="274" w:lineRule="exact"/>
              <w:ind w:left="149" w:right="0"/>
              <w:jc w:val="left"/>
              <w:rPr>
                <w:rFonts w:ascii="宋体" w:hAnsi="宋体" w:cs="宋体" w:eastAsia="宋体" w:hint="default"/>
                <w:sz w:val="21"/>
                <w:szCs w:val="21"/>
              </w:rPr>
            </w:pPr>
            <w:r>
              <w:rPr>
                <w:rFonts w:ascii="宋体" w:hAnsi="宋体" w:cs="宋体" w:eastAsia="宋体" w:hint="default"/>
                <w:sz w:val="21"/>
                <w:szCs w:val="21"/>
              </w:rPr>
              <w:t>大会情况</w:t>
            </w:r>
          </w:p>
        </w:tc>
      </w:tr>
      <w:tr>
        <w:trPr>
          <w:trHeight w:val="833" w:hRule="exact"/>
        </w:trPr>
        <w:tc>
          <w:tcPr>
            <w:tcW w:w="1154" w:type="dxa"/>
            <w:vMerge/>
            <w:tcBorders>
              <w:left w:val="single" w:sz="6" w:space="0" w:color="000000"/>
              <w:bottom w:val="single" w:sz="6" w:space="0" w:color="000000"/>
              <w:right w:val="single" w:sz="6" w:space="0" w:color="000000"/>
            </w:tcBorders>
          </w:tcPr>
          <w:p>
            <w:pPr/>
          </w:p>
        </w:tc>
        <w:tc>
          <w:tcPr>
            <w:tcW w:w="1154" w:type="dxa"/>
            <w:vMerge/>
            <w:tcBorders>
              <w:left w:val="single" w:sz="6" w:space="0" w:color="000000"/>
              <w:bottom w:val="single" w:sz="6" w:space="0" w:color="000000"/>
              <w:right w:val="single" w:sz="6" w:space="0" w:color="000000"/>
            </w:tcBorders>
          </w:tcPr>
          <w:p>
            <w:pP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7"/>
              <w:ind w:left="360" w:right="146" w:hanging="212"/>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6" w:right="144"/>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7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7"/>
              <w:ind w:left="117" w:right="110"/>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3" w:right="100"/>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5" w:right="122"/>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68"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7"/>
              <w:ind w:left="379" w:right="167" w:hanging="212"/>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49"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7"/>
              <w:ind w:left="463" w:right="146"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288" w:hRule="exact"/>
        </w:trPr>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吴政平</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w:t>
            </w:r>
          </w:p>
        </w:tc>
        <w:tc>
          <w:tcPr>
            <w:tcW w:w="878"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686" w:type="dxa"/>
            <w:tcBorders>
              <w:top w:val="single" w:sz="6" w:space="0" w:color="000000"/>
              <w:left w:val="single" w:sz="6" w:space="0" w:color="000000"/>
              <w:bottom w:val="single" w:sz="6" w:space="0" w:color="000000"/>
              <w:right w:val="single" w:sz="6" w:space="0" w:color="000000"/>
            </w:tcBorders>
          </w:tcPr>
          <w:p>
            <w:pP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88"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w w:val="100"/>
                <w:sz w:val="21"/>
              </w:rPr>
              <w:t>3</w:t>
            </w:r>
          </w:p>
        </w:tc>
      </w:tr>
      <w:tr>
        <w:trPr>
          <w:trHeight w:val="286" w:hRule="exact"/>
        </w:trPr>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吴晓球</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w:t>
            </w:r>
          </w:p>
        </w:tc>
        <w:tc>
          <w:tcPr>
            <w:tcW w:w="878"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686" w:type="dxa"/>
            <w:tcBorders>
              <w:top w:val="single" w:sz="6" w:space="0" w:color="000000"/>
              <w:left w:val="single" w:sz="6" w:space="0" w:color="000000"/>
              <w:bottom w:val="single" w:sz="6" w:space="0" w:color="000000"/>
              <w:right w:val="single" w:sz="6" w:space="0" w:color="000000"/>
            </w:tcBorders>
          </w:tcPr>
          <w:p>
            <w:pP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88"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5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夏冬林</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8"/>
              <w:jc w:val="right"/>
              <w:rPr>
                <w:rFonts w:ascii="宋体" w:hAnsi="宋体" w:cs="宋体" w:eastAsia="宋体" w:hint="default"/>
                <w:sz w:val="21"/>
                <w:szCs w:val="21"/>
              </w:rPr>
            </w:pPr>
            <w:r>
              <w:rPr>
                <w:rFonts w:ascii="宋体"/>
                <w:sz w:val="21"/>
              </w:rPr>
              <w:t>14</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14</w:t>
            </w:r>
          </w:p>
        </w:tc>
        <w:tc>
          <w:tcPr>
            <w:tcW w:w="878"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686" w:type="dxa"/>
            <w:tcBorders>
              <w:top w:val="single" w:sz="6" w:space="0" w:color="000000"/>
              <w:left w:val="single" w:sz="6" w:space="0" w:color="000000"/>
              <w:bottom w:val="single" w:sz="6" w:space="0" w:color="000000"/>
              <w:right w:val="single" w:sz="6" w:space="0" w:color="000000"/>
            </w:tcBorders>
          </w:tcPr>
          <w:p>
            <w:pP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88"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5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李绍唐</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1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8"/>
              <w:jc w:val="right"/>
              <w:rPr>
                <w:rFonts w:ascii="宋体" w:hAnsi="宋体" w:cs="宋体" w:eastAsia="宋体" w:hint="default"/>
                <w:sz w:val="21"/>
                <w:szCs w:val="21"/>
              </w:rPr>
            </w:pPr>
            <w:r>
              <w:rPr>
                <w:rFonts w:ascii="宋体"/>
                <w:sz w:val="21"/>
              </w:rPr>
              <w:t>14</w:t>
            </w:r>
          </w:p>
        </w:tc>
        <w:tc>
          <w:tcPr>
            <w:tcW w:w="94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w:t>
            </w:r>
          </w:p>
        </w:tc>
        <w:tc>
          <w:tcPr>
            <w:tcW w:w="878" w:type="dxa"/>
            <w:tcBorders>
              <w:top w:val="single" w:sz="6" w:space="0" w:color="000000"/>
              <w:left w:val="single" w:sz="6" w:space="0" w:color="000000"/>
              <w:bottom w:val="single" w:sz="6" w:space="0" w:color="000000"/>
              <w:right w:val="single" w:sz="6" w:space="0" w:color="000000"/>
            </w:tcBorders>
          </w:tcPr>
          <w:p>
            <w:pPr/>
          </w:p>
        </w:tc>
        <w:tc>
          <w:tcPr>
            <w:tcW w:w="854" w:type="dxa"/>
            <w:tcBorders>
              <w:top w:val="single" w:sz="6" w:space="0" w:color="000000"/>
              <w:left w:val="single" w:sz="6" w:space="0" w:color="000000"/>
              <w:bottom w:val="single" w:sz="6" w:space="0" w:color="000000"/>
              <w:right w:val="single" w:sz="6" w:space="0" w:color="000000"/>
            </w:tcBorders>
          </w:tcPr>
          <w:p>
            <w:pPr/>
          </w:p>
        </w:tc>
        <w:tc>
          <w:tcPr>
            <w:tcW w:w="686" w:type="dxa"/>
            <w:tcBorders>
              <w:top w:val="single" w:sz="6" w:space="0" w:color="000000"/>
              <w:left w:val="single" w:sz="6" w:space="0" w:color="000000"/>
              <w:bottom w:val="single" w:sz="6" w:space="0" w:color="000000"/>
              <w:right w:val="single" w:sz="6" w:space="0" w:color="000000"/>
            </w:tcBorders>
          </w:tcPr>
          <w:p>
            <w:pP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88"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115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4"/>
          <w:szCs w:val="24"/>
        </w:rPr>
      </w:pPr>
    </w:p>
    <w:tbl>
      <w:tblPr>
        <w:tblW w:w="0" w:type="auto"/>
        <w:jc w:val="left"/>
        <w:tblInd w:w="123" w:type="dxa"/>
        <w:tblLayout w:type="fixed"/>
        <w:tblCellMar>
          <w:top w:w="0" w:type="dxa"/>
          <w:left w:w="0" w:type="dxa"/>
          <w:bottom w:w="0" w:type="dxa"/>
          <w:right w:w="0" w:type="dxa"/>
        </w:tblCellMar>
        <w:tblLook w:val="01E0"/>
      </w:tblPr>
      <w:tblGrid>
        <w:gridCol w:w="4649"/>
        <w:gridCol w:w="4651"/>
      </w:tblGrid>
      <w:tr>
        <w:trPr>
          <w:trHeight w:val="288" w:hRule="exact"/>
        </w:trPr>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14</w:t>
            </w:r>
          </w:p>
        </w:tc>
      </w:tr>
      <w:tr>
        <w:trPr>
          <w:trHeight w:val="286" w:hRule="exact"/>
        </w:trPr>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1</w:t>
            </w:r>
          </w:p>
        </w:tc>
      </w:tr>
      <w:tr>
        <w:trPr>
          <w:trHeight w:val="288" w:hRule="exact"/>
        </w:trPr>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right"/>
              <w:rPr>
                <w:rFonts w:ascii="宋体" w:hAnsi="宋体" w:cs="宋体" w:eastAsia="宋体" w:hint="default"/>
                <w:sz w:val="21"/>
                <w:szCs w:val="21"/>
              </w:rPr>
            </w:pPr>
            <w:r>
              <w:rPr>
                <w:rFonts w:ascii="宋体"/>
                <w:sz w:val="21"/>
              </w:rPr>
              <w:t>13</w:t>
            </w:r>
          </w:p>
        </w:tc>
      </w:tr>
      <w:tr>
        <w:trPr>
          <w:trHeight w:val="288" w:hRule="exact"/>
        </w:trPr>
        <w:tc>
          <w:tcPr>
            <w:tcW w:w="46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p>
        </w:tc>
        <w:tc>
          <w:tcPr>
            <w:tcW w:w="4651" w:type="dxa"/>
            <w:tcBorders>
              <w:top w:val="single" w:sz="6" w:space="0" w:color="000000"/>
              <w:left w:val="single" w:sz="6" w:space="0" w:color="000000"/>
              <w:bottom w:val="single" w:sz="6" w:space="0" w:color="000000"/>
              <w:right w:val="single" w:sz="6" w:space="0" w:color="000000"/>
            </w:tcBorders>
          </w:tcPr>
          <w:p>
            <w:pPr/>
          </w:p>
        </w:tc>
      </w:tr>
    </w:tbl>
    <w:p>
      <w:pPr>
        <w:spacing w:line="388" w:lineRule="auto" w:before="82"/>
        <w:ind w:left="618" w:right="202" w:firstLine="2"/>
        <w:jc w:val="left"/>
        <w:rPr>
          <w:rFonts w:ascii="宋体" w:hAnsi="宋体" w:cs="宋体" w:eastAsia="宋体" w:hint="default"/>
          <w:sz w:val="24"/>
          <w:szCs w:val="24"/>
        </w:rPr>
      </w:pPr>
      <w:r>
        <w:rPr>
          <w:rFonts w:ascii="宋体" w:hAnsi="宋体" w:cs="宋体" w:eastAsia="宋体" w:hint="default"/>
          <w:b/>
          <w:bCs/>
          <w:sz w:val="24"/>
          <w:szCs w:val="24"/>
        </w:rPr>
        <w:t>（二）独立董事对公司有关事项提出异议的情况</w:t>
      </w:r>
      <w:r>
        <w:rPr>
          <w:rFonts w:ascii="宋体" w:hAnsi="宋体" w:cs="宋体" w:eastAsia="宋体" w:hint="default"/>
          <w:b/>
          <w:bCs/>
          <w:w w:val="99"/>
          <w:sz w:val="24"/>
          <w:szCs w:val="24"/>
        </w:rPr>
        <w:t> </w:t>
      </w:r>
      <w:r>
        <w:rPr>
          <w:rFonts w:ascii="宋体" w:hAnsi="宋体" w:cs="宋体" w:eastAsia="宋体" w:hint="default"/>
          <w:sz w:val="24"/>
          <w:szCs w:val="24"/>
        </w:rPr>
        <w:t>报告期内，公司独立董事未对公司本年度的董事会议案及其他非董事会议案事项提</w:t>
      </w:r>
    </w:p>
    <w:p>
      <w:pPr>
        <w:pStyle w:val="Heading3"/>
        <w:spacing w:line="240" w:lineRule="exact" w:before="0"/>
        <w:ind w:right="202"/>
        <w:jc w:val="left"/>
      </w:pPr>
      <w:r>
        <w:rPr/>
        <w:t>出异议。</w:t>
      </w:r>
    </w:p>
    <w:p>
      <w:pPr>
        <w:spacing w:line="388" w:lineRule="auto" w:before="194"/>
        <w:ind w:left="618" w:right="202" w:hanging="480"/>
        <w:jc w:val="left"/>
        <w:rPr>
          <w:rFonts w:ascii="宋体" w:hAnsi="宋体" w:cs="宋体" w:eastAsia="宋体" w:hint="default"/>
          <w:sz w:val="24"/>
          <w:szCs w:val="24"/>
        </w:rPr>
      </w:pPr>
      <w:r>
        <w:rPr>
          <w:rFonts w:ascii="宋体" w:hAnsi="宋体" w:cs="宋体" w:eastAsia="宋体" w:hint="default"/>
          <w:b/>
          <w:bCs/>
          <w:sz w:val="24"/>
          <w:szCs w:val="24"/>
        </w:rPr>
        <w:t>四、董事会下设专门委员会在报告期内履行职责时所提出的重要意见和建议</w:t>
      </w:r>
      <w:r>
        <w:rPr>
          <w:rFonts w:ascii="宋体" w:hAnsi="宋体" w:cs="宋体" w:eastAsia="宋体" w:hint="default"/>
          <w:b/>
          <w:bCs/>
          <w:w w:val="99"/>
          <w:sz w:val="24"/>
          <w:szCs w:val="24"/>
        </w:rPr>
        <w:t> </w:t>
      </w:r>
      <w:r>
        <w:rPr>
          <w:rFonts w:ascii="宋体" w:hAnsi="宋体" w:cs="宋体" w:eastAsia="宋体" w:hint="default"/>
          <w:spacing w:val="-2"/>
          <w:sz w:val="24"/>
          <w:szCs w:val="24"/>
        </w:rPr>
        <w:t>报告期内，公司独立董事本着为全体股东负责的态度，按照《公司法》、《证券法》</w:t>
      </w:r>
    </w:p>
    <w:p>
      <w:pPr>
        <w:pStyle w:val="Heading3"/>
        <w:spacing w:line="242" w:lineRule="exact" w:before="0"/>
        <w:ind w:right="202"/>
        <w:jc w:val="left"/>
      </w:pPr>
      <w:r>
        <w:rPr/>
        <w:t>和《上市公司治理准则》等法律法规和公司相关制度的要求，履行诚信和勤勉义务，维</w:t>
      </w:r>
    </w:p>
    <w:p>
      <w:pPr>
        <w:pStyle w:val="Heading3"/>
        <w:spacing w:line="297" w:lineRule="auto" w:before="74"/>
        <w:ind w:right="318"/>
        <w:jc w:val="both"/>
      </w:pPr>
      <w:r>
        <w:rPr/>
        <w:t>护公司整体利益和全体股东，尤其是中小股东的合法利益不受侵犯。独立董事通过参加</w:t>
      </w:r>
      <w:r>
        <w:rPr>
          <w:spacing w:val="-65"/>
        </w:rPr>
        <w:t> </w:t>
      </w:r>
      <w:r>
        <w:rPr>
          <w:spacing w:val="-65"/>
        </w:rPr>
      </w:r>
      <w:r>
        <w:rPr/>
        <w:t>董事会会议及作为董事会各专门委员会的成员，参与公司的决策议案审议，并对关联交</w:t>
      </w:r>
      <w:r>
        <w:rPr>
          <w:spacing w:val="-65"/>
        </w:rPr>
        <w:t> </w:t>
      </w:r>
      <w:r>
        <w:rPr>
          <w:spacing w:val="-65"/>
        </w:rPr>
      </w:r>
      <w:r>
        <w:rPr/>
        <w:t>易事项发表独立意见，为董事会科学决策提供建设性意见。</w:t>
      </w:r>
    </w:p>
    <w:p>
      <w:pPr>
        <w:spacing w:line="388" w:lineRule="auto" w:before="137"/>
        <w:ind w:left="618" w:right="4928" w:hanging="480"/>
        <w:jc w:val="left"/>
        <w:rPr>
          <w:rFonts w:ascii="宋体" w:hAnsi="宋体" w:cs="宋体" w:eastAsia="宋体" w:hint="default"/>
          <w:sz w:val="24"/>
          <w:szCs w:val="24"/>
        </w:rPr>
      </w:pPr>
      <w:r>
        <w:rPr>
          <w:rFonts w:ascii="宋体" w:hAnsi="宋体" w:cs="宋体" w:eastAsia="宋体" w:hint="default"/>
          <w:b/>
          <w:bCs/>
          <w:sz w:val="24"/>
          <w:szCs w:val="24"/>
        </w:rPr>
        <w:t>五、监事会发现公司存在风险的说明</w:t>
      </w:r>
      <w:r>
        <w:rPr>
          <w:rFonts w:ascii="宋体" w:hAnsi="宋体" w:cs="宋体" w:eastAsia="宋体" w:hint="default"/>
          <w:b/>
          <w:bCs/>
          <w:w w:val="99"/>
          <w:sz w:val="24"/>
          <w:szCs w:val="24"/>
        </w:rPr>
        <w:t> </w:t>
      </w:r>
      <w:r>
        <w:rPr>
          <w:rFonts w:ascii="宋体" w:hAnsi="宋体" w:cs="宋体" w:eastAsia="宋体" w:hint="default"/>
          <w:sz w:val="24"/>
          <w:szCs w:val="24"/>
        </w:rPr>
        <w:t>监事会对报告期内的监督事项无异议。</w:t>
      </w:r>
    </w:p>
    <w:p>
      <w:pPr>
        <w:spacing w:line="388" w:lineRule="auto" w:before="46"/>
        <w:ind w:left="618" w:right="202" w:hanging="480"/>
        <w:jc w:val="left"/>
        <w:rPr>
          <w:rFonts w:ascii="宋体" w:hAnsi="宋体" w:cs="宋体" w:eastAsia="宋体" w:hint="default"/>
          <w:sz w:val="24"/>
          <w:szCs w:val="24"/>
        </w:rPr>
      </w:pPr>
      <w:r>
        <w:rPr>
          <w:rFonts w:ascii="宋体" w:hAnsi="宋体" w:cs="宋体" w:eastAsia="宋体" w:hint="default"/>
          <w:b/>
          <w:bCs/>
          <w:sz w:val="24"/>
          <w:szCs w:val="24"/>
        </w:rPr>
        <w:t>六、报告期内对高级管理人员的考评机制，以及激励机制的建立、实施情况</w:t>
      </w:r>
      <w:r>
        <w:rPr>
          <w:rFonts w:ascii="宋体" w:hAnsi="宋体" w:cs="宋体" w:eastAsia="宋体" w:hint="default"/>
          <w:b/>
          <w:bCs/>
          <w:w w:val="99"/>
          <w:sz w:val="24"/>
          <w:szCs w:val="24"/>
        </w:rPr>
        <w:t> </w:t>
      </w:r>
      <w:r>
        <w:rPr>
          <w:rFonts w:ascii="宋体" w:hAnsi="宋体" w:cs="宋体" w:eastAsia="宋体" w:hint="default"/>
          <w:sz w:val="24"/>
          <w:szCs w:val="24"/>
        </w:rPr>
        <w:t>公司目前对高级管理人员的聘任公开、透明，符合法律法规的规定。公司目前实施</w:t>
      </w:r>
    </w:p>
    <w:p>
      <w:pPr>
        <w:pStyle w:val="Heading3"/>
        <w:spacing w:line="240" w:lineRule="exact" w:before="0"/>
        <w:ind w:right="202"/>
        <w:jc w:val="left"/>
      </w:pPr>
      <w:r>
        <w:rPr/>
        <w:t>的高级管理人员的绩效评价制度是公司董事会按年度对公司高级管理人员的业绩和履行</w:t>
      </w:r>
    </w:p>
    <w:p>
      <w:pPr>
        <w:pStyle w:val="Heading3"/>
        <w:spacing w:line="297" w:lineRule="auto" w:before="77"/>
        <w:ind w:right="0"/>
        <w:jc w:val="left"/>
      </w:pPr>
      <w:r>
        <w:rPr>
          <w:spacing w:val="-2"/>
        </w:rPr>
        <w:t>职责情况进行考评，并根据考评结果决定下一年度的年薪定级、岗位安排直至聘用与否。</w:t>
      </w:r>
      <w:r>
        <w:rPr>
          <w:spacing w:val="-96"/>
        </w:rPr>
        <w:t> </w:t>
      </w:r>
      <w:r>
        <w:rPr>
          <w:spacing w:val="-96"/>
        </w:rPr>
      </w:r>
      <w:r>
        <w:rPr/>
        <w:t>公司对高级管理人员实行与公司年度经营业绩挂钩的绩效奖金制。</w:t>
      </w:r>
    </w:p>
    <w:p>
      <w:pPr>
        <w:pStyle w:val="Heading3"/>
        <w:spacing w:line="297" w:lineRule="auto"/>
        <w:ind w:right="202" w:firstLine="480"/>
        <w:jc w:val="left"/>
      </w:pPr>
      <w:r>
        <w:rPr/>
        <w:t>公司根据发展需要不定期对包括高级管理人员在内的骨干员工实施股权激励计划。</w:t>
      </w:r>
      <w:r>
        <w:rPr>
          <w:spacing w:val="2"/>
        </w:rPr>
        <w:t> </w:t>
      </w:r>
      <w:r>
        <w:rPr/>
        <w:t>股权激励计划在监管部门审核批准且实际经营业绩符合计划中的承诺条件时实施。</w:t>
      </w:r>
    </w:p>
    <w:p>
      <w:pPr>
        <w:spacing w:after="0" w:line="297" w:lineRule="auto"/>
        <w:jc w:val="left"/>
        <w:sectPr>
          <w:pgSz w:w="11910" w:h="16850"/>
          <w:pgMar w:header="752" w:footer="730" w:top="1020" w:bottom="920" w:left="12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before="155"/>
        <w:ind w:left="3956" w:right="232"/>
        <w:jc w:val="left"/>
        <w:rPr>
          <w:b w:val="0"/>
          <w:bCs w:val="0"/>
        </w:rPr>
      </w:pPr>
      <w:bookmarkStart w:name="_TOC_250002" w:id="10"/>
      <w:r>
        <w:rPr/>
        <w:t>第九节</w:t>
      </w:r>
      <w:r>
        <w:rPr>
          <w:spacing w:val="-1"/>
        </w:rPr>
        <w:t> </w:t>
      </w:r>
      <w:r>
        <w:rPr/>
        <w:t>内部控制</w:t>
      </w:r>
      <w:bookmarkEnd w:id="10"/>
      <w:r>
        <w:rPr>
          <w:b w:val="0"/>
          <w:bCs w:val="0"/>
        </w:rPr>
      </w:r>
    </w:p>
    <w:p>
      <w:pPr>
        <w:spacing w:line="240" w:lineRule="auto" w:before="2"/>
        <w:rPr>
          <w:rFonts w:ascii="黑体" w:hAnsi="黑体" w:cs="黑体" w:eastAsia="黑体" w:hint="default"/>
          <w:b/>
          <w:bCs/>
          <w:sz w:val="41"/>
          <w:szCs w:val="41"/>
        </w:rPr>
      </w:pPr>
    </w:p>
    <w:p>
      <w:pPr>
        <w:spacing w:line="500" w:lineRule="atLeast" w:before="0"/>
        <w:ind w:left="618" w:right="268" w:hanging="480"/>
        <w:jc w:val="left"/>
        <w:rPr>
          <w:rFonts w:ascii="宋体" w:hAnsi="宋体" w:cs="宋体" w:eastAsia="宋体" w:hint="default"/>
          <w:sz w:val="24"/>
          <w:szCs w:val="24"/>
        </w:rPr>
      </w:pPr>
      <w:r>
        <w:rPr>
          <w:rFonts w:ascii="宋体" w:hAnsi="宋体" w:cs="宋体" w:eastAsia="宋体" w:hint="default"/>
          <w:b/>
          <w:bCs/>
          <w:sz w:val="24"/>
          <w:szCs w:val="24"/>
        </w:rPr>
        <w:t>一、内部控制责任声明及内部控制制度建设情况</w:t>
      </w:r>
      <w:r>
        <w:rPr>
          <w:rFonts w:ascii="宋体" w:hAnsi="宋体" w:cs="宋体" w:eastAsia="宋体" w:hint="default"/>
          <w:b/>
          <w:bCs/>
          <w:w w:val="99"/>
          <w:sz w:val="24"/>
          <w:szCs w:val="24"/>
        </w:rPr>
        <w:t> </w:t>
      </w:r>
      <w:r>
        <w:rPr>
          <w:rFonts w:ascii="宋体" w:hAnsi="宋体" w:cs="宋体" w:eastAsia="宋体" w:hint="default"/>
          <w:sz w:val="24"/>
          <w:szCs w:val="24"/>
        </w:rPr>
        <w:t>公司披露了《用友软件股份有限公司董事会关于公司内部控制的自我评价报告》，</w:t>
      </w:r>
    </w:p>
    <w:p>
      <w:pPr>
        <w:pStyle w:val="Heading3"/>
        <w:spacing w:line="312" w:lineRule="exact" w:before="0"/>
        <w:ind w:right="232"/>
        <w:jc w:val="left"/>
      </w:pPr>
      <w:r>
        <w:rPr/>
        <w:t>披露网址：</w:t>
      </w:r>
      <w:r>
        <w:rPr>
          <w:rFonts w:ascii="宋体" w:hAnsi="宋体" w:cs="宋体" w:eastAsia="宋体" w:hint="default"/>
          <w:color w:val="0000FF"/>
        </w:rPr>
      </w:r>
      <w:hyperlink r:id="rId10">
        <w:r>
          <w:rPr>
            <w:rFonts w:ascii="宋体" w:hAnsi="宋体" w:cs="宋体" w:eastAsia="宋体" w:hint="default"/>
            <w:color w:val="0000FF"/>
            <w:u w:val="single" w:color="0000FF"/>
          </w:rPr>
          <w:t>www.sse.com.cn</w:t>
        </w:r>
        <w:r>
          <w:rPr>
            <w:rFonts w:ascii="宋体" w:hAnsi="宋体" w:cs="宋体" w:eastAsia="宋体" w:hint="default"/>
            <w:color w:val="0000FF"/>
          </w:rPr>
        </w:r>
      </w:hyperlink>
      <w:r>
        <w:rPr/>
        <w:t>。</w:t>
      </w:r>
    </w:p>
    <w:p>
      <w:pPr>
        <w:pStyle w:val="Heading2"/>
        <w:spacing w:line="240" w:lineRule="auto"/>
        <w:ind w:right="232"/>
        <w:jc w:val="left"/>
        <w:rPr>
          <w:b w:val="0"/>
          <w:bCs w:val="0"/>
        </w:rPr>
      </w:pPr>
      <w:r>
        <w:rPr/>
        <w:t>二、</w:t>
      </w:r>
      <w:r>
        <w:rPr>
          <w:spacing w:val="-3"/>
        </w:rPr>
        <w:t> </w:t>
      </w:r>
      <w:r>
        <w:rPr/>
        <w:t>内部控制审计报告的相关情况说明</w:t>
      </w:r>
      <w:r>
        <w:rPr>
          <w:b w:val="0"/>
          <w:bCs w:val="0"/>
        </w:rPr>
      </w:r>
    </w:p>
    <w:p>
      <w:pPr>
        <w:pStyle w:val="Heading3"/>
        <w:spacing w:line="297" w:lineRule="auto" w:before="194"/>
        <w:ind w:right="868" w:firstLine="480"/>
        <w:jc w:val="left"/>
      </w:pPr>
      <w:r>
        <w:rPr/>
        <w:t>公司披露了《用友软件股份有限公司</w:t>
      </w:r>
      <w:r>
        <w:rPr>
          <w:spacing w:val="-60"/>
        </w:rPr>
        <w:t> </w:t>
      </w:r>
      <w:r>
        <w:rPr>
          <w:rFonts w:ascii="宋体" w:hAnsi="宋体" w:cs="宋体" w:eastAsia="宋体" w:hint="default"/>
        </w:rPr>
        <w:t>2012</w:t>
      </w:r>
      <w:r>
        <w:rPr>
          <w:rFonts w:ascii="宋体" w:hAnsi="宋体" w:cs="宋体" w:eastAsia="宋体" w:hint="default"/>
          <w:spacing w:val="-60"/>
        </w:rPr>
        <w:t> </w:t>
      </w:r>
      <w:r>
        <w:rPr/>
        <w:t>年度内部控制审计报告》，披露网 址：</w:t>
      </w:r>
      <w:r>
        <w:rPr>
          <w:rFonts w:ascii="宋体" w:hAnsi="宋体" w:cs="宋体" w:eastAsia="宋体" w:hint="default"/>
          <w:color w:val="0000FF"/>
        </w:rPr>
      </w:r>
      <w:hyperlink r:id="rId10">
        <w:r>
          <w:rPr>
            <w:rFonts w:ascii="宋体" w:hAnsi="宋体" w:cs="宋体" w:eastAsia="宋体" w:hint="default"/>
            <w:color w:val="0000FF"/>
            <w:u w:val="single" w:color="0000FF"/>
          </w:rPr>
          <w:t>www.sse.com.cn</w:t>
        </w:r>
        <w:r>
          <w:rPr>
            <w:rFonts w:ascii="宋体" w:hAnsi="宋体" w:cs="宋体" w:eastAsia="宋体" w:hint="default"/>
            <w:color w:val="0000FF"/>
          </w:rPr>
        </w:r>
      </w:hyperlink>
      <w:r>
        <w:rPr/>
        <w:t>。</w:t>
      </w:r>
    </w:p>
    <w:p>
      <w:pPr>
        <w:pStyle w:val="Heading2"/>
        <w:spacing w:line="240" w:lineRule="auto" w:before="137"/>
        <w:ind w:right="232"/>
        <w:jc w:val="left"/>
        <w:rPr>
          <w:b w:val="0"/>
          <w:bCs w:val="0"/>
        </w:rPr>
      </w:pPr>
      <w:r>
        <w:rPr/>
        <w:t>三、年度报告重大差错责任追究制度及相关执行情况说明</w:t>
      </w:r>
      <w:r>
        <w:rPr>
          <w:b w:val="0"/>
          <w:bCs w:val="0"/>
        </w:rPr>
      </w:r>
    </w:p>
    <w:p>
      <w:pPr>
        <w:pStyle w:val="Heading3"/>
        <w:spacing w:line="297" w:lineRule="auto" w:before="194"/>
        <w:ind w:right="82" w:firstLine="480"/>
        <w:jc w:val="left"/>
      </w:pPr>
      <w:r>
        <w:rPr>
          <w:rFonts w:ascii="宋体" w:hAnsi="宋体" w:cs="宋体" w:eastAsia="宋体" w:hint="default"/>
        </w:rPr>
        <w:t>2010</w:t>
      </w:r>
      <w:r>
        <w:rPr>
          <w:rFonts w:ascii="宋体" w:hAnsi="宋体" w:cs="宋体" w:eastAsia="宋体" w:hint="default"/>
          <w:spacing w:val="-59"/>
        </w:rPr>
        <w:t> </w:t>
      </w:r>
      <w:r>
        <w:rPr/>
        <w:t>年</w:t>
      </w:r>
      <w:r>
        <w:rPr>
          <w:spacing w:val="-59"/>
        </w:rPr>
        <w:t> </w:t>
      </w:r>
      <w:r>
        <w:rPr>
          <w:rFonts w:ascii="宋体" w:hAnsi="宋体" w:cs="宋体" w:eastAsia="宋体" w:hint="default"/>
        </w:rPr>
        <w:t>2</w:t>
      </w:r>
      <w:r>
        <w:rPr>
          <w:rFonts w:ascii="宋体" w:hAnsi="宋体" w:cs="宋体" w:eastAsia="宋体" w:hint="default"/>
          <w:spacing w:val="-59"/>
        </w:rPr>
        <w:t> </w:t>
      </w:r>
      <w:r>
        <w:rPr/>
        <w:t>月</w:t>
      </w:r>
      <w:r>
        <w:rPr>
          <w:spacing w:val="-59"/>
        </w:rPr>
        <w:t> </w:t>
      </w:r>
      <w:r>
        <w:rPr>
          <w:rFonts w:ascii="宋体" w:hAnsi="宋体" w:cs="宋体" w:eastAsia="宋体" w:hint="default"/>
        </w:rPr>
        <w:t>9</w:t>
      </w:r>
      <w:r>
        <w:rPr>
          <w:rFonts w:ascii="宋体" w:hAnsi="宋体" w:cs="宋体" w:eastAsia="宋体" w:hint="default"/>
          <w:spacing w:val="-59"/>
        </w:rPr>
        <w:t> </w:t>
      </w:r>
      <w:r>
        <w:rPr>
          <w:spacing w:val="-6"/>
        </w:rPr>
        <w:t>日，公司第四届董事会</w:t>
      </w:r>
      <w:r>
        <w:rPr>
          <w:spacing w:val="-59"/>
        </w:rPr>
        <w:t> </w:t>
      </w:r>
      <w:r>
        <w:rPr>
          <w:rFonts w:ascii="宋体" w:hAnsi="宋体" w:cs="宋体" w:eastAsia="宋体" w:hint="default"/>
        </w:rPr>
        <w:t>2010</w:t>
      </w:r>
      <w:r>
        <w:rPr>
          <w:rFonts w:ascii="宋体" w:hAnsi="宋体" w:cs="宋体" w:eastAsia="宋体" w:hint="default"/>
          <w:spacing w:val="-59"/>
        </w:rPr>
        <w:t> </w:t>
      </w:r>
      <w:r>
        <w:rPr>
          <w:spacing w:val="-4"/>
        </w:rPr>
        <w:t>年第二次会议审议通过了《用友软件股份</w:t>
      </w:r>
      <w:r>
        <w:rPr/>
        <w:t> </w:t>
      </w:r>
      <w:r>
        <w:rPr>
          <w:spacing w:val="-2"/>
        </w:rPr>
        <w:t>有限公司年报信息披露重大差错责任追究制度》。报告期内，公司未发生重大会计差错、</w:t>
      </w:r>
      <w:r>
        <w:rPr>
          <w:spacing w:val="-100"/>
        </w:rPr>
        <w:t> </w:t>
      </w:r>
      <w:r>
        <w:rPr>
          <w:spacing w:val="-100"/>
        </w:rPr>
      </w:r>
      <w:r>
        <w:rPr/>
        <w:t>重大遗漏信息补充和业绩预告修正的情况。</w:t>
      </w:r>
    </w:p>
    <w:p>
      <w:pPr>
        <w:spacing w:after="0" w:line="297" w:lineRule="auto"/>
        <w:jc w:val="left"/>
        <w:sectPr>
          <w:pgSz w:w="11910" w:h="16850"/>
          <w:pgMar w:header="752" w:footer="730" w:top="1020" w:bottom="920" w:left="1280" w:right="10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Heading1"/>
        <w:spacing w:line="240" w:lineRule="auto"/>
        <w:ind w:right="1946"/>
        <w:jc w:val="center"/>
        <w:rPr>
          <w:b w:val="0"/>
          <w:bCs w:val="0"/>
        </w:rPr>
      </w:pPr>
      <w:bookmarkStart w:name="_TOC_250001" w:id="11"/>
      <w:r>
        <w:rPr/>
        <w:t>第十节 财务报告（后附）</w:t>
      </w:r>
      <w:bookmarkEnd w:id="11"/>
      <w:r>
        <w:rPr>
          <w:b w:val="0"/>
          <w:bCs w:val="0"/>
        </w:rPr>
      </w:r>
    </w:p>
    <w:p>
      <w:pPr>
        <w:spacing w:line="240" w:lineRule="auto" w:before="0"/>
        <w:rPr>
          <w:rFonts w:ascii="黑体" w:hAnsi="黑体" w:cs="黑体" w:eastAsia="黑体" w:hint="default"/>
          <w:b/>
          <w:bCs/>
          <w:sz w:val="28"/>
          <w:szCs w:val="28"/>
        </w:rPr>
      </w:pPr>
    </w:p>
    <w:p>
      <w:pPr>
        <w:spacing w:line="240" w:lineRule="auto" w:before="0"/>
        <w:rPr>
          <w:rFonts w:ascii="黑体" w:hAnsi="黑体" w:cs="黑体" w:eastAsia="黑体" w:hint="default"/>
          <w:b/>
          <w:bCs/>
          <w:sz w:val="28"/>
          <w:szCs w:val="28"/>
        </w:rPr>
      </w:pPr>
    </w:p>
    <w:p>
      <w:pPr>
        <w:spacing w:line="240" w:lineRule="auto" w:before="8"/>
        <w:rPr>
          <w:rFonts w:ascii="黑体" w:hAnsi="黑体" w:cs="黑体" w:eastAsia="黑体" w:hint="default"/>
          <w:b/>
          <w:bCs/>
          <w:sz w:val="37"/>
          <w:szCs w:val="37"/>
        </w:rPr>
      </w:pPr>
    </w:p>
    <w:p>
      <w:pPr>
        <w:pStyle w:val="Heading1"/>
        <w:spacing w:line="240" w:lineRule="auto" w:before="0"/>
        <w:ind w:right="1944"/>
        <w:jc w:val="center"/>
        <w:rPr>
          <w:b w:val="0"/>
          <w:bCs w:val="0"/>
        </w:rPr>
      </w:pPr>
      <w:bookmarkStart w:name="_TOC_250000" w:id="12"/>
      <w:r>
        <w:rPr/>
        <w:t>第十一节</w:t>
      </w:r>
      <w:r>
        <w:rPr>
          <w:spacing w:val="1"/>
        </w:rPr>
        <w:t> </w:t>
      </w:r>
      <w:r>
        <w:rPr/>
        <w:t>备查文件目录</w:t>
      </w:r>
      <w:bookmarkEnd w:id="12"/>
      <w:r>
        <w:rPr>
          <w:b w:val="0"/>
          <w:bCs w:val="0"/>
        </w:rPr>
      </w:r>
    </w:p>
    <w:p>
      <w:pPr>
        <w:spacing w:line="240" w:lineRule="auto" w:before="0"/>
        <w:rPr>
          <w:rFonts w:ascii="黑体" w:hAnsi="黑体" w:cs="黑体" w:eastAsia="黑体" w:hint="default"/>
          <w:b/>
          <w:bCs/>
          <w:sz w:val="28"/>
          <w:szCs w:val="28"/>
        </w:rPr>
      </w:pPr>
    </w:p>
    <w:p>
      <w:pPr>
        <w:spacing w:line="240" w:lineRule="auto" w:before="5"/>
        <w:rPr>
          <w:rFonts w:ascii="黑体" w:hAnsi="黑体" w:cs="黑体" w:eastAsia="黑体" w:hint="default"/>
          <w:b/>
          <w:bCs/>
          <w:sz w:val="27"/>
          <w:szCs w:val="27"/>
        </w:rPr>
      </w:pPr>
    </w:p>
    <w:p>
      <w:pPr>
        <w:pStyle w:val="Heading3"/>
        <w:spacing w:line="300" w:lineRule="auto" w:before="0"/>
        <w:ind w:right="188" w:firstLine="480"/>
        <w:jc w:val="left"/>
      </w:pPr>
      <w:r>
        <w:rPr/>
        <w:t>一、载有公司法定代表人、主管会计工作负责人和会计机构负责人签名并盖章的会 计报表；</w:t>
      </w:r>
    </w:p>
    <w:p>
      <w:pPr>
        <w:pStyle w:val="Heading3"/>
        <w:spacing w:line="388" w:lineRule="auto" w:before="134"/>
        <w:ind w:left="618" w:right="188"/>
        <w:jc w:val="left"/>
      </w:pPr>
      <w:r>
        <w:rPr/>
        <w:t>二、载有会计师事务所盖章、注册会计师签名并盖章的审计报告原件； 三、报告期内在中国证监会指定报刊上公开披露过的所有公司文件的正本和公告原</w:t>
      </w:r>
    </w:p>
    <w:p>
      <w:pPr>
        <w:pStyle w:val="Heading3"/>
        <w:spacing w:line="240" w:lineRule="exact" w:before="0"/>
        <w:ind w:right="188"/>
        <w:jc w:val="left"/>
      </w:pPr>
      <w:r>
        <w:rPr/>
        <w:t>稿。</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9"/>
          <w:szCs w:val="29"/>
        </w:rPr>
      </w:pPr>
    </w:p>
    <w:p>
      <w:pPr>
        <w:pStyle w:val="Heading3"/>
        <w:spacing w:line="240" w:lineRule="auto" w:before="0"/>
        <w:ind w:left="618" w:right="188"/>
        <w:jc w:val="left"/>
      </w:pPr>
      <w:r>
        <w:rPr/>
        <w:t>文件存放地：公司证券与投资者关系部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Heading3"/>
        <w:spacing w:line="391" w:lineRule="auto" w:before="0"/>
        <w:ind w:left="5723" w:right="1717" w:hanging="394"/>
        <w:jc w:val="left"/>
      </w:pPr>
      <w:r>
        <w:rPr/>
        <w:t>用友软件股份有限公司 董事长：王文京</w:t>
      </w:r>
    </w:p>
    <w:p>
      <w:pPr>
        <w:pStyle w:val="Heading3"/>
        <w:spacing w:line="240" w:lineRule="auto" w:before="43"/>
        <w:ind w:left="5483" w:right="188"/>
        <w:jc w:val="left"/>
      </w:pPr>
      <w:r>
        <w:rPr/>
        <w:t>二零一三年三月十八日</w:t>
      </w:r>
    </w:p>
    <w:p>
      <w:pPr>
        <w:spacing w:after="0" w:line="240" w:lineRule="auto"/>
        <w:jc w:val="left"/>
        <w:sectPr>
          <w:pgSz w:w="11910" w:h="16850"/>
          <w:pgMar w:header="752" w:footer="730" w:top="1020" w:bottom="920" w:left="1280" w:right="11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32" w:lineRule="auto" w:before="192"/>
        <w:ind w:left="2882" w:right="117" w:firstLine="0"/>
        <w:jc w:val="left"/>
        <w:rPr>
          <w:rFonts w:ascii="黑体" w:hAnsi="黑体" w:cs="黑体" w:eastAsia="黑体" w:hint="default"/>
          <w:sz w:val="28"/>
          <w:szCs w:val="28"/>
        </w:rPr>
      </w:pPr>
      <w:bookmarkStart w:name="用友软件2012年度财务报告" w:id="13"/>
      <w:bookmarkEnd w:id="13"/>
      <w:r>
        <w:rPr/>
      </w:r>
      <w:r>
        <w:rPr>
          <w:rFonts w:ascii="黑体" w:hAnsi="黑体" w:cs="黑体" w:eastAsia="黑体" w:hint="default"/>
          <w:b/>
          <w:bCs/>
          <w:sz w:val="28"/>
          <w:szCs w:val="28"/>
        </w:rPr>
        <w:t>用友软件股份有限公司</w:t>
      </w:r>
      <w:r>
        <w:rPr>
          <w:rFonts w:ascii="黑体" w:hAnsi="黑体" w:cs="黑体" w:eastAsia="黑体" w:hint="default"/>
          <w:b/>
          <w:bCs/>
          <w:w w:val="99"/>
          <w:sz w:val="28"/>
          <w:szCs w:val="28"/>
        </w:rPr>
        <w:t> </w:t>
      </w:r>
      <w:r>
        <w:rPr>
          <w:rFonts w:ascii="Arial" w:hAnsi="Arial" w:cs="Arial" w:eastAsia="Arial" w:hint="default"/>
          <w:b/>
          <w:bCs/>
          <w:sz w:val="28"/>
          <w:szCs w:val="28"/>
        </w:rPr>
        <w:t>(</w:t>
      </w:r>
      <w:r>
        <w:rPr>
          <w:rFonts w:ascii="黑体" w:hAnsi="黑体" w:cs="黑体" w:eastAsia="黑体" w:hint="default"/>
          <w:b/>
          <w:bCs/>
          <w:sz w:val="28"/>
          <w:szCs w:val="28"/>
        </w:rPr>
        <w:t>在中华人民共和国注册成立的股份有限公司</w:t>
      </w:r>
      <w:r>
        <w:rPr>
          <w:rFonts w:ascii="Arial" w:hAnsi="Arial" w:cs="Arial" w:eastAsia="Arial" w:hint="default"/>
          <w:b/>
          <w:bCs/>
          <w:sz w:val="28"/>
          <w:szCs w:val="28"/>
        </w:rPr>
        <w:t>)</w:t>
      </w:r>
      <w:r>
        <w:rPr>
          <w:rFonts w:ascii="Arial" w:hAnsi="Arial" w:cs="Arial" w:eastAsia="Arial" w:hint="default"/>
          <w:b/>
          <w:bCs/>
          <w:w w:val="100"/>
          <w:sz w:val="28"/>
          <w:szCs w:val="28"/>
        </w:rPr>
        <w:t> </w:t>
      </w:r>
      <w:r>
        <w:rPr>
          <w:rFonts w:ascii="黑体" w:hAnsi="黑体" w:cs="黑体" w:eastAsia="黑体" w:hint="default"/>
          <w:b/>
          <w:bCs/>
          <w:sz w:val="28"/>
          <w:szCs w:val="28"/>
        </w:rPr>
        <w:t>已审财务报表</w:t>
      </w:r>
      <w:r>
        <w:rPr>
          <w:rFonts w:ascii="黑体" w:hAnsi="黑体" w:cs="黑体" w:eastAsia="黑体" w:hint="default"/>
          <w:sz w:val="28"/>
          <w:szCs w:val="28"/>
        </w:rPr>
      </w:r>
    </w:p>
    <w:p>
      <w:pPr>
        <w:spacing w:line="240" w:lineRule="auto" w:before="11"/>
        <w:rPr>
          <w:rFonts w:ascii="黑体" w:hAnsi="黑体" w:cs="黑体" w:eastAsia="黑体" w:hint="default"/>
          <w:b/>
          <w:bCs/>
          <w:sz w:val="20"/>
          <w:szCs w:val="20"/>
        </w:rPr>
      </w:pPr>
    </w:p>
    <w:p>
      <w:pPr>
        <w:spacing w:before="0"/>
        <w:ind w:left="2882" w:right="117" w:firstLine="0"/>
        <w:jc w:val="left"/>
        <w:rPr>
          <w:rFonts w:ascii="黑体" w:hAnsi="黑体" w:cs="黑体" w:eastAsia="黑体" w:hint="default"/>
          <w:sz w:val="28"/>
          <w:szCs w:val="28"/>
        </w:rPr>
      </w:pPr>
      <w:r>
        <w:rPr>
          <w:rFonts w:ascii="黑体" w:hAnsi="黑体" w:cs="黑体" w:eastAsia="黑体" w:hint="default"/>
          <w:b/>
          <w:bCs/>
          <w:sz w:val="28"/>
          <w:szCs w:val="28"/>
        </w:rPr>
        <w:t>二零一二年十二月三十一日</w:t>
      </w:r>
      <w:r>
        <w:rPr>
          <w:rFonts w:ascii="黑体" w:hAnsi="黑体" w:cs="黑体" w:eastAsia="黑体" w:hint="default"/>
          <w:sz w:val="28"/>
          <w:szCs w:val="28"/>
        </w:rPr>
      </w:r>
    </w:p>
    <w:p>
      <w:pPr>
        <w:spacing w:after="0"/>
        <w:jc w:val="left"/>
        <w:rPr>
          <w:rFonts w:ascii="黑体" w:hAnsi="黑体" w:cs="黑体" w:eastAsia="黑体" w:hint="default"/>
          <w:sz w:val="28"/>
          <w:szCs w:val="28"/>
        </w:rPr>
        <w:sectPr>
          <w:headerReference w:type="default" r:id="rId34"/>
          <w:footerReference w:type="default" r:id="rId35"/>
          <w:pgSz w:w="11910" w:h="16850"/>
          <w:pgMar w:header="0" w:footer="0" w:top="1600" w:bottom="280" w:left="1680" w:right="1680"/>
        </w:sectPr>
      </w:pPr>
    </w:p>
    <w:p>
      <w:pPr>
        <w:spacing w:line="240" w:lineRule="auto" w:before="6"/>
        <w:rPr>
          <w:rFonts w:ascii="黑体" w:hAnsi="黑体" w:cs="黑体" w:eastAsia="黑体" w:hint="default"/>
          <w:b/>
          <w:bCs/>
          <w:sz w:val="24"/>
          <w:szCs w:val="24"/>
        </w:rPr>
      </w:pPr>
    </w:p>
    <w:p>
      <w:pPr>
        <w:pStyle w:val="Heading4"/>
        <w:spacing w:line="240" w:lineRule="auto" w:before="32"/>
        <w:ind w:left="4269" w:right="4234"/>
        <w:jc w:val="center"/>
        <w:rPr>
          <w:b w:val="0"/>
          <w:bCs w:val="0"/>
        </w:rPr>
      </w:pPr>
      <w:r>
        <w:rPr>
          <w:w w:val="99"/>
        </w:rPr>
      </w:r>
      <w:r>
        <w:rPr>
          <w:u w:val="single" w:color="000000"/>
        </w:rPr>
        <w:t>目录</w:t>
      </w:r>
      <w:r>
        <w:rPr/>
      </w:r>
      <w:r>
        <w:rPr>
          <w:b w:val="0"/>
          <w:bCs w:val="0"/>
        </w:rPr>
      </w:r>
    </w:p>
    <w:p>
      <w:pPr>
        <w:spacing w:line="240" w:lineRule="auto" w:before="1"/>
        <w:rPr>
          <w:rFonts w:ascii="黑体" w:hAnsi="黑体" w:cs="黑体" w:eastAsia="黑体" w:hint="default"/>
          <w:b/>
          <w:bCs/>
          <w:sz w:val="26"/>
          <w:szCs w:val="26"/>
        </w:rPr>
      </w:pPr>
    </w:p>
    <w:tbl>
      <w:tblPr>
        <w:tblW w:w="0" w:type="auto"/>
        <w:jc w:val="left"/>
        <w:tblInd w:w="111" w:type="dxa"/>
        <w:tblLayout w:type="fixed"/>
        <w:tblCellMar>
          <w:top w:w="0" w:type="dxa"/>
          <w:left w:w="0" w:type="dxa"/>
          <w:bottom w:w="0" w:type="dxa"/>
          <w:right w:w="0" w:type="dxa"/>
        </w:tblCellMar>
        <w:tblLook w:val="01E0"/>
      </w:tblPr>
      <w:tblGrid>
        <w:gridCol w:w="5689"/>
        <w:gridCol w:w="3080"/>
      </w:tblGrid>
      <w:tr>
        <w:trPr>
          <w:trHeight w:val="379" w:hRule="exact"/>
        </w:trPr>
        <w:tc>
          <w:tcPr>
            <w:tcW w:w="5689" w:type="dxa"/>
            <w:tcBorders>
              <w:top w:val="nil" w:sz="6" w:space="0" w:color="auto"/>
              <w:left w:val="nil" w:sz="6" w:space="0" w:color="auto"/>
              <w:bottom w:val="nil" w:sz="6" w:space="0" w:color="auto"/>
              <w:right w:val="nil" w:sz="6" w:space="0" w:color="auto"/>
            </w:tcBorders>
          </w:tcPr>
          <w:p>
            <w:pPr/>
          </w:p>
        </w:tc>
        <w:tc>
          <w:tcPr>
            <w:tcW w:w="3080" w:type="dxa"/>
            <w:tcBorders>
              <w:top w:val="nil" w:sz="6" w:space="0" w:color="auto"/>
              <w:left w:val="nil" w:sz="6" w:space="0" w:color="auto"/>
              <w:bottom w:val="nil" w:sz="6" w:space="0" w:color="auto"/>
              <w:right w:val="nil" w:sz="6" w:space="0" w:color="auto"/>
            </w:tcBorders>
          </w:tcPr>
          <w:p>
            <w:pPr>
              <w:pStyle w:val="TableParagraph"/>
              <w:spacing w:line="221" w:lineRule="exact"/>
              <w:ind w:right="404"/>
              <w:jc w:val="right"/>
              <w:rPr>
                <w:rFonts w:ascii="黑体" w:hAnsi="黑体" w:cs="黑体" w:eastAsia="黑体" w:hint="default"/>
                <w:sz w:val="22"/>
                <w:szCs w:val="22"/>
              </w:rPr>
            </w:pPr>
            <w:r>
              <w:rPr>
                <w:rFonts w:ascii="黑体" w:hAnsi="黑体" w:cs="黑体" w:eastAsia="黑体" w:hint="default"/>
                <w:b/>
                <w:bCs/>
                <w:w w:val="99"/>
                <w:sz w:val="22"/>
                <w:szCs w:val="22"/>
              </w:rPr>
            </w:r>
            <w:r>
              <w:rPr>
                <w:rFonts w:ascii="黑体" w:hAnsi="黑体" w:cs="黑体" w:eastAsia="黑体" w:hint="default"/>
                <w:b/>
                <w:bCs/>
                <w:w w:val="95"/>
                <w:sz w:val="22"/>
                <w:szCs w:val="22"/>
                <w:u w:val="single" w:color="000000"/>
              </w:rPr>
              <w:t>页次</w:t>
            </w:r>
            <w:r>
              <w:rPr>
                <w:rFonts w:ascii="黑体" w:hAnsi="黑体" w:cs="黑体" w:eastAsia="黑体" w:hint="default"/>
                <w:b/>
                <w:bCs/>
                <w:w w:val="95"/>
                <w:sz w:val="22"/>
                <w:szCs w:val="22"/>
              </w:rPr>
            </w:r>
            <w:r>
              <w:rPr>
                <w:rFonts w:ascii="黑体" w:hAnsi="黑体" w:cs="黑体" w:eastAsia="黑体" w:hint="default"/>
                <w:sz w:val="22"/>
                <w:szCs w:val="22"/>
              </w:rPr>
            </w:r>
          </w:p>
        </w:tc>
      </w:tr>
      <w:tr>
        <w:trPr>
          <w:trHeight w:val="544" w:hRule="exact"/>
        </w:trPr>
        <w:tc>
          <w:tcPr>
            <w:tcW w:w="5689"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00" w:right="0"/>
              <w:jc w:val="left"/>
              <w:rPr>
                <w:rFonts w:ascii="黑体" w:hAnsi="黑体" w:cs="黑体" w:eastAsia="黑体" w:hint="default"/>
                <w:sz w:val="22"/>
                <w:szCs w:val="22"/>
              </w:rPr>
            </w:pPr>
            <w:r>
              <w:rPr>
                <w:rFonts w:ascii="黑体" w:hAnsi="黑体" w:cs="黑体" w:eastAsia="黑体" w:hint="default"/>
                <w:b/>
                <w:bCs/>
                <w:sz w:val="22"/>
                <w:szCs w:val="22"/>
              </w:rPr>
              <w:t>一、审计报告</w:t>
            </w:r>
            <w:r>
              <w:rPr>
                <w:rFonts w:ascii="黑体" w:hAnsi="黑体" w:cs="黑体" w:eastAsia="黑体" w:hint="default"/>
                <w:sz w:val="22"/>
                <w:szCs w:val="22"/>
              </w:rPr>
            </w:r>
          </w:p>
        </w:tc>
        <w:tc>
          <w:tcPr>
            <w:tcW w:w="3080"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442"/>
              <w:jc w:val="right"/>
              <w:rPr>
                <w:rFonts w:ascii="Arial" w:hAnsi="Arial" w:cs="Arial" w:eastAsia="Arial" w:hint="default"/>
                <w:sz w:val="22"/>
                <w:szCs w:val="22"/>
              </w:rPr>
            </w:pPr>
            <w:r>
              <w:rPr>
                <w:rFonts w:ascii="Arial" w:hAnsi="Arial" w:cs="Arial" w:eastAsia="Arial" w:hint="default"/>
                <w:b/>
                <w:bCs/>
                <w:spacing w:val="-1"/>
                <w:sz w:val="22"/>
                <w:szCs w:val="22"/>
              </w:rPr>
              <w:t>1–2</w:t>
            </w:r>
            <w:r>
              <w:rPr>
                <w:rFonts w:ascii="Arial" w:hAnsi="Arial" w:cs="Arial" w:eastAsia="Arial" w:hint="default"/>
                <w:spacing w:val="-1"/>
                <w:sz w:val="22"/>
                <w:szCs w:val="22"/>
              </w:rPr>
            </w:r>
          </w:p>
        </w:tc>
      </w:tr>
      <w:tr>
        <w:trPr>
          <w:trHeight w:val="532" w:hRule="exact"/>
        </w:trPr>
        <w:tc>
          <w:tcPr>
            <w:tcW w:w="568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黑体" w:hAnsi="黑体" w:cs="黑体" w:eastAsia="黑体" w:hint="default"/>
                <w:sz w:val="22"/>
                <w:szCs w:val="22"/>
              </w:rPr>
            </w:pPr>
            <w:r>
              <w:rPr>
                <w:rFonts w:ascii="黑体" w:hAnsi="黑体" w:cs="黑体" w:eastAsia="黑体" w:hint="default"/>
                <w:b/>
                <w:bCs/>
                <w:sz w:val="22"/>
                <w:szCs w:val="22"/>
              </w:rPr>
              <w:t>二、已审财务报表</w:t>
            </w:r>
            <w:r>
              <w:rPr>
                <w:rFonts w:ascii="黑体" w:hAnsi="黑体" w:cs="黑体" w:eastAsia="黑体" w:hint="default"/>
                <w:sz w:val="22"/>
                <w:szCs w:val="22"/>
              </w:rPr>
            </w:r>
          </w:p>
        </w:tc>
        <w:tc>
          <w:tcPr>
            <w:tcW w:w="3080" w:type="dxa"/>
            <w:tcBorders>
              <w:top w:val="nil" w:sz="6" w:space="0" w:color="auto"/>
              <w:left w:val="nil" w:sz="6" w:space="0" w:color="auto"/>
              <w:bottom w:val="nil" w:sz="6" w:space="0" w:color="auto"/>
              <w:right w:val="nil" w:sz="6" w:space="0" w:color="auto"/>
            </w:tcBorders>
          </w:tcPr>
          <w:p>
            <w:pPr/>
          </w:p>
        </w:tc>
      </w:tr>
      <w:tr>
        <w:trPr>
          <w:trHeight w:val="544" w:hRule="exact"/>
        </w:trPr>
        <w:tc>
          <w:tcPr>
            <w:tcW w:w="568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598" w:right="0"/>
              <w:jc w:val="left"/>
              <w:rPr>
                <w:rFonts w:ascii="黑体" w:hAnsi="黑体" w:cs="黑体" w:eastAsia="黑体" w:hint="default"/>
                <w:sz w:val="22"/>
                <w:szCs w:val="22"/>
              </w:rPr>
            </w:pPr>
            <w:r>
              <w:rPr>
                <w:rFonts w:ascii="Arial" w:hAnsi="Arial" w:cs="Arial" w:eastAsia="Arial" w:hint="default"/>
                <w:b/>
                <w:bCs/>
                <w:sz w:val="22"/>
                <w:szCs w:val="22"/>
              </w:rPr>
              <w:t>1.</w:t>
            </w:r>
            <w:r>
              <w:rPr>
                <w:rFonts w:ascii="黑体" w:hAnsi="黑体" w:cs="黑体" w:eastAsia="黑体" w:hint="default"/>
                <w:b/>
                <w:bCs/>
                <w:sz w:val="22"/>
                <w:szCs w:val="22"/>
              </w:rPr>
              <w:t>合并资产负债表</w:t>
            </w:r>
            <w:r>
              <w:rPr>
                <w:rFonts w:ascii="黑体" w:hAnsi="黑体" w:cs="黑体" w:eastAsia="黑体" w:hint="default"/>
                <w:sz w:val="22"/>
                <w:szCs w:val="22"/>
              </w:rPr>
            </w:r>
          </w:p>
        </w:tc>
        <w:tc>
          <w:tcPr>
            <w:tcW w:w="3080"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442"/>
              <w:jc w:val="right"/>
              <w:rPr>
                <w:rFonts w:ascii="Arial" w:hAnsi="Arial" w:cs="Arial" w:eastAsia="Arial" w:hint="default"/>
                <w:sz w:val="22"/>
                <w:szCs w:val="22"/>
              </w:rPr>
            </w:pPr>
            <w:r>
              <w:rPr>
                <w:rFonts w:ascii="Arial" w:hAnsi="Arial" w:cs="Arial" w:eastAsia="Arial" w:hint="default"/>
                <w:b/>
                <w:bCs/>
                <w:spacing w:val="-1"/>
                <w:sz w:val="22"/>
                <w:szCs w:val="22"/>
              </w:rPr>
              <w:t>3–4</w:t>
            </w:r>
            <w:r>
              <w:rPr>
                <w:rFonts w:ascii="Arial" w:hAnsi="Arial" w:cs="Arial" w:eastAsia="Arial" w:hint="default"/>
                <w:spacing w:val="-1"/>
                <w:sz w:val="22"/>
                <w:szCs w:val="22"/>
              </w:rPr>
            </w:r>
          </w:p>
        </w:tc>
      </w:tr>
      <w:tr>
        <w:trPr>
          <w:trHeight w:val="538" w:hRule="exact"/>
        </w:trPr>
        <w:tc>
          <w:tcPr>
            <w:tcW w:w="568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620" w:right="0"/>
              <w:jc w:val="left"/>
              <w:rPr>
                <w:rFonts w:ascii="黑体" w:hAnsi="黑体" w:cs="黑体" w:eastAsia="黑体" w:hint="default"/>
                <w:sz w:val="22"/>
                <w:szCs w:val="22"/>
              </w:rPr>
            </w:pPr>
            <w:r>
              <w:rPr>
                <w:rFonts w:ascii="Arial" w:hAnsi="Arial" w:cs="Arial" w:eastAsia="Arial" w:hint="default"/>
                <w:b/>
                <w:bCs/>
                <w:sz w:val="22"/>
                <w:szCs w:val="22"/>
              </w:rPr>
              <w:t>2.</w:t>
            </w:r>
            <w:r>
              <w:rPr>
                <w:rFonts w:ascii="黑体" w:hAnsi="黑体" w:cs="黑体" w:eastAsia="黑体" w:hint="default"/>
                <w:b/>
                <w:bCs/>
                <w:sz w:val="22"/>
                <w:szCs w:val="22"/>
              </w:rPr>
              <w:t>合并利润表</w:t>
            </w:r>
            <w:r>
              <w:rPr>
                <w:rFonts w:ascii="黑体" w:hAnsi="黑体" w:cs="黑体" w:eastAsia="黑体" w:hint="default"/>
                <w:sz w:val="22"/>
                <w:szCs w:val="22"/>
              </w:rPr>
            </w:r>
          </w:p>
        </w:tc>
        <w:tc>
          <w:tcPr>
            <w:tcW w:w="3080"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564"/>
              <w:jc w:val="right"/>
              <w:rPr>
                <w:rFonts w:ascii="Arial" w:hAnsi="Arial" w:cs="Arial" w:eastAsia="Arial" w:hint="default"/>
                <w:sz w:val="22"/>
                <w:szCs w:val="22"/>
              </w:rPr>
            </w:pPr>
            <w:r>
              <w:rPr>
                <w:rFonts w:ascii="Arial"/>
                <w:b/>
                <w:w w:val="100"/>
                <w:sz w:val="22"/>
              </w:rPr>
              <w:t>5</w:t>
            </w:r>
            <w:r>
              <w:rPr>
                <w:rFonts w:ascii="Arial"/>
                <w:w w:val="100"/>
                <w:sz w:val="22"/>
              </w:rPr>
            </w:r>
          </w:p>
        </w:tc>
      </w:tr>
      <w:tr>
        <w:trPr>
          <w:trHeight w:val="540" w:hRule="exact"/>
        </w:trPr>
        <w:tc>
          <w:tcPr>
            <w:tcW w:w="568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620" w:right="0"/>
              <w:jc w:val="left"/>
              <w:rPr>
                <w:rFonts w:ascii="黑体" w:hAnsi="黑体" w:cs="黑体" w:eastAsia="黑体" w:hint="default"/>
                <w:sz w:val="22"/>
                <w:szCs w:val="22"/>
              </w:rPr>
            </w:pPr>
            <w:r>
              <w:rPr>
                <w:rFonts w:ascii="Arial" w:hAnsi="Arial" w:cs="Arial" w:eastAsia="Arial" w:hint="default"/>
                <w:b/>
                <w:bCs/>
                <w:sz w:val="22"/>
                <w:szCs w:val="22"/>
              </w:rPr>
              <w:t>3.</w:t>
            </w:r>
            <w:r>
              <w:rPr>
                <w:rFonts w:ascii="黑体" w:hAnsi="黑体" w:cs="黑体" w:eastAsia="黑体" w:hint="default"/>
                <w:b/>
                <w:bCs/>
                <w:sz w:val="22"/>
                <w:szCs w:val="22"/>
              </w:rPr>
              <w:t>合并股东权益变动表</w:t>
            </w:r>
            <w:r>
              <w:rPr>
                <w:rFonts w:ascii="黑体" w:hAnsi="黑体" w:cs="黑体" w:eastAsia="黑体" w:hint="default"/>
                <w:sz w:val="22"/>
                <w:szCs w:val="22"/>
              </w:rPr>
            </w:r>
          </w:p>
        </w:tc>
        <w:tc>
          <w:tcPr>
            <w:tcW w:w="3080"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442"/>
              <w:jc w:val="right"/>
              <w:rPr>
                <w:rFonts w:ascii="Arial" w:hAnsi="Arial" w:cs="Arial" w:eastAsia="Arial" w:hint="default"/>
                <w:sz w:val="22"/>
                <w:szCs w:val="22"/>
              </w:rPr>
            </w:pPr>
            <w:r>
              <w:rPr>
                <w:rFonts w:ascii="Arial" w:hAnsi="Arial" w:cs="Arial" w:eastAsia="Arial" w:hint="default"/>
                <w:b/>
                <w:bCs/>
                <w:spacing w:val="-1"/>
                <w:sz w:val="22"/>
                <w:szCs w:val="22"/>
              </w:rPr>
              <w:t>6–7</w:t>
            </w:r>
            <w:r>
              <w:rPr>
                <w:rFonts w:ascii="Arial" w:hAnsi="Arial" w:cs="Arial" w:eastAsia="Arial" w:hint="default"/>
                <w:spacing w:val="-1"/>
                <w:sz w:val="22"/>
                <w:szCs w:val="22"/>
              </w:rPr>
            </w:r>
          </w:p>
        </w:tc>
      </w:tr>
      <w:tr>
        <w:trPr>
          <w:trHeight w:val="538" w:hRule="exact"/>
        </w:trPr>
        <w:tc>
          <w:tcPr>
            <w:tcW w:w="568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620" w:right="0"/>
              <w:jc w:val="left"/>
              <w:rPr>
                <w:rFonts w:ascii="黑体" w:hAnsi="黑体" w:cs="黑体" w:eastAsia="黑体" w:hint="default"/>
                <w:sz w:val="22"/>
                <w:szCs w:val="22"/>
              </w:rPr>
            </w:pPr>
            <w:r>
              <w:rPr>
                <w:rFonts w:ascii="Arial" w:hAnsi="Arial" w:cs="Arial" w:eastAsia="Arial" w:hint="default"/>
                <w:b/>
                <w:bCs/>
                <w:sz w:val="22"/>
                <w:szCs w:val="22"/>
              </w:rPr>
              <w:t>4.</w:t>
            </w:r>
            <w:r>
              <w:rPr>
                <w:rFonts w:ascii="黑体" w:hAnsi="黑体" w:cs="黑体" w:eastAsia="黑体" w:hint="default"/>
                <w:b/>
                <w:bCs/>
                <w:sz w:val="22"/>
                <w:szCs w:val="22"/>
              </w:rPr>
              <w:t>合并现金流量表</w:t>
            </w:r>
            <w:r>
              <w:rPr>
                <w:rFonts w:ascii="黑体" w:hAnsi="黑体" w:cs="黑体" w:eastAsia="黑体" w:hint="default"/>
                <w:sz w:val="22"/>
                <w:szCs w:val="22"/>
              </w:rPr>
            </w:r>
          </w:p>
        </w:tc>
        <w:tc>
          <w:tcPr>
            <w:tcW w:w="3080"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442"/>
              <w:jc w:val="right"/>
              <w:rPr>
                <w:rFonts w:ascii="Arial" w:hAnsi="Arial" w:cs="Arial" w:eastAsia="Arial" w:hint="default"/>
                <w:sz w:val="22"/>
                <w:szCs w:val="22"/>
              </w:rPr>
            </w:pPr>
            <w:r>
              <w:rPr>
                <w:rFonts w:ascii="Arial" w:hAnsi="Arial" w:cs="Arial" w:eastAsia="Arial" w:hint="default"/>
                <w:b/>
                <w:bCs/>
                <w:spacing w:val="-1"/>
                <w:sz w:val="22"/>
                <w:szCs w:val="22"/>
              </w:rPr>
              <w:t>8–9</w:t>
            </w:r>
            <w:r>
              <w:rPr>
                <w:rFonts w:ascii="Arial" w:hAnsi="Arial" w:cs="Arial" w:eastAsia="Arial" w:hint="default"/>
                <w:spacing w:val="-1"/>
                <w:sz w:val="22"/>
                <w:szCs w:val="22"/>
              </w:rPr>
            </w:r>
          </w:p>
        </w:tc>
      </w:tr>
      <w:tr>
        <w:trPr>
          <w:trHeight w:val="538" w:hRule="exact"/>
        </w:trPr>
        <w:tc>
          <w:tcPr>
            <w:tcW w:w="568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620" w:right="0"/>
              <w:jc w:val="left"/>
              <w:rPr>
                <w:rFonts w:ascii="黑体" w:hAnsi="黑体" w:cs="黑体" w:eastAsia="黑体" w:hint="default"/>
                <w:sz w:val="22"/>
                <w:szCs w:val="22"/>
              </w:rPr>
            </w:pPr>
            <w:r>
              <w:rPr>
                <w:rFonts w:ascii="Arial" w:hAnsi="Arial" w:cs="Arial" w:eastAsia="Arial" w:hint="default"/>
                <w:b/>
                <w:bCs/>
                <w:sz w:val="22"/>
                <w:szCs w:val="22"/>
              </w:rPr>
              <w:t>5.</w:t>
            </w:r>
            <w:r>
              <w:rPr>
                <w:rFonts w:ascii="黑体" w:hAnsi="黑体" w:cs="黑体" w:eastAsia="黑体" w:hint="default"/>
                <w:b/>
                <w:bCs/>
                <w:sz w:val="22"/>
                <w:szCs w:val="22"/>
              </w:rPr>
              <w:t>公司资产负债表</w:t>
            </w:r>
            <w:r>
              <w:rPr>
                <w:rFonts w:ascii="黑体" w:hAnsi="黑体" w:cs="黑体" w:eastAsia="黑体" w:hint="default"/>
                <w:sz w:val="22"/>
                <w:szCs w:val="22"/>
              </w:rPr>
            </w:r>
          </w:p>
        </w:tc>
        <w:tc>
          <w:tcPr>
            <w:tcW w:w="3080"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19"/>
              <w:jc w:val="right"/>
              <w:rPr>
                <w:rFonts w:ascii="Arial" w:hAnsi="Arial" w:cs="Arial" w:eastAsia="Arial" w:hint="default"/>
                <w:sz w:val="22"/>
                <w:szCs w:val="22"/>
              </w:rPr>
            </w:pPr>
            <w:r>
              <w:rPr>
                <w:rFonts w:ascii="Arial" w:hAnsi="Arial" w:cs="Arial" w:eastAsia="Arial" w:hint="default"/>
                <w:b/>
                <w:bCs/>
                <w:spacing w:val="-1"/>
                <w:sz w:val="22"/>
                <w:szCs w:val="22"/>
              </w:rPr>
              <w:t>10–11</w:t>
            </w:r>
            <w:r>
              <w:rPr>
                <w:rFonts w:ascii="Arial" w:hAnsi="Arial" w:cs="Arial" w:eastAsia="Arial" w:hint="default"/>
                <w:spacing w:val="-1"/>
                <w:sz w:val="22"/>
                <w:szCs w:val="22"/>
              </w:rPr>
            </w:r>
          </w:p>
        </w:tc>
      </w:tr>
      <w:tr>
        <w:trPr>
          <w:trHeight w:val="539" w:hRule="exact"/>
        </w:trPr>
        <w:tc>
          <w:tcPr>
            <w:tcW w:w="568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619" w:right="0"/>
              <w:jc w:val="left"/>
              <w:rPr>
                <w:rFonts w:ascii="黑体" w:hAnsi="黑体" w:cs="黑体" w:eastAsia="黑体" w:hint="default"/>
                <w:sz w:val="22"/>
                <w:szCs w:val="22"/>
              </w:rPr>
            </w:pPr>
            <w:r>
              <w:rPr>
                <w:rFonts w:ascii="Arial" w:hAnsi="Arial" w:cs="Arial" w:eastAsia="Arial" w:hint="default"/>
                <w:b/>
                <w:bCs/>
                <w:sz w:val="22"/>
                <w:szCs w:val="22"/>
              </w:rPr>
              <w:t>6.</w:t>
            </w:r>
            <w:r>
              <w:rPr>
                <w:rFonts w:ascii="黑体" w:hAnsi="黑体" w:cs="黑体" w:eastAsia="黑体" w:hint="default"/>
                <w:b/>
                <w:bCs/>
                <w:sz w:val="22"/>
                <w:szCs w:val="22"/>
              </w:rPr>
              <w:t>公司利润表</w:t>
            </w:r>
            <w:r>
              <w:rPr>
                <w:rFonts w:ascii="黑体" w:hAnsi="黑体" w:cs="黑体" w:eastAsia="黑体" w:hint="default"/>
                <w:sz w:val="22"/>
                <w:szCs w:val="22"/>
              </w:rPr>
            </w:r>
          </w:p>
        </w:tc>
        <w:tc>
          <w:tcPr>
            <w:tcW w:w="3080"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502"/>
              <w:jc w:val="right"/>
              <w:rPr>
                <w:rFonts w:ascii="Arial" w:hAnsi="Arial" w:cs="Arial" w:eastAsia="Arial" w:hint="default"/>
                <w:sz w:val="22"/>
                <w:szCs w:val="22"/>
              </w:rPr>
            </w:pPr>
            <w:r>
              <w:rPr>
                <w:rFonts w:ascii="Arial"/>
                <w:b/>
                <w:spacing w:val="-1"/>
                <w:sz w:val="22"/>
              </w:rPr>
              <w:t>12</w:t>
            </w:r>
            <w:r>
              <w:rPr>
                <w:rFonts w:ascii="Arial"/>
                <w:spacing w:val="-1"/>
                <w:sz w:val="22"/>
              </w:rPr>
            </w:r>
          </w:p>
        </w:tc>
      </w:tr>
      <w:tr>
        <w:trPr>
          <w:trHeight w:val="539" w:hRule="exact"/>
        </w:trPr>
        <w:tc>
          <w:tcPr>
            <w:tcW w:w="568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619" w:right="0"/>
              <w:jc w:val="left"/>
              <w:rPr>
                <w:rFonts w:ascii="黑体" w:hAnsi="黑体" w:cs="黑体" w:eastAsia="黑体" w:hint="default"/>
                <w:sz w:val="22"/>
                <w:szCs w:val="22"/>
              </w:rPr>
            </w:pPr>
            <w:r>
              <w:rPr>
                <w:rFonts w:ascii="Arial" w:hAnsi="Arial" w:cs="Arial" w:eastAsia="Arial" w:hint="default"/>
                <w:b/>
                <w:bCs/>
                <w:sz w:val="22"/>
                <w:szCs w:val="22"/>
              </w:rPr>
              <w:t>7.</w:t>
            </w:r>
            <w:r>
              <w:rPr>
                <w:rFonts w:ascii="黑体" w:hAnsi="黑体" w:cs="黑体" w:eastAsia="黑体" w:hint="default"/>
                <w:b/>
                <w:bCs/>
                <w:sz w:val="22"/>
                <w:szCs w:val="22"/>
              </w:rPr>
              <w:t>公司股东权益变动表</w:t>
            </w:r>
            <w:r>
              <w:rPr>
                <w:rFonts w:ascii="黑体" w:hAnsi="黑体" w:cs="黑体" w:eastAsia="黑体" w:hint="default"/>
                <w:sz w:val="22"/>
                <w:szCs w:val="22"/>
              </w:rPr>
            </w:r>
          </w:p>
        </w:tc>
        <w:tc>
          <w:tcPr>
            <w:tcW w:w="3080"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320"/>
              <w:jc w:val="right"/>
              <w:rPr>
                <w:rFonts w:ascii="Arial" w:hAnsi="Arial" w:cs="Arial" w:eastAsia="Arial" w:hint="default"/>
                <w:sz w:val="22"/>
                <w:szCs w:val="22"/>
              </w:rPr>
            </w:pPr>
            <w:r>
              <w:rPr>
                <w:rFonts w:ascii="Arial" w:hAnsi="Arial" w:cs="Arial" w:eastAsia="Arial" w:hint="default"/>
                <w:b/>
                <w:bCs/>
                <w:spacing w:val="-1"/>
                <w:sz w:val="22"/>
                <w:szCs w:val="22"/>
              </w:rPr>
              <w:t>13–14</w:t>
            </w:r>
            <w:r>
              <w:rPr>
                <w:rFonts w:ascii="Arial" w:hAnsi="Arial" w:cs="Arial" w:eastAsia="Arial" w:hint="default"/>
                <w:spacing w:val="-1"/>
                <w:sz w:val="22"/>
                <w:szCs w:val="22"/>
              </w:rPr>
            </w:r>
          </w:p>
        </w:tc>
      </w:tr>
      <w:tr>
        <w:trPr>
          <w:trHeight w:val="538" w:hRule="exact"/>
        </w:trPr>
        <w:tc>
          <w:tcPr>
            <w:tcW w:w="568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619" w:right="0"/>
              <w:jc w:val="left"/>
              <w:rPr>
                <w:rFonts w:ascii="黑体" w:hAnsi="黑体" w:cs="黑体" w:eastAsia="黑体" w:hint="default"/>
                <w:sz w:val="22"/>
                <w:szCs w:val="22"/>
              </w:rPr>
            </w:pPr>
            <w:r>
              <w:rPr>
                <w:rFonts w:ascii="Arial" w:hAnsi="Arial" w:cs="Arial" w:eastAsia="Arial" w:hint="default"/>
                <w:b/>
                <w:bCs/>
                <w:sz w:val="22"/>
                <w:szCs w:val="22"/>
              </w:rPr>
              <w:t>8.</w:t>
            </w:r>
            <w:r>
              <w:rPr>
                <w:rFonts w:ascii="黑体" w:hAnsi="黑体" w:cs="黑体" w:eastAsia="黑体" w:hint="default"/>
                <w:b/>
                <w:bCs/>
                <w:sz w:val="22"/>
                <w:szCs w:val="22"/>
              </w:rPr>
              <w:t>公司现金流量表</w:t>
            </w:r>
            <w:r>
              <w:rPr>
                <w:rFonts w:ascii="黑体" w:hAnsi="黑体" w:cs="黑体" w:eastAsia="黑体" w:hint="default"/>
                <w:sz w:val="22"/>
                <w:szCs w:val="22"/>
              </w:rPr>
            </w:r>
          </w:p>
        </w:tc>
        <w:tc>
          <w:tcPr>
            <w:tcW w:w="3080"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502"/>
              <w:jc w:val="right"/>
              <w:rPr>
                <w:rFonts w:ascii="Arial" w:hAnsi="Arial" w:cs="Arial" w:eastAsia="Arial" w:hint="default"/>
                <w:sz w:val="22"/>
                <w:szCs w:val="22"/>
              </w:rPr>
            </w:pPr>
            <w:r>
              <w:rPr>
                <w:rFonts w:ascii="Arial"/>
                <w:b/>
                <w:spacing w:val="-1"/>
                <w:sz w:val="22"/>
              </w:rPr>
              <w:t>15</w:t>
            </w:r>
            <w:r>
              <w:rPr>
                <w:rFonts w:ascii="Arial"/>
                <w:spacing w:val="-1"/>
                <w:sz w:val="22"/>
              </w:rPr>
            </w:r>
          </w:p>
        </w:tc>
      </w:tr>
      <w:tr>
        <w:trPr>
          <w:trHeight w:val="538" w:hRule="exact"/>
        </w:trPr>
        <w:tc>
          <w:tcPr>
            <w:tcW w:w="568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620" w:right="0"/>
              <w:jc w:val="left"/>
              <w:rPr>
                <w:rFonts w:ascii="黑体" w:hAnsi="黑体" w:cs="黑体" w:eastAsia="黑体" w:hint="default"/>
                <w:sz w:val="22"/>
                <w:szCs w:val="22"/>
              </w:rPr>
            </w:pPr>
            <w:r>
              <w:rPr>
                <w:rFonts w:ascii="Arial" w:hAnsi="Arial" w:cs="Arial" w:eastAsia="Arial" w:hint="default"/>
                <w:b/>
                <w:bCs/>
                <w:sz w:val="22"/>
                <w:szCs w:val="22"/>
              </w:rPr>
              <w:t>9.</w:t>
            </w:r>
            <w:r>
              <w:rPr>
                <w:rFonts w:ascii="黑体" w:hAnsi="黑体" w:cs="黑体" w:eastAsia="黑体" w:hint="default"/>
                <w:b/>
                <w:bCs/>
                <w:sz w:val="22"/>
                <w:szCs w:val="22"/>
              </w:rPr>
              <w:t>财务报表附注</w:t>
            </w:r>
            <w:r>
              <w:rPr>
                <w:rFonts w:ascii="黑体" w:hAnsi="黑体" w:cs="黑体" w:eastAsia="黑体" w:hint="default"/>
                <w:sz w:val="22"/>
                <w:szCs w:val="22"/>
              </w:rPr>
            </w:r>
          </w:p>
        </w:tc>
        <w:tc>
          <w:tcPr>
            <w:tcW w:w="3080"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258"/>
              <w:jc w:val="right"/>
              <w:rPr>
                <w:rFonts w:ascii="Arial" w:hAnsi="Arial" w:cs="Arial" w:eastAsia="Arial" w:hint="default"/>
                <w:sz w:val="22"/>
                <w:szCs w:val="22"/>
              </w:rPr>
            </w:pPr>
            <w:r>
              <w:rPr>
                <w:rFonts w:ascii="Arial" w:hAnsi="Arial" w:cs="Arial" w:eastAsia="Arial" w:hint="default"/>
                <w:b/>
                <w:bCs/>
                <w:spacing w:val="-1"/>
                <w:sz w:val="22"/>
                <w:szCs w:val="22"/>
              </w:rPr>
              <w:t>16–166</w:t>
            </w:r>
            <w:r>
              <w:rPr>
                <w:rFonts w:ascii="Arial" w:hAnsi="Arial" w:cs="Arial" w:eastAsia="Arial" w:hint="default"/>
                <w:sz w:val="22"/>
                <w:szCs w:val="22"/>
              </w:rPr>
            </w:r>
          </w:p>
        </w:tc>
      </w:tr>
      <w:tr>
        <w:trPr>
          <w:trHeight w:val="533" w:hRule="exact"/>
        </w:trPr>
        <w:tc>
          <w:tcPr>
            <w:tcW w:w="568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598" w:right="0"/>
              <w:jc w:val="left"/>
              <w:rPr>
                <w:rFonts w:ascii="黑体" w:hAnsi="黑体" w:cs="黑体" w:eastAsia="黑体" w:hint="default"/>
                <w:sz w:val="22"/>
                <w:szCs w:val="22"/>
              </w:rPr>
            </w:pPr>
            <w:r>
              <w:rPr>
                <w:rFonts w:ascii="黑体" w:hAnsi="黑体" w:cs="黑体" w:eastAsia="黑体" w:hint="default"/>
                <w:b/>
                <w:bCs/>
                <w:sz w:val="22"/>
                <w:szCs w:val="22"/>
              </w:rPr>
              <w:t>财务报表补充资料</w:t>
            </w:r>
            <w:r>
              <w:rPr>
                <w:rFonts w:ascii="黑体" w:hAnsi="黑体" w:cs="黑体" w:eastAsia="黑体" w:hint="default"/>
                <w:sz w:val="22"/>
                <w:szCs w:val="22"/>
              </w:rPr>
            </w:r>
          </w:p>
        </w:tc>
        <w:tc>
          <w:tcPr>
            <w:tcW w:w="3080" w:type="dxa"/>
            <w:tcBorders>
              <w:top w:val="nil" w:sz="6" w:space="0" w:color="auto"/>
              <w:left w:val="nil" w:sz="6" w:space="0" w:color="auto"/>
              <w:bottom w:val="nil" w:sz="6" w:space="0" w:color="auto"/>
              <w:right w:val="nil" w:sz="6" w:space="0" w:color="auto"/>
            </w:tcBorders>
          </w:tcPr>
          <w:p>
            <w:pPr/>
          </w:p>
        </w:tc>
      </w:tr>
      <w:tr>
        <w:trPr>
          <w:trHeight w:val="544" w:hRule="exact"/>
        </w:trPr>
        <w:tc>
          <w:tcPr>
            <w:tcW w:w="568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610" w:right="0"/>
              <w:jc w:val="left"/>
              <w:rPr>
                <w:rFonts w:ascii="黑体" w:hAnsi="黑体" w:cs="黑体" w:eastAsia="黑体" w:hint="default"/>
                <w:sz w:val="22"/>
                <w:szCs w:val="22"/>
              </w:rPr>
            </w:pPr>
            <w:r>
              <w:rPr>
                <w:rFonts w:ascii="Arial" w:hAnsi="Arial" w:cs="Arial" w:eastAsia="Arial" w:hint="default"/>
                <w:b/>
                <w:bCs/>
                <w:sz w:val="22"/>
                <w:szCs w:val="22"/>
              </w:rPr>
              <w:t>1.</w:t>
            </w:r>
            <w:r>
              <w:rPr>
                <w:rFonts w:ascii="黑体" w:hAnsi="黑体" w:cs="黑体" w:eastAsia="黑体" w:hint="default"/>
                <w:b/>
                <w:bCs/>
                <w:sz w:val="22"/>
                <w:szCs w:val="22"/>
              </w:rPr>
              <w:t>非经常性损益明细表</w:t>
            </w:r>
            <w:r>
              <w:rPr>
                <w:rFonts w:ascii="黑体" w:hAnsi="黑体" w:cs="黑体" w:eastAsia="黑体" w:hint="default"/>
                <w:sz w:val="22"/>
                <w:szCs w:val="22"/>
              </w:rPr>
            </w:r>
          </w:p>
        </w:tc>
        <w:tc>
          <w:tcPr>
            <w:tcW w:w="3080"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442"/>
              <w:jc w:val="right"/>
              <w:rPr>
                <w:rFonts w:ascii="Arial" w:hAnsi="Arial" w:cs="Arial" w:eastAsia="Arial" w:hint="default"/>
                <w:sz w:val="22"/>
                <w:szCs w:val="22"/>
              </w:rPr>
            </w:pPr>
            <w:r>
              <w:rPr>
                <w:rFonts w:ascii="Arial"/>
                <w:b/>
                <w:spacing w:val="-1"/>
                <w:sz w:val="22"/>
              </w:rPr>
              <w:t>167</w:t>
            </w:r>
            <w:r>
              <w:rPr>
                <w:rFonts w:ascii="Arial"/>
                <w:sz w:val="22"/>
              </w:rPr>
            </w:r>
          </w:p>
        </w:tc>
      </w:tr>
      <w:tr>
        <w:trPr>
          <w:trHeight w:val="538" w:hRule="exact"/>
        </w:trPr>
        <w:tc>
          <w:tcPr>
            <w:tcW w:w="568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610" w:right="0"/>
              <w:jc w:val="left"/>
              <w:rPr>
                <w:rFonts w:ascii="黑体" w:hAnsi="黑体" w:cs="黑体" w:eastAsia="黑体" w:hint="default"/>
                <w:sz w:val="22"/>
                <w:szCs w:val="22"/>
              </w:rPr>
            </w:pPr>
            <w:r>
              <w:rPr>
                <w:rFonts w:ascii="Arial" w:hAnsi="Arial" w:cs="Arial" w:eastAsia="Arial" w:hint="default"/>
                <w:b/>
                <w:bCs/>
                <w:sz w:val="22"/>
                <w:szCs w:val="22"/>
              </w:rPr>
              <w:t>2.</w:t>
            </w:r>
            <w:r>
              <w:rPr>
                <w:rFonts w:ascii="黑体" w:hAnsi="黑体" w:cs="黑体" w:eastAsia="黑体" w:hint="default"/>
                <w:b/>
                <w:bCs/>
                <w:sz w:val="22"/>
                <w:szCs w:val="22"/>
              </w:rPr>
              <w:t>净资产收益率和每股收益</w:t>
            </w:r>
            <w:r>
              <w:rPr>
                <w:rFonts w:ascii="黑体" w:hAnsi="黑体" w:cs="黑体" w:eastAsia="黑体" w:hint="default"/>
                <w:sz w:val="22"/>
                <w:szCs w:val="22"/>
              </w:rPr>
            </w:r>
          </w:p>
        </w:tc>
        <w:tc>
          <w:tcPr>
            <w:tcW w:w="3080"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442"/>
              <w:jc w:val="right"/>
              <w:rPr>
                <w:rFonts w:ascii="Arial" w:hAnsi="Arial" w:cs="Arial" w:eastAsia="Arial" w:hint="default"/>
                <w:sz w:val="22"/>
                <w:szCs w:val="22"/>
              </w:rPr>
            </w:pPr>
            <w:r>
              <w:rPr>
                <w:rFonts w:ascii="Arial"/>
                <w:b/>
                <w:spacing w:val="-1"/>
                <w:sz w:val="22"/>
              </w:rPr>
              <w:t>167</w:t>
            </w:r>
            <w:r>
              <w:rPr>
                <w:rFonts w:ascii="Arial"/>
                <w:sz w:val="22"/>
              </w:rPr>
            </w:r>
          </w:p>
        </w:tc>
      </w:tr>
      <w:tr>
        <w:trPr>
          <w:trHeight w:val="387" w:hRule="exact"/>
        </w:trPr>
        <w:tc>
          <w:tcPr>
            <w:tcW w:w="5689" w:type="dxa"/>
            <w:tcBorders>
              <w:top w:val="nil" w:sz="6" w:space="0" w:color="auto"/>
              <w:left w:val="nil" w:sz="6" w:space="0" w:color="auto"/>
              <w:bottom w:val="nil" w:sz="6" w:space="0" w:color="auto"/>
              <w:right w:val="nil" w:sz="6" w:space="0" w:color="auto"/>
            </w:tcBorders>
          </w:tcPr>
          <w:p>
            <w:pPr>
              <w:pStyle w:val="TableParagraph"/>
              <w:spacing w:line="240" w:lineRule="auto" w:before="85"/>
              <w:ind w:left="610" w:right="0"/>
              <w:jc w:val="left"/>
              <w:rPr>
                <w:rFonts w:ascii="黑体" w:hAnsi="黑体" w:cs="黑体" w:eastAsia="黑体" w:hint="default"/>
                <w:sz w:val="22"/>
                <w:szCs w:val="22"/>
              </w:rPr>
            </w:pPr>
            <w:r>
              <w:rPr>
                <w:rFonts w:ascii="Arial" w:hAnsi="Arial" w:cs="Arial" w:eastAsia="Arial" w:hint="default"/>
                <w:b/>
                <w:bCs/>
                <w:sz w:val="22"/>
                <w:szCs w:val="22"/>
              </w:rPr>
              <w:t>3.</w:t>
            </w:r>
            <w:r>
              <w:rPr>
                <w:rFonts w:ascii="黑体" w:hAnsi="黑体" w:cs="黑体" w:eastAsia="黑体" w:hint="default"/>
                <w:b/>
                <w:bCs/>
                <w:sz w:val="22"/>
                <w:szCs w:val="22"/>
              </w:rPr>
              <w:t>财务报表项目数据的变动分析</w:t>
            </w:r>
            <w:r>
              <w:rPr>
                <w:rFonts w:ascii="黑体" w:hAnsi="黑体" w:cs="黑体" w:eastAsia="黑体" w:hint="default"/>
                <w:sz w:val="22"/>
                <w:szCs w:val="22"/>
              </w:rPr>
            </w:r>
          </w:p>
        </w:tc>
        <w:tc>
          <w:tcPr>
            <w:tcW w:w="3080"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98"/>
              <w:jc w:val="right"/>
              <w:rPr>
                <w:rFonts w:ascii="Arial" w:hAnsi="Arial" w:cs="Arial" w:eastAsia="Arial" w:hint="default"/>
                <w:sz w:val="22"/>
                <w:szCs w:val="22"/>
              </w:rPr>
            </w:pPr>
            <w:r>
              <w:rPr>
                <w:rFonts w:ascii="Arial" w:hAnsi="Arial" w:cs="Arial" w:eastAsia="Arial" w:hint="default"/>
                <w:b/>
                <w:bCs/>
                <w:spacing w:val="-1"/>
                <w:sz w:val="22"/>
                <w:szCs w:val="22"/>
              </w:rPr>
              <w:t>168–170</w:t>
            </w:r>
            <w:r>
              <w:rPr>
                <w:rFonts w:ascii="Arial" w:hAnsi="Arial" w:cs="Arial" w:eastAsia="Arial" w:hint="default"/>
                <w:sz w:val="22"/>
                <w:szCs w:val="22"/>
              </w:rPr>
            </w:r>
          </w:p>
        </w:tc>
      </w:tr>
    </w:tbl>
    <w:p>
      <w:pPr>
        <w:spacing w:after="0" w:line="240" w:lineRule="auto"/>
        <w:jc w:val="right"/>
        <w:rPr>
          <w:rFonts w:ascii="Arial" w:hAnsi="Arial" w:cs="Arial" w:eastAsia="Arial" w:hint="default"/>
          <w:sz w:val="22"/>
          <w:szCs w:val="22"/>
        </w:rPr>
        <w:sectPr>
          <w:headerReference w:type="default" r:id="rId36"/>
          <w:footerReference w:type="default" r:id="rId37"/>
          <w:pgSz w:w="11910" w:h="16850"/>
          <w:pgMar w:header="0" w:footer="0" w:top="1600" w:bottom="280" w:left="1340" w:right="158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5"/>
        <w:rPr>
          <w:rFonts w:ascii="黑体" w:hAnsi="黑体" w:cs="黑体" w:eastAsia="黑体" w:hint="default"/>
          <w:b/>
          <w:bCs/>
          <w:sz w:val="20"/>
          <w:szCs w:val="20"/>
        </w:rPr>
      </w:pPr>
    </w:p>
    <w:p>
      <w:pPr>
        <w:pStyle w:val="BodyText"/>
        <w:spacing w:line="240" w:lineRule="auto" w:before="37"/>
        <w:ind w:left="3577" w:right="3677"/>
        <w:jc w:val="center"/>
      </w:pPr>
      <w:r>
        <w:rPr/>
        <w:t>审计报告</w:t>
      </w:r>
    </w:p>
    <w:p>
      <w:pPr>
        <w:spacing w:line="240" w:lineRule="auto" w:before="7"/>
        <w:rPr>
          <w:rFonts w:ascii="黑体" w:hAnsi="黑体" w:cs="黑体" w:eastAsia="黑体" w:hint="default"/>
          <w:sz w:val="14"/>
          <w:szCs w:val="14"/>
        </w:rPr>
      </w:pPr>
    </w:p>
    <w:p>
      <w:pPr>
        <w:pStyle w:val="BodyText"/>
        <w:spacing w:line="240" w:lineRule="auto" w:before="37"/>
        <w:ind w:left="5071" w:right="85"/>
        <w:jc w:val="left"/>
      </w:pPr>
      <w:r>
        <w:rPr/>
        <w:t>安永华明</w:t>
      </w:r>
      <w:r>
        <w:rPr>
          <w:rFonts w:ascii="Arial" w:hAnsi="Arial" w:cs="Arial" w:eastAsia="Arial" w:hint="default"/>
        </w:rPr>
        <w:t>(2013)</w:t>
      </w:r>
      <w:r>
        <w:rPr/>
        <w:t>审字第</w:t>
      </w:r>
      <w:r>
        <w:rPr>
          <w:rFonts w:ascii="Arial" w:hAnsi="Arial" w:cs="Arial" w:eastAsia="Arial" w:hint="default"/>
        </w:rPr>
        <w:t>60469423_A01</w:t>
      </w:r>
      <w:r>
        <w:rPr/>
        <w:t>号</w:t>
      </w:r>
    </w:p>
    <w:p>
      <w:pPr>
        <w:spacing w:line="240" w:lineRule="auto" w:before="6"/>
        <w:rPr>
          <w:rFonts w:ascii="黑体" w:hAnsi="黑体" w:cs="黑体" w:eastAsia="黑体" w:hint="default"/>
          <w:sz w:val="13"/>
          <w:szCs w:val="13"/>
        </w:rPr>
      </w:pPr>
    </w:p>
    <w:p>
      <w:pPr>
        <w:pStyle w:val="BodyText"/>
        <w:spacing w:line="240" w:lineRule="auto" w:before="37"/>
        <w:ind w:left="101" w:right="85"/>
        <w:jc w:val="left"/>
      </w:pPr>
      <w:r>
        <w:rPr/>
        <w:t>用友软件股份有限公司全体股东：</w:t>
      </w: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20"/>
          <w:szCs w:val="20"/>
        </w:rPr>
      </w:pPr>
    </w:p>
    <w:p>
      <w:pPr>
        <w:pStyle w:val="BodyText"/>
        <w:spacing w:line="312" w:lineRule="auto"/>
        <w:ind w:left="101" w:right="85" w:firstLine="424"/>
        <w:jc w:val="left"/>
      </w:pPr>
      <w:r>
        <w:rPr>
          <w:w w:val="95"/>
        </w:rPr>
        <w:t>我们审计了后附的用友软件股份有限公司的财务报表，包括</w:t>
      </w:r>
      <w:r>
        <w:rPr>
          <w:rFonts w:ascii="Arial" w:hAnsi="Arial" w:cs="Arial" w:eastAsia="Arial" w:hint="default"/>
          <w:w w:val="95"/>
        </w:rPr>
        <w:t>2012</w:t>
      </w:r>
      <w:r>
        <w:rPr>
          <w:w w:val="95"/>
        </w:rPr>
        <w:t>年</w:t>
      </w:r>
      <w:r>
        <w:rPr>
          <w:rFonts w:ascii="Arial" w:hAnsi="Arial" w:cs="Arial" w:eastAsia="Arial" w:hint="default"/>
          <w:w w:val="95"/>
        </w:rPr>
        <w:t>12</w:t>
      </w:r>
      <w:r>
        <w:rPr>
          <w:w w:val="95"/>
        </w:rPr>
        <w:t>月</w:t>
      </w:r>
      <w:r>
        <w:rPr>
          <w:rFonts w:ascii="Arial" w:hAnsi="Arial" w:cs="Arial" w:eastAsia="Arial" w:hint="default"/>
          <w:w w:val="95"/>
        </w:rPr>
        <w:t>31</w:t>
      </w:r>
      <w:r>
        <w:rPr>
          <w:w w:val="95"/>
        </w:rPr>
        <w:t>日的合并及公司的</w:t>
      </w:r>
      <w:r>
        <w:rPr>
          <w:w w:val="99"/>
        </w:rPr>
        <w:t> </w:t>
      </w:r>
      <w:r>
        <w:rPr/>
        <w:t>资产负债表，</w:t>
      </w:r>
      <w:r>
        <w:rPr>
          <w:rFonts w:ascii="Arial" w:hAnsi="Arial" w:cs="Arial" w:eastAsia="Arial" w:hint="default"/>
        </w:rPr>
        <w:t>2012</w:t>
      </w:r>
      <w:r>
        <w:rPr/>
        <w:t>年度合并及公司的利润表、股东权益变动表和现金流量表以及财务报表附注。</w:t>
      </w:r>
    </w:p>
    <w:p>
      <w:pPr>
        <w:spacing w:line="240" w:lineRule="auto" w:before="12"/>
        <w:rPr>
          <w:rFonts w:ascii="黑体" w:hAnsi="黑体" w:cs="黑体" w:eastAsia="黑体" w:hint="default"/>
          <w:sz w:val="16"/>
          <w:szCs w:val="16"/>
        </w:rPr>
      </w:pPr>
    </w:p>
    <w:p>
      <w:pPr>
        <w:pStyle w:val="BodyText"/>
        <w:spacing w:line="240" w:lineRule="auto"/>
        <w:ind w:left="581" w:right="85"/>
        <w:jc w:val="left"/>
      </w:pPr>
      <w:r>
        <w:rPr/>
        <w:t>一、管理层对财务报表的责任</w:t>
      </w: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14"/>
          <w:szCs w:val="14"/>
        </w:rPr>
      </w:pPr>
    </w:p>
    <w:p>
      <w:pPr>
        <w:pStyle w:val="BodyText"/>
        <w:spacing w:line="312" w:lineRule="auto"/>
        <w:ind w:left="101" w:right="197" w:firstLine="480"/>
        <w:jc w:val="both"/>
      </w:pPr>
      <w:r>
        <w:rPr>
          <w:w w:val="95"/>
        </w:rPr>
        <w:t>编制和公允列报财务报表是用友软件股份有限公司管理层的责任。这种责任包括：</w:t>
      </w:r>
      <w:r>
        <w:rPr>
          <w:rFonts w:ascii="Arial" w:hAnsi="Arial" w:cs="Arial" w:eastAsia="Arial" w:hint="default"/>
          <w:w w:val="95"/>
        </w:rPr>
        <w:t>(1)</w:t>
      </w:r>
      <w:r>
        <w:rPr>
          <w:w w:val="95"/>
        </w:rPr>
        <w:t>按照企</w:t>
      </w:r>
      <w:r>
        <w:rPr>
          <w:w w:val="99"/>
        </w:rPr>
        <w:t> </w:t>
      </w:r>
      <w:r>
        <w:rPr/>
        <w:t>业会计准则的规定编制财务报表，并使其实现公允反映；</w:t>
      </w:r>
      <w:r>
        <w:rPr>
          <w:rFonts w:ascii="Arial" w:hAnsi="Arial" w:cs="Arial" w:eastAsia="Arial" w:hint="default"/>
        </w:rPr>
        <w:t>(2)</w:t>
      </w:r>
      <w:r>
        <w:rPr/>
        <w:t>设计、执行和维护必要的内部控制，</w:t>
      </w:r>
      <w:r>
        <w:rPr>
          <w:spacing w:val="-57"/>
        </w:rPr>
        <w:t> </w:t>
      </w:r>
      <w:r>
        <w:rPr>
          <w:spacing w:val="-57"/>
        </w:rPr>
      </w:r>
      <w:r>
        <w:rPr/>
        <w:t>以使财务报表不存在由于舞弊或错误而导致的重大错报。</w:t>
      </w:r>
    </w:p>
    <w:p>
      <w:pPr>
        <w:pStyle w:val="BodyText"/>
        <w:spacing w:line="720" w:lineRule="exact" w:before="55"/>
        <w:ind w:left="581" w:right="85"/>
        <w:jc w:val="left"/>
      </w:pPr>
      <w:r>
        <w:rPr/>
        <w:t>二、注册会计师的责任</w:t>
      </w:r>
      <w:r>
        <w:rPr>
          <w:w w:val="99"/>
        </w:rPr>
        <w:t> </w:t>
      </w:r>
      <w:r>
        <w:rPr/>
        <w:t>我们的责任是在执行审计工作的基础上对财务报表发表审计意见。我们按照中国注册会计师</w:t>
      </w:r>
    </w:p>
    <w:p>
      <w:pPr>
        <w:pStyle w:val="BodyText"/>
        <w:spacing w:line="244" w:lineRule="exact"/>
        <w:ind w:left="101" w:right="85"/>
        <w:jc w:val="left"/>
      </w:pPr>
      <w:r>
        <w:rPr>
          <w:w w:val="99"/>
        </w:rPr>
        <w:t>审计准</w:t>
      </w:r>
      <w:r>
        <w:rPr>
          <w:spacing w:val="2"/>
          <w:w w:val="99"/>
        </w:rPr>
        <w:t>则</w:t>
      </w:r>
      <w:r>
        <w:rPr>
          <w:w w:val="99"/>
        </w:rPr>
        <w:t>的规</w:t>
      </w:r>
      <w:r>
        <w:rPr>
          <w:spacing w:val="2"/>
          <w:w w:val="99"/>
        </w:rPr>
        <w:t>定</w:t>
      </w:r>
      <w:r>
        <w:rPr>
          <w:w w:val="99"/>
        </w:rPr>
        <w:t>执行</w:t>
      </w:r>
      <w:r>
        <w:rPr>
          <w:spacing w:val="2"/>
          <w:w w:val="99"/>
        </w:rPr>
        <w:t>了</w:t>
      </w:r>
      <w:r>
        <w:rPr>
          <w:w w:val="99"/>
        </w:rPr>
        <w:t>审</w:t>
      </w:r>
      <w:r>
        <w:rPr>
          <w:spacing w:val="2"/>
          <w:w w:val="99"/>
        </w:rPr>
        <w:t>计</w:t>
      </w:r>
      <w:r>
        <w:rPr>
          <w:w w:val="99"/>
        </w:rPr>
        <w:t>工作</w:t>
      </w:r>
      <w:r>
        <w:rPr>
          <w:spacing w:val="-94"/>
          <w:w w:val="99"/>
        </w:rPr>
        <w:t>。</w:t>
      </w:r>
      <w:r>
        <w:rPr>
          <w:w w:val="99"/>
        </w:rPr>
        <w:t>中国</w:t>
      </w:r>
      <w:r>
        <w:rPr>
          <w:spacing w:val="2"/>
          <w:w w:val="99"/>
        </w:rPr>
        <w:t>注</w:t>
      </w:r>
      <w:r>
        <w:rPr>
          <w:w w:val="99"/>
        </w:rPr>
        <w:t>册会</w:t>
      </w:r>
      <w:r>
        <w:rPr>
          <w:spacing w:val="2"/>
          <w:w w:val="99"/>
        </w:rPr>
        <w:t>计</w:t>
      </w:r>
      <w:r>
        <w:rPr>
          <w:w w:val="99"/>
        </w:rPr>
        <w:t>师审</w:t>
      </w:r>
      <w:r>
        <w:rPr>
          <w:spacing w:val="2"/>
          <w:w w:val="99"/>
        </w:rPr>
        <w:t>计</w:t>
      </w:r>
      <w:r>
        <w:rPr>
          <w:w w:val="99"/>
        </w:rPr>
        <w:t>准则要</w:t>
      </w:r>
      <w:r>
        <w:rPr>
          <w:spacing w:val="2"/>
          <w:w w:val="99"/>
        </w:rPr>
        <w:t>求</w:t>
      </w:r>
      <w:r>
        <w:rPr>
          <w:w w:val="99"/>
        </w:rPr>
        <w:t>我们</w:t>
      </w:r>
      <w:r>
        <w:rPr>
          <w:spacing w:val="2"/>
          <w:w w:val="99"/>
        </w:rPr>
        <w:t>遵</w:t>
      </w:r>
      <w:r>
        <w:rPr>
          <w:w w:val="99"/>
        </w:rPr>
        <w:t>守中</w:t>
      </w:r>
      <w:r>
        <w:rPr>
          <w:spacing w:val="2"/>
          <w:w w:val="99"/>
        </w:rPr>
        <w:t>国</w:t>
      </w:r>
      <w:r>
        <w:rPr>
          <w:w w:val="99"/>
        </w:rPr>
        <w:t>注</w:t>
      </w:r>
      <w:r>
        <w:rPr>
          <w:spacing w:val="2"/>
          <w:w w:val="99"/>
        </w:rPr>
        <w:t>册</w:t>
      </w:r>
      <w:r>
        <w:rPr>
          <w:w w:val="99"/>
        </w:rPr>
        <w:t>会计师</w:t>
      </w:r>
      <w:r>
        <w:rPr>
          <w:spacing w:val="2"/>
          <w:w w:val="99"/>
        </w:rPr>
        <w:t>职</w:t>
      </w:r>
      <w:r>
        <w:rPr>
          <w:w w:val="99"/>
        </w:rPr>
        <w:t>业道德</w:t>
      </w:r>
      <w:r>
        <w:rPr/>
      </w:r>
    </w:p>
    <w:p>
      <w:pPr>
        <w:pStyle w:val="BodyText"/>
        <w:spacing w:line="240" w:lineRule="auto" w:before="98"/>
        <w:ind w:left="101" w:right="85"/>
        <w:jc w:val="left"/>
      </w:pPr>
      <w:r>
        <w:rPr/>
        <w:t>守则，计划和执行审计工作以对财务报表是否不存在重大错报获取合理保证。</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5"/>
          <w:szCs w:val="15"/>
        </w:rPr>
      </w:pPr>
    </w:p>
    <w:p>
      <w:pPr>
        <w:pStyle w:val="BodyText"/>
        <w:spacing w:line="331" w:lineRule="auto"/>
        <w:ind w:left="101" w:right="85" w:firstLine="480"/>
        <w:jc w:val="left"/>
      </w:pPr>
      <w:r>
        <w:rPr/>
        <w:t>审计工作涉及实施审计程序，以获取有关财务报表金额和披露的审计证据。选择的审计程序</w:t>
      </w:r>
      <w:r>
        <w:rPr>
          <w:w w:val="99"/>
        </w:rPr>
        <w:t> </w:t>
      </w:r>
      <w:r>
        <w:rPr>
          <w:w w:val="95"/>
        </w:rPr>
        <w:t>取决于注册会计师的判断，包括对由于舞弊或错误导致的财务报表重大错报风险的评估。在进行风</w:t>
      </w:r>
      <w:r>
        <w:rPr>
          <w:spacing w:val="42"/>
          <w:w w:val="95"/>
        </w:rPr>
        <w:t> </w:t>
      </w:r>
      <w:r>
        <w:rPr>
          <w:spacing w:val="42"/>
          <w:w w:val="95"/>
        </w:rPr>
      </w:r>
      <w:r>
        <w:rPr/>
        <w:t>险评估时，注册会计师考虑与财务报表编制和公允列报相关的内部控制，以设计恰当的审计程序，</w:t>
      </w:r>
      <w:r>
        <w:rPr>
          <w:w w:val="99"/>
        </w:rPr>
        <w:t> </w:t>
      </w:r>
      <w:r>
        <w:rPr>
          <w:spacing w:val="-2"/>
          <w:w w:val="99"/>
        </w:rPr>
        <w:t>但目的并非对内部控制的有效性发表意见。审计工作还包括评价管理层选用会计政策的恰当性和作</w:t>
      </w:r>
      <w:r>
        <w:rPr>
          <w:spacing w:val="-84"/>
          <w:w w:val="99"/>
        </w:rPr>
        <w:t> </w:t>
      </w:r>
      <w:r>
        <w:rPr>
          <w:spacing w:val="-84"/>
          <w:w w:val="99"/>
        </w:rPr>
      </w:r>
      <w:r>
        <w:rPr/>
        <w:t>出会计估计的合理性，以及评价财务报表的总体列报。</w:t>
      </w:r>
    </w:p>
    <w:p>
      <w:pPr>
        <w:spacing w:line="240" w:lineRule="auto" w:before="3"/>
        <w:rPr>
          <w:rFonts w:ascii="黑体" w:hAnsi="黑体" w:cs="黑体" w:eastAsia="黑体" w:hint="default"/>
          <w:sz w:val="29"/>
          <w:szCs w:val="29"/>
        </w:rPr>
      </w:pPr>
    </w:p>
    <w:p>
      <w:pPr>
        <w:pStyle w:val="BodyText"/>
        <w:spacing w:line="240" w:lineRule="auto"/>
        <w:ind w:left="581" w:right="85"/>
        <w:jc w:val="left"/>
      </w:pPr>
      <w:r>
        <w:rPr/>
        <w:t>我们相信，我们获取的审计证据是充分、适当的，为发表审计意见提供了基础。</w:t>
      </w:r>
    </w:p>
    <w:p>
      <w:pPr>
        <w:spacing w:after="0" w:line="240" w:lineRule="auto"/>
        <w:jc w:val="left"/>
        <w:sectPr>
          <w:headerReference w:type="default" r:id="rId38"/>
          <w:footerReference w:type="default" r:id="rId39"/>
          <w:pgSz w:w="11910" w:h="16850"/>
          <w:pgMar w:header="0" w:footer="823" w:top="1600" w:bottom="1020" w:left="1600" w:right="1500"/>
          <w:pgNumType w:start="1"/>
        </w:sect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7"/>
          <w:szCs w:val="17"/>
        </w:rPr>
      </w:pPr>
    </w:p>
    <w:p>
      <w:pPr>
        <w:pStyle w:val="BodyText"/>
        <w:spacing w:line="240" w:lineRule="auto" w:before="37"/>
        <w:ind w:left="3766" w:right="3766"/>
        <w:jc w:val="center"/>
        <w:rPr>
          <w:rFonts w:ascii="Arial" w:hAnsi="Arial" w:cs="Arial" w:eastAsia="Arial" w:hint="default"/>
        </w:rPr>
      </w:pPr>
      <w:r>
        <w:rPr/>
        <w:t>审计报告</w:t>
      </w:r>
      <w:r>
        <w:rPr>
          <w:rFonts w:ascii="Arial" w:hAnsi="Arial" w:cs="Arial" w:eastAsia="Arial" w:hint="default"/>
        </w:rPr>
        <w:t>(</w:t>
      </w:r>
      <w:r>
        <w:rPr/>
        <w:t>续</w:t>
      </w:r>
      <w:r>
        <w:rPr>
          <w:rFonts w:ascii="Arial" w:hAnsi="Arial" w:cs="Arial" w:eastAsia="Arial" w:hint="default"/>
        </w:rPr>
        <w:t>)</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3"/>
        <w:rPr>
          <w:rFonts w:ascii="Arial" w:hAnsi="Arial" w:cs="Arial" w:eastAsia="Arial" w:hint="default"/>
          <w:sz w:val="26"/>
          <w:szCs w:val="26"/>
        </w:rPr>
      </w:pPr>
    </w:p>
    <w:p>
      <w:pPr>
        <w:pStyle w:val="BodyText"/>
        <w:spacing w:line="240" w:lineRule="auto" w:before="37"/>
        <w:ind w:left="5071" w:right="0"/>
        <w:jc w:val="left"/>
      </w:pPr>
      <w:r>
        <w:rPr/>
        <w:t>安永华明</w:t>
      </w:r>
      <w:r>
        <w:rPr>
          <w:rFonts w:ascii="Arial" w:hAnsi="Arial" w:cs="Arial" w:eastAsia="Arial" w:hint="default"/>
        </w:rPr>
        <w:t>(2013)</w:t>
      </w:r>
      <w:r>
        <w:rPr/>
        <w:t>审字第</w:t>
      </w:r>
      <w:r>
        <w:rPr>
          <w:rFonts w:ascii="Arial" w:hAnsi="Arial" w:cs="Arial" w:eastAsia="Arial" w:hint="default"/>
        </w:rPr>
        <w:t>60469423_A01</w:t>
      </w:r>
      <w:r>
        <w:rPr/>
        <w:t>号</w:t>
      </w:r>
    </w:p>
    <w:p>
      <w:pPr>
        <w:spacing w:line="240" w:lineRule="auto" w:before="0"/>
        <w:rPr>
          <w:rFonts w:ascii="黑体" w:hAnsi="黑体" w:cs="黑体" w:eastAsia="黑体" w:hint="default"/>
          <w:sz w:val="20"/>
          <w:szCs w:val="20"/>
        </w:rPr>
      </w:pPr>
    </w:p>
    <w:p>
      <w:pPr>
        <w:spacing w:line="240" w:lineRule="auto" w:before="12"/>
        <w:rPr>
          <w:rFonts w:ascii="黑体" w:hAnsi="黑体" w:cs="黑体" w:eastAsia="黑体" w:hint="default"/>
          <w:sz w:val="13"/>
          <w:szCs w:val="13"/>
        </w:rPr>
      </w:pPr>
    </w:p>
    <w:p>
      <w:pPr>
        <w:pStyle w:val="BodyText"/>
        <w:spacing w:line="240" w:lineRule="auto"/>
        <w:ind w:left="581" w:right="0"/>
        <w:jc w:val="left"/>
      </w:pPr>
      <w:r>
        <w:rPr/>
        <w:t>三、审计意见</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15"/>
          <w:szCs w:val="15"/>
        </w:rPr>
      </w:pPr>
    </w:p>
    <w:p>
      <w:pPr>
        <w:pStyle w:val="BodyText"/>
        <w:spacing w:line="321" w:lineRule="auto"/>
        <w:ind w:left="101" w:right="99" w:firstLine="480"/>
        <w:jc w:val="both"/>
      </w:pPr>
      <w:r>
        <w:rPr/>
        <w:t>我们认为，上述财务报表在所有重大方面按照企业会计准则的规定编制，公允反映了用友软</w:t>
      </w:r>
      <w:r>
        <w:rPr>
          <w:w w:val="99"/>
        </w:rPr>
        <w:t> </w:t>
      </w:r>
      <w:r>
        <w:rPr>
          <w:spacing w:val="3"/>
        </w:rPr>
        <w:t>件股份有限公司</w:t>
      </w:r>
      <w:r>
        <w:rPr>
          <w:rFonts w:ascii="Arial" w:hAnsi="Arial" w:cs="Arial" w:eastAsia="Arial" w:hint="default"/>
          <w:spacing w:val="3"/>
        </w:rPr>
        <w:t>2012</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r>
        <w:rPr>
          <w:spacing w:val="3"/>
        </w:rPr>
        <w:t>日的合并及公司的财务状况以及</w:t>
      </w:r>
      <w:r>
        <w:rPr>
          <w:rFonts w:ascii="Arial" w:hAnsi="Arial" w:cs="Arial" w:eastAsia="Arial" w:hint="default"/>
          <w:spacing w:val="3"/>
        </w:rPr>
        <w:t>2012</w:t>
      </w:r>
      <w:r>
        <w:rPr>
          <w:spacing w:val="3"/>
        </w:rPr>
        <w:t>年度的合并及公司的经营成</w:t>
      </w:r>
      <w:r>
        <w:rPr>
          <w:w w:val="99"/>
        </w:rPr>
        <w:t> </w:t>
      </w:r>
      <w:r>
        <w:rPr/>
        <w:t>果和现金流量。</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26"/>
          <w:szCs w:val="26"/>
        </w:rPr>
      </w:pPr>
    </w:p>
    <w:p>
      <w:pPr>
        <w:pStyle w:val="BodyText"/>
        <w:tabs>
          <w:tab w:pos="5203" w:val="left" w:leader="none"/>
          <w:tab w:pos="7471" w:val="left" w:leader="none"/>
        </w:tabs>
        <w:spacing w:line="240" w:lineRule="auto"/>
        <w:ind w:left="835" w:right="0" w:hanging="735"/>
        <w:jc w:val="left"/>
      </w:pPr>
      <w:r>
        <w:rPr>
          <w:w w:val="95"/>
        </w:rPr>
        <w:t>安永华明会计师事务所（特殊普通合伙）</w:t>
        <w:tab/>
        <w:t>中国注册会计师</w:t>
        <w:tab/>
      </w:r>
      <w:r>
        <w:rPr/>
        <w:t>陈静</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6"/>
          <w:szCs w:val="16"/>
        </w:rPr>
      </w:pPr>
    </w:p>
    <w:p>
      <w:pPr>
        <w:pStyle w:val="BodyText"/>
        <w:tabs>
          <w:tab w:pos="5203" w:val="left" w:leader="none"/>
          <w:tab w:pos="7471" w:val="left" w:leader="none"/>
        </w:tabs>
        <w:spacing w:line="240" w:lineRule="auto"/>
        <w:ind w:left="835" w:right="0"/>
        <w:jc w:val="left"/>
      </w:pPr>
      <w:r>
        <w:rPr>
          <w:w w:val="95"/>
        </w:rPr>
        <w:t>中国北京</w:t>
        <w:tab/>
        <w:t>中国注册会计师</w:t>
        <w:tab/>
      </w:r>
      <w:r>
        <w:rPr/>
        <w:t>张瑞</w:t>
      </w:r>
    </w:p>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26"/>
          <w:szCs w:val="26"/>
        </w:rPr>
      </w:pPr>
    </w:p>
    <w:p>
      <w:pPr>
        <w:pStyle w:val="BodyText"/>
        <w:spacing w:line="240" w:lineRule="auto"/>
        <w:ind w:left="0" w:right="666"/>
        <w:jc w:val="right"/>
      </w:pPr>
      <w:r>
        <w:rPr>
          <w:w w:val="95"/>
        </w:rPr>
        <w:t>二零一三年三月十八日</w:t>
      </w:r>
      <w:r>
        <w:rPr/>
      </w:r>
    </w:p>
    <w:p>
      <w:pPr>
        <w:spacing w:after="0" w:line="240" w:lineRule="auto"/>
        <w:jc w:val="right"/>
        <w:sectPr>
          <w:headerReference w:type="default" r:id="rId40"/>
          <w:footerReference w:type="default" r:id="rId41"/>
          <w:pgSz w:w="11910" w:h="16850"/>
          <w:pgMar w:header="0" w:footer="823" w:top="1600" w:bottom="1020" w:left="1600" w:right="1600"/>
          <w:pgNumType w:start="2"/>
        </w:sectPr>
      </w:pPr>
    </w:p>
    <w:p>
      <w:pPr>
        <w:pStyle w:val="Heading4"/>
        <w:spacing w:line="240" w:lineRule="auto"/>
        <w:ind w:left="3559" w:right="3574"/>
        <w:jc w:val="center"/>
        <w:rPr>
          <w:b w:val="0"/>
          <w:bCs w:val="0"/>
        </w:rPr>
      </w:pPr>
      <w:r>
        <w:rPr/>
        <w:t>合并资产负债表</w:t>
      </w:r>
      <w:r>
        <w:rPr>
          <w:b w:val="0"/>
          <w:bCs w:val="0"/>
        </w:rPr>
      </w:r>
    </w:p>
    <w:p>
      <w:pPr>
        <w:pStyle w:val="Heading4"/>
        <w:spacing w:line="240" w:lineRule="auto"/>
        <w:ind w:left="3559" w:right="3577"/>
        <w:jc w:val="center"/>
        <w:rPr>
          <w:b w:val="0"/>
          <w:bCs w:val="0"/>
        </w:rPr>
      </w:pPr>
      <w:r>
        <w:rPr>
          <w:rFonts w:ascii="Arial" w:hAnsi="Arial" w:cs="Arial" w:eastAsia="Arial" w:hint="default"/>
        </w:rPr>
        <w:t>2012</w:t>
      </w:r>
      <w:r>
        <w:rPr>
          <w:rFonts w:ascii="Arial" w:hAnsi="Arial" w:cs="Arial" w:eastAsia="Arial" w:hint="default"/>
          <w:spacing w:val="-8"/>
        </w:rPr>
        <w:t> </w:t>
      </w:r>
      <w:r>
        <w:rPr/>
        <w:t>年</w:t>
      </w:r>
      <w:r>
        <w:rPr>
          <w:spacing w:val="-55"/>
        </w:rPr>
        <w:t> </w:t>
      </w:r>
      <w:r>
        <w:rPr>
          <w:rFonts w:ascii="Arial" w:hAnsi="Arial" w:cs="Arial" w:eastAsia="Arial" w:hint="default"/>
        </w:rPr>
        <w:t>12</w:t>
      </w:r>
      <w:r>
        <w:rPr>
          <w:rFonts w:ascii="Arial" w:hAnsi="Arial" w:cs="Arial" w:eastAsia="Arial" w:hint="default"/>
          <w:spacing w:val="-10"/>
        </w:rPr>
        <w:t> </w:t>
      </w:r>
      <w:r>
        <w:rPr/>
        <w:t>月</w:t>
      </w:r>
      <w:r>
        <w:rPr>
          <w:spacing w:val="-55"/>
        </w:rPr>
        <w:t> </w:t>
      </w:r>
      <w:r>
        <w:rPr>
          <w:rFonts w:ascii="Arial" w:hAnsi="Arial" w:cs="Arial" w:eastAsia="Arial" w:hint="default"/>
        </w:rPr>
        <w:t>31</w:t>
      </w:r>
      <w:r>
        <w:rPr>
          <w:rFonts w:ascii="Arial" w:hAnsi="Arial" w:cs="Arial" w:eastAsia="Arial" w:hint="default"/>
          <w:spacing w:val="-10"/>
        </w:rPr>
        <w:t> </w:t>
      </w:r>
      <w:r>
        <w:rPr/>
        <w:t>日</w:t>
      </w:r>
      <w:r>
        <w:rPr>
          <w:b w:val="0"/>
          <w:bCs w:val="0"/>
        </w:rPr>
      </w:r>
    </w:p>
    <w:p>
      <w:pPr>
        <w:pStyle w:val="Heading4"/>
        <w:spacing w:line="240" w:lineRule="auto" w:before="56"/>
        <w:ind w:left="3559" w:right="3574"/>
        <w:jc w:val="center"/>
        <w:rPr>
          <w:b w:val="0"/>
          <w:bCs w:val="0"/>
        </w:rPr>
      </w:pPr>
      <w:r>
        <w:rPr/>
        <w:t>人民币元</w:t>
      </w:r>
      <w:r>
        <w:rPr>
          <w:b w:val="0"/>
          <w:bCs w:val="0"/>
        </w:rPr>
      </w:r>
    </w:p>
    <w:p>
      <w:pPr>
        <w:spacing w:line="240" w:lineRule="auto" w:before="5"/>
        <w:rPr>
          <w:rFonts w:ascii="黑体" w:hAnsi="黑体" w:cs="黑体" w:eastAsia="黑体" w:hint="default"/>
          <w:b/>
          <w:bCs/>
          <w:sz w:val="20"/>
          <w:szCs w:val="20"/>
        </w:rPr>
      </w:pPr>
    </w:p>
    <w:p>
      <w:pPr>
        <w:spacing w:line="20" w:lineRule="exact"/>
        <w:ind w:left="273" w:right="0" w:firstLine="0"/>
        <w:rPr>
          <w:rFonts w:ascii="黑体" w:hAnsi="黑体" w:cs="黑体" w:eastAsia="黑体" w:hint="default"/>
          <w:sz w:val="2"/>
          <w:szCs w:val="2"/>
        </w:rPr>
      </w:pPr>
      <w:r>
        <w:rPr>
          <w:rFonts w:ascii="黑体" w:hAnsi="黑体" w:cs="黑体" w:eastAsia="黑体" w:hint="default"/>
          <w:sz w:val="2"/>
          <w:szCs w:val="2"/>
        </w:rPr>
        <w:pict>
          <v:group style="width:423.75pt;height:.75pt;mso-position-horizontal-relative:char;mso-position-vertical-relative:line" coordorigin="0,0" coordsize="8475,15">
            <v:group style="position:absolute;left:8;top:8;width:8460;height:2" coordorigin="8,8" coordsize="8460,2">
              <v:shape style="position:absolute;left:8;top:8;width:8460;height:2" coordorigin="8,8" coordsize="8460,0" path="m8,8l8468,8e" filled="false" stroked="true" strokeweight=".75pt" strokecolor="#000000">
                <v:path arrowok="t"/>
              </v:shape>
            </v:group>
          </v:group>
        </w:pict>
      </w:r>
      <w:r>
        <w:rPr>
          <w:rFonts w:ascii="黑体" w:hAnsi="黑体" w:cs="黑体" w:eastAsia="黑体" w:hint="default"/>
          <w:sz w:val="2"/>
          <w:szCs w:val="2"/>
        </w:rPr>
      </w:r>
    </w:p>
    <w:p>
      <w:pPr>
        <w:spacing w:line="240" w:lineRule="auto" w:before="0"/>
        <w:rPr>
          <w:rFonts w:ascii="黑体" w:hAnsi="黑体" w:cs="黑体" w:eastAsia="黑体" w:hint="default"/>
          <w:b/>
          <w:bCs/>
          <w:sz w:val="20"/>
          <w:szCs w:val="20"/>
        </w:rPr>
      </w:pPr>
    </w:p>
    <w:p>
      <w:pPr>
        <w:spacing w:line="240" w:lineRule="auto" w:before="1"/>
        <w:rPr>
          <w:rFonts w:ascii="黑体" w:hAnsi="黑体" w:cs="黑体" w:eastAsia="黑体" w:hint="default"/>
          <w:b/>
          <w:bCs/>
          <w:sz w:val="13"/>
          <w:szCs w:val="13"/>
        </w:rPr>
      </w:pPr>
    </w:p>
    <w:tbl>
      <w:tblPr>
        <w:tblW w:w="0" w:type="auto"/>
        <w:jc w:val="left"/>
        <w:tblInd w:w="108" w:type="dxa"/>
        <w:tblLayout w:type="fixed"/>
        <w:tblCellMar>
          <w:top w:w="0" w:type="dxa"/>
          <w:left w:w="0" w:type="dxa"/>
          <w:bottom w:w="0" w:type="dxa"/>
          <w:right w:w="0" w:type="dxa"/>
        </w:tblCellMar>
        <w:tblLook w:val="01E0"/>
      </w:tblPr>
      <w:tblGrid>
        <w:gridCol w:w="2974"/>
        <w:gridCol w:w="2064"/>
        <w:gridCol w:w="1994"/>
        <w:gridCol w:w="1846"/>
      </w:tblGrid>
      <w:tr>
        <w:trPr>
          <w:trHeight w:val="608"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b/>
                <w:bCs/>
                <w:sz w:val="15"/>
                <w:szCs w:val="15"/>
              </w:rPr>
            </w:pPr>
          </w:p>
          <w:p>
            <w:pPr>
              <w:pStyle w:val="TableParagraph"/>
              <w:spacing w:line="240" w:lineRule="auto"/>
              <w:ind w:left="200" w:right="0"/>
              <w:jc w:val="left"/>
              <w:rPr>
                <w:rFonts w:ascii="黑体" w:hAnsi="黑体" w:cs="黑体" w:eastAsia="黑体" w:hint="default"/>
                <w:sz w:val="20"/>
                <w:szCs w:val="20"/>
              </w:rPr>
            </w:pPr>
            <w:r>
              <w:rPr>
                <w:rFonts w:ascii="黑体" w:hAnsi="黑体" w:cs="黑体" w:eastAsia="黑体" w:hint="default"/>
                <w:b/>
                <w:bCs/>
                <w:sz w:val="20"/>
                <w:szCs w:val="20"/>
              </w:rPr>
              <w:t>资产</w:t>
            </w:r>
            <w:r>
              <w:rPr>
                <w:rFonts w:ascii="黑体" w:hAnsi="黑体" w:cs="黑体" w:eastAsia="黑体" w:hint="default"/>
                <w:sz w:val="20"/>
                <w:szCs w:val="20"/>
              </w:rPr>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b/>
                <w:bCs/>
                <w:sz w:val="15"/>
                <w:szCs w:val="15"/>
              </w:rPr>
            </w:pPr>
          </w:p>
          <w:p>
            <w:pPr>
              <w:pStyle w:val="TableParagraph"/>
              <w:spacing w:line="240" w:lineRule="auto"/>
              <w:ind w:right="348"/>
              <w:jc w:val="right"/>
              <w:rPr>
                <w:rFonts w:ascii="黑体" w:hAnsi="黑体" w:cs="黑体" w:eastAsia="黑体" w:hint="default"/>
                <w:sz w:val="20"/>
                <w:szCs w:val="20"/>
              </w:rPr>
            </w:pPr>
            <w:r>
              <w:rPr>
                <w:rFonts w:ascii="黑体" w:hAnsi="黑体" w:cs="黑体" w:eastAsia="黑体" w:hint="default"/>
                <w:b/>
                <w:bCs/>
                <w:spacing w:val="2"/>
                <w:w w:val="95"/>
                <w:sz w:val="20"/>
                <w:szCs w:val="20"/>
              </w:rPr>
              <w:t>附注五</w:t>
            </w:r>
            <w:r>
              <w:rPr>
                <w:rFonts w:ascii="黑体" w:hAnsi="黑体" w:cs="黑体" w:eastAsia="黑体" w:hint="default"/>
                <w:sz w:val="20"/>
                <w:szCs w:val="20"/>
              </w:rPr>
            </w:r>
          </w:p>
        </w:tc>
        <w:tc>
          <w:tcPr>
            <w:tcW w:w="1994" w:type="dxa"/>
            <w:tcBorders>
              <w:top w:val="nil" w:sz="6" w:space="0" w:color="auto"/>
              <w:left w:val="nil" w:sz="6" w:space="0" w:color="auto"/>
              <w:bottom w:val="nil" w:sz="6" w:space="0" w:color="auto"/>
              <w:right w:val="nil" w:sz="6" w:space="0" w:color="auto"/>
            </w:tcBorders>
          </w:tcPr>
          <w:p>
            <w:pPr>
              <w:pStyle w:val="TableParagraph"/>
              <w:spacing w:line="205" w:lineRule="exact"/>
              <w:ind w:left="984" w:right="0"/>
              <w:jc w:val="left"/>
              <w:rPr>
                <w:rFonts w:ascii="黑体" w:hAnsi="黑体" w:cs="黑体" w:eastAsia="黑体" w:hint="default"/>
                <w:sz w:val="20"/>
                <w:szCs w:val="20"/>
              </w:rPr>
            </w:pPr>
            <w:r>
              <w:rPr>
                <w:rFonts w:ascii="Arial" w:hAnsi="Arial" w:cs="Arial" w:eastAsia="Arial" w:hint="default"/>
                <w:b/>
                <w:bCs/>
                <w:sz w:val="20"/>
                <w:szCs w:val="20"/>
              </w:rPr>
              <w:t>2012</w:t>
            </w:r>
            <w:r>
              <w:rPr>
                <w:rFonts w:ascii="黑体" w:hAnsi="黑体" w:cs="黑体" w:eastAsia="黑体" w:hint="default"/>
                <w:b/>
                <w:bCs/>
                <w:sz w:val="20"/>
                <w:szCs w:val="20"/>
              </w:rPr>
              <w:t>年</w:t>
            </w:r>
            <w:r>
              <w:rPr>
                <w:rFonts w:ascii="黑体" w:hAnsi="黑体" w:cs="黑体" w:eastAsia="黑体" w:hint="default"/>
                <w:sz w:val="20"/>
                <w:szCs w:val="20"/>
              </w:rPr>
            </w:r>
          </w:p>
          <w:p>
            <w:pPr>
              <w:pStyle w:val="TableParagraph"/>
              <w:spacing w:line="268" w:lineRule="exact"/>
              <w:ind w:left="782" w:right="0"/>
              <w:jc w:val="left"/>
              <w:rPr>
                <w:rFonts w:ascii="黑体" w:hAnsi="黑体" w:cs="黑体" w:eastAsia="黑体" w:hint="default"/>
                <w:sz w:val="20"/>
                <w:szCs w:val="20"/>
              </w:rPr>
            </w:pPr>
            <w:r>
              <w:rPr>
                <w:rFonts w:ascii="Arial" w:hAnsi="Arial" w:cs="Arial" w:eastAsia="Arial" w:hint="default"/>
                <w:b/>
                <w:bCs/>
                <w:sz w:val="20"/>
                <w:szCs w:val="20"/>
              </w:rPr>
              <w:t>12</w:t>
            </w:r>
            <w:r>
              <w:rPr>
                <w:rFonts w:ascii="黑体" w:hAnsi="黑体" w:cs="黑体" w:eastAsia="黑体" w:hint="default"/>
                <w:b/>
                <w:bCs/>
                <w:sz w:val="20"/>
                <w:szCs w:val="20"/>
              </w:rPr>
              <w:t>月</w:t>
            </w:r>
            <w:r>
              <w:rPr>
                <w:rFonts w:ascii="Arial" w:hAnsi="Arial" w:cs="Arial" w:eastAsia="Arial" w:hint="default"/>
                <w:b/>
                <w:bCs/>
                <w:sz w:val="20"/>
                <w:szCs w:val="20"/>
              </w:rPr>
              <w:t>31</w:t>
            </w:r>
            <w:r>
              <w:rPr>
                <w:rFonts w:ascii="黑体" w:hAnsi="黑体" w:cs="黑体" w:eastAsia="黑体" w:hint="default"/>
                <w:b/>
                <w:bCs/>
                <w:sz w:val="20"/>
                <w:szCs w:val="20"/>
              </w:rPr>
              <w:t>日</w:t>
            </w:r>
            <w:r>
              <w:rPr>
                <w:rFonts w:ascii="黑体" w:hAnsi="黑体" w:cs="黑体" w:eastAsia="黑体" w:hint="default"/>
                <w:sz w:val="20"/>
                <w:szCs w:val="20"/>
              </w:rPr>
            </w:r>
          </w:p>
        </w:tc>
        <w:tc>
          <w:tcPr>
            <w:tcW w:w="1846" w:type="dxa"/>
            <w:tcBorders>
              <w:top w:val="nil" w:sz="6" w:space="0" w:color="auto"/>
              <w:left w:val="nil" w:sz="6" w:space="0" w:color="auto"/>
              <w:bottom w:val="nil" w:sz="6" w:space="0" w:color="auto"/>
              <w:right w:val="nil" w:sz="6" w:space="0" w:color="auto"/>
            </w:tcBorders>
          </w:tcPr>
          <w:p>
            <w:pPr>
              <w:pStyle w:val="TableParagraph"/>
              <w:spacing w:line="205" w:lineRule="exact"/>
              <w:ind w:left="998" w:right="0"/>
              <w:jc w:val="left"/>
              <w:rPr>
                <w:rFonts w:ascii="黑体" w:hAnsi="黑体" w:cs="黑体" w:eastAsia="黑体" w:hint="default"/>
                <w:sz w:val="20"/>
                <w:szCs w:val="20"/>
              </w:rPr>
            </w:pPr>
            <w:r>
              <w:rPr>
                <w:rFonts w:ascii="Arial" w:hAnsi="Arial" w:cs="Arial" w:eastAsia="Arial" w:hint="default"/>
                <w:b/>
                <w:bCs/>
                <w:sz w:val="20"/>
                <w:szCs w:val="20"/>
              </w:rPr>
              <w:t>2011</w:t>
            </w:r>
            <w:r>
              <w:rPr>
                <w:rFonts w:ascii="黑体" w:hAnsi="黑体" w:cs="黑体" w:eastAsia="黑体" w:hint="default"/>
                <w:b/>
                <w:bCs/>
                <w:sz w:val="20"/>
                <w:szCs w:val="20"/>
              </w:rPr>
              <w:t>年</w:t>
            </w:r>
            <w:r>
              <w:rPr>
                <w:rFonts w:ascii="黑体" w:hAnsi="黑体" w:cs="黑体" w:eastAsia="黑体" w:hint="default"/>
                <w:sz w:val="20"/>
                <w:szCs w:val="20"/>
              </w:rPr>
            </w:r>
          </w:p>
          <w:p>
            <w:pPr>
              <w:pStyle w:val="TableParagraph"/>
              <w:spacing w:line="268" w:lineRule="exact"/>
              <w:ind w:left="797" w:right="0"/>
              <w:jc w:val="left"/>
              <w:rPr>
                <w:rFonts w:ascii="黑体" w:hAnsi="黑体" w:cs="黑体" w:eastAsia="黑体" w:hint="default"/>
                <w:sz w:val="20"/>
                <w:szCs w:val="20"/>
              </w:rPr>
            </w:pPr>
            <w:r>
              <w:rPr>
                <w:rFonts w:ascii="Arial" w:hAnsi="Arial" w:cs="Arial" w:eastAsia="Arial" w:hint="default"/>
                <w:b/>
                <w:bCs/>
                <w:sz w:val="20"/>
                <w:szCs w:val="20"/>
              </w:rPr>
              <w:t>12</w:t>
            </w:r>
            <w:r>
              <w:rPr>
                <w:rFonts w:ascii="黑体" w:hAnsi="黑体" w:cs="黑体" w:eastAsia="黑体" w:hint="default"/>
                <w:b/>
                <w:bCs/>
                <w:sz w:val="20"/>
                <w:szCs w:val="20"/>
              </w:rPr>
              <w:t>月</w:t>
            </w:r>
            <w:r>
              <w:rPr>
                <w:rFonts w:ascii="Arial" w:hAnsi="Arial" w:cs="Arial" w:eastAsia="Arial" w:hint="default"/>
                <w:b/>
                <w:bCs/>
                <w:sz w:val="20"/>
                <w:szCs w:val="20"/>
              </w:rPr>
              <w:t>31</w:t>
            </w:r>
            <w:r>
              <w:rPr>
                <w:rFonts w:ascii="黑体" w:hAnsi="黑体" w:cs="黑体" w:eastAsia="黑体" w:hint="default"/>
                <w:b/>
                <w:bCs/>
                <w:sz w:val="20"/>
                <w:szCs w:val="20"/>
              </w:rPr>
              <w:t>日</w:t>
            </w:r>
            <w:r>
              <w:rPr>
                <w:rFonts w:ascii="黑体" w:hAnsi="黑体" w:cs="黑体" w:eastAsia="黑体" w:hint="default"/>
                <w:sz w:val="20"/>
                <w:szCs w:val="20"/>
              </w:rPr>
            </w:r>
          </w:p>
        </w:tc>
      </w:tr>
      <w:tr>
        <w:trPr>
          <w:trHeight w:val="484"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00" w:right="0"/>
              <w:jc w:val="left"/>
              <w:rPr>
                <w:rFonts w:ascii="黑体" w:hAnsi="黑体" w:cs="黑体" w:eastAsia="黑体" w:hint="default"/>
                <w:sz w:val="20"/>
                <w:szCs w:val="20"/>
              </w:rPr>
            </w:pPr>
            <w:r>
              <w:rPr>
                <w:rFonts w:ascii="黑体" w:hAnsi="黑体" w:cs="黑体" w:eastAsia="黑体" w:hint="default"/>
                <w:sz w:val="20"/>
                <w:szCs w:val="20"/>
              </w:rPr>
              <w:t>流动资产：</w:t>
            </w:r>
          </w:p>
        </w:tc>
        <w:tc>
          <w:tcPr>
            <w:tcW w:w="2064" w:type="dxa"/>
            <w:tcBorders>
              <w:top w:val="nil" w:sz="6" w:space="0" w:color="auto"/>
              <w:left w:val="nil" w:sz="6" w:space="0" w:color="auto"/>
              <w:bottom w:val="nil" w:sz="6" w:space="0" w:color="auto"/>
              <w:right w:val="nil" w:sz="6" w:space="0" w:color="auto"/>
            </w:tcBorders>
          </w:tcPr>
          <w:p>
            <w:pPr/>
          </w:p>
        </w:tc>
        <w:tc>
          <w:tcPr>
            <w:tcW w:w="1994"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
        </w:tc>
      </w:tr>
      <w:tr>
        <w:trPr>
          <w:trHeight w:val="379"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81"/>
              <w:ind w:left="468" w:right="0"/>
              <w:jc w:val="left"/>
              <w:rPr>
                <w:rFonts w:ascii="黑体" w:hAnsi="黑体" w:cs="黑体" w:eastAsia="黑体" w:hint="default"/>
                <w:sz w:val="20"/>
                <w:szCs w:val="20"/>
              </w:rPr>
            </w:pPr>
            <w:r>
              <w:rPr>
                <w:rFonts w:ascii="黑体" w:hAnsi="黑体" w:cs="黑体" w:eastAsia="黑体" w:hint="default"/>
                <w:sz w:val="20"/>
                <w:szCs w:val="20"/>
              </w:rPr>
              <w:t>货币资金</w:t>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1353" w:right="0"/>
              <w:jc w:val="left"/>
              <w:rPr>
                <w:rFonts w:ascii="Arial" w:hAnsi="Arial" w:cs="Arial" w:eastAsia="Arial" w:hint="default"/>
                <w:sz w:val="20"/>
                <w:szCs w:val="20"/>
              </w:rPr>
            </w:pPr>
            <w:r>
              <w:rPr>
                <w:rFonts w:ascii="Arial"/>
                <w:w w:val="99"/>
                <w:sz w:val="20"/>
              </w:rPr>
              <w:t>1</w:t>
            </w:r>
            <w:r>
              <w:rPr>
                <w:rFonts w:ascii="Arial"/>
                <w:sz w:val="20"/>
              </w:rPr>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365"/>
              <w:jc w:val="right"/>
              <w:rPr>
                <w:rFonts w:ascii="Arial" w:hAnsi="Arial" w:cs="Arial" w:eastAsia="Arial" w:hint="default"/>
                <w:sz w:val="20"/>
                <w:szCs w:val="20"/>
              </w:rPr>
            </w:pPr>
            <w:r>
              <w:rPr>
                <w:rFonts w:ascii="Arial"/>
                <w:spacing w:val="-1"/>
                <w:sz w:val="20"/>
              </w:rPr>
              <w:t>1,697,036,209</w:t>
            </w:r>
            <w:r>
              <w:rPr>
                <w:rFonts w:ascii="Arial"/>
                <w:sz w:val="20"/>
              </w:rPr>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02"/>
              <w:jc w:val="right"/>
              <w:rPr>
                <w:rFonts w:ascii="Arial" w:hAnsi="Arial" w:cs="Arial" w:eastAsia="Arial" w:hint="default"/>
                <w:sz w:val="20"/>
                <w:szCs w:val="20"/>
              </w:rPr>
            </w:pPr>
            <w:r>
              <w:rPr>
                <w:rFonts w:ascii="Arial"/>
                <w:spacing w:val="-1"/>
                <w:sz w:val="20"/>
              </w:rPr>
              <w:t>1,397,118,426</w:t>
            </w:r>
            <w:r>
              <w:rPr>
                <w:rFonts w:ascii="Arial"/>
                <w:sz w:val="20"/>
              </w:rPr>
            </w:r>
          </w:p>
        </w:tc>
      </w:tr>
      <w:tr>
        <w:trPr>
          <w:trHeight w:val="259"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26" w:lineRule="exact"/>
              <w:ind w:left="468" w:right="0"/>
              <w:jc w:val="left"/>
              <w:rPr>
                <w:rFonts w:ascii="黑体" w:hAnsi="黑体" w:cs="黑体" w:eastAsia="黑体" w:hint="default"/>
                <w:sz w:val="20"/>
                <w:szCs w:val="20"/>
              </w:rPr>
            </w:pPr>
            <w:r>
              <w:rPr>
                <w:rFonts w:ascii="黑体" w:hAnsi="黑体" w:cs="黑体" w:eastAsia="黑体" w:hint="default"/>
                <w:sz w:val="20"/>
                <w:szCs w:val="20"/>
              </w:rPr>
              <w:t>应收票据</w:t>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7"/>
              <w:ind w:left="1353" w:right="0"/>
              <w:jc w:val="left"/>
              <w:rPr>
                <w:rFonts w:ascii="Arial" w:hAnsi="Arial" w:cs="Arial" w:eastAsia="Arial" w:hint="default"/>
                <w:sz w:val="20"/>
                <w:szCs w:val="20"/>
              </w:rPr>
            </w:pPr>
            <w:r>
              <w:rPr>
                <w:rFonts w:ascii="Arial"/>
                <w:w w:val="99"/>
                <w:sz w:val="20"/>
              </w:rPr>
              <w:t>2</w:t>
            </w:r>
            <w:r>
              <w:rPr>
                <w:rFonts w:ascii="Arial"/>
                <w:sz w:val="20"/>
              </w:rPr>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65"/>
              <w:jc w:val="right"/>
              <w:rPr>
                <w:rFonts w:ascii="Arial" w:hAnsi="Arial" w:cs="Arial" w:eastAsia="Arial" w:hint="default"/>
                <w:sz w:val="20"/>
                <w:szCs w:val="20"/>
              </w:rPr>
            </w:pPr>
            <w:r>
              <w:rPr>
                <w:rFonts w:ascii="Arial"/>
                <w:spacing w:val="-1"/>
                <w:w w:val="95"/>
                <w:sz w:val="20"/>
              </w:rPr>
              <w:t>53,428,161</w:t>
            </w:r>
            <w:r>
              <w:rPr>
                <w:rFonts w:ascii="Arial"/>
                <w:sz w:val="20"/>
              </w:rPr>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2"/>
              <w:jc w:val="right"/>
              <w:rPr>
                <w:rFonts w:ascii="Arial" w:hAnsi="Arial" w:cs="Arial" w:eastAsia="Arial" w:hint="default"/>
                <w:sz w:val="20"/>
                <w:szCs w:val="20"/>
              </w:rPr>
            </w:pPr>
            <w:r>
              <w:rPr>
                <w:rFonts w:ascii="Arial"/>
                <w:spacing w:val="-1"/>
                <w:sz w:val="20"/>
              </w:rPr>
              <w:t>13,254,381</w:t>
            </w:r>
            <w:r>
              <w:rPr>
                <w:rFonts w:ascii="Arial"/>
                <w:sz w:val="20"/>
              </w:rPr>
            </w:r>
          </w:p>
        </w:tc>
      </w:tr>
      <w:tr>
        <w:trPr>
          <w:trHeight w:val="259"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26" w:lineRule="exact"/>
              <w:ind w:left="468" w:right="0"/>
              <w:jc w:val="left"/>
              <w:rPr>
                <w:rFonts w:ascii="黑体" w:hAnsi="黑体" w:cs="黑体" w:eastAsia="黑体" w:hint="default"/>
                <w:sz w:val="20"/>
                <w:szCs w:val="20"/>
              </w:rPr>
            </w:pPr>
            <w:r>
              <w:rPr>
                <w:rFonts w:ascii="黑体" w:hAnsi="黑体" w:cs="黑体" w:eastAsia="黑体" w:hint="default"/>
                <w:sz w:val="20"/>
                <w:szCs w:val="20"/>
              </w:rPr>
              <w:t>应收账款</w:t>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7"/>
              <w:ind w:left="1353" w:right="0"/>
              <w:jc w:val="left"/>
              <w:rPr>
                <w:rFonts w:ascii="Arial" w:hAnsi="Arial" w:cs="Arial" w:eastAsia="Arial" w:hint="default"/>
                <w:sz w:val="20"/>
                <w:szCs w:val="20"/>
              </w:rPr>
            </w:pPr>
            <w:r>
              <w:rPr>
                <w:rFonts w:ascii="Arial"/>
                <w:w w:val="99"/>
                <w:sz w:val="20"/>
              </w:rPr>
              <w:t>3</w:t>
            </w:r>
            <w:r>
              <w:rPr>
                <w:rFonts w:ascii="Arial"/>
                <w:sz w:val="20"/>
              </w:rPr>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65"/>
              <w:jc w:val="right"/>
              <w:rPr>
                <w:rFonts w:ascii="Arial" w:hAnsi="Arial" w:cs="Arial" w:eastAsia="Arial" w:hint="default"/>
                <w:sz w:val="20"/>
                <w:szCs w:val="20"/>
              </w:rPr>
            </w:pPr>
            <w:r>
              <w:rPr>
                <w:rFonts w:ascii="Arial"/>
                <w:spacing w:val="-1"/>
                <w:sz w:val="20"/>
              </w:rPr>
              <w:t>1,306,428,847</w:t>
            </w:r>
            <w:r>
              <w:rPr>
                <w:rFonts w:ascii="Arial"/>
                <w:sz w:val="20"/>
              </w:rPr>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2"/>
              <w:jc w:val="right"/>
              <w:rPr>
                <w:rFonts w:ascii="Arial" w:hAnsi="Arial" w:cs="Arial" w:eastAsia="Arial" w:hint="default"/>
                <w:sz w:val="20"/>
                <w:szCs w:val="20"/>
              </w:rPr>
            </w:pPr>
            <w:r>
              <w:rPr>
                <w:rFonts w:ascii="Arial"/>
                <w:spacing w:val="-1"/>
                <w:sz w:val="20"/>
              </w:rPr>
              <w:t>1,266,411,804</w:t>
            </w:r>
            <w:r>
              <w:rPr>
                <w:rFonts w:ascii="Arial"/>
                <w:sz w:val="20"/>
              </w:rPr>
            </w:r>
          </w:p>
        </w:tc>
      </w:tr>
      <w:tr>
        <w:trPr>
          <w:trHeight w:val="259"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26" w:lineRule="exact"/>
              <w:ind w:left="468" w:right="0"/>
              <w:jc w:val="left"/>
              <w:rPr>
                <w:rFonts w:ascii="黑体" w:hAnsi="黑体" w:cs="黑体" w:eastAsia="黑体" w:hint="default"/>
                <w:sz w:val="20"/>
                <w:szCs w:val="20"/>
              </w:rPr>
            </w:pPr>
            <w:r>
              <w:rPr>
                <w:rFonts w:ascii="黑体" w:hAnsi="黑体" w:cs="黑体" w:eastAsia="黑体" w:hint="default"/>
                <w:sz w:val="20"/>
                <w:szCs w:val="20"/>
              </w:rPr>
              <w:t>预付款项</w:t>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7"/>
              <w:ind w:left="1353" w:right="0"/>
              <w:jc w:val="left"/>
              <w:rPr>
                <w:rFonts w:ascii="Arial" w:hAnsi="Arial" w:cs="Arial" w:eastAsia="Arial" w:hint="default"/>
                <w:sz w:val="20"/>
                <w:szCs w:val="20"/>
              </w:rPr>
            </w:pPr>
            <w:r>
              <w:rPr>
                <w:rFonts w:ascii="Arial"/>
                <w:w w:val="99"/>
                <w:sz w:val="20"/>
              </w:rPr>
              <w:t>4</w:t>
            </w:r>
            <w:r>
              <w:rPr>
                <w:rFonts w:ascii="Arial"/>
                <w:sz w:val="20"/>
              </w:rPr>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63"/>
              <w:jc w:val="right"/>
              <w:rPr>
                <w:rFonts w:ascii="Arial" w:hAnsi="Arial" w:cs="Arial" w:eastAsia="Arial" w:hint="default"/>
                <w:sz w:val="20"/>
                <w:szCs w:val="20"/>
              </w:rPr>
            </w:pPr>
            <w:r>
              <w:rPr>
                <w:rFonts w:ascii="Arial"/>
                <w:spacing w:val="-1"/>
                <w:sz w:val="20"/>
              </w:rPr>
              <w:t>29,387,378</w:t>
            </w:r>
            <w:r>
              <w:rPr>
                <w:rFonts w:ascii="Arial"/>
                <w:sz w:val="20"/>
              </w:rPr>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1"/>
              <w:jc w:val="right"/>
              <w:rPr>
                <w:rFonts w:ascii="Arial" w:hAnsi="Arial" w:cs="Arial" w:eastAsia="Arial" w:hint="default"/>
                <w:sz w:val="20"/>
                <w:szCs w:val="20"/>
              </w:rPr>
            </w:pPr>
            <w:r>
              <w:rPr>
                <w:rFonts w:ascii="Arial"/>
                <w:spacing w:val="-1"/>
                <w:sz w:val="20"/>
              </w:rPr>
              <w:t>4,892,105</w:t>
            </w:r>
          </w:p>
        </w:tc>
      </w:tr>
      <w:tr>
        <w:trPr>
          <w:trHeight w:val="259"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26" w:lineRule="exact"/>
              <w:ind w:left="468" w:right="0"/>
              <w:jc w:val="left"/>
              <w:rPr>
                <w:rFonts w:ascii="黑体" w:hAnsi="黑体" w:cs="黑体" w:eastAsia="黑体" w:hint="default"/>
                <w:sz w:val="20"/>
                <w:szCs w:val="20"/>
              </w:rPr>
            </w:pPr>
            <w:r>
              <w:rPr>
                <w:rFonts w:ascii="黑体" w:hAnsi="黑体" w:cs="黑体" w:eastAsia="黑体" w:hint="default"/>
                <w:sz w:val="20"/>
                <w:szCs w:val="20"/>
              </w:rPr>
              <w:t>其他应收款</w:t>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7"/>
              <w:ind w:left="1353" w:right="0"/>
              <w:jc w:val="left"/>
              <w:rPr>
                <w:rFonts w:ascii="Arial" w:hAnsi="Arial" w:cs="Arial" w:eastAsia="Arial" w:hint="default"/>
                <w:sz w:val="20"/>
                <w:szCs w:val="20"/>
              </w:rPr>
            </w:pPr>
            <w:r>
              <w:rPr>
                <w:rFonts w:ascii="Arial"/>
                <w:w w:val="99"/>
                <w:sz w:val="20"/>
              </w:rPr>
              <w:t>5</w:t>
            </w:r>
            <w:r>
              <w:rPr>
                <w:rFonts w:ascii="Arial"/>
                <w:sz w:val="20"/>
              </w:rPr>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65"/>
              <w:jc w:val="right"/>
              <w:rPr>
                <w:rFonts w:ascii="Arial" w:hAnsi="Arial" w:cs="Arial" w:eastAsia="Arial" w:hint="default"/>
                <w:sz w:val="20"/>
                <w:szCs w:val="20"/>
              </w:rPr>
            </w:pPr>
            <w:r>
              <w:rPr>
                <w:rFonts w:ascii="Arial"/>
                <w:spacing w:val="-1"/>
                <w:sz w:val="20"/>
              </w:rPr>
              <w:t>86,933,586</w:t>
            </w:r>
            <w:r>
              <w:rPr>
                <w:rFonts w:ascii="Arial"/>
                <w:sz w:val="20"/>
              </w:rPr>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2"/>
              <w:jc w:val="right"/>
              <w:rPr>
                <w:rFonts w:ascii="Arial" w:hAnsi="Arial" w:cs="Arial" w:eastAsia="Arial" w:hint="default"/>
                <w:sz w:val="20"/>
                <w:szCs w:val="20"/>
              </w:rPr>
            </w:pPr>
            <w:r>
              <w:rPr>
                <w:rFonts w:ascii="Arial"/>
                <w:spacing w:val="-1"/>
                <w:sz w:val="20"/>
              </w:rPr>
              <w:t>81,057,244</w:t>
            </w:r>
            <w:r>
              <w:rPr>
                <w:rFonts w:ascii="Arial"/>
                <w:sz w:val="20"/>
              </w:rPr>
            </w:r>
          </w:p>
        </w:tc>
      </w:tr>
      <w:tr>
        <w:trPr>
          <w:trHeight w:val="259"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26" w:lineRule="exact"/>
              <w:ind w:left="468" w:right="0"/>
              <w:jc w:val="left"/>
              <w:rPr>
                <w:rFonts w:ascii="黑体" w:hAnsi="黑体" w:cs="黑体" w:eastAsia="黑体" w:hint="default"/>
                <w:sz w:val="20"/>
                <w:szCs w:val="20"/>
              </w:rPr>
            </w:pPr>
            <w:r>
              <w:rPr>
                <w:rFonts w:ascii="黑体" w:hAnsi="黑体" w:cs="黑体" w:eastAsia="黑体" w:hint="default"/>
                <w:sz w:val="20"/>
                <w:szCs w:val="20"/>
              </w:rPr>
              <w:t>存货</w:t>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7"/>
              <w:ind w:left="1353" w:right="0"/>
              <w:jc w:val="left"/>
              <w:rPr>
                <w:rFonts w:ascii="Arial" w:hAnsi="Arial" w:cs="Arial" w:eastAsia="Arial" w:hint="default"/>
                <w:sz w:val="20"/>
                <w:szCs w:val="20"/>
              </w:rPr>
            </w:pPr>
            <w:r>
              <w:rPr>
                <w:rFonts w:ascii="Arial"/>
                <w:w w:val="99"/>
                <w:sz w:val="20"/>
              </w:rPr>
              <w:t>6</w:t>
            </w:r>
            <w:r>
              <w:rPr>
                <w:rFonts w:ascii="Arial"/>
                <w:sz w:val="20"/>
              </w:rPr>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65"/>
              <w:jc w:val="right"/>
              <w:rPr>
                <w:rFonts w:ascii="Arial" w:hAnsi="Arial" w:cs="Arial" w:eastAsia="Arial" w:hint="default"/>
                <w:sz w:val="20"/>
                <w:szCs w:val="20"/>
              </w:rPr>
            </w:pPr>
            <w:r>
              <w:rPr>
                <w:rFonts w:ascii="Arial"/>
                <w:spacing w:val="-1"/>
                <w:sz w:val="20"/>
              </w:rPr>
              <w:t>19,753,206</w:t>
            </w:r>
            <w:r>
              <w:rPr>
                <w:rFonts w:ascii="Arial"/>
                <w:sz w:val="20"/>
              </w:rPr>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2"/>
              <w:jc w:val="right"/>
              <w:rPr>
                <w:rFonts w:ascii="Arial" w:hAnsi="Arial" w:cs="Arial" w:eastAsia="Arial" w:hint="default"/>
                <w:sz w:val="20"/>
                <w:szCs w:val="20"/>
              </w:rPr>
            </w:pPr>
            <w:r>
              <w:rPr>
                <w:rFonts w:ascii="Arial"/>
                <w:spacing w:val="-1"/>
                <w:sz w:val="20"/>
              </w:rPr>
              <w:t>22,845,627</w:t>
            </w:r>
            <w:r>
              <w:rPr>
                <w:rFonts w:ascii="Arial"/>
                <w:sz w:val="20"/>
              </w:rPr>
            </w:r>
          </w:p>
        </w:tc>
      </w:tr>
      <w:tr>
        <w:trPr>
          <w:trHeight w:val="374"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26" w:lineRule="exact"/>
              <w:ind w:left="468" w:right="0"/>
              <w:jc w:val="left"/>
              <w:rPr>
                <w:rFonts w:ascii="黑体" w:hAnsi="黑体" w:cs="黑体" w:eastAsia="黑体" w:hint="default"/>
                <w:sz w:val="20"/>
                <w:szCs w:val="20"/>
              </w:rPr>
            </w:pPr>
            <w:r>
              <w:rPr>
                <w:rFonts w:ascii="黑体" w:hAnsi="黑体" w:cs="黑体" w:eastAsia="黑体" w:hint="default"/>
                <w:sz w:val="20"/>
                <w:szCs w:val="20"/>
              </w:rPr>
              <w:t>其他流动资产</w:t>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7"/>
              <w:ind w:left="1353" w:right="0"/>
              <w:jc w:val="left"/>
              <w:rPr>
                <w:rFonts w:ascii="Arial" w:hAnsi="Arial" w:cs="Arial" w:eastAsia="Arial" w:hint="default"/>
                <w:sz w:val="20"/>
                <w:szCs w:val="20"/>
              </w:rPr>
            </w:pPr>
            <w:r>
              <w:rPr>
                <w:rFonts w:ascii="Arial"/>
                <w:w w:val="99"/>
                <w:sz w:val="20"/>
              </w:rPr>
              <w:t>7</w:t>
            </w:r>
            <w:r>
              <w:rPr>
                <w:rFonts w:ascii="Arial"/>
                <w:sz w:val="20"/>
              </w:rPr>
            </w:r>
          </w:p>
        </w:tc>
        <w:tc>
          <w:tcPr>
            <w:tcW w:w="1994" w:type="dxa"/>
            <w:tcBorders>
              <w:top w:val="nil" w:sz="6" w:space="0" w:color="auto"/>
              <w:left w:val="nil" w:sz="6" w:space="0" w:color="auto"/>
              <w:bottom w:val="nil" w:sz="6" w:space="0" w:color="auto"/>
              <w:right w:val="nil" w:sz="6" w:space="0" w:color="auto"/>
            </w:tcBorders>
          </w:tcPr>
          <w:p>
            <w:pPr>
              <w:pStyle w:val="TableParagraph"/>
              <w:tabs>
                <w:tab w:pos="403" w:val="left" w:leader="none"/>
              </w:tabs>
              <w:spacing w:line="240" w:lineRule="auto" w:before="7"/>
              <w:ind w:right="365"/>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6,087,672</w:t>
            </w:r>
            <w:r>
              <w:rPr>
                <w:rFonts w:ascii="Arial"/>
                <w:spacing w:val="-1"/>
                <w:w w:val="95"/>
                <w:sz w:val="20"/>
              </w:rPr>
            </w:r>
            <w:r>
              <w:rPr>
                <w:rFonts w:ascii="Arial"/>
                <w:sz w:val="20"/>
              </w:rPr>
            </w:r>
          </w:p>
        </w:tc>
        <w:tc>
          <w:tcPr>
            <w:tcW w:w="1846" w:type="dxa"/>
            <w:tcBorders>
              <w:top w:val="nil" w:sz="6" w:space="0" w:color="auto"/>
              <w:left w:val="nil" w:sz="6" w:space="0" w:color="auto"/>
              <w:bottom w:val="nil" w:sz="6" w:space="0" w:color="auto"/>
              <w:right w:val="nil" w:sz="6" w:space="0" w:color="auto"/>
            </w:tcBorders>
          </w:tcPr>
          <w:p>
            <w:pPr>
              <w:pStyle w:val="TableParagraph"/>
              <w:tabs>
                <w:tab w:pos="403" w:val="left" w:leader="none"/>
              </w:tabs>
              <w:spacing w:line="240" w:lineRule="auto" w:before="7"/>
              <w:ind w:right="202"/>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5,085,022</w:t>
            </w:r>
            <w:r>
              <w:rPr>
                <w:rFonts w:ascii="Arial"/>
                <w:spacing w:val="-1"/>
                <w:w w:val="95"/>
                <w:sz w:val="20"/>
              </w:rPr>
            </w:r>
            <w:r>
              <w:rPr>
                <w:rFonts w:ascii="Arial"/>
                <w:sz w:val="20"/>
              </w:rPr>
            </w:r>
          </w:p>
        </w:tc>
      </w:tr>
      <w:tr>
        <w:trPr>
          <w:trHeight w:val="490"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00" w:right="0"/>
              <w:jc w:val="left"/>
              <w:rPr>
                <w:rFonts w:ascii="黑体" w:hAnsi="黑体" w:cs="黑体" w:eastAsia="黑体" w:hint="default"/>
                <w:sz w:val="20"/>
                <w:szCs w:val="20"/>
              </w:rPr>
            </w:pPr>
            <w:r>
              <w:rPr>
                <w:rFonts w:ascii="黑体" w:hAnsi="黑体" w:cs="黑体" w:eastAsia="黑体" w:hint="default"/>
                <w:sz w:val="20"/>
                <w:szCs w:val="20"/>
              </w:rPr>
              <w:t>流动资产合计</w:t>
            </w:r>
          </w:p>
        </w:tc>
        <w:tc>
          <w:tcPr>
            <w:tcW w:w="2064" w:type="dxa"/>
            <w:tcBorders>
              <w:top w:val="nil" w:sz="6" w:space="0" w:color="auto"/>
              <w:left w:val="nil" w:sz="6" w:space="0" w:color="auto"/>
              <w:bottom w:val="nil" w:sz="6" w:space="0" w:color="auto"/>
              <w:right w:val="nil" w:sz="6" w:space="0" w:color="auto"/>
            </w:tcBorders>
          </w:tcPr>
          <w:p>
            <w:pP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63"/>
              <w:jc w:val="right"/>
              <w:rPr>
                <w:rFonts w:ascii="Arial" w:hAnsi="Arial" w:cs="Arial" w:eastAsia="Arial" w:hint="default"/>
                <w:sz w:val="20"/>
                <w:szCs w:val="20"/>
              </w:rPr>
            </w:pPr>
            <w:r>
              <w:rPr>
                <w:rFonts w:ascii="Arial"/>
                <w:w w:val="99"/>
                <w:sz w:val="20"/>
              </w:rPr>
            </w:r>
            <w:r>
              <w:rPr>
                <w:rFonts w:ascii="Arial"/>
                <w:spacing w:val="-1"/>
                <w:sz w:val="20"/>
                <w:u w:val="single" w:color="000000"/>
              </w:rPr>
              <w:t>3,199,055,059</w:t>
            </w:r>
            <w:r>
              <w:rPr>
                <w:rFonts w:ascii="Arial"/>
                <w:spacing w:val="-1"/>
                <w:sz w:val="20"/>
              </w:rPr>
            </w:r>
            <w:r>
              <w:rPr>
                <w:rFonts w:ascii="Arial"/>
                <w:sz w:val="20"/>
              </w:rPr>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02"/>
              <w:jc w:val="right"/>
              <w:rPr>
                <w:rFonts w:ascii="Arial" w:hAnsi="Arial" w:cs="Arial" w:eastAsia="Arial" w:hint="default"/>
                <w:sz w:val="20"/>
                <w:szCs w:val="20"/>
              </w:rPr>
            </w:pPr>
            <w:r>
              <w:rPr>
                <w:rFonts w:ascii="Arial"/>
                <w:w w:val="99"/>
                <w:sz w:val="20"/>
              </w:rPr>
            </w:r>
            <w:r>
              <w:rPr>
                <w:rFonts w:ascii="Arial"/>
                <w:spacing w:val="-1"/>
                <w:sz w:val="20"/>
                <w:u w:val="single" w:color="000000"/>
              </w:rPr>
              <w:t>2,790,664,609</w:t>
            </w:r>
            <w:r>
              <w:rPr>
                <w:rFonts w:ascii="Arial"/>
                <w:spacing w:val="-1"/>
                <w:sz w:val="20"/>
              </w:rPr>
            </w:r>
            <w:r>
              <w:rPr>
                <w:rFonts w:ascii="Arial"/>
                <w:sz w:val="20"/>
              </w:rPr>
            </w:r>
          </w:p>
        </w:tc>
      </w:tr>
      <w:tr>
        <w:trPr>
          <w:trHeight w:val="486"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00" w:right="0"/>
              <w:jc w:val="left"/>
              <w:rPr>
                <w:rFonts w:ascii="黑体" w:hAnsi="黑体" w:cs="黑体" w:eastAsia="黑体" w:hint="default"/>
                <w:sz w:val="20"/>
                <w:szCs w:val="20"/>
              </w:rPr>
            </w:pPr>
            <w:r>
              <w:rPr>
                <w:rFonts w:ascii="黑体" w:hAnsi="黑体" w:cs="黑体" w:eastAsia="黑体" w:hint="default"/>
                <w:sz w:val="20"/>
                <w:szCs w:val="20"/>
              </w:rPr>
              <w:t>非流动资产：</w:t>
            </w:r>
          </w:p>
        </w:tc>
        <w:tc>
          <w:tcPr>
            <w:tcW w:w="2064" w:type="dxa"/>
            <w:tcBorders>
              <w:top w:val="nil" w:sz="6" w:space="0" w:color="auto"/>
              <w:left w:val="nil" w:sz="6" w:space="0" w:color="auto"/>
              <w:bottom w:val="nil" w:sz="6" w:space="0" w:color="auto"/>
              <w:right w:val="nil" w:sz="6" w:space="0" w:color="auto"/>
            </w:tcBorders>
          </w:tcPr>
          <w:p>
            <w:pPr/>
          </w:p>
        </w:tc>
        <w:tc>
          <w:tcPr>
            <w:tcW w:w="1994" w:type="dxa"/>
            <w:tcBorders>
              <w:top w:val="nil" w:sz="6" w:space="0" w:color="auto"/>
              <w:left w:val="nil" w:sz="6" w:space="0" w:color="auto"/>
              <w:bottom w:val="nil" w:sz="6" w:space="0" w:color="auto"/>
              <w:right w:val="nil" w:sz="6" w:space="0" w:color="auto"/>
            </w:tcBorders>
          </w:tcPr>
          <w:p>
            <w:pPr/>
          </w:p>
        </w:tc>
        <w:tc>
          <w:tcPr>
            <w:tcW w:w="1846" w:type="dxa"/>
            <w:tcBorders>
              <w:top w:val="nil" w:sz="6" w:space="0" w:color="auto"/>
              <w:left w:val="nil" w:sz="6" w:space="0" w:color="auto"/>
              <w:bottom w:val="nil" w:sz="6" w:space="0" w:color="auto"/>
              <w:right w:val="nil" w:sz="6" w:space="0" w:color="auto"/>
            </w:tcBorders>
          </w:tcPr>
          <w:p>
            <w:pPr/>
          </w:p>
        </w:tc>
      </w:tr>
      <w:tr>
        <w:trPr>
          <w:trHeight w:val="379"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82"/>
              <w:ind w:left="468" w:right="0"/>
              <w:jc w:val="left"/>
              <w:rPr>
                <w:rFonts w:ascii="黑体" w:hAnsi="黑体" w:cs="黑体" w:eastAsia="黑体" w:hint="default"/>
                <w:sz w:val="20"/>
                <w:szCs w:val="20"/>
              </w:rPr>
            </w:pPr>
            <w:r>
              <w:rPr>
                <w:rFonts w:ascii="黑体" w:hAnsi="黑体" w:cs="黑体" w:eastAsia="黑体" w:hint="default"/>
                <w:sz w:val="20"/>
                <w:szCs w:val="20"/>
              </w:rPr>
              <w:t>长期股权投资</w:t>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444"/>
              <w:jc w:val="right"/>
              <w:rPr>
                <w:rFonts w:ascii="Arial" w:hAnsi="Arial" w:cs="Arial" w:eastAsia="Arial" w:hint="default"/>
                <w:sz w:val="20"/>
                <w:szCs w:val="20"/>
              </w:rPr>
            </w:pPr>
            <w:r>
              <w:rPr>
                <w:rFonts w:ascii="Arial" w:hAnsi="Arial" w:cs="Arial" w:eastAsia="Arial" w:hint="default"/>
                <w:spacing w:val="-1"/>
                <w:sz w:val="20"/>
                <w:szCs w:val="20"/>
              </w:rPr>
              <w:t>8</w:t>
            </w:r>
            <w:r>
              <w:rPr>
                <w:rFonts w:ascii="黑体" w:hAnsi="黑体" w:cs="黑体" w:eastAsia="黑体" w:hint="default"/>
                <w:spacing w:val="-1"/>
                <w:sz w:val="20"/>
                <w:szCs w:val="20"/>
              </w:rPr>
              <w:t>、</w:t>
            </w:r>
            <w:r>
              <w:rPr>
                <w:rFonts w:ascii="Arial" w:hAnsi="Arial" w:cs="Arial" w:eastAsia="Arial" w:hint="default"/>
                <w:spacing w:val="-1"/>
                <w:sz w:val="20"/>
                <w:szCs w:val="20"/>
              </w:rPr>
              <w:t>9</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365"/>
              <w:jc w:val="right"/>
              <w:rPr>
                <w:rFonts w:ascii="Arial" w:hAnsi="Arial" w:cs="Arial" w:eastAsia="Arial" w:hint="default"/>
                <w:sz w:val="20"/>
                <w:szCs w:val="20"/>
              </w:rPr>
            </w:pPr>
            <w:r>
              <w:rPr>
                <w:rFonts w:ascii="Arial"/>
                <w:spacing w:val="-1"/>
                <w:sz w:val="20"/>
              </w:rPr>
              <w:t>176,629,176</w:t>
            </w:r>
            <w:r>
              <w:rPr>
                <w:rFonts w:ascii="Arial"/>
                <w:sz w:val="20"/>
              </w:rPr>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02"/>
              <w:jc w:val="right"/>
              <w:rPr>
                <w:rFonts w:ascii="Arial" w:hAnsi="Arial" w:cs="Arial" w:eastAsia="Arial" w:hint="default"/>
                <w:sz w:val="20"/>
                <w:szCs w:val="20"/>
              </w:rPr>
            </w:pPr>
            <w:r>
              <w:rPr>
                <w:rFonts w:ascii="Arial"/>
                <w:spacing w:val="-1"/>
                <w:sz w:val="20"/>
              </w:rPr>
              <w:t>162,896,353</w:t>
            </w:r>
            <w:r>
              <w:rPr>
                <w:rFonts w:ascii="Arial"/>
                <w:sz w:val="20"/>
              </w:rPr>
            </w:r>
          </w:p>
        </w:tc>
      </w:tr>
      <w:tr>
        <w:trPr>
          <w:trHeight w:val="258"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24" w:lineRule="exact"/>
              <w:ind w:left="468" w:right="0"/>
              <w:jc w:val="left"/>
              <w:rPr>
                <w:rFonts w:ascii="黑体" w:hAnsi="黑体" w:cs="黑体" w:eastAsia="黑体" w:hint="default"/>
                <w:sz w:val="20"/>
                <w:szCs w:val="20"/>
              </w:rPr>
            </w:pPr>
            <w:r>
              <w:rPr>
                <w:rFonts w:ascii="黑体" w:hAnsi="黑体" w:cs="黑体" w:eastAsia="黑体" w:hint="default"/>
                <w:sz w:val="20"/>
                <w:szCs w:val="20"/>
              </w:rPr>
              <w:t>固定资产</w:t>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6"/>
              <w:ind w:left="1298" w:right="0"/>
              <w:jc w:val="left"/>
              <w:rPr>
                <w:rFonts w:ascii="Arial" w:hAnsi="Arial" w:cs="Arial" w:eastAsia="Arial" w:hint="default"/>
                <w:sz w:val="20"/>
                <w:szCs w:val="20"/>
              </w:rPr>
            </w:pPr>
            <w:r>
              <w:rPr>
                <w:rFonts w:ascii="Arial"/>
                <w:sz w:val="20"/>
              </w:rPr>
              <w:t>10</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5"/>
              <w:jc w:val="right"/>
              <w:rPr>
                <w:rFonts w:ascii="Arial" w:hAnsi="Arial" w:cs="Arial" w:eastAsia="Arial" w:hint="default"/>
                <w:sz w:val="20"/>
                <w:szCs w:val="20"/>
              </w:rPr>
            </w:pPr>
            <w:r>
              <w:rPr>
                <w:rFonts w:ascii="Arial"/>
                <w:spacing w:val="-1"/>
                <w:sz w:val="20"/>
              </w:rPr>
              <w:t>863,232,527</w:t>
            </w:r>
            <w:r>
              <w:rPr>
                <w:rFonts w:ascii="Arial"/>
                <w:sz w:val="20"/>
              </w:rPr>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02"/>
              <w:jc w:val="right"/>
              <w:rPr>
                <w:rFonts w:ascii="Arial" w:hAnsi="Arial" w:cs="Arial" w:eastAsia="Arial" w:hint="default"/>
                <w:sz w:val="20"/>
                <w:szCs w:val="20"/>
              </w:rPr>
            </w:pPr>
            <w:r>
              <w:rPr>
                <w:rFonts w:ascii="Arial"/>
                <w:spacing w:val="-1"/>
                <w:sz w:val="20"/>
              </w:rPr>
              <w:t>795,826,110</w:t>
            </w:r>
            <w:r>
              <w:rPr>
                <w:rFonts w:ascii="Arial"/>
                <w:sz w:val="20"/>
              </w:rPr>
            </w:r>
          </w:p>
        </w:tc>
      </w:tr>
      <w:tr>
        <w:trPr>
          <w:trHeight w:val="259"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26" w:lineRule="exact"/>
              <w:ind w:left="468" w:right="0"/>
              <w:jc w:val="left"/>
              <w:rPr>
                <w:rFonts w:ascii="黑体" w:hAnsi="黑体" w:cs="黑体" w:eastAsia="黑体" w:hint="default"/>
                <w:sz w:val="20"/>
                <w:szCs w:val="20"/>
              </w:rPr>
            </w:pPr>
            <w:r>
              <w:rPr>
                <w:rFonts w:ascii="黑体" w:hAnsi="黑体" w:cs="黑体" w:eastAsia="黑体" w:hint="default"/>
                <w:sz w:val="20"/>
                <w:szCs w:val="20"/>
              </w:rPr>
              <w:t>在建工程</w:t>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98" w:right="0"/>
              <w:jc w:val="left"/>
              <w:rPr>
                <w:rFonts w:ascii="Arial" w:hAnsi="Arial" w:cs="Arial" w:eastAsia="Arial" w:hint="default"/>
                <w:sz w:val="20"/>
                <w:szCs w:val="20"/>
              </w:rPr>
            </w:pPr>
            <w:r>
              <w:rPr>
                <w:rFonts w:ascii="Arial"/>
                <w:sz w:val="20"/>
              </w:rPr>
              <w:t>11</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65"/>
              <w:jc w:val="right"/>
              <w:rPr>
                <w:rFonts w:ascii="Arial" w:hAnsi="Arial" w:cs="Arial" w:eastAsia="Arial" w:hint="default"/>
                <w:sz w:val="20"/>
                <w:szCs w:val="20"/>
              </w:rPr>
            </w:pPr>
            <w:r>
              <w:rPr>
                <w:rFonts w:ascii="Arial"/>
                <w:spacing w:val="-1"/>
                <w:sz w:val="20"/>
              </w:rPr>
              <w:t>526,077,920</w:t>
            </w:r>
            <w:r>
              <w:rPr>
                <w:rFonts w:ascii="Arial"/>
                <w:sz w:val="20"/>
              </w:rPr>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2"/>
              <w:jc w:val="right"/>
              <w:rPr>
                <w:rFonts w:ascii="Arial" w:hAnsi="Arial" w:cs="Arial" w:eastAsia="Arial" w:hint="default"/>
                <w:sz w:val="20"/>
                <w:szCs w:val="20"/>
              </w:rPr>
            </w:pPr>
            <w:r>
              <w:rPr>
                <w:rFonts w:ascii="Arial"/>
                <w:spacing w:val="-1"/>
                <w:sz w:val="20"/>
              </w:rPr>
              <w:t>335,887,800</w:t>
            </w:r>
            <w:r>
              <w:rPr>
                <w:rFonts w:ascii="Arial"/>
                <w:sz w:val="20"/>
              </w:rPr>
            </w:r>
          </w:p>
        </w:tc>
      </w:tr>
      <w:tr>
        <w:trPr>
          <w:trHeight w:val="259"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26" w:lineRule="exact"/>
              <w:ind w:left="468" w:right="0"/>
              <w:jc w:val="left"/>
              <w:rPr>
                <w:rFonts w:ascii="黑体" w:hAnsi="黑体" w:cs="黑体" w:eastAsia="黑体" w:hint="default"/>
                <w:sz w:val="20"/>
                <w:szCs w:val="20"/>
              </w:rPr>
            </w:pPr>
            <w:r>
              <w:rPr>
                <w:rFonts w:ascii="黑体" w:hAnsi="黑体" w:cs="黑体" w:eastAsia="黑体" w:hint="default"/>
                <w:sz w:val="20"/>
                <w:szCs w:val="20"/>
              </w:rPr>
              <w:t>无形资产</w:t>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98" w:right="0"/>
              <w:jc w:val="left"/>
              <w:rPr>
                <w:rFonts w:ascii="Arial" w:hAnsi="Arial" w:cs="Arial" w:eastAsia="Arial" w:hint="default"/>
                <w:sz w:val="20"/>
                <w:szCs w:val="20"/>
              </w:rPr>
            </w:pPr>
            <w:r>
              <w:rPr>
                <w:rFonts w:ascii="Arial"/>
                <w:sz w:val="20"/>
              </w:rPr>
              <w:t>12</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65"/>
              <w:jc w:val="right"/>
              <w:rPr>
                <w:rFonts w:ascii="Arial" w:hAnsi="Arial" w:cs="Arial" w:eastAsia="Arial" w:hint="default"/>
                <w:sz w:val="20"/>
                <w:szCs w:val="20"/>
              </w:rPr>
            </w:pPr>
            <w:r>
              <w:rPr>
                <w:rFonts w:ascii="Arial"/>
                <w:spacing w:val="-1"/>
                <w:sz w:val="20"/>
              </w:rPr>
              <w:t>374,370,913</w:t>
            </w:r>
            <w:r>
              <w:rPr>
                <w:rFonts w:ascii="Arial"/>
                <w:sz w:val="20"/>
              </w:rPr>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2"/>
              <w:jc w:val="right"/>
              <w:rPr>
                <w:rFonts w:ascii="Arial" w:hAnsi="Arial" w:cs="Arial" w:eastAsia="Arial" w:hint="default"/>
                <w:sz w:val="20"/>
                <w:szCs w:val="20"/>
              </w:rPr>
            </w:pPr>
            <w:r>
              <w:rPr>
                <w:rFonts w:ascii="Arial"/>
                <w:spacing w:val="-1"/>
                <w:sz w:val="20"/>
              </w:rPr>
              <w:t>396,699,277</w:t>
            </w:r>
            <w:r>
              <w:rPr>
                <w:rFonts w:ascii="Arial"/>
                <w:sz w:val="20"/>
              </w:rPr>
            </w:r>
          </w:p>
        </w:tc>
      </w:tr>
      <w:tr>
        <w:trPr>
          <w:trHeight w:val="259"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26" w:lineRule="exact"/>
              <w:ind w:left="468" w:right="0"/>
              <w:jc w:val="left"/>
              <w:rPr>
                <w:rFonts w:ascii="黑体" w:hAnsi="黑体" w:cs="黑体" w:eastAsia="黑体" w:hint="default"/>
                <w:sz w:val="20"/>
                <w:szCs w:val="20"/>
              </w:rPr>
            </w:pPr>
            <w:r>
              <w:rPr>
                <w:rFonts w:ascii="黑体" w:hAnsi="黑体" w:cs="黑体" w:eastAsia="黑体" w:hint="default"/>
                <w:sz w:val="20"/>
                <w:szCs w:val="20"/>
              </w:rPr>
              <w:t>开发支出</w:t>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98" w:right="0"/>
              <w:jc w:val="left"/>
              <w:rPr>
                <w:rFonts w:ascii="Arial" w:hAnsi="Arial" w:cs="Arial" w:eastAsia="Arial" w:hint="default"/>
                <w:sz w:val="20"/>
                <w:szCs w:val="20"/>
              </w:rPr>
            </w:pPr>
            <w:r>
              <w:rPr>
                <w:rFonts w:ascii="Arial"/>
                <w:sz w:val="20"/>
              </w:rPr>
              <w:t>13</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65"/>
              <w:jc w:val="right"/>
              <w:rPr>
                <w:rFonts w:ascii="Arial" w:hAnsi="Arial" w:cs="Arial" w:eastAsia="Arial" w:hint="default"/>
                <w:sz w:val="20"/>
                <w:szCs w:val="20"/>
              </w:rPr>
            </w:pPr>
            <w:r>
              <w:rPr>
                <w:rFonts w:ascii="Arial"/>
                <w:spacing w:val="-1"/>
                <w:sz w:val="20"/>
              </w:rPr>
              <w:t>40,310,781</w:t>
            </w:r>
            <w:r>
              <w:rPr>
                <w:rFonts w:ascii="Arial"/>
                <w:sz w:val="20"/>
              </w:rPr>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9"/>
              <w:jc w:val="right"/>
              <w:rPr>
                <w:rFonts w:ascii="Arial" w:hAnsi="Arial" w:cs="Arial" w:eastAsia="Arial" w:hint="default"/>
                <w:sz w:val="20"/>
                <w:szCs w:val="20"/>
              </w:rPr>
            </w:pPr>
            <w:r>
              <w:rPr>
                <w:rFonts w:ascii="Arial"/>
                <w:w w:val="99"/>
                <w:sz w:val="20"/>
              </w:rPr>
              <w:t>-</w:t>
            </w:r>
            <w:r>
              <w:rPr>
                <w:rFonts w:ascii="Arial"/>
                <w:sz w:val="20"/>
              </w:rPr>
            </w:r>
          </w:p>
        </w:tc>
      </w:tr>
      <w:tr>
        <w:trPr>
          <w:trHeight w:val="259"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26" w:lineRule="exact"/>
              <w:ind w:left="468" w:right="0"/>
              <w:jc w:val="left"/>
              <w:rPr>
                <w:rFonts w:ascii="黑体" w:hAnsi="黑体" w:cs="黑体" w:eastAsia="黑体" w:hint="default"/>
                <w:sz w:val="20"/>
                <w:szCs w:val="20"/>
              </w:rPr>
            </w:pPr>
            <w:r>
              <w:rPr>
                <w:rFonts w:ascii="黑体" w:hAnsi="黑体" w:cs="黑体" w:eastAsia="黑体" w:hint="default"/>
                <w:sz w:val="20"/>
                <w:szCs w:val="20"/>
              </w:rPr>
              <w:t>商誉</w:t>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98" w:right="0"/>
              <w:jc w:val="left"/>
              <w:rPr>
                <w:rFonts w:ascii="Arial" w:hAnsi="Arial" w:cs="Arial" w:eastAsia="Arial" w:hint="default"/>
                <w:sz w:val="20"/>
                <w:szCs w:val="20"/>
              </w:rPr>
            </w:pPr>
            <w:r>
              <w:rPr>
                <w:rFonts w:ascii="Arial"/>
                <w:sz w:val="20"/>
              </w:rPr>
              <w:t>14</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65"/>
              <w:jc w:val="right"/>
              <w:rPr>
                <w:rFonts w:ascii="Arial" w:hAnsi="Arial" w:cs="Arial" w:eastAsia="Arial" w:hint="default"/>
                <w:sz w:val="20"/>
                <w:szCs w:val="20"/>
              </w:rPr>
            </w:pPr>
            <w:r>
              <w:rPr>
                <w:rFonts w:ascii="Arial"/>
                <w:spacing w:val="-1"/>
                <w:sz w:val="20"/>
              </w:rPr>
              <w:t>871,300,204</w:t>
            </w:r>
            <w:r>
              <w:rPr>
                <w:rFonts w:ascii="Arial"/>
                <w:sz w:val="20"/>
              </w:rPr>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2"/>
              <w:jc w:val="right"/>
              <w:rPr>
                <w:rFonts w:ascii="Arial" w:hAnsi="Arial" w:cs="Arial" w:eastAsia="Arial" w:hint="default"/>
                <w:sz w:val="20"/>
                <w:szCs w:val="20"/>
              </w:rPr>
            </w:pPr>
            <w:r>
              <w:rPr>
                <w:rFonts w:ascii="Arial"/>
                <w:spacing w:val="-1"/>
                <w:sz w:val="20"/>
              </w:rPr>
              <w:t>871,340,889</w:t>
            </w:r>
            <w:r>
              <w:rPr>
                <w:rFonts w:ascii="Arial"/>
                <w:sz w:val="20"/>
              </w:rPr>
            </w:r>
          </w:p>
        </w:tc>
      </w:tr>
      <w:tr>
        <w:trPr>
          <w:trHeight w:val="259"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26" w:lineRule="exact"/>
              <w:ind w:left="468" w:right="0"/>
              <w:jc w:val="left"/>
              <w:rPr>
                <w:rFonts w:ascii="黑体" w:hAnsi="黑体" w:cs="黑体" w:eastAsia="黑体" w:hint="default"/>
                <w:sz w:val="20"/>
                <w:szCs w:val="20"/>
              </w:rPr>
            </w:pPr>
            <w:r>
              <w:rPr>
                <w:rFonts w:ascii="黑体" w:hAnsi="黑体" w:cs="黑体" w:eastAsia="黑体" w:hint="default"/>
                <w:sz w:val="20"/>
                <w:szCs w:val="20"/>
              </w:rPr>
              <w:t>长期待摊费用</w:t>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98" w:right="0"/>
              <w:jc w:val="left"/>
              <w:rPr>
                <w:rFonts w:ascii="Arial" w:hAnsi="Arial" w:cs="Arial" w:eastAsia="Arial" w:hint="default"/>
                <w:sz w:val="20"/>
                <w:szCs w:val="20"/>
              </w:rPr>
            </w:pPr>
            <w:r>
              <w:rPr>
                <w:rFonts w:ascii="Arial"/>
                <w:sz w:val="20"/>
              </w:rPr>
              <w:t>15</w:t>
            </w: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65"/>
              <w:jc w:val="right"/>
              <w:rPr>
                <w:rFonts w:ascii="Arial" w:hAnsi="Arial" w:cs="Arial" w:eastAsia="Arial" w:hint="default"/>
                <w:sz w:val="20"/>
                <w:szCs w:val="20"/>
              </w:rPr>
            </w:pPr>
            <w:r>
              <w:rPr>
                <w:rFonts w:ascii="Arial"/>
                <w:spacing w:val="-1"/>
                <w:sz w:val="20"/>
              </w:rPr>
              <w:t>33,012,159</w:t>
            </w:r>
            <w:r>
              <w:rPr>
                <w:rFonts w:ascii="Arial"/>
                <w:sz w:val="20"/>
              </w:rPr>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2"/>
              <w:jc w:val="right"/>
              <w:rPr>
                <w:rFonts w:ascii="Arial" w:hAnsi="Arial" w:cs="Arial" w:eastAsia="Arial" w:hint="default"/>
                <w:sz w:val="20"/>
                <w:szCs w:val="20"/>
              </w:rPr>
            </w:pPr>
            <w:r>
              <w:rPr>
                <w:rFonts w:ascii="Arial"/>
                <w:spacing w:val="-1"/>
                <w:sz w:val="20"/>
              </w:rPr>
              <w:t>40,050,562</w:t>
            </w:r>
            <w:r>
              <w:rPr>
                <w:rFonts w:ascii="Arial"/>
                <w:sz w:val="20"/>
              </w:rPr>
            </w:r>
          </w:p>
        </w:tc>
      </w:tr>
      <w:tr>
        <w:trPr>
          <w:trHeight w:val="374"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26" w:lineRule="exact"/>
              <w:ind w:left="468" w:right="0"/>
              <w:jc w:val="left"/>
              <w:rPr>
                <w:rFonts w:ascii="黑体" w:hAnsi="黑体" w:cs="黑体" w:eastAsia="黑体" w:hint="default"/>
                <w:sz w:val="20"/>
                <w:szCs w:val="20"/>
              </w:rPr>
            </w:pPr>
            <w:r>
              <w:rPr>
                <w:rFonts w:ascii="黑体" w:hAnsi="黑体" w:cs="黑体" w:eastAsia="黑体" w:hint="default"/>
                <w:sz w:val="20"/>
                <w:szCs w:val="20"/>
              </w:rPr>
              <w:t>递延所得税资产</w:t>
            </w:r>
          </w:p>
        </w:tc>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98" w:right="0"/>
              <w:jc w:val="left"/>
              <w:rPr>
                <w:rFonts w:ascii="Arial" w:hAnsi="Arial" w:cs="Arial" w:eastAsia="Arial" w:hint="default"/>
                <w:sz w:val="20"/>
                <w:szCs w:val="20"/>
              </w:rPr>
            </w:pPr>
            <w:r>
              <w:rPr>
                <w:rFonts w:ascii="Arial"/>
                <w:sz w:val="20"/>
              </w:rPr>
              <w:t>16</w:t>
            </w:r>
          </w:p>
        </w:tc>
        <w:tc>
          <w:tcPr>
            <w:tcW w:w="1994" w:type="dxa"/>
            <w:tcBorders>
              <w:top w:val="nil" w:sz="6" w:space="0" w:color="auto"/>
              <w:left w:val="nil" w:sz="6" w:space="0" w:color="auto"/>
              <w:bottom w:val="nil" w:sz="6" w:space="0" w:color="auto"/>
              <w:right w:val="nil" w:sz="6" w:space="0" w:color="auto"/>
            </w:tcBorders>
          </w:tcPr>
          <w:p>
            <w:pPr>
              <w:pStyle w:val="TableParagraph"/>
              <w:tabs>
                <w:tab w:pos="292" w:val="left" w:leader="none"/>
              </w:tabs>
              <w:spacing w:line="240" w:lineRule="auto" w:before="7"/>
              <w:ind w:right="365"/>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72,302,533</w:t>
            </w:r>
            <w:r>
              <w:rPr>
                <w:rFonts w:ascii="Arial"/>
                <w:spacing w:val="-1"/>
                <w:w w:val="95"/>
                <w:sz w:val="20"/>
              </w:rPr>
            </w:r>
            <w:r>
              <w:rPr>
                <w:rFonts w:ascii="Arial"/>
                <w:sz w:val="20"/>
              </w:rPr>
            </w:r>
          </w:p>
        </w:tc>
        <w:tc>
          <w:tcPr>
            <w:tcW w:w="1846" w:type="dxa"/>
            <w:tcBorders>
              <w:top w:val="nil" w:sz="6" w:space="0" w:color="auto"/>
              <w:left w:val="nil" w:sz="6" w:space="0" w:color="auto"/>
              <w:bottom w:val="nil" w:sz="6" w:space="0" w:color="auto"/>
              <w:right w:val="nil" w:sz="6" w:space="0" w:color="auto"/>
            </w:tcBorders>
          </w:tcPr>
          <w:p>
            <w:pPr>
              <w:pStyle w:val="TableParagraph"/>
              <w:tabs>
                <w:tab w:pos="266" w:val="left" w:leader="none"/>
              </w:tabs>
              <w:spacing w:line="240" w:lineRule="auto" w:before="7"/>
              <w:ind w:right="201"/>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sz w:val="20"/>
                <w:u w:val="single" w:color="000000"/>
              </w:rPr>
              <w:t>68,313,588</w:t>
            </w:r>
            <w:r>
              <w:rPr>
                <w:rFonts w:ascii="Arial"/>
                <w:spacing w:val="-1"/>
                <w:sz w:val="20"/>
              </w:rPr>
            </w:r>
          </w:p>
        </w:tc>
      </w:tr>
      <w:tr>
        <w:trPr>
          <w:trHeight w:val="490"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00" w:right="0"/>
              <w:jc w:val="left"/>
              <w:rPr>
                <w:rFonts w:ascii="黑体" w:hAnsi="黑体" w:cs="黑体" w:eastAsia="黑体" w:hint="default"/>
                <w:sz w:val="20"/>
                <w:szCs w:val="20"/>
              </w:rPr>
            </w:pPr>
            <w:r>
              <w:rPr>
                <w:rFonts w:ascii="黑体" w:hAnsi="黑体" w:cs="黑体" w:eastAsia="黑体" w:hint="default"/>
                <w:sz w:val="20"/>
                <w:szCs w:val="20"/>
              </w:rPr>
              <w:t>非流动资产合计</w:t>
            </w:r>
          </w:p>
        </w:tc>
        <w:tc>
          <w:tcPr>
            <w:tcW w:w="2064" w:type="dxa"/>
            <w:tcBorders>
              <w:top w:val="nil" w:sz="6" w:space="0" w:color="auto"/>
              <w:left w:val="nil" w:sz="6" w:space="0" w:color="auto"/>
              <w:bottom w:val="nil" w:sz="6" w:space="0" w:color="auto"/>
              <w:right w:val="nil" w:sz="6" w:space="0" w:color="auto"/>
            </w:tcBorders>
          </w:tcPr>
          <w:p>
            <w:pP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65"/>
              <w:jc w:val="right"/>
              <w:rPr>
                <w:rFonts w:ascii="Arial" w:hAnsi="Arial" w:cs="Arial" w:eastAsia="Arial" w:hint="default"/>
                <w:sz w:val="20"/>
                <w:szCs w:val="20"/>
              </w:rPr>
            </w:pPr>
            <w:r>
              <w:rPr>
                <w:rFonts w:ascii="Arial"/>
                <w:w w:val="99"/>
                <w:sz w:val="20"/>
              </w:rPr>
            </w:r>
            <w:r>
              <w:rPr>
                <w:rFonts w:ascii="Arial"/>
                <w:spacing w:val="-1"/>
                <w:sz w:val="20"/>
                <w:u w:val="single" w:color="000000"/>
              </w:rPr>
              <w:t>2,957,236,213</w:t>
            </w:r>
            <w:r>
              <w:rPr>
                <w:rFonts w:ascii="Arial"/>
                <w:spacing w:val="-1"/>
                <w:sz w:val="20"/>
              </w:rPr>
            </w:r>
            <w:r>
              <w:rPr>
                <w:rFonts w:ascii="Arial"/>
                <w:sz w:val="20"/>
              </w:rPr>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02"/>
              <w:jc w:val="right"/>
              <w:rPr>
                <w:rFonts w:ascii="Arial" w:hAnsi="Arial" w:cs="Arial" w:eastAsia="Arial" w:hint="default"/>
                <w:sz w:val="20"/>
                <w:szCs w:val="20"/>
              </w:rPr>
            </w:pPr>
            <w:r>
              <w:rPr>
                <w:rFonts w:ascii="Arial"/>
                <w:w w:val="99"/>
                <w:sz w:val="20"/>
              </w:rPr>
            </w:r>
            <w:r>
              <w:rPr>
                <w:rFonts w:ascii="Arial"/>
                <w:spacing w:val="-1"/>
                <w:sz w:val="20"/>
                <w:u w:val="single" w:color="000000"/>
              </w:rPr>
              <w:t>2,671,014,579</w:t>
            </w:r>
            <w:r>
              <w:rPr>
                <w:rFonts w:ascii="Arial"/>
                <w:spacing w:val="-1"/>
                <w:sz w:val="20"/>
              </w:rPr>
            </w:r>
            <w:r>
              <w:rPr>
                <w:rFonts w:ascii="Arial"/>
                <w:sz w:val="20"/>
              </w:rPr>
            </w:r>
          </w:p>
        </w:tc>
      </w:tr>
      <w:tr>
        <w:trPr>
          <w:trHeight w:val="348" w:hRule="exact"/>
        </w:trPr>
        <w:tc>
          <w:tcPr>
            <w:tcW w:w="2974"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00" w:right="0"/>
              <w:jc w:val="left"/>
              <w:rPr>
                <w:rFonts w:ascii="黑体" w:hAnsi="黑体" w:cs="黑体" w:eastAsia="黑体" w:hint="default"/>
                <w:sz w:val="20"/>
                <w:szCs w:val="20"/>
              </w:rPr>
            </w:pPr>
            <w:r>
              <w:rPr>
                <w:rFonts w:ascii="黑体" w:hAnsi="黑体" w:cs="黑体" w:eastAsia="黑体" w:hint="default"/>
                <w:sz w:val="20"/>
                <w:szCs w:val="20"/>
              </w:rPr>
              <w:t>资产总计</w:t>
            </w:r>
          </w:p>
        </w:tc>
        <w:tc>
          <w:tcPr>
            <w:tcW w:w="2064" w:type="dxa"/>
            <w:tcBorders>
              <w:top w:val="nil" w:sz="6" w:space="0" w:color="auto"/>
              <w:left w:val="nil" w:sz="6" w:space="0" w:color="auto"/>
              <w:bottom w:val="nil" w:sz="6" w:space="0" w:color="auto"/>
              <w:right w:val="nil" w:sz="6" w:space="0" w:color="auto"/>
            </w:tcBorders>
          </w:tcPr>
          <w:p>
            <w:pPr/>
          </w:p>
        </w:tc>
        <w:tc>
          <w:tcPr>
            <w:tcW w:w="1994"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63"/>
              <w:jc w:val="right"/>
              <w:rPr>
                <w:rFonts w:ascii="Arial" w:hAnsi="Arial" w:cs="Arial" w:eastAsia="Arial" w:hint="default"/>
                <w:sz w:val="20"/>
                <w:szCs w:val="20"/>
              </w:rPr>
            </w:pPr>
            <w:r>
              <w:rPr>
                <w:rFonts w:ascii="Arial"/>
                <w:w w:val="99"/>
                <w:sz w:val="20"/>
              </w:rPr>
            </w:r>
            <w:r>
              <w:rPr>
                <w:rFonts w:ascii="Arial"/>
                <w:spacing w:val="-1"/>
                <w:sz w:val="20"/>
                <w:u w:val="thick" w:color="000000"/>
              </w:rPr>
              <w:t>6,156,291,272</w:t>
            </w:r>
            <w:r>
              <w:rPr>
                <w:rFonts w:ascii="Arial"/>
                <w:spacing w:val="-1"/>
                <w:sz w:val="20"/>
              </w:rPr>
            </w:r>
            <w:r>
              <w:rPr>
                <w:rFonts w:ascii="Arial"/>
                <w:sz w:val="20"/>
              </w:rPr>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02"/>
              <w:jc w:val="right"/>
              <w:rPr>
                <w:rFonts w:ascii="Arial" w:hAnsi="Arial" w:cs="Arial" w:eastAsia="Arial" w:hint="default"/>
                <w:sz w:val="20"/>
                <w:szCs w:val="20"/>
              </w:rPr>
            </w:pPr>
            <w:r>
              <w:rPr>
                <w:rFonts w:ascii="Arial"/>
                <w:w w:val="99"/>
                <w:sz w:val="20"/>
              </w:rPr>
            </w:r>
            <w:r>
              <w:rPr>
                <w:rFonts w:ascii="Arial"/>
                <w:spacing w:val="-1"/>
                <w:sz w:val="20"/>
                <w:u w:val="thick" w:color="000000"/>
              </w:rPr>
              <w:t>5,461,679,188</w:t>
            </w:r>
            <w:r>
              <w:rPr>
                <w:rFonts w:ascii="Arial"/>
                <w:spacing w:val="-1"/>
                <w:sz w:val="20"/>
              </w:rPr>
            </w:r>
            <w:r>
              <w:rPr>
                <w:rFonts w:ascii="Arial"/>
                <w:sz w:val="20"/>
              </w:rPr>
            </w:r>
          </w:p>
        </w:tc>
      </w:tr>
    </w:tbl>
    <w:p>
      <w:pPr>
        <w:spacing w:after="0" w:line="240" w:lineRule="auto"/>
        <w:jc w:val="right"/>
        <w:rPr>
          <w:rFonts w:ascii="Arial" w:hAnsi="Arial" w:cs="Arial" w:eastAsia="Arial" w:hint="default"/>
          <w:sz w:val="20"/>
          <w:szCs w:val="20"/>
        </w:rPr>
        <w:sectPr>
          <w:headerReference w:type="default" r:id="rId42"/>
          <w:pgSz w:w="11910" w:h="16850"/>
          <w:pgMar w:header="957" w:footer="823" w:top="1160" w:bottom="1020" w:left="1420" w:right="1400"/>
        </w:sectPr>
      </w:pPr>
    </w:p>
    <w:p>
      <w:pPr>
        <w:pStyle w:val="Heading4"/>
        <w:spacing w:line="240" w:lineRule="auto"/>
        <w:ind w:left="3539" w:right="3637"/>
        <w:jc w:val="center"/>
        <w:rPr>
          <w:b w:val="0"/>
          <w:bCs w:val="0"/>
        </w:rPr>
      </w:pPr>
      <w:r>
        <w:rPr/>
        <w:t>合并资产负债表(续)</w:t>
      </w:r>
      <w:r>
        <w:rPr>
          <w:b w:val="0"/>
          <w:bCs w:val="0"/>
        </w:rPr>
      </w:r>
    </w:p>
    <w:p>
      <w:pPr>
        <w:pStyle w:val="Heading4"/>
        <w:spacing w:line="240" w:lineRule="auto"/>
        <w:ind w:left="3539" w:right="3637"/>
        <w:jc w:val="center"/>
        <w:rPr>
          <w:b w:val="0"/>
          <w:bCs w:val="0"/>
        </w:rPr>
      </w:pPr>
      <w:r>
        <w:rPr>
          <w:rFonts w:ascii="Arial" w:hAnsi="Arial" w:cs="Arial" w:eastAsia="Arial" w:hint="default"/>
        </w:rPr>
        <w:t>2012</w:t>
      </w:r>
      <w:r>
        <w:rPr>
          <w:rFonts w:ascii="Arial" w:hAnsi="Arial" w:cs="Arial" w:eastAsia="Arial" w:hint="default"/>
          <w:spacing w:val="-8"/>
        </w:rPr>
        <w:t> </w:t>
      </w:r>
      <w:r>
        <w:rPr/>
        <w:t>年</w:t>
      </w:r>
      <w:r>
        <w:rPr>
          <w:spacing w:val="-55"/>
        </w:rPr>
        <w:t> </w:t>
      </w:r>
      <w:r>
        <w:rPr>
          <w:rFonts w:ascii="Arial" w:hAnsi="Arial" w:cs="Arial" w:eastAsia="Arial" w:hint="default"/>
        </w:rPr>
        <w:t>12</w:t>
      </w:r>
      <w:r>
        <w:rPr>
          <w:rFonts w:ascii="Arial" w:hAnsi="Arial" w:cs="Arial" w:eastAsia="Arial" w:hint="default"/>
          <w:spacing w:val="-10"/>
        </w:rPr>
        <w:t> </w:t>
      </w:r>
      <w:r>
        <w:rPr/>
        <w:t>月</w:t>
      </w:r>
      <w:r>
        <w:rPr>
          <w:spacing w:val="-55"/>
        </w:rPr>
        <w:t> </w:t>
      </w:r>
      <w:r>
        <w:rPr>
          <w:rFonts w:ascii="Arial" w:hAnsi="Arial" w:cs="Arial" w:eastAsia="Arial" w:hint="default"/>
        </w:rPr>
        <w:t>31</w:t>
      </w:r>
      <w:r>
        <w:rPr>
          <w:rFonts w:ascii="Arial" w:hAnsi="Arial" w:cs="Arial" w:eastAsia="Arial" w:hint="default"/>
          <w:spacing w:val="-10"/>
        </w:rPr>
        <w:t> </w:t>
      </w:r>
      <w:r>
        <w:rPr/>
        <w:t>日</w:t>
      </w:r>
      <w:r>
        <w:rPr>
          <w:b w:val="0"/>
          <w:bCs w:val="0"/>
        </w:rPr>
      </w:r>
    </w:p>
    <w:p>
      <w:pPr>
        <w:pStyle w:val="Heading4"/>
        <w:spacing w:line="240" w:lineRule="auto" w:before="56"/>
        <w:ind w:left="3539" w:right="3634"/>
        <w:jc w:val="center"/>
        <w:rPr>
          <w:b w:val="0"/>
          <w:bCs w:val="0"/>
        </w:rPr>
      </w:pPr>
      <w:r>
        <w:rPr/>
        <w:t>人民币元</w:t>
      </w:r>
      <w:r>
        <w:rPr>
          <w:b w:val="0"/>
          <w:bCs w:val="0"/>
        </w:rPr>
      </w:r>
    </w:p>
    <w:p>
      <w:pPr>
        <w:spacing w:line="240" w:lineRule="auto" w:before="5"/>
        <w:rPr>
          <w:rFonts w:ascii="黑体" w:hAnsi="黑体" w:cs="黑体" w:eastAsia="黑体" w:hint="default"/>
          <w:b/>
          <w:bCs/>
          <w:sz w:val="20"/>
          <w:szCs w:val="20"/>
        </w:rPr>
      </w:pPr>
    </w:p>
    <w:tbl>
      <w:tblPr>
        <w:tblW w:w="0" w:type="auto"/>
        <w:jc w:val="left"/>
        <w:tblInd w:w="301" w:type="dxa"/>
        <w:tblLayout w:type="fixed"/>
        <w:tblCellMar>
          <w:top w:w="0" w:type="dxa"/>
          <w:left w:w="0" w:type="dxa"/>
          <w:bottom w:w="0" w:type="dxa"/>
          <w:right w:w="0" w:type="dxa"/>
        </w:tblCellMar>
        <w:tblLook w:val="01E0"/>
      </w:tblPr>
      <w:tblGrid>
        <w:gridCol w:w="3207"/>
        <w:gridCol w:w="1649"/>
        <w:gridCol w:w="1667"/>
        <w:gridCol w:w="345"/>
        <w:gridCol w:w="1635"/>
        <w:gridCol w:w="297"/>
      </w:tblGrid>
      <w:tr>
        <w:trPr>
          <w:trHeight w:val="1030" w:hRule="exact"/>
        </w:trPr>
        <w:tc>
          <w:tcPr>
            <w:tcW w:w="3207"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9"/>
              <w:ind w:right="0"/>
              <w:jc w:val="left"/>
              <w:rPr>
                <w:rFonts w:ascii="黑体" w:hAnsi="黑体" w:cs="黑体" w:eastAsia="黑体" w:hint="default"/>
                <w:b/>
                <w:bCs/>
                <w:sz w:val="26"/>
                <w:szCs w:val="26"/>
              </w:rPr>
            </w:pPr>
          </w:p>
          <w:p>
            <w:pPr>
              <w:pStyle w:val="TableParagraph"/>
              <w:spacing w:line="240" w:lineRule="auto"/>
              <w:ind w:left="55" w:right="0"/>
              <w:jc w:val="left"/>
              <w:rPr>
                <w:rFonts w:ascii="黑体" w:hAnsi="黑体" w:cs="黑体" w:eastAsia="黑体" w:hint="default"/>
                <w:sz w:val="20"/>
                <w:szCs w:val="20"/>
              </w:rPr>
            </w:pPr>
            <w:r>
              <w:rPr>
                <w:rFonts w:ascii="黑体" w:hAnsi="黑体" w:cs="黑体" w:eastAsia="黑体" w:hint="default"/>
                <w:b/>
                <w:bCs/>
                <w:sz w:val="20"/>
                <w:szCs w:val="20"/>
              </w:rPr>
              <w:t>负债及股东权益</w:t>
            </w:r>
            <w:r>
              <w:rPr>
                <w:rFonts w:ascii="黑体" w:hAnsi="黑体" w:cs="黑体" w:eastAsia="黑体" w:hint="default"/>
                <w:sz w:val="20"/>
                <w:szCs w:val="20"/>
              </w:rPr>
            </w:r>
          </w:p>
        </w:tc>
        <w:tc>
          <w:tcPr>
            <w:tcW w:w="1649"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9"/>
              <w:ind w:right="0"/>
              <w:jc w:val="left"/>
              <w:rPr>
                <w:rFonts w:ascii="黑体" w:hAnsi="黑体" w:cs="黑体" w:eastAsia="黑体" w:hint="default"/>
                <w:b/>
                <w:bCs/>
                <w:sz w:val="26"/>
                <w:szCs w:val="26"/>
              </w:rPr>
            </w:pPr>
          </w:p>
          <w:p>
            <w:pPr>
              <w:pStyle w:val="TableParagraph"/>
              <w:spacing w:line="240" w:lineRule="auto"/>
              <w:ind w:left="323" w:right="0"/>
              <w:jc w:val="center"/>
              <w:rPr>
                <w:rFonts w:ascii="黑体" w:hAnsi="黑体" w:cs="黑体" w:eastAsia="黑体" w:hint="default"/>
                <w:sz w:val="20"/>
                <w:szCs w:val="20"/>
              </w:rPr>
            </w:pPr>
            <w:r>
              <w:rPr>
                <w:rFonts w:ascii="黑体" w:hAnsi="黑体" w:cs="黑体" w:eastAsia="黑体" w:hint="default"/>
                <w:b/>
                <w:bCs/>
                <w:spacing w:val="2"/>
                <w:sz w:val="20"/>
                <w:szCs w:val="20"/>
              </w:rPr>
              <w:t>附注五</w:t>
            </w:r>
            <w:r>
              <w:rPr>
                <w:rFonts w:ascii="黑体" w:hAnsi="黑体" w:cs="黑体" w:eastAsia="黑体" w:hint="default"/>
                <w:sz w:val="20"/>
                <w:szCs w:val="20"/>
              </w:rPr>
            </w:r>
          </w:p>
        </w:tc>
        <w:tc>
          <w:tcPr>
            <w:tcW w:w="1667"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b/>
                <w:bCs/>
                <w:sz w:val="26"/>
                <w:szCs w:val="26"/>
              </w:rPr>
            </w:pPr>
          </w:p>
          <w:p>
            <w:pPr>
              <w:pStyle w:val="TableParagraph"/>
              <w:spacing w:line="268" w:lineRule="exact"/>
              <w:ind w:left="993" w:right="0"/>
              <w:jc w:val="left"/>
              <w:rPr>
                <w:rFonts w:ascii="黑体" w:hAnsi="黑体" w:cs="黑体" w:eastAsia="黑体" w:hint="default"/>
                <w:sz w:val="20"/>
                <w:szCs w:val="20"/>
              </w:rPr>
            </w:pPr>
            <w:r>
              <w:rPr>
                <w:rFonts w:ascii="Arial" w:hAnsi="Arial" w:cs="Arial" w:eastAsia="Arial" w:hint="default"/>
                <w:b/>
                <w:bCs/>
                <w:sz w:val="20"/>
                <w:szCs w:val="20"/>
              </w:rPr>
              <w:t>2012</w:t>
            </w:r>
            <w:r>
              <w:rPr>
                <w:rFonts w:ascii="黑体" w:hAnsi="黑体" w:cs="黑体" w:eastAsia="黑体" w:hint="default"/>
                <w:b/>
                <w:bCs/>
                <w:sz w:val="20"/>
                <w:szCs w:val="20"/>
              </w:rPr>
              <w:t>年</w:t>
            </w:r>
            <w:r>
              <w:rPr>
                <w:rFonts w:ascii="黑体" w:hAnsi="黑体" w:cs="黑体" w:eastAsia="黑体" w:hint="default"/>
                <w:sz w:val="20"/>
                <w:szCs w:val="20"/>
              </w:rPr>
            </w:r>
          </w:p>
          <w:p>
            <w:pPr>
              <w:pStyle w:val="TableParagraph"/>
              <w:spacing w:line="268" w:lineRule="exact"/>
              <w:ind w:left="792" w:right="0"/>
              <w:jc w:val="left"/>
              <w:rPr>
                <w:rFonts w:ascii="黑体" w:hAnsi="黑体" w:cs="黑体" w:eastAsia="黑体" w:hint="default"/>
                <w:sz w:val="20"/>
                <w:szCs w:val="20"/>
              </w:rPr>
            </w:pPr>
            <w:r>
              <w:rPr>
                <w:rFonts w:ascii="Arial" w:hAnsi="Arial" w:cs="Arial" w:eastAsia="Arial" w:hint="default"/>
                <w:b/>
                <w:bCs/>
                <w:sz w:val="20"/>
                <w:szCs w:val="20"/>
              </w:rPr>
              <w:t>12</w:t>
            </w:r>
            <w:r>
              <w:rPr>
                <w:rFonts w:ascii="黑体" w:hAnsi="黑体" w:cs="黑体" w:eastAsia="黑体" w:hint="default"/>
                <w:b/>
                <w:bCs/>
                <w:sz w:val="20"/>
                <w:szCs w:val="20"/>
              </w:rPr>
              <w:t>月</w:t>
            </w:r>
            <w:r>
              <w:rPr>
                <w:rFonts w:ascii="Arial" w:hAnsi="Arial" w:cs="Arial" w:eastAsia="Arial" w:hint="default"/>
                <w:b/>
                <w:bCs/>
                <w:sz w:val="20"/>
                <w:szCs w:val="20"/>
              </w:rPr>
              <w:t>31</w:t>
            </w:r>
            <w:r>
              <w:rPr>
                <w:rFonts w:ascii="黑体" w:hAnsi="黑体" w:cs="黑体" w:eastAsia="黑体" w:hint="default"/>
                <w:b/>
                <w:bCs/>
                <w:sz w:val="20"/>
                <w:szCs w:val="20"/>
              </w:rPr>
              <w:t>日</w:t>
            </w:r>
            <w:r>
              <w:rPr>
                <w:rFonts w:ascii="黑体" w:hAnsi="黑体" w:cs="黑体" w:eastAsia="黑体" w:hint="default"/>
                <w:sz w:val="20"/>
                <w:szCs w:val="20"/>
              </w:rPr>
            </w:r>
          </w:p>
        </w:tc>
        <w:tc>
          <w:tcPr>
            <w:tcW w:w="345" w:type="dxa"/>
            <w:tcBorders>
              <w:top w:val="single" w:sz="6" w:space="0" w:color="000000"/>
              <w:left w:val="nil" w:sz="6" w:space="0" w:color="auto"/>
              <w:bottom w:val="nil" w:sz="6" w:space="0" w:color="auto"/>
              <w:right w:val="nil" w:sz="6" w:space="0" w:color="auto"/>
            </w:tcBorders>
          </w:tcPr>
          <w:p>
            <w:pPr/>
          </w:p>
        </w:tc>
        <w:tc>
          <w:tcPr>
            <w:tcW w:w="1635"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b/>
                <w:bCs/>
                <w:sz w:val="26"/>
                <w:szCs w:val="26"/>
              </w:rPr>
            </w:pPr>
          </w:p>
          <w:p>
            <w:pPr>
              <w:pStyle w:val="TableParagraph"/>
              <w:spacing w:line="268" w:lineRule="exact"/>
              <w:ind w:left="961" w:right="0"/>
              <w:jc w:val="left"/>
              <w:rPr>
                <w:rFonts w:ascii="黑体" w:hAnsi="黑体" w:cs="黑体" w:eastAsia="黑体" w:hint="default"/>
                <w:sz w:val="20"/>
                <w:szCs w:val="20"/>
              </w:rPr>
            </w:pPr>
            <w:r>
              <w:rPr>
                <w:rFonts w:ascii="Arial" w:hAnsi="Arial" w:cs="Arial" w:eastAsia="Arial" w:hint="default"/>
                <w:b/>
                <w:bCs/>
                <w:sz w:val="20"/>
                <w:szCs w:val="20"/>
              </w:rPr>
              <w:t>2011</w:t>
            </w:r>
            <w:r>
              <w:rPr>
                <w:rFonts w:ascii="黑体" w:hAnsi="黑体" w:cs="黑体" w:eastAsia="黑体" w:hint="default"/>
                <w:b/>
                <w:bCs/>
                <w:sz w:val="20"/>
                <w:szCs w:val="20"/>
              </w:rPr>
              <w:t>年</w:t>
            </w:r>
            <w:r>
              <w:rPr>
                <w:rFonts w:ascii="黑体" w:hAnsi="黑体" w:cs="黑体" w:eastAsia="黑体" w:hint="default"/>
                <w:sz w:val="20"/>
                <w:szCs w:val="20"/>
              </w:rPr>
            </w:r>
          </w:p>
          <w:p>
            <w:pPr>
              <w:pStyle w:val="TableParagraph"/>
              <w:spacing w:line="268" w:lineRule="exact"/>
              <w:ind w:left="760" w:right="0"/>
              <w:jc w:val="left"/>
              <w:rPr>
                <w:rFonts w:ascii="黑体" w:hAnsi="黑体" w:cs="黑体" w:eastAsia="黑体" w:hint="default"/>
                <w:sz w:val="20"/>
                <w:szCs w:val="20"/>
              </w:rPr>
            </w:pPr>
            <w:r>
              <w:rPr>
                <w:rFonts w:ascii="Arial" w:hAnsi="Arial" w:cs="Arial" w:eastAsia="Arial" w:hint="default"/>
                <w:b/>
                <w:bCs/>
                <w:sz w:val="20"/>
                <w:szCs w:val="20"/>
              </w:rPr>
              <w:t>12</w:t>
            </w:r>
            <w:r>
              <w:rPr>
                <w:rFonts w:ascii="黑体" w:hAnsi="黑体" w:cs="黑体" w:eastAsia="黑体" w:hint="default"/>
                <w:b/>
                <w:bCs/>
                <w:sz w:val="20"/>
                <w:szCs w:val="20"/>
              </w:rPr>
              <w:t>月</w:t>
            </w:r>
            <w:r>
              <w:rPr>
                <w:rFonts w:ascii="Arial" w:hAnsi="Arial" w:cs="Arial" w:eastAsia="Arial" w:hint="default"/>
                <w:b/>
                <w:bCs/>
                <w:sz w:val="20"/>
                <w:szCs w:val="20"/>
              </w:rPr>
              <w:t>31</w:t>
            </w:r>
            <w:r>
              <w:rPr>
                <w:rFonts w:ascii="黑体" w:hAnsi="黑体" w:cs="黑体" w:eastAsia="黑体" w:hint="default"/>
                <w:b/>
                <w:bCs/>
                <w:sz w:val="20"/>
                <w:szCs w:val="20"/>
              </w:rPr>
              <w:t>日</w:t>
            </w:r>
            <w:r>
              <w:rPr>
                <w:rFonts w:ascii="黑体" w:hAnsi="黑体" w:cs="黑体" w:eastAsia="黑体" w:hint="default"/>
                <w:sz w:val="20"/>
                <w:szCs w:val="20"/>
              </w:rPr>
            </w:r>
          </w:p>
        </w:tc>
        <w:tc>
          <w:tcPr>
            <w:tcW w:w="297" w:type="dxa"/>
            <w:tcBorders>
              <w:top w:val="nil" w:sz="6" w:space="0" w:color="auto"/>
              <w:left w:val="nil" w:sz="6" w:space="0" w:color="auto"/>
              <w:bottom w:val="nil" w:sz="6" w:space="0" w:color="auto"/>
              <w:right w:val="nil" w:sz="6" w:space="0" w:color="auto"/>
            </w:tcBorders>
          </w:tcPr>
          <w:p>
            <w:pPr/>
          </w:p>
        </w:tc>
      </w:tr>
      <w:tr>
        <w:trPr>
          <w:trHeight w:val="484" w:hRule="exact"/>
        </w:trPr>
        <w:tc>
          <w:tcPr>
            <w:tcW w:w="320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5" w:right="0"/>
              <w:jc w:val="left"/>
              <w:rPr>
                <w:rFonts w:ascii="黑体" w:hAnsi="黑体" w:cs="黑体" w:eastAsia="黑体" w:hint="default"/>
                <w:sz w:val="20"/>
                <w:szCs w:val="20"/>
              </w:rPr>
            </w:pPr>
            <w:r>
              <w:rPr>
                <w:rFonts w:ascii="黑体" w:hAnsi="黑体" w:cs="黑体" w:eastAsia="黑体" w:hint="default"/>
                <w:sz w:val="20"/>
                <w:szCs w:val="20"/>
              </w:rPr>
              <w:t>流动负债：</w:t>
            </w:r>
          </w:p>
        </w:tc>
        <w:tc>
          <w:tcPr>
            <w:tcW w:w="1649"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
        </w:tc>
        <w:tc>
          <w:tcPr>
            <w:tcW w:w="345"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
        </w:tc>
        <w:tc>
          <w:tcPr>
            <w:tcW w:w="297" w:type="dxa"/>
            <w:tcBorders>
              <w:top w:val="nil" w:sz="6" w:space="0" w:color="auto"/>
              <w:left w:val="nil" w:sz="6" w:space="0" w:color="auto"/>
              <w:bottom w:val="nil" w:sz="6" w:space="0" w:color="auto"/>
              <w:right w:val="nil" w:sz="6" w:space="0" w:color="auto"/>
            </w:tcBorders>
          </w:tcPr>
          <w:p>
            <w:pPr/>
          </w:p>
        </w:tc>
      </w:tr>
      <w:tr>
        <w:trPr>
          <w:trHeight w:val="379" w:hRule="exact"/>
        </w:trPr>
        <w:tc>
          <w:tcPr>
            <w:tcW w:w="3207"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24" w:right="0"/>
              <w:jc w:val="left"/>
              <w:rPr>
                <w:rFonts w:ascii="黑体" w:hAnsi="黑体" w:cs="黑体" w:eastAsia="黑体" w:hint="default"/>
                <w:sz w:val="20"/>
                <w:szCs w:val="20"/>
              </w:rPr>
            </w:pPr>
            <w:r>
              <w:rPr>
                <w:rFonts w:ascii="黑体" w:hAnsi="黑体" w:cs="黑体" w:eastAsia="黑体" w:hint="default"/>
                <w:sz w:val="20"/>
                <w:szCs w:val="20"/>
              </w:rPr>
              <w:t>短期借款</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319" w:right="0"/>
              <w:jc w:val="center"/>
              <w:rPr>
                <w:rFonts w:ascii="Arial" w:hAnsi="Arial" w:cs="Arial" w:eastAsia="Arial" w:hint="default"/>
                <w:sz w:val="20"/>
                <w:szCs w:val="20"/>
              </w:rPr>
            </w:pPr>
            <w:r>
              <w:rPr>
                <w:rFonts w:ascii="Arial"/>
                <w:sz w:val="20"/>
              </w:rPr>
              <w:t>19</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8"/>
              <w:jc w:val="right"/>
              <w:rPr>
                <w:rFonts w:ascii="Arial" w:hAnsi="Arial" w:cs="Arial" w:eastAsia="Arial" w:hint="default"/>
                <w:sz w:val="20"/>
                <w:szCs w:val="20"/>
              </w:rPr>
            </w:pPr>
            <w:r>
              <w:rPr>
                <w:rFonts w:ascii="Arial"/>
                <w:spacing w:val="-1"/>
                <w:sz w:val="20"/>
              </w:rPr>
              <w:t>1,010,000,000</w:t>
            </w:r>
            <w:r>
              <w:rPr>
                <w:rFonts w:ascii="Arial"/>
                <w:sz w:val="20"/>
              </w:rPr>
            </w:r>
          </w:p>
        </w:tc>
        <w:tc>
          <w:tcPr>
            <w:tcW w:w="345"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8"/>
              <w:jc w:val="right"/>
              <w:rPr>
                <w:rFonts w:ascii="Arial" w:hAnsi="Arial" w:cs="Arial" w:eastAsia="Arial" w:hint="default"/>
                <w:sz w:val="20"/>
                <w:szCs w:val="20"/>
              </w:rPr>
            </w:pPr>
            <w:r>
              <w:rPr>
                <w:rFonts w:ascii="Arial"/>
                <w:spacing w:val="-1"/>
                <w:sz w:val="20"/>
              </w:rPr>
              <w:t>490,000,000</w:t>
            </w:r>
            <w:r>
              <w:rPr>
                <w:rFonts w:ascii="Arial"/>
                <w:sz w:val="20"/>
              </w:rPr>
            </w:r>
          </w:p>
        </w:tc>
        <w:tc>
          <w:tcPr>
            <w:tcW w:w="297" w:type="dxa"/>
            <w:tcBorders>
              <w:top w:val="nil" w:sz="6" w:space="0" w:color="auto"/>
              <w:left w:val="nil" w:sz="6" w:space="0" w:color="auto"/>
              <w:bottom w:val="nil" w:sz="6" w:space="0" w:color="auto"/>
              <w:right w:val="nil" w:sz="6" w:space="0" w:color="auto"/>
            </w:tcBorders>
          </w:tcPr>
          <w:p>
            <w:pPr/>
          </w:p>
        </w:tc>
      </w:tr>
      <w:tr>
        <w:trPr>
          <w:trHeight w:val="259" w:hRule="exact"/>
        </w:trPr>
        <w:tc>
          <w:tcPr>
            <w:tcW w:w="3207" w:type="dxa"/>
            <w:tcBorders>
              <w:top w:val="nil" w:sz="6" w:space="0" w:color="auto"/>
              <w:left w:val="nil" w:sz="6" w:space="0" w:color="auto"/>
              <w:bottom w:val="nil" w:sz="6" w:space="0" w:color="auto"/>
              <w:right w:val="nil" w:sz="6" w:space="0" w:color="auto"/>
            </w:tcBorders>
          </w:tcPr>
          <w:p>
            <w:pPr>
              <w:pStyle w:val="TableParagraph"/>
              <w:spacing w:line="226" w:lineRule="exact"/>
              <w:ind w:left="324" w:right="0"/>
              <w:jc w:val="left"/>
              <w:rPr>
                <w:rFonts w:ascii="黑体" w:hAnsi="黑体" w:cs="黑体" w:eastAsia="黑体" w:hint="default"/>
                <w:sz w:val="20"/>
                <w:szCs w:val="20"/>
              </w:rPr>
            </w:pPr>
            <w:r>
              <w:rPr>
                <w:rFonts w:ascii="黑体" w:hAnsi="黑体" w:cs="黑体" w:eastAsia="黑体" w:hint="default"/>
                <w:sz w:val="20"/>
                <w:szCs w:val="20"/>
              </w:rPr>
              <w:t>应付账款</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7"/>
              <w:ind w:left="319" w:right="0"/>
              <w:jc w:val="center"/>
              <w:rPr>
                <w:rFonts w:ascii="Arial" w:hAnsi="Arial" w:cs="Arial" w:eastAsia="Arial" w:hint="default"/>
                <w:sz w:val="20"/>
                <w:szCs w:val="20"/>
              </w:rPr>
            </w:pPr>
            <w:r>
              <w:rPr>
                <w:rFonts w:ascii="Arial"/>
                <w:sz w:val="20"/>
              </w:rPr>
              <w:t>20</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8"/>
              <w:jc w:val="right"/>
              <w:rPr>
                <w:rFonts w:ascii="Arial" w:hAnsi="Arial" w:cs="Arial" w:eastAsia="Arial" w:hint="default"/>
                <w:sz w:val="20"/>
                <w:szCs w:val="20"/>
              </w:rPr>
            </w:pPr>
            <w:r>
              <w:rPr>
                <w:rFonts w:ascii="Arial"/>
                <w:spacing w:val="-1"/>
                <w:sz w:val="20"/>
              </w:rPr>
              <w:t>289,175,529</w:t>
            </w:r>
            <w:r>
              <w:rPr>
                <w:rFonts w:ascii="Arial"/>
                <w:sz w:val="20"/>
              </w:rPr>
            </w:r>
          </w:p>
        </w:tc>
        <w:tc>
          <w:tcPr>
            <w:tcW w:w="345"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8"/>
              <w:jc w:val="right"/>
              <w:rPr>
                <w:rFonts w:ascii="Arial" w:hAnsi="Arial" w:cs="Arial" w:eastAsia="Arial" w:hint="default"/>
                <w:sz w:val="20"/>
                <w:szCs w:val="20"/>
              </w:rPr>
            </w:pPr>
            <w:r>
              <w:rPr>
                <w:rFonts w:ascii="Arial"/>
                <w:spacing w:val="-1"/>
                <w:sz w:val="20"/>
              </w:rPr>
              <w:t>227,014,672</w:t>
            </w:r>
            <w:r>
              <w:rPr>
                <w:rFonts w:ascii="Arial"/>
                <w:sz w:val="20"/>
              </w:rPr>
            </w:r>
          </w:p>
        </w:tc>
        <w:tc>
          <w:tcPr>
            <w:tcW w:w="297" w:type="dxa"/>
            <w:tcBorders>
              <w:top w:val="nil" w:sz="6" w:space="0" w:color="auto"/>
              <w:left w:val="nil" w:sz="6" w:space="0" w:color="auto"/>
              <w:bottom w:val="nil" w:sz="6" w:space="0" w:color="auto"/>
              <w:right w:val="nil" w:sz="6" w:space="0" w:color="auto"/>
            </w:tcBorders>
          </w:tcPr>
          <w:p>
            <w:pPr/>
          </w:p>
        </w:tc>
      </w:tr>
      <w:tr>
        <w:trPr>
          <w:trHeight w:val="259" w:hRule="exact"/>
        </w:trPr>
        <w:tc>
          <w:tcPr>
            <w:tcW w:w="3207" w:type="dxa"/>
            <w:tcBorders>
              <w:top w:val="nil" w:sz="6" w:space="0" w:color="auto"/>
              <w:left w:val="nil" w:sz="6" w:space="0" w:color="auto"/>
              <w:bottom w:val="nil" w:sz="6" w:space="0" w:color="auto"/>
              <w:right w:val="nil" w:sz="6" w:space="0" w:color="auto"/>
            </w:tcBorders>
          </w:tcPr>
          <w:p>
            <w:pPr>
              <w:pStyle w:val="TableParagraph"/>
              <w:spacing w:line="226" w:lineRule="exact"/>
              <w:ind w:left="324" w:right="0"/>
              <w:jc w:val="left"/>
              <w:rPr>
                <w:rFonts w:ascii="黑体" w:hAnsi="黑体" w:cs="黑体" w:eastAsia="黑体" w:hint="default"/>
                <w:sz w:val="20"/>
                <w:szCs w:val="20"/>
              </w:rPr>
            </w:pPr>
            <w:r>
              <w:rPr>
                <w:rFonts w:ascii="黑体" w:hAnsi="黑体" w:cs="黑体" w:eastAsia="黑体" w:hint="default"/>
                <w:sz w:val="20"/>
                <w:szCs w:val="20"/>
              </w:rPr>
              <w:t>预收款项</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7"/>
              <w:ind w:left="319" w:right="0"/>
              <w:jc w:val="center"/>
              <w:rPr>
                <w:rFonts w:ascii="Arial" w:hAnsi="Arial" w:cs="Arial" w:eastAsia="Arial" w:hint="default"/>
                <w:sz w:val="20"/>
                <w:szCs w:val="20"/>
              </w:rPr>
            </w:pPr>
            <w:r>
              <w:rPr>
                <w:rFonts w:ascii="Arial"/>
                <w:sz w:val="20"/>
              </w:rPr>
              <w:t>21</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8"/>
              <w:jc w:val="right"/>
              <w:rPr>
                <w:rFonts w:ascii="Arial" w:hAnsi="Arial" w:cs="Arial" w:eastAsia="Arial" w:hint="default"/>
                <w:sz w:val="20"/>
                <w:szCs w:val="20"/>
              </w:rPr>
            </w:pPr>
            <w:r>
              <w:rPr>
                <w:rFonts w:ascii="Arial"/>
                <w:spacing w:val="-1"/>
                <w:sz w:val="20"/>
              </w:rPr>
              <w:t>532,385,527</w:t>
            </w:r>
            <w:r>
              <w:rPr>
                <w:rFonts w:ascii="Arial"/>
                <w:sz w:val="20"/>
              </w:rPr>
            </w:r>
          </w:p>
        </w:tc>
        <w:tc>
          <w:tcPr>
            <w:tcW w:w="345"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8"/>
              <w:jc w:val="right"/>
              <w:rPr>
                <w:rFonts w:ascii="Arial" w:hAnsi="Arial" w:cs="Arial" w:eastAsia="Arial" w:hint="default"/>
                <w:sz w:val="20"/>
                <w:szCs w:val="20"/>
              </w:rPr>
            </w:pPr>
            <w:r>
              <w:rPr>
                <w:rFonts w:ascii="Arial"/>
                <w:spacing w:val="-1"/>
                <w:sz w:val="20"/>
              </w:rPr>
              <w:t>386,945,061</w:t>
            </w:r>
            <w:r>
              <w:rPr>
                <w:rFonts w:ascii="Arial"/>
                <w:sz w:val="20"/>
              </w:rPr>
            </w:r>
          </w:p>
        </w:tc>
        <w:tc>
          <w:tcPr>
            <w:tcW w:w="297" w:type="dxa"/>
            <w:tcBorders>
              <w:top w:val="nil" w:sz="6" w:space="0" w:color="auto"/>
              <w:left w:val="nil" w:sz="6" w:space="0" w:color="auto"/>
              <w:bottom w:val="nil" w:sz="6" w:space="0" w:color="auto"/>
              <w:right w:val="nil" w:sz="6" w:space="0" w:color="auto"/>
            </w:tcBorders>
          </w:tcPr>
          <w:p>
            <w:pPr/>
          </w:p>
        </w:tc>
      </w:tr>
      <w:tr>
        <w:trPr>
          <w:trHeight w:val="259" w:hRule="exact"/>
        </w:trPr>
        <w:tc>
          <w:tcPr>
            <w:tcW w:w="3207" w:type="dxa"/>
            <w:tcBorders>
              <w:top w:val="nil" w:sz="6" w:space="0" w:color="auto"/>
              <w:left w:val="nil" w:sz="6" w:space="0" w:color="auto"/>
              <w:bottom w:val="nil" w:sz="6" w:space="0" w:color="auto"/>
              <w:right w:val="nil" w:sz="6" w:space="0" w:color="auto"/>
            </w:tcBorders>
          </w:tcPr>
          <w:p>
            <w:pPr>
              <w:pStyle w:val="TableParagraph"/>
              <w:spacing w:line="226" w:lineRule="exact"/>
              <w:ind w:left="324" w:right="0"/>
              <w:jc w:val="left"/>
              <w:rPr>
                <w:rFonts w:ascii="黑体" w:hAnsi="黑体" w:cs="黑体" w:eastAsia="黑体" w:hint="default"/>
                <w:sz w:val="20"/>
                <w:szCs w:val="20"/>
              </w:rPr>
            </w:pPr>
            <w:r>
              <w:rPr>
                <w:rFonts w:ascii="黑体" w:hAnsi="黑体" w:cs="黑体" w:eastAsia="黑体" w:hint="default"/>
                <w:sz w:val="20"/>
                <w:szCs w:val="20"/>
              </w:rPr>
              <w:t>应付职工薪酬</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7"/>
              <w:ind w:left="319" w:right="0"/>
              <w:jc w:val="center"/>
              <w:rPr>
                <w:rFonts w:ascii="Arial" w:hAnsi="Arial" w:cs="Arial" w:eastAsia="Arial" w:hint="default"/>
                <w:sz w:val="20"/>
                <w:szCs w:val="20"/>
              </w:rPr>
            </w:pPr>
            <w:r>
              <w:rPr>
                <w:rFonts w:ascii="Arial"/>
                <w:sz w:val="20"/>
              </w:rPr>
              <w:t>22</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8"/>
              <w:jc w:val="right"/>
              <w:rPr>
                <w:rFonts w:ascii="Arial" w:hAnsi="Arial" w:cs="Arial" w:eastAsia="Arial" w:hint="default"/>
                <w:sz w:val="20"/>
                <w:szCs w:val="20"/>
              </w:rPr>
            </w:pPr>
            <w:r>
              <w:rPr>
                <w:rFonts w:ascii="Arial"/>
                <w:spacing w:val="-1"/>
                <w:sz w:val="20"/>
              </w:rPr>
              <w:t>452,523,530</w:t>
            </w:r>
            <w:r>
              <w:rPr>
                <w:rFonts w:ascii="Arial"/>
                <w:sz w:val="20"/>
              </w:rPr>
            </w:r>
          </w:p>
        </w:tc>
        <w:tc>
          <w:tcPr>
            <w:tcW w:w="345"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8"/>
              <w:jc w:val="right"/>
              <w:rPr>
                <w:rFonts w:ascii="Arial" w:hAnsi="Arial" w:cs="Arial" w:eastAsia="Arial" w:hint="default"/>
                <w:sz w:val="20"/>
                <w:szCs w:val="20"/>
              </w:rPr>
            </w:pPr>
            <w:r>
              <w:rPr>
                <w:rFonts w:ascii="Arial"/>
                <w:spacing w:val="-1"/>
                <w:sz w:val="20"/>
              </w:rPr>
              <w:t>501,191,931</w:t>
            </w:r>
            <w:r>
              <w:rPr>
                <w:rFonts w:ascii="Arial"/>
                <w:sz w:val="20"/>
              </w:rPr>
            </w:r>
          </w:p>
        </w:tc>
        <w:tc>
          <w:tcPr>
            <w:tcW w:w="297" w:type="dxa"/>
            <w:tcBorders>
              <w:top w:val="nil" w:sz="6" w:space="0" w:color="auto"/>
              <w:left w:val="nil" w:sz="6" w:space="0" w:color="auto"/>
              <w:bottom w:val="nil" w:sz="6" w:space="0" w:color="auto"/>
              <w:right w:val="nil" w:sz="6" w:space="0" w:color="auto"/>
            </w:tcBorders>
          </w:tcPr>
          <w:p>
            <w:pPr/>
          </w:p>
        </w:tc>
      </w:tr>
      <w:tr>
        <w:trPr>
          <w:trHeight w:val="259" w:hRule="exact"/>
        </w:trPr>
        <w:tc>
          <w:tcPr>
            <w:tcW w:w="3207" w:type="dxa"/>
            <w:tcBorders>
              <w:top w:val="nil" w:sz="6" w:space="0" w:color="auto"/>
              <w:left w:val="nil" w:sz="6" w:space="0" w:color="auto"/>
              <w:bottom w:val="nil" w:sz="6" w:space="0" w:color="auto"/>
              <w:right w:val="nil" w:sz="6" w:space="0" w:color="auto"/>
            </w:tcBorders>
          </w:tcPr>
          <w:p>
            <w:pPr>
              <w:pStyle w:val="TableParagraph"/>
              <w:spacing w:line="226" w:lineRule="exact"/>
              <w:ind w:left="324" w:right="0"/>
              <w:jc w:val="left"/>
              <w:rPr>
                <w:rFonts w:ascii="黑体" w:hAnsi="黑体" w:cs="黑体" w:eastAsia="黑体" w:hint="default"/>
                <w:sz w:val="20"/>
                <w:szCs w:val="20"/>
              </w:rPr>
            </w:pPr>
            <w:r>
              <w:rPr>
                <w:rFonts w:ascii="黑体" w:hAnsi="黑体" w:cs="黑体" w:eastAsia="黑体" w:hint="default"/>
                <w:sz w:val="20"/>
                <w:szCs w:val="20"/>
              </w:rPr>
              <w:t>应交税费</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7"/>
              <w:ind w:left="319" w:right="0"/>
              <w:jc w:val="center"/>
              <w:rPr>
                <w:rFonts w:ascii="Arial" w:hAnsi="Arial" w:cs="Arial" w:eastAsia="Arial" w:hint="default"/>
                <w:sz w:val="20"/>
                <w:szCs w:val="20"/>
              </w:rPr>
            </w:pPr>
            <w:r>
              <w:rPr>
                <w:rFonts w:ascii="Arial"/>
                <w:sz w:val="20"/>
              </w:rPr>
              <w:t>23</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5"/>
              <w:jc w:val="right"/>
              <w:rPr>
                <w:rFonts w:ascii="Arial" w:hAnsi="Arial" w:cs="Arial" w:eastAsia="Arial" w:hint="default"/>
                <w:sz w:val="20"/>
                <w:szCs w:val="20"/>
              </w:rPr>
            </w:pPr>
            <w:r>
              <w:rPr>
                <w:rFonts w:ascii="Arial"/>
                <w:spacing w:val="-1"/>
                <w:sz w:val="20"/>
              </w:rPr>
              <w:t>248,120,009</w:t>
            </w:r>
            <w:r>
              <w:rPr>
                <w:rFonts w:ascii="Arial"/>
                <w:sz w:val="20"/>
              </w:rPr>
            </w:r>
          </w:p>
        </w:tc>
        <w:tc>
          <w:tcPr>
            <w:tcW w:w="345"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8"/>
              <w:jc w:val="right"/>
              <w:rPr>
                <w:rFonts w:ascii="Arial" w:hAnsi="Arial" w:cs="Arial" w:eastAsia="Arial" w:hint="default"/>
                <w:sz w:val="20"/>
                <w:szCs w:val="20"/>
              </w:rPr>
            </w:pPr>
            <w:r>
              <w:rPr>
                <w:rFonts w:ascii="Arial"/>
                <w:spacing w:val="-1"/>
                <w:sz w:val="20"/>
              </w:rPr>
              <w:t>346,597,557</w:t>
            </w:r>
            <w:r>
              <w:rPr>
                <w:rFonts w:ascii="Arial"/>
                <w:sz w:val="20"/>
              </w:rPr>
            </w:r>
          </w:p>
        </w:tc>
        <w:tc>
          <w:tcPr>
            <w:tcW w:w="297" w:type="dxa"/>
            <w:tcBorders>
              <w:top w:val="nil" w:sz="6" w:space="0" w:color="auto"/>
              <w:left w:val="nil" w:sz="6" w:space="0" w:color="auto"/>
              <w:bottom w:val="nil" w:sz="6" w:space="0" w:color="auto"/>
              <w:right w:val="nil" w:sz="6" w:space="0" w:color="auto"/>
            </w:tcBorders>
          </w:tcPr>
          <w:p>
            <w:pPr/>
          </w:p>
        </w:tc>
      </w:tr>
      <w:tr>
        <w:trPr>
          <w:trHeight w:val="259" w:hRule="exact"/>
        </w:trPr>
        <w:tc>
          <w:tcPr>
            <w:tcW w:w="3207" w:type="dxa"/>
            <w:tcBorders>
              <w:top w:val="nil" w:sz="6" w:space="0" w:color="auto"/>
              <w:left w:val="nil" w:sz="6" w:space="0" w:color="auto"/>
              <w:bottom w:val="nil" w:sz="6" w:space="0" w:color="auto"/>
              <w:right w:val="nil" w:sz="6" w:space="0" w:color="auto"/>
            </w:tcBorders>
          </w:tcPr>
          <w:p>
            <w:pPr>
              <w:pStyle w:val="TableParagraph"/>
              <w:spacing w:line="226" w:lineRule="exact"/>
              <w:ind w:left="324" w:right="0"/>
              <w:jc w:val="left"/>
              <w:rPr>
                <w:rFonts w:ascii="黑体" w:hAnsi="黑体" w:cs="黑体" w:eastAsia="黑体" w:hint="default"/>
                <w:sz w:val="20"/>
                <w:szCs w:val="20"/>
              </w:rPr>
            </w:pPr>
            <w:r>
              <w:rPr>
                <w:rFonts w:ascii="黑体" w:hAnsi="黑体" w:cs="黑体" w:eastAsia="黑体" w:hint="default"/>
                <w:sz w:val="20"/>
                <w:szCs w:val="20"/>
              </w:rPr>
              <w:t>应付股利</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7"/>
              <w:ind w:left="319" w:right="0"/>
              <w:jc w:val="center"/>
              <w:rPr>
                <w:rFonts w:ascii="Arial" w:hAnsi="Arial" w:cs="Arial" w:eastAsia="Arial" w:hint="default"/>
                <w:sz w:val="20"/>
                <w:szCs w:val="20"/>
              </w:rPr>
            </w:pPr>
            <w:r>
              <w:rPr>
                <w:rFonts w:ascii="Arial"/>
                <w:sz w:val="20"/>
              </w:rPr>
              <w:t>24</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8"/>
              <w:jc w:val="right"/>
              <w:rPr>
                <w:rFonts w:ascii="Arial" w:hAnsi="Arial" w:cs="Arial" w:eastAsia="Arial" w:hint="default"/>
                <w:sz w:val="20"/>
                <w:szCs w:val="20"/>
              </w:rPr>
            </w:pPr>
            <w:r>
              <w:rPr>
                <w:rFonts w:ascii="Arial"/>
                <w:spacing w:val="-1"/>
                <w:w w:val="95"/>
                <w:sz w:val="20"/>
              </w:rPr>
              <w:t>312,500</w:t>
            </w:r>
            <w:r>
              <w:rPr>
                <w:rFonts w:ascii="Arial"/>
                <w:sz w:val="20"/>
              </w:rPr>
            </w:r>
          </w:p>
        </w:tc>
        <w:tc>
          <w:tcPr>
            <w:tcW w:w="345"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8"/>
              <w:jc w:val="right"/>
              <w:rPr>
                <w:rFonts w:ascii="Arial" w:hAnsi="Arial" w:cs="Arial" w:eastAsia="Arial" w:hint="default"/>
                <w:sz w:val="20"/>
                <w:szCs w:val="20"/>
              </w:rPr>
            </w:pPr>
            <w:r>
              <w:rPr>
                <w:rFonts w:ascii="Arial"/>
                <w:spacing w:val="-1"/>
                <w:w w:val="95"/>
                <w:sz w:val="20"/>
              </w:rPr>
              <w:t>312,500</w:t>
            </w:r>
            <w:r>
              <w:rPr>
                <w:rFonts w:ascii="Arial"/>
                <w:sz w:val="20"/>
              </w:rPr>
            </w:r>
          </w:p>
        </w:tc>
        <w:tc>
          <w:tcPr>
            <w:tcW w:w="297" w:type="dxa"/>
            <w:tcBorders>
              <w:top w:val="nil" w:sz="6" w:space="0" w:color="auto"/>
              <w:left w:val="nil" w:sz="6" w:space="0" w:color="auto"/>
              <w:bottom w:val="nil" w:sz="6" w:space="0" w:color="auto"/>
              <w:right w:val="nil" w:sz="6" w:space="0" w:color="auto"/>
            </w:tcBorders>
          </w:tcPr>
          <w:p>
            <w:pPr/>
          </w:p>
        </w:tc>
      </w:tr>
      <w:tr>
        <w:trPr>
          <w:trHeight w:val="259" w:hRule="exact"/>
        </w:trPr>
        <w:tc>
          <w:tcPr>
            <w:tcW w:w="3207" w:type="dxa"/>
            <w:tcBorders>
              <w:top w:val="nil" w:sz="6" w:space="0" w:color="auto"/>
              <w:left w:val="nil" w:sz="6" w:space="0" w:color="auto"/>
              <w:bottom w:val="nil" w:sz="6" w:space="0" w:color="auto"/>
              <w:right w:val="nil" w:sz="6" w:space="0" w:color="auto"/>
            </w:tcBorders>
          </w:tcPr>
          <w:p>
            <w:pPr>
              <w:pStyle w:val="TableParagraph"/>
              <w:spacing w:line="226" w:lineRule="exact"/>
              <w:ind w:left="324" w:right="0"/>
              <w:jc w:val="left"/>
              <w:rPr>
                <w:rFonts w:ascii="黑体" w:hAnsi="黑体" w:cs="黑体" w:eastAsia="黑体" w:hint="default"/>
                <w:sz w:val="20"/>
                <w:szCs w:val="20"/>
              </w:rPr>
            </w:pPr>
            <w:r>
              <w:rPr>
                <w:rFonts w:ascii="黑体" w:hAnsi="黑体" w:cs="黑体" w:eastAsia="黑体" w:hint="default"/>
                <w:sz w:val="20"/>
                <w:szCs w:val="20"/>
              </w:rPr>
              <w:t>其他应付款</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7"/>
              <w:ind w:left="319" w:right="0"/>
              <w:jc w:val="center"/>
              <w:rPr>
                <w:rFonts w:ascii="Arial" w:hAnsi="Arial" w:cs="Arial" w:eastAsia="Arial" w:hint="default"/>
                <w:sz w:val="20"/>
                <w:szCs w:val="20"/>
              </w:rPr>
            </w:pPr>
            <w:r>
              <w:rPr>
                <w:rFonts w:ascii="Arial"/>
                <w:sz w:val="20"/>
              </w:rPr>
              <w:t>25</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8"/>
              <w:jc w:val="right"/>
              <w:rPr>
                <w:rFonts w:ascii="Arial" w:hAnsi="Arial" w:cs="Arial" w:eastAsia="Arial" w:hint="default"/>
                <w:sz w:val="20"/>
                <w:szCs w:val="20"/>
              </w:rPr>
            </w:pPr>
            <w:r>
              <w:rPr>
                <w:rFonts w:ascii="Arial"/>
                <w:spacing w:val="-1"/>
                <w:sz w:val="20"/>
              </w:rPr>
              <w:t>202,230,359</w:t>
            </w:r>
            <w:r>
              <w:rPr>
                <w:rFonts w:ascii="Arial"/>
                <w:sz w:val="20"/>
              </w:rPr>
            </w:r>
          </w:p>
        </w:tc>
        <w:tc>
          <w:tcPr>
            <w:tcW w:w="345"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8"/>
              <w:jc w:val="right"/>
              <w:rPr>
                <w:rFonts w:ascii="Arial" w:hAnsi="Arial" w:cs="Arial" w:eastAsia="Arial" w:hint="default"/>
                <w:sz w:val="20"/>
                <w:szCs w:val="20"/>
              </w:rPr>
            </w:pPr>
            <w:r>
              <w:rPr>
                <w:rFonts w:ascii="Arial"/>
                <w:spacing w:val="-1"/>
                <w:sz w:val="20"/>
              </w:rPr>
              <w:t>258,500,441</w:t>
            </w:r>
            <w:r>
              <w:rPr>
                <w:rFonts w:ascii="Arial"/>
                <w:sz w:val="20"/>
              </w:rPr>
            </w:r>
          </w:p>
        </w:tc>
        <w:tc>
          <w:tcPr>
            <w:tcW w:w="297" w:type="dxa"/>
            <w:tcBorders>
              <w:top w:val="nil" w:sz="6" w:space="0" w:color="auto"/>
              <w:left w:val="nil" w:sz="6" w:space="0" w:color="auto"/>
              <w:bottom w:val="nil" w:sz="6" w:space="0" w:color="auto"/>
              <w:right w:val="nil" w:sz="6" w:space="0" w:color="auto"/>
            </w:tcBorders>
          </w:tcPr>
          <w:p>
            <w:pPr/>
          </w:p>
        </w:tc>
      </w:tr>
      <w:tr>
        <w:trPr>
          <w:trHeight w:val="259" w:hRule="exact"/>
        </w:trPr>
        <w:tc>
          <w:tcPr>
            <w:tcW w:w="3207" w:type="dxa"/>
            <w:tcBorders>
              <w:top w:val="nil" w:sz="6" w:space="0" w:color="auto"/>
              <w:left w:val="nil" w:sz="6" w:space="0" w:color="auto"/>
              <w:bottom w:val="nil" w:sz="6" w:space="0" w:color="auto"/>
              <w:right w:val="nil" w:sz="6" w:space="0" w:color="auto"/>
            </w:tcBorders>
          </w:tcPr>
          <w:p>
            <w:pPr>
              <w:pStyle w:val="TableParagraph"/>
              <w:spacing w:line="226" w:lineRule="exact"/>
              <w:ind w:left="324" w:right="0"/>
              <w:jc w:val="left"/>
              <w:rPr>
                <w:rFonts w:ascii="黑体" w:hAnsi="黑体" w:cs="黑体" w:eastAsia="黑体" w:hint="default"/>
                <w:sz w:val="20"/>
                <w:szCs w:val="20"/>
              </w:rPr>
            </w:pPr>
            <w:r>
              <w:rPr>
                <w:rFonts w:ascii="黑体" w:hAnsi="黑体" w:cs="黑体" w:eastAsia="黑体" w:hint="default"/>
                <w:sz w:val="20"/>
                <w:szCs w:val="20"/>
              </w:rPr>
              <w:t>一年内到期的非流动负债</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7"/>
              <w:ind w:left="319" w:right="0"/>
              <w:jc w:val="center"/>
              <w:rPr>
                <w:rFonts w:ascii="Arial" w:hAnsi="Arial" w:cs="Arial" w:eastAsia="Arial" w:hint="default"/>
                <w:sz w:val="20"/>
                <w:szCs w:val="20"/>
              </w:rPr>
            </w:pPr>
            <w:r>
              <w:rPr>
                <w:rFonts w:ascii="Arial"/>
                <w:sz w:val="20"/>
              </w:rPr>
              <w:t>26</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8"/>
              <w:jc w:val="right"/>
              <w:rPr>
                <w:rFonts w:ascii="Arial" w:hAnsi="Arial" w:cs="Arial" w:eastAsia="Arial" w:hint="default"/>
                <w:sz w:val="20"/>
                <w:szCs w:val="20"/>
              </w:rPr>
            </w:pPr>
            <w:r>
              <w:rPr>
                <w:rFonts w:ascii="Arial"/>
                <w:spacing w:val="-1"/>
                <w:sz w:val="20"/>
              </w:rPr>
              <w:t>120,571,200</w:t>
            </w:r>
            <w:r>
              <w:rPr>
                <w:rFonts w:ascii="Arial"/>
                <w:sz w:val="20"/>
              </w:rPr>
            </w:r>
          </w:p>
        </w:tc>
        <w:tc>
          <w:tcPr>
            <w:tcW w:w="345"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8"/>
              <w:jc w:val="right"/>
              <w:rPr>
                <w:rFonts w:ascii="Arial" w:hAnsi="Arial" w:cs="Arial" w:eastAsia="Arial" w:hint="default"/>
                <w:sz w:val="20"/>
                <w:szCs w:val="20"/>
              </w:rPr>
            </w:pPr>
            <w:r>
              <w:rPr>
                <w:rFonts w:ascii="Arial"/>
                <w:spacing w:val="-1"/>
                <w:sz w:val="20"/>
              </w:rPr>
              <w:t>14,240,000</w:t>
            </w:r>
            <w:r>
              <w:rPr>
                <w:rFonts w:ascii="Arial"/>
                <w:sz w:val="20"/>
              </w:rPr>
            </w:r>
          </w:p>
        </w:tc>
        <w:tc>
          <w:tcPr>
            <w:tcW w:w="297" w:type="dxa"/>
            <w:tcBorders>
              <w:top w:val="nil" w:sz="6" w:space="0" w:color="auto"/>
              <w:left w:val="nil" w:sz="6" w:space="0" w:color="auto"/>
              <w:bottom w:val="nil" w:sz="6" w:space="0" w:color="auto"/>
              <w:right w:val="nil" w:sz="6" w:space="0" w:color="auto"/>
            </w:tcBorders>
          </w:tcPr>
          <w:p>
            <w:pPr/>
          </w:p>
        </w:tc>
      </w:tr>
      <w:tr>
        <w:trPr>
          <w:trHeight w:val="374" w:hRule="exact"/>
        </w:trPr>
        <w:tc>
          <w:tcPr>
            <w:tcW w:w="3207" w:type="dxa"/>
            <w:tcBorders>
              <w:top w:val="nil" w:sz="6" w:space="0" w:color="auto"/>
              <w:left w:val="nil" w:sz="6" w:space="0" w:color="auto"/>
              <w:bottom w:val="nil" w:sz="6" w:space="0" w:color="auto"/>
              <w:right w:val="nil" w:sz="6" w:space="0" w:color="auto"/>
            </w:tcBorders>
          </w:tcPr>
          <w:p>
            <w:pPr>
              <w:pStyle w:val="TableParagraph"/>
              <w:spacing w:line="226" w:lineRule="exact"/>
              <w:ind w:left="324" w:right="0"/>
              <w:jc w:val="left"/>
              <w:rPr>
                <w:rFonts w:ascii="黑体" w:hAnsi="黑体" w:cs="黑体" w:eastAsia="黑体" w:hint="default"/>
                <w:sz w:val="20"/>
                <w:szCs w:val="20"/>
              </w:rPr>
            </w:pPr>
            <w:r>
              <w:rPr>
                <w:rFonts w:ascii="黑体" w:hAnsi="黑体" w:cs="黑体" w:eastAsia="黑体" w:hint="default"/>
                <w:sz w:val="20"/>
                <w:szCs w:val="20"/>
              </w:rPr>
              <w:t>其他流动负债</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7"/>
              <w:ind w:left="319" w:right="0"/>
              <w:jc w:val="center"/>
              <w:rPr>
                <w:rFonts w:ascii="Arial" w:hAnsi="Arial" w:cs="Arial" w:eastAsia="Arial" w:hint="default"/>
                <w:sz w:val="20"/>
                <w:szCs w:val="20"/>
              </w:rPr>
            </w:pPr>
            <w:r>
              <w:rPr>
                <w:rFonts w:ascii="Arial"/>
                <w:sz w:val="20"/>
              </w:rPr>
              <w:t>27</w:t>
            </w:r>
          </w:p>
        </w:tc>
        <w:tc>
          <w:tcPr>
            <w:tcW w:w="1667"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7"/>
              <w:ind w:right="2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13,938,606</w:t>
            </w:r>
            <w:r>
              <w:rPr>
                <w:rFonts w:ascii="Arial"/>
                <w:spacing w:val="-1"/>
                <w:w w:val="95"/>
                <w:sz w:val="20"/>
              </w:rPr>
            </w:r>
            <w:r>
              <w:rPr>
                <w:rFonts w:ascii="Arial"/>
                <w:sz w:val="20"/>
              </w:rPr>
            </w:r>
          </w:p>
        </w:tc>
        <w:tc>
          <w:tcPr>
            <w:tcW w:w="345"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Style w:val="TableParagraph"/>
              <w:tabs>
                <w:tab w:pos="266" w:val="left" w:leader="none"/>
              </w:tabs>
              <w:spacing w:line="240" w:lineRule="auto" w:before="7"/>
              <w:ind w:right="27"/>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sz w:val="20"/>
                <w:u w:val="single" w:color="000000"/>
              </w:rPr>
              <w:t>13,741,416</w:t>
            </w:r>
            <w:r>
              <w:rPr>
                <w:rFonts w:ascii="Arial"/>
                <w:spacing w:val="-1"/>
                <w:sz w:val="20"/>
              </w:rPr>
            </w:r>
          </w:p>
        </w:tc>
        <w:tc>
          <w:tcPr>
            <w:tcW w:w="297" w:type="dxa"/>
            <w:tcBorders>
              <w:top w:val="nil" w:sz="6" w:space="0" w:color="auto"/>
              <w:left w:val="nil" w:sz="6" w:space="0" w:color="auto"/>
              <w:bottom w:val="nil" w:sz="6" w:space="0" w:color="auto"/>
              <w:right w:val="nil" w:sz="6" w:space="0" w:color="auto"/>
            </w:tcBorders>
          </w:tcPr>
          <w:p>
            <w:pPr/>
          </w:p>
        </w:tc>
      </w:tr>
      <w:tr>
        <w:trPr>
          <w:trHeight w:val="490" w:hRule="exact"/>
        </w:trPr>
        <w:tc>
          <w:tcPr>
            <w:tcW w:w="320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5" w:right="0"/>
              <w:jc w:val="left"/>
              <w:rPr>
                <w:rFonts w:ascii="黑体" w:hAnsi="黑体" w:cs="黑体" w:eastAsia="黑体" w:hint="default"/>
                <w:sz w:val="20"/>
                <w:szCs w:val="20"/>
              </w:rPr>
            </w:pPr>
            <w:r>
              <w:rPr>
                <w:rFonts w:ascii="黑体" w:hAnsi="黑体" w:cs="黑体" w:eastAsia="黑体" w:hint="default"/>
                <w:sz w:val="20"/>
                <w:szCs w:val="20"/>
              </w:rPr>
              <w:t>流动负债合计</w:t>
            </w:r>
          </w:p>
        </w:tc>
        <w:tc>
          <w:tcPr>
            <w:tcW w:w="1649"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5"/>
              <w:jc w:val="right"/>
              <w:rPr>
                <w:rFonts w:ascii="Arial" w:hAnsi="Arial" w:cs="Arial" w:eastAsia="Arial" w:hint="default"/>
                <w:sz w:val="20"/>
                <w:szCs w:val="20"/>
              </w:rPr>
            </w:pPr>
            <w:r>
              <w:rPr>
                <w:rFonts w:ascii="Arial"/>
                <w:w w:val="99"/>
                <w:sz w:val="20"/>
              </w:rPr>
            </w:r>
            <w:r>
              <w:rPr>
                <w:rFonts w:ascii="Arial"/>
                <w:spacing w:val="-1"/>
                <w:sz w:val="20"/>
                <w:u w:val="single" w:color="000000"/>
              </w:rPr>
              <w:t>2,869,257,260</w:t>
            </w:r>
            <w:r>
              <w:rPr>
                <w:rFonts w:ascii="Arial"/>
                <w:spacing w:val="-1"/>
                <w:sz w:val="20"/>
              </w:rPr>
            </w:r>
            <w:r>
              <w:rPr>
                <w:rFonts w:ascii="Arial"/>
                <w:sz w:val="20"/>
              </w:rPr>
            </w:r>
          </w:p>
        </w:tc>
        <w:tc>
          <w:tcPr>
            <w:tcW w:w="345"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8"/>
              <w:jc w:val="right"/>
              <w:rPr>
                <w:rFonts w:ascii="Arial" w:hAnsi="Arial" w:cs="Arial" w:eastAsia="Arial" w:hint="default"/>
                <w:sz w:val="20"/>
                <w:szCs w:val="20"/>
              </w:rPr>
            </w:pPr>
            <w:r>
              <w:rPr>
                <w:rFonts w:ascii="Arial"/>
                <w:w w:val="99"/>
                <w:sz w:val="20"/>
              </w:rPr>
            </w:r>
            <w:r>
              <w:rPr>
                <w:rFonts w:ascii="Arial"/>
                <w:spacing w:val="-1"/>
                <w:sz w:val="20"/>
                <w:u w:val="single" w:color="000000"/>
              </w:rPr>
              <w:t>2,238,543,578</w:t>
            </w:r>
            <w:r>
              <w:rPr>
                <w:rFonts w:ascii="Arial"/>
                <w:spacing w:val="-1"/>
                <w:sz w:val="20"/>
              </w:rPr>
            </w:r>
            <w:r>
              <w:rPr>
                <w:rFonts w:ascii="Arial"/>
                <w:sz w:val="20"/>
              </w:rPr>
            </w:r>
          </w:p>
        </w:tc>
        <w:tc>
          <w:tcPr>
            <w:tcW w:w="297" w:type="dxa"/>
            <w:tcBorders>
              <w:top w:val="nil" w:sz="6" w:space="0" w:color="auto"/>
              <w:left w:val="nil" w:sz="6" w:space="0" w:color="auto"/>
              <w:bottom w:val="nil" w:sz="6" w:space="0" w:color="auto"/>
              <w:right w:val="nil" w:sz="6" w:space="0" w:color="auto"/>
            </w:tcBorders>
          </w:tcPr>
          <w:p>
            <w:pPr/>
          </w:p>
        </w:tc>
      </w:tr>
      <w:tr>
        <w:trPr>
          <w:trHeight w:val="486" w:hRule="exact"/>
        </w:trPr>
        <w:tc>
          <w:tcPr>
            <w:tcW w:w="320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5" w:right="0"/>
              <w:jc w:val="left"/>
              <w:rPr>
                <w:rFonts w:ascii="黑体" w:hAnsi="黑体" w:cs="黑体" w:eastAsia="黑体" w:hint="default"/>
                <w:sz w:val="20"/>
                <w:szCs w:val="20"/>
              </w:rPr>
            </w:pPr>
            <w:r>
              <w:rPr>
                <w:rFonts w:ascii="黑体" w:hAnsi="黑体" w:cs="黑体" w:eastAsia="黑体" w:hint="default"/>
                <w:sz w:val="20"/>
                <w:szCs w:val="20"/>
              </w:rPr>
              <w:t>非流动负债：</w:t>
            </w:r>
          </w:p>
        </w:tc>
        <w:tc>
          <w:tcPr>
            <w:tcW w:w="1649"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
        </w:tc>
        <w:tc>
          <w:tcPr>
            <w:tcW w:w="345"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
        </w:tc>
        <w:tc>
          <w:tcPr>
            <w:tcW w:w="297" w:type="dxa"/>
            <w:tcBorders>
              <w:top w:val="nil" w:sz="6" w:space="0" w:color="auto"/>
              <w:left w:val="nil" w:sz="6" w:space="0" w:color="auto"/>
              <w:bottom w:val="nil" w:sz="6" w:space="0" w:color="auto"/>
              <w:right w:val="nil" w:sz="6" w:space="0" w:color="auto"/>
            </w:tcBorders>
          </w:tcPr>
          <w:p>
            <w:pPr/>
          </w:p>
        </w:tc>
      </w:tr>
      <w:tr>
        <w:trPr>
          <w:trHeight w:val="378" w:hRule="exact"/>
        </w:trPr>
        <w:tc>
          <w:tcPr>
            <w:tcW w:w="3207"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34" w:right="0"/>
              <w:jc w:val="left"/>
              <w:rPr>
                <w:rFonts w:ascii="黑体" w:hAnsi="黑体" w:cs="黑体" w:eastAsia="黑体" w:hint="default"/>
                <w:sz w:val="20"/>
                <w:szCs w:val="20"/>
              </w:rPr>
            </w:pPr>
            <w:r>
              <w:rPr>
                <w:rFonts w:ascii="黑体" w:hAnsi="黑体" w:cs="黑体" w:eastAsia="黑体" w:hint="default"/>
                <w:sz w:val="20"/>
                <w:szCs w:val="20"/>
              </w:rPr>
              <w:t>长期借款</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319" w:right="0"/>
              <w:jc w:val="center"/>
              <w:rPr>
                <w:rFonts w:ascii="Arial" w:hAnsi="Arial" w:cs="Arial" w:eastAsia="Arial" w:hint="default"/>
                <w:sz w:val="20"/>
                <w:szCs w:val="20"/>
              </w:rPr>
            </w:pPr>
            <w:r>
              <w:rPr>
                <w:rFonts w:ascii="Arial"/>
                <w:sz w:val="20"/>
              </w:rPr>
              <w:t>28</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8"/>
              <w:jc w:val="right"/>
              <w:rPr>
                <w:rFonts w:ascii="Arial" w:hAnsi="Arial" w:cs="Arial" w:eastAsia="Arial" w:hint="default"/>
                <w:sz w:val="20"/>
                <w:szCs w:val="20"/>
              </w:rPr>
            </w:pPr>
            <w:r>
              <w:rPr>
                <w:rFonts w:ascii="Arial"/>
                <w:spacing w:val="-1"/>
                <w:sz w:val="20"/>
              </w:rPr>
              <w:t>158,763,319</w:t>
            </w:r>
            <w:r>
              <w:rPr>
                <w:rFonts w:ascii="Arial"/>
                <w:sz w:val="20"/>
              </w:rPr>
            </w:r>
          </w:p>
        </w:tc>
        <w:tc>
          <w:tcPr>
            <w:tcW w:w="345"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8"/>
              <w:jc w:val="right"/>
              <w:rPr>
                <w:rFonts w:ascii="Arial" w:hAnsi="Arial" w:cs="Arial" w:eastAsia="Arial" w:hint="default"/>
                <w:sz w:val="20"/>
                <w:szCs w:val="20"/>
              </w:rPr>
            </w:pPr>
            <w:r>
              <w:rPr>
                <w:rFonts w:ascii="Arial"/>
                <w:spacing w:val="-1"/>
                <w:sz w:val="20"/>
              </w:rPr>
              <w:t>180,000,000</w:t>
            </w:r>
            <w:r>
              <w:rPr>
                <w:rFonts w:ascii="Arial"/>
                <w:sz w:val="20"/>
              </w:rPr>
            </w:r>
          </w:p>
        </w:tc>
        <w:tc>
          <w:tcPr>
            <w:tcW w:w="297" w:type="dxa"/>
            <w:tcBorders>
              <w:top w:val="nil" w:sz="6" w:space="0" w:color="auto"/>
              <w:left w:val="nil" w:sz="6" w:space="0" w:color="auto"/>
              <w:bottom w:val="nil" w:sz="6" w:space="0" w:color="auto"/>
              <w:right w:val="nil" w:sz="6" w:space="0" w:color="auto"/>
            </w:tcBorders>
          </w:tcPr>
          <w:p>
            <w:pPr/>
          </w:p>
        </w:tc>
      </w:tr>
      <w:tr>
        <w:trPr>
          <w:trHeight w:val="259" w:hRule="exact"/>
        </w:trPr>
        <w:tc>
          <w:tcPr>
            <w:tcW w:w="3207" w:type="dxa"/>
            <w:tcBorders>
              <w:top w:val="nil" w:sz="6" w:space="0" w:color="auto"/>
              <w:left w:val="nil" w:sz="6" w:space="0" w:color="auto"/>
              <w:bottom w:val="nil" w:sz="6" w:space="0" w:color="auto"/>
              <w:right w:val="nil" w:sz="6" w:space="0" w:color="auto"/>
            </w:tcBorders>
          </w:tcPr>
          <w:p>
            <w:pPr>
              <w:pStyle w:val="TableParagraph"/>
              <w:spacing w:line="226" w:lineRule="exact"/>
              <w:ind w:left="324" w:right="0"/>
              <w:jc w:val="left"/>
              <w:rPr>
                <w:rFonts w:ascii="黑体" w:hAnsi="黑体" w:cs="黑体" w:eastAsia="黑体" w:hint="default"/>
                <w:sz w:val="20"/>
                <w:szCs w:val="20"/>
              </w:rPr>
            </w:pPr>
            <w:r>
              <w:rPr>
                <w:rFonts w:ascii="黑体" w:hAnsi="黑体" w:cs="黑体" w:eastAsia="黑体" w:hint="default"/>
                <w:sz w:val="20"/>
                <w:szCs w:val="20"/>
              </w:rPr>
              <w:t>递延收益</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7"/>
              <w:ind w:left="318" w:right="0"/>
              <w:jc w:val="center"/>
              <w:rPr>
                <w:rFonts w:ascii="Arial" w:hAnsi="Arial" w:cs="Arial" w:eastAsia="Arial" w:hint="default"/>
                <w:sz w:val="20"/>
                <w:szCs w:val="20"/>
              </w:rPr>
            </w:pPr>
            <w:r>
              <w:rPr>
                <w:rFonts w:ascii="Arial"/>
                <w:sz w:val="20"/>
              </w:rPr>
              <w:t>29</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8"/>
              <w:jc w:val="right"/>
              <w:rPr>
                <w:rFonts w:ascii="Arial" w:hAnsi="Arial" w:cs="Arial" w:eastAsia="Arial" w:hint="default"/>
                <w:sz w:val="20"/>
                <w:szCs w:val="20"/>
              </w:rPr>
            </w:pPr>
            <w:r>
              <w:rPr>
                <w:rFonts w:ascii="Arial"/>
                <w:spacing w:val="-1"/>
                <w:sz w:val="20"/>
              </w:rPr>
              <w:t>49,757,234</w:t>
            </w:r>
            <w:r>
              <w:rPr>
                <w:rFonts w:ascii="Arial"/>
                <w:sz w:val="20"/>
              </w:rPr>
            </w:r>
          </w:p>
        </w:tc>
        <w:tc>
          <w:tcPr>
            <w:tcW w:w="345"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8"/>
              <w:jc w:val="right"/>
              <w:rPr>
                <w:rFonts w:ascii="Arial" w:hAnsi="Arial" w:cs="Arial" w:eastAsia="Arial" w:hint="default"/>
                <w:sz w:val="20"/>
                <w:szCs w:val="20"/>
              </w:rPr>
            </w:pPr>
            <w:r>
              <w:rPr>
                <w:rFonts w:ascii="Arial"/>
                <w:spacing w:val="-1"/>
                <w:sz w:val="20"/>
              </w:rPr>
              <w:t>10,502,234</w:t>
            </w:r>
            <w:r>
              <w:rPr>
                <w:rFonts w:ascii="Arial"/>
                <w:sz w:val="20"/>
              </w:rPr>
            </w:r>
          </w:p>
        </w:tc>
        <w:tc>
          <w:tcPr>
            <w:tcW w:w="297" w:type="dxa"/>
            <w:tcBorders>
              <w:top w:val="nil" w:sz="6" w:space="0" w:color="auto"/>
              <w:left w:val="nil" w:sz="6" w:space="0" w:color="auto"/>
              <w:bottom w:val="nil" w:sz="6" w:space="0" w:color="auto"/>
              <w:right w:val="nil" w:sz="6" w:space="0" w:color="auto"/>
            </w:tcBorders>
          </w:tcPr>
          <w:p>
            <w:pPr/>
          </w:p>
        </w:tc>
      </w:tr>
      <w:tr>
        <w:trPr>
          <w:trHeight w:val="374" w:hRule="exact"/>
        </w:trPr>
        <w:tc>
          <w:tcPr>
            <w:tcW w:w="3207" w:type="dxa"/>
            <w:tcBorders>
              <w:top w:val="nil" w:sz="6" w:space="0" w:color="auto"/>
              <w:left w:val="nil" w:sz="6" w:space="0" w:color="auto"/>
              <w:bottom w:val="nil" w:sz="6" w:space="0" w:color="auto"/>
              <w:right w:val="nil" w:sz="6" w:space="0" w:color="auto"/>
            </w:tcBorders>
          </w:tcPr>
          <w:p>
            <w:pPr>
              <w:pStyle w:val="TableParagraph"/>
              <w:spacing w:line="226" w:lineRule="exact"/>
              <w:ind w:left="324" w:right="0"/>
              <w:jc w:val="left"/>
              <w:rPr>
                <w:rFonts w:ascii="黑体" w:hAnsi="黑体" w:cs="黑体" w:eastAsia="黑体" w:hint="default"/>
                <w:sz w:val="20"/>
                <w:szCs w:val="20"/>
              </w:rPr>
            </w:pPr>
            <w:r>
              <w:rPr>
                <w:rFonts w:ascii="黑体" w:hAnsi="黑体" w:cs="黑体" w:eastAsia="黑体" w:hint="default"/>
                <w:sz w:val="20"/>
                <w:szCs w:val="20"/>
              </w:rPr>
              <w:t>递延所得税负债</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7"/>
              <w:ind w:left="318" w:right="0"/>
              <w:jc w:val="center"/>
              <w:rPr>
                <w:rFonts w:ascii="Arial" w:hAnsi="Arial" w:cs="Arial" w:eastAsia="Arial" w:hint="default"/>
                <w:sz w:val="20"/>
                <w:szCs w:val="20"/>
              </w:rPr>
            </w:pPr>
            <w:r>
              <w:rPr>
                <w:rFonts w:ascii="Arial"/>
                <w:sz w:val="20"/>
              </w:rPr>
              <w:t>16</w:t>
            </w:r>
          </w:p>
        </w:tc>
        <w:tc>
          <w:tcPr>
            <w:tcW w:w="1667" w:type="dxa"/>
            <w:tcBorders>
              <w:top w:val="nil" w:sz="6" w:space="0" w:color="auto"/>
              <w:left w:val="nil" w:sz="6" w:space="0" w:color="auto"/>
              <w:bottom w:val="nil" w:sz="6" w:space="0" w:color="auto"/>
              <w:right w:val="nil" w:sz="6" w:space="0" w:color="auto"/>
            </w:tcBorders>
          </w:tcPr>
          <w:p>
            <w:pPr>
              <w:pStyle w:val="TableParagraph"/>
              <w:tabs>
                <w:tab w:pos="403" w:val="left" w:leader="none"/>
              </w:tabs>
              <w:spacing w:line="240" w:lineRule="auto" w:before="7"/>
              <w:ind w:right="2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5,030,737</w:t>
            </w:r>
            <w:r>
              <w:rPr>
                <w:rFonts w:ascii="Arial"/>
                <w:spacing w:val="-1"/>
                <w:w w:val="95"/>
                <w:sz w:val="20"/>
              </w:rPr>
            </w:r>
            <w:r>
              <w:rPr>
                <w:rFonts w:ascii="Arial"/>
                <w:sz w:val="20"/>
              </w:rPr>
            </w:r>
          </w:p>
        </w:tc>
        <w:tc>
          <w:tcPr>
            <w:tcW w:w="345"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Style w:val="TableParagraph"/>
              <w:tabs>
                <w:tab w:pos="369" w:val="left" w:leader="none"/>
              </w:tabs>
              <w:spacing w:line="240" w:lineRule="auto" w:before="7"/>
              <w:ind w:right="2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sz w:val="20"/>
                <w:u w:val="single" w:color="000000"/>
              </w:rPr>
              <w:t>5,510,618</w:t>
            </w:r>
            <w:r>
              <w:rPr>
                <w:rFonts w:ascii="Arial"/>
                <w:spacing w:val="-1"/>
                <w:sz w:val="20"/>
              </w:rPr>
            </w:r>
            <w:r>
              <w:rPr>
                <w:rFonts w:ascii="Arial"/>
                <w:sz w:val="20"/>
              </w:rPr>
            </w:r>
          </w:p>
        </w:tc>
        <w:tc>
          <w:tcPr>
            <w:tcW w:w="297" w:type="dxa"/>
            <w:tcBorders>
              <w:top w:val="nil" w:sz="6" w:space="0" w:color="auto"/>
              <w:left w:val="nil" w:sz="6" w:space="0" w:color="auto"/>
              <w:bottom w:val="nil" w:sz="6" w:space="0" w:color="auto"/>
              <w:right w:val="nil" w:sz="6" w:space="0" w:color="auto"/>
            </w:tcBorders>
          </w:tcPr>
          <w:p>
            <w:pPr/>
          </w:p>
        </w:tc>
      </w:tr>
      <w:tr>
        <w:trPr>
          <w:trHeight w:val="490" w:hRule="exact"/>
        </w:trPr>
        <w:tc>
          <w:tcPr>
            <w:tcW w:w="320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5" w:right="0"/>
              <w:jc w:val="left"/>
              <w:rPr>
                <w:rFonts w:ascii="黑体" w:hAnsi="黑体" w:cs="黑体" w:eastAsia="黑体" w:hint="default"/>
                <w:sz w:val="20"/>
                <w:szCs w:val="20"/>
              </w:rPr>
            </w:pPr>
            <w:r>
              <w:rPr>
                <w:rFonts w:ascii="黑体" w:hAnsi="黑体" w:cs="黑体" w:eastAsia="黑体" w:hint="default"/>
                <w:sz w:val="20"/>
                <w:szCs w:val="20"/>
              </w:rPr>
              <w:t>非流动负债合计</w:t>
            </w:r>
          </w:p>
        </w:tc>
        <w:tc>
          <w:tcPr>
            <w:tcW w:w="1649"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4"/>
                <w:sz w:val="20"/>
                <w:u w:val="single" w:color="000000"/>
              </w:rPr>
              <w:t> </w:t>
            </w:r>
            <w:r>
              <w:rPr>
                <w:rFonts w:ascii="Arial"/>
                <w:spacing w:val="-1"/>
                <w:w w:val="95"/>
                <w:sz w:val="20"/>
                <w:u w:val="single" w:color="000000"/>
              </w:rPr>
              <w:t>213,551,290</w:t>
            </w:r>
            <w:r>
              <w:rPr>
                <w:rFonts w:ascii="Arial"/>
                <w:spacing w:val="-1"/>
                <w:w w:val="95"/>
                <w:sz w:val="20"/>
              </w:rPr>
            </w:r>
            <w:r>
              <w:rPr>
                <w:rFonts w:ascii="Arial"/>
                <w:sz w:val="20"/>
              </w:rPr>
            </w:r>
          </w:p>
        </w:tc>
        <w:tc>
          <w:tcPr>
            <w:tcW w:w="345"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1"/>
                <w:sz w:val="20"/>
                <w:u w:val="single" w:color="000000"/>
              </w:rPr>
              <w:t> 196,012,852</w:t>
            </w:r>
            <w:r>
              <w:rPr>
                <w:rFonts w:ascii="Arial"/>
                <w:spacing w:val="-1"/>
                <w:sz w:val="20"/>
              </w:rPr>
            </w:r>
            <w:r>
              <w:rPr>
                <w:rFonts w:ascii="Arial"/>
                <w:sz w:val="20"/>
              </w:rPr>
            </w:r>
          </w:p>
        </w:tc>
        <w:tc>
          <w:tcPr>
            <w:tcW w:w="297" w:type="dxa"/>
            <w:tcBorders>
              <w:top w:val="nil" w:sz="6" w:space="0" w:color="auto"/>
              <w:left w:val="nil" w:sz="6" w:space="0" w:color="auto"/>
              <w:bottom w:val="nil" w:sz="6" w:space="0" w:color="auto"/>
              <w:right w:val="nil" w:sz="6" w:space="0" w:color="auto"/>
            </w:tcBorders>
          </w:tcPr>
          <w:p>
            <w:pPr/>
          </w:p>
        </w:tc>
      </w:tr>
      <w:tr>
        <w:trPr>
          <w:trHeight w:val="490" w:hRule="exact"/>
        </w:trPr>
        <w:tc>
          <w:tcPr>
            <w:tcW w:w="320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5" w:right="0"/>
              <w:jc w:val="left"/>
              <w:rPr>
                <w:rFonts w:ascii="黑体" w:hAnsi="黑体" w:cs="黑体" w:eastAsia="黑体" w:hint="default"/>
                <w:sz w:val="20"/>
                <w:szCs w:val="20"/>
              </w:rPr>
            </w:pPr>
            <w:r>
              <w:rPr>
                <w:rFonts w:ascii="黑体" w:hAnsi="黑体" w:cs="黑体" w:eastAsia="黑体" w:hint="default"/>
                <w:sz w:val="20"/>
                <w:szCs w:val="20"/>
              </w:rPr>
              <w:t>负债总计</w:t>
            </w:r>
          </w:p>
        </w:tc>
        <w:tc>
          <w:tcPr>
            <w:tcW w:w="1649"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5"/>
              <w:jc w:val="right"/>
              <w:rPr>
                <w:rFonts w:ascii="Arial" w:hAnsi="Arial" w:cs="Arial" w:eastAsia="Arial" w:hint="default"/>
                <w:sz w:val="20"/>
                <w:szCs w:val="20"/>
              </w:rPr>
            </w:pPr>
            <w:r>
              <w:rPr>
                <w:rFonts w:ascii="Arial"/>
                <w:w w:val="99"/>
                <w:sz w:val="20"/>
              </w:rPr>
            </w:r>
            <w:r>
              <w:rPr>
                <w:rFonts w:ascii="Arial"/>
                <w:spacing w:val="-1"/>
                <w:sz w:val="20"/>
                <w:u w:val="single" w:color="000000"/>
              </w:rPr>
              <w:t>3,082,808,550</w:t>
            </w:r>
            <w:r>
              <w:rPr>
                <w:rFonts w:ascii="Arial"/>
                <w:spacing w:val="-1"/>
                <w:sz w:val="20"/>
              </w:rPr>
            </w:r>
            <w:r>
              <w:rPr>
                <w:rFonts w:ascii="Arial"/>
                <w:sz w:val="20"/>
              </w:rPr>
            </w:r>
          </w:p>
        </w:tc>
        <w:tc>
          <w:tcPr>
            <w:tcW w:w="345"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8"/>
              <w:jc w:val="right"/>
              <w:rPr>
                <w:rFonts w:ascii="Arial" w:hAnsi="Arial" w:cs="Arial" w:eastAsia="Arial" w:hint="default"/>
                <w:sz w:val="20"/>
                <w:szCs w:val="20"/>
              </w:rPr>
            </w:pPr>
            <w:r>
              <w:rPr>
                <w:rFonts w:ascii="Arial"/>
                <w:w w:val="99"/>
                <w:sz w:val="20"/>
              </w:rPr>
            </w:r>
            <w:r>
              <w:rPr>
                <w:rFonts w:ascii="Arial"/>
                <w:spacing w:val="-1"/>
                <w:sz w:val="20"/>
                <w:u w:val="single" w:color="000000"/>
              </w:rPr>
              <w:t>2,434,556,430</w:t>
            </w:r>
            <w:r>
              <w:rPr>
                <w:rFonts w:ascii="Arial"/>
                <w:spacing w:val="-1"/>
                <w:sz w:val="20"/>
              </w:rPr>
            </w:r>
            <w:r>
              <w:rPr>
                <w:rFonts w:ascii="Arial"/>
                <w:sz w:val="20"/>
              </w:rPr>
            </w:r>
          </w:p>
        </w:tc>
        <w:tc>
          <w:tcPr>
            <w:tcW w:w="297" w:type="dxa"/>
            <w:tcBorders>
              <w:top w:val="nil" w:sz="6" w:space="0" w:color="auto"/>
              <w:left w:val="nil" w:sz="6" w:space="0" w:color="auto"/>
              <w:bottom w:val="nil" w:sz="6" w:space="0" w:color="auto"/>
              <w:right w:val="nil" w:sz="6" w:space="0" w:color="auto"/>
            </w:tcBorders>
          </w:tcPr>
          <w:p>
            <w:pPr/>
          </w:p>
        </w:tc>
      </w:tr>
      <w:tr>
        <w:trPr>
          <w:trHeight w:val="485" w:hRule="exact"/>
        </w:trPr>
        <w:tc>
          <w:tcPr>
            <w:tcW w:w="320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5" w:right="0"/>
              <w:jc w:val="left"/>
              <w:rPr>
                <w:rFonts w:ascii="黑体" w:hAnsi="黑体" w:cs="黑体" w:eastAsia="黑体" w:hint="default"/>
                <w:sz w:val="20"/>
                <w:szCs w:val="20"/>
              </w:rPr>
            </w:pPr>
            <w:r>
              <w:rPr>
                <w:rFonts w:ascii="黑体" w:hAnsi="黑体" w:cs="黑体" w:eastAsia="黑体" w:hint="default"/>
                <w:sz w:val="20"/>
                <w:szCs w:val="20"/>
              </w:rPr>
              <w:t>股东权益：</w:t>
            </w:r>
          </w:p>
        </w:tc>
        <w:tc>
          <w:tcPr>
            <w:tcW w:w="1649"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
        </w:tc>
        <w:tc>
          <w:tcPr>
            <w:tcW w:w="345"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
        </w:tc>
        <w:tc>
          <w:tcPr>
            <w:tcW w:w="297" w:type="dxa"/>
            <w:tcBorders>
              <w:top w:val="nil" w:sz="6" w:space="0" w:color="auto"/>
              <w:left w:val="nil" w:sz="6" w:space="0" w:color="auto"/>
              <w:bottom w:val="nil" w:sz="6" w:space="0" w:color="auto"/>
              <w:right w:val="nil" w:sz="6" w:space="0" w:color="auto"/>
            </w:tcBorders>
          </w:tcPr>
          <w:p>
            <w:pPr/>
          </w:p>
        </w:tc>
      </w:tr>
      <w:tr>
        <w:trPr>
          <w:trHeight w:val="379" w:hRule="exact"/>
        </w:trPr>
        <w:tc>
          <w:tcPr>
            <w:tcW w:w="3207" w:type="dxa"/>
            <w:tcBorders>
              <w:top w:val="nil" w:sz="6" w:space="0" w:color="auto"/>
              <w:left w:val="nil" w:sz="6" w:space="0" w:color="auto"/>
              <w:bottom w:val="nil" w:sz="6" w:space="0" w:color="auto"/>
              <w:right w:val="nil" w:sz="6" w:space="0" w:color="auto"/>
            </w:tcBorders>
          </w:tcPr>
          <w:p>
            <w:pPr>
              <w:pStyle w:val="TableParagraph"/>
              <w:spacing w:line="240" w:lineRule="auto" w:before="81"/>
              <w:ind w:left="324" w:right="0"/>
              <w:jc w:val="left"/>
              <w:rPr>
                <w:rFonts w:ascii="黑体" w:hAnsi="黑体" w:cs="黑体" w:eastAsia="黑体" w:hint="default"/>
                <w:sz w:val="20"/>
                <w:szCs w:val="20"/>
              </w:rPr>
            </w:pPr>
            <w:r>
              <w:rPr>
                <w:rFonts w:ascii="黑体" w:hAnsi="黑体" w:cs="黑体" w:eastAsia="黑体" w:hint="default"/>
                <w:sz w:val="20"/>
                <w:szCs w:val="20"/>
              </w:rPr>
              <w:t>股本</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127"/>
              <w:ind w:left="319" w:right="0"/>
              <w:jc w:val="center"/>
              <w:rPr>
                <w:rFonts w:ascii="Arial" w:hAnsi="Arial" w:cs="Arial" w:eastAsia="Arial" w:hint="default"/>
                <w:sz w:val="20"/>
                <w:szCs w:val="20"/>
              </w:rPr>
            </w:pPr>
            <w:r>
              <w:rPr>
                <w:rFonts w:ascii="Arial"/>
                <w:sz w:val="20"/>
              </w:rPr>
              <w:t>30</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8"/>
              <w:jc w:val="right"/>
              <w:rPr>
                <w:rFonts w:ascii="Arial" w:hAnsi="Arial" w:cs="Arial" w:eastAsia="Arial" w:hint="default"/>
                <w:sz w:val="20"/>
                <w:szCs w:val="20"/>
              </w:rPr>
            </w:pPr>
            <w:r>
              <w:rPr>
                <w:rFonts w:ascii="Arial"/>
                <w:spacing w:val="-1"/>
                <w:sz w:val="20"/>
              </w:rPr>
              <w:t>979,084,040</w:t>
            </w:r>
            <w:r>
              <w:rPr>
                <w:rFonts w:ascii="Arial"/>
                <w:sz w:val="20"/>
              </w:rPr>
            </w:r>
          </w:p>
        </w:tc>
        <w:tc>
          <w:tcPr>
            <w:tcW w:w="345"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8"/>
              <w:jc w:val="right"/>
              <w:rPr>
                <w:rFonts w:ascii="Arial" w:hAnsi="Arial" w:cs="Arial" w:eastAsia="Arial" w:hint="default"/>
                <w:sz w:val="20"/>
                <w:szCs w:val="20"/>
              </w:rPr>
            </w:pPr>
            <w:r>
              <w:rPr>
                <w:rFonts w:ascii="Arial"/>
                <w:spacing w:val="-1"/>
                <w:sz w:val="20"/>
              </w:rPr>
              <w:t>815,903,367</w:t>
            </w:r>
            <w:r>
              <w:rPr>
                <w:rFonts w:ascii="Arial"/>
                <w:sz w:val="20"/>
              </w:rPr>
            </w:r>
          </w:p>
        </w:tc>
        <w:tc>
          <w:tcPr>
            <w:tcW w:w="297" w:type="dxa"/>
            <w:tcBorders>
              <w:top w:val="nil" w:sz="6" w:space="0" w:color="auto"/>
              <w:left w:val="nil" w:sz="6" w:space="0" w:color="auto"/>
              <w:bottom w:val="nil" w:sz="6" w:space="0" w:color="auto"/>
              <w:right w:val="nil" w:sz="6" w:space="0" w:color="auto"/>
            </w:tcBorders>
          </w:tcPr>
          <w:p>
            <w:pPr/>
          </w:p>
        </w:tc>
      </w:tr>
      <w:tr>
        <w:trPr>
          <w:trHeight w:val="259" w:hRule="exact"/>
        </w:trPr>
        <w:tc>
          <w:tcPr>
            <w:tcW w:w="3207" w:type="dxa"/>
            <w:tcBorders>
              <w:top w:val="nil" w:sz="6" w:space="0" w:color="auto"/>
              <w:left w:val="nil" w:sz="6" w:space="0" w:color="auto"/>
              <w:bottom w:val="nil" w:sz="6" w:space="0" w:color="auto"/>
              <w:right w:val="nil" w:sz="6" w:space="0" w:color="auto"/>
            </w:tcBorders>
          </w:tcPr>
          <w:p>
            <w:pPr>
              <w:pStyle w:val="TableParagraph"/>
              <w:spacing w:line="226" w:lineRule="exact"/>
              <w:ind w:left="324" w:right="0"/>
              <w:jc w:val="left"/>
              <w:rPr>
                <w:rFonts w:ascii="黑体" w:hAnsi="黑体" w:cs="黑体" w:eastAsia="黑体" w:hint="default"/>
                <w:sz w:val="20"/>
                <w:szCs w:val="20"/>
              </w:rPr>
            </w:pPr>
            <w:r>
              <w:rPr>
                <w:rFonts w:ascii="黑体" w:hAnsi="黑体" w:cs="黑体" w:eastAsia="黑体" w:hint="default"/>
                <w:sz w:val="20"/>
                <w:szCs w:val="20"/>
              </w:rPr>
              <w:t>资本公积</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7"/>
              <w:ind w:left="319" w:right="0"/>
              <w:jc w:val="center"/>
              <w:rPr>
                <w:rFonts w:ascii="Arial" w:hAnsi="Arial" w:cs="Arial" w:eastAsia="Arial" w:hint="default"/>
                <w:sz w:val="20"/>
                <w:szCs w:val="20"/>
              </w:rPr>
            </w:pPr>
            <w:r>
              <w:rPr>
                <w:rFonts w:ascii="Arial"/>
                <w:sz w:val="20"/>
              </w:rPr>
              <w:t>31</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8"/>
              <w:jc w:val="right"/>
              <w:rPr>
                <w:rFonts w:ascii="Arial" w:hAnsi="Arial" w:cs="Arial" w:eastAsia="Arial" w:hint="default"/>
                <w:sz w:val="20"/>
                <w:szCs w:val="20"/>
              </w:rPr>
            </w:pPr>
            <w:r>
              <w:rPr>
                <w:rFonts w:ascii="Arial"/>
                <w:spacing w:val="-1"/>
                <w:sz w:val="20"/>
              </w:rPr>
              <w:t>579,549,032</w:t>
            </w:r>
            <w:r>
              <w:rPr>
                <w:rFonts w:ascii="Arial"/>
                <w:sz w:val="20"/>
              </w:rPr>
            </w:r>
          </w:p>
        </w:tc>
        <w:tc>
          <w:tcPr>
            <w:tcW w:w="345"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8"/>
              <w:jc w:val="right"/>
              <w:rPr>
                <w:rFonts w:ascii="Arial" w:hAnsi="Arial" w:cs="Arial" w:eastAsia="Arial" w:hint="default"/>
                <w:sz w:val="20"/>
                <w:szCs w:val="20"/>
              </w:rPr>
            </w:pPr>
            <w:r>
              <w:rPr>
                <w:rFonts w:ascii="Arial"/>
                <w:spacing w:val="-1"/>
                <w:sz w:val="20"/>
              </w:rPr>
              <w:t>739,348,701</w:t>
            </w:r>
            <w:r>
              <w:rPr>
                <w:rFonts w:ascii="Arial"/>
                <w:sz w:val="20"/>
              </w:rPr>
            </w:r>
          </w:p>
        </w:tc>
        <w:tc>
          <w:tcPr>
            <w:tcW w:w="297" w:type="dxa"/>
            <w:tcBorders>
              <w:top w:val="nil" w:sz="6" w:space="0" w:color="auto"/>
              <w:left w:val="nil" w:sz="6" w:space="0" w:color="auto"/>
              <w:bottom w:val="nil" w:sz="6" w:space="0" w:color="auto"/>
              <w:right w:val="nil" w:sz="6" w:space="0" w:color="auto"/>
            </w:tcBorders>
          </w:tcPr>
          <w:p>
            <w:pPr/>
          </w:p>
        </w:tc>
      </w:tr>
      <w:tr>
        <w:trPr>
          <w:trHeight w:val="259" w:hRule="exact"/>
        </w:trPr>
        <w:tc>
          <w:tcPr>
            <w:tcW w:w="3207" w:type="dxa"/>
            <w:tcBorders>
              <w:top w:val="nil" w:sz="6" w:space="0" w:color="auto"/>
              <w:left w:val="nil" w:sz="6" w:space="0" w:color="auto"/>
              <w:bottom w:val="nil" w:sz="6" w:space="0" w:color="auto"/>
              <w:right w:val="nil" w:sz="6" w:space="0" w:color="auto"/>
            </w:tcBorders>
          </w:tcPr>
          <w:p>
            <w:pPr>
              <w:pStyle w:val="TableParagraph"/>
              <w:spacing w:line="226" w:lineRule="exact"/>
              <w:ind w:left="324" w:right="0"/>
              <w:jc w:val="left"/>
              <w:rPr>
                <w:rFonts w:ascii="黑体" w:hAnsi="黑体" w:cs="黑体" w:eastAsia="黑体" w:hint="default"/>
                <w:sz w:val="20"/>
                <w:szCs w:val="20"/>
              </w:rPr>
            </w:pPr>
            <w:r>
              <w:rPr>
                <w:rFonts w:ascii="黑体" w:hAnsi="黑体" w:cs="黑体" w:eastAsia="黑体" w:hint="default"/>
                <w:sz w:val="20"/>
                <w:szCs w:val="20"/>
              </w:rPr>
              <w:t>减：库存股</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7"/>
              <w:ind w:left="319" w:right="0"/>
              <w:jc w:val="center"/>
              <w:rPr>
                <w:rFonts w:ascii="Arial" w:hAnsi="Arial" w:cs="Arial" w:eastAsia="Arial" w:hint="default"/>
                <w:sz w:val="20"/>
                <w:szCs w:val="20"/>
              </w:rPr>
            </w:pPr>
            <w:r>
              <w:rPr>
                <w:rFonts w:ascii="Arial"/>
                <w:sz w:val="20"/>
              </w:rPr>
              <w:t>32</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8"/>
              <w:jc w:val="right"/>
              <w:rPr>
                <w:rFonts w:ascii="Arial" w:hAnsi="Arial" w:cs="Arial" w:eastAsia="Arial" w:hint="default"/>
                <w:sz w:val="20"/>
                <w:szCs w:val="20"/>
              </w:rPr>
            </w:pPr>
            <w:r>
              <w:rPr>
                <w:rFonts w:ascii="Arial"/>
                <w:spacing w:val="-1"/>
                <w:sz w:val="20"/>
              </w:rPr>
              <w:t>20,001,895</w:t>
            </w:r>
            <w:r>
              <w:rPr>
                <w:rFonts w:ascii="Arial"/>
                <w:sz w:val="20"/>
              </w:rPr>
            </w:r>
          </w:p>
        </w:tc>
        <w:tc>
          <w:tcPr>
            <w:tcW w:w="345"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6"/>
              <w:jc w:val="right"/>
              <w:rPr>
                <w:rFonts w:ascii="Arial" w:hAnsi="Arial" w:cs="Arial" w:eastAsia="Arial" w:hint="default"/>
                <w:sz w:val="20"/>
                <w:szCs w:val="20"/>
              </w:rPr>
            </w:pPr>
            <w:r>
              <w:rPr>
                <w:rFonts w:ascii="Arial"/>
                <w:w w:val="99"/>
                <w:sz w:val="20"/>
              </w:rPr>
              <w:t>-</w:t>
            </w:r>
            <w:r>
              <w:rPr>
                <w:rFonts w:ascii="Arial"/>
                <w:sz w:val="20"/>
              </w:rPr>
            </w:r>
          </w:p>
        </w:tc>
        <w:tc>
          <w:tcPr>
            <w:tcW w:w="297" w:type="dxa"/>
            <w:tcBorders>
              <w:top w:val="nil" w:sz="6" w:space="0" w:color="auto"/>
              <w:left w:val="nil" w:sz="6" w:space="0" w:color="auto"/>
              <w:bottom w:val="nil" w:sz="6" w:space="0" w:color="auto"/>
              <w:right w:val="nil" w:sz="6" w:space="0" w:color="auto"/>
            </w:tcBorders>
          </w:tcPr>
          <w:p>
            <w:pPr/>
          </w:p>
        </w:tc>
      </w:tr>
      <w:tr>
        <w:trPr>
          <w:trHeight w:val="259" w:hRule="exact"/>
        </w:trPr>
        <w:tc>
          <w:tcPr>
            <w:tcW w:w="3207" w:type="dxa"/>
            <w:tcBorders>
              <w:top w:val="nil" w:sz="6" w:space="0" w:color="auto"/>
              <w:left w:val="nil" w:sz="6" w:space="0" w:color="auto"/>
              <w:bottom w:val="nil" w:sz="6" w:space="0" w:color="auto"/>
              <w:right w:val="nil" w:sz="6" w:space="0" w:color="auto"/>
            </w:tcBorders>
          </w:tcPr>
          <w:p>
            <w:pPr>
              <w:pStyle w:val="TableParagraph"/>
              <w:spacing w:line="226" w:lineRule="exact"/>
              <w:ind w:left="324" w:right="0"/>
              <w:jc w:val="left"/>
              <w:rPr>
                <w:rFonts w:ascii="黑体" w:hAnsi="黑体" w:cs="黑体" w:eastAsia="黑体" w:hint="default"/>
                <w:sz w:val="20"/>
                <w:szCs w:val="20"/>
              </w:rPr>
            </w:pPr>
            <w:r>
              <w:rPr>
                <w:rFonts w:ascii="黑体" w:hAnsi="黑体" w:cs="黑体" w:eastAsia="黑体" w:hint="default"/>
                <w:sz w:val="20"/>
                <w:szCs w:val="20"/>
              </w:rPr>
              <w:t>盈余公积</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7"/>
              <w:ind w:left="319" w:right="0"/>
              <w:jc w:val="center"/>
              <w:rPr>
                <w:rFonts w:ascii="Arial" w:hAnsi="Arial" w:cs="Arial" w:eastAsia="Arial" w:hint="default"/>
                <w:sz w:val="20"/>
                <w:szCs w:val="20"/>
              </w:rPr>
            </w:pPr>
            <w:r>
              <w:rPr>
                <w:rFonts w:ascii="Arial"/>
                <w:sz w:val="20"/>
              </w:rPr>
              <w:t>33</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5"/>
              <w:jc w:val="right"/>
              <w:rPr>
                <w:rFonts w:ascii="Arial" w:hAnsi="Arial" w:cs="Arial" w:eastAsia="Arial" w:hint="default"/>
                <w:sz w:val="20"/>
                <w:szCs w:val="20"/>
              </w:rPr>
            </w:pPr>
            <w:r>
              <w:rPr>
                <w:rFonts w:ascii="Arial"/>
                <w:spacing w:val="-1"/>
                <w:sz w:val="20"/>
              </w:rPr>
              <w:t>455,383,772</w:t>
            </w:r>
            <w:r>
              <w:rPr>
                <w:rFonts w:ascii="Arial"/>
                <w:sz w:val="20"/>
              </w:rPr>
            </w:r>
          </w:p>
        </w:tc>
        <w:tc>
          <w:tcPr>
            <w:tcW w:w="345"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8"/>
              <w:jc w:val="right"/>
              <w:rPr>
                <w:rFonts w:ascii="Arial" w:hAnsi="Arial" w:cs="Arial" w:eastAsia="Arial" w:hint="default"/>
                <w:sz w:val="20"/>
                <w:szCs w:val="20"/>
              </w:rPr>
            </w:pPr>
            <w:r>
              <w:rPr>
                <w:rFonts w:ascii="Arial"/>
                <w:spacing w:val="-1"/>
                <w:sz w:val="20"/>
              </w:rPr>
              <w:t>391,398,002</w:t>
            </w:r>
            <w:r>
              <w:rPr>
                <w:rFonts w:ascii="Arial"/>
                <w:sz w:val="20"/>
              </w:rPr>
            </w:r>
          </w:p>
        </w:tc>
        <w:tc>
          <w:tcPr>
            <w:tcW w:w="297" w:type="dxa"/>
            <w:tcBorders>
              <w:top w:val="nil" w:sz="6" w:space="0" w:color="auto"/>
              <w:left w:val="nil" w:sz="6" w:space="0" w:color="auto"/>
              <w:bottom w:val="nil" w:sz="6" w:space="0" w:color="auto"/>
              <w:right w:val="nil" w:sz="6" w:space="0" w:color="auto"/>
            </w:tcBorders>
          </w:tcPr>
          <w:p>
            <w:pPr/>
          </w:p>
        </w:tc>
      </w:tr>
      <w:tr>
        <w:trPr>
          <w:trHeight w:val="259" w:hRule="exact"/>
        </w:trPr>
        <w:tc>
          <w:tcPr>
            <w:tcW w:w="3207" w:type="dxa"/>
            <w:tcBorders>
              <w:top w:val="nil" w:sz="6" w:space="0" w:color="auto"/>
              <w:left w:val="nil" w:sz="6" w:space="0" w:color="auto"/>
              <w:bottom w:val="nil" w:sz="6" w:space="0" w:color="auto"/>
              <w:right w:val="nil" w:sz="6" w:space="0" w:color="auto"/>
            </w:tcBorders>
          </w:tcPr>
          <w:p>
            <w:pPr>
              <w:pStyle w:val="TableParagraph"/>
              <w:spacing w:line="226" w:lineRule="exact"/>
              <w:ind w:left="324" w:right="0"/>
              <w:jc w:val="left"/>
              <w:rPr>
                <w:rFonts w:ascii="黑体" w:hAnsi="黑体" w:cs="黑体" w:eastAsia="黑体" w:hint="default"/>
                <w:sz w:val="20"/>
                <w:szCs w:val="20"/>
              </w:rPr>
            </w:pPr>
            <w:r>
              <w:rPr>
                <w:rFonts w:ascii="黑体" w:hAnsi="黑体" w:cs="黑体" w:eastAsia="黑体" w:hint="default"/>
                <w:sz w:val="20"/>
                <w:szCs w:val="20"/>
              </w:rPr>
              <w:t>未分配利润</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7"/>
              <w:ind w:left="319" w:right="0"/>
              <w:jc w:val="center"/>
              <w:rPr>
                <w:rFonts w:ascii="Arial" w:hAnsi="Arial" w:cs="Arial" w:eastAsia="Arial" w:hint="default"/>
                <w:sz w:val="20"/>
                <w:szCs w:val="20"/>
              </w:rPr>
            </w:pPr>
            <w:r>
              <w:rPr>
                <w:rFonts w:ascii="Arial"/>
                <w:sz w:val="20"/>
              </w:rPr>
              <w:t>34</w:t>
            </w: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5"/>
              <w:jc w:val="right"/>
              <w:rPr>
                <w:rFonts w:ascii="Arial" w:hAnsi="Arial" w:cs="Arial" w:eastAsia="Arial" w:hint="default"/>
                <w:sz w:val="20"/>
                <w:szCs w:val="20"/>
              </w:rPr>
            </w:pPr>
            <w:r>
              <w:rPr>
                <w:rFonts w:ascii="Arial"/>
                <w:spacing w:val="-1"/>
                <w:sz w:val="20"/>
              </w:rPr>
              <w:t>1,000,370,930</w:t>
            </w:r>
            <w:r>
              <w:rPr>
                <w:rFonts w:ascii="Arial"/>
                <w:sz w:val="20"/>
              </w:rPr>
            </w:r>
          </w:p>
        </w:tc>
        <w:tc>
          <w:tcPr>
            <w:tcW w:w="345"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8"/>
              <w:jc w:val="right"/>
              <w:rPr>
                <w:rFonts w:ascii="Arial" w:hAnsi="Arial" w:cs="Arial" w:eastAsia="Arial" w:hint="default"/>
                <w:sz w:val="20"/>
                <w:szCs w:val="20"/>
              </w:rPr>
            </w:pPr>
            <w:r>
              <w:rPr>
                <w:rFonts w:ascii="Arial"/>
                <w:spacing w:val="-1"/>
                <w:sz w:val="20"/>
              </w:rPr>
              <w:t>1,011,116,076</w:t>
            </w:r>
            <w:r>
              <w:rPr>
                <w:rFonts w:ascii="Arial"/>
                <w:sz w:val="20"/>
              </w:rPr>
            </w:r>
          </w:p>
        </w:tc>
        <w:tc>
          <w:tcPr>
            <w:tcW w:w="297" w:type="dxa"/>
            <w:tcBorders>
              <w:top w:val="nil" w:sz="6" w:space="0" w:color="auto"/>
              <w:left w:val="nil" w:sz="6" w:space="0" w:color="auto"/>
              <w:bottom w:val="nil" w:sz="6" w:space="0" w:color="auto"/>
              <w:right w:val="nil" w:sz="6" w:space="0" w:color="auto"/>
            </w:tcBorders>
          </w:tcPr>
          <w:p>
            <w:pPr/>
          </w:p>
        </w:tc>
      </w:tr>
      <w:tr>
        <w:trPr>
          <w:trHeight w:val="374" w:hRule="exact"/>
        </w:trPr>
        <w:tc>
          <w:tcPr>
            <w:tcW w:w="3207" w:type="dxa"/>
            <w:tcBorders>
              <w:top w:val="nil" w:sz="6" w:space="0" w:color="auto"/>
              <w:left w:val="nil" w:sz="6" w:space="0" w:color="auto"/>
              <w:bottom w:val="nil" w:sz="6" w:space="0" w:color="auto"/>
              <w:right w:val="nil" w:sz="6" w:space="0" w:color="auto"/>
            </w:tcBorders>
          </w:tcPr>
          <w:p>
            <w:pPr>
              <w:pStyle w:val="TableParagraph"/>
              <w:spacing w:line="226" w:lineRule="exact"/>
              <w:ind w:left="324" w:right="0"/>
              <w:jc w:val="left"/>
              <w:rPr>
                <w:rFonts w:ascii="黑体" w:hAnsi="黑体" w:cs="黑体" w:eastAsia="黑体" w:hint="default"/>
                <w:sz w:val="20"/>
                <w:szCs w:val="20"/>
              </w:rPr>
            </w:pPr>
            <w:r>
              <w:rPr>
                <w:rFonts w:ascii="黑体" w:hAnsi="黑体" w:cs="黑体" w:eastAsia="黑体" w:hint="default"/>
                <w:sz w:val="20"/>
                <w:szCs w:val="20"/>
              </w:rPr>
              <w:t>外币报表折算差额</w:t>
            </w:r>
          </w:p>
        </w:tc>
        <w:tc>
          <w:tcPr>
            <w:tcW w:w="1649"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Style w:val="TableParagraph"/>
              <w:tabs>
                <w:tab w:pos="609" w:val="left" w:leader="none"/>
              </w:tabs>
              <w:spacing w:line="240" w:lineRule="auto" w:before="7"/>
              <w:ind w:right="28"/>
              <w:jc w:val="right"/>
              <w:rPr>
                <w:rFonts w:ascii="Arial" w:hAnsi="Arial" w:cs="Arial" w:eastAsia="Arial" w:hint="default"/>
                <w:sz w:val="20"/>
                <w:szCs w:val="20"/>
              </w:rPr>
            </w:pPr>
            <w:r>
              <w:rPr>
                <w:rFonts w:ascii="Arial"/>
                <w:w w:val="95"/>
                <w:sz w:val="20"/>
              </w:rPr>
              <w:t>(</w:t>
            </w:r>
            <w:r>
              <w:rPr>
                <w:rFonts w:ascii="Arial"/>
                <w:w w:val="95"/>
                <w:sz w:val="20"/>
                <w:u w:val="single" w:color="000000"/>
              </w:rPr>
              <w:t> </w:t>
              <w:tab/>
            </w:r>
            <w:r>
              <w:rPr>
                <w:rFonts w:ascii="Arial"/>
                <w:spacing w:val="-1"/>
                <w:w w:val="95"/>
                <w:sz w:val="20"/>
                <w:u w:val="single" w:color="000000"/>
              </w:rPr>
              <w:t>817,282</w:t>
            </w:r>
            <w:r>
              <w:rPr>
                <w:rFonts w:ascii="Arial"/>
                <w:spacing w:val="-1"/>
                <w:w w:val="95"/>
                <w:sz w:val="20"/>
              </w:rPr>
            </w:r>
            <w:r>
              <w:rPr>
                <w:rFonts w:ascii="Arial"/>
                <w:sz w:val="20"/>
              </w:rPr>
            </w:r>
          </w:p>
        </w:tc>
        <w:tc>
          <w:tcPr>
            <w:tcW w:w="345" w:type="dxa"/>
            <w:tcBorders>
              <w:top w:val="nil" w:sz="6" w:space="0" w:color="auto"/>
              <w:left w:val="nil" w:sz="6" w:space="0" w:color="auto"/>
              <w:bottom w:val="nil" w:sz="6" w:space="0" w:color="auto"/>
              <w:right w:val="nil" w:sz="6" w:space="0" w:color="auto"/>
            </w:tcBorders>
          </w:tcPr>
          <w:p>
            <w:pPr>
              <w:pStyle w:val="TableParagraph"/>
              <w:spacing w:line="240" w:lineRule="auto" w:before="7"/>
              <w:ind w:left="27" w:right="0"/>
              <w:jc w:val="left"/>
              <w:rPr>
                <w:rFonts w:ascii="Arial" w:hAnsi="Arial" w:cs="Arial" w:eastAsia="Arial" w:hint="default"/>
                <w:sz w:val="20"/>
                <w:szCs w:val="20"/>
              </w:rPr>
            </w:pPr>
            <w:r>
              <w:rPr>
                <w:rFonts w:ascii="Arial"/>
                <w:w w:val="99"/>
                <w:sz w:val="20"/>
              </w:rPr>
              <w:t>)</w:t>
            </w:r>
            <w:r>
              <w:rPr>
                <w:rFonts w:ascii="Arial"/>
                <w:sz w:val="20"/>
              </w:rPr>
            </w:r>
          </w:p>
        </w:tc>
        <w:tc>
          <w:tcPr>
            <w:tcW w:w="1635" w:type="dxa"/>
            <w:tcBorders>
              <w:top w:val="nil" w:sz="6" w:space="0" w:color="auto"/>
              <w:left w:val="nil" w:sz="6" w:space="0" w:color="auto"/>
              <w:bottom w:val="nil" w:sz="6" w:space="0" w:color="auto"/>
              <w:right w:val="nil" w:sz="6" w:space="0" w:color="auto"/>
            </w:tcBorders>
          </w:tcPr>
          <w:p>
            <w:pPr>
              <w:pStyle w:val="TableParagraph"/>
              <w:tabs>
                <w:tab w:pos="467" w:val="left" w:leader="none"/>
              </w:tabs>
              <w:spacing w:line="240" w:lineRule="auto" w:before="7"/>
              <w:ind w:right="28"/>
              <w:jc w:val="right"/>
              <w:rPr>
                <w:rFonts w:ascii="Arial" w:hAnsi="Arial" w:cs="Arial" w:eastAsia="Arial" w:hint="default"/>
                <w:sz w:val="20"/>
                <w:szCs w:val="20"/>
              </w:rPr>
            </w:pPr>
            <w:r>
              <w:rPr>
                <w:rFonts w:ascii="Arial"/>
                <w:w w:val="95"/>
                <w:sz w:val="20"/>
              </w:rPr>
              <w:t>(</w:t>
            </w:r>
            <w:r>
              <w:rPr>
                <w:rFonts w:ascii="Arial"/>
                <w:w w:val="95"/>
                <w:sz w:val="20"/>
                <w:u w:val="single" w:color="000000"/>
              </w:rPr>
              <w:t> </w:t>
              <w:tab/>
            </w:r>
            <w:r>
              <w:rPr>
                <w:rFonts w:ascii="Arial"/>
                <w:spacing w:val="-1"/>
                <w:w w:val="95"/>
                <w:sz w:val="20"/>
                <w:u w:val="single" w:color="000000"/>
              </w:rPr>
              <w:t>2,207,283</w:t>
            </w:r>
            <w:r>
              <w:rPr>
                <w:rFonts w:ascii="Arial"/>
                <w:spacing w:val="-1"/>
                <w:w w:val="95"/>
                <w:sz w:val="20"/>
              </w:rPr>
            </w:r>
            <w:r>
              <w:rPr>
                <w:rFonts w:ascii="Arial"/>
                <w:sz w:val="20"/>
              </w:rPr>
            </w:r>
          </w:p>
        </w:tc>
        <w:tc>
          <w:tcPr>
            <w:tcW w:w="29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0" w:right="0"/>
              <w:jc w:val="left"/>
              <w:rPr>
                <w:rFonts w:ascii="Arial" w:hAnsi="Arial" w:cs="Arial" w:eastAsia="Arial" w:hint="default"/>
                <w:sz w:val="20"/>
                <w:szCs w:val="20"/>
              </w:rPr>
            </w:pPr>
            <w:r>
              <w:rPr>
                <w:rFonts w:ascii="Arial"/>
                <w:w w:val="99"/>
                <w:sz w:val="20"/>
              </w:rPr>
              <w:t>)</w:t>
            </w:r>
            <w:r>
              <w:rPr>
                <w:rFonts w:ascii="Arial"/>
                <w:sz w:val="20"/>
              </w:rPr>
            </w:r>
          </w:p>
        </w:tc>
      </w:tr>
      <w:tr>
        <w:trPr>
          <w:trHeight w:val="490" w:hRule="exact"/>
        </w:trPr>
        <w:tc>
          <w:tcPr>
            <w:tcW w:w="320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5" w:right="0"/>
              <w:jc w:val="left"/>
              <w:rPr>
                <w:rFonts w:ascii="黑体" w:hAnsi="黑体" w:cs="黑体" w:eastAsia="黑体" w:hint="default"/>
                <w:sz w:val="20"/>
                <w:szCs w:val="20"/>
              </w:rPr>
            </w:pPr>
            <w:r>
              <w:rPr>
                <w:rFonts w:ascii="黑体" w:hAnsi="黑体" w:cs="黑体" w:eastAsia="黑体" w:hint="default"/>
                <w:sz w:val="20"/>
                <w:szCs w:val="20"/>
              </w:rPr>
              <w:t>归属于母公司股东权益合计</w:t>
            </w:r>
          </w:p>
        </w:tc>
        <w:tc>
          <w:tcPr>
            <w:tcW w:w="1649"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5"/>
              <w:jc w:val="right"/>
              <w:rPr>
                <w:rFonts w:ascii="Arial" w:hAnsi="Arial" w:cs="Arial" w:eastAsia="Arial" w:hint="default"/>
                <w:sz w:val="20"/>
                <w:szCs w:val="20"/>
              </w:rPr>
            </w:pPr>
            <w:r>
              <w:rPr>
                <w:rFonts w:ascii="Arial"/>
                <w:w w:val="99"/>
                <w:sz w:val="20"/>
              </w:rPr>
            </w:r>
            <w:r>
              <w:rPr>
                <w:rFonts w:ascii="Arial"/>
                <w:spacing w:val="-1"/>
                <w:sz w:val="20"/>
                <w:u w:val="single" w:color="000000"/>
              </w:rPr>
              <w:t>2,993,568,597</w:t>
            </w:r>
            <w:r>
              <w:rPr>
                <w:rFonts w:ascii="Arial"/>
                <w:spacing w:val="-1"/>
                <w:sz w:val="20"/>
              </w:rPr>
            </w:r>
            <w:r>
              <w:rPr>
                <w:rFonts w:ascii="Arial"/>
                <w:sz w:val="20"/>
              </w:rPr>
            </w:r>
          </w:p>
        </w:tc>
        <w:tc>
          <w:tcPr>
            <w:tcW w:w="345"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8"/>
              <w:jc w:val="right"/>
              <w:rPr>
                <w:rFonts w:ascii="Arial" w:hAnsi="Arial" w:cs="Arial" w:eastAsia="Arial" w:hint="default"/>
                <w:sz w:val="20"/>
                <w:szCs w:val="20"/>
              </w:rPr>
            </w:pPr>
            <w:r>
              <w:rPr>
                <w:rFonts w:ascii="Arial"/>
                <w:w w:val="99"/>
                <w:sz w:val="20"/>
              </w:rPr>
            </w:r>
            <w:r>
              <w:rPr>
                <w:rFonts w:ascii="Arial"/>
                <w:spacing w:val="-1"/>
                <w:sz w:val="20"/>
                <w:u w:val="single" w:color="000000"/>
              </w:rPr>
              <w:t>2,955,558,863</w:t>
            </w:r>
            <w:r>
              <w:rPr>
                <w:rFonts w:ascii="Arial"/>
                <w:spacing w:val="-1"/>
                <w:sz w:val="20"/>
              </w:rPr>
            </w:r>
            <w:r>
              <w:rPr>
                <w:rFonts w:ascii="Arial"/>
                <w:sz w:val="20"/>
              </w:rPr>
            </w:r>
          </w:p>
        </w:tc>
        <w:tc>
          <w:tcPr>
            <w:tcW w:w="297" w:type="dxa"/>
            <w:tcBorders>
              <w:top w:val="nil" w:sz="6" w:space="0" w:color="auto"/>
              <w:left w:val="nil" w:sz="6" w:space="0" w:color="auto"/>
              <w:bottom w:val="nil" w:sz="6" w:space="0" w:color="auto"/>
              <w:right w:val="nil" w:sz="6" w:space="0" w:color="auto"/>
            </w:tcBorders>
          </w:tcPr>
          <w:p>
            <w:pPr/>
          </w:p>
        </w:tc>
      </w:tr>
      <w:tr>
        <w:trPr>
          <w:trHeight w:val="490" w:hRule="exact"/>
        </w:trPr>
        <w:tc>
          <w:tcPr>
            <w:tcW w:w="320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5" w:right="0"/>
              <w:jc w:val="left"/>
              <w:rPr>
                <w:rFonts w:ascii="黑体" w:hAnsi="黑体" w:cs="黑体" w:eastAsia="黑体" w:hint="default"/>
                <w:sz w:val="20"/>
                <w:szCs w:val="20"/>
              </w:rPr>
            </w:pPr>
            <w:r>
              <w:rPr>
                <w:rFonts w:ascii="黑体" w:hAnsi="黑体" w:cs="黑体" w:eastAsia="黑体" w:hint="default"/>
                <w:sz w:val="20"/>
                <w:szCs w:val="20"/>
              </w:rPr>
              <w:t>少数股东权益</w:t>
            </w:r>
          </w:p>
        </w:tc>
        <w:tc>
          <w:tcPr>
            <w:tcW w:w="1649"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22"/>
              <w:ind w:right="2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79,914,125</w:t>
            </w:r>
            <w:r>
              <w:rPr>
                <w:rFonts w:ascii="Arial"/>
                <w:spacing w:val="-1"/>
                <w:w w:val="95"/>
                <w:sz w:val="20"/>
              </w:rPr>
            </w:r>
            <w:r>
              <w:rPr>
                <w:rFonts w:ascii="Arial"/>
                <w:sz w:val="20"/>
              </w:rPr>
            </w:r>
          </w:p>
        </w:tc>
        <w:tc>
          <w:tcPr>
            <w:tcW w:w="345"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22"/>
              <w:ind w:right="2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71,563,895</w:t>
            </w:r>
            <w:r>
              <w:rPr>
                <w:rFonts w:ascii="Arial"/>
                <w:spacing w:val="-1"/>
                <w:w w:val="95"/>
                <w:sz w:val="20"/>
              </w:rPr>
            </w:r>
            <w:r>
              <w:rPr>
                <w:rFonts w:ascii="Arial"/>
                <w:sz w:val="20"/>
              </w:rPr>
            </w:r>
          </w:p>
        </w:tc>
        <w:tc>
          <w:tcPr>
            <w:tcW w:w="297" w:type="dxa"/>
            <w:tcBorders>
              <w:top w:val="nil" w:sz="6" w:space="0" w:color="auto"/>
              <w:left w:val="nil" w:sz="6" w:space="0" w:color="auto"/>
              <w:bottom w:val="nil" w:sz="6" w:space="0" w:color="auto"/>
              <w:right w:val="nil" w:sz="6" w:space="0" w:color="auto"/>
            </w:tcBorders>
          </w:tcPr>
          <w:p>
            <w:pPr/>
          </w:p>
        </w:tc>
      </w:tr>
      <w:tr>
        <w:trPr>
          <w:trHeight w:val="488" w:hRule="exact"/>
        </w:trPr>
        <w:tc>
          <w:tcPr>
            <w:tcW w:w="3207" w:type="dxa"/>
            <w:tcBorders>
              <w:top w:val="nil" w:sz="6" w:space="0" w:color="auto"/>
              <w:left w:val="nil" w:sz="6" w:space="0" w:color="auto"/>
              <w:bottom w:val="nil" w:sz="6" w:space="0" w:color="auto"/>
              <w:right w:val="nil" w:sz="6" w:space="0" w:color="auto"/>
            </w:tcBorders>
          </w:tcPr>
          <w:p>
            <w:pPr>
              <w:pStyle w:val="TableParagraph"/>
              <w:spacing w:line="240" w:lineRule="auto" w:before="79"/>
              <w:ind w:left="55" w:right="0"/>
              <w:jc w:val="left"/>
              <w:rPr>
                <w:rFonts w:ascii="黑体" w:hAnsi="黑体" w:cs="黑体" w:eastAsia="黑体" w:hint="default"/>
                <w:sz w:val="20"/>
                <w:szCs w:val="20"/>
              </w:rPr>
            </w:pPr>
            <w:r>
              <w:rPr>
                <w:rFonts w:ascii="黑体" w:hAnsi="黑体" w:cs="黑体" w:eastAsia="黑体" w:hint="default"/>
                <w:sz w:val="20"/>
                <w:szCs w:val="20"/>
              </w:rPr>
              <w:t>股东权益合计</w:t>
            </w:r>
          </w:p>
        </w:tc>
        <w:tc>
          <w:tcPr>
            <w:tcW w:w="1649"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5"/>
              <w:jc w:val="right"/>
              <w:rPr>
                <w:rFonts w:ascii="Arial" w:hAnsi="Arial" w:cs="Arial" w:eastAsia="Arial" w:hint="default"/>
                <w:sz w:val="20"/>
                <w:szCs w:val="20"/>
              </w:rPr>
            </w:pPr>
            <w:r>
              <w:rPr>
                <w:rFonts w:ascii="Arial"/>
                <w:w w:val="99"/>
                <w:sz w:val="20"/>
              </w:rPr>
            </w:r>
            <w:r>
              <w:rPr>
                <w:rFonts w:ascii="Arial"/>
                <w:spacing w:val="-1"/>
                <w:sz w:val="20"/>
                <w:u w:val="single" w:color="000000"/>
              </w:rPr>
              <w:t>3,073,482,722</w:t>
            </w:r>
            <w:r>
              <w:rPr>
                <w:rFonts w:ascii="Arial"/>
                <w:spacing w:val="-1"/>
                <w:sz w:val="20"/>
              </w:rPr>
            </w:r>
            <w:r>
              <w:rPr>
                <w:rFonts w:ascii="Arial"/>
                <w:sz w:val="20"/>
              </w:rPr>
            </w:r>
          </w:p>
        </w:tc>
        <w:tc>
          <w:tcPr>
            <w:tcW w:w="345"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8"/>
              <w:jc w:val="right"/>
              <w:rPr>
                <w:rFonts w:ascii="Arial" w:hAnsi="Arial" w:cs="Arial" w:eastAsia="Arial" w:hint="default"/>
                <w:sz w:val="20"/>
                <w:szCs w:val="20"/>
              </w:rPr>
            </w:pPr>
            <w:r>
              <w:rPr>
                <w:rFonts w:ascii="Arial"/>
                <w:w w:val="99"/>
                <w:sz w:val="20"/>
              </w:rPr>
            </w:r>
            <w:r>
              <w:rPr>
                <w:rFonts w:ascii="Arial"/>
                <w:spacing w:val="-1"/>
                <w:sz w:val="20"/>
                <w:u w:val="single" w:color="000000"/>
              </w:rPr>
              <w:t>3,027,122,758</w:t>
            </w:r>
            <w:r>
              <w:rPr>
                <w:rFonts w:ascii="Arial"/>
                <w:spacing w:val="-1"/>
                <w:sz w:val="20"/>
              </w:rPr>
            </w:r>
            <w:r>
              <w:rPr>
                <w:rFonts w:ascii="Arial"/>
                <w:sz w:val="20"/>
              </w:rPr>
            </w:r>
          </w:p>
        </w:tc>
        <w:tc>
          <w:tcPr>
            <w:tcW w:w="297" w:type="dxa"/>
            <w:tcBorders>
              <w:top w:val="nil" w:sz="6" w:space="0" w:color="auto"/>
              <w:left w:val="nil" w:sz="6" w:space="0" w:color="auto"/>
              <w:bottom w:val="nil" w:sz="6" w:space="0" w:color="auto"/>
              <w:right w:val="nil" w:sz="6" w:space="0" w:color="auto"/>
            </w:tcBorders>
          </w:tcPr>
          <w:p>
            <w:pPr/>
          </w:p>
        </w:tc>
      </w:tr>
      <w:tr>
        <w:trPr>
          <w:trHeight w:val="349" w:hRule="exact"/>
        </w:trPr>
        <w:tc>
          <w:tcPr>
            <w:tcW w:w="320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5" w:right="0"/>
              <w:jc w:val="left"/>
              <w:rPr>
                <w:rFonts w:ascii="黑体" w:hAnsi="黑体" w:cs="黑体" w:eastAsia="黑体" w:hint="default"/>
                <w:sz w:val="20"/>
                <w:szCs w:val="20"/>
              </w:rPr>
            </w:pPr>
            <w:r>
              <w:rPr>
                <w:rFonts w:ascii="黑体" w:hAnsi="黑体" w:cs="黑体" w:eastAsia="黑体" w:hint="default"/>
                <w:sz w:val="20"/>
                <w:szCs w:val="20"/>
              </w:rPr>
              <w:t>负债及股东权益总计</w:t>
            </w:r>
          </w:p>
        </w:tc>
        <w:tc>
          <w:tcPr>
            <w:tcW w:w="1649"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5"/>
              <w:jc w:val="right"/>
              <w:rPr>
                <w:rFonts w:ascii="Arial" w:hAnsi="Arial" w:cs="Arial" w:eastAsia="Arial" w:hint="default"/>
                <w:sz w:val="20"/>
                <w:szCs w:val="20"/>
              </w:rPr>
            </w:pPr>
            <w:r>
              <w:rPr>
                <w:rFonts w:ascii="Arial"/>
                <w:w w:val="99"/>
                <w:sz w:val="20"/>
              </w:rPr>
            </w:r>
            <w:r>
              <w:rPr>
                <w:rFonts w:ascii="Arial"/>
                <w:spacing w:val="-1"/>
                <w:sz w:val="20"/>
                <w:u w:val="thick" w:color="000000"/>
              </w:rPr>
              <w:t>6,156,291,272</w:t>
            </w:r>
            <w:r>
              <w:rPr>
                <w:rFonts w:ascii="Arial"/>
                <w:spacing w:val="-1"/>
                <w:sz w:val="20"/>
              </w:rPr>
            </w:r>
            <w:r>
              <w:rPr>
                <w:rFonts w:ascii="Arial"/>
                <w:sz w:val="20"/>
              </w:rPr>
            </w:r>
          </w:p>
        </w:tc>
        <w:tc>
          <w:tcPr>
            <w:tcW w:w="345"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8"/>
              <w:jc w:val="right"/>
              <w:rPr>
                <w:rFonts w:ascii="Arial" w:hAnsi="Arial" w:cs="Arial" w:eastAsia="Arial" w:hint="default"/>
                <w:sz w:val="20"/>
                <w:szCs w:val="20"/>
              </w:rPr>
            </w:pPr>
            <w:r>
              <w:rPr>
                <w:rFonts w:ascii="Arial"/>
                <w:w w:val="99"/>
                <w:sz w:val="20"/>
              </w:rPr>
            </w:r>
            <w:r>
              <w:rPr>
                <w:rFonts w:ascii="Arial"/>
                <w:spacing w:val="-1"/>
                <w:sz w:val="20"/>
                <w:u w:val="thick" w:color="000000"/>
              </w:rPr>
              <w:t>5,461,679,188</w:t>
            </w:r>
            <w:r>
              <w:rPr>
                <w:rFonts w:ascii="Arial"/>
                <w:spacing w:val="-1"/>
                <w:sz w:val="20"/>
              </w:rPr>
            </w:r>
            <w:r>
              <w:rPr>
                <w:rFonts w:ascii="Arial"/>
                <w:sz w:val="20"/>
              </w:rPr>
            </w:r>
          </w:p>
        </w:tc>
        <w:tc>
          <w:tcPr>
            <w:tcW w:w="297"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9"/>
          <w:szCs w:val="29"/>
        </w:rPr>
      </w:pPr>
    </w:p>
    <w:p>
      <w:pPr>
        <w:pStyle w:val="BodyText"/>
        <w:spacing w:line="240" w:lineRule="auto" w:before="37"/>
        <w:ind w:left="301" w:right="0"/>
        <w:jc w:val="left"/>
      </w:pPr>
      <w:r>
        <w:rPr/>
        <w:t>财务报表由以下人士签署：</w:t>
      </w:r>
    </w:p>
    <w:p>
      <w:pPr>
        <w:spacing w:line="240" w:lineRule="auto" w:before="2"/>
        <w:rPr>
          <w:rFonts w:ascii="黑体" w:hAnsi="黑体" w:cs="黑体" w:eastAsia="黑体" w:hint="default"/>
          <w:sz w:val="22"/>
          <w:szCs w:val="22"/>
        </w:rPr>
      </w:pPr>
    </w:p>
    <w:tbl>
      <w:tblPr>
        <w:tblW w:w="0" w:type="auto"/>
        <w:jc w:val="left"/>
        <w:tblInd w:w="100" w:type="dxa"/>
        <w:tblLayout w:type="fixed"/>
        <w:tblCellMar>
          <w:top w:w="0" w:type="dxa"/>
          <w:left w:w="0" w:type="dxa"/>
          <w:bottom w:w="0" w:type="dxa"/>
          <w:right w:w="0" w:type="dxa"/>
        </w:tblCellMar>
        <w:tblLook w:val="01E0"/>
      </w:tblPr>
      <w:tblGrid>
        <w:gridCol w:w="2343"/>
        <w:gridCol w:w="3091"/>
        <w:gridCol w:w="2144"/>
      </w:tblGrid>
      <w:tr>
        <w:trPr>
          <w:trHeight w:val="199" w:hRule="exact"/>
        </w:trPr>
        <w:tc>
          <w:tcPr>
            <w:tcW w:w="2343" w:type="dxa"/>
            <w:tcBorders>
              <w:top w:val="nil" w:sz="6" w:space="0" w:color="auto"/>
              <w:left w:val="nil" w:sz="6" w:space="0" w:color="auto"/>
              <w:bottom w:val="nil" w:sz="6" w:space="0" w:color="auto"/>
              <w:right w:val="nil" w:sz="6" w:space="0" w:color="auto"/>
            </w:tcBorders>
          </w:tcPr>
          <w:p>
            <w:pPr>
              <w:pStyle w:val="TableParagraph"/>
              <w:spacing w:line="199" w:lineRule="exact"/>
              <w:ind w:left="200" w:right="0"/>
              <w:jc w:val="left"/>
              <w:rPr>
                <w:rFonts w:ascii="黑体" w:hAnsi="黑体" w:cs="黑体" w:eastAsia="黑体" w:hint="default"/>
                <w:sz w:val="20"/>
                <w:szCs w:val="20"/>
              </w:rPr>
            </w:pPr>
            <w:r>
              <w:rPr>
                <w:rFonts w:ascii="黑体" w:hAnsi="黑体" w:cs="黑体" w:eastAsia="黑体" w:hint="default"/>
                <w:sz w:val="20"/>
                <w:szCs w:val="20"/>
              </w:rPr>
              <w:t>公司法定代表人</w:t>
            </w:r>
          </w:p>
        </w:tc>
        <w:tc>
          <w:tcPr>
            <w:tcW w:w="3091" w:type="dxa"/>
            <w:tcBorders>
              <w:top w:val="nil" w:sz="6" w:space="0" w:color="auto"/>
              <w:left w:val="nil" w:sz="6" w:space="0" w:color="auto"/>
              <w:bottom w:val="nil" w:sz="6" w:space="0" w:color="auto"/>
              <w:right w:val="nil" w:sz="6" w:space="0" w:color="auto"/>
            </w:tcBorders>
          </w:tcPr>
          <w:p>
            <w:pPr>
              <w:pStyle w:val="TableParagraph"/>
              <w:spacing w:line="199" w:lineRule="exact"/>
              <w:ind w:left="746" w:right="0"/>
              <w:jc w:val="left"/>
              <w:rPr>
                <w:rFonts w:ascii="黑体" w:hAnsi="黑体" w:cs="黑体" w:eastAsia="黑体" w:hint="default"/>
                <w:sz w:val="20"/>
                <w:szCs w:val="20"/>
              </w:rPr>
            </w:pPr>
            <w:r>
              <w:rPr>
                <w:rFonts w:ascii="黑体" w:hAnsi="黑体" w:cs="黑体" w:eastAsia="黑体" w:hint="default"/>
                <w:sz w:val="20"/>
                <w:szCs w:val="20"/>
              </w:rPr>
              <w:t>主管会计工作负责人</w:t>
            </w:r>
          </w:p>
        </w:tc>
        <w:tc>
          <w:tcPr>
            <w:tcW w:w="2144" w:type="dxa"/>
            <w:tcBorders>
              <w:top w:val="nil" w:sz="6" w:space="0" w:color="auto"/>
              <w:left w:val="nil" w:sz="6" w:space="0" w:color="auto"/>
              <w:bottom w:val="nil" w:sz="6" w:space="0" w:color="auto"/>
              <w:right w:val="nil" w:sz="6" w:space="0" w:color="auto"/>
            </w:tcBorders>
          </w:tcPr>
          <w:p>
            <w:pPr>
              <w:pStyle w:val="TableParagraph"/>
              <w:spacing w:line="199" w:lineRule="exact"/>
              <w:ind w:left="547" w:right="0"/>
              <w:jc w:val="left"/>
              <w:rPr>
                <w:rFonts w:ascii="黑体" w:hAnsi="黑体" w:cs="黑体" w:eastAsia="黑体" w:hint="default"/>
                <w:sz w:val="20"/>
                <w:szCs w:val="20"/>
              </w:rPr>
            </w:pPr>
            <w:r>
              <w:rPr>
                <w:rFonts w:ascii="黑体" w:hAnsi="黑体" w:cs="黑体" w:eastAsia="黑体" w:hint="default"/>
                <w:sz w:val="20"/>
                <w:szCs w:val="20"/>
              </w:rPr>
              <w:t>会计机构负责人</w:t>
            </w:r>
          </w:p>
        </w:tc>
      </w:tr>
    </w:tbl>
    <w:p>
      <w:pPr>
        <w:spacing w:after="0" w:line="199" w:lineRule="exact"/>
        <w:jc w:val="left"/>
        <w:rPr>
          <w:rFonts w:ascii="黑体" w:hAnsi="黑体" w:cs="黑体" w:eastAsia="黑体" w:hint="default"/>
          <w:sz w:val="20"/>
          <w:szCs w:val="20"/>
        </w:rPr>
        <w:sectPr>
          <w:pgSz w:w="11910" w:h="16850"/>
          <w:pgMar w:header="957" w:footer="823" w:top="1160" w:bottom="1020" w:left="1400" w:right="1300"/>
        </w:sectPr>
      </w:pPr>
    </w:p>
    <w:p>
      <w:pPr>
        <w:pStyle w:val="Heading4"/>
        <w:spacing w:line="240" w:lineRule="auto"/>
        <w:ind w:left="3379" w:right="3674"/>
        <w:jc w:val="center"/>
        <w:rPr>
          <w:b w:val="0"/>
          <w:bCs w:val="0"/>
        </w:rPr>
      </w:pPr>
      <w:r>
        <w:rPr/>
        <w:t>合并利润表</w:t>
      </w:r>
      <w:r>
        <w:rPr>
          <w:b w:val="0"/>
          <w:bCs w:val="0"/>
        </w:rPr>
      </w:r>
    </w:p>
    <w:p>
      <w:pPr>
        <w:pStyle w:val="Heading4"/>
        <w:spacing w:line="240" w:lineRule="auto"/>
        <w:ind w:left="3379" w:right="3677"/>
        <w:jc w:val="center"/>
        <w:rPr>
          <w:b w:val="0"/>
          <w:bCs w:val="0"/>
        </w:rPr>
      </w:pPr>
      <w:r>
        <w:rPr>
          <w:rFonts w:ascii="Arial" w:hAnsi="Arial" w:cs="Arial" w:eastAsia="Arial" w:hint="default"/>
        </w:rPr>
        <w:t>2012</w:t>
      </w:r>
      <w:r>
        <w:rPr>
          <w:rFonts w:ascii="Arial" w:hAnsi="Arial" w:cs="Arial" w:eastAsia="Arial" w:hint="default"/>
          <w:spacing w:val="-8"/>
        </w:rPr>
        <w:t> </w:t>
      </w:r>
      <w:r>
        <w:rPr/>
        <w:t>年</w:t>
      </w:r>
      <w:r>
        <w:rPr>
          <w:spacing w:val="-55"/>
        </w:rPr>
        <w:t> </w:t>
      </w:r>
      <w:r>
        <w:rPr>
          <w:rFonts w:ascii="Arial" w:hAnsi="Arial" w:cs="Arial" w:eastAsia="Arial" w:hint="default"/>
        </w:rPr>
        <w:t>12</w:t>
      </w:r>
      <w:r>
        <w:rPr>
          <w:rFonts w:ascii="Arial" w:hAnsi="Arial" w:cs="Arial" w:eastAsia="Arial" w:hint="default"/>
          <w:spacing w:val="-10"/>
        </w:rPr>
        <w:t> </w:t>
      </w:r>
      <w:r>
        <w:rPr/>
        <w:t>月</w:t>
      </w:r>
      <w:r>
        <w:rPr>
          <w:spacing w:val="-55"/>
        </w:rPr>
        <w:t> </w:t>
      </w:r>
      <w:r>
        <w:rPr>
          <w:rFonts w:ascii="Arial" w:hAnsi="Arial" w:cs="Arial" w:eastAsia="Arial" w:hint="default"/>
        </w:rPr>
        <w:t>31</w:t>
      </w:r>
      <w:r>
        <w:rPr>
          <w:rFonts w:ascii="Arial" w:hAnsi="Arial" w:cs="Arial" w:eastAsia="Arial" w:hint="default"/>
          <w:spacing w:val="-10"/>
        </w:rPr>
        <w:t> </w:t>
      </w:r>
      <w:r>
        <w:rPr/>
        <w:t>日</w:t>
      </w:r>
      <w:r>
        <w:rPr>
          <w:b w:val="0"/>
          <w:bCs w:val="0"/>
        </w:rPr>
      </w:r>
    </w:p>
    <w:p>
      <w:pPr>
        <w:pStyle w:val="Heading4"/>
        <w:spacing w:line="240" w:lineRule="auto" w:before="56"/>
        <w:ind w:left="3379" w:right="3674"/>
        <w:jc w:val="center"/>
        <w:rPr>
          <w:b w:val="0"/>
          <w:bCs w:val="0"/>
        </w:rPr>
      </w:pPr>
      <w:r>
        <w:rPr/>
        <w:t>人民币元</w:t>
      </w:r>
      <w:r>
        <w:rPr>
          <w:b w:val="0"/>
          <w:bCs w:val="0"/>
        </w:rPr>
      </w:r>
    </w:p>
    <w:p>
      <w:pPr>
        <w:spacing w:line="240" w:lineRule="auto" w:before="5"/>
        <w:rPr>
          <w:rFonts w:ascii="黑体" w:hAnsi="黑体" w:cs="黑体" w:eastAsia="黑体" w:hint="default"/>
          <w:b/>
          <w:bCs/>
          <w:sz w:val="20"/>
          <w:szCs w:val="20"/>
        </w:rPr>
      </w:pPr>
    </w:p>
    <w:tbl>
      <w:tblPr>
        <w:tblW w:w="0" w:type="auto"/>
        <w:jc w:val="left"/>
        <w:tblInd w:w="101" w:type="dxa"/>
        <w:tblLayout w:type="fixed"/>
        <w:tblCellMar>
          <w:top w:w="0" w:type="dxa"/>
          <w:left w:w="0" w:type="dxa"/>
          <w:bottom w:w="0" w:type="dxa"/>
          <w:right w:w="0" w:type="dxa"/>
        </w:tblCellMar>
        <w:tblLook w:val="01E0"/>
      </w:tblPr>
      <w:tblGrid>
        <w:gridCol w:w="3649"/>
        <w:gridCol w:w="1214"/>
        <w:gridCol w:w="1969"/>
        <w:gridCol w:w="1685"/>
        <w:gridCol w:w="282"/>
      </w:tblGrid>
      <w:tr>
        <w:trPr>
          <w:trHeight w:val="723" w:hRule="exact"/>
        </w:trPr>
        <w:tc>
          <w:tcPr>
            <w:tcW w:w="3649"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b/>
                <w:bCs/>
                <w:sz w:val="23"/>
                <w:szCs w:val="23"/>
              </w:rPr>
            </w:pPr>
          </w:p>
          <w:p>
            <w:pPr>
              <w:pStyle w:val="TableParagraph"/>
              <w:spacing w:line="240" w:lineRule="auto"/>
              <w:ind w:right="0"/>
              <w:jc w:val="left"/>
              <w:rPr>
                <w:rFonts w:ascii="黑体" w:hAnsi="黑体" w:cs="黑体" w:eastAsia="黑体" w:hint="default"/>
                <w:sz w:val="20"/>
                <w:szCs w:val="20"/>
              </w:rPr>
            </w:pPr>
            <w:r>
              <w:rPr>
                <w:rFonts w:ascii="黑体" w:hAnsi="黑体" w:cs="黑体" w:eastAsia="黑体" w:hint="default"/>
                <w:b/>
                <w:bCs/>
                <w:sz w:val="20"/>
                <w:szCs w:val="20"/>
              </w:rPr>
              <w:t>项目</w:t>
            </w:r>
            <w:r>
              <w:rPr>
                <w:rFonts w:ascii="黑体" w:hAnsi="黑体" w:cs="黑体" w:eastAsia="黑体" w:hint="default"/>
                <w:sz w:val="20"/>
                <w:szCs w:val="20"/>
              </w:rPr>
            </w:r>
          </w:p>
        </w:tc>
        <w:tc>
          <w:tcPr>
            <w:tcW w:w="1214"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b/>
                <w:bCs/>
                <w:sz w:val="23"/>
                <w:szCs w:val="23"/>
              </w:rPr>
            </w:pPr>
          </w:p>
          <w:p>
            <w:pPr>
              <w:pStyle w:val="TableParagraph"/>
              <w:spacing w:line="240" w:lineRule="auto"/>
              <w:ind w:right="146"/>
              <w:jc w:val="center"/>
              <w:rPr>
                <w:rFonts w:ascii="黑体" w:hAnsi="黑体" w:cs="黑体" w:eastAsia="黑体" w:hint="default"/>
                <w:sz w:val="20"/>
                <w:szCs w:val="20"/>
              </w:rPr>
            </w:pPr>
            <w:r>
              <w:rPr>
                <w:rFonts w:ascii="黑体" w:hAnsi="黑体" w:cs="黑体" w:eastAsia="黑体" w:hint="default"/>
                <w:b/>
                <w:bCs/>
                <w:spacing w:val="2"/>
                <w:sz w:val="20"/>
                <w:szCs w:val="20"/>
              </w:rPr>
              <w:t>附注五</w:t>
            </w:r>
            <w:r>
              <w:rPr>
                <w:rFonts w:ascii="黑体" w:hAnsi="黑体" w:cs="黑体" w:eastAsia="黑体" w:hint="default"/>
                <w:sz w:val="20"/>
                <w:szCs w:val="20"/>
              </w:rPr>
            </w:r>
          </w:p>
        </w:tc>
        <w:tc>
          <w:tcPr>
            <w:tcW w:w="1969"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b/>
                <w:bCs/>
                <w:sz w:val="23"/>
                <w:szCs w:val="23"/>
              </w:rPr>
            </w:pPr>
          </w:p>
          <w:p>
            <w:pPr>
              <w:pStyle w:val="TableParagraph"/>
              <w:spacing w:line="240" w:lineRule="auto"/>
              <w:ind w:right="313"/>
              <w:jc w:val="right"/>
              <w:rPr>
                <w:rFonts w:ascii="黑体" w:hAnsi="黑体" w:cs="黑体" w:eastAsia="黑体" w:hint="default"/>
                <w:sz w:val="20"/>
                <w:szCs w:val="20"/>
              </w:rPr>
            </w:pPr>
            <w:r>
              <w:rPr>
                <w:rFonts w:ascii="Arial" w:hAnsi="Arial" w:cs="Arial" w:eastAsia="Arial" w:hint="default"/>
                <w:b/>
                <w:bCs/>
                <w:spacing w:val="-1"/>
                <w:w w:val="95"/>
                <w:sz w:val="20"/>
                <w:szCs w:val="20"/>
              </w:rPr>
              <w:t>2012</w:t>
            </w:r>
            <w:r>
              <w:rPr>
                <w:rFonts w:ascii="黑体" w:hAnsi="黑体" w:cs="黑体" w:eastAsia="黑体" w:hint="default"/>
                <w:b/>
                <w:bCs/>
                <w:spacing w:val="-1"/>
                <w:w w:val="95"/>
                <w:sz w:val="20"/>
                <w:szCs w:val="20"/>
              </w:rPr>
              <w:t>年</w:t>
            </w:r>
            <w:r>
              <w:rPr>
                <w:rFonts w:ascii="黑体" w:hAnsi="黑体" w:cs="黑体" w:eastAsia="黑体" w:hint="default"/>
                <w:spacing w:val="-1"/>
                <w:sz w:val="20"/>
                <w:szCs w:val="20"/>
              </w:rPr>
            </w:r>
          </w:p>
        </w:tc>
        <w:tc>
          <w:tcPr>
            <w:tcW w:w="1685" w:type="dxa"/>
            <w:tcBorders>
              <w:top w:val="single" w:sz="6" w:space="0" w:color="000000"/>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b/>
                <w:bCs/>
                <w:sz w:val="23"/>
                <w:szCs w:val="23"/>
              </w:rPr>
            </w:pPr>
          </w:p>
          <w:p>
            <w:pPr>
              <w:pStyle w:val="TableParagraph"/>
              <w:spacing w:line="240" w:lineRule="auto"/>
              <w:ind w:right="16"/>
              <w:jc w:val="right"/>
              <w:rPr>
                <w:rFonts w:ascii="黑体" w:hAnsi="黑体" w:cs="黑体" w:eastAsia="黑体" w:hint="default"/>
                <w:sz w:val="20"/>
                <w:szCs w:val="20"/>
              </w:rPr>
            </w:pPr>
            <w:r>
              <w:rPr>
                <w:rFonts w:ascii="Arial" w:hAnsi="Arial" w:cs="Arial" w:eastAsia="Arial" w:hint="default"/>
                <w:b/>
                <w:bCs/>
                <w:spacing w:val="-1"/>
                <w:w w:val="95"/>
                <w:sz w:val="20"/>
                <w:szCs w:val="20"/>
              </w:rPr>
              <w:t>2011</w:t>
            </w:r>
            <w:r>
              <w:rPr>
                <w:rFonts w:ascii="黑体" w:hAnsi="黑体" w:cs="黑体" w:eastAsia="黑体" w:hint="default"/>
                <w:b/>
                <w:bCs/>
                <w:spacing w:val="-1"/>
                <w:w w:val="95"/>
                <w:sz w:val="20"/>
                <w:szCs w:val="20"/>
              </w:rPr>
              <w:t>年</w:t>
            </w:r>
            <w:r>
              <w:rPr>
                <w:rFonts w:ascii="黑体" w:hAnsi="黑体" w:cs="黑体" w:eastAsia="黑体" w:hint="default"/>
                <w:spacing w:val="-1"/>
                <w:sz w:val="20"/>
                <w:szCs w:val="20"/>
              </w:rPr>
            </w:r>
          </w:p>
        </w:tc>
        <w:tc>
          <w:tcPr>
            <w:tcW w:w="282" w:type="dxa"/>
            <w:tcBorders>
              <w:top w:val="nil" w:sz="6" w:space="0" w:color="auto"/>
              <w:left w:val="nil" w:sz="6" w:space="0" w:color="auto"/>
              <w:bottom w:val="nil" w:sz="6" w:space="0" w:color="auto"/>
              <w:right w:val="nil" w:sz="6" w:space="0" w:color="auto"/>
            </w:tcBorders>
          </w:tcPr>
          <w:p>
            <w:pPr/>
          </w:p>
        </w:tc>
      </w:tr>
      <w:tr>
        <w:trPr>
          <w:trHeight w:val="490"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0"/>
              <w:jc w:val="left"/>
              <w:rPr>
                <w:rFonts w:ascii="黑体" w:hAnsi="黑体" w:cs="黑体" w:eastAsia="黑体" w:hint="default"/>
                <w:sz w:val="20"/>
                <w:szCs w:val="20"/>
              </w:rPr>
            </w:pPr>
            <w:r>
              <w:rPr>
                <w:rFonts w:ascii="黑体" w:hAnsi="黑体" w:cs="黑体" w:eastAsia="黑体" w:hint="default"/>
                <w:sz w:val="20"/>
                <w:szCs w:val="20"/>
              </w:rPr>
              <w:t>一、营业收入</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51"/>
              <w:jc w:val="center"/>
              <w:rPr>
                <w:rFonts w:ascii="Arial" w:hAnsi="Arial" w:cs="Arial" w:eastAsia="Arial" w:hint="default"/>
                <w:sz w:val="20"/>
                <w:szCs w:val="20"/>
              </w:rPr>
            </w:pPr>
            <w:r>
              <w:rPr>
                <w:rFonts w:ascii="Arial"/>
                <w:sz w:val="20"/>
              </w:rPr>
              <w:t>35</w:t>
            </w: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11"/>
              <w:jc w:val="right"/>
              <w:rPr>
                <w:rFonts w:ascii="Arial" w:hAnsi="Arial" w:cs="Arial" w:eastAsia="Arial" w:hint="default"/>
                <w:sz w:val="20"/>
                <w:szCs w:val="20"/>
              </w:rPr>
            </w:pPr>
            <w:r>
              <w:rPr>
                <w:rFonts w:ascii="Arial"/>
                <w:spacing w:val="-1"/>
                <w:sz w:val="20"/>
              </w:rPr>
              <w:t>4,235,210,610</w:t>
            </w:r>
            <w:r>
              <w:rPr>
                <w:rFonts w:ascii="Arial"/>
                <w:sz w:val="20"/>
              </w:rPr>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4"/>
              <w:jc w:val="right"/>
              <w:rPr>
                <w:rFonts w:ascii="Arial" w:hAnsi="Arial" w:cs="Arial" w:eastAsia="Arial" w:hint="default"/>
                <w:sz w:val="20"/>
                <w:szCs w:val="20"/>
              </w:rPr>
            </w:pPr>
            <w:r>
              <w:rPr>
                <w:rFonts w:ascii="Arial"/>
                <w:spacing w:val="-1"/>
                <w:sz w:val="20"/>
              </w:rPr>
              <w:t>4,122,161,666</w:t>
            </w:r>
            <w:r>
              <w:rPr>
                <w:rFonts w:ascii="Arial"/>
                <w:sz w:val="20"/>
              </w:rPr>
            </w:r>
          </w:p>
        </w:tc>
        <w:tc>
          <w:tcPr>
            <w:tcW w:w="282" w:type="dxa"/>
            <w:tcBorders>
              <w:top w:val="nil" w:sz="6" w:space="0" w:color="auto"/>
              <w:left w:val="nil" w:sz="6" w:space="0" w:color="auto"/>
              <w:bottom w:val="nil" w:sz="6" w:space="0" w:color="auto"/>
              <w:right w:val="nil" w:sz="6" w:space="0" w:color="auto"/>
            </w:tcBorders>
          </w:tcPr>
          <w:p>
            <w:pPr/>
          </w:p>
        </w:tc>
      </w:tr>
      <w:tr>
        <w:trPr>
          <w:trHeight w:val="373"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420" w:right="0"/>
              <w:jc w:val="left"/>
              <w:rPr>
                <w:rFonts w:ascii="黑体" w:hAnsi="黑体" w:cs="黑体" w:eastAsia="黑体" w:hint="default"/>
                <w:sz w:val="20"/>
                <w:szCs w:val="20"/>
              </w:rPr>
            </w:pPr>
            <w:r>
              <w:rPr>
                <w:rFonts w:ascii="黑体" w:hAnsi="黑体" w:cs="黑体" w:eastAsia="黑体" w:hint="default"/>
                <w:sz w:val="20"/>
                <w:szCs w:val="20"/>
              </w:rPr>
              <w:t>减：营业成本</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51"/>
              <w:jc w:val="center"/>
              <w:rPr>
                <w:rFonts w:ascii="Arial" w:hAnsi="Arial" w:cs="Arial" w:eastAsia="Arial" w:hint="default"/>
                <w:sz w:val="20"/>
                <w:szCs w:val="20"/>
              </w:rPr>
            </w:pPr>
            <w:r>
              <w:rPr>
                <w:rFonts w:ascii="Arial"/>
                <w:sz w:val="20"/>
              </w:rPr>
              <w:t>35</w:t>
            </w: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09"/>
              <w:jc w:val="right"/>
              <w:rPr>
                <w:rFonts w:ascii="Arial" w:hAnsi="Arial" w:cs="Arial" w:eastAsia="Arial" w:hint="default"/>
                <w:sz w:val="20"/>
                <w:szCs w:val="20"/>
              </w:rPr>
            </w:pPr>
            <w:r>
              <w:rPr>
                <w:rFonts w:ascii="Arial"/>
                <w:spacing w:val="-1"/>
                <w:sz w:val="20"/>
              </w:rPr>
              <w:t>674,885,159</w:t>
            </w:r>
            <w:r>
              <w:rPr>
                <w:rFonts w:ascii="Arial"/>
                <w:sz w:val="20"/>
              </w:rPr>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4"/>
              <w:jc w:val="right"/>
              <w:rPr>
                <w:rFonts w:ascii="Arial" w:hAnsi="Arial" w:cs="Arial" w:eastAsia="Arial" w:hint="default"/>
                <w:sz w:val="20"/>
                <w:szCs w:val="20"/>
              </w:rPr>
            </w:pPr>
            <w:r>
              <w:rPr>
                <w:rFonts w:ascii="Arial"/>
                <w:spacing w:val="-1"/>
                <w:sz w:val="20"/>
              </w:rPr>
              <w:t>623,616,446</w:t>
            </w:r>
            <w:r>
              <w:rPr>
                <w:rFonts w:ascii="Arial"/>
                <w:sz w:val="20"/>
              </w:rPr>
            </w:r>
          </w:p>
        </w:tc>
        <w:tc>
          <w:tcPr>
            <w:tcW w:w="282" w:type="dxa"/>
            <w:tcBorders>
              <w:top w:val="nil" w:sz="6" w:space="0" w:color="auto"/>
              <w:left w:val="nil" w:sz="6" w:space="0" w:color="auto"/>
              <w:bottom w:val="nil" w:sz="6" w:space="0" w:color="auto"/>
              <w:right w:val="nil" w:sz="6" w:space="0" w:color="auto"/>
            </w:tcBorders>
          </w:tcPr>
          <w:p>
            <w:pPr/>
          </w:p>
        </w:tc>
      </w:tr>
      <w:tr>
        <w:trPr>
          <w:trHeight w:val="260"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26" w:lineRule="exact"/>
              <w:ind w:left="811" w:right="0"/>
              <w:jc w:val="left"/>
              <w:rPr>
                <w:rFonts w:ascii="黑体" w:hAnsi="黑体" w:cs="黑体" w:eastAsia="黑体" w:hint="default"/>
                <w:sz w:val="20"/>
                <w:szCs w:val="20"/>
              </w:rPr>
            </w:pPr>
            <w:r>
              <w:rPr>
                <w:rFonts w:ascii="黑体" w:hAnsi="黑体" w:cs="黑体" w:eastAsia="黑体" w:hint="default"/>
                <w:sz w:val="20"/>
                <w:szCs w:val="20"/>
              </w:rPr>
              <w:t>营业税金及附加</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51"/>
              <w:jc w:val="center"/>
              <w:rPr>
                <w:rFonts w:ascii="Arial" w:hAnsi="Arial" w:cs="Arial" w:eastAsia="Arial" w:hint="default"/>
                <w:sz w:val="20"/>
                <w:szCs w:val="20"/>
              </w:rPr>
            </w:pPr>
            <w:r>
              <w:rPr>
                <w:rFonts w:ascii="Arial"/>
                <w:sz w:val="20"/>
              </w:rPr>
              <w:t>36</w:t>
            </w: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1"/>
              <w:jc w:val="right"/>
              <w:rPr>
                <w:rFonts w:ascii="Arial" w:hAnsi="Arial" w:cs="Arial" w:eastAsia="Arial" w:hint="default"/>
                <w:sz w:val="20"/>
                <w:szCs w:val="20"/>
              </w:rPr>
            </w:pPr>
            <w:r>
              <w:rPr>
                <w:rFonts w:ascii="Arial"/>
                <w:spacing w:val="-1"/>
                <w:sz w:val="20"/>
              </w:rPr>
              <w:t>79,729,923</w:t>
            </w:r>
            <w:r>
              <w:rPr>
                <w:rFonts w:ascii="Arial"/>
                <w:sz w:val="20"/>
              </w:rPr>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
              <w:jc w:val="right"/>
              <w:rPr>
                <w:rFonts w:ascii="Arial" w:hAnsi="Arial" w:cs="Arial" w:eastAsia="Arial" w:hint="default"/>
                <w:sz w:val="20"/>
                <w:szCs w:val="20"/>
              </w:rPr>
            </w:pPr>
            <w:r>
              <w:rPr>
                <w:rFonts w:ascii="Arial"/>
                <w:spacing w:val="-1"/>
                <w:sz w:val="20"/>
              </w:rPr>
              <w:t>139,176,705</w:t>
            </w:r>
            <w:r>
              <w:rPr>
                <w:rFonts w:ascii="Arial"/>
                <w:sz w:val="20"/>
              </w:rPr>
            </w:r>
          </w:p>
        </w:tc>
        <w:tc>
          <w:tcPr>
            <w:tcW w:w="282" w:type="dxa"/>
            <w:tcBorders>
              <w:top w:val="nil" w:sz="6" w:space="0" w:color="auto"/>
              <w:left w:val="nil" w:sz="6" w:space="0" w:color="auto"/>
              <w:bottom w:val="nil" w:sz="6" w:space="0" w:color="auto"/>
              <w:right w:val="nil" w:sz="6" w:space="0" w:color="auto"/>
            </w:tcBorders>
          </w:tcPr>
          <w:p>
            <w:pPr/>
          </w:p>
        </w:tc>
      </w:tr>
      <w:tr>
        <w:trPr>
          <w:trHeight w:val="259"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24" w:lineRule="exact"/>
              <w:ind w:left="811" w:right="0"/>
              <w:jc w:val="left"/>
              <w:rPr>
                <w:rFonts w:ascii="黑体" w:hAnsi="黑体" w:cs="黑体" w:eastAsia="黑体" w:hint="default"/>
                <w:sz w:val="20"/>
                <w:szCs w:val="20"/>
              </w:rPr>
            </w:pPr>
            <w:r>
              <w:rPr>
                <w:rFonts w:ascii="黑体" w:hAnsi="黑体" w:cs="黑体" w:eastAsia="黑体" w:hint="default"/>
                <w:sz w:val="20"/>
                <w:szCs w:val="20"/>
              </w:rPr>
              <w:t>销售费用</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1"/>
              <w:jc w:val="center"/>
              <w:rPr>
                <w:rFonts w:ascii="Arial" w:hAnsi="Arial" w:cs="Arial" w:eastAsia="Arial" w:hint="default"/>
                <w:sz w:val="20"/>
                <w:szCs w:val="20"/>
              </w:rPr>
            </w:pPr>
            <w:r>
              <w:rPr>
                <w:rFonts w:ascii="Arial"/>
                <w:sz w:val="20"/>
              </w:rPr>
              <w:t>37</w:t>
            </w: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1"/>
              <w:jc w:val="right"/>
              <w:rPr>
                <w:rFonts w:ascii="Arial" w:hAnsi="Arial" w:cs="Arial" w:eastAsia="Arial" w:hint="default"/>
                <w:sz w:val="20"/>
                <w:szCs w:val="20"/>
              </w:rPr>
            </w:pPr>
            <w:r>
              <w:rPr>
                <w:rFonts w:ascii="Arial"/>
                <w:spacing w:val="-1"/>
                <w:sz w:val="20"/>
              </w:rPr>
              <w:t>1,937,578,118</w:t>
            </w:r>
            <w:r>
              <w:rPr>
                <w:rFonts w:ascii="Arial"/>
                <w:sz w:val="20"/>
              </w:rPr>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
              <w:jc w:val="right"/>
              <w:rPr>
                <w:rFonts w:ascii="Arial" w:hAnsi="Arial" w:cs="Arial" w:eastAsia="Arial" w:hint="default"/>
                <w:sz w:val="20"/>
                <w:szCs w:val="20"/>
              </w:rPr>
            </w:pPr>
            <w:r>
              <w:rPr>
                <w:rFonts w:ascii="Arial"/>
                <w:spacing w:val="-1"/>
                <w:sz w:val="20"/>
              </w:rPr>
              <w:t>1,815,627,537</w:t>
            </w:r>
            <w:r>
              <w:rPr>
                <w:rFonts w:ascii="Arial"/>
                <w:sz w:val="20"/>
              </w:rPr>
            </w:r>
          </w:p>
        </w:tc>
        <w:tc>
          <w:tcPr>
            <w:tcW w:w="282" w:type="dxa"/>
            <w:tcBorders>
              <w:top w:val="nil" w:sz="6" w:space="0" w:color="auto"/>
              <w:left w:val="nil" w:sz="6" w:space="0" w:color="auto"/>
              <w:bottom w:val="nil" w:sz="6" w:space="0" w:color="auto"/>
              <w:right w:val="nil" w:sz="6" w:space="0" w:color="auto"/>
            </w:tcBorders>
          </w:tcPr>
          <w:p>
            <w:pPr/>
          </w:p>
        </w:tc>
      </w:tr>
      <w:tr>
        <w:trPr>
          <w:trHeight w:val="259"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24" w:lineRule="exact"/>
              <w:ind w:left="811" w:right="0"/>
              <w:jc w:val="left"/>
              <w:rPr>
                <w:rFonts w:ascii="黑体" w:hAnsi="黑体" w:cs="黑体" w:eastAsia="黑体" w:hint="default"/>
                <w:sz w:val="20"/>
                <w:szCs w:val="20"/>
              </w:rPr>
            </w:pPr>
            <w:r>
              <w:rPr>
                <w:rFonts w:ascii="黑体" w:hAnsi="黑体" w:cs="黑体" w:eastAsia="黑体" w:hint="default"/>
                <w:sz w:val="20"/>
                <w:szCs w:val="20"/>
              </w:rPr>
              <w:t>管理费用</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1"/>
              <w:jc w:val="center"/>
              <w:rPr>
                <w:rFonts w:ascii="Arial" w:hAnsi="Arial" w:cs="Arial" w:eastAsia="Arial" w:hint="default"/>
                <w:sz w:val="20"/>
                <w:szCs w:val="20"/>
              </w:rPr>
            </w:pPr>
            <w:r>
              <w:rPr>
                <w:rFonts w:ascii="Arial"/>
                <w:sz w:val="20"/>
              </w:rPr>
              <w:t>38</w:t>
            </w: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1"/>
              <w:jc w:val="right"/>
              <w:rPr>
                <w:rFonts w:ascii="Arial" w:hAnsi="Arial" w:cs="Arial" w:eastAsia="Arial" w:hint="default"/>
                <w:sz w:val="20"/>
                <w:szCs w:val="20"/>
              </w:rPr>
            </w:pPr>
            <w:r>
              <w:rPr>
                <w:rFonts w:ascii="Arial"/>
                <w:spacing w:val="-1"/>
                <w:sz w:val="20"/>
              </w:rPr>
              <w:t>1,274,911,715</w:t>
            </w:r>
            <w:r>
              <w:rPr>
                <w:rFonts w:ascii="Arial"/>
                <w:sz w:val="20"/>
              </w:rPr>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
              <w:jc w:val="right"/>
              <w:rPr>
                <w:rFonts w:ascii="Arial" w:hAnsi="Arial" w:cs="Arial" w:eastAsia="Arial" w:hint="default"/>
                <w:sz w:val="20"/>
                <w:szCs w:val="20"/>
              </w:rPr>
            </w:pPr>
            <w:r>
              <w:rPr>
                <w:rFonts w:ascii="Arial"/>
                <w:spacing w:val="-1"/>
                <w:sz w:val="20"/>
              </w:rPr>
              <w:t>1,171,550,102</w:t>
            </w:r>
            <w:r>
              <w:rPr>
                <w:rFonts w:ascii="Arial"/>
                <w:sz w:val="20"/>
              </w:rPr>
            </w:r>
          </w:p>
        </w:tc>
        <w:tc>
          <w:tcPr>
            <w:tcW w:w="282" w:type="dxa"/>
            <w:tcBorders>
              <w:top w:val="nil" w:sz="6" w:space="0" w:color="auto"/>
              <w:left w:val="nil" w:sz="6" w:space="0" w:color="auto"/>
              <w:bottom w:val="nil" w:sz="6" w:space="0" w:color="auto"/>
              <w:right w:val="nil" w:sz="6" w:space="0" w:color="auto"/>
            </w:tcBorders>
          </w:tcPr>
          <w:p>
            <w:pPr/>
          </w:p>
        </w:tc>
      </w:tr>
      <w:tr>
        <w:trPr>
          <w:trHeight w:val="260"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24" w:lineRule="exact"/>
              <w:ind w:left="811" w:right="0"/>
              <w:jc w:val="left"/>
              <w:rPr>
                <w:rFonts w:ascii="黑体" w:hAnsi="黑体" w:cs="黑体" w:eastAsia="黑体" w:hint="default"/>
                <w:sz w:val="20"/>
                <w:szCs w:val="20"/>
              </w:rPr>
            </w:pPr>
            <w:r>
              <w:rPr>
                <w:rFonts w:ascii="黑体" w:hAnsi="黑体" w:cs="黑体" w:eastAsia="黑体" w:hint="default"/>
                <w:sz w:val="20"/>
                <w:szCs w:val="20"/>
              </w:rPr>
              <w:t>财务费用</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1"/>
              <w:jc w:val="center"/>
              <w:rPr>
                <w:rFonts w:ascii="Arial" w:hAnsi="Arial" w:cs="Arial" w:eastAsia="Arial" w:hint="default"/>
                <w:sz w:val="20"/>
                <w:szCs w:val="20"/>
              </w:rPr>
            </w:pPr>
            <w:r>
              <w:rPr>
                <w:rFonts w:ascii="Arial"/>
                <w:sz w:val="20"/>
              </w:rPr>
              <w:t>39</w:t>
            </w: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1"/>
              <w:jc w:val="right"/>
              <w:rPr>
                <w:rFonts w:ascii="Arial" w:hAnsi="Arial" w:cs="Arial" w:eastAsia="Arial" w:hint="default"/>
                <w:sz w:val="20"/>
                <w:szCs w:val="20"/>
              </w:rPr>
            </w:pPr>
            <w:r>
              <w:rPr>
                <w:rFonts w:ascii="Arial"/>
                <w:spacing w:val="-1"/>
                <w:sz w:val="20"/>
              </w:rPr>
              <w:t>56,548,249</w:t>
            </w:r>
            <w:r>
              <w:rPr>
                <w:rFonts w:ascii="Arial"/>
                <w:sz w:val="20"/>
              </w:rPr>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
              <w:jc w:val="right"/>
              <w:rPr>
                <w:rFonts w:ascii="Arial" w:hAnsi="Arial" w:cs="Arial" w:eastAsia="Arial" w:hint="default"/>
                <w:sz w:val="20"/>
                <w:szCs w:val="20"/>
              </w:rPr>
            </w:pPr>
            <w:r>
              <w:rPr>
                <w:rFonts w:ascii="Arial"/>
                <w:spacing w:val="-1"/>
                <w:sz w:val="20"/>
              </w:rPr>
              <w:t>31,828,345</w:t>
            </w:r>
            <w:r>
              <w:rPr>
                <w:rFonts w:ascii="Arial"/>
                <w:sz w:val="20"/>
              </w:rPr>
            </w:r>
          </w:p>
        </w:tc>
        <w:tc>
          <w:tcPr>
            <w:tcW w:w="282" w:type="dxa"/>
            <w:tcBorders>
              <w:top w:val="nil" w:sz="6" w:space="0" w:color="auto"/>
              <w:left w:val="nil" w:sz="6" w:space="0" w:color="auto"/>
              <w:bottom w:val="nil" w:sz="6" w:space="0" w:color="auto"/>
              <w:right w:val="nil" w:sz="6" w:space="0" w:color="auto"/>
            </w:tcBorders>
          </w:tcPr>
          <w:p>
            <w:pPr/>
          </w:p>
        </w:tc>
      </w:tr>
      <w:tr>
        <w:trPr>
          <w:trHeight w:val="259"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26" w:lineRule="exact"/>
              <w:ind w:left="811" w:right="0"/>
              <w:jc w:val="left"/>
              <w:rPr>
                <w:rFonts w:ascii="黑体" w:hAnsi="黑体" w:cs="黑体" w:eastAsia="黑体" w:hint="default"/>
                <w:sz w:val="20"/>
                <w:szCs w:val="20"/>
              </w:rPr>
            </w:pPr>
            <w:r>
              <w:rPr>
                <w:rFonts w:ascii="黑体" w:hAnsi="黑体" w:cs="黑体" w:eastAsia="黑体" w:hint="default"/>
                <w:sz w:val="20"/>
                <w:szCs w:val="20"/>
              </w:rPr>
              <w:t>资产减值损失</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51"/>
              <w:jc w:val="center"/>
              <w:rPr>
                <w:rFonts w:ascii="Arial" w:hAnsi="Arial" w:cs="Arial" w:eastAsia="Arial" w:hint="default"/>
                <w:sz w:val="20"/>
                <w:szCs w:val="20"/>
              </w:rPr>
            </w:pPr>
            <w:r>
              <w:rPr>
                <w:rFonts w:ascii="Arial"/>
                <w:sz w:val="20"/>
              </w:rPr>
              <w:t>40</w:t>
            </w: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1"/>
              <w:jc w:val="right"/>
              <w:rPr>
                <w:rFonts w:ascii="Arial" w:hAnsi="Arial" w:cs="Arial" w:eastAsia="Arial" w:hint="default"/>
                <w:sz w:val="20"/>
                <w:szCs w:val="20"/>
              </w:rPr>
            </w:pPr>
            <w:r>
              <w:rPr>
                <w:rFonts w:ascii="Arial"/>
                <w:spacing w:val="-1"/>
                <w:sz w:val="20"/>
              </w:rPr>
              <w:t>60,601,445</w:t>
            </w:r>
            <w:r>
              <w:rPr>
                <w:rFonts w:ascii="Arial"/>
                <w:sz w:val="20"/>
              </w:rPr>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4"/>
              <w:jc w:val="right"/>
              <w:rPr>
                <w:rFonts w:ascii="Arial" w:hAnsi="Arial" w:cs="Arial" w:eastAsia="Arial" w:hint="default"/>
                <w:sz w:val="20"/>
                <w:szCs w:val="20"/>
              </w:rPr>
            </w:pPr>
            <w:r>
              <w:rPr>
                <w:rFonts w:ascii="Arial"/>
                <w:spacing w:val="-1"/>
                <w:sz w:val="20"/>
              </w:rPr>
              <w:t>37,985,116</w:t>
            </w:r>
            <w:r>
              <w:rPr>
                <w:rFonts w:ascii="Arial"/>
                <w:sz w:val="20"/>
              </w:rPr>
            </w:r>
          </w:p>
        </w:tc>
        <w:tc>
          <w:tcPr>
            <w:tcW w:w="282" w:type="dxa"/>
            <w:tcBorders>
              <w:top w:val="nil" w:sz="6" w:space="0" w:color="auto"/>
              <w:left w:val="nil" w:sz="6" w:space="0" w:color="auto"/>
              <w:bottom w:val="nil" w:sz="6" w:space="0" w:color="auto"/>
              <w:right w:val="nil" w:sz="6" w:space="0" w:color="auto"/>
            </w:tcBorders>
          </w:tcPr>
          <w:p>
            <w:pPr/>
          </w:p>
        </w:tc>
      </w:tr>
      <w:tr>
        <w:trPr>
          <w:trHeight w:val="259"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26" w:lineRule="exact"/>
              <w:ind w:left="420" w:right="0"/>
              <w:jc w:val="left"/>
              <w:rPr>
                <w:rFonts w:ascii="黑体" w:hAnsi="黑体" w:cs="黑体" w:eastAsia="黑体" w:hint="default"/>
                <w:sz w:val="20"/>
                <w:szCs w:val="20"/>
              </w:rPr>
            </w:pPr>
            <w:r>
              <w:rPr>
                <w:rFonts w:ascii="黑体" w:hAnsi="黑体" w:cs="黑体" w:eastAsia="黑体" w:hint="default"/>
                <w:sz w:val="20"/>
                <w:szCs w:val="20"/>
              </w:rPr>
              <w:t>加：投资收益</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51"/>
              <w:jc w:val="center"/>
              <w:rPr>
                <w:rFonts w:ascii="Arial" w:hAnsi="Arial" w:cs="Arial" w:eastAsia="Arial" w:hint="default"/>
                <w:sz w:val="20"/>
                <w:szCs w:val="20"/>
              </w:rPr>
            </w:pPr>
            <w:r>
              <w:rPr>
                <w:rFonts w:ascii="Arial"/>
                <w:sz w:val="20"/>
              </w:rPr>
              <w:t>41</w:t>
            </w: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0"/>
              <w:jc w:val="right"/>
              <w:rPr>
                <w:rFonts w:ascii="Arial" w:hAnsi="Arial" w:cs="Arial" w:eastAsia="Arial" w:hint="default"/>
                <w:sz w:val="20"/>
                <w:szCs w:val="20"/>
              </w:rPr>
            </w:pPr>
            <w:r>
              <w:rPr>
                <w:rFonts w:ascii="Arial"/>
                <w:spacing w:val="-1"/>
                <w:sz w:val="20"/>
              </w:rPr>
              <w:t>5,604,098</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
              <w:jc w:val="right"/>
              <w:rPr>
                <w:rFonts w:ascii="Arial" w:hAnsi="Arial" w:cs="Arial" w:eastAsia="Arial" w:hint="default"/>
                <w:sz w:val="20"/>
                <w:szCs w:val="20"/>
              </w:rPr>
            </w:pPr>
            <w:r>
              <w:rPr>
                <w:rFonts w:ascii="Arial"/>
                <w:spacing w:val="-1"/>
                <w:sz w:val="20"/>
              </w:rPr>
              <w:t>7,678,097</w:t>
            </w:r>
          </w:p>
        </w:tc>
        <w:tc>
          <w:tcPr>
            <w:tcW w:w="282" w:type="dxa"/>
            <w:tcBorders>
              <w:top w:val="nil" w:sz="6" w:space="0" w:color="auto"/>
              <w:left w:val="nil" w:sz="6" w:space="0" w:color="auto"/>
              <w:bottom w:val="nil" w:sz="6" w:space="0" w:color="auto"/>
              <w:right w:val="nil" w:sz="6" w:space="0" w:color="auto"/>
            </w:tcBorders>
          </w:tcPr>
          <w:p>
            <w:pPr/>
          </w:p>
        </w:tc>
      </w:tr>
      <w:tr>
        <w:trPr>
          <w:trHeight w:val="634"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24" w:lineRule="exact"/>
              <w:ind w:left="593" w:right="0"/>
              <w:jc w:val="center"/>
              <w:rPr>
                <w:rFonts w:ascii="黑体" w:hAnsi="黑体" w:cs="黑体" w:eastAsia="黑体" w:hint="default"/>
                <w:sz w:val="20"/>
                <w:szCs w:val="20"/>
              </w:rPr>
            </w:pPr>
            <w:r>
              <w:rPr>
                <w:rFonts w:ascii="黑体" w:hAnsi="黑体" w:cs="黑体" w:eastAsia="黑体" w:hint="default"/>
                <w:sz w:val="20"/>
                <w:szCs w:val="20"/>
              </w:rPr>
              <w:t>其中：对联营企业和合营企业</w:t>
            </w:r>
          </w:p>
          <w:p>
            <w:pPr>
              <w:pStyle w:val="TableParagraph"/>
              <w:spacing w:line="260" w:lineRule="exact"/>
              <w:ind w:left="552" w:right="0"/>
              <w:jc w:val="center"/>
              <w:rPr>
                <w:rFonts w:ascii="黑体" w:hAnsi="黑体" w:cs="黑体" w:eastAsia="黑体" w:hint="default"/>
                <w:sz w:val="20"/>
                <w:szCs w:val="20"/>
              </w:rPr>
            </w:pPr>
            <w:r>
              <w:rPr>
                <w:rFonts w:ascii="黑体" w:hAnsi="黑体" w:cs="黑体" w:eastAsia="黑体" w:hint="default"/>
                <w:sz w:val="20"/>
                <w:szCs w:val="20"/>
              </w:rPr>
              <w:t>的投资收益</w:t>
            </w:r>
          </w:p>
        </w:tc>
        <w:tc>
          <w:tcPr>
            <w:tcW w:w="1214" w:type="dxa"/>
            <w:tcBorders>
              <w:top w:val="nil" w:sz="6" w:space="0" w:color="auto"/>
              <w:left w:val="nil" w:sz="6" w:space="0" w:color="auto"/>
              <w:bottom w:val="nil" w:sz="6" w:space="0" w:color="auto"/>
              <w:right w:val="nil" w:sz="6" w:space="0" w:color="auto"/>
            </w:tcBorders>
          </w:tcPr>
          <w:p>
            <w:pP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b/>
                <w:bCs/>
                <w:sz w:val="20"/>
                <w:szCs w:val="20"/>
              </w:rPr>
            </w:pPr>
          </w:p>
          <w:p>
            <w:pPr>
              <w:pStyle w:val="TableParagraph"/>
              <w:tabs>
                <w:tab w:pos="311" w:val="left" w:leader="none"/>
              </w:tabs>
              <w:spacing w:line="240" w:lineRule="auto"/>
              <w:ind w:right="311"/>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3,681,734</w:t>
            </w:r>
            <w:r>
              <w:rPr>
                <w:rFonts w:ascii="Arial"/>
                <w:spacing w:val="-1"/>
                <w:w w:val="95"/>
                <w:sz w:val="20"/>
              </w:rPr>
            </w:r>
            <w:r>
              <w:rPr>
                <w:rFonts w:ascii="Arial"/>
                <w:sz w:val="20"/>
              </w:rPr>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b/>
                <w:bCs/>
                <w:sz w:val="20"/>
                <w:szCs w:val="20"/>
              </w:rPr>
            </w:pPr>
          </w:p>
          <w:p>
            <w:pPr>
              <w:pStyle w:val="TableParagraph"/>
              <w:tabs>
                <w:tab w:pos="381" w:val="left" w:leader="none"/>
              </w:tabs>
              <w:spacing w:line="240" w:lineRule="auto"/>
              <w:ind w:right="14"/>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6,168,930</w:t>
            </w:r>
            <w:r>
              <w:rPr>
                <w:rFonts w:ascii="Arial"/>
                <w:spacing w:val="-1"/>
                <w:w w:val="95"/>
                <w:sz w:val="20"/>
              </w:rPr>
            </w:r>
            <w:r>
              <w:rPr>
                <w:rFonts w:ascii="Arial"/>
                <w:sz w:val="20"/>
              </w:rPr>
            </w:r>
          </w:p>
        </w:tc>
        <w:tc>
          <w:tcPr>
            <w:tcW w:w="282" w:type="dxa"/>
            <w:tcBorders>
              <w:top w:val="nil" w:sz="6" w:space="0" w:color="auto"/>
              <w:left w:val="nil" w:sz="6" w:space="0" w:color="auto"/>
              <w:bottom w:val="nil" w:sz="6" w:space="0" w:color="auto"/>
              <w:right w:val="nil" w:sz="6" w:space="0" w:color="auto"/>
            </w:tcBorders>
          </w:tcPr>
          <w:p>
            <w:pPr/>
          </w:p>
        </w:tc>
      </w:tr>
      <w:tr>
        <w:trPr>
          <w:trHeight w:val="490"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0"/>
              <w:jc w:val="left"/>
              <w:rPr>
                <w:rFonts w:ascii="黑体" w:hAnsi="黑体" w:cs="黑体" w:eastAsia="黑体" w:hint="default"/>
                <w:sz w:val="20"/>
                <w:szCs w:val="20"/>
              </w:rPr>
            </w:pPr>
            <w:r>
              <w:rPr>
                <w:rFonts w:ascii="黑体" w:hAnsi="黑体" w:cs="黑体" w:eastAsia="黑体" w:hint="default"/>
                <w:sz w:val="20"/>
                <w:szCs w:val="20"/>
              </w:rPr>
              <w:t>二、营业利润</w:t>
            </w:r>
          </w:p>
        </w:tc>
        <w:tc>
          <w:tcPr>
            <w:tcW w:w="1214" w:type="dxa"/>
            <w:tcBorders>
              <w:top w:val="nil" w:sz="6" w:space="0" w:color="auto"/>
              <w:left w:val="nil" w:sz="6" w:space="0" w:color="auto"/>
              <w:bottom w:val="nil" w:sz="6" w:space="0" w:color="auto"/>
              <w:right w:val="nil" w:sz="6" w:space="0" w:color="auto"/>
            </w:tcBorders>
          </w:tcPr>
          <w:p>
            <w:pP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11"/>
              <w:jc w:val="right"/>
              <w:rPr>
                <w:rFonts w:ascii="Arial" w:hAnsi="Arial" w:cs="Arial" w:eastAsia="Arial" w:hint="default"/>
                <w:sz w:val="20"/>
                <w:szCs w:val="20"/>
              </w:rPr>
            </w:pPr>
            <w:r>
              <w:rPr>
                <w:rFonts w:ascii="Arial"/>
                <w:spacing w:val="-1"/>
                <w:sz w:val="20"/>
              </w:rPr>
              <w:t>156,560,099</w:t>
            </w:r>
            <w:r>
              <w:rPr>
                <w:rFonts w:ascii="Arial"/>
                <w:sz w:val="20"/>
              </w:rPr>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4"/>
              <w:jc w:val="right"/>
              <w:rPr>
                <w:rFonts w:ascii="Arial" w:hAnsi="Arial" w:cs="Arial" w:eastAsia="Arial" w:hint="default"/>
                <w:sz w:val="20"/>
                <w:szCs w:val="20"/>
              </w:rPr>
            </w:pPr>
            <w:r>
              <w:rPr>
                <w:rFonts w:ascii="Arial"/>
                <w:spacing w:val="-1"/>
                <w:sz w:val="20"/>
              </w:rPr>
              <w:t>310,055,512</w:t>
            </w:r>
            <w:r>
              <w:rPr>
                <w:rFonts w:ascii="Arial"/>
                <w:sz w:val="20"/>
              </w:rPr>
            </w:r>
          </w:p>
        </w:tc>
        <w:tc>
          <w:tcPr>
            <w:tcW w:w="282" w:type="dxa"/>
            <w:tcBorders>
              <w:top w:val="nil" w:sz="6" w:space="0" w:color="auto"/>
              <w:left w:val="nil" w:sz="6" w:space="0" w:color="auto"/>
              <w:bottom w:val="nil" w:sz="6" w:space="0" w:color="auto"/>
              <w:right w:val="nil" w:sz="6" w:space="0" w:color="auto"/>
            </w:tcBorders>
          </w:tcPr>
          <w:p>
            <w:pPr/>
          </w:p>
        </w:tc>
      </w:tr>
      <w:tr>
        <w:trPr>
          <w:trHeight w:val="374"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420" w:right="0"/>
              <w:jc w:val="left"/>
              <w:rPr>
                <w:rFonts w:ascii="黑体" w:hAnsi="黑体" w:cs="黑体" w:eastAsia="黑体" w:hint="default"/>
                <w:sz w:val="20"/>
                <w:szCs w:val="20"/>
              </w:rPr>
            </w:pPr>
            <w:r>
              <w:rPr>
                <w:rFonts w:ascii="黑体" w:hAnsi="黑体" w:cs="黑体" w:eastAsia="黑体" w:hint="default"/>
                <w:sz w:val="20"/>
                <w:szCs w:val="20"/>
              </w:rPr>
              <w:t>加：营业外收入</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51"/>
              <w:jc w:val="center"/>
              <w:rPr>
                <w:rFonts w:ascii="Arial" w:hAnsi="Arial" w:cs="Arial" w:eastAsia="Arial" w:hint="default"/>
                <w:sz w:val="20"/>
                <w:szCs w:val="20"/>
              </w:rPr>
            </w:pPr>
            <w:r>
              <w:rPr>
                <w:rFonts w:ascii="Arial"/>
                <w:sz w:val="20"/>
              </w:rPr>
              <w:t>42</w:t>
            </w: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11"/>
              <w:jc w:val="right"/>
              <w:rPr>
                <w:rFonts w:ascii="Arial" w:hAnsi="Arial" w:cs="Arial" w:eastAsia="Arial" w:hint="default"/>
                <w:sz w:val="20"/>
                <w:szCs w:val="20"/>
              </w:rPr>
            </w:pPr>
            <w:r>
              <w:rPr>
                <w:rFonts w:ascii="Arial"/>
                <w:spacing w:val="-1"/>
                <w:sz w:val="20"/>
              </w:rPr>
              <w:t>287,007,651</w:t>
            </w:r>
            <w:r>
              <w:rPr>
                <w:rFonts w:ascii="Arial"/>
                <w:sz w:val="20"/>
              </w:rPr>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4"/>
              <w:jc w:val="right"/>
              <w:rPr>
                <w:rFonts w:ascii="Arial" w:hAnsi="Arial" w:cs="Arial" w:eastAsia="Arial" w:hint="default"/>
                <w:sz w:val="20"/>
                <w:szCs w:val="20"/>
              </w:rPr>
            </w:pPr>
            <w:r>
              <w:rPr>
                <w:rFonts w:ascii="Arial"/>
                <w:spacing w:val="-1"/>
                <w:w w:val="95"/>
                <w:sz w:val="20"/>
              </w:rPr>
              <w:t>297,066,244</w:t>
            </w:r>
            <w:r>
              <w:rPr>
                <w:rFonts w:ascii="Arial"/>
                <w:sz w:val="20"/>
              </w:rPr>
            </w:r>
          </w:p>
        </w:tc>
        <w:tc>
          <w:tcPr>
            <w:tcW w:w="282" w:type="dxa"/>
            <w:tcBorders>
              <w:top w:val="nil" w:sz="6" w:space="0" w:color="auto"/>
              <w:left w:val="nil" w:sz="6" w:space="0" w:color="auto"/>
              <w:bottom w:val="nil" w:sz="6" w:space="0" w:color="auto"/>
              <w:right w:val="nil" w:sz="6" w:space="0" w:color="auto"/>
            </w:tcBorders>
          </w:tcPr>
          <w:p>
            <w:pPr/>
          </w:p>
        </w:tc>
      </w:tr>
      <w:tr>
        <w:trPr>
          <w:trHeight w:val="259"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26" w:lineRule="exact"/>
              <w:ind w:left="420" w:right="0"/>
              <w:jc w:val="left"/>
              <w:rPr>
                <w:rFonts w:ascii="黑体" w:hAnsi="黑体" w:cs="黑体" w:eastAsia="黑体" w:hint="default"/>
                <w:sz w:val="20"/>
                <w:szCs w:val="20"/>
              </w:rPr>
            </w:pPr>
            <w:r>
              <w:rPr>
                <w:rFonts w:ascii="黑体" w:hAnsi="黑体" w:cs="黑体" w:eastAsia="黑体" w:hint="default"/>
                <w:sz w:val="20"/>
                <w:szCs w:val="20"/>
              </w:rPr>
              <w:t>减：营业外支出</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51"/>
              <w:jc w:val="center"/>
              <w:rPr>
                <w:rFonts w:ascii="Arial" w:hAnsi="Arial" w:cs="Arial" w:eastAsia="Arial" w:hint="default"/>
                <w:sz w:val="20"/>
                <w:szCs w:val="20"/>
              </w:rPr>
            </w:pPr>
            <w:r>
              <w:rPr>
                <w:rFonts w:ascii="Arial"/>
                <w:sz w:val="20"/>
              </w:rPr>
              <w:t>43</w:t>
            </w: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0"/>
              <w:jc w:val="right"/>
              <w:rPr>
                <w:rFonts w:ascii="Arial" w:hAnsi="Arial" w:cs="Arial" w:eastAsia="Arial" w:hint="default"/>
                <w:sz w:val="20"/>
                <w:szCs w:val="20"/>
              </w:rPr>
            </w:pPr>
            <w:r>
              <w:rPr>
                <w:rFonts w:ascii="Arial"/>
                <w:spacing w:val="-1"/>
                <w:sz w:val="20"/>
              </w:rPr>
              <w:t>2,533,483</w:t>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
              <w:jc w:val="right"/>
              <w:rPr>
                <w:rFonts w:ascii="Arial" w:hAnsi="Arial" w:cs="Arial" w:eastAsia="Arial" w:hint="default"/>
                <w:sz w:val="20"/>
                <w:szCs w:val="20"/>
              </w:rPr>
            </w:pPr>
            <w:r>
              <w:rPr>
                <w:rFonts w:ascii="Arial"/>
                <w:spacing w:val="-1"/>
                <w:sz w:val="20"/>
              </w:rPr>
              <w:t>1,215,800</w:t>
            </w:r>
          </w:p>
        </w:tc>
        <w:tc>
          <w:tcPr>
            <w:tcW w:w="282" w:type="dxa"/>
            <w:tcBorders>
              <w:top w:val="nil" w:sz="6" w:space="0" w:color="auto"/>
              <w:left w:val="nil" w:sz="6" w:space="0" w:color="auto"/>
              <w:bottom w:val="nil" w:sz="6" w:space="0" w:color="auto"/>
              <w:right w:val="nil" w:sz="6" w:space="0" w:color="auto"/>
            </w:tcBorders>
          </w:tcPr>
          <w:p>
            <w:pPr/>
          </w:p>
        </w:tc>
      </w:tr>
      <w:tr>
        <w:trPr>
          <w:trHeight w:val="374"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26" w:lineRule="exact"/>
              <w:ind w:left="420" w:right="0"/>
              <w:jc w:val="left"/>
              <w:rPr>
                <w:rFonts w:ascii="黑体" w:hAnsi="黑体" w:cs="黑体" w:eastAsia="黑体" w:hint="default"/>
                <w:sz w:val="20"/>
                <w:szCs w:val="20"/>
              </w:rPr>
            </w:pPr>
            <w:r>
              <w:rPr>
                <w:rFonts w:ascii="黑体" w:hAnsi="黑体" w:cs="黑体" w:eastAsia="黑体" w:hint="default"/>
                <w:sz w:val="20"/>
                <w:szCs w:val="20"/>
              </w:rPr>
              <w:t>其中：非流动资产处置损失</w:t>
            </w:r>
          </w:p>
        </w:tc>
        <w:tc>
          <w:tcPr>
            <w:tcW w:w="1214" w:type="dxa"/>
            <w:tcBorders>
              <w:top w:val="nil" w:sz="6" w:space="0" w:color="auto"/>
              <w:left w:val="nil" w:sz="6" w:space="0" w:color="auto"/>
              <w:bottom w:val="nil" w:sz="6" w:space="0" w:color="auto"/>
              <w:right w:val="nil" w:sz="6" w:space="0" w:color="auto"/>
            </w:tcBorders>
          </w:tcPr>
          <w:p>
            <w:pPr/>
          </w:p>
        </w:tc>
        <w:tc>
          <w:tcPr>
            <w:tcW w:w="1969" w:type="dxa"/>
            <w:tcBorders>
              <w:top w:val="nil" w:sz="6" w:space="0" w:color="auto"/>
              <w:left w:val="nil" w:sz="6" w:space="0" w:color="auto"/>
              <w:bottom w:val="nil" w:sz="6" w:space="0" w:color="auto"/>
              <w:right w:val="nil" w:sz="6" w:space="0" w:color="auto"/>
            </w:tcBorders>
          </w:tcPr>
          <w:p>
            <w:pPr>
              <w:pStyle w:val="TableParagraph"/>
              <w:tabs>
                <w:tab w:pos="477" w:val="left" w:leader="none"/>
              </w:tabs>
              <w:spacing w:line="240" w:lineRule="auto" w:before="7"/>
              <w:ind w:right="311"/>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790,567</w:t>
            </w:r>
            <w:r>
              <w:rPr>
                <w:rFonts w:ascii="Arial"/>
                <w:spacing w:val="-1"/>
                <w:w w:val="95"/>
                <w:sz w:val="20"/>
              </w:rPr>
            </w:r>
            <w:r>
              <w:rPr>
                <w:rFonts w:ascii="Arial"/>
                <w:sz w:val="20"/>
              </w:rPr>
            </w:r>
          </w:p>
        </w:tc>
        <w:tc>
          <w:tcPr>
            <w:tcW w:w="1685" w:type="dxa"/>
            <w:tcBorders>
              <w:top w:val="nil" w:sz="6" w:space="0" w:color="auto"/>
              <w:left w:val="nil" w:sz="6" w:space="0" w:color="auto"/>
              <w:bottom w:val="nil" w:sz="6" w:space="0" w:color="auto"/>
              <w:right w:val="nil" w:sz="6" w:space="0" w:color="auto"/>
            </w:tcBorders>
          </w:tcPr>
          <w:p>
            <w:pPr>
              <w:pStyle w:val="TableParagraph"/>
              <w:tabs>
                <w:tab w:pos="561" w:val="left" w:leader="none"/>
              </w:tabs>
              <w:spacing w:line="240" w:lineRule="auto" w:before="7"/>
              <w:ind w:right="13"/>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sz w:val="20"/>
                <w:u w:val="single" w:color="000000"/>
              </w:rPr>
              <w:t>572,248</w:t>
            </w:r>
            <w:r>
              <w:rPr>
                <w:rFonts w:ascii="Arial"/>
                <w:spacing w:val="-1"/>
                <w:sz w:val="20"/>
              </w:rPr>
            </w:r>
          </w:p>
        </w:tc>
        <w:tc>
          <w:tcPr>
            <w:tcW w:w="282" w:type="dxa"/>
            <w:tcBorders>
              <w:top w:val="nil" w:sz="6" w:space="0" w:color="auto"/>
              <w:left w:val="nil" w:sz="6" w:space="0" w:color="auto"/>
              <w:bottom w:val="nil" w:sz="6" w:space="0" w:color="auto"/>
              <w:right w:val="nil" w:sz="6" w:space="0" w:color="auto"/>
            </w:tcBorders>
          </w:tcPr>
          <w:p>
            <w:pPr/>
          </w:p>
        </w:tc>
      </w:tr>
      <w:tr>
        <w:trPr>
          <w:trHeight w:val="490"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0"/>
              <w:jc w:val="left"/>
              <w:rPr>
                <w:rFonts w:ascii="黑体" w:hAnsi="黑体" w:cs="黑体" w:eastAsia="黑体" w:hint="default"/>
                <w:sz w:val="20"/>
                <w:szCs w:val="20"/>
              </w:rPr>
            </w:pPr>
            <w:r>
              <w:rPr>
                <w:rFonts w:ascii="黑体" w:hAnsi="黑体" w:cs="黑体" w:eastAsia="黑体" w:hint="default"/>
                <w:sz w:val="20"/>
                <w:szCs w:val="20"/>
              </w:rPr>
              <w:t>三、利润总额</w:t>
            </w:r>
          </w:p>
        </w:tc>
        <w:tc>
          <w:tcPr>
            <w:tcW w:w="1214" w:type="dxa"/>
            <w:tcBorders>
              <w:top w:val="nil" w:sz="6" w:space="0" w:color="auto"/>
              <w:left w:val="nil" w:sz="6" w:space="0" w:color="auto"/>
              <w:bottom w:val="nil" w:sz="6" w:space="0" w:color="auto"/>
              <w:right w:val="nil" w:sz="6" w:space="0" w:color="auto"/>
            </w:tcBorders>
          </w:tcPr>
          <w:p>
            <w:pP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11"/>
              <w:jc w:val="right"/>
              <w:rPr>
                <w:rFonts w:ascii="Arial" w:hAnsi="Arial" w:cs="Arial" w:eastAsia="Arial" w:hint="default"/>
                <w:sz w:val="20"/>
                <w:szCs w:val="20"/>
              </w:rPr>
            </w:pPr>
            <w:r>
              <w:rPr>
                <w:rFonts w:ascii="Arial"/>
                <w:spacing w:val="-1"/>
                <w:sz w:val="20"/>
              </w:rPr>
              <w:t>441,034,267</w:t>
            </w:r>
            <w:r>
              <w:rPr>
                <w:rFonts w:ascii="Arial"/>
                <w:sz w:val="20"/>
              </w:rPr>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4"/>
              <w:jc w:val="right"/>
              <w:rPr>
                <w:rFonts w:ascii="Arial" w:hAnsi="Arial" w:cs="Arial" w:eastAsia="Arial" w:hint="default"/>
                <w:sz w:val="20"/>
                <w:szCs w:val="20"/>
              </w:rPr>
            </w:pPr>
            <w:r>
              <w:rPr>
                <w:rFonts w:ascii="Arial"/>
                <w:spacing w:val="-1"/>
                <w:sz w:val="20"/>
              </w:rPr>
              <w:t>605,905,956</w:t>
            </w:r>
            <w:r>
              <w:rPr>
                <w:rFonts w:ascii="Arial"/>
                <w:sz w:val="20"/>
              </w:rPr>
            </w:r>
          </w:p>
        </w:tc>
        <w:tc>
          <w:tcPr>
            <w:tcW w:w="282" w:type="dxa"/>
            <w:tcBorders>
              <w:top w:val="nil" w:sz="6" w:space="0" w:color="auto"/>
              <w:left w:val="nil" w:sz="6" w:space="0" w:color="auto"/>
              <w:bottom w:val="nil" w:sz="6" w:space="0" w:color="auto"/>
              <w:right w:val="nil" w:sz="6" w:space="0" w:color="auto"/>
            </w:tcBorders>
          </w:tcPr>
          <w:p>
            <w:pPr/>
          </w:p>
        </w:tc>
      </w:tr>
      <w:tr>
        <w:trPr>
          <w:trHeight w:val="488"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420" w:right="0"/>
              <w:jc w:val="left"/>
              <w:rPr>
                <w:rFonts w:ascii="黑体" w:hAnsi="黑体" w:cs="黑体" w:eastAsia="黑体" w:hint="default"/>
                <w:sz w:val="20"/>
                <w:szCs w:val="20"/>
              </w:rPr>
            </w:pPr>
            <w:r>
              <w:rPr>
                <w:rFonts w:ascii="黑体" w:hAnsi="黑体" w:cs="黑体" w:eastAsia="黑体" w:hint="default"/>
                <w:sz w:val="20"/>
                <w:szCs w:val="20"/>
              </w:rPr>
              <w:t>减：所得税费用</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51"/>
              <w:jc w:val="center"/>
              <w:rPr>
                <w:rFonts w:ascii="Arial" w:hAnsi="Arial" w:cs="Arial" w:eastAsia="Arial" w:hint="default"/>
                <w:sz w:val="20"/>
                <w:szCs w:val="20"/>
              </w:rPr>
            </w:pPr>
            <w:r>
              <w:rPr>
                <w:rFonts w:ascii="Arial"/>
                <w:sz w:val="20"/>
              </w:rPr>
              <w:t>44</w:t>
            </w: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11"/>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5"/>
                <w:sz w:val="20"/>
                <w:u w:val="single" w:color="000000"/>
              </w:rPr>
              <w:t> </w:t>
            </w:r>
            <w:r>
              <w:rPr>
                <w:rFonts w:ascii="Arial"/>
                <w:spacing w:val="-1"/>
                <w:w w:val="95"/>
                <w:sz w:val="20"/>
                <w:u w:val="single" w:color="000000"/>
              </w:rPr>
              <w:t>53,880,031</w:t>
            </w:r>
            <w:r>
              <w:rPr>
                <w:rFonts w:ascii="Arial"/>
                <w:spacing w:val="-1"/>
                <w:w w:val="95"/>
                <w:sz w:val="20"/>
              </w:rPr>
            </w:r>
            <w:r>
              <w:rPr>
                <w:rFonts w:ascii="Arial"/>
                <w:sz w:val="20"/>
              </w:rPr>
            </w:r>
          </w:p>
        </w:tc>
        <w:tc>
          <w:tcPr>
            <w:tcW w:w="1685" w:type="dxa"/>
            <w:tcBorders>
              <w:top w:val="nil" w:sz="6" w:space="0" w:color="auto"/>
              <w:left w:val="nil" w:sz="6" w:space="0" w:color="auto"/>
              <w:bottom w:val="nil" w:sz="6" w:space="0" w:color="auto"/>
              <w:right w:val="nil" w:sz="6" w:space="0" w:color="auto"/>
            </w:tcBorders>
          </w:tcPr>
          <w:p>
            <w:pPr>
              <w:pStyle w:val="TableParagraph"/>
              <w:tabs>
                <w:tab w:pos="311" w:val="left" w:leader="none"/>
              </w:tabs>
              <w:spacing w:line="240" w:lineRule="auto" w:before="122"/>
              <w:ind w:right="14"/>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55,059,890</w:t>
            </w:r>
            <w:r>
              <w:rPr>
                <w:rFonts w:ascii="Arial"/>
                <w:spacing w:val="-1"/>
                <w:w w:val="95"/>
                <w:sz w:val="20"/>
              </w:rPr>
            </w:r>
            <w:r>
              <w:rPr>
                <w:rFonts w:ascii="Arial"/>
                <w:sz w:val="20"/>
              </w:rPr>
            </w:r>
          </w:p>
        </w:tc>
        <w:tc>
          <w:tcPr>
            <w:tcW w:w="282" w:type="dxa"/>
            <w:tcBorders>
              <w:top w:val="nil" w:sz="6" w:space="0" w:color="auto"/>
              <w:left w:val="nil" w:sz="6" w:space="0" w:color="auto"/>
              <w:bottom w:val="nil" w:sz="6" w:space="0" w:color="auto"/>
              <w:right w:val="nil" w:sz="6" w:space="0" w:color="auto"/>
            </w:tcBorders>
          </w:tcPr>
          <w:p>
            <w:pPr/>
          </w:p>
        </w:tc>
      </w:tr>
      <w:tr>
        <w:trPr>
          <w:trHeight w:val="490"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0"/>
              <w:jc w:val="left"/>
              <w:rPr>
                <w:rFonts w:ascii="黑体" w:hAnsi="黑体" w:cs="黑体" w:eastAsia="黑体" w:hint="default"/>
                <w:sz w:val="20"/>
                <w:szCs w:val="20"/>
              </w:rPr>
            </w:pPr>
            <w:r>
              <w:rPr>
                <w:rFonts w:ascii="黑体" w:hAnsi="黑体" w:cs="黑体" w:eastAsia="黑体" w:hint="default"/>
                <w:sz w:val="20"/>
                <w:szCs w:val="20"/>
              </w:rPr>
              <w:t>四、净利润</w:t>
            </w:r>
          </w:p>
        </w:tc>
        <w:tc>
          <w:tcPr>
            <w:tcW w:w="1214" w:type="dxa"/>
            <w:tcBorders>
              <w:top w:val="nil" w:sz="6" w:space="0" w:color="auto"/>
              <w:left w:val="nil" w:sz="6" w:space="0" w:color="auto"/>
              <w:bottom w:val="nil" w:sz="6" w:space="0" w:color="auto"/>
              <w:right w:val="nil" w:sz="6" w:space="0" w:color="auto"/>
            </w:tcBorders>
          </w:tcPr>
          <w:p>
            <w:pP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11"/>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pacing w:val="-11"/>
                <w:sz w:val="20"/>
                <w:u w:val="thick" w:color="000000"/>
              </w:rPr>
              <w:t> </w:t>
            </w:r>
            <w:r>
              <w:rPr>
                <w:rFonts w:ascii="Arial"/>
                <w:spacing w:val="-1"/>
                <w:sz w:val="20"/>
                <w:u w:val="thick" w:color="000000"/>
              </w:rPr>
              <w:t>387,154,236</w:t>
            </w:r>
            <w:r>
              <w:rPr>
                <w:rFonts w:ascii="Arial"/>
                <w:spacing w:val="-1"/>
                <w:sz w:val="20"/>
              </w:rPr>
            </w:r>
            <w:r>
              <w:rPr>
                <w:rFonts w:ascii="Arial"/>
                <w:sz w:val="20"/>
              </w:rPr>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3"/>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  </w:t>
            </w:r>
            <w:r>
              <w:rPr>
                <w:rFonts w:ascii="Arial"/>
                <w:spacing w:val="-21"/>
                <w:sz w:val="20"/>
                <w:u w:val="thick" w:color="000000"/>
              </w:rPr>
              <w:t> </w:t>
            </w:r>
            <w:r>
              <w:rPr>
                <w:rFonts w:ascii="Arial"/>
                <w:spacing w:val="-1"/>
                <w:sz w:val="20"/>
                <w:u w:val="thick" w:color="000000"/>
              </w:rPr>
              <w:t>550,846,066</w:t>
            </w:r>
            <w:r>
              <w:rPr>
                <w:rFonts w:ascii="Arial"/>
                <w:spacing w:val="-1"/>
                <w:sz w:val="20"/>
              </w:rPr>
            </w:r>
          </w:p>
        </w:tc>
        <w:tc>
          <w:tcPr>
            <w:tcW w:w="282" w:type="dxa"/>
            <w:tcBorders>
              <w:top w:val="nil" w:sz="6" w:space="0" w:color="auto"/>
              <w:left w:val="nil" w:sz="6" w:space="0" w:color="auto"/>
              <w:bottom w:val="nil" w:sz="6" w:space="0" w:color="auto"/>
              <w:right w:val="nil" w:sz="6" w:space="0" w:color="auto"/>
            </w:tcBorders>
          </w:tcPr>
          <w:p>
            <w:pPr/>
          </w:p>
        </w:tc>
      </w:tr>
      <w:tr>
        <w:trPr>
          <w:trHeight w:val="374"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427" w:right="0"/>
              <w:jc w:val="left"/>
              <w:rPr>
                <w:rFonts w:ascii="黑体" w:hAnsi="黑体" w:cs="黑体" w:eastAsia="黑体" w:hint="default"/>
                <w:sz w:val="20"/>
                <w:szCs w:val="20"/>
              </w:rPr>
            </w:pPr>
            <w:r>
              <w:rPr>
                <w:rFonts w:ascii="黑体" w:hAnsi="黑体" w:cs="黑体" w:eastAsia="黑体" w:hint="default"/>
                <w:sz w:val="20"/>
                <w:szCs w:val="20"/>
              </w:rPr>
              <w:t>归属于母公司股东的净利润</w:t>
            </w:r>
          </w:p>
        </w:tc>
        <w:tc>
          <w:tcPr>
            <w:tcW w:w="1214" w:type="dxa"/>
            <w:tcBorders>
              <w:top w:val="nil" w:sz="6" w:space="0" w:color="auto"/>
              <w:left w:val="nil" w:sz="6" w:space="0" w:color="auto"/>
              <w:bottom w:val="nil" w:sz="6" w:space="0" w:color="auto"/>
              <w:right w:val="nil" w:sz="6" w:space="0" w:color="auto"/>
            </w:tcBorders>
          </w:tcPr>
          <w:p>
            <w:pP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09"/>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pacing w:val="-11"/>
                <w:sz w:val="20"/>
                <w:u w:val="thick" w:color="000000"/>
              </w:rPr>
              <w:t> </w:t>
            </w:r>
            <w:r>
              <w:rPr>
                <w:rFonts w:ascii="Arial"/>
                <w:spacing w:val="-1"/>
                <w:sz w:val="20"/>
                <w:u w:val="thick" w:color="000000"/>
              </w:rPr>
              <w:t>379,601,971</w:t>
            </w:r>
            <w:r>
              <w:rPr>
                <w:rFonts w:ascii="Arial"/>
                <w:spacing w:val="-1"/>
                <w:sz w:val="20"/>
              </w:rPr>
            </w:r>
            <w:r>
              <w:rPr>
                <w:rFonts w:ascii="Arial"/>
                <w:sz w:val="20"/>
              </w:rPr>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3"/>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  </w:t>
            </w:r>
            <w:r>
              <w:rPr>
                <w:rFonts w:ascii="Arial"/>
                <w:spacing w:val="-21"/>
                <w:sz w:val="20"/>
                <w:u w:val="thick" w:color="000000"/>
              </w:rPr>
              <w:t> </w:t>
            </w:r>
            <w:r>
              <w:rPr>
                <w:rFonts w:ascii="Arial"/>
                <w:spacing w:val="-1"/>
                <w:sz w:val="20"/>
                <w:u w:val="thick" w:color="000000"/>
              </w:rPr>
              <w:t>536,784,549</w:t>
            </w:r>
            <w:r>
              <w:rPr>
                <w:rFonts w:ascii="Arial"/>
                <w:spacing w:val="-1"/>
                <w:sz w:val="20"/>
              </w:rPr>
            </w:r>
          </w:p>
        </w:tc>
        <w:tc>
          <w:tcPr>
            <w:tcW w:w="282" w:type="dxa"/>
            <w:tcBorders>
              <w:top w:val="nil" w:sz="6" w:space="0" w:color="auto"/>
              <w:left w:val="nil" w:sz="6" w:space="0" w:color="auto"/>
              <w:bottom w:val="nil" w:sz="6" w:space="0" w:color="auto"/>
              <w:right w:val="nil" w:sz="6" w:space="0" w:color="auto"/>
            </w:tcBorders>
          </w:tcPr>
          <w:p>
            <w:pPr/>
          </w:p>
        </w:tc>
      </w:tr>
      <w:tr>
        <w:trPr>
          <w:trHeight w:val="374"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24" w:lineRule="exact"/>
              <w:ind w:left="427" w:right="0"/>
              <w:jc w:val="left"/>
              <w:rPr>
                <w:rFonts w:ascii="黑体" w:hAnsi="黑体" w:cs="黑体" w:eastAsia="黑体" w:hint="default"/>
                <w:sz w:val="20"/>
                <w:szCs w:val="20"/>
              </w:rPr>
            </w:pPr>
            <w:r>
              <w:rPr>
                <w:rFonts w:ascii="黑体" w:hAnsi="黑体" w:cs="黑体" w:eastAsia="黑体" w:hint="default"/>
                <w:sz w:val="20"/>
                <w:szCs w:val="20"/>
              </w:rPr>
              <w:t>少数股东收益</w:t>
            </w:r>
          </w:p>
        </w:tc>
        <w:tc>
          <w:tcPr>
            <w:tcW w:w="1214" w:type="dxa"/>
            <w:tcBorders>
              <w:top w:val="nil" w:sz="6" w:space="0" w:color="auto"/>
              <w:left w:val="nil" w:sz="6" w:space="0" w:color="auto"/>
              <w:bottom w:val="nil" w:sz="6" w:space="0" w:color="auto"/>
              <w:right w:val="nil" w:sz="6" w:space="0" w:color="auto"/>
            </w:tcBorders>
          </w:tcPr>
          <w:p>
            <w:pPr/>
          </w:p>
        </w:tc>
        <w:tc>
          <w:tcPr>
            <w:tcW w:w="1969" w:type="dxa"/>
            <w:tcBorders>
              <w:top w:val="nil" w:sz="6" w:space="0" w:color="auto"/>
              <w:left w:val="nil" w:sz="6" w:space="0" w:color="auto"/>
              <w:bottom w:val="nil" w:sz="6" w:space="0" w:color="auto"/>
              <w:right w:val="nil" w:sz="6" w:space="0" w:color="auto"/>
            </w:tcBorders>
          </w:tcPr>
          <w:p>
            <w:pPr>
              <w:pStyle w:val="TableParagraph"/>
              <w:tabs>
                <w:tab w:pos="321" w:val="left" w:leader="none"/>
              </w:tabs>
              <w:spacing w:line="240" w:lineRule="auto" w:before="8"/>
              <w:ind w:right="311"/>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spacing w:val="-1"/>
                <w:w w:val="95"/>
                <w:sz w:val="20"/>
                <w:u w:val="thick" w:color="000000"/>
              </w:rPr>
              <w:t>7,552,265</w:t>
            </w:r>
            <w:r>
              <w:rPr>
                <w:rFonts w:ascii="Arial"/>
                <w:spacing w:val="-1"/>
                <w:w w:val="95"/>
                <w:sz w:val="20"/>
              </w:rPr>
            </w:r>
            <w:r>
              <w:rPr>
                <w:rFonts w:ascii="Arial"/>
                <w:sz w:val="20"/>
              </w:rPr>
            </w:r>
          </w:p>
        </w:tc>
        <w:tc>
          <w:tcPr>
            <w:tcW w:w="1685"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8"/>
              <w:ind w:right="14"/>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spacing w:val="-1"/>
                <w:w w:val="95"/>
                <w:sz w:val="20"/>
                <w:u w:val="thick" w:color="000000"/>
              </w:rPr>
              <w:t>14,061,517</w:t>
            </w:r>
            <w:r>
              <w:rPr>
                <w:rFonts w:ascii="Arial"/>
                <w:spacing w:val="-1"/>
                <w:w w:val="95"/>
                <w:sz w:val="20"/>
              </w:rPr>
            </w:r>
            <w:r>
              <w:rPr>
                <w:rFonts w:ascii="Arial"/>
                <w:sz w:val="20"/>
              </w:rPr>
            </w:r>
          </w:p>
        </w:tc>
        <w:tc>
          <w:tcPr>
            <w:tcW w:w="282" w:type="dxa"/>
            <w:tcBorders>
              <w:top w:val="nil" w:sz="6" w:space="0" w:color="auto"/>
              <w:left w:val="nil" w:sz="6" w:space="0" w:color="auto"/>
              <w:bottom w:val="nil" w:sz="6" w:space="0" w:color="auto"/>
              <w:right w:val="nil" w:sz="6" w:space="0" w:color="auto"/>
            </w:tcBorders>
          </w:tcPr>
          <w:p>
            <w:pPr/>
          </w:p>
        </w:tc>
      </w:tr>
      <w:tr>
        <w:trPr>
          <w:trHeight w:val="485"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0"/>
              <w:jc w:val="left"/>
              <w:rPr>
                <w:rFonts w:ascii="黑体" w:hAnsi="黑体" w:cs="黑体" w:eastAsia="黑体" w:hint="default"/>
                <w:sz w:val="20"/>
                <w:szCs w:val="20"/>
              </w:rPr>
            </w:pPr>
            <w:r>
              <w:rPr>
                <w:rFonts w:ascii="黑体" w:hAnsi="黑体" w:cs="黑体" w:eastAsia="黑体" w:hint="default"/>
                <w:sz w:val="20"/>
                <w:szCs w:val="20"/>
              </w:rPr>
              <w:t>五、每股收益</w:t>
            </w:r>
          </w:p>
        </w:tc>
        <w:tc>
          <w:tcPr>
            <w:tcW w:w="1214" w:type="dxa"/>
            <w:tcBorders>
              <w:top w:val="nil" w:sz="6" w:space="0" w:color="auto"/>
              <w:left w:val="nil" w:sz="6" w:space="0" w:color="auto"/>
              <w:bottom w:val="nil" w:sz="6" w:space="0" w:color="auto"/>
              <w:right w:val="nil" w:sz="6" w:space="0" w:color="auto"/>
            </w:tcBorders>
          </w:tcPr>
          <w:p>
            <w:pPr/>
          </w:p>
        </w:tc>
        <w:tc>
          <w:tcPr>
            <w:tcW w:w="1969"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r>
      <w:tr>
        <w:trPr>
          <w:trHeight w:val="378"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before="82"/>
              <w:ind w:left="425" w:right="0"/>
              <w:jc w:val="left"/>
              <w:rPr>
                <w:rFonts w:ascii="黑体" w:hAnsi="黑体" w:cs="黑体" w:eastAsia="黑体" w:hint="default"/>
                <w:sz w:val="20"/>
                <w:szCs w:val="20"/>
              </w:rPr>
            </w:pPr>
            <w:r>
              <w:rPr>
                <w:rFonts w:ascii="黑体" w:hAnsi="黑体" w:cs="黑体" w:eastAsia="黑体" w:hint="default"/>
                <w:sz w:val="20"/>
                <w:szCs w:val="20"/>
              </w:rPr>
              <w:t>基本每股收益</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51"/>
              <w:jc w:val="center"/>
              <w:rPr>
                <w:rFonts w:ascii="Arial" w:hAnsi="Arial" w:cs="Arial" w:eastAsia="Arial" w:hint="default"/>
                <w:sz w:val="20"/>
                <w:szCs w:val="20"/>
              </w:rPr>
            </w:pPr>
            <w:r>
              <w:rPr>
                <w:rFonts w:ascii="Arial"/>
                <w:sz w:val="20"/>
              </w:rPr>
              <w:t>45</w:t>
            </w:r>
          </w:p>
        </w:tc>
        <w:tc>
          <w:tcPr>
            <w:tcW w:w="1969" w:type="dxa"/>
            <w:tcBorders>
              <w:top w:val="nil" w:sz="6" w:space="0" w:color="auto"/>
              <w:left w:val="nil" w:sz="6" w:space="0" w:color="auto"/>
              <w:bottom w:val="nil" w:sz="6" w:space="0" w:color="auto"/>
              <w:right w:val="nil" w:sz="6" w:space="0" w:color="auto"/>
            </w:tcBorders>
          </w:tcPr>
          <w:p>
            <w:pPr>
              <w:pStyle w:val="TableParagraph"/>
              <w:tabs>
                <w:tab w:pos="801" w:val="left" w:leader="none"/>
              </w:tabs>
              <w:spacing w:line="240" w:lineRule="auto" w:before="126"/>
              <w:ind w:right="311"/>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spacing w:val="-1"/>
                <w:w w:val="95"/>
                <w:sz w:val="20"/>
                <w:u w:val="thick" w:color="000000"/>
              </w:rPr>
              <w:t>0.39</w:t>
            </w:r>
            <w:r>
              <w:rPr>
                <w:rFonts w:ascii="Arial"/>
                <w:spacing w:val="-1"/>
                <w:w w:val="95"/>
                <w:sz w:val="20"/>
              </w:rPr>
            </w:r>
            <w:r>
              <w:rPr>
                <w:rFonts w:ascii="Arial"/>
                <w:sz w:val="20"/>
              </w:rPr>
            </w:r>
          </w:p>
        </w:tc>
        <w:tc>
          <w:tcPr>
            <w:tcW w:w="1685" w:type="dxa"/>
            <w:tcBorders>
              <w:top w:val="nil" w:sz="6" w:space="0" w:color="auto"/>
              <w:left w:val="nil" w:sz="6" w:space="0" w:color="auto"/>
              <w:bottom w:val="nil" w:sz="6" w:space="0" w:color="auto"/>
              <w:right w:val="nil" w:sz="6" w:space="0" w:color="auto"/>
            </w:tcBorders>
          </w:tcPr>
          <w:p>
            <w:pPr>
              <w:pStyle w:val="TableParagraph"/>
              <w:tabs>
                <w:tab w:pos="883" w:val="left" w:leader="none"/>
              </w:tabs>
              <w:spacing w:line="240" w:lineRule="auto" w:before="126"/>
              <w:ind w:right="11"/>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spacing w:val="-1"/>
                <w:w w:val="95"/>
                <w:sz w:val="20"/>
                <w:u w:val="thick" w:color="000000"/>
              </w:rPr>
              <w:t>0.55</w:t>
            </w:r>
            <w:r>
              <w:rPr>
                <w:rFonts w:ascii="Arial"/>
                <w:spacing w:val="-1"/>
                <w:w w:val="95"/>
                <w:sz w:val="20"/>
              </w:rPr>
            </w:r>
            <w:r>
              <w:rPr>
                <w:rFonts w:ascii="Arial"/>
                <w:sz w:val="20"/>
              </w:rPr>
            </w:r>
          </w:p>
        </w:tc>
        <w:tc>
          <w:tcPr>
            <w:tcW w:w="282" w:type="dxa"/>
            <w:tcBorders>
              <w:top w:val="nil" w:sz="6" w:space="0" w:color="auto"/>
              <w:left w:val="nil" w:sz="6" w:space="0" w:color="auto"/>
              <w:bottom w:val="nil" w:sz="6" w:space="0" w:color="auto"/>
              <w:right w:val="nil" w:sz="6" w:space="0" w:color="auto"/>
            </w:tcBorders>
          </w:tcPr>
          <w:p>
            <w:pPr/>
          </w:p>
        </w:tc>
      </w:tr>
      <w:tr>
        <w:trPr>
          <w:trHeight w:val="376"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26" w:lineRule="exact"/>
              <w:ind w:left="425" w:right="0"/>
              <w:jc w:val="left"/>
              <w:rPr>
                <w:rFonts w:ascii="黑体" w:hAnsi="黑体" w:cs="黑体" w:eastAsia="黑体" w:hint="default"/>
                <w:sz w:val="20"/>
                <w:szCs w:val="20"/>
              </w:rPr>
            </w:pPr>
            <w:r>
              <w:rPr>
                <w:rFonts w:ascii="黑体" w:hAnsi="黑体" w:cs="黑体" w:eastAsia="黑体" w:hint="default"/>
                <w:sz w:val="20"/>
                <w:szCs w:val="20"/>
              </w:rPr>
              <w:t>稀释每股收益</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51"/>
              <w:jc w:val="center"/>
              <w:rPr>
                <w:rFonts w:ascii="Arial" w:hAnsi="Arial" w:cs="Arial" w:eastAsia="Arial" w:hint="default"/>
                <w:sz w:val="20"/>
                <w:szCs w:val="20"/>
              </w:rPr>
            </w:pPr>
            <w:r>
              <w:rPr>
                <w:rFonts w:ascii="Arial"/>
                <w:sz w:val="20"/>
              </w:rPr>
              <w:t>45</w:t>
            </w:r>
          </w:p>
        </w:tc>
        <w:tc>
          <w:tcPr>
            <w:tcW w:w="1969" w:type="dxa"/>
            <w:tcBorders>
              <w:top w:val="nil" w:sz="6" w:space="0" w:color="auto"/>
              <w:left w:val="nil" w:sz="6" w:space="0" w:color="auto"/>
              <w:bottom w:val="nil" w:sz="6" w:space="0" w:color="auto"/>
              <w:right w:val="nil" w:sz="6" w:space="0" w:color="auto"/>
            </w:tcBorders>
          </w:tcPr>
          <w:p>
            <w:pPr>
              <w:pStyle w:val="TableParagraph"/>
              <w:tabs>
                <w:tab w:pos="801" w:val="left" w:leader="none"/>
              </w:tabs>
              <w:spacing w:line="240" w:lineRule="auto" w:before="10"/>
              <w:ind w:right="311"/>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spacing w:val="-1"/>
                <w:w w:val="95"/>
                <w:sz w:val="20"/>
                <w:u w:val="thick" w:color="000000"/>
              </w:rPr>
              <w:t>0.39</w:t>
            </w:r>
            <w:r>
              <w:rPr>
                <w:rFonts w:ascii="Arial"/>
                <w:spacing w:val="-1"/>
                <w:w w:val="95"/>
                <w:sz w:val="20"/>
              </w:rPr>
            </w:r>
            <w:r>
              <w:rPr>
                <w:rFonts w:ascii="Arial"/>
                <w:sz w:val="20"/>
              </w:rPr>
            </w:r>
          </w:p>
        </w:tc>
        <w:tc>
          <w:tcPr>
            <w:tcW w:w="1685" w:type="dxa"/>
            <w:tcBorders>
              <w:top w:val="nil" w:sz="6" w:space="0" w:color="auto"/>
              <w:left w:val="nil" w:sz="6" w:space="0" w:color="auto"/>
              <w:bottom w:val="nil" w:sz="6" w:space="0" w:color="auto"/>
              <w:right w:val="nil" w:sz="6" w:space="0" w:color="auto"/>
            </w:tcBorders>
          </w:tcPr>
          <w:p>
            <w:pPr>
              <w:pStyle w:val="TableParagraph"/>
              <w:tabs>
                <w:tab w:pos="883" w:val="left" w:leader="none"/>
              </w:tabs>
              <w:spacing w:line="240" w:lineRule="auto" w:before="10"/>
              <w:ind w:right="11"/>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spacing w:val="-1"/>
                <w:w w:val="95"/>
                <w:sz w:val="20"/>
                <w:u w:val="thick" w:color="000000"/>
              </w:rPr>
              <w:t>0.55</w:t>
            </w:r>
            <w:r>
              <w:rPr>
                <w:rFonts w:ascii="Arial"/>
                <w:spacing w:val="-1"/>
                <w:w w:val="95"/>
                <w:sz w:val="20"/>
              </w:rPr>
            </w:r>
            <w:r>
              <w:rPr>
                <w:rFonts w:ascii="Arial"/>
                <w:sz w:val="20"/>
              </w:rPr>
            </w:r>
          </w:p>
        </w:tc>
        <w:tc>
          <w:tcPr>
            <w:tcW w:w="282" w:type="dxa"/>
            <w:tcBorders>
              <w:top w:val="nil" w:sz="6" w:space="0" w:color="auto"/>
              <w:left w:val="nil" w:sz="6" w:space="0" w:color="auto"/>
              <w:bottom w:val="nil" w:sz="6" w:space="0" w:color="auto"/>
              <w:right w:val="nil" w:sz="6" w:space="0" w:color="auto"/>
            </w:tcBorders>
          </w:tcPr>
          <w:p>
            <w:pPr/>
          </w:p>
        </w:tc>
      </w:tr>
      <w:tr>
        <w:trPr>
          <w:trHeight w:val="488"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0"/>
              <w:jc w:val="left"/>
              <w:rPr>
                <w:rFonts w:ascii="黑体" w:hAnsi="黑体" w:cs="黑体" w:eastAsia="黑体" w:hint="default"/>
                <w:sz w:val="20"/>
                <w:szCs w:val="20"/>
              </w:rPr>
            </w:pPr>
            <w:r>
              <w:rPr>
                <w:rFonts w:ascii="黑体" w:hAnsi="黑体" w:cs="黑体" w:eastAsia="黑体" w:hint="default"/>
                <w:sz w:val="20"/>
                <w:szCs w:val="20"/>
              </w:rPr>
              <w:t>六、其他综合收益</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51"/>
              <w:jc w:val="center"/>
              <w:rPr>
                <w:rFonts w:ascii="Arial" w:hAnsi="Arial" w:cs="Arial" w:eastAsia="Arial" w:hint="default"/>
                <w:sz w:val="20"/>
                <w:szCs w:val="20"/>
              </w:rPr>
            </w:pPr>
            <w:r>
              <w:rPr>
                <w:rFonts w:ascii="Arial"/>
                <w:sz w:val="20"/>
              </w:rPr>
              <w:t>46</w:t>
            </w:r>
          </w:p>
        </w:tc>
        <w:tc>
          <w:tcPr>
            <w:tcW w:w="1969"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21"/>
              <w:ind w:right="310"/>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sz w:val="20"/>
                <w:u w:val="single" w:color="000000"/>
              </w:rPr>
              <w:t>1,391,504</w:t>
            </w:r>
            <w:r>
              <w:rPr>
                <w:rFonts w:ascii="Arial"/>
                <w:spacing w:val="-1"/>
                <w:sz w:val="20"/>
              </w:rPr>
            </w:r>
          </w:p>
        </w:tc>
        <w:tc>
          <w:tcPr>
            <w:tcW w:w="1685" w:type="dxa"/>
            <w:tcBorders>
              <w:top w:val="nil" w:sz="6" w:space="0" w:color="auto"/>
              <w:left w:val="nil" w:sz="6" w:space="0" w:color="auto"/>
              <w:bottom w:val="nil" w:sz="6" w:space="0" w:color="auto"/>
              <w:right w:val="nil" w:sz="6" w:space="0" w:color="auto"/>
            </w:tcBorders>
          </w:tcPr>
          <w:p>
            <w:pPr>
              <w:pStyle w:val="TableParagraph"/>
              <w:tabs>
                <w:tab w:pos="638" w:val="left" w:leader="none"/>
              </w:tabs>
              <w:spacing w:line="240" w:lineRule="auto" w:before="121"/>
              <w:ind w:right="13"/>
              <w:jc w:val="right"/>
              <w:rPr>
                <w:rFonts w:ascii="Arial" w:hAnsi="Arial" w:cs="Arial" w:eastAsia="Arial" w:hint="default"/>
                <w:sz w:val="20"/>
                <w:szCs w:val="20"/>
              </w:rPr>
            </w:pPr>
            <w:r>
              <w:rPr>
                <w:rFonts w:ascii="Arial"/>
                <w:w w:val="95"/>
                <w:sz w:val="20"/>
              </w:rPr>
              <w:t>(</w:t>
            </w:r>
            <w:r>
              <w:rPr>
                <w:rFonts w:ascii="Arial"/>
                <w:w w:val="95"/>
                <w:sz w:val="20"/>
                <w:u w:val="single" w:color="000000"/>
              </w:rPr>
              <w:t> </w:t>
              <w:tab/>
            </w:r>
            <w:r>
              <w:rPr>
                <w:rFonts w:ascii="Arial"/>
                <w:spacing w:val="-1"/>
                <w:sz w:val="20"/>
                <w:u w:val="single" w:color="000000"/>
              </w:rPr>
              <w:t>930,451</w:t>
            </w:r>
            <w:r>
              <w:rPr>
                <w:rFonts w:ascii="Arial"/>
                <w:spacing w:val="-1"/>
                <w:sz w:val="20"/>
              </w:rPr>
            </w:r>
          </w:p>
        </w:tc>
        <w:tc>
          <w:tcPr>
            <w:tcW w:w="282" w:type="dxa"/>
            <w:tcBorders>
              <w:top w:val="nil" w:sz="6" w:space="0" w:color="auto"/>
              <w:left w:val="nil" w:sz="6" w:space="0" w:color="auto"/>
              <w:bottom w:val="nil" w:sz="6" w:space="0" w:color="auto"/>
              <w:right w:val="nil" w:sz="6" w:space="0" w:color="auto"/>
            </w:tcBorders>
          </w:tcPr>
          <w:p>
            <w:pPr>
              <w:pStyle w:val="TableParagraph"/>
              <w:spacing w:line="240" w:lineRule="auto" w:before="121"/>
              <w:ind w:left="15" w:right="0"/>
              <w:jc w:val="left"/>
              <w:rPr>
                <w:rFonts w:ascii="Arial" w:hAnsi="Arial" w:cs="Arial" w:eastAsia="Arial" w:hint="default"/>
                <w:sz w:val="20"/>
                <w:szCs w:val="20"/>
              </w:rPr>
            </w:pPr>
            <w:r>
              <w:rPr>
                <w:rFonts w:ascii="Arial"/>
                <w:w w:val="99"/>
                <w:sz w:val="20"/>
              </w:rPr>
              <w:t>)</w:t>
            </w:r>
            <w:r>
              <w:rPr>
                <w:rFonts w:ascii="Arial"/>
                <w:sz w:val="20"/>
              </w:rPr>
            </w:r>
          </w:p>
        </w:tc>
      </w:tr>
      <w:tr>
        <w:trPr>
          <w:trHeight w:val="490"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0"/>
              <w:jc w:val="left"/>
              <w:rPr>
                <w:rFonts w:ascii="黑体" w:hAnsi="黑体" w:cs="黑体" w:eastAsia="黑体" w:hint="default"/>
                <w:sz w:val="20"/>
                <w:szCs w:val="20"/>
              </w:rPr>
            </w:pPr>
            <w:r>
              <w:rPr>
                <w:rFonts w:ascii="黑体" w:hAnsi="黑体" w:cs="黑体" w:eastAsia="黑体" w:hint="default"/>
                <w:sz w:val="20"/>
                <w:szCs w:val="20"/>
              </w:rPr>
              <w:t>七、综合收益总额</w:t>
            </w:r>
          </w:p>
        </w:tc>
        <w:tc>
          <w:tcPr>
            <w:tcW w:w="1214" w:type="dxa"/>
            <w:tcBorders>
              <w:top w:val="nil" w:sz="6" w:space="0" w:color="auto"/>
              <w:left w:val="nil" w:sz="6" w:space="0" w:color="auto"/>
              <w:bottom w:val="nil" w:sz="6" w:space="0" w:color="auto"/>
              <w:right w:val="nil" w:sz="6" w:space="0" w:color="auto"/>
            </w:tcBorders>
          </w:tcPr>
          <w:p>
            <w:pP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11"/>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pacing w:val="-11"/>
                <w:sz w:val="20"/>
                <w:u w:val="thick" w:color="000000"/>
              </w:rPr>
              <w:t> </w:t>
            </w:r>
            <w:r>
              <w:rPr>
                <w:rFonts w:ascii="Arial"/>
                <w:spacing w:val="-1"/>
                <w:sz w:val="20"/>
                <w:u w:val="thick" w:color="000000"/>
              </w:rPr>
              <w:t>388,545,740</w:t>
            </w:r>
            <w:r>
              <w:rPr>
                <w:rFonts w:ascii="Arial"/>
                <w:spacing w:val="-1"/>
                <w:sz w:val="20"/>
              </w:rPr>
            </w:r>
            <w:r>
              <w:rPr>
                <w:rFonts w:ascii="Arial"/>
                <w:sz w:val="20"/>
              </w:rPr>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4"/>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 </w:t>
            </w:r>
            <w:r>
              <w:rPr>
                <w:rFonts w:ascii="Arial"/>
                <w:spacing w:val="15"/>
                <w:sz w:val="20"/>
                <w:u w:val="thick" w:color="000000"/>
              </w:rPr>
              <w:t> </w:t>
            </w:r>
            <w:r>
              <w:rPr>
                <w:rFonts w:ascii="Arial"/>
                <w:spacing w:val="-1"/>
                <w:w w:val="95"/>
                <w:sz w:val="20"/>
                <w:u w:val="thick" w:color="000000"/>
              </w:rPr>
              <w:t>549,915,615</w:t>
            </w:r>
            <w:r>
              <w:rPr>
                <w:rFonts w:ascii="Arial"/>
                <w:spacing w:val="-1"/>
                <w:w w:val="95"/>
                <w:sz w:val="20"/>
              </w:rPr>
            </w:r>
            <w:r>
              <w:rPr>
                <w:rFonts w:ascii="Arial"/>
                <w:sz w:val="20"/>
              </w:rPr>
            </w:r>
          </w:p>
        </w:tc>
        <w:tc>
          <w:tcPr>
            <w:tcW w:w="282" w:type="dxa"/>
            <w:tcBorders>
              <w:top w:val="nil" w:sz="6" w:space="0" w:color="auto"/>
              <w:left w:val="nil" w:sz="6" w:space="0" w:color="auto"/>
              <w:bottom w:val="nil" w:sz="6" w:space="0" w:color="auto"/>
              <w:right w:val="nil" w:sz="6" w:space="0" w:color="auto"/>
            </w:tcBorders>
          </w:tcPr>
          <w:p>
            <w:pPr/>
          </w:p>
        </w:tc>
      </w:tr>
      <w:tr>
        <w:trPr>
          <w:trHeight w:val="371"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0"/>
              <w:jc w:val="left"/>
              <w:rPr>
                <w:rFonts w:ascii="黑体" w:hAnsi="黑体" w:cs="黑体" w:eastAsia="黑体" w:hint="default"/>
                <w:sz w:val="20"/>
                <w:szCs w:val="20"/>
              </w:rPr>
            </w:pPr>
            <w:r>
              <w:rPr>
                <w:rFonts w:ascii="黑体" w:hAnsi="黑体" w:cs="黑体" w:eastAsia="黑体" w:hint="default"/>
                <w:sz w:val="20"/>
                <w:szCs w:val="20"/>
              </w:rPr>
              <w:t>其中：</w:t>
            </w:r>
          </w:p>
        </w:tc>
        <w:tc>
          <w:tcPr>
            <w:tcW w:w="1214" w:type="dxa"/>
            <w:tcBorders>
              <w:top w:val="nil" w:sz="6" w:space="0" w:color="auto"/>
              <w:left w:val="nil" w:sz="6" w:space="0" w:color="auto"/>
              <w:bottom w:val="nil" w:sz="6" w:space="0" w:color="auto"/>
              <w:right w:val="nil" w:sz="6" w:space="0" w:color="auto"/>
            </w:tcBorders>
          </w:tcPr>
          <w:p>
            <w:pPr/>
          </w:p>
        </w:tc>
        <w:tc>
          <w:tcPr>
            <w:tcW w:w="1969" w:type="dxa"/>
            <w:tcBorders>
              <w:top w:val="nil" w:sz="6" w:space="0" w:color="auto"/>
              <w:left w:val="nil" w:sz="6" w:space="0" w:color="auto"/>
              <w:bottom w:val="nil" w:sz="6" w:space="0" w:color="auto"/>
              <w:right w:val="nil" w:sz="6" w:space="0" w:color="auto"/>
            </w:tcBorders>
          </w:tcPr>
          <w:p>
            <w:pPr/>
          </w:p>
        </w:tc>
        <w:tc>
          <w:tcPr>
            <w:tcW w:w="1685"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r>
      <w:tr>
        <w:trPr>
          <w:trHeight w:val="263"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29" w:lineRule="exact"/>
              <w:ind w:right="0"/>
              <w:jc w:val="left"/>
              <w:rPr>
                <w:rFonts w:ascii="黑体" w:hAnsi="黑体" w:cs="黑体" w:eastAsia="黑体" w:hint="default"/>
                <w:sz w:val="20"/>
                <w:szCs w:val="20"/>
              </w:rPr>
            </w:pPr>
            <w:r>
              <w:rPr>
                <w:rFonts w:ascii="黑体" w:hAnsi="黑体" w:cs="黑体" w:eastAsia="黑体" w:hint="default"/>
                <w:sz w:val="20"/>
                <w:szCs w:val="20"/>
              </w:rPr>
              <w:t>归属于母公司股东的综合收益总额</w:t>
            </w:r>
          </w:p>
        </w:tc>
        <w:tc>
          <w:tcPr>
            <w:tcW w:w="1214" w:type="dxa"/>
            <w:tcBorders>
              <w:top w:val="nil" w:sz="6" w:space="0" w:color="auto"/>
              <w:left w:val="nil" w:sz="6" w:space="0" w:color="auto"/>
              <w:bottom w:val="nil" w:sz="6" w:space="0" w:color="auto"/>
              <w:right w:val="nil" w:sz="6" w:space="0" w:color="auto"/>
            </w:tcBorders>
          </w:tcPr>
          <w:p>
            <w:pPr/>
          </w:p>
        </w:tc>
        <w:tc>
          <w:tcPr>
            <w:tcW w:w="196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11"/>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pacing w:val="-11"/>
                <w:sz w:val="20"/>
                <w:u w:val="thick" w:color="000000"/>
              </w:rPr>
              <w:t> </w:t>
            </w:r>
            <w:r>
              <w:rPr>
                <w:rFonts w:ascii="Arial"/>
                <w:spacing w:val="-1"/>
                <w:sz w:val="20"/>
                <w:u w:val="thick" w:color="000000"/>
              </w:rPr>
              <w:t>380,991,972</w:t>
            </w:r>
            <w:r>
              <w:rPr>
                <w:rFonts w:ascii="Arial"/>
                <w:spacing w:val="-1"/>
                <w:sz w:val="20"/>
              </w:rPr>
            </w:r>
            <w:r>
              <w:rPr>
                <w:rFonts w:ascii="Arial"/>
                <w:sz w:val="20"/>
              </w:rPr>
            </w:r>
          </w:p>
        </w:tc>
        <w:tc>
          <w:tcPr>
            <w:tcW w:w="168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4"/>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 </w:t>
            </w:r>
            <w:r>
              <w:rPr>
                <w:rFonts w:ascii="Arial"/>
                <w:spacing w:val="15"/>
                <w:sz w:val="20"/>
                <w:u w:val="thick" w:color="000000"/>
              </w:rPr>
              <w:t> </w:t>
            </w:r>
            <w:r>
              <w:rPr>
                <w:rFonts w:ascii="Arial"/>
                <w:spacing w:val="-1"/>
                <w:w w:val="95"/>
                <w:sz w:val="20"/>
                <w:u w:val="thick" w:color="000000"/>
              </w:rPr>
              <w:t>535,854,098</w:t>
            </w:r>
            <w:r>
              <w:rPr>
                <w:rFonts w:ascii="Arial"/>
                <w:spacing w:val="-1"/>
                <w:w w:val="95"/>
                <w:sz w:val="20"/>
              </w:rPr>
            </w:r>
            <w:r>
              <w:rPr>
                <w:rFonts w:ascii="Arial"/>
                <w:sz w:val="20"/>
              </w:rPr>
            </w:r>
          </w:p>
        </w:tc>
        <w:tc>
          <w:tcPr>
            <w:tcW w:w="282" w:type="dxa"/>
            <w:tcBorders>
              <w:top w:val="nil" w:sz="6" w:space="0" w:color="auto"/>
              <w:left w:val="nil" w:sz="6" w:space="0" w:color="auto"/>
              <w:bottom w:val="nil" w:sz="6" w:space="0" w:color="auto"/>
              <w:right w:val="nil" w:sz="6" w:space="0" w:color="auto"/>
            </w:tcBorders>
          </w:tcPr>
          <w:p>
            <w:pPr/>
          </w:p>
        </w:tc>
      </w:tr>
      <w:tr>
        <w:trPr>
          <w:trHeight w:val="233" w:hRule="exact"/>
        </w:trPr>
        <w:tc>
          <w:tcPr>
            <w:tcW w:w="3649" w:type="dxa"/>
            <w:tcBorders>
              <w:top w:val="nil" w:sz="6" w:space="0" w:color="auto"/>
              <w:left w:val="nil" w:sz="6" w:space="0" w:color="auto"/>
              <w:bottom w:val="nil" w:sz="6" w:space="0" w:color="auto"/>
              <w:right w:val="nil" w:sz="6" w:space="0" w:color="auto"/>
            </w:tcBorders>
          </w:tcPr>
          <w:p>
            <w:pPr>
              <w:pStyle w:val="TableParagraph"/>
              <w:spacing w:line="226" w:lineRule="exact"/>
              <w:ind w:right="0"/>
              <w:jc w:val="left"/>
              <w:rPr>
                <w:rFonts w:ascii="黑体" w:hAnsi="黑体" w:cs="黑体" w:eastAsia="黑体" w:hint="default"/>
                <w:sz w:val="20"/>
                <w:szCs w:val="20"/>
              </w:rPr>
            </w:pPr>
            <w:r>
              <w:rPr>
                <w:rFonts w:ascii="黑体" w:hAnsi="黑体" w:cs="黑体" w:eastAsia="黑体" w:hint="default"/>
                <w:sz w:val="20"/>
                <w:szCs w:val="20"/>
              </w:rPr>
              <w:t>归属于少数股东的综合收益总额</w:t>
            </w:r>
          </w:p>
        </w:tc>
        <w:tc>
          <w:tcPr>
            <w:tcW w:w="1214" w:type="dxa"/>
            <w:tcBorders>
              <w:top w:val="nil" w:sz="6" w:space="0" w:color="auto"/>
              <w:left w:val="nil" w:sz="6" w:space="0" w:color="auto"/>
              <w:bottom w:val="nil" w:sz="6" w:space="0" w:color="auto"/>
              <w:right w:val="nil" w:sz="6" w:space="0" w:color="auto"/>
            </w:tcBorders>
          </w:tcPr>
          <w:p>
            <w:pPr/>
          </w:p>
        </w:tc>
        <w:tc>
          <w:tcPr>
            <w:tcW w:w="1969" w:type="dxa"/>
            <w:tcBorders>
              <w:top w:val="nil" w:sz="6" w:space="0" w:color="auto"/>
              <w:left w:val="nil" w:sz="6" w:space="0" w:color="auto"/>
              <w:bottom w:val="nil" w:sz="6" w:space="0" w:color="auto"/>
              <w:right w:val="nil" w:sz="6" w:space="0" w:color="auto"/>
            </w:tcBorders>
          </w:tcPr>
          <w:p>
            <w:pPr>
              <w:pStyle w:val="TableParagraph"/>
              <w:tabs>
                <w:tab w:pos="321" w:val="left" w:leader="none"/>
              </w:tabs>
              <w:spacing w:line="240" w:lineRule="auto" w:before="7"/>
              <w:ind w:right="311"/>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spacing w:val="-1"/>
                <w:w w:val="95"/>
                <w:sz w:val="20"/>
                <w:u w:val="thick" w:color="000000"/>
              </w:rPr>
              <w:t>7,553,768</w:t>
            </w:r>
            <w:r>
              <w:rPr>
                <w:rFonts w:ascii="Arial"/>
                <w:spacing w:val="-1"/>
                <w:w w:val="95"/>
                <w:sz w:val="20"/>
              </w:rPr>
            </w:r>
            <w:r>
              <w:rPr>
                <w:rFonts w:ascii="Arial"/>
                <w:sz w:val="20"/>
              </w:rPr>
            </w:r>
          </w:p>
        </w:tc>
        <w:tc>
          <w:tcPr>
            <w:tcW w:w="1685" w:type="dxa"/>
            <w:tcBorders>
              <w:top w:val="nil" w:sz="6" w:space="0" w:color="auto"/>
              <w:left w:val="nil" w:sz="6" w:space="0" w:color="auto"/>
              <w:bottom w:val="nil" w:sz="6" w:space="0" w:color="auto"/>
              <w:right w:val="nil" w:sz="6" w:space="0" w:color="auto"/>
            </w:tcBorders>
          </w:tcPr>
          <w:p>
            <w:pPr>
              <w:pStyle w:val="TableParagraph"/>
              <w:tabs>
                <w:tab w:pos="283" w:val="left" w:leader="none"/>
              </w:tabs>
              <w:spacing w:line="240" w:lineRule="auto" w:before="7"/>
              <w:ind w:right="13"/>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spacing w:val="-1"/>
                <w:w w:val="95"/>
                <w:sz w:val="20"/>
                <w:u w:val="thick" w:color="000000"/>
              </w:rPr>
              <w:t>14,061,517</w:t>
            </w:r>
            <w:r>
              <w:rPr>
                <w:rFonts w:ascii="Arial"/>
                <w:spacing w:val="-1"/>
                <w:w w:val="95"/>
                <w:sz w:val="20"/>
              </w:rPr>
            </w:r>
            <w:r>
              <w:rPr>
                <w:rFonts w:ascii="Arial"/>
                <w:spacing w:val="-1"/>
                <w:sz w:val="20"/>
              </w:rPr>
            </w:r>
          </w:p>
        </w:tc>
        <w:tc>
          <w:tcPr>
            <w:tcW w:w="282" w:type="dxa"/>
            <w:tcBorders>
              <w:top w:val="nil" w:sz="6" w:space="0" w:color="auto"/>
              <w:left w:val="nil" w:sz="6" w:space="0" w:color="auto"/>
              <w:bottom w:val="nil" w:sz="6" w:space="0" w:color="auto"/>
              <w:right w:val="nil" w:sz="6" w:space="0" w:color="auto"/>
            </w:tcBorders>
          </w:tcPr>
          <w:p>
            <w:pPr/>
          </w:p>
        </w:tc>
      </w:tr>
    </w:tbl>
    <w:p>
      <w:pPr>
        <w:spacing w:after="0"/>
        <w:sectPr>
          <w:pgSz w:w="11910" w:h="16850"/>
          <w:pgMar w:header="957" w:footer="823" w:top="1160" w:bottom="1020" w:left="1600" w:right="1300"/>
        </w:sectPr>
      </w:pPr>
    </w:p>
    <w:p>
      <w:pPr>
        <w:pStyle w:val="Heading4"/>
        <w:spacing w:line="292" w:lineRule="auto"/>
        <w:ind w:left="7644" w:right="7269" w:hanging="500"/>
        <w:jc w:val="left"/>
        <w:rPr>
          <w:b w:val="0"/>
          <w:bCs w:val="0"/>
        </w:rPr>
      </w:pPr>
      <w:r>
        <w:rPr/>
        <w:t>合并股东权益变动表</w:t>
      </w:r>
      <w:r>
        <w:rPr>
          <w:w w:val="99"/>
        </w:rPr>
        <w:t> </w:t>
      </w:r>
      <w:r>
        <w:rPr>
          <w:rFonts w:ascii="Arial" w:hAnsi="Arial" w:cs="Arial" w:eastAsia="Arial" w:hint="default"/>
        </w:rPr>
        <w:t>2012</w:t>
      </w:r>
      <w:r>
        <w:rPr>
          <w:rFonts w:ascii="Arial" w:hAnsi="Arial" w:cs="Arial" w:eastAsia="Arial" w:hint="default"/>
          <w:spacing w:val="-8"/>
        </w:rPr>
        <w:t> </w:t>
      </w:r>
      <w:r>
        <w:rPr/>
        <w:t>年度</w:t>
      </w:r>
      <w:r>
        <w:rPr>
          <w:w w:val="99"/>
        </w:rPr>
        <w:t> </w:t>
      </w:r>
      <w:r>
        <w:rPr/>
        <w:t>人民币元</w:t>
      </w:r>
      <w:r>
        <w:rPr>
          <w:b w:val="0"/>
          <w:bCs w:val="0"/>
        </w:rPr>
      </w:r>
    </w:p>
    <w:p>
      <w:pPr>
        <w:spacing w:line="240" w:lineRule="auto" w:before="13"/>
        <w:rPr>
          <w:rFonts w:ascii="黑体" w:hAnsi="黑体" w:cs="黑体" w:eastAsia="黑体" w:hint="default"/>
          <w:b/>
          <w:bCs/>
          <w:sz w:val="14"/>
          <w:szCs w:val="14"/>
        </w:rPr>
      </w:pPr>
    </w:p>
    <w:p>
      <w:pPr>
        <w:spacing w:line="20" w:lineRule="exact"/>
        <w:ind w:left="555" w:right="0" w:firstLine="0"/>
        <w:rPr>
          <w:rFonts w:ascii="黑体" w:hAnsi="黑体" w:cs="黑体" w:eastAsia="黑体" w:hint="default"/>
          <w:sz w:val="2"/>
          <w:szCs w:val="2"/>
        </w:rPr>
      </w:pPr>
      <w:r>
        <w:rPr>
          <w:rFonts w:ascii="黑体" w:hAnsi="黑体" w:cs="黑体" w:eastAsia="黑体" w:hint="default"/>
          <w:sz w:val="2"/>
          <w:szCs w:val="2"/>
        </w:rPr>
        <w:pict>
          <v:group style="width:758.25pt;height:.75pt;mso-position-horizontal-relative:char;mso-position-vertical-relative:line" coordorigin="0,0" coordsize="15165,15">
            <v:group style="position:absolute;left:8;top:8;width:15150;height:2" coordorigin="8,8" coordsize="15150,2">
              <v:shape style="position:absolute;left:8;top:8;width:15150;height:2" coordorigin="8,8" coordsize="15150,0" path="m8,8l15158,8e" filled="false" stroked="true" strokeweight=".75pt" strokecolor="#000000">
                <v:path arrowok="t"/>
              </v:shape>
            </v:group>
          </v:group>
        </w:pict>
      </w:r>
      <w:r>
        <w:rPr>
          <w:rFonts w:ascii="黑体" w:hAnsi="黑体" w:cs="黑体" w:eastAsia="黑体" w:hint="default"/>
          <w:sz w:val="2"/>
          <w:szCs w:val="2"/>
        </w:rPr>
      </w:r>
    </w:p>
    <w:p>
      <w:pPr>
        <w:spacing w:line="240" w:lineRule="auto" w:before="8"/>
        <w:rPr>
          <w:rFonts w:ascii="黑体" w:hAnsi="黑体" w:cs="黑体" w:eastAsia="黑体" w:hint="default"/>
          <w:b/>
          <w:bCs/>
          <w:sz w:val="3"/>
          <w:szCs w:val="3"/>
        </w:rPr>
      </w:pPr>
    </w:p>
    <w:tbl>
      <w:tblPr>
        <w:tblW w:w="0" w:type="auto"/>
        <w:jc w:val="left"/>
        <w:tblInd w:w="119" w:type="dxa"/>
        <w:tblLayout w:type="fixed"/>
        <w:tblCellMar>
          <w:top w:w="0" w:type="dxa"/>
          <w:left w:w="0" w:type="dxa"/>
          <w:bottom w:w="0" w:type="dxa"/>
          <w:right w:w="0" w:type="dxa"/>
        </w:tblCellMar>
        <w:tblLook w:val="01E0"/>
      </w:tblPr>
      <w:tblGrid>
        <w:gridCol w:w="2860"/>
        <w:gridCol w:w="1426"/>
        <w:gridCol w:w="1519"/>
        <w:gridCol w:w="2794"/>
        <w:gridCol w:w="1369"/>
        <w:gridCol w:w="1795"/>
        <w:gridCol w:w="1340"/>
        <w:gridCol w:w="1600"/>
        <w:gridCol w:w="1414"/>
      </w:tblGrid>
      <w:tr>
        <w:trPr>
          <w:trHeight w:val="595" w:hRule="exact"/>
        </w:trPr>
        <w:tc>
          <w:tcPr>
            <w:tcW w:w="5805" w:type="dxa"/>
            <w:gridSpan w:val="3"/>
            <w:tcBorders>
              <w:top w:val="nil" w:sz="6" w:space="0" w:color="auto"/>
              <w:left w:val="nil" w:sz="6" w:space="0" w:color="auto"/>
              <w:bottom w:val="nil" w:sz="6" w:space="0" w:color="auto"/>
              <w:right w:val="nil" w:sz="6" w:space="0" w:color="auto"/>
            </w:tcBorders>
          </w:tcPr>
          <w:p>
            <w:pPr/>
          </w:p>
        </w:tc>
        <w:tc>
          <w:tcPr>
            <w:tcW w:w="279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878" w:right="0"/>
              <w:jc w:val="center"/>
              <w:rPr>
                <w:rFonts w:ascii="黑体" w:hAnsi="黑体" w:cs="黑体" w:eastAsia="黑体" w:hint="default"/>
                <w:sz w:val="18"/>
                <w:szCs w:val="18"/>
              </w:rPr>
            </w:pPr>
            <w:r>
              <w:rPr>
                <w:rFonts w:ascii="Arial" w:hAnsi="Arial" w:cs="Arial" w:eastAsia="Arial" w:hint="default"/>
                <w:b/>
                <w:bCs/>
                <w:sz w:val="18"/>
                <w:szCs w:val="18"/>
              </w:rPr>
              <w:t>2012</w:t>
            </w:r>
            <w:r>
              <w:rPr>
                <w:rFonts w:ascii="黑体" w:hAnsi="黑体" w:cs="黑体" w:eastAsia="黑体" w:hint="default"/>
                <w:b/>
                <w:bCs/>
                <w:sz w:val="18"/>
                <w:szCs w:val="18"/>
              </w:rPr>
              <w:t>年</w:t>
            </w:r>
            <w:r>
              <w:rPr>
                <w:rFonts w:ascii="黑体" w:hAnsi="黑体" w:cs="黑体" w:eastAsia="黑体" w:hint="default"/>
                <w:sz w:val="18"/>
                <w:szCs w:val="18"/>
              </w:rPr>
            </w:r>
          </w:p>
          <w:p>
            <w:pPr>
              <w:pStyle w:val="TableParagraph"/>
              <w:spacing w:line="240" w:lineRule="auto" w:before="6"/>
              <w:ind w:left="875" w:right="0"/>
              <w:jc w:val="center"/>
              <w:rPr>
                <w:rFonts w:ascii="黑体" w:hAnsi="黑体" w:cs="黑体" w:eastAsia="黑体" w:hint="default"/>
                <w:sz w:val="18"/>
                <w:szCs w:val="18"/>
              </w:rPr>
            </w:pPr>
            <w:r>
              <w:rPr>
                <w:rFonts w:ascii="黑体" w:hAnsi="黑体" w:cs="黑体" w:eastAsia="黑体" w:hint="default"/>
                <w:b/>
                <w:bCs/>
                <w:sz w:val="18"/>
                <w:szCs w:val="18"/>
              </w:rPr>
              <w:t>归属于母公司股东权益</w:t>
            </w:r>
            <w:r>
              <w:rPr>
                <w:rFonts w:ascii="黑体" w:hAnsi="黑体" w:cs="黑体" w:eastAsia="黑体" w:hint="default"/>
                <w:sz w:val="18"/>
                <w:szCs w:val="18"/>
              </w:rPr>
            </w:r>
          </w:p>
        </w:tc>
        <w:tc>
          <w:tcPr>
            <w:tcW w:w="1369" w:type="dxa"/>
            <w:tcBorders>
              <w:top w:val="nil" w:sz="6" w:space="0" w:color="auto"/>
              <w:left w:val="nil" w:sz="6" w:space="0" w:color="auto"/>
              <w:bottom w:val="single" w:sz="4" w:space="0" w:color="000000"/>
              <w:right w:val="nil" w:sz="6" w:space="0" w:color="auto"/>
            </w:tcBorders>
          </w:tcPr>
          <w:p>
            <w:pPr/>
          </w:p>
        </w:tc>
        <w:tc>
          <w:tcPr>
            <w:tcW w:w="1795" w:type="dxa"/>
            <w:tcBorders>
              <w:top w:val="nil" w:sz="6" w:space="0" w:color="auto"/>
              <w:left w:val="nil" w:sz="6" w:space="0" w:color="auto"/>
              <w:bottom w:val="single" w:sz="4" w:space="0" w:color="000000"/>
              <w:right w:val="nil" w:sz="6" w:space="0" w:color="auto"/>
            </w:tcBorders>
          </w:tcPr>
          <w:p>
            <w:pPr/>
          </w:p>
        </w:tc>
        <w:tc>
          <w:tcPr>
            <w:tcW w:w="1340" w:type="dxa"/>
            <w:tcBorders>
              <w:top w:val="nil" w:sz="6" w:space="0" w:color="auto"/>
              <w:left w:val="nil" w:sz="6" w:space="0" w:color="auto"/>
              <w:bottom w:val="single" w:sz="4" w:space="0" w:color="000000"/>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b/>
                <w:bCs/>
                <w:sz w:val="24"/>
                <w:szCs w:val="24"/>
              </w:rPr>
            </w:pPr>
          </w:p>
          <w:p>
            <w:pPr>
              <w:pStyle w:val="TableParagraph"/>
              <w:spacing w:line="240" w:lineRule="auto"/>
              <w:ind w:left="374" w:right="0"/>
              <w:jc w:val="left"/>
              <w:rPr>
                <w:rFonts w:ascii="黑体" w:hAnsi="黑体" w:cs="黑体" w:eastAsia="黑体" w:hint="default"/>
                <w:sz w:val="18"/>
                <w:szCs w:val="18"/>
              </w:rPr>
            </w:pPr>
            <w:r>
              <w:rPr>
                <w:rFonts w:ascii="黑体" w:hAnsi="黑体" w:cs="黑体" w:eastAsia="黑体" w:hint="default"/>
                <w:sz w:val="18"/>
                <w:szCs w:val="18"/>
              </w:rPr>
              <w:t>少数股东权益</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b/>
                <w:bCs/>
                <w:sz w:val="24"/>
                <w:szCs w:val="24"/>
              </w:rPr>
            </w:pPr>
          </w:p>
          <w:p>
            <w:pPr>
              <w:pStyle w:val="TableParagraph"/>
              <w:spacing w:line="240" w:lineRule="auto"/>
              <w:ind w:right="33"/>
              <w:jc w:val="right"/>
              <w:rPr>
                <w:rFonts w:ascii="黑体" w:hAnsi="黑体" w:cs="黑体" w:eastAsia="黑体" w:hint="default"/>
                <w:sz w:val="18"/>
                <w:szCs w:val="18"/>
              </w:rPr>
            </w:pPr>
            <w:r>
              <w:rPr>
                <w:rFonts w:ascii="黑体" w:hAnsi="黑体" w:cs="黑体" w:eastAsia="黑体" w:hint="default"/>
                <w:sz w:val="18"/>
                <w:szCs w:val="18"/>
              </w:rPr>
              <w:t>股东权益合计</w:t>
            </w:r>
          </w:p>
        </w:tc>
      </w:tr>
      <w:tr>
        <w:trPr>
          <w:trHeight w:val="371" w:hRule="exact"/>
        </w:trPr>
        <w:tc>
          <w:tcPr>
            <w:tcW w:w="2860" w:type="dxa"/>
            <w:tcBorders>
              <w:top w:val="nil" w:sz="6" w:space="0" w:color="auto"/>
              <w:left w:val="nil" w:sz="6" w:space="0" w:color="auto"/>
              <w:bottom w:val="nil" w:sz="6" w:space="0" w:color="auto"/>
              <w:right w:val="nil" w:sz="6" w:space="0" w:color="auto"/>
            </w:tcBorders>
          </w:tcPr>
          <w:p>
            <w:pPr/>
          </w:p>
        </w:tc>
        <w:tc>
          <w:tcPr>
            <w:tcW w:w="1426" w:type="dxa"/>
            <w:tcBorders>
              <w:top w:val="single" w:sz="4" w:space="0" w:color="000000"/>
              <w:left w:val="nil" w:sz="6" w:space="0" w:color="auto"/>
              <w:bottom w:val="nil" w:sz="6" w:space="0" w:color="auto"/>
              <w:right w:val="nil" w:sz="6" w:space="0" w:color="auto"/>
            </w:tcBorders>
          </w:tcPr>
          <w:p>
            <w:pPr>
              <w:pStyle w:val="TableParagraph"/>
              <w:spacing w:line="220" w:lineRule="exact"/>
              <w:ind w:right="182"/>
              <w:jc w:val="right"/>
              <w:rPr>
                <w:rFonts w:ascii="黑体" w:hAnsi="黑体" w:cs="黑体" w:eastAsia="黑体" w:hint="default"/>
                <w:sz w:val="18"/>
                <w:szCs w:val="18"/>
              </w:rPr>
            </w:pPr>
            <w:r>
              <w:rPr>
                <w:rFonts w:ascii="黑体" w:hAnsi="黑体" w:cs="黑体" w:eastAsia="黑体" w:hint="default"/>
                <w:sz w:val="18"/>
                <w:szCs w:val="18"/>
              </w:rPr>
              <w:t>股本</w:t>
            </w:r>
          </w:p>
        </w:tc>
        <w:tc>
          <w:tcPr>
            <w:tcW w:w="1519" w:type="dxa"/>
            <w:tcBorders>
              <w:top w:val="single" w:sz="4" w:space="0" w:color="000000"/>
              <w:left w:val="nil" w:sz="6" w:space="0" w:color="auto"/>
              <w:bottom w:val="nil" w:sz="6" w:space="0" w:color="auto"/>
              <w:right w:val="nil" w:sz="6" w:space="0" w:color="auto"/>
            </w:tcBorders>
          </w:tcPr>
          <w:p>
            <w:pPr>
              <w:pStyle w:val="TableParagraph"/>
              <w:spacing w:line="220" w:lineRule="exact"/>
              <w:ind w:right="317"/>
              <w:jc w:val="right"/>
              <w:rPr>
                <w:rFonts w:ascii="黑体" w:hAnsi="黑体" w:cs="黑体" w:eastAsia="黑体" w:hint="default"/>
                <w:sz w:val="18"/>
                <w:szCs w:val="18"/>
              </w:rPr>
            </w:pPr>
            <w:r>
              <w:rPr>
                <w:rFonts w:ascii="黑体" w:hAnsi="黑体" w:cs="黑体" w:eastAsia="黑体" w:hint="default"/>
                <w:sz w:val="18"/>
                <w:szCs w:val="18"/>
              </w:rPr>
              <w:t>资本公积</w:t>
            </w:r>
          </w:p>
        </w:tc>
        <w:tc>
          <w:tcPr>
            <w:tcW w:w="2794" w:type="dxa"/>
            <w:tcBorders>
              <w:top w:val="single" w:sz="4" w:space="0" w:color="000000"/>
              <w:left w:val="nil" w:sz="6" w:space="0" w:color="auto"/>
              <w:bottom w:val="nil" w:sz="6" w:space="0" w:color="auto"/>
              <w:right w:val="nil" w:sz="6" w:space="0" w:color="auto"/>
            </w:tcBorders>
          </w:tcPr>
          <w:p>
            <w:pPr>
              <w:pStyle w:val="TableParagraph"/>
              <w:tabs>
                <w:tab w:pos="1783" w:val="left" w:leader="none"/>
              </w:tabs>
              <w:spacing w:line="218" w:lineRule="exact"/>
              <w:ind w:left="259" w:right="0"/>
              <w:jc w:val="left"/>
              <w:rPr>
                <w:rFonts w:ascii="黑体" w:hAnsi="黑体" w:cs="黑体" w:eastAsia="黑体" w:hint="default"/>
                <w:sz w:val="18"/>
                <w:szCs w:val="18"/>
              </w:rPr>
            </w:pPr>
            <w:r>
              <w:rPr>
                <w:rFonts w:ascii="黑体" w:hAnsi="黑体" w:cs="黑体" w:eastAsia="黑体" w:hint="default"/>
                <w:sz w:val="18"/>
                <w:szCs w:val="18"/>
              </w:rPr>
              <w:t>减：库存股</w:t>
              <w:tab/>
            </w:r>
            <w:r>
              <w:rPr>
                <w:rFonts w:ascii="黑体" w:hAnsi="黑体" w:cs="黑体" w:eastAsia="黑体" w:hint="default"/>
                <w:position w:val="-1"/>
                <w:sz w:val="18"/>
                <w:szCs w:val="18"/>
              </w:rPr>
              <w:t>盈余公积</w:t>
            </w:r>
            <w:r>
              <w:rPr>
                <w:rFonts w:ascii="黑体" w:hAnsi="黑体" w:cs="黑体" w:eastAsia="黑体" w:hint="default"/>
                <w:sz w:val="18"/>
                <w:szCs w:val="18"/>
              </w:rPr>
            </w:r>
          </w:p>
        </w:tc>
        <w:tc>
          <w:tcPr>
            <w:tcW w:w="1369" w:type="dxa"/>
            <w:tcBorders>
              <w:top w:val="single" w:sz="4" w:space="0" w:color="000000"/>
              <w:left w:val="nil" w:sz="6" w:space="0" w:color="auto"/>
              <w:bottom w:val="nil" w:sz="6" w:space="0" w:color="auto"/>
              <w:right w:val="nil" w:sz="6" w:space="0" w:color="auto"/>
            </w:tcBorders>
          </w:tcPr>
          <w:p>
            <w:pPr>
              <w:pStyle w:val="TableParagraph"/>
              <w:spacing w:line="220" w:lineRule="exact"/>
              <w:ind w:right="131"/>
              <w:jc w:val="right"/>
              <w:rPr>
                <w:rFonts w:ascii="黑体" w:hAnsi="黑体" w:cs="黑体" w:eastAsia="黑体" w:hint="default"/>
                <w:sz w:val="18"/>
                <w:szCs w:val="18"/>
              </w:rPr>
            </w:pPr>
            <w:r>
              <w:rPr>
                <w:rFonts w:ascii="黑体" w:hAnsi="黑体" w:cs="黑体" w:eastAsia="黑体" w:hint="default"/>
                <w:sz w:val="18"/>
                <w:szCs w:val="18"/>
              </w:rPr>
              <w:t>未分配利润</w:t>
            </w:r>
          </w:p>
        </w:tc>
        <w:tc>
          <w:tcPr>
            <w:tcW w:w="1795" w:type="dxa"/>
            <w:tcBorders>
              <w:top w:val="single" w:sz="4" w:space="0" w:color="000000"/>
              <w:left w:val="nil" w:sz="6" w:space="0" w:color="auto"/>
              <w:bottom w:val="nil" w:sz="6" w:space="0" w:color="auto"/>
              <w:right w:val="nil" w:sz="6" w:space="0" w:color="auto"/>
            </w:tcBorders>
          </w:tcPr>
          <w:p>
            <w:pPr>
              <w:pStyle w:val="TableParagraph"/>
              <w:spacing w:line="220" w:lineRule="exact"/>
              <w:ind w:right="222"/>
              <w:jc w:val="right"/>
              <w:rPr>
                <w:rFonts w:ascii="黑体" w:hAnsi="黑体" w:cs="黑体" w:eastAsia="黑体" w:hint="default"/>
                <w:sz w:val="18"/>
                <w:szCs w:val="18"/>
              </w:rPr>
            </w:pPr>
            <w:r>
              <w:rPr>
                <w:rFonts w:ascii="黑体" w:hAnsi="黑体" w:cs="黑体" w:eastAsia="黑体" w:hint="default"/>
                <w:sz w:val="18"/>
                <w:szCs w:val="18"/>
              </w:rPr>
              <w:t>外币报表折算差额</w:t>
            </w:r>
          </w:p>
        </w:tc>
        <w:tc>
          <w:tcPr>
            <w:tcW w:w="1340" w:type="dxa"/>
            <w:tcBorders>
              <w:top w:val="single" w:sz="4" w:space="0" w:color="000000"/>
              <w:left w:val="nil" w:sz="6" w:space="0" w:color="auto"/>
              <w:bottom w:val="nil" w:sz="6" w:space="0" w:color="auto"/>
              <w:right w:val="nil" w:sz="6" w:space="0" w:color="auto"/>
            </w:tcBorders>
          </w:tcPr>
          <w:p>
            <w:pPr>
              <w:pStyle w:val="TableParagraph"/>
              <w:spacing w:line="220" w:lineRule="exact"/>
              <w:ind w:right="14"/>
              <w:jc w:val="right"/>
              <w:rPr>
                <w:rFonts w:ascii="黑体" w:hAnsi="黑体" w:cs="黑体" w:eastAsia="黑体" w:hint="default"/>
                <w:sz w:val="18"/>
                <w:szCs w:val="18"/>
              </w:rPr>
            </w:pPr>
            <w:r>
              <w:rPr>
                <w:rFonts w:ascii="黑体" w:hAnsi="黑体" w:cs="黑体" w:eastAsia="黑体" w:hint="default"/>
                <w:sz w:val="18"/>
                <w:szCs w:val="18"/>
              </w:rPr>
              <w:t>小计</w:t>
            </w:r>
          </w:p>
        </w:tc>
        <w:tc>
          <w:tcPr>
            <w:tcW w:w="1600"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r>
      <w:tr>
        <w:trPr>
          <w:trHeight w:val="916" w:hRule="exact"/>
        </w:trPr>
        <w:tc>
          <w:tcPr>
            <w:tcW w:w="2860" w:type="dxa"/>
            <w:tcBorders>
              <w:top w:val="nil" w:sz="6" w:space="0" w:color="auto"/>
              <w:left w:val="nil" w:sz="6" w:space="0" w:color="auto"/>
              <w:bottom w:val="nil" w:sz="6" w:space="0" w:color="auto"/>
              <w:right w:val="nil" w:sz="6" w:space="0" w:color="auto"/>
            </w:tcBorders>
          </w:tcPr>
          <w:p>
            <w:pPr>
              <w:pStyle w:val="TableParagraph"/>
              <w:spacing w:line="259" w:lineRule="auto" w:before="129"/>
              <w:ind w:left="35" w:right="1022" w:hanging="1"/>
              <w:jc w:val="left"/>
              <w:rPr>
                <w:rFonts w:ascii="黑体" w:hAnsi="黑体" w:cs="黑体" w:eastAsia="黑体" w:hint="default"/>
                <w:sz w:val="18"/>
                <w:szCs w:val="18"/>
              </w:rPr>
            </w:pPr>
            <w:r>
              <w:rPr>
                <w:rFonts w:ascii="黑体" w:hAnsi="黑体" w:cs="黑体" w:eastAsia="黑体" w:hint="default"/>
                <w:sz w:val="18"/>
                <w:szCs w:val="18"/>
              </w:rPr>
              <w:t>一、本年年初余额 二、本年增减变动金额 </w:t>
            </w:r>
            <w:r>
              <w:rPr>
                <w:rFonts w:ascii="Arial" w:hAnsi="Arial" w:cs="Arial" w:eastAsia="Arial" w:hint="default"/>
                <w:sz w:val="18"/>
                <w:szCs w:val="18"/>
              </w:rPr>
              <w:t>(</w:t>
            </w:r>
            <w:r>
              <w:rPr>
                <w:rFonts w:ascii="黑体" w:hAnsi="黑体" w:cs="黑体" w:eastAsia="黑体" w:hint="default"/>
                <w:sz w:val="18"/>
                <w:szCs w:val="18"/>
              </w:rPr>
              <w:t>一</w:t>
            </w:r>
            <w:r>
              <w:rPr>
                <w:rFonts w:ascii="Arial" w:hAnsi="Arial" w:cs="Arial" w:eastAsia="Arial" w:hint="default"/>
                <w:sz w:val="18"/>
                <w:szCs w:val="18"/>
              </w:rPr>
              <w:t>)</w:t>
            </w:r>
            <w:r>
              <w:rPr>
                <w:rFonts w:ascii="Arial" w:hAnsi="Arial" w:cs="Arial" w:eastAsia="Arial" w:hint="default"/>
                <w:spacing w:val="41"/>
                <w:sz w:val="18"/>
                <w:szCs w:val="18"/>
              </w:rPr>
              <w:t> </w:t>
            </w:r>
            <w:r>
              <w:rPr>
                <w:rFonts w:ascii="黑体" w:hAnsi="黑体" w:cs="黑体" w:eastAsia="黑体" w:hint="default"/>
                <w:sz w:val="18"/>
                <w:szCs w:val="18"/>
              </w:rPr>
              <w:t>净利润</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b/>
                <w:bCs/>
                <w:sz w:val="13"/>
                <w:szCs w:val="13"/>
              </w:rPr>
            </w:pPr>
          </w:p>
          <w:p>
            <w:pPr>
              <w:pStyle w:val="TableParagraph"/>
              <w:spacing w:line="240" w:lineRule="auto"/>
              <w:ind w:right="206"/>
              <w:jc w:val="right"/>
              <w:rPr>
                <w:rFonts w:ascii="Arial" w:hAnsi="Arial" w:cs="Arial" w:eastAsia="Arial" w:hint="default"/>
                <w:sz w:val="18"/>
                <w:szCs w:val="18"/>
              </w:rPr>
            </w:pPr>
            <w:r>
              <w:rPr>
                <w:rFonts w:ascii="Arial"/>
                <w:spacing w:val="-1"/>
                <w:sz w:val="18"/>
              </w:rPr>
              <w:t>815,903,367</w:t>
            </w:r>
          </w:p>
          <w:p>
            <w:pPr>
              <w:pStyle w:val="TableParagraph"/>
              <w:spacing w:line="240" w:lineRule="auto" w:before="1"/>
              <w:ind w:right="0"/>
              <w:jc w:val="left"/>
              <w:rPr>
                <w:rFonts w:ascii="黑体" w:hAnsi="黑体" w:cs="黑体" w:eastAsia="黑体" w:hint="default"/>
                <w:b/>
                <w:bCs/>
                <w:sz w:val="23"/>
                <w:szCs w:val="23"/>
              </w:rPr>
            </w:pPr>
          </w:p>
          <w:p>
            <w:pPr>
              <w:pStyle w:val="TableParagraph"/>
              <w:spacing w:line="240" w:lineRule="auto"/>
              <w:ind w:right="199"/>
              <w:jc w:val="right"/>
              <w:rPr>
                <w:rFonts w:ascii="Arial" w:hAnsi="Arial" w:cs="Arial" w:eastAsia="Arial" w:hint="default"/>
                <w:sz w:val="18"/>
                <w:szCs w:val="18"/>
              </w:rPr>
            </w:pPr>
            <w:r>
              <w:rPr>
                <w:rFonts w:ascii="Arial"/>
                <w:w w:val="99"/>
                <w:sz w:val="18"/>
              </w:rPr>
              <w:t>-</w:t>
            </w:r>
            <w:r>
              <w:rPr>
                <w:rFonts w:ascii="Arial"/>
                <w:sz w:val="18"/>
              </w:rPr>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b/>
                <w:bCs/>
                <w:sz w:val="13"/>
                <w:szCs w:val="13"/>
              </w:rPr>
            </w:pPr>
          </w:p>
          <w:p>
            <w:pPr>
              <w:pStyle w:val="TableParagraph"/>
              <w:spacing w:line="240" w:lineRule="auto"/>
              <w:ind w:right="330"/>
              <w:jc w:val="right"/>
              <w:rPr>
                <w:rFonts w:ascii="Arial" w:hAnsi="Arial" w:cs="Arial" w:eastAsia="Arial" w:hint="default"/>
                <w:sz w:val="18"/>
                <w:szCs w:val="18"/>
              </w:rPr>
            </w:pPr>
            <w:r>
              <w:rPr>
                <w:rFonts w:ascii="Arial"/>
                <w:spacing w:val="-1"/>
                <w:sz w:val="18"/>
              </w:rPr>
              <w:t>739,348,701</w:t>
            </w:r>
          </w:p>
          <w:p>
            <w:pPr>
              <w:pStyle w:val="TableParagraph"/>
              <w:spacing w:line="240" w:lineRule="auto" w:before="1"/>
              <w:ind w:right="0"/>
              <w:jc w:val="left"/>
              <w:rPr>
                <w:rFonts w:ascii="黑体" w:hAnsi="黑体" w:cs="黑体" w:eastAsia="黑体" w:hint="default"/>
                <w:b/>
                <w:bCs/>
                <w:sz w:val="23"/>
                <w:szCs w:val="23"/>
              </w:rPr>
            </w:pPr>
          </w:p>
          <w:p>
            <w:pPr>
              <w:pStyle w:val="TableParagraph"/>
              <w:spacing w:line="240" w:lineRule="auto"/>
              <w:ind w:right="317"/>
              <w:jc w:val="right"/>
              <w:rPr>
                <w:rFonts w:ascii="Arial" w:hAnsi="Arial" w:cs="Arial" w:eastAsia="Arial" w:hint="default"/>
                <w:sz w:val="18"/>
                <w:szCs w:val="18"/>
              </w:rPr>
            </w:pPr>
            <w:r>
              <w:rPr>
                <w:rFonts w:ascii="Arial"/>
                <w:w w:val="99"/>
                <w:sz w:val="18"/>
              </w:rPr>
              <w:t>-</w:t>
            </w:r>
            <w:r>
              <w:rPr>
                <w:rFonts w:ascii="Arial"/>
                <w:sz w:val="18"/>
              </w:rPr>
            </w:r>
          </w:p>
        </w:tc>
        <w:tc>
          <w:tcPr>
            <w:tcW w:w="2794" w:type="dxa"/>
            <w:tcBorders>
              <w:top w:val="nil" w:sz="6" w:space="0" w:color="auto"/>
              <w:left w:val="nil" w:sz="6" w:space="0" w:color="auto"/>
              <w:bottom w:val="nil" w:sz="6" w:space="0" w:color="auto"/>
              <w:right w:val="nil" w:sz="6" w:space="0" w:color="auto"/>
            </w:tcBorders>
          </w:tcPr>
          <w:p>
            <w:pPr>
              <w:pStyle w:val="TableParagraph"/>
              <w:tabs>
                <w:tab w:pos="1502" w:val="left" w:leader="none"/>
              </w:tabs>
              <w:spacing w:line="240" w:lineRule="auto" w:before="121"/>
              <w:ind w:left="1089" w:right="0"/>
              <w:jc w:val="left"/>
              <w:rPr>
                <w:rFonts w:ascii="Arial" w:hAnsi="Arial" w:cs="Arial" w:eastAsia="Arial" w:hint="default"/>
                <w:sz w:val="18"/>
                <w:szCs w:val="18"/>
              </w:rPr>
            </w:pPr>
            <w:r>
              <w:rPr>
                <w:rFonts w:ascii="Arial"/>
                <w:position w:val="5"/>
                <w:sz w:val="18"/>
              </w:rPr>
              <w:t>-</w:t>
              <w:tab/>
            </w:r>
            <w:r>
              <w:rPr>
                <w:rFonts w:ascii="Arial"/>
                <w:sz w:val="18"/>
              </w:rPr>
              <w:t>391,398,002</w:t>
            </w:r>
          </w:p>
          <w:p>
            <w:pPr>
              <w:pStyle w:val="TableParagraph"/>
              <w:spacing w:line="240" w:lineRule="auto" w:before="1"/>
              <w:ind w:right="0"/>
              <w:jc w:val="left"/>
              <w:rPr>
                <w:rFonts w:ascii="黑体" w:hAnsi="黑体" w:cs="黑体" w:eastAsia="黑体" w:hint="default"/>
                <w:b/>
                <w:bCs/>
                <w:sz w:val="23"/>
                <w:szCs w:val="23"/>
              </w:rPr>
            </w:pPr>
          </w:p>
          <w:p>
            <w:pPr>
              <w:pStyle w:val="TableParagraph"/>
              <w:tabs>
                <w:tab w:pos="2452" w:val="left" w:leader="none"/>
              </w:tabs>
              <w:spacing w:line="240" w:lineRule="auto"/>
              <w:ind w:left="1089" w:right="0"/>
              <w:jc w:val="left"/>
              <w:rPr>
                <w:rFonts w:ascii="Arial" w:hAnsi="Arial" w:cs="Arial" w:eastAsia="Arial" w:hint="default"/>
                <w:sz w:val="18"/>
                <w:szCs w:val="18"/>
              </w:rPr>
            </w:pPr>
            <w:r>
              <w:rPr>
                <w:rFonts w:ascii="Arial"/>
                <w:sz w:val="18"/>
              </w:rPr>
              <w:t>-</w:t>
              <w:tab/>
              <w:t>-</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b/>
                <w:bCs/>
                <w:sz w:val="13"/>
                <w:szCs w:val="13"/>
              </w:rPr>
            </w:pPr>
          </w:p>
          <w:p>
            <w:pPr>
              <w:pStyle w:val="TableParagraph"/>
              <w:spacing w:line="240" w:lineRule="auto"/>
              <w:ind w:right="68"/>
              <w:jc w:val="center"/>
              <w:rPr>
                <w:rFonts w:ascii="Arial" w:hAnsi="Arial" w:cs="Arial" w:eastAsia="Arial" w:hint="default"/>
                <w:sz w:val="18"/>
                <w:szCs w:val="18"/>
              </w:rPr>
            </w:pPr>
            <w:r>
              <w:rPr>
                <w:rFonts w:ascii="Arial"/>
                <w:sz w:val="18"/>
              </w:rPr>
              <w:t>1,011,116,076</w:t>
            </w:r>
          </w:p>
          <w:p>
            <w:pPr>
              <w:pStyle w:val="TableParagraph"/>
              <w:spacing w:line="240" w:lineRule="auto" w:before="1"/>
              <w:ind w:right="0"/>
              <w:jc w:val="left"/>
              <w:rPr>
                <w:rFonts w:ascii="黑体" w:hAnsi="黑体" w:cs="黑体" w:eastAsia="黑体" w:hint="default"/>
                <w:b/>
                <w:bCs/>
                <w:sz w:val="23"/>
                <w:szCs w:val="23"/>
              </w:rPr>
            </w:pPr>
          </w:p>
          <w:p>
            <w:pPr>
              <w:pStyle w:val="TableParagraph"/>
              <w:spacing w:line="240" w:lineRule="auto"/>
              <w:ind w:left="104" w:right="0"/>
              <w:jc w:val="center"/>
              <w:rPr>
                <w:rFonts w:ascii="Arial" w:hAnsi="Arial" w:cs="Arial" w:eastAsia="Arial" w:hint="default"/>
                <w:sz w:val="18"/>
                <w:szCs w:val="18"/>
              </w:rPr>
            </w:pPr>
            <w:r>
              <w:rPr>
                <w:rFonts w:ascii="Arial"/>
                <w:sz w:val="18"/>
              </w:rPr>
              <w:t>379,601,971</w:t>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b/>
                <w:bCs/>
                <w:sz w:val="13"/>
                <w:szCs w:val="13"/>
              </w:rPr>
            </w:pPr>
          </w:p>
          <w:p>
            <w:pPr>
              <w:pStyle w:val="TableParagraph"/>
              <w:spacing w:line="240" w:lineRule="auto"/>
              <w:ind w:right="148"/>
              <w:jc w:val="right"/>
              <w:rPr>
                <w:rFonts w:ascii="Arial" w:hAnsi="Arial" w:cs="Arial" w:eastAsia="Arial" w:hint="default"/>
                <w:sz w:val="18"/>
                <w:szCs w:val="18"/>
              </w:rPr>
            </w:pPr>
            <w:r>
              <w:rPr>
                <w:rFonts w:ascii="Arial"/>
                <w:sz w:val="18"/>
              </w:rPr>
              <w:t>(2,207,283</w:t>
            </w:r>
            <w:r>
              <w:rPr>
                <w:rFonts w:ascii="Arial"/>
                <w:spacing w:val="-24"/>
                <w:sz w:val="18"/>
              </w:rPr>
              <w:t> </w:t>
            </w:r>
            <w:r>
              <w:rPr>
                <w:rFonts w:ascii="Arial"/>
                <w:sz w:val="18"/>
              </w:rPr>
              <w:t>)</w:t>
            </w:r>
          </w:p>
          <w:p>
            <w:pPr>
              <w:pStyle w:val="TableParagraph"/>
              <w:spacing w:line="240" w:lineRule="auto" w:before="1"/>
              <w:ind w:right="0"/>
              <w:jc w:val="left"/>
              <w:rPr>
                <w:rFonts w:ascii="黑体" w:hAnsi="黑体" w:cs="黑体" w:eastAsia="黑体" w:hint="default"/>
                <w:b/>
                <w:bCs/>
                <w:sz w:val="23"/>
                <w:szCs w:val="23"/>
              </w:rPr>
            </w:pPr>
          </w:p>
          <w:p>
            <w:pPr>
              <w:pStyle w:val="TableParagraph"/>
              <w:spacing w:line="240" w:lineRule="auto"/>
              <w:ind w:right="222"/>
              <w:jc w:val="right"/>
              <w:rPr>
                <w:rFonts w:ascii="Arial" w:hAnsi="Arial" w:cs="Arial" w:eastAsia="Arial" w:hint="default"/>
                <w:sz w:val="18"/>
                <w:szCs w:val="18"/>
              </w:rPr>
            </w:pPr>
            <w:r>
              <w:rPr>
                <w:rFonts w:ascii="Arial"/>
                <w:w w:val="99"/>
                <w:sz w:val="18"/>
              </w:rPr>
              <w:t>-</w:t>
            </w:r>
            <w:r>
              <w:rPr>
                <w:rFonts w:ascii="Arial"/>
                <w:sz w:val="18"/>
              </w:rPr>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b/>
                <w:bCs/>
                <w:sz w:val="13"/>
                <w:szCs w:val="13"/>
              </w:rPr>
            </w:pPr>
          </w:p>
          <w:p>
            <w:pPr>
              <w:pStyle w:val="TableParagraph"/>
              <w:spacing w:line="240" w:lineRule="auto"/>
              <w:ind w:left="147" w:right="0"/>
              <w:jc w:val="center"/>
              <w:rPr>
                <w:rFonts w:ascii="Arial" w:hAnsi="Arial" w:cs="Arial" w:eastAsia="Arial" w:hint="default"/>
                <w:sz w:val="18"/>
                <w:szCs w:val="18"/>
              </w:rPr>
            </w:pPr>
            <w:r>
              <w:rPr>
                <w:rFonts w:ascii="Arial"/>
                <w:sz w:val="18"/>
              </w:rPr>
              <w:t>2,955,558,863</w:t>
            </w:r>
          </w:p>
          <w:p>
            <w:pPr>
              <w:pStyle w:val="TableParagraph"/>
              <w:spacing w:line="240" w:lineRule="auto" w:before="1"/>
              <w:ind w:right="0"/>
              <w:jc w:val="left"/>
              <w:rPr>
                <w:rFonts w:ascii="黑体" w:hAnsi="黑体" w:cs="黑体" w:eastAsia="黑体" w:hint="default"/>
                <w:b/>
                <w:bCs/>
                <w:sz w:val="23"/>
                <w:szCs w:val="23"/>
              </w:rPr>
            </w:pPr>
          </w:p>
          <w:p>
            <w:pPr>
              <w:pStyle w:val="TableParagraph"/>
              <w:spacing w:line="240" w:lineRule="auto"/>
              <w:ind w:left="322" w:right="0"/>
              <w:jc w:val="center"/>
              <w:rPr>
                <w:rFonts w:ascii="Arial" w:hAnsi="Arial" w:cs="Arial" w:eastAsia="Arial" w:hint="default"/>
                <w:sz w:val="18"/>
                <w:szCs w:val="18"/>
              </w:rPr>
            </w:pPr>
            <w:r>
              <w:rPr>
                <w:rFonts w:ascii="Arial"/>
                <w:sz w:val="18"/>
              </w:rPr>
              <w:t>379,601,971</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b/>
                <w:bCs/>
                <w:sz w:val="13"/>
                <w:szCs w:val="13"/>
              </w:rPr>
            </w:pPr>
          </w:p>
          <w:p>
            <w:pPr>
              <w:pStyle w:val="TableParagraph"/>
              <w:spacing w:line="240" w:lineRule="auto"/>
              <w:ind w:left="511" w:right="0"/>
              <w:jc w:val="left"/>
              <w:rPr>
                <w:rFonts w:ascii="Arial" w:hAnsi="Arial" w:cs="Arial" w:eastAsia="Arial" w:hint="default"/>
                <w:sz w:val="18"/>
                <w:szCs w:val="18"/>
              </w:rPr>
            </w:pPr>
            <w:r>
              <w:rPr>
                <w:rFonts w:ascii="Arial"/>
                <w:sz w:val="18"/>
              </w:rPr>
              <w:t>71,563,895</w:t>
            </w:r>
          </w:p>
          <w:p>
            <w:pPr>
              <w:pStyle w:val="TableParagraph"/>
              <w:spacing w:line="240" w:lineRule="auto" w:before="1"/>
              <w:ind w:right="0"/>
              <w:jc w:val="left"/>
              <w:rPr>
                <w:rFonts w:ascii="黑体" w:hAnsi="黑体" w:cs="黑体" w:eastAsia="黑体" w:hint="default"/>
                <w:b/>
                <w:bCs/>
                <w:sz w:val="23"/>
                <w:szCs w:val="23"/>
              </w:rPr>
            </w:pPr>
          </w:p>
          <w:p>
            <w:pPr>
              <w:pStyle w:val="TableParagraph"/>
              <w:spacing w:line="240" w:lineRule="auto"/>
              <w:ind w:left="609" w:right="0"/>
              <w:jc w:val="left"/>
              <w:rPr>
                <w:rFonts w:ascii="Arial" w:hAnsi="Arial" w:cs="Arial" w:eastAsia="Arial" w:hint="default"/>
                <w:sz w:val="18"/>
                <w:szCs w:val="18"/>
              </w:rPr>
            </w:pPr>
            <w:r>
              <w:rPr>
                <w:rFonts w:ascii="Arial"/>
                <w:sz w:val="18"/>
              </w:rPr>
              <w:t>7,552,265</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b/>
                <w:bCs/>
                <w:sz w:val="13"/>
                <w:szCs w:val="13"/>
              </w:rPr>
            </w:pPr>
          </w:p>
          <w:p>
            <w:pPr>
              <w:pStyle w:val="TableParagraph"/>
              <w:spacing w:line="240" w:lineRule="auto"/>
              <w:ind w:left="175" w:right="0"/>
              <w:jc w:val="center"/>
              <w:rPr>
                <w:rFonts w:ascii="Arial" w:hAnsi="Arial" w:cs="Arial" w:eastAsia="Arial" w:hint="default"/>
                <w:sz w:val="18"/>
                <w:szCs w:val="18"/>
              </w:rPr>
            </w:pPr>
            <w:r>
              <w:rPr>
                <w:rFonts w:ascii="Arial"/>
                <w:sz w:val="18"/>
              </w:rPr>
              <w:t>3,027,122,758</w:t>
            </w:r>
          </w:p>
          <w:p>
            <w:pPr>
              <w:pStyle w:val="TableParagraph"/>
              <w:spacing w:line="240" w:lineRule="auto" w:before="1"/>
              <w:ind w:right="0"/>
              <w:jc w:val="left"/>
              <w:rPr>
                <w:rFonts w:ascii="黑体" w:hAnsi="黑体" w:cs="黑体" w:eastAsia="黑体" w:hint="default"/>
                <w:b/>
                <w:bCs/>
                <w:sz w:val="23"/>
                <w:szCs w:val="23"/>
              </w:rPr>
            </w:pPr>
          </w:p>
          <w:p>
            <w:pPr>
              <w:pStyle w:val="TableParagraph"/>
              <w:spacing w:line="240" w:lineRule="auto"/>
              <w:ind w:left="321" w:right="0"/>
              <w:jc w:val="center"/>
              <w:rPr>
                <w:rFonts w:ascii="Arial" w:hAnsi="Arial" w:cs="Arial" w:eastAsia="Arial" w:hint="default"/>
                <w:sz w:val="18"/>
                <w:szCs w:val="18"/>
              </w:rPr>
            </w:pPr>
            <w:r>
              <w:rPr>
                <w:rFonts w:ascii="Arial"/>
                <w:sz w:val="18"/>
              </w:rPr>
              <w:t>387,154,236</w:t>
            </w:r>
          </w:p>
        </w:tc>
      </w:tr>
      <w:tr>
        <w:trPr>
          <w:trHeight w:val="257" w:hRule="exact"/>
        </w:trPr>
        <w:tc>
          <w:tcPr>
            <w:tcW w:w="2860"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Arial" w:hAnsi="Arial" w:cs="Arial" w:eastAsia="Arial" w:hint="default"/>
                <w:sz w:val="18"/>
                <w:szCs w:val="18"/>
              </w:rPr>
            </w:pPr>
            <w:r>
              <w:rPr>
                <w:rFonts w:ascii="Arial" w:hAnsi="Arial" w:cs="Arial" w:eastAsia="Arial" w:hint="default"/>
                <w:sz w:val="18"/>
                <w:szCs w:val="18"/>
              </w:rPr>
              <w:t>(</w:t>
            </w:r>
            <w:r>
              <w:rPr>
                <w:rFonts w:ascii="黑体" w:hAnsi="黑体" w:cs="黑体" w:eastAsia="黑体" w:hint="default"/>
                <w:sz w:val="18"/>
                <w:szCs w:val="18"/>
              </w:rPr>
              <w:t>二</w:t>
            </w:r>
            <w:r>
              <w:rPr>
                <w:rFonts w:ascii="Arial" w:hAnsi="Arial" w:cs="Arial" w:eastAsia="Arial" w:hint="default"/>
                <w:sz w:val="18"/>
                <w:szCs w:val="18"/>
              </w:rPr>
              <w:t>)</w:t>
            </w:r>
            <w:r>
              <w:rPr>
                <w:rFonts w:ascii="Arial" w:hAnsi="Arial" w:cs="Arial" w:eastAsia="Arial" w:hint="default"/>
                <w:spacing w:val="36"/>
                <w:sz w:val="18"/>
                <w:szCs w:val="18"/>
              </w:rPr>
              <w:t> </w:t>
            </w:r>
            <w:r>
              <w:rPr>
                <w:rFonts w:ascii="黑体" w:hAnsi="黑体" w:cs="黑体" w:eastAsia="黑体" w:hint="default"/>
                <w:sz w:val="18"/>
                <w:szCs w:val="18"/>
              </w:rPr>
              <w:t>其他综合收益</w:t>
            </w:r>
            <w:r>
              <w:rPr>
                <w:rFonts w:ascii="Arial" w:hAnsi="Arial" w:cs="Arial" w:eastAsia="Arial" w:hint="default"/>
                <w:sz w:val="18"/>
                <w:szCs w:val="18"/>
              </w:rPr>
              <w:t>(</w:t>
            </w:r>
            <w:r>
              <w:rPr>
                <w:rFonts w:ascii="黑体" w:hAnsi="黑体" w:cs="黑体" w:eastAsia="黑体" w:hint="default"/>
                <w:sz w:val="18"/>
                <w:szCs w:val="18"/>
              </w:rPr>
              <w:t>附注五、</w:t>
            </w:r>
            <w:r>
              <w:rPr>
                <w:rFonts w:ascii="Arial" w:hAnsi="Arial" w:cs="Arial" w:eastAsia="Arial" w:hint="default"/>
                <w:sz w:val="18"/>
                <w:szCs w:val="18"/>
              </w:rPr>
              <w:t>46)</w:t>
            </w:r>
          </w:p>
        </w:tc>
        <w:tc>
          <w:tcPr>
            <w:tcW w:w="1426" w:type="dxa"/>
            <w:tcBorders>
              <w:top w:val="nil" w:sz="6" w:space="0" w:color="auto"/>
              <w:left w:val="nil" w:sz="6" w:space="0" w:color="auto"/>
              <w:bottom w:val="nil" w:sz="6" w:space="0" w:color="auto"/>
              <w:right w:val="nil" w:sz="6" w:space="0" w:color="auto"/>
            </w:tcBorders>
          </w:tcPr>
          <w:p>
            <w:pPr>
              <w:pStyle w:val="TableParagraph"/>
              <w:tabs>
                <w:tab w:pos="993" w:val="left" w:leader="none"/>
              </w:tabs>
              <w:spacing w:line="240" w:lineRule="auto" w:before="21"/>
              <w:ind w:right="19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519" w:type="dxa"/>
            <w:tcBorders>
              <w:top w:val="nil" w:sz="6" w:space="0" w:color="auto"/>
              <w:left w:val="nil" w:sz="6" w:space="0" w:color="auto"/>
              <w:bottom w:val="nil" w:sz="6" w:space="0" w:color="auto"/>
              <w:right w:val="nil" w:sz="6" w:space="0" w:color="auto"/>
            </w:tcBorders>
          </w:tcPr>
          <w:p>
            <w:pPr>
              <w:pStyle w:val="TableParagraph"/>
              <w:tabs>
                <w:tab w:pos="902" w:val="left" w:leader="none"/>
              </w:tabs>
              <w:spacing w:line="240" w:lineRule="auto" w:before="21"/>
              <w:ind w:right="32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2794" w:type="dxa"/>
            <w:tcBorders>
              <w:top w:val="nil" w:sz="6" w:space="0" w:color="auto"/>
              <w:left w:val="nil" w:sz="6" w:space="0" w:color="auto"/>
              <w:bottom w:val="nil" w:sz="6" w:space="0" w:color="auto"/>
              <w:right w:val="nil" w:sz="6" w:space="0" w:color="auto"/>
            </w:tcBorders>
          </w:tcPr>
          <w:p>
            <w:pPr>
              <w:pStyle w:val="TableParagraph"/>
              <w:tabs>
                <w:tab w:pos="1082" w:val="left" w:leader="none"/>
                <w:tab w:pos="1461" w:val="left" w:leader="none"/>
                <w:tab w:pos="2455" w:val="left" w:leader="none"/>
              </w:tabs>
              <w:spacing w:line="240" w:lineRule="auto" w:before="21"/>
              <w:ind w:left="268"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tab/>
            </w:r>
            <w:r>
              <w:rPr>
                <w:rFonts w:ascii="Arial"/>
                <w:sz w:val="18"/>
                <w:u w:val="single" w:color="000000"/>
              </w:rPr>
              <w:t> </w:t>
              <w:tab/>
              <w:t>-</w:t>
            </w:r>
            <w:r>
              <w:rPr>
                <w:rFonts w:ascii="Arial"/>
                <w:sz w:val="18"/>
              </w:rPr>
            </w:r>
          </w:p>
        </w:tc>
        <w:tc>
          <w:tcPr>
            <w:tcW w:w="1369" w:type="dxa"/>
            <w:tcBorders>
              <w:top w:val="nil" w:sz="6" w:space="0" w:color="auto"/>
              <w:left w:val="nil" w:sz="6" w:space="0" w:color="auto"/>
              <w:bottom w:val="nil" w:sz="6" w:space="0" w:color="auto"/>
              <w:right w:val="nil" w:sz="6" w:space="0" w:color="auto"/>
            </w:tcBorders>
          </w:tcPr>
          <w:p>
            <w:pPr>
              <w:pStyle w:val="TableParagraph"/>
              <w:tabs>
                <w:tab w:pos="1082" w:val="left" w:leader="none"/>
              </w:tabs>
              <w:spacing w:line="240" w:lineRule="auto" w:before="21"/>
              <w:ind w:right="13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1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24"/>
                <w:sz w:val="18"/>
                <w:u w:val="single" w:color="000000"/>
              </w:rPr>
              <w:t> </w:t>
            </w:r>
            <w:r>
              <w:rPr>
                <w:rFonts w:ascii="Arial"/>
                <w:spacing w:val="-1"/>
                <w:sz w:val="18"/>
                <w:u w:val="single" w:color="000000"/>
              </w:rPr>
              <w:t>1,390,001</w:t>
            </w:r>
            <w:r>
              <w:rPr>
                <w:rFonts w:ascii="Arial"/>
                <w:spacing w:val="-1"/>
                <w:sz w:val="18"/>
              </w:rPr>
            </w:r>
          </w:p>
        </w:tc>
        <w:tc>
          <w:tcPr>
            <w:tcW w:w="1340" w:type="dxa"/>
            <w:tcBorders>
              <w:top w:val="nil" w:sz="6" w:space="0" w:color="auto"/>
              <w:left w:val="nil" w:sz="6" w:space="0" w:color="auto"/>
              <w:bottom w:val="nil" w:sz="6" w:space="0" w:color="auto"/>
              <w:right w:val="nil" w:sz="6" w:space="0" w:color="auto"/>
            </w:tcBorders>
          </w:tcPr>
          <w:p>
            <w:pPr>
              <w:pStyle w:val="TableParagraph"/>
              <w:tabs>
                <w:tab w:pos="362" w:val="left" w:leader="none"/>
              </w:tabs>
              <w:spacing w:line="240" w:lineRule="auto" w:before="21"/>
              <w:ind w:right="1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1,390,001</w:t>
            </w:r>
            <w:r>
              <w:rPr>
                <w:rFonts w:ascii="Arial"/>
                <w:spacing w:val="-1"/>
                <w:sz w:val="18"/>
              </w:rPr>
            </w:r>
          </w:p>
        </w:tc>
        <w:tc>
          <w:tcPr>
            <w:tcW w:w="1600" w:type="dxa"/>
            <w:tcBorders>
              <w:top w:val="nil" w:sz="6" w:space="0" w:color="auto"/>
              <w:left w:val="nil" w:sz="6" w:space="0" w:color="auto"/>
              <w:bottom w:val="nil" w:sz="6" w:space="0" w:color="auto"/>
              <w:right w:val="nil" w:sz="6" w:space="0" w:color="auto"/>
            </w:tcBorders>
          </w:tcPr>
          <w:p>
            <w:pPr>
              <w:pStyle w:val="TableParagraph"/>
              <w:tabs>
                <w:tab w:pos="952" w:val="left" w:leader="none"/>
              </w:tabs>
              <w:spacing w:line="240" w:lineRule="auto" w:before="21"/>
              <w:ind w:left="501"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1,503</w:t>
            </w:r>
            <w:r>
              <w:rPr>
                <w:rFonts w:ascii="Arial"/>
                <w:sz w:val="18"/>
              </w:rPr>
            </w:r>
          </w:p>
        </w:tc>
        <w:tc>
          <w:tcPr>
            <w:tcW w:w="1414" w:type="dxa"/>
            <w:tcBorders>
              <w:top w:val="nil" w:sz="6" w:space="0" w:color="auto"/>
              <w:left w:val="nil" w:sz="6" w:space="0" w:color="auto"/>
              <w:bottom w:val="nil" w:sz="6" w:space="0" w:color="auto"/>
              <w:right w:val="nil" w:sz="6" w:space="0" w:color="auto"/>
            </w:tcBorders>
          </w:tcPr>
          <w:p>
            <w:pPr>
              <w:pStyle w:val="TableParagraph"/>
              <w:tabs>
                <w:tab w:pos="362" w:val="left" w:leader="none"/>
              </w:tabs>
              <w:spacing w:line="240" w:lineRule="auto" w:before="21"/>
              <w:ind w:right="4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1,391,504</w:t>
            </w:r>
            <w:r>
              <w:rPr>
                <w:rFonts w:ascii="Arial"/>
                <w:spacing w:val="-1"/>
                <w:sz w:val="18"/>
              </w:rPr>
            </w:r>
          </w:p>
        </w:tc>
      </w:tr>
      <w:tr>
        <w:trPr>
          <w:trHeight w:val="382" w:hRule="exact"/>
        </w:trPr>
        <w:tc>
          <w:tcPr>
            <w:tcW w:w="2860" w:type="dxa"/>
            <w:tcBorders>
              <w:top w:val="nil" w:sz="6" w:space="0" w:color="auto"/>
              <w:left w:val="nil" w:sz="6" w:space="0" w:color="auto"/>
              <w:bottom w:val="nil" w:sz="6" w:space="0" w:color="auto"/>
              <w:right w:val="nil" w:sz="6" w:space="0" w:color="auto"/>
            </w:tcBorders>
          </w:tcPr>
          <w:p>
            <w:pPr>
              <w:pStyle w:val="TableParagraph"/>
              <w:spacing w:line="213" w:lineRule="exact"/>
              <w:ind w:left="35" w:right="0"/>
              <w:jc w:val="left"/>
              <w:rPr>
                <w:rFonts w:ascii="黑体" w:hAnsi="黑体" w:cs="黑体" w:eastAsia="黑体" w:hint="default"/>
                <w:sz w:val="18"/>
                <w:szCs w:val="18"/>
              </w:rPr>
            </w:pPr>
            <w:r>
              <w:rPr>
                <w:rFonts w:ascii="黑体" w:hAnsi="黑体" w:cs="黑体" w:eastAsia="黑体" w:hint="default"/>
                <w:sz w:val="18"/>
                <w:szCs w:val="18"/>
              </w:rPr>
              <w:t>综合收益总额</w:t>
            </w:r>
          </w:p>
        </w:tc>
        <w:tc>
          <w:tcPr>
            <w:tcW w:w="1426" w:type="dxa"/>
            <w:tcBorders>
              <w:top w:val="nil" w:sz="6" w:space="0" w:color="auto"/>
              <w:left w:val="nil" w:sz="6" w:space="0" w:color="auto"/>
              <w:bottom w:val="nil" w:sz="6" w:space="0" w:color="auto"/>
              <w:right w:val="nil" w:sz="6" w:space="0" w:color="auto"/>
            </w:tcBorders>
          </w:tcPr>
          <w:p>
            <w:pPr>
              <w:pStyle w:val="TableParagraph"/>
              <w:tabs>
                <w:tab w:pos="993" w:val="left" w:leader="none"/>
              </w:tabs>
              <w:spacing w:line="240" w:lineRule="auto" w:before="18"/>
              <w:ind w:right="19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519" w:type="dxa"/>
            <w:tcBorders>
              <w:top w:val="nil" w:sz="6" w:space="0" w:color="auto"/>
              <w:left w:val="nil" w:sz="6" w:space="0" w:color="auto"/>
              <w:bottom w:val="nil" w:sz="6" w:space="0" w:color="auto"/>
              <w:right w:val="nil" w:sz="6" w:space="0" w:color="auto"/>
            </w:tcBorders>
          </w:tcPr>
          <w:p>
            <w:pPr>
              <w:pStyle w:val="TableParagraph"/>
              <w:tabs>
                <w:tab w:pos="902" w:val="left" w:leader="none"/>
              </w:tabs>
              <w:spacing w:line="240" w:lineRule="auto" w:before="18"/>
              <w:ind w:right="32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2794" w:type="dxa"/>
            <w:tcBorders>
              <w:top w:val="nil" w:sz="6" w:space="0" w:color="auto"/>
              <w:left w:val="nil" w:sz="6" w:space="0" w:color="auto"/>
              <w:bottom w:val="nil" w:sz="6" w:space="0" w:color="auto"/>
              <w:right w:val="nil" w:sz="6" w:space="0" w:color="auto"/>
            </w:tcBorders>
          </w:tcPr>
          <w:p>
            <w:pPr>
              <w:pStyle w:val="TableParagraph"/>
              <w:tabs>
                <w:tab w:pos="1082" w:val="left" w:leader="none"/>
                <w:tab w:pos="1461" w:val="left" w:leader="none"/>
                <w:tab w:pos="2455" w:val="left" w:leader="none"/>
              </w:tabs>
              <w:spacing w:line="240" w:lineRule="auto" w:before="18"/>
              <w:ind w:left="268"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tab/>
            </w:r>
            <w:r>
              <w:rPr>
                <w:rFonts w:ascii="Arial"/>
                <w:sz w:val="18"/>
                <w:u w:val="single" w:color="000000"/>
              </w:rPr>
              <w:t> </w:t>
              <w:tab/>
              <w:t>-</w:t>
            </w:r>
            <w:r>
              <w:rPr>
                <w:rFonts w:ascii="Arial"/>
                <w:sz w:val="18"/>
              </w:rPr>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8"/>
                <w:sz w:val="18"/>
                <w:u w:val="single" w:color="000000"/>
              </w:rPr>
              <w:t> </w:t>
            </w:r>
            <w:r>
              <w:rPr>
                <w:rFonts w:ascii="Arial"/>
                <w:spacing w:val="-1"/>
                <w:sz w:val="18"/>
                <w:u w:val="single" w:color="000000"/>
              </w:rPr>
              <w:t>379,601,971</w:t>
            </w:r>
            <w:r>
              <w:rPr>
                <w:rFonts w:ascii="Arial"/>
                <w:spacing w:val="-1"/>
                <w:sz w:val="18"/>
              </w:rPr>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19"/>
              <w:jc w:val="right"/>
              <w:rPr>
                <w:rFonts w:ascii="Arial" w:hAnsi="Arial" w:cs="Arial" w:eastAsia="Arial" w:hint="default"/>
                <w:sz w:val="18"/>
                <w:szCs w:val="18"/>
              </w:rPr>
            </w:pPr>
            <w:r>
              <w:rPr>
                <w:rFonts w:ascii="Arial"/>
                <w:w w:val="100"/>
                <w:sz w:val="18"/>
              </w:rPr>
            </w:r>
            <w:r>
              <w:rPr>
                <w:rFonts w:ascii="Arial"/>
                <w:spacing w:val="14"/>
                <w:w w:val="100"/>
                <w:sz w:val="18"/>
                <w:u w:val="single" w:color="000000"/>
              </w:rPr>
              <w:t> </w:t>
            </w:r>
            <w:r>
              <w:rPr>
                <w:rFonts w:ascii="Arial"/>
                <w:spacing w:val="-1"/>
                <w:sz w:val="18"/>
                <w:u w:val="single" w:color="000000"/>
              </w:rPr>
              <w:t>1,390,001</w:t>
            </w:r>
            <w:r>
              <w:rPr>
                <w:rFonts w:ascii="Arial"/>
                <w:spacing w:val="-1"/>
                <w:sz w:val="18"/>
              </w:rPr>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1"/>
                <w:sz w:val="18"/>
                <w:u w:val="single" w:color="000000"/>
              </w:rPr>
              <w:t> </w:t>
            </w:r>
            <w:r>
              <w:rPr>
                <w:rFonts w:ascii="Arial"/>
                <w:spacing w:val="-1"/>
                <w:sz w:val="18"/>
                <w:u w:val="single" w:color="000000"/>
              </w:rPr>
              <w:t>380,991,972</w:t>
            </w:r>
            <w:r>
              <w:rPr>
                <w:rFonts w:ascii="Arial"/>
                <w:spacing w:val="-1"/>
                <w:sz w:val="18"/>
              </w:rPr>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11"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9"/>
                <w:sz w:val="18"/>
                <w:u w:val="single" w:color="000000"/>
              </w:rPr>
              <w:t> </w:t>
            </w:r>
            <w:r>
              <w:rPr>
                <w:rFonts w:ascii="Arial"/>
                <w:sz w:val="18"/>
                <w:u w:val="single" w:color="000000"/>
              </w:rPr>
              <w:t>7,553,768</w:t>
            </w:r>
            <w:r>
              <w:rPr>
                <w:rFonts w:ascii="Arial"/>
                <w:sz w:val="18"/>
              </w:rPr>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8"/>
                <w:sz w:val="18"/>
                <w:u w:val="single" w:color="000000"/>
              </w:rPr>
              <w:t> </w:t>
            </w:r>
            <w:r>
              <w:rPr>
                <w:rFonts w:ascii="Arial"/>
                <w:spacing w:val="-1"/>
                <w:sz w:val="18"/>
                <w:u w:val="single" w:color="000000"/>
              </w:rPr>
              <w:t>388,545,740</w:t>
            </w:r>
            <w:r>
              <w:rPr>
                <w:rFonts w:ascii="Arial"/>
                <w:spacing w:val="-1"/>
                <w:sz w:val="18"/>
              </w:rPr>
            </w:r>
          </w:p>
        </w:tc>
      </w:tr>
      <w:tr>
        <w:trPr>
          <w:trHeight w:val="374" w:hRule="exact"/>
        </w:trPr>
        <w:tc>
          <w:tcPr>
            <w:tcW w:w="286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三</w:t>
            </w:r>
            <w:r>
              <w:rPr>
                <w:rFonts w:ascii="Arial" w:hAnsi="Arial" w:cs="Arial" w:eastAsia="Arial" w:hint="default"/>
                <w:sz w:val="18"/>
                <w:szCs w:val="18"/>
              </w:rPr>
              <w:t>)</w:t>
            </w:r>
            <w:r>
              <w:rPr>
                <w:rFonts w:ascii="Arial" w:hAnsi="Arial" w:cs="Arial" w:eastAsia="Arial" w:hint="default"/>
                <w:spacing w:val="40"/>
                <w:sz w:val="18"/>
                <w:szCs w:val="18"/>
              </w:rPr>
              <w:t> </w:t>
            </w:r>
            <w:r>
              <w:rPr>
                <w:rFonts w:ascii="黑体" w:hAnsi="黑体" w:cs="黑体" w:eastAsia="黑体" w:hint="default"/>
                <w:sz w:val="18"/>
                <w:szCs w:val="18"/>
              </w:rPr>
              <w:t>股东投入和减少资本</w:t>
            </w:r>
          </w:p>
        </w:tc>
        <w:tc>
          <w:tcPr>
            <w:tcW w:w="1426" w:type="dxa"/>
            <w:tcBorders>
              <w:top w:val="nil" w:sz="6" w:space="0" w:color="auto"/>
              <w:left w:val="nil" w:sz="6" w:space="0" w:color="auto"/>
              <w:bottom w:val="nil" w:sz="6" w:space="0" w:color="auto"/>
              <w:right w:val="nil" w:sz="6" w:space="0" w:color="auto"/>
            </w:tcBorders>
          </w:tcPr>
          <w:p>
            <w:pPr/>
          </w:p>
        </w:tc>
        <w:tc>
          <w:tcPr>
            <w:tcW w:w="1519" w:type="dxa"/>
            <w:tcBorders>
              <w:top w:val="nil" w:sz="6" w:space="0" w:color="auto"/>
              <w:left w:val="nil" w:sz="6" w:space="0" w:color="auto"/>
              <w:bottom w:val="nil" w:sz="6" w:space="0" w:color="auto"/>
              <w:right w:val="nil" w:sz="6" w:space="0" w:color="auto"/>
            </w:tcBorders>
          </w:tcPr>
          <w:p>
            <w:pPr/>
          </w:p>
        </w:tc>
        <w:tc>
          <w:tcPr>
            <w:tcW w:w="2794" w:type="dxa"/>
            <w:tcBorders>
              <w:top w:val="nil" w:sz="6" w:space="0" w:color="auto"/>
              <w:left w:val="nil" w:sz="6" w:space="0" w:color="auto"/>
              <w:bottom w:val="nil" w:sz="6" w:space="0" w:color="auto"/>
              <w:right w:val="nil" w:sz="6" w:space="0" w:color="auto"/>
            </w:tcBorders>
          </w:tcPr>
          <w:p>
            <w:pPr/>
          </w:p>
        </w:tc>
        <w:tc>
          <w:tcPr>
            <w:tcW w:w="1369"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
        </w:tc>
      </w:tr>
    </w:tbl>
    <w:p>
      <w:pPr>
        <w:tabs>
          <w:tab w:pos="4143" w:val="left" w:leader="none"/>
          <w:tab w:pos="5544" w:val="left" w:leader="none"/>
          <w:tab w:pos="7013" w:val="left" w:leader="none"/>
          <w:tab w:pos="8367" w:val="left" w:leader="none"/>
          <w:tab w:pos="9881" w:val="left" w:leader="none"/>
          <w:tab w:pos="11580" w:val="left" w:leader="none"/>
          <w:tab w:pos="13155" w:val="left" w:leader="none"/>
          <w:tab w:pos="13733" w:val="left" w:leader="none"/>
          <w:tab w:pos="15291" w:val="left" w:leader="none"/>
        </w:tabs>
        <w:spacing w:line="235" w:lineRule="exact" w:before="0"/>
        <w:ind w:left="365" w:right="0" w:firstLine="0"/>
        <w:jc w:val="left"/>
        <w:rPr>
          <w:rFonts w:ascii="Arial" w:hAnsi="Arial" w:cs="Arial" w:eastAsia="Arial" w:hint="default"/>
          <w:sz w:val="18"/>
          <w:szCs w:val="18"/>
        </w:rPr>
      </w:pPr>
      <w:r>
        <w:rPr>
          <w:rFonts w:ascii="Arial" w:hAnsi="Arial" w:cs="Arial" w:eastAsia="Arial" w:hint="default"/>
          <w:sz w:val="18"/>
          <w:szCs w:val="18"/>
        </w:rPr>
        <w:t>1.</w:t>
      </w:r>
      <w:r>
        <w:rPr>
          <w:rFonts w:ascii="黑体" w:hAnsi="黑体" w:cs="黑体" w:eastAsia="黑体" w:hint="default"/>
          <w:sz w:val="18"/>
          <w:szCs w:val="18"/>
        </w:rPr>
        <w:t>股东投入资本</w:t>
        <w:tab/>
      </w:r>
      <w:r>
        <w:rPr>
          <w:rFonts w:ascii="Arial" w:hAnsi="Arial" w:cs="Arial" w:eastAsia="Arial" w:hint="default"/>
          <w:sz w:val="18"/>
          <w:szCs w:val="18"/>
        </w:rPr>
        <w:t>-</w:t>
        <w:tab/>
        <w:t>-</w:t>
        <w:tab/>
        <w:t>-</w:t>
        <w:tab/>
        <w:t>-</w:t>
        <w:tab/>
        <w:t>-</w:t>
        <w:tab/>
        <w:t>-</w:t>
        <w:tab/>
        <w:t>-</w:t>
        <w:tab/>
      </w:r>
      <w:r>
        <w:rPr>
          <w:rFonts w:ascii="Arial" w:hAnsi="Arial" w:cs="Arial" w:eastAsia="Arial" w:hint="default"/>
          <w:spacing w:val="-1"/>
          <w:sz w:val="18"/>
          <w:szCs w:val="18"/>
        </w:rPr>
        <w:t>19,634,994</w:t>
        <w:tab/>
        <w:t>19,634,994</w:t>
      </w:r>
    </w:p>
    <w:p>
      <w:pPr>
        <w:spacing w:line="241" w:lineRule="exact" w:before="37"/>
        <w:ind w:left="365" w:right="7269" w:firstLine="0"/>
        <w:jc w:val="left"/>
        <w:rPr>
          <w:rFonts w:ascii="黑体" w:hAnsi="黑体" w:cs="黑体" w:eastAsia="黑体" w:hint="default"/>
          <w:sz w:val="18"/>
          <w:szCs w:val="18"/>
        </w:rPr>
      </w:pPr>
      <w:r>
        <w:rPr>
          <w:rFonts w:ascii="Arial" w:hAnsi="Arial" w:cs="Arial" w:eastAsia="Arial" w:hint="default"/>
          <w:sz w:val="18"/>
          <w:szCs w:val="18"/>
        </w:rPr>
        <w:t>2.</w:t>
      </w:r>
      <w:r>
        <w:rPr>
          <w:rFonts w:ascii="黑体" w:hAnsi="黑体" w:cs="黑体" w:eastAsia="黑体" w:hint="default"/>
          <w:sz w:val="18"/>
          <w:szCs w:val="18"/>
        </w:rPr>
        <w:t>股份支付计入股东权益的金额</w:t>
      </w:r>
    </w:p>
    <w:p>
      <w:pPr>
        <w:tabs>
          <w:tab w:pos="4143" w:val="left" w:leader="none"/>
          <w:tab w:pos="4563" w:val="left" w:leader="none"/>
          <w:tab w:pos="7013" w:val="left" w:leader="none"/>
          <w:tab w:pos="8376" w:val="left" w:leader="none"/>
          <w:tab w:pos="9891" w:val="left" w:leader="none"/>
          <w:tab w:pos="11592" w:val="left" w:leader="none"/>
          <w:tab w:pos="11964" w:val="left" w:leader="none"/>
          <w:tab w:pos="12413" w:val="left" w:leader="none"/>
          <w:tab w:pos="14568" w:val="left" w:leader="none"/>
          <w:tab w:pos="14969" w:val="left" w:leader="none"/>
          <w:tab w:pos="15391" w:val="left" w:leader="none"/>
        </w:tabs>
        <w:spacing w:line="241" w:lineRule="exact" w:before="0"/>
        <w:ind w:left="636" w:right="0" w:firstLine="0"/>
        <w:jc w:val="left"/>
        <w:rPr>
          <w:rFonts w:ascii="Arial" w:hAnsi="Arial" w:cs="Arial" w:eastAsia="Arial" w:hint="default"/>
          <w:sz w:val="18"/>
          <w:szCs w:val="18"/>
        </w:rPr>
      </w:pPr>
      <w:r>
        <w:rPr>
          <w:rFonts w:ascii="Arial" w:hAnsi="Arial" w:cs="Arial" w:eastAsia="Arial" w:hint="default"/>
          <w:sz w:val="18"/>
          <w:szCs w:val="18"/>
        </w:rPr>
        <w:t>(</w:t>
      </w:r>
      <w:r>
        <w:rPr>
          <w:rFonts w:ascii="黑体" w:hAnsi="黑体" w:cs="黑体" w:eastAsia="黑体" w:hint="default"/>
          <w:sz w:val="18"/>
          <w:szCs w:val="18"/>
        </w:rPr>
        <w:t>附注七</w:t>
      </w:r>
      <w:r>
        <w:rPr>
          <w:rFonts w:ascii="Arial" w:hAnsi="Arial" w:cs="Arial" w:eastAsia="Arial" w:hint="default"/>
          <w:sz w:val="18"/>
          <w:szCs w:val="18"/>
        </w:rPr>
        <w:t>)</w:t>
        <w:tab/>
        <w:t>-</w:t>
        <w:tab/>
        <w:t>(  </w:t>
      </w:r>
      <w:r>
        <w:rPr>
          <w:rFonts w:ascii="Arial" w:hAnsi="Arial" w:cs="Arial" w:eastAsia="Arial" w:hint="default"/>
          <w:spacing w:val="34"/>
          <w:sz w:val="18"/>
          <w:szCs w:val="18"/>
        </w:rPr>
        <w:t> </w:t>
      </w:r>
      <w:r>
        <w:rPr>
          <w:rFonts w:ascii="Arial" w:hAnsi="Arial" w:cs="Arial" w:eastAsia="Arial" w:hint="default"/>
          <w:sz w:val="18"/>
          <w:szCs w:val="18"/>
        </w:rPr>
        <w:t>8,877,629)</w:t>
        <w:tab/>
        <w:t>-</w:t>
        <w:tab/>
        <w:t>-</w:t>
        <w:tab/>
        <w:t>-</w:t>
        <w:tab/>
        <w:t>-</w:t>
        <w:tab/>
        <w:t>(</w:t>
        <w:tab/>
        <w:t>8,877,629)</w:t>
        <w:tab/>
        <w:t>-</w:t>
        <w:tab/>
        <w:t>(</w:t>
        <w:tab/>
        <w:t>8,877,629)</w:t>
      </w:r>
    </w:p>
    <w:p>
      <w:pPr>
        <w:tabs>
          <w:tab w:pos="4143" w:val="left" w:leader="none"/>
          <w:tab w:pos="5544" w:val="left" w:leader="none"/>
          <w:tab w:pos="6173" w:val="left" w:leader="none"/>
          <w:tab w:pos="8376" w:val="left" w:leader="none"/>
          <w:tab w:pos="9891" w:val="left" w:leader="none"/>
          <w:tab w:pos="11592" w:val="left" w:leader="none"/>
          <w:tab w:pos="11959" w:val="left" w:leader="none"/>
          <w:tab w:pos="12319" w:val="left" w:leader="none"/>
          <w:tab w:pos="14568" w:val="left" w:leader="none"/>
          <w:tab w:pos="14967" w:val="left" w:leader="none"/>
          <w:tab w:pos="15298" w:val="left" w:leader="none"/>
        </w:tabs>
        <w:spacing w:before="6"/>
        <w:ind w:left="365" w:right="0" w:firstLine="0"/>
        <w:jc w:val="left"/>
        <w:rPr>
          <w:rFonts w:ascii="Arial" w:hAnsi="Arial" w:cs="Arial" w:eastAsia="Arial" w:hint="default"/>
          <w:sz w:val="18"/>
          <w:szCs w:val="18"/>
        </w:rPr>
      </w:pPr>
      <w:r>
        <w:rPr>
          <w:rFonts w:ascii="Arial" w:hAnsi="Arial" w:cs="Arial" w:eastAsia="Arial" w:hint="default"/>
          <w:w w:val="95"/>
          <w:sz w:val="18"/>
          <w:szCs w:val="18"/>
        </w:rPr>
        <w:t>3.</w:t>
      </w:r>
      <w:r>
        <w:rPr>
          <w:rFonts w:ascii="黑体" w:hAnsi="黑体" w:cs="黑体" w:eastAsia="黑体" w:hint="default"/>
          <w:w w:val="95"/>
          <w:sz w:val="18"/>
          <w:szCs w:val="18"/>
        </w:rPr>
        <w:t>股份回购</w:t>
      </w:r>
      <w:r>
        <w:rPr>
          <w:rFonts w:ascii="Arial" w:hAnsi="Arial" w:cs="Arial" w:eastAsia="Arial" w:hint="default"/>
          <w:w w:val="95"/>
          <w:sz w:val="18"/>
          <w:szCs w:val="18"/>
        </w:rPr>
        <w:t>(</w:t>
      </w:r>
      <w:r>
        <w:rPr>
          <w:rFonts w:ascii="黑体" w:hAnsi="黑体" w:cs="黑体" w:eastAsia="黑体" w:hint="default"/>
          <w:w w:val="95"/>
          <w:sz w:val="18"/>
          <w:szCs w:val="18"/>
        </w:rPr>
        <w:t>附注五、</w:t>
      </w:r>
      <w:r>
        <w:rPr>
          <w:rFonts w:ascii="Arial" w:hAnsi="Arial" w:cs="Arial" w:eastAsia="Arial" w:hint="default"/>
          <w:w w:val="95"/>
          <w:sz w:val="18"/>
          <w:szCs w:val="18"/>
        </w:rPr>
        <w:t>32)</w:t>
        <w:tab/>
      </w:r>
      <w:r>
        <w:rPr>
          <w:rFonts w:ascii="Arial" w:hAnsi="Arial" w:cs="Arial" w:eastAsia="Arial" w:hint="default"/>
          <w:sz w:val="18"/>
          <w:szCs w:val="18"/>
        </w:rPr>
        <w:t>-</w:t>
        <w:tab/>
        <w:t>-</w:t>
        <w:tab/>
      </w:r>
      <w:r>
        <w:rPr>
          <w:rFonts w:ascii="Arial" w:hAnsi="Arial" w:cs="Arial" w:eastAsia="Arial" w:hint="default"/>
          <w:spacing w:val="-1"/>
          <w:sz w:val="18"/>
          <w:szCs w:val="18"/>
        </w:rPr>
        <w:t>20,001,895</w:t>
        <w:tab/>
      </w:r>
      <w:r>
        <w:rPr>
          <w:rFonts w:ascii="Arial" w:hAnsi="Arial" w:cs="Arial" w:eastAsia="Arial" w:hint="default"/>
          <w:sz w:val="18"/>
          <w:szCs w:val="18"/>
        </w:rPr>
        <w:t>-</w:t>
        <w:tab/>
        <w:t>-</w:t>
        <w:tab/>
        <w:t>-</w:t>
        <w:tab/>
        <w:t>(</w:t>
        <w:tab/>
        <w:t>20,001,895)</w:t>
        <w:tab/>
        <w:t>-</w:t>
        <w:tab/>
        <w:t>(</w:t>
        <w:tab/>
        <w:t>20,001,895)</w:t>
      </w:r>
    </w:p>
    <w:p>
      <w:pPr>
        <w:spacing w:line="240" w:lineRule="auto" w:before="2"/>
        <w:rPr>
          <w:rFonts w:ascii="Arial" w:hAnsi="Arial" w:cs="Arial" w:eastAsia="Arial"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2776"/>
        <w:gridCol w:w="1512"/>
        <w:gridCol w:w="1483"/>
        <w:gridCol w:w="1340"/>
        <w:gridCol w:w="1384"/>
        <w:gridCol w:w="1837"/>
        <w:gridCol w:w="1362"/>
        <w:gridCol w:w="1667"/>
        <w:gridCol w:w="1362"/>
        <w:gridCol w:w="1461"/>
      </w:tblGrid>
      <w:tr>
        <w:trPr>
          <w:trHeight w:val="254" w:hRule="exact"/>
        </w:trPr>
        <w:tc>
          <w:tcPr>
            <w:tcW w:w="2776" w:type="dxa"/>
            <w:tcBorders>
              <w:top w:val="nil" w:sz="6" w:space="0" w:color="auto"/>
              <w:left w:val="nil" w:sz="6" w:space="0" w:color="auto"/>
              <w:bottom w:val="nil" w:sz="6" w:space="0" w:color="auto"/>
              <w:right w:val="nil" w:sz="6" w:space="0" w:color="auto"/>
            </w:tcBorders>
          </w:tcPr>
          <w:p>
            <w:pPr>
              <w:pStyle w:val="TableParagraph"/>
              <w:spacing w:line="221" w:lineRule="exact"/>
              <w:ind w:left="246" w:right="0"/>
              <w:jc w:val="left"/>
              <w:rPr>
                <w:rFonts w:ascii="Arial" w:hAnsi="Arial" w:cs="Arial" w:eastAsia="Arial" w:hint="default"/>
                <w:sz w:val="18"/>
                <w:szCs w:val="18"/>
              </w:rPr>
            </w:pPr>
            <w:r>
              <w:rPr>
                <w:rFonts w:ascii="Arial" w:hAnsi="Arial" w:cs="Arial" w:eastAsia="Arial" w:hint="default"/>
                <w:sz w:val="18"/>
                <w:szCs w:val="18"/>
              </w:rPr>
              <w:t>4.</w:t>
            </w:r>
            <w:r>
              <w:rPr>
                <w:rFonts w:ascii="黑体" w:hAnsi="黑体" w:cs="黑体" w:eastAsia="黑体" w:hint="default"/>
                <w:sz w:val="18"/>
                <w:szCs w:val="18"/>
              </w:rPr>
              <w:t>其他</w:t>
            </w:r>
            <w:r>
              <w:rPr>
                <w:rFonts w:ascii="Arial" w:hAnsi="Arial" w:cs="Arial" w:eastAsia="Arial" w:hint="default"/>
                <w:sz w:val="18"/>
                <w:szCs w:val="18"/>
              </w:rPr>
              <w:t>(</w:t>
            </w:r>
            <w:r>
              <w:rPr>
                <w:rFonts w:ascii="黑体" w:hAnsi="黑体" w:cs="黑体" w:eastAsia="黑体" w:hint="default"/>
                <w:sz w:val="18"/>
                <w:szCs w:val="18"/>
              </w:rPr>
              <w:t>附注五、</w:t>
            </w:r>
            <w:r>
              <w:rPr>
                <w:rFonts w:ascii="Arial" w:hAnsi="Arial" w:cs="Arial" w:eastAsia="Arial" w:hint="default"/>
                <w:sz w:val="18"/>
                <w:szCs w:val="18"/>
              </w:rPr>
              <w:t>31)</w:t>
            </w:r>
          </w:p>
        </w:tc>
        <w:tc>
          <w:tcPr>
            <w:tcW w:w="1512" w:type="dxa"/>
            <w:tcBorders>
              <w:top w:val="nil" w:sz="6" w:space="0" w:color="auto"/>
              <w:left w:val="nil" w:sz="6" w:space="0" w:color="auto"/>
              <w:bottom w:val="nil" w:sz="6" w:space="0" w:color="auto"/>
              <w:right w:val="nil" w:sz="6" w:space="0" w:color="auto"/>
            </w:tcBorders>
          </w:tcPr>
          <w:p>
            <w:pPr>
              <w:pStyle w:val="TableParagraph"/>
              <w:tabs>
                <w:tab w:pos="1048" w:val="left" w:leader="none"/>
              </w:tabs>
              <w:spacing w:line="240" w:lineRule="auto" w:before="14"/>
              <w:ind w:left="54" w:right="0"/>
              <w:jc w:val="center"/>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01"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9"/>
                <w:sz w:val="18"/>
                <w:u w:val="single" w:color="000000"/>
              </w:rPr>
              <w:t> </w:t>
            </w:r>
            <w:r>
              <w:rPr>
                <w:rFonts w:ascii="Arial"/>
                <w:sz w:val="18"/>
                <w:u w:val="single" w:color="000000"/>
              </w:rPr>
              <w:t>12,258,633</w:t>
            </w:r>
            <w:r>
              <w:rPr>
                <w:rFonts w:ascii="Arial"/>
                <w:sz w:val="18"/>
              </w:rPr>
            </w:r>
          </w:p>
        </w:tc>
        <w:tc>
          <w:tcPr>
            <w:tcW w:w="1340" w:type="dxa"/>
            <w:tcBorders>
              <w:top w:val="nil" w:sz="6" w:space="0" w:color="auto"/>
              <w:left w:val="nil" w:sz="6" w:space="0" w:color="auto"/>
              <w:bottom w:val="nil" w:sz="6" w:space="0" w:color="auto"/>
              <w:right w:val="nil" w:sz="6" w:space="0" w:color="auto"/>
            </w:tcBorders>
          </w:tcPr>
          <w:p>
            <w:pPr>
              <w:pStyle w:val="TableParagraph"/>
              <w:tabs>
                <w:tab w:pos="813" w:val="left" w:leader="none"/>
              </w:tabs>
              <w:spacing w:line="240" w:lineRule="auto" w:before="14"/>
              <w:ind w:right="15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384" w:type="dxa"/>
            <w:tcBorders>
              <w:top w:val="nil" w:sz="6" w:space="0" w:color="auto"/>
              <w:left w:val="nil" w:sz="6" w:space="0" w:color="auto"/>
              <w:bottom w:val="nil" w:sz="6" w:space="0" w:color="auto"/>
              <w:right w:val="nil" w:sz="6" w:space="0" w:color="auto"/>
            </w:tcBorders>
          </w:tcPr>
          <w:p>
            <w:pPr>
              <w:pStyle w:val="TableParagraph"/>
              <w:tabs>
                <w:tab w:pos="993" w:val="left" w:leader="none"/>
              </w:tabs>
              <w:spacing w:line="240" w:lineRule="auto" w:before="14"/>
              <w:ind w:right="18"/>
              <w:jc w:val="center"/>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837" w:type="dxa"/>
            <w:tcBorders>
              <w:top w:val="nil" w:sz="6" w:space="0" w:color="auto"/>
              <w:left w:val="nil" w:sz="6" w:space="0" w:color="auto"/>
              <w:bottom w:val="nil" w:sz="6" w:space="0" w:color="auto"/>
              <w:right w:val="nil" w:sz="6" w:space="0" w:color="auto"/>
            </w:tcBorders>
          </w:tcPr>
          <w:p>
            <w:pPr>
              <w:pStyle w:val="TableParagraph"/>
              <w:tabs>
                <w:tab w:pos="1279" w:val="left" w:leader="none"/>
              </w:tabs>
              <w:spacing w:line="240" w:lineRule="auto" w:before="14"/>
              <w:ind w:left="196"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362" w:type="dxa"/>
            <w:tcBorders>
              <w:top w:val="nil" w:sz="6" w:space="0" w:color="auto"/>
              <w:left w:val="nil" w:sz="6" w:space="0" w:color="auto"/>
              <w:bottom w:val="nil" w:sz="6" w:space="0" w:color="auto"/>
              <w:right w:val="nil" w:sz="6" w:space="0" w:color="auto"/>
            </w:tcBorders>
          </w:tcPr>
          <w:p>
            <w:pPr>
              <w:pStyle w:val="TableParagraph"/>
              <w:tabs>
                <w:tab w:pos="722" w:val="left" w:leader="none"/>
              </w:tabs>
              <w:spacing w:line="240" w:lineRule="auto" w:before="14"/>
              <w:ind w:right="15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667" w:type="dxa"/>
            <w:tcBorders>
              <w:top w:val="nil" w:sz="6" w:space="0" w:color="auto"/>
              <w:left w:val="nil" w:sz="6" w:space="0" w:color="auto"/>
              <w:bottom w:val="nil" w:sz="6" w:space="0" w:color="auto"/>
              <w:right w:val="nil" w:sz="6" w:space="0" w:color="auto"/>
            </w:tcBorders>
          </w:tcPr>
          <w:p>
            <w:pPr>
              <w:pStyle w:val="TableParagraph"/>
              <w:tabs>
                <w:tab w:pos="271" w:val="left" w:leader="none"/>
              </w:tabs>
              <w:spacing w:line="240" w:lineRule="auto" w:before="14"/>
              <w:ind w:right="15"/>
              <w:jc w:val="center"/>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12,258,633</w:t>
            </w:r>
            <w:r>
              <w:rPr>
                <w:rFonts w:ascii="Arial"/>
                <w:sz w:val="18"/>
              </w:rPr>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54" w:right="0"/>
              <w:jc w:val="center"/>
              <w:rPr>
                <w:rFonts w:ascii="Arial" w:hAnsi="Arial" w:cs="Arial" w:eastAsia="Arial" w:hint="default"/>
                <w:sz w:val="18"/>
                <w:szCs w:val="18"/>
              </w:rPr>
            </w:pPr>
            <w:r>
              <w:rPr>
                <w:rFonts w:ascii="Arial"/>
                <w:sz w:val="18"/>
              </w:rPr>
              <w:t>(</w:t>
            </w:r>
            <w:r>
              <w:rPr>
                <w:rFonts w:ascii="Arial"/>
                <w:sz w:val="18"/>
                <w:u w:val="single" w:color="000000"/>
              </w:rPr>
              <w:t>12,258,633</w:t>
            </w:r>
            <w:r>
              <w:rPr>
                <w:rFonts w:ascii="Arial"/>
                <w:spacing w:val="-38"/>
                <w:sz w:val="18"/>
                <w:u w:val="single" w:color="000000"/>
              </w:rPr>
              <w:t> </w:t>
            </w:r>
            <w:r>
              <w:rPr>
                <w:rFonts w:ascii="Arial"/>
                <w:spacing w:val="-38"/>
                <w:sz w:val="18"/>
              </w:rPr>
            </w:r>
            <w:r>
              <w:rPr>
                <w:rFonts w:ascii="Arial"/>
                <w:sz w:val="18"/>
              </w:rPr>
              <w:t>)</w:t>
            </w:r>
          </w:p>
        </w:tc>
        <w:tc>
          <w:tcPr>
            <w:tcW w:w="1461" w:type="dxa"/>
            <w:tcBorders>
              <w:top w:val="nil" w:sz="6" w:space="0" w:color="auto"/>
              <w:left w:val="nil" w:sz="6" w:space="0" w:color="auto"/>
              <w:bottom w:val="nil" w:sz="6" w:space="0" w:color="auto"/>
              <w:right w:val="nil" w:sz="6" w:space="0" w:color="auto"/>
            </w:tcBorders>
          </w:tcPr>
          <w:p>
            <w:pPr>
              <w:pStyle w:val="TableParagraph"/>
              <w:tabs>
                <w:tab w:pos="1286" w:val="left" w:leader="none"/>
              </w:tabs>
              <w:spacing w:line="240" w:lineRule="auto" w:before="14"/>
              <w:ind w:left="163"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r>
      <w:tr>
        <w:trPr>
          <w:trHeight w:val="377" w:hRule="exact"/>
        </w:trPr>
        <w:tc>
          <w:tcPr>
            <w:tcW w:w="2776" w:type="dxa"/>
            <w:tcBorders>
              <w:top w:val="nil" w:sz="6" w:space="0" w:color="auto"/>
              <w:left w:val="nil" w:sz="6" w:space="0" w:color="auto"/>
              <w:bottom w:val="nil" w:sz="6" w:space="0" w:color="auto"/>
              <w:right w:val="nil" w:sz="6" w:space="0" w:color="auto"/>
            </w:tcBorders>
          </w:tcPr>
          <w:p>
            <w:pPr/>
          </w:p>
        </w:tc>
        <w:tc>
          <w:tcPr>
            <w:tcW w:w="1512" w:type="dxa"/>
            <w:tcBorders>
              <w:top w:val="nil" w:sz="6" w:space="0" w:color="auto"/>
              <w:left w:val="nil" w:sz="6" w:space="0" w:color="auto"/>
              <w:bottom w:val="nil" w:sz="6" w:space="0" w:color="auto"/>
              <w:right w:val="nil" w:sz="6" w:space="0" w:color="auto"/>
            </w:tcBorders>
          </w:tcPr>
          <w:p>
            <w:pPr>
              <w:pStyle w:val="TableParagraph"/>
              <w:tabs>
                <w:tab w:pos="1048" w:val="left" w:leader="none"/>
              </w:tabs>
              <w:spacing w:line="240" w:lineRule="auto" w:before="14"/>
              <w:ind w:left="54" w:right="0"/>
              <w:jc w:val="center"/>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18"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8"/>
                <w:sz w:val="18"/>
                <w:u w:val="single" w:color="000000"/>
              </w:rPr>
              <w:t> </w:t>
            </w:r>
            <w:r>
              <w:rPr>
                <w:rFonts w:ascii="Arial"/>
                <w:sz w:val="18"/>
                <w:u w:val="single" w:color="000000"/>
              </w:rPr>
              <w:t>3,381,004</w:t>
            </w:r>
            <w:r>
              <w:rPr>
                <w:rFonts w:ascii="Arial"/>
                <w:sz w:val="18"/>
              </w:rPr>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5"/>
              <w:jc w:val="right"/>
              <w:rPr>
                <w:rFonts w:ascii="Arial" w:hAnsi="Arial" w:cs="Arial" w:eastAsia="Arial" w:hint="default"/>
                <w:sz w:val="18"/>
                <w:szCs w:val="18"/>
              </w:rPr>
            </w:pPr>
            <w:r>
              <w:rPr>
                <w:rFonts w:ascii="Arial"/>
                <w:w w:val="99"/>
                <w:sz w:val="18"/>
              </w:rPr>
            </w:r>
            <w:r>
              <w:rPr>
                <w:rFonts w:ascii="Arial"/>
                <w:spacing w:val="-1"/>
                <w:sz w:val="18"/>
                <w:u w:val="single" w:color="000000"/>
              </w:rPr>
              <w:t>20,001,895</w:t>
            </w:r>
            <w:r>
              <w:rPr>
                <w:rFonts w:ascii="Arial"/>
                <w:spacing w:val="-1"/>
                <w:sz w:val="18"/>
              </w:rPr>
            </w:r>
          </w:p>
        </w:tc>
        <w:tc>
          <w:tcPr>
            <w:tcW w:w="1384" w:type="dxa"/>
            <w:tcBorders>
              <w:top w:val="nil" w:sz="6" w:space="0" w:color="auto"/>
              <w:left w:val="nil" w:sz="6" w:space="0" w:color="auto"/>
              <w:bottom w:val="nil" w:sz="6" w:space="0" w:color="auto"/>
              <w:right w:val="nil" w:sz="6" w:space="0" w:color="auto"/>
            </w:tcBorders>
          </w:tcPr>
          <w:p>
            <w:pPr>
              <w:pStyle w:val="TableParagraph"/>
              <w:tabs>
                <w:tab w:pos="993" w:val="left" w:leader="none"/>
              </w:tabs>
              <w:spacing w:line="240" w:lineRule="auto" w:before="14"/>
              <w:ind w:right="18"/>
              <w:jc w:val="center"/>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837" w:type="dxa"/>
            <w:tcBorders>
              <w:top w:val="nil" w:sz="6" w:space="0" w:color="auto"/>
              <w:left w:val="nil" w:sz="6" w:space="0" w:color="auto"/>
              <w:bottom w:val="nil" w:sz="6" w:space="0" w:color="auto"/>
              <w:right w:val="nil" w:sz="6" w:space="0" w:color="auto"/>
            </w:tcBorders>
          </w:tcPr>
          <w:p>
            <w:pPr>
              <w:pStyle w:val="TableParagraph"/>
              <w:tabs>
                <w:tab w:pos="1279" w:val="left" w:leader="none"/>
              </w:tabs>
              <w:spacing w:line="240" w:lineRule="auto" w:before="14"/>
              <w:ind w:left="196"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362" w:type="dxa"/>
            <w:tcBorders>
              <w:top w:val="nil" w:sz="6" w:space="0" w:color="auto"/>
              <w:left w:val="nil" w:sz="6" w:space="0" w:color="auto"/>
              <w:bottom w:val="nil" w:sz="6" w:space="0" w:color="auto"/>
              <w:right w:val="nil" w:sz="6" w:space="0" w:color="auto"/>
            </w:tcBorders>
          </w:tcPr>
          <w:p>
            <w:pPr>
              <w:pStyle w:val="TableParagraph"/>
              <w:tabs>
                <w:tab w:pos="722" w:val="left" w:leader="none"/>
              </w:tabs>
              <w:spacing w:line="240" w:lineRule="auto" w:before="14"/>
              <w:ind w:right="15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667" w:type="dxa"/>
            <w:tcBorders>
              <w:top w:val="nil" w:sz="6" w:space="0" w:color="auto"/>
              <w:left w:val="nil" w:sz="6" w:space="0" w:color="auto"/>
              <w:bottom w:val="nil" w:sz="6" w:space="0" w:color="auto"/>
              <w:right w:val="nil" w:sz="6" w:space="0" w:color="auto"/>
            </w:tcBorders>
          </w:tcPr>
          <w:p>
            <w:pPr>
              <w:pStyle w:val="TableParagraph"/>
              <w:tabs>
                <w:tab w:pos="352" w:val="left" w:leader="none"/>
              </w:tabs>
              <w:spacing w:line="240" w:lineRule="auto" w:before="14"/>
              <w:ind w:right="28"/>
              <w:jc w:val="center"/>
              <w:rPr>
                <w:rFonts w:ascii="Arial" w:hAnsi="Arial" w:cs="Arial" w:eastAsia="Arial" w:hint="default"/>
                <w:sz w:val="18"/>
                <w:szCs w:val="18"/>
              </w:rPr>
            </w:pPr>
            <w:r>
              <w:rPr>
                <w:rFonts w:ascii="Arial"/>
                <w:sz w:val="18"/>
              </w:rPr>
              <w:t>(</w:t>
            </w:r>
            <w:r>
              <w:rPr>
                <w:rFonts w:ascii="Arial"/>
                <w:sz w:val="18"/>
                <w:u w:val="single" w:color="000000"/>
              </w:rPr>
              <w:t> </w:t>
              <w:tab/>
              <w:t>16,620,891</w:t>
            </w:r>
            <w:r>
              <w:rPr>
                <w:rFonts w:ascii="Arial"/>
                <w:sz w:val="18"/>
              </w:rPr>
              <w:t>)</w:t>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56" w:right="0"/>
              <w:jc w:val="center"/>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9"/>
                <w:sz w:val="18"/>
                <w:u w:val="single" w:color="000000"/>
              </w:rPr>
              <w:t> </w:t>
            </w:r>
            <w:r>
              <w:rPr>
                <w:rFonts w:ascii="Arial"/>
                <w:sz w:val="18"/>
                <w:u w:val="single" w:color="000000"/>
              </w:rPr>
              <w:t>7,376,361</w:t>
            </w:r>
            <w:r>
              <w:rPr>
                <w:rFonts w:ascii="Arial"/>
                <w:sz w:val="18"/>
              </w:rPr>
            </w:r>
          </w:p>
        </w:tc>
        <w:tc>
          <w:tcPr>
            <w:tcW w:w="1461" w:type="dxa"/>
            <w:tcBorders>
              <w:top w:val="nil" w:sz="6" w:space="0" w:color="auto"/>
              <w:left w:val="nil" w:sz="6" w:space="0" w:color="auto"/>
              <w:bottom w:val="nil" w:sz="6" w:space="0" w:color="auto"/>
              <w:right w:val="nil" w:sz="6" w:space="0" w:color="auto"/>
            </w:tcBorders>
          </w:tcPr>
          <w:p>
            <w:pPr>
              <w:pStyle w:val="TableParagraph"/>
              <w:tabs>
                <w:tab w:pos="556" w:val="left" w:leader="none"/>
              </w:tabs>
              <w:spacing w:line="240" w:lineRule="auto" w:before="14"/>
              <w:ind w:left="134" w:right="0"/>
              <w:jc w:val="left"/>
              <w:rPr>
                <w:rFonts w:ascii="Arial" w:hAnsi="Arial" w:cs="Arial" w:eastAsia="Arial" w:hint="default"/>
                <w:sz w:val="18"/>
                <w:szCs w:val="18"/>
              </w:rPr>
            </w:pPr>
            <w:r>
              <w:rPr>
                <w:rFonts w:ascii="Arial"/>
                <w:sz w:val="18"/>
              </w:rPr>
              <w:t>(</w:t>
            </w:r>
            <w:r>
              <w:rPr>
                <w:rFonts w:ascii="Arial"/>
                <w:sz w:val="18"/>
                <w:u w:val="single" w:color="000000"/>
              </w:rPr>
              <w:t> </w:t>
              <w:tab/>
              <w:t>9,244,530</w:t>
            </w:r>
            <w:r>
              <w:rPr>
                <w:rFonts w:ascii="Arial"/>
                <w:sz w:val="18"/>
              </w:rPr>
              <w:t>)</w:t>
            </w:r>
          </w:p>
        </w:tc>
      </w:tr>
      <w:tr>
        <w:trPr>
          <w:trHeight w:val="383" w:hRule="exact"/>
        </w:trPr>
        <w:tc>
          <w:tcPr>
            <w:tcW w:w="2776"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5"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四</w:t>
            </w:r>
            <w:r>
              <w:rPr>
                <w:rFonts w:ascii="Arial" w:hAnsi="Arial" w:cs="Arial" w:eastAsia="Arial" w:hint="default"/>
                <w:sz w:val="18"/>
                <w:szCs w:val="18"/>
              </w:rPr>
              <w:t>)</w:t>
            </w:r>
            <w:r>
              <w:rPr>
                <w:rFonts w:ascii="Arial" w:hAnsi="Arial" w:cs="Arial" w:eastAsia="Arial" w:hint="default"/>
                <w:spacing w:val="41"/>
                <w:sz w:val="18"/>
                <w:szCs w:val="18"/>
              </w:rPr>
              <w:t> </w:t>
            </w:r>
            <w:r>
              <w:rPr>
                <w:rFonts w:ascii="黑体" w:hAnsi="黑体" w:cs="黑体" w:eastAsia="黑体" w:hint="default"/>
                <w:sz w:val="18"/>
                <w:szCs w:val="18"/>
              </w:rPr>
              <w:t>利润分配</w:t>
            </w:r>
          </w:p>
        </w:tc>
        <w:tc>
          <w:tcPr>
            <w:tcW w:w="5719" w:type="dxa"/>
            <w:gridSpan w:val="4"/>
            <w:tcBorders>
              <w:top w:val="nil" w:sz="6" w:space="0" w:color="auto"/>
              <w:left w:val="nil" w:sz="6" w:space="0" w:color="auto"/>
              <w:bottom w:val="nil" w:sz="6" w:space="0" w:color="auto"/>
              <w:right w:val="nil" w:sz="6" w:space="0" w:color="auto"/>
            </w:tcBorders>
          </w:tcPr>
          <w:p>
            <w:pPr/>
          </w:p>
        </w:tc>
        <w:tc>
          <w:tcPr>
            <w:tcW w:w="1837" w:type="dxa"/>
            <w:tcBorders>
              <w:top w:val="nil" w:sz="6" w:space="0" w:color="auto"/>
              <w:left w:val="nil" w:sz="6" w:space="0" w:color="auto"/>
              <w:bottom w:val="nil" w:sz="6" w:space="0" w:color="auto"/>
              <w:right w:val="nil" w:sz="6" w:space="0" w:color="auto"/>
            </w:tcBorders>
          </w:tcPr>
          <w:p>
            <w:pPr/>
          </w:p>
        </w:tc>
        <w:tc>
          <w:tcPr>
            <w:tcW w:w="5851" w:type="dxa"/>
            <w:gridSpan w:val="4"/>
            <w:tcBorders>
              <w:top w:val="nil" w:sz="6" w:space="0" w:color="auto"/>
              <w:left w:val="nil" w:sz="6" w:space="0" w:color="auto"/>
              <w:bottom w:val="nil" w:sz="6" w:space="0" w:color="auto"/>
              <w:right w:val="nil" w:sz="6" w:space="0" w:color="auto"/>
            </w:tcBorders>
          </w:tcPr>
          <w:p>
            <w:pPr/>
          </w:p>
        </w:tc>
      </w:tr>
      <w:tr>
        <w:trPr>
          <w:trHeight w:val="256" w:hRule="exact"/>
        </w:trPr>
        <w:tc>
          <w:tcPr>
            <w:tcW w:w="2776" w:type="dxa"/>
            <w:tcBorders>
              <w:top w:val="nil" w:sz="6" w:space="0" w:color="auto"/>
              <w:left w:val="nil" w:sz="6" w:space="0" w:color="auto"/>
              <w:bottom w:val="nil" w:sz="6" w:space="0" w:color="auto"/>
              <w:right w:val="nil" w:sz="6" w:space="0" w:color="auto"/>
            </w:tcBorders>
          </w:tcPr>
          <w:p>
            <w:pPr>
              <w:pStyle w:val="TableParagraph"/>
              <w:spacing w:line="227" w:lineRule="exact"/>
              <w:ind w:right="254"/>
              <w:jc w:val="right"/>
              <w:rPr>
                <w:rFonts w:ascii="Arial" w:hAnsi="Arial" w:cs="Arial" w:eastAsia="Arial" w:hint="default"/>
                <w:sz w:val="18"/>
                <w:szCs w:val="18"/>
              </w:rPr>
            </w:pPr>
            <w:r>
              <w:rPr>
                <w:rFonts w:ascii="Arial" w:hAnsi="Arial" w:cs="Arial" w:eastAsia="Arial" w:hint="default"/>
                <w:w w:val="95"/>
                <w:sz w:val="18"/>
                <w:szCs w:val="18"/>
              </w:rPr>
              <w:t>1.</w:t>
            </w:r>
            <w:r>
              <w:rPr>
                <w:rFonts w:ascii="黑体" w:hAnsi="黑体" w:cs="黑体" w:eastAsia="黑体" w:hint="default"/>
                <w:w w:val="95"/>
                <w:sz w:val="18"/>
                <w:szCs w:val="18"/>
              </w:rPr>
              <w:t>提取盈余公积</w:t>
            </w:r>
            <w:r>
              <w:rPr>
                <w:rFonts w:ascii="Arial" w:hAnsi="Arial" w:cs="Arial" w:eastAsia="Arial" w:hint="default"/>
                <w:w w:val="95"/>
                <w:sz w:val="18"/>
                <w:szCs w:val="18"/>
              </w:rPr>
              <w:t>(</w:t>
            </w:r>
            <w:r>
              <w:rPr>
                <w:rFonts w:ascii="黑体" w:hAnsi="黑体" w:cs="黑体" w:eastAsia="黑体" w:hint="default"/>
                <w:w w:val="95"/>
                <w:sz w:val="18"/>
                <w:szCs w:val="18"/>
              </w:rPr>
              <w:t>附注五、</w:t>
            </w:r>
            <w:r>
              <w:rPr>
                <w:rFonts w:ascii="Arial" w:hAnsi="Arial" w:cs="Arial" w:eastAsia="Arial" w:hint="default"/>
                <w:w w:val="95"/>
                <w:sz w:val="18"/>
                <w:szCs w:val="18"/>
              </w:rPr>
              <w:t>33)</w:t>
            </w:r>
            <w:r>
              <w:rPr>
                <w:rFonts w:ascii="Arial" w:hAnsi="Arial" w:cs="Arial" w:eastAsia="Arial" w:hint="default"/>
                <w:sz w:val="18"/>
                <w:szCs w:val="18"/>
              </w:rPr>
            </w:r>
          </w:p>
        </w:tc>
        <w:tc>
          <w:tcPr>
            <w:tcW w:w="5719" w:type="dxa"/>
            <w:gridSpan w:val="4"/>
            <w:tcBorders>
              <w:top w:val="nil" w:sz="6" w:space="0" w:color="auto"/>
              <w:left w:val="nil" w:sz="6" w:space="0" w:color="auto"/>
              <w:bottom w:val="nil" w:sz="6" w:space="0" w:color="auto"/>
              <w:right w:val="nil" w:sz="6" w:space="0" w:color="auto"/>
            </w:tcBorders>
          </w:tcPr>
          <w:p>
            <w:pPr>
              <w:pStyle w:val="TableParagraph"/>
              <w:tabs>
                <w:tab w:pos="2644" w:val="left" w:leader="none"/>
                <w:tab w:pos="4113" w:val="left" w:leader="none"/>
                <w:tab w:pos="4638" w:val="left" w:leader="none"/>
              </w:tabs>
              <w:spacing w:line="240" w:lineRule="auto" w:before="20"/>
              <w:ind w:left="1247" w:right="0"/>
              <w:jc w:val="left"/>
              <w:rPr>
                <w:rFonts w:ascii="Arial" w:hAnsi="Arial" w:cs="Arial" w:eastAsia="Arial" w:hint="default"/>
                <w:sz w:val="18"/>
                <w:szCs w:val="18"/>
              </w:rPr>
            </w:pPr>
            <w:r>
              <w:rPr>
                <w:rFonts w:ascii="Arial"/>
                <w:sz w:val="18"/>
              </w:rPr>
              <w:t>-</w:t>
              <w:tab/>
              <w:t>-</w:t>
              <w:tab/>
              <w:t>-</w:t>
              <w:tab/>
              <w:t>63,985,770</w:t>
            </w:r>
          </w:p>
        </w:tc>
        <w:tc>
          <w:tcPr>
            <w:tcW w:w="1837" w:type="dxa"/>
            <w:tcBorders>
              <w:top w:val="nil" w:sz="6" w:space="0" w:color="auto"/>
              <w:left w:val="nil" w:sz="6" w:space="0" w:color="auto"/>
              <w:bottom w:val="nil" w:sz="6" w:space="0" w:color="auto"/>
              <w:right w:val="nil" w:sz="6" w:space="0" w:color="auto"/>
            </w:tcBorders>
          </w:tcPr>
          <w:p>
            <w:pPr>
              <w:pStyle w:val="TableParagraph"/>
              <w:tabs>
                <w:tab w:pos="436" w:val="left" w:leader="none"/>
              </w:tabs>
              <w:spacing w:line="240" w:lineRule="auto" w:before="20"/>
              <w:ind w:left="175" w:right="0"/>
              <w:jc w:val="left"/>
              <w:rPr>
                <w:rFonts w:ascii="Arial" w:hAnsi="Arial" w:cs="Arial" w:eastAsia="Arial" w:hint="default"/>
                <w:sz w:val="18"/>
                <w:szCs w:val="18"/>
              </w:rPr>
            </w:pPr>
            <w:r>
              <w:rPr>
                <w:rFonts w:ascii="Arial"/>
                <w:sz w:val="18"/>
              </w:rPr>
              <w:t>(</w:t>
              <w:tab/>
              <w:t>63,985,770</w:t>
            </w:r>
            <w:r>
              <w:rPr>
                <w:rFonts w:ascii="Arial"/>
                <w:spacing w:val="-38"/>
                <w:sz w:val="18"/>
              </w:rPr>
              <w:t> </w:t>
            </w:r>
            <w:r>
              <w:rPr>
                <w:rFonts w:ascii="Arial"/>
                <w:sz w:val="18"/>
              </w:rPr>
              <w:t>)</w:t>
            </w:r>
          </w:p>
        </w:tc>
        <w:tc>
          <w:tcPr>
            <w:tcW w:w="5851" w:type="dxa"/>
            <w:gridSpan w:val="4"/>
            <w:tcBorders>
              <w:top w:val="nil" w:sz="6" w:space="0" w:color="auto"/>
              <w:left w:val="nil" w:sz="6" w:space="0" w:color="auto"/>
              <w:bottom w:val="nil" w:sz="6" w:space="0" w:color="auto"/>
              <w:right w:val="nil" w:sz="6" w:space="0" w:color="auto"/>
            </w:tcBorders>
          </w:tcPr>
          <w:p>
            <w:pPr>
              <w:pStyle w:val="TableParagraph"/>
              <w:tabs>
                <w:tab w:pos="2674" w:val="left" w:leader="none"/>
                <w:tab w:pos="4117" w:val="left" w:leader="none"/>
                <w:tab w:pos="5650" w:val="left" w:leader="none"/>
              </w:tabs>
              <w:spacing w:line="240" w:lineRule="auto" w:before="20"/>
              <w:ind w:left="1141" w:right="0"/>
              <w:jc w:val="left"/>
              <w:rPr>
                <w:rFonts w:ascii="Arial" w:hAnsi="Arial" w:cs="Arial" w:eastAsia="Arial" w:hint="default"/>
                <w:sz w:val="18"/>
                <w:szCs w:val="18"/>
              </w:rPr>
            </w:pPr>
            <w:r>
              <w:rPr>
                <w:rFonts w:ascii="Arial"/>
                <w:sz w:val="18"/>
              </w:rPr>
              <w:t>-</w:t>
              <w:tab/>
              <w:t>-</w:t>
              <w:tab/>
              <w:t>-</w:t>
              <w:tab/>
              <w:t>-</w:t>
            </w:r>
          </w:p>
        </w:tc>
      </w:tr>
      <w:tr>
        <w:trPr>
          <w:trHeight w:val="259" w:hRule="exact"/>
        </w:trPr>
        <w:tc>
          <w:tcPr>
            <w:tcW w:w="2776" w:type="dxa"/>
            <w:tcBorders>
              <w:top w:val="nil" w:sz="6" w:space="0" w:color="auto"/>
              <w:left w:val="nil" w:sz="6" w:space="0" w:color="auto"/>
              <w:bottom w:val="nil" w:sz="6" w:space="0" w:color="auto"/>
              <w:right w:val="nil" w:sz="6" w:space="0" w:color="auto"/>
            </w:tcBorders>
          </w:tcPr>
          <w:p>
            <w:pPr>
              <w:pStyle w:val="TableParagraph"/>
              <w:spacing w:line="226" w:lineRule="exact"/>
              <w:ind w:right="254"/>
              <w:jc w:val="right"/>
              <w:rPr>
                <w:rFonts w:ascii="Arial" w:hAnsi="Arial" w:cs="Arial" w:eastAsia="Arial" w:hint="default"/>
                <w:sz w:val="18"/>
                <w:szCs w:val="18"/>
              </w:rPr>
            </w:pPr>
            <w:r>
              <w:rPr>
                <w:rFonts w:ascii="Arial" w:hAnsi="Arial" w:cs="Arial" w:eastAsia="Arial" w:hint="default"/>
                <w:w w:val="95"/>
                <w:sz w:val="18"/>
                <w:szCs w:val="18"/>
              </w:rPr>
              <w:t>2.</w:t>
            </w:r>
            <w:r>
              <w:rPr>
                <w:rFonts w:ascii="黑体" w:hAnsi="黑体" w:cs="黑体" w:eastAsia="黑体" w:hint="default"/>
                <w:w w:val="95"/>
                <w:sz w:val="18"/>
                <w:szCs w:val="18"/>
              </w:rPr>
              <w:t>对股东的分配</w:t>
            </w:r>
            <w:r>
              <w:rPr>
                <w:rFonts w:ascii="Arial" w:hAnsi="Arial" w:cs="Arial" w:eastAsia="Arial" w:hint="default"/>
                <w:w w:val="95"/>
                <w:sz w:val="18"/>
                <w:szCs w:val="18"/>
              </w:rPr>
              <w:t>(</w:t>
            </w:r>
            <w:r>
              <w:rPr>
                <w:rFonts w:ascii="黑体" w:hAnsi="黑体" w:cs="黑体" w:eastAsia="黑体" w:hint="default"/>
                <w:w w:val="95"/>
                <w:sz w:val="18"/>
                <w:szCs w:val="18"/>
              </w:rPr>
              <w:t>附注五、</w:t>
            </w:r>
            <w:r>
              <w:rPr>
                <w:rFonts w:ascii="Arial" w:hAnsi="Arial" w:cs="Arial" w:eastAsia="Arial" w:hint="default"/>
                <w:w w:val="95"/>
                <w:sz w:val="18"/>
                <w:szCs w:val="18"/>
              </w:rPr>
              <w:t>34)</w:t>
            </w:r>
            <w:r>
              <w:rPr>
                <w:rFonts w:ascii="Arial" w:hAnsi="Arial" w:cs="Arial" w:eastAsia="Arial" w:hint="default"/>
                <w:sz w:val="18"/>
                <w:szCs w:val="18"/>
              </w:rPr>
            </w:r>
          </w:p>
        </w:tc>
        <w:tc>
          <w:tcPr>
            <w:tcW w:w="5719" w:type="dxa"/>
            <w:gridSpan w:val="4"/>
            <w:tcBorders>
              <w:top w:val="nil" w:sz="6" w:space="0" w:color="auto"/>
              <w:left w:val="nil" w:sz="6" w:space="0" w:color="auto"/>
              <w:bottom w:val="nil" w:sz="6" w:space="0" w:color="auto"/>
              <w:right w:val="nil" w:sz="6" w:space="0" w:color="auto"/>
            </w:tcBorders>
          </w:tcPr>
          <w:p>
            <w:pPr>
              <w:pStyle w:val="TableParagraph"/>
              <w:tabs>
                <w:tab w:pos="1250" w:val="left" w:leader="none"/>
                <w:tab w:pos="1744" w:val="left" w:leader="none"/>
                <w:tab w:pos="2646" w:val="left" w:leader="none"/>
                <w:tab w:pos="3302" w:val="left" w:leader="none"/>
                <w:tab w:pos="4115" w:val="left" w:leader="none"/>
                <w:tab w:pos="4490" w:val="left" w:leader="none"/>
                <w:tab w:pos="5483" w:val="left" w:leader="none"/>
              </w:tabs>
              <w:spacing w:line="240" w:lineRule="auto" w:before="18"/>
              <w:ind w:left="256"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tab/>
            </w:r>
            <w:r>
              <w:rPr>
                <w:rFonts w:ascii="Arial"/>
                <w:sz w:val="18"/>
                <w:u w:val="single" w:color="000000"/>
              </w:rPr>
              <w:t> </w:t>
              <w:tab/>
              <w:t>-</w:t>
            </w:r>
            <w:r>
              <w:rPr>
                <w:rFonts w:ascii="Arial"/>
                <w:sz w:val="18"/>
              </w:rPr>
              <w:tab/>
            </w:r>
            <w:r>
              <w:rPr>
                <w:rFonts w:ascii="Arial"/>
                <w:sz w:val="18"/>
                <w:u w:val="single" w:color="000000"/>
              </w:rPr>
              <w:t> </w:t>
              <w:tab/>
              <w:t>-</w:t>
            </w:r>
            <w:r>
              <w:rPr>
                <w:rFonts w:ascii="Arial"/>
                <w:sz w:val="18"/>
              </w:rPr>
              <w:tab/>
            </w:r>
            <w:r>
              <w:rPr>
                <w:rFonts w:ascii="Arial"/>
                <w:sz w:val="18"/>
                <w:u w:val="single" w:color="000000"/>
              </w:rPr>
              <w:t> </w:t>
              <w:tab/>
              <w:t>-</w:t>
            </w:r>
            <w:r>
              <w:rPr>
                <w:rFonts w:ascii="Arial"/>
                <w:sz w:val="18"/>
              </w:rPr>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84" w:right="0"/>
              <w:jc w:val="left"/>
              <w:rPr>
                <w:rFonts w:ascii="Arial" w:hAnsi="Arial" w:cs="Arial" w:eastAsia="Arial" w:hint="default"/>
                <w:sz w:val="18"/>
                <w:szCs w:val="18"/>
              </w:rPr>
            </w:pPr>
            <w:r>
              <w:rPr>
                <w:rFonts w:ascii="Arial"/>
                <w:sz w:val="18"/>
              </w:rPr>
              <w:t>(</w:t>
            </w:r>
            <w:r>
              <w:rPr>
                <w:rFonts w:ascii="Arial"/>
                <w:spacing w:val="36"/>
                <w:sz w:val="18"/>
              </w:rPr>
              <w:t> </w:t>
            </w:r>
            <w:r>
              <w:rPr>
                <w:rFonts w:ascii="Arial"/>
                <w:spacing w:val="36"/>
                <w:sz w:val="18"/>
                <w:u w:val="single" w:color="000000"/>
              </w:rPr>
              <w:t> </w:t>
            </w:r>
            <w:r>
              <w:rPr>
                <w:rFonts w:ascii="Arial"/>
                <w:sz w:val="18"/>
                <w:u w:val="single" w:color="000000"/>
              </w:rPr>
              <w:t>326,361,347</w:t>
            </w:r>
            <w:r>
              <w:rPr>
                <w:rFonts w:ascii="Arial"/>
                <w:sz w:val="18"/>
              </w:rPr>
              <w:t>)</w:t>
            </w:r>
          </w:p>
        </w:tc>
        <w:tc>
          <w:tcPr>
            <w:tcW w:w="5851" w:type="dxa"/>
            <w:gridSpan w:val="4"/>
            <w:tcBorders>
              <w:top w:val="nil" w:sz="6" w:space="0" w:color="auto"/>
              <w:left w:val="nil" w:sz="6" w:space="0" w:color="auto"/>
              <w:bottom w:val="nil" w:sz="6" w:space="0" w:color="auto"/>
              <w:right w:val="nil" w:sz="6" w:space="0" w:color="auto"/>
            </w:tcBorders>
          </w:tcPr>
          <w:p>
            <w:pPr>
              <w:pStyle w:val="TableParagraph"/>
              <w:tabs>
                <w:tab w:pos="1143" w:val="left" w:leader="none"/>
                <w:tab w:pos="1517" w:val="left" w:leader="none"/>
                <w:tab w:pos="3226" w:val="left" w:leader="none"/>
                <w:tab w:pos="4493" w:val="left" w:leader="none"/>
              </w:tabs>
              <w:spacing w:line="240" w:lineRule="auto" w:before="18"/>
              <w:ind w:left="421"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tab/>
              <w:t>(   </w:t>
            </w:r>
            <w:r>
              <w:rPr>
                <w:rFonts w:ascii="Arial"/>
                <w:sz w:val="18"/>
                <w:u w:val="single" w:color="000000"/>
              </w:rPr>
              <w:t> 326,361,347</w:t>
            </w:r>
            <w:r>
              <w:rPr>
                <w:rFonts w:ascii="Arial"/>
                <w:spacing w:val="-7"/>
                <w:sz w:val="18"/>
                <w:u w:val="single" w:color="000000"/>
              </w:rPr>
              <w:t> </w:t>
            </w:r>
            <w:r>
              <w:rPr>
                <w:rFonts w:ascii="Arial"/>
                <w:spacing w:val="-7"/>
                <w:sz w:val="18"/>
              </w:rPr>
            </w:r>
            <w:r>
              <w:rPr>
                <w:rFonts w:ascii="Arial"/>
                <w:sz w:val="18"/>
              </w:rPr>
              <w:t>)</w:t>
              <w:tab/>
              <w:t>(</w:t>
            </w:r>
            <w:r>
              <w:rPr>
                <w:rFonts w:ascii="Arial"/>
                <w:spacing w:val="36"/>
                <w:sz w:val="18"/>
              </w:rPr>
              <w:t> </w:t>
            </w:r>
            <w:r>
              <w:rPr>
                <w:rFonts w:ascii="Arial"/>
                <w:spacing w:val="36"/>
                <w:sz w:val="18"/>
                <w:u w:val="single" w:color="000000"/>
              </w:rPr>
              <w:t> </w:t>
            </w:r>
            <w:r>
              <w:rPr>
                <w:rFonts w:ascii="Arial"/>
                <w:sz w:val="18"/>
                <w:u w:val="single" w:color="000000"/>
              </w:rPr>
              <w:t>6,579,899</w:t>
            </w:r>
            <w:r>
              <w:rPr>
                <w:rFonts w:ascii="Arial"/>
                <w:sz w:val="18"/>
              </w:rPr>
              <w:t>)</w:t>
              <w:tab/>
              <w:t>(   </w:t>
            </w:r>
            <w:r>
              <w:rPr>
                <w:rFonts w:ascii="Arial"/>
                <w:sz w:val="18"/>
                <w:u w:val="single" w:color="000000"/>
              </w:rPr>
              <w:t> 332,941,246</w:t>
            </w:r>
            <w:r>
              <w:rPr>
                <w:rFonts w:ascii="Arial"/>
                <w:spacing w:val="-7"/>
                <w:sz w:val="18"/>
                <w:u w:val="single" w:color="000000"/>
              </w:rPr>
              <w:t> </w:t>
            </w:r>
            <w:r>
              <w:rPr>
                <w:rFonts w:ascii="Arial"/>
                <w:spacing w:val="-7"/>
                <w:sz w:val="18"/>
              </w:rPr>
            </w:r>
            <w:r>
              <w:rPr>
                <w:rFonts w:ascii="Arial"/>
                <w:sz w:val="18"/>
              </w:rPr>
              <w:t>)</w:t>
            </w:r>
          </w:p>
        </w:tc>
      </w:tr>
      <w:tr>
        <w:trPr>
          <w:trHeight w:val="317" w:hRule="exact"/>
        </w:trPr>
        <w:tc>
          <w:tcPr>
            <w:tcW w:w="2776" w:type="dxa"/>
            <w:tcBorders>
              <w:top w:val="nil" w:sz="6" w:space="0" w:color="auto"/>
              <w:left w:val="nil" w:sz="6" w:space="0" w:color="auto"/>
              <w:bottom w:val="nil" w:sz="6" w:space="0" w:color="auto"/>
              <w:right w:val="nil" w:sz="6" w:space="0" w:color="auto"/>
            </w:tcBorders>
          </w:tcPr>
          <w:p>
            <w:pPr/>
          </w:p>
        </w:tc>
        <w:tc>
          <w:tcPr>
            <w:tcW w:w="5719" w:type="dxa"/>
            <w:gridSpan w:val="4"/>
            <w:tcBorders>
              <w:top w:val="nil" w:sz="6" w:space="0" w:color="auto"/>
              <w:left w:val="nil" w:sz="6" w:space="0" w:color="auto"/>
              <w:bottom w:val="nil" w:sz="6" w:space="0" w:color="auto"/>
              <w:right w:val="nil" w:sz="6" w:space="0" w:color="auto"/>
            </w:tcBorders>
          </w:tcPr>
          <w:p>
            <w:pPr>
              <w:pStyle w:val="TableParagraph"/>
              <w:tabs>
                <w:tab w:pos="1250" w:val="left" w:leader="none"/>
                <w:tab w:pos="1739" w:val="left" w:leader="none"/>
                <w:tab w:pos="2642" w:val="left" w:leader="none"/>
                <w:tab w:pos="3306" w:val="left" w:leader="none"/>
                <w:tab w:pos="4120" w:val="left" w:leader="none"/>
                <w:tab w:pos="4494" w:val="left" w:leader="none"/>
              </w:tabs>
              <w:spacing w:line="240" w:lineRule="auto" w:before="14"/>
              <w:ind w:left="256"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tab/>
            </w:r>
            <w:r>
              <w:rPr>
                <w:rFonts w:ascii="Arial"/>
                <w:sz w:val="18"/>
                <w:u w:val="single" w:color="000000"/>
              </w:rPr>
              <w:t> </w:t>
              <w:tab/>
              <w:t>-</w:t>
            </w:r>
            <w:r>
              <w:rPr>
                <w:rFonts w:ascii="Arial"/>
                <w:sz w:val="18"/>
              </w:rPr>
              <w:tab/>
            </w:r>
            <w:r>
              <w:rPr>
                <w:rFonts w:ascii="Arial"/>
                <w:sz w:val="18"/>
                <w:u w:val="single" w:color="000000"/>
              </w:rPr>
              <w:t> </w:t>
              <w:tab/>
              <w:t>-</w:t>
            </w:r>
            <w:r>
              <w:rPr>
                <w:rFonts w:ascii="Arial"/>
                <w:sz w:val="18"/>
              </w:rPr>
              <w:tab/>
            </w:r>
            <w:r>
              <w:rPr>
                <w:rFonts w:ascii="Arial"/>
                <w:sz w:val="18"/>
                <w:u w:val="single" w:color="000000"/>
              </w:rPr>
              <w:t> 63,985,770</w:t>
            </w:r>
            <w:r>
              <w:rPr>
                <w:rFonts w:ascii="Arial"/>
                <w:sz w:val="18"/>
              </w:rPr>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77" w:right="0"/>
              <w:jc w:val="left"/>
              <w:rPr>
                <w:rFonts w:ascii="Arial" w:hAnsi="Arial" w:cs="Arial" w:eastAsia="Arial" w:hint="default"/>
                <w:sz w:val="18"/>
                <w:szCs w:val="18"/>
              </w:rPr>
            </w:pPr>
            <w:r>
              <w:rPr>
                <w:rFonts w:ascii="Arial"/>
                <w:sz w:val="18"/>
              </w:rPr>
              <w:t>(  </w:t>
            </w:r>
            <w:r>
              <w:rPr>
                <w:rFonts w:ascii="Arial"/>
                <w:sz w:val="18"/>
                <w:u w:val="single" w:color="000000"/>
              </w:rPr>
              <w:t> 390,347,117</w:t>
            </w:r>
            <w:r>
              <w:rPr>
                <w:rFonts w:ascii="Arial"/>
                <w:spacing w:val="-41"/>
                <w:sz w:val="18"/>
                <w:u w:val="single" w:color="000000"/>
              </w:rPr>
              <w:t> </w:t>
            </w:r>
            <w:r>
              <w:rPr>
                <w:rFonts w:ascii="Arial"/>
                <w:spacing w:val="-41"/>
                <w:sz w:val="18"/>
              </w:rPr>
            </w:r>
            <w:r>
              <w:rPr>
                <w:rFonts w:ascii="Arial"/>
                <w:sz w:val="18"/>
              </w:rPr>
              <w:t>)</w:t>
            </w:r>
          </w:p>
        </w:tc>
        <w:tc>
          <w:tcPr>
            <w:tcW w:w="5851" w:type="dxa"/>
            <w:gridSpan w:val="4"/>
            <w:tcBorders>
              <w:top w:val="nil" w:sz="6" w:space="0" w:color="auto"/>
              <w:left w:val="nil" w:sz="6" w:space="0" w:color="auto"/>
              <w:bottom w:val="nil" w:sz="6" w:space="0" w:color="auto"/>
              <w:right w:val="nil" w:sz="6" w:space="0" w:color="auto"/>
            </w:tcBorders>
          </w:tcPr>
          <w:p>
            <w:pPr>
              <w:pStyle w:val="TableParagraph"/>
              <w:tabs>
                <w:tab w:pos="1143" w:val="left" w:leader="none"/>
                <w:tab w:pos="1510" w:val="left" w:leader="none"/>
                <w:tab w:pos="3226" w:val="left" w:leader="none"/>
                <w:tab w:pos="4486" w:val="left" w:leader="none"/>
              </w:tabs>
              <w:spacing w:line="240" w:lineRule="auto" w:before="14"/>
              <w:ind w:left="421"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tab/>
              <w:t>(   </w:t>
            </w:r>
            <w:r>
              <w:rPr>
                <w:rFonts w:ascii="Arial"/>
                <w:sz w:val="18"/>
                <w:u w:val="single" w:color="000000"/>
              </w:rPr>
              <w:t> 326,361,347</w:t>
            </w:r>
            <w:r>
              <w:rPr>
                <w:rFonts w:ascii="Arial"/>
                <w:spacing w:val="1"/>
                <w:sz w:val="18"/>
                <w:u w:val="single" w:color="000000"/>
              </w:rPr>
              <w:t> </w:t>
            </w:r>
            <w:r>
              <w:rPr>
                <w:rFonts w:ascii="Arial"/>
                <w:spacing w:val="1"/>
                <w:sz w:val="18"/>
              </w:rPr>
            </w:r>
            <w:r>
              <w:rPr>
                <w:rFonts w:ascii="Arial"/>
                <w:sz w:val="18"/>
              </w:rPr>
              <w:t>)</w:t>
              <w:tab/>
              <w:t>(</w:t>
            </w:r>
            <w:r>
              <w:rPr>
                <w:rFonts w:ascii="Arial"/>
                <w:spacing w:val="36"/>
                <w:sz w:val="18"/>
              </w:rPr>
              <w:t> </w:t>
            </w:r>
            <w:r>
              <w:rPr>
                <w:rFonts w:ascii="Arial"/>
                <w:spacing w:val="36"/>
                <w:sz w:val="18"/>
                <w:u w:val="single" w:color="000000"/>
              </w:rPr>
              <w:t> </w:t>
            </w:r>
            <w:r>
              <w:rPr>
                <w:rFonts w:ascii="Arial"/>
                <w:sz w:val="18"/>
                <w:u w:val="single" w:color="000000"/>
              </w:rPr>
              <w:t>6,579,899</w:t>
            </w:r>
            <w:r>
              <w:rPr>
                <w:rFonts w:ascii="Arial"/>
                <w:sz w:val="18"/>
              </w:rPr>
              <w:t>)</w:t>
              <w:tab/>
              <w:t>(   </w:t>
            </w:r>
            <w:r>
              <w:rPr>
                <w:rFonts w:ascii="Arial"/>
                <w:sz w:val="18"/>
                <w:u w:val="single" w:color="000000"/>
              </w:rPr>
              <w:t> 332,941,246</w:t>
            </w:r>
            <w:r>
              <w:rPr>
                <w:rFonts w:ascii="Arial"/>
                <w:spacing w:val="1"/>
                <w:sz w:val="18"/>
                <w:u w:val="single" w:color="000000"/>
              </w:rPr>
              <w:t> </w:t>
            </w:r>
            <w:r>
              <w:rPr>
                <w:rFonts w:ascii="Arial"/>
                <w:spacing w:val="1"/>
                <w:sz w:val="18"/>
              </w:rPr>
            </w:r>
            <w:r>
              <w:rPr>
                <w:rFonts w:ascii="Arial"/>
                <w:sz w:val="18"/>
              </w:rPr>
              <w:t>)</w:t>
            </w:r>
          </w:p>
        </w:tc>
      </w:tr>
    </w:tbl>
    <w:p>
      <w:pPr>
        <w:spacing w:line="240" w:lineRule="auto" w:before="7"/>
        <w:rPr>
          <w:rFonts w:ascii="Arial" w:hAnsi="Arial" w:cs="Arial" w:eastAsia="Arial" w:hint="default"/>
          <w:sz w:val="10"/>
          <w:szCs w:val="10"/>
        </w:rPr>
      </w:pPr>
    </w:p>
    <w:p>
      <w:pPr>
        <w:spacing w:before="44"/>
        <w:ind w:left="144" w:right="7269" w:firstLine="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五</w:t>
      </w:r>
      <w:r>
        <w:rPr>
          <w:rFonts w:ascii="Arial" w:hAnsi="Arial" w:cs="Arial" w:eastAsia="Arial" w:hint="default"/>
          <w:sz w:val="18"/>
          <w:szCs w:val="18"/>
        </w:rPr>
        <w:t>)</w:t>
      </w:r>
      <w:r>
        <w:rPr>
          <w:rFonts w:ascii="Arial" w:hAnsi="Arial" w:cs="Arial" w:eastAsia="Arial" w:hint="default"/>
          <w:spacing w:val="40"/>
          <w:sz w:val="18"/>
          <w:szCs w:val="18"/>
        </w:rPr>
        <w:t> </w:t>
      </w:r>
      <w:r>
        <w:rPr>
          <w:rFonts w:ascii="黑体" w:hAnsi="黑体" w:cs="黑体" w:eastAsia="黑体" w:hint="default"/>
          <w:sz w:val="18"/>
          <w:szCs w:val="18"/>
        </w:rPr>
        <w:t>股东权益内部结转</w:t>
      </w:r>
    </w:p>
    <w:p>
      <w:pPr>
        <w:tabs>
          <w:tab w:pos="3202" w:val="left" w:leader="none"/>
          <w:tab w:pos="4543" w:val="left" w:leader="none"/>
          <w:tab w:pos="6202" w:val="left" w:leader="none"/>
          <w:tab w:pos="7016" w:val="left" w:leader="none"/>
          <w:tab w:pos="7387" w:val="left" w:leader="none"/>
          <w:tab w:pos="8369" w:val="left" w:leader="none"/>
          <w:tab w:pos="8815" w:val="left" w:leader="none"/>
          <w:tab w:pos="9898" w:val="left" w:leader="none"/>
          <w:tab w:pos="10877" w:val="left" w:leader="none"/>
          <w:tab w:pos="11600" w:val="left" w:leader="none"/>
          <w:tab w:pos="12075" w:val="left" w:leader="none"/>
          <w:tab w:pos="13157" w:val="left" w:leader="none"/>
          <w:tab w:pos="13733" w:val="left" w:leader="none"/>
          <w:tab w:pos="14576" w:val="left" w:leader="none"/>
          <w:tab w:pos="15051" w:val="left" w:leader="none"/>
          <w:tab w:pos="16133" w:val="left" w:leader="none"/>
        </w:tabs>
        <w:spacing w:before="6"/>
        <w:ind w:left="365" w:right="0" w:firstLine="0"/>
        <w:jc w:val="left"/>
        <w:rPr>
          <w:rFonts w:ascii="Arial" w:hAnsi="Arial" w:cs="Arial" w:eastAsia="Arial" w:hint="default"/>
          <w:sz w:val="18"/>
          <w:szCs w:val="18"/>
        </w:rPr>
      </w:pPr>
      <w:r>
        <w:rPr>
          <w:rFonts w:ascii="Arial" w:hAnsi="Arial" w:cs="Arial" w:eastAsia="Arial" w:hint="default"/>
          <w:w w:val="95"/>
          <w:sz w:val="18"/>
          <w:szCs w:val="18"/>
        </w:rPr>
        <w:t>1.</w:t>
      </w:r>
      <w:r>
        <w:rPr>
          <w:rFonts w:ascii="黑体" w:hAnsi="黑体" w:cs="黑体" w:eastAsia="黑体" w:hint="default"/>
          <w:w w:val="95"/>
          <w:sz w:val="18"/>
          <w:szCs w:val="18"/>
        </w:rPr>
        <w:t>资本公积转增股本</w:t>
      </w:r>
      <w:r>
        <w:rPr>
          <w:rFonts w:ascii="Arial" w:hAnsi="Arial" w:cs="Arial" w:eastAsia="Arial" w:hint="default"/>
          <w:w w:val="95"/>
          <w:sz w:val="18"/>
          <w:szCs w:val="18"/>
        </w:rPr>
        <w:t>(</w:t>
      </w:r>
      <w:r>
        <w:rPr>
          <w:rFonts w:ascii="黑体" w:hAnsi="黑体" w:cs="黑体" w:eastAsia="黑体" w:hint="default"/>
          <w:w w:val="95"/>
          <w:sz w:val="18"/>
          <w:szCs w:val="18"/>
        </w:rPr>
        <w:t>附注五、</w:t>
      </w:r>
      <w:r>
        <w:rPr>
          <w:rFonts w:ascii="Arial" w:hAnsi="Arial" w:cs="Arial" w:eastAsia="Arial" w:hint="default"/>
          <w:w w:val="95"/>
          <w:sz w:val="18"/>
          <w:szCs w:val="18"/>
        </w:rPr>
        <w:t>30)</w:t>
        <w:tab/>
      </w:r>
      <w:r>
        <w:rPr>
          <w:rFonts w:ascii="Arial" w:hAnsi="Arial" w:cs="Arial" w:eastAsia="Arial" w:hint="default"/>
          <w:spacing w:val="-1"/>
          <w:sz w:val="18"/>
          <w:szCs w:val="18"/>
          <w:u w:val="single" w:color="000000"/>
        </w:rPr>
        <w:t>163,180,673</w:t>
      </w:r>
      <w:r>
        <w:rPr>
          <w:rFonts w:ascii="Arial" w:hAnsi="Arial" w:cs="Arial" w:eastAsia="Arial" w:hint="default"/>
          <w:spacing w:val="-1"/>
          <w:sz w:val="18"/>
          <w:szCs w:val="18"/>
        </w:rPr>
        <w:tab/>
      </w:r>
      <w:r>
        <w:rPr>
          <w:rFonts w:ascii="Arial" w:hAnsi="Arial" w:cs="Arial" w:eastAsia="Arial" w:hint="default"/>
          <w:sz w:val="18"/>
          <w:szCs w:val="18"/>
        </w:rPr>
        <w:t>(</w:t>
      </w:r>
      <w:r>
        <w:rPr>
          <w:rFonts w:ascii="Arial" w:hAnsi="Arial" w:cs="Arial" w:eastAsia="Arial" w:hint="default"/>
          <w:sz w:val="18"/>
          <w:szCs w:val="18"/>
          <w:u w:val="single" w:color="000000"/>
        </w:rPr>
        <w:t>163,180,673</w:t>
      </w:r>
      <w:r>
        <w:rPr>
          <w:rFonts w:ascii="Arial" w:hAnsi="Arial" w:cs="Arial" w:eastAsia="Arial" w:hint="default"/>
          <w:sz w:val="18"/>
          <w:szCs w:val="18"/>
        </w:rPr>
        <w:t>)</w:t>
        <w:tab/>
      </w:r>
      <w:r>
        <w:rPr>
          <w:rFonts w:ascii="Arial" w:hAnsi="Arial" w:cs="Arial" w:eastAsia="Arial" w:hint="default"/>
          <w:sz w:val="18"/>
          <w:szCs w:val="18"/>
          <w:u w:val="single" w:color="000000"/>
        </w:rPr>
        <w:t> </w:t>
        <w:tab/>
        <w:t>-</w:t>
      </w:r>
      <w:r>
        <w:rPr>
          <w:rFonts w:ascii="Arial" w:hAnsi="Arial" w:cs="Arial" w:eastAsia="Arial" w:hint="default"/>
          <w:sz w:val="18"/>
          <w:szCs w:val="18"/>
        </w:rPr>
        <w:tab/>
      </w:r>
      <w:r>
        <w:rPr>
          <w:rFonts w:ascii="Arial" w:hAnsi="Arial" w:cs="Arial" w:eastAsia="Arial" w:hint="default"/>
          <w:sz w:val="18"/>
          <w:szCs w:val="18"/>
          <w:u w:val="single" w:color="000000"/>
        </w:rPr>
        <w:t> </w:t>
        <w:tab/>
        <w:t>-</w:t>
      </w:r>
      <w:r>
        <w:rPr>
          <w:rFonts w:ascii="Arial" w:hAnsi="Arial" w:cs="Arial" w:eastAsia="Arial" w:hint="default"/>
          <w:sz w:val="18"/>
          <w:szCs w:val="18"/>
        </w:rPr>
        <w:tab/>
      </w:r>
      <w:r>
        <w:rPr>
          <w:rFonts w:ascii="Arial" w:hAnsi="Arial" w:cs="Arial" w:eastAsia="Arial" w:hint="default"/>
          <w:sz w:val="18"/>
          <w:szCs w:val="18"/>
          <w:u w:val="single" w:color="000000"/>
        </w:rPr>
        <w:t> </w:t>
        <w:tab/>
        <w:t>-</w:t>
      </w:r>
      <w:r>
        <w:rPr>
          <w:rFonts w:ascii="Arial" w:hAnsi="Arial" w:cs="Arial" w:eastAsia="Arial" w:hint="default"/>
          <w:sz w:val="18"/>
          <w:szCs w:val="18"/>
        </w:rPr>
        <w:tab/>
      </w:r>
      <w:r>
        <w:rPr>
          <w:rFonts w:ascii="Arial" w:hAnsi="Arial" w:cs="Arial" w:eastAsia="Arial" w:hint="default"/>
          <w:sz w:val="18"/>
          <w:szCs w:val="18"/>
          <w:u w:val="single" w:color="000000"/>
        </w:rPr>
        <w:t> </w:t>
        <w:tab/>
        <w:t>-</w:t>
      </w:r>
      <w:r>
        <w:rPr>
          <w:rFonts w:ascii="Arial" w:hAnsi="Arial" w:cs="Arial" w:eastAsia="Arial" w:hint="default"/>
          <w:sz w:val="18"/>
          <w:szCs w:val="18"/>
        </w:rPr>
        <w:tab/>
      </w:r>
      <w:r>
        <w:rPr>
          <w:rFonts w:ascii="Arial" w:hAnsi="Arial" w:cs="Arial" w:eastAsia="Arial" w:hint="default"/>
          <w:sz w:val="18"/>
          <w:szCs w:val="18"/>
          <w:u w:val="single" w:color="000000"/>
        </w:rPr>
        <w:t> </w:t>
        <w:tab/>
        <w:t>-</w:t>
      </w:r>
      <w:r>
        <w:rPr>
          <w:rFonts w:ascii="Arial" w:hAnsi="Arial" w:cs="Arial" w:eastAsia="Arial" w:hint="default"/>
          <w:sz w:val="18"/>
          <w:szCs w:val="18"/>
        </w:rPr>
        <w:tab/>
      </w:r>
      <w:r>
        <w:rPr>
          <w:rFonts w:ascii="Arial" w:hAnsi="Arial" w:cs="Arial" w:eastAsia="Arial" w:hint="default"/>
          <w:sz w:val="18"/>
          <w:szCs w:val="18"/>
          <w:u w:val="single" w:color="000000"/>
        </w:rPr>
        <w:t> </w:t>
        <w:tab/>
        <w:t>-</w:t>
      </w:r>
      <w:r>
        <w:rPr>
          <w:rFonts w:ascii="Arial" w:hAnsi="Arial" w:cs="Arial" w:eastAsia="Arial" w:hint="default"/>
          <w:sz w:val="18"/>
          <w:szCs w:val="18"/>
        </w:rPr>
        <w:tab/>
      </w:r>
      <w:r>
        <w:rPr>
          <w:rFonts w:ascii="Arial" w:hAnsi="Arial" w:cs="Arial" w:eastAsia="Arial" w:hint="default"/>
          <w:sz w:val="18"/>
          <w:szCs w:val="18"/>
          <w:u w:val="single" w:color="000000"/>
        </w:rPr>
        <w:t> </w:t>
        <w:tab/>
        <w:t>-</w:t>
      </w:r>
      <w:r>
        <w:rPr>
          <w:rFonts w:ascii="Arial" w:hAnsi="Arial" w:cs="Arial" w:eastAsia="Arial" w:hint="default"/>
          <w:sz w:val="18"/>
          <w:szCs w:val="18"/>
        </w:rPr>
      </w:r>
    </w:p>
    <w:p>
      <w:pPr>
        <w:spacing w:line="240" w:lineRule="auto" w:before="9"/>
        <w:rPr>
          <w:rFonts w:ascii="Arial" w:hAnsi="Arial" w:cs="Arial" w:eastAsia="Arial" w:hint="default"/>
          <w:sz w:val="18"/>
          <w:szCs w:val="18"/>
        </w:rPr>
      </w:pPr>
    </w:p>
    <w:p>
      <w:pPr>
        <w:tabs>
          <w:tab w:pos="3202" w:val="left" w:leader="none"/>
          <w:tab w:pos="4594" w:val="left" w:leader="none"/>
          <w:tab w:pos="6171" w:val="left" w:leader="none"/>
          <w:tab w:pos="7426" w:val="left" w:leader="none"/>
          <w:tab w:pos="8803" w:val="left" w:leader="none"/>
          <w:tab w:pos="10767" w:val="left" w:leader="none"/>
          <w:tab w:pos="12063" w:val="left" w:leader="none"/>
          <w:tab w:pos="13731" w:val="left" w:leader="none"/>
          <w:tab w:pos="15039" w:val="left" w:leader="none"/>
        </w:tabs>
        <w:spacing w:before="44"/>
        <w:ind w:left="144" w:right="0" w:firstLine="0"/>
        <w:jc w:val="left"/>
        <w:rPr>
          <w:rFonts w:ascii="Arial" w:hAnsi="Arial" w:cs="Arial" w:eastAsia="Arial" w:hint="default"/>
          <w:sz w:val="18"/>
          <w:szCs w:val="18"/>
        </w:rPr>
      </w:pPr>
      <w:r>
        <w:rPr>
          <w:rFonts w:ascii="黑体" w:hAnsi="黑体" w:cs="黑体" w:eastAsia="黑体" w:hint="default"/>
          <w:sz w:val="18"/>
          <w:szCs w:val="18"/>
        </w:rPr>
        <w:t>三、本年年末余额</w:t>
        <w:tab/>
      </w:r>
      <w:r>
        <w:rPr>
          <w:rFonts w:ascii="Arial" w:hAnsi="Arial" w:cs="Arial" w:eastAsia="Arial" w:hint="default"/>
          <w:sz w:val="18"/>
          <w:szCs w:val="18"/>
        </w:rPr>
      </w:r>
      <w:r>
        <w:rPr>
          <w:rFonts w:ascii="Arial" w:hAnsi="Arial" w:cs="Arial" w:eastAsia="Arial" w:hint="default"/>
          <w:spacing w:val="-1"/>
          <w:sz w:val="18"/>
          <w:szCs w:val="18"/>
          <w:u w:val="thick" w:color="000000"/>
        </w:rPr>
        <w:t>979,084,040</w:t>
      </w:r>
      <w:r>
        <w:rPr>
          <w:rFonts w:ascii="Arial" w:hAnsi="Arial" w:cs="Arial" w:eastAsia="Arial" w:hint="default"/>
          <w:spacing w:val="-1"/>
          <w:sz w:val="18"/>
          <w:szCs w:val="18"/>
        </w:rPr>
        <w:tab/>
      </w:r>
      <w:r>
        <w:rPr>
          <w:rFonts w:ascii="Arial" w:hAnsi="Arial" w:cs="Arial" w:eastAsia="Arial" w:hint="default"/>
          <w:spacing w:val="-1"/>
          <w:sz w:val="18"/>
          <w:szCs w:val="18"/>
          <w:u w:val="thick" w:color="000000"/>
        </w:rPr>
        <w:t>579,549,032</w:t>
      </w:r>
      <w:r>
        <w:rPr>
          <w:rFonts w:ascii="Arial" w:hAnsi="Arial" w:cs="Arial" w:eastAsia="Arial" w:hint="default"/>
          <w:spacing w:val="-1"/>
          <w:sz w:val="18"/>
          <w:szCs w:val="18"/>
        </w:rPr>
        <w:tab/>
      </w:r>
      <w:r>
        <w:rPr>
          <w:rFonts w:ascii="Arial" w:hAnsi="Arial" w:cs="Arial" w:eastAsia="Arial" w:hint="default"/>
          <w:spacing w:val="-1"/>
          <w:sz w:val="18"/>
          <w:szCs w:val="18"/>
          <w:u w:val="thick" w:color="000000"/>
        </w:rPr>
        <w:t>20,001,895</w:t>
      </w:r>
      <w:r>
        <w:rPr>
          <w:rFonts w:ascii="Arial" w:hAnsi="Arial" w:cs="Arial" w:eastAsia="Arial" w:hint="default"/>
          <w:spacing w:val="-1"/>
          <w:sz w:val="18"/>
          <w:szCs w:val="18"/>
        </w:rPr>
        <w:tab/>
      </w:r>
      <w:r>
        <w:rPr>
          <w:rFonts w:ascii="Arial" w:hAnsi="Arial" w:cs="Arial" w:eastAsia="Arial" w:hint="default"/>
          <w:spacing w:val="-1"/>
          <w:sz w:val="18"/>
          <w:szCs w:val="18"/>
          <w:u w:val="thick" w:color="000000"/>
        </w:rPr>
        <w:t>455,383,772</w:t>
      </w:r>
      <w:r>
        <w:rPr>
          <w:rFonts w:ascii="Arial" w:hAnsi="Arial" w:cs="Arial" w:eastAsia="Arial" w:hint="default"/>
          <w:spacing w:val="-1"/>
          <w:sz w:val="18"/>
          <w:szCs w:val="18"/>
        </w:rPr>
        <w:tab/>
      </w:r>
      <w:r>
        <w:rPr>
          <w:rFonts w:ascii="Arial" w:hAnsi="Arial" w:cs="Arial" w:eastAsia="Arial" w:hint="default"/>
          <w:spacing w:val="-1"/>
          <w:sz w:val="18"/>
          <w:szCs w:val="18"/>
          <w:u w:val="thick" w:color="000000"/>
        </w:rPr>
        <w:t>1,000,370,930</w:t>
      </w:r>
      <w:r>
        <w:rPr>
          <w:rFonts w:ascii="Arial" w:hAnsi="Arial" w:cs="Arial" w:eastAsia="Arial" w:hint="default"/>
          <w:spacing w:val="-1"/>
          <w:sz w:val="18"/>
          <w:szCs w:val="18"/>
        </w:rPr>
        <w:tab/>
      </w:r>
      <w:r>
        <w:rPr>
          <w:rFonts w:ascii="Arial" w:hAnsi="Arial" w:cs="Arial" w:eastAsia="Arial" w:hint="default"/>
          <w:sz w:val="18"/>
          <w:szCs w:val="18"/>
        </w:rPr>
        <w:t>(  </w:t>
      </w:r>
      <w:r>
        <w:rPr>
          <w:rFonts w:ascii="Arial" w:hAnsi="Arial" w:cs="Arial" w:eastAsia="Arial" w:hint="default"/>
          <w:spacing w:val="31"/>
          <w:sz w:val="18"/>
          <w:szCs w:val="18"/>
        </w:rPr>
        <w:t> </w:t>
      </w:r>
      <w:r>
        <w:rPr>
          <w:rFonts w:ascii="Arial" w:hAnsi="Arial" w:cs="Arial" w:eastAsia="Arial" w:hint="default"/>
          <w:spacing w:val="31"/>
          <w:sz w:val="18"/>
          <w:szCs w:val="18"/>
          <w:u w:val="thick" w:color="000000"/>
        </w:rPr>
        <w:t> </w:t>
      </w:r>
      <w:r>
        <w:rPr>
          <w:rFonts w:ascii="Arial" w:hAnsi="Arial" w:cs="Arial" w:eastAsia="Arial" w:hint="default"/>
          <w:spacing w:val="1"/>
          <w:sz w:val="18"/>
          <w:szCs w:val="18"/>
          <w:u w:val="thick" w:color="000000"/>
        </w:rPr>
        <w:t>817,282</w:t>
      </w:r>
      <w:r>
        <w:rPr>
          <w:rFonts w:ascii="Arial" w:hAnsi="Arial" w:cs="Arial" w:eastAsia="Arial" w:hint="default"/>
          <w:spacing w:val="1"/>
          <w:sz w:val="18"/>
          <w:szCs w:val="18"/>
        </w:rPr>
        <w:t>)</w:t>
        <w:tab/>
      </w:r>
      <w:r>
        <w:rPr>
          <w:rFonts w:ascii="Arial" w:hAnsi="Arial" w:cs="Arial" w:eastAsia="Arial" w:hint="default"/>
          <w:spacing w:val="-1"/>
          <w:sz w:val="18"/>
          <w:szCs w:val="18"/>
          <w:u w:val="thick" w:color="000000"/>
        </w:rPr>
        <w:t>2,993,568,597</w:t>
      </w:r>
      <w:r>
        <w:rPr>
          <w:rFonts w:ascii="Arial" w:hAnsi="Arial" w:cs="Arial" w:eastAsia="Arial" w:hint="default"/>
          <w:spacing w:val="-1"/>
          <w:sz w:val="18"/>
          <w:szCs w:val="18"/>
        </w:rPr>
        <w:tab/>
      </w:r>
      <w:r>
        <w:rPr>
          <w:rFonts w:ascii="Arial" w:hAnsi="Arial" w:cs="Arial" w:eastAsia="Arial" w:hint="default"/>
          <w:spacing w:val="-1"/>
          <w:sz w:val="18"/>
          <w:szCs w:val="18"/>
          <w:u w:val="thick" w:color="000000"/>
        </w:rPr>
        <w:t>79,914,125</w:t>
      </w:r>
      <w:r>
        <w:rPr>
          <w:rFonts w:ascii="Arial" w:hAnsi="Arial" w:cs="Arial" w:eastAsia="Arial" w:hint="default"/>
          <w:spacing w:val="-1"/>
          <w:sz w:val="18"/>
          <w:szCs w:val="18"/>
        </w:rPr>
        <w:tab/>
      </w:r>
      <w:r>
        <w:rPr>
          <w:rFonts w:ascii="Arial" w:hAnsi="Arial" w:cs="Arial" w:eastAsia="Arial" w:hint="default"/>
          <w:spacing w:val="-1"/>
          <w:sz w:val="18"/>
          <w:szCs w:val="18"/>
          <w:u w:val="thick" w:color="000000"/>
        </w:rPr>
        <w:t>3,073,482,722</w:t>
      </w:r>
      <w:r>
        <w:rPr>
          <w:rFonts w:ascii="Arial" w:hAnsi="Arial" w:cs="Arial" w:eastAsia="Arial" w:hint="default"/>
          <w:spacing w:val="-1"/>
          <w:sz w:val="18"/>
          <w:szCs w:val="18"/>
        </w:rPr>
      </w:r>
    </w:p>
    <w:p>
      <w:pPr>
        <w:spacing w:after="0"/>
        <w:jc w:val="left"/>
        <w:rPr>
          <w:rFonts w:ascii="Arial" w:hAnsi="Arial" w:cs="Arial" w:eastAsia="Arial" w:hint="default"/>
          <w:sz w:val="18"/>
          <w:szCs w:val="18"/>
        </w:rPr>
        <w:sectPr>
          <w:headerReference w:type="default" r:id="rId43"/>
          <w:footerReference w:type="default" r:id="rId44"/>
          <w:pgSz w:w="16850" w:h="11910" w:orient="landscape"/>
          <w:pgMar w:header="957" w:footer="499" w:top="1160" w:bottom="680" w:left="280" w:right="140"/>
          <w:pgNumType w:start="6"/>
        </w:sectPr>
      </w:pPr>
    </w:p>
    <w:p>
      <w:pPr>
        <w:pStyle w:val="Heading4"/>
        <w:spacing w:line="292" w:lineRule="auto"/>
        <w:ind w:left="7224" w:right="6629" w:hanging="723"/>
        <w:jc w:val="left"/>
        <w:rPr>
          <w:b w:val="0"/>
          <w:bCs w:val="0"/>
        </w:rPr>
      </w:pPr>
      <w:r>
        <w:rPr/>
        <w:t>合并股东权益变动表(续)</w:t>
      </w:r>
      <w:r>
        <w:rPr>
          <w:w w:val="99"/>
        </w:rPr>
        <w:t> </w:t>
      </w:r>
      <w:r>
        <w:rPr>
          <w:rFonts w:ascii="Arial" w:hAnsi="Arial" w:cs="Arial" w:eastAsia="Arial" w:hint="default"/>
        </w:rPr>
        <w:t>2012</w:t>
      </w:r>
      <w:r>
        <w:rPr>
          <w:rFonts w:ascii="Arial" w:hAnsi="Arial" w:cs="Arial" w:eastAsia="Arial" w:hint="default"/>
          <w:spacing w:val="-8"/>
        </w:rPr>
        <w:t> </w:t>
      </w:r>
      <w:r>
        <w:rPr/>
        <w:t>年度</w:t>
      </w:r>
      <w:r>
        <w:rPr>
          <w:w w:val="99"/>
        </w:rPr>
        <w:t> </w:t>
      </w:r>
      <w:r>
        <w:rPr/>
        <w:t>人民币元</w:t>
      </w:r>
      <w:r>
        <w:rPr>
          <w:b w:val="0"/>
          <w:bCs w:val="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8"/>
        <w:rPr>
          <w:rFonts w:ascii="黑体" w:hAnsi="黑体" w:cs="黑体" w:eastAsia="黑体" w:hint="default"/>
          <w:b/>
          <w:bCs/>
          <w:sz w:val="15"/>
          <w:szCs w:val="15"/>
        </w:rPr>
      </w:pPr>
    </w:p>
    <w:p>
      <w:pPr>
        <w:spacing w:before="77"/>
        <w:ind w:left="0" w:right="3510" w:firstLine="0"/>
        <w:jc w:val="right"/>
        <w:rPr>
          <w:rFonts w:ascii="Arial" w:hAnsi="Arial" w:cs="Arial" w:eastAsia="Arial" w:hint="default"/>
          <w:sz w:val="18"/>
          <w:szCs w:val="18"/>
        </w:rPr>
      </w:pPr>
      <w:r>
        <w:rPr/>
        <w:pict>
          <v:shape style="position:absolute;margin-left:40.599998pt;margin-top:-105.103119pt;width:768.25pt;height:297.7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78"/>
                    <w:gridCol w:w="1232"/>
                    <w:gridCol w:w="285"/>
                    <w:gridCol w:w="1420"/>
                    <w:gridCol w:w="1345"/>
                    <w:gridCol w:w="1295"/>
                    <w:gridCol w:w="883"/>
                    <w:gridCol w:w="890"/>
                    <w:gridCol w:w="226"/>
                    <w:gridCol w:w="1339"/>
                    <w:gridCol w:w="70"/>
                    <w:gridCol w:w="1350"/>
                    <w:gridCol w:w="273"/>
                    <w:gridCol w:w="1455"/>
                    <w:gridCol w:w="324"/>
                  </w:tblGrid>
                  <w:tr>
                    <w:trPr>
                      <w:trHeight w:val="564" w:hRule="exact"/>
                    </w:trPr>
                    <w:tc>
                      <w:tcPr>
                        <w:tcW w:w="15365" w:type="dxa"/>
                        <w:gridSpan w:val="15"/>
                        <w:tcBorders>
                          <w:top w:val="single" w:sz="6" w:space="0" w:color="000000"/>
                          <w:left w:val="nil" w:sz="6" w:space="0" w:color="auto"/>
                          <w:bottom w:val="nil" w:sz="6" w:space="0" w:color="auto"/>
                          <w:right w:val="nil" w:sz="6" w:space="0" w:color="auto"/>
                        </w:tcBorders>
                      </w:tcPr>
                      <w:p>
                        <w:pPr>
                          <w:pStyle w:val="TableParagraph"/>
                          <w:spacing w:line="240" w:lineRule="auto" w:before="1"/>
                          <w:ind w:right="0"/>
                          <w:jc w:val="left"/>
                          <w:rPr>
                            <w:rFonts w:ascii="Arial" w:hAnsi="Arial" w:cs="Arial" w:eastAsia="Arial" w:hint="default"/>
                            <w:sz w:val="20"/>
                            <w:szCs w:val="20"/>
                          </w:rPr>
                        </w:pPr>
                      </w:p>
                      <w:p>
                        <w:pPr>
                          <w:pStyle w:val="TableParagraph"/>
                          <w:spacing w:line="240" w:lineRule="auto"/>
                          <w:ind w:right="488"/>
                          <w:jc w:val="center"/>
                          <w:rPr>
                            <w:rFonts w:ascii="黑体" w:hAnsi="黑体" w:cs="黑体" w:eastAsia="黑体" w:hint="default"/>
                            <w:sz w:val="18"/>
                            <w:szCs w:val="18"/>
                          </w:rPr>
                        </w:pPr>
                        <w:r>
                          <w:rPr>
                            <w:rFonts w:ascii="Arial" w:hAnsi="Arial" w:cs="Arial" w:eastAsia="Arial" w:hint="default"/>
                            <w:b/>
                            <w:bCs/>
                            <w:sz w:val="18"/>
                            <w:szCs w:val="18"/>
                          </w:rPr>
                          <w:t>2011</w:t>
                        </w:r>
                        <w:r>
                          <w:rPr>
                            <w:rFonts w:ascii="Arial" w:hAnsi="Arial" w:cs="Arial" w:eastAsia="Arial" w:hint="default"/>
                            <w:b/>
                            <w:bCs/>
                            <w:spacing w:val="-8"/>
                            <w:sz w:val="18"/>
                            <w:szCs w:val="18"/>
                          </w:rPr>
                          <w:t> </w:t>
                        </w:r>
                        <w:r>
                          <w:rPr>
                            <w:rFonts w:ascii="黑体" w:hAnsi="黑体" w:cs="黑体" w:eastAsia="黑体" w:hint="default"/>
                            <w:b/>
                            <w:bCs/>
                            <w:sz w:val="18"/>
                            <w:szCs w:val="18"/>
                          </w:rPr>
                          <w:t>年</w:t>
                        </w:r>
                        <w:r>
                          <w:rPr>
                            <w:rFonts w:ascii="黑体" w:hAnsi="黑体" w:cs="黑体" w:eastAsia="黑体" w:hint="default"/>
                            <w:sz w:val="18"/>
                            <w:szCs w:val="18"/>
                          </w:rPr>
                        </w:r>
                      </w:p>
                    </w:tc>
                  </w:tr>
                  <w:tr>
                    <w:trPr>
                      <w:trHeight w:val="303" w:hRule="exact"/>
                    </w:trPr>
                    <w:tc>
                      <w:tcPr>
                        <w:tcW w:w="2978"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single" w:sz="4" w:space="0" w:color="000000"/>
                          <w:right w:val="nil" w:sz="6" w:space="0" w:color="auto"/>
                        </w:tcBorders>
                      </w:tcPr>
                      <w:p>
                        <w:pPr/>
                      </w:p>
                    </w:tc>
                    <w:tc>
                      <w:tcPr>
                        <w:tcW w:w="285" w:type="dxa"/>
                        <w:tcBorders>
                          <w:top w:val="nil" w:sz="6" w:space="0" w:color="auto"/>
                          <w:left w:val="nil" w:sz="6" w:space="0" w:color="auto"/>
                          <w:bottom w:val="single" w:sz="4" w:space="0" w:color="000000"/>
                          <w:right w:val="nil" w:sz="6" w:space="0" w:color="auto"/>
                        </w:tcBorders>
                      </w:tcPr>
                      <w:p>
                        <w:pPr/>
                      </w:p>
                    </w:tc>
                    <w:tc>
                      <w:tcPr>
                        <w:tcW w:w="1420" w:type="dxa"/>
                        <w:tcBorders>
                          <w:top w:val="nil" w:sz="6" w:space="0" w:color="auto"/>
                          <w:left w:val="nil" w:sz="6" w:space="0" w:color="auto"/>
                          <w:bottom w:val="single" w:sz="4" w:space="0" w:color="000000"/>
                          <w:right w:val="nil" w:sz="6" w:space="0" w:color="auto"/>
                        </w:tcBorders>
                      </w:tcPr>
                      <w:p>
                        <w:pPr/>
                      </w:p>
                    </w:tc>
                    <w:tc>
                      <w:tcPr>
                        <w:tcW w:w="2640"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5"/>
                          <w:ind w:left="619" w:right="0"/>
                          <w:jc w:val="left"/>
                          <w:rPr>
                            <w:rFonts w:ascii="黑体" w:hAnsi="黑体" w:cs="黑体" w:eastAsia="黑体" w:hint="default"/>
                            <w:sz w:val="18"/>
                            <w:szCs w:val="18"/>
                          </w:rPr>
                        </w:pPr>
                        <w:r>
                          <w:rPr>
                            <w:rFonts w:ascii="黑体" w:hAnsi="黑体" w:cs="黑体" w:eastAsia="黑体" w:hint="default"/>
                            <w:b/>
                            <w:bCs/>
                            <w:sz w:val="18"/>
                            <w:szCs w:val="18"/>
                          </w:rPr>
                          <w:t>归属于母公司股东权益</w:t>
                        </w:r>
                        <w:r>
                          <w:rPr>
                            <w:rFonts w:ascii="黑体" w:hAnsi="黑体" w:cs="黑体" w:eastAsia="黑体" w:hint="default"/>
                            <w:sz w:val="18"/>
                            <w:szCs w:val="18"/>
                          </w:rPr>
                        </w:r>
                      </w:p>
                    </w:tc>
                    <w:tc>
                      <w:tcPr>
                        <w:tcW w:w="883" w:type="dxa"/>
                        <w:tcBorders>
                          <w:top w:val="nil" w:sz="6" w:space="0" w:color="auto"/>
                          <w:left w:val="nil" w:sz="6" w:space="0" w:color="auto"/>
                          <w:bottom w:val="single" w:sz="4" w:space="0" w:color="000000"/>
                          <w:right w:val="nil" w:sz="6" w:space="0" w:color="auto"/>
                        </w:tcBorders>
                      </w:tcPr>
                      <w:p>
                        <w:pPr/>
                      </w:p>
                    </w:tc>
                    <w:tc>
                      <w:tcPr>
                        <w:tcW w:w="890" w:type="dxa"/>
                        <w:tcBorders>
                          <w:top w:val="nil" w:sz="6" w:space="0" w:color="auto"/>
                          <w:left w:val="nil" w:sz="6" w:space="0" w:color="auto"/>
                          <w:bottom w:val="single" w:sz="4" w:space="0" w:color="000000"/>
                          <w:right w:val="nil" w:sz="6" w:space="0" w:color="auto"/>
                        </w:tcBorders>
                      </w:tcPr>
                      <w:p>
                        <w:pPr/>
                      </w:p>
                    </w:tc>
                    <w:tc>
                      <w:tcPr>
                        <w:tcW w:w="226" w:type="dxa"/>
                        <w:tcBorders>
                          <w:top w:val="nil" w:sz="6" w:space="0" w:color="auto"/>
                          <w:left w:val="nil" w:sz="6" w:space="0" w:color="auto"/>
                          <w:bottom w:val="single" w:sz="4" w:space="0" w:color="000000"/>
                          <w:right w:val="nil" w:sz="6" w:space="0" w:color="auto"/>
                        </w:tcBorders>
                      </w:tcPr>
                      <w:p>
                        <w:pPr/>
                      </w:p>
                    </w:tc>
                    <w:tc>
                      <w:tcPr>
                        <w:tcW w:w="1339" w:type="dxa"/>
                        <w:tcBorders>
                          <w:top w:val="nil" w:sz="6" w:space="0" w:color="auto"/>
                          <w:left w:val="nil" w:sz="6" w:space="0" w:color="auto"/>
                          <w:bottom w:val="single" w:sz="4" w:space="0" w:color="000000"/>
                          <w:right w:val="nil" w:sz="6" w:space="0" w:color="auto"/>
                        </w:tcBorders>
                      </w:tcPr>
                      <w:p>
                        <w:pPr/>
                      </w:p>
                    </w:tc>
                    <w:tc>
                      <w:tcPr>
                        <w:tcW w:w="70"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6"/>
                          <w:jc w:val="right"/>
                          <w:rPr>
                            <w:rFonts w:ascii="黑体" w:hAnsi="黑体" w:cs="黑体" w:eastAsia="黑体" w:hint="default"/>
                            <w:sz w:val="18"/>
                            <w:szCs w:val="18"/>
                          </w:rPr>
                        </w:pPr>
                        <w:r>
                          <w:rPr>
                            <w:rFonts w:ascii="黑体" w:hAnsi="黑体" w:cs="黑体" w:eastAsia="黑体" w:hint="default"/>
                            <w:sz w:val="18"/>
                            <w:szCs w:val="18"/>
                          </w:rPr>
                          <w:t>少数股东权益</w:t>
                        </w:r>
                      </w:p>
                    </w:tc>
                    <w:tc>
                      <w:tcPr>
                        <w:tcW w:w="273"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4"/>
                          <w:jc w:val="right"/>
                          <w:rPr>
                            <w:rFonts w:ascii="黑体" w:hAnsi="黑体" w:cs="黑体" w:eastAsia="黑体" w:hint="default"/>
                            <w:sz w:val="18"/>
                            <w:szCs w:val="18"/>
                          </w:rPr>
                        </w:pPr>
                        <w:r>
                          <w:rPr>
                            <w:rFonts w:ascii="黑体" w:hAnsi="黑体" w:cs="黑体" w:eastAsia="黑体" w:hint="default"/>
                            <w:sz w:val="18"/>
                            <w:szCs w:val="18"/>
                          </w:rPr>
                          <w:t>股东权益合计</w:t>
                        </w:r>
                      </w:p>
                    </w:tc>
                    <w:tc>
                      <w:tcPr>
                        <w:tcW w:w="324" w:type="dxa"/>
                        <w:tcBorders>
                          <w:top w:val="nil" w:sz="6" w:space="0" w:color="auto"/>
                          <w:left w:val="nil" w:sz="6" w:space="0" w:color="auto"/>
                          <w:bottom w:val="nil" w:sz="6" w:space="0" w:color="auto"/>
                          <w:right w:val="nil" w:sz="6" w:space="0" w:color="auto"/>
                        </w:tcBorders>
                      </w:tcPr>
                      <w:p>
                        <w:pPr/>
                      </w:p>
                    </w:tc>
                  </w:tr>
                  <w:tr>
                    <w:trPr>
                      <w:trHeight w:val="389" w:hRule="exact"/>
                    </w:trPr>
                    <w:tc>
                      <w:tcPr>
                        <w:tcW w:w="2978" w:type="dxa"/>
                        <w:tcBorders>
                          <w:top w:val="nil" w:sz="6" w:space="0" w:color="auto"/>
                          <w:left w:val="nil" w:sz="6" w:space="0" w:color="auto"/>
                          <w:bottom w:val="nil" w:sz="6" w:space="0" w:color="auto"/>
                          <w:right w:val="nil" w:sz="6" w:space="0" w:color="auto"/>
                        </w:tcBorders>
                      </w:tcPr>
                      <w:p>
                        <w:pPr/>
                      </w:p>
                    </w:tc>
                    <w:tc>
                      <w:tcPr>
                        <w:tcW w:w="1232" w:type="dxa"/>
                        <w:tcBorders>
                          <w:top w:val="single" w:sz="4" w:space="0" w:color="000000"/>
                          <w:left w:val="nil" w:sz="6" w:space="0" w:color="auto"/>
                          <w:bottom w:val="nil" w:sz="6" w:space="0" w:color="auto"/>
                          <w:right w:val="nil" w:sz="6" w:space="0" w:color="auto"/>
                        </w:tcBorders>
                      </w:tcPr>
                      <w:p>
                        <w:pPr>
                          <w:pStyle w:val="TableParagraph"/>
                          <w:spacing w:line="220" w:lineRule="exact"/>
                          <w:ind w:right="-6"/>
                          <w:jc w:val="right"/>
                          <w:rPr>
                            <w:rFonts w:ascii="黑体" w:hAnsi="黑体" w:cs="黑体" w:eastAsia="黑体" w:hint="default"/>
                            <w:sz w:val="18"/>
                            <w:szCs w:val="18"/>
                          </w:rPr>
                        </w:pPr>
                        <w:r>
                          <w:rPr>
                            <w:rFonts w:ascii="黑体" w:hAnsi="黑体" w:cs="黑体" w:eastAsia="黑体" w:hint="default"/>
                            <w:sz w:val="18"/>
                            <w:szCs w:val="18"/>
                          </w:rPr>
                          <w:t>股本</w:t>
                        </w:r>
                      </w:p>
                    </w:tc>
                    <w:tc>
                      <w:tcPr>
                        <w:tcW w:w="285" w:type="dxa"/>
                        <w:tcBorders>
                          <w:top w:val="single" w:sz="4" w:space="0" w:color="000000"/>
                          <w:left w:val="nil" w:sz="6" w:space="0" w:color="auto"/>
                          <w:bottom w:val="nil" w:sz="6" w:space="0" w:color="auto"/>
                          <w:right w:val="nil" w:sz="6" w:space="0" w:color="auto"/>
                        </w:tcBorders>
                      </w:tcPr>
                      <w:p>
                        <w:pPr/>
                      </w:p>
                    </w:tc>
                    <w:tc>
                      <w:tcPr>
                        <w:tcW w:w="1420" w:type="dxa"/>
                        <w:tcBorders>
                          <w:top w:val="single" w:sz="4" w:space="0" w:color="000000"/>
                          <w:left w:val="nil" w:sz="6" w:space="0" w:color="auto"/>
                          <w:bottom w:val="nil" w:sz="6" w:space="0" w:color="auto"/>
                          <w:right w:val="nil" w:sz="6" w:space="0" w:color="auto"/>
                        </w:tcBorders>
                      </w:tcPr>
                      <w:p>
                        <w:pPr>
                          <w:pStyle w:val="TableParagraph"/>
                          <w:spacing w:line="220" w:lineRule="exact"/>
                          <w:ind w:right="199"/>
                          <w:jc w:val="right"/>
                          <w:rPr>
                            <w:rFonts w:ascii="黑体" w:hAnsi="黑体" w:cs="黑体" w:eastAsia="黑体" w:hint="default"/>
                            <w:sz w:val="18"/>
                            <w:szCs w:val="18"/>
                          </w:rPr>
                        </w:pPr>
                        <w:r>
                          <w:rPr>
                            <w:rFonts w:ascii="黑体" w:hAnsi="黑体" w:cs="黑体" w:eastAsia="黑体" w:hint="default"/>
                            <w:sz w:val="18"/>
                            <w:szCs w:val="18"/>
                          </w:rPr>
                          <w:t>资本公积</w:t>
                        </w:r>
                      </w:p>
                    </w:tc>
                    <w:tc>
                      <w:tcPr>
                        <w:tcW w:w="1345" w:type="dxa"/>
                        <w:tcBorders>
                          <w:top w:val="single" w:sz="4" w:space="0" w:color="000000"/>
                          <w:left w:val="nil" w:sz="6" w:space="0" w:color="auto"/>
                          <w:bottom w:val="nil" w:sz="6" w:space="0" w:color="auto"/>
                          <w:right w:val="nil" w:sz="6" w:space="0" w:color="auto"/>
                        </w:tcBorders>
                      </w:tcPr>
                      <w:p>
                        <w:pPr>
                          <w:pStyle w:val="TableParagraph"/>
                          <w:spacing w:line="220" w:lineRule="exact"/>
                          <w:ind w:right="143"/>
                          <w:jc w:val="right"/>
                          <w:rPr>
                            <w:rFonts w:ascii="黑体" w:hAnsi="黑体" w:cs="黑体" w:eastAsia="黑体" w:hint="default"/>
                            <w:sz w:val="18"/>
                            <w:szCs w:val="18"/>
                          </w:rPr>
                        </w:pPr>
                        <w:r>
                          <w:rPr>
                            <w:rFonts w:ascii="黑体" w:hAnsi="黑体" w:cs="黑体" w:eastAsia="黑体" w:hint="default"/>
                            <w:sz w:val="18"/>
                            <w:szCs w:val="18"/>
                          </w:rPr>
                          <w:t>盈余公积</w:t>
                        </w:r>
                      </w:p>
                    </w:tc>
                    <w:tc>
                      <w:tcPr>
                        <w:tcW w:w="1295" w:type="dxa"/>
                        <w:tcBorders>
                          <w:top w:val="single" w:sz="4" w:space="0" w:color="000000"/>
                          <w:left w:val="nil" w:sz="6" w:space="0" w:color="auto"/>
                          <w:bottom w:val="nil" w:sz="6" w:space="0" w:color="auto"/>
                          <w:right w:val="nil" w:sz="6" w:space="0" w:color="auto"/>
                        </w:tcBorders>
                      </w:tcPr>
                      <w:p>
                        <w:pPr>
                          <w:pStyle w:val="TableParagraph"/>
                          <w:spacing w:line="220" w:lineRule="exact"/>
                          <w:ind w:right="7"/>
                          <w:jc w:val="right"/>
                          <w:rPr>
                            <w:rFonts w:ascii="黑体" w:hAnsi="黑体" w:cs="黑体" w:eastAsia="黑体" w:hint="default"/>
                            <w:sz w:val="18"/>
                            <w:szCs w:val="18"/>
                          </w:rPr>
                        </w:pPr>
                        <w:r>
                          <w:rPr>
                            <w:rFonts w:ascii="黑体" w:hAnsi="黑体" w:cs="黑体" w:eastAsia="黑体" w:hint="default"/>
                            <w:sz w:val="18"/>
                            <w:szCs w:val="18"/>
                          </w:rPr>
                          <w:t>未分配利润</w:t>
                        </w:r>
                      </w:p>
                    </w:tc>
                    <w:tc>
                      <w:tcPr>
                        <w:tcW w:w="1774" w:type="dxa"/>
                        <w:gridSpan w:val="2"/>
                        <w:tcBorders>
                          <w:top w:val="single" w:sz="4" w:space="0" w:color="000000"/>
                          <w:left w:val="nil" w:sz="6" w:space="0" w:color="auto"/>
                          <w:bottom w:val="nil" w:sz="6" w:space="0" w:color="auto"/>
                          <w:right w:val="nil" w:sz="6" w:space="0" w:color="auto"/>
                        </w:tcBorders>
                      </w:tcPr>
                      <w:p>
                        <w:pPr>
                          <w:pStyle w:val="TableParagraph"/>
                          <w:spacing w:line="220" w:lineRule="exact"/>
                          <w:ind w:left="323" w:right="0"/>
                          <w:jc w:val="left"/>
                          <w:rPr>
                            <w:rFonts w:ascii="黑体" w:hAnsi="黑体" w:cs="黑体" w:eastAsia="黑体" w:hint="default"/>
                            <w:sz w:val="18"/>
                            <w:szCs w:val="18"/>
                          </w:rPr>
                        </w:pPr>
                        <w:r>
                          <w:rPr>
                            <w:rFonts w:ascii="黑体" w:hAnsi="黑体" w:cs="黑体" w:eastAsia="黑体" w:hint="default"/>
                            <w:sz w:val="18"/>
                            <w:szCs w:val="18"/>
                          </w:rPr>
                          <w:t>外币报表折算差额</w:t>
                        </w:r>
                      </w:p>
                    </w:tc>
                    <w:tc>
                      <w:tcPr>
                        <w:tcW w:w="226" w:type="dxa"/>
                        <w:tcBorders>
                          <w:top w:val="single" w:sz="4" w:space="0" w:color="000000"/>
                          <w:left w:val="nil" w:sz="6" w:space="0" w:color="auto"/>
                          <w:bottom w:val="nil" w:sz="6" w:space="0" w:color="auto"/>
                          <w:right w:val="nil" w:sz="6" w:space="0" w:color="auto"/>
                        </w:tcBorders>
                      </w:tcPr>
                      <w:p>
                        <w:pPr/>
                      </w:p>
                    </w:tc>
                    <w:tc>
                      <w:tcPr>
                        <w:tcW w:w="1339" w:type="dxa"/>
                        <w:tcBorders>
                          <w:top w:val="single" w:sz="4" w:space="0" w:color="000000"/>
                          <w:left w:val="nil" w:sz="6" w:space="0" w:color="auto"/>
                          <w:bottom w:val="nil" w:sz="6" w:space="0" w:color="auto"/>
                          <w:right w:val="nil" w:sz="6" w:space="0" w:color="auto"/>
                        </w:tcBorders>
                      </w:tcPr>
                      <w:p>
                        <w:pPr>
                          <w:pStyle w:val="TableParagraph"/>
                          <w:spacing w:line="220" w:lineRule="exact"/>
                          <w:ind w:right="17"/>
                          <w:jc w:val="right"/>
                          <w:rPr>
                            <w:rFonts w:ascii="黑体" w:hAnsi="黑体" w:cs="黑体" w:eastAsia="黑体" w:hint="default"/>
                            <w:sz w:val="18"/>
                            <w:szCs w:val="18"/>
                          </w:rPr>
                        </w:pPr>
                        <w:r>
                          <w:rPr>
                            <w:rFonts w:ascii="黑体" w:hAnsi="黑体" w:cs="黑体" w:eastAsia="黑体" w:hint="default"/>
                            <w:sz w:val="18"/>
                            <w:szCs w:val="18"/>
                          </w:rPr>
                          <w:t>小计</w:t>
                        </w:r>
                      </w:p>
                    </w:tc>
                    <w:tc>
                      <w:tcPr>
                        <w:tcW w:w="70"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
                    </w:tc>
                    <w:tc>
                      <w:tcPr>
                        <w:tcW w:w="273"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
                    </w:tc>
                    <w:tc>
                      <w:tcPr>
                        <w:tcW w:w="324" w:type="dxa"/>
                        <w:tcBorders>
                          <w:top w:val="nil" w:sz="6" w:space="0" w:color="auto"/>
                          <w:left w:val="nil" w:sz="6" w:space="0" w:color="auto"/>
                          <w:bottom w:val="nil" w:sz="6" w:space="0" w:color="auto"/>
                          <w:right w:val="nil" w:sz="6" w:space="0" w:color="auto"/>
                        </w:tcBorders>
                      </w:tcPr>
                      <w:p>
                        <w:pPr/>
                      </w:p>
                    </w:tc>
                  </w:tr>
                  <w:tr>
                    <w:trPr>
                      <w:trHeight w:val="386" w:hRule="exact"/>
                    </w:trPr>
                    <w:tc>
                      <w:tcPr>
                        <w:tcW w:w="2978"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47" w:right="0"/>
                          <w:jc w:val="left"/>
                          <w:rPr>
                            <w:rFonts w:ascii="黑体" w:hAnsi="黑体" w:cs="黑体" w:eastAsia="黑体" w:hint="default"/>
                            <w:sz w:val="18"/>
                            <w:szCs w:val="18"/>
                          </w:rPr>
                        </w:pPr>
                        <w:r>
                          <w:rPr>
                            <w:rFonts w:ascii="黑体" w:hAnsi="黑体" w:cs="黑体" w:eastAsia="黑体" w:hint="default"/>
                            <w:sz w:val="18"/>
                            <w:szCs w:val="18"/>
                          </w:rPr>
                          <w:t>一、本年年初余额</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6"/>
                          <w:jc w:val="right"/>
                          <w:rPr>
                            <w:rFonts w:ascii="Arial" w:hAnsi="Arial" w:cs="Arial" w:eastAsia="Arial" w:hint="default"/>
                            <w:sz w:val="18"/>
                            <w:szCs w:val="18"/>
                          </w:rPr>
                        </w:pPr>
                        <w:r>
                          <w:rPr>
                            <w:rFonts w:ascii="Arial"/>
                            <w:spacing w:val="-1"/>
                            <w:sz w:val="18"/>
                          </w:rPr>
                          <w:t>816,131,907</w:t>
                        </w:r>
                      </w:p>
                    </w:tc>
                    <w:tc>
                      <w:tcPr>
                        <w:tcW w:w="285"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97"/>
                          <w:jc w:val="right"/>
                          <w:rPr>
                            <w:rFonts w:ascii="Arial" w:hAnsi="Arial" w:cs="Arial" w:eastAsia="Arial" w:hint="default"/>
                            <w:sz w:val="18"/>
                            <w:szCs w:val="18"/>
                          </w:rPr>
                        </w:pPr>
                        <w:r>
                          <w:rPr>
                            <w:rFonts w:ascii="Arial"/>
                            <w:spacing w:val="-1"/>
                            <w:sz w:val="18"/>
                          </w:rPr>
                          <w:t>665,883,513</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40"/>
                          <w:jc w:val="right"/>
                          <w:rPr>
                            <w:rFonts w:ascii="Arial" w:hAnsi="Arial" w:cs="Arial" w:eastAsia="Arial" w:hint="default"/>
                            <w:sz w:val="18"/>
                            <w:szCs w:val="18"/>
                          </w:rPr>
                        </w:pPr>
                        <w:r>
                          <w:rPr>
                            <w:rFonts w:ascii="Arial"/>
                            <w:spacing w:val="-1"/>
                            <w:sz w:val="18"/>
                          </w:rPr>
                          <w:t>318,392,116</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5"/>
                          <w:jc w:val="right"/>
                          <w:rPr>
                            <w:rFonts w:ascii="Arial" w:hAnsi="Arial" w:cs="Arial" w:eastAsia="Arial" w:hint="default"/>
                            <w:sz w:val="18"/>
                            <w:szCs w:val="18"/>
                          </w:rPr>
                        </w:pPr>
                        <w:r>
                          <w:rPr>
                            <w:rFonts w:ascii="Arial"/>
                            <w:spacing w:val="-1"/>
                            <w:sz w:val="18"/>
                          </w:rPr>
                          <w:t>726,864,193</w:t>
                        </w:r>
                      </w:p>
                    </w:tc>
                    <w:tc>
                      <w:tcPr>
                        <w:tcW w:w="883" w:type="dxa"/>
                        <w:tcBorders>
                          <w:top w:val="nil" w:sz="6" w:space="0" w:color="auto"/>
                          <w:left w:val="nil" w:sz="6" w:space="0" w:color="auto"/>
                          <w:bottom w:val="nil" w:sz="6" w:space="0" w:color="auto"/>
                          <w:right w:val="nil" w:sz="6" w:space="0" w:color="auto"/>
                        </w:tcBorders>
                      </w:tcPr>
                      <w:p>
                        <w:pP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5"/>
                          <w:jc w:val="right"/>
                          <w:rPr>
                            <w:rFonts w:ascii="Arial" w:hAnsi="Arial" w:cs="Arial" w:eastAsia="Arial" w:hint="default"/>
                            <w:sz w:val="18"/>
                            <w:szCs w:val="18"/>
                          </w:rPr>
                        </w:pPr>
                        <w:r>
                          <w:rPr>
                            <w:rFonts w:ascii="Arial"/>
                            <w:spacing w:val="-1"/>
                            <w:sz w:val="18"/>
                          </w:rPr>
                          <w:t>(1,276,832</w:t>
                        </w:r>
                      </w:p>
                    </w:tc>
                    <w:tc>
                      <w:tcPr>
                        <w:tcW w:w="226"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7" w:right="0"/>
                          <w:jc w:val="left"/>
                          <w:rPr>
                            <w:rFonts w:ascii="Arial" w:hAnsi="Arial" w:cs="Arial" w:eastAsia="Arial" w:hint="default"/>
                            <w:sz w:val="18"/>
                            <w:szCs w:val="18"/>
                          </w:rPr>
                        </w:pPr>
                        <w:r>
                          <w:rPr>
                            <w:rFonts w:ascii="Arial"/>
                            <w:w w:val="99"/>
                            <w:sz w:val="18"/>
                          </w:rPr>
                          <w:t>)</w:t>
                        </w:r>
                        <w:r>
                          <w:rPr>
                            <w:rFonts w:ascii="Arial"/>
                            <w:sz w:val="18"/>
                          </w:rPr>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5"/>
                          <w:jc w:val="right"/>
                          <w:rPr>
                            <w:rFonts w:ascii="Arial" w:hAnsi="Arial" w:cs="Arial" w:eastAsia="Arial" w:hint="default"/>
                            <w:sz w:val="18"/>
                            <w:szCs w:val="18"/>
                          </w:rPr>
                        </w:pPr>
                        <w:r>
                          <w:rPr>
                            <w:rFonts w:ascii="Arial"/>
                            <w:spacing w:val="-1"/>
                            <w:sz w:val="18"/>
                          </w:rPr>
                          <w:t>2,525,994,897</w:t>
                        </w:r>
                      </w:p>
                    </w:tc>
                    <w:tc>
                      <w:tcPr>
                        <w:tcW w:w="70"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
                          <w:jc w:val="right"/>
                          <w:rPr>
                            <w:rFonts w:ascii="Arial" w:hAnsi="Arial" w:cs="Arial" w:eastAsia="Arial" w:hint="default"/>
                            <w:sz w:val="18"/>
                            <w:szCs w:val="18"/>
                          </w:rPr>
                        </w:pPr>
                        <w:r>
                          <w:rPr>
                            <w:rFonts w:ascii="Arial"/>
                            <w:spacing w:val="-1"/>
                            <w:sz w:val="18"/>
                          </w:rPr>
                          <w:t>39,811,657</w:t>
                        </w:r>
                      </w:p>
                    </w:tc>
                    <w:tc>
                      <w:tcPr>
                        <w:tcW w:w="273"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2"/>
                          <w:jc w:val="right"/>
                          <w:rPr>
                            <w:rFonts w:ascii="Arial" w:hAnsi="Arial" w:cs="Arial" w:eastAsia="Arial" w:hint="default"/>
                            <w:sz w:val="18"/>
                            <w:szCs w:val="18"/>
                          </w:rPr>
                        </w:pPr>
                        <w:r>
                          <w:rPr>
                            <w:rFonts w:ascii="Arial"/>
                            <w:spacing w:val="-1"/>
                            <w:sz w:val="18"/>
                          </w:rPr>
                          <w:t>2,565,806,554</w:t>
                        </w:r>
                      </w:p>
                    </w:tc>
                    <w:tc>
                      <w:tcPr>
                        <w:tcW w:w="324" w:type="dxa"/>
                        <w:tcBorders>
                          <w:top w:val="nil" w:sz="6" w:space="0" w:color="auto"/>
                          <w:left w:val="nil" w:sz="6" w:space="0" w:color="auto"/>
                          <w:bottom w:val="nil" w:sz="6" w:space="0" w:color="auto"/>
                          <w:right w:val="nil" w:sz="6" w:space="0" w:color="auto"/>
                        </w:tcBorders>
                      </w:tcPr>
                      <w:p>
                        <w:pPr/>
                      </w:p>
                    </w:tc>
                  </w:tr>
                  <w:tr>
                    <w:trPr>
                      <w:trHeight w:val="251" w:hRule="exact"/>
                    </w:trPr>
                    <w:tc>
                      <w:tcPr>
                        <w:tcW w:w="2978" w:type="dxa"/>
                        <w:tcBorders>
                          <w:top w:val="nil" w:sz="6" w:space="0" w:color="auto"/>
                          <w:left w:val="nil" w:sz="6" w:space="0" w:color="auto"/>
                          <w:bottom w:val="nil" w:sz="6" w:space="0" w:color="auto"/>
                          <w:right w:val="nil" w:sz="6" w:space="0" w:color="auto"/>
                        </w:tcBorders>
                      </w:tcPr>
                      <w:p>
                        <w:pPr>
                          <w:pStyle w:val="TableParagraph"/>
                          <w:spacing w:line="213" w:lineRule="exact"/>
                          <w:ind w:left="47" w:right="0"/>
                          <w:jc w:val="left"/>
                          <w:rPr>
                            <w:rFonts w:ascii="黑体" w:hAnsi="黑体" w:cs="黑体" w:eastAsia="黑体" w:hint="default"/>
                            <w:sz w:val="18"/>
                            <w:szCs w:val="18"/>
                          </w:rPr>
                        </w:pPr>
                        <w:r>
                          <w:rPr>
                            <w:rFonts w:ascii="黑体" w:hAnsi="黑体" w:cs="黑体" w:eastAsia="黑体" w:hint="default"/>
                            <w:sz w:val="18"/>
                            <w:szCs w:val="18"/>
                          </w:rPr>
                          <w:t>二、本年增减变动金额</w:t>
                        </w:r>
                      </w:p>
                    </w:tc>
                    <w:tc>
                      <w:tcPr>
                        <w:tcW w:w="1232" w:type="dxa"/>
                        <w:tcBorders>
                          <w:top w:val="nil" w:sz="6" w:space="0" w:color="auto"/>
                          <w:left w:val="nil" w:sz="6" w:space="0" w:color="auto"/>
                          <w:bottom w:val="nil" w:sz="6" w:space="0" w:color="auto"/>
                          <w:right w:val="nil" w:sz="6" w:space="0" w:color="auto"/>
                        </w:tcBorders>
                      </w:tcPr>
                      <w:p>
                        <w:pPr/>
                      </w:p>
                    </w:tc>
                    <w:tc>
                      <w:tcPr>
                        <w:tcW w:w="285"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c>
                      <w:tcPr>
                        <w:tcW w:w="890"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
                    </w:tc>
                    <w:tc>
                      <w:tcPr>
                        <w:tcW w:w="70"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
                    </w:tc>
                    <w:tc>
                      <w:tcPr>
                        <w:tcW w:w="273"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
                    </w:tc>
                    <w:tc>
                      <w:tcPr>
                        <w:tcW w:w="324" w:type="dxa"/>
                        <w:tcBorders>
                          <w:top w:val="nil" w:sz="6" w:space="0" w:color="auto"/>
                          <w:left w:val="nil" w:sz="6" w:space="0" w:color="auto"/>
                          <w:bottom w:val="nil" w:sz="6" w:space="0" w:color="auto"/>
                          <w:right w:val="nil" w:sz="6" w:space="0" w:color="auto"/>
                        </w:tcBorders>
                      </w:tcPr>
                      <w:p>
                        <w:pPr/>
                      </w:p>
                    </w:tc>
                  </w:tr>
                  <w:tr>
                    <w:trPr>
                      <w:trHeight w:val="260" w:hRule="exact"/>
                    </w:trPr>
                    <w:tc>
                      <w:tcPr>
                        <w:tcW w:w="2978" w:type="dxa"/>
                        <w:tcBorders>
                          <w:top w:val="nil" w:sz="6" w:space="0" w:color="auto"/>
                          <w:left w:val="nil" w:sz="6" w:space="0" w:color="auto"/>
                          <w:bottom w:val="nil" w:sz="6" w:space="0" w:color="auto"/>
                          <w:right w:val="nil" w:sz="6" w:space="0" w:color="auto"/>
                        </w:tcBorders>
                      </w:tcPr>
                      <w:p>
                        <w:pPr>
                          <w:pStyle w:val="TableParagraph"/>
                          <w:spacing w:line="231" w:lineRule="exact"/>
                          <w:ind w:left="47"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一</w:t>
                        </w:r>
                        <w:r>
                          <w:rPr>
                            <w:rFonts w:ascii="Arial" w:hAnsi="Arial" w:cs="Arial" w:eastAsia="Arial" w:hint="default"/>
                            <w:sz w:val="18"/>
                            <w:szCs w:val="18"/>
                          </w:rPr>
                          <w:t>)</w:t>
                        </w:r>
                        <w:r>
                          <w:rPr>
                            <w:rFonts w:ascii="Arial" w:hAnsi="Arial" w:cs="Arial" w:eastAsia="Arial" w:hint="default"/>
                            <w:spacing w:val="41"/>
                            <w:sz w:val="18"/>
                            <w:szCs w:val="18"/>
                          </w:rPr>
                          <w:t> </w:t>
                        </w:r>
                        <w:r>
                          <w:rPr>
                            <w:rFonts w:ascii="黑体" w:hAnsi="黑体" w:cs="黑体" w:eastAsia="黑体" w:hint="default"/>
                            <w:sz w:val="18"/>
                            <w:szCs w:val="18"/>
                          </w:rPr>
                          <w:t>净利润</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8"/>
                          <w:jc w:val="right"/>
                          <w:rPr>
                            <w:rFonts w:ascii="Arial" w:hAnsi="Arial" w:cs="Arial" w:eastAsia="Arial" w:hint="default"/>
                            <w:sz w:val="18"/>
                            <w:szCs w:val="18"/>
                          </w:rPr>
                        </w:pPr>
                        <w:r>
                          <w:rPr>
                            <w:rFonts w:ascii="Arial"/>
                            <w:w w:val="99"/>
                            <w:sz w:val="18"/>
                          </w:rPr>
                          <w:t>-</w:t>
                        </w:r>
                        <w:r>
                          <w:rPr>
                            <w:rFonts w:ascii="Arial"/>
                            <w:sz w:val="18"/>
                          </w:rPr>
                        </w:r>
                      </w:p>
                    </w:tc>
                    <w:tc>
                      <w:tcPr>
                        <w:tcW w:w="285"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99"/>
                          <w:jc w:val="right"/>
                          <w:rPr>
                            <w:rFonts w:ascii="Arial" w:hAnsi="Arial" w:cs="Arial" w:eastAsia="Arial" w:hint="default"/>
                            <w:sz w:val="18"/>
                            <w:szCs w:val="18"/>
                          </w:rPr>
                        </w:pPr>
                        <w:r>
                          <w:rPr>
                            <w:rFonts w:ascii="Arial"/>
                            <w:w w:val="99"/>
                            <w:sz w:val="18"/>
                          </w:rPr>
                          <w:t>-</w:t>
                        </w:r>
                        <w:r>
                          <w:rPr>
                            <w:rFonts w:ascii="Arial"/>
                            <w:sz w:val="18"/>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33"/>
                          <w:jc w:val="right"/>
                          <w:rPr>
                            <w:rFonts w:ascii="Arial" w:hAnsi="Arial" w:cs="Arial" w:eastAsia="Arial" w:hint="default"/>
                            <w:sz w:val="18"/>
                            <w:szCs w:val="18"/>
                          </w:rPr>
                        </w:pPr>
                        <w:r>
                          <w:rPr>
                            <w:rFonts w:ascii="Arial"/>
                            <w:w w:val="99"/>
                            <w:sz w:val="18"/>
                          </w:rPr>
                          <w:t>-</w:t>
                        </w:r>
                        <w:r>
                          <w:rPr>
                            <w:rFonts w:ascii="Arial"/>
                            <w:sz w:val="18"/>
                          </w:rPr>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
                          <w:jc w:val="right"/>
                          <w:rPr>
                            <w:rFonts w:ascii="Arial" w:hAnsi="Arial" w:cs="Arial" w:eastAsia="Arial" w:hint="default"/>
                            <w:sz w:val="18"/>
                            <w:szCs w:val="18"/>
                          </w:rPr>
                        </w:pPr>
                        <w:r>
                          <w:rPr>
                            <w:rFonts w:ascii="Arial"/>
                            <w:spacing w:val="-1"/>
                            <w:sz w:val="18"/>
                          </w:rPr>
                          <w:t>536,784,549</w:t>
                        </w:r>
                      </w:p>
                    </w:tc>
                    <w:tc>
                      <w:tcPr>
                        <w:tcW w:w="883" w:type="dxa"/>
                        <w:tcBorders>
                          <w:top w:val="nil" w:sz="6" w:space="0" w:color="auto"/>
                          <w:left w:val="nil" w:sz="6" w:space="0" w:color="auto"/>
                          <w:bottom w:val="nil" w:sz="6" w:space="0" w:color="auto"/>
                          <w:right w:val="nil" w:sz="6" w:space="0" w:color="auto"/>
                        </w:tcBorders>
                      </w:tcPr>
                      <w:p>
                        <w:pP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7"/>
                          <w:jc w:val="right"/>
                          <w:rPr>
                            <w:rFonts w:ascii="Arial" w:hAnsi="Arial" w:cs="Arial" w:eastAsia="Arial" w:hint="default"/>
                            <w:sz w:val="18"/>
                            <w:szCs w:val="18"/>
                          </w:rPr>
                        </w:pPr>
                        <w:r>
                          <w:rPr>
                            <w:rFonts w:ascii="Arial"/>
                            <w:w w:val="99"/>
                            <w:sz w:val="18"/>
                          </w:rPr>
                          <w:t>-</w:t>
                        </w:r>
                        <w:r>
                          <w:rPr>
                            <w:rFonts w:ascii="Arial"/>
                            <w:sz w:val="18"/>
                          </w:rPr>
                        </w:r>
                      </w:p>
                    </w:tc>
                    <w:tc>
                      <w:tcPr>
                        <w:tcW w:w="22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
                          <w:jc w:val="right"/>
                          <w:rPr>
                            <w:rFonts w:ascii="Arial" w:hAnsi="Arial" w:cs="Arial" w:eastAsia="Arial" w:hint="default"/>
                            <w:sz w:val="18"/>
                            <w:szCs w:val="18"/>
                          </w:rPr>
                        </w:pPr>
                        <w:r>
                          <w:rPr>
                            <w:rFonts w:ascii="Arial"/>
                            <w:spacing w:val="-1"/>
                            <w:sz w:val="18"/>
                          </w:rPr>
                          <w:t>536,784,549</w:t>
                        </w:r>
                      </w:p>
                    </w:tc>
                    <w:tc>
                      <w:tcPr>
                        <w:tcW w:w="70"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4"/>
                          <w:jc w:val="right"/>
                          <w:rPr>
                            <w:rFonts w:ascii="Arial" w:hAnsi="Arial" w:cs="Arial" w:eastAsia="Arial" w:hint="default"/>
                            <w:sz w:val="18"/>
                            <w:szCs w:val="18"/>
                          </w:rPr>
                        </w:pPr>
                        <w:r>
                          <w:rPr>
                            <w:rFonts w:ascii="Arial"/>
                            <w:spacing w:val="-1"/>
                            <w:sz w:val="18"/>
                          </w:rPr>
                          <w:t>14,061,517</w:t>
                        </w:r>
                      </w:p>
                    </w:tc>
                    <w:tc>
                      <w:tcPr>
                        <w:tcW w:w="273"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
                          <w:jc w:val="right"/>
                          <w:rPr>
                            <w:rFonts w:ascii="Arial" w:hAnsi="Arial" w:cs="Arial" w:eastAsia="Arial" w:hint="default"/>
                            <w:sz w:val="18"/>
                            <w:szCs w:val="18"/>
                          </w:rPr>
                        </w:pPr>
                        <w:r>
                          <w:rPr>
                            <w:rFonts w:ascii="Arial"/>
                            <w:spacing w:val="-1"/>
                            <w:sz w:val="18"/>
                          </w:rPr>
                          <w:t>550,846,066</w:t>
                        </w:r>
                      </w:p>
                    </w:tc>
                    <w:tc>
                      <w:tcPr>
                        <w:tcW w:w="324" w:type="dxa"/>
                        <w:tcBorders>
                          <w:top w:val="nil" w:sz="6" w:space="0" w:color="auto"/>
                          <w:left w:val="nil" w:sz="6" w:space="0" w:color="auto"/>
                          <w:bottom w:val="nil" w:sz="6" w:space="0" w:color="auto"/>
                          <w:right w:val="nil" w:sz="6" w:space="0" w:color="auto"/>
                        </w:tcBorders>
                      </w:tcPr>
                      <w:p>
                        <w:pPr/>
                      </w:p>
                    </w:tc>
                  </w:tr>
                  <w:tr>
                    <w:trPr>
                      <w:trHeight w:val="254" w:hRule="exact"/>
                    </w:trPr>
                    <w:tc>
                      <w:tcPr>
                        <w:tcW w:w="2978" w:type="dxa"/>
                        <w:tcBorders>
                          <w:top w:val="nil" w:sz="6" w:space="0" w:color="auto"/>
                          <w:left w:val="nil" w:sz="6" w:space="0" w:color="auto"/>
                          <w:bottom w:val="nil" w:sz="6" w:space="0" w:color="auto"/>
                          <w:right w:val="nil" w:sz="6" w:space="0" w:color="auto"/>
                        </w:tcBorders>
                      </w:tcPr>
                      <w:p>
                        <w:pPr>
                          <w:pStyle w:val="TableParagraph"/>
                          <w:spacing w:line="226" w:lineRule="exact"/>
                          <w:ind w:left="47"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二</w:t>
                        </w:r>
                        <w:r>
                          <w:rPr>
                            <w:rFonts w:ascii="Arial" w:hAnsi="Arial" w:cs="Arial" w:eastAsia="Arial" w:hint="default"/>
                            <w:sz w:val="18"/>
                            <w:szCs w:val="18"/>
                          </w:rPr>
                          <w:t>)</w:t>
                        </w:r>
                        <w:r>
                          <w:rPr>
                            <w:rFonts w:ascii="Arial" w:hAnsi="Arial" w:cs="Arial" w:eastAsia="Arial" w:hint="default"/>
                            <w:spacing w:val="41"/>
                            <w:sz w:val="18"/>
                            <w:szCs w:val="18"/>
                          </w:rPr>
                          <w:t> </w:t>
                        </w:r>
                        <w:r>
                          <w:rPr>
                            <w:rFonts w:ascii="黑体" w:hAnsi="黑体" w:cs="黑体" w:eastAsia="黑体" w:hint="default"/>
                            <w:sz w:val="18"/>
                            <w:szCs w:val="18"/>
                          </w:rPr>
                          <w:t>其他综合收益</w:t>
                        </w:r>
                      </w:p>
                    </w:tc>
                    <w:tc>
                      <w:tcPr>
                        <w:tcW w:w="1232" w:type="dxa"/>
                        <w:tcBorders>
                          <w:top w:val="nil" w:sz="6" w:space="0" w:color="auto"/>
                          <w:left w:val="nil" w:sz="6" w:space="0" w:color="auto"/>
                          <w:bottom w:val="nil" w:sz="6" w:space="0" w:color="auto"/>
                          <w:right w:val="nil" w:sz="6" w:space="0" w:color="auto"/>
                        </w:tcBorders>
                      </w:tcPr>
                      <w:p>
                        <w:pPr>
                          <w:pStyle w:val="TableParagraph"/>
                          <w:tabs>
                            <w:tab w:pos="993" w:val="left" w:leader="none"/>
                          </w:tabs>
                          <w:spacing w:line="240" w:lineRule="auto" w:before="18"/>
                          <w:ind w:right="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285"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tabs>
                            <w:tab w:pos="993" w:val="left" w:leader="none"/>
                          </w:tabs>
                          <w:spacing w:line="240" w:lineRule="auto" w:before="18"/>
                          <w:ind w:right="20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345" w:type="dxa"/>
                        <w:tcBorders>
                          <w:top w:val="nil" w:sz="6" w:space="0" w:color="auto"/>
                          <w:left w:val="nil" w:sz="6" w:space="0" w:color="auto"/>
                          <w:bottom w:val="nil" w:sz="6" w:space="0" w:color="auto"/>
                          <w:right w:val="nil" w:sz="6" w:space="0" w:color="auto"/>
                        </w:tcBorders>
                      </w:tcPr>
                      <w:p>
                        <w:pPr>
                          <w:pStyle w:val="TableParagraph"/>
                          <w:tabs>
                            <w:tab w:pos="993" w:val="left" w:leader="none"/>
                          </w:tabs>
                          <w:spacing w:line="240" w:lineRule="auto" w:before="18"/>
                          <w:ind w:right="13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295" w:type="dxa"/>
                        <w:tcBorders>
                          <w:top w:val="nil" w:sz="6" w:space="0" w:color="auto"/>
                          <w:left w:val="nil" w:sz="6" w:space="0" w:color="auto"/>
                          <w:bottom w:val="nil" w:sz="6" w:space="0" w:color="auto"/>
                          <w:right w:val="nil" w:sz="6" w:space="0" w:color="auto"/>
                        </w:tcBorders>
                      </w:tcPr>
                      <w:p>
                        <w:pPr>
                          <w:pStyle w:val="TableParagraph"/>
                          <w:tabs>
                            <w:tab w:pos="1060" w:val="left" w:leader="none"/>
                          </w:tabs>
                          <w:spacing w:line="240" w:lineRule="auto" w:before="18"/>
                          <w:ind w:right="1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883" w:type="dxa"/>
                        <w:tcBorders>
                          <w:top w:val="nil" w:sz="6" w:space="0" w:color="auto"/>
                          <w:left w:val="nil" w:sz="6" w:space="0" w:color="auto"/>
                          <w:bottom w:val="nil" w:sz="6" w:space="0" w:color="auto"/>
                          <w:right w:val="nil" w:sz="6" w:space="0" w:color="auto"/>
                        </w:tcBorders>
                      </w:tcPr>
                      <w:p>
                        <w:pP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
                          <w:jc w:val="right"/>
                          <w:rPr>
                            <w:rFonts w:ascii="Arial" w:hAnsi="Arial" w:cs="Arial" w:eastAsia="Arial" w:hint="default"/>
                            <w:sz w:val="18"/>
                            <w:szCs w:val="18"/>
                          </w:rPr>
                        </w:pPr>
                        <w:r>
                          <w:rPr>
                            <w:rFonts w:ascii="Arial"/>
                            <w:sz w:val="18"/>
                          </w:rPr>
                          <w:t>( </w:t>
                        </w:r>
                        <w:r>
                          <w:rPr>
                            <w:rFonts w:ascii="Arial"/>
                            <w:spacing w:val="49"/>
                            <w:sz w:val="18"/>
                          </w:rPr>
                          <w:t> </w:t>
                        </w:r>
                        <w:r>
                          <w:rPr>
                            <w:rFonts w:ascii="Arial"/>
                            <w:spacing w:val="49"/>
                            <w:sz w:val="18"/>
                            <w:u w:val="single" w:color="000000"/>
                          </w:rPr>
                          <w:t> </w:t>
                        </w:r>
                        <w:r>
                          <w:rPr>
                            <w:rFonts w:ascii="Arial"/>
                            <w:sz w:val="18"/>
                            <w:u w:val="single" w:color="000000"/>
                          </w:rPr>
                          <w:t>930,451</w:t>
                        </w:r>
                        <w:r>
                          <w:rPr>
                            <w:rFonts w:ascii="Arial"/>
                            <w:sz w:val="18"/>
                          </w:rPr>
                        </w:r>
                      </w:p>
                    </w:tc>
                    <w:tc>
                      <w:tcPr>
                        <w:tcW w:w="22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 w:right="0"/>
                          <w:jc w:val="left"/>
                          <w:rPr>
                            <w:rFonts w:ascii="Arial" w:hAnsi="Arial" w:cs="Arial" w:eastAsia="Arial" w:hint="default"/>
                            <w:sz w:val="18"/>
                            <w:szCs w:val="18"/>
                          </w:rPr>
                        </w:pPr>
                        <w:r>
                          <w:rPr>
                            <w:rFonts w:ascii="Arial"/>
                            <w:w w:val="99"/>
                            <w:sz w:val="18"/>
                          </w:rPr>
                          <w:t>)</w:t>
                        </w:r>
                        <w:r>
                          <w:rPr>
                            <w:rFonts w:ascii="Arial"/>
                            <w:sz w:val="18"/>
                          </w:rPr>
                        </w:r>
                      </w:p>
                    </w:tc>
                    <w:tc>
                      <w:tcPr>
                        <w:tcW w:w="1339" w:type="dxa"/>
                        <w:tcBorders>
                          <w:top w:val="nil" w:sz="6" w:space="0" w:color="auto"/>
                          <w:left w:val="nil" w:sz="6" w:space="0" w:color="auto"/>
                          <w:bottom w:val="nil" w:sz="6" w:space="0" w:color="auto"/>
                          <w:right w:val="nil" w:sz="6" w:space="0" w:color="auto"/>
                        </w:tcBorders>
                      </w:tcPr>
                      <w:p>
                        <w:pPr>
                          <w:pStyle w:val="TableParagraph"/>
                          <w:tabs>
                            <w:tab w:pos="511" w:val="left" w:leader="none"/>
                          </w:tabs>
                          <w:spacing w:line="240" w:lineRule="auto" w:before="18"/>
                          <w:ind w:right="14"/>
                          <w:jc w:val="right"/>
                          <w:rPr>
                            <w:rFonts w:ascii="Arial" w:hAnsi="Arial" w:cs="Arial" w:eastAsia="Arial" w:hint="default"/>
                            <w:sz w:val="18"/>
                            <w:szCs w:val="18"/>
                          </w:rPr>
                        </w:pPr>
                        <w:r>
                          <w:rPr>
                            <w:rFonts w:ascii="Arial"/>
                            <w:sz w:val="18"/>
                          </w:rPr>
                          <w:t>(</w:t>
                        </w:r>
                        <w:r>
                          <w:rPr>
                            <w:rFonts w:ascii="Arial"/>
                            <w:sz w:val="18"/>
                            <w:u w:val="single" w:color="000000"/>
                          </w:rPr>
                          <w:t> </w:t>
                          <w:tab/>
                        </w:r>
                        <w:r>
                          <w:rPr>
                            <w:rFonts w:ascii="Arial"/>
                            <w:spacing w:val="-1"/>
                            <w:sz w:val="18"/>
                            <w:u w:val="single" w:color="000000"/>
                          </w:rPr>
                          <w:t>930,451</w:t>
                        </w:r>
                        <w:r>
                          <w:rPr>
                            <w:rFonts w:ascii="Arial"/>
                            <w:spacing w:val="-1"/>
                            <w:sz w:val="18"/>
                          </w:rPr>
                        </w:r>
                      </w:p>
                    </w:tc>
                    <w:tc>
                      <w:tcPr>
                        <w:tcW w:w="70"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tabs>
                            <w:tab w:pos="883" w:val="left" w:leader="none"/>
                          </w:tabs>
                          <w:spacing w:line="240" w:lineRule="auto" w:before="18"/>
                          <w:ind w:right="1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273"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18"/>
                          <w:ind w:right="6"/>
                          <w:jc w:val="right"/>
                          <w:rPr>
                            <w:rFonts w:ascii="Arial" w:hAnsi="Arial" w:cs="Arial" w:eastAsia="Arial" w:hint="default"/>
                            <w:sz w:val="18"/>
                            <w:szCs w:val="18"/>
                          </w:rPr>
                        </w:pPr>
                        <w:r>
                          <w:rPr>
                            <w:rFonts w:ascii="Arial"/>
                            <w:sz w:val="18"/>
                          </w:rPr>
                          <w:t>(</w:t>
                        </w:r>
                        <w:r>
                          <w:rPr>
                            <w:rFonts w:ascii="Arial"/>
                            <w:sz w:val="18"/>
                            <w:u w:val="single" w:color="000000"/>
                          </w:rPr>
                          <w:t> </w:t>
                          <w:tab/>
                        </w:r>
                        <w:r>
                          <w:rPr>
                            <w:rFonts w:ascii="Arial"/>
                            <w:spacing w:val="-1"/>
                            <w:sz w:val="18"/>
                            <w:u w:val="single" w:color="000000"/>
                          </w:rPr>
                          <w:t>930,451</w:t>
                        </w:r>
                        <w:r>
                          <w:rPr>
                            <w:rFonts w:ascii="Arial"/>
                            <w:spacing w:val="-1"/>
                            <w:sz w:val="18"/>
                          </w:rPr>
                        </w:r>
                      </w:p>
                    </w:tc>
                    <w:tc>
                      <w:tcPr>
                        <w:tcW w:w="32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 w:right="0"/>
                          <w:jc w:val="left"/>
                          <w:rPr>
                            <w:rFonts w:ascii="Arial" w:hAnsi="Arial" w:cs="Arial" w:eastAsia="Arial" w:hint="default"/>
                            <w:sz w:val="18"/>
                            <w:szCs w:val="18"/>
                          </w:rPr>
                        </w:pPr>
                        <w:r>
                          <w:rPr>
                            <w:rFonts w:ascii="Arial"/>
                            <w:w w:val="99"/>
                            <w:sz w:val="18"/>
                          </w:rPr>
                          <w:t>)</w:t>
                        </w:r>
                        <w:r>
                          <w:rPr>
                            <w:rFonts w:ascii="Arial"/>
                            <w:sz w:val="18"/>
                          </w:rPr>
                        </w:r>
                      </w:p>
                    </w:tc>
                  </w:tr>
                  <w:tr>
                    <w:trPr>
                      <w:trHeight w:val="383" w:hRule="exact"/>
                    </w:trPr>
                    <w:tc>
                      <w:tcPr>
                        <w:tcW w:w="2978" w:type="dxa"/>
                        <w:tcBorders>
                          <w:top w:val="nil" w:sz="6" w:space="0" w:color="auto"/>
                          <w:left w:val="nil" w:sz="6" w:space="0" w:color="auto"/>
                          <w:bottom w:val="nil" w:sz="6" w:space="0" w:color="auto"/>
                          <w:right w:val="nil" w:sz="6" w:space="0" w:color="auto"/>
                        </w:tcBorders>
                      </w:tcPr>
                      <w:p>
                        <w:pPr>
                          <w:pStyle w:val="TableParagraph"/>
                          <w:spacing w:line="213" w:lineRule="exact"/>
                          <w:ind w:left="47" w:right="0"/>
                          <w:jc w:val="left"/>
                          <w:rPr>
                            <w:rFonts w:ascii="黑体" w:hAnsi="黑体" w:cs="黑体" w:eastAsia="黑体" w:hint="default"/>
                            <w:sz w:val="18"/>
                            <w:szCs w:val="18"/>
                          </w:rPr>
                        </w:pPr>
                        <w:r>
                          <w:rPr>
                            <w:rFonts w:ascii="黑体" w:hAnsi="黑体" w:cs="黑体" w:eastAsia="黑体" w:hint="default"/>
                            <w:sz w:val="18"/>
                            <w:szCs w:val="18"/>
                          </w:rPr>
                          <w:t>综合收益总额</w:t>
                        </w:r>
                      </w:p>
                    </w:tc>
                    <w:tc>
                      <w:tcPr>
                        <w:tcW w:w="1232" w:type="dxa"/>
                        <w:tcBorders>
                          <w:top w:val="nil" w:sz="6" w:space="0" w:color="auto"/>
                          <w:left w:val="nil" w:sz="6" w:space="0" w:color="auto"/>
                          <w:bottom w:val="nil" w:sz="6" w:space="0" w:color="auto"/>
                          <w:right w:val="nil" w:sz="6" w:space="0" w:color="auto"/>
                        </w:tcBorders>
                      </w:tcPr>
                      <w:p>
                        <w:pPr>
                          <w:pStyle w:val="TableParagraph"/>
                          <w:tabs>
                            <w:tab w:pos="993" w:val="left" w:leader="none"/>
                          </w:tabs>
                          <w:spacing w:line="240" w:lineRule="auto" w:before="18"/>
                          <w:ind w:right="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285"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tabs>
                            <w:tab w:pos="993" w:val="left" w:leader="none"/>
                          </w:tabs>
                          <w:spacing w:line="240" w:lineRule="auto" w:before="18"/>
                          <w:ind w:right="20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345" w:type="dxa"/>
                        <w:tcBorders>
                          <w:top w:val="nil" w:sz="6" w:space="0" w:color="auto"/>
                          <w:left w:val="nil" w:sz="6" w:space="0" w:color="auto"/>
                          <w:bottom w:val="nil" w:sz="6" w:space="0" w:color="auto"/>
                          <w:right w:val="nil" w:sz="6" w:space="0" w:color="auto"/>
                        </w:tcBorders>
                      </w:tcPr>
                      <w:p>
                        <w:pPr>
                          <w:pStyle w:val="TableParagraph"/>
                          <w:tabs>
                            <w:tab w:pos="993" w:val="left" w:leader="none"/>
                          </w:tabs>
                          <w:spacing w:line="240" w:lineRule="auto" w:before="18"/>
                          <w:ind w:right="13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9"/>
                            <w:sz w:val="18"/>
                            <w:u w:val="single" w:color="000000"/>
                          </w:rPr>
                          <w:t> </w:t>
                        </w:r>
                        <w:r>
                          <w:rPr>
                            <w:rFonts w:ascii="Arial"/>
                            <w:spacing w:val="-1"/>
                            <w:sz w:val="18"/>
                            <w:u w:val="single" w:color="000000"/>
                          </w:rPr>
                          <w:t>536,784,549</w:t>
                        </w:r>
                        <w:r>
                          <w:rPr>
                            <w:rFonts w:ascii="Arial"/>
                            <w:spacing w:val="-1"/>
                            <w:sz w:val="18"/>
                          </w:rPr>
                        </w:r>
                      </w:p>
                    </w:tc>
                    <w:tc>
                      <w:tcPr>
                        <w:tcW w:w="883" w:type="dxa"/>
                        <w:tcBorders>
                          <w:top w:val="nil" w:sz="6" w:space="0" w:color="auto"/>
                          <w:left w:val="nil" w:sz="6" w:space="0" w:color="auto"/>
                          <w:bottom w:val="nil" w:sz="6" w:space="0" w:color="auto"/>
                          <w:right w:val="nil" w:sz="6" w:space="0" w:color="auto"/>
                        </w:tcBorders>
                      </w:tcPr>
                      <w:p>
                        <w:pP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
                          <w:jc w:val="right"/>
                          <w:rPr>
                            <w:rFonts w:ascii="Arial" w:hAnsi="Arial" w:cs="Arial" w:eastAsia="Arial" w:hint="default"/>
                            <w:sz w:val="18"/>
                            <w:szCs w:val="18"/>
                          </w:rPr>
                        </w:pPr>
                        <w:r>
                          <w:rPr>
                            <w:rFonts w:ascii="Arial"/>
                            <w:sz w:val="18"/>
                          </w:rPr>
                          <w:t>( </w:t>
                        </w:r>
                        <w:r>
                          <w:rPr>
                            <w:rFonts w:ascii="Arial"/>
                            <w:spacing w:val="44"/>
                            <w:sz w:val="18"/>
                          </w:rPr>
                          <w:t> </w:t>
                        </w:r>
                        <w:r>
                          <w:rPr>
                            <w:rFonts w:ascii="Arial"/>
                            <w:spacing w:val="44"/>
                            <w:sz w:val="18"/>
                            <w:u w:val="single" w:color="000000"/>
                          </w:rPr>
                          <w:t> </w:t>
                        </w:r>
                        <w:r>
                          <w:rPr>
                            <w:rFonts w:ascii="Arial"/>
                            <w:sz w:val="18"/>
                            <w:u w:val="single" w:color="000000"/>
                          </w:rPr>
                          <w:t>930,451</w:t>
                        </w:r>
                        <w:r>
                          <w:rPr>
                            <w:rFonts w:ascii="Arial"/>
                            <w:sz w:val="18"/>
                          </w:rPr>
                        </w:r>
                      </w:p>
                    </w:tc>
                    <w:tc>
                      <w:tcPr>
                        <w:tcW w:w="22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 w:right="0"/>
                          <w:jc w:val="left"/>
                          <w:rPr>
                            <w:rFonts w:ascii="Arial" w:hAnsi="Arial" w:cs="Arial" w:eastAsia="Arial" w:hint="default"/>
                            <w:sz w:val="18"/>
                            <w:szCs w:val="18"/>
                          </w:rPr>
                        </w:pPr>
                        <w:r>
                          <w:rPr>
                            <w:rFonts w:ascii="Arial"/>
                            <w:w w:val="99"/>
                            <w:sz w:val="18"/>
                          </w:rPr>
                          <w:t>)</w:t>
                        </w:r>
                        <w:r>
                          <w:rPr>
                            <w:rFonts w:ascii="Arial"/>
                            <w:sz w:val="18"/>
                          </w:rPr>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9"/>
                            <w:sz w:val="18"/>
                            <w:u w:val="single" w:color="000000"/>
                          </w:rPr>
                          <w:t> </w:t>
                        </w:r>
                        <w:r>
                          <w:rPr>
                            <w:rFonts w:ascii="Arial"/>
                            <w:spacing w:val="-1"/>
                            <w:sz w:val="18"/>
                            <w:u w:val="single" w:color="000000"/>
                          </w:rPr>
                          <w:t>535,854,098</w:t>
                        </w:r>
                        <w:r>
                          <w:rPr>
                            <w:rFonts w:ascii="Arial"/>
                            <w:spacing w:val="-1"/>
                            <w:sz w:val="18"/>
                          </w:rPr>
                        </w:r>
                      </w:p>
                    </w:tc>
                    <w:tc>
                      <w:tcPr>
                        <w:tcW w:w="70"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6"/>
                          <w:jc w:val="right"/>
                          <w:rPr>
                            <w:rFonts w:ascii="Arial" w:hAnsi="Arial" w:cs="Arial" w:eastAsia="Arial" w:hint="default"/>
                            <w:sz w:val="18"/>
                            <w:szCs w:val="18"/>
                          </w:rPr>
                        </w:pPr>
                        <w:r>
                          <w:rPr>
                            <w:rFonts w:ascii="Arial"/>
                            <w:w w:val="99"/>
                            <w:sz w:val="18"/>
                          </w:rPr>
                        </w:r>
                        <w:r>
                          <w:rPr>
                            <w:rFonts w:ascii="Arial"/>
                            <w:spacing w:val="-1"/>
                            <w:sz w:val="18"/>
                            <w:u w:val="single" w:color="000000"/>
                          </w:rPr>
                          <w:t>14,061,517</w:t>
                        </w:r>
                        <w:r>
                          <w:rPr>
                            <w:rFonts w:ascii="Arial"/>
                            <w:spacing w:val="-1"/>
                            <w:sz w:val="18"/>
                          </w:rPr>
                        </w:r>
                      </w:p>
                    </w:tc>
                    <w:tc>
                      <w:tcPr>
                        <w:tcW w:w="273"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8"/>
                            <w:sz w:val="18"/>
                            <w:u w:val="single" w:color="000000"/>
                          </w:rPr>
                          <w:t> </w:t>
                        </w:r>
                        <w:r>
                          <w:rPr>
                            <w:rFonts w:ascii="Arial"/>
                            <w:spacing w:val="-1"/>
                            <w:sz w:val="18"/>
                            <w:u w:val="single" w:color="000000"/>
                          </w:rPr>
                          <w:t>549,915,615</w:t>
                        </w:r>
                        <w:r>
                          <w:rPr>
                            <w:rFonts w:ascii="Arial"/>
                            <w:spacing w:val="-1"/>
                            <w:sz w:val="18"/>
                          </w:rPr>
                        </w:r>
                      </w:p>
                    </w:tc>
                    <w:tc>
                      <w:tcPr>
                        <w:tcW w:w="324" w:type="dxa"/>
                        <w:tcBorders>
                          <w:top w:val="nil" w:sz="6" w:space="0" w:color="auto"/>
                          <w:left w:val="nil" w:sz="6" w:space="0" w:color="auto"/>
                          <w:bottom w:val="nil" w:sz="6" w:space="0" w:color="auto"/>
                          <w:right w:val="nil" w:sz="6" w:space="0" w:color="auto"/>
                        </w:tcBorders>
                      </w:tcPr>
                      <w:p>
                        <w:pPr/>
                      </w:p>
                    </w:tc>
                  </w:tr>
                  <w:tr>
                    <w:trPr>
                      <w:trHeight w:val="383" w:hRule="exact"/>
                    </w:trPr>
                    <w:tc>
                      <w:tcPr>
                        <w:tcW w:w="2978"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47"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三</w:t>
                        </w:r>
                        <w:r>
                          <w:rPr>
                            <w:rFonts w:ascii="Arial" w:hAnsi="Arial" w:cs="Arial" w:eastAsia="Arial" w:hint="default"/>
                            <w:sz w:val="18"/>
                            <w:szCs w:val="18"/>
                          </w:rPr>
                          <w:t>)</w:t>
                        </w:r>
                        <w:r>
                          <w:rPr>
                            <w:rFonts w:ascii="Arial" w:hAnsi="Arial" w:cs="Arial" w:eastAsia="Arial" w:hint="default"/>
                            <w:spacing w:val="40"/>
                            <w:sz w:val="18"/>
                            <w:szCs w:val="18"/>
                          </w:rPr>
                          <w:t> </w:t>
                        </w:r>
                        <w:r>
                          <w:rPr>
                            <w:rFonts w:ascii="黑体" w:hAnsi="黑体" w:cs="黑体" w:eastAsia="黑体" w:hint="default"/>
                            <w:sz w:val="18"/>
                            <w:szCs w:val="18"/>
                          </w:rPr>
                          <w:t>股东投入和减少资本</w:t>
                        </w:r>
                      </w:p>
                    </w:tc>
                    <w:tc>
                      <w:tcPr>
                        <w:tcW w:w="1232" w:type="dxa"/>
                        <w:tcBorders>
                          <w:top w:val="nil" w:sz="6" w:space="0" w:color="auto"/>
                          <w:left w:val="nil" w:sz="6" w:space="0" w:color="auto"/>
                          <w:bottom w:val="nil" w:sz="6" w:space="0" w:color="auto"/>
                          <w:right w:val="nil" w:sz="6" w:space="0" w:color="auto"/>
                        </w:tcBorders>
                      </w:tcPr>
                      <w:p>
                        <w:pPr/>
                      </w:p>
                    </w:tc>
                    <w:tc>
                      <w:tcPr>
                        <w:tcW w:w="285"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c>
                      <w:tcPr>
                        <w:tcW w:w="890"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
                    </w:tc>
                    <w:tc>
                      <w:tcPr>
                        <w:tcW w:w="70"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
                    </w:tc>
                    <w:tc>
                      <w:tcPr>
                        <w:tcW w:w="273"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
                    </w:tc>
                    <w:tc>
                      <w:tcPr>
                        <w:tcW w:w="324" w:type="dxa"/>
                        <w:tcBorders>
                          <w:top w:val="nil" w:sz="6" w:space="0" w:color="auto"/>
                          <w:left w:val="nil" w:sz="6" w:space="0" w:color="auto"/>
                          <w:bottom w:val="nil" w:sz="6" w:space="0" w:color="auto"/>
                          <w:right w:val="nil" w:sz="6" w:space="0" w:color="auto"/>
                        </w:tcBorders>
                      </w:tcPr>
                      <w:p>
                        <w:pPr/>
                      </w:p>
                    </w:tc>
                  </w:tr>
                  <w:tr>
                    <w:trPr>
                      <w:trHeight w:val="254" w:hRule="exact"/>
                    </w:trPr>
                    <w:tc>
                      <w:tcPr>
                        <w:tcW w:w="2978" w:type="dxa"/>
                        <w:tcBorders>
                          <w:top w:val="nil" w:sz="6" w:space="0" w:color="auto"/>
                          <w:left w:val="nil" w:sz="6" w:space="0" w:color="auto"/>
                          <w:bottom w:val="nil" w:sz="6" w:space="0" w:color="auto"/>
                          <w:right w:val="nil" w:sz="6" w:space="0" w:color="auto"/>
                        </w:tcBorders>
                      </w:tcPr>
                      <w:p>
                        <w:pPr>
                          <w:pStyle w:val="TableParagraph"/>
                          <w:spacing w:line="226" w:lineRule="exact"/>
                          <w:ind w:left="258" w:right="0"/>
                          <w:jc w:val="left"/>
                          <w:rPr>
                            <w:rFonts w:ascii="黑体" w:hAnsi="黑体" w:cs="黑体" w:eastAsia="黑体" w:hint="default"/>
                            <w:sz w:val="18"/>
                            <w:szCs w:val="18"/>
                          </w:rPr>
                        </w:pPr>
                        <w:r>
                          <w:rPr>
                            <w:rFonts w:ascii="Arial" w:hAnsi="Arial" w:cs="Arial" w:eastAsia="Arial" w:hint="default"/>
                            <w:sz w:val="18"/>
                            <w:szCs w:val="18"/>
                          </w:rPr>
                          <w:t>1.</w:t>
                        </w:r>
                        <w:r>
                          <w:rPr>
                            <w:rFonts w:ascii="黑体" w:hAnsi="黑体" w:cs="黑体" w:eastAsia="黑体" w:hint="default"/>
                            <w:sz w:val="18"/>
                            <w:szCs w:val="18"/>
                          </w:rPr>
                          <w:t>股东投入资本</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
                          <w:jc w:val="right"/>
                          <w:rPr>
                            <w:rFonts w:ascii="Arial" w:hAnsi="Arial" w:cs="Arial" w:eastAsia="Arial" w:hint="default"/>
                            <w:sz w:val="18"/>
                            <w:szCs w:val="18"/>
                          </w:rPr>
                        </w:pPr>
                        <w:r>
                          <w:rPr>
                            <w:rFonts w:ascii="Arial"/>
                            <w:w w:val="99"/>
                            <w:sz w:val="18"/>
                          </w:rPr>
                          <w:t>-</w:t>
                        </w:r>
                        <w:r>
                          <w:rPr>
                            <w:rFonts w:ascii="Arial"/>
                            <w:sz w:val="18"/>
                          </w:rPr>
                        </w:r>
                      </w:p>
                    </w:tc>
                    <w:tc>
                      <w:tcPr>
                        <w:tcW w:w="285"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9"/>
                          <w:jc w:val="right"/>
                          <w:rPr>
                            <w:rFonts w:ascii="Arial" w:hAnsi="Arial" w:cs="Arial" w:eastAsia="Arial" w:hint="default"/>
                            <w:sz w:val="18"/>
                            <w:szCs w:val="18"/>
                          </w:rPr>
                        </w:pPr>
                        <w:r>
                          <w:rPr>
                            <w:rFonts w:ascii="Arial"/>
                            <w:w w:val="99"/>
                            <w:sz w:val="18"/>
                          </w:rPr>
                          <w:t>-</w:t>
                        </w:r>
                        <w:r>
                          <w:rPr>
                            <w:rFonts w:ascii="Arial"/>
                            <w:sz w:val="18"/>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3"/>
                          <w:jc w:val="right"/>
                          <w:rPr>
                            <w:rFonts w:ascii="Arial" w:hAnsi="Arial" w:cs="Arial" w:eastAsia="Arial" w:hint="default"/>
                            <w:sz w:val="18"/>
                            <w:szCs w:val="18"/>
                          </w:rPr>
                        </w:pPr>
                        <w:r>
                          <w:rPr>
                            <w:rFonts w:ascii="Arial"/>
                            <w:w w:val="99"/>
                            <w:sz w:val="18"/>
                          </w:rPr>
                          <w:t>-</w:t>
                        </w:r>
                        <w:r>
                          <w:rPr>
                            <w:rFonts w:ascii="Arial"/>
                            <w:sz w:val="18"/>
                          </w:rPr>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2"/>
                          <w:jc w:val="right"/>
                          <w:rPr>
                            <w:rFonts w:ascii="Arial" w:hAnsi="Arial" w:cs="Arial" w:eastAsia="Arial" w:hint="default"/>
                            <w:sz w:val="18"/>
                            <w:szCs w:val="18"/>
                          </w:rPr>
                        </w:pPr>
                        <w:r>
                          <w:rPr>
                            <w:rFonts w:ascii="Arial"/>
                            <w:w w:val="99"/>
                            <w:sz w:val="18"/>
                          </w:rPr>
                          <w:t>-</w:t>
                        </w:r>
                        <w:r>
                          <w:rPr>
                            <w:rFonts w:ascii="Arial"/>
                            <w:sz w:val="18"/>
                          </w:rPr>
                        </w:r>
                      </w:p>
                    </w:tc>
                    <w:tc>
                      <w:tcPr>
                        <w:tcW w:w="883" w:type="dxa"/>
                        <w:tcBorders>
                          <w:top w:val="nil" w:sz="6" w:space="0" w:color="auto"/>
                          <w:left w:val="nil" w:sz="6" w:space="0" w:color="auto"/>
                          <w:bottom w:val="nil" w:sz="6" w:space="0" w:color="auto"/>
                          <w:right w:val="nil" w:sz="6" w:space="0" w:color="auto"/>
                        </w:tcBorders>
                      </w:tcPr>
                      <w:p>
                        <w:pP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2"/>
                          <w:jc w:val="right"/>
                          <w:rPr>
                            <w:rFonts w:ascii="Arial" w:hAnsi="Arial" w:cs="Arial" w:eastAsia="Arial" w:hint="default"/>
                            <w:sz w:val="18"/>
                            <w:szCs w:val="18"/>
                          </w:rPr>
                        </w:pPr>
                        <w:r>
                          <w:rPr>
                            <w:rFonts w:ascii="Arial"/>
                            <w:w w:val="99"/>
                            <w:sz w:val="18"/>
                          </w:rPr>
                          <w:t>-</w:t>
                        </w:r>
                        <w:r>
                          <w:rPr>
                            <w:rFonts w:ascii="Arial"/>
                            <w:sz w:val="18"/>
                          </w:rPr>
                        </w:r>
                      </w:p>
                    </w:tc>
                    <w:tc>
                      <w:tcPr>
                        <w:tcW w:w="22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
                          <w:jc w:val="right"/>
                          <w:rPr>
                            <w:rFonts w:ascii="Arial" w:hAnsi="Arial" w:cs="Arial" w:eastAsia="Arial" w:hint="default"/>
                            <w:sz w:val="18"/>
                            <w:szCs w:val="18"/>
                          </w:rPr>
                        </w:pPr>
                        <w:r>
                          <w:rPr>
                            <w:rFonts w:ascii="Arial"/>
                            <w:w w:val="99"/>
                            <w:sz w:val="18"/>
                          </w:rPr>
                          <w:t>-</w:t>
                        </w:r>
                        <w:r>
                          <w:rPr>
                            <w:rFonts w:ascii="Arial"/>
                            <w:sz w:val="18"/>
                          </w:rPr>
                        </w:r>
                      </w:p>
                    </w:tc>
                    <w:tc>
                      <w:tcPr>
                        <w:tcW w:w="70"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
                          <w:jc w:val="right"/>
                          <w:rPr>
                            <w:rFonts w:ascii="Arial" w:hAnsi="Arial" w:cs="Arial" w:eastAsia="Arial" w:hint="default"/>
                            <w:sz w:val="18"/>
                            <w:szCs w:val="18"/>
                          </w:rPr>
                        </w:pPr>
                        <w:r>
                          <w:rPr>
                            <w:rFonts w:ascii="Arial"/>
                            <w:spacing w:val="-1"/>
                            <w:sz w:val="18"/>
                          </w:rPr>
                          <w:t>70,919,920</w:t>
                        </w:r>
                      </w:p>
                    </w:tc>
                    <w:tc>
                      <w:tcPr>
                        <w:tcW w:w="273"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
                          <w:jc w:val="right"/>
                          <w:rPr>
                            <w:rFonts w:ascii="Arial" w:hAnsi="Arial" w:cs="Arial" w:eastAsia="Arial" w:hint="default"/>
                            <w:sz w:val="18"/>
                            <w:szCs w:val="18"/>
                          </w:rPr>
                        </w:pPr>
                        <w:r>
                          <w:rPr>
                            <w:rFonts w:ascii="Arial"/>
                            <w:spacing w:val="-1"/>
                            <w:sz w:val="18"/>
                          </w:rPr>
                          <w:t>70,919,920</w:t>
                        </w:r>
                      </w:p>
                    </w:tc>
                    <w:tc>
                      <w:tcPr>
                        <w:tcW w:w="324" w:type="dxa"/>
                        <w:tcBorders>
                          <w:top w:val="nil" w:sz="6" w:space="0" w:color="auto"/>
                          <w:left w:val="nil" w:sz="6" w:space="0" w:color="auto"/>
                          <w:bottom w:val="nil" w:sz="6" w:space="0" w:color="auto"/>
                          <w:right w:val="nil" w:sz="6" w:space="0" w:color="auto"/>
                        </w:tcBorders>
                      </w:tcPr>
                      <w:p>
                        <w:pPr/>
                      </w:p>
                    </w:tc>
                  </w:tr>
                  <w:tr>
                    <w:trPr>
                      <w:trHeight w:val="254" w:hRule="exact"/>
                    </w:trPr>
                    <w:tc>
                      <w:tcPr>
                        <w:tcW w:w="2978" w:type="dxa"/>
                        <w:tcBorders>
                          <w:top w:val="nil" w:sz="6" w:space="0" w:color="auto"/>
                          <w:left w:val="nil" w:sz="6" w:space="0" w:color="auto"/>
                          <w:bottom w:val="nil" w:sz="6" w:space="0" w:color="auto"/>
                          <w:right w:val="nil" w:sz="6" w:space="0" w:color="auto"/>
                        </w:tcBorders>
                      </w:tcPr>
                      <w:p>
                        <w:pPr>
                          <w:pStyle w:val="TableParagraph"/>
                          <w:spacing w:line="226" w:lineRule="exact"/>
                          <w:ind w:left="258" w:right="0"/>
                          <w:jc w:val="left"/>
                          <w:rPr>
                            <w:rFonts w:ascii="黑体" w:hAnsi="黑体" w:cs="黑体" w:eastAsia="黑体" w:hint="default"/>
                            <w:sz w:val="18"/>
                            <w:szCs w:val="18"/>
                          </w:rPr>
                        </w:pPr>
                        <w:r>
                          <w:rPr>
                            <w:rFonts w:ascii="Arial" w:hAnsi="Arial" w:cs="Arial" w:eastAsia="Arial" w:hint="default"/>
                            <w:sz w:val="18"/>
                            <w:szCs w:val="18"/>
                          </w:rPr>
                          <w:t>2.</w:t>
                        </w:r>
                        <w:r>
                          <w:rPr>
                            <w:rFonts w:ascii="黑体" w:hAnsi="黑体" w:cs="黑体" w:eastAsia="黑体" w:hint="default"/>
                            <w:sz w:val="18"/>
                            <w:szCs w:val="18"/>
                          </w:rPr>
                          <w:t>股份支付计入股东权益的金额</w:t>
                        </w:r>
                      </w:p>
                    </w:tc>
                    <w:tc>
                      <w:tcPr>
                        <w:tcW w:w="1232"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18"/>
                          <w:ind w:right="6"/>
                          <w:jc w:val="right"/>
                          <w:rPr>
                            <w:rFonts w:ascii="Arial" w:hAnsi="Arial" w:cs="Arial" w:eastAsia="Arial" w:hint="default"/>
                            <w:sz w:val="18"/>
                            <w:szCs w:val="18"/>
                          </w:rPr>
                        </w:pPr>
                        <w:r>
                          <w:rPr>
                            <w:rFonts w:ascii="Arial"/>
                            <w:sz w:val="18"/>
                          </w:rPr>
                          <w:t>(</w:t>
                          <w:tab/>
                        </w:r>
                        <w:r>
                          <w:rPr>
                            <w:rFonts w:ascii="Arial"/>
                            <w:spacing w:val="-1"/>
                            <w:sz w:val="18"/>
                          </w:rPr>
                          <w:t>228,540</w:t>
                        </w:r>
                      </w:p>
                    </w:tc>
                    <w:tc>
                      <w:tcPr>
                        <w:tcW w:w="28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 w:right="0"/>
                          <w:jc w:val="left"/>
                          <w:rPr>
                            <w:rFonts w:ascii="Arial" w:hAnsi="Arial" w:cs="Arial" w:eastAsia="Arial" w:hint="default"/>
                            <w:sz w:val="18"/>
                            <w:szCs w:val="18"/>
                          </w:rPr>
                        </w:pPr>
                        <w:r>
                          <w:rPr>
                            <w:rFonts w:ascii="Arial"/>
                            <w:w w:val="99"/>
                            <w:sz w:val="18"/>
                          </w:rPr>
                          <w:t>)</w:t>
                        </w:r>
                        <w:r>
                          <w:rPr>
                            <w:rFonts w:ascii="Arial"/>
                            <w:sz w:val="18"/>
                          </w:rPr>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7"/>
                          <w:jc w:val="right"/>
                          <w:rPr>
                            <w:rFonts w:ascii="Arial" w:hAnsi="Arial" w:cs="Arial" w:eastAsia="Arial" w:hint="default"/>
                            <w:sz w:val="18"/>
                            <w:szCs w:val="18"/>
                          </w:rPr>
                        </w:pPr>
                        <w:r>
                          <w:rPr>
                            <w:rFonts w:ascii="Arial"/>
                            <w:spacing w:val="-1"/>
                            <w:sz w:val="18"/>
                          </w:rPr>
                          <w:t>28,721,061</w:t>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3"/>
                          <w:jc w:val="right"/>
                          <w:rPr>
                            <w:rFonts w:ascii="Arial" w:hAnsi="Arial" w:cs="Arial" w:eastAsia="Arial" w:hint="default"/>
                            <w:sz w:val="18"/>
                            <w:szCs w:val="18"/>
                          </w:rPr>
                        </w:pPr>
                        <w:r>
                          <w:rPr>
                            <w:rFonts w:ascii="Arial"/>
                            <w:w w:val="99"/>
                            <w:sz w:val="18"/>
                          </w:rPr>
                          <w:t>-</w:t>
                        </w:r>
                        <w:r>
                          <w:rPr>
                            <w:rFonts w:ascii="Arial"/>
                            <w:sz w:val="18"/>
                          </w:rPr>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
                          <w:jc w:val="right"/>
                          <w:rPr>
                            <w:rFonts w:ascii="Arial" w:hAnsi="Arial" w:cs="Arial" w:eastAsia="Arial" w:hint="default"/>
                            <w:sz w:val="18"/>
                            <w:szCs w:val="18"/>
                          </w:rPr>
                        </w:pPr>
                        <w:r>
                          <w:rPr>
                            <w:rFonts w:ascii="Arial"/>
                            <w:w w:val="99"/>
                            <w:sz w:val="18"/>
                          </w:rPr>
                          <w:t>-</w:t>
                        </w:r>
                        <w:r>
                          <w:rPr>
                            <w:rFonts w:ascii="Arial"/>
                            <w:sz w:val="18"/>
                          </w:rPr>
                        </w:r>
                      </w:p>
                    </w:tc>
                    <w:tc>
                      <w:tcPr>
                        <w:tcW w:w="883" w:type="dxa"/>
                        <w:tcBorders>
                          <w:top w:val="nil" w:sz="6" w:space="0" w:color="auto"/>
                          <w:left w:val="nil" w:sz="6" w:space="0" w:color="auto"/>
                          <w:bottom w:val="nil" w:sz="6" w:space="0" w:color="auto"/>
                          <w:right w:val="nil" w:sz="6" w:space="0" w:color="auto"/>
                        </w:tcBorders>
                      </w:tcPr>
                      <w:p>
                        <w:pP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
                          <w:jc w:val="right"/>
                          <w:rPr>
                            <w:rFonts w:ascii="Arial" w:hAnsi="Arial" w:cs="Arial" w:eastAsia="Arial" w:hint="default"/>
                            <w:sz w:val="18"/>
                            <w:szCs w:val="18"/>
                          </w:rPr>
                        </w:pPr>
                        <w:r>
                          <w:rPr>
                            <w:rFonts w:ascii="Arial"/>
                            <w:w w:val="99"/>
                            <w:sz w:val="18"/>
                          </w:rPr>
                          <w:t>-</w:t>
                        </w:r>
                        <w:r>
                          <w:rPr>
                            <w:rFonts w:ascii="Arial"/>
                            <w:sz w:val="18"/>
                          </w:rPr>
                        </w:r>
                      </w:p>
                    </w:tc>
                    <w:tc>
                      <w:tcPr>
                        <w:tcW w:w="22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
                          <w:jc w:val="right"/>
                          <w:rPr>
                            <w:rFonts w:ascii="Arial" w:hAnsi="Arial" w:cs="Arial" w:eastAsia="Arial" w:hint="default"/>
                            <w:sz w:val="18"/>
                            <w:szCs w:val="18"/>
                          </w:rPr>
                        </w:pPr>
                        <w:r>
                          <w:rPr>
                            <w:rFonts w:ascii="Arial"/>
                            <w:spacing w:val="-1"/>
                            <w:sz w:val="18"/>
                          </w:rPr>
                          <w:t>28,492,521</w:t>
                        </w:r>
                      </w:p>
                    </w:tc>
                    <w:tc>
                      <w:tcPr>
                        <w:tcW w:w="70"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
                          <w:jc w:val="right"/>
                          <w:rPr>
                            <w:rFonts w:ascii="Arial" w:hAnsi="Arial" w:cs="Arial" w:eastAsia="Arial" w:hint="default"/>
                            <w:sz w:val="18"/>
                            <w:szCs w:val="18"/>
                          </w:rPr>
                        </w:pPr>
                        <w:r>
                          <w:rPr>
                            <w:rFonts w:ascii="Arial"/>
                            <w:w w:val="99"/>
                            <w:sz w:val="18"/>
                          </w:rPr>
                          <w:t>-</w:t>
                        </w:r>
                        <w:r>
                          <w:rPr>
                            <w:rFonts w:ascii="Arial"/>
                            <w:sz w:val="18"/>
                          </w:rPr>
                        </w:r>
                      </w:p>
                    </w:tc>
                    <w:tc>
                      <w:tcPr>
                        <w:tcW w:w="273"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
                          <w:jc w:val="right"/>
                          <w:rPr>
                            <w:rFonts w:ascii="Arial" w:hAnsi="Arial" w:cs="Arial" w:eastAsia="Arial" w:hint="default"/>
                            <w:sz w:val="18"/>
                            <w:szCs w:val="18"/>
                          </w:rPr>
                        </w:pPr>
                        <w:r>
                          <w:rPr>
                            <w:rFonts w:ascii="Arial"/>
                            <w:spacing w:val="-1"/>
                            <w:sz w:val="18"/>
                          </w:rPr>
                          <w:t>28,492,521</w:t>
                        </w:r>
                      </w:p>
                    </w:tc>
                    <w:tc>
                      <w:tcPr>
                        <w:tcW w:w="324" w:type="dxa"/>
                        <w:tcBorders>
                          <w:top w:val="nil" w:sz="6" w:space="0" w:color="auto"/>
                          <w:left w:val="nil" w:sz="6" w:space="0" w:color="auto"/>
                          <w:bottom w:val="nil" w:sz="6" w:space="0" w:color="auto"/>
                          <w:right w:val="nil" w:sz="6" w:space="0" w:color="auto"/>
                        </w:tcBorders>
                      </w:tcPr>
                      <w:p>
                        <w:pPr/>
                      </w:p>
                    </w:tc>
                  </w:tr>
                  <w:tr>
                    <w:trPr>
                      <w:trHeight w:val="261" w:hRule="exact"/>
                    </w:trPr>
                    <w:tc>
                      <w:tcPr>
                        <w:tcW w:w="2978" w:type="dxa"/>
                        <w:tcBorders>
                          <w:top w:val="nil" w:sz="6" w:space="0" w:color="auto"/>
                          <w:left w:val="nil" w:sz="6" w:space="0" w:color="auto"/>
                          <w:bottom w:val="nil" w:sz="6" w:space="0" w:color="auto"/>
                          <w:right w:val="nil" w:sz="6" w:space="0" w:color="auto"/>
                        </w:tcBorders>
                      </w:tcPr>
                      <w:p>
                        <w:pPr>
                          <w:pStyle w:val="TableParagraph"/>
                          <w:spacing w:line="226" w:lineRule="exact"/>
                          <w:ind w:left="258" w:right="0"/>
                          <w:jc w:val="left"/>
                          <w:rPr>
                            <w:rFonts w:ascii="黑体" w:hAnsi="黑体" w:cs="黑体" w:eastAsia="黑体" w:hint="default"/>
                            <w:sz w:val="18"/>
                            <w:szCs w:val="18"/>
                          </w:rPr>
                        </w:pPr>
                        <w:r>
                          <w:rPr>
                            <w:rFonts w:ascii="Arial" w:hAnsi="Arial" w:cs="Arial" w:eastAsia="Arial" w:hint="default"/>
                            <w:sz w:val="18"/>
                            <w:szCs w:val="18"/>
                          </w:rPr>
                          <w:t>3.</w:t>
                        </w:r>
                        <w:r>
                          <w:rPr>
                            <w:rFonts w:ascii="黑体" w:hAnsi="黑体" w:cs="黑体" w:eastAsia="黑体" w:hint="default"/>
                            <w:sz w:val="18"/>
                            <w:szCs w:val="18"/>
                          </w:rPr>
                          <w:t>其他</w:t>
                        </w:r>
                      </w:p>
                    </w:tc>
                    <w:tc>
                      <w:tcPr>
                        <w:tcW w:w="1232" w:type="dxa"/>
                        <w:tcBorders>
                          <w:top w:val="nil" w:sz="6" w:space="0" w:color="auto"/>
                          <w:left w:val="nil" w:sz="6" w:space="0" w:color="auto"/>
                          <w:bottom w:val="nil" w:sz="6" w:space="0" w:color="auto"/>
                          <w:right w:val="nil" w:sz="6" w:space="0" w:color="auto"/>
                        </w:tcBorders>
                      </w:tcPr>
                      <w:p>
                        <w:pPr>
                          <w:pStyle w:val="TableParagraph"/>
                          <w:tabs>
                            <w:tab w:pos="993" w:val="left" w:leader="none"/>
                          </w:tabs>
                          <w:spacing w:line="240" w:lineRule="auto" w:before="21"/>
                          <w:ind w:right="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285"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9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9"/>
                            <w:sz w:val="18"/>
                            <w:u w:val="single" w:color="000000"/>
                          </w:rPr>
                          <w:t> </w:t>
                        </w:r>
                        <w:r>
                          <w:rPr>
                            <w:rFonts w:ascii="Arial"/>
                            <w:spacing w:val="-1"/>
                            <w:sz w:val="18"/>
                            <w:u w:val="single" w:color="000000"/>
                          </w:rPr>
                          <w:t>44,744,127</w:t>
                        </w:r>
                        <w:r>
                          <w:rPr>
                            <w:rFonts w:ascii="Arial"/>
                            <w:spacing w:val="-1"/>
                            <w:sz w:val="18"/>
                          </w:rPr>
                        </w:r>
                      </w:p>
                    </w:tc>
                    <w:tc>
                      <w:tcPr>
                        <w:tcW w:w="1345" w:type="dxa"/>
                        <w:tcBorders>
                          <w:top w:val="nil" w:sz="6" w:space="0" w:color="auto"/>
                          <w:left w:val="nil" w:sz="6" w:space="0" w:color="auto"/>
                          <w:bottom w:val="nil" w:sz="6" w:space="0" w:color="auto"/>
                          <w:right w:val="nil" w:sz="6" w:space="0" w:color="auto"/>
                        </w:tcBorders>
                      </w:tcPr>
                      <w:p>
                        <w:pPr>
                          <w:pStyle w:val="TableParagraph"/>
                          <w:tabs>
                            <w:tab w:pos="993" w:val="left" w:leader="none"/>
                          </w:tabs>
                          <w:spacing w:line="240" w:lineRule="auto" w:before="21"/>
                          <w:ind w:right="13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295" w:type="dxa"/>
                        <w:tcBorders>
                          <w:top w:val="nil" w:sz="6" w:space="0" w:color="auto"/>
                          <w:left w:val="nil" w:sz="6" w:space="0" w:color="auto"/>
                          <w:bottom w:val="nil" w:sz="6" w:space="0" w:color="auto"/>
                          <w:right w:val="nil" w:sz="6" w:space="0" w:color="auto"/>
                        </w:tcBorders>
                      </w:tcPr>
                      <w:p>
                        <w:pPr>
                          <w:pStyle w:val="TableParagraph"/>
                          <w:tabs>
                            <w:tab w:pos="1060" w:val="left" w:leader="none"/>
                          </w:tabs>
                          <w:spacing w:line="240" w:lineRule="auto" w:before="21"/>
                          <w:ind w:right="1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883" w:type="dxa"/>
                        <w:tcBorders>
                          <w:top w:val="nil" w:sz="6" w:space="0" w:color="auto"/>
                          <w:left w:val="nil" w:sz="6" w:space="0" w:color="auto"/>
                          <w:bottom w:val="nil" w:sz="6" w:space="0" w:color="auto"/>
                          <w:right w:val="nil" w:sz="6" w:space="0" w:color="auto"/>
                        </w:tcBorders>
                      </w:tcPr>
                      <w:p>
                        <w:pPr/>
                      </w:p>
                    </w:tc>
                    <w:tc>
                      <w:tcPr>
                        <w:tcW w:w="890" w:type="dxa"/>
                        <w:tcBorders>
                          <w:top w:val="nil" w:sz="6" w:space="0" w:color="auto"/>
                          <w:left w:val="nil" w:sz="6" w:space="0" w:color="auto"/>
                          <w:bottom w:val="nil" w:sz="6" w:space="0" w:color="auto"/>
                          <w:right w:val="nil" w:sz="6" w:space="0" w:color="auto"/>
                        </w:tcBorders>
                      </w:tcPr>
                      <w:p>
                        <w:pPr>
                          <w:pStyle w:val="TableParagraph"/>
                          <w:tabs>
                            <w:tab w:pos="722" w:val="left" w:leader="none"/>
                          </w:tabs>
                          <w:spacing w:line="240" w:lineRule="auto" w:before="21"/>
                          <w:ind w:right="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22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8"/>
                            <w:sz w:val="18"/>
                            <w:u w:val="single" w:color="000000"/>
                          </w:rPr>
                          <w:t> </w:t>
                        </w:r>
                        <w:r>
                          <w:rPr>
                            <w:rFonts w:ascii="Arial"/>
                            <w:spacing w:val="-1"/>
                            <w:sz w:val="18"/>
                            <w:u w:val="single" w:color="000000"/>
                          </w:rPr>
                          <w:t>44,744,127</w:t>
                        </w:r>
                        <w:r>
                          <w:rPr>
                            <w:rFonts w:ascii="Arial"/>
                            <w:spacing w:val="-1"/>
                            <w:sz w:val="18"/>
                          </w:rPr>
                        </w:r>
                      </w:p>
                    </w:tc>
                    <w:tc>
                      <w:tcPr>
                        <w:tcW w:w="70"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
                          <w:jc w:val="right"/>
                          <w:rPr>
                            <w:rFonts w:ascii="Arial" w:hAnsi="Arial" w:cs="Arial" w:eastAsia="Arial" w:hint="default"/>
                            <w:sz w:val="18"/>
                            <w:szCs w:val="18"/>
                          </w:rPr>
                        </w:pPr>
                        <w:r>
                          <w:rPr>
                            <w:rFonts w:ascii="Arial"/>
                            <w:spacing w:val="-1"/>
                            <w:sz w:val="18"/>
                          </w:rPr>
                          <w:t>(</w:t>
                        </w:r>
                        <w:r>
                          <w:rPr>
                            <w:rFonts w:ascii="Arial"/>
                            <w:spacing w:val="-1"/>
                            <w:sz w:val="18"/>
                            <w:u w:val="single" w:color="000000"/>
                          </w:rPr>
                          <w:t>44,836,843</w:t>
                        </w:r>
                        <w:r>
                          <w:rPr>
                            <w:rFonts w:ascii="Arial"/>
                            <w:spacing w:val="-1"/>
                            <w:sz w:val="18"/>
                          </w:rPr>
                        </w:r>
                      </w:p>
                    </w:tc>
                    <w:tc>
                      <w:tcPr>
                        <w:tcW w:w="27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 w:right="0"/>
                          <w:jc w:val="left"/>
                          <w:rPr>
                            <w:rFonts w:ascii="Arial" w:hAnsi="Arial" w:cs="Arial" w:eastAsia="Arial" w:hint="default"/>
                            <w:sz w:val="18"/>
                            <w:szCs w:val="18"/>
                          </w:rPr>
                        </w:pPr>
                        <w:r>
                          <w:rPr>
                            <w:rFonts w:ascii="Arial"/>
                            <w:w w:val="99"/>
                            <w:sz w:val="18"/>
                          </w:rPr>
                          <w:t>)</w:t>
                        </w:r>
                        <w:r>
                          <w:rPr>
                            <w:rFonts w:ascii="Arial"/>
                            <w:sz w:val="18"/>
                          </w:rPr>
                        </w:r>
                      </w:p>
                    </w:tc>
                    <w:tc>
                      <w:tcPr>
                        <w:tcW w:w="1455" w:type="dxa"/>
                        <w:tcBorders>
                          <w:top w:val="nil" w:sz="6" w:space="0" w:color="auto"/>
                          <w:left w:val="nil" w:sz="6" w:space="0" w:color="auto"/>
                          <w:bottom w:val="nil" w:sz="6" w:space="0" w:color="auto"/>
                          <w:right w:val="nil" w:sz="6" w:space="0" w:color="auto"/>
                        </w:tcBorders>
                      </w:tcPr>
                      <w:p>
                        <w:pPr>
                          <w:pStyle w:val="TableParagraph"/>
                          <w:tabs>
                            <w:tab w:pos="691" w:val="left" w:leader="none"/>
                          </w:tabs>
                          <w:spacing w:line="240" w:lineRule="auto" w:before="21"/>
                          <w:ind w:right="-2"/>
                          <w:jc w:val="right"/>
                          <w:rPr>
                            <w:rFonts w:ascii="Arial" w:hAnsi="Arial" w:cs="Arial" w:eastAsia="Arial" w:hint="default"/>
                            <w:sz w:val="18"/>
                            <w:szCs w:val="18"/>
                          </w:rPr>
                        </w:pPr>
                        <w:r>
                          <w:rPr>
                            <w:rFonts w:ascii="Arial"/>
                            <w:sz w:val="18"/>
                          </w:rPr>
                          <w:t>(</w:t>
                        </w:r>
                        <w:r>
                          <w:rPr>
                            <w:rFonts w:ascii="Arial"/>
                            <w:sz w:val="18"/>
                            <w:u w:val="single" w:color="000000"/>
                          </w:rPr>
                          <w:t> </w:t>
                          <w:tab/>
                        </w:r>
                        <w:r>
                          <w:rPr>
                            <w:rFonts w:ascii="Arial"/>
                            <w:spacing w:val="-1"/>
                            <w:sz w:val="18"/>
                            <w:u w:val="single" w:color="000000"/>
                          </w:rPr>
                          <w:t>92,716</w:t>
                        </w:r>
                        <w:r>
                          <w:rPr>
                            <w:rFonts w:ascii="Arial"/>
                            <w:spacing w:val="-1"/>
                            <w:sz w:val="18"/>
                          </w:rPr>
                        </w:r>
                      </w:p>
                    </w:tc>
                    <w:tc>
                      <w:tcPr>
                        <w:tcW w:w="32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5" w:right="0"/>
                          <w:jc w:val="left"/>
                          <w:rPr>
                            <w:rFonts w:ascii="Arial" w:hAnsi="Arial" w:cs="Arial" w:eastAsia="Arial" w:hint="default"/>
                            <w:sz w:val="18"/>
                            <w:szCs w:val="18"/>
                          </w:rPr>
                        </w:pPr>
                        <w:r>
                          <w:rPr>
                            <w:rFonts w:ascii="Arial"/>
                            <w:w w:val="99"/>
                            <w:sz w:val="18"/>
                          </w:rPr>
                          <w:t>)</w:t>
                        </w:r>
                        <w:r>
                          <w:rPr>
                            <w:rFonts w:ascii="Arial"/>
                            <w:sz w:val="18"/>
                          </w:rPr>
                        </w:r>
                      </w:p>
                    </w:tc>
                  </w:tr>
                  <w:tr>
                    <w:trPr>
                      <w:trHeight w:val="377" w:hRule="exact"/>
                    </w:trPr>
                    <w:tc>
                      <w:tcPr>
                        <w:tcW w:w="2978"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14"/>
                          <w:ind w:right="6"/>
                          <w:jc w:val="right"/>
                          <w:rPr>
                            <w:rFonts w:ascii="Arial" w:hAnsi="Arial" w:cs="Arial" w:eastAsia="Arial" w:hint="default"/>
                            <w:sz w:val="18"/>
                            <w:szCs w:val="18"/>
                          </w:rPr>
                        </w:pPr>
                        <w:r>
                          <w:rPr>
                            <w:rFonts w:ascii="Arial"/>
                            <w:sz w:val="18"/>
                          </w:rPr>
                          <w:t>(</w:t>
                        </w:r>
                        <w:r>
                          <w:rPr>
                            <w:rFonts w:ascii="Arial"/>
                            <w:sz w:val="18"/>
                            <w:u w:val="single" w:color="000000"/>
                          </w:rPr>
                          <w:t> </w:t>
                          <w:tab/>
                        </w:r>
                        <w:r>
                          <w:rPr>
                            <w:rFonts w:ascii="Arial"/>
                            <w:spacing w:val="-1"/>
                            <w:sz w:val="18"/>
                            <w:u w:val="single" w:color="000000"/>
                          </w:rPr>
                          <w:t>228,540</w:t>
                        </w:r>
                        <w:r>
                          <w:rPr>
                            <w:rFonts w:ascii="Arial"/>
                            <w:spacing w:val="-1"/>
                            <w:sz w:val="18"/>
                          </w:rPr>
                        </w:r>
                      </w:p>
                    </w:tc>
                    <w:tc>
                      <w:tcPr>
                        <w:tcW w:w="28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8" w:right="0"/>
                          <w:jc w:val="left"/>
                          <w:rPr>
                            <w:rFonts w:ascii="Arial" w:hAnsi="Arial" w:cs="Arial" w:eastAsia="Arial" w:hint="default"/>
                            <w:sz w:val="18"/>
                            <w:szCs w:val="18"/>
                          </w:rPr>
                        </w:pPr>
                        <w:r>
                          <w:rPr>
                            <w:rFonts w:ascii="Arial"/>
                            <w:w w:val="99"/>
                            <w:sz w:val="18"/>
                          </w:rPr>
                          <w:t>)</w:t>
                        </w:r>
                        <w:r>
                          <w:rPr>
                            <w:rFonts w:ascii="Arial"/>
                            <w:sz w:val="18"/>
                          </w:rPr>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9"/>
                            <w:sz w:val="18"/>
                            <w:u w:val="single" w:color="000000"/>
                          </w:rPr>
                          <w:t> </w:t>
                        </w:r>
                        <w:r>
                          <w:rPr>
                            <w:rFonts w:ascii="Arial"/>
                            <w:spacing w:val="-1"/>
                            <w:sz w:val="18"/>
                            <w:u w:val="single" w:color="000000"/>
                          </w:rPr>
                          <w:t>73,465,188</w:t>
                        </w:r>
                        <w:r>
                          <w:rPr>
                            <w:rFonts w:ascii="Arial"/>
                            <w:spacing w:val="-1"/>
                            <w:sz w:val="18"/>
                          </w:rPr>
                        </w:r>
                      </w:p>
                    </w:tc>
                    <w:tc>
                      <w:tcPr>
                        <w:tcW w:w="1345" w:type="dxa"/>
                        <w:tcBorders>
                          <w:top w:val="nil" w:sz="6" w:space="0" w:color="auto"/>
                          <w:left w:val="nil" w:sz="6" w:space="0" w:color="auto"/>
                          <w:bottom w:val="nil" w:sz="6" w:space="0" w:color="auto"/>
                          <w:right w:val="nil" w:sz="6" w:space="0" w:color="auto"/>
                        </w:tcBorders>
                      </w:tcPr>
                      <w:p>
                        <w:pPr>
                          <w:pStyle w:val="TableParagraph"/>
                          <w:tabs>
                            <w:tab w:pos="993" w:val="left" w:leader="none"/>
                          </w:tabs>
                          <w:spacing w:line="240" w:lineRule="auto" w:before="14"/>
                          <w:ind w:right="13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295" w:type="dxa"/>
                        <w:tcBorders>
                          <w:top w:val="nil" w:sz="6" w:space="0" w:color="auto"/>
                          <w:left w:val="nil" w:sz="6" w:space="0" w:color="auto"/>
                          <w:bottom w:val="nil" w:sz="6" w:space="0" w:color="auto"/>
                          <w:right w:val="nil" w:sz="6" w:space="0" w:color="auto"/>
                        </w:tcBorders>
                      </w:tcPr>
                      <w:p>
                        <w:pPr>
                          <w:pStyle w:val="TableParagraph"/>
                          <w:tabs>
                            <w:tab w:pos="1060" w:val="left" w:leader="none"/>
                          </w:tabs>
                          <w:spacing w:line="240" w:lineRule="auto" w:before="14"/>
                          <w:ind w:right="1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883" w:type="dxa"/>
                        <w:tcBorders>
                          <w:top w:val="nil" w:sz="6" w:space="0" w:color="auto"/>
                          <w:left w:val="nil" w:sz="6" w:space="0" w:color="auto"/>
                          <w:bottom w:val="nil" w:sz="6" w:space="0" w:color="auto"/>
                          <w:right w:val="nil" w:sz="6" w:space="0" w:color="auto"/>
                        </w:tcBorders>
                      </w:tcPr>
                      <w:p>
                        <w:pPr/>
                      </w:p>
                    </w:tc>
                    <w:tc>
                      <w:tcPr>
                        <w:tcW w:w="890" w:type="dxa"/>
                        <w:tcBorders>
                          <w:top w:val="nil" w:sz="6" w:space="0" w:color="auto"/>
                          <w:left w:val="nil" w:sz="6" w:space="0" w:color="auto"/>
                          <w:bottom w:val="nil" w:sz="6" w:space="0" w:color="auto"/>
                          <w:right w:val="nil" w:sz="6" w:space="0" w:color="auto"/>
                        </w:tcBorders>
                      </w:tcPr>
                      <w:p>
                        <w:pPr>
                          <w:pStyle w:val="TableParagraph"/>
                          <w:tabs>
                            <w:tab w:pos="722" w:val="left" w:leader="none"/>
                          </w:tabs>
                          <w:spacing w:line="240" w:lineRule="auto" w:before="14"/>
                          <w:ind w:right="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22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8"/>
                            <w:sz w:val="18"/>
                            <w:u w:val="single" w:color="000000"/>
                          </w:rPr>
                          <w:t> </w:t>
                        </w:r>
                        <w:r>
                          <w:rPr>
                            <w:rFonts w:ascii="Arial"/>
                            <w:spacing w:val="-1"/>
                            <w:sz w:val="18"/>
                            <w:u w:val="single" w:color="000000"/>
                          </w:rPr>
                          <w:t>73,236,648</w:t>
                        </w:r>
                        <w:r>
                          <w:rPr>
                            <w:rFonts w:ascii="Arial"/>
                            <w:spacing w:val="-1"/>
                            <w:sz w:val="18"/>
                          </w:rPr>
                        </w:r>
                      </w:p>
                    </w:tc>
                    <w:tc>
                      <w:tcPr>
                        <w:tcW w:w="70"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
                          <w:jc w:val="right"/>
                          <w:rPr>
                            <w:rFonts w:ascii="Arial" w:hAnsi="Arial" w:cs="Arial" w:eastAsia="Arial" w:hint="default"/>
                            <w:sz w:val="18"/>
                            <w:szCs w:val="18"/>
                          </w:rPr>
                        </w:pPr>
                        <w:r>
                          <w:rPr>
                            <w:rFonts w:ascii="Arial"/>
                            <w:w w:val="99"/>
                            <w:sz w:val="18"/>
                          </w:rPr>
                        </w:r>
                        <w:r>
                          <w:rPr>
                            <w:rFonts w:ascii="Arial"/>
                            <w:spacing w:val="-1"/>
                            <w:sz w:val="18"/>
                            <w:u w:val="single" w:color="000000"/>
                          </w:rPr>
                          <w:t>26,083,077</w:t>
                        </w:r>
                        <w:r>
                          <w:rPr>
                            <w:rFonts w:ascii="Arial"/>
                            <w:spacing w:val="-1"/>
                            <w:sz w:val="18"/>
                          </w:rPr>
                        </w:r>
                      </w:p>
                    </w:tc>
                    <w:tc>
                      <w:tcPr>
                        <w:tcW w:w="273"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Style w:val="TableParagraph"/>
                          <w:tabs>
                            <w:tab w:pos="271" w:val="left" w:leader="none"/>
                          </w:tabs>
                          <w:spacing w:line="240" w:lineRule="auto" w:before="14"/>
                          <w:ind w:right="-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99,319,725</w:t>
                        </w:r>
                        <w:r>
                          <w:rPr>
                            <w:rFonts w:ascii="Arial"/>
                            <w:spacing w:val="-1"/>
                            <w:sz w:val="18"/>
                          </w:rPr>
                        </w:r>
                      </w:p>
                    </w:tc>
                    <w:tc>
                      <w:tcPr>
                        <w:tcW w:w="32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5" w:right="0"/>
                          <w:jc w:val="left"/>
                          <w:rPr>
                            <w:rFonts w:ascii="Arial" w:hAnsi="Arial" w:cs="Arial" w:eastAsia="Arial" w:hint="default"/>
                            <w:sz w:val="18"/>
                            <w:szCs w:val="18"/>
                          </w:rPr>
                        </w:pPr>
                        <w:r>
                          <w:rPr>
                            <w:rFonts w:ascii="Arial"/>
                            <w:w w:val="99"/>
                            <w:sz w:val="18"/>
                          </w:rPr>
                          <w:t>)</w:t>
                        </w:r>
                        <w:r>
                          <w:rPr>
                            <w:rFonts w:ascii="Arial"/>
                            <w:sz w:val="18"/>
                          </w:rPr>
                        </w:r>
                      </w:p>
                    </w:tc>
                  </w:tr>
                  <w:tr>
                    <w:trPr>
                      <w:trHeight w:val="382" w:hRule="exact"/>
                    </w:trPr>
                    <w:tc>
                      <w:tcPr>
                        <w:tcW w:w="2978"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47"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四</w:t>
                        </w:r>
                        <w:r>
                          <w:rPr>
                            <w:rFonts w:ascii="Arial" w:hAnsi="Arial" w:cs="Arial" w:eastAsia="Arial" w:hint="default"/>
                            <w:sz w:val="18"/>
                            <w:szCs w:val="18"/>
                          </w:rPr>
                          <w:t>)</w:t>
                        </w:r>
                        <w:r>
                          <w:rPr>
                            <w:rFonts w:ascii="Arial" w:hAnsi="Arial" w:cs="Arial" w:eastAsia="Arial" w:hint="default"/>
                            <w:spacing w:val="41"/>
                            <w:sz w:val="18"/>
                            <w:szCs w:val="18"/>
                          </w:rPr>
                          <w:t> </w:t>
                        </w:r>
                        <w:r>
                          <w:rPr>
                            <w:rFonts w:ascii="黑体" w:hAnsi="黑体" w:cs="黑体" w:eastAsia="黑体" w:hint="default"/>
                            <w:sz w:val="18"/>
                            <w:szCs w:val="18"/>
                          </w:rPr>
                          <w:t>利润分配</w:t>
                        </w:r>
                      </w:p>
                    </w:tc>
                    <w:tc>
                      <w:tcPr>
                        <w:tcW w:w="1232" w:type="dxa"/>
                        <w:tcBorders>
                          <w:top w:val="nil" w:sz="6" w:space="0" w:color="auto"/>
                          <w:left w:val="nil" w:sz="6" w:space="0" w:color="auto"/>
                          <w:bottom w:val="nil" w:sz="6" w:space="0" w:color="auto"/>
                          <w:right w:val="nil" w:sz="6" w:space="0" w:color="auto"/>
                        </w:tcBorders>
                      </w:tcPr>
                      <w:p>
                        <w:pPr/>
                      </w:p>
                    </w:tc>
                    <w:tc>
                      <w:tcPr>
                        <w:tcW w:w="285"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c>
                      <w:tcPr>
                        <w:tcW w:w="1345" w:type="dxa"/>
                        <w:tcBorders>
                          <w:top w:val="nil" w:sz="6" w:space="0" w:color="auto"/>
                          <w:left w:val="nil" w:sz="6" w:space="0" w:color="auto"/>
                          <w:bottom w:val="nil" w:sz="6" w:space="0" w:color="auto"/>
                          <w:right w:val="nil" w:sz="6" w:space="0" w:color="auto"/>
                        </w:tcBorders>
                      </w:tcPr>
                      <w:p>
                        <w:pPr/>
                      </w:p>
                    </w:tc>
                    <w:tc>
                      <w:tcPr>
                        <w:tcW w:w="1295" w:type="dxa"/>
                        <w:tcBorders>
                          <w:top w:val="nil" w:sz="6" w:space="0" w:color="auto"/>
                          <w:left w:val="nil" w:sz="6" w:space="0" w:color="auto"/>
                          <w:bottom w:val="nil" w:sz="6" w:space="0" w:color="auto"/>
                          <w:right w:val="nil" w:sz="6" w:space="0" w:color="auto"/>
                        </w:tcBorders>
                      </w:tcPr>
                      <w:p>
                        <w:pPr/>
                      </w:p>
                    </w:tc>
                    <w:tc>
                      <w:tcPr>
                        <w:tcW w:w="883" w:type="dxa"/>
                        <w:tcBorders>
                          <w:top w:val="nil" w:sz="6" w:space="0" w:color="auto"/>
                          <w:left w:val="nil" w:sz="6" w:space="0" w:color="auto"/>
                          <w:bottom w:val="nil" w:sz="6" w:space="0" w:color="auto"/>
                          <w:right w:val="nil" w:sz="6" w:space="0" w:color="auto"/>
                        </w:tcBorders>
                      </w:tcPr>
                      <w:p>
                        <w:pPr/>
                      </w:p>
                    </w:tc>
                    <w:tc>
                      <w:tcPr>
                        <w:tcW w:w="890" w:type="dxa"/>
                        <w:tcBorders>
                          <w:top w:val="nil" w:sz="6" w:space="0" w:color="auto"/>
                          <w:left w:val="nil" w:sz="6" w:space="0" w:color="auto"/>
                          <w:bottom w:val="nil" w:sz="6" w:space="0" w:color="auto"/>
                          <w:right w:val="nil" w:sz="6" w:space="0" w:color="auto"/>
                        </w:tcBorders>
                      </w:tcPr>
                      <w:p>
                        <w:pPr/>
                      </w:p>
                    </w:tc>
                    <w:tc>
                      <w:tcPr>
                        <w:tcW w:w="22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
                    </w:tc>
                    <w:tc>
                      <w:tcPr>
                        <w:tcW w:w="70"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
                    </w:tc>
                    <w:tc>
                      <w:tcPr>
                        <w:tcW w:w="273"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
                    </w:tc>
                    <w:tc>
                      <w:tcPr>
                        <w:tcW w:w="324" w:type="dxa"/>
                        <w:tcBorders>
                          <w:top w:val="nil" w:sz="6" w:space="0" w:color="auto"/>
                          <w:left w:val="nil" w:sz="6" w:space="0" w:color="auto"/>
                          <w:bottom w:val="nil" w:sz="6" w:space="0" w:color="auto"/>
                          <w:right w:val="nil" w:sz="6" w:space="0" w:color="auto"/>
                        </w:tcBorders>
                      </w:tcPr>
                      <w:p>
                        <w:pPr/>
                      </w:p>
                    </w:tc>
                  </w:tr>
                  <w:tr>
                    <w:trPr>
                      <w:trHeight w:val="257" w:hRule="exact"/>
                    </w:trPr>
                    <w:tc>
                      <w:tcPr>
                        <w:tcW w:w="2978" w:type="dxa"/>
                        <w:tcBorders>
                          <w:top w:val="nil" w:sz="6" w:space="0" w:color="auto"/>
                          <w:left w:val="nil" w:sz="6" w:space="0" w:color="auto"/>
                          <w:bottom w:val="nil" w:sz="6" w:space="0" w:color="auto"/>
                          <w:right w:val="nil" w:sz="6" w:space="0" w:color="auto"/>
                        </w:tcBorders>
                      </w:tcPr>
                      <w:p>
                        <w:pPr>
                          <w:pStyle w:val="TableParagraph"/>
                          <w:spacing w:line="226" w:lineRule="exact"/>
                          <w:ind w:left="258" w:right="0"/>
                          <w:jc w:val="left"/>
                          <w:rPr>
                            <w:rFonts w:ascii="黑体" w:hAnsi="黑体" w:cs="黑体" w:eastAsia="黑体" w:hint="default"/>
                            <w:sz w:val="18"/>
                            <w:szCs w:val="18"/>
                          </w:rPr>
                        </w:pPr>
                        <w:r>
                          <w:rPr>
                            <w:rFonts w:ascii="Arial" w:hAnsi="Arial" w:cs="Arial" w:eastAsia="Arial" w:hint="default"/>
                            <w:sz w:val="18"/>
                            <w:szCs w:val="18"/>
                          </w:rPr>
                          <w:t>1.</w:t>
                        </w:r>
                        <w:r>
                          <w:rPr>
                            <w:rFonts w:ascii="黑体" w:hAnsi="黑体" w:cs="黑体" w:eastAsia="黑体" w:hint="default"/>
                            <w:sz w:val="18"/>
                            <w:szCs w:val="18"/>
                          </w:rPr>
                          <w:t>提取盈余公积</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
                          <w:jc w:val="right"/>
                          <w:rPr>
                            <w:rFonts w:ascii="Arial" w:hAnsi="Arial" w:cs="Arial" w:eastAsia="Arial" w:hint="default"/>
                            <w:sz w:val="18"/>
                            <w:szCs w:val="18"/>
                          </w:rPr>
                        </w:pPr>
                        <w:r>
                          <w:rPr>
                            <w:rFonts w:ascii="Arial"/>
                            <w:w w:val="99"/>
                            <w:sz w:val="18"/>
                          </w:rPr>
                          <w:t>-</w:t>
                        </w:r>
                        <w:r>
                          <w:rPr>
                            <w:rFonts w:ascii="Arial"/>
                            <w:sz w:val="18"/>
                          </w:rPr>
                        </w:r>
                      </w:p>
                    </w:tc>
                    <w:tc>
                      <w:tcPr>
                        <w:tcW w:w="285"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04"/>
                          <w:jc w:val="right"/>
                          <w:rPr>
                            <w:rFonts w:ascii="Arial" w:hAnsi="Arial" w:cs="Arial" w:eastAsia="Arial" w:hint="default"/>
                            <w:sz w:val="18"/>
                            <w:szCs w:val="18"/>
                          </w:rPr>
                        </w:pPr>
                        <w:r>
                          <w:rPr>
                            <w:rFonts w:ascii="Arial"/>
                            <w:w w:val="99"/>
                            <w:sz w:val="18"/>
                          </w:rPr>
                          <w:t>-</w:t>
                        </w:r>
                        <w:r>
                          <w:rPr>
                            <w:rFonts w:ascii="Arial"/>
                            <w:sz w:val="18"/>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31"/>
                          <w:jc w:val="right"/>
                          <w:rPr>
                            <w:rFonts w:ascii="Arial" w:hAnsi="Arial" w:cs="Arial" w:eastAsia="Arial" w:hint="default"/>
                            <w:sz w:val="18"/>
                            <w:szCs w:val="18"/>
                          </w:rPr>
                        </w:pPr>
                        <w:r>
                          <w:rPr>
                            <w:rFonts w:ascii="Arial"/>
                            <w:spacing w:val="-1"/>
                            <w:sz w:val="18"/>
                          </w:rPr>
                          <w:t>73,005,886</w:t>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
                          <w:jc w:val="right"/>
                          <w:rPr>
                            <w:rFonts w:ascii="Arial" w:hAnsi="Arial" w:cs="Arial" w:eastAsia="Arial" w:hint="default"/>
                            <w:sz w:val="18"/>
                            <w:szCs w:val="18"/>
                          </w:rPr>
                        </w:pPr>
                        <w:r>
                          <w:rPr>
                            <w:rFonts w:ascii="Arial"/>
                            <w:sz w:val="18"/>
                          </w:rPr>
                          <w:t>( </w:t>
                        </w:r>
                        <w:r>
                          <w:rPr>
                            <w:rFonts w:ascii="Arial"/>
                            <w:spacing w:val="36"/>
                            <w:sz w:val="18"/>
                          </w:rPr>
                          <w:t> </w:t>
                        </w:r>
                        <w:r>
                          <w:rPr>
                            <w:rFonts w:ascii="Arial"/>
                            <w:sz w:val="18"/>
                          </w:rPr>
                          <w:t>73,005,886</w:t>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7" w:right="0"/>
                          <w:jc w:val="left"/>
                          <w:rPr>
                            <w:rFonts w:ascii="Arial" w:hAnsi="Arial" w:cs="Arial" w:eastAsia="Arial" w:hint="default"/>
                            <w:sz w:val="18"/>
                            <w:szCs w:val="18"/>
                          </w:rPr>
                        </w:pPr>
                        <w:r>
                          <w:rPr>
                            <w:rFonts w:ascii="Arial"/>
                            <w:w w:val="99"/>
                            <w:sz w:val="18"/>
                          </w:rPr>
                          <w:t>)</w:t>
                        </w:r>
                        <w:r>
                          <w:rPr>
                            <w:rFonts w:ascii="Arial"/>
                            <w:sz w:val="18"/>
                          </w:rPr>
                        </w: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2"/>
                          <w:jc w:val="right"/>
                          <w:rPr>
                            <w:rFonts w:ascii="Arial" w:hAnsi="Arial" w:cs="Arial" w:eastAsia="Arial" w:hint="default"/>
                            <w:sz w:val="18"/>
                            <w:szCs w:val="18"/>
                          </w:rPr>
                        </w:pPr>
                        <w:r>
                          <w:rPr>
                            <w:rFonts w:ascii="Arial"/>
                            <w:w w:val="99"/>
                            <w:sz w:val="18"/>
                          </w:rPr>
                          <w:t>-</w:t>
                        </w:r>
                        <w:r>
                          <w:rPr>
                            <w:rFonts w:ascii="Arial"/>
                            <w:sz w:val="18"/>
                          </w:rPr>
                        </w:r>
                      </w:p>
                    </w:tc>
                    <w:tc>
                      <w:tcPr>
                        <w:tcW w:w="22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2"/>
                          <w:jc w:val="right"/>
                          <w:rPr>
                            <w:rFonts w:ascii="Arial" w:hAnsi="Arial" w:cs="Arial" w:eastAsia="Arial" w:hint="default"/>
                            <w:sz w:val="18"/>
                            <w:szCs w:val="18"/>
                          </w:rPr>
                        </w:pPr>
                        <w:r>
                          <w:rPr>
                            <w:rFonts w:ascii="Arial"/>
                            <w:w w:val="99"/>
                            <w:sz w:val="18"/>
                          </w:rPr>
                          <w:t>-</w:t>
                        </w:r>
                        <w:r>
                          <w:rPr>
                            <w:rFonts w:ascii="Arial"/>
                            <w:sz w:val="18"/>
                          </w:rPr>
                        </w:r>
                      </w:p>
                    </w:tc>
                    <w:tc>
                      <w:tcPr>
                        <w:tcW w:w="70"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3"/>
                          <w:jc w:val="right"/>
                          <w:rPr>
                            <w:rFonts w:ascii="Arial" w:hAnsi="Arial" w:cs="Arial" w:eastAsia="Arial" w:hint="default"/>
                            <w:sz w:val="18"/>
                            <w:szCs w:val="18"/>
                          </w:rPr>
                        </w:pPr>
                        <w:r>
                          <w:rPr>
                            <w:rFonts w:ascii="Arial"/>
                            <w:w w:val="99"/>
                            <w:sz w:val="18"/>
                          </w:rPr>
                          <w:t>-</w:t>
                        </w:r>
                        <w:r>
                          <w:rPr>
                            <w:rFonts w:ascii="Arial"/>
                            <w:sz w:val="18"/>
                          </w:rPr>
                        </w:r>
                      </w:p>
                    </w:tc>
                    <w:tc>
                      <w:tcPr>
                        <w:tcW w:w="273"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
                          <w:jc w:val="right"/>
                          <w:rPr>
                            <w:rFonts w:ascii="Arial" w:hAnsi="Arial" w:cs="Arial" w:eastAsia="Arial" w:hint="default"/>
                            <w:sz w:val="18"/>
                            <w:szCs w:val="18"/>
                          </w:rPr>
                        </w:pPr>
                        <w:r>
                          <w:rPr>
                            <w:rFonts w:ascii="Arial"/>
                            <w:w w:val="99"/>
                            <w:sz w:val="18"/>
                          </w:rPr>
                          <w:t>-</w:t>
                        </w:r>
                        <w:r>
                          <w:rPr>
                            <w:rFonts w:ascii="Arial"/>
                            <w:sz w:val="18"/>
                          </w:rPr>
                        </w:r>
                      </w:p>
                    </w:tc>
                    <w:tc>
                      <w:tcPr>
                        <w:tcW w:w="324" w:type="dxa"/>
                        <w:tcBorders>
                          <w:top w:val="nil" w:sz="6" w:space="0" w:color="auto"/>
                          <w:left w:val="nil" w:sz="6" w:space="0" w:color="auto"/>
                          <w:bottom w:val="nil" w:sz="6" w:space="0" w:color="auto"/>
                          <w:right w:val="nil" w:sz="6" w:space="0" w:color="auto"/>
                        </w:tcBorders>
                      </w:tcPr>
                      <w:p>
                        <w:pPr/>
                      </w:p>
                    </w:tc>
                  </w:tr>
                  <w:tr>
                    <w:trPr>
                      <w:trHeight w:val="259" w:hRule="exact"/>
                    </w:trPr>
                    <w:tc>
                      <w:tcPr>
                        <w:tcW w:w="2978" w:type="dxa"/>
                        <w:tcBorders>
                          <w:top w:val="nil" w:sz="6" w:space="0" w:color="auto"/>
                          <w:left w:val="nil" w:sz="6" w:space="0" w:color="auto"/>
                          <w:bottom w:val="nil" w:sz="6" w:space="0" w:color="auto"/>
                          <w:right w:val="nil" w:sz="6" w:space="0" w:color="auto"/>
                        </w:tcBorders>
                      </w:tcPr>
                      <w:p>
                        <w:pPr>
                          <w:pStyle w:val="TableParagraph"/>
                          <w:spacing w:line="226" w:lineRule="exact"/>
                          <w:ind w:left="258" w:right="0"/>
                          <w:jc w:val="left"/>
                          <w:rPr>
                            <w:rFonts w:ascii="黑体" w:hAnsi="黑体" w:cs="黑体" w:eastAsia="黑体" w:hint="default"/>
                            <w:sz w:val="18"/>
                            <w:szCs w:val="18"/>
                          </w:rPr>
                        </w:pPr>
                        <w:r>
                          <w:rPr>
                            <w:rFonts w:ascii="Arial" w:hAnsi="Arial" w:cs="Arial" w:eastAsia="Arial" w:hint="default"/>
                            <w:sz w:val="18"/>
                            <w:szCs w:val="18"/>
                          </w:rPr>
                          <w:t>2.</w:t>
                        </w:r>
                        <w:r>
                          <w:rPr>
                            <w:rFonts w:ascii="黑体" w:hAnsi="黑体" w:cs="黑体" w:eastAsia="黑体" w:hint="default"/>
                            <w:sz w:val="18"/>
                            <w:szCs w:val="18"/>
                          </w:rPr>
                          <w:t>对股东的分配</w:t>
                        </w:r>
                      </w:p>
                    </w:tc>
                    <w:tc>
                      <w:tcPr>
                        <w:tcW w:w="1232" w:type="dxa"/>
                        <w:tcBorders>
                          <w:top w:val="nil" w:sz="6" w:space="0" w:color="auto"/>
                          <w:left w:val="nil" w:sz="6" w:space="0" w:color="auto"/>
                          <w:bottom w:val="nil" w:sz="6" w:space="0" w:color="auto"/>
                          <w:right w:val="nil" w:sz="6" w:space="0" w:color="auto"/>
                        </w:tcBorders>
                      </w:tcPr>
                      <w:p>
                        <w:pPr>
                          <w:pStyle w:val="TableParagraph"/>
                          <w:tabs>
                            <w:tab w:pos="902" w:val="left" w:leader="none"/>
                          </w:tabs>
                          <w:spacing w:line="240" w:lineRule="auto" w:before="18"/>
                          <w:ind w:right="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285"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tabs>
                            <w:tab w:pos="993" w:val="left" w:leader="none"/>
                          </w:tabs>
                          <w:spacing w:line="240" w:lineRule="auto" w:before="18"/>
                          <w:ind w:right="20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345" w:type="dxa"/>
                        <w:tcBorders>
                          <w:top w:val="nil" w:sz="6" w:space="0" w:color="auto"/>
                          <w:left w:val="nil" w:sz="6" w:space="0" w:color="auto"/>
                          <w:bottom w:val="nil" w:sz="6" w:space="0" w:color="auto"/>
                          <w:right w:val="nil" w:sz="6" w:space="0" w:color="auto"/>
                        </w:tcBorders>
                      </w:tcPr>
                      <w:p>
                        <w:pPr>
                          <w:pStyle w:val="TableParagraph"/>
                          <w:tabs>
                            <w:tab w:pos="981" w:val="left" w:leader="none"/>
                          </w:tabs>
                          <w:spacing w:line="240" w:lineRule="auto" w:before="18"/>
                          <w:ind w:right="13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
                          <w:jc w:val="right"/>
                          <w:rPr>
                            <w:rFonts w:ascii="Arial" w:hAnsi="Arial" w:cs="Arial" w:eastAsia="Arial" w:hint="default"/>
                            <w:sz w:val="18"/>
                            <w:szCs w:val="18"/>
                          </w:rPr>
                        </w:pPr>
                        <w:r>
                          <w:rPr>
                            <w:rFonts w:ascii="Arial"/>
                            <w:sz w:val="18"/>
                          </w:rPr>
                          <w:t>(</w:t>
                        </w:r>
                        <w:r>
                          <w:rPr>
                            <w:rFonts w:ascii="Arial"/>
                            <w:spacing w:val="-5"/>
                            <w:sz w:val="18"/>
                          </w:rPr>
                          <w:t> </w:t>
                        </w:r>
                        <w:r>
                          <w:rPr>
                            <w:rFonts w:ascii="Arial"/>
                            <w:spacing w:val="-5"/>
                            <w:sz w:val="18"/>
                            <w:u w:val="single" w:color="000000"/>
                          </w:rPr>
                          <w:t> </w:t>
                        </w:r>
                        <w:r>
                          <w:rPr>
                            <w:rFonts w:ascii="Arial"/>
                            <w:sz w:val="18"/>
                            <w:u w:val="single" w:color="000000"/>
                          </w:rPr>
                          <w:t>179,526,780</w:t>
                        </w:r>
                        <w:r>
                          <w:rPr>
                            <w:rFonts w:ascii="Arial"/>
                            <w:sz w:val="18"/>
                          </w:rPr>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 w:right="0"/>
                          <w:jc w:val="left"/>
                          <w:rPr>
                            <w:rFonts w:ascii="Arial" w:hAnsi="Arial" w:cs="Arial" w:eastAsia="Arial" w:hint="default"/>
                            <w:sz w:val="18"/>
                            <w:szCs w:val="18"/>
                          </w:rPr>
                        </w:pPr>
                        <w:r>
                          <w:rPr>
                            <w:rFonts w:ascii="Arial"/>
                            <w:w w:val="99"/>
                            <w:sz w:val="18"/>
                          </w:rPr>
                          <w:t>)</w:t>
                        </w:r>
                        <w:r>
                          <w:rPr>
                            <w:rFonts w:ascii="Arial"/>
                            <w:sz w:val="18"/>
                          </w:rPr>
                        </w:r>
                      </w:p>
                    </w:tc>
                    <w:tc>
                      <w:tcPr>
                        <w:tcW w:w="890" w:type="dxa"/>
                        <w:tcBorders>
                          <w:top w:val="nil" w:sz="6" w:space="0" w:color="auto"/>
                          <w:left w:val="nil" w:sz="6" w:space="0" w:color="auto"/>
                          <w:bottom w:val="nil" w:sz="6" w:space="0" w:color="auto"/>
                          <w:right w:val="nil" w:sz="6" w:space="0" w:color="auto"/>
                        </w:tcBorders>
                      </w:tcPr>
                      <w:p>
                        <w:pPr>
                          <w:pStyle w:val="TableParagraph"/>
                          <w:tabs>
                            <w:tab w:pos="813" w:val="left" w:leader="none"/>
                          </w:tabs>
                          <w:spacing w:line="240" w:lineRule="auto" w:before="18"/>
                          <w:ind w:right="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22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
                          <w:jc w:val="right"/>
                          <w:rPr>
                            <w:rFonts w:ascii="Arial" w:hAnsi="Arial" w:cs="Arial" w:eastAsia="Arial" w:hint="default"/>
                            <w:sz w:val="18"/>
                            <w:szCs w:val="18"/>
                          </w:rPr>
                        </w:pPr>
                        <w:r>
                          <w:rPr>
                            <w:rFonts w:ascii="Arial"/>
                            <w:sz w:val="18"/>
                          </w:rPr>
                          <w:t>(  </w:t>
                        </w:r>
                        <w:r>
                          <w:rPr>
                            <w:rFonts w:ascii="Arial"/>
                            <w:spacing w:val="25"/>
                            <w:sz w:val="18"/>
                          </w:rPr>
                          <w:t> </w:t>
                        </w:r>
                        <w:r>
                          <w:rPr>
                            <w:rFonts w:ascii="Arial"/>
                            <w:spacing w:val="25"/>
                            <w:sz w:val="18"/>
                            <w:u w:val="single" w:color="000000"/>
                          </w:rPr>
                          <w:t> </w:t>
                        </w:r>
                        <w:r>
                          <w:rPr>
                            <w:rFonts w:ascii="Arial"/>
                            <w:sz w:val="18"/>
                            <w:u w:val="single" w:color="000000"/>
                          </w:rPr>
                          <w:t>179,526,780</w:t>
                        </w:r>
                        <w:r>
                          <w:rPr>
                            <w:rFonts w:ascii="Arial"/>
                            <w:sz w:val="18"/>
                          </w:rPr>
                        </w:r>
                      </w:p>
                    </w:tc>
                    <w:tc>
                      <w:tcPr>
                        <w:tcW w:w="70"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
                          <w:jc w:val="right"/>
                          <w:rPr>
                            <w:rFonts w:ascii="Arial" w:hAnsi="Arial" w:cs="Arial" w:eastAsia="Arial" w:hint="default"/>
                            <w:sz w:val="18"/>
                            <w:szCs w:val="18"/>
                          </w:rPr>
                        </w:pPr>
                        <w:r>
                          <w:rPr>
                            <w:rFonts w:ascii="Arial"/>
                            <w:sz w:val="18"/>
                          </w:rPr>
                          <w:t>(</w:t>
                        </w:r>
                        <w:r>
                          <w:rPr>
                            <w:rFonts w:ascii="Arial"/>
                            <w:spacing w:val="36"/>
                            <w:sz w:val="18"/>
                          </w:rPr>
                          <w:t> </w:t>
                        </w:r>
                        <w:r>
                          <w:rPr>
                            <w:rFonts w:ascii="Arial"/>
                            <w:spacing w:val="36"/>
                            <w:sz w:val="18"/>
                            <w:u w:val="single" w:color="000000"/>
                          </w:rPr>
                          <w:t> </w:t>
                        </w:r>
                        <w:r>
                          <w:rPr>
                            <w:rFonts w:ascii="Arial"/>
                            <w:sz w:val="18"/>
                            <w:u w:val="single" w:color="000000"/>
                          </w:rPr>
                          <w:t>8,392,356</w:t>
                        </w:r>
                        <w:r>
                          <w:rPr>
                            <w:rFonts w:ascii="Arial"/>
                            <w:sz w:val="18"/>
                          </w:rPr>
                        </w:r>
                      </w:p>
                    </w:tc>
                    <w:tc>
                      <w:tcPr>
                        <w:tcW w:w="27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 w:right="0"/>
                          <w:jc w:val="left"/>
                          <w:rPr>
                            <w:rFonts w:ascii="Arial" w:hAnsi="Arial" w:cs="Arial" w:eastAsia="Arial" w:hint="default"/>
                            <w:sz w:val="18"/>
                            <w:szCs w:val="18"/>
                          </w:rPr>
                        </w:pPr>
                        <w:r>
                          <w:rPr>
                            <w:rFonts w:ascii="Arial"/>
                            <w:w w:val="99"/>
                            <w:sz w:val="18"/>
                          </w:rPr>
                          <w:t>)</w:t>
                        </w:r>
                        <w:r>
                          <w:rPr>
                            <w:rFonts w:ascii="Arial"/>
                            <w:sz w:val="18"/>
                          </w:rPr>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
                          <w:jc w:val="right"/>
                          <w:rPr>
                            <w:rFonts w:ascii="Arial" w:hAnsi="Arial" w:cs="Arial" w:eastAsia="Arial" w:hint="default"/>
                            <w:sz w:val="18"/>
                            <w:szCs w:val="18"/>
                          </w:rPr>
                        </w:pPr>
                        <w:r>
                          <w:rPr>
                            <w:rFonts w:ascii="Arial"/>
                            <w:sz w:val="18"/>
                          </w:rPr>
                          <w:t>(  </w:t>
                        </w:r>
                        <w:r>
                          <w:rPr>
                            <w:rFonts w:ascii="Arial"/>
                            <w:spacing w:val="25"/>
                            <w:sz w:val="18"/>
                          </w:rPr>
                          <w:t> </w:t>
                        </w:r>
                        <w:r>
                          <w:rPr>
                            <w:rFonts w:ascii="Arial"/>
                            <w:spacing w:val="25"/>
                            <w:sz w:val="18"/>
                            <w:u w:val="single" w:color="000000"/>
                          </w:rPr>
                          <w:t> </w:t>
                        </w:r>
                        <w:r>
                          <w:rPr>
                            <w:rFonts w:ascii="Arial"/>
                            <w:sz w:val="18"/>
                            <w:u w:val="single" w:color="000000"/>
                          </w:rPr>
                          <w:t>187,919,136</w:t>
                        </w:r>
                        <w:r>
                          <w:rPr>
                            <w:rFonts w:ascii="Arial"/>
                            <w:sz w:val="18"/>
                          </w:rPr>
                        </w:r>
                      </w:p>
                    </w:tc>
                    <w:tc>
                      <w:tcPr>
                        <w:tcW w:w="32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5" w:right="0"/>
                          <w:jc w:val="left"/>
                          <w:rPr>
                            <w:rFonts w:ascii="Arial" w:hAnsi="Arial" w:cs="Arial" w:eastAsia="Arial" w:hint="default"/>
                            <w:sz w:val="18"/>
                            <w:szCs w:val="18"/>
                          </w:rPr>
                        </w:pPr>
                        <w:r>
                          <w:rPr>
                            <w:rFonts w:ascii="Arial"/>
                            <w:w w:val="99"/>
                            <w:sz w:val="18"/>
                          </w:rPr>
                          <w:t>)</w:t>
                        </w:r>
                        <w:r>
                          <w:rPr>
                            <w:rFonts w:ascii="Arial"/>
                            <w:sz w:val="18"/>
                          </w:rPr>
                        </w:r>
                      </w:p>
                    </w:tc>
                  </w:tr>
                  <w:tr>
                    <w:trPr>
                      <w:trHeight w:val="377" w:hRule="exact"/>
                    </w:trPr>
                    <w:tc>
                      <w:tcPr>
                        <w:tcW w:w="2978" w:type="dxa"/>
                        <w:tcBorders>
                          <w:top w:val="nil" w:sz="6" w:space="0" w:color="auto"/>
                          <w:left w:val="nil" w:sz="6" w:space="0" w:color="auto"/>
                          <w:bottom w:val="nil" w:sz="6" w:space="0" w:color="auto"/>
                          <w:right w:val="nil" w:sz="6" w:space="0" w:color="auto"/>
                        </w:tcBorders>
                      </w:tcPr>
                      <w:p>
                        <w:pPr/>
                      </w:p>
                    </w:tc>
                    <w:tc>
                      <w:tcPr>
                        <w:tcW w:w="1232" w:type="dxa"/>
                        <w:tcBorders>
                          <w:top w:val="nil" w:sz="6" w:space="0" w:color="auto"/>
                          <w:left w:val="nil" w:sz="6" w:space="0" w:color="auto"/>
                          <w:bottom w:val="nil" w:sz="6" w:space="0" w:color="auto"/>
                          <w:right w:val="nil" w:sz="6" w:space="0" w:color="auto"/>
                        </w:tcBorders>
                      </w:tcPr>
                      <w:p>
                        <w:pPr>
                          <w:pStyle w:val="TableParagraph"/>
                          <w:tabs>
                            <w:tab w:pos="902" w:val="left" w:leader="none"/>
                          </w:tabs>
                          <w:spacing w:line="240" w:lineRule="auto" w:before="14"/>
                          <w:ind w:right="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285"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tabs>
                            <w:tab w:pos="993" w:val="left" w:leader="none"/>
                          </w:tabs>
                          <w:spacing w:line="240" w:lineRule="auto" w:before="14"/>
                          <w:ind w:right="20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9"/>
                            <w:sz w:val="18"/>
                            <w:u w:val="single" w:color="000000"/>
                          </w:rPr>
                          <w:t> </w:t>
                        </w:r>
                        <w:r>
                          <w:rPr>
                            <w:rFonts w:ascii="Arial"/>
                            <w:spacing w:val="-1"/>
                            <w:sz w:val="18"/>
                            <w:u w:val="single" w:color="000000"/>
                          </w:rPr>
                          <w:t>73,005,886</w:t>
                        </w:r>
                        <w:r>
                          <w:rPr>
                            <w:rFonts w:ascii="Arial"/>
                            <w:spacing w:val="-1"/>
                            <w:sz w:val="18"/>
                          </w:rPr>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
                          <w:jc w:val="right"/>
                          <w:rPr>
                            <w:rFonts w:ascii="Arial" w:hAnsi="Arial" w:cs="Arial" w:eastAsia="Arial" w:hint="default"/>
                            <w:sz w:val="18"/>
                            <w:szCs w:val="18"/>
                          </w:rPr>
                        </w:pPr>
                        <w:r>
                          <w:rPr>
                            <w:rFonts w:ascii="Arial"/>
                            <w:sz w:val="18"/>
                          </w:rPr>
                          <w:t>(</w:t>
                        </w:r>
                        <w:r>
                          <w:rPr>
                            <w:rFonts w:ascii="Arial"/>
                            <w:spacing w:val="-5"/>
                            <w:sz w:val="18"/>
                          </w:rPr>
                          <w:t> </w:t>
                        </w:r>
                        <w:r>
                          <w:rPr>
                            <w:rFonts w:ascii="Arial"/>
                            <w:spacing w:val="-5"/>
                            <w:sz w:val="18"/>
                            <w:u w:val="single" w:color="000000"/>
                          </w:rPr>
                          <w:t> </w:t>
                        </w:r>
                        <w:r>
                          <w:rPr>
                            <w:rFonts w:ascii="Arial"/>
                            <w:sz w:val="18"/>
                            <w:u w:val="single" w:color="000000"/>
                          </w:rPr>
                          <w:t>252,532,666</w:t>
                        </w:r>
                        <w:r>
                          <w:rPr>
                            <w:rFonts w:ascii="Arial"/>
                            <w:sz w:val="18"/>
                          </w:rPr>
                        </w:r>
                      </w:p>
                    </w:tc>
                    <w:tc>
                      <w:tcPr>
                        <w:tcW w:w="88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 w:right="0"/>
                          <w:jc w:val="left"/>
                          <w:rPr>
                            <w:rFonts w:ascii="Arial" w:hAnsi="Arial" w:cs="Arial" w:eastAsia="Arial" w:hint="default"/>
                            <w:sz w:val="18"/>
                            <w:szCs w:val="18"/>
                          </w:rPr>
                        </w:pPr>
                        <w:r>
                          <w:rPr>
                            <w:rFonts w:ascii="Arial"/>
                            <w:w w:val="99"/>
                            <w:sz w:val="18"/>
                          </w:rPr>
                          <w:t>)</w:t>
                        </w:r>
                        <w:r>
                          <w:rPr>
                            <w:rFonts w:ascii="Arial"/>
                            <w:sz w:val="18"/>
                          </w:rPr>
                        </w:r>
                      </w:p>
                    </w:tc>
                    <w:tc>
                      <w:tcPr>
                        <w:tcW w:w="890" w:type="dxa"/>
                        <w:tcBorders>
                          <w:top w:val="nil" w:sz="6" w:space="0" w:color="auto"/>
                          <w:left w:val="nil" w:sz="6" w:space="0" w:color="auto"/>
                          <w:bottom w:val="nil" w:sz="6" w:space="0" w:color="auto"/>
                          <w:right w:val="nil" w:sz="6" w:space="0" w:color="auto"/>
                        </w:tcBorders>
                      </w:tcPr>
                      <w:p>
                        <w:pPr>
                          <w:pStyle w:val="TableParagraph"/>
                          <w:tabs>
                            <w:tab w:pos="813" w:val="left" w:leader="none"/>
                          </w:tabs>
                          <w:spacing w:line="240" w:lineRule="auto" w:before="14"/>
                          <w:ind w:right="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226"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
                          <w:jc w:val="right"/>
                          <w:rPr>
                            <w:rFonts w:ascii="Arial" w:hAnsi="Arial" w:cs="Arial" w:eastAsia="Arial" w:hint="default"/>
                            <w:sz w:val="18"/>
                            <w:szCs w:val="18"/>
                          </w:rPr>
                        </w:pPr>
                        <w:r>
                          <w:rPr>
                            <w:rFonts w:ascii="Arial"/>
                            <w:sz w:val="18"/>
                          </w:rPr>
                          <w:t>(  </w:t>
                        </w:r>
                        <w:r>
                          <w:rPr>
                            <w:rFonts w:ascii="Arial"/>
                            <w:spacing w:val="25"/>
                            <w:sz w:val="18"/>
                          </w:rPr>
                          <w:t> </w:t>
                        </w:r>
                        <w:r>
                          <w:rPr>
                            <w:rFonts w:ascii="Arial"/>
                            <w:spacing w:val="25"/>
                            <w:sz w:val="18"/>
                            <w:u w:val="single" w:color="000000"/>
                          </w:rPr>
                          <w:t> </w:t>
                        </w:r>
                        <w:r>
                          <w:rPr>
                            <w:rFonts w:ascii="Arial"/>
                            <w:sz w:val="18"/>
                            <w:u w:val="single" w:color="000000"/>
                          </w:rPr>
                          <w:t>179,526,780</w:t>
                        </w:r>
                        <w:r>
                          <w:rPr>
                            <w:rFonts w:ascii="Arial"/>
                            <w:sz w:val="18"/>
                          </w:rPr>
                        </w:r>
                      </w:p>
                    </w:tc>
                    <w:tc>
                      <w:tcPr>
                        <w:tcW w:w="70"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
                          <w:jc w:val="right"/>
                          <w:rPr>
                            <w:rFonts w:ascii="Arial" w:hAnsi="Arial" w:cs="Arial" w:eastAsia="Arial" w:hint="default"/>
                            <w:sz w:val="18"/>
                            <w:szCs w:val="18"/>
                          </w:rPr>
                        </w:pPr>
                        <w:r>
                          <w:rPr>
                            <w:rFonts w:ascii="Arial"/>
                            <w:sz w:val="18"/>
                          </w:rPr>
                          <w:t>(</w:t>
                        </w:r>
                        <w:r>
                          <w:rPr>
                            <w:rFonts w:ascii="Arial"/>
                            <w:spacing w:val="36"/>
                            <w:sz w:val="18"/>
                          </w:rPr>
                          <w:t> </w:t>
                        </w:r>
                        <w:r>
                          <w:rPr>
                            <w:rFonts w:ascii="Arial"/>
                            <w:spacing w:val="36"/>
                            <w:sz w:val="18"/>
                            <w:u w:val="single" w:color="000000"/>
                          </w:rPr>
                          <w:t> </w:t>
                        </w:r>
                        <w:r>
                          <w:rPr>
                            <w:rFonts w:ascii="Arial"/>
                            <w:sz w:val="18"/>
                            <w:u w:val="single" w:color="000000"/>
                          </w:rPr>
                          <w:t>8,392,356</w:t>
                        </w:r>
                        <w:r>
                          <w:rPr>
                            <w:rFonts w:ascii="Arial"/>
                            <w:sz w:val="18"/>
                          </w:rPr>
                        </w:r>
                      </w:p>
                    </w:tc>
                    <w:tc>
                      <w:tcPr>
                        <w:tcW w:w="27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5" w:right="0"/>
                          <w:jc w:val="left"/>
                          <w:rPr>
                            <w:rFonts w:ascii="Arial" w:hAnsi="Arial" w:cs="Arial" w:eastAsia="Arial" w:hint="default"/>
                            <w:sz w:val="18"/>
                            <w:szCs w:val="18"/>
                          </w:rPr>
                        </w:pPr>
                        <w:r>
                          <w:rPr>
                            <w:rFonts w:ascii="Arial"/>
                            <w:w w:val="99"/>
                            <w:sz w:val="18"/>
                          </w:rPr>
                          <w:t>)</w:t>
                        </w:r>
                        <w:r>
                          <w:rPr>
                            <w:rFonts w:ascii="Arial"/>
                            <w:sz w:val="18"/>
                          </w:rPr>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
                          <w:jc w:val="right"/>
                          <w:rPr>
                            <w:rFonts w:ascii="Arial" w:hAnsi="Arial" w:cs="Arial" w:eastAsia="Arial" w:hint="default"/>
                            <w:sz w:val="18"/>
                            <w:szCs w:val="18"/>
                          </w:rPr>
                        </w:pPr>
                        <w:r>
                          <w:rPr>
                            <w:rFonts w:ascii="Arial"/>
                            <w:sz w:val="18"/>
                          </w:rPr>
                          <w:t>(  </w:t>
                        </w:r>
                        <w:r>
                          <w:rPr>
                            <w:rFonts w:ascii="Arial"/>
                            <w:spacing w:val="25"/>
                            <w:sz w:val="18"/>
                          </w:rPr>
                          <w:t> </w:t>
                        </w:r>
                        <w:r>
                          <w:rPr>
                            <w:rFonts w:ascii="Arial"/>
                            <w:spacing w:val="25"/>
                            <w:sz w:val="18"/>
                            <w:u w:val="single" w:color="000000"/>
                          </w:rPr>
                          <w:t> </w:t>
                        </w:r>
                        <w:r>
                          <w:rPr>
                            <w:rFonts w:ascii="Arial"/>
                            <w:sz w:val="18"/>
                            <w:u w:val="single" w:color="000000"/>
                          </w:rPr>
                          <w:t>187,919,136</w:t>
                        </w:r>
                        <w:r>
                          <w:rPr>
                            <w:rFonts w:ascii="Arial"/>
                            <w:sz w:val="18"/>
                          </w:rPr>
                        </w:r>
                      </w:p>
                    </w:tc>
                    <w:tc>
                      <w:tcPr>
                        <w:tcW w:w="32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5" w:right="0"/>
                          <w:jc w:val="left"/>
                          <w:rPr>
                            <w:rFonts w:ascii="Arial" w:hAnsi="Arial" w:cs="Arial" w:eastAsia="Arial" w:hint="default"/>
                            <w:sz w:val="18"/>
                            <w:szCs w:val="18"/>
                          </w:rPr>
                        </w:pPr>
                        <w:r>
                          <w:rPr>
                            <w:rFonts w:ascii="Arial"/>
                            <w:w w:val="99"/>
                            <w:sz w:val="18"/>
                          </w:rPr>
                          <w:t>)</w:t>
                        </w:r>
                        <w:r>
                          <w:rPr>
                            <w:rFonts w:ascii="Arial"/>
                            <w:sz w:val="18"/>
                          </w:rPr>
                        </w:r>
                      </w:p>
                    </w:tc>
                  </w:tr>
                  <w:tr>
                    <w:trPr>
                      <w:trHeight w:val="351" w:hRule="exact"/>
                    </w:trPr>
                    <w:tc>
                      <w:tcPr>
                        <w:tcW w:w="2978"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7" w:right="0"/>
                          <w:jc w:val="left"/>
                          <w:rPr>
                            <w:rFonts w:ascii="黑体" w:hAnsi="黑体" w:cs="黑体" w:eastAsia="黑体" w:hint="default"/>
                            <w:sz w:val="18"/>
                            <w:szCs w:val="18"/>
                          </w:rPr>
                        </w:pPr>
                        <w:r>
                          <w:rPr>
                            <w:rFonts w:ascii="黑体" w:hAnsi="黑体" w:cs="黑体" w:eastAsia="黑体" w:hint="default"/>
                            <w:sz w:val="18"/>
                            <w:szCs w:val="18"/>
                          </w:rPr>
                          <w:t>三、本年年末余额</w:t>
                        </w:r>
                      </w:p>
                    </w:tc>
                    <w:tc>
                      <w:tcPr>
                        <w:tcW w:w="1232"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1"/>
                          <w:jc w:val="right"/>
                          <w:rPr>
                            <w:rFonts w:ascii="Arial" w:hAnsi="Arial" w:cs="Arial" w:eastAsia="Arial" w:hint="default"/>
                            <w:sz w:val="18"/>
                            <w:szCs w:val="18"/>
                          </w:rPr>
                        </w:pPr>
                        <w:r>
                          <w:rPr>
                            <w:rFonts w:ascii="Arial"/>
                            <w:w w:val="99"/>
                            <w:sz w:val="18"/>
                          </w:rPr>
                        </w:r>
                        <w:r>
                          <w:rPr>
                            <w:rFonts w:ascii="Arial"/>
                            <w:spacing w:val="-1"/>
                            <w:sz w:val="18"/>
                            <w:u w:val="thick" w:color="000000"/>
                          </w:rPr>
                          <w:t>815,903,367</w:t>
                        </w:r>
                        <w:r>
                          <w:rPr>
                            <w:rFonts w:ascii="Arial"/>
                            <w:spacing w:val="-1"/>
                            <w:sz w:val="18"/>
                          </w:rPr>
                        </w:r>
                      </w:p>
                    </w:tc>
                    <w:tc>
                      <w:tcPr>
                        <w:tcW w:w="285"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197"/>
                          <w:jc w:val="right"/>
                          <w:rPr>
                            <w:rFonts w:ascii="Arial" w:hAnsi="Arial" w:cs="Arial" w:eastAsia="Arial" w:hint="default"/>
                            <w:sz w:val="18"/>
                            <w:szCs w:val="18"/>
                          </w:rPr>
                        </w:pPr>
                        <w:r>
                          <w:rPr>
                            <w:rFonts w:ascii="Arial"/>
                            <w:w w:val="99"/>
                            <w:sz w:val="18"/>
                          </w:rPr>
                        </w:r>
                        <w:r>
                          <w:rPr>
                            <w:rFonts w:ascii="Arial"/>
                            <w:spacing w:val="-1"/>
                            <w:sz w:val="18"/>
                            <w:u w:val="thick" w:color="000000"/>
                          </w:rPr>
                          <w:t>739,348,701</w:t>
                        </w:r>
                        <w:r>
                          <w:rPr>
                            <w:rFonts w:ascii="Arial"/>
                            <w:spacing w:val="-1"/>
                            <w:sz w:val="18"/>
                          </w:rPr>
                        </w:r>
                      </w:p>
                    </w:tc>
                    <w:tc>
                      <w:tcPr>
                        <w:tcW w:w="1345"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140"/>
                          <w:jc w:val="right"/>
                          <w:rPr>
                            <w:rFonts w:ascii="Arial" w:hAnsi="Arial" w:cs="Arial" w:eastAsia="Arial" w:hint="default"/>
                            <w:sz w:val="18"/>
                            <w:szCs w:val="18"/>
                          </w:rPr>
                        </w:pPr>
                        <w:r>
                          <w:rPr>
                            <w:rFonts w:ascii="Arial"/>
                            <w:w w:val="99"/>
                            <w:sz w:val="18"/>
                          </w:rPr>
                        </w:r>
                        <w:r>
                          <w:rPr>
                            <w:rFonts w:ascii="Arial"/>
                            <w:spacing w:val="-1"/>
                            <w:sz w:val="18"/>
                            <w:u w:val="thick" w:color="000000"/>
                          </w:rPr>
                          <w:t>391,398,002</w:t>
                        </w:r>
                        <w:r>
                          <w:rPr>
                            <w:rFonts w:ascii="Arial"/>
                            <w:spacing w:val="-1"/>
                            <w:sz w:val="18"/>
                          </w:rPr>
                        </w:r>
                      </w:p>
                    </w:tc>
                    <w:tc>
                      <w:tcPr>
                        <w:tcW w:w="1295"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5"/>
                          <w:jc w:val="right"/>
                          <w:rPr>
                            <w:rFonts w:ascii="Arial" w:hAnsi="Arial" w:cs="Arial" w:eastAsia="Arial" w:hint="default"/>
                            <w:sz w:val="18"/>
                            <w:szCs w:val="18"/>
                          </w:rPr>
                        </w:pPr>
                        <w:r>
                          <w:rPr>
                            <w:rFonts w:ascii="Arial"/>
                            <w:w w:val="99"/>
                            <w:sz w:val="18"/>
                          </w:rPr>
                        </w:r>
                        <w:r>
                          <w:rPr>
                            <w:rFonts w:ascii="Arial"/>
                            <w:spacing w:val="-1"/>
                            <w:sz w:val="18"/>
                            <w:u w:val="thick" w:color="000000"/>
                          </w:rPr>
                          <w:t>1,011,116,076</w:t>
                        </w:r>
                        <w:r>
                          <w:rPr>
                            <w:rFonts w:ascii="Arial"/>
                            <w:spacing w:val="-1"/>
                            <w:sz w:val="18"/>
                          </w:rPr>
                        </w:r>
                      </w:p>
                    </w:tc>
                    <w:tc>
                      <w:tcPr>
                        <w:tcW w:w="883" w:type="dxa"/>
                        <w:tcBorders>
                          <w:top w:val="nil" w:sz="6" w:space="0" w:color="auto"/>
                          <w:left w:val="nil" w:sz="6" w:space="0" w:color="auto"/>
                          <w:bottom w:val="nil" w:sz="6" w:space="0" w:color="auto"/>
                          <w:right w:val="nil" w:sz="6" w:space="0" w:color="auto"/>
                        </w:tcBorders>
                      </w:tcPr>
                      <w:p>
                        <w:pPr/>
                      </w:p>
                    </w:tc>
                    <w:tc>
                      <w:tcPr>
                        <w:tcW w:w="890"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5"/>
                          <w:jc w:val="right"/>
                          <w:rPr>
                            <w:rFonts w:ascii="Arial" w:hAnsi="Arial" w:cs="Arial" w:eastAsia="Arial" w:hint="default"/>
                            <w:sz w:val="18"/>
                            <w:szCs w:val="18"/>
                          </w:rPr>
                        </w:pPr>
                        <w:r>
                          <w:rPr>
                            <w:rFonts w:ascii="Arial"/>
                            <w:spacing w:val="-1"/>
                            <w:sz w:val="18"/>
                          </w:rPr>
                          <w:t>(</w:t>
                        </w:r>
                        <w:r>
                          <w:rPr>
                            <w:rFonts w:ascii="Arial"/>
                            <w:spacing w:val="-1"/>
                            <w:sz w:val="18"/>
                            <w:u w:val="thick" w:color="000000"/>
                          </w:rPr>
                          <w:t>2,207,283</w:t>
                        </w:r>
                        <w:r>
                          <w:rPr>
                            <w:rFonts w:ascii="Arial"/>
                            <w:spacing w:val="-1"/>
                            <w:sz w:val="18"/>
                          </w:rPr>
                        </w:r>
                      </w:p>
                    </w:tc>
                    <w:tc>
                      <w:tcPr>
                        <w:tcW w:w="226"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7" w:right="0"/>
                          <w:jc w:val="left"/>
                          <w:rPr>
                            <w:rFonts w:ascii="Arial" w:hAnsi="Arial" w:cs="Arial" w:eastAsia="Arial" w:hint="default"/>
                            <w:sz w:val="18"/>
                            <w:szCs w:val="18"/>
                          </w:rPr>
                        </w:pPr>
                        <w:r>
                          <w:rPr>
                            <w:rFonts w:ascii="Arial"/>
                            <w:w w:val="99"/>
                            <w:sz w:val="18"/>
                          </w:rPr>
                          <w:t>)</w:t>
                        </w:r>
                        <w:r>
                          <w:rPr>
                            <w:rFonts w:ascii="Arial"/>
                            <w:sz w:val="18"/>
                          </w:rPr>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5"/>
                          <w:jc w:val="right"/>
                          <w:rPr>
                            <w:rFonts w:ascii="Arial" w:hAnsi="Arial" w:cs="Arial" w:eastAsia="Arial" w:hint="default"/>
                            <w:sz w:val="18"/>
                            <w:szCs w:val="18"/>
                          </w:rPr>
                        </w:pPr>
                        <w:r>
                          <w:rPr>
                            <w:rFonts w:ascii="Arial"/>
                            <w:w w:val="100"/>
                            <w:sz w:val="18"/>
                          </w:rPr>
                        </w:r>
                        <w:r>
                          <w:rPr>
                            <w:rFonts w:ascii="Arial"/>
                            <w:spacing w:val="-1"/>
                            <w:sz w:val="18"/>
                            <w:u w:val="thick" w:color="000000"/>
                          </w:rPr>
                          <w:t>2,955,558,863</w:t>
                        </w:r>
                        <w:r>
                          <w:rPr>
                            <w:rFonts w:ascii="Arial"/>
                            <w:spacing w:val="-1"/>
                            <w:sz w:val="18"/>
                          </w:rPr>
                        </w:r>
                      </w:p>
                    </w:tc>
                    <w:tc>
                      <w:tcPr>
                        <w:tcW w:w="70"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4"/>
                          <w:jc w:val="right"/>
                          <w:rPr>
                            <w:rFonts w:ascii="Arial" w:hAnsi="Arial" w:cs="Arial" w:eastAsia="Arial" w:hint="default"/>
                            <w:sz w:val="18"/>
                            <w:szCs w:val="18"/>
                          </w:rPr>
                        </w:pPr>
                        <w:r>
                          <w:rPr>
                            <w:rFonts w:ascii="Arial"/>
                            <w:w w:val="99"/>
                            <w:sz w:val="18"/>
                          </w:rPr>
                        </w:r>
                        <w:r>
                          <w:rPr>
                            <w:rFonts w:ascii="Arial"/>
                            <w:spacing w:val="-1"/>
                            <w:sz w:val="18"/>
                            <w:u w:val="thick" w:color="000000"/>
                          </w:rPr>
                          <w:t>71,563,895</w:t>
                        </w:r>
                        <w:r>
                          <w:rPr>
                            <w:rFonts w:ascii="Arial"/>
                            <w:spacing w:val="-1"/>
                            <w:sz w:val="18"/>
                          </w:rPr>
                        </w:r>
                      </w:p>
                    </w:tc>
                    <w:tc>
                      <w:tcPr>
                        <w:tcW w:w="273"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2"/>
                          <w:jc w:val="right"/>
                          <w:rPr>
                            <w:rFonts w:ascii="Arial" w:hAnsi="Arial" w:cs="Arial" w:eastAsia="Arial" w:hint="default"/>
                            <w:sz w:val="18"/>
                            <w:szCs w:val="18"/>
                          </w:rPr>
                        </w:pPr>
                        <w:r>
                          <w:rPr>
                            <w:rFonts w:ascii="Arial"/>
                            <w:w w:val="100"/>
                            <w:sz w:val="18"/>
                          </w:rPr>
                        </w:r>
                        <w:r>
                          <w:rPr>
                            <w:rFonts w:ascii="Arial"/>
                            <w:spacing w:val="-1"/>
                            <w:sz w:val="18"/>
                            <w:u w:val="thick" w:color="000000"/>
                          </w:rPr>
                          <w:t>3,027,122,758</w:t>
                        </w:r>
                        <w:r>
                          <w:rPr>
                            <w:rFonts w:ascii="Arial"/>
                            <w:spacing w:val="-1"/>
                            <w:sz w:val="18"/>
                          </w:rPr>
                        </w:r>
                      </w:p>
                    </w:tc>
                    <w:tc>
                      <w:tcPr>
                        <w:tcW w:w="324"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Arial"/>
          <w:w w:val="99"/>
          <w:sz w:val="18"/>
        </w:rPr>
        <w:t>)</w:t>
      </w:r>
      <w:r>
        <w:rPr>
          <w:rFonts w:ascii="Arial"/>
          <w:sz w:val="18"/>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6"/>
        <w:rPr>
          <w:rFonts w:ascii="Arial" w:hAnsi="Arial" w:cs="Arial" w:eastAsia="Arial" w:hint="default"/>
          <w:sz w:val="18"/>
          <w:szCs w:val="18"/>
        </w:rPr>
      </w:pPr>
    </w:p>
    <w:p>
      <w:pPr>
        <w:spacing w:before="86"/>
        <w:ind w:left="0" w:right="3503" w:firstLine="0"/>
        <w:jc w:val="right"/>
        <w:rPr>
          <w:rFonts w:ascii="Arial" w:hAnsi="Arial" w:cs="Arial" w:eastAsia="Arial" w:hint="default"/>
          <w:sz w:val="18"/>
          <w:szCs w:val="18"/>
        </w:rPr>
      </w:pPr>
      <w:r>
        <w:rPr>
          <w:rFonts w:ascii="Arial"/>
          <w:w w:val="99"/>
          <w:sz w:val="18"/>
        </w:rPr>
        <w:t>)</w:t>
      </w:r>
      <w:r>
        <w:rPr>
          <w:rFonts w:ascii="Arial"/>
          <w:sz w:val="18"/>
        </w:rPr>
      </w:r>
    </w:p>
    <w:p>
      <w:pPr>
        <w:spacing w:before="47"/>
        <w:ind w:left="0" w:right="3503" w:firstLine="0"/>
        <w:jc w:val="right"/>
        <w:rPr>
          <w:rFonts w:ascii="Arial" w:hAnsi="Arial" w:cs="Arial" w:eastAsia="Arial" w:hint="default"/>
          <w:sz w:val="18"/>
          <w:szCs w:val="18"/>
        </w:rPr>
      </w:pPr>
      <w:r>
        <w:rPr>
          <w:rFonts w:ascii="Arial"/>
          <w:w w:val="99"/>
          <w:sz w:val="18"/>
        </w:rPr>
        <w:t>)</w:t>
      </w:r>
      <w:r>
        <w:rPr>
          <w:rFonts w:ascii="Arial"/>
          <w:sz w:val="18"/>
        </w:rPr>
      </w:r>
    </w:p>
    <w:p>
      <w:pPr>
        <w:spacing w:after="0"/>
        <w:jc w:val="right"/>
        <w:rPr>
          <w:rFonts w:ascii="Arial" w:hAnsi="Arial" w:cs="Arial" w:eastAsia="Arial" w:hint="default"/>
          <w:sz w:val="18"/>
          <w:szCs w:val="18"/>
        </w:rPr>
        <w:sectPr>
          <w:pgSz w:w="16850" w:h="11910" w:orient="landscape"/>
          <w:pgMar w:header="957" w:footer="499" w:top="1160" w:bottom="680" w:left="700" w:right="560"/>
        </w:sectPr>
      </w:pPr>
    </w:p>
    <w:p>
      <w:pPr>
        <w:pStyle w:val="Heading4"/>
        <w:spacing w:line="292" w:lineRule="auto"/>
        <w:ind w:left="3801" w:right="3957"/>
        <w:jc w:val="center"/>
        <w:rPr>
          <w:b w:val="0"/>
          <w:bCs w:val="0"/>
        </w:rPr>
      </w:pPr>
      <w:r>
        <w:rPr/>
        <w:t>合并现金流量表</w:t>
      </w:r>
      <w:r>
        <w:rPr>
          <w:w w:val="99"/>
        </w:rPr>
        <w:t> </w:t>
      </w:r>
      <w:r>
        <w:rPr>
          <w:rFonts w:ascii="Arial" w:hAnsi="Arial" w:cs="Arial" w:eastAsia="Arial" w:hint="default"/>
        </w:rPr>
        <w:t>2012</w:t>
      </w:r>
      <w:r>
        <w:rPr>
          <w:rFonts w:ascii="Arial" w:hAnsi="Arial" w:cs="Arial" w:eastAsia="Arial" w:hint="default"/>
          <w:spacing w:val="-8"/>
        </w:rPr>
        <w:t> </w:t>
      </w:r>
      <w:r>
        <w:rPr/>
        <w:t>年度</w:t>
      </w:r>
      <w:r>
        <w:rPr>
          <w:w w:val="99"/>
        </w:rPr>
        <w:t> </w:t>
      </w:r>
      <w:r>
        <w:rPr/>
        <w:t>人民币元</w:t>
      </w:r>
      <w:r>
        <w:rPr>
          <w:b w:val="0"/>
          <w:bCs w:val="0"/>
        </w:rPr>
      </w:r>
    </w:p>
    <w:p>
      <w:pPr>
        <w:spacing w:line="240" w:lineRule="auto" w:before="9"/>
        <w:rPr>
          <w:rFonts w:ascii="黑体" w:hAnsi="黑体" w:cs="黑体" w:eastAsia="黑体" w:hint="default"/>
          <w:b/>
          <w:bCs/>
          <w:sz w:val="16"/>
          <w:szCs w:val="16"/>
        </w:rPr>
      </w:pPr>
    </w:p>
    <w:p>
      <w:pPr>
        <w:spacing w:line="20" w:lineRule="exact"/>
        <w:ind w:left="313" w:right="0" w:firstLine="0"/>
        <w:rPr>
          <w:rFonts w:ascii="黑体" w:hAnsi="黑体" w:cs="黑体" w:eastAsia="黑体" w:hint="default"/>
          <w:sz w:val="2"/>
          <w:szCs w:val="2"/>
        </w:rPr>
      </w:pPr>
      <w:r>
        <w:rPr>
          <w:rFonts w:ascii="黑体" w:hAnsi="黑体" w:cs="黑体" w:eastAsia="黑体" w:hint="default"/>
          <w:sz w:val="2"/>
          <w:szCs w:val="2"/>
        </w:rPr>
        <w:pict>
          <v:group style="width:428.9pt;height:.75pt;mso-position-horizontal-relative:char;mso-position-vertical-relative:line" coordorigin="0,0" coordsize="8578,15">
            <v:group style="position:absolute;left:8;top:8;width:8563;height:2" coordorigin="8,8" coordsize="8563,2">
              <v:shape style="position:absolute;left:8;top:8;width:8563;height:2" coordorigin="8,8" coordsize="8563,0" path="m8,8l8571,8e" filled="false" stroked="true" strokeweight=".75pt" strokecolor="#000000">
                <v:path arrowok="t"/>
              </v:shape>
            </v:group>
          </v:group>
        </w:pict>
      </w:r>
      <w:r>
        <w:rPr>
          <w:rFonts w:ascii="黑体" w:hAnsi="黑体" w:cs="黑体" w:eastAsia="黑体" w:hint="default"/>
          <w:sz w:val="2"/>
          <w:szCs w:val="2"/>
        </w:rPr>
      </w:r>
    </w:p>
    <w:p>
      <w:pPr>
        <w:spacing w:line="240" w:lineRule="auto" w:before="0"/>
        <w:rPr>
          <w:rFonts w:ascii="黑体" w:hAnsi="黑体" w:cs="黑体" w:eastAsia="黑体" w:hint="default"/>
          <w:b/>
          <w:bCs/>
          <w:sz w:val="20"/>
          <w:szCs w:val="20"/>
        </w:rPr>
      </w:pPr>
    </w:p>
    <w:p>
      <w:pPr>
        <w:spacing w:line="240" w:lineRule="auto" w:before="7"/>
        <w:rPr>
          <w:rFonts w:ascii="黑体" w:hAnsi="黑体" w:cs="黑体" w:eastAsia="黑体" w:hint="default"/>
          <w:b/>
          <w:bCs/>
          <w:sz w:val="19"/>
          <w:szCs w:val="19"/>
        </w:rPr>
      </w:pPr>
    </w:p>
    <w:tbl>
      <w:tblPr>
        <w:tblW w:w="0" w:type="auto"/>
        <w:jc w:val="left"/>
        <w:tblInd w:w="107" w:type="dxa"/>
        <w:tblLayout w:type="fixed"/>
        <w:tblCellMar>
          <w:top w:w="0" w:type="dxa"/>
          <w:left w:w="0" w:type="dxa"/>
          <w:bottom w:w="0" w:type="dxa"/>
          <w:right w:w="0" w:type="dxa"/>
        </w:tblCellMar>
        <w:tblLook w:val="01E0"/>
      </w:tblPr>
      <w:tblGrid>
        <w:gridCol w:w="4233"/>
        <w:gridCol w:w="955"/>
        <w:gridCol w:w="1650"/>
        <w:gridCol w:w="324"/>
        <w:gridCol w:w="1642"/>
        <w:gridCol w:w="281"/>
      </w:tblGrid>
      <w:tr>
        <w:trPr>
          <w:trHeight w:val="391" w:hRule="exact"/>
        </w:trPr>
        <w:tc>
          <w:tcPr>
            <w:tcW w:w="4233" w:type="dxa"/>
            <w:tcBorders>
              <w:top w:val="nil" w:sz="6" w:space="0" w:color="auto"/>
              <w:left w:val="nil" w:sz="6" w:space="0" w:color="auto"/>
              <w:bottom w:val="nil" w:sz="6" w:space="0" w:color="auto"/>
              <w:right w:val="nil" w:sz="6" w:space="0" w:color="auto"/>
            </w:tcBorders>
          </w:tcPr>
          <w:p>
            <w:pPr/>
          </w:p>
        </w:tc>
        <w:tc>
          <w:tcPr>
            <w:tcW w:w="955" w:type="dxa"/>
            <w:tcBorders>
              <w:top w:val="nil" w:sz="6" w:space="0" w:color="auto"/>
              <w:left w:val="nil" w:sz="6" w:space="0" w:color="auto"/>
              <w:bottom w:val="nil" w:sz="6" w:space="0" w:color="auto"/>
              <w:right w:val="nil" w:sz="6" w:space="0" w:color="auto"/>
            </w:tcBorders>
          </w:tcPr>
          <w:p>
            <w:pPr>
              <w:pStyle w:val="TableParagraph"/>
              <w:spacing w:line="199" w:lineRule="exact"/>
              <w:ind w:right="254"/>
              <w:jc w:val="center"/>
              <w:rPr>
                <w:rFonts w:ascii="黑体" w:hAnsi="黑体" w:cs="黑体" w:eastAsia="黑体" w:hint="default"/>
                <w:sz w:val="20"/>
                <w:szCs w:val="20"/>
              </w:rPr>
            </w:pPr>
            <w:r>
              <w:rPr>
                <w:rFonts w:ascii="黑体" w:hAnsi="黑体" w:cs="黑体" w:eastAsia="黑体" w:hint="default"/>
                <w:b/>
                <w:bCs/>
                <w:spacing w:val="2"/>
                <w:sz w:val="20"/>
                <w:szCs w:val="20"/>
              </w:rPr>
              <w:t>附注五</w:t>
            </w:r>
            <w:r>
              <w:rPr>
                <w:rFonts w:ascii="黑体" w:hAnsi="黑体" w:cs="黑体" w:eastAsia="黑体" w:hint="default"/>
                <w:sz w:val="20"/>
                <w:szCs w:val="20"/>
              </w:rPr>
            </w:r>
          </w:p>
        </w:tc>
        <w:tc>
          <w:tcPr>
            <w:tcW w:w="1650" w:type="dxa"/>
            <w:tcBorders>
              <w:top w:val="nil" w:sz="6" w:space="0" w:color="auto"/>
              <w:left w:val="nil" w:sz="6" w:space="0" w:color="auto"/>
              <w:bottom w:val="nil" w:sz="6" w:space="0" w:color="auto"/>
              <w:right w:val="nil" w:sz="6" w:space="0" w:color="auto"/>
            </w:tcBorders>
          </w:tcPr>
          <w:p>
            <w:pPr>
              <w:pStyle w:val="TableParagraph"/>
              <w:spacing w:line="214" w:lineRule="exact"/>
              <w:ind w:right="9"/>
              <w:jc w:val="right"/>
              <w:rPr>
                <w:rFonts w:ascii="黑体" w:hAnsi="黑体" w:cs="黑体" w:eastAsia="黑体" w:hint="default"/>
                <w:sz w:val="20"/>
                <w:szCs w:val="20"/>
              </w:rPr>
            </w:pPr>
            <w:r>
              <w:rPr>
                <w:rFonts w:ascii="Arial" w:hAnsi="Arial" w:cs="Arial" w:eastAsia="Arial" w:hint="default"/>
                <w:b/>
                <w:bCs/>
                <w:spacing w:val="-1"/>
                <w:w w:val="95"/>
                <w:sz w:val="20"/>
                <w:szCs w:val="20"/>
              </w:rPr>
              <w:t>2012</w:t>
            </w:r>
            <w:r>
              <w:rPr>
                <w:rFonts w:ascii="黑体" w:hAnsi="黑体" w:cs="黑体" w:eastAsia="黑体" w:hint="default"/>
                <w:b/>
                <w:bCs/>
                <w:spacing w:val="-1"/>
                <w:w w:val="95"/>
                <w:sz w:val="20"/>
                <w:szCs w:val="20"/>
              </w:rPr>
              <w:t>年</w:t>
            </w:r>
            <w:r>
              <w:rPr>
                <w:rFonts w:ascii="黑体" w:hAnsi="黑体" w:cs="黑体" w:eastAsia="黑体" w:hint="default"/>
                <w:spacing w:val="-1"/>
                <w:sz w:val="20"/>
                <w:szCs w:val="20"/>
              </w:rPr>
            </w:r>
          </w:p>
        </w:tc>
        <w:tc>
          <w:tcPr>
            <w:tcW w:w="324"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Style w:val="TableParagraph"/>
              <w:spacing w:line="214" w:lineRule="exact"/>
              <w:ind w:right="0"/>
              <w:jc w:val="right"/>
              <w:rPr>
                <w:rFonts w:ascii="黑体" w:hAnsi="黑体" w:cs="黑体" w:eastAsia="黑体" w:hint="default"/>
                <w:sz w:val="20"/>
                <w:szCs w:val="20"/>
              </w:rPr>
            </w:pPr>
            <w:r>
              <w:rPr>
                <w:rFonts w:ascii="Arial" w:hAnsi="Arial" w:cs="Arial" w:eastAsia="Arial" w:hint="default"/>
                <w:b/>
                <w:bCs/>
                <w:spacing w:val="-1"/>
                <w:w w:val="95"/>
                <w:sz w:val="20"/>
                <w:szCs w:val="20"/>
              </w:rPr>
              <w:t>2011</w:t>
            </w:r>
            <w:r>
              <w:rPr>
                <w:rFonts w:ascii="黑体" w:hAnsi="黑体" w:cs="黑体" w:eastAsia="黑体" w:hint="default"/>
                <w:b/>
                <w:bCs/>
                <w:spacing w:val="-1"/>
                <w:w w:val="95"/>
                <w:sz w:val="20"/>
                <w:szCs w:val="20"/>
              </w:rPr>
              <w:t>年</w:t>
            </w:r>
            <w:r>
              <w:rPr>
                <w:rFonts w:ascii="黑体" w:hAnsi="黑体" w:cs="黑体" w:eastAsia="黑体" w:hint="default"/>
                <w:spacing w:val="-1"/>
                <w:sz w:val="20"/>
                <w:szCs w:val="20"/>
              </w:rPr>
            </w:r>
          </w:p>
        </w:tc>
        <w:tc>
          <w:tcPr>
            <w:tcW w:w="281" w:type="dxa"/>
            <w:tcBorders>
              <w:top w:val="nil" w:sz="6" w:space="0" w:color="auto"/>
              <w:left w:val="nil" w:sz="6" w:space="0" w:color="auto"/>
              <w:bottom w:val="nil" w:sz="6" w:space="0" w:color="auto"/>
              <w:right w:val="nil" w:sz="6" w:space="0" w:color="auto"/>
            </w:tcBorders>
          </w:tcPr>
          <w:p>
            <w:pPr/>
          </w:p>
        </w:tc>
      </w:tr>
      <w:tr>
        <w:trPr>
          <w:trHeight w:val="570"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200" w:right="0"/>
              <w:jc w:val="left"/>
              <w:rPr>
                <w:rFonts w:ascii="Arial" w:hAnsi="Arial" w:cs="Arial" w:eastAsia="Arial" w:hint="default"/>
                <w:sz w:val="20"/>
                <w:szCs w:val="20"/>
              </w:rPr>
            </w:pPr>
            <w:r>
              <w:rPr>
                <w:rFonts w:ascii="黑体" w:hAnsi="黑体" w:cs="黑体" w:eastAsia="黑体" w:hint="default"/>
                <w:sz w:val="20"/>
                <w:szCs w:val="20"/>
              </w:rPr>
              <w:t>一、经营活动产生的现金流量</w:t>
            </w:r>
            <w:r>
              <w:rPr>
                <w:rFonts w:ascii="Arial" w:hAnsi="Arial" w:cs="Arial" w:eastAsia="Arial" w:hint="default"/>
                <w:sz w:val="20"/>
                <w:szCs w:val="20"/>
              </w:rPr>
              <w:t>:</w:t>
            </w:r>
          </w:p>
        </w:tc>
        <w:tc>
          <w:tcPr>
            <w:tcW w:w="955"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
        </w:tc>
        <w:tc>
          <w:tcPr>
            <w:tcW w:w="324"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r>
      <w:tr>
        <w:trPr>
          <w:trHeight w:val="432"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200" w:right="0"/>
              <w:jc w:val="left"/>
              <w:rPr>
                <w:rFonts w:ascii="黑体" w:hAnsi="黑体" w:cs="黑体" w:eastAsia="黑体" w:hint="default"/>
                <w:sz w:val="20"/>
                <w:szCs w:val="20"/>
              </w:rPr>
            </w:pPr>
            <w:r>
              <w:rPr>
                <w:rFonts w:ascii="黑体" w:hAnsi="黑体" w:cs="黑体" w:eastAsia="黑体" w:hint="default"/>
                <w:sz w:val="20"/>
                <w:szCs w:val="20"/>
              </w:rPr>
              <w:t>销售商品、提供劳务收到的现金</w:t>
            </w:r>
          </w:p>
        </w:tc>
        <w:tc>
          <w:tcPr>
            <w:tcW w:w="955"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8"/>
              <w:jc w:val="right"/>
              <w:rPr>
                <w:rFonts w:ascii="Arial" w:hAnsi="Arial" w:cs="Arial" w:eastAsia="Arial" w:hint="default"/>
                <w:sz w:val="20"/>
                <w:szCs w:val="20"/>
              </w:rPr>
            </w:pPr>
            <w:r>
              <w:rPr>
                <w:rFonts w:ascii="Arial"/>
                <w:spacing w:val="-1"/>
                <w:sz w:val="20"/>
              </w:rPr>
              <w:t>4,817,847,303</w:t>
            </w:r>
            <w:r>
              <w:rPr>
                <w:rFonts w:ascii="Arial"/>
                <w:sz w:val="20"/>
              </w:rPr>
            </w:r>
          </w:p>
        </w:tc>
        <w:tc>
          <w:tcPr>
            <w:tcW w:w="324"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13"/>
              <w:jc w:val="right"/>
              <w:rPr>
                <w:rFonts w:ascii="Arial" w:hAnsi="Arial" w:cs="Arial" w:eastAsia="Arial" w:hint="default"/>
                <w:sz w:val="20"/>
                <w:szCs w:val="20"/>
              </w:rPr>
            </w:pPr>
            <w:r>
              <w:rPr>
                <w:rFonts w:ascii="Arial"/>
                <w:spacing w:val="-1"/>
                <w:sz w:val="20"/>
              </w:rPr>
              <w:t>3,997,919,172</w:t>
            </w:r>
            <w:r>
              <w:rPr>
                <w:rFonts w:ascii="Arial"/>
                <w:sz w:val="20"/>
              </w:rPr>
            </w:r>
          </w:p>
        </w:tc>
        <w:tc>
          <w:tcPr>
            <w:tcW w:w="281" w:type="dxa"/>
            <w:tcBorders>
              <w:top w:val="nil" w:sz="6" w:space="0" w:color="auto"/>
              <w:left w:val="nil" w:sz="6" w:space="0" w:color="auto"/>
              <w:bottom w:val="nil" w:sz="6" w:space="0" w:color="auto"/>
              <w:right w:val="nil" w:sz="6" w:space="0" w:color="auto"/>
            </w:tcBorders>
          </w:tcPr>
          <w:p>
            <w:pPr/>
          </w:p>
        </w:tc>
      </w:tr>
      <w:tr>
        <w:trPr>
          <w:trHeight w:val="284"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32" w:lineRule="exact"/>
              <w:ind w:left="200" w:right="0"/>
              <w:jc w:val="left"/>
              <w:rPr>
                <w:rFonts w:ascii="黑体" w:hAnsi="黑体" w:cs="黑体" w:eastAsia="黑体" w:hint="default"/>
                <w:sz w:val="20"/>
                <w:szCs w:val="20"/>
              </w:rPr>
            </w:pPr>
            <w:r>
              <w:rPr>
                <w:rFonts w:ascii="黑体" w:hAnsi="黑体" w:cs="黑体" w:eastAsia="黑体" w:hint="default"/>
                <w:sz w:val="20"/>
                <w:szCs w:val="20"/>
              </w:rPr>
              <w:t>收到的税费返还</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59"/>
              <w:jc w:val="center"/>
              <w:rPr>
                <w:rFonts w:ascii="Arial" w:hAnsi="Arial" w:cs="Arial" w:eastAsia="Arial" w:hint="default"/>
                <w:sz w:val="20"/>
                <w:szCs w:val="20"/>
              </w:rPr>
            </w:pPr>
            <w:r>
              <w:rPr>
                <w:rFonts w:ascii="Arial"/>
                <w:sz w:val="20"/>
              </w:rPr>
              <w:t>42</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
              <w:jc w:val="right"/>
              <w:rPr>
                <w:rFonts w:ascii="Arial" w:hAnsi="Arial" w:cs="Arial" w:eastAsia="Arial" w:hint="default"/>
                <w:sz w:val="20"/>
                <w:szCs w:val="20"/>
              </w:rPr>
            </w:pPr>
            <w:r>
              <w:rPr>
                <w:rFonts w:ascii="Arial"/>
                <w:spacing w:val="-1"/>
                <w:sz w:val="20"/>
              </w:rPr>
              <w:t>248,405,953</w:t>
            </w:r>
            <w:r>
              <w:rPr>
                <w:rFonts w:ascii="Arial"/>
                <w:sz w:val="20"/>
              </w:rPr>
            </w:r>
          </w:p>
        </w:tc>
        <w:tc>
          <w:tcPr>
            <w:tcW w:w="324"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
              <w:jc w:val="right"/>
              <w:rPr>
                <w:rFonts w:ascii="Arial" w:hAnsi="Arial" w:cs="Arial" w:eastAsia="Arial" w:hint="default"/>
                <w:sz w:val="20"/>
                <w:szCs w:val="20"/>
              </w:rPr>
            </w:pPr>
            <w:r>
              <w:rPr>
                <w:rFonts w:ascii="Arial"/>
                <w:spacing w:val="-1"/>
                <w:sz w:val="20"/>
              </w:rPr>
              <w:t>246,160,626</w:t>
            </w:r>
            <w:r>
              <w:rPr>
                <w:rFonts w:ascii="Arial"/>
                <w:sz w:val="20"/>
              </w:rPr>
            </w:r>
          </w:p>
        </w:tc>
        <w:tc>
          <w:tcPr>
            <w:tcW w:w="281" w:type="dxa"/>
            <w:tcBorders>
              <w:top w:val="nil" w:sz="6" w:space="0" w:color="auto"/>
              <w:left w:val="nil" w:sz="6" w:space="0" w:color="auto"/>
              <w:bottom w:val="nil" w:sz="6" w:space="0" w:color="auto"/>
              <w:right w:val="nil" w:sz="6" w:space="0" w:color="auto"/>
            </w:tcBorders>
          </w:tcPr>
          <w:p>
            <w:pPr/>
          </w:p>
        </w:tc>
      </w:tr>
      <w:tr>
        <w:trPr>
          <w:trHeight w:val="426"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30" w:lineRule="exact"/>
              <w:ind w:left="200" w:right="0"/>
              <w:jc w:val="left"/>
              <w:rPr>
                <w:rFonts w:ascii="黑体" w:hAnsi="黑体" w:cs="黑体" w:eastAsia="黑体" w:hint="default"/>
                <w:sz w:val="20"/>
                <w:szCs w:val="20"/>
              </w:rPr>
            </w:pPr>
            <w:r>
              <w:rPr>
                <w:rFonts w:ascii="黑体" w:hAnsi="黑体" w:cs="黑体" w:eastAsia="黑体" w:hint="default"/>
                <w:sz w:val="20"/>
                <w:szCs w:val="20"/>
              </w:rPr>
              <w:t>收到的其他与经营活动有关的现金</w:t>
            </w:r>
          </w:p>
        </w:tc>
        <w:tc>
          <w:tcPr>
            <w:tcW w:w="955"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1"/>
                <w:sz w:val="20"/>
                <w:u w:val="single" w:color="000000"/>
              </w:rPr>
              <w:t> </w:t>
            </w:r>
            <w:r>
              <w:rPr>
                <w:rFonts w:ascii="Arial"/>
                <w:spacing w:val="-1"/>
                <w:sz w:val="20"/>
                <w:u w:val="single" w:color="000000"/>
              </w:rPr>
              <w:t>107,268,237</w:t>
            </w:r>
            <w:r>
              <w:rPr>
                <w:rFonts w:ascii="Arial"/>
                <w:spacing w:val="-1"/>
                <w:sz w:val="20"/>
              </w:rPr>
            </w:r>
          </w:p>
        </w:tc>
        <w:tc>
          <w:tcPr>
            <w:tcW w:w="324"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26"/>
              <w:ind w:right="12"/>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62,866,319</w:t>
            </w:r>
            <w:r>
              <w:rPr>
                <w:rFonts w:ascii="Arial"/>
                <w:spacing w:val="-1"/>
                <w:w w:val="95"/>
                <w:sz w:val="20"/>
              </w:rPr>
            </w:r>
            <w:r>
              <w:rPr>
                <w:rFonts w:ascii="Arial"/>
                <w:sz w:val="20"/>
              </w:rPr>
            </w:r>
          </w:p>
        </w:tc>
        <w:tc>
          <w:tcPr>
            <w:tcW w:w="281" w:type="dxa"/>
            <w:tcBorders>
              <w:top w:val="nil" w:sz="6" w:space="0" w:color="auto"/>
              <w:left w:val="nil" w:sz="6" w:space="0" w:color="auto"/>
              <w:bottom w:val="nil" w:sz="6" w:space="0" w:color="auto"/>
              <w:right w:val="nil" w:sz="6" w:space="0" w:color="auto"/>
            </w:tcBorders>
          </w:tcPr>
          <w:p>
            <w:pPr/>
          </w:p>
        </w:tc>
      </w:tr>
      <w:tr>
        <w:trPr>
          <w:trHeight w:val="568"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00" w:right="0"/>
              <w:jc w:val="left"/>
              <w:rPr>
                <w:rFonts w:ascii="黑体" w:hAnsi="黑体" w:cs="黑体" w:eastAsia="黑体" w:hint="default"/>
                <w:sz w:val="20"/>
                <w:szCs w:val="20"/>
              </w:rPr>
            </w:pPr>
            <w:r>
              <w:rPr>
                <w:rFonts w:ascii="黑体" w:hAnsi="黑体" w:cs="黑体" w:eastAsia="黑体" w:hint="default"/>
                <w:sz w:val="20"/>
                <w:szCs w:val="20"/>
              </w:rPr>
              <w:t>经营活动现金流入小计</w:t>
            </w:r>
          </w:p>
        </w:tc>
        <w:tc>
          <w:tcPr>
            <w:tcW w:w="955"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8"/>
              <w:jc w:val="right"/>
              <w:rPr>
                <w:rFonts w:ascii="Arial" w:hAnsi="Arial" w:cs="Arial" w:eastAsia="Arial" w:hint="default"/>
                <w:sz w:val="20"/>
                <w:szCs w:val="20"/>
              </w:rPr>
            </w:pPr>
            <w:r>
              <w:rPr>
                <w:rFonts w:ascii="Arial"/>
                <w:w w:val="99"/>
                <w:sz w:val="20"/>
              </w:rPr>
            </w:r>
            <w:r>
              <w:rPr>
                <w:rFonts w:ascii="Arial"/>
                <w:spacing w:val="-1"/>
                <w:sz w:val="20"/>
                <w:u w:val="single" w:color="000000"/>
              </w:rPr>
              <w:t>5,173,521,493</w:t>
            </w:r>
            <w:r>
              <w:rPr>
                <w:rFonts w:ascii="Arial"/>
                <w:spacing w:val="-1"/>
                <w:sz w:val="20"/>
              </w:rPr>
            </w:r>
            <w:r>
              <w:rPr>
                <w:rFonts w:ascii="Arial"/>
                <w:sz w:val="20"/>
              </w:rPr>
            </w:r>
          </w:p>
        </w:tc>
        <w:tc>
          <w:tcPr>
            <w:tcW w:w="324"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13"/>
              <w:jc w:val="right"/>
              <w:rPr>
                <w:rFonts w:ascii="Arial" w:hAnsi="Arial" w:cs="Arial" w:eastAsia="Arial" w:hint="default"/>
                <w:sz w:val="20"/>
                <w:szCs w:val="20"/>
              </w:rPr>
            </w:pPr>
            <w:r>
              <w:rPr>
                <w:rFonts w:ascii="Arial"/>
                <w:w w:val="99"/>
                <w:sz w:val="20"/>
              </w:rPr>
            </w:r>
            <w:r>
              <w:rPr>
                <w:rFonts w:ascii="Arial"/>
                <w:spacing w:val="-1"/>
                <w:sz w:val="20"/>
                <w:u w:val="single" w:color="000000"/>
              </w:rPr>
              <w:t>4,306,946,117</w:t>
            </w:r>
            <w:r>
              <w:rPr>
                <w:rFonts w:ascii="Arial"/>
                <w:spacing w:val="-1"/>
                <w:sz w:val="20"/>
              </w:rPr>
            </w:r>
            <w:r>
              <w:rPr>
                <w:rFonts w:ascii="Arial"/>
                <w:sz w:val="20"/>
              </w:rPr>
            </w:r>
          </w:p>
        </w:tc>
        <w:tc>
          <w:tcPr>
            <w:tcW w:w="281" w:type="dxa"/>
            <w:tcBorders>
              <w:top w:val="nil" w:sz="6" w:space="0" w:color="auto"/>
              <w:left w:val="nil" w:sz="6" w:space="0" w:color="auto"/>
              <w:bottom w:val="nil" w:sz="6" w:space="0" w:color="auto"/>
              <w:right w:val="nil" w:sz="6" w:space="0" w:color="auto"/>
            </w:tcBorders>
          </w:tcPr>
          <w:p>
            <w:pPr/>
          </w:p>
        </w:tc>
      </w:tr>
      <w:tr>
        <w:trPr>
          <w:trHeight w:val="426"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00" w:right="0"/>
              <w:jc w:val="left"/>
              <w:rPr>
                <w:rFonts w:ascii="黑体" w:hAnsi="黑体" w:cs="黑体" w:eastAsia="黑体" w:hint="default"/>
                <w:sz w:val="20"/>
                <w:szCs w:val="20"/>
              </w:rPr>
            </w:pPr>
            <w:r>
              <w:rPr>
                <w:rFonts w:ascii="黑体" w:hAnsi="黑体" w:cs="黑体" w:eastAsia="黑体" w:hint="default"/>
                <w:sz w:val="20"/>
                <w:szCs w:val="20"/>
              </w:rPr>
              <w:t>购买商品、接收劳务支付的现金</w:t>
            </w:r>
          </w:p>
        </w:tc>
        <w:tc>
          <w:tcPr>
            <w:tcW w:w="955"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7"/>
              <w:jc w:val="right"/>
              <w:rPr>
                <w:rFonts w:ascii="Arial" w:hAnsi="Arial" w:cs="Arial" w:eastAsia="Arial" w:hint="default"/>
                <w:sz w:val="20"/>
                <w:szCs w:val="20"/>
              </w:rPr>
            </w:pPr>
            <w:r>
              <w:rPr>
                <w:rFonts w:ascii="Arial"/>
                <w:sz w:val="20"/>
              </w:rPr>
              <w:t>( </w:t>
            </w:r>
            <w:r>
              <w:rPr>
                <w:rFonts w:ascii="Arial"/>
                <w:spacing w:val="39"/>
                <w:sz w:val="20"/>
              </w:rPr>
              <w:t> </w:t>
            </w:r>
            <w:r>
              <w:rPr>
                <w:rFonts w:ascii="Arial"/>
                <w:sz w:val="20"/>
              </w:rPr>
              <w:t>891,027,515</w:t>
            </w:r>
          </w:p>
        </w:tc>
        <w:tc>
          <w:tcPr>
            <w:tcW w:w="324"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7" w:right="0"/>
              <w:jc w:val="left"/>
              <w:rPr>
                <w:rFonts w:ascii="Arial" w:hAnsi="Arial" w:cs="Arial" w:eastAsia="Arial" w:hint="default"/>
                <w:sz w:val="20"/>
                <w:szCs w:val="20"/>
              </w:rPr>
            </w:pPr>
            <w:r>
              <w:rPr>
                <w:rFonts w:ascii="Arial"/>
                <w:w w:val="99"/>
                <w:sz w:val="20"/>
              </w:rPr>
              <w:t>)</w:t>
            </w:r>
            <w:r>
              <w:rPr>
                <w:rFonts w:ascii="Arial"/>
                <w:sz w:val="20"/>
              </w:rPr>
            </w:r>
          </w:p>
        </w:tc>
        <w:tc>
          <w:tcPr>
            <w:tcW w:w="1642" w:type="dxa"/>
            <w:tcBorders>
              <w:top w:val="nil" w:sz="6" w:space="0" w:color="auto"/>
              <w:left w:val="nil" w:sz="6" w:space="0" w:color="auto"/>
              <w:bottom w:val="nil" w:sz="6" w:space="0" w:color="auto"/>
              <w:right w:val="nil" w:sz="6" w:space="0" w:color="auto"/>
            </w:tcBorders>
          </w:tcPr>
          <w:p>
            <w:pPr>
              <w:pStyle w:val="TableParagraph"/>
              <w:tabs>
                <w:tab w:pos="268" w:val="left" w:leader="none"/>
              </w:tabs>
              <w:spacing w:line="240" w:lineRule="auto" w:before="168"/>
              <w:ind w:right="12"/>
              <w:jc w:val="right"/>
              <w:rPr>
                <w:rFonts w:ascii="Arial" w:hAnsi="Arial" w:cs="Arial" w:eastAsia="Arial" w:hint="default"/>
                <w:sz w:val="20"/>
                <w:szCs w:val="20"/>
              </w:rPr>
            </w:pPr>
            <w:r>
              <w:rPr>
                <w:rFonts w:ascii="Arial"/>
                <w:w w:val="95"/>
                <w:sz w:val="20"/>
              </w:rPr>
              <w:t>(</w:t>
              <w:tab/>
            </w:r>
            <w:r>
              <w:rPr>
                <w:rFonts w:ascii="Arial"/>
                <w:spacing w:val="-1"/>
                <w:sz w:val="20"/>
              </w:rPr>
              <w:t>604,039,484</w:t>
            </w:r>
          </w:p>
        </w:tc>
        <w:tc>
          <w:tcPr>
            <w:tcW w:w="281"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14" w:right="0"/>
              <w:jc w:val="left"/>
              <w:rPr>
                <w:rFonts w:ascii="Arial" w:hAnsi="Arial" w:cs="Arial" w:eastAsia="Arial" w:hint="default"/>
                <w:sz w:val="20"/>
                <w:szCs w:val="20"/>
              </w:rPr>
            </w:pPr>
            <w:r>
              <w:rPr>
                <w:rFonts w:ascii="Arial"/>
                <w:w w:val="99"/>
                <w:sz w:val="20"/>
              </w:rPr>
              <w:t>)</w:t>
            </w:r>
            <w:r>
              <w:rPr>
                <w:rFonts w:ascii="Arial"/>
                <w:sz w:val="20"/>
              </w:rPr>
            </w:r>
          </w:p>
        </w:tc>
      </w:tr>
      <w:tr>
        <w:trPr>
          <w:trHeight w:val="284"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32" w:lineRule="exact"/>
              <w:ind w:left="200" w:right="0"/>
              <w:jc w:val="left"/>
              <w:rPr>
                <w:rFonts w:ascii="黑体" w:hAnsi="黑体" w:cs="黑体" w:eastAsia="黑体" w:hint="default"/>
                <w:sz w:val="20"/>
                <w:szCs w:val="20"/>
              </w:rPr>
            </w:pPr>
            <w:r>
              <w:rPr>
                <w:rFonts w:ascii="黑体" w:hAnsi="黑体" w:cs="黑体" w:eastAsia="黑体" w:hint="default"/>
                <w:sz w:val="20"/>
                <w:szCs w:val="20"/>
              </w:rPr>
              <w:t>支付给职工以及为职工支付的现金</w:t>
            </w:r>
          </w:p>
        </w:tc>
        <w:tc>
          <w:tcPr>
            <w:tcW w:w="955"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
              <w:jc w:val="right"/>
              <w:rPr>
                <w:rFonts w:ascii="Arial" w:hAnsi="Arial" w:cs="Arial" w:eastAsia="Arial" w:hint="default"/>
                <w:sz w:val="20"/>
                <w:szCs w:val="20"/>
              </w:rPr>
            </w:pPr>
            <w:r>
              <w:rPr>
                <w:rFonts w:ascii="Arial"/>
                <w:spacing w:val="-1"/>
                <w:sz w:val="20"/>
              </w:rPr>
              <w:t>(2,251,498,917</w:t>
            </w:r>
          </w:p>
        </w:tc>
        <w:tc>
          <w:tcPr>
            <w:tcW w:w="32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7" w:right="0"/>
              <w:jc w:val="left"/>
              <w:rPr>
                <w:rFonts w:ascii="Arial" w:hAnsi="Arial" w:cs="Arial" w:eastAsia="Arial" w:hint="default"/>
                <w:sz w:val="20"/>
                <w:szCs w:val="20"/>
              </w:rPr>
            </w:pPr>
            <w:r>
              <w:rPr>
                <w:rFonts w:ascii="Arial"/>
                <w:w w:val="99"/>
                <w:sz w:val="20"/>
              </w:rPr>
              <w:t>)</w:t>
            </w:r>
            <w:r>
              <w:rPr>
                <w:rFonts w:ascii="Arial"/>
                <w:sz w:val="20"/>
              </w:rPr>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
              <w:jc w:val="right"/>
              <w:rPr>
                <w:rFonts w:ascii="Arial" w:hAnsi="Arial" w:cs="Arial" w:eastAsia="Arial" w:hint="default"/>
                <w:sz w:val="20"/>
                <w:szCs w:val="20"/>
              </w:rPr>
            </w:pPr>
            <w:r>
              <w:rPr>
                <w:rFonts w:ascii="Arial"/>
                <w:sz w:val="20"/>
              </w:rPr>
              <w:t>(</w:t>
            </w:r>
            <w:r>
              <w:rPr>
                <w:rFonts w:ascii="Arial"/>
                <w:spacing w:val="-39"/>
                <w:sz w:val="20"/>
              </w:rPr>
              <w:t> </w:t>
            </w:r>
            <w:r>
              <w:rPr>
                <w:rFonts w:ascii="Arial"/>
                <w:sz w:val="20"/>
              </w:rPr>
              <w:t>1,755,666,446</w:t>
            </w:r>
          </w:p>
        </w:tc>
        <w:tc>
          <w:tcPr>
            <w:tcW w:w="28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Arial" w:hAnsi="Arial" w:cs="Arial" w:eastAsia="Arial" w:hint="default"/>
                <w:sz w:val="20"/>
                <w:szCs w:val="20"/>
              </w:rPr>
            </w:pPr>
            <w:r>
              <w:rPr>
                <w:rFonts w:ascii="Arial"/>
                <w:w w:val="99"/>
                <w:sz w:val="20"/>
              </w:rPr>
              <w:t>)</w:t>
            </w:r>
            <w:r>
              <w:rPr>
                <w:rFonts w:ascii="Arial"/>
                <w:sz w:val="20"/>
              </w:rPr>
            </w:r>
          </w:p>
        </w:tc>
      </w:tr>
      <w:tr>
        <w:trPr>
          <w:trHeight w:val="283"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30" w:lineRule="exact"/>
              <w:ind w:left="200" w:right="0"/>
              <w:jc w:val="left"/>
              <w:rPr>
                <w:rFonts w:ascii="黑体" w:hAnsi="黑体" w:cs="黑体" w:eastAsia="黑体" w:hint="default"/>
                <w:sz w:val="20"/>
                <w:szCs w:val="20"/>
              </w:rPr>
            </w:pPr>
            <w:r>
              <w:rPr>
                <w:rFonts w:ascii="黑体" w:hAnsi="黑体" w:cs="黑体" w:eastAsia="黑体" w:hint="default"/>
                <w:sz w:val="20"/>
                <w:szCs w:val="20"/>
              </w:rPr>
              <w:t>支付的各项税费</w:t>
            </w:r>
          </w:p>
        </w:tc>
        <w:tc>
          <w:tcPr>
            <w:tcW w:w="955"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
              <w:jc w:val="right"/>
              <w:rPr>
                <w:rFonts w:ascii="Arial" w:hAnsi="Arial" w:cs="Arial" w:eastAsia="Arial" w:hint="default"/>
                <w:sz w:val="20"/>
                <w:szCs w:val="20"/>
              </w:rPr>
            </w:pPr>
            <w:r>
              <w:rPr>
                <w:rFonts w:ascii="Arial"/>
                <w:sz w:val="20"/>
              </w:rPr>
              <w:t>( </w:t>
            </w:r>
            <w:r>
              <w:rPr>
                <w:rFonts w:ascii="Arial"/>
                <w:spacing w:val="39"/>
                <w:sz w:val="20"/>
              </w:rPr>
              <w:t> </w:t>
            </w:r>
            <w:r>
              <w:rPr>
                <w:rFonts w:ascii="Arial"/>
                <w:sz w:val="20"/>
              </w:rPr>
              <w:t>589,119,981</w:t>
            </w:r>
          </w:p>
        </w:tc>
        <w:tc>
          <w:tcPr>
            <w:tcW w:w="32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7" w:right="0"/>
              <w:jc w:val="left"/>
              <w:rPr>
                <w:rFonts w:ascii="Arial" w:hAnsi="Arial" w:cs="Arial" w:eastAsia="Arial" w:hint="default"/>
                <w:sz w:val="20"/>
                <w:szCs w:val="20"/>
              </w:rPr>
            </w:pPr>
            <w:r>
              <w:rPr>
                <w:rFonts w:ascii="Arial"/>
                <w:w w:val="99"/>
                <w:sz w:val="20"/>
              </w:rPr>
              <w:t>)</w:t>
            </w:r>
            <w:r>
              <w:rPr>
                <w:rFonts w:ascii="Arial"/>
                <w:sz w:val="20"/>
              </w:rPr>
            </w:r>
          </w:p>
        </w:tc>
        <w:tc>
          <w:tcPr>
            <w:tcW w:w="1642" w:type="dxa"/>
            <w:tcBorders>
              <w:top w:val="nil" w:sz="6" w:space="0" w:color="auto"/>
              <w:left w:val="nil" w:sz="6" w:space="0" w:color="auto"/>
              <w:bottom w:val="nil" w:sz="6" w:space="0" w:color="auto"/>
              <w:right w:val="nil" w:sz="6" w:space="0" w:color="auto"/>
            </w:tcBorders>
          </w:tcPr>
          <w:p>
            <w:pPr>
              <w:pStyle w:val="TableParagraph"/>
              <w:tabs>
                <w:tab w:pos="268" w:val="left" w:leader="none"/>
              </w:tabs>
              <w:spacing w:line="240" w:lineRule="auto" w:before="26"/>
              <w:ind w:right="12"/>
              <w:jc w:val="right"/>
              <w:rPr>
                <w:rFonts w:ascii="Arial" w:hAnsi="Arial" w:cs="Arial" w:eastAsia="Arial" w:hint="default"/>
                <w:sz w:val="20"/>
                <w:szCs w:val="20"/>
              </w:rPr>
            </w:pPr>
            <w:r>
              <w:rPr>
                <w:rFonts w:ascii="Arial"/>
                <w:w w:val="95"/>
                <w:sz w:val="20"/>
              </w:rPr>
              <w:t>(</w:t>
              <w:tab/>
            </w:r>
            <w:r>
              <w:rPr>
                <w:rFonts w:ascii="Arial"/>
                <w:spacing w:val="-1"/>
                <w:sz w:val="20"/>
              </w:rPr>
              <w:t>521,208,377</w:t>
            </w:r>
          </w:p>
        </w:tc>
        <w:tc>
          <w:tcPr>
            <w:tcW w:w="28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 w:right="0"/>
              <w:jc w:val="left"/>
              <w:rPr>
                <w:rFonts w:ascii="Arial" w:hAnsi="Arial" w:cs="Arial" w:eastAsia="Arial" w:hint="default"/>
                <w:sz w:val="20"/>
                <w:szCs w:val="20"/>
              </w:rPr>
            </w:pPr>
            <w:r>
              <w:rPr>
                <w:rFonts w:ascii="Arial"/>
                <w:w w:val="99"/>
                <w:sz w:val="20"/>
              </w:rPr>
              <w:t>)</w:t>
            </w:r>
            <w:r>
              <w:rPr>
                <w:rFonts w:ascii="Arial"/>
                <w:sz w:val="20"/>
              </w:rPr>
            </w:r>
          </w:p>
        </w:tc>
      </w:tr>
      <w:tr>
        <w:trPr>
          <w:trHeight w:val="426"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30" w:lineRule="exact"/>
              <w:ind w:left="200" w:right="0"/>
              <w:jc w:val="left"/>
              <w:rPr>
                <w:rFonts w:ascii="黑体" w:hAnsi="黑体" w:cs="黑体" w:eastAsia="黑体" w:hint="default"/>
                <w:sz w:val="20"/>
                <w:szCs w:val="20"/>
              </w:rPr>
            </w:pPr>
            <w:r>
              <w:rPr>
                <w:rFonts w:ascii="黑体" w:hAnsi="黑体" w:cs="黑体" w:eastAsia="黑体" w:hint="default"/>
                <w:sz w:val="20"/>
                <w:szCs w:val="20"/>
              </w:rPr>
              <w:t>支付的其他与经营活动有关的现金</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59"/>
              <w:jc w:val="center"/>
              <w:rPr>
                <w:rFonts w:ascii="Arial" w:hAnsi="Arial" w:cs="Arial" w:eastAsia="Arial" w:hint="default"/>
                <w:sz w:val="20"/>
                <w:szCs w:val="20"/>
              </w:rPr>
            </w:pPr>
            <w:r>
              <w:rPr>
                <w:rFonts w:ascii="Arial"/>
                <w:sz w:val="20"/>
              </w:rPr>
              <w:t>47</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
              <w:jc w:val="right"/>
              <w:rPr>
                <w:rFonts w:ascii="Arial" w:hAnsi="Arial" w:cs="Arial" w:eastAsia="Arial" w:hint="default"/>
                <w:sz w:val="20"/>
                <w:szCs w:val="20"/>
              </w:rPr>
            </w:pPr>
            <w:r>
              <w:rPr>
                <w:rFonts w:ascii="Arial"/>
                <w:sz w:val="20"/>
              </w:rPr>
              <w:t>( </w:t>
            </w:r>
            <w:r>
              <w:rPr>
                <w:rFonts w:ascii="Arial"/>
                <w:spacing w:val="39"/>
                <w:sz w:val="20"/>
              </w:rPr>
              <w:t> </w:t>
            </w:r>
            <w:r>
              <w:rPr>
                <w:rFonts w:ascii="Arial"/>
                <w:spacing w:val="39"/>
                <w:sz w:val="20"/>
                <w:u w:val="single" w:color="000000"/>
              </w:rPr>
              <w:t> </w:t>
            </w:r>
            <w:r>
              <w:rPr>
                <w:rFonts w:ascii="Arial"/>
                <w:sz w:val="20"/>
                <w:u w:val="single" w:color="000000"/>
              </w:rPr>
              <w:t>943,223,167</w:t>
            </w:r>
            <w:r>
              <w:rPr>
                <w:rFonts w:ascii="Arial"/>
                <w:sz w:val="20"/>
              </w:rPr>
            </w:r>
          </w:p>
        </w:tc>
        <w:tc>
          <w:tcPr>
            <w:tcW w:w="32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7" w:right="0"/>
              <w:jc w:val="left"/>
              <w:rPr>
                <w:rFonts w:ascii="Arial" w:hAnsi="Arial" w:cs="Arial" w:eastAsia="Arial" w:hint="default"/>
                <w:sz w:val="20"/>
                <w:szCs w:val="20"/>
              </w:rPr>
            </w:pPr>
            <w:r>
              <w:rPr>
                <w:rFonts w:ascii="Arial"/>
                <w:w w:val="99"/>
                <w:sz w:val="20"/>
              </w:rPr>
              <w:t>)</w:t>
            </w:r>
            <w:r>
              <w:rPr>
                <w:rFonts w:ascii="Arial"/>
                <w:sz w:val="20"/>
              </w:rPr>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2"/>
              <w:jc w:val="right"/>
              <w:rPr>
                <w:rFonts w:ascii="Arial" w:hAnsi="Arial" w:cs="Arial" w:eastAsia="Arial" w:hint="default"/>
                <w:sz w:val="20"/>
                <w:szCs w:val="20"/>
              </w:rPr>
            </w:pPr>
            <w:r>
              <w:rPr>
                <w:rFonts w:ascii="Arial"/>
                <w:sz w:val="20"/>
              </w:rPr>
              <w:t>(  </w:t>
            </w:r>
            <w:r>
              <w:rPr>
                <w:rFonts w:ascii="Arial"/>
                <w:spacing w:val="25"/>
                <w:sz w:val="20"/>
              </w:rPr>
              <w:t> </w:t>
            </w:r>
            <w:r>
              <w:rPr>
                <w:rFonts w:ascii="Arial"/>
                <w:spacing w:val="25"/>
                <w:sz w:val="20"/>
                <w:u w:val="single" w:color="000000"/>
              </w:rPr>
              <w:t> </w:t>
            </w:r>
            <w:r>
              <w:rPr>
                <w:rFonts w:ascii="Arial"/>
                <w:sz w:val="20"/>
                <w:u w:val="single" w:color="000000"/>
              </w:rPr>
              <w:t>954,409,981</w:t>
            </w:r>
            <w:r>
              <w:rPr>
                <w:rFonts w:ascii="Arial"/>
                <w:sz w:val="20"/>
              </w:rPr>
            </w:r>
          </w:p>
        </w:tc>
        <w:tc>
          <w:tcPr>
            <w:tcW w:w="28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 w:right="0"/>
              <w:jc w:val="left"/>
              <w:rPr>
                <w:rFonts w:ascii="Arial" w:hAnsi="Arial" w:cs="Arial" w:eastAsia="Arial" w:hint="default"/>
                <w:sz w:val="20"/>
                <w:szCs w:val="20"/>
              </w:rPr>
            </w:pPr>
            <w:r>
              <w:rPr>
                <w:rFonts w:ascii="Arial"/>
                <w:w w:val="99"/>
                <w:sz w:val="20"/>
              </w:rPr>
              <w:t>)</w:t>
            </w:r>
            <w:r>
              <w:rPr>
                <w:rFonts w:ascii="Arial"/>
                <w:sz w:val="20"/>
              </w:rPr>
            </w:r>
          </w:p>
        </w:tc>
      </w:tr>
      <w:tr>
        <w:trPr>
          <w:trHeight w:val="569"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00" w:right="0"/>
              <w:jc w:val="left"/>
              <w:rPr>
                <w:rFonts w:ascii="黑体" w:hAnsi="黑体" w:cs="黑体" w:eastAsia="黑体" w:hint="default"/>
                <w:sz w:val="20"/>
                <w:szCs w:val="20"/>
              </w:rPr>
            </w:pPr>
            <w:r>
              <w:rPr>
                <w:rFonts w:ascii="黑体" w:hAnsi="黑体" w:cs="黑体" w:eastAsia="黑体" w:hint="default"/>
                <w:sz w:val="20"/>
                <w:szCs w:val="20"/>
              </w:rPr>
              <w:t>经营活动现金流出小计</w:t>
            </w:r>
          </w:p>
        </w:tc>
        <w:tc>
          <w:tcPr>
            <w:tcW w:w="955"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7"/>
              <w:jc w:val="right"/>
              <w:rPr>
                <w:rFonts w:ascii="Arial" w:hAnsi="Arial" w:cs="Arial" w:eastAsia="Arial" w:hint="default"/>
                <w:sz w:val="20"/>
                <w:szCs w:val="20"/>
              </w:rPr>
            </w:pPr>
            <w:r>
              <w:rPr>
                <w:rFonts w:ascii="Arial"/>
                <w:spacing w:val="-1"/>
                <w:sz w:val="20"/>
              </w:rPr>
              <w:t>(</w:t>
            </w:r>
            <w:r>
              <w:rPr>
                <w:rFonts w:ascii="Arial"/>
                <w:spacing w:val="-1"/>
                <w:sz w:val="20"/>
                <w:u w:val="single" w:color="000000"/>
              </w:rPr>
              <w:t>4,674,869,580</w:t>
            </w:r>
            <w:r>
              <w:rPr>
                <w:rFonts w:ascii="Arial"/>
                <w:spacing w:val="-1"/>
                <w:sz w:val="20"/>
              </w:rPr>
            </w:r>
          </w:p>
        </w:tc>
        <w:tc>
          <w:tcPr>
            <w:tcW w:w="324"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7" w:right="0"/>
              <w:jc w:val="left"/>
              <w:rPr>
                <w:rFonts w:ascii="Arial" w:hAnsi="Arial" w:cs="Arial" w:eastAsia="Arial" w:hint="default"/>
                <w:sz w:val="20"/>
                <w:szCs w:val="20"/>
              </w:rPr>
            </w:pPr>
            <w:r>
              <w:rPr>
                <w:rFonts w:ascii="Arial"/>
                <w:w w:val="99"/>
                <w:sz w:val="20"/>
              </w:rPr>
              <w:t>)</w:t>
            </w:r>
            <w:r>
              <w:rPr>
                <w:rFonts w:ascii="Arial"/>
                <w:sz w:val="20"/>
              </w:rPr>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12"/>
              <w:jc w:val="right"/>
              <w:rPr>
                <w:rFonts w:ascii="Arial" w:hAnsi="Arial" w:cs="Arial" w:eastAsia="Arial" w:hint="default"/>
                <w:sz w:val="20"/>
                <w:szCs w:val="20"/>
              </w:rPr>
            </w:pPr>
            <w:r>
              <w:rPr>
                <w:rFonts w:ascii="Arial"/>
                <w:spacing w:val="-1"/>
                <w:sz w:val="20"/>
              </w:rPr>
              <w:t>(</w:t>
            </w:r>
            <w:r>
              <w:rPr>
                <w:rFonts w:ascii="Arial"/>
                <w:spacing w:val="-1"/>
                <w:sz w:val="20"/>
                <w:u w:val="single" w:color="000000"/>
              </w:rPr>
              <w:t>3,835,324,288</w:t>
            </w:r>
            <w:r>
              <w:rPr>
                <w:rFonts w:ascii="Arial"/>
                <w:spacing w:val="-1"/>
                <w:sz w:val="20"/>
              </w:rPr>
            </w:r>
          </w:p>
        </w:tc>
        <w:tc>
          <w:tcPr>
            <w:tcW w:w="281"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14" w:right="0"/>
              <w:jc w:val="left"/>
              <w:rPr>
                <w:rFonts w:ascii="Arial" w:hAnsi="Arial" w:cs="Arial" w:eastAsia="Arial" w:hint="default"/>
                <w:sz w:val="20"/>
                <w:szCs w:val="20"/>
              </w:rPr>
            </w:pPr>
            <w:r>
              <w:rPr>
                <w:rFonts w:ascii="Arial"/>
                <w:w w:val="99"/>
                <w:sz w:val="20"/>
              </w:rPr>
              <w:t>)</w:t>
            </w:r>
            <w:r>
              <w:rPr>
                <w:rFonts w:ascii="Arial"/>
                <w:sz w:val="20"/>
              </w:rPr>
            </w:r>
          </w:p>
        </w:tc>
      </w:tr>
      <w:tr>
        <w:trPr>
          <w:trHeight w:val="568"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00" w:right="0"/>
              <w:jc w:val="left"/>
              <w:rPr>
                <w:rFonts w:ascii="黑体" w:hAnsi="黑体" w:cs="黑体" w:eastAsia="黑体" w:hint="default"/>
                <w:sz w:val="20"/>
                <w:szCs w:val="20"/>
              </w:rPr>
            </w:pPr>
            <w:r>
              <w:rPr>
                <w:rFonts w:ascii="黑体" w:hAnsi="黑体" w:cs="黑体" w:eastAsia="黑体" w:hint="default"/>
                <w:sz w:val="20"/>
                <w:szCs w:val="20"/>
              </w:rPr>
              <w:t>经营活动产生的现金流量净额</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259"/>
              <w:jc w:val="center"/>
              <w:rPr>
                <w:rFonts w:ascii="Arial" w:hAnsi="Arial" w:cs="Arial" w:eastAsia="Arial" w:hint="default"/>
                <w:sz w:val="20"/>
                <w:szCs w:val="20"/>
              </w:rPr>
            </w:pPr>
            <w:r>
              <w:rPr>
                <w:rFonts w:ascii="Arial"/>
                <w:sz w:val="20"/>
              </w:rPr>
              <w:t>48</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7"/>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1"/>
                <w:sz w:val="20"/>
                <w:u w:val="single" w:color="000000"/>
              </w:rPr>
              <w:t> </w:t>
            </w:r>
            <w:r>
              <w:rPr>
                <w:rFonts w:ascii="Arial"/>
                <w:spacing w:val="-1"/>
                <w:sz w:val="20"/>
                <w:u w:val="single" w:color="000000"/>
              </w:rPr>
              <w:t>498,651,913</w:t>
            </w:r>
            <w:r>
              <w:rPr>
                <w:rFonts w:ascii="Arial"/>
                <w:spacing w:val="-1"/>
                <w:sz w:val="20"/>
              </w:rPr>
            </w:r>
          </w:p>
        </w:tc>
        <w:tc>
          <w:tcPr>
            <w:tcW w:w="324"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12"/>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4"/>
                <w:sz w:val="20"/>
                <w:u w:val="single" w:color="000000"/>
              </w:rPr>
              <w:t> </w:t>
            </w:r>
            <w:r>
              <w:rPr>
                <w:rFonts w:ascii="Arial"/>
                <w:spacing w:val="-1"/>
                <w:w w:val="95"/>
                <w:sz w:val="20"/>
                <w:u w:val="single" w:color="000000"/>
              </w:rPr>
              <w:t>471,621,829</w:t>
            </w:r>
            <w:r>
              <w:rPr>
                <w:rFonts w:ascii="Arial"/>
                <w:spacing w:val="-1"/>
                <w:w w:val="95"/>
                <w:sz w:val="20"/>
              </w:rPr>
            </w:r>
            <w:r>
              <w:rPr>
                <w:rFonts w:ascii="Arial"/>
                <w:sz w:val="20"/>
              </w:rPr>
            </w:r>
          </w:p>
        </w:tc>
        <w:tc>
          <w:tcPr>
            <w:tcW w:w="281" w:type="dxa"/>
            <w:tcBorders>
              <w:top w:val="nil" w:sz="6" w:space="0" w:color="auto"/>
              <w:left w:val="nil" w:sz="6" w:space="0" w:color="auto"/>
              <w:bottom w:val="nil" w:sz="6" w:space="0" w:color="auto"/>
              <w:right w:val="nil" w:sz="6" w:space="0" w:color="auto"/>
            </w:tcBorders>
          </w:tcPr>
          <w:p>
            <w:pPr/>
          </w:p>
        </w:tc>
      </w:tr>
      <w:tr>
        <w:trPr>
          <w:trHeight w:val="562"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00" w:right="0"/>
              <w:jc w:val="left"/>
              <w:rPr>
                <w:rFonts w:ascii="Arial" w:hAnsi="Arial" w:cs="Arial" w:eastAsia="Arial" w:hint="default"/>
                <w:sz w:val="20"/>
                <w:szCs w:val="20"/>
              </w:rPr>
            </w:pPr>
            <w:r>
              <w:rPr>
                <w:rFonts w:ascii="黑体" w:hAnsi="黑体" w:cs="黑体" w:eastAsia="黑体" w:hint="default"/>
                <w:sz w:val="20"/>
                <w:szCs w:val="20"/>
              </w:rPr>
              <w:t>二、投资活动产生的现金流量</w:t>
            </w:r>
            <w:r>
              <w:rPr>
                <w:rFonts w:ascii="Arial" w:hAnsi="Arial" w:cs="Arial" w:eastAsia="Arial" w:hint="default"/>
                <w:sz w:val="20"/>
                <w:szCs w:val="20"/>
              </w:rPr>
              <w:t>:</w:t>
            </w:r>
          </w:p>
        </w:tc>
        <w:tc>
          <w:tcPr>
            <w:tcW w:w="955"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
        </w:tc>
        <w:tc>
          <w:tcPr>
            <w:tcW w:w="324"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r>
      <w:tr>
        <w:trPr>
          <w:trHeight w:val="432"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200" w:right="0"/>
              <w:jc w:val="left"/>
              <w:rPr>
                <w:rFonts w:ascii="黑体" w:hAnsi="黑体" w:cs="黑体" w:eastAsia="黑体" w:hint="default"/>
                <w:sz w:val="20"/>
                <w:szCs w:val="20"/>
              </w:rPr>
            </w:pPr>
            <w:r>
              <w:rPr>
                <w:rFonts w:ascii="黑体" w:hAnsi="黑体" w:cs="黑体" w:eastAsia="黑体" w:hint="default"/>
                <w:sz w:val="20"/>
                <w:szCs w:val="20"/>
              </w:rPr>
              <w:t>收回投资成本所收到的现金</w:t>
            </w:r>
          </w:p>
        </w:tc>
        <w:tc>
          <w:tcPr>
            <w:tcW w:w="955"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175"/>
              <w:ind w:right="5"/>
              <w:jc w:val="right"/>
              <w:rPr>
                <w:rFonts w:ascii="Arial" w:hAnsi="Arial" w:cs="Arial" w:eastAsia="Arial" w:hint="default"/>
                <w:sz w:val="20"/>
                <w:szCs w:val="20"/>
              </w:rPr>
            </w:pPr>
            <w:r>
              <w:rPr>
                <w:rFonts w:ascii="Arial"/>
                <w:w w:val="99"/>
                <w:sz w:val="20"/>
              </w:rPr>
              <w:t>-</w:t>
            </w:r>
            <w:r>
              <w:rPr>
                <w:rFonts w:ascii="Arial"/>
                <w:sz w:val="20"/>
              </w:rPr>
            </w:r>
          </w:p>
        </w:tc>
        <w:tc>
          <w:tcPr>
            <w:tcW w:w="324"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175"/>
              <w:ind w:right="12"/>
              <w:jc w:val="right"/>
              <w:rPr>
                <w:rFonts w:ascii="Arial" w:hAnsi="Arial" w:cs="Arial" w:eastAsia="Arial" w:hint="default"/>
                <w:sz w:val="20"/>
                <w:szCs w:val="20"/>
              </w:rPr>
            </w:pPr>
            <w:r>
              <w:rPr>
                <w:rFonts w:ascii="Arial"/>
                <w:spacing w:val="-1"/>
                <w:sz w:val="20"/>
              </w:rPr>
              <w:t>2,650,000</w:t>
            </w:r>
          </w:p>
        </w:tc>
        <w:tc>
          <w:tcPr>
            <w:tcW w:w="281" w:type="dxa"/>
            <w:tcBorders>
              <w:top w:val="nil" w:sz="6" w:space="0" w:color="auto"/>
              <w:left w:val="nil" w:sz="6" w:space="0" w:color="auto"/>
              <w:bottom w:val="nil" w:sz="6" w:space="0" w:color="auto"/>
              <w:right w:val="nil" w:sz="6" w:space="0" w:color="auto"/>
            </w:tcBorders>
          </w:tcPr>
          <w:p>
            <w:pPr/>
          </w:p>
        </w:tc>
      </w:tr>
      <w:tr>
        <w:trPr>
          <w:trHeight w:val="284"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30" w:lineRule="exact"/>
              <w:ind w:left="200" w:right="0"/>
              <w:jc w:val="left"/>
              <w:rPr>
                <w:rFonts w:ascii="黑体" w:hAnsi="黑体" w:cs="黑体" w:eastAsia="黑体" w:hint="default"/>
                <w:sz w:val="20"/>
                <w:szCs w:val="20"/>
              </w:rPr>
            </w:pPr>
            <w:r>
              <w:rPr>
                <w:rFonts w:ascii="黑体" w:hAnsi="黑体" w:cs="黑体" w:eastAsia="黑体" w:hint="default"/>
                <w:sz w:val="20"/>
                <w:szCs w:val="20"/>
              </w:rPr>
              <w:t>取得投资收益所收到的现金</w:t>
            </w:r>
          </w:p>
        </w:tc>
        <w:tc>
          <w:tcPr>
            <w:tcW w:w="955"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
              <w:jc w:val="right"/>
              <w:rPr>
                <w:rFonts w:ascii="Arial" w:hAnsi="Arial" w:cs="Arial" w:eastAsia="Arial" w:hint="default"/>
                <w:sz w:val="20"/>
                <w:szCs w:val="20"/>
              </w:rPr>
            </w:pPr>
            <w:r>
              <w:rPr>
                <w:rFonts w:ascii="Arial"/>
                <w:spacing w:val="-1"/>
                <w:sz w:val="20"/>
              </w:rPr>
              <w:t>4,616,096</w:t>
            </w:r>
          </w:p>
        </w:tc>
        <w:tc>
          <w:tcPr>
            <w:tcW w:w="324"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2"/>
              <w:jc w:val="right"/>
              <w:rPr>
                <w:rFonts w:ascii="Arial" w:hAnsi="Arial" w:cs="Arial" w:eastAsia="Arial" w:hint="default"/>
                <w:sz w:val="20"/>
                <w:szCs w:val="20"/>
              </w:rPr>
            </w:pPr>
            <w:r>
              <w:rPr>
                <w:rFonts w:ascii="Arial"/>
                <w:spacing w:val="-1"/>
                <w:sz w:val="20"/>
              </w:rPr>
              <w:t>4,186,508</w:t>
            </w:r>
          </w:p>
        </w:tc>
        <w:tc>
          <w:tcPr>
            <w:tcW w:w="281" w:type="dxa"/>
            <w:tcBorders>
              <w:top w:val="nil" w:sz="6" w:space="0" w:color="auto"/>
              <w:left w:val="nil" w:sz="6" w:space="0" w:color="auto"/>
              <w:bottom w:val="nil" w:sz="6" w:space="0" w:color="auto"/>
              <w:right w:val="nil" w:sz="6" w:space="0" w:color="auto"/>
            </w:tcBorders>
          </w:tcPr>
          <w:p>
            <w:pPr/>
          </w:p>
        </w:tc>
      </w:tr>
      <w:tr>
        <w:trPr>
          <w:trHeight w:val="272"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32" w:lineRule="exact"/>
              <w:ind w:left="200" w:right="0"/>
              <w:jc w:val="left"/>
              <w:rPr>
                <w:rFonts w:ascii="黑体" w:hAnsi="黑体" w:cs="黑体" w:eastAsia="黑体" w:hint="default"/>
                <w:sz w:val="20"/>
                <w:szCs w:val="20"/>
              </w:rPr>
            </w:pPr>
            <w:r>
              <w:rPr>
                <w:rFonts w:ascii="黑体" w:hAnsi="黑体" w:cs="黑体" w:eastAsia="黑体" w:hint="default"/>
                <w:sz w:val="20"/>
                <w:szCs w:val="20"/>
              </w:rPr>
              <w:t>取得存款利息收入所收到的现金</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59"/>
              <w:jc w:val="center"/>
              <w:rPr>
                <w:rFonts w:ascii="Arial" w:hAnsi="Arial" w:cs="Arial" w:eastAsia="Arial" w:hint="default"/>
                <w:sz w:val="20"/>
                <w:szCs w:val="20"/>
              </w:rPr>
            </w:pPr>
            <w:r>
              <w:rPr>
                <w:rFonts w:ascii="Arial"/>
                <w:sz w:val="20"/>
              </w:rPr>
              <w:t>39</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
              <w:jc w:val="right"/>
              <w:rPr>
                <w:rFonts w:ascii="Arial" w:hAnsi="Arial" w:cs="Arial" w:eastAsia="Arial" w:hint="default"/>
                <w:sz w:val="20"/>
                <w:szCs w:val="20"/>
              </w:rPr>
            </w:pPr>
            <w:r>
              <w:rPr>
                <w:rFonts w:ascii="Arial"/>
                <w:spacing w:val="-1"/>
                <w:sz w:val="20"/>
              </w:rPr>
              <w:t>8,201,931</w:t>
            </w:r>
          </w:p>
        </w:tc>
        <w:tc>
          <w:tcPr>
            <w:tcW w:w="324"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
              <w:jc w:val="right"/>
              <w:rPr>
                <w:rFonts w:ascii="Arial" w:hAnsi="Arial" w:cs="Arial" w:eastAsia="Arial" w:hint="default"/>
                <w:sz w:val="20"/>
                <w:szCs w:val="20"/>
              </w:rPr>
            </w:pPr>
            <w:r>
              <w:rPr>
                <w:rFonts w:ascii="Arial"/>
                <w:spacing w:val="-1"/>
                <w:sz w:val="20"/>
              </w:rPr>
              <w:t>10,445,308</w:t>
            </w:r>
            <w:r>
              <w:rPr>
                <w:rFonts w:ascii="Arial"/>
                <w:sz w:val="20"/>
              </w:rPr>
            </w:r>
          </w:p>
        </w:tc>
        <w:tc>
          <w:tcPr>
            <w:tcW w:w="281" w:type="dxa"/>
            <w:tcBorders>
              <w:top w:val="nil" w:sz="6" w:space="0" w:color="auto"/>
              <w:left w:val="nil" w:sz="6" w:space="0" w:color="auto"/>
              <w:bottom w:val="nil" w:sz="6" w:space="0" w:color="auto"/>
              <w:right w:val="nil" w:sz="6" w:space="0" w:color="auto"/>
            </w:tcBorders>
          </w:tcPr>
          <w:p>
            <w:pPr/>
          </w:p>
        </w:tc>
      </w:tr>
      <w:tr>
        <w:trPr>
          <w:trHeight w:val="530"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17" w:lineRule="exact"/>
              <w:ind w:left="200" w:right="0"/>
              <w:jc w:val="left"/>
              <w:rPr>
                <w:rFonts w:ascii="黑体" w:hAnsi="黑体" w:cs="黑体" w:eastAsia="黑体" w:hint="default"/>
                <w:sz w:val="20"/>
                <w:szCs w:val="20"/>
              </w:rPr>
            </w:pPr>
            <w:r>
              <w:rPr>
                <w:rFonts w:ascii="黑体" w:hAnsi="黑体" w:cs="黑体" w:eastAsia="黑体" w:hint="default"/>
                <w:sz w:val="20"/>
                <w:szCs w:val="20"/>
              </w:rPr>
              <w:t>处置固定资产，无形资产和其他长期资产</w:t>
            </w:r>
          </w:p>
          <w:p>
            <w:pPr>
              <w:pStyle w:val="TableParagraph"/>
              <w:spacing w:line="260" w:lineRule="exact"/>
              <w:ind w:left="396" w:right="0"/>
              <w:jc w:val="left"/>
              <w:rPr>
                <w:rFonts w:ascii="黑体" w:hAnsi="黑体" w:cs="黑体" w:eastAsia="黑体" w:hint="default"/>
                <w:sz w:val="20"/>
                <w:szCs w:val="20"/>
              </w:rPr>
            </w:pPr>
            <w:r>
              <w:rPr>
                <w:rFonts w:ascii="黑体" w:hAnsi="黑体" w:cs="黑体" w:eastAsia="黑体" w:hint="default"/>
                <w:sz w:val="20"/>
                <w:szCs w:val="20"/>
              </w:rPr>
              <w:t>收回的现金净额</w:t>
            </w:r>
          </w:p>
        </w:tc>
        <w:tc>
          <w:tcPr>
            <w:tcW w:w="955"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b/>
                <w:bCs/>
                <w:sz w:val="20"/>
                <w:szCs w:val="20"/>
              </w:rPr>
            </w:pPr>
          </w:p>
          <w:p>
            <w:pPr>
              <w:pStyle w:val="TableParagraph"/>
              <w:spacing w:line="240" w:lineRule="auto"/>
              <w:ind w:right="7"/>
              <w:jc w:val="right"/>
              <w:rPr>
                <w:rFonts w:ascii="Arial" w:hAnsi="Arial" w:cs="Arial" w:eastAsia="Arial" w:hint="default"/>
                <w:sz w:val="20"/>
                <w:szCs w:val="20"/>
              </w:rPr>
            </w:pPr>
            <w:r>
              <w:rPr>
                <w:rFonts w:ascii="Arial"/>
                <w:spacing w:val="-1"/>
                <w:sz w:val="20"/>
              </w:rPr>
              <w:t>3,040,302</w:t>
            </w:r>
          </w:p>
        </w:tc>
        <w:tc>
          <w:tcPr>
            <w:tcW w:w="324"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b/>
                <w:bCs/>
                <w:sz w:val="20"/>
                <w:szCs w:val="20"/>
              </w:rPr>
            </w:pPr>
          </w:p>
          <w:p>
            <w:pPr>
              <w:pStyle w:val="TableParagraph"/>
              <w:spacing w:line="240" w:lineRule="auto"/>
              <w:ind w:right="12"/>
              <w:jc w:val="right"/>
              <w:rPr>
                <w:rFonts w:ascii="Arial" w:hAnsi="Arial" w:cs="Arial" w:eastAsia="Arial" w:hint="default"/>
                <w:sz w:val="20"/>
                <w:szCs w:val="20"/>
              </w:rPr>
            </w:pPr>
            <w:r>
              <w:rPr>
                <w:rFonts w:ascii="Arial"/>
                <w:spacing w:val="-1"/>
                <w:w w:val="95"/>
                <w:sz w:val="20"/>
              </w:rPr>
              <w:t>1,307,410</w:t>
            </w:r>
            <w:r>
              <w:rPr>
                <w:rFonts w:ascii="Arial"/>
                <w:sz w:val="20"/>
              </w:rPr>
            </w:r>
          </w:p>
        </w:tc>
        <w:tc>
          <w:tcPr>
            <w:tcW w:w="281" w:type="dxa"/>
            <w:tcBorders>
              <w:top w:val="nil" w:sz="6" w:space="0" w:color="auto"/>
              <w:left w:val="nil" w:sz="6" w:space="0" w:color="auto"/>
              <w:bottom w:val="nil" w:sz="6" w:space="0" w:color="auto"/>
              <w:right w:val="nil" w:sz="6" w:space="0" w:color="auto"/>
            </w:tcBorders>
          </w:tcPr>
          <w:p>
            <w:pPr/>
          </w:p>
        </w:tc>
      </w:tr>
      <w:tr>
        <w:trPr>
          <w:trHeight w:val="426"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30" w:lineRule="exact"/>
              <w:ind w:left="200" w:right="0"/>
              <w:jc w:val="left"/>
              <w:rPr>
                <w:rFonts w:ascii="黑体" w:hAnsi="黑体" w:cs="黑体" w:eastAsia="黑体" w:hint="default"/>
                <w:sz w:val="20"/>
                <w:szCs w:val="20"/>
              </w:rPr>
            </w:pPr>
            <w:r>
              <w:rPr>
                <w:rFonts w:ascii="黑体" w:hAnsi="黑体" w:cs="黑体" w:eastAsia="黑体" w:hint="default"/>
                <w:sz w:val="20"/>
                <w:szCs w:val="20"/>
              </w:rPr>
              <w:t>收回的其他与投资活动有关的现金</w:t>
            </w:r>
          </w:p>
        </w:tc>
        <w:tc>
          <w:tcPr>
            <w:tcW w:w="955"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tabs>
                <w:tab w:pos="703" w:val="left" w:leader="none"/>
              </w:tabs>
              <w:spacing w:line="240" w:lineRule="auto" w:before="26"/>
              <w:ind w:right="7"/>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73,901</w:t>
            </w:r>
            <w:r>
              <w:rPr>
                <w:rFonts w:ascii="Arial"/>
                <w:spacing w:val="-1"/>
                <w:w w:val="95"/>
                <w:sz w:val="20"/>
              </w:rPr>
            </w:r>
            <w:r>
              <w:rPr>
                <w:rFonts w:ascii="Arial"/>
                <w:sz w:val="20"/>
              </w:rPr>
            </w:r>
          </w:p>
        </w:tc>
        <w:tc>
          <w:tcPr>
            <w:tcW w:w="324"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Style w:val="TableParagraph"/>
              <w:tabs>
                <w:tab w:pos="1252" w:val="left" w:leader="none"/>
              </w:tabs>
              <w:spacing w:line="240" w:lineRule="auto" w:before="26"/>
              <w:ind w:right="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281" w:type="dxa"/>
            <w:tcBorders>
              <w:top w:val="nil" w:sz="6" w:space="0" w:color="auto"/>
              <w:left w:val="nil" w:sz="6" w:space="0" w:color="auto"/>
              <w:bottom w:val="nil" w:sz="6" w:space="0" w:color="auto"/>
              <w:right w:val="nil" w:sz="6" w:space="0" w:color="auto"/>
            </w:tcBorders>
          </w:tcPr>
          <w:p>
            <w:pPr/>
          </w:p>
        </w:tc>
      </w:tr>
      <w:tr>
        <w:trPr>
          <w:trHeight w:val="556"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00" w:right="0"/>
              <w:jc w:val="left"/>
              <w:rPr>
                <w:rFonts w:ascii="黑体" w:hAnsi="黑体" w:cs="黑体" w:eastAsia="黑体" w:hint="default"/>
                <w:sz w:val="20"/>
                <w:szCs w:val="20"/>
              </w:rPr>
            </w:pPr>
            <w:r>
              <w:rPr>
                <w:rFonts w:ascii="黑体" w:hAnsi="黑体" w:cs="黑体" w:eastAsia="黑体" w:hint="default"/>
                <w:sz w:val="20"/>
                <w:szCs w:val="20"/>
              </w:rPr>
              <w:t>投资活动现金流入小计</w:t>
            </w:r>
          </w:p>
        </w:tc>
        <w:tc>
          <w:tcPr>
            <w:tcW w:w="955"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tabs>
                <w:tab w:pos="321" w:val="left" w:leader="none"/>
              </w:tabs>
              <w:spacing w:line="240" w:lineRule="auto" w:before="169"/>
              <w:ind w:right="7"/>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15,932,230</w:t>
            </w:r>
            <w:r>
              <w:rPr>
                <w:rFonts w:ascii="Arial"/>
                <w:spacing w:val="-1"/>
                <w:w w:val="95"/>
                <w:sz w:val="20"/>
              </w:rPr>
            </w:r>
            <w:r>
              <w:rPr>
                <w:rFonts w:ascii="Arial"/>
                <w:sz w:val="20"/>
              </w:rPr>
            </w:r>
          </w:p>
        </w:tc>
        <w:tc>
          <w:tcPr>
            <w:tcW w:w="324"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Style w:val="TableParagraph"/>
              <w:tabs>
                <w:tab w:pos="343" w:val="left" w:leader="none"/>
              </w:tabs>
              <w:spacing w:line="240" w:lineRule="auto" w:before="169"/>
              <w:ind w:right="12"/>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18,589,226</w:t>
            </w:r>
            <w:r>
              <w:rPr>
                <w:rFonts w:ascii="Arial"/>
                <w:spacing w:val="-1"/>
                <w:w w:val="95"/>
                <w:sz w:val="20"/>
              </w:rPr>
            </w:r>
            <w:r>
              <w:rPr>
                <w:rFonts w:ascii="Arial"/>
                <w:spacing w:val="-1"/>
                <w:sz w:val="20"/>
              </w:rPr>
            </w:r>
          </w:p>
        </w:tc>
        <w:tc>
          <w:tcPr>
            <w:tcW w:w="281" w:type="dxa"/>
            <w:tcBorders>
              <w:top w:val="nil" w:sz="6" w:space="0" w:color="auto"/>
              <w:left w:val="nil" w:sz="6" w:space="0" w:color="auto"/>
              <w:bottom w:val="nil" w:sz="6" w:space="0" w:color="auto"/>
              <w:right w:val="nil" w:sz="6" w:space="0" w:color="auto"/>
            </w:tcBorders>
          </w:tcPr>
          <w:p>
            <w:pPr/>
          </w:p>
        </w:tc>
      </w:tr>
      <w:tr>
        <w:trPr>
          <w:trHeight w:val="672"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60" w:lineRule="exact" w:before="124"/>
              <w:ind w:left="408" w:right="433" w:hanging="209"/>
              <w:jc w:val="left"/>
              <w:rPr>
                <w:rFonts w:ascii="黑体" w:hAnsi="黑体" w:cs="黑体" w:eastAsia="黑体" w:hint="default"/>
                <w:sz w:val="20"/>
                <w:szCs w:val="20"/>
              </w:rPr>
            </w:pPr>
            <w:r>
              <w:rPr>
                <w:rFonts w:ascii="黑体" w:hAnsi="黑体" w:cs="黑体" w:eastAsia="黑体" w:hint="default"/>
                <w:w w:val="95"/>
                <w:sz w:val="20"/>
                <w:szCs w:val="20"/>
              </w:rPr>
              <w:t>购建固定资产、无形资产和其他长期资产</w:t>
            </w:r>
            <w:r>
              <w:rPr>
                <w:rFonts w:ascii="黑体" w:hAnsi="黑体" w:cs="黑体" w:eastAsia="黑体" w:hint="default"/>
                <w:spacing w:val="80"/>
                <w:w w:val="95"/>
                <w:sz w:val="20"/>
                <w:szCs w:val="20"/>
              </w:rPr>
              <w:t> </w:t>
            </w:r>
            <w:r>
              <w:rPr>
                <w:rFonts w:ascii="黑体" w:hAnsi="黑体" w:cs="黑体" w:eastAsia="黑体" w:hint="default"/>
                <w:spacing w:val="80"/>
                <w:w w:val="95"/>
                <w:sz w:val="20"/>
                <w:szCs w:val="20"/>
              </w:rPr>
            </w:r>
            <w:r>
              <w:rPr>
                <w:rFonts w:ascii="黑体" w:hAnsi="黑体" w:cs="黑体" w:eastAsia="黑体" w:hint="default"/>
                <w:sz w:val="20"/>
                <w:szCs w:val="20"/>
              </w:rPr>
              <w:t>支付的现金</w:t>
            </w:r>
          </w:p>
        </w:tc>
        <w:tc>
          <w:tcPr>
            <w:tcW w:w="955"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tabs>
                <w:tab w:pos="268" w:val="left" w:leader="none"/>
              </w:tabs>
              <w:spacing w:line="240" w:lineRule="auto" w:before="153"/>
              <w:ind w:right="7"/>
              <w:jc w:val="right"/>
              <w:rPr>
                <w:rFonts w:ascii="Arial" w:hAnsi="Arial" w:cs="Arial" w:eastAsia="Arial" w:hint="default"/>
                <w:sz w:val="20"/>
                <w:szCs w:val="20"/>
              </w:rPr>
            </w:pPr>
            <w:r>
              <w:rPr>
                <w:rFonts w:ascii="Arial"/>
                <w:w w:val="95"/>
                <w:sz w:val="20"/>
              </w:rPr>
              <w:t>(</w:t>
              <w:tab/>
            </w:r>
            <w:r>
              <w:rPr>
                <w:rFonts w:ascii="Arial"/>
                <w:spacing w:val="-1"/>
                <w:sz w:val="20"/>
              </w:rPr>
              <w:t>364,837,552</w:t>
            </w:r>
          </w:p>
        </w:tc>
        <w:tc>
          <w:tcPr>
            <w:tcW w:w="3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153"/>
              <w:ind w:left="7" w:right="0"/>
              <w:jc w:val="left"/>
              <w:rPr>
                <w:rFonts w:ascii="Arial" w:hAnsi="Arial" w:cs="Arial" w:eastAsia="Arial" w:hint="default"/>
                <w:sz w:val="20"/>
                <w:szCs w:val="20"/>
              </w:rPr>
            </w:pPr>
            <w:r>
              <w:rPr>
                <w:rFonts w:ascii="Arial"/>
                <w:w w:val="99"/>
                <w:sz w:val="20"/>
              </w:rPr>
              <w:t>)</w:t>
            </w:r>
            <w:r>
              <w:rPr>
                <w:rFonts w:ascii="Arial"/>
                <w:sz w:val="20"/>
              </w:rPr>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tabs>
                <w:tab w:pos="268" w:val="left" w:leader="none"/>
              </w:tabs>
              <w:spacing w:line="240" w:lineRule="auto" w:before="153"/>
              <w:ind w:right="12"/>
              <w:jc w:val="right"/>
              <w:rPr>
                <w:rFonts w:ascii="Arial" w:hAnsi="Arial" w:cs="Arial" w:eastAsia="Arial" w:hint="default"/>
                <w:sz w:val="20"/>
                <w:szCs w:val="20"/>
              </w:rPr>
            </w:pPr>
            <w:r>
              <w:rPr>
                <w:rFonts w:ascii="Arial"/>
                <w:w w:val="95"/>
                <w:sz w:val="20"/>
              </w:rPr>
              <w:t>(</w:t>
              <w:tab/>
            </w:r>
            <w:r>
              <w:rPr>
                <w:rFonts w:ascii="Arial"/>
                <w:spacing w:val="-1"/>
                <w:sz w:val="20"/>
              </w:rPr>
              <w:t>282,618,790</w:t>
            </w:r>
          </w:p>
        </w:tc>
        <w:tc>
          <w:tcPr>
            <w:tcW w:w="2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153"/>
              <w:ind w:left="14" w:right="0"/>
              <w:jc w:val="left"/>
              <w:rPr>
                <w:rFonts w:ascii="Arial" w:hAnsi="Arial" w:cs="Arial" w:eastAsia="Arial" w:hint="default"/>
                <w:sz w:val="20"/>
                <w:szCs w:val="20"/>
              </w:rPr>
            </w:pPr>
            <w:r>
              <w:rPr>
                <w:rFonts w:ascii="Arial"/>
                <w:w w:val="99"/>
                <w:sz w:val="20"/>
              </w:rPr>
              <w:t>)</w:t>
            </w:r>
            <w:r>
              <w:rPr>
                <w:rFonts w:ascii="Arial"/>
                <w:sz w:val="20"/>
              </w:rPr>
            </w:r>
          </w:p>
        </w:tc>
      </w:tr>
      <w:tr>
        <w:trPr>
          <w:trHeight w:val="286"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30" w:lineRule="exact"/>
              <w:ind w:left="200" w:right="0"/>
              <w:jc w:val="left"/>
              <w:rPr>
                <w:rFonts w:ascii="黑体" w:hAnsi="黑体" w:cs="黑体" w:eastAsia="黑体" w:hint="default"/>
                <w:sz w:val="20"/>
                <w:szCs w:val="20"/>
              </w:rPr>
            </w:pPr>
            <w:r>
              <w:rPr>
                <w:rFonts w:ascii="黑体" w:hAnsi="黑体" w:cs="黑体" w:eastAsia="黑体" w:hint="default"/>
                <w:sz w:val="20"/>
                <w:szCs w:val="20"/>
              </w:rPr>
              <w:t>取得子公司及其他营业单位支付的现金净额</w:t>
            </w:r>
          </w:p>
        </w:tc>
        <w:tc>
          <w:tcPr>
            <w:tcW w:w="955"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tabs>
                <w:tab w:pos="369" w:val="left" w:leader="none"/>
              </w:tabs>
              <w:spacing w:line="240" w:lineRule="auto" w:before="29"/>
              <w:ind w:right="9"/>
              <w:jc w:val="right"/>
              <w:rPr>
                <w:rFonts w:ascii="Arial" w:hAnsi="Arial" w:cs="Arial" w:eastAsia="Arial" w:hint="default"/>
                <w:sz w:val="20"/>
                <w:szCs w:val="20"/>
              </w:rPr>
            </w:pPr>
            <w:r>
              <w:rPr>
                <w:rFonts w:ascii="Arial"/>
                <w:w w:val="95"/>
                <w:sz w:val="20"/>
              </w:rPr>
              <w:t>(</w:t>
              <w:tab/>
            </w:r>
            <w:r>
              <w:rPr>
                <w:rFonts w:ascii="Arial"/>
                <w:spacing w:val="-1"/>
                <w:w w:val="95"/>
                <w:sz w:val="20"/>
              </w:rPr>
              <w:t>51,283,430</w:t>
            </w:r>
            <w:r>
              <w:rPr>
                <w:rFonts w:ascii="Arial"/>
                <w:sz w:val="20"/>
              </w:rPr>
            </w:r>
          </w:p>
        </w:tc>
        <w:tc>
          <w:tcPr>
            <w:tcW w:w="32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7" w:right="0"/>
              <w:jc w:val="left"/>
              <w:rPr>
                <w:rFonts w:ascii="Arial" w:hAnsi="Arial" w:cs="Arial" w:eastAsia="Arial" w:hint="default"/>
                <w:sz w:val="20"/>
                <w:szCs w:val="20"/>
              </w:rPr>
            </w:pPr>
            <w:r>
              <w:rPr>
                <w:rFonts w:ascii="Arial"/>
                <w:w w:val="99"/>
                <w:sz w:val="20"/>
              </w:rPr>
              <w:t>)</w:t>
            </w:r>
            <w:r>
              <w:rPr>
                <w:rFonts w:ascii="Arial"/>
                <w:sz w:val="20"/>
              </w:rPr>
            </w:r>
          </w:p>
        </w:tc>
        <w:tc>
          <w:tcPr>
            <w:tcW w:w="1642" w:type="dxa"/>
            <w:tcBorders>
              <w:top w:val="nil" w:sz="6" w:space="0" w:color="auto"/>
              <w:left w:val="nil" w:sz="6" w:space="0" w:color="auto"/>
              <w:bottom w:val="nil" w:sz="6" w:space="0" w:color="auto"/>
              <w:right w:val="nil" w:sz="6" w:space="0" w:color="auto"/>
            </w:tcBorders>
          </w:tcPr>
          <w:p>
            <w:pPr>
              <w:pStyle w:val="TableParagraph"/>
              <w:tabs>
                <w:tab w:pos="268" w:val="left" w:leader="none"/>
              </w:tabs>
              <w:spacing w:line="240" w:lineRule="auto" w:before="29"/>
              <w:ind w:right="12"/>
              <w:jc w:val="right"/>
              <w:rPr>
                <w:rFonts w:ascii="Arial" w:hAnsi="Arial" w:cs="Arial" w:eastAsia="Arial" w:hint="default"/>
                <w:sz w:val="20"/>
                <w:szCs w:val="20"/>
              </w:rPr>
            </w:pPr>
            <w:r>
              <w:rPr>
                <w:rFonts w:ascii="Arial"/>
                <w:w w:val="95"/>
                <w:sz w:val="20"/>
              </w:rPr>
              <w:t>(</w:t>
              <w:tab/>
            </w:r>
            <w:r>
              <w:rPr>
                <w:rFonts w:ascii="Arial"/>
                <w:spacing w:val="-1"/>
                <w:sz w:val="20"/>
              </w:rPr>
              <w:t>336,116,445</w:t>
            </w:r>
          </w:p>
        </w:tc>
        <w:tc>
          <w:tcPr>
            <w:tcW w:w="281"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4" w:right="0"/>
              <w:jc w:val="left"/>
              <w:rPr>
                <w:rFonts w:ascii="Arial" w:hAnsi="Arial" w:cs="Arial" w:eastAsia="Arial" w:hint="default"/>
                <w:sz w:val="20"/>
                <w:szCs w:val="20"/>
              </w:rPr>
            </w:pPr>
            <w:r>
              <w:rPr>
                <w:rFonts w:ascii="Arial"/>
                <w:w w:val="99"/>
                <w:sz w:val="20"/>
              </w:rPr>
              <w:t>)</w:t>
            </w:r>
            <w:r>
              <w:rPr>
                <w:rFonts w:ascii="Arial"/>
                <w:sz w:val="20"/>
              </w:rPr>
            </w:r>
          </w:p>
        </w:tc>
      </w:tr>
      <w:tr>
        <w:trPr>
          <w:trHeight w:val="425"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30" w:lineRule="exact"/>
              <w:ind w:left="200" w:right="0"/>
              <w:jc w:val="left"/>
              <w:rPr>
                <w:rFonts w:ascii="黑体" w:hAnsi="黑体" w:cs="黑体" w:eastAsia="黑体" w:hint="default"/>
                <w:sz w:val="20"/>
                <w:szCs w:val="20"/>
              </w:rPr>
            </w:pPr>
            <w:r>
              <w:rPr>
                <w:rFonts w:ascii="黑体" w:hAnsi="黑体" w:cs="黑体" w:eastAsia="黑体" w:hint="default"/>
                <w:sz w:val="20"/>
                <w:szCs w:val="20"/>
              </w:rPr>
              <w:t>投资支付的现金</w:t>
            </w:r>
          </w:p>
        </w:tc>
        <w:tc>
          <w:tcPr>
            <w:tcW w:w="955"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tabs>
                <w:tab w:pos="467" w:val="left" w:leader="none"/>
              </w:tabs>
              <w:spacing w:line="240" w:lineRule="auto" w:before="26"/>
              <w:ind w:right="7"/>
              <w:jc w:val="right"/>
              <w:rPr>
                <w:rFonts w:ascii="Arial" w:hAnsi="Arial" w:cs="Arial" w:eastAsia="Arial" w:hint="default"/>
                <w:sz w:val="20"/>
                <w:szCs w:val="20"/>
              </w:rPr>
            </w:pPr>
            <w:r>
              <w:rPr>
                <w:rFonts w:ascii="Arial"/>
                <w:w w:val="95"/>
                <w:sz w:val="20"/>
              </w:rPr>
              <w:t>(</w:t>
            </w:r>
            <w:r>
              <w:rPr>
                <w:rFonts w:ascii="Arial"/>
                <w:w w:val="95"/>
                <w:sz w:val="20"/>
                <w:u w:val="single" w:color="000000"/>
              </w:rPr>
              <w:t> </w:t>
              <w:tab/>
            </w:r>
            <w:r>
              <w:rPr>
                <w:rFonts w:ascii="Arial"/>
                <w:spacing w:val="-1"/>
                <w:w w:val="95"/>
                <w:sz w:val="20"/>
                <w:u w:val="single" w:color="000000"/>
              </w:rPr>
              <w:t>5,839,663</w:t>
            </w:r>
            <w:r>
              <w:rPr>
                <w:rFonts w:ascii="Arial"/>
                <w:spacing w:val="-1"/>
                <w:w w:val="95"/>
                <w:sz w:val="20"/>
              </w:rPr>
            </w:r>
            <w:r>
              <w:rPr>
                <w:rFonts w:ascii="Arial"/>
                <w:sz w:val="20"/>
              </w:rPr>
            </w:r>
          </w:p>
        </w:tc>
        <w:tc>
          <w:tcPr>
            <w:tcW w:w="32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7" w:right="0"/>
              <w:jc w:val="left"/>
              <w:rPr>
                <w:rFonts w:ascii="Arial" w:hAnsi="Arial" w:cs="Arial" w:eastAsia="Arial" w:hint="default"/>
                <w:sz w:val="20"/>
                <w:szCs w:val="20"/>
              </w:rPr>
            </w:pPr>
            <w:r>
              <w:rPr>
                <w:rFonts w:ascii="Arial"/>
                <w:w w:val="99"/>
                <w:sz w:val="20"/>
              </w:rPr>
              <w:t>)</w:t>
            </w:r>
            <w:r>
              <w:rPr>
                <w:rFonts w:ascii="Arial"/>
                <w:sz w:val="20"/>
              </w:rPr>
            </w:r>
          </w:p>
        </w:tc>
        <w:tc>
          <w:tcPr>
            <w:tcW w:w="1642" w:type="dxa"/>
            <w:tcBorders>
              <w:top w:val="nil" w:sz="6" w:space="0" w:color="auto"/>
              <w:left w:val="nil" w:sz="6" w:space="0" w:color="auto"/>
              <w:bottom w:val="nil" w:sz="6" w:space="0" w:color="auto"/>
              <w:right w:val="nil" w:sz="6" w:space="0" w:color="auto"/>
            </w:tcBorders>
          </w:tcPr>
          <w:p>
            <w:pPr>
              <w:pStyle w:val="TableParagraph"/>
              <w:tabs>
                <w:tab w:pos="369" w:val="left" w:leader="none"/>
              </w:tabs>
              <w:spacing w:line="240" w:lineRule="auto" w:before="26"/>
              <w:ind w:right="12"/>
              <w:jc w:val="right"/>
              <w:rPr>
                <w:rFonts w:ascii="Arial" w:hAnsi="Arial" w:cs="Arial" w:eastAsia="Arial" w:hint="default"/>
                <w:sz w:val="20"/>
                <w:szCs w:val="20"/>
              </w:rPr>
            </w:pPr>
            <w:r>
              <w:rPr>
                <w:rFonts w:ascii="Arial"/>
                <w:w w:val="95"/>
                <w:sz w:val="20"/>
              </w:rPr>
              <w:t>(</w:t>
            </w:r>
            <w:r>
              <w:rPr>
                <w:rFonts w:ascii="Arial"/>
                <w:w w:val="95"/>
                <w:sz w:val="20"/>
                <w:u w:val="single" w:color="000000"/>
              </w:rPr>
              <w:t> </w:t>
              <w:tab/>
            </w:r>
            <w:r>
              <w:rPr>
                <w:rFonts w:ascii="Arial"/>
                <w:spacing w:val="-1"/>
                <w:w w:val="95"/>
                <w:sz w:val="20"/>
                <w:u w:val="single" w:color="000000"/>
              </w:rPr>
              <w:t>28,551,911</w:t>
            </w:r>
            <w:r>
              <w:rPr>
                <w:rFonts w:ascii="Arial"/>
                <w:spacing w:val="-1"/>
                <w:w w:val="95"/>
                <w:sz w:val="20"/>
              </w:rPr>
            </w:r>
            <w:r>
              <w:rPr>
                <w:rFonts w:ascii="Arial"/>
                <w:sz w:val="20"/>
              </w:rPr>
            </w:r>
          </w:p>
        </w:tc>
        <w:tc>
          <w:tcPr>
            <w:tcW w:w="28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 w:right="0"/>
              <w:jc w:val="left"/>
              <w:rPr>
                <w:rFonts w:ascii="Arial" w:hAnsi="Arial" w:cs="Arial" w:eastAsia="Arial" w:hint="default"/>
                <w:sz w:val="20"/>
                <w:szCs w:val="20"/>
              </w:rPr>
            </w:pPr>
            <w:r>
              <w:rPr>
                <w:rFonts w:ascii="Arial"/>
                <w:w w:val="99"/>
                <w:sz w:val="20"/>
              </w:rPr>
              <w:t>)</w:t>
            </w:r>
            <w:r>
              <w:rPr>
                <w:rFonts w:ascii="Arial"/>
                <w:sz w:val="20"/>
              </w:rPr>
            </w:r>
          </w:p>
        </w:tc>
      </w:tr>
      <w:tr>
        <w:trPr>
          <w:trHeight w:val="569"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00" w:right="0"/>
              <w:jc w:val="left"/>
              <w:rPr>
                <w:rFonts w:ascii="黑体" w:hAnsi="黑体" w:cs="黑体" w:eastAsia="黑体" w:hint="default"/>
                <w:sz w:val="20"/>
                <w:szCs w:val="20"/>
              </w:rPr>
            </w:pPr>
            <w:r>
              <w:rPr>
                <w:rFonts w:ascii="黑体" w:hAnsi="黑体" w:cs="黑体" w:eastAsia="黑体" w:hint="default"/>
                <w:sz w:val="20"/>
                <w:szCs w:val="20"/>
              </w:rPr>
              <w:t>投资活动现金流出小计</w:t>
            </w:r>
          </w:p>
        </w:tc>
        <w:tc>
          <w:tcPr>
            <w:tcW w:w="955"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7"/>
              <w:jc w:val="right"/>
              <w:rPr>
                <w:rFonts w:ascii="Arial" w:hAnsi="Arial" w:cs="Arial" w:eastAsia="Arial" w:hint="default"/>
                <w:sz w:val="20"/>
                <w:szCs w:val="20"/>
              </w:rPr>
            </w:pPr>
            <w:r>
              <w:rPr>
                <w:rFonts w:ascii="Arial"/>
                <w:sz w:val="20"/>
              </w:rPr>
              <w:t>(  </w:t>
            </w:r>
            <w:r>
              <w:rPr>
                <w:rFonts w:ascii="Arial"/>
                <w:spacing w:val="25"/>
                <w:sz w:val="20"/>
              </w:rPr>
              <w:t> </w:t>
            </w:r>
            <w:r>
              <w:rPr>
                <w:rFonts w:ascii="Arial"/>
                <w:spacing w:val="25"/>
                <w:sz w:val="20"/>
                <w:u w:val="single" w:color="000000"/>
              </w:rPr>
              <w:t> </w:t>
            </w:r>
            <w:r>
              <w:rPr>
                <w:rFonts w:ascii="Arial"/>
                <w:sz w:val="20"/>
                <w:u w:val="single" w:color="000000"/>
              </w:rPr>
              <w:t>421,960,645</w:t>
            </w:r>
            <w:r>
              <w:rPr>
                <w:rFonts w:ascii="Arial"/>
                <w:sz w:val="20"/>
              </w:rPr>
            </w:r>
          </w:p>
        </w:tc>
        <w:tc>
          <w:tcPr>
            <w:tcW w:w="324" w:type="dxa"/>
            <w:tcBorders>
              <w:top w:val="nil" w:sz="6" w:space="0" w:color="auto"/>
              <w:left w:val="nil" w:sz="6" w:space="0" w:color="auto"/>
              <w:bottom w:val="nil" w:sz="6" w:space="0" w:color="auto"/>
              <w:right w:val="nil" w:sz="6" w:space="0" w:color="auto"/>
            </w:tcBorders>
          </w:tcPr>
          <w:p>
            <w:pPr>
              <w:pStyle w:val="TableParagraph"/>
              <w:spacing w:line="240" w:lineRule="auto" w:before="170"/>
              <w:ind w:left="7" w:right="0"/>
              <w:jc w:val="left"/>
              <w:rPr>
                <w:rFonts w:ascii="Arial" w:hAnsi="Arial" w:cs="Arial" w:eastAsia="Arial" w:hint="default"/>
                <w:sz w:val="20"/>
                <w:szCs w:val="20"/>
              </w:rPr>
            </w:pPr>
            <w:r>
              <w:rPr>
                <w:rFonts w:ascii="Arial"/>
                <w:w w:val="99"/>
                <w:sz w:val="20"/>
              </w:rPr>
              <w:t>)</w:t>
            </w:r>
            <w:r>
              <w:rPr>
                <w:rFonts w:ascii="Arial"/>
                <w:sz w:val="20"/>
              </w:rPr>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12"/>
              <w:jc w:val="right"/>
              <w:rPr>
                <w:rFonts w:ascii="Arial" w:hAnsi="Arial" w:cs="Arial" w:eastAsia="Arial" w:hint="default"/>
                <w:sz w:val="20"/>
                <w:szCs w:val="20"/>
              </w:rPr>
            </w:pPr>
            <w:r>
              <w:rPr>
                <w:rFonts w:ascii="Arial"/>
                <w:sz w:val="20"/>
              </w:rPr>
              <w:t>(  </w:t>
            </w:r>
            <w:r>
              <w:rPr>
                <w:rFonts w:ascii="Arial"/>
                <w:spacing w:val="11"/>
                <w:sz w:val="20"/>
              </w:rPr>
              <w:t> </w:t>
            </w:r>
            <w:r>
              <w:rPr>
                <w:rFonts w:ascii="Arial"/>
                <w:spacing w:val="11"/>
                <w:sz w:val="20"/>
                <w:u w:val="single" w:color="000000"/>
              </w:rPr>
              <w:t> </w:t>
            </w:r>
            <w:r>
              <w:rPr>
                <w:rFonts w:ascii="Arial"/>
                <w:sz w:val="20"/>
                <w:u w:val="single" w:color="000000"/>
              </w:rPr>
              <w:t>647,287,146</w:t>
            </w:r>
            <w:r>
              <w:rPr>
                <w:rFonts w:ascii="Arial"/>
                <w:sz w:val="20"/>
              </w:rPr>
            </w:r>
          </w:p>
        </w:tc>
        <w:tc>
          <w:tcPr>
            <w:tcW w:w="281" w:type="dxa"/>
            <w:tcBorders>
              <w:top w:val="nil" w:sz="6" w:space="0" w:color="auto"/>
              <w:left w:val="nil" w:sz="6" w:space="0" w:color="auto"/>
              <w:bottom w:val="nil" w:sz="6" w:space="0" w:color="auto"/>
              <w:right w:val="nil" w:sz="6" w:space="0" w:color="auto"/>
            </w:tcBorders>
          </w:tcPr>
          <w:p>
            <w:pPr>
              <w:pStyle w:val="TableParagraph"/>
              <w:spacing w:line="240" w:lineRule="auto" w:before="170"/>
              <w:ind w:left="14" w:right="0"/>
              <w:jc w:val="left"/>
              <w:rPr>
                <w:rFonts w:ascii="Arial" w:hAnsi="Arial" w:cs="Arial" w:eastAsia="Arial" w:hint="default"/>
                <w:sz w:val="20"/>
                <w:szCs w:val="20"/>
              </w:rPr>
            </w:pPr>
            <w:r>
              <w:rPr>
                <w:rFonts w:ascii="Arial"/>
                <w:w w:val="99"/>
                <w:sz w:val="20"/>
              </w:rPr>
              <w:t>)</w:t>
            </w:r>
            <w:r>
              <w:rPr>
                <w:rFonts w:ascii="Arial"/>
                <w:sz w:val="20"/>
              </w:rPr>
            </w:r>
          </w:p>
        </w:tc>
      </w:tr>
      <w:tr>
        <w:trPr>
          <w:trHeight w:val="394" w:hRule="exact"/>
        </w:trPr>
        <w:tc>
          <w:tcPr>
            <w:tcW w:w="423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00" w:right="0"/>
              <w:jc w:val="left"/>
              <w:rPr>
                <w:rFonts w:ascii="黑体" w:hAnsi="黑体" w:cs="黑体" w:eastAsia="黑体" w:hint="default"/>
                <w:sz w:val="20"/>
                <w:szCs w:val="20"/>
              </w:rPr>
            </w:pPr>
            <w:r>
              <w:rPr>
                <w:rFonts w:ascii="黑体" w:hAnsi="黑体" w:cs="黑体" w:eastAsia="黑体" w:hint="default"/>
                <w:sz w:val="20"/>
                <w:szCs w:val="20"/>
              </w:rPr>
              <w:t>投资活动产生的现金流量净额</w:t>
            </w:r>
          </w:p>
        </w:tc>
        <w:tc>
          <w:tcPr>
            <w:tcW w:w="955"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19"/>
              <w:jc w:val="right"/>
              <w:rPr>
                <w:rFonts w:ascii="Arial" w:hAnsi="Arial" w:cs="Arial" w:eastAsia="Arial" w:hint="default"/>
                <w:sz w:val="20"/>
                <w:szCs w:val="20"/>
              </w:rPr>
            </w:pPr>
            <w:r>
              <w:rPr>
                <w:rFonts w:ascii="Arial"/>
                <w:sz w:val="20"/>
              </w:rPr>
              <w:t>(  </w:t>
            </w:r>
            <w:r>
              <w:rPr>
                <w:rFonts w:ascii="Arial"/>
                <w:spacing w:val="25"/>
                <w:sz w:val="20"/>
              </w:rPr>
              <w:t> </w:t>
            </w:r>
            <w:r>
              <w:rPr>
                <w:rFonts w:ascii="Arial"/>
                <w:spacing w:val="25"/>
                <w:sz w:val="20"/>
                <w:u w:val="single" w:color="000000"/>
              </w:rPr>
              <w:t> </w:t>
            </w:r>
            <w:r>
              <w:rPr>
                <w:rFonts w:ascii="Arial"/>
                <w:sz w:val="20"/>
                <w:u w:val="single" w:color="000000"/>
              </w:rPr>
              <w:t>406,028,415</w:t>
            </w:r>
            <w:r>
              <w:rPr>
                <w:rFonts w:ascii="Arial"/>
                <w:sz w:val="20"/>
              </w:rPr>
            </w:r>
          </w:p>
        </w:tc>
        <w:tc>
          <w:tcPr>
            <w:tcW w:w="324"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7" w:right="0"/>
              <w:jc w:val="left"/>
              <w:rPr>
                <w:rFonts w:ascii="Arial" w:hAnsi="Arial" w:cs="Arial" w:eastAsia="Arial" w:hint="default"/>
                <w:sz w:val="20"/>
                <w:szCs w:val="20"/>
              </w:rPr>
            </w:pPr>
            <w:r>
              <w:rPr>
                <w:rFonts w:ascii="Arial"/>
                <w:w w:val="99"/>
                <w:sz w:val="20"/>
              </w:rPr>
              <w:t>)</w:t>
            </w:r>
            <w:r>
              <w:rPr>
                <w:rFonts w:ascii="Arial"/>
                <w:sz w:val="20"/>
              </w:rPr>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12"/>
              <w:jc w:val="right"/>
              <w:rPr>
                <w:rFonts w:ascii="Arial" w:hAnsi="Arial" w:cs="Arial" w:eastAsia="Arial" w:hint="default"/>
                <w:sz w:val="20"/>
                <w:szCs w:val="20"/>
              </w:rPr>
            </w:pPr>
            <w:r>
              <w:rPr>
                <w:rFonts w:ascii="Arial"/>
                <w:sz w:val="20"/>
              </w:rPr>
              <w:t>(  </w:t>
            </w:r>
            <w:r>
              <w:rPr>
                <w:rFonts w:ascii="Arial"/>
                <w:spacing w:val="25"/>
                <w:sz w:val="20"/>
              </w:rPr>
              <w:t> </w:t>
            </w:r>
            <w:r>
              <w:rPr>
                <w:rFonts w:ascii="Arial"/>
                <w:spacing w:val="25"/>
                <w:sz w:val="20"/>
                <w:u w:val="single" w:color="000000"/>
              </w:rPr>
              <w:t> </w:t>
            </w:r>
            <w:r>
              <w:rPr>
                <w:rFonts w:ascii="Arial"/>
                <w:sz w:val="20"/>
                <w:u w:val="single" w:color="000000"/>
              </w:rPr>
              <w:t>628,697,920</w:t>
            </w:r>
            <w:r>
              <w:rPr>
                <w:rFonts w:ascii="Arial"/>
                <w:sz w:val="20"/>
              </w:rPr>
            </w:r>
          </w:p>
        </w:tc>
        <w:tc>
          <w:tcPr>
            <w:tcW w:w="281"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14" w:right="0"/>
              <w:jc w:val="left"/>
              <w:rPr>
                <w:rFonts w:ascii="Arial" w:hAnsi="Arial" w:cs="Arial" w:eastAsia="Arial" w:hint="default"/>
                <w:sz w:val="20"/>
                <w:szCs w:val="20"/>
              </w:rPr>
            </w:pPr>
            <w:r>
              <w:rPr>
                <w:rFonts w:ascii="Arial"/>
                <w:w w:val="99"/>
                <w:sz w:val="20"/>
              </w:rPr>
              <w:t>)</w:t>
            </w:r>
            <w:r>
              <w:rPr>
                <w:rFonts w:ascii="Arial"/>
                <w:sz w:val="20"/>
              </w:rPr>
            </w:r>
          </w:p>
        </w:tc>
      </w:tr>
    </w:tbl>
    <w:p>
      <w:pPr>
        <w:spacing w:after="0" w:line="240" w:lineRule="auto"/>
        <w:jc w:val="left"/>
        <w:rPr>
          <w:rFonts w:ascii="Arial" w:hAnsi="Arial" w:cs="Arial" w:eastAsia="Arial" w:hint="default"/>
          <w:sz w:val="20"/>
          <w:szCs w:val="20"/>
        </w:rPr>
        <w:sectPr>
          <w:headerReference w:type="default" r:id="rId45"/>
          <w:footerReference w:type="default" r:id="rId46"/>
          <w:pgSz w:w="11910" w:h="16850"/>
          <w:pgMar w:header="957" w:footer="823" w:top="1160" w:bottom="1020" w:left="1380" w:right="1220"/>
          <w:pgNumType w:start="8"/>
        </w:sectPr>
      </w:pPr>
    </w:p>
    <w:p>
      <w:pPr>
        <w:pStyle w:val="Heading4"/>
        <w:spacing w:line="292" w:lineRule="auto"/>
        <w:ind w:left="3860" w:right="3779" w:hanging="502"/>
        <w:jc w:val="left"/>
        <w:rPr>
          <w:b w:val="0"/>
          <w:bCs w:val="0"/>
        </w:rPr>
      </w:pPr>
      <w:r>
        <w:rPr/>
        <w:t>合并现金流量表(续)</w:t>
      </w:r>
      <w:r>
        <w:rPr>
          <w:w w:val="99"/>
        </w:rPr>
        <w:t> </w:t>
      </w:r>
      <w:r>
        <w:rPr>
          <w:rFonts w:ascii="Arial" w:hAnsi="Arial" w:cs="Arial" w:eastAsia="Arial" w:hint="default"/>
        </w:rPr>
        <w:t>2012</w:t>
      </w:r>
      <w:r>
        <w:rPr>
          <w:rFonts w:ascii="Arial" w:hAnsi="Arial" w:cs="Arial" w:eastAsia="Arial" w:hint="default"/>
          <w:spacing w:val="-8"/>
        </w:rPr>
        <w:t> </w:t>
      </w:r>
      <w:r>
        <w:rPr/>
        <w:t>年度</w:t>
      </w:r>
      <w:r>
        <w:rPr>
          <w:w w:val="99"/>
        </w:rPr>
        <w:t> </w:t>
      </w:r>
      <w:r>
        <w:rPr/>
        <w:t>人民币元</w:t>
      </w:r>
      <w:r>
        <w:rPr>
          <w:b w:val="0"/>
          <w:bCs w:val="0"/>
        </w:rPr>
      </w:r>
    </w:p>
    <w:p>
      <w:pPr>
        <w:spacing w:line="240" w:lineRule="auto" w:before="9"/>
        <w:rPr>
          <w:rFonts w:ascii="黑体" w:hAnsi="黑体" w:cs="黑体" w:eastAsia="黑体" w:hint="default"/>
          <w:b/>
          <w:bCs/>
          <w:sz w:val="16"/>
          <w:szCs w:val="16"/>
        </w:rPr>
      </w:pPr>
    </w:p>
    <w:tbl>
      <w:tblPr>
        <w:tblW w:w="0" w:type="auto"/>
        <w:jc w:val="left"/>
        <w:tblInd w:w="101" w:type="dxa"/>
        <w:tblLayout w:type="fixed"/>
        <w:tblCellMar>
          <w:top w:w="0" w:type="dxa"/>
          <w:left w:w="0" w:type="dxa"/>
          <w:bottom w:w="0" w:type="dxa"/>
          <w:right w:w="0" w:type="dxa"/>
        </w:tblCellMar>
        <w:tblLook w:val="01E0"/>
      </w:tblPr>
      <w:tblGrid>
        <w:gridCol w:w="4264"/>
        <w:gridCol w:w="901"/>
        <w:gridCol w:w="1577"/>
        <w:gridCol w:w="291"/>
        <w:gridCol w:w="1612"/>
        <w:gridCol w:w="295"/>
      </w:tblGrid>
      <w:tr>
        <w:trPr>
          <w:trHeight w:val="820" w:hRule="exact"/>
        </w:trPr>
        <w:tc>
          <w:tcPr>
            <w:tcW w:w="4264" w:type="dxa"/>
            <w:tcBorders>
              <w:top w:val="single" w:sz="6" w:space="0" w:color="000000"/>
              <w:left w:val="nil" w:sz="6" w:space="0" w:color="auto"/>
              <w:bottom w:val="nil" w:sz="6" w:space="0" w:color="auto"/>
              <w:right w:val="nil" w:sz="6" w:space="0" w:color="auto"/>
            </w:tcBorders>
          </w:tcPr>
          <w:p>
            <w:pPr/>
          </w:p>
        </w:tc>
        <w:tc>
          <w:tcPr>
            <w:tcW w:w="901"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b/>
                <w:bCs/>
                <w:sz w:val="27"/>
                <w:szCs w:val="27"/>
              </w:rPr>
            </w:pPr>
          </w:p>
          <w:p>
            <w:pPr>
              <w:pStyle w:val="TableParagraph"/>
              <w:spacing w:line="240" w:lineRule="auto"/>
              <w:ind w:right="245"/>
              <w:jc w:val="center"/>
              <w:rPr>
                <w:rFonts w:ascii="黑体" w:hAnsi="黑体" w:cs="黑体" w:eastAsia="黑体" w:hint="default"/>
                <w:sz w:val="20"/>
                <w:szCs w:val="20"/>
              </w:rPr>
            </w:pPr>
            <w:r>
              <w:rPr>
                <w:rFonts w:ascii="黑体" w:hAnsi="黑体" w:cs="黑体" w:eastAsia="黑体" w:hint="default"/>
                <w:b/>
                <w:bCs/>
                <w:spacing w:val="2"/>
                <w:sz w:val="20"/>
                <w:szCs w:val="20"/>
              </w:rPr>
              <w:t>附注五</w:t>
            </w:r>
            <w:r>
              <w:rPr>
                <w:rFonts w:ascii="黑体" w:hAnsi="黑体" w:cs="黑体" w:eastAsia="黑体" w:hint="default"/>
                <w:sz w:val="20"/>
                <w:szCs w:val="20"/>
              </w:rPr>
            </w:r>
          </w:p>
        </w:tc>
        <w:tc>
          <w:tcPr>
            <w:tcW w:w="1577"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b/>
                <w:bCs/>
                <w:sz w:val="27"/>
                <w:szCs w:val="27"/>
              </w:rPr>
            </w:pPr>
          </w:p>
          <w:p>
            <w:pPr>
              <w:pStyle w:val="TableParagraph"/>
              <w:spacing w:line="240" w:lineRule="auto"/>
              <w:ind w:right="29"/>
              <w:jc w:val="right"/>
              <w:rPr>
                <w:rFonts w:ascii="黑体" w:hAnsi="黑体" w:cs="黑体" w:eastAsia="黑体" w:hint="default"/>
                <w:sz w:val="20"/>
                <w:szCs w:val="20"/>
              </w:rPr>
            </w:pPr>
            <w:r>
              <w:rPr>
                <w:rFonts w:ascii="Arial" w:hAnsi="Arial" w:cs="Arial" w:eastAsia="Arial" w:hint="default"/>
                <w:b/>
                <w:bCs/>
                <w:spacing w:val="-1"/>
                <w:w w:val="95"/>
                <w:sz w:val="20"/>
                <w:szCs w:val="20"/>
              </w:rPr>
              <w:t>2012</w:t>
            </w:r>
            <w:r>
              <w:rPr>
                <w:rFonts w:ascii="黑体" w:hAnsi="黑体" w:cs="黑体" w:eastAsia="黑体" w:hint="default"/>
                <w:b/>
                <w:bCs/>
                <w:spacing w:val="-1"/>
                <w:w w:val="95"/>
                <w:sz w:val="20"/>
                <w:szCs w:val="20"/>
              </w:rPr>
              <w:t>年</w:t>
            </w:r>
            <w:r>
              <w:rPr>
                <w:rFonts w:ascii="黑体" w:hAnsi="黑体" w:cs="黑体" w:eastAsia="黑体" w:hint="default"/>
                <w:spacing w:val="-1"/>
                <w:sz w:val="20"/>
                <w:szCs w:val="20"/>
              </w:rPr>
            </w:r>
          </w:p>
        </w:tc>
        <w:tc>
          <w:tcPr>
            <w:tcW w:w="291" w:type="dxa"/>
            <w:tcBorders>
              <w:top w:val="single" w:sz="6" w:space="0" w:color="000000"/>
              <w:left w:val="nil" w:sz="6" w:space="0" w:color="auto"/>
              <w:bottom w:val="nil" w:sz="6" w:space="0" w:color="auto"/>
              <w:right w:val="nil" w:sz="6" w:space="0" w:color="auto"/>
            </w:tcBorders>
          </w:tcPr>
          <w:p>
            <w:pPr/>
          </w:p>
        </w:tc>
        <w:tc>
          <w:tcPr>
            <w:tcW w:w="1612"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b/>
                <w:bCs/>
                <w:sz w:val="27"/>
                <w:szCs w:val="27"/>
              </w:rPr>
            </w:pPr>
          </w:p>
          <w:p>
            <w:pPr>
              <w:pStyle w:val="TableParagraph"/>
              <w:spacing w:line="240" w:lineRule="auto"/>
              <w:ind w:right="29"/>
              <w:jc w:val="right"/>
              <w:rPr>
                <w:rFonts w:ascii="黑体" w:hAnsi="黑体" w:cs="黑体" w:eastAsia="黑体" w:hint="default"/>
                <w:sz w:val="20"/>
                <w:szCs w:val="20"/>
              </w:rPr>
            </w:pPr>
            <w:r>
              <w:rPr>
                <w:rFonts w:ascii="Arial" w:hAnsi="Arial" w:cs="Arial" w:eastAsia="Arial" w:hint="default"/>
                <w:b/>
                <w:bCs/>
                <w:spacing w:val="-1"/>
                <w:w w:val="95"/>
                <w:sz w:val="20"/>
                <w:szCs w:val="20"/>
              </w:rPr>
              <w:t>2011</w:t>
            </w:r>
            <w:r>
              <w:rPr>
                <w:rFonts w:ascii="黑体" w:hAnsi="黑体" w:cs="黑体" w:eastAsia="黑体" w:hint="default"/>
                <w:b/>
                <w:bCs/>
                <w:spacing w:val="-1"/>
                <w:w w:val="95"/>
                <w:sz w:val="20"/>
                <w:szCs w:val="20"/>
              </w:rPr>
              <w:t>年</w:t>
            </w:r>
            <w:r>
              <w:rPr>
                <w:rFonts w:ascii="黑体" w:hAnsi="黑体" w:cs="黑体" w:eastAsia="黑体" w:hint="default"/>
                <w:spacing w:val="-1"/>
                <w:sz w:val="20"/>
                <w:szCs w:val="20"/>
              </w:rPr>
            </w:r>
          </w:p>
        </w:tc>
        <w:tc>
          <w:tcPr>
            <w:tcW w:w="295" w:type="dxa"/>
            <w:tcBorders>
              <w:top w:val="nil" w:sz="6" w:space="0" w:color="auto"/>
              <w:left w:val="nil" w:sz="6" w:space="0" w:color="auto"/>
              <w:bottom w:val="nil" w:sz="6" w:space="0" w:color="auto"/>
              <w:right w:val="nil" w:sz="6" w:space="0" w:color="auto"/>
            </w:tcBorders>
          </w:tcPr>
          <w:p>
            <w:pPr/>
          </w:p>
        </w:tc>
      </w:tr>
      <w:tr>
        <w:trPr>
          <w:trHeight w:val="571" w:hRule="exact"/>
        </w:trPr>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27" w:right="0"/>
              <w:jc w:val="left"/>
              <w:rPr>
                <w:rFonts w:ascii="Arial" w:hAnsi="Arial" w:cs="Arial" w:eastAsia="Arial" w:hint="default"/>
                <w:sz w:val="20"/>
                <w:szCs w:val="20"/>
              </w:rPr>
            </w:pPr>
            <w:r>
              <w:rPr>
                <w:rFonts w:ascii="黑体" w:hAnsi="黑体" w:cs="黑体" w:eastAsia="黑体" w:hint="default"/>
                <w:sz w:val="20"/>
                <w:szCs w:val="20"/>
              </w:rPr>
              <w:t>三、筹资活动产生的现金流量</w:t>
            </w:r>
            <w:r>
              <w:rPr>
                <w:rFonts w:ascii="Arial" w:hAnsi="Arial" w:cs="Arial" w:eastAsia="Arial" w:hint="default"/>
                <w:sz w:val="20"/>
                <w:szCs w:val="20"/>
              </w:rPr>
              <w:t>:</w:t>
            </w:r>
          </w:p>
        </w:tc>
        <w:tc>
          <w:tcPr>
            <w:tcW w:w="901"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
        </w:tc>
        <w:tc>
          <w:tcPr>
            <w:tcW w:w="291" w:type="dxa"/>
            <w:tcBorders>
              <w:top w:val="nil" w:sz="6" w:space="0" w:color="auto"/>
              <w:left w:val="nil" w:sz="6" w:space="0" w:color="auto"/>
              <w:bottom w:val="nil" w:sz="6" w:space="0" w:color="auto"/>
              <w:right w:val="nil" w:sz="6" w:space="0" w:color="auto"/>
            </w:tcBorders>
          </w:tcPr>
          <w:p>
            <w:pPr/>
          </w:p>
        </w:tc>
        <w:tc>
          <w:tcPr>
            <w:tcW w:w="1612" w:type="dxa"/>
            <w:tcBorders>
              <w:top w:val="nil" w:sz="6" w:space="0" w:color="auto"/>
              <w:left w:val="nil" w:sz="6" w:space="0" w:color="auto"/>
              <w:bottom w:val="nil" w:sz="6" w:space="0" w:color="auto"/>
              <w:right w:val="nil" w:sz="6" w:space="0" w:color="auto"/>
            </w:tcBorders>
          </w:tcPr>
          <w:p>
            <w:pPr/>
          </w:p>
        </w:tc>
        <w:tc>
          <w:tcPr>
            <w:tcW w:w="295" w:type="dxa"/>
            <w:tcBorders>
              <w:top w:val="nil" w:sz="6" w:space="0" w:color="auto"/>
              <w:left w:val="nil" w:sz="6" w:space="0" w:color="auto"/>
              <w:bottom w:val="nil" w:sz="6" w:space="0" w:color="auto"/>
              <w:right w:val="nil" w:sz="6" w:space="0" w:color="auto"/>
            </w:tcBorders>
          </w:tcPr>
          <w:p>
            <w:pPr/>
          </w:p>
        </w:tc>
      </w:tr>
      <w:tr>
        <w:trPr>
          <w:trHeight w:val="432" w:hRule="exact"/>
        </w:trPr>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27" w:right="0"/>
              <w:jc w:val="left"/>
              <w:rPr>
                <w:rFonts w:ascii="黑体" w:hAnsi="黑体" w:cs="黑体" w:eastAsia="黑体" w:hint="default"/>
                <w:sz w:val="20"/>
                <w:szCs w:val="20"/>
              </w:rPr>
            </w:pPr>
            <w:r>
              <w:rPr>
                <w:rFonts w:ascii="黑体" w:hAnsi="黑体" w:cs="黑体" w:eastAsia="黑体" w:hint="default"/>
                <w:sz w:val="20"/>
                <w:szCs w:val="20"/>
              </w:rPr>
              <w:t>吸收投资所收到的现金</w:t>
            </w:r>
          </w:p>
        </w:tc>
        <w:tc>
          <w:tcPr>
            <w:tcW w:w="901"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75"/>
              <w:ind w:right="27"/>
              <w:jc w:val="right"/>
              <w:rPr>
                <w:rFonts w:ascii="Arial" w:hAnsi="Arial" w:cs="Arial" w:eastAsia="Arial" w:hint="default"/>
                <w:sz w:val="20"/>
                <w:szCs w:val="20"/>
              </w:rPr>
            </w:pPr>
            <w:r>
              <w:rPr>
                <w:rFonts w:ascii="Arial"/>
                <w:spacing w:val="-1"/>
                <w:sz w:val="20"/>
              </w:rPr>
              <w:t>19,634,994</w:t>
            </w:r>
            <w:r>
              <w:rPr>
                <w:rFonts w:ascii="Arial"/>
                <w:sz w:val="20"/>
              </w:rPr>
            </w:r>
          </w:p>
        </w:tc>
        <w:tc>
          <w:tcPr>
            <w:tcW w:w="291" w:type="dxa"/>
            <w:tcBorders>
              <w:top w:val="nil" w:sz="6" w:space="0" w:color="auto"/>
              <w:left w:val="nil" w:sz="6" w:space="0" w:color="auto"/>
              <w:bottom w:val="nil" w:sz="6" w:space="0" w:color="auto"/>
              <w:right w:val="nil" w:sz="6" w:space="0" w:color="auto"/>
            </w:tcBorders>
          </w:tcPr>
          <w:p>
            <w:pP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175"/>
              <w:ind w:right="27"/>
              <w:jc w:val="right"/>
              <w:rPr>
                <w:rFonts w:ascii="Arial" w:hAnsi="Arial" w:cs="Arial" w:eastAsia="Arial" w:hint="default"/>
                <w:sz w:val="20"/>
                <w:szCs w:val="20"/>
              </w:rPr>
            </w:pPr>
            <w:r>
              <w:rPr>
                <w:rFonts w:ascii="Arial"/>
                <w:spacing w:val="-1"/>
                <w:sz w:val="20"/>
              </w:rPr>
              <w:t>70,919,920</w:t>
            </w:r>
            <w:r>
              <w:rPr>
                <w:rFonts w:ascii="Arial"/>
                <w:sz w:val="20"/>
              </w:rPr>
            </w:r>
          </w:p>
        </w:tc>
        <w:tc>
          <w:tcPr>
            <w:tcW w:w="295" w:type="dxa"/>
            <w:tcBorders>
              <w:top w:val="nil" w:sz="6" w:space="0" w:color="auto"/>
              <w:left w:val="nil" w:sz="6" w:space="0" w:color="auto"/>
              <w:bottom w:val="nil" w:sz="6" w:space="0" w:color="auto"/>
              <w:right w:val="nil" w:sz="6" w:space="0" w:color="auto"/>
            </w:tcBorders>
          </w:tcPr>
          <w:p>
            <w:pPr/>
          </w:p>
        </w:tc>
      </w:tr>
      <w:tr>
        <w:trPr>
          <w:trHeight w:val="426" w:hRule="exact"/>
        </w:trPr>
        <w:tc>
          <w:tcPr>
            <w:tcW w:w="4264" w:type="dxa"/>
            <w:tcBorders>
              <w:top w:val="nil" w:sz="6" w:space="0" w:color="auto"/>
              <w:left w:val="nil" w:sz="6" w:space="0" w:color="auto"/>
              <w:bottom w:val="nil" w:sz="6" w:space="0" w:color="auto"/>
              <w:right w:val="nil" w:sz="6" w:space="0" w:color="auto"/>
            </w:tcBorders>
          </w:tcPr>
          <w:p>
            <w:pPr>
              <w:pStyle w:val="TableParagraph"/>
              <w:spacing w:line="230" w:lineRule="exact"/>
              <w:ind w:left="27" w:right="0"/>
              <w:jc w:val="left"/>
              <w:rPr>
                <w:rFonts w:ascii="黑体" w:hAnsi="黑体" w:cs="黑体" w:eastAsia="黑体" w:hint="default"/>
                <w:sz w:val="20"/>
                <w:szCs w:val="20"/>
              </w:rPr>
            </w:pPr>
            <w:r>
              <w:rPr>
                <w:rFonts w:ascii="黑体" w:hAnsi="黑体" w:cs="黑体" w:eastAsia="黑体" w:hint="default"/>
                <w:sz w:val="20"/>
                <w:szCs w:val="20"/>
              </w:rPr>
              <w:t>取得借款所收到的现金</w:t>
            </w:r>
          </w:p>
        </w:tc>
        <w:tc>
          <w:tcPr>
            <w:tcW w:w="901"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7"/>
              <w:jc w:val="right"/>
              <w:rPr>
                <w:rFonts w:ascii="Arial" w:hAnsi="Arial" w:cs="Arial" w:eastAsia="Arial" w:hint="default"/>
                <w:sz w:val="20"/>
                <w:szCs w:val="20"/>
              </w:rPr>
            </w:pPr>
            <w:r>
              <w:rPr>
                <w:rFonts w:ascii="Arial"/>
                <w:w w:val="99"/>
                <w:sz w:val="20"/>
              </w:rPr>
            </w:r>
            <w:r>
              <w:rPr>
                <w:rFonts w:ascii="Arial"/>
                <w:spacing w:val="-1"/>
                <w:sz w:val="20"/>
                <w:u w:val="single" w:color="000000"/>
              </w:rPr>
              <w:t>2,468,763,319</w:t>
            </w:r>
            <w:r>
              <w:rPr>
                <w:rFonts w:ascii="Arial"/>
                <w:spacing w:val="-1"/>
                <w:sz w:val="20"/>
              </w:rPr>
            </w:r>
            <w:r>
              <w:rPr>
                <w:rFonts w:ascii="Arial"/>
                <w:sz w:val="20"/>
              </w:rPr>
            </w:r>
          </w:p>
        </w:tc>
        <w:tc>
          <w:tcPr>
            <w:tcW w:w="291" w:type="dxa"/>
            <w:tcBorders>
              <w:top w:val="nil" w:sz="6" w:space="0" w:color="auto"/>
              <w:left w:val="nil" w:sz="6" w:space="0" w:color="auto"/>
              <w:bottom w:val="nil" w:sz="6" w:space="0" w:color="auto"/>
              <w:right w:val="nil" w:sz="6" w:space="0" w:color="auto"/>
            </w:tcBorders>
          </w:tcPr>
          <w:p>
            <w:pP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6"/>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1"/>
                <w:sz w:val="20"/>
                <w:u w:val="single" w:color="000000"/>
              </w:rPr>
              <w:t> </w:t>
            </w:r>
            <w:r>
              <w:rPr>
                <w:rFonts w:ascii="Arial"/>
                <w:spacing w:val="-1"/>
                <w:sz w:val="20"/>
                <w:u w:val="single" w:color="000000"/>
              </w:rPr>
              <w:t>710,000,000</w:t>
            </w:r>
            <w:r>
              <w:rPr>
                <w:rFonts w:ascii="Arial"/>
                <w:spacing w:val="-1"/>
                <w:sz w:val="20"/>
              </w:rPr>
            </w:r>
          </w:p>
        </w:tc>
        <w:tc>
          <w:tcPr>
            <w:tcW w:w="295" w:type="dxa"/>
            <w:tcBorders>
              <w:top w:val="nil" w:sz="6" w:space="0" w:color="auto"/>
              <w:left w:val="nil" w:sz="6" w:space="0" w:color="auto"/>
              <w:bottom w:val="nil" w:sz="6" w:space="0" w:color="auto"/>
              <w:right w:val="nil" w:sz="6" w:space="0" w:color="auto"/>
            </w:tcBorders>
          </w:tcPr>
          <w:p>
            <w:pPr/>
          </w:p>
        </w:tc>
      </w:tr>
      <w:tr>
        <w:trPr>
          <w:trHeight w:val="568" w:hRule="exact"/>
        </w:trPr>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7" w:right="0"/>
              <w:jc w:val="left"/>
              <w:rPr>
                <w:rFonts w:ascii="黑体" w:hAnsi="黑体" w:cs="黑体" w:eastAsia="黑体" w:hint="default"/>
                <w:sz w:val="20"/>
                <w:szCs w:val="20"/>
              </w:rPr>
            </w:pPr>
            <w:r>
              <w:rPr>
                <w:rFonts w:ascii="黑体" w:hAnsi="黑体" w:cs="黑体" w:eastAsia="黑体" w:hint="default"/>
                <w:sz w:val="20"/>
                <w:szCs w:val="20"/>
              </w:rPr>
              <w:t>筹资活动现金流入小计</w:t>
            </w:r>
          </w:p>
        </w:tc>
        <w:tc>
          <w:tcPr>
            <w:tcW w:w="901"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27"/>
              <w:jc w:val="right"/>
              <w:rPr>
                <w:rFonts w:ascii="Arial" w:hAnsi="Arial" w:cs="Arial" w:eastAsia="Arial" w:hint="default"/>
                <w:sz w:val="20"/>
                <w:szCs w:val="20"/>
              </w:rPr>
            </w:pPr>
            <w:r>
              <w:rPr>
                <w:rFonts w:ascii="Arial"/>
                <w:w w:val="99"/>
                <w:sz w:val="20"/>
              </w:rPr>
            </w:r>
            <w:r>
              <w:rPr>
                <w:rFonts w:ascii="Arial"/>
                <w:spacing w:val="-1"/>
                <w:sz w:val="20"/>
                <w:u w:val="single" w:color="000000"/>
              </w:rPr>
              <w:t>2,488,398,313</w:t>
            </w:r>
            <w:r>
              <w:rPr>
                <w:rFonts w:ascii="Arial"/>
                <w:spacing w:val="-1"/>
                <w:sz w:val="20"/>
              </w:rPr>
            </w:r>
            <w:r>
              <w:rPr>
                <w:rFonts w:ascii="Arial"/>
                <w:sz w:val="20"/>
              </w:rPr>
            </w:r>
          </w:p>
        </w:tc>
        <w:tc>
          <w:tcPr>
            <w:tcW w:w="291" w:type="dxa"/>
            <w:tcBorders>
              <w:top w:val="nil" w:sz="6" w:space="0" w:color="auto"/>
              <w:left w:val="nil" w:sz="6" w:space="0" w:color="auto"/>
              <w:bottom w:val="nil" w:sz="6" w:space="0" w:color="auto"/>
              <w:right w:val="nil" w:sz="6" w:space="0" w:color="auto"/>
            </w:tcBorders>
          </w:tcPr>
          <w:p>
            <w:pP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26"/>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1"/>
                <w:sz w:val="20"/>
                <w:u w:val="single" w:color="000000"/>
              </w:rPr>
              <w:t> </w:t>
            </w:r>
            <w:r>
              <w:rPr>
                <w:rFonts w:ascii="Arial"/>
                <w:spacing w:val="-1"/>
                <w:sz w:val="20"/>
                <w:u w:val="single" w:color="000000"/>
              </w:rPr>
              <w:t>780,919,920</w:t>
            </w:r>
            <w:r>
              <w:rPr>
                <w:rFonts w:ascii="Arial"/>
                <w:spacing w:val="-1"/>
                <w:sz w:val="20"/>
              </w:rPr>
            </w:r>
          </w:p>
        </w:tc>
        <w:tc>
          <w:tcPr>
            <w:tcW w:w="295" w:type="dxa"/>
            <w:tcBorders>
              <w:top w:val="nil" w:sz="6" w:space="0" w:color="auto"/>
              <w:left w:val="nil" w:sz="6" w:space="0" w:color="auto"/>
              <w:bottom w:val="nil" w:sz="6" w:space="0" w:color="auto"/>
              <w:right w:val="nil" w:sz="6" w:space="0" w:color="auto"/>
            </w:tcBorders>
          </w:tcPr>
          <w:p>
            <w:pPr/>
          </w:p>
        </w:tc>
      </w:tr>
      <w:tr>
        <w:trPr>
          <w:trHeight w:val="426" w:hRule="exact"/>
        </w:trPr>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7" w:right="0"/>
              <w:jc w:val="left"/>
              <w:rPr>
                <w:rFonts w:ascii="黑体" w:hAnsi="黑体" w:cs="黑体" w:eastAsia="黑体" w:hint="default"/>
                <w:sz w:val="20"/>
                <w:szCs w:val="20"/>
              </w:rPr>
            </w:pPr>
            <w:r>
              <w:rPr>
                <w:rFonts w:ascii="黑体" w:hAnsi="黑体" w:cs="黑体" w:eastAsia="黑体" w:hint="default"/>
                <w:sz w:val="20"/>
                <w:szCs w:val="20"/>
              </w:rPr>
              <w:t>偿还债务支付的现金</w:t>
            </w:r>
          </w:p>
        </w:tc>
        <w:tc>
          <w:tcPr>
            <w:tcW w:w="901"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26"/>
              <w:jc w:val="right"/>
              <w:rPr>
                <w:rFonts w:ascii="Arial" w:hAnsi="Arial" w:cs="Arial" w:eastAsia="Arial" w:hint="default"/>
                <w:sz w:val="20"/>
                <w:szCs w:val="20"/>
              </w:rPr>
            </w:pPr>
            <w:r>
              <w:rPr>
                <w:rFonts w:ascii="Arial"/>
                <w:spacing w:val="-1"/>
                <w:sz w:val="20"/>
              </w:rPr>
              <w:t>(1,870,000,000</w:t>
            </w:r>
          </w:p>
        </w:tc>
        <w:tc>
          <w:tcPr>
            <w:tcW w:w="291"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28" w:right="0"/>
              <w:jc w:val="left"/>
              <w:rPr>
                <w:rFonts w:ascii="Arial" w:hAnsi="Arial" w:cs="Arial" w:eastAsia="Arial" w:hint="default"/>
                <w:sz w:val="20"/>
                <w:szCs w:val="20"/>
              </w:rPr>
            </w:pPr>
            <w:r>
              <w:rPr>
                <w:rFonts w:ascii="Arial"/>
                <w:w w:val="99"/>
                <w:sz w:val="20"/>
              </w:rPr>
              <w:t>)</w:t>
            </w:r>
            <w:r>
              <w:rPr>
                <w:rFonts w:ascii="Arial"/>
                <w:sz w:val="20"/>
              </w:rPr>
            </w:r>
          </w:p>
        </w:tc>
        <w:tc>
          <w:tcPr>
            <w:tcW w:w="1612" w:type="dxa"/>
            <w:tcBorders>
              <w:top w:val="nil" w:sz="6" w:space="0" w:color="auto"/>
              <w:left w:val="nil" w:sz="6" w:space="0" w:color="auto"/>
              <w:bottom w:val="nil" w:sz="6" w:space="0" w:color="auto"/>
              <w:right w:val="nil" w:sz="6" w:space="0" w:color="auto"/>
            </w:tcBorders>
          </w:tcPr>
          <w:p>
            <w:pPr>
              <w:pStyle w:val="TableParagraph"/>
              <w:tabs>
                <w:tab w:pos="268" w:val="left" w:leader="none"/>
              </w:tabs>
              <w:spacing w:line="240" w:lineRule="auto" w:before="168"/>
              <w:ind w:right="26"/>
              <w:jc w:val="right"/>
              <w:rPr>
                <w:rFonts w:ascii="Arial" w:hAnsi="Arial" w:cs="Arial" w:eastAsia="Arial" w:hint="default"/>
                <w:sz w:val="20"/>
                <w:szCs w:val="20"/>
              </w:rPr>
            </w:pPr>
            <w:r>
              <w:rPr>
                <w:rFonts w:ascii="Arial"/>
                <w:w w:val="95"/>
                <w:sz w:val="20"/>
              </w:rPr>
              <w:t>(</w:t>
              <w:tab/>
            </w:r>
            <w:r>
              <w:rPr>
                <w:rFonts w:ascii="Arial"/>
                <w:spacing w:val="-1"/>
                <w:sz w:val="20"/>
              </w:rPr>
              <w:t>390,000,000</w:t>
            </w:r>
          </w:p>
        </w:tc>
        <w:tc>
          <w:tcPr>
            <w:tcW w:w="295"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28" w:right="0"/>
              <w:jc w:val="left"/>
              <w:rPr>
                <w:rFonts w:ascii="Arial" w:hAnsi="Arial" w:cs="Arial" w:eastAsia="Arial" w:hint="default"/>
                <w:sz w:val="20"/>
                <w:szCs w:val="20"/>
              </w:rPr>
            </w:pPr>
            <w:r>
              <w:rPr>
                <w:rFonts w:ascii="Arial"/>
                <w:w w:val="99"/>
                <w:sz w:val="20"/>
              </w:rPr>
              <w:t>)</w:t>
            </w:r>
            <w:r>
              <w:rPr>
                <w:rFonts w:ascii="Arial"/>
                <w:sz w:val="20"/>
              </w:rPr>
            </w:r>
          </w:p>
        </w:tc>
      </w:tr>
      <w:tr>
        <w:trPr>
          <w:trHeight w:val="285" w:hRule="exact"/>
        </w:trPr>
        <w:tc>
          <w:tcPr>
            <w:tcW w:w="4264" w:type="dxa"/>
            <w:tcBorders>
              <w:top w:val="nil" w:sz="6" w:space="0" w:color="auto"/>
              <w:left w:val="nil" w:sz="6" w:space="0" w:color="auto"/>
              <w:bottom w:val="nil" w:sz="6" w:space="0" w:color="auto"/>
              <w:right w:val="nil" w:sz="6" w:space="0" w:color="auto"/>
            </w:tcBorders>
          </w:tcPr>
          <w:p>
            <w:pPr>
              <w:pStyle w:val="TableParagraph"/>
              <w:spacing w:line="232" w:lineRule="exact"/>
              <w:ind w:left="27" w:right="0"/>
              <w:jc w:val="left"/>
              <w:rPr>
                <w:rFonts w:ascii="黑体" w:hAnsi="黑体" w:cs="黑体" w:eastAsia="黑体" w:hint="default"/>
                <w:sz w:val="20"/>
                <w:szCs w:val="20"/>
              </w:rPr>
            </w:pPr>
            <w:r>
              <w:rPr>
                <w:rFonts w:ascii="黑体" w:hAnsi="黑体" w:cs="黑体" w:eastAsia="黑体" w:hint="default"/>
                <w:sz w:val="20"/>
                <w:szCs w:val="20"/>
              </w:rPr>
              <w:t>分配股利、利润和偿付利息所支付的现金</w:t>
            </w:r>
          </w:p>
        </w:tc>
        <w:tc>
          <w:tcPr>
            <w:tcW w:w="901"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7"/>
              <w:jc w:val="right"/>
              <w:rPr>
                <w:rFonts w:ascii="Arial" w:hAnsi="Arial" w:cs="Arial" w:eastAsia="Arial" w:hint="default"/>
                <w:sz w:val="20"/>
                <w:szCs w:val="20"/>
              </w:rPr>
            </w:pPr>
            <w:r>
              <w:rPr>
                <w:rFonts w:ascii="Arial"/>
                <w:sz w:val="20"/>
              </w:rPr>
              <w:t>(  </w:t>
            </w:r>
            <w:r>
              <w:rPr>
                <w:rFonts w:ascii="Arial"/>
                <w:spacing w:val="3"/>
                <w:sz w:val="20"/>
              </w:rPr>
              <w:t> </w:t>
            </w:r>
            <w:r>
              <w:rPr>
                <w:rFonts w:ascii="Arial"/>
                <w:sz w:val="20"/>
              </w:rPr>
              <w:t>399,580,382</w:t>
            </w:r>
          </w:p>
        </w:tc>
        <w:tc>
          <w:tcPr>
            <w:tcW w:w="291"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8" w:right="0"/>
              <w:jc w:val="left"/>
              <w:rPr>
                <w:rFonts w:ascii="Arial" w:hAnsi="Arial" w:cs="Arial" w:eastAsia="Arial" w:hint="default"/>
                <w:sz w:val="20"/>
                <w:szCs w:val="20"/>
              </w:rPr>
            </w:pPr>
            <w:r>
              <w:rPr>
                <w:rFonts w:ascii="Arial"/>
                <w:w w:val="99"/>
                <w:sz w:val="20"/>
              </w:rPr>
              <w:t>)</w:t>
            </w:r>
            <w:r>
              <w:rPr>
                <w:rFonts w:ascii="Arial"/>
                <w:sz w:val="20"/>
              </w:rPr>
            </w:r>
          </w:p>
        </w:tc>
        <w:tc>
          <w:tcPr>
            <w:tcW w:w="1612" w:type="dxa"/>
            <w:tcBorders>
              <w:top w:val="nil" w:sz="6" w:space="0" w:color="auto"/>
              <w:left w:val="nil" w:sz="6" w:space="0" w:color="auto"/>
              <w:bottom w:val="nil" w:sz="6" w:space="0" w:color="auto"/>
              <w:right w:val="nil" w:sz="6" w:space="0" w:color="auto"/>
            </w:tcBorders>
          </w:tcPr>
          <w:p>
            <w:pPr>
              <w:pStyle w:val="TableParagraph"/>
              <w:tabs>
                <w:tab w:pos="268" w:val="left" w:leader="none"/>
              </w:tabs>
              <w:spacing w:line="240" w:lineRule="auto" w:before="28"/>
              <w:ind w:right="26"/>
              <w:jc w:val="right"/>
              <w:rPr>
                <w:rFonts w:ascii="Arial" w:hAnsi="Arial" w:cs="Arial" w:eastAsia="Arial" w:hint="default"/>
                <w:sz w:val="20"/>
                <w:szCs w:val="20"/>
              </w:rPr>
            </w:pPr>
            <w:r>
              <w:rPr>
                <w:rFonts w:ascii="Arial"/>
                <w:w w:val="95"/>
                <w:sz w:val="20"/>
              </w:rPr>
              <w:t>(</w:t>
              <w:tab/>
            </w:r>
            <w:r>
              <w:rPr>
                <w:rFonts w:ascii="Arial"/>
                <w:spacing w:val="-1"/>
                <w:sz w:val="20"/>
              </w:rPr>
              <w:t>232,788,728</w:t>
            </w:r>
          </w:p>
        </w:tc>
        <w:tc>
          <w:tcPr>
            <w:tcW w:w="29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8" w:right="0"/>
              <w:jc w:val="left"/>
              <w:rPr>
                <w:rFonts w:ascii="Arial" w:hAnsi="Arial" w:cs="Arial" w:eastAsia="Arial" w:hint="default"/>
                <w:sz w:val="18"/>
                <w:szCs w:val="18"/>
              </w:rPr>
            </w:pPr>
            <w:r>
              <w:rPr>
                <w:rFonts w:ascii="Arial"/>
                <w:w w:val="99"/>
                <w:sz w:val="18"/>
              </w:rPr>
              <w:t>)</w:t>
            </w:r>
            <w:r>
              <w:rPr>
                <w:rFonts w:ascii="Arial"/>
                <w:sz w:val="18"/>
              </w:rPr>
            </w:r>
          </w:p>
        </w:tc>
      </w:tr>
      <w:tr>
        <w:trPr>
          <w:trHeight w:val="283" w:hRule="exact"/>
        </w:trPr>
        <w:tc>
          <w:tcPr>
            <w:tcW w:w="4264" w:type="dxa"/>
            <w:tcBorders>
              <w:top w:val="nil" w:sz="6" w:space="0" w:color="auto"/>
              <w:left w:val="nil" w:sz="6" w:space="0" w:color="auto"/>
              <w:bottom w:val="nil" w:sz="6" w:space="0" w:color="auto"/>
              <w:right w:val="nil" w:sz="6" w:space="0" w:color="auto"/>
            </w:tcBorders>
          </w:tcPr>
          <w:p>
            <w:pPr>
              <w:pStyle w:val="TableParagraph"/>
              <w:spacing w:line="230" w:lineRule="exact"/>
              <w:ind w:left="238" w:right="0"/>
              <w:jc w:val="left"/>
              <w:rPr>
                <w:rFonts w:ascii="黑体" w:hAnsi="黑体" w:cs="黑体" w:eastAsia="黑体" w:hint="default"/>
                <w:sz w:val="20"/>
                <w:szCs w:val="20"/>
              </w:rPr>
            </w:pPr>
            <w:r>
              <w:rPr>
                <w:rFonts w:ascii="黑体" w:hAnsi="黑体" w:cs="黑体" w:eastAsia="黑体" w:hint="default"/>
                <w:sz w:val="20"/>
                <w:szCs w:val="20"/>
              </w:rPr>
              <w:t>其中：子公司支付给少数股东的股利、利润</w:t>
            </w:r>
          </w:p>
        </w:tc>
        <w:tc>
          <w:tcPr>
            <w:tcW w:w="901"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tabs>
                <w:tab w:pos="467" w:val="left" w:leader="none"/>
              </w:tabs>
              <w:spacing w:line="240" w:lineRule="auto" w:before="26"/>
              <w:ind w:right="27"/>
              <w:jc w:val="right"/>
              <w:rPr>
                <w:rFonts w:ascii="Arial" w:hAnsi="Arial" w:cs="Arial" w:eastAsia="Arial" w:hint="default"/>
                <w:sz w:val="20"/>
                <w:szCs w:val="20"/>
              </w:rPr>
            </w:pPr>
            <w:r>
              <w:rPr>
                <w:rFonts w:ascii="Arial"/>
                <w:w w:val="95"/>
                <w:sz w:val="20"/>
              </w:rPr>
              <w:t>(</w:t>
              <w:tab/>
            </w:r>
            <w:r>
              <w:rPr>
                <w:rFonts w:ascii="Arial"/>
                <w:spacing w:val="-1"/>
                <w:w w:val="95"/>
                <w:sz w:val="20"/>
              </w:rPr>
              <w:t>6,579,899</w:t>
            </w:r>
            <w:r>
              <w:rPr>
                <w:rFonts w:ascii="Arial"/>
                <w:sz w:val="20"/>
              </w:rPr>
            </w:r>
          </w:p>
        </w:tc>
        <w:tc>
          <w:tcPr>
            <w:tcW w:w="29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8" w:right="0"/>
              <w:jc w:val="left"/>
              <w:rPr>
                <w:rFonts w:ascii="Arial" w:hAnsi="Arial" w:cs="Arial" w:eastAsia="Arial" w:hint="default"/>
                <w:sz w:val="20"/>
                <w:szCs w:val="20"/>
              </w:rPr>
            </w:pPr>
            <w:r>
              <w:rPr>
                <w:rFonts w:ascii="Arial"/>
                <w:w w:val="99"/>
                <w:sz w:val="20"/>
              </w:rPr>
              <w:t>)</w:t>
            </w:r>
            <w:r>
              <w:rPr>
                <w:rFonts w:ascii="Arial"/>
                <w:sz w:val="20"/>
              </w:rPr>
            </w:r>
          </w:p>
        </w:tc>
        <w:tc>
          <w:tcPr>
            <w:tcW w:w="1612" w:type="dxa"/>
            <w:tcBorders>
              <w:top w:val="nil" w:sz="6" w:space="0" w:color="auto"/>
              <w:left w:val="nil" w:sz="6" w:space="0" w:color="auto"/>
              <w:bottom w:val="nil" w:sz="6" w:space="0" w:color="auto"/>
              <w:right w:val="nil" w:sz="6" w:space="0" w:color="auto"/>
            </w:tcBorders>
          </w:tcPr>
          <w:p>
            <w:pPr>
              <w:pStyle w:val="TableParagraph"/>
              <w:tabs>
                <w:tab w:pos="369" w:val="left" w:leader="none"/>
              </w:tabs>
              <w:spacing w:line="240" w:lineRule="auto" w:before="26"/>
              <w:ind w:right="27"/>
              <w:jc w:val="right"/>
              <w:rPr>
                <w:rFonts w:ascii="Arial" w:hAnsi="Arial" w:cs="Arial" w:eastAsia="Arial" w:hint="default"/>
                <w:sz w:val="20"/>
                <w:szCs w:val="20"/>
              </w:rPr>
            </w:pPr>
            <w:r>
              <w:rPr>
                <w:rFonts w:ascii="Arial"/>
                <w:w w:val="95"/>
                <w:sz w:val="20"/>
              </w:rPr>
              <w:t>(</w:t>
              <w:tab/>
            </w:r>
            <w:r>
              <w:rPr>
                <w:rFonts w:ascii="Arial"/>
                <w:spacing w:val="-1"/>
                <w:w w:val="95"/>
                <w:sz w:val="20"/>
              </w:rPr>
              <w:t>10,392,356</w:t>
            </w:r>
            <w:r>
              <w:rPr>
                <w:rFonts w:ascii="Arial"/>
                <w:sz w:val="20"/>
              </w:rPr>
            </w:r>
          </w:p>
        </w:tc>
        <w:tc>
          <w:tcPr>
            <w:tcW w:w="29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8" w:right="0"/>
              <w:jc w:val="left"/>
              <w:rPr>
                <w:rFonts w:ascii="Arial" w:hAnsi="Arial" w:cs="Arial" w:eastAsia="Arial" w:hint="default"/>
                <w:sz w:val="20"/>
                <w:szCs w:val="20"/>
              </w:rPr>
            </w:pPr>
            <w:r>
              <w:rPr>
                <w:rFonts w:ascii="Arial"/>
                <w:w w:val="99"/>
                <w:sz w:val="20"/>
              </w:rPr>
              <w:t>)</w:t>
            </w:r>
            <w:r>
              <w:rPr>
                <w:rFonts w:ascii="Arial"/>
                <w:sz w:val="20"/>
              </w:rPr>
            </w:r>
          </w:p>
        </w:tc>
      </w:tr>
      <w:tr>
        <w:trPr>
          <w:trHeight w:val="428" w:hRule="exact"/>
        </w:trPr>
        <w:tc>
          <w:tcPr>
            <w:tcW w:w="4264" w:type="dxa"/>
            <w:tcBorders>
              <w:top w:val="nil" w:sz="6" w:space="0" w:color="auto"/>
              <w:left w:val="nil" w:sz="6" w:space="0" w:color="auto"/>
              <w:bottom w:val="nil" w:sz="6" w:space="0" w:color="auto"/>
              <w:right w:val="nil" w:sz="6" w:space="0" w:color="auto"/>
            </w:tcBorders>
          </w:tcPr>
          <w:p>
            <w:pPr>
              <w:pStyle w:val="TableParagraph"/>
              <w:spacing w:line="230" w:lineRule="exact"/>
              <w:ind w:left="27" w:right="0"/>
              <w:jc w:val="left"/>
              <w:rPr>
                <w:rFonts w:ascii="黑体" w:hAnsi="黑体" w:cs="黑体" w:eastAsia="黑体" w:hint="default"/>
                <w:sz w:val="20"/>
                <w:szCs w:val="20"/>
              </w:rPr>
            </w:pPr>
            <w:r>
              <w:rPr>
                <w:rFonts w:ascii="黑体" w:hAnsi="黑体" w:cs="黑体" w:eastAsia="黑体" w:hint="default"/>
                <w:sz w:val="20"/>
                <w:szCs w:val="20"/>
              </w:rPr>
              <w:t>支付的其他与筹资活动有关的现金</w:t>
            </w:r>
          </w:p>
        </w:tc>
        <w:tc>
          <w:tcPr>
            <w:tcW w:w="901"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tabs>
                <w:tab w:pos="369" w:val="left" w:leader="none"/>
              </w:tabs>
              <w:spacing w:line="240" w:lineRule="auto" w:before="26"/>
              <w:ind w:right="27"/>
              <w:jc w:val="right"/>
              <w:rPr>
                <w:rFonts w:ascii="Arial" w:hAnsi="Arial" w:cs="Arial" w:eastAsia="Arial" w:hint="default"/>
                <w:sz w:val="20"/>
                <w:szCs w:val="20"/>
              </w:rPr>
            </w:pPr>
            <w:r>
              <w:rPr>
                <w:rFonts w:ascii="Arial"/>
                <w:w w:val="95"/>
                <w:sz w:val="20"/>
              </w:rPr>
              <w:t>(</w:t>
            </w:r>
            <w:r>
              <w:rPr>
                <w:rFonts w:ascii="Arial"/>
                <w:w w:val="95"/>
                <w:sz w:val="20"/>
                <w:u w:val="single" w:color="000000"/>
              </w:rPr>
              <w:t> </w:t>
              <w:tab/>
            </w:r>
            <w:r>
              <w:rPr>
                <w:rFonts w:ascii="Arial"/>
                <w:spacing w:val="-1"/>
                <w:w w:val="95"/>
                <w:sz w:val="20"/>
                <w:u w:val="single" w:color="000000"/>
              </w:rPr>
              <w:t>20,001,895</w:t>
            </w:r>
            <w:r>
              <w:rPr>
                <w:rFonts w:ascii="Arial"/>
                <w:spacing w:val="-1"/>
                <w:w w:val="95"/>
                <w:sz w:val="20"/>
              </w:rPr>
            </w:r>
            <w:r>
              <w:rPr>
                <w:rFonts w:ascii="Arial"/>
                <w:sz w:val="20"/>
              </w:rPr>
            </w:r>
          </w:p>
        </w:tc>
        <w:tc>
          <w:tcPr>
            <w:tcW w:w="29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8" w:right="0"/>
              <w:jc w:val="left"/>
              <w:rPr>
                <w:rFonts w:ascii="Arial" w:hAnsi="Arial" w:cs="Arial" w:eastAsia="Arial" w:hint="default"/>
                <w:sz w:val="20"/>
                <w:szCs w:val="20"/>
              </w:rPr>
            </w:pPr>
            <w:r>
              <w:rPr>
                <w:rFonts w:ascii="Arial"/>
                <w:w w:val="99"/>
                <w:sz w:val="20"/>
              </w:rPr>
              <w:t>)</w:t>
            </w:r>
            <w:r>
              <w:rPr>
                <w:rFonts w:ascii="Arial"/>
                <w:sz w:val="20"/>
              </w:rPr>
            </w:r>
          </w:p>
        </w:tc>
        <w:tc>
          <w:tcPr>
            <w:tcW w:w="1612" w:type="dxa"/>
            <w:tcBorders>
              <w:top w:val="nil" w:sz="6" w:space="0" w:color="auto"/>
              <w:left w:val="nil" w:sz="6" w:space="0" w:color="auto"/>
              <w:bottom w:val="nil" w:sz="6" w:space="0" w:color="auto"/>
              <w:right w:val="nil" w:sz="6" w:space="0" w:color="auto"/>
            </w:tcBorders>
          </w:tcPr>
          <w:p>
            <w:pPr>
              <w:pStyle w:val="TableParagraph"/>
              <w:tabs>
                <w:tab w:pos="467" w:val="left" w:leader="none"/>
              </w:tabs>
              <w:spacing w:line="240" w:lineRule="auto" w:before="26"/>
              <w:ind w:right="27"/>
              <w:jc w:val="right"/>
              <w:rPr>
                <w:rFonts w:ascii="Arial" w:hAnsi="Arial" w:cs="Arial" w:eastAsia="Arial" w:hint="default"/>
                <w:sz w:val="20"/>
                <w:szCs w:val="20"/>
              </w:rPr>
            </w:pPr>
            <w:r>
              <w:rPr>
                <w:rFonts w:ascii="Arial"/>
                <w:w w:val="95"/>
                <w:sz w:val="20"/>
              </w:rPr>
              <w:t>(</w:t>
            </w:r>
            <w:r>
              <w:rPr>
                <w:rFonts w:ascii="Arial"/>
                <w:w w:val="95"/>
                <w:sz w:val="20"/>
                <w:u w:val="single" w:color="000000"/>
              </w:rPr>
              <w:t> </w:t>
              <w:tab/>
            </w:r>
            <w:r>
              <w:rPr>
                <w:rFonts w:ascii="Arial"/>
                <w:spacing w:val="-1"/>
                <w:w w:val="95"/>
                <w:sz w:val="20"/>
                <w:u w:val="single" w:color="000000"/>
              </w:rPr>
              <w:t>2,507,167</w:t>
            </w:r>
            <w:r>
              <w:rPr>
                <w:rFonts w:ascii="Arial"/>
                <w:spacing w:val="-1"/>
                <w:w w:val="95"/>
                <w:sz w:val="20"/>
              </w:rPr>
            </w:r>
            <w:r>
              <w:rPr>
                <w:rFonts w:ascii="Arial"/>
                <w:sz w:val="20"/>
              </w:rPr>
            </w:r>
          </w:p>
        </w:tc>
        <w:tc>
          <w:tcPr>
            <w:tcW w:w="29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8" w:right="0"/>
              <w:jc w:val="left"/>
              <w:rPr>
                <w:rFonts w:ascii="Arial" w:hAnsi="Arial" w:cs="Arial" w:eastAsia="Arial" w:hint="default"/>
                <w:sz w:val="18"/>
                <w:szCs w:val="18"/>
              </w:rPr>
            </w:pPr>
            <w:r>
              <w:rPr>
                <w:rFonts w:ascii="Arial"/>
                <w:w w:val="99"/>
                <w:sz w:val="18"/>
              </w:rPr>
              <w:t>)</w:t>
            </w:r>
            <w:r>
              <w:rPr>
                <w:rFonts w:ascii="Arial"/>
                <w:sz w:val="18"/>
              </w:rPr>
            </w:r>
          </w:p>
        </w:tc>
      </w:tr>
      <w:tr>
        <w:trPr>
          <w:trHeight w:val="569" w:hRule="exact"/>
        </w:trPr>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7" w:right="0"/>
              <w:jc w:val="left"/>
              <w:rPr>
                <w:rFonts w:ascii="黑体" w:hAnsi="黑体" w:cs="黑体" w:eastAsia="黑体" w:hint="default"/>
                <w:sz w:val="20"/>
                <w:szCs w:val="20"/>
              </w:rPr>
            </w:pPr>
            <w:r>
              <w:rPr>
                <w:rFonts w:ascii="黑体" w:hAnsi="黑体" w:cs="黑体" w:eastAsia="黑体" w:hint="default"/>
                <w:sz w:val="20"/>
                <w:szCs w:val="20"/>
              </w:rPr>
              <w:t>筹资活动现金流出小计</w:t>
            </w:r>
          </w:p>
        </w:tc>
        <w:tc>
          <w:tcPr>
            <w:tcW w:w="901"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26"/>
              <w:jc w:val="right"/>
              <w:rPr>
                <w:rFonts w:ascii="Arial" w:hAnsi="Arial" w:cs="Arial" w:eastAsia="Arial" w:hint="default"/>
                <w:sz w:val="20"/>
                <w:szCs w:val="20"/>
              </w:rPr>
            </w:pPr>
            <w:r>
              <w:rPr>
                <w:rFonts w:ascii="Arial"/>
                <w:spacing w:val="-1"/>
                <w:sz w:val="20"/>
              </w:rPr>
              <w:t>(</w:t>
            </w:r>
            <w:r>
              <w:rPr>
                <w:rFonts w:ascii="Arial"/>
                <w:spacing w:val="-1"/>
                <w:sz w:val="20"/>
                <w:u w:val="single" w:color="000000"/>
              </w:rPr>
              <w:t>2,289,582,277</w:t>
            </w:r>
            <w:r>
              <w:rPr>
                <w:rFonts w:ascii="Arial"/>
                <w:spacing w:val="-1"/>
                <w:sz w:val="20"/>
              </w:rPr>
            </w:r>
          </w:p>
        </w:tc>
        <w:tc>
          <w:tcPr>
            <w:tcW w:w="291"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28" w:right="0"/>
              <w:jc w:val="left"/>
              <w:rPr>
                <w:rFonts w:ascii="Arial" w:hAnsi="Arial" w:cs="Arial" w:eastAsia="Arial" w:hint="default"/>
                <w:sz w:val="20"/>
                <w:szCs w:val="20"/>
              </w:rPr>
            </w:pPr>
            <w:r>
              <w:rPr>
                <w:rFonts w:ascii="Arial"/>
                <w:w w:val="99"/>
                <w:sz w:val="20"/>
              </w:rPr>
              <w:t>)</w:t>
            </w:r>
            <w:r>
              <w:rPr>
                <w:rFonts w:ascii="Arial"/>
                <w:sz w:val="20"/>
              </w:rPr>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26"/>
              <w:jc w:val="right"/>
              <w:rPr>
                <w:rFonts w:ascii="Arial" w:hAnsi="Arial" w:cs="Arial" w:eastAsia="Arial" w:hint="default"/>
                <w:sz w:val="20"/>
                <w:szCs w:val="20"/>
              </w:rPr>
            </w:pPr>
            <w:r>
              <w:rPr>
                <w:rFonts w:ascii="Arial"/>
                <w:sz w:val="20"/>
              </w:rPr>
              <w:t>(  </w:t>
            </w:r>
            <w:r>
              <w:rPr>
                <w:rFonts w:ascii="Arial"/>
                <w:spacing w:val="25"/>
                <w:sz w:val="20"/>
              </w:rPr>
              <w:t> </w:t>
            </w:r>
            <w:r>
              <w:rPr>
                <w:rFonts w:ascii="Arial"/>
                <w:spacing w:val="25"/>
                <w:sz w:val="20"/>
                <w:u w:val="single" w:color="000000"/>
              </w:rPr>
              <w:t> </w:t>
            </w:r>
            <w:r>
              <w:rPr>
                <w:rFonts w:ascii="Arial"/>
                <w:sz w:val="20"/>
                <w:u w:val="single" w:color="000000"/>
              </w:rPr>
              <w:t>625,295,895</w:t>
            </w:r>
            <w:r>
              <w:rPr>
                <w:rFonts w:ascii="Arial"/>
                <w:sz w:val="20"/>
              </w:rPr>
            </w:r>
          </w:p>
        </w:tc>
        <w:tc>
          <w:tcPr>
            <w:tcW w:w="29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spacing w:line="240" w:lineRule="auto"/>
              <w:ind w:left="28" w:right="0"/>
              <w:jc w:val="left"/>
              <w:rPr>
                <w:rFonts w:ascii="Arial" w:hAnsi="Arial" w:cs="Arial" w:eastAsia="Arial" w:hint="default"/>
                <w:sz w:val="18"/>
                <w:szCs w:val="18"/>
              </w:rPr>
            </w:pPr>
            <w:r>
              <w:rPr>
                <w:rFonts w:ascii="Arial"/>
                <w:w w:val="99"/>
                <w:sz w:val="18"/>
              </w:rPr>
              <w:t>)</w:t>
            </w:r>
            <w:r>
              <w:rPr>
                <w:rFonts w:ascii="Arial"/>
                <w:sz w:val="18"/>
              </w:rPr>
            </w:r>
          </w:p>
        </w:tc>
      </w:tr>
      <w:tr>
        <w:trPr>
          <w:trHeight w:val="566" w:hRule="exact"/>
        </w:trPr>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7" w:right="0"/>
              <w:jc w:val="left"/>
              <w:rPr>
                <w:rFonts w:ascii="黑体" w:hAnsi="黑体" w:cs="黑体" w:eastAsia="黑体" w:hint="default"/>
                <w:sz w:val="20"/>
                <w:szCs w:val="20"/>
              </w:rPr>
            </w:pPr>
            <w:r>
              <w:rPr>
                <w:rFonts w:ascii="黑体" w:hAnsi="黑体" w:cs="黑体" w:eastAsia="黑体" w:hint="default"/>
                <w:sz w:val="20"/>
                <w:szCs w:val="20"/>
              </w:rPr>
              <w:t>筹资活动产生的现金流量净额</w:t>
            </w:r>
          </w:p>
        </w:tc>
        <w:tc>
          <w:tcPr>
            <w:tcW w:w="901"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26"/>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1"/>
                <w:sz w:val="20"/>
                <w:u w:val="single" w:color="000000"/>
              </w:rPr>
              <w:t> </w:t>
            </w:r>
            <w:r>
              <w:rPr>
                <w:rFonts w:ascii="Arial"/>
                <w:spacing w:val="-1"/>
                <w:sz w:val="20"/>
                <w:u w:val="single" w:color="000000"/>
              </w:rPr>
              <w:t>198,816,036</w:t>
            </w:r>
            <w:r>
              <w:rPr>
                <w:rFonts w:ascii="Arial"/>
                <w:spacing w:val="-1"/>
                <w:sz w:val="20"/>
              </w:rPr>
            </w:r>
          </w:p>
        </w:tc>
        <w:tc>
          <w:tcPr>
            <w:tcW w:w="291" w:type="dxa"/>
            <w:tcBorders>
              <w:top w:val="nil" w:sz="6" w:space="0" w:color="auto"/>
              <w:left w:val="nil" w:sz="6" w:space="0" w:color="auto"/>
              <w:bottom w:val="nil" w:sz="6" w:space="0" w:color="auto"/>
              <w:right w:val="nil" w:sz="6" w:space="0" w:color="auto"/>
            </w:tcBorders>
          </w:tcPr>
          <w:p>
            <w:pP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27"/>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
                <w:sz w:val="20"/>
                <w:u w:val="single" w:color="000000"/>
              </w:rPr>
              <w:t> </w:t>
            </w:r>
            <w:r>
              <w:rPr>
                <w:rFonts w:ascii="Arial"/>
                <w:spacing w:val="-1"/>
                <w:sz w:val="20"/>
                <w:u w:val="single" w:color="000000"/>
              </w:rPr>
              <w:t>155,624,025</w:t>
            </w:r>
            <w:r>
              <w:rPr>
                <w:rFonts w:ascii="Arial"/>
                <w:spacing w:val="-1"/>
                <w:sz w:val="20"/>
              </w:rPr>
            </w:r>
            <w:r>
              <w:rPr>
                <w:rFonts w:ascii="Arial"/>
                <w:sz w:val="20"/>
              </w:rPr>
            </w:r>
          </w:p>
        </w:tc>
        <w:tc>
          <w:tcPr>
            <w:tcW w:w="295" w:type="dxa"/>
            <w:tcBorders>
              <w:top w:val="nil" w:sz="6" w:space="0" w:color="auto"/>
              <w:left w:val="nil" w:sz="6" w:space="0" w:color="auto"/>
              <w:bottom w:val="nil" w:sz="6" w:space="0" w:color="auto"/>
              <w:right w:val="nil" w:sz="6" w:space="0" w:color="auto"/>
            </w:tcBorders>
          </w:tcPr>
          <w:p>
            <w:pPr/>
          </w:p>
        </w:tc>
      </w:tr>
      <w:tr>
        <w:trPr>
          <w:trHeight w:val="569" w:hRule="exact"/>
        </w:trPr>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7" w:right="0"/>
              <w:jc w:val="left"/>
              <w:rPr>
                <w:rFonts w:ascii="黑体" w:hAnsi="黑体" w:cs="黑体" w:eastAsia="黑体" w:hint="default"/>
                <w:sz w:val="20"/>
                <w:szCs w:val="20"/>
              </w:rPr>
            </w:pPr>
            <w:r>
              <w:rPr>
                <w:rFonts w:ascii="黑体" w:hAnsi="黑体" w:cs="黑体" w:eastAsia="黑体" w:hint="default"/>
                <w:sz w:val="20"/>
                <w:szCs w:val="20"/>
              </w:rPr>
              <w:t>四、汇率变动对现金的影响额</w:t>
            </w:r>
          </w:p>
        </w:tc>
        <w:tc>
          <w:tcPr>
            <w:tcW w:w="901"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tabs>
                <w:tab w:pos="419" w:val="left" w:leader="none"/>
              </w:tabs>
              <w:spacing w:line="240" w:lineRule="auto" w:before="168"/>
              <w:ind w:right="27"/>
              <w:jc w:val="right"/>
              <w:rPr>
                <w:rFonts w:ascii="Arial" w:hAnsi="Arial" w:cs="Arial" w:eastAsia="Arial" w:hint="default"/>
                <w:sz w:val="20"/>
                <w:szCs w:val="20"/>
              </w:rPr>
            </w:pPr>
            <w:r>
              <w:rPr>
                <w:rFonts w:ascii="Arial"/>
                <w:w w:val="95"/>
                <w:sz w:val="20"/>
              </w:rPr>
              <w:t>(</w:t>
            </w:r>
            <w:r>
              <w:rPr>
                <w:rFonts w:ascii="Arial"/>
                <w:w w:val="95"/>
                <w:sz w:val="20"/>
                <w:u w:val="single" w:color="000000"/>
              </w:rPr>
              <w:t> </w:t>
              <w:tab/>
            </w:r>
            <w:r>
              <w:rPr>
                <w:rFonts w:ascii="Arial"/>
                <w:spacing w:val="-1"/>
                <w:w w:val="95"/>
                <w:sz w:val="20"/>
                <w:u w:val="single" w:color="000000"/>
              </w:rPr>
              <w:t>2,010,064</w:t>
            </w:r>
            <w:r>
              <w:rPr>
                <w:rFonts w:ascii="Arial"/>
                <w:spacing w:val="-1"/>
                <w:w w:val="95"/>
                <w:sz w:val="20"/>
              </w:rPr>
            </w:r>
            <w:r>
              <w:rPr>
                <w:rFonts w:ascii="Arial"/>
                <w:sz w:val="20"/>
              </w:rPr>
            </w:r>
          </w:p>
        </w:tc>
        <w:tc>
          <w:tcPr>
            <w:tcW w:w="291"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28" w:right="0"/>
              <w:jc w:val="left"/>
              <w:rPr>
                <w:rFonts w:ascii="Arial" w:hAnsi="Arial" w:cs="Arial" w:eastAsia="Arial" w:hint="default"/>
                <w:sz w:val="20"/>
                <w:szCs w:val="20"/>
              </w:rPr>
            </w:pPr>
            <w:r>
              <w:rPr>
                <w:rFonts w:ascii="Arial"/>
                <w:w w:val="99"/>
                <w:sz w:val="20"/>
              </w:rPr>
              <w:t>)</w:t>
            </w:r>
            <w:r>
              <w:rPr>
                <w:rFonts w:ascii="Arial"/>
                <w:sz w:val="20"/>
              </w:rPr>
            </w:r>
          </w:p>
        </w:tc>
        <w:tc>
          <w:tcPr>
            <w:tcW w:w="1612" w:type="dxa"/>
            <w:tcBorders>
              <w:top w:val="nil" w:sz="6" w:space="0" w:color="auto"/>
              <w:left w:val="nil" w:sz="6" w:space="0" w:color="auto"/>
              <w:bottom w:val="nil" w:sz="6" w:space="0" w:color="auto"/>
              <w:right w:val="nil" w:sz="6" w:space="0" w:color="auto"/>
            </w:tcBorders>
          </w:tcPr>
          <w:p>
            <w:pPr>
              <w:pStyle w:val="TableParagraph"/>
              <w:tabs>
                <w:tab w:pos="669" w:val="left" w:leader="none"/>
              </w:tabs>
              <w:spacing w:line="240" w:lineRule="auto" w:before="168"/>
              <w:ind w:right="27"/>
              <w:jc w:val="right"/>
              <w:rPr>
                <w:rFonts w:ascii="Arial" w:hAnsi="Arial" w:cs="Arial" w:eastAsia="Arial" w:hint="default"/>
                <w:sz w:val="20"/>
                <w:szCs w:val="20"/>
              </w:rPr>
            </w:pPr>
            <w:r>
              <w:rPr>
                <w:rFonts w:ascii="Arial"/>
                <w:w w:val="95"/>
                <w:sz w:val="20"/>
              </w:rPr>
              <w:t>(</w:t>
            </w:r>
            <w:r>
              <w:rPr>
                <w:rFonts w:ascii="Arial"/>
                <w:w w:val="95"/>
                <w:sz w:val="20"/>
                <w:u w:val="single" w:color="000000"/>
              </w:rPr>
              <w:t> </w:t>
              <w:tab/>
            </w:r>
            <w:r>
              <w:rPr>
                <w:rFonts w:ascii="Arial"/>
                <w:spacing w:val="-1"/>
                <w:w w:val="95"/>
                <w:sz w:val="20"/>
                <w:u w:val="single" w:color="000000"/>
              </w:rPr>
              <w:t>165,633</w:t>
            </w:r>
            <w:r>
              <w:rPr>
                <w:rFonts w:ascii="Arial"/>
                <w:spacing w:val="-1"/>
                <w:w w:val="95"/>
                <w:sz w:val="20"/>
              </w:rPr>
            </w:r>
            <w:r>
              <w:rPr>
                <w:rFonts w:ascii="Arial"/>
                <w:sz w:val="20"/>
              </w:rPr>
            </w:r>
          </w:p>
        </w:tc>
        <w:tc>
          <w:tcPr>
            <w:tcW w:w="29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b/>
                <w:bCs/>
                <w:sz w:val="14"/>
                <w:szCs w:val="14"/>
              </w:rPr>
            </w:pPr>
          </w:p>
          <w:p>
            <w:pPr>
              <w:pStyle w:val="TableParagraph"/>
              <w:spacing w:line="240" w:lineRule="auto"/>
              <w:ind w:left="28" w:right="0"/>
              <w:jc w:val="left"/>
              <w:rPr>
                <w:rFonts w:ascii="Arial" w:hAnsi="Arial" w:cs="Arial" w:eastAsia="Arial" w:hint="default"/>
                <w:sz w:val="18"/>
                <w:szCs w:val="18"/>
              </w:rPr>
            </w:pPr>
            <w:r>
              <w:rPr>
                <w:rFonts w:ascii="Arial"/>
                <w:w w:val="99"/>
                <w:sz w:val="18"/>
              </w:rPr>
              <w:t>)</w:t>
            </w:r>
            <w:r>
              <w:rPr>
                <w:rFonts w:ascii="Arial"/>
                <w:sz w:val="18"/>
              </w:rPr>
            </w:r>
          </w:p>
        </w:tc>
      </w:tr>
      <w:tr>
        <w:trPr>
          <w:trHeight w:val="426" w:hRule="exact"/>
        </w:trPr>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7" w:right="0"/>
              <w:jc w:val="left"/>
              <w:rPr>
                <w:rFonts w:ascii="黑体" w:hAnsi="黑体" w:cs="黑体" w:eastAsia="黑体" w:hint="default"/>
                <w:sz w:val="20"/>
                <w:szCs w:val="20"/>
              </w:rPr>
            </w:pPr>
            <w:r>
              <w:rPr>
                <w:rFonts w:ascii="黑体" w:hAnsi="黑体" w:cs="黑体" w:eastAsia="黑体" w:hint="default"/>
                <w:sz w:val="20"/>
                <w:szCs w:val="20"/>
              </w:rPr>
              <w:t>五、现金及现金等价物净增加额</w:t>
            </w:r>
          </w:p>
        </w:tc>
        <w:tc>
          <w:tcPr>
            <w:tcW w:w="901"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67"/>
              <w:ind w:right="27"/>
              <w:jc w:val="right"/>
              <w:rPr>
                <w:rFonts w:ascii="Arial" w:hAnsi="Arial" w:cs="Arial" w:eastAsia="Arial" w:hint="default"/>
                <w:sz w:val="20"/>
                <w:szCs w:val="20"/>
              </w:rPr>
            </w:pPr>
            <w:r>
              <w:rPr>
                <w:rFonts w:ascii="Arial"/>
                <w:spacing w:val="-1"/>
                <w:sz w:val="20"/>
              </w:rPr>
              <w:t>289,429,470</w:t>
            </w:r>
            <w:r>
              <w:rPr>
                <w:rFonts w:ascii="Arial"/>
                <w:sz w:val="20"/>
              </w:rPr>
            </w:r>
          </w:p>
        </w:tc>
        <w:tc>
          <w:tcPr>
            <w:tcW w:w="291" w:type="dxa"/>
            <w:tcBorders>
              <w:top w:val="nil" w:sz="6" w:space="0" w:color="auto"/>
              <w:left w:val="nil" w:sz="6" w:space="0" w:color="auto"/>
              <w:bottom w:val="nil" w:sz="6" w:space="0" w:color="auto"/>
              <w:right w:val="nil" w:sz="6" w:space="0" w:color="auto"/>
            </w:tcBorders>
          </w:tcPr>
          <w:p>
            <w:pPr/>
          </w:p>
        </w:tc>
        <w:tc>
          <w:tcPr>
            <w:tcW w:w="1612" w:type="dxa"/>
            <w:tcBorders>
              <w:top w:val="nil" w:sz="6" w:space="0" w:color="auto"/>
              <w:left w:val="nil" w:sz="6" w:space="0" w:color="auto"/>
              <w:bottom w:val="nil" w:sz="6" w:space="0" w:color="auto"/>
              <w:right w:val="nil" w:sz="6" w:space="0" w:color="auto"/>
            </w:tcBorders>
          </w:tcPr>
          <w:p>
            <w:pPr>
              <w:pStyle w:val="TableParagraph"/>
              <w:tabs>
                <w:tab w:pos="467" w:val="left" w:leader="none"/>
              </w:tabs>
              <w:spacing w:line="240" w:lineRule="auto" w:before="167"/>
              <w:ind w:right="27"/>
              <w:jc w:val="right"/>
              <w:rPr>
                <w:rFonts w:ascii="Arial" w:hAnsi="Arial" w:cs="Arial" w:eastAsia="Arial" w:hint="default"/>
                <w:sz w:val="20"/>
                <w:szCs w:val="20"/>
              </w:rPr>
            </w:pPr>
            <w:r>
              <w:rPr>
                <w:rFonts w:ascii="Arial"/>
                <w:w w:val="95"/>
                <w:sz w:val="20"/>
              </w:rPr>
              <w:t>(</w:t>
              <w:tab/>
            </w:r>
            <w:r>
              <w:rPr>
                <w:rFonts w:ascii="Arial"/>
                <w:spacing w:val="-1"/>
                <w:w w:val="95"/>
                <w:sz w:val="20"/>
              </w:rPr>
              <w:t>1,617,699</w:t>
            </w:r>
            <w:r>
              <w:rPr>
                <w:rFonts w:ascii="Arial"/>
                <w:sz w:val="20"/>
              </w:rPr>
            </w:r>
          </w:p>
        </w:tc>
        <w:tc>
          <w:tcPr>
            <w:tcW w:w="29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b/>
                <w:bCs/>
                <w:sz w:val="14"/>
                <w:szCs w:val="14"/>
              </w:rPr>
            </w:pPr>
          </w:p>
          <w:p>
            <w:pPr>
              <w:pStyle w:val="TableParagraph"/>
              <w:spacing w:line="240" w:lineRule="auto"/>
              <w:ind w:left="28" w:right="0"/>
              <w:jc w:val="left"/>
              <w:rPr>
                <w:rFonts w:ascii="Arial" w:hAnsi="Arial" w:cs="Arial" w:eastAsia="Arial" w:hint="default"/>
                <w:sz w:val="18"/>
                <w:szCs w:val="18"/>
              </w:rPr>
            </w:pPr>
            <w:r>
              <w:rPr>
                <w:rFonts w:ascii="Arial"/>
                <w:w w:val="99"/>
                <w:sz w:val="18"/>
              </w:rPr>
              <w:t>)</w:t>
            </w:r>
            <w:r>
              <w:rPr>
                <w:rFonts w:ascii="Arial"/>
                <w:sz w:val="18"/>
              </w:rPr>
            </w:r>
          </w:p>
        </w:tc>
      </w:tr>
      <w:tr>
        <w:trPr>
          <w:trHeight w:val="424" w:hRule="exact"/>
        </w:trPr>
        <w:tc>
          <w:tcPr>
            <w:tcW w:w="4264" w:type="dxa"/>
            <w:tcBorders>
              <w:top w:val="nil" w:sz="6" w:space="0" w:color="auto"/>
              <w:left w:val="nil" w:sz="6" w:space="0" w:color="auto"/>
              <w:bottom w:val="nil" w:sz="6" w:space="0" w:color="auto"/>
              <w:right w:val="nil" w:sz="6" w:space="0" w:color="auto"/>
            </w:tcBorders>
          </w:tcPr>
          <w:p>
            <w:pPr>
              <w:pStyle w:val="TableParagraph"/>
              <w:spacing w:line="229" w:lineRule="exact"/>
              <w:ind w:left="27" w:right="0"/>
              <w:jc w:val="left"/>
              <w:rPr>
                <w:rFonts w:ascii="黑体" w:hAnsi="黑体" w:cs="黑体" w:eastAsia="黑体" w:hint="default"/>
                <w:sz w:val="20"/>
                <w:szCs w:val="20"/>
              </w:rPr>
            </w:pPr>
            <w:r>
              <w:rPr>
                <w:rFonts w:ascii="黑体" w:hAnsi="黑体" w:cs="黑体" w:eastAsia="黑体" w:hint="default"/>
                <w:sz w:val="20"/>
                <w:szCs w:val="20"/>
              </w:rPr>
              <w:t>加：年初现金及现金等价物余额</w:t>
            </w:r>
          </w:p>
        </w:tc>
        <w:tc>
          <w:tcPr>
            <w:tcW w:w="901" w:type="dxa"/>
            <w:tcBorders>
              <w:top w:val="nil" w:sz="6" w:space="0" w:color="auto"/>
              <w:left w:val="nil" w:sz="6" w:space="0" w:color="auto"/>
              <w:bottom w:val="nil" w:sz="6" w:space="0" w:color="auto"/>
              <w:right w:val="nil" w:sz="6" w:space="0" w:color="auto"/>
            </w:tcBorders>
          </w:tcPr>
          <w:p>
            <w:pP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7"/>
              <w:jc w:val="right"/>
              <w:rPr>
                <w:rFonts w:ascii="Arial" w:hAnsi="Arial" w:cs="Arial" w:eastAsia="Arial" w:hint="default"/>
                <w:sz w:val="20"/>
                <w:szCs w:val="20"/>
              </w:rPr>
            </w:pPr>
            <w:r>
              <w:rPr>
                <w:rFonts w:ascii="Arial"/>
                <w:w w:val="99"/>
                <w:sz w:val="20"/>
              </w:rPr>
            </w:r>
            <w:r>
              <w:rPr>
                <w:rFonts w:ascii="Arial"/>
                <w:spacing w:val="-1"/>
                <w:sz w:val="20"/>
                <w:u w:val="single" w:color="000000"/>
              </w:rPr>
              <w:t>1,390,141,191</w:t>
            </w:r>
            <w:r>
              <w:rPr>
                <w:rFonts w:ascii="Arial"/>
                <w:spacing w:val="-1"/>
                <w:sz w:val="20"/>
              </w:rPr>
            </w:r>
            <w:r>
              <w:rPr>
                <w:rFonts w:ascii="Arial"/>
                <w:sz w:val="20"/>
              </w:rPr>
            </w:r>
          </w:p>
        </w:tc>
        <w:tc>
          <w:tcPr>
            <w:tcW w:w="291" w:type="dxa"/>
            <w:tcBorders>
              <w:top w:val="nil" w:sz="6" w:space="0" w:color="auto"/>
              <w:left w:val="nil" w:sz="6" w:space="0" w:color="auto"/>
              <w:bottom w:val="nil" w:sz="6" w:space="0" w:color="auto"/>
              <w:right w:val="nil" w:sz="6" w:space="0" w:color="auto"/>
            </w:tcBorders>
          </w:tcPr>
          <w:p>
            <w:pP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7"/>
              <w:jc w:val="right"/>
              <w:rPr>
                <w:rFonts w:ascii="Arial" w:hAnsi="Arial" w:cs="Arial" w:eastAsia="Arial" w:hint="default"/>
                <w:sz w:val="20"/>
                <w:szCs w:val="20"/>
              </w:rPr>
            </w:pPr>
            <w:r>
              <w:rPr>
                <w:rFonts w:ascii="Arial"/>
                <w:w w:val="99"/>
                <w:sz w:val="20"/>
              </w:rPr>
            </w:r>
            <w:r>
              <w:rPr>
                <w:rFonts w:ascii="Arial"/>
                <w:spacing w:val="-1"/>
                <w:sz w:val="20"/>
                <w:u w:val="single" w:color="000000"/>
              </w:rPr>
              <w:t>1,391,758,890</w:t>
            </w:r>
            <w:r>
              <w:rPr>
                <w:rFonts w:ascii="Arial"/>
                <w:spacing w:val="-1"/>
                <w:sz w:val="20"/>
              </w:rPr>
            </w:r>
            <w:r>
              <w:rPr>
                <w:rFonts w:ascii="Arial"/>
                <w:sz w:val="20"/>
              </w:rPr>
            </w:r>
          </w:p>
        </w:tc>
        <w:tc>
          <w:tcPr>
            <w:tcW w:w="295" w:type="dxa"/>
            <w:tcBorders>
              <w:top w:val="nil" w:sz="6" w:space="0" w:color="auto"/>
              <w:left w:val="nil" w:sz="6" w:space="0" w:color="auto"/>
              <w:bottom w:val="nil" w:sz="6" w:space="0" w:color="auto"/>
              <w:right w:val="nil" w:sz="6" w:space="0" w:color="auto"/>
            </w:tcBorders>
          </w:tcPr>
          <w:p>
            <w:pPr/>
          </w:p>
        </w:tc>
      </w:tr>
      <w:tr>
        <w:trPr>
          <w:trHeight w:val="395" w:hRule="exact"/>
        </w:trPr>
        <w:tc>
          <w:tcPr>
            <w:tcW w:w="4264"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7" w:right="0"/>
              <w:jc w:val="left"/>
              <w:rPr>
                <w:rFonts w:ascii="黑体" w:hAnsi="黑体" w:cs="黑体" w:eastAsia="黑体" w:hint="default"/>
                <w:sz w:val="20"/>
                <w:szCs w:val="20"/>
              </w:rPr>
            </w:pPr>
            <w:r>
              <w:rPr>
                <w:rFonts w:ascii="黑体" w:hAnsi="黑体" w:cs="黑体" w:eastAsia="黑体" w:hint="default"/>
                <w:sz w:val="20"/>
                <w:szCs w:val="20"/>
              </w:rPr>
              <w:t>六、年末现金及现金等价物余额</w:t>
            </w: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219"/>
              <w:jc w:val="center"/>
              <w:rPr>
                <w:rFonts w:ascii="Arial" w:hAnsi="Arial" w:cs="Arial" w:eastAsia="Arial" w:hint="default"/>
                <w:sz w:val="20"/>
                <w:szCs w:val="20"/>
              </w:rPr>
            </w:pPr>
            <w:r>
              <w:rPr>
                <w:rFonts w:ascii="Arial"/>
                <w:sz w:val="20"/>
              </w:rPr>
              <w:t>48</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27"/>
              <w:jc w:val="right"/>
              <w:rPr>
                <w:rFonts w:ascii="Arial" w:hAnsi="Arial" w:cs="Arial" w:eastAsia="Arial" w:hint="default"/>
                <w:sz w:val="20"/>
                <w:szCs w:val="20"/>
              </w:rPr>
            </w:pPr>
            <w:r>
              <w:rPr>
                <w:rFonts w:ascii="Arial"/>
                <w:w w:val="99"/>
                <w:sz w:val="20"/>
              </w:rPr>
            </w:r>
            <w:r>
              <w:rPr>
                <w:rFonts w:ascii="Arial"/>
                <w:spacing w:val="-1"/>
                <w:sz w:val="20"/>
                <w:u w:val="thick" w:color="000000"/>
              </w:rPr>
              <w:t>1,679,570,661</w:t>
            </w:r>
            <w:r>
              <w:rPr>
                <w:rFonts w:ascii="Arial"/>
                <w:spacing w:val="-1"/>
                <w:sz w:val="20"/>
              </w:rPr>
            </w:r>
            <w:r>
              <w:rPr>
                <w:rFonts w:ascii="Arial"/>
                <w:sz w:val="20"/>
              </w:rPr>
            </w:r>
          </w:p>
        </w:tc>
        <w:tc>
          <w:tcPr>
            <w:tcW w:w="291" w:type="dxa"/>
            <w:tcBorders>
              <w:top w:val="nil" w:sz="6" w:space="0" w:color="auto"/>
              <w:left w:val="nil" w:sz="6" w:space="0" w:color="auto"/>
              <w:bottom w:val="nil" w:sz="6" w:space="0" w:color="auto"/>
              <w:right w:val="nil" w:sz="6" w:space="0" w:color="auto"/>
            </w:tcBorders>
          </w:tcPr>
          <w:p>
            <w:pP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26"/>
              <w:jc w:val="right"/>
              <w:rPr>
                <w:rFonts w:ascii="Arial" w:hAnsi="Arial" w:cs="Arial" w:eastAsia="Arial" w:hint="default"/>
                <w:sz w:val="20"/>
                <w:szCs w:val="20"/>
              </w:rPr>
            </w:pPr>
            <w:r>
              <w:rPr>
                <w:rFonts w:ascii="Arial"/>
                <w:w w:val="99"/>
                <w:sz w:val="20"/>
              </w:rPr>
            </w:r>
            <w:r>
              <w:rPr>
                <w:rFonts w:ascii="Arial"/>
                <w:spacing w:val="-1"/>
                <w:sz w:val="20"/>
                <w:u w:val="thick" w:color="000000"/>
              </w:rPr>
              <w:t>1,390,141,191</w:t>
            </w:r>
            <w:r>
              <w:rPr>
                <w:rFonts w:ascii="Arial"/>
                <w:spacing w:val="-1"/>
                <w:sz w:val="20"/>
              </w:rPr>
            </w:r>
          </w:p>
        </w:tc>
        <w:tc>
          <w:tcPr>
            <w:tcW w:w="295" w:type="dxa"/>
            <w:tcBorders>
              <w:top w:val="nil" w:sz="6" w:space="0" w:color="auto"/>
              <w:left w:val="nil" w:sz="6" w:space="0" w:color="auto"/>
              <w:bottom w:val="nil" w:sz="6" w:space="0" w:color="auto"/>
              <w:right w:val="nil" w:sz="6" w:space="0" w:color="auto"/>
            </w:tcBorders>
          </w:tcPr>
          <w:p>
            <w:pPr/>
          </w:p>
        </w:tc>
      </w:tr>
    </w:tbl>
    <w:p>
      <w:pPr>
        <w:spacing w:after="0"/>
        <w:sectPr>
          <w:pgSz w:w="11910" w:h="16850"/>
          <w:pgMar w:header="957" w:footer="823" w:top="1160" w:bottom="1020" w:left="1600" w:right="1160"/>
        </w:sectPr>
      </w:pPr>
    </w:p>
    <w:p>
      <w:pPr>
        <w:pStyle w:val="Heading4"/>
        <w:spacing w:line="292" w:lineRule="auto"/>
        <w:ind w:left="3581" w:right="3677"/>
        <w:jc w:val="center"/>
        <w:rPr>
          <w:b w:val="0"/>
          <w:bCs w:val="0"/>
        </w:rPr>
      </w:pPr>
      <w:r>
        <w:rPr/>
        <w:t>公司资产负债表</w:t>
      </w:r>
      <w:r>
        <w:rPr>
          <w:w w:val="99"/>
        </w:rPr>
        <w:t> </w:t>
      </w:r>
      <w:r>
        <w:rPr>
          <w:rFonts w:ascii="Arial" w:hAnsi="Arial" w:cs="Arial" w:eastAsia="Arial" w:hint="default"/>
        </w:rPr>
        <w:t>2012</w:t>
      </w:r>
      <w:r>
        <w:rPr>
          <w:rFonts w:ascii="Arial" w:hAnsi="Arial" w:cs="Arial" w:eastAsia="Arial" w:hint="default"/>
          <w:spacing w:val="-8"/>
        </w:rPr>
        <w:t> </w:t>
      </w:r>
      <w:r>
        <w:rPr/>
        <w:t>年度</w:t>
      </w:r>
      <w:r>
        <w:rPr>
          <w:w w:val="99"/>
        </w:rPr>
        <w:t> </w:t>
      </w:r>
      <w:r>
        <w:rPr/>
        <w:t>人民币元</w:t>
      </w:r>
      <w:r>
        <w:rPr>
          <w:b w:val="0"/>
          <w:bCs w:val="0"/>
        </w:rPr>
      </w:r>
    </w:p>
    <w:p>
      <w:pPr>
        <w:spacing w:line="240" w:lineRule="auto" w:before="9"/>
        <w:rPr>
          <w:rFonts w:ascii="黑体" w:hAnsi="黑体" w:cs="黑体" w:eastAsia="黑体" w:hint="default"/>
          <w:b/>
          <w:bCs/>
          <w:sz w:val="16"/>
          <w:szCs w:val="16"/>
        </w:rPr>
      </w:pPr>
    </w:p>
    <w:tbl>
      <w:tblPr>
        <w:tblW w:w="0" w:type="auto"/>
        <w:jc w:val="left"/>
        <w:tblInd w:w="101" w:type="dxa"/>
        <w:tblLayout w:type="fixed"/>
        <w:tblCellMar>
          <w:top w:w="0" w:type="dxa"/>
          <w:left w:w="0" w:type="dxa"/>
          <w:bottom w:w="0" w:type="dxa"/>
          <w:right w:w="0" w:type="dxa"/>
        </w:tblCellMar>
        <w:tblLook w:val="01E0"/>
      </w:tblPr>
      <w:tblGrid>
        <w:gridCol w:w="2626"/>
        <w:gridCol w:w="2275"/>
        <w:gridCol w:w="1974"/>
        <w:gridCol w:w="1719"/>
      </w:tblGrid>
      <w:tr>
        <w:trPr>
          <w:trHeight w:val="1030" w:hRule="exact"/>
        </w:trPr>
        <w:tc>
          <w:tcPr>
            <w:tcW w:w="2626"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9"/>
              <w:ind w:right="0"/>
              <w:jc w:val="left"/>
              <w:rPr>
                <w:rFonts w:ascii="黑体" w:hAnsi="黑体" w:cs="黑体" w:eastAsia="黑体" w:hint="default"/>
                <w:b/>
                <w:bCs/>
                <w:sz w:val="26"/>
                <w:szCs w:val="26"/>
              </w:rPr>
            </w:pPr>
          </w:p>
          <w:p>
            <w:pPr>
              <w:pStyle w:val="TableParagraph"/>
              <w:spacing w:line="240" w:lineRule="auto"/>
              <w:ind w:right="0"/>
              <w:jc w:val="left"/>
              <w:rPr>
                <w:rFonts w:ascii="黑体" w:hAnsi="黑体" w:cs="黑体" w:eastAsia="黑体" w:hint="default"/>
                <w:sz w:val="20"/>
                <w:szCs w:val="20"/>
              </w:rPr>
            </w:pPr>
            <w:r>
              <w:rPr>
                <w:rFonts w:ascii="黑体" w:hAnsi="黑体" w:cs="黑体" w:eastAsia="黑体" w:hint="default"/>
                <w:b/>
                <w:bCs/>
                <w:sz w:val="20"/>
                <w:szCs w:val="20"/>
              </w:rPr>
              <w:t>资产</w:t>
            </w:r>
            <w:r>
              <w:rPr>
                <w:rFonts w:ascii="黑体" w:hAnsi="黑体" w:cs="黑体" w:eastAsia="黑体" w:hint="default"/>
                <w:sz w:val="20"/>
                <w:szCs w:val="20"/>
              </w:rPr>
            </w:r>
          </w:p>
        </w:tc>
        <w:tc>
          <w:tcPr>
            <w:tcW w:w="2275"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9"/>
              <w:ind w:right="0"/>
              <w:jc w:val="left"/>
              <w:rPr>
                <w:rFonts w:ascii="黑体" w:hAnsi="黑体" w:cs="黑体" w:eastAsia="黑体" w:hint="default"/>
                <w:b/>
                <w:bCs/>
                <w:sz w:val="26"/>
                <w:szCs w:val="26"/>
              </w:rPr>
            </w:pPr>
          </w:p>
          <w:p>
            <w:pPr>
              <w:pStyle w:val="TableParagraph"/>
              <w:spacing w:line="240" w:lineRule="auto"/>
              <w:ind w:left="551" w:right="0"/>
              <w:jc w:val="center"/>
              <w:rPr>
                <w:rFonts w:ascii="黑体" w:hAnsi="黑体" w:cs="黑体" w:eastAsia="黑体" w:hint="default"/>
                <w:sz w:val="20"/>
                <w:szCs w:val="20"/>
              </w:rPr>
            </w:pPr>
            <w:r>
              <w:rPr>
                <w:rFonts w:ascii="黑体" w:hAnsi="黑体" w:cs="黑体" w:eastAsia="黑体" w:hint="default"/>
                <w:b/>
                <w:bCs/>
                <w:sz w:val="20"/>
                <w:szCs w:val="20"/>
              </w:rPr>
              <w:t>附注十三</w:t>
            </w:r>
            <w:r>
              <w:rPr>
                <w:rFonts w:ascii="黑体" w:hAnsi="黑体" w:cs="黑体" w:eastAsia="黑体" w:hint="default"/>
                <w:sz w:val="20"/>
                <w:szCs w:val="20"/>
              </w:rPr>
            </w:r>
          </w:p>
        </w:tc>
        <w:tc>
          <w:tcPr>
            <w:tcW w:w="1974"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b/>
                <w:bCs/>
                <w:sz w:val="26"/>
                <w:szCs w:val="26"/>
              </w:rPr>
            </w:pPr>
          </w:p>
          <w:p>
            <w:pPr>
              <w:pStyle w:val="TableParagraph"/>
              <w:spacing w:line="268" w:lineRule="exact"/>
              <w:ind w:left="887" w:right="0"/>
              <w:jc w:val="left"/>
              <w:rPr>
                <w:rFonts w:ascii="黑体" w:hAnsi="黑体" w:cs="黑体" w:eastAsia="黑体" w:hint="default"/>
                <w:sz w:val="20"/>
                <w:szCs w:val="20"/>
              </w:rPr>
            </w:pPr>
            <w:r>
              <w:rPr>
                <w:rFonts w:ascii="Arial" w:hAnsi="Arial" w:cs="Arial" w:eastAsia="Arial" w:hint="default"/>
                <w:b/>
                <w:bCs/>
                <w:sz w:val="20"/>
                <w:szCs w:val="20"/>
              </w:rPr>
              <w:t>2012</w:t>
            </w:r>
            <w:r>
              <w:rPr>
                <w:rFonts w:ascii="黑体" w:hAnsi="黑体" w:cs="黑体" w:eastAsia="黑体" w:hint="default"/>
                <w:b/>
                <w:bCs/>
                <w:sz w:val="20"/>
                <w:szCs w:val="20"/>
              </w:rPr>
              <w:t>年</w:t>
            </w:r>
            <w:r>
              <w:rPr>
                <w:rFonts w:ascii="黑体" w:hAnsi="黑体" w:cs="黑体" w:eastAsia="黑体" w:hint="default"/>
                <w:sz w:val="20"/>
                <w:szCs w:val="20"/>
              </w:rPr>
            </w:r>
          </w:p>
          <w:p>
            <w:pPr>
              <w:pStyle w:val="TableParagraph"/>
              <w:spacing w:line="268" w:lineRule="exact"/>
              <w:ind w:left="686" w:right="0"/>
              <w:jc w:val="left"/>
              <w:rPr>
                <w:rFonts w:ascii="黑体" w:hAnsi="黑体" w:cs="黑体" w:eastAsia="黑体" w:hint="default"/>
                <w:sz w:val="20"/>
                <w:szCs w:val="20"/>
              </w:rPr>
            </w:pPr>
            <w:r>
              <w:rPr>
                <w:rFonts w:ascii="Arial" w:hAnsi="Arial" w:cs="Arial" w:eastAsia="Arial" w:hint="default"/>
                <w:b/>
                <w:bCs/>
                <w:sz w:val="20"/>
                <w:szCs w:val="20"/>
              </w:rPr>
              <w:t>12</w:t>
            </w:r>
            <w:r>
              <w:rPr>
                <w:rFonts w:ascii="黑体" w:hAnsi="黑体" w:cs="黑体" w:eastAsia="黑体" w:hint="default"/>
                <w:b/>
                <w:bCs/>
                <w:sz w:val="20"/>
                <w:szCs w:val="20"/>
              </w:rPr>
              <w:t>月</w:t>
            </w:r>
            <w:r>
              <w:rPr>
                <w:rFonts w:ascii="Arial" w:hAnsi="Arial" w:cs="Arial" w:eastAsia="Arial" w:hint="default"/>
                <w:b/>
                <w:bCs/>
                <w:sz w:val="20"/>
                <w:szCs w:val="20"/>
              </w:rPr>
              <w:t>31</w:t>
            </w:r>
            <w:r>
              <w:rPr>
                <w:rFonts w:ascii="黑体" w:hAnsi="黑体" w:cs="黑体" w:eastAsia="黑体" w:hint="default"/>
                <w:b/>
                <w:bCs/>
                <w:sz w:val="20"/>
                <w:szCs w:val="20"/>
              </w:rPr>
              <w:t>日</w:t>
            </w:r>
            <w:r>
              <w:rPr>
                <w:rFonts w:ascii="黑体" w:hAnsi="黑体" w:cs="黑体" w:eastAsia="黑体" w:hint="default"/>
                <w:sz w:val="20"/>
                <w:szCs w:val="20"/>
              </w:rPr>
            </w:r>
          </w:p>
        </w:tc>
        <w:tc>
          <w:tcPr>
            <w:tcW w:w="1719"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b/>
                <w:bCs/>
                <w:sz w:val="26"/>
                <w:szCs w:val="26"/>
              </w:rPr>
            </w:pPr>
          </w:p>
          <w:p>
            <w:pPr>
              <w:pStyle w:val="TableParagraph"/>
              <w:spacing w:line="268" w:lineRule="exact"/>
              <w:ind w:left="1074" w:right="0"/>
              <w:jc w:val="left"/>
              <w:rPr>
                <w:rFonts w:ascii="黑体" w:hAnsi="黑体" w:cs="黑体" w:eastAsia="黑体" w:hint="default"/>
                <w:sz w:val="20"/>
                <w:szCs w:val="20"/>
              </w:rPr>
            </w:pPr>
            <w:r>
              <w:rPr>
                <w:rFonts w:ascii="Arial" w:hAnsi="Arial" w:cs="Arial" w:eastAsia="Arial" w:hint="default"/>
                <w:b/>
                <w:bCs/>
                <w:w w:val="95"/>
                <w:sz w:val="20"/>
                <w:szCs w:val="20"/>
              </w:rPr>
              <w:t>2011</w:t>
            </w:r>
            <w:r>
              <w:rPr>
                <w:rFonts w:ascii="黑体" w:hAnsi="黑体" w:cs="黑体" w:eastAsia="黑体" w:hint="default"/>
                <w:b/>
                <w:bCs/>
                <w:w w:val="95"/>
                <w:sz w:val="20"/>
                <w:szCs w:val="20"/>
              </w:rPr>
              <w:t>年</w:t>
            </w:r>
            <w:r>
              <w:rPr>
                <w:rFonts w:ascii="黑体" w:hAnsi="黑体" w:cs="黑体" w:eastAsia="黑体" w:hint="default"/>
                <w:sz w:val="20"/>
                <w:szCs w:val="20"/>
              </w:rPr>
            </w:r>
          </w:p>
          <w:p>
            <w:pPr>
              <w:pStyle w:val="TableParagraph"/>
              <w:spacing w:line="268" w:lineRule="exact"/>
              <w:ind w:left="872" w:right="0"/>
              <w:jc w:val="left"/>
              <w:rPr>
                <w:rFonts w:ascii="黑体" w:hAnsi="黑体" w:cs="黑体" w:eastAsia="黑体" w:hint="default"/>
                <w:sz w:val="20"/>
                <w:szCs w:val="20"/>
              </w:rPr>
            </w:pPr>
            <w:r>
              <w:rPr>
                <w:rFonts w:ascii="Arial" w:hAnsi="Arial" w:cs="Arial" w:eastAsia="Arial" w:hint="default"/>
                <w:b/>
                <w:bCs/>
                <w:w w:val="95"/>
                <w:sz w:val="20"/>
                <w:szCs w:val="20"/>
              </w:rPr>
              <w:t>12</w:t>
            </w:r>
            <w:r>
              <w:rPr>
                <w:rFonts w:ascii="黑体" w:hAnsi="黑体" w:cs="黑体" w:eastAsia="黑体" w:hint="default"/>
                <w:b/>
                <w:bCs/>
                <w:w w:val="95"/>
                <w:sz w:val="20"/>
                <w:szCs w:val="20"/>
              </w:rPr>
              <w:t>月</w:t>
            </w:r>
            <w:r>
              <w:rPr>
                <w:rFonts w:ascii="Arial" w:hAnsi="Arial" w:cs="Arial" w:eastAsia="Arial" w:hint="default"/>
                <w:b/>
                <w:bCs/>
                <w:w w:val="95"/>
                <w:sz w:val="20"/>
                <w:szCs w:val="20"/>
              </w:rPr>
              <w:t>31</w:t>
            </w:r>
            <w:r>
              <w:rPr>
                <w:rFonts w:ascii="黑体" w:hAnsi="黑体" w:cs="黑体" w:eastAsia="黑体" w:hint="default"/>
                <w:b/>
                <w:bCs/>
                <w:w w:val="95"/>
                <w:sz w:val="20"/>
                <w:szCs w:val="20"/>
              </w:rPr>
              <w:t>日</w:t>
            </w:r>
            <w:r>
              <w:rPr>
                <w:rFonts w:ascii="黑体" w:hAnsi="黑体" w:cs="黑体" w:eastAsia="黑体" w:hint="default"/>
                <w:sz w:val="20"/>
                <w:szCs w:val="20"/>
              </w:rPr>
            </w:r>
          </w:p>
        </w:tc>
      </w:tr>
      <w:tr>
        <w:trPr>
          <w:trHeight w:val="488" w:hRule="exact"/>
        </w:trPr>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0"/>
              <w:jc w:val="left"/>
              <w:rPr>
                <w:rFonts w:ascii="Arial" w:hAnsi="Arial" w:cs="Arial" w:eastAsia="Arial" w:hint="default"/>
                <w:sz w:val="20"/>
                <w:szCs w:val="20"/>
              </w:rPr>
            </w:pPr>
            <w:r>
              <w:rPr>
                <w:rFonts w:ascii="黑体" w:hAnsi="黑体" w:cs="黑体" w:eastAsia="黑体" w:hint="default"/>
                <w:sz w:val="20"/>
                <w:szCs w:val="20"/>
              </w:rPr>
              <w:t>流动资产</w:t>
            </w:r>
            <w:r>
              <w:rPr>
                <w:rFonts w:ascii="Arial" w:hAnsi="Arial" w:cs="Arial" w:eastAsia="Arial" w:hint="default"/>
                <w:sz w:val="20"/>
                <w:szCs w:val="20"/>
              </w:rPr>
              <w:t>:</w:t>
            </w:r>
          </w:p>
        </w:tc>
        <w:tc>
          <w:tcPr>
            <w:tcW w:w="2275" w:type="dxa"/>
            <w:tcBorders>
              <w:top w:val="nil" w:sz="6" w:space="0" w:color="auto"/>
              <w:left w:val="nil" w:sz="6" w:space="0" w:color="auto"/>
              <w:bottom w:val="nil" w:sz="6" w:space="0" w:color="auto"/>
              <w:right w:val="nil" w:sz="6" w:space="0" w:color="auto"/>
            </w:tcBorders>
          </w:tcPr>
          <w:p>
            <w:pPr/>
          </w:p>
        </w:tc>
        <w:tc>
          <w:tcPr>
            <w:tcW w:w="1974" w:type="dxa"/>
            <w:tcBorders>
              <w:top w:val="nil" w:sz="6" w:space="0" w:color="auto"/>
              <w:left w:val="nil" w:sz="6" w:space="0" w:color="auto"/>
              <w:bottom w:val="nil" w:sz="6" w:space="0" w:color="auto"/>
              <w:right w:val="nil" w:sz="6" w:space="0" w:color="auto"/>
            </w:tcBorders>
          </w:tcPr>
          <w:p>
            <w:pPr/>
          </w:p>
        </w:tc>
        <w:tc>
          <w:tcPr>
            <w:tcW w:w="1719" w:type="dxa"/>
            <w:tcBorders>
              <w:top w:val="nil" w:sz="6" w:space="0" w:color="auto"/>
              <w:left w:val="nil" w:sz="6" w:space="0" w:color="auto"/>
              <w:bottom w:val="nil" w:sz="6" w:space="0" w:color="auto"/>
              <w:right w:val="nil" w:sz="6" w:space="0" w:color="auto"/>
            </w:tcBorders>
          </w:tcPr>
          <w:p>
            <w:pPr/>
          </w:p>
        </w:tc>
      </w:tr>
      <w:tr>
        <w:trPr>
          <w:trHeight w:val="374" w:hRule="exact"/>
        </w:trPr>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420" w:right="0"/>
              <w:jc w:val="left"/>
              <w:rPr>
                <w:rFonts w:ascii="黑体" w:hAnsi="黑体" w:cs="黑体" w:eastAsia="黑体" w:hint="default"/>
                <w:sz w:val="20"/>
                <w:szCs w:val="20"/>
              </w:rPr>
            </w:pPr>
            <w:r>
              <w:rPr>
                <w:rFonts w:ascii="黑体" w:hAnsi="黑体" w:cs="黑体" w:eastAsia="黑体" w:hint="default"/>
                <w:sz w:val="20"/>
                <w:szCs w:val="20"/>
              </w:rPr>
              <w:t>货币资金</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552" w:right="0"/>
              <w:jc w:val="center"/>
              <w:rPr>
                <w:rFonts w:ascii="Arial" w:hAnsi="Arial" w:cs="Arial" w:eastAsia="Arial" w:hint="default"/>
                <w:sz w:val="20"/>
                <w:szCs w:val="20"/>
              </w:rPr>
            </w:pPr>
            <w:r>
              <w:rPr>
                <w:rFonts w:ascii="Arial"/>
                <w:w w:val="99"/>
                <w:sz w:val="20"/>
              </w:rPr>
              <w:t>1</w:t>
            </w:r>
            <w:r>
              <w:rPr>
                <w:rFonts w:ascii="Arial"/>
                <w:sz w:val="20"/>
              </w:rPr>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442"/>
              <w:jc w:val="right"/>
              <w:rPr>
                <w:rFonts w:ascii="Arial" w:hAnsi="Arial" w:cs="Arial" w:eastAsia="Arial" w:hint="default"/>
                <w:sz w:val="20"/>
                <w:szCs w:val="20"/>
              </w:rPr>
            </w:pPr>
            <w:r>
              <w:rPr>
                <w:rFonts w:ascii="Arial"/>
                <w:spacing w:val="-1"/>
                <w:sz w:val="20"/>
              </w:rPr>
              <w:t>600,345,732</w:t>
            </w:r>
            <w:r>
              <w:rPr>
                <w:rFonts w:ascii="Arial"/>
                <w:sz w:val="20"/>
              </w:rPr>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
              <w:jc w:val="right"/>
              <w:rPr>
                <w:rFonts w:ascii="Arial" w:hAnsi="Arial" w:cs="Arial" w:eastAsia="Arial" w:hint="default"/>
                <w:sz w:val="20"/>
                <w:szCs w:val="20"/>
              </w:rPr>
            </w:pPr>
            <w:r>
              <w:rPr>
                <w:rFonts w:ascii="Arial"/>
                <w:spacing w:val="-1"/>
                <w:sz w:val="20"/>
              </w:rPr>
              <w:t>439,834,187</w:t>
            </w:r>
            <w:r>
              <w:rPr>
                <w:rFonts w:ascii="Arial"/>
                <w:sz w:val="20"/>
              </w:rPr>
            </w:r>
          </w:p>
        </w:tc>
      </w:tr>
      <w:tr>
        <w:trPr>
          <w:trHeight w:val="259" w:hRule="exact"/>
        </w:trPr>
        <w:tc>
          <w:tcPr>
            <w:tcW w:w="2626" w:type="dxa"/>
            <w:tcBorders>
              <w:top w:val="nil" w:sz="6" w:space="0" w:color="auto"/>
              <w:left w:val="nil" w:sz="6" w:space="0" w:color="auto"/>
              <w:bottom w:val="nil" w:sz="6" w:space="0" w:color="auto"/>
              <w:right w:val="nil" w:sz="6" w:space="0" w:color="auto"/>
            </w:tcBorders>
          </w:tcPr>
          <w:p>
            <w:pPr>
              <w:pStyle w:val="TableParagraph"/>
              <w:spacing w:line="226" w:lineRule="exact"/>
              <w:ind w:left="427" w:right="0"/>
              <w:jc w:val="left"/>
              <w:rPr>
                <w:rFonts w:ascii="黑体" w:hAnsi="黑体" w:cs="黑体" w:eastAsia="黑体" w:hint="default"/>
                <w:sz w:val="20"/>
                <w:szCs w:val="20"/>
              </w:rPr>
            </w:pPr>
            <w:r>
              <w:rPr>
                <w:rFonts w:ascii="黑体" w:hAnsi="黑体" w:cs="黑体" w:eastAsia="黑体" w:hint="default"/>
                <w:sz w:val="20"/>
                <w:szCs w:val="20"/>
              </w:rPr>
              <w:t>应收票据</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7"/>
              <w:ind w:left="552" w:right="0"/>
              <w:jc w:val="center"/>
              <w:rPr>
                <w:rFonts w:ascii="Arial" w:hAnsi="Arial" w:cs="Arial" w:eastAsia="Arial" w:hint="default"/>
                <w:sz w:val="20"/>
                <w:szCs w:val="20"/>
              </w:rPr>
            </w:pPr>
            <w:r>
              <w:rPr>
                <w:rFonts w:ascii="Arial"/>
                <w:w w:val="99"/>
                <w:sz w:val="20"/>
              </w:rPr>
              <w:t>2</w:t>
            </w:r>
            <w:r>
              <w:rPr>
                <w:rFonts w:ascii="Arial"/>
                <w:sz w:val="20"/>
              </w:rPr>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40"/>
              <w:jc w:val="right"/>
              <w:rPr>
                <w:rFonts w:ascii="Arial" w:hAnsi="Arial" w:cs="Arial" w:eastAsia="Arial" w:hint="default"/>
                <w:sz w:val="20"/>
                <w:szCs w:val="20"/>
              </w:rPr>
            </w:pPr>
            <w:r>
              <w:rPr>
                <w:rFonts w:ascii="Arial"/>
                <w:spacing w:val="-1"/>
                <w:sz w:val="20"/>
              </w:rPr>
              <w:t>42,348,626</w:t>
            </w:r>
            <w:r>
              <w:rPr>
                <w:rFonts w:ascii="Arial"/>
                <w:sz w:val="20"/>
              </w:rPr>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
              <w:jc w:val="right"/>
              <w:rPr>
                <w:rFonts w:ascii="Arial" w:hAnsi="Arial" w:cs="Arial" w:eastAsia="Arial" w:hint="default"/>
                <w:sz w:val="20"/>
                <w:szCs w:val="20"/>
              </w:rPr>
            </w:pPr>
            <w:r>
              <w:rPr>
                <w:rFonts w:ascii="Arial"/>
                <w:spacing w:val="-1"/>
                <w:sz w:val="20"/>
              </w:rPr>
              <w:t>6,862,000</w:t>
            </w:r>
          </w:p>
        </w:tc>
      </w:tr>
      <w:tr>
        <w:trPr>
          <w:trHeight w:val="259" w:hRule="exact"/>
        </w:trPr>
        <w:tc>
          <w:tcPr>
            <w:tcW w:w="2626" w:type="dxa"/>
            <w:tcBorders>
              <w:top w:val="nil" w:sz="6" w:space="0" w:color="auto"/>
              <w:left w:val="nil" w:sz="6" w:space="0" w:color="auto"/>
              <w:bottom w:val="nil" w:sz="6" w:space="0" w:color="auto"/>
              <w:right w:val="nil" w:sz="6" w:space="0" w:color="auto"/>
            </w:tcBorders>
          </w:tcPr>
          <w:p>
            <w:pPr>
              <w:pStyle w:val="TableParagraph"/>
              <w:spacing w:line="226" w:lineRule="exact"/>
              <w:ind w:left="420" w:right="0"/>
              <w:jc w:val="left"/>
              <w:rPr>
                <w:rFonts w:ascii="黑体" w:hAnsi="黑体" w:cs="黑体" w:eastAsia="黑体" w:hint="default"/>
                <w:sz w:val="20"/>
                <w:szCs w:val="20"/>
              </w:rPr>
            </w:pPr>
            <w:r>
              <w:rPr>
                <w:rFonts w:ascii="黑体" w:hAnsi="黑体" w:cs="黑体" w:eastAsia="黑体" w:hint="default"/>
                <w:sz w:val="20"/>
                <w:szCs w:val="20"/>
              </w:rPr>
              <w:t>应收账款</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7"/>
              <w:ind w:left="552" w:right="0"/>
              <w:jc w:val="center"/>
              <w:rPr>
                <w:rFonts w:ascii="Arial" w:hAnsi="Arial" w:cs="Arial" w:eastAsia="Arial" w:hint="default"/>
                <w:sz w:val="20"/>
                <w:szCs w:val="20"/>
              </w:rPr>
            </w:pPr>
            <w:r>
              <w:rPr>
                <w:rFonts w:ascii="Arial"/>
                <w:w w:val="99"/>
                <w:sz w:val="20"/>
              </w:rPr>
              <w:t>3</w:t>
            </w:r>
            <w:r>
              <w:rPr>
                <w:rFonts w:ascii="Arial"/>
                <w:sz w:val="20"/>
              </w:rPr>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42"/>
              <w:jc w:val="right"/>
              <w:rPr>
                <w:rFonts w:ascii="Arial" w:hAnsi="Arial" w:cs="Arial" w:eastAsia="Arial" w:hint="default"/>
                <w:sz w:val="20"/>
                <w:szCs w:val="20"/>
              </w:rPr>
            </w:pPr>
            <w:r>
              <w:rPr>
                <w:rFonts w:ascii="Arial"/>
                <w:spacing w:val="-1"/>
                <w:sz w:val="20"/>
              </w:rPr>
              <w:t>682,192,768</w:t>
            </w:r>
            <w:r>
              <w:rPr>
                <w:rFonts w:ascii="Arial"/>
                <w:sz w:val="20"/>
              </w:rPr>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
              <w:jc w:val="right"/>
              <w:rPr>
                <w:rFonts w:ascii="Arial" w:hAnsi="Arial" w:cs="Arial" w:eastAsia="Arial" w:hint="default"/>
                <w:sz w:val="20"/>
                <w:szCs w:val="20"/>
              </w:rPr>
            </w:pPr>
            <w:r>
              <w:rPr>
                <w:rFonts w:ascii="Arial"/>
                <w:spacing w:val="-1"/>
                <w:sz w:val="20"/>
              </w:rPr>
              <w:t>639,880,264</w:t>
            </w:r>
            <w:r>
              <w:rPr>
                <w:rFonts w:ascii="Arial"/>
                <w:sz w:val="20"/>
              </w:rPr>
            </w:r>
          </w:p>
        </w:tc>
      </w:tr>
      <w:tr>
        <w:trPr>
          <w:trHeight w:val="259" w:hRule="exact"/>
        </w:trPr>
        <w:tc>
          <w:tcPr>
            <w:tcW w:w="2626" w:type="dxa"/>
            <w:tcBorders>
              <w:top w:val="nil" w:sz="6" w:space="0" w:color="auto"/>
              <w:left w:val="nil" w:sz="6" w:space="0" w:color="auto"/>
              <w:bottom w:val="nil" w:sz="6" w:space="0" w:color="auto"/>
              <w:right w:val="nil" w:sz="6" w:space="0" w:color="auto"/>
            </w:tcBorders>
          </w:tcPr>
          <w:p>
            <w:pPr>
              <w:pStyle w:val="TableParagraph"/>
              <w:spacing w:line="226" w:lineRule="exact"/>
              <w:ind w:left="420" w:right="0"/>
              <w:jc w:val="left"/>
              <w:rPr>
                <w:rFonts w:ascii="黑体" w:hAnsi="黑体" w:cs="黑体" w:eastAsia="黑体" w:hint="default"/>
                <w:sz w:val="20"/>
                <w:szCs w:val="20"/>
              </w:rPr>
            </w:pPr>
            <w:r>
              <w:rPr>
                <w:rFonts w:ascii="黑体" w:hAnsi="黑体" w:cs="黑体" w:eastAsia="黑体" w:hint="default"/>
                <w:sz w:val="20"/>
                <w:szCs w:val="20"/>
              </w:rPr>
              <w:t>预付款项</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7"/>
              <w:ind w:left="552" w:right="0"/>
              <w:jc w:val="center"/>
              <w:rPr>
                <w:rFonts w:ascii="Arial" w:hAnsi="Arial" w:cs="Arial" w:eastAsia="Arial" w:hint="default"/>
                <w:sz w:val="20"/>
                <w:szCs w:val="20"/>
              </w:rPr>
            </w:pPr>
            <w:r>
              <w:rPr>
                <w:rFonts w:ascii="Arial"/>
                <w:w w:val="99"/>
                <w:sz w:val="20"/>
              </w:rPr>
              <w:t>4</w:t>
            </w:r>
            <w:r>
              <w:rPr>
                <w:rFonts w:ascii="Arial"/>
                <w:sz w:val="20"/>
              </w:rPr>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40"/>
              <w:jc w:val="right"/>
              <w:rPr>
                <w:rFonts w:ascii="Arial" w:hAnsi="Arial" w:cs="Arial" w:eastAsia="Arial" w:hint="default"/>
                <w:sz w:val="20"/>
                <w:szCs w:val="20"/>
              </w:rPr>
            </w:pPr>
            <w:r>
              <w:rPr>
                <w:rFonts w:ascii="Arial"/>
                <w:spacing w:val="-1"/>
                <w:sz w:val="20"/>
              </w:rPr>
              <w:t>7,422,442</w:t>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
              <w:jc w:val="right"/>
              <w:rPr>
                <w:rFonts w:ascii="Arial" w:hAnsi="Arial" w:cs="Arial" w:eastAsia="Arial" w:hint="default"/>
                <w:sz w:val="20"/>
                <w:szCs w:val="20"/>
              </w:rPr>
            </w:pPr>
            <w:r>
              <w:rPr>
                <w:rFonts w:ascii="Arial"/>
                <w:spacing w:val="-1"/>
                <w:sz w:val="20"/>
              </w:rPr>
              <w:t>2,638,792</w:t>
            </w:r>
          </w:p>
        </w:tc>
      </w:tr>
      <w:tr>
        <w:trPr>
          <w:trHeight w:val="259" w:hRule="exact"/>
        </w:trPr>
        <w:tc>
          <w:tcPr>
            <w:tcW w:w="2626" w:type="dxa"/>
            <w:tcBorders>
              <w:top w:val="nil" w:sz="6" w:space="0" w:color="auto"/>
              <w:left w:val="nil" w:sz="6" w:space="0" w:color="auto"/>
              <w:bottom w:val="nil" w:sz="6" w:space="0" w:color="auto"/>
              <w:right w:val="nil" w:sz="6" w:space="0" w:color="auto"/>
            </w:tcBorders>
          </w:tcPr>
          <w:p>
            <w:pPr>
              <w:pStyle w:val="TableParagraph"/>
              <w:spacing w:line="226" w:lineRule="exact"/>
              <w:ind w:left="427" w:right="0"/>
              <w:jc w:val="left"/>
              <w:rPr>
                <w:rFonts w:ascii="黑体" w:hAnsi="黑体" w:cs="黑体" w:eastAsia="黑体" w:hint="default"/>
                <w:sz w:val="20"/>
                <w:szCs w:val="20"/>
              </w:rPr>
            </w:pPr>
            <w:r>
              <w:rPr>
                <w:rFonts w:ascii="黑体" w:hAnsi="黑体" w:cs="黑体" w:eastAsia="黑体" w:hint="default"/>
                <w:sz w:val="20"/>
                <w:szCs w:val="20"/>
              </w:rPr>
              <w:t>应收股利</w:t>
            </w:r>
          </w:p>
        </w:tc>
        <w:tc>
          <w:tcPr>
            <w:tcW w:w="2275" w:type="dxa"/>
            <w:tcBorders>
              <w:top w:val="nil" w:sz="6" w:space="0" w:color="auto"/>
              <w:left w:val="nil" w:sz="6" w:space="0" w:color="auto"/>
              <w:bottom w:val="nil" w:sz="6" w:space="0" w:color="auto"/>
              <w:right w:val="nil" w:sz="6" w:space="0" w:color="auto"/>
            </w:tcBorders>
          </w:tcPr>
          <w:p>
            <w:pP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40"/>
              <w:jc w:val="right"/>
              <w:rPr>
                <w:rFonts w:ascii="Arial" w:hAnsi="Arial" w:cs="Arial" w:eastAsia="Arial" w:hint="default"/>
                <w:sz w:val="20"/>
                <w:szCs w:val="20"/>
              </w:rPr>
            </w:pPr>
            <w:r>
              <w:rPr>
                <w:rFonts w:ascii="Arial"/>
                <w:spacing w:val="-1"/>
                <w:sz w:val="20"/>
              </w:rPr>
              <w:t>12,002,658</w:t>
            </w:r>
            <w:r>
              <w:rPr>
                <w:rFonts w:ascii="Arial"/>
                <w:sz w:val="20"/>
              </w:rPr>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
              <w:jc w:val="right"/>
              <w:rPr>
                <w:rFonts w:ascii="Arial" w:hAnsi="Arial" w:cs="Arial" w:eastAsia="Arial" w:hint="default"/>
                <w:sz w:val="20"/>
                <w:szCs w:val="20"/>
              </w:rPr>
            </w:pPr>
            <w:r>
              <w:rPr>
                <w:rFonts w:ascii="Arial"/>
                <w:spacing w:val="-1"/>
                <w:sz w:val="20"/>
              </w:rPr>
              <w:t>12,002,658</w:t>
            </w:r>
            <w:r>
              <w:rPr>
                <w:rFonts w:ascii="Arial"/>
                <w:sz w:val="20"/>
              </w:rPr>
            </w:r>
          </w:p>
        </w:tc>
      </w:tr>
      <w:tr>
        <w:trPr>
          <w:trHeight w:val="259" w:hRule="exact"/>
        </w:trPr>
        <w:tc>
          <w:tcPr>
            <w:tcW w:w="2626" w:type="dxa"/>
            <w:tcBorders>
              <w:top w:val="nil" w:sz="6" w:space="0" w:color="auto"/>
              <w:left w:val="nil" w:sz="6" w:space="0" w:color="auto"/>
              <w:bottom w:val="nil" w:sz="6" w:space="0" w:color="auto"/>
              <w:right w:val="nil" w:sz="6" w:space="0" w:color="auto"/>
            </w:tcBorders>
          </w:tcPr>
          <w:p>
            <w:pPr>
              <w:pStyle w:val="TableParagraph"/>
              <w:spacing w:line="226" w:lineRule="exact"/>
              <w:ind w:left="420" w:right="0"/>
              <w:jc w:val="left"/>
              <w:rPr>
                <w:rFonts w:ascii="黑体" w:hAnsi="黑体" w:cs="黑体" w:eastAsia="黑体" w:hint="default"/>
                <w:sz w:val="20"/>
                <w:szCs w:val="20"/>
              </w:rPr>
            </w:pPr>
            <w:r>
              <w:rPr>
                <w:rFonts w:ascii="黑体" w:hAnsi="黑体" w:cs="黑体" w:eastAsia="黑体" w:hint="default"/>
                <w:sz w:val="20"/>
                <w:szCs w:val="20"/>
              </w:rPr>
              <w:t>其他应收款</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7"/>
              <w:ind w:left="552" w:right="0"/>
              <w:jc w:val="center"/>
              <w:rPr>
                <w:rFonts w:ascii="Arial" w:hAnsi="Arial" w:cs="Arial" w:eastAsia="Arial" w:hint="default"/>
                <w:sz w:val="20"/>
                <w:szCs w:val="20"/>
              </w:rPr>
            </w:pPr>
            <w:r>
              <w:rPr>
                <w:rFonts w:ascii="Arial"/>
                <w:w w:val="99"/>
                <w:sz w:val="20"/>
              </w:rPr>
              <w:t>5</w:t>
            </w:r>
            <w:r>
              <w:rPr>
                <w:rFonts w:ascii="Arial"/>
                <w:sz w:val="20"/>
              </w:rPr>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42"/>
              <w:jc w:val="right"/>
              <w:rPr>
                <w:rFonts w:ascii="Arial" w:hAnsi="Arial" w:cs="Arial" w:eastAsia="Arial" w:hint="default"/>
                <w:sz w:val="20"/>
                <w:szCs w:val="20"/>
              </w:rPr>
            </w:pPr>
            <w:r>
              <w:rPr>
                <w:rFonts w:ascii="Arial"/>
                <w:spacing w:val="-1"/>
                <w:sz w:val="20"/>
              </w:rPr>
              <w:t>478,307,408</w:t>
            </w:r>
            <w:r>
              <w:rPr>
                <w:rFonts w:ascii="Arial"/>
                <w:sz w:val="20"/>
              </w:rPr>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
              <w:jc w:val="right"/>
              <w:rPr>
                <w:rFonts w:ascii="Arial" w:hAnsi="Arial" w:cs="Arial" w:eastAsia="Arial" w:hint="default"/>
                <w:sz w:val="20"/>
                <w:szCs w:val="20"/>
              </w:rPr>
            </w:pPr>
            <w:r>
              <w:rPr>
                <w:rFonts w:ascii="Arial"/>
                <w:spacing w:val="-1"/>
                <w:sz w:val="20"/>
              </w:rPr>
              <w:t>305,339,235</w:t>
            </w:r>
            <w:r>
              <w:rPr>
                <w:rFonts w:ascii="Arial"/>
                <w:sz w:val="20"/>
              </w:rPr>
            </w:r>
          </w:p>
        </w:tc>
      </w:tr>
      <w:tr>
        <w:trPr>
          <w:trHeight w:val="259" w:hRule="exact"/>
        </w:trPr>
        <w:tc>
          <w:tcPr>
            <w:tcW w:w="2626" w:type="dxa"/>
            <w:tcBorders>
              <w:top w:val="nil" w:sz="6" w:space="0" w:color="auto"/>
              <w:left w:val="nil" w:sz="6" w:space="0" w:color="auto"/>
              <w:bottom w:val="nil" w:sz="6" w:space="0" w:color="auto"/>
              <w:right w:val="nil" w:sz="6" w:space="0" w:color="auto"/>
            </w:tcBorders>
          </w:tcPr>
          <w:p>
            <w:pPr>
              <w:pStyle w:val="TableParagraph"/>
              <w:spacing w:line="226" w:lineRule="exact"/>
              <w:ind w:left="420" w:right="0"/>
              <w:jc w:val="left"/>
              <w:rPr>
                <w:rFonts w:ascii="黑体" w:hAnsi="黑体" w:cs="黑体" w:eastAsia="黑体" w:hint="default"/>
                <w:sz w:val="20"/>
                <w:szCs w:val="20"/>
              </w:rPr>
            </w:pPr>
            <w:r>
              <w:rPr>
                <w:rFonts w:ascii="黑体" w:hAnsi="黑体" w:cs="黑体" w:eastAsia="黑体" w:hint="default"/>
                <w:sz w:val="20"/>
                <w:szCs w:val="20"/>
              </w:rPr>
              <w:t>存货</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7"/>
              <w:ind w:left="552" w:right="0"/>
              <w:jc w:val="center"/>
              <w:rPr>
                <w:rFonts w:ascii="Arial" w:hAnsi="Arial" w:cs="Arial" w:eastAsia="Arial" w:hint="default"/>
                <w:sz w:val="20"/>
                <w:szCs w:val="20"/>
              </w:rPr>
            </w:pPr>
            <w:r>
              <w:rPr>
                <w:rFonts w:ascii="Arial"/>
                <w:w w:val="99"/>
                <w:sz w:val="20"/>
              </w:rPr>
              <w:t>6</w:t>
            </w:r>
            <w:r>
              <w:rPr>
                <w:rFonts w:ascii="Arial"/>
                <w:sz w:val="20"/>
              </w:rPr>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40"/>
              <w:jc w:val="right"/>
              <w:rPr>
                <w:rFonts w:ascii="Arial" w:hAnsi="Arial" w:cs="Arial" w:eastAsia="Arial" w:hint="default"/>
                <w:sz w:val="20"/>
                <w:szCs w:val="20"/>
              </w:rPr>
            </w:pPr>
            <w:r>
              <w:rPr>
                <w:rFonts w:ascii="Arial"/>
                <w:spacing w:val="-1"/>
                <w:sz w:val="20"/>
              </w:rPr>
              <w:t>10,345,015</w:t>
            </w:r>
            <w:r>
              <w:rPr>
                <w:rFonts w:ascii="Arial"/>
                <w:sz w:val="20"/>
              </w:rPr>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
              <w:jc w:val="right"/>
              <w:rPr>
                <w:rFonts w:ascii="Arial" w:hAnsi="Arial" w:cs="Arial" w:eastAsia="Arial" w:hint="default"/>
                <w:sz w:val="20"/>
                <w:szCs w:val="20"/>
              </w:rPr>
            </w:pPr>
            <w:r>
              <w:rPr>
                <w:rFonts w:ascii="Arial"/>
                <w:spacing w:val="-1"/>
                <w:sz w:val="20"/>
              </w:rPr>
              <w:t>7,730,858</w:t>
            </w:r>
          </w:p>
        </w:tc>
      </w:tr>
      <w:tr>
        <w:trPr>
          <w:trHeight w:val="374" w:hRule="exact"/>
        </w:trPr>
        <w:tc>
          <w:tcPr>
            <w:tcW w:w="2626" w:type="dxa"/>
            <w:tcBorders>
              <w:top w:val="nil" w:sz="6" w:space="0" w:color="auto"/>
              <w:left w:val="nil" w:sz="6" w:space="0" w:color="auto"/>
              <w:bottom w:val="nil" w:sz="6" w:space="0" w:color="auto"/>
              <w:right w:val="nil" w:sz="6" w:space="0" w:color="auto"/>
            </w:tcBorders>
          </w:tcPr>
          <w:p>
            <w:pPr>
              <w:pStyle w:val="TableParagraph"/>
              <w:spacing w:line="226" w:lineRule="exact"/>
              <w:ind w:left="420" w:right="0"/>
              <w:jc w:val="left"/>
              <w:rPr>
                <w:rFonts w:ascii="黑体" w:hAnsi="黑体" w:cs="黑体" w:eastAsia="黑体" w:hint="default"/>
                <w:sz w:val="20"/>
                <w:szCs w:val="20"/>
              </w:rPr>
            </w:pPr>
            <w:r>
              <w:rPr>
                <w:rFonts w:ascii="黑体" w:hAnsi="黑体" w:cs="黑体" w:eastAsia="黑体" w:hint="default"/>
                <w:sz w:val="20"/>
                <w:szCs w:val="20"/>
              </w:rPr>
              <w:t>其他流动资产</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7"/>
              <w:ind w:left="552" w:right="0"/>
              <w:jc w:val="center"/>
              <w:rPr>
                <w:rFonts w:ascii="Arial" w:hAnsi="Arial" w:cs="Arial" w:eastAsia="Arial" w:hint="default"/>
                <w:sz w:val="20"/>
                <w:szCs w:val="20"/>
              </w:rPr>
            </w:pPr>
            <w:r>
              <w:rPr>
                <w:rFonts w:ascii="Arial"/>
                <w:w w:val="99"/>
                <w:sz w:val="20"/>
              </w:rPr>
              <w:t>7</w:t>
            </w:r>
            <w:r>
              <w:rPr>
                <w:rFonts w:ascii="Arial"/>
                <w:sz w:val="20"/>
              </w:rPr>
            </w:r>
          </w:p>
        </w:tc>
        <w:tc>
          <w:tcPr>
            <w:tcW w:w="1974" w:type="dxa"/>
            <w:tcBorders>
              <w:top w:val="nil" w:sz="6" w:space="0" w:color="auto"/>
              <w:left w:val="nil" w:sz="6" w:space="0" w:color="auto"/>
              <w:bottom w:val="nil" w:sz="6" w:space="0" w:color="auto"/>
              <w:right w:val="nil" w:sz="6" w:space="0" w:color="auto"/>
            </w:tcBorders>
          </w:tcPr>
          <w:p>
            <w:pPr>
              <w:pStyle w:val="TableParagraph"/>
              <w:tabs>
                <w:tab w:pos="403" w:val="left" w:leader="none"/>
              </w:tabs>
              <w:spacing w:line="240" w:lineRule="auto" w:before="7"/>
              <w:ind w:right="440"/>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2,288,105</w:t>
            </w:r>
            <w:r>
              <w:rPr>
                <w:rFonts w:ascii="Arial"/>
                <w:spacing w:val="-1"/>
                <w:w w:val="95"/>
                <w:sz w:val="20"/>
              </w:rPr>
            </w:r>
            <w:r>
              <w:rPr>
                <w:rFonts w:ascii="Arial"/>
                <w:sz w:val="20"/>
              </w:rPr>
            </w:r>
          </w:p>
        </w:tc>
        <w:tc>
          <w:tcPr>
            <w:tcW w:w="1719" w:type="dxa"/>
            <w:tcBorders>
              <w:top w:val="nil" w:sz="6" w:space="0" w:color="auto"/>
              <w:left w:val="nil" w:sz="6" w:space="0" w:color="auto"/>
              <w:bottom w:val="nil" w:sz="6" w:space="0" w:color="auto"/>
              <w:right w:val="nil" w:sz="6" w:space="0" w:color="auto"/>
            </w:tcBorders>
          </w:tcPr>
          <w:p>
            <w:pPr>
              <w:pStyle w:val="TableParagraph"/>
              <w:tabs>
                <w:tab w:pos="403" w:val="left" w:leader="none"/>
              </w:tabs>
              <w:spacing w:line="240" w:lineRule="auto" w:before="7"/>
              <w:ind w:right="1"/>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1,862,063</w:t>
            </w:r>
            <w:r>
              <w:rPr>
                <w:rFonts w:ascii="Arial"/>
                <w:spacing w:val="-1"/>
                <w:w w:val="95"/>
                <w:sz w:val="20"/>
              </w:rPr>
            </w:r>
            <w:r>
              <w:rPr>
                <w:rFonts w:ascii="Arial"/>
                <w:sz w:val="20"/>
              </w:rPr>
            </w:r>
          </w:p>
        </w:tc>
      </w:tr>
      <w:tr>
        <w:trPr>
          <w:trHeight w:val="490" w:hRule="exact"/>
        </w:trPr>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420" w:right="0"/>
              <w:jc w:val="left"/>
              <w:rPr>
                <w:rFonts w:ascii="黑体" w:hAnsi="黑体" w:cs="黑体" w:eastAsia="黑体" w:hint="default"/>
                <w:sz w:val="20"/>
                <w:szCs w:val="20"/>
              </w:rPr>
            </w:pPr>
            <w:r>
              <w:rPr>
                <w:rFonts w:ascii="黑体" w:hAnsi="黑体" w:cs="黑体" w:eastAsia="黑体" w:hint="default"/>
                <w:sz w:val="20"/>
                <w:szCs w:val="20"/>
              </w:rPr>
              <w:t>流动资产合计</w:t>
            </w:r>
          </w:p>
        </w:tc>
        <w:tc>
          <w:tcPr>
            <w:tcW w:w="2275" w:type="dxa"/>
            <w:tcBorders>
              <w:top w:val="nil" w:sz="6" w:space="0" w:color="auto"/>
              <w:left w:val="nil" w:sz="6" w:space="0" w:color="auto"/>
              <w:bottom w:val="nil" w:sz="6" w:space="0" w:color="auto"/>
              <w:right w:val="nil" w:sz="6" w:space="0" w:color="auto"/>
            </w:tcBorders>
          </w:tcPr>
          <w:p>
            <w:pP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438"/>
              <w:jc w:val="right"/>
              <w:rPr>
                <w:rFonts w:ascii="Arial" w:hAnsi="Arial" w:cs="Arial" w:eastAsia="Arial" w:hint="default"/>
                <w:sz w:val="20"/>
                <w:szCs w:val="20"/>
              </w:rPr>
            </w:pPr>
            <w:r>
              <w:rPr>
                <w:rFonts w:ascii="Arial"/>
                <w:w w:val="99"/>
                <w:sz w:val="20"/>
              </w:rPr>
            </w:r>
            <w:r>
              <w:rPr>
                <w:rFonts w:ascii="Arial"/>
                <w:spacing w:val="-1"/>
                <w:sz w:val="20"/>
                <w:u w:val="single" w:color="000000"/>
              </w:rPr>
              <w:t>1,835,252,754</w:t>
            </w:r>
            <w:r>
              <w:rPr>
                <w:rFonts w:ascii="Arial"/>
                <w:spacing w:val="-1"/>
                <w:sz w:val="20"/>
              </w:rPr>
            </w:r>
            <w:r>
              <w:rPr>
                <w:rFonts w:ascii="Arial"/>
                <w:sz w:val="20"/>
              </w:rPr>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0"/>
              <w:jc w:val="right"/>
              <w:rPr>
                <w:rFonts w:ascii="Arial" w:hAnsi="Arial" w:cs="Arial" w:eastAsia="Arial" w:hint="default"/>
                <w:sz w:val="20"/>
                <w:szCs w:val="20"/>
              </w:rPr>
            </w:pPr>
            <w:r>
              <w:rPr>
                <w:rFonts w:ascii="Arial"/>
                <w:w w:val="99"/>
                <w:sz w:val="20"/>
              </w:rPr>
            </w:r>
            <w:r>
              <w:rPr>
                <w:rFonts w:ascii="Arial"/>
                <w:spacing w:val="-1"/>
                <w:sz w:val="20"/>
                <w:u w:val="single" w:color="000000"/>
              </w:rPr>
              <w:t>1,416,150,057</w:t>
            </w:r>
            <w:r>
              <w:rPr>
                <w:rFonts w:ascii="Arial"/>
                <w:spacing w:val="-1"/>
                <w:sz w:val="20"/>
              </w:rPr>
            </w:r>
            <w:r>
              <w:rPr>
                <w:rFonts w:ascii="Arial"/>
                <w:sz w:val="20"/>
              </w:rPr>
            </w:r>
          </w:p>
        </w:tc>
      </w:tr>
      <w:tr>
        <w:trPr>
          <w:trHeight w:val="491" w:hRule="exact"/>
        </w:trPr>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0"/>
              <w:jc w:val="left"/>
              <w:rPr>
                <w:rFonts w:ascii="Arial" w:hAnsi="Arial" w:cs="Arial" w:eastAsia="Arial" w:hint="default"/>
                <w:sz w:val="20"/>
                <w:szCs w:val="20"/>
              </w:rPr>
            </w:pPr>
            <w:r>
              <w:rPr>
                <w:rFonts w:ascii="黑体" w:hAnsi="黑体" w:cs="黑体" w:eastAsia="黑体" w:hint="default"/>
                <w:sz w:val="20"/>
                <w:szCs w:val="20"/>
              </w:rPr>
              <w:t>非流动资产</w:t>
            </w:r>
            <w:r>
              <w:rPr>
                <w:rFonts w:ascii="Arial" w:hAnsi="Arial" w:cs="Arial" w:eastAsia="Arial" w:hint="default"/>
                <w:sz w:val="20"/>
                <w:szCs w:val="20"/>
              </w:rPr>
              <w:t>:</w:t>
            </w:r>
          </w:p>
        </w:tc>
        <w:tc>
          <w:tcPr>
            <w:tcW w:w="2275" w:type="dxa"/>
            <w:tcBorders>
              <w:top w:val="nil" w:sz="6" w:space="0" w:color="auto"/>
              <w:left w:val="nil" w:sz="6" w:space="0" w:color="auto"/>
              <w:bottom w:val="nil" w:sz="6" w:space="0" w:color="auto"/>
              <w:right w:val="nil" w:sz="6" w:space="0" w:color="auto"/>
            </w:tcBorders>
          </w:tcPr>
          <w:p>
            <w:pPr/>
          </w:p>
        </w:tc>
        <w:tc>
          <w:tcPr>
            <w:tcW w:w="1974" w:type="dxa"/>
            <w:tcBorders>
              <w:top w:val="nil" w:sz="6" w:space="0" w:color="auto"/>
              <w:left w:val="nil" w:sz="6" w:space="0" w:color="auto"/>
              <w:bottom w:val="nil" w:sz="6" w:space="0" w:color="auto"/>
              <w:right w:val="nil" w:sz="6" w:space="0" w:color="auto"/>
            </w:tcBorders>
          </w:tcPr>
          <w:p>
            <w:pPr/>
          </w:p>
        </w:tc>
        <w:tc>
          <w:tcPr>
            <w:tcW w:w="1719" w:type="dxa"/>
            <w:tcBorders>
              <w:top w:val="nil" w:sz="6" w:space="0" w:color="auto"/>
              <w:left w:val="nil" w:sz="6" w:space="0" w:color="auto"/>
              <w:bottom w:val="nil" w:sz="6" w:space="0" w:color="auto"/>
              <w:right w:val="nil" w:sz="6" w:space="0" w:color="auto"/>
            </w:tcBorders>
          </w:tcPr>
          <w:p>
            <w:pPr/>
          </w:p>
        </w:tc>
      </w:tr>
      <w:tr>
        <w:trPr>
          <w:trHeight w:val="374" w:hRule="exact"/>
        </w:trPr>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78"/>
              <w:ind w:left="427" w:right="0"/>
              <w:jc w:val="left"/>
              <w:rPr>
                <w:rFonts w:ascii="黑体" w:hAnsi="黑体" w:cs="黑体" w:eastAsia="黑体" w:hint="default"/>
                <w:sz w:val="20"/>
                <w:szCs w:val="20"/>
              </w:rPr>
            </w:pPr>
            <w:r>
              <w:rPr>
                <w:rFonts w:ascii="黑体" w:hAnsi="黑体" w:cs="黑体" w:eastAsia="黑体" w:hint="default"/>
                <w:sz w:val="20"/>
                <w:szCs w:val="20"/>
              </w:rPr>
              <w:t>长期股权投资</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47" w:right="0"/>
              <w:jc w:val="center"/>
              <w:rPr>
                <w:rFonts w:ascii="Arial" w:hAnsi="Arial" w:cs="Arial" w:eastAsia="Arial" w:hint="default"/>
                <w:sz w:val="20"/>
                <w:szCs w:val="20"/>
              </w:rPr>
            </w:pPr>
            <w:r>
              <w:rPr>
                <w:rFonts w:ascii="黑体" w:hAnsi="黑体" w:cs="黑体" w:eastAsia="黑体" w:hint="default"/>
                <w:sz w:val="20"/>
                <w:szCs w:val="20"/>
              </w:rPr>
              <w:t>附注五、</w:t>
            </w:r>
            <w:r>
              <w:rPr>
                <w:rFonts w:ascii="Arial" w:hAnsi="Arial" w:cs="Arial" w:eastAsia="Arial" w:hint="default"/>
                <w:sz w:val="20"/>
                <w:szCs w:val="20"/>
              </w:rPr>
              <w:t>8</w:t>
            </w:r>
            <w:r>
              <w:rPr>
                <w:rFonts w:ascii="黑体" w:hAnsi="黑体" w:cs="黑体" w:eastAsia="黑体" w:hint="default"/>
                <w:sz w:val="20"/>
                <w:szCs w:val="20"/>
              </w:rPr>
              <w:t>及</w:t>
            </w:r>
            <w:r>
              <w:rPr>
                <w:rFonts w:ascii="Arial" w:hAnsi="Arial" w:cs="Arial" w:eastAsia="Arial" w:hint="default"/>
                <w:sz w:val="20"/>
                <w:szCs w:val="20"/>
              </w:rPr>
              <w:t>8</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441"/>
              <w:jc w:val="right"/>
              <w:rPr>
                <w:rFonts w:ascii="Arial" w:hAnsi="Arial" w:cs="Arial" w:eastAsia="Arial" w:hint="default"/>
                <w:sz w:val="20"/>
                <w:szCs w:val="20"/>
              </w:rPr>
            </w:pPr>
            <w:r>
              <w:rPr>
                <w:rFonts w:ascii="Arial"/>
                <w:spacing w:val="-1"/>
                <w:sz w:val="20"/>
              </w:rPr>
              <w:t>2,021,755,413</w:t>
            </w:r>
            <w:r>
              <w:rPr>
                <w:rFonts w:ascii="Arial"/>
                <w:sz w:val="20"/>
              </w:rPr>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0"/>
              <w:jc w:val="right"/>
              <w:rPr>
                <w:rFonts w:ascii="Arial" w:hAnsi="Arial" w:cs="Arial" w:eastAsia="Arial" w:hint="default"/>
                <w:sz w:val="20"/>
                <w:szCs w:val="20"/>
              </w:rPr>
            </w:pPr>
            <w:r>
              <w:rPr>
                <w:rFonts w:ascii="Arial"/>
                <w:spacing w:val="-1"/>
                <w:sz w:val="20"/>
              </w:rPr>
              <w:t>1,979,241,933</w:t>
            </w:r>
            <w:r>
              <w:rPr>
                <w:rFonts w:ascii="Arial"/>
                <w:sz w:val="20"/>
              </w:rPr>
            </w:r>
          </w:p>
        </w:tc>
      </w:tr>
      <w:tr>
        <w:trPr>
          <w:trHeight w:val="258" w:hRule="exact"/>
        </w:trPr>
        <w:tc>
          <w:tcPr>
            <w:tcW w:w="2626" w:type="dxa"/>
            <w:tcBorders>
              <w:top w:val="nil" w:sz="6" w:space="0" w:color="auto"/>
              <w:left w:val="nil" w:sz="6" w:space="0" w:color="auto"/>
              <w:bottom w:val="nil" w:sz="6" w:space="0" w:color="auto"/>
              <w:right w:val="nil" w:sz="6" w:space="0" w:color="auto"/>
            </w:tcBorders>
          </w:tcPr>
          <w:p>
            <w:pPr>
              <w:pStyle w:val="TableParagraph"/>
              <w:spacing w:line="224" w:lineRule="exact"/>
              <w:ind w:left="427" w:right="0"/>
              <w:jc w:val="left"/>
              <w:rPr>
                <w:rFonts w:ascii="黑体" w:hAnsi="黑体" w:cs="黑体" w:eastAsia="黑体" w:hint="default"/>
                <w:sz w:val="20"/>
                <w:szCs w:val="20"/>
              </w:rPr>
            </w:pPr>
            <w:r>
              <w:rPr>
                <w:rFonts w:ascii="黑体" w:hAnsi="黑体" w:cs="黑体" w:eastAsia="黑体" w:hint="default"/>
                <w:sz w:val="20"/>
                <w:szCs w:val="20"/>
              </w:rPr>
              <w:t>固定资产</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6"/>
              <w:ind w:left="552" w:right="0"/>
              <w:jc w:val="center"/>
              <w:rPr>
                <w:rFonts w:ascii="Arial" w:hAnsi="Arial" w:cs="Arial" w:eastAsia="Arial" w:hint="default"/>
                <w:sz w:val="20"/>
                <w:szCs w:val="20"/>
              </w:rPr>
            </w:pPr>
            <w:r>
              <w:rPr>
                <w:rFonts w:ascii="Arial"/>
                <w:w w:val="99"/>
                <w:sz w:val="20"/>
              </w:rPr>
              <w:t>9</w:t>
            </w:r>
            <w:r>
              <w:rPr>
                <w:rFonts w:ascii="Arial"/>
                <w:sz w:val="20"/>
              </w:rPr>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42"/>
              <w:jc w:val="right"/>
              <w:rPr>
                <w:rFonts w:ascii="Arial" w:hAnsi="Arial" w:cs="Arial" w:eastAsia="Arial" w:hint="default"/>
                <w:sz w:val="20"/>
                <w:szCs w:val="20"/>
              </w:rPr>
            </w:pPr>
            <w:r>
              <w:rPr>
                <w:rFonts w:ascii="Arial"/>
                <w:spacing w:val="-1"/>
                <w:sz w:val="20"/>
              </w:rPr>
              <w:t>818,708,814</w:t>
            </w:r>
            <w:r>
              <w:rPr>
                <w:rFonts w:ascii="Arial"/>
                <w:sz w:val="20"/>
              </w:rPr>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
              <w:jc w:val="right"/>
              <w:rPr>
                <w:rFonts w:ascii="Arial" w:hAnsi="Arial" w:cs="Arial" w:eastAsia="Arial" w:hint="default"/>
                <w:sz w:val="20"/>
                <w:szCs w:val="20"/>
              </w:rPr>
            </w:pPr>
            <w:r>
              <w:rPr>
                <w:rFonts w:ascii="Arial"/>
                <w:spacing w:val="-1"/>
                <w:sz w:val="20"/>
              </w:rPr>
              <w:t>743,482,935</w:t>
            </w:r>
            <w:r>
              <w:rPr>
                <w:rFonts w:ascii="Arial"/>
                <w:sz w:val="20"/>
              </w:rPr>
            </w:r>
          </w:p>
        </w:tc>
      </w:tr>
      <w:tr>
        <w:trPr>
          <w:trHeight w:val="259" w:hRule="exact"/>
        </w:trPr>
        <w:tc>
          <w:tcPr>
            <w:tcW w:w="2626" w:type="dxa"/>
            <w:tcBorders>
              <w:top w:val="nil" w:sz="6" w:space="0" w:color="auto"/>
              <w:left w:val="nil" w:sz="6" w:space="0" w:color="auto"/>
              <w:bottom w:val="nil" w:sz="6" w:space="0" w:color="auto"/>
              <w:right w:val="nil" w:sz="6" w:space="0" w:color="auto"/>
            </w:tcBorders>
          </w:tcPr>
          <w:p>
            <w:pPr>
              <w:pStyle w:val="TableParagraph"/>
              <w:spacing w:line="226" w:lineRule="exact"/>
              <w:ind w:left="427" w:right="0"/>
              <w:jc w:val="left"/>
              <w:rPr>
                <w:rFonts w:ascii="黑体" w:hAnsi="黑体" w:cs="黑体" w:eastAsia="黑体" w:hint="default"/>
                <w:sz w:val="20"/>
                <w:szCs w:val="20"/>
              </w:rPr>
            </w:pPr>
            <w:r>
              <w:rPr>
                <w:rFonts w:ascii="黑体" w:hAnsi="黑体" w:cs="黑体" w:eastAsia="黑体" w:hint="default"/>
                <w:sz w:val="20"/>
                <w:szCs w:val="20"/>
              </w:rPr>
              <w:t>在建工程</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7"/>
              <w:ind w:left="546" w:right="0"/>
              <w:jc w:val="center"/>
              <w:rPr>
                <w:rFonts w:ascii="Arial" w:hAnsi="Arial" w:cs="Arial" w:eastAsia="Arial" w:hint="default"/>
                <w:sz w:val="20"/>
                <w:szCs w:val="20"/>
              </w:rPr>
            </w:pPr>
            <w:r>
              <w:rPr>
                <w:rFonts w:ascii="Arial"/>
                <w:sz w:val="20"/>
              </w:rPr>
              <w:t>10</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42"/>
              <w:jc w:val="right"/>
              <w:rPr>
                <w:rFonts w:ascii="Arial" w:hAnsi="Arial" w:cs="Arial" w:eastAsia="Arial" w:hint="default"/>
                <w:sz w:val="20"/>
                <w:szCs w:val="20"/>
              </w:rPr>
            </w:pPr>
            <w:r>
              <w:rPr>
                <w:rFonts w:ascii="Arial"/>
                <w:spacing w:val="-1"/>
                <w:sz w:val="20"/>
              </w:rPr>
              <w:t>430,338,092</w:t>
            </w:r>
            <w:r>
              <w:rPr>
                <w:rFonts w:ascii="Arial"/>
                <w:sz w:val="20"/>
              </w:rPr>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
              <w:jc w:val="right"/>
              <w:rPr>
                <w:rFonts w:ascii="Arial" w:hAnsi="Arial" w:cs="Arial" w:eastAsia="Arial" w:hint="default"/>
                <w:sz w:val="20"/>
                <w:szCs w:val="20"/>
              </w:rPr>
            </w:pPr>
            <w:r>
              <w:rPr>
                <w:rFonts w:ascii="Arial"/>
                <w:spacing w:val="-1"/>
                <w:sz w:val="20"/>
              </w:rPr>
              <w:t>293,920,147</w:t>
            </w:r>
            <w:r>
              <w:rPr>
                <w:rFonts w:ascii="Arial"/>
                <w:sz w:val="20"/>
              </w:rPr>
            </w:r>
          </w:p>
        </w:tc>
      </w:tr>
      <w:tr>
        <w:trPr>
          <w:trHeight w:val="259" w:hRule="exact"/>
        </w:trPr>
        <w:tc>
          <w:tcPr>
            <w:tcW w:w="2626" w:type="dxa"/>
            <w:tcBorders>
              <w:top w:val="nil" w:sz="6" w:space="0" w:color="auto"/>
              <w:left w:val="nil" w:sz="6" w:space="0" w:color="auto"/>
              <w:bottom w:val="nil" w:sz="6" w:space="0" w:color="auto"/>
              <w:right w:val="nil" w:sz="6" w:space="0" w:color="auto"/>
            </w:tcBorders>
          </w:tcPr>
          <w:p>
            <w:pPr>
              <w:pStyle w:val="TableParagraph"/>
              <w:spacing w:line="226" w:lineRule="exact"/>
              <w:ind w:left="427" w:right="0"/>
              <w:jc w:val="left"/>
              <w:rPr>
                <w:rFonts w:ascii="黑体" w:hAnsi="黑体" w:cs="黑体" w:eastAsia="黑体" w:hint="default"/>
                <w:sz w:val="20"/>
                <w:szCs w:val="20"/>
              </w:rPr>
            </w:pPr>
            <w:r>
              <w:rPr>
                <w:rFonts w:ascii="黑体" w:hAnsi="黑体" w:cs="黑体" w:eastAsia="黑体" w:hint="default"/>
                <w:sz w:val="20"/>
                <w:szCs w:val="20"/>
              </w:rPr>
              <w:t>无形资产</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7"/>
              <w:ind w:left="546" w:right="0"/>
              <w:jc w:val="center"/>
              <w:rPr>
                <w:rFonts w:ascii="Arial" w:hAnsi="Arial" w:cs="Arial" w:eastAsia="Arial" w:hint="default"/>
                <w:sz w:val="20"/>
                <w:szCs w:val="20"/>
              </w:rPr>
            </w:pPr>
            <w:r>
              <w:rPr>
                <w:rFonts w:ascii="Arial"/>
                <w:sz w:val="20"/>
              </w:rPr>
              <w:t>11</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42"/>
              <w:jc w:val="right"/>
              <w:rPr>
                <w:rFonts w:ascii="Arial" w:hAnsi="Arial" w:cs="Arial" w:eastAsia="Arial" w:hint="default"/>
                <w:sz w:val="20"/>
                <w:szCs w:val="20"/>
              </w:rPr>
            </w:pPr>
            <w:r>
              <w:rPr>
                <w:rFonts w:ascii="Arial"/>
                <w:spacing w:val="-1"/>
                <w:sz w:val="20"/>
              </w:rPr>
              <w:t>295,340,511</w:t>
            </w:r>
            <w:r>
              <w:rPr>
                <w:rFonts w:ascii="Arial"/>
                <w:sz w:val="20"/>
              </w:rPr>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
              <w:jc w:val="right"/>
              <w:rPr>
                <w:rFonts w:ascii="Arial" w:hAnsi="Arial" w:cs="Arial" w:eastAsia="Arial" w:hint="default"/>
                <w:sz w:val="20"/>
                <w:szCs w:val="20"/>
              </w:rPr>
            </w:pPr>
            <w:r>
              <w:rPr>
                <w:rFonts w:ascii="Arial"/>
                <w:spacing w:val="-1"/>
                <w:sz w:val="20"/>
              </w:rPr>
              <w:t>308,504,302</w:t>
            </w:r>
            <w:r>
              <w:rPr>
                <w:rFonts w:ascii="Arial"/>
                <w:sz w:val="20"/>
              </w:rPr>
            </w:r>
          </w:p>
        </w:tc>
      </w:tr>
      <w:tr>
        <w:trPr>
          <w:trHeight w:val="259" w:hRule="exact"/>
        </w:trPr>
        <w:tc>
          <w:tcPr>
            <w:tcW w:w="2626" w:type="dxa"/>
            <w:tcBorders>
              <w:top w:val="nil" w:sz="6" w:space="0" w:color="auto"/>
              <w:left w:val="nil" w:sz="6" w:space="0" w:color="auto"/>
              <w:bottom w:val="nil" w:sz="6" w:space="0" w:color="auto"/>
              <w:right w:val="nil" w:sz="6" w:space="0" w:color="auto"/>
            </w:tcBorders>
          </w:tcPr>
          <w:p>
            <w:pPr>
              <w:pStyle w:val="TableParagraph"/>
              <w:spacing w:line="226" w:lineRule="exact"/>
              <w:ind w:left="427" w:right="0"/>
              <w:jc w:val="left"/>
              <w:rPr>
                <w:rFonts w:ascii="黑体" w:hAnsi="黑体" w:cs="黑体" w:eastAsia="黑体" w:hint="default"/>
                <w:sz w:val="20"/>
                <w:szCs w:val="20"/>
              </w:rPr>
            </w:pPr>
            <w:r>
              <w:rPr>
                <w:rFonts w:ascii="黑体" w:hAnsi="黑体" w:cs="黑体" w:eastAsia="黑体" w:hint="default"/>
                <w:sz w:val="20"/>
                <w:szCs w:val="20"/>
              </w:rPr>
              <w:t>开发支出</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7"/>
              <w:ind w:left="547" w:right="0"/>
              <w:jc w:val="center"/>
              <w:rPr>
                <w:rFonts w:ascii="Arial" w:hAnsi="Arial" w:cs="Arial" w:eastAsia="Arial" w:hint="default"/>
                <w:sz w:val="20"/>
                <w:szCs w:val="20"/>
              </w:rPr>
            </w:pPr>
            <w:r>
              <w:rPr>
                <w:rFonts w:ascii="Arial"/>
                <w:sz w:val="20"/>
              </w:rPr>
              <w:t>12</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40"/>
              <w:jc w:val="right"/>
              <w:rPr>
                <w:rFonts w:ascii="Arial" w:hAnsi="Arial" w:cs="Arial" w:eastAsia="Arial" w:hint="default"/>
                <w:sz w:val="20"/>
                <w:szCs w:val="20"/>
              </w:rPr>
            </w:pPr>
            <w:r>
              <w:rPr>
                <w:rFonts w:ascii="Arial"/>
                <w:spacing w:val="-1"/>
                <w:sz w:val="20"/>
              </w:rPr>
              <w:t>19,824,563</w:t>
            </w:r>
            <w:r>
              <w:rPr>
                <w:rFonts w:ascii="Arial"/>
                <w:sz w:val="20"/>
              </w:rPr>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Arial" w:hAnsi="Arial" w:cs="Arial" w:eastAsia="Arial" w:hint="default"/>
                <w:sz w:val="20"/>
                <w:szCs w:val="20"/>
              </w:rPr>
            </w:pPr>
            <w:r>
              <w:rPr>
                <w:rFonts w:ascii="Arial"/>
                <w:w w:val="99"/>
                <w:sz w:val="20"/>
              </w:rPr>
              <w:t>-</w:t>
            </w:r>
            <w:r>
              <w:rPr>
                <w:rFonts w:ascii="Arial"/>
                <w:sz w:val="20"/>
              </w:rPr>
            </w:r>
          </w:p>
        </w:tc>
      </w:tr>
      <w:tr>
        <w:trPr>
          <w:trHeight w:val="259" w:hRule="exact"/>
        </w:trPr>
        <w:tc>
          <w:tcPr>
            <w:tcW w:w="2626" w:type="dxa"/>
            <w:tcBorders>
              <w:top w:val="nil" w:sz="6" w:space="0" w:color="auto"/>
              <w:left w:val="nil" w:sz="6" w:space="0" w:color="auto"/>
              <w:bottom w:val="nil" w:sz="6" w:space="0" w:color="auto"/>
              <w:right w:val="nil" w:sz="6" w:space="0" w:color="auto"/>
            </w:tcBorders>
          </w:tcPr>
          <w:p>
            <w:pPr>
              <w:pStyle w:val="TableParagraph"/>
              <w:spacing w:line="226" w:lineRule="exact"/>
              <w:ind w:left="427" w:right="0"/>
              <w:jc w:val="left"/>
              <w:rPr>
                <w:rFonts w:ascii="黑体" w:hAnsi="黑体" w:cs="黑体" w:eastAsia="黑体" w:hint="default"/>
                <w:sz w:val="20"/>
                <w:szCs w:val="20"/>
              </w:rPr>
            </w:pPr>
            <w:r>
              <w:rPr>
                <w:rFonts w:ascii="黑体" w:hAnsi="黑体" w:cs="黑体" w:eastAsia="黑体" w:hint="default"/>
                <w:sz w:val="20"/>
                <w:szCs w:val="20"/>
              </w:rPr>
              <w:t>商誉</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7"/>
              <w:ind w:left="547" w:right="0"/>
              <w:jc w:val="center"/>
              <w:rPr>
                <w:rFonts w:ascii="Arial" w:hAnsi="Arial" w:cs="Arial" w:eastAsia="Arial" w:hint="default"/>
                <w:sz w:val="20"/>
                <w:szCs w:val="20"/>
              </w:rPr>
            </w:pPr>
            <w:r>
              <w:rPr>
                <w:rFonts w:ascii="Arial"/>
                <w:sz w:val="20"/>
              </w:rPr>
              <w:t>13</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42"/>
              <w:jc w:val="right"/>
              <w:rPr>
                <w:rFonts w:ascii="Arial" w:hAnsi="Arial" w:cs="Arial" w:eastAsia="Arial" w:hint="default"/>
                <w:sz w:val="20"/>
                <w:szCs w:val="20"/>
              </w:rPr>
            </w:pPr>
            <w:r>
              <w:rPr>
                <w:rFonts w:ascii="Arial"/>
                <w:spacing w:val="-1"/>
                <w:sz w:val="20"/>
              </w:rPr>
              <w:t>113,120,712</w:t>
            </w:r>
            <w:r>
              <w:rPr>
                <w:rFonts w:ascii="Arial"/>
                <w:sz w:val="20"/>
              </w:rPr>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
              <w:jc w:val="right"/>
              <w:rPr>
                <w:rFonts w:ascii="Arial" w:hAnsi="Arial" w:cs="Arial" w:eastAsia="Arial" w:hint="default"/>
                <w:sz w:val="20"/>
                <w:szCs w:val="20"/>
              </w:rPr>
            </w:pPr>
            <w:r>
              <w:rPr>
                <w:rFonts w:ascii="Arial"/>
                <w:spacing w:val="-1"/>
                <w:sz w:val="20"/>
              </w:rPr>
              <w:t>113,120,712</w:t>
            </w:r>
            <w:r>
              <w:rPr>
                <w:rFonts w:ascii="Arial"/>
                <w:sz w:val="20"/>
              </w:rPr>
            </w:r>
          </w:p>
        </w:tc>
      </w:tr>
      <w:tr>
        <w:trPr>
          <w:trHeight w:val="259" w:hRule="exact"/>
        </w:trPr>
        <w:tc>
          <w:tcPr>
            <w:tcW w:w="2626" w:type="dxa"/>
            <w:tcBorders>
              <w:top w:val="nil" w:sz="6" w:space="0" w:color="auto"/>
              <w:left w:val="nil" w:sz="6" w:space="0" w:color="auto"/>
              <w:bottom w:val="nil" w:sz="6" w:space="0" w:color="auto"/>
              <w:right w:val="nil" w:sz="6" w:space="0" w:color="auto"/>
            </w:tcBorders>
          </w:tcPr>
          <w:p>
            <w:pPr>
              <w:pStyle w:val="TableParagraph"/>
              <w:spacing w:line="226" w:lineRule="exact"/>
              <w:ind w:left="427" w:right="0"/>
              <w:jc w:val="left"/>
              <w:rPr>
                <w:rFonts w:ascii="黑体" w:hAnsi="黑体" w:cs="黑体" w:eastAsia="黑体" w:hint="default"/>
                <w:sz w:val="20"/>
                <w:szCs w:val="20"/>
              </w:rPr>
            </w:pPr>
            <w:r>
              <w:rPr>
                <w:rFonts w:ascii="黑体" w:hAnsi="黑体" w:cs="黑体" w:eastAsia="黑体" w:hint="default"/>
                <w:sz w:val="20"/>
                <w:szCs w:val="20"/>
              </w:rPr>
              <w:t>长期待摊费用</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7"/>
              <w:ind w:left="547" w:right="0"/>
              <w:jc w:val="center"/>
              <w:rPr>
                <w:rFonts w:ascii="Arial" w:hAnsi="Arial" w:cs="Arial" w:eastAsia="Arial" w:hint="default"/>
                <w:sz w:val="20"/>
                <w:szCs w:val="20"/>
              </w:rPr>
            </w:pPr>
            <w:r>
              <w:rPr>
                <w:rFonts w:ascii="Arial"/>
                <w:sz w:val="20"/>
              </w:rPr>
              <w:t>14</w:t>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40"/>
              <w:jc w:val="right"/>
              <w:rPr>
                <w:rFonts w:ascii="Arial" w:hAnsi="Arial" w:cs="Arial" w:eastAsia="Arial" w:hint="default"/>
                <w:sz w:val="20"/>
                <w:szCs w:val="20"/>
              </w:rPr>
            </w:pPr>
            <w:r>
              <w:rPr>
                <w:rFonts w:ascii="Arial"/>
                <w:spacing w:val="-1"/>
                <w:sz w:val="20"/>
              </w:rPr>
              <w:t>22,559,783</w:t>
            </w:r>
            <w:r>
              <w:rPr>
                <w:rFonts w:ascii="Arial"/>
                <w:sz w:val="20"/>
              </w:rPr>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
              <w:jc w:val="right"/>
              <w:rPr>
                <w:rFonts w:ascii="Arial" w:hAnsi="Arial" w:cs="Arial" w:eastAsia="Arial" w:hint="default"/>
                <w:sz w:val="20"/>
                <w:szCs w:val="20"/>
              </w:rPr>
            </w:pPr>
            <w:r>
              <w:rPr>
                <w:rFonts w:ascii="Arial"/>
                <w:spacing w:val="-1"/>
                <w:sz w:val="20"/>
              </w:rPr>
              <w:t>26,997,239</w:t>
            </w:r>
            <w:r>
              <w:rPr>
                <w:rFonts w:ascii="Arial"/>
                <w:sz w:val="20"/>
              </w:rPr>
            </w:r>
          </w:p>
        </w:tc>
      </w:tr>
      <w:tr>
        <w:trPr>
          <w:trHeight w:val="374" w:hRule="exact"/>
        </w:trPr>
        <w:tc>
          <w:tcPr>
            <w:tcW w:w="2626" w:type="dxa"/>
            <w:tcBorders>
              <w:top w:val="nil" w:sz="6" w:space="0" w:color="auto"/>
              <w:left w:val="nil" w:sz="6" w:space="0" w:color="auto"/>
              <w:bottom w:val="nil" w:sz="6" w:space="0" w:color="auto"/>
              <w:right w:val="nil" w:sz="6" w:space="0" w:color="auto"/>
            </w:tcBorders>
          </w:tcPr>
          <w:p>
            <w:pPr>
              <w:pStyle w:val="TableParagraph"/>
              <w:spacing w:line="226" w:lineRule="exact"/>
              <w:ind w:left="427" w:right="0"/>
              <w:jc w:val="left"/>
              <w:rPr>
                <w:rFonts w:ascii="黑体" w:hAnsi="黑体" w:cs="黑体" w:eastAsia="黑体" w:hint="default"/>
                <w:sz w:val="20"/>
                <w:szCs w:val="20"/>
              </w:rPr>
            </w:pPr>
            <w:r>
              <w:rPr>
                <w:rFonts w:ascii="黑体" w:hAnsi="黑体" w:cs="黑体" w:eastAsia="黑体" w:hint="default"/>
                <w:sz w:val="20"/>
                <w:szCs w:val="20"/>
              </w:rPr>
              <w:t>递延所得税资产</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7"/>
              <w:ind w:left="547" w:right="0"/>
              <w:jc w:val="center"/>
              <w:rPr>
                <w:rFonts w:ascii="Arial" w:hAnsi="Arial" w:cs="Arial" w:eastAsia="Arial" w:hint="default"/>
                <w:sz w:val="20"/>
                <w:szCs w:val="20"/>
              </w:rPr>
            </w:pPr>
            <w:r>
              <w:rPr>
                <w:rFonts w:ascii="Arial"/>
                <w:sz w:val="20"/>
              </w:rPr>
              <w:t>15</w:t>
            </w:r>
          </w:p>
        </w:tc>
        <w:tc>
          <w:tcPr>
            <w:tcW w:w="1974" w:type="dxa"/>
            <w:tcBorders>
              <w:top w:val="nil" w:sz="6" w:space="0" w:color="auto"/>
              <w:left w:val="nil" w:sz="6" w:space="0" w:color="auto"/>
              <w:bottom w:val="nil" w:sz="6" w:space="0" w:color="auto"/>
              <w:right w:val="nil" w:sz="6" w:space="0" w:color="auto"/>
            </w:tcBorders>
          </w:tcPr>
          <w:p>
            <w:pPr>
              <w:pStyle w:val="TableParagraph"/>
              <w:tabs>
                <w:tab w:pos="278" w:val="left" w:leader="none"/>
              </w:tabs>
              <w:spacing w:line="240" w:lineRule="auto" w:before="7"/>
              <w:ind w:right="440"/>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30,970,573</w:t>
            </w:r>
            <w:r>
              <w:rPr>
                <w:rFonts w:ascii="Arial"/>
                <w:spacing w:val="-1"/>
                <w:w w:val="95"/>
                <w:sz w:val="20"/>
              </w:rPr>
            </w:r>
            <w:r>
              <w:rPr>
                <w:rFonts w:ascii="Arial"/>
                <w:spacing w:val="-1"/>
                <w:sz w:val="20"/>
              </w:rPr>
            </w:r>
          </w:p>
        </w:tc>
        <w:tc>
          <w:tcPr>
            <w:tcW w:w="1719" w:type="dxa"/>
            <w:tcBorders>
              <w:top w:val="nil" w:sz="6" w:space="0" w:color="auto"/>
              <w:left w:val="nil" w:sz="6" w:space="0" w:color="auto"/>
              <w:bottom w:val="nil" w:sz="6" w:space="0" w:color="auto"/>
              <w:right w:val="nil" w:sz="6" w:space="0" w:color="auto"/>
            </w:tcBorders>
          </w:tcPr>
          <w:p>
            <w:pPr>
              <w:pStyle w:val="TableParagraph"/>
              <w:tabs>
                <w:tab w:pos="278" w:val="left" w:leader="none"/>
              </w:tabs>
              <w:spacing w:line="240" w:lineRule="auto" w:before="7"/>
              <w:ind w:right="1"/>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36,168,497</w:t>
            </w:r>
            <w:r>
              <w:rPr>
                <w:rFonts w:ascii="Arial"/>
                <w:spacing w:val="-1"/>
                <w:w w:val="95"/>
                <w:sz w:val="20"/>
              </w:rPr>
            </w:r>
            <w:r>
              <w:rPr>
                <w:rFonts w:ascii="Arial"/>
                <w:spacing w:val="-1"/>
                <w:sz w:val="20"/>
              </w:rPr>
            </w:r>
          </w:p>
        </w:tc>
      </w:tr>
      <w:tr>
        <w:trPr>
          <w:trHeight w:val="490" w:hRule="exact"/>
        </w:trPr>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7" w:right="0"/>
              <w:jc w:val="left"/>
              <w:rPr>
                <w:rFonts w:ascii="黑体" w:hAnsi="黑体" w:cs="黑体" w:eastAsia="黑体" w:hint="default"/>
                <w:sz w:val="20"/>
                <w:szCs w:val="20"/>
              </w:rPr>
            </w:pPr>
            <w:r>
              <w:rPr>
                <w:rFonts w:ascii="黑体" w:hAnsi="黑体" w:cs="黑体" w:eastAsia="黑体" w:hint="default"/>
                <w:sz w:val="20"/>
                <w:szCs w:val="20"/>
              </w:rPr>
              <w:t>非流动资产合计</w:t>
            </w:r>
          </w:p>
        </w:tc>
        <w:tc>
          <w:tcPr>
            <w:tcW w:w="2275" w:type="dxa"/>
            <w:tcBorders>
              <w:top w:val="nil" w:sz="6" w:space="0" w:color="auto"/>
              <w:left w:val="nil" w:sz="6" w:space="0" w:color="auto"/>
              <w:bottom w:val="nil" w:sz="6" w:space="0" w:color="auto"/>
              <w:right w:val="nil" w:sz="6" w:space="0" w:color="auto"/>
            </w:tcBorders>
          </w:tcPr>
          <w:p>
            <w:pP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441"/>
              <w:jc w:val="right"/>
              <w:rPr>
                <w:rFonts w:ascii="Arial" w:hAnsi="Arial" w:cs="Arial" w:eastAsia="Arial" w:hint="default"/>
                <w:sz w:val="20"/>
                <w:szCs w:val="20"/>
              </w:rPr>
            </w:pPr>
            <w:r>
              <w:rPr>
                <w:rFonts w:ascii="Arial"/>
                <w:w w:val="99"/>
                <w:sz w:val="20"/>
              </w:rPr>
            </w:r>
            <w:r>
              <w:rPr>
                <w:rFonts w:ascii="Arial"/>
                <w:spacing w:val="-1"/>
                <w:sz w:val="20"/>
                <w:u w:val="single" w:color="000000"/>
              </w:rPr>
              <w:t>3,752,618,461</w:t>
            </w:r>
            <w:r>
              <w:rPr>
                <w:rFonts w:ascii="Arial"/>
                <w:spacing w:val="-1"/>
                <w:sz w:val="20"/>
              </w:rPr>
            </w:r>
            <w:r>
              <w:rPr>
                <w:rFonts w:ascii="Arial"/>
                <w:sz w:val="20"/>
              </w:rPr>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0"/>
              <w:jc w:val="right"/>
              <w:rPr>
                <w:rFonts w:ascii="Arial" w:hAnsi="Arial" w:cs="Arial" w:eastAsia="Arial" w:hint="default"/>
                <w:sz w:val="20"/>
                <w:szCs w:val="20"/>
              </w:rPr>
            </w:pPr>
            <w:r>
              <w:rPr>
                <w:rFonts w:ascii="Arial"/>
                <w:w w:val="99"/>
                <w:sz w:val="20"/>
              </w:rPr>
            </w:r>
            <w:r>
              <w:rPr>
                <w:rFonts w:ascii="Arial"/>
                <w:spacing w:val="-1"/>
                <w:sz w:val="20"/>
                <w:u w:val="single" w:color="000000"/>
              </w:rPr>
              <w:t>3,501,435,765</w:t>
            </w:r>
            <w:r>
              <w:rPr>
                <w:rFonts w:ascii="Arial"/>
                <w:spacing w:val="-1"/>
                <w:sz w:val="20"/>
              </w:rPr>
            </w:r>
            <w:r>
              <w:rPr>
                <w:rFonts w:ascii="Arial"/>
                <w:sz w:val="20"/>
              </w:rPr>
            </w:r>
          </w:p>
        </w:tc>
      </w:tr>
      <w:tr>
        <w:trPr>
          <w:trHeight w:val="348" w:hRule="exact"/>
        </w:trPr>
        <w:tc>
          <w:tcPr>
            <w:tcW w:w="262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0"/>
              <w:jc w:val="left"/>
              <w:rPr>
                <w:rFonts w:ascii="黑体" w:hAnsi="黑体" w:cs="黑体" w:eastAsia="黑体" w:hint="default"/>
                <w:sz w:val="20"/>
                <w:szCs w:val="20"/>
              </w:rPr>
            </w:pPr>
            <w:r>
              <w:rPr>
                <w:rFonts w:ascii="黑体" w:hAnsi="黑体" w:cs="黑体" w:eastAsia="黑体" w:hint="default"/>
                <w:sz w:val="20"/>
                <w:szCs w:val="20"/>
              </w:rPr>
              <w:t>资产总计</w:t>
            </w:r>
          </w:p>
        </w:tc>
        <w:tc>
          <w:tcPr>
            <w:tcW w:w="2275" w:type="dxa"/>
            <w:tcBorders>
              <w:top w:val="nil" w:sz="6" w:space="0" w:color="auto"/>
              <w:left w:val="nil" w:sz="6" w:space="0" w:color="auto"/>
              <w:bottom w:val="nil" w:sz="6" w:space="0" w:color="auto"/>
              <w:right w:val="nil" w:sz="6" w:space="0" w:color="auto"/>
            </w:tcBorders>
          </w:tcPr>
          <w:p>
            <w:pP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438"/>
              <w:jc w:val="right"/>
              <w:rPr>
                <w:rFonts w:ascii="Arial" w:hAnsi="Arial" w:cs="Arial" w:eastAsia="Arial" w:hint="default"/>
                <w:sz w:val="20"/>
                <w:szCs w:val="20"/>
              </w:rPr>
            </w:pPr>
            <w:r>
              <w:rPr>
                <w:rFonts w:ascii="Arial"/>
                <w:w w:val="99"/>
                <w:sz w:val="20"/>
              </w:rPr>
            </w:r>
            <w:r>
              <w:rPr>
                <w:rFonts w:ascii="Arial"/>
                <w:spacing w:val="-1"/>
                <w:sz w:val="20"/>
                <w:u w:val="thick" w:color="000000"/>
              </w:rPr>
              <w:t>5,587,871,215</w:t>
            </w:r>
            <w:r>
              <w:rPr>
                <w:rFonts w:ascii="Arial"/>
                <w:spacing w:val="-1"/>
                <w:sz w:val="20"/>
              </w:rPr>
            </w:r>
            <w:r>
              <w:rPr>
                <w:rFonts w:ascii="Arial"/>
                <w:sz w:val="20"/>
              </w:rPr>
            </w: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0"/>
              <w:jc w:val="right"/>
              <w:rPr>
                <w:rFonts w:ascii="Arial" w:hAnsi="Arial" w:cs="Arial" w:eastAsia="Arial" w:hint="default"/>
                <w:sz w:val="20"/>
                <w:szCs w:val="20"/>
              </w:rPr>
            </w:pPr>
            <w:r>
              <w:rPr>
                <w:rFonts w:ascii="Arial"/>
                <w:w w:val="99"/>
                <w:sz w:val="20"/>
              </w:rPr>
            </w:r>
            <w:r>
              <w:rPr>
                <w:rFonts w:ascii="Arial"/>
                <w:spacing w:val="-1"/>
                <w:sz w:val="20"/>
                <w:u w:val="thick" w:color="000000"/>
              </w:rPr>
              <w:t>4,917,585,822</w:t>
            </w:r>
            <w:r>
              <w:rPr>
                <w:rFonts w:ascii="Arial"/>
                <w:spacing w:val="-1"/>
                <w:sz w:val="20"/>
              </w:rPr>
            </w:r>
            <w:r>
              <w:rPr>
                <w:rFonts w:ascii="Arial"/>
                <w:sz w:val="20"/>
              </w:rPr>
            </w:r>
          </w:p>
        </w:tc>
      </w:tr>
    </w:tbl>
    <w:p>
      <w:pPr>
        <w:spacing w:after="0" w:line="240" w:lineRule="auto"/>
        <w:jc w:val="right"/>
        <w:rPr>
          <w:rFonts w:ascii="Arial" w:hAnsi="Arial" w:cs="Arial" w:eastAsia="Arial" w:hint="default"/>
          <w:sz w:val="20"/>
          <w:szCs w:val="20"/>
        </w:rPr>
        <w:sectPr>
          <w:pgSz w:w="11910" w:h="16850"/>
          <w:pgMar w:header="957" w:footer="823" w:top="1160" w:bottom="1020" w:left="1600" w:right="1500"/>
        </w:sectPr>
      </w:pPr>
    </w:p>
    <w:p>
      <w:pPr>
        <w:pStyle w:val="Heading4"/>
        <w:spacing w:line="292" w:lineRule="auto"/>
        <w:ind w:left="4060" w:right="3439" w:hanging="502"/>
        <w:jc w:val="left"/>
        <w:rPr>
          <w:b w:val="0"/>
          <w:bCs w:val="0"/>
        </w:rPr>
      </w:pPr>
      <w:r>
        <w:rPr/>
        <w:t>公司资产负债表(续)</w:t>
      </w:r>
      <w:r>
        <w:rPr>
          <w:w w:val="99"/>
        </w:rPr>
        <w:t> </w:t>
      </w:r>
      <w:r>
        <w:rPr>
          <w:rFonts w:ascii="Arial" w:hAnsi="Arial" w:cs="Arial" w:eastAsia="Arial" w:hint="default"/>
        </w:rPr>
        <w:t>2012</w:t>
      </w:r>
      <w:r>
        <w:rPr>
          <w:rFonts w:ascii="Arial" w:hAnsi="Arial" w:cs="Arial" w:eastAsia="Arial" w:hint="default"/>
          <w:spacing w:val="-8"/>
        </w:rPr>
        <w:t> </w:t>
      </w:r>
      <w:r>
        <w:rPr/>
        <w:t>年度</w:t>
      </w:r>
      <w:r>
        <w:rPr>
          <w:w w:val="99"/>
        </w:rPr>
        <w:t> </w:t>
      </w:r>
      <w:r>
        <w:rPr/>
        <w:t>人民币元</w:t>
      </w:r>
      <w:r>
        <w:rPr>
          <w:b w:val="0"/>
          <w:bCs w:val="0"/>
        </w:rPr>
      </w:r>
    </w:p>
    <w:p>
      <w:pPr>
        <w:spacing w:line="240" w:lineRule="auto" w:before="9"/>
        <w:rPr>
          <w:rFonts w:ascii="黑体" w:hAnsi="黑体" w:cs="黑体" w:eastAsia="黑体" w:hint="default"/>
          <w:b/>
          <w:bCs/>
          <w:sz w:val="16"/>
          <w:szCs w:val="16"/>
        </w:rPr>
      </w:pPr>
    </w:p>
    <w:tbl>
      <w:tblPr>
        <w:tblW w:w="0" w:type="auto"/>
        <w:jc w:val="left"/>
        <w:tblInd w:w="253" w:type="dxa"/>
        <w:tblLayout w:type="fixed"/>
        <w:tblCellMar>
          <w:top w:w="0" w:type="dxa"/>
          <w:left w:w="0" w:type="dxa"/>
          <w:bottom w:w="0" w:type="dxa"/>
          <w:right w:w="0" w:type="dxa"/>
        </w:tblCellMar>
        <w:tblLook w:val="01E0"/>
      </w:tblPr>
      <w:tblGrid>
        <w:gridCol w:w="3056"/>
        <w:gridCol w:w="1918"/>
        <w:gridCol w:w="2071"/>
        <w:gridCol w:w="1594"/>
      </w:tblGrid>
      <w:tr>
        <w:trPr>
          <w:trHeight w:val="1030" w:hRule="exact"/>
        </w:trPr>
        <w:tc>
          <w:tcPr>
            <w:tcW w:w="3056"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9"/>
              <w:ind w:right="0"/>
              <w:jc w:val="left"/>
              <w:rPr>
                <w:rFonts w:ascii="黑体" w:hAnsi="黑体" w:cs="黑体" w:eastAsia="黑体" w:hint="default"/>
                <w:b/>
                <w:bCs/>
                <w:sz w:val="26"/>
                <w:szCs w:val="26"/>
              </w:rPr>
            </w:pPr>
          </w:p>
          <w:p>
            <w:pPr>
              <w:pStyle w:val="TableParagraph"/>
              <w:spacing w:line="240" w:lineRule="auto"/>
              <w:ind w:left="16" w:right="0"/>
              <w:jc w:val="left"/>
              <w:rPr>
                <w:rFonts w:ascii="黑体" w:hAnsi="黑体" w:cs="黑体" w:eastAsia="黑体" w:hint="default"/>
                <w:sz w:val="20"/>
                <w:szCs w:val="20"/>
              </w:rPr>
            </w:pPr>
            <w:r>
              <w:rPr>
                <w:rFonts w:ascii="黑体" w:hAnsi="黑体" w:cs="黑体" w:eastAsia="黑体" w:hint="default"/>
                <w:b/>
                <w:bCs/>
                <w:sz w:val="20"/>
                <w:szCs w:val="20"/>
              </w:rPr>
              <w:t>负债及股东权益</w:t>
            </w:r>
            <w:r>
              <w:rPr>
                <w:rFonts w:ascii="黑体" w:hAnsi="黑体" w:cs="黑体" w:eastAsia="黑体" w:hint="default"/>
                <w:sz w:val="20"/>
                <w:szCs w:val="20"/>
              </w:rPr>
            </w:r>
          </w:p>
        </w:tc>
        <w:tc>
          <w:tcPr>
            <w:tcW w:w="1918"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9"/>
              <w:ind w:right="0"/>
              <w:jc w:val="left"/>
              <w:rPr>
                <w:rFonts w:ascii="黑体" w:hAnsi="黑体" w:cs="黑体" w:eastAsia="黑体" w:hint="default"/>
                <w:b/>
                <w:bCs/>
                <w:sz w:val="26"/>
                <w:szCs w:val="26"/>
              </w:rPr>
            </w:pPr>
          </w:p>
          <w:p>
            <w:pPr>
              <w:pStyle w:val="TableParagraph"/>
              <w:spacing w:line="240" w:lineRule="auto"/>
              <w:ind w:right="45"/>
              <w:jc w:val="center"/>
              <w:rPr>
                <w:rFonts w:ascii="黑体" w:hAnsi="黑体" w:cs="黑体" w:eastAsia="黑体" w:hint="default"/>
                <w:sz w:val="20"/>
                <w:szCs w:val="20"/>
              </w:rPr>
            </w:pPr>
            <w:r>
              <w:rPr>
                <w:rFonts w:ascii="黑体" w:hAnsi="黑体" w:cs="黑体" w:eastAsia="黑体" w:hint="default"/>
                <w:b/>
                <w:bCs/>
                <w:sz w:val="20"/>
                <w:szCs w:val="20"/>
              </w:rPr>
              <w:t>附注十三</w:t>
            </w:r>
            <w:r>
              <w:rPr>
                <w:rFonts w:ascii="黑体" w:hAnsi="黑体" w:cs="黑体" w:eastAsia="黑体" w:hint="default"/>
                <w:sz w:val="20"/>
                <w:szCs w:val="20"/>
              </w:rPr>
            </w:r>
          </w:p>
        </w:tc>
        <w:tc>
          <w:tcPr>
            <w:tcW w:w="2071"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b/>
                <w:bCs/>
                <w:sz w:val="26"/>
                <w:szCs w:val="26"/>
              </w:rPr>
            </w:pPr>
          </w:p>
          <w:p>
            <w:pPr>
              <w:pStyle w:val="TableParagraph"/>
              <w:spacing w:line="268" w:lineRule="exact"/>
              <w:ind w:left="1110" w:right="0"/>
              <w:jc w:val="left"/>
              <w:rPr>
                <w:rFonts w:ascii="黑体" w:hAnsi="黑体" w:cs="黑体" w:eastAsia="黑体" w:hint="default"/>
                <w:sz w:val="20"/>
                <w:szCs w:val="20"/>
              </w:rPr>
            </w:pPr>
            <w:r>
              <w:rPr>
                <w:rFonts w:ascii="Arial" w:hAnsi="Arial" w:cs="Arial" w:eastAsia="Arial" w:hint="default"/>
                <w:b/>
                <w:bCs/>
                <w:sz w:val="20"/>
                <w:szCs w:val="20"/>
              </w:rPr>
              <w:t>2012</w:t>
            </w:r>
            <w:r>
              <w:rPr>
                <w:rFonts w:ascii="黑体" w:hAnsi="黑体" w:cs="黑体" w:eastAsia="黑体" w:hint="default"/>
                <w:b/>
                <w:bCs/>
                <w:sz w:val="20"/>
                <w:szCs w:val="20"/>
              </w:rPr>
              <w:t>年</w:t>
            </w:r>
            <w:r>
              <w:rPr>
                <w:rFonts w:ascii="黑体" w:hAnsi="黑体" w:cs="黑体" w:eastAsia="黑体" w:hint="default"/>
                <w:sz w:val="20"/>
                <w:szCs w:val="20"/>
              </w:rPr>
            </w:r>
          </w:p>
          <w:p>
            <w:pPr>
              <w:pStyle w:val="TableParagraph"/>
              <w:spacing w:line="268" w:lineRule="exact"/>
              <w:ind w:left="908" w:right="0"/>
              <w:jc w:val="left"/>
              <w:rPr>
                <w:rFonts w:ascii="黑体" w:hAnsi="黑体" w:cs="黑体" w:eastAsia="黑体" w:hint="default"/>
                <w:sz w:val="20"/>
                <w:szCs w:val="20"/>
              </w:rPr>
            </w:pPr>
            <w:r>
              <w:rPr>
                <w:rFonts w:ascii="Arial" w:hAnsi="Arial" w:cs="Arial" w:eastAsia="Arial" w:hint="default"/>
                <w:b/>
                <w:bCs/>
                <w:sz w:val="20"/>
                <w:szCs w:val="20"/>
              </w:rPr>
              <w:t>12</w:t>
            </w:r>
            <w:r>
              <w:rPr>
                <w:rFonts w:ascii="黑体" w:hAnsi="黑体" w:cs="黑体" w:eastAsia="黑体" w:hint="default"/>
                <w:b/>
                <w:bCs/>
                <w:sz w:val="20"/>
                <w:szCs w:val="20"/>
              </w:rPr>
              <w:t>月</w:t>
            </w:r>
            <w:r>
              <w:rPr>
                <w:rFonts w:ascii="Arial" w:hAnsi="Arial" w:cs="Arial" w:eastAsia="Arial" w:hint="default"/>
                <w:b/>
                <w:bCs/>
                <w:sz w:val="20"/>
                <w:szCs w:val="20"/>
              </w:rPr>
              <w:t>31</w:t>
            </w:r>
            <w:r>
              <w:rPr>
                <w:rFonts w:ascii="黑体" w:hAnsi="黑体" w:cs="黑体" w:eastAsia="黑体" w:hint="default"/>
                <w:b/>
                <w:bCs/>
                <w:sz w:val="20"/>
                <w:szCs w:val="20"/>
              </w:rPr>
              <w:t>日</w:t>
            </w:r>
            <w:r>
              <w:rPr>
                <w:rFonts w:ascii="黑体" w:hAnsi="黑体" w:cs="黑体" w:eastAsia="黑体" w:hint="default"/>
                <w:sz w:val="20"/>
                <w:szCs w:val="20"/>
              </w:rPr>
            </w:r>
          </w:p>
        </w:tc>
        <w:tc>
          <w:tcPr>
            <w:tcW w:w="1594"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b/>
                <w:bCs/>
                <w:sz w:val="26"/>
                <w:szCs w:val="26"/>
              </w:rPr>
            </w:pPr>
          </w:p>
          <w:p>
            <w:pPr>
              <w:pStyle w:val="TableParagraph"/>
              <w:spacing w:line="268" w:lineRule="exact"/>
              <w:ind w:left="949" w:right="0"/>
              <w:jc w:val="left"/>
              <w:rPr>
                <w:rFonts w:ascii="黑体" w:hAnsi="黑体" w:cs="黑体" w:eastAsia="黑体" w:hint="default"/>
                <w:sz w:val="20"/>
                <w:szCs w:val="20"/>
              </w:rPr>
            </w:pPr>
            <w:r>
              <w:rPr>
                <w:rFonts w:ascii="Arial" w:hAnsi="Arial" w:cs="Arial" w:eastAsia="Arial" w:hint="default"/>
                <w:b/>
                <w:bCs/>
                <w:w w:val="95"/>
                <w:sz w:val="20"/>
                <w:szCs w:val="20"/>
              </w:rPr>
              <w:t>2011</w:t>
            </w:r>
            <w:r>
              <w:rPr>
                <w:rFonts w:ascii="黑体" w:hAnsi="黑体" w:cs="黑体" w:eastAsia="黑体" w:hint="default"/>
                <w:b/>
                <w:bCs/>
                <w:w w:val="95"/>
                <w:sz w:val="20"/>
                <w:szCs w:val="20"/>
              </w:rPr>
              <w:t>年</w:t>
            </w:r>
            <w:r>
              <w:rPr>
                <w:rFonts w:ascii="黑体" w:hAnsi="黑体" w:cs="黑体" w:eastAsia="黑体" w:hint="default"/>
                <w:sz w:val="20"/>
                <w:szCs w:val="20"/>
              </w:rPr>
            </w:r>
          </w:p>
          <w:p>
            <w:pPr>
              <w:pStyle w:val="TableParagraph"/>
              <w:spacing w:line="268" w:lineRule="exact"/>
              <w:ind w:left="747" w:right="0"/>
              <w:jc w:val="left"/>
              <w:rPr>
                <w:rFonts w:ascii="黑体" w:hAnsi="黑体" w:cs="黑体" w:eastAsia="黑体" w:hint="default"/>
                <w:sz w:val="20"/>
                <w:szCs w:val="20"/>
              </w:rPr>
            </w:pPr>
            <w:r>
              <w:rPr>
                <w:rFonts w:ascii="Arial" w:hAnsi="Arial" w:cs="Arial" w:eastAsia="Arial" w:hint="default"/>
                <w:b/>
                <w:bCs/>
                <w:w w:val="95"/>
                <w:sz w:val="20"/>
                <w:szCs w:val="20"/>
              </w:rPr>
              <w:t>12</w:t>
            </w:r>
            <w:r>
              <w:rPr>
                <w:rFonts w:ascii="黑体" w:hAnsi="黑体" w:cs="黑体" w:eastAsia="黑体" w:hint="default"/>
                <w:b/>
                <w:bCs/>
                <w:w w:val="95"/>
                <w:sz w:val="20"/>
                <w:szCs w:val="20"/>
              </w:rPr>
              <w:t>月</w:t>
            </w:r>
            <w:r>
              <w:rPr>
                <w:rFonts w:ascii="Arial" w:hAnsi="Arial" w:cs="Arial" w:eastAsia="Arial" w:hint="default"/>
                <w:b/>
                <w:bCs/>
                <w:w w:val="95"/>
                <w:sz w:val="20"/>
                <w:szCs w:val="20"/>
              </w:rPr>
              <w:t>31</w:t>
            </w:r>
            <w:r>
              <w:rPr>
                <w:rFonts w:ascii="黑体" w:hAnsi="黑体" w:cs="黑体" w:eastAsia="黑体" w:hint="default"/>
                <w:b/>
                <w:bCs/>
                <w:w w:val="95"/>
                <w:sz w:val="20"/>
                <w:szCs w:val="20"/>
              </w:rPr>
              <w:t>日</w:t>
            </w:r>
            <w:r>
              <w:rPr>
                <w:rFonts w:ascii="黑体" w:hAnsi="黑体" w:cs="黑体" w:eastAsia="黑体" w:hint="default"/>
                <w:sz w:val="20"/>
                <w:szCs w:val="20"/>
              </w:rPr>
            </w:r>
          </w:p>
        </w:tc>
      </w:tr>
      <w:tr>
        <w:trPr>
          <w:trHeight w:val="517"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6" w:right="0"/>
              <w:jc w:val="left"/>
              <w:rPr>
                <w:rFonts w:ascii="Arial" w:hAnsi="Arial" w:cs="Arial" w:eastAsia="Arial" w:hint="default"/>
                <w:sz w:val="20"/>
                <w:szCs w:val="20"/>
              </w:rPr>
            </w:pPr>
            <w:r>
              <w:rPr>
                <w:rFonts w:ascii="黑体" w:hAnsi="黑体" w:cs="黑体" w:eastAsia="黑体" w:hint="default"/>
                <w:sz w:val="20"/>
                <w:szCs w:val="20"/>
              </w:rPr>
              <w:t>流动负债</w:t>
            </w:r>
            <w:r>
              <w:rPr>
                <w:rFonts w:ascii="Arial" w:hAnsi="Arial" w:cs="Arial" w:eastAsia="Arial" w:hint="default"/>
                <w:sz w:val="20"/>
                <w:szCs w:val="20"/>
              </w:rPr>
              <w:t>:</w:t>
            </w:r>
          </w:p>
        </w:tc>
        <w:tc>
          <w:tcPr>
            <w:tcW w:w="1918" w:type="dxa"/>
            <w:tcBorders>
              <w:top w:val="nil" w:sz="6" w:space="0" w:color="auto"/>
              <w:left w:val="nil" w:sz="6" w:space="0" w:color="auto"/>
              <w:bottom w:val="nil" w:sz="6" w:space="0" w:color="auto"/>
              <w:right w:val="nil" w:sz="6" w:space="0" w:color="auto"/>
            </w:tcBorders>
          </w:tcPr>
          <w:p>
            <w:pPr/>
          </w:p>
        </w:tc>
        <w:tc>
          <w:tcPr>
            <w:tcW w:w="2071"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nil" w:sz="6" w:space="0" w:color="auto"/>
              <w:right w:val="nil" w:sz="6" w:space="0" w:color="auto"/>
            </w:tcBorders>
          </w:tcPr>
          <w:p>
            <w:pPr/>
          </w:p>
        </w:tc>
      </w:tr>
      <w:tr>
        <w:trPr>
          <w:trHeight w:val="402"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419" w:right="0"/>
              <w:jc w:val="left"/>
              <w:rPr>
                <w:rFonts w:ascii="黑体" w:hAnsi="黑体" w:cs="黑体" w:eastAsia="黑体" w:hint="default"/>
                <w:sz w:val="20"/>
                <w:szCs w:val="20"/>
              </w:rPr>
            </w:pPr>
            <w:r>
              <w:rPr>
                <w:rFonts w:ascii="黑体" w:hAnsi="黑体" w:cs="黑体" w:eastAsia="黑体" w:hint="default"/>
                <w:sz w:val="20"/>
                <w:szCs w:val="20"/>
              </w:rPr>
              <w:t>短期借款</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3"/>
              <w:jc w:val="center"/>
              <w:rPr>
                <w:rFonts w:ascii="Arial" w:hAnsi="Arial" w:cs="Arial" w:eastAsia="Arial" w:hint="default"/>
                <w:sz w:val="20"/>
                <w:szCs w:val="20"/>
              </w:rPr>
            </w:pPr>
            <w:r>
              <w:rPr>
                <w:rFonts w:ascii="黑体" w:hAnsi="黑体" w:cs="黑体" w:eastAsia="黑体" w:hint="default"/>
                <w:sz w:val="20"/>
                <w:szCs w:val="20"/>
              </w:rPr>
              <w:t>附注五、</w:t>
            </w:r>
            <w:r>
              <w:rPr>
                <w:rFonts w:ascii="Arial" w:hAnsi="Arial" w:cs="Arial" w:eastAsia="Arial" w:hint="default"/>
                <w:sz w:val="20"/>
                <w:szCs w:val="20"/>
              </w:rPr>
              <w:t>19</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316"/>
              <w:jc w:val="right"/>
              <w:rPr>
                <w:rFonts w:ascii="Arial" w:hAnsi="Arial" w:cs="Arial" w:eastAsia="Arial" w:hint="default"/>
                <w:sz w:val="20"/>
                <w:szCs w:val="20"/>
              </w:rPr>
            </w:pPr>
            <w:r>
              <w:rPr>
                <w:rFonts w:ascii="Arial"/>
                <w:spacing w:val="-1"/>
                <w:sz w:val="20"/>
              </w:rPr>
              <w:t>1,010,000,000</w:t>
            </w:r>
            <w:r>
              <w:rPr>
                <w:rFonts w:ascii="Arial"/>
                <w:sz w:val="20"/>
              </w:rPr>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
              <w:jc w:val="right"/>
              <w:rPr>
                <w:rFonts w:ascii="Arial" w:hAnsi="Arial" w:cs="Arial" w:eastAsia="Arial" w:hint="default"/>
                <w:sz w:val="20"/>
                <w:szCs w:val="20"/>
              </w:rPr>
            </w:pPr>
            <w:r>
              <w:rPr>
                <w:rFonts w:ascii="Arial"/>
                <w:spacing w:val="-1"/>
                <w:sz w:val="20"/>
              </w:rPr>
              <w:t>490,000,000</w:t>
            </w:r>
            <w:r>
              <w:rPr>
                <w:rFonts w:ascii="Arial"/>
                <w:sz w:val="20"/>
              </w:rPr>
            </w:r>
          </w:p>
        </w:tc>
      </w:tr>
      <w:tr>
        <w:trPr>
          <w:trHeight w:val="258"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224" w:lineRule="exact"/>
              <w:ind w:left="436" w:right="0"/>
              <w:jc w:val="left"/>
              <w:rPr>
                <w:rFonts w:ascii="黑体" w:hAnsi="黑体" w:cs="黑体" w:eastAsia="黑体" w:hint="default"/>
                <w:sz w:val="20"/>
                <w:szCs w:val="20"/>
              </w:rPr>
            </w:pPr>
            <w:r>
              <w:rPr>
                <w:rFonts w:ascii="黑体" w:hAnsi="黑体" w:cs="黑体" w:eastAsia="黑体" w:hint="default"/>
                <w:sz w:val="20"/>
                <w:szCs w:val="20"/>
              </w:rPr>
              <w:t>应付账款</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0"/>
              <w:jc w:val="center"/>
              <w:rPr>
                <w:rFonts w:ascii="Arial" w:hAnsi="Arial" w:cs="Arial" w:eastAsia="Arial" w:hint="default"/>
                <w:sz w:val="20"/>
                <w:szCs w:val="20"/>
              </w:rPr>
            </w:pPr>
            <w:r>
              <w:rPr>
                <w:rFonts w:ascii="Arial"/>
                <w:sz w:val="20"/>
              </w:rPr>
              <w:t>17</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13"/>
              <w:jc w:val="right"/>
              <w:rPr>
                <w:rFonts w:ascii="Arial" w:hAnsi="Arial" w:cs="Arial" w:eastAsia="Arial" w:hint="default"/>
                <w:sz w:val="20"/>
                <w:szCs w:val="20"/>
              </w:rPr>
            </w:pPr>
            <w:r>
              <w:rPr>
                <w:rFonts w:ascii="Arial"/>
                <w:spacing w:val="-1"/>
                <w:sz w:val="20"/>
              </w:rPr>
              <w:t>86,586,193</w:t>
            </w:r>
            <w:r>
              <w:rPr>
                <w:rFonts w:ascii="Arial"/>
                <w:sz w:val="20"/>
              </w:rPr>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
              <w:jc w:val="right"/>
              <w:rPr>
                <w:rFonts w:ascii="Arial" w:hAnsi="Arial" w:cs="Arial" w:eastAsia="Arial" w:hint="default"/>
                <w:sz w:val="20"/>
                <w:szCs w:val="20"/>
              </w:rPr>
            </w:pPr>
            <w:r>
              <w:rPr>
                <w:rFonts w:ascii="Arial"/>
                <w:spacing w:val="-1"/>
                <w:sz w:val="20"/>
              </w:rPr>
              <w:t>44,003,360</w:t>
            </w:r>
            <w:r>
              <w:rPr>
                <w:rFonts w:ascii="Arial"/>
                <w:sz w:val="20"/>
              </w:rPr>
            </w:r>
          </w:p>
        </w:tc>
      </w:tr>
      <w:tr>
        <w:trPr>
          <w:trHeight w:val="259"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226" w:lineRule="exact"/>
              <w:ind w:left="436" w:right="0"/>
              <w:jc w:val="left"/>
              <w:rPr>
                <w:rFonts w:ascii="黑体" w:hAnsi="黑体" w:cs="黑体" w:eastAsia="黑体" w:hint="default"/>
                <w:sz w:val="20"/>
                <w:szCs w:val="20"/>
              </w:rPr>
            </w:pPr>
            <w:r>
              <w:rPr>
                <w:rFonts w:ascii="黑体" w:hAnsi="黑体" w:cs="黑体" w:eastAsia="黑体" w:hint="default"/>
                <w:sz w:val="20"/>
                <w:szCs w:val="20"/>
              </w:rPr>
              <w:t>预收款项</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0"/>
              <w:jc w:val="center"/>
              <w:rPr>
                <w:rFonts w:ascii="Arial" w:hAnsi="Arial" w:cs="Arial" w:eastAsia="Arial" w:hint="default"/>
                <w:sz w:val="20"/>
                <w:szCs w:val="20"/>
              </w:rPr>
            </w:pPr>
            <w:r>
              <w:rPr>
                <w:rFonts w:ascii="Arial"/>
                <w:sz w:val="20"/>
              </w:rPr>
              <w:t>18</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6"/>
              <w:jc w:val="right"/>
              <w:rPr>
                <w:rFonts w:ascii="Arial" w:hAnsi="Arial" w:cs="Arial" w:eastAsia="Arial" w:hint="default"/>
                <w:sz w:val="20"/>
                <w:szCs w:val="20"/>
              </w:rPr>
            </w:pPr>
            <w:r>
              <w:rPr>
                <w:rFonts w:ascii="Arial"/>
                <w:spacing w:val="-1"/>
                <w:sz w:val="20"/>
              </w:rPr>
              <w:t>310,097,311</w:t>
            </w:r>
            <w:r>
              <w:rPr>
                <w:rFonts w:ascii="Arial"/>
                <w:sz w:val="20"/>
              </w:rPr>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
              <w:jc w:val="right"/>
              <w:rPr>
                <w:rFonts w:ascii="Arial" w:hAnsi="Arial" w:cs="Arial" w:eastAsia="Arial" w:hint="default"/>
                <w:sz w:val="20"/>
                <w:szCs w:val="20"/>
              </w:rPr>
            </w:pPr>
            <w:r>
              <w:rPr>
                <w:rFonts w:ascii="Arial"/>
                <w:spacing w:val="-1"/>
                <w:sz w:val="20"/>
              </w:rPr>
              <w:t>236,236,850</w:t>
            </w:r>
            <w:r>
              <w:rPr>
                <w:rFonts w:ascii="Arial"/>
                <w:sz w:val="20"/>
              </w:rPr>
            </w:r>
          </w:p>
        </w:tc>
      </w:tr>
      <w:tr>
        <w:trPr>
          <w:trHeight w:val="260"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226" w:lineRule="exact"/>
              <w:ind w:left="436" w:right="0"/>
              <w:jc w:val="left"/>
              <w:rPr>
                <w:rFonts w:ascii="黑体" w:hAnsi="黑体" w:cs="黑体" w:eastAsia="黑体" w:hint="default"/>
                <w:sz w:val="20"/>
                <w:szCs w:val="20"/>
              </w:rPr>
            </w:pPr>
            <w:r>
              <w:rPr>
                <w:rFonts w:ascii="黑体" w:hAnsi="黑体" w:cs="黑体" w:eastAsia="黑体" w:hint="default"/>
                <w:sz w:val="20"/>
                <w:szCs w:val="20"/>
              </w:rPr>
              <w:t>应付职工薪酬</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0"/>
              <w:jc w:val="center"/>
              <w:rPr>
                <w:rFonts w:ascii="Arial" w:hAnsi="Arial" w:cs="Arial" w:eastAsia="Arial" w:hint="default"/>
                <w:sz w:val="20"/>
                <w:szCs w:val="20"/>
              </w:rPr>
            </w:pPr>
            <w:r>
              <w:rPr>
                <w:rFonts w:ascii="Arial"/>
                <w:sz w:val="20"/>
              </w:rPr>
              <w:t>19</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6"/>
              <w:jc w:val="right"/>
              <w:rPr>
                <w:rFonts w:ascii="Arial" w:hAnsi="Arial" w:cs="Arial" w:eastAsia="Arial" w:hint="default"/>
                <w:sz w:val="20"/>
                <w:szCs w:val="20"/>
              </w:rPr>
            </w:pPr>
            <w:r>
              <w:rPr>
                <w:rFonts w:ascii="Arial"/>
                <w:spacing w:val="-1"/>
                <w:sz w:val="20"/>
              </w:rPr>
              <w:t>265,627,113</w:t>
            </w:r>
            <w:r>
              <w:rPr>
                <w:rFonts w:ascii="Arial"/>
                <w:sz w:val="20"/>
              </w:rPr>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
              <w:jc w:val="right"/>
              <w:rPr>
                <w:rFonts w:ascii="Arial" w:hAnsi="Arial" w:cs="Arial" w:eastAsia="Arial" w:hint="default"/>
                <w:sz w:val="20"/>
                <w:szCs w:val="20"/>
              </w:rPr>
            </w:pPr>
            <w:r>
              <w:rPr>
                <w:rFonts w:ascii="Arial"/>
                <w:spacing w:val="-1"/>
                <w:sz w:val="20"/>
              </w:rPr>
              <w:t>358,445,351</w:t>
            </w:r>
            <w:r>
              <w:rPr>
                <w:rFonts w:ascii="Arial"/>
                <w:sz w:val="20"/>
              </w:rPr>
            </w:r>
          </w:p>
        </w:tc>
      </w:tr>
      <w:tr>
        <w:trPr>
          <w:trHeight w:val="259"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224" w:lineRule="exact"/>
              <w:ind w:left="436" w:right="0"/>
              <w:jc w:val="left"/>
              <w:rPr>
                <w:rFonts w:ascii="黑体" w:hAnsi="黑体" w:cs="黑体" w:eastAsia="黑体" w:hint="default"/>
                <w:sz w:val="20"/>
                <w:szCs w:val="20"/>
              </w:rPr>
            </w:pPr>
            <w:r>
              <w:rPr>
                <w:rFonts w:ascii="黑体" w:hAnsi="黑体" w:cs="黑体" w:eastAsia="黑体" w:hint="default"/>
                <w:sz w:val="20"/>
                <w:szCs w:val="20"/>
              </w:rPr>
              <w:t>应交税费</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0"/>
              <w:jc w:val="center"/>
              <w:rPr>
                <w:rFonts w:ascii="Arial" w:hAnsi="Arial" w:cs="Arial" w:eastAsia="Arial" w:hint="default"/>
                <w:sz w:val="20"/>
                <w:szCs w:val="20"/>
              </w:rPr>
            </w:pPr>
            <w:r>
              <w:rPr>
                <w:rFonts w:ascii="Arial"/>
                <w:sz w:val="20"/>
              </w:rPr>
              <w:t>20</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6"/>
              <w:jc w:val="right"/>
              <w:rPr>
                <w:rFonts w:ascii="Arial" w:hAnsi="Arial" w:cs="Arial" w:eastAsia="Arial" w:hint="default"/>
                <w:sz w:val="20"/>
                <w:szCs w:val="20"/>
              </w:rPr>
            </w:pPr>
            <w:r>
              <w:rPr>
                <w:rFonts w:ascii="Arial"/>
                <w:spacing w:val="-1"/>
                <w:sz w:val="20"/>
              </w:rPr>
              <w:t>144,026,704</w:t>
            </w:r>
            <w:r>
              <w:rPr>
                <w:rFonts w:ascii="Arial"/>
                <w:sz w:val="20"/>
              </w:rPr>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
              <w:jc w:val="right"/>
              <w:rPr>
                <w:rFonts w:ascii="Arial" w:hAnsi="Arial" w:cs="Arial" w:eastAsia="Arial" w:hint="default"/>
                <w:sz w:val="20"/>
                <w:szCs w:val="20"/>
              </w:rPr>
            </w:pPr>
            <w:r>
              <w:rPr>
                <w:rFonts w:ascii="Arial"/>
                <w:spacing w:val="-1"/>
                <w:sz w:val="20"/>
              </w:rPr>
              <w:t>222,553,667</w:t>
            </w:r>
            <w:r>
              <w:rPr>
                <w:rFonts w:ascii="Arial"/>
                <w:sz w:val="20"/>
              </w:rPr>
            </w:r>
          </w:p>
        </w:tc>
      </w:tr>
      <w:tr>
        <w:trPr>
          <w:trHeight w:val="259"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224" w:lineRule="exact"/>
              <w:ind w:left="436" w:right="0"/>
              <w:jc w:val="left"/>
              <w:rPr>
                <w:rFonts w:ascii="黑体" w:hAnsi="黑体" w:cs="黑体" w:eastAsia="黑体" w:hint="default"/>
                <w:sz w:val="20"/>
                <w:szCs w:val="20"/>
              </w:rPr>
            </w:pPr>
            <w:r>
              <w:rPr>
                <w:rFonts w:ascii="黑体" w:hAnsi="黑体" w:cs="黑体" w:eastAsia="黑体" w:hint="default"/>
                <w:sz w:val="20"/>
                <w:szCs w:val="20"/>
              </w:rPr>
              <w:t>其他应付款</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0"/>
              <w:jc w:val="center"/>
              <w:rPr>
                <w:rFonts w:ascii="Arial" w:hAnsi="Arial" w:cs="Arial" w:eastAsia="Arial" w:hint="default"/>
                <w:sz w:val="20"/>
                <w:szCs w:val="20"/>
              </w:rPr>
            </w:pPr>
            <w:r>
              <w:rPr>
                <w:rFonts w:ascii="Arial"/>
                <w:sz w:val="20"/>
              </w:rPr>
              <w:t>21</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5"/>
              <w:jc w:val="right"/>
              <w:rPr>
                <w:rFonts w:ascii="Arial" w:hAnsi="Arial" w:cs="Arial" w:eastAsia="Arial" w:hint="default"/>
                <w:sz w:val="20"/>
                <w:szCs w:val="20"/>
              </w:rPr>
            </w:pPr>
            <w:r>
              <w:rPr>
                <w:rFonts w:ascii="Arial"/>
                <w:spacing w:val="-1"/>
                <w:sz w:val="20"/>
              </w:rPr>
              <w:t>489,616,250</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
              <w:jc w:val="right"/>
              <w:rPr>
                <w:rFonts w:ascii="Arial" w:hAnsi="Arial" w:cs="Arial" w:eastAsia="Arial" w:hint="default"/>
                <w:sz w:val="20"/>
                <w:szCs w:val="20"/>
              </w:rPr>
            </w:pPr>
            <w:r>
              <w:rPr>
                <w:rFonts w:ascii="Arial"/>
                <w:spacing w:val="-1"/>
                <w:sz w:val="20"/>
              </w:rPr>
              <w:t>461,869,313</w:t>
            </w:r>
            <w:r>
              <w:rPr>
                <w:rFonts w:ascii="Arial"/>
                <w:sz w:val="20"/>
              </w:rPr>
            </w:r>
          </w:p>
        </w:tc>
      </w:tr>
      <w:tr>
        <w:trPr>
          <w:trHeight w:val="260"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224" w:lineRule="exact"/>
              <w:ind w:left="436" w:right="0"/>
              <w:jc w:val="left"/>
              <w:rPr>
                <w:rFonts w:ascii="黑体" w:hAnsi="黑体" w:cs="黑体" w:eastAsia="黑体" w:hint="default"/>
                <w:sz w:val="20"/>
                <w:szCs w:val="20"/>
              </w:rPr>
            </w:pPr>
            <w:r>
              <w:rPr>
                <w:rFonts w:ascii="黑体" w:hAnsi="黑体" w:cs="黑体" w:eastAsia="黑体" w:hint="default"/>
                <w:sz w:val="20"/>
                <w:szCs w:val="20"/>
              </w:rPr>
              <w:t>一年内到期的非流动负债</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0"/>
              <w:jc w:val="center"/>
              <w:rPr>
                <w:rFonts w:ascii="Arial" w:hAnsi="Arial" w:cs="Arial" w:eastAsia="Arial" w:hint="default"/>
                <w:sz w:val="20"/>
                <w:szCs w:val="20"/>
              </w:rPr>
            </w:pPr>
            <w:r>
              <w:rPr>
                <w:rFonts w:ascii="Arial"/>
                <w:sz w:val="20"/>
              </w:rPr>
              <w:t>22</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6"/>
              <w:jc w:val="right"/>
              <w:rPr>
                <w:rFonts w:ascii="Arial" w:hAnsi="Arial" w:cs="Arial" w:eastAsia="Arial" w:hint="default"/>
                <w:sz w:val="20"/>
                <w:szCs w:val="20"/>
              </w:rPr>
            </w:pPr>
            <w:r>
              <w:rPr>
                <w:rFonts w:ascii="Arial"/>
                <w:spacing w:val="-1"/>
                <w:sz w:val="20"/>
              </w:rPr>
              <w:t>106,230,000</w:t>
            </w:r>
            <w:r>
              <w:rPr>
                <w:rFonts w:ascii="Arial"/>
                <w:sz w:val="20"/>
              </w:rPr>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
              <w:jc w:val="right"/>
              <w:rPr>
                <w:rFonts w:ascii="Arial" w:hAnsi="Arial" w:cs="Arial" w:eastAsia="Arial" w:hint="default"/>
                <w:sz w:val="20"/>
                <w:szCs w:val="20"/>
              </w:rPr>
            </w:pPr>
            <w:r>
              <w:rPr>
                <w:rFonts w:ascii="Arial"/>
                <w:spacing w:val="-1"/>
                <w:sz w:val="20"/>
              </w:rPr>
              <w:t>11,790,000</w:t>
            </w:r>
            <w:r>
              <w:rPr>
                <w:rFonts w:ascii="Arial"/>
                <w:sz w:val="20"/>
              </w:rPr>
            </w:r>
          </w:p>
        </w:tc>
      </w:tr>
      <w:tr>
        <w:trPr>
          <w:trHeight w:val="373"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226" w:lineRule="exact"/>
              <w:ind w:left="436" w:right="0"/>
              <w:jc w:val="left"/>
              <w:rPr>
                <w:rFonts w:ascii="黑体" w:hAnsi="黑体" w:cs="黑体" w:eastAsia="黑体" w:hint="default"/>
                <w:sz w:val="20"/>
                <w:szCs w:val="20"/>
              </w:rPr>
            </w:pPr>
            <w:r>
              <w:rPr>
                <w:rFonts w:ascii="黑体" w:hAnsi="黑体" w:cs="黑体" w:eastAsia="黑体" w:hint="default"/>
                <w:sz w:val="20"/>
                <w:szCs w:val="20"/>
              </w:rPr>
              <w:t>其他流动负债</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0"/>
              <w:jc w:val="center"/>
              <w:rPr>
                <w:rFonts w:ascii="Arial" w:hAnsi="Arial" w:cs="Arial" w:eastAsia="Arial" w:hint="default"/>
                <w:sz w:val="20"/>
                <w:szCs w:val="20"/>
              </w:rPr>
            </w:pPr>
            <w:r>
              <w:rPr>
                <w:rFonts w:ascii="Arial"/>
                <w:sz w:val="20"/>
              </w:rPr>
              <w:t>23</w:t>
            </w:r>
          </w:p>
        </w:tc>
        <w:tc>
          <w:tcPr>
            <w:tcW w:w="2071" w:type="dxa"/>
            <w:tcBorders>
              <w:top w:val="nil" w:sz="6" w:space="0" w:color="auto"/>
              <w:left w:val="nil" w:sz="6" w:space="0" w:color="auto"/>
              <w:bottom w:val="nil" w:sz="6" w:space="0" w:color="auto"/>
              <w:right w:val="nil" w:sz="6" w:space="0" w:color="auto"/>
            </w:tcBorders>
          </w:tcPr>
          <w:p>
            <w:pPr>
              <w:pStyle w:val="TableParagraph"/>
              <w:tabs>
                <w:tab w:pos="403" w:val="left" w:leader="none"/>
              </w:tabs>
              <w:spacing w:line="240" w:lineRule="auto" w:before="7"/>
              <w:ind w:right="316"/>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3,254,061</w:t>
            </w:r>
            <w:r>
              <w:rPr>
                <w:rFonts w:ascii="Arial"/>
                <w:spacing w:val="-1"/>
                <w:w w:val="95"/>
                <w:sz w:val="20"/>
              </w:rPr>
            </w:r>
            <w:r>
              <w:rPr>
                <w:rFonts w:ascii="Arial"/>
                <w:sz w:val="20"/>
              </w:rPr>
            </w:r>
          </w:p>
        </w:tc>
        <w:tc>
          <w:tcPr>
            <w:tcW w:w="1594" w:type="dxa"/>
            <w:tcBorders>
              <w:top w:val="nil" w:sz="6" w:space="0" w:color="auto"/>
              <w:left w:val="nil" w:sz="6" w:space="0" w:color="auto"/>
              <w:bottom w:val="nil" w:sz="6" w:space="0" w:color="auto"/>
              <w:right w:val="nil" w:sz="6" w:space="0" w:color="auto"/>
            </w:tcBorders>
          </w:tcPr>
          <w:p>
            <w:pPr>
              <w:pStyle w:val="TableParagraph"/>
              <w:tabs>
                <w:tab w:pos="376" w:val="left" w:leader="none"/>
              </w:tabs>
              <w:spacing w:line="240" w:lineRule="auto" w:before="7"/>
              <w:ind w:right="1"/>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3,347,947</w:t>
            </w:r>
            <w:r>
              <w:rPr>
                <w:rFonts w:ascii="Arial"/>
                <w:spacing w:val="-1"/>
                <w:w w:val="95"/>
                <w:sz w:val="20"/>
              </w:rPr>
            </w:r>
            <w:r>
              <w:rPr>
                <w:rFonts w:ascii="Arial"/>
                <w:sz w:val="20"/>
              </w:rPr>
            </w:r>
          </w:p>
        </w:tc>
      </w:tr>
      <w:tr>
        <w:trPr>
          <w:trHeight w:val="520"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240" w:lineRule="auto" w:before="78"/>
              <w:ind w:left="436" w:right="0"/>
              <w:jc w:val="left"/>
              <w:rPr>
                <w:rFonts w:ascii="黑体" w:hAnsi="黑体" w:cs="黑体" w:eastAsia="黑体" w:hint="default"/>
                <w:sz w:val="20"/>
                <w:szCs w:val="20"/>
              </w:rPr>
            </w:pPr>
            <w:r>
              <w:rPr>
                <w:rFonts w:ascii="黑体" w:hAnsi="黑体" w:cs="黑体" w:eastAsia="黑体" w:hint="default"/>
                <w:sz w:val="20"/>
                <w:szCs w:val="20"/>
              </w:rPr>
              <w:t>流动负债合计</w:t>
            </w:r>
          </w:p>
        </w:tc>
        <w:tc>
          <w:tcPr>
            <w:tcW w:w="1918" w:type="dxa"/>
            <w:tcBorders>
              <w:top w:val="nil" w:sz="6" w:space="0" w:color="auto"/>
              <w:left w:val="nil" w:sz="6" w:space="0" w:color="auto"/>
              <w:bottom w:val="nil" w:sz="6" w:space="0" w:color="auto"/>
              <w:right w:val="nil" w:sz="6" w:space="0" w:color="auto"/>
            </w:tcBorders>
          </w:tcPr>
          <w:p>
            <w:pP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13"/>
              <w:jc w:val="right"/>
              <w:rPr>
                <w:rFonts w:ascii="Arial" w:hAnsi="Arial" w:cs="Arial" w:eastAsia="Arial" w:hint="default"/>
                <w:sz w:val="20"/>
                <w:szCs w:val="20"/>
              </w:rPr>
            </w:pPr>
            <w:r>
              <w:rPr>
                <w:rFonts w:ascii="Arial"/>
                <w:w w:val="99"/>
                <w:sz w:val="20"/>
              </w:rPr>
            </w:r>
            <w:r>
              <w:rPr>
                <w:rFonts w:ascii="Arial"/>
                <w:spacing w:val="-1"/>
                <w:sz w:val="20"/>
                <w:u w:val="single" w:color="000000"/>
              </w:rPr>
              <w:t>2,415,437,632</w:t>
            </w:r>
            <w:r>
              <w:rPr>
                <w:rFonts w:ascii="Arial"/>
                <w:spacing w:val="-1"/>
                <w:sz w:val="20"/>
              </w:rPr>
            </w:r>
            <w:r>
              <w:rPr>
                <w:rFonts w:ascii="Arial"/>
                <w:sz w:val="20"/>
              </w:rPr>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0"/>
              <w:jc w:val="right"/>
              <w:rPr>
                <w:rFonts w:ascii="Arial" w:hAnsi="Arial" w:cs="Arial" w:eastAsia="Arial" w:hint="default"/>
                <w:sz w:val="20"/>
                <w:szCs w:val="20"/>
              </w:rPr>
            </w:pPr>
            <w:r>
              <w:rPr>
                <w:rFonts w:ascii="Arial"/>
                <w:w w:val="99"/>
                <w:sz w:val="20"/>
              </w:rPr>
            </w:r>
            <w:r>
              <w:rPr>
                <w:rFonts w:ascii="Arial"/>
                <w:spacing w:val="-1"/>
                <w:sz w:val="20"/>
                <w:u w:val="single" w:color="000000"/>
              </w:rPr>
              <w:t>1,828,246,488</w:t>
            </w:r>
            <w:r>
              <w:rPr>
                <w:rFonts w:ascii="Arial"/>
                <w:spacing w:val="-1"/>
                <w:sz w:val="20"/>
              </w:rPr>
            </w:r>
            <w:r>
              <w:rPr>
                <w:rFonts w:ascii="Arial"/>
                <w:sz w:val="20"/>
              </w:rPr>
            </w:r>
          </w:p>
        </w:tc>
      </w:tr>
      <w:tr>
        <w:trPr>
          <w:trHeight w:val="547"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6" w:right="0"/>
              <w:jc w:val="left"/>
              <w:rPr>
                <w:rFonts w:ascii="Arial" w:hAnsi="Arial" w:cs="Arial" w:eastAsia="Arial" w:hint="default"/>
                <w:sz w:val="20"/>
                <w:szCs w:val="20"/>
              </w:rPr>
            </w:pPr>
            <w:r>
              <w:rPr>
                <w:rFonts w:ascii="黑体" w:hAnsi="黑体" w:cs="黑体" w:eastAsia="黑体" w:hint="default"/>
                <w:sz w:val="20"/>
                <w:szCs w:val="20"/>
              </w:rPr>
              <w:t>非流动负债</w:t>
            </w:r>
            <w:r>
              <w:rPr>
                <w:rFonts w:ascii="Arial" w:hAnsi="Arial" w:cs="Arial" w:eastAsia="Arial" w:hint="default"/>
                <w:sz w:val="20"/>
                <w:szCs w:val="20"/>
              </w:rPr>
              <w:t>:</w:t>
            </w:r>
          </w:p>
        </w:tc>
        <w:tc>
          <w:tcPr>
            <w:tcW w:w="1918" w:type="dxa"/>
            <w:tcBorders>
              <w:top w:val="nil" w:sz="6" w:space="0" w:color="auto"/>
              <w:left w:val="nil" w:sz="6" w:space="0" w:color="auto"/>
              <w:bottom w:val="nil" w:sz="6" w:space="0" w:color="auto"/>
              <w:right w:val="nil" w:sz="6" w:space="0" w:color="auto"/>
            </w:tcBorders>
          </w:tcPr>
          <w:p>
            <w:pPr/>
          </w:p>
        </w:tc>
        <w:tc>
          <w:tcPr>
            <w:tcW w:w="2071"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nil" w:sz="6" w:space="0" w:color="auto"/>
              <w:right w:val="nil" w:sz="6" w:space="0" w:color="auto"/>
            </w:tcBorders>
          </w:tcPr>
          <w:p>
            <w:pPr/>
          </w:p>
        </w:tc>
      </w:tr>
      <w:tr>
        <w:trPr>
          <w:trHeight w:val="402"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419" w:right="0"/>
              <w:jc w:val="left"/>
              <w:rPr>
                <w:rFonts w:ascii="黑体" w:hAnsi="黑体" w:cs="黑体" w:eastAsia="黑体" w:hint="default"/>
                <w:sz w:val="20"/>
                <w:szCs w:val="20"/>
              </w:rPr>
            </w:pPr>
            <w:r>
              <w:rPr>
                <w:rFonts w:ascii="黑体" w:hAnsi="黑体" w:cs="黑体" w:eastAsia="黑体" w:hint="default"/>
                <w:sz w:val="20"/>
                <w:szCs w:val="20"/>
              </w:rPr>
              <w:t>长期借款</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53"/>
              <w:jc w:val="center"/>
              <w:rPr>
                <w:rFonts w:ascii="Arial" w:hAnsi="Arial" w:cs="Arial" w:eastAsia="Arial" w:hint="default"/>
                <w:sz w:val="20"/>
                <w:szCs w:val="20"/>
              </w:rPr>
            </w:pPr>
            <w:r>
              <w:rPr>
                <w:rFonts w:ascii="黑体" w:hAnsi="黑体" w:cs="黑体" w:eastAsia="黑体" w:hint="default"/>
                <w:sz w:val="20"/>
                <w:szCs w:val="20"/>
              </w:rPr>
              <w:t>附注五、</w:t>
            </w:r>
            <w:r>
              <w:rPr>
                <w:rFonts w:ascii="Arial" w:hAnsi="Arial" w:cs="Arial" w:eastAsia="Arial" w:hint="default"/>
                <w:sz w:val="20"/>
                <w:szCs w:val="20"/>
              </w:rPr>
              <w:t>28</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316"/>
              <w:jc w:val="right"/>
              <w:rPr>
                <w:rFonts w:ascii="Arial" w:hAnsi="Arial" w:cs="Arial" w:eastAsia="Arial" w:hint="default"/>
                <w:sz w:val="20"/>
                <w:szCs w:val="20"/>
              </w:rPr>
            </w:pPr>
            <w:r>
              <w:rPr>
                <w:rFonts w:ascii="Arial"/>
                <w:spacing w:val="-1"/>
                <w:sz w:val="20"/>
              </w:rPr>
              <w:t>158,763,319</w:t>
            </w:r>
            <w:r>
              <w:rPr>
                <w:rFonts w:ascii="Arial"/>
                <w:sz w:val="20"/>
              </w:rPr>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
              <w:jc w:val="right"/>
              <w:rPr>
                <w:rFonts w:ascii="Arial" w:hAnsi="Arial" w:cs="Arial" w:eastAsia="Arial" w:hint="default"/>
                <w:sz w:val="20"/>
                <w:szCs w:val="20"/>
              </w:rPr>
            </w:pPr>
            <w:r>
              <w:rPr>
                <w:rFonts w:ascii="Arial"/>
                <w:spacing w:val="-1"/>
                <w:sz w:val="20"/>
              </w:rPr>
              <w:t>180,000,000</w:t>
            </w:r>
            <w:r>
              <w:rPr>
                <w:rFonts w:ascii="Arial"/>
                <w:sz w:val="20"/>
              </w:rPr>
            </w:r>
          </w:p>
        </w:tc>
      </w:tr>
      <w:tr>
        <w:trPr>
          <w:trHeight w:val="258"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224" w:lineRule="exact"/>
              <w:ind w:left="436" w:right="0"/>
              <w:jc w:val="left"/>
              <w:rPr>
                <w:rFonts w:ascii="黑体" w:hAnsi="黑体" w:cs="黑体" w:eastAsia="黑体" w:hint="default"/>
                <w:sz w:val="20"/>
                <w:szCs w:val="20"/>
              </w:rPr>
            </w:pPr>
            <w:r>
              <w:rPr>
                <w:rFonts w:ascii="黑体" w:hAnsi="黑体" w:cs="黑体" w:eastAsia="黑体" w:hint="default"/>
                <w:sz w:val="20"/>
                <w:szCs w:val="20"/>
              </w:rPr>
              <w:t>递延收益</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0"/>
              <w:jc w:val="center"/>
              <w:rPr>
                <w:rFonts w:ascii="Arial" w:hAnsi="Arial" w:cs="Arial" w:eastAsia="Arial" w:hint="default"/>
                <w:sz w:val="20"/>
                <w:szCs w:val="20"/>
              </w:rPr>
            </w:pPr>
            <w:r>
              <w:rPr>
                <w:rFonts w:ascii="Arial"/>
                <w:sz w:val="20"/>
              </w:rPr>
              <w:t>24</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16"/>
              <w:jc w:val="right"/>
              <w:rPr>
                <w:rFonts w:ascii="Arial" w:hAnsi="Arial" w:cs="Arial" w:eastAsia="Arial" w:hint="default"/>
                <w:sz w:val="20"/>
                <w:szCs w:val="20"/>
              </w:rPr>
            </w:pPr>
            <w:r>
              <w:rPr>
                <w:rFonts w:ascii="Arial"/>
                <w:spacing w:val="-1"/>
                <w:sz w:val="20"/>
              </w:rPr>
              <w:t>35,000,000</w:t>
            </w:r>
            <w:r>
              <w:rPr>
                <w:rFonts w:ascii="Arial"/>
                <w:sz w:val="20"/>
              </w:rPr>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
              <w:jc w:val="right"/>
              <w:rPr>
                <w:rFonts w:ascii="Arial" w:hAnsi="Arial" w:cs="Arial" w:eastAsia="Arial" w:hint="default"/>
                <w:sz w:val="20"/>
                <w:szCs w:val="20"/>
              </w:rPr>
            </w:pPr>
            <w:r>
              <w:rPr>
                <w:rFonts w:ascii="Arial"/>
                <w:spacing w:val="-1"/>
                <w:w w:val="95"/>
                <w:sz w:val="20"/>
              </w:rPr>
              <w:t>2,000,000</w:t>
            </w:r>
            <w:r>
              <w:rPr>
                <w:rFonts w:ascii="Arial"/>
                <w:sz w:val="20"/>
              </w:rPr>
            </w:r>
          </w:p>
        </w:tc>
      </w:tr>
      <w:tr>
        <w:trPr>
          <w:trHeight w:val="374"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226" w:lineRule="exact"/>
              <w:ind w:left="417" w:right="0"/>
              <w:jc w:val="left"/>
              <w:rPr>
                <w:rFonts w:ascii="黑体" w:hAnsi="黑体" w:cs="黑体" w:eastAsia="黑体" w:hint="default"/>
                <w:sz w:val="20"/>
                <w:szCs w:val="20"/>
              </w:rPr>
            </w:pPr>
            <w:r>
              <w:rPr>
                <w:rFonts w:ascii="黑体" w:hAnsi="黑体" w:cs="黑体" w:eastAsia="黑体" w:hint="default"/>
                <w:sz w:val="20"/>
                <w:szCs w:val="20"/>
              </w:rPr>
              <w:t>递延所得税负债</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0"/>
              <w:jc w:val="center"/>
              <w:rPr>
                <w:rFonts w:ascii="Arial" w:hAnsi="Arial" w:cs="Arial" w:eastAsia="Arial" w:hint="default"/>
                <w:sz w:val="20"/>
                <w:szCs w:val="20"/>
              </w:rPr>
            </w:pPr>
            <w:r>
              <w:rPr>
                <w:rFonts w:ascii="Arial"/>
                <w:sz w:val="20"/>
              </w:rPr>
              <w:t>15</w:t>
            </w:r>
          </w:p>
        </w:tc>
        <w:tc>
          <w:tcPr>
            <w:tcW w:w="2071" w:type="dxa"/>
            <w:tcBorders>
              <w:top w:val="nil" w:sz="6" w:space="0" w:color="auto"/>
              <w:left w:val="nil" w:sz="6" w:space="0" w:color="auto"/>
              <w:bottom w:val="nil" w:sz="6" w:space="0" w:color="auto"/>
              <w:right w:val="nil" w:sz="6" w:space="0" w:color="auto"/>
            </w:tcBorders>
          </w:tcPr>
          <w:p>
            <w:pPr>
              <w:pStyle w:val="TableParagraph"/>
              <w:tabs>
                <w:tab w:pos="561" w:val="left" w:leader="none"/>
              </w:tabs>
              <w:spacing w:line="240" w:lineRule="auto" w:before="7"/>
              <w:ind w:right="315"/>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sz w:val="20"/>
                <w:u w:val="single" w:color="000000"/>
              </w:rPr>
              <w:t>246,357</w:t>
            </w:r>
            <w:r>
              <w:rPr>
                <w:rFonts w:ascii="Arial"/>
                <w:spacing w:val="-1"/>
                <w:sz w:val="20"/>
              </w:rPr>
            </w:r>
          </w:p>
        </w:tc>
        <w:tc>
          <w:tcPr>
            <w:tcW w:w="1594" w:type="dxa"/>
            <w:tcBorders>
              <w:top w:val="nil" w:sz="6" w:space="0" w:color="auto"/>
              <w:left w:val="nil" w:sz="6" w:space="0" w:color="auto"/>
              <w:bottom w:val="nil" w:sz="6" w:space="0" w:color="auto"/>
              <w:right w:val="nil" w:sz="6" w:space="0" w:color="auto"/>
            </w:tcBorders>
          </w:tcPr>
          <w:p>
            <w:pPr>
              <w:pStyle w:val="TableParagraph"/>
              <w:tabs>
                <w:tab w:pos="561" w:val="left" w:leader="none"/>
              </w:tabs>
              <w:spacing w:line="240" w:lineRule="auto" w:before="7"/>
              <w:ind w:right="1"/>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sz w:val="20"/>
                <w:u w:val="single" w:color="000000"/>
              </w:rPr>
              <w:t>246,357</w:t>
            </w:r>
            <w:r>
              <w:rPr>
                <w:rFonts w:ascii="Arial"/>
                <w:spacing w:val="-1"/>
                <w:sz w:val="20"/>
              </w:rPr>
            </w:r>
          </w:p>
        </w:tc>
      </w:tr>
      <w:tr>
        <w:trPr>
          <w:trHeight w:val="490"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47" w:right="0"/>
              <w:jc w:val="left"/>
              <w:rPr>
                <w:rFonts w:ascii="黑体" w:hAnsi="黑体" w:cs="黑体" w:eastAsia="黑体" w:hint="default"/>
                <w:sz w:val="20"/>
                <w:szCs w:val="20"/>
              </w:rPr>
            </w:pPr>
            <w:r>
              <w:rPr>
                <w:rFonts w:ascii="黑体" w:hAnsi="黑体" w:cs="黑体" w:eastAsia="黑体" w:hint="default"/>
                <w:sz w:val="20"/>
                <w:szCs w:val="20"/>
              </w:rPr>
              <w:t>非流动负债合计</w:t>
            </w:r>
          </w:p>
        </w:tc>
        <w:tc>
          <w:tcPr>
            <w:tcW w:w="1918" w:type="dxa"/>
            <w:tcBorders>
              <w:top w:val="nil" w:sz="6" w:space="0" w:color="auto"/>
              <w:left w:val="nil" w:sz="6" w:space="0" w:color="auto"/>
              <w:bottom w:val="nil" w:sz="6" w:space="0" w:color="auto"/>
              <w:right w:val="nil" w:sz="6" w:space="0" w:color="auto"/>
            </w:tcBorders>
          </w:tcPr>
          <w:p>
            <w:pP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16"/>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15"/>
                <w:sz w:val="20"/>
                <w:u w:val="single" w:color="000000"/>
              </w:rPr>
              <w:t> </w:t>
            </w:r>
            <w:r>
              <w:rPr>
                <w:rFonts w:ascii="Arial"/>
                <w:spacing w:val="-1"/>
                <w:w w:val="95"/>
                <w:sz w:val="20"/>
                <w:u w:val="single" w:color="000000"/>
              </w:rPr>
              <w:t>194,009,676</w:t>
            </w:r>
            <w:r>
              <w:rPr>
                <w:rFonts w:ascii="Arial"/>
                <w:spacing w:val="-1"/>
                <w:w w:val="95"/>
                <w:sz w:val="20"/>
              </w:rPr>
            </w:r>
            <w:r>
              <w:rPr>
                <w:rFonts w:ascii="Arial"/>
                <w:sz w:val="20"/>
              </w:rPr>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11"/>
                <w:sz w:val="20"/>
                <w:u w:val="single" w:color="000000"/>
              </w:rPr>
              <w:t> </w:t>
            </w:r>
            <w:r>
              <w:rPr>
                <w:rFonts w:ascii="Arial"/>
                <w:spacing w:val="-1"/>
                <w:sz w:val="20"/>
                <w:u w:val="single" w:color="000000"/>
              </w:rPr>
              <w:t>182,246,357</w:t>
            </w:r>
            <w:r>
              <w:rPr>
                <w:rFonts w:ascii="Arial"/>
                <w:spacing w:val="-1"/>
                <w:sz w:val="20"/>
              </w:rPr>
            </w:r>
          </w:p>
        </w:tc>
      </w:tr>
      <w:tr>
        <w:trPr>
          <w:trHeight w:val="509"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6" w:right="0"/>
              <w:jc w:val="left"/>
              <w:rPr>
                <w:rFonts w:ascii="黑体" w:hAnsi="黑体" w:cs="黑体" w:eastAsia="黑体" w:hint="default"/>
                <w:sz w:val="20"/>
                <w:szCs w:val="20"/>
              </w:rPr>
            </w:pPr>
            <w:r>
              <w:rPr>
                <w:rFonts w:ascii="黑体" w:hAnsi="黑体" w:cs="黑体" w:eastAsia="黑体" w:hint="default"/>
                <w:sz w:val="20"/>
                <w:szCs w:val="20"/>
              </w:rPr>
              <w:t>负债合计</w:t>
            </w:r>
          </w:p>
        </w:tc>
        <w:tc>
          <w:tcPr>
            <w:tcW w:w="1918" w:type="dxa"/>
            <w:tcBorders>
              <w:top w:val="nil" w:sz="6" w:space="0" w:color="auto"/>
              <w:left w:val="nil" w:sz="6" w:space="0" w:color="auto"/>
              <w:bottom w:val="nil" w:sz="6" w:space="0" w:color="auto"/>
              <w:right w:val="nil" w:sz="6" w:space="0" w:color="auto"/>
            </w:tcBorders>
          </w:tcPr>
          <w:p>
            <w:pP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13"/>
              <w:jc w:val="right"/>
              <w:rPr>
                <w:rFonts w:ascii="Arial" w:hAnsi="Arial" w:cs="Arial" w:eastAsia="Arial" w:hint="default"/>
                <w:sz w:val="20"/>
                <w:szCs w:val="20"/>
              </w:rPr>
            </w:pPr>
            <w:r>
              <w:rPr>
                <w:rFonts w:ascii="Arial"/>
                <w:w w:val="99"/>
                <w:sz w:val="20"/>
              </w:rPr>
            </w:r>
            <w:r>
              <w:rPr>
                <w:rFonts w:ascii="Arial"/>
                <w:spacing w:val="-1"/>
                <w:sz w:val="20"/>
                <w:u w:val="single" w:color="000000"/>
              </w:rPr>
              <w:t>2,609,447,308</w:t>
            </w:r>
            <w:r>
              <w:rPr>
                <w:rFonts w:ascii="Arial"/>
                <w:spacing w:val="-1"/>
                <w:sz w:val="20"/>
              </w:rPr>
            </w:r>
            <w:r>
              <w:rPr>
                <w:rFonts w:ascii="Arial"/>
                <w:sz w:val="20"/>
              </w:rPr>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0"/>
              <w:jc w:val="right"/>
              <w:rPr>
                <w:rFonts w:ascii="Arial" w:hAnsi="Arial" w:cs="Arial" w:eastAsia="Arial" w:hint="default"/>
                <w:sz w:val="20"/>
                <w:szCs w:val="20"/>
              </w:rPr>
            </w:pPr>
            <w:r>
              <w:rPr>
                <w:rFonts w:ascii="Arial"/>
                <w:w w:val="99"/>
                <w:sz w:val="20"/>
              </w:rPr>
            </w:r>
            <w:r>
              <w:rPr>
                <w:rFonts w:ascii="Arial"/>
                <w:spacing w:val="-1"/>
                <w:sz w:val="20"/>
                <w:u w:val="single" w:color="000000"/>
              </w:rPr>
              <w:t>2,010,492,845</w:t>
            </w:r>
            <w:r>
              <w:rPr>
                <w:rFonts w:ascii="Arial"/>
                <w:spacing w:val="-1"/>
                <w:sz w:val="20"/>
              </w:rPr>
            </w:r>
            <w:r>
              <w:rPr>
                <w:rFonts w:ascii="Arial"/>
                <w:sz w:val="20"/>
              </w:rPr>
            </w:r>
          </w:p>
        </w:tc>
      </w:tr>
      <w:tr>
        <w:trPr>
          <w:trHeight w:val="518"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6" w:right="0"/>
              <w:jc w:val="left"/>
              <w:rPr>
                <w:rFonts w:ascii="Arial" w:hAnsi="Arial" w:cs="Arial" w:eastAsia="Arial" w:hint="default"/>
                <w:sz w:val="20"/>
                <w:szCs w:val="20"/>
              </w:rPr>
            </w:pPr>
            <w:r>
              <w:rPr>
                <w:rFonts w:ascii="黑体" w:hAnsi="黑体" w:cs="黑体" w:eastAsia="黑体" w:hint="default"/>
                <w:sz w:val="20"/>
                <w:szCs w:val="20"/>
              </w:rPr>
              <w:t>股东权益</w:t>
            </w:r>
            <w:r>
              <w:rPr>
                <w:rFonts w:ascii="Arial" w:hAnsi="Arial" w:cs="Arial" w:eastAsia="Arial" w:hint="default"/>
                <w:sz w:val="20"/>
                <w:szCs w:val="20"/>
              </w:rPr>
              <w:t>:</w:t>
            </w:r>
          </w:p>
        </w:tc>
        <w:tc>
          <w:tcPr>
            <w:tcW w:w="1918" w:type="dxa"/>
            <w:tcBorders>
              <w:top w:val="nil" w:sz="6" w:space="0" w:color="auto"/>
              <w:left w:val="nil" w:sz="6" w:space="0" w:color="auto"/>
              <w:bottom w:val="nil" w:sz="6" w:space="0" w:color="auto"/>
              <w:right w:val="nil" w:sz="6" w:space="0" w:color="auto"/>
            </w:tcBorders>
          </w:tcPr>
          <w:p>
            <w:pPr/>
          </w:p>
        </w:tc>
        <w:tc>
          <w:tcPr>
            <w:tcW w:w="2071" w:type="dxa"/>
            <w:tcBorders>
              <w:top w:val="nil" w:sz="6" w:space="0" w:color="auto"/>
              <w:left w:val="nil" w:sz="6" w:space="0" w:color="auto"/>
              <w:bottom w:val="nil" w:sz="6" w:space="0" w:color="auto"/>
              <w:right w:val="nil" w:sz="6" w:space="0" w:color="auto"/>
            </w:tcBorders>
          </w:tcPr>
          <w:p>
            <w:pPr/>
          </w:p>
        </w:tc>
        <w:tc>
          <w:tcPr>
            <w:tcW w:w="1594" w:type="dxa"/>
            <w:tcBorders>
              <w:top w:val="nil" w:sz="6" w:space="0" w:color="auto"/>
              <w:left w:val="nil" w:sz="6" w:space="0" w:color="auto"/>
              <w:bottom w:val="nil" w:sz="6" w:space="0" w:color="auto"/>
              <w:right w:val="nil" w:sz="6" w:space="0" w:color="auto"/>
            </w:tcBorders>
          </w:tcPr>
          <w:p>
            <w:pPr/>
          </w:p>
        </w:tc>
      </w:tr>
      <w:tr>
        <w:trPr>
          <w:trHeight w:val="383"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240" w:lineRule="auto" w:before="86"/>
              <w:ind w:left="436" w:right="0"/>
              <w:jc w:val="left"/>
              <w:rPr>
                <w:rFonts w:ascii="黑体" w:hAnsi="黑体" w:cs="黑体" w:eastAsia="黑体" w:hint="default"/>
                <w:sz w:val="20"/>
                <w:szCs w:val="20"/>
              </w:rPr>
            </w:pPr>
            <w:r>
              <w:rPr>
                <w:rFonts w:ascii="黑体" w:hAnsi="黑体" w:cs="黑体" w:eastAsia="黑体" w:hint="default"/>
                <w:sz w:val="20"/>
                <w:szCs w:val="20"/>
              </w:rPr>
              <w:t>股本</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3"/>
              <w:jc w:val="center"/>
              <w:rPr>
                <w:rFonts w:ascii="Arial" w:hAnsi="Arial" w:cs="Arial" w:eastAsia="Arial" w:hint="default"/>
                <w:sz w:val="20"/>
                <w:szCs w:val="20"/>
              </w:rPr>
            </w:pPr>
            <w:r>
              <w:rPr>
                <w:rFonts w:ascii="黑体" w:hAnsi="黑体" w:cs="黑体" w:eastAsia="黑体" w:hint="default"/>
                <w:sz w:val="20"/>
                <w:szCs w:val="20"/>
              </w:rPr>
              <w:t>附注五、</w:t>
            </w:r>
            <w:r>
              <w:rPr>
                <w:rFonts w:ascii="Arial" w:hAnsi="Arial" w:cs="Arial" w:eastAsia="Arial" w:hint="default"/>
                <w:sz w:val="20"/>
                <w:szCs w:val="20"/>
              </w:rPr>
              <w:t>30</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16"/>
              <w:jc w:val="right"/>
              <w:rPr>
                <w:rFonts w:ascii="Arial" w:hAnsi="Arial" w:cs="Arial" w:eastAsia="Arial" w:hint="default"/>
                <w:sz w:val="20"/>
                <w:szCs w:val="20"/>
              </w:rPr>
            </w:pPr>
            <w:r>
              <w:rPr>
                <w:rFonts w:ascii="Arial"/>
                <w:spacing w:val="-1"/>
                <w:sz w:val="20"/>
              </w:rPr>
              <w:t>979,084,040</w:t>
            </w:r>
            <w:r>
              <w:rPr>
                <w:rFonts w:ascii="Arial"/>
                <w:sz w:val="20"/>
              </w:rPr>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
              <w:jc w:val="right"/>
              <w:rPr>
                <w:rFonts w:ascii="Arial" w:hAnsi="Arial" w:cs="Arial" w:eastAsia="Arial" w:hint="default"/>
                <w:sz w:val="20"/>
                <w:szCs w:val="20"/>
              </w:rPr>
            </w:pPr>
            <w:r>
              <w:rPr>
                <w:rFonts w:ascii="Arial"/>
                <w:spacing w:val="-1"/>
                <w:sz w:val="20"/>
              </w:rPr>
              <w:t>815,903,367</w:t>
            </w:r>
            <w:r>
              <w:rPr>
                <w:rFonts w:ascii="Arial"/>
                <w:sz w:val="20"/>
              </w:rPr>
            </w:r>
          </w:p>
        </w:tc>
      </w:tr>
      <w:tr>
        <w:trPr>
          <w:trHeight w:val="258"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224" w:lineRule="exact"/>
              <w:ind w:left="436" w:right="0"/>
              <w:jc w:val="left"/>
              <w:rPr>
                <w:rFonts w:ascii="黑体" w:hAnsi="黑体" w:cs="黑体" w:eastAsia="黑体" w:hint="default"/>
                <w:sz w:val="20"/>
                <w:szCs w:val="20"/>
              </w:rPr>
            </w:pPr>
            <w:r>
              <w:rPr>
                <w:rFonts w:ascii="黑体" w:hAnsi="黑体" w:cs="黑体" w:eastAsia="黑体" w:hint="default"/>
                <w:sz w:val="20"/>
                <w:szCs w:val="20"/>
              </w:rPr>
              <w:t>资本公积</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0"/>
              <w:jc w:val="center"/>
              <w:rPr>
                <w:rFonts w:ascii="Arial" w:hAnsi="Arial" w:cs="Arial" w:eastAsia="Arial" w:hint="default"/>
                <w:sz w:val="20"/>
                <w:szCs w:val="20"/>
              </w:rPr>
            </w:pPr>
            <w:r>
              <w:rPr>
                <w:rFonts w:ascii="Arial"/>
                <w:sz w:val="20"/>
              </w:rPr>
              <w:t>25</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16"/>
              <w:jc w:val="right"/>
              <w:rPr>
                <w:rFonts w:ascii="Arial" w:hAnsi="Arial" w:cs="Arial" w:eastAsia="Arial" w:hint="default"/>
                <w:sz w:val="20"/>
                <w:szCs w:val="20"/>
              </w:rPr>
            </w:pPr>
            <w:r>
              <w:rPr>
                <w:rFonts w:ascii="Arial"/>
                <w:spacing w:val="-1"/>
                <w:sz w:val="20"/>
              </w:rPr>
              <w:t>593,127,327</w:t>
            </w:r>
            <w:r>
              <w:rPr>
                <w:rFonts w:ascii="Arial"/>
                <w:sz w:val="20"/>
              </w:rPr>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
              <w:jc w:val="right"/>
              <w:rPr>
                <w:rFonts w:ascii="Arial" w:hAnsi="Arial" w:cs="Arial" w:eastAsia="Arial" w:hint="default"/>
                <w:sz w:val="20"/>
                <w:szCs w:val="20"/>
              </w:rPr>
            </w:pPr>
            <w:r>
              <w:rPr>
                <w:rFonts w:ascii="Arial"/>
                <w:spacing w:val="-1"/>
                <w:sz w:val="20"/>
              </w:rPr>
              <w:t>765,185,629</w:t>
            </w:r>
            <w:r>
              <w:rPr>
                <w:rFonts w:ascii="Arial"/>
                <w:sz w:val="20"/>
              </w:rPr>
            </w:r>
          </w:p>
        </w:tc>
      </w:tr>
      <w:tr>
        <w:trPr>
          <w:trHeight w:val="260"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226" w:lineRule="exact"/>
              <w:ind w:left="436" w:right="0"/>
              <w:jc w:val="left"/>
              <w:rPr>
                <w:rFonts w:ascii="黑体" w:hAnsi="黑体" w:cs="黑体" w:eastAsia="黑体" w:hint="default"/>
                <w:sz w:val="20"/>
                <w:szCs w:val="20"/>
              </w:rPr>
            </w:pPr>
            <w:r>
              <w:rPr>
                <w:rFonts w:ascii="黑体" w:hAnsi="黑体" w:cs="黑体" w:eastAsia="黑体" w:hint="default"/>
                <w:sz w:val="20"/>
                <w:szCs w:val="20"/>
              </w:rPr>
              <w:t>减：库存股</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exact"/>
              <w:ind w:right="53"/>
              <w:jc w:val="center"/>
              <w:rPr>
                <w:rFonts w:ascii="Arial" w:hAnsi="Arial" w:cs="Arial" w:eastAsia="Arial" w:hint="default"/>
                <w:sz w:val="20"/>
                <w:szCs w:val="20"/>
              </w:rPr>
            </w:pPr>
            <w:r>
              <w:rPr>
                <w:rFonts w:ascii="黑体" w:hAnsi="黑体" w:cs="黑体" w:eastAsia="黑体" w:hint="default"/>
                <w:sz w:val="20"/>
                <w:szCs w:val="20"/>
              </w:rPr>
              <w:t>附注五、</w:t>
            </w:r>
            <w:r>
              <w:rPr>
                <w:rFonts w:ascii="Arial" w:hAnsi="Arial" w:cs="Arial" w:eastAsia="Arial" w:hint="default"/>
                <w:sz w:val="20"/>
                <w:szCs w:val="20"/>
              </w:rPr>
              <w:t>32</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6"/>
              <w:jc w:val="right"/>
              <w:rPr>
                <w:rFonts w:ascii="Arial" w:hAnsi="Arial" w:cs="Arial" w:eastAsia="Arial" w:hint="default"/>
                <w:sz w:val="20"/>
                <w:szCs w:val="20"/>
              </w:rPr>
            </w:pPr>
            <w:r>
              <w:rPr>
                <w:rFonts w:ascii="Arial"/>
                <w:spacing w:val="-1"/>
                <w:sz w:val="20"/>
              </w:rPr>
              <w:t>20,001,895</w:t>
            </w:r>
            <w:r>
              <w:rPr>
                <w:rFonts w:ascii="Arial"/>
                <w:sz w:val="20"/>
              </w:rPr>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Arial" w:hAnsi="Arial" w:cs="Arial" w:eastAsia="Arial" w:hint="default"/>
                <w:sz w:val="20"/>
                <w:szCs w:val="20"/>
              </w:rPr>
            </w:pPr>
            <w:r>
              <w:rPr>
                <w:rFonts w:ascii="Arial"/>
                <w:w w:val="99"/>
                <w:sz w:val="20"/>
              </w:rPr>
              <w:t>-</w:t>
            </w:r>
            <w:r>
              <w:rPr>
                <w:rFonts w:ascii="Arial"/>
                <w:sz w:val="20"/>
              </w:rPr>
            </w:r>
          </w:p>
        </w:tc>
      </w:tr>
      <w:tr>
        <w:trPr>
          <w:trHeight w:val="259"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224" w:lineRule="exact"/>
              <w:ind w:left="436" w:right="0"/>
              <w:jc w:val="left"/>
              <w:rPr>
                <w:rFonts w:ascii="黑体" w:hAnsi="黑体" w:cs="黑体" w:eastAsia="黑体" w:hint="default"/>
                <w:sz w:val="20"/>
                <w:szCs w:val="20"/>
              </w:rPr>
            </w:pPr>
            <w:r>
              <w:rPr>
                <w:rFonts w:ascii="黑体" w:hAnsi="黑体" w:cs="黑体" w:eastAsia="黑体" w:hint="default"/>
                <w:sz w:val="20"/>
                <w:szCs w:val="20"/>
              </w:rPr>
              <w:t>盈余公积</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0"/>
              <w:jc w:val="center"/>
              <w:rPr>
                <w:rFonts w:ascii="Arial" w:hAnsi="Arial" w:cs="Arial" w:eastAsia="Arial" w:hint="default"/>
                <w:sz w:val="20"/>
                <w:szCs w:val="20"/>
              </w:rPr>
            </w:pPr>
            <w:r>
              <w:rPr>
                <w:rFonts w:ascii="Arial"/>
                <w:sz w:val="20"/>
              </w:rPr>
              <w:t>26</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3"/>
              <w:jc w:val="right"/>
              <w:rPr>
                <w:rFonts w:ascii="Arial" w:hAnsi="Arial" w:cs="Arial" w:eastAsia="Arial" w:hint="default"/>
                <w:sz w:val="20"/>
                <w:szCs w:val="20"/>
              </w:rPr>
            </w:pPr>
            <w:r>
              <w:rPr>
                <w:rFonts w:ascii="Arial"/>
                <w:spacing w:val="-1"/>
                <w:sz w:val="20"/>
              </w:rPr>
              <w:t>455,383,772</w:t>
            </w:r>
            <w:r>
              <w:rPr>
                <w:rFonts w:ascii="Arial"/>
                <w:sz w:val="20"/>
              </w:rPr>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
              <w:jc w:val="right"/>
              <w:rPr>
                <w:rFonts w:ascii="Arial" w:hAnsi="Arial" w:cs="Arial" w:eastAsia="Arial" w:hint="default"/>
                <w:sz w:val="20"/>
                <w:szCs w:val="20"/>
              </w:rPr>
            </w:pPr>
            <w:r>
              <w:rPr>
                <w:rFonts w:ascii="Arial"/>
                <w:spacing w:val="-1"/>
                <w:sz w:val="20"/>
              </w:rPr>
              <w:t>391,398,002</w:t>
            </w:r>
            <w:r>
              <w:rPr>
                <w:rFonts w:ascii="Arial"/>
                <w:sz w:val="20"/>
              </w:rPr>
            </w:r>
          </w:p>
        </w:tc>
      </w:tr>
      <w:tr>
        <w:trPr>
          <w:trHeight w:val="374"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224" w:lineRule="exact"/>
              <w:ind w:left="436" w:right="0"/>
              <w:jc w:val="left"/>
              <w:rPr>
                <w:rFonts w:ascii="黑体" w:hAnsi="黑体" w:cs="黑体" w:eastAsia="黑体" w:hint="default"/>
                <w:sz w:val="20"/>
                <w:szCs w:val="20"/>
              </w:rPr>
            </w:pPr>
            <w:r>
              <w:rPr>
                <w:rFonts w:ascii="黑体" w:hAnsi="黑体" w:cs="黑体" w:eastAsia="黑体" w:hint="default"/>
                <w:sz w:val="20"/>
                <w:szCs w:val="20"/>
              </w:rPr>
              <w:t>未分配利润</w:t>
            </w:r>
          </w:p>
        </w:tc>
        <w:tc>
          <w:tcPr>
            <w:tcW w:w="19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0"/>
              <w:jc w:val="center"/>
              <w:rPr>
                <w:rFonts w:ascii="Arial" w:hAnsi="Arial" w:cs="Arial" w:eastAsia="Arial" w:hint="default"/>
                <w:sz w:val="20"/>
                <w:szCs w:val="20"/>
              </w:rPr>
            </w:pPr>
            <w:r>
              <w:rPr>
                <w:rFonts w:ascii="Arial"/>
                <w:sz w:val="20"/>
              </w:rPr>
              <w:t>27</w:t>
            </w: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6"/>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6"/>
                <w:sz w:val="20"/>
                <w:u w:val="single" w:color="000000"/>
              </w:rPr>
              <w:t> </w:t>
            </w:r>
            <w:r>
              <w:rPr>
                <w:rFonts w:ascii="Arial"/>
                <w:spacing w:val="-1"/>
                <w:sz w:val="20"/>
                <w:u w:val="single" w:color="000000"/>
              </w:rPr>
              <w:t>970,830,663</w:t>
            </w:r>
            <w:r>
              <w:rPr>
                <w:rFonts w:ascii="Arial"/>
                <w:spacing w:val="-1"/>
                <w:sz w:val="20"/>
              </w:rPr>
            </w:r>
            <w:r>
              <w:rPr>
                <w:rFonts w:ascii="Arial"/>
                <w:sz w:val="20"/>
              </w:rPr>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15"/>
                <w:sz w:val="20"/>
                <w:u w:val="single" w:color="000000"/>
              </w:rPr>
              <w:t> </w:t>
            </w:r>
            <w:r>
              <w:rPr>
                <w:rFonts w:ascii="Arial"/>
                <w:spacing w:val="-1"/>
                <w:w w:val="95"/>
                <w:sz w:val="20"/>
                <w:u w:val="single" w:color="000000"/>
              </w:rPr>
              <w:t>934,605,979</w:t>
            </w:r>
            <w:r>
              <w:rPr>
                <w:rFonts w:ascii="Arial"/>
                <w:spacing w:val="-1"/>
                <w:w w:val="95"/>
                <w:sz w:val="20"/>
              </w:rPr>
            </w:r>
            <w:r>
              <w:rPr>
                <w:rFonts w:ascii="Arial"/>
                <w:sz w:val="20"/>
              </w:rPr>
            </w:r>
          </w:p>
        </w:tc>
      </w:tr>
      <w:tr>
        <w:trPr>
          <w:trHeight w:val="490"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6" w:right="0"/>
              <w:jc w:val="left"/>
              <w:rPr>
                <w:rFonts w:ascii="黑体" w:hAnsi="黑体" w:cs="黑体" w:eastAsia="黑体" w:hint="default"/>
                <w:sz w:val="20"/>
                <w:szCs w:val="20"/>
              </w:rPr>
            </w:pPr>
            <w:r>
              <w:rPr>
                <w:rFonts w:ascii="黑体" w:hAnsi="黑体" w:cs="黑体" w:eastAsia="黑体" w:hint="default"/>
                <w:sz w:val="20"/>
                <w:szCs w:val="20"/>
              </w:rPr>
              <w:t>股东权益合计</w:t>
            </w:r>
          </w:p>
        </w:tc>
        <w:tc>
          <w:tcPr>
            <w:tcW w:w="1918" w:type="dxa"/>
            <w:tcBorders>
              <w:top w:val="nil" w:sz="6" w:space="0" w:color="auto"/>
              <w:left w:val="nil" w:sz="6" w:space="0" w:color="auto"/>
              <w:bottom w:val="nil" w:sz="6" w:space="0" w:color="auto"/>
              <w:right w:val="nil" w:sz="6" w:space="0" w:color="auto"/>
            </w:tcBorders>
          </w:tcPr>
          <w:p>
            <w:pP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13"/>
              <w:jc w:val="right"/>
              <w:rPr>
                <w:rFonts w:ascii="Arial" w:hAnsi="Arial" w:cs="Arial" w:eastAsia="Arial" w:hint="default"/>
                <w:sz w:val="20"/>
                <w:szCs w:val="20"/>
              </w:rPr>
            </w:pPr>
            <w:r>
              <w:rPr>
                <w:rFonts w:ascii="Arial"/>
                <w:w w:val="99"/>
                <w:sz w:val="20"/>
              </w:rPr>
            </w:r>
            <w:r>
              <w:rPr>
                <w:rFonts w:ascii="Arial"/>
                <w:spacing w:val="-1"/>
                <w:sz w:val="20"/>
                <w:u w:val="single" w:color="000000"/>
              </w:rPr>
              <w:t>2,978,423,907</w:t>
            </w:r>
            <w:r>
              <w:rPr>
                <w:rFonts w:ascii="Arial"/>
                <w:spacing w:val="-1"/>
                <w:sz w:val="20"/>
              </w:rPr>
            </w:r>
            <w:r>
              <w:rPr>
                <w:rFonts w:ascii="Arial"/>
                <w:sz w:val="20"/>
              </w:rPr>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0"/>
              <w:jc w:val="right"/>
              <w:rPr>
                <w:rFonts w:ascii="Arial" w:hAnsi="Arial" w:cs="Arial" w:eastAsia="Arial" w:hint="default"/>
                <w:sz w:val="20"/>
                <w:szCs w:val="20"/>
              </w:rPr>
            </w:pPr>
            <w:r>
              <w:rPr>
                <w:rFonts w:ascii="Arial"/>
                <w:w w:val="99"/>
                <w:sz w:val="20"/>
              </w:rPr>
            </w:r>
            <w:r>
              <w:rPr>
                <w:rFonts w:ascii="Arial"/>
                <w:spacing w:val="-1"/>
                <w:sz w:val="20"/>
                <w:u w:val="single" w:color="000000"/>
              </w:rPr>
              <w:t>2,907,092,977</w:t>
            </w:r>
            <w:r>
              <w:rPr>
                <w:rFonts w:ascii="Arial"/>
                <w:spacing w:val="-1"/>
                <w:sz w:val="20"/>
              </w:rPr>
            </w:r>
            <w:r>
              <w:rPr>
                <w:rFonts w:ascii="Arial"/>
                <w:sz w:val="20"/>
              </w:rPr>
            </w:r>
          </w:p>
        </w:tc>
      </w:tr>
      <w:tr>
        <w:trPr>
          <w:trHeight w:val="347" w:hRule="exact"/>
        </w:trPr>
        <w:tc>
          <w:tcPr>
            <w:tcW w:w="3056"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6" w:right="0"/>
              <w:jc w:val="left"/>
              <w:rPr>
                <w:rFonts w:ascii="黑体" w:hAnsi="黑体" w:cs="黑体" w:eastAsia="黑体" w:hint="default"/>
                <w:sz w:val="20"/>
                <w:szCs w:val="20"/>
              </w:rPr>
            </w:pPr>
            <w:r>
              <w:rPr>
                <w:rFonts w:ascii="黑体" w:hAnsi="黑体" w:cs="黑体" w:eastAsia="黑体" w:hint="default"/>
                <w:sz w:val="20"/>
                <w:szCs w:val="20"/>
              </w:rPr>
              <w:t>负债及股东权益总计</w:t>
            </w:r>
          </w:p>
        </w:tc>
        <w:tc>
          <w:tcPr>
            <w:tcW w:w="1918" w:type="dxa"/>
            <w:tcBorders>
              <w:top w:val="nil" w:sz="6" w:space="0" w:color="auto"/>
              <w:left w:val="nil" w:sz="6" w:space="0" w:color="auto"/>
              <w:bottom w:val="nil" w:sz="6" w:space="0" w:color="auto"/>
              <w:right w:val="nil" w:sz="6" w:space="0" w:color="auto"/>
            </w:tcBorders>
          </w:tcPr>
          <w:p>
            <w:pPr/>
          </w:p>
        </w:tc>
        <w:tc>
          <w:tcPr>
            <w:tcW w:w="2071"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16"/>
              <w:jc w:val="right"/>
              <w:rPr>
                <w:rFonts w:ascii="Arial" w:hAnsi="Arial" w:cs="Arial" w:eastAsia="Arial" w:hint="default"/>
                <w:sz w:val="20"/>
                <w:szCs w:val="20"/>
              </w:rPr>
            </w:pPr>
            <w:r>
              <w:rPr>
                <w:rFonts w:ascii="Arial"/>
                <w:w w:val="99"/>
                <w:sz w:val="20"/>
              </w:rPr>
            </w:r>
            <w:r>
              <w:rPr>
                <w:rFonts w:ascii="Arial"/>
                <w:spacing w:val="-1"/>
                <w:sz w:val="20"/>
                <w:u w:val="thick" w:color="000000"/>
              </w:rPr>
              <w:t>5,587,871,215</w:t>
            </w:r>
            <w:r>
              <w:rPr>
                <w:rFonts w:ascii="Arial"/>
                <w:spacing w:val="-1"/>
                <w:sz w:val="20"/>
              </w:rPr>
            </w:r>
            <w:r>
              <w:rPr>
                <w:rFonts w:ascii="Arial"/>
                <w:sz w:val="20"/>
              </w:rPr>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0"/>
              <w:jc w:val="right"/>
              <w:rPr>
                <w:rFonts w:ascii="Arial" w:hAnsi="Arial" w:cs="Arial" w:eastAsia="Arial" w:hint="default"/>
                <w:sz w:val="20"/>
                <w:szCs w:val="20"/>
              </w:rPr>
            </w:pPr>
            <w:r>
              <w:rPr>
                <w:rFonts w:ascii="Arial"/>
                <w:w w:val="99"/>
                <w:sz w:val="20"/>
              </w:rPr>
            </w:r>
            <w:r>
              <w:rPr>
                <w:rFonts w:ascii="Arial"/>
                <w:spacing w:val="-1"/>
                <w:sz w:val="20"/>
                <w:u w:val="thick" w:color="000000"/>
              </w:rPr>
              <w:t>4,917,585,822</w:t>
            </w:r>
            <w:r>
              <w:rPr>
                <w:rFonts w:ascii="Arial"/>
                <w:spacing w:val="-1"/>
                <w:sz w:val="20"/>
              </w:rPr>
            </w:r>
            <w:r>
              <w:rPr>
                <w:rFonts w:ascii="Arial"/>
                <w:sz w:val="20"/>
              </w:rPr>
            </w:r>
          </w:p>
        </w:tc>
      </w:tr>
    </w:tbl>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21"/>
          <w:szCs w:val="21"/>
        </w:rPr>
      </w:pPr>
    </w:p>
    <w:p>
      <w:pPr>
        <w:pStyle w:val="BodyText"/>
        <w:spacing w:line="240" w:lineRule="auto" w:before="37"/>
        <w:ind w:left="301" w:right="3439"/>
        <w:jc w:val="left"/>
      </w:pPr>
      <w:r>
        <w:rPr/>
        <w:t>财务报表由以下人士签署：</w:t>
      </w:r>
    </w:p>
    <w:p>
      <w:pPr>
        <w:spacing w:line="240" w:lineRule="auto" w:before="2"/>
        <w:rPr>
          <w:rFonts w:ascii="黑体" w:hAnsi="黑体" w:cs="黑体" w:eastAsia="黑体" w:hint="default"/>
          <w:sz w:val="22"/>
          <w:szCs w:val="22"/>
        </w:rPr>
      </w:pPr>
    </w:p>
    <w:tbl>
      <w:tblPr>
        <w:tblW w:w="0" w:type="auto"/>
        <w:jc w:val="left"/>
        <w:tblInd w:w="100" w:type="dxa"/>
        <w:tblLayout w:type="fixed"/>
        <w:tblCellMar>
          <w:top w:w="0" w:type="dxa"/>
          <w:left w:w="0" w:type="dxa"/>
          <w:bottom w:w="0" w:type="dxa"/>
          <w:right w:w="0" w:type="dxa"/>
        </w:tblCellMar>
        <w:tblLook w:val="01E0"/>
      </w:tblPr>
      <w:tblGrid>
        <w:gridCol w:w="2344"/>
        <w:gridCol w:w="3091"/>
        <w:gridCol w:w="2143"/>
      </w:tblGrid>
      <w:tr>
        <w:trPr>
          <w:trHeight w:val="199" w:hRule="exact"/>
        </w:trPr>
        <w:tc>
          <w:tcPr>
            <w:tcW w:w="2344" w:type="dxa"/>
            <w:tcBorders>
              <w:top w:val="nil" w:sz="6" w:space="0" w:color="auto"/>
              <w:left w:val="nil" w:sz="6" w:space="0" w:color="auto"/>
              <w:bottom w:val="nil" w:sz="6" w:space="0" w:color="auto"/>
              <w:right w:val="nil" w:sz="6" w:space="0" w:color="auto"/>
            </w:tcBorders>
          </w:tcPr>
          <w:p>
            <w:pPr>
              <w:pStyle w:val="TableParagraph"/>
              <w:spacing w:line="199" w:lineRule="exact"/>
              <w:ind w:left="200" w:right="0"/>
              <w:jc w:val="left"/>
              <w:rPr>
                <w:rFonts w:ascii="黑体" w:hAnsi="黑体" w:cs="黑体" w:eastAsia="黑体" w:hint="default"/>
                <w:sz w:val="20"/>
                <w:szCs w:val="20"/>
              </w:rPr>
            </w:pPr>
            <w:r>
              <w:rPr>
                <w:rFonts w:ascii="黑体" w:hAnsi="黑体" w:cs="黑体" w:eastAsia="黑体" w:hint="default"/>
                <w:sz w:val="20"/>
                <w:szCs w:val="20"/>
              </w:rPr>
              <w:t>公司法定代表人</w:t>
            </w:r>
          </w:p>
        </w:tc>
        <w:tc>
          <w:tcPr>
            <w:tcW w:w="3091" w:type="dxa"/>
            <w:tcBorders>
              <w:top w:val="nil" w:sz="6" w:space="0" w:color="auto"/>
              <w:left w:val="nil" w:sz="6" w:space="0" w:color="auto"/>
              <w:bottom w:val="nil" w:sz="6" w:space="0" w:color="auto"/>
              <w:right w:val="nil" w:sz="6" w:space="0" w:color="auto"/>
            </w:tcBorders>
          </w:tcPr>
          <w:p>
            <w:pPr>
              <w:pStyle w:val="TableParagraph"/>
              <w:spacing w:line="199" w:lineRule="exact"/>
              <w:ind w:left="747" w:right="0"/>
              <w:jc w:val="left"/>
              <w:rPr>
                <w:rFonts w:ascii="黑体" w:hAnsi="黑体" w:cs="黑体" w:eastAsia="黑体" w:hint="default"/>
                <w:sz w:val="20"/>
                <w:szCs w:val="20"/>
              </w:rPr>
            </w:pPr>
            <w:r>
              <w:rPr>
                <w:rFonts w:ascii="黑体" w:hAnsi="黑体" w:cs="黑体" w:eastAsia="黑体" w:hint="default"/>
                <w:sz w:val="20"/>
                <w:szCs w:val="20"/>
              </w:rPr>
              <w:t>主管会计工作负责人</w:t>
            </w:r>
          </w:p>
        </w:tc>
        <w:tc>
          <w:tcPr>
            <w:tcW w:w="2143" w:type="dxa"/>
            <w:tcBorders>
              <w:top w:val="nil" w:sz="6" w:space="0" w:color="auto"/>
              <w:left w:val="nil" w:sz="6" w:space="0" w:color="auto"/>
              <w:bottom w:val="nil" w:sz="6" w:space="0" w:color="auto"/>
              <w:right w:val="nil" w:sz="6" w:space="0" w:color="auto"/>
            </w:tcBorders>
          </w:tcPr>
          <w:p>
            <w:pPr>
              <w:pStyle w:val="TableParagraph"/>
              <w:spacing w:line="199" w:lineRule="exact"/>
              <w:ind w:left="546" w:right="0"/>
              <w:jc w:val="left"/>
              <w:rPr>
                <w:rFonts w:ascii="黑体" w:hAnsi="黑体" w:cs="黑体" w:eastAsia="黑体" w:hint="default"/>
                <w:sz w:val="20"/>
                <w:szCs w:val="20"/>
              </w:rPr>
            </w:pPr>
            <w:r>
              <w:rPr>
                <w:rFonts w:ascii="黑体" w:hAnsi="黑体" w:cs="黑体" w:eastAsia="黑体" w:hint="default"/>
                <w:sz w:val="20"/>
                <w:szCs w:val="20"/>
              </w:rPr>
              <w:t>会计机构负责人</w:t>
            </w:r>
          </w:p>
        </w:tc>
      </w:tr>
    </w:tbl>
    <w:p>
      <w:pPr>
        <w:spacing w:after="0" w:line="199" w:lineRule="exact"/>
        <w:jc w:val="left"/>
        <w:rPr>
          <w:rFonts w:ascii="黑体" w:hAnsi="黑体" w:cs="黑体" w:eastAsia="黑体" w:hint="default"/>
          <w:sz w:val="20"/>
          <w:szCs w:val="20"/>
        </w:rPr>
        <w:sectPr>
          <w:pgSz w:w="11910" w:h="16850"/>
          <w:pgMar w:header="957" w:footer="823" w:top="1160" w:bottom="1020" w:left="1400" w:right="1500"/>
        </w:sectPr>
      </w:pPr>
    </w:p>
    <w:p>
      <w:pPr>
        <w:pStyle w:val="Heading4"/>
        <w:spacing w:line="292" w:lineRule="auto"/>
        <w:ind w:left="3860" w:right="3898" w:hanging="58"/>
        <w:jc w:val="both"/>
        <w:rPr>
          <w:b w:val="0"/>
          <w:bCs w:val="0"/>
        </w:rPr>
      </w:pPr>
      <w:r>
        <w:rPr/>
        <w:t>公司利润表</w:t>
      </w:r>
      <w:r>
        <w:rPr>
          <w:w w:val="99"/>
        </w:rPr>
        <w:t> </w:t>
      </w:r>
      <w:r>
        <w:rPr>
          <w:rFonts w:ascii="Arial" w:hAnsi="Arial" w:cs="Arial" w:eastAsia="Arial" w:hint="default"/>
        </w:rPr>
        <w:t>2012</w:t>
      </w:r>
      <w:r>
        <w:rPr>
          <w:rFonts w:ascii="Arial" w:hAnsi="Arial" w:cs="Arial" w:eastAsia="Arial" w:hint="default"/>
          <w:spacing w:val="-8"/>
        </w:rPr>
        <w:t> </w:t>
      </w:r>
      <w:r>
        <w:rPr/>
        <w:t>年度</w:t>
      </w:r>
      <w:r>
        <w:rPr>
          <w:w w:val="99"/>
        </w:rPr>
        <w:t> </w:t>
      </w:r>
      <w:r>
        <w:rPr/>
        <w:t>人民币元</w:t>
      </w:r>
      <w:r>
        <w:rPr>
          <w:b w:val="0"/>
          <w:bCs w:val="0"/>
        </w:rPr>
      </w:r>
    </w:p>
    <w:p>
      <w:pPr>
        <w:spacing w:line="240" w:lineRule="auto" w:before="9"/>
        <w:rPr>
          <w:rFonts w:ascii="黑体" w:hAnsi="黑体" w:cs="黑体" w:eastAsia="黑体" w:hint="default"/>
          <w:b/>
          <w:bCs/>
          <w:sz w:val="16"/>
          <w:szCs w:val="16"/>
        </w:rPr>
      </w:pPr>
    </w:p>
    <w:tbl>
      <w:tblPr>
        <w:tblW w:w="0" w:type="auto"/>
        <w:jc w:val="left"/>
        <w:tblInd w:w="101" w:type="dxa"/>
        <w:tblLayout w:type="fixed"/>
        <w:tblCellMar>
          <w:top w:w="0" w:type="dxa"/>
          <w:left w:w="0" w:type="dxa"/>
          <w:bottom w:w="0" w:type="dxa"/>
          <w:right w:w="0" w:type="dxa"/>
        </w:tblCellMar>
        <w:tblLook w:val="01E0"/>
      </w:tblPr>
      <w:tblGrid>
        <w:gridCol w:w="3662"/>
        <w:gridCol w:w="1657"/>
        <w:gridCol w:w="1730"/>
        <w:gridCol w:w="1545"/>
      </w:tblGrid>
      <w:tr>
        <w:trPr>
          <w:trHeight w:val="770" w:hRule="exact"/>
        </w:trPr>
        <w:tc>
          <w:tcPr>
            <w:tcW w:w="3662"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b/>
                <w:bCs/>
                <w:sz w:val="26"/>
                <w:szCs w:val="26"/>
              </w:rPr>
            </w:pPr>
          </w:p>
          <w:p>
            <w:pPr>
              <w:pStyle w:val="TableParagraph"/>
              <w:spacing w:line="240" w:lineRule="auto"/>
              <w:ind w:right="0"/>
              <w:jc w:val="left"/>
              <w:rPr>
                <w:rFonts w:ascii="黑体" w:hAnsi="黑体" w:cs="黑体" w:eastAsia="黑体" w:hint="default"/>
                <w:sz w:val="20"/>
                <w:szCs w:val="20"/>
              </w:rPr>
            </w:pPr>
            <w:r>
              <w:rPr>
                <w:rFonts w:ascii="黑体" w:hAnsi="黑体" w:cs="黑体" w:eastAsia="黑体" w:hint="default"/>
                <w:b/>
                <w:bCs/>
                <w:sz w:val="20"/>
                <w:szCs w:val="20"/>
              </w:rPr>
              <w:t>项目</w:t>
            </w:r>
            <w:r>
              <w:rPr>
                <w:rFonts w:ascii="黑体" w:hAnsi="黑体" w:cs="黑体" w:eastAsia="黑体" w:hint="default"/>
                <w:sz w:val="20"/>
                <w:szCs w:val="20"/>
              </w:rPr>
            </w:r>
          </w:p>
        </w:tc>
        <w:tc>
          <w:tcPr>
            <w:tcW w:w="1657"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b/>
                <w:bCs/>
                <w:sz w:val="26"/>
                <w:szCs w:val="26"/>
              </w:rPr>
            </w:pPr>
          </w:p>
          <w:p>
            <w:pPr>
              <w:pStyle w:val="TableParagraph"/>
              <w:spacing w:line="240" w:lineRule="auto"/>
              <w:ind w:left="274" w:right="0"/>
              <w:jc w:val="center"/>
              <w:rPr>
                <w:rFonts w:ascii="黑体" w:hAnsi="黑体" w:cs="黑体" w:eastAsia="黑体" w:hint="default"/>
                <w:sz w:val="20"/>
                <w:szCs w:val="20"/>
              </w:rPr>
            </w:pPr>
            <w:r>
              <w:rPr>
                <w:rFonts w:ascii="黑体" w:hAnsi="黑体" w:cs="黑体" w:eastAsia="黑体" w:hint="default"/>
                <w:b/>
                <w:bCs/>
                <w:sz w:val="20"/>
                <w:szCs w:val="20"/>
              </w:rPr>
              <w:t>附注十三</w:t>
            </w:r>
            <w:r>
              <w:rPr>
                <w:rFonts w:ascii="黑体" w:hAnsi="黑体" w:cs="黑体" w:eastAsia="黑体" w:hint="default"/>
                <w:sz w:val="20"/>
                <w:szCs w:val="20"/>
              </w:rPr>
            </w:r>
          </w:p>
        </w:tc>
        <w:tc>
          <w:tcPr>
            <w:tcW w:w="1730"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b/>
                <w:bCs/>
                <w:sz w:val="26"/>
                <w:szCs w:val="26"/>
              </w:rPr>
            </w:pPr>
          </w:p>
          <w:p>
            <w:pPr>
              <w:pStyle w:val="TableParagraph"/>
              <w:spacing w:line="240" w:lineRule="auto"/>
              <w:ind w:right="268"/>
              <w:jc w:val="right"/>
              <w:rPr>
                <w:rFonts w:ascii="黑体" w:hAnsi="黑体" w:cs="黑体" w:eastAsia="黑体" w:hint="default"/>
                <w:sz w:val="20"/>
                <w:szCs w:val="20"/>
              </w:rPr>
            </w:pPr>
            <w:r>
              <w:rPr>
                <w:rFonts w:ascii="Arial" w:hAnsi="Arial" w:cs="Arial" w:eastAsia="Arial" w:hint="default"/>
                <w:b/>
                <w:bCs/>
                <w:spacing w:val="-1"/>
                <w:w w:val="95"/>
                <w:sz w:val="20"/>
                <w:szCs w:val="20"/>
              </w:rPr>
              <w:t>2012</w:t>
            </w:r>
            <w:r>
              <w:rPr>
                <w:rFonts w:ascii="黑体" w:hAnsi="黑体" w:cs="黑体" w:eastAsia="黑体" w:hint="default"/>
                <w:b/>
                <w:bCs/>
                <w:spacing w:val="-1"/>
                <w:w w:val="95"/>
                <w:sz w:val="20"/>
                <w:szCs w:val="20"/>
              </w:rPr>
              <w:t>年</w:t>
            </w:r>
            <w:r>
              <w:rPr>
                <w:rFonts w:ascii="黑体" w:hAnsi="黑体" w:cs="黑体" w:eastAsia="黑体" w:hint="default"/>
                <w:spacing w:val="-1"/>
                <w:sz w:val="20"/>
                <w:szCs w:val="20"/>
              </w:rPr>
            </w:r>
          </w:p>
        </w:tc>
        <w:tc>
          <w:tcPr>
            <w:tcW w:w="1545"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b/>
                <w:bCs/>
                <w:sz w:val="26"/>
                <w:szCs w:val="26"/>
              </w:rPr>
            </w:pPr>
          </w:p>
          <w:p>
            <w:pPr>
              <w:pStyle w:val="TableParagraph"/>
              <w:spacing w:line="240" w:lineRule="auto"/>
              <w:ind w:right="4"/>
              <w:jc w:val="right"/>
              <w:rPr>
                <w:rFonts w:ascii="黑体" w:hAnsi="黑体" w:cs="黑体" w:eastAsia="黑体" w:hint="default"/>
                <w:sz w:val="20"/>
                <w:szCs w:val="20"/>
              </w:rPr>
            </w:pPr>
            <w:r>
              <w:rPr>
                <w:rFonts w:ascii="Arial" w:hAnsi="Arial" w:cs="Arial" w:eastAsia="Arial" w:hint="default"/>
                <w:b/>
                <w:bCs/>
                <w:spacing w:val="-1"/>
                <w:w w:val="95"/>
                <w:sz w:val="20"/>
                <w:szCs w:val="20"/>
              </w:rPr>
              <w:t>2011</w:t>
            </w:r>
            <w:r>
              <w:rPr>
                <w:rFonts w:ascii="黑体" w:hAnsi="黑体" w:cs="黑体" w:eastAsia="黑体" w:hint="default"/>
                <w:b/>
                <w:bCs/>
                <w:spacing w:val="-1"/>
                <w:w w:val="95"/>
                <w:sz w:val="20"/>
                <w:szCs w:val="20"/>
              </w:rPr>
              <w:t>年</w:t>
            </w:r>
            <w:r>
              <w:rPr>
                <w:rFonts w:ascii="黑体" w:hAnsi="黑体" w:cs="黑体" w:eastAsia="黑体" w:hint="default"/>
                <w:spacing w:val="-1"/>
                <w:sz w:val="20"/>
                <w:szCs w:val="20"/>
              </w:rPr>
            </w:r>
          </w:p>
        </w:tc>
      </w:tr>
      <w:tr>
        <w:trPr>
          <w:trHeight w:val="488" w:hRule="exact"/>
        </w:trPr>
        <w:tc>
          <w:tcPr>
            <w:tcW w:w="3662"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0"/>
              <w:jc w:val="left"/>
              <w:rPr>
                <w:rFonts w:ascii="黑体" w:hAnsi="黑体" w:cs="黑体" w:eastAsia="黑体" w:hint="default"/>
                <w:sz w:val="20"/>
                <w:szCs w:val="20"/>
              </w:rPr>
            </w:pPr>
            <w:r>
              <w:rPr>
                <w:rFonts w:ascii="黑体" w:hAnsi="黑体" w:cs="黑体" w:eastAsia="黑体" w:hint="default"/>
                <w:sz w:val="20"/>
                <w:szCs w:val="20"/>
              </w:rPr>
              <w:t>一、营业收入</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269" w:right="0"/>
              <w:jc w:val="center"/>
              <w:rPr>
                <w:rFonts w:ascii="Arial" w:hAnsi="Arial" w:cs="Arial" w:eastAsia="Arial" w:hint="default"/>
                <w:sz w:val="20"/>
                <w:szCs w:val="20"/>
              </w:rPr>
            </w:pPr>
            <w:r>
              <w:rPr>
                <w:rFonts w:ascii="Arial"/>
                <w:sz w:val="20"/>
              </w:rPr>
              <w:t>28</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66"/>
              <w:jc w:val="right"/>
              <w:rPr>
                <w:rFonts w:ascii="Arial" w:hAnsi="Arial" w:cs="Arial" w:eastAsia="Arial" w:hint="default"/>
                <w:sz w:val="20"/>
                <w:szCs w:val="20"/>
              </w:rPr>
            </w:pPr>
            <w:r>
              <w:rPr>
                <w:rFonts w:ascii="Arial"/>
                <w:spacing w:val="-1"/>
                <w:sz w:val="20"/>
              </w:rPr>
              <w:t>2,474,650,874</w:t>
            </w:r>
            <w:r>
              <w:rPr>
                <w:rFonts w:ascii="Arial"/>
                <w:sz w:val="20"/>
              </w:rPr>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
              <w:jc w:val="right"/>
              <w:rPr>
                <w:rFonts w:ascii="Arial" w:hAnsi="Arial" w:cs="Arial" w:eastAsia="Arial" w:hint="default"/>
                <w:sz w:val="20"/>
                <w:szCs w:val="20"/>
              </w:rPr>
            </w:pPr>
            <w:r>
              <w:rPr>
                <w:rFonts w:ascii="Arial"/>
                <w:spacing w:val="-1"/>
                <w:sz w:val="20"/>
              </w:rPr>
              <w:t>2,480,196,110</w:t>
            </w:r>
            <w:r>
              <w:rPr>
                <w:rFonts w:ascii="Arial"/>
                <w:sz w:val="20"/>
              </w:rPr>
            </w:r>
          </w:p>
        </w:tc>
      </w:tr>
      <w:tr>
        <w:trPr>
          <w:trHeight w:val="374" w:hRule="exact"/>
        </w:trPr>
        <w:tc>
          <w:tcPr>
            <w:tcW w:w="3662" w:type="dxa"/>
            <w:tcBorders>
              <w:top w:val="nil" w:sz="6" w:space="0" w:color="auto"/>
              <w:left w:val="nil" w:sz="6" w:space="0" w:color="auto"/>
              <w:bottom w:val="nil" w:sz="6" w:space="0" w:color="auto"/>
              <w:right w:val="nil" w:sz="6" w:space="0" w:color="auto"/>
            </w:tcBorders>
          </w:tcPr>
          <w:p>
            <w:pPr>
              <w:pStyle w:val="TableParagraph"/>
              <w:spacing w:line="240" w:lineRule="auto" w:before="78"/>
              <w:ind w:left="420" w:right="0"/>
              <w:jc w:val="left"/>
              <w:rPr>
                <w:rFonts w:ascii="黑体" w:hAnsi="黑体" w:cs="黑体" w:eastAsia="黑体" w:hint="default"/>
                <w:sz w:val="20"/>
                <w:szCs w:val="20"/>
              </w:rPr>
            </w:pPr>
            <w:r>
              <w:rPr>
                <w:rFonts w:ascii="黑体" w:hAnsi="黑体" w:cs="黑体" w:eastAsia="黑体" w:hint="default"/>
                <w:sz w:val="20"/>
                <w:szCs w:val="20"/>
              </w:rPr>
              <w:t>减：营业成本</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269" w:right="0"/>
              <w:jc w:val="center"/>
              <w:rPr>
                <w:rFonts w:ascii="Arial" w:hAnsi="Arial" w:cs="Arial" w:eastAsia="Arial" w:hint="default"/>
                <w:sz w:val="20"/>
                <w:szCs w:val="20"/>
              </w:rPr>
            </w:pPr>
            <w:r>
              <w:rPr>
                <w:rFonts w:ascii="Arial"/>
                <w:sz w:val="20"/>
              </w:rPr>
              <w:t>28</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66"/>
              <w:jc w:val="right"/>
              <w:rPr>
                <w:rFonts w:ascii="Arial" w:hAnsi="Arial" w:cs="Arial" w:eastAsia="Arial" w:hint="default"/>
                <w:sz w:val="20"/>
                <w:szCs w:val="20"/>
              </w:rPr>
            </w:pPr>
            <w:r>
              <w:rPr>
                <w:rFonts w:ascii="Arial"/>
                <w:spacing w:val="-1"/>
                <w:sz w:val="20"/>
              </w:rPr>
              <w:t>321,337,191</w:t>
            </w:r>
            <w:r>
              <w:rPr>
                <w:rFonts w:ascii="Arial"/>
                <w:sz w:val="20"/>
              </w:rPr>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
              <w:jc w:val="right"/>
              <w:rPr>
                <w:rFonts w:ascii="Arial" w:hAnsi="Arial" w:cs="Arial" w:eastAsia="Arial" w:hint="default"/>
                <w:sz w:val="20"/>
                <w:szCs w:val="20"/>
              </w:rPr>
            </w:pPr>
            <w:r>
              <w:rPr>
                <w:rFonts w:ascii="Arial"/>
                <w:spacing w:val="-1"/>
                <w:sz w:val="20"/>
              </w:rPr>
              <w:t>298,608,589</w:t>
            </w:r>
            <w:r>
              <w:rPr>
                <w:rFonts w:ascii="Arial"/>
                <w:sz w:val="20"/>
              </w:rPr>
            </w:r>
          </w:p>
        </w:tc>
      </w:tr>
      <w:tr>
        <w:trPr>
          <w:trHeight w:val="260" w:hRule="exact"/>
        </w:trPr>
        <w:tc>
          <w:tcPr>
            <w:tcW w:w="3662" w:type="dxa"/>
            <w:tcBorders>
              <w:top w:val="nil" w:sz="6" w:space="0" w:color="auto"/>
              <w:left w:val="nil" w:sz="6" w:space="0" w:color="auto"/>
              <w:bottom w:val="nil" w:sz="6" w:space="0" w:color="auto"/>
              <w:right w:val="nil" w:sz="6" w:space="0" w:color="auto"/>
            </w:tcBorders>
          </w:tcPr>
          <w:p>
            <w:pPr>
              <w:pStyle w:val="TableParagraph"/>
              <w:spacing w:line="224" w:lineRule="exact"/>
              <w:ind w:left="826" w:right="0"/>
              <w:jc w:val="left"/>
              <w:rPr>
                <w:rFonts w:ascii="黑体" w:hAnsi="黑体" w:cs="黑体" w:eastAsia="黑体" w:hint="default"/>
                <w:sz w:val="20"/>
                <w:szCs w:val="20"/>
              </w:rPr>
            </w:pPr>
            <w:r>
              <w:rPr>
                <w:rFonts w:ascii="黑体" w:hAnsi="黑体" w:cs="黑体" w:eastAsia="黑体" w:hint="default"/>
                <w:sz w:val="20"/>
                <w:szCs w:val="20"/>
              </w:rPr>
              <w:t>营业税金及附加</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8"/>
              <w:ind w:left="269" w:right="0"/>
              <w:jc w:val="center"/>
              <w:rPr>
                <w:rFonts w:ascii="Arial" w:hAnsi="Arial" w:cs="Arial" w:eastAsia="Arial" w:hint="default"/>
                <w:sz w:val="20"/>
                <w:szCs w:val="20"/>
              </w:rPr>
            </w:pPr>
            <w:r>
              <w:rPr>
                <w:rFonts w:ascii="Arial"/>
                <w:sz w:val="20"/>
              </w:rPr>
              <w:t>29</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6"/>
              <w:jc w:val="right"/>
              <w:rPr>
                <w:rFonts w:ascii="Arial" w:hAnsi="Arial" w:cs="Arial" w:eastAsia="Arial" w:hint="default"/>
                <w:sz w:val="20"/>
                <w:szCs w:val="20"/>
              </w:rPr>
            </w:pPr>
            <w:r>
              <w:rPr>
                <w:rFonts w:ascii="Arial"/>
                <w:spacing w:val="-1"/>
                <w:sz w:val="20"/>
              </w:rPr>
              <w:t>50,628,938</w:t>
            </w:r>
            <w:r>
              <w:rPr>
                <w:rFonts w:ascii="Arial"/>
                <w:sz w:val="20"/>
              </w:rPr>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
              <w:jc w:val="right"/>
              <w:rPr>
                <w:rFonts w:ascii="Arial" w:hAnsi="Arial" w:cs="Arial" w:eastAsia="Arial" w:hint="default"/>
                <w:sz w:val="20"/>
                <w:szCs w:val="20"/>
              </w:rPr>
            </w:pPr>
            <w:r>
              <w:rPr>
                <w:rFonts w:ascii="Arial"/>
                <w:spacing w:val="-1"/>
                <w:sz w:val="20"/>
              </w:rPr>
              <w:t>77,020,960</w:t>
            </w:r>
            <w:r>
              <w:rPr>
                <w:rFonts w:ascii="Arial"/>
                <w:sz w:val="20"/>
              </w:rPr>
            </w:r>
          </w:p>
        </w:tc>
      </w:tr>
      <w:tr>
        <w:trPr>
          <w:trHeight w:val="259" w:hRule="exact"/>
        </w:trPr>
        <w:tc>
          <w:tcPr>
            <w:tcW w:w="3662" w:type="dxa"/>
            <w:tcBorders>
              <w:top w:val="nil" w:sz="6" w:space="0" w:color="auto"/>
              <w:left w:val="nil" w:sz="6" w:space="0" w:color="auto"/>
              <w:bottom w:val="nil" w:sz="6" w:space="0" w:color="auto"/>
              <w:right w:val="nil" w:sz="6" w:space="0" w:color="auto"/>
            </w:tcBorders>
          </w:tcPr>
          <w:p>
            <w:pPr>
              <w:pStyle w:val="TableParagraph"/>
              <w:spacing w:line="226" w:lineRule="exact"/>
              <w:ind w:left="826" w:right="0"/>
              <w:jc w:val="left"/>
              <w:rPr>
                <w:rFonts w:ascii="黑体" w:hAnsi="黑体" w:cs="黑体" w:eastAsia="黑体" w:hint="default"/>
                <w:sz w:val="20"/>
                <w:szCs w:val="20"/>
              </w:rPr>
            </w:pPr>
            <w:r>
              <w:rPr>
                <w:rFonts w:ascii="黑体" w:hAnsi="黑体" w:cs="黑体" w:eastAsia="黑体" w:hint="default"/>
                <w:sz w:val="20"/>
                <w:szCs w:val="20"/>
              </w:rPr>
              <w:t>销售费用</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9" w:right="0"/>
              <w:jc w:val="center"/>
              <w:rPr>
                <w:rFonts w:ascii="Arial" w:hAnsi="Arial" w:cs="Arial" w:eastAsia="Arial" w:hint="default"/>
                <w:sz w:val="20"/>
                <w:szCs w:val="20"/>
              </w:rPr>
            </w:pPr>
            <w:r>
              <w:rPr>
                <w:rFonts w:ascii="Arial"/>
                <w:sz w:val="20"/>
              </w:rPr>
              <w:t>30</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66"/>
              <w:jc w:val="right"/>
              <w:rPr>
                <w:rFonts w:ascii="Arial" w:hAnsi="Arial" w:cs="Arial" w:eastAsia="Arial" w:hint="default"/>
                <w:sz w:val="20"/>
                <w:szCs w:val="20"/>
              </w:rPr>
            </w:pPr>
            <w:r>
              <w:rPr>
                <w:rFonts w:ascii="Arial"/>
                <w:spacing w:val="-1"/>
                <w:sz w:val="20"/>
              </w:rPr>
              <w:t>1,062,047,238</w:t>
            </w:r>
            <w:r>
              <w:rPr>
                <w:rFonts w:ascii="Arial"/>
                <w:sz w:val="20"/>
              </w:rPr>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
              <w:jc w:val="right"/>
              <w:rPr>
                <w:rFonts w:ascii="Arial" w:hAnsi="Arial" w:cs="Arial" w:eastAsia="Arial" w:hint="default"/>
                <w:sz w:val="20"/>
                <w:szCs w:val="20"/>
              </w:rPr>
            </w:pPr>
            <w:r>
              <w:rPr>
                <w:rFonts w:ascii="Arial"/>
                <w:spacing w:val="-1"/>
                <w:sz w:val="20"/>
              </w:rPr>
              <w:t>1,073,862,141</w:t>
            </w:r>
            <w:r>
              <w:rPr>
                <w:rFonts w:ascii="Arial"/>
                <w:sz w:val="20"/>
              </w:rPr>
            </w:r>
          </w:p>
        </w:tc>
      </w:tr>
      <w:tr>
        <w:trPr>
          <w:trHeight w:val="259" w:hRule="exact"/>
        </w:trPr>
        <w:tc>
          <w:tcPr>
            <w:tcW w:w="3662" w:type="dxa"/>
            <w:tcBorders>
              <w:top w:val="nil" w:sz="6" w:space="0" w:color="auto"/>
              <w:left w:val="nil" w:sz="6" w:space="0" w:color="auto"/>
              <w:bottom w:val="nil" w:sz="6" w:space="0" w:color="auto"/>
              <w:right w:val="nil" w:sz="6" w:space="0" w:color="auto"/>
            </w:tcBorders>
          </w:tcPr>
          <w:p>
            <w:pPr>
              <w:pStyle w:val="TableParagraph"/>
              <w:spacing w:line="226" w:lineRule="exact"/>
              <w:ind w:left="826" w:right="0"/>
              <w:jc w:val="left"/>
              <w:rPr>
                <w:rFonts w:ascii="黑体" w:hAnsi="黑体" w:cs="黑体" w:eastAsia="黑体" w:hint="default"/>
                <w:sz w:val="20"/>
                <w:szCs w:val="20"/>
              </w:rPr>
            </w:pPr>
            <w:r>
              <w:rPr>
                <w:rFonts w:ascii="黑体" w:hAnsi="黑体" w:cs="黑体" w:eastAsia="黑体" w:hint="default"/>
                <w:sz w:val="20"/>
                <w:szCs w:val="20"/>
              </w:rPr>
              <w:t>管理费用</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9" w:right="0"/>
              <w:jc w:val="center"/>
              <w:rPr>
                <w:rFonts w:ascii="Arial" w:hAnsi="Arial" w:cs="Arial" w:eastAsia="Arial" w:hint="default"/>
                <w:sz w:val="20"/>
                <w:szCs w:val="20"/>
              </w:rPr>
            </w:pPr>
            <w:r>
              <w:rPr>
                <w:rFonts w:ascii="Arial"/>
                <w:sz w:val="20"/>
              </w:rPr>
              <w:t>31</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66"/>
              <w:jc w:val="right"/>
              <w:rPr>
                <w:rFonts w:ascii="Arial" w:hAnsi="Arial" w:cs="Arial" w:eastAsia="Arial" w:hint="default"/>
                <w:sz w:val="20"/>
                <w:szCs w:val="20"/>
              </w:rPr>
            </w:pPr>
            <w:r>
              <w:rPr>
                <w:rFonts w:ascii="Arial"/>
                <w:spacing w:val="-1"/>
                <w:sz w:val="20"/>
              </w:rPr>
              <w:t>751,377,485</w:t>
            </w:r>
            <w:r>
              <w:rPr>
                <w:rFonts w:ascii="Arial"/>
                <w:sz w:val="20"/>
              </w:rPr>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
              <w:jc w:val="right"/>
              <w:rPr>
                <w:rFonts w:ascii="Arial" w:hAnsi="Arial" w:cs="Arial" w:eastAsia="Arial" w:hint="default"/>
                <w:sz w:val="20"/>
                <w:szCs w:val="20"/>
              </w:rPr>
            </w:pPr>
            <w:r>
              <w:rPr>
                <w:rFonts w:ascii="Arial"/>
                <w:spacing w:val="-1"/>
                <w:sz w:val="20"/>
              </w:rPr>
              <w:t>702,530,566</w:t>
            </w:r>
            <w:r>
              <w:rPr>
                <w:rFonts w:ascii="Arial"/>
                <w:sz w:val="20"/>
              </w:rPr>
            </w:r>
          </w:p>
        </w:tc>
      </w:tr>
      <w:tr>
        <w:trPr>
          <w:trHeight w:val="259" w:hRule="exact"/>
        </w:trPr>
        <w:tc>
          <w:tcPr>
            <w:tcW w:w="3662" w:type="dxa"/>
            <w:tcBorders>
              <w:top w:val="nil" w:sz="6" w:space="0" w:color="auto"/>
              <w:left w:val="nil" w:sz="6" w:space="0" w:color="auto"/>
              <w:bottom w:val="nil" w:sz="6" w:space="0" w:color="auto"/>
              <w:right w:val="nil" w:sz="6" w:space="0" w:color="auto"/>
            </w:tcBorders>
          </w:tcPr>
          <w:p>
            <w:pPr>
              <w:pStyle w:val="TableParagraph"/>
              <w:spacing w:line="226" w:lineRule="exact"/>
              <w:ind w:left="826" w:right="0"/>
              <w:jc w:val="left"/>
              <w:rPr>
                <w:rFonts w:ascii="黑体" w:hAnsi="黑体" w:cs="黑体" w:eastAsia="黑体" w:hint="default"/>
                <w:sz w:val="20"/>
                <w:szCs w:val="20"/>
              </w:rPr>
            </w:pPr>
            <w:r>
              <w:rPr>
                <w:rFonts w:ascii="黑体" w:hAnsi="黑体" w:cs="黑体" w:eastAsia="黑体" w:hint="default"/>
                <w:sz w:val="20"/>
                <w:szCs w:val="20"/>
              </w:rPr>
              <w:t>财务费用</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9" w:right="0"/>
              <w:jc w:val="center"/>
              <w:rPr>
                <w:rFonts w:ascii="Arial" w:hAnsi="Arial" w:cs="Arial" w:eastAsia="Arial" w:hint="default"/>
                <w:sz w:val="20"/>
                <w:szCs w:val="20"/>
              </w:rPr>
            </w:pPr>
            <w:r>
              <w:rPr>
                <w:rFonts w:ascii="Arial"/>
                <w:sz w:val="20"/>
              </w:rPr>
              <w:t>32</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66"/>
              <w:jc w:val="right"/>
              <w:rPr>
                <w:rFonts w:ascii="Arial" w:hAnsi="Arial" w:cs="Arial" w:eastAsia="Arial" w:hint="default"/>
                <w:sz w:val="20"/>
                <w:szCs w:val="20"/>
              </w:rPr>
            </w:pPr>
            <w:r>
              <w:rPr>
                <w:rFonts w:ascii="Arial"/>
                <w:spacing w:val="-1"/>
                <w:sz w:val="20"/>
              </w:rPr>
              <w:t>73,272,970</w:t>
            </w:r>
            <w:r>
              <w:rPr>
                <w:rFonts w:ascii="Arial"/>
                <w:sz w:val="20"/>
              </w:rPr>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
              <w:jc w:val="right"/>
              <w:rPr>
                <w:rFonts w:ascii="Arial" w:hAnsi="Arial" w:cs="Arial" w:eastAsia="Arial" w:hint="default"/>
                <w:sz w:val="20"/>
                <w:szCs w:val="20"/>
              </w:rPr>
            </w:pPr>
            <w:r>
              <w:rPr>
                <w:rFonts w:ascii="Arial"/>
                <w:spacing w:val="-1"/>
                <w:sz w:val="20"/>
              </w:rPr>
              <w:t>39,233,630</w:t>
            </w:r>
            <w:r>
              <w:rPr>
                <w:rFonts w:ascii="Arial"/>
                <w:sz w:val="20"/>
              </w:rPr>
            </w:r>
          </w:p>
        </w:tc>
      </w:tr>
      <w:tr>
        <w:trPr>
          <w:trHeight w:val="259" w:hRule="exact"/>
        </w:trPr>
        <w:tc>
          <w:tcPr>
            <w:tcW w:w="3662" w:type="dxa"/>
            <w:tcBorders>
              <w:top w:val="nil" w:sz="6" w:space="0" w:color="auto"/>
              <w:left w:val="nil" w:sz="6" w:space="0" w:color="auto"/>
              <w:bottom w:val="nil" w:sz="6" w:space="0" w:color="auto"/>
              <w:right w:val="nil" w:sz="6" w:space="0" w:color="auto"/>
            </w:tcBorders>
          </w:tcPr>
          <w:p>
            <w:pPr>
              <w:pStyle w:val="TableParagraph"/>
              <w:spacing w:line="226" w:lineRule="exact"/>
              <w:ind w:left="826" w:right="0"/>
              <w:jc w:val="left"/>
              <w:rPr>
                <w:rFonts w:ascii="黑体" w:hAnsi="黑体" w:cs="黑体" w:eastAsia="黑体" w:hint="default"/>
                <w:sz w:val="20"/>
                <w:szCs w:val="20"/>
              </w:rPr>
            </w:pPr>
            <w:r>
              <w:rPr>
                <w:rFonts w:ascii="黑体" w:hAnsi="黑体" w:cs="黑体" w:eastAsia="黑体" w:hint="default"/>
                <w:sz w:val="20"/>
                <w:szCs w:val="20"/>
              </w:rPr>
              <w:t>资产减值损失</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9" w:right="0"/>
              <w:jc w:val="center"/>
              <w:rPr>
                <w:rFonts w:ascii="Arial" w:hAnsi="Arial" w:cs="Arial" w:eastAsia="Arial" w:hint="default"/>
                <w:sz w:val="20"/>
                <w:szCs w:val="20"/>
              </w:rPr>
            </w:pPr>
            <w:r>
              <w:rPr>
                <w:rFonts w:ascii="Arial"/>
                <w:sz w:val="20"/>
              </w:rPr>
              <w:t>33</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66"/>
              <w:jc w:val="right"/>
              <w:rPr>
                <w:rFonts w:ascii="Arial" w:hAnsi="Arial" w:cs="Arial" w:eastAsia="Arial" w:hint="default"/>
                <w:sz w:val="20"/>
                <w:szCs w:val="20"/>
              </w:rPr>
            </w:pPr>
            <w:r>
              <w:rPr>
                <w:rFonts w:ascii="Arial"/>
                <w:spacing w:val="-1"/>
                <w:sz w:val="20"/>
              </w:rPr>
              <w:t>55,545,512</w:t>
            </w:r>
            <w:r>
              <w:rPr>
                <w:rFonts w:ascii="Arial"/>
                <w:sz w:val="20"/>
              </w:rPr>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
              <w:jc w:val="right"/>
              <w:rPr>
                <w:rFonts w:ascii="Arial" w:hAnsi="Arial" w:cs="Arial" w:eastAsia="Arial" w:hint="default"/>
                <w:sz w:val="20"/>
                <w:szCs w:val="20"/>
              </w:rPr>
            </w:pPr>
            <w:r>
              <w:rPr>
                <w:rFonts w:ascii="Arial"/>
                <w:spacing w:val="-1"/>
                <w:sz w:val="20"/>
              </w:rPr>
              <w:t>19,618,918</w:t>
            </w:r>
            <w:r>
              <w:rPr>
                <w:rFonts w:ascii="Arial"/>
                <w:sz w:val="20"/>
              </w:rPr>
            </w:r>
          </w:p>
        </w:tc>
      </w:tr>
      <w:tr>
        <w:trPr>
          <w:trHeight w:val="259" w:hRule="exact"/>
        </w:trPr>
        <w:tc>
          <w:tcPr>
            <w:tcW w:w="3662" w:type="dxa"/>
            <w:tcBorders>
              <w:top w:val="nil" w:sz="6" w:space="0" w:color="auto"/>
              <w:left w:val="nil" w:sz="6" w:space="0" w:color="auto"/>
              <w:bottom w:val="nil" w:sz="6" w:space="0" w:color="auto"/>
              <w:right w:val="nil" w:sz="6" w:space="0" w:color="auto"/>
            </w:tcBorders>
          </w:tcPr>
          <w:p>
            <w:pPr>
              <w:pStyle w:val="TableParagraph"/>
              <w:spacing w:line="226" w:lineRule="exact"/>
              <w:ind w:left="420" w:right="0"/>
              <w:jc w:val="left"/>
              <w:rPr>
                <w:rFonts w:ascii="黑体" w:hAnsi="黑体" w:cs="黑体" w:eastAsia="黑体" w:hint="default"/>
                <w:sz w:val="20"/>
                <w:szCs w:val="20"/>
              </w:rPr>
            </w:pPr>
            <w:r>
              <w:rPr>
                <w:rFonts w:ascii="黑体" w:hAnsi="黑体" w:cs="黑体" w:eastAsia="黑体" w:hint="default"/>
                <w:sz w:val="20"/>
                <w:szCs w:val="20"/>
              </w:rPr>
              <w:t>加：投资收益</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9" w:right="0"/>
              <w:jc w:val="center"/>
              <w:rPr>
                <w:rFonts w:ascii="Arial" w:hAnsi="Arial" w:cs="Arial" w:eastAsia="Arial" w:hint="default"/>
                <w:sz w:val="20"/>
                <w:szCs w:val="20"/>
              </w:rPr>
            </w:pPr>
            <w:r>
              <w:rPr>
                <w:rFonts w:ascii="Arial"/>
                <w:sz w:val="20"/>
              </w:rPr>
              <w:t>34</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66"/>
              <w:jc w:val="right"/>
              <w:rPr>
                <w:rFonts w:ascii="Arial" w:hAnsi="Arial" w:cs="Arial" w:eastAsia="Arial" w:hint="default"/>
                <w:sz w:val="20"/>
                <w:szCs w:val="20"/>
              </w:rPr>
            </w:pPr>
            <w:r>
              <w:rPr>
                <w:rFonts w:ascii="Arial"/>
                <w:spacing w:val="-1"/>
                <w:sz w:val="20"/>
              </w:rPr>
              <w:t>99,542,172</w:t>
            </w:r>
            <w:r>
              <w:rPr>
                <w:rFonts w:ascii="Arial"/>
                <w:sz w:val="20"/>
              </w:rPr>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
              <w:jc w:val="right"/>
              <w:rPr>
                <w:rFonts w:ascii="Arial" w:hAnsi="Arial" w:cs="Arial" w:eastAsia="Arial" w:hint="default"/>
                <w:sz w:val="20"/>
                <w:szCs w:val="20"/>
              </w:rPr>
            </w:pPr>
            <w:r>
              <w:rPr>
                <w:rFonts w:ascii="Arial"/>
                <w:spacing w:val="-1"/>
                <w:sz w:val="20"/>
              </w:rPr>
              <w:t>46,380,068</w:t>
            </w:r>
            <w:r>
              <w:rPr>
                <w:rFonts w:ascii="Arial"/>
                <w:sz w:val="20"/>
              </w:rPr>
            </w:r>
          </w:p>
        </w:tc>
      </w:tr>
      <w:tr>
        <w:trPr>
          <w:trHeight w:val="256" w:hRule="exact"/>
        </w:trPr>
        <w:tc>
          <w:tcPr>
            <w:tcW w:w="3662" w:type="dxa"/>
            <w:tcBorders>
              <w:top w:val="nil" w:sz="6" w:space="0" w:color="auto"/>
              <w:left w:val="nil" w:sz="6" w:space="0" w:color="auto"/>
              <w:bottom w:val="nil" w:sz="6" w:space="0" w:color="auto"/>
              <w:right w:val="nil" w:sz="6" w:space="0" w:color="auto"/>
            </w:tcBorders>
          </w:tcPr>
          <w:p>
            <w:pPr>
              <w:pStyle w:val="TableParagraph"/>
              <w:spacing w:line="226" w:lineRule="exact"/>
              <w:ind w:left="826" w:right="0"/>
              <w:jc w:val="left"/>
              <w:rPr>
                <w:rFonts w:ascii="黑体" w:hAnsi="黑体" w:cs="黑体" w:eastAsia="黑体" w:hint="default"/>
                <w:sz w:val="20"/>
                <w:szCs w:val="20"/>
              </w:rPr>
            </w:pPr>
            <w:r>
              <w:rPr>
                <w:rFonts w:ascii="黑体" w:hAnsi="黑体" w:cs="黑体" w:eastAsia="黑体" w:hint="default"/>
                <w:sz w:val="20"/>
                <w:szCs w:val="20"/>
              </w:rPr>
              <w:t>其中：对联营企业和合营企业</w:t>
            </w:r>
          </w:p>
        </w:tc>
        <w:tc>
          <w:tcPr>
            <w:tcW w:w="1657"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
        </w:tc>
        <w:tc>
          <w:tcPr>
            <w:tcW w:w="1545" w:type="dxa"/>
            <w:tcBorders>
              <w:top w:val="nil" w:sz="6" w:space="0" w:color="auto"/>
              <w:left w:val="nil" w:sz="6" w:space="0" w:color="auto"/>
              <w:bottom w:val="nil" w:sz="6" w:space="0" w:color="auto"/>
              <w:right w:val="nil" w:sz="6" w:space="0" w:color="auto"/>
            </w:tcBorders>
          </w:tcPr>
          <w:p>
            <w:pPr/>
          </w:p>
        </w:tc>
      </w:tr>
      <w:tr>
        <w:trPr>
          <w:trHeight w:val="392" w:hRule="exact"/>
        </w:trPr>
        <w:tc>
          <w:tcPr>
            <w:tcW w:w="3662" w:type="dxa"/>
            <w:tcBorders>
              <w:top w:val="nil" w:sz="6" w:space="0" w:color="auto"/>
              <w:left w:val="nil" w:sz="6" w:space="0" w:color="auto"/>
              <w:bottom w:val="nil" w:sz="6" w:space="0" w:color="auto"/>
              <w:right w:val="nil" w:sz="6" w:space="0" w:color="auto"/>
            </w:tcBorders>
          </w:tcPr>
          <w:p>
            <w:pPr>
              <w:pStyle w:val="TableParagraph"/>
              <w:spacing w:line="229" w:lineRule="exact"/>
              <w:ind w:left="1639" w:right="0"/>
              <w:jc w:val="left"/>
              <w:rPr>
                <w:rFonts w:ascii="黑体" w:hAnsi="黑体" w:cs="黑体" w:eastAsia="黑体" w:hint="default"/>
                <w:sz w:val="20"/>
                <w:szCs w:val="20"/>
              </w:rPr>
            </w:pPr>
            <w:r>
              <w:rPr>
                <w:rFonts w:ascii="黑体" w:hAnsi="黑体" w:cs="黑体" w:eastAsia="黑体" w:hint="default"/>
                <w:sz w:val="20"/>
                <w:szCs w:val="20"/>
              </w:rPr>
              <w:t>的投资收益</w:t>
            </w:r>
          </w:p>
        </w:tc>
        <w:tc>
          <w:tcPr>
            <w:tcW w:w="1657"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tabs>
                <w:tab w:pos="403" w:val="left" w:leader="none"/>
              </w:tabs>
              <w:spacing w:line="240" w:lineRule="auto" w:before="11"/>
              <w:ind w:right="266"/>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8,744,114</w:t>
            </w:r>
            <w:r>
              <w:rPr>
                <w:rFonts w:ascii="Arial"/>
                <w:spacing w:val="-1"/>
                <w:w w:val="95"/>
                <w:sz w:val="20"/>
              </w:rPr>
            </w:r>
            <w:r>
              <w:rPr>
                <w:rFonts w:ascii="Arial"/>
                <w:sz w:val="20"/>
              </w:rPr>
            </w:r>
          </w:p>
        </w:tc>
        <w:tc>
          <w:tcPr>
            <w:tcW w:w="1545"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1"/>
              <w:ind w:right="1"/>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sz w:val="20"/>
                <w:u w:val="single" w:color="000000"/>
              </w:rPr>
              <w:t>6,168,930</w:t>
            </w:r>
            <w:r>
              <w:rPr>
                <w:rFonts w:ascii="Arial"/>
                <w:spacing w:val="-1"/>
                <w:sz w:val="20"/>
              </w:rPr>
            </w:r>
          </w:p>
        </w:tc>
      </w:tr>
      <w:tr>
        <w:trPr>
          <w:trHeight w:val="518" w:hRule="exact"/>
        </w:trPr>
        <w:tc>
          <w:tcPr>
            <w:tcW w:w="366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0"/>
              <w:jc w:val="left"/>
              <w:rPr>
                <w:rFonts w:ascii="黑体" w:hAnsi="黑体" w:cs="黑体" w:eastAsia="黑体" w:hint="default"/>
                <w:sz w:val="20"/>
                <w:szCs w:val="20"/>
              </w:rPr>
            </w:pPr>
            <w:r>
              <w:rPr>
                <w:rFonts w:ascii="黑体" w:hAnsi="黑体" w:cs="黑体" w:eastAsia="黑体" w:hint="default"/>
                <w:sz w:val="20"/>
                <w:szCs w:val="20"/>
              </w:rPr>
              <w:t>二、营业利润</w:t>
            </w:r>
          </w:p>
        </w:tc>
        <w:tc>
          <w:tcPr>
            <w:tcW w:w="1657"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264"/>
              <w:jc w:val="right"/>
              <w:rPr>
                <w:rFonts w:ascii="Arial" w:hAnsi="Arial" w:cs="Arial" w:eastAsia="Arial" w:hint="default"/>
                <w:sz w:val="20"/>
                <w:szCs w:val="20"/>
              </w:rPr>
            </w:pPr>
            <w:r>
              <w:rPr>
                <w:rFonts w:ascii="Arial"/>
                <w:spacing w:val="-1"/>
                <w:sz w:val="20"/>
              </w:rPr>
              <w:t>259,983,712</w:t>
            </w:r>
            <w:r>
              <w:rPr>
                <w:rFonts w:ascii="Arial"/>
                <w:sz w:val="20"/>
              </w:rPr>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2"/>
              <w:jc w:val="right"/>
              <w:rPr>
                <w:rFonts w:ascii="Arial" w:hAnsi="Arial" w:cs="Arial" w:eastAsia="Arial" w:hint="default"/>
                <w:sz w:val="20"/>
                <w:szCs w:val="20"/>
              </w:rPr>
            </w:pPr>
            <w:r>
              <w:rPr>
                <w:rFonts w:ascii="Arial"/>
                <w:spacing w:val="-1"/>
                <w:sz w:val="20"/>
              </w:rPr>
              <w:t>315,701,374</w:t>
            </w:r>
            <w:r>
              <w:rPr>
                <w:rFonts w:ascii="Arial"/>
                <w:sz w:val="20"/>
              </w:rPr>
            </w:r>
          </w:p>
        </w:tc>
      </w:tr>
      <w:tr>
        <w:trPr>
          <w:trHeight w:val="389" w:hRule="exact"/>
        </w:trPr>
        <w:tc>
          <w:tcPr>
            <w:tcW w:w="3662" w:type="dxa"/>
            <w:tcBorders>
              <w:top w:val="nil" w:sz="6" w:space="0" w:color="auto"/>
              <w:left w:val="nil" w:sz="6" w:space="0" w:color="auto"/>
              <w:bottom w:val="nil" w:sz="6" w:space="0" w:color="auto"/>
              <w:right w:val="nil" w:sz="6" w:space="0" w:color="auto"/>
            </w:tcBorders>
          </w:tcPr>
          <w:p>
            <w:pPr>
              <w:pStyle w:val="TableParagraph"/>
              <w:spacing w:line="240" w:lineRule="auto" w:before="93"/>
              <w:ind w:left="420" w:right="0"/>
              <w:jc w:val="left"/>
              <w:rPr>
                <w:rFonts w:ascii="黑体" w:hAnsi="黑体" w:cs="黑体" w:eastAsia="黑体" w:hint="default"/>
                <w:sz w:val="20"/>
                <w:szCs w:val="20"/>
              </w:rPr>
            </w:pPr>
            <w:r>
              <w:rPr>
                <w:rFonts w:ascii="黑体" w:hAnsi="黑体" w:cs="黑体" w:eastAsia="黑体" w:hint="default"/>
                <w:sz w:val="20"/>
                <w:szCs w:val="20"/>
              </w:rPr>
              <w:t>加：营业外收入</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269" w:right="0"/>
              <w:jc w:val="center"/>
              <w:rPr>
                <w:rFonts w:ascii="Arial" w:hAnsi="Arial" w:cs="Arial" w:eastAsia="Arial" w:hint="default"/>
                <w:sz w:val="20"/>
                <w:szCs w:val="20"/>
              </w:rPr>
            </w:pPr>
            <w:r>
              <w:rPr>
                <w:rFonts w:ascii="Arial"/>
                <w:sz w:val="20"/>
              </w:rPr>
              <w:t>35</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266"/>
              <w:jc w:val="right"/>
              <w:rPr>
                <w:rFonts w:ascii="Arial" w:hAnsi="Arial" w:cs="Arial" w:eastAsia="Arial" w:hint="default"/>
                <w:sz w:val="20"/>
                <w:szCs w:val="20"/>
              </w:rPr>
            </w:pPr>
            <w:r>
              <w:rPr>
                <w:rFonts w:ascii="Arial"/>
                <w:spacing w:val="-1"/>
                <w:sz w:val="20"/>
              </w:rPr>
              <w:t>201,997,354</w:t>
            </w:r>
            <w:r>
              <w:rPr>
                <w:rFonts w:ascii="Arial"/>
                <w:sz w:val="20"/>
              </w:rPr>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2"/>
              <w:jc w:val="right"/>
              <w:rPr>
                <w:rFonts w:ascii="Arial" w:hAnsi="Arial" w:cs="Arial" w:eastAsia="Arial" w:hint="default"/>
                <w:sz w:val="20"/>
                <w:szCs w:val="20"/>
              </w:rPr>
            </w:pPr>
            <w:r>
              <w:rPr>
                <w:rFonts w:ascii="Arial"/>
                <w:spacing w:val="-1"/>
                <w:sz w:val="20"/>
              </w:rPr>
              <w:t>217,906,006</w:t>
            </w:r>
            <w:r>
              <w:rPr>
                <w:rFonts w:ascii="Arial"/>
                <w:sz w:val="20"/>
              </w:rPr>
            </w:r>
          </w:p>
        </w:tc>
      </w:tr>
      <w:tr>
        <w:trPr>
          <w:trHeight w:val="260" w:hRule="exact"/>
        </w:trPr>
        <w:tc>
          <w:tcPr>
            <w:tcW w:w="3662" w:type="dxa"/>
            <w:tcBorders>
              <w:top w:val="nil" w:sz="6" w:space="0" w:color="auto"/>
              <w:left w:val="nil" w:sz="6" w:space="0" w:color="auto"/>
              <w:bottom w:val="nil" w:sz="6" w:space="0" w:color="auto"/>
              <w:right w:val="nil" w:sz="6" w:space="0" w:color="auto"/>
            </w:tcBorders>
          </w:tcPr>
          <w:p>
            <w:pPr>
              <w:pStyle w:val="TableParagraph"/>
              <w:spacing w:line="226" w:lineRule="exact"/>
              <w:ind w:left="420" w:right="0"/>
              <w:jc w:val="left"/>
              <w:rPr>
                <w:rFonts w:ascii="黑体" w:hAnsi="黑体" w:cs="黑体" w:eastAsia="黑体" w:hint="default"/>
                <w:sz w:val="20"/>
                <w:szCs w:val="20"/>
              </w:rPr>
            </w:pPr>
            <w:r>
              <w:rPr>
                <w:rFonts w:ascii="黑体" w:hAnsi="黑体" w:cs="黑体" w:eastAsia="黑体" w:hint="default"/>
                <w:sz w:val="20"/>
                <w:szCs w:val="20"/>
              </w:rPr>
              <w:t>减：营业外支出</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69" w:right="0"/>
              <w:jc w:val="center"/>
              <w:rPr>
                <w:rFonts w:ascii="Arial" w:hAnsi="Arial" w:cs="Arial" w:eastAsia="Arial" w:hint="default"/>
                <w:sz w:val="20"/>
                <w:szCs w:val="20"/>
              </w:rPr>
            </w:pPr>
            <w:r>
              <w:rPr>
                <w:rFonts w:ascii="Arial"/>
                <w:sz w:val="20"/>
              </w:rPr>
              <w:t>36</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66"/>
              <w:jc w:val="right"/>
              <w:rPr>
                <w:rFonts w:ascii="Arial" w:hAnsi="Arial" w:cs="Arial" w:eastAsia="Arial" w:hint="default"/>
                <w:sz w:val="20"/>
                <w:szCs w:val="20"/>
              </w:rPr>
            </w:pPr>
            <w:r>
              <w:rPr>
                <w:rFonts w:ascii="Arial"/>
                <w:spacing w:val="-1"/>
                <w:sz w:val="20"/>
              </w:rPr>
              <w:t>1,188,184</w:t>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
              <w:jc w:val="right"/>
              <w:rPr>
                <w:rFonts w:ascii="Arial" w:hAnsi="Arial" w:cs="Arial" w:eastAsia="Arial" w:hint="default"/>
                <w:sz w:val="20"/>
                <w:szCs w:val="20"/>
              </w:rPr>
            </w:pPr>
            <w:r>
              <w:rPr>
                <w:rFonts w:ascii="Arial"/>
                <w:spacing w:val="-1"/>
                <w:w w:val="95"/>
                <w:sz w:val="20"/>
              </w:rPr>
              <w:t>916,400</w:t>
            </w:r>
            <w:r>
              <w:rPr>
                <w:rFonts w:ascii="Arial"/>
                <w:sz w:val="20"/>
              </w:rPr>
            </w:r>
          </w:p>
        </w:tc>
      </w:tr>
      <w:tr>
        <w:trPr>
          <w:trHeight w:val="390" w:hRule="exact"/>
        </w:trPr>
        <w:tc>
          <w:tcPr>
            <w:tcW w:w="3662" w:type="dxa"/>
            <w:tcBorders>
              <w:top w:val="nil" w:sz="6" w:space="0" w:color="auto"/>
              <w:left w:val="nil" w:sz="6" w:space="0" w:color="auto"/>
              <w:bottom w:val="nil" w:sz="6" w:space="0" w:color="auto"/>
              <w:right w:val="nil" w:sz="6" w:space="0" w:color="auto"/>
            </w:tcBorders>
          </w:tcPr>
          <w:p>
            <w:pPr>
              <w:pStyle w:val="TableParagraph"/>
              <w:spacing w:line="224" w:lineRule="exact"/>
              <w:ind w:left="811" w:right="0"/>
              <w:jc w:val="left"/>
              <w:rPr>
                <w:rFonts w:ascii="黑体" w:hAnsi="黑体" w:cs="黑体" w:eastAsia="黑体" w:hint="default"/>
                <w:sz w:val="20"/>
                <w:szCs w:val="20"/>
              </w:rPr>
            </w:pPr>
            <w:r>
              <w:rPr>
                <w:rFonts w:ascii="黑体" w:hAnsi="黑体" w:cs="黑体" w:eastAsia="黑体" w:hint="default"/>
                <w:sz w:val="20"/>
                <w:szCs w:val="20"/>
              </w:rPr>
              <w:t>其中：非流动资产处置损失</w:t>
            </w:r>
          </w:p>
        </w:tc>
        <w:tc>
          <w:tcPr>
            <w:tcW w:w="1657"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tabs>
                <w:tab w:pos="561" w:val="left" w:leader="none"/>
              </w:tabs>
              <w:spacing w:line="240" w:lineRule="auto" w:before="8"/>
              <w:ind w:right="266"/>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sz w:val="20"/>
                <w:u w:val="single" w:color="000000"/>
              </w:rPr>
              <w:t>231,275</w:t>
            </w:r>
            <w:r>
              <w:rPr>
                <w:rFonts w:ascii="Arial"/>
                <w:spacing w:val="-1"/>
                <w:sz w:val="20"/>
              </w:rPr>
            </w:r>
          </w:p>
        </w:tc>
        <w:tc>
          <w:tcPr>
            <w:tcW w:w="1545" w:type="dxa"/>
            <w:tcBorders>
              <w:top w:val="nil" w:sz="6" w:space="0" w:color="auto"/>
              <w:left w:val="nil" w:sz="6" w:space="0" w:color="auto"/>
              <w:bottom w:val="nil" w:sz="6" w:space="0" w:color="auto"/>
              <w:right w:val="nil" w:sz="6" w:space="0" w:color="auto"/>
            </w:tcBorders>
          </w:tcPr>
          <w:p>
            <w:pPr>
              <w:pStyle w:val="TableParagraph"/>
              <w:tabs>
                <w:tab w:pos="501" w:val="left" w:leader="none"/>
              </w:tabs>
              <w:spacing w:line="240" w:lineRule="auto" w:before="8"/>
              <w:ind w:right="1"/>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sz w:val="20"/>
                <w:u w:val="single" w:color="000000"/>
              </w:rPr>
              <w:t>499,016</w:t>
            </w:r>
            <w:r>
              <w:rPr>
                <w:rFonts w:ascii="Arial"/>
                <w:spacing w:val="-1"/>
                <w:sz w:val="20"/>
              </w:rPr>
            </w:r>
          </w:p>
        </w:tc>
      </w:tr>
      <w:tr>
        <w:trPr>
          <w:trHeight w:val="518" w:hRule="exact"/>
        </w:trPr>
        <w:tc>
          <w:tcPr>
            <w:tcW w:w="366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0"/>
              <w:jc w:val="left"/>
              <w:rPr>
                <w:rFonts w:ascii="黑体" w:hAnsi="黑体" w:cs="黑体" w:eastAsia="黑体" w:hint="default"/>
                <w:sz w:val="20"/>
                <w:szCs w:val="20"/>
              </w:rPr>
            </w:pPr>
            <w:r>
              <w:rPr>
                <w:rFonts w:ascii="黑体" w:hAnsi="黑体" w:cs="黑体" w:eastAsia="黑体" w:hint="default"/>
                <w:sz w:val="20"/>
                <w:szCs w:val="20"/>
              </w:rPr>
              <w:t>三、利润总额</w:t>
            </w:r>
          </w:p>
        </w:tc>
        <w:tc>
          <w:tcPr>
            <w:tcW w:w="1657"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266"/>
              <w:jc w:val="right"/>
              <w:rPr>
                <w:rFonts w:ascii="Arial" w:hAnsi="Arial" w:cs="Arial" w:eastAsia="Arial" w:hint="default"/>
                <w:sz w:val="20"/>
                <w:szCs w:val="20"/>
              </w:rPr>
            </w:pPr>
            <w:r>
              <w:rPr>
                <w:rFonts w:ascii="Arial"/>
                <w:spacing w:val="-1"/>
                <w:sz w:val="20"/>
              </w:rPr>
              <w:t>460,792,882</w:t>
            </w:r>
            <w:r>
              <w:rPr>
                <w:rFonts w:ascii="Arial"/>
                <w:sz w:val="20"/>
              </w:rPr>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2"/>
              <w:jc w:val="right"/>
              <w:rPr>
                <w:rFonts w:ascii="Arial" w:hAnsi="Arial" w:cs="Arial" w:eastAsia="Arial" w:hint="default"/>
                <w:sz w:val="20"/>
                <w:szCs w:val="20"/>
              </w:rPr>
            </w:pPr>
            <w:r>
              <w:rPr>
                <w:rFonts w:ascii="Arial"/>
                <w:spacing w:val="-1"/>
                <w:sz w:val="20"/>
              </w:rPr>
              <w:t>532,690,980</w:t>
            </w:r>
            <w:r>
              <w:rPr>
                <w:rFonts w:ascii="Arial"/>
                <w:sz w:val="20"/>
              </w:rPr>
            </w:r>
          </w:p>
        </w:tc>
      </w:tr>
      <w:tr>
        <w:trPr>
          <w:trHeight w:val="518" w:hRule="exact"/>
        </w:trPr>
        <w:tc>
          <w:tcPr>
            <w:tcW w:w="3662" w:type="dxa"/>
            <w:tcBorders>
              <w:top w:val="nil" w:sz="6" w:space="0" w:color="auto"/>
              <w:left w:val="nil" w:sz="6" w:space="0" w:color="auto"/>
              <w:bottom w:val="nil" w:sz="6" w:space="0" w:color="auto"/>
              <w:right w:val="nil" w:sz="6" w:space="0" w:color="auto"/>
            </w:tcBorders>
          </w:tcPr>
          <w:p>
            <w:pPr>
              <w:pStyle w:val="TableParagraph"/>
              <w:spacing w:line="240" w:lineRule="auto" w:before="93"/>
              <w:ind w:left="420" w:right="0"/>
              <w:jc w:val="left"/>
              <w:rPr>
                <w:rFonts w:ascii="黑体" w:hAnsi="黑体" w:cs="黑体" w:eastAsia="黑体" w:hint="default"/>
                <w:sz w:val="20"/>
                <w:szCs w:val="20"/>
              </w:rPr>
            </w:pPr>
            <w:r>
              <w:rPr>
                <w:rFonts w:ascii="黑体" w:hAnsi="黑体" w:cs="黑体" w:eastAsia="黑体" w:hint="default"/>
                <w:sz w:val="20"/>
                <w:szCs w:val="20"/>
              </w:rPr>
              <w:t>减：所得税费用</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269" w:right="0"/>
              <w:jc w:val="center"/>
              <w:rPr>
                <w:rFonts w:ascii="Arial" w:hAnsi="Arial" w:cs="Arial" w:eastAsia="Arial" w:hint="default"/>
                <w:sz w:val="20"/>
                <w:szCs w:val="20"/>
              </w:rPr>
            </w:pPr>
            <w:r>
              <w:rPr>
                <w:rFonts w:ascii="Arial"/>
                <w:sz w:val="20"/>
              </w:rPr>
              <w:t>37</w:t>
            </w:r>
          </w:p>
        </w:tc>
        <w:tc>
          <w:tcPr>
            <w:tcW w:w="1730"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37"/>
              <w:ind w:right="266"/>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34,221,081</w:t>
            </w:r>
            <w:r>
              <w:rPr>
                <w:rFonts w:ascii="Arial"/>
                <w:spacing w:val="-1"/>
                <w:w w:val="95"/>
                <w:sz w:val="20"/>
              </w:rPr>
            </w:r>
            <w:r>
              <w:rPr>
                <w:rFonts w:ascii="Arial"/>
                <w:sz w:val="20"/>
              </w:rPr>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2"/>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5"/>
                <w:sz w:val="20"/>
                <w:u w:val="single" w:color="000000"/>
              </w:rPr>
              <w:t> </w:t>
            </w:r>
            <w:r>
              <w:rPr>
                <w:rFonts w:ascii="Arial"/>
                <w:spacing w:val="-1"/>
                <w:w w:val="95"/>
                <w:sz w:val="20"/>
                <w:u w:val="single" w:color="000000"/>
              </w:rPr>
              <w:t>45,985,075</w:t>
            </w:r>
            <w:r>
              <w:rPr>
                <w:rFonts w:ascii="Arial"/>
                <w:spacing w:val="-1"/>
                <w:w w:val="95"/>
                <w:sz w:val="20"/>
              </w:rPr>
            </w:r>
            <w:r>
              <w:rPr>
                <w:rFonts w:ascii="Arial"/>
                <w:sz w:val="20"/>
              </w:rPr>
            </w:r>
          </w:p>
        </w:tc>
      </w:tr>
      <w:tr>
        <w:trPr>
          <w:trHeight w:val="518" w:hRule="exact"/>
        </w:trPr>
        <w:tc>
          <w:tcPr>
            <w:tcW w:w="366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0"/>
              <w:jc w:val="left"/>
              <w:rPr>
                <w:rFonts w:ascii="黑体" w:hAnsi="黑体" w:cs="黑体" w:eastAsia="黑体" w:hint="default"/>
                <w:sz w:val="20"/>
                <w:szCs w:val="20"/>
              </w:rPr>
            </w:pPr>
            <w:r>
              <w:rPr>
                <w:rFonts w:ascii="黑体" w:hAnsi="黑体" w:cs="黑体" w:eastAsia="黑体" w:hint="default"/>
                <w:sz w:val="20"/>
                <w:szCs w:val="20"/>
              </w:rPr>
              <w:t>四、净利润</w:t>
            </w:r>
          </w:p>
        </w:tc>
        <w:tc>
          <w:tcPr>
            <w:tcW w:w="1657"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266"/>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  </w:t>
            </w:r>
            <w:r>
              <w:rPr>
                <w:rFonts w:ascii="Arial"/>
                <w:spacing w:val="-21"/>
                <w:sz w:val="20"/>
                <w:u w:val="thick" w:color="000000"/>
              </w:rPr>
              <w:t> </w:t>
            </w:r>
            <w:r>
              <w:rPr>
                <w:rFonts w:ascii="Arial"/>
                <w:spacing w:val="-1"/>
                <w:sz w:val="20"/>
                <w:u w:val="thick" w:color="000000"/>
              </w:rPr>
              <w:t>426,571,801</w:t>
            </w:r>
            <w:r>
              <w:rPr>
                <w:rFonts w:ascii="Arial"/>
                <w:spacing w:val="-1"/>
                <w:sz w:val="20"/>
              </w:rPr>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2"/>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pacing w:val="-11"/>
                <w:sz w:val="20"/>
                <w:u w:val="thick" w:color="000000"/>
              </w:rPr>
              <w:t> </w:t>
            </w:r>
            <w:r>
              <w:rPr>
                <w:rFonts w:ascii="Arial"/>
                <w:spacing w:val="-1"/>
                <w:sz w:val="20"/>
                <w:u w:val="thick" w:color="000000"/>
              </w:rPr>
              <w:t>486,705,905</w:t>
            </w:r>
            <w:r>
              <w:rPr>
                <w:rFonts w:ascii="Arial"/>
                <w:spacing w:val="-1"/>
                <w:sz w:val="20"/>
              </w:rPr>
            </w:r>
            <w:r>
              <w:rPr>
                <w:rFonts w:ascii="Arial"/>
                <w:sz w:val="20"/>
              </w:rPr>
            </w:r>
          </w:p>
        </w:tc>
      </w:tr>
      <w:tr>
        <w:trPr>
          <w:trHeight w:val="515" w:hRule="exact"/>
        </w:trPr>
        <w:tc>
          <w:tcPr>
            <w:tcW w:w="366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0"/>
              <w:jc w:val="left"/>
              <w:rPr>
                <w:rFonts w:ascii="黑体" w:hAnsi="黑体" w:cs="黑体" w:eastAsia="黑体" w:hint="default"/>
                <w:sz w:val="20"/>
                <w:szCs w:val="20"/>
              </w:rPr>
            </w:pPr>
            <w:r>
              <w:rPr>
                <w:rFonts w:ascii="黑体" w:hAnsi="黑体" w:cs="黑体" w:eastAsia="黑体" w:hint="default"/>
                <w:sz w:val="20"/>
                <w:szCs w:val="20"/>
              </w:rPr>
              <w:t>五、每股收益</w:t>
            </w:r>
          </w:p>
        </w:tc>
        <w:tc>
          <w:tcPr>
            <w:tcW w:w="1657"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
        </w:tc>
        <w:tc>
          <w:tcPr>
            <w:tcW w:w="1545" w:type="dxa"/>
            <w:tcBorders>
              <w:top w:val="nil" w:sz="6" w:space="0" w:color="auto"/>
              <w:left w:val="nil" w:sz="6" w:space="0" w:color="auto"/>
              <w:bottom w:val="nil" w:sz="6" w:space="0" w:color="auto"/>
              <w:right w:val="nil" w:sz="6" w:space="0" w:color="auto"/>
            </w:tcBorders>
          </w:tcPr>
          <w:p>
            <w:pPr/>
          </w:p>
        </w:tc>
      </w:tr>
      <w:tr>
        <w:trPr>
          <w:trHeight w:val="392" w:hRule="exact"/>
        </w:trPr>
        <w:tc>
          <w:tcPr>
            <w:tcW w:w="366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406" w:right="0"/>
              <w:jc w:val="left"/>
              <w:rPr>
                <w:rFonts w:ascii="黑体" w:hAnsi="黑体" w:cs="黑体" w:eastAsia="黑体" w:hint="default"/>
                <w:sz w:val="20"/>
                <w:szCs w:val="20"/>
              </w:rPr>
            </w:pPr>
            <w:r>
              <w:rPr>
                <w:rFonts w:ascii="黑体" w:hAnsi="黑体" w:cs="黑体" w:eastAsia="黑体" w:hint="default"/>
                <w:sz w:val="20"/>
                <w:szCs w:val="20"/>
              </w:rPr>
              <w:t>基本每股收益</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69" w:right="0"/>
              <w:jc w:val="center"/>
              <w:rPr>
                <w:rFonts w:ascii="Arial" w:hAnsi="Arial" w:cs="Arial" w:eastAsia="Arial" w:hint="default"/>
                <w:sz w:val="20"/>
                <w:szCs w:val="20"/>
              </w:rPr>
            </w:pPr>
            <w:r>
              <w:rPr>
                <w:rFonts w:ascii="Arial"/>
                <w:sz w:val="20"/>
              </w:rPr>
              <w:t>38</w:t>
            </w:r>
          </w:p>
        </w:tc>
        <w:tc>
          <w:tcPr>
            <w:tcW w:w="1730" w:type="dxa"/>
            <w:tcBorders>
              <w:top w:val="nil" w:sz="6" w:space="0" w:color="auto"/>
              <w:left w:val="nil" w:sz="6" w:space="0" w:color="auto"/>
              <w:bottom w:val="nil" w:sz="6" w:space="0" w:color="auto"/>
              <w:right w:val="nil" w:sz="6" w:space="0" w:color="auto"/>
            </w:tcBorders>
          </w:tcPr>
          <w:p>
            <w:pPr>
              <w:pStyle w:val="TableParagraph"/>
              <w:tabs>
                <w:tab w:pos="902" w:val="left" w:leader="none"/>
              </w:tabs>
              <w:spacing w:line="240" w:lineRule="auto" w:before="141"/>
              <w:ind w:right="264"/>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spacing w:val="-1"/>
                <w:w w:val="95"/>
                <w:sz w:val="20"/>
                <w:u w:val="thick" w:color="000000"/>
              </w:rPr>
              <w:t>0.44</w:t>
            </w:r>
            <w:r>
              <w:rPr>
                <w:rFonts w:ascii="Arial"/>
                <w:spacing w:val="-1"/>
                <w:w w:val="95"/>
                <w:sz w:val="20"/>
              </w:rPr>
            </w:r>
            <w:r>
              <w:rPr>
                <w:rFonts w:ascii="Arial"/>
                <w:sz w:val="20"/>
              </w:rPr>
            </w:r>
          </w:p>
        </w:tc>
        <w:tc>
          <w:tcPr>
            <w:tcW w:w="1545" w:type="dxa"/>
            <w:tcBorders>
              <w:top w:val="nil" w:sz="6" w:space="0" w:color="auto"/>
              <w:left w:val="nil" w:sz="6" w:space="0" w:color="auto"/>
              <w:bottom w:val="nil" w:sz="6" w:space="0" w:color="auto"/>
              <w:right w:val="nil" w:sz="6" w:space="0" w:color="auto"/>
            </w:tcBorders>
          </w:tcPr>
          <w:p>
            <w:pPr>
              <w:pStyle w:val="TableParagraph"/>
              <w:tabs>
                <w:tab w:pos="801" w:val="left" w:leader="none"/>
              </w:tabs>
              <w:spacing w:line="240" w:lineRule="auto" w:before="141"/>
              <w:ind w:right="2"/>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spacing w:val="-1"/>
                <w:w w:val="95"/>
                <w:sz w:val="20"/>
                <w:u w:val="thick" w:color="000000"/>
              </w:rPr>
              <w:t>0.50</w:t>
            </w:r>
            <w:r>
              <w:rPr>
                <w:rFonts w:ascii="Arial"/>
                <w:spacing w:val="-1"/>
                <w:w w:val="95"/>
                <w:sz w:val="20"/>
              </w:rPr>
            </w:r>
            <w:r>
              <w:rPr>
                <w:rFonts w:ascii="Arial"/>
                <w:sz w:val="20"/>
              </w:rPr>
            </w:r>
          </w:p>
        </w:tc>
      </w:tr>
      <w:tr>
        <w:trPr>
          <w:trHeight w:val="369" w:hRule="exact"/>
        </w:trPr>
        <w:tc>
          <w:tcPr>
            <w:tcW w:w="3662" w:type="dxa"/>
            <w:tcBorders>
              <w:top w:val="nil" w:sz="6" w:space="0" w:color="auto"/>
              <w:left w:val="nil" w:sz="6" w:space="0" w:color="auto"/>
              <w:bottom w:val="nil" w:sz="6" w:space="0" w:color="auto"/>
              <w:right w:val="nil" w:sz="6" w:space="0" w:color="auto"/>
            </w:tcBorders>
          </w:tcPr>
          <w:p>
            <w:pPr>
              <w:pStyle w:val="TableParagraph"/>
              <w:spacing w:line="226" w:lineRule="exact"/>
              <w:ind w:left="406" w:right="0"/>
              <w:jc w:val="left"/>
              <w:rPr>
                <w:rFonts w:ascii="黑体" w:hAnsi="黑体" w:cs="黑体" w:eastAsia="黑体" w:hint="default"/>
                <w:sz w:val="20"/>
                <w:szCs w:val="20"/>
              </w:rPr>
            </w:pPr>
            <w:r>
              <w:rPr>
                <w:rFonts w:ascii="黑体" w:hAnsi="黑体" w:cs="黑体" w:eastAsia="黑体" w:hint="default"/>
                <w:sz w:val="20"/>
                <w:szCs w:val="20"/>
              </w:rPr>
              <w:t>稀释每股收益</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7"/>
              <w:ind w:left="269" w:right="0"/>
              <w:jc w:val="center"/>
              <w:rPr>
                <w:rFonts w:ascii="Arial" w:hAnsi="Arial" w:cs="Arial" w:eastAsia="Arial" w:hint="default"/>
                <w:sz w:val="20"/>
                <w:szCs w:val="20"/>
              </w:rPr>
            </w:pPr>
            <w:r>
              <w:rPr>
                <w:rFonts w:ascii="Arial"/>
                <w:sz w:val="20"/>
              </w:rPr>
              <w:t>38</w:t>
            </w:r>
          </w:p>
        </w:tc>
        <w:tc>
          <w:tcPr>
            <w:tcW w:w="1730" w:type="dxa"/>
            <w:tcBorders>
              <w:top w:val="nil" w:sz="6" w:space="0" w:color="auto"/>
              <w:left w:val="nil" w:sz="6" w:space="0" w:color="auto"/>
              <w:bottom w:val="nil" w:sz="6" w:space="0" w:color="auto"/>
              <w:right w:val="nil" w:sz="6" w:space="0" w:color="auto"/>
            </w:tcBorders>
          </w:tcPr>
          <w:p>
            <w:pPr>
              <w:pStyle w:val="TableParagraph"/>
              <w:tabs>
                <w:tab w:pos="902" w:val="left" w:leader="none"/>
              </w:tabs>
              <w:spacing w:line="240" w:lineRule="auto" w:before="7"/>
              <w:ind w:right="264"/>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spacing w:val="-1"/>
                <w:w w:val="95"/>
                <w:sz w:val="20"/>
                <w:u w:val="thick" w:color="000000"/>
              </w:rPr>
              <w:t>0.44</w:t>
            </w:r>
            <w:r>
              <w:rPr>
                <w:rFonts w:ascii="Arial"/>
                <w:spacing w:val="-1"/>
                <w:w w:val="95"/>
                <w:sz w:val="20"/>
              </w:rPr>
            </w:r>
            <w:r>
              <w:rPr>
                <w:rFonts w:ascii="Arial"/>
                <w:sz w:val="20"/>
              </w:rPr>
            </w:r>
          </w:p>
        </w:tc>
        <w:tc>
          <w:tcPr>
            <w:tcW w:w="1545" w:type="dxa"/>
            <w:tcBorders>
              <w:top w:val="nil" w:sz="6" w:space="0" w:color="auto"/>
              <w:left w:val="nil" w:sz="6" w:space="0" w:color="auto"/>
              <w:bottom w:val="nil" w:sz="6" w:space="0" w:color="auto"/>
              <w:right w:val="nil" w:sz="6" w:space="0" w:color="auto"/>
            </w:tcBorders>
          </w:tcPr>
          <w:p>
            <w:pPr>
              <w:pStyle w:val="TableParagraph"/>
              <w:tabs>
                <w:tab w:pos="801" w:val="left" w:leader="none"/>
              </w:tabs>
              <w:spacing w:line="240" w:lineRule="auto" w:before="7"/>
              <w:ind w:right="2"/>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spacing w:val="-1"/>
                <w:w w:val="95"/>
                <w:sz w:val="20"/>
                <w:u w:val="thick" w:color="000000"/>
              </w:rPr>
              <w:t>0.50</w:t>
            </w:r>
            <w:r>
              <w:rPr>
                <w:rFonts w:ascii="Arial"/>
                <w:spacing w:val="-1"/>
                <w:w w:val="95"/>
                <w:sz w:val="20"/>
              </w:rPr>
            </w:r>
            <w:r>
              <w:rPr>
                <w:rFonts w:ascii="Arial"/>
                <w:sz w:val="20"/>
              </w:rPr>
            </w:r>
          </w:p>
        </w:tc>
      </w:tr>
      <w:tr>
        <w:trPr>
          <w:trHeight w:val="382" w:hRule="exact"/>
        </w:trPr>
        <w:tc>
          <w:tcPr>
            <w:tcW w:w="366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0"/>
              <w:jc w:val="left"/>
              <w:rPr>
                <w:rFonts w:ascii="黑体" w:hAnsi="黑体" w:cs="黑体" w:eastAsia="黑体" w:hint="default"/>
                <w:sz w:val="20"/>
                <w:szCs w:val="20"/>
              </w:rPr>
            </w:pPr>
            <w:r>
              <w:rPr>
                <w:rFonts w:ascii="黑体" w:hAnsi="黑体" w:cs="黑体" w:eastAsia="黑体" w:hint="default"/>
                <w:sz w:val="20"/>
                <w:szCs w:val="20"/>
              </w:rPr>
              <w:t>其他综合收益</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67" w:right="0"/>
              <w:jc w:val="center"/>
              <w:rPr>
                <w:rFonts w:ascii="Arial" w:hAnsi="Arial" w:cs="Arial" w:eastAsia="Arial" w:hint="default"/>
                <w:sz w:val="20"/>
                <w:szCs w:val="20"/>
              </w:rPr>
            </w:pPr>
            <w:r>
              <w:rPr>
                <w:rFonts w:ascii="黑体" w:hAnsi="黑体" w:cs="黑体" w:eastAsia="黑体" w:hint="default"/>
                <w:sz w:val="20"/>
                <w:szCs w:val="20"/>
              </w:rPr>
              <w:t>附注五、</w:t>
            </w:r>
            <w:r>
              <w:rPr>
                <w:rFonts w:ascii="Arial" w:hAnsi="Arial" w:cs="Arial" w:eastAsia="Arial" w:hint="default"/>
                <w:sz w:val="20"/>
                <w:szCs w:val="20"/>
              </w:rPr>
              <w:t>46</w:t>
            </w:r>
          </w:p>
        </w:tc>
        <w:tc>
          <w:tcPr>
            <w:tcW w:w="1730" w:type="dxa"/>
            <w:tcBorders>
              <w:top w:val="nil" w:sz="6" w:space="0" w:color="auto"/>
              <w:left w:val="nil" w:sz="6" w:space="0" w:color="auto"/>
              <w:bottom w:val="nil" w:sz="6" w:space="0" w:color="auto"/>
              <w:right w:val="nil" w:sz="6" w:space="0" w:color="auto"/>
            </w:tcBorders>
          </w:tcPr>
          <w:p>
            <w:pPr>
              <w:pStyle w:val="TableParagraph"/>
              <w:tabs>
                <w:tab w:pos="1211" w:val="left" w:leader="none"/>
              </w:tabs>
              <w:spacing w:line="240" w:lineRule="auto" w:before="109"/>
              <w:ind w:right="262"/>
              <w:jc w:val="right"/>
              <w:rPr>
                <w:rFonts w:ascii="Arial" w:hAnsi="Arial" w:cs="Arial" w:eastAsia="Arial" w:hint="default"/>
                <w:sz w:val="22"/>
                <w:szCs w:val="22"/>
              </w:rPr>
            </w:pPr>
            <w:r>
              <w:rPr>
                <w:rFonts w:ascii="Arial"/>
                <w:w w:val="100"/>
                <w:sz w:val="22"/>
              </w:rPr>
            </w:r>
            <w:r>
              <w:rPr>
                <w:rFonts w:ascii="Arial"/>
                <w:w w:val="100"/>
                <w:sz w:val="22"/>
                <w:u w:val="thick" w:color="000000"/>
              </w:rPr>
              <w:t> </w:t>
            </w:r>
            <w:r>
              <w:rPr>
                <w:rFonts w:ascii="Arial"/>
                <w:sz w:val="22"/>
                <w:u w:val="thick" w:color="000000"/>
              </w:rPr>
              <w:tab/>
              <w:t>-</w:t>
            </w:r>
            <w:r>
              <w:rPr>
                <w:rFonts w:ascii="Arial"/>
                <w:sz w:val="22"/>
              </w:rPr>
            </w:r>
          </w:p>
        </w:tc>
        <w:tc>
          <w:tcPr>
            <w:tcW w:w="1545" w:type="dxa"/>
            <w:tcBorders>
              <w:top w:val="nil" w:sz="6" w:space="0" w:color="auto"/>
              <w:left w:val="nil" w:sz="6" w:space="0" w:color="auto"/>
              <w:bottom w:val="nil" w:sz="6" w:space="0" w:color="auto"/>
              <w:right w:val="nil" w:sz="6" w:space="0" w:color="auto"/>
            </w:tcBorders>
          </w:tcPr>
          <w:p>
            <w:pPr>
              <w:pStyle w:val="TableParagraph"/>
              <w:tabs>
                <w:tab w:pos="1127" w:val="left" w:leader="none"/>
              </w:tabs>
              <w:spacing w:line="240" w:lineRule="auto" w:before="127"/>
              <w:ind w:right="0"/>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w w:val="95"/>
                <w:sz w:val="20"/>
                <w:u w:val="thick" w:color="000000"/>
              </w:rPr>
              <w:t>-</w:t>
            </w:r>
            <w:r>
              <w:rPr>
                <w:rFonts w:ascii="Arial"/>
                <w:w w:val="95"/>
                <w:sz w:val="20"/>
              </w:rPr>
            </w:r>
            <w:r>
              <w:rPr>
                <w:rFonts w:ascii="Arial"/>
                <w:sz w:val="20"/>
              </w:rPr>
            </w:r>
          </w:p>
        </w:tc>
      </w:tr>
      <w:tr>
        <w:trPr>
          <w:trHeight w:val="231" w:hRule="exact"/>
        </w:trPr>
        <w:tc>
          <w:tcPr>
            <w:tcW w:w="3662" w:type="dxa"/>
            <w:tcBorders>
              <w:top w:val="nil" w:sz="6" w:space="0" w:color="auto"/>
              <w:left w:val="nil" w:sz="6" w:space="0" w:color="auto"/>
              <w:bottom w:val="nil" w:sz="6" w:space="0" w:color="auto"/>
              <w:right w:val="nil" w:sz="6" w:space="0" w:color="auto"/>
            </w:tcBorders>
          </w:tcPr>
          <w:p>
            <w:pPr>
              <w:pStyle w:val="TableParagraph"/>
              <w:spacing w:line="224" w:lineRule="exact"/>
              <w:ind w:right="0"/>
              <w:jc w:val="left"/>
              <w:rPr>
                <w:rFonts w:ascii="黑体" w:hAnsi="黑体" w:cs="黑体" w:eastAsia="黑体" w:hint="default"/>
                <w:sz w:val="20"/>
                <w:szCs w:val="20"/>
              </w:rPr>
            </w:pPr>
            <w:r>
              <w:rPr>
                <w:rFonts w:ascii="黑体" w:hAnsi="黑体" w:cs="黑体" w:eastAsia="黑体" w:hint="default"/>
                <w:sz w:val="20"/>
                <w:szCs w:val="20"/>
              </w:rPr>
              <w:t>综合收益总额</w:t>
            </w:r>
          </w:p>
        </w:tc>
        <w:tc>
          <w:tcPr>
            <w:tcW w:w="1657" w:type="dxa"/>
            <w:tcBorders>
              <w:top w:val="nil" w:sz="6" w:space="0" w:color="auto"/>
              <w:left w:val="nil" w:sz="6" w:space="0" w:color="auto"/>
              <w:bottom w:val="nil" w:sz="6" w:space="0" w:color="auto"/>
              <w:right w:val="nil" w:sz="6" w:space="0" w:color="auto"/>
            </w:tcBorders>
          </w:tcPr>
          <w:p>
            <w:pP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6"/>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 </w:t>
            </w:r>
            <w:r>
              <w:rPr>
                <w:rFonts w:ascii="Arial"/>
                <w:spacing w:val="15"/>
                <w:sz w:val="20"/>
                <w:u w:val="thick" w:color="000000"/>
              </w:rPr>
              <w:t> </w:t>
            </w:r>
            <w:r>
              <w:rPr>
                <w:rFonts w:ascii="Arial"/>
                <w:spacing w:val="-1"/>
                <w:w w:val="95"/>
                <w:sz w:val="20"/>
                <w:u w:val="thick" w:color="000000"/>
              </w:rPr>
              <w:t>426,571,801</w:t>
            </w:r>
            <w:r>
              <w:rPr>
                <w:rFonts w:ascii="Arial"/>
                <w:spacing w:val="-1"/>
                <w:w w:val="95"/>
                <w:sz w:val="20"/>
              </w:rPr>
            </w:r>
            <w:r>
              <w:rPr>
                <w:rFonts w:ascii="Arial"/>
                <w:sz w:val="20"/>
              </w:rPr>
            </w:r>
          </w:p>
        </w:tc>
        <w:tc>
          <w:tcPr>
            <w:tcW w:w="154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pacing w:val="-30"/>
                <w:sz w:val="20"/>
                <w:u w:val="thick" w:color="000000"/>
              </w:rPr>
              <w:t> </w:t>
            </w:r>
            <w:r>
              <w:rPr>
                <w:rFonts w:ascii="Arial"/>
                <w:spacing w:val="-1"/>
                <w:sz w:val="20"/>
                <w:u w:val="thick" w:color="000000"/>
              </w:rPr>
              <w:t>486,705,905</w:t>
            </w:r>
            <w:r>
              <w:rPr>
                <w:rFonts w:ascii="Arial"/>
                <w:spacing w:val="-1"/>
                <w:sz w:val="20"/>
              </w:rPr>
            </w:r>
          </w:p>
        </w:tc>
      </w:tr>
    </w:tbl>
    <w:p>
      <w:pPr>
        <w:spacing w:after="0" w:line="240" w:lineRule="auto"/>
        <w:jc w:val="right"/>
        <w:rPr>
          <w:rFonts w:ascii="Arial" w:hAnsi="Arial" w:cs="Arial" w:eastAsia="Arial" w:hint="default"/>
          <w:sz w:val="20"/>
          <w:szCs w:val="20"/>
        </w:rPr>
        <w:sectPr>
          <w:pgSz w:w="11910" w:h="16850"/>
          <w:pgMar w:header="957" w:footer="823" w:top="1160" w:bottom="1020" w:left="1600" w:right="1500"/>
        </w:sectPr>
      </w:pPr>
    </w:p>
    <w:p>
      <w:pPr>
        <w:pStyle w:val="Heading4"/>
        <w:spacing w:line="292" w:lineRule="auto"/>
        <w:ind w:left="7104" w:right="6409" w:hanging="500"/>
        <w:jc w:val="left"/>
        <w:rPr>
          <w:b w:val="0"/>
          <w:bCs w:val="0"/>
        </w:rPr>
      </w:pPr>
      <w:r>
        <w:rPr/>
        <w:t>公司股东权益变动表</w:t>
      </w:r>
      <w:r>
        <w:rPr>
          <w:w w:val="99"/>
        </w:rPr>
        <w:t> </w:t>
      </w:r>
      <w:r>
        <w:rPr>
          <w:rFonts w:ascii="Arial" w:hAnsi="Arial" w:cs="Arial" w:eastAsia="Arial" w:hint="default"/>
        </w:rPr>
        <w:t>2012</w:t>
      </w:r>
      <w:r>
        <w:rPr>
          <w:rFonts w:ascii="Arial" w:hAnsi="Arial" w:cs="Arial" w:eastAsia="Arial" w:hint="default"/>
          <w:spacing w:val="-8"/>
        </w:rPr>
        <w:t> </w:t>
      </w:r>
      <w:r>
        <w:rPr/>
        <w:t>年度</w:t>
      </w:r>
      <w:r>
        <w:rPr>
          <w:w w:val="99"/>
        </w:rPr>
        <w:t> </w:t>
      </w:r>
      <w:r>
        <w:rPr/>
        <w:t>人民币元</w:t>
      </w:r>
      <w:r>
        <w:rPr>
          <w:b w:val="0"/>
          <w:bCs w:val="0"/>
        </w:rPr>
      </w:r>
    </w:p>
    <w:p>
      <w:pPr>
        <w:spacing w:line="240" w:lineRule="auto" w:before="6"/>
        <w:rPr>
          <w:rFonts w:ascii="黑体" w:hAnsi="黑体" w:cs="黑体" w:eastAsia="黑体" w:hint="default"/>
          <w:b/>
          <w:bCs/>
          <w:sz w:val="21"/>
          <w:szCs w:val="21"/>
        </w:rPr>
      </w:pPr>
    </w:p>
    <w:p>
      <w:pPr>
        <w:spacing w:line="33" w:lineRule="exact"/>
        <w:ind w:left="291" w:right="0" w:firstLine="0"/>
        <w:rPr>
          <w:rFonts w:ascii="黑体" w:hAnsi="黑体" w:cs="黑体" w:eastAsia="黑体" w:hint="default"/>
          <w:sz w:val="3"/>
          <w:szCs w:val="3"/>
        </w:rPr>
      </w:pPr>
      <w:r>
        <w:rPr>
          <w:rFonts w:ascii="黑体" w:hAnsi="黑体" w:cs="黑体" w:eastAsia="黑体" w:hint="default"/>
          <w:position w:val="0"/>
          <w:sz w:val="3"/>
          <w:szCs w:val="3"/>
        </w:rPr>
        <w:pict>
          <v:group style="width:730.65pt;height:1.65pt;mso-position-horizontal-relative:char;mso-position-vertical-relative:line" coordorigin="0,0" coordsize="14613,33">
            <v:group style="position:absolute;left:8;top:8;width:14598;height:18" coordorigin="8,8" coordsize="14598,18">
              <v:shape style="position:absolute;left:8;top:8;width:14598;height:18" coordorigin="8,8" coordsize="14598,18" path="m8,25l14606,7e" filled="false" stroked="true" strokeweight=".75pt" strokecolor="#000000">
                <v:path arrowok="t"/>
              </v:shape>
            </v:group>
          </v:group>
        </w:pict>
      </w:r>
      <w:r>
        <w:rPr>
          <w:rFonts w:ascii="黑体" w:hAnsi="黑体" w:cs="黑体" w:eastAsia="黑体" w:hint="default"/>
          <w:position w:val="0"/>
          <w:sz w:val="3"/>
          <w:szCs w:val="3"/>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7"/>
        <w:rPr>
          <w:rFonts w:ascii="黑体" w:hAnsi="黑体" w:cs="黑体" w:eastAsia="黑体" w:hint="default"/>
          <w:b/>
          <w:bCs/>
          <w:sz w:val="15"/>
          <w:szCs w:val="15"/>
        </w:rPr>
      </w:pPr>
    </w:p>
    <w:p>
      <w:pPr>
        <w:pStyle w:val="BodyText"/>
        <w:spacing w:line="240" w:lineRule="auto" w:before="74"/>
        <w:ind w:left="0" w:right="179"/>
        <w:jc w:val="right"/>
        <w:rPr>
          <w:rFonts w:ascii="Arial" w:hAnsi="Arial" w:cs="Arial" w:eastAsia="Arial" w:hint="default"/>
        </w:rPr>
      </w:pPr>
      <w:r>
        <w:rPr/>
        <w:pict>
          <v:shape style="position:absolute;margin-left:46.63364pt;margin-top:-135.879486pt;width:737.05pt;height:292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31"/>
                    <w:gridCol w:w="1678"/>
                    <w:gridCol w:w="1446"/>
                    <w:gridCol w:w="382"/>
                    <w:gridCol w:w="1606"/>
                    <w:gridCol w:w="1610"/>
                    <w:gridCol w:w="1498"/>
                    <w:gridCol w:w="253"/>
                    <w:gridCol w:w="1455"/>
                    <w:gridCol w:w="82"/>
                  </w:tblGrid>
                  <w:tr>
                    <w:trPr>
                      <w:trHeight w:val="253" w:hRule="exact"/>
                    </w:trPr>
                    <w:tc>
                      <w:tcPr>
                        <w:tcW w:w="14741" w:type="dxa"/>
                        <w:gridSpan w:val="10"/>
                        <w:tcBorders>
                          <w:top w:val="nil" w:sz="6" w:space="0" w:color="auto"/>
                          <w:left w:val="nil" w:sz="6" w:space="0" w:color="auto"/>
                          <w:bottom w:val="nil" w:sz="6" w:space="0" w:color="auto"/>
                          <w:right w:val="nil" w:sz="6" w:space="0" w:color="auto"/>
                        </w:tcBorders>
                      </w:tcPr>
                      <w:p>
                        <w:pPr>
                          <w:pStyle w:val="TableParagraph"/>
                          <w:spacing w:line="214" w:lineRule="exact"/>
                          <w:ind w:left="9423" w:right="0"/>
                          <w:jc w:val="left"/>
                          <w:rPr>
                            <w:rFonts w:ascii="黑体" w:hAnsi="黑体" w:cs="黑体" w:eastAsia="黑体" w:hint="default"/>
                            <w:sz w:val="20"/>
                            <w:szCs w:val="20"/>
                          </w:rPr>
                        </w:pPr>
                        <w:r>
                          <w:rPr>
                            <w:rFonts w:ascii="Arial" w:hAnsi="Arial" w:cs="Arial" w:eastAsia="Arial" w:hint="default"/>
                            <w:b/>
                            <w:bCs/>
                            <w:sz w:val="20"/>
                            <w:szCs w:val="20"/>
                          </w:rPr>
                          <w:t>2012</w:t>
                        </w:r>
                        <w:r>
                          <w:rPr>
                            <w:rFonts w:ascii="黑体" w:hAnsi="黑体" w:cs="黑体" w:eastAsia="黑体" w:hint="default"/>
                            <w:b/>
                            <w:bCs/>
                            <w:sz w:val="20"/>
                            <w:szCs w:val="20"/>
                          </w:rPr>
                          <w:t>年</w:t>
                        </w:r>
                        <w:r>
                          <w:rPr>
                            <w:rFonts w:ascii="黑体" w:hAnsi="黑体" w:cs="黑体" w:eastAsia="黑体" w:hint="default"/>
                            <w:sz w:val="20"/>
                            <w:szCs w:val="20"/>
                          </w:rPr>
                        </w:r>
                      </w:p>
                    </w:tc>
                  </w:tr>
                  <w:tr>
                    <w:trPr>
                      <w:trHeight w:val="416" w:hRule="exact"/>
                    </w:trPr>
                    <w:tc>
                      <w:tcPr>
                        <w:tcW w:w="4731" w:type="dxa"/>
                        <w:tcBorders>
                          <w:top w:val="nil" w:sz="6" w:space="0" w:color="auto"/>
                          <w:left w:val="nil" w:sz="6" w:space="0" w:color="auto"/>
                          <w:bottom w:val="nil" w:sz="6" w:space="0" w:color="auto"/>
                          <w:right w:val="nil" w:sz="6" w:space="0" w:color="auto"/>
                        </w:tcBorders>
                      </w:tcPr>
                      <w:p>
                        <w:pPr/>
                      </w:p>
                    </w:tc>
                    <w:tc>
                      <w:tcPr>
                        <w:tcW w:w="1678" w:type="dxa"/>
                        <w:tcBorders>
                          <w:top w:val="single" w:sz="4" w:space="0" w:color="000000"/>
                          <w:left w:val="nil" w:sz="6" w:space="0" w:color="auto"/>
                          <w:bottom w:val="nil" w:sz="6" w:space="0" w:color="auto"/>
                          <w:right w:val="nil" w:sz="6" w:space="0" w:color="auto"/>
                        </w:tcBorders>
                      </w:tcPr>
                      <w:p>
                        <w:pPr>
                          <w:pStyle w:val="TableParagraph"/>
                          <w:spacing w:line="230" w:lineRule="exact"/>
                          <w:ind w:right="267"/>
                          <w:jc w:val="right"/>
                          <w:rPr>
                            <w:rFonts w:ascii="黑体" w:hAnsi="黑体" w:cs="黑体" w:eastAsia="黑体" w:hint="default"/>
                            <w:sz w:val="20"/>
                            <w:szCs w:val="20"/>
                          </w:rPr>
                        </w:pPr>
                        <w:r>
                          <w:rPr>
                            <w:rFonts w:ascii="黑体" w:hAnsi="黑体" w:cs="黑体" w:eastAsia="黑体" w:hint="default"/>
                            <w:w w:val="95"/>
                            <w:sz w:val="20"/>
                            <w:szCs w:val="20"/>
                          </w:rPr>
                          <w:t>股本</w:t>
                        </w:r>
                        <w:r>
                          <w:rPr>
                            <w:rFonts w:ascii="黑体" w:hAnsi="黑体" w:cs="黑体" w:eastAsia="黑体" w:hint="default"/>
                            <w:sz w:val="20"/>
                            <w:szCs w:val="20"/>
                          </w:rPr>
                        </w:r>
                      </w:p>
                    </w:tc>
                    <w:tc>
                      <w:tcPr>
                        <w:tcW w:w="1446" w:type="dxa"/>
                        <w:tcBorders>
                          <w:top w:val="single" w:sz="4" w:space="0" w:color="000000"/>
                          <w:left w:val="nil" w:sz="6" w:space="0" w:color="auto"/>
                          <w:bottom w:val="nil" w:sz="6" w:space="0" w:color="auto"/>
                          <w:right w:val="nil" w:sz="6" w:space="0" w:color="auto"/>
                        </w:tcBorders>
                      </w:tcPr>
                      <w:p>
                        <w:pPr>
                          <w:pStyle w:val="TableParagraph"/>
                          <w:spacing w:line="230" w:lineRule="exact"/>
                          <w:ind w:right="26"/>
                          <w:jc w:val="right"/>
                          <w:rPr>
                            <w:rFonts w:ascii="黑体" w:hAnsi="黑体" w:cs="黑体" w:eastAsia="黑体" w:hint="default"/>
                            <w:sz w:val="20"/>
                            <w:szCs w:val="20"/>
                          </w:rPr>
                        </w:pPr>
                        <w:r>
                          <w:rPr>
                            <w:rFonts w:ascii="黑体" w:hAnsi="黑体" w:cs="黑体" w:eastAsia="黑体" w:hint="default"/>
                            <w:w w:val="95"/>
                            <w:sz w:val="20"/>
                            <w:szCs w:val="20"/>
                          </w:rPr>
                          <w:t>资本公积</w:t>
                        </w:r>
                        <w:r>
                          <w:rPr>
                            <w:rFonts w:ascii="黑体" w:hAnsi="黑体" w:cs="黑体" w:eastAsia="黑体" w:hint="default"/>
                            <w:sz w:val="20"/>
                            <w:szCs w:val="20"/>
                          </w:rPr>
                        </w:r>
                      </w:p>
                    </w:tc>
                    <w:tc>
                      <w:tcPr>
                        <w:tcW w:w="382" w:type="dxa"/>
                        <w:tcBorders>
                          <w:top w:val="single" w:sz="4" w:space="0" w:color="000000"/>
                          <w:left w:val="nil" w:sz="6" w:space="0" w:color="auto"/>
                          <w:bottom w:val="nil" w:sz="6" w:space="0" w:color="auto"/>
                          <w:right w:val="nil" w:sz="6" w:space="0" w:color="auto"/>
                        </w:tcBorders>
                      </w:tcPr>
                      <w:p>
                        <w:pPr/>
                      </w:p>
                    </w:tc>
                    <w:tc>
                      <w:tcPr>
                        <w:tcW w:w="1606" w:type="dxa"/>
                        <w:tcBorders>
                          <w:top w:val="single" w:sz="4" w:space="0" w:color="000000"/>
                          <w:left w:val="nil" w:sz="6" w:space="0" w:color="auto"/>
                          <w:bottom w:val="nil" w:sz="6" w:space="0" w:color="auto"/>
                          <w:right w:val="nil" w:sz="6" w:space="0" w:color="auto"/>
                        </w:tcBorders>
                      </w:tcPr>
                      <w:p>
                        <w:pPr>
                          <w:pStyle w:val="TableParagraph"/>
                          <w:spacing w:line="230" w:lineRule="exact"/>
                          <w:ind w:right="287"/>
                          <w:jc w:val="right"/>
                          <w:rPr>
                            <w:rFonts w:ascii="黑体" w:hAnsi="黑体" w:cs="黑体" w:eastAsia="黑体" w:hint="default"/>
                            <w:sz w:val="20"/>
                            <w:szCs w:val="20"/>
                          </w:rPr>
                        </w:pPr>
                        <w:r>
                          <w:rPr>
                            <w:rFonts w:ascii="黑体" w:hAnsi="黑体" w:cs="黑体" w:eastAsia="黑体" w:hint="default"/>
                            <w:w w:val="95"/>
                            <w:sz w:val="20"/>
                            <w:szCs w:val="20"/>
                          </w:rPr>
                          <w:t>减：库存股</w:t>
                        </w:r>
                        <w:r>
                          <w:rPr>
                            <w:rFonts w:ascii="黑体" w:hAnsi="黑体" w:cs="黑体" w:eastAsia="黑体" w:hint="default"/>
                            <w:sz w:val="20"/>
                            <w:szCs w:val="20"/>
                          </w:rPr>
                        </w:r>
                      </w:p>
                    </w:tc>
                    <w:tc>
                      <w:tcPr>
                        <w:tcW w:w="1610" w:type="dxa"/>
                        <w:tcBorders>
                          <w:top w:val="single" w:sz="4" w:space="0" w:color="000000"/>
                          <w:left w:val="nil" w:sz="6" w:space="0" w:color="auto"/>
                          <w:bottom w:val="nil" w:sz="6" w:space="0" w:color="auto"/>
                          <w:right w:val="nil" w:sz="6" w:space="0" w:color="auto"/>
                        </w:tcBorders>
                      </w:tcPr>
                      <w:p>
                        <w:pPr>
                          <w:pStyle w:val="TableParagraph"/>
                          <w:spacing w:line="230" w:lineRule="exact"/>
                          <w:ind w:right="213"/>
                          <w:jc w:val="right"/>
                          <w:rPr>
                            <w:rFonts w:ascii="黑体" w:hAnsi="黑体" w:cs="黑体" w:eastAsia="黑体" w:hint="default"/>
                            <w:sz w:val="20"/>
                            <w:szCs w:val="20"/>
                          </w:rPr>
                        </w:pPr>
                        <w:r>
                          <w:rPr>
                            <w:rFonts w:ascii="黑体" w:hAnsi="黑体" w:cs="黑体" w:eastAsia="黑体" w:hint="default"/>
                            <w:w w:val="95"/>
                            <w:sz w:val="20"/>
                            <w:szCs w:val="20"/>
                          </w:rPr>
                          <w:t>盈余公积</w:t>
                        </w:r>
                        <w:r>
                          <w:rPr>
                            <w:rFonts w:ascii="黑体" w:hAnsi="黑体" w:cs="黑体" w:eastAsia="黑体" w:hint="default"/>
                            <w:sz w:val="20"/>
                            <w:szCs w:val="20"/>
                          </w:rPr>
                        </w:r>
                      </w:p>
                    </w:tc>
                    <w:tc>
                      <w:tcPr>
                        <w:tcW w:w="1498" w:type="dxa"/>
                        <w:tcBorders>
                          <w:top w:val="single" w:sz="4" w:space="0" w:color="000000"/>
                          <w:left w:val="nil" w:sz="6" w:space="0" w:color="auto"/>
                          <w:bottom w:val="nil" w:sz="6" w:space="0" w:color="auto"/>
                          <w:right w:val="nil" w:sz="6" w:space="0" w:color="auto"/>
                        </w:tcBorders>
                      </w:tcPr>
                      <w:p>
                        <w:pPr>
                          <w:pStyle w:val="TableParagraph"/>
                          <w:spacing w:line="230" w:lineRule="exact"/>
                          <w:ind w:right="7"/>
                          <w:jc w:val="right"/>
                          <w:rPr>
                            <w:rFonts w:ascii="黑体" w:hAnsi="黑体" w:cs="黑体" w:eastAsia="黑体" w:hint="default"/>
                            <w:sz w:val="20"/>
                            <w:szCs w:val="20"/>
                          </w:rPr>
                        </w:pPr>
                        <w:r>
                          <w:rPr>
                            <w:rFonts w:ascii="黑体" w:hAnsi="黑体" w:cs="黑体" w:eastAsia="黑体" w:hint="default"/>
                            <w:w w:val="95"/>
                            <w:sz w:val="20"/>
                            <w:szCs w:val="20"/>
                          </w:rPr>
                          <w:t>未分配利润</w:t>
                        </w:r>
                        <w:r>
                          <w:rPr>
                            <w:rFonts w:ascii="黑体" w:hAnsi="黑体" w:cs="黑体" w:eastAsia="黑体" w:hint="default"/>
                            <w:sz w:val="20"/>
                            <w:szCs w:val="20"/>
                          </w:rPr>
                        </w:r>
                      </w:p>
                    </w:tc>
                    <w:tc>
                      <w:tcPr>
                        <w:tcW w:w="253" w:type="dxa"/>
                        <w:tcBorders>
                          <w:top w:val="single" w:sz="4" w:space="0" w:color="000000"/>
                          <w:left w:val="nil" w:sz="6" w:space="0" w:color="auto"/>
                          <w:bottom w:val="nil" w:sz="6" w:space="0" w:color="auto"/>
                          <w:right w:val="nil" w:sz="6" w:space="0" w:color="auto"/>
                        </w:tcBorders>
                      </w:tcPr>
                      <w:p>
                        <w:pPr/>
                      </w:p>
                    </w:tc>
                    <w:tc>
                      <w:tcPr>
                        <w:tcW w:w="1455" w:type="dxa"/>
                        <w:tcBorders>
                          <w:top w:val="single" w:sz="4" w:space="0" w:color="000000"/>
                          <w:left w:val="nil" w:sz="6" w:space="0" w:color="auto"/>
                          <w:bottom w:val="nil" w:sz="6" w:space="0" w:color="auto"/>
                          <w:right w:val="nil" w:sz="6" w:space="0" w:color="auto"/>
                        </w:tcBorders>
                      </w:tcPr>
                      <w:p>
                        <w:pPr>
                          <w:pStyle w:val="TableParagraph"/>
                          <w:spacing w:line="230" w:lineRule="exact"/>
                          <w:ind w:right="4"/>
                          <w:jc w:val="right"/>
                          <w:rPr>
                            <w:rFonts w:ascii="黑体" w:hAnsi="黑体" w:cs="黑体" w:eastAsia="黑体" w:hint="default"/>
                            <w:sz w:val="20"/>
                            <w:szCs w:val="20"/>
                          </w:rPr>
                        </w:pPr>
                        <w:r>
                          <w:rPr>
                            <w:rFonts w:ascii="黑体" w:hAnsi="黑体" w:cs="黑体" w:eastAsia="黑体" w:hint="default"/>
                            <w:w w:val="95"/>
                            <w:sz w:val="20"/>
                            <w:szCs w:val="20"/>
                          </w:rPr>
                          <w:t>股东权益合计</w:t>
                        </w:r>
                        <w:r>
                          <w:rPr>
                            <w:rFonts w:ascii="黑体" w:hAnsi="黑体" w:cs="黑体" w:eastAsia="黑体" w:hint="default"/>
                            <w:sz w:val="20"/>
                            <w:szCs w:val="20"/>
                          </w:rPr>
                        </w:r>
                      </w:p>
                    </w:tc>
                    <w:tc>
                      <w:tcPr>
                        <w:tcW w:w="82" w:type="dxa"/>
                        <w:tcBorders>
                          <w:top w:val="nil" w:sz="6" w:space="0" w:color="auto"/>
                          <w:left w:val="nil" w:sz="6" w:space="0" w:color="auto"/>
                          <w:bottom w:val="nil" w:sz="6" w:space="0" w:color="auto"/>
                          <w:right w:val="nil" w:sz="6" w:space="0" w:color="auto"/>
                        </w:tcBorders>
                      </w:tcPr>
                      <w:p>
                        <w:pPr/>
                      </w:p>
                    </w:tc>
                  </w:tr>
                  <w:tr>
                    <w:trPr>
                      <w:trHeight w:val="436" w:hRule="exact"/>
                    </w:trPr>
                    <w:tc>
                      <w:tcPr>
                        <w:tcW w:w="4731"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200" w:right="0"/>
                          <w:jc w:val="left"/>
                          <w:rPr>
                            <w:rFonts w:ascii="黑体" w:hAnsi="黑体" w:cs="黑体" w:eastAsia="黑体" w:hint="default"/>
                            <w:sz w:val="20"/>
                            <w:szCs w:val="20"/>
                          </w:rPr>
                        </w:pPr>
                        <w:r>
                          <w:rPr>
                            <w:rFonts w:ascii="黑体" w:hAnsi="黑体" w:cs="黑体" w:eastAsia="黑体" w:hint="default"/>
                            <w:sz w:val="20"/>
                            <w:szCs w:val="20"/>
                          </w:rPr>
                          <w:t>一、本年年初余额</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16"/>
                            <w:szCs w:val="16"/>
                          </w:rPr>
                        </w:pPr>
                      </w:p>
                      <w:p>
                        <w:pPr>
                          <w:pStyle w:val="TableParagraph"/>
                          <w:spacing w:line="240" w:lineRule="auto"/>
                          <w:ind w:right="268"/>
                          <w:jc w:val="right"/>
                          <w:rPr>
                            <w:rFonts w:ascii="Arial" w:hAnsi="Arial" w:cs="Arial" w:eastAsia="Arial" w:hint="default"/>
                            <w:sz w:val="20"/>
                            <w:szCs w:val="20"/>
                          </w:rPr>
                        </w:pPr>
                        <w:r>
                          <w:rPr>
                            <w:rFonts w:ascii="Arial"/>
                            <w:spacing w:val="-1"/>
                            <w:sz w:val="20"/>
                          </w:rPr>
                          <w:t>815,903,367</w:t>
                        </w:r>
                        <w:r>
                          <w:rPr>
                            <w:rFonts w:ascii="Arial"/>
                            <w:sz w:val="20"/>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16"/>
                            <w:szCs w:val="16"/>
                          </w:rPr>
                        </w:pPr>
                      </w:p>
                      <w:p>
                        <w:pPr>
                          <w:pStyle w:val="TableParagraph"/>
                          <w:spacing w:line="240" w:lineRule="auto"/>
                          <w:ind w:right="17"/>
                          <w:jc w:val="right"/>
                          <w:rPr>
                            <w:rFonts w:ascii="Arial" w:hAnsi="Arial" w:cs="Arial" w:eastAsia="Arial" w:hint="default"/>
                            <w:sz w:val="20"/>
                            <w:szCs w:val="20"/>
                          </w:rPr>
                        </w:pPr>
                        <w:r>
                          <w:rPr>
                            <w:rFonts w:ascii="Arial"/>
                            <w:spacing w:val="-1"/>
                            <w:sz w:val="20"/>
                          </w:rPr>
                          <w:t>765,185,629</w:t>
                        </w:r>
                        <w:r>
                          <w:rPr>
                            <w:rFonts w:ascii="Arial"/>
                            <w:sz w:val="20"/>
                          </w:rPr>
                        </w:r>
                      </w:p>
                    </w:tc>
                    <w:tc>
                      <w:tcPr>
                        <w:tcW w:w="382"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16"/>
                            <w:szCs w:val="16"/>
                          </w:rPr>
                        </w:pPr>
                      </w:p>
                      <w:p>
                        <w:pPr>
                          <w:pStyle w:val="TableParagraph"/>
                          <w:spacing w:line="240" w:lineRule="auto"/>
                          <w:ind w:right="284"/>
                          <w:jc w:val="right"/>
                          <w:rPr>
                            <w:rFonts w:ascii="Arial" w:hAnsi="Arial" w:cs="Arial" w:eastAsia="Arial" w:hint="default"/>
                            <w:sz w:val="20"/>
                            <w:szCs w:val="20"/>
                          </w:rPr>
                        </w:pPr>
                        <w:r>
                          <w:rPr>
                            <w:rFonts w:ascii="Arial"/>
                            <w:w w:val="99"/>
                            <w:sz w:val="20"/>
                          </w:rPr>
                          <w:t>-</w:t>
                        </w:r>
                        <w:r>
                          <w:rPr>
                            <w:rFonts w:ascii="Arial"/>
                            <w:sz w:val="20"/>
                          </w:rPr>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16"/>
                            <w:szCs w:val="16"/>
                          </w:rPr>
                        </w:pPr>
                      </w:p>
                      <w:p>
                        <w:pPr>
                          <w:pStyle w:val="TableParagraph"/>
                          <w:spacing w:line="240" w:lineRule="auto"/>
                          <w:ind w:right="214"/>
                          <w:jc w:val="right"/>
                          <w:rPr>
                            <w:rFonts w:ascii="Arial" w:hAnsi="Arial" w:cs="Arial" w:eastAsia="Arial" w:hint="default"/>
                            <w:sz w:val="20"/>
                            <w:szCs w:val="20"/>
                          </w:rPr>
                        </w:pPr>
                        <w:r>
                          <w:rPr>
                            <w:rFonts w:ascii="Arial"/>
                            <w:spacing w:val="-1"/>
                            <w:sz w:val="20"/>
                          </w:rPr>
                          <w:t>391,398,002</w:t>
                        </w:r>
                        <w:r>
                          <w:rPr>
                            <w:rFonts w:ascii="Arial"/>
                            <w:sz w:val="20"/>
                          </w:rPr>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16"/>
                            <w:szCs w:val="16"/>
                          </w:rPr>
                        </w:pPr>
                      </w:p>
                      <w:p>
                        <w:pPr>
                          <w:pStyle w:val="TableParagraph"/>
                          <w:spacing w:line="240" w:lineRule="auto"/>
                          <w:ind w:right="7"/>
                          <w:jc w:val="right"/>
                          <w:rPr>
                            <w:rFonts w:ascii="Arial" w:hAnsi="Arial" w:cs="Arial" w:eastAsia="Arial" w:hint="default"/>
                            <w:sz w:val="20"/>
                            <w:szCs w:val="20"/>
                          </w:rPr>
                        </w:pPr>
                        <w:r>
                          <w:rPr>
                            <w:rFonts w:ascii="Arial"/>
                            <w:spacing w:val="-1"/>
                            <w:sz w:val="20"/>
                          </w:rPr>
                          <w:t>934,605,979</w:t>
                        </w:r>
                        <w:r>
                          <w:rPr>
                            <w:rFonts w:ascii="Arial"/>
                            <w:sz w:val="20"/>
                          </w:rPr>
                        </w:r>
                      </w:p>
                    </w:tc>
                    <w:tc>
                      <w:tcPr>
                        <w:tcW w:w="253"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16"/>
                            <w:szCs w:val="16"/>
                          </w:rPr>
                        </w:pPr>
                      </w:p>
                      <w:p>
                        <w:pPr>
                          <w:pStyle w:val="TableParagraph"/>
                          <w:spacing w:line="240" w:lineRule="auto"/>
                          <w:ind w:right="11"/>
                          <w:jc w:val="right"/>
                          <w:rPr>
                            <w:rFonts w:ascii="Arial" w:hAnsi="Arial" w:cs="Arial" w:eastAsia="Arial" w:hint="default"/>
                            <w:sz w:val="20"/>
                            <w:szCs w:val="20"/>
                          </w:rPr>
                        </w:pPr>
                        <w:r>
                          <w:rPr>
                            <w:rFonts w:ascii="Arial"/>
                            <w:spacing w:val="-1"/>
                            <w:sz w:val="20"/>
                          </w:rPr>
                          <w:t>2,907,092,977</w:t>
                        </w:r>
                        <w:r>
                          <w:rPr>
                            <w:rFonts w:ascii="Arial"/>
                            <w:sz w:val="20"/>
                          </w:rPr>
                        </w:r>
                      </w:p>
                    </w:tc>
                    <w:tc>
                      <w:tcPr>
                        <w:tcW w:w="82" w:type="dxa"/>
                        <w:tcBorders>
                          <w:top w:val="nil" w:sz="6" w:space="0" w:color="auto"/>
                          <w:left w:val="nil" w:sz="6" w:space="0" w:color="auto"/>
                          <w:bottom w:val="nil" w:sz="6" w:space="0" w:color="auto"/>
                          <w:right w:val="nil" w:sz="6" w:space="0" w:color="auto"/>
                        </w:tcBorders>
                      </w:tcPr>
                      <w:p>
                        <w:pPr/>
                      </w:p>
                    </w:tc>
                  </w:tr>
                  <w:tr>
                    <w:trPr>
                      <w:trHeight w:val="264" w:hRule="exact"/>
                    </w:trPr>
                    <w:tc>
                      <w:tcPr>
                        <w:tcW w:w="4731" w:type="dxa"/>
                        <w:tcBorders>
                          <w:top w:val="nil" w:sz="6" w:space="0" w:color="auto"/>
                          <w:left w:val="nil" w:sz="6" w:space="0" w:color="auto"/>
                          <w:bottom w:val="nil" w:sz="6" w:space="0" w:color="auto"/>
                          <w:right w:val="nil" w:sz="6" w:space="0" w:color="auto"/>
                        </w:tcBorders>
                      </w:tcPr>
                      <w:p>
                        <w:pPr>
                          <w:pStyle w:val="TableParagraph"/>
                          <w:spacing w:line="223" w:lineRule="exact"/>
                          <w:ind w:left="200" w:right="0"/>
                          <w:jc w:val="left"/>
                          <w:rPr>
                            <w:rFonts w:ascii="黑体" w:hAnsi="黑体" w:cs="黑体" w:eastAsia="黑体" w:hint="default"/>
                            <w:sz w:val="20"/>
                            <w:szCs w:val="20"/>
                          </w:rPr>
                        </w:pPr>
                        <w:r>
                          <w:rPr>
                            <w:rFonts w:ascii="黑体" w:hAnsi="黑体" w:cs="黑体" w:eastAsia="黑体" w:hint="default"/>
                            <w:sz w:val="20"/>
                            <w:szCs w:val="20"/>
                          </w:rPr>
                          <w:t>二、本年增减变动金额</w:t>
                        </w:r>
                      </w:p>
                    </w:tc>
                    <w:tc>
                      <w:tcPr>
                        <w:tcW w:w="1678"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
                    </w:tc>
                    <w:tc>
                      <w:tcPr>
                        <w:tcW w:w="382"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c>
                      <w:tcPr>
                        <w:tcW w:w="253"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
                    </w:tc>
                    <w:tc>
                      <w:tcPr>
                        <w:tcW w:w="82" w:type="dxa"/>
                        <w:tcBorders>
                          <w:top w:val="nil" w:sz="6" w:space="0" w:color="auto"/>
                          <w:left w:val="nil" w:sz="6" w:space="0" w:color="auto"/>
                          <w:bottom w:val="nil" w:sz="6" w:space="0" w:color="auto"/>
                          <w:right w:val="nil" w:sz="6" w:space="0" w:color="auto"/>
                        </w:tcBorders>
                      </w:tcPr>
                      <w:p>
                        <w:pPr/>
                      </w:p>
                    </w:tc>
                  </w:tr>
                  <w:tr>
                    <w:trPr>
                      <w:trHeight w:val="286" w:hRule="exact"/>
                    </w:trPr>
                    <w:tc>
                      <w:tcPr>
                        <w:tcW w:w="4731"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黑体" w:hAnsi="黑体" w:cs="黑体" w:eastAsia="黑体" w:hint="default"/>
                            <w:sz w:val="20"/>
                            <w:szCs w:val="20"/>
                          </w:rPr>
                        </w:pPr>
                        <w:r>
                          <w:rPr>
                            <w:rFonts w:ascii="Arial" w:hAnsi="Arial" w:cs="Arial" w:eastAsia="Arial" w:hint="default"/>
                            <w:sz w:val="20"/>
                            <w:szCs w:val="20"/>
                          </w:rPr>
                          <w:t>(</w:t>
                        </w:r>
                        <w:r>
                          <w:rPr>
                            <w:rFonts w:ascii="黑体" w:hAnsi="黑体" w:cs="黑体" w:eastAsia="黑体" w:hint="default"/>
                            <w:sz w:val="20"/>
                            <w:szCs w:val="20"/>
                          </w:rPr>
                          <w:t>一</w:t>
                        </w:r>
                        <w:r>
                          <w:rPr>
                            <w:rFonts w:ascii="Arial" w:hAnsi="Arial" w:cs="Arial" w:eastAsia="Arial" w:hint="default"/>
                            <w:sz w:val="20"/>
                            <w:szCs w:val="20"/>
                          </w:rPr>
                          <w:t>)</w:t>
                        </w:r>
                        <w:r>
                          <w:rPr>
                            <w:rFonts w:ascii="Arial" w:hAnsi="Arial" w:cs="Arial" w:eastAsia="Arial" w:hint="default"/>
                            <w:spacing w:val="41"/>
                            <w:sz w:val="20"/>
                            <w:szCs w:val="20"/>
                          </w:rPr>
                          <w:t> </w:t>
                        </w:r>
                        <w:r>
                          <w:rPr>
                            <w:rFonts w:ascii="黑体" w:hAnsi="黑体" w:cs="黑体" w:eastAsia="黑体" w:hint="default"/>
                            <w:sz w:val="20"/>
                            <w:szCs w:val="20"/>
                          </w:rPr>
                          <w:t>净利润</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66"/>
                          <w:jc w:val="right"/>
                          <w:rPr>
                            <w:rFonts w:ascii="Arial" w:hAnsi="Arial" w:cs="Arial" w:eastAsia="Arial" w:hint="default"/>
                            <w:sz w:val="20"/>
                            <w:szCs w:val="20"/>
                          </w:rPr>
                        </w:pPr>
                        <w:r>
                          <w:rPr>
                            <w:rFonts w:ascii="Arial"/>
                            <w:w w:val="99"/>
                            <w:sz w:val="20"/>
                          </w:rPr>
                          <w:t>-</w:t>
                        </w:r>
                        <w:r>
                          <w:rPr>
                            <w:rFonts w:ascii="Arial"/>
                            <w:sz w:val="20"/>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5"/>
                          <w:jc w:val="right"/>
                          <w:rPr>
                            <w:rFonts w:ascii="Arial" w:hAnsi="Arial" w:cs="Arial" w:eastAsia="Arial" w:hint="default"/>
                            <w:sz w:val="20"/>
                            <w:szCs w:val="20"/>
                          </w:rPr>
                        </w:pPr>
                        <w:r>
                          <w:rPr>
                            <w:rFonts w:ascii="Arial"/>
                            <w:w w:val="99"/>
                            <w:sz w:val="20"/>
                          </w:rPr>
                          <w:t>-</w:t>
                        </w:r>
                        <w:r>
                          <w:rPr>
                            <w:rFonts w:ascii="Arial"/>
                            <w:sz w:val="20"/>
                          </w:rPr>
                        </w:r>
                      </w:p>
                    </w:tc>
                    <w:tc>
                      <w:tcPr>
                        <w:tcW w:w="382"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03"/>
                          <w:jc w:val="right"/>
                          <w:rPr>
                            <w:rFonts w:ascii="Arial" w:hAnsi="Arial" w:cs="Arial" w:eastAsia="Arial" w:hint="default"/>
                            <w:sz w:val="20"/>
                            <w:szCs w:val="20"/>
                          </w:rPr>
                        </w:pPr>
                        <w:r>
                          <w:rPr>
                            <w:rFonts w:ascii="Arial"/>
                            <w:w w:val="99"/>
                            <w:sz w:val="20"/>
                          </w:rPr>
                          <w:t>-</w:t>
                        </w:r>
                        <w:r>
                          <w:rPr>
                            <w:rFonts w:ascii="Arial"/>
                            <w:sz w:val="20"/>
                          </w:rPr>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12"/>
                          <w:jc w:val="right"/>
                          <w:rPr>
                            <w:rFonts w:ascii="Arial" w:hAnsi="Arial" w:cs="Arial" w:eastAsia="Arial" w:hint="default"/>
                            <w:sz w:val="20"/>
                            <w:szCs w:val="20"/>
                          </w:rPr>
                        </w:pPr>
                        <w:r>
                          <w:rPr>
                            <w:rFonts w:ascii="Arial"/>
                            <w:w w:val="99"/>
                            <w:sz w:val="20"/>
                          </w:rPr>
                          <w:t>-</w:t>
                        </w:r>
                        <w:r>
                          <w:rPr>
                            <w:rFonts w:ascii="Arial"/>
                            <w:sz w:val="20"/>
                          </w:rPr>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2"/>
                          <w:jc w:val="right"/>
                          <w:rPr>
                            <w:rFonts w:ascii="Arial" w:hAnsi="Arial" w:cs="Arial" w:eastAsia="Arial" w:hint="default"/>
                            <w:sz w:val="20"/>
                            <w:szCs w:val="20"/>
                          </w:rPr>
                        </w:pPr>
                        <w:r>
                          <w:rPr>
                            <w:rFonts w:ascii="Arial"/>
                            <w:spacing w:val="-1"/>
                            <w:sz w:val="20"/>
                          </w:rPr>
                          <w:t>426,571,801</w:t>
                        </w:r>
                        <w:r>
                          <w:rPr>
                            <w:rFonts w:ascii="Arial"/>
                            <w:sz w:val="20"/>
                          </w:rPr>
                        </w:r>
                      </w:p>
                    </w:tc>
                    <w:tc>
                      <w:tcPr>
                        <w:tcW w:w="253"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6"/>
                          <w:jc w:val="right"/>
                          <w:rPr>
                            <w:rFonts w:ascii="Arial" w:hAnsi="Arial" w:cs="Arial" w:eastAsia="Arial" w:hint="default"/>
                            <w:sz w:val="20"/>
                            <w:szCs w:val="20"/>
                          </w:rPr>
                        </w:pPr>
                        <w:r>
                          <w:rPr>
                            <w:rFonts w:ascii="Arial"/>
                            <w:spacing w:val="-1"/>
                            <w:sz w:val="20"/>
                          </w:rPr>
                          <w:t>426,571,801</w:t>
                        </w:r>
                        <w:r>
                          <w:rPr>
                            <w:rFonts w:ascii="Arial"/>
                            <w:sz w:val="20"/>
                          </w:rPr>
                        </w:r>
                      </w:p>
                    </w:tc>
                    <w:tc>
                      <w:tcPr>
                        <w:tcW w:w="82" w:type="dxa"/>
                        <w:tcBorders>
                          <w:top w:val="nil" w:sz="6" w:space="0" w:color="auto"/>
                          <w:left w:val="nil" w:sz="6" w:space="0" w:color="auto"/>
                          <w:bottom w:val="nil" w:sz="6" w:space="0" w:color="auto"/>
                          <w:right w:val="nil" w:sz="6" w:space="0" w:color="auto"/>
                        </w:tcBorders>
                      </w:tcPr>
                      <w:p>
                        <w:pPr/>
                      </w:p>
                    </w:tc>
                  </w:tr>
                  <w:tr>
                    <w:trPr>
                      <w:trHeight w:val="280" w:hRule="exact"/>
                    </w:trPr>
                    <w:tc>
                      <w:tcPr>
                        <w:tcW w:w="4731" w:type="dxa"/>
                        <w:tcBorders>
                          <w:top w:val="nil" w:sz="6" w:space="0" w:color="auto"/>
                          <w:left w:val="nil" w:sz="6" w:space="0" w:color="auto"/>
                          <w:bottom w:val="nil" w:sz="6" w:space="0" w:color="auto"/>
                          <w:right w:val="nil" w:sz="6" w:space="0" w:color="auto"/>
                        </w:tcBorders>
                      </w:tcPr>
                      <w:p>
                        <w:pPr>
                          <w:pStyle w:val="TableParagraph"/>
                          <w:spacing w:line="249" w:lineRule="exact"/>
                          <w:ind w:left="200" w:right="0"/>
                          <w:jc w:val="left"/>
                          <w:rPr>
                            <w:rFonts w:ascii="Arial" w:hAnsi="Arial" w:cs="Arial" w:eastAsia="Arial" w:hint="default"/>
                            <w:sz w:val="20"/>
                            <w:szCs w:val="20"/>
                          </w:rPr>
                        </w:pPr>
                        <w:r>
                          <w:rPr>
                            <w:rFonts w:ascii="Arial" w:hAnsi="Arial" w:cs="Arial" w:eastAsia="Arial" w:hint="default"/>
                            <w:sz w:val="20"/>
                            <w:szCs w:val="20"/>
                          </w:rPr>
                          <w:t>(</w:t>
                        </w:r>
                        <w:r>
                          <w:rPr>
                            <w:rFonts w:ascii="黑体" w:hAnsi="黑体" w:cs="黑体" w:eastAsia="黑体" w:hint="default"/>
                            <w:sz w:val="20"/>
                            <w:szCs w:val="20"/>
                          </w:rPr>
                          <w:t>二</w:t>
                        </w:r>
                        <w:r>
                          <w:rPr>
                            <w:rFonts w:ascii="Arial" w:hAnsi="Arial" w:cs="Arial" w:eastAsia="Arial" w:hint="default"/>
                            <w:sz w:val="20"/>
                            <w:szCs w:val="20"/>
                          </w:rPr>
                          <w:t>)</w:t>
                        </w:r>
                        <w:r>
                          <w:rPr>
                            <w:rFonts w:ascii="Arial" w:hAnsi="Arial" w:cs="Arial" w:eastAsia="Arial" w:hint="default"/>
                            <w:spacing w:val="35"/>
                            <w:sz w:val="20"/>
                            <w:szCs w:val="20"/>
                          </w:rPr>
                          <w:t> </w:t>
                        </w:r>
                        <w:r>
                          <w:rPr>
                            <w:rFonts w:ascii="黑体" w:hAnsi="黑体" w:cs="黑体" w:eastAsia="黑体" w:hint="default"/>
                            <w:sz w:val="20"/>
                            <w:szCs w:val="20"/>
                          </w:rPr>
                          <w:t>其他综合收益</w:t>
                        </w:r>
                        <w:r>
                          <w:rPr>
                            <w:rFonts w:ascii="Arial" w:hAnsi="Arial" w:cs="Arial" w:eastAsia="Arial" w:hint="default"/>
                            <w:sz w:val="20"/>
                            <w:szCs w:val="20"/>
                          </w:rPr>
                          <w:t>(</w:t>
                        </w:r>
                        <w:r>
                          <w:rPr>
                            <w:rFonts w:ascii="黑体" w:hAnsi="黑体" w:cs="黑体" w:eastAsia="黑体" w:hint="default"/>
                            <w:sz w:val="20"/>
                            <w:szCs w:val="20"/>
                          </w:rPr>
                          <w:t>附注五、</w:t>
                        </w:r>
                        <w:r>
                          <w:rPr>
                            <w:rFonts w:ascii="Arial" w:hAnsi="Arial" w:cs="Arial" w:eastAsia="Arial" w:hint="default"/>
                            <w:sz w:val="20"/>
                            <w:szCs w:val="20"/>
                          </w:rPr>
                          <w:t>46)</w:t>
                        </w:r>
                      </w:p>
                    </w:tc>
                    <w:tc>
                      <w:tcPr>
                        <w:tcW w:w="1678"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before="19"/>
                          <w:ind w:right="266"/>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446"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before="19"/>
                          <w:ind w:right="0"/>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382"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before="19"/>
                          <w:ind w:right="286"/>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610"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before="19"/>
                          <w:ind w:right="209"/>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498" w:type="dxa"/>
                        <w:tcBorders>
                          <w:top w:val="nil" w:sz="6" w:space="0" w:color="auto"/>
                          <w:left w:val="nil" w:sz="6" w:space="0" w:color="auto"/>
                          <w:bottom w:val="nil" w:sz="6" w:space="0" w:color="auto"/>
                          <w:right w:val="nil" w:sz="6" w:space="0" w:color="auto"/>
                        </w:tcBorders>
                      </w:tcPr>
                      <w:p>
                        <w:pPr>
                          <w:pStyle w:val="TableParagraph"/>
                          <w:tabs>
                            <w:tab w:pos="1142" w:val="left" w:leader="none"/>
                          </w:tabs>
                          <w:spacing w:line="240" w:lineRule="auto" w:before="19"/>
                          <w:ind w:right="5"/>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253"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Style w:val="TableParagraph"/>
                          <w:tabs>
                            <w:tab w:pos="1161" w:val="left" w:leader="none"/>
                          </w:tabs>
                          <w:spacing w:line="240" w:lineRule="auto" w:before="19"/>
                          <w:ind w:right="-3"/>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82" w:type="dxa"/>
                        <w:tcBorders>
                          <w:top w:val="nil" w:sz="6" w:space="0" w:color="auto"/>
                          <w:left w:val="nil" w:sz="6" w:space="0" w:color="auto"/>
                          <w:bottom w:val="nil" w:sz="6" w:space="0" w:color="auto"/>
                          <w:right w:val="nil" w:sz="6" w:space="0" w:color="auto"/>
                        </w:tcBorders>
                      </w:tcPr>
                      <w:p>
                        <w:pPr/>
                      </w:p>
                    </w:tc>
                  </w:tr>
                  <w:tr>
                    <w:trPr>
                      <w:trHeight w:val="420" w:hRule="exact"/>
                    </w:trPr>
                    <w:tc>
                      <w:tcPr>
                        <w:tcW w:w="4731" w:type="dxa"/>
                        <w:tcBorders>
                          <w:top w:val="nil" w:sz="6" w:space="0" w:color="auto"/>
                          <w:left w:val="nil" w:sz="6" w:space="0" w:color="auto"/>
                          <w:bottom w:val="nil" w:sz="6" w:space="0" w:color="auto"/>
                          <w:right w:val="nil" w:sz="6" w:space="0" w:color="auto"/>
                        </w:tcBorders>
                      </w:tcPr>
                      <w:p>
                        <w:pPr>
                          <w:pStyle w:val="TableParagraph"/>
                          <w:spacing w:line="234" w:lineRule="exact"/>
                          <w:ind w:left="214" w:right="0"/>
                          <w:jc w:val="left"/>
                          <w:rPr>
                            <w:rFonts w:ascii="黑体" w:hAnsi="黑体" w:cs="黑体" w:eastAsia="黑体" w:hint="default"/>
                            <w:sz w:val="20"/>
                            <w:szCs w:val="20"/>
                          </w:rPr>
                        </w:pPr>
                        <w:r>
                          <w:rPr>
                            <w:rFonts w:ascii="黑体" w:hAnsi="黑体" w:cs="黑体" w:eastAsia="黑体" w:hint="default"/>
                            <w:sz w:val="20"/>
                            <w:szCs w:val="20"/>
                          </w:rPr>
                          <w:t>综合收益总额</w:t>
                        </w:r>
                      </w:p>
                    </w:tc>
                    <w:tc>
                      <w:tcPr>
                        <w:tcW w:w="1678"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before="18"/>
                          <w:ind w:right="266"/>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446"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before="18"/>
                          <w:ind w:right="0"/>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382"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before="18"/>
                          <w:ind w:right="286"/>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610"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before="18"/>
                          <w:ind w:right="209"/>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sz w:val="20"/>
                            <w:u w:val="single" w:color="000000"/>
                          </w:rPr>
                          <w:t>426,571,801</w:t>
                        </w:r>
                        <w:r>
                          <w:rPr>
                            <w:rFonts w:ascii="Arial"/>
                            <w:spacing w:val="-1"/>
                            <w:sz w:val="20"/>
                          </w:rPr>
                        </w:r>
                        <w:r>
                          <w:rPr>
                            <w:rFonts w:ascii="Arial"/>
                            <w:sz w:val="20"/>
                          </w:rPr>
                        </w:r>
                      </w:p>
                    </w:tc>
                    <w:tc>
                      <w:tcPr>
                        <w:tcW w:w="253"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20"/>
                            <w:sz w:val="20"/>
                            <w:u w:val="single" w:color="000000"/>
                          </w:rPr>
                          <w:t> </w:t>
                        </w:r>
                        <w:r>
                          <w:rPr>
                            <w:rFonts w:ascii="Arial"/>
                            <w:spacing w:val="-1"/>
                            <w:sz w:val="20"/>
                            <w:u w:val="single" w:color="000000"/>
                          </w:rPr>
                          <w:t>426,571,801</w:t>
                        </w:r>
                        <w:r>
                          <w:rPr>
                            <w:rFonts w:ascii="Arial"/>
                            <w:spacing w:val="-1"/>
                            <w:sz w:val="20"/>
                          </w:rPr>
                        </w:r>
                        <w:r>
                          <w:rPr>
                            <w:rFonts w:ascii="Arial"/>
                            <w:sz w:val="20"/>
                          </w:rPr>
                        </w:r>
                      </w:p>
                    </w:tc>
                    <w:tc>
                      <w:tcPr>
                        <w:tcW w:w="82" w:type="dxa"/>
                        <w:tcBorders>
                          <w:top w:val="nil" w:sz="6" w:space="0" w:color="auto"/>
                          <w:left w:val="nil" w:sz="6" w:space="0" w:color="auto"/>
                          <w:bottom w:val="nil" w:sz="6" w:space="0" w:color="auto"/>
                          <w:right w:val="nil" w:sz="6" w:space="0" w:color="auto"/>
                        </w:tcBorders>
                      </w:tcPr>
                      <w:p>
                        <w:pPr/>
                      </w:p>
                    </w:tc>
                  </w:tr>
                  <w:tr>
                    <w:trPr>
                      <w:trHeight w:val="420" w:hRule="exact"/>
                    </w:trPr>
                    <w:tc>
                      <w:tcPr>
                        <w:tcW w:w="4731"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200" w:right="0"/>
                          <w:jc w:val="left"/>
                          <w:rPr>
                            <w:rFonts w:ascii="黑体" w:hAnsi="黑体" w:cs="黑体" w:eastAsia="黑体" w:hint="default"/>
                            <w:sz w:val="20"/>
                            <w:szCs w:val="20"/>
                          </w:rPr>
                        </w:pPr>
                        <w:r>
                          <w:rPr>
                            <w:rFonts w:ascii="Arial" w:hAnsi="Arial" w:cs="Arial" w:eastAsia="Arial" w:hint="default"/>
                            <w:sz w:val="20"/>
                            <w:szCs w:val="20"/>
                          </w:rPr>
                          <w:t>(</w:t>
                        </w:r>
                        <w:r>
                          <w:rPr>
                            <w:rFonts w:ascii="黑体" w:hAnsi="黑体" w:cs="黑体" w:eastAsia="黑体" w:hint="default"/>
                            <w:sz w:val="20"/>
                            <w:szCs w:val="20"/>
                          </w:rPr>
                          <w:t>三</w:t>
                        </w:r>
                        <w:r>
                          <w:rPr>
                            <w:rFonts w:ascii="Arial" w:hAnsi="Arial" w:cs="Arial" w:eastAsia="Arial" w:hint="default"/>
                            <w:sz w:val="20"/>
                            <w:szCs w:val="20"/>
                          </w:rPr>
                          <w:t>)</w:t>
                        </w:r>
                        <w:r>
                          <w:rPr>
                            <w:rFonts w:ascii="Arial" w:hAnsi="Arial" w:cs="Arial" w:eastAsia="Arial" w:hint="default"/>
                            <w:spacing w:val="41"/>
                            <w:sz w:val="20"/>
                            <w:szCs w:val="20"/>
                          </w:rPr>
                          <w:t> </w:t>
                        </w:r>
                        <w:r>
                          <w:rPr>
                            <w:rFonts w:ascii="黑体" w:hAnsi="黑体" w:cs="黑体" w:eastAsia="黑体" w:hint="default"/>
                            <w:sz w:val="20"/>
                            <w:szCs w:val="20"/>
                          </w:rPr>
                          <w:t>股东投入和减少资本</w:t>
                        </w:r>
                      </w:p>
                    </w:tc>
                    <w:tc>
                      <w:tcPr>
                        <w:tcW w:w="1678"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
                    </w:tc>
                    <w:tc>
                      <w:tcPr>
                        <w:tcW w:w="382"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c>
                      <w:tcPr>
                        <w:tcW w:w="253"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
                    </w:tc>
                    <w:tc>
                      <w:tcPr>
                        <w:tcW w:w="82" w:type="dxa"/>
                        <w:tcBorders>
                          <w:top w:val="nil" w:sz="6" w:space="0" w:color="auto"/>
                          <w:left w:val="nil" w:sz="6" w:space="0" w:color="auto"/>
                          <w:bottom w:val="nil" w:sz="6" w:space="0" w:color="auto"/>
                          <w:right w:val="nil" w:sz="6" w:space="0" w:color="auto"/>
                        </w:tcBorders>
                      </w:tcPr>
                      <w:p>
                        <w:pPr/>
                      </w:p>
                    </w:tc>
                  </w:tr>
                  <w:tr>
                    <w:trPr>
                      <w:trHeight w:val="280" w:hRule="exact"/>
                    </w:trPr>
                    <w:tc>
                      <w:tcPr>
                        <w:tcW w:w="4731" w:type="dxa"/>
                        <w:tcBorders>
                          <w:top w:val="nil" w:sz="6" w:space="0" w:color="auto"/>
                          <w:left w:val="nil" w:sz="6" w:space="0" w:color="auto"/>
                          <w:bottom w:val="nil" w:sz="6" w:space="0" w:color="auto"/>
                          <w:right w:val="nil" w:sz="6" w:space="0" w:color="auto"/>
                        </w:tcBorders>
                      </w:tcPr>
                      <w:p>
                        <w:pPr>
                          <w:pStyle w:val="TableParagraph"/>
                          <w:spacing w:line="248" w:lineRule="exact"/>
                          <w:ind w:left="387" w:right="0"/>
                          <w:jc w:val="left"/>
                          <w:rPr>
                            <w:rFonts w:ascii="Arial" w:hAnsi="Arial" w:cs="Arial" w:eastAsia="Arial" w:hint="default"/>
                            <w:sz w:val="20"/>
                            <w:szCs w:val="20"/>
                          </w:rPr>
                        </w:pPr>
                        <w:r>
                          <w:rPr>
                            <w:rFonts w:ascii="Arial" w:hAnsi="Arial" w:cs="Arial" w:eastAsia="Arial" w:hint="default"/>
                            <w:sz w:val="20"/>
                            <w:szCs w:val="20"/>
                          </w:rPr>
                          <w:t>1.</w:t>
                        </w:r>
                        <w:r>
                          <w:rPr>
                            <w:rFonts w:ascii="Arial" w:hAnsi="Arial" w:cs="Arial" w:eastAsia="Arial" w:hint="default"/>
                            <w:spacing w:val="18"/>
                            <w:sz w:val="20"/>
                            <w:szCs w:val="20"/>
                          </w:rPr>
                          <w:t> </w:t>
                        </w:r>
                        <w:r>
                          <w:rPr>
                            <w:rFonts w:ascii="黑体" w:hAnsi="黑体" w:cs="黑体" w:eastAsia="黑体" w:hint="default"/>
                            <w:sz w:val="20"/>
                            <w:szCs w:val="20"/>
                          </w:rPr>
                          <w:t>股份支付计入股东权益的金额</w:t>
                        </w:r>
                        <w:r>
                          <w:rPr>
                            <w:rFonts w:ascii="Arial" w:hAnsi="Arial" w:cs="Arial" w:eastAsia="Arial" w:hint="default"/>
                            <w:sz w:val="20"/>
                            <w:szCs w:val="20"/>
                          </w:rPr>
                          <w:t>(</w:t>
                        </w:r>
                        <w:r>
                          <w:rPr>
                            <w:rFonts w:ascii="黑体" w:hAnsi="黑体" w:cs="黑体" w:eastAsia="黑体" w:hint="default"/>
                            <w:sz w:val="20"/>
                            <w:szCs w:val="20"/>
                          </w:rPr>
                          <w:t>附注七</w:t>
                        </w:r>
                        <w:r>
                          <w:rPr>
                            <w:rFonts w:ascii="Arial" w:hAnsi="Arial" w:cs="Arial" w:eastAsia="Arial" w:hint="default"/>
                            <w:sz w:val="20"/>
                            <w:szCs w:val="20"/>
                          </w:rPr>
                          <w:t>)</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3"/>
                          <w:jc w:val="right"/>
                          <w:rPr>
                            <w:rFonts w:ascii="Arial" w:hAnsi="Arial" w:cs="Arial" w:eastAsia="Arial" w:hint="default"/>
                            <w:sz w:val="20"/>
                            <w:szCs w:val="20"/>
                          </w:rPr>
                        </w:pPr>
                        <w:r>
                          <w:rPr>
                            <w:rFonts w:ascii="Arial"/>
                            <w:w w:val="99"/>
                            <w:sz w:val="20"/>
                          </w:rPr>
                          <w:t>-</w:t>
                        </w:r>
                        <w:r>
                          <w:rPr>
                            <w:rFonts w:ascii="Arial"/>
                            <w:sz w:val="20"/>
                          </w:rPr>
                        </w:r>
                      </w:p>
                    </w:tc>
                    <w:tc>
                      <w:tcPr>
                        <w:tcW w:w="1446" w:type="dxa"/>
                        <w:tcBorders>
                          <w:top w:val="nil" w:sz="6" w:space="0" w:color="auto"/>
                          <w:left w:val="nil" w:sz="6" w:space="0" w:color="auto"/>
                          <w:bottom w:val="nil" w:sz="6" w:space="0" w:color="auto"/>
                          <w:right w:val="nil" w:sz="6" w:space="0" w:color="auto"/>
                        </w:tcBorders>
                      </w:tcPr>
                      <w:p>
                        <w:pPr>
                          <w:pStyle w:val="TableParagraph"/>
                          <w:tabs>
                            <w:tab w:pos="268" w:val="left" w:leader="none"/>
                          </w:tabs>
                          <w:spacing w:line="240" w:lineRule="auto" w:before="18"/>
                          <w:ind w:right="2"/>
                          <w:jc w:val="right"/>
                          <w:rPr>
                            <w:rFonts w:ascii="Arial" w:hAnsi="Arial" w:cs="Arial" w:eastAsia="Arial" w:hint="default"/>
                            <w:sz w:val="20"/>
                            <w:szCs w:val="20"/>
                          </w:rPr>
                        </w:pPr>
                        <w:r>
                          <w:rPr>
                            <w:rFonts w:ascii="Arial"/>
                            <w:w w:val="95"/>
                            <w:sz w:val="20"/>
                          </w:rPr>
                          <w:t>(</w:t>
                          <w:tab/>
                        </w:r>
                        <w:r>
                          <w:rPr>
                            <w:rFonts w:ascii="Arial"/>
                            <w:spacing w:val="-1"/>
                            <w:sz w:val="20"/>
                          </w:rPr>
                          <w:t>8,877,629</w:t>
                        </w:r>
                      </w:p>
                    </w:tc>
                    <w:tc>
                      <w:tcPr>
                        <w:tcW w:w="38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left"/>
                          <w:rPr>
                            <w:rFonts w:ascii="Arial" w:hAnsi="Arial" w:cs="Arial" w:eastAsia="Arial" w:hint="default"/>
                            <w:sz w:val="20"/>
                            <w:szCs w:val="20"/>
                          </w:rPr>
                        </w:pPr>
                        <w:r>
                          <w:rPr>
                            <w:rFonts w:ascii="Arial"/>
                            <w:w w:val="99"/>
                            <w:sz w:val="20"/>
                          </w:rPr>
                          <w:t>)</w:t>
                        </w:r>
                        <w:r>
                          <w:rPr>
                            <w:rFonts w:ascii="Arial"/>
                            <w:sz w:val="20"/>
                          </w:rPr>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86"/>
                          <w:jc w:val="right"/>
                          <w:rPr>
                            <w:rFonts w:ascii="Arial" w:hAnsi="Arial" w:cs="Arial" w:eastAsia="Arial" w:hint="default"/>
                            <w:sz w:val="20"/>
                            <w:szCs w:val="20"/>
                          </w:rPr>
                        </w:pPr>
                        <w:r>
                          <w:rPr>
                            <w:rFonts w:ascii="Arial"/>
                            <w:w w:val="99"/>
                            <w:sz w:val="20"/>
                          </w:rPr>
                          <w:t>-</w:t>
                        </w:r>
                        <w:r>
                          <w:rPr>
                            <w:rFonts w:ascii="Arial"/>
                            <w:sz w:val="20"/>
                          </w:rPr>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09"/>
                          <w:jc w:val="right"/>
                          <w:rPr>
                            <w:rFonts w:ascii="Arial" w:hAnsi="Arial" w:cs="Arial" w:eastAsia="Arial" w:hint="default"/>
                            <w:sz w:val="20"/>
                            <w:szCs w:val="20"/>
                          </w:rPr>
                        </w:pPr>
                        <w:r>
                          <w:rPr>
                            <w:rFonts w:ascii="Arial"/>
                            <w:w w:val="99"/>
                            <w:sz w:val="20"/>
                          </w:rPr>
                          <w:t>-</w:t>
                        </w:r>
                        <w:r>
                          <w:rPr>
                            <w:rFonts w:ascii="Arial"/>
                            <w:sz w:val="20"/>
                          </w:rPr>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
                          <w:jc w:val="right"/>
                          <w:rPr>
                            <w:rFonts w:ascii="Arial" w:hAnsi="Arial" w:cs="Arial" w:eastAsia="Arial" w:hint="default"/>
                            <w:sz w:val="20"/>
                            <w:szCs w:val="20"/>
                          </w:rPr>
                        </w:pPr>
                        <w:r>
                          <w:rPr>
                            <w:rFonts w:ascii="Arial"/>
                            <w:w w:val="99"/>
                            <w:sz w:val="20"/>
                          </w:rPr>
                          <w:t>-</w:t>
                        </w:r>
                        <w:r>
                          <w:rPr>
                            <w:rFonts w:ascii="Arial"/>
                            <w:sz w:val="20"/>
                          </w:rPr>
                        </w:r>
                      </w:p>
                    </w:tc>
                    <w:tc>
                      <w:tcPr>
                        <w:tcW w:w="253"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40" w:lineRule="auto" w:before="18"/>
                          <w:ind w:right="1"/>
                          <w:jc w:val="right"/>
                          <w:rPr>
                            <w:rFonts w:ascii="Arial" w:hAnsi="Arial" w:cs="Arial" w:eastAsia="Arial" w:hint="default"/>
                            <w:sz w:val="20"/>
                            <w:szCs w:val="20"/>
                          </w:rPr>
                        </w:pPr>
                        <w:r>
                          <w:rPr>
                            <w:rFonts w:ascii="Arial"/>
                            <w:w w:val="95"/>
                            <w:sz w:val="20"/>
                          </w:rPr>
                          <w:t>(</w:t>
                          <w:tab/>
                        </w:r>
                        <w:r>
                          <w:rPr>
                            <w:rFonts w:ascii="Arial"/>
                            <w:spacing w:val="-1"/>
                            <w:w w:val="95"/>
                            <w:sz w:val="20"/>
                          </w:rPr>
                          <w:t>8,877,629</w:t>
                        </w:r>
                        <w:r>
                          <w:rPr>
                            <w:rFonts w:ascii="Arial"/>
                            <w:sz w:val="20"/>
                          </w:rPr>
                        </w:r>
                      </w:p>
                    </w:tc>
                    <w:tc>
                      <w:tcPr>
                        <w:tcW w:w="82" w:type="dxa"/>
                        <w:tcBorders>
                          <w:top w:val="nil" w:sz="6" w:space="0" w:color="auto"/>
                          <w:left w:val="nil" w:sz="6" w:space="0" w:color="auto"/>
                          <w:bottom w:val="nil" w:sz="6" w:space="0" w:color="auto"/>
                          <w:right w:val="nil" w:sz="6" w:space="0" w:color="auto"/>
                        </w:tcBorders>
                      </w:tcPr>
                      <w:p>
                        <w:pPr/>
                      </w:p>
                    </w:tc>
                  </w:tr>
                  <w:tr>
                    <w:trPr>
                      <w:trHeight w:val="286" w:hRule="exact"/>
                    </w:trPr>
                    <w:tc>
                      <w:tcPr>
                        <w:tcW w:w="4731" w:type="dxa"/>
                        <w:tcBorders>
                          <w:top w:val="nil" w:sz="6" w:space="0" w:color="auto"/>
                          <w:left w:val="nil" w:sz="6" w:space="0" w:color="auto"/>
                          <w:bottom w:val="nil" w:sz="6" w:space="0" w:color="auto"/>
                          <w:right w:val="nil" w:sz="6" w:space="0" w:color="auto"/>
                        </w:tcBorders>
                      </w:tcPr>
                      <w:p>
                        <w:pPr>
                          <w:pStyle w:val="TableParagraph"/>
                          <w:spacing w:line="250" w:lineRule="exact"/>
                          <w:ind w:left="387" w:right="0"/>
                          <w:jc w:val="left"/>
                          <w:rPr>
                            <w:rFonts w:ascii="Arial" w:hAnsi="Arial" w:cs="Arial" w:eastAsia="Arial" w:hint="default"/>
                            <w:sz w:val="20"/>
                            <w:szCs w:val="20"/>
                          </w:rPr>
                        </w:pPr>
                        <w:r>
                          <w:rPr>
                            <w:rFonts w:ascii="Arial" w:hAnsi="Arial" w:cs="Arial" w:eastAsia="Arial" w:hint="default"/>
                            <w:sz w:val="20"/>
                            <w:szCs w:val="20"/>
                          </w:rPr>
                          <w:t>2.</w:t>
                        </w:r>
                        <w:r>
                          <w:rPr>
                            <w:rFonts w:ascii="Arial" w:hAnsi="Arial" w:cs="Arial" w:eastAsia="Arial" w:hint="default"/>
                            <w:spacing w:val="16"/>
                            <w:sz w:val="20"/>
                            <w:szCs w:val="20"/>
                          </w:rPr>
                          <w:t> </w:t>
                        </w:r>
                        <w:r>
                          <w:rPr>
                            <w:rFonts w:ascii="黑体" w:hAnsi="黑体" w:cs="黑体" w:eastAsia="黑体" w:hint="default"/>
                            <w:sz w:val="20"/>
                            <w:szCs w:val="20"/>
                          </w:rPr>
                          <w:t>股份回购</w:t>
                        </w:r>
                        <w:r>
                          <w:rPr>
                            <w:rFonts w:ascii="Arial" w:hAnsi="Arial" w:cs="Arial" w:eastAsia="Arial" w:hint="default"/>
                            <w:sz w:val="20"/>
                            <w:szCs w:val="20"/>
                          </w:rPr>
                          <w:t>(</w:t>
                        </w:r>
                        <w:r>
                          <w:rPr>
                            <w:rFonts w:ascii="黑体" w:hAnsi="黑体" w:cs="黑体" w:eastAsia="黑体" w:hint="default"/>
                            <w:sz w:val="20"/>
                            <w:szCs w:val="20"/>
                          </w:rPr>
                          <w:t>附注五、</w:t>
                        </w:r>
                        <w:r>
                          <w:rPr>
                            <w:rFonts w:ascii="Arial" w:hAnsi="Arial" w:cs="Arial" w:eastAsia="Arial" w:hint="default"/>
                            <w:sz w:val="20"/>
                            <w:szCs w:val="20"/>
                          </w:rPr>
                          <w:t>32)</w:t>
                        </w:r>
                      </w:p>
                    </w:tc>
                    <w:tc>
                      <w:tcPr>
                        <w:tcW w:w="1678"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before="19"/>
                          <w:ind w:right="263"/>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446"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before="19"/>
                          <w:ind w:right="12"/>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382"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90"/>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sz w:val="20"/>
                            <w:u w:val="single" w:color="000000"/>
                          </w:rPr>
                          <w:t>20,001,895</w:t>
                        </w:r>
                        <w:r>
                          <w:rPr>
                            <w:rFonts w:ascii="Arial"/>
                            <w:spacing w:val="-1"/>
                            <w:sz w:val="20"/>
                          </w:rPr>
                        </w:r>
                      </w:p>
                    </w:tc>
                    <w:tc>
                      <w:tcPr>
                        <w:tcW w:w="1610"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before="19"/>
                          <w:ind w:right="209"/>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498" w:type="dxa"/>
                        <w:tcBorders>
                          <w:top w:val="nil" w:sz="6" w:space="0" w:color="auto"/>
                          <w:left w:val="nil" w:sz="6" w:space="0" w:color="auto"/>
                          <w:bottom w:val="nil" w:sz="6" w:space="0" w:color="auto"/>
                          <w:right w:val="nil" w:sz="6" w:space="0" w:color="auto"/>
                        </w:tcBorders>
                      </w:tcPr>
                      <w:p>
                        <w:pPr>
                          <w:pStyle w:val="TableParagraph"/>
                          <w:tabs>
                            <w:tab w:pos="1101" w:val="left" w:leader="none"/>
                          </w:tabs>
                          <w:spacing w:line="240" w:lineRule="auto" w:before="19"/>
                          <w:ind w:right="5"/>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253"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
                          <w:jc w:val="right"/>
                          <w:rPr>
                            <w:rFonts w:ascii="Arial" w:hAnsi="Arial" w:cs="Arial" w:eastAsia="Arial" w:hint="default"/>
                            <w:sz w:val="20"/>
                            <w:szCs w:val="20"/>
                          </w:rPr>
                        </w:pPr>
                        <w:r>
                          <w:rPr>
                            <w:rFonts w:ascii="Arial"/>
                            <w:sz w:val="20"/>
                          </w:rPr>
                          <w:t>(  </w:t>
                        </w:r>
                        <w:r>
                          <w:rPr>
                            <w:rFonts w:ascii="Arial"/>
                            <w:spacing w:val="45"/>
                            <w:sz w:val="20"/>
                          </w:rPr>
                          <w:t> </w:t>
                        </w:r>
                        <w:r>
                          <w:rPr>
                            <w:rFonts w:ascii="Arial"/>
                            <w:spacing w:val="45"/>
                            <w:sz w:val="20"/>
                            <w:u w:val="single" w:color="000000"/>
                          </w:rPr>
                          <w:t> </w:t>
                        </w:r>
                        <w:r>
                          <w:rPr>
                            <w:rFonts w:ascii="Arial"/>
                            <w:sz w:val="20"/>
                            <w:u w:val="single" w:color="000000"/>
                          </w:rPr>
                          <w:t>20,001,895</w:t>
                        </w:r>
                        <w:r>
                          <w:rPr>
                            <w:rFonts w:ascii="Arial"/>
                            <w:sz w:val="20"/>
                          </w:rPr>
                        </w:r>
                      </w:p>
                    </w:tc>
                    <w:tc>
                      <w:tcPr>
                        <w:tcW w:w="82" w:type="dxa"/>
                        <w:tcBorders>
                          <w:top w:val="nil" w:sz="6" w:space="0" w:color="auto"/>
                          <w:left w:val="nil" w:sz="6" w:space="0" w:color="auto"/>
                          <w:bottom w:val="nil" w:sz="6" w:space="0" w:color="auto"/>
                          <w:right w:val="nil" w:sz="6" w:space="0" w:color="auto"/>
                        </w:tcBorders>
                      </w:tcPr>
                      <w:p>
                        <w:pPr/>
                      </w:p>
                    </w:tc>
                  </w:tr>
                  <w:tr>
                    <w:trPr>
                      <w:trHeight w:val="275" w:hRule="exact"/>
                    </w:trPr>
                    <w:tc>
                      <w:tcPr>
                        <w:tcW w:w="4731"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before="14"/>
                          <w:ind w:right="263"/>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
                          <w:jc w:val="right"/>
                          <w:rPr>
                            <w:rFonts w:ascii="Arial" w:hAnsi="Arial" w:cs="Arial" w:eastAsia="Arial" w:hint="default"/>
                            <w:sz w:val="20"/>
                            <w:szCs w:val="20"/>
                          </w:rPr>
                        </w:pPr>
                        <w:r>
                          <w:rPr>
                            <w:rFonts w:ascii="Arial"/>
                            <w:sz w:val="20"/>
                          </w:rPr>
                          <w:t>(  </w:t>
                        </w:r>
                        <w:r>
                          <w:rPr>
                            <w:rFonts w:ascii="Arial"/>
                            <w:spacing w:val="25"/>
                            <w:sz w:val="20"/>
                          </w:rPr>
                          <w:t> </w:t>
                        </w:r>
                        <w:r>
                          <w:rPr>
                            <w:rFonts w:ascii="Arial"/>
                            <w:spacing w:val="25"/>
                            <w:sz w:val="20"/>
                            <w:u w:val="single" w:color="000000"/>
                          </w:rPr>
                          <w:t> </w:t>
                        </w:r>
                        <w:r>
                          <w:rPr>
                            <w:rFonts w:ascii="Arial"/>
                            <w:sz w:val="20"/>
                            <w:u w:val="single" w:color="000000"/>
                          </w:rPr>
                          <w:t>8,877,629</w:t>
                        </w:r>
                        <w:r>
                          <w:rPr>
                            <w:rFonts w:ascii="Arial"/>
                            <w:sz w:val="20"/>
                          </w:rPr>
                        </w:r>
                      </w:p>
                    </w:tc>
                    <w:tc>
                      <w:tcPr>
                        <w:tcW w:w="38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0"/>
                          <w:jc w:val="left"/>
                          <w:rPr>
                            <w:rFonts w:ascii="Arial" w:hAnsi="Arial" w:cs="Arial" w:eastAsia="Arial" w:hint="default"/>
                            <w:sz w:val="20"/>
                            <w:szCs w:val="20"/>
                          </w:rPr>
                        </w:pPr>
                        <w:r>
                          <w:rPr>
                            <w:rFonts w:ascii="Arial"/>
                            <w:w w:val="99"/>
                            <w:sz w:val="20"/>
                          </w:rPr>
                          <w:t>)</w:t>
                        </w:r>
                        <w:r>
                          <w:rPr>
                            <w:rFonts w:ascii="Arial"/>
                            <w:sz w:val="20"/>
                          </w:rPr>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90"/>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sz w:val="20"/>
                            <w:u w:val="single" w:color="000000"/>
                          </w:rPr>
                          <w:t>20,001,895</w:t>
                        </w:r>
                        <w:r>
                          <w:rPr>
                            <w:rFonts w:ascii="Arial"/>
                            <w:spacing w:val="-1"/>
                            <w:sz w:val="20"/>
                          </w:rPr>
                        </w:r>
                      </w:p>
                    </w:tc>
                    <w:tc>
                      <w:tcPr>
                        <w:tcW w:w="1610"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before="14"/>
                          <w:ind w:right="209"/>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498" w:type="dxa"/>
                        <w:tcBorders>
                          <w:top w:val="nil" w:sz="6" w:space="0" w:color="auto"/>
                          <w:left w:val="nil" w:sz="6" w:space="0" w:color="auto"/>
                          <w:bottom w:val="nil" w:sz="6" w:space="0" w:color="auto"/>
                          <w:right w:val="nil" w:sz="6" w:space="0" w:color="auto"/>
                        </w:tcBorders>
                      </w:tcPr>
                      <w:p>
                        <w:pPr>
                          <w:pStyle w:val="TableParagraph"/>
                          <w:tabs>
                            <w:tab w:pos="1101" w:val="left" w:leader="none"/>
                          </w:tabs>
                          <w:spacing w:line="240" w:lineRule="auto" w:before="14"/>
                          <w:ind w:right="5"/>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253"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
                          <w:jc w:val="right"/>
                          <w:rPr>
                            <w:rFonts w:ascii="Arial" w:hAnsi="Arial" w:cs="Arial" w:eastAsia="Arial" w:hint="default"/>
                            <w:sz w:val="20"/>
                            <w:szCs w:val="20"/>
                          </w:rPr>
                        </w:pPr>
                        <w:r>
                          <w:rPr>
                            <w:rFonts w:ascii="Arial"/>
                            <w:sz w:val="20"/>
                          </w:rPr>
                          <w:t>(  </w:t>
                        </w:r>
                        <w:r>
                          <w:rPr>
                            <w:rFonts w:ascii="Arial"/>
                            <w:spacing w:val="45"/>
                            <w:sz w:val="20"/>
                          </w:rPr>
                          <w:t> </w:t>
                        </w:r>
                        <w:r>
                          <w:rPr>
                            <w:rFonts w:ascii="Arial"/>
                            <w:spacing w:val="45"/>
                            <w:sz w:val="20"/>
                            <w:u w:val="single" w:color="000000"/>
                          </w:rPr>
                          <w:t> </w:t>
                        </w:r>
                        <w:r>
                          <w:rPr>
                            <w:rFonts w:ascii="Arial"/>
                            <w:sz w:val="20"/>
                            <w:u w:val="single" w:color="000000"/>
                          </w:rPr>
                          <w:t>28,879,524</w:t>
                        </w:r>
                        <w:r>
                          <w:rPr>
                            <w:rFonts w:ascii="Arial"/>
                            <w:sz w:val="20"/>
                          </w:rPr>
                        </w:r>
                      </w:p>
                    </w:tc>
                    <w:tc>
                      <w:tcPr>
                        <w:tcW w:w="82" w:type="dxa"/>
                        <w:tcBorders>
                          <w:top w:val="nil" w:sz="6" w:space="0" w:color="auto"/>
                          <w:left w:val="nil" w:sz="6" w:space="0" w:color="auto"/>
                          <w:bottom w:val="nil" w:sz="6" w:space="0" w:color="auto"/>
                          <w:right w:val="nil" w:sz="6" w:space="0" w:color="auto"/>
                        </w:tcBorders>
                      </w:tcPr>
                      <w:p>
                        <w:pPr/>
                      </w:p>
                    </w:tc>
                  </w:tr>
                  <w:tr>
                    <w:trPr>
                      <w:trHeight w:val="280" w:hRule="exact"/>
                    </w:trPr>
                    <w:tc>
                      <w:tcPr>
                        <w:tcW w:w="4731" w:type="dxa"/>
                        <w:tcBorders>
                          <w:top w:val="nil" w:sz="6" w:space="0" w:color="auto"/>
                          <w:left w:val="nil" w:sz="6" w:space="0" w:color="auto"/>
                          <w:bottom w:val="nil" w:sz="6" w:space="0" w:color="auto"/>
                          <w:right w:val="nil" w:sz="6" w:space="0" w:color="auto"/>
                        </w:tcBorders>
                      </w:tcPr>
                      <w:p>
                        <w:pPr>
                          <w:pStyle w:val="TableParagraph"/>
                          <w:spacing w:line="248" w:lineRule="exact"/>
                          <w:ind w:left="200" w:right="0"/>
                          <w:jc w:val="left"/>
                          <w:rPr>
                            <w:rFonts w:ascii="黑体" w:hAnsi="黑体" w:cs="黑体" w:eastAsia="黑体" w:hint="default"/>
                            <w:sz w:val="20"/>
                            <w:szCs w:val="20"/>
                          </w:rPr>
                        </w:pPr>
                        <w:r>
                          <w:rPr>
                            <w:rFonts w:ascii="Arial" w:hAnsi="Arial" w:cs="Arial" w:eastAsia="Arial" w:hint="default"/>
                            <w:sz w:val="20"/>
                            <w:szCs w:val="20"/>
                          </w:rPr>
                          <w:t>(</w:t>
                        </w:r>
                        <w:r>
                          <w:rPr>
                            <w:rFonts w:ascii="黑体" w:hAnsi="黑体" w:cs="黑体" w:eastAsia="黑体" w:hint="default"/>
                            <w:sz w:val="20"/>
                            <w:szCs w:val="20"/>
                          </w:rPr>
                          <w:t>四</w:t>
                        </w:r>
                        <w:r>
                          <w:rPr>
                            <w:rFonts w:ascii="Arial" w:hAnsi="Arial" w:cs="Arial" w:eastAsia="Arial" w:hint="default"/>
                            <w:sz w:val="20"/>
                            <w:szCs w:val="20"/>
                          </w:rPr>
                          <w:t>)</w:t>
                        </w:r>
                        <w:r>
                          <w:rPr>
                            <w:rFonts w:ascii="Arial" w:hAnsi="Arial" w:cs="Arial" w:eastAsia="Arial" w:hint="default"/>
                            <w:spacing w:val="41"/>
                            <w:sz w:val="20"/>
                            <w:szCs w:val="20"/>
                          </w:rPr>
                          <w:t> </w:t>
                        </w:r>
                        <w:r>
                          <w:rPr>
                            <w:rFonts w:ascii="黑体" w:hAnsi="黑体" w:cs="黑体" w:eastAsia="黑体" w:hint="default"/>
                            <w:sz w:val="20"/>
                            <w:szCs w:val="20"/>
                          </w:rPr>
                          <w:t>利润分配</w:t>
                        </w:r>
                      </w:p>
                    </w:tc>
                    <w:tc>
                      <w:tcPr>
                        <w:tcW w:w="1678"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
                    </w:tc>
                    <w:tc>
                      <w:tcPr>
                        <w:tcW w:w="382"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c>
                      <w:tcPr>
                        <w:tcW w:w="253"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
                    </w:tc>
                    <w:tc>
                      <w:tcPr>
                        <w:tcW w:w="82" w:type="dxa"/>
                        <w:tcBorders>
                          <w:top w:val="nil" w:sz="6" w:space="0" w:color="auto"/>
                          <w:left w:val="nil" w:sz="6" w:space="0" w:color="auto"/>
                          <w:bottom w:val="nil" w:sz="6" w:space="0" w:color="auto"/>
                          <w:right w:val="nil" w:sz="6" w:space="0" w:color="auto"/>
                        </w:tcBorders>
                      </w:tcPr>
                      <w:p>
                        <w:pPr/>
                      </w:p>
                    </w:tc>
                  </w:tr>
                  <w:tr>
                    <w:trPr>
                      <w:trHeight w:val="281" w:hRule="exact"/>
                    </w:trPr>
                    <w:tc>
                      <w:tcPr>
                        <w:tcW w:w="4731" w:type="dxa"/>
                        <w:tcBorders>
                          <w:top w:val="nil" w:sz="6" w:space="0" w:color="auto"/>
                          <w:left w:val="nil" w:sz="6" w:space="0" w:color="auto"/>
                          <w:bottom w:val="nil" w:sz="6" w:space="0" w:color="auto"/>
                          <w:right w:val="nil" w:sz="6" w:space="0" w:color="auto"/>
                        </w:tcBorders>
                      </w:tcPr>
                      <w:p>
                        <w:pPr>
                          <w:pStyle w:val="TableParagraph"/>
                          <w:spacing w:line="250" w:lineRule="exact"/>
                          <w:ind w:left="387" w:right="0"/>
                          <w:jc w:val="left"/>
                          <w:rPr>
                            <w:rFonts w:ascii="Arial" w:hAnsi="Arial" w:cs="Arial" w:eastAsia="Arial" w:hint="default"/>
                            <w:sz w:val="20"/>
                            <w:szCs w:val="20"/>
                          </w:rPr>
                        </w:pPr>
                        <w:r>
                          <w:rPr>
                            <w:rFonts w:ascii="Arial" w:hAnsi="Arial" w:cs="Arial" w:eastAsia="Arial" w:hint="default"/>
                            <w:sz w:val="20"/>
                            <w:szCs w:val="20"/>
                          </w:rPr>
                          <w:t>1.</w:t>
                        </w:r>
                        <w:r>
                          <w:rPr>
                            <w:rFonts w:ascii="Arial" w:hAnsi="Arial" w:cs="Arial" w:eastAsia="Arial" w:hint="default"/>
                            <w:spacing w:val="17"/>
                            <w:sz w:val="20"/>
                            <w:szCs w:val="20"/>
                          </w:rPr>
                          <w:t> </w:t>
                        </w:r>
                        <w:r>
                          <w:rPr>
                            <w:rFonts w:ascii="黑体" w:hAnsi="黑体" w:cs="黑体" w:eastAsia="黑体" w:hint="default"/>
                            <w:sz w:val="20"/>
                            <w:szCs w:val="20"/>
                          </w:rPr>
                          <w:t>提取盈余公积</w:t>
                        </w:r>
                        <w:r>
                          <w:rPr>
                            <w:rFonts w:ascii="Arial" w:hAnsi="Arial" w:cs="Arial" w:eastAsia="Arial" w:hint="default"/>
                            <w:sz w:val="20"/>
                            <w:szCs w:val="20"/>
                          </w:rPr>
                          <w:t>(</w:t>
                        </w:r>
                        <w:r>
                          <w:rPr>
                            <w:rFonts w:ascii="黑体" w:hAnsi="黑体" w:cs="黑体" w:eastAsia="黑体" w:hint="default"/>
                            <w:sz w:val="20"/>
                            <w:szCs w:val="20"/>
                          </w:rPr>
                          <w:t>附注五、</w:t>
                        </w:r>
                        <w:r>
                          <w:rPr>
                            <w:rFonts w:ascii="Arial" w:hAnsi="Arial" w:cs="Arial" w:eastAsia="Arial" w:hint="default"/>
                            <w:sz w:val="20"/>
                            <w:szCs w:val="20"/>
                          </w:rPr>
                          <w:t>33)</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66"/>
                          <w:jc w:val="right"/>
                          <w:rPr>
                            <w:rFonts w:ascii="Arial" w:hAnsi="Arial" w:cs="Arial" w:eastAsia="Arial" w:hint="default"/>
                            <w:sz w:val="20"/>
                            <w:szCs w:val="20"/>
                          </w:rPr>
                        </w:pPr>
                        <w:r>
                          <w:rPr>
                            <w:rFonts w:ascii="Arial"/>
                            <w:w w:val="99"/>
                            <w:sz w:val="20"/>
                          </w:rPr>
                          <w:t>-</w:t>
                        </w:r>
                        <w:r>
                          <w:rPr>
                            <w:rFonts w:ascii="Arial"/>
                            <w:sz w:val="20"/>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5"/>
                          <w:jc w:val="right"/>
                          <w:rPr>
                            <w:rFonts w:ascii="Arial" w:hAnsi="Arial" w:cs="Arial" w:eastAsia="Arial" w:hint="default"/>
                            <w:sz w:val="20"/>
                            <w:szCs w:val="20"/>
                          </w:rPr>
                        </w:pPr>
                        <w:r>
                          <w:rPr>
                            <w:rFonts w:ascii="Arial"/>
                            <w:w w:val="99"/>
                            <w:sz w:val="20"/>
                          </w:rPr>
                          <w:t>-</w:t>
                        </w:r>
                        <w:r>
                          <w:rPr>
                            <w:rFonts w:ascii="Arial"/>
                            <w:sz w:val="20"/>
                          </w:rPr>
                        </w:r>
                      </w:p>
                    </w:tc>
                    <w:tc>
                      <w:tcPr>
                        <w:tcW w:w="382"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03"/>
                          <w:jc w:val="right"/>
                          <w:rPr>
                            <w:rFonts w:ascii="Arial" w:hAnsi="Arial" w:cs="Arial" w:eastAsia="Arial" w:hint="default"/>
                            <w:sz w:val="20"/>
                            <w:szCs w:val="20"/>
                          </w:rPr>
                        </w:pPr>
                        <w:r>
                          <w:rPr>
                            <w:rFonts w:ascii="Arial"/>
                            <w:w w:val="99"/>
                            <w:sz w:val="20"/>
                          </w:rPr>
                          <w:t>-</w:t>
                        </w:r>
                        <w:r>
                          <w:rPr>
                            <w:rFonts w:ascii="Arial"/>
                            <w:sz w:val="20"/>
                          </w:rPr>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13"/>
                          <w:jc w:val="right"/>
                          <w:rPr>
                            <w:rFonts w:ascii="Arial" w:hAnsi="Arial" w:cs="Arial" w:eastAsia="Arial" w:hint="default"/>
                            <w:sz w:val="20"/>
                            <w:szCs w:val="20"/>
                          </w:rPr>
                        </w:pPr>
                        <w:r>
                          <w:rPr>
                            <w:rFonts w:ascii="Arial"/>
                            <w:spacing w:val="-1"/>
                            <w:sz w:val="20"/>
                          </w:rPr>
                          <w:t>63,985,770</w:t>
                        </w:r>
                        <w:r>
                          <w:rPr>
                            <w:rFonts w:ascii="Arial"/>
                            <w:sz w:val="20"/>
                          </w:rPr>
                        </w:r>
                      </w:p>
                    </w:tc>
                    <w:tc>
                      <w:tcPr>
                        <w:tcW w:w="1498" w:type="dxa"/>
                        <w:tcBorders>
                          <w:top w:val="nil" w:sz="6" w:space="0" w:color="auto"/>
                          <w:left w:val="nil" w:sz="6" w:space="0" w:color="auto"/>
                          <w:bottom w:val="nil" w:sz="6" w:space="0" w:color="auto"/>
                          <w:right w:val="nil" w:sz="6" w:space="0" w:color="auto"/>
                        </w:tcBorders>
                      </w:tcPr>
                      <w:p>
                        <w:pPr>
                          <w:pStyle w:val="TableParagraph"/>
                          <w:tabs>
                            <w:tab w:pos="268" w:val="left" w:leader="none"/>
                          </w:tabs>
                          <w:spacing w:line="240" w:lineRule="auto" w:before="19"/>
                          <w:ind w:right="7"/>
                          <w:jc w:val="right"/>
                          <w:rPr>
                            <w:rFonts w:ascii="Arial" w:hAnsi="Arial" w:cs="Arial" w:eastAsia="Arial" w:hint="default"/>
                            <w:sz w:val="20"/>
                            <w:szCs w:val="20"/>
                          </w:rPr>
                        </w:pPr>
                        <w:r>
                          <w:rPr>
                            <w:rFonts w:ascii="Arial"/>
                            <w:w w:val="95"/>
                            <w:sz w:val="20"/>
                          </w:rPr>
                          <w:t>(</w:t>
                          <w:tab/>
                        </w:r>
                        <w:r>
                          <w:rPr>
                            <w:rFonts w:ascii="Arial"/>
                            <w:spacing w:val="-1"/>
                            <w:w w:val="95"/>
                            <w:sz w:val="20"/>
                          </w:rPr>
                          <w:t>63,985,770</w:t>
                        </w:r>
                        <w:r>
                          <w:rPr>
                            <w:rFonts w:ascii="Arial"/>
                            <w:sz w:val="20"/>
                          </w:rPr>
                        </w:r>
                      </w:p>
                    </w:tc>
                    <w:tc>
                      <w:tcPr>
                        <w:tcW w:w="25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2" w:right="0"/>
                          <w:jc w:val="left"/>
                          <w:rPr>
                            <w:rFonts w:ascii="Arial" w:hAnsi="Arial" w:cs="Arial" w:eastAsia="Arial" w:hint="default"/>
                            <w:sz w:val="20"/>
                            <w:szCs w:val="20"/>
                          </w:rPr>
                        </w:pPr>
                        <w:r>
                          <w:rPr>
                            <w:rFonts w:ascii="Arial"/>
                            <w:w w:val="99"/>
                            <w:sz w:val="20"/>
                          </w:rPr>
                          <w:t>)</w:t>
                        </w:r>
                        <w:r>
                          <w:rPr>
                            <w:rFonts w:ascii="Arial"/>
                            <w:sz w:val="20"/>
                          </w:rPr>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
                          <w:jc w:val="right"/>
                          <w:rPr>
                            <w:rFonts w:ascii="Arial" w:hAnsi="Arial" w:cs="Arial" w:eastAsia="Arial" w:hint="default"/>
                            <w:sz w:val="20"/>
                            <w:szCs w:val="20"/>
                          </w:rPr>
                        </w:pPr>
                        <w:r>
                          <w:rPr>
                            <w:rFonts w:ascii="Arial"/>
                            <w:w w:val="99"/>
                            <w:sz w:val="20"/>
                          </w:rPr>
                          <w:t>-</w:t>
                        </w:r>
                        <w:r>
                          <w:rPr>
                            <w:rFonts w:ascii="Arial"/>
                            <w:sz w:val="20"/>
                          </w:rPr>
                        </w:r>
                      </w:p>
                    </w:tc>
                    <w:tc>
                      <w:tcPr>
                        <w:tcW w:w="82" w:type="dxa"/>
                        <w:tcBorders>
                          <w:top w:val="nil" w:sz="6" w:space="0" w:color="auto"/>
                          <w:left w:val="nil" w:sz="6" w:space="0" w:color="auto"/>
                          <w:bottom w:val="nil" w:sz="6" w:space="0" w:color="auto"/>
                          <w:right w:val="nil" w:sz="6" w:space="0" w:color="auto"/>
                        </w:tcBorders>
                      </w:tcPr>
                      <w:p>
                        <w:pPr/>
                      </w:p>
                    </w:tc>
                  </w:tr>
                  <w:tr>
                    <w:trPr>
                      <w:trHeight w:val="284" w:hRule="exact"/>
                    </w:trPr>
                    <w:tc>
                      <w:tcPr>
                        <w:tcW w:w="4731" w:type="dxa"/>
                        <w:tcBorders>
                          <w:top w:val="nil" w:sz="6" w:space="0" w:color="auto"/>
                          <w:left w:val="nil" w:sz="6" w:space="0" w:color="auto"/>
                          <w:bottom w:val="nil" w:sz="6" w:space="0" w:color="auto"/>
                          <w:right w:val="nil" w:sz="6" w:space="0" w:color="auto"/>
                        </w:tcBorders>
                      </w:tcPr>
                      <w:p>
                        <w:pPr>
                          <w:pStyle w:val="TableParagraph"/>
                          <w:spacing w:line="250" w:lineRule="exact"/>
                          <w:ind w:left="387" w:right="0"/>
                          <w:jc w:val="left"/>
                          <w:rPr>
                            <w:rFonts w:ascii="Arial" w:hAnsi="Arial" w:cs="Arial" w:eastAsia="Arial" w:hint="default"/>
                            <w:sz w:val="20"/>
                            <w:szCs w:val="20"/>
                          </w:rPr>
                        </w:pPr>
                        <w:r>
                          <w:rPr>
                            <w:rFonts w:ascii="Arial" w:hAnsi="Arial" w:cs="Arial" w:eastAsia="Arial" w:hint="default"/>
                            <w:sz w:val="20"/>
                            <w:szCs w:val="20"/>
                          </w:rPr>
                          <w:t>2.</w:t>
                        </w:r>
                        <w:r>
                          <w:rPr>
                            <w:rFonts w:ascii="Arial" w:hAnsi="Arial" w:cs="Arial" w:eastAsia="Arial" w:hint="default"/>
                            <w:spacing w:val="17"/>
                            <w:sz w:val="20"/>
                            <w:szCs w:val="20"/>
                          </w:rPr>
                          <w:t> </w:t>
                        </w:r>
                        <w:r>
                          <w:rPr>
                            <w:rFonts w:ascii="黑体" w:hAnsi="黑体" w:cs="黑体" w:eastAsia="黑体" w:hint="default"/>
                            <w:sz w:val="20"/>
                            <w:szCs w:val="20"/>
                          </w:rPr>
                          <w:t>对股东的分配</w:t>
                        </w:r>
                        <w:r>
                          <w:rPr>
                            <w:rFonts w:ascii="Arial" w:hAnsi="Arial" w:cs="Arial" w:eastAsia="Arial" w:hint="default"/>
                            <w:sz w:val="20"/>
                            <w:szCs w:val="20"/>
                          </w:rPr>
                          <w:t>(</w:t>
                        </w:r>
                        <w:r>
                          <w:rPr>
                            <w:rFonts w:ascii="黑体" w:hAnsi="黑体" w:cs="黑体" w:eastAsia="黑体" w:hint="default"/>
                            <w:sz w:val="20"/>
                            <w:szCs w:val="20"/>
                          </w:rPr>
                          <w:t>附注五、</w:t>
                        </w:r>
                        <w:r>
                          <w:rPr>
                            <w:rFonts w:ascii="Arial" w:hAnsi="Arial" w:cs="Arial" w:eastAsia="Arial" w:hint="default"/>
                            <w:sz w:val="20"/>
                            <w:szCs w:val="20"/>
                          </w:rPr>
                          <w:t>34)</w:t>
                        </w:r>
                      </w:p>
                    </w:tc>
                    <w:tc>
                      <w:tcPr>
                        <w:tcW w:w="1678"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before="19"/>
                          <w:ind w:right="263"/>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446"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before="19"/>
                          <w:ind w:right="12"/>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382"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tabs>
                            <w:tab w:pos="981" w:val="left" w:leader="none"/>
                          </w:tabs>
                          <w:spacing w:line="240" w:lineRule="auto" w:before="19"/>
                          <w:ind w:right="300"/>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610"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before="19"/>
                          <w:ind w:right="209"/>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
                          <w:jc w:val="right"/>
                          <w:rPr>
                            <w:rFonts w:ascii="Arial" w:hAnsi="Arial" w:cs="Arial" w:eastAsia="Arial" w:hint="default"/>
                            <w:sz w:val="20"/>
                            <w:szCs w:val="20"/>
                          </w:rPr>
                        </w:pPr>
                        <w:r>
                          <w:rPr>
                            <w:rFonts w:ascii="Arial"/>
                            <w:sz w:val="20"/>
                          </w:rPr>
                          <w:t>(</w:t>
                        </w:r>
                        <w:r>
                          <w:rPr>
                            <w:rFonts w:ascii="Arial"/>
                            <w:spacing w:val="22"/>
                            <w:sz w:val="20"/>
                          </w:rPr>
                          <w:t> </w:t>
                        </w:r>
                        <w:r>
                          <w:rPr>
                            <w:rFonts w:ascii="Arial"/>
                            <w:spacing w:val="22"/>
                            <w:sz w:val="20"/>
                            <w:u w:val="single" w:color="000000"/>
                          </w:rPr>
                          <w:t> </w:t>
                        </w:r>
                        <w:r>
                          <w:rPr>
                            <w:rFonts w:ascii="Arial"/>
                            <w:sz w:val="20"/>
                            <w:u w:val="single" w:color="000000"/>
                          </w:rPr>
                          <w:t>326,361,347</w:t>
                        </w:r>
                        <w:r>
                          <w:rPr>
                            <w:rFonts w:ascii="Arial"/>
                            <w:sz w:val="20"/>
                          </w:rPr>
                        </w:r>
                      </w:p>
                    </w:tc>
                    <w:tc>
                      <w:tcPr>
                        <w:tcW w:w="25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7" w:right="0"/>
                          <w:jc w:val="left"/>
                          <w:rPr>
                            <w:rFonts w:ascii="Arial" w:hAnsi="Arial" w:cs="Arial" w:eastAsia="Arial" w:hint="default"/>
                            <w:sz w:val="20"/>
                            <w:szCs w:val="20"/>
                          </w:rPr>
                        </w:pPr>
                        <w:r>
                          <w:rPr>
                            <w:rFonts w:ascii="Arial"/>
                            <w:w w:val="99"/>
                            <w:sz w:val="20"/>
                          </w:rPr>
                          <w:t>)</w:t>
                        </w:r>
                        <w:r>
                          <w:rPr>
                            <w:rFonts w:ascii="Arial"/>
                            <w:sz w:val="20"/>
                          </w:rPr>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1"/>
                          <w:jc w:val="right"/>
                          <w:rPr>
                            <w:rFonts w:ascii="Arial" w:hAnsi="Arial" w:cs="Arial" w:eastAsia="Arial" w:hint="default"/>
                            <w:sz w:val="20"/>
                            <w:szCs w:val="20"/>
                          </w:rPr>
                        </w:pPr>
                        <w:r>
                          <w:rPr>
                            <w:rFonts w:ascii="Arial"/>
                            <w:sz w:val="20"/>
                          </w:rPr>
                          <w:t>(</w:t>
                        </w:r>
                        <w:r>
                          <w:rPr>
                            <w:rFonts w:ascii="Arial"/>
                            <w:spacing w:val="34"/>
                            <w:sz w:val="20"/>
                          </w:rPr>
                          <w:t> </w:t>
                        </w:r>
                        <w:r>
                          <w:rPr>
                            <w:rFonts w:ascii="Arial"/>
                            <w:spacing w:val="34"/>
                            <w:sz w:val="20"/>
                            <w:u w:val="single" w:color="000000"/>
                          </w:rPr>
                          <w:t> </w:t>
                        </w:r>
                        <w:r>
                          <w:rPr>
                            <w:rFonts w:ascii="Arial"/>
                            <w:sz w:val="20"/>
                            <w:u w:val="single" w:color="000000"/>
                          </w:rPr>
                          <w:t>326,361,347</w:t>
                        </w:r>
                        <w:r>
                          <w:rPr>
                            <w:rFonts w:ascii="Arial"/>
                            <w:sz w:val="20"/>
                          </w:rPr>
                        </w:r>
                      </w:p>
                    </w:tc>
                    <w:tc>
                      <w:tcPr>
                        <w:tcW w:w="82" w:type="dxa"/>
                        <w:tcBorders>
                          <w:top w:val="nil" w:sz="6" w:space="0" w:color="auto"/>
                          <w:left w:val="nil" w:sz="6" w:space="0" w:color="auto"/>
                          <w:bottom w:val="nil" w:sz="6" w:space="0" w:color="auto"/>
                          <w:right w:val="nil" w:sz="6" w:space="0" w:color="auto"/>
                        </w:tcBorders>
                      </w:tcPr>
                      <w:p>
                        <w:pPr/>
                      </w:p>
                    </w:tc>
                  </w:tr>
                  <w:tr>
                    <w:trPr>
                      <w:trHeight w:val="275" w:hRule="exact"/>
                    </w:trPr>
                    <w:tc>
                      <w:tcPr>
                        <w:tcW w:w="4731" w:type="dxa"/>
                        <w:tcBorders>
                          <w:top w:val="nil" w:sz="6" w:space="0" w:color="auto"/>
                          <w:left w:val="nil" w:sz="6" w:space="0" w:color="auto"/>
                          <w:bottom w:val="nil" w:sz="6" w:space="0" w:color="auto"/>
                          <w:right w:val="nil" w:sz="6" w:space="0" w:color="auto"/>
                        </w:tcBorders>
                      </w:tcPr>
                      <w:p>
                        <w:pPr/>
                      </w:p>
                    </w:tc>
                    <w:tc>
                      <w:tcPr>
                        <w:tcW w:w="1678"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before="13"/>
                          <w:ind w:right="266"/>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446"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before="13"/>
                          <w:ind w:right="12"/>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382"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tabs>
                            <w:tab w:pos="981" w:val="left" w:leader="none"/>
                          </w:tabs>
                          <w:spacing w:line="240" w:lineRule="auto" w:before="13"/>
                          <w:ind w:right="300"/>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13"/>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sz w:val="20"/>
                            <w:u w:val="single" w:color="000000"/>
                          </w:rPr>
                          <w:t>63,985,770</w:t>
                        </w:r>
                        <w:r>
                          <w:rPr>
                            <w:rFonts w:ascii="Arial"/>
                            <w:spacing w:val="-1"/>
                            <w:sz w:val="20"/>
                          </w:rPr>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
                          <w:jc w:val="right"/>
                          <w:rPr>
                            <w:rFonts w:ascii="Arial" w:hAnsi="Arial" w:cs="Arial" w:eastAsia="Arial" w:hint="default"/>
                            <w:sz w:val="20"/>
                            <w:szCs w:val="20"/>
                          </w:rPr>
                        </w:pPr>
                        <w:r>
                          <w:rPr>
                            <w:rFonts w:ascii="Arial"/>
                            <w:sz w:val="20"/>
                          </w:rPr>
                          <w:t>(</w:t>
                        </w:r>
                        <w:r>
                          <w:rPr>
                            <w:rFonts w:ascii="Arial"/>
                            <w:spacing w:val="34"/>
                            <w:sz w:val="20"/>
                          </w:rPr>
                          <w:t> </w:t>
                        </w:r>
                        <w:r>
                          <w:rPr>
                            <w:rFonts w:ascii="Arial"/>
                            <w:spacing w:val="34"/>
                            <w:sz w:val="20"/>
                            <w:u w:val="single" w:color="000000"/>
                          </w:rPr>
                          <w:t> </w:t>
                        </w:r>
                        <w:r>
                          <w:rPr>
                            <w:rFonts w:ascii="Arial"/>
                            <w:sz w:val="20"/>
                            <w:u w:val="single" w:color="000000"/>
                          </w:rPr>
                          <w:t>390,347,117</w:t>
                        </w:r>
                        <w:r>
                          <w:rPr>
                            <w:rFonts w:ascii="Arial"/>
                            <w:sz w:val="20"/>
                          </w:rPr>
                        </w:r>
                      </w:p>
                    </w:tc>
                    <w:tc>
                      <w:tcPr>
                        <w:tcW w:w="25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2" w:right="0"/>
                          <w:jc w:val="left"/>
                          <w:rPr>
                            <w:rFonts w:ascii="Arial" w:hAnsi="Arial" w:cs="Arial" w:eastAsia="Arial" w:hint="default"/>
                            <w:sz w:val="20"/>
                            <w:szCs w:val="20"/>
                          </w:rPr>
                        </w:pPr>
                        <w:r>
                          <w:rPr>
                            <w:rFonts w:ascii="Arial"/>
                            <w:w w:val="99"/>
                            <w:sz w:val="20"/>
                          </w:rPr>
                          <w:t>)</w:t>
                        </w:r>
                        <w:r>
                          <w:rPr>
                            <w:rFonts w:ascii="Arial"/>
                            <w:sz w:val="20"/>
                          </w:rPr>
                        </w: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1"/>
                          <w:jc w:val="right"/>
                          <w:rPr>
                            <w:rFonts w:ascii="Arial" w:hAnsi="Arial" w:cs="Arial" w:eastAsia="Arial" w:hint="default"/>
                            <w:sz w:val="20"/>
                            <w:szCs w:val="20"/>
                          </w:rPr>
                        </w:pPr>
                        <w:r>
                          <w:rPr>
                            <w:rFonts w:ascii="Arial"/>
                            <w:sz w:val="20"/>
                          </w:rPr>
                          <w:t>(</w:t>
                        </w:r>
                        <w:r>
                          <w:rPr>
                            <w:rFonts w:ascii="Arial"/>
                            <w:spacing w:val="34"/>
                            <w:sz w:val="20"/>
                          </w:rPr>
                          <w:t> </w:t>
                        </w:r>
                        <w:r>
                          <w:rPr>
                            <w:rFonts w:ascii="Arial"/>
                            <w:spacing w:val="34"/>
                            <w:sz w:val="20"/>
                            <w:u w:val="single" w:color="000000"/>
                          </w:rPr>
                          <w:t> </w:t>
                        </w:r>
                        <w:r>
                          <w:rPr>
                            <w:rFonts w:ascii="Arial"/>
                            <w:sz w:val="20"/>
                            <w:u w:val="single" w:color="000000"/>
                          </w:rPr>
                          <w:t>326,361,347</w:t>
                        </w:r>
                        <w:r>
                          <w:rPr>
                            <w:rFonts w:ascii="Arial"/>
                            <w:sz w:val="20"/>
                          </w:rPr>
                        </w:r>
                      </w:p>
                    </w:tc>
                    <w:tc>
                      <w:tcPr>
                        <w:tcW w:w="82" w:type="dxa"/>
                        <w:tcBorders>
                          <w:top w:val="nil" w:sz="6" w:space="0" w:color="auto"/>
                          <w:left w:val="nil" w:sz="6" w:space="0" w:color="auto"/>
                          <w:bottom w:val="nil" w:sz="6" w:space="0" w:color="auto"/>
                          <w:right w:val="nil" w:sz="6" w:space="0" w:color="auto"/>
                        </w:tcBorders>
                      </w:tcPr>
                      <w:p>
                        <w:pPr/>
                      </w:p>
                    </w:tc>
                  </w:tr>
                  <w:tr>
                    <w:trPr>
                      <w:trHeight w:val="281" w:hRule="exact"/>
                    </w:trPr>
                    <w:tc>
                      <w:tcPr>
                        <w:tcW w:w="4731" w:type="dxa"/>
                        <w:tcBorders>
                          <w:top w:val="nil" w:sz="6" w:space="0" w:color="auto"/>
                          <w:left w:val="nil" w:sz="6" w:space="0" w:color="auto"/>
                          <w:bottom w:val="nil" w:sz="6" w:space="0" w:color="auto"/>
                          <w:right w:val="nil" w:sz="6" w:space="0" w:color="auto"/>
                        </w:tcBorders>
                      </w:tcPr>
                      <w:p>
                        <w:pPr>
                          <w:pStyle w:val="TableParagraph"/>
                          <w:spacing w:line="250" w:lineRule="exact"/>
                          <w:ind w:left="200" w:right="0"/>
                          <w:jc w:val="left"/>
                          <w:rPr>
                            <w:rFonts w:ascii="黑体" w:hAnsi="黑体" w:cs="黑体" w:eastAsia="黑体" w:hint="default"/>
                            <w:sz w:val="20"/>
                            <w:szCs w:val="20"/>
                          </w:rPr>
                        </w:pPr>
                        <w:r>
                          <w:rPr>
                            <w:rFonts w:ascii="Arial" w:hAnsi="Arial" w:cs="Arial" w:eastAsia="Arial" w:hint="default"/>
                            <w:sz w:val="20"/>
                            <w:szCs w:val="20"/>
                          </w:rPr>
                          <w:t>(</w:t>
                        </w:r>
                        <w:r>
                          <w:rPr>
                            <w:rFonts w:ascii="黑体" w:hAnsi="黑体" w:cs="黑体" w:eastAsia="黑体" w:hint="default"/>
                            <w:sz w:val="20"/>
                            <w:szCs w:val="20"/>
                          </w:rPr>
                          <w:t>五</w:t>
                        </w:r>
                        <w:r>
                          <w:rPr>
                            <w:rFonts w:ascii="Arial" w:hAnsi="Arial" w:cs="Arial" w:eastAsia="Arial" w:hint="default"/>
                            <w:sz w:val="20"/>
                            <w:szCs w:val="20"/>
                          </w:rPr>
                          <w:t>)</w:t>
                        </w:r>
                        <w:r>
                          <w:rPr>
                            <w:rFonts w:ascii="Arial" w:hAnsi="Arial" w:cs="Arial" w:eastAsia="Arial" w:hint="default"/>
                            <w:spacing w:val="39"/>
                            <w:sz w:val="20"/>
                            <w:szCs w:val="20"/>
                          </w:rPr>
                          <w:t> </w:t>
                        </w:r>
                        <w:r>
                          <w:rPr>
                            <w:rFonts w:ascii="黑体" w:hAnsi="黑体" w:cs="黑体" w:eastAsia="黑体" w:hint="default"/>
                            <w:sz w:val="20"/>
                            <w:szCs w:val="20"/>
                          </w:rPr>
                          <w:t>股东权益内部结转</w:t>
                        </w:r>
                      </w:p>
                    </w:tc>
                    <w:tc>
                      <w:tcPr>
                        <w:tcW w:w="1678"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
                    </w:tc>
                    <w:tc>
                      <w:tcPr>
                        <w:tcW w:w="382"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
                    </w:tc>
                    <w:tc>
                      <w:tcPr>
                        <w:tcW w:w="1610" w:type="dxa"/>
                        <w:tcBorders>
                          <w:top w:val="nil" w:sz="6" w:space="0" w:color="auto"/>
                          <w:left w:val="nil" w:sz="6" w:space="0" w:color="auto"/>
                          <w:bottom w:val="nil" w:sz="6" w:space="0" w:color="auto"/>
                          <w:right w:val="nil" w:sz="6" w:space="0" w:color="auto"/>
                        </w:tcBorders>
                      </w:tcPr>
                      <w:p>
                        <w:pPr/>
                      </w:p>
                    </w:tc>
                    <w:tc>
                      <w:tcPr>
                        <w:tcW w:w="1498" w:type="dxa"/>
                        <w:tcBorders>
                          <w:top w:val="nil" w:sz="6" w:space="0" w:color="auto"/>
                          <w:left w:val="nil" w:sz="6" w:space="0" w:color="auto"/>
                          <w:bottom w:val="nil" w:sz="6" w:space="0" w:color="auto"/>
                          <w:right w:val="nil" w:sz="6" w:space="0" w:color="auto"/>
                        </w:tcBorders>
                      </w:tcPr>
                      <w:p>
                        <w:pPr/>
                      </w:p>
                    </w:tc>
                    <w:tc>
                      <w:tcPr>
                        <w:tcW w:w="253"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
                    </w:tc>
                    <w:tc>
                      <w:tcPr>
                        <w:tcW w:w="82" w:type="dxa"/>
                        <w:tcBorders>
                          <w:top w:val="nil" w:sz="6" w:space="0" w:color="auto"/>
                          <w:left w:val="nil" w:sz="6" w:space="0" w:color="auto"/>
                          <w:bottom w:val="nil" w:sz="6" w:space="0" w:color="auto"/>
                          <w:right w:val="nil" w:sz="6" w:space="0" w:color="auto"/>
                        </w:tcBorders>
                      </w:tcPr>
                      <w:p>
                        <w:pPr/>
                      </w:p>
                    </w:tc>
                  </w:tr>
                  <w:tr>
                    <w:trPr>
                      <w:trHeight w:val="431" w:hRule="exact"/>
                    </w:trPr>
                    <w:tc>
                      <w:tcPr>
                        <w:tcW w:w="4731" w:type="dxa"/>
                        <w:tcBorders>
                          <w:top w:val="nil" w:sz="6" w:space="0" w:color="auto"/>
                          <w:left w:val="nil" w:sz="6" w:space="0" w:color="auto"/>
                          <w:bottom w:val="nil" w:sz="6" w:space="0" w:color="auto"/>
                          <w:right w:val="nil" w:sz="6" w:space="0" w:color="auto"/>
                        </w:tcBorders>
                      </w:tcPr>
                      <w:p>
                        <w:pPr>
                          <w:pStyle w:val="TableParagraph"/>
                          <w:spacing w:line="250" w:lineRule="exact"/>
                          <w:ind w:left="387" w:right="0"/>
                          <w:jc w:val="left"/>
                          <w:rPr>
                            <w:rFonts w:ascii="Arial" w:hAnsi="Arial" w:cs="Arial" w:eastAsia="Arial" w:hint="default"/>
                            <w:sz w:val="20"/>
                            <w:szCs w:val="20"/>
                          </w:rPr>
                        </w:pPr>
                        <w:r>
                          <w:rPr>
                            <w:rFonts w:ascii="Arial" w:hAnsi="Arial" w:cs="Arial" w:eastAsia="Arial" w:hint="default"/>
                            <w:sz w:val="20"/>
                            <w:szCs w:val="20"/>
                          </w:rPr>
                          <w:t>1.</w:t>
                        </w:r>
                        <w:r>
                          <w:rPr>
                            <w:rFonts w:ascii="Arial" w:hAnsi="Arial" w:cs="Arial" w:eastAsia="Arial" w:hint="default"/>
                            <w:spacing w:val="15"/>
                            <w:sz w:val="20"/>
                            <w:szCs w:val="20"/>
                          </w:rPr>
                          <w:t> </w:t>
                        </w:r>
                        <w:r>
                          <w:rPr>
                            <w:rFonts w:ascii="黑体" w:hAnsi="黑体" w:cs="黑体" w:eastAsia="黑体" w:hint="default"/>
                            <w:sz w:val="20"/>
                            <w:szCs w:val="20"/>
                          </w:rPr>
                          <w:t>资本公积转增股本</w:t>
                        </w:r>
                        <w:r>
                          <w:rPr>
                            <w:rFonts w:ascii="Arial" w:hAnsi="Arial" w:cs="Arial" w:eastAsia="Arial" w:hint="default"/>
                            <w:sz w:val="20"/>
                            <w:szCs w:val="20"/>
                          </w:rPr>
                          <w:t>(</w:t>
                        </w:r>
                        <w:r>
                          <w:rPr>
                            <w:rFonts w:ascii="黑体" w:hAnsi="黑体" w:cs="黑体" w:eastAsia="黑体" w:hint="default"/>
                            <w:sz w:val="20"/>
                            <w:szCs w:val="20"/>
                          </w:rPr>
                          <w:t>附注五、</w:t>
                        </w:r>
                        <w:r>
                          <w:rPr>
                            <w:rFonts w:ascii="Arial" w:hAnsi="Arial" w:cs="Arial" w:eastAsia="Arial" w:hint="default"/>
                            <w:sz w:val="20"/>
                            <w:szCs w:val="20"/>
                          </w:rPr>
                          <w:t>30)</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68"/>
                          <w:jc w:val="right"/>
                          <w:rPr>
                            <w:rFonts w:ascii="Arial" w:hAnsi="Arial" w:cs="Arial" w:eastAsia="Arial" w:hint="default"/>
                            <w:sz w:val="20"/>
                            <w:szCs w:val="20"/>
                          </w:rPr>
                        </w:pPr>
                        <w:r>
                          <w:rPr>
                            <w:rFonts w:ascii="Arial"/>
                            <w:w w:val="99"/>
                            <w:sz w:val="20"/>
                          </w:rPr>
                        </w:r>
                        <w:r>
                          <w:rPr>
                            <w:rFonts w:ascii="Arial"/>
                            <w:spacing w:val="-1"/>
                            <w:sz w:val="20"/>
                            <w:u w:val="single" w:color="000000"/>
                          </w:rPr>
                          <w:t>163,180,673</w:t>
                        </w:r>
                        <w:r>
                          <w:rPr>
                            <w:rFonts w:ascii="Arial"/>
                            <w:spacing w:val="-1"/>
                            <w:sz w:val="20"/>
                          </w:rPr>
                        </w:r>
                        <w:r>
                          <w:rPr>
                            <w:rFonts w:ascii="Arial"/>
                            <w:sz w:val="20"/>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
                          <w:jc w:val="right"/>
                          <w:rPr>
                            <w:rFonts w:ascii="Arial" w:hAnsi="Arial" w:cs="Arial" w:eastAsia="Arial" w:hint="default"/>
                            <w:sz w:val="20"/>
                            <w:szCs w:val="20"/>
                          </w:rPr>
                        </w:pPr>
                        <w:r>
                          <w:rPr>
                            <w:rFonts w:ascii="Arial"/>
                            <w:spacing w:val="-1"/>
                            <w:sz w:val="20"/>
                          </w:rPr>
                          <w:t>(</w:t>
                        </w:r>
                        <w:r>
                          <w:rPr>
                            <w:rFonts w:ascii="Arial"/>
                            <w:spacing w:val="-1"/>
                            <w:sz w:val="20"/>
                            <w:u w:val="single" w:color="000000"/>
                          </w:rPr>
                          <w:t>163,180,673</w:t>
                        </w:r>
                        <w:r>
                          <w:rPr>
                            <w:rFonts w:ascii="Arial"/>
                            <w:spacing w:val="-1"/>
                            <w:sz w:val="20"/>
                          </w:rPr>
                        </w:r>
                        <w:r>
                          <w:rPr>
                            <w:rFonts w:ascii="Arial"/>
                            <w:sz w:val="20"/>
                          </w:rPr>
                        </w:r>
                      </w:p>
                    </w:tc>
                    <w:tc>
                      <w:tcPr>
                        <w:tcW w:w="38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0"/>
                          <w:jc w:val="left"/>
                          <w:rPr>
                            <w:rFonts w:ascii="Arial" w:hAnsi="Arial" w:cs="Arial" w:eastAsia="Arial" w:hint="default"/>
                            <w:sz w:val="20"/>
                            <w:szCs w:val="20"/>
                          </w:rPr>
                        </w:pPr>
                        <w:r>
                          <w:rPr>
                            <w:rFonts w:ascii="Arial"/>
                            <w:w w:val="99"/>
                            <w:sz w:val="20"/>
                          </w:rPr>
                          <w:t>)</w:t>
                        </w:r>
                        <w:r>
                          <w:rPr>
                            <w:rFonts w:ascii="Arial"/>
                            <w:sz w:val="20"/>
                          </w:rPr>
                        </w:r>
                      </w:p>
                    </w:tc>
                    <w:tc>
                      <w:tcPr>
                        <w:tcW w:w="1606" w:type="dxa"/>
                        <w:tcBorders>
                          <w:top w:val="nil" w:sz="6" w:space="0" w:color="auto"/>
                          <w:left w:val="nil" w:sz="6" w:space="0" w:color="auto"/>
                          <w:bottom w:val="nil" w:sz="6" w:space="0" w:color="auto"/>
                          <w:right w:val="nil" w:sz="6" w:space="0" w:color="auto"/>
                        </w:tcBorders>
                      </w:tcPr>
                      <w:p>
                        <w:pPr>
                          <w:pStyle w:val="TableParagraph"/>
                          <w:tabs>
                            <w:tab w:pos="981" w:val="left" w:leader="none"/>
                          </w:tabs>
                          <w:spacing w:line="240" w:lineRule="auto" w:before="19"/>
                          <w:ind w:right="286"/>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610"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before="19"/>
                          <w:ind w:right="209"/>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498" w:type="dxa"/>
                        <w:tcBorders>
                          <w:top w:val="nil" w:sz="6" w:space="0" w:color="auto"/>
                          <w:left w:val="nil" w:sz="6" w:space="0" w:color="auto"/>
                          <w:bottom w:val="nil" w:sz="6" w:space="0" w:color="auto"/>
                          <w:right w:val="nil" w:sz="6" w:space="0" w:color="auto"/>
                        </w:tcBorders>
                      </w:tcPr>
                      <w:p>
                        <w:pPr>
                          <w:pStyle w:val="TableParagraph"/>
                          <w:tabs>
                            <w:tab w:pos="1101" w:val="left" w:leader="none"/>
                          </w:tabs>
                          <w:spacing w:line="240" w:lineRule="auto" w:before="19"/>
                          <w:ind w:right="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253"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Style w:val="TableParagraph"/>
                          <w:tabs>
                            <w:tab w:pos="1142" w:val="left" w:leader="none"/>
                          </w:tabs>
                          <w:spacing w:line="240" w:lineRule="auto" w:before="19"/>
                          <w:ind w:right="2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82" w:type="dxa"/>
                        <w:tcBorders>
                          <w:top w:val="nil" w:sz="6" w:space="0" w:color="auto"/>
                          <w:left w:val="nil" w:sz="6" w:space="0" w:color="auto"/>
                          <w:bottom w:val="nil" w:sz="6" w:space="0" w:color="auto"/>
                          <w:right w:val="nil" w:sz="6" w:space="0" w:color="auto"/>
                        </w:tcBorders>
                      </w:tcPr>
                      <w:p>
                        <w:pPr/>
                      </w:p>
                    </w:tc>
                  </w:tr>
                  <w:tr>
                    <w:trPr>
                      <w:trHeight w:val="395" w:hRule="exact"/>
                    </w:trPr>
                    <w:tc>
                      <w:tcPr>
                        <w:tcW w:w="4731"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200" w:right="0"/>
                          <w:jc w:val="left"/>
                          <w:rPr>
                            <w:rFonts w:ascii="黑体" w:hAnsi="黑体" w:cs="黑体" w:eastAsia="黑体" w:hint="default"/>
                            <w:sz w:val="20"/>
                            <w:szCs w:val="20"/>
                          </w:rPr>
                        </w:pPr>
                        <w:r>
                          <w:rPr>
                            <w:rFonts w:ascii="黑体" w:hAnsi="黑体" w:cs="黑体" w:eastAsia="黑体" w:hint="default"/>
                            <w:sz w:val="20"/>
                            <w:szCs w:val="20"/>
                          </w:rPr>
                          <w:t>三、本年年末余额</w:t>
                        </w:r>
                      </w:p>
                    </w:tc>
                    <w:tc>
                      <w:tcPr>
                        <w:tcW w:w="1678"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268"/>
                          <w:jc w:val="right"/>
                          <w:rPr>
                            <w:rFonts w:ascii="Arial" w:hAnsi="Arial" w:cs="Arial" w:eastAsia="Arial" w:hint="default"/>
                            <w:sz w:val="20"/>
                            <w:szCs w:val="20"/>
                          </w:rPr>
                        </w:pPr>
                        <w:r>
                          <w:rPr>
                            <w:rFonts w:ascii="Arial"/>
                            <w:w w:val="99"/>
                            <w:sz w:val="20"/>
                          </w:rPr>
                        </w:r>
                        <w:r>
                          <w:rPr>
                            <w:rFonts w:ascii="Arial"/>
                            <w:spacing w:val="-1"/>
                            <w:sz w:val="20"/>
                            <w:u w:val="thick" w:color="000000"/>
                          </w:rPr>
                          <w:t>979,084,040</w:t>
                        </w:r>
                        <w:r>
                          <w:rPr>
                            <w:rFonts w:ascii="Arial"/>
                            <w:spacing w:val="-1"/>
                            <w:sz w:val="20"/>
                          </w:rPr>
                        </w:r>
                        <w:r>
                          <w:rPr>
                            <w:rFonts w:ascii="Arial"/>
                            <w:sz w:val="20"/>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17"/>
                          <w:jc w:val="right"/>
                          <w:rPr>
                            <w:rFonts w:ascii="Arial" w:hAnsi="Arial" w:cs="Arial" w:eastAsia="Arial" w:hint="default"/>
                            <w:sz w:val="20"/>
                            <w:szCs w:val="20"/>
                          </w:rPr>
                        </w:pPr>
                        <w:r>
                          <w:rPr>
                            <w:rFonts w:ascii="Arial"/>
                            <w:w w:val="99"/>
                            <w:sz w:val="20"/>
                          </w:rPr>
                        </w:r>
                        <w:r>
                          <w:rPr>
                            <w:rFonts w:ascii="Arial"/>
                            <w:spacing w:val="-1"/>
                            <w:sz w:val="20"/>
                            <w:u w:val="thick" w:color="000000"/>
                          </w:rPr>
                          <w:t>593,127,327</w:t>
                        </w:r>
                        <w:r>
                          <w:rPr>
                            <w:rFonts w:ascii="Arial"/>
                            <w:spacing w:val="-1"/>
                            <w:sz w:val="20"/>
                          </w:rPr>
                        </w:r>
                        <w:r>
                          <w:rPr>
                            <w:rFonts w:ascii="Arial"/>
                            <w:sz w:val="20"/>
                          </w:rPr>
                        </w:r>
                      </w:p>
                    </w:tc>
                    <w:tc>
                      <w:tcPr>
                        <w:tcW w:w="382" w:type="dxa"/>
                        <w:tcBorders>
                          <w:top w:val="nil" w:sz="6" w:space="0" w:color="auto"/>
                          <w:left w:val="nil" w:sz="6" w:space="0" w:color="auto"/>
                          <w:bottom w:val="nil" w:sz="6" w:space="0" w:color="auto"/>
                          <w:right w:val="nil" w:sz="6" w:space="0" w:color="auto"/>
                        </w:tcBorders>
                      </w:tcPr>
                      <w:p>
                        <w:pP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304"/>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pacing w:val="-20"/>
                            <w:sz w:val="20"/>
                            <w:u w:val="thick" w:color="000000"/>
                          </w:rPr>
                          <w:t> </w:t>
                        </w:r>
                        <w:r>
                          <w:rPr>
                            <w:rFonts w:ascii="Arial"/>
                            <w:spacing w:val="-1"/>
                            <w:sz w:val="20"/>
                            <w:u w:val="thick" w:color="000000"/>
                          </w:rPr>
                          <w:t>20,001,895</w:t>
                        </w:r>
                        <w:r>
                          <w:rPr>
                            <w:rFonts w:ascii="Arial"/>
                            <w:spacing w:val="-1"/>
                            <w:sz w:val="20"/>
                          </w:rPr>
                        </w:r>
                      </w:p>
                    </w:tc>
                    <w:tc>
                      <w:tcPr>
                        <w:tcW w:w="1610"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214"/>
                          <w:jc w:val="right"/>
                          <w:rPr>
                            <w:rFonts w:ascii="Arial" w:hAnsi="Arial" w:cs="Arial" w:eastAsia="Arial" w:hint="default"/>
                            <w:sz w:val="20"/>
                            <w:szCs w:val="20"/>
                          </w:rPr>
                        </w:pPr>
                        <w:r>
                          <w:rPr>
                            <w:rFonts w:ascii="Arial"/>
                            <w:w w:val="99"/>
                            <w:sz w:val="20"/>
                          </w:rPr>
                        </w:r>
                        <w:r>
                          <w:rPr>
                            <w:rFonts w:ascii="Arial"/>
                            <w:spacing w:val="-1"/>
                            <w:sz w:val="20"/>
                            <w:u w:val="thick" w:color="000000"/>
                          </w:rPr>
                          <w:t>455,383,772</w:t>
                        </w:r>
                        <w:r>
                          <w:rPr>
                            <w:rFonts w:ascii="Arial"/>
                            <w:spacing w:val="-1"/>
                            <w:sz w:val="20"/>
                          </w:rPr>
                        </w:r>
                        <w:r>
                          <w:rPr>
                            <w:rFonts w:ascii="Arial"/>
                            <w:sz w:val="20"/>
                          </w:rPr>
                        </w:r>
                      </w:p>
                    </w:tc>
                    <w:tc>
                      <w:tcPr>
                        <w:tcW w:w="1498"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7"/>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pacing w:val="-11"/>
                            <w:sz w:val="20"/>
                            <w:u w:val="thick" w:color="000000"/>
                          </w:rPr>
                          <w:t> </w:t>
                        </w:r>
                        <w:r>
                          <w:rPr>
                            <w:rFonts w:ascii="Arial"/>
                            <w:spacing w:val="-1"/>
                            <w:sz w:val="20"/>
                            <w:u w:val="thick" w:color="000000"/>
                          </w:rPr>
                          <w:t>970,830,663</w:t>
                        </w:r>
                        <w:r>
                          <w:rPr>
                            <w:rFonts w:ascii="Arial"/>
                            <w:spacing w:val="-1"/>
                            <w:sz w:val="20"/>
                          </w:rPr>
                        </w:r>
                        <w:r>
                          <w:rPr>
                            <w:rFonts w:ascii="Arial"/>
                            <w:sz w:val="20"/>
                          </w:rPr>
                        </w:r>
                      </w:p>
                    </w:tc>
                    <w:tc>
                      <w:tcPr>
                        <w:tcW w:w="253" w:type="dxa"/>
                        <w:tcBorders>
                          <w:top w:val="nil" w:sz="6" w:space="0" w:color="auto"/>
                          <w:left w:val="nil" w:sz="6" w:space="0" w:color="auto"/>
                          <w:bottom w:val="nil" w:sz="6" w:space="0" w:color="auto"/>
                          <w:right w:val="nil" w:sz="6" w:space="0" w:color="auto"/>
                        </w:tcBorders>
                      </w:tcPr>
                      <w:p>
                        <w:pPr/>
                      </w:p>
                    </w:tc>
                    <w:tc>
                      <w:tcPr>
                        <w:tcW w:w="1455"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11"/>
                          <w:jc w:val="right"/>
                          <w:rPr>
                            <w:rFonts w:ascii="Arial" w:hAnsi="Arial" w:cs="Arial" w:eastAsia="Arial" w:hint="default"/>
                            <w:sz w:val="20"/>
                            <w:szCs w:val="20"/>
                          </w:rPr>
                        </w:pPr>
                        <w:r>
                          <w:rPr>
                            <w:rFonts w:ascii="Arial"/>
                            <w:w w:val="99"/>
                            <w:sz w:val="20"/>
                          </w:rPr>
                        </w:r>
                        <w:r>
                          <w:rPr>
                            <w:rFonts w:ascii="Arial"/>
                            <w:spacing w:val="-1"/>
                            <w:sz w:val="20"/>
                            <w:u w:val="thick" w:color="000000"/>
                          </w:rPr>
                          <w:t>2,978,423,907</w:t>
                        </w:r>
                        <w:r>
                          <w:rPr>
                            <w:rFonts w:ascii="Arial"/>
                            <w:spacing w:val="-1"/>
                            <w:sz w:val="20"/>
                          </w:rPr>
                        </w:r>
                        <w:r>
                          <w:rPr>
                            <w:rFonts w:ascii="Arial"/>
                            <w:sz w:val="20"/>
                          </w:rPr>
                        </w:r>
                      </w:p>
                    </w:tc>
                    <w:tc>
                      <w:tcPr>
                        <w:tcW w:w="82"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Arial"/>
          <w:w w:val="99"/>
        </w:rPr>
        <w:t>)</w:t>
      </w:r>
      <w:r>
        <w:rPr>
          <w:rFonts w:ascii="Arial"/>
        </w:rPr>
      </w:r>
    </w:p>
    <w:p>
      <w:pPr>
        <w:pStyle w:val="BodyText"/>
        <w:spacing w:line="240" w:lineRule="auto" w:before="51"/>
        <w:ind w:left="0" w:right="179"/>
        <w:jc w:val="right"/>
        <w:rPr>
          <w:rFonts w:ascii="Arial" w:hAnsi="Arial" w:cs="Arial" w:eastAsia="Arial" w:hint="default"/>
        </w:rPr>
      </w:pPr>
      <w:r>
        <w:rPr>
          <w:rFonts w:ascii="Arial"/>
          <w:w w:val="99"/>
        </w:rPr>
        <w:t>)</w:t>
      </w:r>
      <w:r>
        <w:rPr>
          <w:rFonts w:ascii="Arial"/>
        </w:rPr>
      </w:r>
    </w:p>
    <w:p>
      <w:pPr>
        <w:pStyle w:val="BodyText"/>
        <w:spacing w:line="240" w:lineRule="auto" w:before="51"/>
        <w:ind w:left="0" w:right="179"/>
        <w:jc w:val="right"/>
        <w:rPr>
          <w:rFonts w:ascii="Arial" w:hAnsi="Arial" w:cs="Arial" w:eastAsia="Arial" w:hint="default"/>
        </w:rPr>
      </w:pPr>
      <w:r>
        <w:rPr>
          <w:rFonts w:ascii="Arial"/>
          <w:w w:val="99"/>
        </w:rPr>
        <w:t>)</w:t>
      </w:r>
      <w:r>
        <w:rPr>
          <w:rFonts w:ascii="Arial"/>
        </w:rPr>
      </w:r>
    </w:p>
    <w:p>
      <w:pPr>
        <w:spacing w:line="240" w:lineRule="auto" w:before="0"/>
        <w:rPr>
          <w:rFonts w:ascii="Arial" w:hAnsi="Arial" w:cs="Arial" w:eastAsia="Arial" w:hint="default"/>
          <w:sz w:val="20"/>
          <w:szCs w:val="20"/>
        </w:rPr>
      </w:pPr>
    </w:p>
    <w:p>
      <w:pPr>
        <w:spacing w:line="240" w:lineRule="auto" w:before="9"/>
        <w:rPr>
          <w:rFonts w:ascii="Arial" w:hAnsi="Arial" w:cs="Arial" w:eastAsia="Arial" w:hint="default"/>
          <w:sz w:val="25"/>
          <w:szCs w:val="25"/>
        </w:rPr>
      </w:pPr>
    </w:p>
    <w:p>
      <w:pPr>
        <w:pStyle w:val="BodyText"/>
        <w:spacing w:line="240" w:lineRule="auto" w:before="83"/>
        <w:ind w:left="0" w:right="179"/>
        <w:jc w:val="right"/>
        <w:rPr>
          <w:rFonts w:ascii="Arial" w:hAnsi="Arial" w:cs="Arial" w:eastAsia="Arial" w:hint="default"/>
        </w:rPr>
      </w:pPr>
      <w:r>
        <w:rPr>
          <w:rFonts w:ascii="Arial"/>
          <w:w w:val="99"/>
        </w:rPr>
        <w:t>)</w:t>
      </w:r>
      <w:r>
        <w:rPr>
          <w:rFonts w:ascii="Arial"/>
        </w:rPr>
      </w:r>
    </w:p>
    <w:p>
      <w:pPr>
        <w:pStyle w:val="BodyText"/>
        <w:spacing w:line="240" w:lineRule="auto" w:before="48"/>
        <w:ind w:left="0" w:right="165"/>
        <w:jc w:val="right"/>
        <w:rPr>
          <w:rFonts w:ascii="Arial" w:hAnsi="Arial" w:cs="Arial" w:eastAsia="Arial" w:hint="default"/>
        </w:rPr>
      </w:pPr>
      <w:r>
        <w:rPr>
          <w:rFonts w:ascii="Arial"/>
          <w:w w:val="99"/>
        </w:rPr>
        <w:t>)</w:t>
      </w:r>
      <w:r>
        <w:rPr>
          <w:rFonts w:ascii="Arial"/>
        </w:rPr>
      </w:r>
    </w:p>
    <w:p>
      <w:pPr>
        <w:spacing w:after="0" w:line="240" w:lineRule="auto"/>
        <w:jc w:val="right"/>
        <w:rPr>
          <w:rFonts w:ascii="Arial" w:hAnsi="Arial" w:cs="Arial" w:eastAsia="Arial" w:hint="default"/>
        </w:rPr>
        <w:sectPr>
          <w:headerReference w:type="default" r:id="rId47"/>
          <w:footerReference w:type="default" r:id="rId48"/>
          <w:pgSz w:w="16850" w:h="11910" w:orient="landscape"/>
          <w:pgMar w:header="957" w:footer="487" w:top="1160" w:bottom="680" w:left="820" w:right="1000"/>
          <w:pgNumType w:start="13"/>
        </w:sectPr>
      </w:pPr>
    </w:p>
    <w:p>
      <w:pPr>
        <w:pStyle w:val="Heading4"/>
        <w:spacing w:line="292" w:lineRule="auto"/>
        <w:ind w:left="6944" w:right="6077" w:hanging="831"/>
        <w:jc w:val="left"/>
        <w:rPr>
          <w:b w:val="0"/>
          <w:bCs w:val="0"/>
        </w:rPr>
      </w:pPr>
      <w:r>
        <w:rPr/>
        <w:t>公司股东权益变动表（续）</w:t>
      </w:r>
      <w:r>
        <w:rPr>
          <w:w w:val="99"/>
        </w:rPr>
        <w:t> </w:t>
      </w:r>
      <w:r>
        <w:rPr>
          <w:rFonts w:ascii="Arial" w:hAnsi="Arial" w:cs="Arial" w:eastAsia="Arial" w:hint="default"/>
        </w:rPr>
        <w:t>2012</w:t>
      </w:r>
      <w:r>
        <w:rPr>
          <w:rFonts w:ascii="Arial" w:hAnsi="Arial" w:cs="Arial" w:eastAsia="Arial" w:hint="default"/>
          <w:spacing w:val="-8"/>
        </w:rPr>
        <w:t> </w:t>
      </w:r>
      <w:r>
        <w:rPr/>
        <w:t>年度</w:t>
      </w:r>
      <w:r>
        <w:rPr>
          <w:w w:val="99"/>
        </w:rPr>
        <w:t> </w:t>
      </w:r>
      <w:r>
        <w:rPr/>
        <w:t>人民币元</w:t>
      </w:r>
      <w:r>
        <w:rPr>
          <w:b w:val="0"/>
          <w:bCs w:val="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0"/>
        <w:rPr>
          <w:rFonts w:ascii="黑体" w:hAnsi="黑体" w:cs="黑体" w:eastAsia="黑体" w:hint="default"/>
          <w:b/>
          <w:bCs/>
          <w:sz w:val="22"/>
          <w:szCs w:val="22"/>
        </w:rPr>
      </w:pPr>
    </w:p>
    <w:p>
      <w:pPr>
        <w:pStyle w:val="BodyText"/>
        <w:spacing w:line="240" w:lineRule="auto" w:before="83"/>
        <w:ind w:left="0" w:right="215"/>
        <w:jc w:val="right"/>
        <w:rPr>
          <w:rFonts w:ascii="Arial" w:hAnsi="Arial" w:cs="Arial" w:eastAsia="Arial" w:hint="default"/>
        </w:rPr>
      </w:pPr>
      <w:r>
        <w:rPr/>
        <w:pict>
          <v:shape style="position:absolute;margin-left:54.953159pt;margin-top:-210.255112pt;width:731.3pt;height:296.75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148"/>
                    <w:gridCol w:w="1359"/>
                    <w:gridCol w:w="468"/>
                    <w:gridCol w:w="1718"/>
                    <w:gridCol w:w="1997"/>
                    <w:gridCol w:w="1807"/>
                    <w:gridCol w:w="322"/>
                    <w:gridCol w:w="1626"/>
                    <w:gridCol w:w="78"/>
                    <w:gridCol w:w="101"/>
                  </w:tblGrid>
                  <w:tr>
                    <w:trPr>
                      <w:trHeight w:val="612" w:hRule="exact"/>
                    </w:trPr>
                    <w:tc>
                      <w:tcPr>
                        <w:tcW w:w="5148" w:type="dxa"/>
                        <w:tcBorders>
                          <w:top w:val="single" w:sz="13" w:space="0" w:color="000000"/>
                          <w:left w:val="nil" w:sz="6" w:space="0" w:color="auto"/>
                          <w:bottom w:val="nil" w:sz="6" w:space="0" w:color="auto"/>
                          <w:right w:val="nil" w:sz="6" w:space="0" w:color="auto"/>
                        </w:tcBorders>
                      </w:tcPr>
                      <w:p>
                        <w:pPr/>
                      </w:p>
                    </w:tc>
                    <w:tc>
                      <w:tcPr>
                        <w:tcW w:w="1359" w:type="dxa"/>
                        <w:tcBorders>
                          <w:top w:val="single" w:sz="13" w:space="0" w:color="000000"/>
                          <w:left w:val="nil" w:sz="6" w:space="0" w:color="auto"/>
                          <w:bottom w:val="single" w:sz="4" w:space="0" w:color="000000"/>
                          <w:right w:val="nil" w:sz="6" w:space="0" w:color="auto"/>
                        </w:tcBorders>
                      </w:tcPr>
                      <w:p>
                        <w:pPr/>
                      </w:p>
                    </w:tc>
                    <w:tc>
                      <w:tcPr>
                        <w:tcW w:w="468" w:type="dxa"/>
                        <w:tcBorders>
                          <w:top w:val="single" w:sz="13" w:space="0" w:color="000000"/>
                          <w:left w:val="nil" w:sz="6" w:space="0" w:color="auto"/>
                          <w:bottom w:val="single" w:sz="4" w:space="0" w:color="000000"/>
                          <w:right w:val="nil" w:sz="6" w:space="0" w:color="auto"/>
                        </w:tcBorders>
                      </w:tcPr>
                      <w:p>
                        <w:pPr/>
                      </w:p>
                    </w:tc>
                    <w:tc>
                      <w:tcPr>
                        <w:tcW w:w="1718" w:type="dxa"/>
                        <w:tcBorders>
                          <w:top w:val="single" w:sz="13" w:space="0" w:color="000000"/>
                          <w:left w:val="nil" w:sz="6" w:space="0" w:color="auto"/>
                          <w:bottom w:val="single" w:sz="4" w:space="0" w:color="000000"/>
                          <w:right w:val="nil" w:sz="6" w:space="0" w:color="auto"/>
                        </w:tcBorders>
                      </w:tcPr>
                      <w:p>
                        <w:pPr/>
                      </w:p>
                    </w:tc>
                    <w:tc>
                      <w:tcPr>
                        <w:tcW w:w="1997" w:type="dxa"/>
                        <w:tcBorders>
                          <w:top w:val="single" w:sz="13"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Arial" w:hAnsi="Arial" w:cs="Arial" w:eastAsia="Arial" w:hint="default"/>
                            <w:sz w:val="24"/>
                            <w:szCs w:val="24"/>
                          </w:rPr>
                        </w:pPr>
                      </w:p>
                      <w:p>
                        <w:pPr>
                          <w:pStyle w:val="TableParagraph"/>
                          <w:spacing w:line="240" w:lineRule="auto"/>
                          <w:ind w:right="521"/>
                          <w:jc w:val="right"/>
                          <w:rPr>
                            <w:rFonts w:ascii="黑体" w:hAnsi="黑体" w:cs="黑体" w:eastAsia="黑体" w:hint="default"/>
                            <w:sz w:val="20"/>
                            <w:szCs w:val="20"/>
                          </w:rPr>
                        </w:pPr>
                        <w:r>
                          <w:rPr>
                            <w:rFonts w:ascii="Arial" w:hAnsi="Arial" w:cs="Arial" w:eastAsia="Arial" w:hint="default"/>
                            <w:b/>
                            <w:bCs/>
                            <w:spacing w:val="-1"/>
                            <w:w w:val="95"/>
                            <w:sz w:val="20"/>
                            <w:szCs w:val="20"/>
                          </w:rPr>
                          <w:t>2011</w:t>
                        </w:r>
                        <w:r>
                          <w:rPr>
                            <w:rFonts w:ascii="黑体" w:hAnsi="黑体" w:cs="黑体" w:eastAsia="黑体" w:hint="default"/>
                            <w:b/>
                            <w:bCs/>
                            <w:spacing w:val="-1"/>
                            <w:w w:val="95"/>
                            <w:sz w:val="20"/>
                            <w:szCs w:val="20"/>
                          </w:rPr>
                          <w:t>年</w:t>
                        </w:r>
                        <w:r>
                          <w:rPr>
                            <w:rFonts w:ascii="黑体" w:hAnsi="黑体" w:cs="黑体" w:eastAsia="黑体" w:hint="default"/>
                            <w:spacing w:val="-1"/>
                            <w:sz w:val="20"/>
                            <w:szCs w:val="20"/>
                          </w:rPr>
                        </w:r>
                      </w:p>
                    </w:tc>
                    <w:tc>
                      <w:tcPr>
                        <w:tcW w:w="1807" w:type="dxa"/>
                        <w:tcBorders>
                          <w:top w:val="single" w:sz="13" w:space="0" w:color="000000"/>
                          <w:left w:val="nil" w:sz="6" w:space="0" w:color="auto"/>
                          <w:bottom w:val="single" w:sz="4" w:space="0" w:color="000000"/>
                          <w:right w:val="nil" w:sz="6" w:space="0" w:color="auto"/>
                        </w:tcBorders>
                      </w:tcPr>
                      <w:p>
                        <w:pPr/>
                      </w:p>
                    </w:tc>
                    <w:tc>
                      <w:tcPr>
                        <w:tcW w:w="322" w:type="dxa"/>
                        <w:tcBorders>
                          <w:top w:val="single" w:sz="13" w:space="0" w:color="000000"/>
                          <w:left w:val="nil" w:sz="6" w:space="0" w:color="auto"/>
                          <w:bottom w:val="single" w:sz="4" w:space="0" w:color="000000"/>
                          <w:right w:val="nil" w:sz="6" w:space="0" w:color="auto"/>
                        </w:tcBorders>
                      </w:tcPr>
                      <w:p>
                        <w:pPr/>
                      </w:p>
                    </w:tc>
                    <w:tc>
                      <w:tcPr>
                        <w:tcW w:w="1626" w:type="dxa"/>
                        <w:tcBorders>
                          <w:top w:val="single" w:sz="13" w:space="0" w:color="000000"/>
                          <w:left w:val="nil" w:sz="6" w:space="0" w:color="auto"/>
                          <w:bottom w:val="single" w:sz="4" w:space="0" w:color="000000"/>
                          <w:right w:val="nil" w:sz="6" w:space="0" w:color="auto"/>
                        </w:tcBorders>
                      </w:tcPr>
                      <w:p>
                        <w:pPr/>
                      </w:p>
                    </w:tc>
                    <w:tc>
                      <w:tcPr>
                        <w:tcW w:w="78" w:type="dxa"/>
                        <w:tcBorders>
                          <w:top w:val="single" w:sz="13" w:space="0" w:color="000000"/>
                          <w:left w:val="nil" w:sz="6" w:space="0" w:color="auto"/>
                          <w:bottom w:val="nil" w:sz="6" w:space="0" w:color="auto"/>
                          <w:right w:val="nil" w:sz="6" w:space="0" w:color="auto"/>
                        </w:tcBorders>
                      </w:tcPr>
                      <w:p>
                        <w:pPr/>
                      </w:p>
                    </w:tc>
                    <w:tc>
                      <w:tcPr>
                        <w:tcW w:w="101" w:type="dxa"/>
                        <w:tcBorders>
                          <w:top w:val="single" w:sz="13" w:space="0" w:color="000000"/>
                          <w:left w:val="nil" w:sz="6" w:space="0" w:color="auto"/>
                          <w:bottom w:val="nil" w:sz="6" w:space="0" w:color="auto"/>
                          <w:right w:val="nil" w:sz="6" w:space="0" w:color="auto"/>
                        </w:tcBorders>
                      </w:tcPr>
                      <w:p>
                        <w:pPr/>
                      </w:p>
                    </w:tc>
                  </w:tr>
                  <w:tr>
                    <w:trPr>
                      <w:trHeight w:val="414" w:hRule="exact"/>
                    </w:trPr>
                    <w:tc>
                      <w:tcPr>
                        <w:tcW w:w="5148" w:type="dxa"/>
                        <w:tcBorders>
                          <w:top w:val="nil" w:sz="6" w:space="0" w:color="auto"/>
                          <w:left w:val="nil" w:sz="6" w:space="0" w:color="auto"/>
                          <w:bottom w:val="nil" w:sz="6" w:space="0" w:color="auto"/>
                          <w:right w:val="nil" w:sz="6" w:space="0" w:color="auto"/>
                        </w:tcBorders>
                      </w:tcPr>
                      <w:p>
                        <w:pPr/>
                      </w:p>
                    </w:tc>
                    <w:tc>
                      <w:tcPr>
                        <w:tcW w:w="1359" w:type="dxa"/>
                        <w:tcBorders>
                          <w:top w:val="single" w:sz="4" w:space="0" w:color="000000"/>
                          <w:left w:val="nil" w:sz="6" w:space="0" w:color="auto"/>
                          <w:bottom w:val="nil" w:sz="6" w:space="0" w:color="auto"/>
                          <w:right w:val="nil" w:sz="6" w:space="0" w:color="auto"/>
                        </w:tcBorders>
                      </w:tcPr>
                      <w:p>
                        <w:pPr>
                          <w:pStyle w:val="TableParagraph"/>
                          <w:spacing w:line="230" w:lineRule="exact"/>
                          <w:ind w:right="8"/>
                          <w:jc w:val="right"/>
                          <w:rPr>
                            <w:rFonts w:ascii="黑体" w:hAnsi="黑体" w:cs="黑体" w:eastAsia="黑体" w:hint="default"/>
                            <w:sz w:val="20"/>
                            <w:szCs w:val="20"/>
                          </w:rPr>
                        </w:pPr>
                        <w:r>
                          <w:rPr>
                            <w:rFonts w:ascii="黑体" w:hAnsi="黑体" w:cs="黑体" w:eastAsia="黑体" w:hint="default"/>
                            <w:w w:val="95"/>
                            <w:sz w:val="20"/>
                            <w:szCs w:val="20"/>
                          </w:rPr>
                          <w:t>股本</w:t>
                        </w:r>
                        <w:r>
                          <w:rPr>
                            <w:rFonts w:ascii="黑体" w:hAnsi="黑体" w:cs="黑体" w:eastAsia="黑体" w:hint="default"/>
                            <w:sz w:val="20"/>
                            <w:szCs w:val="20"/>
                          </w:rPr>
                        </w:r>
                      </w:p>
                    </w:tc>
                    <w:tc>
                      <w:tcPr>
                        <w:tcW w:w="468" w:type="dxa"/>
                        <w:tcBorders>
                          <w:top w:val="single" w:sz="4" w:space="0" w:color="000000"/>
                          <w:left w:val="nil" w:sz="6" w:space="0" w:color="auto"/>
                          <w:bottom w:val="nil" w:sz="6" w:space="0" w:color="auto"/>
                          <w:right w:val="nil" w:sz="6" w:space="0" w:color="auto"/>
                        </w:tcBorders>
                      </w:tcPr>
                      <w:p>
                        <w:pPr/>
                      </w:p>
                    </w:tc>
                    <w:tc>
                      <w:tcPr>
                        <w:tcW w:w="1718" w:type="dxa"/>
                        <w:tcBorders>
                          <w:top w:val="single" w:sz="4" w:space="0" w:color="000000"/>
                          <w:left w:val="nil" w:sz="6" w:space="0" w:color="auto"/>
                          <w:bottom w:val="nil" w:sz="6" w:space="0" w:color="auto"/>
                          <w:right w:val="nil" w:sz="6" w:space="0" w:color="auto"/>
                        </w:tcBorders>
                      </w:tcPr>
                      <w:p>
                        <w:pPr>
                          <w:pStyle w:val="TableParagraph"/>
                          <w:spacing w:line="230" w:lineRule="exact"/>
                          <w:ind w:right="349"/>
                          <w:jc w:val="right"/>
                          <w:rPr>
                            <w:rFonts w:ascii="黑体" w:hAnsi="黑体" w:cs="黑体" w:eastAsia="黑体" w:hint="default"/>
                            <w:sz w:val="20"/>
                            <w:szCs w:val="20"/>
                          </w:rPr>
                        </w:pPr>
                        <w:r>
                          <w:rPr>
                            <w:rFonts w:ascii="黑体" w:hAnsi="黑体" w:cs="黑体" w:eastAsia="黑体" w:hint="default"/>
                            <w:w w:val="95"/>
                            <w:sz w:val="20"/>
                            <w:szCs w:val="20"/>
                          </w:rPr>
                          <w:t>资本公积</w:t>
                        </w:r>
                        <w:r>
                          <w:rPr>
                            <w:rFonts w:ascii="黑体" w:hAnsi="黑体" w:cs="黑体" w:eastAsia="黑体" w:hint="default"/>
                            <w:sz w:val="20"/>
                            <w:szCs w:val="20"/>
                          </w:rPr>
                        </w:r>
                      </w:p>
                    </w:tc>
                    <w:tc>
                      <w:tcPr>
                        <w:tcW w:w="1997" w:type="dxa"/>
                        <w:tcBorders>
                          <w:top w:val="single" w:sz="4" w:space="0" w:color="000000"/>
                          <w:left w:val="nil" w:sz="6" w:space="0" w:color="auto"/>
                          <w:bottom w:val="nil" w:sz="6" w:space="0" w:color="auto"/>
                          <w:right w:val="nil" w:sz="6" w:space="0" w:color="auto"/>
                        </w:tcBorders>
                      </w:tcPr>
                      <w:p>
                        <w:pPr>
                          <w:pStyle w:val="TableParagraph"/>
                          <w:spacing w:line="230" w:lineRule="exact"/>
                          <w:ind w:right="565"/>
                          <w:jc w:val="right"/>
                          <w:rPr>
                            <w:rFonts w:ascii="黑体" w:hAnsi="黑体" w:cs="黑体" w:eastAsia="黑体" w:hint="default"/>
                            <w:sz w:val="20"/>
                            <w:szCs w:val="20"/>
                          </w:rPr>
                        </w:pPr>
                        <w:r>
                          <w:rPr>
                            <w:rFonts w:ascii="黑体" w:hAnsi="黑体" w:cs="黑体" w:eastAsia="黑体" w:hint="default"/>
                            <w:w w:val="95"/>
                            <w:sz w:val="20"/>
                            <w:szCs w:val="20"/>
                          </w:rPr>
                          <w:t>盈余公积</w:t>
                        </w:r>
                        <w:r>
                          <w:rPr>
                            <w:rFonts w:ascii="黑体" w:hAnsi="黑体" w:cs="黑体" w:eastAsia="黑体" w:hint="default"/>
                            <w:sz w:val="20"/>
                            <w:szCs w:val="20"/>
                          </w:rPr>
                        </w:r>
                      </w:p>
                    </w:tc>
                    <w:tc>
                      <w:tcPr>
                        <w:tcW w:w="1807" w:type="dxa"/>
                        <w:tcBorders>
                          <w:top w:val="single" w:sz="4" w:space="0" w:color="000000"/>
                          <w:left w:val="nil" w:sz="6" w:space="0" w:color="auto"/>
                          <w:bottom w:val="nil" w:sz="6" w:space="0" w:color="auto"/>
                          <w:right w:val="nil" w:sz="6" w:space="0" w:color="auto"/>
                        </w:tcBorders>
                      </w:tcPr>
                      <w:p>
                        <w:pPr>
                          <w:pStyle w:val="TableParagraph"/>
                          <w:spacing w:line="230" w:lineRule="exact"/>
                          <w:ind w:right="5"/>
                          <w:jc w:val="right"/>
                          <w:rPr>
                            <w:rFonts w:ascii="黑体" w:hAnsi="黑体" w:cs="黑体" w:eastAsia="黑体" w:hint="default"/>
                            <w:sz w:val="20"/>
                            <w:szCs w:val="20"/>
                          </w:rPr>
                        </w:pPr>
                        <w:r>
                          <w:rPr>
                            <w:rFonts w:ascii="黑体" w:hAnsi="黑体" w:cs="黑体" w:eastAsia="黑体" w:hint="default"/>
                            <w:w w:val="95"/>
                            <w:sz w:val="20"/>
                            <w:szCs w:val="20"/>
                          </w:rPr>
                          <w:t>未分配利润</w:t>
                        </w:r>
                        <w:r>
                          <w:rPr>
                            <w:rFonts w:ascii="黑体" w:hAnsi="黑体" w:cs="黑体" w:eastAsia="黑体" w:hint="default"/>
                            <w:sz w:val="20"/>
                            <w:szCs w:val="20"/>
                          </w:rPr>
                        </w:r>
                      </w:p>
                    </w:tc>
                    <w:tc>
                      <w:tcPr>
                        <w:tcW w:w="322" w:type="dxa"/>
                        <w:tcBorders>
                          <w:top w:val="single" w:sz="4" w:space="0" w:color="000000"/>
                          <w:left w:val="nil" w:sz="6" w:space="0" w:color="auto"/>
                          <w:bottom w:val="nil" w:sz="6" w:space="0" w:color="auto"/>
                          <w:right w:val="nil" w:sz="6" w:space="0" w:color="auto"/>
                        </w:tcBorders>
                      </w:tcPr>
                      <w:p>
                        <w:pPr/>
                      </w:p>
                    </w:tc>
                    <w:tc>
                      <w:tcPr>
                        <w:tcW w:w="1626" w:type="dxa"/>
                        <w:tcBorders>
                          <w:top w:val="single" w:sz="4" w:space="0" w:color="000000"/>
                          <w:left w:val="nil" w:sz="6" w:space="0" w:color="auto"/>
                          <w:bottom w:val="nil" w:sz="6" w:space="0" w:color="auto"/>
                          <w:right w:val="nil" w:sz="6" w:space="0" w:color="auto"/>
                        </w:tcBorders>
                      </w:tcPr>
                      <w:p>
                        <w:pPr>
                          <w:pStyle w:val="TableParagraph"/>
                          <w:spacing w:line="230" w:lineRule="exact"/>
                          <w:ind w:right="2"/>
                          <w:jc w:val="right"/>
                          <w:rPr>
                            <w:rFonts w:ascii="黑体" w:hAnsi="黑体" w:cs="黑体" w:eastAsia="黑体" w:hint="default"/>
                            <w:sz w:val="20"/>
                            <w:szCs w:val="20"/>
                          </w:rPr>
                        </w:pPr>
                        <w:r>
                          <w:rPr>
                            <w:rFonts w:ascii="黑体" w:hAnsi="黑体" w:cs="黑体" w:eastAsia="黑体" w:hint="default"/>
                            <w:w w:val="95"/>
                            <w:sz w:val="20"/>
                            <w:szCs w:val="20"/>
                          </w:rPr>
                          <w:t>股东权益合计</w:t>
                        </w:r>
                        <w:r>
                          <w:rPr>
                            <w:rFonts w:ascii="黑体" w:hAnsi="黑体" w:cs="黑体" w:eastAsia="黑体" w:hint="default"/>
                            <w:sz w:val="20"/>
                            <w:szCs w:val="20"/>
                          </w:rPr>
                        </w:r>
                      </w:p>
                    </w:tc>
                    <w:tc>
                      <w:tcPr>
                        <w:tcW w:w="78"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r>
                  <w:tr>
                    <w:trPr>
                      <w:trHeight w:val="436" w:hRule="exact"/>
                    </w:trPr>
                    <w:tc>
                      <w:tcPr>
                        <w:tcW w:w="5148"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0"/>
                          <w:jc w:val="left"/>
                          <w:rPr>
                            <w:rFonts w:ascii="黑体" w:hAnsi="黑体" w:cs="黑体" w:eastAsia="黑体" w:hint="default"/>
                            <w:sz w:val="20"/>
                            <w:szCs w:val="20"/>
                          </w:rPr>
                        </w:pPr>
                        <w:r>
                          <w:rPr>
                            <w:rFonts w:ascii="黑体" w:hAnsi="黑体" w:cs="黑体" w:eastAsia="黑体" w:hint="default"/>
                            <w:sz w:val="20"/>
                            <w:szCs w:val="20"/>
                          </w:rPr>
                          <w:t>一、本年年初余额</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Arial" w:hAnsi="Arial" w:cs="Arial" w:eastAsia="Arial" w:hint="default"/>
                            <w:sz w:val="16"/>
                            <w:szCs w:val="16"/>
                          </w:rPr>
                        </w:pPr>
                      </w:p>
                      <w:p>
                        <w:pPr>
                          <w:pStyle w:val="TableParagraph"/>
                          <w:spacing w:line="240" w:lineRule="auto"/>
                          <w:ind w:right="8"/>
                          <w:jc w:val="right"/>
                          <w:rPr>
                            <w:rFonts w:ascii="Arial" w:hAnsi="Arial" w:cs="Arial" w:eastAsia="Arial" w:hint="default"/>
                            <w:sz w:val="20"/>
                            <w:szCs w:val="20"/>
                          </w:rPr>
                        </w:pPr>
                        <w:r>
                          <w:rPr>
                            <w:rFonts w:ascii="Arial"/>
                            <w:spacing w:val="-1"/>
                            <w:sz w:val="20"/>
                          </w:rPr>
                          <w:t>816,131,907</w:t>
                        </w:r>
                        <w:r>
                          <w:rPr>
                            <w:rFonts w:ascii="Arial"/>
                            <w:sz w:val="20"/>
                          </w:rPr>
                        </w:r>
                      </w:p>
                    </w:tc>
                    <w:tc>
                      <w:tcPr>
                        <w:tcW w:w="468"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Arial" w:hAnsi="Arial" w:cs="Arial" w:eastAsia="Arial" w:hint="default"/>
                            <w:sz w:val="16"/>
                            <w:szCs w:val="16"/>
                          </w:rPr>
                        </w:pPr>
                      </w:p>
                      <w:p>
                        <w:pPr>
                          <w:pStyle w:val="TableParagraph"/>
                          <w:spacing w:line="240" w:lineRule="auto"/>
                          <w:ind w:right="337"/>
                          <w:jc w:val="right"/>
                          <w:rPr>
                            <w:rFonts w:ascii="Arial" w:hAnsi="Arial" w:cs="Arial" w:eastAsia="Arial" w:hint="default"/>
                            <w:sz w:val="20"/>
                            <w:szCs w:val="20"/>
                          </w:rPr>
                        </w:pPr>
                        <w:r>
                          <w:rPr>
                            <w:rFonts w:ascii="Arial"/>
                            <w:spacing w:val="-1"/>
                            <w:sz w:val="20"/>
                          </w:rPr>
                          <w:t>736,464,568</w:t>
                        </w:r>
                        <w:r>
                          <w:rPr>
                            <w:rFonts w:ascii="Arial"/>
                            <w:sz w:val="20"/>
                          </w:rPr>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Arial" w:hAnsi="Arial" w:cs="Arial" w:eastAsia="Arial" w:hint="default"/>
                            <w:sz w:val="16"/>
                            <w:szCs w:val="16"/>
                          </w:rPr>
                        </w:pPr>
                      </w:p>
                      <w:p>
                        <w:pPr>
                          <w:pStyle w:val="TableParagraph"/>
                          <w:spacing w:line="240" w:lineRule="auto"/>
                          <w:ind w:right="563"/>
                          <w:jc w:val="right"/>
                          <w:rPr>
                            <w:rFonts w:ascii="Arial" w:hAnsi="Arial" w:cs="Arial" w:eastAsia="Arial" w:hint="default"/>
                            <w:sz w:val="20"/>
                            <w:szCs w:val="20"/>
                          </w:rPr>
                        </w:pPr>
                        <w:r>
                          <w:rPr>
                            <w:rFonts w:ascii="Arial"/>
                            <w:spacing w:val="-1"/>
                            <w:sz w:val="20"/>
                          </w:rPr>
                          <w:t>318,392,116</w:t>
                        </w:r>
                        <w:r>
                          <w:rPr>
                            <w:rFonts w:ascii="Arial"/>
                            <w:sz w:val="20"/>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Arial" w:hAnsi="Arial" w:cs="Arial" w:eastAsia="Arial" w:hint="default"/>
                            <w:sz w:val="16"/>
                            <w:szCs w:val="16"/>
                          </w:rPr>
                        </w:pPr>
                      </w:p>
                      <w:p>
                        <w:pPr>
                          <w:pStyle w:val="TableParagraph"/>
                          <w:spacing w:line="240" w:lineRule="auto"/>
                          <w:ind w:right="8"/>
                          <w:jc w:val="right"/>
                          <w:rPr>
                            <w:rFonts w:ascii="Arial" w:hAnsi="Arial" w:cs="Arial" w:eastAsia="Arial" w:hint="default"/>
                            <w:sz w:val="20"/>
                            <w:szCs w:val="20"/>
                          </w:rPr>
                        </w:pPr>
                        <w:r>
                          <w:rPr>
                            <w:rFonts w:ascii="Arial"/>
                            <w:spacing w:val="-1"/>
                            <w:sz w:val="20"/>
                          </w:rPr>
                          <w:t>700,432,740</w:t>
                        </w:r>
                        <w:r>
                          <w:rPr>
                            <w:rFonts w:ascii="Arial"/>
                            <w:sz w:val="20"/>
                          </w:rPr>
                        </w:r>
                      </w:p>
                    </w:tc>
                    <w:tc>
                      <w:tcPr>
                        <w:tcW w:w="322"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Arial" w:hAnsi="Arial" w:cs="Arial" w:eastAsia="Arial" w:hint="default"/>
                            <w:sz w:val="16"/>
                            <w:szCs w:val="16"/>
                          </w:rPr>
                        </w:pPr>
                      </w:p>
                      <w:p>
                        <w:pPr>
                          <w:pStyle w:val="TableParagraph"/>
                          <w:spacing w:line="240" w:lineRule="auto"/>
                          <w:ind w:right="10"/>
                          <w:jc w:val="right"/>
                          <w:rPr>
                            <w:rFonts w:ascii="Arial" w:hAnsi="Arial" w:cs="Arial" w:eastAsia="Arial" w:hint="default"/>
                            <w:sz w:val="20"/>
                            <w:szCs w:val="20"/>
                          </w:rPr>
                        </w:pPr>
                        <w:r>
                          <w:rPr>
                            <w:rFonts w:ascii="Arial"/>
                            <w:spacing w:val="-1"/>
                            <w:sz w:val="20"/>
                          </w:rPr>
                          <w:t>2,571,421,331</w:t>
                        </w:r>
                        <w:r>
                          <w:rPr>
                            <w:rFonts w:ascii="Arial"/>
                            <w:sz w:val="20"/>
                          </w:rPr>
                        </w:r>
                      </w:p>
                    </w:tc>
                    <w:tc>
                      <w:tcPr>
                        <w:tcW w:w="78"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r>
                  <w:tr>
                    <w:trPr>
                      <w:trHeight w:val="265" w:hRule="exact"/>
                    </w:trPr>
                    <w:tc>
                      <w:tcPr>
                        <w:tcW w:w="5148" w:type="dxa"/>
                        <w:tcBorders>
                          <w:top w:val="nil" w:sz="6" w:space="0" w:color="auto"/>
                          <w:left w:val="nil" w:sz="6" w:space="0" w:color="auto"/>
                          <w:bottom w:val="nil" w:sz="6" w:space="0" w:color="auto"/>
                          <w:right w:val="nil" w:sz="6" w:space="0" w:color="auto"/>
                        </w:tcBorders>
                      </w:tcPr>
                      <w:p>
                        <w:pPr>
                          <w:pStyle w:val="TableParagraph"/>
                          <w:spacing w:line="224" w:lineRule="exact"/>
                          <w:ind w:right="0"/>
                          <w:jc w:val="left"/>
                          <w:rPr>
                            <w:rFonts w:ascii="黑体" w:hAnsi="黑体" w:cs="黑体" w:eastAsia="黑体" w:hint="default"/>
                            <w:sz w:val="20"/>
                            <w:szCs w:val="20"/>
                          </w:rPr>
                        </w:pPr>
                        <w:r>
                          <w:rPr>
                            <w:rFonts w:ascii="黑体" w:hAnsi="黑体" w:cs="黑体" w:eastAsia="黑体" w:hint="default"/>
                            <w:sz w:val="20"/>
                            <w:szCs w:val="20"/>
                          </w:rPr>
                          <w:t>二、本年增减变动金额</w:t>
                        </w:r>
                      </w:p>
                    </w:tc>
                    <w:tc>
                      <w:tcPr>
                        <w:tcW w:w="1359" w:type="dxa"/>
                        <w:tcBorders>
                          <w:top w:val="nil" w:sz="6" w:space="0" w:color="auto"/>
                          <w:left w:val="nil" w:sz="6" w:space="0" w:color="auto"/>
                          <w:bottom w:val="nil" w:sz="6" w:space="0" w:color="auto"/>
                          <w:right w:val="nil" w:sz="6" w:space="0" w:color="auto"/>
                        </w:tcBorders>
                      </w:tcPr>
                      <w:p>
                        <w:pPr/>
                      </w:p>
                    </w:tc>
                    <w:tc>
                      <w:tcPr>
                        <w:tcW w:w="468"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
                    </w:tc>
                    <w:tc>
                      <w:tcPr>
                        <w:tcW w:w="1997"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
                    </w:tc>
                    <w:tc>
                      <w:tcPr>
                        <w:tcW w:w="322"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nil" w:sz="6" w:space="0" w:color="auto"/>
                          <w:right w:val="nil" w:sz="6" w:space="0" w:color="auto"/>
                        </w:tcBorders>
                      </w:tcPr>
                      <w:p>
                        <w:pPr/>
                      </w:p>
                    </w:tc>
                    <w:tc>
                      <w:tcPr>
                        <w:tcW w:w="78"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r>
                  <w:tr>
                    <w:trPr>
                      <w:trHeight w:val="284" w:hRule="exact"/>
                    </w:trPr>
                    <w:tc>
                      <w:tcPr>
                        <w:tcW w:w="5148" w:type="dxa"/>
                        <w:tcBorders>
                          <w:top w:val="nil" w:sz="6" w:space="0" w:color="auto"/>
                          <w:left w:val="nil" w:sz="6" w:space="0" w:color="auto"/>
                          <w:bottom w:val="nil" w:sz="6" w:space="0" w:color="auto"/>
                          <w:right w:val="nil" w:sz="6" w:space="0" w:color="auto"/>
                        </w:tcBorders>
                      </w:tcPr>
                      <w:p>
                        <w:pPr>
                          <w:pStyle w:val="TableParagraph"/>
                          <w:spacing w:line="254" w:lineRule="exact"/>
                          <w:ind w:right="0"/>
                          <w:jc w:val="left"/>
                          <w:rPr>
                            <w:rFonts w:ascii="黑体" w:hAnsi="黑体" w:cs="黑体" w:eastAsia="黑体" w:hint="default"/>
                            <w:sz w:val="20"/>
                            <w:szCs w:val="20"/>
                          </w:rPr>
                        </w:pPr>
                        <w:r>
                          <w:rPr>
                            <w:rFonts w:ascii="Arial" w:hAnsi="Arial" w:cs="Arial" w:eastAsia="Arial" w:hint="default"/>
                            <w:sz w:val="20"/>
                            <w:szCs w:val="20"/>
                          </w:rPr>
                          <w:t>(</w:t>
                        </w:r>
                        <w:r>
                          <w:rPr>
                            <w:rFonts w:ascii="黑体" w:hAnsi="黑体" w:cs="黑体" w:eastAsia="黑体" w:hint="default"/>
                            <w:sz w:val="20"/>
                            <w:szCs w:val="20"/>
                          </w:rPr>
                          <w:t>一</w:t>
                        </w:r>
                        <w:r>
                          <w:rPr>
                            <w:rFonts w:ascii="Arial" w:hAnsi="Arial" w:cs="Arial" w:eastAsia="Arial" w:hint="default"/>
                            <w:sz w:val="20"/>
                            <w:szCs w:val="20"/>
                          </w:rPr>
                          <w:t>)</w:t>
                        </w:r>
                        <w:r>
                          <w:rPr>
                            <w:rFonts w:ascii="Arial" w:hAnsi="Arial" w:cs="Arial" w:eastAsia="Arial" w:hint="default"/>
                            <w:spacing w:val="41"/>
                            <w:sz w:val="20"/>
                            <w:szCs w:val="20"/>
                          </w:rPr>
                          <w:t> </w:t>
                        </w:r>
                        <w:r>
                          <w:rPr>
                            <w:rFonts w:ascii="黑体" w:hAnsi="黑体" w:cs="黑体" w:eastAsia="黑体" w:hint="default"/>
                            <w:sz w:val="20"/>
                            <w:szCs w:val="20"/>
                          </w:rPr>
                          <w:t>净利润</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6"/>
                          <w:jc w:val="right"/>
                          <w:rPr>
                            <w:rFonts w:ascii="Arial" w:hAnsi="Arial" w:cs="Arial" w:eastAsia="Arial" w:hint="default"/>
                            <w:sz w:val="20"/>
                            <w:szCs w:val="20"/>
                          </w:rPr>
                        </w:pPr>
                        <w:r>
                          <w:rPr>
                            <w:rFonts w:ascii="Arial"/>
                            <w:w w:val="99"/>
                            <w:sz w:val="20"/>
                          </w:rPr>
                          <w:t>-</w:t>
                        </w:r>
                        <w:r>
                          <w:rPr>
                            <w:rFonts w:ascii="Arial"/>
                            <w:sz w:val="20"/>
                          </w:rPr>
                        </w:r>
                      </w:p>
                    </w:tc>
                    <w:tc>
                      <w:tcPr>
                        <w:tcW w:w="468"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35"/>
                          <w:jc w:val="right"/>
                          <w:rPr>
                            <w:rFonts w:ascii="Arial" w:hAnsi="Arial" w:cs="Arial" w:eastAsia="Arial" w:hint="default"/>
                            <w:sz w:val="20"/>
                            <w:szCs w:val="20"/>
                          </w:rPr>
                        </w:pPr>
                        <w:r>
                          <w:rPr>
                            <w:rFonts w:ascii="Arial"/>
                            <w:w w:val="99"/>
                            <w:sz w:val="20"/>
                          </w:rPr>
                          <w:t>-</w:t>
                        </w:r>
                        <w:r>
                          <w:rPr>
                            <w:rFonts w:ascii="Arial"/>
                            <w:sz w:val="20"/>
                          </w:rPr>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561"/>
                          <w:jc w:val="right"/>
                          <w:rPr>
                            <w:rFonts w:ascii="Arial" w:hAnsi="Arial" w:cs="Arial" w:eastAsia="Arial" w:hint="default"/>
                            <w:sz w:val="20"/>
                            <w:szCs w:val="20"/>
                          </w:rPr>
                        </w:pPr>
                        <w:r>
                          <w:rPr>
                            <w:rFonts w:ascii="Arial"/>
                            <w:w w:val="99"/>
                            <w:sz w:val="20"/>
                          </w:rPr>
                          <w:t>-</w:t>
                        </w:r>
                        <w:r>
                          <w:rPr>
                            <w:rFonts w:ascii="Arial"/>
                            <w:sz w:val="20"/>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1"/>
                          <w:jc w:val="right"/>
                          <w:rPr>
                            <w:rFonts w:ascii="Arial" w:hAnsi="Arial" w:cs="Arial" w:eastAsia="Arial" w:hint="default"/>
                            <w:sz w:val="20"/>
                            <w:szCs w:val="20"/>
                          </w:rPr>
                        </w:pPr>
                        <w:r>
                          <w:rPr>
                            <w:rFonts w:ascii="Arial"/>
                            <w:spacing w:val="-1"/>
                            <w:sz w:val="20"/>
                          </w:rPr>
                          <w:t>486,705,905</w:t>
                        </w:r>
                        <w:r>
                          <w:rPr>
                            <w:rFonts w:ascii="Arial"/>
                            <w:sz w:val="20"/>
                          </w:rPr>
                        </w:r>
                      </w:p>
                    </w:tc>
                    <w:tc>
                      <w:tcPr>
                        <w:tcW w:w="322"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2"/>
                          <w:jc w:val="right"/>
                          <w:rPr>
                            <w:rFonts w:ascii="Arial" w:hAnsi="Arial" w:cs="Arial" w:eastAsia="Arial" w:hint="default"/>
                            <w:sz w:val="20"/>
                            <w:szCs w:val="20"/>
                          </w:rPr>
                        </w:pPr>
                        <w:r>
                          <w:rPr>
                            <w:rFonts w:ascii="Arial"/>
                            <w:spacing w:val="-1"/>
                            <w:sz w:val="20"/>
                          </w:rPr>
                          <w:t>486,705,905</w:t>
                        </w:r>
                        <w:r>
                          <w:rPr>
                            <w:rFonts w:ascii="Arial"/>
                            <w:sz w:val="20"/>
                          </w:rPr>
                        </w:r>
                      </w:p>
                    </w:tc>
                    <w:tc>
                      <w:tcPr>
                        <w:tcW w:w="78"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r>
                  <w:tr>
                    <w:trPr>
                      <w:trHeight w:val="280" w:hRule="exact"/>
                    </w:trPr>
                    <w:tc>
                      <w:tcPr>
                        <w:tcW w:w="5148" w:type="dxa"/>
                        <w:tcBorders>
                          <w:top w:val="nil" w:sz="6" w:space="0" w:color="auto"/>
                          <w:left w:val="nil" w:sz="6" w:space="0" w:color="auto"/>
                          <w:bottom w:val="nil" w:sz="6" w:space="0" w:color="auto"/>
                          <w:right w:val="nil" w:sz="6" w:space="0" w:color="auto"/>
                        </w:tcBorders>
                      </w:tcPr>
                      <w:p>
                        <w:pPr>
                          <w:pStyle w:val="TableParagraph"/>
                          <w:spacing w:line="248" w:lineRule="exact"/>
                          <w:ind w:right="0"/>
                          <w:jc w:val="left"/>
                          <w:rPr>
                            <w:rFonts w:ascii="黑体" w:hAnsi="黑体" w:cs="黑体" w:eastAsia="黑体" w:hint="default"/>
                            <w:sz w:val="20"/>
                            <w:szCs w:val="20"/>
                          </w:rPr>
                        </w:pPr>
                        <w:r>
                          <w:rPr>
                            <w:rFonts w:ascii="Arial" w:hAnsi="Arial" w:cs="Arial" w:eastAsia="Arial" w:hint="default"/>
                            <w:sz w:val="20"/>
                            <w:szCs w:val="20"/>
                          </w:rPr>
                          <w:t>(</w:t>
                        </w:r>
                        <w:r>
                          <w:rPr>
                            <w:rFonts w:ascii="黑体" w:hAnsi="黑体" w:cs="黑体" w:eastAsia="黑体" w:hint="default"/>
                            <w:sz w:val="20"/>
                            <w:szCs w:val="20"/>
                          </w:rPr>
                          <w:t>二</w:t>
                        </w:r>
                        <w:r>
                          <w:rPr>
                            <w:rFonts w:ascii="Arial" w:hAnsi="Arial" w:cs="Arial" w:eastAsia="Arial" w:hint="default"/>
                            <w:sz w:val="20"/>
                            <w:szCs w:val="20"/>
                          </w:rPr>
                          <w:t>)</w:t>
                        </w:r>
                        <w:r>
                          <w:rPr>
                            <w:rFonts w:ascii="Arial" w:hAnsi="Arial" w:cs="Arial" w:eastAsia="Arial" w:hint="default"/>
                            <w:spacing w:val="41"/>
                            <w:sz w:val="20"/>
                            <w:szCs w:val="20"/>
                          </w:rPr>
                          <w:t> </w:t>
                        </w:r>
                        <w:r>
                          <w:rPr>
                            <w:rFonts w:ascii="黑体" w:hAnsi="黑体" w:cs="黑体" w:eastAsia="黑体" w:hint="default"/>
                            <w:sz w:val="20"/>
                            <w:szCs w:val="20"/>
                          </w:rPr>
                          <w:t>其他综合收益</w:t>
                        </w:r>
                      </w:p>
                    </w:tc>
                    <w:tc>
                      <w:tcPr>
                        <w:tcW w:w="1359"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before="18"/>
                          <w:ind w:right="6"/>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468"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Style w:val="TableParagraph"/>
                          <w:tabs>
                            <w:tab w:pos="1101" w:val="left" w:leader="none"/>
                          </w:tabs>
                          <w:spacing w:line="240" w:lineRule="auto" w:before="18"/>
                          <w:ind w:right="321"/>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997"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before="18"/>
                          <w:ind w:right="561"/>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807" w:type="dxa"/>
                        <w:tcBorders>
                          <w:top w:val="nil" w:sz="6" w:space="0" w:color="auto"/>
                          <w:left w:val="nil" w:sz="6" w:space="0" w:color="auto"/>
                          <w:bottom w:val="nil" w:sz="6" w:space="0" w:color="auto"/>
                          <w:right w:val="nil" w:sz="6" w:space="0" w:color="auto"/>
                        </w:tcBorders>
                      </w:tcPr>
                      <w:p>
                        <w:pPr>
                          <w:pStyle w:val="TableParagraph"/>
                          <w:tabs>
                            <w:tab w:pos="1022" w:val="left" w:leader="none"/>
                          </w:tabs>
                          <w:spacing w:line="240" w:lineRule="auto" w:before="18"/>
                          <w:ind w:right="4"/>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322"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nil" w:sz="6" w:space="0" w:color="auto"/>
                          <w:right w:val="nil" w:sz="6" w:space="0" w:color="auto"/>
                        </w:tcBorders>
                      </w:tcPr>
                      <w:p>
                        <w:pPr>
                          <w:pStyle w:val="TableParagraph"/>
                          <w:tabs>
                            <w:tab w:pos="1226" w:val="left" w:leader="none"/>
                          </w:tabs>
                          <w:spacing w:line="240" w:lineRule="auto" w:before="18"/>
                          <w:ind w:right="27"/>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78"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r>
                  <w:tr>
                    <w:trPr>
                      <w:trHeight w:val="420" w:hRule="exact"/>
                    </w:trPr>
                    <w:tc>
                      <w:tcPr>
                        <w:tcW w:w="5148" w:type="dxa"/>
                        <w:tcBorders>
                          <w:top w:val="nil" w:sz="6" w:space="0" w:color="auto"/>
                          <w:left w:val="nil" w:sz="6" w:space="0" w:color="auto"/>
                          <w:bottom w:val="nil" w:sz="6" w:space="0" w:color="auto"/>
                          <w:right w:val="nil" w:sz="6" w:space="0" w:color="auto"/>
                        </w:tcBorders>
                      </w:tcPr>
                      <w:p>
                        <w:pPr>
                          <w:pStyle w:val="TableParagraph"/>
                          <w:spacing w:line="235" w:lineRule="exact"/>
                          <w:ind w:right="0"/>
                          <w:jc w:val="left"/>
                          <w:rPr>
                            <w:rFonts w:ascii="黑体" w:hAnsi="黑体" w:cs="黑体" w:eastAsia="黑体" w:hint="default"/>
                            <w:sz w:val="20"/>
                            <w:szCs w:val="20"/>
                          </w:rPr>
                        </w:pPr>
                        <w:r>
                          <w:rPr>
                            <w:rFonts w:ascii="黑体" w:hAnsi="黑体" w:cs="黑体" w:eastAsia="黑体" w:hint="default"/>
                            <w:sz w:val="20"/>
                            <w:szCs w:val="20"/>
                          </w:rPr>
                          <w:t>综合收益总额</w:t>
                        </w:r>
                      </w:p>
                    </w:tc>
                    <w:tc>
                      <w:tcPr>
                        <w:tcW w:w="1359"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before="19"/>
                          <w:ind w:right="6"/>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468"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Style w:val="TableParagraph"/>
                          <w:tabs>
                            <w:tab w:pos="1101" w:val="left" w:leader="none"/>
                          </w:tabs>
                          <w:spacing w:line="240" w:lineRule="auto" w:before="19"/>
                          <w:ind w:right="321"/>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997"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before="19"/>
                          <w:ind w:right="561"/>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8"/>
                          <w:jc w:val="right"/>
                          <w:rPr>
                            <w:rFonts w:ascii="Arial" w:hAnsi="Arial" w:cs="Arial" w:eastAsia="Arial" w:hint="default"/>
                            <w:sz w:val="20"/>
                            <w:szCs w:val="20"/>
                          </w:rPr>
                        </w:pPr>
                        <w:r>
                          <w:rPr>
                            <w:rFonts w:ascii="Arial"/>
                            <w:w w:val="99"/>
                            <w:sz w:val="20"/>
                          </w:rPr>
                        </w:r>
                        <w:r>
                          <w:rPr>
                            <w:rFonts w:ascii="Arial"/>
                            <w:spacing w:val="-1"/>
                            <w:sz w:val="20"/>
                            <w:u w:val="single" w:color="000000"/>
                          </w:rPr>
                          <w:t>486,705,905</w:t>
                        </w:r>
                        <w:r>
                          <w:rPr>
                            <w:rFonts w:ascii="Arial"/>
                            <w:spacing w:val="-1"/>
                            <w:sz w:val="20"/>
                          </w:rPr>
                        </w:r>
                        <w:r>
                          <w:rPr>
                            <w:rFonts w:ascii="Arial"/>
                            <w:sz w:val="20"/>
                          </w:rPr>
                        </w:r>
                      </w:p>
                    </w:tc>
                    <w:tc>
                      <w:tcPr>
                        <w:tcW w:w="322"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2"/>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15"/>
                            <w:sz w:val="20"/>
                            <w:u w:val="single" w:color="000000"/>
                          </w:rPr>
                          <w:t> </w:t>
                        </w:r>
                        <w:r>
                          <w:rPr>
                            <w:rFonts w:ascii="Arial"/>
                            <w:spacing w:val="-1"/>
                            <w:w w:val="95"/>
                            <w:sz w:val="20"/>
                            <w:u w:val="single" w:color="000000"/>
                          </w:rPr>
                          <w:t>486,705,905</w:t>
                        </w:r>
                        <w:r>
                          <w:rPr>
                            <w:rFonts w:ascii="Arial"/>
                            <w:spacing w:val="-1"/>
                            <w:w w:val="95"/>
                            <w:sz w:val="20"/>
                          </w:rPr>
                        </w:r>
                        <w:r>
                          <w:rPr>
                            <w:rFonts w:ascii="Arial"/>
                            <w:sz w:val="20"/>
                          </w:rPr>
                        </w:r>
                      </w:p>
                    </w:tc>
                    <w:tc>
                      <w:tcPr>
                        <w:tcW w:w="78"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r>
                  <w:tr>
                    <w:trPr>
                      <w:trHeight w:val="420" w:hRule="exact"/>
                    </w:trPr>
                    <w:tc>
                      <w:tcPr>
                        <w:tcW w:w="514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0"/>
                          <w:jc w:val="left"/>
                          <w:rPr>
                            <w:rFonts w:ascii="黑体" w:hAnsi="黑体" w:cs="黑体" w:eastAsia="黑体" w:hint="default"/>
                            <w:sz w:val="20"/>
                            <w:szCs w:val="20"/>
                          </w:rPr>
                        </w:pPr>
                        <w:r>
                          <w:rPr>
                            <w:rFonts w:ascii="Arial" w:hAnsi="Arial" w:cs="Arial" w:eastAsia="Arial" w:hint="default"/>
                            <w:sz w:val="20"/>
                            <w:szCs w:val="20"/>
                          </w:rPr>
                          <w:t>(</w:t>
                        </w:r>
                        <w:r>
                          <w:rPr>
                            <w:rFonts w:ascii="黑体" w:hAnsi="黑体" w:cs="黑体" w:eastAsia="黑体" w:hint="default"/>
                            <w:sz w:val="20"/>
                            <w:szCs w:val="20"/>
                          </w:rPr>
                          <w:t>三</w:t>
                        </w:r>
                        <w:r>
                          <w:rPr>
                            <w:rFonts w:ascii="Arial" w:hAnsi="Arial" w:cs="Arial" w:eastAsia="Arial" w:hint="default"/>
                            <w:sz w:val="20"/>
                            <w:szCs w:val="20"/>
                          </w:rPr>
                          <w:t>)</w:t>
                        </w:r>
                        <w:r>
                          <w:rPr>
                            <w:rFonts w:ascii="Arial" w:hAnsi="Arial" w:cs="Arial" w:eastAsia="Arial" w:hint="default"/>
                            <w:spacing w:val="41"/>
                            <w:sz w:val="20"/>
                            <w:szCs w:val="20"/>
                          </w:rPr>
                          <w:t> </w:t>
                        </w:r>
                        <w:r>
                          <w:rPr>
                            <w:rFonts w:ascii="黑体" w:hAnsi="黑体" w:cs="黑体" w:eastAsia="黑体" w:hint="default"/>
                            <w:sz w:val="20"/>
                            <w:szCs w:val="20"/>
                          </w:rPr>
                          <w:t>股东投入和减少资本</w:t>
                        </w:r>
                      </w:p>
                    </w:tc>
                    <w:tc>
                      <w:tcPr>
                        <w:tcW w:w="1359" w:type="dxa"/>
                        <w:tcBorders>
                          <w:top w:val="nil" w:sz="6" w:space="0" w:color="auto"/>
                          <w:left w:val="nil" w:sz="6" w:space="0" w:color="auto"/>
                          <w:bottom w:val="nil" w:sz="6" w:space="0" w:color="auto"/>
                          <w:right w:val="nil" w:sz="6" w:space="0" w:color="auto"/>
                        </w:tcBorders>
                      </w:tcPr>
                      <w:p>
                        <w:pPr/>
                      </w:p>
                    </w:tc>
                    <w:tc>
                      <w:tcPr>
                        <w:tcW w:w="468"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
                    </w:tc>
                    <w:tc>
                      <w:tcPr>
                        <w:tcW w:w="1997"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
                    </w:tc>
                    <w:tc>
                      <w:tcPr>
                        <w:tcW w:w="322"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nil" w:sz="6" w:space="0" w:color="auto"/>
                          <w:right w:val="nil" w:sz="6" w:space="0" w:color="auto"/>
                        </w:tcBorders>
                      </w:tcPr>
                      <w:p>
                        <w:pPr/>
                      </w:p>
                    </w:tc>
                    <w:tc>
                      <w:tcPr>
                        <w:tcW w:w="78"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r>
                  <w:tr>
                    <w:trPr>
                      <w:trHeight w:val="420" w:hRule="exact"/>
                    </w:trPr>
                    <w:tc>
                      <w:tcPr>
                        <w:tcW w:w="5148" w:type="dxa"/>
                        <w:tcBorders>
                          <w:top w:val="nil" w:sz="6" w:space="0" w:color="auto"/>
                          <w:left w:val="nil" w:sz="6" w:space="0" w:color="auto"/>
                          <w:bottom w:val="nil" w:sz="6" w:space="0" w:color="auto"/>
                          <w:right w:val="nil" w:sz="6" w:space="0" w:color="auto"/>
                        </w:tcBorders>
                      </w:tcPr>
                      <w:p>
                        <w:pPr>
                          <w:pStyle w:val="TableParagraph"/>
                          <w:spacing w:line="250" w:lineRule="exact"/>
                          <w:ind w:left="187" w:right="0"/>
                          <w:jc w:val="lef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20"/>
                            <w:sz w:val="20"/>
                            <w:szCs w:val="20"/>
                          </w:rPr>
                          <w:t> </w:t>
                        </w:r>
                        <w:r>
                          <w:rPr>
                            <w:rFonts w:ascii="黑体" w:hAnsi="黑体" w:cs="黑体" w:eastAsia="黑体" w:hint="default"/>
                            <w:sz w:val="20"/>
                            <w:szCs w:val="20"/>
                          </w:rPr>
                          <w:t>股份支付计入股东权益的金额</w:t>
                        </w:r>
                      </w:p>
                    </w:tc>
                    <w:tc>
                      <w:tcPr>
                        <w:tcW w:w="1359" w:type="dxa"/>
                        <w:tcBorders>
                          <w:top w:val="nil" w:sz="6" w:space="0" w:color="auto"/>
                          <w:left w:val="nil" w:sz="6" w:space="0" w:color="auto"/>
                          <w:bottom w:val="nil" w:sz="6" w:space="0" w:color="auto"/>
                          <w:right w:val="nil" w:sz="6" w:space="0" w:color="auto"/>
                        </w:tcBorders>
                      </w:tcPr>
                      <w:p>
                        <w:pPr>
                          <w:pStyle w:val="TableParagraph"/>
                          <w:tabs>
                            <w:tab w:pos="467" w:val="left" w:leader="none"/>
                          </w:tabs>
                          <w:spacing w:line="240" w:lineRule="auto" w:before="19"/>
                          <w:ind w:right="8"/>
                          <w:jc w:val="right"/>
                          <w:rPr>
                            <w:rFonts w:ascii="Arial" w:hAnsi="Arial" w:cs="Arial" w:eastAsia="Arial" w:hint="default"/>
                            <w:sz w:val="20"/>
                            <w:szCs w:val="20"/>
                          </w:rPr>
                        </w:pPr>
                        <w:r>
                          <w:rPr>
                            <w:rFonts w:ascii="Arial"/>
                            <w:w w:val="95"/>
                            <w:sz w:val="20"/>
                          </w:rPr>
                          <w:t>(</w:t>
                        </w:r>
                        <w:r>
                          <w:rPr>
                            <w:rFonts w:ascii="Arial"/>
                            <w:w w:val="95"/>
                            <w:sz w:val="20"/>
                            <w:u w:val="single" w:color="000000"/>
                          </w:rPr>
                          <w:t> </w:t>
                          <w:tab/>
                        </w:r>
                        <w:r>
                          <w:rPr>
                            <w:rFonts w:ascii="Arial"/>
                            <w:spacing w:val="-1"/>
                            <w:sz w:val="20"/>
                            <w:u w:val="single" w:color="000000"/>
                          </w:rPr>
                          <w:t>228,540</w:t>
                        </w:r>
                        <w:r>
                          <w:rPr>
                            <w:rFonts w:ascii="Arial"/>
                            <w:spacing w:val="-1"/>
                            <w:sz w:val="20"/>
                          </w:rPr>
                        </w:r>
                      </w:p>
                    </w:tc>
                    <w:tc>
                      <w:tcPr>
                        <w:tcW w:w="46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6" w:right="0"/>
                          <w:jc w:val="left"/>
                          <w:rPr>
                            <w:rFonts w:ascii="Arial" w:hAnsi="Arial" w:cs="Arial" w:eastAsia="Arial" w:hint="default"/>
                            <w:sz w:val="20"/>
                            <w:szCs w:val="20"/>
                          </w:rPr>
                        </w:pPr>
                        <w:r>
                          <w:rPr>
                            <w:rFonts w:ascii="Arial"/>
                            <w:w w:val="99"/>
                            <w:sz w:val="20"/>
                          </w:rPr>
                          <w:t>)</w:t>
                        </w:r>
                        <w:r>
                          <w:rPr>
                            <w:rFonts w:ascii="Arial"/>
                            <w:sz w:val="20"/>
                          </w:rPr>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25"/>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1"/>
                            <w:sz w:val="20"/>
                            <w:u w:val="single" w:color="000000"/>
                          </w:rPr>
                          <w:t> </w:t>
                        </w:r>
                        <w:r>
                          <w:rPr>
                            <w:rFonts w:ascii="Arial"/>
                            <w:spacing w:val="-1"/>
                            <w:w w:val="95"/>
                            <w:sz w:val="20"/>
                            <w:u w:val="single" w:color="000000"/>
                          </w:rPr>
                          <w:t>28,721,061</w:t>
                        </w:r>
                        <w:r>
                          <w:rPr>
                            <w:rFonts w:ascii="Arial"/>
                            <w:spacing w:val="-1"/>
                            <w:w w:val="95"/>
                            <w:sz w:val="20"/>
                          </w:rPr>
                        </w:r>
                        <w:r>
                          <w:rPr>
                            <w:rFonts w:ascii="Arial"/>
                            <w:sz w:val="20"/>
                          </w:rPr>
                        </w:r>
                      </w:p>
                    </w:tc>
                    <w:tc>
                      <w:tcPr>
                        <w:tcW w:w="1997"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before="19"/>
                          <w:ind w:right="561"/>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807" w:type="dxa"/>
                        <w:tcBorders>
                          <w:top w:val="nil" w:sz="6" w:space="0" w:color="auto"/>
                          <w:left w:val="nil" w:sz="6" w:space="0" w:color="auto"/>
                          <w:bottom w:val="nil" w:sz="6" w:space="0" w:color="auto"/>
                          <w:right w:val="nil" w:sz="6" w:space="0" w:color="auto"/>
                        </w:tcBorders>
                      </w:tcPr>
                      <w:p>
                        <w:pPr>
                          <w:pStyle w:val="TableParagraph"/>
                          <w:tabs>
                            <w:tab w:pos="1041" w:val="left" w:leader="none"/>
                          </w:tabs>
                          <w:spacing w:line="240" w:lineRule="auto" w:before="19"/>
                          <w:ind w:right="4"/>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322"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nil" w:sz="6" w:space="0" w:color="auto"/>
                          <w:right w:val="nil" w:sz="6" w:space="0" w:color="auto"/>
                        </w:tcBorders>
                      </w:tcPr>
                      <w:p>
                        <w:pPr>
                          <w:pStyle w:val="TableParagraph"/>
                          <w:tabs>
                            <w:tab w:pos="273" w:val="left" w:leader="none"/>
                          </w:tabs>
                          <w:spacing w:line="240" w:lineRule="auto" w:before="19"/>
                          <w:ind w:right="31"/>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28,492,521</w:t>
                        </w:r>
                        <w:r>
                          <w:rPr>
                            <w:rFonts w:ascii="Arial"/>
                            <w:spacing w:val="-1"/>
                            <w:w w:val="95"/>
                            <w:sz w:val="20"/>
                          </w:rPr>
                        </w:r>
                        <w:r>
                          <w:rPr>
                            <w:rFonts w:ascii="Arial"/>
                            <w:spacing w:val="-1"/>
                            <w:sz w:val="20"/>
                          </w:rPr>
                        </w:r>
                      </w:p>
                    </w:tc>
                    <w:tc>
                      <w:tcPr>
                        <w:tcW w:w="78"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r>
                  <w:tr>
                    <w:trPr>
                      <w:trHeight w:val="420" w:hRule="exact"/>
                    </w:trPr>
                    <w:tc>
                      <w:tcPr>
                        <w:tcW w:w="5148"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0"/>
                          <w:jc w:val="left"/>
                          <w:rPr>
                            <w:rFonts w:ascii="黑体" w:hAnsi="黑体" w:cs="黑体" w:eastAsia="黑体" w:hint="default"/>
                            <w:sz w:val="20"/>
                            <w:szCs w:val="20"/>
                          </w:rPr>
                        </w:pPr>
                        <w:r>
                          <w:rPr>
                            <w:rFonts w:ascii="Arial" w:hAnsi="Arial" w:cs="Arial" w:eastAsia="Arial" w:hint="default"/>
                            <w:sz w:val="20"/>
                            <w:szCs w:val="20"/>
                          </w:rPr>
                          <w:t>(</w:t>
                        </w:r>
                        <w:r>
                          <w:rPr>
                            <w:rFonts w:ascii="黑体" w:hAnsi="黑体" w:cs="黑体" w:eastAsia="黑体" w:hint="default"/>
                            <w:sz w:val="20"/>
                            <w:szCs w:val="20"/>
                          </w:rPr>
                          <w:t>四</w:t>
                        </w:r>
                        <w:r>
                          <w:rPr>
                            <w:rFonts w:ascii="Arial" w:hAnsi="Arial" w:cs="Arial" w:eastAsia="Arial" w:hint="default"/>
                            <w:sz w:val="20"/>
                            <w:szCs w:val="20"/>
                          </w:rPr>
                          <w:t>)</w:t>
                        </w:r>
                        <w:r>
                          <w:rPr>
                            <w:rFonts w:ascii="Arial" w:hAnsi="Arial" w:cs="Arial" w:eastAsia="Arial" w:hint="default"/>
                            <w:spacing w:val="41"/>
                            <w:sz w:val="20"/>
                            <w:szCs w:val="20"/>
                          </w:rPr>
                          <w:t> </w:t>
                        </w:r>
                        <w:r>
                          <w:rPr>
                            <w:rFonts w:ascii="黑体" w:hAnsi="黑体" w:cs="黑体" w:eastAsia="黑体" w:hint="default"/>
                            <w:sz w:val="20"/>
                            <w:szCs w:val="20"/>
                          </w:rPr>
                          <w:t>利润分配</w:t>
                        </w:r>
                      </w:p>
                    </w:tc>
                    <w:tc>
                      <w:tcPr>
                        <w:tcW w:w="1359" w:type="dxa"/>
                        <w:tcBorders>
                          <w:top w:val="nil" w:sz="6" w:space="0" w:color="auto"/>
                          <w:left w:val="nil" w:sz="6" w:space="0" w:color="auto"/>
                          <w:bottom w:val="nil" w:sz="6" w:space="0" w:color="auto"/>
                          <w:right w:val="nil" w:sz="6" w:space="0" w:color="auto"/>
                        </w:tcBorders>
                      </w:tcPr>
                      <w:p>
                        <w:pPr/>
                      </w:p>
                    </w:tc>
                    <w:tc>
                      <w:tcPr>
                        <w:tcW w:w="468"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
                    </w:tc>
                    <w:tc>
                      <w:tcPr>
                        <w:tcW w:w="1997"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
                    </w:tc>
                    <w:tc>
                      <w:tcPr>
                        <w:tcW w:w="322"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nil" w:sz="6" w:space="0" w:color="auto"/>
                          <w:right w:val="nil" w:sz="6" w:space="0" w:color="auto"/>
                        </w:tcBorders>
                      </w:tcPr>
                      <w:p>
                        <w:pPr/>
                      </w:p>
                    </w:tc>
                    <w:tc>
                      <w:tcPr>
                        <w:tcW w:w="78"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r>
                  <w:tr>
                    <w:trPr>
                      <w:trHeight w:val="281" w:hRule="exact"/>
                    </w:trPr>
                    <w:tc>
                      <w:tcPr>
                        <w:tcW w:w="5148" w:type="dxa"/>
                        <w:tcBorders>
                          <w:top w:val="nil" w:sz="6" w:space="0" w:color="auto"/>
                          <w:left w:val="nil" w:sz="6" w:space="0" w:color="auto"/>
                          <w:bottom w:val="nil" w:sz="6" w:space="0" w:color="auto"/>
                          <w:right w:val="nil" w:sz="6" w:space="0" w:color="auto"/>
                        </w:tcBorders>
                      </w:tcPr>
                      <w:p>
                        <w:pPr>
                          <w:pStyle w:val="TableParagraph"/>
                          <w:spacing w:line="250" w:lineRule="exact"/>
                          <w:ind w:left="187" w:right="0"/>
                          <w:jc w:val="lef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20"/>
                            <w:sz w:val="20"/>
                            <w:szCs w:val="20"/>
                          </w:rPr>
                          <w:t> </w:t>
                        </w:r>
                        <w:r>
                          <w:rPr>
                            <w:rFonts w:ascii="黑体" w:hAnsi="黑体" w:cs="黑体" w:eastAsia="黑体" w:hint="default"/>
                            <w:sz w:val="20"/>
                            <w:szCs w:val="20"/>
                          </w:rPr>
                          <w:t>提取盈余公积</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
                          <w:jc w:val="right"/>
                          <w:rPr>
                            <w:rFonts w:ascii="Arial" w:hAnsi="Arial" w:cs="Arial" w:eastAsia="Arial" w:hint="default"/>
                            <w:sz w:val="20"/>
                            <w:szCs w:val="20"/>
                          </w:rPr>
                        </w:pPr>
                        <w:r>
                          <w:rPr>
                            <w:rFonts w:ascii="Arial"/>
                            <w:w w:val="99"/>
                            <w:sz w:val="20"/>
                          </w:rPr>
                          <w:t>-</w:t>
                        </w:r>
                        <w:r>
                          <w:rPr>
                            <w:rFonts w:ascii="Arial"/>
                            <w:sz w:val="20"/>
                          </w:rPr>
                        </w:r>
                      </w:p>
                    </w:tc>
                    <w:tc>
                      <w:tcPr>
                        <w:tcW w:w="468"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5"/>
                          <w:jc w:val="right"/>
                          <w:rPr>
                            <w:rFonts w:ascii="Arial" w:hAnsi="Arial" w:cs="Arial" w:eastAsia="Arial" w:hint="default"/>
                            <w:sz w:val="20"/>
                            <w:szCs w:val="20"/>
                          </w:rPr>
                        </w:pPr>
                        <w:r>
                          <w:rPr>
                            <w:rFonts w:ascii="Arial"/>
                            <w:w w:val="99"/>
                            <w:sz w:val="20"/>
                          </w:rPr>
                          <w:t>-</w:t>
                        </w:r>
                        <w:r>
                          <w:rPr>
                            <w:rFonts w:ascii="Arial"/>
                            <w:sz w:val="20"/>
                          </w:rPr>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63"/>
                          <w:jc w:val="right"/>
                          <w:rPr>
                            <w:rFonts w:ascii="Arial" w:hAnsi="Arial" w:cs="Arial" w:eastAsia="Arial" w:hint="default"/>
                            <w:sz w:val="20"/>
                            <w:szCs w:val="20"/>
                          </w:rPr>
                        </w:pPr>
                        <w:r>
                          <w:rPr>
                            <w:rFonts w:ascii="Arial"/>
                            <w:spacing w:val="-1"/>
                            <w:sz w:val="20"/>
                          </w:rPr>
                          <w:t>73,005,886</w:t>
                        </w:r>
                        <w:r>
                          <w:rPr>
                            <w:rFonts w:ascii="Arial"/>
                            <w:sz w:val="20"/>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8"/>
                          <w:jc w:val="right"/>
                          <w:rPr>
                            <w:rFonts w:ascii="Arial" w:hAnsi="Arial" w:cs="Arial" w:eastAsia="Arial" w:hint="default"/>
                            <w:sz w:val="20"/>
                            <w:szCs w:val="20"/>
                          </w:rPr>
                        </w:pPr>
                        <w:r>
                          <w:rPr>
                            <w:rFonts w:ascii="Arial"/>
                            <w:sz w:val="20"/>
                          </w:rPr>
                          <w:t>( </w:t>
                        </w:r>
                        <w:r>
                          <w:rPr>
                            <w:rFonts w:ascii="Arial"/>
                            <w:spacing w:val="42"/>
                            <w:sz w:val="20"/>
                          </w:rPr>
                          <w:t> </w:t>
                        </w:r>
                        <w:r>
                          <w:rPr>
                            <w:rFonts w:ascii="Arial"/>
                            <w:sz w:val="20"/>
                          </w:rPr>
                          <w:t>73,005,886</w:t>
                        </w:r>
                      </w:p>
                    </w:tc>
                    <w:tc>
                      <w:tcPr>
                        <w:tcW w:w="32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0" w:right="0"/>
                          <w:jc w:val="left"/>
                          <w:rPr>
                            <w:rFonts w:ascii="Arial" w:hAnsi="Arial" w:cs="Arial" w:eastAsia="Arial" w:hint="default"/>
                            <w:sz w:val="20"/>
                            <w:szCs w:val="20"/>
                          </w:rPr>
                        </w:pPr>
                        <w:r>
                          <w:rPr>
                            <w:rFonts w:ascii="Arial"/>
                            <w:w w:val="99"/>
                            <w:sz w:val="20"/>
                          </w:rPr>
                          <w:t>)</w:t>
                        </w:r>
                        <w:r>
                          <w:rPr>
                            <w:rFonts w:ascii="Arial"/>
                            <w:sz w:val="20"/>
                          </w:rPr>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8"/>
                          <w:jc w:val="right"/>
                          <w:rPr>
                            <w:rFonts w:ascii="Arial" w:hAnsi="Arial" w:cs="Arial" w:eastAsia="Arial" w:hint="default"/>
                            <w:sz w:val="20"/>
                            <w:szCs w:val="20"/>
                          </w:rPr>
                        </w:pPr>
                        <w:r>
                          <w:rPr>
                            <w:rFonts w:ascii="Arial"/>
                            <w:w w:val="99"/>
                            <w:sz w:val="20"/>
                          </w:rPr>
                          <w:t>-</w:t>
                        </w:r>
                        <w:r>
                          <w:rPr>
                            <w:rFonts w:ascii="Arial"/>
                            <w:sz w:val="20"/>
                          </w:rPr>
                        </w:r>
                      </w:p>
                    </w:tc>
                    <w:tc>
                      <w:tcPr>
                        <w:tcW w:w="78"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r>
                  <w:tr>
                    <w:trPr>
                      <w:trHeight w:val="284" w:hRule="exact"/>
                    </w:trPr>
                    <w:tc>
                      <w:tcPr>
                        <w:tcW w:w="5148" w:type="dxa"/>
                        <w:tcBorders>
                          <w:top w:val="nil" w:sz="6" w:space="0" w:color="auto"/>
                          <w:left w:val="nil" w:sz="6" w:space="0" w:color="auto"/>
                          <w:bottom w:val="nil" w:sz="6" w:space="0" w:color="auto"/>
                          <w:right w:val="nil" w:sz="6" w:space="0" w:color="auto"/>
                        </w:tcBorders>
                      </w:tcPr>
                      <w:p>
                        <w:pPr>
                          <w:pStyle w:val="TableParagraph"/>
                          <w:spacing w:line="250" w:lineRule="exact"/>
                          <w:ind w:left="187" w:right="0"/>
                          <w:jc w:val="left"/>
                          <w:rPr>
                            <w:rFonts w:ascii="黑体" w:hAnsi="黑体" w:cs="黑体" w:eastAsia="黑体" w:hint="default"/>
                            <w:sz w:val="20"/>
                            <w:szCs w:val="20"/>
                          </w:rPr>
                        </w:pPr>
                        <w:r>
                          <w:rPr>
                            <w:rFonts w:ascii="Arial" w:hAnsi="Arial" w:cs="Arial" w:eastAsia="Arial" w:hint="default"/>
                            <w:sz w:val="20"/>
                            <w:szCs w:val="20"/>
                          </w:rPr>
                          <w:t>2.</w:t>
                        </w:r>
                        <w:r>
                          <w:rPr>
                            <w:rFonts w:ascii="Arial" w:hAnsi="Arial" w:cs="Arial" w:eastAsia="Arial" w:hint="default"/>
                            <w:spacing w:val="20"/>
                            <w:sz w:val="20"/>
                            <w:szCs w:val="20"/>
                          </w:rPr>
                          <w:t> </w:t>
                        </w:r>
                        <w:r>
                          <w:rPr>
                            <w:rFonts w:ascii="黑体" w:hAnsi="黑体" w:cs="黑体" w:eastAsia="黑体" w:hint="default"/>
                            <w:sz w:val="20"/>
                            <w:szCs w:val="20"/>
                          </w:rPr>
                          <w:t>对股东的分配</w:t>
                        </w:r>
                      </w:p>
                    </w:tc>
                    <w:tc>
                      <w:tcPr>
                        <w:tcW w:w="1359"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before="19"/>
                          <w:ind w:right="4"/>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468"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before="19"/>
                          <w:ind w:right="333"/>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997"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before="19"/>
                          <w:ind w:right="55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8"/>
                          <w:jc w:val="right"/>
                          <w:rPr>
                            <w:rFonts w:ascii="Arial" w:hAnsi="Arial" w:cs="Arial" w:eastAsia="Arial" w:hint="default"/>
                            <w:sz w:val="20"/>
                            <w:szCs w:val="20"/>
                          </w:rPr>
                        </w:pPr>
                        <w:r>
                          <w:rPr>
                            <w:rFonts w:ascii="Arial"/>
                            <w:sz w:val="20"/>
                          </w:rPr>
                          <w:t>(</w:t>
                        </w:r>
                        <w:r>
                          <w:rPr>
                            <w:rFonts w:ascii="Arial"/>
                            <w:spacing w:val="-5"/>
                            <w:sz w:val="20"/>
                          </w:rPr>
                          <w:t> </w:t>
                        </w:r>
                        <w:r>
                          <w:rPr>
                            <w:rFonts w:ascii="Arial"/>
                            <w:spacing w:val="-5"/>
                            <w:sz w:val="20"/>
                            <w:u w:val="single" w:color="000000"/>
                          </w:rPr>
                          <w:t> </w:t>
                        </w:r>
                        <w:r>
                          <w:rPr>
                            <w:rFonts w:ascii="Arial"/>
                            <w:sz w:val="20"/>
                            <w:u w:val="single" w:color="000000"/>
                          </w:rPr>
                          <w:t>179,526,780</w:t>
                        </w:r>
                        <w:r>
                          <w:rPr>
                            <w:rFonts w:ascii="Arial"/>
                            <w:sz w:val="20"/>
                          </w:rPr>
                        </w:r>
                      </w:p>
                    </w:tc>
                    <w:tc>
                      <w:tcPr>
                        <w:tcW w:w="32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6" w:right="0"/>
                          <w:jc w:val="left"/>
                          <w:rPr>
                            <w:rFonts w:ascii="Arial" w:hAnsi="Arial" w:cs="Arial" w:eastAsia="Arial" w:hint="default"/>
                            <w:sz w:val="20"/>
                            <w:szCs w:val="20"/>
                          </w:rPr>
                        </w:pPr>
                        <w:r>
                          <w:rPr>
                            <w:rFonts w:ascii="Arial"/>
                            <w:w w:val="99"/>
                            <w:sz w:val="20"/>
                          </w:rPr>
                          <w:t>)</w:t>
                        </w:r>
                        <w:r>
                          <w:rPr>
                            <w:rFonts w:ascii="Arial"/>
                            <w:sz w:val="20"/>
                          </w:rPr>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
                          <w:jc w:val="right"/>
                          <w:rPr>
                            <w:rFonts w:ascii="Arial" w:hAnsi="Arial" w:cs="Arial" w:eastAsia="Arial" w:hint="default"/>
                            <w:sz w:val="20"/>
                            <w:szCs w:val="20"/>
                          </w:rPr>
                        </w:pPr>
                        <w:r>
                          <w:rPr>
                            <w:rFonts w:ascii="Arial"/>
                            <w:sz w:val="20"/>
                          </w:rPr>
                          <w:t>(  </w:t>
                        </w:r>
                        <w:r>
                          <w:rPr>
                            <w:rFonts w:ascii="Arial"/>
                            <w:spacing w:val="25"/>
                            <w:sz w:val="20"/>
                          </w:rPr>
                          <w:t> </w:t>
                        </w:r>
                        <w:r>
                          <w:rPr>
                            <w:rFonts w:ascii="Arial"/>
                            <w:spacing w:val="25"/>
                            <w:sz w:val="20"/>
                            <w:u w:val="single" w:color="000000"/>
                          </w:rPr>
                          <w:t> </w:t>
                        </w:r>
                        <w:r>
                          <w:rPr>
                            <w:rFonts w:ascii="Arial"/>
                            <w:sz w:val="20"/>
                            <w:u w:val="single" w:color="000000"/>
                          </w:rPr>
                          <w:t>179,526,780</w:t>
                        </w:r>
                        <w:r>
                          <w:rPr>
                            <w:rFonts w:ascii="Arial"/>
                            <w:sz w:val="20"/>
                          </w:rPr>
                        </w:r>
                      </w:p>
                    </w:tc>
                    <w:tc>
                      <w:tcPr>
                        <w:tcW w:w="78"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r>
                  <w:tr>
                    <w:trPr>
                      <w:trHeight w:val="275" w:hRule="exact"/>
                    </w:trPr>
                    <w:tc>
                      <w:tcPr>
                        <w:tcW w:w="5148" w:type="dxa"/>
                        <w:tcBorders>
                          <w:top w:val="nil" w:sz="6" w:space="0" w:color="auto"/>
                          <w:left w:val="nil" w:sz="6" w:space="0" w:color="auto"/>
                          <w:bottom w:val="nil" w:sz="6" w:space="0" w:color="auto"/>
                          <w:right w:val="nil" w:sz="6" w:space="0" w:color="auto"/>
                        </w:tcBorders>
                      </w:tcPr>
                      <w:p>
                        <w:pPr/>
                      </w:p>
                    </w:tc>
                    <w:tc>
                      <w:tcPr>
                        <w:tcW w:w="1359"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before="13"/>
                          <w:ind w:right="6"/>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468"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before="13"/>
                          <w:ind w:right="335"/>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565"/>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sz w:val="20"/>
                            <w:u w:val="single" w:color="000000"/>
                          </w:rPr>
                          <w:t>73,005,886</w:t>
                        </w:r>
                        <w:r>
                          <w:rPr>
                            <w:rFonts w:ascii="Arial"/>
                            <w:spacing w:val="-1"/>
                            <w:sz w:val="20"/>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8"/>
                          <w:jc w:val="right"/>
                          <w:rPr>
                            <w:rFonts w:ascii="Arial" w:hAnsi="Arial" w:cs="Arial" w:eastAsia="Arial" w:hint="default"/>
                            <w:sz w:val="20"/>
                            <w:szCs w:val="20"/>
                          </w:rPr>
                        </w:pPr>
                        <w:r>
                          <w:rPr>
                            <w:rFonts w:ascii="Arial"/>
                            <w:sz w:val="20"/>
                          </w:rPr>
                          <w:t>(</w:t>
                        </w:r>
                        <w:r>
                          <w:rPr>
                            <w:rFonts w:ascii="Arial"/>
                            <w:spacing w:val="-12"/>
                            <w:sz w:val="20"/>
                          </w:rPr>
                          <w:t> </w:t>
                        </w:r>
                        <w:r>
                          <w:rPr>
                            <w:rFonts w:ascii="Arial"/>
                            <w:spacing w:val="-12"/>
                            <w:sz w:val="20"/>
                            <w:u w:val="single" w:color="000000"/>
                          </w:rPr>
                          <w:t> </w:t>
                        </w:r>
                        <w:r>
                          <w:rPr>
                            <w:rFonts w:ascii="Arial"/>
                            <w:sz w:val="20"/>
                            <w:u w:val="single" w:color="000000"/>
                          </w:rPr>
                          <w:t>252,532,666</w:t>
                        </w:r>
                        <w:r>
                          <w:rPr>
                            <w:rFonts w:ascii="Arial"/>
                            <w:sz w:val="20"/>
                          </w:rPr>
                        </w:r>
                      </w:p>
                    </w:tc>
                    <w:tc>
                      <w:tcPr>
                        <w:tcW w:w="32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0" w:right="0"/>
                          <w:jc w:val="left"/>
                          <w:rPr>
                            <w:rFonts w:ascii="Arial" w:hAnsi="Arial" w:cs="Arial" w:eastAsia="Arial" w:hint="default"/>
                            <w:sz w:val="20"/>
                            <w:szCs w:val="20"/>
                          </w:rPr>
                        </w:pPr>
                        <w:r>
                          <w:rPr>
                            <w:rFonts w:ascii="Arial"/>
                            <w:w w:val="99"/>
                            <w:sz w:val="20"/>
                          </w:rPr>
                          <w:t>)</w:t>
                        </w:r>
                        <w:r>
                          <w:rPr>
                            <w:rFonts w:ascii="Arial"/>
                            <w:sz w:val="20"/>
                          </w:rPr>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
                          <w:jc w:val="right"/>
                          <w:rPr>
                            <w:rFonts w:ascii="Arial" w:hAnsi="Arial" w:cs="Arial" w:eastAsia="Arial" w:hint="default"/>
                            <w:sz w:val="20"/>
                            <w:szCs w:val="20"/>
                          </w:rPr>
                        </w:pPr>
                        <w:r>
                          <w:rPr>
                            <w:rFonts w:ascii="Arial"/>
                            <w:sz w:val="20"/>
                          </w:rPr>
                          <w:t>(  </w:t>
                        </w:r>
                        <w:r>
                          <w:rPr>
                            <w:rFonts w:ascii="Arial"/>
                            <w:spacing w:val="25"/>
                            <w:sz w:val="20"/>
                          </w:rPr>
                          <w:t> </w:t>
                        </w:r>
                        <w:r>
                          <w:rPr>
                            <w:rFonts w:ascii="Arial"/>
                            <w:spacing w:val="25"/>
                            <w:sz w:val="20"/>
                            <w:u w:val="single" w:color="000000"/>
                          </w:rPr>
                          <w:t> </w:t>
                        </w:r>
                        <w:r>
                          <w:rPr>
                            <w:rFonts w:ascii="Arial"/>
                            <w:sz w:val="20"/>
                            <w:u w:val="single" w:color="000000"/>
                          </w:rPr>
                          <w:t>179,526,780</w:t>
                        </w:r>
                        <w:r>
                          <w:rPr>
                            <w:rFonts w:ascii="Arial"/>
                            <w:sz w:val="20"/>
                          </w:rPr>
                        </w:r>
                      </w:p>
                    </w:tc>
                    <w:tc>
                      <w:tcPr>
                        <w:tcW w:w="78"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r>
                  <w:tr>
                    <w:trPr>
                      <w:trHeight w:val="281" w:hRule="exact"/>
                    </w:trPr>
                    <w:tc>
                      <w:tcPr>
                        <w:tcW w:w="5148" w:type="dxa"/>
                        <w:tcBorders>
                          <w:top w:val="nil" w:sz="6" w:space="0" w:color="auto"/>
                          <w:left w:val="nil" w:sz="6" w:space="0" w:color="auto"/>
                          <w:bottom w:val="nil" w:sz="6" w:space="0" w:color="auto"/>
                          <w:right w:val="nil" w:sz="6" w:space="0" w:color="auto"/>
                        </w:tcBorders>
                      </w:tcPr>
                      <w:p>
                        <w:pPr>
                          <w:pStyle w:val="TableParagraph"/>
                          <w:spacing w:line="250" w:lineRule="exact"/>
                          <w:ind w:right="0"/>
                          <w:jc w:val="left"/>
                          <w:rPr>
                            <w:rFonts w:ascii="黑体" w:hAnsi="黑体" w:cs="黑体" w:eastAsia="黑体" w:hint="default"/>
                            <w:sz w:val="20"/>
                            <w:szCs w:val="20"/>
                          </w:rPr>
                        </w:pPr>
                        <w:r>
                          <w:rPr>
                            <w:rFonts w:ascii="Arial" w:hAnsi="Arial" w:cs="Arial" w:eastAsia="Arial" w:hint="default"/>
                            <w:sz w:val="20"/>
                            <w:szCs w:val="20"/>
                          </w:rPr>
                          <w:t>(</w:t>
                        </w:r>
                        <w:r>
                          <w:rPr>
                            <w:rFonts w:ascii="黑体" w:hAnsi="黑体" w:cs="黑体" w:eastAsia="黑体" w:hint="default"/>
                            <w:sz w:val="20"/>
                            <w:szCs w:val="20"/>
                          </w:rPr>
                          <w:t>五</w:t>
                        </w:r>
                        <w:r>
                          <w:rPr>
                            <w:rFonts w:ascii="Arial" w:hAnsi="Arial" w:cs="Arial" w:eastAsia="Arial" w:hint="default"/>
                            <w:sz w:val="20"/>
                            <w:szCs w:val="20"/>
                          </w:rPr>
                          <w:t>)</w:t>
                        </w:r>
                        <w:r>
                          <w:rPr>
                            <w:rFonts w:ascii="Arial" w:hAnsi="Arial" w:cs="Arial" w:eastAsia="Arial" w:hint="default"/>
                            <w:spacing w:val="39"/>
                            <w:sz w:val="20"/>
                            <w:szCs w:val="20"/>
                          </w:rPr>
                          <w:t> </w:t>
                        </w:r>
                        <w:r>
                          <w:rPr>
                            <w:rFonts w:ascii="黑体" w:hAnsi="黑体" w:cs="黑体" w:eastAsia="黑体" w:hint="default"/>
                            <w:sz w:val="20"/>
                            <w:szCs w:val="20"/>
                          </w:rPr>
                          <w:t>股东权益内部结转</w:t>
                        </w:r>
                      </w:p>
                    </w:tc>
                    <w:tc>
                      <w:tcPr>
                        <w:tcW w:w="1359" w:type="dxa"/>
                        <w:tcBorders>
                          <w:top w:val="nil" w:sz="6" w:space="0" w:color="auto"/>
                          <w:left w:val="nil" w:sz="6" w:space="0" w:color="auto"/>
                          <w:bottom w:val="nil" w:sz="6" w:space="0" w:color="auto"/>
                          <w:right w:val="nil" w:sz="6" w:space="0" w:color="auto"/>
                        </w:tcBorders>
                      </w:tcPr>
                      <w:p>
                        <w:pPr/>
                      </w:p>
                    </w:tc>
                    <w:tc>
                      <w:tcPr>
                        <w:tcW w:w="468"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
                    </w:tc>
                    <w:tc>
                      <w:tcPr>
                        <w:tcW w:w="1997"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
                    </w:tc>
                    <w:tc>
                      <w:tcPr>
                        <w:tcW w:w="322"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nil" w:sz="6" w:space="0" w:color="auto"/>
                          <w:right w:val="nil" w:sz="6" w:space="0" w:color="auto"/>
                        </w:tcBorders>
                      </w:tcPr>
                      <w:p>
                        <w:pPr/>
                      </w:p>
                    </w:tc>
                    <w:tc>
                      <w:tcPr>
                        <w:tcW w:w="78"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r>
                  <w:tr>
                    <w:trPr>
                      <w:trHeight w:val="431" w:hRule="exact"/>
                    </w:trPr>
                    <w:tc>
                      <w:tcPr>
                        <w:tcW w:w="5148" w:type="dxa"/>
                        <w:tcBorders>
                          <w:top w:val="nil" w:sz="6" w:space="0" w:color="auto"/>
                          <w:left w:val="nil" w:sz="6" w:space="0" w:color="auto"/>
                          <w:bottom w:val="nil" w:sz="6" w:space="0" w:color="auto"/>
                          <w:right w:val="nil" w:sz="6" w:space="0" w:color="auto"/>
                        </w:tcBorders>
                      </w:tcPr>
                      <w:p>
                        <w:pPr>
                          <w:pStyle w:val="TableParagraph"/>
                          <w:spacing w:line="250" w:lineRule="exact"/>
                          <w:ind w:left="187" w:right="0"/>
                          <w:jc w:val="lef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20"/>
                            <w:sz w:val="20"/>
                            <w:szCs w:val="20"/>
                          </w:rPr>
                          <w:t> </w:t>
                        </w:r>
                        <w:r>
                          <w:rPr>
                            <w:rFonts w:ascii="黑体" w:hAnsi="黑体" w:cs="黑体" w:eastAsia="黑体" w:hint="default"/>
                            <w:sz w:val="20"/>
                            <w:szCs w:val="20"/>
                          </w:rPr>
                          <w:t>资本公积转增股本</w:t>
                        </w:r>
                      </w:p>
                    </w:tc>
                    <w:tc>
                      <w:tcPr>
                        <w:tcW w:w="1359"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before="19"/>
                          <w:ind w:right="4"/>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468"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before="19"/>
                          <w:ind w:right="321"/>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997"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before="19"/>
                          <w:ind w:right="561"/>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807" w:type="dxa"/>
                        <w:tcBorders>
                          <w:top w:val="nil" w:sz="6" w:space="0" w:color="auto"/>
                          <w:left w:val="nil" w:sz="6" w:space="0" w:color="auto"/>
                          <w:bottom w:val="nil" w:sz="6" w:space="0" w:color="auto"/>
                          <w:right w:val="nil" w:sz="6" w:space="0" w:color="auto"/>
                        </w:tcBorders>
                      </w:tcPr>
                      <w:p>
                        <w:pPr>
                          <w:pStyle w:val="TableParagraph"/>
                          <w:tabs>
                            <w:tab w:pos="1072" w:val="left" w:leader="none"/>
                          </w:tabs>
                          <w:spacing w:line="240" w:lineRule="auto" w:before="19"/>
                          <w:ind w:right="6"/>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322"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nil" w:sz="6" w:space="0" w:color="auto"/>
                          <w:right w:val="nil" w:sz="6" w:space="0" w:color="auto"/>
                        </w:tcBorders>
                      </w:tcPr>
                      <w:p>
                        <w:pPr>
                          <w:pStyle w:val="TableParagraph"/>
                          <w:tabs>
                            <w:tab w:pos="1180" w:val="left" w:leader="none"/>
                          </w:tabs>
                          <w:spacing w:line="240" w:lineRule="auto" w:before="19"/>
                          <w:ind w:right="27"/>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78"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r>
                  <w:tr>
                    <w:trPr>
                      <w:trHeight w:val="395" w:hRule="exact"/>
                    </w:trPr>
                    <w:tc>
                      <w:tcPr>
                        <w:tcW w:w="514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0"/>
                          <w:jc w:val="left"/>
                          <w:rPr>
                            <w:rFonts w:ascii="黑体" w:hAnsi="黑体" w:cs="黑体" w:eastAsia="黑体" w:hint="default"/>
                            <w:sz w:val="20"/>
                            <w:szCs w:val="20"/>
                          </w:rPr>
                        </w:pPr>
                        <w:r>
                          <w:rPr>
                            <w:rFonts w:ascii="黑体" w:hAnsi="黑体" w:cs="黑体" w:eastAsia="黑体" w:hint="default"/>
                            <w:sz w:val="20"/>
                            <w:szCs w:val="20"/>
                          </w:rPr>
                          <w:t>三、本年年末余额</w:t>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8"/>
                          <w:jc w:val="right"/>
                          <w:rPr>
                            <w:rFonts w:ascii="Arial" w:hAnsi="Arial" w:cs="Arial" w:eastAsia="Arial" w:hint="default"/>
                            <w:sz w:val="20"/>
                            <w:szCs w:val="20"/>
                          </w:rPr>
                        </w:pPr>
                        <w:r>
                          <w:rPr>
                            <w:rFonts w:ascii="Arial"/>
                            <w:w w:val="99"/>
                            <w:sz w:val="20"/>
                          </w:rPr>
                        </w:r>
                        <w:r>
                          <w:rPr>
                            <w:rFonts w:ascii="Arial"/>
                            <w:spacing w:val="-1"/>
                            <w:sz w:val="20"/>
                            <w:u w:val="thick" w:color="000000"/>
                          </w:rPr>
                          <w:t>815,903,367</w:t>
                        </w:r>
                        <w:r>
                          <w:rPr>
                            <w:rFonts w:ascii="Arial"/>
                            <w:spacing w:val="-1"/>
                            <w:sz w:val="20"/>
                          </w:rPr>
                        </w:r>
                        <w:r>
                          <w:rPr>
                            <w:rFonts w:ascii="Arial"/>
                            <w:sz w:val="20"/>
                          </w:rPr>
                        </w:r>
                      </w:p>
                    </w:tc>
                    <w:tc>
                      <w:tcPr>
                        <w:tcW w:w="468"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337"/>
                          <w:jc w:val="right"/>
                          <w:rPr>
                            <w:rFonts w:ascii="Arial" w:hAnsi="Arial" w:cs="Arial" w:eastAsia="Arial" w:hint="default"/>
                            <w:sz w:val="20"/>
                            <w:szCs w:val="20"/>
                          </w:rPr>
                        </w:pPr>
                        <w:r>
                          <w:rPr>
                            <w:rFonts w:ascii="Arial"/>
                            <w:w w:val="99"/>
                            <w:sz w:val="20"/>
                          </w:rPr>
                        </w:r>
                        <w:r>
                          <w:rPr>
                            <w:rFonts w:ascii="Arial"/>
                            <w:spacing w:val="-1"/>
                            <w:sz w:val="20"/>
                            <w:u w:val="thick" w:color="000000"/>
                          </w:rPr>
                          <w:t>765,185,629</w:t>
                        </w:r>
                        <w:r>
                          <w:rPr>
                            <w:rFonts w:ascii="Arial"/>
                            <w:spacing w:val="-1"/>
                            <w:sz w:val="20"/>
                          </w:rPr>
                        </w:r>
                        <w:r>
                          <w:rPr>
                            <w:rFonts w:ascii="Arial"/>
                            <w:sz w:val="20"/>
                          </w:rPr>
                        </w:r>
                      </w:p>
                    </w:tc>
                    <w:tc>
                      <w:tcPr>
                        <w:tcW w:w="1997"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563"/>
                          <w:jc w:val="right"/>
                          <w:rPr>
                            <w:rFonts w:ascii="Arial" w:hAnsi="Arial" w:cs="Arial" w:eastAsia="Arial" w:hint="default"/>
                            <w:sz w:val="20"/>
                            <w:szCs w:val="20"/>
                          </w:rPr>
                        </w:pPr>
                        <w:r>
                          <w:rPr>
                            <w:rFonts w:ascii="Arial"/>
                            <w:w w:val="99"/>
                            <w:sz w:val="20"/>
                          </w:rPr>
                        </w:r>
                        <w:r>
                          <w:rPr>
                            <w:rFonts w:ascii="Arial"/>
                            <w:spacing w:val="-1"/>
                            <w:sz w:val="20"/>
                            <w:u w:val="thick" w:color="000000"/>
                          </w:rPr>
                          <w:t>391,398,002</w:t>
                        </w:r>
                        <w:r>
                          <w:rPr>
                            <w:rFonts w:ascii="Arial"/>
                            <w:spacing w:val="-1"/>
                            <w:sz w:val="20"/>
                          </w:rPr>
                        </w:r>
                        <w:r>
                          <w:rPr>
                            <w:rFonts w:ascii="Arial"/>
                            <w:sz w:val="20"/>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8"/>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pacing w:val="-20"/>
                            <w:sz w:val="20"/>
                            <w:u w:val="thick" w:color="000000"/>
                          </w:rPr>
                          <w:t> </w:t>
                        </w:r>
                        <w:r>
                          <w:rPr>
                            <w:rFonts w:ascii="Arial"/>
                            <w:spacing w:val="-1"/>
                            <w:sz w:val="20"/>
                            <w:u w:val="thick" w:color="000000"/>
                          </w:rPr>
                          <w:t>934,605,979</w:t>
                        </w:r>
                        <w:r>
                          <w:rPr>
                            <w:rFonts w:ascii="Arial"/>
                            <w:spacing w:val="-1"/>
                            <w:sz w:val="20"/>
                          </w:rPr>
                        </w:r>
                        <w:r>
                          <w:rPr>
                            <w:rFonts w:ascii="Arial"/>
                            <w:sz w:val="20"/>
                          </w:rPr>
                        </w:r>
                      </w:p>
                    </w:tc>
                    <w:tc>
                      <w:tcPr>
                        <w:tcW w:w="322"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10"/>
                          <w:jc w:val="right"/>
                          <w:rPr>
                            <w:rFonts w:ascii="Arial" w:hAnsi="Arial" w:cs="Arial" w:eastAsia="Arial" w:hint="default"/>
                            <w:sz w:val="20"/>
                            <w:szCs w:val="20"/>
                          </w:rPr>
                        </w:pPr>
                        <w:r>
                          <w:rPr>
                            <w:rFonts w:ascii="Arial"/>
                            <w:w w:val="99"/>
                            <w:sz w:val="20"/>
                          </w:rPr>
                        </w:r>
                        <w:r>
                          <w:rPr>
                            <w:rFonts w:ascii="Arial"/>
                            <w:spacing w:val="-1"/>
                            <w:sz w:val="20"/>
                            <w:u w:val="thick" w:color="000000"/>
                          </w:rPr>
                          <w:t>2,907,092,977</w:t>
                        </w:r>
                        <w:r>
                          <w:rPr>
                            <w:rFonts w:ascii="Arial"/>
                            <w:spacing w:val="-1"/>
                            <w:sz w:val="20"/>
                          </w:rPr>
                        </w:r>
                        <w:r>
                          <w:rPr>
                            <w:rFonts w:ascii="Arial"/>
                            <w:sz w:val="20"/>
                          </w:rPr>
                        </w:r>
                      </w:p>
                    </w:tc>
                    <w:tc>
                      <w:tcPr>
                        <w:tcW w:w="78" w:type="dxa"/>
                        <w:tcBorders>
                          <w:top w:val="nil" w:sz="6" w:space="0" w:color="auto"/>
                          <w:left w:val="nil" w:sz="6" w:space="0" w:color="auto"/>
                          <w:bottom w:val="nil" w:sz="6" w:space="0" w:color="auto"/>
                          <w:right w:val="nil" w:sz="6" w:space="0" w:color="auto"/>
                        </w:tcBorders>
                      </w:tcPr>
                      <w:p>
                        <w:pPr/>
                      </w:p>
                    </w:tc>
                    <w:tc>
                      <w:tcPr>
                        <w:tcW w:w="101"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Arial"/>
          <w:w w:val="99"/>
        </w:rPr>
        <w:t>)</w:t>
      </w:r>
      <w:r>
        <w:rPr>
          <w:rFonts w:ascii="Arial"/>
        </w:rPr>
      </w:r>
    </w:p>
    <w:p>
      <w:pPr>
        <w:pStyle w:val="BodyText"/>
        <w:spacing w:line="240" w:lineRule="auto" w:before="48"/>
        <w:ind w:left="0" w:right="215"/>
        <w:jc w:val="right"/>
        <w:rPr>
          <w:rFonts w:ascii="Arial" w:hAnsi="Arial" w:cs="Arial" w:eastAsia="Arial" w:hint="default"/>
        </w:rPr>
      </w:pPr>
      <w:r>
        <w:rPr>
          <w:rFonts w:ascii="Arial"/>
          <w:w w:val="99"/>
        </w:rPr>
        <w:t>)</w:t>
      </w:r>
      <w:r>
        <w:rPr>
          <w:rFonts w:ascii="Arial"/>
        </w:rPr>
      </w:r>
    </w:p>
    <w:p>
      <w:pPr>
        <w:spacing w:after="0" w:line="240" w:lineRule="auto"/>
        <w:jc w:val="right"/>
        <w:rPr>
          <w:rFonts w:ascii="Arial" w:hAnsi="Arial" w:cs="Arial" w:eastAsia="Arial" w:hint="default"/>
        </w:rPr>
        <w:sectPr>
          <w:pgSz w:w="16850" w:h="11910" w:orient="landscape"/>
          <w:pgMar w:header="957" w:footer="487" w:top="1160" w:bottom="680" w:left="980" w:right="1000"/>
        </w:sectPr>
      </w:pPr>
    </w:p>
    <w:p>
      <w:pPr>
        <w:pStyle w:val="Heading4"/>
        <w:spacing w:line="292" w:lineRule="auto"/>
        <w:ind w:left="3581" w:right="4017"/>
        <w:jc w:val="center"/>
        <w:rPr>
          <w:b w:val="0"/>
          <w:bCs w:val="0"/>
        </w:rPr>
      </w:pPr>
      <w:r>
        <w:rPr/>
        <w:t>公司现金流量表</w:t>
      </w:r>
      <w:r>
        <w:rPr>
          <w:w w:val="99"/>
        </w:rPr>
        <w:t> </w:t>
      </w:r>
      <w:r>
        <w:rPr>
          <w:rFonts w:ascii="Arial" w:hAnsi="Arial" w:cs="Arial" w:eastAsia="Arial" w:hint="default"/>
        </w:rPr>
        <w:t>2012</w:t>
      </w:r>
      <w:r>
        <w:rPr>
          <w:rFonts w:ascii="Arial" w:hAnsi="Arial" w:cs="Arial" w:eastAsia="Arial" w:hint="default"/>
          <w:spacing w:val="-8"/>
        </w:rPr>
        <w:t> </w:t>
      </w:r>
      <w:r>
        <w:rPr/>
        <w:t>年度</w:t>
      </w:r>
      <w:r>
        <w:rPr>
          <w:w w:val="99"/>
        </w:rPr>
        <w:t> </w:t>
      </w:r>
      <w:r>
        <w:rPr/>
        <w:t>人民币元</w:t>
      </w:r>
      <w:r>
        <w:rPr>
          <w:b w:val="0"/>
          <w:bCs w:val="0"/>
        </w:rPr>
      </w:r>
    </w:p>
    <w:p>
      <w:pPr>
        <w:spacing w:line="240" w:lineRule="auto" w:before="9"/>
        <w:rPr>
          <w:rFonts w:ascii="黑体" w:hAnsi="黑体" w:cs="黑体" w:eastAsia="黑体" w:hint="default"/>
          <w:b/>
          <w:bCs/>
          <w:sz w:val="16"/>
          <w:szCs w:val="16"/>
        </w:rPr>
      </w:pPr>
    </w:p>
    <w:tbl>
      <w:tblPr>
        <w:tblW w:w="0" w:type="auto"/>
        <w:jc w:val="left"/>
        <w:tblInd w:w="101" w:type="dxa"/>
        <w:tblLayout w:type="fixed"/>
        <w:tblCellMar>
          <w:top w:w="0" w:type="dxa"/>
          <w:left w:w="0" w:type="dxa"/>
          <w:bottom w:w="0" w:type="dxa"/>
          <w:right w:w="0" w:type="dxa"/>
        </w:tblCellMar>
        <w:tblLook w:val="01E0"/>
      </w:tblPr>
      <w:tblGrid>
        <w:gridCol w:w="3844"/>
        <w:gridCol w:w="1247"/>
        <w:gridCol w:w="1754"/>
        <w:gridCol w:w="313"/>
        <w:gridCol w:w="1487"/>
        <w:gridCol w:w="281"/>
      </w:tblGrid>
      <w:tr>
        <w:trPr>
          <w:trHeight w:val="460" w:hRule="exact"/>
        </w:trPr>
        <w:tc>
          <w:tcPr>
            <w:tcW w:w="3844" w:type="dxa"/>
            <w:tcBorders>
              <w:top w:val="single" w:sz="6" w:space="0" w:color="000000"/>
              <w:left w:val="nil" w:sz="6" w:space="0" w:color="auto"/>
              <w:bottom w:val="nil" w:sz="6" w:space="0" w:color="auto"/>
              <w:right w:val="nil" w:sz="6" w:space="0" w:color="auto"/>
            </w:tcBorders>
          </w:tcPr>
          <w:p>
            <w:pPr/>
          </w:p>
        </w:tc>
        <w:tc>
          <w:tcPr>
            <w:tcW w:w="1247" w:type="dxa"/>
            <w:tcBorders>
              <w:top w:val="single" w:sz="6" w:space="0" w:color="000000"/>
              <w:left w:val="nil" w:sz="6" w:space="0" w:color="auto"/>
              <w:bottom w:val="nil" w:sz="6" w:space="0" w:color="auto"/>
              <w:right w:val="nil" w:sz="6" w:space="0" w:color="auto"/>
            </w:tcBorders>
          </w:tcPr>
          <w:p>
            <w:pPr>
              <w:pStyle w:val="TableParagraph"/>
              <w:spacing w:line="240" w:lineRule="auto" w:before="65"/>
              <w:ind w:right="368"/>
              <w:jc w:val="center"/>
              <w:rPr>
                <w:rFonts w:ascii="黑体" w:hAnsi="黑体" w:cs="黑体" w:eastAsia="黑体" w:hint="default"/>
                <w:sz w:val="18"/>
                <w:szCs w:val="18"/>
              </w:rPr>
            </w:pPr>
            <w:r>
              <w:rPr>
                <w:rFonts w:ascii="黑体" w:hAnsi="黑体" w:cs="黑体" w:eastAsia="黑体" w:hint="default"/>
                <w:sz w:val="18"/>
                <w:szCs w:val="18"/>
              </w:rPr>
              <w:t>附注十三</w:t>
            </w:r>
          </w:p>
        </w:tc>
        <w:tc>
          <w:tcPr>
            <w:tcW w:w="1754" w:type="dxa"/>
            <w:tcBorders>
              <w:top w:val="single" w:sz="6" w:space="0" w:color="000000"/>
              <w:left w:val="nil" w:sz="6" w:space="0" w:color="auto"/>
              <w:bottom w:val="nil" w:sz="6" w:space="0" w:color="auto"/>
              <w:right w:val="nil" w:sz="6" w:space="0" w:color="auto"/>
            </w:tcBorders>
          </w:tcPr>
          <w:p>
            <w:pPr>
              <w:pStyle w:val="TableParagraph"/>
              <w:spacing w:line="240" w:lineRule="auto" w:before="65"/>
              <w:ind w:right="40"/>
              <w:jc w:val="right"/>
              <w:rPr>
                <w:rFonts w:ascii="黑体" w:hAnsi="黑体" w:cs="黑体" w:eastAsia="黑体" w:hint="default"/>
                <w:sz w:val="18"/>
                <w:szCs w:val="18"/>
              </w:rPr>
            </w:pPr>
            <w:r>
              <w:rPr>
                <w:rFonts w:ascii="Arial" w:hAnsi="Arial" w:cs="Arial" w:eastAsia="Arial" w:hint="default"/>
                <w:w w:val="95"/>
                <w:sz w:val="18"/>
                <w:szCs w:val="18"/>
              </w:rPr>
              <w:t>2012</w:t>
            </w:r>
            <w:r>
              <w:rPr>
                <w:rFonts w:ascii="黑体" w:hAnsi="黑体" w:cs="黑体" w:eastAsia="黑体" w:hint="default"/>
                <w:w w:val="95"/>
                <w:sz w:val="18"/>
                <w:szCs w:val="18"/>
              </w:rPr>
              <w:t>年</w:t>
            </w:r>
          </w:p>
        </w:tc>
        <w:tc>
          <w:tcPr>
            <w:tcW w:w="313" w:type="dxa"/>
            <w:tcBorders>
              <w:top w:val="single" w:sz="6" w:space="0" w:color="000000"/>
              <w:left w:val="nil" w:sz="6" w:space="0" w:color="auto"/>
              <w:bottom w:val="nil" w:sz="6" w:space="0" w:color="auto"/>
              <w:right w:val="nil" w:sz="6" w:space="0" w:color="auto"/>
            </w:tcBorders>
          </w:tcPr>
          <w:p>
            <w:pPr/>
          </w:p>
        </w:tc>
        <w:tc>
          <w:tcPr>
            <w:tcW w:w="1487" w:type="dxa"/>
            <w:tcBorders>
              <w:top w:val="single" w:sz="6" w:space="0" w:color="000000"/>
              <w:left w:val="nil" w:sz="6" w:space="0" w:color="auto"/>
              <w:bottom w:val="nil" w:sz="6" w:space="0" w:color="auto"/>
              <w:right w:val="nil" w:sz="6" w:space="0" w:color="auto"/>
            </w:tcBorders>
          </w:tcPr>
          <w:p>
            <w:pPr>
              <w:pStyle w:val="TableParagraph"/>
              <w:spacing w:line="240" w:lineRule="auto" w:before="65"/>
              <w:ind w:right="41"/>
              <w:jc w:val="right"/>
              <w:rPr>
                <w:rFonts w:ascii="黑体" w:hAnsi="黑体" w:cs="黑体" w:eastAsia="黑体" w:hint="default"/>
                <w:sz w:val="18"/>
                <w:szCs w:val="18"/>
              </w:rPr>
            </w:pPr>
            <w:r>
              <w:rPr>
                <w:rFonts w:ascii="Arial" w:hAnsi="Arial" w:cs="Arial" w:eastAsia="Arial" w:hint="default"/>
                <w:w w:val="95"/>
                <w:sz w:val="18"/>
                <w:szCs w:val="18"/>
              </w:rPr>
              <w:t>2011</w:t>
            </w:r>
            <w:r>
              <w:rPr>
                <w:rFonts w:ascii="黑体" w:hAnsi="黑体" w:cs="黑体" w:eastAsia="黑体" w:hint="default"/>
                <w:w w:val="95"/>
                <w:sz w:val="18"/>
                <w:szCs w:val="18"/>
              </w:rPr>
              <w:t>年</w:t>
            </w:r>
          </w:p>
        </w:tc>
        <w:tc>
          <w:tcPr>
            <w:tcW w:w="281" w:type="dxa"/>
            <w:tcBorders>
              <w:top w:val="nil" w:sz="6" w:space="0" w:color="auto"/>
              <w:left w:val="nil" w:sz="6" w:space="0" w:color="auto"/>
              <w:bottom w:val="nil" w:sz="6" w:space="0" w:color="auto"/>
              <w:right w:val="nil" w:sz="6" w:space="0" w:color="auto"/>
            </w:tcBorders>
          </w:tcPr>
          <w:p>
            <w:pPr/>
          </w:p>
        </w:tc>
      </w:tr>
      <w:tr>
        <w:trPr>
          <w:trHeight w:val="468" w:hRule="exact"/>
        </w:trPr>
        <w:tc>
          <w:tcPr>
            <w:tcW w:w="384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55" w:right="0"/>
              <w:jc w:val="left"/>
              <w:rPr>
                <w:rFonts w:ascii="Arial" w:hAnsi="Arial" w:cs="Arial" w:eastAsia="Arial" w:hint="default"/>
                <w:sz w:val="18"/>
                <w:szCs w:val="18"/>
              </w:rPr>
            </w:pPr>
            <w:r>
              <w:rPr>
                <w:rFonts w:ascii="黑体" w:hAnsi="黑体" w:cs="黑体" w:eastAsia="黑体" w:hint="default"/>
                <w:sz w:val="18"/>
                <w:szCs w:val="18"/>
              </w:rPr>
              <w:t>一、经营活动产生的现金流量</w:t>
            </w:r>
            <w:r>
              <w:rPr>
                <w:rFonts w:ascii="Arial" w:hAnsi="Arial" w:cs="Arial" w:eastAsia="Arial" w:hint="default"/>
                <w:sz w:val="18"/>
                <w:szCs w:val="18"/>
              </w:rPr>
              <w:t>:</w:t>
            </w:r>
          </w:p>
        </w:tc>
        <w:tc>
          <w:tcPr>
            <w:tcW w:w="1247"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r>
      <w:tr>
        <w:trPr>
          <w:trHeight w:val="355" w:hRule="exact"/>
        </w:trPr>
        <w:tc>
          <w:tcPr>
            <w:tcW w:w="3844" w:type="dxa"/>
            <w:tcBorders>
              <w:top w:val="nil" w:sz="6" w:space="0" w:color="auto"/>
              <w:left w:val="nil" w:sz="6" w:space="0" w:color="auto"/>
              <w:bottom w:val="nil" w:sz="6" w:space="0" w:color="auto"/>
              <w:right w:val="nil" w:sz="6" w:space="0" w:color="auto"/>
            </w:tcBorders>
          </w:tcPr>
          <w:p>
            <w:pPr>
              <w:pStyle w:val="TableParagraph"/>
              <w:spacing w:line="240" w:lineRule="auto" w:before="83"/>
              <w:ind w:left="55" w:right="0"/>
              <w:jc w:val="left"/>
              <w:rPr>
                <w:rFonts w:ascii="黑体" w:hAnsi="黑体" w:cs="黑体" w:eastAsia="黑体" w:hint="default"/>
                <w:sz w:val="18"/>
                <w:szCs w:val="18"/>
              </w:rPr>
            </w:pPr>
            <w:r>
              <w:rPr>
                <w:rFonts w:ascii="黑体" w:hAnsi="黑体" w:cs="黑体" w:eastAsia="黑体" w:hint="default"/>
                <w:sz w:val="18"/>
                <w:szCs w:val="18"/>
              </w:rPr>
              <w:t>销售商品、提供劳务收到的现金</w:t>
            </w:r>
          </w:p>
        </w:tc>
        <w:tc>
          <w:tcPr>
            <w:tcW w:w="1247"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0"/>
              <w:jc w:val="right"/>
              <w:rPr>
                <w:rFonts w:ascii="Arial" w:hAnsi="Arial" w:cs="Arial" w:eastAsia="Arial" w:hint="default"/>
                <w:sz w:val="18"/>
                <w:szCs w:val="18"/>
              </w:rPr>
            </w:pPr>
            <w:r>
              <w:rPr>
                <w:rFonts w:ascii="Arial"/>
                <w:spacing w:val="-1"/>
                <w:sz w:val="18"/>
              </w:rPr>
              <w:t>2,750,602,436</w:t>
            </w:r>
          </w:p>
        </w:tc>
        <w:tc>
          <w:tcPr>
            <w:tcW w:w="313"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1"/>
              <w:jc w:val="right"/>
              <w:rPr>
                <w:rFonts w:ascii="Arial" w:hAnsi="Arial" w:cs="Arial" w:eastAsia="Arial" w:hint="default"/>
                <w:sz w:val="18"/>
                <w:szCs w:val="18"/>
              </w:rPr>
            </w:pPr>
            <w:r>
              <w:rPr>
                <w:rFonts w:ascii="Arial"/>
                <w:spacing w:val="-1"/>
                <w:sz w:val="18"/>
              </w:rPr>
              <w:t>2,382,770,896</w:t>
            </w:r>
          </w:p>
        </w:tc>
        <w:tc>
          <w:tcPr>
            <w:tcW w:w="281" w:type="dxa"/>
            <w:tcBorders>
              <w:top w:val="nil" w:sz="6" w:space="0" w:color="auto"/>
              <w:left w:val="nil" w:sz="6" w:space="0" w:color="auto"/>
              <w:bottom w:val="nil" w:sz="6" w:space="0" w:color="auto"/>
              <w:right w:val="nil" w:sz="6" w:space="0" w:color="auto"/>
            </w:tcBorders>
          </w:tcPr>
          <w:p>
            <w:pPr/>
          </w:p>
        </w:tc>
      </w:tr>
      <w:tr>
        <w:trPr>
          <w:trHeight w:val="234" w:hRule="exact"/>
        </w:trPr>
        <w:tc>
          <w:tcPr>
            <w:tcW w:w="3844" w:type="dxa"/>
            <w:tcBorders>
              <w:top w:val="nil" w:sz="6" w:space="0" w:color="auto"/>
              <w:left w:val="nil" w:sz="6" w:space="0" w:color="auto"/>
              <w:bottom w:val="nil" w:sz="6" w:space="0" w:color="auto"/>
              <w:right w:val="nil" w:sz="6" w:space="0" w:color="auto"/>
            </w:tcBorders>
          </w:tcPr>
          <w:p>
            <w:pPr>
              <w:pStyle w:val="TableParagraph"/>
              <w:spacing w:line="199" w:lineRule="exact"/>
              <w:ind w:left="55" w:right="0"/>
              <w:jc w:val="left"/>
              <w:rPr>
                <w:rFonts w:ascii="黑体" w:hAnsi="黑体" w:cs="黑体" w:eastAsia="黑体" w:hint="default"/>
                <w:sz w:val="18"/>
                <w:szCs w:val="18"/>
              </w:rPr>
            </w:pPr>
            <w:r>
              <w:rPr>
                <w:rFonts w:ascii="黑体" w:hAnsi="黑体" w:cs="黑体" w:eastAsia="黑体" w:hint="default"/>
                <w:sz w:val="18"/>
                <w:szCs w:val="18"/>
              </w:rPr>
              <w:t>收到的增值税退税</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63"/>
              <w:jc w:val="center"/>
              <w:rPr>
                <w:rFonts w:ascii="Arial" w:hAnsi="Arial" w:cs="Arial" w:eastAsia="Arial" w:hint="default"/>
                <w:sz w:val="18"/>
                <w:szCs w:val="18"/>
              </w:rPr>
            </w:pPr>
            <w:r>
              <w:rPr>
                <w:rFonts w:ascii="Arial"/>
                <w:sz w:val="18"/>
              </w:rPr>
              <w:t>35</w:t>
            </w:r>
          </w:p>
        </w:tc>
        <w:tc>
          <w:tcPr>
            <w:tcW w:w="1754" w:type="dxa"/>
            <w:tcBorders>
              <w:top w:val="nil" w:sz="6" w:space="0" w:color="auto"/>
              <w:left w:val="nil" w:sz="6" w:space="0" w:color="auto"/>
              <w:bottom w:val="nil" w:sz="6" w:space="0" w:color="auto"/>
              <w:right w:val="nil" w:sz="6" w:space="0" w:color="auto"/>
            </w:tcBorders>
          </w:tcPr>
          <w:p>
            <w:pPr>
              <w:pStyle w:val="TableParagraph"/>
              <w:spacing w:line="197" w:lineRule="exact"/>
              <w:ind w:right="40"/>
              <w:jc w:val="right"/>
              <w:rPr>
                <w:rFonts w:ascii="Arial" w:hAnsi="Arial" w:cs="Arial" w:eastAsia="Arial" w:hint="default"/>
                <w:sz w:val="18"/>
                <w:szCs w:val="18"/>
              </w:rPr>
            </w:pPr>
            <w:r>
              <w:rPr>
                <w:rFonts w:ascii="Arial"/>
                <w:spacing w:val="-1"/>
                <w:sz w:val="18"/>
              </w:rPr>
              <w:t>180,896,999</w:t>
            </w:r>
          </w:p>
        </w:tc>
        <w:tc>
          <w:tcPr>
            <w:tcW w:w="313"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1"/>
              <w:jc w:val="right"/>
              <w:rPr>
                <w:rFonts w:ascii="Arial" w:hAnsi="Arial" w:cs="Arial" w:eastAsia="Arial" w:hint="default"/>
                <w:sz w:val="18"/>
                <w:szCs w:val="18"/>
              </w:rPr>
            </w:pPr>
            <w:r>
              <w:rPr>
                <w:rFonts w:ascii="Arial"/>
                <w:spacing w:val="-1"/>
                <w:sz w:val="18"/>
              </w:rPr>
              <w:t>175,704,679</w:t>
            </w:r>
          </w:p>
        </w:tc>
        <w:tc>
          <w:tcPr>
            <w:tcW w:w="281" w:type="dxa"/>
            <w:tcBorders>
              <w:top w:val="nil" w:sz="6" w:space="0" w:color="auto"/>
              <w:left w:val="nil" w:sz="6" w:space="0" w:color="auto"/>
              <w:bottom w:val="nil" w:sz="6" w:space="0" w:color="auto"/>
              <w:right w:val="nil" w:sz="6" w:space="0" w:color="auto"/>
            </w:tcBorders>
          </w:tcPr>
          <w:p>
            <w:pPr/>
          </w:p>
        </w:tc>
      </w:tr>
      <w:tr>
        <w:trPr>
          <w:trHeight w:val="234" w:hRule="exact"/>
        </w:trPr>
        <w:tc>
          <w:tcPr>
            <w:tcW w:w="3844" w:type="dxa"/>
            <w:tcBorders>
              <w:top w:val="nil" w:sz="6" w:space="0" w:color="auto"/>
              <w:left w:val="nil" w:sz="6" w:space="0" w:color="auto"/>
              <w:bottom w:val="nil" w:sz="6" w:space="0" w:color="auto"/>
              <w:right w:val="nil" w:sz="6" w:space="0" w:color="auto"/>
            </w:tcBorders>
          </w:tcPr>
          <w:p>
            <w:pPr>
              <w:pStyle w:val="TableParagraph"/>
              <w:spacing w:line="198" w:lineRule="exact"/>
              <w:ind w:left="55" w:right="0"/>
              <w:jc w:val="left"/>
              <w:rPr>
                <w:rFonts w:ascii="黑体" w:hAnsi="黑体" w:cs="黑体" w:eastAsia="黑体" w:hint="default"/>
                <w:sz w:val="18"/>
                <w:szCs w:val="18"/>
              </w:rPr>
            </w:pPr>
            <w:r>
              <w:rPr>
                <w:rFonts w:ascii="黑体" w:hAnsi="黑体" w:cs="黑体" w:eastAsia="黑体" w:hint="default"/>
                <w:sz w:val="18"/>
                <w:szCs w:val="18"/>
              </w:rPr>
              <w:t>收到的其他与经营活动有关的现金</w:t>
            </w:r>
          </w:p>
        </w:tc>
        <w:tc>
          <w:tcPr>
            <w:tcW w:w="1247"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tabs>
                <w:tab w:pos="271" w:val="left" w:leader="none"/>
              </w:tabs>
              <w:spacing w:line="196" w:lineRule="exact"/>
              <w:ind w:right="4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87,973,640</w:t>
            </w:r>
            <w:r>
              <w:rPr>
                <w:rFonts w:ascii="Arial"/>
                <w:spacing w:val="-1"/>
                <w:sz w:val="18"/>
              </w:rPr>
            </w:r>
          </w:p>
        </w:tc>
        <w:tc>
          <w:tcPr>
            <w:tcW w:w="313"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Style w:val="TableParagraph"/>
              <w:tabs>
                <w:tab w:pos="271" w:val="left" w:leader="none"/>
              </w:tabs>
              <w:spacing w:line="240" w:lineRule="auto" w:before="18"/>
              <w:ind w:right="1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60,564,203</w:t>
            </w:r>
            <w:r>
              <w:rPr>
                <w:rFonts w:ascii="Arial"/>
                <w:spacing w:val="-1"/>
                <w:sz w:val="18"/>
              </w:rPr>
            </w:r>
          </w:p>
        </w:tc>
        <w:tc>
          <w:tcPr>
            <w:tcW w:w="281" w:type="dxa"/>
            <w:tcBorders>
              <w:top w:val="nil" w:sz="6" w:space="0" w:color="auto"/>
              <w:left w:val="nil" w:sz="6" w:space="0" w:color="auto"/>
              <w:bottom w:val="nil" w:sz="6" w:space="0" w:color="auto"/>
              <w:right w:val="nil" w:sz="6" w:space="0" w:color="auto"/>
            </w:tcBorders>
          </w:tcPr>
          <w:p>
            <w:pPr/>
          </w:p>
        </w:tc>
      </w:tr>
      <w:tr>
        <w:trPr>
          <w:trHeight w:val="348" w:hRule="exact"/>
        </w:trPr>
        <w:tc>
          <w:tcPr>
            <w:tcW w:w="3844" w:type="dxa"/>
            <w:tcBorders>
              <w:top w:val="nil" w:sz="6" w:space="0" w:color="auto"/>
              <w:left w:val="nil" w:sz="6" w:space="0" w:color="auto"/>
              <w:bottom w:val="nil" w:sz="6" w:space="0" w:color="auto"/>
              <w:right w:val="nil" w:sz="6" w:space="0" w:color="auto"/>
            </w:tcBorders>
          </w:tcPr>
          <w:p>
            <w:pPr>
              <w:pStyle w:val="TableParagraph"/>
              <w:spacing w:line="196" w:lineRule="exact"/>
              <w:ind w:left="55" w:right="0"/>
              <w:jc w:val="left"/>
              <w:rPr>
                <w:rFonts w:ascii="黑体" w:hAnsi="黑体" w:cs="黑体" w:eastAsia="黑体" w:hint="default"/>
                <w:sz w:val="18"/>
                <w:szCs w:val="18"/>
              </w:rPr>
            </w:pPr>
            <w:r>
              <w:rPr>
                <w:rFonts w:ascii="黑体" w:hAnsi="黑体" w:cs="黑体" w:eastAsia="黑体" w:hint="default"/>
                <w:sz w:val="18"/>
                <w:szCs w:val="18"/>
              </w:rPr>
              <w:t>现金流入小计</w:t>
            </w:r>
          </w:p>
        </w:tc>
        <w:tc>
          <w:tcPr>
            <w:tcW w:w="1247"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197" w:lineRule="exact"/>
              <w:ind w:right="40"/>
              <w:jc w:val="right"/>
              <w:rPr>
                <w:rFonts w:ascii="Arial" w:hAnsi="Arial" w:cs="Arial" w:eastAsia="Arial" w:hint="default"/>
                <w:sz w:val="18"/>
                <w:szCs w:val="18"/>
              </w:rPr>
            </w:pPr>
            <w:r>
              <w:rPr>
                <w:rFonts w:ascii="Arial"/>
                <w:w w:val="100"/>
                <w:sz w:val="18"/>
              </w:rPr>
            </w:r>
            <w:r>
              <w:rPr>
                <w:rFonts w:ascii="Arial"/>
                <w:spacing w:val="-1"/>
                <w:sz w:val="18"/>
                <w:u w:val="single" w:color="000000"/>
              </w:rPr>
              <w:t>3,019,473,075</w:t>
            </w:r>
            <w:r>
              <w:rPr>
                <w:rFonts w:ascii="Arial"/>
                <w:spacing w:val="-1"/>
                <w:sz w:val="18"/>
              </w:rPr>
            </w:r>
          </w:p>
        </w:tc>
        <w:tc>
          <w:tcPr>
            <w:tcW w:w="313"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
              <w:jc w:val="right"/>
              <w:rPr>
                <w:rFonts w:ascii="Arial" w:hAnsi="Arial" w:cs="Arial" w:eastAsia="Arial" w:hint="default"/>
                <w:sz w:val="18"/>
                <w:szCs w:val="18"/>
              </w:rPr>
            </w:pPr>
            <w:r>
              <w:rPr>
                <w:rFonts w:ascii="Arial"/>
                <w:w w:val="100"/>
                <w:sz w:val="18"/>
              </w:rPr>
            </w:r>
            <w:r>
              <w:rPr>
                <w:rFonts w:ascii="Arial"/>
                <w:spacing w:val="-1"/>
                <w:sz w:val="18"/>
                <w:u w:val="single" w:color="000000"/>
              </w:rPr>
              <w:t>2,619,039,778</w:t>
            </w:r>
            <w:r>
              <w:rPr>
                <w:rFonts w:ascii="Arial"/>
                <w:spacing w:val="-1"/>
                <w:sz w:val="18"/>
              </w:rPr>
            </w:r>
          </w:p>
        </w:tc>
        <w:tc>
          <w:tcPr>
            <w:tcW w:w="281" w:type="dxa"/>
            <w:tcBorders>
              <w:top w:val="nil" w:sz="6" w:space="0" w:color="auto"/>
              <w:left w:val="nil" w:sz="6" w:space="0" w:color="auto"/>
              <w:bottom w:val="nil" w:sz="6" w:space="0" w:color="auto"/>
              <w:right w:val="nil" w:sz="6" w:space="0" w:color="auto"/>
            </w:tcBorders>
          </w:tcPr>
          <w:p>
            <w:pPr/>
          </w:p>
        </w:tc>
      </w:tr>
      <w:tr>
        <w:trPr>
          <w:trHeight w:val="353" w:hRule="exact"/>
        </w:trPr>
        <w:tc>
          <w:tcPr>
            <w:tcW w:w="3844" w:type="dxa"/>
            <w:tcBorders>
              <w:top w:val="nil" w:sz="6" w:space="0" w:color="auto"/>
              <w:left w:val="nil" w:sz="6" w:space="0" w:color="auto"/>
              <w:bottom w:val="nil" w:sz="6" w:space="0" w:color="auto"/>
              <w:right w:val="nil" w:sz="6" w:space="0" w:color="auto"/>
            </w:tcBorders>
          </w:tcPr>
          <w:p>
            <w:pPr>
              <w:pStyle w:val="TableParagraph"/>
              <w:spacing w:line="240" w:lineRule="auto" w:before="81"/>
              <w:ind w:left="55" w:right="0"/>
              <w:jc w:val="left"/>
              <w:rPr>
                <w:rFonts w:ascii="黑体" w:hAnsi="黑体" w:cs="黑体" w:eastAsia="黑体" w:hint="default"/>
                <w:sz w:val="18"/>
                <w:szCs w:val="18"/>
              </w:rPr>
            </w:pPr>
            <w:r>
              <w:rPr>
                <w:rFonts w:ascii="黑体" w:hAnsi="黑体" w:cs="黑体" w:eastAsia="黑体" w:hint="default"/>
                <w:sz w:val="18"/>
                <w:szCs w:val="18"/>
              </w:rPr>
              <w:t>购买商品、接收劳务支付的现金</w:t>
            </w:r>
          </w:p>
        </w:tc>
        <w:tc>
          <w:tcPr>
            <w:tcW w:w="1247"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40"/>
              <w:jc w:val="right"/>
              <w:rPr>
                <w:rFonts w:ascii="Arial" w:hAnsi="Arial" w:cs="Arial" w:eastAsia="Arial" w:hint="default"/>
                <w:sz w:val="18"/>
                <w:szCs w:val="18"/>
              </w:rPr>
            </w:pPr>
            <w:r>
              <w:rPr>
                <w:rFonts w:ascii="Arial"/>
                <w:sz w:val="18"/>
              </w:rPr>
              <w:t>(  </w:t>
            </w:r>
            <w:r>
              <w:rPr>
                <w:rFonts w:ascii="Arial"/>
                <w:spacing w:val="25"/>
                <w:sz w:val="18"/>
              </w:rPr>
              <w:t> </w:t>
            </w:r>
            <w:r>
              <w:rPr>
                <w:rFonts w:ascii="Arial"/>
                <w:sz w:val="18"/>
              </w:rPr>
              <w:t>411,615,171</w:t>
            </w:r>
          </w:p>
        </w:tc>
        <w:tc>
          <w:tcPr>
            <w:tcW w:w="313"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2" w:right="0"/>
              <w:jc w:val="left"/>
              <w:rPr>
                <w:rFonts w:ascii="Arial" w:hAnsi="Arial" w:cs="Arial" w:eastAsia="Arial" w:hint="default"/>
                <w:sz w:val="18"/>
                <w:szCs w:val="18"/>
              </w:rPr>
            </w:pPr>
            <w:r>
              <w:rPr>
                <w:rFonts w:ascii="Arial"/>
                <w:w w:val="99"/>
                <w:sz w:val="18"/>
              </w:rPr>
              <w:t>)</w:t>
            </w:r>
            <w:r>
              <w:rPr>
                <w:rFonts w:ascii="Arial"/>
                <w:sz w:val="18"/>
              </w:rPr>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9"/>
              <w:jc w:val="right"/>
              <w:rPr>
                <w:rFonts w:ascii="Arial" w:hAnsi="Arial" w:cs="Arial" w:eastAsia="Arial" w:hint="default"/>
                <w:sz w:val="18"/>
                <w:szCs w:val="18"/>
              </w:rPr>
            </w:pPr>
            <w:r>
              <w:rPr>
                <w:rFonts w:ascii="Arial"/>
                <w:sz w:val="18"/>
              </w:rPr>
              <w:t>(  </w:t>
            </w:r>
            <w:r>
              <w:rPr>
                <w:rFonts w:ascii="Arial"/>
                <w:spacing w:val="25"/>
                <w:sz w:val="18"/>
              </w:rPr>
              <w:t> </w:t>
            </w:r>
            <w:r>
              <w:rPr>
                <w:rFonts w:ascii="Arial"/>
                <w:sz w:val="18"/>
              </w:rPr>
              <w:t>279,228,695</w:t>
            </w:r>
          </w:p>
        </w:tc>
        <w:tc>
          <w:tcPr>
            <w:tcW w:w="281"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11" w:right="0"/>
              <w:jc w:val="left"/>
              <w:rPr>
                <w:rFonts w:ascii="Arial" w:hAnsi="Arial" w:cs="Arial" w:eastAsia="Arial" w:hint="default"/>
                <w:sz w:val="18"/>
                <w:szCs w:val="18"/>
              </w:rPr>
            </w:pPr>
            <w:r>
              <w:rPr>
                <w:rFonts w:ascii="Arial"/>
                <w:w w:val="99"/>
                <w:sz w:val="18"/>
              </w:rPr>
              <w:t>)</w:t>
            </w:r>
            <w:r>
              <w:rPr>
                <w:rFonts w:ascii="Arial"/>
                <w:sz w:val="18"/>
              </w:rPr>
            </w:r>
          </w:p>
        </w:tc>
      </w:tr>
      <w:tr>
        <w:trPr>
          <w:trHeight w:val="239" w:hRule="exact"/>
        </w:trPr>
        <w:tc>
          <w:tcPr>
            <w:tcW w:w="3844" w:type="dxa"/>
            <w:tcBorders>
              <w:top w:val="nil" w:sz="6" w:space="0" w:color="auto"/>
              <w:left w:val="nil" w:sz="6" w:space="0" w:color="auto"/>
              <w:bottom w:val="nil" w:sz="6" w:space="0" w:color="auto"/>
              <w:right w:val="nil" w:sz="6" w:space="0" w:color="auto"/>
            </w:tcBorders>
          </w:tcPr>
          <w:p>
            <w:pPr>
              <w:pStyle w:val="TableParagraph"/>
              <w:spacing w:line="201" w:lineRule="exact"/>
              <w:ind w:left="55" w:right="0"/>
              <w:jc w:val="left"/>
              <w:rPr>
                <w:rFonts w:ascii="黑体" w:hAnsi="黑体" w:cs="黑体" w:eastAsia="黑体" w:hint="default"/>
                <w:sz w:val="18"/>
                <w:szCs w:val="18"/>
              </w:rPr>
            </w:pPr>
            <w:r>
              <w:rPr>
                <w:rFonts w:ascii="黑体" w:hAnsi="黑体" w:cs="黑体" w:eastAsia="黑体" w:hint="default"/>
                <w:sz w:val="18"/>
                <w:szCs w:val="18"/>
              </w:rPr>
              <w:t>支付给职工以及为职工支付的现金</w:t>
            </w:r>
          </w:p>
        </w:tc>
        <w:tc>
          <w:tcPr>
            <w:tcW w:w="1247"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02" w:lineRule="exact"/>
              <w:ind w:right="40"/>
              <w:jc w:val="right"/>
              <w:rPr>
                <w:rFonts w:ascii="Arial" w:hAnsi="Arial" w:cs="Arial" w:eastAsia="Arial" w:hint="default"/>
                <w:sz w:val="18"/>
                <w:szCs w:val="18"/>
              </w:rPr>
            </w:pPr>
            <w:r>
              <w:rPr>
                <w:rFonts w:ascii="Arial"/>
                <w:sz w:val="18"/>
              </w:rPr>
              <w:t>(</w:t>
            </w:r>
            <w:r>
              <w:rPr>
                <w:rFonts w:ascii="Arial"/>
                <w:spacing w:val="-12"/>
                <w:sz w:val="18"/>
              </w:rPr>
              <w:t> </w:t>
            </w:r>
            <w:r>
              <w:rPr>
                <w:rFonts w:ascii="Arial"/>
                <w:sz w:val="18"/>
              </w:rPr>
              <w:t>1,368,479,342</w:t>
            </w:r>
          </w:p>
        </w:tc>
        <w:tc>
          <w:tcPr>
            <w:tcW w:w="313" w:type="dxa"/>
            <w:tcBorders>
              <w:top w:val="nil" w:sz="6" w:space="0" w:color="auto"/>
              <w:left w:val="nil" w:sz="6" w:space="0" w:color="auto"/>
              <w:bottom w:val="nil" w:sz="6" w:space="0" w:color="auto"/>
              <w:right w:val="nil" w:sz="6" w:space="0" w:color="auto"/>
            </w:tcBorders>
          </w:tcPr>
          <w:p>
            <w:pPr>
              <w:pStyle w:val="TableParagraph"/>
              <w:spacing w:line="197" w:lineRule="exact"/>
              <w:ind w:left="12" w:right="0"/>
              <w:jc w:val="left"/>
              <w:rPr>
                <w:rFonts w:ascii="Arial" w:hAnsi="Arial" w:cs="Arial" w:eastAsia="Arial" w:hint="default"/>
                <w:sz w:val="18"/>
                <w:szCs w:val="18"/>
              </w:rPr>
            </w:pPr>
            <w:r>
              <w:rPr>
                <w:rFonts w:ascii="Arial"/>
                <w:w w:val="99"/>
                <w:sz w:val="18"/>
              </w:rPr>
              <w:t>)</w:t>
            </w:r>
            <w:r>
              <w:rPr>
                <w:rFonts w:ascii="Arial"/>
                <w:sz w:val="18"/>
              </w:rPr>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
              <w:jc w:val="right"/>
              <w:rPr>
                <w:rFonts w:ascii="Arial" w:hAnsi="Arial" w:cs="Arial" w:eastAsia="Arial" w:hint="default"/>
                <w:sz w:val="18"/>
                <w:szCs w:val="18"/>
              </w:rPr>
            </w:pPr>
            <w:r>
              <w:rPr>
                <w:rFonts w:ascii="Arial"/>
                <w:sz w:val="18"/>
              </w:rPr>
              <w:t>(</w:t>
            </w:r>
            <w:r>
              <w:rPr>
                <w:rFonts w:ascii="Arial"/>
                <w:spacing w:val="-29"/>
                <w:sz w:val="18"/>
              </w:rPr>
              <w:t> </w:t>
            </w:r>
            <w:r>
              <w:rPr>
                <w:rFonts w:ascii="Arial"/>
                <w:sz w:val="18"/>
              </w:rPr>
              <w:t>1,055,218,335</w:t>
            </w:r>
          </w:p>
        </w:tc>
        <w:tc>
          <w:tcPr>
            <w:tcW w:w="28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1" w:right="0"/>
              <w:jc w:val="left"/>
              <w:rPr>
                <w:rFonts w:ascii="Arial" w:hAnsi="Arial" w:cs="Arial" w:eastAsia="Arial" w:hint="default"/>
                <w:sz w:val="18"/>
                <w:szCs w:val="18"/>
              </w:rPr>
            </w:pPr>
            <w:r>
              <w:rPr>
                <w:rFonts w:ascii="Arial"/>
                <w:w w:val="99"/>
                <w:sz w:val="18"/>
              </w:rPr>
              <w:t>)</w:t>
            </w:r>
            <w:r>
              <w:rPr>
                <w:rFonts w:ascii="Arial"/>
                <w:sz w:val="18"/>
              </w:rPr>
            </w:r>
          </w:p>
        </w:tc>
      </w:tr>
      <w:tr>
        <w:trPr>
          <w:trHeight w:val="239" w:hRule="exact"/>
        </w:trPr>
        <w:tc>
          <w:tcPr>
            <w:tcW w:w="3844" w:type="dxa"/>
            <w:tcBorders>
              <w:top w:val="nil" w:sz="6" w:space="0" w:color="auto"/>
              <w:left w:val="nil" w:sz="6" w:space="0" w:color="auto"/>
              <w:bottom w:val="nil" w:sz="6" w:space="0" w:color="auto"/>
              <w:right w:val="nil" w:sz="6" w:space="0" w:color="auto"/>
            </w:tcBorders>
          </w:tcPr>
          <w:p>
            <w:pPr>
              <w:pStyle w:val="TableParagraph"/>
              <w:spacing w:line="202" w:lineRule="exact"/>
              <w:ind w:left="55" w:right="0"/>
              <w:jc w:val="left"/>
              <w:rPr>
                <w:rFonts w:ascii="黑体" w:hAnsi="黑体" w:cs="黑体" w:eastAsia="黑体" w:hint="default"/>
                <w:sz w:val="18"/>
                <w:szCs w:val="18"/>
              </w:rPr>
            </w:pPr>
            <w:r>
              <w:rPr>
                <w:rFonts w:ascii="黑体" w:hAnsi="黑体" w:cs="黑体" w:eastAsia="黑体" w:hint="default"/>
                <w:sz w:val="18"/>
                <w:szCs w:val="18"/>
              </w:rPr>
              <w:t>支付的各种税费</w:t>
            </w:r>
          </w:p>
        </w:tc>
        <w:tc>
          <w:tcPr>
            <w:tcW w:w="1247"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01" w:lineRule="exact"/>
              <w:ind w:right="41"/>
              <w:jc w:val="right"/>
              <w:rPr>
                <w:rFonts w:ascii="Arial" w:hAnsi="Arial" w:cs="Arial" w:eastAsia="Arial" w:hint="default"/>
                <w:sz w:val="18"/>
                <w:szCs w:val="18"/>
              </w:rPr>
            </w:pPr>
            <w:r>
              <w:rPr>
                <w:rFonts w:ascii="Arial"/>
                <w:sz w:val="18"/>
              </w:rPr>
              <w:t>(  </w:t>
            </w:r>
            <w:r>
              <w:rPr>
                <w:rFonts w:ascii="Arial"/>
                <w:spacing w:val="35"/>
                <w:sz w:val="18"/>
              </w:rPr>
              <w:t> </w:t>
            </w:r>
            <w:r>
              <w:rPr>
                <w:rFonts w:ascii="Arial"/>
                <w:sz w:val="18"/>
              </w:rPr>
              <w:t>400,456,673</w:t>
            </w:r>
          </w:p>
        </w:tc>
        <w:tc>
          <w:tcPr>
            <w:tcW w:w="313" w:type="dxa"/>
            <w:tcBorders>
              <w:top w:val="nil" w:sz="6" w:space="0" w:color="auto"/>
              <w:left w:val="nil" w:sz="6" w:space="0" w:color="auto"/>
              <w:bottom w:val="nil" w:sz="6" w:space="0" w:color="auto"/>
              <w:right w:val="nil" w:sz="6" w:space="0" w:color="auto"/>
            </w:tcBorders>
          </w:tcPr>
          <w:p>
            <w:pPr>
              <w:pStyle w:val="TableParagraph"/>
              <w:spacing w:line="198" w:lineRule="exact"/>
              <w:ind w:left="12" w:right="0"/>
              <w:jc w:val="left"/>
              <w:rPr>
                <w:rFonts w:ascii="Arial" w:hAnsi="Arial" w:cs="Arial" w:eastAsia="Arial" w:hint="default"/>
                <w:sz w:val="18"/>
                <w:szCs w:val="18"/>
              </w:rPr>
            </w:pPr>
            <w:r>
              <w:rPr>
                <w:rFonts w:ascii="Arial"/>
                <w:w w:val="99"/>
                <w:sz w:val="18"/>
              </w:rPr>
              <w:t>)</w:t>
            </w:r>
            <w:r>
              <w:rPr>
                <w:rFonts w:ascii="Arial"/>
                <w:sz w:val="18"/>
              </w:rPr>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9"/>
              <w:jc w:val="right"/>
              <w:rPr>
                <w:rFonts w:ascii="Arial" w:hAnsi="Arial" w:cs="Arial" w:eastAsia="Arial" w:hint="default"/>
                <w:sz w:val="18"/>
                <w:szCs w:val="18"/>
              </w:rPr>
            </w:pPr>
            <w:r>
              <w:rPr>
                <w:rFonts w:ascii="Arial"/>
                <w:sz w:val="18"/>
              </w:rPr>
              <w:t>(  </w:t>
            </w:r>
            <w:r>
              <w:rPr>
                <w:rFonts w:ascii="Arial"/>
                <w:spacing w:val="25"/>
                <w:sz w:val="18"/>
              </w:rPr>
              <w:t> </w:t>
            </w:r>
            <w:r>
              <w:rPr>
                <w:rFonts w:ascii="Arial"/>
                <w:sz w:val="18"/>
              </w:rPr>
              <w:t>372,017,599</w:t>
            </w:r>
          </w:p>
        </w:tc>
        <w:tc>
          <w:tcPr>
            <w:tcW w:w="28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 w:right="0"/>
              <w:jc w:val="left"/>
              <w:rPr>
                <w:rFonts w:ascii="Arial" w:hAnsi="Arial" w:cs="Arial" w:eastAsia="Arial" w:hint="default"/>
                <w:sz w:val="18"/>
                <w:szCs w:val="18"/>
              </w:rPr>
            </w:pPr>
            <w:r>
              <w:rPr>
                <w:rFonts w:ascii="Arial"/>
                <w:w w:val="99"/>
                <w:sz w:val="18"/>
              </w:rPr>
              <w:t>)</w:t>
            </w:r>
            <w:r>
              <w:rPr>
                <w:rFonts w:ascii="Arial"/>
                <w:sz w:val="18"/>
              </w:rPr>
            </w:r>
          </w:p>
        </w:tc>
      </w:tr>
      <w:tr>
        <w:trPr>
          <w:trHeight w:val="238" w:hRule="exact"/>
        </w:trPr>
        <w:tc>
          <w:tcPr>
            <w:tcW w:w="3844" w:type="dxa"/>
            <w:tcBorders>
              <w:top w:val="nil" w:sz="6" w:space="0" w:color="auto"/>
              <w:left w:val="nil" w:sz="6" w:space="0" w:color="auto"/>
              <w:bottom w:val="nil" w:sz="6" w:space="0" w:color="auto"/>
              <w:right w:val="nil" w:sz="6" w:space="0" w:color="auto"/>
            </w:tcBorders>
          </w:tcPr>
          <w:p>
            <w:pPr>
              <w:pStyle w:val="TableParagraph"/>
              <w:spacing w:line="201" w:lineRule="exact"/>
              <w:ind w:left="55" w:right="0"/>
              <w:jc w:val="left"/>
              <w:rPr>
                <w:rFonts w:ascii="黑体" w:hAnsi="黑体" w:cs="黑体" w:eastAsia="黑体" w:hint="default"/>
                <w:sz w:val="18"/>
                <w:szCs w:val="18"/>
              </w:rPr>
            </w:pPr>
            <w:r>
              <w:rPr>
                <w:rFonts w:ascii="黑体" w:hAnsi="黑体" w:cs="黑体" w:eastAsia="黑体" w:hint="default"/>
                <w:sz w:val="18"/>
                <w:szCs w:val="18"/>
              </w:rPr>
              <w:t>支付的其他与经营活动有关的现金</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63"/>
              <w:jc w:val="center"/>
              <w:rPr>
                <w:rFonts w:ascii="Arial" w:hAnsi="Arial" w:cs="Arial" w:eastAsia="Arial" w:hint="default"/>
                <w:sz w:val="18"/>
                <w:szCs w:val="18"/>
              </w:rPr>
            </w:pPr>
            <w:r>
              <w:rPr>
                <w:rFonts w:ascii="Arial"/>
                <w:sz w:val="18"/>
              </w:rPr>
              <w:t>39</w:t>
            </w:r>
          </w:p>
        </w:tc>
        <w:tc>
          <w:tcPr>
            <w:tcW w:w="1754" w:type="dxa"/>
            <w:tcBorders>
              <w:top w:val="nil" w:sz="6" w:space="0" w:color="auto"/>
              <w:left w:val="nil" w:sz="6" w:space="0" w:color="auto"/>
              <w:bottom w:val="nil" w:sz="6" w:space="0" w:color="auto"/>
              <w:right w:val="nil" w:sz="6" w:space="0" w:color="auto"/>
            </w:tcBorders>
          </w:tcPr>
          <w:p>
            <w:pPr>
              <w:pStyle w:val="TableParagraph"/>
              <w:spacing w:line="200" w:lineRule="exact"/>
              <w:ind w:right="41"/>
              <w:jc w:val="right"/>
              <w:rPr>
                <w:rFonts w:ascii="Arial" w:hAnsi="Arial" w:cs="Arial" w:eastAsia="Arial" w:hint="default"/>
                <w:sz w:val="18"/>
                <w:szCs w:val="18"/>
              </w:rPr>
            </w:pPr>
            <w:r>
              <w:rPr>
                <w:rFonts w:ascii="Arial"/>
                <w:sz w:val="18"/>
              </w:rPr>
              <w:t>(  </w:t>
            </w:r>
            <w:r>
              <w:rPr>
                <w:rFonts w:ascii="Arial"/>
                <w:spacing w:val="44"/>
                <w:sz w:val="18"/>
              </w:rPr>
              <w:t> </w:t>
            </w:r>
            <w:r>
              <w:rPr>
                <w:rFonts w:ascii="Arial"/>
                <w:spacing w:val="44"/>
                <w:sz w:val="18"/>
                <w:u w:val="single" w:color="000000"/>
              </w:rPr>
              <w:t> </w:t>
            </w:r>
            <w:r>
              <w:rPr>
                <w:rFonts w:ascii="Arial"/>
                <w:sz w:val="18"/>
                <w:u w:val="single" w:color="000000"/>
              </w:rPr>
              <w:t>584,433,364</w:t>
            </w:r>
            <w:r>
              <w:rPr>
                <w:rFonts w:ascii="Arial"/>
                <w:sz w:val="18"/>
              </w:rPr>
            </w:r>
          </w:p>
        </w:tc>
        <w:tc>
          <w:tcPr>
            <w:tcW w:w="313" w:type="dxa"/>
            <w:tcBorders>
              <w:top w:val="nil" w:sz="6" w:space="0" w:color="auto"/>
              <w:left w:val="nil" w:sz="6" w:space="0" w:color="auto"/>
              <w:bottom w:val="nil" w:sz="6" w:space="0" w:color="auto"/>
              <w:right w:val="nil" w:sz="6" w:space="0" w:color="auto"/>
            </w:tcBorders>
          </w:tcPr>
          <w:p>
            <w:pPr>
              <w:pStyle w:val="TableParagraph"/>
              <w:spacing w:line="197" w:lineRule="exact"/>
              <w:ind w:left="12" w:right="0"/>
              <w:jc w:val="left"/>
              <w:rPr>
                <w:rFonts w:ascii="Arial" w:hAnsi="Arial" w:cs="Arial" w:eastAsia="Arial" w:hint="default"/>
                <w:sz w:val="18"/>
                <w:szCs w:val="18"/>
              </w:rPr>
            </w:pPr>
            <w:r>
              <w:rPr>
                <w:rFonts w:ascii="Arial"/>
                <w:w w:val="99"/>
                <w:sz w:val="18"/>
              </w:rPr>
              <w:t>)</w:t>
            </w:r>
            <w:r>
              <w:rPr>
                <w:rFonts w:ascii="Arial"/>
                <w:sz w:val="18"/>
              </w:rPr>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
              <w:jc w:val="right"/>
              <w:rPr>
                <w:rFonts w:ascii="Arial" w:hAnsi="Arial" w:cs="Arial" w:eastAsia="Arial" w:hint="default"/>
                <w:sz w:val="18"/>
                <w:szCs w:val="18"/>
              </w:rPr>
            </w:pPr>
            <w:r>
              <w:rPr>
                <w:rFonts w:ascii="Arial"/>
                <w:sz w:val="18"/>
              </w:rPr>
              <w:t>(  </w:t>
            </w:r>
            <w:r>
              <w:rPr>
                <w:rFonts w:ascii="Arial"/>
                <w:spacing w:val="25"/>
                <w:sz w:val="18"/>
              </w:rPr>
              <w:t> </w:t>
            </w:r>
            <w:r>
              <w:rPr>
                <w:rFonts w:ascii="Arial"/>
                <w:spacing w:val="25"/>
                <w:sz w:val="18"/>
                <w:u w:val="single" w:color="000000"/>
              </w:rPr>
              <w:t> </w:t>
            </w:r>
            <w:r>
              <w:rPr>
                <w:rFonts w:ascii="Arial"/>
                <w:sz w:val="18"/>
                <w:u w:val="single" w:color="000000"/>
              </w:rPr>
              <w:t>559,103,314</w:t>
            </w:r>
            <w:r>
              <w:rPr>
                <w:rFonts w:ascii="Arial"/>
                <w:sz w:val="18"/>
              </w:rPr>
            </w:r>
          </w:p>
        </w:tc>
        <w:tc>
          <w:tcPr>
            <w:tcW w:w="28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1" w:right="0"/>
              <w:jc w:val="left"/>
              <w:rPr>
                <w:rFonts w:ascii="Arial" w:hAnsi="Arial" w:cs="Arial" w:eastAsia="Arial" w:hint="default"/>
                <w:sz w:val="18"/>
                <w:szCs w:val="18"/>
              </w:rPr>
            </w:pPr>
            <w:r>
              <w:rPr>
                <w:rFonts w:ascii="Arial"/>
                <w:w w:val="99"/>
                <w:sz w:val="18"/>
              </w:rPr>
              <w:t>)</w:t>
            </w:r>
            <w:r>
              <w:rPr>
                <w:rFonts w:ascii="Arial"/>
                <w:sz w:val="18"/>
              </w:rPr>
            </w:r>
          </w:p>
        </w:tc>
      </w:tr>
      <w:tr>
        <w:trPr>
          <w:trHeight w:val="359" w:hRule="exact"/>
        </w:trPr>
        <w:tc>
          <w:tcPr>
            <w:tcW w:w="3844" w:type="dxa"/>
            <w:tcBorders>
              <w:top w:val="nil" w:sz="6" w:space="0" w:color="auto"/>
              <w:left w:val="nil" w:sz="6" w:space="0" w:color="auto"/>
              <w:bottom w:val="nil" w:sz="6" w:space="0" w:color="auto"/>
              <w:right w:val="nil" w:sz="6" w:space="0" w:color="auto"/>
            </w:tcBorders>
          </w:tcPr>
          <w:p>
            <w:pPr>
              <w:pStyle w:val="TableParagraph"/>
              <w:spacing w:line="201" w:lineRule="exact"/>
              <w:ind w:left="55" w:right="0"/>
              <w:jc w:val="left"/>
              <w:rPr>
                <w:rFonts w:ascii="黑体" w:hAnsi="黑体" w:cs="黑体" w:eastAsia="黑体" w:hint="default"/>
                <w:sz w:val="18"/>
                <w:szCs w:val="18"/>
              </w:rPr>
            </w:pPr>
            <w:r>
              <w:rPr>
                <w:rFonts w:ascii="黑体" w:hAnsi="黑体" w:cs="黑体" w:eastAsia="黑体" w:hint="default"/>
                <w:sz w:val="18"/>
                <w:szCs w:val="18"/>
              </w:rPr>
              <w:t>现金流出小计</w:t>
            </w:r>
          </w:p>
        </w:tc>
        <w:tc>
          <w:tcPr>
            <w:tcW w:w="1247"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00" w:lineRule="exact"/>
              <w:ind w:right="40"/>
              <w:jc w:val="right"/>
              <w:rPr>
                <w:rFonts w:ascii="Arial" w:hAnsi="Arial" w:cs="Arial" w:eastAsia="Arial" w:hint="default"/>
                <w:sz w:val="18"/>
                <w:szCs w:val="18"/>
              </w:rPr>
            </w:pPr>
            <w:r>
              <w:rPr>
                <w:rFonts w:ascii="Arial"/>
                <w:sz w:val="18"/>
              </w:rPr>
              <w:t>(</w:t>
            </w:r>
            <w:r>
              <w:rPr>
                <w:rFonts w:ascii="Arial"/>
                <w:spacing w:val="-12"/>
                <w:sz w:val="18"/>
              </w:rPr>
              <w:t> </w:t>
            </w:r>
            <w:r>
              <w:rPr>
                <w:rFonts w:ascii="Arial"/>
                <w:spacing w:val="-12"/>
                <w:sz w:val="18"/>
                <w:u w:val="single" w:color="000000"/>
              </w:rPr>
              <w:t> </w:t>
            </w:r>
            <w:r>
              <w:rPr>
                <w:rFonts w:ascii="Arial"/>
                <w:sz w:val="18"/>
                <w:u w:val="single" w:color="000000"/>
              </w:rPr>
              <w:t>2,764,984,550</w:t>
            </w:r>
            <w:r>
              <w:rPr>
                <w:rFonts w:ascii="Arial"/>
                <w:sz w:val="18"/>
              </w:rPr>
            </w:r>
          </w:p>
        </w:tc>
        <w:tc>
          <w:tcPr>
            <w:tcW w:w="313" w:type="dxa"/>
            <w:tcBorders>
              <w:top w:val="nil" w:sz="6" w:space="0" w:color="auto"/>
              <w:left w:val="nil" w:sz="6" w:space="0" w:color="auto"/>
              <w:bottom w:val="nil" w:sz="6" w:space="0" w:color="auto"/>
              <w:right w:val="nil" w:sz="6" w:space="0" w:color="auto"/>
            </w:tcBorders>
          </w:tcPr>
          <w:p>
            <w:pPr>
              <w:pStyle w:val="TableParagraph"/>
              <w:spacing w:line="197" w:lineRule="exact"/>
              <w:ind w:left="12" w:right="0"/>
              <w:jc w:val="left"/>
              <w:rPr>
                <w:rFonts w:ascii="Arial" w:hAnsi="Arial" w:cs="Arial" w:eastAsia="Arial" w:hint="default"/>
                <w:sz w:val="18"/>
                <w:szCs w:val="18"/>
              </w:rPr>
            </w:pPr>
            <w:r>
              <w:rPr>
                <w:rFonts w:ascii="Arial"/>
                <w:w w:val="99"/>
                <w:sz w:val="18"/>
              </w:rPr>
              <w:t>)</w:t>
            </w:r>
            <w:r>
              <w:rPr>
                <w:rFonts w:ascii="Arial"/>
                <w:sz w:val="18"/>
              </w:rPr>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
              <w:jc w:val="right"/>
              <w:rPr>
                <w:rFonts w:ascii="Arial" w:hAnsi="Arial" w:cs="Arial" w:eastAsia="Arial" w:hint="default"/>
                <w:sz w:val="18"/>
                <w:szCs w:val="18"/>
              </w:rPr>
            </w:pPr>
            <w:r>
              <w:rPr>
                <w:rFonts w:ascii="Arial"/>
                <w:w w:val="95"/>
                <w:sz w:val="18"/>
              </w:rPr>
              <w:t>(</w:t>
            </w:r>
            <w:r>
              <w:rPr>
                <w:rFonts w:ascii="Arial"/>
                <w:w w:val="95"/>
                <w:sz w:val="18"/>
                <w:u w:val="single" w:color="000000"/>
              </w:rPr>
              <w:t>2,265,567,943</w:t>
            </w:r>
            <w:r>
              <w:rPr>
                <w:rFonts w:ascii="Arial"/>
                <w:w w:val="95"/>
                <w:sz w:val="18"/>
              </w:rPr>
            </w:r>
            <w:r>
              <w:rPr>
                <w:rFonts w:ascii="Arial"/>
                <w:sz w:val="18"/>
              </w:rPr>
            </w:r>
          </w:p>
        </w:tc>
        <w:tc>
          <w:tcPr>
            <w:tcW w:w="28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1" w:right="0"/>
              <w:jc w:val="left"/>
              <w:rPr>
                <w:rFonts w:ascii="Arial" w:hAnsi="Arial" w:cs="Arial" w:eastAsia="Arial" w:hint="default"/>
                <w:sz w:val="18"/>
                <w:szCs w:val="18"/>
              </w:rPr>
            </w:pPr>
            <w:r>
              <w:rPr>
                <w:rFonts w:ascii="Arial"/>
                <w:w w:val="99"/>
                <w:sz w:val="18"/>
              </w:rPr>
              <w:t>)</w:t>
            </w:r>
            <w:r>
              <w:rPr>
                <w:rFonts w:ascii="Arial"/>
                <w:sz w:val="18"/>
              </w:rPr>
            </w:r>
          </w:p>
        </w:tc>
      </w:tr>
      <w:tr>
        <w:trPr>
          <w:trHeight w:val="478" w:hRule="exact"/>
        </w:trPr>
        <w:tc>
          <w:tcPr>
            <w:tcW w:w="3844" w:type="dxa"/>
            <w:tcBorders>
              <w:top w:val="nil" w:sz="6" w:space="0" w:color="auto"/>
              <w:left w:val="nil" w:sz="6" w:space="0" w:color="auto"/>
              <w:bottom w:val="nil" w:sz="6" w:space="0" w:color="auto"/>
              <w:right w:val="nil" w:sz="6" w:space="0" w:color="auto"/>
            </w:tcBorders>
          </w:tcPr>
          <w:p>
            <w:pPr>
              <w:pStyle w:val="TableParagraph"/>
              <w:spacing w:line="240" w:lineRule="auto" w:before="82"/>
              <w:ind w:left="55" w:right="0"/>
              <w:jc w:val="left"/>
              <w:rPr>
                <w:rFonts w:ascii="黑体" w:hAnsi="黑体" w:cs="黑体" w:eastAsia="黑体" w:hint="default"/>
                <w:sz w:val="18"/>
                <w:szCs w:val="18"/>
              </w:rPr>
            </w:pPr>
            <w:r>
              <w:rPr>
                <w:rFonts w:ascii="黑体" w:hAnsi="黑体" w:cs="黑体" w:eastAsia="黑体" w:hint="default"/>
                <w:sz w:val="18"/>
                <w:szCs w:val="18"/>
              </w:rPr>
              <w:t>经营活动产生的现金流量净额</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363"/>
              <w:jc w:val="center"/>
              <w:rPr>
                <w:rFonts w:ascii="Arial" w:hAnsi="Arial" w:cs="Arial" w:eastAsia="Arial" w:hint="default"/>
                <w:sz w:val="18"/>
                <w:szCs w:val="18"/>
              </w:rPr>
            </w:pPr>
            <w:r>
              <w:rPr>
                <w:rFonts w:ascii="Arial"/>
                <w:sz w:val="18"/>
              </w:rPr>
              <w:t>40</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8"/>
                <w:sz w:val="18"/>
                <w:u w:val="single" w:color="000000"/>
              </w:rPr>
              <w:t> </w:t>
            </w:r>
            <w:r>
              <w:rPr>
                <w:rFonts w:ascii="Arial"/>
                <w:spacing w:val="-1"/>
                <w:sz w:val="18"/>
                <w:u w:val="single" w:color="000000"/>
              </w:rPr>
              <w:t>254,488,525</w:t>
            </w:r>
            <w:r>
              <w:rPr>
                <w:rFonts w:ascii="Arial"/>
                <w:spacing w:val="-1"/>
                <w:sz w:val="18"/>
              </w:rPr>
            </w:r>
          </w:p>
        </w:tc>
        <w:tc>
          <w:tcPr>
            <w:tcW w:w="313"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8"/>
                <w:sz w:val="18"/>
                <w:u w:val="single" w:color="000000"/>
              </w:rPr>
              <w:t> </w:t>
            </w:r>
            <w:r>
              <w:rPr>
                <w:rFonts w:ascii="Arial"/>
                <w:spacing w:val="-1"/>
                <w:sz w:val="18"/>
                <w:u w:val="single" w:color="000000"/>
              </w:rPr>
              <w:t>353,471,835</w:t>
            </w:r>
            <w:r>
              <w:rPr>
                <w:rFonts w:ascii="Arial"/>
                <w:spacing w:val="-1"/>
                <w:sz w:val="18"/>
              </w:rPr>
            </w:r>
          </w:p>
        </w:tc>
        <w:tc>
          <w:tcPr>
            <w:tcW w:w="281" w:type="dxa"/>
            <w:tcBorders>
              <w:top w:val="nil" w:sz="6" w:space="0" w:color="auto"/>
              <w:left w:val="nil" w:sz="6" w:space="0" w:color="auto"/>
              <w:bottom w:val="nil" w:sz="6" w:space="0" w:color="auto"/>
              <w:right w:val="nil" w:sz="6" w:space="0" w:color="auto"/>
            </w:tcBorders>
          </w:tcPr>
          <w:p>
            <w:pPr/>
          </w:p>
        </w:tc>
      </w:tr>
      <w:tr>
        <w:trPr>
          <w:trHeight w:val="466" w:hRule="exact"/>
        </w:trPr>
        <w:tc>
          <w:tcPr>
            <w:tcW w:w="3844" w:type="dxa"/>
            <w:tcBorders>
              <w:top w:val="nil" w:sz="6" w:space="0" w:color="auto"/>
              <w:left w:val="nil" w:sz="6" w:space="0" w:color="auto"/>
              <w:bottom w:val="nil" w:sz="6" w:space="0" w:color="auto"/>
              <w:right w:val="nil" w:sz="6" w:space="0" w:color="auto"/>
            </w:tcBorders>
          </w:tcPr>
          <w:p>
            <w:pPr>
              <w:pStyle w:val="TableParagraph"/>
              <w:spacing w:line="240" w:lineRule="auto" w:before="81"/>
              <w:ind w:left="55" w:right="0"/>
              <w:jc w:val="left"/>
              <w:rPr>
                <w:rFonts w:ascii="Arial" w:hAnsi="Arial" w:cs="Arial" w:eastAsia="Arial" w:hint="default"/>
                <w:sz w:val="18"/>
                <w:szCs w:val="18"/>
              </w:rPr>
            </w:pPr>
            <w:r>
              <w:rPr>
                <w:rFonts w:ascii="黑体" w:hAnsi="黑体" w:cs="黑体" w:eastAsia="黑体" w:hint="default"/>
                <w:sz w:val="18"/>
                <w:szCs w:val="18"/>
              </w:rPr>
              <w:t>二、投资活动产生的现金流量</w:t>
            </w:r>
            <w:r>
              <w:rPr>
                <w:rFonts w:ascii="Arial" w:hAnsi="Arial" w:cs="Arial" w:eastAsia="Arial" w:hint="default"/>
                <w:sz w:val="18"/>
                <w:szCs w:val="18"/>
              </w:rPr>
              <w:t>:</w:t>
            </w:r>
          </w:p>
        </w:tc>
        <w:tc>
          <w:tcPr>
            <w:tcW w:w="1247"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r>
      <w:tr>
        <w:trPr>
          <w:trHeight w:val="360" w:hRule="exact"/>
        </w:trPr>
        <w:tc>
          <w:tcPr>
            <w:tcW w:w="3844" w:type="dxa"/>
            <w:tcBorders>
              <w:top w:val="nil" w:sz="6" w:space="0" w:color="auto"/>
              <w:left w:val="nil" w:sz="6" w:space="0" w:color="auto"/>
              <w:bottom w:val="nil" w:sz="6" w:space="0" w:color="auto"/>
              <w:right w:val="nil" w:sz="6" w:space="0" w:color="auto"/>
            </w:tcBorders>
          </w:tcPr>
          <w:p>
            <w:pPr>
              <w:pStyle w:val="TableParagraph"/>
              <w:spacing w:line="240" w:lineRule="auto" w:before="90"/>
              <w:ind w:left="55" w:right="0"/>
              <w:jc w:val="left"/>
              <w:rPr>
                <w:rFonts w:ascii="黑体" w:hAnsi="黑体" w:cs="黑体" w:eastAsia="黑体" w:hint="default"/>
                <w:sz w:val="18"/>
                <w:szCs w:val="18"/>
              </w:rPr>
            </w:pPr>
            <w:r>
              <w:rPr>
                <w:rFonts w:ascii="黑体" w:hAnsi="黑体" w:cs="黑体" w:eastAsia="黑体" w:hint="default"/>
                <w:sz w:val="18"/>
                <w:szCs w:val="18"/>
              </w:rPr>
              <w:t>收回投资成本所收到的现金</w:t>
            </w:r>
          </w:p>
        </w:tc>
        <w:tc>
          <w:tcPr>
            <w:tcW w:w="1247"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43"/>
              <w:jc w:val="right"/>
              <w:rPr>
                <w:rFonts w:ascii="Arial" w:hAnsi="Arial" w:cs="Arial" w:eastAsia="Arial" w:hint="default"/>
                <w:sz w:val="18"/>
                <w:szCs w:val="18"/>
              </w:rPr>
            </w:pPr>
            <w:r>
              <w:rPr>
                <w:rFonts w:ascii="Arial"/>
                <w:w w:val="99"/>
                <w:sz w:val="18"/>
              </w:rPr>
              <w:t>-</w:t>
            </w:r>
            <w:r>
              <w:rPr>
                <w:rFonts w:ascii="Arial"/>
                <w:sz w:val="18"/>
              </w:rPr>
            </w:r>
          </w:p>
        </w:tc>
        <w:tc>
          <w:tcPr>
            <w:tcW w:w="313"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
              <w:jc w:val="right"/>
              <w:rPr>
                <w:rFonts w:ascii="Arial" w:hAnsi="Arial" w:cs="Arial" w:eastAsia="Arial" w:hint="default"/>
                <w:sz w:val="18"/>
                <w:szCs w:val="18"/>
              </w:rPr>
            </w:pPr>
            <w:r>
              <w:rPr>
                <w:rFonts w:ascii="Arial"/>
                <w:spacing w:val="-1"/>
                <w:sz w:val="18"/>
              </w:rPr>
              <w:t>2,550,000</w:t>
            </w:r>
          </w:p>
        </w:tc>
        <w:tc>
          <w:tcPr>
            <w:tcW w:w="281" w:type="dxa"/>
            <w:tcBorders>
              <w:top w:val="nil" w:sz="6" w:space="0" w:color="auto"/>
              <w:left w:val="nil" w:sz="6" w:space="0" w:color="auto"/>
              <w:bottom w:val="nil" w:sz="6" w:space="0" w:color="auto"/>
              <w:right w:val="nil" w:sz="6" w:space="0" w:color="auto"/>
            </w:tcBorders>
          </w:tcPr>
          <w:p>
            <w:pPr/>
          </w:p>
        </w:tc>
      </w:tr>
      <w:tr>
        <w:trPr>
          <w:trHeight w:val="242" w:hRule="exact"/>
        </w:trPr>
        <w:tc>
          <w:tcPr>
            <w:tcW w:w="3844" w:type="dxa"/>
            <w:tcBorders>
              <w:top w:val="nil" w:sz="6" w:space="0" w:color="auto"/>
              <w:left w:val="nil" w:sz="6" w:space="0" w:color="auto"/>
              <w:bottom w:val="nil" w:sz="6" w:space="0" w:color="auto"/>
              <w:right w:val="nil" w:sz="6" w:space="0" w:color="auto"/>
            </w:tcBorders>
          </w:tcPr>
          <w:p>
            <w:pPr>
              <w:pStyle w:val="TableParagraph"/>
              <w:spacing w:line="191" w:lineRule="exact"/>
              <w:ind w:left="55" w:right="0"/>
              <w:jc w:val="left"/>
              <w:rPr>
                <w:rFonts w:ascii="黑体" w:hAnsi="黑体" w:cs="黑体" w:eastAsia="黑体" w:hint="default"/>
                <w:sz w:val="18"/>
                <w:szCs w:val="18"/>
              </w:rPr>
            </w:pPr>
            <w:r>
              <w:rPr>
                <w:rFonts w:ascii="黑体" w:hAnsi="黑体" w:cs="黑体" w:eastAsia="黑体" w:hint="default"/>
                <w:sz w:val="18"/>
                <w:szCs w:val="18"/>
              </w:rPr>
              <w:t>取得投资收益收所收到的现金</w:t>
            </w:r>
          </w:p>
        </w:tc>
        <w:tc>
          <w:tcPr>
            <w:tcW w:w="1247"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04" w:lineRule="exact"/>
              <w:ind w:right="41"/>
              <w:jc w:val="right"/>
              <w:rPr>
                <w:rFonts w:ascii="Arial" w:hAnsi="Arial" w:cs="Arial" w:eastAsia="Arial" w:hint="default"/>
                <w:sz w:val="18"/>
                <w:szCs w:val="18"/>
              </w:rPr>
            </w:pPr>
            <w:r>
              <w:rPr>
                <w:rFonts w:ascii="Arial"/>
                <w:spacing w:val="-1"/>
                <w:sz w:val="18"/>
              </w:rPr>
              <w:t>93,491,790</w:t>
            </w:r>
          </w:p>
        </w:tc>
        <w:tc>
          <w:tcPr>
            <w:tcW w:w="313"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
              <w:jc w:val="right"/>
              <w:rPr>
                <w:rFonts w:ascii="Arial" w:hAnsi="Arial" w:cs="Arial" w:eastAsia="Arial" w:hint="default"/>
                <w:sz w:val="18"/>
                <w:szCs w:val="18"/>
              </w:rPr>
            </w:pPr>
            <w:r>
              <w:rPr>
                <w:rFonts w:ascii="Arial"/>
                <w:spacing w:val="-1"/>
                <w:sz w:val="18"/>
              </w:rPr>
              <w:t>42,888,479</w:t>
            </w:r>
          </w:p>
        </w:tc>
        <w:tc>
          <w:tcPr>
            <w:tcW w:w="281" w:type="dxa"/>
            <w:tcBorders>
              <w:top w:val="nil" w:sz="6" w:space="0" w:color="auto"/>
              <w:left w:val="nil" w:sz="6" w:space="0" w:color="auto"/>
              <w:bottom w:val="nil" w:sz="6" w:space="0" w:color="auto"/>
              <w:right w:val="nil" w:sz="6" w:space="0" w:color="auto"/>
            </w:tcBorders>
          </w:tcPr>
          <w:p>
            <w:pPr/>
          </w:p>
        </w:tc>
      </w:tr>
      <w:tr>
        <w:trPr>
          <w:trHeight w:val="238" w:hRule="exact"/>
        </w:trPr>
        <w:tc>
          <w:tcPr>
            <w:tcW w:w="3844" w:type="dxa"/>
            <w:tcBorders>
              <w:top w:val="nil" w:sz="6" w:space="0" w:color="auto"/>
              <w:left w:val="nil" w:sz="6" w:space="0" w:color="auto"/>
              <w:bottom w:val="nil" w:sz="6" w:space="0" w:color="auto"/>
              <w:right w:val="nil" w:sz="6" w:space="0" w:color="auto"/>
            </w:tcBorders>
          </w:tcPr>
          <w:p>
            <w:pPr>
              <w:pStyle w:val="TableParagraph"/>
              <w:spacing w:line="199" w:lineRule="exact"/>
              <w:ind w:left="55" w:right="0"/>
              <w:jc w:val="left"/>
              <w:rPr>
                <w:rFonts w:ascii="黑体" w:hAnsi="黑体" w:cs="黑体" w:eastAsia="黑体" w:hint="default"/>
                <w:sz w:val="18"/>
                <w:szCs w:val="18"/>
              </w:rPr>
            </w:pPr>
            <w:r>
              <w:rPr>
                <w:rFonts w:ascii="黑体" w:hAnsi="黑体" w:cs="黑体" w:eastAsia="黑体" w:hint="default"/>
                <w:sz w:val="18"/>
                <w:szCs w:val="18"/>
              </w:rPr>
              <w:t>取得存款利息收入所收到的现金</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63"/>
              <w:jc w:val="center"/>
              <w:rPr>
                <w:rFonts w:ascii="Arial" w:hAnsi="Arial" w:cs="Arial" w:eastAsia="Arial" w:hint="default"/>
                <w:sz w:val="18"/>
                <w:szCs w:val="18"/>
              </w:rPr>
            </w:pPr>
            <w:r>
              <w:rPr>
                <w:rFonts w:ascii="Arial"/>
                <w:sz w:val="18"/>
              </w:rPr>
              <w:t>32</w:t>
            </w:r>
          </w:p>
        </w:tc>
        <w:tc>
          <w:tcPr>
            <w:tcW w:w="1754" w:type="dxa"/>
            <w:tcBorders>
              <w:top w:val="nil" w:sz="6" w:space="0" w:color="auto"/>
              <w:left w:val="nil" w:sz="6" w:space="0" w:color="auto"/>
              <w:bottom w:val="nil" w:sz="6" w:space="0" w:color="auto"/>
              <w:right w:val="nil" w:sz="6" w:space="0" w:color="auto"/>
            </w:tcBorders>
          </w:tcPr>
          <w:p>
            <w:pPr>
              <w:pStyle w:val="TableParagraph"/>
              <w:spacing w:line="200" w:lineRule="exact"/>
              <w:ind w:right="40"/>
              <w:jc w:val="right"/>
              <w:rPr>
                <w:rFonts w:ascii="Arial" w:hAnsi="Arial" w:cs="Arial" w:eastAsia="Arial" w:hint="default"/>
                <w:sz w:val="18"/>
                <w:szCs w:val="18"/>
              </w:rPr>
            </w:pPr>
            <w:r>
              <w:rPr>
                <w:rFonts w:ascii="Arial"/>
                <w:spacing w:val="-1"/>
                <w:sz w:val="18"/>
              </w:rPr>
              <w:t>1,584,580</w:t>
            </w:r>
          </w:p>
        </w:tc>
        <w:tc>
          <w:tcPr>
            <w:tcW w:w="313"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
              <w:jc w:val="right"/>
              <w:rPr>
                <w:rFonts w:ascii="Arial" w:hAnsi="Arial" w:cs="Arial" w:eastAsia="Arial" w:hint="default"/>
                <w:sz w:val="18"/>
                <w:szCs w:val="18"/>
              </w:rPr>
            </w:pPr>
            <w:r>
              <w:rPr>
                <w:rFonts w:ascii="Arial"/>
                <w:spacing w:val="-1"/>
                <w:sz w:val="18"/>
              </w:rPr>
              <w:t>2,411,835</w:t>
            </w:r>
          </w:p>
        </w:tc>
        <w:tc>
          <w:tcPr>
            <w:tcW w:w="281" w:type="dxa"/>
            <w:tcBorders>
              <w:top w:val="nil" w:sz="6" w:space="0" w:color="auto"/>
              <w:left w:val="nil" w:sz="6" w:space="0" w:color="auto"/>
              <w:bottom w:val="nil" w:sz="6" w:space="0" w:color="auto"/>
              <w:right w:val="nil" w:sz="6" w:space="0" w:color="auto"/>
            </w:tcBorders>
          </w:tcPr>
          <w:p>
            <w:pPr/>
          </w:p>
        </w:tc>
      </w:tr>
      <w:tr>
        <w:trPr>
          <w:trHeight w:val="466" w:hRule="exact"/>
        </w:trPr>
        <w:tc>
          <w:tcPr>
            <w:tcW w:w="3844" w:type="dxa"/>
            <w:tcBorders>
              <w:top w:val="nil" w:sz="6" w:space="0" w:color="auto"/>
              <w:left w:val="nil" w:sz="6" w:space="0" w:color="auto"/>
              <w:bottom w:val="nil" w:sz="6" w:space="0" w:color="auto"/>
              <w:right w:val="nil" w:sz="6" w:space="0" w:color="auto"/>
            </w:tcBorders>
          </w:tcPr>
          <w:p>
            <w:pPr>
              <w:pStyle w:val="TableParagraph"/>
              <w:spacing w:line="195" w:lineRule="exact"/>
              <w:ind w:left="55" w:right="0"/>
              <w:jc w:val="left"/>
              <w:rPr>
                <w:rFonts w:ascii="黑体" w:hAnsi="黑体" w:cs="黑体" w:eastAsia="黑体" w:hint="default"/>
                <w:sz w:val="18"/>
                <w:szCs w:val="18"/>
              </w:rPr>
            </w:pPr>
            <w:r>
              <w:rPr>
                <w:rFonts w:ascii="黑体" w:hAnsi="黑体" w:cs="黑体" w:eastAsia="黑体" w:hint="default"/>
                <w:sz w:val="18"/>
                <w:szCs w:val="18"/>
              </w:rPr>
              <w:t>处置固定资产、无形资产和其他长期资产</w:t>
            </w:r>
          </w:p>
          <w:p>
            <w:pPr>
              <w:pStyle w:val="TableParagraph"/>
              <w:spacing w:line="234" w:lineRule="exact"/>
              <w:ind w:left="252" w:right="0"/>
              <w:jc w:val="left"/>
              <w:rPr>
                <w:rFonts w:ascii="黑体" w:hAnsi="黑体" w:cs="黑体" w:eastAsia="黑体" w:hint="default"/>
                <w:sz w:val="18"/>
                <w:szCs w:val="18"/>
              </w:rPr>
            </w:pPr>
            <w:r>
              <w:rPr>
                <w:rFonts w:ascii="黑体" w:hAnsi="黑体" w:cs="黑体" w:eastAsia="黑体" w:hint="default"/>
                <w:sz w:val="18"/>
                <w:szCs w:val="18"/>
              </w:rPr>
              <w:t>收回的现金净额</w:t>
            </w:r>
          </w:p>
        </w:tc>
        <w:tc>
          <w:tcPr>
            <w:tcW w:w="1247"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b/>
                <w:bCs/>
                <w:sz w:val="16"/>
                <w:szCs w:val="16"/>
              </w:rPr>
            </w:pPr>
          </w:p>
          <w:p>
            <w:pPr>
              <w:pStyle w:val="TableParagraph"/>
              <w:spacing w:line="240" w:lineRule="auto"/>
              <w:ind w:right="40"/>
              <w:jc w:val="right"/>
              <w:rPr>
                <w:rFonts w:ascii="Arial" w:hAnsi="Arial" w:cs="Arial" w:eastAsia="Arial" w:hint="default"/>
                <w:sz w:val="18"/>
                <w:szCs w:val="18"/>
              </w:rPr>
            </w:pPr>
            <w:r>
              <w:rPr>
                <w:rFonts w:ascii="Arial"/>
                <w:spacing w:val="-1"/>
                <w:sz w:val="18"/>
              </w:rPr>
              <w:t>1,243,854</w:t>
            </w:r>
          </w:p>
        </w:tc>
        <w:tc>
          <w:tcPr>
            <w:tcW w:w="313"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黑体" w:hAnsi="黑体" w:cs="黑体" w:eastAsia="黑体" w:hint="default"/>
                <w:b/>
                <w:bCs/>
                <w:sz w:val="19"/>
                <w:szCs w:val="19"/>
              </w:rPr>
            </w:pPr>
          </w:p>
          <w:p>
            <w:pPr>
              <w:pStyle w:val="TableParagraph"/>
              <w:spacing w:line="240" w:lineRule="auto"/>
              <w:ind w:right="10"/>
              <w:jc w:val="right"/>
              <w:rPr>
                <w:rFonts w:ascii="Arial" w:hAnsi="Arial" w:cs="Arial" w:eastAsia="Arial" w:hint="default"/>
                <w:sz w:val="18"/>
                <w:szCs w:val="18"/>
              </w:rPr>
            </w:pPr>
            <w:r>
              <w:rPr>
                <w:rFonts w:ascii="Arial"/>
                <w:spacing w:val="-1"/>
                <w:sz w:val="18"/>
              </w:rPr>
              <w:t>866,414</w:t>
            </w:r>
          </w:p>
        </w:tc>
        <w:tc>
          <w:tcPr>
            <w:tcW w:w="281" w:type="dxa"/>
            <w:tcBorders>
              <w:top w:val="nil" w:sz="6" w:space="0" w:color="auto"/>
              <w:left w:val="nil" w:sz="6" w:space="0" w:color="auto"/>
              <w:bottom w:val="nil" w:sz="6" w:space="0" w:color="auto"/>
              <w:right w:val="nil" w:sz="6" w:space="0" w:color="auto"/>
            </w:tcBorders>
          </w:tcPr>
          <w:p>
            <w:pPr/>
          </w:p>
        </w:tc>
      </w:tr>
      <w:tr>
        <w:trPr>
          <w:trHeight w:val="239" w:hRule="exact"/>
        </w:trPr>
        <w:tc>
          <w:tcPr>
            <w:tcW w:w="3844" w:type="dxa"/>
            <w:tcBorders>
              <w:top w:val="nil" w:sz="6" w:space="0" w:color="auto"/>
              <w:left w:val="nil" w:sz="6" w:space="0" w:color="auto"/>
              <w:bottom w:val="nil" w:sz="6" w:space="0" w:color="auto"/>
              <w:right w:val="nil" w:sz="6" w:space="0" w:color="auto"/>
            </w:tcBorders>
          </w:tcPr>
          <w:p>
            <w:pPr>
              <w:pStyle w:val="TableParagraph"/>
              <w:spacing w:line="200" w:lineRule="exact"/>
              <w:ind w:left="55" w:right="0"/>
              <w:jc w:val="left"/>
              <w:rPr>
                <w:rFonts w:ascii="黑体" w:hAnsi="黑体" w:cs="黑体" w:eastAsia="黑体" w:hint="default"/>
                <w:sz w:val="18"/>
                <w:szCs w:val="18"/>
              </w:rPr>
            </w:pPr>
            <w:r>
              <w:rPr>
                <w:rFonts w:ascii="黑体" w:hAnsi="黑体" w:cs="黑体" w:eastAsia="黑体" w:hint="default"/>
                <w:sz w:val="18"/>
                <w:szCs w:val="18"/>
              </w:rPr>
              <w:t>收到的其他与投资活动有关的现金</w:t>
            </w:r>
          </w:p>
        </w:tc>
        <w:tc>
          <w:tcPr>
            <w:tcW w:w="1247"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tabs>
                <w:tab w:pos="671" w:val="left" w:leader="none"/>
              </w:tabs>
              <w:spacing w:line="198" w:lineRule="exact"/>
              <w:ind w:right="4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73,901</w:t>
            </w:r>
            <w:r>
              <w:rPr>
                <w:rFonts w:ascii="Arial"/>
                <w:spacing w:val="-1"/>
                <w:sz w:val="18"/>
              </w:rPr>
            </w:r>
          </w:p>
        </w:tc>
        <w:tc>
          <w:tcPr>
            <w:tcW w:w="313"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Style w:val="TableParagraph"/>
              <w:tabs>
                <w:tab w:pos="1082" w:val="left" w:leader="none"/>
              </w:tabs>
              <w:spacing w:line="240" w:lineRule="auto" w:before="20"/>
              <w:ind w:right="1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281" w:type="dxa"/>
            <w:tcBorders>
              <w:top w:val="nil" w:sz="6" w:space="0" w:color="auto"/>
              <w:left w:val="nil" w:sz="6" w:space="0" w:color="auto"/>
              <w:bottom w:val="nil" w:sz="6" w:space="0" w:color="auto"/>
              <w:right w:val="nil" w:sz="6" w:space="0" w:color="auto"/>
            </w:tcBorders>
          </w:tcPr>
          <w:p>
            <w:pPr/>
          </w:p>
        </w:tc>
      </w:tr>
      <w:tr>
        <w:trPr>
          <w:trHeight w:val="357" w:hRule="exact"/>
        </w:trPr>
        <w:tc>
          <w:tcPr>
            <w:tcW w:w="3844" w:type="dxa"/>
            <w:tcBorders>
              <w:top w:val="nil" w:sz="6" w:space="0" w:color="auto"/>
              <w:left w:val="nil" w:sz="6" w:space="0" w:color="auto"/>
              <w:bottom w:val="nil" w:sz="6" w:space="0" w:color="auto"/>
              <w:right w:val="nil" w:sz="6" w:space="0" w:color="auto"/>
            </w:tcBorders>
          </w:tcPr>
          <w:p>
            <w:pPr>
              <w:pStyle w:val="TableParagraph"/>
              <w:spacing w:line="199" w:lineRule="exact"/>
              <w:ind w:left="55" w:right="0"/>
              <w:jc w:val="left"/>
              <w:rPr>
                <w:rFonts w:ascii="黑体" w:hAnsi="黑体" w:cs="黑体" w:eastAsia="黑体" w:hint="default"/>
                <w:sz w:val="18"/>
                <w:szCs w:val="18"/>
              </w:rPr>
            </w:pPr>
            <w:r>
              <w:rPr>
                <w:rFonts w:ascii="黑体" w:hAnsi="黑体" w:cs="黑体" w:eastAsia="黑体" w:hint="default"/>
                <w:sz w:val="18"/>
                <w:szCs w:val="18"/>
              </w:rPr>
              <w:t>现金流入小计</w:t>
            </w:r>
          </w:p>
        </w:tc>
        <w:tc>
          <w:tcPr>
            <w:tcW w:w="1247"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tabs>
                <w:tab w:pos="311" w:val="left" w:leader="none"/>
              </w:tabs>
              <w:spacing w:line="200" w:lineRule="exact"/>
              <w:ind w:right="4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96,394,125</w:t>
            </w:r>
            <w:r>
              <w:rPr>
                <w:rFonts w:ascii="Arial"/>
                <w:spacing w:val="-1"/>
                <w:sz w:val="18"/>
              </w:rPr>
            </w:r>
          </w:p>
        </w:tc>
        <w:tc>
          <w:tcPr>
            <w:tcW w:w="313"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3"/>
                <w:sz w:val="18"/>
                <w:u w:val="single" w:color="000000"/>
              </w:rPr>
              <w:t> </w:t>
            </w:r>
            <w:r>
              <w:rPr>
                <w:rFonts w:ascii="Arial"/>
                <w:spacing w:val="-1"/>
                <w:sz w:val="18"/>
                <w:u w:val="single" w:color="000000"/>
              </w:rPr>
              <w:t>48,716,728</w:t>
            </w:r>
            <w:r>
              <w:rPr>
                <w:rFonts w:ascii="Arial"/>
                <w:spacing w:val="-1"/>
                <w:sz w:val="18"/>
              </w:rPr>
            </w:r>
          </w:p>
        </w:tc>
        <w:tc>
          <w:tcPr>
            <w:tcW w:w="281" w:type="dxa"/>
            <w:tcBorders>
              <w:top w:val="nil" w:sz="6" w:space="0" w:color="auto"/>
              <w:left w:val="nil" w:sz="6" w:space="0" w:color="auto"/>
              <w:bottom w:val="nil" w:sz="6" w:space="0" w:color="auto"/>
              <w:right w:val="nil" w:sz="6" w:space="0" w:color="auto"/>
            </w:tcBorders>
          </w:tcPr>
          <w:p>
            <w:pPr/>
          </w:p>
        </w:tc>
      </w:tr>
      <w:tr>
        <w:trPr>
          <w:trHeight w:val="584" w:hRule="exact"/>
        </w:trPr>
        <w:tc>
          <w:tcPr>
            <w:tcW w:w="3844" w:type="dxa"/>
            <w:tcBorders>
              <w:top w:val="nil" w:sz="6" w:space="0" w:color="auto"/>
              <w:left w:val="nil" w:sz="6" w:space="0" w:color="auto"/>
              <w:bottom w:val="nil" w:sz="6" w:space="0" w:color="auto"/>
              <w:right w:val="nil" w:sz="6" w:space="0" w:color="auto"/>
            </w:tcBorders>
          </w:tcPr>
          <w:p>
            <w:pPr>
              <w:pStyle w:val="TableParagraph"/>
              <w:spacing w:line="232" w:lineRule="exact" w:before="104"/>
              <w:ind w:left="252" w:right="337" w:hanging="197"/>
              <w:jc w:val="left"/>
              <w:rPr>
                <w:rFonts w:ascii="黑体" w:hAnsi="黑体" w:cs="黑体" w:eastAsia="黑体" w:hint="default"/>
                <w:sz w:val="18"/>
                <w:szCs w:val="18"/>
              </w:rPr>
            </w:pPr>
            <w:r>
              <w:rPr>
                <w:rFonts w:ascii="黑体" w:hAnsi="黑体" w:cs="黑体" w:eastAsia="黑体" w:hint="default"/>
                <w:sz w:val="18"/>
                <w:szCs w:val="18"/>
              </w:rPr>
              <w:t>购建固定资产、无形资产和其他长期资产所</w:t>
            </w:r>
            <w:r>
              <w:rPr>
                <w:rFonts w:ascii="黑体" w:hAnsi="黑体" w:cs="黑体" w:eastAsia="黑体" w:hint="default"/>
                <w:spacing w:val="-67"/>
                <w:sz w:val="18"/>
                <w:szCs w:val="18"/>
              </w:rPr>
              <w:t> </w:t>
            </w:r>
            <w:r>
              <w:rPr>
                <w:rFonts w:ascii="黑体" w:hAnsi="黑体" w:cs="黑体" w:eastAsia="黑体" w:hint="default"/>
                <w:spacing w:val="-67"/>
                <w:sz w:val="18"/>
                <w:szCs w:val="18"/>
              </w:rPr>
            </w:r>
            <w:r>
              <w:rPr>
                <w:rFonts w:ascii="黑体" w:hAnsi="黑体" w:cs="黑体" w:eastAsia="黑体" w:hint="default"/>
                <w:sz w:val="18"/>
                <w:szCs w:val="18"/>
              </w:rPr>
              <w:t>支付的现金</w:t>
            </w:r>
          </w:p>
        </w:tc>
        <w:tc>
          <w:tcPr>
            <w:tcW w:w="1247"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b/>
                <w:bCs/>
                <w:sz w:val="25"/>
                <w:szCs w:val="25"/>
              </w:rPr>
            </w:pPr>
          </w:p>
          <w:p>
            <w:pPr>
              <w:pStyle w:val="TableParagraph"/>
              <w:spacing w:line="240" w:lineRule="auto"/>
              <w:ind w:right="40"/>
              <w:jc w:val="right"/>
              <w:rPr>
                <w:rFonts w:ascii="Arial" w:hAnsi="Arial" w:cs="Arial" w:eastAsia="Arial" w:hint="default"/>
                <w:sz w:val="18"/>
                <w:szCs w:val="18"/>
              </w:rPr>
            </w:pPr>
            <w:r>
              <w:rPr>
                <w:rFonts w:ascii="Arial"/>
                <w:sz w:val="18"/>
              </w:rPr>
              <w:t>(  </w:t>
            </w:r>
            <w:r>
              <w:rPr>
                <w:rFonts w:ascii="Arial"/>
                <w:spacing w:val="25"/>
                <w:sz w:val="18"/>
              </w:rPr>
              <w:t> </w:t>
            </w:r>
            <w:r>
              <w:rPr>
                <w:rFonts w:ascii="Arial"/>
                <w:sz w:val="18"/>
              </w:rPr>
              <w:t>280,425,673</w:t>
            </w:r>
          </w:p>
        </w:tc>
        <w:tc>
          <w:tcPr>
            <w:tcW w:w="31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b/>
                <w:bCs/>
                <w:sz w:val="25"/>
                <w:szCs w:val="25"/>
              </w:rPr>
            </w:pPr>
          </w:p>
          <w:p>
            <w:pPr>
              <w:pStyle w:val="TableParagraph"/>
              <w:spacing w:line="240" w:lineRule="auto"/>
              <w:ind w:left="12" w:right="0"/>
              <w:jc w:val="left"/>
              <w:rPr>
                <w:rFonts w:ascii="Arial" w:hAnsi="Arial" w:cs="Arial" w:eastAsia="Arial" w:hint="default"/>
                <w:sz w:val="18"/>
                <w:szCs w:val="18"/>
              </w:rPr>
            </w:pPr>
            <w:r>
              <w:rPr>
                <w:rFonts w:ascii="Arial"/>
                <w:w w:val="99"/>
                <w:sz w:val="18"/>
              </w:rPr>
              <w:t>)</w:t>
            </w:r>
            <w:r>
              <w:rPr>
                <w:rFonts w:ascii="Arial"/>
                <w:sz w:val="18"/>
              </w:rPr>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132"/>
              <w:ind w:right="10"/>
              <w:jc w:val="right"/>
              <w:rPr>
                <w:rFonts w:ascii="Arial" w:hAnsi="Arial" w:cs="Arial" w:eastAsia="Arial" w:hint="default"/>
                <w:sz w:val="18"/>
                <w:szCs w:val="18"/>
              </w:rPr>
            </w:pPr>
            <w:r>
              <w:rPr>
                <w:rFonts w:ascii="Arial"/>
                <w:sz w:val="18"/>
              </w:rPr>
              <w:t>( </w:t>
            </w:r>
            <w:r>
              <w:rPr>
                <w:rFonts w:ascii="Arial"/>
                <w:spacing w:val="24"/>
                <w:sz w:val="18"/>
              </w:rPr>
              <w:t> </w:t>
            </w:r>
            <w:r>
              <w:rPr>
                <w:rFonts w:ascii="Arial"/>
                <w:sz w:val="18"/>
              </w:rPr>
              <w:t>226,747,690</w:t>
            </w:r>
          </w:p>
        </w:tc>
        <w:tc>
          <w:tcPr>
            <w:tcW w:w="2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132"/>
              <w:ind w:left="11" w:right="0"/>
              <w:jc w:val="left"/>
              <w:rPr>
                <w:rFonts w:ascii="Arial" w:hAnsi="Arial" w:cs="Arial" w:eastAsia="Arial" w:hint="default"/>
                <w:sz w:val="18"/>
                <w:szCs w:val="18"/>
              </w:rPr>
            </w:pPr>
            <w:r>
              <w:rPr>
                <w:rFonts w:ascii="Arial"/>
                <w:w w:val="99"/>
                <w:sz w:val="18"/>
              </w:rPr>
              <w:t>)</w:t>
            </w:r>
            <w:r>
              <w:rPr>
                <w:rFonts w:ascii="Arial"/>
                <w:sz w:val="18"/>
              </w:rPr>
            </w:r>
          </w:p>
        </w:tc>
      </w:tr>
      <w:tr>
        <w:trPr>
          <w:trHeight w:val="238" w:hRule="exact"/>
        </w:trPr>
        <w:tc>
          <w:tcPr>
            <w:tcW w:w="3844" w:type="dxa"/>
            <w:tcBorders>
              <w:top w:val="nil" w:sz="6" w:space="0" w:color="auto"/>
              <w:left w:val="nil" w:sz="6" w:space="0" w:color="auto"/>
              <w:bottom w:val="nil" w:sz="6" w:space="0" w:color="auto"/>
              <w:right w:val="nil" w:sz="6" w:space="0" w:color="auto"/>
            </w:tcBorders>
          </w:tcPr>
          <w:p>
            <w:pPr>
              <w:pStyle w:val="TableParagraph"/>
              <w:spacing w:line="201" w:lineRule="exact"/>
              <w:ind w:left="55" w:right="0"/>
              <w:jc w:val="left"/>
              <w:rPr>
                <w:rFonts w:ascii="黑体" w:hAnsi="黑体" w:cs="黑体" w:eastAsia="黑体" w:hint="default"/>
                <w:sz w:val="18"/>
                <w:szCs w:val="18"/>
              </w:rPr>
            </w:pPr>
            <w:r>
              <w:rPr>
                <w:rFonts w:ascii="黑体" w:hAnsi="黑体" w:cs="黑体" w:eastAsia="黑体" w:hint="default"/>
                <w:sz w:val="18"/>
                <w:szCs w:val="18"/>
              </w:rPr>
              <w:t>取得子公司及其他营业单位支付的现金净额</w:t>
            </w:r>
          </w:p>
        </w:tc>
        <w:tc>
          <w:tcPr>
            <w:tcW w:w="1247"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tabs>
                <w:tab w:pos="331" w:val="left" w:leader="none"/>
              </w:tabs>
              <w:spacing w:line="202" w:lineRule="exact"/>
              <w:ind w:right="40"/>
              <w:jc w:val="right"/>
              <w:rPr>
                <w:rFonts w:ascii="Arial" w:hAnsi="Arial" w:cs="Arial" w:eastAsia="Arial" w:hint="default"/>
                <w:sz w:val="18"/>
                <w:szCs w:val="18"/>
              </w:rPr>
            </w:pPr>
            <w:r>
              <w:rPr>
                <w:rFonts w:ascii="Arial"/>
                <w:sz w:val="18"/>
              </w:rPr>
              <w:t>(</w:t>
              <w:tab/>
            </w:r>
            <w:r>
              <w:rPr>
                <w:rFonts w:ascii="Arial"/>
                <w:spacing w:val="-1"/>
                <w:sz w:val="18"/>
              </w:rPr>
              <w:t>42,073,726</w:t>
            </w:r>
          </w:p>
        </w:tc>
        <w:tc>
          <w:tcPr>
            <w:tcW w:w="313" w:type="dxa"/>
            <w:tcBorders>
              <w:top w:val="nil" w:sz="6" w:space="0" w:color="auto"/>
              <w:left w:val="nil" w:sz="6" w:space="0" w:color="auto"/>
              <w:bottom w:val="nil" w:sz="6" w:space="0" w:color="auto"/>
              <w:right w:val="nil" w:sz="6" w:space="0" w:color="auto"/>
            </w:tcBorders>
          </w:tcPr>
          <w:p>
            <w:pPr>
              <w:pStyle w:val="TableParagraph"/>
              <w:spacing w:line="197" w:lineRule="exact"/>
              <w:ind w:left="12" w:right="0"/>
              <w:jc w:val="left"/>
              <w:rPr>
                <w:rFonts w:ascii="Arial" w:hAnsi="Arial" w:cs="Arial" w:eastAsia="Arial" w:hint="default"/>
                <w:sz w:val="18"/>
                <w:szCs w:val="18"/>
              </w:rPr>
            </w:pPr>
            <w:r>
              <w:rPr>
                <w:rFonts w:ascii="Arial"/>
                <w:w w:val="99"/>
                <w:sz w:val="18"/>
              </w:rPr>
              <w:t>)</w:t>
            </w:r>
            <w:r>
              <w:rPr>
                <w:rFonts w:ascii="Arial"/>
                <w:sz w:val="18"/>
              </w:rPr>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
              <w:jc w:val="right"/>
              <w:rPr>
                <w:rFonts w:ascii="Arial" w:hAnsi="Arial" w:cs="Arial" w:eastAsia="Arial" w:hint="default"/>
                <w:sz w:val="18"/>
                <w:szCs w:val="18"/>
              </w:rPr>
            </w:pPr>
            <w:r>
              <w:rPr>
                <w:rFonts w:ascii="Arial"/>
                <w:sz w:val="18"/>
              </w:rPr>
              <w:t>( </w:t>
            </w:r>
            <w:r>
              <w:rPr>
                <w:rFonts w:ascii="Arial"/>
                <w:spacing w:val="24"/>
                <w:sz w:val="18"/>
              </w:rPr>
              <w:t> </w:t>
            </w:r>
            <w:r>
              <w:rPr>
                <w:rFonts w:ascii="Arial"/>
                <w:sz w:val="18"/>
              </w:rPr>
              <w:t>314,841,542</w:t>
            </w:r>
          </w:p>
        </w:tc>
        <w:tc>
          <w:tcPr>
            <w:tcW w:w="28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1" w:right="0"/>
              <w:jc w:val="left"/>
              <w:rPr>
                <w:rFonts w:ascii="Arial" w:hAnsi="Arial" w:cs="Arial" w:eastAsia="Arial" w:hint="default"/>
                <w:sz w:val="18"/>
                <w:szCs w:val="18"/>
              </w:rPr>
            </w:pPr>
            <w:r>
              <w:rPr>
                <w:rFonts w:ascii="Arial"/>
                <w:w w:val="99"/>
                <w:sz w:val="18"/>
              </w:rPr>
              <w:t>)</w:t>
            </w:r>
            <w:r>
              <w:rPr>
                <w:rFonts w:ascii="Arial"/>
                <w:sz w:val="18"/>
              </w:rPr>
            </w:r>
          </w:p>
        </w:tc>
      </w:tr>
      <w:tr>
        <w:trPr>
          <w:trHeight w:val="236" w:hRule="exact"/>
        </w:trPr>
        <w:tc>
          <w:tcPr>
            <w:tcW w:w="3844" w:type="dxa"/>
            <w:tcBorders>
              <w:top w:val="nil" w:sz="6" w:space="0" w:color="auto"/>
              <w:left w:val="nil" w:sz="6" w:space="0" w:color="auto"/>
              <w:bottom w:val="nil" w:sz="6" w:space="0" w:color="auto"/>
              <w:right w:val="nil" w:sz="6" w:space="0" w:color="auto"/>
            </w:tcBorders>
          </w:tcPr>
          <w:p>
            <w:pPr>
              <w:pStyle w:val="TableParagraph"/>
              <w:spacing w:line="201" w:lineRule="exact"/>
              <w:ind w:left="55" w:right="0"/>
              <w:jc w:val="left"/>
              <w:rPr>
                <w:rFonts w:ascii="黑体" w:hAnsi="黑体" w:cs="黑体" w:eastAsia="黑体" w:hint="default"/>
                <w:sz w:val="18"/>
                <w:szCs w:val="18"/>
              </w:rPr>
            </w:pPr>
            <w:r>
              <w:rPr>
                <w:rFonts w:ascii="黑体" w:hAnsi="黑体" w:cs="黑体" w:eastAsia="黑体" w:hint="default"/>
                <w:sz w:val="18"/>
                <w:szCs w:val="18"/>
              </w:rPr>
              <w:t>投资所支付的现金</w:t>
            </w:r>
          </w:p>
        </w:tc>
        <w:tc>
          <w:tcPr>
            <w:tcW w:w="1247"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tabs>
                <w:tab w:pos="331" w:val="left" w:leader="none"/>
              </w:tabs>
              <w:spacing w:line="202" w:lineRule="exact"/>
              <w:ind w:right="40"/>
              <w:jc w:val="right"/>
              <w:rPr>
                <w:rFonts w:ascii="Arial" w:hAnsi="Arial" w:cs="Arial" w:eastAsia="Arial" w:hint="default"/>
                <w:sz w:val="18"/>
                <w:szCs w:val="18"/>
              </w:rPr>
            </w:pPr>
            <w:r>
              <w:rPr>
                <w:rFonts w:ascii="Arial"/>
                <w:sz w:val="18"/>
              </w:rPr>
              <w:t>(</w:t>
            </w:r>
            <w:r>
              <w:rPr>
                <w:rFonts w:ascii="Arial"/>
                <w:sz w:val="18"/>
                <w:u w:val="single" w:color="000000"/>
              </w:rPr>
              <w:t> </w:t>
              <w:tab/>
            </w:r>
            <w:r>
              <w:rPr>
                <w:rFonts w:ascii="Arial"/>
                <w:spacing w:val="-1"/>
                <w:sz w:val="18"/>
                <w:u w:val="single" w:color="000000"/>
              </w:rPr>
              <w:t>46,536,999</w:t>
            </w:r>
            <w:r>
              <w:rPr>
                <w:rFonts w:ascii="Arial"/>
                <w:spacing w:val="-1"/>
                <w:sz w:val="18"/>
              </w:rPr>
            </w:r>
          </w:p>
        </w:tc>
        <w:tc>
          <w:tcPr>
            <w:tcW w:w="313" w:type="dxa"/>
            <w:tcBorders>
              <w:top w:val="nil" w:sz="6" w:space="0" w:color="auto"/>
              <w:left w:val="nil" w:sz="6" w:space="0" w:color="auto"/>
              <w:bottom w:val="nil" w:sz="6" w:space="0" w:color="auto"/>
              <w:right w:val="nil" w:sz="6" w:space="0" w:color="auto"/>
            </w:tcBorders>
          </w:tcPr>
          <w:p>
            <w:pPr>
              <w:pStyle w:val="TableParagraph"/>
              <w:spacing w:line="197" w:lineRule="exact"/>
              <w:ind w:left="12" w:right="0"/>
              <w:jc w:val="left"/>
              <w:rPr>
                <w:rFonts w:ascii="Arial" w:hAnsi="Arial" w:cs="Arial" w:eastAsia="Arial" w:hint="default"/>
                <w:sz w:val="18"/>
                <w:szCs w:val="18"/>
              </w:rPr>
            </w:pPr>
            <w:r>
              <w:rPr>
                <w:rFonts w:ascii="Arial"/>
                <w:w w:val="99"/>
                <w:sz w:val="18"/>
              </w:rPr>
              <w:t>)</w:t>
            </w:r>
            <w:r>
              <w:rPr>
                <w:rFonts w:ascii="Arial"/>
                <w:sz w:val="18"/>
              </w:rPr>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
              <w:jc w:val="right"/>
              <w:rPr>
                <w:rFonts w:ascii="Arial" w:hAnsi="Arial" w:cs="Arial" w:eastAsia="Arial" w:hint="default"/>
                <w:sz w:val="18"/>
                <w:szCs w:val="18"/>
              </w:rPr>
            </w:pPr>
            <w:r>
              <w:rPr>
                <w:rFonts w:ascii="Arial"/>
                <w:sz w:val="18"/>
              </w:rPr>
              <w:t>( </w:t>
            </w:r>
            <w:r>
              <w:rPr>
                <w:rFonts w:ascii="Arial"/>
                <w:spacing w:val="41"/>
                <w:sz w:val="18"/>
              </w:rPr>
              <w:t> </w:t>
            </w:r>
            <w:r>
              <w:rPr>
                <w:rFonts w:ascii="Arial"/>
                <w:spacing w:val="41"/>
                <w:sz w:val="18"/>
                <w:u w:val="single" w:color="000000"/>
              </w:rPr>
              <w:t> </w:t>
            </w:r>
            <w:r>
              <w:rPr>
                <w:rFonts w:ascii="Arial"/>
                <w:sz w:val="18"/>
                <w:u w:val="single" w:color="000000"/>
              </w:rPr>
              <w:t>219,560,623</w:t>
            </w:r>
            <w:r>
              <w:rPr>
                <w:rFonts w:ascii="Arial"/>
                <w:sz w:val="18"/>
              </w:rPr>
            </w:r>
          </w:p>
        </w:tc>
        <w:tc>
          <w:tcPr>
            <w:tcW w:w="28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1" w:right="0"/>
              <w:jc w:val="left"/>
              <w:rPr>
                <w:rFonts w:ascii="Arial" w:hAnsi="Arial" w:cs="Arial" w:eastAsia="Arial" w:hint="default"/>
                <w:sz w:val="18"/>
                <w:szCs w:val="18"/>
              </w:rPr>
            </w:pPr>
            <w:r>
              <w:rPr>
                <w:rFonts w:ascii="Arial"/>
                <w:w w:val="99"/>
                <w:sz w:val="18"/>
              </w:rPr>
              <w:t>)</w:t>
            </w:r>
            <w:r>
              <w:rPr>
                <w:rFonts w:ascii="Arial"/>
                <w:sz w:val="18"/>
              </w:rPr>
            </w:r>
          </w:p>
        </w:tc>
      </w:tr>
      <w:tr>
        <w:trPr>
          <w:trHeight w:val="360" w:hRule="exact"/>
        </w:trPr>
        <w:tc>
          <w:tcPr>
            <w:tcW w:w="3844" w:type="dxa"/>
            <w:tcBorders>
              <w:top w:val="nil" w:sz="6" w:space="0" w:color="auto"/>
              <w:left w:val="nil" w:sz="6" w:space="0" w:color="auto"/>
              <w:bottom w:val="nil" w:sz="6" w:space="0" w:color="auto"/>
              <w:right w:val="nil" w:sz="6" w:space="0" w:color="auto"/>
            </w:tcBorders>
          </w:tcPr>
          <w:p>
            <w:pPr>
              <w:pStyle w:val="TableParagraph"/>
              <w:spacing w:line="191" w:lineRule="exact"/>
              <w:ind w:left="55" w:right="0"/>
              <w:jc w:val="left"/>
              <w:rPr>
                <w:rFonts w:ascii="黑体" w:hAnsi="黑体" w:cs="黑体" w:eastAsia="黑体" w:hint="default"/>
                <w:sz w:val="18"/>
                <w:szCs w:val="18"/>
              </w:rPr>
            </w:pPr>
            <w:r>
              <w:rPr>
                <w:rFonts w:ascii="黑体" w:hAnsi="黑体" w:cs="黑体" w:eastAsia="黑体" w:hint="default"/>
                <w:sz w:val="18"/>
                <w:szCs w:val="18"/>
              </w:rPr>
              <w:t>现金流出小计</w:t>
            </w:r>
          </w:p>
        </w:tc>
        <w:tc>
          <w:tcPr>
            <w:tcW w:w="1247"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
              <w:jc w:val="right"/>
              <w:rPr>
                <w:rFonts w:ascii="Arial" w:hAnsi="Arial" w:cs="Arial" w:eastAsia="Arial" w:hint="default"/>
                <w:sz w:val="18"/>
                <w:szCs w:val="18"/>
              </w:rPr>
            </w:pPr>
            <w:r>
              <w:rPr>
                <w:rFonts w:ascii="Arial"/>
                <w:sz w:val="18"/>
              </w:rPr>
              <w:t>(  </w:t>
            </w:r>
            <w:r>
              <w:rPr>
                <w:rFonts w:ascii="Arial"/>
                <w:spacing w:val="44"/>
                <w:sz w:val="18"/>
              </w:rPr>
              <w:t> </w:t>
            </w:r>
            <w:r>
              <w:rPr>
                <w:rFonts w:ascii="Arial"/>
                <w:spacing w:val="44"/>
                <w:sz w:val="18"/>
                <w:u w:val="single" w:color="000000"/>
              </w:rPr>
              <w:t> </w:t>
            </w:r>
            <w:r>
              <w:rPr>
                <w:rFonts w:ascii="Arial"/>
                <w:sz w:val="18"/>
                <w:u w:val="single" w:color="000000"/>
              </w:rPr>
              <w:t>369,036,398</w:t>
            </w:r>
            <w:r>
              <w:rPr>
                <w:rFonts w:ascii="Arial"/>
                <w:sz w:val="18"/>
              </w:rPr>
            </w:r>
          </w:p>
        </w:tc>
        <w:tc>
          <w:tcPr>
            <w:tcW w:w="313" w:type="dxa"/>
            <w:tcBorders>
              <w:top w:val="nil" w:sz="6" w:space="0" w:color="auto"/>
              <w:left w:val="nil" w:sz="6" w:space="0" w:color="auto"/>
              <w:bottom w:val="nil" w:sz="6" w:space="0" w:color="auto"/>
              <w:right w:val="nil" w:sz="6" w:space="0" w:color="auto"/>
            </w:tcBorders>
          </w:tcPr>
          <w:p>
            <w:pPr>
              <w:pStyle w:val="TableParagraph"/>
              <w:spacing w:line="202" w:lineRule="exact"/>
              <w:ind w:left="21" w:right="0"/>
              <w:jc w:val="left"/>
              <w:rPr>
                <w:rFonts w:ascii="Arial" w:hAnsi="Arial" w:cs="Arial" w:eastAsia="Arial" w:hint="default"/>
                <w:sz w:val="18"/>
                <w:szCs w:val="18"/>
              </w:rPr>
            </w:pPr>
            <w:r>
              <w:rPr>
                <w:rFonts w:ascii="Arial"/>
                <w:w w:val="99"/>
                <w:sz w:val="18"/>
              </w:rPr>
              <w:t>)</w:t>
            </w:r>
            <w:r>
              <w:rPr>
                <w:rFonts w:ascii="Arial"/>
                <w:sz w:val="18"/>
              </w:rPr>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
              <w:jc w:val="right"/>
              <w:rPr>
                <w:rFonts w:ascii="Arial" w:hAnsi="Arial" w:cs="Arial" w:eastAsia="Arial" w:hint="default"/>
                <w:sz w:val="18"/>
                <w:szCs w:val="18"/>
              </w:rPr>
            </w:pPr>
            <w:r>
              <w:rPr>
                <w:rFonts w:ascii="Arial"/>
                <w:sz w:val="18"/>
              </w:rPr>
              <w:t>( </w:t>
            </w:r>
            <w:r>
              <w:rPr>
                <w:rFonts w:ascii="Arial"/>
                <w:spacing w:val="24"/>
                <w:sz w:val="18"/>
              </w:rPr>
              <w:t> </w:t>
            </w:r>
            <w:r>
              <w:rPr>
                <w:rFonts w:ascii="Arial"/>
                <w:spacing w:val="24"/>
                <w:sz w:val="18"/>
                <w:u w:val="single" w:color="000000"/>
              </w:rPr>
              <w:t> </w:t>
            </w:r>
            <w:r>
              <w:rPr>
                <w:rFonts w:ascii="Arial"/>
                <w:sz w:val="18"/>
                <w:u w:val="single" w:color="000000"/>
              </w:rPr>
              <w:t>761,149,855</w:t>
            </w:r>
            <w:r>
              <w:rPr>
                <w:rFonts w:ascii="Arial"/>
                <w:sz w:val="18"/>
              </w:rPr>
            </w:r>
          </w:p>
        </w:tc>
        <w:tc>
          <w:tcPr>
            <w:tcW w:w="281"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1" w:right="0"/>
              <w:jc w:val="left"/>
              <w:rPr>
                <w:rFonts w:ascii="Arial" w:hAnsi="Arial" w:cs="Arial" w:eastAsia="Arial" w:hint="default"/>
                <w:sz w:val="18"/>
                <w:szCs w:val="18"/>
              </w:rPr>
            </w:pPr>
            <w:r>
              <w:rPr>
                <w:rFonts w:ascii="Arial"/>
                <w:w w:val="99"/>
                <w:sz w:val="18"/>
              </w:rPr>
              <w:t>)</w:t>
            </w:r>
            <w:r>
              <w:rPr>
                <w:rFonts w:ascii="Arial"/>
                <w:sz w:val="18"/>
              </w:rPr>
            </w:r>
          </w:p>
        </w:tc>
      </w:tr>
      <w:tr>
        <w:trPr>
          <w:trHeight w:val="480" w:hRule="exact"/>
        </w:trPr>
        <w:tc>
          <w:tcPr>
            <w:tcW w:w="384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55" w:right="0"/>
              <w:jc w:val="left"/>
              <w:rPr>
                <w:rFonts w:ascii="黑体" w:hAnsi="黑体" w:cs="黑体" w:eastAsia="黑体" w:hint="default"/>
                <w:sz w:val="18"/>
                <w:szCs w:val="18"/>
              </w:rPr>
            </w:pPr>
            <w:r>
              <w:rPr>
                <w:rFonts w:ascii="黑体" w:hAnsi="黑体" w:cs="黑体" w:eastAsia="黑体" w:hint="default"/>
                <w:sz w:val="18"/>
                <w:szCs w:val="18"/>
              </w:rPr>
              <w:t>投资活动产生的现金流量净额</w:t>
            </w:r>
          </w:p>
        </w:tc>
        <w:tc>
          <w:tcPr>
            <w:tcW w:w="1247"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0"/>
              <w:jc w:val="right"/>
              <w:rPr>
                <w:rFonts w:ascii="Arial" w:hAnsi="Arial" w:cs="Arial" w:eastAsia="Arial" w:hint="default"/>
                <w:sz w:val="18"/>
                <w:szCs w:val="18"/>
              </w:rPr>
            </w:pPr>
            <w:r>
              <w:rPr>
                <w:rFonts w:ascii="Arial"/>
                <w:sz w:val="18"/>
              </w:rPr>
              <w:t>(  </w:t>
            </w:r>
            <w:r>
              <w:rPr>
                <w:rFonts w:ascii="Arial"/>
                <w:spacing w:val="25"/>
                <w:sz w:val="18"/>
              </w:rPr>
              <w:t> </w:t>
            </w:r>
            <w:r>
              <w:rPr>
                <w:rFonts w:ascii="Arial"/>
                <w:spacing w:val="25"/>
                <w:sz w:val="18"/>
                <w:u w:val="single" w:color="000000"/>
              </w:rPr>
              <w:t> </w:t>
            </w:r>
            <w:r>
              <w:rPr>
                <w:rFonts w:ascii="Arial"/>
                <w:sz w:val="18"/>
                <w:u w:val="single" w:color="000000"/>
              </w:rPr>
              <w:t>272,642,273</w:t>
            </w:r>
            <w:r>
              <w:rPr>
                <w:rFonts w:ascii="Arial"/>
                <w:sz w:val="18"/>
              </w:rPr>
            </w:r>
          </w:p>
        </w:tc>
        <w:tc>
          <w:tcPr>
            <w:tcW w:w="313"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12" w:right="0"/>
              <w:jc w:val="left"/>
              <w:rPr>
                <w:rFonts w:ascii="Arial" w:hAnsi="Arial" w:cs="Arial" w:eastAsia="Arial" w:hint="default"/>
                <w:sz w:val="18"/>
                <w:szCs w:val="18"/>
              </w:rPr>
            </w:pPr>
            <w:r>
              <w:rPr>
                <w:rFonts w:ascii="Arial"/>
                <w:w w:val="99"/>
                <w:sz w:val="18"/>
              </w:rPr>
              <w:t>)</w:t>
            </w:r>
            <w:r>
              <w:rPr>
                <w:rFonts w:ascii="Arial"/>
                <w:sz w:val="18"/>
              </w:rPr>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0"/>
              <w:jc w:val="right"/>
              <w:rPr>
                <w:rFonts w:ascii="Arial" w:hAnsi="Arial" w:cs="Arial" w:eastAsia="Arial" w:hint="default"/>
                <w:sz w:val="18"/>
                <w:szCs w:val="18"/>
              </w:rPr>
            </w:pPr>
            <w:r>
              <w:rPr>
                <w:rFonts w:ascii="Arial"/>
                <w:sz w:val="18"/>
              </w:rPr>
              <w:t>( </w:t>
            </w:r>
            <w:r>
              <w:rPr>
                <w:rFonts w:ascii="Arial"/>
                <w:spacing w:val="24"/>
                <w:sz w:val="18"/>
              </w:rPr>
              <w:t> </w:t>
            </w:r>
            <w:r>
              <w:rPr>
                <w:rFonts w:ascii="Arial"/>
                <w:spacing w:val="24"/>
                <w:sz w:val="18"/>
                <w:u w:val="single" w:color="000000"/>
              </w:rPr>
              <w:t> </w:t>
            </w:r>
            <w:r>
              <w:rPr>
                <w:rFonts w:ascii="Arial"/>
                <w:sz w:val="18"/>
                <w:u w:val="single" w:color="000000"/>
              </w:rPr>
              <w:t>712,433,127</w:t>
            </w:r>
            <w:r>
              <w:rPr>
                <w:rFonts w:ascii="Arial"/>
                <w:sz w:val="18"/>
              </w:rPr>
            </w:r>
          </w:p>
        </w:tc>
        <w:tc>
          <w:tcPr>
            <w:tcW w:w="281"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11" w:right="0"/>
              <w:jc w:val="left"/>
              <w:rPr>
                <w:rFonts w:ascii="Arial" w:hAnsi="Arial" w:cs="Arial" w:eastAsia="Arial" w:hint="default"/>
                <w:sz w:val="18"/>
                <w:szCs w:val="18"/>
              </w:rPr>
            </w:pPr>
            <w:r>
              <w:rPr>
                <w:rFonts w:ascii="Arial"/>
                <w:w w:val="99"/>
                <w:sz w:val="18"/>
              </w:rPr>
              <w:t>)</w:t>
            </w:r>
            <w:r>
              <w:rPr>
                <w:rFonts w:ascii="Arial"/>
                <w:sz w:val="18"/>
              </w:rPr>
            </w:r>
          </w:p>
        </w:tc>
      </w:tr>
      <w:tr>
        <w:trPr>
          <w:trHeight w:val="466" w:hRule="exact"/>
        </w:trPr>
        <w:tc>
          <w:tcPr>
            <w:tcW w:w="3844" w:type="dxa"/>
            <w:tcBorders>
              <w:top w:val="nil" w:sz="6" w:space="0" w:color="auto"/>
              <w:left w:val="nil" w:sz="6" w:space="0" w:color="auto"/>
              <w:bottom w:val="nil" w:sz="6" w:space="0" w:color="auto"/>
              <w:right w:val="nil" w:sz="6" w:space="0" w:color="auto"/>
            </w:tcBorders>
          </w:tcPr>
          <w:p>
            <w:pPr>
              <w:pStyle w:val="TableParagraph"/>
              <w:spacing w:line="240" w:lineRule="auto" w:before="80"/>
              <w:ind w:left="55" w:right="0"/>
              <w:jc w:val="left"/>
              <w:rPr>
                <w:rFonts w:ascii="Arial" w:hAnsi="Arial" w:cs="Arial" w:eastAsia="Arial" w:hint="default"/>
                <w:sz w:val="18"/>
                <w:szCs w:val="18"/>
              </w:rPr>
            </w:pPr>
            <w:r>
              <w:rPr>
                <w:rFonts w:ascii="黑体" w:hAnsi="黑体" w:cs="黑体" w:eastAsia="黑体" w:hint="default"/>
                <w:sz w:val="18"/>
                <w:szCs w:val="18"/>
              </w:rPr>
              <w:t>三、筹资活动产生的现金流量</w:t>
            </w:r>
            <w:r>
              <w:rPr>
                <w:rFonts w:ascii="Arial" w:hAnsi="Arial" w:cs="Arial" w:eastAsia="Arial" w:hint="default"/>
                <w:sz w:val="18"/>
                <w:szCs w:val="18"/>
              </w:rPr>
              <w:t>:</w:t>
            </w:r>
          </w:p>
        </w:tc>
        <w:tc>
          <w:tcPr>
            <w:tcW w:w="1247"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
        </w:tc>
        <w:tc>
          <w:tcPr>
            <w:tcW w:w="313"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r>
      <w:tr>
        <w:trPr>
          <w:trHeight w:val="365" w:hRule="exact"/>
        </w:trPr>
        <w:tc>
          <w:tcPr>
            <w:tcW w:w="3844" w:type="dxa"/>
            <w:tcBorders>
              <w:top w:val="nil" w:sz="6" w:space="0" w:color="auto"/>
              <w:left w:val="nil" w:sz="6" w:space="0" w:color="auto"/>
              <w:bottom w:val="nil" w:sz="6" w:space="0" w:color="auto"/>
              <w:right w:val="nil" w:sz="6" w:space="0" w:color="auto"/>
            </w:tcBorders>
          </w:tcPr>
          <w:p>
            <w:pPr>
              <w:pStyle w:val="TableParagraph"/>
              <w:spacing w:line="240" w:lineRule="auto" w:before="91"/>
              <w:ind w:left="55" w:right="0"/>
              <w:jc w:val="left"/>
              <w:rPr>
                <w:rFonts w:ascii="黑体" w:hAnsi="黑体" w:cs="黑体" w:eastAsia="黑体" w:hint="default"/>
                <w:sz w:val="18"/>
                <w:szCs w:val="18"/>
              </w:rPr>
            </w:pPr>
            <w:r>
              <w:rPr>
                <w:rFonts w:ascii="黑体" w:hAnsi="黑体" w:cs="黑体" w:eastAsia="黑体" w:hint="default"/>
                <w:sz w:val="18"/>
                <w:szCs w:val="18"/>
              </w:rPr>
              <w:t>取得借款所收到的现金</w:t>
            </w:r>
          </w:p>
        </w:tc>
        <w:tc>
          <w:tcPr>
            <w:tcW w:w="1247"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4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9"/>
                <w:sz w:val="18"/>
                <w:u w:val="single" w:color="000000"/>
              </w:rPr>
              <w:t> </w:t>
            </w:r>
            <w:r>
              <w:rPr>
                <w:rFonts w:ascii="Arial"/>
                <w:spacing w:val="-1"/>
                <w:sz w:val="18"/>
                <w:u w:val="single" w:color="000000"/>
              </w:rPr>
              <w:t>2,468,763,319</w:t>
            </w:r>
            <w:r>
              <w:rPr>
                <w:rFonts w:ascii="Arial"/>
                <w:spacing w:val="-1"/>
                <w:sz w:val="18"/>
              </w:rPr>
            </w:r>
          </w:p>
        </w:tc>
        <w:tc>
          <w:tcPr>
            <w:tcW w:w="313"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9"/>
                <w:sz w:val="18"/>
                <w:u w:val="single" w:color="000000"/>
              </w:rPr>
              <w:t> </w:t>
            </w:r>
            <w:r>
              <w:rPr>
                <w:rFonts w:ascii="Arial"/>
                <w:spacing w:val="-1"/>
                <w:sz w:val="18"/>
                <w:u w:val="single" w:color="000000"/>
              </w:rPr>
              <w:t>910,000,000</w:t>
            </w:r>
            <w:r>
              <w:rPr>
                <w:rFonts w:ascii="Arial"/>
                <w:spacing w:val="-1"/>
                <w:sz w:val="18"/>
              </w:rPr>
            </w:r>
          </w:p>
        </w:tc>
        <w:tc>
          <w:tcPr>
            <w:tcW w:w="281" w:type="dxa"/>
            <w:tcBorders>
              <w:top w:val="nil" w:sz="6" w:space="0" w:color="auto"/>
              <w:left w:val="nil" w:sz="6" w:space="0" w:color="auto"/>
              <w:bottom w:val="nil" w:sz="6" w:space="0" w:color="auto"/>
              <w:right w:val="nil" w:sz="6" w:space="0" w:color="auto"/>
            </w:tcBorders>
          </w:tcPr>
          <w:p>
            <w:pPr/>
          </w:p>
        </w:tc>
      </w:tr>
      <w:tr>
        <w:trPr>
          <w:trHeight w:val="355" w:hRule="exact"/>
        </w:trPr>
        <w:tc>
          <w:tcPr>
            <w:tcW w:w="3844" w:type="dxa"/>
            <w:tcBorders>
              <w:top w:val="nil" w:sz="6" w:space="0" w:color="auto"/>
              <w:left w:val="nil" w:sz="6" w:space="0" w:color="auto"/>
              <w:bottom w:val="nil" w:sz="6" w:space="0" w:color="auto"/>
              <w:right w:val="nil" w:sz="6" w:space="0" w:color="auto"/>
            </w:tcBorders>
          </w:tcPr>
          <w:p>
            <w:pPr>
              <w:pStyle w:val="TableParagraph"/>
              <w:spacing w:line="200" w:lineRule="exact"/>
              <w:ind w:left="55" w:right="0"/>
              <w:jc w:val="left"/>
              <w:rPr>
                <w:rFonts w:ascii="黑体" w:hAnsi="黑体" w:cs="黑体" w:eastAsia="黑体" w:hint="default"/>
                <w:sz w:val="18"/>
                <w:szCs w:val="18"/>
              </w:rPr>
            </w:pPr>
            <w:r>
              <w:rPr>
                <w:rFonts w:ascii="黑体" w:hAnsi="黑体" w:cs="黑体" w:eastAsia="黑体" w:hint="default"/>
                <w:sz w:val="18"/>
                <w:szCs w:val="18"/>
              </w:rPr>
              <w:t>现金流入小计</w:t>
            </w:r>
          </w:p>
        </w:tc>
        <w:tc>
          <w:tcPr>
            <w:tcW w:w="1247"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198" w:lineRule="exact"/>
              <w:ind w:right="4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9"/>
                <w:sz w:val="18"/>
                <w:u w:val="single" w:color="000000"/>
              </w:rPr>
              <w:t> </w:t>
            </w:r>
            <w:r>
              <w:rPr>
                <w:rFonts w:ascii="Arial"/>
                <w:spacing w:val="-1"/>
                <w:sz w:val="18"/>
                <w:u w:val="single" w:color="000000"/>
              </w:rPr>
              <w:t>2,468,763,319</w:t>
            </w:r>
            <w:r>
              <w:rPr>
                <w:rFonts w:ascii="Arial"/>
                <w:spacing w:val="-1"/>
                <w:sz w:val="18"/>
              </w:rPr>
            </w:r>
          </w:p>
        </w:tc>
        <w:tc>
          <w:tcPr>
            <w:tcW w:w="313"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9"/>
                <w:sz w:val="18"/>
                <w:u w:val="single" w:color="000000"/>
              </w:rPr>
              <w:t> </w:t>
            </w:r>
            <w:r>
              <w:rPr>
                <w:rFonts w:ascii="Arial"/>
                <w:spacing w:val="-1"/>
                <w:sz w:val="18"/>
                <w:u w:val="single" w:color="000000"/>
              </w:rPr>
              <w:t>910,000,000</w:t>
            </w:r>
            <w:r>
              <w:rPr>
                <w:rFonts w:ascii="Arial"/>
                <w:spacing w:val="-1"/>
                <w:sz w:val="18"/>
              </w:rPr>
            </w:r>
          </w:p>
        </w:tc>
        <w:tc>
          <w:tcPr>
            <w:tcW w:w="281" w:type="dxa"/>
            <w:tcBorders>
              <w:top w:val="nil" w:sz="6" w:space="0" w:color="auto"/>
              <w:left w:val="nil" w:sz="6" w:space="0" w:color="auto"/>
              <w:bottom w:val="nil" w:sz="6" w:space="0" w:color="auto"/>
              <w:right w:val="nil" w:sz="6" w:space="0" w:color="auto"/>
            </w:tcBorders>
          </w:tcPr>
          <w:p>
            <w:pPr/>
          </w:p>
        </w:tc>
      </w:tr>
      <w:tr>
        <w:trPr>
          <w:trHeight w:val="356" w:hRule="exact"/>
        </w:trPr>
        <w:tc>
          <w:tcPr>
            <w:tcW w:w="384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55" w:right="0"/>
              <w:jc w:val="left"/>
              <w:rPr>
                <w:rFonts w:ascii="黑体" w:hAnsi="黑体" w:cs="黑体" w:eastAsia="黑体" w:hint="default"/>
                <w:sz w:val="18"/>
                <w:szCs w:val="18"/>
              </w:rPr>
            </w:pPr>
            <w:r>
              <w:rPr>
                <w:rFonts w:ascii="黑体" w:hAnsi="黑体" w:cs="黑体" w:eastAsia="黑体" w:hint="default"/>
                <w:sz w:val="18"/>
                <w:szCs w:val="18"/>
              </w:rPr>
              <w:t>偿还债务支付的现金</w:t>
            </w:r>
          </w:p>
        </w:tc>
        <w:tc>
          <w:tcPr>
            <w:tcW w:w="1247"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41"/>
              <w:jc w:val="right"/>
              <w:rPr>
                <w:rFonts w:ascii="Arial" w:hAnsi="Arial" w:cs="Arial" w:eastAsia="Arial" w:hint="default"/>
                <w:sz w:val="18"/>
                <w:szCs w:val="18"/>
              </w:rPr>
            </w:pPr>
            <w:r>
              <w:rPr>
                <w:rFonts w:ascii="Arial"/>
                <w:sz w:val="18"/>
              </w:rPr>
              <w:t>(</w:t>
            </w:r>
            <w:r>
              <w:rPr>
                <w:rFonts w:ascii="Arial"/>
                <w:spacing w:val="-7"/>
                <w:sz w:val="18"/>
              </w:rPr>
              <w:t> </w:t>
            </w:r>
            <w:r>
              <w:rPr>
                <w:rFonts w:ascii="Arial"/>
                <w:sz w:val="18"/>
              </w:rPr>
              <w:t>1,870,000,000</w:t>
            </w:r>
          </w:p>
        </w:tc>
        <w:tc>
          <w:tcPr>
            <w:tcW w:w="313"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2" w:right="0"/>
              <w:jc w:val="left"/>
              <w:rPr>
                <w:rFonts w:ascii="Arial" w:hAnsi="Arial" w:cs="Arial" w:eastAsia="Arial" w:hint="default"/>
                <w:sz w:val="18"/>
                <w:szCs w:val="18"/>
              </w:rPr>
            </w:pPr>
            <w:r>
              <w:rPr>
                <w:rFonts w:ascii="Arial"/>
                <w:w w:val="99"/>
                <w:sz w:val="18"/>
              </w:rPr>
              <w:t>)</w:t>
            </w:r>
            <w:r>
              <w:rPr>
                <w:rFonts w:ascii="Arial"/>
                <w:sz w:val="18"/>
              </w:rPr>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1"/>
              <w:jc w:val="right"/>
              <w:rPr>
                <w:rFonts w:ascii="Arial" w:hAnsi="Arial" w:cs="Arial" w:eastAsia="Arial" w:hint="default"/>
                <w:sz w:val="18"/>
                <w:szCs w:val="18"/>
              </w:rPr>
            </w:pPr>
            <w:r>
              <w:rPr>
                <w:rFonts w:ascii="Arial"/>
                <w:sz w:val="18"/>
              </w:rPr>
              <w:t>(  </w:t>
            </w:r>
            <w:r>
              <w:rPr>
                <w:rFonts w:ascii="Arial"/>
                <w:spacing w:val="25"/>
                <w:sz w:val="18"/>
              </w:rPr>
              <w:t> </w:t>
            </w:r>
            <w:r>
              <w:rPr>
                <w:rFonts w:ascii="Arial"/>
                <w:sz w:val="18"/>
              </w:rPr>
              <w:t>590,000,000</w:t>
            </w:r>
          </w:p>
        </w:tc>
        <w:tc>
          <w:tcPr>
            <w:tcW w:w="281"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11" w:right="0"/>
              <w:jc w:val="left"/>
              <w:rPr>
                <w:rFonts w:ascii="Arial" w:hAnsi="Arial" w:cs="Arial" w:eastAsia="Arial" w:hint="default"/>
                <w:sz w:val="18"/>
                <w:szCs w:val="18"/>
              </w:rPr>
            </w:pPr>
            <w:r>
              <w:rPr>
                <w:rFonts w:ascii="Arial"/>
                <w:w w:val="99"/>
                <w:sz w:val="18"/>
              </w:rPr>
              <w:t>)</w:t>
            </w:r>
            <w:r>
              <w:rPr>
                <w:rFonts w:ascii="Arial"/>
                <w:sz w:val="18"/>
              </w:rPr>
            </w:r>
          </w:p>
        </w:tc>
      </w:tr>
      <w:tr>
        <w:trPr>
          <w:trHeight w:val="239" w:hRule="exact"/>
        </w:trPr>
        <w:tc>
          <w:tcPr>
            <w:tcW w:w="3844" w:type="dxa"/>
            <w:tcBorders>
              <w:top w:val="nil" w:sz="6" w:space="0" w:color="auto"/>
              <w:left w:val="nil" w:sz="6" w:space="0" w:color="auto"/>
              <w:bottom w:val="nil" w:sz="6" w:space="0" w:color="auto"/>
              <w:right w:val="nil" w:sz="6" w:space="0" w:color="auto"/>
            </w:tcBorders>
          </w:tcPr>
          <w:p>
            <w:pPr>
              <w:pStyle w:val="TableParagraph"/>
              <w:spacing w:line="201" w:lineRule="exact"/>
              <w:ind w:left="55" w:right="0"/>
              <w:jc w:val="left"/>
              <w:rPr>
                <w:rFonts w:ascii="黑体" w:hAnsi="黑体" w:cs="黑体" w:eastAsia="黑体" w:hint="default"/>
                <w:sz w:val="18"/>
                <w:szCs w:val="18"/>
              </w:rPr>
            </w:pPr>
            <w:r>
              <w:rPr>
                <w:rFonts w:ascii="黑体" w:hAnsi="黑体" w:cs="黑体" w:eastAsia="黑体" w:hint="default"/>
                <w:sz w:val="18"/>
                <w:szCs w:val="18"/>
              </w:rPr>
              <w:t>分配股利和偿付利息所支付的现金</w:t>
            </w:r>
          </w:p>
        </w:tc>
        <w:tc>
          <w:tcPr>
            <w:tcW w:w="1247"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tabs>
                <w:tab w:pos="261" w:val="left" w:leader="none"/>
              </w:tabs>
              <w:spacing w:line="202" w:lineRule="exact"/>
              <w:ind w:right="41"/>
              <w:jc w:val="right"/>
              <w:rPr>
                <w:rFonts w:ascii="Arial" w:hAnsi="Arial" w:cs="Arial" w:eastAsia="Arial" w:hint="default"/>
                <w:sz w:val="18"/>
                <w:szCs w:val="18"/>
              </w:rPr>
            </w:pPr>
            <w:r>
              <w:rPr>
                <w:rFonts w:ascii="Arial"/>
                <w:sz w:val="18"/>
              </w:rPr>
              <w:t>(</w:t>
              <w:tab/>
            </w:r>
            <w:r>
              <w:rPr>
                <w:rFonts w:ascii="Arial"/>
                <w:spacing w:val="-1"/>
                <w:sz w:val="18"/>
              </w:rPr>
              <w:t>405,547,863</w:t>
            </w:r>
          </w:p>
        </w:tc>
        <w:tc>
          <w:tcPr>
            <w:tcW w:w="313" w:type="dxa"/>
            <w:tcBorders>
              <w:top w:val="nil" w:sz="6" w:space="0" w:color="auto"/>
              <w:left w:val="nil" w:sz="6" w:space="0" w:color="auto"/>
              <w:bottom w:val="nil" w:sz="6" w:space="0" w:color="auto"/>
              <w:right w:val="nil" w:sz="6" w:space="0" w:color="auto"/>
            </w:tcBorders>
          </w:tcPr>
          <w:p>
            <w:pPr>
              <w:pStyle w:val="TableParagraph"/>
              <w:spacing w:line="197" w:lineRule="exact"/>
              <w:ind w:left="12" w:right="0"/>
              <w:jc w:val="left"/>
              <w:rPr>
                <w:rFonts w:ascii="Arial" w:hAnsi="Arial" w:cs="Arial" w:eastAsia="Arial" w:hint="default"/>
                <w:sz w:val="18"/>
                <w:szCs w:val="18"/>
              </w:rPr>
            </w:pPr>
            <w:r>
              <w:rPr>
                <w:rFonts w:ascii="Arial"/>
                <w:w w:val="99"/>
                <w:sz w:val="18"/>
              </w:rPr>
              <w:t>)</w:t>
            </w:r>
            <w:r>
              <w:rPr>
                <w:rFonts w:ascii="Arial"/>
                <w:sz w:val="18"/>
              </w:rPr>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
              <w:jc w:val="right"/>
              <w:rPr>
                <w:rFonts w:ascii="Arial" w:hAnsi="Arial" w:cs="Arial" w:eastAsia="Arial" w:hint="default"/>
                <w:sz w:val="18"/>
                <w:szCs w:val="18"/>
              </w:rPr>
            </w:pPr>
            <w:r>
              <w:rPr>
                <w:rFonts w:ascii="Arial"/>
                <w:sz w:val="18"/>
              </w:rPr>
              <w:t>(  </w:t>
            </w:r>
            <w:r>
              <w:rPr>
                <w:rFonts w:ascii="Arial"/>
                <w:spacing w:val="25"/>
                <w:sz w:val="18"/>
              </w:rPr>
              <w:t> </w:t>
            </w:r>
            <w:r>
              <w:rPr>
                <w:rFonts w:ascii="Arial"/>
                <w:sz w:val="18"/>
              </w:rPr>
              <w:t>222,310,354</w:t>
            </w:r>
          </w:p>
        </w:tc>
        <w:tc>
          <w:tcPr>
            <w:tcW w:w="28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1" w:right="0"/>
              <w:jc w:val="left"/>
              <w:rPr>
                <w:rFonts w:ascii="Arial" w:hAnsi="Arial" w:cs="Arial" w:eastAsia="Arial" w:hint="default"/>
                <w:sz w:val="18"/>
                <w:szCs w:val="18"/>
              </w:rPr>
            </w:pPr>
            <w:r>
              <w:rPr>
                <w:rFonts w:ascii="Arial"/>
                <w:w w:val="99"/>
                <w:sz w:val="18"/>
              </w:rPr>
              <w:t>)</w:t>
            </w:r>
            <w:r>
              <w:rPr>
                <w:rFonts w:ascii="Arial"/>
                <w:sz w:val="18"/>
              </w:rPr>
            </w:r>
          </w:p>
        </w:tc>
      </w:tr>
      <w:tr>
        <w:trPr>
          <w:trHeight w:val="238" w:hRule="exact"/>
        </w:trPr>
        <w:tc>
          <w:tcPr>
            <w:tcW w:w="3844" w:type="dxa"/>
            <w:tcBorders>
              <w:top w:val="nil" w:sz="6" w:space="0" w:color="auto"/>
              <w:left w:val="nil" w:sz="6" w:space="0" w:color="auto"/>
              <w:bottom w:val="nil" w:sz="6" w:space="0" w:color="auto"/>
              <w:right w:val="nil" w:sz="6" w:space="0" w:color="auto"/>
            </w:tcBorders>
          </w:tcPr>
          <w:p>
            <w:pPr>
              <w:pStyle w:val="TableParagraph"/>
              <w:spacing w:line="200" w:lineRule="exact"/>
              <w:ind w:left="55" w:right="0"/>
              <w:jc w:val="left"/>
              <w:rPr>
                <w:rFonts w:ascii="黑体" w:hAnsi="黑体" w:cs="黑体" w:eastAsia="黑体" w:hint="default"/>
                <w:sz w:val="18"/>
                <w:szCs w:val="18"/>
              </w:rPr>
            </w:pPr>
            <w:r>
              <w:rPr>
                <w:rFonts w:ascii="黑体" w:hAnsi="黑体" w:cs="黑体" w:eastAsia="黑体" w:hint="default"/>
                <w:sz w:val="18"/>
                <w:szCs w:val="18"/>
              </w:rPr>
              <w:t>支付的其他与筹资活动有关的现金</w:t>
            </w:r>
          </w:p>
        </w:tc>
        <w:tc>
          <w:tcPr>
            <w:tcW w:w="1247"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tabs>
                <w:tab w:pos="362" w:val="left" w:leader="none"/>
              </w:tabs>
              <w:spacing w:line="201" w:lineRule="exact"/>
              <w:ind w:right="41"/>
              <w:jc w:val="right"/>
              <w:rPr>
                <w:rFonts w:ascii="Arial" w:hAnsi="Arial" w:cs="Arial" w:eastAsia="Arial" w:hint="default"/>
                <w:sz w:val="18"/>
                <w:szCs w:val="18"/>
              </w:rPr>
            </w:pPr>
            <w:r>
              <w:rPr>
                <w:rFonts w:ascii="Arial"/>
                <w:sz w:val="18"/>
              </w:rPr>
              <w:t>(</w:t>
            </w:r>
            <w:r>
              <w:rPr>
                <w:rFonts w:ascii="Arial"/>
                <w:sz w:val="18"/>
                <w:u w:val="single" w:color="000000"/>
              </w:rPr>
              <w:t> </w:t>
              <w:tab/>
            </w:r>
            <w:r>
              <w:rPr>
                <w:rFonts w:ascii="Arial"/>
                <w:spacing w:val="-1"/>
                <w:sz w:val="18"/>
                <w:u w:val="single" w:color="000000"/>
              </w:rPr>
              <w:t>20,001,895</w:t>
            </w:r>
            <w:r>
              <w:rPr>
                <w:rFonts w:ascii="Arial"/>
                <w:spacing w:val="-1"/>
                <w:sz w:val="18"/>
              </w:rPr>
            </w:r>
          </w:p>
        </w:tc>
        <w:tc>
          <w:tcPr>
            <w:tcW w:w="313" w:type="dxa"/>
            <w:tcBorders>
              <w:top w:val="nil" w:sz="6" w:space="0" w:color="auto"/>
              <w:left w:val="nil" w:sz="6" w:space="0" w:color="auto"/>
              <w:bottom w:val="nil" w:sz="6" w:space="0" w:color="auto"/>
              <w:right w:val="nil" w:sz="6" w:space="0" w:color="auto"/>
            </w:tcBorders>
          </w:tcPr>
          <w:p>
            <w:pPr>
              <w:pStyle w:val="TableParagraph"/>
              <w:spacing w:line="198" w:lineRule="exact"/>
              <w:ind w:left="12" w:right="0"/>
              <w:jc w:val="left"/>
              <w:rPr>
                <w:rFonts w:ascii="Arial" w:hAnsi="Arial" w:cs="Arial" w:eastAsia="Arial" w:hint="default"/>
                <w:sz w:val="18"/>
                <w:szCs w:val="18"/>
              </w:rPr>
            </w:pPr>
            <w:r>
              <w:rPr>
                <w:rFonts w:ascii="Arial"/>
                <w:w w:val="99"/>
                <w:sz w:val="18"/>
              </w:rPr>
              <w:t>)</w:t>
            </w:r>
            <w:r>
              <w:rPr>
                <w:rFonts w:ascii="Arial"/>
                <w:sz w:val="18"/>
              </w:rPr>
            </w:r>
          </w:p>
        </w:tc>
        <w:tc>
          <w:tcPr>
            <w:tcW w:w="1487" w:type="dxa"/>
            <w:tcBorders>
              <w:top w:val="nil" w:sz="6" w:space="0" w:color="auto"/>
              <w:left w:val="nil" w:sz="6" w:space="0" w:color="auto"/>
              <w:bottom w:val="nil" w:sz="6" w:space="0" w:color="auto"/>
              <w:right w:val="nil" w:sz="6" w:space="0" w:color="auto"/>
            </w:tcBorders>
          </w:tcPr>
          <w:p>
            <w:pPr>
              <w:pStyle w:val="TableParagraph"/>
              <w:tabs>
                <w:tab w:pos="436" w:val="left" w:leader="none"/>
              </w:tabs>
              <w:spacing w:line="240" w:lineRule="auto" w:before="20"/>
              <w:ind w:right="11"/>
              <w:jc w:val="right"/>
              <w:rPr>
                <w:rFonts w:ascii="Arial" w:hAnsi="Arial" w:cs="Arial" w:eastAsia="Arial" w:hint="default"/>
                <w:sz w:val="18"/>
                <w:szCs w:val="18"/>
              </w:rPr>
            </w:pPr>
            <w:r>
              <w:rPr>
                <w:rFonts w:ascii="Arial"/>
                <w:sz w:val="18"/>
              </w:rPr>
              <w:t>(</w:t>
            </w:r>
            <w:r>
              <w:rPr>
                <w:rFonts w:ascii="Arial"/>
                <w:sz w:val="18"/>
                <w:u w:val="single" w:color="000000"/>
              </w:rPr>
              <w:t> </w:t>
              <w:tab/>
            </w:r>
            <w:r>
              <w:rPr>
                <w:rFonts w:ascii="Arial"/>
                <w:spacing w:val="-1"/>
                <w:sz w:val="18"/>
                <w:u w:val="single" w:color="000000"/>
              </w:rPr>
              <w:t>2,507,167</w:t>
            </w:r>
            <w:r>
              <w:rPr>
                <w:rFonts w:ascii="Arial"/>
                <w:spacing w:val="-1"/>
                <w:sz w:val="18"/>
              </w:rPr>
            </w:r>
          </w:p>
        </w:tc>
        <w:tc>
          <w:tcPr>
            <w:tcW w:w="28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 w:right="0"/>
              <w:jc w:val="left"/>
              <w:rPr>
                <w:rFonts w:ascii="Arial" w:hAnsi="Arial" w:cs="Arial" w:eastAsia="Arial" w:hint="default"/>
                <w:sz w:val="18"/>
                <w:szCs w:val="18"/>
              </w:rPr>
            </w:pPr>
            <w:r>
              <w:rPr>
                <w:rFonts w:ascii="Arial"/>
                <w:w w:val="99"/>
                <w:sz w:val="18"/>
              </w:rPr>
              <w:t>)</w:t>
            </w:r>
            <w:r>
              <w:rPr>
                <w:rFonts w:ascii="Arial"/>
                <w:sz w:val="18"/>
              </w:rPr>
            </w:r>
          </w:p>
        </w:tc>
      </w:tr>
      <w:tr>
        <w:trPr>
          <w:trHeight w:val="359" w:hRule="exact"/>
        </w:trPr>
        <w:tc>
          <w:tcPr>
            <w:tcW w:w="3844" w:type="dxa"/>
            <w:tcBorders>
              <w:top w:val="nil" w:sz="6" w:space="0" w:color="auto"/>
              <w:left w:val="nil" w:sz="6" w:space="0" w:color="auto"/>
              <w:bottom w:val="nil" w:sz="6" w:space="0" w:color="auto"/>
              <w:right w:val="nil" w:sz="6" w:space="0" w:color="auto"/>
            </w:tcBorders>
          </w:tcPr>
          <w:p>
            <w:pPr>
              <w:pStyle w:val="TableParagraph"/>
              <w:spacing w:line="202" w:lineRule="exact"/>
              <w:ind w:left="55" w:right="0"/>
              <w:jc w:val="left"/>
              <w:rPr>
                <w:rFonts w:ascii="黑体" w:hAnsi="黑体" w:cs="黑体" w:eastAsia="黑体" w:hint="default"/>
                <w:sz w:val="18"/>
                <w:szCs w:val="18"/>
              </w:rPr>
            </w:pPr>
            <w:r>
              <w:rPr>
                <w:rFonts w:ascii="黑体" w:hAnsi="黑体" w:cs="黑体" w:eastAsia="黑体" w:hint="default"/>
                <w:sz w:val="18"/>
                <w:szCs w:val="18"/>
              </w:rPr>
              <w:t>现金流出小计</w:t>
            </w:r>
          </w:p>
        </w:tc>
        <w:tc>
          <w:tcPr>
            <w:tcW w:w="1247"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01" w:lineRule="exact"/>
              <w:ind w:right="41"/>
              <w:jc w:val="right"/>
              <w:rPr>
                <w:rFonts w:ascii="Arial" w:hAnsi="Arial" w:cs="Arial" w:eastAsia="Arial" w:hint="default"/>
                <w:sz w:val="18"/>
                <w:szCs w:val="18"/>
              </w:rPr>
            </w:pPr>
            <w:r>
              <w:rPr>
                <w:rFonts w:ascii="Arial"/>
                <w:sz w:val="18"/>
              </w:rPr>
              <w:t>(</w:t>
            </w:r>
            <w:r>
              <w:rPr>
                <w:rFonts w:ascii="Arial"/>
                <w:spacing w:val="-7"/>
                <w:sz w:val="18"/>
              </w:rPr>
              <w:t> </w:t>
            </w:r>
            <w:r>
              <w:rPr>
                <w:rFonts w:ascii="Arial"/>
                <w:spacing w:val="-7"/>
                <w:sz w:val="18"/>
                <w:u w:val="single" w:color="000000"/>
              </w:rPr>
              <w:t> </w:t>
            </w:r>
            <w:r>
              <w:rPr>
                <w:rFonts w:ascii="Arial"/>
                <w:sz w:val="18"/>
                <w:u w:val="single" w:color="000000"/>
              </w:rPr>
              <w:t>2,295,549,758</w:t>
            </w:r>
            <w:r>
              <w:rPr>
                <w:rFonts w:ascii="Arial"/>
                <w:sz w:val="18"/>
              </w:rPr>
            </w:r>
          </w:p>
        </w:tc>
        <w:tc>
          <w:tcPr>
            <w:tcW w:w="313" w:type="dxa"/>
            <w:tcBorders>
              <w:top w:val="nil" w:sz="6" w:space="0" w:color="auto"/>
              <w:left w:val="nil" w:sz="6" w:space="0" w:color="auto"/>
              <w:bottom w:val="nil" w:sz="6" w:space="0" w:color="auto"/>
              <w:right w:val="nil" w:sz="6" w:space="0" w:color="auto"/>
            </w:tcBorders>
          </w:tcPr>
          <w:p>
            <w:pPr>
              <w:pStyle w:val="TableParagraph"/>
              <w:spacing w:line="198" w:lineRule="exact"/>
              <w:ind w:left="12" w:right="0"/>
              <w:jc w:val="left"/>
              <w:rPr>
                <w:rFonts w:ascii="Arial" w:hAnsi="Arial" w:cs="Arial" w:eastAsia="Arial" w:hint="default"/>
                <w:sz w:val="18"/>
                <w:szCs w:val="18"/>
              </w:rPr>
            </w:pPr>
            <w:r>
              <w:rPr>
                <w:rFonts w:ascii="Arial"/>
                <w:w w:val="99"/>
                <w:sz w:val="18"/>
              </w:rPr>
              <w:t>)</w:t>
            </w:r>
            <w:r>
              <w:rPr>
                <w:rFonts w:ascii="Arial"/>
                <w:sz w:val="18"/>
              </w:rPr>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
              <w:jc w:val="right"/>
              <w:rPr>
                <w:rFonts w:ascii="Arial" w:hAnsi="Arial" w:cs="Arial" w:eastAsia="Arial" w:hint="default"/>
                <w:sz w:val="18"/>
                <w:szCs w:val="18"/>
              </w:rPr>
            </w:pPr>
            <w:r>
              <w:rPr>
                <w:rFonts w:ascii="Arial"/>
                <w:sz w:val="18"/>
              </w:rPr>
              <w:t>(  </w:t>
            </w:r>
            <w:r>
              <w:rPr>
                <w:rFonts w:ascii="Arial"/>
                <w:spacing w:val="25"/>
                <w:sz w:val="18"/>
              </w:rPr>
              <w:t> </w:t>
            </w:r>
            <w:r>
              <w:rPr>
                <w:rFonts w:ascii="Arial"/>
                <w:spacing w:val="25"/>
                <w:sz w:val="18"/>
                <w:u w:val="single" w:color="000000"/>
              </w:rPr>
              <w:t> </w:t>
            </w:r>
            <w:r>
              <w:rPr>
                <w:rFonts w:ascii="Arial"/>
                <w:sz w:val="18"/>
                <w:u w:val="single" w:color="000000"/>
              </w:rPr>
              <w:t>814,817,521</w:t>
            </w:r>
            <w:r>
              <w:rPr>
                <w:rFonts w:ascii="Arial"/>
                <w:sz w:val="18"/>
              </w:rPr>
            </w:r>
          </w:p>
        </w:tc>
        <w:tc>
          <w:tcPr>
            <w:tcW w:w="281"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 w:right="0"/>
              <w:jc w:val="left"/>
              <w:rPr>
                <w:rFonts w:ascii="Arial" w:hAnsi="Arial" w:cs="Arial" w:eastAsia="Arial" w:hint="default"/>
                <w:sz w:val="18"/>
                <w:szCs w:val="18"/>
              </w:rPr>
            </w:pPr>
            <w:r>
              <w:rPr>
                <w:rFonts w:ascii="Arial"/>
                <w:w w:val="99"/>
                <w:sz w:val="18"/>
              </w:rPr>
              <w:t>)</w:t>
            </w:r>
            <w:r>
              <w:rPr>
                <w:rFonts w:ascii="Arial"/>
                <w:sz w:val="18"/>
              </w:rPr>
            </w:r>
          </w:p>
        </w:tc>
      </w:tr>
      <w:tr>
        <w:trPr>
          <w:trHeight w:val="474" w:hRule="exact"/>
        </w:trPr>
        <w:tc>
          <w:tcPr>
            <w:tcW w:w="3844" w:type="dxa"/>
            <w:tcBorders>
              <w:top w:val="nil" w:sz="6" w:space="0" w:color="auto"/>
              <w:left w:val="nil" w:sz="6" w:space="0" w:color="auto"/>
              <w:bottom w:val="nil" w:sz="6" w:space="0" w:color="auto"/>
              <w:right w:val="nil" w:sz="6" w:space="0" w:color="auto"/>
            </w:tcBorders>
          </w:tcPr>
          <w:p>
            <w:pPr>
              <w:pStyle w:val="TableParagraph"/>
              <w:spacing w:line="240" w:lineRule="auto" w:before="83"/>
              <w:ind w:left="55" w:right="0"/>
              <w:jc w:val="left"/>
              <w:rPr>
                <w:rFonts w:ascii="黑体" w:hAnsi="黑体" w:cs="黑体" w:eastAsia="黑体" w:hint="default"/>
                <w:sz w:val="18"/>
                <w:szCs w:val="18"/>
              </w:rPr>
            </w:pPr>
            <w:r>
              <w:rPr>
                <w:rFonts w:ascii="黑体" w:hAnsi="黑体" w:cs="黑体" w:eastAsia="黑体" w:hint="default"/>
                <w:sz w:val="18"/>
                <w:szCs w:val="18"/>
              </w:rPr>
              <w:t>筹资活动产生的现金流量净额</w:t>
            </w:r>
          </w:p>
        </w:tc>
        <w:tc>
          <w:tcPr>
            <w:tcW w:w="1247"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4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8"/>
                <w:sz w:val="18"/>
                <w:u w:val="single" w:color="000000"/>
              </w:rPr>
              <w:t> </w:t>
            </w:r>
            <w:r>
              <w:rPr>
                <w:rFonts w:ascii="Arial"/>
                <w:spacing w:val="-1"/>
                <w:sz w:val="18"/>
                <w:u w:val="single" w:color="000000"/>
              </w:rPr>
              <w:t>173,213,561</w:t>
            </w:r>
            <w:r>
              <w:rPr>
                <w:rFonts w:ascii="Arial"/>
                <w:spacing w:val="-1"/>
                <w:sz w:val="18"/>
              </w:rPr>
            </w:r>
          </w:p>
        </w:tc>
        <w:tc>
          <w:tcPr>
            <w:tcW w:w="313"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Style w:val="TableParagraph"/>
              <w:tabs>
                <w:tab w:pos="271" w:val="left" w:leader="none"/>
              </w:tabs>
              <w:spacing w:line="240" w:lineRule="auto" w:before="139"/>
              <w:ind w:right="1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95,182,479</w:t>
            </w:r>
            <w:r>
              <w:rPr>
                <w:rFonts w:ascii="Arial"/>
                <w:spacing w:val="-1"/>
                <w:sz w:val="18"/>
              </w:rPr>
            </w:r>
          </w:p>
        </w:tc>
        <w:tc>
          <w:tcPr>
            <w:tcW w:w="281" w:type="dxa"/>
            <w:tcBorders>
              <w:top w:val="nil" w:sz="6" w:space="0" w:color="auto"/>
              <w:left w:val="nil" w:sz="6" w:space="0" w:color="auto"/>
              <w:bottom w:val="nil" w:sz="6" w:space="0" w:color="auto"/>
              <w:right w:val="nil" w:sz="6" w:space="0" w:color="auto"/>
            </w:tcBorders>
          </w:tcPr>
          <w:p>
            <w:pPr/>
          </w:p>
        </w:tc>
      </w:tr>
      <w:tr>
        <w:trPr>
          <w:trHeight w:val="478" w:hRule="exact"/>
        </w:trPr>
        <w:tc>
          <w:tcPr>
            <w:tcW w:w="384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55" w:right="0"/>
              <w:jc w:val="left"/>
              <w:rPr>
                <w:rFonts w:ascii="黑体" w:hAnsi="黑体" w:cs="黑体" w:eastAsia="黑体" w:hint="default"/>
                <w:sz w:val="18"/>
                <w:szCs w:val="18"/>
              </w:rPr>
            </w:pPr>
            <w:r>
              <w:rPr>
                <w:rFonts w:ascii="黑体" w:hAnsi="黑体" w:cs="黑体" w:eastAsia="黑体" w:hint="default"/>
                <w:sz w:val="18"/>
                <w:szCs w:val="18"/>
              </w:rPr>
              <w:t>四、汇率变动对现金的影响额</w:t>
            </w:r>
          </w:p>
        </w:tc>
        <w:tc>
          <w:tcPr>
            <w:tcW w:w="1247"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tabs>
                <w:tab w:pos="691" w:val="left" w:leader="none"/>
              </w:tabs>
              <w:spacing w:line="240" w:lineRule="auto" w:before="114"/>
              <w:ind w:right="40"/>
              <w:jc w:val="right"/>
              <w:rPr>
                <w:rFonts w:ascii="Arial" w:hAnsi="Arial" w:cs="Arial" w:eastAsia="Arial" w:hint="default"/>
                <w:sz w:val="18"/>
                <w:szCs w:val="18"/>
              </w:rPr>
            </w:pPr>
            <w:r>
              <w:rPr>
                <w:rFonts w:ascii="Arial"/>
                <w:sz w:val="18"/>
              </w:rPr>
              <w:t>(</w:t>
            </w:r>
            <w:r>
              <w:rPr>
                <w:rFonts w:ascii="Arial"/>
                <w:sz w:val="18"/>
                <w:u w:val="single" w:color="000000"/>
              </w:rPr>
              <w:t> </w:t>
              <w:tab/>
            </w:r>
            <w:r>
              <w:rPr>
                <w:rFonts w:ascii="Arial"/>
                <w:spacing w:val="-1"/>
                <w:sz w:val="18"/>
                <w:u w:val="single" w:color="000000"/>
              </w:rPr>
              <w:t>17,470</w:t>
            </w:r>
            <w:r>
              <w:rPr>
                <w:rFonts w:ascii="Arial"/>
                <w:spacing w:val="-1"/>
                <w:sz w:val="18"/>
              </w:rPr>
            </w:r>
          </w:p>
        </w:tc>
        <w:tc>
          <w:tcPr>
            <w:tcW w:w="313"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2" w:right="0"/>
              <w:jc w:val="left"/>
              <w:rPr>
                <w:rFonts w:ascii="Arial" w:hAnsi="Arial" w:cs="Arial" w:eastAsia="Arial" w:hint="default"/>
                <w:sz w:val="18"/>
                <w:szCs w:val="18"/>
              </w:rPr>
            </w:pPr>
            <w:r>
              <w:rPr>
                <w:rFonts w:ascii="Arial"/>
                <w:w w:val="99"/>
                <w:sz w:val="18"/>
              </w:rPr>
              <w:t>)</w:t>
            </w:r>
            <w:r>
              <w:rPr>
                <w:rFonts w:ascii="Arial"/>
                <w:sz w:val="18"/>
              </w:rPr>
            </w:r>
          </w:p>
        </w:tc>
        <w:tc>
          <w:tcPr>
            <w:tcW w:w="1487" w:type="dxa"/>
            <w:tcBorders>
              <w:top w:val="nil" w:sz="6" w:space="0" w:color="auto"/>
              <w:left w:val="nil" w:sz="6" w:space="0" w:color="auto"/>
              <w:bottom w:val="nil" w:sz="6" w:space="0" w:color="auto"/>
              <w:right w:val="nil" w:sz="6" w:space="0" w:color="auto"/>
            </w:tcBorders>
          </w:tcPr>
          <w:p>
            <w:pPr>
              <w:pStyle w:val="TableParagraph"/>
              <w:tabs>
                <w:tab w:pos="691" w:val="left" w:leader="none"/>
              </w:tabs>
              <w:spacing w:line="240" w:lineRule="auto" w:before="140"/>
              <w:ind w:right="10"/>
              <w:jc w:val="right"/>
              <w:rPr>
                <w:rFonts w:ascii="Arial" w:hAnsi="Arial" w:cs="Arial" w:eastAsia="Arial" w:hint="default"/>
                <w:sz w:val="18"/>
                <w:szCs w:val="18"/>
              </w:rPr>
            </w:pPr>
            <w:r>
              <w:rPr>
                <w:rFonts w:ascii="Arial"/>
                <w:sz w:val="18"/>
              </w:rPr>
              <w:t>(</w:t>
            </w:r>
            <w:r>
              <w:rPr>
                <w:rFonts w:ascii="Arial"/>
                <w:sz w:val="18"/>
                <w:u w:val="single" w:color="000000"/>
              </w:rPr>
              <w:t> </w:t>
              <w:tab/>
            </w:r>
            <w:r>
              <w:rPr>
                <w:rFonts w:ascii="Arial"/>
                <w:spacing w:val="-1"/>
                <w:sz w:val="18"/>
                <w:u w:val="single" w:color="000000"/>
              </w:rPr>
              <w:t>26,684</w:t>
            </w:r>
            <w:r>
              <w:rPr>
                <w:rFonts w:ascii="Arial"/>
                <w:spacing w:val="-1"/>
                <w:sz w:val="18"/>
              </w:rPr>
            </w:r>
          </w:p>
        </w:tc>
        <w:tc>
          <w:tcPr>
            <w:tcW w:w="281"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11" w:right="0"/>
              <w:jc w:val="left"/>
              <w:rPr>
                <w:rFonts w:ascii="Arial" w:hAnsi="Arial" w:cs="Arial" w:eastAsia="Arial" w:hint="default"/>
                <w:sz w:val="18"/>
                <w:szCs w:val="18"/>
              </w:rPr>
            </w:pPr>
            <w:r>
              <w:rPr>
                <w:rFonts w:ascii="Arial"/>
                <w:w w:val="99"/>
                <w:sz w:val="18"/>
              </w:rPr>
              <w:t>)</w:t>
            </w:r>
            <w:r>
              <w:rPr>
                <w:rFonts w:ascii="Arial"/>
                <w:sz w:val="18"/>
              </w:rPr>
            </w:r>
          </w:p>
        </w:tc>
      </w:tr>
      <w:tr>
        <w:trPr>
          <w:trHeight w:val="476" w:hRule="exact"/>
        </w:trPr>
        <w:tc>
          <w:tcPr>
            <w:tcW w:w="384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55" w:right="0"/>
              <w:jc w:val="left"/>
              <w:rPr>
                <w:rFonts w:ascii="黑体" w:hAnsi="黑体" w:cs="黑体" w:eastAsia="黑体" w:hint="default"/>
                <w:sz w:val="18"/>
                <w:szCs w:val="18"/>
              </w:rPr>
            </w:pPr>
            <w:r>
              <w:rPr>
                <w:rFonts w:ascii="黑体" w:hAnsi="黑体" w:cs="黑体" w:eastAsia="黑体" w:hint="default"/>
                <w:sz w:val="18"/>
                <w:szCs w:val="18"/>
              </w:rPr>
              <w:t>五、现金及现金等价物净增加额</w:t>
            </w:r>
          </w:p>
        </w:tc>
        <w:tc>
          <w:tcPr>
            <w:tcW w:w="1247"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0"/>
              <w:jc w:val="right"/>
              <w:rPr>
                <w:rFonts w:ascii="Arial" w:hAnsi="Arial" w:cs="Arial" w:eastAsia="Arial" w:hint="default"/>
                <w:sz w:val="18"/>
                <w:szCs w:val="18"/>
              </w:rPr>
            </w:pPr>
            <w:r>
              <w:rPr>
                <w:rFonts w:ascii="Arial"/>
                <w:spacing w:val="-1"/>
                <w:sz w:val="18"/>
              </w:rPr>
              <w:t>155,042,343</w:t>
            </w:r>
          </w:p>
        </w:tc>
        <w:tc>
          <w:tcPr>
            <w:tcW w:w="313"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9"/>
              <w:jc w:val="right"/>
              <w:rPr>
                <w:rFonts w:ascii="Arial" w:hAnsi="Arial" w:cs="Arial" w:eastAsia="Arial" w:hint="default"/>
                <w:sz w:val="18"/>
                <w:szCs w:val="18"/>
              </w:rPr>
            </w:pPr>
            <w:r>
              <w:rPr>
                <w:rFonts w:ascii="Arial"/>
                <w:sz w:val="18"/>
              </w:rPr>
              <w:t>(  </w:t>
            </w:r>
            <w:r>
              <w:rPr>
                <w:rFonts w:ascii="Arial"/>
                <w:spacing w:val="25"/>
                <w:sz w:val="18"/>
              </w:rPr>
              <w:t> </w:t>
            </w:r>
            <w:r>
              <w:rPr>
                <w:rFonts w:ascii="Arial"/>
                <w:sz w:val="18"/>
              </w:rPr>
              <w:t>263,805,497</w:t>
            </w:r>
          </w:p>
        </w:tc>
        <w:tc>
          <w:tcPr>
            <w:tcW w:w="281"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11" w:right="0"/>
              <w:jc w:val="left"/>
              <w:rPr>
                <w:rFonts w:ascii="Arial" w:hAnsi="Arial" w:cs="Arial" w:eastAsia="Arial" w:hint="default"/>
                <w:sz w:val="18"/>
                <w:szCs w:val="18"/>
              </w:rPr>
            </w:pPr>
            <w:r>
              <w:rPr>
                <w:rFonts w:ascii="Arial"/>
                <w:w w:val="99"/>
                <w:sz w:val="18"/>
              </w:rPr>
              <w:t>)</w:t>
            </w:r>
            <w:r>
              <w:rPr>
                <w:rFonts w:ascii="Arial"/>
                <w:sz w:val="18"/>
              </w:rPr>
            </w:r>
          </w:p>
        </w:tc>
      </w:tr>
      <w:tr>
        <w:trPr>
          <w:trHeight w:val="476" w:hRule="exact"/>
        </w:trPr>
        <w:tc>
          <w:tcPr>
            <w:tcW w:w="3844" w:type="dxa"/>
            <w:tcBorders>
              <w:top w:val="nil" w:sz="6" w:space="0" w:color="auto"/>
              <w:left w:val="nil" w:sz="6" w:space="0" w:color="auto"/>
              <w:bottom w:val="nil" w:sz="6" w:space="0" w:color="auto"/>
              <w:right w:val="nil" w:sz="6" w:space="0" w:color="auto"/>
            </w:tcBorders>
          </w:tcPr>
          <w:p>
            <w:pPr>
              <w:pStyle w:val="TableParagraph"/>
              <w:spacing w:line="240" w:lineRule="auto" w:before="83"/>
              <w:ind w:left="55" w:right="0"/>
              <w:jc w:val="left"/>
              <w:rPr>
                <w:rFonts w:ascii="黑体" w:hAnsi="黑体" w:cs="黑体" w:eastAsia="黑体" w:hint="default"/>
                <w:sz w:val="18"/>
                <w:szCs w:val="18"/>
              </w:rPr>
            </w:pPr>
            <w:r>
              <w:rPr>
                <w:rFonts w:ascii="黑体" w:hAnsi="黑体" w:cs="黑体" w:eastAsia="黑体" w:hint="default"/>
                <w:sz w:val="18"/>
                <w:szCs w:val="18"/>
              </w:rPr>
              <w:t>加：年初现金及现金等价物金额</w:t>
            </w:r>
          </w:p>
        </w:tc>
        <w:tc>
          <w:tcPr>
            <w:tcW w:w="1247" w:type="dxa"/>
            <w:tcBorders>
              <w:top w:val="nil" w:sz="6" w:space="0" w:color="auto"/>
              <w:left w:val="nil" w:sz="6" w:space="0" w:color="auto"/>
              <w:bottom w:val="nil" w:sz="6" w:space="0" w:color="auto"/>
              <w:right w:val="nil" w:sz="6" w:space="0" w:color="auto"/>
            </w:tcBorders>
          </w:tcPr>
          <w:p>
            <w:pP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4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0"/>
                <w:sz w:val="18"/>
                <w:u w:val="single" w:color="000000"/>
              </w:rPr>
              <w:t> </w:t>
            </w:r>
            <w:r>
              <w:rPr>
                <w:rFonts w:ascii="Arial"/>
                <w:spacing w:val="-1"/>
                <w:sz w:val="18"/>
                <w:u w:val="single" w:color="000000"/>
              </w:rPr>
              <w:t>434,055,852</w:t>
            </w:r>
            <w:r>
              <w:rPr>
                <w:rFonts w:ascii="Arial"/>
                <w:spacing w:val="-1"/>
                <w:sz w:val="18"/>
              </w:rPr>
            </w:r>
          </w:p>
        </w:tc>
        <w:tc>
          <w:tcPr>
            <w:tcW w:w="313"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8"/>
                <w:sz w:val="18"/>
                <w:u w:val="single" w:color="000000"/>
              </w:rPr>
              <w:t> </w:t>
            </w:r>
            <w:r>
              <w:rPr>
                <w:rFonts w:ascii="Arial"/>
                <w:spacing w:val="-1"/>
                <w:sz w:val="18"/>
                <w:u w:val="single" w:color="000000"/>
              </w:rPr>
              <w:t>697,861,349</w:t>
            </w:r>
            <w:r>
              <w:rPr>
                <w:rFonts w:ascii="Arial"/>
                <w:spacing w:val="-1"/>
                <w:sz w:val="18"/>
              </w:rPr>
            </w:r>
          </w:p>
        </w:tc>
        <w:tc>
          <w:tcPr>
            <w:tcW w:w="281" w:type="dxa"/>
            <w:tcBorders>
              <w:top w:val="nil" w:sz="6" w:space="0" w:color="auto"/>
              <w:left w:val="nil" w:sz="6" w:space="0" w:color="auto"/>
              <w:bottom w:val="nil" w:sz="6" w:space="0" w:color="auto"/>
              <w:right w:val="nil" w:sz="6" w:space="0" w:color="auto"/>
            </w:tcBorders>
          </w:tcPr>
          <w:p>
            <w:pPr/>
          </w:p>
        </w:tc>
      </w:tr>
      <w:tr>
        <w:trPr>
          <w:trHeight w:val="341" w:hRule="exact"/>
        </w:trPr>
        <w:tc>
          <w:tcPr>
            <w:tcW w:w="3844" w:type="dxa"/>
            <w:tcBorders>
              <w:top w:val="nil" w:sz="6" w:space="0" w:color="auto"/>
              <w:left w:val="nil" w:sz="6" w:space="0" w:color="auto"/>
              <w:bottom w:val="nil" w:sz="6" w:space="0" w:color="auto"/>
              <w:right w:val="nil" w:sz="6" w:space="0" w:color="auto"/>
            </w:tcBorders>
          </w:tcPr>
          <w:p>
            <w:pPr>
              <w:pStyle w:val="TableParagraph"/>
              <w:spacing w:line="240" w:lineRule="auto" w:before="82"/>
              <w:ind w:left="55" w:right="0"/>
              <w:jc w:val="left"/>
              <w:rPr>
                <w:rFonts w:ascii="黑体" w:hAnsi="黑体" w:cs="黑体" w:eastAsia="黑体" w:hint="default"/>
                <w:sz w:val="18"/>
                <w:szCs w:val="18"/>
              </w:rPr>
            </w:pPr>
            <w:r>
              <w:rPr>
                <w:rFonts w:ascii="黑体" w:hAnsi="黑体" w:cs="黑体" w:eastAsia="黑体" w:hint="default"/>
                <w:sz w:val="18"/>
                <w:szCs w:val="18"/>
              </w:rPr>
              <w:t>六、年末现金及现金等价物余额</w:t>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363"/>
              <w:jc w:val="center"/>
              <w:rPr>
                <w:rFonts w:ascii="Arial" w:hAnsi="Arial" w:cs="Arial" w:eastAsia="Arial" w:hint="default"/>
                <w:sz w:val="18"/>
                <w:szCs w:val="18"/>
              </w:rPr>
            </w:pPr>
            <w:r>
              <w:rPr>
                <w:rFonts w:ascii="Arial"/>
                <w:sz w:val="18"/>
              </w:rPr>
              <w:t>40</w:t>
            </w:r>
          </w:p>
        </w:tc>
        <w:tc>
          <w:tcPr>
            <w:tcW w:w="175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40"/>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   </w:t>
            </w:r>
            <w:r>
              <w:rPr>
                <w:rFonts w:ascii="Arial"/>
                <w:spacing w:val="-11"/>
                <w:sz w:val="18"/>
                <w:u w:val="thick" w:color="000000"/>
              </w:rPr>
              <w:t> </w:t>
            </w:r>
            <w:r>
              <w:rPr>
                <w:rFonts w:ascii="Arial"/>
                <w:spacing w:val="-1"/>
                <w:sz w:val="18"/>
                <w:u w:val="thick" w:color="000000"/>
              </w:rPr>
              <w:t>589,098,195</w:t>
            </w:r>
            <w:r>
              <w:rPr>
                <w:rFonts w:ascii="Arial"/>
                <w:spacing w:val="-1"/>
                <w:sz w:val="18"/>
              </w:rPr>
            </w:r>
          </w:p>
        </w:tc>
        <w:tc>
          <w:tcPr>
            <w:tcW w:w="313"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9"/>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  </w:t>
            </w:r>
            <w:r>
              <w:rPr>
                <w:rFonts w:ascii="Arial"/>
                <w:spacing w:val="-18"/>
                <w:sz w:val="18"/>
                <w:u w:val="thick" w:color="000000"/>
              </w:rPr>
              <w:t> </w:t>
            </w:r>
            <w:r>
              <w:rPr>
                <w:rFonts w:ascii="Arial"/>
                <w:spacing w:val="-1"/>
                <w:sz w:val="18"/>
                <w:u w:val="thick" w:color="000000"/>
              </w:rPr>
              <w:t>434,055,852</w:t>
            </w:r>
            <w:r>
              <w:rPr>
                <w:rFonts w:ascii="Arial"/>
                <w:spacing w:val="-1"/>
                <w:sz w:val="18"/>
              </w:rPr>
            </w:r>
          </w:p>
        </w:tc>
        <w:tc>
          <w:tcPr>
            <w:tcW w:w="281" w:type="dxa"/>
            <w:tcBorders>
              <w:top w:val="nil" w:sz="6" w:space="0" w:color="auto"/>
              <w:left w:val="nil" w:sz="6" w:space="0" w:color="auto"/>
              <w:bottom w:val="nil" w:sz="6" w:space="0" w:color="auto"/>
              <w:right w:val="nil" w:sz="6" w:space="0" w:color="auto"/>
            </w:tcBorders>
          </w:tcPr>
          <w:p>
            <w:pPr/>
          </w:p>
        </w:tc>
      </w:tr>
    </w:tbl>
    <w:p>
      <w:pPr>
        <w:spacing w:after="0"/>
        <w:sectPr>
          <w:headerReference w:type="default" r:id="rId49"/>
          <w:footerReference w:type="default" r:id="rId50"/>
          <w:pgSz w:w="11910" w:h="16850"/>
          <w:pgMar w:header="957" w:footer="833" w:top="1160" w:bottom="1020" w:left="1600" w:right="1160"/>
          <w:pgNumType w:start="15"/>
        </w:sectPr>
      </w:pPr>
    </w:p>
    <w:p>
      <w:pPr>
        <w:pStyle w:val="Heading4"/>
        <w:spacing w:line="300" w:lineRule="auto"/>
        <w:ind w:left="3440" w:right="3627" w:firstLine="252"/>
        <w:jc w:val="left"/>
        <w:rPr>
          <w:b w:val="0"/>
          <w:bCs w:val="0"/>
        </w:rPr>
      </w:pPr>
      <w:r>
        <w:rPr/>
        <w:t>财务报表附注</w:t>
      </w:r>
      <w:r>
        <w:rPr>
          <w:w w:val="99"/>
        </w:rPr>
        <w:t> </w:t>
      </w:r>
      <w:r>
        <w:rPr/>
        <w:t>2012</w:t>
      </w:r>
      <w:r>
        <w:rPr>
          <w:spacing w:val="-57"/>
        </w:rPr>
        <w:t> </w:t>
      </w:r>
      <w:r>
        <w:rPr/>
        <w:t>年</w:t>
      </w:r>
      <w:r>
        <w:rPr>
          <w:spacing w:val="-57"/>
        </w:rPr>
        <w:t> </w:t>
      </w:r>
      <w:r>
        <w:rPr/>
        <w:t>12</w:t>
      </w:r>
      <w:r>
        <w:rPr>
          <w:spacing w:val="-57"/>
        </w:rPr>
        <w:t> </w:t>
      </w:r>
      <w:r>
        <w:rPr/>
        <w:t>月</w:t>
      </w:r>
      <w:r>
        <w:rPr>
          <w:spacing w:val="-57"/>
        </w:rPr>
        <w:t> </w:t>
      </w:r>
      <w:r>
        <w:rPr/>
        <w:t>31</w:t>
      </w:r>
      <w:r>
        <w:rPr>
          <w:spacing w:val="-57"/>
        </w:rPr>
        <w:t> </w:t>
      </w:r>
      <w:r>
        <w:rPr/>
        <w:t>日</w:t>
      </w:r>
      <w:r>
        <w:rPr>
          <w:b w:val="0"/>
          <w:bCs w:val="0"/>
        </w:rPr>
      </w:r>
    </w:p>
    <w:p>
      <w:pPr>
        <w:pStyle w:val="Heading4"/>
        <w:spacing w:line="240" w:lineRule="auto" w:before="17"/>
        <w:ind w:left="3894" w:right="4089"/>
        <w:jc w:val="center"/>
        <w:rPr>
          <w:b w:val="0"/>
          <w:bCs w:val="0"/>
        </w:rPr>
      </w:pPr>
      <w:r>
        <w:rPr/>
        <w:t>人民币元</w:t>
      </w:r>
      <w:r>
        <w:rPr>
          <w:b w:val="0"/>
          <w:bCs w:val="0"/>
        </w:rPr>
      </w:r>
    </w:p>
    <w:p>
      <w:pPr>
        <w:spacing w:line="240" w:lineRule="auto" w:before="7"/>
        <w:rPr>
          <w:rFonts w:ascii="黑体" w:hAnsi="黑体" w:cs="黑体" w:eastAsia="黑体" w:hint="default"/>
          <w:b/>
          <w:bCs/>
          <w:sz w:val="28"/>
          <w:szCs w:val="28"/>
        </w:rPr>
      </w:pPr>
    </w:p>
    <w:p>
      <w:pPr>
        <w:spacing w:line="20" w:lineRule="exact"/>
        <w:ind w:left="108" w:right="0" w:firstLine="0"/>
        <w:rPr>
          <w:rFonts w:ascii="黑体" w:hAnsi="黑体" w:cs="黑体" w:eastAsia="黑体" w:hint="default"/>
          <w:sz w:val="2"/>
          <w:szCs w:val="2"/>
        </w:rPr>
      </w:pPr>
      <w:r>
        <w:rPr>
          <w:rFonts w:ascii="黑体" w:hAnsi="黑体" w:cs="黑体" w:eastAsia="黑体" w:hint="default"/>
          <w:sz w:val="2"/>
          <w:szCs w:val="2"/>
        </w:rPr>
        <w:pict>
          <v:group style="width:426.45pt;height:.75pt;mso-position-horizontal-relative:char;mso-position-vertical-relative:line" coordorigin="0,0" coordsize="8529,15">
            <v:group style="position:absolute;left:8;top:8;width:8514;height:2" coordorigin="8,8" coordsize="8514,2">
              <v:shape style="position:absolute;left:8;top:8;width:8514;height:2" coordorigin="8,8" coordsize="8514,0" path="m8,8l8522,8e" filled="false" stroked="true" strokeweight=".75pt" strokecolor="#000000">
                <v:path arrowok="t"/>
              </v:shape>
            </v:group>
          </v:group>
        </w:pict>
      </w:r>
      <w:r>
        <w:rPr>
          <w:rFonts w:ascii="黑体" w:hAnsi="黑体" w:cs="黑体" w:eastAsia="黑体" w:hint="default"/>
          <w:sz w:val="2"/>
          <w:szCs w:val="2"/>
        </w:rPr>
      </w:r>
    </w:p>
    <w:p>
      <w:pPr>
        <w:spacing w:line="240" w:lineRule="auto" w:before="7"/>
        <w:rPr>
          <w:rFonts w:ascii="黑体" w:hAnsi="黑体" w:cs="黑体" w:eastAsia="黑体" w:hint="default"/>
          <w:b/>
          <w:bCs/>
          <w:sz w:val="16"/>
          <w:szCs w:val="16"/>
        </w:rPr>
      </w:pPr>
    </w:p>
    <w:p>
      <w:pPr>
        <w:pStyle w:val="Heading6"/>
        <w:tabs>
          <w:tab w:pos="809" w:val="left" w:leader="none"/>
        </w:tabs>
        <w:spacing w:line="240" w:lineRule="auto"/>
        <w:ind w:right="3627"/>
        <w:jc w:val="left"/>
        <w:rPr>
          <w:b w:val="0"/>
          <w:bCs w:val="0"/>
        </w:rPr>
      </w:pPr>
      <w:r>
        <w:rPr>
          <w:w w:val="95"/>
        </w:rPr>
        <w:t>一、</w:t>
        <w:tab/>
      </w:r>
      <w:bookmarkStart w:name="一、 本集团的基本情况" w:id="14"/>
      <w:bookmarkEnd w:id="14"/>
      <w:r>
        <w:rPr/>
        <w:t>本集团</w:t>
      </w:r>
      <w:r>
        <w:rPr/>
        <w:t>的基本情况</w:t>
      </w:r>
      <w:r>
        <w:rPr>
          <w:b w:val="0"/>
          <w:bCs w:val="0"/>
        </w:rPr>
      </w:r>
    </w:p>
    <w:p>
      <w:pPr>
        <w:spacing w:line="240" w:lineRule="auto" w:before="7"/>
        <w:rPr>
          <w:rFonts w:ascii="黑体" w:hAnsi="黑体" w:cs="黑体" w:eastAsia="黑体" w:hint="default"/>
          <w:b/>
          <w:bCs/>
          <w:sz w:val="20"/>
          <w:szCs w:val="20"/>
        </w:rPr>
      </w:pPr>
    </w:p>
    <w:p>
      <w:pPr>
        <w:pStyle w:val="BodyText"/>
        <w:spacing w:line="228" w:lineRule="auto"/>
        <w:ind w:left="813" w:right="112"/>
        <w:jc w:val="both"/>
      </w:pPr>
      <w:r>
        <w:rPr>
          <w:w w:val="95"/>
        </w:rPr>
        <w:t>用友软件股份有限公司</w:t>
      </w:r>
      <w:r>
        <w:rPr>
          <w:rFonts w:ascii="Arial" w:hAnsi="Arial" w:cs="Arial" w:eastAsia="Arial" w:hint="default"/>
          <w:w w:val="95"/>
        </w:rPr>
        <w:t>(</w:t>
      </w:r>
      <w:r>
        <w:rPr>
          <w:w w:val="95"/>
        </w:rPr>
        <w:t>以下简称</w:t>
      </w:r>
      <w:r>
        <w:rPr>
          <w:rFonts w:ascii="Arial" w:hAnsi="Arial" w:cs="Arial" w:eastAsia="Arial" w:hint="default"/>
          <w:w w:val="95"/>
        </w:rPr>
        <w:t>“</w:t>
      </w:r>
      <w:r>
        <w:rPr>
          <w:w w:val="95"/>
        </w:rPr>
        <w:t>本公司</w:t>
      </w:r>
      <w:r>
        <w:rPr>
          <w:rFonts w:ascii="Arial" w:hAnsi="Arial" w:cs="Arial" w:eastAsia="Arial" w:hint="default"/>
          <w:w w:val="95"/>
        </w:rPr>
        <w:t>”)</w:t>
      </w:r>
      <w:r>
        <w:rPr>
          <w:w w:val="95"/>
        </w:rPr>
        <w:t>是根据《中华人民共和国公司法》</w:t>
      </w:r>
      <w:r>
        <w:rPr>
          <w:rFonts w:ascii="Arial" w:hAnsi="Arial" w:cs="Arial" w:eastAsia="Arial" w:hint="default"/>
          <w:w w:val="95"/>
        </w:rPr>
        <w:t>(</w:t>
      </w:r>
      <w:r>
        <w:rPr>
          <w:w w:val="95"/>
        </w:rPr>
        <w:t>以下简称</w:t>
      </w:r>
      <w:r>
        <w:rPr>
          <w:rFonts w:ascii="Arial" w:hAnsi="Arial" w:cs="Arial" w:eastAsia="Arial" w:hint="default"/>
          <w:w w:val="95"/>
        </w:rPr>
        <w:t>“</w:t>
      </w:r>
      <w:r>
        <w:rPr>
          <w:w w:val="95"/>
        </w:rPr>
        <w:t>公司</w:t>
      </w:r>
      <w:r>
        <w:rPr>
          <w:spacing w:val="82"/>
          <w:w w:val="95"/>
        </w:rPr>
        <w:t> </w:t>
      </w:r>
      <w:r>
        <w:rPr/>
        <w:t>法</w:t>
      </w:r>
      <w:r>
        <w:rPr>
          <w:rFonts w:ascii="Arial" w:hAnsi="Arial" w:cs="Arial" w:eastAsia="Arial" w:hint="default"/>
        </w:rPr>
        <w:t>”)</w:t>
      </w:r>
      <w:r>
        <w:rPr/>
        <w:t>于</w:t>
      </w:r>
      <w:r>
        <w:rPr>
          <w:rFonts w:ascii="Arial" w:hAnsi="Arial" w:cs="Arial" w:eastAsia="Arial" w:hint="default"/>
        </w:rPr>
        <w:t>1999</w:t>
      </w:r>
      <w:r>
        <w:rPr/>
        <w:t>年</w:t>
      </w:r>
      <w:r>
        <w:rPr>
          <w:rFonts w:ascii="Arial" w:hAnsi="Arial" w:cs="Arial" w:eastAsia="Arial" w:hint="default"/>
        </w:rPr>
        <w:t>12</w:t>
      </w:r>
      <w:r>
        <w:rPr/>
        <w:t>月</w:t>
      </w:r>
      <w:r>
        <w:rPr>
          <w:rFonts w:ascii="Arial" w:hAnsi="Arial" w:cs="Arial" w:eastAsia="Arial" w:hint="default"/>
        </w:rPr>
        <w:t>6</w:t>
      </w:r>
      <w:r>
        <w:rPr/>
        <w:t>日在中华人民共和国</w:t>
      </w:r>
      <w:r>
        <w:rPr>
          <w:rFonts w:ascii="Arial" w:hAnsi="Arial" w:cs="Arial" w:eastAsia="Arial" w:hint="default"/>
        </w:rPr>
        <w:t>(</w:t>
      </w:r>
      <w:r>
        <w:rPr/>
        <w:t>以下简称</w:t>
      </w:r>
      <w:r>
        <w:rPr>
          <w:rFonts w:ascii="Arial" w:hAnsi="Arial" w:cs="Arial" w:eastAsia="Arial" w:hint="default"/>
        </w:rPr>
        <w:t>“</w:t>
      </w:r>
      <w:r>
        <w:rPr/>
        <w:t>中国</w:t>
      </w:r>
      <w:r>
        <w:rPr>
          <w:rFonts w:ascii="Arial" w:hAnsi="Arial" w:cs="Arial" w:eastAsia="Arial" w:hint="default"/>
        </w:rPr>
        <w:t>”)</w:t>
      </w:r>
      <w:r>
        <w:rPr/>
        <w:t>注册成立的股份有限公司。本公司</w:t>
      </w:r>
      <w:r>
        <w:rPr>
          <w:w w:val="99"/>
        </w:rPr>
        <w:t> </w:t>
      </w:r>
      <w:r>
        <w:rPr/>
        <w:t>根据</w:t>
      </w:r>
      <w:r>
        <w:rPr>
          <w:rFonts w:ascii="Arial" w:hAnsi="Arial" w:cs="Arial" w:eastAsia="Arial" w:hint="default"/>
        </w:rPr>
        <w:t>2005</w:t>
      </w:r>
      <w:r>
        <w:rPr/>
        <w:t>年</w:t>
      </w:r>
      <w:r>
        <w:rPr>
          <w:rFonts w:ascii="Arial" w:hAnsi="Arial" w:cs="Arial" w:eastAsia="Arial" w:hint="default"/>
        </w:rPr>
        <w:t>4</w:t>
      </w:r>
      <w:r>
        <w:rPr/>
        <w:t>月</w:t>
      </w:r>
      <w:r>
        <w:rPr>
          <w:rFonts w:ascii="Arial" w:hAnsi="Arial" w:cs="Arial" w:eastAsia="Arial" w:hint="default"/>
        </w:rPr>
        <w:t>29</w:t>
      </w:r>
      <w:r>
        <w:rPr/>
        <w:t>日股东大会决议，公司名称由原来的北京用友软件股份有限公司变更为现</w:t>
      </w:r>
      <w:r>
        <w:rPr>
          <w:w w:val="99"/>
        </w:rPr>
        <w:t> </w:t>
      </w:r>
      <w:r>
        <w:rPr>
          <w:spacing w:val="2"/>
          <w:w w:val="95"/>
        </w:rPr>
        <w:t>时的用友软件股份有限公司，于</w:t>
      </w:r>
      <w:r>
        <w:rPr>
          <w:rFonts w:ascii="Arial" w:hAnsi="Arial" w:cs="Arial" w:eastAsia="Arial" w:hint="default"/>
          <w:spacing w:val="2"/>
          <w:w w:val="95"/>
        </w:rPr>
        <w:t>2005</w:t>
      </w:r>
      <w:r>
        <w:rPr>
          <w:spacing w:val="2"/>
          <w:w w:val="95"/>
        </w:rPr>
        <w:t>年</w:t>
      </w:r>
      <w:r>
        <w:rPr>
          <w:rFonts w:ascii="Arial" w:hAnsi="Arial" w:cs="Arial" w:eastAsia="Arial" w:hint="default"/>
          <w:spacing w:val="2"/>
          <w:w w:val="95"/>
        </w:rPr>
        <w:t>12</w:t>
      </w:r>
      <w:r>
        <w:rPr>
          <w:spacing w:val="2"/>
          <w:w w:val="95"/>
        </w:rPr>
        <w:t>月</w:t>
      </w:r>
      <w:r>
        <w:rPr>
          <w:rFonts w:ascii="Arial" w:hAnsi="Arial" w:cs="Arial" w:eastAsia="Arial" w:hint="default"/>
          <w:spacing w:val="2"/>
          <w:w w:val="95"/>
        </w:rPr>
        <w:t>31</w:t>
      </w:r>
      <w:r>
        <w:rPr>
          <w:spacing w:val="2"/>
          <w:w w:val="95"/>
        </w:rPr>
        <w:t>日前有关的工商变更手续已办理完毕。本公</w:t>
      </w:r>
      <w:r>
        <w:rPr>
          <w:spacing w:val="85"/>
          <w:w w:val="95"/>
        </w:rPr>
        <w:t> </w:t>
      </w:r>
      <w:r>
        <w:rPr>
          <w:spacing w:val="85"/>
          <w:w w:val="95"/>
        </w:rPr>
      </w:r>
      <w:r>
        <w:rPr>
          <w:spacing w:val="11"/>
        </w:rPr>
        <w:t>司所发行的人民币普通股</w:t>
      </w:r>
      <w:r>
        <w:rPr>
          <w:rFonts w:ascii="Arial" w:hAnsi="Arial" w:cs="Arial" w:eastAsia="Arial" w:hint="default"/>
          <w:spacing w:val="11"/>
        </w:rPr>
        <w:t>A</w:t>
      </w:r>
      <w:r>
        <w:rPr>
          <w:spacing w:val="11"/>
        </w:rPr>
        <w:t>股股票已在上海证券交易所上市。本公司营业执照注册号为</w:t>
      </w:r>
      <w:r>
        <w:rPr>
          <w:w w:val="99"/>
        </w:rPr>
        <w:t> </w:t>
      </w:r>
      <w:r>
        <w:rPr>
          <w:rFonts w:ascii="Arial" w:hAnsi="Arial" w:cs="Arial" w:eastAsia="Arial" w:hint="default"/>
        </w:rPr>
        <w:t>1100002511925</w:t>
      </w:r>
      <w:r>
        <w:rPr/>
        <w:t>。本公司及子公司</w:t>
      </w:r>
      <w:r>
        <w:rPr>
          <w:rFonts w:ascii="Arial" w:hAnsi="Arial" w:cs="Arial" w:eastAsia="Arial" w:hint="default"/>
        </w:rPr>
        <w:t>(</w:t>
      </w:r>
      <w:r>
        <w:rPr/>
        <w:t>以下统称</w:t>
      </w:r>
      <w:r>
        <w:rPr>
          <w:rFonts w:ascii="Arial" w:hAnsi="Arial" w:cs="Arial" w:eastAsia="Arial" w:hint="default"/>
        </w:rPr>
        <w:t>“</w:t>
      </w:r>
      <w:r>
        <w:rPr/>
        <w:t>本集团</w:t>
      </w:r>
      <w:r>
        <w:rPr>
          <w:rFonts w:ascii="Arial" w:hAnsi="Arial" w:cs="Arial" w:eastAsia="Arial" w:hint="default"/>
        </w:rPr>
        <w:t>”)</w:t>
      </w:r>
      <w:r>
        <w:rPr/>
        <w:t>主要从事电子计算机软件、硬件及外</w:t>
      </w:r>
      <w:r>
        <w:rPr>
          <w:spacing w:val="-57"/>
        </w:rPr>
        <w:t> </w:t>
      </w:r>
      <w:r>
        <w:rPr>
          <w:spacing w:val="-57"/>
        </w:rPr>
      </w:r>
      <w:r>
        <w:rPr>
          <w:w w:val="95"/>
        </w:rPr>
        <w:t>部设备的技术开发、技术咨询、技术转让、技术服务；企业管理咨询；数据库服务；销售电</w:t>
      </w:r>
      <w:r>
        <w:rPr>
          <w:spacing w:val="84"/>
          <w:w w:val="95"/>
        </w:rPr>
        <w:t> </w:t>
      </w:r>
      <w:r>
        <w:rPr>
          <w:spacing w:val="84"/>
          <w:w w:val="95"/>
        </w:rPr>
      </w:r>
      <w:r>
        <w:rPr/>
        <w:t>子计算机软硬件及外部设备。本公司总部位于北京市海淀区北清路</w:t>
      </w:r>
      <w:r>
        <w:rPr>
          <w:rFonts w:ascii="Arial" w:hAnsi="Arial" w:cs="Arial" w:eastAsia="Arial" w:hint="default"/>
        </w:rPr>
        <w:t>68</w:t>
      </w:r>
      <w:r>
        <w:rPr/>
        <w:t>号用友软件园。</w:t>
      </w:r>
    </w:p>
    <w:p>
      <w:pPr>
        <w:spacing w:line="240" w:lineRule="auto" w:before="10"/>
        <w:rPr>
          <w:rFonts w:ascii="黑体" w:hAnsi="黑体" w:cs="黑体" w:eastAsia="黑体" w:hint="default"/>
          <w:sz w:val="19"/>
          <w:szCs w:val="19"/>
        </w:rPr>
      </w:pPr>
    </w:p>
    <w:p>
      <w:pPr>
        <w:pStyle w:val="BodyText"/>
        <w:spacing w:line="225" w:lineRule="auto"/>
        <w:ind w:right="141"/>
        <w:jc w:val="both"/>
      </w:pPr>
      <w:r>
        <w:rPr>
          <w:rFonts w:ascii="Arial" w:hAnsi="Arial" w:cs="Arial" w:eastAsia="Arial" w:hint="default"/>
        </w:rPr>
        <w:t>1999</w:t>
      </w:r>
      <w:r>
        <w:rPr/>
        <w:t>年</w:t>
      </w:r>
      <w:r>
        <w:rPr>
          <w:rFonts w:ascii="Arial" w:hAnsi="Arial" w:cs="Arial" w:eastAsia="Arial" w:hint="default"/>
        </w:rPr>
        <w:t>10</w:t>
      </w:r>
      <w:r>
        <w:rPr/>
        <w:t>月</w:t>
      </w:r>
      <w:r>
        <w:rPr>
          <w:rFonts w:ascii="Arial" w:hAnsi="Arial" w:cs="Arial" w:eastAsia="Arial" w:hint="default"/>
        </w:rPr>
        <w:t>29</w:t>
      </w:r>
      <w:r>
        <w:rPr/>
        <w:t>日，经北京巿人民政府京政函</w:t>
      </w:r>
      <w:r>
        <w:rPr>
          <w:rFonts w:ascii="Arial" w:hAnsi="Arial" w:cs="Arial" w:eastAsia="Arial" w:hint="default"/>
        </w:rPr>
        <w:t>[1999]133</w:t>
      </w:r>
      <w:r>
        <w:rPr/>
        <w:t>号文批准，由原北京用友软件</w:t>
      </w:r>
      <w:r>
        <w:rPr>
          <w:rFonts w:ascii="Arial" w:hAnsi="Arial" w:cs="Arial" w:eastAsia="Arial" w:hint="default"/>
        </w:rPr>
        <w:t>(</w:t>
      </w:r>
      <w:r>
        <w:rPr/>
        <w:t>集团</w:t>
      </w:r>
      <w:r>
        <w:rPr>
          <w:rFonts w:ascii="Arial" w:hAnsi="Arial" w:cs="Arial" w:eastAsia="Arial" w:hint="default"/>
        </w:rPr>
        <w:t>)</w:t>
      </w:r>
      <w:r>
        <w:rPr>
          <w:rFonts w:ascii="Arial" w:hAnsi="Arial" w:cs="Arial" w:eastAsia="Arial" w:hint="default"/>
          <w:spacing w:val="-37"/>
        </w:rPr>
        <w:t> </w:t>
      </w:r>
      <w:r>
        <w:rPr>
          <w:spacing w:val="2"/>
          <w:w w:val="95"/>
        </w:rPr>
        <w:t>有限公司的五家股东</w:t>
      </w:r>
      <w:r>
        <w:rPr>
          <w:rFonts w:ascii="Arial" w:hAnsi="Arial" w:cs="Arial" w:eastAsia="Arial" w:hint="default"/>
          <w:spacing w:val="2"/>
          <w:w w:val="95"/>
        </w:rPr>
        <w:t>—</w:t>
      </w:r>
      <w:r>
        <w:rPr>
          <w:spacing w:val="2"/>
          <w:w w:val="95"/>
        </w:rPr>
        <w:t>北京用友科技有限公司</w:t>
      </w:r>
      <w:r>
        <w:rPr>
          <w:rFonts w:ascii="Arial" w:hAnsi="Arial" w:cs="Arial" w:eastAsia="Arial" w:hint="default"/>
          <w:spacing w:val="2"/>
          <w:w w:val="95"/>
        </w:rPr>
        <w:t>(</w:t>
      </w:r>
      <w:r>
        <w:rPr>
          <w:spacing w:val="2"/>
          <w:w w:val="95"/>
        </w:rPr>
        <w:t>以下简称</w:t>
      </w:r>
      <w:r>
        <w:rPr>
          <w:rFonts w:ascii="Arial" w:hAnsi="Arial" w:cs="Arial" w:eastAsia="Arial" w:hint="default"/>
          <w:spacing w:val="2"/>
          <w:w w:val="95"/>
        </w:rPr>
        <w:t>“</w:t>
      </w:r>
      <w:r>
        <w:rPr>
          <w:spacing w:val="2"/>
          <w:w w:val="95"/>
        </w:rPr>
        <w:t>用友科技</w:t>
      </w:r>
      <w:r>
        <w:rPr>
          <w:rFonts w:ascii="Arial" w:hAnsi="Arial" w:cs="Arial" w:eastAsia="Arial" w:hint="default"/>
          <w:spacing w:val="2"/>
          <w:w w:val="95"/>
        </w:rPr>
        <w:t>”)</w:t>
      </w:r>
      <w:r>
        <w:rPr>
          <w:spacing w:val="2"/>
          <w:w w:val="95"/>
        </w:rPr>
        <w:t>、北京用友企业管理研</w:t>
      </w:r>
      <w:r>
        <w:rPr>
          <w:spacing w:val="83"/>
          <w:w w:val="95"/>
        </w:rPr>
        <w:t> </w:t>
      </w:r>
      <w:r>
        <w:rPr>
          <w:spacing w:val="83"/>
          <w:w w:val="95"/>
        </w:rPr>
      </w:r>
      <w:r>
        <w:rPr>
          <w:spacing w:val="-1"/>
          <w:w w:val="95"/>
        </w:rPr>
        <w:t>究所有限公司</w:t>
      </w:r>
      <w:r>
        <w:rPr>
          <w:rFonts w:ascii="Arial" w:hAnsi="Arial" w:cs="Arial" w:eastAsia="Arial" w:hint="default"/>
          <w:spacing w:val="-1"/>
          <w:w w:val="95"/>
        </w:rPr>
        <w:t>(</w:t>
      </w:r>
      <w:r>
        <w:rPr>
          <w:spacing w:val="-1"/>
          <w:w w:val="95"/>
        </w:rPr>
        <w:t>以下简称</w:t>
      </w:r>
      <w:r>
        <w:rPr>
          <w:rFonts w:ascii="Arial" w:hAnsi="Arial" w:cs="Arial" w:eastAsia="Arial" w:hint="default"/>
          <w:spacing w:val="-1"/>
          <w:w w:val="95"/>
        </w:rPr>
        <w:t>“</w:t>
      </w:r>
      <w:r>
        <w:rPr>
          <w:spacing w:val="-1"/>
          <w:w w:val="95"/>
        </w:rPr>
        <w:t>用友研究所</w:t>
      </w:r>
      <w:r>
        <w:rPr>
          <w:rFonts w:ascii="Arial" w:hAnsi="Arial" w:cs="Arial" w:eastAsia="Arial" w:hint="default"/>
          <w:spacing w:val="-1"/>
          <w:w w:val="95"/>
        </w:rPr>
        <w:t>”)</w:t>
      </w:r>
      <w:r>
        <w:rPr>
          <w:spacing w:val="-1"/>
          <w:w w:val="95"/>
        </w:rPr>
        <w:t>、上海用友科技咨询有限公司</w:t>
      </w:r>
      <w:r>
        <w:rPr>
          <w:rFonts w:ascii="Arial" w:hAnsi="Arial" w:cs="Arial" w:eastAsia="Arial" w:hint="default"/>
          <w:spacing w:val="-1"/>
          <w:w w:val="95"/>
        </w:rPr>
        <w:t>(</w:t>
      </w:r>
      <w:r>
        <w:rPr>
          <w:spacing w:val="-1"/>
          <w:w w:val="95"/>
        </w:rPr>
        <w:t>以下简称</w:t>
      </w:r>
      <w:r>
        <w:rPr>
          <w:rFonts w:ascii="Arial" w:hAnsi="Arial" w:cs="Arial" w:eastAsia="Arial" w:hint="default"/>
          <w:spacing w:val="-1"/>
          <w:w w:val="95"/>
        </w:rPr>
        <w:t>“</w:t>
      </w:r>
      <w:r>
        <w:rPr>
          <w:spacing w:val="-1"/>
          <w:w w:val="95"/>
        </w:rPr>
        <w:t>上海用友科技</w:t>
      </w:r>
      <w:r>
        <w:rPr>
          <w:spacing w:val="1"/>
          <w:w w:val="95"/>
        </w:rPr>
        <w:t> </w:t>
      </w:r>
      <w:r>
        <w:rPr>
          <w:spacing w:val="1"/>
          <w:w w:val="95"/>
        </w:rPr>
      </w:r>
      <w:r>
        <w:rPr>
          <w:spacing w:val="2"/>
          <w:w w:val="95"/>
        </w:rPr>
        <w:t>咨询</w:t>
      </w:r>
      <w:r>
        <w:rPr>
          <w:rFonts w:ascii="Arial" w:hAnsi="Arial" w:cs="Arial" w:eastAsia="Arial" w:hint="default"/>
          <w:spacing w:val="2"/>
          <w:w w:val="95"/>
        </w:rPr>
        <w:t>”)</w:t>
      </w:r>
      <w:r>
        <w:rPr>
          <w:spacing w:val="2"/>
          <w:w w:val="95"/>
        </w:rPr>
        <w:t>、上海益倍管理咨询有限公司</w:t>
      </w:r>
      <w:r>
        <w:rPr>
          <w:rFonts w:ascii="Arial" w:hAnsi="Arial" w:cs="Arial" w:eastAsia="Arial" w:hint="default"/>
          <w:spacing w:val="2"/>
          <w:w w:val="95"/>
        </w:rPr>
        <w:t>(</w:t>
      </w:r>
      <w:r>
        <w:rPr>
          <w:spacing w:val="2"/>
          <w:w w:val="95"/>
        </w:rPr>
        <w:t>以下简称</w:t>
      </w:r>
      <w:r>
        <w:rPr>
          <w:rFonts w:ascii="Arial" w:hAnsi="Arial" w:cs="Arial" w:eastAsia="Arial" w:hint="default"/>
          <w:spacing w:val="2"/>
          <w:w w:val="95"/>
        </w:rPr>
        <w:t>“</w:t>
      </w:r>
      <w:r>
        <w:rPr>
          <w:spacing w:val="2"/>
          <w:w w:val="95"/>
        </w:rPr>
        <w:t>上海益倍</w:t>
      </w:r>
      <w:r>
        <w:rPr>
          <w:rFonts w:ascii="Arial" w:hAnsi="Arial" w:cs="Arial" w:eastAsia="Arial" w:hint="default"/>
          <w:spacing w:val="2"/>
          <w:w w:val="95"/>
        </w:rPr>
        <w:t>”)</w:t>
      </w:r>
      <w:r>
        <w:rPr>
          <w:spacing w:val="2"/>
          <w:w w:val="95"/>
        </w:rPr>
        <w:t>和上海优富信息咨询有限公司</w:t>
      </w:r>
      <w:r>
        <w:rPr>
          <w:rFonts w:ascii="Arial" w:hAnsi="Arial" w:cs="Arial" w:eastAsia="Arial" w:hint="default"/>
          <w:spacing w:val="2"/>
          <w:w w:val="95"/>
        </w:rPr>
        <w:t>(</w:t>
      </w:r>
      <w:r>
        <w:rPr>
          <w:spacing w:val="2"/>
          <w:w w:val="95"/>
        </w:rPr>
        <w:t>以</w:t>
      </w:r>
      <w:r>
        <w:rPr>
          <w:spacing w:val="79"/>
          <w:w w:val="95"/>
        </w:rPr>
        <w:t> </w:t>
      </w:r>
      <w:r>
        <w:rPr/>
        <w:t>下简称</w:t>
      </w:r>
      <w:r>
        <w:rPr>
          <w:rFonts w:ascii="Arial" w:hAnsi="Arial" w:cs="Arial" w:eastAsia="Arial" w:hint="default"/>
        </w:rPr>
        <w:t>“</w:t>
      </w:r>
      <w:r>
        <w:rPr/>
        <w:t>上海优富</w:t>
      </w:r>
      <w:r>
        <w:rPr>
          <w:rFonts w:ascii="Arial" w:hAnsi="Arial" w:cs="Arial" w:eastAsia="Arial" w:hint="default"/>
        </w:rPr>
        <w:t>”)</w:t>
      </w:r>
      <w:r>
        <w:rPr/>
        <w:t>作为发起人，将原北京用友软件</w:t>
      </w:r>
      <w:r>
        <w:rPr>
          <w:rFonts w:ascii="Arial" w:hAnsi="Arial" w:cs="Arial" w:eastAsia="Arial" w:hint="default"/>
        </w:rPr>
        <w:t>(</w:t>
      </w:r>
      <w:r>
        <w:rPr/>
        <w:t>集团</w:t>
      </w:r>
      <w:r>
        <w:rPr>
          <w:rFonts w:ascii="Arial" w:hAnsi="Arial" w:cs="Arial" w:eastAsia="Arial" w:hint="default"/>
        </w:rPr>
        <w:t>)</w:t>
      </w:r>
      <w:r>
        <w:rPr/>
        <w:t>有限公司依法变更为北京用友软件</w:t>
      </w:r>
      <w:r>
        <w:rPr>
          <w:spacing w:val="-96"/>
        </w:rPr>
        <w:t> </w:t>
      </w:r>
      <w:r>
        <w:rPr>
          <w:spacing w:val="-96"/>
        </w:rPr>
      </w:r>
      <w:r>
        <w:rPr/>
        <w:t>股份有限公司。</w:t>
      </w:r>
    </w:p>
    <w:p>
      <w:pPr>
        <w:spacing w:line="240" w:lineRule="auto" w:before="11"/>
        <w:rPr>
          <w:rFonts w:ascii="黑体" w:hAnsi="黑体" w:cs="黑体" w:eastAsia="黑体" w:hint="default"/>
          <w:sz w:val="21"/>
          <w:szCs w:val="21"/>
        </w:rPr>
      </w:pPr>
    </w:p>
    <w:p>
      <w:pPr>
        <w:pStyle w:val="BodyText"/>
        <w:spacing w:line="260" w:lineRule="exact"/>
        <w:ind w:right="134"/>
        <w:jc w:val="both"/>
      </w:pPr>
      <w:r>
        <w:rPr>
          <w:w w:val="95"/>
        </w:rPr>
        <w:t>经中国证券监督管理委员会</w:t>
      </w:r>
      <w:r>
        <w:rPr>
          <w:rFonts w:ascii="Arial" w:hAnsi="Arial" w:cs="Arial" w:eastAsia="Arial" w:hint="default"/>
          <w:w w:val="95"/>
        </w:rPr>
        <w:t>2001</w:t>
      </w:r>
      <w:r>
        <w:rPr>
          <w:w w:val="95"/>
        </w:rPr>
        <w:t>年</w:t>
      </w:r>
      <w:r>
        <w:rPr>
          <w:rFonts w:ascii="Arial" w:hAnsi="Arial" w:cs="Arial" w:eastAsia="Arial" w:hint="default"/>
          <w:w w:val="95"/>
        </w:rPr>
        <w:t>4</w:t>
      </w:r>
      <w:r>
        <w:rPr>
          <w:w w:val="95"/>
        </w:rPr>
        <w:t>月</w:t>
      </w:r>
      <w:r>
        <w:rPr>
          <w:rFonts w:ascii="Arial" w:hAnsi="Arial" w:cs="Arial" w:eastAsia="Arial" w:hint="default"/>
          <w:w w:val="95"/>
        </w:rPr>
        <w:t>18</w:t>
      </w:r>
      <w:r>
        <w:rPr>
          <w:w w:val="95"/>
        </w:rPr>
        <w:t>日签发的证监发行字</w:t>
      </w:r>
      <w:r>
        <w:rPr>
          <w:rFonts w:ascii="Arial" w:hAnsi="Arial" w:cs="Arial" w:eastAsia="Arial" w:hint="default"/>
          <w:w w:val="95"/>
        </w:rPr>
        <w:t>[2001]28</w:t>
      </w:r>
      <w:r>
        <w:rPr>
          <w:w w:val="95"/>
        </w:rPr>
        <w:t>号文批准，本公司利</w:t>
      </w:r>
      <w:r>
        <w:rPr>
          <w:spacing w:val="90"/>
          <w:w w:val="95"/>
        </w:rPr>
        <w:t> </w:t>
      </w:r>
      <w:r>
        <w:rPr>
          <w:spacing w:val="90"/>
          <w:w w:val="95"/>
        </w:rPr>
      </w:r>
      <w:r>
        <w:rPr/>
        <w:t>用上海证券交易所交易系统，采用上网定价方式向社会公开发行每股面值为</w:t>
      </w:r>
      <w:r>
        <w:rPr>
          <w:rFonts w:ascii="Arial" w:hAnsi="Arial" w:cs="Arial" w:eastAsia="Arial" w:hint="default"/>
        </w:rPr>
        <w:t>1</w:t>
      </w:r>
      <w:r>
        <w:rPr/>
        <w:t>元的人民币普</w:t>
      </w:r>
      <w:r>
        <w:rPr>
          <w:spacing w:val="-72"/>
        </w:rPr>
        <w:t> </w:t>
      </w:r>
      <w:r>
        <w:rPr>
          <w:spacing w:val="-72"/>
        </w:rPr>
      </w:r>
      <w:r>
        <w:rPr/>
        <w:t>通股。</w:t>
      </w:r>
    </w:p>
    <w:p>
      <w:pPr>
        <w:spacing w:line="240" w:lineRule="auto" w:before="0"/>
        <w:rPr>
          <w:rFonts w:ascii="黑体" w:hAnsi="黑体" w:cs="黑体" w:eastAsia="黑体" w:hint="default"/>
          <w:sz w:val="19"/>
          <w:szCs w:val="19"/>
        </w:rPr>
      </w:pPr>
    </w:p>
    <w:p>
      <w:pPr>
        <w:pStyle w:val="BodyText"/>
        <w:spacing w:line="225" w:lineRule="auto"/>
        <w:ind w:left="813" w:right="134"/>
        <w:jc w:val="both"/>
      </w:pPr>
      <w:r>
        <w:rPr>
          <w:spacing w:val="7"/>
        </w:rPr>
        <w:t>经本公司于</w:t>
      </w:r>
      <w:r>
        <w:rPr>
          <w:rFonts w:ascii="Arial" w:hAnsi="Arial" w:cs="Arial" w:eastAsia="Arial" w:hint="default"/>
          <w:spacing w:val="7"/>
        </w:rPr>
        <w:t>2006</w:t>
      </w:r>
      <w:r>
        <w:rPr>
          <w:spacing w:val="7"/>
        </w:rPr>
        <w:t>年</w:t>
      </w:r>
      <w:r>
        <w:rPr>
          <w:rFonts w:ascii="Arial" w:hAnsi="Arial" w:cs="Arial" w:eastAsia="Arial" w:hint="default"/>
          <w:spacing w:val="7"/>
        </w:rPr>
        <w:t>4</w:t>
      </w:r>
      <w:r>
        <w:rPr>
          <w:spacing w:val="7"/>
        </w:rPr>
        <w:t>月</w:t>
      </w:r>
      <w:r>
        <w:rPr>
          <w:rFonts w:ascii="Arial" w:hAnsi="Arial" w:cs="Arial" w:eastAsia="Arial" w:hint="default"/>
          <w:spacing w:val="7"/>
        </w:rPr>
        <w:t>28</w:t>
      </w:r>
      <w:r>
        <w:rPr>
          <w:spacing w:val="7"/>
        </w:rPr>
        <w:t>日召开的股东大会决议通过的关于</w:t>
      </w:r>
      <w:r>
        <w:rPr>
          <w:rFonts w:ascii="Arial" w:hAnsi="Arial" w:cs="Arial" w:eastAsia="Arial" w:hint="default"/>
          <w:spacing w:val="7"/>
        </w:rPr>
        <w:t>2005</w:t>
      </w:r>
      <w:r>
        <w:rPr>
          <w:spacing w:val="7"/>
        </w:rPr>
        <w:t>年度利润分配议案，以</w:t>
      </w:r>
      <w:r>
        <w:rPr>
          <w:spacing w:val="-95"/>
        </w:rPr>
        <w:t> </w:t>
      </w:r>
      <w:r>
        <w:rPr>
          <w:spacing w:val="-95"/>
        </w:rPr>
      </w:r>
      <w:r>
        <w:rPr>
          <w:rFonts w:ascii="Arial" w:hAnsi="Arial" w:cs="Arial" w:eastAsia="Arial" w:hint="default"/>
        </w:rPr>
        <w:t>2005</w:t>
      </w:r>
      <w:r>
        <w:rPr/>
        <w:t>年末股份总数</w:t>
      </w:r>
      <w:r>
        <w:rPr>
          <w:rFonts w:ascii="Arial" w:hAnsi="Arial" w:cs="Arial" w:eastAsia="Arial" w:hint="default"/>
        </w:rPr>
        <w:t>172,800,000</w:t>
      </w:r>
      <w:r>
        <w:rPr/>
        <w:t>股为基数，向全体股东每</w:t>
      </w:r>
      <w:r>
        <w:rPr>
          <w:rFonts w:ascii="Arial" w:hAnsi="Arial" w:cs="Arial" w:eastAsia="Arial" w:hint="default"/>
        </w:rPr>
        <w:t>10</w:t>
      </w:r>
      <w:r>
        <w:rPr/>
        <w:t>股转增</w:t>
      </w:r>
      <w:r>
        <w:rPr>
          <w:rFonts w:ascii="Arial" w:hAnsi="Arial" w:cs="Arial" w:eastAsia="Arial" w:hint="default"/>
        </w:rPr>
        <w:t>3</w:t>
      </w:r>
      <w:r>
        <w:rPr/>
        <w:t>股，共计由资本公积转</w:t>
      </w:r>
      <w:r>
        <w:rPr>
          <w:spacing w:val="-62"/>
        </w:rPr>
        <w:t> </w:t>
      </w:r>
      <w:r>
        <w:rPr>
          <w:spacing w:val="-62"/>
        </w:rPr>
      </w:r>
      <w:r>
        <w:rPr>
          <w:spacing w:val="4"/>
        </w:rPr>
        <w:t>增股本</w:t>
      </w:r>
      <w:r>
        <w:rPr>
          <w:rFonts w:ascii="Arial" w:hAnsi="Arial" w:cs="Arial" w:eastAsia="Arial" w:hint="default"/>
          <w:spacing w:val="4"/>
        </w:rPr>
        <w:t>51,840,000</w:t>
      </w:r>
      <w:r>
        <w:rPr>
          <w:spacing w:val="4"/>
        </w:rPr>
        <w:t>股。转增后，本公司的注册资本从人民币</w:t>
      </w:r>
      <w:r>
        <w:rPr>
          <w:rFonts w:ascii="Arial" w:hAnsi="Arial" w:cs="Arial" w:eastAsia="Arial" w:hint="default"/>
          <w:spacing w:val="4"/>
        </w:rPr>
        <w:t>172,800,000</w:t>
      </w:r>
      <w:r>
        <w:rPr>
          <w:spacing w:val="4"/>
        </w:rPr>
        <w:t>元增加至人民币</w:t>
      </w:r>
      <w:r>
        <w:rPr>
          <w:spacing w:val="-85"/>
        </w:rPr>
        <w:t> </w:t>
      </w:r>
      <w:r>
        <w:rPr>
          <w:spacing w:val="-85"/>
        </w:rPr>
      </w:r>
      <w:r>
        <w:rPr>
          <w:rFonts w:ascii="Arial" w:hAnsi="Arial" w:cs="Arial" w:eastAsia="Arial" w:hint="default"/>
        </w:rPr>
        <w:t>224,640,000</w:t>
      </w:r>
      <w:r>
        <w:rPr/>
        <w:t>元。</w:t>
      </w:r>
    </w:p>
    <w:p>
      <w:pPr>
        <w:spacing w:line="240" w:lineRule="auto" w:before="4"/>
        <w:rPr>
          <w:rFonts w:ascii="黑体" w:hAnsi="黑体" w:cs="黑体" w:eastAsia="黑体" w:hint="default"/>
          <w:sz w:val="27"/>
          <w:szCs w:val="27"/>
        </w:rPr>
      </w:pPr>
    </w:p>
    <w:p>
      <w:pPr>
        <w:pStyle w:val="BodyText"/>
        <w:spacing w:line="228" w:lineRule="auto"/>
        <w:ind w:left="813" w:right="142"/>
        <w:jc w:val="both"/>
      </w:pPr>
      <w:r>
        <w:rPr/>
        <w:t>经本公司于</w:t>
      </w:r>
      <w:r>
        <w:rPr>
          <w:rFonts w:ascii="Arial" w:hAnsi="Arial" w:cs="Arial" w:eastAsia="Arial" w:hint="default"/>
        </w:rPr>
        <w:t>2007</w:t>
      </w:r>
      <w:r>
        <w:rPr/>
        <w:t>年</w:t>
      </w:r>
      <w:r>
        <w:rPr>
          <w:rFonts w:ascii="Arial" w:hAnsi="Arial" w:cs="Arial" w:eastAsia="Arial" w:hint="default"/>
        </w:rPr>
        <w:t>8</w:t>
      </w:r>
      <w:r>
        <w:rPr/>
        <w:t>月</w:t>
      </w:r>
      <w:r>
        <w:rPr>
          <w:rFonts w:ascii="Arial" w:hAnsi="Arial" w:cs="Arial" w:eastAsia="Arial" w:hint="default"/>
        </w:rPr>
        <w:t>3</w:t>
      </w:r>
      <w:r>
        <w:rPr/>
        <w:t>日召开的</w:t>
      </w:r>
      <w:r>
        <w:rPr>
          <w:rFonts w:ascii="Arial" w:hAnsi="Arial" w:cs="Arial" w:eastAsia="Arial" w:hint="default"/>
        </w:rPr>
        <w:t>2007</w:t>
      </w:r>
      <w:r>
        <w:rPr/>
        <w:t>年第一次临时股东大会审议通过以授予附有一定禁售</w:t>
      </w:r>
      <w:r>
        <w:rPr>
          <w:spacing w:val="-78"/>
        </w:rPr>
        <w:t> </w:t>
      </w:r>
      <w:r>
        <w:rPr>
          <w:spacing w:val="-78"/>
        </w:rPr>
      </w:r>
      <w:r>
        <w:rPr>
          <w:spacing w:val="2"/>
          <w:w w:val="95"/>
        </w:rPr>
        <w:t>期限的股票</w:t>
      </w:r>
      <w:r>
        <w:rPr>
          <w:rFonts w:ascii="Arial" w:hAnsi="Arial" w:cs="Arial" w:eastAsia="Arial" w:hint="default"/>
          <w:spacing w:val="2"/>
          <w:w w:val="95"/>
        </w:rPr>
        <w:t>(</w:t>
      </w:r>
      <w:r>
        <w:rPr>
          <w:spacing w:val="2"/>
          <w:w w:val="95"/>
        </w:rPr>
        <w:t>以下简称</w:t>
      </w:r>
      <w:r>
        <w:rPr>
          <w:rFonts w:ascii="Arial" w:hAnsi="Arial" w:cs="Arial" w:eastAsia="Arial" w:hint="default"/>
          <w:spacing w:val="2"/>
          <w:w w:val="95"/>
        </w:rPr>
        <w:t>“</w:t>
      </w:r>
      <w:r>
        <w:rPr>
          <w:spacing w:val="2"/>
          <w:w w:val="95"/>
        </w:rPr>
        <w:t>标的股票</w:t>
      </w:r>
      <w:r>
        <w:rPr>
          <w:rFonts w:ascii="Arial" w:hAnsi="Arial" w:cs="Arial" w:eastAsia="Arial" w:hint="default"/>
          <w:spacing w:val="2"/>
          <w:w w:val="95"/>
        </w:rPr>
        <w:t>”)</w:t>
      </w:r>
      <w:r>
        <w:rPr>
          <w:spacing w:val="2"/>
          <w:w w:val="95"/>
        </w:rPr>
        <w:t>的方式实施股权激励计划，藉此奖励对本集团业务有贡献</w:t>
      </w:r>
      <w:r>
        <w:rPr>
          <w:spacing w:val="83"/>
          <w:w w:val="95"/>
        </w:rPr>
        <w:t> </w:t>
      </w:r>
      <w:r>
        <w:rPr>
          <w:spacing w:val="83"/>
          <w:w w:val="95"/>
        </w:rPr>
      </w:r>
      <w:r>
        <w:rPr>
          <w:spacing w:val="-1"/>
          <w:w w:val="95"/>
        </w:rPr>
        <w:t>的员工。该股权激励计划的激励对象为本公司监事、高级管理人员和其他核心员工。根据公</w:t>
      </w:r>
      <w:r>
        <w:rPr>
          <w:w w:val="95"/>
        </w:rPr>
        <w:t> </w:t>
      </w:r>
      <w:r>
        <w:rPr>
          <w:w w:val="95"/>
        </w:rPr>
      </w:r>
      <w:r>
        <w:rPr>
          <w:spacing w:val="-3"/>
        </w:rPr>
        <w:t>司股东大会的授权，公司董事会于</w:t>
      </w:r>
      <w:r>
        <w:rPr>
          <w:rFonts w:ascii="Arial" w:hAnsi="Arial" w:cs="Arial" w:eastAsia="Arial" w:hint="default"/>
          <w:spacing w:val="-3"/>
        </w:rPr>
        <w:t>2007</w:t>
      </w:r>
      <w:r>
        <w:rPr>
          <w:spacing w:val="-3"/>
        </w:rPr>
        <w:t>年</w:t>
      </w:r>
      <w:r>
        <w:rPr>
          <w:rFonts w:ascii="Arial" w:hAnsi="Arial" w:cs="Arial" w:eastAsia="Arial" w:hint="default"/>
          <w:spacing w:val="-3"/>
        </w:rPr>
        <w:t>8</w:t>
      </w:r>
      <w:r>
        <w:rPr>
          <w:spacing w:val="-3"/>
        </w:rPr>
        <w:t>月</w:t>
      </w:r>
      <w:r>
        <w:rPr>
          <w:rFonts w:ascii="Arial" w:hAnsi="Arial" w:cs="Arial" w:eastAsia="Arial" w:hint="default"/>
          <w:spacing w:val="-3"/>
        </w:rPr>
        <w:t>8</w:t>
      </w:r>
      <w:r>
        <w:rPr>
          <w:spacing w:val="-3"/>
        </w:rPr>
        <w:t>日，向符合授予条件的股权激励对象授予《用</w:t>
      </w:r>
      <w:r>
        <w:rPr>
          <w:w w:val="99"/>
        </w:rPr>
        <w:t> </w:t>
      </w:r>
      <w:r>
        <w:rPr>
          <w:spacing w:val="-2"/>
          <w:w w:val="95"/>
        </w:rPr>
        <w:t>友软件股份有限公司股权激励计划</w:t>
      </w:r>
      <w:r>
        <w:rPr>
          <w:rFonts w:ascii="Arial" w:hAnsi="Arial" w:cs="Arial" w:eastAsia="Arial" w:hint="default"/>
          <w:spacing w:val="-2"/>
          <w:w w:val="95"/>
        </w:rPr>
        <w:t>(</w:t>
      </w:r>
      <w:r>
        <w:rPr>
          <w:spacing w:val="-2"/>
          <w:w w:val="95"/>
        </w:rPr>
        <w:t>修订稿</w:t>
      </w:r>
      <w:r>
        <w:rPr>
          <w:rFonts w:ascii="Arial" w:hAnsi="Arial" w:cs="Arial" w:eastAsia="Arial" w:hint="default"/>
          <w:spacing w:val="-2"/>
          <w:w w:val="95"/>
        </w:rPr>
        <w:t>)</w:t>
      </w:r>
      <w:r>
        <w:rPr>
          <w:spacing w:val="-2"/>
          <w:w w:val="95"/>
        </w:rPr>
        <w:t>》</w:t>
      </w:r>
      <w:r>
        <w:rPr>
          <w:rFonts w:ascii="Arial" w:hAnsi="Arial" w:cs="Arial" w:eastAsia="Arial" w:hint="default"/>
          <w:spacing w:val="-2"/>
          <w:w w:val="95"/>
        </w:rPr>
        <w:t>(</w:t>
      </w:r>
      <w:r>
        <w:rPr>
          <w:spacing w:val="-2"/>
          <w:w w:val="95"/>
        </w:rPr>
        <w:t>以下简称</w:t>
      </w:r>
      <w:r>
        <w:rPr>
          <w:rFonts w:ascii="Arial" w:hAnsi="Arial" w:cs="Arial" w:eastAsia="Arial" w:hint="default"/>
          <w:spacing w:val="-2"/>
          <w:w w:val="95"/>
        </w:rPr>
        <w:t>“</w:t>
      </w:r>
      <w:r>
        <w:rPr>
          <w:spacing w:val="-2"/>
          <w:w w:val="95"/>
        </w:rPr>
        <w:t>修订稿</w:t>
      </w:r>
      <w:r>
        <w:rPr>
          <w:rFonts w:ascii="Arial" w:hAnsi="Arial" w:cs="Arial" w:eastAsia="Arial" w:hint="default"/>
          <w:spacing w:val="-2"/>
          <w:w w:val="95"/>
        </w:rPr>
        <w:t>”)</w:t>
      </w:r>
      <w:r>
        <w:rPr>
          <w:spacing w:val="-2"/>
          <w:w w:val="95"/>
        </w:rPr>
        <w:t>中的</w:t>
      </w:r>
      <w:r>
        <w:rPr>
          <w:rFonts w:ascii="Arial" w:hAnsi="Arial" w:cs="Arial" w:eastAsia="Arial" w:hint="default"/>
          <w:spacing w:val="-2"/>
          <w:w w:val="95"/>
        </w:rPr>
        <w:t>2007</w:t>
      </w:r>
      <w:r>
        <w:rPr>
          <w:spacing w:val="-2"/>
          <w:w w:val="95"/>
        </w:rPr>
        <w:t>年度股票。认购完</w:t>
      </w:r>
      <w:r>
        <w:rPr>
          <w:spacing w:val="6"/>
          <w:w w:val="95"/>
        </w:rPr>
        <w:t> </w:t>
      </w:r>
      <w:r>
        <w:rPr>
          <w:spacing w:val="6"/>
          <w:w w:val="95"/>
        </w:rPr>
      </w:r>
      <w:r>
        <w:rPr/>
        <w:t>成后，本公司的注册及实收资本由人民币</w:t>
      </w:r>
      <w:r>
        <w:rPr>
          <w:rFonts w:ascii="Arial" w:hAnsi="Arial" w:cs="Arial" w:eastAsia="Arial" w:hint="default"/>
        </w:rPr>
        <w:t>224,640,000</w:t>
      </w:r>
      <w:r>
        <w:rPr/>
        <w:t>元增加至人民币</w:t>
      </w:r>
      <w:r>
        <w:rPr>
          <w:rFonts w:ascii="Arial" w:hAnsi="Arial" w:cs="Arial" w:eastAsia="Arial" w:hint="default"/>
        </w:rPr>
        <w:t>231,379,200</w:t>
      </w:r>
      <w:r>
        <w:rPr/>
        <w:t>元。</w:t>
      </w:r>
    </w:p>
    <w:p>
      <w:pPr>
        <w:spacing w:line="240" w:lineRule="auto" w:before="12"/>
        <w:rPr>
          <w:rFonts w:ascii="黑体" w:hAnsi="黑体" w:cs="黑体" w:eastAsia="黑体" w:hint="default"/>
          <w:sz w:val="19"/>
          <w:szCs w:val="19"/>
        </w:rPr>
      </w:pPr>
    </w:p>
    <w:p>
      <w:pPr>
        <w:pStyle w:val="BodyText"/>
        <w:spacing w:line="225" w:lineRule="auto"/>
        <w:ind w:left="813" w:right="135"/>
        <w:jc w:val="both"/>
      </w:pPr>
      <w:r>
        <w:rPr>
          <w:spacing w:val="-2"/>
        </w:rPr>
        <w:t>经本公司于</w:t>
      </w:r>
      <w:r>
        <w:rPr>
          <w:rFonts w:ascii="Arial" w:hAnsi="Arial" w:cs="Arial" w:eastAsia="Arial" w:hint="default"/>
          <w:spacing w:val="-2"/>
        </w:rPr>
        <w:t>2008</w:t>
      </w:r>
      <w:r>
        <w:rPr>
          <w:spacing w:val="-2"/>
        </w:rPr>
        <w:t>年</w:t>
      </w:r>
      <w:r>
        <w:rPr>
          <w:rFonts w:ascii="Arial" w:hAnsi="Arial" w:cs="Arial" w:eastAsia="Arial" w:hint="default"/>
          <w:spacing w:val="-2"/>
        </w:rPr>
        <w:t>3</w:t>
      </w:r>
      <w:r>
        <w:rPr>
          <w:spacing w:val="-2"/>
        </w:rPr>
        <w:t>月</w:t>
      </w:r>
      <w:r>
        <w:rPr>
          <w:rFonts w:ascii="Arial" w:hAnsi="Arial" w:cs="Arial" w:eastAsia="Arial" w:hint="default"/>
          <w:spacing w:val="-2"/>
        </w:rPr>
        <w:t>26</w:t>
      </w:r>
      <w:r>
        <w:rPr>
          <w:spacing w:val="-2"/>
        </w:rPr>
        <w:t>日召开的股东大会决议通过的《公司</w:t>
      </w:r>
      <w:r>
        <w:rPr>
          <w:rFonts w:ascii="Arial" w:hAnsi="Arial" w:cs="Arial" w:eastAsia="Arial" w:hint="default"/>
          <w:spacing w:val="-2"/>
        </w:rPr>
        <w:t>2007</w:t>
      </w:r>
      <w:r>
        <w:rPr>
          <w:spacing w:val="-2"/>
        </w:rPr>
        <w:t>年度资本公积金转增股本</w:t>
      </w:r>
      <w:r>
        <w:rPr>
          <w:spacing w:val="-97"/>
        </w:rPr>
        <w:t> </w:t>
      </w:r>
      <w:r>
        <w:rPr>
          <w:spacing w:val="-97"/>
        </w:rPr>
      </w:r>
      <w:r>
        <w:rPr/>
        <w:t>议案》，本公司以</w:t>
      </w:r>
      <w:r>
        <w:rPr>
          <w:rFonts w:ascii="Arial" w:hAnsi="Arial" w:cs="Arial" w:eastAsia="Arial" w:hint="default"/>
        </w:rPr>
        <w:t>2007</w:t>
      </w:r>
      <w:r>
        <w:rPr/>
        <w:t>年末总股本扣除截止到</w:t>
      </w:r>
      <w:r>
        <w:rPr>
          <w:rFonts w:ascii="Arial" w:hAnsi="Arial" w:cs="Arial" w:eastAsia="Arial" w:hint="default"/>
        </w:rPr>
        <w:t>2008</w:t>
      </w:r>
      <w:r>
        <w:rPr/>
        <w:t>年</w:t>
      </w:r>
      <w:r>
        <w:rPr>
          <w:rFonts w:ascii="Arial" w:hAnsi="Arial" w:cs="Arial" w:eastAsia="Arial" w:hint="default"/>
        </w:rPr>
        <w:t>3</w:t>
      </w:r>
      <w:r>
        <w:rPr/>
        <w:t>月</w:t>
      </w:r>
      <w:r>
        <w:rPr>
          <w:rFonts w:ascii="Arial" w:hAnsi="Arial" w:cs="Arial" w:eastAsia="Arial" w:hint="default"/>
        </w:rPr>
        <w:t>3</w:t>
      </w:r>
      <w:r>
        <w:rPr/>
        <w:t>日已批准回购但尚未注销的股权</w:t>
      </w:r>
      <w:r>
        <w:rPr>
          <w:spacing w:val="-76"/>
        </w:rPr>
        <w:t> </w:t>
      </w:r>
      <w:r>
        <w:rPr>
          <w:spacing w:val="-76"/>
        </w:rPr>
      </w:r>
      <w:r>
        <w:rPr>
          <w:spacing w:val="4"/>
          <w:w w:val="95"/>
        </w:rPr>
        <w:t>激励股份计</w:t>
      </w:r>
      <w:r>
        <w:rPr>
          <w:rFonts w:ascii="Arial" w:hAnsi="Arial" w:cs="Arial" w:eastAsia="Arial" w:hint="default"/>
          <w:spacing w:val="4"/>
          <w:w w:val="95"/>
        </w:rPr>
        <w:t>18,000</w:t>
      </w:r>
      <w:r>
        <w:rPr>
          <w:spacing w:val="4"/>
          <w:w w:val="95"/>
        </w:rPr>
        <w:t>股后的</w:t>
      </w:r>
      <w:r>
        <w:rPr>
          <w:rFonts w:ascii="Arial" w:hAnsi="Arial" w:cs="Arial" w:eastAsia="Arial" w:hint="default"/>
          <w:spacing w:val="4"/>
          <w:w w:val="95"/>
        </w:rPr>
        <w:t>231,361,200</w:t>
      </w:r>
      <w:r>
        <w:rPr>
          <w:spacing w:val="4"/>
          <w:w w:val="95"/>
        </w:rPr>
        <w:t>股为基数，向全体股东每</w:t>
      </w:r>
      <w:r>
        <w:rPr>
          <w:rFonts w:ascii="Arial" w:hAnsi="Arial" w:cs="Arial" w:eastAsia="Arial" w:hint="default"/>
          <w:spacing w:val="4"/>
          <w:w w:val="95"/>
        </w:rPr>
        <w:t>10</w:t>
      </w:r>
      <w:r>
        <w:rPr>
          <w:spacing w:val="4"/>
          <w:w w:val="95"/>
        </w:rPr>
        <w:t>股转增</w:t>
      </w:r>
      <w:r>
        <w:rPr>
          <w:rFonts w:ascii="Arial" w:hAnsi="Arial" w:cs="Arial" w:eastAsia="Arial" w:hint="default"/>
          <w:spacing w:val="4"/>
          <w:w w:val="95"/>
        </w:rPr>
        <w:t>10</w:t>
      </w:r>
      <w:r>
        <w:rPr>
          <w:spacing w:val="4"/>
          <w:w w:val="95"/>
        </w:rPr>
        <w:t>股，共计转增</w:t>
      </w:r>
      <w:r>
        <w:rPr>
          <w:spacing w:val="66"/>
          <w:w w:val="95"/>
        </w:rPr>
        <w:t> </w:t>
      </w:r>
      <w:r>
        <w:rPr>
          <w:spacing w:val="66"/>
          <w:w w:val="95"/>
        </w:rPr>
      </w:r>
      <w:r>
        <w:rPr>
          <w:rFonts w:ascii="Arial" w:hAnsi="Arial" w:cs="Arial" w:eastAsia="Arial" w:hint="default"/>
          <w:spacing w:val="-4"/>
          <w:w w:val="99"/>
        </w:rPr>
        <w:t>231,361,200</w:t>
      </w:r>
      <w:r>
        <w:rPr>
          <w:spacing w:val="-4"/>
          <w:w w:val="99"/>
        </w:rPr>
        <w:t>股。转增后，公司的注册资本从人民币</w:t>
      </w:r>
      <w:r>
        <w:rPr>
          <w:rFonts w:ascii="Arial" w:hAnsi="Arial" w:cs="Arial" w:eastAsia="Arial" w:hint="default"/>
          <w:spacing w:val="-4"/>
          <w:w w:val="99"/>
        </w:rPr>
        <w:t>231,379,200</w:t>
      </w:r>
      <w:r>
        <w:rPr>
          <w:spacing w:val="-4"/>
          <w:w w:val="99"/>
        </w:rPr>
        <w:t>元增加至人民币</w:t>
      </w:r>
      <w:r>
        <w:rPr>
          <w:rFonts w:ascii="Arial" w:hAnsi="Arial" w:cs="Arial" w:eastAsia="Arial" w:hint="default"/>
          <w:spacing w:val="-4"/>
          <w:w w:val="99"/>
        </w:rPr>
        <w:t>462,740,400</w:t>
      </w:r>
      <w:r>
        <w:rPr>
          <w:rFonts w:ascii="Arial" w:hAnsi="Arial" w:cs="Arial" w:eastAsia="Arial" w:hint="default"/>
          <w:spacing w:val="-2"/>
          <w:w w:val="99"/>
        </w:rPr>
        <w:t> </w:t>
      </w:r>
      <w:r>
        <w:rPr>
          <w:rFonts w:ascii="Arial" w:hAnsi="Arial" w:cs="Arial" w:eastAsia="Arial" w:hint="default"/>
          <w:spacing w:val="-2"/>
          <w:w w:val="99"/>
        </w:rPr>
      </w:r>
      <w:r>
        <w:rPr/>
        <w:t>元。</w:t>
      </w:r>
    </w:p>
    <w:p>
      <w:pPr>
        <w:spacing w:line="240" w:lineRule="auto" w:before="8"/>
        <w:rPr>
          <w:rFonts w:ascii="黑体" w:hAnsi="黑体" w:cs="黑体" w:eastAsia="黑体" w:hint="default"/>
          <w:sz w:val="20"/>
          <w:szCs w:val="20"/>
        </w:rPr>
      </w:pPr>
    </w:p>
    <w:p>
      <w:pPr>
        <w:pStyle w:val="BodyText"/>
        <w:spacing w:line="230" w:lineRule="auto"/>
        <w:ind w:left="812" w:right="136"/>
        <w:jc w:val="both"/>
      </w:pPr>
      <w:r>
        <w:rPr>
          <w:spacing w:val="-1"/>
          <w:w w:val="95"/>
        </w:rPr>
        <w:t>因有部分股权激励对象发生了公司股权激励计划中规定的变更和终止的情形，根据修订稿中</w:t>
      </w:r>
      <w:r>
        <w:rPr>
          <w:w w:val="95"/>
        </w:rPr>
        <w:t> </w:t>
      </w:r>
      <w:r>
        <w:rPr>
          <w:w w:val="95"/>
        </w:rPr>
      </w:r>
      <w:r>
        <w:rPr>
          <w:spacing w:val="2"/>
          <w:w w:val="95"/>
        </w:rPr>
        <w:t>的有关条款和股东大会授权，本公司董事会分别于</w:t>
      </w:r>
      <w:r>
        <w:rPr>
          <w:rFonts w:ascii="Arial" w:hAnsi="Arial" w:cs="Arial" w:eastAsia="Arial" w:hint="default"/>
          <w:spacing w:val="2"/>
          <w:w w:val="95"/>
        </w:rPr>
        <w:t>2008</w:t>
      </w:r>
      <w:r>
        <w:rPr>
          <w:spacing w:val="2"/>
          <w:w w:val="95"/>
        </w:rPr>
        <w:t>年</w:t>
      </w:r>
      <w:r>
        <w:rPr>
          <w:rFonts w:ascii="Arial" w:hAnsi="Arial" w:cs="Arial" w:eastAsia="Arial" w:hint="default"/>
          <w:spacing w:val="2"/>
          <w:w w:val="95"/>
        </w:rPr>
        <w:t>3</w:t>
      </w:r>
      <w:r>
        <w:rPr>
          <w:spacing w:val="2"/>
          <w:w w:val="95"/>
        </w:rPr>
        <w:t>月</w:t>
      </w:r>
      <w:r>
        <w:rPr>
          <w:rFonts w:ascii="Arial" w:hAnsi="Arial" w:cs="Arial" w:eastAsia="Arial" w:hint="default"/>
          <w:spacing w:val="2"/>
          <w:w w:val="95"/>
        </w:rPr>
        <w:t>3</w:t>
      </w:r>
      <w:r>
        <w:rPr>
          <w:spacing w:val="2"/>
          <w:w w:val="95"/>
        </w:rPr>
        <w:t>日召开的第三届董事会第二</w:t>
      </w:r>
      <w:r>
        <w:rPr>
          <w:spacing w:val="82"/>
          <w:w w:val="95"/>
        </w:rPr>
        <w:t> </w:t>
      </w:r>
      <w:r>
        <w:rPr>
          <w:spacing w:val="82"/>
          <w:w w:val="95"/>
        </w:rPr>
      </w:r>
      <w:r>
        <w:rPr>
          <w:w w:val="95"/>
        </w:rPr>
        <w:t>次会议、</w:t>
      </w:r>
      <w:r>
        <w:rPr>
          <w:rFonts w:ascii="Arial" w:hAnsi="Arial" w:cs="Arial" w:eastAsia="Arial" w:hint="default"/>
          <w:w w:val="95"/>
        </w:rPr>
        <w:t>2008</w:t>
      </w:r>
      <w:r>
        <w:rPr>
          <w:w w:val="95"/>
        </w:rPr>
        <w:t>年</w:t>
      </w:r>
      <w:r>
        <w:rPr>
          <w:rFonts w:ascii="Arial" w:hAnsi="Arial" w:cs="Arial" w:eastAsia="Arial" w:hint="default"/>
          <w:w w:val="95"/>
        </w:rPr>
        <w:t>4</w:t>
      </w:r>
      <w:r>
        <w:rPr>
          <w:w w:val="95"/>
        </w:rPr>
        <w:t>月</w:t>
      </w:r>
      <w:r>
        <w:rPr>
          <w:rFonts w:ascii="Arial" w:hAnsi="Arial" w:cs="Arial" w:eastAsia="Arial" w:hint="default"/>
          <w:w w:val="95"/>
        </w:rPr>
        <w:t>29</w:t>
      </w:r>
      <w:r>
        <w:rPr>
          <w:w w:val="95"/>
        </w:rPr>
        <w:t>日召开的第四届董事会第二次会议和</w:t>
      </w:r>
      <w:r>
        <w:rPr>
          <w:rFonts w:ascii="Arial" w:hAnsi="Arial" w:cs="Arial" w:eastAsia="Arial" w:hint="default"/>
          <w:w w:val="95"/>
        </w:rPr>
        <w:t>2008</w:t>
      </w:r>
      <w:r>
        <w:rPr>
          <w:w w:val="95"/>
        </w:rPr>
        <w:t>年</w:t>
      </w:r>
      <w:r>
        <w:rPr>
          <w:rFonts w:ascii="Arial" w:hAnsi="Arial" w:cs="Arial" w:eastAsia="Arial" w:hint="default"/>
          <w:w w:val="95"/>
        </w:rPr>
        <w:t>7</w:t>
      </w:r>
      <w:r>
        <w:rPr>
          <w:w w:val="95"/>
        </w:rPr>
        <w:t>月</w:t>
      </w:r>
      <w:r>
        <w:rPr>
          <w:rFonts w:ascii="Arial" w:hAnsi="Arial" w:cs="Arial" w:eastAsia="Arial" w:hint="default"/>
          <w:w w:val="95"/>
        </w:rPr>
        <w:t>30</w:t>
      </w:r>
      <w:r>
        <w:rPr>
          <w:w w:val="95"/>
        </w:rPr>
        <w:t>日召开的第四届董</w:t>
      </w:r>
      <w:r>
        <w:rPr>
          <w:spacing w:val="90"/>
          <w:w w:val="95"/>
        </w:rPr>
        <w:t> </w:t>
      </w:r>
      <w:r>
        <w:rPr>
          <w:spacing w:val="90"/>
          <w:w w:val="95"/>
        </w:rPr>
      </w:r>
      <w:r>
        <w:rPr>
          <w:spacing w:val="4"/>
          <w:w w:val="95"/>
        </w:rPr>
        <w:t>事会第四次会议上审议通过了回购并注销上述激励对象已获授但尚未解锁的股权激励股票</w:t>
      </w:r>
      <w:r>
        <w:rPr>
          <w:spacing w:val="65"/>
          <w:w w:val="95"/>
        </w:rPr>
        <w:t> </w:t>
      </w:r>
      <w:r>
        <w:rPr>
          <w:spacing w:val="65"/>
          <w:w w:val="95"/>
        </w:rPr>
      </w:r>
      <w:r>
        <w:rPr/>
        <w:t>的相关议案。本公司分别于</w:t>
      </w:r>
      <w:r>
        <w:rPr>
          <w:rFonts w:ascii="Arial" w:hAnsi="Arial" w:cs="Arial" w:eastAsia="Arial" w:hint="default"/>
        </w:rPr>
        <w:t>2008</w:t>
      </w:r>
      <w:r>
        <w:rPr/>
        <w:t>年</w:t>
      </w:r>
      <w:r>
        <w:rPr>
          <w:rFonts w:ascii="Arial" w:hAnsi="Arial" w:cs="Arial" w:eastAsia="Arial" w:hint="default"/>
        </w:rPr>
        <w:t>5</w:t>
      </w:r>
      <w:r>
        <w:rPr/>
        <w:t>月</w:t>
      </w:r>
      <w:r>
        <w:rPr>
          <w:rFonts w:ascii="Arial" w:hAnsi="Arial" w:cs="Arial" w:eastAsia="Arial" w:hint="default"/>
        </w:rPr>
        <w:t>6</w:t>
      </w:r>
      <w:r>
        <w:rPr/>
        <w:t>日及</w:t>
      </w:r>
      <w:r>
        <w:rPr>
          <w:rFonts w:ascii="Arial" w:hAnsi="Arial" w:cs="Arial" w:eastAsia="Arial" w:hint="default"/>
        </w:rPr>
        <w:t>2008</w:t>
      </w:r>
      <w:r>
        <w:rPr/>
        <w:t>年</w:t>
      </w:r>
      <w:r>
        <w:rPr>
          <w:rFonts w:ascii="Arial" w:hAnsi="Arial" w:cs="Arial" w:eastAsia="Arial" w:hint="default"/>
        </w:rPr>
        <w:t>10</w:t>
      </w:r>
      <w:r>
        <w:rPr/>
        <w:t>月</w:t>
      </w:r>
      <w:r>
        <w:rPr>
          <w:rFonts w:ascii="Arial" w:hAnsi="Arial" w:cs="Arial" w:eastAsia="Arial" w:hint="default"/>
        </w:rPr>
        <w:t>9</w:t>
      </w:r>
      <w:r>
        <w:rPr/>
        <w:t>日</w:t>
      </w:r>
      <w:r>
        <w:rPr>
          <w:rFonts w:ascii="Arial" w:hAnsi="Arial" w:cs="Arial" w:eastAsia="Arial" w:hint="default"/>
        </w:rPr>
        <w:t>,</w:t>
      </w:r>
      <w:r>
        <w:rPr/>
        <w:t>将上述回购的股权激励股票予</w:t>
      </w:r>
      <w:r>
        <w:rPr>
          <w:spacing w:val="-68"/>
        </w:rPr>
        <w:t> </w:t>
      </w:r>
      <w:r>
        <w:rPr>
          <w:spacing w:val="-68"/>
        </w:rPr>
      </w:r>
      <w:r>
        <w:rPr/>
        <w:t>以注销，共计注销</w:t>
      </w:r>
      <w:r>
        <w:rPr>
          <w:rFonts w:ascii="Arial" w:hAnsi="Arial" w:cs="Arial" w:eastAsia="Arial" w:hint="default"/>
        </w:rPr>
        <w:t>63,200</w:t>
      </w:r>
      <w:r>
        <w:rPr/>
        <w:t>股。注销后，本公司的注册资本从人民币</w:t>
      </w:r>
      <w:r>
        <w:rPr>
          <w:rFonts w:ascii="Arial" w:hAnsi="Arial" w:cs="Arial" w:eastAsia="Arial" w:hint="default"/>
        </w:rPr>
        <w:t>462,740,400</w:t>
      </w:r>
      <w:r>
        <w:rPr/>
        <w:t>元减至人民</w:t>
      </w:r>
      <w:r>
        <w:rPr>
          <w:spacing w:val="-94"/>
        </w:rPr>
        <w:t> </w:t>
      </w:r>
      <w:r>
        <w:rPr>
          <w:spacing w:val="-94"/>
        </w:rPr>
      </w:r>
      <w:r>
        <w:rPr/>
        <w:t>币</w:t>
      </w:r>
      <w:r>
        <w:rPr>
          <w:rFonts w:ascii="Arial" w:hAnsi="Arial" w:cs="Arial" w:eastAsia="Arial" w:hint="default"/>
        </w:rPr>
        <w:t>462,677,200</w:t>
      </w:r>
      <w:r>
        <w:rPr/>
        <w:t>元。</w:t>
      </w:r>
    </w:p>
    <w:p>
      <w:pPr>
        <w:spacing w:after="0" w:line="230" w:lineRule="auto"/>
        <w:jc w:val="both"/>
        <w:sectPr>
          <w:pgSz w:w="11910" w:h="16850"/>
          <w:pgMar w:header="957" w:footer="833" w:top="1160" w:bottom="1020" w:left="1600" w:right="1400"/>
        </w:sectPr>
      </w:pPr>
    </w:p>
    <w:p>
      <w:pPr>
        <w:spacing w:line="240" w:lineRule="auto" w:before="13"/>
        <w:rPr>
          <w:rFonts w:ascii="黑体" w:hAnsi="黑体" w:cs="黑体" w:eastAsia="黑体" w:hint="default"/>
          <w:sz w:val="14"/>
          <w:szCs w:val="14"/>
        </w:rPr>
      </w:pPr>
    </w:p>
    <w:p>
      <w:pPr>
        <w:pStyle w:val="Heading6"/>
        <w:tabs>
          <w:tab w:pos="809" w:val="left" w:leader="none"/>
        </w:tabs>
        <w:spacing w:line="240" w:lineRule="auto"/>
        <w:ind w:right="0"/>
        <w:jc w:val="left"/>
        <w:rPr>
          <w:b w:val="0"/>
          <w:bCs w:val="0"/>
        </w:rPr>
      </w:pPr>
      <w:r>
        <w:rPr>
          <w:w w:val="95"/>
        </w:rPr>
        <w:t>一、</w:t>
        <w:tab/>
      </w:r>
      <w:bookmarkStart w:name="一、 本集团的基本情况（续）" w:id="15"/>
      <w:bookmarkEnd w:id="15"/>
      <w:r>
        <w:rPr/>
        <w:t>本集团</w:t>
      </w:r>
      <w:r>
        <w:rPr/>
        <w:t>的基本情况（续）</w:t>
      </w:r>
      <w:r>
        <w:rPr>
          <w:b w:val="0"/>
          <w:bCs w:val="0"/>
        </w:rPr>
      </w:r>
    </w:p>
    <w:p>
      <w:pPr>
        <w:spacing w:line="240" w:lineRule="auto" w:before="10"/>
        <w:rPr>
          <w:rFonts w:ascii="黑体" w:hAnsi="黑体" w:cs="黑体" w:eastAsia="黑体" w:hint="default"/>
          <w:b/>
          <w:bCs/>
          <w:sz w:val="21"/>
          <w:szCs w:val="21"/>
        </w:rPr>
      </w:pPr>
    </w:p>
    <w:p>
      <w:pPr>
        <w:pStyle w:val="BodyText"/>
        <w:spacing w:line="260" w:lineRule="exact"/>
        <w:ind w:right="196"/>
        <w:jc w:val="both"/>
      </w:pPr>
      <w:r>
        <w:rPr>
          <w:w w:val="95"/>
        </w:rPr>
        <w:t>根据公司股东大会的授权，公司董事会于</w:t>
      </w:r>
      <w:r>
        <w:rPr>
          <w:rFonts w:ascii="Arial" w:hAnsi="Arial" w:cs="Arial" w:eastAsia="Arial" w:hint="default"/>
          <w:w w:val="95"/>
        </w:rPr>
        <w:t>2008</w:t>
      </w:r>
      <w:r>
        <w:rPr>
          <w:w w:val="95"/>
        </w:rPr>
        <w:t>年</w:t>
      </w:r>
      <w:r>
        <w:rPr>
          <w:rFonts w:ascii="Arial" w:hAnsi="Arial" w:cs="Arial" w:eastAsia="Arial" w:hint="default"/>
          <w:w w:val="95"/>
        </w:rPr>
        <w:t>9</w:t>
      </w:r>
      <w:r>
        <w:rPr>
          <w:w w:val="95"/>
        </w:rPr>
        <w:t>月</w:t>
      </w:r>
      <w:r>
        <w:rPr>
          <w:rFonts w:ascii="Arial" w:hAnsi="Arial" w:cs="Arial" w:eastAsia="Arial" w:hint="default"/>
          <w:w w:val="95"/>
        </w:rPr>
        <w:t>26</w:t>
      </w:r>
      <w:r>
        <w:rPr>
          <w:w w:val="95"/>
        </w:rPr>
        <w:t>日向符合授予条件的股权激励对象授</w:t>
      </w:r>
      <w:r>
        <w:rPr>
          <w:spacing w:val="74"/>
          <w:w w:val="95"/>
        </w:rPr>
        <w:t> </w:t>
      </w:r>
      <w:r>
        <w:rPr>
          <w:spacing w:val="74"/>
          <w:w w:val="95"/>
        </w:rPr>
      </w:r>
      <w:r>
        <w:rPr>
          <w:w w:val="95"/>
        </w:rPr>
        <w:t>予修订稿中的</w:t>
      </w:r>
      <w:r>
        <w:rPr>
          <w:rFonts w:ascii="Arial" w:hAnsi="Arial" w:cs="Arial" w:eastAsia="Arial" w:hint="default"/>
          <w:w w:val="95"/>
        </w:rPr>
        <w:t>2008</w:t>
      </w:r>
      <w:r>
        <w:rPr>
          <w:w w:val="95"/>
        </w:rPr>
        <w:t>年度股票。认购完成后，本公司的注册及实收资本由人民币</w:t>
      </w:r>
      <w:r>
        <w:rPr>
          <w:rFonts w:ascii="Arial" w:hAnsi="Arial" w:cs="Arial" w:eastAsia="Arial" w:hint="default"/>
          <w:w w:val="95"/>
        </w:rPr>
        <w:t>462,677,200</w:t>
      </w:r>
      <w:r>
        <w:rPr>
          <w:rFonts w:ascii="Arial" w:hAnsi="Arial" w:cs="Arial" w:eastAsia="Arial" w:hint="default"/>
          <w:spacing w:val="8"/>
          <w:w w:val="95"/>
        </w:rPr>
        <w:t> </w:t>
      </w:r>
      <w:r>
        <w:rPr>
          <w:rFonts w:ascii="Arial" w:hAnsi="Arial" w:cs="Arial" w:eastAsia="Arial" w:hint="default"/>
          <w:spacing w:val="8"/>
          <w:w w:val="95"/>
        </w:rPr>
      </w:r>
      <w:r>
        <w:rPr/>
        <w:t>元增加至人民币</w:t>
      </w:r>
      <w:r>
        <w:rPr>
          <w:rFonts w:ascii="Arial" w:hAnsi="Arial" w:cs="Arial" w:eastAsia="Arial" w:hint="default"/>
        </w:rPr>
        <w:t>466,683,575</w:t>
      </w:r>
      <w:r>
        <w:rPr/>
        <w:t>元。</w:t>
      </w:r>
    </w:p>
    <w:p>
      <w:pPr>
        <w:spacing w:line="240" w:lineRule="auto" w:before="0"/>
        <w:rPr>
          <w:rFonts w:ascii="黑体" w:hAnsi="黑体" w:cs="黑体" w:eastAsia="黑体" w:hint="default"/>
          <w:sz w:val="19"/>
          <w:szCs w:val="19"/>
        </w:rPr>
      </w:pPr>
    </w:p>
    <w:p>
      <w:pPr>
        <w:pStyle w:val="BodyText"/>
        <w:spacing w:line="225" w:lineRule="auto"/>
        <w:ind w:right="184"/>
        <w:jc w:val="both"/>
      </w:pPr>
      <w:r>
        <w:rPr>
          <w:spacing w:val="3"/>
        </w:rPr>
        <w:t>经本公司于</w:t>
      </w:r>
      <w:r>
        <w:rPr>
          <w:rFonts w:ascii="Arial" w:hAnsi="Arial" w:cs="Arial" w:eastAsia="Arial" w:hint="default"/>
          <w:spacing w:val="3"/>
        </w:rPr>
        <w:t>2009</w:t>
      </w:r>
      <w:r>
        <w:rPr>
          <w:spacing w:val="3"/>
        </w:rPr>
        <w:t>年</w:t>
      </w:r>
      <w:r>
        <w:rPr>
          <w:rFonts w:ascii="Arial" w:hAnsi="Arial" w:cs="Arial" w:eastAsia="Arial" w:hint="default"/>
          <w:spacing w:val="3"/>
        </w:rPr>
        <w:t>4</w:t>
      </w:r>
      <w:r>
        <w:rPr>
          <w:spacing w:val="3"/>
        </w:rPr>
        <w:t>月</w:t>
      </w:r>
      <w:r>
        <w:rPr>
          <w:rFonts w:ascii="Arial" w:hAnsi="Arial" w:cs="Arial" w:eastAsia="Arial" w:hint="default"/>
          <w:spacing w:val="3"/>
        </w:rPr>
        <w:t>15</w:t>
      </w:r>
      <w:r>
        <w:rPr>
          <w:spacing w:val="3"/>
        </w:rPr>
        <w:t>日召开的股东大会决议通过的《</w:t>
      </w:r>
      <w:r>
        <w:rPr>
          <w:rFonts w:ascii="Arial" w:hAnsi="Arial" w:cs="Arial" w:eastAsia="Arial" w:hint="default"/>
          <w:spacing w:val="3"/>
        </w:rPr>
        <w:t>2008</w:t>
      </w:r>
      <w:r>
        <w:rPr>
          <w:spacing w:val="3"/>
        </w:rPr>
        <w:t>年度资本公积金转增股本议</w:t>
      </w:r>
      <w:r>
        <w:rPr>
          <w:spacing w:val="4"/>
          <w:w w:val="99"/>
        </w:rPr>
        <w:t> </w:t>
      </w:r>
      <w:r>
        <w:rPr>
          <w:spacing w:val="-2"/>
        </w:rPr>
        <w:t>案》，本公司以</w:t>
      </w:r>
      <w:r>
        <w:rPr>
          <w:rFonts w:ascii="Arial" w:hAnsi="Arial" w:cs="Arial" w:eastAsia="Arial" w:hint="default"/>
          <w:spacing w:val="-2"/>
        </w:rPr>
        <w:t>2008</w:t>
      </w:r>
      <w:r>
        <w:rPr>
          <w:spacing w:val="-2"/>
        </w:rPr>
        <w:t>年末总股本扣除截止到</w:t>
      </w:r>
      <w:r>
        <w:rPr>
          <w:rFonts w:ascii="Arial" w:hAnsi="Arial" w:cs="Arial" w:eastAsia="Arial" w:hint="default"/>
          <w:spacing w:val="-2"/>
        </w:rPr>
        <w:t>2009</w:t>
      </w:r>
      <w:r>
        <w:rPr>
          <w:spacing w:val="-2"/>
        </w:rPr>
        <w:t>年</w:t>
      </w:r>
      <w:r>
        <w:rPr>
          <w:rFonts w:ascii="Arial" w:hAnsi="Arial" w:cs="Arial" w:eastAsia="Arial" w:hint="default"/>
          <w:spacing w:val="-2"/>
        </w:rPr>
        <w:t>3</w:t>
      </w:r>
      <w:r>
        <w:rPr>
          <w:spacing w:val="-2"/>
        </w:rPr>
        <w:t>月</w:t>
      </w:r>
      <w:r>
        <w:rPr>
          <w:rFonts w:ascii="Arial" w:hAnsi="Arial" w:cs="Arial" w:eastAsia="Arial" w:hint="default"/>
          <w:spacing w:val="-2"/>
        </w:rPr>
        <w:t>19</w:t>
      </w:r>
      <w:r>
        <w:rPr>
          <w:spacing w:val="-2"/>
        </w:rPr>
        <w:t>日已批准回购但尚未注销的股权激</w:t>
      </w:r>
      <w:r>
        <w:rPr>
          <w:w w:val="99"/>
        </w:rPr>
        <w:t> </w:t>
      </w:r>
      <w:r>
        <w:rPr>
          <w:spacing w:val="6"/>
        </w:rPr>
        <w:t>励股份计</w:t>
      </w:r>
      <w:r>
        <w:rPr>
          <w:rFonts w:ascii="Arial" w:hAnsi="Arial" w:cs="Arial" w:eastAsia="Arial" w:hint="default"/>
          <w:spacing w:val="6"/>
        </w:rPr>
        <w:t>20,600</w:t>
      </w:r>
      <w:r>
        <w:rPr>
          <w:rFonts w:ascii="Arial" w:hAnsi="Arial" w:cs="Arial" w:eastAsia="Arial" w:hint="default"/>
          <w:spacing w:val="-38"/>
        </w:rPr>
        <w:t> </w:t>
      </w:r>
      <w:r>
        <w:rPr>
          <w:spacing w:val="6"/>
        </w:rPr>
        <w:t>股后的</w:t>
      </w:r>
      <w:r>
        <w:rPr>
          <w:rFonts w:ascii="Arial" w:hAnsi="Arial" w:cs="Arial" w:eastAsia="Arial" w:hint="default"/>
          <w:spacing w:val="6"/>
        </w:rPr>
        <w:t>466,662,975</w:t>
      </w:r>
      <w:r>
        <w:rPr>
          <w:spacing w:val="6"/>
        </w:rPr>
        <w:t>股为基数，</w:t>
      </w:r>
      <w:r>
        <w:rPr>
          <w:spacing w:val="-82"/>
        </w:rPr>
        <w:t> </w:t>
      </w:r>
      <w:r>
        <w:rPr>
          <w:spacing w:val="12"/>
        </w:rPr>
        <w:t>向全体股东每</w:t>
      </w:r>
      <w:r>
        <w:rPr>
          <w:rFonts w:ascii="Arial" w:hAnsi="Arial" w:cs="Arial" w:eastAsia="Arial" w:hint="default"/>
          <w:spacing w:val="12"/>
        </w:rPr>
        <w:t>10</w:t>
      </w:r>
      <w:r>
        <w:rPr>
          <w:spacing w:val="12"/>
        </w:rPr>
        <w:t>股</w:t>
      </w:r>
      <w:r>
        <w:rPr>
          <w:spacing w:val="-82"/>
        </w:rPr>
        <w:t> </w:t>
      </w:r>
      <w:r>
        <w:rPr>
          <w:spacing w:val="12"/>
        </w:rPr>
        <w:t>转增</w:t>
      </w:r>
      <w:r>
        <w:rPr>
          <w:rFonts w:ascii="Arial" w:hAnsi="Arial" w:cs="Arial" w:eastAsia="Arial" w:hint="default"/>
          <w:spacing w:val="12"/>
        </w:rPr>
        <w:t>3</w:t>
      </w:r>
      <w:r>
        <w:rPr>
          <w:spacing w:val="12"/>
        </w:rPr>
        <w:t>股，</w:t>
      </w:r>
      <w:r>
        <w:rPr>
          <w:spacing w:val="-82"/>
        </w:rPr>
        <w:t> </w:t>
      </w:r>
      <w:r>
        <w:rPr>
          <w:spacing w:val="16"/>
        </w:rPr>
        <w:t>共计转增</w:t>
      </w:r>
      <w:r>
        <w:rPr>
          <w:spacing w:val="16"/>
          <w:w w:val="99"/>
        </w:rPr>
        <w:t> </w:t>
      </w:r>
      <w:r>
        <w:rPr>
          <w:rFonts w:ascii="Arial" w:hAnsi="Arial" w:cs="Arial" w:eastAsia="Arial" w:hint="default"/>
          <w:spacing w:val="-4"/>
          <w:w w:val="99"/>
        </w:rPr>
        <w:t>139,998,893</w:t>
      </w:r>
      <w:r>
        <w:rPr>
          <w:spacing w:val="-4"/>
          <w:w w:val="99"/>
        </w:rPr>
        <w:t>股。转增后，公司的注册资本从人民币</w:t>
      </w:r>
      <w:r>
        <w:rPr>
          <w:rFonts w:ascii="Arial" w:hAnsi="Arial" w:cs="Arial" w:eastAsia="Arial" w:hint="default"/>
          <w:spacing w:val="-4"/>
          <w:w w:val="99"/>
        </w:rPr>
        <w:t>466,683,575</w:t>
      </w:r>
      <w:r>
        <w:rPr>
          <w:spacing w:val="-4"/>
          <w:w w:val="99"/>
        </w:rPr>
        <w:t>元增加至人民币</w:t>
      </w:r>
      <w:r>
        <w:rPr>
          <w:rFonts w:ascii="Arial" w:hAnsi="Arial" w:cs="Arial" w:eastAsia="Arial" w:hint="default"/>
          <w:spacing w:val="-4"/>
          <w:w w:val="99"/>
        </w:rPr>
        <w:t>606,682,468</w:t>
      </w:r>
      <w:r>
        <w:rPr>
          <w:rFonts w:ascii="Arial" w:hAnsi="Arial" w:cs="Arial" w:eastAsia="Arial" w:hint="default"/>
          <w:spacing w:val="-2"/>
          <w:w w:val="99"/>
        </w:rPr>
        <w:t> </w:t>
      </w:r>
      <w:r>
        <w:rPr>
          <w:rFonts w:ascii="Arial" w:hAnsi="Arial" w:cs="Arial" w:eastAsia="Arial" w:hint="default"/>
          <w:spacing w:val="-2"/>
          <w:w w:val="99"/>
        </w:rPr>
      </w:r>
      <w:r>
        <w:rPr/>
        <w:t>元。</w:t>
      </w:r>
    </w:p>
    <w:p>
      <w:pPr>
        <w:spacing w:line="240" w:lineRule="auto" w:before="6"/>
        <w:rPr>
          <w:rFonts w:ascii="黑体" w:hAnsi="黑体" w:cs="黑体" w:eastAsia="黑体" w:hint="default"/>
          <w:sz w:val="20"/>
          <w:szCs w:val="20"/>
        </w:rPr>
      </w:pPr>
    </w:p>
    <w:p>
      <w:pPr>
        <w:pStyle w:val="BodyText"/>
        <w:spacing w:line="232" w:lineRule="auto"/>
        <w:ind w:right="100"/>
        <w:jc w:val="both"/>
      </w:pPr>
      <w:r>
        <w:rPr/>
        <w:t>因有部分股权激励对象发生了公司股权激励计划中规定的变更和终止的情形，根据修订稿中</w:t>
      </w:r>
      <w:r>
        <w:rPr>
          <w:w w:val="99"/>
        </w:rPr>
        <w:t> </w:t>
      </w:r>
      <w:r>
        <w:rPr/>
        <w:t>的有关条款和股东大会授权，本公司于</w:t>
      </w:r>
      <w:r>
        <w:rPr>
          <w:rFonts w:ascii="Arial" w:hAnsi="Arial" w:cs="Arial" w:eastAsia="Arial" w:hint="default"/>
        </w:rPr>
        <w:t>2009</w:t>
      </w:r>
      <w:r>
        <w:rPr/>
        <w:t>年</w:t>
      </w:r>
      <w:r>
        <w:rPr>
          <w:rFonts w:ascii="Arial" w:hAnsi="Arial" w:cs="Arial" w:eastAsia="Arial" w:hint="default"/>
        </w:rPr>
        <w:t>3</w:t>
      </w:r>
      <w:r>
        <w:rPr/>
        <w:t>月</w:t>
      </w:r>
      <w:r>
        <w:rPr>
          <w:rFonts w:ascii="Arial" w:hAnsi="Arial" w:cs="Arial" w:eastAsia="Arial" w:hint="default"/>
        </w:rPr>
        <w:t>19</w:t>
      </w:r>
      <w:r>
        <w:rPr/>
        <w:t>日召开的第四届董事会第二次会议上审</w:t>
      </w:r>
      <w:r>
        <w:rPr>
          <w:w w:val="99"/>
        </w:rPr>
        <w:t> </w:t>
      </w:r>
      <w:r>
        <w:rPr/>
        <w:t>议通过了回购并注销上述激励对象已获授但尚未解锁的股权激励股票的相关议案。本公司已</w:t>
      </w:r>
      <w:r>
        <w:rPr>
          <w:w w:val="99"/>
        </w:rPr>
        <w:t> </w:t>
      </w:r>
      <w:r>
        <w:rPr>
          <w:spacing w:val="2"/>
        </w:rPr>
        <w:t>分别于</w:t>
      </w:r>
      <w:r>
        <w:rPr>
          <w:rFonts w:ascii="Arial" w:hAnsi="Arial" w:cs="Arial" w:eastAsia="Arial" w:hint="default"/>
          <w:spacing w:val="2"/>
        </w:rPr>
        <w:t>2009</w:t>
      </w:r>
      <w:r>
        <w:rPr>
          <w:spacing w:val="2"/>
        </w:rPr>
        <w:t>年</w:t>
      </w:r>
      <w:r>
        <w:rPr>
          <w:rFonts w:ascii="Arial" w:hAnsi="Arial" w:cs="Arial" w:eastAsia="Arial" w:hint="default"/>
          <w:spacing w:val="2"/>
        </w:rPr>
        <w:t>8</w:t>
      </w:r>
      <w:r>
        <w:rPr>
          <w:spacing w:val="2"/>
        </w:rPr>
        <w:t>月</w:t>
      </w:r>
      <w:r>
        <w:rPr>
          <w:rFonts w:ascii="Arial" w:hAnsi="Arial" w:cs="Arial" w:eastAsia="Arial" w:hint="default"/>
          <w:spacing w:val="2"/>
        </w:rPr>
        <w:t>3</w:t>
      </w:r>
      <w:r>
        <w:rPr>
          <w:spacing w:val="2"/>
        </w:rPr>
        <w:t>日及</w:t>
      </w:r>
      <w:r>
        <w:rPr>
          <w:rFonts w:ascii="Arial" w:hAnsi="Arial" w:cs="Arial" w:eastAsia="Arial" w:hint="default"/>
          <w:spacing w:val="2"/>
        </w:rPr>
        <w:t>2009</w:t>
      </w:r>
      <w:r>
        <w:rPr>
          <w:spacing w:val="2"/>
        </w:rPr>
        <w:t>年</w:t>
      </w:r>
      <w:r>
        <w:rPr>
          <w:rFonts w:ascii="Arial" w:hAnsi="Arial" w:cs="Arial" w:eastAsia="Arial" w:hint="default"/>
          <w:spacing w:val="2"/>
        </w:rPr>
        <w:t>9</w:t>
      </w:r>
      <w:r>
        <w:rPr>
          <w:spacing w:val="2"/>
        </w:rPr>
        <w:t>月</w:t>
      </w:r>
      <w:r>
        <w:rPr>
          <w:rFonts w:ascii="Arial" w:hAnsi="Arial" w:cs="Arial" w:eastAsia="Arial" w:hint="default"/>
          <w:spacing w:val="2"/>
        </w:rPr>
        <w:t>15</w:t>
      </w:r>
      <w:r>
        <w:rPr>
          <w:spacing w:val="2"/>
        </w:rPr>
        <w:t>日，将上述回购的股权激励股票予以注销，共计注销</w:t>
      </w:r>
      <w:r>
        <w:rPr>
          <w:w w:val="99"/>
        </w:rPr>
        <w:t> </w:t>
      </w:r>
      <w:r>
        <w:rPr>
          <w:rFonts w:ascii="Arial" w:hAnsi="Arial" w:cs="Arial" w:eastAsia="Arial" w:hint="default"/>
        </w:rPr>
        <w:t>20,600</w:t>
      </w:r>
      <w:r>
        <w:rPr/>
        <w:t>股。注销后，本公司的注册资本从人民币</w:t>
      </w:r>
      <w:r>
        <w:rPr>
          <w:rFonts w:ascii="Arial" w:hAnsi="Arial" w:cs="Arial" w:eastAsia="Arial" w:hint="default"/>
        </w:rPr>
        <w:t>606,682,468</w:t>
      </w:r>
      <w:r>
        <w:rPr/>
        <w:t>元减至人民币</w:t>
      </w:r>
      <w:r>
        <w:rPr>
          <w:rFonts w:ascii="Arial" w:hAnsi="Arial" w:cs="Arial" w:eastAsia="Arial" w:hint="default"/>
        </w:rPr>
        <w:t>606,661,868</w:t>
      </w:r>
      <w:r>
        <w:rPr/>
        <w:t>元。</w:t>
      </w:r>
    </w:p>
    <w:p>
      <w:pPr>
        <w:spacing w:line="240" w:lineRule="auto" w:before="11"/>
        <w:rPr>
          <w:rFonts w:ascii="黑体" w:hAnsi="黑体" w:cs="黑体" w:eastAsia="黑体" w:hint="default"/>
          <w:sz w:val="19"/>
          <w:szCs w:val="19"/>
        </w:rPr>
      </w:pPr>
    </w:p>
    <w:p>
      <w:pPr>
        <w:pStyle w:val="BodyText"/>
        <w:spacing w:line="225" w:lineRule="auto"/>
        <w:ind w:right="199"/>
        <w:jc w:val="both"/>
      </w:pPr>
      <w:r>
        <w:rPr>
          <w:w w:val="95"/>
        </w:rPr>
        <w:t>根据公司股东大会的授权，公司董事会于</w:t>
      </w:r>
      <w:r>
        <w:rPr>
          <w:rFonts w:ascii="Arial" w:hAnsi="Arial" w:cs="Arial" w:eastAsia="Arial" w:hint="default"/>
          <w:w w:val="95"/>
        </w:rPr>
        <w:t>2009</w:t>
      </w:r>
      <w:r>
        <w:rPr>
          <w:w w:val="95"/>
        </w:rPr>
        <w:t>年</w:t>
      </w:r>
      <w:r>
        <w:rPr>
          <w:rFonts w:ascii="Arial" w:hAnsi="Arial" w:cs="Arial" w:eastAsia="Arial" w:hint="default"/>
          <w:w w:val="95"/>
        </w:rPr>
        <w:t>9</w:t>
      </w:r>
      <w:r>
        <w:rPr>
          <w:w w:val="95"/>
        </w:rPr>
        <w:t>月</w:t>
      </w:r>
      <w:r>
        <w:rPr>
          <w:rFonts w:ascii="Arial" w:hAnsi="Arial" w:cs="Arial" w:eastAsia="Arial" w:hint="default"/>
          <w:w w:val="95"/>
        </w:rPr>
        <w:t>29</w:t>
      </w:r>
      <w:r>
        <w:rPr>
          <w:w w:val="95"/>
        </w:rPr>
        <w:t>日向符合授予条件的股权激励对象授</w:t>
      </w:r>
      <w:r>
        <w:rPr>
          <w:spacing w:val="74"/>
          <w:w w:val="95"/>
        </w:rPr>
        <w:t> </w:t>
      </w:r>
      <w:r>
        <w:rPr>
          <w:spacing w:val="74"/>
          <w:w w:val="95"/>
        </w:rPr>
      </w:r>
      <w:r>
        <w:rPr>
          <w:w w:val="95"/>
        </w:rPr>
        <w:t>予修订稿中的</w:t>
      </w:r>
      <w:r>
        <w:rPr>
          <w:rFonts w:ascii="Arial" w:hAnsi="Arial" w:cs="Arial" w:eastAsia="Arial" w:hint="default"/>
          <w:w w:val="95"/>
        </w:rPr>
        <w:t>2009</w:t>
      </w:r>
      <w:r>
        <w:rPr>
          <w:w w:val="95"/>
        </w:rPr>
        <w:t>年度股票。认购后，本公司的注册及实收资本由人民币</w:t>
      </w:r>
      <w:r>
        <w:rPr>
          <w:rFonts w:ascii="Arial" w:hAnsi="Arial" w:cs="Arial" w:eastAsia="Arial" w:hint="default"/>
          <w:w w:val="95"/>
        </w:rPr>
        <w:t>606,661,868</w:t>
      </w:r>
      <w:r>
        <w:rPr>
          <w:w w:val="95"/>
        </w:rPr>
        <w:t>元增</w:t>
      </w:r>
      <w:r>
        <w:rPr>
          <w:spacing w:val="94"/>
          <w:w w:val="95"/>
        </w:rPr>
        <w:t> </w:t>
      </w:r>
      <w:r>
        <w:rPr/>
        <w:t>加至人民币</w:t>
      </w:r>
      <w:r>
        <w:rPr>
          <w:rFonts w:ascii="Arial" w:hAnsi="Arial" w:cs="Arial" w:eastAsia="Arial" w:hint="default"/>
        </w:rPr>
        <w:t>627,858,850</w:t>
      </w:r>
      <w:r>
        <w:rPr/>
        <w:t>元。</w:t>
      </w:r>
    </w:p>
    <w:p>
      <w:pPr>
        <w:spacing w:line="240" w:lineRule="auto" w:before="10"/>
        <w:rPr>
          <w:rFonts w:ascii="黑体" w:hAnsi="黑体" w:cs="黑体" w:eastAsia="黑体" w:hint="default"/>
          <w:sz w:val="19"/>
          <w:szCs w:val="19"/>
        </w:rPr>
      </w:pPr>
    </w:p>
    <w:p>
      <w:pPr>
        <w:pStyle w:val="BodyText"/>
        <w:spacing w:line="225" w:lineRule="auto"/>
        <w:ind w:right="201"/>
        <w:jc w:val="both"/>
      </w:pPr>
      <w:r>
        <w:rPr>
          <w:spacing w:val="-2"/>
        </w:rPr>
        <w:t>经本公司于</w:t>
      </w:r>
      <w:r>
        <w:rPr>
          <w:rFonts w:ascii="Arial" w:hAnsi="Arial" w:cs="Arial" w:eastAsia="Arial" w:hint="default"/>
          <w:spacing w:val="-2"/>
        </w:rPr>
        <w:t>2010</w:t>
      </w:r>
      <w:r>
        <w:rPr>
          <w:spacing w:val="-2"/>
        </w:rPr>
        <w:t>年</w:t>
      </w:r>
      <w:r>
        <w:rPr>
          <w:rFonts w:ascii="Arial" w:hAnsi="Arial" w:cs="Arial" w:eastAsia="Arial" w:hint="default"/>
          <w:spacing w:val="-2"/>
        </w:rPr>
        <w:t>4</w:t>
      </w:r>
      <w:r>
        <w:rPr>
          <w:spacing w:val="-2"/>
        </w:rPr>
        <w:t>月</w:t>
      </w:r>
      <w:r>
        <w:rPr>
          <w:rFonts w:ascii="Arial" w:hAnsi="Arial" w:cs="Arial" w:eastAsia="Arial" w:hint="default"/>
          <w:spacing w:val="-2"/>
        </w:rPr>
        <w:t>16</w:t>
      </w:r>
      <w:r>
        <w:rPr>
          <w:spacing w:val="-2"/>
        </w:rPr>
        <w:t>日召开的股东大会决议通过的《</w:t>
      </w:r>
      <w:r>
        <w:rPr>
          <w:rFonts w:ascii="Arial" w:hAnsi="Arial" w:cs="Arial" w:eastAsia="Arial" w:hint="default"/>
          <w:spacing w:val="-2"/>
        </w:rPr>
        <w:t>2009</w:t>
      </w:r>
      <w:r>
        <w:rPr>
          <w:spacing w:val="-2"/>
        </w:rPr>
        <w:t>年度利润分配及资本公积金转</w:t>
      </w:r>
      <w:r>
        <w:rPr>
          <w:spacing w:val="-98"/>
        </w:rPr>
        <w:t> </w:t>
      </w:r>
      <w:r>
        <w:rPr>
          <w:spacing w:val="-98"/>
        </w:rPr>
      </w:r>
      <w:r>
        <w:rPr/>
        <w:t>增股本议案》，本公司以</w:t>
      </w:r>
      <w:r>
        <w:rPr>
          <w:rFonts w:ascii="Arial" w:hAnsi="Arial" w:cs="Arial" w:eastAsia="Arial" w:hint="default"/>
        </w:rPr>
        <w:t>2009</w:t>
      </w:r>
      <w:r>
        <w:rPr/>
        <w:t>年末总股本</w:t>
      </w:r>
      <w:r>
        <w:rPr>
          <w:rFonts w:ascii="Arial" w:hAnsi="Arial" w:cs="Arial" w:eastAsia="Arial" w:hint="default"/>
        </w:rPr>
        <w:t>627,858,850</w:t>
      </w:r>
      <w:r>
        <w:rPr/>
        <w:t>股为基数，向全体股东每</w:t>
      </w:r>
      <w:r>
        <w:rPr>
          <w:rFonts w:ascii="Arial" w:hAnsi="Arial" w:cs="Arial" w:eastAsia="Arial" w:hint="default"/>
        </w:rPr>
        <w:t>10</w:t>
      </w:r>
      <w:r>
        <w:rPr/>
        <w:t>股转增</w:t>
      </w:r>
      <w:r>
        <w:rPr>
          <w:rFonts w:ascii="Arial" w:hAnsi="Arial" w:cs="Arial" w:eastAsia="Arial" w:hint="default"/>
        </w:rPr>
        <w:t>3</w:t>
      </w:r>
      <w:r>
        <w:rPr>
          <w:rFonts w:ascii="Arial" w:hAnsi="Arial" w:cs="Arial" w:eastAsia="Arial" w:hint="default"/>
          <w:spacing w:val="-16"/>
        </w:rPr>
        <w:t> </w:t>
      </w:r>
      <w:r>
        <w:rPr>
          <w:spacing w:val="-2"/>
        </w:rPr>
        <w:t>股，共计转增</w:t>
      </w:r>
      <w:r>
        <w:rPr>
          <w:rFonts w:ascii="Arial" w:hAnsi="Arial" w:cs="Arial" w:eastAsia="Arial" w:hint="default"/>
          <w:spacing w:val="-2"/>
        </w:rPr>
        <w:t>188,357,655</w:t>
      </w:r>
      <w:r>
        <w:rPr>
          <w:spacing w:val="-2"/>
        </w:rPr>
        <w:t>股。转增后，本公司的注册资本由人民币</w:t>
      </w:r>
      <w:r>
        <w:rPr>
          <w:rFonts w:ascii="Arial" w:hAnsi="Arial" w:cs="Arial" w:eastAsia="Arial" w:hint="default"/>
          <w:spacing w:val="-2"/>
        </w:rPr>
        <w:t>627,858,850</w:t>
      </w:r>
      <w:r>
        <w:rPr>
          <w:spacing w:val="-2"/>
        </w:rPr>
        <w:t>元增加至人</w:t>
      </w:r>
      <w:r>
        <w:rPr>
          <w:spacing w:val="-92"/>
        </w:rPr>
        <w:t> </w:t>
      </w:r>
      <w:r>
        <w:rPr>
          <w:spacing w:val="-92"/>
        </w:rPr>
      </w:r>
      <w:r>
        <w:rPr/>
        <w:t>民币</w:t>
      </w:r>
      <w:r>
        <w:rPr>
          <w:rFonts w:ascii="Arial" w:hAnsi="Arial" w:cs="Arial" w:eastAsia="Arial" w:hint="default"/>
        </w:rPr>
        <w:t>816,216,505</w:t>
      </w:r>
      <w:r>
        <w:rPr/>
        <w:t>元。</w:t>
      </w:r>
    </w:p>
    <w:p>
      <w:pPr>
        <w:spacing w:line="240" w:lineRule="auto" w:before="10"/>
        <w:rPr>
          <w:rFonts w:ascii="黑体" w:hAnsi="黑体" w:cs="黑体" w:eastAsia="黑体" w:hint="default"/>
          <w:sz w:val="19"/>
          <w:szCs w:val="19"/>
        </w:rPr>
      </w:pPr>
    </w:p>
    <w:p>
      <w:pPr>
        <w:pStyle w:val="BodyText"/>
        <w:spacing w:line="228" w:lineRule="auto"/>
        <w:ind w:left="813" w:right="261"/>
        <w:jc w:val="both"/>
      </w:pPr>
      <w:r>
        <w:rPr/>
        <w:t>因有部分股权激励对象发生了公司股权激励计划中规定的变更和终止的情形，根据修订稿</w:t>
      </w:r>
      <w:r>
        <w:rPr>
          <w:w w:val="99"/>
        </w:rPr>
        <w:t> </w:t>
      </w:r>
      <w:r>
        <w:rPr>
          <w:spacing w:val="3"/>
        </w:rPr>
        <w:t>中的有关条款和股东大会授权</w:t>
      </w:r>
      <w:r>
        <w:rPr>
          <w:rFonts w:ascii="Arial" w:hAnsi="Arial" w:cs="Arial" w:eastAsia="Arial" w:hint="default"/>
          <w:spacing w:val="3"/>
        </w:rPr>
        <w:t>,</w:t>
      </w:r>
      <w:r>
        <w:rPr>
          <w:spacing w:val="3"/>
        </w:rPr>
        <w:t>本公司董事会于</w:t>
      </w:r>
      <w:r>
        <w:rPr>
          <w:rFonts w:ascii="Arial" w:hAnsi="Arial" w:cs="Arial" w:eastAsia="Arial" w:hint="default"/>
          <w:spacing w:val="3"/>
        </w:rPr>
        <w:t>2010</w:t>
      </w:r>
      <w:r>
        <w:rPr>
          <w:spacing w:val="3"/>
        </w:rPr>
        <w:t>年</w:t>
      </w:r>
      <w:r>
        <w:rPr>
          <w:rFonts w:ascii="Arial" w:hAnsi="Arial" w:cs="Arial" w:eastAsia="Arial" w:hint="default"/>
          <w:spacing w:val="3"/>
        </w:rPr>
        <w:t>5</w:t>
      </w:r>
      <w:r>
        <w:rPr>
          <w:spacing w:val="3"/>
        </w:rPr>
        <w:t>月</w:t>
      </w:r>
      <w:r>
        <w:rPr>
          <w:rFonts w:ascii="Arial" w:hAnsi="Arial" w:cs="Arial" w:eastAsia="Arial" w:hint="default"/>
          <w:spacing w:val="3"/>
        </w:rPr>
        <w:t>11</w:t>
      </w:r>
      <w:r>
        <w:rPr>
          <w:spacing w:val="3"/>
        </w:rPr>
        <w:t>日的第四届董事会第七次会</w:t>
      </w:r>
      <w:r>
        <w:rPr>
          <w:spacing w:val="-95"/>
        </w:rPr>
        <w:t> </w:t>
      </w:r>
      <w:r>
        <w:rPr>
          <w:spacing w:val="-95"/>
        </w:rPr>
      </w:r>
      <w:r>
        <w:rPr/>
        <w:t>议和</w:t>
      </w:r>
      <w:r>
        <w:rPr>
          <w:rFonts w:ascii="Arial" w:hAnsi="Arial" w:cs="Arial" w:eastAsia="Arial" w:hint="default"/>
        </w:rPr>
        <w:t>2010</w:t>
      </w:r>
      <w:r>
        <w:rPr/>
        <w:t>年</w:t>
      </w:r>
      <w:r>
        <w:rPr>
          <w:rFonts w:ascii="Arial" w:hAnsi="Arial" w:cs="Arial" w:eastAsia="Arial" w:hint="default"/>
        </w:rPr>
        <w:t>7</w:t>
      </w:r>
      <w:r>
        <w:rPr/>
        <w:t>月</w:t>
      </w:r>
      <w:r>
        <w:rPr>
          <w:rFonts w:ascii="Arial" w:hAnsi="Arial" w:cs="Arial" w:eastAsia="Arial" w:hint="default"/>
        </w:rPr>
        <w:t>28</w:t>
      </w:r>
      <w:r>
        <w:rPr/>
        <w:t>日的第四届董事会第十二次会议审议通过了回购并注销上述激励对象已</w:t>
      </w:r>
      <w:r>
        <w:rPr>
          <w:spacing w:val="-97"/>
        </w:rPr>
        <w:t> </w:t>
      </w:r>
      <w:r>
        <w:rPr>
          <w:spacing w:val="-97"/>
        </w:rPr>
      </w:r>
      <w:r>
        <w:rPr/>
        <w:t>获授但尚未解锁的股权激励股票的相关议案。本公司已分别于</w:t>
      </w:r>
      <w:r>
        <w:rPr>
          <w:rFonts w:ascii="Arial" w:hAnsi="Arial" w:cs="Arial" w:eastAsia="Arial" w:hint="default"/>
        </w:rPr>
        <w:t>2010</w:t>
      </w:r>
      <w:r>
        <w:rPr/>
        <w:t>年</w:t>
      </w:r>
      <w:r>
        <w:rPr>
          <w:rFonts w:ascii="Arial" w:hAnsi="Arial" w:cs="Arial" w:eastAsia="Arial" w:hint="default"/>
        </w:rPr>
        <w:t>6</w:t>
      </w:r>
      <w:r>
        <w:rPr/>
        <w:t>月</w:t>
      </w:r>
      <w:r>
        <w:rPr>
          <w:rFonts w:ascii="Arial" w:hAnsi="Arial" w:cs="Arial" w:eastAsia="Arial" w:hint="default"/>
        </w:rPr>
        <w:t>24</w:t>
      </w:r>
      <w:r>
        <w:rPr/>
        <w:t>日及</w:t>
      </w:r>
      <w:r>
        <w:rPr>
          <w:rFonts w:ascii="Arial" w:hAnsi="Arial" w:cs="Arial" w:eastAsia="Arial" w:hint="default"/>
        </w:rPr>
        <w:t>2010</w:t>
      </w:r>
      <w:r>
        <w:rPr/>
        <w:t>年</w:t>
      </w:r>
      <w:r>
        <w:rPr>
          <w:rFonts w:ascii="Arial" w:hAnsi="Arial" w:cs="Arial" w:eastAsia="Arial" w:hint="default"/>
        </w:rPr>
        <w:t>9</w:t>
      </w:r>
      <w:r>
        <w:rPr>
          <w:rFonts w:ascii="Arial" w:hAnsi="Arial" w:cs="Arial" w:eastAsia="Arial" w:hint="default"/>
          <w:spacing w:val="-18"/>
        </w:rPr>
        <w:t> </w:t>
      </w:r>
      <w:r>
        <w:rPr/>
        <w:t>月</w:t>
      </w:r>
      <w:r>
        <w:rPr>
          <w:rFonts w:ascii="Arial" w:hAnsi="Arial" w:cs="Arial" w:eastAsia="Arial" w:hint="default"/>
        </w:rPr>
        <w:t>8</w:t>
      </w:r>
      <w:r>
        <w:rPr/>
        <w:t>日，将上述回购的股权激励股票予以注销，分别注销</w:t>
      </w:r>
      <w:r>
        <w:rPr>
          <w:rFonts w:ascii="Arial" w:hAnsi="Arial" w:cs="Arial" w:eastAsia="Arial" w:hint="default"/>
        </w:rPr>
        <w:t>47,901</w:t>
      </w:r>
      <w:r>
        <w:rPr/>
        <w:t>股和</w:t>
      </w:r>
      <w:r>
        <w:rPr>
          <w:rFonts w:ascii="Arial" w:hAnsi="Arial" w:cs="Arial" w:eastAsia="Arial" w:hint="default"/>
        </w:rPr>
        <w:t>36,697</w:t>
      </w:r>
      <w:r>
        <w:rPr/>
        <w:t>股，共计注销</w:t>
      </w:r>
      <w:r>
        <w:rPr>
          <w:spacing w:val="-64"/>
        </w:rPr>
        <w:t> </w:t>
      </w:r>
      <w:r>
        <w:rPr>
          <w:spacing w:val="-64"/>
        </w:rPr>
      </w:r>
      <w:r>
        <w:rPr>
          <w:rFonts w:ascii="Arial" w:hAnsi="Arial" w:cs="Arial" w:eastAsia="Arial" w:hint="default"/>
          <w:spacing w:val="-3"/>
        </w:rPr>
        <w:t>84,598</w:t>
      </w:r>
      <w:r>
        <w:rPr>
          <w:spacing w:val="-3"/>
        </w:rPr>
        <w:t>股。注销后，本公司的注册资本从人民币</w:t>
      </w:r>
      <w:r>
        <w:rPr>
          <w:rFonts w:ascii="Arial" w:hAnsi="Arial" w:cs="Arial" w:eastAsia="Arial" w:hint="default"/>
          <w:spacing w:val="-3"/>
        </w:rPr>
        <w:t>816,216,505</w:t>
      </w:r>
      <w:r>
        <w:rPr>
          <w:spacing w:val="-3"/>
        </w:rPr>
        <w:t>元减至人民币</w:t>
      </w:r>
      <w:r>
        <w:rPr>
          <w:rFonts w:ascii="Arial" w:hAnsi="Arial" w:cs="Arial" w:eastAsia="Arial" w:hint="default"/>
          <w:spacing w:val="-3"/>
        </w:rPr>
        <w:t>816,131,907</w:t>
      </w:r>
      <w:r>
        <w:rPr>
          <w:spacing w:val="-3"/>
        </w:rPr>
        <w:t>元。</w:t>
      </w:r>
    </w:p>
    <w:p>
      <w:pPr>
        <w:spacing w:line="240" w:lineRule="auto" w:before="5"/>
        <w:rPr>
          <w:rFonts w:ascii="黑体" w:hAnsi="黑体" w:cs="黑体" w:eastAsia="黑体" w:hint="default"/>
          <w:sz w:val="19"/>
          <w:szCs w:val="19"/>
        </w:rPr>
      </w:pPr>
    </w:p>
    <w:p>
      <w:pPr>
        <w:pStyle w:val="BodyText"/>
        <w:spacing w:line="230" w:lineRule="auto"/>
        <w:ind w:left="813" w:right="358"/>
        <w:jc w:val="both"/>
      </w:pPr>
      <w:r>
        <w:rPr>
          <w:w w:val="95"/>
        </w:rPr>
        <w:t>因有部分股权激励对象发生了公司股权激励计划中规定的变更和终止的情形，根据《用友</w:t>
      </w:r>
      <w:r>
        <w:rPr>
          <w:spacing w:val="87"/>
          <w:w w:val="95"/>
        </w:rPr>
        <w:t> </w:t>
      </w:r>
      <w:r>
        <w:rPr>
          <w:spacing w:val="87"/>
          <w:w w:val="95"/>
        </w:rPr>
      </w:r>
      <w:r>
        <w:rPr>
          <w:spacing w:val="-4"/>
          <w:w w:val="99"/>
        </w:rPr>
        <w:t>软件股份有限公司股权激励计划</w:t>
      </w:r>
      <w:r>
        <w:rPr>
          <w:rFonts w:ascii="Arial" w:hAnsi="Arial" w:cs="Arial" w:eastAsia="Arial" w:hint="default"/>
          <w:spacing w:val="-4"/>
          <w:w w:val="99"/>
        </w:rPr>
        <w:t>(</w:t>
      </w:r>
      <w:r>
        <w:rPr>
          <w:spacing w:val="-4"/>
          <w:w w:val="99"/>
        </w:rPr>
        <w:t>修订稿</w:t>
      </w:r>
      <w:r>
        <w:rPr>
          <w:rFonts w:ascii="Arial" w:hAnsi="Arial" w:cs="Arial" w:eastAsia="Arial" w:hint="default"/>
          <w:spacing w:val="-4"/>
          <w:w w:val="99"/>
        </w:rPr>
        <w:t>)</w:t>
      </w:r>
      <w:r>
        <w:rPr>
          <w:spacing w:val="-4"/>
          <w:w w:val="99"/>
        </w:rPr>
        <w:t>》有关条款和股东大会授权，本公司董事会于</w:t>
      </w:r>
      <w:r>
        <w:rPr>
          <w:rFonts w:ascii="Arial" w:hAnsi="Arial" w:cs="Arial" w:eastAsia="Arial" w:hint="default"/>
          <w:spacing w:val="-4"/>
          <w:w w:val="99"/>
        </w:rPr>
        <w:t>2011</w:t>
      </w:r>
      <w:r>
        <w:rPr>
          <w:rFonts w:ascii="Arial" w:hAnsi="Arial" w:cs="Arial" w:eastAsia="Arial" w:hint="default"/>
          <w:spacing w:val="-46"/>
          <w:w w:val="99"/>
        </w:rPr>
        <w:t> </w:t>
      </w:r>
      <w:r>
        <w:rPr>
          <w:rFonts w:ascii="Arial" w:hAnsi="Arial" w:cs="Arial" w:eastAsia="Arial" w:hint="default"/>
          <w:spacing w:val="-46"/>
          <w:w w:val="99"/>
        </w:rPr>
      </w:r>
      <w:r>
        <w:rPr>
          <w:spacing w:val="2"/>
        </w:rPr>
        <w:t>年</w:t>
      </w:r>
      <w:r>
        <w:rPr>
          <w:rFonts w:ascii="Arial" w:hAnsi="Arial" w:cs="Arial" w:eastAsia="Arial" w:hint="default"/>
          <w:spacing w:val="2"/>
        </w:rPr>
        <w:t>1</w:t>
      </w:r>
      <w:r>
        <w:rPr>
          <w:spacing w:val="2"/>
        </w:rPr>
        <w:t>月</w:t>
      </w:r>
      <w:r>
        <w:rPr>
          <w:rFonts w:ascii="Arial" w:hAnsi="Arial" w:cs="Arial" w:eastAsia="Arial" w:hint="default"/>
          <w:spacing w:val="2"/>
        </w:rPr>
        <w:t>25</w:t>
      </w:r>
      <w:r>
        <w:rPr>
          <w:spacing w:val="2"/>
        </w:rPr>
        <w:t>日第四届董事会</w:t>
      </w:r>
      <w:r>
        <w:rPr>
          <w:rFonts w:ascii="Arial" w:hAnsi="Arial" w:cs="Arial" w:eastAsia="Arial" w:hint="default"/>
          <w:spacing w:val="2"/>
        </w:rPr>
        <w:t>2011</w:t>
      </w:r>
      <w:r>
        <w:rPr>
          <w:spacing w:val="2"/>
        </w:rPr>
        <w:t>年第一次会议以及</w:t>
      </w:r>
      <w:r>
        <w:rPr>
          <w:rFonts w:ascii="Arial" w:hAnsi="Arial" w:cs="Arial" w:eastAsia="Arial" w:hint="default"/>
          <w:spacing w:val="2"/>
        </w:rPr>
        <w:t>2011</w:t>
      </w:r>
      <w:r>
        <w:rPr>
          <w:spacing w:val="2"/>
        </w:rPr>
        <w:t>年</w:t>
      </w:r>
      <w:r>
        <w:rPr>
          <w:rFonts w:ascii="Arial" w:hAnsi="Arial" w:cs="Arial" w:eastAsia="Arial" w:hint="default"/>
          <w:spacing w:val="2"/>
        </w:rPr>
        <w:t>3</w:t>
      </w:r>
      <w:r>
        <w:rPr>
          <w:spacing w:val="2"/>
        </w:rPr>
        <w:t>月</w:t>
      </w:r>
      <w:r>
        <w:rPr>
          <w:rFonts w:ascii="Arial" w:hAnsi="Arial" w:cs="Arial" w:eastAsia="Arial" w:hint="default"/>
          <w:spacing w:val="2"/>
        </w:rPr>
        <w:t>1</w:t>
      </w:r>
      <w:r>
        <w:rPr>
          <w:spacing w:val="2"/>
        </w:rPr>
        <w:t>日第四届董事会</w:t>
      </w:r>
      <w:r>
        <w:rPr>
          <w:rFonts w:ascii="Arial" w:hAnsi="Arial" w:cs="Arial" w:eastAsia="Arial" w:hint="default"/>
          <w:spacing w:val="2"/>
        </w:rPr>
        <w:t>2011</w:t>
      </w:r>
      <w:r>
        <w:rPr>
          <w:spacing w:val="2"/>
        </w:rPr>
        <w:t>年第二</w:t>
      </w:r>
      <w:r>
        <w:rPr>
          <w:spacing w:val="2"/>
          <w:w w:val="99"/>
        </w:rPr>
        <w:t> </w:t>
      </w:r>
      <w:r>
        <w:rPr>
          <w:spacing w:val="5"/>
          <w:w w:val="95"/>
        </w:rPr>
        <w:t>次会议上审议通过了回购并注销部分激励对象已获授但尚未解锁的股权激励股票的相关</w:t>
      </w:r>
      <w:r>
        <w:rPr>
          <w:spacing w:val="63"/>
          <w:w w:val="95"/>
        </w:rPr>
        <w:t> </w:t>
      </w:r>
      <w:r>
        <w:rPr>
          <w:spacing w:val="63"/>
          <w:w w:val="95"/>
        </w:rPr>
      </w:r>
      <w:r>
        <w:rPr/>
        <w:t>议案。公司于</w:t>
      </w:r>
      <w:r>
        <w:rPr>
          <w:rFonts w:ascii="Arial" w:hAnsi="Arial" w:cs="Arial" w:eastAsia="Arial" w:hint="default"/>
        </w:rPr>
        <w:t>2011</w:t>
      </w:r>
      <w:r>
        <w:rPr/>
        <w:t>年</w:t>
      </w:r>
      <w:r>
        <w:rPr>
          <w:rFonts w:ascii="Arial" w:hAnsi="Arial" w:cs="Arial" w:eastAsia="Arial" w:hint="default"/>
        </w:rPr>
        <w:t>3</w:t>
      </w:r>
      <w:r>
        <w:rPr/>
        <w:t>月</w:t>
      </w:r>
      <w:r>
        <w:rPr>
          <w:rFonts w:ascii="Arial" w:hAnsi="Arial" w:cs="Arial" w:eastAsia="Arial" w:hint="default"/>
        </w:rPr>
        <w:t>24</w:t>
      </w:r>
      <w:r>
        <w:rPr/>
        <w:t>日将上述回购的股权激励股票予以注销</w:t>
      </w:r>
      <w:r>
        <w:rPr>
          <w:rFonts w:ascii="Arial" w:hAnsi="Arial" w:cs="Arial" w:eastAsia="Arial" w:hint="default"/>
        </w:rPr>
        <w:t>,</w:t>
      </w:r>
      <w:r>
        <w:rPr/>
        <w:t>共计注销</w:t>
      </w:r>
      <w:r>
        <w:rPr>
          <w:rFonts w:ascii="Arial" w:hAnsi="Arial" w:cs="Arial" w:eastAsia="Arial" w:hint="default"/>
        </w:rPr>
        <w:t>101,088</w:t>
      </w:r>
      <w:r>
        <w:rPr/>
        <w:t>股。</w:t>
      </w:r>
      <w:r>
        <w:rPr>
          <w:spacing w:val="-80"/>
        </w:rPr>
        <w:t> </w:t>
      </w:r>
      <w:r>
        <w:rPr/>
        <w:t>注销后，本公司的注册资本从人民币</w:t>
      </w:r>
      <w:r>
        <w:rPr>
          <w:rFonts w:ascii="Arial" w:hAnsi="Arial" w:cs="Arial" w:eastAsia="Arial" w:hint="default"/>
        </w:rPr>
        <w:t>816,131,907</w:t>
      </w:r>
      <w:r>
        <w:rPr/>
        <w:t>元减至人民币</w:t>
      </w:r>
      <w:r>
        <w:rPr>
          <w:rFonts w:ascii="Arial" w:hAnsi="Arial" w:cs="Arial" w:eastAsia="Arial" w:hint="default"/>
        </w:rPr>
        <w:t>816,030,819</w:t>
      </w:r>
      <w:r>
        <w:rPr/>
        <w:t>元。</w:t>
      </w:r>
    </w:p>
    <w:p>
      <w:pPr>
        <w:spacing w:line="240" w:lineRule="auto" w:before="12"/>
        <w:rPr>
          <w:rFonts w:ascii="黑体" w:hAnsi="黑体" w:cs="黑体" w:eastAsia="黑体" w:hint="default"/>
          <w:sz w:val="19"/>
          <w:szCs w:val="19"/>
        </w:rPr>
      </w:pPr>
    </w:p>
    <w:p>
      <w:pPr>
        <w:pStyle w:val="BodyText"/>
        <w:spacing w:line="225" w:lineRule="auto"/>
        <w:ind w:left="813" w:right="360"/>
        <w:jc w:val="both"/>
      </w:pPr>
      <w:r>
        <w:rPr/>
        <w:t>因有部分股权激励对象发生了公司股权激励计划中规定的变更和终止的情形，</w:t>
      </w:r>
      <w:r>
        <w:rPr>
          <w:rFonts w:ascii="Arial" w:hAnsi="Arial" w:cs="Arial" w:eastAsia="Arial" w:hint="default"/>
        </w:rPr>
        <w:t>2011</w:t>
      </w:r>
      <w:r>
        <w:rPr/>
        <w:t>年</w:t>
      </w:r>
      <w:r>
        <w:rPr>
          <w:rFonts w:ascii="Arial" w:hAnsi="Arial" w:cs="Arial" w:eastAsia="Arial" w:hint="default"/>
        </w:rPr>
        <w:t>8</w:t>
      </w:r>
      <w:r>
        <w:rPr/>
        <w:t>月</w:t>
      </w:r>
      <w:r>
        <w:rPr>
          <w:spacing w:val="-78"/>
        </w:rPr>
        <w:t> </w:t>
      </w:r>
      <w:r>
        <w:rPr>
          <w:rFonts w:ascii="Arial" w:hAnsi="Arial" w:cs="Arial" w:eastAsia="Arial" w:hint="default"/>
          <w:spacing w:val="3"/>
          <w:w w:val="95"/>
        </w:rPr>
        <w:t>25</w:t>
      </w:r>
      <w:r>
        <w:rPr>
          <w:spacing w:val="3"/>
          <w:w w:val="95"/>
        </w:rPr>
        <w:t>日第五届董事会</w:t>
      </w:r>
      <w:r>
        <w:rPr>
          <w:rFonts w:ascii="Arial" w:hAnsi="Arial" w:cs="Arial" w:eastAsia="Arial" w:hint="default"/>
          <w:spacing w:val="3"/>
          <w:w w:val="95"/>
        </w:rPr>
        <w:t>2011</w:t>
      </w:r>
      <w:r>
        <w:rPr>
          <w:spacing w:val="3"/>
          <w:w w:val="95"/>
        </w:rPr>
        <w:t>年第七次会议上审议通过了回购并注销部分激励对象已获授但尚</w:t>
      </w:r>
      <w:r>
        <w:rPr>
          <w:spacing w:val="63"/>
          <w:w w:val="95"/>
        </w:rPr>
        <w:t> </w:t>
      </w:r>
      <w:r>
        <w:rPr>
          <w:spacing w:val="63"/>
          <w:w w:val="95"/>
        </w:rPr>
      </w:r>
      <w:r>
        <w:rPr/>
        <w:t>未解锁的股权激励股票的相关议案。公司于</w:t>
      </w:r>
      <w:r>
        <w:rPr>
          <w:rFonts w:ascii="Arial" w:hAnsi="Arial" w:cs="Arial" w:eastAsia="Arial" w:hint="default"/>
        </w:rPr>
        <w:t>2011</w:t>
      </w:r>
      <w:r>
        <w:rPr/>
        <w:t>年</w:t>
      </w:r>
      <w:r>
        <w:rPr>
          <w:rFonts w:ascii="Arial" w:hAnsi="Arial" w:cs="Arial" w:eastAsia="Arial" w:hint="default"/>
        </w:rPr>
        <w:t>9</w:t>
      </w:r>
      <w:r>
        <w:rPr/>
        <w:t>月</w:t>
      </w:r>
      <w:r>
        <w:rPr>
          <w:rFonts w:ascii="Arial" w:hAnsi="Arial" w:cs="Arial" w:eastAsia="Arial" w:hint="default"/>
        </w:rPr>
        <w:t>16</w:t>
      </w:r>
      <w:r>
        <w:rPr/>
        <w:t>日将上述回购的股权激励股票予</w:t>
      </w:r>
      <w:r>
        <w:rPr>
          <w:w w:val="99"/>
        </w:rPr>
        <w:t> </w:t>
      </w:r>
      <w:r>
        <w:rPr>
          <w:spacing w:val="-1"/>
        </w:rPr>
        <w:t>以注销，共计注销</w:t>
      </w:r>
      <w:r>
        <w:rPr>
          <w:rFonts w:ascii="Arial" w:hAnsi="Arial" w:cs="Arial" w:eastAsia="Arial" w:hint="default"/>
          <w:spacing w:val="-1"/>
        </w:rPr>
        <w:t>127,452</w:t>
      </w:r>
      <w:r>
        <w:rPr>
          <w:spacing w:val="-1"/>
        </w:rPr>
        <w:t>股。注销后，本公司的注册资本从人民币</w:t>
      </w:r>
      <w:r>
        <w:rPr>
          <w:rFonts w:ascii="Arial" w:hAnsi="Arial" w:cs="Arial" w:eastAsia="Arial" w:hint="default"/>
          <w:spacing w:val="-1"/>
        </w:rPr>
        <w:t>816,030,819</w:t>
      </w:r>
      <w:r>
        <w:rPr>
          <w:spacing w:val="-1"/>
        </w:rPr>
        <w:t>元减至人</w:t>
      </w:r>
      <w:r>
        <w:rPr>
          <w:w w:val="99"/>
        </w:rPr>
        <w:t> </w:t>
      </w:r>
      <w:r>
        <w:rPr/>
        <w:t>民币</w:t>
      </w:r>
      <w:r>
        <w:rPr>
          <w:rFonts w:ascii="Arial" w:hAnsi="Arial" w:cs="Arial" w:eastAsia="Arial" w:hint="default"/>
        </w:rPr>
        <w:t>815,903,367</w:t>
      </w:r>
      <w:r>
        <w:rPr/>
        <w:t>元。</w:t>
      </w:r>
    </w:p>
    <w:p>
      <w:pPr>
        <w:spacing w:after="0" w:line="225" w:lineRule="auto"/>
        <w:jc w:val="both"/>
        <w:sectPr>
          <w:headerReference w:type="default" r:id="rId51"/>
          <w:pgSz w:w="11910" w:h="16850"/>
          <w:pgMar w:header="957" w:footer="833" w:top="2620" w:bottom="1020" w:left="1600" w:right="1340"/>
        </w:sectPr>
      </w:pPr>
    </w:p>
    <w:p>
      <w:pPr>
        <w:spacing w:line="240" w:lineRule="auto" w:before="1"/>
        <w:rPr>
          <w:rFonts w:ascii="黑体" w:hAnsi="黑体" w:cs="黑体" w:eastAsia="黑体" w:hint="default"/>
          <w:sz w:val="18"/>
          <w:szCs w:val="18"/>
        </w:rPr>
      </w:pPr>
    </w:p>
    <w:p>
      <w:pPr>
        <w:pStyle w:val="Heading6"/>
        <w:tabs>
          <w:tab w:pos="809" w:val="left" w:leader="none"/>
        </w:tabs>
        <w:spacing w:line="240" w:lineRule="auto"/>
        <w:ind w:right="85"/>
        <w:jc w:val="left"/>
        <w:rPr>
          <w:b w:val="0"/>
          <w:bCs w:val="0"/>
        </w:rPr>
      </w:pPr>
      <w:bookmarkStart w:name="3. 会计期间" w:id="16"/>
      <w:bookmarkEnd w:id="16"/>
      <w:r>
        <w:rPr>
          <w:b w:val="0"/>
          <w:bCs w:val="0"/>
        </w:rPr>
      </w:r>
      <w:bookmarkStart w:name="4. 记账本位币" w:id="17"/>
      <w:bookmarkEnd w:id="17"/>
      <w:r>
        <w:rPr>
          <w:b w:val="0"/>
          <w:bCs w:val="0"/>
        </w:rPr>
      </w:r>
      <w:r>
        <w:rPr>
          <w:w w:val="95"/>
        </w:rPr>
        <w:t>一、</w:t>
        <w:tab/>
      </w:r>
      <w:bookmarkStart w:name="一、 本集团的基本情况（续）" w:id="18"/>
      <w:bookmarkEnd w:id="18"/>
      <w:r>
        <w:rPr/>
        <w:t>本集团</w:t>
      </w:r>
      <w:r>
        <w:rPr/>
        <w:t>的基本情况（续）</w:t>
      </w:r>
      <w:r>
        <w:rPr>
          <w:b w:val="0"/>
          <w:bCs w:val="0"/>
        </w:rPr>
      </w:r>
    </w:p>
    <w:p>
      <w:pPr>
        <w:spacing w:line="240" w:lineRule="auto" w:before="4"/>
        <w:rPr>
          <w:rFonts w:ascii="黑体" w:hAnsi="黑体" w:cs="黑体" w:eastAsia="黑体" w:hint="default"/>
          <w:b/>
          <w:bCs/>
          <w:sz w:val="22"/>
          <w:szCs w:val="22"/>
        </w:rPr>
      </w:pPr>
    </w:p>
    <w:p>
      <w:pPr>
        <w:pStyle w:val="BodyText"/>
        <w:spacing w:line="225" w:lineRule="auto"/>
        <w:ind w:right="199"/>
        <w:jc w:val="both"/>
      </w:pPr>
      <w:r>
        <w:rPr>
          <w:spacing w:val="-2"/>
        </w:rPr>
        <w:t>经本公司于</w:t>
      </w:r>
      <w:r>
        <w:rPr>
          <w:rFonts w:ascii="Arial" w:hAnsi="Arial" w:cs="Arial" w:eastAsia="Arial" w:hint="default"/>
          <w:spacing w:val="-2"/>
        </w:rPr>
        <w:t>2012</w:t>
      </w:r>
      <w:r>
        <w:rPr>
          <w:spacing w:val="-2"/>
        </w:rPr>
        <w:t>年</w:t>
      </w:r>
      <w:r>
        <w:rPr>
          <w:rFonts w:ascii="Arial" w:hAnsi="Arial" w:cs="Arial" w:eastAsia="Arial" w:hint="default"/>
          <w:spacing w:val="-2"/>
        </w:rPr>
        <w:t>3</w:t>
      </w:r>
      <w:r>
        <w:rPr>
          <w:spacing w:val="-2"/>
        </w:rPr>
        <w:t>月</w:t>
      </w:r>
      <w:r>
        <w:rPr>
          <w:rFonts w:ascii="Arial" w:hAnsi="Arial" w:cs="Arial" w:eastAsia="Arial" w:hint="default"/>
          <w:spacing w:val="-2"/>
        </w:rPr>
        <w:t>30</w:t>
      </w:r>
      <w:r>
        <w:rPr>
          <w:spacing w:val="-2"/>
        </w:rPr>
        <w:t>日召开的</w:t>
      </w:r>
      <w:r>
        <w:rPr>
          <w:rFonts w:ascii="Arial" w:hAnsi="Arial" w:cs="Arial" w:eastAsia="Arial" w:hint="default"/>
          <w:spacing w:val="-2"/>
        </w:rPr>
        <w:t>2011</w:t>
      </w:r>
      <w:r>
        <w:rPr>
          <w:spacing w:val="-2"/>
        </w:rPr>
        <w:t>年年度股东大会决议通过的《</w:t>
      </w:r>
      <w:r>
        <w:rPr>
          <w:rFonts w:ascii="Arial" w:hAnsi="Arial" w:cs="Arial" w:eastAsia="Arial" w:hint="default"/>
          <w:spacing w:val="-2"/>
        </w:rPr>
        <w:t>2011</w:t>
      </w:r>
      <w:r>
        <w:rPr>
          <w:spacing w:val="-2"/>
        </w:rPr>
        <w:t>年度资本公积转</w:t>
      </w:r>
      <w:r>
        <w:rPr>
          <w:spacing w:val="-97"/>
        </w:rPr>
        <w:t> </w:t>
      </w:r>
      <w:r>
        <w:rPr>
          <w:spacing w:val="-97"/>
        </w:rPr>
      </w:r>
      <w:r>
        <w:rPr>
          <w:spacing w:val="-2"/>
          <w:w w:val="95"/>
        </w:rPr>
        <w:t>增股本议案》，本公司以</w:t>
      </w:r>
      <w:r>
        <w:rPr>
          <w:rFonts w:ascii="Arial" w:hAnsi="Arial" w:cs="Arial" w:eastAsia="Arial" w:hint="default"/>
          <w:spacing w:val="-2"/>
          <w:w w:val="95"/>
        </w:rPr>
        <w:t>2011</w:t>
      </w:r>
      <w:r>
        <w:rPr>
          <w:spacing w:val="-2"/>
          <w:w w:val="95"/>
        </w:rPr>
        <w:t>年末总股本</w:t>
      </w:r>
      <w:r>
        <w:rPr>
          <w:rFonts w:ascii="Arial" w:hAnsi="Arial" w:cs="Arial" w:eastAsia="Arial" w:hint="default"/>
          <w:spacing w:val="-2"/>
          <w:w w:val="95"/>
        </w:rPr>
        <w:t>815,903,367</w:t>
      </w:r>
      <w:r>
        <w:rPr>
          <w:spacing w:val="-2"/>
          <w:w w:val="95"/>
        </w:rPr>
        <w:t>股为基数，向全体股东每</w:t>
      </w:r>
      <w:r>
        <w:rPr>
          <w:rFonts w:ascii="Arial" w:hAnsi="Arial" w:cs="Arial" w:eastAsia="Arial" w:hint="default"/>
          <w:spacing w:val="-2"/>
          <w:w w:val="95"/>
        </w:rPr>
        <w:t>10</w:t>
      </w:r>
      <w:r>
        <w:rPr>
          <w:spacing w:val="-2"/>
          <w:w w:val="95"/>
        </w:rPr>
        <w:t>股转增</w:t>
      </w:r>
      <w:r>
        <w:rPr>
          <w:rFonts w:ascii="Arial" w:hAnsi="Arial" w:cs="Arial" w:eastAsia="Arial" w:hint="default"/>
          <w:spacing w:val="-2"/>
          <w:w w:val="95"/>
        </w:rPr>
        <w:t>2</w:t>
      </w:r>
      <w:r>
        <w:rPr>
          <w:rFonts w:ascii="Arial" w:hAnsi="Arial" w:cs="Arial" w:eastAsia="Arial" w:hint="default"/>
          <w:spacing w:val="10"/>
          <w:w w:val="95"/>
        </w:rPr>
        <w:t> </w:t>
      </w:r>
      <w:r>
        <w:rPr>
          <w:spacing w:val="-1"/>
        </w:rPr>
        <w:t>股，共计转增</w:t>
      </w:r>
      <w:r>
        <w:rPr>
          <w:rFonts w:ascii="Arial" w:hAnsi="Arial" w:cs="Arial" w:eastAsia="Arial" w:hint="default"/>
          <w:spacing w:val="-1"/>
        </w:rPr>
        <w:t>163,180,673</w:t>
      </w:r>
      <w:r>
        <w:rPr>
          <w:spacing w:val="-1"/>
        </w:rPr>
        <w:t>股。转增后，本公司的注册资本由人民币</w:t>
      </w:r>
      <w:r>
        <w:rPr>
          <w:rFonts w:ascii="Arial" w:hAnsi="Arial" w:cs="Arial" w:eastAsia="Arial" w:hint="default"/>
          <w:spacing w:val="-1"/>
        </w:rPr>
        <w:t>815,903,367</w:t>
      </w:r>
      <w:r>
        <w:rPr>
          <w:spacing w:val="-1"/>
        </w:rPr>
        <w:t>元增加至</w:t>
      </w:r>
      <w:r>
        <w:rPr>
          <w:w w:val="99"/>
        </w:rPr>
        <w:t> </w:t>
      </w:r>
      <w:r>
        <w:rPr/>
        <w:t>人民币</w:t>
      </w:r>
      <w:r>
        <w:rPr>
          <w:rFonts w:ascii="Arial" w:hAnsi="Arial" w:cs="Arial" w:eastAsia="Arial" w:hint="default"/>
        </w:rPr>
        <w:t>979,084,040</w:t>
      </w:r>
      <w:r>
        <w:rPr/>
        <w:t>元。</w:t>
      </w:r>
    </w:p>
    <w:p>
      <w:pPr>
        <w:spacing w:line="240" w:lineRule="auto" w:before="6"/>
        <w:rPr>
          <w:rFonts w:ascii="黑体" w:hAnsi="黑体" w:cs="黑体" w:eastAsia="黑体" w:hint="default"/>
          <w:sz w:val="21"/>
          <w:szCs w:val="21"/>
        </w:rPr>
      </w:pPr>
    </w:p>
    <w:p>
      <w:pPr>
        <w:pStyle w:val="BodyText"/>
        <w:spacing w:line="240" w:lineRule="auto"/>
        <w:ind w:right="0"/>
        <w:jc w:val="both"/>
      </w:pPr>
      <w:r>
        <w:rPr/>
        <w:t>本集团的母公司和最终母公司为于中国成立的用友科技。</w:t>
      </w:r>
    </w:p>
    <w:p>
      <w:pPr>
        <w:spacing w:line="240" w:lineRule="auto" w:before="10"/>
        <w:rPr>
          <w:rFonts w:ascii="黑体" w:hAnsi="黑体" w:cs="黑体" w:eastAsia="黑体" w:hint="default"/>
          <w:sz w:val="22"/>
          <w:szCs w:val="22"/>
        </w:rPr>
      </w:pPr>
    </w:p>
    <w:p>
      <w:pPr>
        <w:pStyle w:val="BodyText"/>
        <w:spacing w:line="244" w:lineRule="auto"/>
        <w:ind w:right="193"/>
        <w:jc w:val="left"/>
      </w:pPr>
      <w:r>
        <w:rPr/>
        <w:t>本财务报表业经公司董事会于</w:t>
      </w:r>
      <w:r>
        <w:rPr>
          <w:rFonts w:ascii="Arial" w:hAnsi="Arial" w:cs="Arial" w:eastAsia="Arial" w:hint="default"/>
        </w:rPr>
        <w:t>2013</w:t>
      </w:r>
      <w:r>
        <w:rPr/>
        <w:t>年</w:t>
      </w:r>
      <w:r>
        <w:rPr>
          <w:rFonts w:ascii="Arial" w:hAnsi="Arial" w:cs="Arial" w:eastAsia="Arial" w:hint="default"/>
        </w:rPr>
        <w:t>3</w:t>
      </w:r>
      <w:r>
        <w:rPr/>
        <w:t>月</w:t>
      </w:r>
      <w:r>
        <w:rPr>
          <w:rFonts w:ascii="Arial" w:hAnsi="Arial" w:cs="Arial" w:eastAsia="Arial" w:hint="default"/>
        </w:rPr>
        <w:t>18</w:t>
      </w:r>
      <w:r>
        <w:rPr/>
        <w:t>日决议批准。根据本公司章程，本财务报表将</w:t>
      </w:r>
      <w:r>
        <w:rPr>
          <w:w w:val="99"/>
        </w:rPr>
        <w:t> </w:t>
      </w:r>
      <w:r>
        <w:rPr/>
        <w:t>提交股东大会审议。</w:t>
      </w:r>
    </w:p>
    <w:p>
      <w:pPr>
        <w:spacing w:line="240" w:lineRule="auto" w:before="6"/>
        <w:rPr>
          <w:rFonts w:ascii="黑体" w:hAnsi="黑体" w:cs="黑体" w:eastAsia="黑体" w:hint="default"/>
          <w:sz w:val="22"/>
          <w:szCs w:val="22"/>
        </w:rPr>
      </w:pPr>
    </w:p>
    <w:p>
      <w:pPr>
        <w:pStyle w:val="Heading6"/>
        <w:tabs>
          <w:tab w:pos="809" w:val="left" w:leader="none"/>
        </w:tabs>
        <w:spacing w:line="240" w:lineRule="auto" w:before="0"/>
        <w:ind w:right="85"/>
        <w:jc w:val="left"/>
        <w:rPr>
          <w:b w:val="0"/>
          <w:bCs w:val="0"/>
        </w:rPr>
      </w:pPr>
      <w:r>
        <w:rPr>
          <w:w w:val="95"/>
        </w:rPr>
        <w:t>二、</w:t>
        <w:tab/>
      </w:r>
      <w:r>
        <w:rPr/>
        <w:t>重要会计政策、会计估计和前期差错</w:t>
      </w:r>
      <w:r>
        <w:rPr>
          <w:b w:val="0"/>
          <w:bCs w:val="0"/>
        </w:rPr>
      </w:r>
    </w:p>
    <w:p>
      <w:pPr>
        <w:spacing w:line="240" w:lineRule="auto" w:before="2"/>
        <w:rPr>
          <w:rFonts w:ascii="黑体" w:hAnsi="黑体" w:cs="黑体" w:eastAsia="黑体" w:hint="default"/>
          <w:b/>
          <w:bCs/>
          <w:sz w:val="20"/>
          <w:szCs w:val="20"/>
        </w:rPr>
      </w:pPr>
    </w:p>
    <w:p>
      <w:pPr>
        <w:pStyle w:val="Heading6"/>
        <w:tabs>
          <w:tab w:pos="809" w:val="left" w:leader="none"/>
        </w:tabs>
        <w:spacing w:line="240" w:lineRule="auto" w:before="0"/>
        <w:ind w:right="85"/>
        <w:jc w:val="left"/>
        <w:rPr>
          <w:b w:val="0"/>
          <w:bCs w:val="0"/>
        </w:rPr>
      </w:pPr>
      <w:r>
        <w:rPr>
          <w:rFonts w:ascii="Arial" w:hAnsi="Arial" w:cs="Arial" w:eastAsia="Arial" w:hint="default"/>
          <w:spacing w:val="-1"/>
        </w:rPr>
        <w:t>1.</w:t>
        <w:tab/>
      </w:r>
      <w:r>
        <w:rPr>
          <w:spacing w:val="1"/>
        </w:rPr>
        <w:t>财务报表的编制基础</w:t>
      </w:r>
      <w:r>
        <w:rPr>
          <w:b w:val="0"/>
          <w:bCs w:val="0"/>
        </w:rPr>
      </w:r>
    </w:p>
    <w:p>
      <w:pPr>
        <w:spacing w:line="240" w:lineRule="auto" w:before="9"/>
        <w:rPr>
          <w:rFonts w:ascii="黑体" w:hAnsi="黑体" w:cs="黑体" w:eastAsia="黑体" w:hint="default"/>
          <w:b/>
          <w:bCs/>
          <w:sz w:val="20"/>
          <w:szCs w:val="20"/>
        </w:rPr>
      </w:pPr>
    </w:p>
    <w:p>
      <w:pPr>
        <w:pStyle w:val="BodyText"/>
        <w:spacing w:line="260" w:lineRule="exact"/>
        <w:ind w:right="193"/>
        <w:jc w:val="left"/>
      </w:pPr>
      <w:r>
        <w:rPr/>
        <w:t>本财务报表按照中国财政部</w:t>
      </w:r>
      <w:r>
        <w:rPr>
          <w:rFonts w:ascii="Arial" w:hAnsi="Arial" w:cs="Arial" w:eastAsia="Arial" w:hint="default"/>
        </w:rPr>
        <w:t>2006</w:t>
      </w:r>
      <w:r>
        <w:rPr/>
        <w:t>年</w:t>
      </w:r>
      <w:r>
        <w:rPr>
          <w:rFonts w:ascii="Arial" w:hAnsi="Arial" w:cs="Arial" w:eastAsia="Arial" w:hint="default"/>
        </w:rPr>
        <w:t>2</w:t>
      </w:r>
      <w:r>
        <w:rPr/>
        <w:t>月颁布的</w:t>
      </w:r>
      <w:bookmarkStart w:name="1. 财务报表的编制基础" w:id="19"/>
      <w:bookmarkEnd w:id="19"/>
      <w:r>
        <w:rPr/>
        <w:t>《</w:t>
      </w:r>
      <w:r>
        <w:rPr/>
        <w:t>企业会计准则</w:t>
      </w:r>
      <w:r>
        <w:rPr>
          <w:rFonts w:ascii="Arial" w:hAnsi="Arial" w:cs="Arial" w:eastAsia="Arial" w:hint="default"/>
        </w:rPr>
        <w:t>—</w:t>
      </w:r>
      <w:r>
        <w:rPr/>
        <w:t>基本准则》和</w:t>
      </w:r>
      <w:r>
        <w:rPr>
          <w:rFonts w:ascii="Arial" w:hAnsi="Arial" w:cs="Arial" w:eastAsia="Arial" w:hint="default"/>
        </w:rPr>
        <w:t>38</w:t>
      </w:r>
      <w:r>
        <w:rPr/>
        <w:t>项具体会</w:t>
      </w:r>
      <w:r>
        <w:rPr>
          <w:w w:val="99"/>
        </w:rPr>
        <w:t> </w:t>
      </w:r>
      <w:r>
        <w:rPr/>
        <w:t>计准则、其后颁布的应用指南、解释以及其他相关规定</w:t>
      </w:r>
      <w:r>
        <w:rPr>
          <w:rFonts w:ascii="Arial" w:hAnsi="Arial" w:cs="Arial" w:eastAsia="Arial" w:hint="default"/>
        </w:rPr>
        <w:t>(</w:t>
      </w:r>
      <w:r>
        <w:rPr/>
        <w:t>统称</w:t>
      </w:r>
      <w:r>
        <w:rPr>
          <w:rFonts w:ascii="Arial" w:hAnsi="Arial" w:cs="Arial" w:eastAsia="Arial" w:hint="default"/>
        </w:rPr>
        <w:t>“</w:t>
      </w:r>
      <w:r>
        <w:rPr/>
        <w:t>企业会计准则</w:t>
      </w:r>
      <w:r>
        <w:rPr>
          <w:rFonts w:ascii="Arial" w:hAnsi="Arial" w:cs="Arial" w:eastAsia="Arial" w:hint="default"/>
        </w:rPr>
        <w:t>”)</w:t>
      </w:r>
      <w:r>
        <w:rPr/>
        <w:t>编制。</w:t>
      </w:r>
    </w:p>
    <w:p>
      <w:pPr>
        <w:spacing w:line="240" w:lineRule="auto" w:before="13"/>
        <w:rPr>
          <w:rFonts w:ascii="黑体" w:hAnsi="黑体" w:cs="黑体" w:eastAsia="黑体" w:hint="default"/>
          <w:sz w:val="17"/>
          <w:szCs w:val="17"/>
        </w:rPr>
      </w:pPr>
    </w:p>
    <w:p>
      <w:pPr>
        <w:pStyle w:val="BodyText"/>
        <w:spacing w:line="240" w:lineRule="auto"/>
        <w:ind w:right="0"/>
        <w:jc w:val="both"/>
      </w:pPr>
      <w:r>
        <w:rPr/>
        <w:t>本财务报表以持续经营为基础列报。</w:t>
      </w:r>
    </w:p>
    <w:p>
      <w:pPr>
        <w:spacing w:line="240" w:lineRule="auto" w:before="8"/>
        <w:rPr>
          <w:rFonts w:ascii="黑体" w:hAnsi="黑体" w:cs="黑体" w:eastAsia="黑体" w:hint="default"/>
          <w:sz w:val="19"/>
          <w:szCs w:val="19"/>
        </w:rPr>
      </w:pPr>
    </w:p>
    <w:p>
      <w:pPr>
        <w:pStyle w:val="BodyText"/>
        <w:spacing w:line="240" w:lineRule="auto"/>
        <w:ind w:right="94"/>
        <w:jc w:val="left"/>
      </w:pPr>
      <w:r>
        <w:rPr>
          <w:spacing w:val="2"/>
        </w:rPr>
        <w:t>编制本财务报表时，除某些金融工具外，均以历史成本为计价原则。资产如果发生减值，</w:t>
      </w:r>
      <w:r>
        <w:rPr>
          <w:spacing w:val="2"/>
          <w:w w:val="99"/>
        </w:rPr>
        <w:t> </w:t>
      </w:r>
      <w:r>
        <w:rPr/>
        <w:t>则按照相关规定计提相应的减值准备。</w:t>
      </w:r>
    </w:p>
    <w:p>
      <w:pPr>
        <w:spacing w:line="240" w:lineRule="auto" w:before="11"/>
        <w:rPr>
          <w:rFonts w:ascii="黑体" w:hAnsi="黑体" w:cs="黑体" w:eastAsia="黑体" w:hint="default"/>
          <w:sz w:val="23"/>
          <w:szCs w:val="23"/>
        </w:rPr>
      </w:pPr>
    </w:p>
    <w:p>
      <w:pPr>
        <w:pStyle w:val="Heading6"/>
        <w:tabs>
          <w:tab w:pos="821" w:val="left" w:leader="none"/>
        </w:tabs>
        <w:spacing w:line="240" w:lineRule="auto" w:before="0"/>
        <w:ind w:right="85"/>
        <w:jc w:val="left"/>
        <w:rPr>
          <w:b w:val="0"/>
          <w:bCs w:val="0"/>
        </w:rPr>
      </w:pPr>
      <w:r>
        <w:rPr>
          <w:rFonts w:ascii="Arial" w:hAnsi="Arial" w:cs="Arial" w:eastAsia="Arial" w:hint="default"/>
          <w:spacing w:val="-1"/>
        </w:rPr>
        <w:t>2.</w:t>
        <w:tab/>
      </w:r>
      <w:r>
        <w:rPr>
          <w:spacing w:val="1"/>
        </w:rPr>
        <w:t>遵循企业会计准则的声明</w:t>
      </w:r>
      <w:r>
        <w:rPr>
          <w:b w:val="0"/>
          <w:bCs w:val="0"/>
          <w:spacing w:val="1"/>
        </w:rPr>
      </w:r>
    </w:p>
    <w:p>
      <w:pPr>
        <w:spacing w:line="240" w:lineRule="auto" w:before="9"/>
        <w:rPr>
          <w:rFonts w:ascii="黑体" w:hAnsi="黑体" w:cs="黑体" w:eastAsia="黑体" w:hint="default"/>
          <w:b/>
          <w:bCs/>
          <w:sz w:val="21"/>
          <w:szCs w:val="21"/>
        </w:rPr>
      </w:pPr>
    </w:p>
    <w:p>
      <w:pPr>
        <w:pStyle w:val="BodyText"/>
        <w:spacing w:line="244" w:lineRule="auto"/>
        <w:ind w:left="821" w:right="190" w:hanging="15"/>
        <w:jc w:val="left"/>
      </w:pPr>
      <w:r>
        <w:rPr>
          <w:spacing w:val="3"/>
        </w:rPr>
        <w:t>本财务报表符合企业会计准则的要求，真实、完整地反映了本公司及本集团于</w:t>
      </w:r>
      <w:bookmarkStart w:name="2. 遵循企业会计准则的声明" w:id="20"/>
      <w:bookmarkEnd w:id="20"/>
      <w:r>
        <w:rPr>
          <w:spacing w:val="3"/>
        </w:rPr>
      </w:r>
      <w:r>
        <w:rPr>
          <w:rFonts w:ascii="Arial" w:hAnsi="Arial" w:cs="Arial" w:eastAsia="Arial" w:hint="default"/>
          <w:spacing w:val="3"/>
        </w:rPr>
        <w:t>2012</w:t>
      </w:r>
      <w:r>
        <w:rPr>
          <w:spacing w:val="3"/>
        </w:rPr>
        <w:t>年</w:t>
      </w:r>
      <w:r>
        <w:rPr>
          <w:rFonts w:ascii="Arial" w:hAnsi="Arial" w:cs="Arial" w:eastAsia="Arial" w:hint="default"/>
          <w:spacing w:val="3"/>
        </w:rPr>
        <w:t>12</w:t>
      </w:r>
      <w:r>
        <w:rPr>
          <w:rFonts w:ascii="Arial" w:hAnsi="Arial" w:cs="Arial" w:eastAsia="Arial" w:hint="default"/>
          <w:spacing w:val="-1"/>
          <w:w w:val="99"/>
        </w:rPr>
        <w:t> </w:t>
      </w:r>
      <w:r>
        <w:rPr/>
        <w:t>月</w:t>
      </w:r>
      <w:r>
        <w:rPr>
          <w:rFonts w:ascii="Arial" w:hAnsi="Arial" w:cs="Arial" w:eastAsia="Arial" w:hint="default"/>
        </w:rPr>
        <w:t>31</w:t>
      </w:r>
      <w:r>
        <w:rPr/>
        <w:t>日的财务状况以及</w:t>
      </w:r>
      <w:r>
        <w:rPr>
          <w:rFonts w:ascii="Arial" w:hAnsi="Arial" w:cs="Arial" w:eastAsia="Arial" w:hint="default"/>
        </w:rPr>
        <w:t>2012</w:t>
      </w:r>
      <w:r>
        <w:rPr/>
        <w:t>年度的经营成果和现金流量。</w:t>
      </w:r>
    </w:p>
    <w:p>
      <w:pPr>
        <w:spacing w:line="240" w:lineRule="auto" w:before="3"/>
        <w:rPr>
          <w:rFonts w:ascii="黑体" w:hAnsi="黑体" w:cs="黑体" w:eastAsia="黑体" w:hint="default"/>
          <w:sz w:val="24"/>
          <w:szCs w:val="24"/>
        </w:rPr>
      </w:pPr>
    </w:p>
    <w:p>
      <w:pPr>
        <w:tabs>
          <w:tab w:pos="821" w:val="left" w:leader="none"/>
        </w:tabs>
        <w:spacing w:line="520" w:lineRule="auto" w:before="0"/>
        <w:ind w:left="814" w:right="2124" w:hanging="713"/>
        <w:jc w:val="left"/>
        <w:rPr>
          <w:rFonts w:ascii="黑体" w:hAnsi="黑体" w:cs="黑体" w:eastAsia="黑体" w:hint="default"/>
          <w:sz w:val="20"/>
          <w:szCs w:val="20"/>
        </w:rPr>
      </w:pPr>
      <w:r>
        <w:rPr>
          <w:rFonts w:ascii="Arial" w:hAnsi="Arial" w:cs="Arial" w:eastAsia="Arial" w:hint="default"/>
          <w:b/>
          <w:bCs/>
          <w:spacing w:val="-1"/>
          <w:sz w:val="20"/>
          <w:szCs w:val="20"/>
        </w:rPr>
        <w:t>3.</w:t>
        <w:tab/>
        <w:tab/>
      </w:r>
      <w:r>
        <w:rPr>
          <w:rFonts w:ascii="黑体" w:hAnsi="黑体" w:cs="黑体" w:eastAsia="黑体" w:hint="default"/>
          <w:b/>
          <w:bCs/>
          <w:spacing w:val="2"/>
          <w:sz w:val="20"/>
          <w:szCs w:val="20"/>
        </w:rPr>
        <w:t>会计期间</w:t>
      </w:r>
      <w:r>
        <w:rPr>
          <w:rFonts w:ascii="黑体" w:hAnsi="黑体" w:cs="黑体" w:eastAsia="黑体" w:hint="default"/>
          <w:b/>
          <w:bCs/>
          <w:spacing w:val="2"/>
          <w:w w:val="99"/>
          <w:sz w:val="20"/>
          <w:szCs w:val="20"/>
        </w:rPr>
        <w:t> </w:t>
      </w:r>
      <w:r>
        <w:rPr>
          <w:rFonts w:ascii="黑体" w:hAnsi="黑体" w:cs="黑体" w:eastAsia="黑体" w:hint="default"/>
          <w:sz w:val="20"/>
          <w:szCs w:val="20"/>
        </w:rPr>
        <w:t>本集团会计年度釆用公历年度，即每年自</w:t>
      </w:r>
      <w:r>
        <w:rPr>
          <w:rFonts w:ascii="Arial" w:hAnsi="Arial" w:cs="Arial" w:eastAsia="Arial" w:hint="default"/>
          <w:sz w:val="20"/>
          <w:szCs w:val="20"/>
        </w:rPr>
        <w:t>1</w:t>
      </w:r>
      <w:r>
        <w:rPr>
          <w:rFonts w:ascii="黑体" w:hAnsi="黑体" w:cs="黑体" w:eastAsia="黑体" w:hint="default"/>
          <w:sz w:val="20"/>
          <w:szCs w:val="20"/>
        </w:rPr>
        <w:t>月</w:t>
      </w:r>
      <w:r>
        <w:rPr>
          <w:rFonts w:ascii="Arial" w:hAnsi="Arial" w:cs="Arial" w:eastAsia="Arial" w:hint="default"/>
          <w:sz w:val="20"/>
          <w:szCs w:val="20"/>
        </w:rPr>
        <w:t>1</w:t>
      </w:r>
      <w:r>
        <w:rPr>
          <w:rFonts w:ascii="黑体" w:hAnsi="黑体" w:cs="黑体" w:eastAsia="黑体" w:hint="default"/>
          <w:sz w:val="20"/>
          <w:szCs w:val="20"/>
        </w:rPr>
        <w:t>日起至</w:t>
      </w: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日止。</w:t>
      </w:r>
    </w:p>
    <w:p>
      <w:pPr>
        <w:pStyle w:val="Heading6"/>
        <w:tabs>
          <w:tab w:pos="821" w:val="left" w:leader="none"/>
        </w:tabs>
        <w:spacing w:line="240" w:lineRule="auto" w:before="62"/>
        <w:ind w:right="85"/>
        <w:jc w:val="left"/>
        <w:rPr>
          <w:b w:val="0"/>
          <w:bCs w:val="0"/>
        </w:rPr>
      </w:pPr>
      <w:r>
        <w:rPr>
          <w:rFonts w:ascii="Arial" w:hAnsi="Arial" w:cs="Arial" w:eastAsia="Arial" w:hint="default"/>
          <w:spacing w:val="-1"/>
        </w:rPr>
        <w:t>4.</w:t>
        <w:tab/>
      </w:r>
      <w:r>
        <w:rPr>
          <w:spacing w:val="1"/>
        </w:rPr>
        <w:t>记账本位币</w:t>
      </w:r>
      <w:r>
        <w:rPr>
          <w:b w:val="0"/>
          <w:bCs w:val="0"/>
          <w:spacing w:val="1"/>
        </w:rPr>
      </w:r>
    </w:p>
    <w:p>
      <w:pPr>
        <w:spacing w:line="240" w:lineRule="auto" w:before="10"/>
        <w:rPr>
          <w:rFonts w:ascii="黑体" w:hAnsi="黑体" w:cs="黑体" w:eastAsia="黑体" w:hint="default"/>
          <w:b/>
          <w:bCs/>
          <w:sz w:val="24"/>
          <w:szCs w:val="24"/>
        </w:rPr>
      </w:pPr>
    </w:p>
    <w:p>
      <w:pPr>
        <w:pStyle w:val="BodyText"/>
        <w:spacing w:line="276" w:lineRule="auto"/>
        <w:ind w:right="85"/>
        <w:jc w:val="left"/>
      </w:pPr>
      <w:r>
        <w:rPr>
          <w:w w:val="95"/>
        </w:rPr>
        <w:t>本集团记账本位币和编制本财务报表所采用的货币均为人民币。除有特别说明外，均以人</w:t>
      </w:r>
      <w:r>
        <w:rPr>
          <w:spacing w:val="87"/>
          <w:w w:val="95"/>
        </w:rPr>
        <w:t> </w:t>
      </w:r>
      <w:r>
        <w:rPr>
          <w:spacing w:val="87"/>
          <w:w w:val="95"/>
        </w:rPr>
      </w:r>
      <w:r>
        <w:rPr/>
        <w:t>民币元为单位表示。</w:t>
      </w:r>
    </w:p>
    <w:p>
      <w:pPr>
        <w:spacing w:line="240" w:lineRule="auto" w:before="7"/>
        <w:rPr>
          <w:rFonts w:ascii="黑体" w:hAnsi="黑体" w:cs="黑体" w:eastAsia="黑体" w:hint="default"/>
          <w:sz w:val="23"/>
          <w:szCs w:val="23"/>
        </w:rPr>
      </w:pPr>
    </w:p>
    <w:p>
      <w:pPr>
        <w:pStyle w:val="BodyText"/>
        <w:spacing w:line="276" w:lineRule="auto"/>
        <w:ind w:right="85"/>
        <w:jc w:val="left"/>
      </w:pPr>
      <w:r>
        <w:rPr>
          <w:w w:val="95"/>
        </w:rPr>
        <w:t>本集团下属子公司、合营企业及联营企业，根据其经营所处的主要经济环境自行决定其记</w:t>
      </w:r>
      <w:r>
        <w:rPr>
          <w:spacing w:val="87"/>
          <w:w w:val="95"/>
        </w:rPr>
        <w:t> </w:t>
      </w:r>
      <w:r>
        <w:rPr>
          <w:spacing w:val="87"/>
          <w:w w:val="95"/>
        </w:rPr>
      </w:r>
      <w:r>
        <w:rPr/>
        <w:t>账本位币，编制财务报表时折算为人民币。</w:t>
      </w:r>
    </w:p>
    <w:p>
      <w:pPr>
        <w:spacing w:after="0" w:line="276" w:lineRule="auto"/>
        <w:jc w:val="left"/>
        <w:sectPr>
          <w:pgSz w:w="11910" w:h="16850"/>
          <w:pgMar w:header="957" w:footer="833" w:top="2620" w:bottom="1020" w:left="1600" w:right="1500"/>
        </w:sectPr>
      </w:pPr>
    </w:p>
    <w:p>
      <w:pPr>
        <w:spacing w:line="240" w:lineRule="auto" w:before="2"/>
        <w:rPr>
          <w:rFonts w:ascii="黑体" w:hAnsi="黑体" w:cs="黑体" w:eastAsia="黑体" w:hint="default"/>
          <w:sz w:val="19"/>
          <w:szCs w:val="19"/>
        </w:rPr>
      </w:pPr>
    </w:p>
    <w:p>
      <w:pPr>
        <w:pStyle w:val="Heading6"/>
        <w:spacing w:line="240" w:lineRule="auto"/>
        <w:ind w:right="85"/>
        <w:jc w:val="left"/>
        <w:rPr>
          <w:b w:val="0"/>
          <w:bCs w:val="0"/>
        </w:rPr>
      </w:pPr>
      <w:r>
        <w:rPr/>
        <w:t>二、</w:t>
      </w:r>
      <w:r>
        <w:rPr>
          <w:spacing w:val="-86"/>
        </w:rPr>
        <w:t> </w:t>
      </w:r>
      <w:r>
        <w:rPr/>
        <w:t>重要会计政策、会计估计和前期差错（续）</w:t>
      </w:r>
      <w:r>
        <w:rPr>
          <w:b w:val="0"/>
          <w:bCs w:val="0"/>
        </w:rPr>
      </w:r>
    </w:p>
    <w:p>
      <w:pPr>
        <w:spacing w:line="240" w:lineRule="auto" w:before="0"/>
        <w:rPr>
          <w:rFonts w:ascii="黑体" w:hAnsi="黑体" w:cs="黑体" w:eastAsia="黑体" w:hint="default"/>
          <w:b/>
          <w:bCs/>
          <w:sz w:val="24"/>
          <w:szCs w:val="24"/>
        </w:rPr>
      </w:pPr>
    </w:p>
    <w:p>
      <w:pPr>
        <w:pStyle w:val="Heading6"/>
        <w:tabs>
          <w:tab w:pos="821" w:val="left" w:leader="none"/>
        </w:tabs>
        <w:spacing w:line="240" w:lineRule="auto" w:before="0"/>
        <w:ind w:right="85"/>
        <w:jc w:val="left"/>
        <w:rPr>
          <w:b w:val="0"/>
          <w:bCs w:val="0"/>
        </w:rPr>
      </w:pPr>
      <w:r>
        <w:rPr>
          <w:rFonts w:ascii="Arial" w:hAnsi="Arial" w:cs="Arial" w:eastAsia="Arial" w:hint="default"/>
          <w:spacing w:val="-1"/>
        </w:rPr>
        <w:t>5.</w:t>
        <w:tab/>
      </w:r>
      <w:r>
        <w:rPr>
          <w:spacing w:val="2"/>
        </w:rPr>
        <w:t>企业合并</w:t>
      </w:r>
      <w:r>
        <w:rPr>
          <w:b w:val="0"/>
          <w:bCs w:val="0"/>
        </w:rPr>
      </w:r>
    </w:p>
    <w:p>
      <w:pPr>
        <w:spacing w:line="240" w:lineRule="auto" w:before="10"/>
        <w:rPr>
          <w:rFonts w:ascii="黑体" w:hAnsi="黑体" w:cs="黑体" w:eastAsia="黑体" w:hint="default"/>
          <w:b/>
          <w:bCs/>
          <w:sz w:val="24"/>
          <w:szCs w:val="24"/>
        </w:rPr>
      </w:pPr>
    </w:p>
    <w:p>
      <w:pPr>
        <w:pStyle w:val="BodyText"/>
        <w:spacing w:line="276" w:lineRule="auto"/>
        <w:ind w:right="85"/>
        <w:jc w:val="left"/>
      </w:pPr>
      <w:r>
        <w:rPr>
          <w:w w:val="95"/>
        </w:rPr>
        <w:t>企业合并，</w:t>
      </w:r>
      <w:bookmarkStart w:name="5. 企业合并" w:id="21"/>
      <w:bookmarkEnd w:id="21"/>
      <w:r>
        <w:rPr>
          <w:w w:val="95"/>
        </w:rPr>
        <w:t>是</w:t>
      </w:r>
      <w:r>
        <w:rPr>
          <w:w w:val="95"/>
        </w:rPr>
        <w:t>指将两个或两个以上单独的企业合并形成一个报告主体的交易或事项。企业</w:t>
      </w:r>
      <w:r>
        <w:rPr>
          <w:spacing w:val="87"/>
          <w:w w:val="95"/>
        </w:rPr>
        <w:t> </w:t>
      </w:r>
      <w:r>
        <w:rPr>
          <w:spacing w:val="87"/>
          <w:w w:val="95"/>
        </w:rPr>
      </w:r>
      <w:r>
        <w:rPr/>
        <w:t>合并分为同一控制下企业合并和非同一控制下企业合并。</w:t>
      </w:r>
    </w:p>
    <w:p>
      <w:pPr>
        <w:spacing w:line="240" w:lineRule="auto" w:before="9"/>
        <w:rPr>
          <w:rFonts w:ascii="黑体" w:hAnsi="黑体" w:cs="黑体" w:eastAsia="黑体" w:hint="default"/>
          <w:sz w:val="22"/>
          <w:szCs w:val="22"/>
        </w:rPr>
      </w:pPr>
    </w:p>
    <w:p>
      <w:pPr>
        <w:pStyle w:val="BodyText"/>
        <w:spacing w:line="273" w:lineRule="auto"/>
        <w:ind w:right="85" w:hanging="1"/>
        <w:jc w:val="left"/>
      </w:pPr>
      <w:r>
        <w:rPr>
          <w:rFonts w:ascii="黑体" w:hAnsi="黑体" w:cs="黑体" w:eastAsia="黑体" w:hint="default"/>
          <w:i/>
          <w:sz w:val="21"/>
          <w:szCs w:val="21"/>
        </w:rPr>
        <w:t>同一控制下企业合并</w:t>
      </w:r>
      <w:r>
        <w:rPr>
          <w:rFonts w:ascii="黑体" w:hAnsi="黑体" w:cs="黑体" w:eastAsia="黑体" w:hint="default"/>
          <w:i/>
          <w:w w:val="94"/>
          <w:sz w:val="21"/>
          <w:szCs w:val="21"/>
        </w:rPr>
        <w:t> </w:t>
      </w:r>
      <w:r>
        <w:rPr>
          <w:w w:val="95"/>
        </w:rPr>
        <w:t>参与合并的企业在合并前后均受同一方或相同的多方最终控制，且该控制并非暂时的，为</w:t>
      </w:r>
      <w:r>
        <w:rPr>
          <w:spacing w:val="86"/>
          <w:w w:val="95"/>
        </w:rPr>
        <w:t> </w:t>
      </w:r>
      <w:r>
        <w:rPr>
          <w:spacing w:val="86"/>
          <w:w w:val="95"/>
        </w:rPr>
      </w:r>
      <w:r>
        <w:rPr>
          <w:w w:val="95"/>
        </w:rPr>
        <w:t>同一控制下的企业合并。同一控制下的企业合并，在合并日取得对其他参与合并企业控制</w:t>
      </w:r>
      <w:r>
        <w:rPr>
          <w:spacing w:val="86"/>
          <w:w w:val="95"/>
        </w:rPr>
        <w:t> </w:t>
      </w:r>
      <w:r>
        <w:rPr>
          <w:spacing w:val="86"/>
          <w:w w:val="95"/>
        </w:rPr>
      </w:r>
      <w:r>
        <w:rPr>
          <w:w w:val="95"/>
        </w:rPr>
        <w:t>权的一方为合并方，参与合并的其他企业为被合并方。合并日，是指合并方实际取得对被</w:t>
      </w:r>
      <w:r>
        <w:rPr>
          <w:spacing w:val="88"/>
          <w:w w:val="95"/>
        </w:rPr>
        <w:t> </w:t>
      </w:r>
      <w:r>
        <w:rPr>
          <w:spacing w:val="88"/>
          <w:w w:val="95"/>
        </w:rPr>
      </w:r>
      <w:r>
        <w:rPr/>
        <w:t>合并方控制权的日期。</w:t>
      </w:r>
    </w:p>
    <w:p>
      <w:pPr>
        <w:spacing w:line="240" w:lineRule="auto" w:before="9"/>
        <w:rPr>
          <w:rFonts w:ascii="黑体" w:hAnsi="黑体" w:cs="黑体" w:eastAsia="黑体" w:hint="default"/>
          <w:sz w:val="23"/>
          <w:szCs w:val="23"/>
        </w:rPr>
      </w:pPr>
    </w:p>
    <w:p>
      <w:pPr>
        <w:pStyle w:val="BodyText"/>
        <w:spacing w:line="268" w:lineRule="auto"/>
        <w:ind w:right="194"/>
        <w:jc w:val="both"/>
      </w:pPr>
      <w:r>
        <w:rPr>
          <w:w w:val="95"/>
        </w:rPr>
        <w:t>合并方在企业合并中取得的资产和负债，按合并日在被合并方的账面价值计量。合并方取</w:t>
      </w:r>
      <w:r>
        <w:rPr>
          <w:spacing w:val="87"/>
          <w:w w:val="95"/>
        </w:rPr>
        <w:t> </w:t>
      </w:r>
      <w:r>
        <w:rPr>
          <w:spacing w:val="87"/>
          <w:w w:val="95"/>
        </w:rPr>
      </w:r>
      <w:r>
        <w:rPr/>
        <w:t>得的净资产账面价值与支付的合并对价的账面价值</w:t>
      </w:r>
      <w:r>
        <w:rPr>
          <w:rFonts w:ascii="Arial" w:hAnsi="Arial" w:cs="Arial" w:eastAsia="Arial" w:hint="default"/>
        </w:rPr>
        <w:t>(</w:t>
      </w:r>
      <w:r>
        <w:rPr/>
        <w:t>或发行股份面值总额</w:t>
      </w:r>
      <w:r>
        <w:rPr>
          <w:rFonts w:ascii="Arial" w:hAnsi="Arial" w:cs="Arial" w:eastAsia="Arial" w:hint="default"/>
        </w:rPr>
        <w:t>)</w:t>
      </w:r>
      <w:r>
        <w:rPr/>
        <w:t>的差额，调整资</w:t>
      </w:r>
      <w:r>
        <w:rPr>
          <w:spacing w:val="-54"/>
        </w:rPr>
        <w:t> </w:t>
      </w:r>
      <w:r>
        <w:rPr>
          <w:spacing w:val="-54"/>
        </w:rPr>
      </w:r>
      <w:r>
        <w:rPr/>
        <w:t>本公积中的股本溢价，不足冲减的则调整留存收益。</w:t>
      </w:r>
    </w:p>
    <w:p>
      <w:pPr>
        <w:spacing w:line="240" w:lineRule="auto" w:before="2"/>
        <w:rPr>
          <w:rFonts w:ascii="黑体" w:hAnsi="黑体" w:cs="黑体" w:eastAsia="黑体" w:hint="default"/>
          <w:sz w:val="23"/>
          <w:szCs w:val="23"/>
        </w:rPr>
      </w:pPr>
    </w:p>
    <w:p>
      <w:pPr>
        <w:pStyle w:val="BodyText"/>
        <w:spacing w:line="273" w:lineRule="auto"/>
        <w:ind w:right="85" w:hanging="1"/>
        <w:jc w:val="left"/>
      </w:pPr>
      <w:r>
        <w:rPr>
          <w:rFonts w:ascii="黑体" w:hAnsi="黑体" w:cs="黑体" w:eastAsia="黑体" w:hint="default"/>
          <w:i/>
          <w:sz w:val="21"/>
          <w:szCs w:val="21"/>
        </w:rPr>
        <w:t>非同一控制下的企业合并</w:t>
      </w:r>
      <w:r>
        <w:rPr>
          <w:rFonts w:ascii="黑体" w:hAnsi="黑体" w:cs="黑体" w:eastAsia="黑体" w:hint="default"/>
          <w:i/>
          <w:w w:val="94"/>
          <w:sz w:val="21"/>
          <w:szCs w:val="21"/>
        </w:rPr>
        <w:t> </w:t>
      </w:r>
      <w:r>
        <w:rPr>
          <w:w w:val="95"/>
        </w:rPr>
        <w:t>参与合并的企业在合并前后不受同一方或相同的多方最终控制的，为非同一控制下的企业</w:t>
      </w:r>
      <w:r>
        <w:rPr>
          <w:spacing w:val="86"/>
          <w:w w:val="95"/>
        </w:rPr>
        <w:t> </w:t>
      </w:r>
      <w:r>
        <w:rPr>
          <w:spacing w:val="86"/>
          <w:w w:val="95"/>
        </w:rPr>
      </w:r>
      <w:r>
        <w:rPr>
          <w:w w:val="95"/>
        </w:rPr>
        <w:t>合并。非同一控制下的企业合并，在购买日取得对其他参与合并企业控制权的一方为购买</w:t>
      </w:r>
      <w:r>
        <w:rPr>
          <w:spacing w:val="86"/>
          <w:w w:val="95"/>
        </w:rPr>
        <w:t> </w:t>
      </w:r>
      <w:r>
        <w:rPr>
          <w:spacing w:val="86"/>
          <w:w w:val="95"/>
        </w:rPr>
      </w:r>
      <w:r>
        <w:rPr>
          <w:w w:val="95"/>
        </w:rPr>
        <w:t>方，参与合并的其他企业为被购买方。购买日，是指为购买方实际取得对被购买方控制权</w:t>
      </w:r>
      <w:r>
        <w:rPr>
          <w:spacing w:val="88"/>
          <w:w w:val="95"/>
        </w:rPr>
        <w:t> </w:t>
      </w:r>
      <w:r>
        <w:rPr>
          <w:spacing w:val="88"/>
          <w:w w:val="95"/>
        </w:rPr>
      </w:r>
      <w:r>
        <w:rPr/>
        <w:t>的日期。</w:t>
      </w:r>
    </w:p>
    <w:p>
      <w:pPr>
        <w:spacing w:line="240" w:lineRule="auto" w:before="9"/>
        <w:rPr>
          <w:rFonts w:ascii="黑体" w:hAnsi="黑体" w:cs="黑体" w:eastAsia="黑体" w:hint="default"/>
          <w:sz w:val="23"/>
          <w:szCs w:val="23"/>
        </w:rPr>
      </w:pPr>
    </w:p>
    <w:p>
      <w:pPr>
        <w:pStyle w:val="BodyText"/>
        <w:spacing w:line="276" w:lineRule="auto"/>
        <w:ind w:right="85"/>
        <w:jc w:val="left"/>
      </w:pPr>
      <w:r>
        <w:rPr>
          <w:w w:val="95"/>
        </w:rPr>
        <w:t>非同一控制下企业合并中所取得的被购买方可辨认资产、负债及或有负债在收购日以公允</w:t>
      </w:r>
      <w:r>
        <w:rPr>
          <w:spacing w:val="87"/>
          <w:w w:val="95"/>
        </w:rPr>
        <w:t> </w:t>
      </w:r>
      <w:r>
        <w:rPr>
          <w:spacing w:val="87"/>
          <w:w w:val="95"/>
        </w:rPr>
      </w:r>
      <w:r>
        <w:rPr/>
        <w:t>价值计量。</w:t>
      </w:r>
    </w:p>
    <w:p>
      <w:pPr>
        <w:spacing w:line="240" w:lineRule="auto" w:before="7"/>
        <w:rPr>
          <w:rFonts w:ascii="黑体" w:hAnsi="黑体" w:cs="黑体" w:eastAsia="黑体" w:hint="default"/>
          <w:sz w:val="23"/>
          <w:szCs w:val="23"/>
        </w:rPr>
      </w:pPr>
    </w:p>
    <w:p>
      <w:pPr>
        <w:pStyle w:val="BodyText"/>
        <w:spacing w:line="266" w:lineRule="auto"/>
        <w:ind w:right="94"/>
        <w:jc w:val="left"/>
      </w:pPr>
      <w:r>
        <w:rPr/>
        <w:t>支付的合并对价的公允价值</w:t>
      </w:r>
      <w:r>
        <w:rPr>
          <w:rFonts w:ascii="Arial" w:hAnsi="Arial" w:cs="Arial" w:eastAsia="Arial" w:hint="default"/>
        </w:rPr>
        <w:t>(</w:t>
      </w:r>
      <w:r>
        <w:rPr/>
        <w:t>或发行的权益性证券的公允价值</w:t>
      </w:r>
      <w:r>
        <w:rPr>
          <w:rFonts w:ascii="Arial" w:hAnsi="Arial" w:cs="Arial" w:eastAsia="Arial" w:hint="default"/>
        </w:rPr>
        <w:t>)</w:t>
      </w:r>
      <w:r>
        <w:rPr/>
        <w:t>与购买日之前持有的被购买</w:t>
      </w:r>
      <w:r>
        <w:rPr>
          <w:spacing w:val="-54"/>
        </w:rPr>
        <w:t> </w:t>
      </w:r>
      <w:r>
        <w:rPr>
          <w:spacing w:val="-54"/>
        </w:rPr>
      </w:r>
      <w:r>
        <w:rPr>
          <w:spacing w:val="2"/>
        </w:rPr>
        <w:t>方的股权的公允价值之和大于合并中取得的被购买方可辨认净资产公允价值份额的差额，</w:t>
      </w:r>
      <w:r>
        <w:rPr>
          <w:spacing w:val="2"/>
          <w:w w:val="99"/>
        </w:rPr>
        <w:t> </w:t>
      </w:r>
      <w:r>
        <w:rPr/>
        <w:t>确认为商誉，并以成本减去累计减值损失进行后续计量。合并成本支付的合并对价的公允</w:t>
      </w:r>
      <w:r>
        <w:rPr>
          <w:w w:val="99"/>
        </w:rPr>
        <w:t> </w:t>
      </w:r>
      <w:r>
        <w:rPr/>
        <w:t>价值</w:t>
      </w:r>
      <w:r>
        <w:rPr>
          <w:rFonts w:ascii="Arial" w:hAnsi="Arial" w:cs="Arial" w:eastAsia="Arial" w:hint="default"/>
        </w:rPr>
        <w:t>(</w:t>
      </w:r>
      <w:r>
        <w:rPr/>
        <w:t>或发行的权益性证券的公允价值</w:t>
      </w:r>
      <w:r>
        <w:rPr>
          <w:rFonts w:ascii="Arial" w:hAnsi="Arial" w:cs="Arial" w:eastAsia="Arial" w:hint="default"/>
        </w:rPr>
        <w:t>)</w:t>
      </w:r>
      <w:r>
        <w:rPr/>
        <w:t>与购买日之前持有的被购买方的股权的公允价值之</w:t>
      </w:r>
      <w:r>
        <w:rPr>
          <w:spacing w:val="-56"/>
        </w:rPr>
        <w:t> </w:t>
      </w:r>
      <w:r>
        <w:rPr>
          <w:spacing w:val="-56"/>
        </w:rPr>
      </w:r>
      <w:r>
        <w:rPr/>
        <w:t>和小于合并中取得的被购买方可辨认净资产公允价值份额的，首先对取得的被购买方各项</w:t>
      </w:r>
      <w:r>
        <w:rPr>
          <w:w w:val="99"/>
        </w:rPr>
        <w:t> </w:t>
      </w:r>
      <w:r>
        <w:rPr>
          <w:w w:val="95"/>
        </w:rPr>
        <w:t>可辨认资产、负债及或有负债的公允价值以及支付的合并对价的公允价值</w:t>
      </w:r>
      <w:r>
        <w:rPr>
          <w:rFonts w:ascii="Arial" w:hAnsi="Arial" w:cs="Arial" w:eastAsia="Arial" w:hint="default"/>
          <w:w w:val="95"/>
        </w:rPr>
        <w:t>(</w:t>
      </w:r>
      <w:r>
        <w:rPr>
          <w:w w:val="95"/>
        </w:rPr>
        <w:t>或发行的权益性</w:t>
      </w:r>
      <w:r>
        <w:rPr>
          <w:spacing w:val="24"/>
          <w:w w:val="95"/>
        </w:rPr>
        <w:t> </w:t>
      </w:r>
      <w:r>
        <w:rPr>
          <w:spacing w:val="24"/>
          <w:w w:val="95"/>
        </w:rPr>
      </w:r>
      <w:r>
        <w:rPr>
          <w:w w:val="95"/>
        </w:rPr>
        <w:t>证券的公允价值</w:t>
      </w:r>
      <w:r>
        <w:rPr>
          <w:rFonts w:ascii="Arial" w:hAnsi="Arial" w:cs="Arial" w:eastAsia="Arial" w:hint="default"/>
          <w:w w:val="95"/>
        </w:rPr>
        <w:t>)</w:t>
      </w:r>
      <w:r>
        <w:rPr>
          <w:w w:val="95"/>
        </w:rPr>
        <w:t>及购买日之前持有的被购买方的股权的公允价值的计量进行复核，复核后</w:t>
      </w:r>
      <w:r>
        <w:rPr>
          <w:spacing w:val="23"/>
          <w:w w:val="95"/>
        </w:rPr>
        <w:t> </w:t>
      </w:r>
      <w:r>
        <w:rPr>
          <w:spacing w:val="23"/>
          <w:w w:val="95"/>
        </w:rPr>
      </w:r>
      <w:r>
        <w:rPr/>
        <w:t>合并成本支付的合并对价的公允价值</w:t>
      </w:r>
      <w:r>
        <w:rPr>
          <w:rFonts w:ascii="Arial" w:hAnsi="Arial" w:cs="Arial" w:eastAsia="Arial" w:hint="default"/>
        </w:rPr>
        <w:t>(</w:t>
      </w:r>
      <w:r>
        <w:rPr/>
        <w:t>或发行的权益性证券的公允价值</w:t>
      </w:r>
      <w:r>
        <w:rPr>
          <w:rFonts w:ascii="Arial" w:hAnsi="Arial" w:cs="Arial" w:eastAsia="Arial" w:hint="default"/>
        </w:rPr>
        <w:t>)</w:t>
      </w:r>
      <w:r>
        <w:rPr/>
        <w:t>与购买日之前持有</w:t>
      </w:r>
      <w:r>
        <w:rPr>
          <w:spacing w:val="-54"/>
        </w:rPr>
        <w:t> </w:t>
      </w:r>
      <w:r>
        <w:rPr>
          <w:spacing w:val="-54"/>
        </w:rPr>
      </w:r>
      <w:r>
        <w:rPr>
          <w:spacing w:val="5"/>
        </w:rPr>
        <w:t>的被购买方的股权的公允价值之和仍小于合并中取得的被购买方可辨认净资产公允价值</w:t>
      </w:r>
      <w:r>
        <w:rPr>
          <w:w w:val="99"/>
        </w:rPr>
        <w:t> </w:t>
      </w:r>
      <w:r>
        <w:rPr/>
        <w:t>份额的，其差额计入当期损益。</w:t>
      </w:r>
    </w:p>
    <w:p>
      <w:pPr>
        <w:spacing w:after="0" w:line="266" w:lineRule="auto"/>
        <w:jc w:val="left"/>
        <w:sectPr>
          <w:pgSz w:w="11910" w:h="16850"/>
          <w:pgMar w:header="957" w:footer="833" w:top="2620" w:bottom="1020" w:left="1600" w:right="1500"/>
        </w:sectPr>
      </w:pPr>
    </w:p>
    <w:p>
      <w:pPr>
        <w:spacing w:line="240" w:lineRule="auto" w:before="10"/>
        <w:rPr>
          <w:rFonts w:ascii="黑体" w:hAnsi="黑体" w:cs="黑体" w:eastAsia="黑体" w:hint="default"/>
          <w:sz w:val="23"/>
          <w:szCs w:val="23"/>
        </w:rPr>
      </w:pPr>
    </w:p>
    <w:p>
      <w:pPr>
        <w:pStyle w:val="Heading6"/>
        <w:tabs>
          <w:tab w:pos="809" w:val="left" w:leader="none"/>
        </w:tabs>
        <w:spacing w:line="240" w:lineRule="auto"/>
        <w:ind w:right="137"/>
        <w:jc w:val="left"/>
        <w:rPr>
          <w:b w:val="0"/>
          <w:bCs w:val="0"/>
        </w:rPr>
      </w:pPr>
      <w:r>
        <w:rPr>
          <w:w w:val="95"/>
        </w:rPr>
        <w:t>二、</w:t>
        <w:tab/>
      </w:r>
      <w:bookmarkStart w:name="二、 重要会计政策、会计估计和前期差错（续）" w:id="22"/>
      <w:bookmarkEnd w:id="22"/>
      <w:r>
        <w:rPr/>
        <w:t>重要会</w:t>
      </w:r>
      <w:r>
        <w:rPr/>
        <w:t>计政策、会计估计和前期差错（续）</w:t>
      </w:r>
      <w:r>
        <w:rPr>
          <w:b w:val="0"/>
          <w:bCs w:val="0"/>
        </w:rPr>
      </w:r>
    </w:p>
    <w:p>
      <w:pPr>
        <w:spacing w:line="240" w:lineRule="auto" w:before="13"/>
        <w:rPr>
          <w:rFonts w:ascii="黑体" w:hAnsi="黑体" w:cs="黑体" w:eastAsia="黑体" w:hint="default"/>
          <w:b/>
          <w:bCs/>
          <w:sz w:val="17"/>
          <w:szCs w:val="17"/>
        </w:rPr>
      </w:pPr>
    </w:p>
    <w:p>
      <w:pPr>
        <w:pStyle w:val="Heading6"/>
        <w:tabs>
          <w:tab w:pos="809" w:val="left" w:leader="none"/>
        </w:tabs>
        <w:spacing w:line="240" w:lineRule="auto" w:before="0"/>
        <w:ind w:right="137"/>
        <w:jc w:val="left"/>
        <w:rPr>
          <w:b w:val="0"/>
          <w:bCs w:val="0"/>
        </w:rPr>
      </w:pPr>
      <w:r>
        <w:rPr>
          <w:rFonts w:ascii="Arial" w:hAnsi="Arial" w:cs="Arial" w:eastAsia="Arial" w:hint="default"/>
          <w:spacing w:val="-1"/>
        </w:rPr>
        <w:t>6.</w:t>
        <w:tab/>
      </w:r>
      <w:r>
        <w:rPr>
          <w:spacing w:val="1"/>
        </w:rPr>
        <w:t>合并财务</w:t>
      </w:r>
      <w:bookmarkStart w:name="6. 合并财务报表" w:id="23"/>
      <w:bookmarkEnd w:id="23"/>
      <w:r>
        <w:rPr>
          <w:spacing w:val="1"/>
        </w:rPr>
        <w:t>报表</w:t>
      </w:r>
      <w:r>
        <w:rPr>
          <w:b w:val="0"/>
          <w:bCs w:val="0"/>
        </w:rPr>
      </w:r>
    </w:p>
    <w:p>
      <w:pPr>
        <w:spacing w:line="240" w:lineRule="auto" w:before="10"/>
        <w:rPr>
          <w:rFonts w:ascii="黑体" w:hAnsi="黑体" w:cs="黑体" w:eastAsia="黑体" w:hint="default"/>
          <w:b/>
          <w:bCs/>
          <w:sz w:val="24"/>
          <w:szCs w:val="24"/>
        </w:rPr>
      </w:pPr>
    </w:p>
    <w:p>
      <w:pPr>
        <w:pStyle w:val="BodyText"/>
        <w:spacing w:line="261" w:lineRule="auto"/>
        <w:ind w:right="137"/>
        <w:jc w:val="both"/>
      </w:pPr>
      <w:r>
        <w:rPr>
          <w:spacing w:val="-2"/>
          <w:w w:val="99"/>
        </w:rPr>
        <w:t>合并财务报表的合并范围以控制为基础确定，包括本公司及全部子公司截至</w:t>
      </w:r>
      <w:r>
        <w:rPr>
          <w:rFonts w:ascii="Arial" w:hAnsi="Arial" w:cs="Arial" w:eastAsia="Arial" w:hint="default"/>
          <w:spacing w:val="-2"/>
          <w:w w:val="99"/>
        </w:rPr>
        <w:t>2012</w:t>
      </w:r>
      <w:r>
        <w:rPr>
          <w:spacing w:val="-2"/>
          <w:w w:val="99"/>
        </w:rPr>
        <w:t>年</w:t>
      </w:r>
      <w:r>
        <w:rPr>
          <w:rFonts w:ascii="Arial" w:hAnsi="Arial" w:cs="Arial" w:eastAsia="Arial" w:hint="default"/>
          <w:spacing w:val="-2"/>
          <w:w w:val="99"/>
        </w:rPr>
        <w:t>12</w:t>
      </w:r>
      <w:r>
        <w:rPr>
          <w:spacing w:val="-2"/>
          <w:w w:val="99"/>
        </w:rPr>
        <w:t>月</w:t>
      </w:r>
      <w:r>
        <w:rPr>
          <w:rFonts w:ascii="Arial" w:hAnsi="Arial" w:cs="Arial" w:eastAsia="Arial" w:hint="default"/>
          <w:spacing w:val="-2"/>
          <w:w w:val="99"/>
        </w:rPr>
        <w:t>31</w:t>
      </w:r>
      <w:r>
        <w:rPr>
          <w:rFonts w:ascii="Arial" w:hAnsi="Arial" w:cs="Arial" w:eastAsia="Arial" w:hint="default"/>
          <w:spacing w:val="-43"/>
          <w:w w:val="99"/>
        </w:rPr>
        <w:t> </w:t>
      </w:r>
      <w:r>
        <w:rPr/>
        <w:t>日止年度的财务报表。子公司，是指被本公司控制的企业或主体。</w:t>
      </w:r>
    </w:p>
    <w:p>
      <w:pPr>
        <w:spacing w:line="240" w:lineRule="auto" w:before="6"/>
        <w:rPr>
          <w:rFonts w:ascii="黑体" w:hAnsi="黑体" w:cs="黑体" w:eastAsia="黑体" w:hint="default"/>
          <w:sz w:val="24"/>
          <w:szCs w:val="24"/>
        </w:rPr>
      </w:pPr>
    </w:p>
    <w:p>
      <w:pPr>
        <w:pStyle w:val="BodyText"/>
        <w:spacing w:line="276" w:lineRule="auto"/>
        <w:ind w:right="142"/>
        <w:jc w:val="both"/>
      </w:pPr>
      <w:r>
        <w:rPr>
          <w:w w:val="95"/>
        </w:rPr>
        <w:t>编制合并财务报表时，子公司采用与本公司一致的会计年度和会计政策。本集团内部各公</w:t>
      </w:r>
      <w:r>
        <w:rPr>
          <w:spacing w:val="87"/>
          <w:w w:val="95"/>
        </w:rPr>
        <w:t> </w:t>
      </w:r>
      <w:r>
        <w:rPr>
          <w:spacing w:val="87"/>
          <w:w w:val="95"/>
        </w:rPr>
      </w:r>
      <w:r>
        <w:rPr/>
        <w:t>司之间的所有交易产生的余额、交易和未实现损益及股利于合并时全额抵消。</w:t>
      </w:r>
    </w:p>
    <w:p>
      <w:pPr>
        <w:spacing w:line="240" w:lineRule="auto" w:before="7"/>
        <w:rPr>
          <w:rFonts w:ascii="黑体" w:hAnsi="黑体" w:cs="黑体" w:eastAsia="黑体" w:hint="default"/>
          <w:sz w:val="23"/>
          <w:szCs w:val="23"/>
        </w:rPr>
      </w:pPr>
    </w:p>
    <w:p>
      <w:pPr>
        <w:pStyle w:val="BodyText"/>
        <w:spacing w:line="276" w:lineRule="auto"/>
        <w:ind w:right="142"/>
        <w:jc w:val="both"/>
      </w:pPr>
      <w:r>
        <w:rPr>
          <w:spacing w:val="5"/>
          <w:w w:val="95"/>
        </w:rPr>
        <w:t>子公司少数股东分担的当期亏损超过了少数股东在该子公司期初股东权益中所享有的份</w:t>
      </w:r>
      <w:r>
        <w:rPr>
          <w:spacing w:val="63"/>
          <w:w w:val="95"/>
        </w:rPr>
        <w:t> </w:t>
      </w:r>
      <w:r>
        <w:rPr>
          <w:spacing w:val="63"/>
          <w:w w:val="95"/>
        </w:rPr>
      </w:r>
      <w:r>
        <w:rPr>
          <w:w w:val="95"/>
        </w:rPr>
        <w:t>额的，其余额仍冲减少数股东权益。不丧失控制权情况下少数股东权益发生变化作为权益</w:t>
      </w:r>
      <w:r>
        <w:rPr>
          <w:spacing w:val="87"/>
          <w:w w:val="95"/>
        </w:rPr>
        <w:t> </w:t>
      </w:r>
      <w:r>
        <w:rPr>
          <w:spacing w:val="87"/>
          <w:w w:val="95"/>
        </w:rPr>
      </w:r>
      <w:r>
        <w:rPr/>
        <w:t>性交易。</w:t>
      </w:r>
    </w:p>
    <w:p>
      <w:pPr>
        <w:spacing w:line="240" w:lineRule="auto" w:before="7"/>
        <w:rPr>
          <w:rFonts w:ascii="黑体" w:hAnsi="黑体" w:cs="黑体" w:eastAsia="黑体" w:hint="default"/>
          <w:sz w:val="23"/>
          <w:szCs w:val="23"/>
        </w:rPr>
      </w:pPr>
    </w:p>
    <w:p>
      <w:pPr>
        <w:pStyle w:val="BodyText"/>
        <w:spacing w:line="276" w:lineRule="auto"/>
        <w:ind w:right="142"/>
        <w:jc w:val="both"/>
      </w:pPr>
      <w:r>
        <w:rPr>
          <w:w w:val="95"/>
        </w:rPr>
        <w:t>对于通过非同一控制下的企业合并取得的子公司，被购买方的经营成果和现金流量自本集</w:t>
      </w:r>
      <w:r>
        <w:rPr>
          <w:spacing w:val="87"/>
          <w:w w:val="95"/>
        </w:rPr>
        <w:t> </w:t>
      </w:r>
      <w:r>
        <w:rPr>
          <w:spacing w:val="87"/>
          <w:w w:val="95"/>
        </w:rPr>
      </w:r>
      <w:r>
        <w:rPr>
          <w:w w:val="95"/>
        </w:rPr>
        <w:t>团取得控制权之日起纳入合并财务报表，直至本集团对其控制权终止。在编制合并财务报</w:t>
      </w:r>
      <w:r>
        <w:rPr>
          <w:spacing w:val="87"/>
          <w:w w:val="95"/>
        </w:rPr>
        <w:t> </w:t>
      </w:r>
      <w:r>
        <w:rPr>
          <w:spacing w:val="87"/>
          <w:w w:val="95"/>
        </w:rPr>
      </w:r>
      <w:r>
        <w:rPr>
          <w:w w:val="95"/>
        </w:rPr>
        <w:t>表时，以购买日确定的各项可辨认资产、负债及或有负债的公允价值为基础对子公司的财</w:t>
      </w:r>
      <w:r>
        <w:rPr>
          <w:spacing w:val="87"/>
          <w:w w:val="95"/>
        </w:rPr>
        <w:t> </w:t>
      </w:r>
      <w:r>
        <w:rPr>
          <w:spacing w:val="87"/>
          <w:w w:val="95"/>
        </w:rPr>
      </w:r>
      <w:r>
        <w:rPr/>
        <w:t>务报表进行调整。</w:t>
      </w:r>
    </w:p>
    <w:p>
      <w:pPr>
        <w:spacing w:line="240" w:lineRule="auto" w:before="7"/>
        <w:rPr>
          <w:rFonts w:ascii="黑体" w:hAnsi="黑体" w:cs="黑体" w:eastAsia="黑体" w:hint="default"/>
          <w:sz w:val="23"/>
          <w:szCs w:val="23"/>
        </w:rPr>
      </w:pPr>
    </w:p>
    <w:p>
      <w:pPr>
        <w:pStyle w:val="BodyText"/>
        <w:spacing w:line="276" w:lineRule="auto"/>
        <w:ind w:right="142"/>
        <w:jc w:val="both"/>
      </w:pPr>
      <w:r>
        <w:rPr>
          <w:w w:val="95"/>
        </w:rPr>
        <w:t>对于通过同一控制下的企业合并取得的子公司，被合并方的经营成果和现金流量自合并当</w:t>
      </w:r>
      <w:r>
        <w:rPr>
          <w:spacing w:val="87"/>
          <w:w w:val="95"/>
        </w:rPr>
        <w:t> </w:t>
      </w:r>
      <w:r>
        <w:rPr>
          <w:spacing w:val="87"/>
          <w:w w:val="95"/>
        </w:rPr>
      </w:r>
      <w:r>
        <w:rPr>
          <w:w w:val="95"/>
        </w:rPr>
        <w:t>期期初纳入合并财务报表。编制比较合并财务报表时，对前期财务报表的相关项目进行调</w:t>
      </w:r>
      <w:r>
        <w:rPr>
          <w:spacing w:val="87"/>
          <w:w w:val="95"/>
        </w:rPr>
        <w:t> </w:t>
      </w:r>
      <w:r>
        <w:rPr>
          <w:spacing w:val="87"/>
          <w:w w:val="95"/>
        </w:rPr>
      </w:r>
      <w:r>
        <w:rPr/>
        <w:t>整，视同合并后形成的报告主体自最终控制方开始实施控制时一直存在。</w:t>
      </w:r>
    </w:p>
    <w:p>
      <w:pPr>
        <w:spacing w:line="240" w:lineRule="auto" w:before="7"/>
        <w:rPr>
          <w:rFonts w:ascii="黑体" w:hAnsi="黑体" w:cs="黑体" w:eastAsia="黑体" w:hint="default"/>
          <w:sz w:val="23"/>
          <w:szCs w:val="23"/>
        </w:rPr>
      </w:pPr>
    </w:p>
    <w:p>
      <w:pPr>
        <w:pStyle w:val="Heading6"/>
        <w:tabs>
          <w:tab w:pos="821" w:val="left" w:leader="none"/>
        </w:tabs>
        <w:spacing w:line="240" w:lineRule="auto" w:before="0"/>
        <w:ind w:right="137"/>
        <w:jc w:val="left"/>
        <w:rPr>
          <w:b w:val="0"/>
          <w:bCs w:val="0"/>
        </w:rPr>
      </w:pPr>
      <w:r>
        <w:rPr>
          <w:rFonts w:ascii="Arial" w:hAnsi="Arial" w:cs="Arial" w:eastAsia="Arial" w:hint="default"/>
          <w:spacing w:val="-1"/>
        </w:rPr>
        <w:t>7.</w:t>
        <w:tab/>
      </w:r>
      <w:r>
        <w:rPr>
          <w:spacing w:val="1"/>
        </w:rPr>
        <w:t>现金及现金等价物</w:t>
      </w:r>
      <w:r>
        <w:rPr>
          <w:b w:val="0"/>
          <w:bCs w:val="0"/>
          <w:spacing w:val="1"/>
        </w:rPr>
      </w:r>
    </w:p>
    <w:p>
      <w:pPr>
        <w:spacing w:line="240" w:lineRule="auto" w:before="10"/>
        <w:rPr>
          <w:rFonts w:ascii="黑体" w:hAnsi="黑体" w:cs="黑体" w:eastAsia="黑体" w:hint="default"/>
          <w:b/>
          <w:bCs/>
          <w:sz w:val="24"/>
          <w:szCs w:val="24"/>
        </w:rPr>
      </w:pPr>
    </w:p>
    <w:p>
      <w:pPr>
        <w:pStyle w:val="BodyText"/>
        <w:spacing w:line="276" w:lineRule="auto"/>
        <w:ind w:right="139"/>
        <w:jc w:val="both"/>
      </w:pPr>
      <w:r>
        <w:rPr>
          <w:w w:val="95"/>
        </w:rPr>
        <w:t>现金，是指本集团的库存现金以及可以随时用于支付的存款；现金等价物，是指本</w:t>
      </w:r>
      <w:bookmarkStart w:name="7. 现金及现金等价物" w:id="24"/>
      <w:bookmarkEnd w:id="24"/>
      <w:r>
        <w:rPr>
          <w:w w:val="95"/>
        </w:rPr>
        <w:t>集团持</w:t>
      </w:r>
      <w:r>
        <w:rPr>
          <w:spacing w:val="88"/>
          <w:w w:val="95"/>
        </w:rPr>
        <w:t> </w:t>
      </w:r>
      <w:r>
        <w:rPr>
          <w:spacing w:val="88"/>
          <w:w w:val="95"/>
        </w:rPr>
      </w:r>
      <w:r>
        <w:rPr/>
        <w:t>有的期限短、流动性强、易于转换为已知金额的现金、价值变动风险很小的投资。</w:t>
      </w:r>
    </w:p>
    <w:p>
      <w:pPr>
        <w:spacing w:after="0" w:line="276" w:lineRule="auto"/>
        <w:jc w:val="both"/>
        <w:sectPr>
          <w:pgSz w:w="11910" w:h="16850"/>
          <w:pgMar w:header="957" w:footer="833" w:top="2620" w:bottom="1020" w:left="1600" w:right="1560"/>
        </w:sectPr>
      </w:pPr>
    </w:p>
    <w:p>
      <w:pPr>
        <w:spacing w:line="240" w:lineRule="auto" w:before="9"/>
        <w:rPr>
          <w:rFonts w:ascii="黑体" w:hAnsi="黑体" w:cs="黑体" w:eastAsia="黑体" w:hint="default"/>
          <w:sz w:val="13"/>
          <w:szCs w:val="13"/>
        </w:rPr>
      </w:pPr>
    </w:p>
    <w:p>
      <w:pPr>
        <w:pStyle w:val="Heading6"/>
        <w:tabs>
          <w:tab w:pos="787" w:val="left" w:leader="none"/>
        </w:tabs>
        <w:spacing w:line="240" w:lineRule="auto"/>
        <w:ind w:right="85"/>
        <w:jc w:val="left"/>
        <w:rPr>
          <w:b w:val="0"/>
          <w:bCs w:val="0"/>
        </w:rPr>
      </w:pPr>
      <w:r>
        <w:rPr>
          <w:w w:val="95"/>
        </w:rPr>
        <w:t>二、</w:t>
        <w:tab/>
      </w:r>
      <w:r>
        <w:rPr/>
        <w:t>重要会计政策、会计估计和前期差错（续）</w:t>
      </w:r>
      <w:r>
        <w:rPr>
          <w:b w:val="0"/>
          <w:bCs w:val="0"/>
        </w:rPr>
      </w:r>
    </w:p>
    <w:p>
      <w:pPr>
        <w:spacing w:line="240" w:lineRule="auto" w:before="0"/>
        <w:rPr>
          <w:rFonts w:ascii="黑体" w:hAnsi="黑体" w:cs="黑体" w:eastAsia="黑体" w:hint="default"/>
          <w:b/>
          <w:bCs/>
          <w:sz w:val="24"/>
          <w:szCs w:val="24"/>
        </w:rPr>
      </w:pPr>
    </w:p>
    <w:p>
      <w:pPr>
        <w:tabs>
          <w:tab w:pos="821" w:val="left" w:leader="none"/>
        </w:tabs>
        <w:spacing w:line="520" w:lineRule="auto" w:before="0"/>
        <w:ind w:left="814" w:right="193" w:hanging="713"/>
        <w:jc w:val="left"/>
        <w:rPr>
          <w:rFonts w:ascii="黑体" w:hAnsi="黑体" w:cs="黑体" w:eastAsia="黑体" w:hint="default"/>
          <w:sz w:val="20"/>
          <w:szCs w:val="20"/>
        </w:rPr>
      </w:pPr>
      <w:r>
        <w:rPr>
          <w:rFonts w:ascii="Arial" w:hAnsi="Arial" w:cs="Arial" w:eastAsia="Arial" w:hint="default"/>
          <w:b/>
          <w:bCs/>
          <w:spacing w:val="-1"/>
          <w:sz w:val="20"/>
          <w:szCs w:val="20"/>
        </w:rPr>
        <w:t>8.</w:t>
        <w:tab/>
        <w:tab/>
      </w:r>
      <w:r>
        <w:rPr>
          <w:rFonts w:ascii="黑体" w:hAnsi="黑体" w:cs="黑体" w:eastAsia="黑体" w:hint="default"/>
          <w:b/>
          <w:bCs/>
          <w:spacing w:val="1"/>
          <w:sz w:val="20"/>
          <w:szCs w:val="20"/>
        </w:rPr>
        <w:t>外币业务</w:t>
      </w:r>
      <w:bookmarkStart w:name="8. 外币业务和外币报表折算" w:id="25"/>
      <w:bookmarkEnd w:id="25"/>
      <w:r>
        <w:rPr>
          <w:rFonts w:ascii="黑体" w:hAnsi="黑体" w:cs="黑体" w:eastAsia="黑体" w:hint="default"/>
          <w:b/>
          <w:bCs/>
          <w:spacing w:val="1"/>
          <w:sz w:val="20"/>
          <w:szCs w:val="20"/>
        </w:rPr>
        <w:t>和外</w:t>
      </w:r>
      <w:r>
        <w:rPr>
          <w:rFonts w:ascii="黑体" w:hAnsi="黑体" w:cs="黑体" w:eastAsia="黑体" w:hint="default"/>
          <w:b/>
          <w:bCs/>
          <w:spacing w:val="1"/>
          <w:sz w:val="20"/>
          <w:szCs w:val="20"/>
        </w:rPr>
        <w:t>币报表折算</w:t>
      </w:r>
      <w:r>
        <w:rPr>
          <w:rFonts w:ascii="黑体" w:hAnsi="黑体" w:cs="黑体" w:eastAsia="黑体" w:hint="default"/>
          <w:b/>
          <w:bCs/>
          <w:w w:val="99"/>
          <w:sz w:val="20"/>
          <w:szCs w:val="20"/>
        </w:rPr>
        <w:t> </w:t>
      </w:r>
      <w:r>
        <w:rPr>
          <w:rFonts w:ascii="黑体" w:hAnsi="黑体" w:cs="黑体" w:eastAsia="黑体" w:hint="default"/>
          <w:sz w:val="20"/>
          <w:szCs w:val="20"/>
        </w:rPr>
        <w:t>本集团对于发生的外币交易，将外币金额折算为记账本位币金额。</w:t>
      </w:r>
    </w:p>
    <w:p>
      <w:pPr>
        <w:pStyle w:val="BodyText"/>
        <w:spacing w:line="276" w:lineRule="auto" w:before="104"/>
        <w:ind w:right="94"/>
        <w:jc w:val="left"/>
      </w:pPr>
      <w:r>
        <w:rPr>
          <w:spacing w:val="2"/>
        </w:rPr>
        <w:t>外币交易在初始确认时，采用交易发生当期平均汇率将外币金额折算为记账本位币金额。</w:t>
      </w:r>
      <w:r>
        <w:rPr>
          <w:spacing w:val="2"/>
          <w:w w:val="99"/>
        </w:rPr>
        <w:t> </w:t>
      </w:r>
      <w:r>
        <w:rPr/>
        <w:t>于资产负债表日，对于外币货币性项目采用资产负债表日即期汇率折算。由此产生的结算</w:t>
      </w:r>
      <w:r>
        <w:rPr>
          <w:w w:val="99"/>
        </w:rPr>
        <w:t> </w:t>
      </w:r>
      <w:r>
        <w:rPr/>
        <w:t>和货币性项目折算差额，除属于与购建符合资本化条件的资产相关的外币专门借款产生的</w:t>
      </w:r>
      <w:r>
        <w:rPr>
          <w:w w:val="99"/>
        </w:rPr>
        <w:t> </w:t>
      </w:r>
      <w:r>
        <w:rPr/>
        <w:t>汇兑差额按照借款费用资本化的原则处理之外，均计入当期损益。以历史成本计量的外币</w:t>
      </w:r>
      <w:r>
        <w:rPr>
          <w:w w:val="99"/>
        </w:rPr>
        <w:t> </w:t>
      </w:r>
      <w:r>
        <w:rPr/>
        <w:t>非货币性项目，仍采用交易发生日的即期汇率折算，不改变其记账本位币金额。以公允价</w:t>
      </w:r>
      <w:r>
        <w:rPr>
          <w:w w:val="99"/>
        </w:rPr>
        <w:t> </w:t>
      </w:r>
      <w:r>
        <w:rPr/>
        <w:t>值计量的外币非货币性项目，采用公允价值确定日的即期汇率折算，由此产生的差额根据</w:t>
      </w:r>
      <w:r>
        <w:rPr>
          <w:w w:val="99"/>
        </w:rPr>
        <w:t> </w:t>
      </w:r>
      <w:r>
        <w:rPr/>
        <w:t>非货币性项目的性质计入当期损益或其他综合收益。</w:t>
      </w:r>
    </w:p>
    <w:p>
      <w:pPr>
        <w:spacing w:line="240" w:lineRule="auto" w:before="7"/>
        <w:rPr>
          <w:rFonts w:ascii="黑体" w:hAnsi="黑体" w:cs="黑体" w:eastAsia="黑体" w:hint="default"/>
          <w:sz w:val="23"/>
          <w:szCs w:val="23"/>
        </w:rPr>
      </w:pPr>
    </w:p>
    <w:p>
      <w:pPr>
        <w:pStyle w:val="BodyText"/>
        <w:spacing w:line="271" w:lineRule="auto"/>
        <w:ind w:right="197"/>
        <w:jc w:val="both"/>
      </w:pPr>
      <w:r>
        <w:rPr>
          <w:w w:val="95"/>
        </w:rPr>
        <w:t>对于境外经营，本集团在编制财务报表时将其记账本位币折算为人民币：对资产负债表中</w:t>
      </w:r>
      <w:r>
        <w:rPr>
          <w:spacing w:val="87"/>
          <w:w w:val="95"/>
        </w:rPr>
        <w:t> </w:t>
      </w:r>
      <w:r>
        <w:rPr>
          <w:spacing w:val="87"/>
          <w:w w:val="95"/>
        </w:rPr>
      </w:r>
      <w:r>
        <w:rPr/>
        <w:t>的资产和负债项目，采用资产负债表日的即期汇率折算，股东权益项目除</w:t>
      </w:r>
      <w:r>
        <w:rPr>
          <w:rFonts w:ascii="Arial" w:hAnsi="Arial" w:cs="Arial" w:eastAsia="Arial" w:hint="default"/>
        </w:rPr>
        <w:t>“</w:t>
      </w:r>
      <w:r>
        <w:rPr/>
        <w:t>未分配利润</w:t>
      </w:r>
      <w:r>
        <w:rPr>
          <w:rFonts w:ascii="Arial" w:hAnsi="Arial" w:cs="Arial" w:eastAsia="Arial" w:hint="default"/>
        </w:rPr>
        <w:t>”</w:t>
      </w:r>
      <w:r>
        <w:rPr/>
        <w:t>项</w:t>
      </w:r>
      <w:r>
        <w:rPr>
          <w:spacing w:val="-56"/>
        </w:rPr>
        <w:t> </w:t>
      </w:r>
      <w:r>
        <w:rPr>
          <w:w w:val="95"/>
        </w:rPr>
        <w:t>目外，其他项目采用发生时的即期汇率折算；利润表中的收入和费用项目，采用交易发生</w:t>
      </w:r>
      <w:r>
        <w:rPr>
          <w:spacing w:val="89"/>
          <w:w w:val="95"/>
        </w:rPr>
        <w:t> </w:t>
      </w:r>
      <w:r>
        <w:rPr>
          <w:spacing w:val="89"/>
          <w:w w:val="95"/>
        </w:rPr>
      </w:r>
      <w:r>
        <w:rPr>
          <w:w w:val="95"/>
        </w:rPr>
        <w:t>当期平均汇率折算。按照上述折算产生的外币财务报表折算差额，确认为其他综合收益并</w:t>
      </w:r>
      <w:r>
        <w:rPr>
          <w:spacing w:val="87"/>
          <w:w w:val="95"/>
        </w:rPr>
        <w:t> </w:t>
      </w:r>
      <w:r>
        <w:rPr>
          <w:spacing w:val="87"/>
          <w:w w:val="95"/>
        </w:rPr>
      </w:r>
      <w:r>
        <w:rPr>
          <w:w w:val="95"/>
        </w:rPr>
        <w:t>在资产负债表中股东权益项目下单独列示。处置境外经营时，将与该境外经营相关的其他</w:t>
      </w:r>
      <w:r>
        <w:rPr>
          <w:spacing w:val="87"/>
          <w:w w:val="95"/>
        </w:rPr>
        <w:t> </w:t>
      </w:r>
      <w:r>
        <w:rPr>
          <w:spacing w:val="87"/>
          <w:w w:val="95"/>
        </w:rPr>
      </w:r>
      <w:r>
        <w:rPr/>
        <w:t>综合收益转入处置当期损益，部分处置的按处置比例计算。</w:t>
      </w:r>
    </w:p>
    <w:p>
      <w:pPr>
        <w:spacing w:line="240" w:lineRule="auto" w:before="11"/>
        <w:rPr>
          <w:rFonts w:ascii="黑体" w:hAnsi="黑体" w:cs="黑体" w:eastAsia="黑体" w:hint="default"/>
          <w:sz w:val="23"/>
          <w:szCs w:val="23"/>
        </w:rPr>
      </w:pPr>
    </w:p>
    <w:p>
      <w:pPr>
        <w:pStyle w:val="BodyText"/>
        <w:spacing w:line="276" w:lineRule="auto"/>
        <w:ind w:right="85"/>
        <w:jc w:val="left"/>
      </w:pPr>
      <w:r>
        <w:rPr>
          <w:w w:val="95"/>
        </w:rPr>
        <w:t>外币现金流量以及境外子公司的现金流量，采用现金流量发生当期平均汇率折算。汇率变</w:t>
      </w:r>
      <w:r>
        <w:rPr>
          <w:spacing w:val="87"/>
          <w:w w:val="95"/>
        </w:rPr>
        <w:t> </w:t>
      </w:r>
      <w:r>
        <w:rPr>
          <w:spacing w:val="87"/>
          <w:w w:val="95"/>
        </w:rPr>
      </w:r>
      <w:r>
        <w:rPr/>
        <w:t>动对现金的影响额作为调节项目，在现金流量表中单独列报。</w:t>
      </w:r>
    </w:p>
    <w:p>
      <w:pPr>
        <w:spacing w:line="240" w:lineRule="auto" w:before="3"/>
        <w:rPr>
          <w:rFonts w:ascii="黑体" w:hAnsi="黑体" w:cs="黑体" w:eastAsia="黑体" w:hint="default"/>
          <w:sz w:val="18"/>
          <w:szCs w:val="18"/>
        </w:rPr>
      </w:pPr>
    </w:p>
    <w:p>
      <w:pPr>
        <w:pStyle w:val="BodyText"/>
        <w:tabs>
          <w:tab w:pos="821" w:val="left" w:leader="none"/>
        </w:tabs>
        <w:spacing w:line="535" w:lineRule="auto"/>
        <w:ind w:right="101" w:hanging="713"/>
        <w:jc w:val="left"/>
      </w:pPr>
      <w:r>
        <w:rPr>
          <w:rFonts w:ascii="Arial" w:hAnsi="Arial" w:cs="Arial" w:eastAsia="Arial" w:hint="default"/>
          <w:b/>
          <w:bCs/>
          <w:spacing w:val="-1"/>
        </w:rPr>
        <w:t>9.</w:t>
        <w:tab/>
        <w:tab/>
      </w:r>
      <w:r>
        <w:rPr>
          <w:rFonts w:ascii="黑体" w:hAnsi="黑体" w:cs="黑体" w:eastAsia="黑体" w:hint="default"/>
          <w:b/>
          <w:bCs/>
          <w:spacing w:val="2"/>
        </w:rPr>
        <w:t>金融工具</w:t>
      </w:r>
      <w:r>
        <w:rPr>
          <w:rFonts w:ascii="黑体" w:hAnsi="黑体" w:cs="黑体" w:eastAsia="黑体" w:hint="default"/>
          <w:b/>
          <w:bCs/>
          <w:spacing w:val="2"/>
          <w:w w:val="99"/>
        </w:rPr>
        <w:t> </w:t>
      </w:r>
      <w:r>
        <w:rPr>
          <w:spacing w:val="-3"/>
        </w:rPr>
        <w:t>金融工具，是指形成一个企业的金融资产，并形成其他单位的金融负债或权益工具</w:t>
      </w:r>
      <w:bookmarkStart w:name="9. 金融工具" w:id="26"/>
      <w:bookmarkEnd w:id="26"/>
      <w:r>
        <w:rPr>
          <w:spacing w:val="-3"/>
        </w:rPr>
        <w:t>的合</w:t>
      </w:r>
      <w:r>
        <w:rPr>
          <w:spacing w:val="-3"/>
        </w:rPr>
        <w:t>同。</w:t>
      </w:r>
      <w:r>
        <w:rPr>
          <w:w w:val="99"/>
        </w:rPr>
        <w:t> </w:t>
      </w:r>
      <w:r>
        <w:rPr>
          <w:u w:val="single" w:color="000000"/>
        </w:rPr>
        <w:t>金融工具的确认和终止确认</w:t>
      </w:r>
      <w:r>
        <w:rPr/>
      </w:r>
    </w:p>
    <w:p>
      <w:pPr>
        <w:pStyle w:val="BodyText"/>
        <w:spacing w:line="240" w:lineRule="auto" w:before="92"/>
        <w:ind w:right="85"/>
        <w:jc w:val="left"/>
      </w:pPr>
      <w:r>
        <w:rPr/>
        <w:t>本集团于成为金融工具合同的一方时确认一项金融资产或金融负债。</w:t>
      </w:r>
    </w:p>
    <w:p>
      <w:pPr>
        <w:spacing w:after="0" w:line="240" w:lineRule="auto"/>
        <w:jc w:val="left"/>
        <w:sectPr>
          <w:pgSz w:w="11910" w:h="16850"/>
          <w:pgMar w:header="957" w:footer="833" w:top="2620" w:bottom="1020" w:left="1600" w:right="1500"/>
        </w:sectPr>
      </w:pPr>
    </w:p>
    <w:p>
      <w:pPr>
        <w:spacing w:line="240" w:lineRule="auto" w:before="7"/>
        <w:rPr>
          <w:rFonts w:ascii="黑体" w:hAnsi="黑体" w:cs="黑体" w:eastAsia="黑体" w:hint="default"/>
          <w:sz w:val="17"/>
          <w:szCs w:val="17"/>
        </w:rPr>
      </w:pPr>
    </w:p>
    <w:p>
      <w:pPr>
        <w:pStyle w:val="Heading6"/>
        <w:tabs>
          <w:tab w:pos="809" w:val="left" w:leader="none"/>
        </w:tabs>
        <w:spacing w:line="240" w:lineRule="auto"/>
        <w:ind w:right="3627"/>
        <w:jc w:val="left"/>
        <w:rPr>
          <w:b w:val="0"/>
          <w:bCs w:val="0"/>
        </w:rPr>
      </w:pPr>
      <w:r>
        <w:rPr>
          <w:w w:val="95"/>
        </w:rPr>
        <w:t>二、</w:t>
        <w:tab/>
      </w:r>
      <w:bookmarkStart w:name="二、 重要会计政策、会计估计和前期差错（续）" w:id="27"/>
      <w:bookmarkEnd w:id="27"/>
      <w:r>
        <w:rPr/>
        <w:t>重要会</w:t>
      </w:r>
      <w:r>
        <w:rPr/>
        <w:t>计政策、会计估计和前期差错（续）</w:t>
      </w:r>
      <w:r>
        <w:rPr>
          <w:b w:val="0"/>
          <w:bCs w:val="0"/>
        </w:rPr>
      </w:r>
    </w:p>
    <w:p>
      <w:pPr>
        <w:spacing w:line="240" w:lineRule="auto" w:before="9"/>
        <w:rPr>
          <w:rFonts w:ascii="黑体" w:hAnsi="黑体" w:cs="黑体" w:eastAsia="黑体" w:hint="default"/>
          <w:b/>
          <w:bCs/>
          <w:sz w:val="25"/>
          <w:szCs w:val="25"/>
        </w:rPr>
      </w:pPr>
    </w:p>
    <w:p>
      <w:pPr>
        <w:tabs>
          <w:tab w:pos="821" w:val="left" w:leader="none"/>
        </w:tabs>
        <w:spacing w:line="520" w:lineRule="auto" w:before="0"/>
        <w:ind w:left="814" w:right="194" w:hanging="713"/>
        <w:jc w:val="left"/>
        <w:rPr>
          <w:rFonts w:ascii="黑体" w:hAnsi="黑体" w:cs="黑体" w:eastAsia="黑体" w:hint="default"/>
          <w:sz w:val="20"/>
          <w:szCs w:val="20"/>
        </w:rPr>
      </w:pPr>
      <w:r>
        <w:rPr>
          <w:rFonts w:ascii="Arial" w:hAnsi="Arial" w:cs="Arial" w:eastAsia="Arial" w:hint="default"/>
          <w:b/>
          <w:bCs/>
          <w:spacing w:val="-1"/>
          <w:sz w:val="20"/>
          <w:szCs w:val="20"/>
        </w:rPr>
        <w:t>9.</w:t>
        <w:tab/>
        <w:tab/>
      </w:r>
      <w:r>
        <w:rPr>
          <w:rFonts w:ascii="黑体" w:hAnsi="黑体" w:cs="黑体" w:eastAsia="黑体" w:hint="default"/>
          <w:b/>
          <w:bCs/>
          <w:spacing w:val="1"/>
          <w:sz w:val="20"/>
          <w:szCs w:val="20"/>
        </w:rPr>
        <w:t>金融工具</w:t>
      </w:r>
      <w:bookmarkStart w:name="9. 金融工具（续）" w:id="28"/>
      <w:bookmarkEnd w:id="28"/>
      <w:r>
        <w:rPr>
          <w:rFonts w:ascii="黑体" w:hAnsi="黑体" w:cs="黑体" w:eastAsia="黑体" w:hint="default"/>
          <w:b/>
          <w:bCs/>
          <w:spacing w:val="1"/>
          <w:sz w:val="20"/>
          <w:szCs w:val="20"/>
        </w:rPr>
        <w:t>（续）</w:t>
      </w:r>
      <w:r>
        <w:rPr>
          <w:rFonts w:ascii="黑体" w:hAnsi="黑体" w:cs="黑体" w:eastAsia="黑体" w:hint="default"/>
          <w:b/>
          <w:bCs/>
          <w:spacing w:val="2"/>
          <w:w w:val="99"/>
          <w:sz w:val="20"/>
          <w:szCs w:val="20"/>
        </w:rPr>
        <w:t> </w:t>
      </w:r>
      <w:r>
        <w:rPr>
          <w:rFonts w:ascii="黑体" w:hAnsi="黑体" w:cs="黑体" w:eastAsia="黑体" w:hint="default"/>
          <w:spacing w:val="-3"/>
          <w:w w:val="95"/>
          <w:sz w:val="20"/>
          <w:szCs w:val="20"/>
        </w:rPr>
        <w:t>满足下列条件的，终止确认金融资产</w:t>
      </w:r>
      <w:r>
        <w:rPr>
          <w:rFonts w:ascii="Arial" w:hAnsi="Arial" w:cs="Arial" w:eastAsia="Arial" w:hint="default"/>
          <w:spacing w:val="-3"/>
          <w:w w:val="95"/>
          <w:sz w:val="20"/>
          <w:szCs w:val="20"/>
        </w:rPr>
        <w:t>(</w:t>
      </w:r>
      <w:r>
        <w:rPr>
          <w:rFonts w:ascii="黑体" w:hAnsi="黑体" w:cs="黑体" w:eastAsia="黑体" w:hint="default"/>
          <w:spacing w:val="-3"/>
          <w:w w:val="95"/>
          <w:sz w:val="20"/>
          <w:szCs w:val="20"/>
        </w:rPr>
        <w:t>或金融资产的一部分，或一组类似金融资产的一部分</w:t>
      </w:r>
      <w:r>
        <w:rPr>
          <w:rFonts w:ascii="Arial" w:hAnsi="Arial" w:cs="Arial" w:eastAsia="Arial" w:hint="default"/>
          <w:spacing w:val="-3"/>
          <w:w w:val="95"/>
          <w:sz w:val="20"/>
          <w:szCs w:val="20"/>
        </w:rPr>
        <w:t>)</w:t>
      </w:r>
      <w:r>
        <w:rPr>
          <w:rFonts w:ascii="黑体" w:hAnsi="黑体" w:cs="黑体" w:eastAsia="黑体" w:hint="default"/>
          <w:spacing w:val="-3"/>
          <w:w w:val="95"/>
          <w:sz w:val="20"/>
          <w:szCs w:val="20"/>
        </w:rPr>
        <w:t>：</w:t>
      </w:r>
      <w:r>
        <w:rPr>
          <w:rFonts w:ascii="黑体" w:hAnsi="黑体" w:cs="黑体" w:eastAsia="黑体" w:hint="default"/>
          <w:spacing w:val="-3"/>
          <w:sz w:val="20"/>
          <w:szCs w:val="20"/>
        </w:rPr>
      </w:r>
    </w:p>
    <w:p>
      <w:pPr>
        <w:pStyle w:val="BodyText"/>
        <w:spacing w:line="269" w:lineRule="exact"/>
        <w:ind w:left="821" w:right="0"/>
        <w:jc w:val="both"/>
      </w:pPr>
      <w:r>
        <w:rPr>
          <w:rFonts w:ascii="Arial" w:hAnsi="Arial" w:cs="Arial" w:eastAsia="Arial" w:hint="default"/>
        </w:rPr>
        <w:t>(1)       </w:t>
      </w:r>
      <w:r>
        <w:rPr>
          <w:rFonts w:ascii="Arial" w:hAnsi="Arial" w:cs="Arial" w:eastAsia="Arial" w:hint="default"/>
          <w:spacing w:val="24"/>
        </w:rPr>
        <w:t> </w:t>
      </w:r>
      <w:r>
        <w:rPr/>
        <w:t>收取金融资产现金流量的权利届满；</w:t>
      </w:r>
    </w:p>
    <w:p>
      <w:pPr>
        <w:pStyle w:val="BodyText"/>
        <w:spacing w:line="261" w:lineRule="auto" w:before="24"/>
        <w:ind w:left="1541" w:right="299" w:hanging="720"/>
        <w:jc w:val="both"/>
      </w:pPr>
      <w:r>
        <w:rPr>
          <w:rFonts w:ascii="Arial" w:hAnsi="Arial" w:cs="Arial" w:eastAsia="Arial" w:hint="default"/>
        </w:rPr>
        <w:t>(2)</w:t>
      </w:r>
      <w:r>
        <w:rPr>
          <w:rFonts w:ascii="Arial" w:hAnsi="Arial" w:cs="Arial" w:eastAsia="Arial" w:hint="default"/>
          <w:spacing w:val="11"/>
        </w:rPr>
        <w:t> </w:t>
      </w:r>
      <w:r>
        <w:rPr/>
        <w:t>转移了收取金融资产现金流量的权利，或在</w:t>
      </w:r>
      <w:r>
        <w:rPr>
          <w:rFonts w:ascii="Arial" w:hAnsi="Arial" w:cs="Arial" w:eastAsia="Arial" w:hint="default"/>
        </w:rPr>
        <w:t>“</w:t>
      </w:r>
      <w:r>
        <w:rPr/>
        <w:t>过手</w:t>
      </w:r>
      <w:r>
        <w:rPr>
          <w:rFonts w:ascii="Arial" w:hAnsi="Arial" w:cs="Arial" w:eastAsia="Arial" w:hint="default"/>
        </w:rPr>
        <w:t>”</w:t>
      </w:r>
      <w:r>
        <w:rPr/>
        <w:t>协议下承担了及时将收取的现金</w:t>
      </w:r>
      <w:r>
        <w:rPr>
          <w:w w:val="99"/>
        </w:rPr>
        <w:t> </w:t>
      </w:r>
      <w:r>
        <w:rPr/>
        <w:t>流量全额支付给第三方的义务；并且</w:t>
      </w:r>
      <w:r>
        <w:rPr>
          <w:rFonts w:ascii="Arial" w:hAnsi="Arial" w:cs="Arial" w:eastAsia="Arial" w:hint="default"/>
        </w:rPr>
        <w:t>(a)</w:t>
      </w:r>
      <w:r>
        <w:rPr/>
        <w:t>实质上转让了金融资产所有权上几乎所有</w:t>
      </w:r>
      <w:r>
        <w:rPr>
          <w:w w:val="99"/>
        </w:rPr>
        <w:t> </w:t>
      </w:r>
      <w:r>
        <w:rPr/>
        <w:t>的风险和报酬，或</w:t>
      </w:r>
      <w:r>
        <w:rPr>
          <w:rFonts w:ascii="Arial" w:hAnsi="Arial" w:cs="Arial" w:eastAsia="Arial" w:hint="default"/>
        </w:rPr>
        <w:t>(b)</w:t>
      </w:r>
      <w:r>
        <w:rPr/>
        <w:t>虽然实质上既没有转移也没有保留金融资产所有权上几乎所</w:t>
      </w:r>
      <w:r>
        <w:rPr>
          <w:w w:val="99"/>
        </w:rPr>
        <w:t> </w:t>
      </w:r>
      <w:r>
        <w:rPr/>
        <w:t>有的风险和报酬，但放弃了对该金融资产的控制。</w:t>
      </w:r>
    </w:p>
    <w:p>
      <w:pPr>
        <w:spacing w:line="240" w:lineRule="auto" w:before="2"/>
        <w:rPr>
          <w:rFonts w:ascii="黑体" w:hAnsi="黑体" w:cs="黑体" w:eastAsia="黑体" w:hint="default"/>
          <w:sz w:val="19"/>
          <w:szCs w:val="19"/>
        </w:rPr>
      </w:pPr>
    </w:p>
    <w:p>
      <w:pPr>
        <w:pStyle w:val="BodyText"/>
        <w:spacing w:line="276" w:lineRule="auto"/>
        <w:ind w:right="199"/>
        <w:jc w:val="both"/>
      </w:pPr>
      <w:r>
        <w:rPr/>
        <w:t>如果金融负债的责任已履行、撤销或届满，则对金融负债进行终止确认。如果现有金融负</w:t>
      </w:r>
      <w:r>
        <w:rPr>
          <w:w w:val="99"/>
        </w:rPr>
        <w:t> </w:t>
      </w:r>
      <w:r>
        <w:rPr/>
        <w:t>债被同一债权人以实质上几乎完全不同条款的另一金融负债所取代，或现有负债的条款几</w:t>
      </w:r>
      <w:r>
        <w:rPr>
          <w:w w:val="99"/>
        </w:rPr>
        <w:t> </w:t>
      </w:r>
      <w:r>
        <w:rPr/>
        <w:t>乎全部被实质性修改，则此类替换或修改作为终止确认原负债和确认新负债处理，差额计</w:t>
      </w:r>
      <w:r>
        <w:rPr>
          <w:w w:val="99"/>
        </w:rPr>
        <w:t> </w:t>
      </w:r>
      <w:r>
        <w:rPr/>
        <w:t>入当期损益。</w:t>
      </w:r>
    </w:p>
    <w:p>
      <w:pPr>
        <w:spacing w:line="240" w:lineRule="auto" w:before="1"/>
        <w:rPr>
          <w:rFonts w:ascii="黑体" w:hAnsi="黑体" w:cs="黑体" w:eastAsia="黑体" w:hint="default"/>
          <w:sz w:val="18"/>
          <w:szCs w:val="18"/>
        </w:rPr>
      </w:pPr>
    </w:p>
    <w:p>
      <w:pPr>
        <w:pStyle w:val="BodyText"/>
        <w:spacing w:line="276" w:lineRule="auto"/>
        <w:ind w:right="199"/>
        <w:jc w:val="both"/>
      </w:pPr>
      <w:r>
        <w:rPr>
          <w:spacing w:val="2"/>
        </w:rPr>
        <w:t>以常规方式买卖金融资产，按交易日会计进行确认和终止确认。常规方式买卖金融资产，</w:t>
      </w:r>
      <w:r>
        <w:rPr>
          <w:spacing w:val="2"/>
          <w:w w:val="99"/>
        </w:rPr>
        <w:t> </w:t>
      </w:r>
      <w:r>
        <w:rPr>
          <w:spacing w:val="-3"/>
        </w:rPr>
        <w:t>是指按照合同条款的约定，在法规或通行惯例规定的期限内收取或交付金融资产。交易日，</w:t>
      </w:r>
      <w:r>
        <w:rPr>
          <w:spacing w:val="-97"/>
        </w:rPr>
        <w:t> </w:t>
      </w:r>
      <w:r>
        <w:rPr>
          <w:spacing w:val="-97"/>
        </w:rPr>
      </w:r>
      <w:r>
        <w:rPr/>
        <w:t>是指本集团承诺买入或卖出金融资产的日期。</w:t>
      </w:r>
    </w:p>
    <w:p>
      <w:pPr>
        <w:spacing w:line="240" w:lineRule="auto" w:before="3"/>
        <w:rPr>
          <w:rFonts w:ascii="黑体" w:hAnsi="黑体" w:cs="黑体" w:eastAsia="黑体" w:hint="default"/>
          <w:sz w:val="18"/>
          <w:szCs w:val="18"/>
        </w:rPr>
      </w:pPr>
    </w:p>
    <w:p>
      <w:pPr>
        <w:pStyle w:val="BodyText"/>
        <w:spacing w:line="240" w:lineRule="auto"/>
        <w:ind w:right="0"/>
        <w:jc w:val="both"/>
      </w:pPr>
      <w:r>
        <w:rPr>
          <w:w w:val="99"/>
        </w:rPr>
      </w:r>
      <w:r>
        <w:rPr>
          <w:u w:val="single" w:color="000000"/>
        </w:rPr>
        <w:t>金融资产分类和计量</w:t>
      </w:r>
      <w:r>
        <w:rPr/>
      </w:r>
    </w:p>
    <w:p>
      <w:pPr>
        <w:spacing w:line="240" w:lineRule="auto" w:before="13"/>
        <w:rPr>
          <w:rFonts w:ascii="黑体" w:hAnsi="黑体" w:cs="黑体" w:eastAsia="黑体" w:hint="default"/>
          <w:sz w:val="22"/>
          <w:szCs w:val="22"/>
        </w:rPr>
      </w:pPr>
    </w:p>
    <w:p>
      <w:pPr>
        <w:pStyle w:val="BodyText"/>
        <w:spacing w:line="276" w:lineRule="auto" w:before="37"/>
        <w:ind w:right="302"/>
        <w:jc w:val="both"/>
      </w:pPr>
      <w:r>
        <w:rPr>
          <w:w w:val="95"/>
        </w:rPr>
        <w:t>本集团的金融资产于初始确认时分类为：以公允价值计量且其变动计入当期损益的金融资</w:t>
      </w:r>
      <w:r>
        <w:rPr>
          <w:spacing w:val="87"/>
          <w:w w:val="95"/>
        </w:rPr>
        <w:t> </w:t>
      </w:r>
      <w:r>
        <w:rPr>
          <w:spacing w:val="87"/>
          <w:w w:val="95"/>
        </w:rPr>
      </w:r>
      <w:r>
        <w:rPr>
          <w:w w:val="95"/>
        </w:rPr>
        <w:t>产、持有至到期投资、贷款和应收款项、可供出售金融资产、被指定为有效套期工具的衍</w:t>
      </w:r>
      <w:r>
        <w:rPr>
          <w:spacing w:val="85"/>
          <w:w w:val="95"/>
        </w:rPr>
        <w:t> </w:t>
      </w:r>
      <w:r>
        <w:rPr>
          <w:spacing w:val="85"/>
          <w:w w:val="95"/>
        </w:rPr>
      </w:r>
      <w:r>
        <w:rPr>
          <w:w w:val="95"/>
        </w:rPr>
        <w:t>生工具。本集团在初始确认时确定金融资产的分类。金融资产在初始确认时以公允价值计</w:t>
      </w:r>
      <w:r>
        <w:rPr>
          <w:spacing w:val="87"/>
          <w:w w:val="95"/>
        </w:rPr>
        <w:t> </w:t>
      </w:r>
      <w:r>
        <w:rPr>
          <w:spacing w:val="87"/>
          <w:w w:val="95"/>
        </w:rPr>
      </w:r>
      <w:r>
        <w:rPr>
          <w:w w:val="95"/>
        </w:rPr>
        <w:t>量。对于以公允价值计量且其变动计入当期损益的金融资产，相关交易费用直接计入当期</w:t>
      </w:r>
      <w:r>
        <w:rPr>
          <w:spacing w:val="87"/>
          <w:w w:val="95"/>
        </w:rPr>
        <w:t> </w:t>
      </w:r>
      <w:r>
        <w:rPr>
          <w:spacing w:val="87"/>
          <w:w w:val="95"/>
        </w:rPr>
      </w:r>
      <w:r>
        <w:rPr/>
        <w:t>损益，其他类别的金融资产相关交易费用计入其初始确认金额。</w:t>
      </w:r>
    </w:p>
    <w:p>
      <w:pPr>
        <w:spacing w:line="240" w:lineRule="auto" w:before="7"/>
        <w:rPr>
          <w:rFonts w:ascii="黑体" w:hAnsi="黑体" w:cs="黑体" w:eastAsia="黑体" w:hint="default"/>
          <w:sz w:val="23"/>
          <w:szCs w:val="23"/>
        </w:rPr>
      </w:pPr>
    </w:p>
    <w:p>
      <w:pPr>
        <w:pStyle w:val="BodyText"/>
        <w:spacing w:line="240" w:lineRule="auto"/>
        <w:ind w:right="3627"/>
        <w:jc w:val="left"/>
      </w:pPr>
      <w:r>
        <w:rPr/>
        <w:t>金融资产的后续计量取决于其分类：</w:t>
      </w:r>
    </w:p>
    <w:p>
      <w:pPr>
        <w:spacing w:line="240" w:lineRule="auto" w:before="8"/>
        <w:rPr>
          <w:rFonts w:ascii="黑体" w:hAnsi="黑体" w:cs="黑体" w:eastAsia="黑体" w:hint="default"/>
          <w:sz w:val="19"/>
          <w:szCs w:val="19"/>
        </w:rPr>
      </w:pPr>
    </w:p>
    <w:p>
      <w:pPr>
        <w:pStyle w:val="BodyText"/>
        <w:spacing w:line="273" w:lineRule="auto"/>
        <w:ind w:right="194" w:hanging="1"/>
        <w:jc w:val="left"/>
      </w:pPr>
      <w:r>
        <w:rPr>
          <w:rFonts w:ascii="黑体" w:hAnsi="黑体" w:cs="黑体" w:eastAsia="黑体" w:hint="default"/>
          <w:i/>
          <w:sz w:val="21"/>
          <w:szCs w:val="21"/>
        </w:rPr>
        <w:t>以公允价值计量且其变动计入当期损益的金融资产</w:t>
      </w:r>
      <w:r>
        <w:rPr>
          <w:rFonts w:ascii="黑体" w:hAnsi="黑体" w:cs="黑体" w:eastAsia="黑体" w:hint="default"/>
          <w:i/>
          <w:w w:val="94"/>
          <w:sz w:val="21"/>
          <w:szCs w:val="21"/>
        </w:rPr>
        <w:t> </w:t>
      </w:r>
      <w:r>
        <w:rPr>
          <w:w w:val="95"/>
        </w:rPr>
        <w:t>以公允价值计量且其变动计入当期损益的金融资产，包括交易性金融资产和初始确认时指</w:t>
      </w:r>
      <w:r>
        <w:rPr>
          <w:spacing w:val="86"/>
          <w:w w:val="95"/>
        </w:rPr>
        <w:t> </w:t>
      </w:r>
      <w:r>
        <w:rPr>
          <w:spacing w:val="86"/>
          <w:w w:val="95"/>
        </w:rPr>
      </w:r>
      <w:r>
        <w:rPr>
          <w:w w:val="95"/>
        </w:rPr>
        <w:t>定为以公允价值计量且其变动计入当期损益的金融资产。交易性金融资产，是指满足下列</w:t>
      </w:r>
      <w:r>
        <w:rPr>
          <w:spacing w:val="86"/>
          <w:w w:val="95"/>
        </w:rPr>
        <w:t> </w:t>
      </w:r>
      <w:r>
        <w:rPr>
          <w:spacing w:val="86"/>
          <w:w w:val="95"/>
        </w:rPr>
      </w:r>
      <w:r>
        <w:rPr>
          <w:w w:val="95"/>
        </w:rPr>
        <w:t>条件之一的金融资产：取得该金融资产的目的是为了在短期内出售；属于进行集中管理的</w:t>
      </w:r>
      <w:r>
        <w:rPr>
          <w:spacing w:val="86"/>
          <w:w w:val="95"/>
        </w:rPr>
        <w:t> </w:t>
      </w:r>
      <w:r>
        <w:rPr>
          <w:spacing w:val="86"/>
          <w:w w:val="95"/>
        </w:rPr>
      </w:r>
      <w:r>
        <w:rPr>
          <w:w w:val="95"/>
        </w:rPr>
        <w:t>可辨认金融工具组合的一部分，且有客观证据表明企业近期采用短期获利方式对该组合进</w:t>
      </w:r>
      <w:r>
        <w:rPr>
          <w:spacing w:val="86"/>
          <w:w w:val="95"/>
        </w:rPr>
        <w:t> </w:t>
      </w:r>
      <w:r>
        <w:rPr>
          <w:spacing w:val="86"/>
          <w:w w:val="95"/>
        </w:rPr>
      </w:r>
      <w:r>
        <w:rPr>
          <w:w w:val="95"/>
        </w:rPr>
        <w:t>行管理；属于衍生工具，但是，被指定且为有效套期工具的衍生工具、属于财务担保合同</w:t>
      </w:r>
      <w:r>
        <w:rPr>
          <w:spacing w:val="86"/>
          <w:w w:val="95"/>
        </w:rPr>
        <w:t> </w:t>
      </w:r>
      <w:r>
        <w:rPr>
          <w:spacing w:val="86"/>
          <w:w w:val="95"/>
        </w:rPr>
      </w:r>
      <w:r>
        <w:rPr>
          <w:w w:val="95"/>
        </w:rPr>
        <w:t>的衍生工具、与在活跃市场中没有报价且其公允价值不能可靠计量的权益工具投资挂钩并</w:t>
      </w:r>
      <w:r>
        <w:rPr>
          <w:spacing w:val="86"/>
          <w:w w:val="95"/>
        </w:rPr>
        <w:t> </w:t>
      </w:r>
      <w:r>
        <w:rPr>
          <w:spacing w:val="86"/>
          <w:w w:val="95"/>
        </w:rPr>
      </w:r>
      <w:r>
        <w:rPr>
          <w:w w:val="95"/>
        </w:rPr>
        <w:t>须通过交付该权益工具结算的衍生工具除外。对于此类金融资产，采用公允价值进行后续</w:t>
      </w:r>
      <w:r>
        <w:rPr>
          <w:spacing w:val="86"/>
          <w:w w:val="95"/>
        </w:rPr>
        <w:t> </w:t>
      </w:r>
      <w:r>
        <w:rPr>
          <w:spacing w:val="86"/>
          <w:w w:val="95"/>
        </w:rPr>
      </w:r>
      <w:r>
        <w:rPr>
          <w:w w:val="95"/>
        </w:rPr>
        <w:t>计量，所有已实现和未实现的损益均计入当期损益。与以公允价值计量且其变动计入当期</w:t>
      </w:r>
      <w:r>
        <w:rPr>
          <w:spacing w:val="86"/>
          <w:w w:val="95"/>
        </w:rPr>
        <w:t> </w:t>
      </w:r>
      <w:r>
        <w:rPr>
          <w:spacing w:val="86"/>
          <w:w w:val="95"/>
        </w:rPr>
      </w:r>
      <w:r>
        <w:rPr/>
        <w:t>损益的金融资产相关的股利或利息收入，计入当期损益。</w:t>
      </w:r>
    </w:p>
    <w:p>
      <w:pPr>
        <w:spacing w:after="0" w:line="273" w:lineRule="auto"/>
        <w:jc w:val="left"/>
        <w:sectPr>
          <w:pgSz w:w="11910" w:h="16850"/>
          <w:pgMar w:header="957" w:footer="833" w:top="2620" w:bottom="1020" w:left="1600" w:right="1400"/>
        </w:sectPr>
      </w:pPr>
    </w:p>
    <w:p>
      <w:pPr>
        <w:spacing w:line="240" w:lineRule="auto" w:before="2"/>
        <w:rPr>
          <w:rFonts w:ascii="黑体" w:hAnsi="黑体" w:cs="黑体" w:eastAsia="黑体" w:hint="default"/>
          <w:sz w:val="19"/>
          <w:szCs w:val="19"/>
        </w:rPr>
      </w:pPr>
    </w:p>
    <w:p>
      <w:pPr>
        <w:pStyle w:val="Heading6"/>
        <w:tabs>
          <w:tab w:pos="823" w:val="left" w:leader="none"/>
        </w:tabs>
        <w:spacing w:line="240" w:lineRule="auto"/>
        <w:ind w:right="85"/>
        <w:jc w:val="left"/>
        <w:rPr>
          <w:b w:val="0"/>
          <w:bCs w:val="0"/>
        </w:rPr>
      </w:pPr>
      <w:r>
        <w:rPr>
          <w:w w:val="95"/>
        </w:rPr>
        <w:t>二、</w:t>
        <w:tab/>
      </w:r>
      <w:r>
        <w:rPr/>
        <w:t>重要会计政策、会计估计和前期差错（续）</w:t>
      </w:r>
      <w:r>
        <w:rPr>
          <w:b w:val="0"/>
          <w:bCs w:val="0"/>
        </w:rPr>
      </w:r>
    </w:p>
    <w:p>
      <w:pPr>
        <w:spacing w:line="240" w:lineRule="auto" w:before="0"/>
        <w:rPr>
          <w:rFonts w:ascii="黑体" w:hAnsi="黑体" w:cs="黑体" w:eastAsia="黑体" w:hint="default"/>
          <w:b/>
          <w:bCs/>
          <w:sz w:val="24"/>
          <w:szCs w:val="24"/>
        </w:rPr>
      </w:pPr>
    </w:p>
    <w:p>
      <w:pPr>
        <w:tabs>
          <w:tab w:pos="821" w:val="left" w:leader="none"/>
        </w:tabs>
        <w:spacing w:line="460" w:lineRule="auto" w:before="0"/>
        <w:ind w:left="814" w:right="5592" w:hanging="713"/>
        <w:jc w:val="left"/>
        <w:rPr>
          <w:rFonts w:ascii="黑体" w:hAnsi="黑体" w:cs="黑体" w:eastAsia="黑体" w:hint="default"/>
          <w:sz w:val="20"/>
          <w:szCs w:val="20"/>
        </w:rPr>
      </w:pPr>
      <w:r>
        <w:rPr>
          <w:rFonts w:ascii="Arial" w:hAnsi="Arial" w:cs="Arial" w:eastAsia="Arial" w:hint="default"/>
          <w:b/>
          <w:bCs/>
          <w:spacing w:val="-1"/>
          <w:sz w:val="20"/>
          <w:szCs w:val="20"/>
        </w:rPr>
        <w:t>9.</w:t>
        <w:tab/>
        <w:tab/>
      </w:r>
      <w:r>
        <w:rPr>
          <w:rFonts w:ascii="黑体" w:hAnsi="黑体" w:cs="黑体" w:eastAsia="黑体" w:hint="default"/>
          <w:b/>
          <w:bCs/>
          <w:spacing w:val="1"/>
          <w:sz w:val="20"/>
          <w:szCs w:val="20"/>
        </w:rPr>
        <w:t>金融工具</w:t>
      </w:r>
      <w:bookmarkStart w:name="9. 金融工具（续）" w:id="29"/>
      <w:bookmarkEnd w:id="29"/>
      <w:r>
        <w:rPr>
          <w:rFonts w:ascii="黑体" w:hAnsi="黑体" w:cs="黑体" w:eastAsia="黑体" w:hint="default"/>
          <w:b/>
          <w:bCs/>
          <w:spacing w:val="1"/>
          <w:sz w:val="20"/>
          <w:szCs w:val="20"/>
        </w:rPr>
        <w:t>（续）</w:t>
      </w:r>
      <w:r>
        <w:rPr>
          <w:rFonts w:ascii="黑体" w:hAnsi="黑体" w:cs="黑体" w:eastAsia="黑体" w:hint="default"/>
          <w:b/>
          <w:bCs/>
          <w:spacing w:val="2"/>
          <w:w w:val="99"/>
          <w:sz w:val="20"/>
          <w:szCs w:val="20"/>
        </w:rPr>
        <w:t> </w:t>
      </w:r>
      <w:r>
        <w:rPr>
          <w:rFonts w:ascii="黑体" w:hAnsi="黑体" w:cs="黑体" w:eastAsia="黑体" w:hint="default"/>
          <w:spacing w:val="2"/>
          <w:w w:val="99"/>
          <w:sz w:val="20"/>
          <w:szCs w:val="20"/>
        </w:rPr>
      </w:r>
      <w:r>
        <w:rPr>
          <w:rFonts w:ascii="黑体" w:hAnsi="黑体" w:cs="黑体" w:eastAsia="黑体" w:hint="default"/>
          <w:sz w:val="20"/>
          <w:szCs w:val="20"/>
          <w:u w:val="single" w:color="000000"/>
        </w:rPr>
        <w:t>金融资产分类和计量</w:t>
      </w:r>
      <w:r>
        <w:rPr>
          <w:rFonts w:ascii="黑体" w:hAnsi="黑体" w:cs="黑体" w:eastAsia="黑体" w:hint="default"/>
          <w:sz w:val="20"/>
          <w:szCs w:val="20"/>
        </w:rPr>
        <w:t>（续）</w:t>
      </w:r>
    </w:p>
    <w:p>
      <w:pPr>
        <w:pStyle w:val="BodyText"/>
        <w:spacing w:line="273" w:lineRule="auto" w:before="25"/>
        <w:ind w:right="94" w:firstLine="7"/>
        <w:jc w:val="left"/>
      </w:pPr>
      <w:r>
        <w:rPr>
          <w:rFonts w:ascii="黑体" w:hAnsi="黑体" w:cs="黑体" w:eastAsia="黑体" w:hint="default"/>
          <w:i/>
          <w:sz w:val="21"/>
          <w:szCs w:val="21"/>
        </w:rPr>
        <w:t>持有至到期投资</w:t>
      </w:r>
      <w:r>
        <w:rPr>
          <w:rFonts w:ascii="黑体" w:hAnsi="黑体" w:cs="黑体" w:eastAsia="黑体" w:hint="default"/>
          <w:i/>
          <w:w w:val="94"/>
          <w:sz w:val="21"/>
          <w:szCs w:val="21"/>
        </w:rPr>
        <w:t> </w:t>
      </w:r>
      <w:r>
        <w:rPr>
          <w:spacing w:val="2"/>
        </w:rPr>
        <w:t>持有至到期投资，是指到期日固定、回收金额固定或可确定，且本集团有明确意图和能力</w:t>
      </w:r>
      <w:r>
        <w:rPr>
          <w:spacing w:val="2"/>
          <w:w w:val="99"/>
        </w:rPr>
        <w:t> </w:t>
      </w:r>
      <w:r>
        <w:rPr>
          <w:spacing w:val="2"/>
        </w:rPr>
        <w:t>持有至到期的非衍生金融资产。对于此类金融资产，采用实际利率法，按照摊余成本进行</w:t>
      </w:r>
      <w:r>
        <w:rPr>
          <w:spacing w:val="2"/>
          <w:w w:val="99"/>
        </w:rPr>
        <w:t> </w:t>
      </w:r>
      <w:r>
        <w:rPr/>
        <w:t>后续计量，其摊销或减值以及终止确认产生的利得或损失，均计入当期损益。</w:t>
      </w:r>
    </w:p>
    <w:p>
      <w:pPr>
        <w:spacing w:line="240" w:lineRule="auto" w:before="7"/>
        <w:rPr>
          <w:rFonts w:ascii="黑体" w:hAnsi="黑体" w:cs="黑体" w:eastAsia="黑体" w:hint="default"/>
          <w:sz w:val="17"/>
          <w:szCs w:val="17"/>
        </w:rPr>
      </w:pPr>
    </w:p>
    <w:p>
      <w:pPr>
        <w:pStyle w:val="BodyText"/>
        <w:spacing w:line="273" w:lineRule="auto"/>
        <w:ind w:right="92"/>
        <w:jc w:val="left"/>
      </w:pPr>
      <w:r>
        <w:rPr>
          <w:rFonts w:ascii="黑体" w:hAnsi="黑体" w:cs="黑体" w:eastAsia="黑体" w:hint="default"/>
          <w:i/>
          <w:sz w:val="21"/>
          <w:szCs w:val="21"/>
        </w:rPr>
        <w:t>贷款和应收款项</w:t>
      </w:r>
      <w:r>
        <w:rPr>
          <w:rFonts w:ascii="黑体" w:hAnsi="黑体" w:cs="黑体" w:eastAsia="黑体" w:hint="default"/>
          <w:i/>
          <w:w w:val="94"/>
          <w:sz w:val="21"/>
          <w:szCs w:val="21"/>
        </w:rPr>
        <w:t> </w:t>
      </w:r>
      <w:r>
        <w:rPr>
          <w:spacing w:val="-3"/>
        </w:rPr>
        <w:t>贷款和应收款项，是指在活跃市场中没有报价、回收金额固定或可确定的非衍生金融资产。</w:t>
      </w:r>
      <w:r>
        <w:rPr>
          <w:w w:val="99"/>
        </w:rPr>
        <w:t> </w:t>
      </w:r>
      <w:r>
        <w:rPr>
          <w:spacing w:val="2"/>
        </w:rPr>
        <w:t>对于此类金融资产，采用实际利率法，按照摊余成本进行后续计量，其摊销或减值产生的</w:t>
      </w:r>
      <w:r>
        <w:rPr>
          <w:spacing w:val="2"/>
          <w:w w:val="99"/>
        </w:rPr>
        <w:t> </w:t>
      </w:r>
      <w:r>
        <w:rPr/>
        <w:t>利得或损失，均计入当期损益。</w:t>
      </w:r>
    </w:p>
    <w:p>
      <w:pPr>
        <w:spacing w:line="240" w:lineRule="auto" w:before="7"/>
        <w:rPr>
          <w:rFonts w:ascii="黑体" w:hAnsi="黑体" w:cs="黑体" w:eastAsia="黑体" w:hint="default"/>
          <w:sz w:val="17"/>
          <w:szCs w:val="17"/>
        </w:rPr>
      </w:pPr>
    </w:p>
    <w:p>
      <w:pPr>
        <w:pStyle w:val="BodyText"/>
        <w:spacing w:line="273" w:lineRule="auto"/>
        <w:ind w:right="92" w:hanging="5"/>
        <w:jc w:val="left"/>
      </w:pPr>
      <w:r>
        <w:rPr>
          <w:rFonts w:ascii="黑体" w:hAnsi="黑体" w:cs="黑体" w:eastAsia="黑体" w:hint="default"/>
          <w:i/>
          <w:sz w:val="21"/>
          <w:szCs w:val="21"/>
        </w:rPr>
        <w:t>可供出售金融资产</w:t>
      </w:r>
      <w:r>
        <w:rPr>
          <w:rFonts w:ascii="黑体" w:hAnsi="黑体" w:cs="黑体" w:eastAsia="黑体" w:hint="default"/>
          <w:i/>
          <w:w w:val="94"/>
          <w:sz w:val="21"/>
          <w:szCs w:val="21"/>
        </w:rPr>
        <w:t> </w:t>
      </w:r>
      <w:r>
        <w:rPr>
          <w:spacing w:val="2"/>
        </w:rPr>
        <w:t>可供出售金融资产，是指初始确认时即指定为可供出售的非衍生金融资产，以及除上述金</w:t>
      </w:r>
      <w:r>
        <w:rPr>
          <w:spacing w:val="2"/>
          <w:w w:val="99"/>
        </w:rPr>
        <w:t> </w:t>
      </w:r>
      <w:r>
        <w:rPr>
          <w:spacing w:val="2"/>
        </w:rPr>
        <w:t>融资产类别以外的金融资产。对于此类金融资产，采用公允价值进行后续计量。其折价或</w:t>
      </w:r>
      <w:r>
        <w:rPr>
          <w:spacing w:val="2"/>
          <w:w w:val="99"/>
        </w:rPr>
        <w:t> </w:t>
      </w:r>
      <w:r>
        <w:rPr>
          <w:spacing w:val="2"/>
        </w:rPr>
        <w:t>溢价采用实际利率法进行摊销并确认为利息收入或费用。除减值损失及外币货币性金融资</w:t>
      </w:r>
      <w:r>
        <w:rPr>
          <w:spacing w:val="2"/>
          <w:w w:val="99"/>
        </w:rPr>
        <w:t> </w:t>
      </w:r>
      <w:r>
        <w:rPr>
          <w:spacing w:val="2"/>
        </w:rPr>
        <w:t>产的汇兑差额确认为当期损益外，可供出售金融资产的公允价值变动作为其他综合收益于</w:t>
      </w:r>
      <w:r>
        <w:rPr>
          <w:spacing w:val="2"/>
          <w:w w:val="99"/>
        </w:rPr>
        <w:t> </w:t>
      </w:r>
      <w:r>
        <w:rPr>
          <w:spacing w:val="-3"/>
        </w:rPr>
        <w:t>资本公积确认，直到该金融资产终止确认或发生减值时，其累计利得或损失转入当期损益。</w:t>
      </w:r>
      <w:r>
        <w:rPr>
          <w:w w:val="99"/>
        </w:rPr>
        <w:t> </w:t>
      </w:r>
      <w:r>
        <w:rPr/>
        <w:t>与可供出售金融资产相关的股利或利息收入，计入当期损益。</w:t>
      </w:r>
    </w:p>
    <w:p>
      <w:pPr>
        <w:spacing w:line="240" w:lineRule="auto" w:before="5"/>
        <w:rPr>
          <w:rFonts w:ascii="黑体" w:hAnsi="黑体" w:cs="黑体" w:eastAsia="黑体" w:hint="default"/>
          <w:sz w:val="18"/>
          <w:szCs w:val="18"/>
        </w:rPr>
      </w:pPr>
    </w:p>
    <w:p>
      <w:pPr>
        <w:pStyle w:val="BodyText"/>
        <w:spacing w:line="465" w:lineRule="auto"/>
        <w:ind w:left="804" w:right="366" w:firstLine="16"/>
        <w:jc w:val="left"/>
      </w:pPr>
      <w:r>
        <w:rPr/>
        <w:t>对于在活跃市场中没有报价且其公允价值不能可靠计量的权益工具投资，按成本计量。</w:t>
      </w:r>
      <w:r>
        <w:rPr>
          <w:w w:val="99"/>
        </w:rPr>
        <w:t> </w:t>
      </w:r>
      <w:r>
        <w:rPr>
          <w:u w:val="single" w:color="000000"/>
        </w:rPr>
        <w:t>金融负债分类和计量</w:t>
      </w:r>
      <w:r>
        <w:rPr/>
      </w:r>
    </w:p>
    <w:p>
      <w:pPr>
        <w:pStyle w:val="BodyText"/>
        <w:spacing w:line="276" w:lineRule="auto" w:before="61"/>
        <w:ind w:right="106"/>
        <w:jc w:val="both"/>
      </w:pPr>
      <w:r>
        <w:rPr>
          <w:spacing w:val="2"/>
        </w:rPr>
        <w:t>本集团的金融负债于初始确认时分类为：以公允价值计量且其变动计入当期损益的</w:t>
      </w:r>
      <w:bookmarkStart w:name="金融负债分类和计量" w:id="30"/>
      <w:bookmarkEnd w:id="30"/>
      <w:r>
        <w:rPr>
          <w:spacing w:val="2"/>
        </w:rPr>
        <w:t>金融负</w:t>
      </w:r>
      <w:r>
        <w:rPr>
          <w:spacing w:val="2"/>
          <w:w w:val="99"/>
        </w:rPr>
        <w:t> </w:t>
      </w:r>
      <w:r>
        <w:rPr>
          <w:spacing w:val="2"/>
        </w:rPr>
        <w:t>债、其他金融负债、被指定为有效套期工具的衍生工具。本集团在初始确认时确定金融负</w:t>
      </w:r>
      <w:r>
        <w:rPr>
          <w:spacing w:val="2"/>
          <w:w w:val="99"/>
        </w:rPr>
        <w:t> </w:t>
      </w:r>
      <w:r>
        <w:rPr>
          <w:spacing w:val="2"/>
        </w:rPr>
        <w:t>债的分类。对于以公允价值计量且其变动计入当期损益的金融负债，相关交易费用直接计</w:t>
      </w:r>
      <w:r>
        <w:rPr>
          <w:spacing w:val="2"/>
          <w:w w:val="99"/>
        </w:rPr>
        <w:t> </w:t>
      </w:r>
      <w:r>
        <w:rPr/>
        <w:t>入当期损益，其他金融负债的相关交易费用计入其初始确认金额。</w:t>
      </w:r>
    </w:p>
    <w:p>
      <w:pPr>
        <w:spacing w:line="240" w:lineRule="auto" w:before="1"/>
        <w:rPr>
          <w:rFonts w:ascii="黑体" w:hAnsi="黑体" w:cs="黑体" w:eastAsia="黑体" w:hint="default"/>
          <w:sz w:val="18"/>
          <w:szCs w:val="18"/>
        </w:rPr>
      </w:pPr>
    </w:p>
    <w:p>
      <w:pPr>
        <w:pStyle w:val="BodyText"/>
        <w:spacing w:line="240" w:lineRule="auto"/>
        <w:ind w:right="85"/>
        <w:jc w:val="left"/>
      </w:pPr>
      <w:r>
        <w:rPr/>
        <w:t>金融负债的后续计量取决于其分类：</w:t>
      </w:r>
    </w:p>
    <w:p>
      <w:pPr>
        <w:spacing w:line="240" w:lineRule="auto" w:before="8"/>
        <w:rPr>
          <w:rFonts w:ascii="黑体" w:hAnsi="黑体" w:cs="黑体" w:eastAsia="黑体" w:hint="default"/>
          <w:sz w:val="19"/>
          <w:szCs w:val="19"/>
        </w:rPr>
      </w:pPr>
    </w:p>
    <w:p>
      <w:pPr>
        <w:pStyle w:val="BodyText"/>
        <w:spacing w:line="273" w:lineRule="auto"/>
        <w:ind w:right="94" w:hanging="1"/>
        <w:jc w:val="left"/>
      </w:pPr>
      <w:r>
        <w:rPr>
          <w:rFonts w:ascii="黑体" w:hAnsi="黑体" w:cs="黑体" w:eastAsia="黑体" w:hint="default"/>
          <w:i/>
          <w:sz w:val="21"/>
          <w:szCs w:val="21"/>
        </w:rPr>
        <w:t>以公允价值计量且其变动计入当期损益的金融负债</w:t>
      </w:r>
      <w:r>
        <w:rPr>
          <w:rFonts w:ascii="黑体" w:hAnsi="黑体" w:cs="黑体" w:eastAsia="黑体" w:hint="default"/>
          <w:i/>
          <w:w w:val="94"/>
          <w:sz w:val="21"/>
          <w:szCs w:val="21"/>
        </w:rPr>
        <w:t> </w:t>
      </w:r>
      <w:r>
        <w:rPr>
          <w:spacing w:val="2"/>
        </w:rPr>
        <w:t>以公允价值计量且其变动计入当期损益的金融负债，包括交易性金融负债和初始确认时指</w:t>
      </w:r>
      <w:r>
        <w:rPr>
          <w:spacing w:val="2"/>
          <w:w w:val="99"/>
        </w:rPr>
        <w:t> </w:t>
      </w:r>
      <w:r>
        <w:rPr>
          <w:spacing w:val="2"/>
        </w:rPr>
        <w:t>定为以公允价值计量且其变动计入当期损益的金融负债。交易性金融负债，是指满足下列</w:t>
      </w:r>
      <w:r>
        <w:rPr>
          <w:spacing w:val="2"/>
          <w:w w:val="99"/>
        </w:rPr>
        <w:t> </w:t>
      </w:r>
      <w:r>
        <w:rPr>
          <w:spacing w:val="2"/>
        </w:rPr>
        <w:t>条件之一的金融负债：承担该金融负债的目的是为了在近期内回购；属于进行集中管理的</w:t>
      </w:r>
      <w:r>
        <w:rPr>
          <w:spacing w:val="2"/>
          <w:w w:val="99"/>
        </w:rPr>
        <w:t> </w:t>
      </w:r>
      <w:r>
        <w:rPr>
          <w:spacing w:val="2"/>
        </w:rPr>
        <w:t>可辨认金融工具组合的一部分，且有客观证据表明企业近期采用短期获利方式对该组合进</w:t>
      </w:r>
      <w:r>
        <w:rPr>
          <w:spacing w:val="2"/>
          <w:w w:val="99"/>
        </w:rPr>
        <w:t> </w:t>
      </w:r>
      <w:r>
        <w:rPr>
          <w:spacing w:val="2"/>
        </w:rPr>
        <w:t>行管理；属于衍生工具，但是，被指定且为有效套期工具的衍生工具、属于财务担保合同</w:t>
      </w:r>
      <w:r>
        <w:rPr>
          <w:spacing w:val="2"/>
          <w:w w:val="99"/>
        </w:rPr>
        <w:t> </w:t>
      </w:r>
      <w:r>
        <w:rPr>
          <w:spacing w:val="2"/>
        </w:rPr>
        <w:t>的衍生工具、与在活跃市场中没有报价且其公允价值不能可靠计量的权益工具投资挂钩并</w:t>
      </w:r>
      <w:r>
        <w:rPr>
          <w:spacing w:val="2"/>
          <w:w w:val="99"/>
        </w:rPr>
        <w:t> </w:t>
      </w:r>
      <w:r>
        <w:rPr>
          <w:spacing w:val="2"/>
        </w:rPr>
        <w:t>须通过交付该权益工具结算的衍生工具除外。对于此类金融负债，按照公允价值进行后续</w:t>
      </w:r>
      <w:r>
        <w:rPr>
          <w:spacing w:val="2"/>
          <w:w w:val="99"/>
        </w:rPr>
        <w:t> </w:t>
      </w:r>
      <w:r>
        <w:rPr/>
        <w:t>计量，所有已实现和未实现的损益均计入当期损益。</w:t>
      </w:r>
    </w:p>
    <w:p>
      <w:pPr>
        <w:spacing w:after="0" w:line="273" w:lineRule="auto"/>
        <w:jc w:val="left"/>
        <w:sectPr>
          <w:pgSz w:w="11910" w:h="16850"/>
          <w:pgMar w:header="957" w:footer="833" w:top="2620" w:bottom="1020" w:left="1600" w:right="1500"/>
        </w:sectPr>
      </w:pPr>
    </w:p>
    <w:p>
      <w:pPr>
        <w:spacing w:line="240" w:lineRule="auto" w:before="9"/>
        <w:rPr>
          <w:rFonts w:ascii="黑体" w:hAnsi="黑体" w:cs="黑体" w:eastAsia="黑体" w:hint="default"/>
          <w:sz w:val="13"/>
          <w:szCs w:val="13"/>
        </w:rPr>
      </w:pPr>
    </w:p>
    <w:p>
      <w:pPr>
        <w:pStyle w:val="Heading6"/>
        <w:tabs>
          <w:tab w:pos="809" w:val="left" w:leader="none"/>
        </w:tabs>
        <w:spacing w:line="240" w:lineRule="auto"/>
        <w:ind w:right="3627"/>
        <w:jc w:val="left"/>
        <w:rPr>
          <w:b w:val="0"/>
          <w:bCs w:val="0"/>
        </w:rPr>
      </w:pPr>
      <w:r>
        <w:rPr>
          <w:w w:val="95"/>
        </w:rPr>
        <w:t>二、</w:t>
        <w:tab/>
      </w:r>
      <w:bookmarkStart w:name="二、 重要会计政策、会计估计和前期差错（续）" w:id="31"/>
      <w:bookmarkEnd w:id="31"/>
      <w:r>
        <w:rPr/>
        <w:t>重要会</w:t>
      </w:r>
      <w:r>
        <w:rPr/>
        <w:t>计政策、会计估计和前期差错（续）</w:t>
      </w:r>
      <w:r>
        <w:rPr>
          <w:b w:val="0"/>
          <w:bCs w:val="0"/>
        </w:rPr>
      </w:r>
    </w:p>
    <w:p>
      <w:pPr>
        <w:spacing w:line="240" w:lineRule="auto" w:before="6"/>
        <w:rPr>
          <w:rFonts w:ascii="黑体" w:hAnsi="黑体" w:cs="黑体" w:eastAsia="黑体" w:hint="default"/>
          <w:b/>
          <w:bCs/>
          <w:sz w:val="19"/>
          <w:szCs w:val="19"/>
        </w:rPr>
      </w:pPr>
    </w:p>
    <w:p>
      <w:pPr>
        <w:tabs>
          <w:tab w:pos="821" w:val="left" w:leader="none"/>
        </w:tabs>
        <w:spacing w:line="434" w:lineRule="auto" w:before="0"/>
        <w:ind w:left="809" w:right="5692" w:hanging="708"/>
        <w:jc w:val="left"/>
        <w:rPr>
          <w:rFonts w:ascii="黑体" w:hAnsi="黑体" w:cs="黑体" w:eastAsia="黑体" w:hint="default"/>
          <w:sz w:val="20"/>
          <w:szCs w:val="20"/>
        </w:rPr>
      </w:pPr>
      <w:r>
        <w:rPr>
          <w:rFonts w:ascii="Arial" w:hAnsi="Arial" w:cs="Arial" w:eastAsia="Arial" w:hint="default"/>
          <w:b/>
          <w:bCs/>
          <w:spacing w:val="-1"/>
          <w:sz w:val="20"/>
          <w:szCs w:val="20"/>
        </w:rPr>
        <w:t>9.</w:t>
        <w:tab/>
        <w:tab/>
      </w:r>
      <w:r>
        <w:rPr>
          <w:rFonts w:ascii="黑体" w:hAnsi="黑体" w:cs="黑体" w:eastAsia="黑体" w:hint="default"/>
          <w:b/>
          <w:bCs/>
          <w:spacing w:val="1"/>
          <w:sz w:val="20"/>
          <w:szCs w:val="20"/>
        </w:rPr>
        <w:t>金融工具</w:t>
      </w:r>
      <w:bookmarkStart w:name="9. 金融工具（续）" w:id="32"/>
      <w:bookmarkEnd w:id="32"/>
      <w:r>
        <w:rPr>
          <w:rFonts w:ascii="黑体" w:hAnsi="黑体" w:cs="黑体" w:eastAsia="黑体" w:hint="default"/>
          <w:b/>
          <w:bCs/>
          <w:spacing w:val="1"/>
          <w:sz w:val="20"/>
          <w:szCs w:val="20"/>
        </w:rPr>
        <w:t>（续）</w:t>
      </w:r>
      <w:r>
        <w:rPr>
          <w:rFonts w:ascii="黑体" w:hAnsi="黑体" w:cs="黑体" w:eastAsia="黑体" w:hint="default"/>
          <w:b/>
          <w:bCs/>
          <w:spacing w:val="2"/>
          <w:w w:val="99"/>
          <w:sz w:val="20"/>
          <w:szCs w:val="20"/>
        </w:rPr>
        <w:t> </w:t>
      </w:r>
      <w:r>
        <w:rPr>
          <w:rFonts w:ascii="黑体" w:hAnsi="黑体" w:cs="黑体" w:eastAsia="黑体" w:hint="default"/>
          <w:spacing w:val="2"/>
          <w:w w:val="99"/>
          <w:sz w:val="20"/>
          <w:szCs w:val="20"/>
        </w:rPr>
      </w:r>
      <w:r>
        <w:rPr>
          <w:rFonts w:ascii="黑体" w:hAnsi="黑体" w:cs="黑体" w:eastAsia="黑体" w:hint="default"/>
          <w:sz w:val="20"/>
          <w:szCs w:val="20"/>
          <w:u w:val="single" w:color="000000"/>
        </w:rPr>
        <w:t>金融负债分类和计量</w:t>
      </w:r>
      <w:r>
        <w:rPr>
          <w:rFonts w:ascii="黑体" w:hAnsi="黑体" w:cs="黑体" w:eastAsia="黑体" w:hint="default"/>
          <w:sz w:val="20"/>
          <w:szCs w:val="20"/>
        </w:rPr>
        <w:t>（续）</w:t>
      </w:r>
    </w:p>
    <w:p>
      <w:pPr>
        <w:spacing w:line="273" w:lineRule="exact" w:before="68"/>
        <w:ind w:left="809" w:right="3627" w:firstLine="0"/>
        <w:jc w:val="left"/>
        <w:rPr>
          <w:rFonts w:ascii="黑体" w:hAnsi="黑体" w:cs="黑体" w:eastAsia="黑体" w:hint="default"/>
          <w:sz w:val="21"/>
          <w:szCs w:val="21"/>
        </w:rPr>
      </w:pPr>
      <w:r>
        <w:rPr>
          <w:rFonts w:ascii="黑体" w:hAnsi="黑体" w:cs="黑体" w:eastAsia="黑体" w:hint="default"/>
          <w:i/>
          <w:sz w:val="21"/>
          <w:szCs w:val="21"/>
        </w:rPr>
        <w:t>其他金融负债</w:t>
      </w:r>
      <w:r>
        <w:rPr>
          <w:rFonts w:ascii="黑体" w:hAnsi="黑体" w:cs="黑体" w:eastAsia="黑体" w:hint="default"/>
          <w:sz w:val="21"/>
          <w:szCs w:val="21"/>
        </w:rPr>
      </w:r>
    </w:p>
    <w:p>
      <w:pPr>
        <w:pStyle w:val="BodyText"/>
        <w:spacing w:line="453" w:lineRule="auto"/>
        <w:ind w:left="809" w:right="2077"/>
        <w:jc w:val="left"/>
      </w:pPr>
      <w:r>
        <w:rPr/>
        <w:t>对于此类金融负债，采用实际利率法，按照摊余成本进行后续计量。</w:t>
      </w:r>
      <w:r>
        <w:rPr>
          <w:w w:val="99"/>
        </w:rPr>
        <w:t> </w:t>
      </w:r>
      <w:r>
        <w:rPr>
          <w:u w:val="single" w:color="000000"/>
        </w:rPr>
        <w:t>金融工具的公允价值</w:t>
      </w:r>
      <w:r>
        <w:rPr/>
      </w:r>
    </w:p>
    <w:p>
      <w:pPr>
        <w:pStyle w:val="BodyText"/>
        <w:spacing w:line="237" w:lineRule="auto" w:before="61"/>
        <w:ind w:right="302"/>
        <w:jc w:val="both"/>
      </w:pPr>
      <w:r>
        <w:rPr>
          <w:w w:val="95"/>
        </w:rPr>
        <w:t>存在活跃市场的金融资产或金融负债，采用活跃市场中的报价确定其公允价值。金融工具</w:t>
      </w:r>
      <w:r>
        <w:rPr>
          <w:spacing w:val="87"/>
          <w:w w:val="95"/>
        </w:rPr>
        <w:t> </w:t>
      </w:r>
      <w:r>
        <w:rPr>
          <w:spacing w:val="87"/>
          <w:w w:val="95"/>
        </w:rPr>
      </w:r>
      <w:r>
        <w:rPr>
          <w:w w:val="95"/>
        </w:rPr>
        <w:t>不存在活跃市场的，本集团采用估值技术确定其公允价值，估值技术包括参考熟悉情况并</w:t>
      </w:r>
      <w:r>
        <w:rPr>
          <w:spacing w:val="87"/>
          <w:w w:val="95"/>
        </w:rPr>
        <w:t> </w:t>
      </w:r>
      <w:r>
        <w:rPr>
          <w:spacing w:val="87"/>
          <w:w w:val="95"/>
        </w:rPr>
      </w:r>
      <w:r>
        <w:rPr>
          <w:w w:val="95"/>
        </w:rPr>
        <w:t>自愿交易的各方最近进行的市场交易中使用的价格、参照实质上相同的其他金融工具的当</w:t>
      </w:r>
      <w:r>
        <w:rPr>
          <w:spacing w:val="87"/>
          <w:w w:val="95"/>
        </w:rPr>
        <w:t> </w:t>
      </w:r>
      <w:r>
        <w:rPr>
          <w:spacing w:val="87"/>
          <w:w w:val="95"/>
        </w:rPr>
      </w:r>
      <w:r>
        <w:rPr/>
        <w:t>前公允价值、现金流量折现法和期权定价模型等。</w:t>
      </w:r>
    </w:p>
    <w:p>
      <w:pPr>
        <w:spacing w:line="240" w:lineRule="auto" w:before="2"/>
        <w:rPr>
          <w:rFonts w:ascii="黑体" w:hAnsi="黑体" w:cs="黑体" w:eastAsia="黑体" w:hint="default"/>
          <w:sz w:val="18"/>
          <w:szCs w:val="18"/>
        </w:rPr>
      </w:pPr>
    </w:p>
    <w:p>
      <w:pPr>
        <w:pStyle w:val="BodyText"/>
        <w:spacing w:line="240" w:lineRule="auto"/>
        <w:ind w:left="809" w:right="0"/>
        <w:jc w:val="both"/>
      </w:pPr>
      <w:r>
        <w:rPr>
          <w:w w:val="99"/>
        </w:rPr>
      </w:r>
      <w:r>
        <w:rPr>
          <w:u w:val="single" w:color="000000"/>
        </w:rPr>
        <w:t>金融资产减值</w:t>
      </w:r>
      <w:r>
        <w:rPr/>
      </w:r>
    </w:p>
    <w:p>
      <w:pPr>
        <w:spacing w:line="240" w:lineRule="auto" w:before="4"/>
        <w:rPr>
          <w:rFonts w:ascii="黑体" w:hAnsi="黑体" w:cs="黑体" w:eastAsia="黑体" w:hint="default"/>
          <w:sz w:val="15"/>
          <w:szCs w:val="15"/>
        </w:rPr>
      </w:pPr>
    </w:p>
    <w:p>
      <w:pPr>
        <w:pStyle w:val="BodyText"/>
        <w:spacing w:line="260" w:lineRule="exact" w:before="63"/>
        <w:ind w:right="299"/>
        <w:jc w:val="both"/>
      </w:pPr>
      <w:r>
        <w:rPr>
          <w:w w:val="95"/>
        </w:rPr>
        <w:t>本集团于资产负债表日对金融资产的账面价值进行检查，有客观证据表明该金融资产发生</w:t>
      </w:r>
      <w:r>
        <w:rPr>
          <w:spacing w:val="87"/>
          <w:w w:val="95"/>
        </w:rPr>
        <w:t> </w:t>
      </w:r>
      <w:r>
        <w:rPr>
          <w:spacing w:val="87"/>
          <w:w w:val="95"/>
        </w:rPr>
      </w:r>
      <w:r>
        <w:rPr>
          <w:w w:val="95"/>
        </w:rPr>
        <w:t>减值的，计提减值准备。表明金融资产发生减值的客观证据，是指金融资产初始确认后实</w:t>
      </w:r>
      <w:r>
        <w:rPr>
          <w:spacing w:val="89"/>
          <w:w w:val="95"/>
        </w:rPr>
        <w:t> </w:t>
      </w:r>
      <w:r>
        <w:rPr>
          <w:spacing w:val="89"/>
          <w:w w:val="95"/>
        </w:rPr>
      </w:r>
      <w:r>
        <w:rPr>
          <w:w w:val="95"/>
        </w:rPr>
        <w:t>际发生的、对该金融资产的预计未来现金流量有影响，且企业能够对该影响进行可靠计量</w:t>
      </w:r>
      <w:r>
        <w:rPr>
          <w:spacing w:val="87"/>
          <w:w w:val="95"/>
        </w:rPr>
        <w:t> </w:t>
      </w:r>
      <w:r>
        <w:rPr>
          <w:spacing w:val="87"/>
          <w:w w:val="95"/>
        </w:rPr>
      </w:r>
      <w:r>
        <w:rPr/>
        <w:t>的事项。</w:t>
      </w:r>
    </w:p>
    <w:p>
      <w:pPr>
        <w:spacing w:line="240" w:lineRule="auto" w:before="4"/>
        <w:rPr>
          <w:rFonts w:ascii="黑体" w:hAnsi="黑体" w:cs="黑体" w:eastAsia="黑体" w:hint="default"/>
          <w:sz w:val="18"/>
          <w:szCs w:val="18"/>
        </w:rPr>
      </w:pPr>
    </w:p>
    <w:p>
      <w:pPr>
        <w:pStyle w:val="BodyText"/>
        <w:spacing w:line="260" w:lineRule="exact"/>
        <w:ind w:right="194" w:hanging="1"/>
        <w:jc w:val="left"/>
      </w:pPr>
      <w:r>
        <w:rPr>
          <w:rFonts w:ascii="黑体" w:hAnsi="黑体" w:cs="黑体" w:eastAsia="黑体" w:hint="default"/>
          <w:i/>
          <w:sz w:val="21"/>
          <w:szCs w:val="21"/>
        </w:rPr>
        <w:t>以摊余成本计量的金融资产</w:t>
      </w:r>
      <w:r>
        <w:rPr>
          <w:rFonts w:ascii="黑体" w:hAnsi="黑体" w:cs="黑体" w:eastAsia="黑体" w:hint="default"/>
          <w:i/>
          <w:w w:val="94"/>
          <w:sz w:val="21"/>
          <w:szCs w:val="21"/>
        </w:rPr>
        <w:t> </w:t>
      </w:r>
      <w:r>
        <w:rPr>
          <w:w w:val="95"/>
        </w:rPr>
        <w:t>如果有客观证据表明该金融资产发生减值，则将该金融资产的账面价值减记至预计未来现</w:t>
      </w:r>
      <w:r>
        <w:rPr>
          <w:spacing w:val="86"/>
          <w:w w:val="95"/>
        </w:rPr>
        <w:t> </w:t>
      </w:r>
      <w:r>
        <w:rPr>
          <w:spacing w:val="86"/>
          <w:w w:val="95"/>
        </w:rPr>
      </w:r>
      <w:r>
        <w:rPr/>
        <w:t>金流量</w:t>
      </w:r>
      <w:r>
        <w:rPr>
          <w:rFonts w:ascii="Arial" w:hAnsi="Arial" w:cs="Arial" w:eastAsia="Arial" w:hint="default"/>
        </w:rPr>
        <w:t>(</w:t>
      </w:r>
      <w:r>
        <w:rPr/>
        <w:t>不包括尚未发生的未来信用损失</w:t>
      </w:r>
      <w:r>
        <w:rPr>
          <w:rFonts w:ascii="Arial" w:hAnsi="Arial" w:cs="Arial" w:eastAsia="Arial" w:hint="default"/>
        </w:rPr>
        <w:t>)</w:t>
      </w:r>
      <w:r>
        <w:rPr/>
        <w:t>现值，减记金额计入当期损益。预计未来现金流</w:t>
      </w:r>
      <w:r>
        <w:rPr>
          <w:spacing w:val="-57"/>
        </w:rPr>
        <w:t> </w:t>
      </w:r>
      <w:r>
        <w:rPr>
          <w:spacing w:val="-57"/>
        </w:rPr>
      </w:r>
      <w:r>
        <w:rPr>
          <w:w w:val="95"/>
        </w:rPr>
        <w:t>量现值，按照该金融资产原实际利率（即初始确认时确定的实际利率）折现确定，并考虑</w:t>
      </w:r>
      <w:r>
        <w:rPr>
          <w:spacing w:val="88"/>
          <w:w w:val="95"/>
        </w:rPr>
        <w:t> </w:t>
      </w:r>
      <w:r>
        <w:rPr>
          <w:spacing w:val="88"/>
          <w:w w:val="95"/>
        </w:rPr>
      </w:r>
      <w:r>
        <w:rPr>
          <w:w w:val="95"/>
        </w:rPr>
        <w:t>相关担保物的价值。对于浮动利率，在计算未来现金流量现值时采用合同规定的现行实际</w:t>
      </w:r>
      <w:r>
        <w:rPr>
          <w:spacing w:val="86"/>
          <w:w w:val="95"/>
        </w:rPr>
        <w:t> </w:t>
      </w:r>
      <w:r>
        <w:rPr>
          <w:spacing w:val="86"/>
          <w:w w:val="95"/>
        </w:rPr>
      </w:r>
      <w:r>
        <w:rPr/>
        <w:t>利率作为折现率。</w:t>
      </w:r>
    </w:p>
    <w:p>
      <w:pPr>
        <w:spacing w:line="240" w:lineRule="auto" w:before="6"/>
        <w:rPr>
          <w:rFonts w:ascii="黑体" w:hAnsi="黑体" w:cs="黑体" w:eastAsia="黑体" w:hint="default"/>
          <w:sz w:val="18"/>
          <w:szCs w:val="18"/>
        </w:rPr>
      </w:pPr>
    </w:p>
    <w:p>
      <w:pPr>
        <w:pStyle w:val="BodyText"/>
        <w:spacing w:line="260" w:lineRule="exact"/>
        <w:ind w:right="299"/>
        <w:jc w:val="both"/>
      </w:pPr>
      <w:r>
        <w:rPr>
          <w:w w:val="95"/>
        </w:rPr>
        <w:t>对单项金额重大的金融资产单独进行减值测试，如有客观证据表明其已发生减值，确认减</w:t>
      </w:r>
      <w:r>
        <w:rPr>
          <w:spacing w:val="87"/>
          <w:w w:val="95"/>
        </w:rPr>
        <w:t> </w:t>
      </w:r>
      <w:r>
        <w:rPr>
          <w:spacing w:val="87"/>
          <w:w w:val="95"/>
        </w:rPr>
      </w:r>
      <w:r>
        <w:rPr>
          <w:w w:val="95"/>
        </w:rPr>
        <w:t>值损失，计入当期损益。对单项金额不重大的金融资产，包括在具有类似信用风险特征的</w:t>
      </w:r>
      <w:r>
        <w:rPr>
          <w:spacing w:val="89"/>
          <w:w w:val="95"/>
        </w:rPr>
        <w:t> </w:t>
      </w:r>
      <w:r>
        <w:rPr>
          <w:spacing w:val="89"/>
          <w:w w:val="95"/>
        </w:rPr>
      </w:r>
      <w:r>
        <w:rPr>
          <w:spacing w:val="-2"/>
        </w:rPr>
        <w:t>金融资产组合中进行减值测试。单独测试未发生减值的金融资产</w:t>
      </w:r>
      <w:r>
        <w:rPr>
          <w:rFonts w:ascii="Arial" w:hAnsi="Arial" w:cs="Arial" w:eastAsia="Arial" w:hint="default"/>
          <w:spacing w:val="-2"/>
        </w:rPr>
        <w:t>(</w:t>
      </w:r>
      <w:r>
        <w:rPr>
          <w:spacing w:val="-2"/>
        </w:rPr>
        <w:t>包括单项金额重大和不重</w:t>
      </w:r>
      <w:r>
        <w:rPr>
          <w:w w:val="99"/>
        </w:rPr>
        <w:t> </w:t>
      </w:r>
      <w:r>
        <w:rPr>
          <w:spacing w:val="-2"/>
        </w:rPr>
        <w:t>大的金融资产</w:t>
      </w:r>
      <w:r>
        <w:rPr>
          <w:rFonts w:ascii="Arial" w:hAnsi="Arial" w:cs="Arial" w:eastAsia="Arial" w:hint="default"/>
          <w:spacing w:val="-2"/>
        </w:rPr>
        <w:t>)</w:t>
      </w:r>
      <w:r>
        <w:rPr>
          <w:spacing w:val="-2"/>
        </w:rPr>
        <w:t>，包括在具有类似信用风险特征的金融资产组合中再进行减值测试。已单项</w:t>
      </w:r>
      <w:r>
        <w:rPr>
          <w:w w:val="99"/>
        </w:rPr>
        <w:t> </w:t>
      </w:r>
      <w:r>
        <w:rPr>
          <w:w w:val="95"/>
        </w:rPr>
        <w:t>确认减值损失的金融资产，不包括在具有类似信用风险特征的金融资产组合中进行减值测  </w:t>
      </w:r>
      <w:r>
        <w:rPr>
          <w:spacing w:val="87"/>
          <w:w w:val="95"/>
        </w:rPr>
        <w:t> </w:t>
      </w:r>
      <w:r>
        <w:rPr>
          <w:spacing w:val="87"/>
          <w:w w:val="95"/>
        </w:rPr>
      </w:r>
      <w:r>
        <w:rPr/>
        <w:t>试。</w:t>
      </w:r>
    </w:p>
    <w:p>
      <w:pPr>
        <w:spacing w:line="240" w:lineRule="auto" w:before="4"/>
        <w:rPr>
          <w:rFonts w:ascii="黑体" w:hAnsi="黑体" w:cs="黑体" w:eastAsia="黑体" w:hint="default"/>
          <w:sz w:val="18"/>
          <w:szCs w:val="18"/>
        </w:rPr>
      </w:pPr>
    </w:p>
    <w:p>
      <w:pPr>
        <w:pStyle w:val="BodyText"/>
        <w:spacing w:line="260" w:lineRule="exact"/>
        <w:ind w:right="299"/>
        <w:jc w:val="both"/>
      </w:pPr>
      <w:r>
        <w:rPr>
          <w:w w:val="95"/>
        </w:rPr>
        <w:t>本集团对以摊余成本计量的金融资产确认减值损失后，如有客观证据表明该金融资产价值</w:t>
      </w:r>
      <w:r>
        <w:rPr>
          <w:spacing w:val="87"/>
          <w:w w:val="95"/>
        </w:rPr>
        <w:t> </w:t>
      </w:r>
      <w:r>
        <w:rPr>
          <w:spacing w:val="87"/>
          <w:w w:val="95"/>
        </w:rPr>
      </w:r>
      <w:r>
        <w:rPr>
          <w:w w:val="95"/>
        </w:rPr>
        <w:t>已恢复，且客观上与确认该损失后发生的事项有关，原确认的减值损失予以转回，计入当</w:t>
      </w:r>
      <w:r>
        <w:rPr>
          <w:spacing w:val="90"/>
          <w:w w:val="95"/>
        </w:rPr>
        <w:t> </w:t>
      </w:r>
      <w:r>
        <w:rPr>
          <w:spacing w:val="90"/>
          <w:w w:val="95"/>
        </w:rPr>
      </w:r>
      <w:r>
        <w:rPr>
          <w:w w:val="95"/>
        </w:rPr>
        <w:t>期损益。但是，该转回后的账面价值不超过假定不计提减值准备情况下该金融资产在转回</w:t>
      </w:r>
      <w:r>
        <w:rPr>
          <w:spacing w:val="87"/>
          <w:w w:val="95"/>
        </w:rPr>
        <w:t> </w:t>
      </w:r>
      <w:r>
        <w:rPr>
          <w:spacing w:val="87"/>
          <w:w w:val="95"/>
        </w:rPr>
      </w:r>
      <w:r>
        <w:rPr/>
        <w:t>日的摊余成本。</w:t>
      </w:r>
    </w:p>
    <w:p>
      <w:pPr>
        <w:spacing w:line="240" w:lineRule="auto" w:before="4"/>
        <w:rPr>
          <w:rFonts w:ascii="黑体" w:hAnsi="黑体" w:cs="黑体" w:eastAsia="黑体" w:hint="default"/>
          <w:sz w:val="18"/>
          <w:szCs w:val="18"/>
        </w:rPr>
      </w:pPr>
    </w:p>
    <w:p>
      <w:pPr>
        <w:pStyle w:val="BodyText"/>
        <w:spacing w:line="260" w:lineRule="exact"/>
        <w:ind w:right="194" w:firstLine="7"/>
        <w:jc w:val="left"/>
      </w:pPr>
      <w:r>
        <w:rPr>
          <w:rFonts w:ascii="黑体" w:hAnsi="黑体" w:cs="黑体" w:eastAsia="黑体" w:hint="default"/>
          <w:i/>
          <w:sz w:val="21"/>
          <w:szCs w:val="21"/>
        </w:rPr>
        <w:t>可供出售金融资产</w:t>
      </w:r>
      <w:r>
        <w:rPr>
          <w:rFonts w:ascii="黑体" w:hAnsi="黑体" w:cs="黑体" w:eastAsia="黑体" w:hint="default"/>
          <w:i/>
          <w:w w:val="94"/>
          <w:sz w:val="21"/>
          <w:szCs w:val="21"/>
        </w:rPr>
        <w:t> </w:t>
      </w:r>
      <w:r>
        <w:rPr/>
        <w:t>如果有客观证据表明该金融资产发生减值，原计入其他综合收益的因公允价值下降形成的</w:t>
      </w:r>
      <w:r>
        <w:rPr>
          <w:w w:val="99"/>
        </w:rPr>
        <w:t> </w:t>
      </w:r>
      <w:r>
        <w:rPr/>
        <w:t>累计损失，予以转出，计入当期损益。该转出的累计损失，为可供出售金融资产的初始取</w:t>
      </w:r>
      <w:r>
        <w:rPr>
          <w:w w:val="99"/>
        </w:rPr>
        <w:t> </w:t>
      </w:r>
      <w:r>
        <w:rPr>
          <w:w w:val="95"/>
        </w:rPr>
        <w:t>得成本扣除已收回本金和已摊销金额、当前公允价值和原已计入损益的减值损失后的余额。</w:t>
      </w:r>
      <w:r>
        <w:rPr/>
      </w:r>
    </w:p>
    <w:p>
      <w:pPr>
        <w:spacing w:after="0" w:line="260" w:lineRule="exact"/>
        <w:jc w:val="left"/>
        <w:sectPr>
          <w:pgSz w:w="11910" w:h="16850"/>
          <w:pgMar w:header="957" w:footer="833" w:top="2620" w:bottom="1020" w:left="1600" w:right="1400"/>
        </w:sectPr>
      </w:pPr>
    </w:p>
    <w:p>
      <w:pPr>
        <w:spacing w:line="240" w:lineRule="auto" w:before="7"/>
        <w:rPr>
          <w:rFonts w:ascii="黑体" w:hAnsi="黑体" w:cs="黑体" w:eastAsia="黑体" w:hint="default"/>
          <w:sz w:val="17"/>
          <w:szCs w:val="17"/>
        </w:rPr>
      </w:pPr>
    </w:p>
    <w:p>
      <w:pPr>
        <w:pStyle w:val="Heading6"/>
        <w:tabs>
          <w:tab w:pos="809" w:val="left" w:leader="none"/>
        </w:tabs>
        <w:spacing w:line="240" w:lineRule="auto"/>
        <w:ind w:right="85"/>
        <w:jc w:val="left"/>
        <w:rPr>
          <w:b w:val="0"/>
          <w:bCs w:val="0"/>
        </w:rPr>
      </w:pPr>
      <w:r>
        <w:rPr>
          <w:w w:val="95"/>
        </w:rPr>
        <w:t>二、</w:t>
        <w:tab/>
      </w:r>
      <w:bookmarkStart w:name="二、 重要会计政策、会计估计和前期差错（续）" w:id="33"/>
      <w:bookmarkEnd w:id="33"/>
      <w:r>
        <w:rPr/>
        <w:t>重要会</w:t>
      </w:r>
      <w:r>
        <w:rPr/>
        <w:t>计政策、会计估计和前期差错（续）</w:t>
      </w:r>
      <w:r>
        <w:rPr>
          <w:b w:val="0"/>
          <w:bCs w:val="0"/>
        </w:rPr>
      </w:r>
    </w:p>
    <w:p>
      <w:pPr>
        <w:spacing w:line="240" w:lineRule="auto" w:before="9"/>
        <w:rPr>
          <w:rFonts w:ascii="黑体" w:hAnsi="黑体" w:cs="黑体" w:eastAsia="黑体" w:hint="default"/>
          <w:b/>
          <w:bCs/>
          <w:sz w:val="25"/>
          <w:szCs w:val="25"/>
        </w:rPr>
      </w:pPr>
    </w:p>
    <w:p>
      <w:pPr>
        <w:tabs>
          <w:tab w:pos="821" w:val="left" w:leader="none"/>
        </w:tabs>
        <w:spacing w:line="520" w:lineRule="auto" w:before="0"/>
        <w:ind w:left="809" w:right="6197" w:hanging="708"/>
        <w:jc w:val="left"/>
        <w:rPr>
          <w:rFonts w:ascii="黑体" w:hAnsi="黑体" w:cs="黑体" w:eastAsia="黑体" w:hint="default"/>
          <w:sz w:val="20"/>
          <w:szCs w:val="20"/>
        </w:rPr>
      </w:pPr>
      <w:r>
        <w:rPr>
          <w:rFonts w:ascii="Arial" w:hAnsi="Arial" w:cs="Arial" w:eastAsia="Arial" w:hint="default"/>
          <w:b/>
          <w:bCs/>
          <w:spacing w:val="-1"/>
          <w:sz w:val="20"/>
          <w:szCs w:val="20"/>
        </w:rPr>
        <w:t>9.</w:t>
        <w:tab/>
        <w:tab/>
      </w:r>
      <w:r>
        <w:rPr>
          <w:rFonts w:ascii="黑体" w:hAnsi="黑体" w:cs="黑体" w:eastAsia="黑体" w:hint="default"/>
          <w:b/>
          <w:bCs/>
          <w:spacing w:val="1"/>
          <w:sz w:val="20"/>
          <w:szCs w:val="20"/>
        </w:rPr>
        <w:t>金融工具</w:t>
      </w:r>
      <w:bookmarkStart w:name="9. 金融工具（续）" w:id="34"/>
      <w:bookmarkEnd w:id="34"/>
      <w:r>
        <w:rPr>
          <w:rFonts w:ascii="黑体" w:hAnsi="黑体" w:cs="黑体" w:eastAsia="黑体" w:hint="default"/>
          <w:b/>
          <w:bCs/>
          <w:spacing w:val="1"/>
          <w:sz w:val="20"/>
          <w:szCs w:val="20"/>
        </w:rPr>
        <w:t>（续）</w:t>
      </w:r>
      <w:r>
        <w:rPr>
          <w:rFonts w:ascii="黑体" w:hAnsi="黑体" w:cs="黑体" w:eastAsia="黑体" w:hint="default"/>
          <w:b/>
          <w:bCs/>
          <w:spacing w:val="2"/>
          <w:w w:val="99"/>
          <w:sz w:val="20"/>
          <w:szCs w:val="20"/>
        </w:rPr>
        <w:t> </w:t>
      </w:r>
      <w:r>
        <w:rPr>
          <w:rFonts w:ascii="黑体" w:hAnsi="黑体" w:cs="黑体" w:eastAsia="黑体" w:hint="default"/>
          <w:spacing w:val="2"/>
          <w:w w:val="99"/>
          <w:sz w:val="20"/>
          <w:szCs w:val="20"/>
        </w:rPr>
      </w:r>
      <w:r>
        <w:rPr>
          <w:rFonts w:ascii="黑体" w:hAnsi="黑体" w:cs="黑体" w:eastAsia="黑体" w:hint="default"/>
          <w:sz w:val="20"/>
          <w:szCs w:val="20"/>
          <w:u w:val="single" w:color="000000"/>
        </w:rPr>
        <w:t>金融资产减值</w:t>
      </w:r>
      <w:r>
        <w:rPr>
          <w:rFonts w:ascii="黑体" w:hAnsi="黑体" w:cs="黑体" w:eastAsia="黑体" w:hint="default"/>
          <w:sz w:val="20"/>
          <w:szCs w:val="20"/>
        </w:rPr>
        <w:t>（续）</w:t>
      </w:r>
    </w:p>
    <w:p>
      <w:pPr>
        <w:pStyle w:val="BodyText"/>
        <w:spacing w:line="276" w:lineRule="auto" w:before="104"/>
        <w:ind w:left="809" w:right="85" w:firstLine="4"/>
        <w:jc w:val="left"/>
      </w:pPr>
      <w:r>
        <w:rPr/>
        <w:t>对于已确认减值损失的可供出售债务工具，在随后的会计期间公允价值已上升且客观上与</w:t>
      </w:r>
      <w:r>
        <w:rPr>
          <w:w w:val="99"/>
        </w:rPr>
        <w:t> </w:t>
      </w:r>
      <w:r>
        <w:rPr>
          <w:spacing w:val="2"/>
        </w:rPr>
        <w:t>确认原减值损失确认后发生的事项有关的，原确认的减值损失予以转回，计入当期损益。</w:t>
      </w:r>
      <w:r>
        <w:rPr/>
      </w:r>
    </w:p>
    <w:p>
      <w:pPr>
        <w:spacing w:line="240" w:lineRule="auto" w:before="9"/>
        <w:rPr>
          <w:rFonts w:ascii="黑体" w:hAnsi="黑体" w:cs="黑体" w:eastAsia="黑体" w:hint="default"/>
          <w:sz w:val="22"/>
          <w:szCs w:val="22"/>
        </w:rPr>
      </w:pPr>
    </w:p>
    <w:p>
      <w:pPr>
        <w:pStyle w:val="BodyText"/>
        <w:spacing w:line="273" w:lineRule="auto"/>
        <w:ind w:right="85" w:hanging="5"/>
        <w:jc w:val="left"/>
      </w:pPr>
      <w:r>
        <w:rPr>
          <w:rFonts w:ascii="黑体" w:hAnsi="黑体" w:cs="黑体" w:eastAsia="黑体" w:hint="default"/>
          <w:i/>
          <w:sz w:val="21"/>
          <w:szCs w:val="21"/>
        </w:rPr>
        <w:t>以成本计量的金融资产</w:t>
      </w:r>
      <w:r>
        <w:rPr>
          <w:rFonts w:ascii="黑体" w:hAnsi="黑体" w:cs="黑体" w:eastAsia="黑体" w:hint="default"/>
          <w:i/>
          <w:w w:val="94"/>
          <w:sz w:val="21"/>
          <w:szCs w:val="21"/>
        </w:rPr>
        <w:t> </w:t>
      </w:r>
      <w:r>
        <w:rPr>
          <w:w w:val="95"/>
        </w:rPr>
        <w:t>如果有客观证据表明该金融资产发生减值，将该金融资产的账面价值，与按照类似金融资</w:t>
      </w:r>
      <w:r>
        <w:rPr>
          <w:spacing w:val="82"/>
          <w:w w:val="95"/>
        </w:rPr>
        <w:t> </w:t>
      </w:r>
      <w:r>
        <w:rPr>
          <w:spacing w:val="82"/>
          <w:w w:val="95"/>
        </w:rPr>
      </w:r>
      <w:r>
        <w:rPr>
          <w:w w:val="95"/>
        </w:rPr>
        <w:t>产当时市场收益率对未来现金流量折现确定的现值之间的差额，确认为减值损失，计入当</w:t>
      </w:r>
      <w:r>
        <w:rPr>
          <w:spacing w:val="82"/>
          <w:w w:val="95"/>
        </w:rPr>
        <w:t> </w:t>
      </w:r>
      <w:r>
        <w:rPr>
          <w:spacing w:val="82"/>
          <w:w w:val="95"/>
        </w:rPr>
      </w:r>
      <w:r>
        <w:rPr/>
        <w:t>期损益。发生的减值损失一经确认，不再转回。</w:t>
      </w:r>
    </w:p>
    <w:p>
      <w:pPr>
        <w:spacing w:line="240" w:lineRule="auto" w:before="9"/>
        <w:rPr>
          <w:rFonts w:ascii="黑体" w:hAnsi="黑体" w:cs="黑体" w:eastAsia="黑体" w:hint="default"/>
          <w:sz w:val="23"/>
          <w:szCs w:val="23"/>
        </w:rPr>
      </w:pPr>
    </w:p>
    <w:p>
      <w:pPr>
        <w:pStyle w:val="BodyText"/>
        <w:spacing w:line="261" w:lineRule="auto"/>
        <w:ind w:right="183"/>
        <w:jc w:val="left"/>
      </w:pPr>
      <w:r>
        <w:rPr>
          <w:spacing w:val="2"/>
        </w:rPr>
        <w:t>按照《企业会计准则第</w:t>
      </w:r>
      <w:r>
        <w:rPr>
          <w:rFonts w:ascii="Arial" w:hAnsi="Arial" w:cs="Arial" w:eastAsia="Arial" w:hint="default"/>
          <w:spacing w:val="2"/>
        </w:rPr>
        <w:t>2</w:t>
      </w:r>
      <w:r>
        <w:rPr>
          <w:spacing w:val="2"/>
        </w:rPr>
        <w:t>号</w:t>
      </w:r>
      <w:r>
        <w:rPr>
          <w:rFonts w:ascii="Arial" w:hAnsi="Arial" w:cs="Arial" w:eastAsia="Arial" w:hint="default"/>
          <w:spacing w:val="2"/>
        </w:rPr>
        <w:t>——</w:t>
      </w:r>
      <w:r>
        <w:rPr>
          <w:spacing w:val="2"/>
        </w:rPr>
        <w:t>长期股权投资》规定的成本法核算的、在活跃市场中没有</w:t>
      </w:r>
      <w:r>
        <w:rPr>
          <w:spacing w:val="2"/>
          <w:w w:val="99"/>
        </w:rPr>
        <w:t> </w:t>
      </w:r>
      <w:r>
        <w:rPr/>
        <w:t>报价、公允价值不能可靠计量的长期股权投资，其减值也按照上述原则处理。</w:t>
      </w:r>
    </w:p>
    <w:p>
      <w:pPr>
        <w:spacing w:line="240" w:lineRule="auto" w:before="6"/>
        <w:rPr>
          <w:rFonts w:ascii="黑体" w:hAnsi="黑体" w:cs="黑体" w:eastAsia="黑体" w:hint="default"/>
          <w:sz w:val="24"/>
          <w:szCs w:val="24"/>
        </w:rPr>
      </w:pPr>
    </w:p>
    <w:p>
      <w:pPr>
        <w:pStyle w:val="BodyText"/>
        <w:spacing w:line="240" w:lineRule="auto"/>
        <w:ind w:left="821" w:right="85"/>
        <w:jc w:val="left"/>
      </w:pPr>
      <w:r>
        <w:rPr>
          <w:w w:val="99"/>
        </w:rPr>
      </w:r>
      <w:r>
        <w:rPr>
          <w:u w:val="single" w:color="000000"/>
        </w:rPr>
        <w:t>金融资产转移</w:t>
      </w:r>
      <w:r>
        <w:rPr/>
      </w:r>
    </w:p>
    <w:p>
      <w:pPr>
        <w:spacing w:line="240" w:lineRule="auto" w:before="13"/>
        <w:rPr>
          <w:rFonts w:ascii="黑体" w:hAnsi="黑体" w:cs="黑体" w:eastAsia="黑体" w:hint="default"/>
          <w:sz w:val="22"/>
          <w:szCs w:val="22"/>
        </w:rPr>
      </w:pPr>
    </w:p>
    <w:p>
      <w:pPr>
        <w:pStyle w:val="BodyText"/>
        <w:spacing w:line="276" w:lineRule="auto" w:before="37"/>
        <w:ind w:right="202"/>
        <w:jc w:val="both"/>
      </w:pPr>
      <w:r>
        <w:rPr>
          <w:w w:val="95"/>
        </w:rPr>
        <w:t>本集团已将金融资产所有权上几乎所有的风险和报酬转移给转入方的，终止确认该金融资</w:t>
      </w:r>
      <w:r>
        <w:rPr>
          <w:spacing w:val="87"/>
          <w:w w:val="95"/>
        </w:rPr>
        <w:t> </w:t>
      </w:r>
      <w:r>
        <w:rPr>
          <w:spacing w:val="87"/>
          <w:w w:val="95"/>
        </w:rPr>
      </w:r>
      <w:r>
        <w:rPr/>
        <w:t>产；保留了金融资产所有权上几乎所有的风险和报酬的，不终止确认该金融资产。</w:t>
      </w:r>
    </w:p>
    <w:p>
      <w:pPr>
        <w:spacing w:line="240" w:lineRule="auto" w:before="7"/>
        <w:rPr>
          <w:rFonts w:ascii="黑体" w:hAnsi="黑体" w:cs="黑体" w:eastAsia="黑体" w:hint="default"/>
          <w:sz w:val="23"/>
          <w:szCs w:val="23"/>
        </w:rPr>
      </w:pPr>
    </w:p>
    <w:p>
      <w:pPr>
        <w:pStyle w:val="BodyText"/>
        <w:spacing w:line="276" w:lineRule="auto"/>
        <w:ind w:right="199"/>
        <w:jc w:val="both"/>
      </w:pPr>
      <w:r>
        <w:rPr>
          <w:w w:val="95"/>
        </w:rPr>
        <w:t>本集团既没有转移也没有保留金融资产所有权上几乎所有的风险和报酬的，分别下列情况</w:t>
      </w:r>
      <w:r>
        <w:rPr>
          <w:spacing w:val="87"/>
          <w:w w:val="95"/>
        </w:rPr>
        <w:t> </w:t>
      </w:r>
      <w:r>
        <w:rPr>
          <w:spacing w:val="87"/>
          <w:w w:val="95"/>
        </w:rPr>
      </w:r>
      <w:r>
        <w:rPr>
          <w:w w:val="95"/>
        </w:rPr>
        <w:t>处理：放弃了对该金融资产控制的，终止确认该金融资产并确认产生的资产和负债；未放</w:t>
      </w:r>
      <w:r>
        <w:rPr>
          <w:spacing w:val="88"/>
          <w:w w:val="95"/>
        </w:rPr>
        <w:t> </w:t>
      </w:r>
      <w:r>
        <w:rPr>
          <w:spacing w:val="88"/>
          <w:w w:val="95"/>
        </w:rPr>
      </w:r>
      <w:r>
        <w:rPr>
          <w:w w:val="95"/>
        </w:rPr>
        <w:t>弃对该金融资产控制的，按照其继续涉入所转移金融资产的程度确认有关金融资产，并相</w:t>
      </w:r>
      <w:r>
        <w:rPr>
          <w:spacing w:val="87"/>
          <w:w w:val="95"/>
        </w:rPr>
        <w:t> </w:t>
      </w:r>
      <w:r>
        <w:rPr>
          <w:spacing w:val="87"/>
          <w:w w:val="95"/>
        </w:rPr>
      </w:r>
      <w:r>
        <w:rPr/>
        <w:t>应确认有关负债。</w:t>
      </w:r>
    </w:p>
    <w:p>
      <w:pPr>
        <w:spacing w:after="0" w:line="276" w:lineRule="auto"/>
        <w:jc w:val="both"/>
        <w:sectPr>
          <w:pgSz w:w="11910" w:h="16850"/>
          <w:pgMar w:header="957" w:footer="833" w:top="2620" w:bottom="1020" w:left="1600" w:right="1500"/>
        </w:sectPr>
      </w:pPr>
    </w:p>
    <w:p>
      <w:pPr>
        <w:spacing w:line="240" w:lineRule="auto" w:before="7"/>
        <w:rPr>
          <w:rFonts w:ascii="黑体" w:hAnsi="黑体" w:cs="黑体" w:eastAsia="黑体" w:hint="default"/>
          <w:sz w:val="17"/>
          <w:szCs w:val="17"/>
        </w:rPr>
      </w:pPr>
    </w:p>
    <w:p>
      <w:pPr>
        <w:pStyle w:val="Heading6"/>
        <w:tabs>
          <w:tab w:pos="804" w:val="left" w:leader="none"/>
        </w:tabs>
        <w:spacing w:line="240" w:lineRule="auto"/>
        <w:ind w:right="3627"/>
        <w:jc w:val="left"/>
        <w:rPr>
          <w:b w:val="0"/>
          <w:bCs w:val="0"/>
        </w:rPr>
      </w:pPr>
      <w:bookmarkStart w:name="11. 存货" w:id="35"/>
      <w:bookmarkEnd w:id="35"/>
      <w:r>
        <w:rPr>
          <w:b w:val="0"/>
          <w:bCs w:val="0"/>
        </w:rPr>
      </w:r>
      <w:r>
        <w:rPr>
          <w:w w:val="95"/>
        </w:rPr>
        <w:t>二、</w:t>
        <w:tab/>
      </w:r>
      <w:bookmarkStart w:name="二、   重要会计政策、会计估计和前期差错（续）" w:id="36"/>
      <w:bookmarkEnd w:id="36"/>
      <w:r>
        <w:rPr/>
        <w:t>重要</w:t>
      </w:r>
      <w:r>
        <w:rPr/>
        <w:t>会计政策、会计估计和前期差错（续）</w:t>
      </w:r>
      <w:r>
        <w:rPr>
          <w:b w:val="0"/>
          <w:bCs w:val="0"/>
        </w:rPr>
      </w:r>
    </w:p>
    <w:p>
      <w:pPr>
        <w:spacing w:line="240" w:lineRule="auto" w:before="9"/>
        <w:rPr>
          <w:rFonts w:ascii="黑体" w:hAnsi="黑体" w:cs="黑体" w:eastAsia="黑体" w:hint="default"/>
          <w:b/>
          <w:bCs/>
          <w:sz w:val="25"/>
          <w:szCs w:val="25"/>
        </w:rPr>
      </w:pPr>
    </w:p>
    <w:p>
      <w:pPr>
        <w:pStyle w:val="Heading6"/>
        <w:tabs>
          <w:tab w:pos="809" w:val="left" w:leader="none"/>
        </w:tabs>
        <w:spacing w:line="240" w:lineRule="auto" w:before="0"/>
        <w:ind w:right="3627"/>
        <w:jc w:val="left"/>
        <w:rPr>
          <w:b w:val="0"/>
          <w:bCs w:val="0"/>
        </w:rPr>
      </w:pPr>
      <w:r>
        <w:rPr>
          <w:rFonts w:ascii="Arial" w:hAnsi="Arial" w:cs="Arial" w:eastAsia="Arial" w:hint="default"/>
          <w:spacing w:val="-1"/>
          <w:w w:val="95"/>
        </w:rPr>
        <w:t>10.</w:t>
        <w:tab/>
      </w:r>
      <w:r>
        <w:rPr>
          <w:spacing w:val="2"/>
        </w:rPr>
        <w:t>应收款项</w:t>
      </w:r>
      <w:r>
        <w:rPr>
          <w:b w:val="0"/>
          <w:bCs w:val="0"/>
        </w:rPr>
      </w:r>
    </w:p>
    <w:p>
      <w:pPr>
        <w:spacing w:line="240" w:lineRule="auto" w:before="10"/>
        <w:rPr>
          <w:rFonts w:ascii="黑体" w:hAnsi="黑体" w:cs="黑体" w:eastAsia="黑体" w:hint="default"/>
          <w:b/>
          <w:bCs/>
          <w:sz w:val="24"/>
          <w:szCs w:val="24"/>
        </w:rPr>
      </w:pPr>
    </w:p>
    <w:p>
      <w:pPr>
        <w:pStyle w:val="BodyText"/>
        <w:spacing w:line="240" w:lineRule="auto"/>
        <w:ind w:left="821" w:right="3627"/>
        <w:jc w:val="left"/>
      </w:pPr>
      <w:r>
        <w:rPr/>
        <w:t>(1)</w:t>
      </w:r>
      <w:r>
        <w:rPr>
          <w:spacing w:val="-46"/>
        </w:rPr>
        <w:t> </w:t>
      </w:r>
      <w:bookmarkStart w:name="10. 应收款项" w:id="37"/>
      <w:bookmarkEnd w:id="37"/>
      <w:r>
        <w:rPr/>
        <w:t>单项金</w:t>
      </w:r>
      <w:r>
        <w:rPr/>
        <w:t>额重大并单项计提坏账准备的应收款项</w:t>
      </w:r>
    </w:p>
    <w:p>
      <w:pPr>
        <w:spacing w:line="240" w:lineRule="auto" w:before="11"/>
        <w:rPr>
          <w:rFonts w:ascii="黑体" w:hAnsi="黑体" w:cs="黑体" w:eastAsia="黑体" w:hint="default"/>
          <w:sz w:val="25"/>
          <w:szCs w:val="25"/>
        </w:rPr>
      </w:pPr>
    </w:p>
    <w:p>
      <w:pPr>
        <w:pStyle w:val="BodyText"/>
        <w:spacing w:line="276" w:lineRule="auto"/>
        <w:ind w:right="194"/>
        <w:jc w:val="left"/>
      </w:pPr>
      <w:r>
        <w:rPr>
          <w:w w:val="95"/>
        </w:rPr>
        <w:t>对单项金额重大的应收款项，本集团按单项进行减值测试，根据应收款项的可收回程度作</w:t>
      </w:r>
      <w:r>
        <w:rPr>
          <w:spacing w:val="87"/>
          <w:w w:val="95"/>
        </w:rPr>
        <w:t> </w:t>
      </w:r>
      <w:r>
        <w:rPr>
          <w:spacing w:val="87"/>
          <w:w w:val="95"/>
        </w:rPr>
      </w:r>
      <w:r>
        <w:rPr/>
        <w:t>出判断并计提相应的坏账准备。</w:t>
      </w:r>
    </w:p>
    <w:p>
      <w:pPr>
        <w:spacing w:line="240" w:lineRule="auto" w:before="7"/>
        <w:rPr>
          <w:rFonts w:ascii="黑体" w:hAnsi="黑体" w:cs="黑体" w:eastAsia="黑体" w:hint="default"/>
          <w:sz w:val="23"/>
          <w:szCs w:val="23"/>
        </w:rPr>
      </w:pPr>
    </w:p>
    <w:p>
      <w:pPr>
        <w:pStyle w:val="BodyText"/>
        <w:spacing w:line="240" w:lineRule="auto"/>
        <w:ind w:left="821" w:right="3627"/>
        <w:jc w:val="left"/>
      </w:pPr>
      <w:r>
        <w:rPr/>
        <w:t>(2)</w:t>
      </w:r>
      <w:r>
        <w:rPr>
          <w:spacing w:val="-45"/>
        </w:rPr>
        <w:t> </w:t>
      </w:r>
      <w:r>
        <w:rPr/>
        <w:t>按组合计提坏账准备的应收款项</w:t>
      </w:r>
    </w:p>
    <w:p>
      <w:pPr>
        <w:spacing w:line="240" w:lineRule="auto" w:before="11"/>
        <w:rPr>
          <w:rFonts w:ascii="黑体" w:hAnsi="黑体" w:cs="黑体" w:eastAsia="黑体" w:hint="default"/>
          <w:sz w:val="25"/>
          <w:szCs w:val="25"/>
        </w:rPr>
      </w:pPr>
    </w:p>
    <w:p>
      <w:pPr>
        <w:pStyle w:val="BodyText"/>
        <w:spacing w:line="276" w:lineRule="auto"/>
        <w:ind w:left="813" w:right="194"/>
        <w:jc w:val="left"/>
      </w:pPr>
      <w:r>
        <w:rPr>
          <w:w w:val="95"/>
        </w:rPr>
        <w:t>本集团以账龄作为信用风险特征确定应收款项组合，并采用账龄分析法对应收账款和其他</w:t>
      </w:r>
      <w:r>
        <w:rPr>
          <w:spacing w:val="87"/>
          <w:w w:val="95"/>
        </w:rPr>
        <w:t> </w:t>
      </w:r>
      <w:r>
        <w:rPr>
          <w:spacing w:val="87"/>
          <w:w w:val="95"/>
        </w:rPr>
      </w:r>
      <w:r>
        <w:rPr/>
        <w:t>应收款计提坏账准备比例如下：</w:t>
      </w:r>
    </w:p>
    <w:p>
      <w:pPr>
        <w:spacing w:line="240" w:lineRule="auto" w:before="1"/>
        <w:rPr>
          <w:rFonts w:ascii="黑体" w:hAnsi="黑体" w:cs="黑体" w:eastAsia="黑体" w:hint="default"/>
          <w:sz w:val="27"/>
          <w:szCs w:val="27"/>
        </w:rPr>
      </w:pPr>
    </w:p>
    <w:tbl>
      <w:tblPr>
        <w:tblW w:w="0" w:type="auto"/>
        <w:jc w:val="left"/>
        <w:tblInd w:w="609" w:type="dxa"/>
        <w:tblLayout w:type="fixed"/>
        <w:tblCellMar>
          <w:top w:w="0" w:type="dxa"/>
          <w:left w:w="0" w:type="dxa"/>
          <w:bottom w:w="0" w:type="dxa"/>
          <w:right w:w="0" w:type="dxa"/>
        </w:tblCellMar>
        <w:tblLook w:val="01E0"/>
      </w:tblPr>
      <w:tblGrid>
        <w:gridCol w:w="3394"/>
        <w:gridCol w:w="3130"/>
        <w:gridCol w:w="1671"/>
      </w:tblGrid>
      <w:tr>
        <w:trPr>
          <w:trHeight w:val="229" w:hRule="exact"/>
        </w:trPr>
        <w:tc>
          <w:tcPr>
            <w:tcW w:w="3394" w:type="dxa"/>
            <w:tcBorders>
              <w:top w:val="nil" w:sz="6" w:space="0" w:color="auto"/>
              <w:left w:val="nil" w:sz="6" w:space="0" w:color="auto"/>
              <w:bottom w:val="nil" w:sz="6" w:space="0" w:color="auto"/>
              <w:right w:val="nil" w:sz="6" w:space="0" w:color="auto"/>
            </w:tcBorders>
          </w:tcPr>
          <w:p>
            <w:pPr/>
          </w:p>
        </w:tc>
        <w:tc>
          <w:tcPr>
            <w:tcW w:w="3130" w:type="dxa"/>
            <w:tcBorders>
              <w:top w:val="nil" w:sz="6" w:space="0" w:color="auto"/>
              <w:left w:val="nil" w:sz="6" w:space="0" w:color="auto"/>
              <w:bottom w:val="nil" w:sz="6" w:space="0" w:color="auto"/>
              <w:right w:val="nil" w:sz="6" w:space="0" w:color="auto"/>
            </w:tcBorders>
          </w:tcPr>
          <w:p>
            <w:pPr>
              <w:pStyle w:val="TableParagraph"/>
              <w:spacing w:line="199" w:lineRule="exact"/>
              <w:ind w:right="372"/>
              <w:jc w:val="right"/>
              <w:rPr>
                <w:rFonts w:ascii="黑体" w:hAnsi="黑体" w:cs="黑体" w:eastAsia="黑体" w:hint="default"/>
                <w:sz w:val="20"/>
                <w:szCs w:val="20"/>
              </w:rPr>
            </w:pPr>
            <w:r>
              <w:rPr>
                <w:rFonts w:ascii="黑体" w:hAnsi="黑体" w:cs="黑体" w:eastAsia="黑体" w:hint="default"/>
                <w:w w:val="95"/>
                <w:sz w:val="20"/>
                <w:szCs w:val="20"/>
              </w:rPr>
              <w:t>应收账款</w:t>
            </w:r>
            <w:r>
              <w:rPr>
                <w:rFonts w:ascii="黑体" w:hAnsi="黑体" w:cs="黑体" w:eastAsia="黑体" w:hint="default"/>
                <w:sz w:val="20"/>
                <w:szCs w:val="20"/>
              </w:rPr>
            </w:r>
          </w:p>
        </w:tc>
        <w:tc>
          <w:tcPr>
            <w:tcW w:w="1671" w:type="dxa"/>
            <w:tcBorders>
              <w:top w:val="nil" w:sz="6" w:space="0" w:color="auto"/>
              <w:left w:val="nil" w:sz="6" w:space="0" w:color="auto"/>
              <w:bottom w:val="nil" w:sz="6" w:space="0" w:color="auto"/>
              <w:right w:val="nil" w:sz="6" w:space="0" w:color="auto"/>
            </w:tcBorders>
          </w:tcPr>
          <w:p>
            <w:pPr>
              <w:pStyle w:val="TableParagraph"/>
              <w:spacing w:line="199" w:lineRule="exact"/>
              <w:ind w:right="200"/>
              <w:jc w:val="right"/>
              <w:rPr>
                <w:rFonts w:ascii="黑体" w:hAnsi="黑体" w:cs="黑体" w:eastAsia="黑体" w:hint="default"/>
                <w:sz w:val="20"/>
                <w:szCs w:val="20"/>
              </w:rPr>
            </w:pPr>
            <w:r>
              <w:rPr>
                <w:rFonts w:ascii="黑体" w:hAnsi="黑体" w:cs="黑体" w:eastAsia="黑体" w:hint="default"/>
                <w:w w:val="95"/>
                <w:sz w:val="20"/>
                <w:szCs w:val="20"/>
              </w:rPr>
              <w:t>其他应收款</w:t>
            </w:r>
            <w:r>
              <w:rPr>
                <w:rFonts w:ascii="黑体" w:hAnsi="黑体" w:cs="黑体" w:eastAsia="黑体" w:hint="default"/>
                <w:sz w:val="20"/>
                <w:szCs w:val="20"/>
              </w:rPr>
            </w:r>
          </w:p>
        </w:tc>
      </w:tr>
      <w:tr>
        <w:trPr>
          <w:trHeight w:val="386" w:hRule="exact"/>
        </w:trPr>
        <w:tc>
          <w:tcPr>
            <w:tcW w:w="3394" w:type="dxa"/>
            <w:tcBorders>
              <w:top w:val="nil" w:sz="6" w:space="0" w:color="auto"/>
              <w:left w:val="nil" w:sz="6" w:space="0" w:color="auto"/>
              <w:bottom w:val="nil" w:sz="6" w:space="0" w:color="auto"/>
              <w:right w:val="nil" w:sz="6" w:space="0" w:color="auto"/>
            </w:tcBorders>
          </w:tcPr>
          <w:p>
            <w:pPr/>
          </w:p>
        </w:tc>
        <w:tc>
          <w:tcPr>
            <w:tcW w:w="3130" w:type="dxa"/>
            <w:tcBorders>
              <w:top w:val="nil" w:sz="6" w:space="0" w:color="auto"/>
              <w:left w:val="nil" w:sz="6" w:space="0" w:color="auto"/>
              <w:bottom w:val="nil" w:sz="6" w:space="0" w:color="auto"/>
              <w:right w:val="nil" w:sz="6" w:space="0" w:color="auto"/>
            </w:tcBorders>
          </w:tcPr>
          <w:p>
            <w:pPr>
              <w:pStyle w:val="TableParagraph"/>
              <w:spacing w:line="229" w:lineRule="exact"/>
              <w:ind w:right="370"/>
              <w:jc w:val="right"/>
              <w:rPr>
                <w:rFonts w:ascii="黑体" w:hAnsi="黑体" w:cs="黑体" w:eastAsia="黑体" w:hint="default"/>
                <w:sz w:val="20"/>
                <w:szCs w:val="20"/>
              </w:rPr>
            </w:pPr>
            <w:r>
              <w:rPr>
                <w:rFonts w:ascii="黑体" w:hAnsi="黑体" w:cs="黑体" w:eastAsia="黑体" w:hint="default"/>
                <w:w w:val="95"/>
                <w:sz w:val="20"/>
                <w:szCs w:val="20"/>
              </w:rPr>
              <w:t>计提比例(%)</w:t>
            </w:r>
            <w:r>
              <w:rPr>
                <w:rFonts w:ascii="黑体" w:hAnsi="黑体" w:cs="黑体" w:eastAsia="黑体" w:hint="default"/>
                <w:sz w:val="20"/>
                <w:szCs w:val="20"/>
              </w:rPr>
            </w:r>
          </w:p>
        </w:tc>
        <w:tc>
          <w:tcPr>
            <w:tcW w:w="1671" w:type="dxa"/>
            <w:tcBorders>
              <w:top w:val="nil" w:sz="6" w:space="0" w:color="auto"/>
              <w:left w:val="nil" w:sz="6" w:space="0" w:color="auto"/>
              <w:bottom w:val="nil" w:sz="6" w:space="0" w:color="auto"/>
              <w:right w:val="nil" w:sz="6" w:space="0" w:color="auto"/>
            </w:tcBorders>
          </w:tcPr>
          <w:p>
            <w:pPr>
              <w:pStyle w:val="TableParagraph"/>
              <w:spacing w:line="229" w:lineRule="exact"/>
              <w:ind w:right="198"/>
              <w:jc w:val="right"/>
              <w:rPr>
                <w:rFonts w:ascii="黑体" w:hAnsi="黑体" w:cs="黑体" w:eastAsia="黑体" w:hint="default"/>
                <w:sz w:val="20"/>
                <w:szCs w:val="20"/>
              </w:rPr>
            </w:pPr>
            <w:r>
              <w:rPr>
                <w:rFonts w:ascii="黑体" w:hAnsi="黑体" w:cs="黑体" w:eastAsia="黑体" w:hint="default"/>
                <w:w w:val="95"/>
                <w:sz w:val="20"/>
                <w:szCs w:val="20"/>
              </w:rPr>
              <w:t>计提比例(%)</w:t>
            </w:r>
            <w:r>
              <w:rPr>
                <w:rFonts w:ascii="黑体" w:hAnsi="黑体" w:cs="黑体" w:eastAsia="黑体" w:hint="default"/>
                <w:sz w:val="20"/>
                <w:szCs w:val="20"/>
              </w:rPr>
            </w:r>
          </w:p>
        </w:tc>
      </w:tr>
      <w:tr>
        <w:trPr>
          <w:trHeight w:val="386" w:hRule="exact"/>
        </w:trPr>
        <w:tc>
          <w:tcPr>
            <w:tcW w:w="339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0" w:right="0"/>
              <w:jc w:val="left"/>
              <w:rPr>
                <w:rFonts w:ascii="黑体" w:hAnsi="黑体" w:cs="黑体" w:eastAsia="黑体" w:hint="default"/>
                <w:sz w:val="20"/>
                <w:szCs w:val="20"/>
              </w:rPr>
            </w:pPr>
            <w:r>
              <w:rPr>
                <w:rFonts w:ascii="黑体" w:hAnsi="黑体" w:cs="黑体" w:eastAsia="黑体" w:hint="default"/>
                <w:sz w:val="20"/>
                <w:szCs w:val="20"/>
              </w:rPr>
              <w:t>1</w:t>
            </w:r>
            <w:r>
              <w:rPr>
                <w:rFonts w:ascii="黑体" w:hAnsi="黑体" w:cs="黑体" w:eastAsia="黑体" w:hint="default"/>
                <w:spacing w:val="-52"/>
                <w:sz w:val="20"/>
                <w:szCs w:val="20"/>
              </w:rPr>
              <w:t> </w:t>
            </w:r>
            <w:r>
              <w:rPr>
                <w:rFonts w:ascii="黑体" w:hAnsi="黑体" w:cs="黑体" w:eastAsia="黑体" w:hint="default"/>
                <w:sz w:val="20"/>
                <w:szCs w:val="20"/>
              </w:rPr>
              <w:t>年以内</w:t>
            </w:r>
          </w:p>
        </w:tc>
        <w:tc>
          <w:tcPr>
            <w:tcW w:w="313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71"/>
              <w:jc w:val="right"/>
              <w:rPr>
                <w:rFonts w:ascii="黑体" w:hAnsi="黑体" w:cs="黑体" w:eastAsia="黑体" w:hint="default"/>
                <w:sz w:val="20"/>
                <w:szCs w:val="20"/>
              </w:rPr>
            </w:pPr>
            <w:r>
              <w:rPr>
                <w:rFonts w:ascii="黑体"/>
                <w:w w:val="99"/>
                <w:sz w:val="20"/>
              </w:rPr>
              <w:t>-</w:t>
            </w:r>
            <w:r>
              <w:rPr>
                <w:rFonts w:ascii="黑体"/>
                <w:sz w:val="20"/>
              </w:rPr>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99"/>
              <w:jc w:val="right"/>
              <w:rPr>
                <w:rFonts w:ascii="黑体" w:hAnsi="黑体" w:cs="黑体" w:eastAsia="黑体" w:hint="default"/>
                <w:sz w:val="20"/>
                <w:szCs w:val="20"/>
              </w:rPr>
            </w:pPr>
            <w:r>
              <w:rPr>
                <w:rFonts w:ascii="黑体"/>
                <w:w w:val="99"/>
                <w:sz w:val="20"/>
              </w:rPr>
              <w:t>-</w:t>
            </w:r>
            <w:r>
              <w:rPr>
                <w:rFonts w:ascii="黑体"/>
                <w:sz w:val="20"/>
              </w:rPr>
            </w:r>
          </w:p>
        </w:tc>
      </w:tr>
      <w:tr>
        <w:trPr>
          <w:trHeight w:val="271" w:hRule="exact"/>
        </w:trPr>
        <w:tc>
          <w:tcPr>
            <w:tcW w:w="3394" w:type="dxa"/>
            <w:tcBorders>
              <w:top w:val="nil" w:sz="6" w:space="0" w:color="auto"/>
              <w:left w:val="nil" w:sz="6" w:space="0" w:color="auto"/>
              <w:bottom w:val="nil" w:sz="6" w:space="0" w:color="auto"/>
              <w:right w:val="nil" w:sz="6" w:space="0" w:color="auto"/>
            </w:tcBorders>
          </w:tcPr>
          <w:p>
            <w:pPr>
              <w:pStyle w:val="TableParagraph"/>
              <w:spacing w:line="244" w:lineRule="exact"/>
              <w:ind w:left="200" w:right="0"/>
              <w:jc w:val="lef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7"/>
                <w:sz w:val="20"/>
                <w:szCs w:val="20"/>
              </w:rPr>
              <w:t> </w:t>
            </w:r>
            <w:r>
              <w:rPr>
                <w:rFonts w:ascii="黑体" w:hAnsi="黑体" w:cs="黑体" w:eastAsia="黑体" w:hint="default"/>
                <w:sz w:val="20"/>
                <w:szCs w:val="20"/>
              </w:rPr>
              <w:t>至</w:t>
            </w:r>
            <w:r>
              <w:rPr>
                <w:rFonts w:ascii="黑体" w:hAnsi="黑体" w:cs="黑体" w:eastAsia="黑体" w:hint="default"/>
                <w:spacing w:val="-51"/>
                <w:sz w:val="20"/>
                <w:szCs w:val="20"/>
              </w:rPr>
              <w:t> </w:t>
            </w:r>
            <w:r>
              <w:rPr>
                <w:rFonts w:ascii="Arial" w:hAnsi="Arial" w:cs="Arial" w:eastAsia="Arial" w:hint="default"/>
                <w:sz w:val="20"/>
                <w:szCs w:val="20"/>
              </w:rPr>
              <w:t>2</w:t>
            </w:r>
            <w:r>
              <w:rPr>
                <w:rFonts w:ascii="Arial" w:hAnsi="Arial" w:cs="Arial" w:eastAsia="Arial" w:hint="default"/>
                <w:spacing w:val="-7"/>
                <w:sz w:val="20"/>
                <w:szCs w:val="20"/>
              </w:rPr>
              <w:t> </w:t>
            </w:r>
            <w:r>
              <w:rPr>
                <w:rFonts w:ascii="黑体" w:hAnsi="黑体" w:cs="黑体" w:eastAsia="黑体" w:hint="default"/>
                <w:sz w:val="20"/>
                <w:szCs w:val="20"/>
              </w:rPr>
              <w:t>年</w:t>
            </w:r>
          </w:p>
        </w:tc>
        <w:tc>
          <w:tcPr>
            <w:tcW w:w="313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72"/>
              <w:jc w:val="right"/>
              <w:rPr>
                <w:rFonts w:ascii="Arial" w:hAnsi="Arial" w:cs="Arial" w:eastAsia="Arial" w:hint="default"/>
                <w:sz w:val="20"/>
                <w:szCs w:val="20"/>
              </w:rPr>
            </w:pPr>
            <w:r>
              <w:rPr>
                <w:rFonts w:ascii="Arial"/>
                <w:spacing w:val="-1"/>
                <w:w w:val="95"/>
                <w:sz w:val="20"/>
              </w:rPr>
              <w:t>20</w:t>
            </w:r>
            <w:r>
              <w:rPr>
                <w:rFonts w:ascii="Arial"/>
                <w:sz w:val="20"/>
              </w:rPr>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0"/>
              <w:jc w:val="right"/>
              <w:rPr>
                <w:rFonts w:ascii="Arial" w:hAnsi="Arial" w:cs="Arial" w:eastAsia="Arial" w:hint="default"/>
                <w:sz w:val="20"/>
                <w:szCs w:val="20"/>
              </w:rPr>
            </w:pPr>
            <w:r>
              <w:rPr>
                <w:rFonts w:ascii="Arial"/>
                <w:spacing w:val="-1"/>
                <w:w w:val="95"/>
                <w:sz w:val="20"/>
              </w:rPr>
              <w:t>20</w:t>
            </w:r>
            <w:r>
              <w:rPr>
                <w:rFonts w:ascii="Arial"/>
                <w:sz w:val="20"/>
              </w:rPr>
            </w:r>
          </w:p>
        </w:tc>
      </w:tr>
      <w:tr>
        <w:trPr>
          <w:trHeight w:val="260" w:hRule="exact"/>
        </w:trPr>
        <w:tc>
          <w:tcPr>
            <w:tcW w:w="3394" w:type="dxa"/>
            <w:tcBorders>
              <w:top w:val="nil" w:sz="6" w:space="0" w:color="auto"/>
              <w:left w:val="nil" w:sz="6" w:space="0" w:color="auto"/>
              <w:bottom w:val="nil" w:sz="6" w:space="0" w:color="auto"/>
              <w:right w:val="nil" w:sz="6" w:space="0" w:color="auto"/>
            </w:tcBorders>
          </w:tcPr>
          <w:p>
            <w:pPr>
              <w:pStyle w:val="TableParagraph"/>
              <w:spacing w:line="231" w:lineRule="exact"/>
              <w:ind w:left="200" w:right="0"/>
              <w:jc w:val="left"/>
              <w:rPr>
                <w:rFonts w:ascii="黑体" w:hAnsi="黑体" w:cs="黑体" w:eastAsia="黑体" w:hint="default"/>
                <w:sz w:val="20"/>
                <w:szCs w:val="20"/>
              </w:rPr>
            </w:pPr>
            <w:r>
              <w:rPr>
                <w:rFonts w:ascii="Arial" w:hAnsi="Arial" w:cs="Arial" w:eastAsia="Arial" w:hint="default"/>
                <w:sz w:val="20"/>
                <w:szCs w:val="20"/>
              </w:rPr>
              <w:t>2</w:t>
            </w:r>
            <w:r>
              <w:rPr>
                <w:rFonts w:ascii="Arial" w:hAnsi="Arial" w:cs="Arial" w:eastAsia="Arial" w:hint="default"/>
                <w:spacing w:val="-7"/>
                <w:sz w:val="20"/>
                <w:szCs w:val="20"/>
              </w:rPr>
              <w:t> </w:t>
            </w:r>
            <w:r>
              <w:rPr>
                <w:rFonts w:ascii="黑体" w:hAnsi="黑体" w:cs="黑体" w:eastAsia="黑体" w:hint="default"/>
                <w:sz w:val="20"/>
                <w:szCs w:val="20"/>
              </w:rPr>
              <w:t>至</w:t>
            </w:r>
            <w:r>
              <w:rPr>
                <w:rFonts w:ascii="黑体" w:hAnsi="黑体" w:cs="黑体" w:eastAsia="黑体" w:hint="default"/>
                <w:spacing w:val="-51"/>
                <w:sz w:val="20"/>
                <w:szCs w:val="20"/>
              </w:rPr>
              <w:t> </w:t>
            </w:r>
            <w:r>
              <w:rPr>
                <w:rFonts w:ascii="Arial" w:hAnsi="Arial" w:cs="Arial" w:eastAsia="Arial" w:hint="default"/>
                <w:sz w:val="20"/>
                <w:szCs w:val="20"/>
              </w:rPr>
              <w:t>3</w:t>
            </w:r>
            <w:r>
              <w:rPr>
                <w:rFonts w:ascii="Arial" w:hAnsi="Arial" w:cs="Arial" w:eastAsia="Arial" w:hint="default"/>
                <w:spacing w:val="-7"/>
                <w:sz w:val="20"/>
                <w:szCs w:val="20"/>
              </w:rPr>
              <w:t> </w:t>
            </w:r>
            <w:r>
              <w:rPr>
                <w:rFonts w:ascii="黑体" w:hAnsi="黑体" w:cs="黑体" w:eastAsia="黑体" w:hint="default"/>
                <w:sz w:val="20"/>
                <w:szCs w:val="20"/>
              </w:rPr>
              <w:t>年</w:t>
            </w:r>
          </w:p>
        </w:tc>
        <w:tc>
          <w:tcPr>
            <w:tcW w:w="313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72"/>
              <w:jc w:val="right"/>
              <w:rPr>
                <w:rFonts w:ascii="Arial" w:hAnsi="Arial" w:cs="Arial" w:eastAsia="Arial" w:hint="default"/>
                <w:sz w:val="20"/>
                <w:szCs w:val="20"/>
              </w:rPr>
            </w:pPr>
            <w:r>
              <w:rPr>
                <w:rFonts w:ascii="Arial"/>
                <w:spacing w:val="-1"/>
                <w:w w:val="95"/>
                <w:sz w:val="20"/>
              </w:rPr>
              <w:t>40</w:t>
            </w:r>
            <w:r>
              <w:rPr>
                <w:rFonts w:ascii="Arial"/>
                <w:sz w:val="20"/>
              </w:rPr>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0"/>
              <w:jc w:val="right"/>
              <w:rPr>
                <w:rFonts w:ascii="Arial" w:hAnsi="Arial" w:cs="Arial" w:eastAsia="Arial" w:hint="default"/>
                <w:sz w:val="20"/>
                <w:szCs w:val="20"/>
              </w:rPr>
            </w:pPr>
            <w:r>
              <w:rPr>
                <w:rFonts w:ascii="Arial"/>
                <w:spacing w:val="-1"/>
                <w:w w:val="95"/>
                <w:sz w:val="20"/>
              </w:rPr>
              <w:t>40</w:t>
            </w:r>
            <w:r>
              <w:rPr>
                <w:rFonts w:ascii="Arial"/>
                <w:sz w:val="20"/>
              </w:rPr>
            </w:r>
          </w:p>
        </w:tc>
      </w:tr>
      <w:tr>
        <w:trPr>
          <w:trHeight w:val="240" w:hRule="exact"/>
        </w:trPr>
        <w:tc>
          <w:tcPr>
            <w:tcW w:w="3394" w:type="dxa"/>
            <w:tcBorders>
              <w:top w:val="nil" w:sz="6" w:space="0" w:color="auto"/>
              <w:left w:val="nil" w:sz="6" w:space="0" w:color="auto"/>
              <w:bottom w:val="nil" w:sz="6" w:space="0" w:color="auto"/>
              <w:right w:val="nil" w:sz="6" w:space="0" w:color="auto"/>
            </w:tcBorders>
          </w:tcPr>
          <w:p>
            <w:pPr>
              <w:pStyle w:val="TableParagraph"/>
              <w:spacing w:line="233" w:lineRule="exact"/>
              <w:ind w:left="200" w:right="0"/>
              <w:jc w:val="left"/>
              <w:rPr>
                <w:rFonts w:ascii="黑体" w:hAnsi="黑体" w:cs="黑体" w:eastAsia="黑体" w:hint="default"/>
                <w:sz w:val="20"/>
                <w:szCs w:val="20"/>
              </w:rPr>
            </w:pPr>
            <w:r>
              <w:rPr>
                <w:rFonts w:ascii="Arial" w:hAnsi="Arial" w:cs="Arial" w:eastAsia="Arial" w:hint="default"/>
                <w:sz w:val="20"/>
                <w:szCs w:val="20"/>
              </w:rPr>
              <w:t>3</w:t>
            </w:r>
            <w:r>
              <w:rPr>
                <w:rFonts w:ascii="Arial" w:hAnsi="Arial" w:cs="Arial" w:eastAsia="Arial" w:hint="default"/>
                <w:spacing w:val="-9"/>
                <w:sz w:val="20"/>
                <w:szCs w:val="20"/>
              </w:rPr>
              <w:t> </w:t>
            </w:r>
            <w:r>
              <w:rPr>
                <w:rFonts w:ascii="黑体" w:hAnsi="黑体" w:cs="黑体" w:eastAsia="黑体" w:hint="default"/>
                <w:sz w:val="20"/>
                <w:szCs w:val="20"/>
              </w:rPr>
              <w:t>年以上</w:t>
            </w:r>
          </w:p>
        </w:tc>
        <w:tc>
          <w:tcPr>
            <w:tcW w:w="313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72"/>
              <w:jc w:val="right"/>
              <w:rPr>
                <w:rFonts w:ascii="Arial" w:hAnsi="Arial" w:cs="Arial" w:eastAsia="Arial" w:hint="default"/>
                <w:sz w:val="20"/>
                <w:szCs w:val="20"/>
              </w:rPr>
            </w:pPr>
            <w:r>
              <w:rPr>
                <w:rFonts w:ascii="Arial"/>
                <w:spacing w:val="-1"/>
                <w:w w:val="95"/>
                <w:sz w:val="20"/>
              </w:rPr>
              <w:t>100</w:t>
            </w:r>
            <w:r>
              <w:rPr>
                <w:rFonts w:ascii="Arial"/>
                <w:sz w:val="20"/>
              </w:rPr>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00"/>
              <w:jc w:val="right"/>
              <w:rPr>
                <w:rFonts w:ascii="Arial" w:hAnsi="Arial" w:cs="Arial" w:eastAsia="Arial" w:hint="default"/>
                <w:sz w:val="20"/>
                <w:szCs w:val="20"/>
              </w:rPr>
            </w:pPr>
            <w:r>
              <w:rPr>
                <w:rFonts w:ascii="Arial"/>
                <w:spacing w:val="-1"/>
                <w:w w:val="95"/>
                <w:sz w:val="20"/>
              </w:rPr>
              <w:t>100</w:t>
            </w:r>
            <w:r>
              <w:rPr>
                <w:rFonts w:ascii="Arial"/>
                <w:sz w:val="20"/>
              </w:rPr>
            </w:r>
          </w:p>
        </w:tc>
      </w:tr>
    </w:tbl>
    <w:p>
      <w:pPr>
        <w:spacing w:line="240" w:lineRule="auto" w:before="1"/>
        <w:rPr>
          <w:rFonts w:ascii="黑体" w:hAnsi="黑体" w:cs="黑体" w:eastAsia="黑体" w:hint="default"/>
          <w:sz w:val="22"/>
          <w:szCs w:val="22"/>
        </w:rPr>
      </w:pPr>
    </w:p>
    <w:p>
      <w:pPr>
        <w:pStyle w:val="BodyText"/>
        <w:spacing w:line="240" w:lineRule="auto" w:before="37"/>
        <w:ind w:left="821" w:right="194"/>
        <w:jc w:val="left"/>
      </w:pPr>
      <w:r>
        <w:rPr/>
        <w:t>(3)</w:t>
      </w:r>
      <w:r>
        <w:rPr>
          <w:spacing w:val="-47"/>
        </w:rPr>
        <w:t> </w:t>
      </w:r>
      <w:r>
        <w:rPr/>
        <w:t>单项金额虽不重大但单项计提坏账准备的应收款项</w:t>
      </w:r>
    </w:p>
    <w:p>
      <w:pPr>
        <w:spacing w:line="240" w:lineRule="auto" w:before="5"/>
        <w:rPr>
          <w:rFonts w:ascii="黑体" w:hAnsi="黑体" w:cs="黑体" w:eastAsia="黑体" w:hint="default"/>
          <w:sz w:val="24"/>
          <w:szCs w:val="24"/>
        </w:rPr>
      </w:pPr>
    </w:p>
    <w:p>
      <w:pPr>
        <w:pStyle w:val="BodyText"/>
        <w:spacing w:line="276" w:lineRule="auto"/>
        <w:ind w:right="194"/>
        <w:jc w:val="left"/>
      </w:pPr>
      <w:r>
        <w:rPr>
          <w:w w:val="95"/>
        </w:rPr>
        <w:t>对单项金额不重大但按信用风险特征组合后该组合的风险较大的应收款项，本集团根据应</w:t>
      </w:r>
      <w:r>
        <w:rPr>
          <w:spacing w:val="87"/>
          <w:w w:val="95"/>
        </w:rPr>
        <w:t> </w:t>
      </w:r>
      <w:r>
        <w:rPr>
          <w:spacing w:val="87"/>
          <w:w w:val="95"/>
        </w:rPr>
      </w:r>
      <w:r>
        <w:rPr/>
        <w:t>收款项结余的账龄、顾客的信贷可靠度及过往的转销经验对坏账准备作出估计。</w:t>
      </w:r>
    </w:p>
    <w:p>
      <w:pPr>
        <w:spacing w:line="240" w:lineRule="auto" w:before="7"/>
        <w:rPr>
          <w:rFonts w:ascii="黑体" w:hAnsi="黑体" w:cs="黑体" w:eastAsia="黑体" w:hint="default"/>
          <w:sz w:val="23"/>
          <w:szCs w:val="23"/>
        </w:rPr>
      </w:pPr>
    </w:p>
    <w:p>
      <w:pPr>
        <w:tabs>
          <w:tab w:pos="821" w:val="left" w:leader="none"/>
        </w:tabs>
        <w:spacing w:line="520" w:lineRule="auto" w:before="0"/>
        <w:ind w:left="814" w:right="4492" w:hanging="713"/>
        <w:jc w:val="left"/>
        <w:rPr>
          <w:rFonts w:ascii="黑体" w:hAnsi="黑体" w:cs="黑体" w:eastAsia="黑体" w:hint="default"/>
          <w:sz w:val="20"/>
          <w:szCs w:val="20"/>
        </w:rPr>
      </w:pPr>
      <w:r>
        <w:rPr>
          <w:rFonts w:ascii="Arial" w:hAnsi="Arial" w:cs="Arial" w:eastAsia="Arial" w:hint="default"/>
          <w:b/>
          <w:bCs/>
          <w:spacing w:val="-1"/>
          <w:w w:val="95"/>
          <w:sz w:val="20"/>
          <w:szCs w:val="20"/>
        </w:rPr>
        <w:t>11.</w:t>
        <w:tab/>
        <w:tab/>
      </w:r>
      <w:r>
        <w:rPr>
          <w:rFonts w:ascii="黑体" w:hAnsi="黑体" w:cs="黑体" w:eastAsia="黑体" w:hint="default"/>
          <w:b/>
          <w:bCs/>
          <w:spacing w:val="2"/>
          <w:sz w:val="20"/>
          <w:szCs w:val="20"/>
        </w:rPr>
        <w:t>存货</w:t>
      </w:r>
      <w:r>
        <w:rPr>
          <w:rFonts w:ascii="黑体" w:hAnsi="黑体" w:cs="黑体" w:eastAsia="黑体" w:hint="default"/>
          <w:b/>
          <w:bCs/>
          <w:spacing w:val="2"/>
          <w:w w:val="99"/>
          <w:sz w:val="20"/>
          <w:szCs w:val="20"/>
        </w:rPr>
        <w:t> </w:t>
      </w:r>
      <w:r>
        <w:rPr>
          <w:rFonts w:ascii="黑体" w:hAnsi="黑体" w:cs="黑体" w:eastAsia="黑体" w:hint="default"/>
          <w:sz w:val="20"/>
          <w:szCs w:val="20"/>
        </w:rPr>
        <w:t>存货包括原材料、库存商品和周转材料。</w:t>
      </w:r>
    </w:p>
    <w:p>
      <w:pPr>
        <w:pStyle w:val="BodyText"/>
        <w:spacing w:line="276" w:lineRule="auto" w:before="104"/>
        <w:ind w:right="194"/>
        <w:jc w:val="left"/>
      </w:pPr>
      <w:r>
        <w:rPr>
          <w:spacing w:val="2"/>
        </w:rPr>
        <w:t>存货按照成本进行初始计量。存货成本包括采购成本、加工成本和其他成本。发出存货，</w:t>
      </w:r>
      <w:r>
        <w:rPr>
          <w:spacing w:val="2"/>
          <w:w w:val="99"/>
        </w:rPr>
        <w:t> </w:t>
      </w:r>
      <w:r>
        <w:rPr/>
        <w:t>采用加权平均法确定其实际成本。周转材料包括低值易耗品和包装物等，低值易耗品和包</w:t>
      </w:r>
      <w:r>
        <w:rPr>
          <w:w w:val="99"/>
        </w:rPr>
        <w:t> </w:t>
      </w:r>
      <w:r>
        <w:rPr/>
        <w:t>装物釆用一次转销法进行摊销。</w:t>
      </w:r>
    </w:p>
    <w:p>
      <w:pPr>
        <w:spacing w:line="240" w:lineRule="auto" w:before="7"/>
        <w:rPr>
          <w:rFonts w:ascii="黑体" w:hAnsi="黑体" w:cs="黑体" w:eastAsia="黑体" w:hint="default"/>
          <w:sz w:val="23"/>
          <w:szCs w:val="23"/>
        </w:rPr>
      </w:pPr>
    </w:p>
    <w:p>
      <w:pPr>
        <w:pStyle w:val="BodyText"/>
        <w:spacing w:line="240" w:lineRule="auto"/>
        <w:ind w:right="3627"/>
        <w:jc w:val="left"/>
      </w:pPr>
      <w:r>
        <w:rPr/>
        <w:t>存货的盘存制度采用永续盘存制。</w:t>
      </w:r>
    </w:p>
    <w:p>
      <w:pPr>
        <w:spacing w:line="240" w:lineRule="auto" w:before="11"/>
        <w:rPr>
          <w:rFonts w:ascii="黑体" w:hAnsi="黑体" w:cs="黑体" w:eastAsia="黑体" w:hint="default"/>
          <w:sz w:val="25"/>
          <w:szCs w:val="25"/>
        </w:rPr>
      </w:pPr>
    </w:p>
    <w:p>
      <w:pPr>
        <w:pStyle w:val="BodyText"/>
        <w:spacing w:line="276" w:lineRule="auto"/>
        <w:ind w:right="299"/>
        <w:jc w:val="both"/>
      </w:pPr>
      <w:r>
        <w:rPr>
          <w:w w:val="95"/>
        </w:rPr>
        <w:t>于资产负债表日，存货按照成本与可变现净值孰低计量，对成本高于可变现净值的，计提</w:t>
      </w:r>
      <w:r>
        <w:rPr>
          <w:spacing w:val="89"/>
          <w:w w:val="95"/>
        </w:rPr>
        <w:t> </w:t>
      </w:r>
      <w:r>
        <w:rPr>
          <w:spacing w:val="89"/>
          <w:w w:val="95"/>
        </w:rPr>
      </w:r>
      <w:r>
        <w:rPr>
          <w:w w:val="95"/>
        </w:rPr>
        <w:t>存货跌价准备，计入当期损益。如果以前计提存货跌价准备的影响因素已经消失，使得存</w:t>
      </w:r>
      <w:r>
        <w:rPr>
          <w:spacing w:val="89"/>
          <w:w w:val="95"/>
        </w:rPr>
        <w:t> </w:t>
      </w:r>
      <w:r>
        <w:rPr>
          <w:spacing w:val="89"/>
          <w:w w:val="95"/>
        </w:rPr>
      </w:r>
      <w:r>
        <w:rPr>
          <w:w w:val="95"/>
        </w:rPr>
        <w:t>货的可变现净值高于其账面价值，则在原已计提的存货跌价准备金额内，将以前减记的金</w:t>
      </w:r>
      <w:r>
        <w:rPr>
          <w:spacing w:val="87"/>
          <w:w w:val="95"/>
        </w:rPr>
        <w:t> </w:t>
      </w:r>
      <w:r>
        <w:rPr>
          <w:spacing w:val="87"/>
          <w:w w:val="95"/>
        </w:rPr>
      </w:r>
      <w:r>
        <w:rPr/>
        <w:t>额予以恢复，转回的金额计入当期损益。</w:t>
      </w:r>
    </w:p>
    <w:p>
      <w:pPr>
        <w:spacing w:after="0" w:line="276" w:lineRule="auto"/>
        <w:jc w:val="both"/>
        <w:sectPr>
          <w:pgSz w:w="11910" w:h="16850"/>
          <w:pgMar w:header="957" w:footer="833" w:top="2620" w:bottom="1020" w:left="1600" w:right="1400"/>
        </w:sectPr>
      </w:pPr>
    </w:p>
    <w:p>
      <w:pPr>
        <w:spacing w:line="240" w:lineRule="auto" w:before="7"/>
        <w:rPr>
          <w:rFonts w:ascii="黑体" w:hAnsi="黑体" w:cs="黑体" w:eastAsia="黑体" w:hint="default"/>
          <w:sz w:val="17"/>
          <w:szCs w:val="17"/>
        </w:rPr>
      </w:pPr>
    </w:p>
    <w:p>
      <w:pPr>
        <w:pStyle w:val="Heading6"/>
        <w:tabs>
          <w:tab w:pos="804" w:val="left" w:leader="none"/>
        </w:tabs>
        <w:spacing w:line="240" w:lineRule="auto"/>
        <w:ind w:right="3627"/>
        <w:jc w:val="left"/>
        <w:rPr>
          <w:b w:val="0"/>
          <w:bCs w:val="0"/>
        </w:rPr>
      </w:pPr>
      <w:r>
        <w:rPr>
          <w:w w:val="95"/>
        </w:rPr>
        <w:t>二、</w:t>
        <w:tab/>
      </w:r>
      <w:bookmarkStart w:name="二、   重要会计政策、会计估计和前期差错（续）" w:id="38"/>
      <w:bookmarkEnd w:id="38"/>
      <w:r>
        <w:rPr/>
        <w:t>重要</w:t>
      </w:r>
      <w:r>
        <w:rPr/>
        <w:t>会计政策、会计估计和前期差错（续）</w:t>
      </w:r>
      <w:r>
        <w:rPr>
          <w:b w:val="0"/>
          <w:bCs w:val="0"/>
        </w:rPr>
      </w:r>
    </w:p>
    <w:p>
      <w:pPr>
        <w:spacing w:line="240" w:lineRule="auto" w:before="4"/>
        <w:rPr>
          <w:rFonts w:ascii="黑体" w:hAnsi="黑体" w:cs="黑体" w:eastAsia="黑体" w:hint="default"/>
          <w:b/>
          <w:bCs/>
          <w:sz w:val="18"/>
          <w:szCs w:val="18"/>
        </w:rPr>
      </w:pPr>
    </w:p>
    <w:p>
      <w:pPr>
        <w:pStyle w:val="Heading6"/>
        <w:tabs>
          <w:tab w:pos="821" w:val="left" w:leader="none"/>
        </w:tabs>
        <w:spacing w:line="240" w:lineRule="auto" w:before="0"/>
        <w:ind w:right="3627"/>
        <w:jc w:val="left"/>
        <w:rPr>
          <w:b w:val="0"/>
          <w:bCs w:val="0"/>
        </w:rPr>
      </w:pPr>
      <w:r>
        <w:rPr>
          <w:rFonts w:ascii="Arial" w:hAnsi="Arial" w:cs="Arial" w:eastAsia="Arial" w:hint="default"/>
          <w:spacing w:val="-1"/>
          <w:w w:val="95"/>
        </w:rPr>
        <w:t>11.</w:t>
        <w:tab/>
      </w:r>
      <w:r>
        <w:rPr>
          <w:spacing w:val="1"/>
        </w:rPr>
        <w:t>存货（续）</w:t>
      </w:r>
      <w:r>
        <w:rPr>
          <w:b w:val="0"/>
          <w:bCs w:val="0"/>
          <w:spacing w:val="1"/>
        </w:rPr>
      </w:r>
    </w:p>
    <w:p>
      <w:pPr>
        <w:spacing w:line="240" w:lineRule="auto" w:before="8"/>
        <w:rPr>
          <w:rFonts w:ascii="黑体" w:hAnsi="黑体" w:cs="黑体" w:eastAsia="黑体" w:hint="default"/>
          <w:b/>
          <w:bCs/>
          <w:sz w:val="21"/>
          <w:szCs w:val="21"/>
        </w:rPr>
      </w:pPr>
    </w:p>
    <w:p>
      <w:pPr>
        <w:pStyle w:val="BodyText"/>
        <w:spacing w:line="256" w:lineRule="auto"/>
        <w:ind w:right="299"/>
        <w:jc w:val="both"/>
      </w:pPr>
      <w:r>
        <w:rPr>
          <w:w w:val="95"/>
        </w:rPr>
        <w:t>可变现净</w:t>
      </w:r>
      <w:bookmarkStart w:name="11. 存货（续）" w:id="39"/>
      <w:bookmarkEnd w:id="39"/>
      <w:r>
        <w:rPr>
          <w:w w:val="95"/>
        </w:rPr>
        <w:t>值</w:t>
      </w:r>
      <w:r>
        <w:rPr>
          <w:w w:val="95"/>
        </w:rPr>
        <w:t>，是指在日常活动中，存货的估计售价减去至完工时估计将要发生的成本、估</w:t>
      </w:r>
      <w:r>
        <w:rPr>
          <w:spacing w:val="88"/>
          <w:w w:val="95"/>
        </w:rPr>
        <w:t> </w:t>
      </w:r>
      <w:r>
        <w:rPr>
          <w:spacing w:val="88"/>
          <w:w w:val="95"/>
        </w:rPr>
      </w:r>
      <w:r>
        <w:rPr>
          <w:w w:val="95"/>
        </w:rPr>
        <w:t>计的销售费用以及相关税费后的金额。计提存货跌价准备时，原材料按类别计提，产成品</w:t>
      </w:r>
      <w:r>
        <w:rPr>
          <w:spacing w:val="90"/>
          <w:w w:val="95"/>
        </w:rPr>
        <w:t> </w:t>
      </w:r>
      <w:r>
        <w:rPr>
          <w:spacing w:val="90"/>
          <w:w w:val="95"/>
        </w:rPr>
      </w:r>
      <w:r>
        <w:rPr/>
        <w:t>按单个存货项目计提。</w:t>
      </w:r>
    </w:p>
    <w:p>
      <w:pPr>
        <w:spacing w:line="240" w:lineRule="auto" w:before="11"/>
        <w:rPr>
          <w:rFonts w:ascii="黑体" w:hAnsi="黑体" w:cs="黑体" w:eastAsia="黑体" w:hint="default"/>
          <w:sz w:val="21"/>
          <w:szCs w:val="21"/>
        </w:rPr>
      </w:pPr>
    </w:p>
    <w:p>
      <w:pPr>
        <w:pStyle w:val="Heading6"/>
        <w:tabs>
          <w:tab w:pos="821" w:val="left" w:leader="none"/>
        </w:tabs>
        <w:spacing w:line="240" w:lineRule="auto" w:before="0"/>
        <w:ind w:right="3627"/>
        <w:jc w:val="left"/>
        <w:rPr>
          <w:b w:val="0"/>
          <w:bCs w:val="0"/>
        </w:rPr>
      </w:pPr>
      <w:r>
        <w:rPr>
          <w:rFonts w:ascii="Arial" w:hAnsi="Arial" w:cs="Arial" w:eastAsia="Arial" w:hint="default"/>
          <w:spacing w:val="-1"/>
          <w:w w:val="95"/>
        </w:rPr>
        <w:t>12.</w:t>
        <w:tab/>
      </w:r>
      <w:r>
        <w:rPr>
          <w:spacing w:val="1"/>
        </w:rPr>
        <w:t>长期股权投资</w:t>
      </w:r>
      <w:r>
        <w:rPr>
          <w:b w:val="0"/>
          <w:bCs w:val="0"/>
        </w:rPr>
      </w:r>
    </w:p>
    <w:p>
      <w:pPr>
        <w:spacing w:line="240" w:lineRule="auto" w:before="8"/>
        <w:rPr>
          <w:rFonts w:ascii="黑体" w:hAnsi="黑体" w:cs="黑体" w:eastAsia="黑体" w:hint="default"/>
          <w:b/>
          <w:bCs/>
          <w:sz w:val="21"/>
          <w:szCs w:val="21"/>
        </w:rPr>
      </w:pPr>
    </w:p>
    <w:p>
      <w:pPr>
        <w:pStyle w:val="BodyText"/>
        <w:spacing w:line="256" w:lineRule="auto"/>
        <w:ind w:right="194"/>
        <w:jc w:val="left"/>
      </w:pPr>
      <w:r>
        <w:rPr/>
        <w:t>长期股权投资包括对子公司、</w:t>
      </w:r>
      <w:bookmarkStart w:name="12. 长期股权投资" w:id="40"/>
      <w:bookmarkEnd w:id="40"/>
      <w:r>
        <w:rPr/>
        <w:t>合营</w:t>
      </w:r>
      <w:r>
        <w:rPr/>
        <w:t>企业和联营企业的权益性投资，以及对被投资单位不具</w:t>
      </w:r>
      <w:r>
        <w:rPr>
          <w:w w:val="99"/>
        </w:rPr>
        <w:t> </w:t>
      </w:r>
      <w:r>
        <w:rPr/>
        <w:t>有控制、共同控制或重大影响，且在活跃市场中没有报价、公允价值不能可靠计量的权益</w:t>
      </w:r>
      <w:r>
        <w:rPr>
          <w:w w:val="99"/>
        </w:rPr>
        <w:t> </w:t>
      </w:r>
      <w:r>
        <w:rPr/>
        <w:t>性投资。</w:t>
      </w:r>
    </w:p>
    <w:p>
      <w:pPr>
        <w:spacing w:line="240" w:lineRule="auto" w:before="11"/>
        <w:rPr>
          <w:rFonts w:ascii="黑体" w:hAnsi="黑体" w:cs="黑体" w:eastAsia="黑体" w:hint="default"/>
          <w:sz w:val="21"/>
          <w:szCs w:val="21"/>
        </w:rPr>
      </w:pPr>
    </w:p>
    <w:p>
      <w:pPr>
        <w:pStyle w:val="BodyText"/>
        <w:spacing w:line="254" w:lineRule="auto"/>
        <w:ind w:right="101"/>
        <w:jc w:val="left"/>
      </w:pPr>
      <w:r>
        <w:rPr>
          <w:w w:val="95"/>
        </w:rPr>
        <w:t>长期股权投资在取得时以初始投资成本进行初始计量。对于企业合并形成的长期股权投资，</w:t>
      </w:r>
      <w:r>
        <w:rPr>
          <w:spacing w:val="3"/>
          <w:w w:val="95"/>
        </w:rPr>
        <w:t> </w:t>
      </w:r>
      <w:r>
        <w:rPr>
          <w:spacing w:val="3"/>
          <w:w w:val="95"/>
        </w:rPr>
      </w:r>
      <w:r>
        <w:rPr/>
        <w:t>通过同一控制下的企业合并取得的，以取得被合并方所有者权益账面价值的份额作为初始</w:t>
      </w:r>
      <w:r>
        <w:rPr>
          <w:w w:val="99"/>
        </w:rPr>
        <w:t> </w:t>
      </w:r>
      <w:r>
        <w:rPr/>
        <w:t>投资成本；通过非同一控制下的企业合并取得的，以合并成本作为初始投资成本</w:t>
      </w:r>
      <w:r>
        <w:rPr>
          <w:rFonts w:ascii="Arial" w:hAnsi="Arial" w:cs="Arial" w:eastAsia="Arial" w:hint="default"/>
        </w:rPr>
        <w:t>(</w:t>
      </w:r>
      <w:r>
        <w:rPr/>
        <w:t>通过多次</w:t>
      </w:r>
      <w:r>
        <w:rPr>
          <w:w w:val="99"/>
        </w:rPr>
        <w:t> </w:t>
      </w:r>
      <w:r>
        <w:rPr/>
        <w:t>交易分步实现非同一控制下的企业合并的，以购买日之前所持被购买方的股权投资的账面</w:t>
      </w:r>
      <w:r>
        <w:rPr>
          <w:w w:val="99"/>
        </w:rPr>
        <w:t> </w:t>
      </w:r>
      <w:r>
        <w:rPr/>
        <w:t>价值与购买日新增投资成本之和作为初始投资成本</w:t>
      </w:r>
      <w:r>
        <w:rPr>
          <w:rFonts w:ascii="Arial" w:hAnsi="Arial" w:cs="Arial" w:eastAsia="Arial" w:hint="default"/>
        </w:rPr>
        <w:t>)</w:t>
      </w:r>
      <w:r>
        <w:rPr/>
        <w:t>，合并成本包括购买方付出的资产、发</w:t>
      </w:r>
      <w:r>
        <w:rPr>
          <w:w w:val="99"/>
        </w:rPr>
        <w:t> </w:t>
      </w:r>
      <w:r>
        <w:rPr/>
        <w:t>生或承担的负债、发行的权益性证券的公允价值之和。除企业合并形成的长期股权投资以</w:t>
      </w:r>
      <w:r>
        <w:rPr>
          <w:w w:val="99"/>
        </w:rPr>
        <w:t> </w:t>
      </w:r>
      <w:r>
        <w:rPr/>
        <w:t>外方式取得的长期股权投资，按照下列方法确定初始投资成本：支付现金取得的，以实际</w:t>
      </w:r>
      <w:r>
        <w:rPr>
          <w:w w:val="99"/>
        </w:rPr>
        <w:t> </w:t>
      </w:r>
      <w:r>
        <w:rPr/>
        <w:t>支付的购买价款及与取得长期股权投资直接相关的费用、税金及其他必要支出作为初始投</w:t>
      </w:r>
      <w:r>
        <w:rPr>
          <w:w w:val="99"/>
        </w:rPr>
        <w:t> </w:t>
      </w:r>
      <w:r>
        <w:rPr/>
        <w:t>资成本；发行权益性证券取得的，以发行权益性证券的公允价值作为初始投资成本；投资</w:t>
      </w:r>
      <w:r>
        <w:rPr>
          <w:w w:val="99"/>
        </w:rPr>
        <w:t> </w:t>
      </w:r>
      <w:r>
        <w:rPr/>
        <w:t>者投入的，以投资合同或协议约定的价值作为初始投资成本，但合同或协议约定价值不公</w:t>
      </w:r>
      <w:r>
        <w:rPr>
          <w:w w:val="99"/>
        </w:rPr>
        <w:t> </w:t>
      </w:r>
      <w:r>
        <w:rPr/>
        <w:t>允的除外。</w:t>
      </w:r>
    </w:p>
    <w:p>
      <w:pPr>
        <w:spacing w:line="240" w:lineRule="auto" w:before="0"/>
        <w:rPr>
          <w:rFonts w:ascii="黑体" w:hAnsi="黑体" w:cs="黑体" w:eastAsia="黑体" w:hint="default"/>
          <w:sz w:val="22"/>
          <w:szCs w:val="22"/>
        </w:rPr>
      </w:pPr>
    </w:p>
    <w:p>
      <w:pPr>
        <w:pStyle w:val="BodyText"/>
        <w:spacing w:line="256" w:lineRule="auto"/>
        <w:ind w:right="299"/>
        <w:jc w:val="both"/>
      </w:pPr>
      <w:r>
        <w:rPr>
          <w:w w:val="95"/>
        </w:rPr>
        <w:t>本集团对被投资单位不具有共同控制或重大影响，且在活跃市场中没有报价、公允价值不</w:t>
      </w:r>
      <w:r>
        <w:rPr>
          <w:spacing w:val="87"/>
          <w:w w:val="95"/>
        </w:rPr>
        <w:t> </w:t>
      </w:r>
      <w:r>
        <w:rPr>
          <w:spacing w:val="87"/>
          <w:w w:val="95"/>
        </w:rPr>
      </w:r>
      <w:r>
        <w:rPr>
          <w:w w:val="95"/>
        </w:rPr>
        <w:t>能可靠计量的长期股权投资，采用成本法核算。本公司能够对被投资单位实施控制的长期</w:t>
      </w:r>
      <w:r>
        <w:rPr>
          <w:spacing w:val="87"/>
          <w:w w:val="95"/>
        </w:rPr>
        <w:t> </w:t>
      </w:r>
      <w:r>
        <w:rPr>
          <w:spacing w:val="87"/>
          <w:w w:val="95"/>
        </w:rPr>
      </w:r>
      <w:r>
        <w:rPr>
          <w:w w:val="95"/>
        </w:rPr>
        <w:t>股权投资，在本公司个别财务报表中采用成本法核算。控制，是指有权决定一个企业的财</w:t>
      </w:r>
      <w:r>
        <w:rPr>
          <w:spacing w:val="90"/>
          <w:w w:val="95"/>
        </w:rPr>
        <w:t> </w:t>
      </w:r>
      <w:r>
        <w:rPr>
          <w:spacing w:val="90"/>
          <w:w w:val="95"/>
        </w:rPr>
      </w:r>
      <w:r>
        <w:rPr/>
        <w:t>务和经营政策，并能据以从该企业的经营活动中获取利益。</w:t>
      </w:r>
    </w:p>
    <w:p>
      <w:pPr>
        <w:spacing w:line="240" w:lineRule="auto" w:before="9"/>
        <w:rPr>
          <w:rFonts w:ascii="黑体" w:hAnsi="黑体" w:cs="黑体" w:eastAsia="黑体" w:hint="default"/>
          <w:sz w:val="21"/>
          <w:szCs w:val="21"/>
        </w:rPr>
      </w:pPr>
    </w:p>
    <w:p>
      <w:pPr>
        <w:pStyle w:val="BodyText"/>
        <w:spacing w:line="256" w:lineRule="auto"/>
        <w:ind w:right="302"/>
        <w:jc w:val="both"/>
      </w:pPr>
      <w:r>
        <w:rPr>
          <w:w w:val="95"/>
        </w:rPr>
        <w:t>采用成本法时，长期股权投资按初始投资成本计价，除取得投资时实际支付的价款或对价</w:t>
      </w:r>
      <w:r>
        <w:rPr>
          <w:spacing w:val="87"/>
          <w:w w:val="95"/>
        </w:rPr>
        <w:t> </w:t>
      </w:r>
      <w:r>
        <w:rPr>
          <w:spacing w:val="87"/>
          <w:w w:val="95"/>
        </w:rPr>
      </w:r>
      <w:r>
        <w:rPr>
          <w:w w:val="95"/>
        </w:rPr>
        <w:t>中包含的已宣告但尚未发放的现金股利或利润外，按享有被投资单位宣告分派的现金股利</w:t>
      </w:r>
      <w:r>
        <w:rPr>
          <w:spacing w:val="87"/>
          <w:w w:val="95"/>
        </w:rPr>
        <w:t> </w:t>
      </w:r>
      <w:r>
        <w:rPr>
          <w:spacing w:val="87"/>
          <w:w w:val="95"/>
        </w:rPr>
      </w:r>
      <w:r>
        <w:rPr/>
        <w:t>或利润，确认为当期投资收益，并同时根据有关资产减值政策考虑长期投资是否减值。</w:t>
      </w:r>
    </w:p>
    <w:p>
      <w:pPr>
        <w:spacing w:line="240" w:lineRule="auto" w:before="11"/>
        <w:rPr>
          <w:rFonts w:ascii="黑体" w:hAnsi="黑体" w:cs="黑体" w:eastAsia="黑体" w:hint="default"/>
          <w:sz w:val="21"/>
          <w:szCs w:val="21"/>
        </w:rPr>
      </w:pPr>
    </w:p>
    <w:p>
      <w:pPr>
        <w:pStyle w:val="BodyText"/>
        <w:spacing w:line="256" w:lineRule="auto"/>
        <w:ind w:right="302"/>
        <w:jc w:val="both"/>
      </w:pPr>
      <w:r>
        <w:rPr>
          <w:w w:val="95"/>
        </w:rPr>
        <w:t>本集团对被投资单位具有共同控制或重大影响的，长期股权投资采用权益法核算。共同控</w:t>
      </w:r>
      <w:r>
        <w:rPr>
          <w:spacing w:val="87"/>
          <w:w w:val="95"/>
        </w:rPr>
        <w:t> </w:t>
      </w:r>
      <w:r>
        <w:rPr>
          <w:spacing w:val="87"/>
          <w:w w:val="95"/>
        </w:rPr>
      </w:r>
      <w:r>
        <w:rPr>
          <w:w w:val="95"/>
        </w:rPr>
        <w:t>制，是指按照合同约定对某项经济活动所共有的控制，仅在与该项经济活动相关的重要财</w:t>
      </w:r>
      <w:r>
        <w:rPr>
          <w:spacing w:val="87"/>
          <w:w w:val="95"/>
        </w:rPr>
        <w:t> </w:t>
      </w:r>
      <w:r>
        <w:rPr>
          <w:spacing w:val="87"/>
          <w:w w:val="95"/>
        </w:rPr>
      </w:r>
      <w:r>
        <w:rPr>
          <w:w w:val="95"/>
        </w:rPr>
        <w:t>务和经营决策需要分享控制权的投资方一致同意时存在。重大影响，是指对一个企业的财</w:t>
      </w:r>
      <w:r>
        <w:rPr>
          <w:spacing w:val="87"/>
          <w:w w:val="95"/>
        </w:rPr>
        <w:t> </w:t>
      </w:r>
      <w:r>
        <w:rPr>
          <w:spacing w:val="87"/>
          <w:w w:val="95"/>
        </w:rPr>
      </w:r>
      <w:r>
        <w:rPr>
          <w:w w:val="95"/>
        </w:rPr>
        <w:t>务和经营政策有参与决策的权力，但并不能够控制或者与其他方一起共同控制这些政策的</w:t>
      </w:r>
      <w:r>
        <w:rPr>
          <w:spacing w:val="87"/>
          <w:w w:val="95"/>
        </w:rPr>
        <w:t> </w:t>
      </w:r>
      <w:r>
        <w:rPr>
          <w:spacing w:val="87"/>
          <w:w w:val="95"/>
        </w:rPr>
      </w:r>
      <w:r>
        <w:rPr/>
        <w:t>制定。</w:t>
      </w:r>
    </w:p>
    <w:p>
      <w:pPr>
        <w:spacing w:line="240" w:lineRule="auto" w:before="11"/>
        <w:rPr>
          <w:rFonts w:ascii="黑体" w:hAnsi="黑体" w:cs="黑体" w:eastAsia="黑体" w:hint="default"/>
          <w:sz w:val="21"/>
          <w:szCs w:val="21"/>
        </w:rPr>
      </w:pPr>
    </w:p>
    <w:p>
      <w:pPr>
        <w:pStyle w:val="BodyText"/>
        <w:spacing w:line="256" w:lineRule="auto"/>
        <w:ind w:right="302"/>
        <w:jc w:val="both"/>
      </w:pPr>
      <w:r>
        <w:rPr>
          <w:w w:val="95"/>
        </w:rPr>
        <w:t>采用权益法时，长期股权投资的初始投资成本大于投资时应享有被投资单位可辨认净资产</w:t>
      </w:r>
      <w:r>
        <w:rPr>
          <w:spacing w:val="87"/>
          <w:w w:val="95"/>
        </w:rPr>
        <w:t> </w:t>
      </w:r>
      <w:r>
        <w:rPr>
          <w:spacing w:val="87"/>
          <w:w w:val="95"/>
        </w:rPr>
      </w:r>
      <w:r>
        <w:rPr>
          <w:w w:val="95"/>
        </w:rPr>
        <w:t>公允价值份额的，归入长期股权投资的初始投资成本；长期股权投资的初始投资成本小于</w:t>
      </w:r>
      <w:r>
        <w:rPr>
          <w:spacing w:val="87"/>
          <w:w w:val="95"/>
        </w:rPr>
        <w:t> </w:t>
      </w:r>
      <w:r>
        <w:rPr>
          <w:spacing w:val="87"/>
          <w:w w:val="95"/>
        </w:rPr>
      </w:r>
      <w:r>
        <w:rPr>
          <w:w w:val="95"/>
        </w:rPr>
        <w:t>投资时应享有被投资单位可辨认净资产公允价值份额的，其差额计入当期损益，同时调整</w:t>
      </w:r>
      <w:r>
        <w:rPr>
          <w:spacing w:val="87"/>
          <w:w w:val="95"/>
        </w:rPr>
        <w:t> </w:t>
      </w:r>
      <w:r>
        <w:rPr>
          <w:spacing w:val="87"/>
          <w:w w:val="95"/>
        </w:rPr>
      </w:r>
      <w:r>
        <w:rPr/>
        <w:t>长期股权投资的成本。</w:t>
      </w:r>
    </w:p>
    <w:p>
      <w:pPr>
        <w:spacing w:after="0" w:line="256" w:lineRule="auto"/>
        <w:jc w:val="both"/>
        <w:sectPr>
          <w:pgSz w:w="11910" w:h="16850"/>
          <w:pgMar w:header="957" w:footer="833" w:top="2620" w:bottom="1020" w:left="1600" w:right="1400"/>
        </w:sectPr>
      </w:pPr>
    </w:p>
    <w:p>
      <w:pPr>
        <w:spacing w:line="240" w:lineRule="auto" w:before="4"/>
        <w:rPr>
          <w:rFonts w:ascii="黑体" w:hAnsi="黑体" w:cs="黑体" w:eastAsia="黑体" w:hint="default"/>
          <w:sz w:val="15"/>
          <w:szCs w:val="15"/>
        </w:rPr>
      </w:pPr>
    </w:p>
    <w:p>
      <w:pPr>
        <w:pStyle w:val="Heading6"/>
        <w:tabs>
          <w:tab w:pos="804" w:val="left" w:leader="none"/>
        </w:tabs>
        <w:spacing w:line="240" w:lineRule="auto"/>
        <w:ind w:right="137"/>
        <w:jc w:val="left"/>
        <w:rPr>
          <w:b w:val="0"/>
          <w:bCs w:val="0"/>
        </w:rPr>
      </w:pPr>
      <w:r>
        <w:rPr>
          <w:w w:val="95"/>
        </w:rPr>
        <w:t>二、</w:t>
        <w:tab/>
      </w:r>
      <w:r>
        <w:rPr/>
        <w:t>重要会计政策、会计估计和前期差错（续）</w:t>
      </w:r>
      <w:r>
        <w:rPr>
          <w:b w:val="0"/>
          <w:bCs w:val="0"/>
        </w:rPr>
      </w:r>
    </w:p>
    <w:p>
      <w:pPr>
        <w:spacing w:line="240" w:lineRule="auto" w:before="0"/>
        <w:rPr>
          <w:rFonts w:ascii="黑体" w:hAnsi="黑体" w:cs="黑体" w:eastAsia="黑体" w:hint="default"/>
          <w:b/>
          <w:bCs/>
          <w:sz w:val="24"/>
          <w:szCs w:val="24"/>
        </w:rPr>
      </w:pPr>
    </w:p>
    <w:p>
      <w:pPr>
        <w:pStyle w:val="Heading6"/>
        <w:tabs>
          <w:tab w:pos="821" w:val="left" w:leader="none"/>
        </w:tabs>
        <w:spacing w:line="240" w:lineRule="auto" w:before="0"/>
        <w:ind w:right="137"/>
        <w:jc w:val="left"/>
        <w:rPr>
          <w:b w:val="0"/>
          <w:bCs w:val="0"/>
        </w:rPr>
      </w:pPr>
      <w:r>
        <w:rPr>
          <w:rFonts w:ascii="Arial" w:hAnsi="Arial" w:cs="Arial" w:eastAsia="Arial" w:hint="default"/>
          <w:spacing w:val="-1"/>
          <w:w w:val="95"/>
        </w:rPr>
        <w:t>12.</w:t>
        <w:tab/>
      </w:r>
      <w:r>
        <w:rPr>
          <w:spacing w:val="1"/>
        </w:rPr>
        <w:t>长期股权</w:t>
      </w:r>
      <w:bookmarkStart w:name="12. 长期股权投资（续）" w:id="41"/>
      <w:bookmarkEnd w:id="41"/>
      <w:r>
        <w:rPr>
          <w:spacing w:val="1"/>
        </w:rPr>
        <w:t>投资</w:t>
      </w:r>
      <w:r>
        <w:rPr>
          <w:spacing w:val="1"/>
        </w:rPr>
        <w:t>（续）</w:t>
      </w:r>
      <w:r>
        <w:rPr>
          <w:b w:val="0"/>
          <w:bCs w:val="0"/>
          <w:spacing w:val="1"/>
        </w:rPr>
      </w:r>
    </w:p>
    <w:p>
      <w:pPr>
        <w:spacing w:line="240" w:lineRule="auto" w:before="10"/>
        <w:rPr>
          <w:rFonts w:ascii="黑体" w:hAnsi="黑体" w:cs="黑体" w:eastAsia="黑体" w:hint="default"/>
          <w:b/>
          <w:bCs/>
          <w:sz w:val="24"/>
          <w:szCs w:val="24"/>
        </w:rPr>
      </w:pPr>
    </w:p>
    <w:p>
      <w:pPr>
        <w:pStyle w:val="BodyText"/>
        <w:spacing w:line="273" w:lineRule="auto"/>
        <w:ind w:right="134"/>
        <w:jc w:val="both"/>
      </w:pPr>
      <w:r>
        <w:rPr>
          <w:w w:val="95"/>
        </w:rPr>
        <w:t>采用权益法时，取得长期股权投资后，按照应享有或应分担的被投资单位实现的净损益的</w:t>
      </w:r>
      <w:r>
        <w:rPr>
          <w:spacing w:val="87"/>
          <w:w w:val="95"/>
        </w:rPr>
        <w:t> </w:t>
      </w:r>
      <w:r>
        <w:rPr>
          <w:spacing w:val="87"/>
          <w:w w:val="95"/>
        </w:rPr>
      </w:r>
      <w:r>
        <w:rPr>
          <w:w w:val="95"/>
        </w:rPr>
        <w:t>份额，确认投资损益并调整长期股权投资的账面价值。在确认应享有被投资单位净损益的</w:t>
      </w:r>
      <w:r>
        <w:rPr>
          <w:spacing w:val="87"/>
          <w:w w:val="95"/>
        </w:rPr>
        <w:t> </w:t>
      </w:r>
      <w:r>
        <w:rPr>
          <w:spacing w:val="87"/>
          <w:w w:val="95"/>
        </w:rPr>
      </w:r>
      <w:r>
        <w:rPr>
          <w:w w:val="95"/>
        </w:rPr>
        <w:t>份额时，以取得投资时被投资单位各项可辨认资产等的公允价值为基础，按照本集团的会</w:t>
      </w:r>
      <w:r>
        <w:rPr>
          <w:spacing w:val="87"/>
          <w:w w:val="95"/>
        </w:rPr>
        <w:t> </w:t>
      </w:r>
      <w:r>
        <w:rPr>
          <w:spacing w:val="87"/>
          <w:w w:val="95"/>
        </w:rPr>
      </w:r>
      <w:r>
        <w:rPr>
          <w:w w:val="95"/>
        </w:rPr>
        <w:t>计政策及会计期间，并抵销与联营企业及合营企业之间发生的内部交易损益按照持股比例</w:t>
      </w:r>
      <w:r>
        <w:rPr>
          <w:spacing w:val="87"/>
          <w:w w:val="95"/>
        </w:rPr>
        <w:t> </w:t>
      </w:r>
      <w:r>
        <w:rPr>
          <w:spacing w:val="87"/>
          <w:w w:val="95"/>
        </w:rPr>
      </w:r>
      <w:r>
        <w:rPr/>
        <w:t>计算归属于投资企业的部分</w:t>
      </w:r>
      <w:r>
        <w:rPr>
          <w:rFonts w:ascii="Arial" w:hAnsi="Arial" w:cs="Arial" w:eastAsia="Arial" w:hint="default"/>
        </w:rPr>
        <w:t>(</w:t>
      </w:r>
      <w:r>
        <w:rPr/>
        <w:t>但内部交易损失属于资产减值损失的，应全额确认</w:t>
      </w:r>
      <w:r>
        <w:rPr>
          <w:rFonts w:ascii="Arial" w:hAnsi="Arial" w:cs="Arial" w:eastAsia="Arial" w:hint="default"/>
        </w:rPr>
        <w:t>)</w:t>
      </w:r>
      <w:r>
        <w:rPr/>
        <w:t>，对被投</w:t>
      </w:r>
      <w:r>
        <w:rPr>
          <w:spacing w:val="-54"/>
        </w:rPr>
        <w:t> </w:t>
      </w:r>
      <w:r>
        <w:rPr>
          <w:w w:val="95"/>
        </w:rPr>
        <w:t>资单位的净利润进行调整后确认。对于首次执行企业会计准则之前已经持有的对联营企业</w:t>
      </w:r>
      <w:r>
        <w:rPr>
          <w:spacing w:val="87"/>
          <w:w w:val="95"/>
        </w:rPr>
        <w:t> </w:t>
      </w:r>
      <w:r>
        <w:rPr>
          <w:spacing w:val="87"/>
          <w:w w:val="95"/>
        </w:rPr>
      </w:r>
      <w:r>
        <w:rPr>
          <w:w w:val="95"/>
        </w:rPr>
        <w:t>及合营企业的长期股权投资，如存在与该投资相关的股权投资借方差额，还应扣除按原剩</w:t>
      </w:r>
      <w:r>
        <w:rPr>
          <w:spacing w:val="87"/>
          <w:w w:val="95"/>
        </w:rPr>
        <w:t> </w:t>
      </w:r>
      <w:r>
        <w:rPr>
          <w:spacing w:val="87"/>
          <w:w w:val="95"/>
        </w:rPr>
      </w:r>
      <w:r>
        <w:rPr>
          <w:w w:val="95"/>
        </w:rPr>
        <w:t>余期限直线摊销的股权投资借方差额，确认投资损益。按照被投资单位宣告分派的利润或</w:t>
      </w:r>
      <w:r>
        <w:rPr>
          <w:spacing w:val="87"/>
          <w:w w:val="95"/>
        </w:rPr>
        <w:t> </w:t>
      </w:r>
      <w:r>
        <w:rPr>
          <w:spacing w:val="87"/>
          <w:w w:val="95"/>
        </w:rPr>
      </w:r>
      <w:r>
        <w:rPr>
          <w:w w:val="95"/>
        </w:rPr>
        <w:t>现金股利计算应分得的部分，相应减少长期股权投资的账面价值。本集团确认被投资单位</w:t>
      </w:r>
      <w:r>
        <w:rPr>
          <w:spacing w:val="87"/>
          <w:w w:val="95"/>
        </w:rPr>
        <w:t> </w:t>
      </w:r>
      <w:r>
        <w:rPr>
          <w:spacing w:val="87"/>
          <w:w w:val="95"/>
        </w:rPr>
      </w:r>
      <w:r>
        <w:rPr>
          <w:w w:val="95"/>
        </w:rPr>
        <w:t>发生的净亏损，以长期股权投资的账面价值以及其他实质上构成对被投资单位净投资的长</w:t>
      </w:r>
      <w:r>
        <w:rPr>
          <w:spacing w:val="87"/>
          <w:w w:val="95"/>
        </w:rPr>
        <w:t> </w:t>
      </w:r>
      <w:r>
        <w:rPr>
          <w:spacing w:val="87"/>
          <w:w w:val="95"/>
        </w:rPr>
      </w:r>
      <w:r>
        <w:rPr>
          <w:w w:val="95"/>
        </w:rPr>
        <w:t>期权益减记至零为限，本集团负有承担额外损失义务的除外。对于被投资单位除净损益以</w:t>
      </w:r>
      <w:r>
        <w:rPr>
          <w:spacing w:val="87"/>
          <w:w w:val="95"/>
        </w:rPr>
        <w:t> </w:t>
      </w:r>
      <w:r>
        <w:rPr>
          <w:spacing w:val="87"/>
          <w:w w:val="95"/>
        </w:rPr>
      </w:r>
      <w:r>
        <w:rPr/>
        <w:t>外股东权益的其他变动，调整长期股权投资的账面价值并计入股东权益。</w:t>
      </w:r>
    </w:p>
    <w:p>
      <w:pPr>
        <w:spacing w:line="240" w:lineRule="auto" w:before="9"/>
        <w:rPr>
          <w:rFonts w:ascii="黑体" w:hAnsi="黑体" w:cs="黑体" w:eastAsia="黑体" w:hint="default"/>
          <w:sz w:val="23"/>
          <w:szCs w:val="23"/>
        </w:rPr>
      </w:pPr>
    </w:p>
    <w:p>
      <w:pPr>
        <w:pStyle w:val="BodyText"/>
        <w:spacing w:line="276" w:lineRule="auto"/>
        <w:ind w:right="139"/>
        <w:jc w:val="both"/>
      </w:pPr>
      <w:r>
        <w:rPr>
          <w:w w:val="95"/>
        </w:rPr>
        <w:t>处置长期股权投资，其账面价值与实际取得价款的差额，计入当期损益。采用权益法核算</w:t>
      </w:r>
      <w:r>
        <w:rPr>
          <w:spacing w:val="89"/>
          <w:w w:val="95"/>
        </w:rPr>
        <w:t> </w:t>
      </w:r>
      <w:r>
        <w:rPr>
          <w:spacing w:val="89"/>
          <w:w w:val="95"/>
        </w:rPr>
      </w:r>
      <w:r>
        <w:rPr/>
        <w:t>的长期股权投资，在处置时将原计入股东权益的部分按相应的比例转入当期损益。</w:t>
      </w:r>
    </w:p>
    <w:p>
      <w:pPr>
        <w:spacing w:line="240" w:lineRule="auto" w:before="7"/>
        <w:rPr>
          <w:rFonts w:ascii="黑体" w:hAnsi="黑体" w:cs="黑体" w:eastAsia="黑体" w:hint="default"/>
          <w:sz w:val="23"/>
          <w:szCs w:val="23"/>
        </w:rPr>
      </w:pPr>
    </w:p>
    <w:p>
      <w:pPr>
        <w:pStyle w:val="BodyText"/>
        <w:spacing w:line="268" w:lineRule="auto"/>
        <w:ind w:right="139"/>
        <w:jc w:val="both"/>
      </w:pPr>
      <w:r>
        <w:rPr>
          <w:w w:val="95"/>
        </w:rPr>
        <w:t>对子公司、合营企业、联营企业的长期股权投资减值测试方法及减值准备计提方法，详见</w:t>
      </w:r>
      <w:r>
        <w:rPr>
          <w:spacing w:val="89"/>
          <w:w w:val="95"/>
        </w:rPr>
        <w:t> </w:t>
      </w:r>
      <w:r>
        <w:rPr>
          <w:spacing w:val="89"/>
          <w:w w:val="95"/>
        </w:rPr>
      </w:r>
      <w:r>
        <w:rPr>
          <w:w w:val="95"/>
        </w:rPr>
        <w:t>附注二、</w:t>
      </w:r>
      <w:r>
        <w:rPr>
          <w:rFonts w:ascii="Arial" w:hAnsi="Arial" w:cs="Arial" w:eastAsia="Arial" w:hint="default"/>
          <w:w w:val="95"/>
        </w:rPr>
        <w:t>27</w:t>
      </w:r>
      <w:r>
        <w:rPr>
          <w:w w:val="95"/>
        </w:rPr>
        <w:t>。在活跃市场没有报价且公允价值不能可靠计量的其他长期股权投资减值测试</w:t>
      </w:r>
      <w:r>
        <w:rPr>
          <w:spacing w:val="65"/>
          <w:w w:val="95"/>
        </w:rPr>
        <w:t> </w:t>
      </w:r>
      <w:r>
        <w:rPr>
          <w:spacing w:val="65"/>
          <w:w w:val="95"/>
        </w:rPr>
      </w:r>
      <w:r>
        <w:rPr/>
        <w:t>方法及减值准备计提方法，详见附注二、</w:t>
      </w:r>
      <w:r>
        <w:rPr>
          <w:rFonts w:ascii="Arial" w:hAnsi="Arial" w:cs="Arial" w:eastAsia="Arial" w:hint="default"/>
        </w:rPr>
        <w:t>9</w:t>
      </w:r>
      <w:r>
        <w:rPr/>
        <w:t>。</w:t>
      </w:r>
    </w:p>
    <w:p>
      <w:pPr>
        <w:spacing w:line="240" w:lineRule="auto" w:before="9"/>
        <w:rPr>
          <w:rFonts w:ascii="黑体" w:hAnsi="黑体" w:cs="黑体" w:eastAsia="黑体" w:hint="default"/>
          <w:sz w:val="22"/>
          <w:szCs w:val="22"/>
        </w:rPr>
      </w:pPr>
    </w:p>
    <w:p>
      <w:pPr>
        <w:pStyle w:val="Heading6"/>
        <w:tabs>
          <w:tab w:pos="821" w:val="left" w:leader="none"/>
        </w:tabs>
        <w:spacing w:line="240" w:lineRule="auto" w:before="0"/>
        <w:ind w:right="137"/>
        <w:jc w:val="left"/>
        <w:rPr>
          <w:b w:val="0"/>
          <w:bCs w:val="0"/>
        </w:rPr>
      </w:pPr>
      <w:r>
        <w:rPr>
          <w:rFonts w:ascii="Arial" w:hAnsi="Arial" w:cs="Arial" w:eastAsia="Arial" w:hint="default"/>
          <w:spacing w:val="-1"/>
          <w:w w:val="95"/>
        </w:rPr>
        <w:t>13.</w:t>
        <w:tab/>
      </w:r>
      <w:r>
        <w:rPr>
          <w:spacing w:val="1"/>
        </w:rPr>
        <w:t>投资性房地产</w:t>
      </w:r>
      <w:r>
        <w:rPr>
          <w:b w:val="0"/>
          <w:bCs w:val="0"/>
        </w:rPr>
      </w:r>
    </w:p>
    <w:p>
      <w:pPr>
        <w:spacing w:line="240" w:lineRule="auto" w:before="10"/>
        <w:rPr>
          <w:rFonts w:ascii="黑体" w:hAnsi="黑体" w:cs="黑体" w:eastAsia="黑体" w:hint="default"/>
          <w:b/>
          <w:bCs/>
          <w:sz w:val="24"/>
          <w:szCs w:val="24"/>
        </w:rPr>
      </w:pPr>
    </w:p>
    <w:p>
      <w:pPr>
        <w:pStyle w:val="BodyText"/>
        <w:spacing w:line="276" w:lineRule="auto"/>
        <w:ind w:right="139"/>
        <w:jc w:val="both"/>
      </w:pPr>
      <w:r>
        <w:rPr>
          <w:w w:val="95"/>
        </w:rPr>
        <w:t>投资性房地产，是指为赚取租金或资本增值，或两者兼有而持有的房地产，包括已</w:t>
      </w:r>
      <w:bookmarkStart w:name="13. 投资性房地产" w:id="42"/>
      <w:bookmarkEnd w:id="42"/>
      <w:r>
        <w:rPr>
          <w:w w:val="95"/>
        </w:rPr>
        <w:t>出租的</w:t>
      </w:r>
      <w:r>
        <w:rPr>
          <w:spacing w:val="89"/>
          <w:w w:val="95"/>
        </w:rPr>
        <w:t> </w:t>
      </w:r>
      <w:r>
        <w:rPr>
          <w:spacing w:val="89"/>
          <w:w w:val="95"/>
        </w:rPr>
      </w:r>
      <w:r>
        <w:rPr/>
        <w:t>建筑物。</w:t>
      </w:r>
    </w:p>
    <w:p>
      <w:pPr>
        <w:spacing w:line="240" w:lineRule="auto" w:before="7"/>
        <w:rPr>
          <w:rFonts w:ascii="黑体" w:hAnsi="黑体" w:cs="黑体" w:eastAsia="黑体" w:hint="default"/>
          <w:sz w:val="23"/>
          <w:szCs w:val="23"/>
        </w:rPr>
      </w:pPr>
    </w:p>
    <w:p>
      <w:pPr>
        <w:pStyle w:val="BodyText"/>
        <w:spacing w:line="276" w:lineRule="auto"/>
        <w:ind w:right="139"/>
        <w:jc w:val="both"/>
      </w:pPr>
      <w:r>
        <w:rPr>
          <w:w w:val="95"/>
        </w:rPr>
        <w:t>投资性房地产按照成本进行初始计量。与投资性房地产有关的后续支出，如果与该资产有</w:t>
      </w:r>
      <w:r>
        <w:rPr>
          <w:spacing w:val="87"/>
          <w:w w:val="95"/>
        </w:rPr>
        <w:t> </w:t>
      </w:r>
      <w:r>
        <w:rPr>
          <w:spacing w:val="87"/>
          <w:w w:val="95"/>
        </w:rPr>
      </w:r>
      <w:r>
        <w:rPr>
          <w:w w:val="95"/>
        </w:rPr>
        <w:t>关的经济利益很可能流入且其成本能够可靠地计量，则计入投资性房地产成本。否则，于</w:t>
      </w:r>
      <w:r>
        <w:rPr>
          <w:spacing w:val="90"/>
          <w:w w:val="95"/>
        </w:rPr>
        <w:t> </w:t>
      </w:r>
      <w:r>
        <w:rPr>
          <w:spacing w:val="90"/>
          <w:w w:val="95"/>
        </w:rPr>
      </w:r>
      <w:r>
        <w:rPr/>
        <w:t>发生时计入当期损益。</w:t>
      </w:r>
    </w:p>
    <w:p>
      <w:pPr>
        <w:spacing w:line="240" w:lineRule="auto" w:before="7"/>
        <w:rPr>
          <w:rFonts w:ascii="黑体" w:hAnsi="黑体" w:cs="黑体" w:eastAsia="黑体" w:hint="default"/>
          <w:sz w:val="23"/>
          <w:szCs w:val="23"/>
        </w:rPr>
      </w:pPr>
    </w:p>
    <w:p>
      <w:pPr>
        <w:pStyle w:val="BodyText"/>
        <w:spacing w:line="276" w:lineRule="auto"/>
        <w:ind w:right="142"/>
        <w:jc w:val="both"/>
      </w:pPr>
      <w:r>
        <w:rPr>
          <w:w w:val="95"/>
        </w:rPr>
        <w:t>本集团采用成本模式对投资性房地产进行后续计量。投资性房地产的折旧采用年限平均法</w:t>
      </w:r>
      <w:r>
        <w:rPr>
          <w:spacing w:val="87"/>
          <w:w w:val="95"/>
        </w:rPr>
        <w:t> </w:t>
      </w:r>
      <w:r>
        <w:rPr>
          <w:spacing w:val="87"/>
          <w:w w:val="95"/>
        </w:rPr>
      </w:r>
      <w:r>
        <w:rPr/>
        <w:t>计提，其使用寿命为</w:t>
      </w:r>
      <w:r>
        <w:rPr>
          <w:rFonts w:ascii="Arial" w:hAnsi="Arial" w:cs="Arial" w:eastAsia="Arial" w:hint="default"/>
        </w:rPr>
        <w:t>40</w:t>
      </w:r>
      <w:r>
        <w:rPr/>
        <w:t>年，预计净残值为</w:t>
      </w:r>
      <w:r>
        <w:rPr>
          <w:rFonts w:ascii="Arial" w:hAnsi="Arial" w:cs="Arial" w:eastAsia="Arial" w:hint="default"/>
        </w:rPr>
        <w:t>5%</w:t>
      </w:r>
      <w:r>
        <w:rPr/>
        <w:t>，年折旧率为</w:t>
      </w:r>
      <w:r>
        <w:rPr>
          <w:rFonts w:ascii="Arial" w:hAnsi="Arial" w:cs="Arial" w:eastAsia="Arial" w:hint="default"/>
        </w:rPr>
        <w:t>2.4%</w:t>
      </w:r>
      <w:r>
        <w:rPr/>
        <w:t>。</w:t>
      </w:r>
    </w:p>
    <w:p>
      <w:pPr>
        <w:spacing w:line="240" w:lineRule="auto" w:before="3"/>
        <w:rPr>
          <w:rFonts w:ascii="黑体" w:hAnsi="黑体" w:cs="黑体" w:eastAsia="黑体" w:hint="default"/>
          <w:sz w:val="22"/>
          <w:szCs w:val="22"/>
        </w:rPr>
      </w:pPr>
    </w:p>
    <w:p>
      <w:pPr>
        <w:pStyle w:val="BodyText"/>
        <w:spacing w:line="276" w:lineRule="auto"/>
        <w:ind w:right="142"/>
        <w:jc w:val="both"/>
      </w:pPr>
      <w:r>
        <w:rPr>
          <w:w w:val="95"/>
        </w:rPr>
        <w:t>采用成本模式进行后续计量的投资性房地产减值测试方法及减值准备计提方法，详见附注</w:t>
      </w:r>
      <w:r>
        <w:rPr>
          <w:spacing w:val="87"/>
          <w:w w:val="95"/>
        </w:rPr>
        <w:t> </w:t>
      </w:r>
      <w:r>
        <w:rPr>
          <w:spacing w:val="87"/>
          <w:w w:val="95"/>
        </w:rPr>
      </w:r>
      <w:r>
        <w:rPr/>
        <w:t>二、</w:t>
      </w:r>
      <w:r>
        <w:rPr>
          <w:rFonts w:ascii="Arial" w:hAnsi="Arial" w:cs="Arial" w:eastAsia="Arial" w:hint="default"/>
        </w:rPr>
        <w:t>27</w:t>
      </w:r>
      <w:r>
        <w:rPr/>
        <w:t>。</w:t>
      </w:r>
    </w:p>
    <w:p>
      <w:pPr>
        <w:spacing w:after="0" w:line="276" w:lineRule="auto"/>
        <w:jc w:val="both"/>
        <w:sectPr>
          <w:pgSz w:w="11910" w:h="16850"/>
          <w:pgMar w:header="957" w:footer="833" w:top="2620" w:bottom="1020" w:left="1600" w:right="1560"/>
        </w:sectPr>
      </w:pPr>
    </w:p>
    <w:p>
      <w:pPr>
        <w:spacing w:line="240" w:lineRule="auto" w:before="7"/>
        <w:rPr>
          <w:rFonts w:ascii="黑体" w:hAnsi="黑体" w:cs="黑体" w:eastAsia="黑体" w:hint="default"/>
          <w:sz w:val="17"/>
          <w:szCs w:val="17"/>
        </w:rPr>
      </w:pPr>
    </w:p>
    <w:p>
      <w:pPr>
        <w:pStyle w:val="Heading6"/>
        <w:tabs>
          <w:tab w:pos="804" w:val="left" w:leader="none"/>
        </w:tabs>
        <w:spacing w:line="240" w:lineRule="auto"/>
        <w:ind w:right="3627"/>
        <w:jc w:val="left"/>
        <w:rPr>
          <w:b w:val="0"/>
          <w:bCs w:val="0"/>
        </w:rPr>
      </w:pPr>
      <w:r>
        <w:rPr>
          <w:w w:val="95"/>
        </w:rPr>
        <w:t>二、</w:t>
        <w:tab/>
      </w:r>
      <w:bookmarkStart w:name="二、   重要会计政策、会计估计和前期差错（续）" w:id="43"/>
      <w:bookmarkEnd w:id="43"/>
      <w:r>
        <w:rPr/>
        <w:t>重要</w:t>
      </w:r>
      <w:r>
        <w:rPr/>
        <w:t>会计政策、会计估计和前期差错（续）</w:t>
      </w:r>
      <w:r>
        <w:rPr>
          <w:b w:val="0"/>
          <w:bCs w:val="0"/>
        </w:rPr>
      </w:r>
    </w:p>
    <w:p>
      <w:pPr>
        <w:spacing w:line="240" w:lineRule="auto" w:before="8"/>
        <w:rPr>
          <w:rFonts w:ascii="黑体" w:hAnsi="黑体" w:cs="黑体" w:eastAsia="黑体" w:hint="default"/>
          <w:b/>
          <w:bCs/>
          <w:sz w:val="19"/>
          <w:szCs w:val="19"/>
        </w:rPr>
      </w:pPr>
    </w:p>
    <w:p>
      <w:pPr>
        <w:pStyle w:val="Heading6"/>
        <w:tabs>
          <w:tab w:pos="821" w:val="left" w:leader="none"/>
        </w:tabs>
        <w:spacing w:line="240" w:lineRule="auto" w:before="0"/>
        <w:ind w:right="3627"/>
        <w:jc w:val="left"/>
        <w:rPr>
          <w:b w:val="0"/>
          <w:bCs w:val="0"/>
        </w:rPr>
      </w:pPr>
      <w:r>
        <w:rPr>
          <w:rFonts w:ascii="Arial" w:hAnsi="Arial" w:cs="Arial" w:eastAsia="Arial" w:hint="default"/>
          <w:spacing w:val="-1"/>
          <w:w w:val="95"/>
        </w:rPr>
        <w:t>14.</w:t>
        <w:tab/>
      </w:r>
      <w:r>
        <w:rPr>
          <w:spacing w:val="2"/>
        </w:rPr>
        <w:t>固定资产</w:t>
      </w:r>
      <w:r>
        <w:rPr>
          <w:b w:val="0"/>
          <w:bCs w:val="0"/>
        </w:rPr>
      </w:r>
    </w:p>
    <w:p>
      <w:pPr>
        <w:spacing w:line="240" w:lineRule="auto" w:before="10"/>
        <w:rPr>
          <w:rFonts w:ascii="黑体" w:hAnsi="黑体" w:cs="黑体" w:eastAsia="黑体" w:hint="default"/>
          <w:b/>
          <w:bCs/>
          <w:sz w:val="24"/>
          <w:szCs w:val="24"/>
        </w:rPr>
      </w:pPr>
    </w:p>
    <w:p>
      <w:pPr>
        <w:pStyle w:val="BodyText"/>
        <w:spacing w:line="276" w:lineRule="auto"/>
        <w:ind w:right="282"/>
        <w:jc w:val="both"/>
      </w:pPr>
      <w:r>
        <w:rPr/>
        <w:t>固定资产仅</w:t>
      </w:r>
      <w:bookmarkStart w:name="14. 固定资产" w:id="44"/>
      <w:bookmarkEnd w:id="44"/>
      <w:r>
        <w:rPr/>
        <w:t>在</w:t>
      </w:r>
      <w:r>
        <w:rPr/>
        <w:t>与其有关的经济利益很可能流入本集团，且其成本能够可靠地计量时才予以</w:t>
      </w:r>
      <w:r>
        <w:rPr>
          <w:w w:val="99"/>
        </w:rPr>
        <w:t> </w:t>
      </w:r>
      <w:r>
        <w:rPr/>
        <w:t>确认。与固定资产有关的后续支出，符合该确认条件的，计入固定资产成本，并终止确认</w:t>
      </w:r>
      <w:r>
        <w:rPr>
          <w:w w:val="99"/>
        </w:rPr>
        <w:t> </w:t>
      </w:r>
      <w:r>
        <w:rPr/>
        <w:t>被替换部分的账面价值；否则，在发生时计入当期损益。</w:t>
      </w:r>
    </w:p>
    <w:p>
      <w:pPr>
        <w:spacing w:line="240" w:lineRule="auto" w:before="7"/>
        <w:rPr>
          <w:rFonts w:ascii="黑体" w:hAnsi="黑体" w:cs="黑体" w:eastAsia="黑体" w:hint="default"/>
          <w:sz w:val="23"/>
          <w:szCs w:val="23"/>
        </w:rPr>
      </w:pPr>
    </w:p>
    <w:p>
      <w:pPr>
        <w:pStyle w:val="BodyText"/>
        <w:spacing w:line="276" w:lineRule="auto"/>
        <w:ind w:right="282"/>
        <w:jc w:val="both"/>
      </w:pPr>
      <w:r>
        <w:rPr/>
        <w:t>固定资产按照成本进行初始计量。购置固定资产的成本包括购买价款、相关税费、使固定</w:t>
      </w:r>
      <w:r>
        <w:rPr>
          <w:w w:val="99"/>
        </w:rPr>
        <w:t> </w:t>
      </w:r>
      <w:r>
        <w:rPr/>
        <w:t>资产达到预定可使用状态前所发生的可直接归属于该项资产的其他支出。</w:t>
      </w:r>
    </w:p>
    <w:p>
      <w:pPr>
        <w:spacing w:line="240" w:lineRule="auto" w:before="7"/>
        <w:rPr>
          <w:rFonts w:ascii="黑体" w:hAnsi="黑体" w:cs="黑体" w:eastAsia="黑体" w:hint="default"/>
          <w:sz w:val="23"/>
          <w:szCs w:val="23"/>
        </w:rPr>
      </w:pPr>
    </w:p>
    <w:p>
      <w:pPr>
        <w:pStyle w:val="BodyText"/>
        <w:spacing w:line="276" w:lineRule="auto"/>
        <w:ind w:right="282"/>
        <w:jc w:val="both"/>
      </w:pPr>
      <w:r>
        <w:rPr/>
        <w:t>固定资产的折旧釆用年限平均法计提，各类固定资产的使用寿命、预计净残值率及年折旧</w:t>
      </w:r>
      <w:r>
        <w:rPr>
          <w:w w:val="99"/>
        </w:rPr>
        <w:t> </w:t>
      </w:r>
      <w:r>
        <w:rPr/>
        <w:t>率如下：</w:t>
      </w:r>
    </w:p>
    <w:p>
      <w:pPr>
        <w:spacing w:line="240" w:lineRule="auto" w:before="4"/>
        <w:rPr>
          <w:rFonts w:ascii="黑体" w:hAnsi="黑体" w:cs="黑体" w:eastAsia="黑体" w:hint="default"/>
          <w:sz w:val="28"/>
          <w:szCs w:val="28"/>
        </w:rPr>
      </w:pPr>
    </w:p>
    <w:tbl>
      <w:tblPr>
        <w:tblW w:w="0" w:type="auto"/>
        <w:jc w:val="left"/>
        <w:tblInd w:w="621" w:type="dxa"/>
        <w:tblLayout w:type="fixed"/>
        <w:tblCellMar>
          <w:top w:w="0" w:type="dxa"/>
          <w:left w:w="0" w:type="dxa"/>
          <w:bottom w:w="0" w:type="dxa"/>
          <w:right w:w="0" w:type="dxa"/>
        </w:tblCellMar>
        <w:tblLook w:val="01E0"/>
      </w:tblPr>
      <w:tblGrid>
        <w:gridCol w:w="2703"/>
        <w:gridCol w:w="2106"/>
        <w:gridCol w:w="1833"/>
        <w:gridCol w:w="1541"/>
      </w:tblGrid>
      <w:tr>
        <w:trPr>
          <w:trHeight w:val="250" w:hRule="exact"/>
        </w:trPr>
        <w:tc>
          <w:tcPr>
            <w:tcW w:w="2703" w:type="dxa"/>
            <w:tcBorders>
              <w:top w:val="nil" w:sz="6" w:space="0" w:color="auto"/>
              <w:left w:val="nil" w:sz="6" w:space="0" w:color="auto"/>
              <w:bottom w:val="nil" w:sz="6" w:space="0" w:color="auto"/>
              <w:right w:val="nil" w:sz="6" w:space="0" w:color="auto"/>
            </w:tcBorders>
          </w:tcPr>
          <w:p>
            <w:pPr/>
          </w:p>
        </w:tc>
        <w:tc>
          <w:tcPr>
            <w:tcW w:w="2106" w:type="dxa"/>
            <w:tcBorders>
              <w:top w:val="nil" w:sz="6" w:space="0" w:color="auto"/>
              <w:left w:val="nil" w:sz="6" w:space="0" w:color="auto"/>
              <w:bottom w:val="nil" w:sz="6" w:space="0" w:color="auto"/>
              <w:right w:val="nil" w:sz="6" w:space="0" w:color="auto"/>
            </w:tcBorders>
          </w:tcPr>
          <w:p>
            <w:pPr>
              <w:pStyle w:val="TableParagraph"/>
              <w:spacing w:line="199" w:lineRule="exact"/>
              <w:ind w:right="401"/>
              <w:jc w:val="right"/>
              <w:rPr>
                <w:rFonts w:ascii="黑体" w:hAnsi="黑体" w:cs="黑体" w:eastAsia="黑体" w:hint="default"/>
                <w:sz w:val="20"/>
                <w:szCs w:val="20"/>
              </w:rPr>
            </w:pPr>
            <w:r>
              <w:rPr>
                <w:rFonts w:ascii="黑体" w:hAnsi="黑体" w:cs="黑体" w:eastAsia="黑体" w:hint="default"/>
                <w:w w:val="95"/>
                <w:sz w:val="20"/>
                <w:szCs w:val="20"/>
              </w:rPr>
              <w:t>使用寿命</w:t>
            </w:r>
            <w:r>
              <w:rPr>
                <w:rFonts w:ascii="黑体" w:hAnsi="黑体" w:cs="黑体" w:eastAsia="黑体" w:hint="default"/>
                <w:sz w:val="20"/>
                <w:szCs w:val="20"/>
              </w:rPr>
            </w:r>
          </w:p>
        </w:tc>
        <w:tc>
          <w:tcPr>
            <w:tcW w:w="1833" w:type="dxa"/>
            <w:tcBorders>
              <w:top w:val="nil" w:sz="6" w:space="0" w:color="auto"/>
              <w:left w:val="nil" w:sz="6" w:space="0" w:color="auto"/>
              <w:bottom w:val="nil" w:sz="6" w:space="0" w:color="auto"/>
              <w:right w:val="nil" w:sz="6" w:space="0" w:color="auto"/>
            </w:tcBorders>
          </w:tcPr>
          <w:p>
            <w:pPr>
              <w:pStyle w:val="TableParagraph"/>
              <w:spacing w:line="199" w:lineRule="exact"/>
              <w:ind w:right="430"/>
              <w:jc w:val="right"/>
              <w:rPr>
                <w:rFonts w:ascii="黑体" w:hAnsi="黑体" w:cs="黑体" w:eastAsia="黑体" w:hint="default"/>
                <w:sz w:val="20"/>
                <w:szCs w:val="20"/>
              </w:rPr>
            </w:pPr>
            <w:r>
              <w:rPr>
                <w:rFonts w:ascii="黑体" w:hAnsi="黑体" w:cs="黑体" w:eastAsia="黑体" w:hint="default"/>
                <w:w w:val="95"/>
                <w:sz w:val="20"/>
                <w:szCs w:val="20"/>
              </w:rPr>
              <w:t>预计净残值</w:t>
            </w:r>
            <w:r>
              <w:rPr>
                <w:rFonts w:ascii="黑体" w:hAnsi="黑体" w:cs="黑体" w:eastAsia="黑体" w:hint="default"/>
                <w:sz w:val="20"/>
                <w:szCs w:val="20"/>
              </w:rPr>
            </w:r>
          </w:p>
        </w:tc>
        <w:tc>
          <w:tcPr>
            <w:tcW w:w="1541" w:type="dxa"/>
            <w:tcBorders>
              <w:top w:val="nil" w:sz="6" w:space="0" w:color="auto"/>
              <w:left w:val="nil" w:sz="6" w:space="0" w:color="auto"/>
              <w:bottom w:val="nil" w:sz="6" w:space="0" w:color="auto"/>
              <w:right w:val="nil" w:sz="6" w:space="0" w:color="auto"/>
            </w:tcBorders>
          </w:tcPr>
          <w:p>
            <w:pPr>
              <w:pStyle w:val="TableParagraph"/>
              <w:spacing w:line="199" w:lineRule="exact"/>
              <w:ind w:right="199"/>
              <w:jc w:val="right"/>
              <w:rPr>
                <w:rFonts w:ascii="黑体" w:hAnsi="黑体" w:cs="黑体" w:eastAsia="黑体" w:hint="default"/>
                <w:sz w:val="20"/>
                <w:szCs w:val="20"/>
              </w:rPr>
            </w:pPr>
            <w:r>
              <w:rPr>
                <w:rFonts w:ascii="黑体" w:hAnsi="黑体" w:cs="黑体" w:eastAsia="黑体" w:hint="default"/>
                <w:w w:val="95"/>
                <w:sz w:val="20"/>
                <w:szCs w:val="20"/>
              </w:rPr>
              <w:t>年折旧率</w:t>
            </w:r>
            <w:r>
              <w:rPr>
                <w:rFonts w:ascii="黑体" w:hAnsi="黑体" w:cs="黑体" w:eastAsia="黑体" w:hint="default"/>
                <w:sz w:val="20"/>
                <w:szCs w:val="20"/>
              </w:rPr>
            </w:r>
          </w:p>
        </w:tc>
      </w:tr>
      <w:tr>
        <w:trPr>
          <w:trHeight w:val="305" w:hRule="exact"/>
        </w:trPr>
        <w:tc>
          <w:tcPr>
            <w:tcW w:w="2703" w:type="dxa"/>
            <w:tcBorders>
              <w:top w:val="nil" w:sz="6" w:space="0" w:color="auto"/>
              <w:left w:val="nil" w:sz="6" w:space="0" w:color="auto"/>
              <w:bottom w:val="nil" w:sz="6" w:space="0" w:color="auto"/>
              <w:right w:val="nil" w:sz="6" w:space="0" w:color="auto"/>
            </w:tcBorders>
          </w:tcPr>
          <w:p>
            <w:pPr>
              <w:pStyle w:val="TableParagraph"/>
              <w:spacing w:line="250" w:lineRule="exact"/>
              <w:ind w:left="200" w:right="0"/>
              <w:jc w:val="left"/>
              <w:rPr>
                <w:rFonts w:ascii="黑体" w:hAnsi="黑体" w:cs="黑体" w:eastAsia="黑体" w:hint="default"/>
                <w:sz w:val="20"/>
                <w:szCs w:val="20"/>
              </w:rPr>
            </w:pPr>
            <w:r>
              <w:rPr>
                <w:rFonts w:ascii="黑体" w:hAnsi="黑体" w:cs="黑体" w:eastAsia="黑体" w:hint="default"/>
                <w:sz w:val="20"/>
                <w:szCs w:val="20"/>
              </w:rPr>
              <w:t>房屋及建筑物</w:t>
            </w:r>
          </w:p>
        </w:tc>
        <w:tc>
          <w:tcPr>
            <w:tcW w:w="2106" w:type="dxa"/>
            <w:tcBorders>
              <w:top w:val="nil" w:sz="6" w:space="0" w:color="auto"/>
              <w:left w:val="nil" w:sz="6" w:space="0" w:color="auto"/>
              <w:bottom w:val="nil" w:sz="6" w:space="0" w:color="auto"/>
              <w:right w:val="nil" w:sz="6" w:space="0" w:color="auto"/>
            </w:tcBorders>
          </w:tcPr>
          <w:p>
            <w:pPr>
              <w:pStyle w:val="TableParagraph"/>
              <w:spacing w:line="264" w:lineRule="exact"/>
              <w:ind w:right="401"/>
              <w:jc w:val="right"/>
              <w:rPr>
                <w:rFonts w:ascii="黑体" w:hAnsi="黑体" w:cs="黑体" w:eastAsia="黑体" w:hint="default"/>
                <w:sz w:val="20"/>
                <w:szCs w:val="20"/>
              </w:rPr>
            </w:pPr>
            <w:r>
              <w:rPr>
                <w:rFonts w:ascii="Arial" w:hAnsi="Arial" w:cs="Arial" w:eastAsia="Arial" w:hint="default"/>
                <w:spacing w:val="-1"/>
                <w:w w:val="95"/>
                <w:sz w:val="20"/>
                <w:szCs w:val="20"/>
              </w:rPr>
              <w:t>40</w:t>
            </w:r>
            <w:r>
              <w:rPr>
                <w:rFonts w:ascii="黑体" w:hAnsi="黑体" w:cs="黑体" w:eastAsia="黑体" w:hint="default"/>
                <w:spacing w:val="-1"/>
                <w:w w:val="95"/>
                <w:sz w:val="20"/>
                <w:szCs w:val="20"/>
              </w:rPr>
              <w:t>年</w:t>
            </w:r>
            <w:r>
              <w:rPr>
                <w:rFonts w:ascii="黑体" w:hAnsi="黑体" w:cs="黑体" w:eastAsia="黑体" w:hint="default"/>
                <w:spacing w:val="-1"/>
                <w:sz w:val="20"/>
                <w:szCs w:val="20"/>
              </w:rPr>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28"/>
              <w:jc w:val="right"/>
              <w:rPr>
                <w:rFonts w:ascii="Arial" w:hAnsi="Arial" w:cs="Arial" w:eastAsia="Arial" w:hint="default"/>
                <w:sz w:val="20"/>
                <w:szCs w:val="20"/>
              </w:rPr>
            </w:pPr>
            <w:r>
              <w:rPr>
                <w:rFonts w:ascii="Arial"/>
                <w:spacing w:val="-1"/>
                <w:w w:val="95"/>
                <w:sz w:val="20"/>
              </w:rPr>
              <w:t>3%</w:t>
            </w:r>
            <w:r>
              <w:rPr>
                <w:rFonts w:ascii="Arial"/>
                <w:spacing w:val="-1"/>
                <w:sz w:val="20"/>
              </w:rPr>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99"/>
              <w:jc w:val="right"/>
              <w:rPr>
                <w:rFonts w:ascii="Arial" w:hAnsi="Arial" w:cs="Arial" w:eastAsia="Arial" w:hint="default"/>
                <w:sz w:val="20"/>
                <w:szCs w:val="20"/>
              </w:rPr>
            </w:pPr>
            <w:r>
              <w:rPr>
                <w:rFonts w:ascii="Arial"/>
                <w:spacing w:val="-1"/>
                <w:w w:val="95"/>
                <w:sz w:val="20"/>
              </w:rPr>
              <w:t>2.4%</w:t>
            </w:r>
            <w:r>
              <w:rPr>
                <w:rFonts w:ascii="Arial"/>
                <w:sz w:val="20"/>
              </w:rPr>
            </w:r>
          </w:p>
        </w:tc>
      </w:tr>
      <w:tr>
        <w:trPr>
          <w:trHeight w:val="300" w:hRule="exact"/>
        </w:trPr>
        <w:tc>
          <w:tcPr>
            <w:tcW w:w="2703"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黑体" w:hAnsi="黑体" w:cs="黑体" w:eastAsia="黑体" w:hint="default"/>
                <w:sz w:val="20"/>
                <w:szCs w:val="20"/>
              </w:rPr>
            </w:pPr>
            <w:r>
              <w:rPr>
                <w:rFonts w:ascii="黑体" w:hAnsi="黑体" w:cs="黑体" w:eastAsia="黑体" w:hint="default"/>
                <w:sz w:val="20"/>
                <w:szCs w:val="20"/>
              </w:rPr>
              <w:t>运输工具</w:t>
            </w:r>
          </w:p>
        </w:tc>
        <w:tc>
          <w:tcPr>
            <w:tcW w:w="2106" w:type="dxa"/>
            <w:tcBorders>
              <w:top w:val="nil" w:sz="6" w:space="0" w:color="auto"/>
              <w:left w:val="nil" w:sz="6" w:space="0" w:color="auto"/>
              <w:bottom w:val="nil" w:sz="6" w:space="0" w:color="auto"/>
              <w:right w:val="nil" w:sz="6" w:space="0" w:color="auto"/>
            </w:tcBorders>
          </w:tcPr>
          <w:p>
            <w:pPr>
              <w:pStyle w:val="TableParagraph"/>
              <w:spacing w:line="259" w:lineRule="exact"/>
              <w:ind w:right="400"/>
              <w:jc w:val="right"/>
              <w:rPr>
                <w:rFonts w:ascii="黑体" w:hAnsi="黑体" w:cs="黑体" w:eastAsia="黑体" w:hint="default"/>
                <w:sz w:val="20"/>
                <w:szCs w:val="20"/>
              </w:rPr>
            </w:pPr>
            <w:r>
              <w:rPr>
                <w:rFonts w:ascii="Arial" w:hAnsi="Arial" w:cs="Arial" w:eastAsia="Arial" w:hint="default"/>
                <w:spacing w:val="-1"/>
                <w:w w:val="95"/>
                <w:sz w:val="20"/>
                <w:szCs w:val="20"/>
              </w:rPr>
              <w:t>6</w:t>
            </w:r>
            <w:r>
              <w:rPr>
                <w:rFonts w:ascii="黑体" w:hAnsi="黑体" w:cs="黑体" w:eastAsia="黑体" w:hint="default"/>
                <w:spacing w:val="-1"/>
                <w:w w:val="95"/>
                <w:sz w:val="20"/>
                <w:szCs w:val="20"/>
              </w:rPr>
              <w:t>年</w:t>
            </w:r>
            <w:r>
              <w:rPr>
                <w:rFonts w:ascii="黑体" w:hAnsi="黑体" w:cs="黑体" w:eastAsia="黑体" w:hint="default"/>
                <w:spacing w:val="-1"/>
                <w:sz w:val="20"/>
                <w:szCs w:val="20"/>
              </w:rPr>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29"/>
              <w:jc w:val="right"/>
              <w:rPr>
                <w:rFonts w:ascii="Arial" w:hAnsi="Arial" w:cs="Arial" w:eastAsia="Arial" w:hint="default"/>
                <w:sz w:val="20"/>
                <w:szCs w:val="20"/>
              </w:rPr>
            </w:pPr>
            <w:r>
              <w:rPr>
                <w:rFonts w:ascii="Arial"/>
                <w:spacing w:val="-1"/>
                <w:w w:val="95"/>
                <w:sz w:val="20"/>
              </w:rPr>
              <w:t>3%</w:t>
            </w:r>
            <w:r>
              <w:rPr>
                <w:rFonts w:ascii="Arial"/>
                <w:spacing w:val="-1"/>
                <w:sz w:val="20"/>
              </w:rPr>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98"/>
              <w:jc w:val="right"/>
              <w:rPr>
                <w:rFonts w:ascii="Arial" w:hAnsi="Arial" w:cs="Arial" w:eastAsia="Arial" w:hint="default"/>
                <w:sz w:val="20"/>
                <w:szCs w:val="20"/>
              </w:rPr>
            </w:pPr>
            <w:r>
              <w:rPr>
                <w:rFonts w:ascii="Arial"/>
                <w:spacing w:val="-1"/>
                <w:w w:val="95"/>
                <w:sz w:val="20"/>
              </w:rPr>
              <w:t>16.2%</w:t>
            </w:r>
            <w:r>
              <w:rPr>
                <w:rFonts w:ascii="Arial"/>
                <w:spacing w:val="-1"/>
                <w:sz w:val="20"/>
              </w:rPr>
            </w:r>
          </w:p>
        </w:tc>
      </w:tr>
      <w:tr>
        <w:trPr>
          <w:trHeight w:val="300" w:hRule="exact"/>
        </w:trPr>
        <w:tc>
          <w:tcPr>
            <w:tcW w:w="2703"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黑体" w:hAnsi="黑体" w:cs="黑体" w:eastAsia="黑体" w:hint="default"/>
                <w:sz w:val="20"/>
                <w:szCs w:val="20"/>
              </w:rPr>
            </w:pPr>
            <w:r>
              <w:rPr>
                <w:rFonts w:ascii="黑体" w:hAnsi="黑体" w:cs="黑体" w:eastAsia="黑体" w:hint="default"/>
                <w:sz w:val="20"/>
                <w:szCs w:val="20"/>
              </w:rPr>
              <w:t>办公及电子设备</w:t>
            </w:r>
          </w:p>
        </w:tc>
        <w:tc>
          <w:tcPr>
            <w:tcW w:w="2106" w:type="dxa"/>
            <w:tcBorders>
              <w:top w:val="nil" w:sz="6" w:space="0" w:color="auto"/>
              <w:left w:val="nil" w:sz="6" w:space="0" w:color="auto"/>
              <w:bottom w:val="nil" w:sz="6" w:space="0" w:color="auto"/>
              <w:right w:val="nil" w:sz="6" w:space="0" w:color="auto"/>
            </w:tcBorders>
          </w:tcPr>
          <w:p>
            <w:pPr>
              <w:pStyle w:val="TableParagraph"/>
              <w:spacing w:line="259" w:lineRule="exact"/>
              <w:ind w:right="400"/>
              <w:jc w:val="right"/>
              <w:rPr>
                <w:rFonts w:ascii="黑体" w:hAnsi="黑体" w:cs="黑体" w:eastAsia="黑体" w:hint="default"/>
                <w:sz w:val="20"/>
                <w:szCs w:val="20"/>
              </w:rPr>
            </w:pPr>
            <w:r>
              <w:rPr>
                <w:rFonts w:ascii="Arial" w:hAnsi="Arial" w:cs="Arial" w:eastAsia="Arial" w:hint="default"/>
                <w:spacing w:val="-1"/>
                <w:w w:val="95"/>
                <w:sz w:val="20"/>
                <w:szCs w:val="20"/>
              </w:rPr>
              <w:t>3-5</w:t>
            </w:r>
            <w:r>
              <w:rPr>
                <w:rFonts w:ascii="黑体" w:hAnsi="黑体" w:cs="黑体" w:eastAsia="黑体" w:hint="default"/>
                <w:spacing w:val="-1"/>
                <w:w w:val="95"/>
                <w:sz w:val="20"/>
                <w:szCs w:val="20"/>
              </w:rPr>
              <w:t>年</w:t>
            </w:r>
            <w:r>
              <w:rPr>
                <w:rFonts w:ascii="黑体" w:hAnsi="黑体" w:cs="黑体" w:eastAsia="黑体" w:hint="default"/>
                <w:spacing w:val="-1"/>
                <w:sz w:val="20"/>
                <w:szCs w:val="20"/>
              </w:rPr>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29"/>
              <w:jc w:val="right"/>
              <w:rPr>
                <w:rFonts w:ascii="Arial" w:hAnsi="Arial" w:cs="Arial" w:eastAsia="Arial" w:hint="default"/>
                <w:sz w:val="20"/>
                <w:szCs w:val="20"/>
              </w:rPr>
            </w:pPr>
            <w:r>
              <w:rPr>
                <w:rFonts w:ascii="Arial"/>
                <w:spacing w:val="-1"/>
                <w:w w:val="95"/>
                <w:sz w:val="20"/>
              </w:rPr>
              <w:t>0%</w:t>
            </w:r>
            <w:r>
              <w:rPr>
                <w:rFonts w:ascii="Arial"/>
                <w:sz w:val="20"/>
              </w:rPr>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98"/>
              <w:jc w:val="right"/>
              <w:rPr>
                <w:rFonts w:ascii="Arial" w:hAnsi="Arial" w:cs="Arial" w:eastAsia="Arial" w:hint="default"/>
                <w:sz w:val="20"/>
                <w:szCs w:val="20"/>
              </w:rPr>
            </w:pPr>
            <w:r>
              <w:rPr>
                <w:rFonts w:ascii="Arial"/>
                <w:spacing w:val="-1"/>
                <w:sz w:val="20"/>
              </w:rPr>
              <w:t>20-33%</w:t>
            </w:r>
          </w:p>
        </w:tc>
      </w:tr>
      <w:tr>
        <w:trPr>
          <w:trHeight w:val="254" w:hRule="exact"/>
        </w:trPr>
        <w:tc>
          <w:tcPr>
            <w:tcW w:w="2703"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黑体" w:hAnsi="黑体" w:cs="黑体" w:eastAsia="黑体" w:hint="default"/>
                <w:sz w:val="20"/>
                <w:szCs w:val="20"/>
              </w:rPr>
            </w:pPr>
            <w:r>
              <w:rPr>
                <w:rFonts w:ascii="黑体" w:hAnsi="黑体" w:cs="黑体" w:eastAsia="黑体" w:hint="default"/>
                <w:sz w:val="20"/>
                <w:szCs w:val="20"/>
              </w:rPr>
              <w:t>机器设备</w:t>
            </w:r>
          </w:p>
        </w:tc>
        <w:tc>
          <w:tcPr>
            <w:tcW w:w="2106" w:type="dxa"/>
            <w:tcBorders>
              <w:top w:val="nil" w:sz="6" w:space="0" w:color="auto"/>
              <w:left w:val="nil" w:sz="6" w:space="0" w:color="auto"/>
              <w:bottom w:val="nil" w:sz="6" w:space="0" w:color="auto"/>
              <w:right w:val="nil" w:sz="6" w:space="0" w:color="auto"/>
            </w:tcBorders>
          </w:tcPr>
          <w:p>
            <w:pPr>
              <w:pStyle w:val="TableParagraph"/>
              <w:spacing w:line="259" w:lineRule="exact"/>
              <w:ind w:right="400"/>
              <w:jc w:val="right"/>
              <w:rPr>
                <w:rFonts w:ascii="黑体" w:hAnsi="黑体" w:cs="黑体" w:eastAsia="黑体" w:hint="default"/>
                <w:sz w:val="20"/>
                <w:szCs w:val="20"/>
              </w:rPr>
            </w:pPr>
            <w:r>
              <w:rPr>
                <w:rFonts w:ascii="Arial" w:hAnsi="Arial" w:cs="Arial" w:eastAsia="Arial" w:hint="default"/>
                <w:spacing w:val="-1"/>
                <w:w w:val="95"/>
                <w:sz w:val="20"/>
                <w:szCs w:val="20"/>
              </w:rPr>
              <w:t>8-20</w:t>
            </w:r>
            <w:r>
              <w:rPr>
                <w:rFonts w:ascii="黑体" w:hAnsi="黑体" w:cs="黑体" w:eastAsia="黑体" w:hint="default"/>
                <w:spacing w:val="-1"/>
                <w:w w:val="95"/>
                <w:sz w:val="20"/>
                <w:szCs w:val="20"/>
              </w:rPr>
              <w:t>年</w:t>
            </w:r>
            <w:r>
              <w:rPr>
                <w:rFonts w:ascii="黑体" w:hAnsi="黑体" w:cs="黑体" w:eastAsia="黑体" w:hint="default"/>
                <w:spacing w:val="-1"/>
                <w:sz w:val="20"/>
                <w:szCs w:val="20"/>
              </w:rPr>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29"/>
              <w:jc w:val="right"/>
              <w:rPr>
                <w:rFonts w:ascii="Arial" w:hAnsi="Arial" w:cs="Arial" w:eastAsia="Arial" w:hint="default"/>
                <w:sz w:val="20"/>
                <w:szCs w:val="20"/>
              </w:rPr>
            </w:pPr>
            <w:r>
              <w:rPr>
                <w:rFonts w:ascii="Arial"/>
                <w:spacing w:val="-1"/>
                <w:w w:val="95"/>
                <w:sz w:val="20"/>
              </w:rPr>
              <w:t>3%</w:t>
            </w:r>
            <w:r>
              <w:rPr>
                <w:rFonts w:ascii="Arial"/>
                <w:spacing w:val="-1"/>
                <w:sz w:val="20"/>
              </w:rPr>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99"/>
              <w:jc w:val="right"/>
              <w:rPr>
                <w:rFonts w:ascii="Arial" w:hAnsi="Arial" w:cs="Arial" w:eastAsia="Arial" w:hint="default"/>
                <w:sz w:val="20"/>
                <w:szCs w:val="20"/>
              </w:rPr>
            </w:pPr>
            <w:r>
              <w:rPr>
                <w:rFonts w:ascii="Arial"/>
                <w:spacing w:val="-1"/>
                <w:sz w:val="20"/>
              </w:rPr>
              <w:t>4.9-12.1%</w:t>
            </w:r>
          </w:p>
        </w:tc>
      </w:tr>
    </w:tbl>
    <w:p>
      <w:pPr>
        <w:spacing w:line="240" w:lineRule="auto" w:before="3"/>
        <w:rPr>
          <w:rFonts w:ascii="黑体" w:hAnsi="黑体" w:cs="黑体" w:eastAsia="黑体" w:hint="default"/>
          <w:sz w:val="22"/>
          <w:szCs w:val="22"/>
        </w:rPr>
      </w:pPr>
    </w:p>
    <w:p>
      <w:pPr>
        <w:pStyle w:val="BodyText"/>
        <w:spacing w:line="276" w:lineRule="auto" w:before="37"/>
        <w:ind w:right="194"/>
        <w:jc w:val="left"/>
      </w:pPr>
      <w:r>
        <w:rPr/>
        <w:t>固定资产的各组成部分具有不同使用寿命或以不同方式为企业提供经济利益的，适用不同</w:t>
      </w:r>
      <w:r>
        <w:rPr>
          <w:spacing w:val="-86"/>
        </w:rPr>
        <w:t> </w:t>
      </w:r>
      <w:r>
        <w:rPr>
          <w:spacing w:val="-86"/>
        </w:rPr>
      </w:r>
      <w:r>
        <w:rPr/>
        <w:t>折旧率。</w:t>
      </w:r>
    </w:p>
    <w:p>
      <w:pPr>
        <w:spacing w:line="240" w:lineRule="auto" w:before="7"/>
        <w:rPr>
          <w:rFonts w:ascii="黑体" w:hAnsi="黑体" w:cs="黑体" w:eastAsia="黑体" w:hint="default"/>
          <w:sz w:val="23"/>
          <w:szCs w:val="23"/>
        </w:rPr>
      </w:pPr>
    </w:p>
    <w:p>
      <w:pPr>
        <w:pStyle w:val="BodyText"/>
        <w:spacing w:line="276" w:lineRule="auto"/>
        <w:ind w:right="194"/>
        <w:jc w:val="left"/>
      </w:pPr>
      <w:r>
        <w:rPr/>
        <w:t>本集团至少于每年年度终了，对固定资产的使用寿命、预计净残值和折旧方法进行复核，</w:t>
      </w:r>
      <w:r>
        <w:rPr>
          <w:spacing w:val="-86"/>
        </w:rPr>
        <w:t> </w:t>
      </w:r>
      <w:r>
        <w:rPr>
          <w:spacing w:val="-86"/>
        </w:rPr>
      </w:r>
      <w:r>
        <w:rPr/>
        <w:t>必要时进行调整。</w:t>
      </w:r>
    </w:p>
    <w:p>
      <w:pPr>
        <w:spacing w:line="240" w:lineRule="auto" w:before="7"/>
        <w:rPr>
          <w:rFonts w:ascii="黑体" w:hAnsi="黑体" w:cs="黑体" w:eastAsia="黑体" w:hint="default"/>
          <w:sz w:val="23"/>
          <w:szCs w:val="23"/>
        </w:rPr>
      </w:pPr>
    </w:p>
    <w:p>
      <w:pPr>
        <w:pStyle w:val="BodyText"/>
        <w:spacing w:line="240" w:lineRule="auto"/>
        <w:ind w:right="194"/>
        <w:jc w:val="left"/>
      </w:pPr>
      <w:r>
        <w:rPr/>
        <w:t>固定资产减值测试方法及减值准备计提方法，详见附注二、</w:t>
      </w:r>
      <w:r>
        <w:rPr>
          <w:rFonts w:ascii="Arial" w:hAnsi="Arial" w:cs="Arial" w:eastAsia="Arial" w:hint="default"/>
        </w:rPr>
        <w:t>27</w:t>
      </w:r>
      <w:r>
        <w:rPr/>
        <w:t>。</w:t>
      </w:r>
    </w:p>
    <w:p>
      <w:pPr>
        <w:spacing w:line="240" w:lineRule="auto" w:before="10"/>
        <w:rPr>
          <w:rFonts w:ascii="黑体" w:hAnsi="黑体" w:cs="黑体" w:eastAsia="黑体" w:hint="default"/>
          <w:sz w:val="24"/>
          <w:szCs w:val="24"/>
        </w:rPr>
      </w:pPr>
    </w:p>
    <w:p>
      <w:pPr>
        <w:pStyle w:val="Heading6"/>
        <w:tabs>
          <w:tab w:pos="821" w:val="left" w:leader="none"/>
        </w:tabs>
        <w:spacing w:line="240" w:lineRule="auto" w:before="0"/>
        <w:ind w:right="3627"/>
        <w:jc w:val="left"/>
        <w:rPr>
          <w:b w:val="0"/>
          <w:bCs w:val="0"/>
        </w:rPr>
      </w:pPr>
      <w:r>
        <w:rPr>
          <w:rFonts w:ascii="Arial" w:hAnsi="Arial" w:cs="Arial" w:eastAsia="Arial" w:hint="default"/>
          <w:spacing w:val="-1"/>
          <w:w w:val="95"/>
        </w:rPr>
        <w:t>15.</w:t>
        <w:tab/>
      </w:r>
      <w:r>
        <w:rPr>
          <w:spacing w:val="2"/>
        </w:rPr>
        <w:t>在建工程</w:t>
      </w:r>
      <w:r>
        <w:rPr>
          <w:b w:val="0"/>
          <w:bCs w:val="0"/>
        </w:rPr>
      </w:r>
    </w:p>
    <w:p>
      <w:pPr>
        <w:spacing w:line="240" w:lineRule="auto" w:before="10"/>
        <w:rPr>
          <w:rFonts w:ascii="黑体" w:hAnsi="黑体" w:cs="黑体" w:eastAsia="黑体" w:hint="default"/>
          <w:b/>
          <w:bCs/>
          <w:sz w:val="24"/>
          <w:szCs w:val="24"/>
        </w:rPr>
      </w:pPr>
    </w:p>
    <w:p>
      <w:pPr>
        <w:pStyle w:val="BodyText"/>
        <w:spacing w:line="276" w:lineRule="auto"/>
        <w:ind w:right="194"/>
        <w:jc w:val="left"/>
      </w:pPr>
      <w:r>
        <w:rPr>
          <w:w w:val="95"/>
        </w:rPr>
        <w:t>在建工程成本按实际工程支出确定﹐包括在建期间发生的各项必要工程支出、工程达到预</w:t>
      </w:r>
      <w:r>
        <w:rPr>
          <w:spacing w:val="87"/>
          <w:w w:val="95"/>
        </w:rPr>
        <w:t> </w:t>
      </w:r>
      <w:r>
        <w:rPr>
          <w:spacing w:val="87"/>
          <w:w w:val="95"/>
        </w:rPr>
      </w:r>
      <w:r>
        <w:rPr/>
        <w:t>定可使用状态前的应予资本化的借款费用以及其他相关费用等。</w:t>
      </w:r>
    </w:p>
    <w:p>
      <w:pPr>
        <w:spacing w:line="240" w:lineRule="auto" w:before="7"/>
        <w:rPr>
          <w:rFonts w:ascii="黑体" w:hAnsi="黑体" w:cs="黑体" w:eastAsia="黑体" w:hint="default"/>
          <w:sz w:val="23"/>
          <w:szCs w:val="23"/>
        </w:rPr>
      </w:pPr>
    </w:p>
    <w:p>
      <w:pPr>
        <w:pStyle w:val="BodyText"/>
        <w:spacing w:line="549" w:lineRule="auto"/>
        <w:ind w:right="2449"/>
        <w:jc w:val="left"/>
      </w:pPr>
      <w:r>
        <w:rPr/>
        <w:t>在建工程在达到预定可使用状态时转入固定资产。</w:t>
      </w:r>
      <w:r>
        <w:rPr>
          <w:w w:val="99"/>
        </w:rPr>
        <w:t> </w:t>
      </w:r>
      <w:r>
        <w:rPr/>
        <w:t>在建工程减值测试方法及减值准备计提方法，详见附注二、</w:t>
      </w:r>
      <w:r>
        <w:rPr>
          <w:rFonts w:ascii="Arial" w:hAnsi="Arial" w:cs="Arial" w:eastAsia="Arial" w:hint="default"/>
        </w:rPr>
        <w:t>27</w:t>
      </w:r>
      <w:r>
        <w:rPr/>
        <w:t>。</w:t>
      </w:r>
    </w:p>
    <w:p>
      <w:pPr>
        <w:spacing w:after="0" w:line="549" w:lineRule="auto"/>
        <w:jc w:val="left"/>
        <w:sectPr>
          <w:pgSz w:w="11910" w:h="16850"/>
          <w:pgMar w:header="957" w:footer="833" w:top="2620" w:bottom="1020" w:left="1600" w:right="1400"/>
        </w:sectPr>
      </w:pPr>
    </w:p>
    <w:p>
      <w:pPr>
        <w:spacing w:line="240" w:lineRule="auto" w:before="7"/>
        <w:rPr>
          <w:rFonts w:ascii="黑体" w:hAnsi="黑体" w:cs="黑体" w:eastAsia="黑体" w:hint="default"/>
          <w:sz w:val="17"/>
          <w:szCs w:val="17"/>
        </w:rPr>
      </w:pPr>
    </w:p>
    <w:p>
      <w:pPr>
        <w:pStyle w:val="Heading6"/>
        <w:tabs>
          <w:tab w:pos="804" w:val="left" w:leader="none"/>
        </w:tabs>
        <w:spacing w:line="240" w:lineRule="auto"/>
        <w:ind w:right="137"/>
        <w:jc w:val="left"/>
        <w:rPr>
          <w:b w:val="0"/>
          <w:bCs w:val="0"/>
        </w:rPr>
      </w:pPr>
      <w:r>
        <w:rPr>
          <w:w w:val="95"/>
        </w:rPr>
        <w:t>二、</w:t>
        <w:tab/>
      </w:r>
      <w:bookmarkStart w:name="二、   重要会计政策、会计估计和前期差错（续）" w:id="45"/>
      <w:bookmarkEnd w:id="45"/>
      <w:r>
        <w:rPr/>
        <w:t>重要</w:t>
      </w:r>
      <w:r>
        <w:rPr/>
        <w:t>会计政策、会计估计和前期差错（续）</w:t>
      </w:r>
      <w:r>
        <w:rPr>
          <w:b w:val="0"/>
          <w:bCs w:val="0"/>
        </w:rPr>
      </w:r>
    </w:p>
    <w:p>
      <w:pPr>
        <w:spacing w:line="240" w:lineRule="auto" w:before="9"/>
        <w:rPr>
          <w:rFonts w:ascii="黑体" w:hAnsi="黑体" w:cs="黑体" w:eastAsia="黑体" w:hint="default"/>
          <w:b/>
          <w:bCs/>
          <w:sz w:val="25"/>
          <w:szCs w:val="25"/>
        </w:rPr>
      </w:pPr>
    </w:p>
    <w:p>
      <w:pPr>
        <w:pStyle w:val="Heading6"/>
        <w:tabs>
          <w:tab w:pos="799" w:val="left" w:leader="none"/>
        </w:tabs>
        <w:spacing w:line="240" w:lineRule="auto" w:before="0"/>
        <w:ind w:right="137"/>
        <w:jc w:val="left"/>
        <w:rPr>
          <w:b w:val="0"/>
          <w:bCs w:val="0"/>
        </w:rPr>
      </w:pPr>
      <w:r>
        <w:rPr>
          <w:rFonts w:ascii="Arial" w:hAnsi="Arial" w:cs="Arial" w:eastAsia="Arial" w:hint="default"/>
          <w:spacing w:val="-1"/>
          <w:w w:val="95"/>
        </w:rPr>
        <w:t>16.</w:t>
        <w:tab/>
      </w:r>
      <w:r>
        <w:rPr>
          <w:spacing w:val="2"/>
        </w:rPr>
        <w:t>借款费用</w:t>
      </w:r>
      <w:r>
        <w:rPr>
          <w:b w:val="0"/>
          <w:bCs w:val="0"/>
        </w:rPr>
      </w:r>
    </w:p>
    <w:p>
      <w:pPr>
        <w:spacing w:line="240" w:lineRule="auto" w:before="10"/>
        <w:rPr>
          <w:rFonts w:ascii="黑体" w:hAnsi="黑体" w:cs="黑体" w:eastAsia="黑体" w:hint="default"/>
          <w:b/>
          <w:bCs/>
          <w:sz w:val="24"/>
          <w:szCs w:val="24"/>
        </w:rPr>
      </w:pPr>
    </w:p>
    <w:p>
      <w:pPr>
        <w:pStyle w:val="BodyText"/>
        <w:spacing w:line="276" w:lineRule="auto"/>
        <w:ind w:right="139"/>
        <w:jc w:val="both"/>
      </w:pPr>
      <w:r>
        <w:rPr>
          <w:w w:val="95"/>
        </w:rPr>
        <w:t>借款费用，是指本集团因借款而发生的利息及其他相关成本，包括借款利息、折价或者溢</w:t>
      </w:r>
      <w:r>
        <w:rPr>
          <w:spacing w:val="89"/>
          <w:w w:val="95"/>
        </w:rPr>
        <w:t> </w:t>
      </w:r>
      <w:r>
        <w:rPr>
          <w:spacing w:val="89"/>
          <w:w w:val="95"/>
        </w:rPr>
      </w:r>
      <w:r>
        <w:rPr/>
        <w:t>价的摊销、辅助费用以及因外币借款而发生的汇兑差额等。</w:t>
      </w:r>
    </w:p>
    <w:p>
      <w:pPr>
        <w:spacing w:line="240" w:lineRule="auto" w:before="7"/>
        <w:rPr>
          <w:rFonts w:ascii="黑体" w:hAnsi="黑体" w:cs="黑体" w:eastAsia="黑体" w:hint="default"/>
          <w:sz w:val="23"/>
          <w:szCs w:val="23"/>
        </w:rPr>
      </w:pPr>
    </w:p>
    <w:p>
      <w:pPr>
        <w:pStyle w:val="BodyText"/>
        <w:spacing w:line="276" w:lineRule="auto"/>
        <w:ind w:right="142"/>
        <w:jc w:val="both"/>
      </w:pPr>
      <w:r>
        <w:rPr>
          <w:w w:val="95"/>
        </w:rPr>
        <w:t>可直接归属于符合资本化条件的资产的购建或者生产的借款费用，予以资本化，其他借款</w:t>
      </w:r>
      <w:r>
        <w:rPr>
          <w:spacing w:val="87"/>
          <w:w w:val="95"/>
        </w:rPr>
        <w:t> </w:t>
      </w:r>
      <w:r>
        <w:rPr>
          <w:spacing w:val="87"/>
          <w:w w:val="95"/>
        </w:rPr>
      </w:r>
      <w:r>
        <w:rPr>
          <w:w w:val="95"/>
        </w:rPr>
        <w:t>费用计入当期损益。符合资本化条件的资产，是指需要经过相当长时间的购建或者生产活</w:t>
      </w:r>
      <w:r>
        <w:rPr>
          <w:spacing w:val="87"/>
          <w:w w:val="95"/>
        </w:rPr>
        <w:t> </w:t>
      </w:r>
      <w:r>
        <w:rPr>
          <w:spacing w:val="87"/>
          <w:w w:val="95"/>
        </w:rPr>
      </w:r>
      <w:r>
        <w:rPr/>
        <w:t>动才能达到预定可使用或者可销售状态的固定资产、投资性房地产和存货等资产。</w:t>
      </w:r>
    </w:p>
    <w:p>
      <w:pPr>
        <w:spacing w:line="240" w:lineRule="auto" w:before="7"/>
        <w:rPr>
          <w:rFonts w:ascii="黑体" w:hAnsi="黑体" w:cs="黑体" w:eastAsia="黑体" w:hint="default"/>
          <w:sz w:val="23"/>
          <w:szCs w:val="23"/>
        </w:rPr>
      </w:pPr>
    </w:p>
    <w:p>
      <w:pPr>
        <w:pStyle w:val="BodyText"/>
        <w:spacing w:line="240" w:lineRule="auto"/>
        <w:ind w:right="0"/>
        <w:jc w:val="both"/>
      </w:pPr>
      <w:r>
        <w:rPr/>
        <w:t>借款费用同时满足下列条件的，才能开始资本化：</w:t>
      </w:r>
    </w:p>
    <w:p>
      <w:pPr>
        <w:spacing w:line="240" w:lineRule="auto" w:before="0"/>
        <w:rPr>
          <w:rFonts w:ascii="黑体" w:hAnsi="黑体" w:cs="黑体" w:eastAsia="黑体" w:hint="default"/>
          <w:sz w:val="20"/>
          <w:szCs w:val="20"/>
        </w:rPr>
      </w:pPr>
    </w:p>
    <w:p>
      <w:pPr>
        <w:pStyle w:val="BodyText"/>
        <w:spacing w:line="240" w:lineRule="auto" w:before="156"/>
        <w:ind w:left="821" w:right="0"/>
        <w:jc w:val="both"/>
      </w:pPr>
      <w:r>
        <w:rPr>
          <w:rFonts w:ascii="Arial" w:hAnsi="Arial" w:cs="Arial" w:eastAsia="Arial" w:hint="default"/>
        </w:rPr>
        <w:t>(1)       </w:t>
      </w:r>
      <w:r>
        <w:rPr>
          <w:rFonts w:ascii="Arial" w:hAnsi="Arial" w:cs="Arial" w:eastAsia="Arial" w:hint="default"/>
          <w:spacing w:val="26"/>
        </w:rPr>
        <w:t> </w:t>
      </w:r>
      <w:r>
        <w:rPr/>
        <w:t>资产支出已经发生；</w:t>
      </w:r>
    </w:p>
    <w:p>
      <w:pPr>
        <w:pStyle w:val="BodyText"/>
        <w:spacing w:line="240" w:lineRule="auto" w:before="84"/>
        <w:ind w:left="821" w:right="0"/>
        <w:jc w:val="both"/>
      </w:pPr>
      <w:r>
        <w:rPr>
          <w:rFonts w:ascii="Arial" w:hAnsi="Arial" w:cs="Arial" w:eastAsia="Arial" w:hint="default"/>
        </w:rPr>
        <w:t>(2)       </w:t>
      </w:r>
      <w:r>
        <w:rPr>
          <w:rFonts w:ascii="Arial" w:hAnsi="Arial" w:cs="Arial" w:eastAsia="Arial" w:hint="default"/>
          <w:spacing w:val="26"/>
        </w:rPr>
        <w:t> </w:t>
      </w:r>
      <w:r>
        <w:rPr/>
        <w:t>借款费用已经发生；</w:t>
      </w:r>
    </w:p>
    <w:p>
      <w:pPr>
        <w:pStyle w:val="BodyText"/>
        <w:spacing w:line="240" w:lineRule="auto" w:before="84"/>
        <w:ind w:right="0" w:firstLine="6"/>
        <w:jc w:val="both"/>
      </w:pPr>
      <w:r>
        <w:rPr>
          <w:rFonts w:ascii="Arial" w:hAnsi="Arial" w:cs="Arial" w:eastAsia="Arial" w:hint="default"/>
        </w:rPr>
        <w:t>(3)       </w:t>
      </w:r>
      <w:r>
        <w:rPr>
          <w:rFonts w:ascii="Arial" w:hAnsi="Arial" w:cs="Arial" w:eastAsia="Arial" w:hint="default"/>
          <w:spacing w:val="23"/>
        </w:rPr>
        <w:t> </w:t>
      </w:r>
      <w:r>
        <w:rPr/>
        <w:t>为使资产达到预定可使用或者可销售状态所必要的购建或者生产活动已经开始。</w:t>
      </w:r>
    </w:p>
    <w:p>
      <w:pPr>
        <w:spacing w:line="240" w:lineRule="auto" w:before="4"/>
        <w:rPr>
          <w:rFonts w:ascii="黑体" w:hAnsi="黑体" w:cs="黑体" w:eastAsia="黑体" w:hint="default"/>
          <w:sz w:val="23"/>
          <w:szCs w:val="23"/>
        </w:rPr>
      </w:pPr>
    </w:p>
    <w:p>
      <w:pPr>
        <w:pStyle w:val="BodyText"/>
        <w:spacing w:line="276" w:lineRule="auto"/>
        <w:ind w:right="141"/>
        <w:jc w:val="both"/>
      </w:pPr>
      <w:r>
        <w:rPr>
          <w:w w:val="95"/>
        </w:rPr>
        <w:t>购建或者生产符合资本化条件的资产达到预定可使用或者可销售状态时，借款费用停止资</w:t>
      </w:r>
      <w:r>
        <w:rPr>
          <w:spacing w:val="87"/>
          <w:w w:val="95"/>
        </w:rPr>
        <w:t> </w:t>
      </w:r>
      <w:r>
        <w:rPr>
          <w:spacing w:val="87"/>
          <w:w w:val="95"/>
        </w:rPr>
      </w:r>
      <w:r>
        <w:rPr/>
        <w:t>本化。之后发生的借款费用计入当期损益。</w:t>
      </w:r>
    </w:p>
    <w:p>
      <w:pPr>
        <w:spacing w:line="240" w:lineRule="auto" w:before="7"/>
        <w:rPr>
          <w:rFonts w:ascii="黑体" w:hAnsi="黑体" w:cs="黑体" w:eastAsia="黑体" w:hint="default"/>
          <w:sz w:val="23"/>
          <w:szCs w:val="23"/>
        </w:rPr>
      </w:pPr>
    </w:p>
    <w:p>
      <w:pPr>
        <w:pStyle w:val="BodyText"/>
        <w:spacing w:line="240" w:lineRule="auto"/>
        <w:ind w:right="0"/>
        <w:jc w:val="both"/>
      </w:pPr>
      <w:r>
        <w:rPr/>
        <w:t>在资本化期间内，每一会计期间的利息资本化金额，按照下列方法确定：</w:t>
      </w:r>
    </w:p>
    <w:p>
      <w:pPr>
        <w:spacing w:line="240" w:lineRule="auto" w:before="0"/>
        <w:rPr>
          <w:rFonts w:ascii="黑体" w:hAnsi="黑体" w:cs="黑体" w:eastAsia="黑体" w:hint="default"/>
          <w:sz w:val="20"/>
          <w:szCs w:val="20"/>
        </w:rPr>
      </w:pPr>
    </w:p>
    <w:p>
      <w:pPr>
        <w:pStyle w:val="BodyText"/>
        <w:tabs>
          <w:tab w:pos="1541" w:val="left" w:leader="none"/>
        </w:tabs>
        <w:spacing w:line="312" w:lineRule="auto" w:before="156"/>
        <w:ind w:left="1541" w:right="137" w:hanging="721"/>
        <w:jc w:val="left"/>
      </w:pPr>
      <w:r>
        <w:rPr>
          <w:rFonts w:ascii="Arial" w:hAnsi="Arial" w:cs="Arial" w:eastAsia="Arial" w:hint="default"/>
          <w:spacing w:val="-1"/>
        </w:rPr>
        <w:t>(1)</w:t>
        <w:tab/>
      </w:r>
      <w:r>
        <w:rPr>
          <w:spacing w:val="2"/>
          <w:w w:val="95"/>
        </w:rPr>
        <w:t>专门借款以当期实际发生的利息费用，减去暂时性的存款利息收入或投资收益后</w:t>
      </w:r>
      <w:r>
        <w:rPr>
          <w:spacing w:val="44"/>
          <w:w w:val="95"/>
        </w:rPr>
        <w:t> </w:t>
      </w:r>
      <w:r>
        <w:rPr>
          <w:spacing w:val="44"/>
          <w:w w:val="95"/>
        </w:rPr>
      </w:r>
      <w:r>
        <w:rPr/>
        <w:t>的金额确定。</w:t>
      </w:r>
    </w:p>
    <w:p>
      <w:pPr>
        <w:pStyle w:val="BodyText"/>
        <w:tabs>
          <w:tab w:pos="1541" w:val="left" w:leader="none"/>
        </w:tabs>
        <w:spacing w:line="312" w:lineRule="auto" w:before="38"/>
        <w:ind w:left="1541" w:right="137" w:hanging="721"/>
        <w:jc w:val="left"/>
      </w:pPr>
      <w:r>
        <w:rPr>
          <w:rFonts w:ascii="Arial" w:hAnsi="Arial" w:cs="Arial" w:eastAsia="Arial" w:hint="default"/>
          <w:spacing w:val="-1"/>
        </w:rPr>
        <w:t>(2)</w:t>
        <w:tab/>
      </w:r>
      <w:r>
        <w:rPr>
          <w:spacing w:val="2"/>
          <w:w w:val="95"/>
        </w:rPr>
        <w:t>占用的一般借款，根据累计资产支出超过专门借款部分的资产支出加权平均数乘</w:t>
      </w:r>
      <w:r>
        <w:rPr>
          <w:spacing w:val="44"/>
          <w:w w:val="95"/>
        </w:rPr>
        <w:t> </w:t>
      </w:r>
      <w:r>
        <w:rPr>
          <w:spacing w:val="44"/>
          <w:w w:val="95"/>
        </w:rPr>
      </w:r>
      <w:r>
        <w:rPr/>
        <w:t>以所占用一般借款的加权平均利率计算确定。</w:t>
      </w:r>
    </w:p>
    <w:p>
      <w:pPr>
        <w:spacing w:line="240" w:lineRule="auto" w:before="11"/>
        <w:rPr>
          <w:rFonts w:ascii="黑体" w:hAnsi="黑体" w:cs="黑体" w:eastAsia="黑体" w:hint="default"/>
          <w:sz w:val="19"/>
          <w:szCs w:val="19"/>
        </w:rPr>
      </w:pPr>
    </w:p>
    <w:p>
      <w:pPr>
        <w:pStyle w:val="BodyText"/>
        <w:spacing w:line="271" w:lineRule="auto"/>
        <w:ind w:right="134"/>
        <w:jc w:val="both"/>
      </w:pPr>
      <w:r>
        <w:rPr>
          <w:w w:val="95"/>
        </w:rPr>
        <w:t>符合资本化条件的资产在购建或者生产过程中，发生除达到预定可使用或者可销售状态必</w:t>
      </w:r>
      <w:r>
        <w:rPr>
          <w:spacing w:val="87"/>
          <w:w w:val="95"/>
        </w:rPr>
        <w:t> </w:t>
      </w:r>
      <w:r>
        <w:rPr>
          <w:spacing w:val="87"/>
          <w:w w:val="95"/>
        </w:rPr>
      </w:r>
      <w:r>
        <w:rPr>
          <w:spacing w:val="2"/>
        </w:rPr>
        <w:t>要的程序之外的非正常中断、且中断时间连续超过</w:t>
      </w:r>
      <w:r>
        <w:rPr>
          <w:rFonts w:ascii="Arial" w:hAnsi="Arial" w:cs="Arial" w:eastAsia="Arial" w:hint="default"/>
          <w:spacing w:val="2"/>
        </w:rPr>
        <w:t>3</w:t>
      </w:r>
      <w:r>
        <w:rPr>
          <w:spacing w:val="2"/>
        </w:rPr>
        <w:t>个月的，暂停借款费用的资本化。在</w:t>
      </w:r>
      <w:r>
        <w:rPr>
          <w:spacing w:val="2"/>
          <w:w w:val="99"/>
        </w:rPr>
        <w:t> </w:t>
      </w:r>
      <w:r>
        <w:rPr>
          <w:w w:val="95"/>
        </w:rPr>
        <w:t>中断期间发生的借款费用确认为费用，计入当期损益，直至资产的购建或者生产活动重新</w:t>
      </w:r>
      <w:r>
        <w:rPr>
          <w:spacing w:val="87"/>
          <w:w w:val="95"/>
        </w:rPr>
        <w:t> </w:t>
      </w:r>
      <w:r>
        <w:rPr>
          <w:spacing w:val="87"/>
          <w:w w:val="95"/>
        </w:rPr>
      </w:r>
      <w:r>
        <w:rPr/>
        <w:t>开始。</w:t>
      </w:r>
    </w:p>
    <w:p>
      <w:pPr>
        <w:spacing w:after="0" w:line="271" w:lineRule="auto"/>
        <w:jc w:val="both"/>
        <w:sectPr>
          <w:pgSz w:w="11910" w:h="16850"/>
          <w:pgMar w:header="957" w:footer="833" w:top="2620" w:bottom="1020" w:left="1600" w:right="1560"/>
        </w:sectPr>
      </w:pPr>
    </w:p>
    <w:p>
      <w:pPr>
        <w:spacing w:line="240" w:lineRule="auto" w:before="7"/>
        <w:rPr>
          <w:rFonts w:ascii="黑体" w:hAnsi="黑体" w:cs="黑体" w:eastAsia="黑体" w:hint="default"/>
          <w:sz w:val="17"/>
          <w:szCs w:val="17"/>
        </w:rPr>
      </w:pPr>
    </w:p>
    <w:p>
      <w:pPr>
        <w:pStyle w:val="Heading6"/>
        <w:tabs>
          <w:tab w:pos="804" w:val="left" w:leader="none"/>
        </w:tabs>
        <w:spacing w:line="240" w:lineRule="auto"/>
        <w:ind w:right="85"/>
        <w:jc w:val="left"/>
        <w:rPr>
          <w:b w:val="0"/>
          <w:bCs w:val="0"/>
        </w:rPr>
      </w:pPr>
      <w:r>
        <w:rPr>
          <w:w w:val="95"/>
        </w:rPr>
        <w:t>二、</w:t>
        <w:tab/>
      </w:r>
      <w:bookmarkStart w:name="二、   重要会计政策、会计估计和前期差错（续）" w:id="46"/>
      <w:bookmarkEnd w:id="46"/>
      <w:r>
        <w:rPr/>
        <w:t>重要</w:t>
      </w:r>
      <w:r>
        <w:rPr/>
        <w:t>会计政策、会计估计和前期差错（续）</w:t>
      </w:r>
      <w:r>
        <w:rPr>
          <w:b w:val="0"/>
          <w:bCs w:val="0"/>
        </w:rPr>
      </w:r>
    </w:p>
    <w:p>
      <w:pPr>
        <w:spacing w:line="240" w:lineRule="auto" w:before="9"/>
        <w:rPr>
          <w:rFonts w:ascii="黑体" w:hAnsi="黑体" w:cs="黑体" w:eastAsia="黑体" w:hint="default"/>
          <w:b/>
          <w:bCs/>
          <w:sz w:val="25"/>
          <w:szCs w:val="25"/>
        </w:rPr>
      </w:pPr>
    </w:p>
    <w:p>
      <w:pPr>
        <w:pStyle w:val="Heading6"/>
        <w:tabs>
          <w:tab w:pos="821" w:val="left" w:leader="none"/>
        </w:tabs>
        <w:spacing w:line="240" w:lineRule="auto" w:before="0"/>
        <w:ind w:right="85"/>
        <w:jc w:val="left"/>
        <w:rPr>
          <w:b w:val="0"/>
          <w:bCs w:val="0"/>
        </w:rPr>
      </w:pPr>
      <w:r>
        <w:rPr>
          <w:rFonts w:ascii="Arial" w:hAnsi="Arial" w:cs="Arial" w:eastAsia="Arial" w:hint="default"/>
          <w:spacing w:val="-1"/>
          <w:w w:val="95"/>
        </w:rPr>
        <w:t>17.</w:t>
        <w:tab/>
      </w:r>
      <w:r>
        <w:rPr>
          <w:spacing w:val="2"/>
        </w:rPr>
        <w:t>无形资产</w:t>
      </w:r>
      <w:r>
        <w:rPr>
          <w:b w:val="0"/>
          <w:bCs w:val="0"/>
        </w:rPr>
      </w:r>
    </w:p>
    <w:p>
      <w:pPr>
        <w:spacing w:line="240" w:lineRule="auto" w:before="6"/>
        <w:rPr>
          <w:rFonts w:ascii="黑体" w:hAnsi="黑体" w:cs="黑体" w:eastAsia="黑体" w:hint="default"/>
          <w:b/>
          <w:bCs/>
          <w:sz w:val="19"/>
          <w:szCs w:val="19"/>
        </w:rPr>
      </w:pPr>
    </w:p>
    <w:p>
      <w:pPr>
        <w:pStyle w:val="BodyText"/>
        <w:spacing w:line="237" w:lineRule="auto"/>
        <w:ind w:right="199"/>
        <w:jc w:val="both"/>
      </w:pPr>
      <w:r>
        <w:rPr>
          <w:w w:val="95"/>
        </w:rPr>
        <w:t>无形资产仅在与其有关的经济利益很可能流入本集团，且其成本能够可靠地计量时才予以</w:t>
      </w:r>
      <w:r>
        <w:rPr>
          <w:spacing w:val="87"/>
          <w:w w:val="95"/>
        </w:rPr>
        <w:t> </w:t>
      </w:r>
      <w:r>
        <w:rPr>
          <w:spacing w:val="87"/>
          <w:w w:val="95"/>
        </w:rPr>
      </w:r>
      <w:r>
        <w:rPr>
          <w:w w:val="95"/>
        </w:rPr>
        <w:t>确认，并以成本进行初始计量。但企业合并中取得的无形资产，其公允价值能够可靠地计</w:t>
      </w:r>
      <w:r>
        <w:rPr>
          <w:spacing w:val="88"/>
          <w:w w:val="95"/>
        </w:rPr>
        <w:t> </w:t>
      </w:r>
      <w:r>
        <w:rPr>
          <w:spacing w:val="88"/>
          <w:w w:val="95"/>
        </w:rPr>
      </w:r>
      <w:r>
        <w:rPr/>
        <w:t>量的，即单独确认为无形资产并按照公允价值计量。</w:t>
      </w:r>
    </w:p>
    <w:p>
      <w:pPr>
        <w:spacing w:line="240" w:lineRule="auto" w:before="10"/>
        <w:rPr>
          <w:rFonts w:ascii="黑体" w:hAnsi="黑体" w:cs="黑体" w:eastAsia="黑体" w:hint="default"/>
          <w:sz w:val="21"/>
          <w:szCs w:val="21"/>
        </w:rPr>
      </w:pPr>
    </w:p>
    <w:p>
      <w:pPr>
        <w:pStyle w:val="BodyText"/>
        <w:spacing w:line="260" w:lineRule="exact"/>
        <w:ind w:right="202"/>
        <w:jc w:val="both"/>
      </w:pPr>
      <w:r>
        <w:rPr>
          <w:w w:val="95"/>
        </w:rPr>
        <w:t>无形资产按照其能为本集团带来经济利益的期限确定使用寿命，无法预见其为本集团带来</w:t>
      </w:r>
      <w:r>
        <w:rPr>
          <w:spacing w:val="87"/>
          <w:w w:val="95"/>
        </w:rPr>
        <w:t> </w:t>
      </w:r>
      <w:r>
        <w:rPr>
          <w:spacing w:val="87"/>
          <w:w w:val="95"/>
        </w:rPr>
      </w:r>
      <w:r>
        <w:rPr/>
        <w:t>经济利益期限的作为使用寿命不确定的无形资产。</w:t>
      </w:r>
    </w:p>
    <w:p>
      <w:pPr>
        <w:spacing w:line="240" w:lineRule="auto" w:before="13"/>
        <w:rPr>
          <w:rFonts w:ascii="黑体" w:hAnsi="黑体" w:cs="黑体" w:eastAsia="黑体" w:hint="default"/>
          <w:sz w:val="17"/>
          <w:szCs w:val="17"/>
        </w:rPr>
      </w:pPr>
    </w:p>
    <w:p>
      <w:pPr>
        <w:pStyle w:val="BodyText"/>
        <w:spacing w:line="240" w:lineRule="auto"/>
        <w:ind w:right="0"/>
        <w:jc w:val="both"/>
      </w:pPr>
      <w:r>
        <w:rPr/>
        <w:t>各项无形资产的使用寿命如下：</w:t>
      </w:r>
    </w:p>
    <w:p>
      <w:pPr>
        <w:spacing w:line="240" w:lineRule="auto" w:before="4"/>
        <w:rPr>
          <w:rFonts w:ascii="黑体" w:hAnsi="黑体" w:cs="黑体" w:eastAsia="黑体" w:hint="default"/>
          <w:sz w:val="21"/>
          <w:szCs w:val="21"/>
        </w:rPr>
      </w:pPr>
    </w:p>
    <w:p>
      <w:pPr>
        <w:pStyle w:val="BodyText"/>
        <w:spacing w:line="240" w:lineRule="auto"/>
        <w:ind w:left="0" w:right="199"/>
        <w:jc w:val="right"/>
      </w:pPr>
      <w:r>
        <w:rPr>
          <w:w w:val="95"/>
        </w:rPr>
        <w:t>使用寿命</w:t>
      </w:r>
      <w:r>
        <w:rPr/>
      </w:r>
    </w:p>
    <w:p>
      <w:pPr>
        <w:pStyle w:val="BodyText"/>
        <w:tabs>
          <w:tab w:pos="8184" w:val="left" w:leader="none"/>
        </w:tabs>
        <w:spacing w:line="267" w:lineRule="exact"/>
        <w:ind w:left="821" w:right="0"/>
        <w:jc w:val="both"/>
      </w:pPr>
      <w:r>
        <w:rPr>
          <w:w w:val="95"/>
        </w:rPr>
        <w:t>土地使用权</w:t>
        <w:tab/>
      </w:r>
      <w:r>
        <w:rPr>
          <w:rFonts w:ascii="Arial" w:hAnsi="Arial" w:cs="Arial" w:eastAsia="Arial" w:hint="default"/>
        </w:rPr>
        <w:t>50</w:t>
      </w:r>
      <w:r>
        <w:rPr/>
        <w:t>年</w:t>
      </w:r>
    </w:p>
    <w:p>
      <w:pPr>
        <w:pStyle w:val="BodyText"/>
        <w:tabs>
          <w:tab w:pos="8006" w:val="left" w:leader="none"/>
        </w:tabs>
        <w:spacing w:line="259" w:lineRule="exact"/>
        <w:ind w:left="820" w:right="0"/>
        <w:jc w:val="both"/>
      </w:pPr>
      <w:r>
        <w:rPr>
          <w:w w:val="95"/>
        </w:rPr>
        <w:t>软件著作权</w:t>
        <w:tab/>
      </w:r>
      <w:r>
        <w:rPr>
          <w:rFonts w:ascii="Arial" w:hAnsi="Arial" w:cs="Arial" w:eastAsia="Arial" w:hint="default"/>
        </w:rPr>
        <w:t>5-10</w:t>
      </w:r>
      <w:r>
        <w:rPr/>
        <w:t>年</w:t>
      </w:r>
    </w:p>
    <w:p>
      <w:pPr>
        <w:pStyle w:val="BodyText"/>
        <w:tabs>
          <w:tab w:pos="8183" w:val="left" w:leader="none"/>
        </w:tabs>
        <w:spacing w:line="268" w:lineRule="exact"/>
        <w:ind w:left="820" w:right="0"/>
        <w:jc w:val="both"/>
      </w:pPr>
      <w:r>
        <w:rPr>
          <w:w w:val="95"/>
        </w:rPr>
        <w:t>软件使用权</w:t>
        <w:tab/>
      </w:r>
      <w:r>
        <w:rPr>
          <w:rFonts w:ascii="Arial" w:hAnsi="Arial" w:cs="Arial" w:eastAsia="Arial" w:hint="default"/>
        </w:rPr>
        <w:t>10</w:t>
      </w:r>
      <w:r>
        <w:rPr/>
        <w:t>年</w:t>
      </w:r>
    </w:p>
    <w:p>
      <w:pPr>
        <w:spacing w:line="240" w:lineRule="auto" w:before="3"/>
        <w:rPr>
          <w:rFonts w:ascii="黑体" w:hAnsi="黑体" w:cs="黑体" w:eastAsia="黑体" w:hint="default"/>
          <w:sz w:val="17"/>
          <w:szCs w:val="17"/>
        </w:rPr>
      </w:pPr>
    </w:p>
    <w:p>
      <w:pPr>
        <w:pStyle w:val="BodyText"/>
        <w:spacing w:line="237" w:lineRule="auto"/>
        <w:ind w:left="813" w:right="102"/>
        <w:jc w:val="both"/>
      </w:pPr>
      <w:r>
        <w:rPr/>
        <w:t>本集团取得的土地使用权，通常作为无形资产核算。自行开发建造厂房等建筑物，相关的</w:t>
      </w:r>
      <w:r>
        <w:rPr>
          <w:w w:val="99"/>
        </w:rPr>
        <w:t> </w:t>
      </w:r>
      <w:r>
        <w:rPr/>
        <w:t>土地使用权和建筑物分别作为无形资产和固定资产核算。外购土地及建筑物支付的价款在</w:t>
      </w:r>
      <w:r>
        <w:rPr>
          <w:w w:val="99"/>
        </w:rPr>
        <w:t> </w:t>
      </w:r>
      <w:r>
        <w:rPr/>
        <w:t>土地使用权和建筑物之间进行分配，难以合理分配的，全部作为固定资产处理。</w:t>
      </w:r>
    </w:p>
    <w:p>
      <w:pPr>
        <w:spacing w:line="240" w:lineRule="auto" w:before="8"/>
        <w:rPr>
          <w:rFonts w:ascii="黑体" w:hAnsi="黑体" w:cs="黑体" w:eastAsia="黑体" w:hint="default"/>
          <w:sz w:val="19"/>
          <w:szCs w:val="19"/>
        </w:rPr>
      </w:pPr>
    </w:p>
    <w:p>
      <w:pPr>
        <w:pStyle w:val="BodyText"/>
        <w:spacing w:line="240" w:lineRule="auto"/>
        <w:ind w:left="813" w:right="102"/>
        <w:jc w:val="both"/>
      </w:pPr>
      <w:r>
        <w:rPr>
          <w:spacing w:val="-3"/>
        </w:rPr>
        <w:t>使用寿命有限的无形资产，在其使用寿命内采用直线法摊销。本集团至少于每年年度终了，</w:t>
      </w:r>
      <w:r>
        <w:rPr>
          <w:spacing w:val="-97"/>
        </w:rPr>
        <w:t> </w:t>
      </w:r>
      <w:r>
        <w:rPr>
          <w:spacing w:val="-97"/>
        </w:rPr>
      </w:r>
      <w:r>
        <w:rPr/>
        <w:t>对使用寿命有限的无形资产的使用寿命及摊销方法进行复核，必要时进行调整。</w:t>
      </w:r>
    </w:p>
    <w:p>
      <w:pPr>
        <w:spacing w:line="240" w:lineRule="auto" w:before="10"/>
        <w:rPr>
          <w:rFonts w:ascii="黑体" w:hAnsi="黑体" w:cs="黑体" w:eastAsia="黑体" w:hint="default"/>
          <w:sz w:val="19"/>
          <w:szCs w:val="19"/>
        </w:rPr>
      </w:pPr>
    </w:p>
    <w:p>
      <w:pPr>
        <w:pStyle w:val="BodyText"/>
        <w:spacing w:line="237" w:lineRule="auto"/>
        <w:ind w:left="813" w:right="200"/>
        <w:jc w:val="both"/>
      </w:pPr>
      <w:r>
        <w:rPr>
          <w:w w:val="95"/>
        </w:rPr>
        <w:t>对使用寿命不确定的无形资产，无论是否存在减值迹象，每年均进行减值测试。此类无形</w:t>
      </w:r>
      <w:r>
        <w:rPr>
          <w:spacing w:val="89"/>
          <w:w w:val="95"/>
        </w:rPr>
        <w:t> </w:t>
      </w:r>
      <w:r>
        <w:rPr>
          <w:spacing w:val="89"/>
          <w:w w:val="95"/>
        </w:rPr>
      </w:r>
      <w:r>
        <w:rPr>
          <w:w w:val="95"/>
        </w:rPr>
        <w:t>资产不予摊销，在每个会计期间对其使用寿命进行复核。如果有证据表明使用寿命是有限</w:t>
      </w:r>
      <w:r>
        <w:rPr>
          <w:spacing w:val="87"/>
          <w:w w:val="95"/>
        </w:rPr>
        <w:t> </w:t>
      </w:r>
      <w:r>
        <w:rPr>
          <w:spacing w:val="87"/>
          <w:w w:val="95"/>
        </w:rPr>
      </w:r>
      <w:r>
        <w:rPr/>
        <w:t>的，则按上述使用寿命有限的无形资产的政策进行会计处理。</w:t>
      </w:r>
    </w:p>
    <w:p>
      <w:pPr>
        <w:spacing w:line="240" w:lineRule="auto" w:before="2"/>
        <w:rPr>
          <w:rFonts w:ascii="黑体" w:hAnsi="黑体" w:cs="黑体" w:eastAsia="黑体" w:hint="default"/>
          <w:sz w:val="25"/>
          <w:szCs w:val="25"/>
        </w:rPr>
      </w:pPr>
    </w:p>
    <w:p>
      <w:pPr>
        <w:pStyle w:val="BodyText"/>
        <w:spacing w:line="276" w:lineRule="auto"/>
        <w:ind w:left="813" w:right="200"/>
        <w:jc w:val="both"/>
      </w:pPr>
      <w:r>
        <w:rPr>
          <w:w w:val="95"/>
        </w:rPr>
        <w:t>本集团将内部研究开发项目的支出，区分为研究阶段支出和开发阶段支出。研究阶段的支</w:t>
      </w:r>
      <w:r>
        <w:rPr>
          <w:spacing w:val="87"/>
          <w:w w:val="95"/>
        </w:rPr>
        <w:t> </w:t>
      </w:r>
      <w:r>
        <w:rPr>
          <w:spacing w:val="87"/>
          <w:w w:val="95"/>
        </w:rPr>
      </w:r>
      <w:r>
        <w:rPr>
          <w:w w:val="95"/>
        </w:rPr>
        <w:t>出，于发生时计入当期损益。开发阶段的支出，只有在同时满足下列条件时，才能予以资</w:t>
      </w:r>
      <w:r>
        <w:rPr>
          <w:spacing w:val="87"/>
          <w:w w:val="95"/>
        </w:rPr>
        <w:t> </w:t>
      </w:r>
      <w:r>
        <w:rPr>
          <w:spacing w:val="87"/>
          <w:w w:val="95"/>
        </w:rPr>
      </w:r>
      <w:r>
        <w:rPr>
          <w:w w:val="95"/>
        </w:rPr>
        <w:t>本化，即：完成该无形资产以使其能够使用或出售在技术上具有可行性；具有完成该无形</w:t>
      </w:r>
      <w:r>
        <w:rPr>
          <w:spacing w:val="90"/>
          <w:w w:val="95"/>
        </w:rPr>
        <w:t> </w:t>
      </w:r>
      <w:r>
        <w:rPr>
          <w:spacing w:val="90"/>
          <w:w w:val="95"/>
        </w:rPr>
      </w:r>
      <w:r>
        <w:rPr>
          <w:w w:val="95"/>
        </w:rPr>
        <w:t>资产并使用或出售的意图；无形资产产生经济利益的方式，包括能够证明运用该无形资产</w:t>
      </w:r>
      <w:r>
        <w:rPr>
          <w:spacing w:val="87"/>
          <w:w w:val="95"/>
        </w:rPr>
        <w:t> </w:t>
      </w:r>
      <w:r>
        <w:rPr>
          <w:spacing w:val="87"/>
          <w:w w:val="95"/>
        </w:rPr>
      </w:r>
      <w:r>
        <w:rPr>
          <w:w w:val="95"/>
        </w:rPr>
        <w:t>生产的产品存在市场或无形资产自身存在市场，无形资产将在内部使用的，能够证明其有</w:t>
      </w:r>
      <w:r>
        <w:rPr>
          <w:spacing w:val="87"/>
          <w:w w:val="95"/>
        </w:rPr>
        <w:t> </w:t>
      </w:r>
      <w:r>
        <w:rPr>
          <w:spacing w:val="87"/>
          <w:w w:val="95"/>
        </w:rPr>
      </w:r>
      <w:r>
        <w:rPr>
          <w:w w:val="95"/>
        </w:rPr>
        <w:t>用性；有足够的技术、财务资源和其他资源支持，以完成该无形资产的开发，并有能力使</w:t>
      </w:r>
      <w:r>
        <w:rPr>
          <w:spacing w:val="87"/>
          <w:w w:val="95"/>
        </w:rPr>
        <w:t> </w:t>
      </w:r>
      <w:r>
        <w:rPr>
          <w:spacing w:val="87"/>
          <w:w w:val="95"/>
        </w:rPr>
      </w:r>
      <w:r>
        <w:rPr>
          <w:w w:val="95"/>
        </w:rPr>
        <w:t>用或出售该无形资产；归属于该无形资产开发阶段的支出能够可靠地计量。不满足上述条</w:t>
      </w:r>
      <w:r>
        <w:rPr>
          <w:spacing w:val="87"/>
          <w:w w:val="95"/>
        </w:rPr>
        <w:t> </w:t>
      </w:r>
      <w:r>
        <w:rPr>
          <w:spacing w:val="87"/>
          <w:w w:val="95"/>
        </w:rPr>
      </w:r>
      <w:r>
        <w:rPr/>
        <w:t>件的开发支出，于发生时计入当期损益。</w:t>
      </w:r>
    </w:p>
    <w:p>
      <w:pPr>
        <w:spacing w:line="240" w:lineRule="auto" w:before="7"/>
        <w:rPr>
          <w:rFonts w:ascii="黑体" w:hAnsi="黑体" w:cs="黑体" w:eastAsia="黑体" w:hint="default"/>
          <w:sz w:val="23"/>
          <w:szCs w:val="23"/>
        </w:rPr>
      </w:pPr>
    </w:p>
    <w:p>
      <w:pPr>
        <w:pStyle w:val="BodyText"/>
        <w:spacing w:line="240" w:lineRule="auto"/>
        <w:ind w:left="813" w:right="0"/>
        <w:jc w:val="both"/>
      </w:pPr>
      <w:r>
        <w:rPr/>
        <w:t>无形资产减值测试方法及减值准备计提方法，详见附注二、</w:t>
      </w:r>
      <w:r>
        <w:rPr>
          <w:rFonts w:ascii="Arial" w:hAnsi="Arial" w:cs="Arial" w:eastAsia="Arial" w:hint="default"/>
        </w:rPr>
        <w:t>27</w:t>
      </w:r>
      <w:r>
        <w:rPr/>
        <w:t>。</w:t>
      </w:r>
    </w:p>
    <w:p>
      <w:pPr>
        <w:spacing w:line="240" w:lineRule="auto" w:before="11"/>
        <w:rPr>
          <w:rFonts w:ascii="黑体" w:hAnsi="黑体" w:cs="黑体" w:eastAsia="黑体" w:hint="default"/>
          <w:sz w:val="24"/>
          <w:szCs w:val="24"/>
        </w:rPr>
      </w:pPr>
    </w:p>
    <w:p>
      <w:pPr>
        <w:pStyle w:val="Heading6"/>
        <w:tabs>
          <w:tab w:pos="821" w:val="left" w:leader="none"/>
        </w:tabs>
        <w:spacing w:line="240" w:lineRule="auto" w:before="0"/>
        <w:ind w:right="85"/>
        <w:jc w:val="left"/>
        <w:rPr>
          <w:b w:val="0"/>
          <w:bCs w:val="0"/>
        </w:rPr>
      </w:pPr>
      <w:r>
        <w:rPr>
          <w:rFonts w:ascii="Arial" w:hAnsi="Arial" w:cs="Arial" w:eastAsia="Arial" w:hint="default"/>
          <w:spacing w:val="-1"/>
          <w:w w:val="95"/>
        </w:rPr>
        <w:t>18.</w:t>
        <w:tab/>
      </w:r>
      <w:r>
        <w:rPr>
          <w:spacing w:val="1"/>
        </w:rPr>
        <w:t>长期待摊费用</w:t>
      </w:r>
      <w:r>
        <w:rPr>
          <w:b w:val="0"/>
          <w:bCs w:val="0"/>
        </w:rPr>
      </w:r>
    </w:p>
    <w:p>
      <w:pPr>
        <w:spacing w:line="240" w:lineRule="auto" w:before="10"/>
        <w:rPr>
          <w:rFonts w:ascii="黑体" w:hAnsi="黑体" w:cs="黑体" w:eastAsia="黑体" w:hint="default"/>
          <w:b/>
          <w:bCs/>
          <w:sz w:val="24"/>
          <w:szCs w:val="24"/>
        </w:rPr>
      </w:pPr>
    </w:p>
    <w:p>
      <w:pPr>
        <w:pStyle w:val="BodyText"/>
        <w:spacing w:line="268" w:lineRule="auto"/>
        <w:ind w:right="194"/>
        <w:jc w:val="both"/>
      </w:pPr>
      <w:r>
        <w:rPr>
          <w:spacing w:val="2"/>
        </w:rPr>
        <w:t>本集团的长期待摊费用是指企业已经支出，但摊销年限在</w:t>
      </w:r>
      <w:r>
        <w:rPr>
          <w:rFonts w:ascii="Arial" w:hAnsi="Arial" w:cs="Arial" w:eastAsia="Arial" w:hint="default"/>
          <w:spacing w:val="2"/>
        </w:rPr>
        <w:t>1</w:t>
      </w:r>
      <w:r>
        <w:rPr>
          <w:spacing w:val="2"/>
        </w:rPr>
        <w:t>年以上的各项费用或因收购一</w:t>
      </w:r>
      <w:r>
        <w:rPr>
          <w:spacing w:val="2"/>
          <w:w w:val="99"/>
        </w:rPr>
        <w:t> </w:t>
      </w:r>
      <w:r>
        <w:rPr>
          <w:w w:val="95"/>
        </w:rPr>
        <w:t>些资产及业务而付出的收购对价超出收购资产的账面金额的部分。长期待摊费用在受益期</w:t>
      </w:r>
      <w:r>
        <w:rPr>
          <w:spacing w:val="87"/>
          <w:w w:val="95"/>
        </w:rPr>
        <w:t> </w:t>
      </w:r>
      <w:r>
        <w:rPr>
          <w:spacing w:val="87"/>
          <w:w w:val="95"/>
        </w:rPr>
      </w:r>
      <w:r>
        <w:rPr/>
        <w:t>限内分期平均摊销。</w:t>
      </w:r>
    </w:p>
    <w:p>
      <w:pPr>
        <w:spacing w:after="0" w:line="268" w:lineRule="auto"/>
        <w:jc w:val="both"/>
        <w:sectPr>
          <w:pgSz w:w="11910" w:h="16850"/>
          <w:pgMar w:header="957" w:footer="833" w:top="2620" w:bottom="1020" w:left="1600" w:right="1500"/>
        </w:sectPr>
      </w:pPr>
    </w:p>
    <w:p>
      <w:pPr>
        <w:spacing w:line="240" w:lineRule="auto" w:before="2"/>
        <w:rPr>
          <w:rFonts w:ascii="黑体" w:hAnsi="黑体" w:cs="黑体" w:eastAsia="黑体" w:hint="default"/>
          <w:sz w:val="19"/>
          <w:szCs w:val="19"/>
        </w:rPr>
      </w:pPr>
    </w:p>
    <w:p>
      <w:pPr>
        <w:pStyle w:val="Heading6"/>
        <w:tabs>
          <w:tab w:pos="804" w:val="left" w:leader="none"/>
        </w:tabs>
        <w:spacing w:line="240" w:lineRule="auto"/>
        <w:ind w:right="85"/>
        <w:jc w:val="left"/>
        <w:rPr>
          <w:b w:val="0"/>
          <w:bCs w:val="0"/>
        </w:rPr>
      </w:pPr>
      <w:r>
        <w:rPr>
          <w:w w:val="95"/>
        </w:rPr>
        <w:t>二、</w:t>
        <w:tab/>
      </w:r>
      <w:bookmarkStart w:name="二、   重要会计政策、会计估计和前期差错（续）" w:id="47"/>
      <w:bookmarkEnd w:id="47"/>
      <w:r>
        <w:rPr/>
        <w:t>重要</w:t>
      </w:r>
      <w:r>
        <w:rPr/>
        <w:t>会计政策、会计估计和前期差错（续）</w:t>
      </w:r>
      <w:r>
        <w:rPr>
          <w:b w:val="0"/>
          <w:bCs w:val="0"/>
        </w:rPr>
      </w:r>
    </w:p>
    <w:p>
      <w:pPr>
        <w:spacing w:line="240" w:lineRule="auto" w:before="6"/>
        <w:rPr>
          <w:rFonts w:ascii="黑体" w:hAnsi="黑体" w:cs="黑体" w:eastAsia="黑体" w:hint="default"/>
          <w:b/>
          <w:bCs/>
          <w:sz w:val="25"/>
          <w:szCs w:val="25"/>
        </w:rPr>
      </w:pPr>
    </w:p>
    <w:p>
      <w:pPr>
        <w:pStyle w:val="Heading6"/>
        <w:tabs>
          <w:tab w:pos="821" w:val="left" w:leader="none"/>
        </w:tabs>
        <w:spacing w:line="240" w:lineRule="auto" w:before="0"/>
        <w:ind w:right="85"/>
        <w:jc w:val="left"/>
        <w:rPr>
          <w:b w:val="0"/>
          <w:bCs w:val="0"/>
        </w:rPr>
      </w:pPr>
      <w:r>
        <w:rPr>
          <w:rFonts w:ascii="Arial" w:hAnsi="Arial" w:cs="Arial" w:eastAsia="Arial" w:hint="default"/>
          <w:spacing w:val="-1"/>
          <w:w w:val="95"/>
        </w:rPr>
        <w:t>19.</w:t>
        <w:tab/>
      </w:r>
      <w:r>
        <w:rPr>
          <w:spacing w:val="2"/>
        </w:rPr>
        <w:t>预计负债</w:t>
      </w:r>
      <w:r>
        <w:rPr>
          <w:b w:val="0"/>
          <w:bCs w:val="0"/>
        </w:rPr>
      </w:r>
    </w:p>
    <w:p>
      <w:pPr>
        <w:spacing w:line="240" w:lineRule="auto" w:before="10"/>
        <w:rPr>
          <w:rFonts w:ascii="黑体" w:hAnsi="黑体" w:cs="黑体" w:eastAsia="黑体" w:hint="default"/>
          <w:b/>
          <w:bCs/>
          <w:sz w:val="24"/>
          <w:szCs w:val="24"/>
        </w:rPr>
      </w:pPr>
    </w:p>
    <w:p>
      <w:pPr>
        <w:pStyle w:val="BodyText"/>
        <w:spacing w:line="276" w:lineRule="auto"/>
        <w:ind w:right="202"/>
        <w:jc w:val="both"/>
      </w:pPr>
      <w:r>
        <w:rPr>
          <w:w w:val="95"/>
        </w:rPr>
        <w:t>除企业合并中的或有对价及承担的或有负债之外，当与或有事项相关的义务同时符合以下</w:t>
      </w:r>
      <w:r>
        <w:rPr>
          <w:spacing w:val="87"/>
          <w:w w:val="95"/>
        </w:rPr>
        <w:t> </w:t>
      </w:r>
      <w:r>
        <w:rPr>
          <w:spacing w:val="87"/>
          <w:w w:val="95"/>
        </w:rPr>
      </w:r>
      <w:r>
        <w:rPr/>
        <w:t>条件，本集团将其确认为预计负债：</w:t>
      </w:r>
    </w:p>
    <w:p>
      <w:pPr>
        <w:spacing w:line="240" w:lineRule="auto" w:before="7"/>
        <w:rPr>
          <w:rFonts w:ascii="黑体" w:hAnsi="黑体" w:cs="黑体" w:eastAsia="黑体" w:hint="default"/>
          <w:sz w:val="23"/>
          <w:szCs w:val="23"/>
        </w:rPr>
      </w:pPr>
    </w:p>
    <w:p>
      <w:pPr>
        <w:pStyle w:val="BodyText"/>
        <w:spacing w:line="240" w:lineRule="auto"/>
        <w:ind w:left="821" w:right="0"/>
        <w:jc w:val="both"/>
      </w:pPr>
      <w:r>
        <w:rPr>
          <w:rFonts w:ascii="Arial" w:hAnsi="Arial" w:cs="Arial" w:eastAsia="Arial" w:hint="default"/>
        </w:rPr>
        <w:t>(1)       </w:t>
      </w:r>
      <w:r>
        <w:rPr>
          <w:rFonts w:ascii="Arial" w:hAnsi="Arial" w:cs="Arial" w:eastAsia="Arial" w:hint="default"/>
          <w:spacing w:val="25"/>
        </w:rPr>
        <w:t> </w:t>
      </w:r>
      <w:r>
        <w:rPr/>
        <w:t>该义务是本集团承担的现时义务；</w:t>
      </w:r>
    </w:p>
    <w:p>
      <w:pPr>
        <w:pStyle w:val="BodyText"/>
        <w:spacing w:line="240" w:lineRule="auto" w:before="24"/>
        <w:ind w:left="821" w:right="0"/>
        <w:jc w:val="both"/>
      </w:pPr>
      <w:r>
        <w:rPr>
          <w:rFonts w:ascii="Arial" w:hAnsi="Arial" w:cs="Arial" w:eastAsia="Arial" w:hint="default"/>
        </w:rPr>
        <w:t>(2)       </w:t>
      </w:r>
      <w:r>
        <w:rPr>
          <w:rFonts w:ascii="Arial" w:hAnsi="Arial" w:cs="Arial" w:eastAsia="Arial" w:hint="default"/>
          <w:spacing w:val="24"/>
        </w:rPr>
        <w:t> </w:t>
      </w:r>
      <w:r>
        <w:rPr/>
        <w:t>该义务的履行很可能导致经济利益流出本集团；</w:t>
      </w:r>
    </w:p>
    <w:p>
      <w:pPr>
        <w:pStyle w:val="BodyText"/>
        <w:spacing w:line="240" w:lineRule="auto" w:before="24"/>
        <w:ind w:left="821" w:right="0"/>
        <w:jc w:val="both"/>
      </w:pPr>
      <w:r>
        <w:rPr>
          <w:rFonts w:ascii="Arial" w:hAnsi="Arial" w:cs="Arial" w:eastAsia="Arial" w:hint="default"/>
        </w:rPr>
        <w:t>(3)       </w:t>
      </w:r>
      <w:r>
        <w:rPr>
          <w:rFonts w:ascii="Arial" w:hAnsi="Arial" w:cs="Arial" w:eastAsia="Arial" w:hint="default"/>
          <w:spacing w:val="26"/>
        </w:rPr>
        <w:t> </w:t>
      </w:r>
      <w:r>
        <w:rPr/>
        <w:t>该义务的金额能够可靠地计量。</w:t>
      </w:r>
    </w:p>
    <w:p>
      <w:pPr>
        <w:spacing w:line="240" w:lineRule="auto" w:before="10"/>
        <w:rPr>
          <w:rFonts w:ascii="黑体" w:hAnsi="黑体" w:cs="黑体" w:eastAsia="黑体" w:hint="default"/>
          <w:sz w:val="24"/>
          <w:szCs w:val="24"/>
        </w:rPr>
      </w:pPr>
    </w:p>
    <w:p>
      <w:pPr>
        <w:pStyle w:val="BodyText"/>
        <w:spacing w:line="276" w:lineRule="auto"/>
        <w:ind w:right="202"/>
        <w:jc w:val="both"/>
      </w:pPr>
      <w:r>
        <w:rPr>
          <w:w w:val="95"/>
        </w:rPr>
        <w:t>预计负债按照履行相关现时义务所需支出的最佳估计数进行初始计量，并综合考虑与或有</w:t>
      </w:r>
      <w:r>
        <w:rPr>
          <w:spacing w:val="87"/>
          <w:w w:val="95"/>
        </w:rPr>
        <w:t> </w:t>
      </w:r>
      <w:r>
        <w:rPr>
          <w:spacing w:val="87"/>
          <w:w w:val="95"/>
        </w:rPr>
      </w:r>
      <w:r>
        <w:rPr>
          <w:w w:val="95"/>
        </w:rPr>
        <w:t>事项有关的风险、不确定性和货币时间价值等因素。每个资产负债表日对预计负债的账面</w:t>
      </w:r>
      <w:r>
        <w:rPr>
          <w:spacing w:val="87"/>
          <w:w w:val="95"/>
        </w:rPr>
        <w:t> </w:t>
      </w:r>
      <w:r>
        <w:rPr>
          <w:spacing w:val="87"/>
          <w:w w:val="95"/>
        </w:rPr>
      </w:r>
      <w:r>
        <w:rPr>
          <w:w w:val="95"/>
        </w:rPr>
        <w:t>价值进行复核。有确凿证据表明该账面价值不能反映当前最佳估计数的，按照当前最佳估</w:t>
      </w:r>
      <w:r>
        <w:rPr>
          <w:spacing w:val="87"/>
          <w:w w:val="95"/>
        </w:rPr>
        <w:t> </w:t>
      </w:r>
      <w:r>
        <w:rPr>
          <w:spacing w:val="87"/>
          <w:w w:val="95"/>
        </w:rPr>
      </w:r>
      <w:r>
        <w:rPr/>
        <w:t>计数对该账面价值进行调整。</w:t>
      </w:r>
    </w:p>
    <w:p>
      <w:pPr>
        <w:spacing w:line="240" w:lineRule="auto" w:before="7"/>
        <w:rPr>
          <w:rFonts w:ascii="黑体" w:hAnsi="黑体" w:cs="黑体" w:eastAsia="黑体" w:hint="default"/>
          <w:sz w:val="23"/>
          <w:szCs w:val="23"/>
        </w:rPr>
      </w:pPr>
    </w:p>
    <w:p>
      <w:pPr>
        <w:pStyle w:val="BodyText"/>
        <w:spacing w:line="276" w:lineRule="auto"/>
        <w:ind w:right="94"/>
        <w:jc w:val="left"/>
      </w:pPr>
      <w:r>
        <w:rPr/>
        <w:t>企业合并中取得的被购买方或有负债在初始确认时按照公允价值计量，在初始确认后，按</w:t>
      </w:r>
      <w:r>
        <w:rPr>
          <w:w w:val="99"/>
        </w:rPr>
        <w:t> </w:t>
      </w:r>
      <w:r>
        <w:rPr>
          <w:spacing w:val="2"/>
        </w:rPr>
        <w:t>照预计负债确认的金额，和初始确认金额扣除收入确认原则确定的累计摊销额后的余额，</w:t>
      </w:r>
      <w:r>
        <w:rPr>
          <w:spacing w:val="2"/>
          <w:w w:val="99"/>
        </w:rPr>
        <w:t> </w:t>
      </w:r>
      <w:r>
        <w:rPr/>
        <w:t>以两者之中的较高者进行后续计量。</w:t>
      </w:r>
    </w:p>
    <w:p>
      <w:pPr>
        <w:spacing w:line="240" w:lineRule="auto" w:before="4"/>
        <w:rPr>
          <w:rFonts w:ascii="黑体" w:hAnsi="黑体" w:cs="黑体" w:eastAsia="黑体" w:hint="default"/>
          <w:sz w:val="22"/>
          <w:szCs w:val="22"/>
        </w:rPr>
      </w:pPr>
    </w:p>
    <w:p>
      <w:pPr>
        <w:pStyle w:val="Heading6"/>
        <w:tabs>
          <w:tab w:pos="821" w:val="left" w:leader="none"/>
        </w:tabs>
        <w:spacing w:line="240" w:lineRule="auto" w:before="0"/>
        <w:ind w:right="85"/>
        <w:jc w:val="left"/>
        <w:rPr>
          <w:b w:val="0"/>
          <w:bCs w:val="0"/>
        </w:rPr>
      </w:pPr>
      <w:r>
        <w:rPr>
          <w:rFonts w:ascii="Arial" w:hAnsi="Arial" w:cs="Arial" w:eastAsia="Arial" w:hint="default"/>
          <w:spacing w:val="-1"/>
          <w:w w:val="95"/>
        </w:rPr>
        <w:t>20.</w:t>
        <w:tab/>
      </w:r>
      <w:r>
        <w:rPr>
          <w:spacing w:val="2"/>
        </w:rPr>
        <w:t>股份支付</w:t>
      </w:r>
      <w:r>
        <w:rPr>
          <w:b w:val="0"/>
          <w:bCs w:val="0"/>
        </w:rPr>
      </w:r>
    </w:p>
    <w:p>
      <w:pPr>
        <w:spacing w:line="240" w:lineRule="auto" w:before="8"/>
        <w:rPr>
          <w:rFonts w:ascii="黑体" w:hAnsi="黑体" w:cs="黑体" w:eastAsia="黑体" w:hint="default"/>
          <w:b/>
          <w:bCs/>
          <w:sz w:val="24"/>
          <w:szCs w:val="24"/>
        </w:rPr>
      </w:pPr>
    </w:p>
    <w:p>
      <w:pPr>
        <w:pStyle w:val="BodyText"/>
        <w:spacing w:line="276" w:lineRule="auto"/>
        <w:ind w:right="92"/>
        <w:jc w:val="left"/>
      </w:pPr>
      <w:r>
        <w:rPr>
          <w:spacing w:val="-3"/>
        </w:rPr>
        <w:t>股份支付，分为以权益结算的股份支付和以现金结算的股份支付。以权益结算的股份支付，</w:t>
      </w:r>
      <w:r>
        <w:rPr>
          <w:w w:val="99"/>
        </w:rPr>
        <w:t> </w:t>
      </w:r>
      <w:r>
        <w:rPr/>
        <w:t>是指本集团为获取服务以股份或其他权益工具作为对价进行结算的交易。</w:t>
      </w:r>
    </w:p>
    <w:p>
      <w:pPr>
        <w:spacing w:line="240" w:lineRule="auto" w:before="7"/>
        <w:rPr>
          <w:rFonts w:ascii="黑体" w:hAnsi="黑体" w:cs="黑体" w:eastAsia="黑体" w:hint="default"/>
          <w:sz w:val="23"/>
          <w:szCs w:val="23"/>
        </w:rPr>
      </w:pPr>
    </w:p>
    <w:p>
      <w:pPr>
        <w:pStyle w:val="BodyText"/>
        <w:spacing w:line="276" w:lineRule="auto"/>
        <w:ind w:right="199"/>
        <w:jc w:val="both"/>
      </w:pPr>
      <w:r>
        <w:rPr>
          <w:w w:val="95"/>
        </w:rPr>
        <w:t>以权益结算的股份支付换取职工提供服务的，以授予职工权益工具的公允价值计量。授予</w:t>
      </w:r>
      <w:r>
        <w:rPr>
          <w:spacing w:val="87"/>
          <w:w w:val="95"/>
        </w:rPr>
        <w:t> </w:t>
      </w:r>
      <w:r>
        <w:rPr>
          <w:spacing w:val="87"/>
          <w:w w:val="95"/>
        </w:rPr>
      </w:r>
      <w:r>
        <w:rPr>
          <w:w w:val="95"/>
        </w:rPr>
        <w:t>后立即可行权的，在授予日按照公允价值计入相关成本或费用，相应增加资本公积；完成</w:t>
      </w:r>
      <w:r>
        <w:rPr>
          <w:spacing w:val="89"/>
          <w:w w:val="95"/>
        </w:rPr>
        <w:t> </w:t>
      </w:r>
      <w:r>
        <w:rPr>
          <w:spacing w:val="89"/>
          <w:w w:val="95"/>
        </w:rPr>
      </w:r>
      <w:r>
        <w:rPr>
          <w:w w:val="95"/>
        </w:rPr>
        <w:t>等待期内的服务或达到规定业绩条件才可行权的，在等待期内每个资产负债表日，本集团</w:t>
      </w:r>
      <w:r>
        <w:rPr>
          <w:spacing w:val="87"/>
          <w:w w:val="95"/>
        </w:rPr>
        <w:t> </w:t>
      </w:r>
      <w:r>
        <w:rPr>
          <w:spacing w:val="87"/>
          <w:w w:val="95"/>
        </w:rPr>
      </w:r>
      <w:r>
        <w:rPr>
          <w:w w:val="95"/>
        </w:rPr>
        <w:t>根据最新取得的可行权职工人数变动等后续信息对可行权权益工具数量作出最佳估计，以</w:t>
      </w:r>
      <w:r>
        <w:rPr>
          <w:spacing w:val="87"/>
          <w:w w:val="95"/>
        </w:rPr>
        <w:t> </w:t>
      </w:r>
      <w:r>
        <w:rPr>
          <w:spacing w:val="87"/>
          <w:w w:val="95"/>
        </w:rPr>
      </w:r>
      <w:r>
        <w:rPr>
          <w:w w:val="95"/>
        </w:rPr>
        <w:t>此为基础，按照授予日的公允价值，将当期取得的服务计入相关成本或费用，相应增加资</w:t>
      </w:r>
      <w:r>
        <w:rPr>
          <w:spacing w:val="89"/>
          <w:w w:val="95"/>
        </w:rPr>
        <w:t> </w:t>
      </w:r>
      <w:r>
        <w:rPr>
          <w:spacing w:val="89"/>
          <w:w w:val="95"/>
        </w:rPr>
      </w:r>
      <w:r>
        <w:rPr/>
        <w:t>本公积。权益工具的公允价值采用布莱克</w:t>
      </w:r>
      <w:r>
        <w:rPr>
          <w:rFonts w:ascii="Arial" w:hAnsi="Arial" w:cs="Arial" w:eastAsia="Arial" w:hint="default"/>
        </w:rPr>
        <w:t>-</w:t>
      </w:r>
      <w:r>
        <w:rPr/>
        <w:t>斯科尔斯模型确定，参见附注七、股份支付。</w:t>
      </w:r>
    </w:p>
    <w:p>
      <w:pPr>
        <w:spacing w:line="240" w:lineRule="auto" w:before="3"/>
        <w:rPr>
          <w:rFonts w:ascii="黑体" w:hAnsi="黑体" w:cs="黑体" w:eastAsia="黑体" w:hint="default"/>
          <w:sz w:val="22"/>
          <w:szCs w:val="22"/>
        </w:rPr>
      </w:pPr>
    </w:p>
    <w:p>
      <w:pPr>
        <w:pStyle w:val="BodyText"/>
        <w:spacing w:line="276" w:lineRule="auto"/>
        <w:ind w:right="202"/>
        <w:jc w:val="both"/>
      </w:pPr>
      <w:r>
        <w:rPr>
          <w:w w:val="95"/>
        </w:rPr>
        <w:t>在满足业绩条件和服务期限条件的期间，应确认以权益结算的股份支付的成本或费用，并</w:t>
      </w:r>
      <w:r>
        <w:rPr>
          <w:spacing w:val="87"/>
          <w:w w:val="95"/>
        </w:rPr>
        <w:t> </w:t>
      </w:r>
      <w:r>
        <w:rPr>
          <w:spacing w:val="87"/>
          <w:w w:val="95"/>
        </w:rPr>
      </w:r>
      <w:r>
        <w:rPr>
          <w:w w:val="95"/>
        </w:rPr>
        <w:t>相应增加资本公积。可行权日之前，于每个资产负债表日为以权益结算的股份支付确认的</w:t>
      </w:r>
      <w:r>
        <w:rPr>
          <w:spacing w:val="87"/>
          <w:w w:val="95"/>
        </w:rPr>
        <w:t> </w:t>
      </w:r>
      <w:r>
        <w:rPr>
          <w:spacing w:val="87"/>
          <w:w w:val="95"/>
        </w:rPr>
      </w:r>
      <w:r>
        <w:rPr>
          <w:spacing w:val="5"/>
          <w:w w:val="95"/>
        </w:rPr>
        <w:t>累计金额反映了等待期已届满的部分以及本集团对最终可行权的权益工具数量的最佳估  </w:t>
      </w:r>
      <w:r>
        <w:rPr>
          <w:spacing w:val="63"/>
          <w:w w:val="95"/>
        </w:rPr>
        <w:t> </w:t>
      </w:r>
      <w:r>
        <w:rPr>
          <w:spacing w:val="63"/>
          <w:w w:val="95"/>
        </w:rPr>
      </w:r>
      <w:r>
        <w:rPr/>
        <w:t>计。</w:t>
      </w:r>
    </w:p>
    <w:p>
      <w:pPr>
        <w:spacing w:line="240" w:lineRule="auto" w:before="7"/>
        <w:rPr>
          <w:rFonts w:ascii="黑体" w:hAnsi="黑体" w:cs="黑体" w:eastAsia="黑体" w:hint="default"/>
          <w:sz w:val="23"/>
          <w:szCs w:val="23"/>
        </w:rPr>
      </w:pPr>
    </w:p>
    <w:p>
      <w:pPr>
        <w:pStyle w:val="BodyText"/>
        <w:spacing w:line="276" w:lineRule="auto"/>
        <w:ind w:right="202"/>
        <w:jc w:val="both"/>
      </w:pPr>
      <w:r>
        <w:rPr>
          <w:w w:val="95"/>
        </w:rPr>
        <w:t>对于最终未能行权的股份支付，不确认成本或费用，除非行权条件是市场条件或非可行权</w:t>
      </w:r>
      <w:r>
        <w:rPr>
          <w:spacing w:val="87"/>
          <w:w w:val="95"/>
        </w:rPr>
        <w:t> </w:t>
      </w:r>
      <w:r>
        <w:rPr>
          <w:spacing w:val="87"/>
          <w:w w:val="95"/>
        </w:rPr>
      </w:r>
      <w:r>
        <w:rPr>
          <w:w w:val="95"/>
        </w:rPr>
        <w:t>条件，此时无论是否满足市场条件或非可行权条件，只要满足所有可行权条件中的非市场</w:t>
      </w:r>
      <w:r>
        <w:rPr>
          <w:spacing w:val="87"/>
          <w:w w:val="95"/>
        </w:rPr>
        <w:t> </w:t>
      </w:r>
      <w:r>
        <w:rPr>
          <w:spacing w:val="87"/>
          <w:w w:val="95"/>
        </w:rPr>
      </w:r>
      <w:r>
        <w:rPr/>
        <w:t>条件，即视为可行权。</w:t>
      </w:r>
    </w:p>
    <w:p>
      <w:pPr>
        <w:spacing w:after="0" w:line="276" w:lineRule="auto"/>
        <w:jc w:val="both"/>
        <w:sectPr>
          <w:pgSz w:w="11910" w:h="16850"/>
          <w:pgMar w:header="957" w:footer="833" w:top="2620" w:bottom="1020" w:left="1600" w:right="1500"/>
        </w:sectPr>
      </w:pPr>
    </w:p>
    <w:p>
      <w:pPr>
        <w:spacing w:line="240" w:lineRule="auto" w:before="7"/>
        <w:rPr>
          <w:rFonts w:ascii="黑体" w:hAnsi="黑体" w:cs="黑体" w:eastAsia="黑体" w:hint="default"/>
          <w:sz w:val="17"/>
          <w:szCs w:val="17"/>
        </w:rPr>
      </w:pPr>
    </w:p>
    <w:p>
      <w:pPr>
        <w:pStyle w:val="Heading6"/>
        <w:tabs>
          <w:tab w:pos="804" w:val="left" w:leader="none"/>
        </w:tabs>
        <w:spacing w:line="240" w:lineRule="auto"/>
        <w:ind w:right="85"/>
        <w:jc w:val="left"/>
        <w:rPr>
          <w:b w:val="0"/>
          <w:bCs w:val="0"/>
        </w:rPr>
      </w:pPr>
      <w:r>
        <w:rPr>
          <w:w w:val="95"/>
        </w:rPr>
        <w:t>二、</w:t>
        <w:tab/>
      </w:r>
      <w:bookmarkStart w:name="二、   重要会计政策、会计估计和前期差错（续）" w:id="48"/>
      <w:bookmarkEnd w:id="48"/>
      <w:r>
        <w:rPr/>
        <w:t>重要</w:t>
      </w:r>
      <w:r>
        <w:rPr/>
        <w:t>会计政策、会计估计和前期差错（续）</w:t>
      </w:r>
      <w:r>
        <w:rPr>
          <w:b w:val="0"/>
          <w:bCs w:val="0"/>
        </w:rPr>
      </w:r>
    </w:p>
    <w:p>
      <w:pPr>
        <w:spacing w:line="240" w:lineRule="auto" w:before="5"/>
        <w:rPr>
          <w:rFonts w:ascii="黑体" w:hAnsi="黑体" w:cs="黑体" w:eastAsia="黑体" w:hint="default"/>
          <w:b/>
          <w:bCs/>
          <w:sz w:val="24"/>
          <w:szCs w:val="24"/>
        </w:rPr>
      </w:pPr>
    </w:p>
    <w:p>
      <w:pPr>
        <w:pStyle w:val="Heading6"/>
        <w:tabs>
          <w:tab w:pos="821" w:val="left" w:leader="none"/>
        </w:tabs>
        <w:spacing w:line="240" w:lineRule="auto" w:before="0"/>
        <w:ind w:right="85"/>
        <w:jc w:val="left"/>
        <w:rPr>
          <w:b w:val="0"/>
          <w:bCs w:val="0"/>
        </w:rPr>
      </w:pPr>
      <w:r>
        <w:rPr>
          <w:rFonts w:ascii="Arial" w:hAnsi="Arial" w:cs="Arial" w:eastAsia="Arial" w:hint="default"/>
          <w:spacing w:val="-1"/>
          <w:w w:val="95"/>
        </w:rPr>
        <w:t>20.</w:t>
        <w:tab/>
      </w:r>
      <w:r>
        <w:rPr>
          <w:spacing w:val="1"/>
        </w:rPr>
        <w:t>股份支付（续）</w:t>
      </w:r>
      <w:r>
        <w:rPr>
          <w:b w:val="0"/>
          <w:bCs w:val="0"/>
        </w:rPr>
      </w:r>
    </w:p>
    <w:p>
      <w:pPr>
        <w:spacing w:line="240" w:lineRule="auto" w:before="8"/>
        <w:rPr>
          <w:rFonts w:ascii="黑体" w:hAnsi="黑体" w:cs="黑体" w:eastAsia="黑体" w:hint="default"/>
          <w:b/>
          <w:bCs/>
          <w:sz w:val="24"/>
          <w:szCs w:val="24"/>
        </w:rPr>
      </w:pPr>
    </w:p>
    <w:p>
      <w:pPr>
        <w:pStyle w:val="BodyText"/>
        <w:spacing w:line="276" w:lineRule="auto"/>
        <w:ind w:right="94"/>
        <w:jc w:val="left"/>
      </w:pPr>
      <w:r>
        <w:rPr>
          <w:spacing w:val="2"/>
        </w:rPr>
        <w:t>如果修改了以权益结算的股份支付的条款，至少按照未修改条款的情况确认取得的服务。</w:t>
      </w:r>
      <w:r>
        <w:rPr>
          <w:spacing w:val="2"/>
          <w:w w:val="99"/>
        </w:rPr>
        <w:t> </w:t>
      </w:r>
      <w:r>
        <w:rPr/>
        <w:t>此外，任何增加所授予权益工具公允价值的修改，或在修改日对职工有利的变更，均确认</w:t>
      </w:r>
      <w:r>
        <w:rPr>
          <w:w w:val="99"/>
        </w:rPr>
        <w:t> </w:t>
      </w:r>
      <w:r>
        <w:rPr/>
        <w:t>取得服务的增加。</w:t>
      </w:r>
    </w:p>
    <w:p>
      <w:pPr>
        <w:spacing w:line="240" w:lineRule="auto" w:before="7"/>
        <w:rPr>
          <w:rFonts w:ascii="黑体" w:hAnsi="黑体" w:cs="黑体" w:eastAsia="黑体" w:hint="default"/>
          <w:sz w:val="23"/>
          <w:szCs w:val="23"/>
        </w:rPr>
      </w:pPr>
    </w:p>
    <w:p>
      <w:pPr>
        <w:pStyle w:val="BodyText"/>
        <w:spacing w:line="276" w:lineRule="auto"/>
        <w:ind w:right="199"/>
        <w:jc w:val="both"/>
      </w:pPr>
      <w:r>
        <w:rPr>
          <w:w w:val="95"/>
        </w:rPr>
        <w:t>如果取消了以权益结算的股份支付，则于取消日作为加速行权处理，立即确认尚未确认的</w:t>
      </w:r>
      <w:r>
        <w:rPr>
          <w:spacing w:val="87"/>
          <w:w w:val="95"/>
        </w:rPr>
        <w:t> </w:t>
      </w:r>
      <w:r>
        <w:rPr>
          <w:spacing w:val="87"/>
          <w:w w:val="95"/>
        </w:rPr>
      </w:r>
      <w:r>
        <w:rPr>
          <w:w w:val="95"/>
        </w:rPr>
        <w:t>金额。职工或其他方能够选择满足非可行权条件但在等待期内未满足的，作为取消以权益</w:t>
      </w:r>
      <w:r>
        <w:rPr>
          <w:spacing w:val="87"/>
          <w:w w:val="95"/>
        </w:rPr>
        <w:t> </w:t>
      </w:r>
      <w:r>
        <w:rPr>
          <w:spacing w:val="87"/>
          <w:w w:val="95"/>
        </w:rPr>
      </w:r>
      <w:r>
        <w:rPr>
          <w:w w:val="95"/>
        </w:rPr>
        <w:t>结算的股份支付处理。但是，如果授予新的权益工具，并在新权益工具授予日认定所授予</w:t>
      </w:r>
      <w:r>
        <w:rPr>
          <w:spacing w:val="89"/>
          <w:w w:val="95"/>
        </w:rPr>
        <w:t> </w:t>
      </w:r>
      <w:r>
        <w:rPr>
          <w:spacing w:val="89"/>
          <w:w w:val="95"/>
        </w:rPr>
      </w:r>
      <w:r>
        <w:rPr>
          <w:w w:val="95"/>
        </w:rPr>
        <w:t>的新权益工具是用于替代被取消的权益工具的，则以与处理原权益工具条款和条件修改相</w:t>
      </w:r>
      <w:r>
        <w:rPr>
          <w:spacing w:val="87"/>
          <w:w w:val="95"/>
        </w:rPr>
        <w:t> </w:t>
      </w:r>
      <w:r>
        <w:rPr>
          <w:spacing w:val="87"/>
          <w:w w:val="95"/>
        </w:rPr>
      </w:r>
      <w:r>
        <w:rPr/>
        <w:t>同的方式，对所授予的替代权益工具进行处理。</w:t>
      </w:r>
    </w:p>
    <w:p>
      <w:pPr>
        <w:spacing w:line="240" w:lineRule="auto" w:before="1"/>
        <w:rPr>
          <w:rFonts w:ascii="黑体" w:hAnsi="黑体" w:cs="黑体" w:eastAsia="黑体" w:hint="default"/>
          <w:sz w:val="18"/>
          <w:szCs w:val="18"/>
        </w:rPr>
      </w:pPr>
    </w:p>
    <w:p>
      <w:pPr>
        <w:pStyle w:val="Heading6"/>
        <w:tabs>
          <w:tab w:pos="821" w:val="left" w:leader="none"/>
        </w:tabs>
        <w:spacing w:line="240" w:lineRule="auto" w:before="0"/>
        <w:ind w:right="85"/>
        <w:jc w:val="left"/>
        <w:rPr>
          <w:b w:val="0"/>
          <w:bCs w:val="0"/>
        </w:rPr>
      </w:pPr>
      <w:r>
        <w:rPr>
          <w:rFonts w:ascii="Arial" w:hAnsi="Arial" w:cs="Arial" w:eastAsia="Arial" w:hint="default"/>
          <w:spacing w:val="-1"/>
          <w:w w:val="95"/>
        </w:rPr>
        <w:t>21.</w:t>
        <w:tab/>
      </w:r>
      <w:r>
        <w:rPr>
          <w:spacing w:val="2"/>
        </w:rPr>
        <w:t>回购股份</w:t>
      </w:r>
      <w:r>
        <w:rPr>
          <w:b w:val="0"/>
          <w:bCs w:val="0"/>
        </w:rPr>
      </w:r>
    </w:p>
    <w:p>
      <w:pPr>
        <w:spacing w:line="240" w:lineRule="auto" w:before="10"/>
        <w:rPr>
          <w:rFonts w:ascii="黑体" w:hAnsi="黑体" w:cs="黑体" w:eastAsia="黑体" w:hint="default"/>
          <w:b/>
          <w:bCs/>
          <w:sz w:val="24"/>
          <w:szCs w:val="24"/>
        </w:rPr>
      </w:pPr>
    </w:p>
    <w:p>
      <w:pPr>
        <w:pStyle w:val="BodyText"/>
        <w:spacing w:line="276" w:lineRule="auto"/>
        <w:ind w:right="85"/>
        <w:jc w:val="left"/>
      </w:pPr>
      <w:r>
        <w:rPr>
          <w:spacing w:val="-5"/>
          <w:w w:val="95"/>
        </w:rPr>
        <w:t>回购自身权益工具支付的对价和交易费用，减少</w:t>
      </w:r>
      <w:bookmarkStart w:name="21.    回购股份" w:id="49"/>
      <w:bookmarkEnd w:id="49"/>
      <w:r>
        <w:rPr>
          <w:spacing w:val="-5"/>
          <w:w w:val="95"/>
        </w:rPr>
        <w:t>股东</w:t>
      </w:r>
      <w:r>
        <w:rPr>
          <w:spacing w:val="-5"/>
          <w:w w:val="95"/>
        </w:rPr>
        <w:t>权益。除股份支付之外，发行、回购、</w:t>
      </w:r>
      <w:r>
        <w:rPr>
          <w:spacing w:val="16"/>
          <w:w w:val="95"/>
        </w:rPr>
        <w:t> </w:t>
      </w:r>
      <w:r>
        <w:rPr>
          <w:spacing w:val="16"/>
          <w:w w:val="95"/>
        </w:rPr>
      </w:r>
      <w:r>
        <w:rPr/>
        <w:t>出售或注销自身权益工具，均不确认任何利得或损失。</w:t>
      </w:r>
    </w:p>
    <w:p>
      <w:pPr>
        <w:spacing w:line="240" w:lineRule="auto" w:before="3"/>
        <w:rPr>
          <w:rFonts w:ascii="黑体" w:hAnsi="黑体" w:cs="黑体" w:eastAsia="黑体" w:hint="default"/>
          <w:sz w:val="18"/>
          <w:szCs w:val="18"/>
        </w:rPr>
      </w:pPr>
    </w:p>
    <w:p>
      <w:pPr>
        <w:pStyle w:val="Heading6"/>
        <w:tabs>
          <w:tab w:pos="821" w:val="left" w:leader="none"/>
        </w:tabs>
        <w:spacing w:line="240" w:lineRule="auto" w:before="0"/>
        <w:ind w:right="85"/>
        <w:jc w:val="left"/>
        <w:rPr>
          <w:b w:val="0"/>
          <w:bCs w:val="0"/>
        </w:rPr>
      </w:pPr>
      <w:r>
        <w:rPr>
          <w:rFonts w:ascii="Arial" w:hAnsi="Arial" w:cs="Arial" w:eastAsia="Arial" w:hint="default"/>
          <w:spacing w:val="-1"/>
          <w:w w:val="95"/>
        </w:rPr>
        <w:t>22.</w:t>
        <w:tab/>
      </w:r>
      <w:r>
        <w:rPr>
          <w:spacing w:val="2"/>
        </w:rPr>
        <w:t>收入</w:t>
      </w:r>
      <w:r>
        <w:rPr>
          <w:b w:val="0"/>
          <w:bCs w:val="0"/>
        </w:rPr>
      </w:r>
    </w:p>
    <w:p>
      <w:pPr>
        <w:spacing w:line="240" w:lineRule="auto" w:before="6"/>
        <w:rPr>
          <w:rFonts w:ascii="黑体" w:hAnsi="黑体" w:cs="黑体" w:eastAsia="黑体" w:hint="default"/>
          <w:b/>
          <w:bCs/>
          <w:sz w:val="19"/>
          <w:szCs w:val="19"/>
        </w:rPr>
      </w:pPr>
    </w:p>
    <w:p>
      <w:pPr>
        <w:pStyle w:val="BodyText"/>
        <w:spacing w:line="276" w:lineRule="auto"/>
        <w:ind w:right="366"/>
        <w:jc w:val="left"/>
      </w:pPr>
      <w:r>
        <w:rPr>
          <w:w w:val="95"/>
        </w:rPr>
        <w:t>收入在经济利益很可能流入本集团、且金额能够可靠计量，并同时满足下列条件时予以确  </w:t>
      </w:r>
      <w:r>
        <w:rPr>
          <w:spacing w:val="87"/>
          <w:w w:val="95"/>
        </w:rPr>
        <w:t> </w:t>
      </w:r>
      <w:r>
        <w:rPr>
          <w:spacing w:val="87"/>
          <w:w w:val="95"/>
        </w:rPr>
      </w:r>
      <w:r>
        <w:rPr/>
        <w:t>认。</w:t>
      </w:r>
    </w:p>
    <w:p>
      <w:pPr>
        <w:spacing w:line="240" w:lineRule="auto" w:before="3"/>
        <w:rPr>
          <w:rFonts w:ascii="黑体" w:hAnsi="黑体" w:cs="黑体" w:eastAsia="黑体" w:hint="default"/>
          <w:sz w:val="18"/>
          <w:szCs w:val="18"/>
        </w:rPr>
      </w:pPr>
    </w:p>
    <w:p>
      <w:pPr>
        <w:pStyle w:val="BodyText"/>
        <w:spacing w:line="240" w:lineRule="auto"/>
        <w:ind w:right="85"/>
        <w:jc w:val="left"/>
      </w:pPr>
      <w:r>
        <w:rPr>
          <w:w w:val="99"/>
        </w:rPr>
      </w:r>
      <w:r>
        <w:rPr>
          <w:u w:val="single" w:color="000000"/>
        </w:rPr>
        <w:t>销售商品收入</w:t>
      </w:r>
      <w:r>
        <w:rPr/>
      </w:r>
    </w:p>
    <w:p>
      <w:pPr>
        <w:spacing w:line="240" w:lineRule="auto" w:before="9"/>
        <w:rPr>
          <w:rFonts w:ascii="黑体" w:hAnsi="黑体" w:cs="黑体" w:eastAsia="黑体" w:hint="default"/>
          <w:sz w:val="17"/>
          <w:szCs w:val="17"/>
        </w:rPr>
      </w:pPr>
    </w:p>
    <w:p>
      <w:pPr>
        <w:pStyle w:val="BodyText"/>
        <w:spacing w:line="276" w:lineRule="auto" w:before="37"/>
        <w:ind w:right="199"/>
        <w:jc w:val="both"/>
      </w:pPr>
      <w:r>
        <w:rPr>
          <w:w w:val="95"/>
        </w:rPr>
        <w:t>本集团已将商品所有权上的主要风险和报酬转移给购货方，并不再对该商品保留通常与所</w:t>
      </w:r>
      <w:r>
        <w:rPr>
          <w:spacing w:val="87"/>
          <w:w w:val="95"/>
        </w:rPr>
        <w:t> </w:t>
      </w:r>
      <w:r>
        <w:rPr>
          <w:spacing w:val="87"/>
          <w:w w:val="95"/>
        </w:rPr>
      </w:r>
      <w:r>
        <w:rPr>
          <w:w w:val="95"/>
        </w:rPr>
        <w:t>有权相联系的继续管理权和实施有效控制，且相关的已发生或将发生的成本能够可靠地计</w:t>
      </w:r>
      <w:r>
        <w:rPr>
          <w:spacing w:val="87"/>
          <w:w w:val="95"/>
        </w:rPr>
        <w:t> </w:t>
      </w:r>
      <w:r>
        <w:rPr>
          <w:spacing w:val="87"/>
          <w:w w:val="95"/>
        </w:rPr>
      </w:r>
      <w:r>
        <w:rPr>
          <w:w w:val="95"/>
        </w:rPr>
        <w:t>量，确认为收入的实现。销售商品收入金额，按照从购货方已收或应收的合同或协议价款</w:t>
      </w:r>
      <w:r>
        <w:rPr>
          <w:spacing w:val="90"/>
          <w:w w:val="95"/>
        </w:rPr>
        <w:t> </w:t>
      </w:r>
      <w:r>
        <w:rPr>
          <w:spacing w:val="90"/>
          <w:w w:val="95"/>
        </w:rPr>
      </w:r>
      <w:r>
        <w:rPr>
          <w:w w:val="95"/>
        </w:rPr>
        <w:t>确定，但已收或应收的合同或协议价款不公允的除外；合同或协议价款的收取采用递延方</w:t>
      </w:r>
      <w:r>
        <w:rPr>
          <w:spacing w:val="87"/>
          <w:w w:val="95"/>
        </w:rPr>
        <w:t> </w:t>
      </w:r>
      <w:r>
        <w:rPr>
          <w:spacing w:val="87"/>
          <w:w w:val="95"/>
        </w:rPr>
      </w:r>
      <w:r>
        <w:rPr/>
        <w:t>式，实质上具有融资性质的，按照应收的合同或协议价款的公允价值确定。</w:t>
      </w:r>
    </w:p>
    <w:p>
      <w:pPr>
        <w:spacing w:line="240" w:lineRule="auto" w:before="3"/>
        <w:rPr>
          <w:rFonts w:ascii="黑体" w:hAnsi="黑体" w:cs="黑体" w:eastAsia="黑体" w:hint="default"/>
          <w:sz w:val="18"/>
          <w:szCs w:val="18"/>
        </w:rPr>
      </w:pPr>
    </w:p>
    <w:p>
      <w:pPr>
        <w:pStyle w:val="BodyText"/>
        <w:spacing w:line="240" w:lineRule="auto"/>
        <w:ind w:left="821" w:right="0"/>
        <w:jc w:val="both"/>
      </w:pPr>
      <w:r>
        <w:rPr>
          <w:w w:val="99"/>
        </w:rPr>
      </w:r>
      <w:r>
        <w:rPr>
          <w:u w:val="single" w:color="000000"/>
        </w:rPr>
        <w:t>提供劳务收入</w:t>
      </w:r>
      <w:r>
        <w:rPr/>
      </w:r>
    </w:p>
    <w:p>
      <w:pPr>
        <w:spacing w:line="240" w:lineRule="auto" w:before="6"/>
        <w:rPr>
          <w:rFonts w:ascii="黑体" w:hAnsi="黑体" w:cs="黑体" w:eastAsia="黑体" w:hint="default"/>
          <w:sz w:val="17"/>
          <w:szCs w:val="17"/>
        </w:rPr>
      </w:pPr>
    </w:p>
    <w:p>
      <w:pPr>
        <w:pStyle w:val="BodyText"/>
        <w:spacing w:line="276" w:lineRule="auto" w:before="37"/>
        <w:ind w:right="94"/>
        <w:jc w:val="left"/>
      </w:pPr>
      <w:r>
        <w:rPr/>
        <w:t>于资产负债表日，在提供劳务交易的结果能够可靠估计的情况下，按完工百分比法确认提</w:t>
      </w:r>
      <w:r>
        <w:rPr>
          <w:w w:val="99"/>
        </w:rPr>
        <w:t> </w:t>
      </w:r>
      <w:r>
        <w:rPr/>
        <w:t>供劳务收入；否则按已经发生并预计能够得到补偿的劳务成本金额确认收入。提供劳务交</w:t>
      </w:r>
      <w:r>
        <w:rPr>
          <w:w w:val="99"/>
        </w:rPr>
        <w:t> </w:t>
      </w:r>
      <w:r>
        <w:rPr/>
        <w:t>易的结果能够可靠估计，是指同时满足下列条件：收入的金额能够可靠地计量，相关的经</w:t>
      </w:r>
      <w:r>
        <w:rPr>
          <w:w w:val="99"/>
        </w:rPr>
        <w:t> </w:t>
      </w:r>
      <w:r>
        <w:rPr/>
        <w:t>济利益很可能流入本集团，交易的完工进度能够可靠地确定，交易中已发生和将发生的成</w:t>
      </w:r>
      <w:r>
        <w:rPr>
          <w:w w:val="99"/>
        </w:rPr>
        <w:t> </w:t>
      </w:r>
      <w:r>
        <w:rPr/>
        <w:t>本能够可靠地计量。本集团以已经提供的劳务占应提供劳务总量的比例确定提供劳务交易</w:t>
      </w:r>
      <w:r>
        <w:rPr>
          <w:w w:val="99"/>
        </w:rPr>
        <w:t> </w:t>
      </w:r>
      <w:r>
        <w:rPr>
          <w:spacing w:val="2"/>
        </w:rPr>
        <w:t>的完工进度。提供劳务收入总额，按照从接受劳务方已收或应收的合同或协议价款确定，</w:t>
      </w:r>
      <w:r>
        <w:rPr>
          <w:spacing w:val="2"/>
          <w:w w:val="99"/>
        </w:rPr>
        <w:t> </w:t>
      </w:r>
      <w:r>
        <w:rPr/>
        <w:t>但已收或应收的合同或协议价款不公允的除外。</w:t>
      </w:r>
    </w:p>
    <w:p>
      <w:pPr>
        <w:spacing w:after="0" w:line="276" w:lineRule="auto"/>
        <w:jc w:val="left"/>
        <w:sectPr>
          <w:pgSz w:w="11910" w:h="16850"/>
          <w:pgMar w:header="957" w:footer="833" w:top="2620" w:bottom="1020" w:left="1600" w:right="1500"/>
        </w:sectPr>
      </w:pPr>
    </w:p>
    <w:p>
      <w:pPr>
        <w:spacing w:line="240" w:lineRule="auto" w:before="7"/>
        <w:rPr>
          <w:rFonts w:ascii="黑体" w:hAnsi="黑体" w:cs="黑体" w:eastAsia="黑体" w:hint="default"/>
          <w:sz w:val="17"/>
          <w:szCs w:val="17"/>
        </w:rPr>
      </w:pPr>
    </w:p>
    <w:p>
      <w:pPr>
        <w:pStyle w:val="Heading6"/>
        <w:tabs>
          <w:tab w:pos="804" w:val="left" w:leader="none"/>
        </w:tabs>
        <w:spacing w:line="240" w:lineRule="auto"/>
        <w:ind w:right="85"/>
        <w:jc w:val="left"/>
        <w:rPr>
          <w:b w:val="0"/>
          <w:bCs w:val="0"/>
        </w:rPr>
      </w:pPr>
      <w:r>
        <w:rPr>
          <w:w w:val="95"/>
        </w:rPr>
        <w:t>二、</w:t>
        <w:tab/>
      </w:r>
      <w:bookmarkStart w:name="二、   重要会计政策、会计估计和前期差错（续）" w:id="50"/>
      <w:bookmarkEnd w:id="50"/>
      <w:r>
        <w:rPr/>
        <w:t>重要</w:t>
      </w:r>
      <w:r>
        <w:rPr/>
        <w:t>会计政策、会计估计和前期差错（续）</w:t>
      </w:r>
      <w:r>
        <w:rPr>
          <w:b w:val="0"/>
          <w:bCs w:val="0"/>
        </w:rPr>
      </w:r>
    </w:p>
    <w:p>
      <w:pPr>
        <w:spacing w:line="240" w:lineRule="auto" w:before="12"/>
        <w:rPr>
          <w:rFonts w:ascii="黑体" w:hAnsi="黑体" w:cs="黑体" w:eastAsia="黑体" w:hint="default"/>
          <w:b/>
          <w:bCs/>
          <w:sz w:val="15"/>
          <w:szCs w:val="15"/>
        </w:rPr>
      </w:pPr>
    </w:p>
    <w:p>
      <w:pPr>
        <w:tabs>
          <w:tab w:pos="821" w:val="left" w:leader="none"/>
        </w:tabs>
        <w:spacing w:line="410" w:lineRule="auto" w:before="0"/>
        <w:ind w:left="821" w:right="6185" w:hanging="720"/>
        <w:jc w:val="left"/>
        <w:rPr>
          <w:rFonts w:ascii="黑体" w:hAnsi="黑体" w:cs="黑体" w:eastAsia="黑体" w:hint="default"/>
          <w:sz w:val="20"/>
          <w:szCs w:val="20"/>
        </w:rPr>
      </w:pPr>
      <w:r>
        <w:rPr>
          <w:rFonts w:ascii="Arial" w:hAnsi="Arial" w:cs="Arial" w:eastAsia="Arial" w:hint="default"/>
          <w:b/>
          <w:bCs/>
          <w:spacing w:val="-1"/>
          <w:w w:val="95"/>
          <w:sz w:val="20"/>
          <w:szCs w:val="20"/>
        </w:rPr>
        <w:t>22.</w:t>
        <w:tab/>
      </w:r>
      <w:r>
        <w:rPr>
          <w:rFonts w:ascii="黑体" w:hAnsi="黑体" w:cs="黑体" w:eastAsia="黑体" w:hint="default"/>
          <w:b/>
          <w:bCs/>
          <w:spacing w:val="1"/>
          <w:sz w:val="20"/>
          <w:szCs w:val="20"/>
        </w:rPr>
        <w:t>收入（续）</w:t>
      </w:r>
      <w:r>
        <w:rPr>
          <w:rFonts w:ascii="黑体" w:hAnsi="黑体" w:cs="黑体" w:eastAsia="黑体" w:hint="default"/>
          <w:b/>
          <w:bCs/>
          <w:w w:val="99"/>
          <w:sz w:val="20"/>
          <w:szCs w:val="20"/>
        </w:rPr>
        <w:t> </w:t>
      </w:r>
      <w:r>
        <w:rPr>
          <w:rFonts w:ascii="黑体" w:hAnsi="黑体" w:cs="黑体" w:eastAsia="黑体" w:hint="default"/>
          <w:w w:val="99"/>
          <w:sz w:val="20"/>
          <w:szCs w:val="20"/>
        </w:rPr>
      </w:r>
      <w:r>
        <w:rPr>
          <w:rFonts w:ascii="黑体" w:hAnsi="黑体" w:cs="黑体" w:eastAsia="黑体" w:hint="default"/>
          <w:sz w:val="20"/>
          <w:szCs w:val="20"/>
          <w:u w:val="single" w:color="000000"/>
        </w:rPr>
        <w:t>提供劳务收入</w:t>
      </w:r>
      <w:r>
        <w:rPr>
          <w:rFonts w:ascii="黑体" w:hAnsi="黑体" w:cs="黑体" w:eastAsia="黑体" w:hint="default"/>
          <w:sz w:val="20"/>
          <w:szCs w:val="20"/>
        </w:rPr>
        <w:t>（续）</w:t>
      </w:r>
    </w:p>
    <w:p>
      <w:pPr>
        <w:pStyle w:val="BodyText"/>
        <w:spacing w:line="276" w:lineRule="auto" w:before="69"/>
        <w:ind w:right="202"/>
        <w:jc w:val="both"/>
      </w:pPr>
      <w:r>
        <w:rPr>
          <w:w w:val="95"/>
        </w:rPr>
        <w:t>本集团与其他企业签订的合同或协议包括销售商品和提供劳务时，如销售商品部分和提供</w:t>
      </w:r>
      <w:r>
        <w:rPr>
          <w:spacing w:val="87"/>
          <w:w w:val="95"/>
        </w:rPr>
        <w:t> </w:t>
      </w:r>
      <w:r>
        <w:rPr>
          <w:spacing w:val="87"/>
          <w:w w:val="95"/>
        </w:rPr>
      </w:r>
      <w:r>
        <w:rPr>
          <w:w w:val="95"/>
        </w:rPr>
        <w:t>劳务部分能够区分并单独计量的，将销售商品部分和提供劳务部分分别处理；如销售商品</w:t>
      </w:r>
      <w:r>
        <w:rPr>
          <w:spacing w:val="87"/>
          <w:w w:val="95"/>
        </w:rPr>
        <w:t> </w:t>
      </w:r>
      <w:r>
        <w:rPr>
          <w:spacing w:val="87"/>
          <w:w w:val="95"/>
        </w:rPr>
      </w:r>
      <w:r>
        <w:rPr>
          <w:w w:val="95"/>
        </w:rPr>
        <w:t>部分和提供劳务部分不能够区分，或虽能区分但不能够单独计量的，将该合同全部作为销</w:t>
      </w:r>
      <w:r>
        <w:rPr>
          <w:spacing w:val="87"/>
          <w:w w:val="95"/>
        </w:rPr>
        <w:t> </w:t>
      </w:r>
      <w:r>
        <w:rPr>
          <w:spacing w:val="87"/>
          <w:w w:val="95"/>
        </w:rPr>
      </w:r>
      <w:r>
        <w:rPr/>
        <w:t>售商品处理。</w:t>
      </w:r>
    </w:p>
    <w:p>
      <w:pPr>
        <w:pStyle w:val="BodyText"/>
        <w:spacing w:line="240" w:lineRule="auto" w:before="178"/>
        <w:ind w:right="0"/>
        <w:jc w:val="both"/>
      </w:pPr>
      <w:r>
        <w:rPr>
          <w:w w:val="99"/>
        </w:rPr>
      </w:r>
      <w:r>
        <w:rPr>
          <w:u w:val="single" w:color="000000"/>
        </w:rPr>
        <w:t>建造合同</w:t>
      </w:r>
      <w:r>
        <w:rPr/>
      </w:r>
    </w:p>
    <w:p>
      <w:pPr>
        <w:spacing w:line="240" w:lineRule="auto" w:before="3"/>
        <w:rPr>
          <w:rFonts w:ascii="黑体" w:hAnsi="黑体" w:cs="黑体" w:eastAsia="黑体" w:hint="default"/>
          <w:sz w:val="13"/>
          <w:szCs w:val="13"/>
        </w:rPr>
      </w:pPr>
    </w:p>
    <w:p>
      <w:pPr>
        <w:pStyle w:val="BodyText"/>
        <w:spacing w:line="276" w:lineRule="auto" w:before="37"/>
        <w:ind w:right="199"/>
        <w:jc w:val="both"/>
      </w:pPr>
      <w:r>
        <w:rPr>
          <w:w w:val="95"/>
        </w:rPr>
        <w:t>于资产负债表日，建造合同的结果能够可靠估计的情况下，按完工百分比法确认合同收入</w:t>
      </w:r>
      <w:r>
        <w:rPr>
          <w:spacing w:val="87"/>
          <w:w w:val="95"/>
        </w:rPr>
        <w:t> </w:t>
      </w:r>
      <w:r>
        <w:rPr>
          <w:spacing w:val="87"/>
          <w:w w:val="95"/>
        </w:rPr>
      </w:r>
      <w:r>
        <w:rPr>
          <w:w w:val="95"/>
        </w:rPr>
        <w:t>和合同费用；否则按已经发生并预计能够收回的实际合同成本金额确认收入。建造合同的</w:t>
      </w:r>
      <w:r>
        <w:rPr>
          <w:spacing w:val="87"/>
          <w:w w:val="95"/>
        </w:rPr>
        <w:t> </w:t>
      </w:r>
      <w:r>
        <w:rPr>
          <w:spacing w:val="87"/>
          <w:w w:val="95"/>
        </w:rPr>
      </w:r>
      <w:r>
        <w:rPr>
          <w:w w:val="95"/>
        </w:rPr>
        <w:t>结果能够可靠估计，是指与合同相关的经济利益很可能流入本集团，实际发生的合同成本</w:t>
      </w:r>
      <w:r>
        <w:rPr>
          <w:spacing w:val="87"/>
          <w:w w:val="95"/>
        </w:rPr>
        <w:t> </w:t>
      </w:r>
      <w:r>
        <w:rPr>
          <w:spacing w:val="87"/>
          <w:w w:val="95"/>
        </w:rPr>
      </w:r>
      <w:r>
        <w:rPr>
          <w:w w:val="95"/>
        </w:rPr>
        <w:t>能够清楚地区分和可靠计量；就固定造价合同而言，还需满足下列条件：合同总收入能够</w:t>
      </w:r>
      <w:r>
        <w:rPr>
          <w:spacing w:val="90"/>
          <w:w w:val="95"/>
        </w:rPr>
        <w:t> </w:t>
      </w:r>
      <w:r>
        <w:rPr>
          <w:spacing w:val="90"/>
          <w:w w:val="95"/>
        </w:rPr>
      </w:r>
      <w:r>
        <w:rPr>
          <w:w w:val="95"/>
        </w:rPr>
        <w:t>可靠地计量，且合同完工进度和为完成合同尚需发生的成本能够可靠地确定。本集团以已</w:t>
      </w:r>
      <w:r>
        <w:rPr>
          <w:spacing w:val="87"/>
          <w:w w:val="95"/>
        </w:rPr>
        <w:t> </w:t>
      </w:r>
      <w:r>
        <w:rPr>
          <w:spacing w:val="87"/>
          <w:w w:val="95"/>
        </w:rPr>
      </w:r>
      <w:r>
        <w:rPr>
          <w:w w:val="95"/>
        </w:rPr>
        <w:t>经完成的合同工作量占合同预计总工作量的比例确定合同完工进度。合同总收入金额，包</w:t>
      </w:r>
      <w:r>
        <w:rPr>
          <w:spacing w:val="87"/>
          <w:w w:val="95"/>
        </w:rPr>
        <w:t> </w:t>
      </w:r>
      <w:r>
        <w:rPr>
          <w:spacing w:val="87"/>
          <w:w w:val="95"/>
        </w:rPr>
      </w:r>
      <w:r>
        <w:rPr/>
        <w:t>括合同规定的初始收入和因合同变更、索赔、奖励等形成的收入。</w:t>
      </w:r>
    </w:p>
    <w:p>
      <w:pPr>
        <w:spacing w:line="240" w:lineRule="auto" w:before="11"/>
        <w:rPr>
          <w:rFonts w:ascii="黑体" w:hAnsi="黑体" w:cs="黑体" w:eastAsia="黑体" w:hint="default"/>
          <w:sz w:val="13"/>
          <w:szCs w:val="13"/>
        </w:rPr>
      </w:pPr>
    </w:p>
    <w:p>
      <w:pPr>
        <w:pStyle w:val="BodyText"/>
        <w:spacing w:line="240" w:lineRule="auto"/>
        <w:ind w:right="0"/>
        <w:jc w:val="both"/>
      </w:pPr>
      <w:r>
        <w:rPr>
          <w:w w:val="99"/>
        </w:rPr>
      </w:r>
      <w:r>
        <w:rPr>
          <w:u w:val="single" w:color="000000"/>
        </w:rPr>
        <w:t>利息收入</w:t>
      </w:r>
      <w:r>
        <w:rPr/>
      </w:r>
    </w:p>
    <w:p>
      <w:pPr>
        <w:spacing w:line="240" w:lineRule="auto" w:before="3"/>
        <w:rPr>
          <w:rFonts w:ascii="黑体" w:hAnsi="黑体" w:cs="黑体" w:eastAsia="黑体" w:hint="default"/>
          <w:sz w:val="13"/>
          <w:szCs w:val="13"/>
        </w:rPr>
      </w:pPr>
    </w:p>
    <w:p>
      <w:pPr>
        <w:pStyle w:val="BodyText"/>
        <w:spacing w:line="434" w:lineRule="auto" w:before="37"/>
        <w:ind w:right="2772"/>
        <w:jc w:val="left"/>
      </w:pPr>
      <w:r>
        <w:rPr/>
        <w:t>按照他人使用本集团货币资金的时间和实际利率计算确定。</w:t>
      </w:r>
      <w:r>
        <w:rPr>
          <w:w w:val="99"/>
        </w:rPr>
        <w:t> </w:t>
      </w:r>
      <w:r>
        <w:rPr>
          <w:u w:val="single" w:color="000000"/>
        </w:rPr>
        <w:t>使用费收入</w:t>
      </w:r>
      <w:r>
        <w:rPr/>
      </w:r>
    </w:p>
    <w:p>
      <w:pPr>
        <w:pStyle w:val="BodyText"/>
        <w:spacing w:line="434" w:lineRule="auto" w:before="49"/>
        <w:ind w:right="3172"/>
        <w:jc w:val="left"/>
      </w:pPr>
      <w:r>
        <w:rPr/>
        <w:t>按照有关合同或协议约定的收费时间和方法计算确定。</w:t>
      </w:r>
      <w:r>
        <w:rPr>
          <w:w w:val="99"/>
        </w:rPr>
        <w:t> </w:t>
      </w:r>
      <w:r>
        <w:rPr>
          <w:u w:val="single" w:color="000000"/>
        </w:rPr>
        <w:t>租赁收入</w:t>
      </w:r>
      <w:r>
        <w:rPr/>
      </w:r>
    </w:p>
    <w:p>
      <w:pPr>
        <w:pStyle w:val="BodyText"/>
        <w:spacing w:line="276" w:lineRule="auto" w:before="46"/>
        <w:ind w:right="85"/>
        <w:jc w:val="left"/>
      </w:pPr>
      <w:r>
        <w:rPr>
          <w:w w:val="95"/>
        </w:rPr>
        <w:t>经营租赁的租金收入在租赁期内各个期间按照直线法确认，或有租金在实际发生时计入当</w:t>
      </w:r>
      <w:r>
        <w:rPr>
          <w:spacing w:val="87"/>
          <w:w w:val="95"/>
        </w:rPr>
        <w:t> </w:t>
      </w:r>
      <w:r>
        <w:rPr>
          <w:spacing w:val="87"/>
          <w:w w:val="95"/>
        </w:rPr>
      </w:r>
      <w:r>
        <w:rPr/>
        <w:t>期损益。</w:t>
      </w:r>
    </w:p>
    <w:p>
      <w:pPr>
        <w:pStyle w:val="Heading6"/>
        <w:tabs>
          <w:tab w:pos="821" w:val="left" w:leader="none"/>
        </w:tabs>
        <w:spacing w:line="240" w:lineRule="auto" w:before="159"/>
        <w:ind w:right="85"/>
        <w:jc w:val="left"/>
        <w:rPr>
          <w:b w:val="0"/>
          <w:bCs w:val="0"/>
        </w:rPr>
      </w:pPr>
      <w:r>
        <w:rPr>
          <w:rFonts w:ascii="Arial" w:hAnsi="Arial" w:cs="Arial" w:eastAsia="Arial" w:hint="default"/>
          <w:spacing w:val="-1"/>
          <w:w w:val="95"/>
        </w:rPr>
        <w:t>23.</w:t>
        <w:tab/>
      </w:r>
      <w:r>
        <w:rPr>
          <w:spacing w:val="2"/>
        </w:rPr>
        <w:t>政府补助</w:t>
      </w:r>
      <w:r>
        <w:rPr>
          <w:b w:val="0"/>
          <w:bCs w:val="0"/>
        </w:rPr>
      </w:r>
    </w:p>
    <w:p>
      <w:pPr>
        <w:pStyle w:val="BodyText"/>
        <w:spacing w:line="276" w:lineRule="auto" w:before="177"/>
        <w:ind w:right="92"/>
        <w:jc w:val="left"/>
      </w:pPr>
      <w:r>
        <w:rPr>
          <w:spacing w:val="-3"/>
        </w:rPr>
        <w:t>政府补助在能够满足其所附的条件并且能够收到时，予以确认。政府补助为货币性资产的，</w:t>
      </w:r>
      <w:r>
        <w:rPr>
          <w:w w:val="99"/>
        </w:rPr>
        <w:t> </w:t>
      </w:r>
      <w:r>
        <w:rPr/>
        <w:t>按照收到或应收的金额计量。政府补助为非货币性资产的，按照公允价值计量；公允价值</w:t>
      </w:r>
      <w:r>
        <w:rPr>
          <w:w w:val="99"/>
        </w:rPr>
        <w:t> </w:t>
      </w:r>
      <w:r>
        <w:rPr/>
        <w:t>不能可靠取得的，按照名义金额计量。与收益相关的政府补助，用于补偿以后期间的相关</w:t>
      </w:r>
      <w:r>
        <w:rPr>
          <w:w w:val="99"/>
        </w:rPr>
        <w:t> </w:t>
      </w:r>
      <w:r>
        <w:rPr/>
        <w:t>费用或损失的，确认为递延收益，并在确认相关费用的期间计入当期损益；用于补偿已发</w:t>
      </w:r>
      <w:r>
        <w:rPr>
          <w:w w:val="99"/>
        </w:rPr>
        <w:t> </w:t>
      </w:r>
      <w:r>
        <w:rPr>
          <w:spacing w:val="2"/>
        </w:rPr>
        <w:t>生的相关费用或损失的，直接计入当期损益。与资产相关的政府补助，确认为递延收益，</w:t>
      </w:r>
      <w:r>
        <w:rPr>
          <w:spacing w:val="2"/>
          <w:w w:val="99"/>
        </w:rPr>
        <w:t> </w:t>
      </w:r>
      <w:r>
        <w:rPr/>
        <w:t>在相关资产使用寿命内平均分配，计入当期损益。但按照名义金额计量的政府补助，直接</w:t>
      </w:r>
      <w:r>
        <w:rPr>
          <w:w w:val="99"/>
        </w:rPr>
        <w:t> </w:t>
      </w:r>
      <w:r>
        <w:rPr/>
        <w:t>计入当期损益。</w:t>
      </w:r>
    </w:p>
    <w:p>
      <w:pPr>
        <w:spacing w:after="0" w:line="276" w:lineRule="auto"/>
        <w:jc w:val="left"/>
        <w:sectPr>
          <w:pgSz w:w="11910" w:h="16850"/>
          <w:pgMar w:header="957" w:footer="833" w:top="2620" w:bottom="1020" w:left="1600" w:right="1500"/>
        </w:sectPr>
      </w:pPr>
    </w:p>
    <w:p>
      <w:pPr>
        <w:spacing w:line="240" w:lineRule="auto" w:before="7"/>
        <w:rPr>
          <w:rFonts w:ascii="黑体" w:hAnsi="黑体" w:cs="黑体" w:eastAsia="黑体" w:hint="default"/>
          <w:sz w:val="17"/>
          <w:szCs w:val="17"/>
        </w:rPr>
      </w:pPr>
    </w:p>
    <w:p>
      <w:pPr>
        <w:pStyle w:val="Heading6"/>
        <w:tabs>
          <w:tab w:pos="804" w:val="left" w:leader="none"/>
        </w:tabs>
        <w:spacing w:line="240" w:lineRule="auto"/>
        <w:ind w:right="85"/>
        <w:jc w:val="left"/>
        <w:rPr>
          <w:b w:val="0"/>
          <w:bCs w:val="0"/>
        </w:rPr>
      </w:pPr>
      <w:r>
        <w:rPr>
          <w:w w:val="95"/>
        </w:rPr>
        <w:t>二、</w:t>
        <w:tab/>
      </w:r>
      <w:bookmarkStart w:name="二、   重要会计政策、会计估计和前期差错（续）" w:id="51"/>
      <w:bookmarkEnd w:id="51"/>
      <w:r>
        <w:rPr/>
        <w:t>重要</w:t>
      </w:r>
      <w:r>
        <w:rPr/>
        <w:t>会计政策、会计估计和前期差错（续）</w:t>
      </w:r>
      <w:r>
        <w:rPr>
          <w:b w:val="0"/>
          <w:bCs w:val="0"/>
        </w:rPr>
      </w:r>
    </w:p>
    <w:p>
      <w:pPr>
        <w:spacing w:line="240" w:lineRule="auto" w:before="9"/>
        <w:rPr>
          <w:rFonts w:ascii="黑体" w:hAnsi="黑体" w:cs="黑体" w:eastAsia="黑体" w:hint="default"/>
          <w:b/>
          <w:bCs/>
          <w:sz w:val="25"/>
          <w:szCs w:val="25"/>
        </w:rPr>
      </w:pPr>
    </w:p>
    <w:p>
      <w:pPr>
        <w:pStyle w:val="Heading6"/>
        <w:tabs>
          <w:tab w:pos="821" w:val="left" w:leader="none"/>
        </w:tabs>
        <w:spacing w:line="240" w:lineRule="auto" w:before="0"/>
        <w:ind w:right="85"/>
        <w:jc w:val="left"/>
        <w:rPr>
          <w:b w:val="0"/>
          <w:bCs w:val="0"/>
        </w:rPr>
      </w:pPr>
      <w:r>
        <w:rPr>
          <w:rFonts w:ascii="Arial" w:hAnsi="Arial" w:cs="Arial" w:eastAsia="Arial" w:hint="default"/>
          <w:spacing w:val="-1"/>
          <w:w w:val="95"/>
        </w:rPr>
        <w:t>24.</w:t>
        <w:tab/>
      </w:r>
      <w:r>
        <w:rPr>
          <w:spacing w:val="2"/>
        </w:rPr>
        <w:t>所得税</w:t>
      </w:r>
      <w:r>
        <w:rPr>
          <w:b w:val="0"/>
          <w:bCs w:val="0"/>
        </w:rPr>
      </w:r>
    </w:p>
    <w:p>
      <w:pPr>
        <w:spacing w:line="240" w:lineRule="auto" w:before="10"/>
        <w:rPr>
          <w:rFonts w:ascii="黑体" w:hAnsi="黑体" w:cs="黑体" w:eastAsia="黑体" w:hint="default"/>
          <w:b/>
          <w:bCs/>
          <w:sz w:val="24"/>
          <w:szCs w:val="24"/>
        </w:rPr>
      </w:pPr>
    </w:p>
    <w:p>
      <w:pPr>
        <w:pStyle w:val="BodyText"/>
        <w:spacing w:line="276" w:lineRule="auto"/>
        <w:ind w:right="94"/>
        <w:jc w:val="left"/>
      </w:pPr>
      <w:r>
        <w:rPr/>
        <w:t>所得税包括当期所得税和递延所得税。除由于企业合并产生的调整商誉，或与直接计入股</w:t>
      </w:r>
      <w:r>
        <w:rPr>
          <w:w w:val="99"/>
        </w:rPr>
        <w:t> </w:t>
      </w:r>
      <w:r>
        <w:rPr>
          <w:spacing w:val="2"/>
        </w:rPr>
        <w:t>东权益的交易或者事项相关的计入股东权益外，均作为所得税费用或收益计入当期损益。</w:t>
      </w:r>
      <w:r>
        <w:rPr/>
      </w:r>
    </w:p>
    <w:p>
      <w:pPr>
        <w:spacing w:line="240" w:lineRule="auto" w:before="7"/>
        <w:rPr>
          <w:rFonts w:ascii="黑体" w:hAnsi="黑体" w:cs="黑体" w:eastAsia="黑体" w:hint="default"/>
          <w:sz w:val="23"/>
          <w:szCs w:val="23"/>
        </w:rPr>
      </w:pPr>
    </w:p>
    <w:p>
      <w:pPr>
        <w:pStyle w:val="BodyText"/>
        <w:spacing w:line="276" w:lineRule="auto"/>
        <w:ind w:right="202"/>
        <w:jc w:val="both"/>
      </w:pPr>
      <w:r>
        <w:rPr>
          <w:w w:val="95"/>
        </w:rPr>
        <w:t>本集团对于当期和以前期间形成的当期所得税负债或资产，按照税法规定计算的预期应交</w:t>
      </w:r>
      <w:r>
        <w:rPr>
          <w:spacing w:val="87"/>
          <w:w w:val="95"/>
        </w:rPr>
        <w:t> </w:t>
      </w:r>
      <w:r>
        <w:rPr>
          <w:spacing w:val="87"/>
          <w:w w:val="95"/>
        </w:rPr>
      </w:r>
      <w:r>
        <w:rPr/>
        <w:t>纳或返还的所得税金额计量。</w:t>
      </w:r>
    </w:p>
    <w:p>
      <w:pPr>
        <w:spacing w:line="240" w:lineRule="auto" w:before="7"/>
        <w:rPr>
          <w:rFonts w:ascii="黑体" w:hAnsi="黑体" w:cs="黑体" w:eastAsia="黑体" w:hint="default"/>
          <w:sz w:val="23"/>
          <w:szCs w:val="23"/>
        </w:rPr>
      </w:pPr>
    </w:p>
    <w:p>
      <w:pPr>
        <w:pStyle w:val="BodyText"/>
        <w:spacing w:line="276" w:lineRule="auto"/>
        <w:ind w:right="202"/>
        <w:jc w:val="both"/>
      </w:pPr>
      <w:r>
        <w:rPr>
          <w:w w:val="95"/>
        </w:rPr>
        <w:t>本集团根据资产与负债于资产负债表日的账面价值与计税基础之间的暂时性差异，以及未</w:t>
      </w:r>
      <w:r>
        <w:rPr>
          <w:spacing w:val="87"/>
          <w:w w:val="95"/>
        </w:rPr>
        <w:t> </w:t>
      </w:r>
      <w:r>
        <w:rPr>
          <w:spacing w:val="87"/>
          <w:w w:val="95"/>
        </w:rPr>
      </w:r>
      <w:r>
        <w:rPr>
          <w:spacing w:val="5"/>
          <w:w w:val="95"/>
        </w:rPr>
        <w:t>作为资产和负债确认但按照税法规定可以确定其计税基础的项目的账面价值与计税基础</w:t>
      </w:r>
      <w:r>
        <w:rPr>
          <w:spacing w:val="63"/>
          <w:w w:val="95"/>
        </w:rPr>
        <w:t> </w:t>
      </w:r>
      <w:r>
        <w:rPr>
          <w:spacing w:val="63"/>
          <w:w w:val="95"/>
        </w:rPr>
      </w:r>
      <w:r>
        <w:rPr/>
        <w:t>之间的差额产生的暂时性差异，采用资产负债表债务法计提递延所得税。</w:t>
      </w:r>
    </w:p>
    <w:p>
      <w:pPr>
        <w:spacing w:line="240" w:lineRule="auto" w:before="7"/>
        <w:rPr>
          <w:rFonts w:ascii="黑体" w:hAnsi="黑体" w:cs="黑体" w:eastAsia="黑体" w:hint="default"/>
          <w:sz w:val="23"/>
          <w:szCs w:val="23"/>
        </w:rPr>
      </w:pPr>
    </w:p>
    <w:p>
      <w:pPr>
        <w:pStyle w:val="BodyText"/>
        <w:spacing w:line="240" w:lineRule="auto"/>
        <w:ind w:right="0"/>
        <w:jc w:val="both"/>
      </w:pPr>
      <w:r>
        <w:rPr/>
        <w:t>各种应纳税暂时性差异均据以确认递延所得税负债，除非：</w:t>
      </w:r>
    </w:p>
    <w:p>
      <w:pPr>
        <w:spacing w:line="240" w:lineRule="auto" w:before="11"/>
        <w:rPr>
          <w:rFonts w:ascii="黑体" w:hAnsi="黑体" w:cs="黑体" w:eastAsia="黑体" w:hint="default"/>
          <w:sz w:val="25"/>
          <w:szCs w:val="25"/>
        </w:rPr>
      </w:pPr>
    </w:p>
    <w:p>
      <w:pPr>
        <w:pStyle w:val="BodyText"/>
        <w:spacing w:line="268" w:lineRule="auto"/>
        <w:ind w:left="1541" w:right="197" w:hanging="721"/>
        <w:jc w:val="both"/>
      </w:pPr>
      <w:r>
        <w:rPr>
          <w:rFonts w:ascii="Arial" w:hAnsi="Arial" w:cs="Arial" w:eastAsia="Arial" w:hint="default"/>
        </w:rPr>
        <w:t>(1)</w:t>
      </w:r>
      <w:r>
        <w:rPr>
          <w:rFonts w:ascii="Arial" w:hAnsi="Arial" w:cs="Arial" w:eastAsia="Arial" w:hint="default"/>
          <w:spacing w:val="10"/>
        </w:rPr>
        <w:t> </w:t>
      </w:r>
      <w:r>
        <w:rPr>
          <w:spacing w:val="2"/>
        </w:rPr>
        <w:t>应纳税暂时性差异是在以下交易中产生的：商誉的初始确认，或者具有以下特征</w:t>
      </w:r>
      <w:r>
        <w:rPr>
          <w:w w:val="99"/>
        </w:rPr>
        <w:t> </w:t>
      </w:r>
      <w:r>
        <w:rPr>
          <w:spacing w:val="2"/>
          <w:w w:val="95"/>
        </w:rPr>
        <w:t>的交易中产生的资产或负债的初始确认：该交易不是企业合并，并且交易发生时</w:t>
      </w:r>
      <w:r>
        <w:rPr>
          <w:w w:val="99"/>
        </w:rPr>
        <w:t> </w:t>
      </w:r>
      <w:r>
        <w:rPr/>
        <w:t>既不影响会计利润也不影响应纳税所得额或可抵扣亏损。</w:t>
      </w:r>
    </w:p>
    <w:p>
      <w:pPr>
        <w:spacing w:line="240" w:lineRule="auto" w:before="0"/>
        <w:rPr>
          <w:rFonts w:ascii="黑体" w:hAnsi="黑体" w:cs="黑体" w:eastAsia="黑体" w:hint="default"/>
          <w:sz w:val="24"/>
          <w:szCs w:val="24"/>
        </w:rPr>
      </w:pPr>
    </w:p>
    <w:p>
      <w:pPr>
        <w:pStyle w:val="BodyText"/>
        <w:tabs>
          <w:tab w:pos="1541" w:val="left" w:leader="none"/>
        </w:tabs>
        <w:spacing w:line="261" w:lineRule="auto"/>
        <w:ind w:left="1541" w:right="366" w:hanging="721"/>
        <w:jc w:val="left"/>
      </w:pPr>
      <w:r>
        <w:rPr>
          <w:rFonts w:ascii="Arial" w:hAnsi="Arial" w:cs="Arial" w:eastAsia="Arial" w:hint="default"/>
          <w:spacing w:val="-1"/>
        </w:rPr>
        <w:t>(2)</w:t>
        <w:tab/>
      </w:r>
      <w:r>
        <w:rPr>
          <w:spacing w:val="2"/>
          <w:w w:val="95"/>
        </w:rPr>
        <w:t>对于与子公司、合营企业及联营企业投资相关的应纳税暂时性差异，该暂时性差</w:t>
      </w:r>
      <w:r>
        <w:rPr>
          <w:spacing w:val="44"/>
          <w:w w:val="95"/>
        </w:rPr>
        <w:t> </w:t>
      </w:r>
      <w:r>
        <w:rPr>
          <w:spacing w:val="44"/>
          <w:w w:val="95"/>
        </w:rPr>
      </w:r>
      <w:r>
        <w:rPr/>
        <w:t>异转回的时间能够控制并且该暂时性差异在可预见的未来很可能不会转回。</w:t>
      </w:r>
    </w:p>
    <w:p>
      <w:pPr>
        <w:spacing w:line="240" w:lineRule="auto" w:before="6"/>
        <w:rPr>
          <w:rFonts w:ascii="黑体" w:hAnsi="黑体" w:cs="黑体" w:eastAsia="黑体" w:hint="default"/>
          <w:sz w:val="24"/>
          <w:szCs w:val="24"/>
        </w:rPr>
      </w:pPr>
    </w:p>
    <w:p>
      <w:pPr>
        <w:pStyle w:val="BodyText"/>
        <w:spacing w:line="276" w:lineRule="auto"/>
        <w:ind w:right="201"/>
        <w:jc w:val="both"/>
      </w:pPr>
      <w:r>
        <w:rPr>
          <w:w w:val="95"/>
        </w:rPr>
        <w:t>对于可抵扣暂时性差异、能够结转以后年度的可抵扣亏损和税款抵减，本集团以很可能取</w:t>
      </w:r>
      <w:r>
        <w:rPr>
          <w:spacing w:val="87"/>
          <w:w w:val="95"/>
        </w:rPr>
        <w:t> </w:t>
      </w:r>
      <w:r>
        <w:rPr>
          <w:spacing w:val="87"/>
          <w:w w:val="95"/>
        </w:rPr>
      </w:r>
      <w:r>
        <w:rPr>
          <w:w w:val="95"/>
        </w:rPr>
        <w:t>得用来抵扣可抵扣暂时性差异、可抵扣亏损和税款抵减的未来应纳税所得额为限，确认由</w:t>
      </w:r>
      <w:r>
        <w:rPr>
          <w:spacing w:val="87"/>
          <w:w w:val="95"/>
        </w:rPr>
        <w:t> </w:t>
      </w:r>
      <w:r>
        <w:rPr>
          <w:spacing w:val="87"/>
          <w:w w:val="95"/>
        </w:rPr>
      </w:r>
      <w:r>
        <w:rPr/>
        <w:t>此产生的递延所得税资产，除非：</w:t>
      </w:r>
    </w:p>
    <w:p>
      <w:pPr>
        <w:spacing w:line="240" w:lineRule="auto" w:before="7"/>
        <w:rPr>
          <w:rFonts w:ascii="黑体" w:hAnsi="黑体" w:cs="黑体" w:eastAsia="黑体" w:hint="default"/>
          <w:sz w:val="23"/>
          <w:szCs w:val="23"/>
        </w:rPr>
      </w:pPr>
    </w:p>
    <w:p>
      <w:pPr>
        <w:pStyle w:val="BodyText"/>
        <w:tabs>
          <w:tab w:pos="1541" w:val="left" w:leader="none"/>
        </w:tabs>
        <w:spacing w:line="261" w:lineRule="auto"/>
        <w:ind w:left="1541" w:right="366" w:hanging="721"/>
        <w:jc w:val="left"/>
      </w:pPr>
      <w:r>
        <w:rPr>
          <w:rFonts w:ascii="Arial" w:hAnsi="Arial" w:cs="Arial" w:eastAsia="Arial" w:hint="default"/>
          <w:spacing w:val="-1"/>
        </w:rPr>
        <w:t>(1)</w:t>
        <w:tab/>
      </w:r>
      <w:r>
        <w:rPr>
          <w:spacing w:val="2"/>
          <w:w w:val="95"/>
        </w:rPr>
        <w:t>可抵扣暂时性差异是在以下交易中产生的：该交易不是企业合并，并且交易发生</w:t>
      </w:r>
      <w:r>
        <w:rPr>
          <w:spacing w:val="44"/>
          <w:w w:val="95"/>
        </w:rPr>
        <w:t> </w:t>
      </w:r>
      <w:r>
        <w:rPr>
          <w:spacing w:val="44"/>
          <w:w w:val="95"/>
        </w:rPr>
      </w:r>
      <w:r>
        <w:rPr/>
        <w:t>时既不影响会计利润也不影响应纳税所得额或可抵扣亏损。</w:t>
      </w:r>
    </w:p>
    <w:p>
      <w:pPr>
        <w:spacing w:line="240" w:lineRule="auto" w:before="6"/>
        <w:rPr>
          <w:rFonts w:ascii="黑体" w:hAnsi="黑体" w:cs="黑体" w:eastAsia="黑体" w:hint="default"/>
          <w:sz w:val="24"/>
          <w:szCs w:val="24"/>
        </w:rPr>
      </w:pPr>
    </w:p>
    <w:p>
      <w:pPr>
        <w:pStyle w:val="BodyText"/>
        <w:tabs>
          <w:tab w:pos="1520" w:val="left" w:leader="none"/>
        </w:tabs>
        <w:spacing w:line="268" w:lineRule="auto"/>
        <w:ind w:left="1520" w:right="101" w:hanging="699"/>
        <w:jc w:val="left"/>
      </w:pPr>
      <w:r>
        <w:rPr>
          <w:rFonts w:ascii="Arial" w:hAnsi="Arial" w:cs="Arial" w:eastAsia="Arial" w:hint="default"/>
          <w:spacing w:val="-1"/>
        </w:rPr>
        <w:t>(2)</w:t>
        <w:tab/>
      </w:r>
      <w:r>
        <w:rPr>
          <w:spacing w:val="2"/>
        </w:rPr>
        <w:t>对于与子公司、合营企业及联营企业投资相关的可抵扣暂时性差异，同时满足下</w:t>
      </w:r>
      <w:r>
        <w:rPr>
          <w:spacing w:val="2"/>
          <w:w w:val="99"/>
        </w:rPr>
        <w:t> </w:t>
      </w:r>
      <w:r>
        <w:rPr>
          <w:w w:val="95"/>
        </w:rPr>
        <w:t>列条件的，确认相应的递延所得税资产：暂时性差异在可预见的未来很可能转回，</w:t>
      </w:r>
      <w:r>
        <w:rPr>
          <w:w w:val="99"/>
        </w:rPr>
        <w:t> </w:t>
      </w:r>
      <w:r>
        <w:rPr/>
        <w:t>且未来很可能获得用来抵扣可抵扣暂时性差异的应纳税所得额。</w:t>
      </w:r>
    </w:p>
    <w:p>
      <w:pPr>
        <w:spacing w:line="240" w:lineRule="auto" w:before="0"/>
        <w:rPr>
          <w:rFonts w:ascii="黑体" w:hAnsi="黑体" w:cs="黑体" w:eastAsia="黑体" w:hint="default"/>
          <w:sz w:val="24"/>
          <w:szCs w:val="24"/>
        </w:rPr>
      </w:pPr>
    </w:p>
    <w:p>
      <w:pPr>
        <w:pStyle w:val="BodyText"/>
        <w:spacing w:line="276" w:lineRule="auto"/>
        <w:ind w:right="199"/>
        <w:jc w:val="both"/>
      </w:pPr>
      <w:r>
        <w:rPr>
          <w:w w:val="95"/>
        </w:rPr>
        <w:t>本集团于资产负债表日，对于递延所得税资产和递延所得税负债，依据税法规定，按照预</w:t>
      </w:r>
      <w:r>
        <w:rPr>
          <w:spacing w:val="91"/>
          <w:w w:val="95"/>
        </w:rPr>
        <w:t> </w:t>
      </w:r>
      <w:r>
        <w:rPr>
          <w:spacing w:val="91"/>
          <w:w w:val="95"/>
        </w:rPr>
      </w:r>
      <w:r>
        <w:rPr>
          <w:w w:val="95"/>
        </w:rPr>
        <w:t>期收回该资产或清偿该负债期间的适用税率计量，并反映资产负债表日预期收回资产或清</w:t>
      </w:r>
      <w:r>
        <w:rPr>
          <w:spacing w:val="87"/>
          <w:w w:val="95"/>
        </w:rPr>
        <w:t> </w:t>
      </w:r>
      <w:r>
        <w:rPr>
          <w:spacing w:val="87"/>
          <w:w w:val="95"/>
        </w:rPr>
      </w:r>
      <w:r>
        <w:rPr/>
        <w:t>偿负债方式的所得税影响。</w:t>
      </w:r>
    </w:p>
    <w:p>
      <w:pPr>
        <w:spacing w:line="240" w:lineRule="auto" w:before="7"/>
        <w:rPr>
          <w:rFonts w:ascii="黑体" w:hAnsi="黑体" w:cs="黑体" w:eastAsia="黑体" w:hint="default"/>
          <w:sz w:val="23"/>
          <w:szCs w:val="23"/>
        </w:rPr>
      </w:pPr>
    </w:p>
    <w:p>
      <w:pPr>
        <w:pStyle w:val="BodyText"/>
        <w:spacing w:line="276" w:lineRule="auto"/>
        <w:ind w:right="199"/>
        <w:jc w:val="both"/>
      </w:pPr>
      <w:r>
        <w:rPr>
          <w:w w:val="95"/>
        </w:rPr>
        <w:t>于资产负债表日，本集团对递延所得税资产的账面价值进行复核，如果未来期间很可能无</w:t>
      </w:r>
      <w:r>
        <w:rPr>
          <w:spacing w:val="87"/>
          <w:w w:val="95"/>
        </w:rPr>
        <w:t> </w:t>
      </w:r>
      <w:r>
        <w:rPr>
          <w:spacing w:val="87"/>
          <w:w w:val="95"/>
        </w:rPr>
      </w:r>
      <w:r>
        <w:rPr>
          <w:w w:val="95"/>
        </w:rPr>
        <w:t>法获得足够的应纳税所得额用以抵扣递延所得税资产的利益，减记递延所得税资产的账面</w:t>
      </w:r>
      <w:r>
        <w:rPr>
          <w:spacing w:val="87"/>
          <w:w w:val="95"/>
        </w:rPr>
        <w:t> </w:t>
      </w:r>
      <w:r>
        <w:rPr>
          <w:spacing w:val="87"/>
          <w:w w:val="95"/>
        </w:rPr>
      </w:r>
      <w:r>
        <w:rPr>
          <w:w w:val="95"/>
        </w:rPr>
        <w:t>价值。于资产负债表日，本集团重新评估未确认的递延所得税资产，在很可能获得足够的</w:t>
      </w:r>
      <w:r>
        <w:rPr>
          <w:spacing w:val="89"/>
          <w:w w:val="95"/>
        </w:rPr>
        <w:t> </w:t>
      </w:r>
      <w:r>
        <w:rPr>
          <w:spacing w:val="89"/>
          <w:w w:val="95"/>
        </w:rPr>
      </w:r>
      <w:r>
        <w:rPr/>
        <w:t>应纳税所得额可供所有或部分递延所得税资产转回的限度内，确认递延所得税资产。</w:t>
      </w:r>
    </w:p>
    <w:p>
      <w:pPr>
        <w:spacing w:after="0" w:line="276" w:lineRule="auto"/>
        <w:jc w:val="both"/>
        <w:sectPr>
          <w:pgSz w:w="11910" w:h="16850"/>
          <w:pgMar w:header="957" w:footer="833" w:top="2620" w:bottom="1020" w:left="1600" w:right="1500"/>
        </w:sectPr>
      </w:pPr>
    </w:p>
    <w:p>
      <w:pPr>
        <w:spacing w:line="240" w:lineRule="auto" w:before="9"/>
        <w:rPr>
          <w:rFonts w:ascii="黑体" w:hAnsi="黑体" w:cs="黑体" w:eastAsia="黑体" w:hint="default"/>
          <w:sz w:val="13"/>
          <w:szCs w:val="13"/>
        </w:rPr>
      </w:pPr>
    </w:p>
    <w:p>
      <w:pPr>
        <w:pStyle w:val="Heading6"/>
        <w:tabs>
          <w:tab w:pos="804" w:val="left" w:leader="none"/>
        </w:tabs>
        <w:spacing w:line="240" w:lineRule="auto"/>
        <w:ind w:right="85"/>
        <w:jc w:val="left"/>
        <w:rPr>
          <w:b w:val="0"/>
          <w:bCs w:val="0"/>
        </w:rPr>
      </w:pPr>
      <w:r>
        <w:rPr>
          <w:w w:val="95"/>
        </w:rPr>
        <w:t>二、</w:t>
        <w:tab/>
      </w:r>
      <w:bookmarkStart w:name="二、   重要会计政策、会计估计和前期差错（续）" w:id="52"/>
      <w:bookmarkEnd w:id="52"/>
      <w:r>
        <w:rPr/>
        <w:t>重要</w:t>
      </w:r>
      <w:r>
        <w:rPr/>
        <w:t>会计政策、会计估计和前期差错（续）</w:t>
      </w:r>
      <w:r>
        <w:rPr>
          <w:b w:val="0"/>
          <w:bCs w:val="0"/>
        </w:rPr>
      </w:r>
    </w:p>
    <w:p>
      <w:pPr>
        <w:spacing w:line="240" w:lineRule="auto" w:before="9"/>
        <w:rPr>
          <w:rFonts w:ascii="黑体" w:hAnsi="黑体" w:cs="黑体" w:eastAsia="黑体" w:hint="default"/>
          <w:b/>
          <w:bCs/>
          <w:sz w:val="25"/>
          <w:szCs w:val="25"/>
        </w:rPr>
      </w:pPr>
    </w:p>
    <w:p>
      <w:pPr>
        <w:pStyle w:val="Heading6"/>
        <w:tabs>
          <w:tab w:pos="821" w:val="left" w:leader="none"/>
        </w:tabs>
        <w:spacing w:line="240" w:lineRule="auto" w:before="0"/>
        <w:ind w:right="85"/>
        <w:jc w:val="left"/>
        <w:rPr>
          <w:b w:val="0"/>
          <w:bCs w:val="0"/>
        </w:rPr>
      </w:pPr>
      <w:r>
        <w:rPr>
          <w:rFonts w:ascii="Arial" w:hAnsi="Arial" w:cs="Arial" w:eastAsia="Arial" w:hint="default"/>
          <w:spacing w:val="-1"/>
          <w:w w:val="95"/>
        </w:rPr>
        <w:t>24.</w:t>
        <w:tab/>
      </w:r>
      <w:r>
        <w:rPr>
          <w:spacing w:val="1"/>
        </w:rPr>
        <w:t>所得税（续）</w:t>
      </w:r>
      <w:r>
        <w:rPr>
          <w:b w:val="0"/>
          <w:bCs w:val="0"/>
          <w:spacing w:val="1"/>
        </w:rPr>
      </w:r>
    </w:p>
    <w:p>
      <w:pPr>
        <w:spacing w:line="240" w:lineRule="auto" w:before="10"/>
        <w:rPr>
          <w:rFonts w:ascii="黑体" w:hAnsi="黑体" w:cs="黑体" w:eastAsia="黑体" w:hint="default"/>
          <w:b/>
          <w:bCs/>
          <w:sz w:val="24"/>
          <w:szCs w:val="24"/>
        </w:rPr>
      </w:pPr>
    </w:p>
    <w:p>
      <w:pPr>
        <w:pStyle w:val="BodyText"/>
        <w:spacing w:line="276" w:lineRule="auto"/>
        <w:ind w:right="202"/>
        <w:jc w:val="both"/>
      </w:pPr>
      <w:r>
        <w:rPr>
          <w:w w:val="95"/>
        </w:rPr>
        <w:t>如果拥有以净额结算当期所得税资产及当期所得税负债的法定权利，且递延所得税与同一</w:t>
      </w:r>
      <w:r>
        <w:rPr>
          <w:spacing w:val="87"/>
          <w:w w:val="95"/>
        </w:rPr>
        <w:t> </w:t>
      </w:r>
      <w:r>
        <w:rPr>
          <w:spacing w:val="87"/>
          <w:w w:val="95"/>
        </w:rPr>
      </w:r>
      <w:r>
        <w:rPr>
          <w:w w:val="95"/>
        </w:rPr>
        <w:t>应纳税主体和同一税收征管部门相关，则将递延所得税资产和递延所得税负债以抵销后的</w:t>
      </w:r>
      <w:r>
        <w:rPr>
          <w:spacing w:val="87"/>
          <w:w w:val="95"/>
        </w:rPr>
        <w:t> </w:t>
      </w:r>
      <w:r>
        <w:rPr>
          <w:spacing w:val="87"/>
          <w:w w:val="95"/>
        </w:rPr>
      </w:r>
      <w:r>
        <w:rPr/>
        <w:t>净额列示。</w:t>
      </w:r>
    </w:p>
    <w:p>
      <w:pPr>
        <w:spacing w:line="240" w:lineRule="auto" w:before="7"/>
        <w:rPr>
          <w:rFonts w:ascii="黑体" w:hAnsi="黑体" w:cs="黑体" w:eastAsia="黑体" w:hint="default"/>
          <w:sz w:val="23"/>
          <w:szCs w:val="23"/>
        </w:rPr>
      </w:pPr>
    </w:p>
    <w:p>
      <w:pPr>
        <w:pStyle w:val="Heading6"/>
        <w:tabs>
          <w:tab w:pos="821" w:val="left" w:leader="none"/>
        </w:tabs>
        <w:spacing w:line="240" w:lineRule="auto" w:before="0"/>
        <w:ind w:right="85"/>
        <w:jc w:val="left"/>
        <w:rPr>
          <w:b w:val="0"/>
          <w:bCs w:val="0"/>
        </w:rPr>
      </w:pPr>
      <w:r>
        <w:rPr>
          <w:rFonts w:ascii="Arial" w:hAnsi="Arial" w:cs="Arial" w:eastAsia="Arial" w:hint="default"/>
          <w:spacing w:val="-1"/>
          <w:w w:val="95"/>
        </w:rPr>
        <w:t>25.</w:t>
        <w:tab/>
      </w:r>
      <w:r>
        <w:rPr>
          <w:spacing w:val="2"/>
        </w:rPr>
        <w:t>租赁</w:t>
      </w:r>
      <w:r>
        <w:rPr>
          <w:b w:val="0"/>
          <w:bCs w:val="0"/>
        </w:rPr>
      </w:r>
    </w:p>
    <w:p>
      <w:pPr>
        <w:spacing w:line="240" w:lineRule="auto" w:before="10"/>
        <w:rPr>
          <w:rFonts w:ascii="黑体" w:hAnsi="黑体" w:cs="黑体" w:eastAsia="黑体" w:hint="default"/>
          <w:b/>
          <w:bCs/>
          <w:sz w:val="24"/>
          <w:szCs w:val="24"/>
        </w:rPr>
      </w:pPr>
    </w:p>
    <w:p>
      <w:pPr>
        <w:pStyle w:val="BodyText"/>
        <w:spacing w:line="276" w:lineRule="auto"/>
        <w:ind w:right="202"/>
        <w:jc w:val="both"/>
      </w:pPr>
      <w:r>
        <w:rPr>
          <w:w w:val="95"/>
        </w:rPr>
        <w:t>实质上转移了与资产所有权有关的全部风险和报酬的租赁为融资租赁，除此之外的均为经</w:t>
      </w:r>
      <w:r>
        <w:rPr>
          <w:spacing w:val="87"/>
          <w:w w:val="95"/>
        </w:rPr>
        <w:t> </w:t>
      </w:r>
      <w:r>
        <w:rPr>
          <w:spacing w:val="87"/>
          <w:w w:val="95"/>
        </w:rPr>
      </w:r>
      <w:r>
        <w:rPr/>
        <w:t>营租赁。</w:t>
      </w:r>
    </w:p>
    <w:p>
      <w:pPr>
        <w:spacing w:line="240" w:lineRule="auto" w:before="7"/>
        <w:rPr>
          <w:rFonts w:ascii="黑体" w:hAnsi="黑体" w:cs="黑体" w:eastAsia="黑体" w:hint="default"/>
          <w:sz w:val="23"/>
          <w:szCs w:val="23"/>
        </w:rPr>
      </w:pPr>
    </w:p>
    <w:p>
      <w:pPr>
        <w:pStyle w:val="BodyText"/>
        <w:spacing w:line="240" w:lineRule="auto"/>
        <w:ind w:right="0"/>
        <w:jc w:val="both"/>
      </w:pPr>
      <w:r>
        <w:rPr>
          <w:w w:val="99"/>
        </w:rPr>
      </w:r>
      <w:r>
        <w:rPr>
          <w:u w:val="single" w:color="000000"/>
        </w:rPr>
        <w:t>作为经营租赁承租人</w:t>
      </w:r>
      <w:r>
        <w:rPr/>
      </w:r>
    </w:p>
    <w:p>
      <w:pPr>
        <w:spacing w:line="240" w:lineRule="auto" w:before="13"/>
        <w:rPr>
          <w:rFonts w:ascii="黑体" w:hAnsi="黑体" w:cs="黑体" w:eastAsia="黑体" w:hint="default"/>
          <w:sz w:val="22"/>
          <w:szCs w:val="22"/>
        </w:rPr>
      </w:pPr>
    </w:p>
    <w:p>
      <w:pPr>
        <w:pStyle w:val="BodyText"/>
        <w:spacing w:line="276" w:lineRule="auto" w:before="37"/>
        <w:ind w:right="94"/>
        <w:jc w:val="left"/>
      </w:pPr>
      <w:r>
        <w:rPr>
          <w:spacing w:val="2"/>
        </w:rPr>
        <w:t>经营租赁的租金支出，在租赁期内各个期间按照直线法计入相关的资产成本或当期损益，</w:t>
      </w:r>
      <w:r>
        <w:rPr>
          <w:spacing w:val="2"/>
          <w:w w:val="99"/>
        </w:rPr>
        <w:t> </w:t>
      </w:r>
      <w:r>
        <w:rPr/>
        <w:t>或有租金在实际发生时计入当期损益。</w:t>
      </w:r>
    </w:p>
    <w:p>
      <w:pPr>
        <w:spacing w:line="240" w:lineRule="auto" w:before="7"/>
        <w:rPr>
          <w:rFonts w:ascii="黑体" w:hAnsi="黑体" w:cs="黑体" w:eastAsia="黑体" w:hint="default"/>
          <w:sz w:val="23"/>
          <w:szCs w:val="23"/>
        </w:rPr>
      </w:pPr>
    </w:p>
    <w:p>
      <w:pPr>
        <w:pStyle w:val="BodyText"/>
        <w:spacing w:line="240" w:lineRule="auto"/>
        <w:ind w:right="85"/>
        <w:jc w:val="left"/>
      </w:pPr>
      <w:r>
        <w:rPr>
          <w:w w:val="99"/>
        </w:rPr>
      </w:r>
      <w:r>
        <w:rPr>
          <w:u w:val="single" w:color="000000"/>
        </w:rPr>
        <w:t>作为经营租赁出租人</w:t>
      </w:r>
      <w:r>
        <w:rPr/>
      </w:r>
    </w:p>
    <w:p>
      <w:pPr>
        <w:spacing w:line="240" w:lineRule="auto" w:before="13"/>
        <w:rPr>
          <w:rFonts w:ascii="黑体" w:hAnsi="黑体" w:cs="黑体" w:eastAsia="黑体" w:hint="default"/>
          <w:sz w:val="22"/>
          <w:szCs w:val="22"/>
        </w:rPr>
      </w:pPr>
    </w:p>
    <w:p>
      <w:pPr>
        <w:pStyle w:val="BodyText"/>
        <w:spacing w:line="276" w:lineRule="auto" w:before="37"/>
        <w:ind w:right="202"/>
        <w:jc w:val="both"/>
      </w:pPr>
      <w:r>
        <w:rPr>
          <w:w w:val="95"/>
        </w:rPr>
        <w:t>经营租赁的租金收入在租赁期内各个期间按直线法确认为当期损益，或有租金在实际发生</w:t>
      </w:r>
      <w:r>
        <w:rPr>
          <w:spacing w:val="87"/>
          <w:w w:val="95"/>
        </w:rPr>
        <w:t> </w:t>
      </w:r>
      <w:r>
        <w:rPr>
          <w:spacing w:val="87"/>
          <w:w w:val="95"/>
        </w:rPr>
      </w:r>
      <w:r>
        <w:rPr/>
        <w:t>时计入当期损益。</w:t>
      </w:r>
    </w:p>
    <w:p>
      <w:pPr>
        <w:spacing w:line="240" w:lineRule="auto" w:before="7"/>
        <w:rPr>
          <w:rFonts w:ascii="黑体" w:hAnsi="黑体" w:cs="黑体" w:eastAsia="黑体" w:hint="default"/>
          <w:sz w:val="23"/>
          <w:szCs w:val="23"/>
        </w:rPr>
      </w:pPr>
    </w:p>
    <w:p>
      <w:pPr>
        <w:pStyle w:val="Heading6"/>
        <w:tabs>
          <w:tab w:pos="821" w:val="left" w:leader="none"/>
        </w:tabs>
        <w:spacing w:line="240" w:lineRule="auto" w:before="0"/>
        <w:ind w:right="85"/>
        <w:jc w:val="left"/>
        <w:rPr>
          <w:b w:val="0"/>
          <w:bCs w:val="0"/>
        </w:rPr>
      </w:pPr>
      <w:r>
        <w:rPr>
          <w:rFonts w:ascii="Arial" w:hAnsi="Arial" w:cs="Arial" w:eastAsia="Arial" w:hint="default"/>
          <w:spacing w:val="-1"/>
          <w:w w:val="95"/>
        </w:rPr>
        <w:t>26</w:t>
      </w:r>
      <w:r>
        <w:rPr>
          <w:spacing w:val="-1"/>
          <w:w w:val="95"/>
        </w:rPr>
        <w:t>．</w:t>
        <w:tab/>
      </w:r>
      <w:r>
        <w:rPr>
          <w:spacing w:val="1"/>
        </w:rPr>
        <w:t>持有待售的非流动资产</w:t>
      </w:r>
      <w:r>
        <w:rPr>
          <w:b w:val="0"/>
          <w:bCs w:val="0"/>
        </w:rPr>
      </w:r>
    </w:p>
    <w:p>
      <w:pPr>
        <w:spacing w:line="240" w:lineRule="auto" w:before="10"/>
        <w:rPr>
          <w:rFonts w:ascii="黑体" w:hAnsi="黑体" w:cs="黑体" w:eastAsia="黑体" w:hint="default"/>
          <w:b/>
          <w:bCs/>
          <w:sz w:val="24"/>
          <w:szCs w:val="24"/>
        </w:rPr>
      </w:pPr>
    </w:p>
    <w:p>
      <w:pPr>
        <w:pStyle w:val="BodyText"/>
        <w:spacing w:line="276" w:lineRule="auto"/>
        <w:ind w:right="199"/>
        <w:jc w:val="both"/>
      </w:pPr>
      <w:r>
        <w:rPr>
          <w:w w:val="95"/>
        </w:rPr>
        <w:t>同时符合以下条件的非流动资产，除金融资产、递延所得税资产之外，本集团将其划分为</w:t>
      </w:r>
      <w:r>
        <w:rPr>
          <w:spacing w:val="88"/>
          <w:w w:val="95"/>
        </w:rPr>
        <w:t> </w:t>
      </w:r>
      <w:r>
        <w:rPr>
          <w:spacing w:val="88"/>
          <w:w w:val="95"/>
        </w:rPr>
      </w:r>
      <w:r>
        <w:rPr/>
        <w:t>持有待售：</w:t>
      </w:r>
    </w:p>
    <w:p>
      <w:pPr>
        <w:spacing w:line="240" w:lineRule="auto" w:before="7"/>
        <w:rPr>
          <w:rFonts w:ascii="黑体" w:hAnsi="黑体" w:cs="黑体" w:eastAsia="黑体" w:hint="default"/>
          <w:sz w:val="23"/>
          <w:szCs w:val="23"/>
        </w:rPr>
      </w:pPr>
    </w:p>
    <w:p>
      <w:pPr>
        <w:pStyle w:val="BodyText"/>
        <w:spacing w:line="240" w:lineRule="auto"/>
        <w:ind w:left="821" w:right="0"/>
        <w:jc w:val="both"/>
      </w:pPr>
      <w:r>
        <w:rPr>
          <w:rFonts w:ascii="Arial" w:hAnsi="Arial" w:cs="Arial" w:eastAsia="Arial" w:hint="default"/>
        </w:rPr>
        <w:t>(1)       </w:t>
      </w:r>
      <w:r>
        <w:rPr>
          <w:rFonts w:ascii="Arial" w:hAnsi="Arial" w:cs="Arial" w:eastAsia="Arial" w:hint="default"/>
          <w:spacing w:val="24"/>
        </w:rPr>
        <w:t> </w:t>
      </w:r>
      <w:r>
        <w:rPr/>
        <w:t>本集团已经就处置该非流动资产作出决议；</w:t>
      </w:r>
    </w:p>
    <w:p>
      <w:pPr>
        <w:pStyle w:val="BodyText"/>
        <w:spacing w:line="240" w:lineRule="auto" w:before="24"/>
        <w:ind w:left="821" w:right="0"/>
        <w:jc w:val="both"/>
      </w:pPr>
      <w:r>
        <w:rPr>
          <w:rFonts w:ascii="Arial" w:hAnsi="Arial" w:cs="Arial" w:eastAsia="Arial" w:hint="default"/>
        </w:rPr>
        <w:t>(2)       </w:t>
      </w:r>
      <w:r>
        <w:rPr>
          <w:rFonts w:ascii="Arial" w:hAnsi="Arial" w:cs="Arial" w:eastAsia="Arial" w:hint="default"/>
          <w:spacing w:val="24"/>
        </w:rPr>
        <w:t> </w:t>
      </w:r>
      <w:r>
        <w:rPr/>
        <w:t>已经与受让方签订了不可撤销的转让协议；</w:t>
      </w:r>
    </w:p>
    <w:p>
      <w:pPr>
        <w:pStyle w:val="BodyText"/>
        <w:spacing w:line="240" w:lineRule="auto" w:before="24"/>
        <w:ind w:left="821" w:right="0"/>
        <w:jc w:val="both"/>
      </w:pPr>
      <w:r>
        <w:rPr>
          <w:rFonts w:ascii="Arial" w:hAnsi="Arial" w:cs="Arial" w:eastAsia="Arial" w:hint="default"/>
        </w:rPr>
        <w:t>(3)       </w:t>
      </w:r>
      <w:r>
        <w:rPr>
          <w:rFonts w:ascii="Arial" w:hAnsi="Arial" w:cs="Arial" w:eastAsia="Arial" w:hint="default"/>
          <w:spacing w:val="25"/>
        </w:rPr>
        <w:t> </w:t>
      </w:r>
      <w:r>
        <w:rPr/>
        <w:t>该项转让将在一年内完成。</w:t>
      </w:r>
    </w:p>
    <w:p>
      <w:pPr>
        <w:spacing w:line="240" w:lineRule="auto" w:before="10"/>
        <w:rPr>
          <w:rFonts w:ascii="黑体" w:hAnsi="黑体" w:cs="黑体" w:eastAsia="黑体" w:hint="default"/>
          <w:sz w:val="24"/>
          <w:szCs w:val="24"/>
        </w:rPr>
      </w:pPr>
    </w:p>
    <w:p>
      <w:pPr>
        <w:pStyle w:val="BodyText"/>
        <w:spacing w:line="276" w:lineRule="auto"/>
        <w:ind w:right="202"/>
        <w:jc w:val="both"/>
      </w:pPr>
      <w:r>
        <w:rPr>
          <w:w w:val="95"/>
        </w:rPr>
        <w:t>划分为持有待售的非流动资产的单项资产和处置组，不计提折旧或摊销，按照公允价值减</w:t>
      </w:r>
      <w:r>
        <w:rPr>
          <w:spacing w:val="87"/>
          <w:w w:val="95"/>
        </w:rPr>
        <w:t> </w:t>
      </w:r>
      <w:r>
        <w:rPr>
          <w:spacing w:val="87"/>
          <w:w w:val="95"/>
        </w:rPr>
      </w:r>
      <w:r>
        <w:rPr>
          <w:w w:val="95"/>
        </w:rPr>
        <w:t>去处置费用后的金额计量，但不得超过符合持有待售条件时的原账面价值。原账面价值高</w:t>
      </w:r>
      <w:r>
        <w:rPr>
          <w:spacing w:val="87"/>
          <w:w w:val="95"/>
        </w:rPr>
        <w:t> </w:t>
      </w:r>
      <w:r>
        <w:rPr>
          <w:spacing w:val="87"/>
          <w:w w:val="95"/>
        </w:rPr>
      </w:r>
      <w:r>
        <w:rPr/>
        <w:t>于公允价值减去处置费用后的差额，作为资产减值损失计入当期损益。</w:t>
      </w:r>
    </w:p>
    <w:p>
      <w:pPr>
        <w:spacing w:after="0" w:line="276" w:lineRule="auto"/>
        <w:jc w:val="both"/>
        <w:sectPr>
          <w:pgSz w:w="11910" w:h="16850"/>
          <w:pgMar w:header="957" w:footer="833" w:top="2620" w:bottom="1020" w:left="1600" w:right="1500"/>
        </w:sectPr>
      </w:pPr>
    </w:p>
    <w:p>
      <w:pPr>
        <w:spacing w:line="240" w:lineRule="auto" w:before="7"/>
        <w:rPr>
          <w:rFonts w:ascii="黑体" w:hAnsi="黑体" w:cs="黑体" w:eastAsia="黑体" w:hint="default"/>
          <w:sz w:val="17"/>
          <w:szCs w:val="17"/>
        </w:rPr>
      </w:pPr>
    </w:p>
    <w:p>
      <w:pPr>
        <w:pStyle w:val="Heading6"/>
        <w:tabs>
          <w:tab w:pos="804" w:val="left" w:leader="none"/>
        </w:tabs>
        <w:spacing w:line="240" w:lineRule="auto"/>
        <w:ind w:right="85"/>
        <w:jc w:val="left"/>
        <w:rPr>
          <w:b w:val="0"/>
          <w:bCs w:val="0"/>
        </w:rPr>
      </w:pPr>
      <w:r>
        <w:rPr>
          <w:w w:val="95"/>
        </w:rPr>
        <w:t>二、</w:t>
        <w:tab/>
      </w:r>
      <w:bookmarkStart w:name="二、   重要会计政策、会计估计和前期差错（续）" w:id="53"/>
      <w:bookmarkEnd w:id="53"/>
      <w:r>
        <w:rPr/>
        <w:t>重要</w:t>
      </w:r>
      <w:r>
        <w:rPr/>
        <w:t>会计政策、会计估计和前期差错（续）</w:t>
      </w:r>
      <w:r>
        <w:rPr>
          <w:b w:val="0"/>
          <w:bCs w:val="0"/>
        </w:rPr>
      </w:r>
    </w:p>
    <w:p>
      <w:pPr>
        <w:spacing w:line="240" w:lineRule="auto" w:before="0"/>
        <w:rPr>
          <w:rFonts w:ascii="黑体" w:hAnsi="黑体" w:cs="黑体" w:eastAsia="黑体" w:hint="default"/>
          <w:b/>
          <w:bCs/>
          <w:sz w:val="24"/>
          <w:szCs w:val="24"/>
        </w:rPr>
      </w:pPr>
    </w:p>
    <w:p>
      <w:pPr>
        <w:pStyle w:val="Heading6"/>
        <w:tabs>
          <w:tab w:pos="823" w:val="left" w:leader="none"/>
        </w:tabs>
        <w:spacing w:line="240" w:lineRule="auto" w:before="0"/>
        <w:ind w:right="85"/>
        <w:jc w:val="left"/>
        <w:rPr>
          <w:b w:val="0"/>
          <w:bCs w:val="0"/>
        </w:rPr>
      </w:pPr>
      <w:r>
        <w:rPr>
          <w:rFonts w:ascii="Arial" w:hAnsi="Arial" w:cs="Arial" w:eastAsia="Arial" w:hint="default"/>
          <w:spacing w:val="-1"/>
          <w:w w:val="95"/>
        </w:rPr>
        <w:t>27.</w:t>
        <w:tab/>
      </w:r>
      <w:r>
        <w:rPr>
          <w:spacing w:val="1"/>
        </w:rPr>
        <w:t>资产减值</w:t>
      </w:r>
      <w:r>
        <w:rPr>
          <w:b w:val="0"/>
          <w:bCs w:val="0"/>
        </w:rPr>
      </w:r>
    </w:p>
    <w:p>
      <w:pPr>
        <w:spacing w:line="240" w:lineRule="auto" w:before="4"/>
        <w:rPr>
          <w:rFonts w:ascii="黑体" w:hAnsi="黑体" w:cs="黑体" w:eastAsia="黑体" w:hint="default"/>
          <w:b/>
          <w:bCs/>
          <w:sz w:val="23"/>
          <w:szCs w:val="23"/>
        </w:rPr>
      </w:pPr>
    </w:p>
    <w:p>
      <w:pPr>
        <w:pStyle w:val="BodyText"/>
        <w:spacing w:line="276" w:lineRule="auto"/>
        <w:ind w:right="199"/>
        <w:jc w:val="both"/>
      </w:pPr>
      <w:r>
        <w:rPr>
          <w:w w:val="95"/>
        </w:rPr>
        <w:t>本集团对</w:t>
      </w:r>
      <w:bookmarkStart w:name="27.    资产减值" w:id="54"/>
      <w:bookmarkEnd w:id="54"/>
      <w:r>
        <w:rPr>
          <w:w w:val="95"/>
        </w:rPr>
        <w:t>除存货、递延</w:t>
      </w:r>
      <w:r>
        <w:rPr>
          <w:w w:val="95"/>
        </w:rPr>
        <w:t>所得税、金融资产、按成本法核算的在活跃市场中没有报价且其公</w:t>
      </w:r>
      <w:r>
        <w:rPr>
          <w:spacing w:val="89"/>
          <w:w w:val="95"/>
        </w:rPr>
        <w:t> </w:t>
      </w:r>
      <w:r>
        <w:rPr>
          <w:spacing w:val="89"/>
          <w:w w:val="95"/>
        </w:rPr>
      </w:r>
      <w:r>
        <w:rPr/>
        <w:t>允价值不能可靠计量的长期股权投资外的资产减值，按以下方法确定：</w:t>
      </w:r>
    </w:p>
    <w:p>
      <w:pPr>
        <w:spacing w:line="240" w:lineRule="auto" w:before="7"/>
        <w:rPr>
          <w:rFonts w:ascii="黑体" w:hAnsi="黑体" w:cs="黑体" w:eastAsia="黑体" w:hint="default"/>
          <w:sz w:val="23"/>
          <w:szCs w:val="23"/>
        </w:rPr>
      </w:pPr>
    </w:p>
    <w:p>
      <w:pPr>
        <w:pStyle w:val="BodyText"/>
        <w:spacing w:line="276" w:lineRule="auto"/>
        <w:ind w:right="199"/>
        <w:jc w:val="both"/>
      </w:pPr>
      <w:r>
        <w:rPr>
          <w:w w:val="95"/>
        </w:rPr>
        <w:t>本集团于资产负债表日判断资产是否存在可能发生减值的迹象，存在减值迹象的，本集团</w:t>
      </w:r>
      <w:r>
        <w:rPr>
          <w:spacing w:val="87"/>
          <w:w w:val="95"/>
        </w:rPr>
        <w:t> </w:t>
      </w:r>
      <w:r>
        <w:rPr>
          <w:spacing w:val="87"/>
          <w:w w:val="95"/>
        </w:rPr>
      </w:r>
      <w:r>
        <w:rPr>
          <w:w w:val="95"/>
        </w:rPr>
        <w:t>将估计其可收回金额，进行减值测试。对因企业合并所形成的商誉和使用寿命不确定的无</w:t>
      </w:r>
      <w:r>
        <w:rPr>
          <w:spacing w:val="87"/>
          <w:w w:val="95"/>
        </w:rPr>
        <w:t> </w:t>
      </w:r>
      <w:r>
        <w:rPr>
          <w:spacing w:val="87"/>
          <w:w w:val="95"/>
        </w:rPr>
      </w:r>
      <w:r>
        <w:rPr>
          <w:w w:val="95"/>
        </w:rPr>
        <w:t>形资产，无论是否存在减值迹象，至少于每年末进行减值测试。对于尚未达到可使用状态</w:t>
      </w:r>
      <w:r>
        <w:rPr>
          <w:spacing w:val="88"/>
          <w:w w:val="95"/>
        </w:rPr>
        <w:t> </w:t>
      </w:r>
      <w:r>
        <w:rPr>
          <w:spacing w:val="88"/>
          <w:w w:val="95"/>
        </w:rPr>
      </w:r>
      <w:r>
        <w:rPr/>
        <w:t>的无形资产，也每年进行减值测试。</w:t>
      </w:r>
    </w:p>
    <w:p>
      <w:pPr>
        <w:spacing w:line="240" w:lineRule="auto" w:before="7"/>
        <w:rPr>
          <w:rFonts w:ascii="黑体" w:hAnsi="黑体" w:cs="黑体" w:eastAsia="黑体" w:hint="default"/>
          <w:sz w:val="23"/>
          <w:szCs w:val="23"/>
        </w:rPr>
      </w:pPr>
    </w:p>
    <w:p>
      <w:pPr>
        <w:pStyle w:val="BodyText"/>
        <w:spacing w:line="276" w:lineRule="auto"/>
        <w:ind w:right="99"/>
        <w:jc w:val="both"/>
      </w:pPr>
      <w:r>
        <w:rPr>
          <w:spacing w:val="5"/>
        </w:rPr>
        <w:t>可收回金额根据资产的公允价值减去处置费用后的净额与资产预计未来现金流量的现值</w:t>
      </w:r>
      <w:r>
        <w:rPr>
          <w:w w:val="99"/>
        </w:rPr>
        <w:t> </w:t>
      </w:r>
      <w:r>
        <w:rPr/>
        <w:t>两者之间较高者确定。本集团以单项资产为基础估计其可收回金额；难以对单项资产的可</w:t>
      </w:r>
      <w:r>
        <w:rPr>
          <w:w w:val="99"/>
        </w:rPr>
        <w:t> </w:t>
      </w:r>
      <w:r>
        <w:rPr/>
        <w:t>收回金额进行估计的，以该资产所属的资产组为基础确定资产组的可收回金额。资产组的</w:t>
      </w:r>
      <w:r>
        <w:rPr>
          <w:w w:val="99"/>
        </w:rPr>
        <w:t> </w:t>
      </w:r>
      <w:r>
        <w:rPr>
          <w:spacing w:val="2"/>
        </w:rPr>
        <w:t>认定，以资产组产生的主要现金流入是否独立于其他资产或者资产组的现金流入为依据。</w:t>
      </w:r>
      <w:r>
        <w:rPr/>
      </w:r>
    </w:p>
    <w:p>
      <w:pPr>
        <w:spacing w:line="240" w:lineRule="auto" w:before="7"/>
        <w:rPr>
          <w:rFonts w:ascii="黑体" w:hAnsi="黑体" w:cs="黑体" w:eastAsia="黑体" w:hint="default"/>
          <w:sz w:val="23"/>
          <w:szCs w:val="23"/>
        </w:rPr>
      </w:pPr>
    </w:p>
    <w:p>
      <w:pPr>
        <w:pStyle w:val="BodyText"/>
        <w:spacing w:line="276" w:lineRule="auto"/>
        <w:ind w:right="202"/>
        <w:jc w:val="both"/>
      </w:pPr>
      <w:r>
        <w:rPr>
          <w:w w:val="95"/>
        </w:rPr>
        <w:t>当资产或者资产组的可收回金额低于其账面价值时，本集团将其账面价值减记至可收回金</w:t>
      </w:r>
      <w:r>
        <w:rPr>
          <w:spacing w:val="87"/>
          <w:w w:val="95"/>
        </w:rPr>
        <w:t> </w:t>
      </w:r>
      <w:r>
        <w:rPr>
          <w:spacing w:val="87"/>
          <w:w w:val="95"/>
        </w:rPr>
      </w:r>
      <w:r>
        <w:rPr/>
        <w:t>额，减记的金额计入当期损益，同时计提相应的资产减值准备。</w:t>
      </w:r>
    </w:p>
    <w:p>
      <w:pPr>
        <w:spacing w:line="240" w:lineRule="auto" w:before="7"/>
        <w:rPr>
          <w:rFonts w:ascii="黑体" w:hAnsi="黑体" w:cs="黑体" w:eastAsia="黑体" w:hint="default"/>
          <w:sz w:val="23"/>
          <w:szCs w:val="23"/>
        </w:rPr>
      </w:pPr>
    </w:p>
    <w:p>
      <w:pPr>
        <w:pStyle w:val="BodyText"/>
        <w:spacing w:line="276" w:lineRule="auto"/>
        <w:ind w:right="94"/>
        <w:jc w:val="left"/>
      </w:pPr>
      <w:r>
        <w:rPr/>
        <w:t>就商誉的减值测试而言，对于因企业合并形成的商誉的账面价值，自购买日起按照合理的</w:t>
      </w:r>
      <w:r>
        <w:rPr>
          <w:w w:val="99"/>
        </w:rPr>
        <w:t> </w:t>
      </w:r>
      <w:r>
        <w:rPr>
          <w:spacing w:val="2"/>
        </w:rPr>
        <w:t>方法分摊至相关的资产组；难以分摊至相关的资产组的，将其分摊至相关的资产组组合。</w:t>
      </w:r>
      <w:r>
        <w:rPr>
          <w:spacing w:val="2"/>
          <w:w w:val="99"/>
        </w:rPr>
        <w:t> </w:t>
      </w:r>
      <w:r>
        <w:rPr/>
        <w:t>相关的资产组或者资产组组合，是能够从企业合并的协同效应中受益的资产组或者资产组</w:t>
      </w:r>
      <w:r>
        <w:rPr>
          <w:w w:val="99"/>
        </w:rPr>
        <w:t> </w:t>
      </w:r>
      <w:r>
        <w:rPr/>
        <w:t>组合，且不大于本集团确定的报告分部。</w:t>
      </w:r>
    </w:p>
    <w:p>
      <w:pPr>
        <w:spacing w:line="240" w:lineRule="auto" w:before="7"/>
        <w:rPr>
          <w:rFonts w:ascii="黑体" w:hAnsi="黑体" w:cs="黑体" w:eastAsia="黑体" w:hint="default"/>
          <w:sz w:val="23"/>
          <w:szCs w:val="23"/>
        </w:rPr>
      </w:pPr>
    </w:p>
    <w:p>
      <w:pPr>
        <w:pStyle w:val="BodyText"/>
        <w:spacing w:line="276" w:lineRule="auto"/>
        <w:ind w:right="199"/>
        <w:jc w:val="both"/>
      </w:pPr>
      <w:r>
        <w:rPr>
          <w:w w:val="95"/>
        </w:rPr>
        <w:t>对包含商誉的相关资产组或者资产组组合进行减值测试时，如与商誉相关的资产组或者资</w:t>
      </w:r>
      <w:r>
        <w:rPr>
          <w:spacing w:val="87"/>
          <w:w w:val="95"/>
        </w:rPr>
        <w:t> </w:t>
      </w:r>
      <w:r>
        <w:rPr>
          <w:spacing w:val="87"/>
          <w:w w:val="95"/>
        </w:rPr>
      </w:r>
      <w:r>
        <w:rPr>
          <w:w w:val="95"/>
        </w:rPr>
        <w:t>产组组合存在减值迹象的，首先对不包含商誉的资产组或者资产组组合进行减值测试，计</w:t>
      </w:r>
      <w:r>
        <w:rPr>
          <w:spacing w:val="87"/>
          <w:w w:val="95"/>
        </w:rPr>
        <w:t> </w:t>
      </w:r>
      <w:r>
        <w:rPr>
          <w:spacing w:val="87"/>
          <w:w w:val="95"/>
        </w:rPr>
      </w:r>
      <w:r>
        <w:rPr>
          <w:w w:val="95"/>
        </w:rPr>
        <w:t>算可收回金额，确认相应的减值损失。然后对包含商誉的资产组或者资产组组合进行减值</w:t>
      </w:r>
      <w:r>
        <w:rPr>
          <w:spacing w:val="87"/>
          <w:w w:val="95"/>
        </w:rPr>
        <w:t> </w:t>
      </w:r>
      <w:r>
        <w:rPr>
          <w:spacing w:val="87"/>
          <w:w w:val="95"/>
        </w:rPr>
      </w:r>
      <w:r>
        <w:rPr>
          <w:w w:val="95"/>
        </w:rPr>
        <w:t>测试，比较其账面价值与可收回金额，如可收回金额低于账面价值的，减值损失金额首先</w:t>
      </w:r>
      <w:r>
        <w:rPr>
          <w:spacing w:val="89"/>
          <w:w w:val="95"/>
        </w:rPr>
        <w:t> </w:t>
      </w:r>
      <w:r>
        <w:rPr>
          <w:spacing w:val="89"/>
          <w:w w:val="95"/>
        </w:rPr>
      </w:r>
      <w:r>
        <w:rPr>
          <w:w w:val="95"/>
        </w:rPr>
        <w:t>抵减分摊至资产组或者资产组组合中商誉的账面价值，再根据资产组或者资产组组合中除</w:t>
      </w:r>
      <w:r>
        <w:rPr>
          <w:spacing w:val="87"/>
          <w:w w:val="95"/>
        </w:rPr>
        <w:t> </w:t>
      </w:r>
      <w:r>
        <w:rPr>
          <w:spacing w:val="87"/>
          <w:w w:val="95"/>
        </w:rPr>
      </w:r>
      <w:r>
        <w:rPr/>
        <w:t>商誉之外的其他各项资产的账面价值所占比重，按比例抵减其他各项资产的账面价值。</w:t>
      </w:r>
    </w:p>
    <w:p>
      <w:pPr>
        <w:spacing w:line="240" w:lineRule="auto" w:before="7"/>
        <w:rPr>
          <w:rFonts w:ascii="黑体" w:hAnsi="黑体" w:cs="黑体" w:eastAsia="黑体" w:hint="default"/>
          <w:sz w:val="23"/>
          <w:szCs w:val="23"/>
        </w:rPr>
      </w:pPr>
    </w:p>
    <w:p>
      <w:pPr>
        <w:pStyle w:val="BodyText"/>
        <w:spacing w:line="240" w:lineRule="auto"/>
        <w:ind w:right="0"/>
        <w:jc w:val="both"/>
      </w:pPr>
      <w:r>
        <w:rPr/>
        <w:t>上述资产减值损失一经确认，在以后会计期间不再转回。</w:t>
      </w:r>
    </w:p>
    <w:p>
      <w:pPr>
        <w:spacing w:after="0" w:line="240" w:lineRule="auto"/>
        <w:jc w:val="both"/>
        <w:sectPr>
          <w:pgSz w:w="11910" w:h="16850"/>
          <w:pgMar w:header="957" w:footer="833" w:top="2620" w:bottom="1020" w:left="1600" w:right="1500"/>
        </w:sectPr>
      </w:pPr>
    </w:p>
    <w:p>
      <w:pPr>
        <w:spacing w:line="240" w:lineRule="auto" w:before="7"/>
        <w:rPr>
          <w:rFonts w:ascii="黑体" w:hAnsi="黑体" w:cs="黑体" w:eastAsia="黑体" w:hint="default"/>
          <w:sz w:val="17"/>
          <w:szCs w:val="17"/>
        </w:rPr>
      </w:pPr>
    </w:p>
    <w:p>
      <w:pPr>
        <w:pStyle w:val="Heading6"/>
        <w:tabs>
          <w:tab w:pos="804" w:val="left" w:leader="none"/>
        </w:tabs>
        <w:spacing w:line="240" w:lineRule="auto"/>
        <w:ind w:right="85"/>
        <w:jc w:val="left"/>
        <w:rPr>
          <w:b w:val="0"/>
          <w:bCs w:val="0"/>
        </w:rPr>
      </w:pPr>
      <w:r>
        <w:rPr>
          <w:w w:val="95"/>
        </w:rPr>
        <w:t>二、</w:t>
        <w:tab/>
      </w:r>
      <w:r>
        <w:rPr/>
        <w:t>重要会计政策、会计估计和前期差错（续）</w:t>
      </w:r>
      <w:r>
        <w:rPr>
          <w:b w:val="0"/>
          <w:bCs w:val="0"/>
        </w:rPr>
      </w:r>
    </w:p>
    <w:p>
      <w:pPr>
        <w:spacing w:line="240" w:lineRule="auto" w:before="0"/>
        <w:rPr>
          <w:rFonts w:ascii="黑体" w:hAnsi="黑体" w:cs="黑体" w:eastAsia="黑体" w:hint="default"/>
          <w:b/>
          <w:bCs/>
          <w:sz w:val="24"/>
          <w:szCs w:val="24"/>
        </w:rPr>
      </w:pPr>
    </w:p>
    <w:p>
      <w:pPr>
        <w:pStyle w:val="Heading6"/>
        <w:tabs>
          <w:tab w:pos="821" w:val="left" w:leader="none"/>
        </w:tabs>
        <w:spacing w:line="240" w:lineRule="auto" w:before="0"/>
        <w:ind w:right="85"/>
        <w:jc w:val="left"/>
        <w:rPr>
          <w:b w:val="0"/>
          <w:bCs w:val="0"/>
        </w:rPr>
      </w:pPr>
      <w:r>
        <w:rPr>
          <w:rFonts w:ascii="Arial" w:hAnsi="Arial" w:cs="Arial" w:eastAsia="Arial" w:hint="default"/>
          <w:spacing w:val="-1"/>
          <w:w w:val="95"/>
        </w:rPr>
        <w:t>28.</w:t>
        <w:tab/>
      </w:r>
      <w:r>
        <w:rPr>
          <w:spacing w:val="2"/>
        </w:rPr>
        <w:t>职工薪酬</w:t>
      </w:r>
      <w:r>
        <w:rPr>
          <w:b w:val="0"/>
          <w:bCs w:val="0"/>
        </w:rPr>
      </w:r>
    </w:p>
    <w:p>
      <w:pPr>
        <w:spacing w:line="240" w:lineRule="auto" w:before="4"/>
        <w:rPr>
          <w:rFonts w:ascii="黑体" w:hAnsi="黑体" w:cs="黑体" w:eastAsia="黑体" w:hint="default"/>
          <w:b/>
          <w:bCs/>
          <w:sz w:val="23"/>
          <w:szCs w:val="23"/>
        </w:rPr>
      </w:pPr>
    </w:p>
    <w:p>
      <w:pPr>
        <w:pStyle w:val="BodyText"/>
        <w:spacing w:line="276" w:lineRule="auto"/>
        <w:ind w:right="199"/>
        <w:jc w:val="both"/>
      </w:pPr>
      <w:r>
        <w:rPr>
          <w:w w:val="95"/>
        </w:rPr>
        <w:t>职工薪酬，是指本集团为获得职工提供的服务而给予除股份支付以外各种形式的报酬以及</w:t>
      </w:r>
      <w:r>
        <w:rPr>
          <w:spacing w:val="87"/>
          <w:w w:val="95"/>
        </w:rPr>
        <w:t> </w:t>
      </w:r>
      <w:r>
        <w:rPr>
          <w:spacing w:val="87"/>
          <w:w w:val="95"/>
        </w:rPr>
      </w:r>
      <w:r>
        <w:rPr>
          <w:w w:val="95"/>
        </w:rPr>
        <w:t>其他相关支出。在职工提供服务的会计期间，将应付的职工薪酬确认为负债。对于资产负</w:t>
      </w:r>
      <w:r>
        <w:rPr>
          <w:spacing w:val="89"/>
          <w:w w:val="95"/>
        </w:rPr>
        <w:t> </w:t>
      </w:r>
      <w:r>
        <w:rPr>
          <w:spacing w:val="89"/>
          <w:w w:val="95"/>
        </w:rPr>
      </w:r>
      <w:r>
        <w:rPr/>
        <w:t>债表日后</w:t>
      </w:r>
      <w:r>
        <w:rPr>
          <w:rFonts w:ascii="Arial" w:hAnsi="Arial" w:cs="Arial" w:eastAsia="Arial" w:hint="default"/>
        </w:rPr>
        <w:t>1</w:t>
      </w:r>
      <w:r>
        <w:rPr/>
        <w:t>年以上到期的，如果折现的影响金额重大，则以其现值列示。</w:t>
      </w:r>
    </w:p>
    <w:p>
      <w:pPr>
        <w:spacing w:line="240" w:lineRule="auto" w:before="3"/>
        <w:rPr>
          <w:rFonts w:ascii="黑体" w:hAnsi="黑体" w:cs="黑体" w:eastAsia="黑体" w:hint="default"/>
          <w:sz w:val="22"/>
          <w:szCs w:val="22"/>
        </w:rPr>
      </w:pPr>
    </w:p>
    <w:p>
      <w:pPr>
        <w:pStyle w:val="BodyText"/>
        <w:spacing w:line="276" w:lineRule="auto"/>
        <w:ind w:right="202"/>
        <w:jc w:val="both"/>
      </w:pPr>
      <w:r>
        <w:rPr>
          <w:w w:val="95"/>
        </w:rPr>
        <w:t>本集团的职工参加由当地政府管理的养老保险、医疗保险、失业保险等社会保险费和住房</w:t>
      </w:r>
      <w:r>
        <w:rPr>
          <w:spacing w:val="87"/>
          <w:w w:val="95"/>
        </w:rPr>
        <w:t> </w:t>
      </w:r>
      <w:r>
        <w:rPr>
          <w:spacing w:val="87"/>
          <w:w w:val="95"/>
        </w:rPr>
      </w:r>
      <w:r>
        <w:rPr/>
        <w:t>公积金，相应支出在发生时计入相关资产成本或当期损益。</w:t>
      </w:r>
    </w:p>
    <w:p>
      <w:pPr>
        <w:spacing w:line="240" w:lineRule="auto" w:before="13"/>
        <w:rPr>
          <w:rFonts w:ascii="黑体" w:hAnsi="黑体" w:cs="黑体" w:eastAsia="黑体" w:hint="default"/>
          <w:sz w:val="16"/>
          <w:szCs w:val="16"/>
        </w:rPr>
      </w:pPr>
    </w:p>
    <w:p>
      <w:pPr>
        <w:tabs>
          <w:tab w:pos="821" w:val="left" w:leader="none"/>
        </w:tabs>
        <w:spacing w:line="518" w:lineRule="auto" w:before="0"/>
        <w:ind w:left="814" w:right="3391" w:hanging="713"/>
        <w:jc w:val="left"/>
        <w:rPr>
          <w:rFonts w:ascii="黑体" w:hAnsi="黑体" w:cs="黑体" w:eastAsia="黑体" w:hint="default"/>
          <w:sz w:val="20"/>
          <w:szCs w:val="20"/>
        </w:rPr>
      </w:pPr>
      <w:r>
        <w:rPr>
          <w:rFonts w:ascii="Arial" w:hAnsi="Arial" w:cs="Arial" w:eastAsia="Arial" w:hint="default"/>
          <w:b/>
          <w:bCs/>
          <w:spacing w:val="-1"/>
          <w:w w:val="95"/>
          <w:sz w:val="20"/>
          <w:szCs w:val="20"/>
        </w:rPr>
        <w:t>29.</w:t>
        <w:tab/>
        <w:tab/>
      </w:r>
      <w:r>
        <w:rPr>
          <w:rFonts w:ascii="黑体" w:hAnsi="黑体" w:cs="黑体" w:eastAsia="黑体" w:hint="default"/>
          <w:b/>
          <w:bCs/>
          <w:spacing w:val="2"/>
          <w:sz w:val="20"/>
          <w:szCs w:val="20"/>
        </w:rPr>
        <w:t>利润分配</w:t>
      </w:r>
      <w:r>
        <w:rPr>
          <w:rFonts w:ascii="黑体" w:hAnsi="黑体" w:cs="黑体" w:eastAsia="黑体" w:hint="default"/>
          <w:b/>
          <w:bCs/>
          <w:spacing w:val="2"/>
          <w:w w:val="99"/>
          <w:sz w:val="20"/>
          <w:szCs w:val="20"/>
        </w:rPr>
        <w:t> </w:t>
      </w:r>
      <w:r>
        <w:rPr>
          <w:rFonts w:ascii="黑体" w:hAnsi="黑体" w:cs="黑体" w:eastAsia="黑体" w:hint="default"/>
          <w:sz w:val="20"/>
          <w:szCs w:val="20"/>
        </w:rPr>
        <w:t>本公司的现金股利，于股东大会批准后确认为负债。</w:t>
      </w:r>
    </w:p>
    <w:p>
      <w:pPr>
        <w:pStyle w:val="Heading6"/>
        <w:tabs>
          <w:tab w:pos="821" w:val="left" w:leader="none"/>
        </w:tabs>
        <w:spacing w:line="240" w:lineRule="auto" w:before="89"/>
        <w:ind w:right="85"/>
        <w:jc w:val="left"/>
        <w:rPr>
          <w:b w:val="0"/>
          <w:bCs w:val="0"/>
        </w:rPr>
      </w:pPr>
      <w:r>
        <w:rPr>
          <w:rFonts w:ascii="Arial" w:hAnsi="Arial" w:cs="Arial" w:eastAsia="Arial" w:hint="default"/>
          <w:spacing w:val="-1"/>
          <w:w w:val="95"/>
        </w:rPr>
        <w:t>30.</w:t>
        <w:tab/>
      </w:r>
      <w:r>
        <w:rPr>
          <w:spacing w:val="2"/>
        </w:rPr>
        <w:t>关联方</w:t>
      </w:r>
      <w:r>
        <w:rPr>
          <w:b w:val="0"/>
          <w:bCs w:val="0"/>
        </w:rPr>
      </w:r>
    </w:p>
    <w:p>
      <w:pPr>
        <w:spacing w:line="240" w:lineRule="auto" w:before="6"/>
        <w:rPr>
          <w:rFonts w:ascii="黑体" w:hAnsi="黑体" w:cs="黑体" w:eastAsia="黑体" w:hint="default"/>
          <w:b/>
          <w:bCs/>
          <w:sz w:val="29"/>
          <w:szCs w:val="29"/>
        </w:rPr>
      </w:pPr>
    </w:p>
    <w:p>
      <w:pPr>
        <w:pStyle w:val="BodyText"/>
        <w:spacing w:line="260" w:lineRule="exact"/>
        <w:ind w:left="821" w:right="85"/>
        <w:jc w:val="left"/>
      </w:pPr>
      <w:r>
        <w:rPr>
          <w:spacing w:val="-3"/>
        </w:rPr>
        <w:t>一方控制、共同控制另一方或对另一方施加重大影响，以及两方或两方以上同受一方控制、</w:t>
      </w:r>
      <w:r>
        <w:rPr>
          <w:w w:val="99"/>
        </w:rPr>
        <w:t> </w:t>
      </w:r>
      <w:r>
        <w:rPr/>
        <w:t>共同控制的，构成关联方。</w:t>
      </w:r>
    </w:p>
    <w:p>
      <w:pPr>
        <w:spacing w:line="240" w:lineRule="auto" w:before="6"/>
        <w:rPr>
          <w:rFonts w:ascii="黑体" w:hAnsi="黑体" w:cs="黑体" w:eastAsia="黑体" w:hint="default"/>
          <w:sz w:val="19"/>
          <w:szCs w:val="19"/>
        </w:rPr>
      </w:pPr>
    </w:p>
    <w:p>
      <w:pPr>
        <w:pStyle w:val="Heading6"/>
        <w:tabs>
          <w:tab w:pos="821" w:val="left" w:leader="none"/>
        </w:tabs>
        <w:spacing w:line="240" w:lineRule="auto" w:before="0"/>
        <w:ind w:right="85"/>
        <w:jc w:val="left"/>
        <w:rPr>
          <w:b w:val="0"/>
          <w:bCs w:val="0"/>
        </w:rPr>
      </w:pPr>
      <w:r>
        <w:rPr>
          <w:rFonts w:ascii="Arial" w:hAnsi="Arial" w:cs="Arial" w:eastAsia="Arial" w:hint="default"/>
          <w:spacing w:val="-1"/>
          <w:w w:val="95"/>
        </w:rPr>
        <w:t>31.</w:t>
        <w:tab/>
      </w:r>
      <w:r>
        <w:rPr>
          <w:spacing w:val="1"/>
        </w:rPr>
        <w:t>重大会计判断和估计</w:t>
      </w:r>
      <w:r>
        <w:rPr>
          <w:b w:val="0"/>
          <w:bCs w:val="0"/>
        </w:rPr>
      </w:r>
    </w:p>
    <w:p>
      <w:pPr>
        <w:spacing w:line="240" w:lineRule="auto" w:before="8"/>
        <w:rPr>
          <w:rFonts w:ascii="黑体" w:hAnsi="黑体" w:cs="黑体" w:eastAsia="黑体" w:hint="default"/>
          <w:b/>
          <w:bCs/>
          <w:sz w:val="24"/>
          <w:szCs w:val="24"/>
        </w:rPr>
      </w:pPr>
    </w:p>
    <w:p>
      <w:pPr>
        <w:pStyle w:val="BodyText"/>
        <w:spacing w:line="276" w:lineRule="auto"/>
        <w:ind w:right="199"/>
        <w:jc w:val="both"/>
      </w:pPr>
      <w:r>
        <w:rPr>
          <w:w w:val="95"/>
        </w:rPr>
        <w:t>编制财务报表要求管理层作出判断和估计，这些判断和估计会影响收入、费用、资产和负</w:t>
      </w:r>
      <w:r>
        <w:rPr>
          <w:spacing w:val="90"/>
          <w:w w:val="95"/>
        </w:rPr>
        <w:t> </w:t>
      </w:r>
      <w:r>
        <w:rPr>
          <w:spacing w:val="90"/>
          <w:w w:val="95"/>
        </w:rPr>
      </w:r>
      <w:r>
        <w:rPr>
          <w:w w:val="95"/>
        </w:rPr>
        <w:t>债的报告金额及其披露，以及资产负债表日或有负债的披露。然而，这些估计的不确定性</w:t>
      </w:r>
      <w:r>
        <w:rPr>
          <w:spacing w:val="89"/>
          <w:w w:val="95"/>
        </w:rPr>
        <w:t> </w:t>
      </w:r>
      <w:r>
        <w:rPr>
          <w:spacing w:val="89"/>
          <w:w w:val="95"/>
        </w:rPr>
      </w:r>
      <w:r>
        <w:rPr/>
        <w:t>所导致的结果可能造成对未来受影响的资产或负债的账面金额进行重大调整。</w:t>
      </w:r>
    </w:p>
    <w:p>
      <w:pPr>
        <w:spacing w:line="240" w:lineRule="auto" w:before="7"/>
        <w:rPr>
          <w:rFonts w:ascii="黑体" w:hAnsi="黑体" w:cs="黑体" w:eastAsia="黑体" w:hint="default"/>
          <w:sz w:val="23"/>
          <w:szCs w:val="23"/>
        </w:rPr>
      </w:pPr>
    </w:p>
    <w:p>
      <w:pPr>
        <w:pStyle w:val="BodyText"/>
        <w:spacing w:line="240" w:lineRule="auto"/>
        <w:ind w:right="0"/>
        <w:jc w:val="both"/>
      </w:pPr>
      <w:r>
        <w:rPr>
          <w:w w:val="99"/>
        </w:rPr>
      </w:r>
      <w:r>
        <w:rPr>
          <w:u w:val="single" w:color="000000"/>
        </w:rPr>
        <w:t>估计的不确定性</w:t>
      </w:r>
      <w:r>
        <w:rPr/>
      </w:r>
    </w:p>
    <w:p>
      <w:pPr>
        <w:spacing w:line="240" w:lineRule="auto" w:before="13"/>
        <w:rPr>
          <w:rFonts w:ascii="黑体" w:hAnsi="黑体" w:cs="黑体" w:eastAsia="黑体" w:hint="default"/>
          <w:sz w:val="22"/>
          <w:szCs w:val="22"/>
        </w:rPr>
      </w:pPr>
    </w:p>
    <w:p>
      <w:pPr>
        <w:pStyle w:val="BodyText"/>
        <w:spacing w:line="276" w:lineRule="auto" w:before="37"/>
        <w:ind w:right="85"/>
        <w:jc w:val="left"/>
      </w:pPr>
      <w:r>
        <w:rPr>
          <w:w w:val="95"/>
        </w:rPr>
        <w:t>以下为于资产负债表日有关未来的关键假设以及估计不确定性的其他关键来源，可能会导</w:t>
      </w:r>
      <w:r>
        <w:rPr>
          <w:spacing w:val="87"/>
          <w:w w:val="95"/>
        </w:rPr>
        <w:t> </w:t>
      </w:r>
      <w:r>
        <w:rPr>
          <w:spacing w:val="87"/>
          <w:w w:val="95"/>
        </w:rPr>
      </w:r>
      <w:r>
        <w:rPr/>
        <w:t>致未来会计期间资产和负债账面金额重大调整。</w:t>
      </w:r>
    </w:p>
    <w:p>
      <w:pPr>
        <w:spacing w:after="0" w:line="276" w:lineRule="auto"/>
        <w:jc w:val="left"/>
        <w:sectPr>
          <w:pgSz w:w="11910" w:h="16850"/>
          <w:pgMar w:header="957" w:footer="833" w:top="2620" w:bottom="1020" w:left="1600" w:right="1500"/>
        </w:sectPr>
      </w:pPr>
    </w:p>
    <w:p>
      <w:pPr>
        <w:spacing w:line="240" w:lineRule="auto" w:before="7"/>
        <w:rPr>
          <w:rFonts w:ascii="黑体" w:hAnsi="黑体" w:cs="黑体" w:eastAsia="黑体" w:hint="default"/>
          <w:sz w:val="17"/>
          <w:szCs w:val="17"/>
        </w:rPr>
      </w:pPr>
    </w:p>
    <w:p>
      <w:pPr>
        <w:pStyle w:val="Heading6"/>
        <w:tabs>
          <w:tab w:pos="804" w:val="left" w:leader="none"/>
        </w:tabs>
        <w:spacing w:line="240" w:lineRule="auto"/>
        <w:ind w:right="3627"/>
        <w:jc w:val="left"/>
        <w:rPr>
          <w:b w:val="0"/>
          <w:bCs w:val="0"/>
        </w:rPr>
      </w:pPr>
      <w:r>
        <w:rPr>
          <w:w w:val="95"/>
        </w:rPr>
        <w:t>二、</w:t>
        <w:tab/>
      </w:r>
      <w:r>
        <w:rPr/>
        <w:t>重要会计政策、会计估计和前期差错（续）</w:t>
      </w:r>
      <w:r>
        <w:rPr>
          <w:b w:val="0"/>
          <w:bCs w:val="0"/>
        </w:rPr>
      </w:r>
    </w:p>
    <w:p>
      <w:pPr>
        <w:spacing w:line="240" w:lineRule="auto" w:before="9"/>
        <w:rPr>
          <w:rFonts w:ascii="黑体" w:hAnsi="黑体" w:cs="黑体" w:eastAsia="黑体" w:hint="default"/>
          <w:b/>
          <w:bCs/>
          <w:sz w:val="18"/>
          <w:szCs w:val="18"/>
        </w:rPr>
      </w:pPr>
    </w:p>
    <w:p>
      <w:pPr>
        <w:tabs>
          <w:tab w:pos="821" w:val="left" w:leader="none"/>
        </w:tabs>
        <w:spacing w:line="504" w:lineRule="auto" w:before="0"/>
        <w:ind w:left="814" w:right="4492" w:hanging="713"/>
        <w:jc w:val="left"/>
        <w:rPr>
          <w:rFonts w:ascii="黑体" w:hAnsi="黑体" w:cs="黑体" w:eastAsia="黑体" w:hint="default"/>
          <w:sz w:val="20"/>
          <w:szCs w:val="20"/>
        </w:rPr>
      </w:pPr>
      <w:r>
        <w:rPr>
          <w:rFonts w:ascii="Arial" w:hAnsi="Arial" w:cs="Arial" w:eastAsia="Arial" w:hint="default"/>
          <w:b/>
          <w:bCs/>
          <w:spacing w:val="-1"/>
          <w:w w:val="95"/>
          <w:sz w:val="20"/>
          <w:szCs w:val="20"/>
        </w:rPr>
        <w:t>31.</w:t>
        <w:tab/>
        <w:tab/>
      </w:r>
      <w:r>
        <w:rPr>
          <w:rFonts w:ascii="黑体" w:hAnsi="黑体" w:cs="黑体" w:eastAsia="黑体" w:hint="default"/>
          <w:b/>
          <w:bCs/>
          <w:spacing w:val="1"/>
          <w:sz w:val="20"/>
          <w:szCs w:val="20"/>
        </w:rPr>
        <w:t>重大会计判断和估计（续）</w:t>
      </w:r>
      <w:r>
        <w:rPr>
          <w:rFonts w:ascii="黑体" w:hAnsi="黑体" w:cs="黑体" w:eastAsia="黑体" w:hint="default"/>
          <w:b/>
          <w:bCs/>
          <w:spacing w:val="2"/>
          <w:w w:val="99"/>
          <w:sz w:val="20"/>
          <w:szCs w:val="20"/>
        </w:rPr>
        <w:t> </w:t>
      </w:r>
      <w:r>
        <w:rPr>
          <w:rFonts w:ascii="黑体" w:hAnsi="黑体" w:cs="黑体" w:eastAsia="黑体" w:hint="default"/>
          <w:spacing w:val="2"/>
          <w:w w:val="99"/>
          <w:sz w:val="20"/>
          <w:szCs w:val="20"/>
        </w:rPr>
      </w:r>
      <w:r>
        <w:rPr>
          <w:rFonts w:ascii="黑体" w:hAnsi="黑体" w:cs="黑体" w:eastAsia="黑体" w:hint="default"/>
          <w:sz w:val="20"/>
          <w:szCs w:val="20"/>
          <w:u w:val="single" w:color="000000"/>
        </w:rPr>
        <w:t>估计的不确定性</w:t>
      </w:r>
      <w:r>
        <w:rPr>
          <w:rFonts w:ascii="黑体" w:hAnsi="黑体" w:cs="黑体" w:eastAsia="黑体" w:hint="default"/>
          <w:sz w:val="20"/>
          <w:szCs w:val="20"/>
        </w:rPr>
        <w:t>（续）</w:t>
      </w:r>
    </w:p>
    <w:p>
      <w:pPr>
        <w:pStyle w:val="BodyText"/>
        <w:spacing w:line="273" w:lineRule="auto" w:before="106"/>
        <w:ind w:right="194"/>
        <w:jc w:val="left"/>
      </w:pPr>
      <w:r>
        <w:rPr>
          <w:rFonts w:ascii="黑体" w:hAnsi="黑体" w:cs="黑体" w:eastAsia="黑体" w:hint="default"/>
          <w:i/>
          <w:sz w:val="21"/>
          <w:szCs w:val="21"/>
        </w:rPr>
        <w:t>除金融资产之外的非流动资产减值</w:t>
      </w:r>
      <w:r>
        <w:rPr>
          <w:rFonts w:ascii="Arial" w:hAnsi="Arial" w:cs="Arial" w:eastAsia="Arial" w:hint="default"/>
          <w:i/>
        </w:rPr>
        <w:t>(</w:t>
      </w:r>
      <w:r>
        <w:rPr>
          <w:rFonts w:ascii="黑体" w:hAnsi="黑体" w:cs="黑体" w:eastAsia="黑体" w:hint="default"/>
          <w:i/>
          <w:sz w:val="21"/>
          <w:szCs w:val="21"/>
        </w:rPr>
        <w:t>除商誉外</w:t>
      </w:r>
      <w:r>
        <w:rPr>
          <w:rFonts w:ascii="Arial" w:hAnsi="Arial" w:cs="Arial" w:eastAsia="Arial" w:hint="default"/>
          <w:i/>
        </w:rPr>
        <w:t>)</w:t>
      </w:r>
      <w:r>
        <w:rPr>
          <w:rFonts w:ascii="Arial" w:hAnsi="Arial" w:cs="Arial" w:eastAsia="Arial" w:hint="default"/>
          <w:i/>
          <w:w w:val="99"/>
        </w:rPr>
        <w:t> </w:t>
      </w:r>
      <w:r>
        <w:rPr>
          <w:spacing w:val="5"/>
          <w:w w:val="95"/>
        </w:rPr>
        <w:t>本集团于资产负债表日对除金融资产之外的非流动资产判断是否存在可能发生减值的迹</w:t>
      </w:r>
      <w:r>
        <w:rPr>
          <w:spacing w:val="62"/>
          <w:w w:val="95"/>
        </w:rPr>
        <w:t> </w:t>
      </w:r>
      <w:r>
        <w:rPr>
          <w:spacing w:val="62"/>
          <w:w w:val="95"/>
        </w:rPr>
      </w:r>
      <w:r>
        <w:rPr>
          <w:w w:val="95"/>
        </w:rPr>
        <w:t>象。对使用寿命不确定的无形资产，除每年进行的减值测试外，当其存在减值迹象时，也</w:t>
      </w:r>
      <w:r>
        <w:rPr>
          <w:spacing w:val="87"/>
          <w:w w:val="95"/>
        </w:rPr>
        <w:t> </w:t>
      </w:r>
      <w:r>
        <w:rPr>
          <w:spacing w:val="87"/>
          <w:w w:val="95"/>
        </w:rPr>
      </w:r>
      <w:r>
        <w:rPr>
          <w:w w:val="95"/>
        </w:rPr>
        <w:t>进行减值测试。其他除金融资产之外的非流动资产，当存在迹象表明其账面金额不可收回</w:t>
      </w:r>
      <w:r>
        <w:rPr>
          <w:spacing w:val="87"/>
          <w:w w:val="95"/>
        </w:rPr>
        <w:t> </w:t>
      </w:r>
      <w:r>
        <w:rPr>
          <w:spacing w:val="87"/>
          <w:w w:val="95"/>
        </w:rPr>
      </w:r>
      <w:r>
        <w:rPr>
          <w:w w:val="95"/>
        </w:rPr>
        <w:t>时，进行减值测试。当资产或资产组的账面价值高于可收回金额，即公允价值减去处置费</w:t>
      </w:r>
      <w:r>
        <w:rPr>
          <w:spacing w:val="89"/>
          <w:w w:val="95"/>
        </w:rPr>
        <w:t> </w:t>
      </w:r>
      <w:r>
        <w:rPr>
          <w:spacing w:val="89"/>
          <w:w w:val="95"/>
        </w:rPr>
      </w:r>
      <w:r>
        <w:rPr>
          <w:w w:val="95"/>
        </w:rPr>
        <w:t>用后的净额和预计未来现金流量的现值中的较高者，表明发生了减值。公允价值减去处置</w:t>
      </w:r>
      <w:r>
        <w:rPr>
          <w:spacing w:val="87"/>
          <w:w w:val="95"/>
        </w:rPr>
        <w:t> </w:t>
      </w:r>
      <w:r>
        <w:rPr>
          <w:spacing w:val="87"/>
          <w:w w:val="95"/>
        </w:rPr>
      </w:r>
      <w:r>
        <w:rPr>
          <w:w w:val="95"/>
        </w:rPr>
        <w:t>费用后的净额，参考公平交易中类似资产的销售协议价格或可观察到的市场价格，减去可</w:t>
      </w:r>
      <w:r>
        <w:rPr>
          <w:spacing w:val="87"/>
          <w:w w:val="95"/>
        </w:rPr>
        <w:t> </w:t>
      </w:r>
      <w:r>
        <w:rPr>
          <w:spacing w:val="87"/>
          <w:w w:val="95"/>
        </w:rPr>
      </w:r>
      <w:r>
        <w:rPr>
          <w:w w:val="95"/>
        </w:rPr>
        <w:t>直接归属于该资产处置的增量成本确定。预计未来现金流量现值时，管理层必须估计该项</w:t>
      </w:r>
      <w:r>
        <w:rPr>
          <w:spacing w:val="87"/>
          <w:w w:val="95"/>
        </w:rPr>
        <w:t> </w:t>
      </w:r>
      <w:r>
        <w:rPr>
          <w:spacing w:val="87"/>
          <w:w w:val="95"/>
        </w:rPr>
      </w:r>
      <w:r>
        <w:rPr>
          <w:w w:val="95"/>
        </w:rPr>
        <w:t>资产或资产组的预计未来现金流量，并选择恰当的折现率确定未来现金流量的现值。详见</w:t>
      </w:r>
      <w:r>
        <w:rPr>
          <w:spacing w:val="87"/>
          <w:w w:val="95"/>
        </w:rPr>
        <w:t> </w:t>
      </w:r>
      <w:r>
        <w:rPr>
          <w:spacing w:val="87"/>
          <w:w w:val="95"/>
        </w:rPr>
      </w:r>
      <w:r>
        <w:rPr/>
        <w:t>附注五、</w:t>
      </w:r>
      <w:r>
        <w:rPr>
          <w:rFonts w:ascii="Arial" w:hAnsi="Arial" w:cs="Arial" w:eastAsia="Arial" w:hint="default"/>
        </w:rPr>
        <w:t>12</w:t>
      </w:r>
      <w:r>
        <w:rPr/>
        <w:t>。</w:t>
      </w:r>
    </w:p>
    <w:p>
      <w:pPr>
        <w:spacing w:line="240" w:lineRule="auto" w:before="6"/>
        <w:rPr>
          <w:rFonts w:ascii="黑体" w:hAnsi="黑体" w:cs="黑体" w:eastAsia="黑体" w:hint="default"/>
          <w:sz w:val="21"/>
          <w:szCs w:val="21"/>
        </w:rPr>
      </w:pPr>
    </w:p>
    <w:p>
      <w:pPr>
        <w:pStyle w:val="BodyText"/>
        <w:spacing w:line="273" w:lineRule="auto"/>
        <w:ind w:right="194"/>
        <w:jc w:val="left"/>
      </w:pPr>
      <w:r>
        <w:rPr>
          <w:rFonts w:ascii="黑体" w:hAnsi="黑体" w:cs="黑体" w:eastAsia="黑体" w:hint="default"/>
          <w:i/>
          <w:sz w:val="21"/>
          <w:szCs w:val="21"/>
        </w:rPr>
        <w:t>商誉减值</w:t>
      </w:r>
      <w:r>
        <w:rPr>
          <w:rFonts w:ascii="黑体" w:hAnsi="黑体" w:cs="黑体" w:eastAsia="黑体" w:hint="default"/>
          <w:i/>
          <w:w w:val="94"/>
          <w:sz w:val="21"/>
          <w:szCs w:val="21"/>
        </w:rPr>
        <w:t> </w:t>
      </w:r>
      <w:r>
        <w:rPr/>
        <w:t>本集团至少每年测试商誉是否发生减值。这要求对分配了商誉的资产组或者资产组组合的</w:t>
      </w:r>
      <w:r>
        <w:rPr>
          <w:w w:val="99"/>
        </w:rPr>
        <w:t> </w:t>
      </w:r>
      <w:r>
        <w:rPr/>
        <w:t>未来现金流量的现值进行预计。对未来现金流量的现值进行预计时，本集团需要预计未来</w:t>
      </w:r>
      <w:r>
        <w:rPr>
          <w:w w:val="99"/>
        </w:rPr>
        <w:t> </w:t>
      </w:r>
      <w:r>
        <w:rPr>
          <w:w w:val="95"/>
        </w:rPr>
        <w:t>资产组或者资产组组合产生的现金流量，同时选择恰当的折现率确定未来现金流量的现值。</w:t>
      </w:r>
      <w:r>
        <w:rPr>
          <w:spacing w:val="3"/>
          <w:w w:val="95"/>
        </w:rPr>
        <w:t> </w:t>
      </w:r>
      <w:r>
        <w:rPr>
          <w:spacing w:val="3"/>
          <w:w w:val="95"/>
        </w:rPr>
      </w:r>
      <w:r>
        <w:rPr/>
        <w:t>详见附注五、</w:t>
      </w:r>
      <w:r>
        <w:rPr>
          <w:rFonts w:ascii="Arial" w:hAnsi="Arial" w:cs="Arial" w:eastAsia="Arial" w:hint="default"/>
        </w:rPr>
        <w:t>14</w:t>
      </w:r>
      <w:r>
        <w:rPr/>
        <w:t>。</w:t>
      </w:r>
    </w:p>
    <w:p>
      <w:pPr>
        <w:spacing w:line="240" w:lineRule="auto" w:before="6"/>
        <w:rPr>
          <w:rFonts w:ascii="黑体" w:hAnsi="黑体" w:cs="黑体" w:eastAsia="黑体" w:hint="default"/>
          <w:sz w:val="21"/>
          <w:szCs w:val="21"/>
        </w:rPr>
      </w:pPr>
    </w:p>
    <w:p>
      <w:pPr>
        <w:pStyle w:val="BodyText"/>
        <w:spacing w:line="273" w:lineRule="auto"/>
        <w:ind w:right="194" w:hanging="1"/>
        <w:jc w:val="left"/>
      </w:pPr>
      <w:r>
        <w:rPr>
          <w:rFonts w:ascii="黑体" w:hAnsi="黑体" w:cs="黑体" w:eastAsia="黑体" w:hint="default"/>
          <w:i/>
          <w:sz w:val="21"/>
          <w:szCs w:val="21"/>
        </w:rPr>
        <w:t>非上市股权投资的公允价值</w:t>
      </w:r>
      <w:r>
        <w:rPr>
          <w:rFonts w:ascii="黑体" w:hAnsi="黑体" w:cs="黑体" w:eastAsia="黑体" w:hint="default"/>
          <w:i/>
          <w:w w:val="94"/>
          <w:sz w:val="21"/>
          <w:szCs w:val="21"/>
        </w:rPr>
        <w:t> </w:t>
      </w:r>
      <w:r>
        <w:rPr>
          <w:w w:val="95"/>
        </w:rPr>
        <w:t>非上市的股权投资的估值，是根据具有类似合同条款和风险特征的其他金融工具的当前折</w:t>
      </w:r>
      <w:r>
        <w:rPr>
          <w:spacing w:val="86"/>
          <w:w w:val="95"/>
        </w:rPr>
        <w:t> </w:t>
      </w:r>
      <w:r>
        <w:rPr>
          <w:spacing w:val="86"/>
          <w:w w:val="95"/>
        </w:rPr>
      </w:r>
      <w:r>
        <w:rPr>
          <w:w w:val="95"/>
        </w:rPr>
        <w:t>现率折现的预计未来现金流量。这要求本集团估计预计未来现金流量、信用风险、波动和</w:t>
      </w:r>
      <w:r>
        <w:rPr>
          <w:spacing w:val="88"/>
          <w:w w:val="95"/>
        </w:rPr>
        <w:t> </w:t>
      </w:r>
      <w:r>
        <w:rPr>
          <w:spacing w:val="88"/>
          <w:w w:val="95"/>
        </w:rPr>
      </w:r>
      <w:r>
        <w:rPr/>
        <w:t>折现率，因此具有不确定性。</w:t>
      </w:r>
    </w:p>
    <w:p>
      <w:pPr>
        <w:spacing w:line="240" w:lineRule="auto" w:before="11"/>
        <w:rPr>
          <w:rFonts w:ascii="黑体" w:hAnsi="黑体" w:cs="黑体" w:eastAsia="黑体" w:hint="default"/>
          <w:sz w:val="22"/>
          <w:szCs w:val="22"/>
        </w:rPr>
      </w:pPr>
    </w:p>
    <w:p>
      <w:pPr>
        <w:pStyle w:val="BodyText"/>
        <w:spacing w:line="273" w:lineRule="auto"/>
        <w:ind w:right="194"/>
        <w:jc w:val="left"/>
      </w:pPr>
      <w:r>
        <w:rPr>
          <w:rFonts w:ascii="黑体" w:hAnsi="黑体" w:cs="黑体" w:eastAsia="黑体" w:hint="default"/>
          <w:i/>
          <w:sz w:val="21"/>
          <w:szCs w:val="21"/>
        </w:rPr>
        <w:t>开发支出</w:t>
      </w:r>
      <w:r>
        <w:rPr>
          <w:rFonts w:ascii="黑体" w:hAnsi="黑体" w:cs="黑体" w:eastAsia="黑体" w:hint="default"/>
          <w:i/>
          <w:w w:val="94"/>
          <w:sz w:val="21"/>
          <w:szCs w:val="21"/>
        </w:rPr>
        <w:t> </w:t>
      </w:r>
      <w:r>
        <w:rPr>
          <w:w w:val="95"/>
        </w:rPr>
        <w:t>确定资本化的金额时，管理层必须作出有关资产的预计未来现金流量适用的折现率以及预</w:t>
      </w:r>
      <w:r>
        <w:rPr>
          <w:spacing w:val="87"/>
          <w:w w:val="95"/>
        </w:rPr>
        <w:t> </w:t>
      </w:r>
      <w:r>
        <w:rPr>
          <w:spacing w:val="87"/>
          <w:w w:val="95"/>
        </w:rPr>
      </w:r>
      <w:r>
        <w:rPr/>
        <w:t>计受益期间的假设。</w:t>
      </w:r>
    </w:p>
    <w:p>
      <w:pPr>
        <w:spacing w:line="240" w:lineRule="auto" w:before="11"/>
        <w:rPr>
          <w:rFonts w:ascii="黑体" w:hAnsi="黑体" w:cs="黑体" w:eastAsia="黑体" w:hint="default"/>
          <w:sz w:val="22"/>
          <w:szCs w:val="22"/>
        </w:rPr>
      </w:pPr>
    </w:p>
    <w:p>
      <w:pPr>
        <w:pStyle w:val="BodyText"/>
        <w:spacing w:line="273" w:lineRule="auto"/>
        <w:ind w:right="194"/>
        <w:jc w:val="left"/>
      </w:pPr>
      <w:r>
        <w:rPr>
          <w:rFonts w:ascii="黑体" w:hAnsi="黑体" w:cs="黑体" w:eastAsia="黑体" w:hint="default"/>
          <w:i/>
          <w:sz w:val="21"/>
          <w:szCs w:val="21"/>
        </w:rPr>
        <w:t>递延所得税资产</w:t>
      </w:r>
      <w:r>
        <w:rPr>
          <w:rFonts w:ascii="黑体" w:hAnsi="黑体" w:cs="黑体" w:eastAsia="黑体" w:hint="default"/>
          <w:i/>
          <w:w w:val="94"/>
          <w:sz w:val="21"/>
          <w:szCs w:val="21"/>
        </w:rPr>
        <w:t> </w:t>
      </w:r>
      <w:r>
        <w:rPr>
          <w:w w:val="95"/>
        </w:rPr>
        <w:t>在很可能有足够的应纳税所得额用以抵扣可抵扣亏损的限度内，应就所有尚未利用的可抵</w:t>
      </w:r>
      <w:r>
        <w:rPr>
          <w:spacing w:val="87"/>
          <w:w w:val="95"/>
        </w:rPr>
        <w:t> </w:t>
      </w:r>
      <w:r>
        <w:rPr>
          <w:spacing w:val="87"/>
          <w:w w:val="95"/>
        </w:rPr>
      </w:r>
      <w:r>
        <w:rPr>
          <w:w w:val="95"/>
        </w:rPr>
        <w:t>扣亏损确认递延所得税资产。这需要管理层运用大量的判断来估计未来取得应纳税所得额</w:t>
      </w:r>
      <w:r>
        <w:rPr>
          <w:spacing w:val="87"/>
          <w:w w:val="95"/>
        </w:rPr>
        <w:t> </w:t>
      </w:r>
      <w:r>
        <w:rPr>
          <w:spacing w:val="87"/>
          <w:w w:val="95"/>
        </w:rPr>
      </w:r>
      <w:r>
        <w:rPr/>
        <w:t>的时间和金额，结合纳税筹划策略，以决定应确认的递延所得税资产的金额。</w:t>
      </w:r>
    </w:p>
    <w:p>
      <w:pPr>
        <w:spacing w:after="0" w:line="273" w:lineRule="auto"/>
        <w:jc w:val="left"/>
        <w:sectPr>
          <w:pgSz w:w="11910" w:h="16850"/>
          <w:pgMar w:header="957" w:footer="833" w:top="2620" w:bottom="1020" w:left="1600" w:right="1400"/>
        </w:sectPr>
      </w:pPr>
    </w:p>
    <w:p>
      <w:pPr>
        <w:spacing w:line="240" w:lineRule="auto" w:before="7"/>
        <w:rPr>
          <w:rFonts w:ascii="黑体" w:hAnsi="黑体" w:cs="黑体" w:eastAsia="黑体" w:hint="default"/>
          <w:sz w:val="17"/>
          <w:szCs w:val="17"/>
        </w:rPr>
      </w:pPr>
    </w:p>
    <w:p>
      <w:pPr>
        <w:pStyle w:val="Heading6"/>
        <w:tabs>
          <w:tab w:pos="804" w:val="left" w:leader="none"/>
        </w:tabs>
        <w:spacing w:line="240" w:lineRule="auto"/>
        <w:ind w:right="85"/>
        <w:jc w:val="left"/>
        <w:rPr>
          <w:b w:val="0"/>
          <w:bCs w:val="0"/>
        </w:rPr>
      </w:pPr>
      <w:r>
        <w:rPr>
          <w:w w:val="95"/>
        </w:rPr>
        <w:t>二、</w:t>
        <w:tab/>
      </w:r>
      <w:r>
        <w:rPr/>
        <w:t>重要会计政策、会计估计和前期差错（续）</w:t>
      </w:r>
      <w:r>
        <w:rPr>
          <w:b w:val="0"/>
          <w:bCs w:val="0"/>
        </w:rPr>
      </w:r>
    </w:p>
    <w:p>
      <w:pPr>
        <w:spacing w:line="240" w:lineRule="auto" w:before="0"/>
        <w:rPr>
          <w:rFonts w:ascii="黑体" w:hAnsi="黑体" w:cs="黑体" w:eastAsia="黑体" w:hint="default"/>
          <w:b/>
          <w:bCs/>
          <w:sz w:val="24"/>
          <w:szCs w:val="24"/>
        </w:rPr>
      </w:pPr>
    </w:p>
    <w:p>
      <w:pPr>
        <w:tabs>
          <w:tab w:pos="821" w:val="left" w:leader="none"/>
        </w:tabs>
        <w:spacing w:line="504" w:lineRule="auto" w:before="0"/>
        <w:ind w:left="814" w:right="5592" w:hanging="713"/>
        <w:jc w:val="left"/>
        <w:rPr>
          <w:rFonts w:ascii="黑体" w:hAnsi="黑体" w:cs="黑体" w:eastAsia="黑体" w:hint="default"/>
          <w:sz w:val="20"/>
          <w:szCs w:val="20"/>
        </w:rPr>
      </w:pPr>
      <w:r>
        <w:rPr>
          <w:rFonts w:ascii="Arial" w:hAnsi="Arial" w:cs="Arial" w:eastAsia="Arial" w:hint="default"/>
          <w:b/>
          <w:bCs/>
          <w:spacing w:val="-1"/>
          <w:w w:val="95"/>
          <w:sz w:val="20"/>
          <w:szCs w:val="20"/>
        </w:rPr>
        <w:t>31.</w:t>
        <w:tab/>
        <w:tab/>
      </w:r>
      <w:r>
        <w:rPr>
          <w:rFonts w:ascii="黑体" w:hAnsi="黑体" w:cs="黑体" w:eastAsia="黑体" w:hint="default"/>
          <w:b/>
          <w:bCs/>
          <w:spacing w:val="1"/>
          <w:w w:val="95"/>
          <w:sz w:val="20"/>
          <w:szCs w:val="20"/>
        </w:rPr>
        <w:t>重大会计判断和估计（续）</w:t>
      </w:r>
      <w:r>
        <w:rPr>
          <w:rFonts w:ascii="黑体" w:hAnsi="黑体" w:cs="黑体" w:eastAsia="黑体" w:hint="default"/>
          <w:b/>
          <w:bCs/>
          <w:spacing w:val="11"/>
          <w:w w:val="95"/>
          <w:sz w:val="20"/>
          <w:szCs w:val="20"/>
        </w:rPr>
        <w:t> </w:t>
      </w:r>
      <w:r>
        <w:rPr>
          <w:rFonts w:ascii="黑体" w:hAnsi="黑体" w:cs="黑体" w:eastAsia="黑体" w:hint="default"/>
          <w:b/>
          <w:bCs/>
          <w:spacing w:val="11"/>
          <w:w w:val="95"/>
          <w:sz w:val="20"/>
          <w:szCs w:val="20"/>
        </w:rPr>
      </w:r>
      <w:r>
        <w:rPr>
          <w:rFonts w:ascii="黑体" w:hAnsi="黑体" w:cs="黑体" w:eastAsia="黑体" w:hint="default"/>
          <w:spacing w:val="11"/>
          <w:w w:val="95"/>
          <w:sz w:val="20"/>
          <w:szCs w:val="20"/>
        </w:rPr>
      </w:r>
      <w:r>
        <w:rPr>
          <w:rFonts w:ascii="黑体" w:hAnsi="黑体" w:cs="黑体" w:eastAsia="黑体" w:hint="default"/>
          <w:sz w:val="20"/>
          <w:szCs w:val="20"/>
          <w:u w:val="single" w:color="000000"/>
        </w:rPr>
        <w:t>估计的不确定性</w:t>
      </w:r>
      <w:r>
        <w:rPr>
          <w:rFonts w:ascii="黑体" w:hAnsi="黑体" w:cs="黑体" w:eastAsia="黑体" w:hint="default"/>
          <w:sz w:val="20"/>
          <w:szCs w:val="20"/>
        </w:rPr>
        <w:t>（续）</w:t>
      </w:r>
    </w:p>
    <w:p>
      <w:pPr>
        <w:pStyle w:val="BodyText"/>
        <w:spacing w:line="271" w:lineRule="auto" w:before="106"/>
        <w:ind w:right="193"/>
        <w:jc w:val="left"/>
      </w:pPr>
      <w:r>
        <w:rPr>
          <w:rFonts w:ascii="黑体" w:hAnsi="黑体" w:cs="黑体" w:eastAsia="黑体" w:hint="default"/>
          <w:i/>
          <w:sz w:val="21"/>
          <w:szCs w:val="21"/>
        </w:rPr>
        <w:t>折旧</w:t>
      </w:r>
      <w:r>
        <w:rPr>
          <w:rFonts w:ascii="黑体" w:hAnsi="黑体" w:cs="黑体" w:eastAsia="黑体" w:hint="default"/>
          <w:i/>
          <w:w w:val="94"/>
          <w:sz w:val="21"/>
          <w:szCs w:val="21"/>
        </w:rPr>
        <w:t> </w:t>
      </w:r>
      <w:r>
        <w:rPr>
          <w:w w:val="95"/>
        </w:rPr>
        <w:t>如附注二、</w:t>
      </w:r>
      <w:r>
        <w:rPr>
          <w:rFonts w:ascii="Arial" w:hAnsi="Arial" w:cs="Arial" w:eastAsia="Arial" w:hint="default"/>
          <w:w w:val="95"/>
        </w:rPr>
        <w:t>14</w:t>
      </w:r>
      <w:r>
        <w:rPr>
          <w:w w:val="95"/>
        </w:rPr>
        <w:t>所述，本集团对固定资产在考虑其残值后，在预计可使用年限内按直线法计</w:t>
      </w:r>
      <w:r>
        <w:rPr>
          <w:spacing w:val="66"/>
          <w:w w:val="95"/>
        </w:rPr>
        <w:t> </w:t>
      </w:r>
      <w:r>
        <w:rPr>
          <w:spacing w:val="66"/>
          <w:w w:val="95"/>
        </w:rPr>
      </w:r>
      <w:r>
        <w:rPr>
          <w:w w:val="95"/>
        </w:rPr>
        <w:t>提折旧。本集团定期审阅预计可使用年限，以决定将计入每个报告期的折旧费用数额。预</w:t>
      </w:r>
      <w:r>
        <w:rPr>
          <w:spacing w:val="88"/>
          <w:w w:val="95"/>
        </w:rPr>
        <w:t> </w:t>
      </w:r>
      <w:r>
        <w:rPr>
          <w:spacing w:val="88"/>
          <w:w w:val="95"/>
        </w:rPr>
      </w:r>
      <w:r>
        <w:rPr>
          <w:w w:val="95"/>
        </w:rPr>
        <w:t>计可使用年限是本集团根据对同类资产的已往经验并结合预期的技术改变而确定。如果以</w:t>
      </w:r>
      <w:r>
        <w:rPr>
          <w:spacing w:val="87"/>
          <w:w w:val="95"/>
        </w:rPr>
        <w:t> </w:t>
      </w:r>
      <w:r>
        <w:rPr>
          <w:spacing w:val="87"/>
          <w:w w:val="95"/>
        </w:rPr>
      </w:r>
      <w:r>
        <w:rPr/>
        <w:t>前的估计发生重大变化，则会在未来期间对折旧费用进行调整。</w:t>
      </w:r>
    </w:p>
    <w:p>
      <w:pPr>
        <w:spacing w:line="240" w:lineRule="auto" w:before="13"/>
        <w:rPr>
          <w:rFonts w:ascii="黑体" w:hAnsi="黑体" w:cs="黑体" w:eastAsia="黑体" w:hint="default"/>
          <w:sz w:val="22"/>
          <w:szCs w:val="22"/>
        </w:rPr>
      </w:pPr>
    </w:p>
    <w:p>
      <w:pPr>
        <w:pStyle w:val="BodyText"/>
        <w:spacing w:line="273" w:lineRule="auto"/>
        <w:ind w:right="94" w:hanging="1"/>
        <w:jc w:val="left"/>
      </w:pPr>
      <w:r>
        <w:rPr>
          <w:rFonts w:ascii="黑体" w:hAnsi="黑体" w:cs="黑体" w:eastAsia="黑体" w:hint="default"/>
          <w:i/>
          <w:sz w:val="21"/>
          <w:szCs w:val="21"/>
        </w:rPr>
        <w:t>无形资产的可使用寿命</w:t>
      </w:r>
      <w:r>
        <w:rPr>
          <w:rFonts w:ascii="黑体" w:hAnsi="黑体" w:cs="黑体" w:eastAsia="黑体" w:hint="default"/>
          <w:i/>
          <w:w w:val="94"/>
          <w:sz w:val="21"/>
          <w:szCs w:val="21"/>
        </w:rPr>
        <w:t> </w:t>
      </w:r>
      <w:r>
        <w:rPr>
          <w:spacing w:val="2"/>
        </w:rPr>
        <w:t>无形资产的预计可使用寿命，以过去性质及功能相似的无形资产的实际使用寿命为基础，</w:t>
      </w:r>
      <w:r>
        <w:rPr>
          <w:spacing w:val="2"/>
          <w:w w:val="99"/>
        </w:rPr>
        <w:t> </w:t>
      </w:r>
      <w:r>
        <w:rPr>
          <w:spacing w:val="2"/>
        </w:rPr>
        <w:t>按照历史经验施行估计，并考虑该些无形资产适用的合同性权利或其他法定权利的期限。</w:t>
      </w:r>
      <w:r>
        <w:rPr/>
      </w:r>
    </w:p>
    <w:p>
      <w:pPr>
        <w:spacing w:line="240" w:lineRule="auto" w:before="9"/>
        <w:rPr>
          <w:rFonts w:ascii="黑体" w:hAnsi="黑体" w:cs="黑体" w:eastAsia="黑体" w:hint="default"/>
          <w:sz w:val="23"/>
          <w:szCs w:val="23"/>
        </w:rPr>
      </w:pPr>
    </w:p>
    <w:p>
      <w:pPr>
        <w:pStyle w:val="BodyText"/>
        <w:spacing w:line="276" w:lineRule="auto"/>
        <w:ind w:right="94"/>
        <w:jc w:val="left"/>
      </w:pPr>
      <w:r>
        <w:rPr/>
        <w:t>如果该些无形资产的可使用寿命缩短或延长，则对于可使用寿命有限的无形资产，应改变</w:t>
      </w:r>
      <w:r>
        <w:rPr>
          <w:w w:val="99"/>
        </w:rPr>
        <w:t> </w:t>
      </w:r>
      <w:r>
        <w:rPr>
          <w:spacing w:val="2"/>
        </w:rPr>
        <w:t>其摊销年限；对于可使用寿命不确定的无形资产，如果有证据表明其使用寿命是有限的，</w:t>
      </w:r>
      <w:r>
        <w:rPr>
          <w:spacing w:val="2"/>
          <w:w w:val="99"/>
        </w:rPr>
        <w:t> </w:t>
      </w:r>
      <w:r>
        <w:rPr/>
        <w:t>应当估计其使用寿命并按照使用寿命有限的无形资产的处理原则进行处理。</w:t>
      </w:r>
    </w:p>
    <w:p>
      <w:pPr>
        <w:spacing w:line="240" w:lineRule="auto" w:before="5"/>
        <w:rPr>
          <w:rFonts w:ascii="黑体" w:hAnsi="黑体" w:cs="黑体" w:eastAsia="黑体" w:hint="default"/>
          <w:sz w:val="17"/>
          <w:szCs w:val="17"/>
        </w:rPr>
      </w:pPr>
    </w:p>
    <w:p>
      <w:pPr>
        <w:pStyle w:val="BodyText"/>
        <w:spacing w:line="273" w:lineRule="auto"/>
        <w:ind w:right="85"/>
        <w:jc w:val="left"/>
      </w:pPr>
      <w:r>
        <w:rPr>
          <w:rFonts w:ascii="黑体" w:hAnsi="黑体" w:cs="黑体" w:eastAsia="黑体" w:hint="default"/>
          <w:i/>
          <w:sz w:val="21"/>
          <w:szCs w:val="21"/>
        </w:rPr>
        <w:t>应收款项的坏账准备</w:t>
      </w:r>
      <w:r>
        <w:rPr>
          <w:rFonts w:ascii="黑体" w:hAnsi="黑体" w:cs="黑体" w:eastAsia="黑体" w:hint="default"/>
          <w:i/>
          <w:w w:val="94"/>
          <w:sz w:val="21"/>
          <w:szCs w:val="21"/>
        </w:rPr>
        <w:t> </w:t>
      </w:r>
      <w:r>
        <w:rPr>
          <w:w w:val="95"/>
        </w:rPr>
        <w:t>应收款项的坏账准备由管理层根据会影响应收款项回收的客观证据（如债务人破产或出现</w:t>
      </w:r>
      <w:r>
        <w:rPr>
          <w:spacing w:val="87"/>
          <w:w w:val="95"/>
        </w:rPr>
        <w:t> </w:t>
      </w:r>
      <w:r>
        <w:rPr>
          <w:spacing w:val="87"/>
          <w:w w:val="95"/>
        </w:rPr>
      </w:r>
      <w:r>
        <w:rPr/>
        <w:t>严重财政困难的可能性）确定。管理层将会于每年年末重新估计坏账准备。</w:t>
      </w:r>
    </w:p>
    <w:p>
      <w:pPr>
        <w:spacing w:line="240" w:lineRule="auto" w:before="11"/>
        <w:rPr>
          <w:rFonts w:ascii="黑体" w:hAnsi="黑体" w:cs="黑体" w:eastAsia="黑体" w:hint="default"/>
          <w:sz w:val="22"/>
          <w:szCs w:val="22"/>
        </w:rPr>
      </w:pPr>
    </w:p>
    <w:p>
      <w:pPr>
        <w:pStyle w:val="BodyText"/>
        <w:spacing w:line="273" w:lineRule="auto"/>
        <w:ind w:right="94" w:hanging="1"/>
        <w:jc w:val="left"/>
      </w:pPr>
      <w:r>
        <w:rPr>
          <w:rFonts w:ascii="黑体" w:hAnsi="黑体" w:cs="黑体" w:eastAsia="黑体" w:hint="default"/>
          <w:i/>
          <w:sz w:val="21"/>
          <w:szCs w:val="21"/>
        </w:rPr>
        <w:t>以可变现净值为基础计提的存货跌价准备</w:t>
      </w:r>
      <w:r>
        <w:rPr>
          <w:rFonts w:ascii="黑体" w:hAnsi="黑体" w:cs="黑体" w:eastAsia="黑体" w:hint="default"/>
          <w:i/>
          <w:w w:val="94"/>
          <w:sz w:val="21"/>
          <w:szCs w:val="21"/>
        </w:rPr>
        <w:t> </w:t>
      </w:r>
      <w:r>
        <w:rPr/>
        <w:t>本集团根据存货会计政策，按照成本与可变现净值孰低计量，对成本高于可变现净值及陈</w:t>
      </w:r>
      <w:r>
        <w:rPr>
          <w:w w:val="99"/>
        </w:rPr>
        <w:t> </w:t>
      </w:r>
      <w:r>
        <w:rPr>
          <w:spacing w:val="2"/>
        </w:rPr>
        <w:t>旧和滞销的存货，计提存货跌价准备。本集团将于每年年末对单个存货是否陈旧和滞销、</w:t>
      </w:r>
      <w:r>
        <w:rPr>
          <w:spacing w:val="2"/>
          <w:w w:val="99"/>
        </w:rPr>
        <w:t> </w:t>
      </w:r>
      <w:r>
        <w:rPr/>
        <w:t>可变现净值是否低于存货成本进行重新估计。</w:t>
      </w:r>
    </w:p>
    <w:p>
      <w:pPr>
        <w:spacing w:line="240" w:lineRule="auto" w:before="11"/>
        <w:rPr>
          <w:rFonts w:ascii="黑体" w:hAnsi="黑体" w:cs="黑体" w:eastAsia="黑体" w:hint="default"/>
          <w:sz w:val="22"/>
          <w:szCs w:val="22"/>
        </w:rPr>
      </w:pPr>
    </w:p>
    <w:p>
      <w:pPr>
        <w:pStyle w:val="BodyText"/>
        <w:spacing w:line="273" w:lineRule="auto"/>
        <w:ind w:right="85"/>
        <w:jc w:val="left"/>
      </w:pPr>
      <w:r>
        <w:rPr>
          <w:rFonts w:ascii="黑体" w:hAnsi="黑体" w:cs="黑体" w:eastAsia="黑体" w:hint="default"/>
          <w:i/>
          <w:sz w:val="21"/>
          <w:szCs w:val="21"/>
        </w:rPr>
        <w:t>所得税</w:t>
      </w:r>
      <w:r>
        <w:rPr>
          <w:rFonts w:ascii="黑体" w:hAnsi="黑体" w:cs="黑体" w:eastAsia="黑体" w:hint="default"/>
          <w:i/>
          <w:w w:val="94"/>
          <w:sz w:val="21"/>
          <w:szCs w:val="21"/>
        </w:rPr>
        <w:t> </w:t>
      </w:r>
      <w:r>
        <w:rPr>
          <w:w w:val="95"/>
        </w:rPr>
        <w:t>本公司及其子公司因分布在国内若干省份而需分别在其所在地缴纳企业所得税。在计提企</w:t>
      </w:r>
      <w:r>
        <w:rPr>
          <w:spacing w:val="87"/>
          <w:w w:val="95"/>
        </w:rPr>
        <w:t> </w:t>
      </w:r>
      <w:r>
        <w:rPr>
          <w:spacing w:val="87"/>
          <w:w w:val="95"/>
        </w:rPr>
      </w:r>
      <w:r>
        <w:rPr>
          <w:w w:val="95"/>
        </w:rPr>
        <w:t>业所得税时，由于有关企业所得税的若干事项尚未获得主管税务机关确认，因此需以现行</w:t>
      </w:r>
      <w:r>
        <w:rPr>
          <w:spacing w:val="87"/>
          <w:w w:val="95"/>
        </w:rPr>
        <w:t> </w:t>
      </w:r>
      <w:r>
        <w:rPr>
          <w:spacing w:val="87"/>
          <w:w w:val="95"/>
        </w:rPr>
      </w:r>
      <w:r>
        <w:rPr>
          <w:w w:val="95"/>
        </w:rPr>
        <w:t>的税收法规及其他相关政策为依据，作出可靠的估计和判断。若有关事项的最终税务结果</w:t>
      </w:r>
      <w:r>
        <w:rPr>
          <w:spacing w:val="87"/>
          <w:w w:val="95"/>
        </w:rPr>
        <w:t> </w:t>
      </w:r>
      <w:r>
        <w:rPr>
          <w:spacing w:val="87"/>
          <w:w w:val="95"/>
        </w:rPr>
      </w:r>
      <w:r>
        <w:rPr/>
        <w:t>有别于已确认金额时，该些差额将对当期的所得税造成影响。</w:t>
      </w:r>
    </w:p>
    <w:p>
      <w:pPr>
        <w:spacing w:after="0" w:line="273" w:lineRule="auto"/>
        <w:jc w:val="left"/>
        <w:sectPr>
          <w:pgSz w:w="11910" w:h="16850"/>
          <w:pgMar w:header="957" w:footer="833" w:top="2620" w:bottom="1020" w:left="1600" w:right="1500"/>
        </w:sectPr>
      </w:pPr>
    </w:p>
    <w:p>
      <w:pPr>
        <w:spacing w:line="240" w:lineRule="auto" w:before="7"/>
        <w:rPr>
          <w:rFonts w:ascii="黑体" w:hAnsi="黑体" w:cs="黑体" w:eastAsia="黑体" w:hint="default"/>
          <w:sz w:val="17"/>
          <w:szCs w:val="17"/>
        </w:rPr>
      </w:pPr>
    </w:p>
    <w:p>
      <w:pPr>
        <w:pStyle w:val="Heading6"/>
        <w:tabs>
          <w:tab w:pos="804" w:val="left" w:leader="none"/>
        </w:tabs>
        <w:spacing w:line="240" w:lineRule="auto"/>
        <w:ind w:right="4838"/>
        <w:jc w:val="left"/>
        <w:rPr>
          <w:b w:val="0"/>
          <w:bCs w:val="0"/>
        </w:rPr>
      </w:pPr>
      <w:r>
        <w:rPr>
          <w:w w:val="95"/>
        </w:rPr>
        <w:t>三、</w:t>
        <w:tab/>
      </w:r>
      <w:r>
        <w:rPr/>
        <w:t>税项</w:t>
      </w:r>
      <w:r>
        <w:rPr>
          <w:b w:val="0"/>
          <w:bCs w:val="0"/>
        </w:rPr>
      </w:r>
    </w:p>
    <w:p>
      <w:pPr>
        <w:spacing w:line="240" w:lineRule="auto" w:before="13"/>
        <w:rPr>
          <w:rFonts w:ascii="黑体" w:hAnsi="黑体" w:cs="黑体" w:eastAsia="黑体" w:hint="default"/>
          <w:b/>
          <w:bCs/>
          <w:sz w:val="17"/>
          <w:szCs w:val="17"/>
        </w:rPr>
      </w:pPr>
    </w:p>
    <w:p>
      <w:pPr>
        <w:tabs>
          <w:tab w:pos="809" w:val="left" w:leader="none"/>
        </w:tabs>
        <w:spacing w:line="424" w:lineRule="auto" w:before="0"/>
        <w:ind w:left="809" w:right="4838" w:hanging="708"/>
        <w:jc w:val="left"/>
        <w:rPr>
          <w:rFonts w:ascii="黑体" w:hAnsi="黑体" w:cs="黑体" w:eastAsia="黑体" w:hint="default"/>
          <w:sz w:val="20"/>
          <w:szCs w:val="20"/>
        </w:rPr>
      </w:pPr>
      <w:r>
        <w:rPr>
          <w:rFonts w:ascii="Arial" w:hAnsi="Arial" w:cs="Arial" w:eastAsia="Arial" w:hint="default"/>
          <w:b/>
          <w:bCs/>
          <w:spacing w:val="-1"/>
          <w:sz w:val="20"/>
          <w:szCs w:val="20"/>
        </w:rPr>
        <w:t>1.</w:t>
        <w:tab/>
      </w:r>
      <w:r>
        <w:rPr>
          <w:rFonts w:ascii="黑体" w:hAnsi="黑体" w:cs="黑体" w:eastAsia="黑体" w:hint="default"/>
          <w:b/>
          <w:bCs/>
          <w:spacing w:val="1"/>
          <w:sz w:val="20"/>
          <w:szCs w:val="20"/>
        </w:rPr>
        <w:t>主要税种及税率</w:t>
      </w:r>
      <w:r>
        <w:rPr>
          <w:rFonts w:ascii="黑体" w:hAnsi="黑体" w:cs="黑体" w:eastAsia="黑体" w:hint="default"/>
          <w:b/>
          <w:bCs/>
          <w:spacing w:val="2"/>
          <w:w w:val="99"/>
          <w:sz w:val="20"/>
          <w:szCs w:val="20"/>
        </w:rPr>
        <w:t> </w:t>
      </w:r>
      <w:r>
        <w:rPr>
          <w:rFonts w:ascii="黑体" w:hAnsi="黑体" w:cs="黑体" w:eastAsia="黑体" w:hint="default"/>
          <w:sz w:val="20"/>
          <w:szCs w:val="20"/>
        </w:rPr>
        <w:t>本集团适用的主要税种及税率如下：</w:t>
      </w:r>
    </w:p>
    <w:p>
      <w:pPr>
        <w:pStyle w:val="BodyText"/>
        <w:spacing w:line="266" w:lineRule="auto" w:before="95"/>
        <w:ind w:left="842" w:right="206" w:hanging="708"/>
        <w:jc w:val="both"/>
      </w:pPr>
      <w:r>
        <w:rPr>
          <w:rFonts w:ascii="Arial" w:hAnsi="Arial" w:cs="Arial" w:eastAsia="Arial" w:hint="default"/>
        </w:rPr>
        <w:t>(1)</w:t>
      </w:r>
      <w:r>
        <w:rPr>
          <w:rFonts w:ascii="Arial" w:hAnsi="Arial" w:cs="Arial" w:eastAsia="Arial" w:hint="default"/>
          <w:spacing w:val="4"/>
        </w:rPr>
        <w:t> </w:t>
      </w:r>
      <w:r>
        <w:rPr>
          <w:spacing w:val="2"/>
        </w:rPr>
        <w:t>增值税</w:t>
      </w:r>
      <w:r>
        <w:rPr>
          <w:rFonts w:ascii="Arial" w:hAnsi="Arial" w:cs="Arial" w:eastAsia="Arial" w:hint="default"/>
          <w:spacing w:val="2"/>
        </w:rPr>
        <w:t>–</w:t>
      </w:r>
      <w:r>
        <w:rPr>
          <w:spacing w:val="2"/>
        </w:rPr>
        <w:t>根据国家税务法规，本集团产品销售收入为计征增值税收入。因集团内各分公司</w:t>
      </w:r>
      <w:r>
        <w:rPr>
          <w:spacing w:val="2"/>
          <w:w w:val="99"/>
        </w:rPr>
        <w:t> </w:t>
      </w:r>
      <w:r>
        <w:rPr>
          <w:w w:val="95"/>
        </w:rPr>
        <w:t>及子公司的个别情况，增值税征收方法有所不同。个别分公司或子公司为增值税一般纳税</w:t>
      </w:r>
      <w:r>
        <w:rPr>
          <w:w w:val="99"/>
        </w:rPr>
        <w:t> </w:t>
      </w:r>
      <w:r>
        <w:rPr>
          <w:w w:val="95"/>
        </w:rPr>
        <w:t>人的，增值税由买方按销售额的</w:t>
      </w:r>
      <w:r>
        <w:rPr>
          <w:rFonts w:ascii="Arial" w:hAnsi="Arial" w:cs="Arial" w:eastAsia="Arial" w:hint="default"/>
          <w:w w:val="95"/>
        </w:rPr>
        <w:t>17%</w:t>
      </w:r>
      <w:r>
        <w:rPr>
          <w:w w:val="95"/>
        </w:rPr>
        <w:t>计算连同销售金额一并支付分公司或子公司，分公司</w:t>
      </w:r>
      <w:r>
        <w:rPr>
          <w:w w:val="99"/>
        </w:rPr>
        <w:t> </w:t>
      </w:r>
      <w:r>
        <w:rPr/>
        <w:t>及子公司在扣除那些因购进货物所支付而允许抵扣的增值税之后上缴税务机关。</w:t>
      </w:r>
    </w:p>
    <w:p>
      <w:pPr>
        <w:spacing w:line="240" w:lineRule="auto" w:before="9"/>
        <w:rPr>
          <w:rFonts w:ascii="黑体" w:hAnsi="黑体" w:cs="黑体" w:eastAsia="黑体" w:hint="default"/>
          <w:sz w:val="23"/>
          <w:szCs w:val="23"/>
        </w:rPr>
      </w:pPr>
    </w:p>
    <w:p>
      <w:pPr>
        <w:pStyle w:val="BodyText"/>
        <w:spacing w:line="300" w:lineRule="exact"/>
        <w:ind w:left="808" w:right="101" w:firstLine="34"/>
        <w:jc w:val="both"/>
      </w:pPr>
      <w:r>
        <w:rPr>
          <w:rFonts w:ascii="Arial" w:hAnsi="Arial" w:cs="Arial" w:eastAsia="Arial" w:hint="default"/>
          <w:w w:val="95"/>
        </w:rPr>
        <w:t>2011</w:t>
      </w:r>
      <w:r>
        <w:rPr>
          <w:w w:val="95"/>
        </w:rPr>
        <w:t>年</w:t>
      </w:r>
      <w:r>
        <w:rPr>
          <w:rFonts w:ascii="Arial" w:hAnsi="Arial" w:cs="Arial" w:eastAsia="Arial" w:hint="default"/>
          <w:w w:val="95"/>
        </w:rPr>
        <w:t>11</w:t>
      </w:r>
      <w:r>
        <w:rPr>
          <w:w w:val="95"/>
        </w:rPr>
        <w:t>月</w:t>
      </w:r>
      <w:r>
        <w:rPr>
          <w:rFonts w:ascii="Arial" w:hAnsi="Arial" w:cs="Arial" w:eastAsia="Arial" w:hint="default"/>
          <w:w w:val="95"/>
        </w:rPr>
        <w:t>16</w:t>
      </w:r>
      <w:r>
        <w:rPr>
          <w:w w:val="95"/>
        </w:rPr>
        <w:t>日，财政部和国家税务总局印发了《关于在上海市开展交通运输业和部分现</w:t>
      </w:r>
      <w:r>
        <w:rPr>
          <w:spacing w:val="67"/>
          <w:w w:val="95"/>
        </w:rPr>
        <w:t> </w:t>
      </w:r>
      <w:r>
        <w:rPr>
          <w:spacing w:val="67"/>
          <w:w w:val="95"/>
        </w:rPr>
      </w:r>
      <w:r>
        <w:rPr/>
        <w:t>代服务业营业税改征增值税试点的通知》（财税</w:t>
      </w:r>
      <w:r>
        <w:rPr>
          <w:rFonts w:ascii="Arial" w:hAnsi="Arial" w:cs="Arial" w:eastAsia="Arial" w:hint="default"/>
        </w:rPr>
        <w:t>[2011]111</w:t>
      </w:r>
      <w:r>
        <w:rPr/>
        <w:t>号），自</w:t>
      </w:r>
      <w:r>
        <w:rPr>
          <w:rFonts w:ascii="Arial" w:hAnsi="Arial" w:cs="Arial" w:eastAsia="Arial" w:hint="default"/>
        </w:rPr>
        <w:t>2012</w:t>
      </w:r>
      <w:r>
        <w:rPr/>
        <w:t>年</w:t>
      </w:r>
      <w:r>
        <w:rPr>
          <w:rFonts w:ascii="Arial" w:hAnsi="Arial" w:cs="Arial" w:eastAsia="Arial" w:hint="default"/>
        </w:rPr>
        <w:t>1</w:t>
      </w:r>
      <w:r>
        <w:rPr/>
        <w:t>月</w:t>
      </w:r>
      <w:r>
        <w:rPr>
          <w:rFonts w:ascii="Arial" w:hAnsi="Arial" w:cs="Arial" w:eastAsia="Arial" w:hint="default"/>
        </w:rPr>
        <w:t>1</w:t>
      </w:r>
      <w:r>
        <w:rPr/>
        <w:t>日起在上</w:t>
      </w:r>
      <w:r>
        <w:rPr>
          <w:spacing w:val="-77"/>
        </w:rPr>
        <w:t> </w:t>
      </w:r>
      <w:r>
        <w:rPr>
          <w:spacing w:val="-77"/>
        </w:rPr>
      </w:r>
      <w:r>
        <w:rPr/>
        <w:t>海市开展交通运输业和部分现代服务业营业税改征增值税试点。</w:t>
      </w:r>
      <w:r>
        <w:rPr>
          <w:rFonts w:ascii="Arial" w:hAnsi="Arial" w:cs="Arial" w:eastAsia="Arial" w:hint="default"/>
        </w:rPr>
        <w:t>2012</w:t>
      </w:r>
      <w:r>
        <w:rPr/>
        <w:t>年</w:t>
      </w:r>
      <w:r>
        <w:rPr>
          <w:rFonts w:ascii="Arial" w:hAnsi="Arial" w:cs="Arial" w:eastAsia="Arial" w:hint="default"/>
        </w:rPr>
        <w:t>7</w:t>
      </w:r>
      <w:r>
        <w:rPr/>
        <w:t>月</w:t>
      </w:r>
      <w:r>
        <w:rPr>
          <w:rFonts w:ascii="Arial" w:hAnsi="Arial" w:cs="Arial" w:eastAsia="Arial" w:hint="default"/>
        </w:rPr>
        <w:t>31</w:t>
      </w:r>
      <w:r>
        <w:rPr/>
        <w:t>日，财政部</w:t>
      </w:r>
      <w:r>
        <w:rPr>
          <w:spacing w:val="-95"/>
        </w:rPr>
        <w:t> </w:t>
      </w:r>
      <w:r>
        <w:rPr>
          <w:spacing w:val="-95"/>
        </w:rPr>
      </w:r>
      <w:r>
        <w:rPr>
          <w:spacing w:val="2"/>
        </w:rPr>
        <w:t>和国家税务总局印发了《关于在北京等</w:t>
      </w:r>
      <w:r>
        <w:rPr>
          <w:rFonts w:ascii="Arial" w:hAnsi="Arial" w:cs="Arial" w:eastAsia="Arial" w:hint="default"/>
          <w:spacing w:val="2"/>
        </w:rPr>
        <w:t>8</w:t>
      </w:r>
      <w:r>
        <w:rPr>
          <w:spacing w:val="2"/>
        </w:rPr>
        <w:t>省市开展交通运输业和部分现代服务业营业税改</w:t>
      </w:r>
      <w:r>
        <w:rPr>
          <w:spacing w:val="2"/>
          <w:w w:val="99"/>
        </w:rPr>
        <w:t> </w:t>
      </w:r>
      <w:r>
        <w:rPr/>
        <w:t>征增值税试点的通知》（财税</w:t>
      </w:r>
      <w:r>
        <w:rPr>
          <w:rFonts w:ascii="Arial" w:hAnsi="Arial" w:cs="Arial" w:eastAsia="Arial" w:hint="default"/>
        </w:rPr>
        <w:t>[2012]71</w:t>
      </w:r>
      <w:r>
        <w:rPr/>
        <w:t>号文），明确将交通运输业和部分现代服务业营业</w:t>
      </w:r>
      <w:r>
        <w:rPr>
          <w:spacing w:val="-95"/>
        </w:rPr>
        <w:t> </w:t>
      </w:r>
      <w:r>
        <w:rPr>
          <w:spacing w:val="-95"/>
        </w:rPr>
      </w:r>
      <w:r>
        <w:rPr/>
        <w:t>税改征增值税试点范围，由上海市分批扩大至北京市</w:t>
      </w:r>
      <w:r>
        <w:rPr>
          <w:rFonts w:ascii="宋体" w:hAnsi="宋体" w:cs="宋体" w:eastAsia="宋体" w:hint="default"/>
          <w:sz w:val="24"/>
          <w:szCs w:val="24"/>
        </w:rPr>
        <w:t>、</w:t>
      </w:r>
      <w:r>
        <w:rPr/>
        <w:t>天津市、江苏省、浙江省（含宁波</w:t>
      </w:r>
      <w:r>
        <w:rPr>
          <w:w w:val="99"/>
        </w:rPr>
        <w:t> </w:t>
      </w:r>
      <w:r>
        <w:rPr>
          <w:spacing w:val="-3"/>
        </w:rPr>
        <w:t>市）、安徽省、福建省（含厦门市）、湖北省、广东省（含深圳市）等</w:t>
      </w:r>
      <w:r>
        <w:rPr>
          <w:rFonts w:ascii="Arial" w:hAnsi="Arial" w:cs="Arial" w:eastAsia="Arial" w:hint="default"/>
          <w:spacing w:val="-3"/>
        </w:rPr>
        <w:t>8</w:t>
      </w:r>
      <w:r>
        <w:rPr>
          <w:spacing w:val="-3"/>
        </w:rPr>
        <w:t>个省（直辖市）。</w:t>
      </w:r>
      <w:r>
        <w:rPr>
          <w:w w:val="99"/>
        </w:rPr>
        <w:t> </w:t>
      </w:r>
      <w:r>
        <w:rPr/>
        <w:t>上述</w:t>
      </w:r>
      <w:r>
        <w:rPr>
          <w:rFonts w:ascii="Arial" w:hAnsi="Arial" w:cs="Arial" w:eastAsia="Arial" w:hint="default"/>
        </w:rPr>
        <w:t>8</w:t>
      </w:r>
      <w:r>
        <w:rPr/>
        <w:t>个省（直辖市）“营改增”试点已分别于</w:t>
      </w:r>
      <w:r>
        <w:rPr>
          <w:rFonts w:ascii="Arial" w:hAnsi="Arial" w:cs="Arial" w:eastAsia="Arial" w:hint="default"/>
        </w:rPr>
        <w:t>2012</w:t>
      </w:r>
      <w:r>
        <w:rPr/>
        <w:t>年</w:t>
      </w:r>
      <w:r>
        <w:rPr>
          <w:rFonts w:ascii="Arial" w:hAnsi="Arial" w:cs="Arial" w:eastAsia="Arial" w:hint="default"/>
        </w:rPr>
        <w:t>9</w:t>
      </w:r>
      <w:r>
        <w:rPr/>
        <w:t>月</w:t>
      </w:r>
      <w:r>
        <w:rPr>
          <w:rFonts w:ascii="Arial" w:hAnsi="Arial" w:cs="Arial" w:eastAsia="Arial" w:hint="default"/>
        </w:rPr>
        <w:t>1</w:t>
      </w:r>
      <w:r>
        <w:rPr/>
        <w:t>日、</w:t>
      </w:r>
      <w:r>
        <w:rPr>
          <w:rFonts w:ascii="Arial" w:hAnsi="Arial" w:cs="Arial" w:eastAsia="Arial" w:hint="default"/>
        </w:rPr>
        <w:t>2012</w:t>
      </w:r>
      <w:r>
        <w:rPr/>
        <w:t>年</w:t>
      </w:r>
      <w:r>
        <w:rPr>
          <w:rFonts w:ascii="Arial" w:hAnsi="Arial" w:cs="Arial" w:eastAsia="Arial" w:hint="default"/>
        </w:rPr>
        <w:t>10</w:t>
      </w:r>
      <w:r>
        <w:rPr/>
        <w:t>月</w:t>
      </w:r>
      <w:r>
        <w:rPr>
          <w:rFonts w:ascii="Arial" w:hAnsi="Arial" w:cs="Arial" w:eastAsia="Arial" w:hint="default"/>
        </w:rPr>
        <w:t>1</w:t>
      </w:r>
      <w:r>
        <w:rPr/>
        <w:t>日、</w:t>
      </w:r>
      <w:r>
        <w:rPr>
          <w:rFonts w:ascii="Arial" w:hAnsi="Arial" w:cs="Arial" w:eastAsia="Arial" w:hint="default"/>
        </w:rPr>
        <w:t>2012</w:t>
      </w:r>
      <w:r>
        <w:rPr/>
        <w:t>年</w:t>
      </w:r>
      <w:r>
        <w:rPr>
          <w:w w:val="99"/>
        </w:rPr>
        <w:t> </w:t>
      </w:r>
      <w:r>
        <w:rPr>
          <w:rFonts w:ascii="Arial" w:hAnsi="Arial" w:cs="Arial" w:eastAsia="Arial" w:hint="default"/>
          <w:spacing w:val="2"/>
        </w:rPr>
        <w:t>11</w:t>
      </w:r>
      <w:r>
        <w:rPr>
          <w:spacing w:val="2"/>
        </w:rPr>
        <w:t>月</w:t>
      </w:r>
      <w:r>
        <w:rPr>
          <w:rFonts w:ascii="Arial" w:hAnsi="Arial" w:cs="Arial" w:eastAsia="Arial" w:hint="default"/>
          <w:spacing w:val="2"/>
        </w:rPr>
        <w:t>1</w:t>
      </w:r>
      <w:r>
        <w:rPr>
          <w:spacing w:val="2"/>
        </w:rPr>
        <w:t>日和</w:t>
      </w:r>
      <w:r>
        <w:rPr>
          <w:rFonts w:ascii="Arial" w:hAnsi="Arial" w:cs="Arial" w:eastAsia="Arial" w:hint="default"/>
          <w:spacing w:val="2"/>
        </w:rPr>
        <w:t>2012</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1</w:t>
      </w:r>
      <w:r>
        <w:rPr>
          <w:spacing w:val="2"/>
        </w:rPr>
        <w:t>日起正式启动。根据上述文件，本集团位于试点地区的分子公司</w:t>
      </w:r>
      <w:r>
        <w:rPr>
          <w:spacing w:val="2"/>
          <w:w w:val="99"/>
        </w:rPr>
        <w:t> </w:t>
      </w:r>
      <w:r>
        <w:rPr/>
        <w:t>提供的技术服务收入或培训收入，适用</w:t>
      </w:r>
      <w:r>
        <w:rPr>
          <w:rFonts w:ascii="Arial" w:hAnsi="Arial" w:cs="Arial" w:eastAsia="Arial" w:hint="default"/>
        </w:rPr>
        <w:t>6%</w:t>
      </w:r>
      <w:r>
        <w:rPr/>
        <w:t>增值税税率。</w:t>
      </w:r>
    </w:p>
    <w:p>
      <w:pPr>
        <w:spacing w:line="240" w:lineRule="auto" w:before="5"/>
        <w:rPr>
          <w:rFonts w:ascii="黑体" w:hAnsi="黑体" w:cs="黑体" w:eastAsia="黑体" w:hint="default"/>
          <w:sz w:val="23"/>
          <w:szCs w:val="23"/>
        </w:rPr>
      </w:pPr>
    </w:p>
    <w:p>
      <w:pPr>
        <w:pStyle w:val="BodyText"/>
        <w:spacing w:line="268" w:lineRule="auto"/>
        <w:ind w:left="808" w:right="0"/>
        <w:jc w:val="left"/>
      </w:pPr>
      <w:r>
        <w:rPr/>
        <w:t>依据财政部、国家税务总局于</w:t>
      </w:r>
      <w:r>
        <w:rPr>
          <w:rFonts w:ascii="Arial" w:hAnsi="Arial" w:cs="Arial" w:eastAsia="Arial" w:hint="default"/>
        </w:rPr>
        <w:t>2011</w:t>
      </w:r>
      <w:r>
        <w:rPr/>
        <w:t>年</w:t>
      </w:r>
      <w:r>
        <w:rPr>
          <w:rFonts w:ascii="Arial" w:hAnsi="Arial" w:cs="Arial" w:eastAsia="Arial" w:hint="default"/>
        </w:rPr>
        <w:t>10</w:t>
      </w:r>
      <w:r>
        <w:rPr/>
        <w:t>月</w:t>
      </w:r>
      <w:r>
        <w:rPr>
          <w:rFonts w:ascii="Arial" w:hAnsi="Arial" w:cs="Arial" w:eastAsia="Arial" w:hint="default"/>
        </w:rPr>
        <w:t>13</w:t>
      </w:r>
      <w:r>
        <w:rPr/>
        <w:t>日下发的《关于软件产品增值税政策的通知》</w:t>
      </w:r>
      <w:r>
        <w:rPr>
          <w:spacing w:val="-71"/>
        </w:rPr>
        <w:t> </w:t>
      </w:r>
      <w:r>
        <w:rPr>
          <w:spacing w:val="-71"/>
        </w:rPr>
      </w:r>
      <w:r>
        <w:rPr>
          <w:rFonts w:ascii="Arial" w:hAnsi="Arial" w:cs="Arial" w:eastAsia="Arial" w:hint="default"/>
        </w:rPr>
        <w:t>(</w:t>
      </w:r>
      <w:r>
        <w:rPr/>
        <w:t>财税</w:t>
      </w:r>
      <w:r>
        <w:rPr>
          <w:rFonts w:ascii="Arial" w:hAnsi="Arial" w:cs="Arial" w:eastAsia="Arial" w:hint="default"/>
        </w:rPr>
        <w:t>[2011]100</w:t>
      </w:r>
      <w:r>
        <w:rPr/>
        <w:t>号</w:t>
      </w:r>
      <w:r>
        <w:rPr>
          <w:rFonts w:ascii="Arial" w:hAnsi="Arial" w:cs="Arial" w:eastAsia="Arial" w:hint="default"/>
        </w:rPr>
        <w:t>)</w:t>
      </w:r>
      <w:r>
        <w:rPr/>
        <w:t>，自</w:t>
      </w:r>
      <w:r>
        <w:rPr>
          <w:rFonts w:ascii="Arial" w:hAnsi="Arial" w:cs="Arial" w:eastAsia="Arial" w:hint="default"/>
        </w:rPr>
        <w:t>2011</w:t>
      </w:r>
      <w:r>
        <w:rPr/>
        <w:t>年</w:t>
      </w:r>
      <w:r>
        <w:rPr>
          <w:rFonts w:ascii="Arial" w:hAnsi="Arial" w:cs="Arial" w:eastAsia="Arial" w:hint="default"/>
        </w:rPr>
        <w:t>1</w:t>
      </w:r>
      <w:r>
        <w:rPr/>
        <w:t>月</w:t>
      </w:r>
      <w:r>
        <w:rPr>
          <w:rFonts w:ascii="Arial" w:hAnsi="Arial" w:cs="Arial" w:eastAsia="Arial" w:hint="default"/>
        </w:rPr>
        <w:t>1</w:t>
      </w:r>
      <w:r>
        <w:rPr/>
        <w:t>日起，本公司及本公司的北京分公司销售其自行开发生</w:t>
      </w:r>
      <w:r>
        <w:rPr>
          <w:w w:val="99"/>
        </w:rPr>
        <w:t> </w:t>
      </w:r>
      <w:r>
        <w:rPr/>
        <w:t>产的计算机软件产品，可按法定</w:t>
      </w:r>
      <w:r>
        <w:rPr>
          <w:rFonts w:ascii="Arial" w:hAnsi="Arial" w:cs="Arial" w:eastAsia="Arial" w:hint="default"/>
        </w:rPr>
        <w:t>17%</w:t>
      </w:r>
      <w:r>
        <w:rPr/>
        <w:t>的税率征收增值税后，对其增值税实际税负超过</w:t>
      </w:r>
      <w:r>
        <w:rPr>
          <w:rFonts w:ascii="Arial" w:hAnsi="Arial" w:cs="Arial" w:eastAsia="Arial" w:hint="default"/>
        </w:rPr>
        <w:t>3%</w:t>
      </w:r>
      <w:r>
        <w:rPr/>
        <w:t>的</w:t>
      </w:r>
      <w:r>
        <w:rPr>
          <w:w w:val="99"/>
        </w:rPr>
        <w:t> </w:t>
      </w:r>
      <w:r>
        <w:rPr/>
        <w:t>部分实行即征即退政策。本公司的子公司用友华表软件技术有限公司、北京用友政务软件</w:t>
      </w:r>
      <w:r>
        <w:rPr>
          <w:spacing w:val="-80"/>
        </w:rPr>
        <w:t> </w:t>
      </w:r>
      <w:r>
        <w:rPr>
          <w:spacing w:val="-80"/>
        </w:rPr>
      </w:r>
      <w:r>
        <w:rPr/>
        <w:t>有限公司、厦门用友烟草软件有限责任公司、用友医疗卫生信息系统有限公司、畅捷通信</w:t>
      </w:r>
      <w:r>
        <w:rPr>
          <w:spacing w:val="-80"/>
        </w:rPr>
        <w:t> </w:t>
      </w:r>
      <w:r>
        <w:rPr>
          <w:spacing w:val="-80"/>
        </w:rPr>
      </w:r>
      <w:r>
        <w:rPr/>
        <w:t>息技术股份有限公司、用友审计软件有限公司、用友新道科技有限公司和用友汽车信息科</w:t>
      </w:r>
      <w:r>
        <w:rPr>
          <w:spacing w:val="-80"/>
        </w:rPr>
        <w:t> </w:t>
      </w:r>
      <w:r>
        <w:rPr>
          <w:spacing w:val="-80"/>
        </w:rPr>
      </w:r>
      <w:r>
        <w:rPr/>
        <w:t>技（上海）有限公司亦已经获得税务局的批准可实施与本公司同一政策；其他分公司及子</w:t>
      </w:r>
      <w:r>
        <w:rPr>
          <w:spacing w:val="-80"/>
        </w:rPr>
        <w:t> </w:t>
      </w:r>
      <w:r>
        <w:rPr>
          <w:spacing w:val="-80"/>
        </w:rPr>
      </w:r>
      <w:r>
        <w:rPr/>
        <w:t>公司按法定</w:t>
      </w:r>
      <w:r>
        <w:rPr>
          <w:rFonts w:ascii="Arial" w:hAnsi="Arial" w:cs="Arial" w:eastAsia="Arial" w:hint="default"/>
        </w:rPr>
        <w:t>17%</w:t>
      </w:r>
      <w:r>
        <w:rPr/>
        <w:t>的税率征收增值税，不作退还。</w:t>
      </w:r>
    </w:p>
    <w:p>
      <w:pPr>
        <w:spacing w:line="240" w:lineRule="auto" w:before="9"/>
        <w:rPr>
          <w:rFonts w:ascii="黑体" w:hAnsi="黑体" w:cs="黑体" w:eastAsia="黑体" w:hint="default"/>
          <w:sz w:val="22"/>
          <w:szCs w:val="22"/>
        </w:rPr>
      </w:pPr>
    </w:p>
    <w:p>
      <w:pPr>
        <w:pStyle w:val="BodyText"/>
        <w:spacing w:line="271" w:lineRule="auto"/>
        <w:ind w:left="808" w:right="205"/>
        <w:jc w:val="both"/>
      </w:pPr>
      <w:r>
        <w:rPr/>
        <w:t>另有个别分公司或子公司由增值税一般纳税人转为商业企业小规模纳税人或由商业企业小</w:t>
      </w:r>
      <w:r>
        <w:rPr>
          <w:spacing w:val="-80"/>
        </w:rPr>
        <w:t> </w:t>
      </w:r>
      <w:r>
        <w:rPr>
          <w:spacing w:val="-80"/>
        </w:rPr>
      </w:r>
      <w:r>
        <w:rPr/>
        <w:t>规模纳税人转为一般纳税人。当其为增值税一般纳税人时，依照以上方法计征增值税。而</w:t>
      </w:r>
      <w:r>
        <w:rPr>
          <w:spacing w:val="-82"/>
        </w:rPr>
        <w:t> </w:t>
      </w:r>
      <w:r>
        <w:rPr>
          <w:spacing w:val="-82"/>
        </w:rPr>
      </w:r>
      <w:r>
        <w:rPr/>
        <w:t>在被认定为商业企业小规模纳税人期间，在小规模纳税人制度下，其增值税由买方按销售</w:t>
      </w:r>
      <w:r>
        <w:rPr>
          <w:spacing w:val="-80"/>
        </w:rPr>
        <w:t> </w:t>
      </w:r>
      <w:r>
        <w:rPr>
          <w:spacing w:val="-80"/>
        </w:rPr>
      </w:r>
      <w:r>
        <w:rPr>
          <w:spacing w:val="-1"/>
          <w:w w:val="95"/>
        </w:rPr>
        <w:t>额</w:t>
      </w:r>
      <w:r>
        <w:rPr>
          <w:rFonts w:ascii="Arial" w:hAnsi="Arial" w:cs="Arial" w:eastAsia="Arial" w:hint="default"/>
          <w:spacing w:val="-1"/>
          <w:w w:val="95"/>
        </w:rPr>
        <w:t>3%</w:t>
      </w:r>
      <w:r>
        <w:rPr>
          <w:spacing w:val="-1"/>
          <w:w w:val="95"/>
        </w:rPr>
        <w:t>计算连同销售金额一并支付有关的分公司或子公司，在此简易方法下，那些因购进货</w:t>
      </w:r>
      <w:r>
        <w:rPr>
          <w:spacing w:val="82"/>
          <w:w w:val="95"/>
        </w:rPr>
        <w:t> </w:t>
      </w:r>
      <w:r>
        <w:rPr>
          <w:spacing w:val="82"/>
          <w:w w:val="95"/>
        </w:rPr>
      </w:r>
      <w:r>
        <w:rPr/>
        <w:t>物所支付的增值税不能作销项抵扣，分公司及子公司直接上缴销项所获取的增值税予税务</w:t>
      </w:r>
      <w:r>
        <w:rPr>
          <w:spacing w:val="-80"/>
        </w:rPr>
        <w:t> </w:t>
      </w:r>
      <w:r>
        <w:rPr>
          <w:spacing w:val="-80"/>
        </w:rPr>
      </w:r>
      <w:r>
        <w:rPr/>
        <w:t>机关。</w:t>
      </w:r>
    </w:p>
    <w:p>
      <w:pPr>
        <w:spacing w:after="0" w:line="271" w:lineRule="auto"/>
        <w:jc w:val="both"/>
        <w:sectPr>
          <w:pgSz w:w="11910" w:h="16850"/>
          <w:pgMar w:header="957" w:footer="833" w:top="2620" w:bottom="1020" w:left="1600" w:right="1460"/>
        </w:sectPr>
      </w:pPr>
    </w:p>
    <w:p>
      <w:pPr>
        <w:spacing w:line="240" w:lineRule="auto" w:before="13"/>
        <w:rPr>
          <w:rFonts w:ascii="黑体" w:hAnsi="黑体" w:cs="黑体" w:eastAsia="黑体" w:hint="default"/>
          <w:sz w:val="14"/>
          <w:szCs w:val="14"/>
        </w:rPr>
      </w:pPr>
    </w:p>
    <w:p>
      <w:pPr>
        <w:pStyle w:val="Heading6"/>
        <w:tabs>
          <w:tab w:pos="804" w:val="left" w:leader="none"/>
        </w:tabs>
        <w:spacing w:line="240" w:lineRule="auto"/>
        <w:ind w:right="3627"/>
        <w:jc w:val="left"/>
        <w:rPr>
          <w:b w:val="0"/>
          <w:bCs w:val="0"/>
        </w:rPr>
      </w:pPr>
      <w:r>
        <w:rPr>
          <w:w w:val="95"/>
        </w:rPr>
        <w:t>三、</w:t>
        <w:tab/>
      </w:r>
      <w:r>
        <w:rPr/>
        <w:t>税项（续）</w:t>
      </w:r>
      <w:r>
        <w:rPr>
          <w:b w:val="0"/>
          <w:bCs w:val="0"/>
        </w:rPr>
      </w:r>
    </w:p>
    <w:p>
      <w:pPr>
        <w:spacing w:line="240" w:lineRule="auto" w:before="10"/>
        <w:rPr>
          <w:rFonts w:ascii="黑体" w:hAnsi="黑体" w:cs="黑体" w:eastAsia="黑体" w:hint="default"/>
          <w:b/>
          <w:bCs/>
          <w:sz w:val="19"/>
          <w:szCs w:val="19"/>
        </w:rPr>
      </w:pPr>
    </w:p>
    <w:p>
      <w:pPr>
        <w:tabs>
          <w:tab w:pos="809" w:val="left" w:leader="none"/>
        </w:tabs>
        <w:spacing w:line="451" w:lineRule="auto" w:before="0"/>
        <w:ind w:left="809" w:right="4441" w:hanging="708"/>
        <w:jc w:val="left"/>
        <w:rPr>
          <w:rFonts w:ascii="Arial" w:hAnsi="Arial" w:cs="Arial" w:eastAsia="Arial" w:hint="default"/>
          <w:sz w:val="20"/>
          <w:szCs w:val="20"/>
        </w:rPr>
      </w:pPr>
      <w:r>
        <w:rPr>
          <w:rFonts w:ascii="Arial" w:hAnsi="Arial" w:cs="Arial" w:eastAsia="Arial" w:hint="default"/>
          <w:b/>
          <w:bCs/>
          <w:spacing w:val="-1"/>
          <w:sz w:val="20"/>
          <w:szCs w:val="20"/>
        </w:rPr>
        <w:t>1.</w:t>
        <w:tab/>
      </w:r>
      <w:r>
        <w:rPr>
          <w:rFonts w:ascii="黑体" w:hAnsi="黑体" w:cs="黑体" w:eastAsia="黑体" w:hint="default"/>
          <w:b/>
          <w:bCs/>
          <w:spacing w:val="1"/>
          <w:sz w:val="20"/>
          <w:szCs w:val="20"/>
        </w:rPr>
        <w:t>主要税种及税率（续）</w:t>
      </w:r>
      <w:r>
        <w:rPr>
          <w:rFonts w:ascii="黑体" w:hAnsi="黑体" w:cs="黑体" w:eastAsia="黑体" w:hint="default"/>
          <w:b/>
          <w:bCs/>
          <w:spacing w:val="2"/>
          <w:w w:val="99"/>
          <w:sz w:val="20"/>
          <w:szCs w:val="20"/>
        </w:rPr>
        <w:t> </w:t>
      </w:r>
      <w:r>
        <w:rPr>
          <w:rFonts w:ascii="黑体" w:hAnsi="黑体" w:cs="黑体" w:eastAsia="黑体" w:hint="default"/>
          <w:sz w:val="20"/>
          <w:szCs w:val="20"/>
        </w:rPr>
        <w:t>本集团适用的主要税种及税率如下（续）</w:t>
      </w:r>
      <w:r>
        <w:rPr>
          <w:rFonts w:ascii="Arial" w:hAnsi="Arial" w:cs="Arial" w:eastAsia="Arial" w:hint="default"/>
          <w:sz w:val="20"/>
          <w:szCs w:val="20"/>
        </w:rPr>
        <w:t>:</w:t>
      </w:r>
    </w:p>
    <w:p>
      <w:pPr>
        <w:pStyle w:val="BodyText"/>
        <w:spacing w:line="264" w:lineRule="auto" w:before="120"/>
        <w:ind w:left="809" w:right="297" w:hanging="708"/>
        <w:jc w:val="both"/>
      </w:pPr>
      <w:r>
        <w:rPr>
          <w:rFonts w:ascii="Arial" w:hAnsi="Arial" w:cs="Arial" w:eastAsia="Arial" w:hint="default"/>
        </w:rPr>
        <w:t>(2)</w:t>
      </w:r>
      <w:r>
        <w:rPr>
          <w:rFonts w:ascii="Arial" w:hAnsi="Arial" w:cs="Arial" w:eastAsia="Arial" w:hint="default"/>
          <w:spacing w:val="4"/>
        </w:rPr>
        <w:t> </w:t>
      </w:r>
      <w:r>
        <w:rPr>
          <w:spacing w:val="2"/>
        </w:rPr>
        <w:t>营业税</w:t>
      </w:r>
      <w:r>
        <w:rPr>
          <w:rFonts w:ascii="Arial" w:hAnsi="Arial" w:cs="Arial" w:eastAsia="Arial" w:hint="default"/>
          <w:spacing w:val="2"/>
        </w:rPr>
        <w:t>–</w:t>
      </w:r>
      <w:r>
        <w:rPr>
          <w:spacing w:val="2"/>
        </w:rPr>
        <w:t>根据国家有关税务法规，本集团按照属营业税征缴范围的销售收入及服务收入的</w:t>
      </w:r>
      <w:r>
        <w:rPr>
          <w:spacing w:val="2"/>
          <w:w w:val="99"/>
        </w:rPr>
        <w:t> </w:t>
      </w:r>
      <w:r>
        <w:rPr>
          <w:rFonts w:ascii="Arial" w:hAnsi="Arial" w:cs="Arial" w:eastAsia="Arial" w:hint="default"/>
        </w:rPr>
        <w:t>5%</w:t>
      </w:r>
      <w:r>
        <w:rPr/>
        <w:t>和培训收入的</w:t>
      </w:r>
      <w:r>
        <w:rPr>
          <w:rFonts w:ascii="Arial" w:hAnsi="Arial" w:cs="Arial" w:eastAsia="Arial" w:hint="default"/>
        </w:rPr>
        <w:t>3%</w:t>
      </w:r>
      <w:r>
        <w:rPr/>
        <w:t>计缴营业税。根据财税字</w:t>
      </w:r>
      <w:r>
        <w:rPr>
          <w:rFonts w:ascii="Arial" w:hAnsi="Arial" w:cs="Arial" w:eastAsia="Arial" w:hint="default"/>
        </w:rPr>
        <w:t>[1999]273</w:t>
      </w:r>
      <w:r>
        <w:rPr/>
        <w:t>号所规定的</w:t>
      </w:r>
      <w:r>
        <w:rPr>
          <w:rFonts w:ascii="Arial" w:hAnsi="Arial" w:cs="Arial" w:eastAsia="Arial" w:hint="default"/>
        </w:rPr>
        <w:t>“</w:t>
      </w:r>
      <w:r>
        <w:rPr/>
        <w:t>从事技术转让、技术</w:t>
      </w:r>
      <w:r>
        <w:rPr>
          <w:spacing w:val="2"/>
          <w:w w:val="99"/>
        </w:rPr>
        <w:t> </w:t>
      </w:r>
      <w:r>
        <w:rPr>
          <w:spacing w:val="3"/>
        </w:rPr>
        <w:t>开发业务和与之相关的技术咨询、技术服务业务取得的收入，免征营业税</w:t>
      </w:r>
      <w:r>
        <w:rPr>
          <w:rFonts w:ascii="Arial" w:hAnsi="Arial" w:cs="Arial" w:eastAsia="Arial" w:hint="default"/>
          <w:spacing w:val="3"/>
        </w:rPr>
        <w:t>”</w:t>
      </w:r>
      <w:r>
        <w:rPr>
          <w:spacing w:val="3"/>
        </w:rPr>
        <w:t>的优惠政策，</w:t>
      </w:r>
      <w:r>
        <w:rPr>
          <w:w w:val="99"/>
        </w:rPr>
        <w:t> </w:t>
      </w:r>
      <w:r>
        <w:rPr>
          <w:rFonts w:ascii="Arial" w:hAnsi="Arial" w:cs="Arial" w:eastAsia="Arial" w:hint="default"/>
          <w:spacing w:val="-1"/>
          <w:w w:val="95"/>
        </w:rPr>
        <w:t>2012</w:t>
      </w:r>
      <w:r>
        <w:rPr>
          <w:spacing w:val="-1"/>
          <w:w w:val="95"/>
        </w:rPr>
        <w:t>年本公司及本公司的南京分公司及子公司北京用友政务软件有限公司、厦门用友烟草</w:t>
      </w:r>
      <w:r>
        <w:rPr>
          <w:w w:val="99"/>
        </w:rPr>
        <w:t> </w:t>
      </w:r>
      <w:r>
        <w:rPr>
          <w:w w:val="95"/>
        </w:rPr>
        <w:t>软件有限责任公司、天津用友软件技术有限公司、用友审计软件有限公司和用友汽车信息</w:t>
      </w:r>
      <w:r>
        <w:rPr>
          <w:w w:val="99"/>
        </w:rPr>
        <w:t> </w:t>
      </w:r>
      <w:r>
        <w:rPr/>
        <w:t>科技（上海）有限公司对符合条件的技术开发合同免缴营业税。</w:t>
      </w:r>
    </w:p>
    <w:p>
      <w:pPr>
        <w:spacing w:line="240" w:lineRule="auto" w:before="4"/>
        <w:rPr>
          <w:rFonts w:ascii="黑体" w:hAnsi="黑体" w:cs="黑体" w:eastAsia="黑体" w:hint="default"/>
          <w:sz w:val="24"/>
          <w:szCs w:val="24"/>
        </w:rPr>
      </w:pPr>
    </w:p>
    <w:p>
      <w:pPr>
        <w:pStyle w:val="BodyText"/>
        <w:spacing w:line="268" w:lineRule="auto"/>
        <w:ind w:left="843" w:right="259" w:hanging="708"/>
        <w:jc w:val="both"/>
      </w:pPr>
      <w:r>
        <w:rPr>
          <w:rFonts w:ascii="Arial" w:hAnsi="Arial" w:cs="Arial" w:eastAsia="Arial" w:hint="default"/>
        </w:rPr>
        <w:t>(3)</w:t>
      </w:r>
      <w:r>
        <w:rPr>
          <w:rFonts w:ascii="Arial" w:hAnsi="Arial" w:cs="Arial" w:eastAsia="Arial" w:hint="default"/>
          <w:spacing w:val="4"/>
        </w:rPr>
        <w:t> </w:t>
      </w:r>
      <w:r>
        <w:rPr>
          <w:spacing w:val="2"/>
        </w:rPr>
        <w:t>城巿维护建设税</w:t>
      </w:r>
      <w:r>
        <w:rPr>
          <w:rFonts w:ascii="Arial" w:hAnsi="Arial" w:cs="Arial" w:eastAsia="Arial" w:hint="default"/>
          <w:spacing w:val="2"/>
        </w:rPr>
        <w:t>–</w:t>
      </w:r>
      <w:r>
        <w:rPr>
          <w:spacing w:val="2"/>
        </w:rPr>
        <w:t>根据国家有关税务法规，除地处上海的用友汽车信息科技（上海）有限</w:t>
      </w:r>
      <w:r>
        <w:rPr>
          <w:spacing w:val="2"/>
          <w:w w:val="99"/>
        </w:rPr>
        <w:t> </w:t>
      </w:r>
      <w:r>
        <w:rPr/>
        <w:t>公司及地处北京的畅捷通信息技术股份有限公司因另有当地规定而减征外，本集团按应缴</w:t>
      </w:r>
      <w:r>
        <w:rPr>
          <w:w w:val="99"/>
        </w:rPr>
        <w:t> </w:t>
      </w:r>
      <w:r>
        <w:rPr>
          <w:spacing w:val="-2"/>
          <w:w w:val="95"/>
        </w:rPr>
        <w:t>纳的增值税净额和营业税税额的</w:t>
      </w:r>
      <w:r>
        <w:rPr>
          <w:rFonts w:ascii="Arial" w:hAnsi="Arial" w:cs="Arial" w:eastAsia="Arial" w:hint="default"/>
          <w:spacing w:val="-2"/>
          <w:w w:val="95"/>
        </w:rPr>
        <w:t>7%</w:t>
      </w:r>
      <w:r>
        <w:rPr>
          <w:spacing w:val="-2"/>
          <w:w w:val="95"/>
        </w:rPr>
        <w:t>计缴城巿维护建设税。用友汽车信息科技（上海）有限</w:t>
      </w:r>
      <w:r>
        <w:rPr>
          <w:w w:val="99"/>
        </w:rPr>
        <w:t> </w:t>
      </w:r>
      <w:r>
        <w:rPr>
          <w:spacing w:val="5"/>
        </w:rPr>
        <w:t>公司及畅捷通信息技术股份有限公司根据当地税务局认定分别按增值税净额和营业税税</w:t>
      </w:r>
      <w:r>
        <w:rPr>
          <w:spacing w:val="7"/>
          <w:w w:val="99"/>
        </w:rPr>
        <w:t> </w:t>
      </w:r>
      <w:r>
        <w:rPr/>
        <w:t>额的</w:t>
      </w:r>
      <w:r>
        <w:rPr>
          <w:rFonts w:ascii="Arial" w:hAnsi="Arial" w:cs="Arial" w:eastAsia="Arial" w:hint="default"/>
        </w:rPr>
        <w:t>1%</w:t>
      </w:r>
      <w:r>
        <w:rPr/>
        <w:t>和</w:t>
      </w:r>
      <w:r>
        <w:rPr>
          <w:rFonts w:ascii="Arial" w:hAnsi="Arial" w:cs="Arial" w:eastAsia="Arial" w:hint="default"/>
        </w:rPr>
        <w:t>5%</w:t>
      </w:r>
      <w:r>
        <w:rPr/>
        <w:t>计缴此税。</w:t>
      </w:r>
    </w:p>
    <w:p>
      <w:pPr>
        <w:spacing w:line="240" w:lineRule="auto" w:before="9"/>
        <w:rPr>
          <w:rFonts w:ascii="黑体" w:hAnsi="黑体" w:cs="黑体" w:eastAsia="黑体" w:hint="default"/>
          <w:sz w:val="22"/>
          <w:szCs w:val="22"/>
        </w:rPr>
      </w:pPr>
    </w:p>
    <w:p>
      <w:pPr>
        <w:pStyle w:val="BodyText"/>
        <w:spacing w:line="261" w:lineRule="auto"/>
        <w:ind w:left="857" w:right="264" w:hanging="708"/>
        <w:jc w:val="both"/>
      </w:pPr>
      <w:r>
        <w:rPr>
          <w:rFonts w:ascii="Arial" w:hAnsi="Arial" w:cs="Arial" w:eastAsia="Arial" w:hint="default"/>
        </w:rPr>
        <w:t>(4)</w:t>
      </w:r>
      <w:r>
        <w:rPr>
          <w:rFonts w:ascii="Arial" w:hAnsi="Arial" w:cs="Arial" w:eastAsia="Arial" w:hint="default"/>
          <w:spacing w:val="50"/>
        </w:rPr>
        <w:t> </w:t>
      </w:r>
      <w:r>
        <w:rPr>
          <w:spacing w:val="2"/>
        </w:rPr>
        <w:t>教育费附加</w:t>
      </w:r>
      <w:r>
        <w:rPr>
          <w:rFonts w:ascii="Arial" w:hAnsi="Arial" w:cs="Arial" w:eastAsia="Arial" w:hint="default"/>
          <w:spacing w:val="2"/>
        </w:rPr>
        <w:t>–</w:t>
      </w:r>
      <w:r>
        <w:rPr>
          <w:spacing w:val="2"/>
        </w:rPr>
        <w:t>根据国家有关税务法规及当地有关规定，本公司及本公司的各分公司及子公</w:t>
      </w:r>
      <w:r>
        <w:rPr>
          <w:w w:val="99"/>
        </w:rPr>
        <w:t> </w:t>
      </w:r>
      <w:r>
        <w:rPr>
          <w:spacing w:val="2"/>
        </w:rPr>
        <w:t>司按应缴纳的增值税净额和营业税税额的</w:t>
      </w:r>
      <w:r>
        <w:rPr>
          <w:rFonts w:ascii="Arial" w:hAnsi="Arial" w:cs="Arial" w:eastAsia="Arial" w:hint="default"/>
          <w:spacing w:val="2"/>
        </w:rPr>
        <w:t>3%</w:t>
      </w:r>
      <w:r>
        <w:rPr>
          <w:spacing w:val="2"/>
        </w:rPr>
        <w:t>缴纳教育费附加；部分分公司及子公司再按</w:t>
      </w:r>
      <w:r>
        <w:rPr>
          <w:spacing w:val="2"/>
          <w:w w:val="99"/>
        </w:rPr>
        <w:t> </w:t>
      </w:r>
      <w:r>
        <w:rPr/>
        <w:t>缴纳的增值税净额和营业税税额的</w:t>
      </w:r>
      <w:r>
        <w:rPr>
          <w:rFonts w:ascii="Arial" w:hAnsi="Arial" w:cs="Arial" w:eastAsia="Arial" w:hint="default"/>
        </w:rPr>
        <w:t>2%</w:t>
      </w:r>
      <w:r>
        <w:rPr/>
        <w:t>缴纳地方教育费附加。</w:t>
      </w:r>
    </w:p>
    <w:p>
      <w:pPr>
        <w:spacing w:line="240" w:lineRule="auto" w:before="10"/>
        <w:rPr>
          <w:rFonts w:ascii="黑体" w:hAnsi="黑体" w:cs="黑体" w:eastAsia="黑体" w:hint="default"/>
          <w:sz w:val="22"/>
          <w:szCs w:val="22"/>
        </w:rPr>
      </w:pPr>
    </w:p>
    <w:p>
      <w:pPr>
        <w:pStyle w:val="BodyText"/>
        <w:spacing w:line="260" w:lineRule="exact"/>
        <w:ind w:left="809" w:right="299" w:hanging="660"/>
        <w:jc w:val="both"/>
      </w:pPr>
      <w:r>
        <w:rPr>
          <w:rFonts w:ascii="Arial" w:hAnsi="Arial" w:cs="Arial" w:eastAsia="Arial" w:hint="default"/>
        </w:rPr>
        <w:t>(5)</w:t>
      </w:r>
      <w:r>
        <w:rPr>
          <w:rFonts w:ascii="Arial" w:hAnsi="Arial" w:cs="Arial" w:eastAsia="Arial" w:hint="default"/>
          <w:spacing w:val="33"/>
        </w:rPr>
        <w:t> </w:t>
      </w:r>
      <w:r>
        <w:rPr/>
        <w:t>企业所得税</w:t>
      </w:r>
      <w:r>
        <w:rPr>
          <w:rFonts w:ascii="Arial" w:hAnsi="Arial" w:cs="Arial" w:eastAsia="Arial" w:hint="default"/>
        </w:rPr>
        <w:t>–</w:t>
      </w:r>
      <w:r>
        <w:rPr/>
        <w:t>本集团依照</w:t>
      </w:r>
      <w:r>
        <w:rPr>
          <w:rFonts w:ascii="Arial" w:hAnsi="Arial" w:cs="Arial" w:eastAsia="Arial" w:hint="default"/>
        </w:rPr>
        <w:t>2008</w:t>
      </w:r>
      <w:r>
        <w:rPr/>
        <w:t>年</w:t>
      </w:r>
      <w:r>
        <w:rPr>
          <w:rFonts w:ascii="Arial" w:hAnsi="Arial" w:cs="Arial" w:eastAsia="Arial" w:hint="default"/>
        </w:rPr>
        <w:t>1</w:t>
      </w:r>
      <w:r>
        <w:rPr/>
        <w:t>月</w:t>
      </w:r>
      <w:r>
        <w:rPr>
          <w:rFonts w:ascii="Arial" w:hAnsi="Arial" w:cs="Arial" w:eastAsia="Arial" w:hint="default"/>
        </w:rPr>
        <w:t>1</w:t>
      </w:r>
      <w:r>
        <w:rPr/>
        <w:t>日起施行的《中华人民共和国企业所得税法》，按应</w:t>
      </w:r>
      <w:r>
        <w:rPr>
          <w:w w:val="99"/>
        </w:rPr>
        <w:t> </w:t>
      </w:r>
      <w:r>
        <w:rPr/>
        <w:t>纳税所得额计算企业所得税。</w:t>
      </w:r>
    </w:p>
    <w:p>
      <w:pPr>
        <w:spacing w:line="240" w:lineRule="auto" w:before="0"/>
        <w:rPr>
          <w:rFonts w:ascii="黑体" w:hAnsi="黑体" w:cs="黑体" w:eastAsia="黑体" w:hint="default"/>
          <w:sz w:val="19"/>
          <w:szCs w:val="19"/>
        </w:rPr>
      </w:pPr>
    </w:p>
    <w:p>
      <w:pPr>
        <w:pStyle w:val="BodyText"/>
        <w:spacing w:line="225" w:lineRule="auto"/>
        <w:ind w:left="808" w:right="101"/>
        <w:jc w:val="left"/>
      </w:pPr>
      <w:r>
        <w:rPr/>
        <w:t>根据</w:t>
      </w:r>
      <w:r>
        <w:rPr>
          <w:rFonts w:ascii="Arial" w:hAnsi="Arial" w:cs="Arial" w:eastAsia="Arial" w:hint="default"/>
        </w:rPr>
        <w:t>2013</w:t>
      </w:r>
      <w:r>
        <w:rPr/>
        <w:t>年</w:t>
      </w:r>
      <w:r>
        <w:rPr>
          <w:rFonts w:ascii="Arial" w:hAnsi="Arial" w:cs="Arial" w:eastAsia="Arial" w:hint="default"/>
        </w:rPr>
        <w:t>2</w:t>
      </w:r>
      <w:r>
        <w:rPr/>
        <w:t>月</w:t>
      </w:r>
      <w:r>
        <w:rPr>
          <w:rFonts w:ascii="Arial" w:hAnsi="Arial" w:cs="Arial" w:eastAsia="Arial" w:hint="default"/>
        </w:rPr>
        <w:t>17</w:t>
      </w:r>
      <w:r>
        <w:rPr/>
        <w:t>日国家发展和改革委员会、工业和信息化部、财政部、商务部和国家税</w:t>
      </w:r>
      <w:r>
        <w:rPr>
          <w:spacing w:val="-96"/>
        </w:rPr>
        <w:t> </w:t>
      </w:r>
      <w:r>
        <w:rPr>
          <w:spacing w:val="-96"/>
        </w:rPr>
      </w:r>
      <w:r>
        <w:rPr/>
        <w:t>务总局联合发布的《关于认定</w:t>
      </w:r>
      <w:r>
        <w:rPr>
          <w:rFonts w:ascii="Arial" w:hAnsi="Arial" w:cs="Arial" w:eastAsia="Arial" w:hint="default"/>
        </w:rPr>
        <w:t>2011-2012</w:t>
      </w:r>
      <w:r>
        <w:rPr/>
        <w:t>年度国家规划布局内重点软件企业和集成电路设</w:t>
      </w:r>
      <w:r>
        <w:rPr>
          <w:spacing w:val="-75"/>
        </w:rPr>
        <w:t> </w:t>
      </w:r>
      <w:r>
        <w:rPr>
          <w:spacing w:val="-75"/>
        </w:rPr>
      </w:r>
      <w:r>
        <w:rPr/>
        <w:t>计企业的通知》（发改高技</w:t>
      </w:r>
      <w:r>
        <w:rPr>
          <w:rFonts w:ascii="Arial" w:hAnsi="Arial" w:cs="Arial" w:eastAsia="Arial" w:hint="default"/>
        </w:rPr>
        <w:t>[2013]234</w:t>
      </w:r>
      <w:r>
        <w:rPr/>
        <w:t>号，以下简称“</w:t>
      </w:r>
      <w:r>
        <w:rPr>
          <w:rFonts w:ascii="Arial" w:hAnsi="Arial" w:cs="Arial" w:eastAsia="Arial" w:hint="default"/>
        </w:rPr>
        <w:t>234</w:t>
      </w:r>
      <w:r>
        <w:rPr/>
        <w:t>号文”），本公司及本公司之子</w:t>
      </w:r>
      <w:r>
        <w:rPr>
          <w:w w:val="99"/>
        </w:rPr>
        <w:t> </w:t>
      </w:r>
      <w:r>
        <w:rPr/>
        <w:t>公司畅捷通信息技术股份有限公司被列于</w:t>
      </w:r>
      <w:r>
        <w:rPr>
          <w:rFonts w:ascii="Arial" w:hAnsi="Arial" w:cs="Arial" w:eastAsia="Arial" w:hint="default"/>
        </w:rPr>
        <w:t>2011-2012</w:t>
      </w:r>
      <w:r>
        <w:rPr/>
        <w:t>年度国家规划布局内重点软件企业和</w:t>
      </w:r>
      <w:r>
        <w:rPr>
          <w:spacing w:val="-75"/>
        </w:rPr>
        <w:t> </w:t>
      </w:r>
      <w:r>
        <w:rPr>
          <w:spacing w:val="-75"/>
        </w:rPr>
      </w:r>
      <w:r>
        <w:rPr>
          <w:spacing w:val="-2"/>
          <w:w w:val="99"/>
        </w:rPr>
        <w:t>集成电路设计企业名单中，因此于</w:t>
      </w:r>
      <w:r>
        <w:rPr>
          <w:rFonts w:ascii="Arial" w:hAnsi="Arial" w:cs="Arial" w:eastAsia="Arial" w:hint="default"/>
          <w:spacing w:val="-2"/>
          <w:w w:val="99"/>
        </w:rPr>
        <w:t>2011</w:t>
      </w:r>
      <w:r>
        <w:rPr>
          <w:spacing w:val="-2"/>
          <w:w w:val="99"/>
        </w:rPr>
        <w:t>年度和</w:t>
      </w:r>
      <w:r>
        <w:rPr>
          <w:rFonts w:ascii="Arial" w:hAnsi="Arial" w:cs="Arial" w:eastAsia="Arial" w:hint="default"/>
          <w:spacing w:val="-2"/>
          <w:w w:val="99"/>
        </w:rPr>
        <w:t>2012</w:t>
      </w:r>
      <w:r>
        <w:rPr>
          <w:spacing w:val="-2"/>
          <w:w w:val="99"/>
        </w:rPr>
        <w:t>年度可享受</w:t>
      </w:r>
      <w:r>
        <w:rPr>
          <w:rFonts w:ascii="Arial" w:hAnsi="Arial" w:cs="Arial" w:eastAsia="Arial" w:hint="default"/>
          <w:spacing w:val="-2"/>
          <w:w w:val="99"/>
        </w:rPr>
        <w:t>10%</w:t>
      </w:r>
      <w:r>
        <w:rPr>
          <w:spacing w:val="-2"/>
          <w:w w:val="99"/>
        </w:rPr>
        <w:t>的企业所得税优惠税率。</w:t>
      </w:r>
      <w:r>
        <w:rPr>
          <w:spacing w:val="-2"/>
        </w:rPr>
      </w:r>
    </w:p>
    <w:p>
      <w:pPr>
        <w:spacing w:line="240" w:lineRule="auto" w:before="6"/>
        <w:rPr>
          <w:rFonts w:ascii="黑体" w:hAnsi="黑体" w:cs="黑体" w:eastAsia="黑体" w:hint="default"/>
          <w:sz w:val="19"/>
          <w:szCs w:val="19"/>
        </w:rPr>
      </w:pPr>
    </w:p>
    <w:p>
      <w:pPr>
        <w:pStyle w:val="BodyText"/>
        <w:spacing w:line="232" w:lineRule="auto"/>
        <w:ind w:left="808" w:right="298" w:hanging="1"/>
        <w:jc w:val="both"/>
      </w:pPr>
      <w:r>
        <w:rPr>
          <w:w w:val="95"/>
        </w:rPr>
        <w:t>根据《中华人民共和国企业所得税法》和国税发</w:t>
      </w:r>
      <w:r>
        <w:rPr>
          <w:rFonts w:ascii="Arial" w:hAnsi="Arial" w:cs="Arial" w:eastAsia="Arial" w:hint="default"/>
          <w:w w:val="95"/>
        </w:rPr>
        <w:t>2008[28]</w:t>
      </w:r>
      <w:r>
        <w:rPr>
          <w:w w:val="95"/>
        </w:rPr>
        <w:t>号文的要求，本公司于</w:t>
      </w:r>
      <w:r>
        <w:rPr>
          <w:rFonts w:ascii="Arial" w:hAnsi="Arial" w:cs="Arial" w:eastAsia="Arial" w:hint="default"/>
          <w:w w:val="95"/>
        </w:rPr>
        <w:t>2012</w:t>
      </w:r>
      <w:r>
        <w:rPr>
          <w:w w:val="95"/>
        </w:rPr>
        <w:t>年对</w:t>
      </w:r>
      <w:r>
        <w:rPr>
          <w:spacing w:val="65"/>
          <w:w w:val="95"/>
        </w:rPr>
        <w:t> </w:t>
      </w:r>
      <w:r>
        <w:rPr>
          <w:w w:val="95"/>
        </w:rPr>
        <w:t>所有的分支机构合并缴纳企业所得税。即按合并季度报表的应纳税所得额乘以</w:t>
      </w:r>
      <w:r>
        <w:rPr>
          <w:rFonts w:ascii="Arial" w:hAnsi="Arial" w:cs="Arial" w:eastAsia="Arial" w:hint="default"/>
          <w:w w:val="95"/>
        </w:rPr>
        <w:t>15%</w:t>
      </w:r>
      <w:r>
        <w:rPr>
          <w:w w:val="95"/>
        </w:rPr>
        <w:t>的企业</w:t>
      </w:r>
      <w:r>
        <w:rPr>
          <w:spacing w:val="90"/>
          <w:w w:val="95"/>
        </w:rPr>
        <w:t> </w:t>
      </w:r>
      <w:r>
        <w:rPr/>
        <w:t>所得税税率，预缴本年度应纳所得税额。待年度汇算清缴时，以年度合并税前利润计算的</w:t>
      </w:r>
      <w:r>
        <w:rPr>
          <w:w w:val="99"/>
        </w:rPr>
        <w:t> </w:t>
      </w:r>
      <w:r>
        <w:rPr>
          <w:w w:val="95"/>
        </w:rPr>
        <w:t>应纳税所得额为基础，按照税务机构备案的比例在总分支机构之间进行分配，然后总分支</w:t>
      </w:r>
      <w:r>
        <w:rPr>
          <w:spacing w:val="90"/>
          <w:w w:val="95"/>
        </w:rPr>
        <w:t> </w:t>
      </w:r>
      <w:r>
        <w:rPr>
          <w:spacing w:val="90"/>
          <w:w w:val="95"/>
        </w:rPr>
      </w:r>
      <w:r>
        <w:rPr>
          <w:w w:val="95"/>
        </w:rPr>
        <w:t>机构以分配到的应纳税所得额乘以各自适用的税率计算得到实际应纳所得税费用，根据其</w:t>
      </w:r>
      <w:r>
        <w:rPr>
          <w:spacing w:val="91"/>
          <w:w w:val="95"/>
        </w:rPr>
        <w:t> </w:t>
      </w:r>
      <w:r>
        <w:rPr>
          <w:spacing w:val="91"/>
          <w:w w:val="95"/>
        </w:rPr>
      </w:r>
      <w:r>
        <w:rPr/>
        <w:t>与预缴的所得税额之差额进行补缴或退税。</w:t>
      </w:r>
    </w:p>
    <w:p>
      <w:pPr>
        <w:spacing w:line="240" w:lineRule="auto" w:before="11"/>
        <w:rPr>
          <w:rFonts w:ascii="黑体" w:hAnsi="黑体" w:cs="黑体" w:eastAsia="黑体" w:hint="default"/>
          <w:sz w:val="21"/>
          <w:szCs w:val="21"/>
        </w:rPr>
      </w:pPr>
    </w:p>
    <w:p>
      <w:pPr>
        <w:pStyle w:val="BodyText"/>
        <w:spacing w:line="260" w:lineRule="exact"/>
        <w:ind w:left="808" w:right="194"/>
        <w:jc w:val="left"/>
      </w:pPr>
      <w:r>
        <w:rPr>
          <w:w w:val="95"/>
        </w:rPr>
        <w:t>因本集团内各子公司情况不同，税率亦有所不同。除下述子公司外，本公司的其他子公司</w:t>
      </w:r>
      <w:r>
        <w:rPr>
          <w:spacing w:val="94"/>
          <w:w w:val="95"/>
        </w:rPr>
        <w:t> </w:t>
      </w:r>
      <w:r>
        <w:rPr>
          <w:spacing w:val="94"/>
          <w:w w:val="95"/>
        </w:rPr>
      </w:r>
      <w:r>
        <w:rPr>
          <w:spacing w:val="-6"/>
          <w:w w:val="99"/>
        </w:rPr>
        <w:t>于</w:t>
      </w:r>
      <w:r>
        <w:rPr>
          <w:rFonts w:ascii="Arial" w:hAnsi="Arial" w:cs="Arial" w:eastAsia="Arial" w:hint="default"/>
          <w:spacing w:val="-6"/>
          <w:w w:val="99"/>
        </w:rPr>
        <w:t>2012</w:t>
      </w:r>
      <w:r>
        <w:rPr>
          <w:spacing w:val="-6"/>
          <w:w w:val="99"/>
        </w:rPr>
        <w:t>年执行《中华人民共和国企业所得税法》，按应纳税所得额的</w:t>
      </w:r>
      <w:r>
        <w:rPr>
          <w:rFonts w:ascii="Arial" w:hAnsi="Arial" w:cs="Arial" w:eastAsia="Arial" w:hint="default"/>
          <w:spacing w:val="-6"/>
          <w:w w:val="99"/>
        </w:rPr>
        <w:t>25%</w:t>
      </w:r>
      <w:r>
        <w:rPr>
          <w:spacing w:val="-6"/>
          <w:w w:val="99"/>
        </w:rPr>
        <w:t>计缴企业所得税。</w:t>
      </w:r>
      <w:r>
        <w:rPr>
          <w:spacing w:val="-6"/>
        </w:rPr>
      </w:r>
    </w:p>
    <w:p>
      <w:pPr>
        <w:spacing w:after="0" w:line="260" w:lineRule="exact"/>
        <w:jc w:val="left"/>
        <w:sectPr>
          <w:pgSz w:w="11910" w:h="16850"/>
          <w:pgMar w:header="957" w:footer="833" w:top="2620" w:bottom="1020" w:left="1600" w:right="1400"/>
        </w:sectPr>
      </w:pPr>
    </w:p>
    <w:p>
      <w:pPr>
        <w:spacing w:line="240" w:lineRule="auto" w:before="13"/>
        <w:rPr>
          <w:rFonts w:ascii="黑体" w:hAnsi="黑体" w:cs="黑体" w:eastAsia="黑体" w:hint="default"/>
          <w:sz w:val="14"/>
          <w:szCs w:val="14"/>
        </w:rPr>
      </w:pPr>
    </w:p>
    <w:p>
      <w:pPr>
        <w:pStyle w:val="Heading6"/>
        <w:tabs>
          <w:tab w:pos="804" w:val="left" w:leader="none"/>
        </w:tabs>
        <w:spacing w:line="240" w:lineRule="auto"/>
        <w:ind w:right="137"/>
        <w:jc w:val="left"/>
        <w:rPr>
          <w:b w:val="0"/>
          <w:bCs w:val="0"/>
        </w:rPr>
      </w:pPr>
      <w:r>
        <w:rPr>
          <w:w w:val="95"/>
        </w:rPr>
        <w:t>三、</w:t>
        <w:tab/>
      </w:r>
      <w:r>
        <w:rPr/>
        <w:t>税项（续）</w:t>
      </w:r>
      <w:r>
        <w:rPr>
          <w:b w:val="0"/>
          <w:bCs w:val="0"/>
        </w:rPr>
      </w:r>
    </w:p>
    <w:p>
      <w:pPr>
        <w:spacing w:line="240" w:lineRule="auto" w:before="10"/>
        <w:rPr>
          <w:rFonts w:ascii="黑体" w:hAnsi="黑体" w:cs="黑体" w:eastAsia="黑体" w:hint="default"/>
          <w:b/>
          <w:bCs/>
          <w:sz w:val="19"/>
          <w:szCs w:val="19"/>
        </w:rPr>
      </w:pPr>
    </w:p>
    <w:p>
      <w:pPr>
        <w:tabs>
          <w:tab w:pos="809" w:val="left" w:leader="none"/>
        </w:tabs>
        <w:spacing w:line="451" w:lineRule="auto" w:before="0"/>
        <w:ind w:left="809" w:right="4138" w:hanging="708"/>
        <w:jc w:val="left"/>
        <w:rPr>
          <w:rFonts w:ascii="黑体" w:hAnsi="黑体" w:cs="黑体" w:eastAsia="黑体" w:hint="default"/>
          <w:sz w:val="20"/>
          <w:szCs w:val="20"/>
        </w:rPr>
      </w:pPr>
      <w:r>
        <w:rPr>
          <w:rFonts w:ascii="Arial" w:hAnsi="Arial" w:cs="Arial" w:eastAsia="Arial" w:hint="default"/>
          <w:b/>
          <w:bCs/>
          <w:spacing w:val="-1"/>
          <w:sz w:val="20"/>
          <w:szCs w:val="20"/>
        </w:rPr>
        <w:t>1.</w:t>
        <w:tab/>
      </w:r>
      <w:r>
        <w:rPr>
          <w:rFonts w:ascii="黑体" w:hAnsi="黑体" w:cs="黑体" w:eastAsia="黑体" w:hint="default"/>
          <w:b/>
          <w:bCs/>
          <w:spacing w:val="1"/>
          <w:sz w:val="20"/>
          <w:szCs w:val="20"/>
        </w:rPr>
        <w:t>主要税种及税率（续）</w:t>
      </w:r>
      <w:r>
        <w:rPr>
          <w:rFonts w:ascii="黑体" w:hAnsi="黑体" w:cs="黑体" w:eastAsia="黑体" w:hint="default"/>
          <w:b/>
          <w:bCs/>
          <w:spacing w:val="2"/>
          <w:w w:val="99"/>
          <w:sz w:val="20"/>
          <w:szCs w:val="20"/>
        </w:rPr>
        <w:t> </w:t>
      </w:r>
      <w:r>
        <w:rPr>
          <w:rFonts w:ascii="黑体" w:hAnsi="黑体" w:cs="黑体" w:eastAsia="黑体" w:hint="default"/>
          <w:sz w:val="20"/>
          <w:szCs w:val="20"/>
        </w:rPr>
        <w:t>本集团适用的主要税种及税率如下（续）：</w:t>
      </w:r>
    </w:p>
    <w:p>
      <w:pPr>
        <w:pStyle w:val="BodyText"/>
        <w:spacing w:line="225" w:lineRule="auto" w:before="97"/>
        <w:ind w:left="809" w:right="139"/>
        <w:jc w:val="both"/>
      </w:pPr>
      <w:r>
        <w:rPr>
          <w:spacing w:val="3"/>
          <w:w w:val="95"/>
        </w:rPr>
        <w:t>本公司之子公司厦门用友烟草软件有限责任公司于</w:t>
      </w:r>
      <w:r>
        <w:rPr>
          <w:rFonts w:ascii="Arial" w:hAnsi="Arial" w:cs="Arial" w:eastAsia="Arial" w:hint="default"/>
          <w:spacing w:val="3"/>
          <w:w w:val="95"/>
        </w:rPr>
        <w:t>2008</w:t>
      </w:r>
      <w:r>
        <w:rPr>
          <w:spacing w:val="3"/>
          <w:w w:val="95"/>
        </w:rPr>
        <w:t>年</w:t>
      </w:r>
      <w:r>
        <w:rPr>
          <w:rFonts w:ascii="Arial" w:hAnsi="Arial" w:cs="Arial" w:eastAsia="Arial" w:hint="default"/>
          <w:spacing w:val="3"/>
          <w:w w:val="95"/>
        </w:rPr>
        <w:t>4</w:t>
      </w:r>
      <w:r>
        <w:rPr>
          <w:spacing w:val="3"/>
          <w:w w:val="95"/>
        </w:rPr>
        <w:t>月</w:t>
      </w:r>
      <w:r>
        <w:rPr>
          <w:rFonts w:ascii="Arial" w:hAnsi="Arial" w:cs="Arial" w:eastAsia="Arial" w:hint="default"/>
          <w:spacing w:val="3"/>
          <w:w w:val="95"/>
        </w:rPr>
        <w:t>1</w:t>
      </w:r>
      <w:r>
        <w:rPr>
          <w:spacing w:val="3"/>
          <w:w w:val="95"/>
        </w:rPr>
        <w:t>日取得了软件企业认定证</w:t>
      </w:r>
      <w:r>
        <w:rPr>
          <w:spacing w:val="68"/>
          <w:w w:val="95"/>
        </w:rPr>
        <w:t> </w:t>
      </w:r>
      <w:r>
        <w:rPr>
          <w:spacing w:val="68"/>
          <w:w w:val="95"/>
        </w:rPr>
      </w:r>
      <w:r>
        <w:rPr/>
        <w:t>书。根据《财政部、国家税务总局关于企业所得税若干优惠政策的通知</w:t>
      </w:r>
      <w:r>
        <w:rPr>
          <w:spacing w:val="14"/>
        </w:rPr>
        <w:t> </w:t>
      </w:r>
      <w:r>
        <w:rPr/>
        <w:t>财税</w:t>
      </w:r>
      <w:r>
        <w:rPr>
          <w:rFonts w:ascii="Arial" w:hAnsi="Arial" w:cs="Arial" w:eastAsia="Arial" w:hint="default"/>
        </w:rPr>
        <w:t>[2008]1</w:t>
      </w:r>
      <w:r>
        <w:rPr/>
        <w:t>号》</w:t>
      </w:r>
      <w:r>
        <w:rPr>
          <w:spacing w:val="-98"/>
        </w:rPr>
        <w:t> </w:t>
      </w:r>
      <w:r>
        <w:rPr/>
        <w:t>及《国务院关于实施企业所得税过渡优惠政策的通知</w:t>
      </w:r>
      <w:r>
        <w:rPr>
          <w:spacing w:val="-30"/>
        </w:rPr>
        <w:t> </w:t>
      </w:r>
      <w:r>
        <w:rPr>
          <w:spacing w:val="-3"/>
        </w:rPr>
        <w:t>国发</w:t>
      </w:r>
      <w:r>
        <w:rPr>
          <w:rFonts w:ascii="Arial" w:hAnsi="Arial" w:cs="Arial" w:eastAsia="Arial" w:hint="default"/>
          <w:spacing w:val="-3"/>
        </w:rPr>
        <w:t>[2007]39</w:t>
      </w:r>
      <w:r>
        <w:rPr>
          <w:spacing w:val="-3"/>
        </w:rPr>
        <w:t>号》规定，自赢利的第</w:t>
      </w:r>
      <w:r>
        <w:rPr>
          <w:w w:val="99"/>
        </w:rPr>
        <w:t> </w:t>
      </w:r>
      <w:r>
        <w:rPr>
          <w:spacing w:val="-1"/>
          <w:w w:val="95"/>
        </w:rPr>
        <w:t>一年起享受“两免三减半”的税收优惠。厦门用友烟草软件有限责任公司自</w:t>
      </w:r>
      <w:r>
        <w:rPr>
          <w:rFonts w:ascii="Arial" w:hAnsi="Arial" w:cs="Arial" w:eastAsia="Arial" w:hint="default"/>
          <w:spacing w:val="-1"/>
          <w:w w:val="95"/>
        </w:rPr>
        <w:t>2008</w:t>
      </w:r>
      <w:r>
        <w:rPr>
          <w:spacing w:val="-1"/>
          <w:w w:val="95"/>
        </w:rPr>
        <w:t>年开始盈</w:t>
      </w:r>
      <w:r>
        <w:rPr>
          <w:spacing w:val="89"/>
          <w:w w:val="95"/>
        </w:rPr>
        <w:t> </w:t>
      </w:r>
      <w:r>
        <w:rPr>
          <w:spacing w:val="89"/>
          <w:w w:val="95"/>
        </w:rPr>
      </w:r>
      <w:r>
        <w:rPr>
          <w:w w:val="95"/>
        </w:rPr>
        <w:t>利，开始享受两免三减半的优惠政策，</w:t>
      </w:r>
      <w:r>
        <w:rPr>
          <w:rFonts w:ascii="Arial" w:hAnsi="Arial" w:cs="Arial" w:eastAsia="Arial" w:hint="default"/>
          <w:w w:val="95"/>
        </w:rPr>
        <w:t>2012</w:t>
      </w:r>
      <w:r>
        <w:rPr>
          <w:w w:val="95"/>
        </w:rPr>
        <w:t>年为减半征收的第三年，可享受</w:t>
      </w:r>
      <w:r>
        <w:rPr>
          <w:rFonts w:ascii="Arial" w:hAnsi="Arial" w:cs="Arial" w:eastAsia="Arial" w:hint="default"/>
          <w:w w:val="95"/>
        </w:rPr>
        <w:t>12.5%</w:t>
      </w:r>
      <w:r>
        <w:rPr>
          <w:w w:val="95"/>
        </w:rPr>
        <w:t>的优惠</w:t>
      </w:r>
      <w:r>
        <w:rPr>
          <w:spacing w:val="80"/>
          <w:w w:val="95"/>
        </w:rPr>
        <w:t> </w:t>
      </w:r>
      <w:r>
        <w:rPr/>
        <w:t>税率。</w:t>
      </w:r>
    </w:p>
    <w:p>
      <w:pPr>
        <w:spacing w:line="240" w:lineRule="auto" w:before="1"/>
        <w:rPr>
          <w:rFonts w:ascii="黑体" w:hAnsi="黑体" w:cs="黑体" w:eastAsia="黑体" w:hint="default"/>
          <w:sz w:val="20"/>
          <w:szCs w:val="20"/>
        </w:rPr>
      </w:pPr>
    </w:p>
    <w:p>
      <w:pPr>
        <w:pStyle w:val="BodyText"/>
        <w:spacing w:line="235" w:lineRule="auto"/>
        <w:ind w:left="809" w:right="135"/>
        <w:jc w:val="both"/>
      </w:pPr>
      <w:r>
        <w:rPr>
          <w:w w:val="95"/>
        </w:rPr>
        <w:t>本公司之子公司北京用友政务软件有限公司、北京用友华表软件技术有限公司、天津用友</w:t>
      </w:r>
      <w:r>
        <w:rPr>
          <w:spacing w:val="91"/>
          <w:w w:val="95"/>
        </w:rPr>
        <w:t> </w:t>
      </w:r>
      <w:r>
        <w:rPr>
          <w:spacing w:val="91"/>
          <w:w w:val="95"/>
        </w:rPr>
      </w:r>
      <w:r>
        <w:rPr/>
        <w:t>软件技术有限公司、广东用友软件有限公司、用友汽车信息科技（上海）有限公司、用友</w:t>
      </w:r>
      <w:r>
        <w:rPr>
          <w:w w:val="99"/>
        </w:rPr>
        <w:t> </w:t>
      </w:r>
      <w:r>
        <w:rPr>
          <w:spacing w:val="3"/>
        </w:rPr>
        <w:t>医疗卫生信息系统有限公司以及用友审计软件有限公司于</w:t>
      </w:r>
      <w:r>
        <w:rPr>
          <w:rFonts w:ascii="Arial" w:hAnsi="Arial" w:cs="Arial" w:eastAsia="Arial" w:hint="default"/>
          <w:spacing w:val="3"/>
        </w:rPr>
        <w:t>2012</w:t>
      </w:r>
      <w:r>
        <w:rPr>
          <w:spacing w:val="3"/>
        </w:rPr>
        <w:t>年为国家认定的高新技术</w:t>
      </w:r>
      <w:r>
        <w:rPr>
          <w:spacing w:val="-95"/>
        </w:rPr>
        <w:t> </w:t>
      </w:r>
      <w:r>
        <w:rPr>
          <w:spacing w:val="-95"/>
        </w:rPr>
      </w:r>
      <w:r>
        <w:rPr/>
        <w:t>企业，</w:t>
      </w:r>
      <w:r>
        <w:rPr>
          <w:rFonts w:ascii="Arial" w:hAnsi="Arial" w:cs="Arial" w:eastAsia="Arial" w:hint="default"/>
        </w:rPr>
        <w:t>2012</w:t>
      </w:r>
      <w:r>
        <w:rPr/>
        <w:t>年可享受</w:t>
      </w:r>
      <w:r>
        <w:rPr>
          <w:rFonts w:ascii="Arial" w:hAnsi="Arial" w:cs="Arial" w:eastAsia="Arial" w:hint="default"/>
        </w:rPr>
        <w:t>15%</w:t>
      </w:r>
      <w:r>
        <w:rPr/>
        <w:t>的优惠税率。</w:t>
      </w:r>
    </w:p>
    <w:p>
      <w:pPr>
        <w:spacing w:line="240" w:lineRule="auto" w:before="6"/>
        <w:rPr>
          <w:rFonts w:ascii="黑体" w:hAnsi="黑体" w:cs="黑体" w:eastAsia="黑体" w:hint="default"/>
          <w:sz w:val="19"/>
          <w:szCs w:val="19"/>
        </w:rPr>
      </w:pPr>
    </w:p>
    <w:p>
      <w:pPr>
        <w:pStyle w:val="BodyText"/>
        <w:spacing w:line="230" w:lineRule="auto"/>
        <w:ind w:left="830" w:right="135" w:hanging="15"/>
        <w:jc w:val="both"/>
      </w:pPr>
      <w:r>
        <w:rPr>
          <w:w w:val="95"/>
        </w:rPr>
        <w:t>本公司之子公司畅捷通信息技术股份有限公司，符合《鼓励软件产业和集成电路产业发展</w:t>
      </w:r>
      <w:r>
        <w:rPr>
          <w:spacing w:val="87"/>
          <w:w w:val="95"/>
        </w:rPr>
        <w:t> </w:t>
      </w:r>
      <w:r>
        <w:rPr>
          <w:spacing w:val="87"/>
          <w:w w:val="95"/>
        </w:rPr>
      </w:r>
      <w:r>
        <w:rPr>
          <w:w w:val="95"/>
        </w:rPr>
        <w:t>的若干政策》和《软件企业认定标准及管理办法》的有关规定，被认定为软件企业，享受</w:t>
      </w:r>
      <w:r>
        <w:rPr>
          <w:spacing w:val="57"/>
          <w:w w:val="95"/>
        </w:rPr>
        <w:t> </w:t>
      </w:r>
      <w:r>
        <w:rPr>
          <w:spacing w:val="57"/>
          <w:w w:val="95"/>
        </w:rPr>
      </w:r>
      <w:r>
        <w:rPr>
          <w:spacing w:val="2"/>
        </w:rPr>
        <w:t>两免三减半的优惠政策，</w:t>
      </w:r>
      <w:r>
        <w:rPr>
          <w:rFonts w:ascii="Arial" w:hAnsi="Arial" w:cs="Arial" w:eastAsia="Arial" w:hint="default"/>
          <w:spacing w:val="2"/>
        </w:rPr>
        <w:t>2011</w:t>
      </w:r>
      <w:r>
        <w:rPr>
          <w:spacing w:val="2"/>
        </w:rPr>
        <w:t>年为免税的第二年，所得税率为零。</w:t>
      </w:r>
      <w:r>
        <w:rPr>
          <w:rFonts w:ascii="Arial" w:hAnsi="Arial" w:cs="Arial" w:eastAsia="Arial" w:hint="default"/>
          <w:spacing w:val="2"/>
        </w:rPr>
        <w:t>2012</w:t>
      </w:r>
      <w:r>
        <w:rPr>
          <w:spacing w:val="2"/>
        </w:rPr>
        <w:t>年为减半征收的</w:t>
      </w:r>
      <w:r>
        <w:rPr>
          <w:spacing w:val="2"/>
          <w:w w:val="99"/>
        </w:rPr>
        <w:t> </w:t>
      </w:r>
      <w:r>
        <w:rPr>
          <w:spacing w:val="2"/>
          <w:w w:val="95"/>
        </w:rPr>
        <w:t>第一年，可享受</w:t>
      </w:r>
      <w:r>
        <w:rPr>
          <w:rFonts w:ascii="Arial" w:hAnsi="Arial" w:cs="Arial" w:eastAsia="Arial" w:hint="default"/>
          <w:spacing w:val="2"/>
          <w:w w:val="95"/>
        </w:rPr>
        <w:t>12.5%</w:t>
      </w:r>
      <w:r>
        <w:rPr>
          <w:spacing w:val="2"/>
          <w:w w:val="95"/>
        </w:rPr>
        <w:t>的优惠税率。同时，根据上述</w:t>
      </w:r>
      <w:r>
        <w:rPr>
          <w:rFonts w:ascii="Arial" w:hAnsi="Arial" w:cs="Arial" w:eastAsia="Arial" w:hint="default"/>
          <w:spacing w:val="2"/>
          <w:w w:val="95"/>
        </w:rPr>
        <w:t>234</w:t>
      </w:r>
      <w:r>
        <w:rPr>
          <w:spacing w:val="2"/>
          <w:w w:val="95"/>
        </w:rPr>
        <w:t>号文，畅捷通信息技术股份有限</w:t>
      </w:r>
      <w:r>
        <w:rPr>
          <w:spacing w:val="52"/>
          <w:w w:val="95"/>
        </w:rPr>
        <w:t> </w:t>
      </w:r>
      <w:r>
        <w:rPr>
          <w:spacing w:val="52"/>
          <w:w w:val="95"/>
        </w:rPr>
      </w:r>
      <w:r>
        <w:rPr/>
        <w:t>公司被列于</w:t>
      </w:r>
      <w:r>
        <w:rPr>
          <w:rFonts w:ascii="Arial" w:hAnsi="Arial" w:cs="Arial" w:eastAsia="Arial" w:hint="default"/>
        </w:rPr>
        <w:t>2011-2012</w:t>
      </w:r>
      <w:r>
        <w:rPr/>
        <w:t>年度国家规划布局内重点软件企业和集成电路设计企业名单中。因</w:t>
      </w:r>
      <w:r>
        <w:rPr>
          <w:w w:val="99"/>
        </w:rPr>
        <w:t> </w:t>
      </w:r>
      <w:r>
        <w:rPr/>
        <w:t>此于</w:t>
      </w:r>
      <w:r>
        <w:rPr>
          <w:rFonts w:ascii="Arial" w:hAnsi="Arial" w:cs="Arial" w:eastAsia="Arial" w:hint="default"/>
        </w:rPr>
        <w:t>2012</w:t>
      </w:r>
      <w:r>
        <w:rPr/>
        <w:t>年度畅捷通信息技术股份有限公司可享受的优惠税率为</w:t>
      </w:r>
      <w:r>
        <w:rPr>
          <w:rFonts w:ascii="Arial" w:hAnsi="Arial" w:cs="Arial" w:eastAsia="Arial" w:hint="default"/>
        </w:rPr>
        <w:t>10%</w:t>
      </w:r>
      <w:r>
        <w:rPr/>
        <w:t>。</w:t>
      </w:r>
    </w:p>
    <w:p>
      <w:pPr>
        <w:spacing w:line="240" w:lineRule="auto" w:before="8"/>
        <w:rPr>
          <w:rFonts w:ascii="黑体" w:hAnsi="黑体" w:cs="黑体" w:eastAsia="黑体" w:hint="default"/>
          <w:sz w:val="18"/>
          <w:szCs w:val="18"/>
        </w:rPr>
      </w:pPr>
    </w:p>
    <w:p>
      <w:pPr>
        <w:pStyle w:val="BodyText"/>
        <w:tabs>
          <w:tab w:pos="808" w:val="left" w:leader="none"/>
        </w:tabs>
        <w:spacing w:line="240" w:lineRule="auto"/>
        <w:ind w:left="101" w:right="137"/>
        <w:jc w:val="left"/>
      </w:pPr>
      <w:r>
        <w:rPr>
          <w:rFonts w:ascii="Arial" w:hAnsi="Arial" w:cs="Arial" w:eastAsia="Arial" w:hint="default"/>
          <w:spacing w:val="-1"/>
        </w:rPr>
        <w:t>(6)</w:t>
        <w:tab/>
      </w:r>
      <w:r>
        <w:rPr/>
        <w:t>其他税项</w:t>
      </w:r>
      <w:r>
        <w:rPr>
          <w:rFonts w:ascii="Arial" w:hAnsi="Arial" w:cs="Arial" w:eastAsia="Arial" w:hint="default"/>
        </w:rPr>
        <w:t>–</w:t>
      </w:r>
      <w:r>
        <w:rPr/>
        <w:t>按国家有关税法的规定计算缴纳。</w:t>
      </w:r>
    </w:p>
    <w:p>
      <w:pPr>
        <w:spacing w:after="0" w:line="240" w:lineRule="auto"/>
        <w:jc w:val="left"/>
        <w:sectPr>
          <w:pgSz w:w="11910" w:h="16850"/>
          <w:pgMar w:header="957" w:footer="833" w:top="2620" w:bottom="1020" w:left="1600" w:right="1560"/>
        </w:sectPr>
      </w:pPr>
    </w:p>
    <w:p>
      <w:pPr>
        <w:spacing w:line="240" w:lineRule="auto" w:before="13"/>
        <w:rPr>
          <w:rFonts w:ascii="黑体" w:hAnsi="黑体" w:cs="黑体" w:eastAsia="黑体" w:hint="default"/>
          <w:sz w:val="14"/>
          <w:szCs w:val="14"/>
        </w:rPr>
      </w:pPr>
    </w:p>
    <w:p>
      <w:pPr>
        <w:pStyle w:val="Heading6"/>
        <w:tabs>
          <w:tab w:pos="804" w:val="left" w:leader="none"/>
        </w:tabs>
        <w:spacing w:line="240" w:lineRule="auto"/>
        <w:ind w:right="3627"/>
        <w:jc w:val="left"/>
        <w:rPr>
          <w:b w:val="0"/>
          <w:bCs w:val="0"/>
        </w:rPr>
      </w:pPr>
      <w:r>
        <w:rPr>
          <w:w w:val="95"/>
        </w:rPr>
        <w:t>三、</w:t>
        <w:tab/>
      </w:r>
      <w:r>
        <w:rPr/>
        <w:t>税项（续）</w:t>
      </w:r>
      <w:r>
        <w:rPr>
          <w:b w:val="0"/>
          <w:bCs w:val="0"/>
        </w:rPr>
      </w:r>
    </w:p>
    <w:p>
      <w:pPr>
        <w:spacing w:line="240" w:lineRule="auto" w:before="10"/>
        <w:rPr>
          <w:rFonts w:ascii="黑体" w:hAnsi="黑体" w:cs="黑体" w:eastAsia="黑体" w:hint="default"/>
          <w:b/>
          <w:bCs/>
          <w:sz w:val="19"/>
          <w:szCs w:val="19"/>
        </w:rPr>
      </w:pPr>
    </w:p>
    <w:p>
      <w:pPr>
        <w:pStyle w:val="Heading6"/>
        <w:tabs>
          <w:tab w:pos="871" w:val="left" w:leader="none"/>
        </w:tabs>
        <w:spacing w:line="240" w:lineRule="auto" w:before="0"/>
        <w:ind w:right="3627"/>
        <w:jc w:val="left"/>
        <w:rPr>
          <w:b w:val="0"/>
          <w:bCs w:val="0"/>
        </w:rPr>
      </w:pPr>
      <w:r>
        <w:rPr>
          <w:rFonts w:ascii="Arial" w:hAnsi="Arial" w:cs="Arial" w:eastAsia="Arial" w:hint="default"/>
          <w:spacing w:val="-1"/>
        </w:rPr>
        <w:t>2.</w:t>
        <w:tab/>
      </w:r>
      <w:r>
        <w:rPr>
          <w:spacing w:val="1"/>
        </w:rPr>
        <w:t>税收优惠及批文</w:t>
      </w:r>
      <w:r>
        <w:rPr>
          <w:b w:val="0"/>
          <w:bCs w:val="0"/>
        </w:rPr>
      </w:r>
    </w:p>
    <w:p>
      <w:pPr>
        <w:spacing w:line="240" w:lineRule="auto" w:before="8"/>
        <w:rPr>
          <w:rFonts w:ascii="黑体" w:hAnsi="黑体" w:cs="黑体" w:eastAsia="黑体" w:hint="default"/>
          <w:b/>
          <w:bCs/>
          <w:sz w:val="19"/>
          <w:szCs w:val="19"/>
        </w:rPr>
      </w:pPr>
    </w:p>
    <w:p>
      <w:pPr>
        <w:pStyle w:val="BodyText"/>
        <w:spacing w:line="225" w:lineRule="auto"/>
        <w:ind w:left="809" w:right="297"/>
        <w:jc w:val="both"/>
      </w:pPr>
      <w:r>
        <w:rPr/>
        <w:t>根据</w:t>
      </w:r>
      <w:r>
        <w:rPr>
          <w:rFonts w:ascii="Arial" w:hAnsi="Arial" w:cs="Arial" w:eastAsia="Arial" w:hint="default"/>
        </w:rPr>
        <w:t>2013</w:t>
      </w:r>
      <w:r>
        <w:rPr/>
        <w:t>年</w:t>
      </w:r>
      <w:r>
        <w:rPr>
          <w:rFonts w:ascii="Arial" w:hAnsi="Arial" w:cs="Arial" w:eastAsia="Arial" w:hint="default"/>
        </w:rPr>
        <w:t>2</w:t>
      </w:r>
      <w:r>
        <w:rPr/>
        <w:t>月</w:t>
      </w:r>
      <w:r>
        <w:rPr>
          <w:rFonts w:ascii="Arial" w:hAnsi="Arial" w:cs="Arial" w:eastAsia="Arial" w:hint="default"/>
        </w:rPr>
        <w:t>17</w:t>
      </w:r>
      <w:r>
        <w:rPr/>
        <w:t>日国家发展和改革委员会、工业和信息化部、财政部、商务部和国家税</w:t>
      </w:r>
      <w:r>
        <w:rPr>
          <w:spacing w:val="-96"/>
        </w:rPr>
        <w:t> </w:t>
      </w:r>
      <w:r>
        <w:rPr>
          <w:spacing w:val="-96"/>
        </w:rPr>
      </w:r>
      <w:r>
        <w:rPr/>
        <w:t>务总局联合发布的</w:t>
      </w:r>
      <w:r>
        <w:rPr>
          <w:rFonts w:ascii="Arial" w:hAnsi="Arial" w:cs="Arial" w:eastAsia="Arial" w:hint="default"/>
        </w:rPr>
        <w:t>234</w:t>
      </w:r>
      <w:r>
        <w:rPr/>
        <w:t>号文，本公司及本公司之子公司畅捷通信息技术股份有限公司被列</w:t>
      </w:r>
      <w:r>
        <w:rPr>
          <w:spacing w:val="-54"/>
        </w:rPr>
        <w:t> </w:t>
      </w:r>
      <w:r>
        <w:rPr>
          <w:spacing w:val="-54"/>
        </w:rPr>
      </w:r>
      <w:r>
        <w:rPr>
          <w:w w:val="95"/>
        </w:rPr>
        <w:t>于</w:t>
      </w:r>
      <w:r>
        <w:rPr>
          <w:rFonts w:ascii="Arial" w:hAnsi="Arial" w:cs="Arial" w:eastAsia="Arial" w:hint="default"/>
          <w:w w:val="95"/>
        </w:rPr>
        <w:t>2011-2012</w:t>
      </w:r>
      <w:r>
        <w:rPr>
          <w:w w:val="95"/>
        </w:rPr>
        <w:t>年度国家规划布局内重点软件企业和集成电路设计企业名单中，因此于</w:t>
      </w:r>
      <w:r>
        <w:rPr>
          <w:rFonts w:ascii="Arial" w:hAnsi="Arial" w:cs="Arial" w:eastAsia="Arial" w:hint="default"/>
          <w:w w:val="95"/>
        </w:rPr>
        <w:t>2011</w:t>
      </w:r>
      <w:r>
        <w:rPr>
          <w:rFonts w:ascii="Arial" w:hAnsi="Arial" w:cs="Arial" w:eastAsia="Arial" w:hint="default"/>
          <w:spacing w:val="4"/>
          <w:w w:val="95"/>
        </w:rPr>
        <w:t> </w:t>
      </w:r>
      <w:r>
        <w:rPr>
          <w:rFonts w:ascii="Arial" w:hAnsi="Arial" w:cs="Arial" w:eastAsia="Arial" w:hint="default"/>
          <w:spacing w:val="4"/>
          <w:w w:val="95"/>
        </w:rPr>
      </w:r>
      <w:r>
        <w:rPr/>
        <w:t>年度和</w:t>
      </w:r>
      <w:r>
        <w:rPr>
          <w:rFonts w:ascii="Arial" w:hAnsi="Arial" w:cs="Arial" w:eastAsia="Arial" w:hint="default"/>
        </w:rPr>
        <w:t>2012</w:t>
      </w:r>
      <w:r>
        <w:rPr/>
        <w:t>年度可享受</w:t>
      </w:r>
      <w:r>
        <w:rPr>
          <w:rFonts w:ascii="Arial" w:hAnsi="Arial" w:cs="Arial" w:eastAsia="Arial" w:hint="default"/>
        </w:rPr>
        <w:t>10%</w:t>
      </w:r>
      <w:r>
        <w:rPr/>
        <w:t>的企业所得税优惠税率。</w:t>
      </w:r>
    </w:p>
    <w:p>
      <w:pPr>
        <w:spacing w:line="240" w:lineRule="auto" w:before="13"/>
        <w:rPr>
          <w:rFonts w:ascii="黑体" w:hAnsi="黑体" w:cs="黑体" w:eastAsia="黑体" w:hint="default"/>
          <w:sz w:val="19"/>
          <w:szCs w:val="19"/>
        </w:rPr>
      </w:pPr>
    </w:p>
    <w:p>
      <w:pPr>
        <w:pStyle w:val="BodyText"/>
        <w:spacing w:line="225" w:lineRule="auto"/>
        <w:ind w:left="809" w:right="300"/>
        <w:jc w:val="both"/>
      </w:pPr>
      <w:r>
        <w:rPr>
          <w:spacing w:val="3"/>
          <w:w w:val="95"/>
        </w:rPr>
        <w:t>本公司之子公司厦门用友烟草软件有限责任公司于</w:t>
      </w:r>
      <w:r>
        <w:rPr>
          <w:rFonts w:ascii="Arial" w:hAnsi="Arial" w:cs="Arial" w:eastAsia="Arial" w:hint="default"/>
          <w:spacing w:val="3"/>
          <w:w w:val="95"/>
        </w:rPr>
        <w:t>2008</w:t>
      </w:r>
      <w:r>
        <w:rPr>
          <w:spacing w:val="3"/>
          <w:w w:val="95"/>
        </w:rPr>
        <w:t>年</w:t>
      </w:r>
      <w:r>
        <w:rPr>
          <w:rFonts w:ascii="Arial" w:hAnsi="Arial" w:cs="Arial" w:eastAsia="Arial" w:hint="default"/>
          <w:spacing w:val="3"/>
          <w:w w:val="95"/>
        </w:rPr>
        <w:t>4</w:t>
      </w:r>
      <w:r>
        <w:rPr>
          <w:spacing w:val="3"/>
          <w:w w:val="95"/>
        </w:rPr>
        <w:t>月</w:t>
      </w:r>
      <w:r>
        <w:rPr>
          <w:rFonts w:ascii="Arial" w:hAnsi="Arial" w:cs="Arial" w:eastAsia="Arial" w:hint="default"/>
          <w:spacing w:val="3"/>
          <w:w w:val="95"/>
        </w:rPr>
        <w:t>1</w:t>
      </w:r>
      <w:r>
        <w:rPr>
          <w:spacing w:val="3"/>
          <w:w w:val="95"/>
        </w:rPr>
        <w:t>日取得了软件企业认定证</w:t>
      </w:r>
      <w:r>
        <w:rPr>
          <w:spacing w:val="68"/>
          <w:w w:val="95"/>
        </w:rPr>
        <w:t> </w:t>
      </w:r>
      <w:r>
        <w:rPr>
          <w:spacing w:val="68"/>
          <w:w w:val="95"/>
        </w:rPr>
      </w:r>
      <w:r>
        <w:rPr>
          <w:w w:val="95"/>
        </w:rPr>
        <w:t>书，证书编号为京</w:t>
      </w:r>
      <w:r>
        <w:rPr>
          <w:rFonts w:ascii="Arial" w:hAnsi="Arial" w:cs="Arial" w:eastAsia="Arial" w:hint="default"/>
          <w:w w:val="95"/>
        </w:rPr>
        <w:t>R-2006-2005</w:t>
      </w:r>
      <w:r>
        <w:rPr>
          <w:w w:val="95"/>
        </w:rPr>
        <w:t>，可享受两免三减半的优惠政策，</w:t>
      </w:r>
      <w:r>
        <w:rPr>
          <w:rFonts w:ascii="Arial" w:hAnsi="Arial" w:cs="Arial" w:eastAsia="Arial" w:hint="default"/>
          <w:w w:val="95"/>
        </w:rPr>
        <w:t>2012</w:t>
      </w:r>
      <w:r>
        <w:rPr>
          <w:w w:val="95"/>
        </w:rPr>
        <w:t>年为减半征收的第</w:t>
      </w:r>
      <w:r>
        <w:rPr>
          <w:spacing w:val="76"/>
          <w:w w:val="95"/>
        </w:rPr>
        <w:t> </w:t>
      </w:r>
      <w:r>
        <w:rPr>
          <w:spacing w:val="76"/>
          <w:w w:val="95"/>
        </w:rPr>
      </w:r>
      <w:r>
        <w:rPr/>
        <w:t>三年，可享受</w:t>
      </w:r>
      <w:r>
        <w:rPr>
          <w:rFonts w:ascii="Arial" w:hAnsi="Arial" w:cs="Arial" w:eastAsia="Arial" w:hint="default"/>
        </w:rPr>
        <w:t>12.5%</w:t>
      </w:r>
      <w:r>
        <w:rPr/>
        <w:t>的优惠税率。</w:t>
      </w:r>
    </w:p>
    <w:p>
      <w:pPr>
        <w:spacing w:line="240" w:lineRule="auto" w:before="7"/>
        <w:rPr>
          <w:rFonts w:ascii="黑体" w:hAnsi="黑体" w:cs="黑体" w:eastAsia="黑体" w:hint="default"/>
          <w:sz w:val="20"/>
          <w:szCs w:val="20"/>
        </w:rPr>
      </w:pPr>
    </w:p>
    <w:p>
      <w:pPr>
        <w:pStyle w:val="BodyText"/>
        <w:spacing w:line="262" w:lineRule="exact"/>
        <w:ind w:left="809" w:right="300"/>
        <w:jc w:val="both"/>
      </w:pPr>
      <w:r>
        <w:rPr>
          <w:spacing w:val="2"/>
        </w:rPr>
        <w:t>本公司之子公司北京用友政务软件有限公司于</w:t>
      </w:r>
      <w:r>
        <w:rPr>
          <w:rFonts w:ascii="Arial" w:hAnsi="Arial" w:cs="Arial" w:eastAsia="Arial" w:hint="default"/>
          <w:spacing w:val="2"/>
        </w:rPr>
        <w:t>2011</w:t>
      </w:r>
      <w:r>
        <w:rPr>
          <w:spacing w:val="2"/>
        </w:rPr>
        <w:t>年</w:t>
      </w:r>
      <w:r>
        <w:rPr>
          <w:rFonts w:ascii="Arial" w:hAnsi="Arial" w:cs="Arial" w:eastAsia="Arial" w:hint="default"/>
          <w:spacing w:val="2"/>
        </w:rPr>
        <w:t>10</w:t>
      </w:r>
      <w:r>
        <w:rPr>
          <w:spacing w:val="2"/>
        </w:rPr>
        <w:t>月</w:t>
      </w:r>
      <w:r>
        <w:rPr>
          <w:rFonts w:ascii="Arial" w:hAnsi="Arial" w:cs="Arial" w:eastAsia="Arial" w:hint="default"/>
          <w:spacing w:val="2"/>
        </w:rPr>
        <w:t>11</w:t>
      </w:r>
      <w:r>
        <w:rPr>
          <w:spacing w:val="2"/>
        </w:rPr>
        <w:t>日取得了有效期为三年的高</w:t>
      </w:r>
      <w:r>
        <w:rPr>
          <w:spacing w:val="2"/>
          <w:w w:val="99"/>
        </w:rPr>
        <w:t> </w:t>
      </w:r>
      <w:r>
        <w:rPr/>
        <w:t>新技术企业证书，证书编号为</w:t>
      </w:r>
      <w:r>
        <w:rPr>
          <w:rFonts w:ascii="Arial" w:hAnsi="Arial" w:cs="Arial" w:eastAsia="Arial" w:hint="default"/>
        </w:rPr>
        <w:t>GF201111001508</w:t>
      </w:r>
      <w:r>
        <w:rPr/>
        <w:t>，</w:t>
      </w:r>
      <w:r>
        <w:rPr>
          <w:rFonts w:ascii="Arial" w:hAnsi="Arial" w:cs="Arial" w:eastAsia="Arial" w:hint="default"/>
        </w:rPr>
        <w:t>2012</w:t>
      </w:r>
      <w:r>
        <w:rPr/>
        <w:t>年可享受</w:t>
      </w:r>
      <w:r>
        <w:rPr>
          <w:rFonts w:ascii="Arial" w:hAnsi="Arial" w:cs="Arial" w:eastAsia="Arial" w:hint="default"/>
        </w:rPr>
        <w:t>15%</w:t>
      </w:r>
      <w:r>
        <w:rPr/>
        <w:t>的优惠税率。</w:t>
      </w:r>
    </w:p>
    <w:p>
      <w:pPr>
        <w:spacing w:line="240" w:lineRule="auto" w:before="8"/>
        <w:rPr>
          <w:rFonts w:ascii="黑体" w:hAnsi="黑体" w:cs="黑体" w:eastAsia="黑体" w:hint="default"/>
          <w:sz w:val="19"/>
          <w:szCs w:val="19"/>
        </w:rPr>
      </w:pPr>
    </w:p>
    <w:p>
      <w:pPr>
        <w:pStyle w:val="BodyText"/>
        <w:spacing w:line="262" w:lineRule="exact"/>
        <w:ind w:left="809" w:right="299"/>
        <w:jc w:val="both"/>
      </w:pPr>
      <w:r>
        <w:rPr/>
        <w:t>本公司之子公司北京用友华表软件技术有限公司于</w:t>
      </w:r>
      <w:r>
        <w:rPr>
          <w:rFonts w:ascii="Arial" w:hAnsi="Arial" w:cs="Arial" w:eastAsia="Arial" w:hint="default"/>
        </w:rPr>
        <w:t>2011</w:t>
      </w:r>
      <w:r>
        <w:rPr/>
        <w:t>年</w:t>
      </w:r>
      <w:r>
        <w:rPr>
          <w:rFonts w:ascii="Arial" w:hAnsi="Arial" w:cs="Arial" w:eastAsia="Arial" w:hint="default"/>
        </w:rPr>
        <w:t>9</w:t>
      </w:r>
      <w:r>
        <w:rPr/>
        <w:t>月</w:t>
      </w:r>
      <w:r>
        <w:rPr>
          <w:rFonts w:ascii="Arial" w:hAnsi="Arial" w:cs="Arial" w:eastAsia="Arial" w:hint="default"/>
        </w:rPr>
        <w:t>14</w:t>
      </w:r>
      <w:r>
        <w:rPr/>
        <w:t>日取得了有效期为三年的</w:t>
      </w:r>
      <w:r>
        <w:rPr>
          <w:spacing w:val="-95"/>
        </w:rPr>
        <w:t> </w:t>
      </w:r>
      <w:r>
        <w:rPr>
          <w:spacing w:val="-95"/>
        </w:rPr>
      </w:r>
      <w:r>
        <w:rPr/>
        <w:t>高新技术企业证书，证书编号为</w:t>
      </w:r>
      <w:r>
        <w:rPr>
          <w:rFonts w:ascii="Arial" w:hAnsi="Arial" w:cs="Arial" w:eastAsia="Arial" w:hint="default"/>
        </w:rPr>
        <w:t>GF201111000767</w:t>
      </w:r>
      <w:r>
        <w:rPr/>
        <w:t>，</w:t>
      </w:r>
      <w:r>
        <w:rPr>
          <w:rFonts w:ascii="Arial" w:hAnsi="Arial" w:cs="Arial" w:eastAsia="Arial" w:hint="default"/>
        </w:rPr>
        <w:t>2012</w:t>
      </w:r>
      <w:r>
        <w:rPr/>
        <w:t>年可享受</w:t>
      </w:r>
      <w:r>
        <w:rPr>
          <w:rFonts w:ascii="Arial" w:hAnsi="Arial" w:cs="Arial" w:eastAsia="Arial" w:hint="default"/>
        </w:rPr>
        <w:t>15%</w:t>
      </w:r>
      <w:r>
        <w:rPr/>
        <w:t>的优惠税率。</w:t>
      </w:r>
    </w:p>
    <w:p>
      <w:pPr>
        <w:spacing w:line="240" w:lineRule="auto" w:before="8"/>
        <w:rPr>
          <w:rFonts w:ascii="黑体" w:hAnsi="黑体" w:cs="黑体" w:eastAsia="黑体" w:hint="default"/>
          <w:sz w:val="19"/>
          <w:szCs w:val="19"/>
        </w:rPr>
      </w:pPr>
    </w:p>
    <w:p>
      <w:pPr>
        <w:pStyle w:val="BodyText"/>
        <w:spacing w:line="262" w:lineRule="exact"/>
        <w:ind w:left="809" w:right="299"/>
        <w:jc w:val="both"/>
      </w:pPr>
      <w:r>
        <w:rPr>
          <w:spacing w:val="2"/>
        </w:rPr>
        <w:t>本公司之子公司天津用友软件技术有限公司于</w:t>
      </w:r>
      <w:r>
        <w:rPr>
          <w:rFonts w:ascii="Arial" w:hAnsi="Arial" w:cs="Arial" w:eastAsia="Arial" w:hint="default"/>
          <w:spacing w:val="2"/>
        </w:rPr>
        <w:t>2009</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24</w:t>
      </w:r>
      <w:r>
        <w:rPr>
          <w:spacing w:val="2"/>
        </w:rPr>
        <w:t>日取得了有效期为三年的高</w:t>
      </w:r>
      <w:r>
        <w:rPr>
          <w:spacing w:val="2"/>
          <w:w w:val="99"/>
        </w:rPr>
        <w:t> </w:t>
      </w:r>
      <w:r>
        <w:rPr/>
        <w:t>新技术企业证书，证书编号为</w:t>
      </w:r>
      <w:r>
        <w:rPr>
          <w:rFonts w:ascii="Arial" w:hAnsi="Arial" w:cs="Arial" w:eastAsia="Arial" w:hint="default"/>
        </w:rPr>
        <w:t>GR200912000215</w:t>
      </w:r>
      <w:r>
        <w:rPr/>
        <w:t>，</w:t>
      </w:r>
      <w:r>
        <w:rPr>
          <w:rFonts w:ascii="Arial" w:hAnsi="Arial" w:cs="Arial" w:eastAsia="Arial" w:hint="default"/>
        </w:rPr>
        <w:t>2012</w:t>
      </w:r>
      <w:r>
        <w:rPr/>
        <w:t>年可享受</w:t>
      </w:r>
      <w:r>
        <w:rPr>
          <w:rFonts w:ascii="Arial" w:hAnsi="Arial" w:cs="Arial" w:eastAsia="Arial" w:hint="default"/>
        </w:rPr>
        <w:t>15%</w:t>
      </w:r>
      <w:r>
        <w:rPr/>
        <w:t>的优惠税率。</w:t>
      </w:r>
    </w:p>
    <w:p>
      <w:pPr>
        <w:spacing w:line="240" w:lineRule="auto" w:before="8"/>
        <w:rPr>
          <w:rFonts w:ascii="黑体" w:hAnsi="黑体" w:cs="黑体" w:eastAsia="黑体" w:hint="default"/>
          <w:sz w:val="19"/>
          <w:szCs w:val="19"/>
        </w:rPr>
      </w:pPr>
    </w:p>
    <w:p>
      <w:pPr>
        <w:pStyle w:val="BodyText"/>
        <w:spacing w:line="262" w:lineRule="exact"/>
        <w:ind w:left="809" w:right="302"/>
        <w:jc w:val="both"/>
      </w:pPr>
      <w:r>
        <w:rPr>
          <w:spacing w:val="2"/>
        </w:rPr>
        <w:t>本公司之子公司广东用友软件有限公司于</w:t>
      </w:r>
      <w:r>
        <w:rPr>
          <w:rFonts w:ascii="Arial" w:hAnsi="Arial" w:cs="Arial" w:eastAsia="Arial" w:hint="default"/>
          <w:spacing w:val="2"/>
        </w:rPr>
        <w:t>2011</w:t>
      </w:r>
      <w:r>
        <w:rPr>
          <w:spacing w:val="2"/>
        </w:rPr>
        <w:t>年</w:t>
      </w:r>
      <w:r>
        <w:rPr>
          <w:rFonts w:ascii="Arial" w:hAnsi="Arial" w:cs="Arial" w:eastAsia="Arial" w:hint="default"/>
          <w:spacing w:val="2"/>
        </w:rPr>
        <w:t>10</w:t>
      </w:r>
      <w:r>
        <w:rPr>
          <w:spacing w:val="2"/>
        </w:rPr>
        <w:t>月</w:t>
      </w:r>
      <w:r>
        <w:rPr>
          <w:rFonts w:ascii="Arial" w:hAnsi="Arial" w:cs="Arial" w:eastAsia="Arial" w:hint="default"/>
          <w:spacing w:val="2"/>
        </w:rPr>
        <w:t>13</w:t>
      </w:r>
      <w:r>
        <w:rPr>
          <w:spacing w:val="2"/>
        </w:rPr>
        <w:t>日取得了有效期为三年的高新技</w:t>
      </w:r>
      <w:r>
        <w:rPr>
          <w:w w:val="99"/>
        </w:rPr>
        <w:t> </w:t>
      </w:r>
      <w:r>
        <w:rPr/>
        <w:t>术企业证书，证书编号为</w:t>
      </w:r>
      <w:r>
        <w:rPr>
          <w:rFonts w:ascii="Arial" w:hAnsi="Arial" w:cs="Arial" w:eastAsia="Arial" w:hint="default"/>
        </w:rPr>
        <w:t>GF201144000829</w:t>
      </w:r>
      <w:r>
        <w:rPr/>
        <w:t>，</w:t>
      </w:r>
      <w:r>
        <w:rPr>
          <w:rFonts w:ascii="Arial" w:hAnsi="Arial" w:cs="Arial" w:eastAsia="Arial" w:hint="default"/>
        </w:rPr>
        <w:t>2012</w:t>
      </w:r>
      <w:r>
        <w:rPr/>
        <w:t>年可享受</w:t>
      </w:r>
      <w:r>
        <w:rPr>
          <w:rFonts w:ascii="Arial" w:hAnsi="Arial" w:cs="Arial" w:eastAsia="Arial" w:hint="default"/>
        </w:rPr>
        <w:t>15%</w:t>
      </w:r>
      <w:r>
        <w:rPr/>
        <w:t>的优惠税率。</w:t>
      </w:r>
    </w:p>
    <w:p>
      <w:pPr>
        <w:spacing w:line="240" w:lineRule="auto" w:before="8"/>
        <w:rPr>
          <w:rFonts w:ascii="黑体" w:hAnsi="黑体" w:cs="黑体" w:eastAsia="黑体" w:hint="default"/>
          <w:sz w:val="19"/>
          <w:szCs w:val="19"/>
        </w:rPr>
      </w:pPr>
    </w:p>
    <w:p>
      <w:pPr>
        <w:pStyle w:val="BodyText"/>
        <w:spacing w:line="262" w:lineRule="exact"/>
        <w:ind w:left="809" w:right="194"/>
        <w:jc w:val="left"/>
      </w:pPr>
      <w:r>
        <w:rPr>
          <w:w w:val="95"/>
        </w:rPr>
        <w:t>本公司之子公司用友汽车信息科技（上海）有限公司于</w:t>
      </w:r>
      <w:r>
        <w:rPr>
          <w:rFonts w:ascii="Arial" w:hAnsi="Arial" w:cs="Arial" w:eastAsia="Arial" w:hint="default"/>
          <w:w w:val="95"/>
        </w:rPr>
        <w:t>2011</w:t>
      </w:r>
      <w:r>
        <w:rPr>
          <w:w w:val="95"/>
        </w:rPr>
        <w:t>年</w:t>
      </w:r>
      <w:r>
        <w:rPr>
          <w:rFonts w:ascii="Arial" w:hAnsi="Arial" w:cs="Arial" w:eastAsia="Arial" w:hint="default"/>
          <w:w w:val="95"/>
        </w:rPr>
        <w:t>10</w:t>
      </w:r>
      <w:r>
        <w:rPr>
          <w:w w:val="95"/>
        </w:rPr>
        <w:t>月</w:t>
      </w:r>
      <w:r>
        <w:rPr>
          <w:rFonts w:ascii="Arial" w:hAnsi="Arial" w:cs="Arial" w:eastAsia="Arial" w:hint="default"/>
          <w:w w:val="95"/>
        </w:rPr>
        <w:t>20</w:t>
      </w:r>
      <w:r>
        <w:rPr>
          <w:w w:val="95"/>
        </w:rPr>
        <w:t>日取得了有效期为三</w:t>
      </w:r>
      <w:r>
        <w:rPr>
          <w:spacing w:val="2"/>
          <w:w w:val="95"/>
        </w:rPr>
        <w:t> </w:t>
      </w:r>
      <w:r>
        <w:rPr>
          <w:spacing w:val="2"/>
          <w:w w:val="95"/>
        </w:rPr>
      </w:r>
      <w:r>
        <w:rPr/>
        <w:t>年的高新技术企业证书，证书编号为</w:t>
      </w:r>
      <w:r>
        <w:rPr>
          <w:rFonts w:ascii="Arial" w:hAnsi="Arial" w:cs="Arial" w:eastAsia="Arial" w:hint="default"/>
        </w:rPr>
        <w:t>GF201131000368</w:t>
      </w:r>
      <w:r>
        <w:rPr/>
        <w:t>，</w:t>
      </w:r>
      <w:r>
        <w:rPr>
          <w:rFonts w:ascii="Arial" w:hAnsi="Arial" w:cs="Arial" w:eastAsia="Arial" w:hint="default"/>
        </w:rPr>
        <w:t>2012</w:t>
      </w:r>
      <w:r>
        <w:rPr/>
        <w:t>年可享受</w:t>
      </w:r>
      <w:r>
        <w:rPr>
          <w:rFonts w:ascii="Arial" w:hAnsi="Arial" w:cs="Arial" w:eastAsia="Arial" w:hint="default"/>
        </w:rPr>
        <w:t>15%</w:t>
      </w:r>
      <w:r>
        <w:rPr/>
        <w:t>的优惠税率。</w:t>
      </w:r>
    </w:p>
    <w:p>
      <w:pPr>
        <w:spacing w:line="240" w:lineRule="auto" w:before="8"/>
        <w:rPr>
          <w:rFonts w:ascii="黑体" w:hAnsi="黑体" w:cs="黑体" w:eastAsia="黑体" w:hint="default"/>
          <w:sz w:val="19"/>
          <w:szCs w:val="19"/>
        </w:rPr>
      </w:pPr>
    </w:p>
    <w:p>
      <w:pPr>
        <w:pStyle w:val="BodyText"/>
        <w:spacing w:line="262" w:lineRule="exact"/>
        <w:ind w:left="809" w:right="299" w:hanging="1"/>
        <w:jc w:val="both"/>
      </w:pPr>
      <w:r>
        <w:rPr>
          <w:spacing w:val="2"/>
        </w:rPr>
        <w:t>本公司之子公司用友医疗卫生信息系统有限公司于</w:t>
      </w:r>
      <w:r>
        <w:rPr>
          <w:rFonts w:ascii="Arial" w:hAnsi="Arial" w:cs="Arial" w:eastAsia="Arial" w:hint="default"/>
          <w:spacing w:val="2"/>
        </w:rPr>
        <w:t>2011</w:t>
      </w:r>
      <w:r>
        <w:rPr>
          <w:spacing w:val="2"/>
        </w:rPr>
        <w:t>年</w:t>
      </w:r>
      <w:r>
        <w:rPr>
          <w:rFonts w:ascii="Arial" w:hAnsi="Arial" w:cs="Arial" w:eastAsia="Arial" w:hint="default"/>
          <w:spacing w:val="2"/>
        </w:rPr>
        <w:t>11</w:t>
      </w:r>
      <w:r>
        <w:rPr>
          <w:spacing w:val="2"/>
        </w:rPr>
        <w:t>月</w:t>
      </w:r>
      <w:r>
        <w:rPr>
          <w:rFonts w:ascii="Arial" w:hAnsi="Arial" w:cs="Arial" w:eastAsia="Arial" w:hint="default"/>
          <w:spacing w:val="2"/>
        </w:rPr>
        <w:t>21</w:t>
      </w:r>
      <w:r>
        <w:rPr>
          <w:spacing w:val="2"/>
        </w:rPr>
        <w:t>日取得了有效期为三年</w:t>
      </w:r>
      <w:r>
        <w:rPr>
          <w:w w:val="99"/>
        </w:rPr>
        <w:t> </w:t>
      </w:r>
      <w:r>
        <w:rPr/>
        <w:t>的高新技术企业证书，证书编号为</w:t>
      </w:r>
      <w:r>
        <w:rPr>
          <w:rFonts w:ascii="Arial" w:hAnsi="Arial" w:cs="Arial" w:eastAsia="Arial" w:hint="default"/>
        </w:rPr>
        <w:t>GR201111000125</w:t>
      </w:r>
      <w:r>
        <w:rPr/>
        <w:t>，</w:t>
      </w:r>
      <w:r>
        <w:rPr>
          <w:rFonts w:ascii="Arial" w:hAnsi="Arial" w:cs="Arial" w:eastAsia="Arial" w:hint="default"/>
        </w:rPr>
        <w:t>2012</w:t>
      </w:r>
      <w:r>
        <w:rPr/>
        <w:t>年可享受</w:t>
      </w:r>
      <w:r>
        <w:rPr>
          <w:rFonts w:ascii="Arial" w:hAnsi="Arial" w:cs="Arial" w:eastAsia="Arial" w:hint="default"/>
        </w:rPr>
        <w:t>15%</w:t>
      </w:r>
      <w:r>
        <w:rPr/>
        <w:t>的优惠税率。</w:t>
      </w:r>
    </w:p>
    <w:p>
      <w:pPr>
        <w:spacing w:line="240" w:lineRule="auto" w:before="8"/>
        <w:rPr>
          <w:rFonts w:ascii="黑体" w:hAnsi="黑体" w:cs="黑体" w:eastAsia="黑体" w:hint="default"/>
          <w:sz w:val="19"/>
          <w:szCs w:val="19"/>
        </w:rPr>
      </w:pPr>
    </w:p>
    <w:p>
      <w:pPr>
        <w:pStyle w:val="BodyText"/>
        <w:spacing w:line="262" w:lineRule="exact"/>
        <w:ind w:left="809" w:right="194"/>
        <w:jc w:val="left"/>
      </w:pPr>
      <w:r>
        <w:rPr>
          <w:spacing w:val="2"/>
        </w:rPr>
        <w:t>本公司之子公司北京用友审计软件有限公司于</w:t>
      </w:r>
      <w:r>
        <w:rPr>
          <w:rFonts w:ascii="Arial" w:hAnsi="Arial" w:cs="Arial" w:eastAsia="Arial" w:hint="default"/>
          <w:spacing w:val="2"/>
        </w:rPr>
        <w:t>2011</w:t>
      </w:r>
      <w:r>
        <w:rPr>
          <w:spacing w:val="2"/>
        </w:rPr>
        <w:t>年</w:t>
      </w:r>
      <w:r>
        <w:rPr>
          <w:rFonts w:ascii="Arial" w:hAnsi="Arial" w:cs="Arial" w:eastAsia="Arial" w:hint="default"/>
          <w:spacing w:val="2"/>
        </w:rPr>
        <w:t>10</w:t>
      </w:r>
      <w:r>
        <w:rPr>
          <w:spacing w:val="2"/>
        </w:rPr>
        <w:t>月</w:t>
      </w:r>
      <w:r>
        <w:rPr>
          <w:rFonts w:ascii="Arial" w:hAnsi="Arial" w:cs="Arial" w:eastAsia="Arial" w:hint="default"/>
          <w:spacing w:val="2"/>
        </w:rPr>
        <w:t>11</w:t>
      </w:r>
      <w:r>
        <w:rPr>
          <w:spacing w:val="2"/>
        </w:rPr>
        <w:t>日取得了有效期为三年的高</w:t>
      </w:r>
      <w:r>
        <w:rPr>
          <w:spacing w:val="2"/>
          <w:w w:val="99"/>
        </w:rPr>
        <w:t> </w:t>
      </w:r>
      <w:r>
        <w:rPr/>
        <w:t>新技术企业证书，证书编号为</w:t>
      </w:r>
      <w:r>
        <w:rPr>
          <w:rFonts w:ascii="Arial" w:hAnsi="Arial" w:cs="Arial" w:eastAsia="Arial" w:hint="default"/>
        </w:rPr>
        <w:t>GF201111000998</w:t>
      </w:r>
      <w:r>
        <w:rPr/>
        <w:t>，</w:t>
      </w:r>
      <w:r>
        <w:rPr>
          <w:rFonts w:ascii="Arial" w:hAnsi="Arial" w:cs="Arial" w:eastAsia="Arial" w:hint="default"/>
        </w:rPr>
        <w:t>2012</w:t>
      </w:r>
      <w:r>
        <w:rPr/>
        <w:t>年可享受</w:t>
      </w:r>
      <w:r>
        <w:rPr>
          <w:rFonts w:ascii="Arial" w:hAnsi="Arial" w:cs="Arial" w:eastAsia="Arial" w:hint="default"/>
        </w:rPr>
        <w:t>15%</w:t>
      </w:r>
      <w:r>
        <w:rPr/>
        <w:t>的优惠税率。</w:t>
      </w:r>
    </w:p>
    <w:p>
      <w:pPr>
        <w:spacing w:line="240" w:lineRule="auto" w:before="8"/>
        <w:rPr>
          <w:rFonts w:ascii="黑体" w:hAnsi="黑体" w:cs="黑体" w:eastAsia="黑体" w:hint="default"/>
          <w:sz w:val="19"/>
          <w:szCs w:val="19"/>
        </w:rPr>
      </w:pPr>
    </w:p>
    <w:p>
      <w:pPr>
        <w:pStyle w:val="BodyText"/>
        <w:spacing w:line="262" w:lineRule="exact"/>
        <w:ind w:left="809" w:right="100"/>
        <w:jc w:val="left"/>
      </w:pPr>
      <w:r>
        <w:rPr/>
        <w:t>本公司之子公司畅捷通信息技术股份有限公司于</w:t>
      </w:r>
      <w:r>
        <w:rPr>
          <w:rFonts w:ascii="Arial" w:hAnsi="Arial" w:cs="Arial" w:eastAsia="Arial" w:hint="default"/>
        </w:rPr>
        <w:t>2010</w:t>
      </w:r>
      <w:r>
        <w:rPr/>
        <w:t>年</w:t>
      </w:r>
      <w:r>
        <w:rPr>
          <w:rFonts w:ascii="Arial" w:hAnsi="Arial" w:cs="Arial" w:eastAsia="Arial" w:hint="default"/>
        </w:rPr>
        <w:t>5</w:t>
      </w:r>
      <w:r>
        <w:rPr/>
        <w:t>月</w:t>
      </w:r>
      <w:r>
        <w:rPr>
          <w:rFonts w:ascii="Arial" w:hAnsi="Arial" w:cs="Arial" w:eastAsia="Arial" w:hint="default"/>
        </w:rPr>
        <w:t>19</w:t>
      </w:r>
      <w:r>
        <w:rPr/>
        <w:t>日取得了软件企业认定证书，</w:t>
      </w:r>
      <w:r>
        <w:rPr>
          <w:spacing w:val="-95"/>
        </w:rPr>
        <w:t> </w:t>
      </w:r>
      <w:r>
        <w:rPr>
          <w:spacing w:val="-95"/>
        </w:rPr>
      </w:r>
      <w:r>
        <w:rPr/>
        <w:t>证书编号为京</w:t>
      </w:r>
      <w:r>
        <w:rPr>
          <w:rFonts w:ascii="Arial" w:hAnsi="Arial" w:cs="Arial" w:eastAsia="Arial" w:hint="default"/>
        </w:rPr>
        <w:t>R-2010-0178</w:t>
      </w:r>
      <w:r>
        <w:rPr/>
        <w:t>，可自</w:t>
      </w:r>
      <w:r>
        <w:rPr>
          <w:rFonts w:ascii="Arial" w:hAnsi="Arial" w:cs="Arial" w:eastAsia="Arial" w:hint="default"/>
        </w:rPr>
        <w:t>2010</w:t>
      </w:r>
      <w:r>
        <w:rPr/>
        <w:t>年开始享受两免三减半的优惠政策。</w:t>
      </w:r>
    </w:p>
    <w:p>
      <w:pPr>
        <w:spacing w:after="0" w:line="262" w:lineRule="exact"/>
        <w:jc w:val="left"/>
        <w:sectPr>
          <w:pgSz w:w="11910" w:h="16850"/>
          <w:pgMar w:header="957" w:footer="833" w:top="2620" w:bottom="1020" w:left="1600" w:right="1400"/>
        </w:sectPr>
      </w:pPr>
    </w:p>
    <w:p>
      <w:pPr>
        <w:spacing w:line="240" w:lineRule="auto" w:before="7"/>
        <w:rPr>
          <w:rFonts w:ascii="黑体" w:hAnsi="黑体" w:cs="黑体" w:eastAsia="黑体" w:hint="default"/>
          <w:sz w:val="17"/>
          <w:szCs w:val="17"/>
        </w:rPr>
      </w:pPr>
    </w:p>
    <w:p>
      <w:pPr>
        <w:pStyle w:val="Heading6"/>
        <w:spacing w:line="240" w:lineRule="auto"/>
        <w:ind w:left="348" w:right="12932"/>
        <w:jc w:val="left"/>
        <w:rPr>
          <w:b w:val="0"/>
          <w:bCs w:val="0"/>
        </w:rPr>
      </w:pPr>
      <w:r>
        <w:rPr/>
        <w:t>四、合并财务报表的合并范围</w:t>
      </w:r>
      <w:r>
        <w:rPr>
          <w:b w:val="0"/>
          <w:bCs w:val="0"/>
        </w:rPr>
      </w:r>
    </w:p>
    <w:p>
      <w:pPr>
        <w:spacing w:line="240" w:lineRule="auto" w:before="9"/>
        <w:rPr>
          <w:rFonts w:ascii="黑体" w:hAnsi="黑体" w:cs="黑体" w:eastAsia="黑体" w:hint="default"/>
          <w:b/>
          <w:bCs/>
          <w:sz w:val="18"/>
          <w:szCs w:val="18"/>
        </w:rPr>
      </w:pPr>
    </w:p>
    <w:p>
      <w:pPr>
        <w:tabs>
          <w:tab w:pos="796" w:val="left" w:leader="none"/>
        </w:tabs>
        <w:spacing w:line="424" w:lineRule="auto" w:before="0"/>
        <w:ind w:left="347" w:right="12932" w:firstLine="0"/>
        <w:jc w:val="left"/>
        <w:rPr>
          <w:rFonts w:ascii="黑体" w:hAnsi="黑体" w:cs="黑体" w:eastAsia="黑体" w:hint="default"/>
          <w:sz w:val="20"/>
          <w:szCs w:val="20"/>
        </w:rPr>
      </w:pPr>
      <w:r>
        <w:rPr>
          <w:rFonts w:ascii="Arial" w:hAnsi="Arial" w:cs="Arial" w:eastAsia="Arial" w:hint="default"/>
          <w:b/>
          <w:bCs/>
          <w:spacing w:val="-1"/>
          <w:sz w:val="20"/>
          <w:szCs w:val="20"/>
        </w:rPr>
        <w:t>1.</w:t>
        <w:tab/>
      </w:r>
      <w:r>
        <w:rPr>
          <w:rFonts w:ascii="黑体" w:hAnsi="黑体" w:cs="黑体" w:eastAsia="黑体" w:hint="default"/>
          <w:b/>
          <w:bCs/>
          <w:spacing w:val="1"/>
          <w:sz w:val="20"/>
          <w:szCs w:val="20"/>
        </w:rPr>
        <w:t>子公司情况</w:t>
      </w:r>
      <w:r>
        <w:rPr>
          <w:rFonts w:ascii="黑体" w:hAnsi="黑体" w:cs="黑体" w:eastAsia="黑体" w:hint="default"/>
          <w:b/>
          <w:bCs/>
          <w:spacing w:val="2"/>
          <w:w w:val="99"/>
          <w:sz w:val="20"/>
          <w:szCs w:val="20"/>
        </w:rPr>
        <w:t> </w:t>
      </w:r>
      <w:r>
        <w:rPr>
          <w:rFonts w:ascii="黑体" w:hAnsi="黑体" w:cs="黑体" w:eastAsia="黑体" w:hint="default"/>
          <w:sz w:val="20"/>
          <w:szCs w:val="20"/>
        </w:rPr>
        <w:t>本集团重要子公司的情况如下：</w:t>
      </w:r>
    </w:p>
    <w:p>
      <w:pPr>
        <w:spacing w:line="240" w:lineRule="auto" w:before="12"/>
        <w:rPr>
          <w:rFonts w:ascii="黑体" w:hAnsi="黑体" w:cs="黑体" w:eastAsia="黑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786"/>
        <w:gridCol w:w="911"/>
        <w:gridCol w:w="671"/>
        <w:gridCol w:w="616"/>
        <w:gridCol w:w="1526"/>
        <w:gridCol w:w="1115"/>
        <w:gridCol w:w="2857"/>
        <w:gridCol w:w="1444"/>
        <w:gridCol w:w="1227"/>
        <w:gridCol w:w="719"/>
        <w:gridCol w:w="889"/>
        <w:gridCol w:w="1002"/>
        <w:gridCol w:w="1079"/>
      </w:tblGrid>
      <w:tr>
        <w:trPr>
          <w:trHeight w:val="393" w:hRule="exact"/>
        </w:trPr>
        <w:tc>
          <w:tcPr>
            <w:tcW w:w="15842" w:type="dxa"/>
            <w:gridSpan w:val="13"/>
            <w:tcBorders>
              <w:top w:val="nil" w:sz="6" w:space="0" w:color="auto"/>
              <w:left w:val="nil" w:sz="6" w:space="0" w:color="auto"/>
              <w:bottom w:val="nil" w:sz="6" w:space="0" w:color="auto"/>
              <w:right w:val="nil" w:sz="6" w:space="0" w:color="auto"/>
            </w:tcBorders>
          </w:tcPr>
          <w:p>
            <w:pPr>
              <w:pStyle w:val="TableParagraph"/>
              <w:spacing w:line="199" w:lineRule="exact"/>
              <w:ind w:left="228" w:right="0"/>
              <w:jc w:val="left"/>
              <w:rPr>
                <w:rFonts w:ascii="黑体" w:hAnsi="黑体" w:cs="黑体" w:eastAsia="黑体" w:hint="default"/>
                <w:sz w:val="20"/>
                <w:szCs w:val="20"/>
              </w:rPr>
            </w:pPr>
            <w:r>
              <w:rPr>
                <w:rFonts w:ascii="黑体" w:hAnsi="黑体" w:cs="黑体" w:eastAsia="黑体" w:hint="default"/>
                <w:sz w:val="20"/>
                <w:szCs w:val="20"/>
              </w:rPr>
              <w:t>通过设立或投资等方式取得的子公司</w:t>
            </w:r>
          </w:p>
        </w:tc>
      </w:tr>
      <w:tr>
        <w:trPr>
          <w:trHeight w:val="416" w:hRule="exact"/>
        </w:trPr>
        <w:tc>
          <w:tcPr>
            <w:tcW w:w="1786" w:type="dxa"/>
            <w:tcBorders>
              <w:top w:val="nil" w:sz="6" w:space="0" w:color="auto"/>
              <w:left w:val="nil" w:sz="6" w:space="0" w:color="auto"/>
              <w:bottom w:val="nil" w:sz="6" w:space="0" w:color="auto"/>
              <w:right w:val="nil" w:sz="6" w:space="0" w:color="auto"/>
            </w:tcBorders>
          </w:tcPr>
          <w:p>
            <w:pP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07"/>
              <w:jc w:val="right"/>
              <w:rPr>
                <w:rFonts w:ascii="黑体" w:hAnsi="黑体" w:cs="黑体" w:eastAsia="黑体" w:hint="default"/>
                <w:sz w:val="18"/>
                <w:szCs w:val="18"/>
              </w:rPr>
            </w:pPr>
            <w:r>
              <w:rPr>
                <w:rFonts w:ascii="黑体" w:hAnsi="黑体" w:cs="黑体" w:eastAsia="黑体" w:hint="default"/>
                <w:sz w:val="18"/>
                <w:szCs w:val="18"/>
              </w:rPr>
              <w:t>子公司</w:t>
            </w:r>
          </w:p>
        </w:tc>
        <w:tc>
          <w:tcPr>
            <w:tcW w:w="671" w:type="dxa"/>
            <w:tcBorders>
              <w:top w:val="nil" w:sz="6" w:space="0" w:color="auto"/>
              <w:left w:val="nil" w:sz="6" w:space="0" w:color="auto"/>
              <w:bottom w:val="nil" w:sz="6" w:space="0" w:color="auto"/>
              <w:right w:val="nil" w:sz="6" w:space="0" w:color="auto"/>
            </w:tcBorders>
          </w:tcPr>
          <w:p>
            <w:pPr/>
          </w:p>
        </w:tc>
        <w:tc>
          <w:tcPr>
            <w:tcW w:w="616"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25"/>
              <w:jc w:val="right"/>
              <w:rPr>
                <w:rFonts w:ascii="黑体" w:hAnsi="黑体" w:cs="黑体" w:eastAsia="黑体" w:hint="default"/>
                <w:sz w:val="18"/>
                <w:szCs w:val="18"/>
              </w:rPr>
            </w:pPr>
            <w:r>
              <w:rPr>
                <w:rFonts w:ascii="黑体" w:hAnsi="黑体" w:cs="黑体" w:eastAsia="黑体" w:hint="default"/>
                <w:sz w:val="18"/>
                <w:szCs w:val="18"/>
              </w:rPr>
              <w:t>法定</w:t>
            </w:r>
          </w:p>
        </w:tc>
        <w:tc>
          <w:tcPr>
            <w:tcW w:w="1526"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
        </w:tc>
        <w:tc>
          <w:tcPr>
            <w:tcW w:w="2857"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236"/>
              <w:jc w:val="right"/>
              <w:rPr>
                <w:rFonts w:ascii="黑体" w:hAnsi="黑体" w:cs="黑体" w:eastAsia="黑体" w:hint="default"/>
                <w:sz w:val="18"/>
                <w:szCs w:val="18"/>
              </w:rPr>
            </w:pPr>
            <w:r>
              <w:rPr>
                <w:rFonts w:ascii="黑体" w:hAnsi="黑体" w:cs="黑体" w:eastAsia="黑体" w:hint="default"/>
                <w:sz w:val="18"/>
                <w:szCs w:val="18"/>
              </w:rPr>
              <w:t>组织机构</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86"/>
              <w:jc w:val="right"/>
              <w:rPr>
                <w:rFonts w:ascii="黑体" w:hAnsi="黑体" w:cs="黑体" w:eastAsia="黑体" w:hint="default"/>
                <w:sz w:val="18"/>
                <w:szCs w:val="18"/>
              </w:rPr>
            </w:pPr>
            <w:r>
              <w:rPr>
                <w:rFonts w:ascii="黑体" w:hAnsi="黑体" w:cs="黑体" w:eastAsia="黑体" w:hint="default"/>
                <w:sz w:val="18"/>
                <w:szCs w:val="18"/>
              </w:rPr>
              <w:t>年末实际</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70"/>
              <w:jc w:val="right"/>
              <w:rPr>
                <w:rFonts w:ascii="黑体" w:hAnsi="黑体" w:cs="黑体" w:eastAsia="黑体" w:hint="default"/>
                <w:sz w:val="18"/>
                <w:szCs w:val="18"/>
              </w:rPr>
            </w:pPr>
            <w:r>
              <w:rPr>
                <w:rFonts w:ascii="黑体" w:hAnsi="黑体" w:cs="黑体" w:eastAsia="黑体" w:hint="default"/>
                <w:sz w:val="18"/>
                <w:szCs w:val="18"/>
              </w:rPr>
              <w:t>持股</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76"/>
              <w:jc w:val="right"/>
              <w:rPr>
                <w:rFonts w:ascii="黑体" w:hAnsi="黑体" w:cs="黑体" w:eastAsia="黑体" w:hint="default"/>
                <w:sz w:val="18"/>
                <w:szCs w:val="18"/>
              </w:rPr>
            </w:pPr>
            <w:r>
              <w:rPr>
                <w:rFonts w:ascii="黑体" w:hAnsi="黑体" w:cs="黑体" w:eastAsia="黑体" w:hint="default"/>
                <w:sz w:val="18"/>
                <w:szCs w:val="18"/>
              </w:rPr>
              <w:t>表决权</w:t>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03"/>
              <w:jc w:val="right"/>
              <w:rPr>
                <w:rFonts w:ascii="黑体" w:hAnsi="黑体" w:cs="黑体" w:eastAsia="黑体" w:hint="default"/>
                <w:sz w:val="18"/>
                <w:szCs w:val="18"/>
              </w:rPr>
            </w:pPr>
            <w:r>
              <w:rPr>
                <w:rFonts w:ascii="黑体" w:hAnsi="黑体" w:cs="黑体" w:eastAsia="黑体" w:hint="default"/>
                <w:sz w:val="18"/>
                <w:szCs w:val="18"/>
              </w:rPr>
              <w:t>是否</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201"/>
              <w:jc w:val="right"/>
              <w:rPr>
                <w:rFonts w:ascii="黑体" w:hAnsi="黑体" w:cs="黑体" w:eastAsia="黑体" w:hint="default"/>
                <w:sz w:val="18"/>
                <w:szCs w:val="18"/>
              </w:rPr>
            </w:pPr>
            <w:r>
              <w:rPr>
                <w:rFonts w:ascii="黑体" w:hAnsi="黑体" w:cs="黑体" w:eastAsia="黑体" w:hint="default"/>
                <w:sz w:val="18"/>
                <w:szCs w:val="18"/>
              </w:rPr>
              <w:t>少数股东</w:t>
            </w:r>
          </w:p>
        </w:tc>
      </w:tr>
      <w:tr>
        <w:trPr>
          <w:trHeight w:val="303" w:hRule="exact"/>
        </w:trPr>
        <w:tc>
          <w:tcPr>
            <w:tcW w:w="1786" w:type="dxa"/>
            <w:tcBorders>
              <w:top w:val="nil" w:sz="6" w:space="0" w:color="auto"/>
              <w:left w:val="nil" w:sz="6" w:space="0" w:color="auto"/>
              <w:bottom w:val="nil" w:sz="6" w:space="0" w:color="auto"/>
              <w:right w:val="nil" w:sz="6" w:space="0" w:color="auto"/>
            </w:tcBorders>
          </w:tcPr>
          <w:p>
            <w:pPr>
              <w:pStyle w:val="TableParagraph"/>
              <w:spacing w:line="222" w:lineRule="exact"/>
              <w:ind w:left="387" w:right="0"/>
              <w:jc w:val="left"/>
              <w:rPr>
                <w:rFonts w:ascii="黑体" w:hAnsi="黑体" w:cs="黑体" w:eastAsia="黑体" w:hint="default"/>
                <w:sz w:val="18"/>
                <w:szCs w:val="18"/>
              </w:rPr>
            </w:pPr>
            <w:r>
              <w:rPr>
                <w:rFonts w:ascii="黑体" w:hAnsi="黑体" w:cs="黑体" w:eastAsia="黑体" w:hint="default"/>
                <w:sz w:val="18"/>
                <w:szCs w:val="18"/>
              </w:rPr>
              <w:t>被投资单位名称</w:t>
            </w:r>
          </w:p>
        </w:tc>
        <w:tc>
          <w:tcPr>
            <w:tcW w:w="911" w:type="dxa"/>
            <w:tcBorders>
              <w:top w:val="nil" w:sz="6" w:space="0" w:color="auto"/>
              <w:left w:val="nil" w:sz="6" w:space="0" w:color="auto"/>
              <w:bottom w:val="nil" w:sz="6" w:space="0" w:color="auto"/>
              <w:right w:val="nil" w:sz="6" w:space="0" w:color="auto"/>
            </w:tcBorders>
          </w:tcPr>
          <w:p>
            <w:pPr>
              <w:pStyle w:val="TableParagraph"/>
              <w:spacing w:line="222" w:lineRule="exact"/>
              <w:ind w:right="107"/>
              <w:jc w:val="right"/>
              <w:rPr>
                <w:rFonts w:ascii="黑体" w:hAnsi="黑体" w:cs="黑体" w:eastAsia="黑体" w:hint="default"/>
                <w:sz w:val="18"/>
                <w:szCs w:val="18"/>
              </w:rPr>
            </w:pPr>
            <w:r>
              <w:rPr>
                <w:rFonts w:ascii="黑体" w:hAnsi="黑体" w:cs="黑体" w:eastAsia="黑体" w:hint="default"/>
                <w:sz w:val="18"/>
                <w:szCs w:val="18"/>
              </w:rPr>
              <w:t>类型</w:t>
            </w:r>
          </w:p>
        </w:tc>
        <w:tc>
          <w:tcPr>
            <w:tcW w:w="671" w:type="dxa"/>
            <w:tcBorders>
              <w:top w:val="nil" w:sz="6" w:space="0" w:color="auto"/>
              <w:left w:val="nil" w:sz="6" w:space="0" w:color="auto"/>
              <w:bottom w:val="nil" w:sz="6" w:space="0" w:color="auto"/>
              <w:right w:val="nil" w:sz="6" w:space="0" w:color="auto"/>
            </w:tcBorders>
          </w:tcPr>
          <w:p>
            <w:pPr>
              <w:pStyle w:val="TableParagraph"/>
              <w:spacing w:line="222" w:lineRule="exact"/>
              <w:ind w:left="34" w:right="0"/>
              <w:jc w:val="center"/>
              <w:rPr>
                <w:rFonts w:ascii="黑体" w:hAnsi="黑体" w:cs="黑体" w:eastAsia="黑体" w:hint="default"/>
                <w:sz w:val="18"/>
                <w:szCs w:val="18"/>
              </w:rPr>
            </w:pPr>
            <w:r>
              <w:rPr>
                <w:rFonts w:ascii="黑体" w:hAnsi="黑体" w:cs="黑体" w:eastAsia="黑体" w:hint="default"/>
                <w:sz w:val="18"/>
                <w:szCs w:val="18"/>
              </w:rPr>
              <w:t>注册地</w:t>
            </w:r>
          </w:p>
        </w:tc>
        <w:tc>
          <w:tcPr>
            <w:tcW w:w="616" w:type="dxa"/>
            <w:tcBorders>
              <w:top w:val="nil" w:sz="6" w:space="0" w:color="auto"/>
              <w:left w:val="nil" w:sz="6" w:space="0" w:color="auto"/>
              <w:bottom w:val="nil" w:sz="6" w:space="0" w:color="auto"/>
              <w:right w:val="nil" w:sz="6" w:space="0" w:color="auto"/>
            </w:tcBorders>
          </w:tcPr>
          <w:p>
            <w:pPr>
              <w:pStyle w:val="TableParagraph"/>
              <w:spacing w:line="222" w:lineRule="exact"/>
              <w:ind w:right="25"/>
              <w:jc w:val="right"/>
              <w:rPr>
                <w:rFonts w:ascii="黑体" w:hAnsi="黑体" w:cs="黑体" w:eastAsia="黑体" w:hint="default"/>
                <w:sz w:val="18"/>
                <w:szCs w:val="18"/>
              </w:rPr>
            </w:pPr>
            <w:r>
              <w:rPr>
                <w:rFonts w:ascii="黑体" w:hAnsi="黑体" w:cs="黑体" w:eastAsia="黑体" w:hint="default"/>
                <w:sz w:val="18"/>
                <w:szCs w:val="18"/>
              </w:rPr>
              <w:t>代表人</w:t>
            </w:r>
          </w:p>
        </w:tc>
        <w:tc>
          <w:tcPr>
            <w:tcW w:w="1526" w:type="dxa"/>
            <w:tcBorders>
              <w:top w:val="nil" w:sz="6" w:space="0" w:color="auto"/>
              <w:left w:val="nil" w:sz="6" w:space="0" w:color="auto"/>
              <w:bottom w:val="nil" w:sz="6" w:space="0" w:color="auto"/>
              <w:right w:val="nil" w:sz="6" w:space="0" w:color="auto"/>
            </w:tcBorders>
          </w:tcPr>
          <w:p>
            <w:pPr>
              <w:pStyle w:val="TableParagraph"/>
              <w:spacing w:line="222" w:lineRule="exact"/>
              <w:ind w:right="246"/>
              <w:jc w:val="right"/>
              <w:rPr>
                <w:rFonts w:ascii="黑体" w:hAnsi="黑体" w:cs="黑体" w:eastAsia="黑体" w:hint="default"/>
                <w:sz w:val="18"/>
                <w:szCs w:val="18"/>
              </w:rPr>
            </w:pPr>
            <w:r>
              <w:rPr>
                <w:rFonts w:ascii="黑体" w:hAnsi="黑体" w:cs="黑体" w:eastAsia="黑体" w:hint="default"/>
                <w:sz w:val="18"/>
                <w:szCs w:val="18"/>
              </w:rPr>
              <w:t>业务性质</w:t>
            </w:r>
          </w:p>
        </w:tc>
        <w:tc>
          <w:tcPr>
            <w:tcW w:w="1115" w:type="dxa"/>
            <w:tcBorders>
              <w:top w:val="nil" w:sz="6" w:space="0" w:color="auto"/>
              <w:left w:val="nil" w:sz="6" w:space="0" w:color="auto"/>
              <w:bottom w:val="nil" w:sz="6" w:space="0" w:color="auto"/>
              <w:right w:val="nil" w:sz="6" w:space="0" w:color="auto"/>
            </w:tcBorders>
          </w:tcPr>
          <w:p>
            <w:pPr>
              <w:pStyle w:val="TableParagraph"/>
              <w:spacing w:line="222" w:lineRule="exact"/>
              <w:ind w:left="145" w:right="0"/>
              <w:jc w:val="center"/>
              <w:rPr>
                <w:rFonts w:ascii="黑体" w:hAnsi="黑体" w:cs="黑体" w:eastAsia="黑体" w:hint="default"/>
                <w:sz w:val="18"/>
                <w:szCs w:val="18"/>
              </w:rPr>
            </w:pPr>
            <w:r>
              <w:rPr>
                <w:rFonts w:ascii="黑体" w:hAnsi="黑体" w:cs="黑体" w:eastAsia="黑体" w:hint="default"/>
                <w:sz w:val="18"/>
                <w:szCs w:val="18"/>
              </w:rPr>
              <w:t>注册资本</w:t>
            </w:r>
          </w:p>
        </w:tc>
        <w:tc>
          <w:tcPr>
            <w:tcW w:w="2857" w:type="dxa"/>
            <w:tcBorders>
              <w:top w:val="nil" w:sz="6" w:space="0" w:color="auto"/>
              <w:left w:val="nil" w:sz="6" w:space="0" w:color="auto"/>
              <w:bottom w:val="nil" w:sz="6" w:space="0" w:color="auto"/>
              <w:right w:val="nil" w:sz="6" w:space="0" w:color="auto"/>
            </w:tcBorders>
          </w:tcPr>
          <w:p>
            <w:pPr>
              <w:pStyle w:val="TableParagraph"/>
              <w:spacing w:line="222" w:lineRule="exact"/>
              <w:ind w:left="1799" w:right="0"/>
              <w:jc w:val="left"/>
              <w:rPr>
                <w:rFonts w:ascii="黑体" w:hAnsi="黑体" w:cs="黑体" w:eastAsia="黑体" w:hint="default"/>
                <w:sz w:val="18"/>
                <w:szCs w:val="18"/>
              </w:rPr>
            </w:pPr>
            <w:r>
              <w:rPr>
                <w:rFonts w:ascii="黑体" w:hAnsi="黑体" w:cs="黑体" w:eastAsia="黑体" w:hint="default"/>
                <w:sz w:val="18"/>
                <w:szCs w:val="18"/>
              </w:rPr>
              <w:t>经营范围</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36"/>
              <w:jc w:val="right"/>
              <w:rPr>
                <w:rFonts w:ascii="黑体" w:hAnsi="黑体" w:cs="黑体" w:eastAsia="黑体" w:hint="default"/>
                <w:sz w:val="18"/>
                <w:szCs w:val="18"/>
              </w:rPr>
            </w:pPr>
            <w:r>
              <w:rPr>
                <w:rFonts w:ascii="黑体" w:hAnsi="黑体" w:cs="黑体" w:eastAsia="黑体" w:hint="default"/>
                <w:sz w:val="18"/>
                <w:szCs w:val="18"/>
              </w:rPr>
              <w:t>代码</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86"/>
              <w:jc w:val="right"/>
              <w:rPr>
                <w:rFonts w:ascii="黑体" w:hAnsi="黑体" w:cs="黑体" w:eastAsia="黑体" w:hint="default"/>
                <w:sz w:val="18"/>
                <w:szCs w:val="18"/>
              </w:rPr>
            </w:pPr>
            <w:r>
              <w:rPr>
                <w:rFonts w:ascii="黑体" w:hAnsi="黑体" w:cs="黑体" w:eastAsia="黑体" w:hint="default"/>
                <w:sz w:val="18"/>
                <w:szCs w:val="18"/>
              </w:rPr>
              <w:t>出资额</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70"/>
              <w:jc w:val="right"/>
              <w:rPr>
                <w:rFonts w:ascii="黑体" w:hAnsi="黑体" w:cs="黑体" w:eastAsia="黑体" w:hint="default"/>
                <w:sz w:val="18"/>
                <w:szCs w:val="18"/>
              </w:rPr>
            </w:pPr>
            <w:r>
              <w:rPr>
                <w:rFonts w:ascii="黑体" w:hAnsi="黑体" w:cs="黑体" w:eastAsia="黑体" w:hint="default"/>
                <w:sz w:val="18"/>
                <w:szCs w:val="18"/>
              </w:rPr>
              <w:t>比例</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76"/>
              <w:jc w:val="right"/>
              <w:rPr>
                <w:rFonts w:ascii="黑体" w:hAnsi="黑体" w:cs="黑体" w:eastAsia="黑体" w:hint="default"/>
                <w:sz w:val="18"/>
                <w:szCs w:val="18"/>
              </w:rPr>
            </w:pPr>
            <w:r>
              <w:rPr>
                <w:rFonts w:ascii="黑体" w:hAnsi="黑体" w:cs="黑体" w:eastAsia="黑体" w:hint="default"/>
                <w:sz w:val="18"/>
                <w:szCs w:val="18"/>
              </w:rPr>
              <w:t>比例</w:t>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3"/>
              <w:jc w:val="right"/>
              <w:rPr>
                <w:rFonts w:ascii="黑体" w:hAnsi="黑体" w:cs="黑体" w:eastAsia="黑体" w:hint="default"/>
                <w:sz w:val="18"/>
                <w:szCs w:val="18"/>
              </w:rPr>
            </w:pPr>
            <w:r>
              <w:rPr>
                <w:rFonts w:ascii="黑体" w:hAnsi="黑体" w:cs="黑体" w:eastAsia="黑体" w:hint="default"/>
                <w:sz w:val="18"/>
                <w:szCs w:val="18"/>
              </w:rPr>
              <w:t>合并报表</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01"/>
              <w:jc w:val="right"/>
              <w:rPr>
                <w:rFonts w:ascii="黑体" w:hAnsi="黑体" w:cs="黑体" w:eastAsia="黑体" w:hint="default"/>
                <w:sz w:val="18"/>
                <w:szCs w:val="18"/>
              </w:rPr>
            </w:pPr>
            <w:r>
              <w:rPr>
                <w:rFonts w:ascii="黑体" w:hAnsi="黑体" w:cs="黑体" w:eastAsia="黑体" w:hint="default"/>
                <w:sz w:val="18"/>
                <w:szCs w:val="18"/>
              </w:rPr>
              <w:t>权益</w:t>
            </w:r>
          </w:p>
        </w:tc>
      </w:tr>
      <w:tr>
        <w:trPr>
          <w:trHeight w:val="402" w:hRule="exact"/>
        </w:trPr>
        <w:tc>
          <w:tcPr>
            <w:tcW w:w="1786" w:type="dxa"/>
            <w:tcBorders>
              <w:top w:val="nil" w:sz="6" w:space="0" w:color="auto"/>
              <w:left w:val="nil" w:sz="6" w:space="0" w:color="auto"/>
              <w:bottom w:val="nil" w:sz="6" w:space="0" w:color="auto"/>
              <w:right w:val="nil" w:sz="6" w:space="0" w:color="auto"/>
            </w:tcBorders>
          </w:tcPr>
          <w:p>
            <w:pPr/>
          </w:p>
        </w:tc>
        <w:tc>
          <w:tcPr>
            <w:tcW w:w="911" w:type="dxa"/>
            <w:tcBorders>
              <w:top w:val="nil" w:sz="6" w:space="0" w:color="auto"/>
              <w:left w:val="nil" w:sz="6" w:space="0" w:color="auto"/>
              <w:bottom w:val="nil" w:sz="6" w:space="0" w:color="auto"/>
              <w:right w:val="nil" w:sz="6" w:space="0" w:color="auto"/>
            </w:tcBorders>
          </w:tcPr>
          <w:p>
            <w:pPr/>
          </w:p>
        </w:tc>
        <w:tc>
          <w:tcPr>
            <w:tcW w:w="671" w:type="dxa"/>
            <w:tcBorders>
              <w:top w:val="nil" w:sz="6" w:space="0" w:color="auto"/>
              <w:left w:val="nil" w:sz="6" w:space="0" w:color="auto"/>
              <w:bottom w:val="nil" w:sz="6" w:space="0" w:color="auto"/>
              <w:right w:val="nil" w:sz="6" w:space="0" w:color="auto"/>
            </w:tcBorders>
          </w:tcPr>
          <w:p>
            <w:pPr/>
          </w:p>
        </w:tc>
        <w:tc>
          <w:tcPr>
            <w:tcW w:w="616"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
        </w:tc>
        <w:tc>
          <w:tcPr>
            <w:tcW w:w="2857"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nil" w:sz="6" w:space="0" w:color="auto"/>
              <w:right w:val="nil" w:sz="6" w:space="0" w:color="auto"/>
            </w:tcBorders>
          </w:tcPr>
          <w:p>
            <w:pPr/>
          </w:p>
        </w:tc>
        <w:tc>
          <w:tcPr>
            <w:tcW w:w="1227" w:type="dxa"/>
            <w:tcBorders>
              <w:top w:val="nil" w:sz="6" w:space="0" w:color="auto"/>
              <w:left w:val="nil" w:sz="6" w:space="0" w:color="auto"/>
              <w:bottom w:val="nil" w:sz="6" w:space="0" w:color="auto"/>
              <w:right w:val="nil" w:sz="6" w:space="0" w:color="auto"/>
            </w:tcBorders>
          </w:tcPr>
          <w:p>
            <w:pP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0"/>
              <w:jc w:val="right"/>
              <w:rPr>
                <w:rFonts w:ascii="Arial" w:hAnsi="Arial" w:cs="Arial" w:eastAsia="Arial" w:hint="default"/>
                <w:sz w:val="18"/>
                <w:szCs w:val="18"/>
              </w:rPr>
            </w:pPr>
            <w:r>
              <w:rPr>
                <w:rFonts w:ascii="Arial"/>
                <w:w w:val="95"/>
                <w:sz w:val="18"/>
              </w:rPr>
              <w:t>(%)</w:t>
            </w:r>
            <w:r>
              <w:rPr>
                <w:rFonts w:ascii="Arial"/>
                <w:sz w:val="18"/>
              </w:rPr>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6"/>
              <w:jc w:val="right"/>
              <w:rPr>
                <w:rFonts w:ascii="Arial" w:hAnsi="Arial" w:cs="Arial" w:eastAsia="Arial" w:hint="default"/>
                <w:sz w:val="18"/>
                <w:szCs w:val="18"/>
              </w:rPr>
            </w:pPr>
            <w:r>
              <w:rPr>
                <w:rFonts w:ascii="Arial"/>
                <w:w w:val="95"/>
                <w:sz w:val="18"/>
              </w:rPr>
              <w:t>(%)</w:t>
            </w:r>
            <w:r>
              <w:rPr>
                <w:rFonts w:ascii="Arial"/>
                <w:sz w:val="18"/>
              </w:rPr>
            </w:r>
          </w:p>
        </w:tc>
        <w:tc>
          <w:tcPr>
            <w:tcW w:w="1002"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
        </w:tc>
      </w:tr>
      <w:tr>
        <w:trPr>
          <w:trHeight w:val="1202" w:hRule="exact"/>
        </w:trPr>
        <w:tc>
          <w:tcPr>
            <w:tcW w:w="1786" w:type="dxa"/>
            <w:tcBorders>
              <w:top w:val="nil" w:sz="6" w:space="0" w:color="auto"/>
              <w:left w:val="nil" w:sz="6" w:space="0" w:color="auto"/>
              <w:bottom w:val="nil" w:sz="6" w:space="0" w:color="auto"/>
              <w:right w:val="nil" w:sz="6" w:space="0" w:color="auto"/>
            </w:tcBorders>
          </w:tcPr>
          <w:p>
            <w:pPr>
              <w:pStyle w:val="TableParagraph"/>
              <w:spacing w:line="232" w:lineRule="auto" w:before="120"/>
              <w:ind w:left="367" w:right="106" w:hanging="168"/>
              <w:jc w:val="both"/>
              <w:rPr>
                <w:rFonts w:ascii="Arial" w:hAnsi="Arial" w:cs="Arial" w:eastAsia="Arial" w:hint="default"/>
                <w:sz w:val="18"/>
                <w:szCs w:val="18"/>
              </w:rPr>
            </w:pPr>
            <w:r>
              <w:rPr>
                <w:rFonts w:ascii="黑体" w:hAnsi="黑体" w:cs="黑体" w:eastAsia="黑体" w:hint="default"/>
                <w:sz w:val="18"/>
                <w:szCs w:val="18"/>
              </w:rPr>
              <w:t>重庆用友软件有限</w:t>
            </w:r>
            <w:r>
              <w:rPr>
                <w:rFonts w:ascii="黑体" w:hAnsi="黑体" w:cs="黑体" w:eastAsia="黑体" w:hint="default"/>
                <w:spacing w:val="-75"/>
                <w:sz w:val="18"/>
                <w:szCs w:val="18"/>
              </w:rPr>
              <w:t> </w:t>
            </w:r>
            <w:r>
              <w:rPr>
                <w:rFonts w:ascii="黑体" w:hAnsi="黑体" w:cs="黑体" w:eastAsia="黑体" w:hint="default"/>
                <w:spacing w:val="11"/>
                <w:sz w:val="18"/>
                <w:szCs w:val="18"/>
              </w:rPr>
              <w:t>公司</w:t>
            </w:r>
            <w:r>
              <w:rPr>
                <w:rFonts w:ascii="黑体" w:hAnsi="黑体" w:cs="黑体" w:eastAsia="黑体" w:hint="default"/>
                <w:spacing w:val="-67"/>
                <w:sz w:val="18"/>
                <w:szCs w:val="18"/>
              </w:rPr>
              <w:t> </w:t>
            </w:r>
            <w:r>
              <w:rPr>
                <w:rFonts w:ascii="Arial" w:hAnsi="Arial" w:cs="Arial" w:eastAsia="Arial" w:hint="default"/>
                <w:sz w:val="18"/>
                <w:szCs w:val="18"/>
              </w:rPr>
              <w:t>(</w:t>
            </w:r>
            <w:r>
              <w:rPr>
                <w:rFonts w:ascii="Arial" w:hAnsi="Arial" w:cs="Arial" w:eastAsia="Arial" w:hint="default"/>
                <w:spacing w:val="-26"/>
                <w:sz w:val="18"/>
                <w:szCs w:val="18"/>
              </w:rPr>
              <w:t> </w:t>
            </w:r>
            <w:r>
              <w:rPr>
                <w:rFonts w:ascii="黑体" w:hAnsi="黑体" w:cs="黑体" w:eastAsia="黑体" w:hint="default"/>
                <w:spacing w:val="11"/>
                <w:sz w:val="18"/>
                <w:szCs w:val="18"/>
              </w:rPr>
              <w:t>以下</w:t>
            </w:r>
            <w:r>
              <w:rPr>
                <w:rFonts w:ascii="黑体" w:hAnsi="黑体" w:cs="黑体" w:eastAsia="黑体" w:hint="default"/>
                <w:spacing w:val="-64"/>
                <w:sz w:val="18"/>
                <w:szCs w:val="18"/>
              </w:rPr>
              <w:t> </w:t>
            </w:r>
            <w:r>
              <w:rPr>
                <w:rFonts w:ascii="黑体" w:hAnsi="黑体" w:cs="黑体" w:eastAsia="黑体" w:hint="default"/>
                <w:spacing w:val="11"/>
                <w:sz w:val="18"/>
                <w:szCs w:val="18"/>
              </w:rPr>
              <w:t>简称</w:t>
            </w:r>
            <w:r>
              <w:rPr>
                <w:rFonts w:ascii="黑体" w:hAnsi="黑体" w:cs="黑体" w:eastAsia="黑体" w:hint="default"/>
                <w:spacing w:val="-67"/>
                <w:sz w:val="18"/>
                <w:szCs w:val="18"/>
              </w:rPr>
              <w:t> </w:t>
            </w:r>
            <w:r>
              <w:rPr>
                <w:rFonts w:ascii="Arial" w:hAnsi="Arial" w:cs="Arial" w:eastAsia="Arial" w:hint="default"/>
                <w:sz w:val="18"/>
                <w:szCs w:val="18"/>
              </w:rPr>
              <w:t>“</w:t>
            </w:r>
            <w:r>
              <w:rPr>
                <w:rFonts w:ascii="黑体" w:hAnsi="黑体" w:cs="黑体" w:eastAsia="黑体" w:hint="default"/>
                <w:sz w:val="18"/>
                <w:szCs w:val="18"/>
              </w:rPr>
              <w:t>重庆用友</w:t>
            </w:r>
            <w:r>
              <w:rPr>
                <w:rFonts w:ascii="Arial" w:hAnsi="Arial" w:cs="Arial" w:eastAsia="Arial" w:hint="default"/>
                <w:sz w:val="18"/>
                <w:szCs w:val="18"/>
              </w:rPr>
              <w:t>”)</w:t>
            </w:r>
          </w:p>
        </w:tc>
        <w:tc>
          <w:tcPr>
            <w:tcW w:w="911" w:type="dxa"/>
            <w:tcBorders>
              <w:top w:val="nil" w:sz="6" w:space="0" w:color="auto"/>
              <w:left w:val="nil" w:sz="6" w:space="0" w:color="auto"/>
              <w:bottom w:val="nil" w:sz="6" w:space="0" w:color="auto"/>
              <w:right w:val="nil" w:sz="6" w:space="0" w:color="auto"/>
            </w:tcBorders>
          </w:tcPr>
          <w:p>
            <w:pPr>
              <w:pStyle w:val="TableParagraph"/>
              <w:spacing w:line="232" w:lineRule="exact" w:before="139"/>
              <w:ind w:left="288" w:right="80" w:hanging="180"/>
              <w:jc w:val="left"/>
              <w:rPr>
                <w:rFonts w:ascii="黑体" w:hAnsi="黑体" w:cs="黑体" w:eastAsia="黑体" w:hint="default"/>
                <w:sz w:val="18"/>
                <w:szCs w:val="18"/>
              </w:rPr>
            </w:pPr>
            <w:r>
              <w:rPr>
                <w:rFonts w:ascii="黑体" w:hAnsi="黑体" w:cs="黑体" w:eastAsia="黑体" w:hint="default"/>
                <w:sz w:val="18"/>
                <w:szCs w:val="18"/>
              </w:rPr>
              <w:t>有限责任 公司</w:t>
            </w:r>
          </w:p>
        </w:tc>
        <w:tc>
          <w:tcPr>
            <w:tcW w:w="671"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34" w:right="0"/>
              <w:jc w:val="center"/>
              <w:rPr>
                <w:rFonts w:ascii="黑体" w:hAnsi="黑体" w:cs="黑体" w:eastAsia="黑体" w:hint="default"/>
                <w:sz w:val="18"/>
                <w:szCs w:val="18"/>
              </w:rPr>
            </w:pPr>
            <w:r>
              <w:rPr>
                <w:rFonts w:ascii="黑体" w:hAnsi="黑体" w:cs="黑体" w:eastAsia="黑体" w:hint="default"/>
                <w:sz w:val="18"/>
                <w:szCs w:val="18"/>
              </w:rPr>
              <w:t>重庆市</w:t>
            </w:r>
          </w:p>
        </w:tc>
        <w:tc>
          <w:tcPr>
            <w:tcW w:w="61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5"/>
              <w:jc w:val="right"/>
              <w:rPr>
                <w:rFonts w:ascii="黑体" w:hAnsi="黑体" w:cs="黑体" w:eastAsia="黑体" w:hint="default"/>
                <w:sz w:val="18"/>
                <w:szCs w:val="18"/>
              </w:rPr>
            </w:pPr>
            <w:r>
              <w:rPr>
                <w:rFonts w:ascii="黑体" w:hAnsi="黑体" w:cs="黑体" w:eastAsia="黑体" w:hint="default"/>
                <w:sz w:val="18"/>
                <w:szCs w:val="18"/>
              </w:rPr>
              <w:t>王文京</w:t>
            </w:r>
          </w:p>
        </w:tc>
        <w:tc>
          <w:tcPr>
            <w:tcW w:w="1526" w:type="dxa"/>
            <w:tcBorders>
              <w:top w:val="nil" w:sz="6" w:space="0" w:color="auto"/>
              <w:left w:val="nil" w:sz="6" w:space="0" w:color="auto"/>
              <w:bottom w:val="nil" w:sz="6" w:space="0" w:color="auto"/>
              <w:right w:val="nil" w:sz="6" w:space="0" w:color="auto"/>
            </w:tcBorders>
          </w:tcPr>
          <w:p>
            <w:pPr>
              <w:pStyle w:val="TableParagraph"/>
              <w:spacing w:line="232" w:lineRule="exact" w:before="138"/>
              <w:ind w:left="27" w:right="236"/>
              <w:jc w:val="left"/>
              <w:rPr>
                <w:rFonts w:ascii="黑体" w:hAnsi="黑体" w:cs="黑体" w:eastAsia="黑体" w:hint="default"/>
                <w:sz w:val="18"/>
                <w:szCs w:val="18"/>
              </w:rPr>
            </w:pPr>
            <w:r>
              <w:rPr>
                <w:rFonts w:ascii="黑体" w:hAnsi="黑体" w:cs="黑体" w:eastAsia="黑体" w:hint="default"/>
                <w:sz w:val="18"/>
                <w:szCs w:val="18"/>
              </w:rPr>
              <w:t>计算机软、硬件 行业</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217" w:right="0"/>
              <w:jc w:val="center"/>
              <w:rPr>
                <w:rFonts w:ascii="Arial" w:hAnsi="Arial" w:cs="Arial" w:eastAsia="Arial" w:hint="default"/>
                <w:sz w:val="18"/>
                <w:szCs w:val="18"/>
              </w:rPr>
            </w:pPr>
            <w:r>
              <w:rPr>
                <w:rFonts w:ascii="Arial"/>
                <w:sz w:val="18"/>
              </w:rPr>
              <w:t>800,000</w:t>
            </w:r>
          </w:p>
        </w:tc>
        <w:tc>
          <w:tcPr>
            <w:tcW w:w="2857" w:type="dxa"/>
            <w:tcBorders>
              <w:top w:val="nil" w:sz="6" w:space="0" w:color="auto"/>
              <w:left w:val="nil" w:sz="6" w:space="0" w:color="auto"/>
              <w:bottom w:val="nil" w:sz="6" w:space="0" w:color="auto"/>
              <w:right w:val="nil" w:sz="6" w:space="0" w:color="auto"/>
            </w:tcBorders>
          </w:tcPr>
          <w:p>
            <w:pPr>
              <w:pStyle w:val="TableParagraph"/>
              <w:spacing w:line="237" w:lineRule="auto" w:before="116"/>
              <w:ind w:left="122" w:right="329"/>
              <w:jc w:val="both"/>
              <w:rPr>
                <w:rFonts w:ascii="黑体" w:hAnsi="黑体" w:cs="黑体" w:eastAsia="黑体" w:hint="default"/>
                <w:sz w:val="18"/>
                <w:szCs w:val="18"/>
              </w:rPr>
            </w:pPr>
            <w:r>
              <w:rPr>
                <w:rFonts w:ascii="黑体" w:hAnsi="黑体" w:cs="黑体" w:eastAsia="黑体" w:hint="default"/>
                <w:spacing w:val="4"/>
                <w:sz w:val="18"/>
                <w:szCs w:val="18"/>
              </w:rPr>
              <w:t>计算机软、硬件及外围设备的 开发、销售和技术服务；财会 </w:t>
            </w:r>
            <w:r>
              <w:rPr>
                <w:rFonts w:ascii="黑体" w:hAnsi="黑体" w:cs="黑体" w:eastAsia="黑体" w:hint="default"/>
                <w:sz w:val="18"/>
                <w:szCs w:val="18"/>
              </w:rPr>
              <w:t>电算化管理服务。</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234"/>
              <w:jc w:val="right"/>
              <w:rPr>
                <w:rFonts w:ascii="Arial" w:hAnsi="Arial" w:cs="Arial" w:eastAsia="Arial" w:hint="default"/>
                <w:sz w:val="18"/>
                <w:szCs w:val="18"/>
              </w:rPr>
            </w:pPr>
            <w:r>
              <w:rPr>
                <w:rFonts w:ascii="Arial"/>
                <w:spacing w:val="-1"/>
                <w:sz w:val="18"/>
              </w:rPr>
              <w:t>20287786-3</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83"/>
              <w:jc w:val="right"/>
              <w:rPr>
                <w:rFonts w:ascii="Arial" w:hAnsi="Arial" w:cs="Arial" w:eastAsia="Arial" w:hint="default"/>
                <w:sz w:val="18"/>
                <w:szCs w:val="18"/>
              </w:rPr>
            </w:pPr>
            <w:r>
              <w:rPr>
                <w:rFonts w:ascii="Arial"/>
                <w:spacing w:val="-1"/>
                <w:sz w:val="18"/>
              </w:rPr>
              <w:t>820,000</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68"/>
              <w:jc w:val="right"/>
              <w:rPr>
                <w:rFonts w:ascii="Arial" w:hAnsi="Arial" w:cs="Arial" w:eastAsia="Arial" w:hint="default"/>
                <w:sz w:val="18"/>
                <w:szCs w:val="18"/>
              </w:rPr>
            </w:pPr>
            <w:r>
              <w:rPr>
                <w:rFonts w:ascii="Arial"/>
                <w:w w:val="95"/>
                <w:sz w:val="18"/>
              </w:rPr>
              <w:t>100</w:t>
            </w:r>
            <w:r>
              <w:rPr>
                <w:rFonts w:ascii="Arial"/>
                <w:sz w:val="18"/>
              </w:rPr>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74"/>
              <w:jc w:val="right"/>
              <w:rPr>
                <w:rFonts w:ascii="Arial" w:hAnsi="Arial" w:cs="Arial" w:eastAsia="Arial" w:hint="default"/>
                <w:sz w:val="18"/>
                <w:szCs w:val="18"/>
              </w:rPr>
            </w:pPr>
            <w:r>
              <w:rPr>
                <w:rFonts w:ascii="Arial"/>
                <w:w w:val="95"/>
                <w:sz w:val="18"/>
              </w:rPr>
              <w:t>100</w:t>
            </w:r>
            <w:r>
              <w:rPr>
                <w:rFonts w:ascii="Arial"/>
                <w:sz w:val="18"/>
              </w:rPr>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3"/>
              <w:jc w:val="right"/>
              <w:rPr>
                <w:rFonts w:ascii="黑体" w:hAnsi="黑体" w:cs="黑体" w:eastAsia="黑体" w:hint="default"/>
                <w:sz w:val="18"/>
                <w:szCs w:val="18"/>
              </w:rPr>
            </w:pPr>
            <w:r>
              <w:rPr>
                <w:rFonts w:ascii="黑体" w:hAnsi="黑体" w:cs="黑体" w:eastAsia="黑体" w:hint="default"/>
                <w:sz w:val="18"/>
                <w:szCs w:val="18"/>
              </w:rPr>
              <w:t>是</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201"/>
              <w:jc w:val="right"/>
              <w:rPr>
                <w:rFonts w:ascii="Arial" w:hAnsi="Arial" w:cs="Arial" w:eastAsia="Arial" w:hint="default"/>
                <w:sz w:val="18"/>
                <w:szCs w:val="18"/>
              </w:rPr>
            </w:pPr>
            <w:r>
              <w:rPr>
                <w:rFonts w:ascii="Arial"/>
                <w:w w:val="99"/>
                <w:sz w:val="18"/>
              </w:rPr>
              <w:t>-</w:t>
            </w:r>
            <w:r>
              <w:rPr>
                <w:rFonts w:ascii="Arial"/>
                <w:sz w:val="18"/>
              </w:rPr>
            </w:r>
          </w:p>
        </w:tc>
      </w:tr>
      <w:tr>
        <w:trPr>
          <w:trHeight w:val="1464" w:hRule="exact"/>
        </w:trPr>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25"/>
                <w:szCs w:val="25"/>
              </w:rPr>
            </w:pPr>
          </w:p>
          <w:p>
            <w:pPr>
              <w:pStyle w:val="TableParagraph"/>
              <w:spacing w:line="230" w:lineRule="auto"/>
              <w:ind w:left="367" w:right="110" w:hanging="168"/>
              <w:jc w:val="both"/>
              <w:rPr>
                <w:rFonts w:ascii="Arial" w:hAnsi="Arial" w:cs="Arial" w:eastAsia="Arial" w:hint="default"/>
                <w:sz w:val="18"/>
                <w:szCs w:val="18"/>
              </w:rPr>
            </w:pPr>
            <w:r>
              <w:rPr>
                <w:rFonts w:ascii="黑体" w:hAnsi="黑体" w:cs="黑体" w:eastAsia="黑体" w:hint="default"/>
                <w:sz w:val="18"/>
                <w:szCs w:val="18"/>
              </w:rPr>
              <w:t>深圳巿灏麓梵科技</w:t>
            </w:r>
            <w:r>
              <w:rPr>
                <w:rFonts w:ascii="黑体" w:hAnsi="黑体" w:cs="黑体" w:eastAsia="黑体" w:hint="default"/>
                <w:spacing w:val="-86"/>
                <w:sz w:val="18"/>
                <w:szCs w:val="18"/>
              </w:rPr>
              <w:t> </w:t>
            </w:r>
            <w:r>
              <w:rPr>
                <w:rFonts w:ascii="黑体" w:hAnsi="黑体" w:cs="黑体" w:eastAsia="黑体" w:hint="default"/>
                <w:spacing w:val="-86"/>
                <w:sz w:val="18"/>
                <w:szCs w:val="18"/>
              </w:rPr>
            </w:r>
            <w:r>
              <w:rPr>
                <w:rFonts w:ascii="黑体" w:hAnsi="黑体" w:cs="黑体" w:eastAsia="黑体" w:hint="default"/>
                <w:spacing w:val="16"/>
                <w:sz w:val="18"/>
                <w:szCs w:val="18"/>
              </w:rPr>
              <w:t>有限公司</w:t>
            </w:r>
            <w:r>
              <w:rPr>
                <w:rFonts w:ascii="黑体" w:hAnsi="黑体" w:cs="黑体" w:eastAsia="黑体" w:hint="default"/>
                <w:spacing w:val="-66"/>
                <w:sz w:val="18"/>
                <w:szCs w:val="18"/>
              </w:rPr>
              <w:t> </w:t>
            </w:r>
            <w:r>
              <w:rPr>
                <w:rFonts w:ascii="Arial" w:hAnsi="Arial" w:cs="Arial" w:eastAsia="Arial" w:hint="default"/>
                <w:sz w:val="18"/>
                <w:szCs w:val="18"/>
              </w:rPr>
              <w:t>(</w:t>
            </w:r>
            <w:r>
              <w:rPr>
                <w:rFonts w:ascii="Arial" w:hAnsi="Arial" w:cs="Arial" w:eastAsia="Arial" w:hint="default"/>
                <w:spacing w:val="-25"/>
                <w:sz w:val="18"/>
                <w:szCs w:val="18"/>
              </w:rPr>
              <w:t> </w:t>
            </w:r>
            <w:r>
              <w:rPr>
                <w:rFonts w:ascii="黑体" w:hAnsi="黑体" w:cs="黑体" w:eastAsia="黑体" w:hint="default"/>
                <w:spacing w:val="11"/>
                <w:sz w:val="18"/>
                <w:szCs w:val="18"/>
              </w:rPr>
              <w:t>以下</w:t>
            </w:r>
            <w:r>
              <w:rPr>
                <w:rFonts w:ascii="黑体" w:hAnsi="黑体" w:cs="黑体" w:eastAsia="黑体" w:hint="default"/>
                <w:spacing w:val="-67"/>
                <w:sz w:val="18"/>
                <w:szCs w:val="18"/>
              </w:rPr>
              <w:t> </w:t>
            </w:r>
            <w:r>
              <w:rPr>
                <w:rFonts w:ascii="黑体" w:hAnsi="黑体" w:cs="黑体" w:eastAsia="黑体" w:hint="default"/>
                <w:spacing w:val="11"/>
                <w:sz w:val="18"/>
                <w:szCs w:val="18"/>
              </w:rPr>
              <w:t>简称</w:t>
            </w:r>
            <w:r>
              <w:rPr>
                <w:rFonts w:ascii="黑体" w:hAnsi="黑体" w:cs="黑体" w:eastAsia="黑体" w:hint="default"/>
                <w:spacing w:val="-67"/>
                <w:sz w:val="18"/>
                <w:szCs w:val="18"/>
              </w:rPr>
              <w:t> </w:t>
            </w:r>
            <w:r>
              <w:rPr>
                <w:rFonts w:ascii="Arial" w:hAnsi="Arial" w:cs="Arial" w:eastAsia="Arial" w:hint="default"/>
                <w:sz w:val="18"/>
                <w:szCs w:val="18"/>
              </w:rPr>
              <w:t>“</w:t>
            </w:r>
            <w:r>
              <w:rPr>
                <w:rFonts w:ascii="Arial" w:hAnsi="Arial" w:cs="Arial" w:eastAsia="Arial" w:hint="default"/>
                <w:spacing w:val="-29"/>
                <w:sz w:val="18"/>
                <w:szCs w:val="18"/>
              </w:rPr>
              <w:t> </w:t>
            </w:r>
            <w:r>
              <w:rPr>
                <w:rFonts w:ascii="黑体" w:hAnsi="黑体" w:cs="黑体" w:eastAsia="黑体" w:hint="default"/>
                <w:spacing w:val="17"/>
                <w:sz w:val="18"/>
                <w:szCs w:val="18"/>
              </w:rPr>
              <w:t>深圳灏麓</w:t>
            </w:r>
            <w:r>
              <w:rPr>
                <w:rFonts w:ascii="黑体" w:hAnsi="黑体" w:cs="黑体" w:eastAsia="黑体" w:hint="default"/>
                <w:spacing w:val="-67"/>
                <w:sz w:val="18"/>
                <w:szCs w:val="18"/>
              </w:rPr>
              <w:t> </w:t>
            </w:r>
            <w:r>
              <w:rPr>
                <w:rFonts w:ascii="黑体" w:hAnsi="黑体" w:cs="黑体" w:eastAsia="黑体" w:hint="default"/>
                <w:sz w:val="18"/>
                <w:szCs w:val="18"/>
              </w:rPr>
              <w:t>梵</w:t>
            </w:r>
            <w:r>
              <w:rPr>
                <w:rFonts w:ascii="Arial" w:hAnsi="Arial" w:cs="Arial" w:eastAsia="Arial" w:hint="default"/>
                <w:sz w:val="18"/>
                <w:szCs w:val="18"/>
              </w:rPr>
              <w:t>”)</w:t>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6"/>
                <w:szCs w:val="26"/>
              </w:rPr>
            </w:pPr>
          </w:p>
          <w:p>
            <w:pPr>
              <w:pStyle w:val="TableParagraph"/>
              <w:spacing w:line="232" w:lineRule="exact"/>
              <w:ind w:left="288" w:right="80" w:hanging="180"/>
              <w:jc w:val="left"/>
              <w:rPr>
                <w:rFonts w:ascii="黑体" w:hAnsi="黑体" w:cs="黑体" w:eastAsia="黑体" w:hint="default"/>
                <w:sz w:val="18"/>
                <w:szCs w:val="18"/>
              </w:rPr>
            </w:pPr>
            <w:r>
              <w:rPr>
                <w:rFonts w:ascii="黑体" w:hAnsi="黑体" w:cs="黑体" w:eastAsia="黑体" w:hint="default"/>
                <w:sz w:val="18"/>
                <w:szCs w:val="18"/>
              </w:rPr>
              <w:t>有限责任 公司</w:t>
            </w:r>
          </w:p>
        </w:tc>
        <w:tc>
          <w:tcPr>
            <w:tcW w:w="67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4"/>
                <w:szCs w:val="24"/>
              </w:rPr>
            </w:pPr>
          </w:p>
          <w:p>
            <w:pPr>
              <w:pStyle w:val="TableParagraph"/>
              <w:spacing w:line="240" w:lineRule="auto"/>
              <w:ind w:left="34" w:right="0"/>
              <w:jc w:val="center"/>
              <w:rPr>
                <w:rFonts w:ascii="黑体" w:hAnsi="黑体" w:cs="黑体" w:eastAsia="黑体" w:hint="default"/>
                <w:sz w:val="18"/>
                <w:szCs w:val="18"/>
              </w:rPr>
            </w:pPr>
            <w:r>
              <w:rPr>
                <w:rFonts w:ascii="黑体" w:hAnsi="黑体" w:cs="黑体" w:eastAsia="黑体" w:hint="default"/>
                <w:sz w:val="18"/>
                <w:szCs w:val="18"/>
              </w:rPr>
              <w:t>深圳市</w:t>
            </w:r>
          </w:p>
        </w:tc>
        <w:tc>
          <w:tcPr>
            <w:tcW w:w="61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4"/>
                <w:szCs w:val="24"/>
              </w:rPr>
            </w:pPr>
          </w:p>
          <w:p>
            <w:pPr>
              <w:pStyle w:val="TableParagraph"/>
              <w:spacing w:line="240" w:lineRule="auto"/>
              <w:ind w:right="25"/>
              <w:jc w:val="right"/>
              <w:rPr>
                <w:rFonts w:ascii="黑体" w:hAnsi="黑体" w:cs="黑体" w:eastAsia="黑体" w:hint="default"/>
                <w:sz w:val="18"/>
                <w:szCs w:val="18"/>
              </w:rPr>
            </w:pPr>
            <w:r>
              <w:rPr>
                <w:rFonts w:ascii="黑体" w:hAnsi="黑体" w:cs="黑体" w:eastAsia="黑体" w:hint="default"/>
                <w:sz w:val="18"/>
                <w:szCs w:val="18"/>
              </w:rPr>
              <w:t>贾文新</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4"/>
                <w:szCs w:val="24"/>
              </w:rPr>
            </w:pPr>
          </w:p>
          <w:p>
            <w:pPr>
              <w:pStyle w:val="TableParagraph"/>
              <w:spacing w:line="240" w:lineRule="auto"/>
              <w:ind w:right="236"/>
              <w:jc w:val="right"/>
              <w:rPr>
                <w:rFonts w:ascii="黑体" w:hAnsi="黑体" w:cs="黑体" w:eastAsia="黑体" w:hint="default"/>
                <w:sz w:val="18"/>
                <w:szCs w:val="18"/>
              </w:rPr>
            </w:pPr>
            <w:r>
              <w:rPr>
                <w:rFonts w:ascii="黑体" w:hAnsi="黑体" w:cs="黑体" w:eastAsia="黑体" w:hint="default"/>
                <w:sz w:val="18"/>
                <w:szCs w:val="18"/>
              </w:rPr>
              <w:t>计算机软件行业</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1"/>
              <w:ind w:left="66" w:right="0"/>
              <w:jc w:val="center"/>
              <w:rPr>
                <w:rFonts w:ascii="Arial" w:hAnsi="Arial" w:cs="Arial" w:eastAsia="Arial" w:hint="default"/>
                <w:sz w:val="18"/>
                <w:szCs w:val="18"/>
              </w:rPr>
            </w:pPr>
            <w:r>
              <w:rPr>
                <w:rFonts w:ascii="Arial"/>
                <w:sz w:val="18"/>
              </w:rPr>
              <w:t>1,000,000</w:t>
            </w:r>
          </w:p>
        </w:tc>
        <w:tc>
          <w:tcPr>
            <w:tcW w:w="285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4"/>
                <w:szCs w:val="24"/>
              </w:rPr>
            </w:pPr>
          </w:p>
          <w:p>
            <w:pPr>
              <w:pStyle w:val="TableParagraph"/>
              <w:spacing w:line="240" w:lineRule="auto"/>
              <w:ind w:left="122" w:right="0"/>
              <w:jc w:val="left"/>
              <w:rPr>
                <w:rFonts w:ascii="黑体" w:hAnsi="黑体" w:cs="黑体" w:eastAsia="黑体" w:hint="default"/>
                <w:sz w:val="18"/>
                <w:szCs w:val="18"/>
              </w:rPr>
            </w:pPr>
            <w:r>
              <w:rPr>
                <w:rFonts w:ascii="黑体" w:hAnsi="黑体" w:cs="黑体" w:eastAsia="黑体" w:hint="default"/>
                <w:sz w:val="18"/>
                <w:szCs w:val="18"/>
              </w:rPr>
              <w:t>电脑软件的技术开发及销售。</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1"/>
              <w:ind w:right="234"/>
              <w:jc w:val="right"/>
              <w:rPr>
                <w:rFonts w:ascii="Arial" w:hAnsi="Arial" w:cs="Arial" w:eastAsia="Arial" w:hint="default"/>
                <w:sz w:val="18"/>
                <w:szCs w:val="18"/>
              </w:rPr>
            </w:pPr>
            <w:r>
              <w:rPr>
                <w:rFonts w:ascii="Arial"/>
                <w:spacing w:val="-1"/>
                <w:sz w:val="18"/>
              </w:rPr>
              <w:t>27931552-7</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1"/>
              <w:ind w:right="183"/>
              <w:jc w:val="right"/>
              <w:rPr>
                <w:rFonts w:ascii="Arial" w:hAnsi="Arial" w:cs="Arial" w:eastAsia="Arial" w:hint="default"/>
                <w:sz w:val="18"/>
                <w:szCs w:val="18"/>
              </w:rPr>
            </w:pPr>
            <w:r>
              <w:rPr>
                <w:rFonts w:ascii="Arial"/>
                <w:spacing w:val="-1"/>
                <w:sz w:val="18"/>
              </w:rPr>
              <w:t>1,000,000</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1"/>
              <w:ind w:right="168"/>
              <w:jc w:val="right"/>
              <w:rPr>
                <w:rFonts w:ascii="Arial" w:hAnsi="Arial" w:cs="Arial" w:eastAsia="Arial" w:hint="default"/>
                <w:sz w:val="18"/>
                <w:szCs w:val="18"/>
              </w:rPr>
            </w:pPr>
            <w:r>
              <w:rPr>
                <w:rFonts w:ascii="Arial"/>
                <w:w w:val="95"/>
                <w:sz w:val="18"/>
              </w:rPr>
              <w:t>100</w:t>
            </w:r>
            <w:r>
              <w:rPr>
                <w:rFonts w:ascii="Arial"/>
                <w:sz w:val="18"/>
              </w:rPr>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1"/>
              <w:ind w:right="174"/>
              <w:jc w:val="right"/>
              <w:rPr>
                <w:rFonts w:ascii="Arial" w:hAnsi="Arial" w:cs="Arial" w:eastAsia="Arial" w:hint="default"/>
                <w:sz w:val="18"/>
                <w:szCs w:val="18"/>
              </w:rPr>
            </w:pPr>
            <w:r>
              <w:rPr>
                <w:rFonts w:ascii="Arial"/>
                <w:w w:val="95"/>
                <w:sz w:val="18"/>
              </w:rPr>
              <w:t>100</w:t>
            </w:r>
            <w:r>
              <w:rPr>
                <w:rFonts w:ascii="Arial"/>
                <w:sz w:val="18"/>
              </w:rPr>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4"/>
                <w:szCs w:val="24"/>
              </w:rPr>
            </w:pPr>
          </w:p>
          <w:p>
            <w:pPr>
              <w:pStyle w:val="TableParagraph"/>
              <w:spacing w:line="240" w:lineRule="auto"/>
              <w:ind w:right="103"/>
              <w:jc w:val="right"/>
              <w:rPr>
                <w:rFonts w:ascii="黑体" w:hAnsi="黑体" w:cs="黑体" w:eastAsia="黑体" w:hint="default"/>
                <w:sz w:val="18"/>
                <w:szCs w:val="18"/>
              </w:rPr>
            </w:pPr>
            <w:r>
              <w:rPr>
                <w:rFonts w:ascii="黑体" w:hAnsi="黑体" w:cs="黑体" w:eastAsia="黑体" w:hint="default"/>
                <w:sz w:val="18"/>
                <w:szCs w:val="18"/>
              </w:rPr>
              <w:t>是</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1"/>
              <w:ind w:right="201"/>
              <w:jc w:val="right"/>
              <w:rPr>
                <w:rFonts w:ascii="Arial" w:hAnsi="Arial" w:cs="Arial" w:eastAsia="Arial" w:hint="default"/>
                <w:sz w:val="18"/>
                <w:szCs w:val="18"/>
              </w:rPr>
            </w:pPr>
            <w:r>
              <w:rPr>
                <w:rFonts w:ascii="Arial"/>
                <w:w w:val="99"/>
                <w:sz w:val="18"/>
              </w:rPr>
              <w:t>-</w:t>
            </w:r>
            <w:r>
              <w:rPr>
                <w:rFonts w:ascii="Arial"/>
                <w:sz w:val="18"/>
              </w:rPr>
            </w:r>
          </w:p>
        </w:tc>
      </w:tr>
      <w:tr>
        <w:trPr>
          <w:trHeight w:val="1079" w:hRule="exact"/>
        </w:trPr>
        <w:tc>
          <w:tcPr>
            <w:tcW w:w="178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2"/>
                <w:szCs w:val="12"/>
              </w:rPr>
            </w:pPr>
          </w:p>
          <w:p>
            <w:pPr>
              <w:pStyle w:val="TableParagraph"/>
              <w:spacing w:line="232" w:lineRule="exact"/>
              <w:ind w:left="367" w:right="110" w:hanging="168"/>
              <w:jc w:val="both"/>
              <w:rPr>
                <w:rFonts w:ascii="Arial" w:hAnsi="Arial" w:cs="Arial" w:eastAsia="Arial" w:hint="default"/>
                <w:sz w:val="18"/>
                <w:szCs w:val="18"/>
              </w:rPr>
            </w:pPr>
            <w:r>
              <w:rPr>
                <w:rFonts w:ascii="黑体" w:hAnsi="黑体" w:cs="黑体" w:eastAsia="黑体" w:hint="default"/>
                <w:sz w:val="18"/>
                <w:szCs w:val="18"/>
              </w:rPr>
              <w:t>武汉用友软件有限</w:t>
            </w:r>
            <w:r>
              <w:rPr>
                <w:rFonts w:ascii="黑体" w:hAnsi="黑体" w:cs="黑体" w:eastAsia="黑体" w:hint="default"/>
                <w:spacing w:val="-86"/>
                <w:sz w:val="18"/>
                <w:szCs w:val="18"/>
              </w:rPr>
              <w:t> </w:t>
            </w:r>
            <w:r>
              <w:rPr>
                <w:rFonts w:ascii="黑体" w:hAnsi="黑体" w:cs="黑体" w:eastAsia="黑体" w:hint="default"/>
                <w:spacing w:val="-86"/>
                <w:sz w:val="18"/>
                <w:szCs w:val="18"/>
              </w:rPr>
            </w:r>
            <w:r>
              <w:rPr>
                <w:rFonts w:ascii="黑体" w:hAnsi="黑体" w:cs="黑体" w:eastAsia="黑体" w:hint="default"/>
                <w:spacing w:val="16"/>
                <w:sz w:val="18"/>
                <w:szCs w:val="18"/>
              </w:rPr>
              <w:t>责任公司</w:t>
            </w:r>
            <w:r>
              <w:rPr>
                <w:rFonts w:ascii="黑体" w:hAnsi="黑体" w:cs="黑体" w:eastAsia="黑体" w:hint="default"/>
                <w:spacing w:val="-66"/>
                <w:sz w:val="18"/>
                <w:szCs w:val="18"/>
              </w:rPr>
              <w:t> </w:t>
            </w:r>
            <w:r>
              <w:rPr>
                <w:rFonts w:ascii="Arial" w:hAnsi="Arial" w:cs="Arial" w:eastAsia="Arial" w:hint="default"/>
                <w:sz w:val="18"/>
                <w:szCs w:val="18"/>
              </w:rPr>
              <w:t>(</w:t>
            </w:r>
            <w:r>
              <w:rPr>
                <w:rFonts w:ascii="Arial" w:hAnsi="Arial" w:cs="Arial" w:eastAsia="Arial" w:hint="default"/>
                <w:spacing w:val="-25"/>
                <w:sz w:val="18"/>
                <w:szCs w:val="18"/>
              </w:rPr>
              <w:t> </w:t>
            </w:r>
            <w:r>
              <w:rPr>
                <w:rFonts w:ascii="黑体" w:hAnsi="黑体" w:cs="黑体" w:eastAsia="黑体" w:hint="default"/>
                <w:spacing w:val="11"/>
                <w:sz w:val="18"/>
                <w:szCs w:val="18"/>
              </w:rPr>
              <w:t>以下</w:t>
            </w:r>
            <w:r>
              <w:rPr>
                <w:rFonts w:ascii="黑体" w:hAnsi="黑体" w:cs="黑体" w:eastAsia="黑体" w:hint="default"/>
                <w:spacing w:val="-67"/>
                <w:sz w:val="18"/>
                <w:szCs w:val="18"/>
              </w:rPr>
              <w:t> </w:t>
            </w:r>
            <w:r>
              <w:rPr>
                <w:rFonts w:ascii="黑体" w:hAnsi="黑体" w:cs="黑体" w:eastAsia="黑体" w:hint="default"/>
                <w:sz w:val="18"/>
                <w:szCs w:val="18"/>
              </w:rPr>
              <w:t>简称</w:t>
            </w:r>
            <w:r>
              <w:rPr>
                <w:rFonts w:ascii="Arial" w:hAnsi="Arial" w:cs="Arial" w:eastAsia="Arial" w:hint="default"/>
                <w:sz w:val="18"/>
                <w:szCs w:val="18"/>
              </w:rPr>
              <w:t>“</w:t>
            </w:r>
            <w:r>
              <w:rPr>
                <w:rFonts w:ascii="黑体" w:hAnsi="黑体" w:cs="黑体" w:eastAsia="黑体" w:hint="default"/>
                <w:sz w:val="18"/>
                <w:szCs w:val="18"/>
              </w:rPr>
              <w:t>武汉用友</w:t>
            </w:r>
            <w:r>
              <w:rPr>
                <w:rFonts w:ascii="Arial" w:hAnsi="Arial" w:cs="Arial" w:eastAsia="Arial" w:hint="default"/>
                <w:sz w:val="18"/>
                <w:szCs w:val="18"/>
              </w:rPr>
              <w:t>”)</w:t>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2"/>
                <w:szCs w:val="12"/>
              </w:rPr>
            </w:pPr>
          </w:p>
          <w:p>
            <w:pPr>
              <w:pStyle w:val="TableParagraph"/>
              <w:spacing w:line="232" w:lineRule="exact"/>
              <w:ind w:left="288" w:right="80" w:hanging="180"/>
              <w:jc w:val="left"/>
              <w:rPr>
                <w:rFonts w:ascii="黑体" w:hAnsi="黑体" w:cs="黑体" w:eastAsia="黑体" w:hint="default"/>
                <w:sz w:val="18"/>
                <w:szCs w:val="18"/>
              </w:rPr>
            </w:pPr>
            <w:r>
              <w:rPr>
                <w:rFonts w:ascii="黑体" w:hAnsi="黑体" w:cs="黑体" w:eastAsia="黑体" w:hint="default"/>
                <w:sz w:val="18"/>
                <w:szCs w:val="18"/>
              </w:rPr>
              <w:t>有限责任 公司</w:t>
            </w:r>
          </w:p>
        </w:tc>
        <w:tc>
          <w:tcPr>
            <w:tcW w:w="671"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34" w:right="0"/>
              <w:jc w:val="center"/>
              <w:rPr>
                <w:rFonts w:ascii="黑体" w:hAnsi="黑体" w:cs="黑体" w:eastAsia="黑体" w:hint="default"/>
                <w:sz w:val="18"/>
                <w:szCs w:val="18"/>
              </w:rPr>
            </w:pPr>
            <w:r>
              <w:rPr>
                <w:rFonts w:ascii="黑体" w:hAnsi="黑体" w:cs="黑体" w:eastAsia="黑体" w:hint="default"/>
                <w:sz w:val="18"/>
                <w:szCs w:val="18"/>
              </w:rPr>
              <w:t>武汉市</w:t>
            </w:r>
          </w:p>
        </w:tc>
        <w:tc>
          <w:tcPr>
            <w:tcW w:w="616"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25"/>
              <w:jc w:val="right"/>
              <w:rPr>
                <w:rFonts w:ascii="黑体" w:hAnsi="黑体" w:cs="黑体" w:eastAsia="黑体" w:hint="default"/>
                <w:sz w:val="18"/>
                <w:szCs w:val="18"/>
              </w:rPr>
            </w:pPr>
            <w:r>
              <w:rPr>
                <w:rFonts w:ascii="黑体" w:hAnsi="黑体" w:cs="黑体" w:eastAsia="黑体" w:hint="default"/>
                <w:sz w:val="18"/>
                <w:szCs w:val="18"/>
              </w:rPr>
              <w:t>王文京</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2"/>
                <w:szCs w:val="12"/>
              </w:rPr>
            </w:pPr>
          </w:p>
          <w:p>
            <w:pPr>
              <w:pStyle w:val="TableParagraph"/>
              <w:spacing w:line="232" w:lineRule="exact"/>
              <w:ind w:left="27" w:right="186"/>
              <w:jc w:val="left"/>
              <w:rPr>
                <w:rFonts w:ascii="黑体" w:hAnsi="黑体" w:cs="黑体" w:eastAsia="黑体" w:hint="default"/>
                <w:sz w:val="18"/>
                <w:szCs w:val="18"/>
              </w:rPr>
            </w:pPr>
            <w:r>
              <w:rPr>
                <w:rFonts w:ascii="黑体" w:hAnsi="黑体" w:cs="黑体" w:eastAsia="黑体" w:hint="default"/>
                <w:sz w:val="18"/>
                <w:szCs w:val="18"/>
              </w:rPr>
              <w:t>计算机软</w:t>
            </w:r>
            <w:r>
              <w:rPr>
                <w:rFonts w:ascii="Arial" w:hAnsi="Arial" w:cs="Arial" w:eastAsia="Arial" w:hint="default"/>
                <w:sz w:val="18"/>
                <w:szCs w:val="18"/>
              </w:rPr>
              <w:t>/</w:t>
            </w:r>
            <w:r>
              <w:rPr>
                <w:rFonts w:ascii="黑体" w:hAnsi="黑体" w:cs="黑体" w:eastAsia="黑体" w:hint="default"/>
                <w:sz w:val="18"/>
                <w:szCs w:val="18"/>
              </w:rPr>
              <w:t>硬件及 电子行业</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3"/>
                <w:szCs w:val="13"/>
              </w:rPr>
            </w:pPr>
          </w:p>
          <w:p>
            <w:pPr>
              <w:pStyle w:val="TableParagraph"/>
              <w:spacing w:line="240" w:lineRule="auto"/>
              <w:ind w:left="217" w:right="0"/>
              <w:jc w:val="center"/>
              <w:rPr>
                <w:rFonts w:ascii="Arial" w:hAnsi="Arial" w:cs="Arial" w:eastAsia="Arial" w:hint="default"/>
                <w:sz w:val="18"/>
                <w:szCs w:val="18"/>
              </w:rPr>
            </w:pPr>
            <w:r>
              <w:rPr>
                <w:rFonts w:ascii="Arial"/>
                <w:sz w:val="18"/>
              </w:rPr>
              <w:t>500,000</w:t>
            </w:r>
          </w:p>
        </w:tc>
        <w:tc>
          <w:tcPr>
            <w:tcW w:w="2857" w:type="dxa"/>
            <w:tcBorders>
              <w:top w:val="nil" w:sz="6" w:space="0" w:color="auto"/>
              <w:left w:val="nil" w:sz="6" w:space="0" w:color="auto"/>
              <w:bottom w:val="nil" w:sz="6" w:space="0" w:color="auto"/>
              <w:right w:val="nil" w:sz="6" w:space="0" w:color="auto"/>
            </w:tcBorders>
          </w:tcPr>
          <w:p>
            <w:pPr>
              <w:pStyle w:val="TableParagraph"/>
              <w:spacing w:line="237" w:lineRule="auto" w:before="145"/>
              <w:ind w:left="122" w:right="243"/>
              <w:jc w:val="left"/>
              <w:rPr>
                <w:rFonts w:ascii="黑体" w:hAnsi="黑体" w:cs="黑体" w:eastAsia="黑体" w:hint="default"/>
                <w:sz w:val="18"/>
                <w:szCs w:val="18"/>
              </w:rPr>
            </w:pPr>
            <w:r>
              <w:rPr>
                <w:rFonts w:ascii="黑体" w:hAnsi="黑体" w:cs="黑体" w:eastAsia="黑体" w:hint="default"/>
                <w:spacing w:val="-3"/>
                <w:sz w:val="18"/>
                <w:szCs w:val="18"/>
              </w:rPr>
              <w:t>计算机软件、电子技术的开发、</w:t>
            </w:r>
            <w:r>
              <w:rPr>
                <w:rFonts w:ascii="黑体" w:hAnsi="黑体" w:cs="黑体" w:eastAsia="黑体" w:hint="default"/>
                <w:spacing w:val="-80"/>
                <w:sz w:val="18"/>
                <w:szCs w:val="18"/>
              </w:rPr>
              <w:t> </w:t>
            </w:r>
            <w:r>
              <w:rPr>
                <w:rFonts w:ascii="黑体" w:hAnsi="黑体" w:cs="黑体" w:eastAsia="黑体" w:hint="default"/>
                <w:spacing w:val="-80"/>
                <w:sz w:val="18"/>
                <w:szCs w:val="18"/>
              </w:rPr>
            </w:r>
            <w:r>
              <w:rPr>
                <w:rFonts w:ascii="黑体" w:hAnsi="黑体" w:cs="黑体" w:eastAsia="黑体" w:hint="default"/>
                <w:spacing w:val="4"/>
                <w:sz w:val="18"/>
                <w:szCs w:val="18"/>
              </w:rPr>
              <w:t>研制、技术服务及咨询；计算</w:t>
            </w:r>
            <w:r>
              <w:rPr>
                <w:rFonts w:ascii="黑体" w:hAnsi="黑体" w:cs="黑体" w:eastAsia="黑体" w:hint="default"/>
                <w:spacing w:val="4"/>
                <w:sz w:val="18"/>
                <w:szCs w:val="18"/>
              </w:rPr>
              <w:t> 机及配件、电子元器件批发兼 </w:t>
            </w:r>
            <w:r>
              <w:rPr>
                <w:rFonts w:ascii="黑体" w:hAnsi="黑体" w:cs="黑体" w:eastAsia="黑体" w:hint="default"/>
                <w:sz w:val="18"/>
                <w:szCs w:val="18"/>
              </w:rPr>
              <w:t>零售、信息服务。</w:t>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3"/>
                <w:szCs w:val="13"/>
              </w:rPr>
            </w:pPr>
          </w:p>
          <w:p>
            <w:pPr>
              <w:pStyle w:val="TableParagraph"/>
              <w:spacing w:line="240" w:lineRule="auto"/>
              <w:ind w:right="234"/>
              <w:jc w:val="right"/>
              <w:rPr>
                <w:rFonts w:ascii="Arial" w:hAnsi="Arial" w:cs="Arial" w:eastAsia="Arial" w:hint="default"/>
                <w:sz w:val="18"/>
                <w:szCs w:val="18"/>
              </w:rPr>
            </w:pPr>
            <w:r>
              <w:rPr>
                <w:rFonts w:ascii="Arial"/>
                <w:spacing w:val="-1"/>
                <w:sz w:val="18"/>
              </w:rPr>
              <w:t>30001721-8</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3"/>
                <w:szCs w:val="13"/>
              </w:rPr>
            </w:pPr>
          </w:p>
          <w:p>
            <w:pPr>
              <w:pStyle w:val="TableParagraph"/>
              <w:spacing w:line="240" w:lineRule="auto"/>
              <w:ind w:right="183"/>
              <w:jc w:val="right"/>
              <w:rPr>
                <w:rFonts w:ascii="Arial" w:hAnsi="Arial" w:cs="Arial" w:eastAsia="Arial" w:hint="default"/>
                <w:sz w:val="18"/>
                <w:szCs w:val="18"/>
              </w:rPr>
            </w:pPr>
            <w:r>
              <w:rPr>
                <w:rFonts w:ascii="Arial"/>
                <w:spacing w:val="-1"/>
                <w:sz w:val="18"/>
              </w:rPr>
              <w:t>1,470,000</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3"/>
                <w:szCs w:val="13"/>
              </w:rPr>
            </w:pPr>
          </w:p>
          <w:p>
            <w:pPr>
              <w:pStyle w:val="TableParagraph"/>
              <w:spacing w:line="240" w:lineRule="auto"/>
              <w:ind w:right="168"/>
              <w:jc w:val="right"/>
              <w:rPr>
                <w:rFonts w:ascii="Arial" w:hAnsi="Arial" w:cs="Arial" w:eastAsia="Arial" w:hint="default"/>
                <w:sz w:val="18"/>
                <w:szCs w:val="18"/>
              </w:rPr>
            </w:pPr>
            <w:r>
              <w:rPr>
                <w:rFonts w:ascii="Arial"/>
                <w:w w:val="95"/>
                <w:sz w:val="18"/>
              </w:rPr>
              <w:t>95</w:t>
            </w:r>
            <w:r>
              <w:rPr>
                <w:rFonts w:ascii="Arial"/>
                <w:sz w:val="18"/>
              </w:rPr>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3"/>
                <w:szCs w:val="13"/>
              </w:rPr>
            </w:pPr>
          </w:p>
          <w:p>
            <w:pPr>
              <w:pStyle w:val="TableParagraph"/>
              <w:spacing w:line="240" w:lineRule="auto"/>
              <w:ind w:right="174"/>
              <w:jc w:val="right"/>
              <w:rPr>
                <w:rFonts w:ascii="Arial" w:hAnsi="Arial" w:cs="Arial" w:eastAsia="Arial" w:hint="default"/>
                <w:sz w:val="18"/>
                <w:szCs w:val="18"/>
              </w:rPr>
            </w:pPr>
            <w:r>
              <w:rPr>
                <w:rFonts w:ascii="Arial"/>
                <w:w w:val="95"/>
                <w:sz w:val="18"/>
              </w:rPr>
              <w:t>95</w:t>
            </w:r>
            <w:r>
              <w:rPr>
                <w:rFonts w:ascii="Arial"/>
                <w:sz w:val="18"/>
              </w:rPr>
            </w:r>
          </w:p>
        </w:tc>
        <w:tc>
          <w:tcPr>
            <w:tcW w:w="1002"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03"/>
              <w:jc w:val="right"/>
              <w:rPr>
                <w:rFonts w:ascii="黑体" w:hAnsi="黑体" w:cs="黑体" w:eastAsia="黑体" w:hint="default"/>
                <w:sz w:val="18"/>
                <w:szCs w:val="18"/>
              </w:rPr>
            </w:pPr>
            <w:r>
              <w:rPr>
                <w:rFonts w:ascii="黑体" w:hAnsi="黑体" w:cs="黑体" w:eastAsia="黑体" w:hint="default"/>
                <w:sz w:val="18"/>
                <w:szCs w:val="18"/>
              </w:rPr>
              <w:t>是</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3"/>
                <w:szCs w:val="13"/>
              </w:rPr>
            </w:pPr>
          </w:p>
          <w:p>
            <w:pPr>
              <w:pStyle w:val="TableParagraph"/>
              <w:spacing w:line="240" w:lineRule="auto"/>
              <w:ind w:right="198"/>
              <w:jc w:val="right"/>
              <w:rPr>
                <w:rFonts w:ascii="Arial" w:hAnsi="Arial" w:cs="Arial" w:eastAsia="Arial" w:hint="default"/>
                <w:sz w:val="18"/>
                <w:szCs w:val="18"/>
              </w:rPr>
            </w:pPr>
            <w:r>
              <w:rPr>
                <w:rFonts w:ascii="Arial"/>
                <w:spacing w:val="-1"/>
                <w:sz w:val="18"/>
              </w:rPr>
              <w:t>(750,092)</w:t>
            </w:r>
          </w:p>
        </w:tc>
      </w:tr>
    </w:tbl>
    <w:p>
      <w:pPr>
        <w:spacing w:after="0" w:line="240" w:lineRule="auto"/>
        <w:jc w:val="right"/>
        <w:rPr>
          <w:rFonts w:ascii="Arial" w:hAnsi="Arial" w:cs="Arial" w:eastAsia="Arial" w:hint="default"/>
          <w:sz w:val="18"/>
          <w:szCs w:val="18"/>
        </w:rPr>
        <w:sectPr>
          <w:headerReference w:type="default" r:id="rId52"/>
          <w:footerReference w:type="default" r:id="rId53"/>
          <w:pgSz w:w="16850" w:h="11910" w:orient="landscape"/>
          <w:pgMar w:header="957" w:footer="857" w:top="2620" w:bottom="1040" w:left="420" w:right="340"/>
          <w:pgNumType w:start="45"/>
        </w:sectPr>
      </w:pPr>
    </w:p>
    <w:p>
      <w:pPr>
        <w:spacing w:line="240" w:lineRule="auto" w:before="10"/>
        <w:rPr>
          <w:rFonts w:ascii="黑体" w:hAnsi="黑体" w:cs="黑体" w:eastAsia="黑体" w:hint="default"/>
          <w:sz w:val="9"/>
          <w:szCs w:val="9"/>
        </w:rPr>
      </w:pPr>
    </w:p>
    <w:p>
      <w:pPr>
        <w:tabs>
          <w:tab w:pos="672" w:val="left" w:leader="none"/>
        </w:tabs>
        <w:spacing w:line="384" w:lineRule="auto" w:before="37"/>
        <w:ind w:left="305" w:right="12974" w:firstLine="91"/>
        <w:jc w:val="left"/>
        <w:rPr>
          <w:rFonts w:ascii="黑体" w:hAnsi="黑体" w:cs="黑体" w:eastAsia="黑体" w:hint="default"/>
          <w:sz w:val="20"/>
          <w:szCs w:val="20"/>
        </w:rPr>
      </w:pPr>
      <w:r>
        <w:rPr>
          <w:rFonts w:ascii="黑体" w:hAnsi="黑体" w:cs="黑体" w:eastAsia="黑体" w:hint="default"/>
          <w:b/>
          <w:bCs/>
          <w:sz w:val="20"/>
          <w:szCs w:val="20"/>
        </w:rPr>
        <w:t>四、合并财务报表的合并范围</w:t>
      </w:r>
      <w:r>
        <w:rPr>
          <w:rFonts w:ascii="黑体" w:hAnsi="黑体" w:cs="黑体" w:eastAsia="黑体" w:hint="default"/>
          <w:b/>
          <w:bCs/>
          <w:w w:val="99"/>
          <w:sz w:val="20"/>
          <w:szCs w:val="20"/>
        </w:rPr>
        <w:t> </w:t>
      </w:r>
      <w:r>
        <w:rPr>
          <w:rFonts w:ascii="Arial" w:hAnsi="Arial" w:cs="Arial" w:eastAsia="Arial" w:hint="default"/>
          <w:b/>
          <w:bCs/>
          <w:spacing w:val="-1"/>
          <w:sz w:val="20"/>
          <w:szCs w:val="20"/>
        </w:rPr>
        <w:t>1.</w:t>
        <w:tab/>
      </w:r>
      <w:r>
        <w:rPr>
          <w:rFonts w:ascii="黑体" w:hAnsi="黑体" w:cs="黑体" w:eastAsia="黑体" w:hint="default"/>
          <w:b/>
          <w:bCs/>
          <w:spacing w:val="1"/>
          <w:sz w:val="20"/>
          <w:szCs w:val="20"/>
        </w:rPr>
        <w:t>子公司情况（续）</w:t>
      </w:r>
      <w:r>
        <w:rPr>
          <w:rFonts w:ascii="黑体" w:hAnsi="黑体" w:cs="黑体" w:eastAsia="黑体" w:hint="default"/>
          <w:b/>
          <w:bCs/>
          <w:w w:val="99"/>
          <w:sz w:val="20"/>
          <w:szCs w:val="20"/>
        </w:rPr>
        <w:t> </w:t>
      </w:r>
      <w:r>
        <w:rPr>
          <w:rFonts w:ascii="黑体" w:hAnsi="黑体" w:cs="黑体" w:eastAsia="黑体" w:hint="default"/>
          <w:sz w:val="20"/>
          <w:szCs w:val="20"/>
        </w:rPr>
        <w:t>本集团重要子公司的情况如下：</w:t>
      </w:r>
    </w:p>
    <w:p>
      <w:pPr>
        <w:pStyle w:val="BodyText"/>
        <w:spacing w:line="240" w:lineRule="auto" w:before="79"/>
        <w:ind w:left="305" w:right="11966"/>
        <w:jc w:val="left"/>
        <w:rPr>
          <w:rFonts w:ascii="Arial" w:hAnsi="Arial" w:cs="Arial" w:eastAsia="Arial" w:hint="default"/>
        </w:rPr>
      </w:pPr>
      <w:r>
        <w:rPr/>
        <w:t>通过设立或投资等方式取得的子公司</w:t>
      </w:r>
      <w:r>
        <w:rPr>
          <w:rFonts w:ascii="Arial" w:hAnsi="Arial" w:cs="Arial" w:eastAsia="Arial" w:hint="default"/>
        </w:rPr>
        <w:t>(</w:t>
      </w:r>
      <w:r>
        <w:rPr/>
        <w:t>续</w:t>
      </w:r>
      <w:r>
        <w:rPr>
          <w:rFonts w:ascii="Arial" w:hAnsi="Arial" w:cs="Arial" w:eastAsia="Arial" w:hint="default"/>
        </w:rPr>
        <w:t>)</w:t>
      </w:r>
    </w:p>
    <w:p>
      <w:pPr>
        <w:spacing w:line="240" w:lineRule="auto" w:before="0"/>
        <w:rPr>
          <w:rFonts w:ascii="Arial" w:hAnsi="Arial" w:cs="Arial" w:eastAsia="Arial" w:hint="default"/>
          <w:sz w:val="20"/>
          <w:szCs w:val="20"/>
        </w:rPr>
      </w:pPr>
    </w:p>
    <w:p>
      <w:pPr>
        <w:spacing w:line="240" w:lineRule="auto" w:before="7"/>
        <w:rPr>
          <w:rFonts w:ascii="Arial" w:hAnsi="Arial" w:cs="Arial" w:eastAsia="Arial"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1774"/>
        <w:gridCol w:w="1313"/>
        <w:gridCol w:w="802"/>
        <w:gridCol w:w="668"/>
        <w:gridCol w:w="1507"/>
        <w:gridCol w:w="1000"/>
        <w:gridCol w:w="2245"/>
        <w:gridCol w:w="1351"/>
        <w:gridCol w:w="1256"/>
        <w:gridCol w:w="805"/>
        <w:gridCol w:w="911"/>
        <w:gridCol w:w="1098"/>
        <w:gridCol w:w="1141"/>
      </w:tblGrid>
      <w:tr>
        <w:trPr>
          <w:trHeight w:val="230" w:hRule="exact"/>
        </w:trPr>
        <w:tc>
          <w:tcPr>
            <w:tcW w:w="1774"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Style w:val="TableParagraph"/>
              <w:spacing w:line="180" w:lineRule="exact"/>
              <w:ind w:right="228"/>
              <w:jc w:val="right"/>
              <w:rPr>
                <w:rFonts w:ascii="黑体" w:hAnsi="黑体" w:cs="黑体" w:eastAsia="黑体" w:hint="default"/>
                <w:sz w:val="18"/>
                <w:szCs w:val="18"/>
              </w:rPr>
            </w:pPr>
            <w:r>
              <w:rPr>
                <w:rFonts w:ascii="黑体" w:hAnsi="黑体" w:cs="黑体" w:eastAsia="黑体" w:hint="default"/>
                <w:sz w:val="18"/>
                <w:szCs w:val="18"/>
              </w:rPr>
              <w:t>子公司</w:t>
            </w:r>
          </w:p>
        </w:tc>
        <w:tc>
          <w:tcPr>
            <w:tcW w:w="802" w:type="dxa"/>
            <w:tcBorders>
              <w:top w:val="nil" w:sz="6" w:space="0" w:color="auto"/>
              <w:left w:val="nil" w:sz="6" w:space="0" w:color="auto"/>
              <w:bottom w:val="nil" w:sz="6" w:space="0" w:color="auto"/>
              <w:right w:val="nil" w:sz="6" w:space="0" w:color="auto"/>
            </w:tcBorders>
          </w:tcPr>
          <w:p>
            <w:pPr/>
          </w:p>
        </w:tc>
        <w:tc>
          <w:tcPr>
            <w:tcW w:w="668" w:type="dxa"/>
            <w:tcBorders>
              <w:top w:val="nil" w:sz="6" w:space="0" w:color="auto"/>
              <w:left w:val="nil" w:sz="6" w:space="0" w:color="auto"/>
              <w:bottom w:val="nil" w:sz="6" w:space="0" w:color="auto"/>
              <w:right w:val="nil" w:sz="6" w:space="0" w:color="auto"/>
            </w:tcBorders>
          </w:tcPr>
          <w:p>
            <w:pPr>
              <w:pStyle w:val="TableParagraph"/>
              <w:spacing w:line="180" w:lineRule="exact"/>
              <w:ind w:right="25"/>
              <w:jc w:val="right"/>
              <w:rPr>
                <w:rFonts w:ascii="黑体" w:hAnsi="黑体" w:cs="黑体" w:eastAsia="黑体" w:hint="default"/>
                <w:sz w:val="18"/>
                <w:szCs w:val="18"/>
              </w:rPr>
            </w:pPr>
            <w:r>
              <w:rPr>
                <w:rFonts w:ascii="黑体" w:hAnsi="黑体" w:cs="黑体" w:eastAsia="黑体" w:hint="default"/>
                <w:sz w:val="18"/>
                <w:szCs w:val="18"/>
              </w:rPr>
              <w:t>法定</w:t>
            </w:r>
          </w:p>
        </w:tc>
        <w:tc>
          <w:tcPr>
            <w:tcW w:w="1507" w:type="dxa"/>
            <w:tcBorders>
              <w:top w:val="nil" w:sz="6" w:space="0" w:color="auto"/>
              <w:left w:val="nil" w:sz="6" w:space="0" w:color="auto"/>
              <w:bottom w:val="nil" w:sz="6" w:space="0" w:color="auto"/>
              <w:right w:val="nil" w:sz="6" w:space="0" w:color="auto"/>
            </w:tcBorders>
          </w:tcPr>
          <w:p>
            <w:pPr/>
          </w:p>
        </w:tc>
        <w:tc>
          <w:tcPr>
            <w:tcW w:w="1000" w:type="dxa"/>
            <w:tcBorders>
              <w:top w:val="nil" w:sz="6" w:space="0" w:color="auto"/>
              <w:left w:val="nil" w:sz="6" w:space="0" w:color="auto"/>
              <w:bottom w:val="nil" w:sz="6" w:space="0" w:color="auto"/>
              <w:right w:val="nil" w:sz="6" w:space="0" w:color="auto"/>
            </w:tcBorders>
          </w:tcPr>
          <w:p>
            <w:pPr/>
          </w:p>
        </w:tc>
        <w:tc>
          <w:tcPr>
            <w:tcW w:w="2245"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180" w:lineRule="exact"/>
              <w:ind w:right="219"/>
              <w:jc w:val="right"/>
              <w:rPr>
                <w:rFonts w:ascii="黑体" w:hAnsi="黑体" w:cs="黑体" w:eastAsia="黑体" w:hint="default"/>
                <w:sz w:val="18"/>
                <w:szCs w:val="18"/>
              </w:rPr>
            </w:pPr>
            <w:r>
              <w:rPr>
                <w:rFonts w:ascii="黑体" w:hAnsi="黑体" w:cs="黑体" w:eastAsia="黑体" w:hint="default"/>
                <w:sz w:val="18"/>
                <w:szCs w:val="18"/>
              </w:rPr>
              <w:t>组织机构</w:t>
            </w:r>
          </w:p>
        </w:tc>
        <w:tc>
          <w:tcPr>
            <w:tcW w:w="1256" w:type="dxa"/>
            <w:tcBorders>
              <w:top w:val="nil" w:sz="6" w:space="0" w:color="auto"/>
              <w:left w:val="nil" w:sz="6" w:space="0" w:color="auto"/>
              <w:bottom w:val="nil" w:sz="6" w:space="0" w:color="auto"/>
              <w:right w:val="nil" w:sz="6" w:space="0" w:color="auto"/>
            </w:tcBorders>
          </w:tcPr>
          <w:p>
            <w:pPr>
              <w:pStyle w:val="TableParagraph"/>
              <w:spacing w:line="180" w:lineRule="exact"/>
              <w:ind w:right="232"/>
              <w:jc w:val="right"/>
              <w:rPr>
                <w:rFonts w:ascii="黑体" w:hAnsi="黑体" w:cs="黑体" w:eastAsia="黑体" w:hint="default"/>
                <w:sz w:val="18"/>
                <w:szCs w:val="18"/>
              </w:rPr>
            </w:pPr>
            <w:r>
              <w:rPr>
                <w:rFonts w:ascii="黑体" w:hAnsi="黑体" w:cs="黑体" w:eastAsia="黑体" w:hint="default"/>
                <w:sz w:val="18"/>
                <w:szCs w:val="18"/>
              </w:rPr>
              <w:t>年末实际</w:t>
            </w:r>
          </w:p>
        </w:tc>
        <w:tc>
          <w:tcPr>
            <w:tcW w:w="805" w:type="dxa"/>
            <w:tcBorders>
              <w:top w:val="nil" w:sz="6" w:space="0" w:color="auto"/>
              <w:left w:val="nil" w:sz="6" w:space="0" w:color="auto"/>
              <w:bottom w:val="nil" w:sz="6" w:space="0" w:color="auto"/>
              <w:right w:val="nil" w:sz="6" w:space="0" w:color="auto"/>
            </w:tcBorders>
          </w:tcPr>
          <w:p>
            <w:pPr>
              <w:pStyle w:val="TableParagraph"/>
              <w:spacing w:line="180" w:lineRule="exact"/>
              <w:ind w:right="211"/>
              <w:jc w:val="right"/>
              <w:rPr>
                <w:rFonts w:ascii="黑体" w:hAnsi="黑体" w:cs="黑体" w:eastAsia="黑体" w:hint="default"/>
                <w:sz w:val="18"/>
                <w:szCs w:val="18"/>
              </w:rPr>
            </w:pPr>
            <w:r>
              <w:rPr>
                <w:rFonts w:ascii="黑体" w:hAnsi="黑体" w:cs="黑体" w:eastAsia="黑体" w:hint="default"/>
                <w:sz w:val="18"/>
                <w:szCs w:val="18"/>
              </w:rPr>
              <w:t>持股</w:t>
            </w:r>
          </w:p>
        </w:tc>
        <w:tc>
          <w:tcPr>
            <w:tcW w:w="911" w:type="dxa"/>
            <w:tcBorders>
              <w:top w:val="nil" w:sz="6" w:space="0" w:color="auto"/>
              <w:left w:val="nil" w:sz="6" w:space="0" w:color="auto"/>
              <w:bottom w:val="nil" w:sz="6" w:space="0" w:color="auto"/>
              <w:right w:val="nil" w:sz="6" w:space="0" w:color="auto"/>
            </w:tcBorders>
          </w:tcPr>
          <w:p>
            <w:pPr>
              <w:pStyle w:val="TableParagraph"/>
              <w:spacing w:line="180" w:lineRule="exact"/>
              <w:ind w:right="157"/>
              <w:jc w:val="right"/>
              <w:rPr>
                <w:rFonts w:ascii="黑体" w:hAnsi="黑体" w:cs="黑体" w:eastAsia="黑体" w:hint="default"/>
                <w:sz w:val="18"/>
                <w:szCs w:val="18"/>
              </w:rPr>
            </w:pPr>
            <w:r>
              <w:rPr>
                <w:rFonts w:ascii="黑体" w:hAnsi="黑体" w:cs="黑体" w:eastAsia="黑体" w:hint="default"/>
                <w:sz w:val="18"/>
                <w:szCs w:val="18"/>
              </w:rPr>
              <w:t>表决权</w:t>
            </w:r>
          </w:p>
        </w:tc>
        <w:tc>
          <w:tcPr>
            <w:tcW w:w="1098" w:type="dxa"/>
            <w:tcBorders>
              <w:top w:val="nil" w:sz="6" w:space="0" w:color="auto"/>
              <w:left w:val="nil" w:sz="6" w:space="0" w:color="auto"/>
              <w:bottom w:val="nil" w:sz="6" w:space="0" w:color="auto"/>
              <w:right w:val="nil" w:sz="6" w:space="0" w:color="auto"/>
            </w:tcBorders>
          </w:tcPr>
          <w:p>
            <w:pPr>
              <w:pStyle w:val="TableParagraph"/>
              <w:spacing w:line="180" w:lineRule="exact"/>
              <w:ind w:right="218"/>
              <w:jc w:val="right"/>
              <w:rPr>
                <w:rFonts w:ascii="黑体" w:hAnsi="黑体" w:cs="黑体" w:eastAsia="黑体" w:hint="default"/>
                <w:sz w:val="18"/>
                <w:szCs w:val="18"/>
              </w:rPr>
            </w:pPr>
            <w:r>
              <w:rPr>
                <w:rFonts w:ascii="黑体" w:hAnsi="黑体" w:cs="黑体" w:eastAsia="黑体" w:hint="default"/>
                <w:sz w:val="18"/>
                <w:szCs w:val="18"/>
              </w:rPr>
              <w:t>是否</w:t>
            </w:r>
          </w:p>
        </w:tc>
        <w:tc>
          <w:tcPr>
            <w:tcW w:w="1141" w:type="dxa"/>
            <w:tcBorders>
              <w:top w:val="nil" w:sz="6" w:space="0" w:color="auto"/>
              <w:left w:val="nil" w:sz="6" w:space="0" w:color="auto"/>
              <w:bottom w:val="nil" w:sz="6" w:space="0" w:color="auto"/>
              <w:right w:val="nil" w:sz="6" w:space="0" w:color="auto"/>
            </w:tcBorders>
          </w:tcPr>
          <w:p>
            <w:pPr>
              <w:pStyle w:val="TableParagraph"/>
              <w:spacing w:line="180" w:lineRule="exact"/>
              <w:ind w:right="198"/>
              <w:jc w:val="right"/>
              <w:rPr>
                <w:rFonts w:ascii="黑体" w:hAnsi="黑体" w:cs="黑体" w:eastAsia="黑体" w:hint="default"/>
                <w:sz w:val="18"/>
                <w:szCs w:val="18"/>
              </w:rPr>
            </w:pPr>
            <w:r>
              <w:rPr>
                <w:rFonts w:ascii="黑体" w:hAnsi="黑体" w:cs="黑体" w:eastAsia="黑体" w:hint="default"/>
                <w:sz w:val="18"/>
                <w:szCs w:val="18"/>
              </w:rPr>
              <w:t>少数股东</w:t>
            </w:r>
          </w:p>
        </w:tc>
      </w:tr>
      <w:tr>
        <w:trPr>
          <w:trHeight w:val="285" w:hRule="exact"/>
        </w:trPr>
        <w:tc>
          <w:tcPr>
            <w:tcW w:w="1774" w:type="dxa"/>
            <w:tcBorders>
              <w:top w:val="nil" w:sz="6" w:space="0" w:color="auto"/>
              <w:left w:val="nil" w:sz="6" w:space="0" w:color="auto"/>
              <w:bottom w:val="nil" w:sz="6" w:space="0" w:color="auto"/>
              <w:right w:val="nil" w:sz="6" w:space="0" w:color="auto"/>
            </w:tcBorders>
          </w:tcPr>
          <w:p>
            <w:pPr>
              <w:pStyle w:val="TableParagraph"/>
              <w:spacing w:line="230" w:lineRule="exact"/>
              <w:ind w:left="418" w:right="0"/>
              <w:jc w:val="left"/>
              <w:rPr>
                <w:rFonts w:ascii="黑体" w:hAnsi="黑体" w:cs="黑体" w:eastAsia="黑体" w:hint="default"/>
                <w:sz w:val="18"/>
                <w:szCs w:val="18"/>
              </w:rPr>
            </w:pPr>
            <w:r>
              <w:rPr>
                <w:rFonts w:ascii="黑体" w:hAnsi="黑体" w:cs="黑体" w:eastAsia="黑体" w:hint="default"/>
                <w:sz w:val="18"/>
                <w:szCs w:val="18"/>
              </w:rPr>
              <w:t>被投资单位名称</w:t>
            </w:r>
          </w:p>
        </w:tc>
        <w:tc>
          <w:tcPr>
            <w:tcW w:w="1313" w:type="dxa"/>
            <w:tcBorders>
              <w:top w:val="nil" w:sz="6" w:space="0" w:color="auto"/>
              <w:left w:val="nil" w:sz="6" w:space="0" w:color="auto"/>
              <w:bottom w:val="nil" w:sz="6" w:space="0" w:color="auto"/>
              <w:right w:val="nil" w:sz="6" w:space="0" w:color="auto"/>
            </w:tcBorders>
          </w:tcPr>
          <w:p>
            <w:pPr>
              <w:pStyle w:val="TableParagraph"/>
              <w:spacing w:line="230" w:lineRule="exact"/>
              <w:ind w:right="228"/>
              <w:jc w:val="right"/>
              <w:rPr>
                <w:rFonts w:ascii="黑体" w:hAnsi="黑体" w:cs="黑体" w:eastAsia="黑体" w:hint="default"/>
                <w:sz w:val="18"/>
                <w:szCs w:val="18"/>
              </w:rPr>
            </w:pPr>
            <w:r>
              <w:rPr>
                <w:rFonts w:ascii="黑体" w:hAnsi="黑体" w:cs="黑体" w:eastAsia="黑体" w:hint="default"/>
                <w:sz w:val="18"/>
                <w:szCs w:val="18"/>
              </w:rPr>
              <w:t>类型</w:t>
            </w:r>
          </w:p>
        </w:tc>
        <w:tc>
          <w:tcPr>
            <w:tcW w:w="802" w:type="dxa"/>
            <w:tcBorders>
              <w:top w:val="nil" w:sz="6" w:space="0" w:color="auto"/>
              <w:left w:val="nil" w:sz="6" w:space="0" w:color="auto"/>
              <w:bottom w:val="nil" w:sz="6" w:space="0" w:color="auto"/>
              <w:right w:val="nil" w:sz="6" w:space="0" w:color="auto"/>
            </w:tcBorders>
          </w:tcPr>
          <w:p>
            <w:pPr>
              <w:pStyle w:val="TableParagraph"/>
              <w:spacing w:line="230" w:lineRule="exact"/>
              <w:ind w:right="98"/>
              <w:jc w:val="right"/>
              <w:rPr>
                <w:rFonts w:ascii="黑体" w:hAnsi="黑体" w:cs="黑体" w:eastAsia="黑体" w:hint="default"/>
                <w:sz w:val="18"/>
                <w:szCs w:val="18"/>
              </w:rPr>
            </w:pPr>
            <w:r>
              <w:rPr>
                <w:rFonts w:ascii="黑体" w:hAnsi="黑体" w:cs="黑体" w:eastAsia="黑体" w:hint="default"/>
                <w:sz w:val="18"/>
                <w:szCs w:val="18"/>
              </w:rPr>
              <w:t>注册地</w:t>
            </w:r>
          </w:p>
        </w:tc>
        <w:tc>
          <w:tcPr>
            <w:tcW w:w="668" w:type="dxa"/>
            <w:tcBorders>
              <w:top w:val="nil" w:sz="6" w:space="0" w:color="auto"/>
              <w:left w:val="nil" w:sz="6" w:space="0" w:color="auto"/>
              <w:bottom w:val="nil" w:sz="6" w:space="0" w:color="auto"/>
              <w:right w:val="nil" w:sz="6" w:space="0" w:color="auto"/>
            </w:tcBorders>
          </w:tcPr>
          <w:p>
            <w:pPr>
              <w:pStyle w:val="TableParagraph"/>
              <w:spacing w:line="230" w:lineRule="exact"/>
              <w:ind w:right="25"/>
              <w:jc w:val="right"/>
              <w:rPr>
                <w:rFonts w:ascii="黑体" w:hAnsi="黑体" w:cs="黑体" w:eastAsia="黑体" w:hint="default"/>
                <w:sz w:val="18"/>
                <w:szCs w:val="18"/>
              </w:rPr>
            </w:pPr>
            <w:r>
              <w:rPr>
                <w:rFonts w:ascii="黑体" w:hAnsi="黑体" w:cs="黑体" w:eastAsia="黑体" w:hint="default"/>
                <w:sz w:val="18"/>
                <w:szCs w:val="18"/>
              </w:rPr>
              <w:t>代表人</w:t>
            </w:r>
          </w:p>
        </w:tc>
        <w:tc>
          <w:tcPr>
            <w:tcW w:w="1507" w:type="dxa"/>
            <w:tcBorders>
              <w:top w:val="nil" w:sz="6" w:space="0" w:color="auto"/>
              <w:left w:val="nil" w:sz="6" w:space="0" w:color="auto"/>
              <w:bottom w:val="nil" w:sz="6" w:space="0" w:color="auto"/>
              <w:right w:val="nil" w:sz="6" w:space="0" w:color="auto"/>
            </w:tcBorders>
          </w:tcPr>
          <w:p>
            <w:pPr>
              <w:pStyle w:val="TableParagraph"/>
              <w:spacing w:line="230" w:lineRule="exact"/>
              <w:ind w:left="533" w:right="0"/>
              <w:jc w:val="left"/>
              <w:rPr>
                <w:rFonts w:ascii="黑体" w:hAnsi="黑体" w:cs="黑体" w:eastAsia="黑体" w:hint="default"/>
                <w:sz w:val="18"/>
                <w:szCs w:val="18"/>
              </w:rPr>
            </w:pPr>
            <w:r>
              <w:rPr>
                <w:rFonts w:ascii="黑体" w:hAnsi="黑体" w:cs="黑体" w:eastAsia="黑体" w:hint="default"/>
                <w:sz w:val="18"/>
                <w:szCs w:val="18"/>
              </w:rPr>
              <w:t>业务性质</w:t>
            </w:r>
          </w:p>
        </w:tc>
        <w:tc>
          <w:tcPr>
            <w:tcW w:w="1000" w:type="dxa"/>
            <w:tcBorders>
              <w:top w:val="nil" w:sz="6" w:space="0" w:color="auto"/>
              <w:left w:val="nil" w:sz="6" w:space="0" w:color="auto"/>
              <w:bottom w:val="nil" w:sz="6" w:space="0" w:color="auto"/>
              <w:right w:val="nil" w:sz="6" w:space="0" w:color="auto"/>
            </w:tcBorders>
          </w:tcPr>
          <w:p>
            <w:pPr>
              <w:pStyle w:val="TableParagraph"/>
              <w:spacing w:line="230" w:lineRule="exact"/>
              <w:ind w:right="26"/>
              <w:jc w:val="right"/>
              <w:rPr>
                <w:rFonts w:ascii="黑体" w:hAnsi="黑体" w:cs="黑体" w:eastAsia="黑体" w:hint="default"/>
                <w:sz w:val="18"/>
                <w:szCs w:val="18"/>
              </w:rPr>
            </w:pPr>
            <w:r>
              <w:rPr>
                <w:rFonts w:ascii="黑体" w:hAnsi="黑体" w:cs="黑体" w:eastAsia="黑体" w:hint="default"/>
                <w:sz w:val="18"/>
                <w:szCs w:val="18"/>
              </w:rPr>
              <w:t>注册资本</w:t>
            </w:r>
          </w:p>
        </w:tc>
        <w:tc>
          <w:tcPr>
            <w:tcW w:w="2245" w:type="dxa"/>
            <w:tcBorders>
              <w:top w:val="nil" w:sz="6" w:space="0" w:color="auto"/>
              <w:left w:val="nil" w:sz="6" w:space="0" w:color="auto"/>
              <w:bottom w:val="nil" w:sz="6" w:space="0" w:color="auto"/>
              <w:right w:val="nil" w:sz="6" w:space="0" w:color="auto"/>
            </w:tcBorders>
          </w:tcPr>
          <w:p>
            <w:pPr>
              <w:pStyle w:val="TableParagraph"/>
              <w:spacing w:line="230" w:lineRule="exact"/>
              <w:ind w:left="1264" w:right="0"/>
              <w:jc w:val="left"/>
              <w:rPr>
                <w:rFonts w:ascii="黑体" w:hAnsi="黑体" w:cs="黑体" w:eastAsia="黑体" w:hint="default"/>
                <w:sz w:val="18"/>
                <w:szCs w:val="18"/>
              </w:rPr>
            </w:pPr>
            <w:r>
              <w:rPr>
                <w:rFonts w:ascii="黑体" w:hAnsi="黑体" w:cs="黑体" w:eastAsia="黑体" w:hint="default"/>
                <w:sz w:val="18"/>
                <w:szCs w:val="18"/>
              </w:rPr>
              <w:t>经营范围</w:t>
            </w:r>
          </w:p>
        </w:tc>
        <w:tc>
          <w:tcPr>
            <w:tcW w:w="1351" w:type="dxa"/>
            <w:tcBorders>
              <w:top w:val="nil" w:sz="6" w:space="0" w:color="auto"/>
              <w:left w:val="nil" w:sz="6" w:space="0" w:color="auto"/>
              <w:bottom w:val="nil" w:sz="6" w:space="0" w:color="auto"/>
              <w:right w:val="nil" w:sz="6" w:space="0" w:color="auto"/>
            </w:tcBorders>
          </w:tcPr>
          <w:p>
            <w:pPr>
              <w:pStyle w:val="TableParagraph"/>
              <w:spacing w:line="230" w:lineRule="exact"/>
              <w:ind w:right="219"/>
              <w:jc w:val="right"/>
              <w:rPr>
                <w:rFonts w:ascii="黑体" w:hAnsi="黑体" w:cs="黑体" w:eastAsia="黑体" w:hint="default"/>
                <w:sz w:val="18"/>
                <w:szCs w:val="18"/>
              </w:rPr>
            </w:pPr>
            <w:r>
              <w:rPr>
                <w:rFonts w:ascii="黑体" w:hAnsi="黑体" w:cs="黑体" w:eastAsia="黑体" w:hint="default"/>
                <w:sz w:val="18"/>
                <w:szCs w:val="18"/>
              </w:rPr>
              <w:t>代码</w:t>
            </w:r>
          </w:p>
        </w:tc>
        <w:tc>
          <w:tcPr>
            <w:tcW w:w="1256" w:type="dxa"/>
            <w:tcBorders>
              <w:top w:val="nil" w:sz="6" w:space="0" w:color="auto"/>
              <w:left w:val="nil" w:sz="6" w:space="0" w:color="auto"/>
              <w:bottom w:val="nil" w:sz="6" w:space="0" w:color="auto"/>
              <w:right w:val="nil" w:sz="6" w:space="0" w:color="auto"/>
            </w:tcBorders>
          </w:tcPr>
          <w:p>
            <w:pPr>
              <w:pStyle w:val="TableParagraph"/>
              <w:spacing w:line="230" w:lineRule="exact"/>
              <w:ind w:right="232"/>
              <w:jc w:val="right"/>
              <w:rPr>
                <w:rFonts w:ascii="黑体" w:hAnsi="黑体" w:cs="黑体" w:eastAsia="黑体" w:hint="default"/>
                <w:sz w:val="18"/>
                <w:szCs w:val="18"/>
              </w:rPr>
            </w:pPr>
            <w:r>
              <w:rPr>
                <w:rFonts w:ascii="黑体" w:hAnsi="黑体" w:cs="黑体" w:eastAsia="黑体" w:hint="default"/>
                <w:sz w:val="18"/>
                <w:szCs w:val="18"/>
              </w:rPr>
              <w:t>出资额</w:t>
            </w:r>
          </w:p>
        </w:tc>
        <w:tc>
          <w:tcPr>
            <w:tcW w:w="805" w:type="dxa"/>
            <w:tcBorders>
              <w:top w:val="nil" w:sz="6" w:space="0" w:color="auto"/>
              <w:left w:val="nil" w:sz="6" w:space="0" w:color="auto"/>
              <w:bottom w:val="nil" w:sz="6" w:space="0" w:color="auto"/>
              <w:right w:val="nil" w:sz="6" w:space="0" w:color="auto"/>
            </w:tcBorders>
          </w:tcPr>
          <w:p>
            <w:pPr>
              <w:pStyle w:val="TableParagraph"/>
              <w:spacing w:line="230" w:lineRule="exact"/>
              <w:ind w:right="211"/>
              <w:jc w:val="right"/>
              <w:rPr>
                <w:rFonts w:ascii="黑体" w:hAnsi="黑体" w:cs="黑体" w:eastAsia="黑体" w:hint="default"/>
                <w:sz w:val="18"/>
                <w:szCs w:val="18"/>
              </w:rPr>
            </w:pPr>
            <w:r>
              <w:rPr>
                <w:rFonts w:ascii="黑体" w:hAnsi="黑体" w:cs="黑体" w:eastAsia="黑体" w:hint="default"/>
                <w:sz w:val="18"/>
                <w:szCs w:val="18"/>
              </w:rPr>
              <w:t>比例</w:t>
            </w:r>
          </w:p>
        </w:tc>
        <w:tc>
          <w:tcPr>
            <w:tcW w:w="911" w:type="dxa"/>
            <w:tcBorders>
              <w:top w:val="nil" w:sz="6" w:space="0" w:color="auto"/>
              <w:left w:val="nil" w:sz="6" w:space="0" w:color="auto"/>
              <w:bottom w:val="nil" w:sz="6" w:space="0" w:color="auto"/>
              <w:right w:val="nil" w:sz="6" w:space="0" w:color="auto"/>
            </w:tcBorders>
          </w:tcPr>
          <w:p>
            <w:pPr>
              <w:pStyle w:val="TableParagraph"/>
              <w:spacing w:line="230" w:lineRule="exact"/>
              <w:ind w:right="157"/>
              <w:jc w:val="right"/>
              <w:rPr>
                <w:rFonts w:ascii="黑体" w:hAnsi="黑体" w:cs="黑体" w:eastAsia="黑体" w:hint="default"/>
                <w:sz w:val="18"/>
                <w:szCs w:val="18"/>
              </w:rPr>
            </w:pPr>
            <w:r>
              <w:rPr>
                <w:rFonts w:ascii="黑体" w:hAnsi="黑体" w:cs="黑体" w:eastAsia="黑体" w:hint="default"/>
                <w:sz w:val="18"/>
                <w:szCs w:val="18"/>
              </w:rPr>
              <w:t>比例</w:t>
            </w:r>
          </w:p>
        </w:tc>
        <w:tc>
          <w:tcPr>
            <w:tcW w:w="1098" w:type="dxa"/>
            <w:tcBorders>
              <w:top w:val="nil" w:sz="6" w:space="0" w:color="auto"/>
              <w:left w:val="nil" w:sz="6" w:space="0" w:color="auto"/>
              <w:bottom w:val="nil" w:sz="6" w:space="0" w:color="auto"/>
              <w:right w:val="nil" w:sz="6" w:space="0" w:color="auto"/>
            </w:tcBorders>
          </w:tcPr>
          <w:p>
            <w:pPr>
              <w:pStyle w:val="TableParagraph"/>
              <w:spacing w:line="230" w:lineRule="exact"/>
              <w:ind w:right="218"/>
              <w:jc w:val="right"/>
              <w:rPr>
                <w:rFonts w:ascii="黑体" w:hAnsi="黑体" w:cs="黑体" w:eastAsia="黑体" w:hint="default"/>
                <w:sz w:val="18"/>
                <w:szCs w:val="18"/>
              </w:rPr>
            </w:pPr>
            <w:r>
              <w:rPr>
                <w:rFonts w:ascii="黑体" w:hAnsi="黑体" w:cs="黑体" w:eastAsia="黑体" w:hint="default"/>
                <w:sz w:val="18"/>
                <w:szCs w:val="18"/>
              </w:rPr>
              <w:t>合并报表</w:t>
            </w:r>
          </w:p>
        </w:tc>
        <w:tc>
          <w:tcPr>
            <w:tcW w:w="1141" w:type="dxa"/>
            <w:tcBorders>
              <w:top w:val="nil" w:sz="6" w:space="0" w:color="auto"/>
              <w:left w:val="nil" w:sz="6" w:space="0" w:color="auto"/>
              <w:bottom w:val="nil" w:sz="6" w:space="0" w:color="auto"/>
              <w:right w:val="nil" w:sz="6" w:space="0" w:color="auto"/>
            </w:tcBorders>
          </w:tcPr>
          <w:p>
            <w:pPr>
              <w:pStyle w:val="TableParagraph"/>
              <w:spacing w:line="230" w:lineRule="exact"/>
              <w:ind w:right="198"/>
              <w:jc w:val="right"/>
              <w:rPr>
                <w:rFonts w:ascii="黑体" w:hAnsi="黑体" w:cs="黑体" w:eastAsia="黑体" w:hint="default"/>
                <w:sz w:val="18"/>
                <w:szCs w:val="18"/>
              </w:rPr>
            </w:pPr>
            <w:r>
              <w:rPr>
                <w:rFonts w:ascii="黑体" w:hAnsi="黑体" w:cs="黑体" w:eastAsia="黑体" w:hint="default"/>
                <w:sz w:val="18"/>
                <w:szCs w:val="18"/>
              </w:rPr>
              <w:t>权益</w:t>
            </w:r>
          </w:p>
        </w:tc>
      </w:tr>
      <w:tr>
        <w:trPr>
          <w:trHeight w:val="397" w:hRule="exact"/>
        </w:trPr>
        <w:tc>
          <w:tcPr>
            <w:tcW w:w="1774"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
        </w:tc>
        <w:tc>
          <w:tcPr>
            <w:tcW w:w="802" w:type="dxa"/>
            <w:tcBorders>
              <w:top w:val="nil" w:sz="6" w:space="0" w:color="auto"/>
              <w:left w:val="nil" w:sz="6" w:space="0" w:color="auto"/>
              <w:bottom w:val="nil" w:sz="6" w:space="0" w:color="auto"/>
              <w:right w:val="nil" w:sz="6" w:space="0" w:color="auto"/>
            </w:tcBorders>
          </w:tcPr>
          <w:p>
            <w:pPr/>
          </w:p>
        </w:tc>
        <w:tc>
          <w:tcPr>
            <w:tcW w:w="668" w:type="dxa"/>
            <w:tcBorders>
              <w:top w:val="nil" w:sz="6" w:space="0" w:color="auto"/>
              <w:left w:val="nil" w:sz="6" w:space="0" w:color="auto"/>
              <w:bottom w:val="nil" w:sz="6" w:space="0" w:color="auto"/>
              <w:right w:val="nil" w:sz="6" w:space="0" w:color="auto"/>
            </w:tcBorders>
          </w:tcPr>
          <w:p>
            <w:pPr/>
          </w:p>
        </w:tc>
        <w:tc>
          <w:tcPr>
            <w:tcW w:w="1507" w:type="dxa"/>
            <w:tcBorders>
              <w:top w:val="nil" w:sz="6" w:space="0" w:color="auto"/>
              <w:left w:val="nil" w:sz="6" w:space="0" w:color="auto"/>
              <w:bottom w:val="nil" w:sz="6" w:space="0" w:color="auto"/>
              <w:right w:val="nil" w:sz="6" w:space="0" w:color="auto"/>
            </w:tcBorders>
          </w:tcPr>
          <w:p>
            <w:pPr/>
          </w:p>
        </w:tc>
        <w:tc>
          <w:tcPr>
            <w:tcW w:w="1000" w:type="dxa"/>
            <w:tcBorders>
              <w:top w:val="nil" w:sz="6" w:space="0" w:color="auto"/>
              <w:left w:val="nil" w:sz="6" w:space="0" w:color="auto"/>
              <w:bottom w:val="nil" w:sz="6" w:space="0" w:color="auto"/>
              <w:right w:val="nil" w:sz="6" w:space="0" w:color="auto"/>
            </w:tcBorders>
          </w:tcPr>
          <w:p>
            <w:pPr/>
          </w:p>
        </w:tc>
        <w:tc>
          <w:tcPr>
            <w:tcW w:w="2245"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
        </w:tc>
        <w:tc>
          <w:tcPr>
            <w:tcW w:w="1256" w:type="dxa"/>
            <w:tcBorders>
              <w:top w:val="nil" w:sz="6" w:space="0" w:color="auto"/>
              <w:left w:val="nil" w:sz="6" w:space="0" w:color="auto"/>
              <w:bottom w:val="nil" w:sz="6" w:space="0" w:color="auto"/>
              <w:right w:val="nil" w:sz="6" w:space="0" w:color="auto"/>
            </w:tcBorders>
          </w:tcPr>
          <w:p>
            <w:pPr/>
          </w:p>
        </w:tc>
        <w:tc>
          <w:tcPr>
            <w:tcW w:w="80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11"/>
              <w:jc w:val="right"/>
              <w:rPr>
                <w:rFonts w:ascii="Arial" w:hAnsi="Arial" w:cs="Arial" w:eastAsia="Arial" w:hint="default"/>
                <w:sz w:val="18"/>
                <w:szCs w:val="18"/>
              </w:rPr>
            </w:pPr>
            <w:r>
              <w:rPr>
                <w:rFonts w:ascii="Arial"/>
                <w:w w:val="95"/>
                <w:sz w:val="18"/>
              </w:rPr>
              <w:t>(%)</w:t>
            </w:r>
            <w:r>
              <w:rPr>
                <w:rFonts w:ascii="Arial"/>
                <w:sz w:val="18"/>
              </w:rPr>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57"/>
              <w:jc w:val="right"/>
              <w:rPr>
                <w:rFonts w:ascii="Arial" w:hAnsi="Arial" w:cs="Arial" w:eastAsia="Arial" w:hint="default"/>
                <w:sz w:val="18"/>
                <w:szCs w:val="18"/>
              </w:rPr>
            </w:pPr>
            <w:r>
              <w:rPr>
                <w:rFonts w:ascii="Arial"/>
                <w:w w:val="95"/>
                <w:sz w:val="18"/>
              </w:rPr>
              <w:t>(%)</w:t>
            </w:r>
            <w:r>
              <w:rPr>
                <w:rFonts w:ascii="Arial"/>
                <w:sz w:val="18"/>
              </w:rPr>
            </w:r>
          </w:p>
        </w:tc>
        <w:tc>
          <w:tcPr>
            <w:tcW w:w="1098" w:type="dxa"/>
            <w:tcBorders>
              <w:top w:val="nil" w:sz="6" w:space="0" w:color="auto"/>
              <w:left w:val="nil" w:sz="6" w:space="0" w:color="auto"/>
              <w:bottom w:val="nil" w:sz="6" w:space="0" w:color="auto"/>
              <w:right w:val="nil" w:sz="6" w:space="0" w:color="auto"/>
            </w:tcBorders>
          </w:tcPr>
          <w:p>
            <w:pPr/>
          </w:p>
        </w:tc>
        <w:tc>
          <w:tcPr>
            <w:tcW w:w="1141" w:type="dxa"/>
            <w:tcBorders>
              <w:top w:val="nil" w:sz="6" w:space="0" w:color="auto"/>
              <w:left w:val="nil" w:sz="6" w:space="0" w:color="auto"/>
              <w:bottom w:val="nil" w:sz="6" w:space="0" w:color="auto"/>
              <w:right w:val="nil" w:sz="6" w:space="0" w:color="auto"/>
            </w:tcBorders>
          </w:tcPr>
          <w:p>
            <w:pPr/>
          </w:p>
        </w:tc>
      </w:tr>
      <w:tr>
        <w:trPr>
          <w:trHeight w:val="2122" w:hRule="exact"/>
        </w:trPr>
        <w:tc>
          <w:tcPr>
            <w:tcW w:w="1774" w:type="dxa"/>
            <w:tcBorders>
              <w:top w:val="nil" w:sz="6" w:space="0" w:color="auto"/>
              <w:left w:val="nil" w:sz="6" w:space="0" w:color="auto"/>
              <w:bottom w:val="nil" w:sz="6" w:space="0" w:color="auto"/>
              <w:right w:val="nil" w:sz="6" w:space="0" w:color="auto"/>
            </w:tcBorders>
          </w:tcPr>
          <w:p>
            <w:pPr>
              <w:pStyle w:val="TableParagraph"/>
              <w:spacing w:line="232" w:lineRule="exact" w:before="131"/>
              <w:ind w:left="428" w:right="72" w:hanging="216"/>
              <w:jc w:val="both"/>
              <w:rPr>
                <w:rFonts w:ascii="Arial" w:hAnsi="Arial" w:cs="Arial" w:eastAsia="Arial" w:hint="default"/>
                <w:sz w:val="18"/>
                <w:szCs w:val="18"/>
              </w:rPr>
            </w:pPr>
            <w:r>
              <w:rPr>
                <w:rFonts w:ascii="黑体" w:hAnsi="黑体" w:cs="黑体" w:eastAsia="黑体" w:hint="default"/>
                <w:spacing w:val="3"/>
                <w:sz w:val="18"/>
                <w:szCs w:val="18"/>
              </w:rPr>
              <w:t>广东用友软件有限</w:t>
            </w:r>
            <w:r>
              <w:rPr>
                <w:rFonts w:ascii="黑体" w:hAnsi="黑体" w:cs="黑体" w:eastAsia="黑体" w:hint="default"/>
                <w:spacing w:val="-87"/>
                <w:sz w:val="18"/>
                <w:szCs w:val="18"/>
              </w:rPr>
              <w:t> </w:t>
            </w:r>
            <w:r>
              <w:rPr>
                <w:rFonts w:ascii="黑体" w:hAnsi="黑体" w:cs="黑体" w:eastAsia="黑体" w:hint="default"/>
                <w:spacing w:val="-87"/>
                <w:sz w:val="18"/>
                <w:szCs w:val="18"/>
              </w:rPr>
            </w:r>
            <w:r>
              <w:rPr>
                <w:rFonts w:ascii="黑体" w:hAnsi="黑体" w:cs="黑体" w:eastAsia="黑体" w:hint="default"/>
                <w:spacing w:val="12"/>
                <w:sz w:val="18"/>
                <w:szCs w:val="18"/>
              </w:rPr>
              <w:t>公司</w:t>
            </w:r>
            <w:r>
              <w:rPr>
                <w:rFonts w:ascii="Arial" w:hAnsi="Arial" w:cs="Arial" w:eastAsia="Arial" w:hint="default"/>
                <w:spacing w:val="12"/>
                <w:sz w:val="18"/>
                <w:szCs w:val="18"/>
              </w:rPr>
              <w:t>(</w:t>
            </w:r>
            <w:r>
              <w:rPr>
                <w:rFonts w:ascii="Arial" w:hAnsi="Arial" w:cs="Arial" w:eastAsia="Arial" w:hint="default"/>
                <w:spacing w:val="-30"/>
                <w:sz w:val="18"/>
                <w:szCs w:val="18"/>
              </w:rPr>
              <w:t> </w:t>
            </w:r>
            <w:r>
              <w:rPr>
                <w:rFonts w:ascii="黑体" w:hAnsi="黑体" w:cs="黑体" w:eastAsia="黑体" w:hint="default"/>
                <w:spacing w:val="13"/>
                <w:sz w:val="18"/>
                <w:szCs w:val="18"/>
              </w:rPr>
              <w:t>以下简称</w:t>
            </w:r>
            <w:r>
              <w:rPr>
                <w:rFonts w:ascii="黑体" w:hAnsi="黑体" w:cs="黑体" w:eastAsia="黑体" w:hint="default"/>
                <w:spacing w:val="-71"/>
                <w:sz w:val="18"/>
                <w:szCs w:val="18"/>
              </w:rPr>
              <w:t> </w:t>
            </w:r>
            <w:r>
              <w:rPr>
                <w:rFonts w:ascii="Arial" w:hAnsi="Arial" w:cs="Arial" w:eastAsia="Arial" w:hint="default"/>
                <w:sz w:val="18"/>
                <w:szCs w:val="18"/>
              </w:rPr>
              <w:t>“</w:t>
            </w:r>
            <w:r>
              <w:rPr>
                <w:rFonts w:ascii="黑体" w:hAnsi="黑体" w:cs="黑体" w:eastAsia="黑体" w:hint="default"/>
                <w:sz w:val="18"/>
                <w:szCs w:val="18"/>
              </w:rPr>
              <w:t>广东用友</w:t>
            </w:r>
            <w:r>
              <w:rPr>
                <w:rFonts w:ascii="Arial" w:hAnsi="Arial" w:cs="Arial" w:eastAsia="Arial" w:hint="default"/>
                <w:sz w:val="18"/>
                <w:szCs w:val="18"/>
              </w:rPr>
              <w:t>”)</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58"/>
              <w:jc w:val="right"/>
              <w:rPr>
                <w:rFonts w:ascii="黑体" w:hAnsi="黑体" w:cs="黑体" w:eastAsia="黑体" w:hint="default"/>
                <w:sz w:val="18"/>
                <w:szCs w:val="18"/>
              </w:rPr>
            </w:pPr>
            <w:r>
              <w:rPr>
                <w:rFonts w:ascii="黑体" w:hAnsi="黑体" w:cs="黑体" w:eastAsia="黑体" w:hint="default"/>
                <w:sz w:val="18"/>
                <w:szCs w:val="18"/>
              </w:rPr>
              <w:t>有限责任公司</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98"/>
              <w:jc w:val="right"/>
              <w:rPr>
                <w:rFonts w:ascii="黑体" w:hAnsi="黑体" w:cs="黑体" w:eastAsia="黑体" w:hint="default"/>
                <w:sz w:val="18"/>
                <w:szCs w:val="18"/>
              </w:rPr>
            </w:pPr>
            <w:r>
              <w:rPr>
                <w:rFonts w:ascii="黑体" w:hAnsi="黑体" w:cs="黑体" w:eastAsia="黑体" w:hint="default"/>
                <w:sz w:val="18"/>
                <w:szCs w:val="18"/>
              </w:rPr>
              <w:t>广州市</w:t>
            </w:r>
          </w:p>
        </w:tc>
        <w:tc>
          <w:tcPr>
            <w:tcW w:w="66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5"/>
              <w:jc w:val="right"/>
              <w:rPr>
                <w:rFonts w:ascii="黑体" w:hAnsi="黑体" w:cs="黑体" w:eastAsia="黑体" w:hint="default"/>
                <w:sz w:val="18"/>
                <w:szCs w:val="18"/>
              </w:rPr>
            </w:pPr>
            <w:r>
              <w:rPr>
                <w:rFonts w:ascii="黑体" w:hAnsi="黑体" w:cs="黑体" w:eastAsia="黑体" w:hint="default"/>
                <w:sz w:val="18"/>
                <w:szCs w:val="18"/>
              </w:rPr>
              <w:t>王文京</w:t>
            </w:r>
          </w:p>
        </w:tc>
        <w:tc>
          <w:tcPr>
            <w:tcW w:w="1507" w:type="dxa"/>
            <w:tcBorders>
              <w:top w:val="nil" w:sz="6" w:space="0" w:color="auto"/>
              <w:left w:val="nil" w:sz="6" w:space="0" w:color="auto"/>
              <w:bottom w:val="nil" w:sz="6" w:space="0" w:color="auto"/>
              <w:right w:val="nil" w:sz="6" w:space="0" w:color="auto"/>
            </w:tcBorders>
          </w:tcPr>
          <w:p>
            <w:pPr>
              <w:pStyle w:val="TableParagraph"/>
              <w:spacing w:line="232" w:lineRule="exact" w:before="131"/>
              <w:ind w:left="27" w:right="217"/>
              <w:jc w:val="left"/>
              <w:rPr>
                <w:rFonts w:ascii="黑体" w:hAnsi="黑体" w:cs="黑体" w:eastAsia="黑体" w:hint="default"/>
                <w:sz w:val="18"/>
                <w:szCs w:val="18"/>
              </w:rPr>
            </w:pPr>
            <w:r>
              <w:rPr>
                <w:rFonts w:ascii="黑体" w:hAnsi="黑体" w:cs="黑体" w:eastAsia="黑体" w:hint="default"/>
                <w:sz w:val="18"/>
                <w:szCs w:val="18"/>
              </w:rPr>
              <w:t>计算机软</w:t>
            </w:r>
            <w:r>
              <w:rPr>
                <w:rFonts w:ascii="Arial" w:hAnsi="Arial" w:cs="Arial" w:eastAsia="Arial" w:hint="default"/>
                <w:sz w:val="18"/>
                <w:szCs w:val="18"/>
              </w:rPr>
              <w:t>/</w:t>
            </w:r>
            <w:r>
              <w:rPr>
                <w:rFonts w:ascii="黑体" w:hAnsi="黑体" w:cs="黑体" w:eastAsia="黑体" w:hint="default"/>
                <w:sz w:val="18"/>
                <w:szCs w:val="18"/>
              </w:rPr>
              <w:t>硬件</w:t>
            </w:r>
            <w:r>
              <w:rPr>
                <w:rFonts w:ascii="Arial" w:hAnsi="Arial" w:cs="Arial" w:eastAsia="Arial" w:hint="default"/>
                <w:sz w:val="18"/>
                <w:szCs w:val="18"/>
              </w:rPr>
              <w:t>/</w:t>
            </w:r>
            <w:r>
              <w:rPr>
                <w:rFonts w:ascii="Arial" w:hAnsi="Arial" w:cs="Arial" w:eastAsia="Arial" w:hint="default"/>
                <w:w w:val="100"/>
                <w:sz w:val="18"/>
                <w:szCs w:val="18"/>
              </w:rPr>
              <w:t> </w:t>
            </w:r>
            <w:r>
              <w:rPr>
                <w:rFonts w:ascii="黑体" w:hAnsi="黑体" w:cs="黑体" w:eastAsia="黑体" w:hint="default"/>
                <w:sz w:val="18"/>
                <w:szCs w:val="18"/>
              </w:rPr>
              <w:t>网络、技术咨询 及电子行业</w:t>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24"/>
              <w:jc w:val="right"/>
              <w:rPr>
                <w:rFonts w:ascii="Arial" w:hAnsi="Arial" w:cs="Arial" w:eastAsia="Arial" w:hint="default"/>
                <w:sz w:val="18"/>
                <w:szCs w:val="18"/>
              </w:rPr>
            </w:pPr>
            <w:r>
              <w:rPr>
                <w:rFonts w:ascii="Arial"/>
                <w:spacing w:val="-1"/>
                <w:sz w:val="18"/>
              </w:rPr>
              <w:t>5,000,000</w:t>
            </w:r>
          </w:p>
        </w:tc>
        <w:tc>
          <w:tcPr>
            <w:tcW w:w="2245" w:type="dxa"/>
            <w:tcBorders>
              <w:top w:val="nil" w:sz="6" w:space="0" w:color="auto"/>
              <w:left w:val="nil" w:sz="6" w:space="0" w:color="auto"/>
              <w:bottom w:val="nil" w:sz="6" w:space="0" w:color="auto"/>
              <w:right w:val="nil" w:sz="6" w:space="0" w:color="auto"/>
            </w:tcBorders>
          </w:tcPr>
          <w:p>
            <w:pPr>
              <w:pStyle w:val="TableParagraph"/>
              <w:spacing w:line="237" w:lineRule="auto" w:before="109"/>
              <w:ind w:left="26" w:right="167"/>
              <w:jc w:val="left"/>
              <w:rPr>
                <w:rFonts w:ascii="黑体" w:hAnsi="黑体" w:cs="黑体" w:eastAsia="黑体" w:hint="default"/>
                <w:sz w:val="18"/>
                <w:szCs w:val="18"/>
              </w:rPr>
            </w:pPr>
            <w:r>
              <w:rPr>
                <w:rFonts w:ascii="黑体" w:hAnsi="黑体" w:cs="黑体" w:eastAsia="黑体" w:hint="default"/>
                <w:sz w:val="18"/>
                <w:szCs w:val="18"/>
              </w:rPr>
              <w:t>电子计算机软硬件、网络 工程的技术服务、技术转 </w:t>
            </w:r>
            <w:r>
              <w:rPr>
                <w:rFonts w:ascii="黑体" w:hAnsi="黑体" w:cs="黑体" w:eastAsia="黑体" w:hint="default"/>
                <w:spacing w:val="-10"/>
                <w:sz w:val="18"/>
                <w:szCs w:val="18"/>
              </w:rPr>
              <w:t>让、信息咨询、技术培训、</w:t>
            </w:r>
            <w:r>
              <w:rPr>
                <w:rFonts w:ascii="黑体" w:hAnsi="黑体" w:cs="黑体" w:eastAsia="黑体" w:hint="default"/>
                <w:spacing w:val="-82"/>
                <w:sz w:val="18"/>
                <w:szCs w:val="18"/>
              </w:rPr>
              <w:t> </w:t>
            </w:r>
            <w:r>
              <w:rPr>
                <w:rFonts w:ascii="黑体" w:hAnsi="黑体" w:cs="黑体" w:eastAsia="黑体" w:hint="default"/>
                <w:spacing w:val="-82"/>
                <w:sz w:val="18"/>
                <w:szCs w:val="18"/>
              </w:rPr>
            </w:r>
            <w:r>
              <w:rPr>
                <w:rFonts w:ascii="黑体" w:hAnsi="黑体" w:cs="黑体" w:eastAsia="黑体" w:hint="default"/>
                <w:sz w:val="18"/>
                <w:szCs w:val="18"/>
              </w:rPr>
              <w:t>数据库服务；销售电子计</w:t>
            </w:r>
            <w:r>
              <w:rPr>
                <w:rFonts w:ascii="黑体" w:hAnsi="黑体" w:cs="黑体" w:eastAsia="黑体" w:hint="default"/>
                <w:sz w:val="18"/>
                <w:szCs w:val="18"/>
              </w:rPr>
              <w:t> 算机及配件、办公设备、 电子产品及通信设备（不 含广播、电视接收、发射 设备）；企业管理咨询。</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217"/>
              <w:jc w:val="right"/>
              <w:rPr>
                <w:rFonts w:ascii="Arial" w:hAnsi="Arial" w:cs="Arial" w:eastAsia="Arial" w:hint="default"/>
                <w:sz w:val="18"/>
                <w:szCs w:val="18"/>
              </w:rPr>
            </w:pPr>
            <w:r>
              <w:rPr>
                <w:rFonts w:ascii="Arial"/>
                <w:spacing w:val="-1"/>
                <w:sz w:val="18"/>
              </w:rPr>
              <w:t>19037504-8</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229"/>
              <w:jc w:val="right"/>
              <w:rPr>
                <w:rFonts w:ascii="Arial" w:hAnsi="Arial" w:cs="Arial" w:eastAsia="Arial" w:hint="default"/>
                <w:sz w:val="18"/>
                <w:szCs w:val="18"/>
              </w:rPr>
            </w:pPr>
            <w:r>
              <w:rPr>
                <w:rFonts w:ascii="Arial"/>
                <w:spacing w:val="-1"/>
                <w:sz w:val="18"/>
              </w:rPr>
              <w:t>8,390,000</w:t>
            </w:r>
          </w:p>
        </w:tc>
        <w:tc>
          <w:tcPr>
            <w:tcW w:w="805"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209"/>
              <w:jc w:val="right"/>
              <w:rPr>
                <w:rFonts w:ascii="Arial" w:hAnsi="Arial" w:cs="Arial" w:eastAsia="Arial" w:hint="default"/>
                <w:sz w:val="18"/>
                <w:szCs w:val="18"/>
              </w:rPr>
            </w:pPr>
            <w:r>
              <w:rPr>
                <w:rFonts w:ascii="Arial"/>
                <w:w w:val="95"/>
                <w:sz w:val="18"/>
              </w:rPr>
              <w:t>100</w:t>
            </w:r>
            <w:r>
              <w:rPr>
                <w:rFonts w:ascii="Arial"/>
                <w:sz w:val="18"/>
              </w:rPr>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55"/>
              <w:jc w:val="right"/>
              <w:rPr>
                <w:rFonts w:ascii="Arial" w:hAnsi="Arial" w:cs="Arial" w:eastAsia="Arial" w:hint="default"/>
                <w:sz w:val="18"/>
                <w:szCs w:val="18"/>
              </w:rPr>
            </w:pPr>
            <w:r>
              <w:rPr>
                <w:rFonts w:ascii="Arial"/>
                <w:w w:val="95"/>
                <w:sz w:val="18"/>
              </w:rPr>
              <w:t>100</w:t>
            </w:r>
            <w:r>
              <w:rPr>
                <w:rFonts w:ascii="Arial"/>
                <w:sz w:val="18"/>
              </w:rPr>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18"/>
              <w:jc w:val="right"/>
              <w:rPr>
                <w:rFonts w:ascii="黑体" w:hAnsi="黑体" w:cs="黑体" w:eastAsia="黑体" w:hint="default"/>
                <w:sz w:val="18"/>
                <w:szCs w:val="18"/>
              </w:rPr>
            </w:pPr>
            <w:r>
              <w:rPr>
                <w:rFonts w:ascii="黑体" w:hAnsi="黑体" w:cs="黑体" w:eastAsia="黑体" w:hint="default"/>
                <w:sz w:val="18"/>
                <w:szCs w:val="18"/>
              </w:rPr>
              <w:t>是</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1442" w:hRule="exact"/>
        </w:trPr>
        <w:tc>
          <w:tcPr>
            <w:tcW w:w="1774" w:type="dxa"/>
            <w:tcBorders>
              <w:top w:val="nil" w:sz="6" w:space="0" w:color="auto"/>
              <w:left w:val="nil" w:sz="6" w:space="0" w:color="auto"/>
              <w:bottom w:val="nil" w:sz="6" w:space="0" w:color="auto"/>
              <w:right w:val="nil" w:sz="6" w:space="0" w:color="auto"/>
            </w:tcBorders>
          </w:tcPr>
          <w:p>
            <w:pPr>
              <w:pStyle w:val="TableParagraph"/>
              <w:spacing w:line="230" w:lineRule="auto" w:before="98"/>
              <w:ind w:left="401" w:right="71" w:hanging="202"/>
              <w:jc w:val="both"/>
              <w:rPr>
                <w:rFonts w:ascii="Arial" w:hAnsi="Arial" w:cs="Arial" w:eastAsia="Arial" w:hint="default"/>
                <w:sz w:val="18"/>
                <w:szCs w:val="18"/>
              </w:rPr>
            </w:pPr>
            <w:r>
              <w:rPr>
                <w:rFonts w:ascii="黑体" w:hAnsi="黑体" w:cs="黑体" w:eastAsia="黑体" w:hint="default"/>
                <w:spacing w:val="4"/>
                <w:sz w:val="18"/>
                <w:szCs w:val="18"/>
              </w:rPr>
              <w:t>天津用友软件技术</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pacing w:val="16"/>
                <w:sz w:val="18"/>
                <w:szCs w:val="18"/>
              </w:rPr>
              <w:t>有限公司</w:t>
            </w:r>
            <w:r>
              <w:rPr>
                <w:rFonts w:ascii="Arial" w:hAnsi="Arial" w:cs="Arial" w:eastAsia="Arial" w:hint="default"/>
                <w:spacing w:val="16"/>
                <w:sz w:val="18"/>
                <w:szCs w:val="18"/>
              </w:rPr>
              <w:t>(</w:t>
            </w:r>
            <w:r>
              <w:rPr>
                <w:rFonts w:ascii="Arial" w:hAnsi="Arial" w:cs="Arial" w:eastAsia="Arial" w:hint="default"/>
                <w:spacing w:val="-28"/>
                <w:sz w:val="18"/>
                <w:szCs w:val="18"/>
              </w:rPr>
              <w:t> </w:t>
            </w:r>
            <w:r>
              <w:rPr>
                <w:rFonts w:ascii="黑体" w:hAnsi="黑体" w:cs="黑体" w:eastAsia="黑体" w:hint="default"/>
                <w:spacing w:val="10"/>
                <w:sz w:val="18"/>
                <w:szCs w:val="18"/>
              </w:rPr>
              <w:t>以下</w:t>
            </w:r>
            <w:r>
              <w:rPr>
                <w:rFonts w:ascii="黑体" w:hAnsi="黑体" w:cs="黑体" w:eastAsia="黑体" w:hint="default"/>
                <w:spacing w:val="-69"/>
                <w:sz w:val="18"/>
                <w:szCs w:val="18"/>
              </w:rPr>
              <w:t> </w:t>
            </w:r>
            <w:r>
              <w:rPr>
                <w:rFonts w:ascii="黑体" w:hAnsi="黑体" w:cs="黑体" w:eastAsia="黑体" w:hint="default"/>
                <w:sz w:val="18"/>
                <w:szCs w:val="18"/>
              </w:rPr>
              <w:t>简称</w:t>
            </w:r>
            <w:r>
              <w:rPr>
                <w:rFonts w:ascii="Arial" w:hAnsi="Arial" w:cs="Arial" w:eastAsia="Arial" w:hint="default"/>
                <w:sz w:val="18"/>
                <w:szCs w:val="18"/>
              </w:rPr>
              <w:t>“</w:t>
            </w:r>
            <w:r>
              <w:rPr>
                <w:rFonts w:ascii="黑体" w:hAnsi="黑体" w:cs="黑体" w:eastAsia="黑体" w:hint="default"/>
                <w:sz w:val="18"/>
                <w:szCs w:val="18"/>
              </w:rPr>
              <w:t>天津用友</w:t>
            </w:r>
            <w:r>
              <w:rPr>
                <w:rFonts w:ascii="Arial" w:hAnsi="Arial" w:cs="Arial" w:eastAsia="Arial" w:hint="default"/>
                <w:sz w:val="18"/>
                <w:szCs w:val="18"/>
              </w:rPr>
              <w:t>”) (</w:t>
            </w:r>
            <w:r>
              <w:rPr>
                <w:rFonts w:ascii="黑体" w:hAnsi="黑体" w:cs="黑体" w:eastAsia="黑体" w:hint="default"/>
                <w:sz w:val="18"/>
                <w:szCs w:val="18"/>
              </w:rPr>
              <w:t>注</w:t>
            </w:r>
            <w:r>
              <w:rPr>
                <w:rFonts w:ascii="Arial" w:hAnsi="Arial" w:cs="Arial" w:eastAsia="Arial" w:hint="default"/>
                <w:sz w:val="18"/>
                <w:szCs w:val="18"/>
              </w:rPr>
              <w:t>1)</w:t>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58"/>
              <w:jc w:val="right"/>
              <w:rPr>
                <w:rFonts w:ascii="黑体" w:hAnsi="黑体" w:cs="黑体" w:eastAsia="黑体" w:hint="default"/>
                <w:sz w:val="18"/>
                <w:szCs w:val="18"/>
              </w:rPr>
            </w:pPr>
            <w:r>
              <w:rPr>
                <w:rFonts w:ascii="黑体" w:hAnsi="黑体" w:cs="黑体" w:eastAsia="黑体" w:hint="default"/>
                <w:sz w:val="18"/>
                <w:szCs w:val="18"/>
              </w:rPr>
              <w:t>有限责任公司</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98"/>
              <w:jc w:val="right"/>
              <w:rPr>
                <w:rFonts w:ascii="黑体" w:hAnsi="黑体" w:cs="黑体" w:eastAsia="黑体" w:hint="default"/>
                <w:sz w:val="18"/>
                <w:szCs w:val="18"/>
              </w:rPr>
            </w:pPr>
            <w:r>
              <w:rPr>
                <w:rFonts w:ascii="黑体" w:hAnsi="黑体" w:cs="黑体" w:eastAsia="黑体" w:hint="default"/>
                <w:sz w:val="18"/>
                <w:szCs w:val="18"/>
              </w:rPr>
              <w:t>天津市</w:t>
            </w:r>
          </w:p>
        </w:tc>
        <w:tc>
          <w:tcPr>
            <w:tcW w:w="66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5"/>
              <w:jc w:val="right"/>
              <w:rPr>
                <w:rFonts w:ascii="黑体" w:hAnsi="黑体" w:cs="黑体" w:eastAsia="黑体" w:hint="default"/>
                <w:sz w:val="18"/>
                <w:szCs w:val="18"/>
              </w:rPr>
            </w:pPr>
            <w:r>
              <w:rPr>
                <w:rFonts w:ascii="黑体" w:hAnsi="黑体" w:cs="黑体" w:eastAsia="黑体" w:hint="default"/>
                <w:sz w:val="18"/>
                <w:szCs w:val="18"/>
              </w:rPr>
              <w:t>李友</w:t>
            </w:r>
          </w:p>
        </w:tc>
        <w:tc>
          <w:tcPr>
            <w:tcW w:w="1507" w:type="dxa"/>
            <w:tcBorders>
              <w:top w:val="nil" w:sz="6" w:space="0" w:color="auto"/>
              <w:left w:val="nil" w:sz="6" w:space="0" w:color="auto"/>
              <w:bottom w:val="nil" w:sz="6" w:space="0" w:color="auto"/>
              <w:right w:val="nil" w:sz="6" w:space="0" w:color="auto"/>
            </w:tcBorders>
          </w:tcPr>
          <w:p>
            <w:pPr>
              <w:pStyle w:val="TableParagraph"/>
              <w:spacing w:line="232" w:lineRule="auto" w:before="96"/>
              <w:ind w:left="27" w:right="167"/>
              <w:jc w:val="both"/>
              <w:rPr>
                <w:rFonts w:ascii="黑体" w:hAnsi="黑体" w:cs="黑体" w:eastAsia="黑体" w:hint="default"/>
                <w:sz w:val="18"/>
                <w:szCs w:val="18"/>
              </w:rPr>
            </w:pPr>
            <w:r>
              <w:rPr>
                <w:rFonts w:ascii="黑体" w:hAnsi="黑体" w:cs="黑体" w:eastAsia="黑体" w:hint="default"/>
                <w:sz w:val="18"/>
                <w:szCs w:val="18"/>
              </w:rPr>
              <w:t>计算机软</w:t>
            </w:r>
            <w:r>
              <w:rPr>
                <w:rFonts w:ascii="Arial" w:hAnsi="Arial" w:cs="Arial" w:eastAsia="Arial" w:hint="default"/>
                <w:sz w:val="18"/>
                <w:szCs w:val="18"/>
              </w:rPr>
              <w:t>/</w:t>
            </w:r>
            <w:r>
              <w:rPr>
                <w:rFonts w:ascii="黑体" w:hAnsi="黑体" w:cs="黑体" w:eastAsia="黑体" w:hint="default"/>
                <w:sz w:val="18"/>
                <w:szCs w:val="18"/>
              </w:rPr>
              <w:t>硬件、 技术咨询及电子 行业</w:t>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4"/>
              <w:jc w:val="right"/>
              <w:rPr>
                <w:rFonts w:ascii="Arial" w:hAnsi="Arial" w:cs="Arial" w:eastAsia="Arial" w:hint="default"/>
                <w:sz w:val="18"/>
                <w:szCs w:val="18"/>
              </w:rPr>
            </w:pPr>
            <w:r>
              <w:rPr>
                <w:rFonts w:ascii="Arial"/>
                <w:spacing w:val="-1"/>
                <w:sz w:val="18"/>
              </w:rPr>
              <w:t>5,000,000</w:t>
            </w:r>
          </w:p>
        </w:tc>
        <w:tc>
          <w:tcPr>
            <w:tcW w:w="2245" w:type="dxa"/>
            <w:tcBorders>
              <w:top w:val="nil" w:sz="6" w:space="0" w:color="auto"/>
              <w:left w:val="nil" w:sz="6" w:space="0" w:color="auto"/>
              <w:bottom w:val="nil" w:sz="6" w:space="0" w:color="auto"/>
              <w:right w:val="nil" w:sz="6" w:space="0" w:color="auto"/>
            </w:tcBorders>
          </w:tcPr>
          <w:p>
            <w:pPr>
              <w:pStyle w:val="TableParagraph"/>
              <w:spacing w:line="232" w:lineRule="auto" w:before="96"/>
              <w:ind w:left="26" w:right="176"/>
              <w:jc w:val="left"/>
              <w:rPr>
                <w:rFonts w:ascii="黑体" w:hAnsi="黑体" w:cs="黑体" w:eastAsia="黑体" w:hint="default"/>
                <w:sz w:val="18"/>
                <w:szCs w:val="18"/>
              </w:rPr>
            </w:pPr>
            <w:r>
              <w:rPr>
                <w:rFonts w:ascii="黑体" w:hAnsi="黑体" w:cs="黑体" w:eastAsia="黑体" w:hint="default"/>
                <w:sz w:val="18"/>
                <w:szCs w:val="18"/>
              </w:rPr>
              <w:t>技术开发、咨询、服务、 转让、培训</w:t>
            </w:r>
            <w:r>
              <w:rPr>
                <w:rFonts w:ascii="Arial" w:hAnsi="Arial" w:cs="Arial" w:eastAsia="Arial" w:hint="default"/>
                <w:sz w:val="18"/>
                <w:szCs w:val="18"/>
              </w:rPr>
              <w:t>(</w:t>
            </w:r>
            <w:r>
              <w:rPr>
                <w:rFonts w:ascii="黑体" w:hAnsi="黑体" w:cs="黑体" w:eastAsia="黑体" w:hint="default"/>
                <w:sz w:val="18"/>
                <w:szCs w:val="18"/>
              </w:rPr>
              <w:t>电子与信息、 机电一体化的技术及产 </w:t>
            </w:r>
            <w:r>
              <w:rPr>
                <w:rFonts w:ascii="黑体" w:hAnsi="黑体" w:cs="黑体" w:eastAsia="黑体" w:hint="default"/>
                <w:spacing w:val="-7"/>
                <w:sz w:val="18"/>
                <w:szCs w:val="18"/>
              </w:rPr>
              <w:t>品</w:t>
            </w:r>
            <w:r>
              <w:rPr>
                <w:rFonts w:ascii="Arial" w:hAnsi="Arial" w:cs="Arial" w:eastAsia="Arial" w:hint="default"/>
                <w:spacing w:val="-7"/>
                <w:sz w:val="18"/>
                <w:szCs w:val="18"/>
              </w:rPr>
              <w:t>)</w:t>
            </w:r>
            <w:r>
              <w:rPr>
                <w:rFonts w:ascii="黑体" w:hAnsi="黑体" w:cs="黑体" w:eastAsia="黑体" w:hint="default"/>
                <w:spacing w:val="-7"/>
                <w:sz w:val="18"/>
                <w:szCs w:val="18"/>
              </w:rPr>
              <w:t>；计算机软件、文化办</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z w:val="18"/>
                <w:szCs w:val="18"/>
              </w:rPr>
              <w:t>公用机械批发兼零售。</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17"/>
              <w:jc w:val="right"/>
              <w:rPr>
                <w:rFonts w:ascii="Arial" w:hAnsi="Arial" w:cs="Arial" w:eastAsia="Arial" w:hint="default"/>
                <w:sz w:val="18"/>
                <w:szCs w:val="18"/>
              </w:rPr>
            </w:pPr>
            <w:r>
              <w:rPr>
                <w:rFonts w:ascii="Arial"/>
                <w:spacing w:val="-1"/>
                <w:sz w:val="18"/>
              </w:rPr>
              <w:t>23899671-7</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29"/>
              <w:jc w:val="right"/>
              <w:rPr>
                <w:rFonts w:ascii="Arial" w:hAnsi="Arial" w:cs="Arial" w:eastAsia="Arial" w:hint="default"/>
                <w:sz w:val="18"/>
                <w:szCs w:val="18"/>
              </w:rPr>
            </w:pPr>
            <w:r>
              <w:rPr>
                <w:rFonts w:ascii="Arial"/>
                <w:spacing w:val="-1"/>
                <w:sz w:val="18"/>
              </w:rPr>
              <w:t>7,519,999</w:t>
            </w:r>
          </w:p>
        </w:tc>
        <w:tc>
          <w:tcPr>
            <w:tcW w:w="805"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09"/>
              <w:jc w:val="right"/>
              <w:rPr>
                <w:rFonts w:ascii="Arial" w:hAnsi="Arial" w:cs="Arial" w:eastAsia="Arial" w:hint="default"/>
                <w:sz w:val="18"/>
                <w:szCs w:val="18"/>
              </w:rPr>
            </w:pPr>
            <w:r>
              <w:rPr>
                <w:rFonts w:ascii="Arial"/>
                <w:w w:val="95"/>
                <w:sz w:val="18"/>
              </w:rPr>
              <w:t>100</w:t>
            </w:r>
            <w:r>
              <w:rPr>
                <w:rFonts w:ascii="Arial"/>
                <w:sz w:val="18"/>
              </w:rPr>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55"/>
              <w:jc w:val="right"/>
              <w:rPr>
                <w:rFonts w:ascii="Arial" w:hAnsi="Arial" w:cs="Arial" w:eastAsia="Arial" w:hint="default"/>
                <w:sz w:val="18"/>
                <w:szCs w:val="18"/>
              </w:rPr>
            </w:pPr>
            <w:r>
              <w:rPr>
                <w:rFonts w:ascii="Arial"/>
                <w:w w:val="95"/>
                <w:sz w:val="18"/>
              </w:rPr>
              <w:t>100</w:t>
            </w:r>
            <w:r>
              <w:rPr>
                <w:rFonts w:ascii="Arial"/>
                <w:sz w:val="18"/>
              </w:rPr>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18"/>
              <w:jc w:val="right"/>
              <w:rPr>
                <w:rFonts w:ascii="黑体" w:hAnsi="黑体" w:cs="黑体" w:eastAsia="黑体" w:hint="default"/>
                <w:sz w:val="18"/>
                <w:szCs w:val="18"/>
              </w:rPr>
            </w:pPr>
            <w:r>
              <w:rPr>
                <w:rFonts w:ascii="黑体" w:hAnsi="黑体" w:cs="黑体" w:eastAsia="黑体" w:hint="default"/>
                <w:sz w:val="18"/>
                <w:szCs w:val="18"/>
              </w:rPr>
              <w:t>是</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1297" w:hRule="exact"/>
        </w:trPr>
        <w:tc>
          <w:tcPr>
            <w:tcW w:w="1774" w:type="dxa"/>
            <w:tcBorders>
              <w:top w:val="nil" w:sz="6" w:space="0" w:color="auto"/>
              <w:left w:val="nil" w:sz="6" w:space="0" w:color="auto"/>
              <w:bottom w:val="nil" w:sz="6" w:space="0" w:color="auto"/>
              <w:right w:val="nil" w:sz="6" w:space="0" w:color="auto"/>
            </w:tcBorders>
          </w:tcPr>
          <w:p>
            <w:pPr>
              <w:pStyle w:val="TableParagraph"/>
              <w:spacing w:line="232" w:lineRule="auto" w:before="134"/>
              <w:ind w:left="428" w:right="72" w:hanging="216"/>
              <w:jc w:val="both"/>
              <w:rPr>
                <w:rFonts w:ascii="Arial" w:hAnsi="Arial" w:cs="Arial" w:eastAsia="Arial" w:hint="default"/>
                <w:sz w:val="18"/>
                <w:szCs w:val="18"/>
              </w:rPr>
            </w:pPr>
            <w:r>
              <w:rPr>
                <w:rFonts w:ascii="黑体" w:hAnsi="黑体" w:cs="黑体" w:eastAsia="黑体" w:hint="default"/>
                <w:spacing w:val="3"/>
                <w:sz w:val="18"/>
                <w:szCs w:val="18"/>
              </w:rPr>
              <w:t>安徽用友软件有限</w:t>
            </w:r>
            <w:r>
              <w:rPr>
                <w:rFonts w:ascii="黑体" w:hAnsi="黑体" w:cs="黑体" w:eastAsia="黑体" w:hint="default"/>
                <w:spacing w:val="-87"/>
                <w:sz w:val="18"/>
                <w:szCs w:val="18"/>
              </w:rPr>
              <w:t> </w:t>
            </w:r>
            <w:r>
              <w:rPr>
                <w:rFonts w:ascii="黑体" w:hAnsi="黑体" w:cs="黑体" w:eastAsia="黑体" w:hint="default"/>
                <w:spacing w:val="-87"/>
                <w:sz w:val="18"/>
                <w:szCs w:val="18"/>
              </w:rPr>
            </w:r>
            <w:r>
              <w:rPr>
                <w:rFonts w:ascii="黑体" w:hAnsi="黑体" w:cs="黑体" w:eastAsia="黑体" w:hint="default"/>
                <w:spacing w:val="12"/>
                <w:sz w:val="18"/>
                <w:szCs w:val="18"/>
              </w:rPr>
              <w:t>公司</w:t>
            </w:r>
            <w:r>
              <w:rPr>
                <w:rFonts w:ascii="Arial" w:hAnsi="Arial" w:cs="Arial" w:eastAsia="Arial" w:hint="default"/>
                <w:spacing w:val="12"/>
                <w:sz w:val="18"/>
                <w:szCs w:val="18"/>
              </w:rPr>
              <w:t>(</w:t>
            </w:r>
            <w:r>
              <w:rPr>
                <w:rFonts w:ascii="Arial" w:hAnsi="Arial" w:cs="Arial" w:eastAsia="Arial" w:hint="default"/>
                <w:spacing w:val="-30"/>
                <w:sz w:val="18"/>
                <w:szCs w:val="18"/>
              </w:rPr>
              <w:t> </w:t>
            </w:r>
            <w:r>
              <w:rPr>
                <w:rFonts w:ascii="黑体" w:hAnsi="黑体" w:cs="黑体" w:eastAsia="黑体" w:hint="default"/>
                <w:spacing w:val="13"/>
                <w:sz w:val="18"/>
                <w:szCs w:val="18"/>
              </w:rPr>
              <w:t>以下简称</w:t>
            </w:r>
            <w:r>
              <w:rPr>
                <w:rFonts w:ascii="黑体" w:hAnsi="黑体" w:cs="黑体" w:eastAsia="黑体" w:hint="default"/>
                <w:spacing w:val="-71"/>
                <w:sz w:val="18"/>
                <w:szCs w:val="18"/>
              </w:rPr>
              <w:t> </w:t>
            </w:r>
            <w:r>
              <w:rPr>
                <w:rFonts w:ascii="Arial" w:hAnsi="Arial" w:cs="Arial" w:eastAsia="Arial" w:hint="default"/>
                <w:sz w:val="18"/>
                <w:szCs w:val="18"/>
              </w:rPr>
              <w:t>“</w:t>
            </w:r>
            <w:r>
              <w:rPr>
                <w:rFonts w:ascii="黑体" w:hAnsi="黑体" w:cs="黑体" w:eastAsia="黑体" w:hint="default"/>
                <w:sz w:val="18"/>
                <w:szCs w:val="18"/>
              </w:rPr>
              <w:t>安徽用友</w:t>
            </w:r>
            <w:r>
              <w:rPr>
                <w:rFonts w:ascii="Arial" w:hAnsi="Arial" w:cs="Arial" w:eastAsia="Arial" w:hint="default"/>
                <w:sz w:val="18"/>
                <w:szCs w:val="18"/>
              </w:rPr>
              <w:t>”)</w:t>
            </w:r>
          </w:p>
        </w:tc>
        <w:tc>
          <w:tcPr>
            <w:tcW w:w="1313" w:type="dxa"/>
            <w:tcBorders>
              <w:top w:val="nil" w:sz="6" w:space="0" w:color="auto"/>
              <w:left w:val="nil" w:sz="6" w:space="0" w:color="auto"/>
              <w:bottom w:val="nil" w:sz="6" w:space="0" w:color="auto"/>
              <w:right w:val="nil" w:sz="6" w:space="0" w:color="auto"/>
            </w:tcBorders>
          </w:tcPr>
          <w:p>
            <w:pPr>
              <w:pStyle w:val="TableParagraph"/>
              <w:spacing w:line="232" w:lineRule="exact" w:before="152"/>
              <w:ind w:left="251" w:right="158" w:hanging="180"/>
              <w:jc w:val="left"/>
              <w:rPr>
                <w:rFonts w:ascii="黑体" w:hAnsi="黑体" w:cs="黑体" w:eastAsia="黑体" w:hint="default"/>
                <w:sz w:val="18"/>
                <w:szCs w:val="18"/>
              </w:rPr>
            </w:pPr>
            <w:r>
              <w:rPr>
                <w:rFonts w:ascii="黑体" w:hAnsi="黑体" w:cs="黑体" w:eastAsia="黑体" w:hint="default"/>
                <w:sz w:val="18"/>
                <w:szCs w:val="18"/>
              </w:rPr>
              <w:t>其他有限责任 公司</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98"/>
              <w:jc w:val="right"/>
              <w:rPr>
                <w:rFonts w:ascii="黑体" w:hAnsi="黑体" w:cs="黑体" w:eastAsia="黑体" w:hint="default"/>
                <w:sz w:val="18"/>
                <w:szCs w:val="18"/>
              </w:rPr>
            </w:pPr>
            <w:r>
              <w:rPr>
                <w:rFonts w:ascii="黑体" w:hAnsi="黑体" w:cs="黑体" w:eastAsia="黑体" w:hint="default"/>
                <w:sz w:val="18"/>
                <w:szCs w:val="18"/>
              </w:rPr>
              <w:t>合肥市</w:t>
            </w:r>
          </w:p>
        </w:tc>
        <w:tc>
          <w:tcPr>
            <w:tcW w:w="668"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
              <w:jc w:val="right"/>
              <w:rPr>
                <w:rFonts w:ascii="黑体" w:hAnsi="黑体" w:cs="黑体" w:eastAsia="黑体" w:hint="default"/>
                <w:sz w:val="18"/>
                <w:szCs w:val="18"/>
              </w:rPr>
            </w:pPr>
            <w:r>
              <w:rPr>
                <w:rFonts w:ascii="黑体" w:hAnsi="黑体" w:cs="黑体" w:eastAsia="黑体" w:hint="default"/>
                <w:sz w:val="18"/>
                <w:szCs w:val="18"/>
              </w:rPr>
              <w:t>李友</w:t>
            </w:r>
          </w:p>
        </w:tc>
        <w:tc>
          <w:tcPr>
            <w:tcW w:w="1507" w:type="dxa"/>
            <w:tcBorders>
              <w:top w:val="nil" w:sz="6" w:space="0" w:color="auto"/>
              <w:left w:val="nil" w:sz="6" w:space="0" w:color="auto"/>
              <w:bottom w:val="nil" w:sz="6" w:space="0" w:color="auto"/>
              <w:right w:val="nil" w:sz="6" w:space="0" w:color="auto"/>
            </w:tcBorders>
          </w:tcPr>
          <w:p>
            <w:pPr>
              <w:pStyle w:val="TableParagraph"/>
              <w:spacing w:line="232" w:lineRule="auto" w:before="134"/>
              <w:ind w:left="27" w:right="167"/>
              <w:jc w:val="both"/>
              <w:rPr>
                <w:rFonts w:ascii="黑体" w:hAnsi="黑体" w:cs="黑体" w:eastAsia="黑体" w:hint="default"/>
                <w:sz w:val="18"/>
                <w:szCs w:val="18"/>
              </w:rPr>
            </w:pPr>
            <w:r>
              <w:rPr>
                <w:rFonts w:ascii="黑体" w:hAnsi="黑体" w:cs="黑体" w:eastAsia="黑体" w:hint="default"/>
                <w:sz w:val="18"/>
                <w:szCs w:val="18"/>
              </w:rPr>
              <w:t>计算机软</w:t>
            </w:r>
            <w:r>
              <w:rPr>
                <w:rFonts w:ascii="Arial" w:hAnsi="Arial" w:cs="Arial" w:eastAsia="Arial" w:hint="default"/>
                <w:sz w:val="18"/>
                <w:szCs w:val="18"/>
              </w:rPr>
              <w:t>/</w:t>
            </w:r>
            <w:r>
              <w:rPr>
                <w:rFonts w:ascii="黑体" w:hAnsi="黑体" w:cs="黑体" w:eastAsia="黑体" w:hint="default"/>
                <w:sz w:val="18"/>
                <w:szCs w:val="18"/>
              </w:rPr>
              <w:t>硬件、 技术咨询及电子 行业</w:t>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24"/>
              <w:jc w:val="right"/>
              <w:rPr>
                <w:rFonts w:ascii="Arial" w:hAnsi="Arial" w:cs="Arial" w:eastAsia="Arial" w:hint="default"/>
                <w:sz w:val="18"/>
                <w:szCs w:val="18"/>
              </w:rPr>
            </w:pPr>
            <w:r>
              <w:rPr>
                <w:rFonts w:ascii="Arial"/>
                <w:spacing w:val="-1"/>
                <w:sz w:val="18"/>
              </w:rPr>
              <w:t>1,200,000</w:t>
            </w:r>
          </w:p>
        </w:tc>
        <w:tc>
          <w:tcPr>
            <w:tcW w:w="2245" w:type="dxa"/>
            <w:tcBorders>
              <w:top w:val="nil" w:sz="6" w:space="0" w:color="auto"/>
              <w:left w:val="nil" w:sz="6" w:space="0" w:color="auto"/>
              <w:bottom w:val="nil" w:sz="6" w:space="0" w:color="auto"/>
              <w:right w:val="nil" w:sz="6" w:space="0" w:color="auto"/>
            </w:tcBorders>
          </w:tcPr>
          <w:p>
            <w:pPr>
              <w:pStyle w:val="TableParagraph"/>
              <w:spacing w:line="237" w:lineRule="auto" w:before="130"/>
              <w:ind w:left="26" w:right="258"/>
              <w:jc w:val="both"/>
              <w:rPr>
                <w:rFonts w:ascii="黑体" w:hAnsi="黑体" w:cs="黑体" w:eastAsia="黑体" w:hint="default"/>
                <w:sz w:val="18"/>
                <w:szCs w:val="18"/>
              </w:rPr>
            </w:pPr>
            <w:r>
              <w:rPr>
                <w:rFonts w:ascii="黑体" w:hAnsi="黑体" w:cs="黑体" w:eastAsia="黑体" w:hint="default"/>
                <w:spacing w:val="-2"/>
                <w:sz w:val="18"/>
                <w:szCs w:val="18"/>
              </w:rPr>
              <w:t>会计电算化、电子化推广</w:t>
            </w:r>
            <w:r>
              <w:rPr>
                <w:rFonts w:ascii="黑体" w:hAnsi="黑体" w:cs="黑体" w:eastAsia="黑体" w:hint="default"/>
                <w:sz w:val="18"/>
                <w:szCs w:val="18"/>
              </w:rPr>
              <w:t> </w:t>
            </w:r>
            <w:r>
              <w:rPr>
                <w:rFonts w:ascii="黑体" w:hAnsi="黑体" w:cs="黑体" w:eastAsia="黑体" w:hint="default"/>
                <w:spacing w:val="-2"/>
                <w:sz w:val="18"/>
                <w:szCs w:val="18"/>
              </w:rPr>
              <w:t>与技术服务、计算机软件</w:t>
            </w:r>
            <w:r>
              <w:rPr>
                <w:rFonts w:ascii="黑体" w:hAnsi="黑体" w:cs="黑体" w:eastAsia="黑体" w:hint="default"/>
                <w:sz w:val="18"/>
                <w:szCs w:val="18"/>
              </w:rPr>
              <w:t> </w:t>
            </w:r>
            <w:r>
              <w:rPr>
                <w:rFonts w:ascii="黑体" w:hAnsi="黑体" w:cs="黑体" w:eastAsia="黑体" w:hint="default"/>
                <w:spacing w:val="-2"/>
                <w:sz w:val="18"/>
                <w:szCs w:val="18"/>
              </w:rPr>
              <w:t>开发及网络工程施工、电</w:t>
            </w:r>
            <w:r>
              <w:rPr>
                <w:rFonts w:ascii="黑体" w:hAnsi="黑体" w:cs="黑体" w:eastAsia="黑体" w:hint="default"/>
                <w:sz w:val="18"/>
                <w:szCs w:val="18"/>
              </w:rPr>
              <w:t> </w:t>
            </w:r>
            <w:r>
              <w:rPr>
                <w:rFonts w:ascii="黑体" w:hAnsi="黑体" w:cs="黑体" w:eastAsia="黑体" w:hint="default"/>
                <w:spacing w:val="-2"/>
                <w:sz w:val="18"/>
                <w:szCs w:val="18"/>
              </w:rPr>
              <w:t>子计算机及软件销售、培</w:t>
            </w:r>
            <w:r>
              <w:rPr>
                <w:rFonts w:ascii="黑体" w:hAnsi="黑体" w:cs="黑体" w:eastAsia="黑体" w:hint="default"/>
                <w:sz w:val="18"/>
                <w:szCs w:val="18"/>
              </w:rPr>
              <w:t> 训。</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217"/>
              <w:jc w:val="right"/>
              <w:rPr>
                <w:rFonts w:ascii="Arial" w:hAnsi="Arial" w:cs="Arial" w:eastAsia="Arial" w:hint="default"/>
                <w:sz w:val="18"/>
                <w:szCs w:val="18"/>
              </w:rPr>
            </w:pPr>
            <w:r>
              <w:rPr>
                <w:rFonts w:ascii="Arial"/>
                <w:spacing w:val="-1"/>
                <w:sz w:val="18"/>
              </w:rPr>
              <w:t>71100526-2</w:t>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229"/>
              <w:jc w:val="right"/>
              <w:rPr>
                <w:rFonts w:ascii="Arial" w:hAnsi="Arial" w:cs="Arial" w:eastAsia="Arial" w:hint="default"/>
                <w:sz w:val="18"/>
                <w:szCs w:val="18"/>
              </w:rPr>
            </w:pPr>
            <w:r>
              <w:rPr>
                <w:rFonts w:ascii="Arial"/>
                <w:spacing w:val="-1"/>
                <w:sz w:val="18"/>
              </w:rPr>
              <w:t>1,167,000</w:t>
            </w:r>
          </w:p>
        </w:tc>
        <w:tc>
          <w:tcPr>
            <w:tcW w:w="80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209"/>
              <w:jc w:val="right"/>
              <w:rPr>
                <w:rFonts w:ascii="Arial" w:hAnsi="Arial" w:cs="Arial" w:eastAsia="Arial" w:hint="default"/>
                <w:sz w:val="18"/>
                <w:szCs w:val="18"/>
              </w:rPr>
            </w:pPr>
            <w:r>
              <w:rPr>
                <w:rFonts w:ascii="Arial"/>
                <w:w w:val="95"/>
                <w:sz w:val="18"/>
              </w:rPr>
              <w:t>100</w:t>
            </w:r>
            <w:r>
              <w:rPr>
                <w:rFonts w:ascii="Arial"/>
                <w:sz w:val="18"/>
              </w:rPr>
            </w:r>
          </w:p>
        </w:tc>
        <w:tc>
          <w:tcPr>
            <w:tcW w:w="9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155"/>
              <w:jc w:val="right"/>
              <w:rPr>
                <w:rFonts w:ascii="Arial" w:hAnsi="Arial" w:cs="Arial" w:eastAsia="Arial" w:hint="default"/>
                <w:sz w:val="18"/>
                <w:szCs w:val="18"/>
              </w:rPr>
            </w:pPr>
            <w:r>
              <w:rPr>
                <w:rFonts w:ascii="Arial"/>
                <w:w w:val="95"/>
                <w:sz w:val="18"/>
              </w:rPr>
              <w:t>100</w:t>
            </w:r>
            <w:r>
              <w:rPr>
                <w:rFonts w:ascii="Arial"/>
                <w:sz w:val="18"/>
              </w:rPr>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18"/>
              <w:jc w:val="right"/>
              <w:rPr>
                <w:rFonts w:ascii="黑体" w:hAnsi="黑体" w:cs="黑体" w:eastAsia="黑体" w:hint="default"/>
                <w:sz w:val="18"/>
                <w:szCs w:val="18"/>
              </w:rPr>
            </w:pPr>
            <w:r>
              <w:rPr>
                <w:rFonts w:ascii="黑体" w:hAnsi="黑体" w:cs="黑体" w:eastAsia="黑体" w:hint="default"/>
                <w:sz w:val="18"/>
                <w:szCs w:val="18"/>
              </w:rPr>
              <w:t>是</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4"/>
                <w:szCs w:val="14"/>
              </w:rPr>
            </w:pPr>
          </w:p>
          <w:p>
            <w:pPr>
              <w:pStyle w:val="TableParagraph"/>
              <w:spacing w:line="240" w:lineRule="auto"/>
              <w:ind w:right="198"/>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pgSz w:w="16850" w:h="11910" w:orient="landscape"/>
          <w:pgMar w:header="957" w:footer="857" w:top="2640" w:bottom="1040" w:left="400" w:right="360"/>
        </w:sectPr>
      </w:pPr>
    </w:p>
    <w:p>
      <w:pPr>
        <w:spacing w:line="240" w:lineRule="auto" w:before="8"/>
        <w:rPr>
          <w:rFonts w:ascii="Arial" w:hAnsi="Arial" w:cs="Arial" w:eastAsia="Arial" w:hint="default"/>
          <w:sz w:val="28"/>
          <w:szCs w:val="28"/>
        </w:rPr>
      </w:pPr>
    </w:p>
    <w:p>
      <w:pPr>
        <w:pStyle w:val="Heading6"/>
        <w:spacing w:line="240" w:lineRule="auto"/>
        <w:ind w:left="307" w:right="12115"/>
        <w:jc w:val="left"/>
        <w:rPr>
          <w:b w:val="0"/>
          <w:bCs w:val="0"/>
        </w:rPr>
      </w:pPr>
      <w:r>
        <w:rPr/>
        <w:t>四、合并财务报表的合并范围（续）</w:t>
      </w:r>
      <w:r>
        <w:rPr>
          <w:b w:val="0"/>
          <w:bCs w:val="0"/>
        </w:rPr>
      </w:r>
    </w:p>
    <w:p>
      <w:pPr>
        <w:spacing w:line="240" w:lineRule="auto" w:before="1"/>
        <w:rPr>
          <w:rFonts w:ascii="黑体" w:hAnsi="黑体" w:cs="黑体" w:eastAsia="黑体" w:hint="default"/>
          <w:b/>
          <w:bCs/>
          <w:sz w:val="17"/>
          <w:szCs w:val="17"/>
        </w:rPr>
      </w:pPr>
    </w:p>
    <w:p>
      <w:pPr>
        <w:pStyle w:val="Heading6"/>
        <w:tabs>
          <w:tab w:pos="715" w:val="left" w:leader="none"/>
        </w:tabs>
        <w:spacing w:line="240" w:lineRule="auto" w:before="0"/>
        <w:ind w:left="348" w:right="12115"/>
        <w:jc w:val="left"/>
        <w:rPr>
          <w:b w:val="0"/>
          <w:bCs w:val="0"/>
        </w:rPr>
      </w:pPr>
      <w:r>
        <w:rPr>
          <w:rFonts w:ascii="Arial" w:hAnsi="Arial" w:cs="Arial" w:eastAsia="Arial" w:hint="default"/>
          <w:spacing w:val="-1"/>
        </w:rPr>
        <w:t>1.</w:t>
        <w:tab/>
      </w:r>
      <w:r>
        <w:rPr>
          <w:spacing w:val="1"/>
        </w:rPr>
        <w:t>子公司情况（续）</w:t>
      </w:r>
      <w:r>
        <w:rPr>
          <w:b w:val="0"/>
          <w:bCs w:val="0"/>
          <w:spacing w:val="1"/>
        </w:rPr>
      </w:r>
    </w:p>
    <w:p>
      <w:pPr>
        <w:spacing w:line="240" w:lineRule="auto" w:before="4"/>
        <w:rPr>
          <w:rFonts w:ascii="黑体" w:hAnsi="黑体" w:cs="黑体" w:eastAsia="黑体" w:hint="default"/>
          <w:b/>
          <w:bCs/>
          <w:sz w:val="16"/>
          <w:szCs w:val="16"/>
        </w:rPr>
      </w:pPr>
    </w:p>
    <w:p>
      <w:pPr>
        <w:pStyle w:val="BodyText"/>
        <w:spacing w:line="333" w:lineRule="auto"/>
        <w:ind w:left="285" w:right="12115"/>
        <w:jc w:val="left"/>
      </w:pPr>
      <w:r>
        <w:rPr/>
        <w:t>本集团重要子公司的情况如下（续）：</w:t>
      </w:r>
      <w:r>
        <w:rPr>
          <w:w w:val="99"/>
        </w:rPr>
        <w:t> </w:t>
      </w:r>
      <w:r>
        <w:rPr/>
        <w:t>通过设立或投资等方式取得的子公司（续）</w:t>
      </w:r>
    </w:p>
    <w:p>
      <w:pPr>
        <w:spacing w:line="240" w:lineRule="auto" w:before="2"/>
        <w:rPr>
          <w:rFonts w:ascii="黑体" w:hAnsi="黑体" w:cs="黑体" w:eastAsia="黑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2238"/>
        <w:gridCol w:w="1106"/>
        <w:gridCol w:w="1562"/>
        <w:gridCol w:w="670"/>
        <w:gridCol w:w="1080"/>
        <w:gridCol w:w="1062"/>
        <w:gridCol w:w="2273"/>
        <w:gridCol w:w="1147"/>
        <w:gridCol w:w="1204"/>
        <w:gridCol w:w="775"/>
        <w:gridCol w:w="779"/>
        <w:gridCol w:w="1014"/>
        <w:gridCol w:w="1088"/>
      </w:tblGrid>
      <w:tr>
        <w:trPr>
          <w:trHeight w:val="254" w:hRule="exact"/>
        </w:trPr>
        <w:tc>
          <w:tcPr>
            <w:tcW w:w="2238"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Style w:val="TableParagraph"/>
              <w:spacing w:line="218" w:lineRule="exact"/>
              <w:ind w:right="250"/>
              <w:jc w:val="right"/>
              <w:rPr>
                <w:rFonts w:ascii="黑体" w:hAnsi="黑体" w:cs="黑体" w:eastAsia="黑体" w:hint="default"/>
                <w:sz w:val="18"/>
                <w:szCs w:val="18"/>
              </w:rPr>
            </w:pPr>
            <w:r>
              <w:rPr>
                <w:rFonts w:ascii="黑体" w:hAnsi="黑体" w:cs="黑体" w:eastAsia="黑体" w:hint="default"/>
                <w:sz w:val="18"/>
                <w:szCs w:val="18"/>
              </w:rPr>
              <w:t>子公司</w:t>
            </w:r>
          </w:p>
        </w:tc>
        <w:tc>
          <w:tcPr>
            <w:tcW w:w="1562"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Style w:val="TableParagraph"/>
              <w:spacing w:line="180" w:lineRule="exact"/>
              <w:ind w:right="26"/>
              <w:jc w:val="right"/>
              <w:rPr>
                <w:rFonts w:ascii="黑体" w:hAnsi="黑体" w:cs="黑体" w:eastAsia="黑体" w:hint="default"/>
                <w:sz w:val="18"/>
                <w:szCs w:val="18"/>
              </w:rPr>
            </w:pPr>
            <w:r>
              <w:rPr>
                <w:rFonts w:ascii="黑体" w:hAnsi="黑体" w:cs="黑体" w:eastAsia="黑体" w:hint="default"/>
                <w:sz w:val="18"/>
                <w:szCs w:val="18"/>
              </w:rPr>
              <w:t>法定</w:t>
            </w:r>
          </w:p>
        </w:tc>
        <w:tc>
          <w:tcPr>
            <w:tcW w:w="1080"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
        </w:tc>
        <w:tc>
          <w:tcPr>
            <w:tcW w:w="2273"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Style w:val="TableParagraph"/>
              <w:spacing w:line="180" w:lineRule="exact"/>
              <w:ind w:right="87"/>
              <w:jc w:val="right"/>
              <w:rPr>
                <w:rFonts w:ascii="黑体" w:hAnsi="黑体" w:cs="黑体" w:eastAsia="黑体" w:hint="default"/>
                <w:sz w:val="18"/>
                <w:szCs w:val="18"/>
              </w:rPr>
            </w:pPr>
            <w:r>
              <w:rPr>
                <w:rFonts w:ascii="黑体" w:hAnsi="黑体" w:cs="黑体" w:eastAsia="黑体" w:hint="default"/>
                <w:sz w:val="18"/>
                <w:szCs w:val="18"/>
              </w:rPr>
              <w:t>组织机构</w:t>
            </w:r>
          </w:p>
        </w:tc>
        <w:tc>
          <w:tcPr>
            <w:tcW w:w="1204" w:type="dxa"/>
            <w:tcBorders>
              <w:top w:val="nil" w:sz="6" w:space="0" w:color="auto"/>
              <w:left w:val="nil" w:sz="6" w:space="0" w:color="auto"/>
              <w:bottom w:val="nil" w:sz="6" w:space="0" w:color="auto"/>
              <w:right w:val="nil" w:sz="6" w:space="0" w:color="auto"/>
            </w:tcBorders>
          </w:tcPr>
          <w:p>
            <w:pPr>
              <w:pStyle w:val="TableParagraph"/>
              <w:spacing w:line="180" w:lineRule="exact"/>
              <w:ind w:right="213"/>
              <w:jc w:val="right"/>
              <w:rPr>
                <w:rFonts w:ascii="黑体" w:hAnsi="黑体" w:cs="黑体" w:eastAsia="黑体" w:hint="default"/>
                <w:sz w:val="18"/>
                <w:szCs w:val="18"/>
              </w:rPr>
            </w:pPr>
            <w:r>
              <w:rPr>
                <w:rFonts w:ascii="黑体" w:hAnsi="黑体" w:cs="黑体" w:eastAsia="黑体" w:hint="default"/>
                <w:sz w:val="18"/>
                <w:szCs w:val="18"/>
              </w:rPr>
              <w:t>年末实际</w:t>
            </w:r>
          </w:p>
        </w:tc>
        <w:tc>
          <w:tcPr>
            <w:tcW w:w="775" w:type="dxa"/>
            <w:tcBorders>
              <w:top w:val="nil" w:sz="6" w:space="0" w:color="auto"/>
              <w:left w:val="nil" w:sz="6" w:space="0" w:color="auto"/>
              <w:bottom w:val="nil" w:sz="6" w:space="0" w:color="auto"/>
              <w:right w:val="nil" w:sz="6" w:space="0" w:color="auto"/>
            </w:tcBorders>
          </w:tcPr>
          <w:p>
            <w:pPr>
              <w:pStyle w:val="TableParagraph"/>
              <w:spacing w:line="180" w:lineRule="exact"/>
              <w:ind w:right="108"/>
              <w:jc w:val="right"/>
              <w:rPr>
                <w:rFonts w:ascii="黑体" w:hAnsi="黑体" w:cs="黑体" w:eastAsia="黑体" w:hint="default"/>
                <w:sz w:val="18"/>
                <w:szCs w:val="18"/>
              </w:rPr>
            </w:pPr>
            <w:r>
              <w:rPr>
                <w:rFonts w:ascii="黑体" w:hAnsi="黑体" w:cs="黑体" w:eastAsia="黑体" w:hint="default"/>
                <w:sz w:val="18"/>
                <w:szCs w:val="18"/>
              </w:rPr>
              <w:t>持股</w:t>
            </w:r>
          </w:p>
        </w:tc>
        <w:tc>
          <w:tcPr>
            <w:tcW w:w="779" w:type="dxa"/>
            <w:tcBorders>
              <w:top w:val="nil" w:sz="6" w:space="0" w:color="auto"/>
              <w:left w:val="nil" w:sz="6" w:space="0" w:color="auto"/>
              <w:bottom w:val="nil" w:sz="6" w:space="0" w:color="auto"/>
              <w:right w:val="nil" w:sz="6" w:space="0" w:color="auto"/>
            </w:tcBorders>
          </w:tcPr>
          <w:p>
            <w:pPr>
              <w:pStyle w:val="TableParagraph"/>
              <w:spacing w:line="180" w:lineRule="exact"/>
              <w:ind w:right="128"/>
              <w:jc w:val="right"/>
              <w:rPr>
                <w:rFonts w:ascii="黑体" w:hAnsi="黑体" w:cs="黑体" w:eastAsia="黑体" w:hint="default"/>
                <w:sz w:val="18"/>
                <w:szCs w:val="18"/>
              </w:rPr>
            </w:pPr>
            <w:r>
              <w:rPr>
                <w:rFonts w:ascii="黑体" w:hAnsi="黑体" w:cs="黑体" w:eastAsia="黑体" w:hint="default"/>
                <w:sz w:val="18"/>
                <w:szCs w:val="18"/>
              </w:rPr>
              <w:t>表决权</w:t>
            </w:r>
          </w:p>
        </w:tc>
        <w:tc>
          <w:tcPr>
            <w:tcW w:w="1014" w:type="dxa"/>
            <w:tcBorders>
              <w:top w:val="nil" w:sz="6" w:space="0" w:color="auto"/>
              <w:left w:val="nil" w:sz="6" w:space="0" w:color="auto"/>
              <w:bottom w:val="nil" w:sz="6" w:space="0" w:color="auto"/>
              <w:right w:val="nil" w:sz="6" w:space="0" w:color="auto"/>
            </w:tcBorders>
          </w:tcPr>
          <w:p>
            <w:pPr>
              <w:pStyle w:val="TableParagraph"/>
              <w:spacing w:line="180" w:lineRule="exact"/>
              <w:ind w:right="163"/>
              <w:jc w:val="right"/>
              <w:rPr>
                <w:rFonts w:ascii="黑体" w:hAnsi="黑体" w:cs="黑体" w:eastAsia="黑体" w:hint="default"/>
                <w:sz w:val="18"/>
                <w:szCs w:val="18"/>
              </w:rPr>
            </w:pPr>
            <w:r>
              <w:rPr>
                <w:rFonts w:ascii="黑体" w:hAnsi="黑体" w:cs="黑体" w:eastAsia="黑体" w:hint="default"/>
                <w:sz w:val="18"/>
                <w:szCs w:val="18"/>
              </w:rPr>
              <w:t>是否</w:t>
            </w:r>
          </w:p>
        </w:tc>
        <w:tc>
          <w:tcPr>
            <w:tcW w:w="1088" w:type="dxa"/>
            <w:tcBorders>
              <w:top w:val="nil" w:sz="6" w:space="0" w:color="auto"/>
              <w:left w:val="nil" w:sz="6" w:space="0" w:color="auto"/>
              <w:bottom w:val="nil" w:sz="6" w:space="0" w:color="auto"/>
              <w:right w:val="nil" w:sz="6" w:space="0" w:color="auto"/>
            </w:tcBorders>
          </w:tcPr>
          <w:p>
            <w:pPr>
              <w:pStyle w:val="TableParagraph"/>
              <w:spacing w:line="180" w:lineRule="exact"/>
              <w:ind w:right="200"/>
              <w:jc w:val="right"/>
              <w:rPr>
                <w:rFonts w:ascii="黑体" w:hAnsi="黑体" w:cs="黑体" w:eastAsia="黑体" w:hint="default"/>
                <w:sz w:val="18"/>
                <w:szCs w:val="18"/>
              </w:rPr>
            </w:pPr>
            <w:r>
              <w:rPr>
                <w:rFonts w:ascii="黑体" w:hAnsi="黑体" w:cs="黑体" w:eastAsia="黑体" w:hint="default"/>
                <w:sz w:val="18"/>
                <w:szCs w:val="18"/>
              </w:rPr>
              <w:t>少数股东</w:t>
            </w:r>
          </w:p>
        </w:tc>
      </w:tr>
      <w:tr>
        <w:trPr>
          <w:trHeight w:val="298" w:hRule="exact"/>
        </w:trPr>
        <w:tc>
          <w:tcPr>
            <w:tcW w:w="2238" w:type="dxa"/>
            <w:tcBorders>
              <w:top w:val="nil" w:sz="6" w:space="0" w:color="auto"/>
              <w:left w:val="nil" w:sz="6" w:space="0" w:color="auto"/>
              <w:bottom w:val="nil" w:sz="6" w:space="0" w:color="auto"/>
              <w:right w:val="nil" w:sz="6" w:space="0" w:color="auto"/>
            </w:tcBorders>
          </w:tcPr>
          <w:p>
            <w:pPr>
              <w:pStyle w:val="TableParagraph"/>
              <w:spacing w:line="216" w:lineRule="exact"/>
              <w:ind w:left="720" w:right="0"/>
              <w:jc w:val="left"/>
              <w:rPr>
                <w:rFonts w:ascii="黑体" w:hAnsi="黑体" w:cs="黑体" w:eastAsia="黑体" w:hint="default"/>
                <w:sz w:val="18"/>
                <w:szCs w:val="18"/>
              </w:rPr>
            </w:pPr>
            <w:r>
              <w:rPr>
                <w:rFonts w:ascii="黑体" w:hAnsi="黑体" w:cs="黑体" w:eastAsia="黑体" w:hint="default"/>
                <w:sz w:val="18"/>
                <w:szCs w:val="18"/>
              </w:rPr>
              <w:t>被投资单位名称</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0"/>
              <w:jc w:val="right"/>
              <w:rPr>
                <w:rFonts w:ascii="黑体" w:hAnsi="黑体" w:cs="黑体" w:eastAsia="黑体" w:hint="default"/>
                <w:sz w:val="18"/>
                <w:szCs w:val="18"/>
              </w:rPr>
            </w:pPr>
            <w:r>
              <w:rPr>
                <w:rFonts w:ascii="黑体" w:hAnsi="黑体" w:cs="黑体" w:eastAsia="黑体" w:hint="default"/>
                <w:sz w:val="18"/>
                <w:szCs w:val="18"/>
              </w:rPr>
              <w:t>类型</w:t>
            </w:r>
          </w:p>
        </w:tc>
        <w:tc>
          <w:tcPr>
            <w:tcW w:w="1562" w:type="dxa"/>
            <w:tcBorders>
              <w:top w:val="nil" w:sz="6" w:space="0" w:color="auto"/>
              <w:left w:val="nil" w:sz="6" w:space="0" w:color="auto"/>
              <w:bottom w:val="nil" w:sz="6" w:space="0" w:color="auto"/>
              <w:right w:val="nil" w:sz="6" w:space="0" w:color="auto"/>
            </w:tcBorders>
          </w:tcPr>
          <w:p>
            <w:pPr>
              <w:pStyle w:val="TableParagraph"/>
              <w:spacing w:line="216" w:lineRule="exact"/>
              <w:ind w:right="98"/>
              <w:jc w:val="right"/>
              <w:rPr>
                <w:rFonts w:ascii="黑体" w:hAnsi="黑体" w:cs="黑体" w:eastAsia="黑体" w:hint="default"/>
                <w:sz w:val="18"/>
                <w:szCs w:val="18"/>
              </w:rPr>
            </w:pPr>
            <w:r>
              <w:rPr>
                <w:rFonts w:ascii="黑体" w:hAnsi="黑体" w:cs="黑体" w:eastAsia="黑体" w:hint="default"/>
                <w:sz w:val="18"/>
                <w:szCs w:val="18"/>
              </w:rPr>
              <w:t>注册地</w:t>
            </w:r>
          </w:p>
        </w:tc>
        <w:tc>
          <w:tcPr>
            <w:tcW w:w="670" w:type="dxa"/>
            <w:tcBorders>
              <w:top w:val="nil" w:sz="6" w:space="0" w:color="auto"/>
              <w:left w:val="nil" w:sz="6" w:space="0" w:color="auto"/>
              <w:bottom w:val="nil" w:sz="6" w:space="0" w:color="auto"/>
              <w:right w:val="nil" w:sz="6" w:space="0" w:color="auto"/>
            </w:tcBorders>
          </w:tcPr>
          <w:p>
            <w:pPr>
              <w:pStyle w:val="TableParagraph"/>
              <w:spacing w:line="216" w:lineRule="exact"/>
              <w:ind w:right="26"/>
              <w:jc w:val="right"/>
              <w:rPr>
                <w:rFonts w:ascii="黑体" w:hAnsi="黑体" w:cs="黑体" w:eastAsia="黑体" w:hint="default"/>
                <w:sz w:val="18"/>
                <w:szCs w:val="18"/>
              </w:rPr>
            </w:pPr>
            <w:r>
              <w:rPr>
                <w:rFonts w:ascii="黑体" w:hAnsi="黑体" w:cs="黑体" w:eastAsia="黑体" w:hint="default"/>
                <w:sz w:val="18"/>
                <w:szCs w:val="18"/>
              </w:rPr>
              <w:t>代表人</w:t>
            </w:r>
          </w:p>
        </w:tc>
        <w:tc>
          <w:tcPr>
            <w:tcW w:w="1080" w:type="dxa"/>
            <w:tcBorders>
              <w:top w:val="nil" w:sz="6" w:space="0" w:color="auto"/>
              <w:left w:val="nil" w:sz="6" w:space="0" w:color="auto"/>
              <w:bottom w:val="nil" w:sz="6" w:space="0" w:color="auto"/>
              <w:right w:val="nil" w:sz="6" w:space="0" w:color="auto"/>
            </w:tcBorders>
          </w:tcPr>
          <w:p>
            <w:pPr>
              <w:pStyle w:val="TableParagraph"/>
              <w:spacing w:line="216" w:lineRule="exact"/>
              <w:ind w:left="283" w:right="0"/>
              <w:jc w:val="left"/>
              <w:rPr>
                <w:rFonts w:ascii="黑体" w:hAnsi="黑体" w:cs="黑体" w:eastAsia="黑体" w:hint="default"/>
                <w:sz w:val="18"/>
                <w:szCs w:val="18"/>
              </w:rPr>
            </w:pPr>
            <w:r>
              <w:rPr>
                <w:rFonts w:ascii="黑体" w:hAnsi="黑体" w:cs="黑体" w:eastAsia="黑体" w:hint="default"/>
                <w:sz w:val="18"/>
                <w:szCs w:val="18"/>
              </w:rPr>
              <w:t>业务性质</w:t>
            </w:r>
          </w:p>
        </w:tc>
        <w:tc>
          <w:tcPr>
            <w:tcW w:w="1062" w:type="dxa"/>
            <w:tcBorders>
              <w:top w:val="nil" w:sz="6" w:space="0" w:color="auto"/>
              <w:left w:val="nil" w:sz="6" w:space="0" w:color="auto"/>
              <w:bottom w:val="nil" w:sz="6" w:space="0" w:color="auto"/>
              <w:right w:val="nil" w:sz="6" w:space="0" w:color="auto"/>
            </w:tcBorders>
          </w:tcPr>
          <w:p>
            <w:pPr>
              <w:pStyle w:val="TableParagraph"/>
              <w:spacing w:line="216" w:lineRule="exact"/>
              <w:ind w:right="29"/>
              <w:jc w:val="right"/>
              <w:rPr>
                <w:rFonts w:ascii="黑体" w:hAnsi="黑体" w:cs="黑体" w:eastAsia="黑体" w:hint="default"/>
                <w:sz w:val="18"/>
                <w:szCs w:val="18"/>
              </w:rPr>
            </w:pPr>
            <w:r>
              <w:rPr>
                <w:rFonts w:ascii="黑体" w:hAnsi="黑体" w:cs="黑体" w:eastAsia="黑体" w:hint="default"/>
                <w:sz w:val="18"/>
                <w:szCs w:val="18"/>
              </w:rPr>
              <w:t>注册资本</w:t>
            </w:r>
          </w:p>
        </w:tc>
        <w:tc>
          <w:tcPr>
            <w:tcW w:w="2273" w:type="dxa"/>
            <w:tcBorders>
              <w:top w:val="nil" w:sz="6" w:space="0" w:color="auto"/>
              <w:left w:val="nil" w:sz="6" w:space="0" w:color="auto"/>
              <w:bottom w:val="nil" w:sz="6" w:space="0" w:color="auto"/>
              <w:right w:val="nil" w:sz="6" w:space="0" w:color="auto"/>
            </w:tcBorders>
          </w:tcPr>
          <w:p>
            <w:pPr>
              <w:pStyle w:val="TableParagraph"/>
              <w:spacing w:line="216" w:lineRule="exact"/>
              <w:ind w:left="1477" w:right="0"/>
              <w:jc w:val="left"/>
              <w:rPr>
                <w:rFonts w:ascii="黑体" w:hAnsi="黑体" w:cs="黑体" w:eastAsia="黑体" w:hint="default"/>
                <w:sz w:val="18"/>
                <w:szCs w:val="18"/>
              </w:rPr>
            </w:pPr>
            <w:r>
              <w:rPr>
                <w:rFonts w:ascii="黑体" w:hAnsi="黑体" w:cs="黑体" w:eastAsia="黑体" w:hint="default"/>
                <w:sz w:val="18"/>
                <w:szCs w:val="18"/>
              </w:rPr>
              <w:t>经营范围</w:t>
            </w:r>
          </w:p>
        </w:tc>
        <w:tc>
          <w:tcPr>
            <w:tcW w:w="1147" w:type="dxa"/>
            <w:tcBorders>
              <w:top w:val="nil" w:sz="6" w:space="0" w:color="auto"/>
              <w:left w:val="nil" w:sz="6" w:space="0" w:color="auto"/>
              <w:bottom w:val="nil" w:sz="6" w:space="0" w:color="auto"/>
              <w:right w:val="nil" w:sz="6" w:space="0" w:color="auto"/>
            </w:tcBorders>
          </w:tcPr>
          <w:p>
            <w:pPr>
              <w:pStyle w:val="TableParagraph"/>
              <w:spacing w:line="216" w:lineRule="exact"/>
              <w:ind w:right="87"/>
              <w:jc w:val="right"/>
              <w:rPr>
                <w:rFonts w:ascii="黑体" w:hAnsi="黑体" w:cs="黑体" w:eastAsia="黑体" w:hint="default"/>
                <w:sz w:val="18"/>
                <w:szCs w:val="18"/>
              </w:rPr>
            </w:pPr>
            <w:r>
              <w:rPr>
                <w:rFonts w:ascii="黑体" w:hAnsi="黑体" w:cs="黑体" w:eastAsia="黑体" w:hint="default"/>
                <w:sz w:val="18"/>
                <w:szCs w:val="18"/>
              </w:rPr>
              <w:t>代码</w:t>
            </w:r>
          </w:p>
        </w:tc>
        <w:tc>
          <w:tcPr>
            <w:tcW w:w="1204" w:type="dxa"/>
            <w:tcBorders>
              <w:top w:val="nil" w:sz="6" w:space="0" w:color="auto"/>
              <w:left w:val="nil" w:sz="6" w:space="0" w:color="auto"/>
              <w:bottom w:val="nil" w:sz="6" w:space="0" w:color="auto"/>
              <w:right w:val="nil" w:sz="6" w:space="0" w:color="auto"/>
            </w:tcBorders>
          </w:tcPr>
          <w:p>
            <w:pPr>
              <w:pStyle w:val="TableParagraph"/>
              <w:spacing w:line="216" w:lineRule="exact"/>
              <w:ind w:right="213"/>
              <w:jc w:val="right"/>
              <w:rPr>
                <w:rFonts w:ascii="黑体" w:hAnsi="黑体" w:cs="黑体" w:eastAsia="黑体" w:hint="default"/>
                <w:sz w:val="18"/>
                <w:szCs w:val="18"/>
              </w:rPr>
            </w:pPr>
            <w:r>
              <w:rPr>
                <w:rFonts w:ascii="黑体" w:hAnsi="黑体" w:cs="黑体" w:eastAsia="黑体" w:hint="default"/>
                <w:sz w:val="18"/>
                <w:szCs w:val="18"/>
              </w:rPr>
              <w:t>出资额</w:t>
            </w:r>
          </w:p>
        </w:tc>
        <w:tc>
          <w:tcPr>
            <w:tcW w:w="775" w:type="dxa"/>
            <w:tcBorders>
              <w:top w:val="nil" w:sz="6" w:space="0" w:color="auto"/>
              <w:left w:val="nil" w:sz="6" w:space="0" w:color="auto"/>
              <w:bottom w:val="nil" w:sz="6" w:space="0" w:color="auto"/>
              <w:right w:val="nil" w:sz="6" w:space="0" w:color="auto"/>
            </w:tcBorders>
          </w:tcPr>
          <w:p>
            <w:pPr>
              <w:pStyle w:val="TableParagraph"/>
              <w:spacing w:line="216" w:lineRule="exact"/>
              <w:ind w:right="108"/>
              <w:jc w:val="right"/>
              <w:rPr>
                <w:rFonts w:ascii="黑体" w:hAnsi="黑体" w:cs="黑体" w:eastAsia="黑体" w:hint="default"/>
                <w:sz w:val="18"/>
                <w:szCs w:val="18"/>
              </w:rPr>
            </w:pPr>
            <w:r>
              <w:rPr>
                <w:rFonts w:ascii="黑体" w:hAnsi="黑体" w:cs="黑体" w:eastAsia="黑体" w:hint="default"/>
                <w:sz w:val="18"/>
                <w:szCs w:val="18"/>
              </w:rPr>
              <w:t>比例</w:t>
            </w:r>
          </w:p>
        </w:tc>
        <w:tc>
          <w:tcPr>
            <w:tcW w:w="779" w:type="dxa"/>
            <w:tcBorders>
              <w:top w:val="nil" w:sz="6" w:space="0" w:color="auto"/>
              <w:left w:val="nil" w:sz="6" w:space="0" w:color="auto"/>
              <w:bottom w:val="nil" w:sz="6" w:space="0" w:color="auto"/>
              <w:right w:val="nil" w:sz="6" w:space="0" w:color="auto"/>
            </w:tcBorders>
          </w:tcPr>
          <w:p>
            <w:pPr>
              <w:pStyle w:val="TableParagraph"/>
              <w:spacing w:line="216" w:lineRule="exact"/>
              <w:ind w:right="128"/>
              <w:jc w:val="right"/>
              <w:rPr>
                <w:rFonts w:ascii="黑体" w:hAnsi="黑体" w:cs="黑体" w:eastAsia="黑体" w:hint="default"/>
                <w:sz w:val="18"/>
                <w:szCs w:val="18"/>
              </w:rPr>
            </w:pPr>
            <w:r>
              <w:rPr>
                <w:rFonts w:ascii="黑体" w:hAnsi="黑体" w:cs="黑体" w:eastAsia="黑体" w:hint="default"/>
                <w:sz w:val="18"/>
                <w:szCs w:val="18"/>
              </w:rPr>
              <w:t>比例</w:t>
            </w:r>
          </w:p>
        </w:tc>
        <w:tc>
          <w:tcPr>
            <w:tcW w:w="1014" w:type="dxa"/>
            <w:tcBorders>
              <w:top w:val="nil" w:sz="6" w:space="0" w:color="auto"/>
              <w:left w:val="nil" w:sz="6" w:space="0" w:color="auto"/>
              <w:bottom w:val="nil" w:sz="6" w:space="0" w:color="auto"/>
              <w:right w:val="nil" w:sz="6" w:space="0" w:color="auto"/>
            </w:tcBorders>
          </w:tcPr>
          <w:p>
            <w:pPr>
              <w:pStyle w:val="TableParagraph"/>
              <w:spacing w:line="216" w:lineRule="exact"/>
              <w:ind w:right="163"/>
              <w:jc w:val="right"/>
              <w:rPr>
                <w:rFonts w:ascii="黑体" w:hAnsi="黑体" w:cs="黑体" w:eastAsia="黑体" w:hint="default"/>
                <w:sz w:val="18"/>
                <w:szCs w:val="18"/>
              </w:rPr>
            </w:pPr>
            <w:r>
              <w:rPr>
                <w:rFonts w:ascii="黑体" w:hAnsi="黑体" w:cs="黑体" w:eastAsia="黑体" w:hint="default"/>
                <w:sz w:val="18"/>
                <w:szCs w:val="18"/>
              </w:rPr>
              <w:t>合并报表</w:t>
            </w:r>
          </w:p>
        </w:tc>
        <w:tc>
          <w:tcPr>
            <w:tcW w:w="1088" w:type="dxa"/>
            <w:tcBorders>
              <w:top w:val="nil" w:sz="6" w:space="0" w:color="auto"/>
              <w:left w:val="nil" w:sz="6" w:space="0" w:color="auto"/>
              <w:bottom w:val="nil" w:sz="6" w:space="0" w:color="auto"/>
              <w:right w:val="nil" w:sz="6" w:space="0" w:color="auto"/>
            </w:tcBorders>
          </w:tcPr>
          <w:p>
            <w:pPr>
              <w:pStyle w:val="TableParagraph"/>
              <w:spacing w:line="216" w:lineRule="exact"/>
              <w:ind w:right="200"/>
              <w:jc w:val="right"/>
              <w:rPr>
                <w:rFonts w:ascii="黑体" w:hAnsi="黑体" w:cs="黑体" w:eastAsia="黑体" w:hint="default"/>
                <w:sz w:val="18"/>
                <w:szCs w:val="18"/>
              </w:rPr>
            </w:pPr>
            <w:r>
              <w:rPr>
                <w:rFonts w:ascii="黑体" w:hAnsi="黑体" w:cs="黑体" w:eastAsia="黑体" w:hint="default"/>
                <w:sz w:val="18"/>
                <w:szCs w:val="18"/>
              </w:rPr>
              <w:t>权益</w:t>
            </w:r>
          </w:p>
        </w:tc>
      </w:tr>
      <w:tr>
        <w:trPr>
          <w:trHeight w:val="410" w:hRule="exact"/>
        </w:trPr>
        <w:tc>
          <w:tcPr>
            <w:tcW w:w="2238"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c>
          <w:tcPr>
            <w:tcW w:w="1562" w:type="dxa"/>
            <w:tcBorders>
              <w:top w:val="nil" w:sz="6" w:space="0" w:color="auto"/>
              <w:left w:val="nil" w:sz="6" w:space="0" w:color="auto"/>
              <w:bottom w:val="nil" w:sz="6" w:space="0" w:color="auto"/>
              <w:right w:val="nil" w:sz="6" w:space="0" w:color="auto"/>
            </w:tcBorders>
          </w:tcPr>
          <w:p>
            <w:pPr/>
          </w:p>
        </w:tc>
        <w:tc>
          <w:tcPr>
            <w:tcW w:w="670"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
        </w:tc>
        <w:tc>
          <w:tcPr>
            <w:tcW w:w="2273" w:type="dxa"/>
            <w:tcBorders>
              <w:top w:val="nil" w:sz="6" w:space="0" w:color="auto"/>
              <w:left w:val="nil" w:sz="6" w:space="0" w:color="auto"/>
              <w:bottom w:val="nil" w:sz="6" w:space="0" w:color="auto"/>
              <w:right w:val="nil" w:sz="6" w:space="0" w:color="auto"/>
            </w:tcBorders>
          </w:tcPr>
          <w:p>
            <w:pPr/>
          </w:p>
        </w:tc>
        <w:tc>
          <w:tcPr>
            <w:tcW w:w="1147"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
        </w:tc>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8"/>
              <w:jc w:val="right"/>
              <w:rPr>
                <w:rFonts w:ascii="Arial" w:hAnsi="Arial" w:cs="Arial" w:eastAsia="Arial" w:hint="default"/>
                <w:sz w:val="18"/>
                <w:szCs w:val="18"/>
              </w:rPr>
            </w:pPr>
            <w:r>
              <w:rPr>
                <w:rFonts w:ascii="Arial"/>
                <w:w w:val="95"/>
                <w:sz w:val="18"/>
              </w:rPr>
              <w:t>(%)</w:t>
            </w:r>
            <w:r>
              <w:rPr>
                <w:rFonts w:ascii="Arial"/>
                <w:sz w:val="18"/>
              </w:rPr>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28"/>
              <w:jc w:val="right"/>
              <w:rPr>
                <w:rFonts w:ascii="Arial" w:hAnsi="Arial" w:cs="Arial" w:eastAsia="Arial" w:hint="default"/>
                <w:sz w:val="18"/>
                <w:szCs w:val="18"/>
              </w:rPr>
            </w:pPr>
            <w:r>
              <w:rPr>
                <w:rFonts w:ascii="Arial"/>
                <w:w w:val="95"/>
                <w:sz w:val="18"/>
              </w:rPr>
              <w:t>(%)</w:t>
            </w:r>
            <w:r>
              <w:rPr>
                <w:rFonts w:ascii="Arial"/>
                <w:sz w:val="18"/>
              </w:rPr>
            </w:r>
          </w:p>
        </w:tc>
        <w:tc>
          <w:tcPr>
            <w:tcW w:w="1014"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
        </w:tc>
      </w:tr>
      <w:tr>
        <w:trPr>
          <w:trHeight w:val="1800" w:hRule="exact"/>
        </w:trPr>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2"/>
                <w:szCs w:val="12"/>
              </w:rPr>
            </w:pPr>
          </w:p>
          <w:p>
            <w:pPr>
              <w:pStyle w:val="TableParagraph"/>
              <w:spacing w:line="276" w:lineRule="auto"/>
              <w:ind w:left="370" w:right="428" w:hanging="171"/>
              <w:jc w:val="left"/>
              <w:rPr>
                <w:rFonts w:ascii="Arial" w:hAnsi="Arial" w:cs="Arial" w:eastAsia="Arial" w:hint="default"/>
                <w:sz w:val="18"/>
                <w:szCs w:val="18"/>
              </w:rPr>
            </w:pPr>
            <w:r>
              <w:rPr>
                <w:rFonts w:ascii="Arial"/>
                <w:sz w:val="18"/>
              </w:rPr>
              <w:t>YONYOU</w:t>
            </w:r>
            <w:r>
              <w:rPr>
                <w:rFonts w:ascii="Arial"/>
                <w:w w:val="99"/>
                <w:sz w:val="18"/>
              </w:rPr>
              <w:t> </w:t>
            </w:r>
            <w:r>
              <w:rPr>
                <w:rFonts w:ascii="Arial"/>
                <w:spacing w:val="-1"/>
                <w:sz w:val="18"/>
              </w:rPr>
              <w:t>INTERNATIONAL</w:t>
            </w:r>
            <w:r>
              <w:rPr>
                <w:rFonts w:ascii="Arial"/>
                <w:w w:val="99"/>
                <w:sz w:val="18"/>
              </w:rPr>
              <w:t> </w:t>
            </w:r>
            <w:r>
              <w:rPr>
                <w:rFonts w:ascii="Arial"/>
                <w:sz w:val="18"/>
              </w:rPr>
              <w:t>HOLDINGS.,LTD.</w:t>
            </w:r>
          </w:p>
          <w:p>
            <w:pPr>
              <w:pStyle w:val="TableParagraph"/>
              <w:spacing w:line="217" w:lineRule="exact"/>
              <w:ind w:left="387" w:right="0"/>
              <w:jc w:val="left"/>
              <w:rPr>
                <w:rFonts w:ascii="Arial" w:hAnsi="Arial" w:cs="Arial" w:eastAsia="Arial" w:hint="default"/>
                <w:sz w:val="18"/>
                <w:szCs w:val="18"/>
              </w:rPr>
            </w:pPr>
            <w:r>
              <w:rPr>
                <w:rFonts w:ascii="Arial" w:hAnsi="Arial" w:cs="Arial" w:eastAsia="Arial" w:hint="default"/>
                <w:sz w:val="18"/>
                <w:szCs w:val="18"/>
              </w:rPr>
              <w:t>(</w:t>
            </w:r>
            <w:r>
              <w:rPr>
                <w:rFonts w:ascii="黑体" w:hAnsi="黑体" w:cs="黑体" w:eastAsia="黑体" w:hint="default"/>
                <w:sz w:val="18"/>
                <w:szCs w:val="18"/>
              </w:rPr>
              <w:t>以下简称</w:t>
            </w:r>
            <w:r>
              <w:rPr>
                <w:rFonts w:ascii="Arial" w:hAnsi="Arial" w:cs="Arial" w:eastAsia="Arial" w:hint="default"/>
                <w:sz w:val="18"/>
                <w:szCs w:val="18"/>
              </w:rPr>
              <w:t>“</w:t>
            </w:r>
            <w:r>
              <w:rPr>
                <w:rFonts w:ascii="Arial" w:hAnsi="Arial" w:cs="Arial" w:eastAsia="Arial" w:hint="default"/>
                <w:spacing w:val="-7"/>
                <w:sz w:val="18"/>
                <w:szCs w:val="18"/>
              </w:rPr>
              <w:t> </w:t>
            </w:r>
            <w:r>
              <w:rPr>
                <w:rFonts w:ascii="Arial" w:hAnsi="Arial" w:cs="Arial" w:eastAsia="Arial" w:hint="default"/>
                <w:sz w:val="18"/>
                <w:szCs w:val="18"/>
              </w:rPr>
              <w:t>YONYOU</w:t>
            </w:r>
          </w:p>
          <w:p>
            <w:pPr>
              <w:pStyle w:val="TableParagraph"/>
              <w:spacing w:line="240" w:lineRule="auto" w:before="52"/>
              <w:ind w:left="440" w:right="307" w:hanging="70"/>
              <w:jc w:val="left"/>
              <w:rPr>
                <w:rFonts w:ascii="Arial" w:hAnsi="Arial" w:cs="Arial" w:eastAsia="Arial" w:hint="default"/>
                <w:sz w:val="18"/>
                <w:szCs w:val="18"/>
              </w:rPr>
            </w:pPr>
            <w:r>
              <w:rPr>
                <w:rFonts w:ascii="Arial" w:hAnsi="Arial" w:cs="Arial" w:eastAsia="Arial" w:hint="default"/>
                <w:spacing w:val="-1"/>
                <w:sz w:val="18"/>
                <w:szCs w:val="18"/>
              </w:rPr>
              <w:t>INTERNATIONAL”)</w:t>
            </w:r>
            <w:r>
              <w:rPr>
                <w:rFonts w:ascii="Arial" w:hAnsi="Arial" w:cs="Arial" w:eastAsia="Arial" w:hint="default"/>
                <w:spacing w:val="-42"/>
                <w:sz w:val="18"/>
                <w:szCs w:val="18"/>
              </w:rPr>
              <w:t> </w:t>
            </w:r>
            <w:r>
              <w:rPr>
                <w:rFonts w:ascii="Arial" w:hAnsi="Arial" w:cs="Arial" w:eastAsia="Arial" w:hint="default"/>
                <w:spacing w:val="-42"/>
                <w:sz w:val="18"/>
                <w:szCs w:val="18"/>
              </w:rPr>
            </w:r>
            <w:r>
              <w:rPr>
                <w:rFonts w:ascii="Arial" w:hAnsi="Arial" w:cs="Arial" w:eastAsia="Arial" w:hint="default"/>
                <w:sz w:val="18"/>
                <w:szCs w:val="18"/>
              </w:rPr>
              <w:t>(</w:t>
            </w:r>
            <w:r>
              <w:rPr>
                <w:rFonts w:ascii="黑体" w:hAnsi="黑体" w:cs="黑体" w:eastAsia="黑体" w:hint="default"/>
                <w:sz w:val="18"/>
                <w:szCs w:val="18"/>
              </w:rPr>
              <w:t>注</w:t>
            </w:r>
            <w:r>
              <w:rPr>
                <w:rFonts w:ascii="黑体" w:hAnsi="黑体" w:cs="黑体" w:eastAsia="黑体" w:hint="default"/>
                <w:spacing w:val="-46"/>
                <w:sz w:val="18"/>
                <w:szCs w:val="18"/>
              </w:rPr>
              <w:t> </w:t>
            </w:r>
            <w:r>
              <w:rPr>
                <w:rFonts w:ascii="Arial" w:hAnsi="Arial" w:cs="Arial" w:eastAsia="Arial" w:hint="default"/>
                <w:sz w:val="18"/>
                <w:szCs w:val="18"/>
              </w:rPr>
              <w:t>2)</w:t>
            </w:r>
          </w:p>
        </w:tc>
        <w:tc>
          <w:tcPr>
            <w:tcW w:w="1106" w:type="dxa"/>
            <w:tcBorders>
              <w:top w:val="nil" w:sz="6" w:space="0" w:color="auto"/>
              <w:left w:val="nil" w:sz="6" w:space="0" w:color="auto"/>
              <w:bottom w:val="nil" w:sz="6" w:space="0" w:color="auto"/>
              <w:right w:val="nil" w:sz="6" w:space="0" w:color="auto"/>
            </w:tcBorders>
          </w:tcPr>
          <w:p>
            <w:pPr>
              <w:pStyle w:val="TableParagraph"/>
              <w:spacing w:line="271" w:lineRule="auto" w:before="128"/>
              <w:ind w:left="364" w:right="199" w:hanging="180"/>
              <w:jc w:val="left"/>
              <w:rPr>
                <w:rFonts w:ascii="黑体" w:hAnsi="黑体" w:cs="黑体" w:eastAsia="黑体" w:hint="default"/>
                <w:sz w:val="18"/>
                <w:szCs w:val="18"/>
              </w:rPr>
            </w:pPr>
            <w:r>
              <w:rPr>
                <w:rFonts w:ascii="黑体" w:hAnsi="黑体" w:cs="黑体" w:eastAsia="黑体" w:hint="default"/>
                <w:sz w:val="18"/>
                <w:szCs w:val="18"/>
              </w:rPr>
              <w:t>有限责任 公司</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98"/>
              <w:jc w:val="right"/>
              <w:rPr>
                <w:rFonts w:ascii="黑体" w:hAnsi="黑体" w:cs="黑体" w:eastAsia="黑体" w:hint="default"/>
                <w:sz w:val="18"/>
                <w:szCs w:val="18"/>
              </w:rPr>
            </w:pPr>
            <w:r>
              <w:rPr>
                <w:rFonts w:ascii="黑体" w:hAnsi="黑体" w:cs="黑体" w:eastAsia="黑体" w:hint="default"/>
                <w:sz w:val="18"/>
                <w:szCs w:val="18"/>
              </w:rPr>
              <w:t>英属维尔京群岛</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26"/>
              <w:jc w:val="right"/>
              <w:rPr>
                <w:rFonts w:ascii="黑体" w:hAnsi="黑体" w:cs="黑体" w:eastAsia="黑体" w:hint="default"/>
                <w:sz w:val="18"/>
                <w:szCs w:val="18"/>
              </w:rPr>
            </w:pPr>
            <w:r>
              <w:rPr>
                <w:rFonts w:ascii="黑体" w:hAnsi="黑体" w:cs="黑体" w:eastAsia="黑体" w:hint="default"/>
                <w:sz w:val="18"/>
                <w:szCs w:val="18"/>
              </w:rPr>
              <w:t>无</w:t>
            </w:r>
          </w:p>
        </w:tc>
        <w:tc>
          <w:tcPr>
            <w:tcW w:w="1080" w:type="dxa"/>
            <w:tcBorders>
              <w:top w:val="nil" w:sz="6" w:space="0" w:color="auto"/>
              <w:left w:val="nil" w:sz="6" w:space="0" w:color="auto"/>
              <w:bottom w:val="nil" w:sz="6" w:space="0" w:color="auto"/>
              <w:right w:val="nil" w:sz="6" w:space="0" w:color="auto"/>
            </w:tcBorders>
          </w:tcPr>
          <w:p>
            <w:pPr>
              <w:pStyle w:val="TableParagraph"/>
              <w:spacing w:line="273" w:lineRule="auto" w:before="135"/>
              <w:ind w:left="28" w:right="149"/>
              <w:jc w:val="both"/>
              <w:rPr>
                <w:rFonts w:ascii="黑体" w:hAnsi="黑体" w:cs="黑体" w:eastAsia="黑体" w:hint="default"/>
                <w:sz w:val="18"/>
                <w:szCs w:val="18"/>
              </w:rPr>
            </w:pPr>
            <w:r>
              <w:rPr>
                <w:rFonts w:ascii="黑体" w:hAnsi="黑体" w:cs="黑体" w:eastAsia="黑体" w:hint="default"/>
                <w:sz w:val="18"/>
                <w:szCs w:val="18"/>
              </w:rPr>
              <w:t>投资控股、 计算机软件 开发及技术 咨询</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25"/>
              <w:jc w:val="right"/>
              <w:rPr>
                <w:rFonts w:ascii="Arial" w:hAnsi="Arial" w:cs="Arial" w:eastAsia="Arial" w:hint="default"/>
                <w:sz w:val="18"/>
                <w:szCs w:val="18"/>
              </w:rPr>
            </w:pPr>
            <w:r>
              <w:rPr>
                <w:rFonts w:ascii="黑体" w:hAnsi="黑体" w:cs="黑体" w:eastAsia="黑体" w:hint="default"/>
                <w:sz w:val="18"/>
                <w:szCs w:val="18"/>
              </w:rPr>
              <w:t>美元</w:t>
            </w:r>
            <w:r>
              <w:rPr>
                <w:rFonts w:ascii="黑体" w:hAnsi="黑体" w:cs="黑体" w:eastAsia="黑体" w:hint="default"/>
                <w:spacing w:val="-48"/>
                <w:sz w:val="18"/>
                <w:szCs w:val="18"/>
              </w:rPr>
              <w:t> </w:t>
            </w:r>
            <w:r>
              <w:rPr>
                <w:rFonts w:ascii="Arial" w:hAnsi="Arial" w:cs="Arial" w:eastAsia="Arial" w:hint="default"/>
                <w:sz w:val="18"/>
                <w:szCs w:val="18"/>
              </w:rPr>
              <w:t>30,000</w:t>
            </w:r>
          </w:p>
        </w:tc>
        <w:tc>
          <w:tcPr>
            <w:tcW w:w="2273" w:type="dxa"/>
            <w:tcBorders>
              <w:top w:val="nil" w:sz="6" w:space="0" w:color="auto"/>
              <w:left w:val="nil" w:sz="6" w:space="0" w:color="auto"/>
              <w:bottom w:val="nil" w:sz="6" w:space="0" w:color="auto"/>
              <w:right w:val="nil" w:sz="6" w:space="0" w:color="auto"/>
            </w:tcBorders>
          </w:tcPr>
          <w:p>
            <w:pPr>
              <w:pStyle w:val="TableParagraph"/>
              <w:spacing w:line="271" w:lineRule="auto" w:before="135"/>
              <w:ind w:left="27" w:right="83"/>
              <w:jc w:val="left"/>
              <w:rPr>
                <w:rFonts w:ascii="黑体" w:hAnsi="黑体" w:cs="黑体" w:eastAsia="黑体" w:hint="default"/>
                <w:sz w:val="18"/>
                <w:szCs w:val="18"/>
              </w:rPr>
            </w:pPr>
            <w:r>
              <w:rPr>
                <w:rFonts w:ascii="黑体" w:hAnsi="黑体" w:cs="黑体" w:eastAsia="黑体" w:hint="default"/>
                <w:sz w:val="18"/>
                <w:szCs w:val="18"/>
              </w:rPr>
              <w:t>投资控股、计算机软件开发 及技术咨询。</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87"/>
              <w:jc w:val="right"/>
              <w:rPr>
                <w:rFonts w:ascii="黑体" w:hAnsi="黑体" w:cs="黑体" w:eastAsia="黑体" w:hint="default"/>
                <w:sz w:val="18"/>
                <w:szCs w:val="18"/>
              </w:rPr>
            </w:pPr>
            <w:r>
              <w:rPr>
                <w:rFonts w:ascii="黑体" w:hAnsi="黑体" w:cs="黑体" w:eastAsia="黑体" w:hint="default"/>
                <w:sz w:val="18"/>
                <w:szCs w:val="18"/>
              </w:rPr>
              <w:t>不适用</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right="211"/>
              <w:jc w:val="right"/>
              <w:rPr>
                <w:rFonts w:ascii="Arial" w:hAnsi="Arial" w:cs="Arial" w:eastAsia="Arial" w:hint="default"/>
                <w:sz w:val="18"/>
                <w:szCs w:val="18"/>
              </w:rPr>
            </w:pPr>
            <w:r>
              <w:rPr>
                <w:rFonts w:ascii="Arial"/>
                <w:spacing w:val="-1"/>
                <w:sz w:val="18"/>
              </w:rPr>
              <w:t>34,415,859</w:t>
            </w:r>
          </w:p>
        </w:tc>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right="107"/>
              <w:jc w:val="right"/>
              <w:rPr>
                <w:rFonts w:ascii="Arial" w:hAnsi="Arial" w:cs="Arial" w:eastAsia="Arial" w:hint="default"/>
                <w:sz w:val="18"/>
                <w:szCs w:val="18"/>
              </w:rPr>
            </w:pPr>
            <w:r>
              <w:rPr>
                <w:rFonts w:ascii="Arial"/>
                <w:w w:val="95"/>
                <w:sz w:val="18"/>
              </w:rPr>
              <w:t>100</w:t>
            </w:r>
            <w:r>
              <w:rPr>
                <w:rFonts w:ascii="Arial"/>
                <w:sz w:val="18"/>
              </w:rPr>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right="126"/>
              <w:jc w:val="right"/>
              <w:rPr>
                <w:rFonts w:ascii="Arial" w:hAnsi="Arial" w:cs="Arial" w:eastAsia="Arial" w:hint="default"/>
                <w:sz w:val="18"/>
                <w:szCs w:val="18"/>
              </w:rPr>
            </w:pPr>
            <w:r>
              <w:rPr>
                <w:rFonts w:ascii="Arial"/>
                <w:w w:val="95"/>
                <w:sz w:val="18"/>
              </w:rPr>
              <w:t>100</w:t>
            </w:r>
            <w:r>
              <w:rPr>
                <w:rFonts w:ascii="Arial"/>
                <w:sz w:val="18"/>
              </w:rPr>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63"/>
              <w:jc w:val="right"/>
              <w:rPr>
                <w:rFonts w:ascii="黑体" w:hAnsi="黑体" w:cs="黑体" w:eastAsia="黑体" w:hint="default"/>
                <w:sz w:val="18"/>
                <w:szCs w:val="18"/>
              </w:rPr>
            </w:pPr>
            <w:r>
              <w:rPr>
                <w:rFonts w:ascii="黑体" w:hAnsi="黑体" w:cs="黑体" w:eastAsia="黑体" w:hint="default"/>
                <w:sz w:val="18"/>
                <w:szCs w:val="18"/>
              </w:rPr>
              <w:t>是</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2"/>
                <w:szCs w:val="12"/>
              </w:rPr>
            </w:pPr>
          </w:p>
          <w:p>
            <w:pPr>
              <w:pStyle w:val="TableParagraph"/>
              <w:spacing w:line="240" w:lineRule="auto"/>
              <w:ind w:right="200"/>
              <w:jc w:val="right"/>
              <w:rPr>
                <w:rFonts w:ascii="Arial" w:hAnsi="Arial" w:cs="Arial" w:eastAsia="Arial" w:hint="default"/>
                <w:sz w:val="18"/>
                <w:szCs w:val="18"/>
              </w:rPr>
            </w:pPr>
            <w:r>
              <w:rPr>
                <w:rFonts w:ascii="Arial"/>
                <w:w w:val="99"/>
                <w:sz w:val="18"/>
              </w:rPr>
              <w:t>-</w:t>
            </w:r>
            <w:r>
              <w:rPr>
                <w:rFonts w:ascii="Arial"/>
                <w:sz w:val="18"/>
              </w:rPr>
            </w:r>
          </w:p>
        </w:tc>
      </w:tr>
      <w:tr>
        <w:trPr>
          <w:trHeight w:val="1991" w:hRule="exact"/>
        </w:trPr>
        <w:tc>
          <w:tcPr>
            <w:tcW w:w="2238" w:type="dxa"/>
            <w:tcBorders>
              <w:top w:val="nil" w:sz="6" w:space="0" w:color="auto"/>
              <w:left w:val="nil" w:sz="6" w:space="0" w:color="auto"/>
              <w:bottom w:val="nil" w:sz="6" w:space="0" w:color="auto"/>
              <w:right w:val="nil" w:sz="6" w:space="0" w:color="auto"/>
            </w:tcBorders>
          </w:tcPr>
          <w:p>
            <w:pPr>
              <w:pStyle w:val="TableParagraph"/>
              <w:spacing w:line="266" w:lineRule="auto" w:before="145"/>
              <w:ind w:left="370" w:right="235" w:hanging="171"/>
              <w:jc w:val="left"/>
              <w:rPr>
                <w:rFonts w:ascii="Arial" w:hAnsi="Arial" w:cs="Arial" w:eastAsia="Arial" w:hint="default"/>
                <w:sz w:val="18"/>
                <w:szCs w:val="18"/>
              </w:rPr>
            </w:pPr>
            <w:r>
              <w:rPr>
                <w:rFonts w:ascii="黑体" w:hAnsi="黑体" w:cs="黑体" w:eastAsia="黑体" w:hint="default"/>
                <w:sz w:val="18"/>
                <w:szCs w:val="18"/>
              </w:rPr>
              <w:t>北京用友华表软件技术 有限公司</w:t>
            </w:r>
            <w:r>
              <w:rPr>
                <w:rFonts w:ascii="Arial" w:hAnsi="Arial" w:cs="Arial" w:eastAsia="Arial" w:hint="default"/>
                <w:sz w:val="18"/>
                <w:szCs w:val="18"/>
              </w:rPr>
              <w:t>(</w:t>
            </w:r>
            <w:r>
              <w:rPr>
                <w:rFonts w:ascii="黑体" w:hAnsi="黑体" w:cs="黑体" w:eastAsia="黑体" w:hint="default"/>
                <w:sz w:val="18"/>
                <w:szCs w:val="18"/>
              </w:rPr>
              <w:t>以下简称 </w:t>
            </w:r>
            <w:r>
              <w:rPr>
                <w:rFonts w:ascii="Arial" w:hAnsi="Arial" w:cs="Arial" w:eastAsia="Arial" w:hint="default"/>
                <w:sz w:val="18"/>
                <w:szCs w:val="18"/>
              </w:rPr>
              <w:t>“</w:t>
            </w:r>
            <w:r>
              <w:rPr>
                <w:rFonts w:ascii="黑体" w:hAnsi="黑体" w:cs="黑体" w:eastAsia="黑体" w:hint="default"/>
                <w:sz w:val="18"/>
                <w:szCs w:val="18"/>
              </w:rPr>
              <w:t>用友华表</w:t>
            </w:r>
            <w:r>
              <w:rPr>
                <w:rFonts w:ascii="Arial" w:hAnsi="Arial" w:cs="Arial" w:eastAsia="Arial" w:hint="default"/>
                <w:sz w:val="18"/>
                <w:szCs w:val="18"/>
              </w:rPr>
              <w:t>”)</w:t>
            </w:r>
          </w:p>
        </w:tc>
        <w:tc>
          <w:tcPr>
            <w:tcW w:w="1106" w:type="dxa"/>
            <w:tcBorders>
              <w:top w:val="nil" w:sz="6" w:space="0" w:color="auto"/>
              <w:left w:val="nil" w:sz="6" w:space="0" w:color="auto"/>
              <w:bottom w:val="nil" w:sz="6" w:space="0" w:color="auto"/>
              <w:right w:val="nil" w:sz="6" w:space="0" w:color="auto"/>
            </w:tcBorders>
          </w:tcPr>
          <w:p>
            <w:pPr>
              <w:pStyle w:val="TableParagraph"/>
              <w:spacing w:line="273" w:lineRule="auto" w:before="145"/>
              <w:ind w:left="364" w:right="199" w:hanging="180"/>
              <w:jc w:val="both"/>
              <w:rPr>
                <w:rFonts w:ascii="黑体" w:hAnsi="黑体" w:cs="黑体" w:eastAsia="黑体" w:hint="default"/>
                <w:sz w:val="18"/>
                <w:szCs w:val="18"/>
              </w:rPr>
            </w:pPr>
            <w:r>
              <w:rPr>
                <w:rFonts w:ascii="黑体" w:hAnsi="黑体" w:cs="黑体" w:eastAsia="黑体" w:hint="default"/>
                <w:sz w:val="18"/>
                <w:szCs w:val="18"/>
              </w:rPr>
              <w:t>其他有限 责任公 司</w:t>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98"/>
              <w:jc w:val="right"/>
              <w:rPr>
                <w:rFonts w:ascii="黑体" w:hAnsi="黑体" w:cs="黑体" w:eastAsia="黑体" w:hint="default"/>
                <w:sz w:val="18"/>
                <w:szCs w:val="18"/>
              </w:rPr>
            </w:pPr>
            <w:r>
              <w:rPr>
                <w:rFonts w:ascii="黑体" w:hAnsi="黑体" w:cs="黑体" w:eastAsia="黑体" w:hint="default"/>
                <w:sz w:val="18"/>
                <w:szCs w:val="18"/>
              </w:rPr>
              <w:t>北京市</w:t>
            </w:r>
          </w:p>
        </w:tc>
        <w:tc>
          <w:tcPr>
            <w:tcW w:w="670"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26"/>
              <w:jc w:val="right"/>
              <w:rPr>
                <w:rFonts w:ascii="黑体" w:hAnsi="黑体" w:cs="黑体" w:eastAsia="黑体" w:hint="default"/>
                <w:sz w:val="18"/>
                <w:szCs w:val="18"/>
              </w:rPr>
            </w:pPr>
            <w:r>
              <w:rPr>
                <w:rFonts w:ascii="黑体" w:hAnsi="黑体" w:cs="黑体" w:eastAsia="黑体" w:hint="default"/>
                <w:sz w:val="18"/>
                <w:szCs w:val="18"/>
              </w:rPr>
              <w:t>王文京</w:t>
            </w:r>
          </w:p>
        </w:tc>
        <w:tc>
          <w:tcPr>
            <w:tcW w:w="1080" w:type="dxa"/>
            <w:tcBorders>
              <w:top w:val="nil" w:sz="6" w:space="0" w:color="auto"/>
              <w:left w:val="nil" w:sz="6" w:space="0" w:color="auto"/>
              <w:bottom w:val="nil" w:sz="6" w:space="0" w:color="auto"/>
              <w:right w:val="nil" w:sz="6" w:space="0" w:color="auto"/>
            </w:tcBorders>
          </w:tcPr>
          <w:p>
            <w:pPr>
              <w:pStyle w:val="TableParagraph"/>
              <w:spacing w:line="268" w:lineRule="auto" w:before="145"/>
              <w:ind w:left="28" w:right="98"/>
              <w:jc w:val="both"/>
              <w:rPr>
                <w:rFonts w:ascii="黑体" w:hAnsi="黑体" w:cs="黑体" w:eastAsia="黑体" w:hint="default"/>
                <w:sz w:val="18"/>
                <w:szCs w:val="18"/>
              </w:rPr>
            </w:pPr>
            <w:r>
              <w:rPr>
                <w:rFonts w:ascii="黑体" w:hAnsi="黑体" w:cs="黑体" w:eastAsia="黑体" w:hint="default"/>
                <w:sz w:val="18"/>
                <w:szCs w:val="18"/>
              </w:rPr>
              <w:t>计算机软</w:t>
            </w:r>
            <w:r>
              <w:rPr>
                <w:rFonts w:ascii="Arial" w:hAnsi="Arial" w:cs="Arial" w:eastAsia="Arial" w:hint="default"/>
                <w:sz w:val="18"/>
                <w:szCs w:val="18"/>
              </w:rPr>
              <w:t>/</w:t>
            </w:r>
            <w:r>
              <w:rPr>
                <w:rFonts w:ascii="黑体" w:hAnsi="黑体" w:cs="黑体" w:eastAsia="黑体" w:hint="default"/>
                <w:sz w:val="18"/>
                <w:szCs w:val="18"/>
              </w:rPr>
              <w:t>硬 件、技术咨 询及电子行 业</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3"/>
                <w:szCs w:val="13"/>
              </w:rPr>
            </w:pPr>
          </w:p>
          <w:p>
            <w:pPr>
              <w:pStyle w:val="TableParagraph"/>
              <w:spacing w:line="240" w:lineRule="auto"/>
              <w:ind w:right="26"/>
              <w:jc w:val="right"/>
              <w:rPr>
                <w:rFonts w:ascii="Arial" w:hAnsi="Arial" w:cs="Arial" w:eastAsia="Arial" w:hint="default"/>
                <w:sz w:val="18"/>
                <w:szCs w:val="18"/>
              </w:rPr>
            </w:pPr>
            <w:r>
              <w:rPr>
                <w:rFonts w:ascii="Arial"/>
                <w:spacing w:val="-1"/>
                <w:sz w:val="18"/>
              </w:rPr>
              <w:t>41,888,000</w:t>
            </w:r>
          </w:p>
        </w:tc>
        <w:tc>
          <w:tcPr>
            <w:tcW w:w="2273" w:type="dxa"/>
            <w:tcBorders>
              <w:top w:val="nil" w:sz="6" w:space="0" w:color="auto"/>
              <w:left w:val="nil" w:sz="6" w:space="0" w:color="auto"/>
              <w:bottom w:val="nil" w:sz="6" w:space="0" w:color="auto"/>
              <w:right w:val="nil" w:sz="6" w:space="0" w:color="auto"/>
            </w:tcBorders>
          </w:tcPr>
          <w:p>
            <w:pPr>
              <w:pStyle w:val="TableParagraph"/>
              <w:spacing w:line="273" w:lineRule="auto" w:before="145"/>
              <w:ind w:left="27" w:right="83"/>
              <w:jc w:val="both"/>
              <w:rPr>
                <w:rFonts w:ascii="黑体" w:hAnsi="黑体" w:cs="黑体" w:eastAsia="黑体" w:hint="default"/>
                <w:sz w:val="18"/>
                <w:szCs w:val="18"/>
              </w:rPr>
            </w:pPr>
            <w:r>
              <w:rPr>
                <w:rFonts w:ascii="黑体" w:hAnsi="黑体" w:cs="黑体" w:eastAsia="黑体" w:hint="default"/>
                <w:sz w:val="18"/>
                <w:szCs w:val="18"/>
              </w:rPr>
              <w:t>经营本企业和成员企业自产 产品及技术出口业务；本企 业和成员企业生产所需的原 辅材料、仪器仪表、机械设 备、零配件及技术的进口业 务；经营进料加工和“三来 一补”业务；技术开发。</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3"/>
                <w:szCs w:val="13"/>
              </w:rPr>
            </w:pPr>
          </w:p>
          <w:p>
            <w:pPr>
              <w:pStyle w:val="TableParagraph"/>
              <w:spacing w:line="240" w:lineRule="auto"/>
              <w:ind w:right="85"/>
              <w:jc w:val="right"/>
              <w:rPr>
                <w:rFonts w:ascii="Arial" w:hAnsi="Arial" w:cs="Arial" w:eastAsia="Arial" w:hint="default"/>
                <w:sz w:val="18"/>
                <w:szCs w:val="18"/>
              </w:rPr>
            </w:pPr>
            <w:r>
              <w:rPr>
                <w:rFonts w:ascii="Arial"/>
                <w:spacing w:val="-1"/>
                <w:sz w:val="18"/>
              </w:rPr>
              <w:t>X0038544-9</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3"/>
                <w:szCs w:val="13"/>
              </w:rPr>
            </w:pPr>
          </w:p>
          <w:p>
            <w:pPr>
              <w:pStyle w:val="TableParagraph"/>
              <w:spacing w:line="240" w:lineRule="auto"/>
              <w:ind w:right="211"/>
              <w:jc w:val="right"/>
              <w:rPr>
                <w:rFonts w:ascii="Arial" w:hAnsi="Arial" w:cs="Arial" w:eastAsia="Arial" w:hint="default"/>
                <w:sz w:val="18"/>
                <w:szCs w:val="18"/>
              </w:rPr>
            </w:pPr>
            <w:r>
              <w:rPr>
                <w:rFonts w:ascii="Arial"/>
                <w:spacing w:val="-1"/>
                <w:sz w:val="18"/>
              </w:rPr>
              <w:t>46,170,128</w:t>
            </w:r>
          </w:p>
        </w:tc>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3"/>
                <w:szCs w:val="13"/>
              </w:rPr>
            </w:pPr>
          </w:p>
          <w:p>
            <w:pPr>
              <w:pStyle w:val="TableParagraph"/>
              <w:spacing w:line="240" w:lineRule="auto"/>
              <w:ind w:right="107"/>
              <w:jc w:val="right"/>
              <w:rPr>
                <w:rFonts w:ascii="Arial" w:hAnsi="Arial" w:cs="Arial" w:eastAsia="Arial" w:hint="default"/>
                <w:sz w:val="18"/>
                <w:szCs w:val="18"/>
              </w:rPr>
            </w:pPr>
            <w:r>
              <w:rPr>
                <w:rFonts w:ascii="Arial"/>
                <w:w w:val="95"/>
                <w:sz w:val="18"/>
              </w:rPr>
              <w:t>99.43</w:t>
            </w:r>
            <w:r>
              <w:rPr>
                <w:rFonts w:ascii="Arial"/>
                <w:sz w:val="18"/>
              </w:rPr>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3"/>
                <w:szCs w:val="13"/>
              </w:rPr>
            </w:pPr>
          </w:p>
          <w:p>
            <w:pPr>
              <w:pStyle w:val="TableParagraph"/>
              <w:spacing w:line="240" w:lineRule="auto"/>
              <w:ind w:right="126"/>
              <w:jc w:val="right"/>
              <w:rPr>
                <w:rFonts w:ascii="Arial" w:hAnsi="Arial" w:cs="Arial" w:eastAsia="Arial" w:hint="default"/>
                <w:sz w:val="18"/>
                <w:szCs w:val="18"/>
              </w:rPr>
            </w:pPr>
            <w:r>
              <w:rPr>
                <w:rFonts w:ascii="Arial"/>
                <w:w w:val="95"/>
                <w:sz w:val="18"/>
              </w:rPr>
              <w:t>99.43</w:t>
            </w:r>
            <w:r>
              <w:rPr>
                <w:rFonts w:ascii="Arial"/>
                <w:sz w:val="18"/>
              </w:rPr>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63"/>
              <w:jc w:val="right"/>
              <w:rPr>
                <w:rFonts w:ascii="黑体" w:hAnsi="黑体" w:cs="黑体" w:eastAsia="黑体" w:hint="default"/>
                <w:sz w:val="18"/>
                <w:szCs w:val="18"/>
              </w:rPr>
            </w:pPr>
            <w:r>
              <w:rPr>
                <w:rFonts w:ascii="黑体" w:hAnsi="黑体" w:cs="黑体" w:eastAsia="黑体" w:hint="default"/>
                <w:sz w:val="18"/>
                <w:szCs w:val="18"/>
              </w:rPr>
              <w:t>是</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3"/>
                <w:szCs w:val="13"/>
              </w:rPr>
            </w:pPr>
          </w:p>
          <w:p>
            <w:pPr>
              <w:pStyle w:val="TableParagraph"/>
              <w:spacing w:line="240" w:lineRule="auto"/>
              <w:ind w:right="198"/>
              <w:jc w:val="right"/>
              <w:rPr>
                <w:rFonts w:ascii="Arial" w:hAnsi="Arial" w:cs="Arial" w:eastAsia="Arial" w:hint="default"/>
                <w:sz w:val="18"/>
                <w:szCs w:val="18"/>
              </w:rPr>
            </w:pPr>
            <w:r>
              <w:rPr>
                <w:rFonts w:ascii="Arial"/>
                <w:spacing w:val="-1"/>
                <w:sz w:val="18"/>
              </w:rPr>
              <w:t>201,158</w:t>
            </w:r>
          </w:p>
        </w:tc>
      </w:tr>
    </w:tbl>
    <w:p>
      <w:pPr>
        <w:spacing w:after="0" w:line="240" w:lineRule="auto"/>
        <w:jc w:val="right"/>
        <w:rPr>
          <w:rFonts w:ascii="Arial" w:hAnsi="Arial" w:cs="Arial" w:eastAsia="Arial" w:hint="default"/>
          <w:sz w:val="18"/>
          <w:szCs w:val="18"/>
        </w:rPr>
        <w:sectPr>
          <w:pgSz w:w="16850" w:h="11910" w:orient="landscape"/>
          <w:pgMar w:header="957" w:footer="857" w:top="2620" w:bottom="1040" w:left="420" w:right="200"/>
        </w:sectPr>
      </w:pPr>
    </w:p>
    <w:p>
      <w:pPr>
        <w:spacing w:line="240" w:lineRule="auto" w:before="7"/>
        <w:rPr>
          <w:rFonts w:ascii="黑体" w:hAnsi="黑体" w:cs="黑体" w:eastAsia="黑体" w:hint="default"/>
          <w:sz w:val="17"/>
          <w:szCs w:val="17"/>
        </w:rPr>
      </w:pPr>
    </w:p>
    <w:p>
      <w:pPr>
        <w:pStyle w:val="Heading6"/>
        <w:spacing w:line="240" w:lineRule="auto"/>
        <w:ind w:left="287" w:right="12014"/>
        <w:jc w:val="left"/>
        <w:rPr>
          <w:b w:val="0"/>
          <w:bCs w:val="0"/>
        </w:rPr>
      </w:pPr>
      <w:r>
        <w:rPr/>
        <w:t>四、合并财务报表的合并范围（续）</w:t>
      </w:r>
      <w:r>
        <w:rPr>
          <w:b w:val="0"/>
          <w:bCs w:val="0"/>
        </w:rPr>
      </w:r>
    </w:p>
    <w:p>
      <w:pPr>
        <w:spacing w:line="240" w:lineRule="auto" w:before="3"/>
        <w:rPr>
          <w:rFonts w:ascii="黑体" w:hAnsi="黑体" w:cs="黑体" w:eastAsia="黑体" w:hint="default"/>
          <w:b/>
          <w:bCs/>
          <w:sz w:val="15"/>
          <w:szCs w:val="15"/>
        </w:rPr>
      </w:pPr>
    </w:p>
    <w:p>
      <w:pPr>
        <w:tabs>
          <w:tab w:pos="715" w:val="left" w:leader="none"/>
        </w:tabs>
        <w:spacing w:line="398" w:lineRule="auto" w:before="0"/>
        <w:ind w:left="285" w:right="12014" w:firstLine="62"/>
        <w:jc w:val="left"/>
        <w:rPr>
          <w:rFonts w:ascii="黑体" w:hAnsi="黑体" w:cs="黑体" w:eastAsia="黑体" w:hint="default"/>
          <w:sz w:val="20"/>
          <w:szCs w:val="20"/>
        </w:rPr>
      </w:pPr>
      <w:r>
        <w:rPr>
          <w:rFonts w:ascii="Arial" w:hAnsi="Arial" w:cs="Arial" w:eastAsia="Arial" w:hint="default"/>
          <w:b/>
          <w:bCs/>
          <w:spacing w:val="-1"/>
          <w:sz w:val="20"/>
          <w:szCs w:val="20"/>
        </w:rPr>
        <w:t>1.</w:t>
        <w:tab/>
      </w:r>
      <w:r>
        <w:rPr>
          <w:rFonts w:ascii="黑体" w:hAnsi="黑体" w:cs="黑体" w:eastAsia="黑体" w:hint="default"/>
          <w:b/>
          <w:bCs/>
          <w:spacing w:val="1"/>
          <w:sz w:val="20"/>
          <w:szCs w:val="20"/>
        </w:rPr>
        <w:t>子公司情况（续）</w:t>
      </w:r>
      <w:r>
        <w:rPr>
          <w:rFonts w:ascii="黑体" w:hAnsi="黑体" w:cs="黑体" w:eastAsia="黑体" w:hint="default"/>
          <w:b/>
          <w:bCs/>
          <w:w w:val="99"/>
          <w:sz w:val="20"/>
          <w:szCs w:val="20"/>
        </w:rPr>
        <w:t> </w:t>
      </w:r>
      <w:r>
        <w:rPr>
          <w:rFonts w:ascii="黑体" w:hAnsi="黑体" w:cs="黑体" w:eastAsia="黑体" w:hint="default"/>
          <w:sz w:val="20"/>
          <w:szCs w:val="20"/>
        </w:rPr>
        <w:t>本集团重要子公司的情况如下（续）：</w:t>
      </w:r>
      <w:r>
        <w:rPr>
          <w:rFonts w:ascii="黑体" w:hAnsi="黑体" w:cs="黑体" w:eastAsia="黑体" w:hint="default"/>
          <w:w w:val="99"/>
          <w:sz w:val="20"/>
          <w:szCs w:val="20"/>
        </w:rPr>
        <w:t> </w:t>
      </w:r>
      <w:r>
        <w:rPr>
          <w:rFonts w:ascii="黑体" w:hAnsi="黑体" w:cs="黑体" w:eastAsia="黑体" w:hint="default"/>
          <w:sz w:val="20"/>
          <w:szCs w:val="20"/>
        </w:rPr>
        <w:t>通过设立或投资等方式取得的子公司（续）</w:t>
      </w:r>
    </w:p>
    <w:p>
      <w:pPr>
        <w:spacing w:line="240" w:lineRule="auto" w:before="12"/>
        <w:rPr>
          <w:rFonts w:ascii="黑体" w:hAnsi="黑体" w:cs="黑体" w:eastAsia="黑体" w:hint="default"/>
          <w:sz w:val="24"/>
          <w:szCs w:val="24"/>
        </w:rPr>
      </w:pPr>
    </w:p>
    <w:tbl>
      <w:tblPr>
        <w:tblW w:w="0" w:type="auto"/>
        <w:jc w:val="left"/>
        <w:tblInd w:w="111" w:type="dxa"/>
        <w:tblLayout w:type="fixed"/>
        <w:tblCellMar>
          <w:top w:w="0" w:type="dxa"/>
          <w:left w:w="0" w:type="dxa"/>
          <w:bottom w:w="0" w:type="dxa"/>
          <w:right w:w="0" w:type="dxa"/>
        </w:tblCellMar>
        <w:tblLook w:val="01E0"/>
      </w:tblPr>
      <w:tblGrid>
        <w:gridCol w:w="1752"/>
        <w:gridCol w:w="1000"/>
        <w:gridCol w:w="798"/>
        <w:gridCol w:w="677"/>
        <w:gridCol w:w="1164"/>
        <w:gridCol w:w="1187"/>
        <w:gridCol w:w="2034"/>
        <w:gridCol w:w="1245"/>
        <w:gridCol w:w="1473"/>
        <w:gridCol w:w="1012"/>
        <w:gridCol w:w="1030"/>
        <w:gridCol w:w="1176"/>
        <w:gridCol w:w="1331"/>
      </w:tblGrid>
      <w:tr>
        <w:trPr>
          <w:trHeight w:val="232" w:hRule="exact"/>
        </w:trPr>
        <w:tc>
          <w:tcPr>
            <w:tcW w:w="1752" w:type="dxa"/>
            <w:tcBorders>
              <w:top w:val="nil" w:sz="6" w:space="0" w:color="auto"/>
              <w:left w:val="nil" w:sz="6" w:space="0" w:color="auto"/>
              <w:bottom w:val="nil" w:sz="6" w:space="0" w:color="auto"/>
              <w:right w:val="nil" w:sz="6" w:space="0" w:color="auto"/>
            </w:tcBorders>
          </w:tcPr>
          <w:p>
            <w:pPr/>
          </w:p>
        </w:tc>
        <w:tc>
          <w:tcPr>
            <w:tcW w:w="1000" w:type="dxa"/>
            <w:tcBorders>
              <w:top w:val="nil" w:sz="6" w:space="0" w:color="auto"/>
              <w:left w:val="nil" w:sz="6" w:space="0" w:color="auto"/>
              <w:bottom w:val="nil" w:sz="6" w:space="0" w:color="auto"/>
              <w:right w:val="nil" w:sz="6" w:space="0" w:color="auto"/>
            </w:tcBorders>
          </w:tcPr>
          <w:p>
            <w:pPr>
              <w:pStyle w:val="TableParagraph"/>
              <w:spacing w:line="180" w:lineRule="exact"/>
              <w:ind w:right="191"/>
              <w:jc w:val="right"/>
              <w:rPr>
                <w:rFonts w:ascii="黑体" w:hAnsi="黑体" w:cs="黑体" w:eastAsia="黑体" w:hint="default"/>
                <w:sz w:val="18"/>
                <w:szCs w:val="18"/>
              </w:rPr>
            </w:pPr>
            <w:r>
              <w:rPr>
                <w:rFonts w:ascii="黑体" w:hAnsi="黑体" w:cs="黑体" w:eastAsia="黑体" w:hint="default"/>
                <w:sz w:val="18"/>
                <w:szCs w:val="18"/>
              </w:rPr>
              <w:t>子公司</w:t>
            </w:r>
          </w:p>
        </w:tc>
        <w:tc>
          <w:tcPr>
            <w:tcW w:w="798"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Style w:val="TableParagraph"/>
              <w:spacing w:line="187" w:lineRule="exact"/>
              <w:ind w:right="25"/>
              <w:jc w:val="right"/>
              <w:rPr>
                <w:rFonts w:ascii="黑体" w:hAnsi="黑体" w:cs="黑体" w:eastAsia="黑体" w:hint="default"/>
                <w:sz w:val="18"/>
                <w:szCs w:val="18"/>
              </w:rPr>
            </w:pPr>
            <w:r>
              <w:rPr>
                <w:rFonts w:ascii="黑体" w:hAnsi="黑体" w:cs="黑体" w:eastAsia="黑体" w:hint="default"/>
                <w:sz w:val="18"/>
                <w:szCs w:val="18"/>
              </w:rPr>
              <w:t>法定</w:t>
            </w:r>
          </w:p>
        </w:tc>
        <w:tc>
          <w:tcPr>
            <w:tcW w:w="1164"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nil" w:sz="6" w:space="0" w:color="auto"/>
              <w:right w:val="nil" w:sz="6" w:space="0" w:color="auto"/>
            </w:tcBorders>
          </w:tcPr>
          <w:p>
            <w:pPr/>
          </w:p>
        </w:tc>
        <w:tc>
          <w:tcPr>
            <w:tcW w:w="2034" w:type="dxa"/>
            <w:tcBorders>
              <w:top w:val="nil" w:sz="6" w:space="0" w:color="auto"/>
              <w:left w:val="nil" w:sz="6" w:space="0" w:color="auto"/>
              <w:bottom w:val="nil" w:sz="6" w:space="0" w:color="auto"/>
              <w:right w:val="nil" w:sz="6" w:space="0" w:color="auto"/>
            </w:tcBorders>
          </w:tcPr>
          <w:p>
            <w:pPr/>
          </w:p>
        </w:tc>
        <w:tc>
          <w:tcPr>
            <w:tcW w:w="1245" w:type="dxa"/>
            <w:tcBorders>
              <w:top w:val="nil" w:sz="6" w:space="0" w:color="auto"/>
              <w:left w:val="nil" w:sz="6" w:space="0" w:color="auto"/>
              <w:bottom w:val="nil" w:sz="6" w:space="0" w:color="auto"/>
              <w:right w:val="nil" w:sz="6" w:space="0" w:color="auto"/>
            </w:tcBorders>
          </w:tcPr>
          <w:p>
            <w:pPr>
              <w:pStyle w:val="TableParagraph"/>
              <w:spacing w:line="180" w:lineRule="exact"/>
              <w:ind w:right="171"/>
              <w:jc w:val="right"/>
              <w:rPr>
                <w:rFonts w:ascii="黑体" w:hAnsi="黑体" w:cs="黑体" w:eastAsia="黑体" w:hint="default"/>
                <w:sz w:val="18"/>
                <w:szCs w:val="18"/>
              </w:rPr>
            </w:pPr>
            <w:r>
              <w:rPr>
                <w:rFonts w:ascii="黑体" w:hAnsi="黑体" w:cs="黑体" w:eastAsia="黑体" w:hint="default"/>
                <w:sz w:val="18"/>
                <w:szCs w:val="18"/>
              </w:rPr>
              <w:t>组织机构</w:t>
            </w:r>
          </w:p>
        </w:tc>
        <w:tc>
          <w:tcPr>
            <w:tcW w:w="1473" w:type="dxa"/>
            <w:tcBorders>
              <w:top w:val="nil" w:sz="6" w:space="0" w:color="auto"/>
              <w:left w:val="nil" w:sz="6" w:space="0" w:color="auto"/>
              <w:bottom w:val="nil" w:sz="6" w:space="0" w:color="auto"/>
              <w:right w:val="nil" w:sz="6" w:space="0" w:color="auto"/>
            </w:tcBorders>
          </w:tcPr>
          <w:p>
            <w:pPr>
              <w:pStyle w:val="TableParagraph"/>
              <w:spacing w:line="180" w:lineRule="exact"/>
              <w:ind w:right="298"/>
              <w:jc w:val="right"/>
              <w:rPr>
                <w:rFonts w:ascii="黑体" w:hAnsi="黑体" w:cs="黑体" w:eastAsia="黑体" w:hint="default"/>
                <w:sz w:val="18"/>
                <w:szCs w:val="18"/>
              </w:rPr>
            </w:pPr>
            <w:r>
              <w:rPr>
                <w:rFonts w:ascii="黑体" w:hAnsi="黑体" w:cs="黑体" w:eastAsia="黑体" w:hint="default"/>
                <w:sz w:val="18"/>
                <w:szCs w:val="18"/>
              </w:rPr>
              <w:t>年末实际</w:t>
            </w:r>
          </w:p>
        </w:tc>
        <w:tc>
          <w:tcPr>
            <w:tcW w:w="1012" w:type="dxa"/>
            <w:tcBorders>
              <w:top w:val="nil" w:sz="6" w:space="0" w:color="auto"/>
              <w:left w:val="nil" w:sz="6" w:space="0" w:color="auto"/>
              <w:bottom w:val="nil" w:sz="6" w:space="0" w:color="auto"/>
              <w:right w:val="nil" w:sz="6" w:space="0" w:color="auto"/>
            </w:tcBorders>
          </w:tcPr>
          <w:p>
            <w:pPr>
              <w:pStyle w:val="TableParagraph"/>
              <w:spacing w:line="180" w:lineRule="exact"/>
              <w:ind w:right="260"/>
              <w:jc w:val="right"/>
              <w:rPr>
                <w:rFonts w:ascii="黑体" w:hAnsi="黑体" w:cs="黑体" w:eastAsia="黑体" w:hint="default"/>
                <w:sz w:val="18"/>
                <w:szCs w:val="18"/>
              </w:rPr>
            </w:pPr>
            <w:r>
              <w:rPr>
                <w:rFonts w:ascii="黑体" w:hAnsi="黑体" w:cs="黑体" w:eastAsia="黑体" w:hint="default"/>
                <w:sz w:val="18"/>
                <w:szCs w:val="18"/>
              </w:rPr>
              <w:t>持股</w:t>
            </w:r>
          </w:p>
        </w:tc>
        <w:tc>
          <w:tcPr>
            <w:tcW w:w="1030" w:type="dxa"/>
            <w:tcBorders>
              <w:top w:val="nil" w:sz="6" w:space="0" w:color="auto"/>
              <w:left w:val="nil" w:sz="6" w:space="0" w:color="auto"/>
              <w:bottom w:val="nil" w:sz="6" w:space="0" w:color="auto"/>
              <w:right w:val="nil" w:sz="6" w:space="0" w:color="auto"/>
            </w:tcBorders>
          </w:tcPr>
          <w:p>
            <w:pPr>
              <w:pStyle w:val="TableParagraph"/>
              <w:spacing w:line="180" w:lineRule="exact"/>
              <w:ind w:right="227"/>
              <w:jc w:val="right"/>
              <w:rPr>
                <w:rFonts w:ascii="黑体" w:hAnsi="黑体" w:cs="黑体" w:eastAsia="黑体" w:hint="default"/>
                <w:sz w:val="18"/>
                <w:szCs w:val="18"/>
              </w:rPr>
            </w:pPr>
            <w:r>
              <w:rPr>
                <w:rFonts w:ascii="黑体" w:hAnsi="黑体" w:cs="黑体" w:eastAsia="黑体" w:hint="default"/>
                <w:sz w:val="18"/>
                <w:szCs w:val="18"/>
              </w:rPr>
              <w:t>表决权</w:t>
            </w:r>
          </w:p>
        </w:tc>
        <w:tc>
          <w:tcPr>
            <w:tcW w:w="1176" w:type="dxa"/>
            <w:tcBorders>
              <w:top w:val="nil" w:sz="6" w:space="0" w:color="auto"/>
              <w:left w:val="nil" w:sz="6" w:space="0" w:color="auto"/>
              <w:bottom w:val="nil" w:sz="6" w:space="0" w:color="auto"/>
              <w:right w:val="nil" w:sz="6" w:space="0" w:color="auto"/>
            </w:tcBorders>
          </w:tcPr>
          <w:p>
            <w:pPr>
              <w:pStyle w:val="TableParagraph"/>
              <w:spacing w:line="180" w:lineRule="exact"/>
              <w:ind w:right="227"/>
              <w:jc w:val="right"/>
              <w:rPr>
                <w:rFonts w:ascii="黑体" w:hAnsi="黑体" w:cs="黑体" w:eastAsia="黑体" w:hint="default"/>
                <w:sz w:val="18"/>
                <w:szCs w:val="18"/>
              </w:rPr>
            </w:pPr>
            <w:r>
              <w:rPr>
                <w:rFonts w:ascii="黑体" w:hAnsi="黑体" w:cs="黑体" w:eastAsia="黑体" w:hint="default"/>
                <w:sz w:val="18"/>
                <w:szCs w:val="18"/>
              </w:rPr>
              <w:t>是否</w:t>
            </w:r>
          </w:p>
        </w:tc>
        <w:tc>
          <w:tcPr>
            <w:tcW w:w="1331" w:type="dxa"/>
            <w:tcBorders>
              <w:top w:val="nil" w:sz="6" w:space="0" w:color="auto"/>
              <w:left w:val="nil" w:sz="6" w:space="0" w:color="auto"/>
              <w:bottom w:val="nil" w:sz="6" w:space="0" w:color="auto"/>
              <w:right w:val="nil" w:sz="6" w:space="0" w:color="auto"/>
            </w:tcBorders>
          </w:tcPr>
          <w:p>
            <w:pPr>
              <w:pStyle w:val="TableParagraph"/>
              <w:spacing w:line="180" w:lineRule="exact"/>
              <w:ind w:right="199"/>
              <w:jc w:val="right"/>
              <w:rPr>
                <w:rFonts w:ascii="黑体" w:hAnsi="黑体" w:cs="黑体" w:eastAsia="黑体" w:hint="default"/>
                <w:sz w:val="18"/>
                <w:szCs w:val="18"/>
              </w:rPr>
            </w:pPr>
            <w:r>
              <w:rPr>
                <w:rFonts w:ascii="黑体" w:hAnsi="黑体" w:cs="黑体" w:eastAsia="黑体" w:hint="default"/>
                <w:sz w:val="18"/>
                <w:szCs w:val="18"/>
              </w:rPr>
              <w:t>少数股东</w:t>
            </w:r>
          </w:p>
        </w:tc>
      </w:tr>
      <w:tr>
        <w:trPr>
          <w:trHeight w:val="283" w:hRule="exact"/>
        </w:trPr>
        <w:tc>
          <w:tcPr>
            <w:tcW w:w="1752" w:type="dxa"/>
            <w:tcBorders>
              <w:top w:val="nil" w:sz="6" w:space="0" w:color="auto"/>
              <w:left w:val="nil" w:sz="6" w:space="0" w:color="auto"/>
              <w:bottom w:val="nil" w:sz="6" w:space="0" w:color="auto"/>
              <w:right w:val="nil" w:sz="6" w:space="0" w:color="auto"/>
            </w:tcBorders>
          </w:tcPr>
          <w:p>
            <w:pPr>
              <w:pStyle w:val="TableParagraph"/>
              <w:spacing w:line="224" w:lineRule="exact"/>
              <w:ind w:left="348" w:right="0"/>
              <w:jc w:val="left"/>
              <w:rPr>
                <w:rFonts w:ascii="黑体" w:hAnsi="黑体" w:cs="黑体" w:eastAsia="黑体" w:hint="default"/>
                <w:sz w:val="18"/>
                <w:szCs w:val="18"/>
              </w:rPr>
            </w:pPr>
            <w:r>
              <w:rPr>
                <w:rFonts w:ascii="黑体" w:hAnsi="黑体" w:cs="黑体" w:eastAsia="黑体" w:hint="default"/>
                <w:sz w:val="18"/>
                <w:szCs w:val="18"/>
              </w:rPr>
              <w:t>被投资单位名称</w:t>
            </w:r>
          </w:p>
        </w:tc>
        <w:tc>
          <w:tcPr>
            <w:tcW w:w="1000" w:type="dxa"/>
            <w:tcBorders>
              <w:top w:val="nil" w:sz="6" w:space="0" w:color="auto"/>
              <w:left w:val="nil" w:sz="6" w:space="0" w:color="auto"/>
              <w:bottom w:val="nil" w:sz="6" w:space="0" w:color="auto"/>
              <w:right w:val="nil" w:sz="6" w:space="0" w:color="auto"/>
            </w:tcBorders>
          </w:tcPr>
          <w:p>
            <w:pPr>
              <w:pStyle w:val="TableParagraph"/>
              <w:spacing w:line="224" w:lineRule="exact"/>
              <w:ind w:right="191"/>
              <w:jc w:val="right"/>
              <w:rPr>
                <w:rFonts w:ascii="黑体" w:hAnsi="黑体" w:cs="黑体" w:eastAsia="黑体" w:hint="default"/>
                <w:sz w:val="18"/>
                <w:szCs w:val="18"/>
              </w:rPr>
            </w:pPr>
            <w:r>
              <w:rPr>
                <w:rFonts w:ascii="黑体" w:hAnsi="黑体" w:cs="黑体" w:eastAsia="黑体" w:hint="default"/>
                <w:sz w:val="18"/>
                <w:szCs w:val="18"/>
              </w:rPr>
              <w:t>类型</w:t>
            </w:r>
          </w:p>
        </w:tc>
        <w:tc>
          <w:tcPr>
            <w:tcW w:w="798" w:type="dxa"/>
            <w:tcBorders>
              <w:top w:val="nil" w:sz="6" w:space="0" w:color="auto"/>
              <w:left w:val="nil" w:sz="6" w:space="0" w:color="auto"/>
              <w:bottom w:val="nil" w:sz="6" w:space="0" w:color="auto"/>
              <w:right w:val="nil" w:sz="6" w:space="0" w:color="auto"/>
            </w:tcBorders>
          </w:tcPr>
          <w:p>
            <w:pPr>
              <w:pStyle w:val="TableParagraph"/>
              <w:spacing w:line="232" w:lineRule="exact"/>
              <w:ind w:right="107"/>
              <w:jc w:val="right"/>
              <w:rPr>
                <w:rFonts w:ascii="黑体" w:hAnsi="黑体" w:cs="黑体" w:eastAsia="黑体" w:hint="default"/>
                <w:sz w:val="18"/>
                <w:szCs w:val="18"/>
              </w:rPr>
            </w:pPr>
            <w:r>
              <w:rPr>
                <w:rFonts w:ascii="黑体" w:hAnsi="黑体" w:cs="黑体" w:eastAsia="黑体" w:hint="default"/>
                <w:sz w:val="18"/>
                <w:szCs w:val="18"/>
              </w:rPr>
              <w:t>注册地</w:t>
            </w:r>
          </w:p>
        </w:tc>
        <w:tc>
          <w:tcPr>
            <w:tcW w:w="677" w:type="dxa"/>
            <w:tcBorders>
              <w:top w:val="nil" w:sz="6" w:space="0" w:color="auto"/>
              <w:left w:val="nil" w:sz="6" w:space="0" w:color="auto"/>
              <w:bottom w:val="nil" w:sz="6" w:space="0" w:color="auto"/>
              <w:right w:val="nil" w:sz="6" w:space="0" w:color="auto"/>
            </w:tcBorders>
          </w:tcPr>
          <w:p>
            <w:pPr>
              <w:pStyle w:val="TableParagraph"/>
              <w:spacing w:line="232" w:lineRule="exact"/>
              <w:ind w:right="25"/>
              <w:jc w:val="right"/>
              <w:rPr>
                <w:rFonts w:ascii="黑体" w:hAnsi="黑体" w:cs="黑体" w:eastAsia="黑体" w:hint="default"/>
                <w:sz w:val="18"/>
                <w:szCs w:val="18"/>
              </w:rPr>
            </w:pPr>
            <w:r>
              <w:rPr>
                <w:rFonts w:ascii="黑体" w:hAnsi="黑体" w:cs="黑体" w:eastAsia="黑体" w:hint="default"/>
                <w:sz w:val="18"/>
                <w:szCs w:val="18"/>
              </w:rPr>
              <w:t>代表人</w:t>
            </w:r>
          </w:p>
        </w:tc>
        <w:tc>
          <w:tcPr>
            <w:tcW w:w="1164" w:type="dxa"/>
            <w:tcBorders>
              <w:top w:val="nil" w:sz="6" w:space="0" w:color="auto"/>
              <w:left w:val="nil" w:sz="6" w:space="0" w:color="auto"/>
              <w:bottom w:val="nil" w:sz="6" w:space="0" w:color="auto"/>
              <w:right w:val="nil" w:sz="6" w:space="0" w:color="auto"/>
            </w:tcBorders>
          </w:tcPr>
          <w:p>
            <w:pPr>
              <w:pStyle w:val="TableParagraph"/>
              <w:spacing w:line="224" w:lineRule="exact"/>
              <w:ind w:left="286" w:right="0"/>
              <w:jc w:val="left"/>
              <w:rPr>
                <w:rFonts w:ascii="黑体" w:hAnsi="黑体" w:cs="黑体" w:eastAsia="黑体" w:hint="default"/>
                <w:sz w:val="18"/>
                <w:szCs w:val="18"/>
              </w:rPr>
            </w:pPr>
            <w:r>
              <w:rPr>
                <w:rFonts w:ascii="黑体" w:hAnsi="黑体" w:cs="黑体" w:eastAsia="黑体" w:hint="default"/>
                <w:sz w:val="18"/>
                <w:szCs w:val="18"/>
              </w:rPr>
              <w:t>业务性质</w:t>
            </w:r>
          </w:p>
        </w:tc>
        <w:tc>
          <w:tcPr>
            <w:tcW w:w="1187" w:type="dxa"/>
            <w:tcBorders>
              <w:top w:val="nil" w:sz="6" w:space="0" w:color="auto"/>
              <w:left w:val="nil" w:sz="6" w:space="0" w:color="auto"/>
              <w:bottom w:val="nil" w:sz="6" w:space="0" w:color="auto"/>
              <w:right w:val="nil" w:sz="6" w:space="0" w:color="auto"/>
            </w:tcBorders>
          </w:tcPr>
          <w:p>
            <w:pPr>
              <w:pStyle w:val="TableParagraph"/>
              <w:spacing w:line="224" w:lineRule="exact"/>
              <w:ind w:right="26"/>
              <w:jc w:val="right"/>
              <w:rPr>
                <w:rFonts w:ascii="黑体" w:hAnsi="黑体" w:cs="黑体" w:eastAsia="黑体" w:hint="default"/>
                <w:sz w:val="18"/>
                <w:szCs w:val="18"/>
              </w:rPr>
            </w:pPr>
            <w:r>
              <w:rPr>
                <w:rFonts w:ascii="黑体" w:hAnsi="黑体" w:cs="黑体" w:eastAsia="黑体" w:hint="default"/>
                <w:sz w:val="18"/>
                <w:szCs w:val="18"/>
              </w:rPr>
              <w:t>注册资本</w:t>
            </w:r>
          </w:p>
        </w:tc>
        <w:tc>
          <w:tcPr>
            <w:tcW w:w="2034" w:type="dxa"/>
            <w:tcBorders>
              <w:top w:val="nil" w:sz="6" w:space="0" w:color="auto"/>
              <w:left w:val="nil" w:sz="6" w:space="0" w:color="auto"/>
              <w:bottom w:val="nil" w:sz="6" w:space="0" w:color="auto"/>
              <w:right w:val="nil" w:sz="6" w:space="0" w:color="auto"/>
            </w:tcBorders>
          </w:tcPr>
          <w:p>
            <w:pPr>
              <w:pStyle w:val="TableParagraph"/>
              <w:spacing w:line="224" w:lineRule="exact"/>
              <w:ind w:left="1113" w:right="0"/>
              <w:jc w:val="left"/>
              <w:rPr>
                <w:rFonts w:ascii="黑体" w:hAnsi="黑体" w:cs="黑体" w:eastAsia="黑体" w:hint="default"/>
                <w:sz w:val="18"/>
                <w:szCs w:val="18"/>
              </w:rPr>
            </w:pPr>
            <w:r>
              <w:rPr>
                <w:rFonts w:ascii="黑体" w:hAnsi="黑体" w:cs="黑体" w:eastAsia="黑体" w:hint="default"/>
                <w:sz w:val="18"/>
                <w:szCs w:val="18"/>
              </w:rPr>
              <w:t>经营范围</w:t>
            </w:r>
          </w:p>
        </w:tc>
        <w:tc>
          <w:tcPr>
            <w:tcW w:w="1245" w:type="dxa"/>
            <w:tcBorders>
              <w:top w:val="nil" w:sz="6" w:space="0" w:color="auto"/>
              <w:left w:val="nil" w:sz="6" w:space="0" w:color="auto"/>
              <w:bottom w:val="nil" w:sz="6" w:space="0" w:color="auto"/>
              <w:right w:val="nil" w:sz="6" w:space="0" w:color="auto"/>
            </w:tcBorders>
          </w:tcPr>
          <w:p>
            <w:pPr>
              <w:pStyle w:val="TableParagraph"/>
              <w:spacing w:line="224" w:lineRule="exact"/>
              <w:ind w:right="171"/>
              <w:jc w:val="right"/>
              <w:rPr>
                <w:rFonts w:ascii="黑体" w:hAnsi="黑体" w:cs="黑体" w:eastAsia="黑体" w:hint="default"/>
                <w:sz w:val="18"/>
                <w:szCs w:val="18"/>
              </w:rPr>
            </w:pPr>
            <w:r>
              <w:rPr>
                <w:rFonts w:ascii="黑体" w:hAnsi="黑体" w:cs="黑体" w:eastAsia="黑体" w:hint="default"/>
                <w:sz w:val="18"/>
                <w:szCs w:val="18"/>
              </w:rPr>
              <w:t>代码</w:t>
            </w:r>
          </w:p>
        </w:tc>
        <w:tc>
          <w:tcPr>
            <w:tcW w:w="1473" w:type="dxa"/>
            <w:tcBorders>
              <w:top w:val="nil" w:sz="6" w:space="0" w:color="auto"/>
              <w:left w:val="nil" w:sz="6" w:space="0" w:color="auto"/>
              <w:bottom w:val="nil" w:sz="6" w:space="0" w:color="auto"/>
              <w:right w:val="nil" w:sz="6" w:space="0" w:color="auto"/>
            </w:tcBorders>
          </w:tcPr>
          <w:p>
            <w:pPr>
              <w:pStyle w:val="TableParagraph"/>
              <w:spacing w:line="224" w:lineRule="exact"/>
              <w:ind w:right="298"/>
              <w:jc w:val="right"/>
              <w:rPr>
                <w:rFonts w:ascii="黑体" w:hAnsi="黑体" w:cs="黑体" w:eastAsia="黑体" w:hint="default"/>
                <w:sz w:val="18"/>
                <w:szCs w:val="18"/>
              </w:rPr>
            </w:pPr>
            <w:r>
              <w:rPr>
                <w:rFonts w:ascii="黑体" w:hAnsi="黑体" w:cs="黑体" w:eastAsia="黑体" w:hint="default"/>
                <w:sz w:val="18"/>
                <w:szCs w:val="18"/>
              </w:rPr>
              <w:t>出资额</w:t>
            </w:r>
          </w:p>
        </w:tc>
        <w:tc>
          <w:tcPr>
            <w:tcW w:w="1012" w:type="dxa"/>
            <w:tcBorders>
              <w:top w:val="nil" w:sz="6" w:space="0" w:color="auto"/>
              <w:left w:val="nil" w:sz="6" w:space="0" w:color="auto"/>
              <w:bottom w:val="nil" w:sz="6" w:space="0" w:color="auto"/>
              <w:right w:val="nil" w:sz="6" w:space="0" w:color="auto"/>
            </w:tcBorders>
          </w:tcPr>
          <w:p>
            <w:pPr>
              <w:pStyle w:val="TableParagraph"/>
              <w:spacing w:line="224" w:lineRule="exact"/>
              <w:ind w:right="260"/>
              <w:jc w:val="right"/>
              <w:rPr>
                <w:rFonts w:ascii="黑体" w:hAnsi="黑体" w:cs="黑体" w:eastAsia="黑体" w:hint="default"/>
                <w:sz w:val="18"/>
                <w:szCs w:val="18"/>
              </w:rPr>
            </w:pPr>
            <w:r>
              <w:rPr>
                <w:rFonts w:ascii="黑体" w:hAnsi="黑体" w:cs="黑体" w:eastAsia="黑体" w:hint="default"/>
                <w:sz w:val="18"/>
                <w:szCs w:val="18"/>
              </w:rPr>
              <w:t>比例</w:t>
            </w:r>
          </w:p>
        </w:tc>
        <w:tc>
          <w:tcPr>
            <w:tcW w:w="1030" w:type="dxa"/>
            <w:tcBorders>
              <w:top w:val="nil" w:sz="6" w:space="0" w:color="auto"/>
              <w:left w:val="nil" w:sz="6" w:space="0" w:color="auto"/>
              <w:bottom w:val="nil" w:sz="6" w:space="0" w:color="auto"/>
              <w:right w:val="nil" w:sz="6" w:space="0" w:color="auto"/>
            </w:tcBorders>
          </w:tcPr>
          <w:p>
            <w:pPr>
              <w:pStyle w:val="TableParagraph"/>
              <w:spacing w:line="224" w:lineRule="exact"/>
              <w:ind w:right="227"/>
              <w:jc w:val="right"/>
              <w:rPr>
                <w:rFonts w:ascii="黑体" w:hAnsi="黑体" w:cs="黑体" w:eastAsia="黑体" w:hint="default"/>
                <w:sz w:val="18"/>
                <w:szCs w:val="18"/>
              </w:rPr>
            </w:pPr>
            <w:r>
              <w:rPr>
                <w:rFonts w:ascii="黑体" w:hAnsi="黑体" w:cs="黑体" w:eastAsia="黑体" w:hint="default"/>
                <w:sz w:val="18"/>
                <w:szCs w:val="18"/>
              </w:rPr>
              <w:t>比例</w:t>
            </w:r>
          </w:p>
        </w:tc>
        <w:tc>
          <w:tcPr>
            <w:tcW w:w="1176" w:type="dxa"/>
            <w:tcBorders>
              <w:top w:val="nil" w:sz="6" w:space="0" w:color="auto"/>
              <w:left w:val="nil" w:sz="6" w:space="0" w:color="auto"/>
              <w:bottom w:val="nil" w:sz="6" w:space="0" w:color="auto"/>
              <w:right w:val="nil" w:sz="6" w:space="0" w:color="auto"/>
            </w:tcBorders>
          </w:tcPr>
          <w:p>
            <w:pPr>
              <w:pStyle w:val="TableParagraph"/>
              <w:spacing w:line="224" w:lineRule="exact"/>
              <w:ind w:right="227"/>
              <w:jc w:val="right"/>
              <w:rPr>
                <w:rFonts w:ascii="黑体" w:hAnsi="黑体" w:cs="黑体" w:eastAsia="黑体" w:hint="default"/>
                <w:sz w:val="18"/>
                <w:szCs w:val="18"/>
              </w:rPr>
            </w:pPr>
            <w:r>
              <w:rPr>
                <w:rFonts w:ascii="黑体" w:hAnsi="黑体" w:cs="黑体" w:eastAsia="黑体" w:hint="default"/>
                <w:sz w:val="18"/>
                <w:szCs w:val="18"/>
              </w:rPr>
              <w:t>合并报表</w:t>
            </w:r>
          </w:p>
        </w:tc>
        <w:tc>
          <w:tcPr>
            <w:tcW w:w="1331" w:type="dxa"/>
            <w:tcBorders>
              <w:top w:val="nil" w:sz="6" w:space="0" w:color="auto"/>
              <w:left w:val="nil" w:sz="6" w:space="0" w:color="auto"/>
              <w:bottom w:val="nil" w:sz="6" w:space="0" w:color="auto"/>
              <w:right w:val="nil" w:sz="6" w:space="0" w:color="auto"/>
            </w:tcBorders>
          </w:tcPr>
          <w:p>
            <w:pPr>
              <w:pStyle w:val="TableParagraph"/>
              <w:spacing w:line="224" w:lineRule="exact"/>
              <w:ind w:right="199"/>
              <w:jc w:val="right"/>
              <w:rPr>
                <w:rFonts w:ascii="黑体" w:hAnsi="黑体" w:cs="黑体" w:eastAsia="黑体" w:hint="default"/>
                <w:sz w:val="18"/>
                <w:szCs w:val="18"/>
              </w:rPr>
            </w:pPr>
            <w:r>
              <w:rPr>
                <w:rFonts w:ascii="黑体" w:hAnsi="黑体" w:cs="黑体" w:eastAsia="黑体" w:hint="default"/>
                <w:sz w:val="18"/>
                <w:szCs w:val="18"/>
              </w:rPr>
              <w:t>权益</w:t>
            </w:r>
          </w:p>
        </w:tc>
      </w:tr>
      <w:tr>
        <w:trPr>
          <w:trHeight w:val="358" w:hRule="exact"/>
        </w:trPr>
        <w:tc>
          <w:tcPr>
            <w:tcW w:w="1752" w:type="dxa"/>
            <w:tcBorders>
              <w:top w:val="nil" w:sz="6" w:space="0" w:color="auto"/>
              <w:left w:val="nil" w:sz="6" w:space="0" w:color="auto"/>
              <w:bottom w:val="nil" w:sz="6" w:space="0" w:color="auto"/>
              <w:right w:val="nil" w:sz="6" w:space="0" w:color="auto"/>
            </w:tcBorders>
          </w:tcPr>
          <w:p>
            <w:pPr/>
          </w:p>
        </w:tc>
        <w:tc>
          <w:tcPr>
            <w:tcW w:w="1000" w:type="dxa"/>
            <w:tcBorders>
              <w:top w:val="nil" w:sz="6" w:space="0" w:color="auto"/>
              <w:left w:val="nil" w:sz="6" w:space="0" w:color="auto"/>
              <w:bottom w:val="nil" w:sz="6" w:space="0" w:color="auto"/>
              <w:right w:val="nil" w:sz="6" w:space="0" w:color="auto"/>
            </w:tcBorders>
          </w:tcPr>
          <w:p>
            <w:pPr/>
          </w:p>
        </w:tc>
        <w:tc>
          <w:tcPr>
            <w:tcW w:w="798"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nil" w:sz="6" w:space="0" w:color="auto"/>
              <w:right w:val="nil" w:sz="6" w:space="0" w:color="auto"/>
            </w:tcBorders>
          </w:tcPr>
          <w:p>
            <w:pPr/>
          </w:p>
        </w:tc>
        <w:tc>
          <w:tcPr>
            <w:tcW w:w="2034" w:type="dxa"/>
            <w:tcBorders>
              <w:top w:val="nil" w:sz="6" w:space="0" w:color="auto"/>
              <w:left w:val="nil" w:sz="6" w:space="0" w:color="auto"/>
              <w:bottom w:val="nil" w:sz="6" w:space="0" w:color="auto"/>
              <w:right w:val="nil" w:sz="6" w:space="0" w:color="auto"/>
            </w:tcBorders>
          </w:tcPr>
          <w:p>
            <w:pPr/>
          </w:p>
        </w:tc>
        <w:tc>
          <w:tcPr>
            <w:tcW w:w="1245"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60"/>
              <w:jc w:val="right"/>
              <w:rPr>
                <w:rFonts w:ascii="Arial" w:hAnsi="Arial" w:cs="Arial" w:eastAsia="Arial" w:hint="default"/>
                <w:sz w:val="18"/>
                <w:szCs w:val="18"/>
              </w:rPr>
            </w:pPr>
            <w:r>
              <w:rPr>
                <w:rFonts w:ascii="Arial"/>
                <w:w w:val="95"/>
                <w:sz w:val="18"/>
              </w:rPr>
              <w:t>(%)</w:t>
            </w:r>
            <w:r>
              <w:rPr>
                <w:rFonts w:ascii="Arial"/>
                <w:sz w:val="18"/>
              </w:rPr>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27"/>
              <w:jc w:val="right"/>
              <w:rPr>
                <w:rFonts w:ascii="Arial" w:hAnsi="Arial" w:cs="Arial" w:eastAsia="Arial" w:hint="default"/>
                <w:sz w:val="18"/>
                <w:szCs w:val="18"/>
              </w:rPr>
            </w:pPr>
            <w:r>
              <w:rPr>
                <w:rFonts w:ascii="Arial"/>
                <w:w w:val="95"/>
                <w:sz w:val="18"/>
              </w:rPr>
              <w:t>(%)</w:t>
            </w:r>
            <w:r>
              <w:rPr>
                <w:rFonts w:ascii="Arial"/>
                <w:sz w:val="18"/>
              </w:rPr>
            </w:r>
          </w:p>
        </w:tc>
        <w:tc>
          <w:tcPr>
            <w:tcW w:w="1176" w:type="dxa"/>
            <w:tcBorders>
              <w:top w:val="nil" w:sz="6" w:space="0" w:color="auto"/>
              <w:left w:val="nil" w:sz="6" w:space="0" w:color="auto"/>
              <w:bottom w:val="nil" w:sz="6" w:space="0" w:color="auto"/>
              <w:right w:val="nil" w:sz="6" w:space="0" w:color="auto"/>
            </w:tcBorders>
          </w:tcPr>
          <w:p>
            <w:pPr/>
          </w:p>
        </w:tc>
        <w:tc>
          <w:tcPr>
            <w:tcW w:w="1331" w:type="dxa"/>
            <w:tcBorders>
              <w:top w:val="nil" w:sz="6" w:space="0" w:color="auto"/>
              <w:left w:val="nil" w:sz="6" w:space="0" w:color="auto"/>
              <w:bottom w:val="nil" w:sz="6" w:space="0" w:color="auto"/>
              <w:right w:val="nil" w:sz="6" w:space="0" w:color="auto"/>
            </w:tcBorders>
          </w:tcPr>
          <w:p>
            <w:pPr/>
          </w:p>
        </w:tc>
      </w:tr>
      <w:tr>
        <w:trPr>
          <w:trHeight w:val="1147" w:hRule="exact"/>
        </w:trPr>
        <w:tc>
          <w:tcPr>
            <w:tcW w:w="1752" w:type="dxa"/>
            <w:tcBorders>
              <w:top w:val="nil" w:sz="6" w:space="0" w:color="auto"/>
              <w:left w:val="nil" w:sz="6" w:space="0" w:color="auto"/>
              <w:bottom w:val="nil" w:sz="6" w:space="0" w:color="auto"/>
              <w:right w:val="nil" w:sz="6" w:space="0" w:color="auto"/>
            </w:tcBorders>
          </w:tcPr>
          <w:p>
            <w:pPr>
              <w:pStyle w:val="TableParagraph"/>
              <w:spacing w:line="232" w:lineRule="auto" w:before="84"/>
              <w:ind w:left="375" w:right="87" w:hanging="176"/>
              <w:jc w:val="both"/>
              <w:rPr>
                <w:rFonts w:ascii="Arial" w:hAnsi="Arial" w:cs="Arial" w:eastAsia="Arial" w:hint="default"/>
                <w:sz w:val="18"/>
                <w:szCs w:val="18"/>
              </w:rPr>
            </w:pPr>
            <w:r>
              <w:rPr>
                <w:rFonts w:ascii="黑体" w:hAnsi="黑体" w:cs="黑体" w:eastAsia="黑体" w:hint="default"/>
                <w:spacing w:val="24"/>
                <w:sz w:val="18"/>
                <w:szCs w:val="18"/>
              </w:rPr>
              <w:t>北京用友艾福斯</w:t>
            </w:r>
            <w:r>
              <w:rPr>
                <w:rFonts w:ascii="黑体" w:hAnsi="黑体" w:cs="黑体" w:eastAsia="黑体" w:hint="default"/>
                <w:spacing w:val="-62"/>
                <w:sz w:val="18"/>
                <w:szCs w:val="18"/>
              </w:rPr>
              <w:t> </w:t>
            </w:r>
            <w:r>
              <w:rPr>
                <w:rFonts w:ascii="黑体" w:hAnsi="黑体" w:cs="黑体" w:eastAsia="黑体" w:hint="default"/>
                <w:sz w:val="18"/>
                <w:szCs w:val="18"/>
              </w:rPr>
              <w:t>软件系统有限公</w:t>
            </w:r>
            <w:r>
              <w:rPr>
                <w:rFonts w:ascii="黑体" w:hAnsi="黑体" w:cs="黑体" w:eastAsia="黑体" w:hint="default"/>
                <w:sz w:val="18"/>
                <w:szCs w:val="18"/>
              </w:rPr>
              <w:t> </w:t>
            </w:r>
            <w:r>
              <w:rPr>
                <w:rFonts w:ascii="黑体" w:hAnsi="黑体" w:cs="黑体" w:eastAsia="黑体" w:hint="default"/>
                <w:spacing w:val="7"/>
                <w:sz w:val="18"/>
                <w:szCs w:val="18"/>
              </w:rPr>
              <w:t>司</w:t>
            </w:r>
            <w:r>
              <w:rPr>
                <w:rFonts w:ascii="Arial" w:hAnsi="Arial" w:cs="Arial" w:eastAsia="Arial" w:hint="default"/>
                <w:spacing w:val="7"/>
                <w:sz w:val="18"/>
                <w:szCs w:val="18"/>
              </w:rPr>
              <w:t>(</w:t>
            </w:r>
            <w:r>
              <w:rPr>
                <w:rFonts w:ascii="黑体" w:hAnsi="黑体" w:cs="黑体" w:eastAsia="黑体" w:hint="default"/>
                <w:spacing w:val="7"/>
                <w:sz w:val="18"/>
                <w:szCs w:val="18"/>
              </w:rPr>
              <w:t>以下简称</w:t>
            </w:r>
            <w:r>
              <w:rPr>
                <w:rFonts w:ascii="Arial" w:hAnsi="Arial" w:cs="Arial" w:eastAsia="Arial" w:hint="default"/>
                <w:spacing w:val="7"/>
                <w:sz w:val="18"/>
                <w:szCs w:val="18"/>
              </w:rPr>
              <w:t>“</w:t>
            </w:r>
            <w:r>
              <w:rPr>
                <w:rFonts w:ascii="黑体" w:hAnsi="黑体" w:cs="黑体" w:eastAsia="黑体" w:hint="default"/>
                <w:spacing w:val="7"/>
                <w:sz w:val="18"/>
                <w:szCs w:val="18"/>
              </w:rPr>
              <w:t>用</w:t>
            </w:r>
            <w:r>
              <w:rPr>
                <w:rFonts w:ascii="黑体" w:hAnsi="黑体" w:cs="黑体" w:eastAsia="黑体" w:hint="default"/>
                <w:sz w:val="18"/>
                <w:szCs w:val="18"/>
              </w:rPr>
              <w:t> 友艾福斯</w:t>
            </w:r>
            <w:r>
              <w:rPr>
                <w:rFonts w:ascii="Arial" w:hAnsi="Arial" w:cs="Arial" w:eastAsia="Arial" w:hint="default"/>
                <w:sz w:val="18"/>
                <w:szCs w:val="18"/>
              </w:rPr>
              <w:t>”)</w:t>
            </w:r>
          </w:p>
        </w:tc>
        <w:tc>
          <w:tcPr>
            <w:tcW w:w="1000" w:type="dxa"/>
            <w:tcBorders>
              <w:top w:val="nil" w:sz="6" w:space="0" w:color="auto"/>
              <w:left w:val="nil" w:sz="6" w:space="0" w:color="auto"/>
              <w:bottom w:val="nil" w:sz="6" w:space="0" w:color="auto"/>
              <w:right w:val="nil" w:sz="6" w:space="0" w:color="auto"/>
            </w:tcBorders>
          </w:tcPr>
          <w:p>
            <w:pPr>
              <w:pStyle w:val="TableParagraph"/>
              <w:spacing w:line="232" w:lineRule="exact" w:before="95"/>
              <w:ind w:left="250" w:right="146" w:hanging="180"/>
              <w:jc w:val="both"/>
              <w:rPr>
                <w:rFonts w:ascii="Arial" w:hAnsi="Arial" w:cs="Arial" w:eastAsia="Arial" w:hint="default"/>
                <w:sz w:val="18"/>
                <w:szCs w:val="18"/>
              </w:rPr>
            </w:pPr>
            <w:r>
              <w:rPr>
                <w:rFonts w:ascii="黑体" w:hAnsi="黑体" w:cs="黑体" w:eastAsia="黑体" w:hint="default"/>
                <w:sz w:val="18"/>
                <w:szCs w:val="18"/>
              </w:rPr>
              <w:t>有限责任 公司</w:t>
            </w:r>
            <w:r>
              <w:rPr>
                <w:rFonts w:ascii="Arial" w:hAnsi="Arial" w:cs="Arial" w:eastAsia="Arial" w:hint="default"/>
                <w:sz w:val="18"/>
                <w:szCs w:val="18"/>
              </w:rPr>
              <w:t>(</w:t>
            </w:r>
            <w:r>
              <w:rPr>
                <w:rFonts w:ascii="黑体" w:hAnsi="黑体" w:cs="黑体" w:eastAsia="黑体" w:hint="default"/>
                <w:sz w:val="18"/>
                <w:szCs w:val="18"/>
              </w:rPr>
              <w:t>法 人独资</w:t>
            </w:r>
            <w:r>
              <w:rPr>
                <w:rFonts w:ascii="Arial" w:hAnsi="Arial" w:cs="Arial" w:eastAsia="Arial" w:hint="default"/>
                <w:sz w:val="18"/>
                <w:szCs w:val="18"/>
              </w:rPr>
              <w:t>)</w:t>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07"/>
              <w:jc w:val="right"/>
              <w:rPr>
                <w:rFonts w:ascii="黑体" w:hAnsi="黑体" w:cs="黑体" w:eastAsia="黑体" w:hint="default"/>
                <w:sz w:val="18"/>
                <w:szCs w:val="18"/>
              </w:rPr>
            </w:pPr>
            <w:r>
              <w:rPr>
                <w:rFonts w:ascii="黑体" w:hAnsi="黑体" w:cs="黑体" w:eastAsia="黑体" w:hint="default"/>
                <w:sz w:val="18"/>
                <w:szCs w:val="18"/>
              </w:rPr>
              <w:t>北京市</w:t>
            </w: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5"/>
              <w:jc w:val="right"/>
              <w:rPr>
                <w:rFonts w:ascii="黑体" w:hAnsi="黑体" w:cs="黑体" w:eastAsia="黑体" w:hint="default"/>
                <w:sz w:val="18"/>
                <w:szCs w:val="18"/>
              </w:rPr>
            </w:pPr>
            <w:r>
              <w:rPr>
                <w:rFonts w:ascii="黑体" w:hAnsi="黑体" w:cs="黑体" w:eastAsia="黑体" w:hint="default"/>
                <w:sz w:val="18"/>
                <w:szCs w:val="18"/>
              </w:rPr>
              <w:t>李友</w:t>
            </w:r>
          </w:p>
        </w:tc>
        <w:tc>
          <w:tcPr>
            <w:tcW w:w="1164" w:type="dxa"/>
            <w:tcBorders>
              <w:top w:val="nil" w:sz="6" w:space="0" w:color="auto"/>
              <w:left w:val="nil" w:sz="6" w:space="0" w:color="auto"/>
              <w:bottom w:val="nil" w:sz="6" w:space="0" w:color="auto"/>
              <w:right w:val="nil" w:sz="6" w:space="0" w:color="auto"/>
            </w:tcBorders>
          </w:tcPr>
          <w:p>
            <w:pPr>
              <w:pStyle w:val="TableParagraph"/>
              <w:spacing w:line="232" w:lineRule="auto" w:before="84"/>
              <w:ind w:left="27" w:right="184"/>
              <w:jc w:val="both"/>
              <w:rPr>
                <w:rFonts w:ascii="黑体" w:hAnsi="黑体" w:cs="黑体" w:eastAsia="黑体" w:hint="default"/>
                <w:sz w:val="18"/>
                <w:szCs w:val="18"/>
              </w:rPr>
            </w:pPr>
            <w:r>
              <w:rPr>
                <w:rFonts w:ascii="黑体" w:hAnsi="黑体" w:cs="黑体" w:eastAsia="黑体" w:hint="default"/>
                <w:sz w:val="18"/>
                <w:szCs w:val="18"/>
              </w:rPr>
              <w:t>计算机软</w:t>
            </w:r>
            <w:r>
              <w:rPr>
                <w:rFonts w:ascii="Arial" w:hAnsi="Arial" w:cs="Arial" w:eastAsia="Arial" w:hint="default"/>
                <w:sz w:val="18"/>
                <w:szCs w:val="18"/>
              </w:rPr>
              <w:t>/</w:t>
            </w:r>
            <w:r>
              <w:rPr>
                <w:rFonts w:ascii="黑体" w:hAnsi="黑体" w:cs="黑体" w:eastAsia="黑体" w:hint="default"/>
                <w:sz w:val="18"/>
                <w:szCs w:val="18"/>
              </w:rPr>
              <w:t>硬 件、技术咨 询及电子行 业</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5"/>
              <w:jc w:val="right"/>
              <w:rPr>
                <w:rFonts w:ascii="Arial" w:hAnsi="Arial" w:cs="Arial" w:eastAsia="Arial" w:hint="default"/>
                <w:sz w:val="18"/>
                <w:szCs w:val="18"/>
              </w:rPr>
            </w:pPr>
            <w:r>
              <w:rPr>
                <w:rFonts w:ascii="Arial"/>
                <w:spacing w:val="-1"/>
                <w:sz w:val="18"/>
              </w:rPr>
              <w:t>11,035,739</w:t>
            </w:r>
          </w:p>
        </w:tc>
        <w:tc>
          <w:tcPr>
            <w:tcW w:w="2034" w:type="dxa"/>
            <w:tcBorders>
              <w:top w:val="nil" w:sz="6" w:space="0" w:color="auto"/>
              <w:left w:val="nil" w:sz="6" w:space="0" w:color="auto"/>
              <w:bottom w:val="nil" w:sz="6" w:space="0" w:color="auto"/>
              <w:right w:val="nil" w:sz="6" w:space="0" w:color="auto"/>
            </w:tcBorders>
          </w:tcPr>
          <w:p>
            <w:pPr>
              <w:pStyle w:val="TableParagraph"/>
              <w:spacing w:line="237" w:lineRule="auto" w:before="80"/>
              <w:ind w:left="26" w:right="205"/>
              <w:jc w:val="both"/>
              <w:rPr>
                <w:rFonts w:ascii="黑体" w:hAnsi="黑体" w:cs="黑体" w:eastAsia="黑体" w:hint="default"/>
                <w:sz w:val="18"/>
                <w:szCs w:val="18"/>
              </w:rPr>
            </w:pPr>
            <w:r>
              <w:rPr>
                <w:rFonts w:ascii="黑体" w:hAnsi="黑体" w:cs="黑体" w:eastAsia="黑体" w:hint="default"/>
                <w:sz w:val="18"/>
                <w:szCs w:val="18"/>
              </w:rPr>
              <w:t>应用软件服务、基础软 件服务、技术开发、技 术咨询；销售自行开发 后的产品。</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71"/>
              <w:jc w:val="right"/>
              <w:rPr>
                <w:rFonts w:ascii="Arial" w:hAnsi="Arial" w:cs="Arial" w:eastAsia="Arial" w:hint="default"/>
                <w:sz w:val="18"/>
                <w:szCs w:val="18"/>
              </w:rPr>
            </w:pPr>
            <w:r>
              <w:rPr>
                <w:rFonts w:ascii="Arial"/>
                <w:spacing w:val="-1"/>
                <w:sz w:val="18"/>
              </w:rPr>
              <w:t>73344527-7</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95"/>
              <w:jc w:val="right"/>
              <w:rPr>
                <w:rFonts w:ascii="Arial" w:hAnsi="Arial" w:cs="Arial" w:eastAsia="Arial" w:hint="default"/>
                <w:sz w:val="18"/>
                <w:szCs w:val="18"/>
              </w:rPr>
            </w:pPr>
            <w:r>
              <w:rPr>
                <w:rFonts w:ascii="Arial"/>
                <w:spacing w:val="-1"/>
                <w:sz w:val="18"/>
              </w:rPr>
              <w:t>8,392,716</w:t>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58"/>
              <w:jc w:val="right"/>
              <w:rPr>
                <w:rFonts w:ascii="Arial" w:hAnsi="Arial" w:cs="Arial" w:eastAsia="Arial" w:hint="default"/>
                <w:sz w:val="18"/>
                <w:szCs w:val="18"/>
              </w:rPr>
            </w:pPr>
            <w:r>
              <w:rPr>
                <w:rFonts w:ascii="Arial"/>
                <w:w w:val="95"/>
                <w:sz w:val="18"/>
              </w:rPr>
              <w:t>100</w:t>
            </w:r>
            <w:r>
              <w:rPr>
                <w:rFonts w:ascii="Arial"/>
                <w:sz w:val="18"/>
              </w:rPr>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24"/>
              <w:jc w:val="right"/>
              <w:rPr>
                <w:rFonts w:ascii="Arial" w:hAnsi="Arial" w:cs="Arial" w:eastAsia="Arial" w:hint="default"/>
                <w:sz w:val="18"/>
                <w:szCs w:val="18"/>
              </w:rPr>
            </w:pPr>
            <w:r>
              <w:rPr>
                <w:rFonts w:ascii="Arial"/>
                <w:w w:val="95"/>
                <w:sz w:val="18"/>
              </w:rPr>
              <w:t>100</w:t>
            </w:r>
            <w:r>
              <w:rPr>
                <w:rFonts w:ascii="Arial"/>
                <w:sz w:val="18"/>
              </w:rPr>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27"/>
              <w:jc w:val="right"/>
              <w:rPr>
                <w:rFonts w:ascii="黑体" w:hAnsi="黑体" w:cs="黑体" w:eastAsia="黑体" w:hint="default"/>
                <w:sz w:val="18"/>
                <w:szCs w:val="18"/>
              </w:rPr>
            </w:pPr>
            <w:r>
              <w:rPr>
                <w:rFonts w:ascii="黑体" w:hAnsi="黑体" w:cs="黑体" w:eastAsia="黑体" w:hint="default"/>
                <w:sz w:val="18"/>
                <w:szCs w:val="18"/>
              </w:rPr>
              <w:t>是</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99"/>
              <w:jc w:val="right"/>
              <w:rPr>
                <w:rFonts w:ascii="Arial" w:hAnsi="Arial" w:cs="Arial" w:eastAsia="Arial" w:hint="default"/>
                <w:sz w:val="18"/>
                <w:szCs w:val="18"/>
              </w:rPr>
            </w:pPr>
            <w:r>
              <w:rPr>
                <w:rFonts w:ascii="Arial"/>
                <w:w w:val="99"/>
                <w:sz w:val="18"/>
              </w:rPr>
              <w:t>-</w:t>
            </w:r>
            <w:r>
              <w:rPr>
                <w:rFonts w:ascii="Arial"/>
                <w:sz w:val="18"/>
              </w:rPr>
            </w:r>
          </w:p>
        </w:tc>
      </w:tr>
      <w:tr>
        <w:trPr>
          <w:trHeight w:val="1149" w:hRule="exact"/>
        </w:trPr>
        <w:tc>
          <w:tcPr>
            <w:tcW w:w="1752" w:type="dxa"/>
            <w:tcBorders>
              <w:top w:val="nil" w:sz="6" w:space="0" w:color="auto"/>
              <w:left w:val="nil" w:sz="6" w:space="0" w:color="auto"/>
              <w:bottom w:val="nil" w:sz="6" w:space="0" w:color="auto"/>
              <w:right w:val="nil" w:sz="6" w:space="0" w:color="auto"/>
            </w:tcBorders>
          </w:tcPr>
          <w:p>
            <w:pPr>
              <w:pStyle w:val="TableParagraph"/>
              <w:spacing w:line="232" w:lineRule="auto" w:before="77"/>
              <w:ind w:left="394" w:right="95" w:hanging="180"/>
              <w:jc w:val="both"/>
              <w:rPr>
                <w:rFonts w:ascii="Arial" w:hAnsi="Arial" w:cs="Arial" w:eastAsia="Arial" w:hint="default"/>
                <w:sz w:val="18"/>
                <w:szCs w:val="18"/>
              </w:rPr>
            </w:pPr>
            <w:r>
              <w:rPr>
                <w:rFonts w:ascii="黑体" w:hAnsi="黑体" w:cs="黑体" w:eastAsia="黑体" w:hint="default"/>
                <w:sz w:val="18"/>
                <w:szCs w:val="18"/>
              </w:rPr>
              <w:t>北京用友政务软件 有限公司</w:t>
            </w:r>
            <w:r>
              <w:rPr>
                <w:rFonts w:ascii="Arial" w:hAnsi="Arial" w:cs="Arial" w:eastAsia="Arial" w:hint="default"/>
                <w:sz w:val="18"/>
                <w:szCs w:val="18"/>
              </w:rPr>
              <w:t>(</w:t>
            </w:r>
            <w:r>
              <w:rPr>
                <w:rFonts w:ascii="黑体" w:hAnsi="黑体" w:cs="黑体" w:eastAsia="黑体" w:hint="default"/>
                <w:sz w:val="18"/>
                <w:szCs w:val="18"/>
              </w:rPr>
              <w:t>以下 简称</w:t>
            </w:r>
            <w:r>
              <w:rPr>
                <w:rFonts w:ascii="Arial" w:hAnsi="Arial" w:cs="Arial" w:eastAsia="Arial" w:hint="default"/>
                <w:sz w:val="18"/>
                <w:szCs w:val="18"/>
              </w:rPr>
              <w:t>“</w:t>
            </w:r>
            <w:r>
              <w:rPr>
                <w:rFonts w:ascii="黑体" w:hAnsi="黑体" w:cs="黑体" w:eastAsia="黑体" w:hint="default"/>
                <w:sz w:val="18"/>
                <w:szCs w:val="18"/>
              </w:rPr>
              <w:t>用友政务</w:t>
            </w:r>
            <w:r>
              <w:rPr>
                <w:rFonts w:ascii="Arial" w:hAnsi="Arial" w:cs="Arial" w:eastAsia="Arial" w:hint="default"/>
                <w:sz w:val="18"/>
                <w:szCs w:val="18"/>
              </w:rPr>
              <w:t>”)</w:t>
            </w:r>
          </w:p>
        </w:tc>
        <w:tc>
          <w:tcPr>
            <w:tcW w:w="1000" w:type="dxa"/>
            <w:tcBorders>
              <w:top w:val="nil" w:sz="6" w:space="0" w:color="auto"/>
              <w:left w:val="nil" w:sz="6" w:space="0" w:color="auto"/>
              <w:bottom w:val="nil" w:sz="6" w:space="0" w:color="auto"/>
              <w:right w:val="nil" w:sz="6" w:space="0" w:color="auto"/>
            </w:tcBorders>
          </w:tcPr>
          <w:p>
            <w:pPr>
              <w:pStyle w:val="TableParagraph"/>
              <w:spacing w:line="237" w:lineRule="auto" w:before="73"/>
              <w:ind w:left="250" w:right="206" w:hanging="180"/>
              <w:jc w:val="both"/>
              <w:rPr>
                <w:rFonts w:ascii="黑体" w:hAnsi="黑体" w:cs="黑体" w:eastAsia="黑体" w:hint="default"/>
                <w:sz w:val="18"/>
                <w:szCs w:val="18"/>
              </w:rPr>
            </w:pPr>
            <w:r>
              <w:rPr>
                <w:rFonts w:ascii="黑体" w:hAnsi="黑体" w:cs="黑体" w:eastAsia="黑体" w:hint="default"/>
                <w:sz w:val="18"/>
                <w:szCs w:val="18"/>
              </w:rPr>
              <w:t>其他有限 责任公 司</w:t>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7"/>
              <w:jc w:val="right"/>
              <w:rPr>
                <w:rFonts w:ascii="黑体" w:hAnsi="黑体" w:cs="黑体" w:eastAsia="黑体" w:hint="default"/>
                <w:sz w:val="18"/>
                <w:szCs w:val="18"/>
              </w:rPr>
            </w:pPr>
            <w:r>
              <w:rPr>
                <w:rFonts w:ascii="黑体" w:hAnsi="黑体" w:cs="黑体" w:eastAsia="黑体" w:hint="default"/>
                <w:sz w:val="18"/>
                <w:szCs w:val="18"/>
              </w:rPr>
              <w:t>北京市</w:t>
            </w: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5"/>
              <w:jc w:val="right"/>
              <w:rPr>
                <w:rFonts w:ascii="黑体" w:hAnsi="黑体" w:cs="黑体" w:eastAsia="黑体" w:hint="default"/>
                <w:sz w:val="18"/>
                <w:szCs w:val="18"/>
              </w:rPr>
            </w:pPr>
            <w:r>
              <w:rPr>
                <w:rFonts w:ascii="黑体" w:hAnsi="黑体" w:cs="黑体" w:eastAsia="黑体" w:hint="default"/>
                <w:sz w:val="18"/>
                <w:szCs w:val="18"/>
              </w:rPr>
              <w:t>王文京</w:t>
            </w:r>
          </w:p>
        </w:tc>
        <w:tc>
          <w:tcPr>
            <w:tcW w:w="1164" w:type="dxa"/>
            <w:tcBorders>
              <w:top w:val="nil" w:sz="6" w:space="0" w:color="auto"/>
              <w:left w:val="nil" w:sz="6" w:space="0" w:color="auto"/>
              <w:bottom w:val="nil" w:sz="6" w:space="0" w:color="auto"/>
              <w:right w:val="nil" w:sz="6" w:space="0" w:color="auto"/>
            </w:tcBorders>
          </w:tcPr>
          <w:p>
            <w:pPr>
              <w:pStyle w:val="TableParagraph"/>
              <w:spacing w:line="232" w:lineRule="auto" w:before="77"/>
              <w:ind w:left="27" w:right="184"/>
              <w:jc w:val="both"/>
              <w:rPr>
                <w:rFonts w:ascii="黑体" w:hAnsi="黑体" w:cs="黑体" w:eastAsia="黑体" w:hint="default"/>
                <w:sz w:val="18"/>
                <w:szCs w:val="18"/>
              </w:rPr>
            </w:pPr>
            <w:r>
              <w:rPr>
                <w:rFonts w:ascii="黑体" w:hAnsi="黑体" w:cs="黑体" w:eastAsia="黑体" w:hint="default"/>
                <w:sz w:val="18"/>
                <w:szCs w:val="18"/>
              </w:rPr>
              <w:t>计算机软</w:t>
            </w:r>
            <w:r>
              <w:rPr>
                <w:rFonts w:ascii="Arial" w:hAnsi="Arial" w:cs="Arial" w:eastAsia="Arial" w:hint="default"/>
                <w:sz w:val="18"/>
                <w:szCs w:val="18"/>
              </w:rPr>
              <w:t>/</w:t>
            </w:r>
            <w:r>
              <w:rPr>
                <w:rFonts w:ascii="黑体" w:hAnsi="黑体" w:cs="黑体" w:eastAsia="黑体" w:hint="default"/>
                <w:sz w:val="18"/>
                <w:szCs w:val="18"/>
              </w:rPr>
              <w:t>硬 件、技术咨 询及电子行 业</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4"/>
              <w:jc w:val="right"/>
              <w:rPr>
                <w:rFonts w:ascii="Arial" w:hAnsi="Arial" w:cs="Arial" w:eastAsia="Arial" w:hint="default"/>
                <w:sz w:val="18"/>
                <w:szCs w:val="18"/>
              </w:rPr>
            </w:pPr>
            <w:r>
              <w:rPr>
                <w:rFonts w:ascii="Arial"/>
                <w:spacing w:val="-1"/>
                <w:sz w:val="18"/>
              </w:rPr>
              <w:t>115,618,500</w:t>
            </w:r>
          </w:p>
        </w:tc>
        <w:tc>
          <w:tcPr>
            <w:tcW w:w="2034" w:type="dxa"/>
            <w:tcBorders>
              <w:top w:val="nil" w:sz="6" w:space="0" w:color="auto"/>
              <w:left w:val="nil" w:sz="6" w:space="0" w:color="auto"/>
              <w:bottom w:val="nil" w:sz="6" w:space="0" w:color="auto"/>
              <w:right w:val="nil" w:sz="6" w:space="0" w:color="auto"/>
            </w:tcBorders>
          </w:tcPr>
          <w:p>
            <w:pPr>
              <w:pStyle w:val="TableParagraph"/>
              <w:spacing w:line="232" w:lineRule="exact" w:before="96"/>
              <w:ind w:left="26" w:right="109"/>
              <w:jc w:val="left"/>
              <w:rPr>
                <w:rFonts w:ascii="黑体" w:hAnsi="黑体" w:cs="黑体" w:eastAsia="黑体" w:hint="default"/>
                <w:sz w:val="18"/>
                <w:szCs w:val="18"/>
              </w:rPr>
            </w:pPr>
            <w:r>
              <w:rPr>
                <w:rFonts w:ascii="黑体" w:hAnsi="黑体" w:cs="黑体" w:eastAsia="黑体" w:hint="default"/>
                <w:sz w:val="18"/>
                <w:szCs w:val="18"/>
              </w:rPr>
              <w:t>应用软件服务；销售计 </w:t>
            </w:r>
            <w:r>
              <w:rPr>
                <w:rFonts w:ascii="黑体" w:hAnsi="黑体" w:cs="黑体" w:eastAsia="黑体" w:hint="default"/>
                <w:spacing w:val="-8"/>
                <w:sz w:val="18"/>
                <w:szCs w:val="18"/>
              </w:rPr>
              <w:t>算机、软件及辅助设备。</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71"/>
              <w:jc w:val="right"/>
              <w:rPr>
                <w:rFonts w:ascii="Arial" w:hAnsi="Arial" w:cs="Arial" w:eastAsia="Arial" w:hint="default"/>
                <w:sz w:val="18"/>
                <w:szCs w:val="18"/>
              </w:rPr>
            </w:pPr>
            <w:r>
              <w:rPr>
                <w:rFonts w:ascii="Arial"/>
                <w:spacing w:val="-1"/>
                <w:sz w:val="18"/>
              </w:rPr>
              <w:t>74613540-3</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95"/>
              <w:jc w:val="right"/>
              <w:rPr>
                <w:rFonts w:ascii="Arial" w:hAnsi="Arial" w:cs="Arial" w:eastAsia="Arial" w:hint="default"/>
                <w:sz w:val="18"/>
                <w:szCs w:val="18"/>
              </w:rPr>
            </w:pPr>
            <w:r>
              <w:rPr>
                <w:rFonts w:ascii="Arial"/>
                <w:spacing w:val="-1"/>
                <w:sz w:val="18"/>
              </w:rPr>
              <w:t>496,252,992</w:t>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58"/>
              <w:jc w:val="right"/>
              <w:rPr>
                <w:rFonts w:ascii="Arial" w:hAnsi="Arial" w:cs="Arial" w:eastAsia="Arial" w:hint="default"/>
                <w:sz w:val="18"/>
                <w:szCs w:val="18"/>
              </w:rPr>
            </w:pPr>
            <w:r>
              <w:rPr>
                <w:rFonts w:ascii="Arial"/>
                <w:w w:val="95"/>
                <w:sz w:val="18"/>
              </w:rPr>
              <w:t>94.50</w:t>
            </w:r>
            <w:r>
              <w:rPr>
                <w:rFonts w:ascii="Arial"/>
                <w:sz w:val="18"/>
              </w:rPr>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24"/>
              <w:jc w:val="right"/>
              <w:rPr>
                <w:rFonts w:ascii="Arial" w:hAnsi="Arial" w:cs="Arial" w:eastAsia="Arial" w:hint="default"/>
                <w:sz w:val="18"/>
                <w:szCs w:val="18"/>
              </w:rPr>
            </w:pPr>
            <w:r>
              <w:rPr>
                <w:rFonts w:ascii="Arial"/>
                <w:w w:val="95"/>
                <w:sz w:val="18"/>
              </w:rPr>
              <w:t>94.50</w:t>
            </w:r>
            <w:r>
              <w:rPr>
                <w:rFonts w:ascii="Arial"/>
                <w:sz w:val="18"/>
              </w:rPr>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27"/>
              <w:jc w:val="right"/>
              <w:rPr>
                <w:rFonts w:ascii="黑体" w:hAnsi="黑体" w:cs="黑体" w:eastAsia="黑体" w:hint="default"/>
                <w:sz w:val="18"/>
                <w:szCs w:val="18"/>
              </w:rPr>
            </w:pPr>
            <w:r>
              <w:rPr>
                <w:rFonts w:ascii="黑体" w:hAnsi="黑体" w:cs="黑体" w:eastAsia="黑体" w:hint="default"/>
                <w:sz w:val="18"/>
                <w:szCs w:val="18"/>
              </w:rPr>
              <w:t>是</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98"/>
              <w:jc w:val="right"/>
              <w:rPr>
                <w:rFonts w:ascii="Arial" w:hAnsi="Arial" w:cs="Arial" w:eastAsia="Arial" w:hint="default"/>
                <w:sz w:val="18"/>
                <w:szCs w:val="18"/>
              </w:rPr>
            </w:pPr>
            <w:r>
              <w:rPr>
                <w:rFonts w:ascii="Arial"/>
                <w:spacing w:val="-1"/>
                <w:sz w:val="18"/>
              </w:rPr>
              <w:t>12,514,606</w:t>
            </w:r>
          </w:p>
        </w:tc>
      </w:tr>
      <w:tr>
        <w:trPr>
          <w:trHeight w:val="1262" w:hRule="exact"/>
        </w:trPr>
        <w:tc>
          <w:tcPr>
            <w:tcW w:w="1752" w:type="dxa"/>
            <w:tcBorders>
              <w:top w:val="nil" w:sz="6" w:space="0" w:color="auto"/>
              <w:left w:val="nil" w:sz="6" w:space="0" w:color="auto"/>
              <w:bottom w:val="nil" w:sz="6" w:space="0" w:color="auto"/>
              <w:right w:val="nil" w:sz="6" w:space="0" w:color="auto"/>
            </w:tcBorders>
          </w:tcPr>
          <w:p>
            <w:pPr>
              <w:pStyle w:val="TableParagraph"/>
              <w:spacing w:line="230" w:lineRule="auto" w:before="101"/>
              <w:ind w:left="375" w:right="68" w:hanging="176"/>
              <w:jc w:val="both"/>
              <w:rPr>
                <w:rFonts w:ascii="Arial" w:hAnsi="Arial" w:cs="Arial" w:eastAsia="Arial" w:hint="default"/>
                <w:sz w:val="18"/>
                <w:szCs w:val="18"/>
              </w:rPr>
            </w:pPr>
            <w:r>
              <w:rPr>
                <w:rFonts w:ascii="黑体" w:hAnsi="黑体" w:cs="黑体" w:eastAsia="黑体" w:hint="default"/>
                <w:sz w:val="18"/>
                <w:szCs w:val="18"/>
              </w:rPr>
              <w:t>用友金融信息技术</w:t>
            </w:r>
            <w:r>
              <w:rPr>
                <w:rFonts w:ascii="黑体" w:hAnsi="黑体" w:cs="黑体" w:eastAsia="黑体" w:hint="default"/>
                <w:spacing w:val="-77"/>
                <w:sz w:val="18"/>
                <w:szCs w:val="18"/>
              </w:rPr>
              <w:t> </w:t>
            </w:r>
            <w:r>
              <w:rPr>
                <w:rFonts w:ascii="黑体" w:hAnsi="黑体" w:cs="黑体" w:eastAsia="黑体" w:hint="default"/>
                <w:spacing w:val="-77"/>
                <w:sz w:val="18"/>
                <w:szCs w:val="18"/>
              </w:rPr>
            </w:r>
            <w:r>
              <w:rPr>
                <w:rFonts w:ascii="黑体" w:hAnsi="黑体" w:cs="黑体" w:eastAsia="黑体" w:hint="default"/>
                <w:spacing w:val="16"/>
                <w:sz w:val="18"/>
                <w:szCs w:val="18"/>
              </w:rPr>
              <w:t>有限公司</w:t>
            </w:r>
            <w:r>
              <w:rPr>
                <w:rFonts w:ascii="黑体" w:hAnsi="黑体" w:cs="黑体" w:eastAsia="黑体" w:hint="default"/>
                <w:spacing w:val="-66"/>
                <w:sz w:val="18"/>
                <w:szCs w:val="18"/>
              </w:rPr>
              <w:t> </w:t>
            </w:r>
            <w:r>
              <w:rPr>
                <w:rFonts w:ascii="Arial" w:hAnsi="Arial" w:cs="Arial" w:eastAsia="Arial" w:hint="default"/>
                <w:sz w:val="18"/>
                <w:szCs w:val="18"/>
              </w:rPr>
              <w:t>(</w:t>
            </w:r>
            <w:r>
              <w:rPr>
                <w:rFonts w:ascii="Arial" w:hAnsi="Arial" w:cs="Arial" w:eastAsia="Arial" w:hint="default"/>
                <w:spacing w:val="-25"/>
                <w:sz w:val="18"/>
                <w:szCs w:val="18"/>
              </w:rPr>
              <w:t> </w:t>
            </w:r>
            <w:r>
              <w:rPr>
                <w:rFonts w:ascii="黑体" w:hAnsi="黑体" w:cs="黑体" w:eastAsia="黑体" w:hint="default"/>
                <w:spacing w:val="11"/>
                <w:sz w:val="18"/>
                <w:szCs w:val="18"/>
              </w:rPr>
              <w:t>以下</w:t>
            </w:r>
            <w:r>
              <w:rPr>
                <w:rFonts w:ascii="黑体" w:hAnsi="黑体" w:cs="黑体" w:eastAsia="黑体" w:hint="default"/>
                <w:spacing w:val="-67"/>
                <w:sz w:val="18"/>
                <w:szCs w:val="18"/>
              </w:rPr>
              <w:t> </w:t>
            </w:r>
            <w:r>
              <w:rPr>
                <w:rFonts w:ascii="黑体" w:hAnsi="黑体" w:cs="黑体" w:eastAsia="黑体" w:hint="default"/>
                <w:sz w:val="18"/>
                <w:szCs w:val="18"/>
              </w:rPr>
              <w:t>简称</w:t>
            </w:r>
            <w:r>
              <w:rPr>
                <w:rFonts w:ascii="Arial" w:hAnsi="Arial" w:cs="Arial" w:eastAsia="Arial" w:hint="default"/>
                <w:sz w:val="18"/>
                <w:szCs w:val="18"/>
              </w:rPr>
              <w:t>“</w:t>
            </w:r>
            <w:r>
              <w:rPr>
                <w:rFonts w:ascii="黑体" w:hAnsi="黑体" w:cs="黑体" w:eastAsia="黑体" w:hint="default"/>
                <w:sz w:val="18"/>
                <w:szCs w:val="18"/>
              </w:rPr>
              <w:t>用友金融</w:t>
            </w:r>
            <w:r>
              <w:rPr>
                <w:rFonts w:ascii="Arial" w:hAnsi="Arial" w:cs="Arial" w:eastAsia="Arial" w:hint="default"/>
                <w:sz w:val="18"/>
                <w:szCs w:val="18"/>
              </w:rPr>
              <w:t>”) (</w:t>
            </w:r>
            <w:r>
              <w:rPr>
                <w:rFonts w:ascii="黑体" w:hAnsi="黑体" w:cs="黑体" w:eastAsia="黑体" w:hint="default"/>
                <w:sz w:val="18"/>
                <w:szCs w:val="18"/>
              </w:rPr>
              <w:t>注</w:t>
            </w:r>
            <w:r>
              <w:rPr>
                <w:rFonts w:ascii="黑体" w:hAnsi="黑体" w:cs="黑体" w:eastAsia="黑体" w:hint="default"/>
                <w:spacing w:val="-46"/>
                <w:sz w:val="18"/>
                <w:szCs w:val="18"/>
              </w:rPr>
              <w:t> </w:t>
            </w:r>
            <w:r>
              <w:rPr>
                <w:rFonts w:ascii="Arial" w:hAnsi="Arial" w:cs="Arial" w:eastAsia="Arial" w:hint="default"/>
                <w:sz w:val="18"/>
                <w:szCs w:val="18"/>
              </w:rPr>
              <w:t>3)</w:t>
            </w:r>
          </w:p>
        </w:tc>
        <w:tc>
          <w:tcPr>
            <w:tcW w:w="1000" w:type="dxa"/>
            <w:tcBorders>
              <w:top w:val="nil" w:sz="6" w:space="0" w:color="auto"/>
              <w:left w:val="nil" w:sz="6" w:space="0" w:color="auto"/>
              <w:bottom w:val="nil" w:sz="6" w:space="0" w:color="auto"/>
              <w:right w:val="nil" w:sz="6" w:space="0" w:color="auto"/>
            </w:tcBorders>
          </w:tcPr>
          <w:p>
            <w:pPr>
              <w:pStyle w:val="TableParagraph"/>
              <w:spacing w:line="232" w:lineRule="auto" w:before="92"/>
              <w:ind w:left="250" w:right="146" w:hanging="180"/>
              <w:jc w:val="both"/>
              <w:rPr>
                <w:rFonts w:ascii="Arial" w:hAnsi="Arial" w:cs="Arial" w:eastAsia="Arial" w:hint="default"/>
                <w:sz w:val="18"/>
                <w:szCs w:val="18"/>
              </w:rPr>
            </w:pPr>
            <w:r>
              <w:rPr>
                <w:rFonts w:ascii="黑体" w:hAnsi="黑体" w:cs="黑体" w:eastAsia="黑体" w:hint="default"/>
                <w:sz w:val="18"/>
                <w:szCs w:val="18"/>
              </w:rPr>
              <w:t>有限责任 公司</w:t>
            </w:r>
            <w:r>
              <w:rPr>
                <w:rFonts w:ascii="Arial" w:hAnsi="Arial" w:cs="Arial" w:eastAsia="Arial" w:hint="default"/>
                <w:sz w:val="18"/>
                <w:szCs w:val="18"/>
              </w:rPr>
              <w:t>(</w:t>
            </w:r>
            <w:r>
              <w:rPr>
                <w:rFonts w:ascii="黑体" w:hAnsi="黑体" w:cs="黑体" w:eastAsia="黑体" w:hint="default"/>
                <w:sz w:val="18"/>
                <w:szCs w:val="18"/>
              </w:rPr>
              <w:t>法 人独资</w:t>
            </w:r>
            <w:r>
              <w:rPr>
                <w:rFonts w:ascii="Arial" w:hAnsi="Arial" w:cs="Arial" w:eastAsia="Arial" w:hint="default"/>
                <w:sz w:val="18"/>
                <w:szCs w:val="18"/>
              </w:rPr>
              <w:t>)</w:t>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7"/>
              <w:jc w:val="right"/>
              <w:rPr>
                <w:rFonts w:ascii="黑体" w:hAnsi="黑体" w:cs="黑体" w:eastAsia="黑体" w:hint="default"/>
                <w:sz w:val="18"/>
                <w:szCs w:val="18"/>
              </w:rPr>
            </w:pPr>
            <w:r>
              <w:rPr>
                <w:rFonts w:ascii="黑体" w:hAnsi="黑体" w:cs="黑体" w:eastAsia="黑体" w:hint="default"/>
                <w:sz w:val="18"/>
                <w:szCs w:val="18"/>
              </w:rPr>
              <w:t>北京市</w:t>
            </w: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5"/>
              <w:jc w:val="right"/>
              <w:rPr>
                <w:rFonts w:ascii="黑体" w:hAnsi="黑体" w:cs="黑体" w:eastAsia="黑体" w:hint="default"/>
                <w:sz w:val="18"/>
                <w:szCs w:val="18"/>
              </w:rPr>
            </w:pPr>
            <w:r>
              <w:rPr>
                <w:rFonts w:ascii="黑体" w:hAnsi="黑体" w:cs="黑体" w:eastAsia="黑体" w:hint="default"/>
                <w:sz w:val="18"/>
                <w:szCs w:val="18"/>
              </w:rPr>
              <w:t>王文京</w:t>
            </w:r>
          </w:p>
        </w:tc>
        <w:tc>
          <w:tcPr>
            <w:tcW w:w="1164" w:type="dxa"/>
            <w:tcBorders>
              <w:top w:val="nil" w:sz="6" w:space="0" w:color="auto"/>
              <w:left w:val="nil" w:sz="6" w:space="0" w:color="auto"/>
              <w:bottom w:val="nil" w:sz="6" w:space="0" w:color="auto"/>
              <w:right w:val="nil" w:sz="6" w:space="0" w:color="auto"/>
            </w:tcBorders>
          </w:tcPr>
          <w:p>
            <w:pPr>
              <w:pStyle w:val="TableParagraph"/>
              <w:spacing w:line="230" w:lineRule="auto" w:before="101"/>
              <w:ind w:left="27" w:right="185"/>
              <w:jc w:val="both"/>
              <w:rPr>
                <w:rFonts w:ascii="黑体" w:hAnsi="黑体" w:cs="黑体" w:eastAsia="黑体" w:hint="default"/>
                <w:sz w:val="18"/>
                <w:szCs w:val="18"/>
              </w:rPr>
            </w:pPr>
            <w:r>
              <w:rPr>
                <w:rFonts w:ascii="黑体" w:hAnsi="黑体" w:cs="黑体" w:eastAsia="黑体" w:hint="default"/>
                <w:sz w:val="18"/>
                <w:szCs w:val="18"/>
              </w:rPr>
              <w:t>计算机软</w:t>
            </w:r>
            <w:r>
              <w:rPr>
                <w:rFonts w:ascii="Arial" w:hAnsi="Arial" w:cs="Arial" w:eastAsia="Arial" w:hint="default"/>
                <w:sz w:val="18"/>
                <w:szCs w:val="18"/>
              </w:rPr>
              <w:t>/</w:t>
            </w:r>
            <w:r>
              <w:rPr>
                <w:rFonts w:ascii="黑体" w:hAnsi="黑体" w:cs="黑体" w:eastAsia="黑体" w:hint="default"/>
                <w:sz w:val="18"/>
                <w:szCs w:val="18"/>
              </w:rPr>
              <w:t>硬 件</w:t>
            </w:r>
            <w:r>
              <w:rPr>
                <w:rFonts w:ascii="Arial" w:hAnsi="Arial" w:cs="Arial" w:eastAsia="Arial" w:hint="default"/>
                <w:sz w:val="18"/>
                <w:szCs w:val="18"/>
              </w:rPr>
              <w:t>/</w:t>
            </w:r>
            <w:r>
              <w:rPr>
                <w:rFonts w:ascii="黑体" w:hAnsi="黑体" w:cs="黑体" w:eastAsia="黑体" w:hint="default"/>
                <w:sz w:val="18"/>
                <w:szCs w:val="18"/>
              </w:rPr>
              <w:t>网络、技 术咨询及电 子行业</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5"/>
              <w:jc w:val="right"/>
              <w:rPr>
                <w:rFonts w:ascii="Arial" w:hAnsi="Arial" w:cs="Arial" w:eastAsia="Arial" w:hint="default"/>
                <w:sz w:val="18"/>
                <w:szCs w:val="18"/>
              </w:rPr>
            </w:pPr>
            <w:r>
              <w:rPr>
                <w:rFonts w:ascii="Arial"/>
                <w:spacing w:val="-1"/>
                <w:sz w:val="18"/>
              </w:rPr>
              <w:t>50,000,000</w:t>
            </w:r>
          </w:p>
        </w:tc>
        <w:tc>
          <w:tcPr>
            <w:tcW w:w="2034" w:type="dxa"/>
            <w:tcBorders>
              <w:top w:val="nil" w:sz="6" w:space="0" w:color="auto"/>
              <w:left w:val="nil" w:sz="6" w:space="0" w:color="auto"/>
              <w:bottom w:val="nil" w:sz="6" w:space="0" w:color="auto"/>
              <w:right w:val="nil" w:sz="6" w:space="0" w:color="auto"/>
            </w:tcBorders>
          </w:tcPr>
          <w:p>
            <w:pPr>
              <w:pStyle w:val="TableParagraph"/>
              <w:spacing w:line="237" w:lineRule="auto" w:before="95"/>
              <w:ind w:left="26" w:right="205"/>
              <w:jc w:val="both"/>
              <w:rPr>
                <w:rFonts w:ascii="黑体" w:hAnsi="黑体" w:cs="黑体" w:eastAsia="黑体" w:hint="default"/>
                <w:sz w:val="18"/>
                <w:szCs w:val="18"/>
              </w:rPr>
            </w:pPr>
            <w:r>
              <w:rPr>
                <w:rFonts w:ascii="黑体" w:hAnsi="黑体" w:cs="黑体" w:eastAsia="黑体" w:hint="default"/>
                <w:sz w:val="18"/>
                <w:szCs w:val="18"/>
              </w:rPr>
              <w:t>金融软件及计算机网络 技术开发；销售计算机 软、硬件；计算机系统 集成；技术咨询、技术 服务、技术培训。</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69"/>
              <w:jc w:val="right"/>
              <w:rPr>
                <w:rFonts w:ascii="Arial" w:hAnsi="Arial" w:cs="Arial" w:eastAsia="Arial" w:hint="default"/>
                <w:sz w:val="18"/>
                <w:szCs w:val="18"/>
              </w:rPr>
            </w:pPr>
            <w:r>
              <w:rPr>
                <w:rFonts w:ascii="Arial"/>
                <w:spacing w:val="-1"/>
                <w:sz w:val="18"/>
              </w:rPr>
              <w:t>76629673-0</w:t>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96"/>
              <w:jc w:val="right"/>
              <w:rPr>
                <w:rFonts w:ascii="Arial" w:hAnsi="Arial" w:cs="Arial" w:eastAsia="Arial" w:hint="default"/>
                <w:sz w:val="18"/>
                <w:szCs w:val="18"/>
              </w:rPr>
            </w:pPr>
            <w:r>
              <w:rPr>
                <w:rFonts w:ascii="Arial"/>
                <w:spacing w:val="-1"/>
                <w:sz w:val="18"/>
              </w:rPr>
              <w:t>50,000,000</w:t>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58"/>
              <w:jc w:val="right"/>
              <w:rPr>
                <w:rFonts w:ascii="Arial" w:hAnsi="Arial" w:cs="Arial" w:eastAsia="Arial" w:hint="default"/>
                <w:sz w:val="18"/>
                <w:szCs w:val="18"/>
              </w:rPr>
            </w:pPr>
            <w:r>
              <w:rPr>
                <w:rFonts w:ascii="Arial"/>
                <w:w w:val="95"/>
                <w:sz w:val="18"/>
              </w:rPr>
              <w:t>100</w:t>
            </w:r>
            <w:r>
              <w:rPr>
                <w:rFonts w:ascii="Arial"/>
                <w:sz w:val="18"/>
              </w:rPr>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24"/>
              <w:jc w:val="right"/>
              <w:rPr>
                <w:rFonts w:ascii="Arial" w:hAnsi="Arial" w:cs="Arial" w:eastAsia="Arial" w:hint="default"/>
                <w:sz w:val="18"/>
                <w:szCs w:val="18"/>
              </w:rPr>
            </w:pPr>
            <w:r>
              <w:rPr>
                <w:rFonts w:ascii="Arial"/>
                <w:w w:val="95"/>
                <w:sz w:val="18"/>
              </w:rPr>
              <w:t>100</w:t>
            </w:r>
            <w:r>
              <w:rPr>
                <w:rFonts w:ascii="Arial"/>
                <w:sz w:val="18"/>
              </w:rPr>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27"/>
              <w:jc w:val="right"/>
              <w:rPr>
                <w:rFonts w:ascii="黑体" w:hAnsi="黑体" w:cs="黑体" w:eastAsia="黑体" w:hint="default"/>
                <w:sz w:val="18"/>
                <w:szCs w:val="18"/>
              </w:rPr>
            </w:pPr>
            <w:r>
              <w:rPr>
                <w:rFonts w:ascii="黑体" w:hAnsi="黑体" w:cs="黑体" w:eastAsia="黑体" w:hint="default"/>
                <w:sz w:val="18"/>
                <w:szCs w:val="18"/>
              </w:rPr>
              <w:t>是</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99"/>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pgSz w:w="16850" w:h="11910" w:orient="landscape"/>
          <w:pgMar w:header="957" w:footer="857" w:top="2620" w:bottom="1040" w:left="420" w:right="320"/>
        </w:sectPr>
      </w:pPr>
    </w:p>
    <w:p>
      <w:pPr>
        <w:spacing w:line="240" w:lineRule="auto" w:before="7"/>
        <w:rPr>
          <w:rFonts w:ascii="黑体" w:hAnsi="黑体" w:cs="黑体" w:eastAsia="黑体" w:hint="default"/>
          <w:sz w:val="17"/>
          <w:szCs w:val="17"/>
        </w:rPr>
      </w:pPr>
    </w:p>
    <w:p>
      <w:pPr>
        <w:pStyle w:val="Heading6"/>
        <w:spacing w:line="240" w:lineRule="auto"/>
        <w:ind w:left="287" w:right="12014"/>
        <w:jc w:val="left"/>
        <w:rPr>
          <w:b w:val="0"/>
          <w:bCs w:val="0"/>
        </w:rPr>
      </w:pPr>
      <w:r>
        <w:rPr/>
        <w:t>四、合并财务报表的合并范围（续）</w:t>
      </w:r>
      <w:r>
        <w:rPr>
          <w:b w:val="0"/>
          <w:bCs w:val="0"/>
        </w:rPr>
      </w:r>
    </w:p>
    <w:p>
      <w:pPr>
        <w:spacing w:line="240" w:lineRule="auto" w:before="9"/>
        <w:rPr>
          <w:rFonts w:ascii="黑体" w:hAnsi="黑体" w:cs="黑体" w:eastAsia="黑体" w:hint="default"/>
          <w:b/>
          <w:bCs/>
          <w:sz w:val="18"/>
          <w:szCs w:val="18"/>
        </w:rPr>
      </w:pPr>
    </w:p>
    <w:p>
      <w:pPr>
        <w:tabs>
          <w:tab w:pos="715" w:val="left" w:leader="none"/>
        </w:tabs>
        <w:spacing w:line="398" w:lineRule="auto" w:before="0"/>
        <w:ind w:left="285" w:right="12014" w:firstLine="62"/>
        <w:jc w:val="left"/>
        <w:rPr>
          <w:rFonts w:ascii="黑体" w:hAnsi="黑体" w:cs="黑体" w:eastAsia="黑体" w:hint="default"/>
          <w:sz w:val="20"/>
          <w:szCs w:val="20"/>
        </w:rPr>
      </w:pPr>
      <w:r>
        <w:rPr>
          <w:rFonts w:ascii="Arial" w:hAnsi="Arial" w:cs="Arial" w:eastAsia="Arial" w:hint="default"/>
          <w:b/>
          <w:bCs/>
          <w:spacing w:val="-1"/>
          <w:sz w:val="20"/>
          <w:szCs w:val="20"/>
        </w:rPr>
        <w:t>1.</w:t>
        <w:tab/>
      </w:r>
      <w:r>
        <w:rPr>
          <w:rFonts w:ascii="黑体" w:hAnsi="黑体" w:cs="黑体" w:eastAsia="黑体" w:hint="default"/>
          <w:b/>
          <w:bCs/>
          <w:spacing w:val="1"/>
          <w:sz w:val="20"/>
          <w:szCs w:val="20"/>
        </w:rPr>
        <w:t>子公司情况（续）</w:t>
      </w:r>
      <w:r>
        <w:rPr>
          <w:rFonts w:ascii="黑体" w:hAnsi="黑体" w:cs="黑体" w:eastAsia="黑体" w:hint="default"/>
          <w:b/>
          <w:bCs/>
          <w:w w:val="99"/>
          <w:sz w:val="20"/>
          <w:szCs w:val="20"/>
        </w:rPr>
        <w:t> </w:t>
      </w:r>
      <w:r>
        <w:rPr>
          <w:rFonts w:ascii="黑体" w:hAnsi="黑体" w:cs="黑体" w:eastAsia="黑体" w:hint="default"/>
          <w:sz w:val="20"/>
          <w:szCs w:val="20"/>
        </w:rPr>
        <w:t>本集团重要子公司的情况如下（续）：</w:t>
      </w:r>
      <w:r>
        <w:rPr>
          <w:rFonts w:ascii="黑体" w:hAnsi="黑体" w:cs="黑体" w:eastAsia="黑体" w:hint="default"/>
          <w:w w:val="99"/>
          <w:sz w:val="20"/>
          <w:szCs w:val="20"/>
        </w:rPr>
        <w:t> </w:t>
      </w:r>
      <w:r>
        <w:rPr>
          <w:rFonts w:ascii="黑体" w:hAnsi="黑体" w:cs="黑体" w:eastAsia="黑体" w:hint="default"/>
          <w:sz w:val="20"/>
          <w:szCs w:val="20"/>
        </w:rPr>
        <w:t>通过设立或投资等方式取得的子公司（续）</w:t>
      </w: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5"/>
          <w:szCs w:val="15"/>
        </w:rPr>
      </w:pPr>
    </w:p>
    <w:tbl>
      <w:tblPr>
        <w:tblW w:w="0" w:type="auto"/>
        <w:jc w:val="left"/>
        <w:tblInd w:w="119" w:type="dxa"/>
        <w:tblLayout w:type="fixed"/>
        <w:tblCellMar>
          <w:top w:w="0" w:type="dxa"/>
          <w:left w:w="0" w:type="dxa"/>
          <w:bottom w:w="0" w:type="dxa"/>
          <w:right w:w="0" w:type="dxa"/>
        </w:tblCellMar>
        <w:tblLook w:val="01E0"/>
      </w:tblPr>
      <w:tblGrid>
        <w:gridCol w:w="1744"/>
        <w:gridCol w:w="879"/>
        <w:gridCol w:w="709"/>
        <w:gridCol w:w="652"/>
        <w:gridCol w:w="1032"/>
        <w:gridCol w:w="884"/>
        <w:gridCol w:w="2957"/>
        <w:gridCol w:w="1400"/>
        <w:gridCol w:w="1383"/>
        <w:gridCol w:w="889"/>
        <w:gridCol w:w="995"/>
        <w:gridCol w:w="1195"/>
        <w:gridCol w:w="1161"/>
      </w:tblGrid>
      <w:tr>
        <w:trPr>
          <w:trHeight w:val="228" w:hRule="exact"/>
        </w:trPr>
        <w:tc>
          <w:tcPr>
            <w:tcW w:w="1744" w:type="dxa"/>
            <w:tcBorders>
              <w:top w:val="nil" w:sz="6" w:space="0" w:color="auto"/>
              <w:left w:val="nil" w:sz="6" w:space="0" w:color="auto"/>
              <w:bottom w:val="nil" w:sz="6" w:space="0" w:color="auto"/>
              <w:right w:val="nil" w:sz="6" w:space="0" w:color="auto"/>
            </w:tcBorders>
          </w:tcPr>
          <w:p>
            <w:pPr/>
          </w:p>
        </w:tc>
        <w:tc>
          <w:tcPr>
            <w:tcW w:w="879" w:type="dxa"/>
            <w:tcBorders>
              <w:top w:val="nil" w:sz="6" w:space="0" w:color="auto"/>
              <w:left w:val="nil" w:sz="6" w:space="0" w:color="auto"/>
              <w:bottom w:val="nil" w:sz="6" w:space="0" w:color="auto"/>
              <w:right w:val="nil" w:sz="6" w:space="0" w:color="auto"/>
            </w:tcBorders>
          </w:tcPr>
          <w:p>
            <w:pPr>
              <w:pStyle w:val="TableParagraph"/>
              <w:spacing w:line="180" w:lineRule="exact"/>
              <w:ind w:right="83"/>
              <w:jc w:val="right"/>
              <w:rPr>
                <w:rFonts w:ascii="黑体" w:hAnsi="黑体" w:cs="黑体" w:eastAsia="黑体" w:hint="default"/>
                <w:sz w:val="18"/>
                <w:szCs w:val="18"/>
              </w:rPr>
            </w:pPr>
            <w:r>
              <w:rPr>
                <w:rFonts w:ascii="黑体" w:hAnsi="黑体" w:cs="黑体" w:eastAsia="黑体" w:hint="default"/>
                <w:sz w:val="18"/>
                <w:szCs w:val="18"/>
              </w:rPr>
              <w:t>子公司</w:t>
            </w:r>
          </w:p>
        </w:tc>
        <w:tc>
          <w:tcPr>
            <w:tcW w:w="709"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Style w:val="TableParagraph"/>
              <w:spacing w:line="180" w:lineRule="exact"/>
              <w:ind w:right="25"/>
              <w:jc w:val="right"/>
              <w:rPr>
                <w:rFonts w:ascii="黑体" w:hAnsi="黑体" w:cs="黑体" w:eastAsia="黑体" w:hint="default"/>
                <w:sz w:val="18"/>
                <w:szCs w:val="18"/>
              </w:rPr>
            </w:pPr>
            <w:r>
              <w:rPr>
                <w:rFonts w:ascii="黑体" w:hAnsi="黑体" w:cs="黑体" w:eastAsia="黑体" w:hint="default"/>
                <w:sz w:val="18"/>
                <w:szCs w:val="18"/>
              </w:rPr>
              <w:t>法定</w:t>
            </w:r>
          </w:p>
        </w:tc>
        <w:tc>
          <w:tcPr>
            <w:tcW w:w="1032" w:type="dxa"/>
            <w:tcBorders>
              <w:top w:val="nil" w:sz="6" w:space="0" w:color="auto"/>
              <w:left w:val="nil" w:sz="6" w:space="0" w:color="auto"/>
              <w:bottom w:val="nil" w:sz="6" w:space="0" w:color="auto"/>
              <w:right w:val="nil" w:sz="6" w:space="0" w:color="auto"/>
            </w:tcBorders>
          </w:tcPr>
          <w:p>
            <w:pPr/>
          </w:p>
        </w:tc>
        <w:tc>
          <w:tcPr>
            <w:tcW w:w="884" w:type="dxa"/>
            <w:tcBorders>
              <w:top w:val="nil" w:sz="6" w:space="0" w:color="auto"/>
              <w:left w:val="nil" w:sz="6" w:space="0" w:color="auto"/>
              <w:bottom w:val="nil" w:sz="6" w:space="0" w:color="auto"/>
              <w:right w:val="nil" w:sz="6" w:space="0" w:color="auto"/>
            </w:tcBorders>
          </w:tcPr>
          <w:p>
            <w:pPr/>
          </w:p>
        </w:tc>
        <w:tc>
          <w:tcPr>
            <w:tcW w:w="2957"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180" w:lineRule="exact"/>
              <w:ind w:right="270"/>
              <w:jc w:val="right"/>
              <w:rPr>
                <w:rFonts w:ascii="黑体" w:hAnsi="黑体" w:cs="黑体" w:eastAsia="黑体" w:hint="default"/>
                <w:sz w:val="18"/>
                <w:szCs w:val="18"/>
              </w:rPr>
            </w:pPr>
            <w:r>
              <w:rPr>
                <w:rFonts w:ascii="黑体" w:hAnsi="黑体" w:cs="黑体" w:eastAsia="黑体" w:hint="default"/>
                <w:sz w:val="18"/>
                <w:szCs w:val="18"/>
              </w:rPr>
              <w:t>组织机构</w:t>
            </w:r>
          </w:p>
        </w:tc>
        <w:tc>
          <w:tcPr>
            <w:tcW w:w="1383" w:type="dxa"/>
            <w:tcBorders>
              <w:top w:val="nil" w:sz="6" w:space="0" w:color="auto"/>
              <w:left w:val="nil" w:sz="6" w:space="0" w:color="auto"/>
              <w:bottom w:val="nil" w:sz="6" w:space="0" w:color="auto"/>
              <w:right w:val="nil" w:sz="6" w:space="0" w:color="auto"/>
            </w:tcBorders>
          </w:tcPr>
          <w:p>
            <w:pPr>
              <w:pStyle w:val="TableParagraph"/>
              <w:spacing w:line="180" w:lineRule="exact"/>
              <w:ind w:right="308"/>
              <w:jc w:val="right"/>
              <w:rPr>
                <w:rFonts w:ascii="黑体" w:hAnsi="黑体" w:cs="黑体" w:eastAsia="黑体" w:hint="default"/>
                <w:sz w:val="18"/>
                <w:szCs w:val="18"/>
              </w:rPr>
            </w:pPr>
            <w:r>
              <w:rPr>
                <w:rFonts w:ascii="黑体" w:hAnsi="黑体" w:cs="黑体" w:eastAsia="黑体" w:hint="default"/>
                <w:sz w:val="18"/>
                <w:szCs w:val="18"/>
              </w:rPr>
              <w:t>年末实际</w:t>
            </w:r>
          </w:p>
        </w:tc>
        <w:tc>
          <w:tcPr>
            <w:tcW w:w="889" w:type="dxa"/>
            <w:tcBorders>
              <w:top w:val="nil" w:sz="6" w:space="0" w:color="auto"/>
              <w:left w:val="nil" w:sz="6" w:space="0" w:color="auto"/>
              <w:bottom w:val="nil" w:sz="6" w:space="0" w:color="auto"/>
              <w:right w:val="nil" w:sz="6" w:space="0" w:color="auto"/>
            </w:tcBorders>
          </w:tcPr>
          <w:p>
            <w:pPr>
              <w:pStyle w:val="TableParagraph"/>
              <w:spacing w:line="180" w:lineRule="exact"/>
              <w:ind w:right="218"/>
              <w:jc w:val="right"/>
              <w:rPr>
                <w:rFonts w:ascii="黑体" w:hAnsi="黑体" w:cs="黑体" w:eastAsia="黑体" w:hint="default"/>
                <w:sz w:val="18"/>
                <w:szCs w:val="18"/>
              </w:rPr>
            </w:pPr>
            <w:r>
              <w:rPr>
                <w:rFonts w:ascii="黑体" w:hAnsi="黑体" w:cs="黑体" w:eastAsia="黑体" w:hint="default"/>
                <w:sz w:val="18"/>
                <w:szCs w:val="18"/>
              </w:rPr>
              <w:t>持股</w:t>
            </w:r>
          </w:p>
        </w:tc>
        <w:tc>
          <w:tcPr>
            <w:tcW w:w="995" w:type="dxa"/>
            <w:tcBorders>
              <w:top w:val="nil" w:sz="6" w:space="0" w:color="auto"/>
              <w:left w:val="nil" w:sz="6" w:space="0" w:color="auto"/>
              <w:bottom w:val="nil" w:sz="6" w:space="0" w:color="auto"/>
              <w:right w:val="nil" w:sz="6" w:space="0" w:color="auto"/>
            </w:tcBorders>
          </w:tcPr>
          <w:p>
            <w:pPr>
              <w:pStyle w:val="TableParagraph"/>
              <w:spacing w:line="180" w:lineRule="exact"/>
              <w:ind w:right="234"/>
              <w:jc w:val="right"/>
              <w:rPr>
                <w:rFonts w:ascii="黑体" w:hAnsi="黑体" w:cs="黑体" w:eastAsia="黑体" w:hint="default"/>
                <w:sz w:val="18"/>
                <w:szCs w:val="18"/>
              </w:rPr>
            </w:pPr>
            <w:r>
              <w:rPr>
                <w:rFonts w:ascii="黑体" w:hAnsi="黑体" w:cs="黑体" w:eastAsia="黑体" w:hint="default"/>
                <w:sz w:val="18"/>
                <w:szCs w:val="18"/>
              </w:rPr>
              <w:t>表决权</w:t>
            </w:r>
          </w:p>
        </w:tc>
        <w:tc>
          <w:tcPr>
            <w:tcW w:w="1195" w:type="dxa"/>
            <w:tcBorders>
              <w:top w:val="nil" w:sz="6" w:space="0" w:color="auto"/>
              <w:left w:val="nil" w:sz="6" w:space="0" w:color="auto"/>
              <w:bottom w:val="nil" w:sz="6" w:space="0" w:color="auto"/>
              <w:right w:val="nil" w:sz="6" w:space="0" w:color="auto"/>
            </w:tcBorders>
          </w:tcPr>
          <w:p>
            <w:pPr>
              <w:pStyle w:val="TableParagraph"/>
              <w:spacing w:line="180" w:lineRule="exact"/>
              <w:ind w:right="239"/>
              <w:jc w:val="right"/>
              <w:rPr>
                <w:rFonts w:ascii="黑体" w:hAnsi="黑体" w:cs="黑体" w:eastAsia="黑体" w:hint="default"/>
                <w:sz w:val="18"/>
                <w:szCs w:val="18"/>
              </w:rPr>
            </w:pPr>
            <w:r>
              <w:rPr>
                <w:rFonts w:ascii="黑体" w:hAnsi="黑体" w:cs="黑体" w:eastAsia="黑体" w:hint="default"/>
                <w:sz w:val="18"/>
                <w:szCs w:val="18"/>
              </w:rPr>
              <w:t>是否</w:t>
            </w:r>
          </w:p>
        </w:tc>
        <w:tc>
          <w:tcPr>
            <w:tcW w:w="1161" w:type="dxa"/>
            <w:tcBorders>
              <w:top w:val="nil" w:sz="6" w:space="0" w:color="auto"/>
              <w:left w:val="nil" w:sz="6" w:space="0" w:color="auto"/>
              <w:bottom w:val="nil" w:sz="6" w:space="0" w:color="auto"/>
              <w:right w:val="nil" w:sz="6" w:space="0" w:color="auto"/>
            </w:tcBorders>
          </w:tcPr>
          <w:p>
            <w:pPr>
              <w:pStyle w:val="TableParagraph"/>
              <w:spacing w:line="180" w:lineRule="exact"/>
              <w:ind w:right="198"/>
              <w:jc w:val="right"/>
              <w:rPr>
                <w:rFonts w:ascii="黑体" w:hAnsi="黑体" w:cs="黑体" w:eastAsia="黑体" w:hint="default"/>
                <w:sz w:val="18"/>
                <w:szCs w:val="18"/>
              </w:rPr>
            </w:pPr>
            <w:r>
              <w:rPr>
                <w:rFonts w:ascii="黑体" w:hAnsi="黑体" w:cs="黑体" w:eastAsia="黑体" w:hint="default"/>
                <w:sz w:val="18"/>
                <w:szCs w:val="18"/>
              </w:rPr>
              <w:t>少数股东</w:t>
            </w:r>
          </w:p>
        </w:tc>
      </w:tr>
      <w:tr>
        <w:trPr>
          <w:trHeight w:val="286"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28" w:lineRule="exact"/>
              <w:ind w:left="355" w:right="0"/>
              <w:jc w:val="left"/>
              <w:rPr>
                <w:rFonts w:ascii="黑体" w:hAnsi="黑体" w:cs="黑体" w:eastAsia="黑体" w:hint="default"/>
                <w:sz w:val="18"/>
                <w:szCs w:val="18"/>
              </w:rPr>
            </w:pPr>
            <w:r>
              <w:rPr>
                <w:rFonts w:ascii="黑体" w:hAnsi="黑体" w:cs="黑体" w:eastAsia="黑体" w:hint="default"/>
                <w:sz w:val="18"/>
                <w:szCs w:val="18"/>
              </w:rPr>
              <w:t>被投资单位名称</w:t>
            </w:r>
          </w:p>
        </w:tc>
        <w:tc>
          <w:tcPr>
            <w:tcW w:w="879" w:type="dxa"/>
            <w:tcBorders>
              <w:top w:val="nil" w:sz="6" w:space="0" w:color="auto"/>
              <w:left w:val="nil" w:sz="6" w:space="0" w:color="auto"/>
              <w:bottom w:val="nil" w:sz="6" w:space="0" w:color="auto"/>
              <w:right w:val="nil" w:sz="6" w:space="0" w:color="auto"/>
            </w:tcBorders>
          </w:tcPr>
          <w:p>
            <w:pPr>
              <w:pStyle w:val="TableParagraph"/>
              <w:spacing w:line="228" w:lineRule="exact"/>
              <w:ind w:right="83"/>
              <w:jc w:val="right"/>
              <w:rPr>
                <w:rFonts w:ascii="黑体" w:hAnsi="黑体" w:cs="黑体" w:eastAsia="黑体" w:hint="default"/>
                <w:sz w:val="18"/>
                <w:szCs w:val="18"/>
              </w:rPr>
            </w:pPr>
            <w:r>
              <w:rPr>
                <w:rFonts w:ascii="黑体" w:hAnsi="黑体" w:cs="黑体" w:eastAsia="黑体" w:hint="default"/>
                <w:sz w:val="18"/>
                <w:szCs w:val="18"/>
              </w:rPr>
              <w:t>类型</w:t>
            </w:r>
          </w:p>
        </w:tc>
        <w:tc>
          <w:tcPr>
            <w:tcW w:w="709" w:type="dxa"/>
            <w:tcBorders>
              <w:top w:val="nil" w:sz="6" w:space="0" w:color="auto"/>
              <w:left w:val="nil" w:sz="6" w:space="0" w:color="auto"/>
              <w:bottom w:val="nil" w:sz="6" w:space="0" w:color="auto"/>
              <w:right w:val="nil" w:sz="6" w:space="0" w:color="auto"/>
            </w:tcBorders>
          </w:tcPr>
          <w:p>
            <w:pPr>
              <w:pStyle w:val="TableParagraph"/>
              <w:spacing w:line="235" w:lineRule="exact"/>
              <w:ind w:left="1" w:right="0"/>
              <w:jc w:val="center"/>
              <w:rPr>
                <w:rFonts w:ascii="黑体" w:hAnsi="黑体" w:cs="黑体" w:eastAsia="黑体" w:hint="default"/>
                <w:sz w:val="18"/>
                <w:szCs w:val="18"/>
              </w:rPr>
            </w:pPr>
            <w:r>
              <w:rPr>
                <w:rFonts w:ascii="黑体" w:hAnsi="黑体" w:cs="黑体" w:eastAsia="黑体" w:hint="default"/>
                <w:sz w:val="18"/>
                <w:szCs w:val="18"/>
              </w:rPr>
              <w:t>注册地</w:t>
            </w:r>
          </w:p>
        </w:tc>
        <w:tc>
          <w:tcPr>
            <w:tcW w:w="652" w:type="dxa"/>
            <w:tcBorders>
              <w:top w:val="nil" w:sz="6" w:space="0" w:color="auto"/>
              <w:left w:val="nil" w:sz="6" w:space="0" w:color="auto"/>
              <w:bottom w:val="nil" w:sz="6" w:space="0" w:color="auto"/>
              <w:right w:val="nil" w:sz="6" w:space="0" w:color="auto"/>
            </w:tcBorders>
          </w:tcPr>
          <w:p>
            <w:pPr>
              <w:pStyle w:val="TableParagraph"/>
              <w:spacing w:line="228" w:lineRule="exact"/>
              <w:ind w:right="25"/>
              <w:jc w:val="right"/>
              <w:rPr>
                <w:rFonts w:ascii="黑体" w:hAnsi="黑体" w:cs="黑体" w:eastAsia="黑体" w:hint="default"/>
                <w:sz w:val="18"/>
                <w:szCs w:val="18"/>
              </w:rPr>
            </w:pPr>
            <w:r>
              <w:rPr>
                <w:rFonts w:ascii="黑体" w:hAnsi="黑体" w:cs="黑体" w:eastAsia="黑体" w:hint="default"/>
                <w:sz w:val="18"/>
                <w:szCs w:val="18"/>
              </w:rPr>
              <w:t>代表人</w:t>
            </w:r>
          </w:p>
        </w:tc>
        <w:tc>
          <w:tcPr>
            <w:tcW w:w="1032" w:type="dxa"/>
            <w:tcBorders>
              <w:top w:val="nil" w:sz="6" w:space="0" w:color="auto"/>
              <w:left w:val="nil" w:sz="6" w:space="0" w:color="auto"/>
              <w:bottom w:val="nil" w:sz="6" w:space="0" w:color="auto"/>
              <w:right w:val="nil" w:sz="6" w:space="0" w:color="auto"/>
            </w:tcBorders>
          </w:tcPr>
          <w:p>
            <w:pPr>
              <w:pStyle w:val="TableParagraph"/>
              <w:spacing w:line="228" w:lineRule="exact"/>
              <w:ind w:left="173" w:right="0"/>
              <w:jc w:val="left"/>
              <w:rPr>
                <w:rFonts w:ascii="黑体" w:hAnsi="黑体" w:cs="黑体" w:eastAsia="黑体" w:hint="default"/>
                <w:sz w:val="18"/>
                <w:szCs w:val="18"/>
              </w:rPr>
            </w:pPr>
            <w:r>
              <w:rPr>
                <w:rFonts w:ascii="黑体" w:hAnsi="黑体" w:cs="黑体" w:eastAsia="黑体" w:hint="default"/>
                <w:sz w:val="18"/>
                <w:szCs w:val="18"/>
              </w:rPr>
              <w:t>业务性质</w:t>
            </w:r>
          </w:p>
        </w:tc>
        <w:tc>
          <w:tcPr>
            <w:tcW w:w="884" w:type="dxa"/>
            <w:tcBorders>
              <w:top w:val="nil" w:sz="6" w:space="0" w:color="auto"/>
              <w:left w:val="nil" w:sz="6" w:space="0" w:color="auto"/>
              <w:bottom w:val="nil" w:sz="6" w:space="0" w:color="auto"/>
              <w:right w:val="nil" w:sz="6" w:space="0" w:color="auto"/>
            </w:tcBorders>
          </w:tcPr>
          <w:p>
            <w:pPr>
              <w:pStyle w:val="TableParagraph"/>
              <w:spacing w:line="228" w:lineRule="exact"/>
              <w:ind w:right="26"/>
              <w:jc w:val="right"/>
              <w:rPr>
                <w:rFonts w:ascii="黑体" w:hAnsi="黑体" w:cs="黑体" w:eastAsia="黑体" w:hint="default"/>
                <w:sz w:val="18"/>
                <w:szCs w:val="18"/>
              </w:rPr>
            </w:pPr>
            <w:r>
              <w:rPr>
                <w:rFonts w:ascii="黑体" w:hAnsi="黑体" w:cs="黑体" w:eastAsia="黑体" w:hint="default"/>
                <w:sz w:val="18"/>
                <w:szCs w:val="18"/>
              </w:rPr>
              <w:t>注册资本</w:t>
            </w:r>
          </w:p>
        </w:tc>
        <w:tc>
          <w:tcPr>
            <w:tcW w:w="2957" w:type="dxa"/>
            <w:tcBorders>
              <w:top w:val="nil" w:sz="6" w:space="0" w:color="auto"/>
              <w:left w:val="nil" w:sz="6" w:space="0" w:color="auto"/>
              <w:bottom w:val="nil" w:sz="6" w:space="0" w:color="auto"/>
              <w:right w:val="nil" w:sz="6" w:space="0" w:color="auto"/>
            </w:tcBorders>
          </w:tcPr>
          <w:p>
            <w:pPr>
              <w:pStyle w:val="TableParagraph"/>
              <w:spacing w:line="228" w:lineRule="exact"/>
              <w:ind w:right="257"/>
              <w:jc w:val="right"/>
              <w:rPr>
                <w:rFonts w:ascii="黑体" w:hAnsi="黑体" w:cs="黑体" w:eastAsia="黑体" w:hint="default"/>
                <w:sz w:val="18"/>
                <w:szCs w:val="18"/>
              </w:rPr>
            </w:pPr>
            <w:r>
              <w:rPr>
                <w:rFonts w:ascii="黑体" w:hAnsi="黑体" w:cs="黑体" w:eastAsia="黑体" w:hint="default"/>
                <w:sz w:val="18"/>
                <w:szCs w:val="18"/>
              </w:rPr>
              <w:t>经营范围</w:t>
            </w:r>
          </w:p>
        </w:tc>
        <w:tc>
          <w:tcPr>
            <w:tcW w:w="1400" w:type="dxa"/>
            <w:tcBorders>
              <w:top w:val="nil" w:sz="6" w:space="0" w:color="auto"/>
              <w:left w:val="nil" w:sz="6" w:space="0" w:color="auto"/>
              <w:bottom w:val="nil" w:sz="6" w:space="0" w:color="auto"/>
              <w:right w:val="nil" w:sz="6" w:space="0" w:color="auto"/>
            </w:tcBorders>
          </w:tcPr>
          <w:p>
            <w:pPr>
              <w:pStyle w:val="TableParagraph"/>
              <w:spacing w:line="228" w:lineRule="exact"/>
              <w:ind w:right="270"/>
              <w:jc w:val="right"/>
              <w:rPr>
                <w:rFonts w:ascii="黑体" w:hAnsi="黑体" w:cs="黑体" w:eastAsia="黑体" w:hint="default"/>
                <w:sz w:val="18"/>
                <w:szCs w:val="18"/>
              </w:rPr>
            </w:pPr>
            <w:r>
              <w:rPr>
                <w:rFonts w:ascii="黑体" w:hAnsi="黑体" w:cs="黑体" w:eastAsia="黑体" w:hint="default"/>
                <w:sz w:val="18"/>
                <w:szCs w:val="18"/>
              </w:rPr>
              <w:t>代码</w:t>
            </w:r>
          </w:p>
        </w:tc>
        <w:tc>
          <w:tcPr>
            <w:tcW w:w="1383" w:type="dxa"/>
            <w:tcBorders>
              <w:top w:val="nil" w:sz="6" w:space="0" w:color="auto"/>
              <w:left w:val="nil" w:sz="6" w:space="0" w:color="auto"/>
              <w:bottom w:val="nil" w:sz="6" w:space="0" w:color="auto"/>
              <w:right w:val="nil" w:sz="6" w:space="0" w:color="auto"/>
            </w:tcBorders>
          </w:tcPr>
          <w:p>
            <w:pPr>
              <w:pStyle w:val="TableParagraph"/>
              <w:spacing w:line="228" w:lineRule="exact"/>
              <w:ind w:right="308"/>
              <w:jc w:val="right"/>
              <w:rPr>
                <w:rFonts w:ascii="黑体" w:hAnsi="黑体" w:cs="黑体" w:eastAsia="黑体" w:hint="default"/>
                <w:sz w:val="18"/>
                <w:szCs w:val="18"/>
              </w:rPr>
            </w:pPr>
            <w:r>
              <w:rPr>
                <w:rFonts w:ascii="黑体" w:hAnsi="黑体" w:cs="黑体" w:eastAsia="黑体" w:hint="default"/>
                <w:sz w:val="18"/>
                <w:szCs w:val="18"/>
              </w:rPr>
              <w:t>出资额</w:t>
            </w:r>
          </w:p>
        </w:tc>
        <w:tc>
          <w:tcPr>
            <w:tcW w:w="889" w:type="dxa"/>
            <w:tcBorders>
              <w:top w:val="nil" w:sz="6" w:space="0" w:color="auto"/>
              <w:left w:val="nil" w:sz="6" w:space="0" w:color="auto"/>
              <w:bottom w:val="nil" w:sz="6" w:space="0" w:color="auto"/>
              <w:right w:val="nil" w:sz="6" w:space="0" w:color="auto"/>
            </w:tcBorders>
          </w:tcPr>
          <w:p>
            <w:pPr>
              <w:pStyle w:val="TableParagraph"/>
              <w:spacing w:line="228" w:lineRule="exact"/>
              <w:ind w:right="218"/>
              <w:jc w:val="right"/>
              <w:rPr>
                <w:rFonts w:ascii="黑体" w:hAnsi="黑体" w:cs="黑体" w:eastAsia="黑体" w:hint="default"/>
                <w:sz w:val="18"/>
                <w:szCs w:val="18"/>
              </w:rPr>
            </w:pPr>
            <w:r>
              <w:rPr>
                <w:rFonts w:ascii="黑体" w:hAnsi="黑体" w:cs="黑体" w:eastAsia="黑体" w:hint="default"/>
                <w:sz w:val="18"/>
                <w:szCs w:val="18"/>
              </w:rPr>
              <w:t>比例</w:t>
            </w:r>
          </w:p>
        </w:tc>
        <w:tc>
          <w:tcPr>
            <w:tcW w:w="995" w:type="dxa"/>
            <w:tcBorders>
              <w:top w:val="nil" w:sz="6" w:space="0" w:color="auto"/>
              <w:left w:val="nil" w:sz="6" w:space="0" w:color="auto"/>
              <w:bottom w:val="nil" w:sz="6" w:space="0" w:color="auto"/>
              <w:right w:val="nil" w:sz="6" w:space="0" w:color="auto"/>
            </w:tcBorders>
          </w:tcPr>
          <w:p>
            <w:pPr>
              <w:pStyle w:val="TableParagraph"/>
              <w:spacing w:line="228" w:lineRule="exact"/>
              <w:ind w:right="234"/>
              <w:jc w:val="right"/>
              <w:rPr>
                <w:rFonts w:ascii="黑体" w:hAnsi="黑体" w:cs="黑体" w:eastAsia="黑体" w:hint="default"/>
                <w:sz w:val="18"/>
                <w:szCs w:val="18"/>
              </w:rPr>
            </w:pPr>
            <w:r>
              <w:rPr>
                <w:rFonts w:ascii="黑体" w:hAnsi="黑体" w:cs="黑体" w:eastAsia="黑体" w:hint="default"/>
                <w:sz w:val="18"/>
                <w:szCs w:val="18"/>
              </w:rPr>
              <w:t>比例</w:t>
            </w:r>
          </w:p>
        </w:tc>
        <w:tc>
          <w:tcPr>
            <w:tcW w:w="1195" w:type="dxa"/>
            <w:tcBorders>
              <w:top w:val="nil" w:sz="6" w:space="0" w:color="auto"/>
              <w:left w:val="nil" w:sz="6" w:space="0" w:color="auto"/>
              <w:bottom w:val="nil" w:sz="6" w:space="0" w:color="auto"/>
              <w:right w:val="nil" w:sz="6" w:space="0" w:color="auto"/>
            </w:tcBorders>
          </w:tcPr>
          <w:p>
            <w:pPr>
              <w:pStyle w:val="TableParagraph"/>
              <w:spacing w:line="228" w:lineRule="exact"/>
              <w:ind w:right="239"/>
              <w:jc w:val="right"/>
              <w:rPr>
                <w:rFonts w:ascii="黑体" w:hAnsi="黑体" w:cs="黑体" w:eastAsia="黑体" w:hint="default"/>
                <w:sz w:val="18"/>
                <w:szCs w:val="18"/>
              </w:rPr>
            </w:pPr>
            <w:r>
              <w:rPr>
                <w:rFonts w:ascii="黑体" w:hAnsi="黑体" w:cs="黑体" w:eastAsia="黑体" w:hint="default"/>
                <w:sz w:val="18"/>
                <w:szCs w:val="18"/>
              </w:rPr>
              <w:t>合并报表</w:t>
            </w:r>
          </w:p>
        </w:tc>
        <w:tc>
          <w:tcPr>
            <w:tcW w:w="1161" w:type="dxa"/>
            <w:tcBorders>
              <w:top w:val="nil" w:sz="6" w:space="0" w:color="auto"/>
              <w:left w:val="nil" w:sz="6" w:space="0" w:color="auto"/>
              <w:bottom w:val="nil" w:sz="6" w:space="0" w:color="auto"/>
              <w:right w:val="nil" w:sz="6" w:space="0" w:color="auto"/>
            </w:tcBorders>
          </w:tcPr>
          <w:p>
            <w:pPr>
              <w:pStyle w:val="TableParagraph"/>
              <w:spacing w:line="228" w:lineRule="exact"/>
              <w:ind w:right="198"/>
              <w:jc w:val="right"/>
              <w:rPr>
                <w:rFonts w:ascii="黑体" w:hAnsi="黑体" w:cs="黑体" w:eastAsia="黑体" w:hint="default"/>
                <w:sz w:val="18"/>
                <w:szCs w:val="18"/>
              </w:rPr>
            </w:pPr>
            <w:r>
              <w:rPr>
                <w:rFonts w:ascii="黑体" w:hAnsi="黑体" w:cs="黑体" w:eastAsia="黑体" w:hint="default"/>
                <w:sz w:val="18"/>
                <w:szCs w:val="18"/>
              </w:rPr>
              <w:t>权益</w:t>
            </w:r>
          </w:p>
        </w:tc>
      </w:tr>
      <w:tr>
        <w:trPr>
          <w:trHeight w:val="389" w:hRule="exact"/>
        </w:trPr>
        <w:tc>
          <w:tcPr>
            <w:tcW w:w="1744" w:type="dxa"/>
            <w:tcBorders>
              <w:top w:val="nil" w:sz="6" w:space="0" w:color="auto"/>
              <w:left w:val="nil" w:sz="6" w:space="0" w:color="auto"/>
              <w:bottom w:val="nil" w:sz="6" w:space="0" w:color="auto"/>
              <w:right w:val="nil" w:sz="6" w:space="0" w:color="auto"/>
            </w:tcBorders>
          </w:tcPr>
          <w:p>
            <w:pPr/>
          </w:p>
        </w:tc>
        <w:tc>
          <w:tcPr>
            <w:tcW w:w="879"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
        </w:tc>
        <w:tc>
          <w:tcPr>
            <w:tcW w:w="652" w:type="dxa"/>
            <w:tcBorders>
              <w:top w:val="nil" w:sz="6" w:space="0" w:color="auto"/>
              <w:left w:val="nil" w:sz="6" w:space="0" w:color="auto"/>
              <w:bottom w:val="nil" w:sz="6" w:space="0" w:color="auto"/>
              <w:right w:val="nil" w:sz="6" w:space="0" w:color="auto"/>
            </w:tcBorders>
          </w:tcPr>
          <w:p>
            <w:pPr/>
          </w:p>
        </w:tc>
        <w:tc>
          <w:tcPr>
            <w:tcW w:w="1032" w:type="dxa"/>
            <w:tcBorders>
              <w:top w:val="nil" w:sz="6" w:space="0" w:color="auto"/>
              <w:left w:val="nil" w:sz="6" w:space="0" w:color="auto"/>
              <w:bottom w:val="nil" w:sz="6" w:space="0" w:color="auto"/>
              <w:right w:val="nil" w:sz="6" w:space="0" w:color="auto"/>
            </w:tcBorders>
          </w:tcPr>
          <w:p>
            <w:pPr/>
          </w:p>
        </w:tc>
        <w:tc>
          <w:tcPr>
            <w:tcW w:w="884" w:type="dxa"/>
            <w:tcBorders>
              <w:top w:val="nil" w:sz="6" w:space="0" w:color="auto"/>
              <w:left w:val="nil" w:sz="6" w:space="0" w:color="auto"/>
              <w:bottom w:val="nil" w:sz="6" w:space="0" w:color="auto"/>
              <w:right w:val="nil" w:sz="6" w:space="0" w:color="auto"/>
            </w:tcBorders>
          </w:tcPr>
          <w:p>
            <w:pPr/>
          </w:p>
        </w:tc>
        <w:tc>
          <w:tcPr>
            <w:tcW w:w="2957"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
        </w:tc>
        <w:tc>
          <w:tcPr>
            <w:tcW w:w="1383" w:type="dxa"/>
            <w:tcBorders>
              <w:top w:val="nil" w:sz="6" w:space="0" w:color="auto"/>
              <w:left w:val="nil" w:sz="6" w:space="0" w:color="auto"/>
              <w:bottom w:val="nil" w:sz="6" w:space="0" w:color="auto"/>
              <w:right w:val="nil" w:sz="6" w:space="0" w:color="auto"/>
            </w:tcBorders>
          </w:tcPr>
          <w:p>
            <w:pP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18"/>
              <w:jc w:val="right"/>
              <w:rPr>
                <w:rFonts w:ascii="Arial" w:hAnsi="Arial" w:cs="Arial" w:eastAsia="Arial" w:hint="default"/>
                <w:sz w:val="18"/>
                <w:szCs w:val="18"/>
              </w:rPr>
            </w:pPr>
            <w:r>
              <w:rPr>
                <w:rFonts w:ascii="Arial"/>
                <w:w w:val="95"/>
                <w:sz w:val="18"/>
              </w:rPr>
              <w:t>(%)</w:t>
            </w:r>
            <w:r>
              <w:rPr>
                <w:rFonts w:ascii="Arial"/>
                <w:sz w:val="18"/>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34"/>
              <w:jc w:val="right"/>
              <w:rPr>
                <w:rFonts w:ascii="Arial" w:hAnsi="Arial" w:cs="Arial" w:eastAsia="Arial" w:hint="default"/>
                <w:sz w:val="18"/>
                <w:szCs w:val="18"/>
              </w:rPr>
            </w:pPr>
            <w:r>
              <w:rPr>
                <w:rFonts w:ascii="Arial"/>
                <w:w w:val="95"/>
                <w:sz w:val="18"/>
              </w:rPr>
              <w:t>(%)</w:t>
            </w:r>
            <w:r>
              <w:rPr>
                <w:rFonts w:ascii="Arial"/>
                <w:sz w:val="18"/>
              </w:rPr>
            </w:r>
          </w:p>
        </w:tc>
        <w:tc>
          <w:tcPr>
            <w:tcW w:w="1195" w:type="dxa"/>
            <w:tcBorders>
              <w:top w:val="nil" w:sz="6" w:space="0" w:color="auto"/>
              <w:left w:val="nil" w:sz="6" w:space="0" w:color="auto"/>
              <w:bottom w:val="nil" w:sz="6" w:space="0" w:color="auto"/>
              <w:right w:val="nil" w:sz="6" w:space="0" w:color="auto"/>
            </w:tcBorders>
          </w:tcPr>
          <w:p>
            <w:pPr/>
          </w:p>
        </w:tc>
        <w:tc>
          <w:tcPr>
            <w:tcW w:w="1161" w:type="dxa"/>
            <w:tcBorders>
              <w:top w:val="nil" w:sz="6" w:space="0" w:color="auto"/>
              <w:left w:val="nil" w:sz="6" w:space="0" w:color="auto"/>
              <w:bottom w:val="nil" w:sz="6" w:space="0" w:color="auto"/>
              <w:right w:val="nil" w:sz="6" w:space="0" w:color="auto"/>
            </w:tcBorders>
          </w:tcPr>
          <w:p>
            <w:pPr/>
          </w:p>
        </w:tc>
      </w:tr>
      <w:tr>
        <w:trPr>
          <w:trHeight w:val="1637"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32" w:lineRule="exact" w:before="134"/>
              <w:ind w:left="367" w:right="68" w:hanging="168"/>
              <w:jc w:val="both"/>
              <w:rPr>
                <w:rFonts w:ascii="Arial" w:hAnsi="Arial" w:cs="Arial" w:eastAsia="Arial" w:hint="default"/>
                <w:sz w:val="18"/>
                <w:szCs w:val="18"/>
              </w:rPr>
            </w:pPr>
            <w:r>
              <w:rPr>
                <w:rFonts w:ascii="黑体" w:hAnsi="黑体" w:cs="黑体" w:eastAsia="黑体" w:hint="default"/>
                <w:sz w:val="18"/>
                <w:szCs w:val="18"/>
              </w:rPr>
              <w:t>浙江用友软件有限</w:t>
            </w:r>
            <w:r>
              <w:rPr>
                <w:rFonts w:ascii="黑体" w:hAnsi="黑体" w:cs="黑体" w:eastAsia="黑体" w:hint="default"/>
                <w:spacing w:val="-86"/>
                <w:sz w:val="18"/>
                <w:szCs w:val="18"/>
              </w:rPr>
              <w:t> </w:t>
            </w:r>
            <w:r>
              <w:rPr>
                <w:rFonts w:ascii="黑体" w:hAnsi="黑体" w:cs="黑体" w:eastAsia="黑体" w:hint="default"/>
                <w:spacing w:val="-86"/>
                <w:sz w:val="18"/>
                <w:szCs w:val="18"/>
              </w:rPr>
            </w:r>
            <w:r>
              <w:rPr>
                <w:rFonts w:ascii="黑体" w:hAnsi="黑体" w:cs="黑体" w:eastAsia="黑体" w:hint="default"/>
                <w:spacing w:val="11"/>
                <w:sz w:val="18"/>
                <w:szCs w:val="18"/>
              </w:rPr>
              <w:t>公司</w:t>
            </w:r>
            <w:r>
              <w:rPr>
                <w:rFonts w:ascii="黑体" w:hAnsi="黑体" w:cs="黑体" w:eastAsia="黑体" w:hint="default"/>
                <w:spacing w:val="-66"/>
                <w:sz w:val="18"/>
                <w:szCs w:val="18"/>
              </w:rPr>
              <w:t> </w:t>
            </w:r>
            <w:r>
              <w:rPr>
                <w:rFonts w:ascii="Arial" w:hAnsi="Arial" w:cs="Arial" w:eastAsia="Arial" w:hint="default"/>
                <w:sz w:val="18"/>
                <w:szCs w:val="18"/>
              </w:rPr>
              <w:t>(</w:t>
            </w:r>
            <w:r>
              <w:rPr>
                <w:rFonts w:ascii="Arial" w:hAnsi="Arial" w:cs="Arial" w:eastAsia="Arial" w:hint="default"/>
                <w:spacing w:val="-25"/>
                <w:sz w:val="18"/>
                <w:szCs w:val="18"/>
              </w:rPr>
              <w:t> </w:t>
            </w:r>
            <w:r>
              <w:rPr>
                <w:rFonts w:ascii="黑体" w:hAnsi="黑体" w:cs="黑体" w:eastAsia="黑体" w:hint="default"/>
                <w:spacing w:val="16"/>
                <w:sz w:val="18"/>
                <w:szCs w:val="18"/>
              </w:rPr>
              <w:t>以下简称</w:t>
            </w:r>
            <w:r>
              <w:rPr>
                <w:rFonts w:ascii="黑体" w:hAnsi="黑体" w:cs="黑体" w:eastAsia="黑体" w:hint="default"/>
                <w:spacing w:val="-67"/>
                <w:sz w:val="18"/>
                <w:szCs w:val="18"/>
              </w:rPr>
              <w:t> </w:t>
            </w:r>
            <w:r>
              <w:rPr>
                <w:rFonts w:ascii="Arial" w:hAnsi="Arial" w:cs="Arial" w:eastAsia="Arial" w:hint="default"/>
                <w:sz w:val="18"/>
                <w:szCs w:val="18"/>
              </w:rPr>
              <w:t>“</w:t>
            </w:r>
            <w:r>
              <w:rPr>
                <w:rFonts w:ascii="黑体" w:hAnsi="黑体" w:cs="黑体" w:eastAsia="黑体" w:hint="default"/>
                <w:sz w:val="18"/>
                <w:szCs w:val="18"/>
              </w:rPr>
              <w:t>浙江用友</w:t>
            </w:r>
            <w:r>
              <w:rPr>
                <w:rFonts w:ascii="Arial" w:hAnsi="Arial" w:cs="Arial" w:eastAsia="Arial" w:hint="default"/>
                <w:sz w:val="18"/>
                <w:szCs w:val="18"/>
              </w:rPr>
              <w:t>”)</w:t>
            </w:r>
          </w:p>
        </w:tc>
        <w:tc>
          <w:tcPr>
            <w:tcW w:w="879" w:type="dxa"/>
            <w:tcBorders>
              <w:top w:val="nil" w:sz="6" w:space="0" w:color="auto"/>
              <w:left w:val="nil" w:sz="6" w:space="0" w:color="auto"/>
              <w:bottom w:val="nil" w:sz="6" w:space="0" w:color="auto"/>
              <w:right w:val="nil" w:sz="6" w:space="0" w:color="auto"/>
            </w:tcBorders>
          </w:tcPr>
          <w:p>
            <w:pPr>
              <w:pStyle w:val="TableParagraph"/>
              <w:spacing w:line="232" w:lineRule="exact" w:before="126"/>
              <w:ind w:left="250" w:right="85" w:hanging="180"/>
              <w:jc w:val="left"/>
              <w:rPr>
                <w:rFonts w:ascii="黑体" w:hAnsi="黑体" w:cs="黑体" w:eastAsia="黑体" w:hint="default"/>
                <w:sz w:val="18"/>
                <w:szCs w:val="18"/>
              </w:rPr>
            </w:pPr>
            <w:r>
              <w:rPr>
                <w:rFonts w:ascii="黑体" w:hAnsi="黑体" w:cs="黑体" w:eastAsia="黑体" w:hint="default"/>
                <w:sz w:val="18"/>
                <w:szCs w:val="18"/>
              </w:rPr>
              <w:t>有限责任 公司</w:t>
            </w:r>
          </w:p>
        </w:tc>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 w:right="0"/>
              <w:jc w:val="center"/>
              <w:rPr>
                <w:rFonts w:ascii="黑体" w:hAnsi="黑体" w:cs="黑体" w:eastAsia="黑体" w:hint="default"/>
                <w:sz w:val="18"/>
                <w:szCs w:val="18"/>
              </w:rPr>
            </w:pPr>
            <w:r>
              <w:rPr>
                <w:rFonts w:ascii="黑体" w:hAnsi="黑体" w:cs="黑体" w:eastAsia="黑体" w:hint="default"/>
                <w:sz w:val="18"/>
                <w:szCs w:val="18"/>
              </w:rPr>
              <w:t>杭州市</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5"/>
              <w:jc w:val="right"/>
              <w:rPr>
                <w:rFonts w:ascii="黑体" w:hAnsi="黑体" w:cs="黑体" w:eastAsia="黑体" w:hint="default"/>
                <w:sz w:val="18"/>
                <w:szCs w:val="18"/>
              </w:rPr>
            </w:pPr>
            <w:r>
              <w:rPr>
                <w:rFonts w:ascii="黑体" w:hAnsi="黑体" w:cs="黑体" w:eastAsia="黑体" w:hint="default"/>
                <w:sz w:val="18"/>
                <w:szCs w:val="18"/>
              </w:rPr>
              <w:t>李友</w:t>
            </w:r>
          </w:p>
        </w:tc>
        <w:tc>
          <w:tcPr>
            <w:tcW w:w="1032" w:type="dxa"/>
            <w:tcBorders>
              <w:top w:val="nil" w:sz="6" w:space="0" w:color="auto"/>
              <w:left w:val="nil" w:sz="6" w:space="0" w:color="auto"/>
              <w:bottom w:val="nil" w:sz="6" w:space="0" w:color="auto"/>
              <w:right w:val="nil" w:sz="6" w:space="0" w:color="auto"/>
            </w:tcBorders>
          </w:tcPr>
          <w:p>
            <w:pPr>
              <w:pStyle w:val="TableParagraph"/>
              <w:spacing w:line="232" w:lineRule="exact" w:before="134"/>
              <w:ind w:left="27" w:right="53"/>
              <w:jc w:val="left"/>
              <w:rPr>
                <w:rFonts w:ascii="黑体" w:hAnsi="黑体" w:cs="黑体" w:eastAsia="黑体" w:hint="default"/>
                <w:sz w:val="18"/>
                <w:szCs w:val="18"/>
              </w:rPr>
            </w:pPr>
            <w:r>
              <w:rPr>
                <w:rFonts w:ascii="黑体" w:hAnsi="黑体" w:cs="黑体" w:eastAsia="黑体" w:hint="default"/>
                <w:sz w:val="18"/>
                <w:szCs w:val="18"/>
              </w:rPr>
              <w:t>计算机软</w:t>
            </w:r>
            <w:r>
              <w:rPr>
                <w:rFonts w:ascii="Arial" w:hAnsi="Arial" w:cs="Arial" w:eastAsia="Arial" w:hint="default"/>
                <w:sz w:val="18"/>
                <w:szCs w:val="18"/>
              </w:rPr>
              <w:t>/</w:t>
            </w:r>
            <w:r>
              <w:rPr>
                <w:rFonts w:ascii="Arial" w:hAnsi="Arial" w:cs="Arial" w:eastAsia="Arial" w:hint="default"/>
                <w:w w:val="100"/>
                <w:sz w:val="18"/>
                <w:szCs w:val="18"/>
              </w:rPr>
              <w:t> </w:t>
            </w:r>
            <w:r>
              <w:rPr>
                <w:rFonts w:ascii="黑体" w:hAnsi="黑体" w:cs="黑体" w:eastAsia="黑体" w:hint="default"/>
                <w:sz w:val="18"/>
                <w:szCs w:val="18"/>
              </w:rPr>
              <w:t>硬件</w:t>
            </w:r>
            <w:r>
              <w:rPr>
                <w:rFonts w:ascii="Arial" w:hAnsi="Arial" w:cs="Arial" w:eastAsia="Arial" w:hint="default"/>
                <w:sz w:val="18"/>
                <w:szCs w:val="18"/>
              </w:rPr>
              <w:t>/</w:t>
            </w:r>
            <w:r>
              <w:rPr>
                <w:rFonts w:ascii="黑体" w:hAnsi="黑体" w:cs="黑体" w:eastAsia="黑体" w:hint="default"/>
                <w:sz w:val="18"/>
                <w:szCs w:val="18"/>
              </w:rPr>
              <w:t>网络、 技术咨询 及电子行</w:t>
            </w:r>
          </w:p>
          <w:p>
            <w:pPr>
              <w:pStyle w:val="TableParagraph"/>
              <w:spacing w:line="214" w:lineRule="exact"/>
              <w:ind w:left="27" w:right="0"/>
              <w:jc w:val="left"/>
              <w:rPr>
                <w:rFonts w:ascii="黑体" w:hAnsi="黑体" w:cs="黑体" w:eastAsia="黑体" w:hint="default"/>
                <w:sz w:val="18"/>
                <w:szCs w:val="18"/>
              </w:rPr>
            </w:pPr>
            <w:r>
              <w:rPr>
                <w:rFonts w:ascii="黑体" w:hAnsi="黑体" w:cs="黑体" w:eastAsia="黑体" w:hint="default"/>
                <w:sz w:val="18"/>
                <w:szCs w:val="18"/>
              </w:rPr>
              <w:t>业</w:t>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24"/>
              <w:jc w:val="right"/>
              <w:rPr>
                <w:rFonts w:ascii="Arial" w:hAnsi="Arial" w:cs="Arial" w:eastAsia="Arial" w:hint="default"/>
                <w:sz w:val="18"/>
                <w:szCs w:val="18"/>
              </w:rPr>
            </w:pPr>
            <w:r>
              <w:rPr>
                <w:rFonts w:ascii="Arial"/>
                <w:spacing w:val="-1"/>
                <w:sz w:val="18"/>
              </w:rPr>
              <w:t>5,000,000</w:t>
            </w:r>
          </w:p>
        </w:tc>
        <w:tc>
          <w:tcPr>
            <w:tcW w:w="2957" w:type="dxa"/>
            <w:tcBorders>
              <w:top w:val="nil" w:sz="6" w:space="0" w:color="auto"/>
              <w:left w:val="nil" w:sz="6" w:space="0" w:color="auto"/>
              <w:bottom w:val="nil" w:sz="6" w:space="0" w:color="auto"/>
              <w:right w:val="nil" w:sz="6" w:space="0" w:color="auto"/>
            </w:tcBorders>
          </w:tcPr>
          <w:p>
            <w:pPr>
              <w:pStyle w:val="TableParagraph"/>
              <w:spacing w:line="237" w:lineRule="auto" w:before="111"/>
              <w:ind w:left="26" w:right="165"/>
              <w:jc w:val="left"/>
              <w:rPr>
                <w:rFonts w:ascii="黑体" w:hAnsi="黑体" w:cs="黑体" w:eastAsia="黑体" w:hint="default"/>
                <w:sz w:val="18"/>
                <w:szCs w:val="18"/>
              </w:rPr>
            </w:pPr>
            <w:r>
              <w:rPr>
                <w:rFonts w:ascii="黑体" w:hAnsi="黑体" w:cs="黑体" w:eastAsia="黑体" w:hint="default"/>
                <w:sz w:val="18"/>
                <w:szCs w:val="18"/>
              </w:rPr>
              <w:t>技术开发、技术咨询、技术服务、 </w:t>
            </w:r>
            <w:r>
              <w:rPr>
                <w:rFonts w:ascii="黑体" w:hAnsi="黑体" w:cs="黑体" w:eastAsia="黑体" w:hint="default"/>
                <w:spacing w:val="-8"/>
                <w:sz w:val="18"/>
                <w:szCs w:val="18"/>
              </w:rPr>
              <w:t>技术培训、成果转让；计算机软件、</w:t>
            </w:r>
            <w:r>
              <w:rPr>
                <w:rFonts w:ascii="黑体" w:hAnsi="黑体" w:cs="黑体" w:eastAsia="黑体" w:hint="default"/>
                <w:spacing w:val="-80"/>
                <w:sz w:val="18"/>
                <w:szCs w:val="18"/>
              </w:rPr>
              <w:t> </w:t>
            </w:r>
            <w:r>
              <w:rPr>
                <w:rFonts w:ascii="黑体" w:hAnsi="黑体" w:cs="黑体" w:eastAsia="黑体" w:hint="default"/>
                <w:spacing w:val="-80"/>
                <w:sz w:val="18"/>
                <w:szCs w:val="18"/>
              </w:rPr>
            </w:r>
            <w:r>
              <w:rPr>
                <w:rFonts w:ascii="黑体" w:hAnsi="黑体" w:cs="黑体" w:eastAsia="黑体" w:hint="default"/>
                <w:sz w:val="18"/>
                <w:szCs w:val="18"/>
              </w:rPr>
              <w:t>硬件及外部设备；批发、零售；计</w:t>
            </w:r>
            <w:r>
              <w:rPr>
                <w:rFonts w:ascii="黑体" w:hAnsi="黑体" w:cs="黑体" w:eastAsia="黑体" w:hint="default"/>
                <w:sz w:val="18"/>
                <w:szCs w:val="18"/>
              </w:rPr>
              <w:t> </w:t>
            </w:r>
            <w:r>
              <w:rPr>
                <w:rFonts w:ascii="黑体" w:hAnsi="黑体" w:cs="黑体" w:eastAsia="黑体" w:hint="default"/>
                <w:spacing w:val="-8"/>
                <w:sz w:val="18"/>
                <w:szCs w:val="18"/>
              </w:rPr>
              <w:t>算机软、硬件及外部设备、打印纸、</w:t>
            </w:r>
            <w:r>
              <w:rPr>
                <w:rFonts w:ascii="黑体" w:hAnsi="黑体" w:cs="黑体" w:eastAsia="黑体" w:hint="default"/>
                <w:spacing w:val="-80"/>
                <w:sz w:val="18"/>
                <w:szCs w:val="18"/>
              </w:rPr>
              <w:t> </w:t>
            </w:r>
            <w:r>
              <w:rPr>
                <w:rFonts w:ascii="黑体" w:hAnsi="黑体" w:cs="黑体" w:eastAsia="黑体" w:hint="default"/>
                <w:spacing w:val="-80"/>
                <w:sz w:val="18"/>
                <w:szCs w:val="18"/>
              </w:rPr>
            </w:r>
            <w:r>
              <w:rPr>
                <w:rFonts w:ascii="黑体" w:hAnsi="黑体" w:cs="黑体" w:eastAsia="黑体" w:hint="default"/>
                <w:sz w:val="18"/>
                <w:szCs w:val="18"/>
              </w:rPr>
              <w:t>计算机耗材；企业管理咨询；其他</w:t>
            </w:r>
            <w:r>
              <w:rPr>
                <w:rFonts w:ascii="黑体" w:hAnsi="黑体" w:cs="黑体" w:eastAsia="黑体" w:hint="default"/>
                <w:sz w:val="18"/>
                <w:szCs w:val="18"/>
              </w:rPr>
              <w:t> 无需报经审批的一切合法项目。</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268"/>
              <w:jc w:val="right"/>
              <w:rPr>
                <w:rFonts w:ascii="Arial" w:hAnsi="Arial" w:cs="Arial" w:eastAsia="Arial" w:hint="default"/>
                <w:sz w:val="18"/>
                <w:szCs w:val="18"/>
              </w:rPr>
            </w:pPr>
            <w:r>
              <w:rPr>
                <w:rFonts w:ascii="Arial"/>
                <w:spacing w:val="-1"/>
                <w:sz w:val="18"/>
              </w:rPr>
              <w:t>77358064-1</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306"/>
              <w:jc w:val="right"/>
              <w:rPr>
                <w:rFonts w:ascii="Arial" w:hAnsi="Arial" w:cs="Arial" w:eastAsia="Arial" w:hint="default"/>
                <w:sz w:val="18"/>
                <w:szCs w:val="18"/>
              </w:rPr>
            </w:pPr>
            <w:r>
              <w:rPr>
                <w:rFonts w:ascii="Arial"/>
                <w:spacing w:val="-1"/>
                <w:sz w:val="18"/>
              </w:rPr>
              <w:t>5,000,000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216"/>
              <w:jc w:val="right"/>
              <w:rPr>
                <w:rFonts w:ascii="Arial" w:hAnsi="Arial" w:cs="Arial" w:eastAsia="Arial" w:hint="default"/>
                <w:sz w:val="18"/>
                <w:szCs w:val="18"/>
              </w:rPr>
            </w:pPr>
            <w:r>
              <w:rPr>
                <w:rFonts w:ascii="Arial"/>
                <w:w w:val="95"/>
                <w:sz w:val="18"/>
              </w:rPr>
              <w:t>100</w:t>
            </w:r>
            <w:r>
              <w:rPr>
                <w:rFonts w:ascii="Arial"/>
                <w:sz w:val="18"/>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233"/>
              <w:jc w:val="right"/>
              <w:rPr>
                <w:rFonts w:ascii="Arial" w:hAnsi="Arial" w:cs="Arial" w:eastAsia="Arial" w:hint="default"/>
                <w:sz w:val="18"/>
                <w:szCs w:val="18"/>
              </w:rPr>
            </w:pPr>
            <w:r>
              <w:rPr>
                <w:rFonts w:ascii="Arial"/>
                <w:w w:val="95"/>
                <w:sz w:val="18"/>
              </w:rPr>
              <w:t>100</w:t>
            </w:r>
            <w:r>
              <w:rPr>
                <w:rFonts w:ascii="Arial"/>
                <w:sz w:val="18"/>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39"/>
              <w:jc w:val="right"/>
              <w:rPr>
                <w:rFonts w:ascii="黑体" w:hAnsi="黑体" w:cs="黑体" w:eastAsia="黑体" w:hint="default"/>
                <w:sz w:val="18"/>
                <w:szCs w:val="18"/>
              </w:rPr>
            </w:pPr>
            <w:r>
              <w:rPr>
                <w:rFonts w:ascii="黑体" w:hAnsi="黑体" w:cs="黑体" w:eastAsia="黑体" w:hint="default"/>
                <w:sz w:val="18"/>
                <w:szCs w:val="18"/>
              </w:rPr>
              <w:t>是</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1608"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32" w:lineRule="auto" w:before="84"/>
              <w:ind w:left="367" w:right="68" w:hanging="168"/>
              <w:jc w:val="both"/>
              <w:rPr>
                <w:rFonts w:ascii="Arial" w:hAnsi="Arial" w:cs="Arial" w:eastAsia="Arial" w:hint="default"/>
                <w:sz w:val="18"/>
                <w:szCs w:val="18"/>
              </w:rPr>
            </w:pPr>
            <w:r>
              <w:rPr>
                <w:rFonts w:ascii="黑体" w:hAnsi="黑体" w:cs="黑体" w:eastAsia="黑体" w:hint="default"/>
                <w:sz w:val="18"/>
                <w:szCs w:val="18"/>
              </w:rPr>
              <w:t>沈阳用友软件有限</w:t>
            </w:r>
            <w:r>
              <w:rPr>
                <w:rFonts w:ascii="黑体" w:hAnsi="黑体" w:cs="黑体" w:eastAsia="黑体" w:hint="default"/>
                <w:spacing w:val="-86"/>
                <w:sz w:val="18"/>
                <w:szCs w:val="18"/>
              </w:rPr>
              <w:t> </w:t>
            </w:r>
            <w:r>
              <w:rPr>
                <w:rFonts w:ascii="黑体" w:hAnsi="黑体" w:cs="黑体" w:eastAsia="黑体" w:hint="default"/>
                <w:spacing w:val="-86"/>
                <w:sz w:val="18"/>
                <w:szCs w:val="18"/>
              </w:rPr>
            </w:r>
            <w:r>
              <w:rPr>
                <w:rFonts w:ascii="黑体" w:hAnsi="黑体" w:cs="黑体" w:eastAsia="黑体" w:hint="default"/>
                <w:spacing w:val="11"/>
                <w:sz w:val="18"/>
                <w:szCs w:val="18"/>
              </w:rPr>
              <w:t>公司</w:t>
            </w:r>
            <w:r>
              <w:rPr>
                <w:rFonts w:ascii="黑体" w:hAnsi="黑体" w:cs="黑体" w:eastAsia="黑体" w:hint="default"/>
                <w:spacing w:val="-66"/>
                <w:sz w:val="18"/>
                <w:szCs w:val="18"/>
              </w:rPr>
              <w:t> </w:t>
            </w:r>
            <w:r>
              <w:rPr>
                <w:rFonts w:ascii="Arial" w:hAnsi="Arial" w:cs="Arial" w:eastAsia="Arial" w:hint="default"/>
                <w:sz w:val="18"/>
                <w:szCs w:val="18"/>
              </w:rPr>
              <w:t>(</w:t>
            </w:r>
            <w:r>
              <w:rPr>
                <w:rFonts w:ascii="Arial" w:hAnsi="Arial" w:cs="Arial" w:eastAsia="Arial" w:hint="default"/>
                <w:spacing w:val="-25"/>
                <w:sz w:val="18"/>
                <w:szCs w:val="18"/>
              </w:rPr>
              <w:t> </w:t>
            </w:r>
            <w:r>
              <w:rPr>
                <w:rFonts w:ascii="黑体" w:hAnsi="黑体" w:cs="黑体" w:eastAsia="黑体" w:hint="default"/>
                <w:spacing w:val="16"/>
                <w:sz w:val="18"/>
                <w:szCs w:val="18"/>
              </w:rPr>
              <w:t>以下简称</w:t>
            </w:r>
            <w:r>
              <w:rPr>
                <w:rFonts w:ascii="黑体" w:hAnsi="黑体" w:cs="黑体" w:eastAsia="黑体" w:hint="default"/>
                <w:spacing w:val="-67"/>
                <w:sz w:val="18"/>
                <w:szCs w:val="18"/>
              </w:rPr>
              <w:t> </w:t>
            </w:r>
            <w:r>
              <w:rPr>
                <w:rFonts w:ascii="Arial" w:hAnsi="Arial" w:cs="Arial" w:eastAsia="Arial" w:hint="default"/>
                <w:sz w:val="18"/>
                <w:szCs w:val="18"/>
              </w:rPr>
              <w:t>“</w:t>
            </w:r>
            <w:r>
              <w:rPr>
                <w:rFonts w:ascii="黑体" w:hAnsi="黑体" w:cs="黑体" w:eastAsia="黑体" w:hint="default"/>
                <w:sz w:val="18"/>
                <w:szCs w:val="18"/>
              </w:rPr>
              <w:t>沈阳用友</w:t>
            </w:r>
            <w:r>
              <w:rPr>
                <w:rFonts w:ascii="Arial" w:hAnsi="Arial" w:cs="Arial" w:eastAsia="Arial" w:hint="default"/>
                <w:sz w:val="18"/>
                <w:szCs w:val="18"/>
              </w:rPr>
              <w:t>”)</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50" w:right="85" w:hanging="180"/>
              <w:jc w:val="left"/>
              <w:rPr>
                <w:rFonts w:ascii="黑体" w:hAnsi="黑体" w:cs="黑体" w:eastAsia="黑体" w:hint="default"/>
                <w:sz w:val="18"/>
                <w:szCs w:val="18"/>
              </w:rPr>
            </w:pPr>
            <w:r>
              <w:rPr>
                <w:rFonts w:ascii="黑体" w:hAnsi="黑体" w:cs="黑体" w:eastAsia="黑体" w:hint="default"/>
                <w:sz w:val="18"/>
                <w:szCs w:val="18"/>
              </w:rPr>
              <w:t>有限责任 公司</w:t>
            </w:r>
          </w:p>
        </w:tc>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 w:right="0"/>
              <w:jc w:val="center"/>
              <w:rPr>
                <w:rFonts w:ascii="黑体" w:hAnsi="黑体" w:cs="黑体" w:eastAsia="黑体" w:hint="default"/>
                <w:sz w:val="18"/>
                <w:szCs w:val="18"/>
              </w:rPr>
            </w:pPr>
            <w:r>
              <w:rPr>
                <w:rFonts w:ascii="黑体" w:hAnsi="黑体" w:cs="黑体" w:eastAsia="黑体" w:hint="default"/>
                <w:sz w:val="18"/>
                <w:szCs w:val="18"/>
              </w:rPr>
              <w:t>沈阳市</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5"/>
              <w:jc w:val="right"/>
              <w:rPr>
                <w:rFonts w:ascii="黑体" w:hAnsi="黑体" w:cs="黑体" w:eastAsia="黑体" w:hint="default"/>
                <w:sz w:val="18"/>
                <w:szCs w:val="18"/>
              </w:rPr>
            </w:pPr>
            <w:r>
              <w:rPr>
                <w:rFonts w:ascii="黑体" w:hAnsi="黑体" w:cs="黑体" w:eastAsia="黑体" w:hint="default"/>
                <w:sz w:val="18"/>
                <w:szCs w:val="18"/>
              </w:rPr>
              <w:t>李友</w:t>
            </w:r>
          </w:p>
        </w:tc>
        <w:tc>
          <w:tcPr>
            <w:tcW w:w="1032" w:type="dxa"/>
            <w:tcBorders>
              <w:top w:val="nil" w:sz="6" w:space="0" w:color="auto"/>
              <w:left w:val="nil" w:sz="6" w:space="0" w:color="auto"/>
              <w:bottom w:val="nil" w:sz="6" w:space="0" w:color="auto"/>
              <w:right w:val="nil" w:sz="6" w:space="0" w:color="auto"/>
            </w:tcBorders>
          </w:tcPr>
          <w:p>
            <w:pPr>
              <w:pStyle w:val="TableParagraph"/>
              <w:spacing w:line="230" w:lineRule="auto" w:before="86"/>
              <w:ind w:left="27" w:right="233"/>
              <w:jc w:val="both"/>
              <w:rPr>
                <w:rFonts w:ascii="黑体" w:hAnsi="黑体" w:cs="黑体" w:eastAsia="黑体" w:hint="default"/>
                <w:sz w:val="18"/>
                <w:szCs w:val="18"/>
              </w:rPr>
            </w:pPr>
            <w:r>
              <w:rPr>
                <w:rFonts w:ascii="黑体" w:hAnsi="黑体" w:cs="黑体" w:eastAsia="黑体" w:hint="default"/>
                <w:sz w:val="18"/>
                <w:szCs w:val="18"/>
              </w:rPr>
              <w:t>计算机软</w:t>
            </w:r>
            <w:r>
              <w:rPr>
                <w:rFonts w:ascii="Arial" w:hAnsi="Arial" w:cs="Arial" w:eastAsia="Arial" w:hint="default"/>
                <w:sz w:val="18"/>
                <w:szCs w:val="18"/>
              </w:rPr>
              <w:t>/</w:t>
            </w:r>
            <w:r>
              <w:rPr>
                <w:rFonts w:ascii="Arial" w:hAnsi="Arial" w:cs="Arial" w:eastAsia="Arial" w:hint="default"/>
                <w:w w:val="100"/>
                <w:sz w:val="18"/>
                <w:szCs w:val="18"/>
              </w:rPr>
              <w:t> </w:t>
            </w:r>
            <w:r>
              <w:rPr>
                <w:rFonts w:ascii="黑体" w:hAnsi="黑体" w:cs="黑体" w:eastAsia="黑体" w:hint="default"/>
                <w:sz w:val="18"/>
                <w:szCs w:val="18"/>
              </w:rPr>
              <w:t>硬件</w:t>
            </w:r>
            <w:r>
              <w:rPr>
                <w:rFonts w:ascii="Arial" w:hAnsi="Arial" w:cs="Arial" w:eastAsia="Arial" w:hint="default"/>
                <w:sz w:val="18"/>
                <w:szCs w:val="18"/>
              </w:rPr>
              <w:t>/</w:t>
            </w:r>
            <w:r>
              <w:rPr>
                <w:rFonts w:ascii="黑体" w:hAnsi="黑体" w:cs="黑体" w:eastAsia="黑体" w:hint="default"/>
                <w:sz w:val="18"/>
                <w:szCs w:val="18"/>
              </w:rPr>
              <w:t>技术 咨询及电 子行业</w:t>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4"/>
              <w:jc w:val="right"/>
              <w:rPr>
                <w:rFonts w:ascii="Arial" w:hAnsi="Arial" w:cs="Arial" w:eastAsia="Arial" w:hint="default"/>
                <w:sz w:val="18"/>
                <w:szCs w:val="18"/>
              </w:rPr>
            </w:pPr>
            <w:r>
              <w:rPr>
                <w:rFonts w:ascii="Arial"/>
                <w:spacing w:val="-1"/>
                <w:sz w:val="18"/>
              </w:rPr>
              <w:t>3,000,000</w:t>
            </w:r>
          </w:p>
        </w:tc>
        <w:tc>
          <w:tcPr>
            <w:tcW w:w="2957" w:type="dxa"/>
            <w:tcBorders>
              <w:top w:val="nil" w:sz="6" w:space="0" w:color="auto"/>
              <w:left w:val="nil" w:sz="6" w:space="0" w:color="auto"/>
              <w:bottom w:val="nil" w:sz="6" w:space="0" w:color="auto"/>
              <w:right w:val="nil" w:sz="6" w:space="0" w:color="auto"/>
            </w:tcBorders>
          </w:tcPr>
          <w:p>
            <w:pPr>
              <w:pStyle w:val="TableParagraph"/>
              <w:spacing w:line="237" w:lineRule="auto" w:before="79"/>
              <w:ind w:left="26" w:right="165"/>
              <w:jc w:val="left"/>
              <w:rPr>
                <w:rFonts w:ascii="黑体" w:hAnsi="黑体" w:cs="黑体" w:eastAsia="黑体" w:hint="default"/>
                <w:sz w:val="18"/>
                <w:szCs w:val="18"/>
              </w:rPr>
            </w:pPr>
            <w:r>
              <w:rPr>
                <w:rFonts w:ascii="黑体" w:hAnsi="黑体" w:cs="黑体" w:eastAsia="黑体" w:hint="default"/>
                <w:sz w:val="18"/>
                <w:szCs w:val="18"/>
              </w:rPr>
              <w:t>电子计算机软件、硬件及外部设备 </w:t>
            </w:r>
            <w:r>
              <w:rPr>
                <w:rFonts w:ascii="黑体" w:hAnsi="黑体" w:cs="黑体" w:eastAsia="黑体" w:hint="default"/>
                <w:spacing w:val="-8"/>
                <w:sz w:val="18"/>
                <w:szCs w:val="18"/>
              </w:rPr>
              <w:t>的技术开发、技术咨询、技术转让、</w:t>
            </w:r>
            <w:r>
              <w:rPr>
                <w:rFonts w:ascii="黑体" w:hAnsi="黑体" w:cs="黑体" w:eastAsia="黑体" w:hint="default"/>
                <w:spacing w:val="-80"/>
                <w:sz w:val="18"/>
                <w:szCs w:val="18"/>
              </w:rPr>
              <w:t> </w:t>
            </w:r>
            <w:r>
              <w:rPr>
                <w:rFonts w:ascii="黑体" w:hAnsi="黑体" w:cs="黑体" w:eastAsia="黑体" w:hint="default"/>
                <w:spacing w:val="-80"/>
                <w:sz w:val="18"/>
                <w:szCs w:val="18"/>
              </w:rPr>
            </w:r>
            <w:r>
              <w:rPr>
                <w:rFonts w:ascii="黑体" w:hAnsi="黑体" w:cs="黑体" w:eastAsia="黑体" w:hint="default"/>
                <w:sz w:val="18"/>
                <w:szCs w:val="18"/>
              </w:rPr>
              <w:t>技术服务、技术培训；电子计算机</w:t>
            </w:r>
            <w:r>
              <w:rPr>
                <w:rFonts w:ascii="黑体" w:hAnsi="黑体" w:cs="黑体" w:eastAsia="黑体" w:hint="default"/>
                <w:sz w:val="18"/>
                <w:szCs w:val="18"/>
              </w:rPr>
              <w:t> 软硬件及外部设备、计算机耗材、 打印纸销售；企业管理咨询；数据 库服务。</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68"/>
              <w:jc w:val="right"/>
              <w:rPr>
                <w:rFonts w:ascii="Arial" w:hAnsi="Arial" w:cs="Arial" w:eastAsia="Arial" w:hint="default"/>
                <w:sz w:val="18"/>
                <w:szCs w:val="18"/>
              </w:rPr>
            </w:pPr>
            <w:r>
              <w:rPr>
                <w:rFonts w:ascii="Arial"/>
                <w:spacing w:val="-1"/>
                <w:sz w:val="18"/>
              </w:rPr>
              <w:t>77484063-6</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06"/>
              <w:jc w:val="right"/>
              <w:rPr>
                <w:rFonts w:ascii="Arial" w:hAnsi="Arial" w:cs="Arial" w:eastAsia="Arial" w:hint="default"/>
                <w:sz w:val="18"/>
                <w:szCs w:val="18"/>
              </w:rPr>
            </w:pPr>
            <w:r>
              <w:rPr>
                <w:rFonts w:ascii="Arial"/>
                <w:spacing w:val="-1"/>
                <w:sz w:val="18"/>
              </w:rPr>
              <w:t>3,000,000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16"/>
              <w:jc w:val="right"/>
              <w:rPr>
                <w:rFonts w:ascii="Arial" w:hAnsi="Arial" w:cs="Arial" w:eastAsia="Arial" w:hint="default"/>
                <w:sz w:val="18"/>
                <w:szCs w:val="18"/>
              </w:rPr>
            </w:pPr>
            <w:r>
              <w:rPr>
                <w:rFonts w:ascii="Arial"/>
                <w:w w:val="95"/>
                <w:sz w:val="18"/>
              </w:rPr>
              <w:t>100</w:t>
            </w:r>
            <w:r>
              <w:rPr>
                <w:rFonts w:ascii="Arial"/>
                <w:sz w:val="18"/>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33"/>
              <w:jc w:val="right"/>
              <w:rPr>
                <w:rFonts w:ascii="Arial" w:hAnsi="Arial" w:cs="Arial" w:eastAsia="Arial" w:hint="default"/>
                <w:sz w:val="18"/>
                <w:szCs w:val="18"/>
              </w:rPr>
            </w:pPr>
            <w:r>
              <w:rPr>
                <w:rFonts w:ascii="Arial"/>
                <w:w w:val="95"/>
                <w:sz w:val="18"/>
              </w:rPr>
              <w:t>100</w:t>
            </w:r>
            <w:r>
              <w:rPr>
                <w:rFonts w:ascii="Arial"/>
                <w:sz w:val="18"/>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39"/>
              <w:jc w:val="right"/>
              <w:rPr>
                <w:rFonts w:ascii="黑体" w:hAnsi="黑体" w:cs="黑体" w:eastAsia="黑体" w:hint="default"/>
                <w:sz w:val="18"/>
                <w:szCs w:val="18"/>
              </w:rPr>
            </w:pPr>
            <w:r>
              <w:rPr>
                <w:rFonts w:ascii="黑体" w:hAnsi="黑体" w:cs="黑体" w:eastAsia="黑体" w:hint="default"/>
                <w:sz w:val="18"/>
                <w:szCs w:val="18"/>
              </w:rPr>
              <w:t>是</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1014" w:hRule="exact"/>
        </w:trPr>
        <w:tc>
          <w:tcPr>
            <w:tcW w:w="1744" w:type="dxa"/>
            <w:tcBorders>
              <w:top w:val="nil" w:sz="6" w:space="0" w:color="auto"/>
              <w:left w:val="nil" w:sz="6" w:space="0" w:color="auto"/>
              <w:bottom w:val="nil" w:sz="6" w:space="0" w:color="auto"/>
              <w:right w:val="nil" w:sz="6" w:space="0" w:color="auto"/>
            </w:tcBorders>
          </w:tcPr>
          <w:p>
            <w:pPr>
              <w:pStyle w:val="TableParagraph"/>
              <w:spacing w:line="232" w:lineRule="auto" w:before="84"/>
              <w:ind w:left="367" w:right="68" w:hanging="168"/>
              <w:jc w:val="both"/>
              <w:rPr>
                <w:rFonts w:ascii="Arial" w:hAnsi="Arial" w:cs="Arial" w:eastAsia="Arial" w:hint="default"/>
                <w:sz w:val="18"/>
                <w:szCs w:val="18"/>
              </w:rPr>
            </w:pPr>
            <w:r>
              <w:rPr>
                <w:rFonts w:ascii="黑体" w:hAnsi="黑体" w:cs="黑体" w:eastAsia="黑体" w:hint="default"/>
                <w:sz w:val="18"/>
                <w:szCs w:val="18"/>
              </w:rPr>
              <w:t>大连用友软件有限</w:t>
            </w:r>
            <w:r>
              <w:rPr>
                <w:rFonts w:ascii="黑体" w:hAnsi="黑体" w:cs="黑体" w:eastAsia="黑体" w:hint="default"/>
                <w:spacing w:val="-86"/>
                <w:sz w:val="18"/>
                <w:szCs w:val="18"/>
              </w:rPr>
              <w:t> </w:t>
            </w:r>
            <w:r>
              <w:rPr>
                <w:rFonts w:ascii="黑体" w:hAnsi="黑体" w:cs="黑体" w:eastAsia="黑体" w:hint="default"/>
                <w:spacing w:val="-86"/>
                <w:sz w:val="18"/>
                <w:szCs w:val="18"/>
              </w:rPr>
            </w:r>
            <w:r>
              <w:rPr>
                <w:rFonts w:ascii="黑体" w:hAnsi="黑体" w:cs="黑体" w:eastAsia="黑体" w:hint="default"/>
                <w:spacing w:val="11"/>
                <w:sz w:val="18"/>
                <w:szCs w:val="18"/>
              </w:rPr>
              <w:t>公司</w:t>
            </w:r>
            <w:r>
              <w:rPr>
                <w:rFonts w:ascii="黑体" w:hAnsi="黑体" w:cs="黑体" w:eastAsia="黑体" w:hint="default"/>
                <w:spacing w:val="-66"/>
                <w:sz w:val="18"/>
                <w:szCs w:val="18"/>
              </w:rPr>
              <w:t> </w:t>
            </w:r>
            <w:r>
              <w:rPr>
                <w:rFonts w:ascii="Arial" w:hAnsi="Arial" w:cs="Arial" w:eastAsia="Arial" w:hint="default"/>
                <w:sz w:val="18"/>
                <w:szCs w:val="18"/>
              </w:rPr>
              <w:t>(</w:t>
            </w:r>
            <w:r>
              <w:rPr>
                <w:rFonts w:ascii="Arial" w:hAnsi="Arial" w:cs="Arial" w:eastAsia="Arial" w:hint="default"/>
                <w:spacing w:val="-25"/>
                <w:sz w:val="18"/>
                <w:szCs w:val="18"/>
              </w:rPr>
              <w:t> </w:t>
            </w:r>
            <w:r>
              <w:rPr>
                <w:rFonts w:ascii="黑体" w:hAnsi="黑体" w:cs="黑体" w:eastAsia="黑体" w:hint="default"/>
                <w:spacing w:val="16"/>
                <w:sz w:val="18"/>
                <w:szCs w:val="18"/>
              </w:rPr>
              <w:t>以下简称</w:t>
            </w:r>
            <w:r>
              <w:rPr>
                <w:rFonts w:ascii="黑体" w:hAnsi="黑体" w:cs="黑体" w:eastAsia="黑体" w:hint="default"/>
                <w:spacing w:val="-67"/>
                <w:sz w:val="18"/>
                <w:szCs w:val="18"/>
              </w:rPr>
              <w:t> </w:t>
            </w:r>
            <w:r>
              <w:rPr>
                <w:rFonts w:ascii="Arial" w:hAnsi="Arial" w:cs="Arial" w:eastAsia="Arial" w:hint="default"/>
                <w:sz w:val="18"/>
                <w:szCs w:val="18"/>
              </w:rPr>
              <w:t>“</w:t>
            </w:r>
            <w:r>
              <w:rPr>
                <w:rFonts w:ascii="黑体" w:hAnsi="黑体" w:cs="黑体" w:eastAsia="黑体" w:hint="default"/>
                <w:sz w:val="18"/>
                <w:szCs w:val="18"/>
              </w:rPr>
              <w:t>大连用友</w:t>
            </w:r>
            <w:r>
              <w:rPr>
                <w:rFonts w:ascii="Arial" w:hAnsi="Arial" w:cs="Arial" w:eastAsia="Arial" w:hint="default"/>
                <w:sz w:val="18"/>
                <w:szCs w:val="18"/>
              </w:rPr>
              <w:t>”)</w:t>
            </w:r>
          </w:p>
        </w:tc>
        <w:tc>
          <w:tcPr>
            <w:tcW w:w="879" w:type="dxa"/>
            <w:tcBorders>
              <w:top w:val="nil" w:sz="6" w:space="0" w:color="auto"/>
              <w:left w:val="nil" w:sz="6" w:space="0" w:color="auto"/>
              <w:bottom w:val="nil" w:sz="6" w:space="0" w:color="auto"/>
              <w:right w:val="nil" w:sz="6" w:space="0" w:color="auto"/>
            </w:tcBorders>
          </w:tcPr>
          <w:p>
            <w:pPr>
              <w:pStyle w:val="TableParagraph"/>
              <w:spacing w:line="232" w:lineRule="exact" w:before="95"/>
              <w:ind w:left="250" w:right="85" w:hanging="180"/>
              <w:jc w:val="left"/>
              <w:rPr>
                <w:rFonts w:ascii="黑体" w:hAnsi="黑体" w:cs="黑体" w:eastAsia="黑体" w:hint="default"/>
                <w:sz w:val="18"/>
                <w:szCs w:val="18"/>
              </w:rPr>
            </w:pPr>
            <w:r>
              <w:rPr>
                <w:rFonts w:ascii="黑体" w:hAnsi="黑体" w:cs="黑体" w:eastAsia="黑体" w:hint="default"/>
                <w:sz w:val="18"/>
                <w:szCs w:val="18"/>
              </w:rPr>
              <w:t>有限责任 公司</w:t>
            </w:r>
          </w:p>
        </w:tc>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 w:right="0"/>
              <w:jc w:val="center"/>
              <w:rPr>
                <w:rFonts w:ascii="黑体" w:hAnsi="黑体" w:cs="黑体" w:eastAsia="黑体" w:hint="default"/>
                <w:sz w:val="18"/>
                <w:szCs w:val="18"/>
              </w:rPr>
            </w:pPr>
            <w:r>
              <w:rPr>
                <w:rFonts w:ascii="黑体" w:hAnsi="黑体" w:cs="黑体" w:eastAsia="黑体" w:hint="default"/>
                <w:sz w:val="18"/>
                <w:szCs w:val="18"/>
              </w:rPr>
              <w:t>大连市</w:t>
            </w:r>
          </w:p>
        </w:tc>
        <w:tc>
          <w:tcPr>
            <w:tcW w:w="65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5"/>
              <w:jc w:val="right"/>
              <w:rPr>
                <w:rFonts w:ascii="黑体" w:hAnsi="黑体" w:cs="黑体" w:eastAsia="黑体" w:hint="default"/>
                <w:sz w:val="18"/>
                <w:szCs w:val="18"/>
              </w:rPr>
            </w:pPr>
            <w:r>
              <w:rPr>
                <w:rFonts w:ascii="黑体" w:hAnsi="黑体" w:cs="黑体" w:eastAsia="黑体" w:hint="default"/>
                <w:sz w:val="18"/>
                <w:szCs w:val="18"/>
              </w:rPr>
              <w:t>李友</w:t>
            </w:r>
          </w:p>
        </w:tc>
        <w:tc>
          <w:tcPr>
            <w:tcW w:w="1032" w:type="dxa"/>
            <w:tcBorders>
              <w:top w:val="nil" w:sz="6" w:space="0" w:color="auto"/>
              <w:left w:val="nil" w:sz="6" w:space="0" w:color="auto"/>
              <w:bottom w:val="nil" w:sz="6" w:space="0" w:color="auto"/>
              <w:right w:val="nil" w:sz="6" w:space="0" w:color="auto"/>
            </w:tcBorders>
          </w:tcPr>
          <w:p>
            <w:pPr>
              <w:pStyle w:val="TableParagraph"/>
              <w:spacing w:line="230" w:lineRule="auto" w:before="86"/>
              <w:ind w:left="27" w:right="233"/>
              <w:jc w:val="both"/>
              <w:rPr>
                <w:rFonts w:ascii="黑体" w:hAnsi="黑体" w:cs="黑体" w:eastAsia="黑体" w:hint="default"/>
                <w:sz w:val="18"/>
                <w:szCs w:val="18"/>
              </w:rPr>
            </w:pPr>
            <w:r>
              <w:rPr>
                <w:rFonts w:ascii="黑体" w:hAnsi="黑体" w:cs="黑体" w:eastAsia="黑体" w:hint="default"/>
                <w:sz w:val="18"/>
                <w:szCs w:val="18"/>
              </w:rPr>
              <w:t>计算机软</w:t>
            </w:r>
            <w:r>
              <w:rPr>
                <w:rFonts w:ascii="Arial" w:hAnsi="Arial" w:cs="Arial" w:eastAsia="Arial" w:hint="default"/>
                <w:sz w:val="18"/>
                <w:szCs w:val="18"/>
              </w:rPr>
              <w:t>/</w:t>
            </w:r>
            <w:r>
              <w:rPr>
                <w:rFonts w:ascii="Arial" w:hAnsi="Arial" w:cs="Arial" w:eastAsia="Arial" w:hint="default"/>
                <w:w w:val="100"/>
                <w:sz w:val="18"/>
                <w:szCs w:val="18"/>
              </w:rPr>
              <w:t> </w:t>
            </w:r>
            <w:r>
              <w:rPr>
                <w:rFonts w:ascii="黑体" w:hAnsi="黑体" w:cs="黑体" w:eastAsia="黑体" w:hint="default"/>
                <w:sz w:val="18"/>
                <w:szCs w:val="18"/>
              </w:rPr>
              <w:t>硬件</w:t>
            </w:r>
            <w:r>
              <w:rPr>
                <w:rFonts w:ascii="Arial" w:hAnsi="Arial" w:cs="Arial" w:eastAsia="Arial" w:hint="default"/>
                <w:sz w:val="18"/>
                <w:szCs w:val="18"/>
              </w:rPr>
              <w:t>/</w:t>
            </w:r>
            <w:r>
              <w:rPr>
                <w:rFonts w:ascii="黑体" w:hAnsi="黑体" w:cs="黑体" w:eastAsia="黑体" w:hint="default"/>
                <w:sz w:val="18"/>
                <w:szCs w:val="18"/>
              </w:rPr>
              <w:t>技术 咨询及电 子行业</w:t>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4"/>
              <w:jc w:val="right"/>
              <w:rPr>
                <w:rFonts w:ascii="Arial" w:hAnsi="Arial" w:cs="Arial" w:eastAsia="Arial" w:hint="default"/>
                <w:sz w:val="18"/>
                <w:szCs w:val="18"/>
              </w:rPr>
            </w:pPr>
            <w:r>
              <w:rPr>
                <w:rFonts w:ascii="Arial"/>
                <w:spacing w:val="-1"/>
                <w:sz w:val="18"/>
              </w:rPr>
              <w:t>3,000,000</w:t>
            </w:r>
          </w:p>
        </w:tc>
        <w:tc>
          <w:tcPr>
            <w:tcW w:w="2957" w:type="dxa"/>
            <w:tcBorders>
              <w:top w:val="nil" w:sz="6" w:space="0" w:color="auto"/>
              <w:left w:val="nil" w:sz="6" w:space="0" w:color="auto"/>
              <w:bottom w:val="nil" w:sz="6" w:space="0" w:color="auto"/>
              <w:right w:val="nil" w:sz="6" w:space="0" w:color="auto"/>
            </w:tcBorders>
          </w:tcPr>
          <w:p>
            <w:pPr>
              <w:pStyle w:val="TableParagraph"/>
              <w:spacing w:line="237" w:lineRule="auto" w:before="79"/>
              <w:ind w:left="26" w:right="228"/>
              <w:jc w:val="left"/>
              <w:rPr>
                <w:rFonts w:ascii="黑体" w:hAnsi="黑体" w:cs="黑体" w:eastAsia="黑体" w:hint="default"/>
                <w:sz w:val="18"/>
                <w:szCs w:val="18"/>
              </w:rPr>
            </w:pPr>
            <w:r>
              <w:rPr>
                <w:rFonts w:ascii="黑体" w:hAnsi="黑体" w:cs="黑体" w:eastAsia="黑体" w:hint="default"/>
                <w:sz w:val="18"/>
                <w:szCs w:val="18"/>
              </w:rPr>
              <w:t>电子计算机软件、硬件的技术开 </w:t>
            </w:r>
            <w:r>
              <w:rPr>
                <w:rFonts w:ascii="黑体" w:hAnsi="黑体" w:cs="黑体" w:eastAsia="黑体" w:hint="default"/>
                <w:spacing w:val="-2"/>
                <w:sz w:val="18"/>
                <w:szCs w:val="18"/>
              </w:rPr>
              <w:t>发、技术咨询、技术转让、技术服</w:t>
            </w:r>
            <w:r>
              <w:rPr>
                <w:rFonts w:ascii="黑体" w:hAnsi="黑体" w:cs="黑体" w:eastAsia="黑体" w:hint="default"/>
                <w:sz w:val="18"/>
                <w:szCs w:val="18"/>
              </w:rPr>
              <w:t> </w:t>
            </w:r>
            <w:r>
              <w:rPr>
                <w:rFonts w:ascii="黑体" w:hAnsi="黑体" w:cs="黑体" w:eastAsia="黑体" w:hint="default"/>
                <w:spacing w:val="-2"/>
                <w:sz w:val="18"/>
                <w:szCs w:val="18"/>
              </w:rPr>
              <w:t>务；企业管理咨询；电子计算机软</w:t>
            </w:r>
            <w:r>
              <w:rPr>
                <w:rFonts w:ascii="黑体" w:hAnsi="黑体" w:cs="黑体" w:eastAsia="黑体" w:hint="default"/>
                <w:sz w:val="18"/>
                <w:szCs w:val="18"/>
              </w:rPr>
              <w:t> 硬件及外围设备、打印纸的销售。</w:t>
            </w: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68"/>
              <w:jc w:val="right"/>
              <w:rPr>
                <w:rFonts w:ascii="Arial" w:hAnsi="Arial" w:cs="Arial" w:eastAsia="Arial" w:hint="default"/>
                <w:sz w:val="18"/>
                <w:szCs w:val="18"/>
              </w:rPr>
            </w:pPr>
            <w:r>
              <w:rPr>
                <w:rFonts w:ascii="Arial"/>
                <w:spacing w:val="-1"/>
                <w:sz w:val="18"/>
              </w:rPr>
              <w:t>77728787-2</w:t>
            </w:r>
          </w:p>
        </w:tc>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06"/>
              <w:jc w:val="right"/>
              <w:rPr>
                <w:rFonts w:ascii="Arial" w:hAnsi="Arial" w:cs="Arial" w:eastAsia="Arial" w:hint="default"/>
                <w:sz w:val="18"/>
                <w:szCs w:val="18"/>
              </w:rPr>
            </w:pPr>
            <w:r>
              <w:rPr>
                <w:rFonts w:ascii="Arial"/>
                <w:spacing w:val="-1"/>
                <w:sz w:val="18"/>
              </w:rPr>
              <w:t>3,000,000</w:t>
            </w:r>
          </w:p>
        </w:tc>
        <w:tc>
          <w:tcPr>
            <w:tcW w:w="889"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16"/>
              <w:jc w:val="right"/>
              <w:rPr>
                <w:rFonts w:ascii="Arial" w:hAnsi="Arial" w:cs="Arial" w:eastAsia="Arial" w:hint="default"/>
                <w:sz w:val="18"/>
                <w:szCs w:val="18"/>
              </w:rPr>
            </w:pPr>
            <w:r>
              <w:rPr>
                <w:rFonts w:ascii="Arial"/>
                <w:w w:val="95"/>
                <w:sz w:val="18"/>
              </w:rPr>
              <w:t>100</w:t>
            </w:r>
            <w:r>
              <w:rPr>
                <w:rFonts w:ascii="Arial"/>
                <w:sz w:val="18"/>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33"/>
              <w:jc w:val="right"/>
              <w:rPr>
                <w:rFonts w:ascii="Arial" w:hAnsi="Arial" w:cs="Arial" w:eastAsia="Arial" w:hint="default"/>
                <w:sz w:val="18"/>
                <w:szCs w:val="18"/>
              </w:rPr>
            </w:pPr>
            <w:r>
              <w:rPr>
                <w:rFonts w:ascii="Arial"/>
                <w:w w:val="95"/>
                <w:sz w:val="18"/>
              </w:rPr>
              <w:t>100</w:t>
            </w:r>
            <w:r>
              <w:rPr>
                <w:rFonts w:ascii="Arial"/>
                <w:sz w:val="18"/>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39"/>
              <w:jc w:val="right"/>
              <w:rPr>
                <w:rFonts w:ascii="黑体" w:hAnsi="黑体" w:cs="黑体" w:eastAsia="黑体" w:hint="default"/>
                <w:sz w:val="18"/>
                <w:szCs w:val="18"/>
              </w:rPr>
            </w:pPr>
            <w:r>
              <w:rPr>
                <w:rFonts w:ascii="黑体" w:hAnsi="黑体" w:cs="黑体" w:eastAsia="黑体" w:hint="default"/>
                <w:sz w:val="18"/>
                <w:szCs w:val="18"/>
              </w:rPr>
              <w:t>是</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98"/>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pgSz w:w="16850" w:h="11910" w:orient="landscape"/>
          <w:pgMar w:header="957" w:footer="857" w:top="2620" w:bottom="1040" w:left="420" w:right="320"/>
        </w:sectPr>
      </w:pPr>
    </w:p>
    <w:p>
      <w:pPr>
        <w:spacing w:line="240" w:lineRule="auto" w:before="7"/>
        <w:rPr>
          <w:rFonts w:ascii="黑体" w:hAnsi="黑体" w:cs="黑体" w:eastAsia="黑体" w:hint="default"/>
          <w:sz w:val="17"/>
          <w:szCs w:val="17"/>
        </w:rPr>
      </w:pPr>
    </w:p>
    <w:p>
      <w:pPr>
        <w:pStyle w:val="Heading6"/>
        <w:spacing w:line="240" w:lineRule="auto"/>
        <w:ind w:left="287" w:right="12034"/>
        <w:jc w:val="left"/>
        <w:rPr>
          <w:b w:val="0"/>
          <w:bCs w:val="0"/>
        </w:rPr>
      </w:pPr>
      <w:r>
        <w:rPr/>
        <w:t>四、合并财务报表的合并范围（续）</w:t>
      </w:r>
      <w:r>
        <w:rPr>
          <w:b w:val="0"/>
          <w:bCs w:val="0"/>
        </w:rPr>
      </w:r>
    </w:p>
    <w:p>
      <w:pPr>
        <w:tabs>
          <w:tab w:pos="715" w:val="left" w:leader="none"/>
        </w:tabs>
        <w:spacing w:line="357" w:lineRule="auto" w:before="151"/>
        <w:ind w:left="285" w:right="12034" w:firstLine="62"/>
        <w:jc w:val="left"/>
        <w:rPr>
          <w:rFonts w:ascii="黑体" w:hAnsi="黑体" w:cs="黑体" w:eastAsia="黑体" w:hint="default"/>
          <w:sz w:val="20"/>
          <w:szCs w:val="20"/>
        </w:rPr>
      </w:pPr>
      <w:r>
        <w:rPr>
          <w:rFonts w:ascii="Arial" w:hAnsi="Arial" w:cs="Arial" w:eastAsia="Arial" w:hint="default"/>
          <w:b/>
          <w:bCs/>
          <w:spacing w:val="-1"/>
          <w:sz w:val="20"/>
          <w:szCs w:val="20"/>
        </w:rPr>
        <w:t>1.</w:t>
        <w:tab/>
      </w:r>
      <w:r>
        <w:rPr>
          <w:rFonts w:ascii="黑体" w:hAnsi="黑体" w:cs="黑体" w:eastAsia="黑体" w:hint="default"/>
          <w:b/>
          <w:bCs/>
          <w:spacing w:val="1"/>
          <w:sz w:val="20"/>
          <w:szCs w:val="20"/>
        </w:rPr>
        <w:t>子公司情况（续）</w:t>
      </w:r>
      <w:r>
        <w:rPr>
          <w:rFonts w:ascii="黑体" w:hAnsi="黑体" w:cs="黑体" w:eastAsia="黑体" w:hint="default"/>
          <w:b/>
          <w:bCs/>
          <w:w w:val="99"/>
          <w:sz w:val="20"/>
          <w:szCs w:val="20"/>
        </w:rPr>
        <w:t> </w:t>
      </w:r>
      <w:r>
        <w:rPr>
          <w:rFonts w:ascii="黑体" w:hAnsi="黑体" w:cs="黑体" w:eastAsia="黑体" w:hint="default"/>
          <w:sz w:val="20"/>
          <w:szCs w:val="20"/>
        </w:rPr>
        <w:t>本集团重要子公司的情况如下（续）：</w:t>
      </w:r>
      <w:r>
        <w:rPr>
          <w:rFonts w:ascii="黑体" w:hAnsi="黑体" w:cs="黑体" w:eastAsia="黑体" w:hint="default"/>
          <w:w w:val="99"/>
          <w:sz w:val="20"/>
          <w:szCs w:val="20"/>
        </w:rPr>
        <w:t> </w:t>
      </w:r>
      <w:r>
        <w:rPr>
          <w:rFonts w:ascii="黑体" w:hAnsi="黑体" w:cs="黑体" w:eastAsia="黑体" w:hint="default"/>
          <w:sz w:val="20"/>
          <w:szCs w:val="20"/>
        </w:rPr>
        <w:t>通过设立或投资等方式取得的子公司（续）</w:t>
      </w: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17"/>
          <w:szCs w:val="17"/>
        </w:rPr>
      </w:pPr>
    </w:p>
    <w:tbl>
      <w:tblPr>
        <w:tblW w:w="0" w:type="auto"/>
        <w:jc w:val="left"/>
        <w:tblInd w:w="119" w:type="dxa"/>
        <w:tblLayout w:type="fixed"/>
        <w:tblCellMar>
          <w:top w:w="0" w:type="dxa"/>
          <w:left w:w="0" w:type="dxa"/>
          <w:bottom w:w="0" w:type="dxa"/>
          <w:right w:w="0" w:type="dxa"/>
        </w:tblCellMar>
        <w:tblLook w:val="01E0"/>
      </w:tblPr>
      <w:tblGrid>
        <w:gridCol w:w="1806"/>
        <w:gridCol w:w="929"/>
        <w:gridCol w:w="679"/>
        <w:gridCol w:w="605"/>
        <w:gridCol w:w="984"/>
        <w:gridCol w:w="934"/>
        <w:gridCol w:w="2684"/>
        <w:gridCol w:w="1363"/>
        <w:gridCol w:w="1460"/>
        <w:gridCol w:w="932"/>
        <w:gridCol w:w="1066"/>
        <w:gridCol w:w="1153"/>
        <w:gridCol w:w="1288"/>
      </w:tblGrid>
      <w:tr>
        <w:trPr>
          <w:trHeight w:val="228" w:hRule="exact"/>
        </w:trPr>
        <w:tc>
          <w:tcPr>
            <w:tcW w:w="1806" w:type="dxa"/>
            <w:tcBorders>
              <w:top w:val="nil" w:sz="6" w:space="0" w:color="auto"/>
              <w:left w:val="nil" w:sz="6" w:space="0" w:color="auto"/>
              <w:bottom w:val="nil" w:sz="6" w:space="0" w:color="auto"/>
              <w:right w:val="nil" w:sz="6" w:space="0" w:color="auto"/>
            </w:tcBorders>
          </w:tcPr>
          <w:p>
            <w:pPr/>
          </w:p>
        </w:tc>
        <w:tc>
          <w:tcPr>
            <w:tcW w:w="929" w:type="dxa"/>
            <w:tcBorders>
              <w:top w:val="nil" w:sz="6" w:space="0" w:color="auto"/>
              <w:left w:val="nil" w:sz="6" w:space="0" w:color="auto"/>
              <w:bottom w:val="nil" w:sz="6" w:space="0" w:color="auto"/>
              <w:right w:val="nil" w:sz="6" w:space="0" w:color="auto"/>
            </w:tcBorders>
          </w:tcPr>
          <w:p>
            <w:pPr>
              <w:pStyle w:val="TableParagraph"/>
              <w:spacing w:line="180" w:lineRule="exact"/>
              <w:ind w:right="249"/>
              <w:jc w:val="right"/>
              <w:rPr>
                <w:rFonts w:ascii="黑体" w:hAnsi="黑体" w:cs="黑体" w:eastAsia="黑体" w:hint="default"/>
                <w:sz w:val="18"/>
                <w:szCs w:val="18"/>
              </w:rPr>
            </w:pPr>
            <w:r>
              <w:rPr>
                <w:rFonts w:ascii="黑体" w:hAnsi="黑体" w:cs="黑体" w:eastAsia="黑体" w:hint="default"/>
                <w:sz w:val="18"/>
                <w:szCs w:val="18"/>
              </w:rPr>
              <w:t>子公司</w:t>
            </w:r>
          </w:p>
        </w:tc>
        <w:tc>
          <w:tcPr>
            <w:tcW w:w="679"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Style w:val="TableParagraph"/>
              <w:spacing w:line="180" w:lineRule="exact"/>
              <w:ind w:right="26"/>
              <w:jc w:val="right"/>
              <w:rPr>
                <w:rFonts w:ascii="黑体" w:hAnsi="黑体" w:cs="黑体" w:eastAsia="黑体" w:hint="default"/>
                <w:sz w:val="18"/>
                <w:szCs w:val="18"/>
              </w:rPr>
            </w:pPr>
            <w:r>
              <w:rPr>
                <w:rFonts w:ascii="黑体" w:hAnsi="黑体" w:cs="黑体" w:eastAsia="黑体" w:hint="default"/>
                <w:sz w:val="18"/>
                <w:szCs w:val="18"/>
              </w:rPr>
              <w:t>法定</w:t>
            </w:r>
          </w:p>
        </w:tc>
        <w:tc>
          <w:tcPr>
            <w:tcW w:w="984" w:type="dxa"/>
            <w:tcBorders>
              <w:top w:val="nil" w:sz="6" w:space="0" w:color="auto"/>
              <w:left w:val="nil" w:sz="6" w:space="0" w:color="auto"/>
              <w:bottom w:val="nil" w:sz="6" w:space="0" w:color="auto"/>
              <w:right w:val="nil" w:sz="6" w:space="0" w:color="auto"/>
            </w:tcBorders>
          </w:tcPr>
          <w:p>
            <w:pPr/>
          </w:p>
        </w:tc>
        <w:tc>
          <w:tcPr>
            <w:tcW w:w="934" w:type="dxa"/>
            <w:tcBorders>
              <w:top w:val="nil" w:sz="6" w:space="0" w:color="auto"/>
              <w:left w:val="nil" w:sz="6" w:space="0" w:color="auto"/>
              <w:bottom w:val="nil" w:sz="6" w:space="0" w:color="auto"/>
              <w:right w:val="nil" w:sz="6" w:space="0" w:color="auto"/>
            </w:tcBorders>
          </w:tcPr>
          <w:p>
            <w:pPr/>
          </w:p>
        </w:tc>
        <w:tc>
          <w:tcPr>
            <w:tcW w:w="2684"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Style w:val="TableParagraph"/>
              <w:spacing w:line="180" w:lineRule="exact"/>
              <w:ind w:right="262"/>
              <w:jc w:val="right"/>
              <w:rPr>
                <w:rFonts w:ascii="黑体" w:hAnsi="黑体" w:cs="黑体" w:eastAsia="黑体" w:hint="default"/>
                <w:sz w:val="18"/>
                <w:szCs w:val="18"/>
              </w:rPr>
            </w:pPr>
            <w:r>
              <w:rPr>
                <w:rFonts w:ascii="黑体" w:hAnsi="黑体" w:cs="黑体" w:eastAsia="黑体" w:hint="default"/>
                <w:sz w:val="18"/>
                <w:szCs w:val="18"/>
              </w:rPr>
              <w:t>组织机构</w:t>
            </w:r>
          </w:p>
        </w:tc>
        <w:tc>
          <w:tcPr>
            <w:tcW w:w="1460" w:type="dxa"/>
            <w:tcBorders>
              <w:top w:val="nil" w:sz="6" w:space="0" w:color="auto"/>
              <w:left w:val="nil" w:sz="6" w:space="0" w:color="auto"/>
              <w:bottom w:val="nil" w:sz="6" w:space="0" w:color="auto"/>
              <w:right w:val="nil" w:sz="6" w:space="0" w:color="auto"/>
            </w:tcBorders>
          </w:tcPr>
          <w:p>
            <w:pPr>
              <w:pStyle w:val="TableParagraph"/>
              <w:spacing w:line="180" w:lineRule="exact"/>
              <w:ind w:right="337"/>
              <w:jc w:val="right"/>
              <w:rPr>
                <w:rFonts w:ascii="黑体" w:hAnsi="黑体" w:cs="黑体" w:eastAsia="黑体" w:hint="default"/>
                <w:sz w:val="18"/>
                <w:szCs w:val="18"/>
              </w:rPr>
            </w:pPr>
            <w:r>
              <w:rPr>
                <w:rFonts w:ascii="黑体" w:hAnsi="黑体" w:cs="黑体" w:eastAsia="黑体" w:hint="default"/>
                <w:sz w:val="18"/>
                <w:szCs w:val="18"/>
              </w:rPr>
              <w:t>年末实际</w:t>
            </w:r>
          </w:p>
        </w:tc>
        <w:tc>
          <w:tcPr>
            <w:tcW w:w="932" w:type="dxa"/>
            <w:tcBorders>
              <w:top w:val="nil" w:sz="6" w:space="0" w:color="auto"/>
              <w:left w:val="nil" w:sz="6" w:space="0" w:color="auto"/>
              <w:bottom w:val="nil" w:sz="6" w:space="0" w:color="auto"/>
              <w:right w:val="nil" w:sz="6" w:space="0" w:color="auto"/>
            </w:tcBorders>
          </w:tcPr>
          <w:p>
            <w:pPr>
              <w:pStyle w:val="TableParagraph"/>
              <w:spacing w:line="180" w:lineRule="exact"/>
              <w:ind w:left="15" w:right="0"/>
              <w:jc w:val="center"/>
              <w:rPr>
                <w:rFonts w:ascii="黑体" w:hAnsi="黑体" w:cs="黑体" w:eastAsia="黑体" w:hint="default"/>
                <w:sz w:val="18"/>
                <w:szCs w:val="18"/>
              </w:rPr>
            </w:pPr>
            <w:r>
              <w:rPr>
                <w:rFonts w:ascii="黑体" w:hAnsi="黑体" w:cs="黑体" w:eastAsia="黑体" w:hint="default"/>
                <w:sz w:val="18"/>
                <w:szCs w:val="18"/>
              </w:rPr>
              <w:t>持股</w:t>
            </w:r>
          </w:p>
        </w:tc>
        <w:tc>
          <w:tcPr>
            <w:tcW w:w="1066" w:type="dxa"/>
            <w:tcBorders>
              <w:top w:val="nil" w:sz="6" w:space="0" w:color="auto"/>
              <w:left w:val="nil" w:sz="6" w:space="0" w:color="auto"/>
              <w:bottom w:val="nil" w:sz="6" w:space="0" w:color="auto"/>
              <w:right w:val="nil" w:sz="6" w:space="0" w:color="auto"/>
            </w:tcBorders>
          </w:tcPr>
          <w:p>
            <w:pPr>
              <w:pStyle w:val="TableParagraph"/>
              <w:spacing w:line="180" w:lineRule="exact"/>
              <w:ind w:right="247"/>
              <w:jc w:val="right"/>
              <w:rPr>
                <w:rFonts w:ascii="黑体" w:hAnsi="黑体" w:cs="黑体" w:eastAsia="黑体" w:hint="default"/>
                <w:sz w:val="18"/>
                <w:szCs w:val="18"/>
              </w:rPr>
            </w:pPr>
            <w:r>
              <w:rPr>
                <w:rFonts w:ascii="黑体" w:hAnsi="黑体" w:cs="黑体" w:eastAsia="黑体" w:hint="default"/>
                <w:sz w:val="18"/>
                <w:szCs w:val="18"/>
              </w:rPr>
              <w:t>表决权</w:t>
            </w:r>
          </w:p>
        </w:tc>
        <w:tc>
          <w:tcPr>
            <w:tcW w:w="1153" w:type="dxa"/>
            <w:tcBorders>
              <w:top w:val="nil" w:sz="6" w:space="0" w:color="auto"/>
              <w:left w:val="nil" w:sz="6" w:space="0" w:color="auto"/>
              <w:bottom w:val="nil" w:sz="6" w:space="0" w:color="auto"/>
              <w:right w:val="nil" w:sz="6" w:space="0" w:color="auto"/>
            </w:tcBorders>
          </w:tcPr>
          <w:p>
            <w:pPr>
              <w:pStyle w:val="TableParagraph"/>
              <w:spacing w:line="180" w:lineRule="exact"/>
              <w:ind w:right="184"/>
              <w:jc w:val="right"/>
              <w:rPr>
                <w:rFonts w:ascii="黑体" w:hAnsi="黑体" w:cs="黑体" w:eastAsia="黑体" w:hint="default"/>
                <w:sz w:val="18"/>
                <w:szCs w:val="18"/>
              </w:rPr>
            </w:pPr>
            <w:r>
              <w:rPr>
                <w:rFonts w:ascii="黑体" w:hAnsi="黑体" w:cs="黑体" w:eastAsia="黑体" w:hint="default"/>
                <w:sz w:val="18"/>
                <w:szCs w:val="18"/>
              </w:rPr>
              <w:t>是否</w:t>
            </w:r>
          </w:p>
        </w:tc>
        <w:tc>
          <w:tcPr>
            <w:tcW w:w="1288" w:type="dxa"/>
            <w:tcBorders>
              <w:top w:val="nil" w:sz="6" w:space="0" w:color="auto"/>
              <w:left w:val="nil" w:sz="6" w:space="0" w:color="auto"/>
              <w:bottom w:val="nil" w:sz="6" w:space="0" w:color="auto"/>
              <w:right w:val="nil" w:sz="6" w:space="0" w:color="auto"/>
            </w:tcBorders>
          </w:tcPr>
          <w:p>
            <w:pPr>
              <w:pStyle w:val="TableParagraph"/>
              <w:spacing w:line="180" w:lineRule="exact"/>
              <w:ind w:right="199"/>
              <w:jc w:val="right"/>
              <w:rPr>
                <w:rFonts w:ascii="黑体" w:hAnsi="黑体" w:cs="黑体" w:eastAsia="黑体" w:hint="default"/>
                <w:sz w:val="18"/>
                <w:szCs w:val="18"/>
              </w:rPr>
            </w:pPr>
            <w:r>
              <w:rPr>
                <w:rFonts w:ascii="黑体" w:hAnsi="黑体" w:cs="黑体" w:eastAsia="黑体" w:hint="default"/>
                <w:sz w:val="18"/>
                <w:szCs w:val="18"/>
              </w:rPr>
              <w:t>少数股东</w:t>
            </w:r>
          </w:p>
        </w:tc>
      </w:tr>
      <w:tr>
        <w:trPr>
          <w:trHeight w:val="283" w:hRule="exact"/>
        </w:trPr>
        <w:tc>
          <w:tcPr>
            <w:tcW w:w="1806" w:type="dxa"/>
            <w:tcBorders>
              <w:top w:val="nil" w:sz="6" w:space="0" w:color="auto"/>
              <w:left w:val="nil" w:sz="6" w:space="0" w:color="auto"/>
              <w:bottom w:val="nil" w:sz="6" w:space="0" w:color="auto"/>
              <w:right w:val="nil" w:sz="6" w:space="0" w:color="auto"/>
            </w:tcBorders>
          </w:tcPr>
          <w:p>
            <w:pPr>
              <w:pStyle w:val="TableParagraph"/>
              <w:spacing w:line="228" w:lineRule="exact"/>
              <w:ind w:left="425" w:right="0"/>
              <w:jc w:val="left"/>
              <w:rPr>
                <w:rFonts w:ascii="黑体" w:hAnsi="黑体" w:cs="黑体" w:eastAsia="黑体" w:hint="default"/>
                <w:sz w:val="18"/>
                <w:szCs w:val="18"/>
              </w:rPr>
            </w:pPr>
            <w:r>
              <w:rPr>
                <w:rFonts w:ascii="黑体" w:hAnsi="黑体" w:cs="黑体" w:eastAsia="黑体" w:hint="default"/>
                <w:sz w:val="18"/>
                <w:szCs w:val="18"/>
              </w:rPr>
              <w:t>被投资单位名称</w:t>
            </w:r>
          </w:p>
        </w:tc>
        <w:tc>
          <w:tcPr>
            <w:tcW w:w="929" w:type="dxa"/>
            <w:tcBorders>
              <w:top w:val="nil" w:sz="6" w:space="0" w:color="auto"/>
              <w:left w:val="nil" w:sz="6" w:space="0" w:color="auto"/>
              <w:bottom w:val="nil" w:sz="6" w:space="0" w:color="auto"/>
              <w:right w:val="nil" w:sz="6" w:space="0" w:color="auto"/>
            </w:tcBorders>
          </w:tcPr>
          <w:p>
            <w:pPr>
              <w:pStyle w:val="TableParagraph"/>
              <w:spacing w:line="228" w:lineRule="exact"/>
              <w:ind w:right="249"/>
              <w:jc w:val="right"/>
              <w:rPr>
                <w:rFonts w:ascii="黑体" w:hAnsi="黑体" w:cs="黑体" w:eastAsia="黑体" w:hint="default"/>
                <w:sz w:val="18"/>
                <w:szCs w:val="18"/>
              </w:rPr>
            </w:pPr>
            <w:r>
              <w:rPr>
                <w:rFonts w:ascii="黑体" w:hAnsi="黑体" w:cs="黑体" w:eastAsia="黑体" w:hint="default"/>
                <w:sz w:val="18"/>
                <w:szCs w:val="18"/>
              </w:rPr>
              <w:t>类型</w:t>
            </w:r>
          </w:p>
        </w:tc>
        <w:tc>
          <w:tcPr>
            <w:tcW w:w="679" w:type="dxa"/>
            <w:tcBorders>
              <w:top w:val="nil" w:sz="6" w:space="0" w:color="auto"/>
              <w:left w:val="nil" w:sz="6" w:space="0" w:color="auto"/>
              <w:bottom w:val="nil" w:sz="6" w:space="0" w:color="auto"/>
              <w:right w:val="nil" w:sz="6" w:space="0" w:color="auto"/>
            </w:tcBorders>
          </w:tcPr>
          <w:p>
            <w:pPr>
              <w:pStyle w:val="TableParagraph"/>
              <w:spacing w:line="228" w:lineRule="exact"/>
              <w:ind w:right="35"/>
              <w:jc w:val="right"/>
              <w:rPr>
                <w:rFonts w:ascii="黑体" w:hAnsi="黑体" w:cs="黑体" w:eastAsia="黑体" w:hint="default"/>
                <w:sz w:val="18"/>
                <w:szCs w:val="18"/>
              </w:rPr>
            </w:pPr>
            <w:r>
              <w:rPr>
                <w:rFonts w:ascii="黑体" w:hAnsi="黑体" w:cs="黑体" w:eastAsia="黑体" w:hint="default"/>
                <w:sz w:val="18"/>
                <w:szCs w:val="18"/>
              </w:rPr>
              <w:t>注册地</w:t>
            </w:r>
          </w:p>
        </w:tc>
        <w:tc>
          <w:tcPr>
            <w:tcW w:w="605" w:type="dxa"/>
            <w:tcBorders>
              <w:top w:val="nil" w:sz="6" w:space="0" w:color="auto"/>
              <w:left w:val="nil" w:sz="6" w:space="0" w:color="auto"/>
              <w:bottom w:val="nil" w:sz="6" w:space="0" w:color="auto"/>
              <w:right w:val="nil" w:sz="6" w:space="0" w:color="auto"/>
            </w:tcBorders>
          </w:tcPr>
          <w:p>
            <w:pPr>
              <w:pStyle w:val="TableParagraph"/>
              <w:spacing w:line="228" w:lineRule="exact"/>
              <w:ind w:right="26"/>
              <w:jc w:val="right"/>
              <w:rPr>
                <w:rFonts w:ascii="黑体" w:hAnsi="黑体" w:cs="黑体" w:eastAsia="黑体" w:hint="default"/>
                <w:sz w:val="18"/>
                <w:szCs w:val="18"/>
              </w:rPr>
            </w:pPr>
            <w:r>
              <w:rPr>
                <w:rFonts w:ascii="黑体" w:hAnsi="黑体" w:cs="黑体" w:eastAsia="黑体" w:hint="default"/>
                <w:sz w:val="18"/>
                <w:szCs w:val="18"/>
              </w:rPr>
              <w:t>代表人</w:t>
            </w:r>
          </w:p>
        </w:tc>
        <w:tc>
          <w:tcPr>
            <w:tcW w:w="984" w:type="dxa"/>
            <w:tcBorders>
              <w:top w:val="nil" w:sz="6" w:space="0" w:color="auto"/>
              <w:left w:val="nil" w:sz="6" w:space="0" w:color="auto"/>
              <w:bottom w:val="nil" w:sz="6" w:space="0" w:color="auto"/>
              <w:right w:val="nil" w:sz="6" w:space="0" w:color="auto"/>
            </w:tcBorders>
          </w:tcPr>
          <w:p>
            <w:pPr>
              <w:pStyle w:val="TableParagraph"/>
              <w:spacing w:line="228" w:lineRule="exact"/>
              <w:ind w:left="175" w:right="0"/>
              <w:jc w:val="left"/>
              <w:rPr>
                <w:rFonts w:ascii="黑体" w:hAnsi="黑体" w:cs="黑体" w:eastAsia="黑体" w:hint="default"/>
                <w:sz w:val="18"/>
                <w:szCs w:val="18"/>
              </w:rPr>
            </w:pPr>
            <w:r>
              <w:rPr>
                <w:rFonts w:ascii="黑体" w:hAnsi="黑体" w:cs="黑体" w:eastAsia="黑体" w:hint="default"/>
                <w:sz w:val="18"/>
                <w:szCs w:val="18"/>
              </w:rPr>
              <w:t>业务性质</w:t>
            </w:r>
          </w:p>
        </w:tc>
        <w:tc>
          <w:tcPr>
            <w:tcW w:w="934" w:type="dxa"/>
            <w:tcBorders>
              <w:top w:val="nil" w:sz="6" w:space="0" w:color="auto"/>
              <w:left w:val="nil" w:sz="6" w:space="0" w:color="auto"/>
              <w:bottom w:val="nil" w:sz="6" w:space="0" w:color="auto"/>
              <w:right w:val="nil" w:sz="6" w:space="0" w:color="auto"/>
            </w:tcBorders>
          </w:tcPr>
          <w:p>
            <w:pPr>
              <w:pStyle w:val="TableParagraph"/>
              <w:spacing w:line="228" w:lineRule="exact"/>
              <w:ind w:right="26"/>
              <w:jc w:val="right"/>
              <w:rPr>
                <w:rFonts w:ascii="黑体" w:hAnsi="黑体" w:cs="黑体" w:eastAsia="黑体" w:hint="default"/>
                <w:sz w:val="18"/>
                <w:szCs w:val="18"/>
              </w:rPr>
            </w:pPr>
            <w:r>
              <w:rPr>
                <w:rFonts w:ascii="黑体" w:hAnsi="黑体" w:cs="黑体" w:eastAsia="黑体" w:hint="default"/>
                <w:sz w:val="18"/>
                <w:szCs w:val="18"/>
              </w:rPr>
              <w:t>注册资本</w:t>
            </w:r>
          </w:p>
        </w:tc>
        <w:tc>
          <w:tcPr>
            <w:tcW w:w="2684" w:type="dxa"/>
            <w:tcBorders>
              <w:top w:val="nil" w:sz="6" w:space="0" w:color="auto"/>
              <w:left w:val="nil" w:sz="6" w:space="0" w:color="auto"/>
              <w:bottom w:val="nil" w:sz="6" w:space="0" w:color="auto"/>
              <w:right w:val="nil" w:sz="6" w:space="0" w:color="auto"/>
            </w:tcBorders>
          </w:tcPr>
          <w:p>
            <w:pPr>
              <w:pStyle w:val="TableParagraph"/>
              <w:spacing w:line="228" w:lineRule="exact"/>
              <w:ind w:left="1766" w:right="0"/>
              <w:jc w:val="left"/>
              <w:rPr>
                <w:rFonts w:ascii="黑体" w:hAnsi="黑体" w:cs="黑体" w:eastAsia="黑体" w:hint="default"/>
                <w:sz w:val="18"/>
                <w:szCs w:val="18"/>
              </w:rPr>
            </w:pPr>
            <w:r>
              <w:rPr>
                <w:rFonts w:ascii="黑体" w:hAnsi="黑体" w:cs="黑体" w:eastAsia="黑体" w:hint="default"/>
                <w:sz w:val="18"/>
                <w:szCs w:val="18"/>
              </w:rPr>
              <w:t>经营范围</w:t>
            </w:r>
          </w:p>
        </w:tc>
        <w:tc>
          <w:tcPr>
            <w:tcW w:w="1363" w:type="dxa"/>
            <w:tcBorders>
              <w:top w:val="nil" w:sz="6" w:space="0" w:color="auto"/>
              <w:left w:val="nil" w:sz="6" w:space="0" w:color="auto"/>
              <w:bottom w:val="nil" w:sz="6" w:space="0" w:color="auto"/>
              <w:right w:val="nil" w:sz="6" w:space="0" w:color="auto"/>
            </w:tcBorders>
          </w:tcPr>
          <w:p>
            <w:pPr>
              <w:pStyle w:val="TableParagraph"/>
              <w:spacing w:line="228" w:lineRule="exact"/>
              <w:ind w:right="262"/>
              <w:jc w:val="right"/>
              <w:rPr>
                <w:rFonts w:ascii="黑体" w:hAnsi="黑体" w:cs="黑体" w:eastAsia="黑体" w:hint="default"/>
                <w:sz w:val="18"/>
                <w:szCs w:val="18"/>
              </w:rPr>
            </w:pPr>
            <w:r>
              <w:rPr>
                <w:rFonts w:ascii="黑体" w:hAnsi="黑体" w:cs="黑体" w:eastAsia="黑体" w:hint="default"/>
                <w:sz w:val="18"/>
                <w:szCs w:val="18"/>
              </w:rPr>
              <w:t>代码</w:t>
            </w:r>
          </w:p>
        </w:tc>
        <w:tc>
          <w:tcPr>
            <w:tcW w:w="1460" w:type="dxa"/>
            <w:tcBorders>
              <w:top w:val="nil" w:sz="6" w:space="0" w:color="auto"/>
              <w:left w:val="nil" w:sz="6" w:space="0" w:color="auto"/>
              <w:bottom w:val="nil" w:sz="6" w:space="0" w:color="auto"/>
              <w:right w:val="nil" w:sz="6" w:space="0" w:color="auto"/>
            </w:tcBorders>
          </w:tcPr>
          <w:p>
            <w:pPr>
              <w:pStyle w:val="TableParagraph"/>
              <w:spacing w:line="228" w:lineRule="exact"/>
              <w:ind w:right="337"/>
              <w:jc w:val="right"/>
              <w:rPr>
                <w:rFonts w:ascii="黑体" w:hAnsi="黑体" w:cs="黑体" w:eastAsia="黑体" w:hint="default"/>
                <w:sz w:val="18"/>
                <w:szCs w:val="18"/>
              </w:rPr>
            </w:pPr>
            <w:r>
              <w:rPr>
                <w:rFonts w:ascii="黑体" w:hAnsi="黑体" w:cs="黑体" w:eastAsia="黑体" w:hint="default"/>
                <w:sz w:val="18"/>
                <w:szCs w:val="18"/>
              </w:rPr>
              <w:t>出资额</w:t>
            </w:r>
          </w:p>
        </w:tc>
        <w:tc>
          <w:tcPr>
            <w:tcW w:w="932" w:type="dxa"/>
            <w:tcBorders>
              <w:top w:val="nil" w:sz="6" w:space="0" w:color="auto"/>
              <w:left w:val="nil" w:sz="6" w:space="0" w:color="auto"/>
              <w:bottom w:val="nil" w:sz="6" w:space="0" w:color="auto"/>
              <w:right w:val="nil" w:sz="6" w:space="0" w:color="auto"/>
            </w:tcBorders>
          </w:tcPr>
          <w:p>
            <w:pPr>
              <w:pStyle w:val="TableParagraph"/>
              <w:spacing w:line="228" w:lineRule="exact"/>
              <w:ind w:left="15" w:right="0"/>
              <w:jc w:val="center"/>
              <w:rPr>
                <w:rFonts w:ascii="黑体" w:hAnsi="黑体" w:cs="黑体" w:eastAsia="黑体" w:hint="default"/>
                <w:sz w:val="18"/>
                <w:szCs w:val="18"/>
              </w:rPr>
            </w:pPr>
            <w:r>
              <w:rPr>
                <w:rFonts w:ascii="黑体" w:hAnsi="黑体" w:cs="黑体" w:eastAsia="黑体" w:hint="default"/>
                <w:sz w:val="18"/>
                <w:szCs w:val="18"/>
              </w:rPr>
              <w:t>比例</w:t>
            </w:r>
          </w:p>
        </w:tc>
        <w:tc>
          <w:tcPr>
            <w:tcW w:w="1066" w:type="dxa"/>
            <w:tcBorders>
              <w:top w:val="nil" w:sz="6" w:space="0" w:color="auto"/>
              <w:left w:val="nil" w:sz="6" w:space="0" w:color="auto"/>
              <w:bottom w:val="nil" w:sz="6" w:space="0" w:color="auto"/>
              <w:right w:val="nil" w:sz="6" w:space="0" w:color="auto"/>
            </w:tcBorders>
          </w:tcPr>
          <w:p>
            <w:pPr>
              <w:pStyle w:val="TableParagraph"/>
              <w:spacing w:line="228" w:lineRule="exact"/>
              <w:ind w:right="247"/>
              <w:jc w:val="right"/>
              <w:rPr>
                <w:rFonts w:ascii="黑体" w:hAnsi="黑体" w:cs="黑体" w:eastAsia="黑体" w:hint="default"/>
                <w:sz w:val="18"/>
                <w:szCs w:val="18"/>
              </w:rPr>
            </w:pPr>
            <w:r>
              <w:rPr>
                <w:rFonts w:ascii="黑体" w:hAnsi="黑体" w:cs="黑体" w:eastAsia="黑体" w:hint="default"/>
                <w:sz w:val="18"/>
                <w:szCs w:val="18"/>
              </w:rPr>
              <w:t>比例</w:t>
            </w:r>
          </w:p>
        </w:tc>
        <w:tc>
          <w:tcPr>
            <w:tcW w:w="1153" w:type="dxa"/>
            <w:tcBorders>
              <w:top w:val="nil" w:sz="6" w:space="0" w:color="auto"/>
              <w:left w:val="nil" w:sz="6" w:space="0" w:color="auto"/>
              <w:bottom w:val="nil" w:sz="6" w:space="0" w:color="auto"/>
              <w:right w:val="nil" w:sz="6" w:space="0" w:color="auto"/>
            </w:tcBorders>
          </w:tcPr>
          <w:p>
            <w:pPr>
              <w:pStyle w:val="TableParagraph"/>
              <w:spacing w:line="228" w:lineRule="exact"/>
              <w:ind w:right="185"/>
              <w:jc w:val="right"/>
              <w:rPr>
                <w:rFonts w:ascii="黑体" w:hAnsi="黑体" w:cs="黑体" w:eastAsia="黑体" w:hint="default"/>
                <w:sz w:val="18"/>
                <w:szCs w:val="18"/>
              </w:rPr>
            </w:pPr>
            <w:r>
              <w:rPr>
                <w:rFonts w:ascii="黑体" w:hAnsi="黑体" w:cs="黑体" w:eastAsia="黑体" w:hint="default"/>
                <w:sz w:val="18"/>
                <w:szCs w:val="18"/>
              </w:rPr>
              <w:t>合并报表</w:t>
            </w:r>
          </w:p>
        </w:tc>
        <w:tc>
          <w:tcPr>
            <w:tcW w:w="1288" w:type="dxa"/>
            <w:tcBorders>
              <w:top w:val="nil" w:sz="6" w:space="0" w:color="auto"/>
              <w:left w:val="nil" w:sz="6" w:space="0" w:color="auto"/>
              <w:bottom w:val="nil" w:sz="6" w:space="0" w:color="auto"/>
              <w:right w:val="nil" w:sz="6" w:space="0" w:color="auto"/>
            </w:tcBorders>
          </w:tcPr>
          <w:p>
            <w:pPr>
              <w:pStyle w:val="TableParagraph"/>
              <w:spacing w:line="228" w:lineRule="exact"/>
              <w:ind w:right="199"/>
              <w:jc w:val="right"/>
              <w:rPr>
                <w:rFonts w:ascii="黑体" w:hAnsi="黑体" w:cs="黑体" w:eastAsia="黑体" w:hint="default"/>
                <w:sz w:val="18"/>
                <w:szCs w:val="18"/>
              </w:rPr>
            </w:pPr>
            <w:r>
              <w:rPr>
                <w:rFonts w:ascii="黑体" w:hAnsi="黑体" w:cs="黑体" w:eastAsia="黑体" w:hint="default"/>
                <w:sz w:val="18"/>
                <w:szCs w:val="18"/>
              </w:rPr>
              <w:t>权益</w:t>
            </w:r>
          </w:p>
        </w:tc>
      </w:tr>
      <w:tr>
        <w:trPr>
          <w:trHeight w:val="338" w:hRule="exact"/>
        </w:trPr>
        <w:tc>
          <w:tcPr>
            <w:tcW w:w="1806" w:type="dxa"/>
            <w:tcBorders>
              <w:top w:val="nil" w:sz="6" w:space="0" w:color="auto"/>
              <w:left w:val="nil" w:sz="6" w:space="0" w:color="auto"/>
              <w:bottom w:val="nil" w:sz="6" w:space="0" w:color="auto"/>
              <w:right w:val="nil" w:sz="6" w:space="0" w:color="auto"/>
            </w:tcBorders>
          </w:tcPr>
          <w:p>
            <w:pPr/>
          </w:p>
        </w:tc>
        <w:tc>
          <w:tcPr>
            <w:tcW w:w="929" w:type="dxa"/>
            <w:tcBorders>
              <w:top w:val="nil" w:sz="6" w:space="0" w:color="auto"/>
              <w:left w:val="nil" w:sz="6" w:space="0" w:color="auto"/>
              <w:bottom w:val="nil" w:sz="6" w:space="0" w:color="auto"/>
              <w:right w:val="nil" w:sz="6" w:space="0" w:color="auto"/>
            </w:tcBorders>
          </w:tcPr>
          <w:p>
            <w:pPr/>
          </w:p>
        </w:tc>
        <w:tc>
          <w:tcPr>
            <w:tcW w:w="679" w:type="dxa"/>
            <w:tcBorders>
              <w:top w:val="nil" w:sz="6" w:space="0" w:color="auto"/>
              <w:left w:val="nil" w:sz="6" w:space="0" w:color="auto"/>
              <w:bottom w:val="nil" w:sz="6" w:space="0" w:color="auto"/>
              <w:right w:val="nil" w:sz="6" w:space="0" w:color="auto"/>
            </w:tcBorders>
          </w:tcPr>
          <w:p>
            <w:pPr/>
          </w:p>
        </w:tc>
        <w:tc>
          <w:tcPr>
            <w:tcW w:w="605" w:type="dxa"/>
            <w:tcBorders>
              <w:top w:val="nil" w:sz="6" w:space="0" w:color="auto"/>
              <w:left w:val="nil" w:sz="6" w:space="0" w:color="auto"/>
              <w:bottom w:val="nil" w:sz="6" w:space="0" w:color="auto"/>
              <w:right w:val="nil" w:sz="6" w:space="0" w:color="auto"/>
            </w:tcBorders>
          </w:tcPr>
          <w:p>
            <w:pPr/>
          </w:p>
        </w:tc>
        <w:tc>
          <w:tcPr>
            <w:tcW w:w="984" w:type="dxa"/>
            <w:tcBorders>
              <w:top w:val="nil" w:sz="6" w:space="0" w:color="auto"/>
              <w:left w:val="nil" w:sz="6" w:space="0" w:color="auto"/>
              <w:bottom w:val="nil" w:sz="6" w:space="0" w:color="auto"/>
              <w:right w:val="nil" w:sz="6" w:space="0" w:color="auto"/>
            </w:tcBorders>
          </w:tcPr>
          <w:p>
            <w:pPr/>
          </w:p>
        </w:tc>
        <w:tc>
          <w:tcPr>
            <w:tcW w:w="934" w:type="dxa"/>
            <w:tcBorders>
              <w:top w:val="nil" w:sz="6" w:space="0" w:color="auto"/>
              <w:left w:val="nil" w:sz="6" w:space="0" w:color="auto"/>
              <w:bottom w:val="nil" w:sz="6" w:space="0" w:color="auto"/>
              <w:right w:val="nil" w:sz="6" w:space="0" w:color="auto"/>
            </w:tcBorders>
          </w:tcPr>
          <w:p>
            <w:pPr/>
          </w:p>
        </w:tc>
        <w:tc>
          <w:tcPr>
            <w:tcW w:w="2684"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94" w:right="0"/>
              <w:jc w:val="center"/>
              <w:rPr>
                <w:rFonts w:ascii="Arial" w:hAnsi="Arial" w:cs="Arial" w:eastAsia="Arial" w:hint="default"/>
                <w:sz w:val="18"/>
                <w:szCs w:val="18"/>
              </w:rPr>
            </w:pPr>
            <w:r>
              <w:rPr>
                <w:rFonts w:ascii="Arial"/>
                <w:sz w:val="18"/>
              </w:rPr>
              <w:t>(%)</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47"/>
              <w:jc w:val="right"/>
              <w:rPr>
                <w:rFonts w:ascii="Arial" w:hAnsi="Arial" w:cs="Arial" w:eastAsia="Arial" w:hint="default"/>
                <w:sz w:val="18"/>
                <w:szCs w:val="18"/>
              </w:rPr>
            </w:pPr>
            <w:r>
              <w:rPr>
                <w:rFonts w:ascii="Arial"/>
                <w:w w:val="95"/>
                <w:sz w:val="18"/>
              </w:rPr>
              <w:t>(%)</w:t>
            </w:r>
            <w:r>
              <w:rPr>
                <w:rFonts w:ascii="Arial"/>
                <w:sz w:val="18"/>
              </w:rPr>
            </w:r>
          </w:p>
        </w:tc>
        <w:tc>
          <w:tcPr>
            <w:tcW w:w="1153" w:type="dxa"/>
            <w:tcBorders>
              <w:top w:val="nil" w:sz="6" w:space="0" w:color="auto"/>
              <w:left w:val="nil" w:sz="6" w:space="0" w:color="auto"/>
              <w:bottom w:val="nil" w:sz="6" w:space="0" w:color="auto"/>
              <w:right w:val="nil" w:sz="6" w:space="0" w:color="auto"/>
            </w:tcBorders>
          </w:tcPr>
          <w:p>
            <w:pPr/>
          </w:p>
        </w:tc>
        <w:tc>
          <w:tcPr>
            <w:tcW w:w="1288" w:type="dxa"/>
            <w:tcBorders>
              <w:top w:val="nil" w:sz="6" w:space="0" w:color="auto"/>
              <w:left w:val="nil" w:sz="6" w:space="0" w:color="auto"/>
              <w:bottom w:val="nil" w:sz="6" w:space="0" w:color="auto"/>
              <w:right w:val="nil" w:sz="6" w:space="0" w:color="auto"/>
            </w:tcBorders>
          </w:tcPr>
          <w:p>
            <w:pPr/>
          </w:p>
        </w:tc>
      </w:tr>
      <w:tr>
        <w:trPr>
          <w:trHeight w:val="1552" w:hRule="exact"/>
        </w:trPr>
        <w:tc>
          <w:tcPr>
            <w:tcW w:w="1806" w:type="dxa"/>
            <w:tcBorders>
              <w:top w:val="nil" w:sz="6" w:space="0" w:color="auto"/>
              <w:left w:val="nil" w:sz="6" w:space="0" w:color="auto"/>
              <w:bottom w:val="nil" w:sz="6" w:space="0" w:color="auto"/>
              <w:right w:val="nil" w:sz="6" w:space="0" w:color="auto"/>
            </w:tcBorders>
          </w:tcPr>
          <w:p>
            <w:pPr>
              <w:pStyle w:val="TableParagraph"/>
              <w:spacing w:line="232" w:lineRule="auto" w:before="61"/>
              <w:ind w:left="367" w:right="77" w:hanging="168"/>
              <w:jc w:val="both"/>
              <w:rPr>
                <w:rFonts w:ascii="Arial" w:hAnsi="Arial" w:cs="Arial" w:eastAsia="Arial" w:hint="default"/>
                <w:sz w:val="18"/>
                <w:szCs w:val="18"/>
              </w:rPr>
            </w:pPr>
            <w:r>
              <w:rPr>
                <w:rFonts w:ascii="黑体" w:hAnsi="黑体" w:cs="黑体" w:eastAsia="黑体" w:hint="default"/>
                <w:spacing w:val="7"/>
                <w:sz w:val="18"/>
                <w:szCs w:val="18"/>
              </w:rPr>
              <w:t>广西用友软件有限</w:t>
            </w:r>
            <w:r>
              <w:rPr>
                <w:rFonts w:ascii="黑体" w:hAnsi="黑体" w:cs="黑体" w:eastAsia="黑体" w:hint="default"/>
                <w:spacing w:val="-87"/>
                <w:sz w:val="18"/>
                <w:szCs w:val="18"/>
              </w:rPr>
              <w:t> </w:t>
            </w:r>
            <w:r>
              <w:rPr>
                <w:rFonts w:ascii="黑体" w:hAnsi="黑体" w:cs="黑体" w:eastAsia="黑体" w:hint="default"/>
                <w:spacing w:val="-87"/>
                <w:sz w:val="18"/>
                <w:szCs w:val="18"/>
              </w:rPr>
            </w:r>
            <w:r>
              <w:rPr>
                <w:rFonts w:ascii="黑体" w:hAnsi="黑体" w:cs="黑体" w:eastAsia="黑体" w:hint="default"/>
                <w:spacing w:val="15"/>
                <w:sz w:val="18"/>
                <w:szCs w:val="18"/>
              </w:rPr>
              <w:t>公司</w:t>
            </w:r>
            <w:r>
              <w:rPr>
                <w:rFonts w:ascii="黑体" w:hAnsi="黑体" w:cs="黑体" w:eastAsia="黑体" w:hint="default"/>
                <w:spacing w:val="-59"/>
                <w:sz w:val="18"/>
                <w:szCs w:val="18"/>
              </w:rPr>
              <w:t> </w:t>
            </w:r>
            <w:r>
              <w:rPr>
                <w:rFonts w:ascii="Arial" w:hAnsi="Arial" w:cs="Arial" w:eastAsia="Arial" w:hint="default"/>
                <w:sz w:val="18"/>
                <w:szCs w:val="18"/>
              </w:rPr>
              <w:t>(</w:t>
            </w:r>
            <w:r>
              <w:rPr>
                <w:rFonts w:ascii="Arial" w:hAnsi="Arial" w:cs="Arial" w:eastAsia="Arial" w:hint="default"/>
                <w:spacing w:val="-19"/>
                <w:sz w:val="18"/>
                <w:szCs w:val="18"/>
              </w:rPr>
              <w:t> </w:t>
            </w:r>
            <w:r>
              <w:rPr>
                <w:rFonts w:ascii="黑体" w:hAnsi="黑体" w:cs="黑体" w:eastAsia="黑体" w:hint="default"/>
                <w:spacing w:val="23"/>
                <w:sz w:val="18"/>
                <w:szCs w:val="18"/>
              </w:rPr>
              <w:t>以下简称</w:t>
            </w:r>
            <w:r>
              <w:rPr>
                <w:rFonts w:ascii="黑体" w:hAnsi="黑体" w:cs="黑体" w:eastAsia="黑体" w:hint="default"/>
                <w:spacing w:val="-59"/>
                <w:sz w:val="18"/>
                <w:szCs w:val="18"/>
              </w:rPr>
              <w:t> </w:t>
            </w:r>
            <w:r>
              <w:rPr>
                <w:rFonts w:ascii="Arial" w:hAnsi="Arial" w:cs="Arial" w:eastAsia="Arial" w:hint="default"/>
                <w:sz w:val="18"/>
                <w:szCs w:val="18"/>
              </w:rPr>
              <w:t>“</w:t>
            </w:r>
            <w:r>
              <w:rPr>
                <w:rFonts w:ascii="黑体" w:hAnsi="黑体" w:cs="黑体" w:eastAsia="黑体" w:hint="default"/>
                <w:sz w:val="18"/>
                <w:szCs w:val="18"/>
              </w:rPr>
              <w:t>广西用友</w:t>
            </w:r>
            <w:r>
              <w:rPr>
                <w:rFonts w:ascii="Arial" w:hAnsi="Arial" w:cs="Arial" w:eastAsia="Arial" w:hint="default"/>
                <w:sz w:val="18"/>
                <w:szCs w:val="18"/>
              </w:rPr>
              <w:t>”)</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48"/>
              <w:ind w:left="225" w:right="161" w:hanging="180"/>
              <w:jc w:val="left"/>
              <w:rPr>
                <w:rFonts w:ascii="黑体" w:hAnsi="黑体" w:cs="黑体" w:eastAsia="黑体" w:hint="default"/>
                <w:sz w:val="18"/>
                <w:szCs w:val="18"/>
              </w:rPr>
            </w:pPr>
            <w:r>
              <w:rPr>
                <w:rFonts w:ascii="黑体" w:hAnsi="黑体" w:cs="黑体" w:eastAsia="黑体" w:hint="default"/>
                <w:sz w:val="18"/>
                <w:szCs w:val="18"/>
              </w:rPr>
              <w:t>有限责任 公司</w:t>
            </w:r>
          </w:p>
        </w:tc>
        <w:tc>
          <w:tcPr>
            <w:tcW w:w="67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5"/>
              <w:jc w:val="right"/>
              <w:rPr>
                <w:rFonts w:ascii="黑体" w:hAnsi="黑体" w:cs="黑体" w:eastAsia="黑体" w:hint="default"/>
                <w:sz w:val="18"/>
                <w:szCs w:val="18"/>
              </w:rPr>
            </w:pPr>
            <w:r>
              <w:rPr>
                <w:rFonts w:ascii="黑体" w:hAnsi="黑体" w:cs="黑体" w:eastAsia="黑体" w:hint="default"/>
                <w:sz w:val="18"/>
                <w:szCs w:val="18"/>
              </w:rPr>
              <w:t>南宁市</w:t>
            </w: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
              <w:jc w:val="right"/>
              <w:rPr>
                <w:rFonts w:ascii="黑体" w:hAnsi="黑体" w:cs="黑体" w:eastAsia="黑体" w:hint="default"/>
                <w:sz w:val="18"/>
                <w:szCs w:val="18"/>
              </w:rPr>
            </w:pPr>
            <w:r>
              <w:rPr>
                <w:rFonts w:ascii="黑体" w:hAnsi="黑体" w:cs="黑体" w:eastAsia="黑体" w:hint="default"/>
                <w:sz w:val="18"/>
                <w:szCs w:val="18"/>
              </w:rPr>
              <w:t>李友</w:t>
            </w:r>
          </w:p>
        </w:tc>
        <w:tc>
          <w:tcPr>
            <w:tcW w:w="984" w:type="dxa"/>
            <w:tcBorders>
              <w:top w:val="nil" w:sz="6" w:space="0" w:color="auto"/>
              <w:left w:val="nil" w:sz="6" w:space="0" w:color="auto"/>
              <w:bottom w:val="nil" w:sz="6" w:space="0" w:color="auto"/>
              <w:right w:val="nil" w:sz="6" w:space="0" w:color="auto"/>
            </w:tcBorders>
          </w:tcPr>
          <w:p>
            <w:pPr>
              <w:pStyle w:val="TableParagraph"/>
              <w:spacing w:line="230" w:lineRule="auto" w:before="63"/>
              <w:ind w:left="28" w:right="182"/>
              <w:jc w:val="both"/>
              <w:rPr>
                <w:rFonts w:ascii="黑体" w:hAnsi="黑体" w:cs="黑体" w:eastAsia="黑体" w:hint="default"/>
                <w:sz w:val="18"/>
                <w:szCs w:val="18"/>
              </w:rPr>
            </w:pPr>
            <w:r>
              <w:rPr>
                <w:rFonts w:ascii="黑体" w:hAnsi="黑体" w:cs="黑体" w:eastAsia="黑体" w:hint="default"/>
                <w:sz w:val="18"/>
                <w:szCs w:val="18"/>
              </w:rPr>
              <w:t>计算机软</w:t>
            </w:r>
            <w:r>
              <w:rPr>
                <w:rFonts w:ascii="Arial" w:hAnsi="Arial" w:cs="Arial" w:eastAsia="Arial" w:hint="default"/>
                <w:sz w:val="18"/>
                <w:szCs w:val="18"/>
              </w:rPr>
              <w:t>/</w:t>
            </w:r>
            <w:r>
              <w:rPr>
                <w:rFonts w:ascii="Arial" w:hAnsi="Arial" w:cs="Arial" w:eastAsia="Arial" w:hint="default"/>
                <w:w w:val="100"/>
                <w:sz w:val="18"/>
                <w:szCs w:val="18"/>
              </w:rPr>
              <w:t> </w:t>
            </w:r>
            <w:r>
              <w:rPr>
                <w:rFonts w:ascii="黑体" w:hAnsi="黑体" w:cs="黑体" w:eastAsia="黑体" w:hint="default"/>
                <w:sz w:val="18"/>
                <w:szCs w:val="18"/>
              </w:rPr>
              <w:t>硬件</w:t>
            </w:r>
            <w:r>
              <w:rPr>
                <w:rFonts w:ascii="Arial" w:hAnsi="Arial" w:cs="Arial" w:eastAsia="Arial" w:hint="default"/>
                <w:sz w:val="18"/>
                <w:szCs w:val="18"/>
              </w:rPr>
              <w:t>/</w:t>
            </w:r>
            <w:r>
              <w:rPr>
                <w:rFonts w:ascii="黑体" w:hAnsi="黑体" w:cs="黑体" w:eastAsia="黑体" w:hint="default"/>
                <w:sz w:val="18"/>
                <w:szCs w:val="18"/>
              </w:rPr>
              <w:t>咨询 及电子行 业</w:t>
            </w: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4"/>
              <w:jc w:val="right"/>
              <w:rPr>
                <w:rFonts w:ascii="Arial" w:hAnsi="Arial" w:cs="Arial" w:eastAsia="Arial" w:hint="default"/>
                <w:sz w:val="18"/>
                <w:szCs w:val="18"/>
              </w:rPr>
            </w:pPr>
            <w:r>
              <w:rPr>
                <w:rFonts w:ascii="Arial"/>
                <w:spacing w:val="-1"/>
                <w:sz w:val="18"/>
              </w:rPr>
              <w:t>3,000,000</w:t>
            </w:r>
          </w:p>
        </w:tc>
        <w:tc>
          <w:tcPr>
            <w:tcW w:w="2684" w:type="dxa"/>
            <w:tcBorders>
              <w:top w:val="nil" w:sz="6" w:space="0" w:color="auto"/>
              <w:left w:val="nil" w:sz="6" w:space="0" w:color="auto"/>
              <w:bottom w:val="nil" w:sz="6" w:space="0" w:color="auto"/>
              <w:right w:val="nil" w:sz="6" w:space="0" w:color="auto"/>
            </w:tcBorders>
          </w:tcPr>
          <w:p>
            <w:pPr>
              <w:pStyle w:val="TableParagraph"/>
              <w:spacing w:line="237" w:lineRule="auto" w:before="57"/>
              <w:ind w:left="26" w:right="137"/>
              <w:jc w:val="left"/>
              <w:rPr>
                <w:rFonts w:ascii="黑体" w:hAnsi="黑体" w:cs="黑体" w:eastAsia="黑体" w:hint="default"/>
                <w:sz w:val="18"/>
                <w:szCs w:val="18"/>
              </w:rPr>
            </w:pPr>
            <w:r>
              <w:rPr>
                <w:rFonts w:ascii="黑体" w:hAnsi="黑体" w:cs="黑体" w:eastAsia="黑体" w:hint="default"/>
                <w:spacing w:val="-3"/>
                <w:sz w:val="18"/>
                <w:szCs w:val="18"/>
              </w:rPr>
              <w:t>计算机软件、硬件及外部设备的</w:t>
            </w:r>
            <w:r>
              <w:rPr>
                <w:rFonts w:ascii="黑体" w:hAnsi="黑体" w:cs="黑体" w:eastAsia="黑体" w:hint="default"/>
                <w:spacing w:val="-82"/>
                <w:sz w:val="18"/>
                <w:szCs w:val="18"/>
              </w:rPr>
              <w:t> </w:t>
            </w:r>
            <w:r>
              <w:rPr>
                <w:rFonts w:ascii="黑体" w:hAnsi="黑体" w:cs="黑体" w:eastAsia="黑体" w:hint="default"/>
                <w:spacing w:val="-82"/>
                <w:sz w:val="18"/>
                <w:szCs w:val="18"/>
              </w:rPr>
            </w:r>
            <w:r>
              <w:rPr>
                <w:rFonts w:ascii="黑体" w:hAnsi="黑体" w:cs="黑体" w:eastAsia="黑体" w:hint="default"/>
                <w:spacing w:val="-9"/>
                <w:sz w:val="18"/>
                <w:szCs w:val="18"/>
              </w:rPr>
              <w:t>技术开发、技术咨询、技术转让</w:t>
            </w:r>
            <w:r>
              <w:rPr>
                <w:rFonts w:ascii="黑体" w:hAnsi="黑体" w:cs="黑体" w:eastAsia="黑体" w:hint="default"/>
                <w:sz w:val="18"/>
                <w:szCs w:val="18"/>
              </w:rPr>
              <w:t> </w:t>
            </w:r>
            <w:r>
              <w:rPr>
                <w:rFonts w:ascii="黑体" w:hAnsi="黑体" w:cs="黑体" w:eastAsia="黑体" w:hint="default"/>
                <w:spacing w:val="-3"/>
                <w:sz w:val="18"/>
                <w:szCs w:val="18"/>
              </w:rPr>
              <w:t>技术服务；数据库服务；企业管</w:t>
            </w:r>
            <w:r>
              <w:rPr>
                <w:rFonts w:ascii="黑体" w:hAnsi="黑体" w:cs="黑体" w:eastAsia="黑体" w:hint="default"/>
                <w:spacing w:val="-82"/>
                <w:sz w:val="18"/>
                <w:szCs w:val="18"/>
              </w:rPr>
              <w:t> </w:t>
            </w:r>
            <w:r>
              <w:rPr>
                <w:rFonts w:ascii="黑体" w:hAnsi="黑体" w:cs="黑体" w:eastAsia="黑体" w:hint="default"/>
                <w:spacing w:val="-82"/>
                <w:sz w:val="18"/>
                <w:szCs w:val="18"/>
              </w:rPr>
            </w:r>
            <w:r>
              <w:rPr>
                <w:rFonts w:ascii="黑体" w:hAnsi="黑体" w:cs="黑体" w:eastAsia="黑体" w:hint="default"/>
                <w:sz w:val="18"/>
                <w:szCs w:val="18"/>
              </w:rPr>
              <w:t>理咨询；计算机硬件及外部设 </w:t>
            </w:r>
            <w:r>
              <w:rPr>
                <w:rFonts w:ascii="黑体" w:hAnsi="黑体" w:cs="黑体" w:eastAsia="黑体" w:hint="default"/>
                <w:spacing w:val="-3"/>
                <w:sz w:val="18"/>
                <w:szCs w:val="18"/>
              </w:rPr>
              <w:t>备、打印纸及耗材的销售；企业</w:t>
            </w:r>
            <w:r>
              <w:rPr>
                <w:rFonts w:ascii="黑体" w:hAnsi="黑体" w:cs="黑体" w:eastAsia="黑体" w:hint="default"/>
                <w:spacing w:val="-82"/>
                <w:sz w:val="18"/>
                <w:szCs w:val="18"/>
              </w:rPr>
              <w:t> </w:t>
            </w:r>
            <w:r>
              <w:rPr>
                <w:rFonts w:ascii="黑体" w:hAnsi="黑体" w:cs="黑体" w:eastAsia="黑体" w:hint="default"/>
                <w:spacing w:val="-82"/>
                <w:sz w:val="18"/>
                <w:szCs w:val="18"/>
              </w:rPr>
            </w:r>
            <w:r>
              <w:rPr>
                <w:rFonts w:ascii="黑体" w:hAnsi="黑体" w:cs="黑体" w:eastAsia="黑体" w:hint="default"/>
                <w:sz w:val="18"/>
                <w:szCs w:val="18"/>
              </w:rPr>
              <w:t>管理培训（除职业技能培训）。</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61"/>
              <w:jc w:val="right"/>
              <w:rPr>
                <w:rFonts w:ascii="Arial" w:hAnsi="Arial" w:cs="Arial" w:eastAsia="Arial" w:hint="default"/>
                <w:sz w:val="18"/>
                <w:szCs w:val="18"/>
              </w:rPr>
            </w:pPr>
            <w:r>
              <w:rPr>
                <w:rFonts w:ascii="Arial"/>
                <w:spacing w:val="-1"/>
                <w:sz w:val="18"/>
              </w:rPr>
              <w:t>77912610-8</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91"/>
              <w:jc w:val="right"/>
              <w:rPr>
                <w:rFonts w:ascii="Arial" w:hAnsi="Arial" w:cs="Arial" w:eastAsia="Arial" w:hint="default"/>
                <w:sz w:val="18"/>
                <w:szCs w:val="18"/>
              </w:rPr>
            </w:pPr>
            <w:r>
              <w:rPr>
                <w:rFonts w:ascii="Arial"/>
                <w:spacing w:val="-1"/>
                <w:sz w:val="18"/>
              </w:rPr>
              <w:t>3,000,000</w:t>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84"/>
              <w:ind w:left="77" w:right="0"/>
              <w:jc w:val="center"/>
              <w:rPr>
                <w:rFonts w:ascii="Arial" w:hAnsi="Arial" w:cs="Arial" w:eastAsia="Arial" w:hint="default"/>
                <w:sz w:val="18"/>
                <w:szCs w:val="18"/>
              </w:rPr>
            </w:pPr>
            <w:r>
              <w:rPr>
                <w:rFonts w:ascii="Arial"/>
                <w:sz w:val="18"/>
              </w:rPr>
              <w:t>100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45"/>
              <w:jc w:val="right"/>
              <w:rPr>
                <w:rFonts w:ascii="Arial" w:hAnsi="Arial" w:cs="Arial" w:eastAsia="Arial" w:hint="default"/>
                <w:sz w:val="18"/>
                <w:szCs w:val="18"/>
              </w:rPr>
            </w:pPr>
            <w:r>
              <w:rPr>
                <w:rFonts w:ascii="Arial"/>
                <w:w w:val="95"/>
                <w:sz w:val="18"/>
              </w:rPr>
              <w:t>100</w:t>
            </w:r>
            <w:r>
              <w:rPr>
                <w:rFonts w:ascii="Arial"/>
                <w:sz w:val="18"/>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84"/>
              <w:jc w:val="right"/>
              <w:rPr>
                <w:rFonts w:ascii="黑体" w:hAnsi="黑体" w:cs="黑体" w:eastAsia="黑体" w:hint="default"/>
                <w:sz w:val="18"/>
                <w:szCs w:val="18"/>
              </w:rPr>
            </w:pPr>
            <w:r>
              <w:rPr>
                <w:rFonts w:ascii="黑体" w:hAnsi="黑体" w:cs="黑体" w:eastAsia="黑体" w:hint="default"/>
                <w:sz w:val="18"/>
                <w:szCs w:val="18"/>
              </w:rPr>
              <w:t>是</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9"/>
              <w:jc w:val="right"/>
              <w:rPr>
                <w:rFonts w:ascii="Arial" w:hAnsi="Arial" w:cs="Arial" w:eastAsia="Arial" w:hint="default"/>
                <w:sz w:val="18"/>
                <w:szCs w:val="18"/>
              </w:rPr>
            </w:pPr>
            <w:r>
              <w:rPr>
                <w:rFonts w:ascii="Arial"/>
                <w:w w:val="99"/>
                <w:sz w:val="18"/>
              </w:rPr>
              <w:t>-</w:t>
            </w:r>
            <w:r>
              <w:rPr>
                <w:rFonts w:ascii="Arial"/>
                <w:sz w:val="18"/>
              </w:rPr>
            </w:r>
          </w:p>
        </w:tc>
      </w:tr>
      <w:tr>
        <w:trPr>
          <w:trHeight w:val="1323" w:hRule="exact"/>
        </w:trPr>
        <w:tc>
          <w:tcPr>
            <w:tcW w:w="1806" w:type="dxa"/>
            <w:tcBorders>
              <w:top w:val="nil" w:sz="6" w:space="0" w:color="auto"/>
              <w:left w:val="nil" w:sz="6" w:space="0" w:color="auto"/>
              <w:bottom w:val="nil" w:sz="6" w:space="0" w:color="auto"/>
              <w:right w:val="nil" w:sz="6" w:space="0" w:color="auto"/>
            </w:tcBorders>
          </w:tcPr>
          <w:p>
            <w:pPr>
              <w:pStyle w:val="TableParagraph"/>
              <w:spacing w:line="232" w:lineRule="exact" w:before="68"/>
              <w:ind w:left="367" w:right="43" w:hanging="168"/>
              <w:jc w:val="both"/>
              <w:rPr>
                <w:rFonts w:ascii="Arial" w:hAnsi="Arial" w:cs="Arial" w:eastAsia="Arial" w:hint="default"/>
                <w:sz w:val="18"/>
                <w:szCs w:val="18"/>
              </w:rPr>
            </w:pPr>
            <w:r>
              <w:rPr>
                <w:rFonts w:ascii="黑体" w:hAnsi="黑体" w:cs="黑体" w:eastAsia="黑体" w:hint="default"/>
                <w:spacing w:val="12"/>
                <w:sz w:val="18"/>
                <w:szCs w:val="18"/>
              </w:rPr>
              <w:t>厦门用友烟草软件 </w:t>
            </w:r>
            <w:r>
              <w:rPr>
                <w:rFonts w:ascii="黑体" w:hAnsi="黑体" w:cs="黑体" w:eastAsia="黑体" w:hint="default"/>
                <w:spacing w:val="3"/>
                <w:sz w:val="18"/>
                <w:szCs w:val="18"/>
              </w:rPr>
              <w:t>有限责任公司</w:t>
            </w:r>
            <w:r>
              <w:rPr>
                <w:rFonts w:ascii="Arial" w:hAnsi="Arial" w:cs="Arial" w:eastAsia="Arial" w:hint="default"/>
                <w:spacing w:val="3"/>
                <w:sz w:val="18"/>
                <w:szCs w:val="18"/>
              </w:rPr>
              <w:t>(</w:t>
            </w:r>
            <w:r>
              <w:rPr>
                <w:rFonts w:ascii="黑体" w:hAnsi="黑体" w:cs="黑体" w:eastAsia="黑体" w:hint="default"/>
                <w:spacing w:val="3"/>
                <w:sz w:val="18"/>
                <w:szCs w:val="18"/>
              </w:rPr>
              <w:t>以</w:t>
            </w:r>
            <w:r>
              <w:rPr>
                <w:rFonts w:ascii="黑体" w:hAnsi="黑体" w:cs="黑体" w:eastAsia="黑体" w:hint="default"/>
                <w:sz w:val="18"/>
                <w:szCs w:val="18"/>
              </w:rPr>
              <w:t> </w:t>
            </w:r>
            <w:r>
              <w:rPr>
                <w:rFonts w:ascii="黑体" w:hAnsi="黑体" w:cs="黑体" w:eastAsia="黑体" w:hint="default"/>
                <w:spacing w:val="24"/>
                <w:sz w:val="18"/>
                <w:szCs w:val="18"/>
              </w:rPr>
              <w:t>下简称</w:t>
            </w:r>
            <w:r>
              <w:rPr>
                <w:rFonts w:ascii="黑体" w:hAnsi="黑体" w:cs="黑体" w:eastAsia="黑体" w:hint="default"/>
                <w:spacing w:val="-54"/>
                <w:sz w:val="18"/>
                <w:szCs w:val="18"/>
              </w:rPr>
              <w:t> </w:t>
            </w:r>
            <w:r>
              <w:rPr>
                <w:rFonts w:ascii="Arial" w:hAnsi="Arial" w:cs="Arial" w:eastAsia="Arial" w:hint="default"/>
                <w:sz w:val="18"/>
                <w:szCs w:val="18"/>
              </w:rPr>
              <w:t>“</w:t>
            </w:r>
            <w:r>
              <w:rPr>
                <w:rFonts w:ascii="Arial" w:hAnsi="Arial" w:cs="Arial" w:eastAsia="Arial" w:hint="default"/>
                <w:spacing w:val="-14"/>
                <w:sz w:val="18"/>
                <w:szCs w:val="18"/>
              </w:rPr>
              <w:t> </w:t>
            </w:r>
            <w:r>
              <w:rPr>
                <w:rFonts w:ascii="黑体" w:hAnsi="黑体" w:cs="黑体" w:eastAsia="黑体" w:hint="default"/>
                <w:spacing w:val="24"/>
                <w:sz w:val="18"/>
                <w:szCs w:val="18"/>
              </w:rPr>
              <w:t>用友烟</w:t>
            </w:r>
            <w:r>
              <w:rPr>
                <w:rFonts w:ascii="黑体" w:hAnsi="黑体" w:cs="黑体" w:eastAsia="黑体" w:hint="default"/>
                <w:spacing w:val="-54"/>
                <w:sz w:val="18"/>
                <w:szCs w:val="18"/>
              </w:rPr>
              <w:t> </w:t>
            </w:r>
            <w:r>
              <w:rPr>
                <w:rFonts w:ascii="黑体" w:hAnsi="黑体" w:cs="黑体" w:eastAsia="黑体" w:hint="default"/>
                <w:sz w:val="18"/>
                <w:szCs w:val="18"/>
              </w:rPr>
              <w:t>草</w:t>
            </w:r>
            <w:r>
              <w:rPr>
                <w:rFonts w:ascii="Arial" w:hAnsi="Arial" w:cs="Arial" w:eastAsia="Arial" w:hint="default"/>
                <w:sz w:val="18"/>
                <w:szCs w:val="18"/>
              </w:rPr>
              <w:t>”)</w:t>
            </w:r>
          </w:p>
        </w:tc>
        <w:tc>
          <w:tcPr>
            <w:tcW w:w="929" w:type="dxa"/>
            <w:tcBorders>
              <w:top w:val="nil" w:sz="6" w:space="0" w:color="auto"/>
              <w:left w:val="nil" w:sz="6" w:space="0" w:color="auto"/>
              <w:bottom w:val="nil" w:sz="6" w:space="0" w:color="auto"/>
              <w:right w:val="nil" w:sz="6" w:space="0" w:color="auto"/>
            </w:tcBorders>
          </w:tcPr>
          <w:p>
            <w:pPr>
              <w:pStyle w:val="TableParagraph"/>
              <w:spacing w:line="235" w:lineRule="auto" w:before="41"/>
              <w:ind w:left="225" w:right="101" w:hanging="180"/>
              <w:jc w:val="left"/>
              <w:rPr>
                <w:rFonts w:ascii="Arial" w:hAnsi="Arial" w:cs="Arial" w:eastAsia="Arial" w:hint="default"/>
                <w:sz w:val="18"/>
                <w:szCs w:val="18"/>
              </w:rPr>
            </w:pPr>
            <w:r>
              <w:rPr>
                <w:rFonts w:ascii="黑体" w:hAnsi="黑体" w:cs="黑体" w:eastAsia="黑体" w:hint="default"/>
                <w:sz w:val="18"/>
                <w:szCs w:val="18"/>
              </w:rPr>
              <w:t>有限责任 公司</w:t>
            </w:r>
            <w:r>
              <w:rPr>
                <w:rFonts w:ascii="Arial" w:hAnsi="Arial" w:cs="Arial" w:eastAsia="Arial" w:hint="default"/>
                <w:sz w:val="18"/>
                <w:szCs w:val="18"/>
              </w:rPr>
              <w:t>(</w:t>
            </w:r>
            <w:r>
              <w:rPr>
                <w:rFonts w:ascii="黑体" w:hAnsi="黑体" w:cs="黑体" w:eastAsia="黑体" w:hint="default"/>
                <w:sz w:val="18"/>
                <w:szCs w:val="18"/>
              </w:rPr>
              <w:t>自 然人投 资或控 股</w:t>
            </w:r>
            <w:r>
              <w:rPr>
                <w:rFonts w:ascii="Arial" w:hAnsi="Arial" w:cs="Arial" w:eastAsia="Arial" w:hint="default"/>
                <w:sz w:val="18"/>
                <w:szCs w:val="18"/>
              </w:rPr>
              <w:t>)</w:t>
            </w:r>
          </w:p>
        </w:tc>
        <w:tc>
          <w:tcPr>
            <w:tcW w:w="67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5"/>
              <w:jc w:val="right"/>
              <w:rPr>
                <w:rFonts w:ascii="黑体" w:hAnsi="黑体" w:cs="黑体" w:eastAsia="黑体" w:hint="default"/>
                <w:sz w:val="18"/>
                <w:szCs w:val="18"/>
              </w:rPr>
            </w:pPr>
            <w:r>
              <w:rPr>
                <w:rFonts w:ascii="黑体" w:hAnsi="黑体" w:cs="黑体" w:eastAsia="黑体" w:hint="default"/>
                <w:sz w:val="18"/>
                <w:szCs w:val="18"/>
              </w:rPr>
              <w:t>厦门市</w:t>
            </w: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6"/>
              <w:jc w:val="right"/>
              <w:rPr>
                <w:rFonts w:ascii="黑体" w:hAnsi="黑体" w:cs="黑体" w:eastAsia="黑体" w:hint="default"/>
                <w:sz w:val="18"/>
                <w:szCs w:val="18"/>
              </w:rPr>
            </w:pPr>
            <w:r>
              <w:rPr>
                <w:rFonts w:ascii="黑体" w:hAnsi="黑体" w:cs="黑体" w:eastAsia="黑体" w:hint="default"/>
                <w:sz w:val="18"/>
                <w:szCs w:val="18"/>
              </w:rPr>
              <w:t>王文京</w:t>
            </w:r>
          </w:p>
        </w:tc>
        <w:tc>
          <w:tcPr>
            <w:tcW w:w="984" w:type="dxa"/>
            <w:tcBorders>
              <w:top w:val="nil" w:sz="6" w:space="0" w:color="auto"/>
              <w:left w:val="nil" w:sz="6" w:space="0" w:color="auto"/>
              <w:bottom w:val="nil" w:sz="6" w:space="0" w:color="auto"/>
              <w:right w:val="nil" w:sz="6" w:space="0" w:color="auto"/>
            </w:tcBorders>
          </w:tcPr>
          <w:p>
            <w:pPr>
              <w:pStyle w:val="TableParagraph"/>
              <w:spacing w:line="232" w:lineRule="exact" w:before="68"/>
              <w:ind w:left="28" w:right="182"/>
              <w:jc w:val="both"/>
              <w:rPr>
                <w:rFonts w:ascii="黑体" w:hAnsi="黑体" w:cs="黑体" w:eastAsia="黑体" w:hint="default"/>
                <w:sz w:val="18"/>
                <w:szCs w:val="18"/>
              </w:rPr>
            </w:pPr>
            <w:r>
              <w:rPr>
                <w:rFonts w:ascii="黑体" w:hAnsi="黑体" w:cs="黑体" w:eastAsia="黑体" w:hint="default"/>
                <w:sz w:val="18"/>
                <w:szCs w:val="18"/>
              </w:rPr>
              <w:t>计算机软</w:t>
            </w:r>
            <w:r>
              <w:rPr>
                <w:rFonts w:ascii="Arial" w:hAnsi="Arial" w:cs="Arial" w:eastAsia="Arial" w:hint="default"/>
                <w:sz w:val="18"/>
                <w:szCs w:val="18"/>
              </w:rPr>
              <w:t>/</w:t>
            </w:r>
            <w:r>
              <w:rPr>
                <w:rFonts w:ascii="Arial" w:hAnsi="Arial" w:cs="Arial" w:eastAsia="Arial" w:hint="default"/>
                <w:w w:val="100"/>
                <w:sz w:val="18"/>
                <w:szCs w:val="18"/>
              </w:rPr>
              <w:t> </w:t>
            </w:r>
            <w:r>
              <w:rPr>
                <w:rFonts w:ascii="黑体" w:hAnsi="黑体" w:cs="黑体" w:eastAsia="黑体" w:hint="default"/>
                <w:sz w:val="18"/>
                <w:szCs w:val="18"/>
              </w:rPr>
              <w:t>硬件</w:t>
            </w:r>
            <w:r>
              <w:rPr>
                <w:rFonts w:ascii="Arial" w:hAnsi="Arial" w:cs="Arial" w:eastAsia="Arial" w:hint="default"/>
                <w:sz w:val="18"/>
                <w:szCs w:val="18"/>
              </w:rPr>
              <w:t>/</w:t>
            </w:r>
            <w:r>
              <w:rPr>
                <w:rFonts w:ascii="黑体" w:hAnsi="黑体" w:cs="黑体" w:eastAsia="黑体" w:hint="default"/>
                <w:sz w:val="18"/>
                <w:szCs w:val="18"/>
              </w:rPr>
              <w:t>电子 行业</w:t>
            </w: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5"/>
              <w:jc w:val="right"/>
              <w:rPr>
                <w:rFonts w:ascii="Arial" w:hAnsi="Arial" w:cs="Arial" w:eastAsia="Arial" w:hint="default"/>
                <w:sz w:val="18"/>
                <w:szCs w:val="18"/>
              </w:rPr>
            </w:pPr>
            <w:r>
              <w:rPr>
                <w:rFonts w:ascii="Arial"/>
                <w:spacing w:val="-1"/>
                <w:sz w:val="18"/>
              </w:rPr>
              <w:t>20,000,000</w:t>
            </w:r>
          </w:p>
        </w:tc>
        <w:tc>
          <w:tcPr>
            <w:tcW w:w="2684" w:type="dxa"/>
            <w:tcBorders>
              <w:top w:val="nil" w:sz="6" w:space="0" w:color="auto"/>
              <w:left w:val="nil" w:sz="6" w:space="0" w:color="auto"/>
              <w:bottom w:val="nil" w:sz="6" w:space="0" w:color="auto"/>
              <w:right w:val="nil" w:sz="6" w:space="0" w:color="auto"/>
            </w:tcBorders>
          </w:tcPr>
          <w:p>
            <w:pPr>
              <w:pStyle w:val="TableParagraph"/>
              <w:spacing w:line="232" w:lineRule="exact" w:before="68"/>
              <w:ind w:left="26" w:right="164"/>
              <w:jc w:val="left"/>
              <w:rPr>
                <w:rFonts w:ascii="黑体" w:hAnsi="黑体" w:cs="黑体" w:eastAsia="黑体" w:hint="default"/>
                <w:sz w:val="18"/>
                <w:szCs w:val="18"/>
              </w:rPr>
            </w:pPr>
            <w:r>
              <w:rPr>
                <w:rFonts w:ascii="黑体" w:hAnsi="黑体" w:cs="黑体" w:eastAsia="黑体" w:hint="default"/>
                <w:sz w:val="18"/>
                <w:szCs w:val="18"/>
              </w:rPr>
              <w:t>烟草软件及其它相关软件开发 设计</w:t>
            </w:r>
            <w:r>
              <w:rPr>
                <w:rFonts w:ascii="Arial" w:hAnsi="Arial" w:cs="Arial" w:eastAsia="Arial" w:hint="default"/>
                <w:sz w:val="18"/>
                <w:szCs w:val="18"/>
              </w:rPr>
              <w:t>,</w:t>
            </w:r>
            <w:r>
              <w:rPr>
                <w:rFonts w:ascii="黑体" w:hAnsi="黑体" w:cs="黑体" w:eastAsia="黑体" w:hint="default"/>
                <w:sz w:val="18"/>
                <w:szCs w:val="18"/>
              </w:rPr>
              <w:t>硬件制造</w:t>
            </w:r>
            <w:r>
              <w:rPr>
                <w:rFonts w:ascii="Arial" w:hAnsi="Arial" w:cs="Arial" w:eastAsia="Arial" w:hint="default"/>
                <w:sz w:val="18"/>
                <w:szCs w:val="18"/>
              </w:rPr>
              <w:t>,</w:t>
            </w:r>
            <w:r>
              <w:rPr>
                <w:rFonts w:ascii="黑体" w:hAnsi="黑体" w:cs="黑体" w:eastAsia="黑体" w:hint="default"/>
                <w:sz w:val="18"/>
                <w:szCs w:val="18"/>
              </w:rPr>
              <w:t>销售</w:t>
            </w:r>
            <w:r>
              <w:rPr>
                <w:rFonts w:ascii="Arial" w:hAnsi="Arial" w:cs="Arial" w:eastAsia="Arial" w:hint="default"/>
                <w:sz w:val="18"/>
                <w:szCs w:val="18"/>
              </w:rPr>
              <w:t>,</w:t>
            </w:r>
            <w:r>
              <w:rPr>
                <w:rFonts w:ascii="黑体" w:hAnsi="黑体" w:cs="黑体" w:eastAsia="黑体" w:hint="default"/>
                <w:sz w:val="18"/>
                <w:szCs w:val="18"/>
              </w:rPr>
              <w:t>并提供烟草 行业信息化咨询服务。</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61"/>
              <w:jc w:val="right"/>
              <w:rPr>
                <w:rFonts w:ascii="Arial" w:hAnsi="Arial" w:cs="Arial" w:eastAsia="Arial" w:hint="default"/>
                <w:sz w:val="18"/>
                <w:szCs w:val="18"/>
              </w:rPr>
            </w:pPr>
            <w:r>
              <w:rPr>
                <w:rFonts w:ascii="Arial"/>
                <w:spacing w:val="-1"/>
                <w:sz w:val="18"/>
              </w:rPr>
              <w:t>77601754-7</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92"/>
              <w:jc w:val="right"/>
              <w:rPr>
                <w:rFonts w:ascii="Arial" w:hAnsi="Arial" w:cs="Arial" w:eastAsia="Arial" w:hint="default"/>
                <w:sz w:val="18"/>
                <w:szCs w:val="18"/>
              </w:rPr>
            </w:pPr>
            <w:r>
              <w:rPr>
                <w:rFonts w:ascii="Arial"/>
                <w:spacing w:val="-1"/>
                <w:sz w:val="18"/>
              </w:rPr>
              <w:t>15,200,000</w:t>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78" w:right="0"/>
              <w:jc w:val="center"/>
              <w:rPr>
                <w:rFonts w:ascii="Arial" w:hAnsi="Arial" w:cs="Arial" w:eastAsia="Arial" w:hint="default"/>
                <w:sz w:val="18"/>
                <w:szCs w:val="18"/>
              </w:rPr>
            </w:pPr>
            <w:r>
              <w:rPr>
                <w:rFonts w:ascii="Arial"/>
                <w:sz w:val="18"/>
              </w:rPr>
              <w:t>76</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45"/>
              <w:jc w:val="right"/>
              <w:rPr>
                <w:rFonts w:ascii="Arial" w:hAnsi="Arial" w:cs="Arial" w:eastAsia="Arial" w:hint="default"/>
                <w:sz w:val="18"/>
                <w:szCs w:val="18"/>
              </w:rPr>
            </w:pPr>
            <w:r>
              <w:rPr>
                <w:rFonts w:ascii="Arial"/>
                <w:w w:val="95"/>
                <w:sz w:val="18"/>
              </w:rPr>
              <w:t>76</w:t>
            </w:r>
            <w:r>
              <w:rPr>
                <w:rFonts w:ascii="Arial"/>
                <w:sz w:val="18"/>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84"/>
              <w:jc w:val="right"/>
              <w:rPr>
                <w:rFonts w:ascii="黑体" w:hAnsi="黑体" w:cs="黑体" w:eastAsia="黑体" w:hint="default"/>
                <w:sz w:val="18"/>
                <w:szCs w:val="18"/>
              </w:rPr>
            </w:pPr>
            <w:r>
              <w:rPr>
                <w:rFonts w:ascii="黑体" w:hAnsi="黑体" w:cs="黑体" w:eastAsia="黑体" w:hint="default"/>
                <w:sz w:val="18"/>
                <w:szCs w:val="18"/>
              </w:rPr>
              <w:t>是</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98"/>
              <w:jc w:val="right"/>
              <w:rPr>
                <w:rFonts w:ascii="Arial" w:hAnsi="Arial" w:cs="Arial" w:eastAsia="Arial" w:hint="default"/>
                <w:sz w:val="18"/>
                <w:szCs w:val="18"/>
              </w:rPr>
            </w:pPr>
            <w:r>
              <w:rPr>
                <w:rFonts w:ascii="Arial"/>
                <w:spacing w:val="-1"/>
                <w:sz w:val="18"/>
              </w:rPr>
              <w:t>18,626,462</w:t>
            </w:r>
          </w:p>
        </w:tc>
      </w:tr>
      <w:tr>
        <w:trPr>
          <w:trHeight w:val="994" w:hRule="exact"/>
        </w:trPr>
        <w:tc>
          <w:tcPr>
            <w:tcW w:w="1806" w:type="dxa"/>
            <w:tcBorders>
              <w:top w:val="nil" w:sz="6" w:space="0" w:color="auto"/>
              <w:left w:val="nil" w:sz="6" w:space="0" w:color="auto"/>
              <w:bottom w:val="nil" w:sz="6" w:space="0" w:color="auto"/>
              <w:right w:val="nil" w:sz="6" w:space="0" w:color="auto"/>
            </w:tcBorders>
          </w:tcPr>
          <w:p>
            <w:pPr>
              <w:pStyle w:val="TableParagraph"/>
              <w:spacing w:line="232" w:lineRule="exact" w:before="85"/>
              <w:ind w:left="367" w:right="77" w:hanging="168"/>
              <w:jc w:val="both"/>
              <w:rPr>
                <w:rFonts w:ascii="Arial" w:hAnsi="Arial" w:cs="Arial" w:eastAsia="Arial" w:hint="default"/>
                <w:sz w:val="18"/>
                <w:szCs w:val="18"/>
              </w:rPr>
            </w:pPr>
            <w:r>
              <w:rPr>
                <w:rFonts w:ascii="黑体" w:hAnsi="黑体" w:cs="黑体" w:eastAsia="黑体" w:hint="default"/>
                <w:spacing w:val="7"/>
                <w:sz w:val="18"/>
                <w:szCs w:val="18"/>
              </w:rPr>
              <w:t>深圳用友软件有限</w:t>
            </w:r>
            <w:r>
              <w:rPr>
                <w:rFonts w:ascii="黑体" w:hAnsi="黑体" w:cs="黑体" w:eastAsia="黑体" w:hint="default"/>
                <w:spacing w:val="-87"/>
                <w:sz w:val="18"/>
                <w:szCs w:val="18"/>
              </w:rPr>
              <w:t> </w:t>
            </w:r>
            <w:r>
              <w:rPr>
                <w:rFonts w:ascii="黑体" w:hAnsi="黑体" w:cs="黑体" w:eastAsia="黑体" w:hint="default"/>
                <w:spacing w:val="-87"/>
                <w:sz w:val="18"/>
                <w:szCs w:val="18"/>
              </w:rPr>
            </w:r>
            <w:r>
              <w:rPr>
                <w:rFonts w:ascii="黑体" w:hAnsi="黑体" w:cs="黑体" w:eastAsia="黑体" w:hint="default"/>
                <w:spacing w:val="15"/>
                <w:sz w:val="18"/>
                <w:szCs w:val="18"/>
              </w:rPr>
              <w:t>公司</w:t>
            </w:r>
            <w:r>
              <w:rPr>
                <w:rFonts w:ascii="黑体" w:hAnsi="黑体" w:cs="黑体" w:eastAsia="黑体" w:hint="default"/>
                <w:spacing w:val="-59"/>
                <w:sz w:val="18"/>
                <w:szCs w:val="18"/>
              </w:rPr>
              <w:t> </w:t>
            </w:r>
            <w:r>
              <w:rPr>
                <w:rFonts w:ascii="Arial" w:hAnsi="Arial" w:cs="Arial" w:eastAsia="Arial" w:hint="default"/>
                <w:sz w:val="18"/>
                <w:szCs w:val="18"/>
              </w:rPr>
              <w:t>(</w:t>
            </w:r>
            <w:r>
              <w:rPr>
                <w:rFonts w:ascii="Arial" w:hAnsi="Arial" w:cs="Arial" w:eastAsia="Arial" w:hint="default"/>
                <w:spacing w:val="-19"/>
                <w:sz w:val="18"/>
                <w:szCs w:val="18"/>
              </w:rPr>
              <w:t> </w:t>
            </w:r>
            <w:r>
              <w:rPr>
                <w:rFonts w:ascii="黑体" w:hAnsi="黑体" w:cs="黑体" w:eastAsia="黑体" w:hint="default"/>
                <w:spacing w:val="23"/>
                <w:sz w:val="18"/>
                <w:szCs w:val="18"/>
              </w:rPr>
              <w:t>以下简称</w:t>
            </w:r>
            <w:r>
              <w:rPr>
                <w:rFonts w:ascii="黑体" w:hAnsi="黑体" w:cs="黑体" w:eastAsia="黑体" w:hint="default"/>
                <w:spacing w:val="-59"/>
                <w:sz w:val="18"/>
                <w:szCs w:val="18"/>
              </w:rPr>
              <w:t> </w:t>
            </w:r>
            <w:r>
              <w:rPr>
                <w:rFonts w:ascii="Arial" w:hAnsi="Arial" w:cs="Arial" w:eastAsia="Arial" w:hint="default"/>
                <w:sz w:val="18"/>
                <w:szCs w:val="18"/>
              </w:rPr>
              <w:t>“</w:t>
            </w:r>
            <w:r>
              <w:rPr>
                <w:rFonts w:ascii="黑体" w:hAnsi="黑体" w:cs="黑体" w:eastAsia="黑体" w:hint="default"/>
                <w:sz w:val="18"/>
                <w:szCs w:val="18"/>
              </w:rPr>
              <w:t>深圳用友</w:t>
            </w:r>
            <w:r>
              <w:rPr>
                <w:rFonts w:ascii="Arial" w:hAnsi="Arial" w:cs="Arial" w:eastAsia="Arial" w:hint="default"/>
                <w:sz w:val="18"/>
                <w:szCs w:val="18"/>
              </w:rPr>
              <w:t>”)</w:t>
            </w:r>
          </w:p>
        </w:tc>
        <w:tc>
          <w:tcPr>
            <w:tcW w:w="929" w:type="dxa"/>
            <w:tcBorders>
              <w:top w:val="nil" w:sz="6" w:space="0" w:color="auto"/>
              <w:left w:val="nil" w:sz="6" w:space="0" w:color="auto"/>
              <w:bottom w:val="nil" w:sz="6" w:space="0" w:color="auto"/>
              <w:right w:val="nil" w:sz="6" w:space="0" w:color="auto"/>
            </w:tcBorders>
          </w:tcPr>
          <w:p>
            <w:pPr>
              <w:pStyle w:val="TableParagraph"/>
              <w:spacing w:line="232" w:lineRule="exact" w:before="77"/>
              <w:ind w:left="225" w:right="161" w:hanging="180"/>
              <w:jc w:val="left"/>
              <w:rPr>
                <w:rFonts w:ascii="黑体" w:hAnsi="黑体" w:cs="黑体" w:eastAsia="黑体" w:hint="default"/>
                <w:sz w:val="18"/>
                <w:szCs w:val="18"/>
              </w:rPr>
            </w:pPr>
            <w:r>
              <w:rPr>
                <w:rFonts w:ascii="黑体" w:hAnsi="黑体" w:cs="黑体" w:eastAsia="黑体" w:hint="default"/>
                <w:sz w:val="18"/>
                <w:szCs w:val="18"/>
              </w:rPr>
              <w:t>有限责任 公司</w:t>
            </w:r>
          </w:p>
        </w:tc>
        <w:tc>
          <w:tcPr>
            <w:tcW w:w="67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5"/>
              <w:jc w:val="right"/>
              <w:rPr>
                <w:rFonts w:ascii="黑体" w:hAnsi="黑体" w:cs="黑体" w:eastAsia="黑体" w:hint="default"/>
                <w:sz w:val="18"/>
                <w:szCs w:val="18"/>
              </w:rPr>
            </w:pPr>
            <w:r>
              <w:rPr>
                <w:rFonts w:ascii="黑体" w:hAnsi="黑体" w:cs="黑体" w:eastAsia="黑体" w:hint="default"/>
                <w:sz w:val="18"/>
                <w:szCs w:val="18"/>
              </w:rPr>
              <w:t>深圳市</w:t>
            </w:r>
          </w:p>
        </w:tc>
        <w:tc>
          <w:tcPr>
            <w:tcW w:w="605"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6"/>
              <w:jc w:val="right"/>
              <w:rPr>
                <w:rFonts w:ascii="黑体" w:hAnsi="黑体" w:cs="黑体" w:eastAsia="黑体" w:hint="default"/>
                <w:sz w:val="18"/>
                <w:szCs w:val="18"/>
              </w:rPr>
            </w:pPr>
            <w:r>
              <w:rPr>
                <w:rFonts w:ascii="黑体" w:hAnsi="黑体" w:cs="黑体" w:eastAsia="黑体" w:hint="default"/>
                <w:sz w:val="18"/>
                <w:szCs w:val="18"/>
              </w:rPr>
              <w:t>王文京</w:t>
            </w:r>
          </w:p>
        </w:tc>
        <w:tc>
          <w:tcPr>
            <w:tcW w:w="984" w:type="dxa"/>
            <w:tcBorders>
              <w:top w:val="nil" w:sz="6" w:space="0" w:color="auto"/>
              <w:left w:val="nil" w:sz="6" w:space="0" w:color="auto"/>
              <w:bottom w:val="nil" w:sz="6" w:space="0" w:color="auto"/>
              <w:right w:val="nil" w:sz="6" w:space="0" w:color="auto"/>
            </w:tcBorders>
          </w:tcPr>
          <w:p>
            <w:pPr>
              <w:pStyle w:val="TableParagraph"/>
              <w:spacing w:line="232" w:lineRule="exact" w:before="85"/>
              <w:ind w:left="28" w:right="2"/>
              <w:jc w:val="left"/>
              <w:rPr>
                <w:rFonts w:ascii="黑体" w:hAnsi="黑体" w:cs="黑体" w:eastAsia="黑体" w:hint="default"/>
                <w:sz w:val="18"/>
                <w:szCs w:val="18"/>
              </w:rPr>
            </w:pPr>
            <w:r>
              <w:rPr>
                <w:rFonts w:ascii="黑体" w:hAnsi="黑体" w:cs="黑体" w:eastAsia="黑体" w:hint="default"/>
                <w:sz w:val="18"/>
                <w:szCs w:val="18"/>
              </w:rPr>
              <w:t>计算机软</w:t>
            </w:r>
            <w:r>
              <w:rPr>
                <w:rFonts w:ascii="Arial" w:hAnsi="Arial" w:cs="Arial" w:eastAsia="Arial" w:hint="default"/>
                <w:sz w:val="18"/>
                <w:szCs w:val="18"/>
              </w:rPr>
              <w:t>/</w:t>
            </w:r>
            <w:r>
              <w:rPr>
                <w:rFonts w:ascii="Arial" w:hAnsi="Arial" w:cs="Arial" w:eastAsia="Arial" w:hint="default"/>
                <w:w w:val="100"/>
                <w:sz w:val="18"/>
                <w:szCs w:val="18"/>
              </w:rPr>
              <w:t> </w:t>
            </w:r>
            <w:r>
              <w:rPr>
                <w:rFonts w:ascii="黑体" w:hAnsi="黑体" w:cs="黑体" w:eastAsia="黑体" w:hint="default"/>
                <w:sz w:val="18"/>
                <w:szCs w:val="18"/>
              </w:rPr>
              <w:t>硬件</w:t>
            </w:r>
            <w:r>
              <w:rPr>
                <w:rFonts w:ascii="Arial" w:hAnsi="Arial" w:cs="Arial" w:eastAsia="Arial" w:hint="default"/>
                <w:sz w:val="18"/>
                <w:szCs w:val="18"/>
              </w:rPr>
              <w:t>/</w:t>
            </w:r>
            <w:r>
              <w:rPr>
                <w:rFonts w:ascii="黑体" w:hAnsi="黑体" w:cs="黑体" w:eastAsia="黑体" w:hint="default"/>
                <w:sz w:val="18"/>
                <w:szCs w:val="18"/>
              </w:rPr>
              <w:t>耗材、 电子行业</w:t>
            </w: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5"/>
              <w:jc w:val="right"/>
              <w:rPr>
                <w:rFonts w:ascii="Arial" w:hAnsi="Arial" w:cs="Arial" w:eastAsia="Arial" w:hint="default"/>
                <w:sz w:val="18"/>
                <w:szCs w:val="18"/>
              </w:rPr>
            </w:pPr>
            <w:r>
              <w:rPr>
                <w:rFonts w:ascii="Arial"/>
                <w:spacing w:val="-1"/>
                <w:sz w:val="18"/>
              </w:rPr>
              <w:t>10,000,000</w:t>
            </w:r>
          </w:p>
        </w:tc>
        <w:tc>
          <w:tcPr>
            <w:tcW w:w="2684" w:type="dxa"/>
            <w:tcBorders>
              <w:top w:val="nil" w:sz="6" w:space="0" w:color="auto"/>
              <w:left w:val="nil" w:sz="6" w:space="0" w:color="auto"/>
              <w:bottom w:val="nil" w:sz="6" w:space="0" w:color="auto"/>
              <w:right w:val="nil" w:sz="6" w:space="0" w:color="auto"/>
            </w:tcBorders>
          </w:tcPr>
          <w:p>
            <w:pPr>
              <w:pStyle w:val="TableParagraph"/>
              <w:spacing w:line="232" w:lineRule="exact" w:before="85"/>
              <w:ind w:left="26" w:right="169"/>
              <w:jc w:val="left"/>
              <w:rPr>
                <w:rFonts w:ascii="黑体" w:hAnsi="黑体" w:cs="黑体" w:eastAsia="黑体" w:hint="default"/>
                <w:sz w:val="18"/>
                <w:szCs w:val="18"/>
              </w:rPr>
            </w:pPr>
            <w:r>
              <w:rPr>
                <w:rFonts w:ascii="黑体" w:hAnsi="黑体" w:cs="黑体" w:eastAsia="黑体" w:hint="default"/>
                <w:sz w:val="18"/>
                <w:szCs w:val="18"/>
              </w:rPr>
              <w:t>计算机软件硬件及外部设备的 </w:t>
            </w:r>
            <w:r>
              <w:rPr>
                <w:rFonts w:ascii="黑体" w:hAnsi="黑体" w:cs="黑体" w:eastAsia="黑体" w:hint="default"/>
                <w:spacing w:val="-3"/>
                <w:sz w:val="18"/>
                <w:szCs w:val="18"/>
              </w:rPr>
              <w:t>技术开发、技术咨询及购销；打</w:t>
            </w:r>
            <w:r>
              <w:rPr>
                <w:rFonts w:ascii="黑体" w:hAnsi="黑体" w:cs="黑体" w:eastAsia="黑体" w:hint="default"/>
                <w:spacing w:val="-82"/>
                <w:sz w:val="18"/>
                <w:szCs w:val="18"/>
              </w:rPr>
              <w:t> </w:t>
            </w:r>
            <w:r>
              <w:rPr>
                <w:rFonts w:ascii="黑体" w:hAnsi="黑体" w:cs="黑体" w:eastAsia="黑体" w:hint="default"/>
                <w:spacing w:val="-82"/>
                <w:sz w:val="18"/>
                <w:szCs w:val="18"/>
              </w:rPr>
            </w:r>
            <w:r>
              <w:rPr>
                <w:rFonts w:ascii="黑体" w:hAnsi="黑体" w:cs="黑体" w:eastAsia="黑体" w:hint="default"/>
                <w:spacing w:val="-3"/>
                <w:sz w:val="18"/>
                <w:szCs w:val="18"/>
              </w:rPr>
              <w:t>印纸、计算机耗材的购销；企业</w:t>
            </w:r>
            <w:r>
              <w:rPr>
                <w:rFonts w:ascii="黑体" w:hAnsi="黑体" w:cs="黑体" w:eastAsia="黑体" w:hint="default"/>
                <w:spacing w:val="-82"/>
                <w:sz w:val="18"/>
                <w:szCs w:val="18"/>
              </w:rPr>
              <w:t> </w:t>
            </w:r>
            <w:r>
              <w:rPr>
                <w:rFonts w:ascii="黑体" w:hAnsi="黑体" w:cs="黑体" w:eastAsia="黑体" w:hint="default"/>
                <w:spacing w:val="-82"/>
                <w:sz w:val="18"/>
                <w:szCs w:val="18"/>
              </w:rPr>
            </w:r>
            <w:r>
              <w:rPr>
                <w:rFonts w:ascii="黑体" w:hAnsi="黑体" w:cs="黑体" w:eastAsia="黑体" w:hint="default"/>
                <w:sz w:val="18"/>
                <w:szCs w:val="18"/>
              </w:rPr>
              <w:t>管理咨询。</w:t>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61"/>
              <w:jc w:val="right"/>
              <w:rPr>
                <w:rFonts w:ascii="Arial" w:hAnsi="Arial" w:cs="Arial" w:eastAsia="Arial" w:hint="default"/>
                <w:sz w:val="18"/>
                <w:szCs w:val="18"/>
              </w:rPr>
            </w:pPr>
            <w:r>
              <w:rPr>
                <w:rFonts w:ascii="Arial"/>
                <w:spacing w:val="-1"/>
                <w:sz w:val="18"/>
              </w:rPr>
              <w:t>79541796-8</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92"/>
              <w:jc w:val="right"/>
              <w:rPr>
                <w:rFonts w:ascii="Arial" w:hAnsi="Arial" w:cs="Arial" w:eastAsia="Arial" w:hint="default"/>
                <w:sz w:val="18"/>
                <w:szCs w:val="18"/>
              </w:rPr>
            </w:pPr>
            <w:r>
              <w:rPr>
                <w:rFonts w:ascii="Arial"/>
                <w:spacing w:val="-1"/>
                <w:sz w:val="18"/>
              </w:rPr>
              <w:t>10,000,000</w:t>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89"/>
              <w:ind w:left="77" w:right="0"/>
              <w:jc w:val="center"/>
              <w:rPr>
                <w:rFonts w:ascii="Arial" w:hAnsi="Arial" w:cs="Arial" w:eastAsia="Arial" w:hint="default"/>
                <w:sz w:val="18"/>
                <w:szCs w:val="18"/>
              </w:rPr>
            </w:pPr>
            <w:r>
              <w:rPr>
                <w:rFonts w:ascii="Arial"/>
                <w:sz w:val="18"/>
              </w:rPr>
              <w:t>100</w:t>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45"/>
              <w:jc w:val="right"/>
              <w:rPr>
                <w:rFonts w:ascii="Arial" w:hAnsi="Arial" w:cs="Arial" w:eastAsia="Arial" w:hint="default"/>
                <w:sz w:val="18"/>
                <w:szCs w:val="18"/>
              </w:rPr>
            </w:pPr>
            <w:r>
              <w:rPr>
                <w:rFonts w:ascii="Arial"/>
                <w:w w:val="95"/>
                <w:sz w:val="18"/>
              </w:rPr>
              <w:t>100</w:t>
            </w:r>
            <w:r>
              <w:rPr>
                <w:rFonts w:ascii="Arial"/>
                <w:sz w:val="18"/>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84"/>
              <w:jc w:val="right"/>
              <w:rPr>
                <w:rFonts w:ascii="黑体" w:hAnsi="黑体" w:cs="黑体" w:eastAsia="黑体" w:hint="default"/>
                <w:sz w:val="18"/>
                <w:szCs w:val="18"/>
              </w:rPr>
            </w:pPr>
            <w:r>
              <w:rPr>
                <w:rFonts w:ascii="黑体" w:hAnsi="黑体" w:cs="黑体" w:eastAsia="黑体" w:hint="default"/>
                <w:sz w:val="18"/>
                <w:szCs w:val="18"/>
              </w:rPr>
              <w:t>是</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99"/>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pgSz w:w="16850" w:h="11910" w:orient="landscape"/>
          <w:pgMar w:header="957" w:footer="857" w:top="2620" w:bottom="1040" w:left="420" w:right="300"/>
        </w:sectPr>
      </w:pPr>
    </w:p>
    <w:p>
      <w:pPr>
        <w:pStyle w:val="Heading6"/>
        <w:spacing w:line="240" w:lineRule="auto" w:before="125"/>
        <w:ind w:left="285" w:right="12194"/>
        <w:jc w:val="left"/>
        <w:rPr>
          <w:b w:val="0"/>
          <w:bCs w:val="0"/>
        </w:rPr>
      </w:pPr>
      <w:r>
        <w:rPr/>
        <w:t>四、合并财务报表的合并范围（续）</w:t>
      </w:r>
      <w:r>
        <w:rPr>
          <w:b w:val="0"/>
          <w:bCs w:val="0"/>
        </w:rPr>
      </w:r>
    </w:p>
    <w:p>
      <w:pPr>
        <w:tabs>
          <w:tab w:pos="715" w:val="left" w:leader="none"/>
        </w:tabs>
        <w:spacing w:line="367" w:lineRule="auto" w:before="139"/>
        <w:ind w:left="285" w:right="12194" w:firstLine="62"/>
        <w:jc w:val="left"/>
        <w:rPr>
          <w:rFonts w:ascii="黑体" w:hAnsi="黑体" w:cs="黑体" w:eastAsia="黑体" w:hint="default"/>
          <w:sz w:val="20"/>
          <w:szCs w:val="20"/>
        </w:rPr>
      </w:pPr>
      <w:r>
        <w:rPr>
          <w:rFonts w:ascii="Arial" w:hAnsi="Arial" w:cs="Arial" w:eastAsia="Arial" w:hint="default"/>
          <w:b/>
          <w:bCs/>
          <w:spacing w:val="-1"/>
          <w:sz w:val="20"/>
          <w:szCs w:val="20"/>
        </w:rPr>
        <w:t>1.</w:t>
        <w:tab/>
      </w:r>
      <w:r>
        <w:rPr>
          <w:rFonts w:ascii="黑体" w:hAnsi="黑体" w:cs="黑体" w:eastAsia="黑体" w:hint="default"/>
          <w:b/>
          <w:bCs/>
          <w:spacing w:val="1"/>
          <w:sz w:val="20"/>
          <w:szCs w:val="20"/>
        </w:rPr>
        <w:t>子公司情况（续）</w:t>
      </w:r>
      <w:r>
        <w:rPr>
          <w:rFonts w:ascii="黑体" w:hAnsi="黑体" w:cs="黑体" w:eastAsia="黑体" w:hint="default"/>
          <w:b/>
          <w:bCs/>
          <w:w w:val="99"/>
          <w:sz w:val="20"/>
          <w:szCs w:val="20"/>
        </w:rPr>
        <w:t> </w:t>
      </w:r>
      <w:r>
        <w:rPr>
          <w:rFonts w:ascii="黑体" w:hAnsi="黑体" w:cs="黑体" w:eastAsia="黑体" w:hint="default"/>
          <w:sz w:val="20"/>
          <w:szCs w:val="20"/>
        </w:rPr>
        <w:t>本集团重要子公司的情况如下（续）：</w:t>
      </w:r>
      <w:r>
        <w:rPr>
          <w:rFonts w:ascii="黑体" w:hAnsi="黑体" w:cs="黑体" w:eastAsia="黑体" w:hint="default"/>
          <w:w w:val="99"/>
          <w:sz w:val="20"/>
          <w:szCs w:val="20"/>
        </w:rPr>
        <w:t> </w:t>
      </w:r>
      <w:r>
        <w:rPr>
          <w:rFonts w:ascii="黑体" w:hAnsi="黑体" w:cs="黑体" w:eastAsia="黑体" w:hint="default"/>
          <w:sz w:val="20"/>
          <w:szCs w:val="20"/>
        </w:rPr>
        <w:t>通过设立或投资等方式取得的子公司（续）</w:t>
      </w:r>
    </w:p>
    <w:p>
      <w:pPr>
        <w:spacing w:line="240" w:lineRule="auto" w:before="8"/>
        <w:rPr>
          <w:rFonts w:ascii="黑体" w:hAnsi="黑体" w:cs="黑体" w:eastAsia="黑体" w:hint="default"/>
          <w:sz w:val="25"/>
          <w:szCs w:val="25"/>
        </w:rPr>
      </w:pPr>
    </w:p>
    <w:tbl>
      <w:tblPr>
        <w:tblW w:w="0" w:type="auto"/>
        <w:jc w:val="left"/>
        <w:tblInd w:w="119" w:type="dxa"/>
        <w:tblLayout w:type="fixed"/>
        <w:tblCellMar>
          <w:top w:w="0" w:type="dxa"/>
          <w:left w:w="0" w:type="dxa"/>
          <w:bottom w:w="0" w:type="dxa"/>
          <w:right w:w="0" w:type="dxa"/>
        </w:tblCellMar>
        <w:tblLook w:val="01E0"/>
      </w:tblPr>
      <w:tblGrid>
        <w:gridCol w:w="1791"/>
        <w:gridCol w:w="1069"/>
        <w:gridCol w:w="1012"/>
        <w:gridCol w:w="600"/>
        <w:gridCol w:w="1114"/>
        <w:gridCol w:w="1022"/>
        <w:gridCol w:w="2510"/>
        <w:gridCol w:w="1176"/>
        <w:gridCol w:w="1395"/>
        <w:gridCol w:w="960"/>
        <w:gridCol w:w="1079"/>
        <w:gridCol w:w="1188"/>
        <w:gridCol w:w="1128"/>
      </w:tblGrid>
      <w:tr>
        <w:trPr>
          <w:trHeight w:val="228" w:hRule="exact"/>
        </w:trPr>
        <w:tc>
          <w:tcPr>
            <w:tcW w:w="1791" w:type="dxa"/>
            <w:tcBorders>
              <w:top w:val="nil" w:sz="6" w:space="0" w:color="auto"/>
              <w:left w:val="nil" w:sz="6" w:space="0" w:color="auto"/>
              <w:bottom w:val="nil" w:sz="6" w:space="0" w:color="auto"/>
              <w:right w:val="nil" w:sz="6" w:space="0" w:color="auto"/>
            </w:tcBorders>
          </w:tcPr>
          <w:p>
            <w:pPr/>
          </w:p>
        </w:tc>
        <w:tc>
          <w:tcPr>
            <w:tcW w:w="1069" w:type="dxa"/>
            <w:tcBorders>
              <w:top w:val="nil" w:sz="6" w:space="0" w:color="auto"/>
              <w:left w:val="nil" w:sz="6" w:space="0" w:color="auto"/>
              <w:bottom w:val="nil" w:sz="6" w:space="0" w:color="auto"/>
              <w:right w:val="nil" w:sz="6" w:space="0" w:color="auto"/>
            </w:tcBorders>
          </w:tcPr>
          <w:p>
            <w:pPr>
              <w:pStyle w:val="TableParagraph"/>
              <w:spacing w:line="180" w:lineRule="exact"/>
              <w:ind w:right="220"/>
              <w:jc w:val="right"/>
              <w:rPr>
                <w:rFonts w:ascii="黑体" w:hAnsi="黑体" w:cs="黑体" w:eastAsia="黑体" w:hint="default"/>
                <w:sz w:val="18"/>
                <w:szCs w:val="18"/>
              </w:rPr>
            </w:pPr>
            <w:r>
              <w:rPr>
                <w:rFonts w:ascii="黑体" w:hAnsi="黑体" w:cs="黑体" w:eastAsia="黑体" w:hint="default"/>
                <w:sz w:val="18"/>
                <w:szCs w:val="18"/>
              </w:rPr>
              <w:t>子公司</w:t>
            </w:r>
          </w:p>
        </w:tc>
        <w:tc>
          <w:tcPr>
            <w:tcW w:w="1012" w:type="dxa"/>
            <w:tcBorders>
              <w:top w:val="nil" w:sz="6" w:space="0" w:color="auto"/>
              <w:left w:val="nil" w:sz="6" w:space="0" w:color="auto"/>
              <w:bottom w:val="nil" w:sz="6" w:space="0" w:color="auto"/>
              <w:right w:val="nil" w:sz="6" w:space="0" w:color="auto"/>
            </w:tcBorders>
          </w:tcPr>
          <w:p>
            <w:pPr/>
          </w:p>
        </w:tc>
        <w:tc>
          <w:tcPr>
            <w:tcW w:w="600" w:type="dxa"/>
            <w:tcBorders>
              <w:top w:val="nil" w:sz="6" w:space="0" w:color="auto"/>
              <w:left w:val="nil" w:sz="6" w:space="0" w:color="auto"/>
              <w:bottom w:val="nil" w:sz="6" w:space="0" w:color="auto"/>
              <w:right w:val="nil" w:sz="6" w:space="0" w:color="auto"/>
            </w:tcBorders>
          </w:tcPr>
          <w:p>
            <w:pPr>
              <w:pStyle w:val="TableParagraph"/>
              <w:spacing w:line="180" w:lineRule="exact"/>
              <w:ind w:right="26"/>
              <w:jc w:val="right"/>
              <w:rPr>
                <w:rFonts w:ascii="黑体" w:hAnsi="黑体" w:cs="黑体" w:eastAsia="黑体" w:hint="default"/>
                <w:sz w:val="18"/>
                <w:szCs w:val="18"/>
              </w:rPr>
            </w:pPr>
            <w:r>
              <w:rPr>
                <w:rFonts w:ascii="黑体" w:hAnsi="黑体" w:cs="黑体" w:eastAsia="黑体" w:hint="default"/>
                <w:sz w:val="18"/>
                <w:szCs w:val="18"/>
              </w:rPr>
              <w:t>法定</w:t>
            </w:r>
          </w:p>
        </w:tc>
        <w:tc>
          <w:tcPr>
            <w:tcW w:w="1114"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
        </w:tc>
        <w:tc>
          <w:tcPr>
            <w:tcW w:w="2510"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Style w:val="TableParagraph"/>
              <w:spacing w:line="180" w:lineRule="exact"/>
              <w:ind w:right="170"/>
              <w:jc w:val="right"/>
              <w:rPr>
                <w:rFonts w:ascii="黑体" w:hAnsi="黑体" w:cs="黑体" w:eastAsia="黑体" w:hint="default"/>
                <w:sz w:val="18"/>
                <w:szCs w:val="18"/>
              </w:rPr>
            </w:pPr>
            <w:r>
              <w:rPr>
                <w:rFonts w:ascii="黑体" w:hAnsi="黑体" w:cs="黑体" w:eastAsia="黑体" w:hint="default"/>
                <w:sz w:val="18"/>
                <w:szCs w:val="18"/>
              </w:rPr>
              <w:t>组织机构</w:t>
            </w:r>
          </w:p>
        </w:tc>
        <w:tc>
          <w:tcPr>
            <w:tcW w:w="1395" w:type="dxa"/>
            <w:tcBorders>
              <w:top w:val="nil" w:sz="6" w:space="0" w:color="auto"/>
              <w:left w:val="nil" w:sz="6" w:space="0" w:color="auto"/>
              <w:bottom w:val="nil" w:sz="6" w:space="0" w:color="auto"/>
              <w:right w:val="nil" w:sz="6" w:space="0" w:color="auto"/>
            </w:tcBorders>
          </w:tcPr>
          <w:p>
            <w:pPr>
              <w:pStyle w:val="TableParagraph"/>
              <w:spacing w:line="180" w:lineRule="exact"/>
              <w:ind w:right="322"/>
              <w:jc w:val="right"/>
              <w:rPr>
                <w:rFonts w:ascii="黑体" w:hAnsi="黑体" w:cs="黑体" w:eastAsia="黑体" w:hint="default"/>
                <w:sz w:val="18"/>
                <w:szCs w:val="18"/>
              </w:rPr>
            </w:pPr>
            <w:r>
              <w:rPr>
                <w:rFonts w:ascii="黑体" w:hAnsi="黑体" w:cs="黑体" w:eastAsia="黑体" w:hint="default"/>
                <w:sz w:val="18"/>
                <w:szCs w:val="18"/>
              </w:rPr>
              <w:t>年末实际</w:t>
            </w:r>
          </w:p>
        </w:tc>
        <w:tc>
          <w:tcPr>
            <w:tcW w:w="960" w:type="dxa"/>
            <w:tcBorders>
              <w:top w:val="nil" w:sz="6" w:space="0" w:color="auto"/>
              <w:left w:val="nil" w:sz="6" w:space="0" w:color="auto"/>
              <w:bottom w:val="nil" w:sz="6" w:space="0" w:color="auto"/>
              <w:right w:val="nil" w:sz="6" w:space="0" w:color="auto"/>
            </w:tcBorders>
          </w:tcPr>
          <w:p>
            <w:pPr>
              <w:pStyle w:val="TableParagraph"/>
              <w:spacing w:line="180" w:lineRule="exact"/>
              <w:ind w:left="43" w:right="0"/>
              <w:jc w:val="center"/>
              <w:rPr>
                <w:rFonts w:ascii="黑体" w:hAnsi="黑体" w:cs="黑体" w:eastAsia="黑体" w:hint="default"/>
                <w:sz w:val="18"/>
                <w:szCs w:val="18"/>
              </w:rPr>
            </w:pPr>
            <w:r>
              <w:rPr>
                <w:rFonts w:ascii="黑体" w:hAnsi="黑体" w:cs="黑体" w:eastAsia="黑体" w:hint="default"/>
                <w:sz w:val="18"/>
                <w:szCs w:val="18"/>
              </w:rPr>
              <w:t>持股</w:t>
            </w:r>
          </w:p>
        </w:tc>
        <w:tc>
          <w:tcPr>
            <w:tcW w:w="1079" w:type="dxa"/>
            <w:tcBorders>
              <w:top w:val="nil" w:sz="6" w:space="0" w:color="auto"/>
              <w:left w:val="nil" w:sz="6" w:space="0" w:color="auto"/>
              <w:bottom w:val="nil" w:sz="6" w:space="0" w:color="auto"/>
              <w:right w:val="nil" w:sz="6" w:space="0" w:color="auto"/>
            </w:tcBorders>
          </w:tcPr>
          <w:p>
            <w:pPr>
              <w:pStyle w:val="TableParagraph"/>
              <w:spacing w:line="180" w:lineRule="exact"/>
              <w:ind w:right="260"/>
              <w:jc w:val="right"/>
              <w:rPr>
                <w:rFonts w:ascii="黑体" w:hAnsi="黑体" w:cs="黑体" w:eastAsia="黑体" w:hint="default"/>
                <w:sz w:val="18"/>
                <w:szCs w:val="18"/>
              </w:rPr>
            </w:pPr>
            <w:r>
              <w:rPr>
                <w:rFonts w:ascii="黑体" w:hAnsi="黑体" w:cs="黑体" w:eastAsia="黑体" w:hint="default"/>
                <w:sz w:val="18"/>
                <w:szCs w:val="18"/>
              </w:rPr>
              <w:t>表决权</w:t>
            </w:r>
          </w:p>
        </w:tc>
        <w:tc>
          <w:tcPr>
            <w:tcW w:w="1188" w:type="dxa"/>
            <w:tcBorders>
              <w:top w:val="nil" w:sz="6" w:space="0" w:color="auto"/>
              <w:left w:val="nil" w:sz="6" w:space="0" w:color="auto"/>
              <w:bottom w:val="nil" w:sz="6" w:space="0" w:color="auto"/>
              <w:right w:val="nil" w:sz="6" w:space="0" w:color="auto"/>
            </w:tcBorders>
          </w:tcPr>
          <w:p>
            <w:pPr>
              <w:pStyle w:val="TableParagraph"/>
              <w:spacing w:line="180" w:lineRule="exact"/>
              <w:ind w:right="205"/>
              <w:jc w:val="right"/>
              <w:rPr>
                <w:rFonts w:ascii="黑体" w:hAnsi="黑体" w:cs="黑体" w:eastAsia="黑体" w:hint="default"/>
                <w:sz w:val="18"/>
                <w:szCs w:val="18"/>
              </w:rPr>
            </w:pPr>
            <w:r>
              <w:rPr>
                <w:rFonts w:ascii="黑体" w:hAnsi="黑体" w:cs="黑体" w:eastAsia="黑体" w:hint="default"/>
                <w:sz w:val="18"/>
                <w:szCs w:val="18"/>
              </w:rPr>
              <w:t>是否</w:t>
            </w:r>
          </w:p>
        </w:tc>
        <w:tc>
          <w:tcPr>
            <w:tcW w:w="1128" w:type="dxa"/>
            <w:tcBorders>
              <w:top w:val="nil" w:sz="6" w:space="0" w:color="auto"/>
              <w:left w:val="nil" w:sz="6" w:space="0" w:color="auto"/>
              <w:bottom w:val="nil" w:sz="6" w:space="0" w:color="auto"/>
              <w:right w:val="nil" w:sz="6" w:space="0" w:color="auto"/>
            </w:tcBorders>
          </w:tcPr>
          <w:p>
            <w:pPr>
              <w:pStyle w:val="TableParagraph"/>
              <w:spacing w:line="180" w:lineRule="exact"/>
              <w:ind w:right="198"/>
              <w:jc w:val="right"/>
              <w:rPr>
                <w:rFonts w:ascii="黑体" w:hAnsi="黑体" w:cs="黑体" w:eastAsia="黑体" w:hint="default"/>
                <w:sz w:val="18"/>
                <w:szCs w:val="18"/>
              </w:rPr>
            </w:pPr>
            <w:r>
              <w:rPr>
                <w:rFonts w:ascii="黑体" w:hAnsi="黑体" w:cs="黑体" w:eastAsia="黑体" w:hint="default"/>
                <w:sz w:val="18"/>
                <w:szCs w:val="18"/>
              </w:rPr>
              <w:t>少数股东</w:t>
            </w:r>
          </w:p>
        </w:tc>
      </w:tr>
      <w:tr>
        <w:trPr>
          <w:trHeight w:val="283" w:hRule="exact"/>
        </w:trPr>
        <w:tc>
          <w:tcPr>
            <w:tcW w:w="1791" w:type="dxa"/>
            <w:tcBorders>
              <w:top w:val="nil" w:sz="6" w:space="0" w:color="auto"/>
              <w:left w:val="nil" w:sz="6" w:space="0" w:color="auto"/>
              <w:bottom w:val="nil" w:sz="6" w:space="0" w:color="auto"/>
              <w:right w:val="nil" w:sz="6" w:space="0" w:color="auto"/>
            </w:tcBorders>
          </w:tcPr>
          <w:p>
            <w:pPr>
              <w:pStyle w:val="TableParagraph"/>
              <w:spacing w:line="228" w:lineRule="exact"/>
              <w:ind w:left="411" w:right="0"/>
              <w:jc w:val="left"/>
              <w:rPr>
                <w:rFonts w:ascii="黑体" w:hAnsi="黑体" w:cs="黑体" w:eastAsia="黑体" w:hint="default"/>
                <w:sz w:val="18"/>
                <w:szCs w:val="18"/>
              </w:rPr>
            </w:pPr>
            <w:r>
              <w:rPr>
                <w:rFonts w:ascii="黑体" w:hAnsi="黑体" w:cs="黑体" w:eastAsia="黑体" w:hint="default"/>
                <w:sz w:val="18"/>
                <w:szCs w:val="18"/>
              </w:rPr>
              <w:t>被投资单位名称</w:t>
            </w:r>
          </w:p>
        </w:tc>
        <w:tc>
          <w:tcPr>
            <w:tcW w:w="1069" w:type="dxa"/>
            <w:tcBorders>
              <w:top w:val="nil" w:sz="6" w:space="0" w:color="auto"/>
              <w:left w:val="nil" w:sz="6" w:space="0" w:color="auto"/>
              <w:bottom w:val="nil" w:sz="6" w:space="0" w:color="auto"/>
              <w:right w:val="nil" w:sz="6" w:space="0" w:color="auto"/>
            </w:tcBorders>
          </w:tcPr>
          <w:p>
            <w:pPr>
              <w:pStyle w:val="TableParagraph"/>
              <w:spacing w:line="228" w:lineRule="exact"/>
              <w:ind w:right="220"/>
              <w:jc w:val="right"/>
              <w:rPr>
                <w:rFonts w:ascii="黑体" w:hAnsi="黑体" w:cs="黑体" w:eastAsia="黑体" w:hint="default"/>
                <w:sz w:val="18"/>
                <w:szCs w:val="18"/>
              </w:rPr>
            </w:pPr>
            <w:r>
              <w:rPr>
                <w:rFonts w:ascii="黑体" w:hAnsi="黑体" w:cs="黑体" w:eastAsia="黑体" w:hint="default"/>
                <w:sz w:val="18"/>
                <w:szCs w:val="18"/>
              </w:rPr>
              <w:t>类型</w:t>
            </w:r>
          </w:p>
        </w:tc>
        <w:tc>
          <w:tcPr>
            <w:tcW w:w="1012" w:type="dxa"/>
            <w:tcBorders>
              <w:top w:val="nil" w:sz="6" w:space="0" w:color="auto"/>
              <w:left w:val="nil" w:sz="6" w:space="0" w:color="auto"/>
              <w:bottom w:val="nil" w:sz="6" w:space="0" w:color="auto"/>
              <w:right w:val="nil" w:sz="6" w:space="0" w:color="auto"/>
            </w:tcBorders>
          </w:tcPr>
          <w:p>
            <w:pPr>
              <w:pStyle w:val="TableParagraph"/>
              <w:spacing w:line="228" w:lineRule="exact"/>
              <w:ind w:right="29"/>
              <w:jc w:val="right"/>
              <w:rPr>
                <w:rFonts w:ascii="黑体" w:hAnsi="黑体" w:cs="黑体" w:eastAsia="黑体" w:hint="default"/>
                <w:sz w:val="18"/>
                <w:szCs w:val="18"/>
              </w:rPr>
            </w:pPr>
            <w:r>
              <w:rPr>
                <w:rFonts w:ascii="黑体" w:hAnsi="黑体" w:cs="黑体" w:eastAsia="黑体" w:hint="default"/>
                <w:sz w:val="18"/>
                <w:szCs w:val="18"/>
              </w:rPr>
              <w:t>注册地</w:t>
            </w:r>
          </w:p>
        </w:tc>
        <w:tc>
          <w:tcPr>
            <w:tcW w:w="600" w:type="dxa"/>
            <w:tcBorders>
              <w:top w:val="nil" w:sz="6" w:space="0" w:color="auto"/>
              <w:left w:val="nil" w:sz="6" w:space="0" w:color="auto"/>
              <w:bottom w:val="nil" w:sz="6" w:space="0" w:color="auto"/>
              <w:right w:val="nil" w:sz="6" w:space="0" w:color="auto"/>
            </w:tcBorders>
          </w:tcPr>
          <w:p>
            <w:pPr>
              <w:pStyle w:val="TableParagraph"/>
              <w:spacing w:line="228" w:lineRule="exact"/>
              <w:ind w:right="26"/>
              <w:jc w:val="right"/>
              <w:rPr>
                <w:rFonts w:ascii="黑体" w:hAnsi="黑体" w:cs="黑体" w:eastAsia="黑体" w:hint="default"/>
                <w:sz w:val="18"/>
                <w:szCs w:val="18"/>
              </w:rPr>
            </w:pPr>
            <w:r>
              <w:rPr>
                <w:rFonts w:ascii="黑体" w:hAnsi="黑体" w:cs="黑体" w:eastAsia="黑体" w:hint="default"/>
                <w:sz w:val="18"/>
                <w:szCs w:val="18"/>
              </w:rPr>
              <w:t>代表人</w:t>
            </w:r>
          </w:p>
        </w:tc>
        <w:tc>
          <w:tcPr>
            <w:tcW w:w="1114" w:type="dxa"/>
            <w:tcBorders>
              <w:top w:val="nil" w:sz="6" w:space="0" w:color="auto"/>
              <w:left w:val="nil" w:sz="6" w:space="0" w:color="auto"/>
              <w:bottom w:val="nil" w:sz="6" w:space="0" w:color="auto"/>
              <w:right w:val="nil" w:sz="6" w:space="0" w:color="auto"/>
            </w:tcBorders>
          </w:tcPr>
          <w:p>
            <w:pPr>
              <w:pStyle w:val="TableParagraph"/>
              <w:spacing w:line="228" w:lineRule="exact"/>
              <w:ind w:left="211" w:right="0"/>
              <w:jc w:val="left"/>
              <w:rPr>
                <w:rFonts w:ascii="黑体" w:hAnsi="黑体" w:cs="黑体" w:eastAsia="黑体" w:hint="default"/>
                <w:sz w:val="18"/>
                <w:szCs w:val="18"/>
              </w:rPr>
            </w:pPr>
            <w:r>
              <w:rPr>
                <w:rFonts w:ascii="黑体" w:hAnsi="黑体" w:cs="黑体" w:eastAsia="黑体" w:hint="default"/>
                <w:sz w:val="18"/>
                <w:szCs w:val="18"/>
              </w:rPr>
              <w:t>业务性质</w:t>
            </w:r>
          </w:p>
        </w:tc>
        <w:tc>
          <w:tcPr>
            <w:tcW w:w="1022" w:type="dxa"/>
            <w:tcBorders>
              <w:top w:val="nil" w:sz="6" w:space="0" w:color="auto"/>
              <w:left w:val="nil" w:sz="6" w:space="0" w:color="auto"/>
              <w:bottom w:val="nil" w:sz="6" w:space="0" w:color="auto"/>
              <w:right w:val="nil" w:sz="6" w:space="0" w:color="auto"/>
            </w:tcBorders>
          </w:tcPr>
          <w:p>
            <w:pPr>
              <w:pStyle w:val="TableParagraph"/>
              <w:spacing w:line="228" w:lineRule="exact"/>
              <w:ind w:right="26"/>
              <w:jc w:val="right"/>
              <w:rPr>
                <w:rFonts w:ascii="黑体" w:hAnsi="黑体" w:cs="黑体" w:eastAsia="黑体" w:hint="default"/>
                <w:sz w:val="18"/>
                <w:szCs w:val="18"/>
              </w:rPr>
            </w:pPr>
            <w:r>
              <w:rPr>
                <w:rFonts w:ascii="黑体" w:hAnsi="黑体" w:cs="黑体" w:eastAsia="黑体" w:hint="default"/>
                <w:sz w:val="18"/>
                <w:szCs w:val="18"/>
              </w:rPr>
              <w:t>注册资本</w:t>
            </w:r>
          </w:p>
        </w:tc>
        <w:tc>
          <w:tcPr>
            <w:tcW w:w="2510" w:type="dxa"/>
            <w:tcBorders>
              <w:top w:val="nil" w:sz="6" w:space="0" w:color="auto"/>
              <w:left w:val="nil" w:sz="6" w:space="0" w:color="auto"/>
              <w:bottom w:val="nil" w:sz="6" w:space="0" w:color="auto"/>
              <w:right w:val="nil" w:sz="6" w:space="0" w:color="auto"/>
            </w:tcBorders>
          </w:tcPr>
          <w:p>
            <w:pPr>
              <w:pStyle w:val="TableParagraph"/>
              <w:spacing w:line="228" w:lineRule="exact"/>
              <w:ind w:left="1660" w:right="0"/>
              <w:jc w:val="left"/>
              <w:rPr>
                <w:rFonts w:ascii="黑体" w:hAnsi="黑体" w:cs="黑体" w:eastAsia="黑体" w:hint="default"/>
                <w:sz w:val="18"/>
                <w:szCs w:val="18"/>
              </w:rPr>
            </w:pPr>
            <w:r>
              <w:rPr>
                <w:rFonts w:ascii="黑体" w:hAnsi="黑体" w:cs="黑体" w:eastAsia="黑体" w:hint="default"/>
                <w:sz w:val="18"/>
                <w:szCs w:val="18"/>
              </w:rPr>
              <w:t>经营范围</w:t>
            </w:r>
          </w:p>
        </w:tc>
        <w:tc>
          <w:tcPr>
            <w:tcW w:w="1176" w:type="dxa"/>
            <w:tcBorders>
              <w:top w:val="nil" w:sz="6" w:space="0" w:color="auto"/>
              <w:left w:val="nil" w:sz="6" w:space="0" w:color="auto"/>
              <w:bottom w:val="nil" w:sz="6" w:space="0" w:color="auto"/>
              <w:right w:val="nil" w:sz="6" w:space="0" w:color="auto"/>
            </w:tcBorders>
          </w:tcPr>
          <w:p>
            <w:pPr>
              <w:pStyle w:val="TableParagraph"/>
              <w:spacing w:line="228" w:lineRule="exact"/>
              <w:ind w:right="170"/>
              <w:jc w:val="right"/>
              <w:rPr>
                <w:rFonts w:ascii="黑体" w:hAnsi="黑体" w:cs="黑体" w:eastAsia="黑体" w:hint="default"/>
                <w:sz w:val="18"/>
                <w:szCs w:val="18"/>
              </w:rPr>
            </w:pPr>
            <w:r>
              <w:rPr>
                <w:rFonts w:ascii="黑体" w:hAnsi="黑体" w:cs="黑体" w:eastAsia="黑体" w:hint="default"/>
                <w:sz w:val="18"/>
                <w:szCs w:val="18"/>
              </w:rPr>
              <w:t>代码</w:t>
            </w:r>
          </w:p>
        </w:tc>
        <w:tc>
          <w:tcPr>
            <w:tcW w:w="1395" w:type="dxa"/>
            <w:tcBorders>
              <w:top w:val="nil" w:sz="6" w:space="0" w:color="auto"/>
              <w:left w:val="nil" w:sz="6" w:space="0" w:color="auto"/>
              <w:bottom w:val="nil" w:sz="6" w:space="0" w:color="auto"/>
              <w:right w:val="nil" w:sz="6" w:space="0" w:color="auto"/>
            </w:tcBorders>
          </w:tcPr>
          <w:p>
            <w:pPr>
              <w:pStyle w:val="TableParagraph"/>
              <w:spacing w:line="228" w:lineRule="exact"/>
              <w:ind w:right="322"/>
              <w:jc w:val="right"/>
              <w:rPr>
                <w:rFonts w:ascii="黑体" w:hAnsi="黑体" w:cs="黑体" w:eastAsia="黑体" w:hint="default"/>
                <w:sz w:val="18"/>
                <w:szCs w:val="18"/>
              </w:rPr>
            </w:pPr>
            <w:r>
              <w:rPr>
                <w:rFonts w:ascii="黑体" w:hAnsi="黑体" w:cs="黑体" w:eastAsia="黑体" w:hint="default"/>
                <w:sz w:val="18"/>
                <w:szCs w:val="18"/>
              </w:rPr>
              <w:t>出资额</w:t>
            </w:r>
          </w:p>
        </w:tc>
        <w:tc>
          <w:tcPr>
            <w:tcW w:w="960" w:type="dxa"/>
            <w:tcBorders>
              <w:top w:val="nil" w:sz="6" w:space="0" w:color="auto"/>
              <w:left w:val="nil" w:sz="6" w:space="0" w:color="auto"/>
              <w:bottom w:val="nil" w:sz="6" w:space="0" w:color="auto"/>
              <w:right w:val="nil" w:sz="6" w:space="0" w:color="auto"/>
            </w:tcBorders>
          </w:tcPr>
          <w:p>
            <w:pPr>
              <w:pStyle w:val="TableParagraph"/>
              <w:spacing w:line="228" w:lineRule="exact"/>
              <w:ind w:left="43" w:right="0"/>
              <w:jc w:val="center"/>
              <w:rPr>
                <w:rFonts w:ascii="黑体" w:hAnsi="黑体" w:cs="黑体" w:eastAsia="黑体" w:hint="default"/>
                <w:sz w:val="18"/>
                <w:szCs w:val="18"/>
              </w:rPr>
            </w:pPr>
            <w:r>
              <w:rPr>
                <w:rFonts w:ascii="黑体" w:hAnsi="黑体" w:cs="黑体" w:eastAsia="黑体" w:hint="default"/>
                <w:sz w:val="18"/>
                <w:szCs w:val="18"/>
              </w:rPr>
              <w:t>比例</w:t>
            </w:r>
          </w:p>
        </w:tc>
        <w:tc>
          <w:tcPr>
            <w:tcW w:w="1079" w:type="dxa"/>
            <w:tcBorders>
              <w:top w:val="nil" w:sz="6" w:space="0" w:color="auto"/>
              <w:left w:val="nil" w:sz="6" w:space="0" w:color="auto"/>
              <w:bottom w:val="nil" w:sz="6" w:space="0" w:color="auto"/>
              <w:right w:val="nil" w:sz="6" w:space="0" w:color="auto"/>
            </w:tcBorders>
          </w:tcPr>
          <w:p>
            <w:pPr>
              <w:pStyle w:val="TableParagraph"/>
              <w:spacing w:line="228" w:lineRule="exact"/>
              <w:ind w:right="260"/>
              <w:jc w:val="right"/>
              <w:rPr>
                <w:rFonts w:ascii="黑体" w:hAnsi="黑体" w:cs="黑体" w:eastAsia="黑体" w:hint="default"/>
                <w:sz w:val="18"/>
                <w:szCs w:val="18"/>
              </w:rPr>
            </w:pPr>
            <w:r>
              <w:rPr>
                <w:rFonts w:ascii="黑体" w:hAnsi="黑体" w:cs="黑体" w:eastAsia="黑体" w:hint="default"/>
                <w:sz w:val="18"/>
                <w:szCs w:val="18"/>
              </w:rPr>
              <w:t>比例</w:t>
            </w:r>
          </w:p>
        </w:tc>
        <w:tc>
          <w:tcPr>
            <w:tcW w:w="1188" w:type="dxa"/>
            <w:tcBorders>
              <w:top w:val="nil" w:sz="6" w:space="0" w:color="auto"/>
              <w:left w:val="nil" w:sz="6" w:space="0" w:color="auto"/>
              <w:bottom w:val="nil" w:sz="6" w:space="0" w:color="auto"/>
              <w:right w:val="nil" w:sz="6" w:space="0" w:color="auto"/>
            </w:tcBorders>
          </w:tcPr>
          <w:p>
            <w:pPr>
              <w:pStyle w:val="TableParagraph"/>
              <w:spacing w:line="228" w:lineRule="exact"/>
              <w:ind w:right="205"/>
              <w:jc w:val="right"/>
              <w:rPr>
                <w:rFonts w:ascii="黑体" w:hAnsi="黑体" w:cs="黑体" w:eastAsia="黑体" w:hint="default"/>
                <w:sz w:val="18"/>
                <w:szCs w:val="18"/>
              </w:rPr>
            </w:pPr>
            <w:r>
              <w:rPr>
                <w:rFonts w:ascii="黑体" w:hAnsi="黑体" w:cs="黑体" w:eastAsia="黑体" w:hint="default"/>
                <w:sz w:val="18"/>
                <w:szCs w:val="18"/>
              </w:rPr>
              <w:t>合并报表</w:t>
            </w:r>
          </w:p>
        </w:tc>
        <w:tc>
          <w:tcPr>
            <w:tcW w:w="1128" w:type="dxa"/>
            <w:tcBorders>
              <w:top w:val="nil" w:sz="6" w:space="0" w:color="auto"/>
              <w:left w:val="nil" w:sz="6" w:space="0" w:color="auto"/>
              <w:bottom w:val="nil" w:sz="6" w:space="0" w:color="auto"/>
              <w:right w:val="nil" w:sz="6" w:space="0" w:color="auto"/>
            </w:tcBorders>
          </w:tcPr>
          <w:p>
            <w:pPr>
              <w:pStyle w:val="TableParagraph"/>
              <w:spacing w:line="228" w:lineRule="exact"/>
              <w:ind w:right="198"/>
              <w:jc w:val="right"/>
              <w:rPr>
                <w:rFonts w:ascii="黑体" w:hAnsi="黑体" w:cs="黑体" w:eastAsia="黑体" w:hint="default"/>
                <w:sz w:val="18"/>
                <w:szCs w:val="18"/>
              </w:rPr>
            </w:pPr>
            <w:r>
              <w:rPr>
                <w:rFonts w:ascii="黑体" w:hAnsi="黑体" w:cs="黑体" w:eastAsia="黑体" w:hint="default"/>
                <w:sz w:val="18"/>
                <w:szCs w:val="18"/>
              </w:rPr>
              <w:t>权益</w:t>
            </w:r>
          </w:p>
        </w:tc>
      </w:tr>
      <w:tr>
        <w:trPr>
          <w:trHeight w:val="341" w:hRule="exact"/>
        </w:trPr>
        <w:tc>
          <w:tcPr>
            <w:tcW w:w="1791" w:type="dxa"/>
            <w:tcBorders>
              <w:top w:val="nil" w:sz="6" w:space="0" w:color="auto"/>
              <w:left w:val="nil" w:sz="6" w:space="0" w:color="auto"/>
              <w:bottom w:val="nil" w:sz="6" w:space="0" w:color="auto"/>
              <w:right w:val="nil" w:sz="6" w:space="0" w:color="auto"/>
            </w:tcBorders>
          </w:tcPr>
          <w:p>
            <w:pPr/>
          </w:p>
        </w:tc>
        <w:tc>
          <w:tcPr>
            <w:tcW w:w="1069" w:type="dxa"/>
            <w:tcBorders>
              <w:top w:val="nil" w:sz="6" w:space="0" w:color="auto"/>
              <w:left w:val="nil" w:sz="6" w:space="0" w:color="auto"/>
              <w:bottom w:val="nil" w:sz="6" w:space="0" w:color="auto"/>
              <w:right w:val="nil" w:sz="6" w:space="0" w:color="auto"/>
            </w:tcBorders>
          </w:tcPr>
          <w:p>
            <w:pPr/>
          </w:p>
        </w:tc>
        <w:tc>
          <w:tcPr>
            <w:tcW w:w="1012" w:type="dxa"/>
            <w:tcBorders>
              <w:top w:val="nil" w:sz="6" w:space="0" w:color="auto"/>
              <w:left w:val="nil" w:sz="6" w:space="0" w:color="auto"/>
              <w:bottom w:val="nil" w:sz="6" w:space="0" w:color="auto"/>
              <w:right w:val="nil" w:sz="6" w:space="0" w:color="auto"/>
            </w:tcBorders>
          </w:tcPr>
          <w:p>
            <w:pPr/>
          </w:p>
        </w:tc>
        <w:tc>
          <w:tcPr>
            <w:tcW w:w="600"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
        </w:tc>
        <w:tc>
          <w:tcPr>
            <w:tcW w:w="2510"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
        </w:tc>
        <w:tc>
          <w:tcPr>
            <w:tcW w:w="1395"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22" w:right="0"/>
              <w:jc w:val="center"/>
              <w:rPr>
                <w:rFonts w:ascii="Arial" w:hAnsi="Arial" w:cs="Arial" w:eastAsia="Arial" w:hint="default"/>
                <w:sz w:val="18"/>
                <w:szCs w:val="18"/>
              </w:rPr>
            </w:pPr>
            <w:r>
              <w:rPr>
                <w:rFonts w:ascii="Arial"/>
                <w:sz w:val="18"/>
              </w:rPr>
              <w:t>(%)</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60"/>
              <w:jc w:val="right"/>
              <w:rPr>
                <w:rFonts w:ascii="Arial" w:hAnsi="Arial" w:cs="Arial" w:eastAsia="Arial" w:hint="default"/>
                <w:sz w:val="18"/>
                <w:szCs w:val="18"/>
              </w:rPr>
            </w:pPr>
            <w:r>
              <w:rPr>
                <w:rFonts w:ascii="Arial"/>
                <w:w w:val="95"/>
                <w:sz w:val="18"/>
              </w:rPr>
              <w:t>(%)</w:t>
            </w:r>
            <w:r>
              <w:rPr>
                <w:rFonts w:ascii="Arial"/>
                <w:sz w:val="18"/>
              </w:rPr>
            </w:r>
          </w:p>
        </w:tc>
        <w:tc>
          <w:tcPr>
            <w:tcW w:w="1188"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r>
      <w:tr>
        <w:trPr>
          <w:trHeight w:val="1450" w:hRule="exact"/>
        </w:trPr>
        <w:tc>
          <w:tcPr>
            <w:tcW w:w="1791" w:type="dxa"/>
            <w:tcBorders>
              <w:top w:val="nil" w:sz="6" w:space="0" w:color="auto"/>
              <w:left w:val="nil" w:sz="6" w:space="0" w:color="auto"/>
              <w:bottom w:val="nil" w:sz="6" w:space="0" w:color="auto"/>
              <w:right w:val="nil" w:sz="6" w:space="0" w:color="auto"/>
            </w:tcBorders>
          </w:tcPr>
          <w:p>
            <w:pPr>
              <w:pStyle w:val="TableParagraph"/>
              <w:spacing w:line="199" w:lineRule="auto" w:before="105"/>
              <w:ind w:left="367" w:right="70" w:hanging="168"/>
              <w:jc w:val="both"/>
              <w:rPr>
                <w:rFonts w:ascii="Arial" w:hAnsi="Arial" w:cs="Arial" w:eastAsia="Arial" w:hint="default"/>
                <w:sz w:val="18"/>
                <w:szCs w:val="18"/>
              </w:rPr>
            </w:pPr>
            <w:r>
              <w:rPr>
                <w:rFonts w:ascii="黑体" w:hAnsi="黑体" w:cs="黑体" w:eastAsia="黑体" w:hint="default"/>
                <w:spacing w:val="9"/>
                <w:sz w:val="18"/>
                <w:szCs w:val="18"/>
              </w:rPr>
              <w:t>山东用友软件技术</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pacing w:val="2"/>
                <w:sz w:val="18"/>
                <w:szCs w:val="18"/>
              </w:rPr>
              <w:t>有限公司</w:t>
            </w:r>
            <w:r>
              <w:rPr>
                <w:rFonts w:ascii="Arial" w:hAnsi="Arial" w:cs="Arial" w:eastAsia="Arial" w:hint="default"/>
                <w:spacing w:val="2"/>
                <w:sz w:val="18"/>
                <w:szCs w:val="18"/>
              </w:rPr>
              <w:t>(</w:t>
            </w:r>
            <w:r>
              <w:rPr>
                <w:rFonts w:ascii="黑体" w:hAnsi="黑体" w:cs="黑体" w:eastAsia="黑体" w:hint="default"/>
                <w:spacing w:val="2"/>
                <w:sz w:val="18"/>
                <w:szCs w:val="18"/>
              </w:rPr>
              <w:t>以下简 </w:t>
            </w:r>
            <w:r>
              <w:rPr>
                <w:rFonts w:ascii="黑体" w:hAnsi="黑体" w:cs="黑体" w:eastAsia="黑体" w:hint="default"/>
                <w:sz w:val="18"/>
                <w:szCs w:val="18"/>
              </w:rPr>
              <w:t>称</w:t>
            </w:r>
            <w:r>
              <w:rPr>
                <w:rFonts w:ascii="Arial" w:hAnsi="Arial" w:cs="Arial" w:eastAsia="Arial" w:hint="default"/>
                <w:sz w:val="18"/>
                <w:szCs w:val="18"/>
              </w:rPr>
              <w:t>“</w:t>
            </w:r>
            <w:r>
              <w:rPr>
                <w:rFonts w:ascii="黑体" w:hAnsi="黑体" w:cs="黑体" w:eastAsia="黑体" w:hint="default"/>
                <w:sz w:val="18"/>
                <w:szCs w:val="18"/>
              </w:rPr>
              <w:t>山东用友</w:t>
            </w:r>
            <w:r>
              <w:rPr>
                <w:rFonts w:ascii="Arial" w:hAnsi="Arial" w:cs="Arial" w:eastAsia="Arial" w:hint="default"/>
                <w:sz w:val="18"/>
                <w:szCs w:val="18"/>
              </w:rPr>
              <w:t>”)</w:t>
            </w:r>
          </w:p>
        </w:tc>
        <w:tc>
          <w:tcPr>
            <w:tcW w:w="1069" w:type="dxa"/>
            <w:tcBorders>
              <w:top w:val="nil" w:sz="6" w:space="0" w:color="auto"/>
              <w:left w:val="nil" w:sz="6" w:space="0" w:color="auto"/>
              <w:bottom w:val="nil" w:sz="6" w:space="0" w:color="auto"/>
              <w:right w:val="nil" w:sz="6" w:space="0" w:color="auto"/>
            </w:tcBorders>
          </w:tcPr>
          <w:p>
            <w:pPr>
              <w:pStyle w:val="TableParagraph"/>
              <w:spacing w:line="200" w:lineRule="exact" w:before="100"/>
              <w:ind w:left="268" w:right="78" w:hanging="180"/>
              <w:jc w:val="left"/>
              <w:rPr>
                <w:rFonts w:ascii="黑体" w:hAnsi="黑体" w:cs="黑体" w:eastAsia="黑体" w:hint="default"/>
                <w:sz w:val="18"/>
                <w:szCs w:val="18"/>
              </w:rPr>
            </w:pPr>
            <w:r>
              <w:rPr>
                <w:rFonts w:ascii="黑体" w:hAnsi="黑体" w:cs="黑体" w:eastAsia="黑体" w:hint="default"/>
                <w:sz w:val="18"/>
                <w:szCs w:val="18"/>
              </w:rPr>
              <w:t>有限责任公 司</w:t>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9"/>
              <w:jc w:val="right"/>
              <w:rPr>
                <w:rFonts w:ascii="黑体" w:hAnsi="黑体" w:cs="黑体" w:eastAsia="黑体" w:hint="default"/>
                <w:sz w:val="18"/>
                <w:szCs w:val="18"/>
              </w:rPr>
            </w:pPr>
            <w:r>
              <w:rPr>
                <w:rFonts w:ascii="黑体" w:hAnsi="黑体" w:cs="黑体" w:eastAsia="黑体" w:hint="default"/>
                <w:sz w:val="18"/>
                <w:szCs w:val="18"/>
              </w:rPr>
              <w:t>济南市</w:t>
            </w: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4"/>
              <w:jc w:val="right"/>
              <w:rPr>
                <w:rFonts w:ascii="黑体" w:hAnsi="黑体" w:cs="黑体" w:eastAsia="黑体" w:hint="default"/>
                <w:sz w:val="18"/>
                <w:szCs w:val="18"/>
              </w:rPr>
            </w:pPr>
            <w:r>
              <w:rPr>
                <w:rFonts w:ascii="黑体" w:hAnsi="黑体" w:cs="黑体" w:eastAsia="黑体" w:hint="default"/>
                <w:sz w:val="18"/>
                <w:szCs w:val="18"/>
              </w:rPr>
              <w:t>李友</w:t>
            </w:r>
          </w:p>
        </w:tc>
        <w:tc>
          <w:tcPr>
            <w:tcW w:w="1114" w:type="dxa"/>
            <w:tcBorders>
              <w:top w:val="nil" w:sz="6" w:space="0" w:color="auto"/>
              <w:left w:val="nil" w:sz="6" w:space="0" w:color="auto"/>
              <w:bottom w:val="nil" w:sz="6" w:space="0" w:color="auto"/>
              <w:right w:val="nil" w:sz="6" w:space="0" w:color="auto"/>
            </w:tcBorders>
          </w:tcPr>
          <w:p>
            <w:pPr>
              <w:pStyle w:val="TableParagraph"/>
              <w:spacing w:line="196" w:lineRule="auto" w:before="107"/>
              <w:ind w:left="26" w:right="91"/>
              <w:jc w:val="both"/>
              <w:rPr>
                <w:rFonts w:ascii="黑体" w:hAnsi="黑体" w:cs="黑体" w:eastAsia="黑体" w:hint="default"/>
                <w:sz w:val="18"/>
                <w:szCs w:val="18"/>
              </w:rPr>
            </w:pPr>
            <w:r>
              <w:rPr>
                <w:rFonts w:ascii="黑体" w:hAnsi="黑体" w:cs="黑体" w:eastAsia="黑体" w:hint="default"/>
                <w:sz w:val="18"/>
                <w:szCs w:val="18"/>
              </w:rPr>
              <w:t>计算机软</w:t>
            </w:r>
            <w:r>
              <w:rPr>
                <w:rFonts w:ascii="Arial" w:hAnsi="Arial" w:cs="Arial" w:eastAsia="Arial" w:hint="default"/>
                <w:sz w:val="18"/>
                <w:szCs w:val="18"/>
              </w:rPr>
              <w:t>/</w:t>
            </w:r>
            <w:r>
              <w:rPr>
                <w:rFonts w:ascii="黑体" w:hAnsi="黑体" w:cs="黑体" w:eastAsia="黑体" w:hint="default"/>
                <w:sz w:val="18"/>
                <w:szCs w:val="18"/>
              </w:rPr>
              <w:t>硬 件</w:t>
            </w:r>
            <w:r>
              <w:rPr>
                <w:rFonts w:ascii="Arial" w:hAnsi="Arial" w:cs="Arial" w:eastAsia="Arial" w:hint="default"/>
                <w:sz w:val="18"/>
                <w:szCs w:val="18"/>
              </w:rPr>
              <w:t>/</w:t>
            </w:r>
            <w:r>
              <w:rPr>
                <w:rFonts w:ascii="黑体" w:hAnsi="黑体" w:cs="黑体" w:eastAsia="黑体" w:hint="default"/>
                <w:sz w:val="18"/>
                <w:szCs w:val="18"/>
              </w:rPr>
              <w:t>耗材、技 </w:t>
            </w:r>
            <w:r>
              <w:rPr>
                <w:rFonts w:ascii="黑体" w:hAnsi="黑体" w:cs="黑体" w:eastAsia="黑体" w:hint="default"/>
                <w:spacing w:val="-15"/>
                <w:sz w:val="18"/>
                <w:szCs w:val="18"/>
              </w:rPr>
              <w:t>术咨询、电子</w:t>
            </w:r>
            <w:r>
              <w:rPr>
                <w:rFonts w:ascii="黑体" w:hAnsi="黑体" w:cs="黑体" w:eastAsia="黑体" w:hint="default"/>
                <w:spacing w:val="-87"/>
                <w:sz w:val="18"/>
                <w:szCs w:val="18"/>
              </w:rPr>
              <w:t> </w:t>
            </w:r>
            <w:r>
              <w:rPr>
                <w:rFonts w:ascii="黑体" w:hAnsi="黑体" w:cs="黑体" w:eastAsia="黑体" w:hint="default"/>
                <w:spacing w:val="-87"/>
                <w:sz w:val="18"/>
                <w:szCs w:val="18"/>
              </w:rPr>
            </w:r>
            <w:r>
              <w:rPr>
                <w:rFonts w:ascii="黑体" w:hAnsi="黑体" w:cs="黑体" w:eastAsia="黑体" w:hint="default"/>
                <w:sz w:val="18"/>
                <w:szCs w:val="18"/>
              </w:rPr>
              <w:t>行业</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4"/>
              <w:jc w:val="right"/>
              <w:rPr>
                <w:rFonts w:ascii="Arial" w:hAnsi="Arial" w:cs="Arial" w:eastAsia="Arial" w:hint="default"/>
                <w:sz w:val="18"/>
                <w:szCs w:val="18"/>
              </w:rPr>
            </w:pPr>
            <w:r>
              <w:rPr>
                <w:rFonts w:ascii="Arial"/>
                <w:spacing w:val="-1"/>
                <w:sz w:val="18"/>
              </w:rPr>
              <w:t>5,000,000</w:t>
            </w:r>
          </w:p>
        </w:tc>
        <w:tc>
          <w:tcPr>
            <w:tcW w:w="2510" w:type="dxa"/>
            <w:tcBorders>
              <w:top w:val="nil" w:sz="6" w:space="0" w:color="auto"/>
              <w:left w:val="nil" w:sz="6" w:space="0" w:color="auto"/>
              <w:bottom w:val="nil" w:sz="6" w:space="0" w:color="auto"/>
              <w:right w:val="nil" w:sz="6" w:space="0" w:color="auto"/>
            </w:tcBorders>
          </w:tcPr>
          <w:p>
            <w:pPr>
              <w:pStyle w:val="TableParagraph"/>
              <w:spacing w:line="204" w:lineRule="auto" w:before="101"/>
              <w:ind w:left="26" w:right="130"/>
              <w:jc w:val="both"/>
              <w:rPr>
                <w:rFonts w:ascii="黑体" w:hAnsi="黑体" w:cs="黑体" w:eastAsia="黑体" w:hint="default"/>
                <w:sz w:val="18"/>
                <w:szCs w:val="18"/>
              </w:rPr>
            </w:pPr>
            <w:r>
              <w:rPr>
                <w:rFonts w:ascii="黑体" w:hAnsi="黑体" w:cs="黑体" w:eastAsia="黑体" w:hint="default"/>
                <w:sz w:val="18"/>
                <w:szCs w:val="18"/>
              </w:rPr>
              <w:t>计算机软、硬件及外部设备的</w:t>
            </w:r>
            <w:r>
              <w:rPr>
                <w:rFonts w:ascii="黑体" w:hAnsi="黑体" w:cs="黑体" w:eastAsia="黑体" w:hint="default"/>
                <w:spacing w:val="-81"/>
                <w:sz w:val="18"/>
                <w:szCs w:val="18"/>
              </w:rPr>
              <w:t> </w:t>
            </w:r>
            <w:r>
              <w:rPr>
                <w:rFonts w:ascii="黑体" w:hAnsi="黑体" w:cs="黑体" w:eastAsia="黑体" w:hint="default"/>
                <w:spacing w:val="-81"/>
                <w:sz w:val="18"/>
                <w:szCs w:val="18"/>
              </w:rPr>
            </w:r>
            <w:r>
              <w:rPr>
                <w:rFonts w:ascii="黑体" w:hAnsi="黑体" w:cs="黑体" w:eastAsia="黑体" w:hint="default"/>
                <w:sz w:val="18"/>
                <w:szCs w:val="18"/>
              </w:rPr>
              <w:t>技术开发、咨询服务；技术转</w:t>
            </w:r>
            <w:r>
              <w:rPr>
                <w:rFonts w:ascii="黑体" w:hAnsi="黑体" w:cs="黑体" w:eastAsia="黑体" w:hint="default"/>
                <w:spacing w:val="-81"/>
                <w:sz w:val="18"/>
                <w:szCs w:val="18"/>
              </w:rPr>
              <w:t> </w:t>
            </w:r>
            <w:r>
              <w:rPr>
                <w:rFonts w:ascii="黑体" w:hAnsi="黑体" w:cs="黑体" w:eastAsia="黑体" w:hint="default"/>
                <w:spacing w:val="-81"/>
                <w:sz w:val="18"/>
                <w:szCs w:val="18"/>
              </w:rPr>
            </w:r>
            <w:r>
              <w:rPr>
                <w:rFonts w:ascii="黑体" w:hAnsi="黑体" w:cs="黑体" w:eastAsia="黑体" w:hint="default"/>
                <w:sz w:val="18"/>
                <w:szCs w:val="18"/>
              </w:rPr>
              <w:t>让，技术培训及数据库服务；</w:t>
            </w:r>
            <w:r>
              <w:rPr>
                <w:rFonts w:ascii="黑体" w:hAnsi="黑体" w:cs="黑体" w:eastAsia="黑体" w:hint="default"/>
                <w:spacing w:val="-81"/>
                <w:sz w:val="18"/>
                <w:szCs w:val="18"/>
              </w:rPr>
              <w:t> </w:t>
            </w:r>
            <w:r>
              <w:rPr>
                <w:rFonts w:ascii="黑体" w:hAnsi="黑体" w:cs="黑体" w:eastAsia="黑体" w:hint="default"/>
                <w:spacing w:val="-81"/>
                <w:sz w:val="18"/>
                <w:szCs w:val="18"/>
              </w:rPr>
            </w:r>
            <w:r>
              <w:rPr>
                <w:rFonts w:ascii="黑体" w:hAnsi="黑体" w:cs="黑体" w:eastAsia="黑体" w:hint="default"/>
                <w:sz w:val="18"/>
                <w:szCs w:val="18"/>
              </w:rPr>
              <w:t>企业管理咨询；进出口业务；</w:t>
            </w:r>
            <w:r>
              <w:rPr>
                <w:rFonts w:ascii="黑体" w:hAnsi="黑体" w:cs="黑体" w:eastAsia="黑体" w:hint="default"/>
                <w:spacing w:val="-81"/>
                <w:sz w:val="18"/>
                <w:szCs w:val="18"/>
              </w:rPr>
              <w:t> </w:t>
            </w:r>
            <w:r>
              <w:rPr>
                <w:rFonts w:ascii="黑体" w:hAnsi="黑体" w:cs="黑体" w:eastAsia="黑体" w:hint="default"/>
                <w:spacing w:val="-81"/>
                <w:sz w:val="18"/>
                <w:szCs w:val="18"/>
              </w:rPr>
            </w:r>
            <w:r>
              <w:rPr>
                <w:rFonts w:ascii="黑体" w:hAnsi="黑体" w:cs="黑体" w:eastAsia="黑体" w:hint="default"/>
                <w:sz w:val="18"/>
                <w:szCs w:val="18"/>
              </w:rPr>
              <w:t>计算机软、硬件及外部设备、</w:t>
            </w:r>
            <w:r>
              <w:rPr>
                <w:rFonts w:ascii="黑体" w:hAnsi="黑体" w:cs="黑体" w:eastAsia="黑体" w:hint="default"/>
                <w:spacing w:val="-81"/>
                <w:sz w:val="18"/>
                <w:szCs w:val="18"/>
              </w:rPr>
              <w:t> </w:t>
            </w:r>
            <w:r>
              <w:rPr>
                <w:rFonts w:ascii="黑体" w:hAnsi="黑体" w:cs="黑体" w:eastAsia="黑体" w:hint="default"/>
                <w:spacing w:val="-81"/>
                <w:sz w:val="18"/>
                <w:szCs w:val="18"/>
              </w:rPr>
            </w:r>
            <w:r>
              <w:rPr>
                <w:rFonts w:ascii="黑体" w:hAnsi="黑体" w:cs="黑体" w:eastAsia="黑体" w:hint="default"/>
                <w:sz w:val="18"/>
                <w:szCs w:val="18"/>
              </w:rPr>
              <w:t>耗材、打印纸销售。</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68"/>
              <w:jc w:val="right"/>
              <w:rPr>
                <w:rFonts w:ascii="Arial" w:hAnsi="Arial" w:cs="Arial" w:eastAsia="Arial" w:hint="default"/>
                <w:sz w:val="18"/>
                <w:szCs w:val="18"/>
              </w:rPr>
            </w:pPr>
            <w:r>
              <w:rPr>
                <w:rFonts w:ascii="Arial"/>
                <w:spacing w:val="-1"/>
                <w:sz w:val="18"/>
              </w:rPr>
              <w:t>79531918-8</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19"/>
              <w:jc w:val="right"/>
              <w:rPr>
                <w:rFonts w:ascii="Arial" w:hAnsi="Arial" w:cs="Arial" w:eastAsia="Arial" w:hint="default"/>
                <w:sz w:val="18"/>
                <w:szCs w:val="18"/>
              </w:rPr>
            </w:pPr>
            <w:r>
              <w:rPr>
                <w:rFonts w:ascii="Arial"/>
                <w:spacing w:val="-1"/>
                <w:sz w:val="18"/>
              </w:rPr>
              <w:t>5,000,000</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05" w:right="0"/>
              <w:jc w:val="center"/>
              <w:rPr>
                <w:rFonts w:ascii="Arial" w:hAnsi="Arial" w:cs="Arial" w:eastAsia="Arial" w:hint="default"/>
                <w:sz w:val="18"/>
                <w:szCs w:val="18"/>
              </w:rPr>
            </w:pPr>
            <w:r>
              <w:rPr>
                <w:rFonts w:ascii="Arial"/>
                <w:sz w:val="18"/>
              </w:rPr>
              <w:t>100</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58"/>
              <w:jc w:val="right"/>
              <w:rPr>
                <w:rFonts w:ascii="Arial" w:hAnsi="Arial" w:cs="Arial" w:eastAsia="Arial" w:hint="default"/>
                <w:sz w:val="18"/>
                <w:szCs w:val="18"/>
              </w:rPr>
            </w:pPr>
            <w:r>
              <w:rPr>
                <w:rFonts w:ascii="Arial"/>
                <w:w w:val="95"/>
                <w:sz w:val="18"/>
              </w:rPr>
              <w:t>100</w:t>
            </w:r>
            <w:r>
              <w:rPr>
                <w:rFonts w:ascii="Arial"/>
                <w:sz w:val="18"/>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05"/>
              <w:jc w:val="right"/>
              <w:rPr>
                <w:rFonts w:ascii="黑体" w:hAnsi="黑体" w:cs="黑体" w:eastAsia="黑体" w:hint="default"/>
                <w:sz w:val="18"/>
                <w:szCs w:val="18"/>
              </w:rPr>
            </w:pPr>
            <w:r>
              <w:rPr>
                <w:rFonts w:ascii="黑体" w:hAnsi="黑体" w:cs="黑体" w:eastAsia="黑体" w:hint="default"/>
                <w:sz w:val="18"/>
                <w:szCs w:val="18"/>
              </w:rPr>
              <w:t>是</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1445" w:hRule="exact"/>
        </w:trPr>
        <w:tc>
          <w:tcPr>
            <w:tcW w:w="1791" w:type="dxa"/>
            <w:tcBorders>
              <w:top w:val="nil" w:sz="6" w:space="0" w:color="auto"/>
              <w:left w:val="nil" w:sz="6" w:space="0" w:color="auto"/>
              <w:bottom w:val="nil" w:sz="6" w:space="0" w:color="auto"/>
              <w:right w:val="nil" w:sz="6" w:space="0" w:color="auto"/>
            </w:tcBorders>
          </w:tcPr>
          <w:p>
            <w:pPr>
              <w:pStyle w:val="TableParagraph"/>
              <w:spacing w:line="199" w:lineRule="auto" w:before="143"/>
              <w:ind w:left="367" w:right="72" w:hanging="168"/>
              <w:jc w:val="both"/>
              <w:rPr>
                <w:rFonts w:ascii="Arial" w:hAnsi="Arial" w:cs="Arial" w:eastAsia="Arial" w:hint="default"/>
                <w:sz w:val="18"/>
                <w:szCs w:val="18"/>
              </w:rPr>
            </w:pPr>
            <w:r>
              <w:rPr>
                <w:rFonts w:ascii="黑体" w:hAnsi="黑体" w:cs="黑体" w:eastAsia="黑体" w:hint="default"/>
                <w:spacing w:val="9"/>
                <w:sz w:val="18"/>
                <w:szCs w:val="18"/>
              </w:rPr>
              <w:t>江西用友软件有限 </w:t>
            </w:r>
            <w:r>
              <w:rPr>
                <w:rFonts w:ascii="黑体" w:hAnsi="黑体" w:cs="黑体" w:eastAsia="黑体" w:hint="default"/>
                <w:spacing w:val="2"/>
                <w:sz w:val="18"/>
                <w:szCs w:val="18"/>
              </w:rPr>
              <w:t>责任公司</w:t>
            </w:r>
            <w:r>
              <w:rPr>
                <w:rFonts w:ascii="Arial" w:hAnsi="Arial" w:cs="Arial" w:eastAsia="Arial" w:hint="default"/>
                <w:spacing w:val="2"/>
                <w:sz w:val="18"/>
                <w:szCs w:val="18"/>
              </w:rPr>
              <w:t>(</w:t>
            </w:r>
            <w:r>
              <w:rPr>
                <w:rFonts w:ascii="黑体" w:hAnsi="黑体" w:cs="黑体" w:eastAsia="黑体" w:hint="default"/>
                <w:spacing w:val="2"/>
                <w:sz w:val="18"/>
                <w:szCs w:val="18"/>
              </w:rPr>
              <w:t>以下简 </w:t>
            </w:r>
            <w:r>
              <w:rPr>
                <w:rFonts w:ascii="黑体" w:hAnsi="黑体" w:cs="黑体" w:eastAsia="黑体" w:hint="default"/>
                <w:sz w:val="18"/>
                <w:szCs w:val="18"/>
              </w:rPr>
              <w:t>称</w:t>
            </w:r>
            <w:r>
              <w:rPr>
                <w:rFonts w:ascii="Arial" w:hAnsi="Arial" w:cs="Arial" w:eastAsia="Arial" w:hint="default"/>
                <w:sz w:val="18"/>
                <w:szCs w:val="18"/>
              </w:rPr>
              <w:t>“</w:t>
            </w:r>
            <w:r>
              <w:rPr>
                <w:rFonts w:ascii="黑体" w:hAnsi="黑体" w:cs="黑体" w:eastAsia="黑体" w:hint="default"/>
                <w:sz w:val="18"/>
                <w:szCs w:val="18"/>
              </w:rPr>
              <w:t>江西用友</w:t>
            </w:r>
            <w:r>
              <w:rPr>
                <w:rFonts w:ascii="Arial" w:hAnsi="Arial" w:cs="Arial" w:eastAsia="Arial" w:hint="default"/>
                <w:sz w:val="18"/>
                <w:szCs w:val="18"/>
              </w:rPr>
              <w:t>”)</w:t>
            </w:r>
          </w:p>
        </w:tc>
        <w:tc>
          <w:tcPr>
            <w:tcW w:w="1069" w:type="dxa"/>
            <w:tcBorders>
              <w:top w:val="nil" w:sz="6" w:space="0" w:color="auto"/>
              <w:left w:val="nil" w:sz="6" w:space="0" w:color="auto"/>
              <w:bottom w:val="nil" w:sz="6" w:space="0" w:color="auto"/>
              <w:right w:val="nil" w:sz="6" w:space="0" w:color="auto"/>
            </w:tcBorders>
          </w:tcPr>
          <w:p>
            <w:pPr>
              <w:pStyle w:val="TableParagraph"/>
              <w:spacing w:line="199" w:lineRule="auto" w:before="124"/>
              <w:ind w:left="268" w:right="78" w:hanging="180"/>
              <w:jc w:val="left"/>
              <w:rPr>
                <w:rFonts w:ascii="Arial" w:hAnsi="Arial" w:cs="Arial" w:eastAsia="Arial" w:hint="default"/>
                <w:sz w:val="18"/>
                <w:szCs w:val="18"/>
              </w:rPr>
            </w:pPr>
            <w:r>
              <w:rPr>
                <w:rFonts w:ascii="黑体" w:hAnsi="黑体" w:cs="黑体" w:eastAsia="黑体" w:hint="default"/>
                <w:sz w:val="18"/>
                <w:szCs w:val="18"/>
              </w:rPr>
              <w:t>有限责任公 司</w:t>
            </w:r>
            <w:r>
              <w:rPr>
                <w:rFonts w:ascii="Arial" w:hAnsi="Arial" w:cs="Arial" w:eastAsia="Arial" w:hint="default"/>
                <w:sz w:val="18"/>
                <w:szCs w:val="18"/>
              </w:rPr>
              <w:t>(</w:t>
            </w:r>
            <w:r>
              <w:rPr>
                <w:rFonts w:ascii="黑体" w:hAnsi="黑体" w:cs="黑体" w:eastAsia="黑体" w:hint="default"/>
                <w:sz w:val="18"/>
                <w:szCs w:val="18"/>
              </w:rPr>
              <w:t>法人 独资</w:t>
            </w:r>
            <w:r>
              <w:rPr>
                <w:rFonts w:ascii="Arial" w:hAnsi="Arial" w:cs="Arial" w:eastAsia="Arial" w:hint="default"/>
                <w:sz w:val="18"/>
                <w:szCs w:val="18"/>
              </w:rPr>
              <w:t>)</w:t>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9"/>
              <w:jc w:val="right"/>
              <w:rPr>
                <w:rFonts w:ascii="黑体" w:hAnsi="黑体" w:cs="黑体" w:eastAsia="黑体" w:hint="default"/>
                <w:sz w:val="18"/>
                <w:szCs w:val="18"/>
              </w:rPr>
            </w:pPr>
            <w:r>
              <w:rPr>
                <w:rFonts w:ascii="黑体" w:hAnsi="黑体" w:cs="黑体" w:eastAsia="黑体" w:hint="default"/>
                <w:sz w:val="18"/>
                <w:szCs w:val="18"/>
              </w:rPr>
              <w:t>南昌市</w:t>
            </w: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6"/>
              <w:jc w:val="right"/>
              <w:rPr>
                <w:rFonts w:ascii="黑体" w:hAnsi="黑体" w:cs="黑体" w:eastAsia="黑体" w:hint="default"/>
                <w:sz w:val="18"/>
                <w:szCs w:val="18"/>
              </w:rPr>
            </w:pPr>
            <w:r>
              <w:rPr>
                <w:rFonts w:ascii="黑体" w:hAnsi="黑体" w:cs="黑体" w:eastAsia="黑体" w:hint="default"/>
                <w:sz w:val="18"/>
                <w:szCs w:val="18"/>
              </w:rPr>
              <w:t>王文京</w:t>
            </w:r>
          </w:p>
        </w:tc>
        <w:tc>
          <w:tcPr>
            <w:tcW w:w="1114" w:type="dxa"/>
            <w:tcBorders>
              <w:top w:val="nil" w:sz="6" w:space="0" w:color="auto"/>
              <w:left w:val="nil" w:sz="6" w:space="0" w:color="auto"/>
              <w:bottom w:val="nil" w:sz="6" w:space="0" w:color="auto"/>
              <w:right w:val="nil" w:sz="6" w:space="0" w:color="auto"/>
            </w:tcBorders>
          </w:tcPr>
          <w:p>
            <w:pPr>
              <w:pStyle w:val="TableParagraph"/>
              <w:spacing w:line="194" w:lineRule="auto" w:before="147"/>
              <w:ind w:left="26" w:right="134"/>
              <w:jc w:val="both"/>
              <w:rPr>
                <w:rFonts w:ascii="黑体" w:hAnsi="黑体" w:cs="黑体" w:eastAsia="黑体" w:hint="default"/>
                <w:sz w:val="18"/>
                <w:szCs w:val="18"/>
              </w:rPr>
            </w:pPr>
            <w:r>
              <w:rPr>
                <w:rFonts w:ascii="黑体" w:hAnsi="黑体" w:cs="黑体" w:eastAsia="黑体" w:hint="default"/>
                <w:sz w:val="18"/>
                <w:szCs w:val="18"/>
              </w:rPr>
              <w:t>计算机软</w:t>
            </w:r>
            <w:r>
              <w:rPr>
                <w:rFonts w:ascii="Arial" w:hAnsi="Arial" w:cs="Arial" w:eastAsia="Arial" w:hint="default"/>
                <w:sz w:val="18"/>
                <w:szCs w:val="18"/>
              </w:rPr>
              <w:t>/</w:t>
            </w:r>
            <w:r>
              <w:rPr>
                <w:rFonts w:ascii="黑体" w:hAnsi="黑体" w:cs="黑体" w:eastAsia="黑体" w:hint="default"/>
                <w:sz w:val="18"/>
                <w:szCs w:val="18"/>
              </w:rPr>
              <w:t>硬 件</w:t>
            </w:r>
            <w:r>
              <w:rPr>
                <w:rFonts w:ascii="Arial" w:hAnsi="Arial" w:cs="Arial" w:eastAsia="Arial" w:hint="default"/>
                <w:sz w:val="18"/>
                <w:szCs w:val="18"/>
              </w:rPr>
              <w:t>/</w:t>
            </w:r>
            <w:r>
              <w:rPr>
                <w:rFonts w:ascii="黑体" w:hAnsi="黑体" w:cs="黑体" w:eastAsia="黑体" w:hint="default"/>
                <w:sz w:val="18"/>
                <w:szCs w:val="18"/>
              </w:rPr>
              <w:t>耗材、电 子行业</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5"/>
              <w:jc w:val="right"/>
              <w:rPr>
                <w:rFonts w:ascii="Arial" w:hAnsi="Arial" w:cs="Arial" w:eastAsia="Arial" w:hint="default"/>
                <w:sz w:val="18"/>
                <w:szCs w:val="18"/>
              </w:rPr>
            </w:pPr>
            <w:r>
              <w:rPr>
                <w:rFonts w:ascii="Arial"/>
                <w:spacing w:val="-1"/>
                <w:sz w:val="18"/>
              </w:rPr>
              <w:t>20,000,000</w:t>
            </w:r>
          </w:p>
        </w:tc>
        <w:tc>
          <w:tcPr>
            <w:tcW w:w="2510" w:type="dxa"/>
            <w:tcBorders>
              <w:top w:val="nil" w:sz="6" w:space="0" w:color="auto"/>
              <w:left w:val="nil" w:sz="6" w:space="0" w:color="auto"/>
              <w:bottom w:val="nil" w:sz="6" w:space="0" w:color="auto"/>
              <w:right w:val="nil" w:sz="6" w:space="0" w:color="auto"/>
            </w:tcBorders>
          </w:tcPr>
          <w:p>
            <w:pPr>
              <w:pStyle w:val="TableParagraph"/>
              <w:spacing w:line="204" w:lineRule="auto" w:before="139"/>
              <w:ind w:left="26" w:right="130"/>
              <w:jc w:val="both"/>
              <w:rPr>
                <w:rFonts w:ascii="黑体" w:hAnsi="黑体" w:cs="黑体" w:eastAsia="黑体" w:hint="default"/>
                <w:sz w:val="18"/>
                <w:szCs w:val="18"/>
              </w:rPr>
            </w:pPr>
            <w:r>
              <w:rPr>
                <w:rFonts w:ascii="黑体" w:hAnsi="黑体" w:cs="黑体" w:eastAsia="黑体" w:hint="default"/>
                <w:sz w:val="18"/>
                <w:szCs w:val="18"/>
              </w:rPr>
              <w:t>计算机软件、硬件及外部设备</w:t>
            </w:r>
            <w:r>
              <w:rPr>
                <w:rFonts w:ascii="黑体" w:hAnsi="黑体" w:cs="黑体" w:eastAsia="黑体" w:hint="default"/>
                <w:spacing w:val="-81"/>
                <w:sz w:val="18"/>
                <w:szCs w:val="18"/>
              </w:rPr>
              <w:t> </w:t>
            </w:r>
            <w:r>
              <w:rPr>
                <w:rFonts w:ascii="黑体" w:hAnsi="黑体" w:cs="黑体" w:eastAsia="黑体" w:hint="default"/>
                <w:spacing w:val="-81"/>
                <w:sz w:val="18"/>
                <w:szCs w:val="18"/>
              </w:rPr>
            </w:r>
            <w:r>
              <w:rPr>
                <w:rFonts w:ascii="黑体" w:hAnsi="黑体" w:cs="黑体" w:eastAsia="黑体" w:hint="default"/>
                <w:sz w:val="18"/>
                <w:szCs w:val="18"/>
              </w:rPr>
              <w:t>的技术开发、技术咨询、技术</w:t>
            </w:r>
            <w:r>
              <w:rPr>
                <w:rFonts w:ascii="黑体" w:hAnsi="黑体" w:cs="黑体" w:eastAsia="黑体" w:hint="default"/>
                <w:spacing w:val="-81"/>
                <w:sz w:val="18"/>
                <w:szCs w:val="18"/>
              </w:rPr>
              <w:t> </w:t>
            </w:r>
            <w:r>
              <w:rPr>
                <w:rFonts w:ascii="黑体" w:hAnsi="黑体" w:cs="黑体" w:eastAsia="黑体" w:hint="default"/>
                <w:spacing w:val="-81"/>
                <w:sz w:val="18"/>
                <w:szCs w:val="18"/>
              </w:rPr>
            </w:r>
            <w:r>
              <w:rPr>
                <w:rFonts w:ascii="黑体" w:hAnsi="黑体" w:cs="黑体" w:eastAsia="黑体" w:hint="default"/>
                <w:sz w:val="18"/>
                <w:szCs w:val="18"/>
              </w:rPr>
              <w:t>转让、技术服务；企业管理咨</w:t>
            </w:r>
            <w:r>
              <w:rPr>
                <w:rFonts w:ascii="黑体" w:hAnsi="黑体" w:cs="黑体" w:eastAsia="黑体" w:hint="default"/>
                <w:spacing w:val="-81"/>
                <w:sz w:val="18"/>
                <w:szCs w:val="18"/>
              </w:rPr>
              <w:t> </w:t>
            </w:r>
            <w:r>
              <w:rPr>
                <w:rFonts w:ascii="黑体" w:hAnsi="黑体" w:cs="黑体" w:eastAsia="黑体" w:hint="default"/>
                <w:spacing w:val="-81"/>
                <w:sz w:val="18"/>
                <w:szCs w:val="18"/>
              </w:rPr>
            </w:r>
            <w:r>
              <w:rPr>
                <w:rFonts w:ascii="黑体" w:hAnsi="黑体" w:cs="黑体" w:eastAsia="黑体" w:hint="default"/>
                <w:sz w:val="18"/>
                <w:szCs w:val="18"/>
              </w:rPr>
              <w:t>询；数据库服务；系统集成；</w:t>
            </w:r>
            <w:r>
              <w:rPr>
                <w:rFonts w:ascii="黑体" w:hAnsi="黑体" w:cs="黑体" w:eastAsia="黑体" w:hint="default"/>
                <w:spacing w:val="-81"/>
                <w:sz w:val="18"/>
                <w:szCs w:val="18"/>
              </w:rPr>
              <w:t> </w:t>
            </w:r>
            <w:r>
              <w:rPr>
                <w:rFonts w:ascii="黑体" w:hAnsi="黑体" w:cs="黑体" w:eastAsia="黑体" w:hint="default"/>
                <w:spacing w:val="-81"/>
                <w:sz w:val="18"/>
                <w:szCs w:val="18"/>
              </w:rPr>
            </w:r>
            <w:r>
              <w:rPr>
                <w:rFonts w:ascii="黑体" w:hAnsi="黑体" w:cs="黑体" w:eastAsia="黑体" w:hint="default"/>
                <w:sz w:val="18"/>
                <w:szCs w:val="18"/>
              </w:rPr>
              <w:t>计算机软硬件及外部设备、打</w:t>
            </w:r>
            <w:r>
              <w:rPr>
                <w:rFonts w:ascii="黑体" w:hAnsi="黑体" w:cs="黑体" w:eastAsia="黑体" w:hint="default"/>
                <w:spacing w:val="-81"/>
                <w:sz w:val="18"/>
                <w:szCs w:val="18"/>
              </w:rPr>
              <w:t> </w:t>
            </w:r>
            <w:r>
              <w:rPr>
                <w:rFonts w:ascii="黑体" w:hAnsi="黑体" w:cs="黑体" w:eastAsia="黑体" w:hint="default"/>
                <w:spacing w:val="-81"/>
                <w:sz w:val="18"/>
                <w:szCs w:val="18"/>
              </w:rPr>
            </w:r>
            <w:r>
              <w:rPr>
                <w:rFonts w:ascii="黑体" w:hAnsi="黑体" w:cs="黑体" w:eastAsia="黑体" w:hint="default"/>
                <w:sz w:val="18"/>
                <w:szCs w:val="18"/>
              </w:rPr>
              <w:t>印纸、计算机耗材销售。</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68"/>
              <w:jc w:val="right"/>
              <w:rPr>
                <w:rFonts w:ascii="Arial" w:hAnsi="Arial" w:cs="Arial" w:eastAsia="Arial" w:hint="default"/>
                <w:sz w:val="18"/>
                <w:szCs w:val="18"/>
              </w:rPr>
            </w:pPr>
            <w:r>
              <w:rPr>
                <w:rFonts w:ascii="Arial"/>
                <w:spacing w:val="-1"/>
                <w:sz w:val="18"/>
              </w:rPr>
              <w:t>67497181-5</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320"/>
              <w:jc w:val="right"/>
              <w:rPr>
                <w:rFonts w:ascii="Arial" w:hAnsi="Arial" w:cs="Arial" w:eastAsia="Arial" w:hint="default"/>
                <w:sz w:val="18"/>
                <w:szCs w:val="18"/>
              </w:rPr>
            </w:pPr>
            <w:r>
              <w:rPr>
                <w:rFonts w:ascii="Arial"/>
                <w:spacing w:val="-1"/>
                <w:sz w:val="18"/>
              </w:rPr>
              <w:t>20,000,000</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105" w:right="0"/>
              <w:jc w:val="center"/>
              <w:rPr>
                <w:rFonts w:ascii="Arial" w:hAnsi="Arial" w:cs="Arial" w:eastAsia="Arial" w:hint="default"/>
                <w:sz w:val="18"/>
                <w:szCs w:val="18"/>
              </w:rPr>
            </w:pPr>
            <w:r>
              <w:rPr>
                <w:rFonts w:ascii="Arial"/>
                <w:sz w:val="18"/>
              </w:rPr>
              <w:t>100</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58"/>
              <w:jc w:val="right"/>
              <w:rPr>
                <w:rFonts w:ascii="Arial" w:hAnsi="Arial" w:cs="Arial" w:eastAsia="Arial" w:hint="default"/>
                <w:sz w:val="18"/>
                <w:szCs w:val="18"/>
              </w:rPr>
            </w:pPr>
            <w:r>
              <w:rPr>
                <w:rFonts w:ascii="Arial"/>
                <w:w w:val="95"/>
                <w:sz w:val="18"/>
              </w:rPr>
              <w:t>100</w:t>
            </w:r>
            <w:r>
              <w:rPr>
                <w:rFonts w:ascii="Arial"/>
                <w:sz w:val="18"/>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05"/>
              <w:jc w:val="right"/>
              <w:rPr>
                <w:rFonts w:ascii="黑体" w:hAnsi="黑体" w:cs="黑体" w:eastAsia="黑体" w:hint="default"/>
                <w:sz w:val="18"/>
                <w:szCs w:val="18"/>
              </w:rPr>
            </w:pPr>
            <w:r>
              <w:rPr>
                <w:rFonts w:ascii="黑体" w:hAnsi="黑体" w:cs="黑体" w:eastAsia="黑体" w:hint="default"/>
                <w:sz w:val="18"/>
                <w:szCs w:val="18"/>
              </w:rPr>
              <w:t>是</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908" w:hRule="exact"/>
        </w:trPr>
        <w:tc>
          <w:tcPr>
            <w:tcW w:w="1791" w:type="dxa"/>
            <w:tcBorders>
              <w:top w:val="nil" w:sz="6" w:space="0" w:color="auto"/>
              <w:left w:val="nil" w:sz="6" w:space="0" w:color="auto"/>
              <w:bottom w:val="nil" w:sz="6" w:space="0" w:color="auto"/>
              <w:right w:val="nil" w:sz="6" w:space="0" w:color="auto"/>
            </w:tcBorders>
          </w:tcPr>
          <w:p>
            <w:pPr>
              <w:pStyle w:val="TableParagraph"/>
              <w:spacing w:line="200" w:lineRule="exact" w:before="114"/>
              <w:ind w:left="367" w:right="45" w:hanging="168"/>
              <w:jc w:val="both"/>
              <w:rPr>
                <w:rFonts w:ascii="Arial" w:hAnsi="Arial" w:cs="Arial" w:eastAsia="Arial" w:hint="default"/>
                <w:sz w:val="18"/>
                <w:szCs w:val="18"/>
              </w:rPr>
            </w:pPr>
            <w:r>
              <w:rPr>
                <w:rFonts w:ascii="黑体" w:hAnsi="黑体" w:cs="黑体" w:eastAsia="黑体" w:hint="default"/>
                <w:spacing w:val="9"/>
                <w:sz w:val="18"/>
                <w:szCs w:val="18"/>
              </w:rPr>
              <w:t>湖南用友软件有限</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pacing w:val="16"/>
                <w:sz w:val="18"/>
                <w:szCs w:val="18"/>
              </w:rPr>
              <w:t>公司</w:t>
            </w:r>
            <w:r>
              <w:rPr>
                <w:rFonts w:ascii="黑体" w:hAnsi="黑体" w:cs="黑体" w:eastAsia="黑体" w:hint="default"/>
                <w:spacing w:val="-56"/>
                <w:sz w:val="18"/>
                <w:szCs w:val="18"/>
              </w:rPr>
              <w:t> </w:t>
            </w:r>
            <w:r>
              <w:rPr>
                <w:rFonts w:ascii="Arial" w:hAnsi="Arial" w:cs="Arial" w:eastAsia="Arial" w:hint="default"/>
                <w:sz w:val="18"/>
                <w:szCs w:val="18"/>
              </w:rPr>
              <w:t>(</w:t>
            </w:r>
            <w:r>
              <w:rPr>
                <w:rFonts w:ascii="Arial" w:hAnsi="Arial" w:cs="Arial" w:eastAsia="Arial" w:hint="default"/>
                <w:spacing w:val="-16"/>
                <w:sz w:val="18"/>
                <w:szCs w:val="18"/>
              </w:rPr>
              <w:t> </w:t>
            </w:r>
            <w:r>
              <w:rPr>
                <w:rFonts w:ascii="黑体" w:hAnsi="黑体" w:cs="黑体" w:eastAsia="黑体" w:hint="default"/>
                <w:spacing w:val="24"/>
                <w:sz w:val="18"/>
                <w:szCs w:val="18"/>
              </w:rPr>
              <w:t>以下简称</w:t>
            </w:r>
            <w:r>
              <w:rPr>
                <w:rFonts w:ascii="黑体" w:hAnsi="黑体" w:cs="黑体" w:eastAsia="黑体" w:hint="default"/>
                <w:spacing w:val="-57"/>
                <w:sz w:val="18"/>
                <w:szCs w:val="18"/>
              </w:rPr>
              <w:t> </w:t>
            </w:r>
            <w:r>
              <w:rPr>
                <w:rFonts w:ascii="Arial" w:hAnsi="Arial" w:cs="Arial" w:eastAsia="Arial" w:hint="default"/>
                <w:sz w:val="18"/>
                <w:szCs w:val="18"/>
              </w:rPr>
              <w:t>“</w:t>
            </w:r>
            <w:r>
              <w:rPr>
                <w:rFonts w:ascii="黑体" w:hAnsi="黑体" w:cs="黑体" w:eastAsia="黑体" w:hint="default"/>
                <w:sz w:val="18"/>
                <w:szCs w:val="18"/>
              </w:rPr>
              <w:t>湖南用友</w:t>
            </w:r>
            <w:r>
              <w:rPr>
                <w:rFonts w:ascii="Arial" w:hAnsi="Arial" w:cs="Arial" w:eastAsia="Arial" w:hint="default"/>
                <w:sz w:val="18"/>
                <w:szCs w:val="18"/>
              </w:rPr>
              <w:t>”)</w:t>
            </w:r>
          </w:p>
        </w:tc>
        <w:tc>
          <w:tcPr>
            <w:tcW w:w="1069" w:type="dxa"/>
            <w:tcBorders>
              <w:top w:val="nil" w:sz="6" w:space="0" w:color="auto"/>
              <w:left w:val="nil" w:sz="6" w:space="0" w:color="auto"/>
              <w:bottom w:val="nil" w:sz="6" w:space="0" w:color="auto"/>
              <w:right w:val="nil" w:sz="6" w:space="0" w:color="auto"/>
            </w:tcBorders>
          </w:tcPr>
          <w:p>
            <w:pPr>
              <w:pStyle w:val="TableParagraph"/>
              <w:spacing w:line="200" w:lineRule="exact" w:before="95"/>
              <w:ind w:left="268" w:right="78" w:hanging="180"/>
              <w:jc w:val="left"/>
              <w:rPr>
                <w:rFonts w:ascii="黑体" w:hAnsi="黑体" w:cs="黑体" w:eastAsia="黑体" w:hint="default"/>
                <w:sz w:val="18"/>
                <w:szCs w:val="18"/>
              </w:rPr>
            </w:pPr>
            <w:r>
              <w:rPr>
                <w:rFonts w:ascii="黑体" w:hAnsi="黑体" w:cs="黑体" w:eastAsia="黑体" w:hint="default"/>
                <w:sz w:val="18"/>
                <w:szCs w:val="18"/>
              </w:rPr>
              <w:t>有限责任公 司</w:t>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9"/>
              <w:jc w:val="right"/>
              <w:rPr>
                <w:rFonts w:ascii="黑体" w:hAnsi="黑体" w:cs="黑体" w:eastAsia="黑体" w:hint="default"/>
                <w:sz w:val="18"/>
                <w:szCs w:val="18"/>
              </w:rPr>
            </w:pPr>
            <w:r>
              <w:rPr>
                <w:rFonts w:ascii="黑体" w:hAnsi="黑体" w:cs="黑体" w:eastAsia="黑体" w:hint="default"/>
                <w:sz w:val="18"/>
                <w:szCs w:val="18"/>
              </w:rPr>
              <w:t>长沙市</w:t>
            </w: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4"/>
              <w:jc w:val="right"/>
              <w:rPr>
                <w:rFonts w:ascii="黑体" w:hAnsi="黑体" w:cs="黑体" w:eastAsia="黑体" w:hint="default"/>
                <w:sz w:val="18"/>
                <w:szCs w:val="18"/>
              </w:rPr>
            </w:pPr>
            <w:r>
              <w:rPr>
                <w:rFonts w:ascii="黑体" w:hAnsi="黑体" w:cs="黑体" w:eastAsia="黑体" w:hint="default"/>
                <w:sz w:val="18"/>
                <w:szCs w:val="18"/>
              </w:rPr>
              <w:t>李友</w:t>
            </w:r>
          </w:p>
        </w:tc>
        <w:tc>
          <w:tcPr>
            <w:tcW w:w="1114" w:type="dxa"/>
            <w:tcBorders>
              <w:top w:val="nil" w:sz="6" w:space="0" w:color="auto"/>
              <w:left w:val="nil" w:sz="6" w:space="0" w:color="auto"/>
              <w:bottom w:val="nil" w:sz="6" w:space="0" w:color="auto"/>
              <w:right w:val="nil" w:sz="6" w:space="0" w:color="auto"/>
            </w:tcBorders>
          </w:tcPr>
          <w:p>
            <w:pPr>
              <w:pStyle w:val="TableParagraph"/>
              <w:spacing w:line="200" w:lineRule="exact" w:before="114"/>
              <w:ind w:left="26" w:right="134"/>
              <w:jc w:val="left"/>
              <w:rPr>
                <w:rFonts w:ascii="黑体" w:hAnsi="黑体" w:cs="黑体" w:eastAsia="黑体" w:hint="default"/>
                <w:sz w:val="18"/>
                <w:szCs w:val="18"/>
              </w:rPr>
            </w:pPr>
            <w:r>
              <w:rPr>
                <w:rFonts w:ascii="黑体" w:hAnsi="黑体" w:cs="黑体" w:eastAsia="黑体" w:hint="default"/>
                <w:sz w:val="18"/>
                <w:szCs w:val="18"/>
              </w:rPr>
              <w:t>计算机软</w:t>
            </w:r>
            <w:r>
              <w:rPr>
                <w:rFonts w:ascii="Arial" w:hAnsi="Arial" w:cs="Arial" w:eastAsia="Arial" w:hint="default"/>
                <w:sz w:val="18"/>
                <w:szCs w:val="18"/>
              </w:rPr>
              <w:t>/</w:t>
            </w:r>
            <w:r>
              <w:rPr>
                <w:rFonts w:ascii="黑体" w:hAnsi="黑体" w:cs="黑体" w:eastAsia="黑体" w:hint="default"/>
                <w:sz w:val="18"/>
                <w:szCs w:val="18"/>
              </w:rPr>
              <w:t>硬 件</w:t>
            </w:r>
            <w:r>
              <w:rPr>
                <w:rFonts w:ascii="Arial" w:hAnsi="Arial" w:cs="Arial" w:eastAsia="Arial" w:hint="default"/>
                <w:sz w:val="18"/>
                <w:szCs w:val="18"/>
              </w:rPr>
              <w:t>/</w:t>
            </w:r>
            <w:r>
              <w:rPr>
                <w:rFonts w:ascii="黑体" w:hAnsi="黑体" w:cs="黑体" w:eastAsia="黑体" w:hint="default"/>
                <w:sz w:val="18"/>
                <w:szCs w:val="18"/>
              </w:rPr>
              <w:t>咨询行业</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4"/>
              <w:jc w:val="right"/>
              <w:rPr>
                <w:rFonts w:ascii="Arial" w:hAnsi="Arial" w:cs="Arial" w:eastAsia="Arial" w:hint="default"/>
                <w:sz w:val="18"/>
                <w:szCs w:val="18"/>
              </w:rPr>
            </w:pPr>
            <w:r>
              <w:rPr>
                <w:rFonts w:ascii="Arial"/>
                <w:spacing w:val="-1"/>
                <w:sz w:val="18"/>
              </w:rPr>
              <w:t>3,000,000</w:t>
            </w:r>
          </w:p>
        </w:tc>
        <w:tc>
          <w:tcPr>
            <w:tcW w:w="2510" w:type="dxa"/>
            <w:tcBorders>
              <w:top w:val="nil" w:sz="6" w:space="0" w:color="auto"/>
              <w:left w:val="nil" w:sz="6" w:space="0" w:color="auto"/>
              <w:bottom w:val="nil" w:sz="6" w:space="0" w:color="auto"/>
              <w:right w:val="nil" w:sz="6" w:space="0" w:color="auto"/>
            </w:tcBorders>
          </w:tcPr>
          <w:p>
            <w:pPr>
              <w:pStyle w:val="TableParagraph"/>
              <w:spacing w:line="200" w:lineRule="exact" w:before="114"/>
              <w:ind w:left="26" w:right="41"/>
              <w:jc w:val="left"/>
              <w:rPr>
                <w:rFonts w:ascii="黑体" w:hAnsi="黑体" w:cs="黑体" w:eastAsia="黑体" w:hint="default"/>
                <w:sz w:val="18"/>
                <w:szCs w:val="18"/>
              </w:rPr>
            </w:pPr>
            <w:r>
              <w:rPr>
                <w:rFonts w:ascii="黑体" w:hAnsi="黑体" w:cs="黑体" w:eastAsia="黑体" w:hint="default"/>
                <w:sz w:val="18"/>
                <w:szCs w:val="18"/>
              </w:rPr>
              <w:t>计算机软硬件及配件的技术开</w:t>
            </w:r>
            <w:r>
              <w:rPr>
                <w:rFonts w:ascii="黑体" w:hAnsi="黑体" w:cs="黑体" w:eastAsia="黑体" w:hint="default"/>
                <w:spacing w:val="-81"/>
                <w:sz w:val="18"/>
                <w:szCs w:val="18"/>
              </w:rPr>
              <w:t> </w:t>
            </w:r>
            <w:r>
              <w:rPr>
                <w:rFonts w:ascii="黑体" w:hAnsi="黑体" w:cs="黑体" w:eastAsia="黑体" w:hint="default"/>
                <w:spacing w:val="-81"/>
                <w:sz w:val="18"/>
                <w:szCs w:val="18"/>
              </w:rPr>
            </w:r>
            <w:r>
              <w:rPr>
                <w:rFonts w:ascii="黑体" w:hAnsi="黑体" w:cs="黑体" w:eastAsia="黑体" w:hint="default"/>
                <w:sz w:val="18"/>
                <w:szCs w:val="18"/>
              </w:rPr>
              <w:t>发</w:t>
            </w:r>
            <w:r>
              <w:rPr>
                <w:rFonts w:ascii="Arial" w:hAnsi="Arial" w:cs="Arial" w:eastAsia="Arial" w:hint="default"/>
                <w:sz w:val="18"/>
                <w:szCs w:val="18"/>
              </w:rPr>
              <w:t>,</w:t>
            </w:r>
            <w:r>
              <w:rPr>
                <w:rFonts w:ascii="黑体" w:hAnsi="黑体" w:cs="黑体" w:eastAsia="黑体" w:hint="default"/>
                <w:sz w:val="18"/>
                <w:szCs w:val="18"/>
              </w:rPr>
              <w:t>技术咨询</w:t>
            </w:r>
            <w:r>
              <w:rPr>
                <w:rFonts w:ascii="Arial" w:hAnsi="Arial" w:cs="Arial" w:eastAsia="Arial" w:hint="default"/>
                <w:sz w:val="18"/>
                <w:szCs w:val="18"/>
              </w:rPr>
              <w:t>,</w:t>
            </w:r>
            <w:r>
              <w:rPr>
                <w:rFonts w:ascii="黑体" w:hAnsi="黑体" w:cs="黑体" w:eastAsia="黑体" w:hint="default"/>
                <w:sz w:val="18"/>
                <w:szCs w:val="18"/>
              </w:rPr>
              <w:t>技术转让及销售； 数据库服务；企业管理咨询。</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68"/>
              <w:jc w:val="right"/>
              <w:rPr>
                <w:rFonts w:ascii="Arial" w:hAnsi="Arial" w:cs="Arial" w:eastAsia="Arial" w:hint="default"/>
                <w:sz w:val="18"/>
                <w:szCs w:val="18"/>
              </w:rPr>
            </w:pPr>
            <w:r>
              <w:rPr>
                <w:rFonts w:ascii="Arial"/>
                <w:spacing w:val="-1"/>
                <w:sz w:val="18"/>
              </w:rPr>
              <w:t>68030653-9</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319"/>
              <w:jc w:val="right"/>
              <w:rPr>
                <w:rFonts w:ascii="Arial" w:hAnsi="Arial" w:cs="Arial" w:eastAsia="Arial" w:hint="default"/>
                <w:sz w:val="18"/>
                <w:szCs w:val="18"/>
              </w:rPr>
            </w:pPr>
            <w:r>
              <w:rPr>
                <w:rFonts w:ascii="Arial"/>
                <w:spacing w:val="-1"/>
                <w:sz w:val="18"/>
              </w:rPr>
              <w:t>3,000,000</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05" w:right="0"/>
              <w:jc w:val="center"/>
              <w:rPr>
                <w:rFonts w:ascii="Arial" w:hAnsi="Arial" w:cs="Arial" w:eastAsia="Arial" w:hint="default"/>
                <w:sz w:val="18"/>
                <w:szCs w:val="18"/>
              </w:rPr>
            </w:pPr>
            <w:r>
              <w:rPr>
                <w:rFonts w:ascii="Arial"/>
                <w:sz w:val="18"/>
              </w:rPr>
              <w:t>100</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58"/>
              <w:jc w:val="right"/>
              <w:rPr>
                <w:rFonts w:ascii="Arial" w:hAnsi="Arial" w:cs="Arial" w:eastAsia="Arial" w:hint="default"/>
                <w:sz w:val="18"/>
                <w:szCs w:val="18"/>
              </w:rPr>
            </w:pPr>
            <w:r>
              <w:rPr>
                <w:rFonts w:ascii="Arial"/>
                <w:w w:val="95"/>
                <w:sz w:val="18"/>
              </w:rPr>
              <w:t>100</w:t>
            </w:r>
            <w:r>
              <w:rPr>
                <w:rFonts w:ascii="Arial"/>
                <w:sz w:val="18"/>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05"/>
              <w:jc w:val="right"/>
              <w:rPr>
                <w:rFonts w:ascii="黑体" w:hAnsi="黑体" w:cs="黑体" w:eastAsia="黑体" w:hint="default"/>
                <w:sz w:val="18"/>
                <w:szCs w:val="18"/>
              </w:rPr>
            </w:pPr>
            <w:r>
              <w:rPr>
                <w:rFonts w:ascii="黑体" w:hAnsi="黑体" w:cs="黑体" w:eastAsia="黑体" w:hint="default"/>
                <w:sz w:val="18"/>
                <w:szCs w:val="18"/>
              </w:rPr>
              <w:t>是</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999" w:hRule="exact"/>
        </w:trPr>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4"/>
                <w:szCs w:val="14"/>
              </w:rPr>
            </w:pPr>
          </w:p>
          <w:p>
            <w:pPr>
              <w:pStyle w:val="TableParagraph"/>
              <w:spacing w:line="196" w:lineRule="auto"/>
              <w:ind w:left="367" w:right="43" w:hanging="168"/>
              <w:jc w:val="both"/>
              <w:rPr>
                <w:rFonts w:ascii="Arial" w:hAnsi="Arial" w:cs="Arial" w:eastAsia="Arial" w:hint="default"/>
                <w:sz w:val="18"/>
                <w:szCs w:val="18"/>
              </w:rPr>
            </w:pPr>
            <w:r>
              <w:rPr>
                <w:rFonts w:ascii="黑体" w:hAnsi="黑体" w:cs="黑体" w:eastAsia="黑体" w:hint="default"/>
                <w:spacing w:val="9"/>
                <w:sz w:val="18"/>
                <w:szCs w:val="18"/>
              </w:rPr>
              <w:t>内蒙古用友软件技</w:t>
            </w:r>
            <w:r>
              <w:rPr>
                <w:rFonts w:ascii="黑体" w:hAnsi="黑体" w:cs="黑体" w:eastAsia="黑体" w:hint="default"/>
                <w:spacing w:val="-85"/>
                <w:sz w:val="18"/>
                <w:szCs w:val="18"/>
              </w:rPr>
              <w:t> </w:t>
            </w:r>
            <w:r>
              <w:rPr>
                <w:rFonts w:ascii="黑体" w:hAnsi="黑体" w:cs="黑体" w:eastAsia="黑体" w:hint="default"/>
                <w:spacing w:val="-85"/>
                <w:sz w:val="18"/>
                <w:szCs w:val="18"/>
              </w:rPr>
            </w:r>
            <w:r>
              <w:rPr>
                <w:rFonts w:ascii="黑体" w:hAnsi="黑体" w:cs="黑体" w:eastAsia="黑体" w:hint="default"/>
                <w:spacing w:val="3"/>
                <w:sz w:val="18"/>
                <w:szCs w:val="18"/>
              </w:rPr>
              <w:t>术有限公司</w:t>
            </w:r>
            <w:r>
              <w:rPr>
                <w:rFonts w:ascii="Arial" w:hAnsi="Arial" w:cs="Arial" w:eastAsia="Arial" w:hint="default"/>
                <w:spacing w:val="3"/>
                <w:sz w:val="18"/>
                <w:szCs w:val="18"/>
              </w:rPr>
              <w:t>(</w:t>
            </w:r>
            <w:r>
              <w:rPr>
                <w:rFonts w:ascii="黑体" w:hAnsi="黑体" w:cs="黑体" w:eastAsia="黑体" w:hint="default"/>
                <w:spacing w:val="3"/>
                <w:sz w:val="18"/>
                <w:szCs w:val="18"/>
              </w:rPr>
              <w:t>以下</w:t>
            </w:r>
            <w:r>
              <w:rPr>
                <w:rFonts w:ascii="黑体" w:hAnsi="黑体" w:cs="黑体" w:eastAsia="黑体" w:hint="default"/>
                <w:spacing w:val="4"/>
                <w:sz w:val="18"/>
                <w:szCs w:val="18"/>
              </w:rPr>
              <w:t> </w:t>
            </w:r>
            <w:r>
              <w:rPr>
                <w:rFonts w:ascii="黑体" w:hAnsi="黑体" w:cs="黑体" w:eastAsia="黑体" w:hint="default"/>
                <w:spacing w:val="16"/>
                <w:sz w:val="18"/>
                <w:szCs w:val="18"/>
              </w:rPr>
              <w:t>简称</w:t>
            </w:r>
            <w:r>
              <w:rPr>
                <w:rFonts w:ascii="黑体" w:hAnsi="黑体" w:cs="黑体" w:eastAsia="黑体" w:hint="default"/>
                <w:spacing w:val="-57"/>
                <w:sz w:val="18"/>
                <w:szCs w:val="18"/>
              </w:rPr>
              <w:t> </w:t>
            </w:r>
            <w:r>
              <w:rPr>
                <w:rFonts w:ascii="Arial" w:hAnsi="Arial" w:cs="Arial" w:eastAsia="Arial" w:hint="default"/>
                <w:sz w:val="18"/>
                <w:szCs w:val="18"/>
              </w:rPr>
              <w:t>“</w:t>
            </w:r>
            <w:r>
              <w:rPr>
                <w:rFonts w:ascii="Arial" w:hAnsi="Arial" w:cs="Arial" w:eastAsia="Arial" w:hint="default"/>
                <w:spacing w:val="-17"/>
                <w:sz w:val="18"/>
                <w:szCs w:val="18"/>
              </w:rPr>
              <w:t> </w:t>
            </w:r>
            <w:r>
              <w:rPr>
                <w:rFonts w:ascii="黑体" w:hAnsi="黑体" w:cs="黑体" w:eastAsia="黑体" w:hint="default"/>
                <w:sz w:val="18"/>
                <w:szCs w:val="18"/>
              </w:rPr>
              <w:t>内</w:t>
            </w:r>
            <w:r>
              <w:rPr>
                <w:rFonts w:ascii="黑体" w:hAnsi="黑体" w:cs="黑体" w:eastAsia="黑体" w:hint="default"/>
                <w:spacing w:val="-54"/>
                <w:sz w:val="18"/>
                <w:szCs w:val="18"/>
              </w:rPr>
              <w:t> </w:t>
            </w:r>
            <w:r>
              <w:rPr>
                <w:rFonts w:ascii="黑体" w:hAnsi="黑体" w:cs="黑体" w:eastAsia="黑体" w:hint="default"/>
                <w:spacing w:val="22"/>
                <w:sz w:val="18"/>
                <w:szCs w:val="18"/>
              </w:rPr>
              <w:t>蒙古用</w:t>
            </w:r>
            <w:r>
              <w:rPr>
                <w:rFonts w:ascii="黑体" w:hAnsi="黑体" w:cs="黑体" w:eastAsia="黑体" w:hint="default"/>
                <w:spacing w:val="-57"/>
                <w:sz w:val="18"/>
                <w:szCs w:val="18"/>
              </w:rPr>
              <w:t> </w:t>
            </w:r>
            <w:r>
              <w:rPr>
                <w:rFonts w:ascii="黑体" w:hAnsi="黑体" w:cs="黑体" w:eastAsia="黑体" w:hint="default"/>
                <w:sz w:val="18"/>
                <w:szCs w:val="18"/>
              </w:rPr>
              <w:t>友</w:t>
            </w:r>
            <w:r>
              <w:rPr>
                <w:rFonts w:ascii="Arial" w:hAnsi="Arial" w:cs="Arial" w:eastAsia="Arial" w:hint="default"/>
                <w:sz w:val="18"/>
                <w:szCs w:val="18"/>
              </w:rPr>
              <w:t>”)</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13"/>
                <w:szCs w:val="13"/>
              </w:rPr>
            </w:pPr>
          </w:p>
          <w:p>
            <w:pPr>
              <w:pStyle w:val="TableParagraph"/>
              <w:spacing w:line="199" w:lineRule="auto"/>
              <w:ind w:left="266" w:right="80" w:hanging="221"/>
              <w:jc w:val="left"/>
              <w:rPr>
                <w:rFonts w:ascii="Arial" w:hAnsi="Arial" w:cs="Arial" w:eastAsia="Arial" w:hint="default"/>
                <w:sz w:val="18"/>
                <w:szCs w:val="18"/>
              </w:rPr>
            </w:pPr>
            <w:r>
              <w:rPr>
                <w:rFonts w:ascii="黑体" w:hAnsi="黑体" w:cs="黑体" w:eastAsia="黑体" w:hint="default"/>
                <w:sz w:val="18"/>
                <w:szCs w:val="18"/>
              </w:rPr>
              <w:t>有限责任公 司</w:t>
            </w:r>
            <w:r>
              <w:rPr>
                <w:rFonts w:ascii="Arial" w:hAnsi="Arial" w:cs="Arial" w:eastAsia="Arial" w:hint="default"/>
                <w:sz w:val="18"/>
                <w:szCs w:val="18"/>
              </w:rPr>
              <w:t>(</w:t>
            </w:r>
            <w:r>
              <w:rPr>
                <w:rFonts w:ascii="黑体" w:hAnsi="黑体" w:cs="黑体" w:eastAsia="黑体" w:hint="default"/>
                <w:sz w:val="18"/>
                <w:szCs w:val="18"/>
              </w:rPr>
              <w:t>自然 人投资或 控股</w:t>
            </w:r>
            <w:r>
              <w:rPr>
                <w:rFonts w:ascii="Arial" w:hAnsi="Arial" w:cs="Arial" w:eastAsia="Arial" w:hint="default"/>
                <w:sz w:val="18"/>
                <w:szCs w:val="18"/>
              </w:rPr>
              <w:t>)</w:t>
            </w:r>
          </w:p>
        </w:tc>
        <w:tc>
          <w:tcPr>
            <w:tcW w:w="1012"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9"/>
              <w:jc w:val="right"/>
              <w:rPr>
                <w:rFonts w:ascii="黑体" w:hAnsi="黑体" w:cs="黑体" w:eastAsia="黑体" w:hint="default"/>
                <w:sz w:val="18"/>
                <w:szCs w:val="18"/>
              </w:rPr>
            </w:pPr>
            <w:r>
              <w:rPr>
                <w:rFonts w:ascii="黑体" w:hAnsi="黑体" w:cs="黑体" w:eastAsia="黑体" w:hint="default"/>
                <w:sz w:val="18"/>
                <w:szCs w:val="18"/>
              </w:rPr>
              <w:t>呼和浩特市</w:t>
            </w:r>
          </w:p>
        </w:tc>
        <w:tc>
          <w:tcPr>
            <w:tcW w:w="600"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4"/>
              <w:jc w:val="right"/>
              <w:rPr>
                <w:rFonts w:ascii="黑体" w:hAnsi="黑体" w:cs="黑体" w:eastAsia="黑体" w:hint="default"/>
                <w:sz w:val="18"/>
                <w:szCs w:val="18"/>
              </w:rPr>
            </w:pPr>
            <w:r>
              <w:rPr>
                <w:rFonts w:ascii="黑体" w:hAnsi="黑体" w:cs="黑体" w:eastAsia="黑体" w:hint="default"/>
                <w:sz w:val="18"/>
                <w:szCs w:val="18"/>
              </w:rPr>
              <w:t>李友</w:t>
            </w: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5"/>
                <w:szCs w:val="15"/>
              </w:rPr>
            </w:pPr>
          </w:p>
          <w:p>
            <w:pPr>
              <w:pStyle w:val="TableParagraph"/>
              <w:spacing w:line="202" w:lineRule="exact"/>
              <w:ind w:left="26" w:right="134"/>
              <w:jc w:val="left"/>
              <w:rPr>
                <w:rFonts w:ascii="黑体" w:hAnsi="黑体" w:cs="黑体" w:eastAsia="黑体" w:hint="default"/>
                <w:sz w:val="18"/>
                <w:szCs w:val="18"/>
              </w:rPr>
            </w:pPr>
            <w:r>
              <w:rPr>
                <w:rFonts w:ascii="黑体" w:hAnsi="黑体" w:cs="黑体" w:eastAsia="黑体" w:hint="default"/>
                <w:sz w:val="18"/>
                <w:szCs w:val="18"/>
              </w:rPr>
              <w:t>计算机软</w:t>
            </w:r>
            <w:r>
              <w:rPr>
                <w:rFonts w:ascii="Arial" w:hAnsi="Arial" w:cs="Arial" w:eastAsia="Arial" w:hint="default"/>
                <w:sz w:val="18"/>
                <w:szCs w:val="18"/>
              </w:rPr>
              <w:t>/</w:t>
            </w:r>
            <w:r>
              <w:rPr>
                <w:rFonts w:ascii="黑体" w:hAnsi="黑体" w:cs="黑体" w:eastAsia="黑体" w:hint="default"/>
                <w:sz w:val="18"/>
                <w:szCs w:val="18"/>
              </w:rPr>
              <w:t>硬 件</w:t>
            </w:r>
            <w:r>
              <w:rPr>
                <w:rFonts w:ascii="Arial" w:hAnsi="Arial" w:cs="Arial" w:eastAsia="Arial" w:hint="default"/>
                <w:sz w:val="18"/>
                <w:szCs w:val="18"/>
              </w:rPr>
              <w:t>/</w:t>
            </w:r>
            <w:r>
              <w:rPr>
                <w:rFonts w:ascii="黑体" w:hAnsi="黑体" w:cs="黑体" w:eastAsia="黑体" w:hint="default"/>
                <w:sz w:val="18"/>
                <w:szCs w:val="18"/>
              </w:rPr>
              <w:t>咨询行业</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sz w:val="14"/>
                <w:szCs w:val="14"/>
              </w:rPr>
            </w:pPr>
          </w:p>
          <w:p>
            <w:pPr>
              <w:pStyle w:val="TableParagraph"/>
              <w:spacing w:line="240" w:lineRule="auto"/>
              <w:ind w:right="24"/>
              <w:jc w:val="right"/>
              <w:rPr>
                <w:rFonts w:ascii="Arial" w:hAnsi="Arial" w:cs="Arial" w:eastAsia="Arial" w:hint="default"/>
                <w:sz w:val="18"/>
                <w:szCs w:val="18"/>
              </w:rPr>
            </w:pPr>
            <w:r>
              <w:rPr>
                <w:rFonts w:ascii="Arial"/>
                <w:spacing w:val="-1"/>
                <w:sz w:val="18"/>
              </w:rPr>
              <w:t>3,000,000</w:t>
            </w:r>
          </w:p>
        </w:tc>
        <w:tc>
          <w:tcPr>
            <w:tcW w:w="251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4"/>
                <w:szCs w:val="14"/>
              </w:rPr>
            </w:pPr>
          </w:p>
          <w:p>
            <w:pPr>
              <w:pStyle w:val="TableParagraph"/>
              <w:spacing w:line="204" w:lineRule="auto"/>
              <w:ind w:left="26" w:right="130"/>
              <w:jc w:val="both"/>
              <w:rPr>
                <w:rFonts w:ascii="黑体" w:hAnsi="黑体" w:cs="黑体" w:eastAsia="黑体" w:hint="default"/>
                <w:sz w:val="18"/>
                <w:szCs w:val="18"/>
              </w:rPr>
            </w:pPr>
            <w:r>
              <w:rPr>
                <w:rFonts w:ascii="黑体" w:hAnsi="黑体" w:cs="黑体" w:eastAsia="黑体" w:hint="default"/>
                <w:sz w:val="18"/>
                <w:szCs w:val="18"/>
              </w:rPr>
              <w:t>软件业；计算机服务业；计算</w:t>
            </w:r>
            <w:r>
              <w:rPr>
                <w:rFonts w:ascii="黑体" w:hAnsi="黑体" w:cs="黑体" w:eastAsia="黑体" w:hint="default"/>
                <w:spacing w:val="-81"/>
                <w:sz w:val="18"/>
                <w:szCs w:val="18"/>
              </w:rPr>
              <w:t> </w:t>
            </w:r>
            <w:r>
              <w:rPr>
                <w:rFonts w:ascii="黑体" w:hAnsi="黑体" w:cs="黑体" w:eastAsia="黑体" w:hint="default"/>
                <w:spacing w:val="-81"/>
                <w:sz w:val="18"/>
                <w:szCs w:val="18"/>
              </w:rPr>
            </w:r>
            <w:r>
              <w:rPr>
                <w:rFonts w:ascii="黑体" w:hAnsi="黑体" w:cs="黑体" w:eastAsia="黑体" w:hint="default"/>
                <w:sz w:val="18"/>
                <w:szCs w:val="18"/>
              </w:rPr>
              <w:t>机、软件及辅助设备销售；企</w:t>
            </w:r>
            <w:r>
              <w:rPr>
                <w:rFonts w:ascii="黑体" w:hAnsi="黑体" w:cs="黑体" w:eastAsia="黑体" w:hint="default"/>
                <w:spacing w:val="-81"/>
                <w:sz w:val="18"/>
                <w:szCs w:val="18"/>
              </w:rPr>
              <w:t> </w:t>
            </w:r>
            <w:r>
              <w:rPr>
                <w:rFonts w:ascii="黑体" w:hAnsi="黑体" w:cs="黑体" w:eastAsia="黑体" w:hint="default"/>
                <w:spacing w:val="-81"/>
                <w:sz w:val="18"/>
                <w:szCs w:val="18"/>
              </w:rPr>
            </w:r>
            <w:r>
              <w:rPr>
                <w:rFonts w:ascii="黑体" w:hAnsi="黑体" w:cs="黑体" w:eastAsia="黑体" w:hint="default"/>
                <w:sz w:val="18"/>
                <w:szCs w:val="18"/>
              </w:rPr>
              <w:t>业管理咨询。</w:t>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sz w:val="14"/>
                <w:szCs w:val="14"/>
              </w:rPr>
            </w:pPr>
          </w:p>
          <w:p>
            <w:pPr>
              <w:pStyle w:val="TableParagraph"/>
              <w:spacing w:line="240" w:lineRule="auto"/>
              <w:ind w:right="168"/>
              <w:jc w:val="right"/>
              <w:rPr>
                <w:rFonts w:ascii="Arial" w:hAnsi="Arial" w:cs="Arial" w:eastAsia="Arial" w:hint="default"/>
                <w:sz w:val="18"/>
                <w:szCs w:val="18"/>
              </w:rPr>
            </w:pPr>
            <w:r>
              <w:rPr>
                <w:rFonts w:ascii="Arial"/>
                <w:spacing w:val="-1"/>
                <w:sz w:val="18"/>
              </w:rPr>
              <w:t>68342444-2</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sz w:val="14"/>
                <w:szCs w:val="14"/>
              </w:rPr>
            </w:pPr>
          </w:p>
          <w:p>
            <w:pPr>
              <w:pStyle w:val="TableParagraph"/>
              <w:spacing w:line="240" w:lineRule="auto"/>
              <w:ind w:right="319"/>
              <w:jc w:val="right"/>
              <w:rPr>
                <w:rFonts w:ascii="Arial" w:hAnsi="Arial" w:cs="Arial" w:eastAsia="Arial" w:hint="default"/>
                <w:sz w:val="18"/>
                <w:szCs w:val="18"/>
              </w:rPr>
            </w:pPr>
            <w:r>
              <w:rPr>
                <w:rFonts w:ascii="Arial"/>
                <w:spacing w:val="-1"/>
                <w:sz w:val="18"/>
              </w:rPr>
              <w:t>3,000,000</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sz w:val="14"/>
                <w:szCs w:val="14"/>
              </w:rPr>
            </w:pPr>
          </w:p>
          <w:p>
            <w:pPr>
              <w:pStyle w:val="TableParagraph"/>
              <w:spacing w:line="240" w:lineRule="auto"/>
              <w:ind w:left="105" w:right="0"/>
              <w:jc w:val="center"/>
              <w:rPr>
                <w:rFonts w:ascii="Arial" w:hAnsi="Arial" w:cs="Arial" w:eastAsia="Arial" w:hint="default"/>
                <w:sz w:val="18"/>
                <w:szCs w:val="18"/>
              </w:rPr>
            </w:pPr>
            <w:r>
              <w:rPr>
                <w:rFonts w:ascii="Arial"/>
                <w:sz w:val="18"/>
              </w:rPr>
              <w:t>100</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sz w:val="14"/>
                <w:szCs w:val="14"/>
              </w:rPr>
            </w:pPr>
          </w:p>
          <w:p>
            <w:pPr>
              <w:pStyle w:val="TableParagraph"/>
              <w:spacing w:line="240" w:lineRule="auto"/>
              <w:ind w:right="258"/>
              <w:jc w:val="right"/>
              <w:rPr>
                <w:rFonts w:ascii="Arial" w:hAnsi="Arial" w:cs="Arial" w:eastAsia="Arial" w:hint="default"/>
                <w:sz w:val="18"/>
                <w:szCs w:val="18"/>
              </w:rPr>
            </w:pPr>
            <w:r>
              <w:rPr>
                <w:rFonts w:ascii="Arial"/>
                <w:w w:val="95"/>
                <w:sz w:val="18"/>
              </w:rPr>
              <w:t>100</w:t>
            </w:r>
            <w:r>
              <w:rPr>
                <w:rFonts w:ascii="Arial"/>
                <w:sz w:val="18"/>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05"/>
              <w:jc w:val="right"/>
              <w:rPr>
                <w:rFonts w:ascii="黑体" w:hAnsi="黑体" w:cs="黑体" w:eastAsia="黑体" w:hint="default"/>
                <w:sz w:val="18"/>
                <w:szCs w:val="18"/>
              </w:rPr>
            </w:pPr>
            <w:r>
              <w:rPr>
                <w:rFonts w:ascii="黑体" w:hAnsi="黑体" w:cs="黑体" w:eastAsia="黑体" w:hint="default"/>
                <w:sz w:val="18"/>
                <w:szCs w:val="18"/>
              </w:rPr>
              <w:t>是</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sz w:val="14"/>
                <w:szCs w:val="14"/>
              </w:rPr>
            </w:pPr>
          </w:p>
          <w:p>
            <w:pPr>
              <w:pStyle w:val="TableParagraph"/>
              <w:spacing w:line="240" w:lineRule="auto"/>
              <w:ind w:right="198"/>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pgSz w:w="16850" w:h="11910" w:orient="landscape"/>
          <w:pgMar w:header="957" w:footer="857" w:top="2620" w:bottom="1040" w:left="420" w:right="140"/>
        </w:sectPr>
      </w:pPr>
    </w:p>
    <w:p>
      <w:pPr>
        <w:spacing w:line="240" w:lineRule="auto" w:before="7"/>
        <w:rPr>
          <w:rFonts w:ascii="黑体" w:hAnsi="黑体" w:cs="黑体" w:eastAsia="黑体" w:hint="default"/>
          <w:sz w:val="17"/>
          <w:szCs w:val="17"/>
        </w:rPr>
      </w:pPr>
    </w:p>
    <w:p>
      <w:pPr>
        <w:pStyle w:val="Heading6"/>
        <w:spacing w:line="240" w:lineRule="auto"/>
        <w:ind w:left="285" w:right="12054"/>
        <w:jc w:val="left"/>
        <w:rPr>
          <w:b w:val="0"/>
          <w:bCs w:val="0"/>
        </w:rPr>
      </w:pPr>
      <w:r>
        <w:rPr/>
        <w:t>四、合并财务报表的合并范围（续）</w:t>
      </w:r>
      <w:r>
        <w:rPr>
          <w:b w:val="0"/>
          <w:bCs w:val="0"/>
        </w:rPr>
      </w:r>
    </w:p>
    <w:p>
      <w:pPr>
        <w:spacing w:line="240" w:lineRule="auto" w:before="3"/>
        <w:rPr>
          <w:rFonts w:ascii="黑体" w:hAnsi="黑体" w:cs="黑体" w:eastAsia="黑体" w:hint="default"/>
          <w:b/>
          <w:bCs/>
          <w:sz w:val="15"/>
          <w:szCs w:val="15"/>
        </w:rPr>
      </w:pPr>
    </w:p>
    <w:p>
      <w:pPr>
        <w:tabs>
          <w:tab w:pos="715" w:val="left" w:leader="none"/>
        </w:tabs>
        <w:spacing w:line="398" w:lineRule="auto" w:before="0"/>
        <w:ind w:left="285" w:right="12054" w:firstLine="62"/>
        <w:jc w:val="left"/>
        <w:rPr>
          <w:rFonts w:ascii="黑体" w:hAnsi="黑体" w:cs="黑体" w:eastAsia="黑体" w:hint="default"/>
          <w:sz w:val="20"/>
          <w:szCs w:val="20"/>
        </w:rPr>
      </w:pPr>
      <w:r>
        <w:rPr>
          <w:rFonts w:ascii="Arial" w:hAnsi="Arial" w:cs="Arial" w:eastAsia="Arial" w:hint="default"/>
          <w:b/>
          <w:bCs/>
          <w:spacing w:val="-1"/>
          <w:sz w:val="20"/>
          <w:szCs w:val="20"/>
        </w:rPr>
        <w:t>1.</w:t>
        <w:tab/>
      </w:r>
      <w:r>
        <w:rPr>
          <w:rFonts w:ascii="黑体" w:hAnsi="黑体" w:cs="黑体" w:eastAsia="黑体" w:hint="default"/>
          <w:b/>
          <w:bCs/>
          <w:spacing w:val="1"/>
          <w:sz w:val="20"/>
          <w:szCs w:val="20"/>
        </w:rPr>
        <w:t>子公司情况（续）</w:t>
      </w:r>
      <w:r>
        <w:rPr>
          <w:rFonts w:ascii="黑体" w:hAnsi="黑体" w:cs="黑体" w:eastAsia="黑体" w:hint="default"/>
          <w:b/>
          <w:bCs/>
          <w:w w:val="99"/>
          <w:sz w:val="20"/>
          <w:szCs w:val="20"/>
        </w:rPr>
        <w:t> </w:t>
      </w:r>
      <w:r>
        <w:rPr>
          <w:rFonts w:ascii="黑体" w:hAnsi="黑体" w:cs="黑体" w:eastAsia="黑体" w:hint="default"/>
          <w:sz w:val="20"/>
          <w:szCs w:val="20"/>
        </w:rPr>
        <w:t>本集团重要子公司的情况如下（续）：</w:t>
      </w:r>
      <w:r>
        <w:rPr>
          <w:rFonts w:ascii="黑体" w:hAnsi="黑体" w:cs="黑体" w:eastAsia="黑体" w:hint="default"/>
          <w:w w:val="99"/>
          <w:sz w:val="20"/>
          <w:szCs w:val="20"/>
        </w:rPr>
        <w:t> </w:t>
      </w:r>
      <w:r>
        <w:rPr>
          <w:rFonts w:ascii="黑体" w:hAnsi="黑体" w:cs="黑体" w:eastAsia="黑体" w:hint="default"/>
          <w:sz w:val="20"/>
          <w:szCs w:val="20"/>
        </w:rPr>
        <w:t>通过设立或投资等方式取得的子公司（续）</w:t>
      </w:r>
    </w:p>
    <w:p>
      <w:pPr>
        <w:spacing w:line="240" w:lineRule="auto" w:before="12"/>
        <w:rPr>
          <w:rFonts w:ascii="黑体" w:hAnsi="黑体" w:cs="黑体" w:eastAsia="黑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1752"/>
        <w:gridCol w:w="1102"/>
        <w:gridCol w:w="623"/>
        <w:gridCol w:w="602"/>
        <w:gridCol w:w="1081"/>
        <w:gridCol w:w="1074"/>
        <w:gridCol w:w="2420"/>
        <w:gridCol w:w="1181"/>
        <w:gridCol w:w="1412"/>
        <w:gridCol w:w="1022"/>
        <w:gridCol w:w="1148"/>
        <w:gridCol w:w="1267"/>
        <w:gridCol w:w="1226"/>
      </w:tblGrid>
      <w:tr>
        <w:trPr>
          <w:trHeight w:val="240" w:hRule="exact"/>
        </w:trPr>
        <w:tc>
          <w:tcPr>
            <w:tcW w:w="1752"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180" w:lineRule="exact"/>
              <w:ind w:right="116"/>
              <w:jc w:val="right"/>
              <w:rPr>
                <w:rFonts w:ascii="黑体" w:hAnsi="黑体" w:cs="黑体" w:eastAsia="黑体" w:hint="default"/>
                <w:sz w:val="18"/>
                <w:szCs w:val="18"/>
              </w:rPr>
            </w:pPr>
            <w:r>
              <w:rPr>
                <w:rFonts w:ascii="黑体" w:hAnsi="黑体" w:cs="黑体" w:eastAsia="黑体" w:hint="default"/>
                <w:sz w:val="18"/>
                <w:szCs w:val="18"/>
              </w:rPr>
              <w:t>子公司</w:t>
            </w:r>
          </w:p>
        </w:tc>
        <w:tc>
          <w:tcPr>
            <w:tcW w:w="623" w:type="dxa"/>
            <w:tcBorders>
              <w:top w:val="nil" w:sz="6" w:space="0" w:color="auto"/>
              <w:left w:val="nil" w:sz="6" w:space="0" w:color="auto"/>
              <w:bottom w:val="nil" w:sz="6" w:space="0" w:color="auto"/>
              <w:right w:val="nil" w:sz="6" w:space="0" w:color="auto"/>
            </w:tcBorders>
          </w:tcPr>
          <w:p>
            <w:pPr/>
          </w:p>
        </w:tc>
        <w:tc>
          <w:tcPr>
            <w:tcW w:w="602" w:type="dxa"/>
            <w:tcBorders>
              <w:top w:val="nil" w:sz="6" w:space="0" w:color="auto"/>
              <w:left w:val="nil" w:sz="6" w:space="0" w:color="auto"/>
              <w:bottom w:val="nil" w:sz="6" w:space="0" w:color="auto"/>
              <w:right w:val="nil" w:sz="6" w:space="0" w:color="auto"/>
            </w:tcBorders>
          </w:tcPr>
          <w:p>
            <w:pPr>
              <w:pStyle w:val="TableParagraph"/>
              <w:spacing w:line="180" w:lineRule="exact"/>
              <w:ind w:right="38"/>
              <w:jc w:val="right"/>
              <w:rPr>
                <w:rFonts w:ascii="黑体" w:hAnsi="黑体" w:cs="黑体" w:eastAsia="黑体" w:hint="default"/>
                <w:sz w:val="18"/>
                <w:szCs w:val="18"/>
              </w:rPr>
            </w:pPr>
            <w:r>
              <w:rPr>
                <w:rFonts w:ascii="黑体" w:hAnsi="黑体" w:cs="黑体" w:eastAsia="黑体" w:hint="default"/>
                <w:sz w:val="18"/>
                <w:szCs w:val="18"/>
              </w:rPr>
              <w:t>法定</w:t>
            </w:r>
          </w:p>
        </w:tc>
        <w:tc>
          <w:tcPr>
            <w:tcW w:w="1081" w:type="dxa"/>
            <w:tcBorders>
              <w:top w:val="nil" w:sz="6" w:space="0" w:color="auto"/>
              <w:left w:val="nil" w:sz="6" w:space="0" w:color="auto"/>
              <w:bottom w:val="nil" w:sz="6" w:space="0" w:color="auto"/>
              <w:right w:val="nil" w:sz="6" w:space="0" w:color="auto"/>
            </w:tcBorders>
          </w:tcPr>
          <w:p>
            <w:pPr/>
          </w:p>
        </w:tc>
        <w:tc>
          <w:tcPr>
            <w:tcW w:w="1074" w:type="dxa"/>
            <w:tcBorders>
              <w:top w:val="nil" w:sz="6" w:space="0" w:color="auto"/>
              <w:left w:val="nil" w:sz="6" w:space="0" w:color="auto"/>
              <w:bottom w:val="nil" w:sz="6" w:space="0" w:color="auto"/>
              <w:right w:val="nil" w:sz="6" w:space="0" w:color="auto"/>
            </w:tcBorders>
          </w:tcPr>
          <w:p>
            <w:pPr/>
          </w:p>
        </w:tc>
        <w:tc>
          <w:tcPr>
            <w:tcW w:w="2420"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180" w:lineRule="exact"/>
              <w:ind w:right="85"/>
              <w:jc w:val="right"/>
              <w:rPr>
                <w:rFonts w:ascii="黑体" w:hAnsi="黑体" w:cs="黑体" w:eastAsia="黑体" w:hint="default"/>
                <w:sz w:val="18"/>
                <w:szCs w:val="18"/>
              </w:rPr>
            </w:pPr>
            <w:r>
              <w:rPr>
                <w:rFonts w:ascii="黑体" w:hAnsi="黑体" w:cs="黑体" w:eastAsia="黑体" w:hint="default"/>
                <w:sz w:val="18"/>
                <w:szCs w:val="18"/>
              </w:rPr>
              <w:t>组织机构</w:t>
            </w:r>
          </w:p>
        </w:tc>
        <w:tc>
          <w:tcPr>
            <w:tcW w:w="1412" w:type="dxa"/>
            <w:tcBorders>
              <w:top w:val="nil" w:sz="6" w:space="0" w:color="auto"/>
              <w:left w:val="nil" w:sz="6" w:space="0" w:color="auto"/>
              <w:bottom w:val="nil" w:sz="6" w:space="0" w:color="auto"/>
              <w:right w:val="nil" w:sz="6" w:space="0" w:color="auto"/>
            </w:tcBorders>
          </w:tcPr>
          <w:p>
            <w:pPr>
              <w:pStyle w:val="TableParagraph"/>
              <w:spacing w:line="180" w:lineRule="exact"/>
              <w:ind w:right="350"/>
              <w:jc w:val="right"/>
              <w:rPr>
                <w:rFonts w:ascii="黑体" w:hAnsi="黑体" w:cs="黑体" w:eastAsia="黑体" w:hint="default"/>
                <w:sz w:val="18"/>
                <w:szCs w:val="18"/>
              </w:rPr>
            </w:pPr>
            <w:r>
              <w:rPr>
                <w:rFonts w:ascii="黑体" w:hAnsi="黑体" w:cs="黑体" w:eastAsia="黑体" w:hint="default"/>
                <w:sz w:val="18"/>
                <w:szCs w:val="18"/>
              </w:rPr>
              <w:t>年末实际</w:t>
            </w:r>
          </w:p>
        </w:tc>
        <w:tc>
          <w:tcPr>
            <w:tcW w:w="1022" w:type="dxa"/>
            <w:tcBorders>
              <w:top w:val="nil" w:sz="6" w:space="0" w:color="auto"/>
              <w:left w:val="nil" w:sz="6" w:space="0" w:color="auto"/>
              <w:bottom w:val="nil" w:sz="6" w:space="0" w:color="auto"/>
              <w:right w:val="nil" w:sz="6" w:space="0" w:color="auto"/>
            </w:tcBorders>
          </w:tcPr>
          <w:p>
            <w:pPr>
              <w:pStyle w:val="TableParagraph"/>
              <w:spacing w:line="180" w:lineRule="exact"/>
              <w:ind w:right="12"/>
              <w:jc w:val="center"/>
              <w:rPr>
                <w:rFonts w:ascii="黑体" w:hAnsi="黑体" w:cs="黑体" w:eastAsia="黑体" w:hint="default"/>
                <w:sz w:val="18"/>
                <w:szCs w:val="18"/>
              </w:rPr>
            </w:pPr>
            <w:r>
              <w:rPr>
                <w:rFonts w:ascii="黑体" w:hAnsi="黑体" w:cs="黑体" w:eastAsia="黑体" w:hint="default"/>
                <w:sz w:val="18"/>
                <w:szCs w:val="18"/>
              </w:rPr>
              <w:t>持股</w:t>
            </w:r>
          </w:p>
        </w:tc>
        <w:tc>
          <w:tcPr>
            <w:tcW w:w="1148" w:type="dxa"/>
            <w:tcBorders>
              <w:top w:val="nil" w:sz="6" w:space="0" w:color="auto"/>
              <w:left w:val="nil" w:sz="6" w:space="0" w:color="auto"/>
              <w:bottom w:val="nil" w:sz="6" w:space="0" w:color="auto"/>
              <w:right w:val="nil" w:sz="6" w:space="0" w:color="auto"/>
            </w:tcBorders>
          </w:tcPr>
          <w:p>
            <w:pPr>
              <w:pStyle w:val="TableParagraph"/>
              <w:spacing w:line="180" w:lineRule="exact"/>
              <w:ind w:right="296"/>
              <w:jc w:val="right"/>
              <w:rPr>
                <w:rFonts w:ascii="黑体" w:hAnsi="黑体" w:cs="黑体" w:eastAsia="黑体" w:hint="default"/>
                <w:sz w:val="18"/>
                <w:szCs w:val="18"/>
              </w:rPr>
            </w:pPr>
            <w:r>
              <w:rPr>
                <w:rFonts w:ascii="黑体" w:hAnsi="黑体" w:cs="黑体" w:eastAsia="黑体" w:hint="default"/>
                <w:sz w:val="18"/>
                <w:szCs w:val="18"/>
              </w:rPr>
              <w:t>表决权</w:t>
            </w:r>
          </w:p>
        </w:tc>
        <w:tc>
          <w:tcPr>
            <w:tcW w:w="1267" w:type="dxa"/>
            <w:tcBorders>
              <w:top w:val="nil" w:sz="6" w:space="0" w:color="auto"/>
              <w:left w:val="nil" w:sz="6" w:space="0" w:color="auto"/>
              <w:bottom w:val="nil" w:sz="6" w:space="0" w:color="auto"/>
              <w:right w:val="nil" w:sz="6" w:space="0" w:color="auto"/>
            </w:tcBorders>
          </w:tcPr>
          <w:p>
            <w:pPr>
              <w:pStyle w:val="TableParagraph"/>
              <w:spacing w:line="180" w:lineRule="exact"/>
              <w:ind w:right="301"/>
              <w:jc w:val="right"/>
              <w:rPr>
                <w:rFonts w:ascii="黑体" w:hAnsi="黑体" w:cs="黑体" w:eastAsia="黑体" w:hint="default"/>
                <w:sz w:val="18"/>
                <w:szCs w:val="18"/>
              </w:rPr>
            </w:pPr>
            <w:r>
              <w:rPr>
                <w:rFonts w:ascii="黑体" w:hAnsi="黑体" w:cs="黑体" w:eastAsia="黑体" w:hint="default"/>
                <w:sz w:val="18"/>
                <w:szCs w:val="18"/>
              </w:rPr>
              <w:t>是否</w:t>
            </w:r>
          </w:p>
        </w:tc>
        <w:tc>
          <w:tcPr>
            <w:tcW w:w="1226" w:type="dxa"/>
            <w:tcBorders>
              <w:top w:val="nil" w:sz="6" w:space="0" w:color="auto"/>
              <w:left w:val="nil" w:sz="6" w:space="0" w:color="auto"/>
              <w:bottom w:val="nil" w:sz="6" w:space="0" w:color="auto"/>
              <w:right w:val="nil" w:sz="6" w:space="0" w:color="auto"/>
            </w:tcBorders>
          </w:tcPr>
          <w:p>
            <w:pPr>
              <w:pStyle w:val="TableParagraph"/>
              <w:spacing w:line="180" w:lineRule="exact"/>
              <w:ind w:right="226"/>
              <w:jc w:val="right"/>
              <w:rPr>
                <w:rFonts w:ascii="黑体" w:hAnsi="黑体" w:cs="黑体" w:eastAsia="黑体" w:hint="default"/>
                <w:sz w:val="18"/>
                <w:szCs w:val="18"/>
              </w:rPr>
            </w:pPr>
            <w:r>
              <w:rPr>
                <w:rFonts w:ascii="黑体" w:hAnsi="黑体" w:cs="黑体" w:eastAsia="黑体" w:hint="default"/>
                <w:sz w:val="18"/>
                <w:szCs w:val="18"/>
              </w:rPr>
              <w:t>少数股东</w:t>
            </w:r>
          </w:p>
        </w:tc>
      </w:tr>
      <w:tr>
        <w:trPr>
          <w:trHeight w:val="295" w:hRule="exact"/>
        </w:trPr>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4"/>
              <w:ind w:left="368" w:right="0"/>
              <w:jc w:val="left"/>
              <w:rPr>
                <w:rFonts w:ascii="黑体" w:hAnsi="黑体" w:cs="黑体" w:eastAsia="黑体" w:hint="default"/>
                <w:sz w:val="18"/>
                <w:szCs w:val="18"/>
              </w:rPr>
            </w:pPr>
            <w:r>
              <w:rPr>
                <w:rFonts w:ascii="黑体" w:hAnsi="黑体" w:cs="黑体" w:eastAsia="黑体" w:hint="default"/>
                <w:sz w:val="18"/>
                <w:szCs w:val="18"/>
              </w:rPr>
              <w:t>被投资单位名称</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88"/>
              <w:jc w:val="right"/>
              <w:rPr>
                <w:rFonts w:ascii="黑体" w:hAnsi="黑体" w:cs="黑体" w:eastAsia="黑体" w:hint="default"/>
                <w:sz w:val="18"/>
                <w:szCs w:val="18"/>
              </w:rPr>
            </w:pPr>
            <w:r>
              <w:rPr>
                <w:rFonts w:ascii="黑体" w:hAnsi="黑体" w:cs="黑体" w:eastAsia="黑体" w:hint="default"/>
                <w:sz w:val="18"/>
                <w:szCs w:val="18"/>
              </w:rPr>
              <w:t>类型</w:t>
            </w:r>
          </w:p>
        </w:tc>
        <w:tc>
          <w:tcPr>
            <w:tcW w:w="62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2"/>
              <w:jc w:val="right"/>
              <w:rPr>
                <w:rFonts w:ascii="黑体" w:hAnsi="黑体" w:cs="黑体" w:eastAsia="黑体" w:hint="default"/>
                <w:sz w:val="18"/>
                <w:szCs w:val="18"/>
              </w:rPr>
            </w:pPr>
            <w:r>
              <w:rPr>
                <w:rFonts w:ascii="黑体" w:hAnsi="黑体" w:cs="黑体" w:eastAsia="黑体" w:hint="default"/>
                <w:sz w:val="18"/>
                <w:szCs w:val="18"/>
              </w:rPr>
              <w:t>注册地</w:t>
            </w:r>
          </w:p>
        </w:tc>
        <w:tc>
          <w:tcPr>
            <w:tcW w:w="60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2"/>
              <w:jc w:val="right"/>
              <w:rPr>
                <w:rFonts w:ascii="黑体" w:hAnsi="黑体" w:cs="黑体" w:eastAsia="黑体" w:hint="default"/>
                <w:sz w:val="18"/>
                <w:szCs w:val="18"/>
              </w:rPr>
            </w:pPr>
            <w:r>
              <w:rPr>
                <w:rFonts w:ascii="黑体" w:hAnsi="黑体" w:cs="黑体" w:eastAsia="黑体" w:hint="default"/>
                <w:sz w:val="18"/>
                <w:szCs w:val="18"/>
              </w:rPr>
              <w:t>代表人</w:t>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4"/>
              <w:ind w:left="331" w:right="0"/>
              <w:jc w:val="left"/>
              <w:rPr>
                <w:rFonts w:ascii="黑体" w:hAnsi="黑体" w:cs="黑体" w:eastAsia="黑体" w:hint="default"/>
                <w:sz w:val="18"/>
                <w:szCs w:val="18"/>
              </w:rPr>
            </w:pPr>
            <w:r>
              <w:rPr>
                <w:rFonts w:ascii="黑体" w:hAnsi="黑体" w:cs="黑体" w:eastAsia="黑体" w:hint="default"/>
                <w:sz w:val="18"/>
                <w:szCs w:val="18"/>
              </w:rPr>
              <w:t>业务性质</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2"/>
              <w:jc w:val="right"/>
              <w:rPr>
                <w:rFonts w:ascii="黑体" w:hAnsi="黑体" w:cs="黑体" w:eastAsia="黑体" w:hint="default"/>
                <w:sz w:val="18"/>
                <w:szCs w:val="18"/>
              </w:rPr>
            </w:pPr>
            <w:r>
              <w:rPr>
                <w:rFonts w:ascii="黑体" w:hAnsi="黑体" w:cs="黑体" w:eastAsia="黑体" w:hint="default"/>
                <w:sz w:val="18"/>
                <w:szCs w:val="18"/>
              </w:rPr>
              <w:t>注册资本</w:t>
            </w: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4"/>
              <w:ind w:left="1507" w:right="0"/>
              <w:jc w:val="left"/>
              <w:rPr>
                <w:rFonts w:ascii="黑体" w:hAnsi="黑体" w:cs="黑体" w:eastAsia="黑体" w:hint="default"/>
                <w:sz w:val="18"/>
                <w:szCs w:val="18"/>
              </w:rPr>
            </w:pPr>
            <w:r>
              <w:rPr>
                <w:rFonts w:ascii="黑体" w:hAnsi="黑体" w:cs="黑体" w:eastAsia="黑体" w:hint="default"/>
                <w:sz w:val="18"/>
                <w:szCs w:val="18"/>
              </w:rPr>
              <w:t>经营范围</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6"/>
              <w:jc w:val="right"/>
              <w:rPr>
                <w:rFonts w:ascii="黑体" w:hAnsi="黑体" w:cs="黑体" w:eastAsia="黑体" w:hint="default"/>
                <w:sz w:val="18"/>
                <w:szCs w:val="18"/>
              </w:rPr>
            </w:pPr>
            <w:r>
              <w:rPr>
                <w:rFonts w:ascii="黑体" w:hAnsi="黑体" w:cs="黑体" w:eastAsia="黑体" w:hint="default"/>
                <w:sz w:val="18"/>
                <w:szCs w:val="18"/>
              </w:rPr>
              <w:t>代码</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23"/>
              <w:jc w:val="right"/>
              <w:rPr>
                <w:rFonts w:ascii="黑体" w:hAnsi="黑体" w:cs="黑体" w:eastAsia="黑体" w:hint="default"/>
                <w:sz w:val="18"/>
                <w:szCs w:val="18"/>
              </w:rPr>
            </w:pPr>
            <w:r>
              <w:rPr>
                <w:rFonts w:ascii="黑体" w:hAnsi="黑体" w:cs="黑体" w:eastAsia="黑体" w:hint="default"/>
                <w:sz w:val="18"/>
                <w:szCs w:val="18"/>
              </w:rPr>
              <w:t>出资额</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4"/>
              <w:ind w:left="43" w:right="0"/>
              <w:jc w:val="center"/>
              <w:rPr>
                <w:rFonts w:ascii="黑体" w:hAnsi="黑体" w:cs="黑体" w:eastAsia="黑体" w:hint="default"/>
                <w:sz w:val="18"/>
                <w:szCs w:val="18"/>
              </w:rPr>
            </w:pPr>
            <w:r>
              <w:rPr>
                <w:rFonts w:ascii="黑体" w:hAnsi="黑体" w:cs="黑体" w:eastAsia="黑体" w:hint="default"/>
                <w:sz w:val="18"/>
                <w:szCs w:val="18"/>
              </w:rPr>
              <w:t>比例</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69"/>
              <w:jc w:val="right"/>
              <w:rPr>
                <w:rFonts w:ascii="黑体" w:hAnsi="黑体" w:cs="黑体" w:eastAsia="黑体" w:hint="default"/>
                <w:sz w:val="18"/>
                <w:szCs w:val="18"/>
              </w:rPr>
            </w:pPr>
            <w:r>
              <w:rPr>
                <w:rFonts w:ascii="黑体" w:hAnsi="黑体" w:cs="黑体" w:eastAsia="黑体" w:hint="default"/>
                <w:sz w:val="18"/>
                <w:szCs w:val="18"/>
              </w:rPr>
              <w:t>比例</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75"/>
              <w:jc w:val="right"/>
              <w:rPr>
                <w:rFonts w:ascii="黑体" w:hAnsi="黑体" w:cs="黑体" w:eastAsia="黑体" w:hint="default"/>
                <w:sz w:val="18"/>
                <w:szCs w:val="18"/>
              </w:rPr>
            </w:pPr>
            <w:r>
              <w:rPr>
                <w:rFonts w:ascii="黑体" w:hAnsi="黑体" w:cs="黑体" w:eastAsia="黑体" w:hint="default"/>
                <w:sz w:val="18"/>
                <w:szCs w:val="18"/>
              </w:rPr>
              <w:t>合并报表</w:t>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8"/>
              <w:jc w:val="right"/>
              <w:rPr>
                <w:rFonts w:ascii="黑体" w:hAnsi="黑体" w:cs="黑体" w:eastAsia="黑体" w:hint="default"/>
                <w:sz w:val="18"/>
                <w:szCs w:val="18"/>
              </w:rPr>
            </w:pPr>
            <w:r>
              <w:rPr>
                <w:rFonts w:ascii="黑体" w:hAnsi="黑体" w:cs="黑体" w:eastAsia="黑体" w:hint="default"/>
                <w:sz w:val="18"/>
                <w:szCs w:val="18"/>
              </w:rPr>
              <w:t>权益</w:t>
            </w:r>
          </w:p>
        </w:tc>
      </w:tr>
      <w:tr>
        <w:trPr>
          <w:trHeight w:val="360" w:hRule="exact"/>
        </w:trPr>
        <w:tc>
          <w:tcPr>
            <w:tcW w:w="1752"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
        </w:tc>
        <w:tc>
          <w:tcPr>
            <w:tcW w:w="623" w:type="dxa"/>
            <w:tcBorders>
              <w:top w:val="nil" w:sz="6" w:space="0" w:color="auto"/>
              <w:left w:val="nil" w:sz="6" w:space="0" w:color="auto"/>
              <w:bottom w:val="nil" w:sz="6" w:space="0" w:color="auto"/>
              <w:right w:val="nil" w:sz="6" w:space="0" w:color="auto"/>
            </w:tcBorders>
          </w:tcPr>
          <w:p>
            <w:pPr/>
          </w:p>
        </w:tc>
        <w:tc>
          <w:tcPr>
            <w:tcW w:w="602"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
        </w:tc>
        <w:tc>
          <w:tcPr>
            <w:tcW w:w="1074" w:type="dxa"/>
            <w:tcBorders>
              <w:top w:val="nil" w:sz="6" w:space="0" w:color="auto"/>
              <w:left w:val="nil" w:sz="6" w:space="0" w:color="auto"/>
              <w:bottom w:val="nil" w:sz="6" w:space="0" w:color="auto"/>
              <w:right w:val="nil" w:sz="6" w:space="0" w:color="auto"/>
            </w:tcBorders>
          </w:tcPr>
          <w:p>
            <w:pPr/>
          </w:p>
        </w:tc>
        <w:tc>
          <w:tcPr>
            <w:tcW w:w="2420"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64" w:right="0"/>
              <w:jc w:val="center"/>
              <w:rPr>
                <w:rFonts w:ascii="Arial" w:hAnsi="Arial" w:cs="Arial" w:eastAsia="Arial" w:hint="default"/>
                <w:sz w:val="18"/>
                <w:szCs w:val="18"/>
              </w:rPr>
            </w:pPr>
            <w:r>
              <w:rPr>
                <w:rFonts w:ascii="Arial"/>
                <w:sz w:val="18"/>
              </w:rPr>
              <w:t>(%)</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96"/>
              <w:jc w:val="right"/>
              <w:rPr>
                <w:rFonts w:ascii="Arial" w:hAnsi="Arial" w:cs="Arial" w:eastAsia="Arial" w:hint="default"/>
                <w:sz w:val="18"/>
                <w:szCs w:val="18"/>
              </w:rPr>
            </w:pPr>
            <w:r>
              <w:rPr>
                <w:rFonts w:ascii="Arial"/>
                <w:w w:val="95"/>
                <w:sz w:val="18"/>
              </w:rPr>
              <w:t>(%)</w:t>
            </w:r>
            <w:r>
              <w:rPr>
                <w:rFonts w:ascii="Arial"/>
                <w:sz w:val="18"/>
              </w:rPr>
            </w:r>
          </w:p>
        </w:tc>
        <w:tc>
          <w:tcPr>
            <w:tcW w:w="1267"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
        </w:tc>
      </w:tr>
      <w:tr>
        <w:trPr>
          <w:trHeight w:val="1232" w:hRule="exact"/>
        </w:trPr>
        <w:tc>
          <w:tcPr>
            <w:tcW w:w="1752" w:type="dxa"/>
            <w:tcBorders>
              <w:top w:val="nil" w:sz="6" w:space="0" w:color="auto"/>
              <w:left w:val="nil" w:sz="6" w:space="0" w:color="auto"/>
              <w:bottom w:val="nil" w:sz="6" w:space="0" w:color="auto"/>
              <w:right w:val="nil" w:sz="6" w:space="0" w:color="auto"/>
            </w:tcBorders>
          </w:tcPr>
          <w:p>
            <w:pPr>
              <w:pStyle w:val="TableParagraph"/>
              <w:spacing w:line="232" w:lineRule="auto" w:before="83"/>
              <w:ind w:left="367" w:right="59" w:hanging="168"/>
              <w:jc w:val="both"/>
              <w:rPr>
                <w:rFonts w:ascii="Arial" w:hAnsi="Arial" w:cs="Arial" w:eastAsia="Arial" w:hint="default"/>
                <w:sz w:val="18"/>
                <w:szCs w:val="18"/>
              </w:rPr>
            </w:pPr>
            <w:r>
              <w:rPr>
                <w:rFonts w:ascii="黑体" w:hAnsi="黑体" w:cs="黑体" w:eastAsia="黑体" w:hint="default"/>
                <w:sz w:val="18"/>
                <w:szCs w:val="18"/>
              </w:rPr>
              <w:t>用友医疗卫生信息</w:t>
            </w:r>
            <w:r>
              <w:rPr>
                <w:rFonts w:ascii="黑体" w:hAnsi="黑体" w:cs="黑体" w:eastAsia="黑体" w:hint="default"/>
                <w:spacing w:val="-86"/>
                <w:sz w:val="18"/>
                <w:szCs w:val="18"/>
              </w:rPr>
              <w:t> </w:t>
            </w:r>
            <w:r>
              <w:rPr>
                <w:rFonts w:ascii="黑体" w:hAnsi="黑体" w:cs="黑体" w:eastAsia="黑体" w:hint="default"/>
                <w:spacing w:val="-86"/>
                <w:sz w:val="18"/>
                <w:szCs w:val="18"/>
              </w:rPr>
            </w:r>
            <w:r>
              <w:rPr>
                <w:rFonts w:ascii="黑体" w:hAnsi="黑体" w:cs="黑体" w:eastAsia="黑体" w:hint="default"/>
                <w:spacing w:val="30"/>
                <w:sz w:val="18"/>
                <w:szCs w:val="18"/>
              </w:rPr>
              <w:t>系统有限</w:t>
            </w:r>
            <w:r>
              <w:rPr>
                <w:rFonts w:ascii="黑体" w:hAnsi="黑体" w:cs="黑体" w:eastAsia="黑体" w:hint="default"/>
                <w:spacing w:val="-52"/>
                <w:sz w:val="18"/>
                <w:szCs w:val="18"/>
              </w:rPr>
              <w:t> </w:t>
            </w:r>
            <w:r>
              <w:rPr>
                <w:rFonts w:ascii="黑体" w:hAnsi="黑体" w:cs="黑体" w:eastAsia="黑体" w:hint="default"/>
                <w:spacing w:val="20"/>
                <w:sz w:val="18"/>
                <w:szCs w:val="18"/>
              </w:rPr>
              <w:t>公司</w:t>
            </w:r>
            <w:r>
              <w:rPr>
                <w:rFonts w:ascii="黑体" w:hAnsi="黑体" w:cs="黑体" w:eastAsia="黑体" w:hint="default"/>
                <w:spacing w:val="-50"/>
                <w:sz w:val="18"/>
                <w:szCs w:val="18"/>
              </w:rPr>
              <w:t> </w:t>
            </w:r>
            <w:r>
              <w:rPr>
                <w:rFonts w:ascii="Arial" w:hAnsi="Arial" w:cs="Arial" w:eastAsia="Arial" w:hint="default"/>
                <w:spacing w:val="11"/>
                <w:sz w:val="18"/>
                <w:szCs w:val="18"/>
              </w:rPr>
              <w:t>(</w:t>
            </w:r>
            <w:r>
              <w:rPr>
                <w:rFonts w:ascii="黑体" w:hAnsi="黑体" w:cs="黑体" w:eastAsia="黑体" w:hint="default"/>
                <w:spacing w:val="11"/>
                <w:sz w:val="18"/>
                <w:szCs w:val="18"/>
              </w:rPr>
              <w:t>以下简称</w:t>
            </w:r>
            <w:r>
              <w:rPr>
                <w:rFonts w:ascii="Arial" w:hAnsi="Arial" w:cs="Arial" w:eastAsia="Arial" w:hint="default"/>
                <w:spacing w:val="11"/>
                <w:sz w:val="18"/>
                <w:szCs w:val="18"/>
              </w:rPr>
              <w:t>“</w:t>
            </w:r>
            <w:r>
              <w:rPr>
                <w:rFonts w:ascii="黑体" w:hAnsi="黑体" w:cs="黑体" w:eastAsia="黑体" w:hint="default"/>
                <w:spacing w:val="11"/>
                <w:sz w:val="18"/>
                <w:szCs w:val="18"/>
              </w:rPr>
              <w:t>用友</w:t>
            </w:r>
            <w:r>
              <w:rPr>
                <w:rFonts w:ascii="黑体" w:hAnsi="黑体" w:cs="黑体" w:eastAsia="黑体" w:hint="default"/>
                <w:spacing w:val="12"/>
                <w:sz w:val="18"/>
                <w:szCs w:val="18"/>
              </w:rPr>
              <w:t> </w:t>
            </w:r>
            <w:r>
              <w:rPr>
                <w:rFonts w:ascii="黑体" w:hAnsi="黑体" w:cs="黑体" w:eastAsia="黑体" w:hint="default"/>
                <w:sz w:val="18"/>
                <w:szCs w:val="18"/>
              </w:rPr>
              <w:t>医疗</w:t>
            </w:r>
            <w:r>
              <w:rPr>
                <w:rFonts w:ascii="Arial" w:hAnsi="Arial" w:cs="Arial" w:eastAsia="Arial" w:hint="default"/>
                <w:sz w:val="18"/>
                <w:szCs w:val="18"/>
              </w:rPr>
              <w:t>”)</w:t>
            </w:r>
          </w:p>
        </w:tc>
        <w:tc>
          <w:tcPr>
            <w:tcW w:w="1102" w:type="dxa"/>
            <w:tcBorders>
              <w:top w:val="nil" w:sz="6" w:space="0" w:color="auto"/>
              <w:left w:val="nil" w:sz="6" w:space="0" w:color="auto"/>
              <w:bottom w:val="nil" w:sz="6" w:space="0" w:color="auto"/>
              <w:right w:val="nil" w:sz="6" w:space="0" w:color="auto"/>
            </w:tcBorders>
          </w:tcPr>
          <w:p>
            <w:pPr>
              <w:pStyle w:val="TableParagraph"/>
              <w:spacing w:line="232" w:lineRule="auto" w:before="76"/>
              <w:ind w:left="241" w:right="66" w:hanging="180"/>
              <w:jc w:val="both"/>
              <w:rPr>
                <w:rFonts w:ascii="Arial" w:hAnsi="Arial" w:cs="Arial" w:eastAsia="Arial" w:hint="default"/>
                <w:sz w:val="18"/>
                <w:szCs w:val="18"/>
              </w:rPr>
            </w:pPr>
            <w:r>
              <w:rPr>
                <w:rFonts w:ascii="黑体" w:hAnsi="黑体" w:cs="黑体" w:eastAsia="黑体" w:hint="default"/>
                <w:spacing w:val="4"/>
                <w:sz w:val="18"/>
                <w:szCs w:val="18"/>
              </w:rPr>
              <w:t>有限责任公 </w:t>
            </w:r>
            <w:r>
              <w:rPr>
                <w:rFonts w:ascii="黑体" w:hAnsi="黑体" w:cs="黑体" w:eastAsia="黑体" w:hint="default"/>
                <w:sz w:val="18"/>
                <w:szCs w:val="18"/>
              </w:rPr>
              <w:t>司</w:t>
            </w:r>
            <w:r>
              <w:rPr>
                <w:rFonts w:ascii="黑体" w:hAnsi="黑体" w:cs="黑体" w:eastAsia="黑体" w:hint="default"/>
                <w:spacing w:val="-42"/>
                <w:sz w:val="18"/>
                <w:szCs w:val="18"/>
              </w:rPr>
              <w:t> </w:t>
            </w:r>
            <w:r>
              <w:rPr>
                <w:rFonts w:ascii="Arial" w:hAnsi="Arial" w:cs="Arial" w:eastAsia="Arial" w:hint="default"/>
                <w:sz w:val="18"/>
                <w:szCs w:val="18"/>
              </w:rPr>
              <w:t>(</w:t>
            </w:r>
            <w:r>
              <w:rPr>
                <w:rFonts w:ascii="Arial" w:hAnsi="Arial" w:cs="Arial" w:eastAsia="Arial" w:hint="default"/>
                <w:spacing w:val="-2"/>
                <w:sz w:val="18"/>
                <w:szCs w:val="18"/>
              </w:rPr>
              <w:t> </w:t>
            </w:r>
            <w:r>
              <w:rPr>
                <w:rFonts w:ascii="黑体" w:hAnsi="黑体" w:cs="黑体" w:eastAsia="黑体" w:hint="default"/>
                <w:spacing w:val="24"/>
                <w:sz w:val="18"/>
                <w:szCs w:val="18"/>
              </w:rPr>
              <w:t>法人</w:t>
            </w:r>
            <w:r>
              <w:rPr>
                <w:rFonts w:ascii="黑体" w:hAnsi="黑体" w:cs="黑体" w:eastAsia="黑体" w:hint="default"/>
                <w:spacing w:val="-42"/>
                <w:sz w:val="18"/>
                <w:szCs w:val="18"/>
              </w:rPr>
              <w:t> </w:t>
            </w:r>
            <w:r>
              <w:rPr>
                <w:rFonts w:ascii="黑体" w:hAnsi="黑体" w:cs="黑体" w:eastAsia="黑体" w:hint="default"/>
                <w:sz w:val="18"/>
                <w:szCs w:val="18"/>
              </w:rPr>
              <w:t>独资</w:t>
            </w:r>
            <w:r>
              <w:rPr>
                <w:rFonts w:ascii="Arial" w:hAnsi="Arial" w:cs="Arial" w:eastAsia="Arial" w:hint="default"/>
                <w:sz w:val="18"/>
                <w:szCs w:val="18"/>
              </w:rPr>
              <w:t>)</w:t>
            </w:r>
          </w:p>
        </w:tc>
        <w:tc>
          <w:tcPr>
            <w:tcW w:w="62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
              <w:jc w:val="right"/>
              <w:rPr>
                <w:rFonts w:ascii="黑体" w:hAnsi="黑体" w:cs="黑体" w:eastAsia="黑体" w:hint="default"/>
                <w:sz w:val="18"/>
                <w:szCs w:val="18"/>
              </w:rPr>
            </w:pPr>
            <w:r>
              <w:rPr>
                <w:rFonts w:ascii="黑体" w:hAnsi="黑体" w:cs="黑体" w:eastAsia="黑体" w:hint="default"/>
                <w:sz w:val="18"/>
                <w:szCs w:val="18"/>
              </w:rPr>
              <w:t>北京市</w:t>
            </w:r>
          </w:p>
        </w:tc>
        <w:tc>
          <w:tcPr>
            <w:tcW w:w="60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47"/>
              <w:jc w:val="right"/>
              <w:rPr>
                <w:rFonts w:ascii="黑体" w:hAnsi="黑体" w:cs="黑体" w:eastAsia="黑体" w:hint="default"/>
                <w:sz w:val="18"/>
                <w:szCs w:val="18"/>
              </w:rPr>
            </w:pPr>
            <w:r>
              <w:rPr>
                <w:rFonts w:ascii="黑体" w:hAnsi="黑体" w:cs="黑体" w:eastAsia="黑体" w:hint="default"/>
                <w:sz w:val="18"/>
                <w:szCs w:val="18"/>
              </w:rPr>
              <w:t>吴政平</w:t>
            </w:r>
          </w:p>
        </w:tc>
        <w:tc>
          <w:tcPr>
            <w:tcW w:w="1081" w:type="dxa"/>
            <w:tcBorders>
              <w:top w:val="nil" w:sz="6" w:space="0" w:color="auto"/>
              <w:left w:val="nil" w:sz="6" w:space="0" w:color="auto"/>
              <w:bottom w:val="nil" w:sz="6" w:space="0" w:color="auto"/>
              <w:right w:val="nil" w:sz="6" w:space="0" w:color="auto"/>
            </w:tcBorders>
          </w:tcPr>
          <w:p>
            <w:pPr>
              <w:pStyle w:val="TableParagraph"/>
              <w:spacing w:line="225" w:lineRule="auto" w:before="89"/>
              <w:ind w:left="14" w:right="54"/>
              <w:jc w:val="both"/>
              <w:rPr>
                <w:rFonts w:ascii="黑体" w:hAnsi="黑体" w:cs="黑体" w:eastAsia="黑体" w:hint="default"/>
                <w:sz w:val="18"/>
                <w:szCs w:val="18"/>
              </w:rPr>
            </w:pPr>
            <w:r>
              <w:rPr>
                <w:rFonts w:ascii="黑体" w:hAnsi="黑体" w:cs="黑体" w:eastAsia="黑体" w:hint="default"/>
                <w:spacing w:val="10"/>
                <w:sz w:val="18"/>
                <w:szCs w:val="18"/>
              </w:rPr>
              <w:t>计算机软件</w:t>
            </w:r>
            <w:r>
              <w:rPr>
                <w:rFonts w:ascii="Arial" w:hAnsi="Arial" w:cs="Arial" w:eastAsia="Arial" w:hint="default"/>
                <w:spacing w:val="10"/>
                <w:sz w:val="18"/>
                <w:szCs w:val="18"/>
              </w:rPr>
              <w:t>/</w:t>
            </w:r>
            <w:r>
              <w:rPr>
                <w:rFonts w:ascii="Arial" w:hAnsi="Arial" w:cs="Arial" w:eastAsia="Arial" w:hint="default"/>
                <w:w w:val="100"/>
                <w:sz w:val="18"/>
                <w:szCs w:val="18"/>
              </w:rPr>
              <w:t> </w:t>
            </w:r>
            <w:r>
              <w:rPr>
                <w:rFonts w:ascii="黑体" w:hAnsi="黑体" w:cs="黑体" w:eastAsia="黑体" w:hint="default"/>
                <w:spacing w:val="10"/>
                <w:sz w:val="18"/>
                <w:szCs w:val="18"/>
              </w:rPr>
              <w:t>系统集成</w:t>
            </w:r>
            <w:r>
              <w:rPr>
                <w:rFonts w:ascii="Arial" w:hAnsi="Arial" w:cs="Arial" w:eastAsia="Arial" w:hint="default"/>
                <w:spacing w:val="10"/>
                <w:sz w:val="18"/>
                <w:szCs w:val="18"/>
              </w:rPr>
              <w:t>/</w:t>
            </w:r>
            <w:r>
              <w:rPr>
                <w:rFonts w:ascii="黑体" w:hAnsi="黑体" w:cs="黑体" w:eastAsia="黑体" w:hint="default"/>
                <w:spacing w:val="10"/>
                <w:sz w:val="18"/>
                <w:szCs w:val="18"/>
              </w:rPr>
              <w:t>咨</w:t>
            </w:r>
            <w:r>
              <w:rPr>
                <w:rFonts w:ascii="黑体" w:hAnsi="黑体" w:cs="黑体" w:eastAsia="黑体" w:hint="default"/>
                <w:sz w:val="18"/>
                <w:szCs w:val="18"/>
              </w:rPr>
              <w:t> 询行业</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8"/>
              <w:jc w:val="right"/>
              <w:rPr>
                <w:rFonts w:ascii="Arial" w:hAnsi="Arial" w:cs="Arial" w:eastAsia="Arial" w:hint="default"/>
                <w:sz w:val="18"/>
                <w:szCs w:val="18"/>
              </w:rPr>
            </w:pPr>
            <w:r>
              <w:rPr>
                <w:rFonts w:ascii="Arial"/>
                <w:spacing w:val="-1"/>
                <w:sz w:val="18"/>
              </w:rPr>
              <w:t>100,000,000</w:t>
            </w: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4" w:right="131"/>
              <w:jc w:val="left"/>
              <w:rPr>
                <w:rFonts w:ascii="黑体" w:hAnsi="黑体" w:cs="黑体" w:eastAsia="黑体" w:hint="default"/>
                <w:sz w:val="18"/>
                <w:szCs w:val="18"/>
              </w:rPr>
            </w:pPr>
            <w:r>
              <w:rPr>
                <w:rFonts w:ascii="黑体" w:hAnsi="黑体" w:cs="黑体" w:eastAsia="黑体" w:hint="default"/>
                <w:spacing w:val="2"/>
                <w:sz w:val="18"/>
                <w:szCs w:val="18"/>
              </w:rPr>
              <w:t>开发、销售医疗软件；医疗 </w:t>
            </w:r>
            <w:r>
              <w:rPr>
                <w:rFonts w:ascii="黑体" w:hAnsi="黑体" w:cs="黑体" w:eastAsia="黑体" w:hint="default"/>
                <w:spacing w:val="-6"/>
                <w:sz w:val="18"/>
                <w:szCs w:val="18"/>
              </w:rPr>
              <w:t>软件的技术培训、系统集成。</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83"/>
              <w:jc w:val="right"/>
              <w:rPr>
                <w:rFonts w:ascii="Arial" w:hAnsi="Arial" w:cs="Arial" w:eastAsia="Arial" w:hint="default"/>
                <w:sz w:val="18"/>
                <w:szCs w:val="18"/>
              </w:rPr>
            </w:pPr>
            <w:r>
              <w:rPr>
                <w:rFonts w:ascii="Arial"/>
                <w:spacing w:val="-1"/>
                <w:sz w:val="18"/>
              </w:rPr>
              <w:t>69636697-4</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48"/>
              <w:jc w:val="right"/>
              <w:rPr>
                <w:rFonts w:ascii="Arial" w:hAnsi="Arial" w:cs="Arial" w:eastAsia="Arial" w:hint="default"/>
                <w:sz w:val="18"/>
                <w:szCs w:val="18"/>
              </w:rPr>
            </w:pPr>
            <w:r>
              <w:rPr>
                <w:rFonts w:ascii="Arial"/>
                <w:spacing w:val="-1"/>
                <w:sz w:val="18"/>
              </w:rPr>
              <w:t>100,000,000</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47" w:right="0"/>
              <w:jc w:val="center"/>
              <w:rPr>
                <w:rFonts w:ascii="Arial" w:hAnsi="Arial" w:cs="Arial" w:eastAsia="Arial" w:hint="default"/>
                <w:sz w:val="18"/>
                <w:szCs w:val="18"/>
              </w:rPr>
            </w:pPr>
            <w:r>
              <w:rPr>
                <w:rFonts w:ascii="Arial"/>
                <w:sz w:val="18"/>
              </w:rPr>
              <w:t>100</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94"/>
              <w:jc w:val="right"/>
              <w:rPr>
                <w:rFonts w:ascii="Arial" w:hAnsi="Arial" w:cs="Arial" w:eastAsia="Arial" w:hint="default"/>
                <w:sz w:val="18"/>
                <w:szCs w:val="18"/>
              </w:rPr>
            </w:pPr>
            <w:r>
              <w:rPr>
                <w:rFonts w:ascii="Arial"/>
                <w:w w:val="95"/>
                <w:sz w:val="18"/>
              </w:rPr>
              <w:t>100</w:t>
            </w:r>
            <w:r>
              <w:rPr>
                <w:rFonts w:ascii="Arial"/>
                <w:sz w:val="18"/>
              </w:rPr>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01"/>
              <w:jc w:val="right"/>
              <w:rPr>
                <w:rFonts w:ascii="黑体" w:hAnsi="黑体" w:cs="黑体" w:eastAsia="黑体" w:hint="default"/>
                <w:sz w:val="18"/>
                <w:szCs w:val="18"/>
              </w:rPr>
            </w:pPr>
            <w:r>
              <w:rPr>
                <w:rFonts w:ascii="黑体" w:hAnsi="黑体" w:cs="黑体" w:eastAsia="黑体" w:hint="default"/>
                <w:sz w:val="18"/>
                <w:szCs w:val="18"/>
              </w:rPr>
              <w:t>是</w:t>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26"/>
              <w:jc w:val="right"/>
              <w:rPr>
                <w:rFonts w:ascii="Arial" w:hAnsi="Arial" w:cs="Arial" w:eastAsia="Arial" w:hint="default"/>
                <w:sz w:val="18"/>
                <w:szCs w:val="18"/>
              </w:rPr>
            </w:pPr>
            <w:r>
              <w:rPr>
                <w:rFonts w:ascii="Arial"/>
                <w:w w:val="99"/>
                <w:sz w:val="18"/>
              </w:rPr>
              <w:t>-</w:t>
            </w:r>
            <w:r>
              <w:rPr>
                <w:rFonts w:ascii="Arial"/>
                <w:sz w:val="18"/>
              </w:rPr>
            </w:r>
          </w:p>
        </w:tc>
      </w:tr>
      <w:tr>
        <w:trPr>
          <w:trHeight w:val="2529" w:hRule="exact"/>
        </w:trPr>
        <w:tc>
          <w:tcPr>
            <w:tcW w:w="175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15"/>
                <w:szCs w:val="15"/>
              </w:rPr>
            </w:pPr>
          </w:p>
          <w:p>
            <w:pPr>
              <w:pStyle w:val="TableParagraph"/>
              <w:spacing w:line="230" w:lineRule="auto"/>
              <w:ind w:left="367" w:right="100" w:hanging="168"/>
              <w:jc w:val="both"/>
              <w:rPr>
                <w:rFonts w:ascii="Arial" w:hAnsi="Arial" w:cs="Arial" w:eastAsia="Arial" w:hint="default"/>
                <w:sz w:val="18"/>
                <w:szCs w:val="18"/>
              </w:rPr>
            </w:pPr>
            <w:r>
              <w:rPr>
                <w:rFonts w:ascii="黑体" w:hAnsi="黑体" w:cs="黑体" w:eastAsia="黑体" w:hint="default"/>
                <w:spacing w:val="7"/>
                <w:sz w:val="18"/>
                <w:szCs w:val="18"/>
              </w:rPr>
              <w:t>用友</w:t>
            </w:r>
            <w:r>
              <w:rPr>
                <w:rFonts w:ascii="Arial" w:hAnsi="Arial" w:cs="Arial" w:eastAsia="Arial" w:hint="default"/>
                <w:spacing w:val="7"/>
                <w:sz w:val="18"/>
                <w:szCs w:val="18"/>
              </w:rPr>
              <w:t>(</w:t>
            </w:r>
            <w:r>
              <w:rPr>
                <w:rFonts w:ascii="黑体" w:hAnsi="黑体" w:cs="黑体" w:eastAsia="黑体" w:hint="default"/>
                <w:spacing w:val="7"/>
                <w:sz w:val="18"/>
                <w:szCs w:val="18"/>
              </w:rPr>
              <w:t>南昌</w:t>
            </w:r>
            <w:r>
              <w:rPr>
                <w:rFonts w:ascii="Arial" w:hAnsi="Arial" w:cs="Arial" w:eastAsia="Arial" w:hint="default"/>
                <w:spacing w:val="7"/>
                <w:sz w:val="18"/>
                <w:szCs w:val="18"/>
              </w:rPr>
              <w:t>)</w:t>
            </w:r>
            <w:r>
              <w:rPr>
                <w:rFonts w:ascii="黑体" w:hAnsi="黑体" w:cs="黑体" w:eastAsia="黑体" w:hint="default"/>
                <w:spacing w:val="7"/>
                <w:sz w:val="18"/>
                <w:szCs w:val="18"/>
              </w:rPr>
              <w:t>产业基 </w:t>
            </w:r>
            <w:r>
              <w:rPr>
                <w:rFonts w:ascii="黑体" w:hAnsi="黑体" w:cs="黑体" w:eastAsia="黑体" w:hint="default"/>
                <w:sz w:val="18"/>
                <w:szCs w:val="18"/>
              </w:rPr>
              <w:t>地发展有限公司</w:t>
            </w:r>
            <w:r>
              <w:rPr>
                <w:rFonts w:ascii="黑体" w:hAnsi="黑体" w:cs="黑体" w:eastAsia="黑体" w:hint="default"/>
                <w:spacing w:val="2"/>
                <w:sz w:val="18"/>
                <w:szCs w:val="18"/>
              </w:rPr>
              <w:t> </w:t>
            </w:r>
            <w:r>
              <w:rPr>
                <w:rFonts w:ascii="Arial" w:hAnsi="Arial" w:cs="Arial" w:eastAsia="Arial" w:hint="default"/>
                <w:spacing w:val="9"/>
                <w:sz w:val="18"/>
                <w:szCs w:val="18"/>
              </w:rPr>
              <w:t>(</w:t>
            </w:r>
            <w:r>
              <w:rPr>
                <w:rFonts w:ascii="黑体" w:hAnsi="黑体" w:cs="黑体" w:eastAsia="黑体" w:hint="default"/>
                <w:spacing w:val="9"/>
                <w:sz w:val="18"/>
                <w:szCs w:val="18"/>
              </w:rPr>
              <w:t>以下简称</w:t>
            </w:r>
            <w:r>
              <w:rPr>
                <w:rFonts w:ascii="Arial" w:hAnsi="Arial" w:cs="Arial" w:eastAsia="Arial" w:hint="default"/>
                <w:spacing w:val="9"/>
                <w:sz w:val="18"/>
                <w:szCs w:val="18"/>
              </w:rPr>
              <w:t>“</w:t>
            </w:r>
            <w:r>
              <w:rPr>
                <w:rFonts w:ascii="黑体" w:hAnsi="黑体" w:cs="黑体" w:eastAsia="黑体" w:hint="default"/>
                <w:spacing w:val="9"/>
                <w:sz w:val="18"/>
                <w:szCs w:val="18"/>
              </w:rPr>
              <w:t>用友 </w:t>
            </w:r>
            <w:r>
              <w:rPr>
                <w:rFonts w:ascii="Arial" w:hAnsi="Arial" w:cs="Arial" w:eastAsia="Arial" w:hint="default"/>
                <w:sz w:val="18"/>
                <w:szCs w:val="18"/>
              </w:rPr>
              <w:t>(</w:t>
            </w:r>
            <w:r>
              <w:rPr>
                <w:rFonts w:ascii="黑体" w:hAnsi="黑体" w:cs="黑体" w:eastAsia="黑体" w:hint="default"/>
                <w:sz w:val="18"/>
                <w:szCs w:val="18"/>
              </w:rPr>
              <w:t>南昌</w:t>
            </w:r>
            <w:r>
              <w:rPr>
                <w:rFonts w:ascii="Arial" w:hAnsi="Arial" w:cs="Arial" w:eastAsia="Arial" w:hint="default"/>
                <w:sz w:val="18"/>
                <w:szCs w:val="18"/>
              </w:rPr>
              <w:t>)”)</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14"/>
                <w:szCs w:val="14"/>
              </w:rPr>
            </w:pPr>
          </w:p>
          <w:p>
            <w:pPr>
              <w:pStyle w:val="TableParagraph"/>
              <w:spacing w:line="201" w:lineRule="auto"/>
              <w:ind w:left="241" w:right="66" w:hanging="180"/>
              <w:jc w:val="both"/>
              <w:rPr>
                <w:rFonts w:ascii="Arial" w:hAnsi="Arial" w:cs="Arial" w:eastAsia="Arial" w:hint="default"/>
                <w:sz w:val="18"/>
                <w:szCs w:val="18"/>
              </w:rPr>
            </w:pPr>
            <w:r>
              <w:rPr>
                <w:rFonts w:ascii="黑体" w:hAnsi="黑体" w:cs="黑体" w:eastAsia="黑体" w:hint="default"/>
                <w:spacing w:val="4"/>
                <w:sz w:val="18"/>
                <w:szCs w:val="18"/>
              </w:rPr>
              <w:t>有限责任公 </w:t>
            </w:r>
            <w:r>
              <w:rPr>
                <w:rFonts w:ascii="黑体" w:hAnsi="黑体" w:cs="黑体" w:eastAsia="黑体" w:hint="default"/>
                <w:sz w:val="18"/>
                <w:szCs w:val="18"/>
              </w:rPr>
              <w:t>司</w:t>
            </w:r>
            <w:r>
              <w:rPr>
                <w:rFonts w:ascii="黑体" w:hAnsi="黑体" w:cs="黑体" w:eastAsia="黑体" w:hint="default"/>
                <w:spacing w:val="-42"/>
                <w:sz w:val="18"/>
                <w:szCs w:val="18"/>
              </w:rPr>
              <w:t> </w:t>
            </w:r>
            <w:r>
              <w:rPr>
                <w:rFonts w:ascii="Arial" w:hAnsi="Arial" w:cs="Arial" w:eastAsia="Arial" w:hint="default"/>
                <w:sz w:val="18"/>
                <w:szCs w:val="18"/>
              </w:rPr>
              <w:t>(</w:t>
            </w:r>
            <w:r>
              <w:rPr>
                <w:rFonts w:ascii="Arial" w:hAnsi="Arial" w:cs="Arial" w:eastAsia="Arial" w:hint="default"/>
                <w:spacing w:val="-2"/>
                <w:sz w:val="18"/>
                <w:szCs w:val="18"/>
              </w:rPr>
              <w:t> </w:t>
            </w:r>
            <w:r>
              <w:rPr>
                <w:rFonts w:ascii="黑体" w:hAnsi="黑体" w:cs="黑体" w:eastAsia="黑体" w:hint="default"/>
                <w:spacing w:val="24"/>
                <w:sz w:val="18"/>
                <w:szCs w:val="18"/>
              </w:rPr>
              <w:t>非自</w:t>
            </w:r>
            <w:r>
              <w:rPr>
                <w:rFonts w:ascii="黑体" w:hAnsi="黑体" w:cs="黑体" w:eastAsia="黑体" w:hint="default"/>
                <w:spacing w:val="-42"/>
                <w:sz w:val="18"/>
                <w:szCs w:val="18"/>
              </w:rPr>
              <w:t> </w:t>
            </w:r>
            <w:r>
              <w:rPr>
                <w:rFonts w:ascii="黑体" w:hAnsi="黑体" w:cs="黑体" w:eastAsia="黑体" w:hint="default"/>
                <w:spacing w:val="7"/>
                <w:sz w:val="18"/>
                <w:szCs w:val="18"/>
              </w:rPr>
              <w:t>然人投资</w:t>
            </w:r>
            <w:r>
              <w:rPr>
                <w:rFonts w:ascii="黑体" w:hAnsi="黑体" w:cs="黑体" w:eastAsia="黑体" w:hint="default"/>
                <w:spacing w:val="7"/>
                <w:sz w:val="18"/>
                <w:szCs w:val="18"/>
              </w:rPr>
              <w:t> 或控股的 </w:t>
            </w:r>
            <w:r>
              <w:rPr>
                <w:rFonts w:ascii="黑体" w:hAnsi="黑体" w:cs="黑体" w:eastAsia="黑体" w:hint="default"/>
                <w:sz w:val="18"/>
                <w:szCs w:val="18"/>
              </w:rPr>
              <w:t>法 人</w:t>
            </w:r>
            <w:r>
              <w:rPr>
                <w:rFonts w:ascii="黑体" w:hAnsi="黑体" w:cs="黑体" w:eastAsia="黑体" w:hint="default"/>
                <w:spacing w:val="20"/>
                <w:sz w:val="18"/>
                <w:szCs w:val="18"/>
              </w:rPr>
              <w:t> </w:t>
            </w:r>
            <w:r>
              <w:rPr>
                <w:rFonts w:ascii="黑体" w:hAnsi="黑体" w:cs="黑体" w:eastAsia="黑体" w:hint="default"/>
                <w:sz w:val="18"/>
                <w:szCs w:val="18"/>
              </w:rPr>
              <w:t>独</w:t>
            </w:r>
            <w:r>
              <w:rPr>
                <w:rFonts w:ascii="黑体" w:hAnsi="黑体" w:cs="黑体" w:eastAsia="黑体" w:hint="default"/>
                <w:sz w:val="18"/>
                <w:szCs w:val="18"/>
              </w:rPr>
              <w:t> 资</w:t>
            </w:r>
            <w:r>
              <w:rPr>
                <w:rFonts w:ascii="Arial" w:hAnsi="Arial" w:cs="Arial" w:eastAsia="Arial" w:hint="default"/>
                <w:sz w:val="18"/>
                <w:szCs w:val="18"/>
              </w:rPr>
              <w:t>)</w:t>
            </w:r>
          </w:p>
        </w:tc>
        <w:tc>
          <w:tcPr>
            <w:tcW w:w="62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4"/>
                <w:szCs w:val="14"/>
              </w:rPr>
            </w:pPr>
          </w:p>
          <w:p>
            <w:pPr>
              <w:pStyle w:val="TableParagraph"/>
              <w:spacing w:line="240" w:lineRule="auto"/>
              <w:ind w:right="12"/>
              <w:jc w:val="right"/>
              <w:rPr>
                <w:rFonts w:ascii="黑体" w:hAnsi="黑体" w:cs="黑体" w:eastAsia="黑体" w:hint="default"/>
                <w:sz w:val="18"/>
                <w:szCs w:val="18"/>
              </w:rPr>
            </w:pPr>
            <w:r>
              <w:rPr>
                <w:rFonts w:ascii="黑体" w:hAnsi="黑体" w:cs="黑体" w:eastAsia="黑体" w:hint="default"/>
                <w:sz w:val="18"/>
                <w:szCs w:val="18"/>
              </w:rPr>
              <w:t>南昌市</w:t>
            </w:r>
          </w:p>
        </w:tc>
        <w:tc>
          <w:tcPr>
            <w:tcW w:w="60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4"/>
                <w:szCs w:val="14"/>
              </w:rPr>
            </w:pPr>
          </w:p>
          <w:p>
            <w:pPr>
              <w:pStyle w:val="TableParagraph"/>
              <w:spacing w:line="240" w:lineRule="auto"/>
              <w:ind w:right="47"/>
              <w:jc w:val="right"/>
              <w:rPr>
                <w:rFonts w:ascii="黑体" w:hAnsi="黑体" w:cs="黑体" w:eastAsia="黑体" w:hint="default"/>
                <w:sz w:val="18"/>
                <w:szCs w:val="18"/>
              </w:rPr>
            </w:pPr>
            <w:r>
              <w:rPr>
                <w:rFonts w:ascii="黑体" w:hAnsi="黑体" w:cs="黑体" w:eastAsia="黑体" w:hint="default"/>
                <w:sz w:val="18"/>
                <w:szCs w:val="18"/>
              </w:rPr>
              <w:t>郭新平</w:t>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5"/>
                <w:szCs w:val="15"/>
              </w:rPr>
            </w:pPr>
          </w:p>
          <w:p>
            <w:pPr>
              <w:pStyle w:val="TableParagraph"/>
              <w:spacing w:line="232" w:lineRule="auto"/>
              <w:ind w:left="14" w:right="54"/>
              <w:jc w:val="both"/>
              <w:rPr>
                <w:rFonts w:ascii="黑体" w:hAnsi="黑体" w:cs="黑体" w:eastAsia="黑体" w:hint="default"/>
                <w:sz w:val="18"/>
                <w:szCs w:val="18"/>
              </w:rPr>
            </w:pPr>
            <w:r>
              <w:rPr>
                <w:rFonts w:ascii="黑体" w:hAnsi="黑体" w:cs="黑体" w:eastAsia="黑体" w:hint="default"/>
                <w:spacing w:val="10"/>
                <w:sz w:val="18"/>
                <w:szCs w:val="18"/>
              </w:rPr>
              <w:t>房地产业</w:t>
            </w:r>
            <w:r>
              <w:rPr>
                <w:rFonts w:ascii="Arial" w:hAnsi="Arial" w:cs="Arial" w:eastAsia="Arial" w:hint="default"/>
                <w:spacing w:val="10"/>
                <w:sz w:val="18"/>
                <w:szCs w:val="18"/>
              </w:rPr>
              <w:t>/</w:t>
            </w:r>
            <w:r>
              <w:rPr>
                <w:rFonts w:ascii="黑体" w:hAnsi="黑体" w:cs="黑体" w:eastAsia="黑体" w:hint="default"/>
                <w:spacing w:val="10"/>
                <w:sz w:val="18"/>
                <w:szCs w:val="18"/>
              </w:rPr>
              <w:t>金</w:t>
            </w:r>
            <w:r>
              <w:rPr>
                <w:rFonts w:ascii="黑体" w:hAnsi="黑体" w:cs="黑体" w:eastAsia="黑体" w:hint="default"/>
                <w:sz w:val="18"/>
                <w:szCs w:val="18"/>
              </w:rPr>
              <w:t> </w:t>
            </w:r>
            <w:r>
              <w:rPr>
                <w:rFonts w:ascii="黑体" w:hAnsi="黑体" w:cs="黑体" w:eastAsia="黑体" w:hint="default"/>
                <w:spacing w:val="10"/>
                <w:sz w:val="18"/>
                <w:szCs w:val="18"/>
              </w:rPr>
              <w:t>融投资业</w:t>
            </w:r>
            <w:r>
              <w:rPr>
                <w:rFonts w:ascii="Arial" w:hAnsi="Arial" w:cs="Arial" w:eastAsia="Arial" w:hint="default"/>
                <w:spacing w:val="10"/>
                <w:sz w:val="18"/>
                <w:szCs w:val="18"/>
              </w:rPr>
              <w:t>/</w:t>
            </w:r>
            <w:r>
              <w:rPr>
                <w:rFonts w:ascii="黑体" w:hAnsi="黑体" w:cs="黑体" w:eastAsia="黑体" w:hint="default"/>
                <w:spacing w:val="10"/>
                <w:sz w:val="18"/>
                <w:szCs w:val="18"/>
              </w:rPr>
              <w:t>计</w:t>
            </w:r>
            <w:r>
              <w:rPr>
                <w:rFonts w:ascii="黑体" w:hAnsi="黑体" w:cs="黑体" w:eastAsia="黑体" w:hint="default"/>
                <w:sz w:val="18"/>
                <w:szCs w:val="18"/>
              </w:rPr>
              <w:t> </w:t>
            </w:r>
            <w:r>
              <w:rPr>
                <w:rFonts w:ascii="黑体" w:hAnsi="黑体" w:cs="黑体" w:eastAsia="黑体" w:hint="default"/>
                <w:spacing w:val="-12"/>
                <w:sz w:val="18"/>
                <w:szCs w:val="18"/>
              </w:rPr>
              <w:t>算机软、硬件</w:t>
            </w:r>
            <w:r>
              <w:rPr>
                <w:rFonts w:ascii="黑体" w:hAnsi="黑体" w:cs="黑体" w:eastAsia="黑体" w:hint="default"/>
                <w:sz w:val="18"/>
                <w:szCs w:val="18"/>
              </w:rPr>
              <w:t> </w:t>
            </w:r>
            <w:r>
              <w:rPr>
                <w:rFonts w:ascii="黑体" w:hAnsi="黑体" w:cs="黑体" w:eastAsia="黑体" w:hint="default"/>
                <w:spacing w:val="-12"/>
                <w:sz w:val="18"/>
                <w:szCs w:val="18"/>
              </w:rPr>
              <w:t>和耗材、电子</w:t>
            </w:r>
            <w:r>
              <w:rPr>
                <w:rFonts w:ascii="黑体" w:hAnsi="黑体" w:cs="黑体" w:eastAsia="黑体" w:hint="default"/>
                <w:sz w:val="18"/>
                <w:szCs w:val="18"/>
              </w:rPr>
              <w:t> 行业</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黑体" w:hAnsi="黑体" w:cs="黑体" w:eastAsia="黑体" w:hint="default"/>
                <w:sz w:val="17"/>
                <w:szCs w:val="17"/>
              </w:rPr>
            </w:pPr>
          </w:p>
          <w:p>
            <w:pPr>
              <w:pStyle w:val="TableParagraph"/>
              <w:spacing w:line="240" w:lineRule="auto"/>
              <w:ind w:right="39"/>
              <w:jc w:val="right"/>
              <w:rPr>
                <w:rFonts w:ascii="Arial" w:hAnsi="Arial" w:cs="Arial" w:eastAsia="Arial" w:hint="default"/>
                <w:sz w:val="18"/>
                <w:szCs w:val="18"/>
              </w:rPr>
            </w:pPr>
            <w:r>
              <w:rPr>
                <w:rFonts w:ascii="Arial"/>
                <w:spacing w:val="-1"/>
                <w:sz w:val="18"/>
              </w:rPr>
              <w:t>80,000,000</w:t>
            </w:r>
          </w:p>
        </w:tc>
        <w:tc>
          <w:tcPr>
            <w:tcW w:w="242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4"/>
                <w:szCs w:val="14"/>
              </w:rPr>
            </w:pPr>
          </w:p>
          <w:p>
            <w:pPr>
              <w:pStyle w:val="TableParagraph"/>
              <w:spacing w:line="237" w:lineRule="auto"/>
              <w:ind w:left="14" w:right="215"/>
              <w:jc w:val="both"/>
              <w:rPr>
                <w:rFonts w:ascii="黑体" w:hAnsi="黑体" w:cs="黑体" w:eastAsia="黑体" w:hint="default"/>
                <w:sz w:val="18"/>
                <w:szCs w:val="18"/>
              </w:rPr>
            </w:pPr>
            <w:r>
              <w:rPr>
                <w:rFonts w:ascii="黑体" w:hAnsi="黑体" w:cs="黑体" w:eastAsia="黑体" w:hint="default"/>
                <w:spacing w:val="2"/>
                <w:sz w:val="18"/>
                <w:szCs w:val="18"/>
              </w:rPr>
              <w:t>实业投资（金融、期货、保 险、证券除外）；自有房租 赁；电子计算机软件、硬件 及外部设备的技术开发、技 术咨询、技术转让、技术服 务、技术培训；企业管理咨 询；数据库服务；打印纸、 计算机耗材、电子计算机软 硬件及外部设备销售；系统 </w:t>
            </w:r>
            <w:r>
              <w:rPr>
                <w:rFonts w:ascii="黑体" w:hAnsi="黑体" w:cs="黑体" w:eastAsia="黑体" w:hint="default"/>
                <w:sz w:val="18"/>
                <w:szCs w:val="18"/>
              </w:rPr>
              <w:t>集成。</w:t>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黑体" w:hAnsi="黑体" w:cs="黑体" w:eastAsia="黑体" w:hint="default"/>
                <w:sz w:val="17"/>
                <w:szCs w:val="17"/>
              </w:rPr>
            </w:pPr>
          </w:p>
          <w:p>
            <w:pPr>
              <w:pStyle w:val="TableParagraph"/>
              <w:spacing w:line="240" w:lineRule="auto"/>
              <w:ind w:right="83"/>
              <w:jc w:val="right"/>
              <w:rPr>
                <w:rFonts w:ascii="Arial" w:hAnsi="Arial" w:cs="Arial" w:eastAsia="Arial" w:hint="default"/>
                <w:sz w:val="18"/>
                <w:szCs w:val="18"/>
              </w:rPr>
            </w:pPr>
            <w:r>
              <w:rPr>
                <w:rFonts w:ascii="Arial"/>
                <w:spacing w:val="-1"/>
                <w:sz w:val="18"/>
              </w:rPr>
              <w:t>69372542-5</w:t>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黑体" w:hAnsi="黑体" w:cs="黑体" w:eastAsia="黑体" w:hint="default"/>
                <w:sz w:val="17"/>
                <w:szCs w:val="17"/>
              </w:rPr>
            </w:pPr>
          </w:p>
          <w:p>
            <w:pPr>
              <w:pStyle w:val="TableParagraph"/>
              <w:spacing w:line="240" w:lineRule="auto"/>
              <w:ind w:right="350"/>
              <w:jc w:val="right"/>
              <w:rPr>
                <w:rFonts w:ascii="Arial" w:hAnsi="Arial" w:cs="Arial" w:eastAsia="Arial" w:hint="default"/>
                <w:sz w:val="18"/>
                <w:szCs w:val="18"/>
              </w:rPr>
            </w:pPr>
            <w:r>
              <w:rPr>
                <w:rFonts w:ascii="Arial"/>
                <w:spacing w:val="-1"/>
                <w:sz w:val="18"/>
              </w:rPr>
              <w:t>80,000,000</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黑体" w:hAnsi="黑体" w:cs="黑体" w:eastAsia="黑体" w:hint="default"/>
                <w:sz w:val="17"/>
                <w:szCs w:val="17"/>
              </w:rPr>
            </w:pPr>
          </w:p>
          <w:p>
            <w:pPr>
              <w:pStyle w:val="TableParagraph"/>
              <w:spacing w:line="240" w:lineRule="auto"/>
              <w:ind w:left="47" w:right="0"/>
              <w:jc w:val="center"/>
              <w:rPr>
                <w:rFonts w:ascii="Arial" w:hAnsi="Arial" w:cs="Arial" w:eastAsia="Arial" w:hint="default"/>
                <w:sz w:val="18"/>
                <w:szCs w:val="18"/>
              </w:rPr>
            </w:pPr>
            <w:r>
              <w:rPr>
                <w:rFonts w:ascii="Arial"/>
                <w:sz w:val="18"/>
              </w:rPr>
              <w:t>100</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黑体" w:hAnsi="黑体" w:cs="黑体" w:eastAsia="黑体" w:hint="default"/>
                <w:sz w:val="17"/>
                <w:szCs w:val="17"/>
              </w:rPr>
            </w:pPr>
          </w:p>
          <w:p>
            <w:pPr>
              <w:pStyle w:val="TableParagraph"/>
              <w:spacing w:line="240" w:lineRule="auto"/>
              <w:ind w:right="294"/>
              <w:jc w:val="right"/>
              <w:rPr>
                <w:rFonts w:ascii="Arial" w:hAnsi="Arial" w:cs="Arial" w:eastAsia="Arial" w:hint="default"/>
                <w:sz w:val="18"/>
                <w:szCs w:val="18"/>
              </w:rPr>
            </w:pPr>
            <w:r>
              <w:rPr>
                <w:rFonts w:ascii="Arial"/>
                <w:w w:val="95"/>
                <w:sz w:val="18"/>
              </w:rPr>
              <w:t>100</w:t>
            </w:r>
            <w:r>
              <w:rPr>
                <w:rFonts w:ascii="Arial"/>
                <w:sz w:val="18"/>
              </w:rPr>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4"/>
                <w:szCs w:val="14"/>
              </w:rPr>
            </w:pPr>
          </w:p>
          <w:p>
            <w:pPr>
              <w:pStyle w:val="TableParagraph"/>
              <w:spacing w:line="240" w:lineRule="auto"/>
              <w:ind w:right="301"/>
              <w:jc w:val="right"/>
              <w:rPr>
                <w:rFonts w:ascii="黑体" w:hAnsi="黑体" w:cs="黑体" w:eastAsia="黑体" w:hint="default"/>
                <w:sz w:val="18"/>
                <w:szCs w:val="18"/>
              </w:rPr>
            </w:pPr>
            <w:r>
              <w:rPr>
                <w:rFonts w:ascii="黑体" w:hAnsi="黑体" w:cs="黑体" w:eastAsia="黑体" w:hint="default"/>
                <w:sz w:val="18"/>
                <w:szCs w:val="18"/>
              </w:rPr>
              <w:t>是</w:t>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黑体" w:hAnsi="黑体" w:cs="黑体" w:eastAsia="黑体" w:hint="default"/>
                <w:sz w:val="17"/>
                <w:szCs w:val="17"/>
              </w:rPr>
            </w:pPr>
          </w:p>
          <w:p>
            <w:pPr>
              <w:pStyle w:val="TableParagraph"/>
              <w:spacing w:line="240" w:lineRule="auto"/>
              <w:ind w:right="226"/>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pgSz w:w="16850" w:h="11910" w:orient="landscape"/>
          <w:pgMar w:header="957" w:footer="857" w:top="2620" w:bottom="1040" w:left="420" w:right="280"/>
        </w:sectPr>
      </w:pPr>
    </w:p>
    <w:p>
      <w:pPr>
        <w:spacing w:line="240" w:lineRule="auto" w:before="10"/>
        <w:rPr>
          <w:rFonts w:ascii="黑体" w:hAnsi="黑体" w:cs="黑体" w:eastAsia="黑体" w:hint="default"/>
          <w:sz w:val="12"/>
          <w:szCs w:val="12"/>
        </w:rPr>
      </w:pPr>
    </w:p>
    <w:p>
      <w:pPr>
        <w:pStyle w:val="Heading6"/>
        <w:spacing w:line="240" w:lineRule="auto"/>
        <w:ind w:left="313" w:right="12014"/>
        <w:jc w:val="left"/>
        <w:rPr>
          <w:b w:val="0"/>
          <w:bCs w:val="0"/>
        </w:rPr>
      </w:pPr>
      <w:r>
        <w:rPr/>
        <w:t>四、合并财务报表的合并范围（续）</w:t>
      </w:r>
      <w:r>
        <w:rPr>
          <w:b w:val="0"/>
          <w:bCs w:val="0"/>
        </w:rPr>
      </w:r>
    </w:p>
    <w:p>
      <w:pPr>
        <w:tabs>
          <w:tab w:pos="783" w:val="left" w:leader="none"/>
        </w:tabs>
        <w:spacing w:line="367" w:lineRule="auto" w:before="139"/>
        <w:ind w:left="315" w:right="11986" w:firstLine="0"/>
        <w:jc w:val="left"/>
        <w:rPr>
          <w:rFonts w:ascii="黑体" w:hAnsi="黑体" w:cs="黑体" w:eastAsia="黑体" w:hint="default"/>
          <w:sz w:val="20"/>
          <w:szCs w:val="20"/>
        </w:rPr>
      </w:pPr>
      <w:r>
        <w:rPr>
          <w:rFonts w:ascii="Arial" w:hAnsi="Arial" w:cs="Arial" w:eastAsia="Arial" w:hint="default"/>
          <w:b/>
          <w:bCs/>
          <w:spacing w:val="-1"/>
          <w:sz w:val="20"/>
          <w:szCs w:val="20"/>
        </w:rPr>
        <w:t>1.</w:t>
        <w:tab/>
      </w:r>
      <w:r>
        <w:rPr>
          <w:rFonts w:ascii="黑体" w:hAnsi="黑体" w:cs="黑体" w:eastAsia="黑体" w:hint="default"/>
          <w:b/>
          <w:bCs/>
          <w:spacing w:val="1"/>
          <w:sz w:val="20"/>
          <w:szCs w:val="20"/>
        </w:rPr>
        <w:t>子公司情况（续）</w:t>
      </w:r>
      <w:r>
        <w:rPr>
          <w:rFonts w:ascii="黑体" w:hAnsi="黑体" w:cs="黑体" w:eastAsia="黑体" w:hint="default"/>
          <w:b/>
          <w:bCs/>
          <w:w w:val="99"/>
          <w:sz w:val="20"/>
          <w:szCs w:val="20"/>
        </w:rPr>
        <w:t> </w:t>
      </w:r>
      <w:r>
        <w:rPr>
          <w:rFonts w:ascii="黑体" w:hAnsi="黑体" w:cs="黑体" w:eastAsia="黑体" w:hint="default"/>
          <w:sz w:val="20"/>
          <w:szCs w:val="20"/>
        </w:rPr>
        <w:t>本集团重要子公司的情况如下（续）：</w:t>
      </w:r>
      <w:r>
        <w:rPr>
          <w:rFonts w:ascii="黑体" w:hAnsi="黑体" w:cs="黑体" w:eastAsia="黑体" w:hint="default"/>
          <w:w w:val="99"/>
          <w:sz w:val="20"/>
          <w:szCs w:val="20"/>
        </w:rPr>
        <w:t> </w:t>
      </w:r>
      <w:r>
        <w:rPr>
          <w:rFonts w:ascii="黑体" w:hAnsi="黑体" w:cs="黑体" w:eastAsia="黑体" w:hint="default"/>
          <w:sz w:val="20"/>
          <w:szCs w:val="20"/>
        </w:rPr>
        <w:t>通过设立或投资等方式取得的子公司（续）</w:t>
      </w:r>
    </w:p>
    <w:p>
      <w:pPr>
        <w:spacing w:line="240" w:lineRule="auto" w:before="8"/>
        <w:rPr>
          <w:rFonts w:ascii="黑体" w:hAnsi="黑体" w:cs="黑体" w:eastAsia="黑体" w:hint="default"/>
          <w:sz w:val="25"/>
          <w:szCs w:val="25"/>
        </w:rPr>
      </w:pPr>
    </w:p>
    <w:tbl>
      <w:tblPr>
        <w:tblW w:w="0" w:type="auto"/>
        <w:jc w:val="left"/>
        <w:tblInd w:w="113" w:type="dxa"/>
        <w:tblLayout w:type="fixed"/>
        <w:tblCellMar>
          <w:top w:w="0" w:type="dxa"/>
          <w:left w:w="0" w:type="dxa"/>
          <w:bottom w:w="0" w:type="dxa"/>
          <w:right w:w="0" w:type="dxa"/>
        </w:tblCellMar>
        <w:tblLook w:val="01E0"/>
      </w:tblPr>
      <w:tblGrid>
        <w:gridCol w:w="1628"/>
        <w:gridCol w:w="942"/>
        <w:gridCol w:w="622"/>
        <w:gridCol w:w="667"/>
        <w:gridCol w:w="1074"/>
        <w:gridCol w:w="1093"/>
        <w:gridCol w:w="2432"/>
        <w:gridCol w:w="1411"/>
        <w:gridCol w:w="1462"/>
        <w:gridCol w:w="952"/>
        <w:gridCol w:w="1150"/>
        <w:gridCol w:w="1253"/>
        <w:gridCol w:w="1183"/>
      </w:tblGrid>
      <w:tr>
        <w:trPr>
          <w:trHeight w:val="229" w:hRule="exact"/>
        </w:trPr>
        <w:tc>
          <w:tcPr>
            <w:tcW w:w="1628" w:type="dxa"/>
            <w:tcBorders>
              <w:top w:val="nil" w:sz="6" w:space="0" w:color="auto"/>
              <w:left w:val="nil" w:sz="6" w:space="0" w:color="auto"/>
              <w:bottom w:val="nil" w:sz="6" w:space="0" w:color="auto"/>
              <w:right w:val="nil" w:sz="6" w:space="0" w:color="auto"/>
            </w:tcBorders>
          </w:tcPr>
          <w:p>
            <w:pPr/>
          </w:p>
        </w:tc>
        <w:tc>
          <w:tcPr>
            <w:tcW w:w="942" w:type="dxa"/>
            <w:tcBorders>
              <w:top w:val="nil" w:sz="6" w:space="0" w:color="auto"/>
              <w:left w:val="nil" w:sz="6" w:space="0" w:color="auto"/>
              <w:bottom w:val="nil" w:sz="6" w:space="0" w:color="auto"/>
              <w:right w:val="nil" w:sz="6" w:space="0" w:color="auto"/>
            </w:tcBorders>
          </w:tcPr>
          <w:p>
            <w:pPr>
              <w:pStyle w:val="TableParagraph"/>
              <w:spacing w:line="180" w:lineRule="exact"/>
              <w:ind w:right="133"/>
              <w:jc w:val="right"/>
              <w:rPr>
                <w:rFonts w:ascii="黑体" w:hAnsi="黑体" w:cs="黑体" w:eastAsia="黑体" w:hint="default"/>
                <w:sz w:val="18"/>
                <w:szCs w:val="18"/>
              </w:rPr>
            </w:pPr>
            <w:r>
              <w:rPr>
                <w:rFonts w:ascii="黑体" w:hAnsi="黑体" w:cs="黑体" w:eastAsia="黑体" w:hint="default"/>
                <w:sz w:val="18"/>
                <w:szCs w:val="18"/>
              </w:rPr>
              <w:t>子公司</w:t>
            </w:r>
          </w:p>
        </w:tc>
        <w:tc>
          <w:tcPr>
            <w:tcW w:w="622" w:type="dxa"/>
            <w:tcBorders>
              <w:top w:val="nil" w:sz="6" w:space="0" w:color="auto"/>
              <w:left w:val="nil" w:sz="6" w:space="0" w:color="auto"/>
              <w:bottom w:val="nil" w:sz="6" w:space="0" w:color="auto"/>
              <w:right w:val="nil" w:sz="6" w:space="0" w:color="auto"/>
            </w:tcBorders>
          </w:tcPr>
          <w:p>
            <w:pPr/>
          </w:p>
        </w:tc>
        <w:tc>
          <w:tcPr>
            <w:tcW w:w="667" w:type="dxa"/>
            <w:tcBorders>
              <w:top w:val="nil" w:sz="6" w:space="0" w:color="auto"/>
              <w:left w:val="nil" w:sz="6" w:space="0" w:color="auto"/>
              <w:bottom w:val="nil" w:sz="6" w:space="0" w:color="auto"/>
              <w:right w:val="nil" w:sz="6" w:space="0" w:color="auto"/>
            </w:tcBorders>
          </w:tcPr>
          <w:p>
            <w:pPr>
              <w:pStyle w:val="TableParagraph"/>
              <w:spacing w:line="180" w:lineRule="exact"/>
              <w:ind w:right="85"/>
              <w:jc w:val="right"/>
              <w:rPr>
                <w:rFonts w:ascii="黑体" w:hAnsi="黑体" w:cs="黑体" w:eastAsia="黑体" w:hint="default"/>
                <w:sz w:val="18"/>
                <w:szCs w:val="18"/>
              </w:rPr>
            </w:pPr>
            <w:r>
              <w:rPr>
                <w:rFonts w:ascii="黑体" w:hAnsi="黑体" w:cs="黑体" w:eastAsia="黑体" w:hint="default"/>
                <w:sz w:val="18"/>
                <w:szCs w:val="18"/>
              </w:rPr>
              <w:t>法定</w:t>
            </w:r>
          </w:p>
        </w:tc>
        <w:tc>
          <w:tcPr>
            <w:tcW w:w="1074" w:type="dxa"/>
            <w:tcBorders>
              <w:top w:val="nil" w:sz="6" w:space="0" w:color="auto"/>
              <w:left w:val="nil" w:sz="6" w:space="0" w:color="auto"/>
              <w:bottom w:val="nil" w:sz="6" w:space="0" w:color="auto"/>
              <w:right w:val="nil" w:sz="6" w:space="0" w:color="auto"/>
            </w:tcBorders>
          </w:tcPr>
          <w:p>
            <w:pPr/>
          </w:p>
        </w:tc>
        <w:tc>
          <w:tcPr>
            <w:tcW w:w="1093" w:type="dxa"/>
            <w:tcBorders>
              <w:top w:val="nil" w:sz="6" w:space="0" w:color="auto"/>
              <w:left w:val="nil" w:sz="6" w:space="0" w:color="auto"/>
              <w:bottom w:val="nil" w:sz="6" w:space="0" w:color="auto"/>
              <w:right w:val="nil" w:sz="6" w:space="0" w:color="auto"/>
            </w:tcBorders>
          </w:tcPr>
          <w:p>
            <w:pPr/>
          </w:p>
        </w:tc>
        <w:tc>
          <w:tcPr>
            <w:tcW w:w="2432"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180" w:lineRule="exact"/>
              <w:ind w:right="206"/>
              <w:jc w:val="right"/>
              <w:rPr>
                <w:rFonts w:ascii="黑体" w:hAnsi="黑体" w:cs="黑体" w:eastAsia="黑体" w:hint="default"/>
                <w:sz w:val="18"/>
                <w:szCs w:val="18"/>
              </w:rPr>
            </w:pPr>
            <w:r>
              <w:rPr>
                <w:rFonts w:ascii="黑体" w:hAnsi="黑体" w:cs="黑体" w:eastAsia="黑体" w:hint="default"/>
                <w:sz w:val="18"/>
                <w:szCs w:val="18"/>
              </w:rPr>
              <w:t>组织机构</w:t>
            </w:r>
          </w:p>
        </w:tc>
        <w:tc>
          <w:tcPr>
            <w:tcW w:w="1462" w:type="dxa"/>
            <w:tcBorders>
              <w:top w:val="nil" w:sz="6" w:space="0" w:color="auto"/>
              <w:left w:val="nil" w:sz="6" w:space="0" w:color="auto"/>
              <w:bottom w:val="nil" w:sz="6" w:space="0" w:color="auto"/>
              <w:right w:val="nil" w:sz="6" w:space="0" w:color="auto"/>
            </w:tcBorders>
          </w:tcPr>
          <w:p>
            <w:pPr>
              <w:pStyle w:val="TableParagraph"/>
              <w:spacing w:line="180" w:lineRule="exact"/>
              <w:ind w:right="252"/>
              <w:jc w:val="right"/>
              <w:rPr>
                <w:rFonts w:ascii="黑体" w:hAnsi="黑体" w:cs="黑体" w:eastAsia="黑体" w:hint="default"/>
                <w:sz w:val="18"/>
                <w:szCs w:val="18"/>
              </w:rPr>
            </w:pPr>
            <w:r>
              <w:rPr>
                <w:rFonts w:ascii="黑体" w:hAnsi="黑体" w:cs="黑体" w:eastAsia="黑体" w:hint="default"/>
                <w:sz w:val="18"/>
                <w:szCs w:val="18"/>
              </w:rPr>
              <w:t>年末实际</w:t>
            </w:r>
          </w:p>
        </w:tc>
        <w:tc>
          <w:tcPr>
            <w:tcW w:w="952" w:type="dxa"/>
            <w:tcBorders>
              <w:top w:val="nil" w:sz="6" w:space="0" w:color="auto"/>
              <w:left w:val="nil" w:sz="6" w:space="0" w:color="auto"/>
              <w:bottom w:val="nil" w:sz="6" w:space="0" w:color="auto"/>
              <w:right w:val="nil" w:sz="6" w:space="0" w:color="auto"/>
            </w:tcBorders>
          </w:tcPr>
          <w:p>
            <w:pPr>
              <w:pStyle w:val="TableParagraph"/>
              <w:spacing w:line="180" w:lineRule="exact"/>
              <w:ind w:left="251" w:right="0"/>
              <w:jc w:val="left"/>
              <w:rPr>
                <w:rFonts w:ascii="黑体" w:hAnsi="黑体" w:cs="黑体" w:eastAsia="黑体" w:hint="default"/>
                <w:sz w:val="18"/>
                <w:szCs w:val="18"/>
              </w:rPr>
            </w:pPr>
            <w:r>
              <w:rPr>
                <w:rFonts w:ascii="黑体" w:hAnsi="黑体" w:cs="黑体" w:eastAsia="黑体" w:hint="default"/>
                <w:sz w:val="18"/>
                <w:szCs w:val="18"/>
              </w:rPr>
              <w:t>持股</w:t>
            </w:r>
          </w:p>
        </w:tc>
        <w:tc>
          <w:tcPr>
            <w:tcW w:w="1150" w:type="dxa"/>
            <w:tcBorders>
              <w:top w:val="nil" w:sz="6" w:space="0" w:color="auto"/>
              <w:left w:val="nil" w:sz="6" w:space="0" w:color="auto"/>
              <w:bottom w:val="nil" w:sz="6" w:space="0" w:color="auto"/>
              <w:right w:val="nil" w:sz="6" w:space="0" w:color="auto"/>
            </w:tcBorders>
          </w:tcPr>
          <w:p>
            <w:pPr>
              <w:pStyle w:val="TableParagraph"/>
              <w:spacing w:line="180" w:lineRule="exact"/>
              <w:ind w:right="270"/>
              <w:jc w:val="right"/>
              <w:rPr>
                <w:rFonts w:ascii="黑体" w:hAnsi="黑体" w:cs="黑体" w:eastAsia="黑体" w:hint="default"/>
                <w:sz w:val="18"/>
                <w:szCs w:val="18"/>
              </w:rPr>
            </w:pPr>
            <w:r>
              <w:rPr>
                <w:rFonts w:ascii="黑体" w:hAnsi="黑体" w:cs="黑体" w:eastAsia="黑体" w:hint="default"/>
                <w:sz w:val="18"/>
                <w:szCs w:val="18"/>
              </w:rPr>
              <w:t>表决权</w:t>
            </w:r>
          </w:p>
        </w:tc>
        <w:tc>
          <w:tcPr>
            <w:tcW w:w="1253" w:type="dxa"/>
            <w:tcBorders>
              <w:top w:val="nil" w:sz="6" w:space="0" w:color="auto"/>
              <w:left w:val="nil" w:sz="6" w:space="0" w:color="auto"/>
              <w:bottom w:val="nil" w:sz="6" w:space="0" w:color="auto"/>
              <w:right w:val="nil" w:sz="6" w:space="0" w:color="auto"/>
            </w:tcBorders>
          </w:tcPr>
          <w:p>
            <w:pPr>
              <w:pStyle w:val="TableParagraph"/>
              <w:spacing w:line="180" w:lineRule="exact"/>
              <w:ind w:right="260"/>
              <w:jc w:val="right"/>
              <w:rPr>
                <w:rFonts w:ascii="黑体" w:hAnsi="黑体" w:cs="黑体" w:eastAsia="黑体" w:hint="default"/>
                <w:sz w:val="18"/>
                <w:szCs w:val="18"/>
              </w:rPr>
            </w:pPr>
            <w:r>
              <w:rPr>
                <w:rFonts w:ascii="黑体" w:hAnsi="黑体" w:cs="黑体" w:eastAsia="黑体" w:hint="default"/>
                <w:sz w:val="18"/>
                <w:szCs w:val="18"/>
              </w:rPr>
              <w:t>是否</w:t>
            </w:r>
          </w:p>
        </w:tc>
        <w:tc>
          <w:tcPr>
            <w:tcW w:w="1183" w:type="dxa"/>
            <w:tcBorders>
              <w:top w:val="nil" w:sz="6" w:space="0" w:color="auto"/>
              <w:left w:val="nil" w:sz="6" w:space="0" w:color="auto"/>
              <w:bottom w:val="nil" w:sz="6" w:space="0" w:color="auto"/>
              <w:right w:val="nil" w:sz="6" w:space="0" w:color="auto"/>
            </w:tcBorders>
          </w:tcPr>
          <w:p>
            <w:pPr>
              <w:pStyle w:val="TableParagraph"/>
              <w:spacing w:line="180" w:lineRule="exact"/>
              <w:ind w:right="198"/>
              <w:jc w:val="right"/>
              <w:rPr>
                <w:rFonts w:ascii="黑体" w:hAnsi="黑体" w:cs="黑体" w:eastAsia="黑体" w:hint="default"/>
                <w:sz w:val="18"/>
                <w:szCs w:val="18"/>
              </w:rPr>
            </w:pPr>
            <w:r>
              <w:rPr>
                <w:rFonts w:ascii="黑体" w:hAnsi="黑体" w:cs="黑体" w:eastAsia="黑体" w:hint="default"/>
                <w:sz w:val="18"/>
                <w:szCs w:val="18"/>
              </w:rPr>
              <w:t>少数股东</w:t>
            </w:r>
          </w:p>
        </w:tc>
      </w:tr>
      <w:tr>
        <w:trPr>
          <w:trHeight w:val="284" w:hRule="exact"/>
        </w:trPr>
        <w:tc>
          <w:tcPr>
            <w:tcW w:w="1628" w:type="dxa"/>
            <w:tcBorders>
              <w:top w:val="nil" w:sz="6" w:space="0" w:color="auto"/>
              <w:left w:val="nil" w:sz="6" w:space="0" w:color="auto"/>
              <w:bottom w:val="nil" w:sz="6" w:space="0" w:color="auto"/>
              <w:right w:val="nil" w:sz="6" w:space="0" w:color="auto"/>
            </w:tcBorders>
          </w:tcPr>
          <w:p>
            <w:pPr>
              <w:pStyle w:val="TableParagraph"/>
              <w:spacing w:line="229" w:lineRule="exact"/>
              <w:ind w:left="257" w:right="0"/>
              <w:jc w:val="left"/>
              <w:rPr>
                <w:rFonts w:ascii="黑体" w:hAnsi="黑体" w:cs="黑体" w:eastAsia="黑体" w:hint="default"/>
                <w:sz w:val="18"/>
                <w:szCs w:val="18"/>
              </w:rPr>
            </w:pPr>
            <w:r>
              <w:rPr>
                <w:rFonts w:ascii="黑体" w:hAnsi="黑体" w:cs="黑体" w:eastAsia="黑体" w:hint="default"/>
                <w:sz w:val="18"/>
                <w:szCs w:val="18"/>
              </w:rPr>
              <w:t>被投资单位名称</w:t>
            </w:r>
          </w:p>
        </w:tc>
        <w:tc>
          <w:tcPr>
            <w:tcW w:w="942" w:type="dxa"/>
            <w:tcBorders>
              <w:top w:val="nil" w:sz="6" w:space="0" w:color="auto"/>
              <w:left w:val="nil" w:sz="6" w:space="0" w:color="auto"/>
              <w:bottom w:val="nil" w:sz="6" w:space="0" w:color="auto"/>
              <w:right w:val="nil" w:sz="6" w:space="0" w:color="auto"/>
            </w:tcBorders>
          </w:tcPr>
          <w:p>
            <w:pPr>
              <w:pStyle w:val="TableParagraph"/>
              <w:spacing w:line="229" w:lineRule="exact"/>
              <w:ind w:right="133"/>
              <w:jc w:val="right"/>
              <w:rPr>
                <w:rFonts w:ascii="黑体" w:hAnsi="黑体" w:cs="黑体" w:eastAsia="黑体" w:hint="default"/>
                <w:sz w:val="18"/>
                <w:szCs w:val="18"/>
              </w:rPr>
            </w:pPr>
            <w:r>
              <w:rPr>
                <w:rFonts w:ascii="黑体" w:hAnsi="黑体" w:cs="黑体" w:eastAsia="黑体" w:hint="default"/>
                <w:sz w:val="18"/>
                <w:szCs w:val="18"/>
              </w:rPr>
              <w:t>类型</w:t>
            </w:r>
          </w:p>
        </w:tc>
        <w:tc>
          <w:tcPr>
            <w:tcW w:w="622" w:type="dxa"/>
            <w:tcBorders>
              <w:top w:val="nil" w:sz="6" w:space="0" w:color="auto"/>
              <w:left w:val="nil" w:sz="6" w:space="0" w:color="auto"/>
              <w:bottom w:val="nil" w:sz="6" w:space="0" w:color="auto"/>
              <w:right w:val="nil" w:sz="6" w:space="0" w:color="auto"/>
            </w:tcBorders>
          </w:tcPr>
          <w:p>
            <w:pPr>
              <w:pStyle w:val="TableParagraph"/>
              <w:spacing w:line="229" w:lineRule="exact"/>
              <w:ind w:left="26" w:right="0"/>
              <w:jc w:val="center"/>
              <w:rPr>
                <w:rFonts w:ascii="黑体" w:hAnsi="黑体" w:cs="黑体" w:eastAsia="黑体" w:hint="default"/>
                <w:sz w:val="18"/>
                <w:szCs w:val="18"/>
              </w:rPr>
            </w:pPr>
            <w:r>
              <w:rPr>
                <w:rFonts w:ascii="黑体" w:hAnsi="黑体" w:cs="黑体" w:eastAsia="黑体" w:hint="default"/>
                <w:sz w:val="18"/>
                <w:szCs w:val="18"/>
              </w:rPr>
              <w:t>注册地</w:t>
            </w:r>
          </w:p>
        </w:tc>
        <w:tc>
          <w:tcPr>
            <w:tcW w:w="667" w:type="dxa"/>
            <w:tcBorders>
              <w:top w:val="nil" w:sz="6" w:space="0" w:color="auto"/>
              <w:left w:val="nil" w:sz="6" w:space="0" w:color="auto"/>
              <w:bottom w:val="nil" w:sz="6" w:space="0" w:color="auto"/>
              <w:right w:val="nil" w:sz="6" w:space="0" w:color="auto"/>
            </w:tcBorders>
          </w:tcPr>
          <w:p>
            <w:pPr>
              <w:pStyle w:val="TableParagraph"/>
              <w:spacing w:line="229" w:lineRule="exact"/>
              <w:ind w:right="85"/>
              <w:jc w:val="right"/>
              <w:rPr>
                <w:rFonts w:ascii="黑体" w:hAnsi="黑体" w:cs="黑体" w:eastAsia="黑体" w:hint="default"/>
                <w:sz w:val="18"/>
                <w:szCs w:val="18"/>
              </w:rPr>
            </w:pPr>
            <w:r>
              <w:rPr>
                <w:rFonts w:ascii="黑体" w:hAnsi="黑体" w:cs="黑体" w:eastAsia="黑体" w:hint="default"/>
                <w:sz w:val="18"/>
                <w:szCs w:val="18"/>
              </w:rPr>
              <w:t>代表人</w:t>
            </w:r>
          </w:p>
        </w:tc>
        <w:tc>
          <w:tcPr>
            <w:tcW w:w="1074" w:type="dxa"/>
            <w:tcBorders>
              <w:top w:val="nil" w:sz="6" w:space="0" w:color="auto"/>
              <w:left w:val="nil" w:sz="6" w:space="0" w:color="auto"/>
              <w:bottom w:val="nil" w:sz="6" w:space="0" w:color="auto"/>
              <w:right w:val="nil" w:sz="6" w:space="0" w:color="auto"/>
            </w:tcBorders>
          </w:tcPr>
          <w:p>
            <w:pPr>
              <w:pStyle w:val="TableParagraph"/>
              <w:spacing w:line="229" w:lineRule="exact"/>
              <w:ind w:left="224" w:right="0"/>
              <w:jc w:val="left"/>
              <w:rPr>
                <w:rFonts w:ascii="黑体" w:hAnsi="黑体" w:cs="黑体" w:eastAsia="黑体" w:hint="default"/>
                <w:sz w:val="18"/>
                <w:szCs w:val="18"/>
              </w:rPr>
            </w:pPr>
            <w:r>
              <w:rPr>
                <w:rFonts w:ascii="黑体" w:hAnsi="黑体" w:cs="黑体" w:eastAsia="黑体" w:hint="default"/>
                <w:sz w:val="18"/>
                <w:szCs w:val="18"/>
              </w:rPr>
              <w:t>业务性质</w:t>
            </w:r>
          </w:p>
        </w:tc>
        <w:tc>
          <w:tcPr>
            <w:tcW w:w="1093" w:type="dxa"/>
            <w:tcBorders>
              <w:top w:val="nil" w:sz="6" w:space="0" w:color="auto"/>
              <w:left w:val="nil" w:sz="6" w:space="0" w:color="auto"/>
              <w:bottom w:val="nil" w:sz="6" w:space="0" w:color="auto"/>
              <w:right w:val="nil" w:sz="6" w:space="0" w:color="auto"/>
            </w:tcBorders>
          </w:tcPr>
          <w:p>
            <w:pPr>
              <w:pStyle w:val="TableParagraph"/>
              <w:spacing w:line="229" w:lineRule="exact"/>
              <w:ind w:right="28"/>
              <w:jc w:val="right"/>
              <w:rPr>
                <w:rFonts w:ascii="黑体" w:hAnsi="黑体" w:cs="黑体" w:eastAsia="黑体" w:hint="default"/>
                <w:sz w:val="18"/>
                <w:szCs w:val="18"/>
              </w:rPr>
            </w:pPr>
            <w:r>
              <w:rPr>
                <w:rFonts w:ascii="黑体" w:hAnsi="黑体" w:cs="黑体" w:eastAsia="黑体" w:hint="default"/>
                <w:sz w:val="18"/>
                <w:szCs w:val="18"/>
              </w:rPr>
              <w:t>注册资本</w:t>
            </w:r>
          </w:p>
        </w:tc>
        <w:tc>
          <w:tcPr>
            <w:tcW w:w="2432" w:type="dxa"/>
            <w:tcBorders>
              <w:top w:val="nil" w:sz="6" w:space="0" w:color="auto"/>
              <w:left w:val="nil" w:sz="6" w:space="0" w:color="auto"/>
              <w:bottom w:val="nil" w:sz="6" w:space="0" w:color="auto"/>
              <w:right w:val="nil" w:sz="6" w:space="0" w:color="auto"/>
            </w:tcBorders>
          </w:tcPr>
          <w:p>
            <w:pPr>
              <w:pStyle w:val="TableParagraph"/>
              <w:spacing w:line="229" w:lineRule="exact"/>
              <w:ind w:left="1460" w:right="0"/>
              <w:jc w:val="left"/>
              <w:rPr>
                <w:rFonts w:ascii="黑体" w:hAnsi="黑体" w:cs="黑体" w:eastAsia="黑体" w:hint="default"/>
                <w:sz w:val="18"/>
                <w:szCs w:val="18"/>
              </w:rPr>
            </w:pPr>
            <w:r>
              <w:rPr>
                <w:rFonts w:ascii="黑体" w:hAnsi="黑体" w:cs="黑体" w:eastAsia="黑体" w:hint="default"/>
                <w:sz w:val="18"/>
                <w:szCs w:val="18"/>
              </w:rPr>
              <w:t>经营范围</w:t>
            </w:r>
          </w:p>
        </w:tc>
        <w:tc>
          <w:tcPr>
            <w:tcW w:w="1411" w:type="dxa"/>
            <w:tcBorders>
              <w:top w:val="nil" w:sz="6" w:space="0" w:color="auto"/>
              <w:left w:val="nil" w:sz="6" w:space="0" w:color="auto"/>
              <w:bottom w:val="nil" w:sz="6" w:space="0" w:color="auto"/>
              <w:right w:val="nil" w:sz="6" w:space="0" w:color="auto"/>
            </w:tcBorders>
          </w:tcPr>
          <w:p>
            <w:pPr>
              <w:pStyle w:val="TableParagraph"/>
              <w:spacing w:line="229" w:lineRule="exact"/>
              <w:ind w:right="206"/>
              <w:jc w:val="right"/>
              <w:rPr>
                <w:rFonts w:ascii="黑体" w:hAnsi="黑体" w:cs="黑体" w:eastAsia="黑体" w:hint="default"/>
                <w:sz w:val="18"/>
                <w:szCs w:val="18"/>
              </w:rPr>
            </w:pPr>
            <w:r>
              <w:rPr>
                <w:rFonts w:ascii="黑体" w:hAnsi="黑体" w:cs="黑体" w:eastAsia="黑体" w:hint="default"/>
                <w:sz w:val="18"/>
                <w:szCs w:val="18"/>
              </w:rPr>
              <w:t>代码</w:t>
            </w:r>
          </w:p>
        </w:tc>
        <w:tc>
          <w:tcPr>
            <w:tcW w:w="1462" w:type="dxa"/>
            <w:tcBorders>
              <w:top w:val="nil" w:sz="6" w:space="0" w:color="auto"/>
              <w:left w:val="nil" w:sz="6" w:space="0" w:color="auto"/>
              <w:bottom w:val="nil" w:sz="6" w:space="0" w:color="auto"/>
              <w:right w:val="nil" w:sz="6" w:space="0" w:color="auto"/>
            </w:tcBorders>
          </w:tcPr>
          <w:p>
            <w:pPr>
              <w:pStyle w:val="TableParagraph"/>
              <w:spacing w:line="229" w:lineRule="exact"/>
              <w:ind w:right="252"/>
              <w:jc w:val="right"/>
              <w:rPr>
                <w:rFonts w:ascii="黑体" w:hAnsi="黑体" w:cs="黑体" w:eastAsia="黑体" w:hint="default"/>
                <w:sz w:val="18"/>
                <w:szCs w:val="18"/>
              </w:rPr>
            </w:pPr>
            <w:r>
              <w:rPr>
                <w:rFonts w:ascii="黑体" w:hAnsi="黑体" w:cs="黑体" w:eastAsia="黑体" w:hint="default"/>
                <w:sz w:val="18"/>
                <w:szCs w:val="18"/>
              </w:rPr>
              <w:t>出资额</w:t>
            </w:r>
          </w:p>
        </w:tc>
        <w:tc>
          <w:tcPr>
            <w:tcW w:w="952" w:type="dxa"/>
            <w:tcBorders>
              <w:top w:val="nil" w:sz="6" w:space="0" w:color="auto"/>
              <w:left w:val="nil" w:sz="6" w:space="0" w:color="auto"/>
              <w:bottom w:val="nil" w:sz="6" w:space="0" w:color="auto"/>
              <w:right w:val="nil" w:sz="6" w:space="0" w:color="auto"/>
            </w:tcBorders>
          </w:tcPr>
          <w:p>
            <w:pPr>
              <w:pStyle w:val="TableParagraph"/>
              <w:spacing w:line="229" w:lineRule="exact"/>
              <w:ind w:left="251" w:right="0"/>
              <w:jc w:val="left"/>
              <w:rPr>
                <w:rFonts w:ascii="黑体" w:hAnsi="黑体" w:cs="黑体" w:eastAsia="黑体" w:hint="default"/>
                <w:sz w:val="18"/>
                <w:szCs w:val="18"/>
              </w:rPr>
            </w:pPr>
            <w:r>
              <w:rPr>
                <w:rFonts w:ascii="黑体" w:hAnsi="黑体" w:cs="黑体" w:eastAsia="黑体" w:hint="default"/>
                <w:sz w:val="18"/>
                <w:szCs w:val="18"/>
              </w:rPr>
              <w:t>比例</w:t>
            </w:r>
          </w:p>
        </w:tc>
        <w:tc>
          <w:tcPr>
            <w:tcW w:w="1150" w:type="dxa"/>
            <w:tcBorders>
              <w:top w:val="nil" w:sz="6" w:space="0" w:color="auto"/>
              <w:left w:val="nil" w:sz="6" w:space="0" w:color="auto"/>
              <w:bottom w:val="nil" w:sz="6" w:space="0" w:color="auto"/>
              <w:right w:val="nil" w:sz="6" w:space="0" w:color="auto"/>
            </w:tcBorders>
          </w:tcPr>
          <w:p>
            <w:pPr>
              <w:pStyle w:val="TableParagraph"/>
              <w:spacing w:line="229" w:lineRule="exact"/>
              <w:ind w:right="270"/>
              <w:jc w:val="right"/>
              <w:rPr>
                <w:rFonts w:ascii="黑体" w:hAnsi="黑体" w:cs="黑体" w:eastAsia="黑体" w:hint="default"/>
                <w:sz w:val="18"/>
                <w:szCs w:val="18"/>
              </w:rPr>
            </w:pPr>
            <w:r>
              <w:rPr>
                <w:rFonts w:ascii="黑体" w:hAnsi="黑体" w:cs="黑体" w:eastAsia="黑体" w:hint="default"/>
                <w:sz w:val="18"/>
                <w:szCs w:val="18"/>
              </w:rPr>
              <w:t>比例</w:t>
            </w:r>
          </w:p>
        </w:tc>
        <w:tc>
          <w:tcPr>
            <w:tcW w:w="1253" w:type="dxa"/>
            <w:tcBorders>
              <w:top w:val="nil" w:sz="6" w:space="0" w:color="auto"/>
              <w:left w:val="nil" w:sz="6" w:space="0" w:color="auto"/>
              <w:bottom w:val="nil" w:sz="6" w:space="0" w:color="auto"/>
              <w:right w:val="nil" w:sz="6" w:space="0" w:color="auto"/>
            </w:tcBorders>
          </w:tcPr>
          <w:p>
            <w:pPr>
              <w:pStyle w:val="TableParagraph"/>
              <w:spacing w:line="229" w:lineRule="exact"/>
              <w:ind w:right="260"/>
              <w:jc w:val="right"/>
              <w:rPr>
                <w:rFonts w:ascii="黑体" w:hAnsi="黑体" w:cs="黑体" w:eastAsia="黑体" w:hint="default"/>
                <w:sz w:val="18"/>
                <w:szCs w:val="18"/>
              </w:rPr>
            </w:pPr>
            <w:r>
              <w:rPr>
                <w:rFonts w:ascii="黑体" w:hAnsi="黑体" w:cs="黑体" w:eastAsia="黑体" w:hint="default"/>
                <w:sz w:val="18"/>
                <w:szCs w:val="18"/>
              </w:rPr>
              <w:t>合并报表</w:t>
            </w:r>
          </w:p>
        </w:tc>
        <w:tc>
          <w:tcPr>
            <w:tcW w:w="1183" w:type="dxa"/>
            <w:tcBorders>
              <w:top w:val="nil" w:sz="6" w:space="0" w:color="auto"/>
              <w:left w:val="nil" w:sz="6" w:space="0" w:color="auto"/>
              <w:bottom w:val="nil" w:sz="6" w:space="0" w:color="auto"/>
              <w:right w:val="nil" w:sz="6" w:space="0" w:color="auto"/>
            </w:tcBorders>
          </w:tcPr>
          <w:p>
            <w:pPr>
              <w:pStyle w:val="TableParagraph"/>
              <w:spacing w:line="229" w:lineRule="exact"/>
              <w:ind w:right="198"/>
              <w:jc w:val="right"/>
              <w:rPr>
                <w:rFonts w:ascii="黑体" w:hAnsi="黑体" w:cs="黑体" w:eastAsia="黑体" w:hint="default"/>
                <w:sz w:val="18"/>
                <w:szCs w:val="18"/>
              </w:rPr>
            </w:pPr>
            <w:r>
              <w:rPr>
                <w:rFonts w:ascii="黑体" w:hAnsi="黑体" w:cs="黑体" w:eastAsia="黑体" w:hint="default"/>
                <w:sz w:val="18"/>
                <w:szCs w:val="18"/>
              </w:rPr>
              <w:t>权益</w:t>
            </w:r>
          </w:p>
        </w:tc>
      </w:tr>
      <w:tr>
        <w:trPr>
          <w:trHeight w:val="359" w:hRule="exact"/>
        </w:trPr>
        <w:tc>
          <w:tcPr>
            <w:tcW w:w="1628" w:type="dxa"/>
            <w:tcBorders>
              <w:top w:val="nil" w:sz="6" w:space="0" w:color="auto"/>
              <w:left w:val="nil" w:sz="6" w:space="0" w:color="auto"/>
              <w:bottom w:val="nil" w:sz="6" w:space="0" w:color="auto"/>
              <w:right w:val="nil" w:sz="6" w:space="0" w:color="auto"/>
            </w:tcBorders>
          </w:tcPr>
          <w:p>
            <w:pPr/>
          </w:p>
        </w:tc>
        <w:tc>
          <w:tcPr>
            <w:tcW w:w="942"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nil" w:sz="6" w:space="0" w:color="auto"/>
              <w:right w:val="nil" w:sz="6" w:space="0" w:color="auto"/>
            </w:tcBorders>
          </w:tcPr>
          <w:p>
            <w:pPr/>
          </w:p>
        </w:tc>
        <w:tc>
          <w:tcPr>
            <w:tcW w:w="667" w:type="dxa"/>
            <w:tcBorders>
              <w:top w:val="nil" w:sz="6" w:space="0" w:color="auto"/>
              <w:left w:val="nil" w:sz="6" w:space="0" w:color="auto"/>
              <w:bottom w:val="nil" w:sz="6" w:space="0" w:color="auto"/>
              <w:right w:val="nil" w:sz="6" w:space="0" w:color="auto"/>
            </w:tcBorders>
          </w:tcPr>
          <w:p>
            <w:pPr/>
          </w:p>
        </w:tc>
        <w:tc>
          <w:tcPr>
            <w:tcW w:w="1074" w:type="dxa"/>
            <w:tcBorders>
              <w:top w:val="nil" w:sz="6" w:space="0" w:color="auto"/>
              <w:left w:val="nil" w:sz="6" w:space="0" w:color="auto"/>
              <w:bottom w:val="nil" w:sz="6" w:space="0" w:color="auto"/>
              <w:right w:val="nil" w:sz="6" w:space="0" w:color="auto"/>
            </w:tcBorders>
          </w:tcPr>
          <w:p>
            <w:pPr/>
          </w:p>
        </w:tc>
        <w:tc>
          <w:tcPr>
            <w:tcW w:w="1093" w:type="dxa"/>
            <w:tcBorders>
              <w:top w:val="nil" w:sz="6" w:space="0" w:color="auto"/>
              <w:left w:val="nil" w:sz="6" w:space="0" w:color="auto"/>
              <w:bottom w:val="nil" w:sz="6" w:space="0" w:color="auto"/>
              <w:right w:val="nil" w:sz="6" w:space="0" w:color="auto"/>
            </w:tcBorders>
          </w:tcPr>
          <w:p>
            <w:pPr/>
          </w:p>
        </w:tc>
        <w:tc>
          <w:tcPr>
            <w:tcW w:w="2432"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31" w:right="0"/>
              <w:jc w:val="left"/>
              <w:rPr>
                <w:rFonts w:ascii="Arial" w:hAnsi="Arial" w:cs="Arial" w:eastAsia="Arial" w:hint="default"/>
                <w:sz w:val="18"/>
                <w:szCs w:val="18"/>
              </w:rPr>
            </w:pPr>
            <w:r>
              <w:rPr>
                <w:rFonts w:ascii="Arial"/>
                <w:sz w:val="18"/>
              </w:rPr>
              <w:t>(%)</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70"/>
              <w:jc w:val="right"/>
              <w:rPr>
                <w:rFonts w:ascii="Arial" w:hAnsi="Arial" w:cs="Arial" w:eastAsia="Arial" w:hint="default"/>
                <w:sz w:val="18"/>
                <w:szCs w:val="18"/>
              </w:rPr>
            </w:pPr>
            <w:r>
              <w:rPr>
                <w:rFonts w:ascii="Arial"/>
                <w:w w:val="95"/>
                <w:sz w:val="18"/>
              </w:rPr>
              <w:t>(%)</w:t>
            </w:r>
            <w:r>
              <w:rPr>
                <w:rFonts w:ascii="Arial"/>
                <w:sz w:val="18"/>
              </w:rPr>
            </w:r>
          </w:p>
        </w:tc>
        <w:tc>
          <w:tcPr>
            <w:tcW w:w="1253"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
        </w:tc>
      </w:tr>
      <w:tr>
        <w:trPr>
          <w:trHeight w:val="1223" w:hRule="exact"/>
        </w:trPr>
        <w:tc>
          <w:tcPr>
            <w:tcW w:w="1628" w:type="dxa"/>
            <w:tcBorders>
              <w:top w:val="nil" w:sz="6" w:space="0" w:color="auto"/>
              <w:left w:val="nil" w:sz="6" w:space="0" w:color="auto"/>
              <w:bottom w:val="nil" w:sz="6" w:space="0" w:color="auto"/>
              <w:right w:val="nil" w:sz="6" w:space="0" w:color="auto"/>
            </w:tcBorders>
          </w:tcPr>
          <w:p>
            <w:pPr>
              <w:pStyle w:val="TableParagraph"/>
              <w:spacing w:line="199" w:lineRule="auto" w:before="123"/>
              <w:ind w:left="382" w:right="65" w:hanging="183"/>
              <w:jc w:val="both"/>
              <w:rPr>
                <w:rFonts w:ascii="Arial" w:hAnsi="Arial" w:cs="Arial" w:eastAsia="Arial" w:hint="default"/>
                <w:sz w:val="18"/>
                <w:szCs w:val="18"/>
              </w:rPr>
            </w:pPr>
            <w:r>
              <w:rPr>
                <w:rFonts w:ascii="黑体" w:hAnsi="黑体" w:cs="黑体" w:eastAsia="黑体" w:hint="default"/>
                <w:spacing w:val="13"/>
                <w:sz w:val="18"/>
                <w:szCs w:val="18"/>
              </w:rPr>
              <w:t>天津滨海用友软</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pacing w:val="2"/>
                <w:sz w:val="18"/>
                <w:szCs w:val="18"/>
              </w:rPr>
              <w:t>件有限公司</w:t>
            </w:r>
            <w:r>
              <w:rPr>
                <w:rFonts w:ascii="Arial" w:hAnsi="Arial" w:cs="Arial" w:eastAsia="Arial" w:hint="default"/>
                <w:spacing w:val="2"/>
                <w:sz w:val="18"/>
                <w:szCs w:val="18"/>
              </w:rPr>
              <w:t>(</w:t>
            </w:r>
            <w:r>
              <w:rPr>
                <w:rFonts w:ascii="黑体" w:hAnsi="黑体" w:cs="黑体" w:eastAsia="黑体" w:hint="default"/>
                <w:spacing w:val="2"/>
                <w:sz w:val="18"/>
                <w:szCs w:val="18"/>
              </w:rPr>
              <w:t>以</w:t>
            </w:r>
            <w:r>
              <w:rPr>
                <w:rFonts w:ascii="黑体" w:hAnsi="黑体" w:cs="黑体" w:eastAsia="黑体" w:hint="default"/>
                <w:sz w:val="18"/>
                <w:szCs w:val="18"/>
              </w:rPr>
              <w:t> </w:t>
            </w:r>
            <w:r>
              <w:rPr>
                <w:rFonts w:ascii="黑体" w:hAnsi="黑体" w:cs="黑体" w:eastAsia="黑体" w:hint="default"/>
                <w:spacing w:val="13"/>
                <w:sz w:val="18"/>
                <w:szCs w:val="18"/>
              </w:rPr>
              <w:t>下简称“滨海</w:t>
            </w:r>
            <w:r>
              <w:rPr>
                <w:rFonts w:ascii="黑体" w:hAnsi="黑体" w:cs="黑体" w:eastAsia="黑体" w:hint="default"/>
                <w:spacing w:val="-74"/>
                <w:sz w:val="18"/>
                <w:szCs w:val="18"/>
              </w:rPr>
              <w:t> </w:t>
            </w:r>
            <w:r>
              <w:rPr>
                <w:rFonts w:ascii="黑体" w:hAnsi="黑体" w:cs="黑体" w:eastAsia="黑体" w:hint="default"/>
                <w:sz w:val="18"/>
                <w:szCs w:val="18"/>
              </w:rPr>
              <w:t>用友”</w:t>
            </w:r>
            <w:r>
              <w:rPr>
                <w:rFonts w:ascii="Arial" w:hAnsi="Arial" w:cs="Arial" w:eastAsia="Arial" w:hint="default"/>
                <w:sz w:val="18"/>
                <w:szCs w:val="18"/>
              </w:rPr>
              <w:t>)</w:t>
            </w:r>
          </w:p>
        </w:tc>
        <w:tc>
          <w:tcPr>
            <w:tcW w:w="942" w:type="dxa"/>
            <w:tcBorders>
              <w:top w:val="nil" w:sz="6" w:space="0" w:color="auto"/>
              <w:left w:val="nil" w:sz="6" w:space="0" w:color="auto"/>
              <w:bottom w:val="nil" w:sz="6" w:space="0" w:color="auto"/>
              <w:right w:val="nil" w:sz="6" w:space="0" w:color="auto"/>
            </w:tcBorders>
          </w:tcPr>
          <w:p>
            <w:pPr>
              <w:pStyle w:val="TableParagraph"/>
              <w:spacing w:line="200" w:lineRule="exact" w:before="118"/>
              <w:ind w:left="340" w:right="135" w:hanging="257"/>
              <w:jc w:val="left"/>
              <w:rPr>
                <w:rFonts w:ascii="黑体" w:hAnsi="黑体" w:cs="黑体" w:eastAsia="黑体" w:hint="default"/>
                <w:sz w:val="18"/>
                <w:szCs w:val="18"/>
              </w:rPr>
            </w:pPr>
            <w:r>
              <w:rPr>
                <w:rFonts w:ascii="黑体" w:hAnsi="黑体" w:cs="黑体" w:eastAsia="黑体" w:hint="default"/>
                <w:sz w:val="18"/>
                <w:szCs w:val="18"/>
              </w:rPr>
              <w:t>有限责任 公司</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6" w:right="0"/>
              <w:jc w:val="center"/>
              <w:rPr>
                <w:rFonts w:ascii="黑体" w:hAnsi="黑体" w:cs="黑体" w:eastAsia="黑体" w:hint="default"/>
                <w:sz w:val="18"/>
                <w:szCs w:val="18"/>
              </w:rPr>
            </w:pPr>
            <w:r>
              <w:rPr>
                <w:rFonts w:ascii="黑体" w:hAnsi="黑体" w:cs="黑体" w:eastAsia="黑体" w:hint="default"/>
                <w:sz w:val="18"/>
                <w:szCs w:val="18"/>
              </w:rPr>
              <w:t>天津市</w:t>
            </w:r>
          </w:p>
        </w:tc>
        <w:tc>
          <w:tcPr>
            <w:tcW w:w="66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85"/>
              <w:jc w:val="right"/>
              <w:rPr>
                <w:rFonts w:ascii="黑体" w:hAnsi="黑体" w:cs="黑体" w:eastAsia="黑体" w:hint="default"/>
                <w:sz w:val="18"/>
                <w:szCs w:val="18"/>
              </w:rPr>
            </w:pPr>
            <w:r>
              <w:rPr>
                <w:rFonts w:ascii="黑体" w:hAnsi="黑体" w:cs="黑体" w:eastAsia="黑体" w:hint="default"/>
                <w:sz w:val="18"/>
                <w:szCs w:val="18"/>
              </w:rPr>
              <w:t>李友</w:t>
            </w:r>
          </w:p>
        </w:tc>
        <w:tc>
          <w:tcPr>
            <w:tcW w:w="1074" w:type="dxa"/>
            <w:tcBorders>
              <w:top w:val="nil" w:sz="6" w:space="0" w:color="auto"/>
              <w:left w:val="nil" w:sz="6" w:space="0" w:color="auto"/>
              <w:bottom w:val="nil" w:sz="6" w:space="0" w:color="auto"/>
              <w:right w:val="nil" w:sz="6" w:space="0" w:color="auto"/>
            </w:tcBorders>
          </w:tcPr>
          <w:p>
            <w:pPr>
              <w:pStyle w:val="TableParagraph"/>
              <w:spacing w:line="200" w:lineRule="exact" w:before="138"/>
              <w:ind w:left="87" w:right="79" w:firstLine="4"/>
              <w:jc w:val="left"/>
              <w:rPr>
                <w:rFonts w:ascii="黑体" w:hAnsi="黑体" w:cs="黑体" w:eastAsia="黑体" w:hint="default"/>
                <w:sz w:val="18"/>
                <w:szCs w:val="18"/>
              </w:rPr>
            </w:pPr>
            <w:r>
              <w:rPr>
                <w:rFonts w:ascii="黑体" w:hAnsi="黑体" w:cs="黑体" w:eastAsia="黑体" w:hint="default"/>
                <w:sz w:val="18"/>
                <w:szCs w:val="18"/>
              </w:rPr>
              <w:t>计算机技术 及产品</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5"/>
              <w:jc w:val="right"/>
              <w:rPr>
                <w:rFonts w:ascii="Arial" w:hAnsi="Arial" w:cs="Arial" w:eastAsia="Arial" w:hint="default"/>
                <w:sz w:val="18"/>
                <w:szCs w:val="18"/>
              </w:rPr>
            </w:pPr>
            <w:r>
              <w:rPr>
                <w:rFonts w:ascii="Arial"/>
                <w:spacing w:val="-1"/>
                <w:sz w:val="18"/>
              </w:rPr>
              <w:t>2,000,000</w:t>
            </w:r>
          </w:p>
        </w:tc>
        <w:tc>
          <w:tcPr>
            <w:tcW w:w="2432" w:type="dxa"/>
            <w:tcBorders>
              <w:top w:val="nil" w:sz="6" w:space="0" w:color="auto"/>
              <w:left w:val="nil" w:sz="6" w:space="0" w:color="auto"/>
              <w:bottom w:val="nil" w:sz="6" w:space="0" w:color="auto"/>
              <w:right w:val="nil" w:sz="6" w:space="0" w:color="auto"/>
            </w:tcBorders>
          </w:tcPr>
          <w:p>
            <w:pPr>
              <w:pStyle w:val="TableParagraph"/>
              <w:spacing w:line="204" w:lineRule="auto" w:before="119"/>
              <w:ind w:left="27" w:right="242"/>
              <w:jc w:val="both"/>
              <w:rPr>
                <w:rFonts w:ascii="黑体" w:hAnsi="黑体" w:cs="黑体" w:eastAsia="黑体" w:hint="default"/>
                <w:sz w:val="18"/>
                <w:szCs w:val="18"/>
              </w:rPr>
            </w:pPr>
            <w:r>
              <w:rPr>
                <w:rFonts w:ascii="黑体" w:hAnsi="黑体" w:cs="黑体" w:eastAsia="黑体" w:hint="default"/>
                <w:sz w:val="18"/>
                <w:szCs w:val="18"/>
              </w:rPr>
              <w:t>技术开发、技术转让、技术 培训、技术服务（电子与信 </w:t>
            </w:r>
            <w:r>
              <w:rPr>
                <w:rFonts w:ascii="黑体" w:hAnsi="黑体" w:cs="黑体" w:eastAsia="黑体" w:hint="default"/>
                <w:spacing w:val="-1"/>
                <w:sz w:val="18"/>
                <w:szCs w:val="18"/>
              </w:rPr>
              <w:t>息、机电一体化的技术及产</w:t>
            </w:r>
            <w:r>
              <w:rPr>
                <w:rFonts w:ascii="黑体" w:hAnsi="黑体" w:cs="黑体" w:eastAsia="黑体" w:hint="default"/>
                <w:spacing w:val="-86"/>
                <w:sz w:val="18"/>
                <w:szCs w:val="18"/>
              </w:rPr>
              <w:t> </w:t>
            </w:r>
            <w:r>
              <w:rPr>
                <w:rFonts w:ascii="黑体" w:hAnsi="黑体" w:cs="黑体" w:eastAsia="黑体" w:hint="default"/>
                <w:spacing w:val="-86"/>
                <w:sz w:val="18"/>
                <w:szCs w:val="18"/>
              </w:rPr>
            </w:r>
            <w:r>
              <w:rPr>
                <w:rFonts w:ascii="黑体" w:hAnsi="黑体" w:cs="黑体" w:eastAsia="黑体" w:hint="default"/>
                <w:spacing w:val="-1"/>
                <w:sz w:val="18"/>
                <w:szCs w:val="18"/>
              </w:rPr>
              <w:t>品）；计算机软件，文化办</w:t>
            </w:r>
            <w:r>
              <w:rPr>
                <w:rFonts w:ascii="黑体" w:hAnsi="黑体" w:cs="黑体" w:eastAsia="黑体" w:hint="default"/>
                <w:spacing w:val="-87"/>
                <w:sz w:val="18"/>
                <w:szCs w:val="18"/>
              </w:rPr>
              <w:t> </w:t>
            </w:r>
            <w:r>
              <w:rPr>
                <w:rFonts w:ascii="黑体" w:hAnsi="黑体" w:cs="黑体" w:eastAsia="黑体" w:hint="default"/>
                <w:spacing w:val="-87"/>
                <w:sz w:val="18"/>
                <w:szCs w:val="18"/>
              </w:rPr>
            </w:r>
            <w:r>
              <w:rPr>
                <w:rFonts w:ascii="黑体" w:hAnsi="黑体" w:cs="黑体" w:eastAsia="黑体" w:hint="default"/>
                <w:sz w:val="18"/>
                <w:szCs w:val="18"/>
              </w:rPr>
              <w:t>公用机械设备批发兼零售。</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05"/>
              <w:jc w:val="right"/>
              <w:rPr>
                <w:rFonts w:ascii="Arial" w:hAnsi="Arial" w:cs="Arial" w:eastAsia="Arial" w:hint="default"/>
                <w:sz w:val="18"/>
                <w:szCs w:val="18"/>
              </w:rPr>
            </w:pPr>
            <w:r>
              <w:rPr>
                <w:rFonts w:ascii="Arial"/>
                <w:spacing w:val="-1"/>
                <w:sz w:val="18"/>
              </w:rPr>
              <w:t>55343947-8</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51"/>
              <w:jc w:val="right"/>
              <w:rPr>
                <w:rFonts w:ascii="Arial" w:hAnsi="Arial" w:cs="Arial" w:eastAsia="Arial" w:hint="default"/>
                <w:sz w:val="18"/>
                <w:szCs w:val="18"/>
              </w:rPr>
            </w:pPr>
            <w:r>
              <w:rPr>
                <w:rFonts w:ascii="Arial"/>
                <w:spacing w:val="-1"/>
                <w:sz w:val="18"/>
              </w:rPr>
              <w:t>2,000,000</w:t>
            </w: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311" w:right="0"/>
              <w:jc w:val="left"/>
              <w:rPr>
                <w:rFonts w:ascii="Arial" w:hAnsi="Arial" w:cs="Arial" w:eastAsia="Arial" w:hint="default"/>
                <w:sz w:val="18"/>
                <w:szCs w:val="18"/>
              </w:rPr>
            </w:pPr>
            <w:r>
              <w:rPr>
                <w:rFonts w:ascii="Arial"/>
                <w:sz w:val="18"/>
              </w:rPr>
              <w:t>100</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69"/>
              <w:jc w:val="right"/>
              <w:rPr>
                <w:rFonts w:ascii="Arial" w:hAnsi="Arial" w:cs="Arial" w:eastAsia="Arial" w:hint="default"/>
                <w:sz w:val="18"/>
                <w:szCs w:val="18"/>
              </w:rPr>
            </w:pPr>
            <w:r>
              <w:rPr>
                <w:rFonts w:ascii="Arial"/>
                <w:w w:val="95"/>
                <w:sz w:val="18"/>
              </w:rPr>
              <w:t>100</w:t>
            </w:r>
            <w:r>
              <w:rPr>
                <w:rFonts w:ascii="Arial"/>
                <w:sz w:val="18"/>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60"/>
              <w:jc w:val="right"/>
              <w:rPr>
                <w:rFonts w:ascii="黑体" w:hAnsi="黑体" w:cs="黑体" w:eastAsia="黑体" w:hint="default"/>
                <w:sz w:val="18"/>
                <w:szCs w:val="18"/>
              </w:rPr>
            </w:pPr>
            <w:r>
              <w:rPr>
                <w:rFonts w:ascii="黑体" w:hAnsi="黑体" w:cs="黑体" w:eastAsia="黑体" w:hint="default"/>
                <w:sz w:val="18"/>
                <w:szCs w:val="18"/>
              </w:rPr>
              <w:t>是</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1000" w:hRule="exact"/>
        </w:trPr>
        <w:tc>
          <w:tcPr>
            <w:tcW w:w="1628" w:type="dxa"/>
            <w:tcBorders>
              <w:top w:val="nil" w:sz="6" w:space="0" w:color="auto"/>
              <w:left w:val="nil" w:sz="6" w:space="0" w:color="auto"/>
              <w:bottom w:val="nil" w:sz="6" w:space="0" w:color="auto"/>
              <w:right w:val="nil" w:sz="6" w:space="0" w:color="auto"/>
            </w:tcBorders>
          </w:tcPr>
          <w:p>
            <w:pPr>
              <w:pStyle w:val="TableParagraph"/>
              <w:spacing w:line="199" w:lineRule="auto" w:before="81"/>
              <w:ind w:left="394" w:right="55" w:hanging="180"/>
              <w:jc w:val="both"/>
              <w:rPr>
                <w:rFonts w:ascii="Arial" w:hAnsi="Arial" w:cs="Arial" w:eastAsia="Arial" w:hint="default"/>
                <w:sz w:val="18"/>
                <w:szCs w:val="18"/>
              </w:rPr>
            </w:pPr>
            <w:r>
              <w:rPr>
                <w:rFonts w:ascii="黑体" w:hAnsi="黑体" w:cs="黑体" w:eastAsia="黑体" w:hint="default"/>
                <w:spacing w:val="7"/>
                <w:sz w:val="18"/>
                <w:szCs w:val="18"/>
              </w:rPr>
              <w:t>三亚用友软件科 </w:t>
            </w:r>
            <w:r>
              <w:rPr>
                <w:rFonts w:ascii="黑体" w:hAnsi="黑体" w:cs="黑体" w:eastAsia="黑体" w:hint="default"/>
                <w:spacing w:val="44"/>
                <w:sz w:val="18"/>
                <w:szCs w:val="18"/>
              </w:rPr>
              <w:t>技有限公司</w:t>
            </w:r>
            <w:r>
              <w:rPr>
                <w:rFonts w:ascii="黑体" w:hAnsi="黑体" w:cs="黑体" w:eastAsia="黑体" w:hint="default"/>
                <w:spacing w:val="-35"/>
                <w:sz w:val="18"/>
                <w:szCs w:val="18"/>
              </w:rPr>
              <w:t> </w:t>
            </w:r>
            <w:r>
              <w:rPr>
                <w:rFonts w:ascii="Arial" w:hAnsi="Arial" w:cs="Arial" w:eastAsia="Arial" w:hint="default"/>
                <w:spacing w:val="-3"/>
                <w:sz w:val="18"/>
                <w:szCs w:val="18"/>
              </w:rPr>
              <w:t>(</w:t>
            </w:r>
            <w:r>
              <w:rPr>
                <w:rFonts w:ascii="黑体" w:hAnsi="黑体" w:cs="黑体" w:eastAsia="黑体" w:hint="default"/>
                <w:spacing w:val="-3"/>
                <w:sz w:val="18"/>
                <w:szCs w:val="18"/>
              </w:rPr>
              <w:t>以下简称“三</w:t>
            </w:r>
            <w:r>
              <w:rPr>
                <w:rFonts w:ascii="黑体" w:hAnsi="黑体" w:cs="黑体" w:eastAsia="黑体" w:hint="default"/>
                <w:sz w:val="18"/>
                <w:szCs w:val="18"/>
              </w:rPr>
              <w:t> 亚用友”</w:t>
            </w:r>
            <w:r>
              <w:rPr>
                <w:rFonts w:ascii="Arial" w:hAnsi="Arial" w:cs="Arial" w:eastAsia="Arial" w:hint="default"/>
                <w:sz w:val="18"/>
                <w:szCs w:val="18"/>
              </w:rPr>
              <w:t>)</w:t>
            </w:r>
          </w:p>
        </w:tc>
        <w:tc>
          <w:tcPr>
            <w:tcW w:w="942" w:type="dxa"/>
            <w:tcBorders>
              <w:top w:val="nil" w:sz="6" w:space="0" w:color="auto"/>
              <w:left w:val="nil" w:sz="6" w:space="0" w:color="auto"/>
              <w:bottom w:val="nil" w:sz="6" w:space="0" w:color="auto"/>
              <w:right w:val="nil" w:sz="6" w:space="0" w:color="auto"/>
            </w:tcBorders>
          </w:tcPr>
          <w:p>
            <w:pPr>
              <w:pStyle w:val="TableParagraph"/>
              <w:spacing w:line="200" w:lineRule="exact" w:before="95"/>
              <w:ind w:left="287" w:right="52" w:hanging="180"/>
              <w:jc w:val="both"/>
              <w:rPr>
                <w:rFonts w:ascii="Arial" w:hAnsi="Arial" w:cs="Arial" w:eastAsia="Arial" w:hint="default"/>
                <w:sz w:val="18"/>
                <w:szCs w:val="18"/>
              </w:rPr>
            </w:pPr>
            <w:r>
              <w:rPr>
                <w:rFonts w:ascii="黑体" w:hAnsi="黑体" w:cs="黑体" w:eastAsia="黑体" w:hint="default"/>
                <w:sz w:val="18"/>
                <w:szCs w:val="18"/>
              </w:rPr>
              <w:t>有限责任 公司</w:t>
            </w:r>
            <w:r>
              <w:rPr>
                <w:rFonts w:ascii="Arial" w:hAnsi="Arial" w:cs="Arial" w:eastAsia="Arial" w:hint="default"/>
                <w:sz w:val="18"/>
                <w:szCs w:val="18"/>
              </w:rPr>
              <w:t>(</w:t>
            </w:r>
            <w:r>
              <w:rPr>
                <w:rFonts w:ascii="黑体" w:hAnsi="黑体" w:cs="黑体" w:eastAsia="黑体" w:hint="default"/>
                <w:sz w:val="18"/>
                <w:szCs w:val="18"/>
              </w:rPr>
              <w:t>法 人独资</w:t>
            </w:r>
            <w:r>
              <w:rPr>
                <w:rFonts w:ascii="Arial" w:hAnsi="Arial" w:cs="Arial" w:eastAsia="Arial" w:hint="default"/>
                <w:sz w:val="18"/>
                <w:szCs w:val="18"/>
              </w:rPr>
              <w:t>)</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6" w:right="0"/>
              <w:jc w:val="center"/>
              <w:rPr>
                <w:rFonts w:ascii="黑体" w:hAnsi="黑体" w:cs="黑体" w:eastAsia="黑体" w:hint="default"/>
                <w:sz w:val="18"/>
                <w:szCs w:val="18"/>
              </w:rPr>
            </w:pPr>
            <w:r>
              <w:rPr>
                <w:rFonts w:ascii="黑体" w:hAnsi="黑体" w:cs="黑体" w:eastAsia="黑体" w:hint="default"/>
                <w:sz w:val="18"/>
                <w:szCs w:val="18"/>
              </w:rPr>
              <w:t>三亚市</w:t>
            </w:r>
          </w:p>
        </w:tc>
        <w:tc>
          <w:tcPr>
            <w:tcW w:w="66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85"/>
              <w:jc w:val="right"/>
              <w:rPr>
                <w:rFonts w:ascii="黑体" w:hAnsi="黑体" w:cs="黑体" w:eastAsia="黑体" w:hint="default"/>
                <w:sz w:val="18"/>
                <w:szCs w:val="18"/>
              </w:rPr>
            </w:pPr>
            <w:r>
              <w:rPr>
                <w:rFonts w:ascii="黑体" w:hAnsi="黑体" w:cs="黑体" w:eastAsia="黑体" w:hint="default"/>
                <w:sz w:val="18"/>
                <w:szCs w:val="18"/>
              </w:rPr>
              <w:t>郭新平</w:t>
            </w:r>
          </w:p>
        </w:tc>
        <w:tc>
          <w:tcPr>
            <w:tcW w:w="1074" w:type="dxa"/>
            <w:tcBorders>
              <w:top w:val="nil" w:sz="6" w:space="0" w:color="auto"/>
              <w:left w:val="nil" w:sz="6" w:space="0" w:color="auto"/>
              <w:bottom w:val="nil" w:sz="6" w:space="0" w:color="auto"/>
              <w:right w:val="nil" w:sz="6" w:space="0" w:color="auto"/>
            </w:tcBorders>
          </w:tcPr>
          <w:p>
            <w:pPr>
              <w:pStyle w:val="TableParagraph"/>
              <w:spacing w:line="199" w:lineRule="auto" w:before="100"/>
              <w:ind w:left="87" w:right="60" w:firstLine="4"/>
              <w:jc w:val="both"/>
              <w:rPr>
                <w:rFonts w:ascii="黑体" w:hAnsi="黑体" w:cs="黑体" w:eastAsia="黑体" w:hint="default"/>
                <w:sz w:val="18"/>
                <w:szCs w:val="18"/>
              </w:rPr>
            </w:pPr>
            <w:r>
              <w:rPr>
                <w:rFonts w:ascii="黑体" w:hAnsi="黑体" w:cs="黑体" w:eastAsia="黑体" w:hint="default"/>
                <w:sz w:val="18"/>
                <w:szCs w:val="18"/>
              </w:rPr>
              <w:t>软件研发和 销售，</w:t>
            </w:r>
            <w:r>
              <w:rPr>
                <w:rFonts w:ascii="Arial" w:hAnsi="Arial" w:cs="Arial" w:eastAsia="Arial" w:hint="default"/>
                <w:sz w:val="18"/>
                <w:szCs w:val="18"/>
              </w:rPr>
              <w:t>IT</w:t>
            </w:r>
            <w:r>
              <w:rPr>
                <w:rFonts w:ascii="Arial" w:hAnsi="Arial" w:cs="Arial" w:eastAsia="Arial" w:hint="default"/>
                <w:spacing w:val="-7"/>
                <w:sz w:val="18"/>
                <w:szCs w:val="18"/>
              </w:rPr>
              <w:t> </w:t>
            </w:r>
            <w:r>
              <w:rPr>
                <w:rFonts w:ascii="黑体" w:hAnsi="黑体" w:cs="黑体" w:eastAsia="黑体" w:hint="default"/>
                <w:sz w:val="18"/>
                <w:szCs w:val="18"/>
              </w:rPr>
              <w:t>服 务，技术交 流和培训</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5"/>
              <w:jc w:val="right"/>
              <w:rPr>
                <w:rFonts w:ascii="Arial" w:hAnsi="Arial" w:cs="Arial" w:eastAsia="Arial" w:hint="default"/>
                <w:sz w:val="18"/>
                <w:szCs w:val="18"/>
              </w:rPr>
            </w:pPr>
            <w:r>
              <w:rPr>
                <w:rFonts w:ascii="Arial"/>
                <w:spacing w:val="-1"/>
                <w:sz w:val="18"/>
              </w:rPr>
              <w:t>100,000,000</w:t>
            </w:r>
          </w:p>
        </w:tc>
        <w:tc>
          <w:tcPr>
            <w:tcW w:w="2432" w:type="dxa"/>
            <w:tcBorders>
              <w:top w:val="nil" w:sz="6" w:space="0" w:color="auto"/>
              <w:left w:val="nil" w:sz="6" w:space="0" w:color="auto"/>
              <w:bottom w:val="nil" w:sz="6" w:space="0" w:color="auto"/>
              <w:right w:val="nil" w:sz="6" w:space="0" w:color="auto"/>
            </w:tcBorders>
          </w:tcPr>
          <w:p>
            <w:pPr>
              <w:pStyle w:val="TableParagraph"/>
              <w:spacing w:line="200" w:lineRule="exact" w:before="114"/>
              <w:ind w:left="27" w:right="218" w:hanging="1"/>
              <w:jc w:val="left"/>
              <w:rPr>
                <w:rFonts w:ascii="黑体" w:hAnsi="黑体" w:cs="黑体" w:eastAsia="黑体" w:hint="default"/>
                <w:sz w:val="18"/>
                <w:szCs w:val="18"/>
              </w:rPr>
            </w:pPr>
            <w:r>
              <w:rPr>
                <w:rFonts w:ascii="黑体" w:hAnsi="黑体" w:cs="黑体" w:eastAsia="黑体" w:hint="default"/>
                <w:sz w:val="18"/>
                <w:szCs w:val="18"/>
              </w:rPr>
              <w:t>软件研发和销售，</w:t>
            </w:r>
            <w:r>
              <w:rPr>
                <w:rFonts w:ascii="Arial" w:hAnsi="Arial" w:cs="Arial" w:eastAsia="Arial" w:hint="default"/>
                <w:sz w:val="18"/>
                <w:szCs w:val="18"/>
              </w:rPr>
              <w:t>IT</w:t>
            </w:r>
            <w:r>
              <w:rPr>
                <w:rFonts w:ascii="Arial" w:hAnsi="Arial" w:cs="Arial" w:eastAsia="Arial" w:hint="default"/>
                <w:spacing w:val="-7"/>
                <w:sz w:val="18"/>
                <w:szCs w:val="18"/>
              </w:rPr>
              <w:t> </w:t>
            </w:r>
            <w:r>
              <w:rPr>
                <w:rFonts w:ascii="黑体" w:hAnsi="黑体" w:cs="黑体" w:eastAsia="黑体" w:hint="default"/>
                <w:sz w:val="18"/>
                <w:szCs w:val="18"/>
              </w:rPr>
              <w:t>服务， 技术交流和培训。</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05"/>
              <w:jc w:val="right"/>
              <w:rPr>
                <w:rFonts w:ascii="Arial" w:hAnsi="Arial" w:cs="Arial" w:eastAsia="Arial" w:hint="default"/>
                <w:sz w:val="18"/>
                <w:szCs w:val="18"/>
              </w:rPr>
            </w:pPr>
            <w:r>
              <w:rPr>
                <w:rFonts w:ascii="Arial"/>
                <w:spacing w:val="-1"/>
                <w:sz w:val="18"/>
              </w:rPr>
              <w:t>69894137-0</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49"/>
              <w:jc w:val="right"/>
              <w:rPr>
                <w:rFonts w:ascii="Arial" w:hAnsi="Arial" w:cs="Arial" w:eastAsia="Arial" w:hint="default"/>
                <w:sz w:val="18"/>
                <w:szCs w:val="18"/>
              </w:rPr>
            </w:pPr>
            <w:r>
              <w:rPr>
                <w:rFonts w:ascii="Arial"/>
                <w:spacing w:val="-1"/>
                <w:sz w:val="18"/>
              </w:rPr>
              <w:t>100,000,000</w:t>
            </w: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311" w:right="0"/>
              <w:jc w:val="left"/>
              <w:rPr>
                <w:rFonts w:ascii="Arial" w:hAnsi="Arial" w:cs="Arial" w:eastAsia="Arial" w:hint="default"/>
                <w:sz w:val="18"/>
                <w:szCs w:val="18"/>
              </w:rPr>
            </w:pPr>
            <w:r>
              <w:rPr>
                <w:rFonts w:ascii="Arial"/>
                <w:sz w:val="18"/>
              </w:rPr>
              <w:t>100</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69"/>
              <w:jc w:val="right"/>
              <w:rPr>
                <w:rFonts w:ascii="Arial" w:hAnsi="Arial" w:cs="Arial" w:eastAsia="Arial" w:hint="default"/>
                <w:sz w:val="18"/>
                <w:szCs w:val="18"/>
              </w:rPr>
            </w:pPr>
            <w:r>
              <w:rPr>
                <w:rFonts w:ascii="Arial"/>
                <w:w w:val="95"/>
                <w:sz w:val="18"/>
              </w:rPr>
              <w:t>100</w:t>
            </w:r>
            <w:r>
              <w:rPr>
                <w:rFonts w:ascii="Arial"/>
                <w:sz w:val="18"/>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60"/>
              <w:jc w:val="right"/>
              <w:rPr>
                <w:rFonts w:ascii="黑体" w:hAnsi="黑体" w:cs="黑体" w:eastAsia="黑体" w:hint="default"/>
                <w:sz w:val="18"/>
                <w:szCs w:val="18"/>
              </w:rPr>
            </w:pPr>
            <w:r>
              <w:rPr>
                <w:rFonts w:ascii="黑体" w:hAnsi="黑体" w:cs="黑体" w:eastAsia="黑体" w:hint="default"/>
                <w:sz w:val="18"/>
                <w:szCs w:val="18"/>
              </w:rPr>
              <w:t>是</w:t>
            </w:r>
          </w:p>
        </w:tc>
        <w:tc>
          <w:tcPr>
            <w:tcW w:w="1183" w:type="dxa"/>
            <w:tcBorders>
              <w:top w:val="nil" w:sz="6" w:space="0" w:color="auto"/>
              <w:left w:val="nil" w:sz="6" w:space="0" w:color="auto"/>
              <w:bottom w:val="nil" w:sz="6" w:space="0" w:color="auto"/>
              <w:right w:val="nil" w:sz="6" w:space="0" w:color="auto"/>
            </w:tcBorders>
          </w:tcPr>
          <w:p>
            <w:pPr/>
          </w:p>
        </w:tc>
      </w:tr>
      <w:tr>
        <w:trPr>
          <w:trHeight w:val="994" w:hRule="exact"/>
        </w:trPr>
        <w:tc>
          <w:tcPr>
            <w:tcW w:w="1628" w:type="dxa"/>
            <w:tcBorders>
              <w:top w:val="nil" w:sz="6" w:space="0" w:color="auto"/>
              <w:left w:val="nil" w:sz="6" w:space="0" w:color="auto"/>
              <w:bottom w:val="nil" w:sz="6" w:space="0" w:color="auto"/>
              <w:right w:val="nil" w:sz="6" w:space="0" w:color="auto"/>
            </w:tcBorders>
          </w:tcPr>
          <w:p>
            <w:pPr>
              <w:pStyle w:val="TableParagraph"/>
              <w:spacing w:line="199" w:lineRule="auto" w:before="79"/>
              <w:ind w:left="394" w:right="72" w:hanging="180"/>
              <w:jc w:val="both"/>
              <w:rPr>
                <w:rFonts w:ascii="Arial" w:hAnsi="Arial" w:cs="Arial" w:eastAsia="Arial" w:hint="default"/>
                <w:sz w:val="18"/>
                <w:szCs w:val="18"/>
              </w:rPr>
            </w:pPr>
            <w:r>
              <w:rPr>
                <w:rFonts w:ascii="黑体" w:hAnsi="黑体" w:cs="黑体" w:eastAsia="黑体" w:hint="default"/>
                <w:spacing w:val="7"/>
                <w:sz w:val="18"/>
                <w:szCs w:val="18"/>
              </w:rPr>
              <w:t>北京用友幸福投 资管理有限公 </w:t>
            </w:r>
            <w:r>
              <w:rPr>
                <w:rFonts w:ascii="黑体" w:hAnsi="黑体" w:cs="黑体" w:eastAsia="黑体" w:hint="default"/>
                <w:sz w:val="18"/>
                <w:szCs w:val="18"/>
              </w:rPr>
              <w:t>司</w:t>
            </w:r>
            <w:r>
              <w:rPr>
                <w:rFonts w:ascii="黑体" w:hAnsi="黑体" w:cs="黑体" w:eastAsia="黑体" w:hint="default"/>
                <w:spacing w:val="-57"/>
                <w:sz w:val="18"/>
                <w:szCs w:val="18"/>
              </w:rPr>
              <w:t> </w:t>
            </w:r>
            <w:r>
              <w:rPr>
                <w:rFonts w:ascii="Arial" w:hAnsi="Arial" w:cs="Arial" w:eastAsia="Arial" w:hint="default"/>
                <w:sz w:val="18"/>
                <w:szCs w:val="18"/>
              </w:rPr>
              <w:t>(</w:t>
            </w:r>
            <w:r>
              <w:rPr>
                <w:rFonts w:ascii="Arial" w:hAnsi="Arial" w:cs="Arial" w:eastAsia="Arial" w:hint="default"/>
                <w:spacing w:val="-17"/>
                <w:sz w:val="18"/>
                <w:szCs w:val="18"/>
              </w:rPr>
              <w:t> </w:t>
            </w:r>
            <w:r>
              <w:rPr>
                <w:rFonts w:ascii="黑体" w:hAnsi="黑体" w:cs="黑体" w:eastAsia="黑体" w:hint="default"/>
                <w:sz w:val="18"/>
                <w:szCs w:val="18"/>
              </w:rPr>
              <w:t>以</w:t>
            </w:r>
            <w:r>
              <w:rPr>
                <w:rFonts w:ascii="黑体" w:hAnsi="黑体" w:cs="黑体" w:eastAsia="黑体" w:hint="default"/>
                <w:spacing w:val="-59"/>
                <w:sz w:val="18"/>
                <w:szCs w:val="18"/>
              </w:rPr>
              <w:t> </w:t>
            </w:r>
            <w:r>
              <w:rPr>
                <w:rFonts w:ascii="黑体" w:hAnsi="黑体" w:cs="黑体" w:eastAsia="黑体" w:hint="default"/>
                <w:spacing w:val="22"/>
                <w:sz w:val="18"/>
                <w:szCs w:val="18"/>
              </w:rPr>
              <w:t>下简称</w:t>
            </w:r>
            <w:r>
              <w:rPr>
                <w:rFonts w:ascii="黑体" w:hAnsi="黑体" w:cs="黑体" w:eastAsia="黑体" w:hint="default"/>
                <w:spacing w:val="-57"/>
                <w:sz w:val="18"/>
                <w:szCs w:val="18"/>
              </w:rPr>
              <w:t> </w:t>
            </w:r>
            <w:r>
              <w:rPr>
                <w:rFonts w:ascii="黑体" w:hAnsi="黑体" w:cs="黑体" w:eastAsia="黑体" w:hint="default"/>
                <w:spacing w:val="-3"/>
                <w:sz w:val="18"/>
                <w:szCs w:val="18"/>
              </w:rPr>
              <w:t>“幸福投资”</w:t>
            </w:r>
            <w:r>
              <w:rPr>
                <w:rFonts w:ascii="Arial" w:hAnsi="Arial" w:cs="Arial" w:eastAsia="Arial" w:hint="default"/>
                <w:spacing w:val="-3"/>
                <w:sz w:val="18"/>
                <w:szCs w:val="18"/>
              </w:rPr>
              <w:t>)</w:t>
            </w:r>
          </w:p>
        </w:tc>
        <w:tc>
          <w:tcPr>
            <w:tcW w:w="942" w:type="dxa"/>
            <w:tcBorders>
              <w:top w:val="nil" w:sz="6" w:space="0" w:color="auto"/>
              <w:left w:val="nil" w:sz="6" w:space="0" w:color="auto"/>
              <w:bottom w:val="nil" w:sz="6" w:space="0" w:color="auto"/>
              <w:right w:val="nil" w:sz="6" w:space="0" w:color="auto"/>
            </w:tcBorders>
          </w:tcPr>
          <w:p>
            <w:pPr>
              <w:pStyle w:val="TableParagraph"/>
              <w:spacing w:line="199" w:lineRule="auto" w:before="79"/>
              <w:ind w:left="220" w:right="119" w:hanging="180"/>
              <w:jc w:val="both"/>
              <w:rPr>
                <w:rFonts w:ascii="Arial" w:hAnsi="Arial" w:cs="Arial" w:eastAsia="Arial" w:hint="default"/>
                <w:sz w:val="18"/>
                <w:szCs w:val="18"/>
              </w:rPr>
            </w:pPr>
            <w:r>
              <w:rPr>
                <w:rFonts w:ascii="黑体" w:hAnsi="黑体" w:cs="黑体" w:eastAsia="黑体" w:hint="default"/>
                <w:sz w:val="18"/>
                <w:szCs w:val="18"/>
              </w:rPr>
              <w:t>有限责任 公司</w:t>
            </w:r>
            <w:r>
              <w:rPr>
                <w:rFonts w:ascii="Arial" w:hAnsi="Arial" w:cs="Arial" w:eastAsia="Arial" w:hint="default"/>
                <w:sz w:val="18"/>
                <w:szCs w:val="18"/>
              </w:rPr>
              <w:t>(</w:t>
            </w:r>
            <w:r>
              <w:rPr>
                <w:rFonts w:ascii="黑体" w:hAnsi="黑体" w:cs="黑体" w:eastAsia="黑体" w:hint="default"/>
                <w:sz w:val="18"/>
                <w:szCs w:val="18"/>
              </w:rPr>
              <w:t>法 人独资</w:t>
            </w:r>
            <w:r>
              <w:rPr>
                <w:rFonts w:ascii="Arial" w:hAnsi="Arial" w:cs="Arial" w:eastAsia="Arial" w:hint="default"/>
                <w:sz w:val="18"/>
                <w:szCs w:val="18"/>
              </w:rPr>
              <w:t>)</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63"/>
              <w:ind w:left="26" w:right="0"/>
              <w:jc w:val="center"/>
              <w:rPr>
                <w:rFonts w:ascii="黑体" w:hAnsi="黑体" w:cs="黑体" w:eastAsia="黑体" w:hint="default"/>
                <w:sz w:val="18"/>
                <w:szCs w:val="18"/>
              </w:rPr>
            </w:pPr>
            <w:r>
              <w:rPr>
                <w:rFonts w:ascii="黑体" w:hAnsi="黑体" w:cs="黑体" w:eastAsia="黑体" w:hint="default"/>
                <w:sz w:val="18"/>
                <w:szCs w:val="18"/>
              </w:rPr>
              <w:t>北京市</w:t>
            </w:r>
          </w:p>
        </w:tc>
        <w:tc>
          <w:tcPr>
            <w:tcW w:w="66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5"/>
              <w:jc w:val="right"/>
              <w:rPr>
                <w:rFonts w:ascii="黑体" w:hAnsi="黑体" w:cs="黑体" w:eastAsia="黑体" w:hint="default"/>
                <w:sz w:val="18"/>
                <w:szCs w:val="18"/>
              </w:rPr>
            </w:pPr>
            <w:r>
              <w:rPr>
                <w:rFonts w:ascii="黑体" w:hAnsi="黑体" w:cs="黑体" w:eastAsia="黑体" w:hint="default"/>
                <w:sz w:val="18"/>
                <w:szCs w:val="18"/>
              </w:rPr>
              <w:t>吴政平</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63"/>
              <w:ind w:left="92" w:right="0"/>
              <w:jc w:val="left"/>
              <w:rPr>
                <w:rFonts w:ascii="黑体" w:hAnsi="黑体" w:cs="黑体" w:eastAsia="黑体" w:hint="default"/>
                <w:sz w:val="18"/>
                <w:szCs w:val="18"/>
              </w:rPr>
            </w:pPr>
            <w:r>
              <w:rPr>
                <w:rFonts w:ascii="黑体" w:hAnsi="黑体" w:cs="黑体" w:eastAsia="黑体" w:hint="default"/>
                <w:sz w:val="18"/>
                <w:szCs w:val="18"/>
              </w:rPr>
              <w:t>投资管理</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5"/>
              <w:jc w:val="right"/>
              <w:rPr>
                <w:rFonts w:ascii="Arial" w:hAnsi="Arial" w:cs="Arial" w:eastAsia="Arial" w:hint="default"/>
                <w:sz w:val="18"/>
                <w:szCs w:val="18"/>
              </w:rPr>
            </w:pPr>
            <w:r>
              <w:rPr>
                <w:rFonts w:ascii="Arial"/>
                <w:spacing w:val="-1"/>
                <w:sz w:val="18"/>
              </w:rPr>
              <w:t>5,000,000</w:t>
            </w:r>
          </w:p>
        </w:tc>
        <w:tc>
          <w:tcPr>
            <w:tcW w:w="2432" w:type="dxa"/>
            <w:tcBorders>
              <w:top w:val="nil" w:sz="6" w:space="0" w:color="auto"/>
              <w:left w:val="nil" w:sz="6" w:space="0" w:color="auto"/>
              <w:bottom w:val="nil" w:sz="6" w:space="0" w:color="auto"/>
              <w:right w:val="nil" w:sz="6" w:space="0" w:color="auto"/>
            </w:tcBorders>
          </w:tcPr>
          <w:p>
            <w:pPr>
              <w:pStyle w:val="TableParagraph"/>
              <w:spacing w:line="240" w:lineRule="auto" w:before="63"/>
              <w:ind w:left="27" w:right="0"/>
              <w:jc w:val="left"/>
              <w:rPr>
                <w:rFonts w:ascii="黑体" w:hAnsi="黑体" w:cs="黑体" w:eastAsia="黑体" w:hint="default"/>
                <w:sz w:val="18"/>
                <w:szCs w:val="18"/>
              </w:rPr>
            </w:pPr>
            <w:r>
              <w:rPr>
                <w:rFonts w:ascii="黑体" w:hAnsi="黑体" w:cs="黑体" w:eastAsia="黑体" w:hint="default"/>
                <w:sz w:val="18"/>
                <w:szCs w:val="18"/>
              </w:rPr>
              <w:t>投资管理。</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05"/>
              <w:jc w:val="right"/>
              <w:rPr>
                <w:rFonts w:ascii="Arial" w:hAnsi="Arial" w:cs="Arial" w:eastAsia="Arial" w:hint="default"/>
                <w:sz w:val="18"/>
                <w:szCs w:val="18"/>
              </w:rPr>
            </w:pPr>
            <w:r>
              <w:rPr>
                <w:rFonts w:ascii="Arial"/>
                <w:spacing w:val="-1"/>
                <w:sz w:val="18"/>
              </w:rPr>
              <w:t>55481160-6</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51"/>
              <w:jc w:val="right"/>
              <w:rPr>
                <w:rFonts w:ascii="Arial" w:hAnsi="Arial" w:cs="Arial" w:eastAsia="Arial" w:hint="default"/>
                <w:sz w:val="18"/>
                <w:szCs w:val="18"/>
              </w:rPr>
            </w:pPr>
            <w:r>
              <w:rPr>
                <w:rFonts w:ascii="Arial"/>
                <w:spacing w:val="-1"/>
                <w:sz w:val="18"/>
              </w:rPr>
              <w:t>5,000,000</w:t>
            </w: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11" w:right="0"/>
              <w:jc w:val="left"/>
              <w:rPr>
                <w:rFonts w:ascii="Arial" w:hAnsi="Arial" w:cs="Arial" w:eastAsia="Arial" w:hint="default"/>
                <w:sz w:val="18"/>
                <w:szCs w:val="18"/>
              </w:rPr>
            </w:pPr>
            <w:r>
              <w:rPr>
                <w:rFonts w:ascii="Arial"/>
                <w:sz w:val="18"/>
              </w:rPr>
              <w:t>100</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69"/>
              <w:jc w:val="right"/>
              <w:rPr>
                <w:rFonts w:ascii="Arial" w:hAnsi="Arial" w:cs="Arial" w:eastAsia="Arial" w:hint="default"/>
                <w:sz w:val="18"/>
                <w:szCs w:val="18"/>
              </w:rPr>
            </w:pPr>
            <w:r>
              <w:rPr>
                <w:rFonts w:ascii="Arial"/>
                <w:w w:val="95"/>
                <w:sz w:val="18"/>
              </w:rPr>
              <w:t>100</w:t>
            </w:r>
            <w:r>
              <w:rPr>
                <w:rFonts w:ascii="Arial"/>
                <w:sz w:val="18"/>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60"/>
              <w:jc w:val="right"/>
              <w:rPr>
                <w:rFonts w:ascii="黑体" w:hAnsi="黑体" w:cs="黑体" w:eastAsia="黑体" w:hint="default"/>
                <w:sz w:val="18"/>
                <w:szCs w:val="18"/>
              </w:rPr>
            </w:pPr>
            <w:r>
              <w:rPr>
                <w:rFonts w:ascii="黑体" w:hAnsi="黑体" w:cs="黑体" w:eastAsia="黑体" w:hint="default"/>
                <w:sz w:val="18"/>
                <w:szCs w:val="18"/>
              </w:rPr>
              <w:t>是</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1705" w:hRule="exact"/>
        </w:trPr>
        <w:tc>
          <w:tcPr>
            <w:tcW w:w="1628" w:type="dxa"/>
            <w:tcBorders>
              <w:top w:val="nil" w:sz="6" w:space="0" w:color="auto"/>
              <w:left w:val="nil" w:sz="6" w:space="0" w:color="auto"/>
              <w:bottom w:val="nil" w:sz="6" w:space="0" w:color="auto"/>
              <w:right w:val="nil" w:sz="6" w:space="0" w:color="auto"/>
            </w:tcBorders>
          </w:tcPr>
          <w:p>
            <w:pPr>
              <w:pStyle w:val="TableParagraph"/>
              <w:spacing w:line="196" w:lineRule="auto" w:before="107"/>
              <w:ind w:left="394" w:right="38" w:hanging="180"/>
              <w:jc w:val="both"/>
              <w:rPr>
                <w:rFonts w:ascii="Arial" w:hAnsi="Arial" w:cs="Arial" w:eastAsia="Arial" w:hint="default"/>
                <w:sz w:val="18"/>
                <w:szCs w:val="18"/>
              </w:rPr>
            </w:pPr>
            <w:r>
              <w:rPr>
                <w:rFonts w:ascii="黑体" w:hAnsi="黑体" w:cs="黑体" w:eastAsia="黑体" w:hint="default"/>
                <w:spacing w:val="14"/>
                <w:sz w:val="18"/>
                <w:szCs w:val="18"/>
              </w:rPr>
              <w:t>北京用友创新投 </w:t>
            </w:r>
            <w:r>
              <w:rPr>
                <w:rFonts w:ascii="黑体" w:hAnsi="黑体" w:cs="黑体" w:eastAsia="黑体" w:hint="default"/>
                <w:spacing w:val="3"/>
                <w:sz w:val="18"/>
                <w:szCs w:val="18"/>
              </w:rPr>
              <w:t>资中心</w:t>
            </w:r>
            <w:r>
              <w:rPr>
                <w:rFonts w:ascii="Arial" w:hAnsi="Arial" w:cs="Arial" w:eastAsia="Arial" w:hint="default"/>
                <w:spacing w:val="3"/>
                <w:sz w:val="18"/>
                <w:szCs w:val="18"/>
              </w:rPr>
              <w:t>(</w:t>
            </w:r>
            <w:r>
              <w:rPr>
                <w:rFonts w:ascii="黑体" w:hAnsi="黑体" w:cs="黑体" w:eastAsia="黑体" w:hint="default"/>
                <w:spacing w:val="3"/>
                <w:sz w:val="18"/>
                <w:szCs w:val="18"/>
              </w:rPr>
              <w:t>有限合</w:t>
            </w:r>
            <w:r>
              <w:rPr>
                <w:rFonts w:ascii="黑体" w:hAnsi="黑体" w:cs="黑体" w:eastAsia="黑体" w:hint="default"/>
                <w:sz w:val="18"/>
                <w:szCs w:val="18"/>
              </w:rPr>
              <w:t> 伙</w:t>
            </w:r>
            <w:r>
              <w:rPr>
                <w:rFonts w:ascii="黑体" w:hAnsi="黑体" w:cs="黑体" w:eastAsia="黑体" w:hint="default"/>
                <w:spacing w:val="-62"/>
                <w:sz w:val="18"/>
                <w:szCs w:val="18"/>
              </w:rPr>
              <w:t> </w:t>
            </w:r>
            <w:r>
              <w:rPr>
                <w:rFonts w:ascii="Arial" w:hAnsi="Arial" w:cs="Arial" w:eastAsia="Arial" w:hint="default"/>
                <w:sz w:val="18"/>
                <w:szCs w:val="18"/>
              </w:rPr>
              <w:t>)(</w:t>
            </w:r>
            <w:r>
              <w:rPr>
                <w:rFonts w:ascii="Arial" w:hAnsi="Arial" w:cs="Arial" w:eastAsia="Arial" w:hint="default"/>
                <w:spacing w:val="-22"/>
                <w:sz w:val="18"/>
                <w:szCs w:val="18"/>
              </w:rPr>
              <w:t> </w:t>
            </w:r>
            <w:r>
              <w:rPr>
                <w:rFonts w:ascii="黑体" w:hAnsi="黑体" w:cs="黑体" w:eastAsia="黑体" w:hint="default"/>
                <w:spacing w:val="21"/>
                <w:sz w:val="18"/>
                <w:szCs w:val="18"/>
              </w:rPr>
              <w:t>以下简称</w:t>
            </w:r>
            <w:r>
              <w:rPr>
                <w:rFonts w:ascii="黑体" w:hAnsi="黑体" w:cs="黑体" w:eastAsia="黑体" w:hint="default"/>
                <w:spacing w:val="-62"/>
                <w:sz w:val="18"/>
                <w:szCs w:val="18"/>
              </w:rPr>
              <w:t> </w:t>
            </w:r>
            <w:r>
              <w:rPr>
                <w:rFonts w:ascii="黑体" w:hAnsi="黑体" w:cs="黑体" w:eastAsia="黑体" w:hint="default"/>
                <w:sz w:val="18"/>
                <w:szCs w:val="18"/>
              </w:rPr>
              <w:t>“创新投资</w:t>
            </w:r>
            <w:r>
              <w:rPr>
                <w:rFonts w:ascii="Arial" w:hAnsi="Arial" w:cs="Arial" w:eastAsia="Arial" w:hint="default"/>
                <w:sz w:val="18"/>
                <w:szCs w:val="18"/>
              </w:rPr>
              <w:t>)</w:t>
            </w:r>
          </w:p>
        </w:tc>
        <w:tc>
          <w:tcPr>
            <w:tcW w:w="942" w:type="dxa"/>
            <w:tcBorders>
              <w:top w:val="nil" w:sz="6" w:space="0" w:color="auto"/>
              <w:left w:val="nil" w:sz="6" w:space="0" w:color="auto"/>
              <w:bottom w:val="nil" w:sz="6" w:space="0" w:color="auto"/>
              <w:right w:val="nil" w:sz="6" w:space="0" w:color="auto"/>
            </w:tcBorders>
          </w:tcPr>
          <w:p>
            <w:pPr>
              <w:pStyle w:val="TableParagraph"/>
              <w:spacing w:line="200" w:lineRule="exact" w:before="100"/>
              <w:ind w:left="220" w:right="179" w:hanging="180"/>
              <w:jc w:val="left"/>
              <w:rPr>
                <w:rFonts w:ascii="黑体" w:hAnsi="黑体" w:cs="黑体" w:eastAsia="黑体" w:hint="default"/>
                <w:sz w:val="18"/>
                <w:szCs w:val="18"/>
              </w:rPr>
            </w:pPr>
            <w:r>
              <w:rPr>
                <w:rFonts w:ascii="黑体" w:hAnsi="黑体" w:cs="黑体" w:eastAsia="黑体" w:hint="default"/>
                <w:sz w:val="18"/>
                <w:szCs w:val="18"/>
              </w:rPr>
              <w:t>有限合伙 企业</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6" w:right="0"/>
              <w:jc w:val="center"/>
              <w:rPr>
                <w:rFonts w:ascii="黑体" w:hAnsi="黑体" w:cs="黑体" w:eastAsia="黑体" w:hint="default"/>
                <w:sz w:val="18"/>
                <w:szCs w:val="18"/>
              </w:rPr>
            </w:pPr>
            <w:r>
              <w:rPr>
                <w:rFonts w:ascii="黑体" w:hAnsi="黑体" w:cs="黑体" w:eastAsia="黑体" w:hint="default"/>
                <w:sz w:val="18"/>
                <w:szCs w:val="18"/>
              </w:rPr>
              <w:t>北京市</w:t>
            </w:r>
          </w:p>
        </w:tc>
        <w:tc>
          <w:tcPr>
            <w:tcW w:w="667" w:type="dxa"/>
            <w:tcBorders>
              <w:top w:val="nil" w:sz="6" w:space="0" w:color="auto"/>
              <w:left w:val="nil" w:sz="6" w:space="0" w:color="auto"/>
              <w:bottom w:val="nil" w:sz="6" w:space="0" w:color="auto"/>
              <w:right w:val="nil" w:sz="6" w:space="0" w:color="auto"/>
            </w:tcBorders>
          </w:tcPr>
          <w:p>
            <w:pPr>
              <w:pStyle w:val="TableParagraph"/>
              <w:spacing w:line="204" w:lineRule="auto" w:before="101"/>
              <w:ind w:left="27" w:right="97"/>
              <w:jc w:val="both"/>
              <w:rPr>
                <w:rFonts w:ascii="黑体" w:hAnsi="黑体" w:cs="黑体" w:eastAsia="黑体" w:hint="default"/>
                <w:sz w:val="18"/>
                <w:szCs w:val="18"/>
              </w:rPr>
            </w:pPr>
            <w:r>
              <w:rPr>
                <w:rFonts w:ascii="黑体" w:hAnsi="黑体" w:cs="黑体" w:eastAsia="黑体" w:hint="default"/>
                <w:sz w:val="18"/>
                <w:szCs w:val="18"/>
              </w:rPr>
              <w:t>执行事 务合伙 人：幸 福投资</w:t>
            </w:r>
          </w:p>
          <w:p>
            <w:pPr>
              <w:pStyle w:val="TableParagraph"/>
              <w:spacing w:line="204" w:lineRule="auto"/>
              <w:ind w:left="27" w:right="97"/>
              <w:jc w:val="left"/>
              <w:rPr>
                <w:rFonts w:ascii="黑体" w:hAnsi="黑体" w:cs="黑体" w:eastAsia="黑体" w:hint="default"/>
                <w:sz w:val="18"/>
                <w:szCs w:val="18"/>
              </w:rPr>
            </w:pPr>
            <w:r>
              <w:rPr>
                <w:rFonts w:ascii="黑体" w:hAnsi="黑体" w:cs="黑体" w:eastAsia="黑体" w:hint="default"/>
                <w:sz w:val="18"/>
                <w:szCs w:val="18"/>
              </w:rPr>
              <w:t>（委派 吴政平 为代 表）</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92" w:right="0"/>
              <w:jc w:val="left"/>
              <w:rPr>
                <w:rFonts w:ascii="黑体" w:hAnsi="黑体" w:cs="黑体" w:eastAsia="黑体" w:hint="default"/>
                <w:sz w:val="18"/>
                <w:szCs w:val="18"/>
              </w:rPr>
            </w:pPr>
            <w:r>
              <w:rPr>
                <w:rFonts w:ascii="黑体" w:hAnsi="黑体" w:cs="黑体" w:eastAsia="黑体" w:hint="default"/>
                <w:sz w:val="18"/>
                <w:szCs w:val="18"/>
              </w:rPr>
              <w:t>投资管理</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8"/>
              <w:jc w:val="right"/>
              <w:rPr>
                <w:rFonts w:ascii="黑体" w:hAnsi="黑体" w:cs="黑体" w:eastAsia="黑体" w:hint="default"/>
                <w:sz w:val="18"/>
                <w:szCs w:val="18"/>
              </w:rPr>
            </w:pPr>
            <w:r>
              <w:rPr>
                <w:rFonts w:ascii="黑体" w:hAnsi="黑体" w:cs="黑体" w:eastAsia="黑体" w:hint="default"/>
                <w:sz w:val="18"/>
                <w:szCs w:val="18"/>
              </w:rPr>
              <w:t>不适用</w:t>
            </w:r>
          </w:p>
        </w:tc>
        <w:tc>
          <w:tcPr>
            <w:tcW w:w="2432"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7" w:right="0"/>
              <w:jc w:val="left"/>
              <w:rPr>
                <w:rFonts w:ascii="黑体" w:hAnsi="黑体" w:cs="黑体" w:eastAsia="黑体" w:hint="default"/>
                <w:sz w:val="18"/>
                <w:szCs w:val="18"/>
              </w:rPr>
            </w:pPr>
            <w:r>
              <w:rPr>
                <w:rFonts w:ascii="黑体" w:hAnsi="黑体" w:cs="黑体" w:eastAsia="黑体" w:hint="default"/>
                <w:sz w:val="18"/>
                <w:szCs w:val="18"/>
              </w:rPr>
              <w:t>投资管理。</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04"/>
              <w:jc w:val="right"/>
              <w:rPr>
                <w:rFonts w:ascii="Arial" w:hAnsi="Arial" w:cs="Arial" w:eastAsia="Arial" w:hint="default"/>
                <w:sz w:val="18"/>
                <w:szCs w:val="18"/>
              </w:rPr>
            </w:pPr>
            <w:r>
              <w:rPr>
                <w:rFonts w:ascii="Arial"/>
                <w:spacing w:val="-1"/>
                <w:sz w:val="18"/>
              </w:rPr>
              <w:t>55859053-X</w:t>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49"/>
              <w:jc w:val="right"/>
              <w:rPr>
                <w:rFonts w:ascii="Arial" w:hAnsi="Arial" w:cs="Arial" w:eastAsia="Arial" w:hint="default"/>
                <w:sz w:val="18"/>
                <w:szCs w:val="18"/>
              </w:rPr>
            </w:pPr>
            <w:r>
              <w:rPr>
                <w:rFonts w:ascii="Arial"/>
                <w:spacing w:val="-1"/>
                <w:sz w:val="18"/>
              </w:rPr>
              <w:t>100,000,000</w:t>
            </w: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11" w:right="0"/>
              <w:jc w:val="left"/>
              <w:rPr>
                <w:rFonts w:ascii="Arial" w:hAnsi="Arial" w:cs="Arial" w:eastAsia="Arial" w:hint="default"/>
                <w:sz w:val="18"/>
                <w:szCs w:val="18"/>
              </w:rPr>
            </w:pPr>
            <w:r>
              <w:rPr>
                <w:rFonts w:ascii="Arial"/>
                <w:sz w:val="18"/>
              </w:rPr>
              <w:t>100</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69"/>
              <w:jc w:val="right"/>
              <w:rPr>
                <w:rFonts w:ascii="Arial" w:hAnsi="Arial" w:cs="Arial" w:eastAsia="Arial" w:hint="default"/>
                <w:sz w:val="18"/>
                <w:szCs w:val="18"/>
              </w:rPr>
            </w:pPr>
            <w:r>
              <w:rPr>
                <w:rFonts w:ascii="Arial"/>
                <w:w w:val="95"/>
                <w:sz w:val="18"/>
              </w:rPr>
              <w:t>100</w:t>
            </w:r>
            <w:r>
              <w:rPr>
                <w:rFonts w:ascii="Arial"/>
                <w:sz w:val="18"/>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60"/>
              <w:jc w:val="right"/>
              <w:rPr>
                <w:rFonts w:ascii="黑体" w:hAnsi="黑体" w:cs="黑体" w:eastAsia="黑体" w:hint="default"/>
                <w:sz w:val="18"/>
                <w:szCs w:val="18"/>
              </w:rPr>
            </w:pPr>
            <w:r>
              <w:rPr>
                <w:rFonts w:ascii="黑体" w:hAnsi="黑体" w:cs="黑体" w:eastAsia="黑体" w:hint="default"/>
                <w:sz w:val="18"/>
                <w:szCs w:val="18"/>
              </w:rPr>
              <w:t>是</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98"/>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pgSz w:w="16850" w:h="11910" w:orient="landscape"/>
          <w:pgMar w:header="957" w:footer="857" w:top="2620" w:bottom="1040" w:left="440" w:right="300"/>
        </w:sectPr>
      </w:pPr>
    </w:p>
    <w:p>
      <w:pPr>
        <w:spacing w:line="240" w:lineRule="auto" w:before="7"/>
        <w:rPr>
          <w:rFonts w:ascii="黑体" w:hAnsi="黑体" w:cs="黑体" w:eastAsia="黑体" w:hint="default"/>
          <w:sz w:val="17"/>
          <w:szCs w:val="17"/>
        </w:rPr>
      </w:pPr>
    </w:p>
    <w:p>
      <w:pPr>
        <w:pStyle w:val="Heading6"/>
        <w:spacing w:line="240" w:lineRule="auto"/>
        <w:ind w:left="313" w:right="11966"/>
        <w:jc w:val="left"/>
        <w:rPr>
          <w:b w:val="0"/>
          <w:bCs w:val="0"/>
        </w:rPr>
      </w:pPr>
      <w:r>
        <w:rPr/>
        <w:t>四、合并财务报表的合并范围（续）</w:t>
      </w:r>
      <w:r>
        <w:rPr>
          <w:b w:val="0"/>
          <w:bCs w:val="0"/>
        </w:rPr>
      </w:r>
    </w:p>
    <w:p>
      <w:pPr>
        <w:spacing w:line="240" w:lineRule="auto" w:before="3"/>
        <w:rPr>
          <w:rFonts w:ascii="黑体" w:hAnsi="黑体" w:cs="黑体" w:eastAsia="黑体" w:hint="default"/>
          <w:b/>
          <w:bCs/>
          <w:sz w:val="15"/>
          <w:szCs w:val="15"/>
        </w:rPr>
      </w:pPr>
    </w:p>
    <w:p>
      <w:pPr>
        <w:tabs>
          <w:tab w:pos="783" w:val="left" w:leader="none"/>
        </w:tabs>
        <w:spacing w:line="398" w:lineRule="auto" w:before="0"/>
        <w:ind w:left="315" w:right="11966" w:firstLine="0"/>
        <w:jc w:val="left"/>
        <w:rPr>
          <w:rFonts w:ascii="黑体" w:hAnsi="黑体" w:cs="黑体" w:eastAsia="黑体" w:hint="default"/>
          <w:sz w:val="20"/>
          <w:szCs w:val="20"/>
        </w:rPr>
      </w:pPr>
      <w:r>
        <w:rPr>
          <w:rFonts w:ascii="Arial" w:hAnsi="Arial" w:cs="Arial" w:eastAsia="Arial" w:hint="default"/>
          <w:b/>
          <w:bCs/>
          <w:spacing w:val="-1"/>
          <w:sz w:val="20"/>
          <w:szCs w:val="20"/>
        </w:rPr>
        <w:t>1.</w:t>
        <w:tab/>
      </w:r>
      <w:r>
        <w:rPr>
          <w:rFonts w:ascii="黑体" w:hAnsi="黑体" w:cs="黑体" w:eastAsia="黑体" w:hint="default"/>
          <w:b/>
          <w:bCs/>
          <w:spacing w:val="1"/>
          <w:sz w:val="20"/>
          <w:szCs w:val="20"/>
        </w:rPr>
        <w:t>子公司情况（续）</w:t>
      </w:r>
      <w:r>
        <w:rPr>
          <w:rFonts w:ascii="黑体" w:hAnsi="黑体" w:cs="黑体" w:eastAsia="黑体" w:hint="default"/>
          <w:b/>
          <w:bCs/>
          <w:w w:val="99"/>
          <w:sz w:val="20"/>
          <w:szCs w:val="20"/>
        </w:rPr>
        <w:t> </w:t>
      </w:r>
      <w:r>
        <w:rPr>
          <w:rFonts w:ascii="黑体" w:hAnsi="黑体" w:cs="黑体" w:eastAsia="黑体" w:hint="default"/>
          <w:sz w:val="20"/>
          <w:szCs w:val="20"/>
        </w:rPr>
        <w:t>本集团重要子公司的情况如下（续）：</w:t>
      </w:r>
      <w:r>
        <w:rPr>
          <w:rFonts w:ascii="黑体" w:hAnsi="黑体" w:cs="黑体" w:eastAsia="黑体" w:hint="default"/>
          <w:w w:val="99"/>
          <w:sz w:val="20"/>
          <w:szCs w:val="20"/>
        </w:rPr>
        <w:t> </w:t>
      </w:r>
      <w:r>
        <w:rPr>
          <w:rFonts w:ascii="黑体" w:hAnsi="黑体" w:cs="黑体" w:eastAsia="黑体" w:hint="default"/>
          <w:sz w:val="20"/>
          <w:szCs w:val="20"/>
        </w:rPr>
        <w:t>通过设立或投资等方式取得的子公司（续）</w:t>
      </w:r>
    </w:p>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22"/>
          <w:szCs w:val="22"/>
        </w:rPr>
      </w:pPr>
    </w:p>
    <w:tbl>
      <w:tblPr>
        <w:tblW w:w="0" w:type="auto"/>
        <w:jc w:val="left"/>
        <w:tblInd w:w="113" w:type="dxa"/>
        <w:tblLayout w:type="fixed"/>
        <w:tblCellMar>
          <w:top w:w="0" w:type="dxa"/>
          <w:left w:w="0" w:type="dxa"/>
          <w:bottom w:w="0" w:type="dxa"/>
          <w:right w:w="0" w:type="dxa"/>
        </w:tblCellMar>
        <w:tblLook w:val="01E0"/>
      </w:tblPr>
      <w:tblGrid>
        <w:gridCol w:w="1724"/>
        <w:gridCol w:w="1000"/>
        <w:gridCol w:w="776"/>
        <w:gridCol w:w="661"/>
        <w:gridCol w:w="1187"/>
        <w:gridCol w:w="1068"/>
        <w:gridCol w:w="2442"/>
        <w:gridCol w:w="1207"/>
        <w:gridCol w:w="1338"/>
        <w:gridCol w:w="877"/>
        <w:gridCol w:w="1030"/>
        <w:gridCol w:w="1193"/>
        <w:gridCol w:w="1353"/>
      </w:tblGrid>
      <w:tr>
        <w:trPr>
          <w:trHeight w:val="228" w:hRule="exact"/>
        </w:trPr>
        <w:tc>
          <w:tcPr>
            <w:tcW w:w="1724" w:type="dxa"/>
            <w:tcBorders>
              <w:top w:val="nil" w:sz="6" w:space="0" w:color="auto"/>
              <w:left w:val="nil" w:sz="6" w:space="0" w:color="auto"/>
              <w:bottom w:val="nil" w:sz="6" w:space="0" w:color="auto"/>
              <w:right w:val="nil" w:sz="6" w:space="0" w:color="auto"/>
            </w:tcBorders>
          </w:tcPr>
          <w:p>
            <w:pPr/>
          </w:p>
        </w:tc>
        <w:tc>
          <w:tcPr>
            <w:tcW w:w="1000" w:type="dxa"/>
            <w:tcBorders>
              <w:top w:val="nil" w:sz="6" w:space="0" w:color="auto"/>
              <w:left w:val="nil" w:sz="6" w:space="0" w:color="auto"/>
              <w:bottom w:val="nil" w:sz="6" w:space="0" w:color="auto"/>
              <w:right w:val="nil" w:sz="6" w:space="0" w:color="auto"/>
            </w:tcBorders>
          </w:tcPr>
          <w:p>
            <w:pPr>
              <w:pStyle w:val="TableParagraph"/>
              <w:spacing w:line="180" w:lineRule="exact"/>
              <w:ind w:right="253"/>
              <w:jc w:val="right"/>
              <w:rPr>
                <w:rFonts w:ascii="黑体" w:hAnsi="黑体" w:cs="黑体" w:eastAsia="黑体" w:hint="default"/>
                <w:sz w:val="18"/>
                <w:szCs w:val="18"/>
              </w:rPr>
            </w:pPr>
            <w:r>
              <w:rPr>
                <w:rFonts w:ascii="黑体" w:hAnsi="黑体" w:cs="黑体" w:eastAsia="黑体" w:hint="default"/>
                <w:sz w:val="18"/>
                <w:szCs w:val="18"/>
              </w:rPr>
              <w:t>子公司</w:t>
            </w:r>
          </w:p>
        </w:tc>
        <w:tc>
          <w:tcPr>
            <w:tcW w:w="776" w:type="dxa"/>
            <w:tcBorders>
              <w:top w:val="nil" w:sz="6" w:space="0" w:color="auto"/>
              <w:left w:val="nil" w:sz="6" w:space="0" w:color="auto"/>
              <w:bottom w:val="nil" w:sz="6" w:space="0" w:color="auto"/>
              <w:right w:val="nil" w:sz="6" w:space="0" w:color="auto"/>
            </w:tcBorders>
          </w:tcPr>
          <w:p>
            <w:pPr/>
          </w:p>
        </w:tc>
        <w:tc>
          <w:tcPr>
            <w:tcW w:w="661" w:type="dxa"/>
            <w:tcBorders>
              <w:top w:val="nil" w:sz="6" w:space="0" w:color="auto"/>
              <w:left w:val="nil" w:sz="6" w:space="0" w:color="auto"/>
              <w:bottom w:val="nil" w:sz="6" w:space="0" w:color="auto"/>
              <w:right w:val="nil" w:sz="6" w:space="0" w:color="auto"/>
            </w:tcBorders>
          </w:tcPr>
          <w:p>
            <w:pPr>
              <w:pStyle w:val="TableParagraph"/>
              <w:spacing w:line="180" w:lineRule="exact"/>
              <w:ind w:right="25"/>
              <w:jc w:val="right"/>
              <w:rPr>
                <w:rFonts w:ascii="黑体" w:hAnsi="黑体" w:cs="黑体" w:eastAsia="黑体" w:hint="default"/>
                <w:sz w:val="18"/>
                <w:szCs w:val="18"/>
              </w:rPr>
            </w:pPr>
            <w:r>
              <w:rPr>
                <w:rFonts w:ascii="黑体" w:hAnsi="黑体" w:cs="黑体" w:eastAsia="黑体" w:hint="default"/>
                <w:sz w:val="18"/>
                <w:szCs w:val="18"/>
              </w:rPr>
              <w:t>法定</w:t>
            </w:r>
          </w:p>
        </w:tc>
        <w:tc>
          <w:tcPr>
            <w:tcW w:w="1187"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nil" w:sz="6" w:space="0" w:color="auto"/>
              <w:right w:val="nil" w:sz="6" w:space="0" w:color="auto"/>
            </w:tcBorders>
          </w:tcPr>
          <w:p>
            <w:pPr/>
          </w:p>
        </w:tc>
        <w:tc>
          <w:tcPr>
            <w:tcW w:w="2442"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Style w:val="TableParagraph"/>
              <w:spacing w:line="180" w:lineRule="exact"/>
              <w:ind w:right="176"/>
              <w:jc w:val="right"/>
              <w:rPr>
                <w:rFonts w:ascii="黑体" w:hAnsi="黑体" w:cs="黑体" w:eastAsia="黑体" w:hint="default"/>
                <w:sz w:val="18"/>
                <w:szCs w:val="18"/>
              </w:rPr>
            </w:pPr>
            <w:r>
              <w:rPr>
                <w:rFonts w:ascii="黑体" w:hAnsi="黑体" w:cs="黑体" w:eastAsia="黑体" w:hint="default"/>
                <w:sz w:val="18"/>
                <w:szCs w:val="18"/>
              </w:rPr>
              <w:t>组织机构</w:t>
            </w:r>
          </w:p>
        </w:tc>
        <w:tc>
          <w:tcPr>
            <w:tcW w:w="1338" w:type="dxa"/>
            <w:tcBorders>
              <w:top w:val="nil" w:sz="6" w:space="0" w:color="auto"/>
              <w:left w:val="nil" w:sz="6" w:space="0" w:color="auto"/>
              <w:bottom w:val="nil" w:sz="6" w:space="0" w:color="auto"/>
              <w:right w:val="nil" w:sz="6" w:space="0" w:color="auto"/>
            </w:tcBorders>
          </w:tcPr>
          <w:p>
            <w:pPr>
              <w:pStyle w:val="TableParagraph"/>
              <w:spacing w:line="180" w:lineRule="exact"/>
              <w:ind w:right="158"/>
              <w:jc w:val="right"/>
              <w:rPr>
                <w:rFonts w:ascii="黑体" w:hAnsi="黑体" w:cs="黑体" w:eastAsia="黑体" w:hint="default"/>
                <w:sz w:val="18"/>
                <w:szCs w:val="18"/>
              </w:rPr>
            </w:pPr>
            <w:r>
              <w:rPr>
                <w:rFonts w:ascii="黑体" w:hAnsi="黑体" w:cs="黑体" w:eastAsia="黑体" w:hint="default"/>
                <w:sz w:val="18"/>
                <w:szCs w:val="18"/>
              </w:rPr>
              <w:t>年末实际</w:t>
            </w:r>
          </w:p>
        </w:tc>
        <w:tc>
          <w:tcPr>
            <w:tcW w:w="877" w:type="dxa"/>
            <w:tcBorders>
              <w:top w:val="nil" w:sz="6" w:space="0" w:color="auto"/>
              <w:left w:val="nil" w:sz="6" w:space="0" w:color="auto"/>
              <w:bottom w:val="nil" w:sz="6" w:space="0" w:color="auto"/>
              <w:right w:val="nil" w:sz="6" w:space="0" w:color="auto"/>
            </w:tcBorders>
          </w:tcPr>
          <w:p>
            <w:pPr>
              <w:pStyle w:val="TableParagraph"/>
              <w:spacing w:line="180" w:lineRule="exact"/>
              <w:ind w:right="265"/>
              <w:jc w:val="right"/>
              <w:rPr>
                <w:rFonts w:ascii="黑体" w:hAnsi="黑体" w:cs="黑体" w:eastAsia="黑体" w:hint="default"/>
                <w:sz w:val="18"/>
                <w:szCs w:val="18"/>
              </w:rPr>
            </w:pPr>
            <w:r>
              <w:rPr>
                <w:rFonts w:ascii="黑体" w:hAnsi="黑体" w:cs="黑体" w:eastAsia="黑体" w:hint="default"/>
                <w:sz w:val="18"/>
                <w:szCs w:val="18"/>
              </w:rPr>
              <w:t>持股</w:t>
            </w:r>
          </w:p>
        </w:tc>
        <w:tc>
          <w:tcPr>
            <w:tcW w:w="1030" w:type="dxa"/>
            <w:tcBorders>
              <w:top w:val="nil" w:sz="6" w:space="0" w:color="auto"/>
              <w:left w:val="nil" w:sz="6" w:space="0" w:color="auto"/>
              <w:bottom w:val="nil" w:sz="6" w:space="0" w:color="auto"/>
              <w:right w:val="nil" w:sz="6" w:space="0" w:color="auto"/>
            </w:tcBorders>
          </w:tcPr>
          <w:p>
            <w:pPr>
              <w:pStyle w:val="TableParagraph"/>
              <w:spacing w:line="180" w:lineRule="exact"/>
              <w:ind w:right="222"/>
              <w:jc w:val="right"/>
              <w:rPr>
                <w:rFonts w:ascii="黑体" w:hAnsi="黑体" w:cs="黑体" w:eastAsia="黑体" w:hint="default"/>
                <w:sz w:val="18"/>
                <w:szCs w:val="18"/>
              </w:rPr>
            </w:pPr>
            <w:r>
              <w:rPr>
                <w:rFonts w:ascii="黑体" w:hAnsi="黑体" w:cs="黑体" w:eastAsia="黑体" w:hint="default"/>
                <w:sz w:val="18"/>
                <w:szCs w:val="18"/>
              </w:rPr>
              <w:t>表决权</w:t>
            </w:r>
          </w:p>
        </w:tc>
        <w:tc>
          <w:tcPr>
            <w:tcW w:w="1193" w:type="dxa"/>
            <w:tcBorders>
              <w:top w:val="nil" w:sz="6" w:space="0" w:color="auto"/>
              <w:left w:val="nil" w:sz="6" w:space="0" w:color="auto"/>
              <w:bottom w:val="nil" w:sz="6" w:space="0" w:color="auto"/>
              <w:right w:val="nil" w:sz="6" w:space="0" w:color="auto"/>
            </w:tcBorders>
          </w:tcPr>
          <w:p>
            <w:pPr>
              <w:pStyle w:val="TableParagraph"/>
              <w:spacing w:line="180" w:lineRule="exact"/>
              <w:ind w:right="248"/>
              <w:jc w:val="right"/>
              <w:rPr>
                <w:rFonts w:ascii="黑体" w:hAnsi="黑体" w:cs="黑体" w:eastAsia="黑体" w:hint="default"/>
                <w:sz w:val="18"/>
                <w:szCs w:val="18"/>
              </w:rPr>
            </w:pPr>
            <w:r>
              <w:rPr>
                <w:rFonts w:ascii="黑体" w:hAnsi="黑体" w:cs="黑体" w:eastAsia="黑体" w:hint="default"/>
                <w:sz w:val="18"/>
                <w:szCs w:val="18"/>
              </w:rPr>
              <w:t>是否</w:t>
            </w:r>
          </w:p>
        </w:tc>
        <w:tc>
          <w:tcPr>
            <w:tcW w:w="1353" w:type="dxa"/>
            <w:tcBorders>
              <w:top w:val="nil" w:sz="6" w:space="0" w:color="auto"/>
              <w:left w:val="nil" w:sz="6" w:space="0" w:color="auto"/>
              <w:bottom w:val="nil" w:sz="6" w:space="0" w:color="auto"/>
              <w:right w:val="nil" w:sz="6" w:space="0" w:color="auto"/>
            </w:tcBorders>
          </w:tcPr>
          <w:p>
            <w:pPr>
              <w:pStyle w:val="TableParagraph"/>
              <w:spacing w:line="180" w:lineRule="exact"/>
              <w:ind w:right="199"/>
              <w:jc w:val="right"/>
              <w:rPr>
                <w:rFonts w:ascii="黑体" w:hAnsi="黑体" w:cs="黑体" w:eastAsia="黑体" w:hint="default"/>
                <w:sz w:val="18"/>
                <w:szCs w:val="18"/>
              </w:rPr>
            </w:pPr>
            <w:r>
              <w:rPr>
                <w:rFonts w:ascii="黑体" w:hAnsi="黑体" w:cs="黑体" w:eastAsia="黑体" w:hint="default"/>
                <w:sz w:val="18"/>
                <w:szCs w:val="18"/>
              </w:rPr>
              <w:t>少数股东</w:t>
            </w:r>
          </w:p>
        </w:tc>
      </w:tr>
      <w:tr>
        <w:trPr>
          <w:trHeight w:val="283" w:hRule="exact"/>
        </w:trPr>
        <w:tc>
          <w:tcPr>
            <w:tcW w:w="1724" w:type="dxa"/>
            <w:tcBorders>
              <w:top w:val="nil" w:sz="6" w:space="0" w:color="auto"/>
              <w:left w:val="nil" w:sz="6" w:space="0" w:color="auto"/>
              <w:bottom w:val="nil" w:sz="6" w:space="0" w:color="auto"/>
              <w:right w:val="nil" w:sz="6" w:space="0" w:color="auto"/>
            </w:tcBorders>
          </w:tcPr>
          <w:p>
            <w:pPr>
              <w:pStyle w:val="TableParagraph"/>
              <w:spacing w:line="228" w:lineRule="exact"/>
              <w:ind w:left="372" w:right="0"/>
              <w:jc w:val="left"/>
              <w:rPr>
                <w:rFonts w:ascii="黑体" w:hAnsi="黑体" w:cs="黑体" w:eastAsia="黑体" w:hint="default"/>
                <w:sz w:val="18"/>
                <w:szCs w:val="18"/>
              </w:rPr>
            </w:pPr>
            <w:r>
              <w:rPr>
                <w:rFonts w:ascii="黑体" w:hAnsi="黑体" w:cs="黑体" w:eastAsia="黑体" w:hint="default"/>
                <w:sz w:val="18"/>
                <w:szCs w:val="18"/>
              </w:rPr>
              <w:t>被投资单位名称</w:t>
            </w:r>
          </w:p>
        </w:tc>
        <w:tc>
          <w:tcPr>
            <w:tcW w:w="1000" w:type="dxa"/>
            <w:tcBorders>
              <w:top w:val="nil" w:sz="6" w:space="0" w:color="auto"/>
              <w:left w:val="nil" w:sz="6" w:space="0" w:color="auto"/>
              <w:bottom w:val="nil" w:sz="6" w:space="0" w:color="auto"/>
              <w:right w:val="nil" w:sz="6" w:space="0" w:color="auto"/>
            </w:tcBorders>
          </w:tcPr>
          <w:p>
            <w:pPr>
              <w:pStyle w:val="TableParagraph"/>
              <w:spacing w:line="228" w:lineRule="exact"/>
              <w:ind w:right="253"/>
              <w:jc w:val="right"/>
              <w:rPr>
                <w:rFonts w:ascii="黑体" w:hAnsi="黑体" w:cs="黑体" w:eastAsia="黑体" w:hint="default"/>
                <w:sz w:val="18"/>
                <w:szCs w:val="18"/>
              </w:rPr>
            </w:pPr>
            <w:r>
              <w:rPr>
                <w:rFonts w:ascii="黑体" w:hAnsi="黑体" w:cs="黑体" w:eastAsia="黑体" w:hint="default"/>
                <w:sz w:val="18"/>
                <w:szCs w:val="18"/>
              </w:rPr>
              <w:t>类型</w:t>
            </w:r>
          </w:p>
        </w:tc>
        <w:tc>
          <w:tcPr>
            <w:tcW w:w="776" w:type="dxa"/>
            <w:tcBorders>
              <w:top w:val="nil" w:sz="6" w:space="0" w:color="auto"/>
              <w:left w:val="nil" w:sz="6" w:space="0" w:color="auto"/>
              <w:bottom w:val="nil" w:sz="6" w:space="0" w:color="auto"/>
              <w:right w:val="nil" w:sz="6" w:space="0" w:color="auto"/>
            </w:tcBorders>
          </w:tcPr>
          <w:p>
            <w:pPr>
              <w:pStyle w:val="TableParagraph"/>
              <w:spacing w:line="228" w:lineRule="exact"/>
              <w:ind w:right="91"/>
              <w:jc w:val="right"/>
              <w:rPr>
                <w:rFonts w:ascii="黑体" w:hAnsi="黑体" w:cs="黑体" w:eastAsia="黑体" w:hint="default"/>
                <w:sz w:val="18"/>
                <w:szCs w:val="18"/>
              </w:rPr>
            </w:pPr>
            <w:r>
              <w:rPr>
                <w:rFonts w:ascii="黑体" w:hAnsi="黑体" w:cs="黑体" w:eastAsia="黑体" w:hint="default"/>
                <w:sz w:val="18"/>
                <w:szCs w:val="18"/>
              </w:rPr>
              <w:t>注册地</w:t>
            </w:r>
          </w:p>
        </w:tc>
        <w:tc>
          <w:tcPr>
            <w:tcW w:w="661" w:type="dxa"/>
            <w:tcBorders>
              <w:top w:val="nil" w:sz="6" w:space="0" w:color="auto"/>
              <w:left w:val="nil" w:sz="6" w:space="0" w:color="auto"/>
              <w:bottom w:val="nil" w:sz="6" w:space="0" w:color="auto"/>
              <w:right w:val="nil" w:sz="6" w:space="0" w:color="auto"/>
            </w:tcBorders>
          </w:tcPr>
          <w:p>
            <w:pPr>
              <w:pStyle w:val="TableParagraph"/>
              <w:spacing w:line="228" w:lineRule="exact"/>
              <w:ind w:right="25"/>
              <w:jc w:val="right"/>
              <w:rPr>
                <w:rFonts w:ascii="黑体" w:hAnsi="黑体" w:cs="黑体" w:eastAsia="黑体" w:hint="default"/>
                <w:sz w:val="18"/>
                <w:szCs w:val="18"/>
              </w:rPr>
            </w:pPr>
            <w:r>
              <w:rPr>
                <w:rFonts w:ascii="黑体" w:hAnsi="黑体" w:cs="黑体" w:eastAsia="黑体" w:hint="default"/>
                <w:sz w:val="18"/>
                <w:szCs w:val="18"/>
              </w:rPr>
              <w:t>代表人</w:t>
            </w:r>
          </w:p>
        </w:tc>
        <w:tc>
          <w:tcPr>
            <w:tcW w:w="1187" w:type="dxa"/>
            <w:tcBorders>
              <w:top w:val="nil" w:sz="6" w:space="0" w:color="auto"/>
              <w:left w:val="nil" w:sz="6" w:space="0" w:color="auto"/>
              <w:bottom w:val="nil" w:sz="6" w:space="0" w:color="auto"/>
              <w:right w:val="nil" w:sz="6" w:space="0" w:color="auto"/>
            </w:tcBorders>
          </w:tcPr>
          <w:p>
            <w:pPr>
              <w:pStyle w:val="TableParagraph"/>
              <w:spacing w:line="228" w:lineRule="exact"/>
              <w:ind w:left="428" w:right="0"/>
              <w:jc w:val="left"/>
              <w:rPr>
                <w:rFonts w:ascii="黑体" w:hAnsi="黑体" w:cs="黑体" w:eastAsia="黑体" w:hint="default"/>
                <w:sz w:val="18"/>
                <w:szCs w:val="18"/>
              </w:rPr>
            </w:pPr>
            <w:r>
              <w:rPr>
                <w:rFonts w:ascii="黑体" w:hAnsi="黑体" w:cs="黑体" w:eastAsia="黑体" w:hint="default"/>
                <w:sz w:val="18"/>
                <w:szCs w:val="18"/>
              </w:rPr>
              <w:t>业务性质</w:t>
            </w:r>
          </w:p>
        </w:tc>
        <w:tc>
          <w:tcPr>
            <w:tcW w:w="1068" w:type="dxa"/>
            <w:tcBorders>
              <w:top w:val="nil" w:sz="6" w:space="0" w:color="auto"/>
              <w:left w:val="nil" w:sz="6" w:space="0" w:color="auto"/>
              <w:bottom w:val="nil" w:sz="6" w:space="0" w:color="auto"/>
              <w:right w:val="nil" w:sz="6" w:space="0" w:color="auto"/>
            </w:tcBorders>
          </w:tcPr>
          <w:p>
            <w:pPr>
              <w:pStyle w:val="TableParagraph"/>
              <w:spacing w:line="228" w:lineRule="exact"/>
              <w:ind w:right="26"/>
              <w:jc w:val="right"/>
              <w:rPr>
                <w:rFonts w:ascii="黑体" w:hAnsi="黑体" w:cs="黑体" w:eastAsia="黑体" w:hint="default"/>
                <w:sz w:val="18"/>
                <w:szCs w:val="18"/>
              </w:rPr>
            </w:pPr>
            <w:r>
              <w:rPr>
                <w:rFonts w:ascii="黑体" w:hAnsi="黑体" w:cs="黑体" w:eastAsia="黑体" w:hint="default"/>
                <w:sz w:val="18"/>
                <w:szCs w:val="18"/>
              </w:rPr>
              <w:t>注册资本</w:t>
            </w:r>
          </w:p>
        </w:tc>
        <w:tc>
          <w:tcPr>
            <w:tcW w:w="2442" w:type="dxa"/>
            <w:tcBorders>
              <w:top w:val="nil" w:sz="6" w:space="0" w:color="auto"/>
              <w:left w:val="nil" w:sz="6" w:space="0" w:color="auto"/>
              <w:bottom w:val="nil" w:sz="6" w:space="0" w:color="auto"/>
              <w:right w:val="nil" w:sz="6" w:space="0" w:color="auto"/>
            </w:tcBorders>
          </w:tcPr>
          <w:p>
            <w:pPr>
              <w:pStyle w:val="TableParagraph"/>
              <w:spacing w:line="228" w:lineRule="exact"/>
              <w:ind w:left="1559" w:right="0"/>
              <w:jc w:val="left"/>
              <w:rPr>
                <w:rFonts w:ascii="黑体" w:hAnsi="黑体" w:cs="黑体" w:eastAsia="黑体" w:hint="default"/>
                <w:sz w:val="18"/>
                <w:szCs w:val="18"/>
              </w:rPr>
            </w:pPr>
            <w:r>
              <w:rPr>
                <w:rFonts w:ascii="黑体" w:hAnsi="黑体" w:cs="黑体" w:eastAsia="黑体" w:hint="default"/>
                <w:sz w:val="18"/>
                <w:szCs w:val="18"/>
              </w:rPr>
              <w:t>经营范围</w:t>
            </w:r>
          </w:p>
        </w:tc>
        <w:tc>
          <w:tcPr>
            <w:tcW w:w="1207" w:type="dxa"/>
            <w:tcBorders>
              <w:top w:val="nil" w:sz="6" w:space="0" w:color="auto"/>
              <w:left w:val="nil" w:sz="6" w:space="0" w:color="auto"/>
              <w:bottom w:val="nil" w:sz="6" w:space="0" w:color="auto"/>
              <w:right w:val="nil" w:sz="6" w:space="0" w:color="auto"/>
            </w:tcBorders>
          </w:tcPr>
          <w:p>
            <w:pPr>
              <w:pStyle w:val="TableParagraph"/>
              <w:spacing w:line="228" w:lineRule="exact"/>
              <w:ind w:right="176"/>
              <w:jc w:val="right"/>
              <w:rPr>
                <w:rFonts w:ascii="黑体" w:hAnsi="黑体" w:cs="黑体" w:eastAsia="黑体" w:hint="default"/>
                <w:sz w:val="18"/>
                <w:szCs w:val="18"/>
              </w:rPr>
            </w:pPr>
            <w:r>
              <w:rPr>
                <w:rFonts w:ascii="黑体" w:hAnsi="黑体" w:cs="黑体" w:eastAsia="黑体" w:hint="default"/>
                <w:sz w:val="18"/>
                <w:szCs w:val="18"/>
              </w:rPr>
              <w:t>代码</w:t>
            </w:r>
          </w:p>
        </w:tc>
        <w:tc>
          <w:tcPr>
            <w:tcW w:w="1338" w:type="dxa"/>
            <w:tcBorders>
              <w:top w:val="nil" w:sz="6" w:space="0" w:color="auto"/>
              <w:left w:val="nil" w:sz="6" w:space="0" w:color="auto"/>
              <w:bottom w:val="nil" w:sz="6" w:space="0" w:color="auto"/>
              <w:right w:val="nil" w:sz="6" w:space="0" w:color="auto"/>
            </w:tcBorders>
          </w:tcPr>
          <w:p>
            <w:pPr>
              <w:pStyle w:val="TableParagraph"/>
              <w:spacing w:line="228" w:lineRule="exact"/>
              <w:ind w:right="158"/>
              <w:jc w:val="right"/>
              <w:rPr>
                <w:rFonts w:ascii="黑体" w:hAnsi="黑体" w:cs="黑体" w:eastAsia="黑体" w:hint="default"/>
                <w:sz w:val="18"/>
                <w:szCs w:val="18"/>
              </w:rPr>
            </w:pPr>
            <w:r>
              <w:rPr>
                <w:rFonts w:ascii="黑体" w:hAnsi="黑体" w:cs="黑体" w:eastAsia="黑体" w:hint="default"/>
                <w:sz w:val="18"/>
                <w:szCs w:val="18"/>
              </w:rPr>
              <w:t>出资额</w:t>
            </w:r>
          </w:p>
        </w:tc>
        <w:tc>
          <w:tcPr>
            <w:tcW w:w="877" w:type="dxa"/>
            <w:tcBorders>
              <w:top w:val="nil" w:sz="6" w:space="0" w:color="auto"/>
              <w:left w:val="nil" w:sz="6" w:space="0" w:color="auto"/>
              <w:bottom w:val="nil" w:sz="6" w:space="0" w:color="auto"/>
              <w:right w:val="nil" w:sz="6" w:space="0" w:color="auto"/>
            </w:tcBorders>
          </w:tcPr>
          <w:p>
            <w:pPr>
              <w:pStyle w:val="TableParagraph"/>
              <w:spacing w:line="228" w:lineRule="exact"/>
              <w:ind w:right="265"/>
              <w:jc w:val="right"/>
              <w:rPr>
                <w:rFonts w:ascii="黑体" w:hAnsi="黑体" w:cs="黑体" w:eastAsia="黑体" w:hint="default"/>
                <w:sz w:val="18"/>
                <w:szCs w:val="18"/>
              </w:rPr>
            </w:pPr>
            <w:r>
              <w:rPr>
                <w:rFonts w:ascii="黑体" w:hAnsi="黑体" w:cs="黑体" w:eastAsia="黑体" w:hint="default"/>
                <w:sz w:val="18"/>
                <w:szCs w:val="18"/>
              </w:rPr>
              <w:t>比例</w:t>
            </w:r>
          </w:p>
        </w:tc>
        <w:tc>
          <w:tcPr>
            <w:tcW w:w="1030" w:type="dxa"/>
            <w:tcBorders>
              <w:top w:val="nil" w:sz="6" w:space="0" w:color="auto"/>
              <w:left w:val="nil" w:sz="6" w:space="0" w:color="auto"/>
              <w:bottom w:val="nil" w:sz="6" w:space="0" w:color="auto"/>
              <w:right w:val="nil" w:sz="6" w:space="0" w:color="auto"/>
            </w:tcBorders>
          </w:tcPr>
          <w:p>
            <w:pPr>
              <w:pStyle w:val="TableParagraph"/>
              <w:spacing w:line="228" w:lineRule="exact"/>
              <w:ind w:right="222"/>
              <w:jc w:val="right"/>
              <w:rPr>
                <w:rFonts w:ascii="黑体" w:hAnsi="黑体" w:cs="黑体" w:eastAsia="黑体" w:hint="default"/>
                <w:sz w:val="18"/>
                <w:szCs w:val="18"/>
              </w:rPr>
            </w:pPr>
            <w:r>
              <w:rPr>
                <w:rFonts w:ascii="黑体" w:hAnsi="黑体" w:cs="黑体" w:eastAsia="黑体" w:hint="default"/>
                <w:sz w:val="18"/>
                <w:szCs w:val="18"/>
              </w:rPr>
              <w:t>比例</w:t>
            </w:r>
          </w:p>
        </w:tc>
        <w:tc>
          <w:tcPr>
            <w:tcW w:w="1193" w:type="dxa"/>
            <w:tcBorders>
              <w:top w:val="nil" w:sz="6" w:space="0" w:color="auto"/>
              <w:left w:val="nil" w:sz="6" w:space="0" w:color="auto"/>
              <w:bottom w:val="nil" w:sz="6" w:space="0" w:color="auto"/>
              <w:right w:val="nil" w:sz="6" w:space="0" w:color="auto"/>
            </w:tcBorders>
          </w:tcPr>
          <w:p>
            <w:pPr>
              <w:pStyle w:val="TableParagraph"/>
              <w:spacing w:line="228" w:lineRule="exact"/>
              <w:ind w:right="248"/>
              <w:jc w:val="right"/>
              <w:rPr>
                <w:rFonts w:ascii="黑体" w:hAnsi="黑体" w:cs="黑体" w:eastAsia="黑体" w:hint="default"/>
                <w:sz w:val="18"/>
                <w:szCs w:val="18"/>
              </w:rPr>
            </w:pPr>
            <w:r>
              <w:rPr>
                <w:rFonts w:ascii="黑体" w:hAnsi="黑体" w:cs="黑体" w:eastAsia="黑体" w:hint="default"/>
                <w:sz w:val="18"/>
                <w:szCs w:val="18"/>
              </w:rPr>
              <w:t>合并报表</w:t>
            </w:r>
          </w:p>
        </w:tc>
        <w:tc>
          <w:tcPr>
            <w:tcW w:w="1353" w:type="dxa"/>
            <w:tcBorders>
              <w:top w:val="nil" w:sz="6" w:space="0" w:color="auto"/>
              <w:left w:val="nil" w:sz="6" w:space="0" w:color="auto"/>
              <w:bottom w:val="nil" w:sz="6" w:space="0" w:color="auto"/>
              <w:right w:val="nil" w:sz="6" w:space="0" w:color="auto"/>
            </w:tcBorders>
          </w:tcPr>
          <w:p>
            <w:pPr>
              <w:pStyle w:val="TableParagraph"/>
              <w:spacing w:line="228" w:lineRule="exact"/>
              <w:ind w:right="199"/>
              <w:jc w:val="right"/>
              <w:rPr>
                <w:rFonts w:ascii="黑体" w:hAnsi="黑体" w:cs="黑体" w:eastAsia="黑体" w:hint="default"/>
                <w:sz w:val="18"/>
                <w:szCs w:val="18"/>
              </w:rPr>
            </w:pPr>
            <w:r>
              <w:rPr>
                <w:rFonts w:ascii="黑体" w:hAnsi="黑体" w:cs="黑体" w:eastAsia="黑体" w:hint="default"/>
                <w:sz w:val="18"/>
                <w:szCs w:val="18"/>
              </w:rPr>
              <w:t>权益</w:t>
            </w:r>
          </w:p>
        </w:tc>
      </w:tr>
      <w:tr>
        <w:trPr>
          <w:trHeight w:val="376" w:hRule="exact"/>
        </w:trPr>
        <w:tc>
          <w:tcPr>
            <w:tcW w:w="1724" w:type="dxa"/>
            <w:tcBorders>
              <w:top w:val="nil" w:sz="6" w:space="0" w:color="auto"/>
              <w:left w:val="nil" w:sz="6" w:space="0" w:color="auto"/>
              <w:bottom w:val="nil" w:sz="6" w:space="0" w:color="auto"/>
              <w:right w:val="nil" w:sz="6" w:space="0" w:color="auto"/>
            </w:tcBorders>
          </w:tcPr>
          <w:p>
            <w:pPr/>
          </w:p>
        </w:tc>
        <w:tc>
          <w:tcPr>
            <w:tcW w:w="1000" w:type="dxa"/>
            <w:tcBorders>
              <w:top w:val="nil" w:sz="6" w:space="0" w:color="auto"/>
              <w:left w:val="nil" w:sz="6" w:space="0" w:color="auto"/>
              <w:bottom w:val="nil" w:sz="6" w:space="0" w:color="auto"/>
              <w:right w:val="nil" w:sz="6" w:space="0" w:color="auto"/>
            </w:tcBorders>
          </w:tcPr>
          <w:p>
            <w:pPr/>
          </w:p>
        </w:tc>
        <w:tc>
          <w:tcPr>
            <w:tcW w:w="776" w:type="dxa"/>
            <w:tcBorders>
              <w:top w:val="nil" w:sz="6" w:space="0" w:color="auto"/>
              <w:left w:val="nil" w:sz="6" w:space="0" w:color="auto"/>
              <w:bottom w:val="nil" w:sz="6" w:space="0" w:color="auto"/>
              <w:right w:val="nil" w:sz="6" w:space="0" w:color="auto"/>
            </w:tcBorders>
          </w:tcPr>
          <w:p>
            <w:pPr/>
          </w:p>
        </w:tc>
        <w:tc>
          <w:tcPr>
            <w:tcW w:w="661"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nil" w:sz="6" w:space="0" w:color="auto"/>
              <w:right w:val="nil" w:sz="6" w:space="0" w:color="auto"/>
            </w:tcBorders>
          </w:tcPr>
          <w:p>
            <w:pPr/>
          </w:p>
        </w:tc>
        <w:tc>
          <w:tcPr>
            <w:tcW w:w="2442" w:type="dxa"/>
            <w:tcBorders>
              <w:top w:val="nil" w:sz="6" w:space="0" w:color="auto"/>
              <w:left w:val="nil" w:sz="6" w:space="0" w:color="auto"/>
              <w:bottom w:val="nil" w:sz="6" w:space="0" w:color="auto"/>
              <w:right w:val="nil" w:sz="6" w:space="0" w:color="auto"/>
            </w:tcBorders>
          </w:tcPr>
          <w:p>
            <w:pPr/>
          </w:p>
        </w:tc>
        <w:tc>
          <w:tcPr>
            <w:tcW w:w="1207" w:type="dxa"/>
            <w:tcBorders>
              <w:top w:val="nil" w:sz="6" w:space="0" w:color="auto"/>
              <w:left w:val="nil" w:sz="6" w:space="0" w:color="auto"/>
              <w:bottom w:val="nil" w:sz="6" w:space="0" w:color="auto"/>
              <w:right w:val="nil" w:sz="6" w:space="0" w:color="auto"/>
            </w:tcBorders>
          </w:tcPr>
          <w:p>
            <w:pPr/>
          </w:p>
        </w:tc>
        <w:tc>
          <w:tcPr>
            <w:tcW w:w="1338" w:type="dxa"/>
            <w:tcBorders>
              <w:top w:val="nil" w:sz="6" w:space="0" w:color="auto"/>
              <w:left w:val="nil" w:sz="6" w:space="0" w:color="auto"/>
              <w:bottom w:val="nil" w:sz="6" w:space="0" w:color="auto"/>
              <w:right w:val="nil" w:sz="6" w:space="0" w:color="auto"/>
            </w:tcBorders>
          </w:tcPr>
          <w:p>
            <w:pP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65"/>
              <w:jc w:val="right"/>
              <w:rPr>
                <w:rFonts w:ascii="Arial" w:hAnsi="Arial" w:cs="Arial" w:eastAsia="Arial" w:hint="default"/>
                <w:sz w:val="18"/>
                <w:szCs w:val="18"/>
              </w:rPr>
            </w:pPr>
            <w:r>
              <w:rPr>
                <w:rFonts w:ascii="Arial"/>
                <w:w w:val="95"/>
                <w:sz w:val="18"/>
              </w:rPr>
              <w:t>(%)</w:t>
            </w:r>
            <w:r>
              <w:rPr>
                <w:rFonts w:ascii="Arial"/>
                <w:sz w:val="18"/>
              </w:rPr>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22"/>
              <w:jc w:val="right"/>
              <w:rPr>
                <w:rFonts w:ascii="Arial" w:hAnsi="Arial" w:cs="Arial" w:eastAsia="Arial" w:hint="default"/>
                <w:sz w:val="18"/>
                <w:szCs w:val="18"/>
              </w:rPr>
            </w:pPr>
            <w:r>
              <w:rPr>
                <w:rFonts w:ascii="Arial"/>
                <w:w w:val="95"/>
                <w:sz w:val="18"/>
              </w:rPr>
              <w:t>(%)</w:t>
            </w:r>
            <w:r>
              <w:rPr>
                <w:rFonts w:ascii="Arial"/>
                <w:sz w:val="18"/>
              </w:rPr>
            </w:r>
          </w:p>
        </w:tc>
        <w:tc>
          <w:tcPr>
            <w:tcW w:w="1193" w:type="dxa"/>
            <w:tcBorders>
              <w:top w:val="nil" w:sz="6" w:space="0" w:color="auto"/>
              <w:left w:val="nil" w:sz="6" w:space="0" w:color="auto"/>
              <w:bottom w:val="nil" w:sz="6" w:space="0" w:color="auto"/>
              <w:right w:val="nil" w:sz="6" w:space="0" w:color="auto"/>
            </w:tcBorders>
          </w:tcPr>
          <w:p>
            <w:pPr/>
          </w:p>
        </w:tc>
        <w:tc>
          <w:tcPr>
            <w:tcW w:w="1353" w:type="dxa"/>
            <w:tcBorders>
              <w:top w:val="nil" w:sz="6" w:space="0" w:color="auto"/>
              <w:left w:val="nil" w:sz="6" w:space="0" w:color="auto"/>
              <w:bottom w:val="nil" w:sz="6" w:space="0" w:color="auto"/>
              <w:right w:val="nil" w:sz="6" w:space="0" w:color="auto"/>
            </w:tcBorders>
          </w:tcPr>
          <w:p>
            <w:pPr/>
          </w:p>
        </w:tc>
      </w:tr>
      <w:tr>
        <w:trPr>
          <w:trHeight w:val="1518" w:hRule="exact"/>
        </w:trPr>
        <w:tc>
          <w:tcPr>
            <w:tcW w:w="1724" w:type="dxa"/>
            <w:tcBorders>
              <w:top w:val="nil" w:sz="6" w:space="0" w:color="auto"/>
              <w:left w:val="nil" w:sz="6" w:space="0" w:color="auto"/>
              <w:bottom w:val="nil" w:sz="6" w:space="0" w:color="auto"/>
              <w:right w:val="nil" w:sz="6" w:space="0" w:color="auto"/>
            </w:tcBorders>
          </w:tcPr>
          <w:p>
            <w:pPr>
              <w:pStyle w:val="TableParagraph"/>
              <w:spacing w:line="232" w:lineRule="auto" w:before="99"/>
              <w:ind w:left="382" w:right="74" w:hanging="183"/>
              <w:jc w:val="both"/>
              <w:rPr>
                <w:rFonts w:ascii="Arial" w:hAnsi="Arial" w:cs="Arial" w:eastAsia="Arial" w:hint="default"/>
                <w:sz w:val="18"/>
                <w:szCs w:val="18"/>
              </w:rPr>
            </w:pPr>
            <w:r>
              <w:rPr>
                <w:rFonts w:ascii="黑体" w:hAnsi="黑体" w:cs="黑体" w:eastAsia="黑体" w:hint="default"/>
                <w:spacing w:val="20"/>
                <w:sz w:val="18"/>
                <w:szCs w:val="18"/>
              </w:rPr>
              <w:t>畅捷通信息</w:t>
            </w:r>
            <w:r>
              <w:rPr>
                <w:rFonts w:ascii="黑体" w:hAnsi="黑体" w:cs="黑体" w:eastAsia="黑体" w:hint="default"/>
                <w:spacing w:val="-66"/>
                <w:sz w:val="18"/>
                <w:szCs w:val="18"/>
              </w:rPr>
              <w:t> </w:t>
            </w:r>
            <w:r>
              <w:rPr>
                <w:rFonts w:ascii="黑体" w:hAnsi="黑体" w:cs="黑体" w:eastAsia="黑体" w:hint="default"/>
                <w:spacing w:val="13"/>
                <w:sz w:val="18"/>
                <w:szCs w:val="18"/>
              </w:rPr>
              <w:t>技术</w:t>
            </w:r>
            <w:r>
              <w:rPr>
                <w:rFonts w:ascii="黑体" w:hAnsi="黑体" w:cs="黑体" w:eastAsia="黑体" w:hint="default"/>
                <w:spacing w:val="-88"/>
                <w:sz w:val="18"/>
                <w:szCs w:val="18"/>
              </w:rPr>
              <w:t> </w:t>
            </w:r>
            <w:r>
              <w:rPr>
                <w:rFonts w:ascii="黑体" w:hAnsi="黑体" w:cs="黑体" w:eastAsia="黑体" w:hint="default"/>
                <w:spacing w:val="23"/>
                <w:sz w:val="18"/>
                <w:szCs w:val="18"/>
              </w:rPr>
              <w:t>股份有限</w:t>
            </w:r>
            <w:r>
              <w:rPr>
                <w:rFonts w:ascii="黑体" w:hAnsi="黑体" w:cs="黑体" w:eastAsia="黑体" w:hint="default"/>
                <w:spacing w:val="-62"/>
                <w:sz w:val="18"/>
                <w:szCs w:val="18"/>
              </w:rPr>
              <w:t> </w:t>
            </w:r>
            <w:r>
              <w:rPr>
                <w:rFonts w:ascii="黑体" w:hAnsi="黑体" w:cs="黑体" w:eastAsia="黑体" w:hint="default"/>
                <w:spacing w:val="15"/>
                <w:sz w:val="18"/>
                <w:szCs w:val="18"/>
              </w:rPr>
              <w:t>公司</w:t>
            </w:r>
            <w:r>
              <w:rPr>
                <w:rFonts w:ascii="黑体" w:hAnsi="黑体" w:cs="黑体" w:eastAsia="黑体" w:hint="default"/>
                <w:spacing w:val="-59"/>
                <w:sz w:val="18"/>
                <w:szCs w:val="18"/>
              </w:rPr>
              <w:t> </w:t>
            </w:r>
            <w:r>
              <w:rPr>
                <w:rFonts w:ascii="Arial" w:hAnsi="Arial" w:cs="Arial" w:eastAsia="Arial" w:hint="default"/>
                <w:spacing w:val="-12"/>
                <w:sz w:val="18"/>
                <w:szCs w:val="18"/>
              </w:rPr>
              <w:t>(</w:t>
            </w:r>
            <w:r>
              <w:rPr>
                <w:rFonts w:ascii="黑体" w:hAnsi="黑体" w:cs="黑体" w:eastAsia="黑体" w:hint="default"/>
                <w:spacing w:val="-12"/>
                <w:sz w:val="18"/>
                <w:szCs w:val="18"/>
              </w:rPr>
              <w:t>以下简称“畅捷</w:t>
            </w:r>
            <w:r>
              <w:rPr>
                <w:rFonts w:ascii="黑体" w:hAnsi="黑体" w:cs="黑体" w:eastAsia="黑体" w:hint="default"/>
                <w:sz w:val="18"/>
                <w:szCs w:val="18"/>
              </w:rPr>
              <w:t> 通”</w:t>
            </w:r>
            <w:r>
              <w:rPr>
                <w:rFonts w:ascii="Arial" w:hAnsi="Arial" w:cs="Arial" w:eastAsia="Arial" w:hint="default"/>
                <w:sz w:val="18"/>
                <w:szCs w:val="18"/>
              </w:rPr>
              <w:t>)</w:t>
            </w:r>
          </w:p>
          <w:p>
            <w:pPr>
              <w:pStyle w:val="TableParagraph"/>
              <w:spacing w:line="234" w:lineRule="exact"/>
              <w:ind w:left="451" w:right="0"/>
              <w:jc w:val="left"/>
              <w:rPr>
                <w:rFonts w:ascii="Arial" w:hAnsi="Arial" w:cs="Arial" w:eastAsia="Arial" w:hint="default"/>
                <w:sz w:val="18"/>
                <w:szCs w:val="18"/>
              </w:rPr>
            </w:pPr>
            <w:r>
              <w:rPr>
                <w:rFonts w:ascii="Arial" w:hAnsi="Arial" w:cs="Arial" w:eastAsia="Arial" w:hint="default"/>
                <w:sz w:val="18"/>
                <w:szCs w:val="18"/>
              </w:rPr>
              <w:t>(</w:t>
            </w:r>
            <w:r>
              <w:rPr>
                <w:rFonts w:ascii="黑体" w:hAnsi="黑体" w:cs="黑体" w:eastAsia="黑体" w:hint="default"/>
                <w:sz w:val="18"/>
                <w:szCs w:val="18"/>
              </w:rPr>
              <w:t>注</w:t>
            </w:r>
            <w:r>
              <w:rPr>
                <w:rFonts w:ascii="黑体" w:hAnsi="黑体" w:cs="黑体" w:eastAsia="黑体" w:hint="default"/>
                <w:spacing w:val="-46"/>
                <w:sz w:val="18"/>
                <w:szCs w:val="18"/>
              </w:rPr>
              <w:t> </w:t>
            </w:r>
            <w:r>
              <w:rPr>
                <w:rFonts w:ascii="Arial" w:hAnsi="Arial" w:cs="Arial" w:eastAsia="Arial" w:hint="default"/>
                <w:sz w:val="18"/>
                <w:szCs w:val="18"/>
              </w:rPr>
              <w:t>4)</w:t>
            </w:r>
          </w:p>
        </w:tc>
        <w:tc>
          <w:tcPr>
            <w:tcW w:w="1000" w:type="dxa"/>
            <w:tcBorders>
              <w:top w:val="nil" w:sz="6" w:space="0" w:color="auto"/>
              <w:left w:val="nil" w:sz="6" w:space="0" w:color="auto"/>
              <w:bottom w:val="nil" w:sz="6" w:space="0" w:color="auto"/>
              <w:right w:val="nil" w:sz="6" w:space="0" w:color="auto"/>
            </w:tcBorders>
          </w:tcPr>
          <w:p>
            <w:pPr>
              <w:pStyle w:val="TableParagraph"/>
              <w:spacing w:line="237" w:lineRule="auto" w:before="87"/>
              <w:ind w:left="257" w:right="200" w:hanging="180"/>
              <w:jc w:val="both"/>
              <w:rPr>
                <w:rFonts w:ascii="黑体" w:hAnsi="黑体" w:cs="黑体" w:eastAsia="黑体" w:hint="default"/>
                <w:sz w:val="18"/>
                <w:szCs w:val="18"/>
              </w:rPr>
            </w:pPr>
            <w:r>
              <w:rPr>
                <w:rFonts w:ascii="黑体" w:hAnsi="黑体" w:cs="黑体" w:eastAsia="黑体" w:hint="default"/>
                <w:sz w:val="18"/>
                <w:szCs w:val="18"/>
              </w:rPr>
              <w:t>其他股份 有限公 司</w:t>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91"/>
              <w:jc w:val="right"/>
              <w:rPr>
                <w:rFonts w:ascii="黑体" w:hAnsi="黑体" w:cs="黑体" w:eastAsia="黑体" w:hint="default"/>
                <w:sz w:val="18"/>
                <w:szCs w:val="18"/>
              </w:rPr>
            </w:pPr>
            <w:r>
              <w:rPr>
                <w:rFonts w:ascii="黑体" w:hAnsi="黑体" w:cs="黑体" w:eastAsia="黑体" w:hint="default"/>
                <w:sz w:val="18"/>
                <w:szCs w:val="18"/>
              </w:rPr>
              <w:t>北京市</w:t>
            </w: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5"/>
              <w:jc w:val="right"/>
              <w:rPr>
                <w:rFonts w:ascii="黑体" w:hAnsi="黑体" w:cs="黑体" w:eastAsia="黑体" w:hint="default"/>
                <w:sz w:val="18"/>
                <w:szCs w:val="18"/>
              </w:rPr>
            </w:pPr>
            <w:r>
              <w:rPr>
                <w:rFonts w:ascii="黑体" w:hAnsi="黑体" w:cs="黑体" w:eastAsia="黑体" w:hint="default"/>
                <w:sz w:val="18"/>
                <w:szCs w:val="18"/>
              </w:rPr>
              <w:t>王文京</w:t>
            </w:r>
          </w:p>
        </w:tc>
        <w:tc>
          <w:tcPr>
            <w:tcW w:w="1187" w:type="dxa"/>
            <w:tcBorders>
              <w:top w:val="nil" w:sz="6" w:space="0" w:color="auto"/>
              <w:left w:val="nil" w:sz="6" w:space="0" w:color="auto"/>
              <w:bottom w:val="nil" w:sz="6" w:space="0" w:color="auto"/>
              <w:right w:val="nil" w:sz="6" w:space="0" w:color="auto"/>
            </w:tcBorders>
          </w:tcPr>
          <w:p>
            <w:pPr>
              <w:pStyle w:val="TableParagraph"/>
              <w:spacing w:line="225" w:lineRule="auto" w:before="105"/>
              <w:ind w:left="27" w:right="36"/>
              <w:jc w:val="left"/>
              <w:rPr>
                <w:rFonts w:ascii="黑体" w:hAnsi="黑体" w:cs="黑体" w:eastAsia="黑体" w:hint="default"/>
                <w:sz w:val="18"/>
                <w:szCs w:val="18"/>
              </w:rPr>
            </w:pPr>
            <w:r>
              <w:rPr>
                <w:rFonts w:ascii="黑体" w:hAnsi="黑体" w:cs="黑体" w:eastAsia="黑体" w:hint="default"/>
                <w:sz w:val="18"/>
                <w:szCs w:val="18"/>
              </w:rPr>
              <w:t>计算机软</w:t>
            </w:r>
            <w:r>
              <w:rPr>
                <w:rFonts w:ascii="Arial" w:hAnsi="Arial" w:cs="Arial" w:eastAsia="Arial" w:hint="default"/>
                <w:sz w:val="18"/>
                <w:szCs w:val="18"/>
              </w:rPr>
              <w:t>/</w:t>
            </w:r>
            <w:r>
              <w:rPr>
                <w:rFonts w:ascii="黑体" w:hAnsi="黑体" w:cs="黑体" w:eastAsia="黑体" w:hint="default"/>
                <w:sz w:val="18"/>
                <w:szCs w:val="18"/>
              </w:rPr>
              <w:t>硬 </w:t>
            </w:r>
            <w:r>
              <w:rPr>
                <w:rFonts w:ascii="黑体" w:hAnsi="黑体" w:cs="黑体" w:eastAsia="黑体" w:hint="default"/>
                <w:spacing w:val="-2"/>
                <w:sz w:val="18"/>
                <w:szCs w:val="18"/>
              </w:rPr>
              <w:t>件</w:t>
            </w:r>
            <w:r>
              <w:rPr>
                <w:rFonts w:ascii="Arial" w:hAnsi="Arial" w:cs="Arial" w:eastAsia="Arial" w:hint="default"/>
                <w:spacing w:val="-2"/>
                <w:sz w:val="18"/>
                <w:szCs w:val="18"/>
              </w:rPr>
              <w:t>/</w:t>
            </w:r>
            <w:r>
              <w:rPr>
                <w:rFonts w:ascii="黑体" w:hAnsi="黑体" w:cs="黑体" w:eastAsia="黑体" w:hint="default"/>
                <w:spacing w:val="-2"/>
                <w:sz w:val="18"/>
                <w:szCs w:val="18"/>
              </w:rPr>
              <w:t>耗材、电子</w:t>
            </w:r>
            <w:r>
              <w:rPr>
                <w:rFonts w:ascii="黑体" w:hAnsi="黑体" w:cs="黑体" w:eastAsia="黑体" w:hint="default"/>
                <w:spacing w:val="-86"/>
                <w:sz w:val="18"/>
                <w:szCs w:val="18"/>
              </w:rPr>
              <w:t> </w:t>
            </w:r>
            <w:r>
              <w:rPr>
                <w:rFonts w:ascii="黑体" w:hAnsi="黑体" w:cs="黑体" w:eastAsia="黑体" w:hint="default"/>
                <w:spacing w:val="-86"/>
                <w:sz w:val="18"/>
                <w:szCs w:val="18"/>
              </w:rPr>
            </w:r>
            <w:r>
              <w:rPr>
                <w:rFonts w:ascii="黑体" w:hAnsi="黑体" w:cs="黑体" w:eastAsia="黑体" w:hint="default"/>
                <w:sz w:val="18"/>
                <w:szCs w:val="18"/>
              </w:rPr>
              <w:t>行业</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4"/>
              <w:jc w:val="right"/>
              <w:rPr>
                <w:rFonts w:ascii="Arial" w:hAnsi="Arial" w:cs="Arial" w:eastAsia="Arial" w:hint="default"/>
                <w:sz w:val="18"/>
                <w:szCs w:val="18"/>
              </w:rPr>
            </w:pPr>
            <w:r>
              <w:rPr>
                <w:rFonts w:ascii="Arial"/>
                <w:spacing w:val="-1"/>
                <w:sz w:val="18"/>
              </w:rPr>
              <w:t>162,181,666</w:t>
            </w:r>
          </w:p>
        </w:tc>
        <w:tc>
          <w:tcPr>
            <w:tcW w:w="2442" w:type="dxa"/>
            <w:tcBorders>
              <w:top w:val="nil" w:sz="6" w:space="0" w:color="auto"/>
              <w:left w:val="nil" w:sz="6" w:space="0" w:color="auto"/>
              <w:bottom w:val="nil" w:sz="6" w:space="0" w:color="auto"/>
              <w:right w:val="nil" w:sz="6" w:space="0" w:color="auto"/>
            </w:tcBorders>
          </w:tcPr>
          <w:p>
            <w:pPr>
              <w:pStyle w:val="TableParagraph"/>
              <w:spacing w:line="237" w:lineRule="auto" w:before="94"/>
              <w:ind w:left="26" w:right="73"/>
              <w:jc w:val="left"/>
              <w:rPr>
                <w:rFonts w:ascii="黑体" w:hAnsi="黑体" w:cs="黑体" w:eastAsia="黑体" w:hint="default"/>
                <w:sz w:val="18"/>
                <w:szCs w:val="18"/>
              </w:rPr>
            </w:pPr>
            <w:r>
              <w:rPr>
                <w:rFonts w:ascii="黑体" w:hAnsi="黑体" w:cs="黑体" w:eastAsia="黑体" w:hint="default"/>
                <w:spacing w:val="-7"/>
                <w:sz w:val="18"/>
                <w:szCs w:val="18"/>
              </w:rPr>
              <w:t>电子计算机软件、硬件及外部</w:t>
            </w:r>
            <w:r>
              <w:rPr>
                <w:rFonts w:ascii="黑体" w:hAnsi="黑体" w:cs="黑体" w:eastAsia="黑体" w:hint="default"/>
                <w:spacing w:val="-86"/>
                <w:sz w:val="18"/>
                <w:szCs w:val="18"/>
              </w:rPr>
              <w:t> </w:t>
            </w:r>
            <w:r>
              <w:rPr>
                <w:rFonts w:ascii="黑体" w:hAnsi="黑体" w:cs="黑体" w:eastAsia="黑体" w:hint="default"/>
                <w:spacing w:val="-86"/>
                <w:sz w:val="18"/>
                <w:szCs w:val="18"/>
              </w:rPr>
            </w:r>
            <w:r>
              <w:rPr>
                <w:rFonts w:ascii="黑体" w:hAnsi="黑体" w:cs="黑体" w:eastAsia="黑体" w:hint="default"/>
                <w:sz w:val="18"/>
                <w:szCs w:val="18"/>
              </w:rPr>
              <w:t>设备的技术开发、技术咨询、 </w:t>
            </w:r>
            <w:r>
              <w:rPr>
                <w:rFonts w:ascii="黑体" w:hAnsi="黑体" w:cs="黑体" w:eastAsia="黑体" w:hint="default"/>
                <w:spacing w:val="-7"/>
                <w:sz w:val="18"/>
                <w:szCs w:val="18"/>
              </w:rPr>
              <w:t>技术转让、技术服务、技术培</w:t>
            </w:r>
            <w:r>
              <w:rPr>
                <w:rFonts w:ascii="黑体" w:hAnsi="黑体" w:cs="黑体" w:eastAsia="黑体" w:hint="default"/>
                <w:spacing w:val="-87"/>
                <w:sz w:val="18"/>
                <w:szCs w:val="18"/>
              </w:rPr>
              <w:t> </w:t>
            </w:r>
            <w:r>
              <w:rPr>
                <w:rFonts w:ascii="黑体" w:hAnsi="黑体" w:cs="黑体" w:eastAsia="黑体" w:hint="default"/>
                <w:spacing w:val="-87"/>
                <w:sz w:val="18"/>
                <w:szCs w:val="18"/>
              </w:rPr>
            </w:r>
            <w:r>
              <w:rPr>
                <w:rFonts w:ascii="黑体" w:hAnsi="黑体" w:cs="黑体" w:eastAsia="黑体" w:hint="default"/>
                <w:spacing w:val="8"/>
                <w:sz w:val="18"/>
                <w:szCs w:val="18"/>
              </w:rPr>
              <w:t>训；销售打印纸和计算机耗</w:t>
            </w:r>
            <w:r>
              <w:rPr>
                <w:rFonts w:ascii="黑体" w:hAnsi="黑体" w:cs="黑体" w:eastAsia="黑体" w:hint="default"/>
                <w:spacing w:val="-87"/>
                <w:sz w:val="18"/>
                <w:szCs w:val="18"/>
              </w:rPr>
              <w:t> </w:t>
            </w:r>
            <w:r>
              <w:rPr>
                <w:rFonts w:ascii="黑体" w:hAnsi="黑体" w:cs="黑体" w:eastAsia="黑体" w:hint="default"/>
                <w:spacing w:val="-87"/>
                <w:sz w:val="18"/>
                <w:szCs w:val="18"/>
              </w:rPr>
            </w:r>
            <w:r>
              <w:rPr>
                <w:rFonts w:ascii="黑体" w:hAnsi="黑体" w:cs="黑体" w:eastAsia="黑体" w:hint="default"/>
                <w:spacing w:val="-7"/>
                <w:sz w:val="18"/>
                <w:szCs w:val="18"/>
              </w:rPr>
              <w:t>材、电子计算机软硬件及外部</w:t>
            </w:r>
            <w:r>
              <w:rPr>
                <w:rFonts w:ascii="黑体" w:hAnsi="黑体" w:cs="黑体" w:eastAsia="黑体" w:hint="default"/>
                <w:spacing w:val="-86"/>
                <w:sz w:val="18"/>
                <w:szCs w:val="18"/>
              </w:rPr>
              <w:t> </w:t>
            </w:r>
            <w:r>
              <w:rPr>
                <w:rFonts w:ascii="黑体" w:hAnsi="黑体" w:cs="黑体" w:eastAsia="黑体" w:hint="default"/>
                <w:spacing w:val="-86"/>
                <w:sz w:val="18"/>
                <w:szCs w:val="18"/>
              </w:rPr>
            </w:r>
            <w:r>
              <w:rPr>
                <w:rFonts w:ascii="黑体" w:hAnsi="黑体" w:cs="黑体" w:eastAsia="黑体" w:hint="default"/>
                <w:sz w:val="18"/>
                <w:szCs w:val="18"/>
              </w:rPr>
              <w:t>设备；数据库服务。</w:t>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74"/>
              <w:jc w:val="right"/>
              <w:rPr>
                <w:rFonts w:ascii="Arial" w:hAnsi="Arial" w:cs="Arial" w:eastAsia="Arial" w:hint="default"/>
                <w:sz w:val="18"/>
                <w:szCs w:val="18"/>
              </w:rPr>
            </w:pPr>
            <w:r>
              <w:rPr>
                <w:rFonts w:ascii="Arial"/>
                <w:spacing w:val="-1"/>
                <w:sz w:val="18"/>
              </w:rPr>
              <w:t>55314102-2</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56"/>
              <w:jc w:val="right"/>
              <w:rPr>
                <w:rFonts w:ascii="Arial" w:hAnsi="Arial" w:cs="Arial" w:eastAsia="Arial" w:hint="default"/>
                <w:sz w:val="18"/>
                <w:szCs w:val="18"/>
              </w:rPr>
            </w:pPr>
            <w:r>
              <w:rPr>
                <w:rFonts w:ascii="Arial"/>
                <w:spacing w:val="-1"/>
                <w:sz w:val="18"/>
              </w:rPr>
              <w:t>220,563,136</w:t>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63"/>
              <w:jc w:val="right"/>
              <w:rPr>
                <w:rFonts w:ascii="Arial" w:hAnsi="Arial" w:cs="Arial" w:eastAsia="Arial" w:hint="default"/>
                <w:sz w:val="18"/>
                <w:szCs w:val="18"/>
              </w:rPr>
            </w:pPr>
            <w:r>
              <w:rPr>
                <w:rFonts w:ascii="Arial"/>
                <w:w w:val="95"/>
                <w:sz w:val="18"/>
              </w:rPr>
              <w:t>92.73</w:t>
            </w:r>
            <w:r>
              <w:rPr>
                <w:rFonts w:ascii="Arial"/>
                <w:sz w:val="18"/>
              </w:rPr>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21"/>
              <w:jc w:val="right"/>
              <w:rPr>
                <w:rFonts w:ascii="Arial" w:hAnsi="Arial" w:cs="Arial" w:eastAsia="Arial" w:hint="default"/>
                <w:sz w:val="18"/>
                <w:szCs w:val="18"/>
              </w:rPr>
            </w:pPr>
            <w:r>
              <w:rPr>
                <w:rFonts w:ascii="Arial"/>
                <w:w w:val="95"/>
                <w:sz w:val="18"/>
              </w:rPr>
              <w:t>92.73</w:t>
            </w:r>
            <w:r>
              <w:rPr>
                <w:rFonts w:ascii="Arial"/>
                <w:sz w:val="18"/>
              </w:rPr>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48"/>
              <w:jc w:val="right"/>
              <w:rPr>
                <w:rFonts w:ascii="黑体" w:hAnsi="黑体" w:cs="黑体" w:eastAsia="黑体" w:hint="default"/>
                <w:sz w:val="18"/>
                <w:szCs w:val="18"/>
              </w:rPr>
            </w:pPr>
            <w:r>
              <w:rPr>
                <w:rFonts w:ascii="黑体" w:hAnsi="黑体" w:cs="黑体" w:eastAsia="黑体" w:hint="default"/>
                <w:sz w:val="18"/>
                <w:szCs w:val="18"/>
              </w:rPr>
              <w:t>是</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98"/>
              <w:jc w:val="right"/>
              <w:rPr>
                <w:rFonts w:ascii="Arial" w:hAnsi="Arial" w:cs="Arial" w:eastAsia="Arial" w:hint="default"/>
                <w:sz w:val="18"/>
                <w:szCs w:val="18"/>
              </w:rPr>
            </w:pPr>
            <w:r>
              <w:rPr>
                <w:rFonts w:ascii="Arial"/>
                <w:spacing w:val="-1"/>
                <w:sz w:val="18"/>
              </w:rPr>
              <w:t>37,000,586</w:t>
            </w:r>
          </w:p>
        </w:tc>
      </w:tr>
      <w:tr>
        <w:trPr>
          <w:trHeight w:val="1275" w:hRule="exact"/>
        </w:trPr>
        <w:tc>
          <w:tcPr>
            <w:tcW w:w="1724" w:type="dxa"/>
            <w:tcBorders>
              <w:top w:val="nil" w:sz="6" w:space="0" w:color="auto"/>
              <w:left w:val="nil" w:sz="6" w:space="0" w:color="auto"/>
              <w:bottom w:val="nil" w:sz="6" w:space="0" w:color="auto"/>
              <w:right w:val="nil" w:sz="6" w:space="0" w:color="auto"/>
            </w:tcBorders>
          </w:tcPr>
          <w:p>
            <w:pPr>
              <w:pStyle w:val="TableParagraph"/>
              <w:spacing w:line="210" w:lineRule="exact"/>
              <w:ind w:left="497" w:right="0" w:hanging="284"/>
              <w:jc w:val="left"/>
              <w:rPr>
                <w:rFonts w:ascii="黑体" w:hAnsi="黑体" w:cs="黑体" w:eastAsia="黑体" w:hint="default"/>
                <w:sz w:val="18"/>
                <w:szCs w:val="18"/>
              </w:rPr>
            </w:pPr>
            <w:r>
              <w:rPr>
                <w:rFonts w:ascii="黑体" w:hAnsi="黑体" w:cs="黑体" w:eastAsia="黑体" w:hint="default"/>
                <w:spacing w:val="13"/>
                <w:sz w:val="18"/>
                <w:szCs w:val="18"/>
              </w:rPr>
              <w:t>用友长伴管理咨</w:t>
            </w:r>
            <w:r>
              <w:rPr>
                <w:rFonts w:ascii="黑体" w:hAnsi="黑体" w:cs="黑体" w:eastAsia="黑体" w:hint="default"/>
                <w:spacing w:val="-74"/>
                <w:sz w:val="18"/>
                <w:szCs w:val="18"/>
              </w:rPr>
              <w:t> </w:t>
            </w:r>
            <w:r>
              <w:rPr>
                <w:rFonts w:ascii="黑体" w:hAnsi="黑体" w:cs="黑体" w:eastAsia="黑体" w:hint="default"/>
                <w:sz w:val="18"/>
                <w:szCs w:val="18"/>
              </w:rPr>
            </w:r>
          </w:p>
          <w:p>
            <w:pPr>
              <w:pStyle w:val="TableParagraph"/>
              <w:spacing w:line="230" w:lineRule="auto" w:before="7"/>
              <w:ind w:left="497" w:right="108"/>
              <w:jc w:val="both"/>
              <w:rPr>
                <w:rFonts w:ascii="Arial" w:hAnsi="Arial" w:cs="Arial" w:eastAsia="Arial" w:hint="default"/>
                <w:sz w:val="18"/>
                <w:szCs w:val="18"/>
              </w:rPr>
            </w:pPr>
            <w:r>
              <w:rPr>
                <w:rFonts w:ascii="黑体" w:hAnsi="黑体" w:cs="黑体" w:eastAsia="黑体" w:hint="default"/>
                <w:spacing w:val="9"/>
                <w:sz w:val="18"/>
                <w:szCs w:val="18"/>
              </w:rPr>
              <w:t>询</w:t>
            </w:r>
            <w:r>
              <w:rPr>
                <w:rFonts w:ascii="Arial" w:hAnsi="Arial" w:cs="Arial" w:eastAsia="Arial" w:hint="default"/>
                <w:spacing w:val="9"/>
                <w:sz w:val="18"/>
                <w:szCs w:val="18"/>
              </w:rPr>
              <w:t>(</w:t>
            </w:r>
            <w:r>
              <w:rPr>
                <w:rFonts w:ascii="黑体" w:hAnsi="黑体" w:cs="黑体" w:eastAsia="黑体" w:hint="default"/>
                <w:spacing w:val="9"/>
                <w:sz w:val="18"/>
                <w:szCs w:val="18"/>
              </w:rPr>
              <w:t>上海</w:t>
            </w:r>
            <w:r>
              <w:rPr>
                <w:rFonts w:ascii="Arial" w:hAnsi="Arial" w:cs="Arial" w:eastAsia="Arial" w:hint="default"/>
                <w:spacing w:val="9"/>
                <w:sz w:val="18"/>
                <w:szCs w:val="18"/>
              </w:rPr>
              <w:t>)</w:t>
            </w:r>
            <w:r>
              <w:rPr>
                <w:rFonts w:ascii="黑体" w:hAnsi="黑体" w:cs="黑体" w:eastAsia="黑体" w:hint="default"/>
                <w:spacing w:val="9"/>
                <w:sz w:val="18"/>
                <w:szCs w:val="18"/>
              </w:rPr>
              <w:t>有限 </w:t>
            </w:r>
            <w:r>
              <w:rPr>
                <w:rFonts w:ascii="黑体" w:hAnsi="黑体" w:cs="黑体" w:eastAsia="黑体" w:hint="default"/>
                <w:spacing w:val="11"/>
                <w:sz w:val="18"/>
                <w:szCs w:val="18"/>
              </w:rPr>
              <w:t>公司</w:t>
            </w:r>
            <w:r>
              <w:rPr>
                <w:rFonts w:ascii="黑体" w:hAnsi="黑体" w:cs="黑体" w:eastAsia="黑体" w:hint="default"/>
                <w:spacing w:val="-67"/>
                <w:sz w:val="18"/>
                <w:szCs w:val="18"/>
              </w:rPr>
              <w:t> </w:t>
            </w:r>
            <w:r>
              <w:rPr>
                <w:rFonts w:ascii="Arial" w:hAnsi="Arial" w:cs="Arial" w:eastAsia="Arial" w:hint="default"/>
                <w:sz w:val="18"/>
                <w:szCs w:val="18"/>
              </w:rPr>
              <w:t>(</w:t>
            </w:r>
            <w:r>
              <w:rPr>
                <w:rFonts w:ascii="Arial" w:hAnsi="Arial" w:cs="Arial" w:eastAsia="Arial" w:hint="default"/>
                <w:spacing w:val="-29"/>
                <w:sz w:val="18"/>
                <w:szCs w:val="18"/>
              </w:rPr>
              <w:t> </w:t>
            </w:r>
            <w:r>
              <w:rPr>
                <w:rFonts w:ascii="黑体" w:hAnsi="黑体" w:cs="黑体" w:eastAsia="黑体" w:hint="default"/>
                <w:spacing w:val="15"/>
                <w:sz w:val="18"/>
                <w:szCs w:val="18"/>
              </w:rPr>
              <w:t>以下简</w:t>
            </w:r>
            <w:r>
              <w:rPr>
                <w:rFonts w:ascii="黑体" w:hAnsi="黑体" w:cs="黑体" w:eastAsia="黑体" w:hint="default"/>
                <w:spacing w:val="-67"/>
                <w:sz w:val="18"/>
                <w:szCs w:val="18"/>
              </w:rPr>
              <w:t> </w:t>
            </w:r>
            <w:r>
              <w:rPr>
                <w:rFonts w:ascii="黑体" w:hAnsi="黑体" w:cs="黑体" w:eastAsia="黑体" w:hint="default"/>
                <w:spacing w:val="34"/>
                <w:sz w:val="18"/>
                <w:szCs w:val="18"/>
              </w:rPr>
              <w:t>称“长伴咨</w:t>
            </w:r>
            <w:r>
              <w:rPr>
                <w:rFonts w:ascii="黑体" w:hAnsi="黑体" w:cs="黑体" w:eastAsia="黑体" w:hint="default"/>
                <w:spacing w:val="-47"/>
                <w:sz w:val="18"/>
                <w:szCs w:val="18"/>
              </w:rPr>
              <w:t> </w:t>
            </w:r>
            <w:r>
              <w:rPr>
                <w:rFonts w:ascii="黑体" w:hAnsi="黑体" w:cs="黑体" w:eastAsia="黑体" w:hint="default"/>
                <w:sz w:val="18"/>
                <w:szCs w:val="18"/>
              </w:rPr>
              <w:t>询”</w:t>
            </w:r>
            <w:r>
              <w:rPr>
                <w:rFonts w:ascii="Arial" w:hAnsi="Arial" w:cs="Arial" w:eastAsia="Arial" w:hint="default"/>
                <w:sz w:val="18"/>
                <w:szCs w:val="18"/>
              </w:rPr>
              <w:t>)</w:t>
            </w:r>
          </w:p>
        </w:tc>
        <w:tc>
          <w:tcPr>
            <w:tcW w:w="1000" w:type="dxa"/>
            <w:tcBorders>
              <w:top w:val="nil" w:sz="6" w:space="0" w:color="auto"/>
              <w:left w:val="nil" w:sz="6" w:space="0" w:color="auto"/>
              <w:bottom w:val="nil" w:sz="6" w:space="0" w:color="auto"/>
              <w:right w:val="nil" w:sz="6" w:space="0" w:color="auto"/>
            </w:tcBorders>
          </w:tcPr>
          <w:p>
            <w:pPr>
              <w:pStyle w:val="TableParagraph"/>
              <w:spacing w:line="203" w:lineRule="exact"/>
              <w:ind w:left="256" w:right="0" w:hanging="180"/>
              <w:jc w:val="left"/>
              <w:rPr>
                <w:rFonts w:ascii="黑体" w:hAnsi="黑体" w:cs="黑体" w:eastAsia="黑体" w:hint="default"/>
                <w:sz w:val="18"/>
                <w:szCs w:val="18"/>
              </w:rPr>
            </w:pPr>
            <w:r>
              <w:rPr>
                <w:rFonts w:ascii="黑体" w:hAnsi="黑体" w:cs="黑体" w:eastAsia="黑体" w:hint="default"/>
                <w:sz w:val="18"/>
                <w:szCs w:val="18"/>
              </w:rPr>
              <w:t>一人有限</w:t>
            </w:r>
          </w:p>
          <w:p>
            <w:pPr>
              <w:pStyle w:val="TableParagraph"/>
              <w:spacing w:line="232" w:lineRule="auto" w:before="5"/>
              <w:ind w:left="256" w:right="140"/>
              <w:jc w:val="both"/>
              <w:rPr>
                <w:rFonts w:ascii="Arial" w:hAnsi="Arial" w:cs="Arial" w:eastAsia="Arial" w:hint="default"/>
                <w:sz w:val="18"/>
                <w:szCs w:val="18"/>
              </w:rPr>
            </w:pPr>
            <w:r>
              <w:rPr>
                <w:rFonts w:ascii="黑体" w:hAnsi="黑体" w:cs="黑体" w:eastAsia="黑体" w:hint="default"/>
                <w:sz w:val="18"/>
                <w:szCs w:val="18"/>
              </w:rPr>
              <w:t>责任公 司</w:t>
            </w:r>
            <w:r>
              <w:rPr>
                <w:rFonts w:ascii="Arial" w:hAnsi="Arial" w:cs="Arial" w:eastAsia="Arial" w:hint="default"/>
                <w:sz w:val="18"/>
                <w:szCs w:val="18"/>
              </w:rPr>
              <w:t>(</w:t>
            </w:r>
            <w:r>
              <w:rPr>
                <w:rFonts w:ascii="黑体" w:hAnsi="黑体" w:cs="黑体" w:eastAsia="黑体" w:hint="default"/>
                <w:sz w:val="18"/>
                <w:szCs w:val="18"/>
              </w:rPr>
              <w:t>法人 独资</w:t>
            </w:r>
            <w:r>
              <w:rPr>
                <w:rFonts w:ascii="Arial" w:hAnsi="Arial" w:cs="Arial" w:eastAsia="Arial" w:hint="default"/>
                <w:sz w:val="18"/>
                <w:szCs w:val="18"/>
              </w:rPr>
              <w:t>)</w:t>
            </w:r>
          </w:p>
        </w:tc>
        <w:tc>
          <w:tcPr>
            <w:tcW w:w="776" w:type="dxa"/>
            <w:tcBorders>
              <w:top w:val="nil" w:sz="6" w:space="0" w:color="auto"/>
              <w:left w:val="nil" w:sz="6" w:space="0" w:color="auto"/>
              <w:bottom w:val="nil" w:sz="6" w:space="0" w:color="auto"/>
              <w:right w:val="nil" w:sz="6" w:space="0" w:color="auto"/>
            </w:tcBorders>
          </w:tcPr>
          <w:p>
            <w:pPr>
              <w:pStyle w:val="TableParagraph"/>
              <w:spacing w:line="211" w:lineRule="exact"/>
              <w:ind w:right="91"/>
              <w:jc w:val="right"/>
              <w:rPr>
                <w:rFonts w:ascii="黑体" w:hAnsi="黑体" w:cs="黑体" w:eastAsia="黑体" w:hint="default"/>
                <w:sz w:val="18"/>
                <w:szCs w:val="18"/>
              </w:rPr>
            </w:pPr>
            <w:r>
              <w:rPr>
                <w:rFonts w:ascii="黑体" w:hAnsi="黑体" w:cs="黑体" w:eastAsia="黑体" w:hint="default"/>
                <w:sz w:val="18"/>
                <w:szCs w:val="18"/>
              </w:rPr>
              <w:t>上海市</w:t>
            </w:r>
          </w:p>
        </w:tc>
        <w:tc>
          <w:tcPr>
            <w:tcW w:w="661" w:type="dxa"/>
            <w:tcBorders>
              <w:top w:val="nil" w:sz="6" w:space="0" w:color="auto"/>
              <w:left w:val="nil" w:sz="6" w:space="0" w:color="auto"/>
              <w:bottom w:val="nil" w:sz="6" w:space="0" w:color="auto"/>
              <w:right w:val="nil" w:sz="6" w:space="0" w:color="auto"/>
            </w:tcBorders>
          </w:tcPr>
          <w:p>
            <w:pPr>
              <w:pStyle w:val="TableParagraph"/>
              <w:spacing w:line="211" w:lineRule="exact"/>
              <w:ind w:right="25"/>
              <w:jc w:val="right"/>
              <w:rPr>
                <w:rFonts w:ascii="黑体" w:hAnsi="黑体" w:cs="黑体" w:eastAsia="黑体" w:hint="default"/>
                <w:sz w:val="18"/>
                <w:szCs w:val="18"/>
              </w:rPr>
            </w:pPr>
            <w:r>
              <w:rPr>
                <w:rFonts w:ascii="黑体" w:hAnsi="黑体" w:cs="黑体" w:eastAsia="黑体" w:hint="default"/>
                <w:sz w:val="18"/>
                <w:szCs w:val="18"/>
              </w:rPr>
              <w:t>王文京</w:t>
            </w:r>
          </w:p>
        </w:tc>
        <w:tc>
          <w:tcPr>
            <w:tcW w:w="1187" w:type="dxa"/>
            <w:tcBorders>
              <w:top w:val="nil" w:sz="6" w:space="0" w:color="auto"/>
              <w:left w:val="nil" w:sz="6" w:space="0" w:color="auto"/>
              <w:bottom w:val="nil" w:sz="6" w:space="0" w:color="auto"/>
              <w:right w:val="nil" w:sz="6" w:space="0" w:color="auto"/>
            </w:tcBorders>
          </w:tcPr>
          <w:p>
            <w:pPr>
              <w:pStyle w:val="TableParagraph"/>
              <w:spacing w:line="210" w:lineRule="exact"/>
              <w:ind w:left="27" w:right="0"/>
              <w:jc w:val="left"/>
              <w:rPr>
                <w:rFonts w:ascii="黑体" w:hAnsi="黑体" w:cs="黑体" w:eastAsia="黑体" w:hint="default"/>
                <w:sz w:val="18"/>
                <w:szCs w:val="18"/>
              </w:rPr>
            </w:pPr>
            <w:r>
              <w:rPr>
                <w:rFonts w:ascii="黑体" w:hAnsi="黑体" w:cs="黑体" w:eastAsia="黑体" w:hint="default"/>
                <w:sz w:val="18"/>
                <w:szCs w:val="18"/>
              </w:rPr>
              <w:t>企业管理咨询</w:t>
            </w:r>
          </w:p>
          <w:p>
            <w:pPr>
              <w:pStyle w:val="TableParagraph"/>
              <w:spacing w:line="232" w:lineRule="auto" w:before="5"/>
              <w:ind w:left="27" w:right="77"/>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计算机应用 系统的规划、 集成和开发</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5"/>
              <w:jc w:val="right"/>
              <w:rPr>
                <w:rFonts w:ascii="Arial" w:hAnsi="Arial" w:cs="Arial" w:eastAsia="Arial" w:hint="default"/>
                <w:sz w:val="18"/>
                <w:szCs w:val="18"/>
              </w:rPr>
            </w:pPr>
            <w:r>
              <w:rPr>
                <w:rFonts w:ascii="Arial"/>
                <w:spacing w:val="-1"/>
                <w:sz w:val="18"/>
              </w:rPr>
              <w:t>30,000,000</w:t>
            </w:r>
          </w:p>
        </w:tc>
        <w:tc>
          <w:tcPr>
            <w:tcW w:w="2442" w:type="dxa"/>
            <w:tcBorders>
              <w:top w:val="nil" w:sz="6" w:space="0" w:color="auto"/>
              <w:left w:val="nil" w:sz="6" w:space="0" w:color="auto"/>
              <w:bottom w:val="nil" w:sz="6" w:space="0" w:color="auto"/>
              <w:right w:val="nil" w:sz="6" w:space="0" w:color="auto"/>
            </w:tcBorders>
          </w:tcPr>
          <w:p>
            <w:pPr>
              <w:pStyle w:val="TableParagraph"/>
              <w:spacing w:line="210" w:lineRule="exact"/>
              <w:ind w:left="26" w:right="0"/>
              <w:jc w:val="both"/>
              <w:rPr>
                <w:rFonts w:ascii="黑体" w:hAnsi="黑体" w:cs="黑体" w:eastAsia="黑体" w:hint="default"/>
                <w:sz w:val="18"/>
                <w:szCs w:val="18"/>
              </w:rPr>
            </w:pPr>
            <w:r>
              <w:rPr>
                <w:rFonts w:ascii="黑体" w:hAnsi="黑体" w:cs="黑体" w:eastAsia="黑体" w:hint="default"/>
                <w:sz w:val="18"/>
                <w:szCs w:val="18"/>
              </w:rPr>
              <w:t>企业管理服务</w:t>
            </w:r>
            <w:r>
              <w:rPr>
                <w:rFonts w:ascii="黑体" w:hAnsi="黑体" w:cs="黑体" w:eastAsia="黑体" w:hint="default"/>
                <w:spacing w:val="-87"/>
                <w:sz w:val="18"/>
                <w:szCs w:val="18"/>
              </w:rPr>
              <w:t>，</w:t>
            </w:r>
            <w:r>
              <w:rPr>
                <w:rFonts w:ascii="黑体" w:hAnsi="黑体" w:cs="黑体" w:eastAsia="黑体" w:hint="default"/>
                <w:sz w:val="18"/>
                <w:szCs w:val="18"/>
              </w:rPr>
              <w:t>计算机应用系</w:t>
            </w:r>
          </w:p>
          <w:p>
            <w:pPr>
              <w:pStyle w:val="TableParagraph"/>
              <w:spacing w:line="237" w:lineRule="auto"/>
              <w:ind w:left="26" w:right="66"/>
              <w:jc w:val="both"/>
              <w:rPr>
                <w:rFonts w:ascii="黑体" w:hAnsi="黑体" w:cs="黑体" w:eastAsia="黑体" w:hint="default"/>
                <w:sz w:val="18"/>
                <w:szCs w:val="18"/>
              </w:rPr>
            </w:pPr>
            <w:r>
              <w:rPr>
                <w:rFonts w:ascii="黑体" w:hAnsi="黑体" w:cs="黑体" w:eastAsia="黑体" w:hint="default"/>
                <w:spacing w:val="-7"/>
                <w:sz w:val="18"/>
                <w:szCs w:val="18"/>
              </w:rPr>
              <w:t>统的规划、集成和开发、相关</w:t>
            </w:r>
            <w:r>
              <w:rPr>
                <w:rFonts w:ascii="黑体" w:hAnsi="黑体" w:cs="黑体" w:eastAsia="黑体" w:hint="default"/>
                <w:spacing w:val="-87"/>
                <w:sz w:val="18"/>
                <w:szCs w:val="18"/>
              </w:rPr>
              <w:t> </w:t>
            </w:r>
            <w:r>
              <w:rPr>
                <w:rFonts w:ascii="黑体" w:hAnsi="黑体" w:cs="黑体" w:eastAsia="黑体" w:hint="default"/>
                <w:spacing w:val="-87"/>
                <w:sz w:val="18"/>
                <w:szCs w:val="18"/>
              </w:rPr>
            </w:r>
            <w:r>
              <w:rPr>
                <w:rFonts w:ascii="黑体" w:hAnsi="黑体" w:cs="黑体" w:eastAsia="黑体" w:hint="default"/>
                <w:spacing w:val="8"/>
                <w:sz w:val="18"/>
                <w:szCs w:val="18"/>
              </w:rPr>
              <w:t>技术支持服务，商务信息咨</w:t>
            </w:r>
            <w:r>
              <w:rPr>
                <w:rFonts w:ascii="黑体" w:hAnsi="黑体" w:cs="黑体" w:eastAsia="黑体" w:hint="default"/>
                <w:spacing w:val="-87"/>
                <w:sz w:val="18"/>
                <w:szCs w:val="18"/>
              </w:rPr>
              <w:t> </w:t>
            </w:r>
            <w:r>
              <w:rPr>
                <w:rFonts w:ascii="黑体" w:hAnsi="黑体" w:cs="黑体" w:eastAsia="黑体" w:hint="default"/>
                <w:spacing w:val="-87"/>
                <w:sz w:val="18"/>
                <w:szCs w:val="18"/>
              </w:rPr>
            </w:r>
            <w:r>
              <w:rPr>
                <w:rFonts w:ascii="黑体" w:hAnsi="黑体" w:cs="黑体" w:eastAsia="黑体" w:hint="default"/>
                <w:spacing w:val="-13"/>
                <w:sz w:val="18"/>
                <w:szCs w:val="18"/>
              </w:rPr>
              <w:t>询，财务咨询（除代理记账）。</w:t>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74"/>
              <w:jc w:val="right"/>
              <w:rPr>
                <w:rFonts w:ascii="Arial" w:hAnsi="Arial" w:cs="Arial" w:eastAsia="Arial" w:hint="default"/>
                <w:sz w:val="18"/>
                <w:szCs w:val="18"/>
              </w:rPr>
            </w:pPr>
            <w:r>
              <w:rPr>
                <w:rFonts w:ascii="Arial"/>
                <w:spacing w:val="-1"/>
                <w:sz w:val="18"/>
              </w:rPr>
              <w:t>56314333-9</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57"/>
              <w:jc w:val="right"/>
              <w:rPr>
                <w:rFonts w:ascii="Arial" w:hAnsi="Arial" w:cs="Arial" w:eastAsia="Arial" w:hint="default"/>
                <w:sz w:val="18"/>
                <w:szCs w:val="18"/>
              </w:rPr>
            </w:pPr>
            <w:r>
              <w:rPr>
                <w:rFonts w:ascii="Arial"/>
                <w:spacing w:val="-1"/>
                <w:sz w:val="18"/>
              </w:rPr>
              <w:t>30,000,000</w:t>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63"/>
              <w:jc w:val="right"/>
              <w:rPr>
                <w:rFonts w:ascii="Arial" w:hAnsi="Arial" w:cs="Arial" w:eastAsia="Arial" w:hint="default"/>
                <w:sz w:val="18"/>
                <w:szCs w:val="18"/>
              </w:rPr>
            </w:pPr>
            <w:r>
              <w:rPr>
                <w:rFonts w:ascii="Arial"/>
                <w:w w:val="95"/>
                <w:sz w:val="18"/>
              </w:rPr>
              <w:t>100</w:t>
            </w:r>
            <w:r>
              <w:rPr>
                <w:rFonts w:ascii="Arial"/>
                <w:sz w:val="18"/>
              </w:rPr>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21"/>
              <w:jc w:val="right"/>
              <w:rPr>
                <w:rFonts w:ascii="Arial" w:hAnsi="Arial" w:cs="Arial" w:eastAsia="Arial" w:hint="default"/>
                <w:sz w:val="18"/>
                <w:szCs w:val="18"/>
              </w:rPr>
            </w:pPr>
            <w:r>
              <w:rPr>
                <w:rFonts w:ascii="Arial"/>
                <w:w w:val="95"/>
                <w:sz w:val="18"/>
              </w:rPr>
              <w:t>100</w:t>
            </w:r>
            <w:r>
              <w:rPr>
                <w:rFonts w:ascii="Arial"/>
                <w:sz w:val="18"/>
              </w:rPr>
            </w:r>
          </w:p>
        </w:tc>
        <w:tc>
          <w:tcPr>
            <w:tcW w:w="1193" w:type="dxa"/>
            <w:tcBorders>
              <w:top w:val="nil" w:sz="6" w:space="0" w:color="auto"/>
              <w:left w:val="nil" w:sz="6" w:space="0" w:color="auto"/>
              <w:bottom w:val="nil" w:sz="6" w:space="0" w:color="auto"/>
              <w:right w:val="nil" w:sz="6" w:space="0" w:color="auto"/>
            </w:tcBorders>
          </w:tcPr>
          <w:p>
            <w:pPr>
              <w:pStyle w:val="TableParagraph"/>
              <w:spacing w:line="211" w:lineRule="exact"/>
              <w:ind w:right="248"/>
              <w:jc w:val="right"/>
              <w:rPr>
                <w:rFonts w:ascii="黑体" w:hAnsi="黑体" w:cs="黑体" w:eastAsia="黑体" w:hint="default"/>
                <w:sz w:val="18"/>
                <w:szCs w:val="18"/>
              </w:rPr>
            </w:pPr>
            <w:r>
              <w:rPr>
                <w:rFonts w:ascii="黑体" w:hAnsi="黑体" w:cs="黑体" w:eastAsia="黑体" w:hint="default"/>
                <w:sz w:val="18"/>
                <w:szCs w:val="18"/>
              </w:rPr>
              <w:t>是</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99"/>
              <w:jc w:val="right"/>
              <w:rPr>
                <w:rFonts w:ascii="Arial" w:hAnsi="Arial" w:cs="Arial" w:eastAsia="Arial" w:hint="default"/>
                <w:sz w:val="18"/>
                <w:szCs w:val="18"/>
              </w:rPr>
            </w:pPr>
            <w:r>
              <w:rPr>
                <w:rFonts w:ascii="Arial"/>
                <w:w w:val="99"/>
                <w:sz w:val="18"/>
              </w:rPr>
              <w:t>-</w:t>
            </w:r>
            <w:r>
              <w:rPr>
                <w:rFonts w:ascii="Arial"/>
                <w:sz w:val="18"/>
              </w:rPr>
            </w:r>
          </w:p>
        </w:tc>
      </w:tr>
      <w:tr>
        <w:trPr>
          <w:trHeight w:val="786" w:hRule="exact"/>
        </w:trPr>
        <w:tc>
          <w:tcPr>
            <w:tcW w:w="1724" w:type="dxa"/>
            <w:tcBorders>
              <w:top w:val="nil" w:sz="6" w:space="0" w:color="auto"/>
              <w:left w:val="nil" w:sz="6" w:space="0" w:color="auto"/>
              <w:bottom w:val="nil" w:sz="6" w:space="0" w:color="auto"/>
              <w:right w:val="nil" w:sz="6" w:space="0" w:color="auto"/>
            </w:tcBorders>
          </w:tcPr>
          <w:p>
            <w:pPr>
              <w:pStyle w:val="TableParagraph"/>
              <w:spacing w:line="232" w:lineRule="auto" w:before="79"/>
              <w:ind w:left="382" w:right="110" w:hanging="183"/>
              <w:jc w:val="both"/>
              <w:rPr>
                <w:rFonts w:ascii="Arial" w:hAnsi="Arial" w:cs="Arial" w:eastAsia="Arial" w:hint="default"/>
                <w:sz w:val="18"/>
                <w:szCs w:val="18"/>
              </w:rPr>
            </w:pPr>
            <w:r>
              <w:rPr>
                <w:rFonts w:ascii="黑体" w:hAnsi="黑体" w:cs="黑体" w:eastAsia="黑体" w:hint="default"/>
                <w:spacing w:val="18"/>
                <w:sz w:val="18"/>
                <w:szCs w:val="18"/>
              </w:rPr>
              <w:t>用友新道科技有</w:t>
            </w:r>
            <w:r>
              <w:rPr>
                <w:rFonts w:ascii="黑体" w:hAnsi="黑体" w:cs="黑体" w:eastAsia="黑体" w:hint="default"/>
                <w:spacing w:val="-69"/>
                <w:sz w:val="18"/>
                <w:szCs w:val="18"/>
              </w:rPr>
              <w:t> </w:t>
            </w:r>
            <w:r>
              <w:rPr>
                <w:rFonts w:ascii="黑体" w:hAnsi="黑体" w:cs="黑体" w:eastAsia="黑体" w:hint="default"/>
                <w:spacing w:val="11"/>
                <w:sz w:val="18"/>
                <w:szCs w:val="18"/>
              </w:rPr>
              <w:t>限公司</w:t>
            </w:r>
            <w:r>
              <w:rPr>
                <w:rFonts w:ascii="Arial" w:hAnsi="Arial" w:cs="Arial" w:eastAsia="Arial" w:hint="default"/>
                <w:spacing w:val="11"/>
                <w:sz w:val="18"/>
                <w:szCs w:val="18"/>
              </w:rPr>
              <w:t>(</w:t>
            </w:r>
            <w:r>
              <w:rPr>
                <w:rFonts w:ascii="黑体" w:hAnsi="黑体" w:cs="黑体" w:eastAsia="黑体" w:hint="default"/>
                <w:spacing w:val="11"/>
                <w:sz w:val="18"/>
                <w:szCs w:val="18"/>
              </w:rPr>
              <w:t>以下简</w:t>
            </w:r>
            <w:r>
              <w:rPr>
                <w:rFonts w:ascii="黑体" w:hAnsi="黑体" w:cs="黑体" w:eastAsia="黑体" w:hint="default"/>
                <w:spacing w:val="12"/>
                <w:sz w:val="18"/>
                <w:szCs w:val="18"/>
              </w:rPr>
              <w:t> </w:t>
            </w:r>
            <w:r>
              <w:rPr>
                <w:rFonts w:ascii="黑体" w:hAnsi="黑体" w:cs="黑体" w:eastAsia="黑体" w:hint="default"/>
                <w:spacing w:val="-15"/>
                <w:sz w:val="18"/>
                <w:szCs w:val="18"/>
              </w:rPr>
              <w:t>称“用友新道”</w:t>
            </w:r>
            <w:r>
              <w:rPr>
                <w:rFonts w:ascii="Arial" w:hAnsi="Arial" w:cs="Arial" w:eastAsia="Arial" w:hint="default"/>
                <w:spacing w:val="-15"/>
                <w:sz w:val="18"/>
                <w:szCs w:val="18"/>
              </w:rPr>
              <w:t>)</w:t>
            </w:r>
          </w:p>
        </w:tc>
        <w:tc>
          <w:tcPr>
            <w:tcW w:w="1000" w:type="dxa"/>
            <w:tcBorders>
              <w:top w:val="nil" w:sz="6" w:space="0" w:color="auto"/>
              <w:left w:val="nil" w:sz="6" w:space="0" w:color="auto"/>
              <w:bottom w:val="nil" w:sz="6" w:space="0" w:color="auto"/>
              <w:right w:val="nil" w:sz="6" w:space="0" w:color="auto"/>
            </w:tcBorders>
          </w:tcPr>
          <w:p>
            <w:pPr>
              <w:pStyle w:val="TableParagraph"/>
              <w:spacing w:line="232" w:lineRule="auto" w:before="72"/>
              <w:ind w:left="256" w:right="140" w:hanging="180"/>
              <w:jc w:val="both"/>
              <w:rPr>
                <w:rFonts w:ascii="Arial" w:hAnsi="Arial" w:cs="Arial" w:eastAsia="Arial" w:hint="default"/>
                <w:sz w:val="18"/>
                <w:szCs w:val="18"/>
              </w:rPr>
            </w:pPr>
            <w:r>
              <w:rPr>
                <w:rFonts w:ascii="黑体" w:hAnsi="黑体" w:cs="黑体" w:eastAsia="黑体" w:hint="default"/>
                <w:sz w:val="18"/>
                <w:szCs w:val="18"/>
              </w:rPr>
              <w:t>有限责任 公司</w:t>
            </w:r>
            <w:r>
              <w:rPr>
                <w:rFonts w:ascii="Arial" w:hAnsi="Arial" w:cs="Arial" w:eastAsia="Arial" w:hint="default"/>
                <w:sz w:val="18"/>
                <w:szCs w:val="18"/>
              </w:rPr>
              <w:t>(</w:t>
            </w:r>
            <w:r>
              <w:rPr>
                <w:rFonts w:ascii="黑体" w:hAnsi="黑体" w:cs="黑体" w:eastAsia="黑体" w:hint="default"/>
                <w:sz w:val="18"/>
                <w:szCs w:val="18"/>
              </w:rPr>
              <w:t>法 人独资</w:t>
            </w:r>
            <w:r>
              <w:rPr>
                <w:rFonts w:ascii="Arial" w:hAnsi="Arial" w:cs="Arial" w:eastAsia="Arial" w:hint="default"/>
                <w:sz w:val="18"/>
                <w:szCs w:val="18"/>
              </w:rPr>
              <w:t>)</w:t>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91"/>
              <w:jc w:val="right"/>
              <w:rPr>
                <w:rFonts w:ascii="黑体" w:hAnsi="黑体" w:cs="黑体" w:eastAsia="黑体" w:hint="default"/>
                <w:sz w:val="18"/>
                <w:szCs w:val="18"/>
              </w:rPr>
            </w:pPr>
            <w:r>
              <w:rPr>
                <w:rFonts w:ascii="黑体" w:hAnsi="黑体" w:cs="黑体" w:eastAsia="黑体" w:hint="default"/>
                <w:sz w:val="18"/>
                <w:szCs w:val="18"/>
              </w:rPr>
              <w:t>三亚市</w:t>
            </w: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5"/>
              <w:jc w:val="right"/>
              <w:rPr>
                <w:rFonts w:ascii="黑体" w:hAnsi="黑体" w:cs="黑体" w:eastAsia="黑体" w:hint="default"/>
                <w:sz w:val="18"/>
                <w:szCs w:val="18"/>
              </w:rPr>
            </w:pPr>
            <w:r>
              <w:rPr>
                <w:rFonts w:ascii="黑体" w:hAnsi="黑体" w:cs="黑体" w:eastAsia="黑体" w:hint="default"/>
                <w:sz w:val="18"/>
                <w:szCs w:val="18"/>
              </w:rPr>
              <w:t>王文京</w:t>
            </w:r>
          </w:p>
        </w:tc>
        <w:tc>
          <w:tcPr>
            <w:tcW w:w="1187" w:type="dxa"/>
            <w:tcBorders>
              <w:top w:val="nil" w:sz="6" w:space="0" w:color="auto"/>
              <w:left w:val="nil" w:sz="6" w:space="0" w:color="auto"/>
              <w:bottom w:val="nil" w:sz="6" w:space="0" w:color="auto"/>
              <w:right w:val="nil" w:sz="6" w:space="0" w:color="auto"/>
            </w:tcBorders>
          </w:tcPr>
          <w:p>
            <w:pPr>
              <w:pStyle w:val="TableParagraph"/>
              <w:spacing w:line="236" w:lineRule="exact" w:before="94"/>
              <w:ind w:left="27" w:right="207"/>
              <w:jc w:val="left"/>
              <w:rPr>
                <w:rFonts w:ascii="黑体" w:hAnsi="黑体" w:cs="黑体" w:eastAsia="黑体" w:hint="default"/>
                <w:sz w:val="18"/>
                <w:szCs w:val="18"/>
              </w:rPr>
            </w:pPr>
            <w:r>
              <w:rPr>
                <w:rFonts w:ascii="黑体" w:hAnsi="黑体" w:cs="黑体" w:eastAsia="黑体" w:hint="default"/>
                <w:sz w:val="18"/>
                <w:szCs w:val="18"/>
              </w:rPr>
              <w:t>计算机软件</w:t>
            </w:r>
            <w:r>
              <w:rPr>
                <w:rFonts w:ascii="Arial" w:hAnsi="Arial" w:cs="Arial" w:eastAsia="Arial" w:hint="default"/>
                <w:sz w:val="18"/>
                <w:szCs w:val="18"/>
              </w:rPr>
              <w:t>/</w:t>
            </w:r>
            <w:r>
              <w:rPr>
                <w:rFonts w:ascii="Arial" w:hAnsi="Arial" w:cs="Arial" w:eastAsia="Arial" w:hint="default"/>
                <w:w w:val="100"/>
                <w:sz w:val="18"/>
                <w:szCs w:val="18"/>
              </w:rPr>
              <w:t> </w:t>
            </w:r>
            <w:r>
              <w:rPr>
                <w:rFonts w:ascii="黑体" w:hAnsi="黑体" w:cs="黑体" w:eastAsia="黑体" w:hint="default"/>
                <w:sz w:val="18"/>
                <w:szCs w:val="18"/>
              </w:rPr>
              <w:t>管理培训</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25"/>
              <w:jc w:val="right"/>
              <w:rPr>
                <w:rFonts w:ascii="Arial" w:hAnsi="Arial" w:cs="Arial" w:eastAsia="Arial" w:hint="default"/>
                <w:sz w:val="18"/>
                <w:szCs w:val="18"/>
              </w:rPr>
            </w:pPr>
            <w:r>
              <w:rPr>
                <w:rFonts w:ascii="Arial"/>
                <w:spacing w:val="-1"/>
                <w:sz w:val="18"/>
              </w:rPr>
              <w:t>50,000,000</w:t>
            </w:r>
          </w:p>
        </w:tc>
        <w:tc>
          <w:tcPr>
            <w:tcW w:w="2442" w:type="dxa"/>
            <w:tcBorders>
              <w:top w:val="nil" w:sz="6" w:space="0" w:color="auto"/>
              <w:left w:val="nil" w:sz="6" w:space="0" w:color="auto"/>
              <w:bottom w:val="nil" w:sz="6" w:space="0" w:color="auto"/>
              <w:right w:val="nil" w:sz="6" w:space="0" w:color="auto"/>
            </w:tcBorders>
          </w:tcPr>
          <w:p>
            <w:pPr>
              <w:pStyle w:val="TableParagraph"/>
              <w:spacing w:line="240" w:lineRule="auto" w:before="73"/>
              <w:ind w:left="26" w:right="161"/>
              <w:jc w:val="left"/>
              <w:rPr>
                <w:rFonts w:ascii="黑体" w:hAnsi="黑体" w:cs="黑体" w:eastAsia="黑体" w:hint="default"/>
                <w:sz w:val="18"/>
                <w:szCs w:val="18"/>
              </w:rPr>
            </w:pPr>
            <w:r>
              <w:rPr>
                <w:rFonts w:ascii="黑体" w:hAnsi="黑体" w:cs="黑体" w:eastAsia="黑体" w:hint="default"/>
                <w:spacing w:val="-7"/>
                <w:sz w:val="18"/>
                <w:szCs w:val="18"/>
              </w:rPr>
              <w:t>管理课程开发与培训，软件开</w:t>
            </w:r>
            <w:r>
              <w:rPr>
                <w:rFonts w:ascii="黑体" w:hAnsi="黑体" w:cs="黑体" w:eastAsia="黑体" w:hint="default"/>
                <w:spacing w:val="-86"/>
                <w:sz w:val="18"/>
                <w:szCs w:val="18"/>
              </w:rPr>
              <w:t> </w:t>
            </w:r>
            <w:r>
              <w:rPr>
                <w:rFonts w:ascii="黑体" w:hAnsi="黑体" w:cs="黑体" w:eastAsia="黑体" w:hint="default"/>
                <w:spacing w:val="-86"/>
                <w:sz w:val="18"/>
                <w:szCs w:val="18"/>
              </w:rPr>
            </w:r>
            <w:r>
              <w:rPr>
                <w:rFonts w:ascii="黑体" w:hAnsi="黑体" w:cs="黑体" w:eastAsia="黑体" w:hint="default"/>
                <w:spacing w:val="-7"/>
                <w:sz w:val="18"/>
                <w:szCs w:val="18"/>
              </w:rPr>
              <w:t>发销售、咨询服务，在线学习</w:t>
            </w:r>
          </w:p>
        </w:tc>
        <w:tc>
          <w:tcPr>
            <w:tcW w:w="1207"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74"/>
              <w:jc w:val="right"/>
              <w:rPr>
                <w:rFonts w:ascii="Arial" w:hAnsi="Arial" w:cs="Arial" w:eastAsia="Arial" w:hint="default"/>
                <w:sz w:val="18"/>
                <w:szCs w:val="18"/>
              </w:rPr>
            </w:pPr>
            <w:r>
              <w:rPr>
                <w:rFonts w:ascii="Arial"/>
                <w:spacing w:val="-1"/>
                <w:sz w:val="18"/>
              </w:rPr>
              <w:t>57305876-0</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57"/>
              <w:jc w:val="right"/>
              <w:rPr>
                <w:rFonts w:ascii="Arial" w:hAnsi="Arial" w:cs="Arial" w:eastAsia="Arial" w:hint="default"/>
                <w:sz w:val="18"/>
                <w:szCs w:val="18"/>
              </w:rPr>
            </w:pPr>
            <w:r>
              <w:rPr>
                <w:rFonts w:ascii="Arial"/>
                <w:spacing w:val="-1"/>
                <w:sz w:val="18"/>
              </w:rPr>
              <w:t>50,000,000</w:t>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263"/>
              <w:jc w:val="right"/>
              <w:rPr>
                <w:rFonts w:ascii="Arial" w:hAnsi="Arial" w:cs="Arial" w:eastAsia="Arial" w:hint="default"/>
                <w:sz w:val="18"/>
                <w:szCs w:val="18"/>
              </w:rPr>
            </w:pPr>
            <w:r>
              <w:rPr>
                <w:rFonts w:ascii="Arial"/>
                <w:w w:val="95"/>
                <w:sz w:val="18"/>
              </w:rPr>
              <w:t>100</w:t>
            </w:r>
            <w:r>
              <w:rPr>
                <w:rFonts w:ascii="Arial"/>
                <w:sz w:val="18"/>
              </w:rPr>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221"/>
              <w:jc w:val="right"/>
              <w:rPr>
                <w:rFonts w:ascii="Arial" w:hAnsi="Arial" w:cs="Arial" w:eastAsia="Arial" w:hint="default"/>
                <w:sz w:val="18"/>
                <w:szCs w:val="18"/>
              </w:rPr>
            </w:pPr>
            <w:r>
              <w:rPr>
                <w:rFonts w:ascii="Arial"/>
                <w:w w:val="95"/>
                <w:sz w:val="18"/>
              </w:rPr>
              <w:t>100</w:t>
            </w:r>
            <w:r>
              <w:rPr>
                <w:rFonts w:ascii="Arial"/>
                <w:sz w:val="18"/>
              </w:rPr>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48"/>
              <w:jc w:val="right"/>
              <w:rPr>
                <w:rFonts w:ascii="黑体" w:hAnsi="黑体" w:cs="黑体" w:eastAsia="黑体" w:hint="default"/>
                <w:sz w:val="18"/>
                <w:szCs w:val="18"/>
              </w:rPr>
            </w:pPr>
            <w:r>
              <w:rPr>
                <w:rFonts w:ascii="黑体" w:hAnsi="黑体" w:cs="黑体" w:eastAsia="黑体" w:hint="default"/>
                <w:sz w:val="18"/>
                <w:szCs w:val="18"/>
              </w:rPr>
              <w:t>是</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99"/>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pgSz w:w="16850" w:h="11910" w:orient="landscape"/>
          <w:pgMar w:header="957" w:footer="857" w:top="2620" w:bottom="1040" w:left="440" w:right="320"/>
        </w:sectPr>
      </w:pPr>
    </w:p>
    <w:p>
      <w:pPr>
        <w:spacing w:line="240" w:lineRule="auto" w:before="7"/>
        <w:rPr>
          <w:rFonts w:ascii="黑体" w:hAnsi="黑体" w:cs="黑体" w:eastAsia="黑体" w:hint="default"/>
          <w:sz w:val="17"/>
          <w:szCs w:val="17"/>
        </w:rPr>
      </w:pPr>
    </w:p>
    <w:p>
      <w:pPr>
        <w:pStyle w:val="Heading6"/>
        <w:spacing w:line="240" w:lineRule="auto"/>
        <w:ind w:left="313" w:right="12344"/>
        <w:jc w:val="left"/>
        <w:rPr>
          <w:b w:val="0"/>
          <w:bCs w:val="0"/>
        </w:rPr>
      </w:pPr>
      <w:r>
        <w:rPr/>
        <w:t>四、合并财务报表的合并范围（续）</w:t>
      </w:r>
      <w:r>
        <w:rPr>
          <w:b w:val="0"/>
          <w:bCs w:val="0"/>
        </w:rPr>
      </w:r>
    </w:p>
    <w:p>
      <w:pPr>
        <w:spacing w:line="240" w:lineRule="auto" w:before="9"/>
        <w:rPr>
          <w:rFonts w:ascii="黑体" w:hAnsi="黑体" w:cs="黑体" w:eastAsia="黑体" w:hint="default"/>
          <w:b/>
          <w:bCs/>
          <w:sz w:val="18"/>
          <w:szCs w:val="18"/>
        </w:rPr>
      </w:pPr>
    </w:p>
    <w:p>
      <w:pPr>
        <w:tabs>
          <w:tab w:pos="783" w:val="left" w:leader="none"/>
        </w:tabs>
        <w:spacing w:line="439" w:lineRule="auto" w:before="0"/>
        <w:ind w:left="315" w:right="12344" w:firstLine="0"/>
        <w:jc w:val="left"/>
        <w:rPr>
          <w:rFonts w:ascii="黑体" w:hAnsi="黑体" w:cs="黑体" w:eastAsia="黑体" w:hint="default"/>
          <w:sz w:val="20"/>
          <w:szCs w:val="20"/>
        </w:rPr>
      </w:pPr>
      <w:r>
        <w:rPr>
          <w:rFonts w:ascii="Arial" w:hAnsi="Arial" w:cs="Arial" w:eastAsia="Arial" w:hint="default"/>
          <w:b/>
          <w:bCs/>
          <w:spacing w:val="-1"/>
          <w:sz w:val="20"/>
          <w:szCs w:val="20"/>
        </w:rPr>
        <w:t>1.</w:t>
        <w:tab/>
      </w:r>
      <w:r>
        <w:rPr>
          <w:rFonts w:ascii="黑体" w:hAnsi="黑体" w:cs="黑体" w:eastAsia="黑体" w:hint="default"/>
          <w:b/>
          <w:bCs/>
          <w:spacing w:val="1"/>
          <w:sz w:val="20"/>
          <w:szCs w:val="20"/>
        </w:rPr>
        <w:t>子公司情况（续）</w:t>
      </w:r>
      <w:r>
        <w:rPr>
          <w:rFonts w:ascii="黑体" w:hAnsi="黑体" w:cs="黑体" w:eastAsia="黑体" w:hint="default"/>
          <w:b/>
          <w:bCs/>
          <w:w w:val="99"/>
          <w:sz w:val="20"/>
          <w:szCs w:val="20"/>
        </w:rPr>
        <w:t> </w:t>
      </w:r>
      <w:r>
        <w:rPr>
          <w:rFonts w:ascii="黑体" w:hAnsi="黑体" w:cs="黑体" w:eastAsia="黑体" w:hint="default"/>
          <w:sz w:val="20"/>
          <w:szCs w:val="20"/>
        </w:rPr>
        <w:t>本集团重要子公司的情况如下（续）：</w:t>
      </w:r>
      <w:r>
        <w:rPr>
          <w:rFonts w:ascii="黑体" w:hAnsi="黑体" w:cs="黑体" w:eastAsia="黑体" w:hint="default"/>
          <w:w w:val="99"/>
          <w:sz w:val="20"/>
          <w:szCs w:val="20"/>
        </w:rPr>
        <w:t> </w:t>
      </w:r>
      <w:r>
        <w:rPr>
          <w:rFonts w:ascii="黑体" w:hAnsi="黑体" w:cs="黑体" w:eastAsia="黑体" w:hint="default"/>
          <w:sz w:val="20"/>
          <w:szCs w:val="20"/>
        </w:rPr>
        <w:t>非同一控制下企业合并取得的子公司</w:t>
      </w: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9"/>
          <w:szCs w:val="19"/>
        </w:rPr>
      </w:pPr>
    </w:p>
    <w:tbl>
      <w:tblPr>
        <w:tblW w:w="0" w:type="auto"/>
        <w:jc w:val="left"/>
        <w:tblInd w:w="113" w:type="dxa"/>
        <w:tblLayout w:type="fixed"/>
        <w:tblCellMar>
          <w:top w:w="0" w:type="dxa"/>
          <w:left w:w="0" w:type="dxa"/>
          <w:bottom w:w="0" w:type="dxa"/>
          <w:right w:w="0" w:type="dxa"/>
        </w:tblCellMar>
        <w:tblLook w:val="01E0"/>
      </w:tblPr>
      <w:tblGrid>
        <w:gridCol w:w="1749"/>
        <w:gridCol w:w="1055"/>
        <w:gridCol w:w="798"/>
        <w:gridCol w:w="722"/>
        <w:gridCol w:w="992"/>
        <w:gridCol w:w="993"/>
        <w:gridCol w:w="2654"/>
        <w:gridCol w:w="1072"/>
        <w:gridCol w:w="1527"/>
        <w:gridCol w:w="1042"/>
        <w:gridCol w:w="876"/>
        <w:gridCol w:w="1086"/>
        <w:gridCol w:w="1261"/>
      </w:tblGrid>
      <w:tr>
        <w:trPr>
          <w:trHeight w:val="229" w:hRule="exact"/>
        </w:trPr>
        <w:tc>
          <w:tcPr>
            <w:tcW w:w="1749"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Style w:val="TableParagraph"/>
              <w:spacing w:line="180" w:lineRule="exact"/>
              <w:ind w:right="153"/>
              <w:jc w:val="right"/>
              <w:rPr>
                <w:rFonts w:ascii="黑体" w:hAnsi="黑体" w:cs="黑体" w:eastAsia="黑体" w:hint="default"/>
                <w:sz w:val="18"/>
                <w:szCs w:val="18"/>
              </w:rPr>
            </w:pPr>
            <w:r>
              <w:rPr>
                <w:rFonts w:ascii="黑体" w:hAnsi="黑体" w:cs="黑体" w:eastAsia="黑体" w:hint="default"/>
                <w:sz w:val="18"/>
                <w:szCs w:val="18"/>
              </w:rPr>
              <w:t>子公司</w:t>
            </w:r>
          </w:p>
        </w:tc>
        <w:tc>
          <w:tcPr>
            <w:tcW w:w="798" w:type="dxa"/>
            <w:tcBorders>
              <w:top w:val="nil" w:sz="6" w:space="0" w:color="auto"/>
              <w:left w:val="nil" w:sz="6" w:space="0" w:color="auto"/>
              <w:bottom w:val="nil" w:sz="6" w:space="0" w:color="auto"/>
              <w:right w:val="nil" w:sz="6" w:space="0" w:color="auto"/>
            </w:tcBorders>
          </w:tcPr>
          <w:p>
            <w:pPr/>
          </w:p>
        </w:tc>
        <w:tc>
          <w:tcPr>
            <w:tcW w:w="722" w:type="dxa"/>
            <w:tcBorders>
              <w:top w:val="nil" w:sz="6" w:space="0" w:color="auto"/>
              <w:left w:val="nil" w:sz="6" w:space="0" w:color="auto"/>
              <w:bottom w:val="nil" w:sz="6" w:space="0" w:color="auto"/>
              <w:right w:val="nil" w:sz="6" w:space="0" w:color="auto"/>
            </w:tcBorders>
          </w:tcPr>
          <w:p>
            <w:pPr>
              <w:pStyle w:val="TableParagraph"/>
              <w:spacing w:line="180" w:lineRule="exact"/>
              <w:ind w:right="25"/>
              <w:jc w:val="right"/>
              <w:rPr>
                <w:rFonts w:ascii="黑体" w:hAnsi="黑体" w:cs="黑体" w:eastAsia="黑体" w:hint="default"/>
                <w:sz w:val="18"/>
                <w:szCs w:val="18"/>
              </w:rPr>
            </w:pPr>
            <w:r>
              <w:rPr>
                <w:rFonts w:ascii="黑体" w:hAnsi="黑体" w:cs="黑体" w:eastAsia="黑体" w:hint="default"/>
                <w:sz w:val="18"/>
                <w:szCs w:val="18"/>
              </w:rPr>
              <w:t>法定</w:t>
            </w:r>
          </w:p>
        </w:tc>
        <w:tc>
          <w:tcPr>
            <w:tcW w:w="992"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nil" w:sz="6" w:space="0" w:color="auto"/>
            </w:tcBorders>
          </w:tcPr>
          <w:p>
            <w:pPr/>
          </w:p>
        </w:tc>
        <w:tc>
          <w:tcPr>
            <w:tcW w:w="2654" w:type="dxa"/>
            <w:tcBorders>
              <w:top w:val="nil" w:sz="6" w:space="0" w:color="auto"/>
              <w:left w:val="nil" w:sz="6" w:space="0" w:color="auto"/>
              <w:bottom w:val="nil" w:sz="6" w:space="0" w:color="auto"/>
              <w:right w:val="nil" w:sz="6" w:space="0" w:color="auto"/>
            </w:tcBorders>
          </w:tcPr>
          <w:p>
            <w:pPr/>
          </w:p>
        </w:tc>
        <w:tc>
          <w:tcPr>
            <w:tcW w:w="1072" w:type="dxa"/>
            <w:tcBorders>
              <w:top w:val="nil" w:sz="6" w:space="0" w:color="auto"/>
              <w:left w:val="nil" w:sz="6" w:space="0" w:color="auto"/>
              <w:bottom w:val="nil" w:sz="6" w:space="0" w:color="auto"/>
              <w:right w:val="nil" w:sz="6" w:space="0" w:color="auto"/>
            </w:tcBorders>
          </w:tcPr>
          <w:p>
            <w:pPr>
              <w:pStyle w:val="TableParagraph"/>
              <w:spacing w:line="180" w:lineRule="exact"/>
              <w:ind w:right="68"/>
              <w:jc w:val="right"/>
              <w:rPr>
                <w:rFonts w:ascii="黑体" w:hAnsi="黑体" w:cs="黑体" w:eastAsia="黑体" w:hint="default"/>
                <w:sz w:val="18"/>
                <w:szCs w:val="18"/>
              </w:rPr>
            </w:pPr>
            <w:r>
              <w:rPr>
                <w:rFonts w:ascii="黑体" w:hAnsi="黑体" w:cs="黑体" w:eastAsia="黑体" w:hint="default"/>
                <w:sz w:val="18"/>
                <w:szCs w:val="18"/>
              </w:rPr>
              <w:t>组织机构</w:t>
            </w:r>
          </w:p>
        </w:tc>
        <w:tc>
          <w:tcPr>
            <w:tcW w:w="1527" w:type="dxa"/>
            <w:tcBorders>
              <w:top w:val="nil" w:sz="6" w:space="0" w:color="auto"/>
              <w:left w:val="nil" w:sz="6" w:space="0" w:color="auto"/>
              <w:bottom w:val="nil" w:sz="6" w:space="0" w:color="auto"/>
              <w:right w:val="nil" w:sz="6" w:space="0" w:color="auto"/>
            </w:tcBorders>
          </w:tcPr>
          <w:p>
            <w:pPr>
              <w:pStyle w:val="TableParagraph"/>
              <w:spacing w:line="180" w:lineRule="exact"/>
              <w:ind w:right="455"/>
              <w:jc w:val="right"/>
              <w:rPr>
                <w:rFonts w:ascii="黑体" w:hAnsi="黑体" w:cs="黑体" w:eastAsia="黑体" w:hint="default"/>
                <w:sz w:val="18"/>
                <w:szCs w:val="18"/>
              </w:rPr>
            </w:pPr>
            <w:r>
              <w:rPr>
                <w:rFonts w:ascii="黑体" w:hAnsi="黑体" w:cs="黑体" w:eastAsia="黑体" w:hint="default"/>
                <w:sz w:val="18"/>
                <w:szCs w:val="18"/>
              </w:rPr>
              <w:t>年末实际</w:t>
            </w:r>
          </w:p>
        </w:tc>
        <w:tc>
          <w:tcPr>
            <w:tcW w:w="1042" w:type="dxa"/>
            <w:tcBorders>
              <w:top w:val="nil" w:sz="6" w:space="0" w:color="auto"/>
              <w:left w:val="nil" w:sz="6" w:space="0" w:color="auto"/>
              <w:bottom w:val="nil" w:sz="6" w:space="0" w:color="auto"/>
              <w:right w:val="nil" w:sz="6" w:space="0" w:color="auto"/>
            </w:tcBorders>
          </w:tcPr>
          <w:p>
            <w:pPr>
              <w:pStyle w:val="TableParagraph"/>
              <w:spacing w:line="180" w:lineRule="exact"/>
              <w:ind w:right="224"/>
              <w:jc w:val="right"/>
              <w:rPr>
                <w:rFonts w:ascii="黑体" w:hAnsi="黑体" w:cs="黑体" w:eastAsia="黑体" w:hint="default"/>
                <w:sz w:val="18"/>
                <w:szCs w:val="18"/>
              </w:rPr>
            </w:pPr>
            <w:r>
              <w:rPr>
                <w:rFonts w:ascii="黑体" w:hAnsi="黑体" w:cs="黑体" w:eastAsia="黑体" w:hint="default"/>
                <w:sz w:val="18"/>
                <w:szCs w:val="18"/>
              </w:rPr>
              <w:t>持股</w:t>
            </w:r>
          </w:p>
        </w:tc>
        <w:tc>
          <w:tcPr>
            <w:tcW w:w="876" w:type="dxa"/>
            <w:tcBorders>
              <w:top w:val="nil" w:sz="6" w:space="0" w:color="auto"/>
              <w:left w:val="nil" w:sz="6" w:space="0" w:color="auto"/>
              <w:bottom w:val="nil" w:sz="6" w:space="0" w:color="auto"/>
              <w:right w:val="nil" w:sz="6" w:space="0" w:color="auto"/>
            </w:tcBorders>
          </w:tcPr>
          <w:p>
            <w:pPr>
              <w:pStyle w:val="TableParagraph"/>
              <w:spacing w:line="180" w:lineRule="exact"/>
              <w:ind w:right="109"/>
              <w:jc w:val="right"/>
              <w:rPr>
                <w:rFonts w:ascii="黑体" w:hAnsi="黑体" w:cs="黑体" w:eastAsia="黑体" w:hint="default"/>
                <w:sz w:val="18"/>
                <w:szCs w:val="18"/>
              </w:rPr>
            </w:pPr>
            <w:r>
              <w:rPr>
                <w:rFonts w:ascii="黑体" w:hAnsi="黑体" w:cs="黑体" w:eastAsia="黑体" w:hint="default"/>
                <w:sz w:val="18"/>
                <w:szCs w:val="18"/>
              </w:rPr>
              <w:t>表决权</w:t>
            </w:r>
          </w:p>
        </w:tc>
        <w:tc>
          <w:tcPr>
            <w:tcW w:w="1086" w:type="dxa"/>
            <w:tcBorders>
              <w:top w:val="nil" w:sz="6" w:space="0" w:color="auto"/>
              <w:left w:val="nil" w:sz="6" w:space="0" w:color="auto"/>
              <w:bottom w:val="nil" w:sz="6" w:space="0" w:color="auto"/>
              <w:right w:val="nil" w:sz="6" w:space="0" w:color="auto"/>
            </w:tcBorders>
          </w:tcPr>
          <w:p>
            <w:pPr>
              <w:pStyle w:val="TableParagraph"/>
              <w:spacing w:line="180" w:lineRule="exact"/>
              <w:ind w:right="254"/>
              <w:jc w:val="right"/>
              <w:rPr>
                <w:rFonts w:ascii="黑体" w:hAnsi="黑体" w:cs="黑体" w:eastAsia="黑体" w:hint="default"/>
                <w:sz w:val="18"/>
                <w:szCs w:val="18"/>
              </w:rPr>
            </w:pPr>
            <w:r>
              <w:rPr>
                <w:rFonts w:ascii="黑体" w:hAnsi="黑体" w:cs="黑体" w:eastAsia="黑体" w:hint="default"/>
                <w:sz w:val="18"/>
                <w:szCs w:val="18"/>
              </w:rPr>
              <w:t>是否</w:t>
            </w:r>
          </w:p>
        </w:tc>
        <w:tc>
          <w:tcPr>
            <w:tcW w:w="1261" w:type="dxa"/>
            <w:tcBorders>
              <w:top w:val="nil" w:sz="6" w:space="0" w:color="auto"/>
              <w:left w:val="nil" w:sz="6" w:space="0" w:color="auto"/>
              <w:bottom w:val="nil" w:sz="6" w:space="0" w:color="auto"/>
              <w:right w:val="nil" w:sz="6" w:space="0" w:color="auto"/>
            </w:tcBorders>
          </w:tcPr>
          <w:p>
            <w:pPr>
              <w:pStyle w:val="TableParagraph"/>
              <w:spacing w:line="180" w:lineRule="exact"/>
              <w:ind w:right="200"/>
              <w:jc w:val="right"/>
              <w:rPr>
                <w:rFonts w:ascii="黑体" w:hAnsi="黑体" w:cs="黑体" w:eastAsia="黑体" w:hint="default"/>
                <w:sz w:val="18"/>
                <w:szCs w:val="18"/>
              </w:rPr>
            </w:pPr>
            <w:r>
              <w:rPr>
                <w:rFonts w:ascii="黑体" w:hAnsi="黑体" w:cs="黑体" w:eastAsia="黑体" w:hint="default"/>
                <w:sz w:val="18"/>
                <w:szCs w:val="18"/>
              </w:rPr>
              <w:t>少数股东</w:t>
            </w:r>
          </w:p>
        </w:tc>
      </w:tr>
      <w:tr>
        <w:trPr>
          <w:trHeight w:val="284" w:hRule="exact"/>
        </w:trPr>
        <w:tc>
          <w:tcPr>
            <w:tcW w:w="1749" w:type="dxa"/>
            <w:tcBorders>
              <w:top w:val="nil" w:sz="6" w:space="0" w:color="auto"/>
              <w:left w:val="nil" w:sz="6" w:space="0" w:color="auto"/>
              <w:bottom w:val="nil" w:sz="6" w:space="0" w:color="auto"/>
              <w:right w:val="nil" w:sz="6" w:space="0" w:color="auto"/>
            </w:tcBorders>
          </w:tcPr>
          <w:p>
            <w:pPr>
              <w:pStyle w:val="TableParagraph"/>
              <w:spacing w:line="229" w:lineRule="exact"/>
              <w:ind w:left="372" w:right="0"/>
              <w:jc w:val="left"/>
              <w:rPr>
                <w:rFonts w:ascii="黑体" w:hAnsi="黑体" w:cs="黑体" w:eastAsia="黑体" w:hint="default"/>
                <w:sz w:val="18"/>
                <w:szCs w:val="18"/>
              </w:rPr>
            </w:pPr>
            <w:r>
              <w:rPr>
                <w:rFonts w:ascii="黑体" w:hAnsi="黑体" w:cs="黑体" w:eastAsia="黑体" w:hint="default"/>
                <w:sz w:val="18"/>
                <w:szCs w:val="18"/>
              </w:rPr>
              <w:t>被投资单位名称</w:t>
            </w:r>
          </w:p>
        </w:tc>
        <w:tc>
          <w:tcPr>
            <w:tcW w:w="1055" w:type="dxa"/>
            <w:tcBorders>
              <w:top w:val="nil" w:sz="6" w:space="0" w:color="auto"/>
              <w:left w:val="nil" w:sz="6" w:space="0" w:color="auto"/>
              <w:bottom w:val="nil" w:sz="6" w:space="0" w:color="auto"/>
              <w:right w:val="nil" w:sz="6" w:space="0" w:color="auto"/>
            </w:tcBorders>
          </w:tcPr>
          <w:p>
            <w:pPr>
              <w:pStyle w:val="TableParagraph"/>
              <w:spacing w:line="229" w:lineRule="exact"/>
              <w:ind w:right="153"/>
              <w:jc w:val="right"/>
              <w:rPr>
                <w:rFonts w:ascii="黑体" w:hAnsi="黑体" w:cs="黑体" w:eastAsia="黑体" w:hint="default"/>
                <w:sz w:val="18"/>
                <w:szCs w:val="18"/>
              </w:rPr>
            </w:pPr>
            <w:r>
              <w:rPr>
                <w:rFonts w:ascii="黑体" w:hAnsi="黑体" w:cs="黑体" w:eastAsia="黑体" w:hint="default"/>
                <w:sz w:val="18"/>
                <w:szCs w:val="18"/>
              </w:rPr>
              <w:t>类型</w:t>
            </w:r>
          </w:p>
        </w:tc>
        <w:tc>
          <w:tcPr>
            <w:tcW w:w="798" w:type="dxa"/>
            <w:tcBorders>
              <w:top w:val="nil" w:sz="6" w:space="0" w:color="auto"/>
              <w:left w:val="nil" w:sz="6" w:space="0" w:color="auto"/>
              <w:bottom w:val="nil" w:sz="6" w:space="0" w:color="auto"/>
              <w:right w:val="nil" w:sz="6" w:space="0" w:color="auto"/>
            </w:tcBorders>
          </w:tcPr>
          <w:p>
            <w:pPr>
              <w:pStyle w:val="TableParagraph"/>
              <w:spacing w:line="229" w:lineRule="exact"/>
              <w:ind w:left="103" w:right="0"/>
              <w:jc w:val="left"/>
              <w:rPr>
                <w:rFonts w:ascii="黑体" w:hAnsi="黑体" w:cs="黑体" w:eastAsia="黑体" w:hint="default"/>
                <w:sz w:val="18"/>
                <w:szCs w:val="18"/>
              </w:rPr>
            </w:pPr>
            <w:r>
              <w:rPr>
                <w:rFonts w:ascii="黑体" w:hAnsi="黑体" w:cs="黑体" w:eastAsia="黑体" w:hint="default"/>
                <w:sz w:val="18"/>
                <w:szCs w:val="18"/>
              </w:rPr>
              <w:t>注册地</w:t>
            </w:r>
          </w:p>
        </w:tc>
        <w:tc>
          <w:tcPr>
            <w:tcW w:w="722" w:type="dxa"/>
            <w:tcBorders>
              <w:top w:val="nil" w:sz="6" w:space="0" w:color="auto"/>
              <w:left w:val="nil" w:sz="6" w:space="0" w:color="auto"/>
              <w:bottom w:val="nil" w:sz="6" w:space="0" w:color="auto"/>
              <w:right w:val="nil" w:sz="6" w:space="0" w:color="auto"/>
            </w:tcBorders>
          </w:tcPr>
          <w:p>
            <w:pPr>
              <w:pStyle w:val="TableParagraph"/>
              <w:spacing w:line="229" w:lineRule="exact"/>
              <w:ind w:right="25"/>
              <w:jc w:val="right"/>
              <w:rPr>
                <w:rFonts w:ascii="黑体" w:hAnsi="黑体" w:cs="黑体" w:eastAsia="黑体" w:hint="default"/>
                <w:sz w:val="18"/>
                <w:szCs w:val="18"/>
              </w:rPr>
            </w:pPr>
            <w:r>
              <w:rPr>
                <w:rFonts w:ascii="黑体" w:hAnsi="黑体" w:cs="黑体" w:eastAsia="黑体" w:hint="default"/>
                <w:sz w:val="18"/>
                <w:szCs w:val="18"/>
              </w:rPr>
              <w:t>代表人</w:t>
            </w:r>
          </w:p>
        </w:tc>
        <w:tc>
          <w:tcPr>
            <w:tcW w:w="992" w:type="dxa"/>
            <w:tcBorders>
              <w:top w:val="nil" w:sz="6" w:space="0" w:color="auto"/>
              <w:left w:val="nil" w:sz="6" w:space="0" w:color="auto"/>
              <w:bottom w:val="nil" w:sz="6" w:space="0" w:color="auto"/>
              <w:right w:val="nil" w:sz="6" w:space="0" w:color="auto"/>
            </w:tcBorders>
          </w:tcPr>
          <w:p>
            <w:pPr>
              <w:pStyle w:val="TableParagraph"/>
              <w:spacing w:line="229" w:lineRule="exact"/>
              <w:ind w:left="130" w:right="0"/>
              <w:jc w:val="left"/>
              <w:rPr>
                <w:rFonts w:ascii="黑体" w:hAnsi="黑体" w:cs="黑体" w:eastAsia="黑体" w:hint="default"/>
                <w:sz w:val="18"/>
                <w:szCs w:val="18"/>
              </w:rPr>
            </w:pPr>
            <w:r>
              <w:rPr>
                <w:rFonts w:ascii="黑体" w:hAnsi="黑体" w:cs="黑体" w:eastAsia="黑体" w:hint="default"/>
                <w:sz w:val="18"/>
                <w:szCs w:val="18"/>
              </w:rPr>
              <w:t>业务性质</w:t>
            </w:r>
          </w:p>
        </w:tc>
        <w:tc>
          <w:tcPr>
            <w:tcW w:w="993" w:type="dxa"/>
            <w:tcBorders>
              <w:top w:val="nil" w:sz="6" w:space="0" w:color="auto"/>
              <w:left w:val="nil" w:sz="6" w:space="0" w:color="auto"/>
              <w:bottom w:val="nil" w:sz="6" w:space="0" w:color="auto"/>
              <w:right w:val="nil" w:sz="6" w:space="0" w:color="auto"/>
            </w:tcBorders>
          </w:tcPr>
          <w:p>
            <w:pPr>
              <w:pStyle w:val="TableParagraph"/>
              <w:spacing w:line="229" w:lineRule="exact"/>
              <w:ind w:right="26"/>
              <w:jc w:val="right"/>
              <w:rPr>
                <w:rFonts w:ascii="黑体" w:hAnsi="黑体" w:cs="黑体" w:eastAsia="黑体" w:hint="default"/>
                <w:sz w:val="18"/>
                <w:szCs w:val="18"/>
              </w:rPr>
            </w:pPr>
            <w:r>
              <w:rPr>
                <w:rFonts w:ascii="黑体" w:hAnsi="黑体" w:cs="黑体" w:eastAsia="黑体" w:hint="default"/>
                <w:sz w:val="18"/>
                <w:szCs w:val="18"/>
              </w:rPr>
              <w:t>注册资本</w:t>
            </w:r>
          </w:p>
        </w:tc>
        <w:tc>
          <w:tcPr>
            <w:tcW w:w="2654" w:type="dxa"/>
            <w:tcBorders>
              <w:top w:val="nil" w:sz="6" w:space="0" w:color="auto"/>
              <w:left w:val="nil" w:sz="6" w:space="0" w:color="auto"/>
              <w:bottom w:val="nil" w:sz="6" w:space="0" w:color="auto"/>
              <w:right w:val="nil" w:sz="6" w:space="0" w:color="auto"/>
            </w:tcBorders>
          </w:tcPr>
          <w:p>
            <w:pPr>
              <w:pStyle w:val="TableParagraph"/>
              <w:spacing w:line="229" w:lineRule="exact"/>
              <w:ind w:right="128"/>
              <w:jc w:val="right"/>
              <w:rPr>
                <w:rFonts w:ascii="黑体" w:hAnsi="黑体" w:cs="黑体" w:eastAsia="黑体" w:hint="default"/>
                <w:sz w:val="18"/>
                <w:szCs w:val="18"/>
              </w:rPr>
            </w:pPr>
            <w:r>
              <w:rPr>
                <w:rFonts w:ascii="黑体" w:hAnsi="黑体" w:cs="黑体" w:eastAsia="黑体" w:hint="default"/>
                <w:sz w:val="18"/>
                <w:szCs w:val="18"/>
              </w:rPr>
              <w:t>经营范围</w:t>
            </w:r>
          </w:p>
        </w:tc>
        <w:tc>
          <w:tcPr>
            <w:tcW w:w="1072" w:type="dxa"/>
            <w:tcBorders>
              <w:top w:val="nil" w:sz="6" w:space="0" w:color="auto"/>
              <w:left w:val="nil" w:sz="6" w:space="0" w:color="auto"/>
              <w:bottom w:val="nil" w:sz="6" w:space="0" w:color="auto"/>
              <w:right w:val="nil" w:sz="6" w:space="0" w:color="auto"/>
            </w:tcBorders>
          </w:tcPr>
          <w:p>
            <w:pPr>
              <w:pStyle w:val="TableParagraph"/>
              <w:spacing w:line="229" w:lineRule="exact"/>
              <w:ind w:right="68"/>
              <w:jc w:val="right"/>
              <w:rPr>
                <w:rFonts w:ascii="黑体" w:hAnsi="黑体" w:cs="黑体" w:eastAsia="黑体" w:hint="default"/>
                <w:sz w:val="18"/>
                <w:szCs w:val="18"/>
              </w:rPr>
            </w:pPr>
            <w:r>
              <w:rPr>
                <w:rFonts w:ascii="黑体" w:hAnsi="黑体" w:cs="黑体" w:eastAsia="黑体" w:hint="default"/>
                <w:sz w:val="18"/>
                <w:szCs w:val="18"/>
              </w:rPr>
              <w:t>代码</w:t>
            </w:r>
          </w:p>
        </w:tc>
        <w:tc>
          <w:tcPr>
            <w:tcW w:w="1527" w:type="dxa"/>
            <w:tcBorders>
              <w:top w:val="nil" w:sz="6" w:space="0" w:color="auto"/>
              <w:left w:val="nil" w:sz="6" w:space="0" w:color="auto"/>
              <w:bottom w:val="nil" w:sz="6" w:space="0" w:color="auto"/>
              <w:right w:val="nil" w:sz="6" w:space="0" w:color="auto"/>
            </w:tcBorders>
          </w:tcPr>
          <w:p>
            <w:pPr>
              <w:pStyle w:val="TableParagraph"/>
              <w:spacing w:line="229" w:lineRule="exact"/>
              <w:ind w:right="455"/>
              <w:jc w:val="right"/>
              <w:rPr>
                <w:rFonts w:ascii="黑体" w:hAnsi="黑体" w:cs="黑体" w:eastAsia="黑体" w:hint="default"/>
                <w:sz w:val="18"/>
                <w:szCs w:val="18"/>
              </w:rPr>
            </w:pPr>
            <w:r>
              <w:rPr>
                <w:rFonts w:ascii="黑体" w:hAnsi="黑体" w:cs="黑体" w:eastAsia="黑体" w:hint="default"/>
                <w:sz w:val="18"/>
                <w:szCs w:val="18"/>
              </w:rPr>
              <w:t>出资额</w:t>
            </w:r>
          </w:p>
        </w:tc>
        <w:tc>
          <w:tcPr>
            <w:tcW w:w="1042" w:type="dxa"/>
            <w:tcBorders>
              <w:top w:val="nil" w:sz="6" w:space="0" w:color="auto"/>
              <w:left w:val="nil" w:sz="6" w:space="0" w:color="auto"/>
              <w:bottom w:val="nil" w:sz="6" w:space="0" w:color="auto"/>
              <w:right w:val="nil" w:sz="6" w:space="0" w:color="auto"/>
            </w:tcBorders>
          </w:tcPr>
          <w:p>
            <w:pPr>
              <w:pStyle w:val="TableParagraph"/>
              <w:spacing w:line="229" w:lineRule="exact"/>
              <w:ind w:right="224"/>
              <w:jc w:val="right"/>
              <w:rPr>
                <w:rFonts w:ascii="黑体" w:hAnsi="黑体" w:cs="黑体" w:eastAsia="黑体" w:hint="default"/>
                <w:sz w:val="18"/>
                <w:szCs w:val="18"/>
              </w:rPr>
            </w:pPr>
            <w:r>
              <w:rPr>
                <w:rFonts w:ascii="黑体" w:hAnsi="黑体" w:cs="黑体" w:eastAsia="黑体" w:hint="default"/>
                <w:sz w:val="18"/>
                <w:szCs w:val="18"/>
              </w:rPr>
              <w:t>比例</w:t>
            </w:r>
          </w:p>
        </w:tc>
        <w:tc>
          <w:tcPr>
            <w:tcW w:w="876" w:type="dxa"/>
            <w:tcBorders>
              <w:top w:val="nil" w:sz="6" w:space="0" w:color="auto"/>
              <w:left w:val="nil" w:sz="6" w:space="0" w:color="auto"/>
              <w:bottom w:val="nil" w:sz="6" w:space="0" w:color="auto"/>
              <w:right w:val="nil" w:sz="6" w:space="0" w:color="auto"/>
            </w:tcBorders>
          </w:tcPr>
          <w:p>
            <w:pPr>
              <w:pStyle w:val="TableParagraph"/>
              <w:spacing w:line="229" w:lineRule="exact"/>
              <w:ind w:right="109"/>
              <w:jc w:val="right"/>
              <w:rPr>
                <w:rFonts w:ascii="黑体" w:hAnsi="黑体" w:cs="黑体" w:eastAsia="黑体" w:hint="default"/>
                <w:sz w:val="18"/>
                <w:szCs w:val="18"/>
              </w:rPr>
            </w:pPr>
            <w:r>
              <w:rPr>
                <w:rFonts w:ascii="黑体" w:hAnsi="黑体" w:cs="黑体" w:eastAsia="黑体" w:hint="default"/>
                <w:sz w:val="18"/>
                <w:szCs w:val="18"/>
              </w:rPr>
              <w:t>比例</w:t>
            </w:r>
          </w:p>
        </w:tc>
        <w:tc>
          <w:tcPr>
            <w:tcW w:w="1086" w:type="dxa"/>
            <w:tcBorders>
              <w:top w:val="nil" w:sz="6" w:space="0" w:color="auto"/>
              <w:left w:val="nil" w:sz="6" w:space="0" w:color="auto"/>
              <w:bottom w:val="nil" w:sz="6" w:space="0" w:color="auto"/>
              <w:right w:val="nil" w:sz="6" w:space="0" w:color="auto"/>
            </w:tcBorders>
          </w:tcPr>
          <w:p>
            <w:pPr>
              <w:pStyle w:val="TableParagraph"/>
              <w:spacing w:line="229" w:lineRule="exact"/>
              <w:ind w:right="254"/>
              <w:jc w:val="right"/>
              <w:rPr>
                <w:rFonts w:ascii="黑体" w:hAnsi="黑体" w:cs="黑体" w:eastAsia="黑体" w:hint="default"/>
                <w:sz w:val="18"/>
                <w:szCs w:val="18"/>
              </w:rPr>
            </w:pPr>
            <w:r>
              <w:rPr>
                <w:rFonts w:ascii="黑体" w:hAnsi="黑体" w:cs="黑体" w:eastAsia="黑体" w:hint="default"/>
                <w:sz w:val="18"/>
                <w:szCs w:val="18"/>
              </w:rPr>
              <w:t>合并报表</w:t>
            </w:r>
          </w:p>
        </w:tc>
        <w:tc>
          <w:tcPr>
            <w:tcW w:w="1261" w:type="dxa"/>
            <w:tcBorders>
              <w:top w:val="nil" w:sz="6" w:space="0" w:color="auto"/>
              <w:left w:val="nil" w:sz="6" w:space="0" w:color="auto"/>
              <w:bottom w:val="nil" w:sz="6" w:space="0" w:color="auto"/>
              <w:right w:val="nil" w:sz="6" w:space="0" w:color="auto"/>
            </w:tcBorders>
          </w:tcPr>
          <w:p>
            <w:pPr>
              <w:pStyle w:val="TableParagraph"/>
              <w:spacing w:line="229" w:lineRule="exact"/>
              <w:ind w:right="200"/>
              <w:jc w:val="right"/>
              <w:rPr>
                <w:rFonts w:ascii="黑体" w:hAnsi="黑体" w:cs="黑体" w:eastAsia="黑体" w:hint="default"/>
                <w:sz w:val="18"/>
                <w:szCs w:val="18"/>
              </w:rPr>
            </w:pPr>
            <w:r>
              <w:rPr>
                <w:rFonts w:ascii="黑体" w:hAnsi="黑体" w:cs="黑体" w:eastAsia="黑体" w:hint="default"/>
                <w:sz w:val="18"/>
                <w:szCs w:val="18"/>
              </w:rPr>
              <w:t>权益</w:t>
            </w:r>
          </w:p>
        </w:tc>
      </w:tr>
      <w:tr>
        <w:trPr>
          <w:trHeight w:val="376" w:hRule="exact"/>
        </w:trPr>
        <w:tc>
          <w:tcPr>
            <w:tcW w:w="1749"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c>
          <w:tcPr>
            <w:tcW w:w="798" w:type="dxa"/>
            <w:tcBorders>
              <w:top w:val="nil" w:sz="6" w:space="0" w:color="auto"/>
              <w:left w:val="nil" w:sz="6" w:space="0" w:color="auto"/>
              <w:bottom w:val="nil" w:sz="6" w:space="0" w:color="auto"/>
              <w:right w:val="nil" w:sz="6" w:space="0" w:color="auto"/>
            </w:tcBorders>
          </w:tcPr>
          <w:p>
            <w:pPr/>
          </w:p>
        </w:tc>
        <w:tc>
          <w:tcPr>
            <w:tcW w:w="722"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nil" w:sz="6" w:space="0" w:color="auto"/>
            </w:tcBorders>
          </w:tcPr>
          <w:p>
            <w:pPr/>
          </w:p>
        </w:tc>
        <w:tc>
          <w:tcPr>
            <w:tcW w:w="2654" w:type="dxa"/>
            <w:tcBorders>
              <w:top w:val="nil" w:sz="6" w:space="0" w:color="auto"/>
              <w:left w:val="nil" w:sz="6" w:space="0" w:color="auto"/>
              <w:bottom w:val="nil" w:sz="6" w:space="0" w:color="auto"/>
              <w:right w:val="nil" w:sz="6" w:space="0" w:color="auto"/>
            </w:tcBorders>
          </w:tcPr>
          <w:p>
            <w:pPr/>
          </w:p>
        </w:tc>
        <w:tc>
          <w:tcPr>
            <w:tcW w:w="1072"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24"/>
              <w:jc w:val="right"/>
              <w:rPr>
                <w:rFonts w:ascii="Arial" w:hAnsi="Arial" w:cs="Arial" w:eastAsia="Arial" w:hint="default"/>
                <w:sz w:val="18"/>
                <w:szCs w:val="18"/>
              </w:rPr>
            </w:pPr>
            <w:r>
              <w:rPr>
                <w:rFonts w:ascii="Arial"/>
                <w:w w:val="95"/>
                <w:sz w:val="18"/>
              </w:rPr>
              <w:t>(%)</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9"/>
              <w:jc w:val="right"/>
              <w:rPr>
                <w:rFonts w:ascii="Arial" w:hAnsi="Arial" w:cs="Arial" w:eastAsia="Arial" w:hint="default"/>
                <w:sz w:val="18"/>
                <w:szCs w:val="18"/>
              </w:rPr>
            </w:pPr>
            <w:r>
              <w:rPr>
                <w:rFonts w:ascii="Arial"/>
                <w:w w:val="95"/>
                <w:sz w:val="18"/>
              </w:rPr>
              <w:t>(%)</w:t>
            </w:r>
            <w:r>
              <w:rPr>
                <w:rFonts w:ascii="Arial"/>
                <w:sz w:val="18"/>
              </w:rPr>
            </w:r>
          </w:p>
        </w:tc>
        <w:tc>
          <w:tcPr>
            <w:tcW w:w="1086"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
        </w:tc>
      </w:tr>
      <w:tr>
        <w:trPr>
          <w:trHeight w:val="1620" w:hRule="exact"/>
        </w:trPr>
        <w:tc>
          <w:tcPr>
            <w:tcW w:w="1749" w:type="dxa"/>
            <w:tcBorders>
              <w:top w:val="nil" w:sz="6" w:space="0" w:color="auto"/>
              <w:left w:val="nil" w:sz="6" w:space="0" w:color="auto"/>
              <w:bottom w:val="nil" w:sz="6" w:space="0" w:color="auto"/>
              <w:right w:val="nil" w:sz="6" w:space="0" w:color="auto"/>
            </w:tcBorders>
          </w:tcPr>
          <w:p>
            <w:pPr>
              <w:pStyle w:val="TableParagraph"/>
              <w:spacing w:line="232" w:lineRule="exact" w:before="117"/>
              <w:ind w:left="382" w:right="51" w:hanging="183"/>
              <w:jc w:val="both"/>
              <w:rPr>
                <w:rFonts w:ascii="Arial" w:hAnsi="Arial" w:cs="Arial" w:eastAsia="Arial" w:hint="default"/>
                <w:sz w:val="18"/>
                <w:szCs w:val="18"/>
              </w:rPr>
            </w:pPr>
            <w:r>
              <w:rPr>
                <w:rFonts w:ascii="黑体" w:hAnsi="黑体" w:cs="黑体" w:eastAsia="黑体" w:hint="default"/>
                <w:spacing w:val="4"/>
                <w:sz w:val="18"/>
                <w:szCs w:val="18"/>
              </w:rPr>
              <w:t>北京用友审计软件 </w:t>
            </w:r>
            <w:r>
              <w:rPr>
                <w:rFonts w:ascii="黑体" w:hAnsi="黑体" w:cs="黑体" w:eastAsia="黑体" w:hint="default"/>
                <w:spacing w:val="15"/>
                <w:sz w:val="18"/>
                <w:szCs w:val="18"/>
              </w:rPr>
              <w:t>有限公</w:t>
            </w:r>
            <w:r>
              <w:rPr>
                <w:rFonts w:ascii="黑体" w:hAnsi="黑体" w:cs="黑体" w:eastAsia="黑体" w:hint="default"/>
                <w:spacing w:val="-64"/>
                <w:sz w:val="18"/>
                <w:szCs w:val="18"/>
              </w:rPr>
              <w:t> </w:t>
            </w:r>
            <w:r>
              <w:rPr>
                <w:rFonts w:ascii="黑体" w:hAnsi="黑体" w:cs="黑体" w:eastAsia="黑体" w:hint="default"/>
                <w:sz w:val="18"/>
                <w:szCs w:val="18"/>
              </w:rPr>
              <w:t>司</w:t>
            </w:r>
            <w:r>
              <w:rPr>
                <w:rFonts w:ascii="黑体" w:hAnsi="黑体" w:cs="黑体" w:eastAsia="黑体" w:hint="default"/>
                <w:spacing w:val="-67"/>
                <w:sz w:val="18"/>
                <w:szCs w:val="18"/>
              </w:rPr>
              <w:t> </w:t>
            </w:r>
            <w:r>
              <w:rPr>
                <w:rFonts w:ascii="Arial" w:hAnsi="Arial" w:cs="Arial" w:eastAsia="Arial" w:hint="default"/>
                <w:sz w:val="18"/>
                <w:szCs w:val="18"/>
              </w:rPr>
              <w:t>(</w:t>
            </w:r>
            <w:r>
              <w:rPr>
                <w:rFonts w:ascii="Arial" w:hAnsi="Arial" w:cs="Arial" w:eastAsia="Arial" w:hint="default"/>
                <w:spacing w:val="-24"/>
                <w:sz w:val="18"/>
                <w:szCs w:val="18"/>
              </w:rPr>
              <w:t> </w:t>
            </w:r>
            <w:r>
              <w:rPr>
                <w:rFonts w:ascii="黑体" w:hAnsi="黑体" w:cs="黑体" w:eastAsia="黑体" w:hint="default"/>
                <w:spacing w:val="11"/>
                <w:sz w:val="18"/>
                <w:szCs w:val="18"/>
              </w:rPr>
              <w:t>以下</w:t>
            </w:r>
            <w:r>
              <w:rPr>
                <w:rFonts w:ascii="黑体" w:hAnsi="黑体" w:cs="黑体" w:eastAsia="黑体" w:hint="default"/>
                <w:spacing w:val="-67"/>
                <w:sz w:val="18"/>
                <w:szCs w:val="18"/>
              </w:rPr>
              <w:t> </w:t>
            </w:r>
            <w:r>
              <w:rPr>
                <w:rFonts w:ascii="黑体" w:hAnsi="黑体" w:cs="黑体" w:eastAsia="黑体" w:hint="default"/>
                <w:sz w:val="18"/>
                <w:szCs w:val="18"/>
              </w:rPr>
              <w:t>简称</w:t>
            </w:r>
            <w:r>
              <w:rPr>
                <w:rFonts w:ascii="Arial" w:hAnsi="Arial" w:cs="Arial" w:eastAsia="Arial" w:hint="default"/>
                <w:sz w:val="18"/>
                <w:szCs w:val="18"/>
              </w:rPr>
              <w:t>“</w:t>
            </w:r>
            <w:r>
              <w:rPr>
                <w:rFonts w:ascii="黑体" w:hAnsi="黑体" w:cs="黑体" w:eastAsia="黑体" w:hint="default"/>
                <w:sz w:val="18"/>
                <w:szCs w:val="18"/>
              </w:rPr>
              <w:t>用友审计</w:t>
            </w:r>
            <w:r>
              <w:rPr>
                <w:rFonts w:ascii="Arial" w:hAnsi="Arial" w:cs="Arial" w:eastAsia="Arial" w:hint="default"/>
                <w:sz w:val="18"/>
                <w:szCs w:val="18"/>
              </w:rPr>
              <w:t>”)</w:t>
            </w:r>
          </w:p>
        </w:tc>
        <w:tc>
          <w:tcPr>
            <w:tcW w:w="1055" w:type="dxa"/>
            <w:tcBorders>
              <w:top w:val="nil" w:sz="6" w:space="0" w:color="auto"/>
              <w:left w:val="nil" w:sz="6" w:space="0" w:color="auto"/>
              <w:bottom w:val="nil" w:sz="6" w:space="0" w:color="auto"/>
              <w:right w:val="nil" w:sz="6" w:space="0" w:color="auto"/>
            </w:tcBorders>
          </w:tcPr>
          <w:p>
            <w:pPr>
              <w:pStyle w:val="TableParagraph"/>
              <w:spacing w:line="232" w:lineRule="exact" w:before="110"/>
              <w:ind w:left="231" w:right="101" w:hanging="180"/>
              <w:jc w:val="left"/>
              <w:rPr>
                <w:rFonts w:ascii="黑体" w:hAnsi="黑体" w:cs="黑体" w:eastAsia="黑体" w:hint="default"/>
                <w:sz w:val="18"/>
                <w:szCs w:val="18"/>
              </w:rPr>
            </w:pPr>
            <w:r>
              <w:rPr>
                <w:rFonts w:ascii="黑体" w:hAnsi="黑体" w:cs="黑体" w:eastAsia="黑体" w:hint="default"/>
                <w:sz w:val="18"/>
                <w:szCs w:val="18"/>
              </w:rPr>
              <w:t>其他有限责 任公司</w:t>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03" w:right="0"/>
              <w:jc w:val="left"/>
              <w:rPr>
                <w:rFonts w:ascii="黑体" w:hAnsi="黑体" w:cs="黑体" w:eastAsia="黑体" w:hint="default"/>
                <w:sz w:val="18"/>
                <w:szCs w:val="18"/>
              </w:rPr>
            </w:pPr>
            <w:r>
              <w:rPr>
                <w:rFonts w:ascii="黑体" w:hAnsi="黑体" w:cs="黑体" w:eastAsia="黑体" w:hint="default"/>
                <w:sz w:val="18"/>
                <w:szCs w:val="18"/>
              </w:rPr>
              <w:t>北京市</w:t>
            </w:r>
          </w:p>
        </w:tc>
        <w:tc>
          <w:tcPr>
            <w:tcW w:w="72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5"/>
              <w:jc w:val="right"/>
              <w:rPr>
                <w:rFonts w:ascii="黑体" w:hAnsi="黑体" w:cs="黑体" w:eastAsia="黑体" w:hint="default"/>
                <w:sz w:val="18"/>
                <w:szCs w:val="18"/>
              </w:rPr>
            </w:pPr>
            <w:r>
              <w:rPr>
                <w:rFonts w:ascii="黑体" w:hAnsi="黑体" w:cs="黑体" w:eastAsia="黑体" w:hint="default"/>
                <w:sz w:val="18"/>
                <w:szCs w:val="18"/>
              </w:rPr>
              <w:t>王文京</w:t>
            </w:r>
          </w:p>
        </w:tc>
        <w:tc>
          <w:tcPr>
            <w:tcW w:w="992" w:type="dxa"/>
            <w:tcBorders>
              <w:top w:val="nil" w:sz="6" w:space="0" w:color="auto"/>
              <w:left w:val="nil" w:sz="6" w:space="0" w:color="auto"/>
              <w:bottom w:val="nil" w:sz="6" w:space="0" w:color="auto"/>
              <w:right w:val="nil" w:sz="6" w:space="0" w:color="auto"/>
            </w:tcBorders>
          </w:tcPr>
          <w:p>
            <w:pPr>
              <w:pStyle w:val="TableParagraph"/>
              <w:spacing w:line="232" w:lineRule="exact" w:before="117"/>
              <w:ind w:left="27" w:right="62"/>
              <w:jc w:val="left"/>
              <w:rPr>
                <w:rFonts w:ascii="黑体" w:hAnsi="黑体" w:cs="黑体" w:eastAsia="黑体" w:hint="default"/>
                <w:sz w:val="18"/>
                <w:szCs w:val="18"/>
              </w:rPr>
            </w:pPr>
            <w:r>
              <w:rPr>
                <w:rFonts w:ascii="黑体" w:hAnsi="黑体" w:cs="黑体" w:eastAsia="黑体" w:hint="default"/>
                <w:sz w:val="18"/>
                <w:szCs w:val="18"/>
              </w:rPr>
              <w:t>计算机软、 硬件</w:t>
            </w:r>
            <w:r>
              <w:rPr>
                <w:rFonts w:ascii="Arial" w:hAnsi="Arial" w:cs="Arial" w:eastAsia="Arial" w:hint="default"/>
                <w:sz w:val="18"/>
                <w:szCs w:val="18"/>
              </w:rPr>
              <w:t>/</w:t>
            </w:r>
            <w:r>
              <w:rPr>
                <w:rFonts w:ascii="黑体" w:hAnsi="黑体" w:cs="黑体" w:eastAsia="黑体" w:hint="default"/>
                <w:sz w:val="18"/>
                <w:szCs w:val="18"/>
              </w:rPr>
              <w:t>系统 集成行业</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4"/>
              <w:jc w:val="right"/>
              <w:rPr>
                <w:rFonts w:ascii="Arial" w:hAnsi="Arial" w:cs="Arial" w:eastAsia="Arial" w:hint="default"/>
                <w:sz w:val="18"/>
                <w:szCs w:val="18"/>
              </w:rPr>
            </w:pPr>
            <w:r>
              <w:rPr>
                <w:rFonts w:ascii="Arial"/>
                <w:spacing w:val="-1"/>
                <w:sz w:val="18"/>
              </w:rPr>
              <w:t>10,000,000</w:t>
            </w:r>
          </w:p>
        </w:tc>
        <w:tc>
          <w:tcPr>
            <w:tcW w:w="2654" w:type="dxa"/>
            <w:tcBorders>
              <w:top w:val="nil" w:sz="6" w:space="0" w:color="auto"/>
              <w:left w:val="nil" w:sz="6" w:space="0" w:color="auto"/>
              <w:bottom w:val="nil" w:sz="6" w:space="0" w:color="auto"/>
              <w:right w:val="nil" w:sz="6" w:space="0" w:color="auto"/>
            </w:tcBorders>
          </w:tcPr>
          <w:p>
            <w:pPr>
              <w:pStyle w:val="TableParagraph"/>
              <w:spacing w:line="237" w:lineRule="auto" w:before="94"/>
              <w:ind w:left="26" w:right="41"/>
              <w:jc w:val="left"/>
              <w:rPr>
                <w:rFonts w:ascii="黑体" w:hAnsi="黑体" w:cs="黑体" w:eastAsia="黑体" w:hint="default"/>
                <w:sz w:val="18"/>
                <w:szCs w:val="18"/>
              </w:rPr>
            </w:pPr>
            <w:r>
              <w:rPr>
                <w:rFonts w:ascii="黑体" w:hAnsi="黑体" w:cs="黑体" w:eastAsia="黑体" w:hint="default"/>
                <w:sz w:val="18"/>
                <w:szCs w:val="18"/>
              </w:rPr>
              <w:t>基础软件服务；应用软件服务； </w:t>
            </w:r>
            <w:r>
              <w:rPr>
                <w:rFonts w:ascii="黑体" w:hAnsi="黑体" w:cs="黑体" w:eastAsia="黑体" w:hint="default"/>
                <w:spacing w:val="-8"/>
                <w:sz w:val="18"/>
                <w:szCs w:val="18"/>
              </w:rPr>
              <w:t>技术开发、技术推广、技术转让、</w:t>
            </w:r>
            <w:r>
              <w:rPr>
                <w:rFonts w:ascii="黑体" w:hAnsi="黑体" w:cs="黑体" w:eastAsia="黑体" w:hint="default"/>
                <w:spacing w:val="-86"/>
                <w:sz w:val="18"/>
                <w:szCs w:val="18"/>
              </w:rPr>
              <w:t> </w:t>
            </w:r>
            <w:r>
              <w:rPr>
                <w:rFonts w:ascii="黑体" w:hAnsi="黑体" w:cs="黑体" w:eastAsia="黑体" w:hint="default"/>
                <w:spacing w:val="-86"/>
                <w:sz w:val="18"/>
                <w:szCs w:val="18"/>
              </w:rPr>
            </w:r>
            <w:r>
              <w:rPr>
                <w:rFonts w:ascii="黑体" w:hAnsi="黑体" w:cs="黑体" w:eastAsia="黑体" w:hint="default"/>
                <w:sz w:val="18"/>
                <w:szCs w:val="18"/>
              </w:rPr>
              <w:t>技术咨询、技术服务；计算机系</w:t>
            </w:r>
            <w:r>
              <w:rPr>
                <w:rFonts w:ascii="黑体" w:hAnsi="黑体" w:cs="黑体" w:eastAsia="黑体" w:hint="default"/>
                <w:sz w:val="18"/>
                <w:szCs w:val="18"/>
              </w:rPr>
              <w:t> 统服务；计算机维修；销售计算 </w:t>
            </w:r>
            <w:r>
              <w:rPr>
                <w:rFonts w:ascii="黑体" w:hAnsi="黑体" w:cs="黑体" w:eastAsia="黑体" w:hint="default"/>
                <w:spacing w:val="-8"/>
                <w:sz w:val="18"/>
                <w:szCs w:val="18"/>
              </w:rPr>
              <w:t>机、软件及辅助设备、电子产品、</w:t>
            </w:r>
            <w:r>
              <w:rPr>
                <w:rFonts w:ascii="黑体" w:hAnsi="黑体" w:cs="黑体" w:eastAsia="黑体" w:hint="default"/>
                <w:spacing w:val="-86"/>
                <w:sz w:val="18"/>
                <w:szCs w:val="18"/>
              </w:rPr>
              <w:t> </w:t>
            </w:r>
            <w:r>
              <w:rPr>
                <w:rFonts w:ascii="黑体" w:hAnsi="黑体" w:cs="黑体" w:eastAsia="黑体" w:hint="default"/>
                <w:spacing w:val="-86"/>
                <w:sz w:val="18"/>
                <w:szCs w:val="18"/>
              </w:rPr>
            </w:r>
            <w:r>
              <w:rPr>
                <w:rFonts w:ascii="黑体" w:hAnsi="黑体" w:cs="黑体" w:eastAsia="黑体" w:hint="default"/>
                <w:sz w:val="18"/>
                <w:szCs w:val="18"/>
              </w:rPr>
              <w:t>机械设备、通讯设备。</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66"/>
              <w:jc w:val="right"/>
              <w:rPr>
                <w:rFonts w:ascii="Arial" w:hAnsi="Arial" w:cs="Arial" w:eastAsia="Arial" w:hint="default"/>
                <w:sz w:val="18"/>
                <w:szCs w:val="18"/>
              </w:rPr>
            </w:pPr>
            <w:r>
              <w:rPr>
                <w:rFonts w:ascii="Arial"/>
                <w:spacing w:val="-1"/>
                <w:sz w:val="18"/>
              </w:rPr>
              <w:t>78616762-9</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453"/>
              <w:jc w:val="right"/>
              <w:rPr>
                <w:rFonts w:ascii="Arial" w:hAnsi="Arial" w:cs="Arial" w:eastAsia="Arial" w:hint="default"/>
                <w:sz w:val="18"/>
                <w:szCs w:val="18"/>
              </w:rPr>
            </w:pPr>
            <w:r>
              <w:rPr>
                <w:rFonts w:ascii="Arial"/>
                <w:spacing w:val="-1"/>
                <w:sz w:val="18"/>
              </w:rPr>
              <w:t>13,685,542</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22"/>
              <w:jc w:val="right"/>
              <w:rPr>
                <w:rFonts w:ascii="Arial" w:hAnsi="Arial" w:cs="Arial" w:eastAsia="Arial" w:hint="default"/>
                <w:sz w:val="18"/>
                <w:szCs w:val="18"/>
              </w:rPr>
            </w:pPr>
            <w:r>
              <w:rPr>
                <w:rFonts w:ascii="Arial"/>
                <w:w w:val="95"/>
                <w:sz w:val="18"/>
              </w:rPr>
              <w:t>82</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07"/>
              <w:jc w:val="right"/>
              <w:rPr>
                <w:rFonts w:ascii="Arial" w:hAnsi="Arial" w:cs="Arial" w:eastAsia="Arial" w:hint="default"/>
                <w:sz w:val="18"/>
                <w:szCs w:val="18"/>
              </w:rPr>
            </w:pPr>
            <w:r>
              <w:rPr>
                <w:rFonts w:ascii="Arial"/>
                <w:w w:val="95"/>
                <w:sz w:val="18"/>
              </w:rPr>
              <w:t>82</w:t>
            </w:r>
            <w:r>
              <w:rPr>
                <w:rFonts w:ascii="Arial"/>
                <w:sz w:val="18"/>
              </w:rPr>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54"/>
              <w:jc w:val="right"/>
              <w:rPr>
                <w:rFonts w:ascii="黑体" w:hAnsi="黑体" w:cs="黑体" w:eastAsia="黑体" w:hint="default"/>
                <w:sz w:val="18"/>
                <w:szCs w:val="18"/>
              </w:rPr>
            </w:pPr>
            <w:r>
              <w:rPr>
                <w:rFonts w:ascii="黑体" w:hAnsi="黑体" w:cs="黑体" w:eastAsia="黑体" w:hint="default"/>
                <w:sz w:val="18"/>
                <w:szCs w:val="18"/>
              </w:rPr>
              <w:t>是</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98"/>
              <w:jc w:val="right"/>
              <w:rPr>
                <w:rFonts w:ascii="Arial" w:hAnsi="Arial" w:cs="Arial" w:eastAsia="Arial" w:hint="default"/>
                <w:sz w:val="18"/>
                <w:szCs w:val="18"/>
              </w:rPr>
            </w:pPr>
            <w:r>
              <w:rPr>
                <w:rFonts w:ascii="Arial"/>
                <w:spacing w:val="-1"/>
                <w:sz w:val="18"/>
              </w:rPr>
              <w:t>3,053,000</w:t>
            </w:r>
          </w:p>
        </w:tc>
      </w:tr>
      <w:tr>
        <w:trPr>
          <w:trHeight w:val="1249" w:hRule="exact"/>
        </w:trPr>
        <w:tc>
          <w:tcPr>
            <w:tcW w:w="1749" w:type="dxa"/>
            <w:tcBorders>
              <w:top w:val="nil" w:sz="6" w:space="0" w:color="auto"/>
              <w:left w:val="nil" w:sz="6" w:space="0" w:color="auto"/>
              <w:bottom w:val="nil" w:sz="6" w:space="0" w:color="auto"/>
              <w:right w:val="nil" w:sz="6" w:space="0" w:color="auto"/>
            </w:tcBorders>
          </w:tcPr>
          <w:p>
            <w:pPr>
              <w:pStyle w:val="TableParagraph"/>
              <w:spacing w:line="230" w:lineRule="auto" w:before="86"/>
              <w:ind w:left="381" w:right="49" w:hanging="182"/>
              <w:jc w:val="both"/>
              <w:rPr>
                <w:rFonts w:ascii="Arial" w:hAnsi="Arial" w:cs="Arial" w:eastAsia="Arial" w:hint="default"/>
                <w:sz w:val="18"/>
                <w:szCs w:val="18"/>
              </w:rPr>
            </w:pPr>
            <w:r>
              <w:rPr>
                <w:rFonts w:ascii="黑体" w:hAnsi="黑体" w:cs="黑体" w:eastAsia="黑体" w:hint="default"/>
                <w:spacing w:val="6"/>
                <w:sz w:val="18"/>
                <w:szCs w:val="18"/>
              </w:rPr>
              <w:t>用友汽车信息科技</w:t>
            </w:r>
            <w:r>
              <w:rPr>
                <w:rFonts w:ascii="黑体" w:hAnsi="黑体" w:cs="黑体" w:eastAsia="黑体" w:hint="default"/>
                <w:spacing w:val="-86"/>
                <w:sz w:val="18"/>
                <w:szCs w:val="18"/>
              </w:rPr>
              <w:t> </w:t>
            </w:r>
            <w:r>
              <w:rPr>
                <w:rFonts w:ascii="黑体" w:hAnsi="黑体" w:cs="黑体" w:eastAsia="黑体" w:hint="default"/>
                <w:spacing w:val="-86"/>
                <w:sz w:val="18"/>
                <w:szCs w:val="18"/>
              </w:rPr>
            </w:r>
            <w:r>
              <w:rPr>
                <w:rFonts w:ascii="Arial" w:hAnsi="Arial" w:cs="Arial" w:eastAsia="Arial" w:hint="default"/>
                <w:spacing w:val="14"/>
                <w:sz w:val="18"/>
                <w:szCs w:val="18"/>
              </w:rPr>
              <w:t>(</w:t>
            </w:r>
            <w:r>
              <w:rPr>
                <w:rFonts w:ascii="黑体" w:hAnsi="黑体" w:cs="黑体" w:eastAsia="黑体" w:hint="default"/>
                <w:spacing w:val="14"/>
                <w:sz w:val="18"/>
                <w:szCs w:val="18"/>
              </w:rPr>
              <w:t>上海</w:t>
            </w:r>
            <w:r>
              <w:rPr>
                <w:rFonts w:ascii="Arial" w:hAnsi="Arial" w:cs="Arial" w:eastAsia="Arial" w:hint="default"/>
                <w:spacing w:val="14"/>
                <w:sz w:val="18"/>
                <w:szCs w:val="18"/>
              </w:rPr>
              <w:t>)</w:t>
            </w:r>
            <w:r>
              <w:rPr>
                <w:rFonts w:ascii="黑体" w:hAnsi="黑体" w:cs="黑体" w:eastAsia="黑体" w:hint="default"/>
                <w:spacing w:val="14"/>
                <w:sz w:val="18"/>
                <w:szCs w:val="18"/>
              </w:rPr>
              <w:t>有限公司 </w:t>
            </w:r>
            <w:r>
              <w:rPr>
                <w:rFonts w:ascii="Arial" w:hAnsi="Arial" w:cs="Arial" w:eastAsia="Arial" w:hint="default"/>
                <w:spacing w:val="14"/>
                <w:sz w:val="18"/>
                <w:szCs w:val="18"/>
              </w:rPr>
              <w:t>(</w:t>
            </w:r>
            <w:r>
              <w:rPr>
                <w:rFonts w:ascii="黑体" w:hAnsi="黑体" w:cs="黑体" w:eastAsia="黑体" w:hint="default"/>
                <w:spacing w:val="14"/>
                <w:sz w:val="18"/>
                <w:szCs w:val="18"/>
              </w:rPr>
              <w:t>以下简称</w:t>
            </w:r>
            <w:r>
              <w:rPr>
                <w:rFonts w:ascii="Arial" w:hAnsi="Arial" w:cs="Arial" w:eastAsia="Arial" w:hint="default"/>
                <w:spacing w:val="14"/>
                <w:sz w:val="18"/>
                <w:szCs w:val="18"/>
              </w:rPr>
              <w:t>”</w:t>
            </w:r>
            <w:r>
              <w:rPr>
                <w:rFonts w:ascii="黑体" w:hAnsi="黑体" w:cs="黑体" w:eastAsia="黑体" w:hint="default"/>
                <w:spacing w:val="14"/>
                <w:sz w:val="18"/>
                <w:szCs w:val="18"/>
              </w:rPr>
              <w:t>用友 </w:t>
            </w:r>
            <w:r>
              <w:rPr>
                <w:rFonts w:ascii="黑体" w:hAnsi="黑体" w:cs="黑体" w:eastAsia="黑体" w:hint="default"/>
                <w:sz w:val="18"/>
                <w:szCs w:val="18"/>
              </w:rPr>
              <w:t>汽车</w:t>
            </w:r>
            <w:r>
              <w:rPr>
                <w:rFonts w:ascii="Arial" w:hAnsi="Arial" w:cs="Arial" w:eastAsia="Arial" w:hint="default"/>
                <w:sz w:val="18"/>
                <w:szCs w:val="18"/>
              </w:rPr>
              <w:t>”)</w:t>
            </w:r>
          </w:p>
        </w:tc>
        <w:tc>
          <w:tcPr>
            <w:tcW w:w="1055" w:type="dxa"/>
            <w:tcBorders>
              <w:top w:val="nil" w:sz="6" w:space="0" w:color="auto"/>
              <w:left w:val="nil" w:sz="6" w:space="0" w:color="auto"/>
              <w:bottom w:val="nil" w:sz="6" w:space="0" w:color="auto"/>
              <w:right w:val="nil" w:sz="6" w:space="0" w:color="auto"/>
            </w:tcBorders>
          </w:tcPr>
          <w:p>
            <w:pPr>
              <w:pStyle w:val="TableParagraph"/>
              <w:spacing w:line="232" w:lineRule="auto" w:before="76"/>
              <w:ind w:left="231" w:right="101" w:hanging="180"/>
              <w:jc w:val="left"/>
              <w:rPr>
                <w:rFonts w:ascii="Arial" w:hAnsi="Arial" w:cs="Arial" w:eastAsia="Arial" w:hint="default"/>
                <w:sz w:val="18"/>
                <w:szCs w:val="18"/>
              </w:rPr>
            </w:pPr>
            <w:r>
              <w:rPr>
                <w:rFonts w:ascii="黑体" w:hAnsi="黑体" w:cs="黑体" w:eastAsia="黑体" w:hint="default"/>
                <w:sz w:val="18"/>
                <w:szCs w:val="18"/>
              </w:rPr>
              <w:t>有限责任公 司</w:t>
            </w:r>
            <w:r>
              <w:rPr>
                <w:rFonts w:ascii="Arial" w:hAnsi="Arial" w:cs="Arial" w:eastAsia="Arial" w:hint="default"/>
                <w:sz w:val="18"/>
                <w:szCs w:val="18"/>
              </w:rPr>
              <w:t>(</w:t>
            </w:r>
            <w:r>
              <w:rPr>
                <w:rFonts w:ascii="黑体" w:hAnsi="黑体" w:cs="黑体" w:eastAsia="黑体" w:hint="default"/>
                <w:sz w:val="18"/>
                <w:szCs w:val="18"/>
              </w:rPr>
              <w:t>国内 合资</w:t>
            </w:r>
            <w:r>
              <w:rPr>
                <w:rFonts w:ascii="Arial" w:hAnsi="Arial" w:cs="Arial" w:eastAsia="Arial" w:hint="default"/>
                <w:sz w:val="18"/>
                <w:szCs w:val="18"/>
              </w:rPr>
              <w:t>)</w:t>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03" w:right="0"/>
              <w:jc w:val="left"/>
              <w:rPr>
                <w:rFonts w:ascii="黑体" w:hAnsi="黑体" w:cs="黑体" w:eastAsia="黑体" w:hint="default"/>
                <w:sz w:val="18"/>
                <w:szCs w:val="18"/>
              </w:rPr>
            </w:pPr>
            <w:r>
              <w:rPr>
                <w:rFonts w:ascii="黑体" w:hAnsi="黑体" w:cs="黑体" w:eastAsia="黑体" w:hint="default"/>
                <w:sz w:val="18"/>
                <w:szCs w:val="18"/>
              </w:rPr>
              <w:t>上海市</w:t>
            </w:r>
          </w:p>
        </w:tc>
        <w:tc>
          <w:tcPr>
            <w:tcW w:w="722"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5"/>
              <w:jc w:val="right"/>
              <w:rPr>
                <w:rFonts w:ascii="黑体" w:hAnsi="黑体" w:cs="黑体" w:eastAsia="黑体" w:hint="default"/>
                <w:sz w:val="18"/>
                <w:szCs w:val="18"/>
              </w:rPr>
            </w:pPr>
            <w:r>
              <w:rPr>
                <w:rFonts w:ascii="黑体" w:hAnsi="黑体" w:cs="黑体" w:eastAsia="黑体" w:hint="default"/>
                <w:sz w:val="18"/>
                <w:szCs w:val="18"/>
              </w:rPr>
              <w:t>王文京</w:t>
            </w:r>
          </w:p>
        </w:tc>
        <w:tc>
          <w:tcPr>
            <w:tcW w:w="992" w:type="dxa"/>
            <w:tcBorders>
              <w:top w:val="nil" w:sz="6" w:space="0" w:color="auto"/>
              <w:left w:val="nil" w:sz="6" w:space="0" w:color="auto"/>
              <w:bottom w:val="nil" w:sz="6" w:space="0" w:color="auto"/>
              <w:right w:val="nil" w:sz="6" w:space="0" w:color="auto"/>
            </w:tcBorders>
          </w:tcPr>
          <w:p>
            <w:pPr>
              <w:pStyle w:val="TableParagraph"/>
              <w:spacing w:line="230" w:lineRule="auto" w:before="86"/>
              <w:ind w:left="27" w:right="192"/>
              <w:jc w:val="both"/>
              <w:rPr>
                <w:rFonts w:ascii="黑体" w:hAnsi="黑体" w:cs="黑体" w:eastAsia="黑体" w:hint="default"/>
                <w:sz w:val="18"/>
                <w:szCs w:val="18"/>
              </w:rPr>
            </w:pPr>
            <w:r>
              <w:rPr>
                <w:rFonts w:ascii="黑体" w:hAnsi="黑体" w:cs="黑体" w:eastAsia="黑体" w:hint="default"/>
                <w:sz w:val="18"/>
                <w:szCs w:val="18"/>
              </w:rPr>
              <w:t>计算机软 件</w:t>
            </w:r>
            <w:r>
              <w:rPr>
                <w:rFonts w:ascii="Arial" w:hAnsi="Arial" w:cs="Arial" w:eastAsia="Arial" w:hint="default"/>
                <w:sz w:val="18"/>
                <w:szCs w:val="18"/>
              </w:rPr>
              <w:t>/</w:t>
            </w:r>
            <w:r>
              <w:rPr>
                <w:rFonts w:ascii="黑体" w:hAnsi="黑体" w:cs="黑体" w:eastAsia="黑体" w:hint="default"/>
                <w:sz w:val="18"/>
                <w:szCs w:val="18"/>
              </w:rPr>
              <w:t>系统集 成</w:t>
            </w:r>
            <w:r>
              <w:rPr>
                <w:rFonts w:ascii="Arial" w:hAnsi="Arial" w:cs="Arial" w:eastAsia="Arial" w:hint="default"/>
                <w:sz w:val="18"/>
                <w:szCs w:val="18"/>
              </w:rPr>
              <w:t>/</w:t>
            </w:r>
            <w:r>
              <w:rPr>
                <w:rFonts w:ascii="黑体" w:hAnsi="黑体" w:cs="黑体" w:eastAsia="黑体" w:hint="default"/>
                <w:sz w:val="18"/>
                <w:szCs w:val="18"/>
              </w:rPr>
              <w:t>咨询行 业</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4"/>
              <w:jc w:val="right"/>
              <w:rPr>
                <w:rFonts w:ascii="Arial" w:hAnsi="Arial" w:cs="Arial" w:eastAsia="Arial" w:hint="default"/>
                <w:sz w:val="18"/>
                <w:szCs w:val="18"/>
              </w:rPr>
            </w:pPr>
            <w:r>
              <w:rPr>
                <w:rFonts w:ascii="Arial"/>
                <w:spacing w:val="-1"/>
                <w:sz w:val="18"/>
              </w:rPr>
              <w:t>36,000,000</w:t>
            </w:r>
          </w:p>
        </w:tc>
        <w:tc>
          <w:tcPr>
            <w:tcW w:w="2654" w:type="dxa"/>
            <w:tcBorders>
              <w:top w:val="nil" w:sz="6" w:space="0" w:color="auto"/>
              <w:left w:val="nil" w:sz="6" w:space="0" w:color="auto"/>
              <w:bottom w:val="nil" w:sz="6" w:space="0" w:color="auto"/>
              <w:right w:val="nil" w:sz="6" w:space="0" w:color="auto"/>
            </w:tcBorders>
          </w:tcPr>
          <w:p>
            <w:pPr>
              <w:pStyle w:val="TableParagraph"/>
              <w:spacing w:line="237" w:lineRule="auto" w:before="79"/>
              <w:ind w:left="26" w:right="104"/>
              <w:jc w:val="both"/>
              <w:rPr>
                <w:rFonts w:ascii="黑体" w:hAnsi="黑体" w:cs="黑体" w:eastAsia="黑体" w:hint="default"/>
                <w:sz w:val="18"/>
                <w:szCs w:val="18"/>
              </w:rPr>
            </w:pPr>
            <w:r>
              <w:rPr>
                <w:rFonts w:ascii="黑体" w:hAnsi="黑体" w:cs="黑体" w:eastAsia="黑体" w:hint="default"/>
                <w:spacing w:val="-2"/>
                <w:sz w:val="18"/>
                <w:szCs w:val="18"/>
              </w:rPr>
              <w:t>计算机软硬件及网络设备、产品</w:t>
            </w:r>
            <w:r>
              <w:rPr>
                <w:rFonts w:ascii="黑体" w:hAnsi="黑体" w:cs="黑体" w:eastAsia="黑体" w:hint="default"/>
                <w:spacing w:val="-86"/>
                <w:sz w:val="18"/>
                <w:szCs w:val="18"/>
              </w:rPr>
              <w:t> </w:t>
            </w:r>
            <w:r>
              <w:rPr>
                <w:rFonts w:ascii="黑体" w:hAnsi="黑体" w:cs="黑体" w:eastAsia="黑体" w:hint="default"/>
                <w:spacing w:val="-86"/>
                <w:sz w:val="18"/>
                <w:szCs w:val="18"/>
              </w:rPr>
            </w:r>
            <w:r>
              <w:rPr>
                <w:rFonts w:ascii="黑体" w:hAnsi="黑体" w:cs="黑体" w:eastAsia="黑体" w:hint="default"/>
                <w:sz w:val="18"/>
                <w:szCs w:val="18"/>
              </w:rPr>
              <w:t>及系统集成的技术开发、转让、 </w:t>
            </w:r>
            <w:r>
              <w:rPr>
                <w:rFonts w:ascii="黑体" w:hAnsi="黑体" w:cs="黑体" w:eastAsia="黑体" w:hint="default"/>
                <w:spacing w:val="-2"/>
                <w:sz w:val="18"/>
                <w:szCs w:val="18"/>
              </w:rPr>
              <w:t>服务、咨询、网络布线、办公自</w:t>
            </w:r>
            <w:r>
              <w:rPr>
                <w:rFonts w:ascii="黑体" w:hAnsi="黑体" w:cs="黑体" w:eastAsia="黑体" w:hint="default"/>
                <w:sz w:val="18"/>
                <w:szCs w:val="18"/>
              </w:rPr>
              <w:t> </w:t>
            </w:r>
            <w:r>
              <w:rPr>
                <w:rFonts w:ascii="黑体" w:hAnsi="黑体" w:cs="黑体" w:eastAsia="黑体" w:hint="default"/>
                <w:spacing w:val="-2"/>
                <w:sz w:val="18"/>
                <w:szCs w:val="18"/>
              </w:rPr>
              <w:t>动化产品、电子产品、通讯设备</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z w:val="18"/>
                <w:szCs w:val="18"/>
              </w:rPr>
              <w:t>的销售，企业管理咨询。</w:t>
            </w:r>
          </w:p>
        </w:tc>
        <w:tc>
          <w:tcPr>
            <w:tcW w:w="1072"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66"/>
              <w:jc w:val="right"/>
              <w:rPr>
                <w:rFonts w:ascii="Arial" w:hAnsi="Arial" w:cs="Arial" w:eastAsia="Arial" w:hint="default"/>
                <w:sz w:val="18"/>
                <w:szCs w:val="18"/>
              </w:rPr>
            </w:pPr>
            <w:r>
              <w:rPr>
                <w:rFonts w:ascii="Arial"/>
                <w:spacing w:val="-1"/>
                <w:sz w:val="18"/>
              </w:rPr>
              <w:t>74805957-1</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452"/>
              <w:jc w:val="right"/>
              <w:rPr>
                <w:rFonts w:ascii="Arial" w:hAnsi="Arial" w:cs="Arial" w:eastAsia="Arial" w:hint="default"/>
                <w:sz w:val="18"/>
                <w:szCs w:val="18"/>
              </w:rPr>
            </w:pPr>
            <w:r>
              <w:rPr>
                <w:rFonts w:ascii="Arial"/>
                <w:spacing w:val="-1"/>
                <w:sz w:val="18"/>
              </w:rPr>
              <w:t>491,000,000</w:t>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22"/>
              <w:jc w:val="right"/>
              <w:rPr>
                <w:rFonts w:ascii="Arial" w:hAnsi="Arial" w:cs="Arial" w:eastAsia="Arial" w:hint="default"/>
                <w:sz w:val="18"/>
                <w:szCs w:val="18"/>
              </w:rPr>
            </w:pPr>
            <w:r>
              <w:rPr>
                <w:rFonts w:ascii="Arial"/>
                <w:w w:val="95"/>
                <w:sz w:val="18"/>
              </w:rPr>
              <w:t>100</w:t>
            </w:r>
            <w:r>
              <w:rPr>
                <w:rFonts w:ascii="Arial"/>
                <w:sz w:val="18"/>
              </w:rPr>
            </w:r>
          </w:p>
        </w:tc>
        <w:tc>
          <w:tcPr>
            <w:tcW w:w="876"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07"/>
              <w:jc w:val="right"/>
              <w:rPr>
                <w:rFonts w:ascii="Arial" w:hAnsi="Arial" w:cs="Arial" w:eastAsia="Arial" w:hint="default"/>
                <w:sz w:val="18"/>
                <w:szCs w:val="18"/>
              </w:rPr>
            </w:pPr>
            <w:r>
              <w:rPr>
                <w:rFonts w:ascii="Arial"/>
                <w:w w:val="95"/>
                <w:sz w:val="18"/>
              </w:rPr>
              <w:t>100</w:t>
            </w:r>
            <w:r>
              <w:rPr>
                <w:rFonts w:ascii="Arial"/>
                <w:sz w:val="18"/>
              </w:rPr>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54"/>
              <w:jc w:val="right"/>
              <w:rPr>
                <w:rFonts w:ascii="黑体" w:hAnsi="黑体" w:cs="黑体" w:eastAsia="黑体" w:hint="default"/>
                <w:sz w:val="18"/>
                <w:szCs w:val="18"/>
              </w:rPr>
            </w:pPr>
            <w:r>
              <w:rPr>
                <w:rFonts w:ascii="黑体" w:hAnsi="黑体" w:cs="黑体" w:eastAsia="黑体" w:hint="default"/>
                <w:sz w:val="18"/>
                <w:szCs w:val="18"/>
              </w:rPr>
              <w:t>是</w:t>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98"/>
              <w:jc w:val="right"/>
              <w:rPr>
                <w:rFonts w:ascii="Arial" w:hAnsi="Arial" w:cs="Arial" w:eastAsia="Arial" w:hint="default"/>
                <w:sz w:val="18"/>
                <w:szCs w:val="18"/>
              </w:rPr>
            </w:pPr>
            <w:r>
              <w:rPr>
                <w:rFonts w:ascii="Arial"/>
                <w:spacing w:val="-1"/>
                <w:sz w:val="18"/>
              </w:rPr>
              <w:t>9,268,405</w:t>
            </w:r>
          </w:p>
        </w:tc>
      </w:tr>
    </w:tbl>
    <w:p>
      <w:pPr>
        <w:spacing w:after="0" w:line="240" w:lineRule="auto"/>
        <w:jc w:val="right"/>
        <w:rPr>
          <w:rFonts w:ascii="Arial" w:hAnsi="Arial" w:cs="Arial" w:eastAsia="Arial" w:hint="default"/>
          <w:sz w:val="18"/>
          <w:szCs w:val="18"/>
        </w:rPr>
        <w:sectPr>
          <w:pgSz w:w="16850" w:h="11910" w:orient="landscape"/>
          <w:pgMar w:header="957" w:footer="857" w:top="2620" w:bottom="1040" w:left="440" w:right="340"/>
        </w:sectPr>
      </w:pPr>
    </w:p>
    <w:p>
      <w:pPr>
        <w:spacing w:line="240" w:lineRule="auto" w:before="10"/>
        <w:rPr>
          <w:rFonts w:ascii="黑体" w:hAnsi="黑体" w:cs="黑体" w:eastAsia="黑体" w:hint="default"/>
          <w:sz w:val="23"/>
          <w:szCs w:val="23"/>
        </w:rPr>
      </w:pPr>
    </w:p>
    <w:p>
      <w:pPr>
        <w:pStyle w:val="Heading6"/>
        <w:spacing w:line="240" w:lineRule="auto"/>
        <w:ind w:left="293" w:right="12324"/>
        <w:jc w:val="left"/>
        <w:rPr>
          <w:b w:val="0"/>
          <w:bCs w:val="0"/>
        </w:rPr>
      </w:pPr>
      <w:r>
        <w:rPr/>
        <w:t>四、合并财务报表的合并范围（续）</w:t>
      </w:r>
      <w:r>
        <w:rPr>
          <w:b w:val="0"/>
          <w:bCs w:val="0"/>
        </w:rPr>
      </w:r>
    </w:p>
    <w:p>
      <w:pPr>
        <w:spacing w:line="240" w:lineRule="auto" w:before="7"/>
        <w:rPr>
          <w:rFonts w:ascii="黑体" w:hAnsi="黑体" w:cs="黑体" w:eastAsia="黑体" w:hint="default"/>
          <w:b/>
          <w:bCs/>
          <w:sz w:val="18"/>
          <w:szCs w:val="18"/>
        </w:rPr>
      </w:pPr>
    </w:p>
    <w:p>
      <w:pPr>
        <w:tabs>
          <w:tab w:pos="763" w:val="left" w:leader="none"/>
        </w:tabs>
        <w:spacing w:line="439" w:lineRule="auto" w:before="0"/>
        <w:ind w:left="295" w:right="12324" w:firstLine="0"/>
        <w:jc w:val="left"/>
        <w:rPr>
          <w:rFonts w:ascii="黑体" w:hAnsi="黑体" w:cs="黑体" w:eastAsia="黑体" w:hint="default"/>
          <w:sz w:val="20"/>
          <w:szCs w:val="20"/>
        </w:rPr>
      </w:pPr>
      <w:r>
        <w:rPr>
          <w:rFonts w:ascii="Arial" w:hAnsi="Arial" w:cs="Arial" w:eastAsia="Arial" w:hint="default"/>
          <w:b/>
          <w:bCs/>
          <w:spacing w:val="-1"/>
          <w:sz w:val="20"/>
          <w:szCs w:val="20"/>
        </w:rPr>
        <w:t>1.</w:t>
        <w:tab/>
      </w:r>
      <w:r>
        <w:rPr>
          <w:rFonts w:ascii="黑体" w:hAnsi="黑体" w:cs="黑体" w:eastAsia="黑体" w:hint="default"/>
          <w:b/>
          <w:bCs/>
          <w:spacing w:val="1"/>
          <w:sz w:val="20"/>
          <w:szCs w:val="20"/>
        </w:rPr>
        <w:t>子公司情况（续）</w:t>
      </w:r>
      <w:r>
        <w:rPr>
          <w:rFonts w:ascii="黑体" w:hAnsi="黑体" w:cs="黑体" w:eastAsia="黑体" w:hint="default"/>
          <w:b/>
          <w:bCs/>
          <w:w w:val="99"/>
          <w:sz w:val="20"/>
          <w:szCs w:val="20"/>
        </w:rPr>
        <w:t> </w:t>
      </w:r>
      <w:r>
        <w:rPr>
          <w:rFonts w:ascii="黑体" w:hAnsi="黑体" w:cs="黑体" w:eastAsia="黑体" w:hint="default"/>
          <w:sz w:val="20"/>
          <w:szCs w:val="20"/>
        </w:rPr>
        <w:t>本集团重要子公司的情况如下（续）：</w:t>
      </w:r>
      <w:r>
        <w:rPr>
          <w:rFonts w:ascii="黑体" w:hAnsi="黑体" w:cs="黑体" w:eastAsia="黑体" w:hint="default"/>
          <w:w w:val="99"/>
          <w:sz w:val="20"/>
          <w:szCs w:val="20"/>
        </w:rPr>
        <w:t> </w:t>
      </w:r>
      <w:r>
        <w:rPr>
          <w:rFonts w:ascii="黑体" w:hAnsi="黑体" w:cs="黑体" w:eastAsia="黑体" w:hint="default"/>
          <w:sz w:val="20"/>
          <w:szCs w:val="20"/>
        </w:rPr>
        <w:t>非同一控制下企业合并取得的子公司</w:t>
      </w:r>
    </w:p>
    <w:p>
      <w:pPr>
        <w:spacing w:line="240" w:lineRule="auto" w:before="4"/>
        <w:rPr>
          <w:rFonts w:ascii="黑体" w:hAnsi="黑体" w:cs="黑体" w:eastAsia="黑体" w:hint="default"/>
          <w:sz w:val="22"/>
          <w:szCs w:val="22"/>
        </w:rPr>
      </w:pPr>
    </w:p>
    <w:tbl>
      <w:tblPr>
        <w:tblW w:w="0" w:type="auto"/>
        <w:jc w:val="left"/>
        <w:tblInd w:w="108" w:type="dxa"/>
        <w:tblLayout w:type="fixed"/>
        <w:tblCellMar>
          <w:top w:w="0" w:type="dxa"/>
          <w:left w:w="0" w:type="dxa"/>
          <w:bottom w:w="0" w:type="dxa"/>
          <w:right w:w="0" w:type="dxa"/>
        </w:tblCellMar>
        <w:tblLook w:val="01E0"/>
      </w:tblPr>
      <w:tblGrid>
        <w:gridCol w:w="1720"/>
        <w:gridCol w:w="947"/>
        <w:gridCol w:w="714"/>
        <w:gridCol w:w="641"/>
        <w:gridCol w:w="1138"/>
        <w:gridCol w:w="1059"/>
        <w:gridCol w:w="2673"/>
        <w:gridCol w:w="1189"/>
        <w:gridCol w:w="1324"/>
        <w:gridCol w:w="912"/>
        <w:gridCol w:w="1019"/>
        <w:gridCol w:w="1258"/>
        <w:gridCol w:w="1218"/>
      </w:tblGrid>
      <w:tr>
        <w:trPr>
          <w:trHeight w:val="228" w:hRule="exact"/>
        </w:trPr>
        <w:tc>
          <w:tcPr>
            <w:tcW w:w="1720" w:type="dxa"/>
            <w:tcBorders>
              <w:top w:val="nil" w:sz="6" w:space="0" w:color="auto"/>
              <w:left w:val="nil" w:sz="6" w:space="0" w:color="auto"/>
              <w:bottom w:val="nil" w:sz="6" w:space="0" w:color="auto"/>
              <w:right w:val="nil" w:sz="6" w:space="0" w:color="auto"/>
            </w:tcBorders>
          </w:tcPr>
          <w:p>
            <w:pPr/>
          </w:p>
        </w:tc>
        <w:tc>
          <w:tcPr>
            <w:tcW w:w="947" w:type="dxa"/>
            <w:tcBorders>
              <w:top w:val="nil" w:sz="6" w:space="0" w:color="auto"/>
              <w:left w:val="nil" w:sz="6" w:space="0" w:color="auto"/>
              <w:bottom w:val="nil" w:sz="6" w:space="0" w:color="auto"/>
              <w:right w:val="nil" w:sz="6" w:space="0" w:color="auto"/>
            </w:tcBorders>
          </w:tcPr>
          <w:p>
            <w:pPr>
              <w:pStyle w:val="TableParagraph"/>
              <w:spacing w:line="180" w:lineRule="exact"/>
              <w:ind w:right="211"/>
              <w:jc w:val="right"/>
              <w:rPr>
                <w:rFonts w:ascii="黑体" w:hAnsi="黑体" w:cs="黑体" w:eastAsia="黑体" w:hint="default"/>
                <w:sz w:val="18"/>
                <w:szCs w:val="18"/>
              </w:rPr>
            </w:pPr>
            <w:r>
              <w:rPr>
                <w:rFonts w:ascii="黑体" w:hAnsi="黑体" w:cs="黑体" w:eastAsia="黑体" w:hint="default"/>
                <w:sz w:val="18"/>
                <w:szCs w:val="18"/>
              </w:rPr>
              <w:t>子公司</w:t>
            </w:r>
          </w:p>
        </w:tc>
        <w:tc>
          <w:tcPr>
            <w:tcW w:w="714" w:type="dxa"/>
            <w:tcBorders>
              <w:top w:val="nil" w:sz="6" w:space="0" w:color="auto"/>
              <w:left w:val="nil" w:sz="6" w:space="0" w:color="auto"/>
              <w:bottom w:val="nil" w:sz="6" w:space="0" w:color="auto"/>
              <w:right w:val="nil" w:sz="6" w:space="0" w:color="auto"/>
            </w:tcBorders>
          </w:tcPr>
          <w:p>
            <w:pPr/>
          </w:p>
        </w:tc>
        <w:tc>
          <w:tcPr>
            <w:tcW w:w="641" w:type="dxa"/>
            <w:tcBorders>
              <w:top w:val="nil" w:sz="6" w:space="0" w:color="auto"/>
              <w:left w:val="nil" w:sz="6" w:space="0" w:color="auto"/>
              <w:bottom w:val="nil" w:sz="6" w:space="0" w:color="auto"/>
              <w:right w:val="nil" w:sz="6" w:space="0" w:color="auto"/>
            </w:tcBorders>
          </w:tcPr>
          <w:p>
            <w:pPr>
              <w:pStyle w:val="TableParagraph"/>
              <w:spacing w:line="180" w:lineRule="exact"/>
              <w:ind w:right="25"/>
              <w:jc w:val="right"/>
              <w:rPr>
                <w:rFonts w:ascii="黑体" w:hAnsi="黑体" w:cs="黑体" w:eastAsia="黑体" w:hint="default"/>
                <w:sz w:val="18"/>
                <w:szCs w:val="18"/>
              </w:rPr>
            </w:pPr>
            <w:r>
              <w:rPr>
                <w:rFonts w:ascii="黑体" w:hAnsi="黑体" w:cs="黑体" w:eastAsia="黑体" w:hint="default"/>
                <w:sz w:val="18"/>
                <w:szCs w:val="18"/>
              </w:rPr>
              <w:t>法定</w:t>
            </w:r>
          </w:p>
        </w:tc>
        <w:tc>
          <w:tcPr>
            <w:tcW w:w="1138" w:type="dxa"/>
            <w:tcBorders>
              <w:top w:val="nil" w:sz="6" w:space="0" w:color="auto"/>
              <w:left w:val="nil" w:sz="6" w:space="0" w:color="auto"/>
              <w:bottom w:val="nil" w:sz="6" w:space="0" w:color="auto"/>
              <w:right w:val="nil" w:sz="6" w:space="0" w:color="auto"/>
            </w:tcBorders>
          </w:tcPr>
          <w:p>
            <w:pPr/>
          </w:p>
        </w:tc>
        <w:tc>
          <w:tcPr>
            <w:tcW w:w="1059" w:type="dxa"/>
            <w:tcBorders>
              <w:top w:val="nil" w:sz="6" w:space="0" w:color="auto"/>
              <w:left w:val="nil" w:sz="6" w:space="0" w:color="auto"/>
              <w:bottom w:val="nil" w:sz="6" w:space="0" w:color="auto"/>
              <w:right w:val="nil" w:sz="6" w:space="0" w:color="auto"/>
            </w:tcBorders>
          </w:tcPr>
          <w:p>
            <w:pPr/>
          </w:p>
        </w:tc>
        <w:tc>
          <w:tcPr>
            <w:tcW w:w="2673" w:type="dxa"/>
            <w:tcBorders>
              <w:top w:val="nil" w:sz="6" w:space="0" w:color="auto"/>
              <w:left w:val="nil" w:sz="6" w:space="0" w:color="auto"/>
              <w:bottom w:val="nil" w:sz="6" w:space="0" w:color="auto"/>
              <w:right w:val="nil" w:sz="6" w:space="0" w:color="auto"/>
            </w:tcBorders>
          </w:tcPr>
          <w:p>
            <w:pPr/>
          </w:p>
        </w:tc>
        <w:tc>
          <w:tcPr>
            <w:tcW w:w="1189" w:type="dxa"/>
            <w:tcBorders>
              <w:top w:val="nil" w:sz="6" w:space="0" w:color="auto"/>
              <w:left w:val="nil" w:sz="6" w:space="0" w:color="auto"/>
              <w:bottom w:val="nil" w:sz="6" w:space="0" w:color="auto"/>
              <w:right w:val="nil" w:sz="6" w:space="0" w:color="auto"/>
            </w:tcBorders>
          </w:tcPr>
          <w:p>
            <w:pPr>
              <w:pStyle w:val="TableParagraph"/>
              <w:spacing w:line="180" w:lineRule="exact"/>
              <w:ind w:right="108"/>
              <w:jc w:val="right"/>
              <w:rPr>
                <w:rFonts w:ascii="黑体" w:hAnsi="黑体" w:cs="黑体" w:eastAsia="黑体" w:hint="default"/>
                <w:sz w:val="18"/>
                <w:szCs w:val="18"/>
              </w:rPr>
            </w:pPr>
            <w:r>
              <w:rPr>
                <w:rFonts w:ascii="黑体" w:hAnsi="黑体" w:cs="黑体" w:eastAsia="黑体" w:hint="default"/>
                <w:sz w:val="18"/>
                <w:szCs w:val="18"/>
              </w:rPr>
              <w:t>组织机构</w:t>
            </w:r>
          </w:p>
        </w:tc>
        <w:tc>
          <w:tcPr>
            <w:tcW w:w="1324" w:type="dxa"/>
            <w:tcBorders>
              <w:top w:val="nil" w:sz="6" w:space="0" w:color="auto"/>
              <w:left w:val="nil" w:sz="6" w:space="0" w:color="auto"/>
              <w:bottom w:val="nil" w:sz="6" w:space="0" w:color="auto"/>
              <w:right w:val="nil" w:sz="6" w:space="0" w:color="auto"/>
            </w:tcBorders>
          </w:tcPr>
          <w:p>
            <w:pPr>
              <w:pStyle w:val="TableParagraph"/>
              <w:spacing w:line="180" w:lineRule="exact"/>
              <w:ind w:right="313"/>
              <w:jc w:val="right"/>
              <w:rPr>
                <w:rFonts w:ascii="黑体" w:hAnsi="黑体" w:cs="黑体" w:eastAsia="黑体" w:hint="default"/>
                <w:sz w:val="18"/>
                <w:szCs w:val="18"/>
              </w:rPr>
            </w:pPr>
            <w:r>
              <w:rPr>
                <w:rFonts w:ascii="黑体" w:hAnsi="黑体" w:cs="黑体" w:eastAsia="黑体" w:hint="default"/>
                <w:sz w:val="18"/>
                <w:szCs w:val="18"/>
              </w:rPr>
              <w:t>年末实际</w:t>
            </w:r>
          </w:p>
        </w:tc>
        <w:tc>
          <w:tcPr>
            <w:tcW w:w="912" w:type="dxa"/>
            <w:tcBorders>
              <w:top w:val="nil" w:sz="6" w:space="0" w:color="auto"/>
              <w:left w:val="nil" w:sz="6" w:space="0" w:color="auto"/>
              <w:bottom w:val="nil" w:sz="6" w:space="0" w:color="auto"/>
              <w:right w:val="nil" w:sz="6" w:space="0" w:color="auto"/>
            </w:tcBorders>
          </w:tcPr>
          <w:p>
            <w:pPr>
              <w:pStyle w:val="TableParagraph"/>
              <w:spacing w:line="180" w:lineRule="exact"/>
              <w:ind w:right="236"/>
              <w:jc w:val="right"/>
              <w:rPr>
                <w:rFonts w:ascii="黑体" w:hAnsi="黑体" w:cs="黑体" w:eastAsia="黑体" w:hint="default"/>
                <w:sz w:val="18"/>
                <w:szCs w:val="18"/>
              </w:rPr>
            </w:pPr>
            <w:r>
              <w:rPr>
                <w:rFonts w:ascii="黑体" w:hAnsi="黑体" w:cs="黑体" w:eastAsia="黑体" w:hint="default"/>
                <w:sz w:val="18"/>
                <w:szCs w:val="18"/>
              </w:rPr>
              <w:t>持股</w:t>
            </w:r>
          </w:p>
        </w:tc>
        <w:tc>
          <w:tcPr>
            <w:tcW w:w="1019" w:type="dxa"/>
            <w:tcBorders>
              <w:top w:val="nil" w:sz="6" w:space="0" w:color="auto"/>
              <w:left w:val="nil" w:sz="6" w:space="0" w:color="auto"/>
              <w:bottom w:val="nil" w:sz="6" w:space="0" w:color="auto"/>
              <w:right w:val="nil" w:sz="6" w:space="0" w:color="auto"/>
            </w:tcBorders>
          </w:tcPr>
          <w:p>
            <w:pPr>
              <w:pStyle w:val="TableParagraph"/>
              <w:spacing w:line="180" w:lineRule="exact"/>
              <w:ind w:right="240"/>
              <w:jc w:val="right"/>
              <w:rPr>
                <w:rFonts w:ascii="黑体" w:hAnsi="黑体" w:cs="黑体" w:eastAsia="黑体" w:hint="default"/>
                <w:sz w:val="18"/>
                <w:szCs w:val="18"/>
              </w:rPr>
            </w:pPr>
            <w:r>
              <w:rPr>
                <w:rFonts w:ascii="黑体" w:hAnsi="黑体" w:cs="黑体" w:eastAsia="黑体" w:hint="default"/>
                <w:sz w:val="18"/>
                <w:szCs w:val="18"/>
              </w:rPr>
              <w:t>表决权</w:t>
            </w:r>
          </w:p>
        </w:tc>
        <w:tc>
          <w:tcPr>
            <w:tcW w:w="1258" w:type="dxa"/>
            <w:tcBorders>
              <w:top w:val="nil" w:sz="6" w:space="0" w:color="auto"/>
              <w:left w:val="nil" w:sz="6" w:space="0" w:color="auto"/>
              <w:bottom w:val="nil" w:sz="6" w:space="0" w:color="auto"/>
              <w:right w:val="nil" w:sz="6" w:space="0" w:color="auto"/>
            </w:tcBorders>
          </w:tcPr>
          <w:p>
            <w:pPr>
              <w:pStyle w:val="TableParagraph"/>
              <w:spacing w:line="180" w:lineRule="exact"/>
              <w:ind w:right="295"/>
              <w:jc w:val="right"/>
              <w:rPr>
                <w:rFonts w:ascii="黑体" w:hAnsi="黑体" w:cs="黑体" w:eastAsia="黑体" w:hint="default"/>
                <w:sz w:val="18"/>
                <w:szCs w:val="18"/>
              </w:rPr>
            </w:pPr>
            <w:r>
              <w:rPr>
                <w:rFonts w:ascii="黑体" w:hAnsi="黑体" w:cs="黑体" w:eastAsia="黑体" w:hint="default"/>
                <w:sz w:val="18"/>
                <w:szCs w:val="18"/>
              </w:rPr>
              <w:t>是否</w:t>
            </w:r>
          </w:p>
        </w:tc>
        <w:tc>
          <w:tcPr>
            <w:tcW w:w="1218" w:type="dxa"/>
            <w:tcBorders>
              <w:top w:val="nil" w:sz="6" w:space="0" w:color="auto"/>
              <w:left w:val="nil" w:sz="6" w:space="0" w:color="auto"/>
              <w:bottom w:val="nil" w:sz="6" w:space="0" w:color="auto"/>
              <w:right w:val="nil" w:sz="6" w:space="0" w:color="auto"/>
            </w:tcBorders>
          </w:tcPr>
          <w:p>
            <w:pPr>
              <w:pStyle w:val="TableParagraph"/>
              <w:spacing w:line="180" w:lineRule="exact"/>
              <w:ind w:right="198"/>
              <w:jc w:val="right"/>
              <w:rPr>
                <w:rFonts w:ascii="黑体" w:hAnsi="黑体" w:cs="黑体" w:eastAsia="黑体" w:hint="default"/>
                <w:sz w:val="18"/>
                <w:szCs w:val="18"/>
              </w:rPr>
            </w:pPr>
            <w:r>
              <w:rPr>
                <w:rFonts w:ascii="黑体" w:hAnsi="黑体" w:cs="黑体" w:eastAsia="黑体" w:hint="default"/>
                <w:sz w:val="18"/>
                <w:szCs w:val="18"/>
              </w:rPr>
              <w:t>少数股东</w:t>
            </w:r>
          </w:p>
        </w:tc>
      </w:tr>
      <w:tr>
        <w:trPr>
          <w:trHeight w:val="283" w:hRule="exact"/>
        </w:trPr>
        <w:tc>
          <w:tcPr>
            <w:tcW w:w="1720" w:type="dxa"/>
            <w:tcBorders>
              <w:top w:val="nil" w:sz="6" w:space="0" w:color="auto"/>
              <w:left w:val="nil" w:sz="6" w:space="0" w:color="auto"/>
              <w:bottom w:val="nil" w:sz="6" w:space="0" w:color="auto"/>
              <w:right w:val="nil" w:sz="6" w:space="0" w:color="auto"/>
            </w:tcBorders>
          </w:tcPr>
          <w:p>
            <w:pPr>
              <w:pStyle w:val="TableParagraph"/>
              <w:spacing w:line="228" w:lineRule="exact"/>
              <w:ind w:left="312" w:right="0"/>
              <w:jc w:val="left"/>
              <w:rPr>
                <w:rFonts w:ascii="黑体" w:hAnsi="黑体" w:cs="黑体" w:eastAsia="黑体" w:hint="default"/>
                <w:sz w:val="18"/>
                <w:szCs w:val="18"/>
              </w:rPr>
            </w:pPr>
            <w:r>
              <w:rPr>
                <w:rFonts w:ascii="黑体" w:hAnsi="黑体" w:cs="黑体" w:eastAsia="黑体" w:hint="default"/>
                <w:sz w:val="18"/>
                <w:szCs w:val="18"/>
              </w:rPr>
              <w:t>被投资单位名称</w:t>
            </w:r>
          </w:p>
        </w:tc>
        <w:tc>
          <w:tcPr>
            <w:tcW w:w="947" w:type="dxa"/>
            <w:tcBorders>
              <w:top w:val="nil" w:sz="6" w:space="0" w:color="auto"/>
              <w:left w:val="nil" w:sz="6" w:space="0" w:color="auto"/>
              <w:bottom w:val="nil" w:sz="6" w:space="0" w:color="auto"/>
              <w:right w:val="nil" w:sz="6" w:space="0" w:color="auto"/>
            </w:tcBorders>
          </w:tcPr>
          <w:p>
            <w:pPr>
              <w:pStyle w:val="TableParagraph"/>
              <w:spacing w:line="228" w:lineRule="exact"/>
              <w:ind w:right="211"/>
              <w:jc w:val="right"/>
              <w:rPr>
                <w:rFonts w:ascii="黑体" w:hAnsi="黑体" w:cs="黑体" w:eastAsia="黑体" w:hint="default"/>
                <w:sz w:val="18"/>
                <w:szCs w:val="18"/>
              </w:rPr>
            </w:pPr>
            <w:r>
              <w:rPr>
                <w:rFonts w:ascii="黑体" w:hAnsi="黑体" w:cs="黑体" w:eastAsia="黑体" w:hint="default"/>
                <w:sz w:val="18"/>
                <w:szCs w:val="18"/>
              </w:rPr>
              <w:t>类型</w:t>
            </w:r>
          </w:p>
        </w:tc>
        <w:tc>
          <w:tcPr>
            <w:tcW w:w="714" w:type="dxa"/>
            <w:tcBorders>
              <w:top w:val="nil" w:sz="6" w:space="0" w:color="auto"/>
              <w:left w:val="nil" w:sz="6" w:space="0" w:color="auto"/>
              <w:bottom w:val="nil" w:sz="6" w:space="0" w:color="auto"/>
              <w:right w:val="nil" w:sz="6" w:space="0" w:color="auto"/>
            </w:tcBorders>
          </w:tcPr>
          <w:p>
            <w:pPr>
              <w:pStyle w:val="TableParagraph"/>
              <w:spacing w:line="228" w:lineRule="exact"/>
              <w:ind w:right="71"/>
              <w:jc w:val="right"/>
              <w:rPr>
                <w:rFonts w:ascii="黑体" w:hAnsi="黑体" w:cs="黑体" w:eastAsia="黑体" w:hint="default"/>
                <w:sz w:val="18"/>
                <w:szCs w:val="18"/>
              </w:rPr>
            </w:pPr>
            <w:r>
              <w:rPr>
                <w:rFonts w:ascii="黑体" w:hAnsi="黑体" w:cs="黑体" w:eastAsia="黑体" w:hint="default"/>
                <w:sz w:val="18"/>
                <w:szCs w:val="18"/>
              </w:rPr>
              <w:t>注册地</w:t>
            </w:r>
          </w:p>
        </w:tc>
        <w:tc>
          <w:tcPr>
            <w:tcW w:w="641" w:type="dxa"/>
            <w:tcBorders>
              <w:top w:val="nil" w:sz="6" w:space="0" w:color="auto"/>
              <w:left w:val="nil" w:sz="6" w:space="0" w:color="auto"/>
              <w:bottom w:val="nil" w:sz="6" w:space="0" w:color="auto"/>
              <w:right w:val="nil" w:sz="6" w:space="0" w:color="auto"/>
            </w:tcBorders>
          </w:tcPr>
          <w:p>
            <w:pPr>
              <w:pStyle w:val="TableParagraph"/>
              <w:spacing w:line="228" w:lineRule="exact"/>
              <w:ind w:right="25"/>
              <w:jc w:val="right"/>
              <w:rPr>
                <w:rFonts w:ascii="黑体" w:hAnsi="黑体" w:cs="黑体" w:eastAsia="黑体" w:hint="default"/>
                <w:sz w:val="18"/>
                <w:szCs w:val="18"/>
              </w:rPr>
            </w:pPr>
            <w:r>
              <w:rPr>
                <w:rFonts w:ascii="黑体" w:hAnsi="黑体" w:cs="黑体" w:eastAsia="黑体" w:hint="default"/>
                <w:sz w:val="18"/>
                <w:szCs w:val="18"/>
              </w:rPr>
              <w:t>代表人</w:t>
            </w:r>
          </w:p>
        </w:tc>
        <w:tc>
          <w:tcPr>
            <w:tcW w:w="1138" w:type="dxa"/>
            <w:tcBorders>
              <w:top w:val="nil" w:sz="6" w:space="0" w:color="auto"/>
              <w:left w:val="nil" w:sz="6" w:space="0" w:color="auto"/>
              <w:bottom w:val="nil" w:sz="6" w:space="0" w:color="auto"/>
              <w:right w:val="nil" w:sz="6" w:space="0" w:color="auto"/>
            </w:tcBorders>
          </w:tcPr>
          <w:p>
            <w:pPr>
              <w:pStyle w:val="TableParagraph"/>
              <w:spacing w:line="228" w:lineRule="exact"/>
              <w:ind w:left="286" w:right="0"/>
              <w:jc w:val="left"/>
              <w:rPr>
                <w:rFonts w:ascii="黑体" w:hAnsi="黑体" w:cs="黑体" w:eastAsia="黑体" w:hint="default"/>
                <w:sz w:val="18"/>
                <w:szCs w:val="18"/>
              </w:rPr>
            </w:pPr>
            <w:r>
              <w:rPr>
                <w:rFonts w:ascii="黑体" w:hAnsi="黑体" w:cs="黑体" w:eastAsia="黑体" w:hint="default"/>
                <w:sz w:val="18"/>
                <w:szCs w:val="18"/>
              </w:rPr>
              <w:t>业务性质</w:t>
            </w:r>
          </w:p>
        </w:tc>
        <w:tc>
          <w:tcPr>
            <w:tcW w:w="1059" w:type="dxa"/>
            <w:tcBorders>
              <w:top w:val="nil" w:sz="6" w:space="0" w:color="auto"/>
              <w:left w:val="nil" w:sz="6" w:space="0" w:color="auto"/>
              <w:bottom w:val="nil" w:sz="6" w:space="0" w:color="auto"/>
              <w:right w:val="nil" w:sz="6" w:space="0" w:color="auto"/>
            </w:tcBorders>
          </w:tcPr>
          <w:p>
            <w:pPr>
              <w:pStyle w:val="TableParagraph"/>
              <w:spacing w:line="228" w:lineRule="exact"/>
              <w:ind w:right="26"/>
              <w:jc w:val="right"/>
              <w:rPr>
                <w:rFonts w:ascii="黑体" w:hAnsi="黑体" w:cs="黑体" w:eastAsia="黑体" w:hint="default"/>
                <w:sz w:val="18"/>
                <w:szCs w:val="18"/>
              </w:rPr>
            </w:pPr>
            <w:r>
              <w:rPr>
                <w:rFonts w:ascii="黑体" w:hAnsi="黑体" w:cs="黑体" w:eastAsia="黑体" w:hint="default"/>
                <w:sz w:val="18"/>
                <w:szCs w:val="18"/>
              </w:rPr>
              <w:t>注册资本</w:t>
            </w:r>
          </w:p>
        </w:tc>
        <w:tc>
          <w:tcPr>
            <w:tcW w:w="2673" w:type="dxa"/>
            <w:tcBorders>
              <w:top w:val="nil" w:sz="6" w:space="0" w:color="auto"/>
              <w:left w:val="nil" w:sz="6" w:space="0" w:color="auto"/>
              <w:bottom w:val="nil" w:sz="6" w:space="0" w:color="auto"/>
              <w:right w:val="nil" w:sz="6" w:space="0" w:color="auto"/>
            </w:tcBorders>
          </w:tcPr>
          <w:p>
            <w:pPr>
              <w:pStyle w:val="TableParagraph"/>
              <w:spacing w:line="228" w:lineRule="exact"/>
              <w:ind w:left="1742" w:right="0"/>
              <w:jc w:val="left"/>
              <w:rPr>
                <w:rFonts w:ascii="黑体" w:hAnsi="黑体" w:cs="黑体" w:eastAsia="黑体" w:hint="default"/>
                <w:sz w:val="18"/>
                <w:szCs w:val="18"/>
              </w:rPr>
            </w:pPr>
            <w:r>
              <w:rPr>
                <w:rFonts w:ascii="黑体" w:hAnsi="黑体" w:cs="黑体" w:eastAsia="黑体" w:hint="default"/>
                <w:sz w:val="18"/>
                <w:szCs w:val="18"/>
              </w:rPr>
              <w:t>经营范围</w:t>
            </w:r>
          </w:p>
        </w:tc>
        <w:tc>
          <w:tcPr>
            <w:tcW w:w="1189" w:type="dxa"/>
            <w:tcBorders>
              <w:top w:val="nil" w:sz="6" w:space="0" w:color="auto"/>
              <w:left w:val="nil" w:sz="6" w:space="0" w:color="auto"/>
              <w:bottom w:val="nil" w:sz="6" w:space="0" w:color="auto"/>
              <w:right w:val="nil" w:sz="6" w:space="0" w:color="auto"/>
            </w:tcBorders>
          </w:tcPr>
          <w:p>
            <w:pPr>
              <w:pStyle w:val="TableParagraph"/>
              <w:spacing w:line="228" w:lineRule="exact"/>
              <w:ind w:right="108"/>
              <w:jc w:val="right"/>
              <w:rPr>
                <w:rFonts w:ascii="黑体" w:hAnsi="黑体" w:cs="黑体" w:eastAsia="黑体" w:hint="default"/>
                <w:sz w:val="18"/>
                <w:szCs w:val="18"/>
              </w:rPr>
            </w:pPr>
            <w:r>
              <w:rPr>
                <w:rFonts w:ascii="黑体" w:hAnsi="黑体" w:cs="黑体" w:eastAsia="黑体" w:hint="default"/>
                <w:sz w:val="18"/>
                <w:szCs w:val="18"/>
              </w:rPr>
              <w:t>代码</w:t>
            </w:r>
          </w:p>
        </w:tc>
        <w:tc>
          <w:tcPr>
            <w:tcW w:w="1324" w:type="dxa"/>
            <w:tcBorders>
              <w:top w:val="nil" w:sz="6" w:space="0" w:color="auto"/>
              <w:left w:val="nil" w:sz="6" w:space="0" w:color="auto"/>
              <w:bottom w:val="nil" w:sz="6" w:space="0" w:color="auto"/>
              <w:right w:val="nil" w:sz="6" w:space="0" w:color="auto"/>
            </w:tcBorders>
          </w:tcPr>
          <w:p>
            <w:pPr>
              <w:pStyle w:val="TableParagraph"/>
              <w:spacing w:line="228" w:lineRule="exact"/>
              <w:ind w:right="313"/>
              <w:jc w:val="right"/>
              <w:rPr>
                <w:rFonts w:ascii="黑体" w:hAnsi="黑体" w:cs="黑体" w:eastAsia="黑体" w:hint="default"/>
                <w:sz w:val="18"/>
                <w:szCs w:val="18"/>
              </w:rPr>
            </w:pPr>
            <w:r>
              <w:rPr>
                <w:rFonts w:ascii="黑体" w:hAnsi="黑体" w:cs="黑体" w:eastAsia="黑体" w:hint="default"/>
                <w:sz w:val="18"/>
                <w:szCs w:val="18"/>
              </w:rPr>
              <w:t>出资额</w:t>
            </w:r>
          </w:p>
        </w:tc>
        <w:tc>
          <w:tcPr>
            <w:tcW w:w="912" w:type="dxa"/>
            <w:tcBorders>
              <w:top w:val="nil" w:sz="6" w:space="0" w:color="auto"/>
              <w:left w:val="nil" w:sz="6" w:space="0" w:color="auto"/>
              <w:bottom w:val="nil" w:sz="6" w:space="0" w:color="auto"/>
              <w:right w:val="nil" w:sz="6" w:space="0" w:color="auto"/>
            </w:tcBorders>
          </w:tcPr>
          <w:p>
            <w:pPr>
              <w:pStyle w:val="TableParagraph"/>
              <w:spacing w:line="228" w:lineRule="exact"/>
              <w:ind w:right="236"/>
              <w:jc w:val="right"/>
              <w:rPr>
                <w:rFonts w:ascii="黑体" w:hAnsi="黑体" w:cs="黑体" w:eastAsia="黑体" w:hint="default"/>
                <w:sz w:val="18"/>
                <w:szCs w:val="18"/>
              </w:rPr>
            </w:pPr>
            <w:r>
              <w:rPr>
                <w:rFonts w:ascii="黑体" w:hAnsi="黑体" w:cs="黑体" w:eastAsia="黑体" w:hint="default"/>
                <w:sz w:val="18"/>
                <w:szCs w:val="18"/>
              </w:rPr>
              <w:t>比例</w:t>
            </w:r>
          </w:p>
        </w:tc>
        <w:tc>
          <w:tcPr>
            <w:tcW w:w="1019" w:type="dxa"/>
            <w:tcBorders>
              <w:top w:val="nil" w:sz="6" w:space="0" w:color="auto"/>
              <w:left w:val="nil" w:sz="6" w:space="0" w:color="auto"/>
              <w:bottom w:val="nil" w:sz="6" w:space="0" w:color="auto"/>
              <w:right w:val="nil" w:sz="6" w:space="0" w:color="auto"/>
            </w:tcBorders>
          </w:tcPr>
          <w:p>
            <w:pPr>
              <w:pStyle w:val="TableParagraph"/>
              <w:spacing w:line="228" w:lineRule="exact"/>
              <w:ind w:right="240"/>
              <w:jc w:val="right"/>
              <w:rPr>
                <w:rFonts w:ascii="黑体" w:hAnsi="黑体" w:cs="黑体" w:eastAsia="黑体" w:hint="default"/>
                <w:sz w:val="18"/>
                <w:szCs w:val="18"/>
              </w:rPr>
            </w:pPr>
            <w:r>
              <w:rPr>
                <w:rFonts w:ascii="黑体" w:hAnsi="黑体" w:cs="黑体" w:eastAsia="黑体" w:hint="default"/>
                <w:sz w:val="18"/>
                <w:szCs w:val="18"/>
              </w:rPr>
              <w:t>比例</w:t>
            </w:r>
          </w:p>
        </w:tc>
        <w:tc>
          <w:tcPr>
            <w:tcW w:w="1258" w:type="dxa"/>
            <w:tcBorders>
              <w:top w:val="nil" w:sz="6" w:space="0" w:color="auto"/>
              <w:left w:val="nil" w:sz="6" w:space="0" w:color="auto"/>
              <w:bottom w:val="nil" w:sz="6" w:space="0" w:color="auto"/>
              <w:right w:val="nil" w:sz="6" w:space="0" w:color="auto"/>
            </w:tcBorders>
          </w:tcPr>
          <w:p>
            <w:pPr>
              <w:pStyle w:val="TableParagraph"/>
              <w:spacing w:line="228" w:lineRule="exact"/>
              <w:ind w:right="295"/>
              <w:jc w:val="right"/>
              <w:rPr>
                <w:rFonts w:ascii="黑体" w:hAnsi="黑体" w:cs="黑体" w:eastAsia="黑体" w:hint="default"/>
                <w:sz w:val="18"/>
                <w:szCs w:val="18"/>
              </w:rPr>
            </w:pPr>
            <w:r>
              <w:rPr>
                <w:rFonts w:ascii="黑体" w:hAnsi="黑体" w:cs="黑体" w:eastAsia="黑体" w:hint="default"/>
                <w:sz w:val="18"/>
                <w:szCs w:val="18"/>
              </w:rPr>
              <w:t>合并报表</w:t>
            </w:r>
          </w:p>
        </w:tc>
        <w:tc>
          <w:tcPr>
            <w:tcW w:w="1218" w:type="dxa"/>
            <w:tcBorders>
              <w:top w:val="nil" w:sz="6" w:space="0" w:color="auto"/>
              <w:left w:val="nil" w:sz="6" w:space="0" w:color="auto"/>
              <w:bottom w:val="nil" w:sz="6" w:space="0" w:color="auto"/>
              <w:right w:val="nil" w:sz="6" w:space="0" w:color="auto"/>
            </w:tcBorders>
          </w:tcPr>
          <w:p>
            <w:pPr>
              <w:pStyle w:val="TableParagraph"/>
              <w:spacing w:line="228" w:lineRule="exact"/>
              <w:ind w:right="198"/>
              <w:jc w:val="right"/>
              <w:rPr>
                <w:rFonts w:ascii="黑体" w:hAnsi="黑体" w:cs="黑体" w:eastAsia="黑体" w:hint="default"/>
                <w:sz w:val="18"/>
                <w:szCs w:val="18"/>
              </w:rPr>
            </w:pPr>
            <w:r>
              <w:rPr>
                <w:rFonts w:ascii="黑体" w:hAnsi="黑体" w:cs="黑体" w:eastAsia="黑体" w:hint="default"/>
                <w:sz w:val="18"/>
                <w:szCs w:val="18"/>
              </w:rPr>
              <w:t>权益</w:t>
            </w:r>
          </w:p>
        </w:tc>
      </w:tr>
      <w:tr>
        <w:trPr>
          <w:trHeight w:val="376" w:hRule="exact"/>
        </w:trPr>
        <w:tc>
          <w:tcPr>
            <w:tcW w:w="1720" w:type="dxa"/>
            <w:tcBorders>
              <w:top w:val="nil" w:sz="6" w:space="0" w:color="auto"/>
              <w:left w:val="nil" w:sz="6" w:space="0" w:color="auto"/>
              <w:bottom w:val="nil" w:sz="6" w:space="0" w:color="auto"/>
              <w:right w:val="nil" w:sz="6" w:space="0" w:color="auto"/>
            </w:tcBorders>
          </w:tcPr>
          <w:p>
            <w:pPr/>
          </w:p>
        </w:tc>
        <w:tc>
          <w:tcPr>
            <w:tcW w:w="947" w:type="dxa"/>
            <w:tcBorders>
              <w:top w:val="nil" w:sz="6" w:space="0" w:color="auto"/>
              <w:left w:val="nil" w:sz="6" w:space="0" w:color="auto"/>
              <w:bottom w:val="nil" w:sz="6" w:space="0" w:color="auto"/>
              <w:right w:val="nil" w:sz="6" w:space="0" w:color="auto"/>
            </w:tcBorders>
          </w:tcPr>
          <w:p>
            <w:pPr/>
          </w:p>
        </w:tc>
        <w:tc>
          <w:tcPr>
            <w:tcW w:w="714" w:type="dxa"/>
            <w:tcBorders>
              <w:top w:val="nil" w:sz="6" w:space="0" w:color="auto"/>
              <w:left w:val="nil" w:sz="6" w:space="0" w:color="auto"/>
              <w:bottom w:val="nil" w:sz="6" w:space="0" w:color="auto"/>
              <w:right w:val="nil" w:sz="6" w:space="0" w:color="auto"/>
            </w:tcBorders>
          </w:tcPr>
          <w:p>
            <w:pPr/>
          </w:p>
        </w:tc>
        <w:tc>
          <w:tcPr>
            <w:tcW w:w="641" w:type="dxa"/>
            <w:tcBorders>
              <w:top w:val="nil" w:sz="6" w:space="0" w:color="auto"/>
              <w:left w:val="nil" w:sz="6" w:space="0" w:color="auto"/>
              <w:bottom w:val="nil" w:sz="6" w:space="0" w:color="auto"/>
              <w:right w:val="nil" w:sz="6" w:space="0" w:color="auto"/>
            </w:tcBorders>
          </w:tcPr>
          <w:p>
            <w:pPr/>
          </w:p>
        </w:tc>
        <w:tc>
          <w:tcPr>
            <w:tcW w:w="1138" w:type="dxa"/>
            <w:tcBorders>
              <w:top w:val="nil" w:sz="6" w:space="0" w:color="auto"/>
              <w:left w:val="nil" w:sz="6" w:space="0" w:color="auto"/>
              <w:bottom w:val="nil" w:sz="6" w:space="0" w:color="auto"/>
              <w:right w:val="nil" w:sz="6" w:space="0" w:color="auto"/>
            </w:tcBorders>
          </w:tcPr>
          <w:p>
            <w:pPr/>
          </w:p>
        </w:tc>
        <w:tc>
          <w:tcPr>
            <w:tcW w:w="1059" w:type="dxa"/>
            <w:tcBorders>
              <w:top w:val="nil" w:sz="6" w:space="0" w:color="auto"/>
              <w:left w:val="nil" w:sz="6" w:space="0" w:color="auto"/>
              <w:bottom w:val="nil" w:sz="6" w:space="0" w:color="auto"/>
              <w:right w:val="nil" w:sz="6" w:space="0" w:color="auto"/>
            </w:tcBorders>
          </w:tcPr>
          <w:p>
            <w:pPr/>
          </w:p>
        </w:tc>
        <w:tc>
          <w:tcPr>
            <w:tcW w:w="2673" w:type="dxa"/>
            <w:tcBorders>
              <w:top w:val="nil" w:sz="6" w:space="0" w:color="auto"/>
              <w:left w:val="nil" w:sz="6" w:space="0" w:color="auto"/>
              <w:bottom w:val="nil" w:sz="6" w:space="0" w:color="auto"/>
              <w:right w:val="nil" w:sz="6" w:space="0" w:color="auto"/>
            </w:tcBorders>
          </w:tcPr>
          <w:p>
            <w:pPr/>
          </w:p>
        </w:tc>
        <w:tc>
          <w:tcPr>
            <w:tcW w:w="1189"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36"/>
              <w:jc w:val="right"/>
              <w:rPr>
                <w:rFonts w:ascii="Arial" w:hAnsi="Arial" w:cs="Arial" w:eastAsia="Arial" w:hint="default"/>
                <w:sz w:val="18"/>
                <w:szCs w:val="18"/>
              </w:rPr>
            </w:pPr>
            <w:r>
              <w:rPr>
                <w:rFonts w:ascii="Arial"/>
                <w:w w:val="95"/>
                <w:sz w:val="18"/>
              </w:rPr>
              <w:t>(%)</w:t>
            </w:r>
            <w:r>
              <w:rPr>
                <w:rFonts w:ascii="Arial"/>
                <w:sz w:val="18"/>
              </w:rPr>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40"/>
              <w:jc w:val="right"/>
              <w:rPr>
                <w:rFonts w:ascii="Arial" w:hAnsi="Arial" w:cs="Arial" w:eastAsia="Arial" w:hint="default"/>
                <w:sz w:val="18"/>
                <w:szCs w:val="18"/>
              </w:rPr>
            </w:pPr>
            <w:r>
              <w:rPr>
                <w:rFonts w:ascii="Arial"/>
                <w:w w:val="95"/>
                <w:sz w:val="18"/>
              </w:rPr>
              <w:t>(%)</w:t>
            </w:r>
            <w:r>
              <w:rPr>
                <w:rFonts w:ascii="Arial"/>
                <w:sz w:val="18"/>
              </w:rPr>
            </w:r>
          </w:p>
        </w:tc>
        <w:tc>
          <w:tcPr>
            <w:tcW w:w="1258" w:type="dxa"/>
            <w:tcBorders>
              <w:top w:val="nil" w:sz="6" w:space="0" w:color="auto"/>
              <w:left w:val="nil" w:sz="6" w:space="0" w:color="auto"/>
              <w:bottom w:val="nil" w:sz="6" w:space="0" w:color="auto"/>
              <w:right w:val="nil" w:sz="6" w:space="0" w:color="auto"/>
            </w:tcBorders>
          </w:tcPr>
          <w:p>
            <w:pPr/>
          </w:p>
        </w:tc>
        <w:tc>
          <w:tcPr>
            <w:tcW w:w="1218" w:type="dxa"/>
            <w:tcBorders>
              <w:top w:val="nil" w:sz="6" w:space="0" w:color="auto"/>
              <w:left w:val="nil" w:sz="6" w:space="0" w:color="auto"/>
              <w:bottom w:val="nil" w:sz="6" w:space="0" w:color="auto"/>
              <w:right w:val="nil" w:sz="6" w:space="0" w:color="auto"/>
            </w:tcBorders>
          </w:tcPr>
          <w:p>
            <w:pPr/>
          </w:p>
        </w:tc>
      </w:tr>
      <w:tr>
        <w:trPr>
          <w:trHeight w:val="1731" w:hRule="exact"/>
        </w:trPr>
        <w:tc>
          <w:tcPr>
            <w:tcW w:w="1720" w:type="dxa"/>
            <w:tcBorders>
              <w:top w:val="nil" w:sz="6" w:space="0" w:color="auto"/>
              <w:left w:val="nil" w:sz="6" w:space="0" w:color="auto"/>
              <w:bottom w:val="nil" w:sz="6" w:space="0" w:color="auto"/>
              <w:right w:val="nil" w:sz="6" w:space="0" w:color="auto"/>
            </w:tcBorders>
          </w:tcPr>
          <w:p>
            <w:pPr>
              <w:pStyle w:val="TableParagraph"/>
              <w:spacing w:line="230" w:lineRule="auto" w:before="101"/>
              <w:ind w:left="367" w:right="63" w:hanging="168"/>
              <w:jc w:val="left"/>
              <w:rPr>
                <w:rFonts w:ascii="Arial" w:hAnsi="Arial" w:cs="Arial" w:eastAsia="Arial" w:hint="default"/>
                <w:sz w:val="18"/>
                <w:szCs w:val="18"/>
              </w:rPr>
            </w:pPr>
            <w:r>
              <w:rPr>
                <w:rFonts w:ascii="黑体" w:hAnsi="黑体" w:cs="黑体" w:eastAsia="黑体" w:hint="default"/>
                <w:sz w:val="18"/>
                <w:szCs w:val="18"/>
              </w:rPr>
              <w:t>用友云达信息技术 服务</w:t>
            </w:r>
            <w:r>
              <w:rPr>
                <w:rFonts w:ascii="Arial" w:hAnsi="Arial" w:cs="Arial" w:eastAsia="Arial" w:hint="default"/>
                <w:sz w:val="18"/>
                <w:szCs w:val="18"/>
              </w:rPr>
              <w:t>(</w:t>
            </w:r>
            <w:r>
              <w:rPr>
                <w:rFonts w:ascii="黑体" w:hAnsi="黑体" w:cs="黑体" w:eastAsia="黑体" w:hint="default"/>
                <w:sz w:val="18"/>
                <w:szCs w:val="18"/>
              </w:rPr>
              <w:t>南昌</w:t>
            </w:r>
            <w:r>
              <w:rPr>
                <w:rFonts w:ascii="Arial" w:hAnsi="Arial" w:cs="Arial" w:eastAsia="Arial" w:hint="default"/>
                <w:sz w:val="18"/>
                <w:szCs w:val="18"/>
              </w:rPr>
              <w:t>)</w:t>
            </w:r>
            <w:r>
              <w:rPr>
                <w:rFonts w:ascii="黑体" w:hAnsi="黑体" w:cs="黑体" w:eastAsia="黑体" w:hint="default"/>
                <w:sz w:val="18"/>
                <w:szCs w:val="18"/>
              </w:rPr>
              <w:t>有限 公司</w:t>
            </w:r>
            <w:r>
              <w:rPr>
                <w:rFonts w:ascii="Arial" w:hAnsi="Arial" w:cs="Arial" w:eastAsia="Arial" w:hint="default"/>
                <w:sz w:val="18"/>
                <w:szCs w:val="18"/>
              </w:rPr>
              <w:t>(</w:t>
            </w:r>
            <w:r>
              <w:rPr>
                <w:rFonts w:ascii="黑体" w:hAnsi="黑体" w:cs="黑体" w:eastAsia="黑体" w:hint="default"/>
                <w:sz w:val="18"/>
                <w:szCs w:val="18"/>
              </w:rPr>
              <w:t>以下简称</w:t>
            </w:r>
            <w:r>
              <w:rPr>
                <w:rFonts w:ascii="Arial" w:hAnsi="Arial" w:cs="Arial" w:eastAsia="Arial" w:hint="default"/>
                <w:sz w:val="18"/>
                <w:szCs w:val="18"/>
              </w:rPr>
              <w:t>” </w:t>
            </w:r>
            <w:r>
              <w:rPr>
                <w:rFonts w:ascii="黑体" w:hAnsi="黑体" w:cs="黑体" w:eastAsia="黑体" w:hint="default"/>
                <w:sz w:val="18"/>
                <w:szCs w:val="18"/>
              </w:rPr>
              <w:t>用友云达</w:t>
            </w:r>
            <w:r>
              <w:rPr>
                <w:rFonts w:ascii="Arial" w:hAnsi="Arial" w:cs="Arial" w:eastAsia="Arial" w:hint="default"/>
                <w:sz w:val="18"/>
                <w:szCs w:val="18"/>
              </w:rPr>
              <w:t>”)(</w:t>
            </w:r>
            <w:r>
              <w:rPr>
                <w:rFonts w:ascii="黑体" w:hAnsi="黑体" w:cs="黑体" w:eastAsia="黑体" w:hint="default"/>
                <w:sz w:val="18"/>
                <w:szCs w:val="18"/>
              </w:rPr>
              <w:t>注</w:t>
            </w:r>
            <w:r>
              <w:rPr>
                <w:rFonts w:ascii="黑体" w:hAnsi="黑体" w:cs="黑体" w:eastAsia="黑体" w:hint="default"/>
                <w:spacing w:val="-46"/>
                <w:sz w:val="18"/>
                <w:szCs w:val="18"/>
              </w:rPr>
              <w:t> </w:t>
            </w:r>
            <w:r>
              <w:rPr>
                <w:rFonts w:ascii="Arial" w:hAnsi="Arial" w:cs="Arial" w:eastAsia="Arial" w:hint="default"/>
                <w:sz w:val="18"/>
                <w:szCs w:val="18"/>
              </w:rPr>
              <w:t>5)</w:t>
            </w:r>
          </w:p>
        </w:tc>
        <w:tc>
          <w:tcPr>
            <w:tcW w:w="947" w:type="dxa"/>
            <w:tcBorders>
              <w:top w:val="nil" w:sz="6" w:space="0" w:color="auto"/>
              <w:left w:val="nil" w:sz="6" w:space="0" w:color="auto"/>
              <w:bottom w:val="nil" w:sz="6" w:space="0" w:color="auto"/>
              <w:right w:val="nil" w:sz="6" w:space="0" w:color="auto"/>
            </w:tcBorders>
          </w:tcPr>
          <w:p>
            <w:pPr>
              <w:pStyle w:val="TableParagraph"/>
              <w:spacing w:line="235" w:lineRule="auto" w:before="89"/>
              <w:ind w:left="245" w:right="98" w:hanging="180"/>
              <w:jc w:val="left"/>
              <w:rPr>
                <w:rFonts w:ascii="Arial" w:hAnsi="Arial" w:cs="Arial" w:eastAsia="Arial" w:hint="default"/>
                <w:sz w:val="18"/>
                <w:szCs w:val="18"/>
              </w:rPr>
            </w:pPr>
            <w:r>
              <w:rPr>
                <w:rFonts w:ascii="黑体" w:hAnsi="黑体" w:cs="黑体" w:eastAsia="黑体" w:hint="default"/>
                <w:sz w:val="18"/>
                <w:szCs w:val="18"/>
              </w:rPr>
              <w:t>有限责任 公司</w:t>
            </w:r>
            <w:r>
              <w:rPr>
                <w:rFonts w:ascii="Arial" w:hAnsi="Arial" w:cs="Arial" w:eastAsia="Arial" w:hint="default"/>
                <w:sz w:val="18"/>
                <w:szCs w:val="18"/>
              </w:rPr>
              <w:t>(</w:t>
            </w:r>
            <w:r>
              <w:rPr>
                <w:rFonts w:ascii="黑体" w:hAnsi="黑体" w:cs="黑体" w:eastAsia="黑体" w:hint="default"/>
                <w:sz w:val="18"/>
                <w:szCs w:val="18"/>
              </w:rPr>
              <w:t>非 自然人 投资或 控股的 法人独 资</w:t>
            </w:r>
            <w:r>
              <w:rPr>
                <w:rFonts w:ascii="Arial" w:hAnsi="Arial" w:cs="Arial" w:eastAsia="Arial" w:hint="default"/>
                <w:sz w:val="18"/>
                <w:szCs w:val="18"/>
              </w:rPr>
              <w:t>)</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71"/>
              <w:jc w:val="right"/>
              <w:rPr>
                <w:rFonts w:ascii="黑体" w:hAnsi="黑体" w:cs="黑体" w:eastAsia="黑体" w:hint="default"/>
                <w:sz w:val="18"/>
                <w:szCs w:val="18"/>
              </w:rPr>
            </w:pPr>
            <w:r>
              <w:rPr>
                <w:rFonts w:ascii="黑体" w:hAnsi="黑体" w:cs="黑体" w:eastAsia="黑体" w:hint="default"/>
                <w:sz w:val="18"/>
                <w:szCs w:val="18"/>
              </w:rPr>
              <w:t>南昌市</w:t>
            </w:r>
          </w:p>
        </w:tc>
        <w:tc>
          <w:tcPr>
            <w:tcW w:w="64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5"/>
              <w:jc w:val="right"/>
              <w:rPr>
                <w:rFonts w:ascii="黑体" w:hAnsi="黑体" w:cs="黑体" w:eastAsia="黑体" w:hint="default"/>
                <w:sz w:val="18"/>
                <w:szCs w:val="18"/>
              </w:rPr>
            </w:pPr>
            <w:r>
              <w:rPr>
                <w:rFonts w:ascii="黑体" w:hAnsi="黑体" w:cs="黑体" w:eastAsia="黑体" w:hint="default"/>
                <w:sz w:val="18"/>
                <w:szCs w:val="18"/>
              </w:rPr>
              <w:t>王文京</w:t>
            </w:r>
          </w:p>
        </w:tc>
        <w:tc>
          <w:tcPr>
            <w:tcW w:w="1138" w:type="dxa"/>
            <w:tcBorders>
              <w:top w:val="nil" w:sz="6" w:space="0" w:color="auto"/>
              <w:left w:val="nil" w:sz="6" w:space="0" w:color="auto"/>
              <w:bottom w:val="nil" w:sz="6" w:space="0" w:color="auto"/>
              <w:right w:val="nil" w:sz="6" w:space="0" w:color="auto"/>
            </w:tcBorders>
          </w:tcPr>
          <w:p>
            <w:pPr>
              <w:pStyle w:val="TableParagraph"/>
              <w:spacing w:line="225" w:lineRule="auto" w:before="105"/>
              <w:ind w:left="27" w:right="157"/>
              <w:jc w:val="both"/>
              <w:rPr>
                <w:rFonts w:ascii="黑体" w:hAnsi="黑体" w:cs="黑体" w:eastAsia="黑体" w:hint="default"/>
                <w:sz w:val="18"/>
                <w:szCs w:val="18"/>
              </w:rPr>
            </w:pPr>
            <w:r>
              <w:rPr>
                <w:rFonts w:ascii="黑体" w:hAnsi="黑体" w:cs="黑体" w:eastAsia="黑体" w:hint="default"/>
                <w:sz w:val="18"/>
                <w:szCs w:val="18"/>
              </w:rPr>
              <w:t>计算机软件</w:t>
            </w:r>
            <w:r>
              <w:rPr>
                <w:rFonts w:ascii="Arial" w:hAnsi="Arial" w:cs="Arial" w:eastAsia="Arial" w:hint="default"/>
                <w:sz w:val="18"/>
                <w:szCs w:val="18"/>
              </w:rPr>
              <w:t>/</w:t>
            </w:r>
            <w:r>
              <w:rPr>
                <w:rFonts w:ascii="Arial" w:hAnsi="Arial" w:cs="Arial" w:eastAsia="Arial" w:hint="default"/>
                <w:w w:val="100"/>
                <w:sz w:val="18"/>
                <w:szCs w:val="18"/>
              </w:rPr>
              <w:t> </w:t>
            </w:r>
            <w:r>
              <w:rPr>
                <w:rFonts w:ascii="黑体" w:hAnsi="黑体" w:cs="黑体" w:eastAsia="黑体" w:hint="default"/>
                <w:sz w:val="18"/>
                <w:szCs w:val="18"/>
              </w:rPr>
              <w:t>系统集成</w:t>
            </w:r>
            <w:r>
              <w:rPr>
                <w:rFonts w:ascii="Arial" w:hAnsi="Arial" w:cs="Arial" w:eastAsia="Arial" w:hint="default"/>
                <w:sz w:val="18"/>
                <w:szCs w:val="18"/>
              </w:rPr>
              <w:t>/</w:t>
            </w:r>
            <w:r>
              <w:rPr>
                <w:rFonts w:ascii="黑体" w:hAnsi="黑体" w:cs="黑体" w:eastAsia="黑体" w:hint="default"/>
                <w:sz w:val="18"/>
                <w:szCs w:val="18"/>
              </w:rPr>
              <w:t>咨 询行业</w:t>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4"/>
              <w:jc w:val="right"/>
              <w:rPr>
                <w:rFonts w:ascii="Arial" w:hAnsi="Arial" w:cs="Arial" w:eastAsia="Arial" w:hint="default"/>
                <w:sz w:val="18"/>
                <w:szCs w:val="18"/>
              </w:rPr>
            </w:pPr>
            <w:r>
              <w:rPr>
                <w:rFonts w:ascii="Arial"/>
                <w:spacing w:val="-1"/>
                <w:sz w:val="18"/>
              </w:rPr>
              <w:t>10,000,000</w:t>
            </w:r>
          </w:p>
        </w:tc>
        <w:tc>
          <w:tcPr>
            <w:tcW w:w="2673" w:type="dxa"/>
            <w:tcBorders>
              <w:top w:val="nil" w:sz="6" w:space="0" w:color="auto"/>
              <w:left w:val="nil" w:sz="6" w:space="0" w:color="auto"/>
              <w:bottom w:val="nil" w:sz="6" w:space="0" w:color="auto"/>
              <w:right w:val="nil" w:sz="6" w:space="0" w:color="auto"/>
            </w:tcBorders>
          </w:tcPr>
          <w:p>
            <w:pPr>
              <w:pStyle w:val="TableParagraph"/>
              <w:spacing w:line="237" w:lineRule="auto" w:before="94"/>
              <w:ind w:left="26" w:right="116"/>
              <w:jc w:val="left"/>
              <w:rPr>
                <w:rFonts w:ascii="黑体" w:hAnsi="黑体" w:cs="黑体" w:eastAsia="黑体" w:hint="default"/>
                <w:sz w:val="18"/>
                <w:szCs w:val="18"/>
              </w:rPr>
            </w:pPr>
            <w:r>
              <w:rPr>
                <w:rFonts w:ascii="黑体" w:hAnsi="黑体" w:cs="黑体" w:eastAsia="黑体" w:hint="default"/>
                <w:spacing w:val="-7"/>
                <w:sz w:val="18"/>
                <w:szCs w:val="18"/>
              </w:rPr>
              <w:t>计算机软件、硬件及外部设备的</w:t>
            </w:r>
            <w:r>
              <w:rPr>
                <w:rFonts w:ascii="黑体" w:hAnsi="黑体" w:cs="黑体" w:eastAsia="黑体" w:hint="default"/>
                <w:spacing w:val="-77"/>
                <w:sz w:val="18"/>
                <w:szCs w:val="18"/>
              </w:rPr>
              <w:t> </w:t>
            </w:r>
            <w:r>
              <w:rPr>
                <w:rFonts w:ascii="黑体" w:hAnsi="黑体" w:cs="黑体" w:eastAsia="黑体" w:hint="default"/>
                <w:spacing w:val="-77"/>
                <w:sz w:val="18"/>
                <w:szCs w:val="18"/>
              </w:rPr>
            </w:r>
            <w:r>
              <w:rPr>
                <w:rFonts w:ascii="黑体" w:hAnsi="黑体" w:cs="黑体" w:eastAsia="黑体" w:hint="default"/>
                <w:spacing w:val="-12"/>
                <w:sz w:val="18"/>
                <w:szCs w:val="18"/>
              </w:rPr>
              <w:t>技术开发、技术咨询、技术转让、</w:t>
            </w:r>
            <w:r>
              <w:rPr>
                <w:rFonts w:ascii="黑体" w:hAnsi="黑体" w:cs="黑体" w:eastAsia="黑体" w:hint="default"/>
                <w:spacing w:val="-84"/>
                <w:sz w:val="18"/>
                <w:szCs w:val="18"/>
              </w:rPr>
              <w:t> </w:t>
            </w:r>
            <w:r>
              <w:rPr>
                <w:rFonts w:ascii="黑体" w:hAnsi="黑体" w:cs="黑体" w:eastAsia="黑体" w:hint="default"/>
                <w:spacing w:val="-84"/>
                <w:sz w:val="18"/>
                <w:szCs w:val="18"/>
              </w:rPr>
            </w:r>
            <w:r>
              <w:rPr>
                <w:rFonts w:ascii="黑体" w:hAnsi="黑体" w:cs="黑体" w:eastAsia="黑体" w:hint="default"/>
                <w:spacing w:val="-7"/>
                <w:sz w:val="18"/>
                <w:szCs w:val="18"/>
              </w:rPr>
              <w:t>技术服务、企业管理咨询、数据</w:t>
            </w:r>
            <w:r>
              <w:rPr>
                <w:rFonts w:ascii="黑体" w:hAnsi="黑体" w:cs="黑体" w:eastAsia="黑体" w:hint="default"/>
                <w:spacing w:val="-80"/>
                <w:sz w:val="18"/>
                <w:szCs w:val="18"/>
              </w:rPr>
              <w:t> </w:t>
            </w:r>
            <w:r>
              <w:rPr>
                <w:rFonts w:ascii="黑体" w:hAnsi="黑体" w:cs="黑体" w:eastAsia="黑体" w:hint="default"/>
                <w:spacing w:val="-80"/>
                <w:sz w:val="18"/>
                <w:szCs w:val="18"/>
              </w:rPr>
            </w:r>
            <w:r>
              <w:rPr>
                <w:rFonts w:ascii="黑体" w:hAnsi="黑体" w:cs="黑体" w:eastAsia="黑体" w:hint="default"/>
                <w:spacing w:val="-7"/>
                <w:sz w:val="18"/>
                <w:szCs w:val="18"/>
              </w:rPr>
              <w:t>库服务、系统集成、计算机软硬</w:t>
            </w:r>
            <w:r>
              <w:rPr>
                <w:rFonts w:ascii="黑体" w:hAnsi="黑体" w:cs="黑体" w:eastAsia="黑体" w:hint="default"/>
                <w:spacing w:val="-80"/>
                <w:sz w:val="18"/>
                <w:szCs w:val="18"/>
              </w:rPr>
              <w:t> </w:t>
            </w:r>
            <w:r>
              <w:rPr>
                <w:rFonts w:ascii="黑体" w:hAnsi="黑体" w:cs="黑体" w:eastAsia="黑体" w:hint="default"/>
                <w:spacing w:val="-80"/>
                <w:sz w:val="18"/>
                <w:szCs w:val="18"/>
              </w:rPr>
            </w:r>
            <w:r>
              <w:rPr>
                <w:rFonts w:ascii="黑体" w:hAnsi="黑体" w:cs="黑体" w:eastAsia="黑体" w:hint="default"/>
                <w:spacing w:val="-7"/>
                <w:sz w:val="18"/>
                <w:szCs w:val="18"/>
              </w:rPr>
              <w:t>件及外部设备、打印纸、计算机</w:t>
            </w:r>
            <w:r>
              <w:rPr>
                <w:rFonts w:ascii="黑体" w:hAnsi="黑体" w:cs="黑体" w:eastAsia="黑体" w:hint="default"/>
                <w:spacing w:val="-80"/>
                <w:sz w:val="18"/>
                <w:szCs w:val="18"/>
              </w:rPr>
              <w:t> </w:t>
            </w:r>
            <w:r>
              <w:rPr>
                <w:rFonts w:ascii="黑体" w:hAnsi="黑体" w:cs="黑体" w:eastAsia="黑体" w:hint="default"/>
                <w:spacing w:val="-80"/>
                <w:sz w:val="18"/>
                <w:szCs w:val="18"/>
              </w:rPr>
            </w:r>
            <w:r>
              <w:rPr>
                <w:rFonts w:ascii="黑体" w:hAnsi="黑体" w:cs="黑体" w:eastAsia="黑体" w:hint="default"/>
                <w:sz w:val="18"/>
                <w:szCs w:val="18"/>
              </w:rPr>
              <w:t>耗材销售。</w:t>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06"/>
              <w:jc w:val="right"/>
              <w:rPr>
                <w:rFonts w:ascii="Arial" w:hAnsi="Arial" w:cs="Arial" w:eastAsia="Arial" w:hint="default"/>
                <w:sz w:val="18"/>
                <w:szCs w:val="18"/>
              </w:rPr>
            </w:pPr>
            <w:r>
              <w:rPr>
                <w:rFonts w:ascii="Arial"/>
                <w:spacing w:val="-1"/>
                <w:sz w:val="18"/>
              </w:rPr>
              <w:t>05884203-2</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11"/>
              <w:jc w:val="right"/>
              <w:rPr>
                <w:rFonts w:ascii="Arial" w:hAnsi="Arial" w:cs="Arial" w:eastAsia="Arial" w:hint="default"/>
                <w:sz w:val="18"/>
                <w:szCs w:val="18"/>
              </w:rPr>
            </w:pPr>
            <w:r>
              <w:rPr>
                <w:rFonts w:ascii="Arial"/>
                <w:spacing w:val="-1"/>
                <w:sz w:val="18"/>
              </w:rPr>
              <w:t>10,000,000</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34"/>
              <w:jc w:val="right"/>
              <w:rPr>
                <w:rFonts w:ascii="Arial" w:hAnsi="Arial" w:cs="Arial" w:eastAsia="Arial" w:hint="default"/>
                <w:sz w:val="18"/>
                <w:szCs w:val="18"/>
              </w:rPr>
            </w:pPr>
            <w:r>
              <w:rPr>
                <w:rFonts w:ascii="Arial"/>
                <w:w w:val="95"/>
                <w:sz w:val="18"/>
              </w:rPr>
              <w:t>100</w:t>
            </w:r>
            <w:r>
              <w:rPr>
                <w:rFonts w:ascii="Arial"/>
                <w:sz w:val="18"/>
              </w:rPr>
            </w:r>
          </w:p>
        </w:tc>
        <w:tc>
          <w:tcPr>
            <w:tcW w:w="101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39"/>
              <w:jc w:val="right"/>
              <w:rPr>
                <w:rFonts w:ascii="Arial" w:hAnsi="Arial" w:cs="Arial" w:eastAsia="Arial" w:hint="default"/>
                <w:sz w:val="18"/>
                <w:szCs w:val="18"/>
              </w:rPr>
            </w:pPr>
            <w:r>
              <w:rPr>
                <w:rFonts w:ascii="Arial"/>
                <w:w w:val="95"/>
                <w:sz w:val="18"/>
              </w:rPr>
              <w:t>100</w:t>
            </w:r>
            <w:r>
              <w:rPr>
                <w:rFonts w:ascii="Arial"/>
                <w:sz w:val="18"/>
              </w:rPr>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95"/>
              <w:jc w:val="right"/>
              <w:rPr>
                <w:rFonts w:ascii="黑体" w:hAnsi="黑体" w:cs="黑体" w:eastAsia="黑体" w:hint="default"/>
                <w:sz w:val="18"/>
                <w:szCs w:val="18"/>
              </w:rPr>
            </w:pPr>
            <w:r>
              <w:rPr>
                <w:rFonts w:ascii="黑体" w:hAnsi="黑体" w:cs="黑体" w:eastAsia="黑体" w:hint="default"/>
                <w:sz w:val="18"/>
                <w:szCs w:val="18"/>
              </w:rPr>
              <w:t>是</w:t>
            </w:r>
          </w:p>
        </w:tc>
        <w:tc>
          <w:tcPr>
            <w:tcW w:w="1218"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98"/>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pgSz w:w="16850" w:h="11910" w:orient="landscape"/>
          <w:pgMar w:header="957" w:footer="857" w:top="2620" w:bottom="1040" w:left="460" w:right="360"/>
        </w:sectPr>
      </w:pPr>
    </w:p>
    <w:p>
      <w:pPr>
        <w:spacing w:line="240" w:lineRule="auto" w:before="13"/>
        <w:rPr>
          <w:rFonts w:ascii="黑体" w:hAnsi="黑体" w:cs="黑体" w:eastAsia="黑体" w:hint="default"/>
          <w:sz w:val="13"/>
          <w:szCs w:val="13"/>
        </w:rPr>
      </w:pPr>
    </w:p>
    <w:p>
      <w:pPr>
        <w:pStyle w:val="Heading6"/>
        <w:tabs>
          <w:tab w:pos="824" w:val="left" w:leader="none"/>
        </w:tabs>
        <w:spacing w:line="240" w:lineRule="auto"/>
        <w:ind w:left="121" w:right="0"/>
        <w:jc w:val="left"/>
        <w:rPr>
          <w:b w:val="0"/>
          <w:bCs w:val="0"/>
        </w:rPr>
      </w:pPr>
      <w:r>
        <w:rPr>
          <w:w w:val="95"/>
        </w:rPr>
        <w:t>四、</w:t>
        <w:tab/>
      </w:r>
      <w:r>
        <w:rPr/>
        <w:t>合并财务报表的合并范围（续）</w:t>
      </w:r>
      <w:r>
        <w:rPr>
          <w:b w:val="0"/>
          <w:bCs w:val="0"/>
        </w:rPr>
      </w:r>
    </w:p>
    <w:p>
      <w:pPr>
        <w:spacing w:line="240" w:lineRule="auto" w:before="9"/>
        <w:rPr>
          <w:rFonts w:ascii="黑体" w:hAnsi="黑体" w:cs="黑体" w:eastAsia="黑体" w:hint="default"/>
          <w:b/>
          <w:bCs/>
          <w:sz w:val="16"/>
          <w:szCs w:val="16"/>
        </w:rPr>
      </w:pPr>
    </w:p>
    <w:p>
      <w:pPr>
        <w:pStyle w:val="Heading6"/>
        <w:tabs>
          <w:tab w:pos="810" w:val="left" w:leader="none"/>
        </w:tabs>
        <w:spacing w:line="240" w:lineRule="auto" w:before="0"/>
        <w:ind w:left="121" w:right="0"/>
        <w:jc w:val="left"/>
        <w:rPr>
          <w:b w:val="0"/>
          <w:bCs w:val="0"/>
        </w:rPr>
      </w:pPr>
      <w:r>
        <w:rPr>
          <w:rFonts w:ascii="Arial" w:hAnsi="Arial" w:cs="Arial" w:eastAsia="Arial" w:hint="default"/>
          <w:spacing w:val="-1"/>
        </w:rPr>
        <w:t>1.</w:t>
        <w:tab/>
      </w:r>
      <w:r>
        <w:rPr>
          <w:spacing w:val="1"/>
        </w:rPr>
        <w:t>子公司情况（续）</w:t>
      </w:r>
      <w:r>
        <w:rPr>
          <w:b w:val="0"/>
          <w:bCs w:val="0"/>
          <w:spacing w:val="1"/>
        </w:rPr>
      </w:r>
    </w:p>
    <w:p>
      <w:pPr>
        <w:spacing w:line="240" w:lineRule="auto" w:before="3"/>
        <w:rPr>
          <w:rFonts w:ascii="黑体" w:hAnsi="黑体" w:cs="黑体" w:eastAsia="黑体" w:hint="default"/>
          <w:b/>
          <w:bCs/>
          <w:sz w:val="17"/>
          <w:szCs w:val="17"/>
        </w:rPr>
      </w:pPr>
    </w:p>
    <w:p>
      <w:pPr>
        <w:pStyle w:val="BodyText"/>
        <w:tabs>
          <w:tab w:pos="1604" w:val="left" w:leader="none"/>
        </w:tabs>
        <w:spacing w:line="258" w:lineRule="exact"/>
        <w:ind w:left="808" w:right="0"/>
        <w:jc w:val="left"/>
      </w:pPr>
      <w:r>
        <w:rPr>
          <w:spacing w:val="-1"/>
        </w:rPr>
        <w:t>注</w:t>
      </w:r>
      <w:r>
        <w:rPr>
          <w:rFonts w:ascii="Arial" w:hAnsi="Arial" w:cs="Arial" w:eastAsia="Arial" w:hint="default"/>
          <w:spacing w:val="-1"/>
        </w:rPr>
        <w:t>1.</w:t>
        <w:tab/>
      </w:r>
      <w:r>
        <w:rPr/>
        <w:t>根据本公司于</w:t>
      </w:r>
      <w:r>
        <w:rPr>
          <w:spacing w:val="-40"/>
        </w:rPr>
        <w:t> </w:t>
      </w:r>
      <w:r>
        <w:rPr>
          <w:rFonts w:ascii="Arial" w:hAnsi="Arial" w:cs="Arial" w:eastAsia="Arial" w:hint="default"/>
        </w:rPr>
        <w:t>2011</w:t>
      </w:r>
      <w:r>
        <w:rPr>
          <w:rFonts w:ascii="Arial" w:hAnsi="Arial" w:cs="Arial" w:eastAsia="Arial" w:hint="default"/>
          <w:spacing w:val="6"/>
        </w:rPr>
        <w:t> </w:t>
      </w:r>
      <w:r>
        <w:rPr/>
        <w:t>年</w:t>
      </w:r>
      <w:r>
        <w:rPr>
          <w:spacing w:val="-40"/>
        </w:rPr>
        <w:t> </w:t>
      </w:r>
      <w:r>
        <w:rPr>
          <w:rFonts w:ascii="Arial" w:hAnsi="Arial" w:cs="Arial" w:eastAsia="Arial" w:hint="default"/>
        </w:rPr>
        <w:t>8</w:t>
      </w:r>
      <w:r>
        <w:rPr>
          <w:rFonts w:ascii="Arial" w:hAnsi="Arial" w:cs="Arial" w:eastAsia="Arial" w:hint="default"/>
          <w:spacing w:val="6"/>
        </w:rPr>
        <w:t> </w:t>
      </w:r>
      <w:r>
        <w:rPr/>
        <w:t>月</w:t>
      </w:r>
      <w:r>
        <w:rPr>
          <w:spacing w:val="-40"/>
        </w:rPr>
        <w:t> </w:t>
      </w:r>
      <w:r>
        <w:rPr>
          <w:rFonts w:ascii="Arial" w:hAnsi="Arial" w:cs="Arial" w:eastAsia="Arial" w:hint="default"/>
          <w:spacing w:val="-1"/>
        </w:rPr>
        <w:t>25</w:t>
      </w:r>
      <w:r>
        <w:rPr>
          <w:rFonts w:ascii="Arial" w:hAnsi="Arial" w:cs="Arial" w:eastAsia="Arial" w:hint="default"/>
          <w:spacing w:val="4"/>
        </w:rPr>
        <w:t> </w:t>
      </w:r>
      <w:r>
        <w:rPr/>
        <w:t>日召开的第五届董事会</w:t>
      </w:r>
      <w:r>
        <w:rPr>
          <w:spacing w:val="-40"/>
        </w:rPr>
        <w:t> </w:t>
      </w:r>
      <w:r>
        <w:rPr>
          <w:rFonts w:ascii="Arial" w:hAnsi="Arial" w:cs="Arial" w:eastAsia="Arial" w:hint="default"/>
        </w:rPr>
        <w:t>2011</w:t>
      </w:r>
      <w:r>
        <w:rPr>
          <w:rFonts w:ascii="Arial" w:hAnsi="Arial" w:cs="Arial" w:eastAsia="Arial" w:hint="default"/>
          <w:spacing w:val="4"/>
        </w:rPr>
        <w:t> </w:t>
      </w:r>
      <w:r>
        <w:rPr/>
        <w:t>年第七次会议决议，</w:t>
      </w:r>
    </w:p>
    <w:p>
      <w:pPr>
        <w:pStyle w:val="BodyText"/>
        <w:spacing w:line="240" w:lineRule="exact"/>
        <w:ind w:left="1604" w:right="0"/>
        <w:jc w:val="both"/>
      </w:pPr>
      <w:r>
        <w:rPr/>
        <w:t>本公司于</w:t>
      </w:r>
      <w:r>
        <w:rPr>
          <w:spacing w:val="-52"/>
        </w:rPr>
        <w:t> </w:t>
      </w:r>
      <w:r>
        <w:rPr>
          <w:rFonts w:ascii="Arial" w:hAnsi="Arial" w:cs="Arial" w:eastAsia="Arial" w:hint="default"/>
        </w:rPr>
        <w:t>2012</w:t>
      </w:r>
      <w:r>
        <w:rPr>
          <w:rFonts w:ascii="Arial" w:hAnsi="Arial" w:cs="Arial" w:eastAsia="Arial" w:hint="default"/>
          <w:spacing w:val="-7"/>
        </w:rPr>
        <w:t> </w:t>
      </w:r>
      <w:r>
        <w:rPr/>
        <w:t>年</w:t>
      </w:r>
      <w:r>
        <w:rPr>
          <w:spacing w:val="-54"/>
        </w:rPr>
        <w:t> </w:t>
      </w:r>
      <w:r>
        <w:rPr>
          <w:rFonts w:ascii="Arial" w:hAnsi="Arial" w:cs="Arial" w:eastAsia="Arial" w:hint="default"/>
        </w:rPr>
        <w:t>3</w:t>
      </w:r>
      <w:r>
        <w:rPr>
          <w:rFonts w:ascii="Arial" w:hAnsi="Arial" w:cs="Arial" w:eastAsia="Arial" w:hint="default"/>
          <w:spacing w:val="-10"/>
        </w:rPr>
        <w:t> </w:t>
      </w:r>
      <w:r>
        <w:rPr/>
        <w:t>月</w:t>
      </w:r>
      <w:r>
        <w:rPr>
          <w:spacing w:val="-54"/>
        </w:rPr>
        <w:t> </w:t>
      </w:r>
      <w:r>
        <w:rPr>
          <w:rFonts w:ascii="Arial" w:hAnsi="Arial" w:cs="Arial" w:eastAsia="Arial" w:hint="default"/>
        </w:rPr>
        <w:t>23</w:t>
      </w:r>
      <w:r>
        <w:rPr>
          <w:rFonts w:ascii="Arial" w:hAnsi="Arial" w:cs="Arial" w:eastAsia="Arial" w:hint="default"/>
          <w:spacing w:val="-8"/>
        </w:rPr>
        <w:t> </w:t>
      </w:r>
      <w:r>
        <w:rPr/>
        <w:t>日以现金人民币</w:t>
      </w:r>
      <w:r>
        <w:rPr>
          <w:spacing w:val="-52"/>
        </w:rPr>
        <w:t> </w:t>
      </w:r>
      <w:r>
        <w:rPr>
          <w:rFonts w:ascii="Arial" w:hAnsi="Arial" w:cs="Arial" w:eastAsia="Arial" w:hint="default"/>
        </w:rPr>
        <w:t>4,049,999</w:t>
      </w:r>
      <w:r>
        <w:rPr>
          <w:rFonts w:ascii="Arial" w:hAnsi="Arial" w:cs="Arial" w:eastAsia="Arial" w:hint="default"/>
          <w:spacing w:val="-7"/>
        </w:rPr>
        <w:t> </w:t>
      </w:r>
      <w:r>
        <w:rPr>
          <w:spacing w:val="-4"/>
        </w:rPr>
        <w:t>元向天津用友增资，本公司</w:t>
      </w:r>
    </w:p>
    <w:p>
      <w:pPr>
        <w:pStyle w:val="BodyText"/>
        <w:spacing w:line="240" w:lineRule="exact"/>
        <w:ind w:left="1604" w:right="0"/>
        <w:jc w:val="both"/>
      </w:pPr>
      <w:r>
        <w:rPr/>
        <w:t>全资子公司广西用友以现金人民币</w:t>
      </w:r>
      <w:r>
        <w:rPr>
          <w:spacing w:val="-55"/>
        </w:rPr>
        <w:t> </w:t>
      </w:r>
      <w:r>
        <w:rPr>
          <w:rFonts w:ascii="Arial" w:hAnsi="Arial" w:cs="Arial" w:eastAsia="Arial" w:hint="default"/>
        </w:rPr>
        <w:t>450,000</w:t>
      </w:r>
      <w:r>
        <w:rPr>
          <w:rFonts w:ascii="Arial" w:hAnsi="Arial" w:cs="Arial" w:eastAsia="Arial" w:hint="default"/>
          <w:spacing w:val="-11"/>
        </w:rPr>
        <w:t> </w:t>
      </w:r>
      <w:r>
        <w:rPr/>
        <w:t>元向天津用友增资。增资后，天津用</w:t>
      </w:r>
    </w:p>
    <w:p>
      <w:pPr>
        <w:pStyle w:val="BodyText"/>
        <w:spacing w:line="240" w:lineRule="exact"/>
        <w:ind w:left="1604" w:right="0"/>
        <w:jc w:val="both"/>
      </w:pPr>
      <w:r>
        <w:rPr/>
        <w:t>友注册资金由人民币</w:t>
      </w:r>
      <w:r>
        <w:rPr>
          <w:spacing w:val="-52"/>
        </w:rPr>
        <w:t> </w:t>
      </w:r>
      <w:r>
        <w:rPr>
          <w:rFonts w:ascii="Arial" w:hAnsi="Arial" w:cs="Arial" w:eastAsia="Arial" w:hint="default"/>
        </w:rPr>
        <w:t>500,001</w:t>
      </w:r>
      <w:r>
        <w:rPr>
          <w:rFonts w:ascii="Arial" w:hAnsi="Arial" w:cs="Arial" w:eastAsia="Arial" w:hint="default"/>
          <w:spacing w:val="-7"/>
        </w:rPr>
        <w:t> </w:t>
      </w:r>
      <w:r>
        <w:rPr/>
        <w:t>元增加至人民币</w:t>
      </w:r>
      <w:r>
        <w:rPr>
          <w:spacing w:val="-49"/>
        </w:rPr>
        <w:t> </w:t>
      </w:r>
      <w:r>
        <w:rPr>
          <w:rFonts w:ascii="Arial" w:hAnsi="Arial" w:cs="Arial" w:eastAsia="Arial" w:hint="default"/>
        </w:rPr>
        <w:t>5,000,000</w:t>
      </w:r>
      <w:r>
        <w:rPr>
          <w:rFonts w:ascii="Arial" w:hAnsi="Arial" w:cs="Arial" w:eastAsia="Arial" w:hint="default"/>
          <w:spacing w:val="-7"/>
        </w:rPr>
        <w:t> </w:t>
      </w:r>
      <w:r>
        <w:rPr/>
        <w:t>元，本公司持有天津用</w:t>
      </w:r>
    </w:p>
    <w:p>
      <w:pPr>
        <w:pStyle w:val="BodyText"/>
        <w:spacing w:line="240" w:lineRule="exact" w:before="23"/>
        <w:ind w:left="1604" w:right="202"/>
        <w:jc w:val="both"/>
      </w:pPr>
      <w:r>
        <w:rPr/>
        <w:t>友</w:t>
      </w:r>
      <w:r>
        <w:rPr>
          <w:spacing w:val="-55"/>
        </w:rPr>
        <w:t> </w:t>
      </w:r>
      <w:r>
        <w:rPr>
          <w:rFonts w:ascii="Arial" w:hAnsi="Arial" w:cs="Arial" w:eastAsia="Arial" w:hint="default"/>
        </w:rPr>
        <w:t>90%</w:t>
      </w:r>
      <w:r>
        <w:rPr/>
        <w:t>股权，广西用友持有天津用友</w:t>
      </w:r>
      <w:r>
        <w:rPr>
          <w:spacing w:val="-53"/>
        </w:rPr>
        <w:t> </w:t>
      </w:r>
      <w:r>
        <w:rPr>
          <w:rFonts w:ascii="Arial" w:hAnsi="Arial" w:cs="Arial" w:eastAsia="Arial" w:hint="default"/>
          <w:spacing w:val="-3"/>
        </w:rPr>
        <w:t>10%</w:t>
      </w:r>
      <w:r>
        <w:rPr>
          <w:spacing w:val="-3"/>
        </w:rPr>
        <w:t>股权。截至</w:t>
      </w:r>
      <w:r>
        <w:rPr>
          <w:spacing w:val="-55"/>
        </w:rPr>
        <w:t> </w:t>
      </w:r>
      <w:r>
        <w:rPr>
          <w:rFonts w:ascii="Arial" w:hAnsi="Arial" w:cs="Arial" w:eastAsia="Arial" w:hint="default"/>
        </w:rPr>
        <w:t>2012</w:t>
      </w:r>
      <w:r>
        <w:rPr>
          <w:rFonts w:ascii="Arial" w:hAnsi="Arial" w:cs="Arial" w:eastAsia="Arial" w:hint="default"/>
          <w:spacing w:val="-11"/>
        </w:rPr>
        <w:t> </w:t>
      </w:r>
      <w:r>
        <w:rPr/>
        <w:t>年</w:t>
      </w:r>
      <w:r>
        <w:rPr>
          <w:spacing w:val="-55"/>
        </w:rPr>
        <w:t> </w:t>
      </w:r>
      <w:r>
        <w:rPr>
          <w:rFonts w:ascii="Arial" w:hAnsi="Arial" w:cs="Arial" w:eastAsia="Arial" w:hint="default"/>
        </w:rPr>
        <w:t>12</w:t>
      </w:r>
      <w:r>
        <w:rPr>
          <w:rFonts w:ascii="Arial" w:hAnsi="Arial" w:cs="Arial" w:eastAsia="Arial" w:hint="default"/>
          <w:spacing w:val="-11"/>
        </w:rPr>
        <w:t> </w:t>
      </w:r>
      <w:r>
        <w:rPr/>
        <w:t>月</w:t>
      </w:r>
      <w:r>
        <w:rPr>
          <w:spacing w:val="-55"/>
        </w:rPr>
        <w:t> </w:t>
      </w:r>
      <w:r>
        <w:rPr>
          <w:rFonts w:ascii="Arial" w:hAnsi="Arial" w:cs="Arial" w:eastAsia="Arial" w:hint="default"/>
        </w:rPr>
        <w:t>31</w:t>
      </w:r>
      <w:r>
        <w:rPr>
          <w:rFonts w:ascii="Arial" w:hAnsi="Arial" w:cs="Arial" w:eastAsia="Arial" w:hint="default"/>
          <w:spacing w:val="-9"/>
        </w:rPr>
        <w:t> </w:t>
      </w:r>
      <w:r>
        <w:rPr>
          <w:spacing w:val="-6"/>
        </w:rPr>
        <w:t>日，相关</w:t>
      </w:r>
      <w:r>
        <w:rPr>
          <w:w w:val="99"/>
        </w:rPr>
        <w:t> </w:t>
      </w:r>
      <w:r>
        <w:rPr/>
        <w:t>的验资及工商注册登记已经完成。</w:t>
      </w:r>
    </w:p>
    <w:p>
      <w:pPr>
        <w:spacing w:line="240" w:lineRule="auto" w:before="5"/>
        <w:rPr>
          <w:rFonts w:ascii="黑体" w:hAnsi="黑体" w:cs="黑体" w:eastAsia="黑体" w:hint="default"/>
          <w:sz w:val="18"/>
          <w:szCs w:val="18"/>
        </w:rPr>
      </w:pPr>
    </w:p>
    <w:p>
      <w:pPr>
        <w:pStyle w:val="BodyText"/>
        <w:tabs>
          <w:tab w:pos="1604" w:val="left" w:leader="none"/>
        </w:tabs>
        <w:spacing w:line="240" w:lineRule="exact"/>
        <w:ind w:left="1604" w:right="199" w:hanging="797"/>
        <w:jc w:val="left"/>
      </w:pPr>
      <w:r>
        <w:rPr>
          <w:spacing w:val="-1"/>
        </w:rPr>
        <w:t>注</w:t>
      </w:r>
      <w:r>
        <w:rPr>
          <w:rFonts w:ascii="Arial" w:hAnsi="Arial" w:cs="Arial" w:eastAsia="Arial" w:hint="default"/>
          <w:spacing w:val="-1"/>
        </w:rPr>
        <w:t>2.</w:t>
        <w:tab/>
      </w:r>
      <w:r>
        <w:rPr>
          <w:rFonts w:ascii="Arial" w:hAnsi="Arial" w:cs="Arial" w:eastAsia="Arial" w:hint="default"/>
        </w:rPr>
        <w:t>UF</w:t>
      </w:r>
      <w:r>
        <w:rPr>
          <w:rFonts w:ascii="Arial" w:hAnsi="Arial" w:cs="Arial" w:eastAsia="Arial" w:hint="default"/>
          <w:spacing w:val="36"/>
        </w:rPr>
        <w:t> </w:t>
      </w:r>
      <w:r>
        <w:rPr>
          <w:rFonts w:ascii="Arial" w:hAnsi="Arial" w:cs="Arial" w:eastAsia="Arial" w:hint="default"/>
        </w:rPr>
        <w:t>INTERNATIONAL</w:t>
      </w:r>
      <w:r>
        <w:rPr>
          <w:rFonts w:ascii="Arial" w:hAnsi="Arial" w:cs="Arial" w:eastAsia="Arial" w:hint="default"/>
          <w:spacing w:val="35"/>
        </w:rPr>
        <w:t> </w:t>
      </w:r>
      <w:r>
        <w:rPr>
          <w:rFonts w:ascii="Arial" w:hAnsi="Arial" w:cs="Arial" w:eastAsia="Arial" w:hint="default"/>
        </w:rPr>
        <w:t>HOLDINGS.,</w:t>
      </w:r>
      <w:r>
        <w:rPr>
          <w:rFonts w:ascii="Arial" w:hAnsi="Arial" w:cs="Arial" w:eastAsia="Arial" w:hint="default"/>
          <w:spacing w:val="35"/>
        </w:rPr>
        <w:t> </w:t>
      </w:r>
      <w:r>
        <w:rPr>
          <w:rFonts w:ascii="Arial" w:hAnsi="Arial" w:cs="Arial" w:eastAsia="Arial" w:hint="default"/>
        </w:rPr>
        <w:t>LTD.</w:t>
      </w:r>
      <w:r>
        <w:rPr/>
        <w:t>于</w:t>
      </w:r>
      <w:r>
        <w:rPr>
          <w:spacing w:val="-52"/>
        </w:rPr>
        <w:t> </w:t>
      </w:r>
      <w:r>
        <w:rPr>
          <w:rFonts w:ascii="Arial" w:hAnsi="Arial" w:cs="Arial" w:eastAsia="Arial" w:hint="default"/>
        </w:rPr>
        <w:t>2012</w:t>
      </w:r>
      <w:r>
        <w:rPr>
          <w:rFonts w:ascii="Arial" w:hAnsi="Arial" w:cs="Arial" w:eastAsia="Arial" w:hint="default"/>
          <w:spacing w:val="-8"/>
        </w:rPr>
        <w:t> </w:t>
      </w:r>
      <w:r>
        <w:rPr/>
        <w:t>年</w:t>
      </w:r>
      <w:r>
        <w:rPr>
          <w:spacing w:val="-50"/>
        </w:rPr>
        <w:t> </w:t>
      </w:r>
      <w:r>
        <w:rPr>
          <w:rFonts w:ascii="Arial" w:hAnsi="Arial" w:cs="Arial" w:eastAsia="Arial" w:hint="default"/>
        </w:rPr>
        <w:t>6</w:t>
      </w:r>
      <w:r>
        <w:rPr>
          <w:rFonts w:ascii="Arial" w:hAnsi="Arial" w:cs="Arial" w:eastAsia="Arial" w:hint="default"/>
          <w:spacing w:val="-8"/>
        </w:rPr>
        <w:t> </w:t>
      </w:r>
      <w:r>
        <w:rPr/>
        <w:t>月</w:t>
      </w:r>
      <w:r>
        <w:rPr>
          <w:spacing w:val="-52"/>
        </w:rPr>
        <w:t> </w:t>
      </w:r>
      <w:r>
        <w:rPr>
          <w:rFonts w:ascii="Arial" w:hAnsi="Arial" w:cs="Arial" w:eastAsia="Arial" w:hint="default"/>
        </w:rPr>
        <w:t>6</w:t>
      </w:r>
      <w:r>
        <w:rPr>
          <w:rFonts w:ascii="Arial" w:hAnsi="Arial" w:cs="Arial" w:eastAsia="Arial" w:hint="default"/>
          <w:spacing w:val="-8"/>
        </w:rPr>
        <w:t> </w:t>
      </w:r>
      <w:r>
        <w:rPr/>
        <w:t>日更名为</w:t>
      </w:r>
      <w:r>
        <w:rPr>
          <w:spacing w:val="-50"/>
        </w:rPr>
        <w:t> </w:t>
      </w:r>
      <w:r>
        <w:rPr>
          <w:rFonts w:ascii="Arial" w:hAnsi="Arial" w:cs="Arial" w:eastAsia="Arial" w:hint="default"/>
        </w:rPr>
        <w:t>YONYOU</w:t>
      </w:r>
      <w:r>
        <w:rPr>
          <w:rFonts w:ascii="Arial" w:hAnsi="Arial" w:cs="Arial" w:eastAsia="Arial" w:hint="default"/>
          <w:spacing w:val="1"/>
          <w:w w:val="99"/>
        </w:rPr>
        <w:t> </w:t>
      </w:r>
      <w:r>
        <w:rPr>
          <w:rFonts w:ascii="Arial" w:hAnsi="Arial" w:cs="Arial" w:eastAsia="Arial" w:hint="default"/>
        </w:rPr>
        <w:t>INTERNATIONAL</w:t>
      </w:r>
      <w:r>
        <w:rPr>
          <w:rFonts w:ascii="Arial" w:hAnsi="Arial" w:cs="Arial" w:eastAsia="Arial" w:hint="default"/>
          <w:spacing w:val="16"/>
        </w:rPr>
        <w:t> </w:t>
      </w:r>
      <w:r>
        <w:rPr>
          <w:rFonts w:ascii="Arial" w:hAnsi="Arial" w:cs="Arial" w:eastAsia="Arial" w:hint="default"/>
        </w:rPr>
        <w:t>HOLDINGS.,</w:t>
      </w:r>
      <w:r>
        <w:rPr>
          <w:rFonts w:ascii="Arial" w:hAnsi="Arial" w:cs="Arial" w:eastAsia="Arial" w:hint="default"/>
          <w:spacing w:val="16"/>
        </w:rPr>
        <w:t> </w:t>
      </w:r>
      <w:r>
        <w:rPr>
          <w:rFonts w:ascii="Arial" w:hAnsi="Arial" w:cs="Arial" w:eastAsia="Arial" w:hint="default"/>
        </w:rPr>
        <w:t>LTD.</w:t>
      </w:r>
      <w:r>
        <w:rPr/>
        <w:t>。根据本公司于</w:t>
      </w:r>
      <w:r>
        <w:rPr>
          <w:spacing w:val="-51"/>
        </w:rPr>
        <w:t> </w:t>
      </w:r>
      <w:r>
        <w:rPr>
          <w:rFonts w:ascii="Arial" w:hAnsi="Arial" w:cs="Arial" w:eastAsia="Arial" w:hint="default"/>
        </w:rPr>
        <w:t>2012</w:t>
      </w:r>
      <w:r>
        <w:rPr>
          <w:rFonts w:ascii="Arial" w:hAnsi="Arial" w:cs="Arial" w:eastAsia="Arial" w:hint="default"/>
          <w:spacing w:val="-9"/>
        </w:rPr>
        <w:t> </w:t>
      </w:r>
      <w:r>
        <w:rPr/>
        <w:t>年</w:t>
      </w:r>
      <w:r>
        <w:rPr>
          <w:spacing w:val="-51"/>
        </w:rPr>
        <w:t> </w:t>
      </w:r>
      <w:r>
        <w:rPr>
          <w:rFonts w:ascii="Arial" w:hAnsi="Arial" w:cs="Arial" w:eastAsia="Arial" w:hint="default"/>
        </w:rPr>
        <w:t>3</w:t>
      </w:r>
      <w:r>
        <w:rPr>
          <w:rFonts w:ascii="Arial" w:hAnsi="Arial" w:cs="Arial" w:eastAsia="Arial" w:hint="default"/>
          <w:spacing w:val="-9"/>
        </w:rPr>
        <w:t> </w:t>
      </w:r>
      <w:r>
        <w:rPr/>
        <w:t>月</w:t>
      </w:r>
      <w:r>
        <w:rPr>
          <w:spacing w:val="-53"/>
        </w:rPr>
        <w:t> </w:t>
      </w:r>
      <w:r>
        <w:rPr>
          <w:rFonts w:ascii="Arial" w:hAnsi="Arial" w:cs="Arial" w:eastAsia="Arial" w:hint="default"/>
        </w:rPr>
        <w:t>26</w:t>
      </w:r>
      <w:r>
        <w:rPr>
          <w:rFonts w:ascii="Arial" w:hAnsi="Arial" w:cs="Arial" w:eastAsia="Arial" w:hint="default"/>
          <w:spacing w:val="-7"/>
        </w:rPr>
        <w:t> </w:t>
      </w:r>
      <w:r>
        <w:rPr/>
        <w:t>日召开的</w:t>
      </w:r>
    </w:p>
    <w:p>
      <w:pPr>
        <w:pStyle w:val="BodyText"/>
        <w:spacing w:line="240" w:lineRule="exact"/>
        <w:ind w:left="1603" w:right="200"/>
        <w:jc w:val="both"/>
        <w:rPr>
          <w:rFonts w:ascii="Arial" w:hAnsi="Arial" w:cs="Arial" w:eastAsia="Arial" w:hint="default"/>
        </w:rPr>
      </w:pPr>
      <w:r>
        <w:rPr/>
        <w:t>第五届董事会</w:t>
      </w:r>
      <w:r>
        <w:rPr>
          <w:spacing w:val="-53"/>
        </w:rPr>
        <w:t> </w:t>
      </w:r>
      <w:r>
        <w:rPr>
          <w:rFonts w:ascii="Arial" w:hAnsi="Arial" w:cs="Arial" w:eastAsia="Arial" w:hint="default"/>
        </w:rPr>
        <w:t>2012</w:t>
      </w:r>
      <w:r>
        <w:rPr>
          <w:rFonts w:ascii="Arial" w:hAnsi="Arial" w:cs="Arial" w:eastAsia="Arial" w:hint="default"/>
          <w:spacing w:val="-9"/>
        </w:rPr>
        <w:t> </w:t>
      </w:r>
      <w:r>
        <w:rPr/>
        <w:t>年第三次会议决议，本公司于</w:t>
      </w:r>
      <w:r>
        <w:rPr>
          <w:spacing w:val="-51"/>
        </w:rPr>
        <w:t> </w:t>
      </w:r>
      <w:r>
        <w:rPr>
          <w:rFonts w:ascii="Arial" w:hAnsi="Arial" w:cs="Arial" w:eastAsia="Arial" w:hint="default"/>
        </w:rPr>
        <w:t>2012</w:t>
      </w:r>
      <w:r>
        <w:rPr>
          <w:rFonts w:ascii="Arial" w:hAnsi="Arial" w:cs="Arial" w:eastAsia="Arial" w:hint="default"/>
          <w:spacing w:val="-9"/>
        </w:rPr>
        <w:t> </w:t>
      </w:r>
      <w:r>
        <w:rPr/>
        <w:t>年</w:t>
      </w:r>
      <w:r>
        <w:rPr>
          <w:spacing w:val="-53"/>
        </w:rPr>
        <w:t> </w:t>
      </w:r>
      <w:r>
        <w:rPr>
          <w:rFonts w:ascii="Arial" w:hAnsi="Arial" w:cs="Arial" w:eastAsia="Arial" w:hint="default"/>
        </w:rPr>
        <w:t>6</w:t>
      </w:r>
      <w:r>
        <w:rPr>
          <w:rFonts w:ascii="Arial" w:hAnsi="Arial" w:cs="Arial" w:eastAsia="Arial" w:hint="default"/>
          <w:spacing w:val="-9"/>
        </w:rPr>
        <w:t> </w:t>
      </w:r>
      <w:r>
        <w:rPr/>
        <w:t>月</w:t>
      </w:r>
      <w:r>
        <w:rPr>
          <w:spacing w:val="-53"/>
        </w:rPr>
        <w:t> </w:t>
      </w:r>
      <w:r>
        <w:rPr>
          <w:rFonts w:ascii="Arial" w:hAnsi="Arial" w:cs="Arial" w:eastAsia="Arial" w:hint="default"/>
        </w:rPr>
        <w:t>25</w:t>
      </w:r>
      <w:r>
        <w:rPr>
          <w:rFonts w:ascii="Arial" w:hAnsi="Arial" w:cs="Arial" w:eastAsia="Arial" w:hint="default"/>
          <w:spacing w:val="-7"/>
        </w:rPr>
        <w:t> </w:t>
      </w:r>
      <w:r>
        <w:rPr/>
        <w:t>日认购全资子</w:t>
      </w:r>
      <w:r>
        <w:rPr>
          <w:w w:val="99"/>
        </w:rPr>
        <w:t> </w:t>
      </w:r>
      <w:r>
        <w:rPr/>
        <w:t>公司</w:t>
      </w:r>
      <w:r>
        <w:rPr>
          <w:spacing w:val="-46"/>
        </w:rPr>
        <w:t> </w:t>
      </w:r>
      <w:r>
        <w:rPr>
          <w:rFonts w:ascii="Arial" w:hAnsi="Arial" w:cs="Arial" w:eastAsia="Arial" w:hint="default"/>
        </w:rPr>
        <w:t>YONYOU</w:t>
      </w:r>
      <w:r>
        <w:rPr>
          <w:rFonts w:ascii="Arial" w:hAnsi="Arial" w:cs="Arial" w:eastAsia="Arial" w:hint="default"/>
          <w:spacing w:val="40"/>
        </w:rPr>
        <w:t> </w:t>
      </w:r>
      <w:r>
        <w:rPr>
          <w:rFonts w:ascii="Arial" w:hAnsi="Arial" w:cs="Arial" w:eastAsia="Arial" w:hint="default"/>
        </w:rPr>
        <w:t>INTERNATIONAL</w:t>
      </w:r>
      <w:r>
        <w:rPr>
          <w:rFonts w:ascii="Arial" w:hAnsi="Arial" w:cs="Arial" w:eastAsia="Arial" w:hint="default"/>
          <w:spacing w:val="-3"/>
        </w:rPr>
        <w:t> </w:t>
      </w:r>
      <w:r>
        <w:rPr/>
        <w:t>发行的股票</w:t>
      </w:r>
      <w:r>
        <w:rPr>
          <w:spacing w:val="-47"/>
        </w:rPr>
        <w:t> </w:t>
      </w:r>
      <w:r>
        <w:rPr>
          <w:rFonts w:ascii="Arial" w:hAnsi="Arial" w:cs="Arial" w:eastAsia="Arial" w:hint="default"/>
        </w:rPr>
        <w:t>10,000</w:t>
      </w:r>
      <w:r>
        <w:rPr>
          <w:rFonts w:ascii="Arial" w:hAnsi="Arial" w:cs="Arial" w:eastAsia="Arial" w:hint="default"/>
          <w:spacing w:val="-2"/>
        </w:rPr>
        <w:t> </w:t>
      </w:r>
      <w:r>
        <w:rPr/>
        <w:t>股，每股面值</w:t>
      </w:r>
      <w:r>
        <w:rPr>
          <w:spacing w:val="-47"/>
        </w:rPr>
        <w:t> </w:t>
      </w:r>
      <w:r>
        <w:rPr>
          <w:rFonts w:ascii="Arial" w:hAnsi="Arial" w:cs="Arial" w:eastAsia="Arial" w:hint="default"/>
        </w:rPr>
        <w:t>1</w:t>
      </w:r>
      <w:r>
        <w:rPr>
          <w:rFonts w:ascii="Arial" w:hAnsi="Arial" w:cs="Arial" w:eastAsia="Arial" w:hint="default"/>
          <w:spacing w:val="-2"/>
        </w:rPr>
        <w:t> </w:t>
      </w:r>
      <w:r>
        <w:rPr/>
        <w:t>美元，认</w:t>
      </w:r>
      <w:r>
        <w:rPr>
          <w:w w:val="99"/>
        </w:rPr>
        <w:t> </w:t>
      </w:r>
      <w:r>
        <w:rPr/>
        <w:t>购价为每股 </w:t>
      </w:r>
      <w:r>
        <w:rPr>
          <w:rFonts w:ascii="Arial" w:hAnsi="Arial" w:cs="Arial" w:eastAsia="Arial" w:hint="default"/>
        </w:rPr>
        <w:t>200 </w:t>
      </w:r>
      <w:r>
        <w:rPr/>
        <w:t>美元。增资后，</w:t>
      </w:r>
      <w:r>
        <w:rPr>
          <w:rFonts w:ascii="Arial" w:hAnsi="Arial" w:cs="Arial" w:eastAsia="Arial" w:hint="default"/>
        </w:rPr>
        <w:t>YONYOU INTERNATIONAL</w:t>
      </w:r>
      <w:r>
        <w:rPr>
          <w:rFonts w:ascii="Arial" w:hAnsi="Arial" w:cs="Arial" w:eastAsia="Arial" w:hint="default"/>
          <w:spacing w:val="28"/>
        </w:rPr>
        <w:t> </w:t>
      </w:r>
      <w:r>
        <w:rPr/>
        <w:t>注册资本由美元</w:t>
      </w:r>
      <w:r>
        <w:rPr>
          <w:w w:val="99"/>
        </w:rPr>
        <w:t> </w:t>
      </w:r>
      <w:r>
        <w:rPr>
          <w:rFonts w:ascii="Arial" w:hAnsi="Arial" w:cs="Arial" w:eastAsia="Arial" w:hint="default"/>
        </w:rPr>
        <w:t>20,000</w:t>
      </w:r>
      <w:r>
        <w:rPr>
          <w:rFonts w:ascii="Arial" w:hAnsi="Arial" w:cs="Arial" w:eastAsia="Arial" w:hint="default"/>
          <w:spacing w:val="1"/>
        </w:rPr>
        <w:t> </w:t>
      </w:r>
      <w:r>
        <w:rPr/>
        <w:t>元增加至美元</w:t>
      </w:r>
      <w:r>
        <w:rPr>
          <w:spacing w:val="-44"/>
        </w:rPr>
        <w:t> </w:t>
      </w:r>
      <w:r>
        <w:rPr>
          <w:rFonts w:ascii="Arial" w:hAnsi="Arial" w:cs="Arial" w:eastAsia="Arial" w:hint="default"/>
        </w:rPr>
        <w:t>30,000</w:t>
      </w:r>
      <w:r>
        <w:rPr>
          <w:rFonts w:ascii="Arial" w:hAnsi="Arial" w:cs="Arial" w:eastAsia="Arial" w:hint="default"/>
          <w:spacing w:val="1"/>
        </w:rPr>
        <w:t> </w:t>
      </w:r>
      <w:r>
        <w:rPr/>
        <w:t>元，本公司仍持有</w:t>
      </w:r>
      <w:r>
        <w:rPr>
          <w:spacing w:val="-44"/>
        </w:rPr>
        <w:t> </w:t>
      </w:r>
      <w:r>
        <w:rPr>
          <w:rFonts w:ascii="Arial" w:hAnsi="Arial" w:cs="Arial" w:eastAsia="Arial" w:hint="default"/>
        </w:rPr>
        <w:t>100%</w:t>
      </w:r>
      <w:r>
        <w:rPr/>
        <w:t>的股权。截至</w:t>
      </w:r>
      <w:r>
        <w:rPr>
          <w:spacing w:val="-44"/>
        </w:rPr>
        <w:t> </w:t>
      </w:r>
      <w:r>
        <w:rPr>
          <w:rFonts w:ascii="Arial" w:hAnsi="Arial" w:cs="Arial" w:eastAsia="Arial" w:hint="default"/>
        </w:rPr>
        <w:t>2012</w:t>
      </w:r>
      <w:r>
        <w:rPr>
          <w:rFonts w:ascii="Arial" w:hAnsi="Arial" w:cs="Arial" w:eastAsia="Arial" w:hint="default"/>
          <w:spacing w:val="3"/>
        </w:rPr>
        <w:t> </w:t>
      </w:r>
      <w:r>
        <w:rPr/>
        <w:t>年</w:t>
      </w:r>
      <w:r>
        <w:rPr>
          <w:spacing w:val="-44"/>
        </w:rPr>
        <w:t> </w:t>
      </w:r>
      <w:r>
        <w:rPr>
          <w:rFonts w:ascii="Arial" w:hAnsi="Arial" w:cs="Arial" w:eastAsia="Arial" w:hint="default"/>
        </w:rPr>
        <w:t>12</w:t>
      </w:r>
    </w:p>
    <w:p>
      <w:pPr>
        <w:pStyle w:val="BodyText"/>
        <w:spacing w:line="234" w:lineRule="exact"/>
        <w:ind w:left="1603" w:right="0"/>
        <w:jc w:val="both"/>
      </w:pPr>
      <w:r>
        <w:rPr/>
        <w:t>月</w:t>
      </w:r>
      <w:r>
        <w:rPr>
          <w:spacing w:val="-53"/>
        </w:rPr>
        <w:t> </w:t>
      </w:r>
      <w:r>
        <w:rPr>
          <w:rFonts w:ascii="Arial" w:hAnsi="Arial" w:cs="Arial" w:eastAsia="Arial" w:hint="default"/>
        </w:rPr>
        <w:t>31</w:t>
      </w:r>
      <w:r>
        <w:rPr>
          <w:rFonts w:ascii="Arial" w:hAnsi="Arial" w:cs="Arial" w:eastAsia="Arial" w:hint="default"/>
          <w:spacing w:val="-9"/>
        </w:rPr>
        <w:t> </w:t>
      </w:r>
      <w:r>
        <w:rPr/>
        <w:t>日，相关的验资及工商注册登记已经完成。</w:t>
      </w:r>
    </w:p>
    <w:p>
      <w:pPr>
        <w:spacing w:line="240" w:lineRule="auto" w:before="8"/>
        <w:rPr>
          <w:rFonts w:ascii="黑体" w:hAnsi="黑体" w:cs="黑体" w:eastAsia="黑体" w:hint="default"/>
          <w:sz w:val="15"/>
          <w:szCs w:val="15"/>
        </w:rPr>
      </w:pPr>
    </w:p>
    <w:p>
      <w:pPr>
        <w:pStyle w:val="BodyText"/>
        <w:tabs>
          <w:tab w:pos="1602" w:val="left" w:leader="none"/>
        </w:tabs>
        <w:spacing w:line="258" w:lineRule="exact"/>
        <w:ind w:left="806" w:right="0"/>
        <w:jc w:val="left"/>
      </w:pPr>
      <w:r>
        <w:rPr>
          <w:w w:val="99"/>
        </w:rPr>
        <w:t>注</w:t>
      </w:r>
      <w:r>
        <w:rPr>
          <w:rFonts w:ascii="Arial" w:hAnsi="Arial" w:cs="Arial" w:eastAsia="Arial" w:hint="default"/>
          <w:spacing w:val="-1"/>
          <w:w w:val="99"/>
        </w:rPr>
        <w:t>3</w:t>
      </w:r>
      <w:r>
        <w:rPr>
          <w:rFonts w:ascii="Arial" w:hAnsi="Arial" w:cs="Arial" w:eastAsia="Arial" w:hint="default"/>
          <w:w w:val="99"/>
        </w:rPr>
        <w:t>.</w:t>
      </w:r>
      <w:r>
        <w:rPr>
          <w:rFonts w:ascii="Arial" w:hAnsi="Arial" w:cs="Arial" w:eastAsia="Arial" w:hint="default"/>
        </w:rPr>
        <w:tab/>
      </w:r>
      <w:r>
        <w:rPr>
          <w:w w:val="99"/>
        </w:rPr>
        <w:t>根据本</w:t>
      </w:r>
      <w:r>
        <w:rPr>
          <w:spacing w:val="2"/>
          <w:w w:val="99"/>
        </w:rPr>
        <w:t>公</w:t>
      </w:r>
      <w:r>
        <w:rPr>
          <w:w w:val="99"/>
        </w:rPr>
        <w:t>司于</w:t>
      </w:r>
      <w:r>
        <w:rPr>
          <w:spacing w:val="-50"/>
        </w:rPr>
        <w:t> </w:t>
      </w:r>
      <w:r>
        <w:rPr>
          <w:rFonts w:ascii="Arial" w:hAnsi="Arial" w:cs="Arial" w:eastAsia="Arial" w:hint="default"/>
          <w:spacing w:val="2"/>
          <w:w w:val="99"/>
        </w:rPr>
        <w:t>2</w:t>
      </w:r>
      <w:r>
        <w:rPr>
          <w:rFonts w:ascii="Arial" w:hAnsi="Arial" w:cs="Arial" w:eastAsia="Arial" w:hint="default"/>
          <w:spacing w:val="-1"/>
          <w:w w:val="99"/>
        </w:rPr>
        <w:t>01</w:t>
      </w:r>
      <w:r>
        <w:rPr>
          <w:rFonts w:ascii="Arial" w:hAnsi="Arial" w:cs="Arial" w:eastAsia="Arial" w:hint="default"/>
          <w:w w:val="99"/>
        </w:rPr>
        <w:t>2</w:t>
      </w:r>
      <w:r>
        <w:rPr>
          <w:rFonts w:ascii="Arial" w:hAnsi="Arial" w:cs="Arial" w:eastAsia="Arial" w:hint="default"/>
          <w:spacing w:val="-6"/>
        </w:rPr>
        <w:t> </w:t>
      </w:r>
      <w:r>
        <w:rPr>
          <w:w w:val="99"/>
        </w:rPr>
        <w:t>年</w:t>
      </w:r>
      <w:r>
        <w:rPr>
          <w:spacing w:val="-50"/>
        </w:rPr>
        <w:t> </w:t>
      </w:r>
      <w:r>
        <w:rPr>
          <w:rFonts w:ascii="Arial" w:hAnsi="Arial" w:cs="Arial" w:eastAsia="Arial" w:hint="default"/>
          <w:w w:val="99"/>
        </w:rPr>
        <w:t>9</w:t>
      </w:r>
      <w:r>
        <w:rPr>
          <w:rFonts w:ascii="Arial" w:hAnsi="Arial" w:cs="Arial" w:eastAsia="Arial" w:hint="default"/>
          <w:spacing w:val="-4"/>
        </w:rPr>
        <w:t> </w:t>
      </w:r>
      <w:r>
        <w:rPr>
          <w:w w:val="99"/>
        </w:rPr>
        <w:t>月</w:t>
      </w:r>
      <w:r>
        <w:rPr>
          <w:spacing w:val="-48"/>
        </w:rPr>
        <w:t> </w:t>
      </w:r>
      <w:r>
        <w:rPr>
          <w:rFonts w:ascii="Arial" w:hAnsi="Arial" w:cs="Arial" w:eastAsia="Arial" w:hint="default"/>
          <w:w w:val="99"/>
        </w:rPr>
        <w:t>4</w:t>
      </w:r>
      <w:r>
        <w:rPr>
          <w:rFonts w:ascii="Arial" w:hAnsi="Arial" w:cs="Arial" w:eastAsia="Arial" w:hint="default"/>
          <w:spacing w:val="-6"/>
        </w:rPr>
        <w:t> </w:t>
      </w:r>
      <w:r>
        <w:rPr>
          <w:w w:val="99"/>
        </w:rPr>
        <w:t>日召</w:t>
      </w:r>
      <w:r>
        <w:rPr>
          <w:spacing w:val="2"/>
          <w:w w:val="99"/>
        </w:rPr>
        <w:t>开</w:t>
      </w:r>
      <w:r>
        <w:rPr>
          <w:w w:val="99"/>
        </w:rPr>
        <w:t>的第</w:t>
      </w:r>
      <w:r>
        <w:rPr>
          <w:spacing w:val="2"/>
          <w:w w:val="99"/>
        </w:rPr>
        <w:t>五</w:t>
      </w:r>
      <w:r>
        <w:rPr>
          <w:w w:val="99"/>
        </w:rPr>
        <w:t>届董事会</w:t>
      </w:r>
      <w:r>
        <w:rPr>
          <w:spacing w:val="-48"/>
        </w:rPr>
        <w:t> </w:t>
      </w:r>
      <w:r>
        <w:rPr>
          <w:rFonts w:ascii="Arial" w:hAnsi="Arial" w:cs="Arial" w:eastAsia="Arial" w:hint="default"/>
          <w:spacing w:val="-1"/>
          <w:w w:val="99"/>
        </w:rPr>
        <w:t>2</w:t>
      </w:r>
      <w:r>
        <w:rPr>
          <w:rFonts w:ascii="Arial" w:hAnsi="Arial" w:cs="Arial" w:eastAsia="Arial" w:hint="default"/>
          <w:spacing w:val="2"/>
          <w:w w:val="99"/>
        </w:rPr>
        <w:t>0</w:t>
      </w:r>
      <w:r>
        <w:rPr>
          <w:rFonts w:ascii="Arial" w:hAnsi="Arial" w:cs="Arial" w:eastAsia="Arial" w:hint="default"/>
          <w:spacing w:val="-1"/>
          <w:w w:val="99"/>
        </w:rPr>
        <w:t>1</w:t>
      </w:r>
      <w:r>
        <w:rPr>
          <w:rFonts w:ascii="Arial" w:hAnsi="Arial" w:cs="Arial" w:eastAsia="Arial" w:hint="default"/>
          <w:w w:val="99"/>
        </w:rPr>
        <w:t>2</w:t>
      </w:r>
      <w:r>
        <w:rPr>
          <w:rFonts w:ascii="Arial" w:hAnsi="Arial" w:cs="Arial" w:eastAsia="Arial" w:hint="default"/>
          <w:spacing w:val="-6"/>
        </w:rPr>
        <w:t> </w:t>
      </w:r>
      <w:r>
        <w:rPr>
          <w:w w:val="99"/>
        </w:rPr>
        <w:t>年</w:t>
      </w:r>
      <w:r>
        <w:rPr>
          <w:spacing w:val="2"/>
          <w:w w:val="99"/>
        </w:rPr>
        <w:t>第</w:t>
      </w:r>
      <w:r>
        <w:rPr>
          <w:w w:val="99"/>
        </w:rPr>
        <w:t>十次</w:t>
      </w:r>
      <w:r>
        <w:rPr>
          <w:spacing w:val="2"/>
          <w:w w:val="99"/>
        </w:rPr>
        <w:t>会</w:t>
      </w:r>
      <w:r>
        <w:rPr>
          <w:w w:val="99"/>
        </w:rPr>
        <w:t>议决</w:t>
      </w:r>
      <w:r>
        <w:rPr>
          <w:spacing w:val="2"/>
          <w:w w:val="99"/>
        </w:rPr>
        <w:t>议</w:t>
      </w:r>
      <w:r>
        <w:rPr>
          <w:spacing w:val="-92"/>
          <w:w w:val="99"/>
        </w:rPr>
        <w:t>，</w:t>
      </w:r>
      <w:r>
        <w:rPr>
          <w:w w:val="99"/>
        </w:rPr>
        <w:t>本</w:t>
      </w:r>
      <w:r>
        <w:rPr/>
      </w:r>
    </w:p>
    <w:p>
      <w:pPr>
        <w:pStyle w:val="BodyText"/>
        <w:spacing w:line="240" w:lineRule="exact"/>
        <w:ind w:left="1602" w:right="0"/>
        <w:jc w:val="both"/>
      </w:pPr>
      <w:r>
        <w:rPr/>
        <w:t>公司于</w:t>
      </w:r>
      <w:r>
        <w:rPr>
          <w:spacing w:val="-48"/>
        </w:rPr>
        <w:t> </w:t>
      </w:r>
      <w:r>
        <w:rPr>
          <w:rFonts w:ascii="Arial" w:hAnsi="Arial" w:cs="Arial" w:eastAsia="Arial" w:hint="default"/>
        </w:rPr>
        <w:t>2012</w:t>
      </w:r>
      <w:r>
        <w:rPr>
          <w:rFonts w:ascii="Arial" w:hAnsi="Arial" w:cs="Arial" w:eastAsia="Arial" w:hint="default"/>
          <w:spacing w:val="-2"/>
        </w:rPr>
        <w:t> </w:t>
      </w:r>
      <w:r>
        <w:rPr/>
        <w:t>年</w:t>
      </w:r>
      <w:r>
        <w:rPr>
          <w:spacing w:val="-48"/>
        </w:rPr>
        <w:t> </w:t>
      </w:r>
      <w:r>
        <w:rPr>
          <w:rFonts w:ascii="Arial" w:hAnsi="Arial" w:cs="Arial" w:eastAsia="Arial" w:hint="default"/>
        </w:rPr>
        <w:t>9</w:t>
      </w:r>
      <w:r>
        <w:rPr>
          <w:rFonts w:ascii="Arial" w:hAnsi="Arial" w:cs="Arial" w:eastAsia="Arial" w:hint="default"/>
          <w:spacing w:val="-4"/>
        </w:rPr>
        <w:t> </w:t>
      </w:r>
      <w:r>
        <w:rPr/>
        <w:t>月</w:t>
      </w:r>
      <w:r>
        <w:rPr>
          <w:spacing w:val="-46"/>
        </w:rPr>
        <w:t> </w:t>
      </w:r>
      <w:r>
        <w:rPr>
          <w:rFonts w:ascii="Arial" w:hAnsi="Arial" w:cs="Arial" w:eastAsia="Arial" w:hint="default"/>
        </w:rPr>
        <w:t>13</w:t>
      </w:r>
      <w:r>
        <w:rPr>
          <w:rFonts w:ascii="Arial" w:hAnsi="Arial" w:cs="Arial" w:eastAsia="Arial" w:hint="default"/>
          <w:spacing w:val="-4"/>
        </w:rPr>
        <w:t> </w:t>
      </w:r>
      <w:r>
        <w:rPr/>
        <w:t>日以现金人民币</w:t>
      </w:r>
      <w:r>
        <w:rPr>
          <w:spacing w:val="-48"/>
        </w:rPr>
        <w:t> </w:t>
      </w:r>
      <w:r>
        <w:rPr>
          <w:rFonts w:ascii="Arial" w:hAnsi="Arial" w:cs="Arial" w:eastAsia="Arial" w:hint="default"/>
        </w:rPr>
        <w:t>20,000,000</w:t>
      </w:r>
      <w:r>
        <w:rPr>
          <w:rFonts w:ascii="Arial" w:hAnsi="Arial" w:cs="Arial" w:eastAsia="Arial" w:hint="default"/>
          <w:spacing w:val="-1"/>
        </w:rPr>
        <w:t> </w:t>
      </w:r>
      <w:r>
        <w:rPr/>
        <w:t>元向全资子公司用友金融增</w:t>
      </w:r>
    </w:p>
    <w:p>
      <w:pPr>
        <w:pStyle w:val="BodyText"/>
        <w:spacing w:line="240" w:lineRule="exact"/>
        <w:ind w:left="1602" w:right="0"/>
        <w:jc w:val="both"/>
        <w:rPr>
          <w:rFonts w:ascii="Arial" w:hAnsi="Arial" w:cs="Arial" w:eastAsia="Arial" w:hint="default"/>
        </w:rPr>
      </w:pPr>
      <w:r>
        <w:rPr>
          <w:spacing w:val="-7"/>
        </w:rPr>
        <w:t>资，增资后，用友金融注册资本由人民币</w:t>
      </w:r>
      <w:r>
        <w:rPr>
          <w:spacing w:val="-58"/>
        </w:rPr>
        <w:t> </w:t>
      </w:r>
      <w:r>
        <w:rPr>
          <w:rFonts w:ascii="Arial" w:hAnsi="Arial" w:cs="Arial" w:eastAsia="Arial" w:hint="default"/>
        </w:rPr>
        <w:t>30,000,000</w:t>
      </w:r>
      <w:r>
        <w:rPr>
          <w:rFonts w:ascii="Arial" w:hAnsi="Arial" w:cs="Arial" w:eastAsia="Arial" w:hint="default"/>
          <w:spacing w:val="-12"/>
        </w:rPr>
        <w:t> </w:t>
      </w:r>
      <w:r>
        <w:rPr/>
        <w:t>元增加至人民币</w:t>
      </w:r>
      <w:r>
        <w:rPr>
          <w:spacing w:val="-57"/>
        </w:rPr>
        <w:t> </w:t>
      </w:r>
      <w:r>
        <w:rPr>
          <w:rFonts w:ascii="Arial" w:hAnsi="Arial" w:cs="Arial" w:eastAsia="Arial" w:hint="default"/>
        </w:rPr>
        <w:t>50,000,000</w:t>
      </w:r>
    </w:p>
    <w:p>
      <w:pPr>
        <w:pStyle w:val="BodyText"/>
        <w:spacing w:line="240" w:lineRule="exact" w:before="23"/>
        <w:ind w:left="1602" w:right="204"/>
        <w:jc w:val="both"/>
      </w:pPr>
      <w:r>
        <w:rPr/>
        <w:t>元，本公司仍持有</w:t>
      </w:r>
      <w:r>
        <w:rPr>
          <w:spacing w:val="-43"/>
        </w:rPr>
        <w:t> </w:t>
      </w:r>
      <w:r>
        <w:rPr>
          <w:rFonts w:ascii="Arial" w:hAnsi="Arial" w:cs="Arial" w:eastAsia="Arial" w:hint="default"/>
        </w:rPr>
        <w:t>100%</w:t>
      </w:r>
      <w:r>
        <w:rPr/>
        <w:t>的股权。截至</w:t>
      </w:r>
      <w:r>
        <w:rPr>
          <w:spacing w:val="-43"/>
        </w:rPr>
        <w:t> </w:t>
      </w:r>
      <w:r>
        <w:rPr>
          <w:rFonts w:ascii="Arial" w:hAnsi="Arial" w:cs="Arial" w:eastAsia="Arial" w:hint="default"/>
        </w:rPr>
        <w:t>2012</w:t>
      </w:r>
      <w:r>
        <w:rPr>
          <w:rFonts w:ascii="Arial" w:hAnsi="Arial" w:cs="Arial" w:eastAsia="Arial" w:hint="default"/>
          <w:spacing w:val="1"/>
        </w:rPr>
        <w:t> </w:t>
      </w:r>
      <w:r>
        <w:rPr/>
        <w:t>年</w:t>
      </w:r>
      <w:r>
        <w:rPr>
          <w:spacing w:val="-41"/>
        </w:rPr>
        <w:t> </w:t>
      </w:r>
      <w:r>
        <w:rPr>
          <w:rFonts w:ascii="Arial" w:hAnsi="Arial" w:cs="Arial" w:eastAsia="Arial" w:hint="default"/>
        </w:rPr>
        <w:t>12</w:t>
      </w:r>
      <w:r>
        <w:rPr>
          <w:rFonts w:ascii="Arial" w:hAnsi="Arial" w:cs="Arial" w:eastAsia="Arial" w:hint="default"/>
          <w:spacing w:val="1"/>
        </w:rPr>
        <w:t> </w:t>
      </w:r>
      <w:r>
        <w:rPr/>
        <w:t>月</w:t>
      </w:r>
      <w:r>
        <w:rPr>
          <w:spacing w:val="-41"/>
        </w:rPr>
        <w:t> </w:t>
      </w:r>
      <w:r>
        <w:rPr>
          <w:rFonts w:ascii="Arial" w:hAnsi="Arial" w:cs="Arial" w:eastAsia="Arial" w:hint="default"/>
        </w:rPr>
        <w:t>31</w:t>
      </w:r>
      <w:r>
        <w:rPr>
          <w:rFonts w:ascii="Arial" w:hAnsi="Arial" w:cs="Arial" w:eastAsia="Arial" w:hint="default"/>
          <w:spacing w:val="1"/>
        </w:rPr>
        <w:t> </w:t>
      </w:r>
      <w:r>
        <w:rPr/>
        <w:t>日，相关的验资及工商</w:t>
      </w:r>
      <w:r>
        <w:rPr>
          <w:w w:val="99"/>
        </w:rPr>
        <w:t> </w:t>
      </w:r>
      <w:r>
        <w:rPr/>
        <w:t>注册登记已经完成。</w:t>
      </w:r>
    </w:p>
    <w:p>
      <w:pPr>
        <w:spacing w:line="240" w:lineRule="auto" w:before="2"/>
        <w:rPr>
          <w:rFonts w:ascii="黑体" w:hAnsi="黑体" w:cs="黑体" w:eastAsia="黑体" w:hint="default"/>
          <w:sz w:val="15"/>
          <w:szCs w:val="15"/>
        </w:rPr>
      </w:pPr>
    </w:p>
    <w:p>
      <w:pPr>
        <w:pStyle w:val="BodyText"/>
        <w:tabs>
          <w:tab w:pos="1602" w:val="left" w:leader="none"/>
        </w:tabs>
        <w:spacing w:line="258" w:lineRule="exact"/>
        <w:ind w:left="805" w:right="0"/>
        <w:jc w:val="left"/>
      </w:pPr>
      <w:r>
        <w:rPr>
          <w:spacing w:val="-1"/>
        </w:rPr>
        <w:t>注</w:t>
      </w:r>
      <w:r>
        <w:rPr>
          <w:rFonts w:ascii="Arial" w:hAnsi="Arial" w:cs="Arial" w:eastAsia="Arial" w:hint="default"/>
          <w:spacing w:val="-1"/>
        </w:rPr>
        <w:t>4.</w:t>
        <w:tab/>
      </w:r>
      <w:r>
        <w:rPr/>
        <w:t>根据畅捷通于</w:t>
      </w:r>
      <w:r>
        <w:rPr>
          <w:spacing w:val="-57"/>
        </w:rPr>
        <w:t> </w:t>
      </w:r>
      <w:r>
        <w:rPr>
          <w:rFonts w:ascii="Arial" w:hAnsi="Arial" w:cs="Arial" w:eastAsia="Arial" w:hint="default"/>
        </w:rPr>
        <w:t>2012</w:t>
      </w:r>
      <w:r>
        <w:rPr>
          <w:rFonts w:ascii="Arial" w:hAnsi="Arial" w:cs="Arial" w:eastAsia="Arial" w:hint="default"/>
          <w:spacing w:val="-13"/>
        </w:rPr>
        <w:t> </w:t>
      </w:r>
      <w:r>
        <w:rPr/>
        <w:t>年</w:t>
      </w:r>
      <w:r>
        <w:rPr>
          <w:spacing w:val="-59"/>
        </w:rPr>
        <w:t> </w:t>
      </w:r>
      <w:r>
        <w:rPr>
          <w:rFonts w:ascii="Arial" w:hAnsi="Arial" w:cs="Arial" w:eastAsia="Arial" w:hint="default"/>
          <w:spacing w:val="1"/>
        </w:rPr>
        <w:t>12</w:t>
      </w:r>
      <w:r>
        <w:rPr>
          <w:rFonts w:ascii="Arial" w:hAnsi="Arial" w:cs="Arial" w:eastAsia="Arial" w:hint="default"/>
          <w:spacing w:val="-13"/>
        </w:rPr>
        <w:t> </w:t>
      </w:r>
      <w:r>
        <w:rPr/>
        <w:t>月</w:t>
      </w:r>
      <w:r>
        <w:rPr>
          <w:spacing w:val="-57"/>
        </w:rPr>
        <w:t> </w:t>
      </w:r>
      <w:r>
        <w:rPr>
          <w:rFonts w:ascii="Arial" w:hAnsi="Arial" w:cs="Arial" w:eastAsia="Arial" w:hint="default"/>
        </w:rPr>
        <w:t>4</w:t>
      </w:r>
      <w:r>
        <w:rPr>
          <w:rFonts w:ascii="Arial" w:hAnsi="Arial" w:cs="Arial" w:eastAsia="Arial" w:hint="default"/>
          <w:spacing w:val="-15"/>
        </w:rPr>
        <w:t> </w:t>
      </w:r>
      <w:r>
        <w:rPr>
          <w:spacing w:val="1"/>
        </w:rPr>
        <w:t>日和</w:t>
      </w:r>
      <w:r>
        <w:rPr>
          <w:spacing w:val="-59"/>
        </w:rPr>
        <w:t> </w:t>
      </w:r>
      <w:r>
        <w:rPr>
          <w:rFonts w:ascii="Arial" w:hAnsi="Arial" w:cs="Arial" w:eastAsia="Arial" w:hint="default"/>
        </w:rPr>
        <w:t>2012</w:t>
      </w:r>
      <w:r>
        <w:rPr>
          <w:rFonts w:ascii="Arial" w:hAnsi="Arial" w:cs="Arial" w:eastAsia="Arial" w:hint="default"/>
          <w:spacing w:val="-13"/>
        </w:rPr>
        <w:t> </w:t>
      </w:r>
      <w:r>
        <w:rPr/>
        <w:t>年</w:t>
      </w:r>
      <w:r>
        <w:rPr>
          <w:spacing w:val="-57"/>
        </w:rPr>
        <w:t> </w:t>
      </w:r>
      <w:r>
        <w:rPr>
          <w:rFonts w:ascii="Arial" w:hAnsi="Arial" w:cs="Arial" w:eastAsia="Arial" w:hint="default"/>
          <w:spacing w:val="-1"/>
        </w:rPr>
        <w:t>12</w:t>
      </w:r>
      <w:r>
        <w:rPr>
          <w:rFonts w:ascii="Arial" w:hAnsi="Arial" w:cs="Arial" w:eastAsia="Arial" w:hint="default"/>
          <w:spacing w:val="-13"/>
        </w:rPr>
        <w:t> </w:t>
      </w:r>
      <w:r>
        <w:rPr/>
        <w:t>月</w:t>
      </w:r>
      <w:r>
        <w:rPr>
          <w:spacing w:val="-57"/>
        </w:rPr>
        <w:t> </w:t>
      </w:r>
      <w:r>
        <w:rPr>
          <w:rFonts w:ascii="Arial" w:hAnsi="Arial" w:cs="Arial" w:eastAsia="Arial" w:hint="default"/>
        </w:rPr>
        <w:t>5</w:t>
      </w:r>
      <w:r>
        <w:rPr>
          <w:rFonts w:ascii="Arial" w:hAnsi="Arial" w:cs="Arial" w:eastAsia="Arial" w:hint="default"/>
          <w:spacing w:val="-15"/>
        </w:rPr>
        <w:t> </w:t>
      </w:r>
      <w:r>
        <w:rPr/>
        <w:t>日召开的</w:t>
      </w:r>
      <w:r>
        <w:rPr>
          <w:spacing w:val="-57"/>
        </w:rPr>
        <w:t> </w:t>
      </w:r>
      <w:r>
        <w:rPr>
          <w:rFonts w:ascii="Arial" w:hAnsi="Arial" w:cs="Arial" w:eastAsia="Arial" w:hint="default"/>
        </w:rPr>
        <w:t>2012</w:t>
      </w:r>
      <w:r>
        <w:rPr>
          <w:rFonts w:ascii="Arial" w:hAnsi="Arial" w:cs="Arial" w:eastAsia="Arial" w:hint="default"/>
          <w:spacing w:val="-13"/>
        </w:rPr>
        <w:t> </w:t>
      </w:r>
      <w:r>
        <w:rPr/>
        <w:t>年第二次临时</w:t>
      </w:r>
    </w:p>
    <w:p>
      <w:pPr>
        <w:pStyle w:val="BodyText"/>
        <w:spacing w:line="240" w:lineRule="exact"/>
        <w:ind w:left="1602" w:right="0"/>
        <w:jc w:val="both"/>
      </w:pPr>
      <w:r>
        <w:rPr/>
        <w:t>股东大会和 </w:t>
      </w:r>
      <w:r>
        <w:rPr>
          <w:rFonts w:ascii="Arial" w:hAnsi="Arial" w:cs="Arial" w:eastAsia="Arial" w:hint="default"/>
        </w:rPr>
        <w:t>2012</w:t>
      </w:r>
      <w:r>
        <w:rPr>
          <w:rFonts w:ascii="Arial" w:hAnsi="Arial" w:cs="Arial" w:eastAsia="Arial" w:hint="default"/>
          <w:spacing w:val="13"/>
        </w:rPr>
        <w:t> </w:t>
      </w:r>
      <w:r>
        <w:rPr/>
        <w:t>年第三次临时股东大会决议，北京汇云捷畅投资管理中心（有</w:t>
      </w:r>
    </w:p>
    <w:p>
      <w:pPr>
        <w:pStyle w:val="BodyText"/>
        <w:spacing w:line="240" w:lineRule="exact" w:before="23"/>
        <w:ind w:left="1602" w:right="202"/>
        <w:jc w:val="both"/>
      </w:pPr>
      <w:r>
        <w:rPr/>
        <w:t>限合伙）对其增资入股，增资后畅捷通股本总额为</w:t>
      </w:r>
      <w:r>
        <w:rPr>
          <w:spacing w:val="-51"/>
        </w:rPr>
        <w:t> </w:t>
      </w:r>
      <w:r>
        <w:rPr>
          <w:rFonts w:ascii="Arial" w:hAnsi="Arial" w:cs="Arial" w:eastAsia="Arial" w:hint="default"/>
        </w:rPr>
        <w:t>162,181,666</w:t>
      </w:r>
      <w:r>
        <w:rPr>
          <w:rFonts w:ascii="Arial" w:hAnsi="Arial" w:cs="Arial" w:eastAsia="Arial" w:hint="default"/>
          <w:spacing w:val="-7"/>
        </w:rPr>
        <w:t> </w:t>
      </w:r>
      <w:r>
        <w:rPr/>
        <w:t>股，每股面值人</w:t>
      </w:r>
      <w:r>
        <w:rPr>
          <w:w w:val="99"/>
        </w:rPr>
        <w:t> 民币</w:t>
      </w:r>
      <w:r>
        <w:rPr>
          <w:spacing w:val="-49"/>
          <w:w w:val="99"/>
        </w:rPr>
        <w:t> </w:t>
      </w:r>
      <w:r>
        <w:rPr>
          <w:rFonts w:ascii="Arial" w:hAnsi="Arial" w:cs="Arial" w:eastAsia="Arial" w:hint="default"/>
          <w:w w:val="99"/>
        </w:rPr>
        <w:t>1</w:t>
      </w:r>
      <w:r>
        <w:rPr>
          <w:rFonts w:ascii="Arial" w:hAnsi="Arial" w:cs="Arial" w:eastAsia="Arial" w:hint="default"/>
          <w:spacing w:val="-7"/>
          <w:w w:val="99"/>
        </w:rPr>
        <w:t> </w:t>
      </w:r>
      <w:r>
        <w:rPr>
          <w:spacing w:val="-4"/>
          <w:w w:val="99"/>
        </w:rPr>
        <w:t>元，其中本公司和本公司的全资子公司幸福投资共计拥有</w:t>
      </w:r>
      <w:r>
        <w:rPr>
          <w:spacing w:val="-51"/>
          <w:w w:val="99"/>
        </w:rPr>
        <w:t> </w:t>
      </w:r>
      <w:r>
        <w:rPr>
          <w:rFonts w:ascii="Arial" w:hAnsi="Arial" w:cs="Arial" w:eastAsia="Arial" w:hint="default"/>
          <w:w w:val="99"/>
        </w:rPr>
        <w:t>92.73%</w:t>
      </w:r>
      <w:r>
        <w:rPr>
          <w:w w:val="99"/>
        </w:rPr>
        <w:t>的股权，</w:t>
      </w:r>
      <w:r>
        <w:rPr>
          <w:w w:val="99"/>
        </w:rPr>
        <w:t> </w:t>
      </w:r>
      <w:r>
        <w:rPr/>
        <w:t>其他五家股东共拥有</w:t>
      </w:r>
      <w:r>
        <w:rPr>
          <w:spacing w:val="-57"/>
        </w:rPr>
        <w:t> </w:t>
      </w:r>
      <w:r>
        <w:rPr>
          <w:rFonts w:ascii="Arial" w:hAnsi="Arial" w:cs="Arial" w:eastAsia="Arial" w:hint="default"/>
        </w:rPr>
        <w:t>7.27%</w:t>
      </w:r>
      <w:r>
        <w:rPr/>
        <w:t>的股权。</w:t>
      </w:r>
    </w:p>
    <w:p>
      <w:pPr>
        <w:spacing w:line="240" w:lineRule="auto" w:before="2"/>
        <w:rPr>
          <w:rFonts w:ascii="黑体" w:hAnsi="黑体" w:cs="黑体" w:eastAsia="黑体" w:hint="default"/>
          <w:sz w:val="15"/>
          <w:szCs w:val="15"/>
        </w:rPr>
      </w:pPr>
    </w:p>
    <w:p>
      <w:pPr>
        <w:pStyle w:val="BodyText"/>
        <w:tabs>
          <w:tab w:pos="1601" w:val="left" w:leader="none"/>
        </w:tabs>
        <w:spacing w:line="258" w:lineRule="exact"/>
        <w:ind w:left="805" w:right="0"/>
        <w:jc w:val="left"/>
      </w:pPr>
      <w:r>
        <w:rPr>
          <w:spacing w:val="-1"/>
        </w:rPr>
        <w:t>注</w:t>
      </w:r>
      <w:r>
        <w:rPr>
          <w:rFonts w:ascii="Arial" w:hAnsi="Arial" w:cs="Arial" w:eastAsia="Arial" w:hint="default"/>
          <w:spacing w:val="-1"/>
        </w:rPr>
        <w:t>5.</w:t>
        <w:tab/>
      </w:r>
      <w:r>
        <w:rPr/>
        <w:t>根据本公司于</w:t>
      </w:r>
      <w:r>
        <w:rPr>
          <w:spacing w:val="-40"/>
        </w:rPr>
        <w:t> </w:t>
      </w:r>
      <w:r>
        <w:rPr>
          <w:rFonts w:ascii="Arial" w:hAnsi="Arial" w:cs="Arial" w:eastAsia="Arial" w:hint="default"/>
        </w:rPr>
        <w:t>2012</w:t>
      </w:r>
      <w:r>
        <w:rPr>
          <w:rFonts w:ascii="Arial" w:hAnsi="Arial" w:cs="Arial" w:eastAsia="Arial" w:hint="default"/>
          <w:spacing w:val="4"/>
        </w:rPr>
        <w:t> </w:t>
      </w:r>
      <w:r>
        <w:rPr/>
        <w:t>年</w:t>
      </w:r>
      <w:r>
        <w:rPr>
          <w:spacing w:val="-43"/>
        </w:rPr>
        <w:t> </w:t>
      </w:r>
      <w:r>
        <w:rPr>
          <w:rFonts w:ascii="Arial" w:hAnsi="Arial" w:cs="Arial" w:eastAsia="Arial" w:hint="default"/>
          <w:spacing w:val="1"/>
        </w:rPr>
        <w:t>12</w:t>
      </w:r>
      <w:r>
        <w:rPr>
          <w:rFonts w:ascii="Arial" w:hAnsi="Arial" w:cs="Arial" w:eastAsia="Arial" w:hint="default"/>
          <w:spacing w:val="4"/>
        </w:rPr>
        <w:t> </w:t>
      </w:r>
      <w:r>
        <w:rPr/>
        <w:t>月</w:t>
      </w:r>
      <w:r>
        <w:rPr>
          <w:spacing w:val="-43"/>
        </w:rPr>
        <w:t> </w:t>
      </w:r>
      <w:r>
        <w:rPr>
          <w:rFonts w:ascii="Arial" w:hAnsi="Arial" w:cs="Arial" w:eastAsia="Arial" w:hint="default"/>
          <w:spacing w:val="1"/>
        </w:rPr>
        <w:t>15</w:t>
      </w:r>
      <w:r>
        <w:rPr>
          <w:rFonts w:ascii="Arial" w:hAnsi="Arial" w:cs="Arial" w:eastAsia="Arial" w:hint="default"/>
          <w:spacing w:val="2"/>
        </w:rPr>
        <w:t> </w:t>
      </w:r>
      <w:r>
        <w:rPr/>
        <w:t>日召开的第五届董事会</w:t>
      </w:r>
      <w:r>
        <w:rPr>
          <w:spacing w:val="-43"/>
        </w:rPr>
        <w:t> </w:t>
      </w:r>
      <w:r>
        <w:rPr>
          <w:rFonts w:ascii="Arial" w:hAnsi="Arial" w:cs="Arial" w:eastAsia="Arial" w:hint="default"/>
        </w:rPr>
        <w:t>2012</w:t>
      </w:r>
      <w:r>
        <w:rPr>
          <w:rFonts w:ascii="Arial" w:hAnsi="Arial" w:cs="Arial" w:eastAsia="Arial" w:hint="default"/>
          <w:spacing w:val="4"/>
        </w:rPr>
        <w:t> </w:t>
      </w:r>
      <w:r>
        <w:rPr/>
        <w:t>年第十三次会议决</w:t>
      </w:r>
    </w:p>
    <w:p>
      <w:pPr>
        <w:pStyle w:val="BodyText"/>
        <w:spacing w:line="240" w:lineRule="exact"/>
        <w:ind w:left="1601" w:right="0"/>
        <w:jc w:val="both"/>
      </w:pPr>
      <w:r>
        <w:rPr/>
        <w:t>议，本公司于 </w:t>
      </w:r>
      <w:r>
        <w:rPr>
          <w:rFonts w:ascii="Arial" w:hAnsi="Arial" w:cs="Arial" w:eastAsia="Arial" w:hint="default"/>
        </w:rPr>
        <w:t>2012 </w:t>
      </w:r>
      <w:r>
        <w:rPr/>
        <w:t>年 </w:t>
      </w:r>
      <w:r>
        <w:rPr>
          <w:rFonts w:ascii="Arial" w:hAnsi="Arial" w:cs="Arial" w:eastAsia="Arial" w:hint="default"/>
        </w:rPr>
        <w:t>12 </w:t>
      </w:r>
      <w:r>
        <w:rPr/>
        <w:t>月 </w:t>
      </w:r>
      <w:r>
        <w:rPr>
          <w:rFonts w:ascii="Arial" w:hAnsi="Arial" w:cs="Arial" w:eastAsia="Arial" w:hint="default"/>
        </w:rPr>
        <w:t>24</w:t>
      </w:r>
      <w:r>
        <w:rPr>
          <w:rFonts w:ascii="Arial" w:hAnsi="Arial" w:cs="Arial" w:eastAsia="Arial" w:hint="default"/>
          <w:spacing w:val="54"/>
        </w:rPr>
        <w:t> </w:t>
      </w:r>
      <w:r>
        <w:rPr/>
        <w:t>日成立全资子公司用友云达，注册资本人民币</w:t>
      </w:r>
    </w:p>
    <w:p>
      <w:pPr>
        <w:pStyle w:val="BodyText"/>
        <w:spacing w:line="240" w:lineRule="exact" w:before="23"/>
        <w:ind w:left="1601" w:right="202"/>
        <w:jc w:val="both"/>
      </w:pPr>
      <w:r>
        <w:rPr>
          <w:rFonts w:ascii="Arial" w:hAnsi="Arial" w:cs="Arial" w:eastAsia="Arial" w:hint="default"/>
        </w:rPr>
        <w:t>10,000,000</w:t>
      </w:r>
      <w:r>
        <w:rPr>
          <w:rFonts w:ascii="Arial" w:hAnsi="Arial" w:cs="Arial" w:eastAsia="Arial" w:hint="default"/>
          <w:spacing w:val="-12"/>
        </w:rPr>
        <w:t> </w:t>
      </w:r>
      <w:r>
        <w:rPr/>
        <w:t>元。本公司以现金方式出资。截至</w:t>
      </w:r>
      <w:r>
        <w:rPr>
          <w:spacing w:val="-56"/>
        </w:rPr>
        <w:t> </w:t>
      </w:r>
      <w:r>
        <w:rPr>
          <w:rFonts w:ascii="Arial" w:hAnsi="Arial" w:cs="Arial" w:eastAsia="Arial" w:hint="default"/>
        </w:rPr>
        <w:t>2012</w:t>
      </w:r>
      <w:r>
        <w:rPr>
          <w:rFonts w:ascii="Arial" w:hAnsi="Arial" w:cs="Arial" w:eastAsia="Arial" w:hint="default"/>
          <w:spacing w:val="-12"/>
        </w:rPr>
        <w:t> </w:t>
      </w:r>
      <w:r>
        <w:rPr/>
        <w:t>年</w:t>
      </w:r>
      <w:r>
        <w:rPr>
          <w:spacing w:val="-54"/>
        </w:rPr>
        <w:t> </w:t>
      </w:r>
      <w:r>
        <w:rPr>
          <w:rFonts w:ascii="Arial" w:hAnsi="Arial" w:cs="Arial" w:eastAsia="Arial" w:hint="default"/>
        </w:rPr>
        <w:t>12</w:t>
      </w:r>
      <w:r>
        <w:rPr>
          <w:rFonts w:ascii="Arial" w:hAnsi="Arial" w:cs="Arial" w:eastAsia="Arial" w:hint="default"/>
          <w:spacing w:val="-12"/>
        </w:rPr>
        <w:t> </w:t>
      </w:r>
      <w:r>
        <w:rPr/>
        <w:t>月</w:t>
      </w:r>
      <w:r>
        <w:rPr>
          <w:spacing w:val="-56"/>
        </w:rPr>
        <w:t> </w:t>
      </w:r>
      <w:r>
        <w:rPr>
          <w:rFonts w:ascii="Arial" w:hAnsi="Arial" w:cs="Arial" w:eastAsia="Arial" w:hint="default"/>
        </w:rPr>
        <w:t>31</w:t>
      </w:r>
      <w:r>
        <w:rPr>
          <w:rFonts w:ascii="Arial" w:hAnsi="Arial" w:cs="Arial" w:eastAsia="Arial" w:hint="default"/>
          <w:spacing w:val="-10"/>
        </w:rPr>
        <w:t> </w:t>
      </w:r>
      <w:r>
        <w:rPr/>
        <w:t>日，相关的验资</w:t>
      </w:r>
      <w:r>
        <w:rPr>
          <w:w w:val="99"/>
        </w:rPr>
        <w:t> </w:t>
      </w:r>
      <w:r>
        <w:rPr/>
        <w:t>及工商注册登记已经完成，用友云达取得企业法人营业执照。</w:t>
      </w:r>
    </w:p>
    <w:p>
      <w:pPr>
        <w:spacing w:after="0" w:line="240" w:lineRule="exact"/>
        <w:jc w:val="both"/>
        <w:sectPr>
          <w:headerReference w:type="default" r:id="rId54"/>
          <w:footerReference w:type="default" r:id="rId55"/>
          <w:pgSz w:w="11910" w:h="16850"/>
          <w:pgMar w:header="957" w:footer="830" w:top="2640" w:bottom="1020" w:left="1580" w:right="1500"/>
        </w:sectPr>
      </w:pPr>
    </w:p>
    <w:p>
      <w:pPr>
        <w:spacing w:line="240" w:lineRule="auto" w:before="1"/>
        <w:rPr>
          <w:rFonts w:ascii="黑体" w:hAnsi="黑体" w:cs="黑体" w:eastAsia="黑体" w:hint="default"/>
          <w:sz w:val="11"/>
          <w:szCs w:val="11"/>
        </w:rPr>
      </w:pPr>
    </w:p>
    <w:p>
      <w:pPr>
        <w:pStyle w:val="Heading6"/>
        <w:tabs>
          <w:tab w:pos="824" w:val="left" w:leader="none"/>
        </w:tabs>
        <w:spacing w:line="240" w:lineRule="auto"/>
        <w:ind w:left="121" w:right="2891"/>
        <w:jc w:val="left"/>
        <w:rPr>
          <w:b w:val="0"/>
          <w:bCs w:val="0"/>
        </w:rPr>
      </w:pPr>
      <w:r>
        <w:rPr>
          <w:w w:val="95"/>
        </w:rPr>
        <w:t>四、</w:t>
        <w:tab/>
      </w:r>
      <w:r>
        <w:rPr/>
        <w:t>合并财务报表的合并范围（续）</w:t>
      </w:r>
      <w:r>
        <w:rPr>
          <w:b w:val="0"/>
          <w:bCs w:val="0"/>
        </w:rPr>
      </w:r>
    </w:p>
    <w:p>
      <w:pPr>
        <w:spacing w:line="240" w:lineRule="auto" w:before="9"/>
        <w:rPr>
          <w:rFonts w:ascii="黑体" w:hAnsi="黑体" w:cs="黑体" w:eastAsia="黑体" w:hint="default"/>
          <w:b/>
          <w:bCs/>
          <w:sz w:val="16"/>
          <w:szCs w:val="16"/>
        </w:rPr>
      </w:pPr>
    </w:p>
    <w:p>
      <w:pPr>
        <w:tabs>
          <w:tab w:pos="841" w:val="left" w:leader="none"/>
        </w:tabs>
        <w:spacing w:line="417" w:lineRule="auto" w:before="0"/>
        <w:ind w:left="834" w:right="2891" w:hanging="713"/>
        <w:jc w:val="left"/>
        <w:rPr>
          <w:rFonts w:ascii="黑体" w:hAnsi="黑体" w:cs="黑体" w:eastAsia="黑体" w:hint="default"/>
          <w:sz w:val="20"/>
          <w:szCs w:val="20"/>
        </w:rPr>
      </w:pPr>
      <w:r>
        <w:rPr>
          <w:rFonts w:ascii="Arial" w:hAnsi="Arial" w:cs="Arial" w:eastAsia="Arial" w:hint="default"/>
          <w:b/>
          <w:bCs/>
          <w:spacing w:val="-1"/>
          <w:sz w:val="20"/>
          <w:szCs w:val="20"/>
        </w:rPr>
        <w:t>2.</w:t>
        <w:tab/>
        <w:tab/>
      </w:r>
      <w:r>
        <w:rPr>
          <w:rFonts w:ascii="黑体" w:hAnsi="黑体" w:cs="黑体" w:eastAsia="黑体" w:hint="default"/>
          <w:b/>
          <w:bCs/>
          <w:spacing w:val="1"/>
          <w:sz w:val="20"/>
          <w:szCs w:val="20"/>
        </w:rPr>
        <w:t>合并范围变更</w:t>
      </w:r>
      <w:r>
        <w:rPr>
          <w:rFonts w:ascii="黑体" w:hAnsi="黑体" w:cs="黑体" w:eastAsia="黑体" w:hint="default"/>
          <w:b/>
          <w:bCs/>
          <w:spacing w:val="2"/>
          <w:w w:val="99"/>
          <w:sz w:val="20"/>
          <w:szCs w:val="20"/>
        </w:rPr>
        <w:t> </w:t>
      </w:r>
      <w:r>
        <w:rPr>
          <w:rFonts w:ascii="黑体" w:hAnsi="黑体" w:cs="黑体" w:eastAsia="黑体" w:hint="default"/>
          <w:sz w:val="20"/>
          <w:szCs w:val="20"/>
        </w:rPr>
        <w:t>除本年新设立的子公司，合并财务报表范围与上年度一致。</w:t>
      </w:r>
    </w:p>
    <w:p>
      <w:pPr>
        <w:pStyle w:val="Heading6"/>
        <w:tabs>
          <w:tab w:pos="841" w:val="left" w:leader="none"/>
        </w:tabs>
        <w:spacing w:line="240" w:lineRule="auto" w:before="70"/>
        <w:ind w:left="121" w:right="2891"/>
        <w:jc w:val="left"/>
        <w:rPr>
          <w:b w:val="0"/>
          <w:bCs w:val="0"/>
        </w:rPr>
      </w:pPr>
      <w:r>
        <w:rPr>
          <w:rFonts w:ascii="Arial" w:hAnsi="Arial" w:cs="Arial" w:eastAsia="Arial" w:hint="default"/>
          <w:spacing w:val="-1"/>
        </w:rPr>
        <w:t>3.</w:t>
        <w:tab/>
      </w:r>
      <w:r>
        <w:rPr>
          <w:spacing w:val="1"/>
        </w:rPr>
        <w:t>本年度新纳入合并范围的主体和不再纳入合并范围的主体</w:t>
      </w:r>
      <w:r>
        <w:rPr>
          <w:b w:val="0"/>
          <w:bCs w:val="0"/>
          <w:spacing w:val="1"/>
        </w:rPr>
      </w:r>
    </w:p>
    <w:p>
      <w:pPr>
        <w:spacing w:line="240" w:lineRule="auto" w:before="8"/>
        <w:rPr>
          <w:rFonts w:ascii="黑体" w:hAnsi="黑体" w:cs="黑体" w:eastAsia="黑体" w:hint="default"/>
          <w:b/>
          <w:bCs/>
          <w:sz w:val="15"/>
          <w:szCs w:val="15"/>
        </w:rPr>
      </w:pPr>
    </w:p>
    <w:p>
      <w:pPr>
        <w:pStyle w:val="BodyText"/>
        <w:spacing w:line="240" w:lineRule="auto"/>
        <w:ind w:left="834" w:right="2891"/>
        <w:jc w:val="left"/>
      </w:pPr>
      <w:r>
        <w:rPr>
          <w:rFonts w:ascii="Arial" w:hAnsi="Arial" w:cs="Arial" w:eastAsia="Arial" w:hint="default"/>
        </w:rPr>
        <w:t>2012</w:t>
      </w:r>
      <w:r>
        <w:rPr/>
        <w:t>年，新纳入合并范围的子公司如下：</w:t>
      </w:r>
    </w:p>
    <w:p>
      <w:pPr>
        <w:spacing w:line="240" w:lineRule="auto" w:before="0"/>
        <w:rPr>
          <w:rFonts w:ascii="黑体" w:hAnsi="黑体" w:cs="黑体" w:eastAsia="黑体" w:hint="default"/>
          <w:sz w:val="22"/>
          <w:szCs w:val="22"/>
        </w:rPr>
      </w:pPr>
    </w:p>
    <w:tbl>
      <w:tblPr>
        <w:tblW w:w="0" w:type="auto"/>
        <w:jc w:val="left"/>
        <w:tblInd w:w="629" w:type="dxa"/>
        <w:tblLayout w:type="fixed"/>
        <w:tblCellMar>
          <w:top w:w="0" w:type="dxa"/>
          <w:left w:w="0" w:type="dxa"/>
          <w:bottom w:w="0" w:type="dxa"/>
          <w:right w:w="0" w:type="dxa"/>
        </w:tblCellMar>
        <w:tblLook w:val="01E0"/>
      </w:tblPr>
      <w:tblGrid>
        <w:gridCol w:w="2437"/>
        <w:gridCol w:w="2702"/>
        <w:gridCol w:w="3054"/>
      </w:tblGrid>
      <w:tr>
        <w:trPr>
          <w:trHeight w:val="224" w:hRule="exact"/>
        </w:trPr>
        <w:tc>
          <w:tcPr>
            <w:tcW w:w="2437" w:type="dxa"/>
            <w:tcBorders>
              <w:top w:val="nil" w:sz="6" w:space="0" w:color="auto"/>
              <w:left w:val="nil" w:sz="6" w:space="0" w:color="auto"/>
              <w:bottom w:val="nil" w:sz="6" w:space="0" w:color="auto"/>
              <w:right w:val="nil" w:sz="6" w:space="0" w:color="auto"/>
            </w:tcBorders>
          </w:tcPr>
          <w:p>
            <w:pPr/>
          </w:p>
        </w:tc>
        <w:tc>
          <w:tcPr>
            <w:tcW w:w="2702" w:type="dxa"/>
            <w:tcBorders>
              <w:top w:val="nil" w:sz="6" w:space="0" w:color="auto"/>
              <w:left w:val="nil" w:sz="6" w:space="0" w:color="auto"/>
              <w:bottom w:val="nil" w:sz="6" w:space="0" w:color="auto"/>
              <w:right w:val="nil" w:sz="6" w:space="0" w:color="auto"/>
            </w:tcBorders>
          </w:tcPr>
          <w:p>
            <w:pPr>
              <w:pStyle w:val="TableParagraph"/>
              <w:spacing w:line="214" w:lineRule="exact"/>
              <w:ind w:right="262"/>
              <w:jc w:val="right"/>
              <w:rPr>
                <w:rFonts w:ascii="黑体" w:hAnsi="黑体" w:cs="黑体" w:eastAsia="黑体" w:hint="default"/>
                <w:sz w:val="20"/>
                <w:szCs w:val="20"/>
              </w:rPr>
            </w:pPr>
            <w:r>
              <w:rPr>
                <w:rFonts w:ascii="Arial" w:hAnsi="Arial" w:cs="Arial" w:eastAsia="Arial" w:hint="default"/>
                <w:sz w:val="20"/>
                <w:szCs w:val="20"/>
              </w:rPr>
              <w:t>2012</w:t>
            </w:r>
            <w:r>
              <w:rPr>
                <w:rFonts w:ascii="Arial" w:hAnsi="Arial" w:cs="Arial" w:eastAsia="Arial" w:hint="default"/>
                <w:spacing w:val="-15"/>
                <w:sz w:val="20"/>
                <w:szCs w:val="20"/>
              </w:rPr>
              <w:t> </w:t>
            </w:r>
            <w:r>
              <w:rPr>
                <w:rFonts w:ascii="黑体" w:hAnsi="黑体" w:cs="黑体" w:eastAsia="黑体" w:hint="default"/>
                <w:sz w:val="20"/>
                <w:szCs w:val="20"/>
              </w:rPr>
              <w:t>年</w:t>
            </w:r>
            <w:r>
              <w:rPr>
                <w:rFonts w:ascii="黑体" w:hAnsi="黑体" w:cs="黑体" w:eastAsia="黑体" w:hint="default"/>
                <w:spacing w:val="-57"/>
                <w:sz w:val="20"/>
                <w:szCs w:val="20"/>
              </w:rPr>
              <w:t> </w:t>
            </w:r>
            <w:r>
              <w:rPr>
                <w:rFonts w:ascii="Arial" w:hAnsi="Arial" w:cs="Arial" w:eastAsia="Arial" w:hint="default"/>
                <w:sz w:val="20"/>
                <w:szCs w:val="20"/>
              </w:rPr>
              <w:t>12</w:t>
            </w:r>
            <w:r>
              <w:rPr>
                <w:rFonts w:ascii="Arial" w:hAnsi="Arial" w:cs="Arial" w:eastAsia="Arial" w:hint="default"/>
                <w:spacing w:val="-13"/>
                <w:sz w:val="20"/>
                <w:szCs w:val="20"/>
              </w:rPr>
              <w:t> </w:t>
            </w:r>
            <w:r>
              <w:rPr>
                <w:rFonts w:ascii="黑体" w:hAnsi="黑体" w:cs="黑体" w:eastAsia="黑体" w:hint="default"/>
                <w:sz w:val="20"/>
                <w:szCs w:val="20"/>
              </w:rPr>
              <w:t>月</w:t>
            </w:r>
            <w:r>
              <w:rPr>
                <w:rFonts w:ascii="黑体" w:hAnsi="黑体" w:cs="黑体" w:eastAsia="黑体" w:hint="default"/>
                <w:spacing w:val="-57"/>
                <w:sz w:val="20"/>
                <w:szCs w:val="20"/>
              </w:rPr>
              <w:t> </w:t>
            </w:r>
            <w:r>
              <w:rPr>
                <w:rFonts w:ascii="Arial" w:hAnsi="Arial" w:cs="Arial" w:eastAsia="Arial" w:hint="default"/>
                <w:sz w:val="20"/>
                <w:szCs w:val="20"/>
              </w:rPr>
              <w:t>31</w:t>
            </w:r>
            <w:r>
              <w:rPr>
                <w:rFonts w:ascii="Arial" w:hAnsi="Arial" w:cs="Arial" w:eastAsia="Arial" w:hint="default"/>
                <w:spacing w:val="-13"/>
                <w:sz w:val="20"/>
                <w:szCs w:val="20"/>
              </w:rPr>
              <w:t> </w:t>
            </w:r>
            <w:r>
              <w:rPr>
                <w:rFonts w:ascii="黑体" w:hAnsi="黑体" w:cs="黑体" w:eastAsia="黑体" w:hint="default"/>
                <w:sz w:val="20"/>
                <w:szCs w:val="20"/>
              </w:rPr>
              <w:t>日</w:t>
            </w:r>
          </w:p>
        </w:tc>
        <w:tc>
          <w:tcPr>
            <w:tcW w:w="3054" w:type="dxa"/>
            <w:tcBorders>
              <w:top w:val="nil" w:sz="6" w:space="0" w:color="auto"/>
              <w:left w:val="nil" w:sz="6" w:space="0" w:color="auto"/>
              <w:bottom w:val="nil" w:sz="6" w:space="0" w:color="auto"/>
              <w:right w:val="nil" w:sz="6" w:space="0" w:color="auto"/>
            </w:tcBorders>
          </w:tcPr>
          <w:p>
            <w:pPr>
              <w:pStyle w:val="TableParagraph"/>
              <w:spacing w:line="214" w:lineRule="exact"/>
              <w:ind w:right="198"/>
              <w:jc w:val="right"/>
              <w:rPr>
                <w:rFonts w:ascii="黑体" w:hAnsi="黑体" w:cs="黑体" w:eastAsia="黑体" w:hint="default"/>
                <w:sz w:val="20"/>
                <w:szCs w:val="20"/>
              </w:rPr>
            </w:pPr>
            <w:r>
              <w:rPr>
                <w:rFonts w:ascii="黑体" w:hAnsi="黑体" w:cs="黑体" w:eastAsia="黑体" w:hint="default"/>
                <w:sz w:val="20"/>
                <w:szCs w:val="20"/>
              </w:rPr>
              <w:t>成立日至</w:t>
            </w:r>
            <w:r>
              <w:rPr>
                <w:rFonts w:ascii="黑体" w:hAnsi="黑体" w:cs="黑体" w:eastAsia="黑体" w:hint="default"/>
                <w:spacing w:val="-51"/>
                <w:sz w:val="20"/>
                <w:szCs w:val="20"/>
              </w:rPr>
              <w:t> </w:t>
            </w:r>
            <w:r>
              <w:rPr>
                <w:rFonts w:ascii="Arial" w:hAnsi="Arial" w:cs="Arial" w:eastAsia="Arial" w:hint="default"/>
                <w:sz w:val="20"/>
                <w:szCs w:val="20"/>
              </w:rPr>
              <w:t>2012</w:t>
            </w:r>
            <w:r>
              <w:rPr>
                <w:rFonts w:ascii="Arial" w:hAnsi="Arial" w:cs="Arial" w:eastAsia="Arial" w:hint="default"/>
                <w:spacing w:val="-6"/>
                <w:sz w:val="20"/>
                <w:szCs w:val="20"/>
              </w:rPr>
              <w:t> </w:t>
            </w:r>
            <w:r>
              <w:rPr>
                <w:rFonts w:ascii="黑体" w:hAnsi="黑体" w:cs="黑体" w:eastAsia="黑体" w:hint="default"/>
                <w:sz w:val="20"/>
                <w:szCs w:val="20"/>
              </w:rPr>
              <w:t>年</w:t>
            </w:r>
            <w:r>
              <w:rPr>
                <w:rFonts w:ascii="黑体" w:hAnsi="黑体" w:cs="黑体" w:eastAsia="黑体" w:hint="default"/>
                <w:spacing w:val="-53"/>
                <w:sz w:val="20"/>
                <w:szCs w:val="20"/>
              </w:rPr>
              <w:t> </w:t>
            </w:r>
            <w:r>
              <w:rPr>
                <w:rFonts w:ascii="Arial" w:hAnsi="Arial" w:cs="Arial" w:eastAsia="Arial" w:hint="default"/>
                <w:sz w:val="20"/>
                <w:szCs w:val="20"/>
              </w:rPr>
              <w:t>12</w:t>
            </w:r>
            <w:r>
              <w:rPr>
                <w:rFonts w:ascii="Arial" w:hAnsi="Arial" w:cs="Arial" w:eastAsia="Arial" w:hint="default"/>
                <w:spacing w:val="-9"/>
                <w:sz w:val="20"/>
                <w:szCs w:val="20"/>
              </w:rPr>
              <w:t> </w:t>
            </w:r>
            <w:r>
              <w:rPr>
                <w:rFonts w:ascii="黑体" w:hAnsi="黑体" w:cs="黑体" w:eastAsia="黑体" w:hint="default"/>
                <w:sz w:val="20"/>
                <w:szCs w:val="20"/>
              </w:rPr>
              <w:t>月</w:t>
            </w:r>
            <w:r>
              <w:rPr>
                <w:rFonts w:ascii="黑体" w:hAnsi="黑体" w:cs="黑体" w:eastAsia="黑体" w:hint="default"/>
                <w:spacing w:val="-51"/>
                <w:sz w:val="20"/>
                <w:szCs w:val="20"/>
              </w:rPr>
              <w:t> </w:t>
            </w:r>
            <w:r>
              <w:rPr>
                <w:rFonts w:ascii="Arial" w:hAnsi="Arial" w:cs="Arial" w:eastAsia="Arial" w:hint="default"/>
                <w:sz w:val="20"/>
                <w:szCs w:val="20"/>
              </w:rPr>
              <w:t>31</w:t>
            </w:r>
            <w:r>
              <w:rPr>
                <w:rFonts w:ascii="Arial" w:hAnsi="Arial" w:cs="Arial" w:eastAsia="Arial" w:hint="default"/>
                <w:spacing w:val="-7"/>
                <w:sz w:val="20"/>
                <w:szCs w:val="20"/>
              </w:rPr>
              <w:t> </w:t>
            </w:r>
            <w:r>
              <w:rPr>
                <w:rFonts w:ascii="黑体" w:hAnsi="黑体" w:cs="黑体" w:eastAsia="黑体" w:hint="default"/>
                <w:sz w:val="20"/>
                <w:szCs w:val="20"/>
              </w:rPr>
              <w:t>日</w:t>
            </w:r>
          </w:p>
        </w:tc>
      </w:tr>
      <w:tr>
        <w:trPr>
          <w:trHeight w:val="355" w:hRule="exact"/>
        </w:trPr>
        <w:tc>
          <w:tcPr>
            <w:tcW w:w="2437" w:type="dxa"/>
            <w:tcBorders>
              <w:top w:val="nil" w:sz="6" w:space="0" w:color="auto"/>
              <w:left w:val="nil" w:sz="6" w:space="0" w:color="auto"/>
              <w:bottom w:val="nil" w:sz="6" w:space="0" w:color="auto"/>
              <w:right w:val="nil" w:sz="6" w:space="0" w:color="auto"/>
            </w:tcBorders>
          </w:tcPr>
          <w:p>
            <w:pPr/>
          </w:p>
        </w:tc>
        <w:tc>
          <w:tcPr>
            <w:tcW w:w="2702" w:type="dxa"/>
            <w:tcBorders>
              <w:top w:val="nil" w:sz="6" w:space="0" w:color="auto"/>
              <w:left w:val="nil" w:sz="6" w:space="0" w:color="auto"/>
              <w:bottom w:val="nil" w:sz="6" w:space="0" w:color="auto"/>
              <w:right w:val="nil" w:sz="6" w:space="0" w:color="auto"/>
            </w:tcBorders>
          </w:tcPr>
          <w:p>
            <w:pPr>
              <w:pStyle w:val="TableParagraph"/>
              <w:spacing w:line="215" w:lineRule="exact"/>
              <w:ind w:right="263"/>
              <w:jc w:val="right"/>
              <w:rPr>
                <w:rFonts w:ascii="黑体" w:hAnsi="黑体" w:cs="黑体" w:eastAsia="黑体" w:hint="default"/>
                <w:sz w:val="20"/>
                <w:szCs w:val="20"/>
              </w:rPr>
            </w:pPr>
            <w:r>
              <w:rPr>
                <w:rFonts w:ascii="黑体" w:hAnsi="黑体" w:cs="黑体" w:eastAsia="黑体" w:hint="default"/>
                <w:w w:val="95"/>
                <w:sz w:val="20"/>
                <w:szCs w:val="20"/>
              </w:rPr>
              <w:t>净资产</w:t>
            </w:r>
            <w:r>
              <w:rPr>
                <w:rFonts w:ascii="黑体" w:hAnsi="黑体" w:cs="黑体" w:eastAsia="黑体" w:hint="default"/>
                <w:sz w:val="20"/>
                <w:szCs w:val="20"/>
              </w:rPr>
            </w:r>
          </w:p>
        </w:tc>
        <w:tc>
          <w:tcPr>
            <w:tcW w:w="3054" w:type="dxa"/>
            <w:tcBorders>
              <w:top w:val="nil" w:sz="6" w:space="0" w:color="auto"/>
              <w:left w:val="nil" w:sz="6" w:space="0" w:color="auto"/>
              <w:bottom w:val="nil" w:sz="6" w:space="0" w:color="auto"/>
              <w:right w:val="nil" w:sz="6" w:space="0" w:color="auto"/>
            </w:tcBorders>
          </w:tcPr>
          <w:p>
            <w:pPr>
              <w:pStyle w:val="TableParagraph"/>
              <w:spacing w:line="215" w:lineRule="exact"/>
              <w:ind w:right="200"/>
              <w:jc w:val="right"/>
              <w:rPr>
                <w:rFonts w:ascii="黑体" w:hAnsi="黑体" w:cs="黑体" w:eastAsia="黑体" w:hint="default"/>
                <w:sz w:val="20"/>
                <w:szCs w:val="20"/>
              </w:rPr>
            </w:pPr>
            <w:r>
              <w:rPr>
                <w:rFonts w:ascii="黑体" w:hAnsi="黑体" w:cs="黑体" w:eastAsia="黑体" w:hint="default"/>
                <w:w w:val="95"/>
                <w:sz w:val="20"/>
                <w:szCs w:val="20"/>
              </w:rPr>
              <w:t>净利润</w:t>
            </w:r>
            <w:r>
              <w:rPr>
                <w:rFonts w:ascii="黑体" w:hAnsi="黑体" w:cs="黑体" w:eastAsia="黑体" w:hint="default"/>
                <w:sz w:val="20"/>
                <w:szCs w:val="20"/>
              </w:rPr>
            </w:r>
          </w:p>
        </w:tc>
      </w:tr>
      <w:tr>
        <w:trPr>
          <w:trHeight w:val="349" w:hRule="exact"/>
        </w:trPr>
        <w:tc>
          <w:tcPr>
            <w:tcW w:w="2437"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00" w:right="0"/>
              <w:jc w:val="left"/>
              <w:rPr>
                <w:rFonts w:ascii="黑体" w:hAnsi="黑体" w:cs="黑体" w:eastAsia="黑体" w:hint="default"/>
                <w:sz w:val="20"/>
                <w:szCs w:val="20"/>
              </w:rPr>
            </w:pPr>
            <w:r>
              <w:rPr>
                <w:rFonts w:ascii="黑体" w:hAnsi="黑体" w:cs="黑体" w:eastAsia="黑体" w:hint="default"/>
                <w:sz w:val="20"/>
                <w:szCs w:val="20"/>
              </w:rPr>
              <w:t>用友云达</w:t>
            </w:r>
          </w:p>
        </w:tc>
        <w:tc>
          <w:tcPr>
            <w:tcW w:w="2702"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62"/>
              <w:jc w:val="right"/>
              <w:rPr>
                <w:rFonts w:ascii="Arial" w:hAnsi="Arial" w:cs="Arial" w:eastAsia="Arial" w:hint="default"/>
                <w:sz w:val="20"/>
                <w:szCs w:val="20"/>
              </w:rPr>
            </w:pPr>
            <w:r>
              <w:rPr>
                <w:rFonts w:ascii="Arial"/>
                <w:spacing w:val="-1"/>
                <w:sz w:val="20"/>
              </w:rPr>
              <w:t>10,000,000</w:t>
            </w:r>
            <w:r>
              <w:rPr>
                <w:rFonts w:ascii="Arial"/>
                <w:sz w:val="20"/>
              </w:rPr>
            </w:r>
          </w:p>
        </w:tc>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98"/>
              <w:jc w:val="right"/>
              <w:rPr>
                <w:rFonts w:ascii="Arial" w:hAnsi="Arial" w:cs="Arial" w:eastAsia="Arial" w:hint="default"/>
                <w:sz w:val="20"/>
                <w:szCs w:val="20"/>
              </w:rPr>
            </w:pPr>
            <w:r>
              <w:rPr>
                <w:rFonts w:ascii="Arial"/>
                <w:w w:val="99"/>
                <w:sz w:val="20"/>
              </w:rPr>
              <w:t>-</w:t>
            </w:r>
            <w:r>
              <w:rPr>
                <w:rFonts w:ascii="Arial"/>
                <w:sz w:val="20"/>
              </w:rPr>
            </w:r>
          </w:p>
        </w:tc>
      </w:tr>
    </w:tbl>
    <w:p>
      <w:pPr>
        <w:spacing w:line="240" w:lineRule="auto" w:before="10"/>
        <w:rPr>
          <w:rFonts w:ascii="黑体" w:hAnsi="黑体" w:cs="黑体" w:eastAsia="黑体" w:hint="default"/>
          <w:sz w:val="29"/>
          <w:szCs w:val="29"/>
        </w:rPr>
      </w:pPr>
    </w:p>
    <w:p>
      <w:pPr>
        <w:pStyle w:val="BodyText"/>
        <w:spacing w:line="240" w:lineRule="auto" w:before="37"/>
        <w:ind w:left="834" w:right="2891"/>
        <w:jc w:val="left"/>
      </w:pPr>
      <w:r>
        <w:rPr>
          <w:rFonts w:ascii="Arial" w:hAnsi="Arial" w:cs="Arial" w:eastAsia="Arial" w:hint="default"/>
        </w:rPr>
        <w:t>2012</w:t>
      </w:r>
      <w:r>
        <w:rPr/>
        <w:t>年，本公司无不再纳入合并范围的子公司。</w:t>
      </w:r>
    </w:p>
    <w:p>
      <w:pPr>
        <w:spacing w:line="240" w:lineRule="auto" w:before="7"/>
        <w:rPr>
          <w:rFonts w:ascii="黑体" w:hAnsi="黑体" w:cs="黑体" w:eastAsia="黑体" w:hint="default"/>
          <w:sz w:val="20"/>
          <w:szCs w:val="20"/>
        </w:rPr>
      </w:pPr>
    </w:p>
    <w:p>
      <w:pPr>
        <w:pStyle w:val="Heading6"/>
        <w:tabs>
          <w:tab w:pos="855" w:val="left" w:leader="none"/>
        </w:tabs>
        <w:spacing w:line="240" w:lineRule="auto" w:before="0"/>
        <w:ind w:left="121" w:right="2891"/>
        <w:jc w:val="left"/>
        <w:rPr>
          <w:b w:val="0"/>
          <w:bCs w:val="0"/>
        </w:rPr>
      </w:pPr>
      <w:r>
        <w:rPr>
          <w:rFonts w:ascii="Arial" w:hAnsi="Arial" w:cs="Arial" w:eastAsia="Arial" w:hint="default"/>
          <w:spacing w:val="-1"/>
          <w:w w:val="95"/>
        </w:rPr>
        <w:t>4</w:t>
      </w:r>
      <w:r>
        <w:rPr>
          <w:spacing w:val="-1"/>
          <w:w w:val="95"/>
        </w:rPr>
        <w:t>．</w:t>
        <w:tab/>
      </w:r>
      <w:r>
        <w:rPr>
          <w:spacing w:val="1"/>
        </w:rPr>
        <w:t>本集团境外经营实体主要报表项目的折算汇率</w:t>
      </w:r>
      <w:r>
        <w:rPr>
          <w:b w:val="0"/>
          <w:bCs w:val="0"/>
        </w:rPr>
      </w:r>
    </w:p>
    <w:p>
      <w:pPr>
        <w:spacing w:line="240" w:lineRule="auto" w:before="6"/>
        <w:rPr>
          <w:rFonts w:ascii="黑体" w:hAnsi="黑体" w:cs="黑体" w:eastAsia="黑体" w:hint="default"/>
          <w:b/>
          <w:bCs/>
          <w:sz w:val="21"/>
          <w:szCs w:val="21"/>
        </w:rPr>
      </w:pPr>
    </w:p>
    <w:tbl>
      <w:tblPr>
        <w:tblW w:w="0" w:type="auto"/>
        <w:jc w:val="left"/>
        <w:tblInd w:w="644" w:type="dxa"/>
        <w:tblLayout w:type="fixed"/>
        <w:tblCellMar>
          <w:top w:w="0" w:type="dxa"/>
          <w:left w:w="0" w:type="dxa"/>
          <w:bottom w:w="0" w:type="dxa"/>
          <w:right w:w="0" w:type="dxa"/>
        </w:tblCellMar>
        <w:tblLook w:val="01E0"/>
      </w:tblPr>
      <w:tblGrid>
        <w:gridCol w:w="1887"/>
        <w:gridCol w:w="2066"/>
        <w:gridCol w:w="912"/>
        <w:gridCol w:w="283"/>
        <w:gridCol w:w="1775"/>
        <w:gridCol w:w="1060"/>
      </w:tblGrid>
      <w:tr>
        <w:trPr>
          <w:trHeight w:val="234" w:hRule="exact"/>
        </w:trPr>
        <w:tc>
          <w:tcPr>
            <w:tcW w:w="1887" w:type="dxa"/>
            <w:tcBorders>
              <w:top w:val="nil" w:sz="6" w:space="0" w:color="auto"/>
              <w:left w:val="nil" w:sz="6" w:space="0" w:color="auto"/>
              <w:bottom w:val="nil" w:sz="6" w:space="0" w:color="auto"/>
              <w:right w:val="nil" w:sz="6" w:space="0" w:color="auto"/>
            </w:tcBorders>
          </w:tcPr>
          <w:p>
            <w:pPr/>
          </w:p>
        </w:tc>
        <w:tc>
          <w:tcPr>
            <w:tcW w:w="2066" w:type="dxa"/>
            <w:tcBorders>
              <w:top w:val="nil" w:sz="6" w:space="0" w:color="auto"/>
              <w:left w:val="nil" w:sz="6" w:space="0" w:color="auto"/>
              <w:bottom w:val="single" w:sz="4" w:space="0" w:color="000000"/>
              <w:right w:val="nil" w:sz="6" w:space="0" w:color="auto"/>
            </w:tcBorders>
          </w:tcPr>
          <w:p>
            <w:pPr>
              <w:pStyle w:val="TableParagraph"/>
              <w:spacing w:line="199" w:lineRule="exact"/>
              <w:ind w:left="1082" w:right="0"/>
              <w:jc w:val="left"/>
              <w:rPr>
                <w:rFonts w:ascii="黑体" w:hAnsi="黑体" w:cs="黑体" w:eastAsia="黑体" w:hint="default"/>
                <w:sz w:val="20"/>
                <w:szCs w:val="20"/>
              </w:rPr>
            </w:pPr>
            <w:r>
              <w:rPr>
                <w:rFonts w:ascii="黑体" w:hAnsi="黑体" w:cs="黑体" w:eastAsia="黑体" w:hint="default"/>
                <w:sz w:val="20"/>
                <w:szCs w:val="20"/>
              </w:rPr>
              <w:t>平均汇率</w:t>
            </w:r>
          </w:p>
        </w:tc>
        <w:tc>
          <w:tcPr>
            <w:tcW w:w="912" w:type="dxa"/>
            <w:tcBorders>
              <w:top w:val="nil" w:sz="6" w:space="0" w:color="auto"/>
              <w:left w:val="nil" w:sz="6" w:space="0" w:color="auto"/>
              <w:bottom w:val="single" w:sz="4" w:space="0" w:color="000000"/>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single" w:sz="4" w:space="0" w:color="000000"/>
              <w:right w:val="nil" w:sz="6" w:space="0" w:color="auto"/>
            </w:tcBorders>
          </w:tcPr>
          <w:p>
            <w:pPr>
              <w:pStyle w:val="TableParagraph"/>
              <w:spacing w:line="199" w:lineRule="exact"/>
              <w:ind w:left="1008" w:right="-30"/>
              <w:jc w:val="left"/>
              <w:rPr>
                <w:rFonts w:ascii="黑体" w:hAnsi="黑体" w:cs="黑体" w:eastAsia="黑体" w:hint="default"/>
                <w:sz w:val="20"/>
                <w:szCs w:val="20"/>
              </w:rPr>
            </w:pPr>
            <w:bookmarkStart w:name="4．   本集团境外经营实体主要报表项目的折算汇率" w:id="55"/>
            <w:bookmarkEnd w:id="55"/>
            <w:r>
              <w:rPr/>
            </w:r>
            <w:r>
              <w:rPr>
                <w:rFonts w:ascii="黑体" w:hAnsi="黑体" w:cs="黑体" w:eastAsia="黑体" w:hint="default"/>
                <w:w w:val="95"/>
                <w:sz w:val="20"/>
                <w:szCs w:val="20"/>
              </w:rPr>
              <w:t>年末汇率</w:t>
            </w:r>
            <w:r>
              <w:rPr>
                <w:rFonts w:ascii="黑体" w:hAnsi="黑体" w:cs="黑体" w:eastAsia="黑体" w:hint="default"/>
                <w:sz w:val="20"/>
                <w:szCs w:val="20"/>
              </w:rPr>
            </w:r>
          </w:p>
        </w:tc>
        <w:tc>
          <w:tcPr>
            <w:tcW w:w="1060" w:type="dxa"/>
            <w:tcBorders>
              <w:top w:val="nil" w:sz="6" w:space="0" w:color="auto"/>
              <w:left w:val="nil" w:sz="6" w:space="0" w:color="auto"/>
              <w:bottom w:val="single" w:sz="4" w:space="0" w:color="000000"/>
              <w:right w:val="nil" w:sz="6" w:space="0" w:color="auto"/>
            </w:tcBorders>
          </w:tcPr>
          <w:p>
            <w:pPr/>
          </w:p>
        </w:tc>
      </w:tr>
      <w:tr>
        <w:trPr>
          <w:trHeight w:val="398" w:hRule="exact"/>
        </w:trPr>
        <w:tc>
          <w:tcPr>
            <w:tcW w:w="1887" w:type="dxa"/>
            <w:tcBorders>
              <w:top w:val="nil" w:sz="6" w:space="0" w:color="auto"/>
              <w:left w:val="nil" w:sz="6" w:space="0" w:color="auto"/>
              <w:bottom w:val="nil" w:sz="6" w:space="0" w:color="auto"/>
              <w:right w:val="nil" w:sz="6" w:space="0" w:color="auto"/>
            </w:tcBorders>
          </w:tcPr>
          <w:p>
            <w:pPr/>
          </w:p>
        </w:tc>
        <w:tc>
          <w:tcPr>
            <w:tcW w:w="2066" w:type="dxa"/>
            <w:tcBorders>
              <w:top w:val="single" w:sz="4" w:space="0" w:color="000000"/>
              <w:left w:val="nil" w:sz="6" w:space="0" w:color="auto"/>
              <w:bottom w:val="nil" w:sz="6" w:space="0" w:color="auto"/>
              <w:right w:val="nil" w:sz="6" w:space="0" w:color="auto"/>
            </w:tcBorders>
          </w:tcPr>
          <w:p>
            <w:pPr>
              <w:pStyle w:val="TableParagraph"/>
              <w:spacing w:line="244" w:lineRule="exact"/>
              <w:ind w:left="835" w:right="0"/>
              <w:jc w:val="left"/>
              <w:rPr>
                <w:rFonts w:ascii="黑体" w:hAnsi="黑体" w:cs="黑体" w:eastAsia="黑体" w:hint="default"/>
                <w:sz w:val="20"/>
                <w:szCs w:val="20"/>
              </w:rPr>
            </w:pPr>
            <w:r>
              <w:rPr>
                <w:rFonts w:ascii="Arial" w:hAnsi="Arial" w:cs="Arial" w:eastAsia="Arial" w:hint="default"/>
                <w:sz w:val="20"/>
                <w:szCs w:val="20"/>
              </w:rPr>
              <w:t>2012</w:t>
            </w:r>
            <w:r>
              <w:rPr>
                <w:rFonts w:ascii="Arial" w:hAnsi="Arial" w:cs="Arial" w:eastAsia="Arial" w:hint="default"/>
                <w:spacing w:val="-9"/>
                <w:sz w:val="20"/>
                <w:szCs w:val="20"/>
              </w:rPr>
              <w:t> </w:t>
            </w:r>
            <w:r>
              <w:rPr>
                <w:rFonts w:ascii="黑体" w:hAnsi="黑体" w:cs="黑体" w:eastAsia="黑体" w:hint="default"/>
                <w:sz w:val="20"/>
                <w:szCs w:val="20"/>
              </w:rPr>
              <w:t>年</w:t>
            </w:r>
          </w:p>
        </w:tc>
        <w:tc>
          <w:tcPr>
            <w:tcW w:w="912" w:type="dxa"/>
            <w:tcBorders>
              <w:top w:val="single" w:sz="4" w:space="0" w:color="000000"/>
              <w:left w:val="nil" w:sz="6" w:space="0" w:color="auto"/>
              <w:bottom w:val="nil" w:sz="6" w:space="0" w:color="auto"/>
              <w:right w:val="nil" w:sz="6" w:space="0" w:color="auto"/>
            </w:tcBorders>
          </w:tcPr>
          <w:p>
            <w:pPr>
              <w:pStyle w:val="TableParagraph"/>
              <w:spacing w:line="244" w:lineRule="exact"/>
              <w:ind w:right="29"/>
              <w:jc w:val="right"/>
              <w:rPr>
                <w:rFonts w:ascii="黑体" w:hAnsi="黑体" w:cs="黑体" w:eastAsia="黑体" w:hint="default"/>
                <w:sz w:val="20"/>
                <w:szCs w:val="20"/>
              </w:rPr>
            </w:pPr>
            <w:r>
              <w:rPr>
                <w:rFonts w:ascii="Arial" w:hAnsi="Arial" w:cs="Arial" w:eastAsia="Arial" w:hint="default"/>
                <w:sz w:val="20"/>
                <w:szCs w:val="20"/>
              </w:rPr>
              <w:t>2011</w:t>
            </w:r>
            <w:r>
              <w:rPr>
                <w:rFonts w:ascii="Arial" w:hAnsi="Arial" w:cs="Arial" w:eastAsia="Arial" w:hint="default"/>
                <w:spacing w:val="-9"/>
                <w:sz w:val="20"/>
                <w:szCs w:val="20"/>
              </w:rPr>
              <w:t> </w:t>
            </w:r>
            <w:r>
              <w:rPr>
                <w:rFonts w:ascii="黑体" w:hAnsi="黑体" w:cs="黑体" w:eastAsia="黑体" w:hint="default"/>
                <w:sz w:val="20"/>
                <w:szCs w:val="20"/>
              </w:rPr>
              <w:t>年</w:t>
            </w:r>
          </w:p>
        </w:tc>
        <w:tc>
          <w:tcPr>
            <w:tcW w:w="283" w:type="dxa"/>
            <w:tcBorders>
              <w:top w:val="nil" w:sz="6" w:space="0" w:color="auto"/>
              <w:left w:val="nil" w:sz="6" w:space="0" w:color="auto"/>
              <w:bottom w:val="nil" w:sz="6" w:space="0" w:color="auto"/>
              <w:right w:val="nil" w:sz="6" w:space="0" w:color="auto"/>
            </w:tcBorders>
          </w:tcPr>
          <w:p>
            <w:pPr/>
          </w:p>
        </w:tc>
        <w:tc>
          <w:tcPr>
            <w:tcW w:w="1775" w:type="dxa"/>
            <w:tcBorders>
              <w:top w:val="single" w:sz="4" w:space="0" w:color="000000"/>
              <w:left w:val="nil" w:sz="6" w:space="0" w:color="auto"/>
              <w:bottom w:val="nil" w:sz="6" w:space="0" w:color="auto"/>
              <w:right w:val="nil" w:sz="6" w:space="0" w:color="auto"/>
            </w:tcBorders>
          </w:tcPr>
          <w:p>
            <w:pPr>
              <w:pStyle w:val="TableParagraph"/>
              <w:spacing w:line="244" w:lineRule="exact"/>
              <w:ind w:left="720" w:right="0"/>
              <w:jc w:val="left"/>
              <w:rPr>
                <w:rFonts w:ascii="黑体" w:hAnsi="黑体" w:cs="黑体" w:eastAsia="黑体" w:hint="default"/>
                <w:sz w:val="20"/>
                <w:szCs w:val="20"/>
              </w:rPr>
            </w:pPr>
            <w:r>
              <w:rPr>
                <w:rFonts w:ascii="Arial" w:hAnsi="Arial" w:cs="Arial" w:eastAsia="Arial" w:hint="default"/>
                <w:sz w:val="20"/>
                <w:szCs w:val="20"/>
              </w:rPr>
              <w:t>2012</w:t>
            </w:r>
            <w:r>
              <w:rPr>
                <w:rFonts w:ascii="Arial" w:hAnsi="Arial" w:cs="Arial" w:eastAsia="Arial" w:hint="default"/>
                <w:spacing w:val="-9"/>
                <w:sz w:val="20"/>
                <w:szCs w:val="20"/>
              </w:rPr>
              <w:t> </w:t>
            </w:r>
            <w:r>
              <w:rPr>
                <w:rFonts w:ascii="黑体" w:hAnsi="黑体" w:cs="黑体" w:eastAsia="黑体" w:hint="default"/>
                <w:sz w:val="20"/>
                <w:szCs w:val="20"/>
              </w:rPr>
              <w:t>年</w:t>
            </w:r>
          </w:p>
        </w:tc>
        <w:tc>
          <w:tcPr>
            <w:tcW w:w="1060" w:type="dxa"/>
            <w:tcBorders>
              <w:top w:val="single" w:sz="4" w:space="0" w:color="000000"/>
              <w:left w:val="nil" w:sz="6" w:space="0" w:color="auto"/>
              <w:bottom w:val="nil" w:sz="6" w:space="0" w:color="auto"/>
              <w:right w:val="nil" w:sz="6" w:space="0" w:color="auto"/>
            </w:tcBorders>
          </w:tcPr>
          <w:p>
            <w:pPr>
              <w:pStyle w:val="TableParagraph"/>
              <w:spacing w:line="244" w:lineRule="exact"/>
              <w:ind w:right="2"/>
              <w:jc w:val="right"/>
              <w:rPr>
                <w:rFonts w:ascii="黑体" w:hAnsi="黑体" w:cs="黑体" w:eastAsia="黑体" w:hint="default"/>
                <w:sz w:val="20"/>
                <w:szCs w:val="20"/>
              </w:rPr>
            </w:pPr>
            <w:r>
              <w:rPr>
                <w:rFonts w:ascii="Arial" w:hAnsi="Arial" w:cs="Arial" w:eastAsia="Arial" w:hint="default"/>
                <w:sz w:val="20"/>
                <w:szCs w:val="20"/>
              </w:rPr>
              <w:t>2011</w:t>
            </w:r>
            <w:r>
              <w:rPr>
                <w:rFonts w:ascii="Arial" w:hAnsi="Arial" w:cs="Arial" w:eastAsia="Arial" w:hint="default"/>
                <w:spacing w:val="-9"/>
                <w:sz w:val="20"/>
                <w:szCs w:val="20"/>
              </w:rPr>
              <w:t> </w:t>
            </w:r>
            <w:r>
              <w:rPr>
                <w:rFonts w:ascii="黑体" w:hAnsi="黑体" w:cs="黑体" w:eastAsia="黑体" w:hint="default"/>
                <w:sz w:val="20"/>
                <w:szCs w:val="20"/>
              </w:rPr>
              <w:t>年</w:t>
            </w:r>
          </w:p>
        </w:tc>
      </w:tr>
      <w:tr>
        <w:trPr>
          <w:trHeight w:val="394" w:hRule="exact"/>
        </w:trPr>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00" w:right="0"/>
              <w:jc w:val="left"/>
              <w:rPr>
                <w:rFonts w:ascii="黑体" w:hAnsi="黑体" w:cs="黑体" w:eastAsia="黑体" w:hint="default"/>
                <w:sz w:val="20"/>
                <w:szCs w:val="20"/>
              </w:rPr>
            </w:pPr>
            <w:r>
              <w:rPr>
                <w:rFonts w:ascii="黑体" w:hAnsi="黑体" w:cs="黑体" w:eastAsia="黑体" w:hint="default"/>
                <w:sz w:val="20"/>
                <w:szCs w:val="20"/>
              </w:rPr>
              <w:t>美元</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919" w:right="0"/>
              <w:jc w:val="left"/>
              <w:rPr>
                <w:rFonts w:ascii="Arial" w:hAnsi="Arial" w:cs="Arial" w:eastAsia="Arial" w:hint="default"/>
                <w:sz w:val="20"/>
                <w:szCs w:val="20"/>
              </w:rPr>
            </w:pPr>
            <w:r>
              <w:rPr>
                <w:rFonts w:ascii="Arial"/>
                <w:sz w:val="20"/>
              </w:rPr>
              <w:t>6.3111</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9"/>
              <w:jc w:val="right"/>
              <w:rPr>
                <w:rFonts w:ascii="Arial" w:hAnsi="Arial" w:cs="Arial" w:eastAsia="Arial" w:hint="default"/>
                <w:sz w:val="20"/>
                <w:szCs w:val="20"/>
              </w:rPr>
            </w:pPr>
            <w:r>
              <w:rPr>
                <w:rFonts w:ascii="Arial"/>
                <w:spacing w:val="-1"/>
                <w:sz w:val="20"/>
              </w:rPr>
              <w:t>6.4618</w:t>
            </w:r>
            <w:r>
              <w:rPr>
                <w:rFonts w:ascii="Arial"/>
                <w:sz w:val="20"/>
              </w:rPr>
            </w:r>
          </w:p>
        </w:tc>
        <w:tc>
          <w:tcPr>
            <w:tcW w:w="283"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777" w:right="0"/>
              <w:jc w:val="left"/>
              <w:rPr>
                <w:rFonts w:ascii="Arial" w:hAnsi="Arial" w:cs="Arial" w:eastAsia="Arial" w:hint="default"/>
                <w:sz w:val="20"/>
                <w:szCs w:val="20"/>
              </w:rPr>
            </w:pPr>
            <w:r>
              <w:rPr>
                <w:rFonts w:ascii="Arial"/>
                <w:sz w:val="20"/>
              </w:rPr>
              <w:t>6.2855</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9"/>
              <w:jc w:val="right"/>
              <w:rPr>
                <w:rFonts w:ascii="Arial" w:hAnsi="Arial" w:cs="Arial" w:eastAsia="Arial" w:hint="default"/>
                <w:sz w:val="20"/>
                <w:szCs w:val="20"/>
              </w:rPr>
            </w:pPr>
            <w:r>
              <w:rPr>
                <w:rFonts w:ascii="Arial"/>
                <w:spacing w:val="-1"/>
                <w:sz w:val="20"/>
              </w:rPr>
              <w:t>6.3009</w:t>
            </w:r>
            <w:r>
              <w:rPr>
                <w:rFonts w:ascii="Arial"/>
                <w:sz w:val="20"/>
              </w:rPr>
            </w:r>
          </w:p>
        </w:tc>
      </w:tr>
      <w:tr>
        <w:trPr>
          <w:trHeight w:val="259" w:hRule="exact"/>
        </w:trPr>
        <w:tc>
          <w:tcPr>
            <w:tcW w:w="1887" w:type="dxa"/>
            <w:tcBorders>
              <w:top w:val="nil" w:sz="6" w:space="0" w:color="auto"/>
              <w:left w:val="nil" w:sz="6" w:space="0" w:color="auto"/>
              <w:bottom w:val="nil" w:sz="6" w:space="0" w:color="auto"/>
              <w:right w:val="nil" w:sz="6" w:space="0" w:color="auto"/>
            </w:tcBorders>
          </w:tcPr>
          <w:p>
            <w:pPr>
              <w:pStyle w:val="TableParagraph"/>
              <w:spacing w:line="218" w:lineRule="exact"/>
              <w:ind w:left="200" w:right="0"/>
              <w:jc w:val="left"/>
              <w:rPr>
                <w:rFonts w:ascii="黑体" w:hAnsi="黑体" w:cs="黑体" w:eastAsia="黑体" w:hint="default"/>
                <w:sz w:val="20"/>
                <w:szCs w:val="20"/>
              </w:rPr>
            </w:pPr>
            <w:r>
              <w:rPr>
                <w:rFonts w:ascii="黑体" w:hAnsi="黑体" w:cs="黑体" w:eastAsia="黑体" w:hint="default"/>
                <w:sz w:val="20"/>
                <w:szCs w:val="20"/>
              </w:rPr>
              <w:t>日元</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919" w:right="0"/>
              <w:jc w:val="left"/>
              <w:rPr>
                <w:rFonts w:ascii="Arial" w:hAnsi="Arial" w:cs="Arial" w:eastAsia="Arial" w:hint="default"/>
                <w:sz w:val="20"/>
                <w:szCs w:val="20"/>
              </w:rPr>
            </w:pPr>
            <w:r>
              <w:rPr>
                <w:rFonts w:ascii="Arial"/>
                <w:sz w:val="20"/>
              </w:rPr>
              <w:t>0.0788</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9"/>
              <w:jc w:val="right"/>
              <w:rPr>
                <w:rFonts w:ascii="Arial" w:hAnsi="Arial" w:cs="Arial" w:eastAsia="Arial" w:hint="default"/>
                <w:sz w:val="20"/>
                <w:szCs w:val="20"/>
              </w:rPr>
            </w:pPr>
            <w:r>
              <w:rPr>
                <w:rFonts w:ascii="Arial"/>
                <w:spacing w:val="-1"/>
                <w:sz w:val="20"/>
              </w:rPr>
              <w:t>0.0816</w:t>
            </w:r>
            <w:r>
              <w:rPr>
                <w:rFonts w:ascii="Arial"/>
                <w:sz w:val="20"/>
              </w:rPr>
            </w:r>
          </w:p>
        </w:tc>
        <w:tc>
          <w:tcPr>
            <w:tcW w:w="283"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77" w:right="0"/>
              <w:jc w:val="left"/>
              <w:rPr>
                <w:rFonts w:ascii="Arial" w:hAnsi="Arial" w:cs="Arial" w:eastAsia="Arial" w:hint="default"/>
                <w:sz w:val="20"/>
                <w:szCs w:val="20"/>
              </w:rPr>
            </w:pPr>
            <w:r>
              <w:rPr>
                <w:rFonts w:ascii="Arial"/>
                <w:sz w:val="20"/>
              </w:rPr>
              <w:t>0.0730</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9"/>
              <w:jc w:val="right"/>
              <w:rPr>
                <w:rFonts w:ascii="Arial" w:hAnsi="Arial" w:cs="Arial" w:eastAsia="Arial" w:hint="default"/>
                <w:sz w:val="20"/>
                <w:szCs w:val="20"/>
              </w:rPr>
            </w:pPr>
            <w:r>
              <w:rPr>
                <w:rFonts w:ascii="Arial"/>
                <w:spacing w:val="-1"/>
                <w:sz w:val="20"/>
              </w:rPr>
              <w:t>0.0811</w:t>
            </w:r>
            <w:r>
              <w:rPr>
                <w:rFonts w:ascii="Arial"/>
                <w:sz w:val="20"/>
              </w:rPr>
            </w:r>
          </w:p>
        </w:tc>
      </w:tr>
      <w:tr>
        <w:trPr>
          <w:trHeight w:val="259" w:hRule="exact"/>
        </w:trPr>
        <w:tc>
          <w:tcPr>
            <w:tcW w:w="1887" w:type="dxa"/>
            <w:tcBorders>
              <w:top w:val="nil" w:sz="6" w:space="0" w:color="auto"/>
              <w:left w:val="nil" w:sz="6" w:space="0" w:color="auto"/>
              <w:bottom w:val="nil" w:sz="6" w:space="0" w:color="auto"/>
              <w:right w:val="nil" w:sz="6" w:space="0" w:color="auto"/>
            </w:tcBorders>
          </w:tcPr>
          <w:p>
            <w:pPr>
              <w:pStyle w:val="TableParagraph"/>
              <w:spacing w:line="218" w:lineRule="exact"/>
              <w:ind w:left="200" w:right="0"/>
              <w:jc w:val="left"/>
              <w:rPr>
                <w:rFonts w:ascii="黑体" w:hAnsi="黑体" w:cs="黑体" w:eastAsia="黑体" w:hint="default"/>
                <w:sz w:val="20"/>
                <w:szCs w:val="20"/>
              </w:rPr>
            </w:pPr>
            <w:r>
              <w:rPr>
                <w:rFonts w:ascii="黑体" w:hAnsi="黑体" w:cs="黑体" w:eastAsia="黑体" w:hint="default"/>
                <w:sz w:val="20"/>
                <w:szCs w:val="20"/>
              </w:rPr>
              <w:t>港币</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919" w:right="0"/>
              <w:jc w:val="left"/>
              <w:rPr>
                <w:rFonts w:ascii="Arial" w:hAnsi="Arial" w:cs="Arial" w:eastAsia="Arial" w:hint="default"/>
                <w:sz w:val="20"/>
                <w:szCs w:val="20"/>
              </w:rPr>
            </w:pPr>
            <w:r>
              <w:rPr>
                <w:rFonts w:ascii="Arial"/>
                <w:sz w:val="20"/>
              </w:rPr>
              <w:t>0.8136</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9"/>
              <w:jc w:val="right"/>
              <w:rPr>
                <w:rFonts w:ascii="Arial" w:hAnsi="Arial" w:cs="Arial" w:eastAsia="Arial" w:hint="default"/>
                <w:sz w:val="20"/>
                <w:szCs w:val="20"/>
              </w:rPr>
            </w:pPr>
            <w:r>
              <w:rPr>
                <w:rFonts w:ascii="Arial"/>
                <w:spacing w:val="-1"/>
                <w:sz w:val="20"/>
              </w:rPr>
              <w:t>0.8308</w:t>
            </w:r>
            <w:r>
              <w:rPr>
                <w:rFonts w:ascii="Arial"/>
                <w:sz w:val="20"/>
              </w:rPr>
            </w:r>
          </w:p>
        </w:tc>
        <w:tc>
          <w:tcPr>
            <w:tcW w:w="283"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77" w:right="0"/>
              <w:jc w:val="left"/>
              <w:rPr>
                <w:rFonts w:ascii="Arial" w:hAnsi="Arial" w:cs="Arial" w:eastAsia="Arial" w:hint="default"/>
                <w:sz w:val="20"/>
                <w:szCs w:val="20"/>
              </w:rPr>
            </w:pPr>
            <w:r>
              <w:rPr>
                <w:rFonts w:ascii="Arial"/>
                <w:sz w:val="20"/>
              </w:rPr>
              <w:t>0.8108</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9"/>
              <w:jc w:val="right"/>
              <w:rPr>
                <w:rFonts w:ascii="Arial" w:hAnsi="Arial" w:cs="Arial" w:eastAsia="Arial" w:hint="default"/>
                <w:sz w:val="20"/>
                <w:szCs w:val="20"/>
              </w:rPr>
            </w:pPr>
            <w:r>
              <w:rPr>
                <w:rFonts w:ascii="Arial"/>
                <w:spacing w:val="-1"/>
                <w:sz w:val="20"/>
              </w:rPr>
              <w:t>0.8107</w:t>
            </w:r>
            <w:r>
              <w:rPr>
                <w:rFonts w:ascii="Arial"/>
                <w:sz w:val="20"/>
              </w:rPr>
            </w:r>
          </w:p>
        </w:tc>
      </w:tr>
      <w:tr>
        <w:trPr>
          <w:trHeight w:val="259" w:hRule="exact"/>
        </w:trPr>
        <w:tc>
          <w:tcPr>
            <w:tcW w:w="1887" w:type="dxa"/>
            <w:tcBorders>
              <w:top w:val="nil" w:sz="6" w:space="0" w:color="auto"/>
              <w:left w:val="nil" w:sz="6" w:space="0" w:color="auto"/>
              <w:bottom w:val="nil" w:sz="6" w:space="0" w:color="auto"/>
              <w:right w:val="nil" w:sz="6" w:space="0" w:color="auto"/>
            </w:tcBorders>
          </w:tcPr>
          <w:p>
            <w:pPr>
              <w:pStyle w:val="TableParagraph"/>
              <w:spacing w:line="218" w:lineRule="exact"/>
              <w:ind w:left="200" w:right="0"/>
              <w:jc w:val="left"/>
              <w:rPr>
                <w:rFonts w:ascii="黑体" w:hAnsi="黑体" w:cs="黑体" w:eastAsia="黑体" w:hint="default"/>
                <w:sz w:val="20"/>
                <w:szCs w:val="20"/>
              </w:rPr>
            </w:pPr>
            <w:r>
              <w:rPr>
                <w:rFonts w:ascii="黑体" w:hAnsi="黑体" w:cs="黑体" w:eastAsia="黑体" w:hint="default"/>
                <w:sz w:val="20"/>
                <w:szCs w:val="20"/>
              </w:rPr>
              <w:t>新加坡元</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919" w:right="0"/>
              <w:jc w:val="left"/>
              <w:rPr>
                <w:rFonts w:ascii="Arial" w:hAnsi="Arial" w:cs="Arial" w:eastAsia="Arial" w:hint="default"/>
                <w:sz w:val="20"/>
                <w:szCs w:val="20"/>
              </w:rPr>
            </w:pPr>
            <w:r>
              <w:rPr>
                <w:rFonts w:ascii="Arial"/>
                <w:sz w:val="20"/>
              </w:rPr>
              <w:t>5.0517</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9"/>
              <w:jc w:val="right"/>
              <w:rPr>
                <w:rFonts w:ascii="Arial" w:hAnsi="Arial" w:cs="Arial" w:eastAsia="Arial" w:hint="default"/>
                <w:sz w:val="20"/>
                <w:szCs w:val="20"/>
              </w:rPr>
            </w:pPr>
            <w:r>
              <w:rPr>
                <w:rFonts w:ascii="Arial"/>
                <w:spacing w:val="-1"/>
                <w:sz w:val="20"/>
              </w:rPr>
              <w:t>4.9935</w:t>
            </w:r>
            <w:r>
              <w:rPr>
                <w:rFonts w:ascii="Arial"/>
                <w:sz w:val="20"/>
              </w:rPr>
            </w:r>
          </w:p>
        </w:tc>
        <w:tc>
          <w:tcPr>
            <w:tcW w:w="283"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77" w:right="0"/>
              <w:jc w:val="left"/>
              <w:rPr>
                <w:rFonts w:ascii="Arial" w:hAnsi="Arial" w:cs="Arial" w:eastAsia="Arial" w:hint="default"/>
                <w:sz w:val="20"/>
                <w:szCs w:val="20"/>
              </w:rPr>
            </w:pPr>
            <w:r>
              <w:rPr>
                <w:rFonts w:ascii="Arial"/>
                <w:sz w:val="20"/>
              </w:rPr>
              <w:t>5.0929</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9"/>
              <w:jc w:val="right"/>
              <w:rPr>
                <w:rFonts w:ascii="Arial" w:hAnsi="Arial" w:cs="Arial" w:eastAsia="Arial" w:hint="default"/>
                <w:sz w:val="20"/>
                <w:szCs w:val="20"/>
              </w:rPr>
            </w:pPr>
            <w:r>
              <w:rPr>
                <w:rFonts w:ascii="Arial"/>
                <w:spacing w:val="-1"/>
                <w:sz w:val="20"/>
              </w:rPr>
              <w:t>4.8679</w:t>
            </w:r>
            <w:r>
              <w:rPr>
                <w:rFonts w:ascii="Arial"/>
                <w:sz w:val="20"/>
              </w:rPr>
            </w:r>
          </w:p>
        </w:tc>
      </w:tr>
      <w:tr>
        <w:trPr>
          <w:trHeight w:val="259" w:hRule="exact"/>
        </w:trPr>
        <w:tc>
          <w:tcPr>
            <w:tcW w:w="1887" w:type="dxa"/>
            <w:tcBorders>
              <w:top w:val="nil" w:sz="6" w:space="0" w:color="auto"/>
              <w:left w:val="nil" w:sz="6" w:space="0" w:color="auto"/>
              <w:bottom w:val="nil" w:sz="6" w:space="0" w:color="auto"/>
              <w:right w:val="nil" w:sz="6" w:space="0" w:color="auto"/>
            </w:tcBorders>
          </w:tcPr>
          <w:p>
            <w:pPr>
              <w:pStyle w:val="TableParagraph"/>
              <w:spacing w:line="218" w:lineRule="exact"/>
              <w:ind w:left="200" w:right="0"/>
              <w:jc w:val="left"/>
              <w:rPr>
                <w:rFonts w:ascii="黑体" w:hAnsi="黑体" w:cs="黑体" w:eastAsia="黑体" w:hint="default"/>
                <w:sz w:val="20"/>
                <w:szCs w:val="20"/>
              </w:rPr>
            </w:pPr>
            <w:r>
              <w:rPr>
                <w:rFonts w:ascii="黑体" w:hAnsi="黑体" w:cs="黑体" w:eastAsia="黑体" w:hint="default"/>
                <w:sz w:val="20"/>
                <w:szCs w:val="20"/>
              </w:rPr>
              <w:t>澳门元</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919" w:right="0"/>
              <w:jc w:val="left"/>
              <w:rPr>
                <w:rFonts w:ascii="Arial" w:hAnsi="Arial" w:cs="Arial" w:eastAsia="Arial" w:hint="default"/>
                <w:sz w:val="20"/>
                <w:szCs w:val="20"/>
              </w:rPr>
            </w:pPr>
            <w:r>
              <w:rPr>
                <w:rFonts w:ascii="Arial"/>
                <w:sz w:val="20"/>
              </w:rPr>
              <w:t>0.7898</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9"/>
              <w:jc w:val="right"/>
              <w:rPr>
                <w:rFonts w:ascii="Arial" w:hAnsi="Arial" w:cs="Arial" w:eastAsia="Arial" w:hint="default"/>
                <w:sz w:val="20"/>
                <w:szCs w:val="20"/>
              </w:rPr>
            </w:pPr>
            <w:r>
              <w:rPr>
                <w:rFonts w:ascii="Arial"/>
                <w:spacing w:val="-1"/>
                <w:sz w:val="20"/>
              </w:rPr>
              <w:t>0.8076</w:t>
            </w:r>
            <w:r>
              <w:rPr>
                <w:rFonts w:ascii="Arial"/>
                <w:sz w:val="20"/>
              </w:rPr>
            </w:r>
          </w:p>
        </w:tc>
        <w:tc>
          <w:tcPr>
            <w:tcW w:w="283"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77" w:right="0"/>
              <w:jc w:val="left"/>
              <w:rPr>
                <w:rFonts w:ascii="Arial" w:hAnsi="Arial" w:cs="Arial" w:eastAsia="Arial" w:hint="default"/>
                <w:sz w:val="20"/>
                <w:szCs w:val="20"/>
              </w:rPr>
            </w:pPr>
            <w:r>
              <w:rPr>
                <w:rFonts w:ascii="Arial"/>
                <w:sz w:val="20"/>
              </w:rPr>
              <w:t>0.7804</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9"/>
              <w:jc w:val="right"/>
              <w:rPr>
                <w:rFonts w:ascii="Arial" w:hAnsi="Arial" w:cs="Arial" w:eastAsia="Arial" w:hint="default"/>
                <w:sz w:val="20"/>
                <w:szCs w:val="20"/>
              </w:rPr>
            </w:pPr>
            <w:r>
              <w:rPr>
                <w:rFonts w:ascii="Arial"/>
                <w:spacing w:val="-1"/>
                <w:sz w:val="20"/>
              </w:rPr>
              <w:t>0.7886</w:t>
            </w:r>
            <w:r>
              <w:rPr>
                <w:rFonts w:ascii="Arial"/>
                <w:sz w:val="20"/>
              </w:rPr>
            </w:r>
          </w:p>
        </w:tc>
      </w:tr>
      <w:tr>
        <w:trPr>
          <w:trHeight w:val="240" w:hRule="exact"/>
        </w:trPr>
        <w:tc>
          <w:tcPr>
            <w:tcW w:w="1887" w:type="dxa"/>
            <w:tcBorders>
              <w:top w:val="nil" w:sz="6" w:space="0" w:color="auto"/>
              <w:left w:val="nil" w:sz="6" w:space="0" w:color="auto"/>
              <w:bottom w:val="nil" w:sz="6" w:space="0" w:color="auto"/>
              <w:right w:val="nil" w:sz="6" w:space="0" w:color="auto"/>
            </w:tcBorders>
          </w:tcPr>
          <w:p>
            <w:pPr>
              <w:pStyle w:val="TableParagraph"/>
              <w:spacing w:line="218" w:lineRule="exact"/>
              <w:ind w:left="200" w:right="0"/>
              <w:jc w:val="left"/>
              <w:rPr>
                <w:rFonts w:ascii="黑体" w:hAnsi="黑体" w:cs="黑体" w:eastAsia="黑体" w:hint="default"/>
                <w:sz w:val="20"/>
                <w:szCs w:val="20"/>
              </w:rPr>
            </w:pPr>
            <w:r>
              <w:rPr>
                <w:rFonts w:ascii="黑体" w:hAnsi="黑体" w:cs="黑体" w:eastAsia="黑体" w:hint="default"/>
                <w:sz w:val="20"/>
                <w:szCs w:val="20"/>
              </w:rPr>
              <w:t>台币</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919" w:right="0"/>
              <w:jc w:val="left"/>
              <w:rPr>
                <w:rFonts w:ascii="Arial" w:hAnsi="Arial" w:cs="Arial" w:eastAsia="Arial" w:hint="default"/>
                <w:sz w:val="20"/>
                <w:szCs w:val="20"/>
              </w:rPr>
            </w:pPr>
            <w:r>
              <w:rPr>
                <w:rFonts w:ascii="Arial"/>
                <w:sz w:val="20"/>
              </w:rPr>
              <w:t>0.2135</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9"/>
              <w:jc w:val="right"/>
              <w:rPr>
                <w:rFonts w:ascii="Arial" w:hAnsi="Arial" w:cs="Arial" w:eastAsia="Arial" w:hint="default"/>
                <w:sz w:val="20"/>
                <w:szCs w:val="20"/>
              </w:rPr>
            </w:pPr>
            <w:r>
              <w:rPr>
                <w:rFonts w:ascii="Arial"/>
                <w:spacing w:val="-1"/>
                <w:sz w:val="20"/>
              </w:rPr>
              <w:t>0.2167</w:t>
            </w:r>
            <w:r>
              <w:rPr>
                <w:rFonts w:ascii="Arial"/>
                <w:sz w:val="20"/>
              </w:rPr>
            </w:r>
          </w:p>
        </w:tc>
        <w:tc>
          <w:tcPr>
            <w:tcW w:w="283"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77" w:right="0"/>
              <w:jc w:val="left"/>
              <w:rPr>
                <w:rFonts w:ascii="Arial" w:hAnsi="Arial" w:cs="Arial" w:eastAsia="Arial" w:hint="default"/>
                <w:sz w:val="20"/>
                <w:szCs w:val="20"/>
              </w:rPr>
            </w:pPr>
            <w:r>
              <w:rPr>
                <w:rFonts w:ascii="Arial"/>
                <w:sz w:val="20"/>
              </w:rPr>
              <w:t>0.2147</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9"/>
              <w:jc w:val="right"/>
              <w:rPr>
                <w:rFonts w:ascii="Arial" w:hAnsi="Arial" w:cs="Arial" w:eastAsia="Arial" w:hint="default"/>
                <w:sz w:val="20"/>
                <w:szCs w:val="20"/>
              </w:rPr>
            </w:pPr>
            <w:r>
              <w:rPr>
                <w:rFonts w:ascii="Arial"/>
                <w:spacing w:val="-1"/>
                <w:sz w:val="20"/>
              </w:rPr>
              <w:t>0.2080</w:t>
            </w:r>
            <w:r>
              <w:rPr>
                <w:rFonts w:ascii="Arial"/>
                <w:sz w:val="20"/>
              </w:rPr>
            </w:r>
          </w:p>
        </w:tc>
      </w:tr>
    </w:tbl>
    <w:p>
      <w:pPr>
        <w:spacing w:after="0" w:line="240" w:lineRule="auto"/>
        <w:jc w:val="right"/>
        <w:rPr>
          <w:rFonts w:ascii="Arial" w:hAnsi="Arial" w:cs="Arial" w:eastAsia="Arial" w:hint="default"/>
          <w:sz w:val="20"/>
          <w:szCs w:val="20"/>
        </w:rPr>
        <w:sectPr>
          <w:footerReference w:type="default" r:id="rId56"/>
          <w:pgSz w:w="11910" w:h="16850"/>
          <w:pgMar w:footer="468" w:header="957" w:top="2640" w:bottom="660" w:left="1580" w:right="1400"/>
          <w:pgNumType w:start="58"/>
        </w:sectPr>
      </w:pPr>
    </w:p>
    <w:p>
      <w:pPr>
        <w:spacing w:line="240" w:lineRule="auto" w:before="7"/>
        <w:rPr>
          <w:rFonts w:ascii="黑体" w:hAnsi="黑体" w:cs="黑体" w:eastAsia="黑体" w:hint="default"/>
          <w:b/>
          <w:bCs/>
          <w:sz w:val="12"/>
          <w:szCs w:val="12"/>
        </w:rPr>
      </w:pPr>
    </w:p>
    <w:p>
      <w:pPr>
        <w:pStyle w:val="Heading6"/>
        <w:tabs>
          <w:tab w:pos="844" w:val="left" w:leader="none"/>
        </w:tabs>
        <w:spacing w:line="240" w:lineRule="auto"/>
        <w:ind w:left="141" w:right="223"/>
        <w:jc w:val="left"/>
        <w:rPr>
          <w:b w:val="0"/>
          <w:bCs w:val="0"/>
        </w:rPr>
      </w:pPr>
      <w:r>
        <w:rPr>
          <w:w w:val="95"/>
        </w:rPr>
        <w:t>五、</w:t>
        <w:tab/>
      </w:r>
      <w:bookmarkStart w:name="五、   合并财务报表主要项目注释" w:id="56"/>
      <w:bookmarkEnd w:id="56"/>
      <w:r>
        <w:rPr/>
        <w:t>合并</w:t>
      </w:r>
      <w:r>
        <w:rPr/>
        <w:t>财务报表主要项目注释</w:t>
      </w:r>
      <w:r>
        <w:rPr>
          <w:b w:val="0"/>
          <w:bCs w:val="0"/>
        </w:rPr>
      </w:r>
    </w:p>
    <w:p>
      <w:pPr>
        <w:spacing w:line="240" w:lineRule="auto" w:before="0"/>
        <w:rPr>
          <w:rFonts w:ascii="黑体" w:hAnsi="黑体" w:cs="黑体" w:eastAsia="黑体" w:hint="default"/>
          <w:b/>
          <w:bCs/>
          <w:sz w:val="24"/>
          <w:szCs w:val="24"/>
        </w:rPr>
      </w:pPr>
    </w:p>
    <w:p>
      <w:pPr>
        <w:pStyle w:val="Heading6"/>
        <w:tabs>
          <w:tab w:pos="863" w:val="left" w:leader="none"/>
        </w:tabs>
        <w:spacing w:line="240" w:lineRule="auto" w:before="0"/>
        <w:ind w:left="141" w:right="223"/>
        <w:jc w:val="left"/>
        <w:rPr>
          <w:b w:val="0"/>
          <w:bCs w:val="0"/>
        </w:rPr>
      </w:pPr>
      <w:r>
        <w:rPr>
          <w:rFonts w:ascii="Arial" w:hAnsi="Arial" w:cs="Arial" w:eastAsia="Arial" w:hint="default"/>
          <w:spacing w:val="-1"/>
          <w:w w:val="95"/>
        </w:rPr>
        <w:t>1</w:t>
      </w:r>
      <w:r>
        <w:rPr>
          <w:spacing w:val="-1"/>
          <w:w w:val="95"/>
        </w:rPr>
        <w:t>．</w:t>
        <w:tab/>
      </w:r>
      <w:r>
        <w:rPr>
          <w:spacing w:val="1"/>
        </w:rPr>
        <w:t>货币资金</w:t>
      </w:r>
      <w:r>
        <w:rPr>
          <w:b w:val="0"/>
          <w:bCs w:val="0"/>
        </w:rPr>
      </w:r>
    </w:p>
    <w:p>
      <w:pPr>
        <w:spacing w:line="240" w:lineRule="auto" w:before="1"/>
        <w:rPr>
          <w:rFonts w:ascii="黑体" w:hAnsi="黑体" w:cs="黑体" w:eastAsia="黑体" w:hint="default"/>
          <w:b/>
          <w:bCs/>
          <w:sz w:val="5"/>
          <w:szCs w:val="5"/>
        </w:rPr>
      </w:pPr>
    </w:p>
    <w:tbl>
      <w:tblPr>
        <w:tblW w:w="0" w:type="auto"/>
        <w:jc w:val="left"/>
        <w:tblInd w:w="654" w:type="dxa"/>
        <w:tblLayout w:type="fixed"/>
        <w:tblCellMar>
          <w:top w:w="0" w:type="dxa"/>
          <w:left w:w="0" w:type="dxa"/>
          <w:bottom w:w="0" w:type="dxa"/>
          <w:right w:w="0" w:type="dxa"/>
        </w:tblCellMar>
        <w:tblLook w:val="01E0"/>
      </w:tblPr>
      <w:tblGrid>
        <w:gridCol w:w="1102"/>
        <w:gridCol w:w="1271"/>
        <w:gridCol w:w="710"/>
        <w:gridCol w:w="1257"/>
        <w:gridCol w:w="469"/>
        <w:gridCol w:w="1349"/>
        <w:gridCol w:w="714"/>
        <w:gridCol w:w="1244"/>
      </w:tblGrid>
      <w:tr>
        <w:trPr>
          <w:trHeight w:val="212" w:hRule="exact"/>
        </w:trPr>
        <w:tc>
          <w:tcPr>
            <w:tcW w:w="4340" w:type="dxa"/>
            <w:gridSpan w:val="4"/>
            <w:tcBorders>
              <w:top w:val="nil" w:sz="6" w:space="0" w:color="auto"/>
              <w:left w:val="nil" w:sz="6" w:space="0" w:color="auto"/>
              <w:bottom w:val="nil" w:sz="6" w:space="0" w:color="auto"/>
              <w:right w:val="nil" w:sz="6" w:space="0" w:color="auto"/>
            </w:tcBorders>
          </w:tcPr>
          <w:p>
            <w:pPr>
              <w:pStyle w:val="TableParagraph"/>
              <w:spacing w:line="193" w:lineRule="exact"/>
              <w:ind w:left="1935" w:right="0"/>
              <w:jc w:val="left"/>
              <w:rPr>
                <w:rFonts w:ascii="黑体" w:hAnsi="黑体" w:cs="黑体" w:eastAsia="黑体" w:hint="default"/>
                <w:sz w:val="18"/>
                <w:szCs w:val="18"/>
              </w:rPr>
            </w:pPr>
            <w:bookmarkStart w:name="1．    货币资金" w:id="57"/>
            <w:bookmarkEnd w:id="57"/>
            <w:r>
              <w:rPr/>
            </w:r>
            <w:r>
              <w:rPr>
                <w:rFonts w:ascii="Arial" w:hAnsi="Arial" w:cs="Arial" w:eastAsia="Arial" w:hint="default"/>
                <w:sz w:val="18"/>
                <w:szCs w:val="18"/>
              </w:rPr>
              <w:t>2012</w:t>
            </w:r>
            <w:r>
              <w:rPr>
                <w:rFonts w:ascii="Arial" w:hAnsi="Arial" w:cs="Arial" w:eastAsia="Arial" w:hint="default"/>
                <w:spacing w:val="-8"/>
                <w:sz w:val="18"/>
                <w:szCs w:val="18"/>
              </w:rPr>
              <w:t> </w:t>
            </w:r>
            <w:r>
              <w:rPr>
                <w:rFonts w:ascii="黑体" w:hAnsi="黑体" w:cs="黑体" w:eastAsia="黑体" w:hint="default"/>
                <w:sz w:val="18"/>
                <w:szCs w:val="18"/>
              </w:rPr>
              <w:t>年</w:t>
            </w:r>
            <w:r>
              <w:rPr>
                <w:rFonts w:ascii="黑体" w:hAnsi="黑体" w:cs="黑体" w:eastAsia="黑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黑体" w:hAnsi="黑体" w:cs="黑体" w:eastAsia="黑体" w:hint="default"/>
                <w:sz w:val="18"/>
                <w:szCs w:val="18"/>
              </w:rPr>
              <w:t>日</w:t>
            </w:r>
          </w:p>
        </w:tc>
        <w:tc>
          <w:tcPr>
            <w:tcW w:w="469" w:type="dxa"/>
            <w:tcBorders>
              <w:top w:val="nil" w:sz="6" w:space="0" w:color="auto"/>
              <w:left w:val="nil" w:sz="6" w:space="0" w:color="auto"/>
              <w:bottom w:val="nil" w:sz="6" w:space="0" w:color="auto"/>
              <w:right w:val="nil" w:sz="6" w:space="0" w:color="auto"/>
            </w:tcBorders>
          </w:tcPr>
          <w:p>
            <w:pPr/>
          </w:p>
        </w:tc>
        <w:tc>
          <w:tcPr>
            <w:tcW w:w="3307" w:type="dxa"/>
            <w:gridSpan w:val="3"/>
            <w:tcBorders>
              <w:top w:val="nil" w:sz="6" w:space="0" w:color="auto"/>
              <w:left w:val="nil" w:sz="6" w:space="0" w:color="auto"/>
              <w:bottom w:val="single" w:sz="4" w:space="0" w:color="000000"/>
              <w:right w:val="nil" w:sz="6" w:space="0" w:color="auto"/>
            </w:tcBorders>
          </w:tcPr>
          <w:p>
            <w:pPr>
              <w:pStyle w:val="TableParagraph"/>
              <w:spacing w:line="193" w:lineRule="exact"/>
              <w:ind w:left="875" w:right="0"/>
              <w:jc w:val="left"/>
              <w:rPr>
                <w:rFonts w:ascii="黑体" w:hAnsi="黑体" w:cs="黑体" w:eastAsia="黑体" w:hint="default"/>
                <w:sz w:val="18"/>
                <w:szCs w:val="18"/>
              </w:rPr>
            </w:pPr>
            <w:r>
              <w:rPr>
                <w:rFonts w:ascii="Arial" w:hAnsi="Arial" w:cs="Arial" w:eastAsia="Arial" w:hint="default"/>
                <w:sz w:val="18"/>
                <w:szCs w:val="18"/>
              </w:rPr>
              <w:t>2011</w:t>
            </w:r>
            <w:r>
              <w:rPr>
                <w:rFonts w:ascii="Arial" w:hAnsi="Arial" w:cs="Arial" w:eastAsia="Arial" w:hint="default"/>
                <w:spacing w:val="-8"/>
                <w:sz w:val="18"/>
                <w:szCs w:val="18"/>
              </w:rPr>
              <w:t> </w:t>
            </w:r>
            <w:r>
              <w:rPr>
                <w:rFonts w:ascii="黑体" w:hAnsi="黑体" w:cs="黑体" w:eastAsia="黑体" w:hint="default"/>
                <w:sz w:val="18"/>
                <w:szCs w:val="18"/>
              </w:rPr>
              <w:t>年</w:t>
            </w:r>
            <w:r>
              <w:rPr>
                <w:rFonts w:ascii="黑体" w:hAnsi="黑体" w:cs="黑体" w:eastAsia="黑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黑体" w:hAnsi="黑体" w:cs="黑体" w:eastAsia="黑体" w:hint="default"/>
                <w:sz w:val="18"/>
                <w:szCs w:val="18"/>
              </w:rPr>
              <w:t>月</w:t>
            </w:r>
            <w:r>
              <w:rPr>
                <w:rFonts w:ascii="黑体" w:hAnsi="黑体" w:cs="黑体" w:eastAsia="黑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黑体" w:hAnsi="黑体" w:cs="黑体" w:eastAsia="黑体" w:hint="default"/>
                <w:sz w:val="18"/>
                <w:szCs w:val="18"/>
              </w:rPr>
              <w:t>日</w:t>
            </w:r>
          </w:p>
        </w:tc>
      </w:tr>
      <w:tr>
        <w:trPr>
          <w:trHeight w:val="271" w:hRule="exact"/>
        </w:trPr>
        <w:tc>
          <w:tcPr>
            <w:tcW w:w="1102" w:type="dxa"/>
            <w:tcBorders>
              <w:top w:val="nil" w:sz="6" w:space="0" w:color="auto"/>
              <w:left w:val="nil" w:sz="6" w:space="0" w:color="auto"/>
              <w:bottom w:val="nil" w:sz="6" w:space="0" w:color="auto"/>
              <w:right w:val="nil" w:sz="6" w:space="0" w:color="auto"/>
            </w:tcBorders>
          </w:tcPr>
          <w:p>
            <w:pPr/>
          </w:p>
        </w:tc>
        <w:tc>
          <w:tcPr>
            <w:tcW w:w="1271" w:type="dxa"/>
            <w:tcBorders>
              <w:top w:val="single" w:sz="4" w:space="0" w:color="000000"/>
              <w:left w:val="nil" w:sz="6" w:space="0" w:color="auto"/>
              <w:bottom w:val="nil" w:sz="6" w:space="0" w:color="auto"/>
              <w:right w:val="nil" w:sz="6" w:space="0" w:color="auto"/>
            </w:tcBorders>
          </w:tcPr>
          <w:p>
            <w:pPr>
              <w:pStyle w:val="TableParagraph"/>
              <w:spacing w:line="229" w:lineRule="exact"/>
              <w:ind w:right="78"/>
              <w:jc w:val="right"/>
              <w:rPr>
                <w:rFonts w:ascii="黑体" w:hAnsi="黑体" w:cs="黑体" w:eastAsia="黑体" w:hint="default"/>
                <w:sz w:val="18"/>
                <w:szCs w:val="18"/>
              </w:rPr>
            </w:pPr>
            <w:r>
              <w:rPr>
                <w:rFonts w:ascii="黑体" w:hAnsi="黑体" w:cs="黑体" w:eastAsia="黑体" w:hint="default"/>
                <w:sz w:val="18"/>
                <w:szCs w:val="18"/>
              </w:rPr>
              <w:t>原币</w:t>
            </w:r>
          </w:p>
        </w:tc>
        <w:tc>
          <w:tcPr>
            <w:tcW w:w="710" w:type="dxa"/>
            <w:tcBorders>
              <w:top w:val="single" w:sz="4" w:space="0" w:color="000000"/>
              <w:left w:val="nil" w:sz="6" w:space="0" w:color="auto"/>
              <w:bottom w:val="nil" w:sz="6" w:space="0" w:color="auto"/>
              <w:right w:val="nil" w:sz="6" w:space="0" w:color="auto"/>
            </w:tcBorders>
          </w:tcPr>
          <w:p>
            <w:pPr>
              <w:pStyle w:val="TableParagraph"/>
              <w:spacing w:line="229" w:lineRule="exact"/>
              <w:ind w:right="80"/>
              <w:jc w:val="right"/>
              <w:rPr>
                <w:rFonts w:ascii="黑体" w:hAnsi="黑体" w:cs="黑体" w:eastAsia="黑体" w:hint="default"/>
                <w:sz w:val="18"/>
                <w:szCs w:val="18"/>
              </w:rPr>
            </w:pPr>
            <w:r>
              <w:rPr>
                <w:rFonts w:ascii="黑体" w:hAnsi="黑体" w:cs="黑体" w:eastAsia="黑体" w:hint="default"/>
                <w:sz w:val="18"/>
                <w:szCs w:val="18"/>
              </w:rPr>
              <w:t>汇率</w:t>
            </w:r>
          </w:p>
        </w:tc>
        <w:tc>
          <w:tcPr>
            <w:tcW w:w="1257" w:type="dxa"/>
            <w:tcBorders>
              <w:top w:val="single" w:sz="4" w:space="0" w:color="000000"/>
              <w:left w:val="nil" w:sz="6" w:space="0" w:color="auto"/>
              <w:bottom w:val="nil" w:sz="6" w:space="0" w:color="auto"/>
              <w:right w:val="nil" w:sz="6" w:space="0" w:color="auto"/>
            </w:tcBorders>
          </w:tcPr>
          <w:p>
            <w:pPr>
              <w:pStyle w:val="TableParagraph"/>
              <w:spacing w:line="229" w:lineRule="exact"/>
              <w:ind w:right="22"/>
              <w:jc w:val="right"/>
              <w:rPr>
                <w:rFonts w:ascii="黑体" w:hAnsi="黑体" w:cs="黑体" w:eastAsia="黑体" w:hint="default"/>
                <w:sz w:val="18"/>
                <w:szCs w:val="18"/>
              </w:rPr>
            </w:pPr>
            <w:r>
              <w:rPr>
                <w:rFonts w:ascii="黑体" w:hAnsi="黑体" w:cs="黑体" w:eastAsia="黑体" w:hint="default"/>
                <w:sz w:val="18"/>
                <w:szCs w:val="18"/>
              </w:rPr>
              <w:t>折合人民币</w:t>
            </w:r>
          </w:p>
        </w:tc>
        <w:tc>
          <w:tcPr>
            <w:tcW w:w="469" w:type="dxa"/>
            <w:tcBorders>
              <w:top w:val="nil" w:sz="6" w:space="0" w:color="auto"/>
              <w:left w:val="nil" w:sz="6" w:space="0" w:color="auto"/>
              <w:bottom w:val="nil" w:sz="6" w:space="0" w:color="auto"/>
              <w:right w:val="nil" w:sz="6" w:space="0" w:color="auto"/>
            </w:tcBorders>
          </w:tcPr>
          <w:p>
            <w:pPr/>
          </w:p>
        </w:tc>
        <w:tc>
          <w:tcPr>
            <w:tcW w:w="1349" w:type="dxa"/>
            <w:tcBorders>
              <w:top w:val="single" w:sz="4" w:space="0" w:color="000000"/>
              <w:left w:val="nil" w:sz="6" w:space="0" w:color="auto"/>
              <w:bottom w:val="nil" w:sz="6" w:space="0" w:color="auto"/>
              <w:right w:val="nil" w:sz="6" w:space="0" w:color="auto"/>
            </w:tcBorders>
          </w:tcPr>
          <w:p>
            <w:pPr>
              <w:pStyle w:val="TableParagraph"/>
              <w:spacing w:line="229" w:lineRule="exact"/>
              <w:ind w:right="73"/>
              <w:jc w:val="right"/>
              <w:rPr>
                <w:rFonts w:ascii="黑体" w:hAnsi="黑体" w:cs="黑体" w:eastAsia="黑体" w:hint="default"/>
                <w:sz w:val="18"/>
                <w:szCs w:val="18"/>
              </w:rPr>
            </w:pPr>
            <w:r>
              <w:rPr>
                <w:rFonts w:ascii="黑体" w:hAnsi="黑体" w:cs="黑体" w:eastAsia="黑体" w:hint="default"/>
                <w:sz w:val="18"/>
                <w:szCs w:val="18"/>
              </w:rPr>
              <w:t>原币</w:t>
            </w:r>
          </w:p>
        </w:tc>
        <w:tc>
          <w:tcPr>
            <w:tcW w:w="714" w:type="dxa"/>
            <w:tcBorders>
              <w:top w:val="single" w:sz="4" w:space="0" w:color="000000"/>
              <w:left w:val="nil" w:sz="6" w:space="0" w:color="auto"/>
              <w:bottom w:val="nil" w:sz="6" w:space="0" w:color="auto"/>
              <w:right w:val="nil" w:sz="6" w:space="0" w:color="auto"/>
            </w:tcBorders>
          </w:tcPr>
          <w:p>
            <w:pPr>
              <w:pStyle w:val="TableParagraph"/>
              <w:spacing w:line="229" w:lineRule="exact"/>
              <w:ind w:right="88"/>
              <w:jc w:val="right"/>
              <w:rPr>
                <w:rFonts w:ascii="黑体" w:hAnsi="黑体" w:cs="黑体" w:eastAsia="黑体" w:hint="default"/>
                <w:sz w:val="18"/>
                <w:szCs w:val="18"/>
              </w:rPr>
            </w:pPr>
            <w:r>
              <w:rPr>
                <w:rFonts w:ascii="黑体" w:hAnsi="黑体" w:cs="黑体" w:eastAsia="黑体" w:hint="default"/>
                <w:sz w:val="18"/>
                <w:szCs w:val="18"/>
              </w:rPr>
              <w:t>汇率</w:t>
            </w:r>
          </w:p>
        </w:tc>
        <w:tc>
          <w:tcPr>
            <w:tcW w:w="1244" w:type="dxa"/>
            <w:tcBorders>
              <w:top w:val="single" w:sz="4" w:space="0" w:color="000000"/>
              <w:left w:val="nil" w:sz="6" w:space="0" w:color="auto"/>
              <w:bottom w:val="nil" w:sz="6" w:space="0" w:color="auto"/>
              <w:right w:val="nil" w:sz="6" w:space="0" w:color="auto"/>
            </w:tcBorders>
          </w:tcPr>
          <w:p>
            <w:pPr>
              <w:pStyle w:val="TableParagraph"/>
              <w:spacing w:line="229" w:lineRule="exact"/>
              <w:ind w:right="0"/>
              <w:jc w:val="right"/>
              <w:rPr>
                <w:rFonts w:ascii="黑体" w:hAnsi="黑体" w:cs="黑体" w:eastAsia="黑体" w:hint="default"/>
                <w:sz w:val="18"/>
                <w:szCs w:val="18"/>
              </w:rPr>
            </w:pPr>
            <w:r>
              <w:rPr>
                <w:rFonts w:ascii="黑体" w:hAnsi="黑体" w:cs="黑体" w:eastAsia="黑体" w:hint="default"/>
                <w:sz w:val="18"/>
                <w:szCs w:val="18"/>
              </w:rPr>
              <w:t>折合人民币</w:t>
            </w:r>
          </w:p>
        </w:tc>
      </w:tr>
      <w:tr>
        <w:trPr>
          <w:trHeight w:val="254"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17" w:lineRule="exact"/>
              <w:ind w:left="209" w:right="0"/>
              <w:jc w:val="left"/>
              <w:rPr>
                <w:rFonts w:ascii="黑体" w:hAnsi="黑体" w:cs="黑体" w:eastAsia="黑体" w:hint="default"/>
                <w:sz w:val="18"/>
                <w:szCs w:val="18"/>
              </w:rPr>
            </w:pPr>
            <w:r>
              <w:rPr>
                <w:rFonts w:ascii="黑体" w:hAnsi="黑体" w:cs="黑体" w:eastAsia="黑体" w:hint="default"/>
                <w:sz w:val="18"/>
                <w:szCs w:val="18"/>
              </w:rPr>
              <w:t>现金</w:t>
            </w:r>
          </w:p>
        </w:tc>
        <w:tc>
          <w:tcPr>
            <w:tcW w:w="1271"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1257" w:type="dxa"/>
            <w:tcBorders>
              <w:top w:val="nil" w:sz="6" w:space="0" w:color="auto"/>
              <w:left w:val="nil" w:sz="6" w:space="0" w:color="auto"/>
              <w:bottom w:val="nil" w:sz="6" w:space="0" w:color="auto"/>
              <w:right w:val="nil" w:sz="6" w:space="0" w:color="auto"/>
            </w:tcBorders>
          </w:tcPr>
          <w:p>
            <w:pPr/>
          </w:p>
        </w:tc>
        <w:tc>
          <w:tcPr>
            <w:tcW w:w="469"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
        </w:tc>
        <w:tc>
          <w:tcPr>
            <w:tcW w:w="714"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
        </w:tc>
      </w:tr>
      <w:tr>
        <w:trPr>
          <w:trHeight w:val="266"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30" w:lineRule="exact"/>
              <w:ind w:left="209"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人民币</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75"/>
              <w:jc w:val="right"/>
              <w:rPr>
                <w:rFonts w:ascii="Arial" w:hAnsi="Arial" w:cs="Arial" w:eastAsia="Arial" w:hint="default"/>
                <w:sz w:val="18"/>
                <w:szCs w:val="18"/>
              </w:rPr>
            </w:pPr>
            <w:r>
              <w:rPr>
                <w:rFonts w:ascii="Arial"/>
                <w:spacing w:val="-1"/>
                <w:sz w:val="18"/>
              </w:rPr>
              <w:t>3,214,214</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78"/>
              <w:jc w:val="right"/>
              <w:rPr>
                <w:rFonts w:ascii="Arial" w:hAnsi="Arial" w:cs="Arial" w:eastAsia="Arial" w:hint="default"/>
                <w:sz w:val="18"/>
                <w:szCs w:val="18"/>
              </w:rPr>
            </w:pPr>
            <w:r>
              <w:rPr>
                <w:rFonts w:ascii="Arial"/>
                <w:spacing w:val="-1"/>
                <w:sz w:val="18"/>
              </w:rPr>
              <w:t>1.0000</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9"/>
              <w:jc w:val="right"/>
              <w:rPr>
                <w:rFonts w:ascii="Arial" w:hAnsi="Arial" w:cs="Arial" w:eastAsia="Arial" w:hint="default"/>
                <w:sz w:val="18"/>
                <w:szCs w:val="18"/>
              </w:rPr>
            </w:pPr>
            <w:r>
              <w:rPr>
                <w:rFonts w:ascii="Arial"/>
                <w:spacing w:val="-1"/>
                <w:sz w:val="18"/>
              </w:rPr>
              <w:t>3,214,214</w:t>
            </w:r>
          </w:p>
        </w:tc>
        <w:tc>
          <w:tcPr>
            <w:tcW w:w="469"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56"/>
              <w:jc w:val="right"/>
              <w:rPr>
                <w:rFonts w:ascii="Arial" w:hAnsi="Arial" w:cs="Arial" w:eastAsia="Arial" w:hint="default"/>
                <w:sz w:val="18"/>
                <w:szCs w:val="18"/>
              </w:rPr>
            </w:pPr>
            <w:r>
              <w:rPr>
                <w:rFonts w:ascii="Arial"/>
                <w:spacing w:val="-1"/>
                <w:sz w:val="18"/>
              </w:rPr>
              <w:t>2,435,237</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87"/>
              <w:jc w:val="right"/>
              <w:rPr>
                <w:rFonts w:ascii="Arial" w:hAnsi="Arial" w:cs="Arial" w:eastAsia="Arial" w:hint="default"/>
                <w:sz w:val="18"/>
                <w:szCs w:val="18"/>
              </w:rPr>
            </w:pPr>
            <w:r>
              <w:rPr>
                <w:rFonts w:ascii="Arial"/>
                <w:spacing w:val="-1"/>
                <w:sz w:val="18"/>
              </w:rPr>
              <w:t>1.0000</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0"/>
              <w:jc w:val="right"/>
              <w:rPr>
                <w:rFonts w:ascii="Arial" w:hAnsi="Arial" w:cs="Arial" w:eastAsia="Arial" w:hint="default"/>
                <w:sz w:val="18"/>
                <w:szCs w:val="18"/>
              </w:rPr>
            </w:pPr>
            <w:r>
              <w:rPr>
                <w:rFonts w:ascii="Arial"/>
                <w:spacing w:val="-1"/>
                <w:sz w:val="18"/>
              </w:rPr>
              <w:t>2,435,237</w:t>
            </w:r>
          </w:p>
        </w:tc>
      </w:tr>
      <w:tr>
        <w:trPr>
          <w:trHeight w:val="256"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18" w:lineRule="exact"/>
              <w:ind w:left="209"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新币</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8"/>
              <w:jc w:val="right"/>
              <w:rPr>
                <w:rFonts w:ascii="Arial" w:hAnsi="Arial" w:cs="Arial" w:eastAsia="Arial" w:hint="default"/>
                <w:sz w:val="18"/>
                <w:szCs w:val="18"/>
              </w:rPr>
            </w:pPr>
            <w:r>
              <w:rPr>
                <w:rFonts w:ascii="Arial"/>
                <w:w w:val="99"/>
                <w:sz w:val="18"/>
              </w:rPr>
              <w:t>-</w:t>
            </w:r>
            <w:r>
              <w:rPr>
                <w:rFonts w:ascii="Arial"/>
                <w:sz w:val="18"/>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8"/>
              <w:jc w:val="right"/>
              <w:rPr>
                <w:rFonts w:ascii="Arial" w:hAnsi="Arial" w:cs="Arial" w:eastAsia="Arial" w:hint="default"/>
                <w:sz w:val="18"/>
                <w:szCs w:val="18"/>
              </w:rPr>
            </w:pPr>
            <w:r>
              <w:rPr>
                <w:rFonts w:ascii="Arial"/>
                <w:spacing w:val="-1"/>
                <w:sz w:val="18"/>
              </w:rPr>
              <w:t>5.0929</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2"/>
              <w:jc w:val="right"/>
              <w:rPr>
                <w:rFonts w:ascii="Arial" w:hAnsi="Arial" w:cs="Arial" w:eastAsia="Arial" w:hint="default"/>
                <w:sz w:val="18"/>
                <w:szCs w:val="18"/>
              </w:rPr>
            </w:pPr>
            <w:r>
              <w:rPr>
                <w:rFonts w:ascii="Arial"/>
                <w:w w:val="99"/>
                <w:sz w:val="18"/>
              </w:rPr>
              <w:t>-</w:t>
            </w:r>
            <w:r>
              <w:rPr>
                <w:rFonts w:ascii="Arial"/>
                <w:sz w:val="18"/>
              </w:rPr>
            </w:r>
          </w:p>
        </w:tc>
        <w:tc>
          <w:tcPr>
            <w:tcW w:w="469"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6"/>
              <w:jc w:val="right"/>
              <w:rPr>
                <w:rFonts w:ascii="Arial" w:hAnsi="Arial" w:cs="Arial" w:eastAsia="Arial" w:hint="default"/>
                <w:sz w:val="18"/>
                <w:szCs w:val="18"/>
              </w:rPr>
            </w:pPr>
            <w:r>
              <w:rPr>
                <w:rFonts w:ascii="Arial"/>
                <w:w w:val="95"/>
                <w:sz w:val="18"/>
              </w:rPr>
              <w:t>919</w:t>
            </w:r>
            <w:r>
              <w:rPr>
                <w:rFonts w:ascii="Arial"/>
                <w:sz w:val="18"/>
              </w:rPr>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87"/>
              <w:jc w:val="right"/>
              <w:rPr>
                <w:rFonts w:ascii="Arial" w:hAnsi="Arial" w:cs="Arial" w:eastAsia="Arial" w:hint="default"/>
                <w:sz w:val="18"/>
                <w:szCs w:val="18"/>
              </w:rPr>
            </w:pPr>
            <w:r>
              <w:rPr>
                <w:rFonts w:ascii="Arial"/>
                <w:spacing w:val="-1"/>
                <w:sz w:val="18"/>
              </w:rPr>
              <w:t>4.8679</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0"/>
              <w:jc w:val="right"/>
              <w:rPr>
                <w:rFonts w:ascii="Arial" w:hAnsi="Arial" w:cs="Arial" w:eastAsia="Arial" w:hint="default"/>
                <w:sz w:val="18"/>
                <w:szCs w:val="18"/>
              </w:rPr>
            </w:pPr>
            <w:r>
              <w:rPr>
                <w:rFonts w:ascii="Arial"/>
                <w:w w:val="95"/>
                <w:sz w:val="18"/>
              </w:rPr>
              <w:t>4,473</w:t>
            </w:r>
            <w:r>
              <w:rPr>
                <w:rFonts w:ascii="Arial"/>
                <w:sz w:val="18"/>
              </w:rPr>
            </w:r>
          </w:p>
        </w:tc>
      </w:tr>
      <w:tr>
        <w:trPr>
          <w:trHeight w:val="256"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20" w:lineRule="exact"/>
              <w:ind w:left="209"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港币</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76"/>
              <w:jc w:val="right"/>
              <w:rPr>
                <w:rFonts w:ascii="Arial" w:hAnsi="Arial" w:cs="Arial" w:eastAsia="Arial" w:hint="default"/>
                <w:sz w:val="18"/>
                <w:szCs w:val="18"/>
              </w:rPr>
            </w:pPr>
            <w:r>
              <w:rPr>
                <w:rFonts w:ascii="Arial"/>
                <w:spacing w:val="-1"/>
                <w:sz w:val="18"/>
              </w:rPr>
              <w:t>32,552</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78"/>
              <w:jc w:val="right"/>
              <w:rPr>
                <w:rFonts w:ascii="Arial" w:hAnsi="Arial" w:cs="Arial" w:eastAsia="Arial" w:hint="default"/>
                <w:sz w:val="18"/>
                <w:szCs w:val="18"/>
              </w:rPr>
            </w:pPr>
            <w:r>
              <w:rPr>
                <w:rFonts w:ascii="Arial"/>
                <w:spacing w:val="-1"/>
                <w:sz w:val="18"/>
              </w:rPr>
              <w:t>0.8108</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0"/>
              <w:jc w:val="right"/>
              <w:rPr>
                <w:rFonts w:ascii="Arial" w:hAnsi="Arial" w:cs="Arial" w:eastAsia="Arial" w:hint="default"/>
                <w:sz w:val="18"/>
                <w:szCs w:val="18"/>
              </w:rPr>
            </w:pPr>
            <w:r>
              <w:rPr>
                <w:rFonts w:ascii="Arial"/>
                <w:spacing w:val="-1"/>
                <w:sz w:val="18"/>
              </w:rPr>
              <w:t>26,393</w:t>
            </w:r>
          </w:p>
        </w:tc>
        <w:tc>
          <w:tcPr>
            <w:tcW w:w="469"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7"/>
              <w:jc w:val="right"/>
              <w:rPr>
                <w:rFonts w:ascii="Arial" w:hAnsi="Arial" w:cs="Arial" w:eastAsia="Arial" w:hint="default"/>
                <w:sz w:val="18"/>
                <w:szCs w:val="18"/>
              </w:rPr>
            </w:pPr>
            <w:r>
              <w:rPr>
                <w:rFonts w:ascii="Arial"/>
                <w:spacing w:val="-1"/>
                <w:sz w:val="18"/>
              </w:rPr>
              <w:t>15,510</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87"/>
              <w:jc w:val="right"/>
              <w:rPr>
                <w:rFonts w:ascii="Arial" w:hAnsi="Arial" w:cs="Arial" w:eastAsia="Arial" w:hint="default"/>
                <w:sz w:val="18"/>
                <w:szCs w:val="18"/>
              </w:rPr>
            </w:pPr>
            <w:r>
              <w:rPr>
                <w:rFonts w:ascii="Arial"/>
                <w:spacing w:val="-1"/>
                <w:sz w:val="18"/>
              </w:rPr>
              <w:t>0.8107</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0"/>
              <w:jc w:val="right"/>
              <w:rPr>
                <w:rFonts w:ascii="Arial" w:hAnsi="Arial" w:cs="Arial" w:eastAsia="Arial" w:hint="default"/>
                <w:sz w:val="18"/>
                <w:szCs w:val="18"/>
              </w:rPr>
            </w:pPr>
            <w:r>
              <w:rPr>
                <w:rFonts w:ascii="Arial"/>
                <w:spacing w:val="-1"/>
                <w:sz w:val="18"/>
              </w:rPr>
              <w:t>12,574</w:t>
            </w:r>
          </w:p>
        </w:tc>
      </w:tr>
      <w:tr>
        <w:trPr>
          <w:trHeight w:val="254"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18" w:lineRule="exact"/>
              <w:ind w:left="209"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日元</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6"/>
              <w:jc w:val="right"/>
              <w:rPr>
                <w:rFonts w:ascii="Arial" w:hAnsi="Arial" w:cs="Arial" w:eastAsia="Arial" w:hint="default"/>
                <w:sz w:val="18"/>
                <w:szCs w:val="18"/>
              </w:rPr>
            </w:pPr>
            <w:r>
              <w:rPr>
                <w:rFonts w:ascii="Arial"/>
                <w:w w:val="95"/>
                <w:sz w:val="18"/>
              </w:rPr>
              <w:t>7,761</w:t>
            </w:r>
            <w:r>
              <w:rPr>
                <w:rFonts w:ascii="Arial"/>
                <w:sz w:val="18"/>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8"/>
              <w:jc w:val="right"/>
              <w:rPr>
                <w:rFonts w:ascii="Arial" w:hAnsi="Arial" w:cs="Arial" w:eastAsia="Arial" w:hint="default"/>
                <w:sz w:val="18"/>
                <w:szCs w:val="18"/>
              </w:rPr>
            </w:pPr>
            <w:r>
              <w:rPr>
                <w:rFonts w:ascii="Arial"/>
                <w:spacing w:val="-1"/>
                <w:sz w:val="18"/>
              </w:rPr>
              <w:t>0.0730</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9"/>
              <w:jc w:val="right"/>
              <w:rPr>
                <w:rFonts w:ascii="Arial" w:hAnsi="Arial" w:cs="Arial" w:eastAsia="Arial" w:hint="default"/>
                <w:sz w:val="18"/>
                <w:szCs w:val="18"/>
              </w:rPr>
            </w:pPr>
            <w:r>
              <w:rPr>
                <w:rFonts w:ascii="Arial"/>
                <w:w w:val="95"/>
                <w:sz w:val="18"/>
              </w:rPr>
              <w:t>567</w:t>
            </w:r>
            <w:r>
              <w:rPr>
                <w:rFonts w:ascii="Arial"/>
                <w:sz w:val="18"/>
              </w:rPr>
            </w:r>
          </w:p>
        </w:tc>
        <w:tc>
          <w:tcPr>
            <w:tcW w:w="469"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6"/>
              <w:jc w:val="right"/>
              <w:rPr>
                <w:rFonts w:ascii="Arial" w:hAnsi="Arial" w:cs="Arial" w:eastAsia="Arial" w:hint="default"/>
                <w:sz w:val="18"/>
                <w:szCs w:val="18"/>
              </w:rPr>
            </w:pPr>
            <w:r>
              <w:rPr>
                <w:rFonts w:ascii="Arial"/>
                <w:w w:val="95"/>
                <w:sz w:val="18"/>
              </w:rPr>
              <w:t>8,461</w:t>
            </w:r>
            <w:r>
              <w:rPr>
                <w:rFonts w:ascii="Arial"/>
                <w:sz w:val="18"/>
              </w:rPr>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87"/>
              <w:jc w:val="right"/>
              <w:rPr>
                <w:rFonts w:ascii="Arial" w:hAnsi="Arial" w:cs="Arial" w:eastAsia="Arial" w:hint="default"/>
                <w:sz w:val="18"/>
                <w:szCs w:val="18"/>
              </w:rPr>
            </w:pPr>
            <w:r>
              <w:rPr>
                <w:rFonts w:ascii="Arial"/>
                <w:spacing w:val="-1"/>
                <w:sz w:val="18"/>
              </w:rPr>
              <w:t>0.0811</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0"/>
              <w:jc w:val="right"/>
              <w:rPr>
                <w:rFonts w:ascii="Arial" w:hAnsi="Arial" w:cs="Arial" w:eastAsia="Arial" w:hint="default"/>
                <w:sz w:val="18"/>
                <w:szCs w:val="18"/>
              </w:rPr>
            </w:pPr>
            <w:r>
              <w:rPr>
                <w:rFonts w:ascii="Arial"/>
                <w:w w:val="95"/>
                <w:sz w:val="18"/>
              </w:rPr>
              <w:t>686</w:t>
            </w:r>
            <w:r>
              <w:rPr>
                <w:rFonts w:ascii="Arial"/>
                <w:sz w:val="18"/>
              </w:rPr>
            </w:r>
          </w:p>
        </w:tc>
      </w:tr>
      <w:tr>
        <w:trPr>
          <w:trHeight w:val="254"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18" w:lineRule="exact"/>
              <w:ind w:left="209"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澳门元</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6"/>
              <w:jc w:val="right"/>
              <w:rPr>
                <w:rFonts w:ascii="Arial" w:hAnsi="Arial" w:cs="Arial" w:eastAsia="Arial" w:hint="default"/>
                <w:sz w:val="18"/>
                <w:szCs w:val="18"/>
              </w:rPr>
            </w:pPr>
            <w:r>
              <w:rPr>
                <w:rFonts w:ascii="Arial"/>
                <w:spacing w:val="-1"/>
                <w:sz w:val="18"/>
              </w:rPr>
              <w:t>12,215</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8"/>
              <w:jc w:val="right"/>
              <w:rPr>
                <w:rFonts w:ascii="Arial" w:hAnsi="Arial" w:cs="Arial" w:eastAsia="Arial" w:hint="default"/>
                <w:sz w:val="18"/>
                <w:szCs w:val="18"/>
              </w:rPr>
            </w:pPr>
            <w:r>
              <w:rPr>
                <w:rFonts w:ascii="Arial"/>
                <w:spacing w:val="-1"/>
                <w:sz w:val="18"/>
              </w:rPr>
              <w:t>0.7804</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9"/>
              <w:jc w:val="right"/>
              <w:rPr>
                <w:rFonts w:ascii="Arial" w:hAnsi="Arial" w:cs="Arial" w:eastAsia="Arial" w:hint="default"/>
                <w:sz w:val="18"/>
                <w:szCs w:val="18"/>
              </w:rPr>
            </w:pPr>
            <w:r>
              <w:rPr>
                <w:rFonts w:ascii="Arial"/>
                <w:w w:val="95"/>
                <w:sz w:val="18"/>
              </w:rPr>
              <w:t>9,533</w:t>
            </w:r>
            <w:r>
              <w:rPr>
                <w:rFonts w:ascii="Arial"/>
                <w:sz w:val="18"/>
              </w:rPr>
            </w:r>
          </w:p>
        </w:tc>
        <w:tc>
          <w:tcPr>
            <w:tcW w:w="469"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6"/>
              <w:jc w:val="right"/>
              <w:rPr>
                <w:rFonts w:ascii="Arial" w:hAnsi="Arial" w:cs="Arial" w:eastAsia="Arial" w:hint="default"/>
                <w:sz w:val="18"/>
                <w:szCs w:val="18"/>
              </w:rPr>
            </w:pPr>
            <w:r>
              <w:rPr>
                <w:rFonts w:ascii="Arial"/>
                <w:w w:val="95"/>
                <w:sz w:val="18"/>
              </w:rPr>
              <w:t>7,608</w:t>
            </w:r>
            <w:r>
              <w:rPr>
                <w:rFonts w:ascii="Arial"/>
                <w:sz w:val="18"/>
              </w:rPr>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87"/>
              <w:jc w:val="right"/>
              <w:rPr>
                <w:rFonts w:ascii="Arial" w:hAnsi="Arial" w:cs="Arial" w:eastAsia="Arial" w:hint="default"/>
                <w:sz w:val="18"/>
                <w:szCs w:val="18"/>
              </w:rPr>
            </w:pPr>
            <w:r>
              <w:rPr>
                <w:rFonts w:ascii="Arial"/>
                <w:spacing w:val="-1"/>
                <w:sz w:val="18"/>
              </w:rPr>
              <w:t>0.7886</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0"/>
              <w:jc w:val="right"/>
              <w:rPr>
                <w:rFonts w:ascii="Arial" w:hAnsi="Arial" w:cs="Arial" w:eastAsia="Arial" w:hint="default"/>
                <w:sz w:val="18"/>
                <w:szCs w:val="18"/>
              </w:rPr>
            </w:pPr>
            <w:r>
              <w:rPr>
                <w:rFonts w:ascii="Arial"/>
                <w:spacing w:val="-1"/>
                <w:sz w:val="18"/>
              </w:rPr>
              <w:t>6,000</w:t>
            </w:r>
          </w:p>
        </w:tc>
      </w:tr>
      <w:tr>
        <w:trPr>
          <w:trHeight w:val="394"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18" w:lineRule="exact"/>
              <w:ind w:left="209"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台币</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6"/>
              <w:jc w:val="right"/>
              <w:rPr>
                <w:rFonts w:ascii="Arial" w:hAnsi="Arial" w:cs="Arial" w:eastAsia="Arial" w:hint="default"/>
                <w:sz w:val="18"/>
                <w:szCs w:val="18"/>
              </w:rPr>
            </w:pPr>
            <w:r>
              <w:rPr>
                <w:rFonts w:ascii="Arial"/>
                <w:spacing w:val="-1"/>
                <w:sz w:val="18"/>
              </w:rPr>
              <w:t>13,719</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8"/>
              <w:jc w:val="right"/>
              <w:rPr>
                <w:rFonts w:ascii="Arial" w:hAnsi="Arial" w:cs="Arial" w:eastAsia="Arial" w:hint="default"/>
                <w:sz w:val="18"/>
                <w:szCs w:val="18"/>
              </w:rPr>
            </w:pPr>
            <w:r>
              <w:rPr>
                <w:rFonts w:ascii="Arial"/>
                <w:spacing w:val="-1"/>
                <w:sz w:val="18"/>
              </w:rPr>
              <w:t>0.2147</w:t>
            </w:r>
          </w:p>
        </w:tc>
        <w:tc>
          <w:tcPr>
            <w:tcW w:w="1257" w:type="dxa"/>
            <w:tcBorders>
              <w:top w:val="nil" w:sz="6" w:space="0" w:color="auto"/>
              <w:left w:val="nil" w:sz="6" w:space="0" w:color="auto"/>
              <w:bottom w:val="nil" w:sz="6" w:space="0" w:color="auto"/>
              <w:right w:val="nil" w:sz="6" w:space="0" w:color="auto"/>
            </w:tcBorders>
          </w:tcPr>
          <w:p>
            <w:pPr>
              <w:pStyle w:val="TableParagraph"/>
              <w:tabs>
                <w:tab w:pos="722" w:val="left" w:leader="none"/>
              </w:tabs>
              <w:spacing w:line="240" w:lineRule="auto" w:before="26"/>
              <w:ind w:right="1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2,945</w:t>
            </w:r>
            <w:r>
              <w:rPr>
                <w:rFonts w:ascii="Arial"/>
                <w:spacing w:val="-1"/>
                <w:sz w:val="18"/>
              </w:rPr>
            </w:r>
          </w:p>
        </w:tc>
        <w:tc>
          <w:tcPr>
            <w:tcW w:w="469"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9"/>
              <w:jc w:val="right"/>
              <w:rPr>
                <w:rFonts w:ascii="Arial" w:hAnsi="Arial" w:cs="Arial" w:eastAsia="Arial" w:hint="default"/>
                <w:sz w:val="18"/>
                <w:szCs w:val="18"/>
              </w:rPr>
            </w:pPr>
            <w:r>
              <w:rPr>
                <w:rFonts w:ascii="Arial"/>
                <w:w w:val="99"/>
                <w:sz w:val="18"/>
              </w:rPr>
              <w:t>-</w:t>
            </w:r>
            <w:r>
              <w:rPr>
                <w:rFonts w:ascii="Arial"/>
                <w:sz w:val="18"/>
              </w:rPr>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88"/>
              <w:jc w:val="right"/>
              <w:rPr>
                <w:rFonts w:ascii="Arial" w:hAnsi="Arial" w:cs="Arial" w:eastAsia="Arial" w:hint="default"/>
                <w:sz w:val="18"/>
                <w:szCs w:val="18"/>
              </w:rPr>
            </w:pPr>
            <w:r>
              <w:rPr>
                <w:rFonts w:ascii="Arial"/>
                <w:w w:val="99"/>
                <w:sz w:val="18"/>
              </w:rPr>
              <w:t>-</w:t>
            </w:r>
            <w:r>
              <w:rPr>
                <w:rFonts w:ascii="Arial"/>
                <w:sz w:val="18"/>
              </w:rPr>
            </w:r>
          </w:p>
        </w:tc>
        <w:tc>
          <w:tcPr>
            <w:tcW w:w="1244" w:type="dxa"/>
            <w:tcBorders>
              <w:top w:val="nil" w:sz="6" w:space="0" w:color="auto"/>
              <w:left w:val="nil" w:sz="6" w:space="0" w:color="auto"/>
              <w:bottom w:val="nil" w:sz="6" w:space="0" w:color="auto"/>
              <w:right w:val="nil" w:sz="6" w:space="0" w:color="auto"/>
            </w:tcBorders>
          </w:tcPr>
          <w:p>
            <w:pPr>
              <w:pStyle w:val="TableParagraph"/>
              <w:tabs>
                <w:tab w:pos="976" w:val="left" w:leader="none"/>
              </w:tabs>
              <w:spacing w:line="240" w:lineRule="auto" w:before="26"/>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r>
      <w:tr>
        <w:trPr>
          <w:trHeight w:val="498" w:hRule="exact"/>
        </w:trPr>
        <w:tc>
          <w:tcPr>
            <w:tcW w:w="1102"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1257" w:type="dxa"/>
            <w:tcBorders>
              <w:top w:val="nil" w:sz="6" w:space="0" w:color="auto"/>
              <w:left w:val="nil" w:sz="6" w:space="0" w:color="auto"/>
              <w:bottom w:val="nil" w:sz="6" w:space="0" w:color="auto"/>
              <w:right w:val="nil" w:sz="6" w:space="0" w:color="auto"/>
            </w:tcBorders>
          </w:tcPr>
          <w:p>
            <w:pPr>
              <w:pStyle w:val="TableParagraph"/>
              <w:tabs>
                <w:tab w:pos="362" w:val="left" w:leader="none"/>
              </w:tabs>
              <w:spacing w:line="240" w:lineRule="auto" w:before="142"/>
              <w:ind w:right="1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3,253,652</w:t>
            </w:r>
            <w:r>
              <w:rPr>
                <w:rFonts w:ascii="Arial"/>
                <w:spacing w:val="-1"/>
                <w:sz w:val="18"/>
              </w:rPr>
            </w:r>
          </w:p>
        </w:tc>
        <w:tc>
          <w:tcPr>
            <w:tcW w:w="469"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
        </w:tc>
        <w:tc>
          <w:tcPr>
            <w:tcW w:w="714"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Style w:val="TableParagraph"/>
              <w:tabs>
                <w:tab w:pos="266" w:val="left" w:leader="none"/>
              </w:tabs>
              <w:spacing w:line="240" w:lineRule="auto" w:before="142"/>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2,458,970</w:t>
            </w:r>
            <w:r>
              <w:rPr>
                <w:rFonts w:ascii="Arial"/>
                <w:spacing w:val="-1"/>
                <w:sz w:val="18"/>
              </w:rPr>
            </w:r>
          </w:p>
        </w:tc>
      </w:tr>
      <w:tr>
        <w:trPr>
          <w:trHeight w:val="371"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09" w:right="0"/>
              <w:jc w:val="left"/>
              <w:rPr>
                <w:rFonts w:ascii="黑体" w:hAnsi="黑体" w:cs="黑体" w:eastAsia="黑体" w:hint="default"/>
                <w:sz w:val="18"/>
                <w:szCs w:val="18"/>
              </w:rPr>
            </w:pPr>
            <w:r>
              <w:rPr>
                <w:rFonts w:ascii="黑体" w:hAnsi="黑体" w:cs="黑体" w:eastAsia="黑体" w:hint="default"/>
                <w:sz w:val="18"/>
                <w:szCs w:val="18"/>
              </w:rPr>
              <w:t>银行存款</w:t>
            </w:r>
          </w:p>
        </w:tc>
        <w:tc>
          <w:tcPr>
            <w:tcW w:w="1271"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1257" w:type="dxa"/>
            <w:tcBorders>
              <w:top w:val="nil" w:sz="6" w:space="0" w:color="auto"/>
              <w:left w:val="nil" w:sz="6" w:space="0" w:color="auto"/>
              <w:bottom w:val="nil" w:sz="6" w:space="0" w:color="auto"/>
              <w:right w:val="nil" w:sz="6" w:space="0" w:color="auto"/>
            </w:tcBorders>
          </w:tcPr>
          <w:p>
            <w:pPr/>
          </w:p>
        </w:tc>
        <w:tc>
          <w:tcPr>
            <w:tcW w:w="469"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
        </w:tc>
        <w:tc>
          <w:tcPr>
            <w:tcW w:w="714"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
        </w:tc>
      </w:tr>
      <w:tr>
        <w:trPr>
          <w:trHeight w:val="267"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31" w:lineRule="exact"/>
              <w:ind w:left="209"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人民币</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75"/>
              <w:jc w:val="right"/>
              <w:rPr>
                <w:rFonts w:ascii="Arial" w:hAnsi="Arial" w:cs="Arial" w:eastAsia="Arial" w:hint="default"/>
                <w:sz w:val="18"/>
                <w:szCs w:val="18"/>
              </w:rPr>
            </w:pPr>
            <w:r>
              <w:rPr>
                <w:rFonts w:ascii="Arial"/>
                <w:spacing w:val="-1"/>
                <w:sz w:val="18"/>
              </w:rPr>
              <w:t>1,640,345,003</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78"/>
              <w:jc w:val="right"/>
              <w:rPr>
                <w:rFonts w:ascii="Arial" w:hAnsi="Arial" w:cs="Arial" w:eastAsia="Arial" w:hint="default"/>
                <w:sz w:val="18"/>
                <w:szCs w:val="18"/>
              </w:rPr>
            </w:pPr>
            <w:r>
              <w:rPr>
                <w:rFonts w:ascii="Arial"/>
                <w:spacing w:val="-1"/>
                <w:sz w:val="18"/>
              </w:rPr>
              <w:t>1.0000</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9"/>
              <w:jc w:val="right"/>
              <w:rPr>
                <w:rFonts w:ascii="Arial" w:hAnsi="Arial" w:cs="Arial" w:eastAsia="Arial" w:hint="default"/>
                <w:sz w:val="18"/>
                <w:szCs w:val="18"/>
              </w:rPr>
            </w:pPr>
            <w:r>
              <w:rPr>
                <w:rFonts w:ascii="Arial"/>
                <w:spacing w:val="-1"/>
                <w:sz w:val="18"/>
              </w:rPr>
              <w:t>1,640,345,003</w:t>
            </w:r>
          </w:p>
        </w:tc>
        <w:tc>
          <w:tcPr>
            <w:tcW w:w="18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8"/>
              <w:ind w:left="604" w:right="0"/>
              <w:jc w:val="left"/>
              <w:rPr>
                <w:rFonts w:ascii="Arial" w:hAnsi="Arial" w:cs="Arial" w:eastAsia="Arial" w:hint="default"/>
                <w:sz w:val="18"/>
                <w:szCs w:val="18"/>
              </w:rPr>
            </w:pPr>
            <w:r>
              <w:rPr>
                <w:rFonts w:ascii="Arial"/>
                <w:sz w:val="18"/>
              </w:rPr>
              <w:t>1,363,228,433</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87"/>
              <w:jc w:val="right"/>
              <w:rPr>
                <w:rFonts w:ascii="Arial" w:hAnsi="Arial" w:cs="Arial" w:eastAsia="Arial" w:hint="default"/>
                <w:sz w:val="18"/>
                <w:szCs w:val="18"/>
              </w:rPr>
            </w:pPr>
            <w:r>
              <w:rPr>
                <w:rFonts w:ascii="Arial"/>
                <w:spacing w:val="-1"/>
                <w:sz w:val="18"/>
              </w:rPr>
              <w:t>1.0000</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right"/>
              <w:rPr>
                <w:rFonts w:ascii="Arial" w:hAnsi="Arial" w:cs="Arial" w:eastAsia="Arial" w:hint="default"/>
                <w:sz w:val="18"/>
                <w:szCs w:val="18"/>
              </w:rPr>
            </w:pPr>
            <w:r>
              <w:rPr>
                <w:rFonts w:ascii="Arial"/>
                <w:spacing w:val="-1"/>
                <w:sz w:val="18"/>
              </w:rPr>
              <w:t>1,363,228,433</w:t>
            </w:r>
          </w:p>
        </w:tc>
      </w:tr>
      <w:tr>
        <w:trPr>
          <w:trHeight w:val="254"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18" w:lineRule="exact"/>
              <w:ind w:left="209"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美元</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5"/>
              <w:jc w:val="right"/>
              <w:rPr>
                <w:rFonts w:ascii="Arial" w:hAnsi="Arial" w:cs="Arial" w:eastAsia="Arial" w:hint="default"/>
                <w:sz w:val="18"/>
                <w:szCs w:val="18"/>
              </w:rPr>
            </w:pPr>
            <w:r>
              <w:rPr>
                <w:rFonts w:ascii="Arial"/>
                <w:spacing w:val="-1"/>
                <w:sz w:val="18"/>
              </w:rPr>
              <w:t>1,307,986</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8"/>
              <w:jc w:val="right"/>
              <w:rPr>
                <w:rFonts w:ascii="Arial" w:hAnsi="Arial" w:cs="Arial" w:eastAsia="Arial" w:hint="default"/>
                <w:sz w:val="18"/>
                <w:szCs w:val="18"/>
              </w:rPr>
            </w:pPr>
            <w:r>
              <w:rPr>
                <w:rFonts w:ascii="Arial"/>
                <w:spacing w:val="-1"/>
                <w:sz w:val="18"/>
              </w:rPr>
              <w:t>6.2855</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9"/>
              <w:jc w:val="right"/>
              <w:rPr>
                <w:rFonts w:ascii="Arial" w:hAnsi="Arial" w:cs="Arial" w:eastAsia="Arial" w:hint="default"/>
                <w:sz w:val="18"/>
                <w:szCs w:val="18"/>
              </w:rPr>
            </w:pPr>
            <w:r>
              <w:rPr>
                <w:rFonts w:ascii="Arial"/>
                <w:spacing w:val="-1"/>
                <w:sz w:val="18"/>
              </w:rPr>
              <w:t>8,221,346</w:t>
            </w:r>
          </w:p>
        </w:tc>
        <w:tc>
          <w:tcPr>
            <w:tcW w:w="469"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6"/>
              <w:jc w:val="right"/>
              <w:rPr>
                <w:rFonts w:ascii="Arial" w:hAnsi="Arial" w:cs="Arial" w:eastAsia="Arial" w:hint="default"/>
                <w:sz w:val="18"/>
                <w:szCs w:val="18"/>
              </w:rPr>
            </w:pPr>
            <w:r>
              <w:rPr>
                <w:rFonts w:ascii="Arial"/>
                <w:spacing w:val="-1"/>
                <w:sz w:val="18"/>
              </w:rPr>
              <w:t>1,628,049</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87"/>
              <w:jc w:val="right"/>
              <w:rPr>
                <w:rFonts w:ascii="Arial" w:hAnsi="Arial" w:cs="Arial" w:eastAsia="Arial" w:hint="default"/>
                <w:sz w:val="18"/>
                <w:szCs w:val="18"/>
              </w:rPr>
            </w:pPr>
            <w:r>
              <w:rPr>
                <w:rFonts w:ascii="Arial"/>
                <w:spacing w:val="-1"/>
                <w:sz w:val="18"/>
              </w:rPr>
              <w:t>6.3009</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0"/>
              <w:jc w:val="right"/>
              <w:rPr>
                <w:rFonts w:ascii="Arial" w:hAnsi="Arial" w:cs="Arial" w:eastAsia="Arial" w:hint="default"/>
                <w:sz w:val="18"/>
                <w:szCs w:val="18"/>
              </w:rPr>
            </w:pPr>
            <w:r>
              <w:rPr>
                <w:rFonts w:ascii="Arial"/>
                <w:spacing w:val="-1"/>
                <w:sz w:val="18"/>
              </w:rPr>
              <w:t>10,258,173</w:t>
            </w:r>
          </w:p>
        </w:tc>
      </w:tr>
      <w:tr>
        <w:trPr>
          <w:trHeight w:val="254"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18" w:lineRule="exact"/>
              <w:ind w:left="209"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日元</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5"/>
              <w:jc w:val="right"/>
              <w:rPr>
                <w:rFonts w:ascii="Arial" w:hAnsi="Arial" w:cs="Arial" w:eastAsia="Arial" w:hint="default"/>
                <w:sz w:val="18"/>
                <w:szCs w:val="18"/>
              </w:rPr>
            </w:pPr>
            <w:r>
              <w:rPr>
                <w:rFonts w:ascii="Arial"/>
                <w:spacing w:val="-1"/>
                <w:sz w:val="18"/>
              </w:rPr>
              <w:t>2,930,807</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8"/>
              <w:jc w:val="right"/>
              <w:rPr>
                <w:rFonts w:ascii="Arial" w:hAnsi="Arial" w:cs="Arial" w:eastAsia="Arial" w:hint="default"/>
                <w:sz w:val="18"/>
                <w:szCs w:val="18"/>
              </w:rPr>
            </w:pPr>
            <w:r>
              <w:rPr>
                <w:rFonts w:ascii="Arial"/>
                <w:spacing w:val="-1"/>
                <w:sz w:val="18"/>
              </w:rPr>
              <w:t>0.0730</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9"/>
              <w:jc w:val="right"/>
              <w:rPr>
                <w:rFonts w:ascii="Arial" w:hAnsi="Arial" w:cs="Arial" w:eastAsia="Arial" w:hint="default"/>
                <w:sz w:val="18"/>
                <w:szCs w:val="18"/>
              </w:rPr>
            </w:pPr>
            <w:r>
              <w:rPr>
                <w:rFonts w:ascii="Arial"/>
                <w:spacing w:val="-1"/>
                <w:sz w:val="18"/>
              </w:rPr>
              <w:t>213,949</w:t>
            </w:r>
          </w:p>
        </w:tc>
        <w:tc>
          <w:tcPr>
            <w:tcW w:w="469"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7"/>
              <w:jc w:val="right"/>
              <w:rPr>
                <w:rFonts w:ascii="Arial" w:hAnsi="Arial" w:cs="Arial" w:eastAsia="Arial" w:hint="default"/>
                <w:sz w:val="18"/>
                <w:szCs w:val="18"/>
              </w:rPr>
            </w:pPr>
            <w:r>
              <w:rPr>
                <w:rFonts w:ascii="Arial"/>
                <w:spacing w:val="-1"/>
                <w:sz w:val="18"/>
              </w:rPr>
              <w:t>12,830,517</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87"/>
              <w:jc w:val="right"/>
              <w:rPr>
                <w:rFonts w:ascii="Arial" w:hAnsi="Arial" w:cs="Arial" w:eastAsia="Arial" w:hint="default"/>
                <w:sz w:val="18"/>
                <w:szCs w:val="18"/>
              </w:rPr>
            </w:pPr>
            <w:r>
              <w:rPr>
                <w:rFonts w:ascii="Arial"/>
                <w:spacing w:val="-1"/>
                <w:sz w:val="18"/>
              </w:rPr>
              <w:t>0.0811</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0"/>
              <w:jc w:val="right"/>
              <w:rPr>
                <w:rFonts w:ascii="Arial" w:hAnsi="Arial" w:cs="Arial" w:eastAsia="Arial" w:hint="default"/>
                <w:sz w:val="18"/>
                <w:szCs w:val="18"/>
              </w:rPr>
            </w:pPr>
            <w:r>
              <w:rPr>
                <w:rFonts w:ascii="Arial"/>
                <w:spacing w:val="-1"/>
                <w:sz w:val="18"/>
              </w:rPr>
              <w:t>1,040,593</w:t>
            </w:r>
          </w:p>
        </w:tc>
      </w:tr>
      <w:tr>
        <w:trPr>
          <w:trHeight w:val="256"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18" w:lineRule="exact"/>
              <w:ind w:left="209"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港币</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6"/>
              <w:jc w:val="right"/>
              <w:rPr>
                <w:rFonts w:ascii="Arial" w:hAnsi="Arial" w:cs="Arial" w:eastAsia="Arial" w:hint="default"/>
                <w:sz w:val="18"/>
                <w:szCs w:val="18"/>
              </w:rPr>
            </w:pPr>
            <w:r>
              <w:rPr>
                <w:rFonts w:ascii="Arial"/>
                <w:spacing w:val="-1"/>
                <w:sz w:val="18"/>
              </w:rPr>
              <w:t>11,594,808</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8"/>
              <w:jc w:val="right"/>
              <w:rPr>
                <w:rFonts w:ascii="Arial" w:hAnsi="Arial" w:cs="Arial" w:eastAsia="Arial" w:hint="default"/>
                <w:sz w:val="18"/>
                <w:szCs w:val="18"/>
              </w:rPr>
            </w:pPr>
            <w:r>
              <w:rPr>
                <w:rFonts w:ascii="Arial"/>
                <w:spacing w:val="-1"/>
                <w:sz w:val="18"/>
              </w:rPr>
              <w:t>0.8108</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9"/>
              <w:jc w:val="right"/>
              <w:rPr>
                <w:rFonts w:ascii="Arial" w:hAnsi="Arial" w:cs="Arial" w:eastAsia="Arial" w:hint="default"/>
                <w:sz w:val="18"/>
                <w:szCs w:val="18"/>
              </w:rPr>
            </w:pPr>
            <w:r>
              <w:rPr>
                <w:rFonts w:ascii="Arial"/>
                <w:spacing w:val="-1"/>
                <w:sz w:val="18"/>
              </w:rPr>
              <w:t>9,401,070</w:t>
            </w:r>
          </w:p>
        </w:tc>
        <w:tc>
          <w:tcPr>
            <w:tcW w:w="469"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6"/>
              <w:jc w:val="right"/>
              <w:rPr>
                <w:rFonts w:ascii="Arial" w:hAnsi="Arial" w:cs="Arial" w:eastAsia="Arial" w:hint="default"/>
                <w:sz w:val="18"/>
                <w:szCs w:val="18"/>
              </w:rPr>
            </w:pPr>
            <w:r>
              <w:rPr>
                <w:rFonts w:ascii="Arial"/>
                <w:spacing w:val="-1"/>
                <w:sz w:val="18"/>
              </w:rPr>
              <w:t>4,744,793</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87"/>
              <w:jc w:val="right"/>
              <w:rPr>
                <w:rFonts w:ascii="Arial" w:hAnsi="Arial" w:cs="Arial" w:eastAsia="Arial" w:hint="default"/>
                <w:sz w:val="18"/>
                <w:szCs w:val="18"/>
              </w:rPr>
            </w:pPr>
            <w:r>
              <w:rPr>
                <w:rFonts w:ascii="Arial"/>
                <w:spacing w:val="-1"/>
                <w:sz w:val="18"/>
              </w:rPr>
              <w:t>0.8107</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0"/>
              <w:jc w:val="right"/>
              <w:rPr>
                <w:rFonts w:ascii="Arial" w:hAnsi="Arial" w:cs="Arial" w:eastAsia="Arial" w:hint="default"/>
                <w:sz w:val="18"/>
                <w:szCs w:val="18"/>
              </w:rPr>
            </w:pPr>
            <w:r>
              <w:rPr>
                <w:rFonts w:ascii="Arial"/>
                <w:spacing w:val="-1"/>
                <w:sz w:val="18"/>
              </w:rPr>
              <w:t>3,846,604</w:t>
            </w:r>
          </w:p>
        </w:tc>
      </w:tr>
      <w:tr>
        <w:trPr>
          <w:trHeight w:val="256"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20" w:lineRule="exact"/>
              <w:ind w:left="209"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新币</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75"/>
              <w:jc w:val="right"/>
              <w:rPr>
                <w:rFonts w:ascii="Arial" w:hAnsi="Arial" w:cs="Arial" w:eastAsia="Arial" w:hint="default"/>
                <w:sz w:val="18"/>
                <w:szCs w:val="18"/>
              </w:rPr>
            </w:pPr>
            <w:r>
              <w:rPr>
                <w:rFonts w:ascii="Arial"/>
                <w:spacing w:val="-1"/>
                <w:sz w:val="18"/>
              </w:rPr>
              <w:t>1,027,324</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78"/>
              <w:jc w:val="right"/>
              <w:rPr>
                <w:rFonts w:ascii="Arial" w:hAnsi="Arial" w:cs="Arial" w:eastAsia="Arial" w:hint="default"/>
                <w:sz w:val="18"/>
                <w:szCs w:val="18"/>
              </w:rPr>
            </w:pPr>
            <w:r>
              <w:rPr>
                <w:rFonts w:ascii="Arial"/>
                <w:spacing w:val="-1"/>
                <w:sz w:val="18"/>
              </w:rPr>
              <w:t>5.0929</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9"/>
              <w:jc w:val="right"/>
              <w:rPr>
                <w:rFonts w:ascii="Arial" w:hAnsi="Arial" w:cs="Arial" w:eastAsia="Arial" w:hint="default"/>
                <w:sz w:val="18"/>
                <w:szCs w:val="18"/>
              </w:rPr>
            </w:pPr>
            <w:r>
              <w:rPr>
                <w:rFonts w:ascii="Arial"/>
                <w:spacing w:val="-1"/>
                <w:sz w:val="18"/>
              </w:rPr>
              <w:t>5,232,058</w:t>
            </w:r>
          </w:p>
        </w:tc>
        <w:tc>
          <w:tcPr>
            <w:tcW w:w="469"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6"/>
              <w:jc w:val="right"/>
              <w:rPr>
                <w:rFonts w:ascii="Arial" w:hAnsi="Arial" w:cs="Arial" w:eastAsia="Arial" w:hint="default"/>
                <w:sz w:val="18"/>
                <w:szCs w:val="18"/>
              </w:rPr>
            </w:pPr>
            <w:r>
              <w:rPr>
                <w:rFonts w:ascii="Arial"/>
                <w:spacing w:val="-1"/>
                <w:sz w:val="18"/>
              </w:rPr>
              <w:t>558,393</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87"/>
              <w:jc w:val="right"/>
              <w:rPr>
                <w:rFonts w:ascii="Arial" w:hAnsi="Arial" w:cs="Arial" w:eastAsia="Arial" w:hint="default"/>
                <w:sz w:val="18"/>
                <w:szCs w:val="18"/>
              </w:rPr>
            </w:pPr>
            <w:r>
              <w:rPr>
                <w:rFonts w:ascii="Arial"/>
                <w:spacing w:val="-1"/>
                <w:sz w:val="18"/>
              </w:rPr>
              <w:t>4.8679</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0"/>
              <w:jc w:val="right"/>
              <w:rPr>
                <w:rFonts w:ascii="Arial" w:hAnsi="Arial" w:cs="Arial" w:eastAsia="Arial" w:hint="default"/>
                <w:sz w:val="18"/>
                <w:szCs w:val="18"/>
              </w:rPr>
            </w:pPr>
            <w:r>
              <w:rPr>
                <w:rFonts w:ascii="Arial"/>
                <w:spacing w:val="-1"/>
                <w:sz w:val="18"/>
              </w:rPr>
              <w:t>2,718,201</w:t>
            </w:r>
          </w:p>
        </w:tc>
      </w:tr>
      <w:tr>
        <w:trPr>
          <w:trHeight w:val="254"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18" w:lineRule="exact"/>
              <w:ind w:left="209"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澳门元</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5"/>
              <w:jc w:val="right"/>
              <w:rPr>
                <w:rFonts w:ascii="Arial" w:hAnsi="Arial" w:cs="Arial" w:eastAsia="Arial" w:hint="default"/>
                <w:sz w:val="18"/>
                <w:szCs w:val="18"/>
              </w:rPr>
            </w:pPr>
            <w:r>
              <w:rPr>
                <w:rFonts w:ascii="Arial"/>
                <w:spacing w:val="-1"/>
                <w:sz w:val="18"/>
              </w:rPr>
              <w:t>6,590,107</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8"/>
              <w:jc w:val="right"/>
              <w:rPr>
                <w:rFonts w:ascii="Arial" w:hAnsi="Arial" w:cs="Arial" w:eastAsia="Arial" w:hint="default"/>
                <w:sz w:val="18"/>
                <w:szCs w:val="18"/>
              </w:rPr>
            </w:pPr>
            <w:r>
              <w:rPr>
                <w:rFonts w:ascii="Arial"/>
                <w:spacing w:val="-1"/>
                <w:sz w:val="18"/>
              </w:rPr>
              <w:t>0.7804</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9"/>
              <w:jc w:val="right"/>
              <w:rPr>
                <w:rFonts w:ascii="Arial" w:hAnsi="Arial" w:cs="Arial" w:eastAsia="Arial" w:hint="default"/>
                <w:sz w:val="18"/>
                <w:szCs w:val="18"/>
              </w:rPr>
            </w:pPr>
            <w:r>
              <w:rPr>
                <w:rFonts w:ascii="Arial"/>
                <w:spacing w:val="-1"/>
                <w:sz w:val="18"/>
              </w:rPr>
              <w:t>5,142,920</w:t>
            </w:r>
          </w:p>
        </w:tc>
        <w:tc>
          <w:tcPr>
            <w:tcW w:w="469"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6"/>
              <w:jc w:val="right"/>
              <w:rPr>
                <w:rFonts w:ascii="Arial" w:hAnsi="Arial" w:cs="Arial" w:eastAsia="Arial" w:hint="default"/>
                <w:sz w:val="18"/>
                <w:szCs w:val="18"/>
              </w:rPr>
            </w:pPr>
            <w:r>
              <w:rPr>
                <w:rFonts w:ascii="Arial"/>
                <w:spacing w:val="-1"/>
                <w:sz w:val="18"/>
              </w:rPr>
              <w:t>4,190,127</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87"/>
              <w:jc w:val="right"/>
              <w:rPr>
                <w:rFonts w:ascii="Arial" w:hAnsi="Arial" w:cs="Arial" w:eastAsia="Arial" w:hint="default"/>
                <w:sz w:val="18"/>
                <w:szCs w:val="18"/>
              </w:rPr>
            </w:pPr>
            <w:r>
              <w:rPr>
                <w:rFonts w:ascii="Arial"/>
                <w:spacing w:val="-1"/>
                <w:sz w:val="18"/>
              </w:rPr>
              <w:t>0.7886</w:t>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0"/>
              <w:jc w:val="right"/>
              <w:rPr>
                <w:rFonts w:ascii="Arial" w:hAnsi="Arial" w:cs="Arial" w:eastAsia="Arial" w:hint="default"/>
                <w:sz w:val="18"/>
                <w:szCs w:val="18"/>
              </w:rPr>
            </w:pPr>
            <w:r>
              <w:rPr>
                <w:rFonts w:ascii="Arial"/>
                <w:spacing w:val="-1"/>
                <w:sz w:val="18"/>
              </w:rPr>
              <w:t>3,304,334</w:t>
            </w:r>
          </w:p>
        </w:tc>
      </w:tr>
      <w:tr>
        <w:trPr>
          <w:trHeight w:val="394"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18" w:lineRule="exact"/>
              <w:ind w:left="209"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台币</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6"/>
              <w:jc w:val="right"/>
              <w:rPr>
                <w:rFonts w:ascii="Arial" w:hAnsi="Arial" w:cs="Arial" w:eastAsia="Arial" w:hint="default"/>
                <w:sz w:val="18"/>
                <w:szCs w:val="18"/>
              </w:rPr>
            </w:pPr>
            <w:r>
              <w:rPr>
                <w:rFonts w:ascii="Arial"/>
                <w:spacing w:val="-1"/>
                <w:sz w:val="18"/>
              </w:rPr>
              <w:t>12,259,190</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8"/>
              <w:jc w:val="right"/>
              <w:rPr>
                <w:rFonts w:ascii="Arial" w:hAnsi="Arial" w:cs="Arial" w:eastAsia="Arial" w:hint="default"/>
                <w:sz w:val="18"/>
                <w:szCs w:val="18"/>
              </w:rPr>
            </w:pPr>
            <w:r>
              <w:rPr>
                <w:rFonts w:ascii="Arial"/>
                <w:spacing w:val="-1"/>
                <w:sz w:val="18"/>
              </w:rPr>
              <w:t>0.2147</w:t>
            </w:r>
          </w:p>
        </w:tc>
        <w:tc>
          <w:tcPr>
            <w:tcW w:w="1257" w:type="dxa"/>
            <w:tcBorders>
              <w:top w:val="nil" w:sz="6" w:space="0" w:color="auto"/>
              <w:left w:val="nil" w:sz="6" w:space="0" w:color="auto"/>
              <w:bottom w:val="nil" w:sz="6" w:space="0" w:color="auto"/>
              <w:right w:val="nil" w:sz="6" w:space="0" w:color="auto"/>
            </w:tcBorders>
          </w:tcPr>
          <w:p>
            <w:pPr>
              <w:pStyle w:val="TableParagraph"/>
              <w:tabs>
                <w:tab w:pos="362" w:val="left" w:leader="none"/>
              </w:tabs>
              <w:spacing w:line="240" w:lineRule="auto" w:before="26"/>
              <w:ind w:right="1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2,632,048</w:t>
            </w:r>
            <w:r>
              <w:rPr>
                <w:rFonts w:ascii="Arial"/>
                <w:spacing w:val="-1"/>
                <w:sz w:val="18"/>
              </w:rPr>
            </w:r>
          </w:p>
        </w:tc>
        <w:tc>
          <w:tcPr>
            <w:tcW w:w="469"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7"/>
              <w:jc w:val="right"/>
              <w:rPr>
                <w:rFonts w:ascii="Arial" w:hAnsi="Arial" w:cs="Arial" w:eastAsia="Arial" w:hint="default"/>
                <w:sz w:val="18"/>
                <w:szCs w:val="18"/>
              </w:rPr>
            </w:pPr>
            <w:r>
              <w:rPr>
                <w:rFonts w:ascii="Arial"/>
                <w:spacing w:val="-1"/>
                <w:sz w:val="18"/>
              </w:rPr>
              <w:t>15,797,517</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1"/>
              <w:jc w:val="right"/>
              <w:rPr>
                <w:rFonts w:ascii="Arial" w:hAnsi="Arial" w:cs="Arial" w:eastAsia="Arial" w:hint="default"/>
                <w:sz w:val="18"/>
                <w:szCs w:val="18"/>
              </w:rPr>
            </w:pPr>
            <w:r>
              <w:rPr>
                <w:rFonts w:ascii="Arial"/>
                <w:spacing w:val="-1"/>
                <w:sz w:val="18"/>
              </w:rPr>
              <w:t>0.2080</w:t>
            </w:r>
          </w:p>
        </w:tc>
        <w:tc>
          <w:tcPr>
            <w:tcW w:w="1244" w:type="dxa"/>
            <w:tcBorders>
              <w:top w:val="nil" w:sz="6" w:space="0" w:color="auto"/>
              <w:left w:val="nil" w:sz="6" w:space="0" w:color="auto"/>
              <w:bottom w:val="nil" w:sz="6" w:space="0" w:color="auto"/>
              <w:right w:val="nil" w:sz="6" w:space="0" w:color="auto"/>
            </w:tcBorders>
          </w:tcPr>
          <w:p>
            <w:pPr>
              <w:pStyle w:val="TableParagraph"/>
              <w:tabs>
                <w:tab w:pos="362" w:val="left" w:leader="none"/>
              </w:tabs>
              <w:spacing w:line="240" w:lineRule="auto" w:before="26"/>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3,285,883</w:t>
            </w:r>
            <w:r>
              <w:rPr>
                <w:rFonts w:ascii="Arial"/>
                <w:spacing w:val="-1"/>
                <w:sz w:val="18"/>
              </w:rPr>
            </w:r>
          </w:p>
        </w:tc>
      </w:tr>
      <w:tr>
        <w:trPr>
          <w:trHeight w:val="498" w:hRule="exact"/>
        </w:trPr>
        <w:tc>
          <w:tcPr>
            <w:tcW w:w="1102"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9"/>
              <w:jc w:val="right"/>
              <w:rPr>
                <w:rFonts w:ascii="Arial" w:hAnsi="Arial" w:cs="Arial" w:eastAsia="Arial" w:hint="default"/>
                <w:sz w:val="18"/>
                <w:szCs w:val="18"/>
              </w:rPr>
            </w:pPr>
            <w:r>
              <w:rPr>
                <w:rFonts w:ascii="Arial"/>
                <w:w w:val="100"/>
                <w:sz w:val="18"/>
              </w:rPr>
            </w:r>
            <w:r>
              <w:rPr>
                <w:rFonts w:ascii="Arial"/>
                <w:spacing w:val="-1"/>
                <w:sz w:val="18"/>
                <w:u w:val="single" w:color="000000"/>
              </w:rPr>
              <w:t>1,671,188,394</w:t>
            </w:r>
            <w:r>
              <w:rPr>
                <w:rFonts w:ascii="Arial"/>
                <w:spacing w:val="-1"/>
                <w:sz w:val="18"/>
              </w:rPr>
            </w:r>
          </w:p>
        </w:tc>
        <w:tc>
          <w:tcPr>
            <w:tcW w:w="469"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
        </w:tc>
        <w:tc>
          <w:tcPr>
            <w:tcW w:w="714"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0"/>
              <w:jc w:val="right"/>
              <w:rPr>
                <w:rFonts w:ascii="Arial" w:hAnsi="Arial" w:cs="Arial" w:eastAsia="Arial" w:hint="default"/>
                <w:sz w:val="18"/>
                <w:szCs w:val="18"/>
              </w:rPr>
            </w:pPr>
            <w:r>
              <w:rPr>
                <w:rFonts w:ascii="Arial"/>
                <w:w w:val="100"/>
                <w:sz w:val="18"/>
              </w:rPr>
            </w:r>
            <w:r>
              <w:rPr>
                <w:rFonts w:ascii="Arial"/>
                <w:spacing w:val="-1"/>
                <w:sz w:val="18"/>
                <w:u w:val="single" w:color="000000"/>
              </w:rPr>
              <w:t>1,387,682,221</w:t>
            </w:r>
            <w:r>
              <w:rPr>
                <w:rFonts w:ascii="Arial"/>
                <w:spacing w:val="-1"/>
                <w:sz w:val="18"/>
              </w:rPr>
            </w:r>
          </w:p>
        </w:tc>
      </w:tr>
      <w:tr>
        <w:trPr>
          <w:trHeight w:val="370" w:hRule="exact"/>
        </w:trPr>
        <w:tc>
          <w:tcPr>
            <w:tcW w:w="8115"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97"/>
              <w:ind w:left="200" w:right="0"/>
              <w:jc w:val="left"/>
              <w:rPr>
                <w:rFonts w:ascii="黑体" w:hAnsi="黑体" w:cs="黑体" w:eastAsia="黑体" w:hint="default"/>
                <w:sz w:val="18"/>
                <w:szCs w:val="18"/>
              </w:rPr>
            </w:pPr>
            <w:r>
              <w:rPr>
                <w:rFonts w:ascii="黑体" w:hAnsi="黑体" w:cs="黑体" w:eastAsia="黑体" w:hint="default"/>
                <w:sz w:val="18"/>
                <w:szCs w:val="18"/>
              </w:rPr>
              <w:t>其他货币资金</w:t>
            </w:r>
          </w:p>
        </w:tc>
      </w:tr>
      <w:tr>
        <w:trPr>
          <w:trHeight w:val="406"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30" w:lineRule="exact"/>
              <w:ind w:left="209"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人民币</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76"/>
              <w:jc w:val="right"/>
              <w:rPr>
                <w:rFonts w:ascii="Arial" w:hAnsi="Arial" w:cs="Arial" w:eastAsia="Arial" w:hint="default"/>
                <w:sz w:val="18"/>
                <w:szCs w:val="18"/>
              </w:rPr>
            </w:pPr>
            <w:r>
              <w:rPr>
                <w:rFonts w:ascii="Arial"/>
                <w:spacing w:val="-1"/>
                <w:sz w:val="18"/>
              </w:rPr>
              <w:t>22,594,163</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78"/>
              <w:jc w:val="right"/>
              <w:rPr>
                <w:rFonts w:ascii="Arial" w:hAnsi="Arial" w:cs="Arial" w:eastAsia="Arial" w:hint="default"/>
                <w:sz w:val="18"/>
                <w:szCs w:val="18"/>
              </w:rPr>
            </w:pPr>
            <w:r>
              <w:rPr>
                <w:rFonts w:ascii="Arial"/>
                <w:spacing w:val="-1"/>
                <w:sz w:val="18"/>
              </w:rPr>
              <w:t>1.0000</w:t>
            </w:r>
          </w:p>
        </w:tc>
        <w:tc>
          <w:tcPr>
            <w:tcW w:w="1257" w:type="dxa"/>
            <w:tcBorders>
              <w:top w:val="nil" w:sz="6" w:space="0" w:color="auto"/>
              <w:left w:val="nil" w:sz="6" w:space="0" w:color="auto"/>
              <w:bottom w:val="nil" w:sz="6" w:space="0" w:color="auto"/>
              <w:right w:val="nil" w:sz="6" w:space="0" w:color="auto"/>
            </w:tcBorders>
          </w:tcPr>
          <w:p>
            <w:pPr>
              <w:pStyle w:val="TableParagraph"/>
              <w:tabs>
                <w:tab w:pos="271" w:val="left" w:leader="none"/>
              </w:tabs>
              <w:spacing w:line="240" w:lineRule="auto" w:before="37"/>
              <w:ind w:right="1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22,594,163</w:t>
            </w:r>
            <w:r>
              <w:rPr>
                <w:rFonts w:ascii="Arial"/>
                <w:spacing w:val="-1"/>
                <w:sz w:val="18"/>
              </w:rPr>
            </w:r>
          </w:p>
        </w:tc>
        <w:tc>
          <w:tcPr>
            <w:tcW w:w="469" w:type="dxa"/>
            <w:tcBorders>
              <w:top w:val="nil" w:sz="6" w:space="0" w:color="auto"/>
              <w:left w:val="nil" w:sz="6" w:space="0" w:color="auto"/>
              <w:bottom w:val="nil" w:sz="6" w:space="0" w:color="auto"/>
              <w:right w:val="nil" w:sz="6" w:space="0" w:color="auto"/>
            </w:tcBorders>
          </w:tcPr>
          <w:p>
            <w:pPr>
              <w:pStyle w:val="TableParagraph"/>
              <w:spacing w:line="230" w:lineRule="exact"/>
              <w:ind w:left="21" w:right="0"/>
              <w:jc w:val="left"/>
              <w:rPr>
                <w:rFonts w:ascii="Arial" w:hAnsi="Arial" w:cs="Arial" w:eastAsia="Arial" w:hint="default"/>
                <w:sz w:val="18"/>
                <w:szCs w:val="18"/>
              </w:rPr>
            </w:pPr>
            <w:r>
              <w:rPr>
                <w:rFonts w:ascii="Arial" w:hAnsi="Arial" w:cs="Arial" w:eastAsia="Arial" w:hint="default"/>
                <w:sz w:val="18"/>
                <w:szCs w:val="18"/>
              </w:rPr>
              <w:t>(</w:t>
            </w:r>
            <w:r>
              <w:rPr>
                <w:rFonts w:ascii="黑体" w:hAnsi="黑体" w:cs="黑体" w:eastAsia="黑体" w:hint="default"/>
                <w:sz w:val="18"/>
                <w:szCs w:val="18"/>
              </w:rPr>
              <w:t>注</w:t>
            </w:r>
            <w:r>
              <w:rPr>
                <w:rFonts w:ascii="黑体" w:hAnsi="黑体" w:cs="黑体" w:eastAsia="黑体" w:hint="default"/>
                <w:spacing w:val="-46"/>
                <w:sz w:val="18"/>
                <w:szCs w:val="18"/>
              </w:rPr>
              <w:t> </w:t>
            </w:r>
            <w:r>
              <w:rPr>
                <w:rFonts w:ascii="Arial" w:hAnsi="Arial" w:cs="Arial" w:eastAsia="Arial" w:hint="default"/>
                <w:sz w:val="18"/>
                <w:szCs w:val="18"/>
              </w:rPr>
              <w:t>1)</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56"/>
              <w:jc w:val="right"/>
              <w:rPr>
                <w:rFonts w:ascii="Arial" w:hAnsi="Arial" w:cs="Arial" w:eastAsia="Arial" w:hint="default"/>
                <w:sz w:val="18"/>
                <w:szCs w:val="18"/>
              </w:rPr>
            </w:pPr>
            <w:r>
              <w:rPr>
                <w:rFonts w:ascii="Arial"/>
                <w:spacing w:val="-1"/>
                <w:sz w:val="18"/>
              </w:rPr>
              <w:t>6,977,235</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87"/>
              <w:jc w:val="right"/>
              <w:rPr>
                <w:rFonts w:ascii="Arial" w:hAnsi="Arial" w:cs="Arial" w:eastAsia="Arial" w:hint="default"/>
                <w:sz w:val="18"/>
                <w:szCs w:val="18"/>
              </w:rPr>
            </w:pPr>
            <w:r>
              <w:rPr>
                <w:rFonts w:ascii="Arial"/>
                <w:spacing w:val="-1"/>
                <w:sz w:val="18"/>
              </w:rPr>
              <w:t>1.0000</w:t>
            </w:r>
          </w:p>
        </w:tc>
        <w:tc>
          <w:tcPr>
            <w:tcW w:w="1244" w:type="dxa"/>
            <w:tcBorders>
              <w:top w:val="nil" w:sz="6" w:space="0" w:color="auto"/>
              <w:left w:val="nil" w:sz="6" w:space="0" w:color="auto"/>
              <w:bottom w:val="nil" w:sz="6" w:space="0" w:color="auto"/>
              <w:right w:val="nil" w:sz="6" w:space="0" w:color="auto"/>
            </w:tcBorders>
          </w:tcPr>
          <w:p>
            <w:pPr>
              <w:pStyle w:val="TableParagraph"/>
              <w:tabs>
                <w:tab w:pos="362" w:val="left" w:leader="none"/>
              </w:tabs>
              <w:spacing w:line="240" w:lineRule="auto" w:before="37"/>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6,977,235</w:t>
            </w:r>
            <w:r>
              <w:rPr>
                <w:rFonts w:ascii="Arial"/>
                <w:spacing w:val="-1"/>
                <w:sz w:val="18"/>
              </w:rPr>
            </w:r>
          </w:p>
        </w:tc>
      </w:tr>
      <w:tr>
        <w:trPr>
          <w:trHeight w:val="346" w:hRule="exact"/>
        </w:trPr>
        <w:tc>
          <w:tcPr>
            <w:tcW w:w="1102"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9"/>
              <w:jc w:val="right"/>
              <w:rPr>
                <w:rFonts w:ascii="Arial" w:hAnsi="Arial" w:cs="Arial" w:eastAsia="Arial" w:hint="default"/>
                <w:sz w:val="18"/>
                <w:szCs w:val="18"/>
              </w:rPr>
            </w:pPr>
            <w:r>
              <w:rPr>
                <w:rFonts w:ascii="Arial"/>
                <w:w w:val="100"/>
                <w:sz w:val="18"/>
              </w:rPr>
            </w:r>
            <w:r>
              <w:rPr>
                <w:rFonts w:ascii="Arial"/>
                <w:spacing w:val="-1"/>
                <w:sz w:val="18"/>
                <w:u w:val="thick" w:color="000000"/>
              </w:rPr>
              <w:t>1,697,036,209</w:t>
            </w:r>
            <w:r>
              <w:rPr>
                <w:rFonts w:ascii="Arial"/>
                <w:spacing w:val="-1"/>
                <w:sz w:val="18"/>
              </w:rPr>
            </w:r>
          </w:p>
        </w:tc>
        <w:tc>
          <w:tcPr>
            <w:tcW w:w="469"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
        </w:tc>
        <w:tc>
          <w:tcPr>
            <w:tcW w:w="714"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0"/>
              <w:jc w:val="right"/>
              <w:rPr>
                <w:rFonts w:ascii="Arial" w:hAnsi="Arial" w:cs="Arial" w:eastAsia="Arial" w:hint="default"/>
                <w:sz w:val="18"/>
                <w:szCs w:val="18"/>
              </w:rPr>
            </w:pPr>
            <w:r>
              <w:rPr>
                <w:rFonts w:ascii="Arial"/>
                <w:w w:val="100"/>
                <w:sz w:val="18"/>
              </w:rPr>
            </w:r>
            <w:r>
              <w:rPr>
                <w:rFonts w:ascii="Arial"/>
                <w:spacing w:val="-1"/>
                <w:sz w:val="18"/>
                <w:u w:val="thick" w:color="000000"/>
              </w:rPr>
              <w:t>1,397,118,426</w:t>
            </w:r>
            <w:r>
              <w:rPr>
                <w:rFonts w:ascii="Arial"/>
                <w:spacing w:val="-1"/>
                <w:sz w:val="18"/>
              </w:rPr>
            </w:r>
          </w:p>
        </w:tc>
      </w:tr>
    </w:tbl>
    <w:p>
      <w:pPr>
        <w:spacing w:line="240" w:lineRule="auto" w:before="1"/>
        <w:rPr>
          <w:rFonts w:ascii="黑体" w:hAnsi="黑体" w:cs="黑体" w:eastAsia="黑体" w:hint="default"/>
          <w:b/>
          <w:bCs/>
          <w:sz w:val="12"/>
          <w:szCs w:val="12"/>
        </w:rPr>
      </w:pPr>
    </w:p>
    <w:p>
      <w:pPr>
        <w:pStyle w:val="BodyText"/>
        <w:spacing w:line="240" w:lineRule="exact" w:before="79"/>
        <w:ind w:left="1569" w:right="137" w:hanging="720"/>
        <w:jc w:val="both"/>
      </w:pPr>
      <w:r>
        <w:rPr/>
        <w:t>注</w:t>
      </w:r>
      <w:r>
        <w:rPr>
          <w:rFonts w:ascii="Arial" w:hAnsi="Arial" w:cs="Arial" w:eastAsia="Arial" w:hint="default"/>
        </w:rPr>
        <w:t>1. </w:t>
      </w:r>
      <w:r>
        <w:rPr/>
        <w:t>本集团其他货币资金除为回购股票（参见附注五、</w:t>
      </w:r>
      <w:r>
        <w:rPr>
          <w:rFonts w:ascii="Arial" w:hAnsi="Arial" w:cs="Arial" w:eastAsia="Arial" w:hint="default"/>
        </w:rPr>
        <w:t>32</w:t>
      </w:r>
      <w:r>
        <w:rPr/>
        <w:t>）存放于第一创业证券有限</w:t>
      </w:r>
      <w:r>
        <w:rPr>
          <w:spacing w:val="-97"/>
        </w:rPr>
        <w:t> </w:t>
      </w:r>
      <w:r>
        <w:rPr>
          <w:spacing w:val="5"/>
        </w:rPr>
        <w:t>责任公司的人民币</w:t>
      </w:r>
      <w:r>
        <w:rPr>
          <w:rFonts w:ascii="Arial" w:hAnsi="Arial" w:cs="Arial" w:eastAsia="Arial" w:hint="default"/>
          <w:spacing w:val="5"/>
        </w:rPr>
        <w:t>4,986,882</w:t>
      </w:r>
      <w:r>
        <w:rPr>
          <w:spacing w:val="5"/>
        </w:rPr>
        <w:t>元及存放于保证金账户尚未办妥保函手续的人民币</w:t>
      </w:r>
      <w:r>
        <w:rPr>
          <w:spacing w:val="7"/>
          <w:w w:val="99"/>
        </w:rPr>
        <w:t> </w:t>
      </w:r>
      <w:r>
        <w:rPr>
          <w:rFonts w:ascii="Arial" w:hAnsi="Arial" w:cs="Arial" w:eastAsia="Arial" w:hint="default"/>
        </w:rPr>
        <w:t>141,733</w:t>
      </w:r>
      <w:r>
        <w:rPr/>
        <w:t>元外，均为所有权受到限制的履约保函资金，共计人民币</w:t>
      </w:r>
      <w:r>
        <w:rPr>
          <w:rFonts w:ascii="Arial" w:hAnsi="Arial" w:cs="Arial" w:eastAsia="Arial" w:hint="default"/>
        </w:rPr>
        <w:t>17,465,548</w:t>
      </w:r>
      <w:r>
        <w:rPr/>
        <w:t>元。</w:t>
      </w:r>
    </w:p>
    <w:p>
      <w:pPr>
        <w:spacing w:line="240" w:lineRule="auto" w:before="5"/>
        <w:rPr>
          <w:rFonts w:ascii="黑体" w:hAnsi="黑体" w:cs="黑体" w:eastAsia="黑体" w:hint="default"/>
          <w:sz w:val="17"/>
          <w:szCs w:val="17"/>
        </w:rPr>
      </w:pPr>
    </w:p>
    <w:p>
      <w:pPr>
        <w:pStyle w:val="BodyText"/>
        <w:spacing w:line="240" w:lineRule="auto"/>
        <w:ind w:left="854" w:right="223"/>
        <w:jc w:val="left"/>
      </w:pP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日，本集团存放于境外的货币资金为人民币</w:t>
      </w:r>
      <w:r>
        <w:rPr>
          <w:rFonts w:ascii="Arial" w:hAnsi="Arial" w:cs="Arial" w:eastAsia="Arial" w:hint="default"/>
        </w:rPr>
        <w:t>30,882,829</w:t>
      </w:r>
      <w:r>
        <w:rPr/>
        <w:t>元（</w:t>
      </w:r>
      <w:r>
        <w:rPr>
          <w:rFonts w:ascii="Arial" w:hAnsi="Arial" w:cs="Arial" w:eastAsia="Arial" w:hint="default"/>
        </w:rPr>
        <w:t>2011</w:t>
      </w:r>
      <w:r>
        <w:rPr/>
        <w:t>年</w:t>
      </w:r>
      <w:r>
        <w:rPr>
          <w:rFonts w:ascii="Arial" w:hAnsi="Arial" w:cs="Arial" w:eastAsia="Arial" w:hint="default"/>
        </w:rPr>
        <w:t>12</w:t>
      </w:r>
      <w:r>
        <w:rPr/>
        <w:t>月</w:t>
      </w:r>
    </w:p>
    <w:p>
      <w:pPr>
        <w:pStyle w:val="BodyText"/>
        <w:spacing w:line="240" w:lineRule="auto" w:before="24"/>
        <w:ind w:left="854" w:right="223"/>
        <w:jc w:val="left"/>
      </w:pPr>
      <w:r>
        <w:rPr>
          <w:rFonts w:ascii="Arial" w:hAnsi="Arial" w:cs="Arial" w:eastAsia="Arial" w:hint="default"/>
        </w:rPr>
        <w:t>31</w:t>
      </w:r>
      <w:r>
        <w:rPr/>
        <w:t>日：人民币</w:t>
      </w:r>
      <w:r>
        <w:rPr>
          <w:rFonts w:ascii="Arial" w:hAnsi="Arial" w:cs="Arial" w:eastAsia="Arial" w:hint="default"/>
        </w:rPr>
        <w:t>24,477,521</w:t>
      </w:r>
      <w:r>
        <w:rPr/>
        <w:t>元）。</w:t>
      </w:r>
    </w:p>
    <w:p>
      <w:pPr>
        <w:spacing w:line="240" w:lineRule="auto" w:before="10"/>
        <w:rPr>
          <w:rFonts w:ascii="黑体" w:hAnsi="黑体" w:cs="黑体" w:eastAsia="黑体" w:hint="default"/>
          <w:sz w:val="24"/>
          <w:szCs w:val="24"/>
        </w:rPr>
      </w:pPr>
    </w:p>
    <w:p>
      <w:pPr>
        <w:pStyle w:val="BodyText"/>
        <w:spacing w:line="261" w:lineRule="auto"/>
        <w:ind w:left="854" w:right="223"/>
        <w:jc w:val="left"/>
      </w:pPr>
      <w:r>
        <w:rPr>
          <w:spacing w:val="2"/>
        </w:rPr>
        <w:t>银行活期存款按照银行活期存款利率取得利息收入。定期存款的存款期分为</w:t>
      </w:r>
      <w:r>
        <w:rPr>
          <w:rFonts w:ascii="Arial" w:hAnsi="Arial" w:cs="Arial" w:eastAsia="Arial" w:hint="default"/>
          <w:spacing w:val="2"/>
        </w:rPr>
        <w:t>7</w:t>
      </w:r>
      <w:r>
        <w:rPr>
          <w:spacing w:val="2"/>
        </w:rPr>
        <w:t>天至半年不</w:t>
      </w:r>
      <w:r>
        <w:rPr>
          <w:spacing w:val="2"/>
          <w:w w:val="99"/>
        </w:rPr>
        <w:t> </w:t>
      </w:r>
      <w:r>
        <w:rPr/>
        <w:t>等，依本集团的现金需求而定，并按照相应的银行定期存款利率取得利息收入。</w:t>
      </w:r>
    </w:p>
    <w:p>
      <w:pPr>
        <w:spacing w:after="0" w:line="261" w:lineRule="auto"/>
        <w:jc w:val="left"/>
        <w:sectPr>
          <w:pgSz w:w="11910" w:h="16850"/>
          <w:pgMar w:header="957" w:footer="468" w:top="2640" w:bottom="660" w:left="1560" w:right="1460"/>
        </w:sectPr>
      </w:pPr>
    </w:p>
    <w:p>
      <w:pPr>
        <w:spacing w:line="240" w:lineRule="auto" w:before="5"/>
        <w:rPr>
          <w:rFonts w:ascii="黑体" w:hAnsi="黑体" w:cs="黑体" w:eastAsia="黑体" w:hint="default"/>
          <w:sz w:val="16"/>
          <w:szCs w:val="16"/>
        </w:rPr>
      </w:pPr>
    </w:p>
    <w:p>
      <w:pPr>
        <w:pStyle w:val="Heading6"/>
        <w:tabs>
          <w:tab w:pos="844" w:val="left" w:leader="none"/>
        </w:tabs>
        <w:spacing w:line="240" w:lineRule="auto"/>
        <w:ind w:left="141" w:right="0"/>
        <w:jc w:val="left"/>
        <w:rPr>
          <w:b w:val="0"/>
          <w:bCs w:val="0"/>
        </w:rPr>
      </w:pPr>
      <w:r>
        <w:rPr>
          <w:w w:val="95"/>
        </w:rPr>
        <w:t>五、</w:t>
        <w:tab/>
      </w:r>
      <w:bookmarkStart w:name="五、   合并财务报表主要项目注释（续）" w:id="58"/>
      <w:bookmarkEnd w:id="58"/>
      <w:r>
        <w:rPr/>
        <w:t>合并</w:t>
      </w:r>
      <w:r>
        <w:rPr/>
        <w:t>财务报表主要项目注释（续）</w:t>
      </w:r>
      <w:r>
        <w:rPr>
          <w:b w:val="0"/>
          <w:bCs w:val="0"/>
        </w:rPr>
      </w:r>
    </w:p>
    <w:p>
      <w:pPr>
        <w:spacing w:line="240" w:lineRule="auto" w:before="9"/>
        <w:rPr>
          <w:rFonts w:ascii="黑体" w:hAnsi="黑体" w:cs="黑体" w:eastAsia="黑体" w:hint="default"/>
          <w:b/>
          <w:bCs/>
          <w:sz w:val="25"/>
          <w:szCs w:val="25"/>
        </w:rPr>
      </w:pPr>
    </w:p>
    <w:p>
      <w:pPr>
        <w:pStyle w:val="Heading6"/>
        <w:tabs>
          <w:tab w:pos="892" w:val="left" w:leader="none"/>
        </w:tabs>
        <w:spacing w:line="240" w:lineRule="auto" w:before="0"/>
        <w:ind w:left="141" w:right="0"/>
        <w:jc w:val="left"/>
        <w:rPr>
          <w:b w:val="0"/>
          <w:bCs w:val="0"/>
        </w:rPr>
      </w:pPr>
      <w:r>
        <w:rPr>
          <w:rFonts w:ascii="Arial" w:hAnsi="Arial" w:cs="Arial" w:eastAsia="Arial" w:hint="default"/>
          <w:spacing w:val="-1"/>
        </w:rPr>
        <w:t>2.</w:t>
        <w:tab/>
      </w:r>
      <w:r>
        <w:rPr>
          <w:spacing w:val="1"/>
        </w:rPr>
        <w:t>应收票据</w:t>
      </w:r>
      <w:r>
        <w:rPr>
          <w:b w:val="0"/>
          <w:bCs w:val="0"/>
        </w:rPr>
      </w:r>
    </w:p>
    <w:p>
      <w:pPr>
        <w:spacing w:line="240" w:lineRule="auto" w:before="12"/>
        <w:rPr>
          <w:rFonts w:ascii="黑体" w:hAnsi="黑体" w:cs="黑体" w:eastAsia="黑体" w:hint="default"/>
          <w:b/>
          <w:bCs/>
          <w:sz w:val="22"/>
          <w:szCs w:val="22"/>
        </w:rPr>
      </w:pPr>
    </w:p>
    <w:tbl>
      <w:tblPr>
        <w:tblW w:w="0" w:type="auto"/>
        <w:jc w:val="left"/>
        <w:tblInd w:w="697" w:type="dxa"/>
        <w:tblLayout w:type="fixed"/>
        <w:tblCellMar>
          <w:top w:w="0" w:type="dxa"/>
          <w:left w:w="0" w:type="dxa"/>
          <w:bottom w:w="0" w:type="dxa"/>
          <w:right w:w="0" w:type="dxa"/>
        </w:tblCellMar>
        <w:tblLook w:val="01E0"/>
      </w:tblPr>
      <w:tblGrid>
        <w:gridCol w:w="2973"/>
        <w:gridCol w:w="3267"/>
        <w:gridCol w:w="1888"/>
      </w:tblGrid>
      <w:tr>
        <w:trPr>
          <w:trHeight w:val="234" w:hRule="exact"/>
        </w:trPr>
        <w:tc>
          <w:tcPr>
            <w:tcW w:w="2973" w:type="dxa"/>
            <w:tcBorders>
              <w:top w:val="nil" w:sz="6" w:space="0" w:color="auto"/>
              <w:left w:val="nil" w:sz="6" w:space="0" w:color="auto"/>
              <w:bottom w:val="nil" w:sz="6" w:space="0" w:color="auto"/>
              <w:right w:val="nil" w:sz="6" w:space="0" w:color="auto"/>
            </w:tcBorders>
          </w:tcPr>
          <w:p>
            <w:pPr/>
          </w:p>
        </w:tc>
        <w:tc>
          <w:tcPr>
            <w:tcW w:w="3267" w:type="dxa"/>
            <w:tcBorders>
              <w:top w:val="nil" w:sz="6" w:space="0" w:color="auto"/>
              <w:left w:val="nil" w:sz="6" w:space="0" w:color="auto"/>
              <w:bottom w:val="nil" w:sz="6" w:space="0" w:color="auto"/>
              <w:right w:val="nil" w:sz="6" w:space="0" w:color="auto"/>
            </w:tcBorders>
          </w:tcPr>
          <w:p>
            <w:pPr>
              <w:pStyle w:val="TableParagraph"/>
              <w:spacing w:line="214" w:lineRule="exact"/>
              <w:ind w:right="705"/>
              <w:jc w:val="right"/>
              <w:rPr>
                <w:rFonts w:ascii="黑体" w:hAnsi="黑体" w:cs="黑体" w:eastAsia="黑体" w:hint="default"/>
                <w:sz w:val="20"/>
                <w:szCs w:val="20"/>
              </w:rPr>
            </w:pPr>
            <w:bookmarkStart w:name="2.     应收票据" w:id="59"/>
            <w:bookmarkEnd w:id="59"/>
            <w:r>
              <w:rPr/>
            </w:r>
            <w:r>
              <w:rPr>
                <w:rFonts w:ascii="Arial" w:hAnsi="Arial" w:cs="Arial" w:eastAsia="Arial" w:hint="default"/>
                <w:sz w:val="20"/>
                <w:szCs w:val="20"/>
              </w:rPr>
              <w:t>2012</w:t>
            </w:r>
            <w:r>
              <w:rPr>
                <w:rFonts w:ascii="Arial" w:hAnsi="Arial" w:cs="Arial" w:eastAsia="Arial" w:hint="default"/>
                <w:spacing w:val="-9"/>
                <w:sz w:val="20"/>
                <w:szCs w:val="20"/>
              </w:rPr>
              <w:t> </w:t>
            </w:r>
            <w:r>
              <w:rPr>
                <w:rFonts w:ascii="黑体" w:hAnsi="黑体" w:cs="黑体" w:eastAsia="黑体" w:hint="default"/>
                <w:sz w:val="20"/>
                <w:szCs w:val="20"/>
              </w:rPr>
              <w:t>年</w:t>
            </w:r>
          </w:p>
        </w:tc>
        <w:tc>
          <w:tcPr>
            <w:tcW w:w="1888" w:type="dxa"/>
            <w:tcBorders>
              <w:top w:val="nil" w:sz="6" w:space="0" w:color="auto"/>
              <w:left w:val="nil" w:sz="6" w:space="0" w:color="auto"/>
              <w:bottom w:val="nil" w:sz="6" w:space="0" w:color="auto"/>
              <w:right w:val="nil" w:sz="6" w:space="0" w:color="auto"/>
            </w:tcBorders>
          </w:tcPr>
          <w:p>
            <w:pPr>
              <w:pStyle w:val="TableParagraph"/>
              <w:spacing w:line="214" w:lineRule="exact"/>
              <w:ind w:right="212"/>
              <w:jc w:val="right"/>
              <w:rPr>
                <w:rFonts w:ascii="黑体" w:hAnsi="黑体" w:cs="黑体" w:eastAsia="黑体" w:hint="default"/>
                <w:sz w:val="20"/>
                <w:szCs w:val="20"/>
              </w:rPr>
            </w:pPr>
            <w:r>
              <w:rPr>
                <w:rFonts w:ascii="Arial" w:hAnsi="Arial" w:cs="Arial" w:eastAsia="Arial" w:hint="default"/>
                <w:sz w:val="20"/>
                <w:szCs w:val="20"/>
              </w:rPr>
              <w:t>2011</w:t>
            </w:r>
            <w:r>
              <w:rPr>
                <w:rFonts w:ascii="Arial" w:hAnsi="Arial" w:cs="Arial" w:eastAsia="Arial" w:hint="default"/>
                <w:spacing w:val="-9"/>
                <w:sz w:val="20"/>
                <w:szCs w:val="20"/>
              </w:rPr>
              <w:t> </w:t>
            </w:r>
            <w:r>
              <w:rPr>
                <w:rFonts w:ascii="黑体" w:hAnsi="黑体" w:cs="黑体" w:eastAsia="黑体" w:hint="default"/>
                <w:sz w:val="20"/>
                <w:szCs w:val="20"/>
              </w:rPr>
              <w:t>年</w:t>
            </w:r>
          </w:p>
        </w:tc>
      </w:tr>
      <w:tr>
        <w:trPr>
          <w:trHeight w:val="386" w:hRule="exact"/>
        </w:trPr>
        <w:tc>
          <w:tcPr>
            <w:tcW w:w="2973" w:type="dxa"/>
            <w:tcBorders>
              <w:top w:val="nil" w:sz="6" w:space="0" w:color="auto"/>
              <w:left w:val="nil" w:sz="6" w:space="0" w:color="auto"/>
              <w:bottom w:val="nil" w:sz="6" w:space="0" w:color="auto"/>
              <w:right w:val="nil" w:sz="6" w:space="0" w:color="auto"/>
            </w:tcBorders>
          </w:tcPr>
          <w:p>
            <w:pPr/>
          </w:p>
        </w:tc>
        <w:tc>
          <w:tcPr>
            <w:tcW w:w="3267" w:type="dxa"/>
            <w:tcBorders>
              <w:top w:val="nil" w:sz="6" w:space="0" w:color="auto"/>
              <w:left w:val="nil" w:sz="6" w:space="0" w:color="auto"/>
              <w:bottom w:val="nil" w:sz="6" w:space="0" w:color="auto"/>
              <w:right w:val="nil" w:sz="6" w:space="0" w:color="auto"/>
            </w:tcBorders>
          </w:tcPr>
          <w:p>
            <w:pPr>
              <w:pStyle w:val="TableParagraph"/>
              <w:spacing w:line="239" w:lineRule="exact"/>
              <w:ind w:right="691"/>
              <w:jc w:val="right"/>
              <w:rPr>
                <w:rFonts w:ascii="黑体" w:hAnsi="黑体" w:cs="黑体" w:eastAsia="黑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黑体" w:hAnsi="黑体" w:cs="黑体" w:eastAsia="黑体" w:hint="default"/>
                <w:sz w:val="20"/>
                <w:szCs w:val="20"/>
              </w:rPr>
              <w:t>月</w:t>
            </w:r>
            <w:r>
              <w:rPr>
                <w:rFonts w:ascii="黑体" w:hAnsi="黑体" w:cs="黑体" w:eastAsia="黑体" w:hint="default"/>
                <w:spacing w:val="-52"/>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黑体" w:hAnsi="黑体" w:cs="黑体" w:eastAsia="黑体" w:hint="default"/>
                <w:sz w:val="20"/>
                <w:szCs w:val="20"/>
              </w:rPr>
              <w:t>日</w:t>
            </w:r>
          </w:p>
        </w:tc>
        <w:tc>
          <w:tcPr>
            <w:tcW w:w="1888" w:type="dxa"/>
            <w:tcBorders>
              <w:top w:val="nil" w:sz="6" w:space="0" w:color="auto"/>
              <w:left w:val="nil" w:sz="6" w:space="0" w:color="auto"/>
              <w:bottom w:val="nil" w:sz="6" w:space="0" w:color="auto"/>
              <w:right w:val="nil" w:sz="6" w:space="0" w:color="auto"/>
            </w:tcBorders>
          </w:tcPr>
          <w:p>
            <w:pPr>
              <w:pStyle w:val="TableParagraph"/>
              <w:spacing w:line="239" w:lineRule="exact"/>
              <w:ind w:right="198"/>
              <w:jc w:val="right"/>
              <w:rPr>
                <w:rFonts w:ascii="黑体" w:hAnsi="黑体" w:cs="黑体" w:eastAsia="黑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黑体" w:hAnsi="黑体" w:cs="黑体" w:eastAsia="黑体" w:hint="default"/>
                <w:sz w:val="20"/>
                <w:szCs w:val="20"/>
              </w:rPr>
              <w:t>月</w:t>
            </w:r>
            <w:r>
              <w:rPr>
                <w:rFonts w:ascii="黑体" w:hAnsi="黑体" w:cs="黑体" w:eastAsia="黑体" w:hint="default"/>
                <w:spacing w:val="-52"/>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黑体" w:hAnsi="黑体" w:cs="黑体" w:eastAsia="黑体" w:hint="default"/>
                <w:sz w:val="20"/>
                <w:szCs w:val="20"/>
              </w:rPr>
              <w:t>日</w:t>
            </w:r>
          </w:p>
        </w:tc>
      </w:tr>
      <w:tr>
        <w:trPr>
          <w:trHeight w:val="392" w:hRule="exact"/>
        </w:trPr>
        <w:tc>
          <w:tcPr>
            <w:tcW w:w="2973"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00" w:right="0"/>
              <w:jc w:val="left"/>
              <w:rPr>
                <w:rFonts w:ascii="黑体" w:hAnsi="黑体" w:cs="黑体" w:eastAsia="黑体" w:hint="default"/>
                <w:sz w:val="20"/>
                <w:szCs w:val="20"/>
              </w:rPr>
            </w:pPr>
            <w:r>
              <w:rPr>
                <w:rFonts w:ascii="黑体" w:hAnsi="黑体" w:cs="黑体" w:eastAsia="黑体" w:hint="default"/>
                <w:sz w:val="20"/>
                <w:szCs w:val="20"/>
              </w:rPr>
              <w:t>银行承兑汇票</w:t>
            </w:r>
          </w:p>
        </w:tc>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691"/>
              <w:jc w:val="right"/>
              <w:rPr>
                <w:rFonts w:ascii="Arial" w:hAnsi="Arial" w:cs="Arial" w:eastAsia="Arial" w:hint="default"/>
                <w:sz w:val="20"/>
                <w:szCs w:val="20"/>
              </w:rPr>
            </w:pPr>
            <w:r>
              <w:rPr>
                <w:rFonts w:ascii="Arial"/>
                <w:spacing w:val="-1"/>
                <w:sz w:val="20"/>
              </w:rPr>
              <w:t>53,428,161</w:t>
            </w:r>
            <w:r>
              <w:rPr>
                <w:rFonts w:ascii="Arial"/>
                <w:sz w:val="20"/>
              </w:rPr>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198"/>
              <w:jc w:val="right"/>
              <w:rPr>
                <w:rFonts w:ascii="Arial" w:hAnsi="Arial" w:cs="Arial" w:eastAsia="Arial" w:hint="default"/>
                <w:sz w:val="20"/>
                <w:szCs w:val="20"/>
              </w:rPr>
            </w:pPr>
            <w:r>
              <w:rPr>
                <w:rFonts w:ascii="Arial"/>
                <w:spacing w:val="-1"/>
                <w:sz w:val="20"/>
              </w:rPr>
              <w:t>13,239,739</w:t>
            </w:r>
            <w:r>
              <w:rPr>
                <w:rFonts w:ascii="Arial"/>
                <w:sz w:val="20"/>
              </w:rPr>
            </w:r>
          </w:p>
        </w:tc>
      </w:tr>
      <w:tr>
        <w:trPr>
          <w:trHeight w:val="396" w:hRule="exact"/>
        </w:trPr>
        <w:tc>
          <w:tcPr>
            <w:tcW w:w="2973" w:type="dxa"/>
            <w:tcBorders>
              <w:top w:val="nil" w:sz="6" w:space="0" w:color="auto"/>
              <w:left w:val="nil" w:sz="6" w:space="0" w:color="auto"/>
              <w:bottom w:val="nil" w:sz="6" w:space="0" w:color="auto"/>
              <w:right w:val="nil" w:sz="6" w:space="0" w:color="auto"/>
            </w:tcBorders>
          </w:tcPr>
          <w:p>
            <w:pPr>
              <w:pStyle w:val="TableParagraph"/>
              <w:spacing w:line="218" w:lineRule="exact"/>
              <w:ind w:left="200" w:right="0"/>
              <w:jc w:val="left"/>
              <w:rPr>
                <w:rFonts w:ascii="黑体" w:hAnsi="黑体" w:cs="黑体" w:eastAsia="黑体" w:hint="default"/>
                <w:sz w:val="20"/>
                <w:szCs w:val="20"/>
              </w:rPr>
            </w:pPr>
            <w:r>
              <w:rPr>
                <w:rFonts w:ascii="黑体" w:hAnsi="黑体" w:cs="黑体" w:eastAsia="黑体" w:hint="default"/>
                <w:sz w:val="20"/>
                <w:szCs w:val="20"/>
              </w:rPr>
              <w:t>商业承兑汇票</w:t>
            </w:r>
          </w:p>
        </w:tc>
        <w:tc>
          <w:tcPr>
            <w:tcW w:w="3267" w:type="dxa"/>
            <w:tcBorders>
              <w:top w:val="nil" w:sz="6" w:space="0" w:color="auto"/>
              <w:left w:val="nil" w:sz="6" w:space="0" w:color="auto"/>
              <w:bottom w:val="nil" w:sz="6" w:space="0" w:color="auto"/>
              <w:right w:val="nil" w:sz="6" w:space="0" w:color="auto"/>
            </w:tcBorders>
          </w:tcPr>
          <w:p>
            <w:pPr>
              <w:pStyle w:val="TableParagraph"/>
              <w:tabs>
                <w:tab w:pos="921" w:val="left" w:leader="none"/>
              </w:tabs>
              <w:spacing w:line="240" w:lineRule="auto" w:before="14"/>
              <w:ind w:right="687"/>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888" w:type="dxa"/>
            <w:tcBorders>
              <w:top w:val="nil" w:sz="6" w:space="0" w:color="auto"/>
              <w:left w:val="nil" w:sz="6" w:space="0" w:color="auto"/>
              <w:bottom w:val="nil" w:sz="6" w:space="0" w:color="auto"/>
              <w:right w:val="nil" w:sz="6" w:space="0" w:color="auto"/>
            </w:tcBorders>
          </w:tcPr>
          <w:p>
            <w:pPr>
              <w:pStyle w:val="TableParagraph"/>
              <w:tabs>
                <w:tab w:pos="403" w:val="left" w:leader="none"/>
              </w:tabs>
              <w:spacing w:line="240" w:lineRule="auto" w:before="14"/>
              <w:ind w:right="19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14,642</w:t>
            </w:r>
            <w:r>
              <w:rPr>
                <w:rFonts w:ascii="Arial"/>
                <w:spacing w:val="-1"/>
                <w:w w:val="95"/>
                <w:sz w:val="20"/>
              </w:rPr>
            </w:r>
            <w:r>
              <w:rPr>
                <w:rFonts w:ascii="Arial"/>
                <w:sz w:val="20"/>
              </w:rPr>
            </w:r>
          </w:p>
        </w:tc>
      </w:tr>
      <w:tr>
        <w:trPr>
          <w:trHeight w:val="355" w:hRule="exact"/>
        </w:trPr>
        <w:tc>
          <w:tcPr>
            <w:tcW w:w="2973" w:type="dxa"/>
            <w:tcBorders>
              <w:top w:val="nil" w:sz="6" w:space="0" w:color="auto"/>
              <w:left w:val="nil" w:sz="6" w:space="0" w:color="auto"/>
              <w:bottom w:val="nil" w:sz="6" w:space="0" w:color="auto"/>
              <w:right w:val="nil" w:sz="6" w:space="0" w:color="auto"/>
            </w:tcBorders>
          </w:tcPr>
          <w:p>
            <w:pPr/>
          </w:p>
        </w:tc>
        <w:tc>
          <w:tcPr>
            <w:tcW w:w="3267"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691"/>
              <w:jc w:val="right"/>
              <w:rPr>
                <w:rFonts w:ascii="Arial" w:hAnsi="Arial" w:cs="Arial" w:eastAsia="Arial" w:hint="default"/>
                <w:sz w:val="20"/>
                <w:szCs w:val="20"/>
              </w:rPr>
            </w:pPr>
            <w:r>
              <w:rPr>
                <w:rFonts w:ascii="Arial"/>
                <w:w w:val="99"/>
                <w:sz w:val="20"/>
              </w:rPr>
            </w:r>
            <w:r>
              <w:rPr>
                <w:rFonts w:ascii="Arial"/>
                <w:spacing w:val="-1"/>
                <w:sz w:val="20"/>
                <w:u w:val="thick" w:color="000000"/>
              </w:rPr>
              <w:t>53,428,161</w:t>
            </w:r>
            <w:r>
              <w:rPr>
                <w:rFonts w:ascii="Arial"/>
                <w:spacing w:val="-1"/>
                <w:sz w:val="20"/>
              </w:rPr>
            </w:r>
            <w:r>
              <w:rPr>
                <w:rFonts w:ascii="Arial"/>
                <w:sz w:val="20"/>
              </w:rPr>
            </w:r>
          </w:p>
        </w:tc>
        <w:tc>
          <w:tcPr>
            <w:tcW w:w="1888"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13,254,381</w:t>
            </w:r>
            <w:r>
              <w:rPr>
                <w:rFonts w:ascii="Arial"/>
                <w:spacing w:val="-1"/>
                <w:sz w:val="20"/>
              </w:rPr>
            </w:r>
            <w:r>
              <w:rPr>
                <w:rFonts w:ascii="Arial"/>
                <w:sz w:val="20"/>
              </w:rPr>
            </w:r>
          </w:p>
        </w:tc>
      </w:tr>
    </w:tbl>
    <w:p>
      <w:pPr>
        <w:spacing w:line="240" w:lineRule="auto" w:before="6"/>
        <w:rPr>
          <w:rFonts w:ascii="黑体" w:hAnsi="黑体" w:cs="黑体" w:eastAsia="黑体" w:hint="default"/>
          <w:b/>
          <w:bCs/>
          <w:sz w:val="19"/>
          <w:szCs w:val="19"/>
        </w:rPr>
      </w:pPr>
    </w:p>
    <w:p>
      <w:pPr>
        <w:pStyle w:val="BodyText"/>
        <w:spacing w:line="261" w:lineRule="auto" w:before="37"/>
        <w:ind w:left="854" w:right="0"/>
        <w:jc w:val="left"/>
      </w:pP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日，本账户余额中无已贴现取得短期借款的应收票据</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w:t>
      </w:r>
      <w:r>
        <w:rPr>
          <w:spacing w:val="-73"/>
        </w:rPr>
        <w:t> </w:t>
      </w:r>
      <w:r>
        <w:rPr/>
        <w:t>无</w:t>
      </w:r>
      <w:r>
        <w:rPr>
          <w:rFonts w:ascii="Arial" w:hAnsi="Arial" w:cs="Arial" w:eastAsia="Arial" w:hint="default"/>
        </w:rPr>
        <w:t>)</w:t>
      </w:r>
      <w:r>
        <w:rPr/>
        <w:t>；亦无已质押的应收票据</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w:t>
      </w:r>
    </w:p>
    <w:p>
      <w:pPr>
        <w:spacing w:line="240" w:lineRule="auto" w:before="8"/>
        <w:rPr>
          <w:rFonts w:ascii="黑体" w:hAnsi="黑体" w:cs="黑体" w:eastAsia="黑体" w:hint="default"/>
          <w:sz w:val="21"/>
          <w:szCs w:val="21"/>
        </w:rPr>
      </w:pPr>
    </w:p>
    <w:p>
      <w:pPr>
        <w:pStyle w:val="BodyText"/>
        <w:tabs>
          <w:tab w:pos="878" w:val="left" w:leader="none"/>
        </w:tabs>
        <w:spacing w:line="513" w:lineRule="auto"/>
        <w:ind w:left="854" w:right="1090" w:hanging="727"/>
        <w:jc w:val="left"/>
      </w:pPr>
      <w:r>
        <w:rPr>
          <w:rFonts w:ascii="Arial" w:hAnsi="Arial" w:cs="Arial" w:eastAsia="Arial" w:hint="default"/>
          <w:b/>
          <w:bCs/>
          <w:spacing w:val="-1"/>
        </w:rPr>
        <w:t>3.</w:t>
        <w:tab/>
        <w:tab/>
      </w:r>
      <w:r>
        <w:rPr>
          <w:rFonts w:ascii="黑体" w:hAnsi="黑体" w:cs="黑体" w:eastAsia="黑体" w:hint="default"/>
          <w:b/>
          <w:bCs/>
          <w:spacing w:val="1"/>
        </w:rPr>
        <w:t>应收账款</w:t>
      </w:r>
      <w:r>
        <w:rPr>
          <w:rFonts w:ascii="黑体" w:hAnsi="黑体" w:cs="黑体" w:eastAsia="黑体" w:hint="default"/>
          <w:b/>
          <w:bCs/>
          <w:spacing w:val="2"/>
          <w:w w:val="99"/>
        </w:rPr>
        <w:t> </w:t>
      </w:r>
      <w:r>
        <w:rPr>
          <w:w w:val="95"/>
        </w:rPr>
        <w:t>应收账款信用期通常为</w:t>
      </w:r>
      <w:r>
        <w:rPr>
          <w:rFonts w:ascii="Arial" w:hAnsi="Arial" w:cs="Arial" w:eastAsia="Arial" w:hint="default"/>
          <w:w w:val="95"/>
        </w:rPr>
        <w:t>1</w:t>
      </w:r>
      <w:r>
        <w:rPr>
          <w:w w:val="95"/>
        </w:rPr>
        <w:t>个月，主要客户可以延长至</w:t>
      </w:r>
      <w:r>
        <w:rPr>
          <w:rFonts w:ascii="Arial" w:hAnsi="Arial" w:cs="Arial" w:eastAsia="Arial" w:hint="default"/>
          <w:w w:val="95"/>
        </w:rPr>
        <w:t>3</w:t>
      </w:r>
      <w:bookmarkStart w:name="3.     应收账款" w:id="60"/>
      <w:bookmarkEnd w:id="60"/>
      <w:r>
        <w:rPr>
          <w:rFonts w:ascii="Arial" w:hAnsi="Arial" w:cs="Arial" w:eastAsia="Arial" w:hint="default"/>
          <w:w w:val="95"/>
        </w:rPr>
      </w:r>
      <w:r>
        <w:rPr>
          <w:w w:val="95"/>
        </w:rPr>
        <w:t>个月。应收账款并不计息。</w:t>
      </w:r>
      <w:r>
        <w:rPr>
          <w:w w:val="99"/>
        </w:rPr>
        <w:t> </w:t>
      </w:r>
      <w:r>
        <w:rPr/>
        <w:t>应收账款的账龄分析如下：</w:t>
      </w:r>
    </w:p>
    <w:p>
      <w:pPr>
        <w:spacing w:line="240" w:lineRule="auto" w:before="12"/>
        <w:rPr>
          <w:rFonts w:ascii="黑体" w:hAnsi="黑体" w:cs="黑体" w:eastAsia="黑体" w:hint="default"/>
          <w:sz w:val="11"/>
          <w:szCs w:val="11"/>
        </w:rPr>
      </w:pPr>
    </w:p>
    <w:tbl>
      <w:tblPr>
        <w:tblW w:w="0" w:type="auto"/>
        <w:jc w:val="left"/>
        <w:tblInd w:w="668" w:type="dxa"/>
        <w:tblLayout w:type="fixed"/>
        <w:tblCellMar>
          <w:top w:w="0" w:type="dxa"/>
          <w:left w:w="0" w:type="dxa"/>
          <w:bottom w:w="0" w:type="dxa"/>
          <w:right w:w="0" w:type="dxa"/>
        </w:tblCellMar>
        <w:tblLook w:val="01E0"/>
      </w:tblPr>
      <w:tblGrid>
        <w:gridCol w:w="3318"/>
        <w:gridCol w:w="2807"/>
        <w:gridCol w:w="2059"/>
      </w:tblGrid>
      <w:tr>
        <w:trPr>
          <w:trHeight w:val="234" w:hRule="exact"/>
        </w:trPr>
        <w:tc>
          <w:tcPr>
            <w:tcW w:w="3318" w:type="dxa"/>
            <w:tcBorders>
              <w:top w:val="nil" w:sz="6" w:space="0" w:color="auto"/>
              <w:left w:val="nil" w:sz="6" w:space="0" w:color="auto"/>
              <w:bottom w:val="nil" w:sz="6" w:space="0" w:color="auto"/>
              <w:right w:val="nil" w:sz="6" w:space="0" w:color="auto"/>
            </w:tcBorders>
          </w:tcPr>
          <w:p>
            <w:pPr/>
          </w:p>
        </w:tc>
        <w:tc>
          <w:tcPr>
            <w:tcW w:w="2807" w:type="dxa"/>
            <w:tcBorders>
              <w:top w:val="nil" w:sz="6" w:space="0" w:color="auto"/>
              <w:left w:val="nil" w:sz="6" w:space="0" w:color="auto"/>
              <w:bottom w:val="nil" w:sz="6" w:space="0" w:color="auto"/>
              <w:right w:val="nil" w:sz="6" w:space="0" w:color="auto"/>
            </w:tcBorders>
          </w:tcPr>
          <w:p>
            <w:pPr>
              <w:pStyle w:val="TableParagraph"/>
              <w:spacing w:line="214" w:lineRule="exact"/>
              <w:ind w:right="574"/>
              <w:jc w:val="right"/>
              <w:rPr>
                <w:rFonts w:ascii="黑体" w:hAnsi="黑体" w:cs="黑体" w:eastAsia="黑体" w:hint="default"/>
                <w:sz w:val="20"/>
                <w:szCs w:val="20"/>
              </w:rPr>
            </w:pPr>
            <w:r>
              <w:rPr>
                <w:rFonts w:ascii="Arial" w:hAnsi="Arial" w:cs="Arial" w:eastAsia="Arial" w:hint="default"/>
                <w:sz w:val="20"/>
                <w:szCs w:val="20"/>
              </w:rPr>
              <w:t>2012</w:t>
            </w:r>
            <w:r>
              <w:rPr>
                <w:rFonts w:ascii="Arial" w:hAnsi="Arial" w:cs="Arial" w:eastAsia="Arial" w:hint="default"/>
                <w:spacing w:val="-9"/>
                <w:sz w:val="20"/>
                <w:szCs w:val="20"/>
              </w:rPr>
              <w:t> </w:t>
            </w:r>
            <w:r>
              <w:rPr>
                <w:rFonts w:ascii="黑体" w:hAnsi="黑体" w:cs="黑体" w:eastAsia="黑体" w:hint="default"/>
                <w:sz w:val="20"/>
                <w:szCs w:val="20"/>
              </w:rPr>
              <w:t>年</w:t>
            </w:r>
          </w:p>
        </w:tc>
        <w:tc>
          <w:tcPr>
            <w:tcW w:w="2059" w:type="dxa"/>
            <w:tcBorders>
              <w:top w:val="nil" w:sz="6" w:space="0" w:color="auto"/>
              <w:left w:val="nil" w:sz="6" w:space="0" w:color="auto"/>
              <w:bottom w:val="nil" w:sz="6" w:space="0" w:color="auto"/>
              <w:right w:val="nil" w:sz="6" w:space="0" w:color="auto"/>
            </w:tcBorders>
          </w:tcPr>
          <w:p>
            <w:pPr>
              <w:pStyle w:val="TableParagraph"/>
              <w:spacing w:line="214" w:lineRule="exact"/>
              <w:ind w:right="198"/>
              <w:jc w:val="right"/>
              <w:rPr>
                <w:rFonts w:ascii="黑体" w:hAnsi="黑体" w:cs="黑体" w:eastAsia="黑体" w:hint="default"/>
                <w:sz w:val="20"/>
                <w:szCs w:val="20"/>
              </w:rPr>
            </w:pPr>
            <w:r>
              <w:rPr>
                <w:rFonts w:ascii="Arial" w:hAnsi="Arial" w:cs="Arial" w:eastAsia="Arial" w:hint="default"/>
                <w:sz w:val="20"/>
                <w:szCs w:val="20"/>
              </w:rPr>
              <w:t>2011</w:t>
            </w:r>
            <w:r>
              <w:rPr>
                <w:rFonts w:ascii="Arial" w:hAnsi="Arial" w:cs="Arial" w:eastAsia="Arial" w:hint="default"/>
                <w:spacing w:val="-9"/>
                <w:sz w:val="20"/>
                <w:szCs w:val="20"/>
              </w:rPr>
              <w:t> </w:t>
            </w:r>
            <w:r>
              <w:rPr>
                <w:rFonts w:ascii="黑体" w:hAnsi="黑体" w:cs="黑体" w:eastAsia="黑体" w:hint="default"/>
                <w:sz w:val="20"/>
                <w:szCs w:val="20"/>
              </w:rPr>
              <w:t>年</w:t>
            </w:r>
          </w:p>
        </w:tc>
      </w:tr>
      <w:tr>
        <w:trPr>
          <w:trHeight w:val="386" w:hRule="exact"/>
        </w:trPr>
        <w:tc>
          <w:tcPr>
            <w:tcW w:w="3318" w:type="dxa"/>
            <w:tcBorders>
              <w:top w:val="nil" w:sz="6" w:space="0" w:color="auto"/>
              <w:left w:val="nil" w:sz="6" w:space="0" w:color="auto"/>
              <w:bottom w:val="nil" w:sz="6" w:space="0" w:color="auto"/>
              <w:right w:val="nil" w:sz="6" w:space="0" w:color="auto"/>
            </w:tcBorders>
          </w:tcPr>
          <w:p>
            <w:pPr/>
          </w:p>
        </w:tc>
        <w:tc>
          <w:tcPr>
            <w:tcW w:w="2807" w:type="dxa"/>
            <w:tcBorders>
              <w:top w:val="nil" w:sz="6" w:space="0" w:color="auto"/>
              <w:left w:val="nil" w:sz="6" w:space="0" w:color="auto"/>
              <w:bottom w:val="nil" w:sz="6" w:space="0" w:color="auto"/>
              <w:right w:val="nil" w:sz="6" w:space="0" w:color="auto"/>
            </w:tcBorders>
          </w:tcPr>
          <w:p>
            <w:pPr>
              <w:pStyle w:val="TableParagraph"/>
              <w:spacing w:line="239" w:lineRule="exact"/>
              <w:ind w:right="575"/>
              <w:jc w:val="right"/>
              <w:rPr>
                <w:rFonts w:ascii="黑体" w:hAnsi="黑体" w:cs="黑体" w:eastAsia="黑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黑体" w:hAnsi="黑体" w:cs="黑体" w:eastAsia="黑体" w:hint="default"/>
                <w:sz w:val="20"/>
                <w:szCs w:val="20"/>
              </w:rPr>
              <w:t>月</w:t>
            </w:r>
            <w:r>
              <w:rPr>
                <w:rFonts w:ascii="黑体" w:hAnsi="黑体" w:cs="黑体" w:eastAsia="黑体" w:hint="default"/>
                <w:spacing w:val="-52"/>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黑体" w:hAnsi="黑体" w:cs="黑体" w:eastAsia="黑体" w:hint="default"/>
                <w:sz w:val="20"/>
                <w:szCs w:val="20"/>
              </w:rPr>
              <w:t>日</w:t>
            </w:r>
          </w:p>
        </w:tc>
        <w:tc>
          <w:tcPr>
            <w:tcW w:w="2059" w:type="dxa"/>
            <w:tcBorders>
              <w:top w:val="nil" w:sz="6" w:space="0" w:color="auto"/>
              <w:left w:val="nil" w:sz="6" w:space="0" w:color="auto"/>
              <w:bottom w:val="nil" w:sz="6" w:space="0" w:color="auto"/>
              <w:right w:val="nil" w:sz="6" w:space="0" w:color="auto"/>
            </w:tcBorders>
          </w:tcPr>
          <w:p>
            <w:pPr>
              <w:pStyle w:val="TableParagraph"/>
              <w:spacing w:line="239" w:lineRule="exact"/>
              <w:ind w:right="198"/>
              <w:jc w:val="right"/>
              <w:rPr>
                <w:rFonts w:ascii="黑体" w:hAnsi="黑体" w:cs="黑体" w:eastAsia="黑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黑体" w:hAnsi="黑体" w:cs="黑体" w:eastAsia="黑体" w:hint="default"/>
                <w:sz w:val="20"/>
                <w:szCs w:val="20"/>
              </w:rPr>
              <w:t>月</w:t>
            </w:r>
            <w:r>
              <w:rPr>
                <w:rFonts w:ascii="黑体" w:hAnsi="黑体" w:cs="黑体" w:eastAsia="黑体" w:hint="default"/>
                <w:spacing w:val="-52"/>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黑体" w:hAnsi="黑体" w:cs="黑体" w:eastAsia="黑体" w:hint="default"/>
                <w:sz w:val="20"/>
                <w:szCs w:val="20"/>
              </w:rPr>
              <w:t>日</w:t>
            </w:r>
          </w:p>
        </w:tc>
      </w:tr>
      <w:tr>
        <w:trPr>
          <w:trHeight w:val="394" w:hRule="exact"/>
        </w:trPr>
        <w:tc>
          <w:tcPr>
            <w:tcW w:w="3318"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00" w:right="0"/>
              <w:jc w:val="lef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9"/>
                <w:sz w:val="20"/>
                <w:szCs w:val="20"/>
              </w:rPr>
              <w:t> </w:t>
            </w:r>
            <w:r>
              <w:rPr>
                <w:rFonts w:ascii="黑体" w:hAnsi="黑体" w:cs="黑体" w:eastAsia="黑体" w:hint="default"/>
                <w:sz w:val="20"/>
                <w:szCs w:val="20"/>
              </w:rPr>
              <w:t>年以内</w:t>
            </w:r>
          </w:p>
        </w:tc>
        <w:tc>
          <w:tcPr>
            <w:tcW w:w="2807"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556"/>
              <w:jc w:val="right"/>
              <w:rPr>
                <w:rFonts w:ascii="Arial" w:hAnsi="Arial" w:cs="Arial" w:eastAsia="Arial" w:hint="default"/>
                <w:sz w:val="20"/>
                <w:szCs w:val="20"/>
              </w:rPr>
            </w:pPr>
            <w:r>
              <w:rPr>
                <w:rFonts w:ascii="Arial"/>
                <w:spacing w:val="-1"/>
                <w:sz w:val="20"/>
              </w:rPr>
              <w:t>822,370,686</w:t>
            </w:r>
            <w:r>
              <w:rPr>
                <w:rFonts w:ascii="Arial"/>
                <w:sz w:val="20"/>
              </w:rPr>
            </w: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205"/>
              <w:jc w:val="right"/>
              <w:rPr>
                <w:rFonts w:ascii="Arial" w:hAnsi="Arial" w:cs="Arial" w:eastAsia="Arial" w:hint="default"/>
                <w:sz w:val="20"/>
                <w:szCs w:val="20"/>
              </w:rPr>
            </w:pPr>
            <w:r>
              <w:rPr>
                <w:rFonts w:ascii="Arial"/>
                <w:spacing w:val="-1"/>
                <w:sz w:val="20"/>
              </w:rPr>
              <w:t>1,018,842,583</w:t>
            </w:r>
            <w:r>
              <w:rPr>
                <w:rFonts w:ascii="Arial"/>
                <w:sz w:val="20"/>
              </w:rPr>
            </w:r>
          </w:p>
        </w:tc>
      </w:tr>
      <w:tr>
        <w:trPr>
          <w:trHeight w:val="259" w:hRule="exact"/>
        </w:trPr>
        <w:tc>
          <w:tcPr>
            <w:tcW w:w="3318" w:type="dxa"/>
            <w:tcBorders>
              <w:top w:val="nil" w:sz="6" w:space="0" w:color="auto"/>
              <w:left w:val="nil" w:sz="6" w:space="0" w:color="auto"/>
              <w:bottom w:val="nil" w:sz="6" w:space="0" w:color="auto"/>
              <w:right w:val="nil" w:sz="6" w:space="0" w:color="auto"/>
            </w:tcBorders>
          </w:tcPr>
          <w:p>
            <w:pPr>
              <w:pStyle w:val="TableParagraph"/>
              <w:spacing w:line="231" w:lineRule="exact"/>
              <w:ind w:left="200" w:right="0"/>
              <w:jc w:val="lef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8"/>
                <w:sz w:val="20"/>
                <w:szCs w:val="20"/>
              </w:rPr>
              <w:t> </w:t>
            </w:r>
            <w:r>
              <w:rPr>
                <w:rFonts w:ascii="黑体" w:hAnsi="黑体" w:cs="黑体" w:eastAsia="黑体" w:hint="default"/>
                <w:sz w:val="20"/>
                <w:szCs w:val="20"/>
              </w:rPr>
              <w:t>年至</w:t>
            </w:r>
            <w:r>
              <w:rPr>
                <w:rFonts w:ascii="黑体" w:hAnsi="黑体" w:cs="黑体" w:eastAsia="黑体" w:hint="default"/>
                <w:spacing w:val="-52"/>
                <w:sz w:val="20"/>
                <w:szCs w:val="20"/>
              </w:rPr>
              <w:t> </w:t>
            </w:r>
            <w:r>
              <w:rPr>
                <w:rFonts w:ascii="Arial" w:hAnsi="Arial" w:cs="Arial" w:eastAsia="Arial" w:hint="default"/>
                <w:sz w:val="20"/>
                <w:szCs w:val="20"/>
              </w:rPr>
              <w:t>2</w:t>
            </w:r>
            <w:r>
              <w:rPr>
                <w:rFonts w:ascii="Arial" w:hAnsi="Arial" w:cs="Arial" w:eastAsia="Arial" w:hint="default"/>
                <w:spacing w:val="-8"/>
                <w:sz w:val="20"/>
                <w:szCs w:val="20"/>
              </w:rPr>
              <w:t> </w:t>
            </w:r>
            <w:r>
              <w:rPr>
                <w:rFonts w:ascii="黑体" w:hAnsi="黑体" w:cs="黑体" w:eastAsia="黑体" w:hint="default"/>
                <w:sz w:val="20"/>
                <w:szCs w:val="20"/>
              </w:rPr>
              <w:t>年</w:t>
            </w:r>
          </w:p>
        </w:tc>
        <w:tc>
          <w:tcPr>
            <w:tcW w:w="280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56"/>
              <w:jc w:val="right"/>
              <w:rPr>
                <w:rFonts w:ascii="Arial" w:hAnsi="Arial" w:cs="Arial" w:eastAsia="Arial" w:hint="default"/>
                <w:sz w:val="20"/>
                <w:szCs w:val="20"/>
              </w:rPr>
            </w:pPr>
            <w:r>
              <w:rPr>
                <w:rFonts w:ascii="Arial"/>
                <w:spacing w:val="-1"/>
                <w:sz w:val="20"/>
              </w:rPr>
              <w:t>449,224,269</w:t>
            </w:r>
            <w:r>
              <w:rPr>
                <w:rFonts w:ascii="Arial"/>
                <w:sz w:val="20"/>
              </w:rPr>
            </w: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5"/>
              <w:jc w:val="right"/>
              <w:rPr>
                <w:rFonts w:ascii="Arial" w:hAnsi="Arial" w:cs="Arial" w:eastAsia="Arial" w:hint="default"/>
                <w:sz w:val="20"/>
                <w:szCs w:val="20"/>
              </w:rPr>
            </w:pPr>
            <w:r>
              <w:rPr>
                <w:rFonts w:ascii="Arial"/>
                <w:spacing w:val="-1"/>
                <w:sz w:val="20"/>
              </w:rPr>
              <w:t>252,553,514</w:t>
            </w:r>
            <w:r>
              <w:rPr>
                <w:rFonts w:ascii="Arial"/>
                <w:sz w:val="20"/>
              </w:rPr>
            </w:r>
          </w:p>
        </w:tc>
      </w:tr>
      <w:tr>
        <w:trPr>
          <w:trHeight w:val="259" w:hRule="exact"/>
        </w:trPr>
        <w:tc>
          <w:tcPr>
            <w:tcW w:w="3318" w:type="dxa"/>
            <w:tcBorders>
              <w:top w:val="nil" w:sz="6" w:space="0" w:color="auto"/>
              <w:left w:val="nil" w:sz="6" w:space="0" w:color="auto"/>
              <w:bottom w:val="nil" w:sz="6" w:space="0" w:color="auto"/>
              <w:right w:val="nil" w:sz="6" w:space="0" w:color="auto"/>
            </w:tcBorders>
          </w:tcPr>
          <w:p>
            <w:pPr>
              <w:pStyle w:val="TableParagraph"/>
              <w:spacing w:line="231" w:lineRule="exact"/>
              <w:ind w:left="200" w:right="0"/>
              <w:jc w:val="left"/>
              <w:rPr>
                <w:rFonts w:ascii="黑体" w:hAnsi="黑体" w:cs="黑体" w:eastAsia="黑体" w:hint="default"/>
                <w:sz w:val="20"/>
                <w:szCs w:val="20"/>
              </w:rPr>
            </w:pPr>
            <w:r>
              <w:rPr>
                <w:rFonts w:ascii="Arial" w:hAnsi="Arial" w:cs="Arial" w:eastAsia="Arial" w:hint="default"/>
                <w:sz w:val="20"/>
                <w:szCs w:val="20"/>
              </w:rPr>
              <w:t>2</w:t>
            </w:r>
            <w:r>
              <w:rPr>
                <w:rFonts w:ascii="Arial" w:hAnsi="Arial" w:cs="Arial" w:eastAsia="Arial" w:hint="default"/>
                <w:spacing w:val="-8"/>
                <w:sz w:val="20"/>
                <w:szCs w:val="20"/>
              </w:rPr>
              <w:t> </w:t>
            </w:r>
            <w:r>
              <w:rPr>
                <w:rFonts w:ascii="黑体" w:hAnsi="黑体" w:cs="黑体" w:eastAsia="黑体" w:hint="default"/>
                <w:sz w:val="20"/>
                <w:szCs w:val="20"/>
              </w:rPr>
              <w:t>年至</w:t>
            </w:r>
            <w:r>
              <w:rPr>
                <w:rFonts w:ascii="黑体" w:hAnsi="黑体" w:cs="黑体" w:eastAsia="黑体" w:hint="default"/>
                <w:spacing w:val="-52"/>
                <w:sz w:val="20"/>
                <w:szCs w:val="20"/>
              </w:rPr>
              <w:t> </w:t>
            </w:r>
            <w:r>
              <w:rPr>
                <w:rFonts w:ascii="Arial" w:hAnsi="Arial" w:cs="Arial" w:eastAsia="Arial" w:hint="default"/>
                <w:sz w:val="20"/>
                <w:szCs w:val="20"/>
              </w:rPr>
              <w:t>3</w:t>
            </w:r>
            <w:r>
              <w:rPr>
                <w:rFonts w:ascii="Arial" w:hAnsi="Arial" w:cs="Arial" w:eastAsia="Arial" w:hint="default"/>
                <w:spacing w:val="-8"/>
                <w:sz w:val="20"/>
                <w:szCs w:val="20"/>
              </w:rPr>
              <w:t> </w:t>
            </w:r>
            <w:r>
              <w:rPr>
                <w:rFonts w:ascii="黑体" w:hAnsi="黑体" w:cs="黑体" w:eastAsia="黑体" w:hint="default"/>
                <w:sz w:val="20"/>
                <w:szCs w:val="20"/>
              </w:rPr>
              <w:t>年</w:t>
            </w:r>
          </w:p>
        </w:tc>
        <w:tc>
          <w:tcPr>
            <w:tcW w:w="280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56"/>
              <w:jc w:val="right"/>
              <w:rPr>
                <w:rFonts w:ascii="Arial" w:hAnsi="Arial" w:cs="Arial" w:eastAsia="Arial" w:hint="default"/>
                <w:sz w:val="20"/>
                <w:szCs w:val="20"/>
              </w:rPr>
            </w:pPr>
            <w:r>
              <w:rPr>
                <w:rFonts w:ascii="Arial"/>
                <w:spacing w:val="-1"/>
                <w:sz w:val="20"/>
              </w:rPr>
              <w:t>111,852,424</w:t>
            </w:r>
            <w:r>
              <w:rPr>
                <w:rFonts w:ascii="Arial"/>
                <w:sz w:val="20"/>
              </w:rPr>
            </w: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5"/>
              <w:jc w:val="right"/>
              <w:rPr>
                <w:rFonts w:ascii="Arial" w:hAnsi="Arial" w:cs="Arial" w:eastAsia="Arial" w:hint="default"/>
                <w:sz w:val="20"/>
                <w:szCs w:val="20"/>
              </w:rPr>
            </w:pPr>
            <w:r>
              <w:rPr>
                <w:rFonts w:ascii="Arial"/>
                <w:spacing w:val="-1"/>
                <w:sz w:val="20"/>
              </w:rPr>
              <w:t>41,285,898</w:t>
            </w:r>
            <w:r>
              <w:rPr>
                <w:rFonts w:ascii="Arial"/>
                <w:sz w:val="20"/>
              </w:rPr>
            </w:r>
          </w:p>
        </w:tc>
      </w:tr>
      <w:tr>
        <w:trPr>
          <w:trHeight w:val="269" w:hRule="exact"/>
        </w:trPr>
        <w:tc>
          <w:tcPr>
            <w:tcW w:w="3318" w:type="dxa"/>
            <w:tcBorders>
              <w:top w:val="nil" w:sz="6" w:space="0" w:color="auto"/>
              <w:left w:val="nil" w:sz="6" w:space="0" w:color="auto"/>
              <w:bottom w:val="nil" w:sz="6" w:space="0" w:color="auto"/>
              <w:right w:val="nil" w:sz="6" w:space="0" w:color="auto"/>
            </w:tcBorders>
          </w:tcPr>
          <w:p>
            <w:pPr>
              <w:pStyle w:val="TableParagraph"/>
              <w:spacing w:line="231" w:lineRule="exact"/>
              <w:ind w:left="200" w:right="0"/>
              <w:jc w:val="left"/>
              <w:rPr>
                <w:rFonts w:ascii="黑体" w:hAnsi="黑体" w:cs="黑体" w:eastAsia="黑体" w:hint="default"/>
                <w:sz w:val="20"/>
                <w:szCs w:val="20"/>
              </w:rPr>
            </w:pPr>
            <w:r>
              <w:rPr>
                <w:rFonts w:ascii="Arial" w:hAnsi="Arial" w:cs="Arial" w:eastAsia="Arial" w:hint="default"/>
                <w:sz w:val="20"/>
                <w:szCs w:val="20"/>
              </w:rPr>
              <w:t>3</w:t>
            </w:r>
            <w:r>
              <w:rPr>
                <w:rFonts w:ascii="Arial" w:hAnsi="Arial" w:cs="Arial" w:eastAsia="Arial" w:hint="default"/>
                <w:spacing w:val="-9"/>
                <w:sz w:val="20"/>
                <w:szCs w:val="20"/>
              </w:rPr>
              <w:t> </w:t>
            </w:r>
            <w:r>
              <w:rPr>
                <w:rFonts w:ascii="黑体" w:hAnsi="黑体" w:cs="黑体" w:eastAsia="黑体" w:hint="default"/>
                <w:sz w:val="20"/>
                <w:szCs w:val="20"/>
              </w:rPr>
              <w:t>年以上</w:t>
            </w:r>
          </w:p>
        </w:tc>
        <w:tc>
          <w:tcPr>
            <w:tcW w:w="280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56"/>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17"/>
                <w:sz w:val="20"/>
                <w:u w:val="single" w:color="000000"/>
              </w:rPr>
              <w:t> </w:t>
            </w:r>
            <w:r>
              <w:rPr>
                <w:rFonts w:ascii="Arial"/>
                <w:spacing w:val="-1"/>
                <w:sz w:val="20"/>
                <w:u w:val="single" w:color="000000"/>
              </w:rPr>
              <w:t>65,526,927</w:t>
            </w:r>
            <w:r>
              <w:rPr>
                <w:rFonts w:ascii="Arial"/>
                <w:spacing w:val="-1"/>
                <w:sz w:val="20"/>
              </w:rPr>
            </w:r>
            <w:r>
              <w:rPr>
                <w:rFonts w:ascii="Arial"/>
                <w:sz w:val="20"/>
              </w:rPr>
            </w:r>
          </w:p>
        </w:tc>
        <w:tc>
          <w:tcPr>
            <w:tcW w:w="2059" w:type="dxa"/>
            <w:tcBorders>
              <w:top w:val="nil" w:sz="6" w:space="0" w:color="auto"/>
              <w:left w:val="nil" w:sz="6" w:space="0" w:color="auto"/>
              <w:bottom w:val="nil" w:sz="6" w:space="0" w:color="auto"/>
              <w:right w:val="nil" w:sz="6" w:space="0" w:color="auto"/>
            </w:tcBorders>
          </w:tcPr>
          <w:p>
            <w:pPr>
              <w:pStyle w:val="TableParagraph"/>
              <w:tabs>
                <w:tab w:pos="283" w:val="left" w:leader="none"/>
              </w:tabs>
              <w:spacing w:line="240" w:lineRule="auto" w:before="16"/>
              <w:ind w:right="19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37,591,338</w:t>
            </w:r>
            <w:r>
              <w:rPr>
                <w:rFonts w:ascii="Arial"/>
                <w:spacing w:val="-1"/>
                <w:w w:val="95"/>
                <w:sz w:val="20"/>
              </w:rPr>
            </w:r>
            <w:r>
              <w:rPr>
                <w:rFonts w:ascii="Arial"/>
                <w:spacing w:val="-1"/>
                <w:sz w:val="20"/>
              </w:rPr>
            </w:r>
          </w:p>
        </w:tc>
      </w:tr>
      <w:tr>
        <w:trPr>
          <w:trHeight w:val="373" w:hRule="exact"/>
        </w:trPr>
        <w:tc>
          <w:tcPr>
            <w:tcW w:w="3318" w:type="dxa"/>
            <w:tcBorders>
              <w:top w:val="nil" w:sz="6" w:space="0" w:color="auto"/>
              <w:left w:val="nil" w:sz="6" w:space="0" w:color="auto"/>
              <w:bottom w:val="nil" w:sz="6" w:space="0" w:color="auto"/>
              <w:right w:val="nil" w:sz="6" w:space="0" w:color="auto"/>
            </w:tcBorders>
          </w:tcPr>
          <w:p>
            <w:pPr/>
          </w:p>
        </w:tc>
        <w:tc>
          <w:tcPr>
            <w:tcW w:w="280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553"/>
              <w:jc w:val="right"/>
              <w:rPr>
                <w:rFonts w:ascii="Arial" w:hAnsi="Arial" w:cs="Arial" w:eastAsia="Arial" w:hint="default"/>
                <w:sz w:val="20"/>
                <w:szCs w:val="20"/>
              </w:rPr>
            </w:pPr>
            <w:r>
              <w:rPr>
                <w:rFonts w:ascii="Arial"/>
                <w:spacing w:val="-1"/>
                <w:sz w:val="20"/>
              </w:rPr>
              <w:t>1,448,974,306</w:t>
            </w:r>
            <w:r>
              <w:rPr>
                <w:rFonts w:ascii="Arial"/>
                <w:sz w:val="20"/>
              </w:rPr>
            </w: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98"/>
              <w:jc w:val="right"/>
              <w:rPr>
                <w:rFonts w:ascii="Arial" w:hAnsi="Arial" w:cs="Arial" w:eastAsia="Arial" w:hint="default"/>
                <w:sz w:val="20"/>
                <w:szCs w:val="20"/>
              </w:rPr>
            </w:pPr>
            <w:r>
              <w:rPr>
                <w:rFonts w:ascii="Arial"/>
                <w:spacing w:val="-1"/>
                <w:sz w:val="20"/>
              </w:rPr>
              <w:t>1,350,273,333</w:t>
            </w:r>
            <w:r>
              <w:rPr>
                <w:rFonts w:ascii="Arial"/>
                <w:sz w:val="20"/>
              </w:rPr>
            </w:r>
          </w:p>
        </w:tc>
      </w:tr>
      <w:tr>
        <w:trPr>
          <w:trHeight w:val="523" w:hRule="exact"/>
        </w:trPr>
        <w:tc>
          <w:tcPr>
            <w:tcW w:w="331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黑体" w:hAnsi="黑体" w:cs="黑体" w:eastAsia="黑体" w:hint="default"/>
                <w:sz w:val="20"/>
                <w:szCs w:val="20"/>
              </w:rPr>
            </w:pPr>
            <w:r>
              <w:rPr>
                <w:rFonts w:ascii="黑体" w:hAnsi="黑体" w:cs="黑体" w:eastAsia="黑体" w:hint="default"/>
                <w:sz w:val="20"/>
                <w:szCs w:val="20"/>
              </w:rPr>
              <w:t>减：应收账款坏账准备</w:t>
            </w:r>
          </w:p>
        </w:tc>
        <w:tc>
          <w:tcPr>
            <w:tcW w:w="2807"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576"/>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9"/>
                <w:sz w:val="20"/>
                <w:u w:val="single" w:color="000000"/>
              </w:rPr>
              <w:t> </w:t>
            </w:r>
            <w:r>
              <w:rPr>
                <w:rFonts w:ascii="Arial"/>
                <w:spacing w:val="-1"/>
                <w:sz w:val="20"/>
                <w:u w:val="single" w:color="000000"/>
              </w:rPr>
              <w:t>142,545,459</w:t>
            </w:r>
            <w:r>
              <w:rPr>
                <w:rFonts w:ascii="Arial"/>
                <w:spacing w:val="-1"/>
                <w:sz w:val="20"/>
              </w:rPr>
            </w:r>
          </w:p>
        </w:tc>
        <w:tc>
          <w:tcPr>
            <w:tcW w:w="2059" w:type="dxa"/>
            <w:tcBorders>
              <w:top w:val="nil" w:sz="6" w:space="0" w:color="auto"/>
              <w:left w:val="nil" w:sz="6" w:space="0" w:color="auto"/>
              <w:bottom w:val="nil" w:sz="6" w:space="0" w:color="auto"/>
              <w:right w:val="nil" w:sz="6" w:space="0" w:color="auto"/>
            </w:tcBorders>
          </w:tcPr>
          <w:p>
            <w:pPr>
              <w:pStyle w:val="TableParagraph"/>
              <w:tabs>
                <w:tab w:pos="266" w:val="left" w:leader="none"/>
              </w:tabs>
              <w:spacing w:line="240" w:lineRule="auto" w:before="142"/>
              <w:ind w:right="224"/>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sz w:val="20"/>
                <w:u w:val="single" w:color="000000"/>
              </w:rPr>
              <w:t>83,861,529</w:t>
            </w:r>
            <w:r>
              <w:rPr>
                <w:rFonts w:ascii="Arial"/>
                <w:spacing w:val="-1"/>
                <w:sz w:val="20"/>
              </w:rPr>
            </w:r>
          </w:p>
        </w:tc>
      </w:tr>
      <w:tr>
        <w:trPr>
          <w:trHeight w:val="355" w:hRule="exact"/>
        </w:trPr>
        <w:tc>
          <w:tcPr>
            <w:tcW w:w="3318" w:type="dxa"/>
            <w:tcBorders>
              <w:top w:val="nil" w:sz="6" w:space="0" w:color="auto"/>
              <w:left w:val="nil" w:sz="6" w:space="0" w:color="auto"/>
              <w:bottom w:val="nil" w:sz="6" w:space="0" w:color="auto"/>
              <w:right w:val="nil" w:sz="6" w:space="0" w:color="auto"/>
            </w:tcBorders>
          </w:tcPr>
          <w:p>
            <w:pPr/>
          </w:p>
        </w:tc>
        <w:tc>
          <w:tcPr>
            <w:tcW w:w="2807"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556"/>
              <w:jc w:val="right"/>
              <w:rPr>
                <w:rFonts w:ascii="Arial" w:hAnsi="Arial" w:cs="Arial" w:eastAsia="Arial" w:hint="default"/>
                <w:sz w:val="20"/>
                <w:szCs w:val="20"/>
              </w:rPr>
            </w:pPr>
            <w:r>
              <w:rPr>
                <w:rFonts w:ascii="Arial"/>
                <w:w w:val="99"/>
                <w:sz w:val="20"/>
              </w:rPr>
            </w:r>
            <w:r>
              <w:rPr>
                <w:rFonts w:ascii="Arial"/>
                <w:spacing w:val="-1"/>
                <w:sz w:val="20"/>
                <w:u w:val="thick" w:color="000000"/>
              </w:rPr>
              <w:t>1,306,428,847</w:t>
            </w:r>
            <w:r>
              <w:rPr>
                <w:rFonts w:ascii="Arial"/>
                <w:spacing w:val="-1"/>
                <w:sz w:val="20"/>
              </w:rPr>
            </w:r>
            <w:r>
              <w:rPr>
                <w:rFonts w:ascii="Arial"/>
                <w:sz w:val="20"/>
              </w:rPr>
            </w: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24"/>
              <w:jc w:val="right"/>
              <w:rPr>
                <w:rFonts w:ascii="Arial" w:hAnsi="Arial" w:cs="Arial" w:eastAsia="Arial" w:hint="default"/>
                <w:sz w:val="20"/>
                <w:szCs w:val="20"/>
              </w:rPr>
            </w:pPr>
            <w:r>
              <w:rPr>
                <w:rFonts w:ascii="Arial"/>
                <w:w w:val="99"/>
                <w:sz w:val="20"/>
              </w:rPr>
            </w:r>
            <w:r>
              <w:rPr>
                <w:rFonts w:ascii="Arial"/>
                <w:spacing w:val="-1"/>
                <w:sz w:val="20"/>
                <w:u w:val="thick" w:color="000000"/>
              </w:rPr>
              <w:t>1,266,411,804</w:t>
            </w:r>
            <w:r>
              <w:rPr>
                <w:rFonts w:ascii="Arial"/>
                <w:spacing w:val="-1"/>
                <w:sz w:val="20"/>
              </w:rPr>
            </w:r>
            <w:r>
              <w:rPr>
                <w:rFonts w:ascii="Arial"/>
                <w:sz w:val="20"/>
              </w:rPr>
            </w:r>
          </w:p>
        </w:tc>
      </w:tr>
    </w:tbl>
    <w:p>
      <w:pPr>
        <w:spacing w:after="0" w:line="240" w:lineRule="auto"/>
        <w:jc w:val="right"/>
        <w:rPr>
          <w:rFonts w:ascii="Arial" w:hAnsi="Arial" w:cs="Arial" w:eastAsia="Arial" w:hint="default"/>
          <w:sz w:val="20"/>
          <w:szCs w:val="20"/>
        </w:rPr>
        <w:sectPr>
          <w:pgSz w:w="11910" w:h="16850"/>
          <w:pgMar w:header="957" w:footer="468" w:top="2640" w:bottom="660" w:left="1560" w:right="1380"/>
        </w:sectPr>
      </w:pPr>
    </w:p>
    <w:p>
      <w:pPr>
        <w:spacing w:line="240" w:lineRule="auto" w:before="5"/>
        <w:rPr>
          <w:rFonts w:ascii="黑体" w:hAnsi="黑体" w:cs="黑体" w:eastAsia="黑体" w:hint="default"/>
          <w:sz w:val="16"/>
          <w:szCs w:val="16"/>
        </w:rPr>
      </w:pPr>
    </w:p>
    <w:p>
      <w:pPr>
        <w:pStyle w:val="Heading6"/>
        <w:tabs>
          <w:tab w:pos="844" w:val="left" w:leader="none"/>
        </w:tabs>
        <w:spacing w:line="240" w:lineRule="auto"/>
        <w:ind w:left="141" w:right="300"/>
        <w:jc w:val="left"/>
        <w:rPr>
          <w:b w:val="0"/>
          <w:bCs w:val="0"/>
        </w:rPr>
      </w:pPr>
      <w:r>
        <w:rPr>
          <w:w w:val="95"/>
        </w:rPr>
        <w:t>五、</w:t>
        <w:tab/>
      </w:r>
      <w:bookmarkStart w:name="五、   合并财务报表主要项目注释（续）" w:id="61"/>
      <w:bookmarkEnd w:id="61"/>
      <w:r>
        <w:rPr/>
        <w:t>合并</w:t>
      </w:r>
      <w:r>
        <w:rPr/>
        <w:t>财务报表主要项目注释（续）</w:t>
      </w:r>
      <w:r>
        <w:rPr>
          <w:b w:val="0"/>
          <w:bCs w:val="0"/>
        </w:rPr>
      </w:r>
    </w:p>
    <w:p>
      <w:pPr>
        <w:spacing w:line="240" w:lineRule="auto" w:before="0"/>
        <w:rPr>
          <w:rFonts w:ascii="黑体" w:hAnsi="黑体" w:cs="黑体" w:eastAsia="黑体" w:hint="default"/>
          <w:b/>
          <w:bCs/>
          <w:sz w:val="24"/>
          <w:szCs w:val="24"/>
        </w:rPr>
      </w:pPr>
    </w:p>
    <w:p>
      <w:pPr>
        <w:tabs>
          <w:tab w:pos="878" w:val="left" w:leader="none"/>
        </w:tabs>
        <w:spacing w:line="504" w:lineRule="auto" w:before="0"/>
        <w:ind w:left="854" w:right="5291" w:hanging="728"/>
        <w:jc w:val="left"/>
        <w:rPr>
          <w:rFonts w:ascii="黑体" w:hAnsi="黑体" w:cs="黑体" w:eastAsia="黑体" w:hint="default"/>
          <w:sz w:val="20"/>
          <w:szCs w:val="20"/>
        </w:rPr>
      </w:pPr>
      <w:r>
        <w:rPr>
          <w:rFonts w:ascii="Arial" w:hAnsi="Arial" w:cs="Arial" w:eastAsia="Arial" w:hint="default"/>
          <w:b/>
          <w:bCs/>
          <w:spacing w:val="-1"/>
          <w:sz w:val="20"/>
          <w:szCs w:val="20"/>
        </w:rPr>
        <w:t>3.</w:t>
        <w:tab/>
        <w:tab/>
      </w:r>
      <w:r>
        <w:rPr>
          <w:rFonts w:ascii="黑体" w:hAnsi="黑体" w:cs="黑体" w:eastAsia="黑体" w:hint="default"/>
          <w:b/>
          <w:bCs/>
          <w:spacing w:val="1"/>
          <w:sz w:val="20"/>
          <w:szCs w:val="20"/>
        </w:rPr>
        <w:t>应收账款</w:t>
      </w:r>
      <w:bookmarkStart w:name="3.     应收账款（续）" w:id="62"/>
      <w:bookmarkEnd w:id="62"/>
      <w:r>
        <w:rPr>
          <w:rFonts w:ascii="黑体" w:hAnsi="黑体" w:cs="黑体" w:eastAsia="黑体" w:hint="default"/>
          <w:b/>
          <w:bCs/>
          <w:spacing w:val="1"/>
          <w:sz w:val="20"/>
          <w:szCs w:val="20"/>
        </w:rPr>
        <w:t>（续）</w:t>
      </w:r>
      <w:r>
        <w:rPr>
          <w:rFonts w:ascii="黑体" w:hAnsi="黑体" w:cs="黑体" w:eastAsia="黑体" w:hint="default"/>
          <w:b/>
          <w:bCs/>
          <w:spacing w:val="2"/>
          <w:w w:val="99"/>
          <w:sz w:val="20"/>
          <w:szCs w:val="20"/>
        </w:rPr>
        <w:t> </w:t>
      </w:r>
      <w:r>
        <w:rPr>
          <w:rFonts w:ascii="黑体" w:hAnsi="黑体" w:cs="黑体" w:eastAsia="黑体" w:hint="default"/>
          <w:sz w:val="20"/>
          <w:szCs w:val="20"/>
        </w:rPr>
        <w:t>应收账款坏账准备的变动如下：</w:t>
      </w:r>
    </w:p>
    <w:p>
      <w:pPr>
        <w:spacing w:line="240" w:lineRule="auto" w:before="7"/>
        <w:rPr>
          <w:rFonts w:ascii="黑体" w:hAnsi="黑体" w:cs="黑体" w:eastAsia="黑体" w:hint="default"/>
          <w:sz w:val="12"/>
          <w:szCs w:val="12"/>
        </w:rPr>
      </w:pPr>
    </w:p>
    <w:tbl>
      <w:tblPr>
        <w:tblW w:w="0" w:type="auto"/>
        <w:jc w:val="left"/>
        <w:tblInd w:w="644" w:type="dxa"/>
        <w:tblLayout w:type="fixed"/>
        <w:tblCellMar>
          <w:top w:w="0" w:type="dxa"/>
          <w:left w:w="0" w:type="dxa"/>
          <w:bottom w:w="0" w:type="dxa"/>
          <w:right w:w="0" w:type="dxa"/>
        </w:tblCellMar>
        <w:tblLook w:val="01E0"/>
      </w:tblPr>
      <w:tblGrid>
        <w:gridCol w:w="1227"/>
        <w:gridCol w:w="1528"/>
        <w:gridCol w:w="1420"/>
        <w:gridCol w:w="1165"/>
        <w:gridCol w:w="966"/>
        <w:gridCol w:w="1890"/>
      </w:tblGrid>
      <w:tr>
        <w:trPr>
          <w:trHeight w:val="234" w:hRule="exact"/>
        </w:trPr>
        <w:tc>
          <w:tcPr>
            <w:tcW w:w="1227" w:type="dxa"/>
            <w:tcBorders>
              <w:top w:val="nil" w:sz="6" w:space="0" w:color="auto"/>
              <w:left w:val="nil" w:sz="6" w:space="0" w:color="auto"/>
              <w:bottom w:val="nil" w:sz="6" w:space="0" w:color="auto"/>
              <w:right w:val="nil" w:sz="6" w:space="0" w:color="auto"/>
            </w:tcBorders>
          </w:tcPr>
          <w:p>
            <w:pPr/>
          </w:p>
        </w:tc>
        <w:tc>
          <w:tcPr>
            <w:tcW w:w="1528" w:type="dxa"/>
            <w:tcBorders>
              <w:top w:val="nil" w:sz="6" w:space="0" w:color="auto"/>
              <w:left w:val="nil" w:sz="6" w:space="0" w:color="auto"/>
              <w:bottom w:val="nil" w:sz="6" w:space="0" w:color="auto"/>
              <w:right w:val="nil" w:sz="6" w:space="0" w:color="auto"/>
            </w:tcBorders>
          </w:tcPr>
          <w:p>
            <w:pPr>
              <w:pStyle w:val="TableParagraph"/>
              <w:spacing w:line="199" w:lineRule="exact"/>
              <w:ind w:right="143"/>
              <w:jc w:val="right"/>
              <w:rPr>
                <w:rFonts w:ascii="黑体" w:hAnsi="黑体" w:cs="黑体" w:eastAsia="黑体" w:hint="default"/>
                <w:sz w:val="20"/>
                <w:szCs w:val="20"/>
              </w:rPr>
            </w:pPr>
            <w:r>
              <w:rPr>
                <w:rFonts w:ascii="黑体" w:hAnsi="黑体" w:cs="黑体" w:eastAsia="黑体" w:hint="default"/>
                <w:w w:val="95"/>
                <w:sz w:val="20"/>
                <w:szCs w:val="20"/>
              </w:rPr>
              <w:t>年初数</w:t>
            </w:r>
            <w:r>
              <w:rPr>
                <w:rFonts w:ascii="黑体" w:hAnsi="黑体" w:cs="黑体" w:eastAsia="黑体" w:hint="default"/>
                <w:sz w:val="20"/>
                <w:szCs w:val="20"/>
              </w:rPr>
            </w:r>
          </w:p>
        </w:tc>
        <w:tc>
          <w:tcPr>
            <w:tcW w:w="1420" w:type="dxa"/>
            <w:tcBorders>
              <w:top w:val="nil" w:sz="6" w:space="0" w:color="auto"/>
              <w:left w:val="nil" w:sz="6" w:space="0" w:color="auto"/>
              <w:bottom w:val="nil" w:sz="6" w:space="0" w:color="auto"/>
              <w:right w:val="nil" w:sz="6" w:space="0" w:color="auto"/>
            </w:tcBorders>
          </w:tcPr>
          <w:p>
            <w:pPr>
              <w:pStyle w:val="TableParagraph"/>
              <w:spacing w:line="199" w:lineRule="exact"/>
              <w:ind w:right="287"/>
              <w:jc w:val="right"/>
              <w:rPr>
                <w:rFonts w:ascii="黑体" w:hAnsi="黑体" w:cs="黑体" w:eastAsia="黑体" w:hint="default"/>
                <w:sz w:val="20"/>
                <w:szCs w:val="20"/>
              </w:rPr>
            </w:pPr>
            <w:r>
              <w:rPr>
                <w:rFonts w:ascii="黑体" w:hAnsi="黑体" w:cs="黑体" w:eastAsia="黑体" w:hint="default"/>
                <w:w w:val="95"/>
                <w:sz w:val="20"/>
                <w:szCs w:val="20"/>
              </w:rPr>
              <w:t>本年计提</w:t>
            </w:r>
            <w:r>
              <w:rPr>
                <w:rFonts w:ascii="黑体" w:hAnsi="黑体" w:cs="黑体" w:eastAsia="黑体" w:hint="default"/>
                <w:sz w:val="20"/>
                <w:szCs w:val="20"/>
              </w:rPr>
            </w:r>
          </w:p>
        </w:tc>
        <w:tc>
          <w:tcPr>
            <w:tcW w:w="2131" w:type="dxa"/>
            <w:gridSpan w:val="2"/>
            <w:tcBorders>
              <w:top w:val="nil" w:sz="6" w:space="0" w:color="auto"/>
              <w:left w:val="nil" w:sz="6" w:space="0" w:color="auto"/>
              <w:bottom w:val="single" w:sz="4" w:space="0" w:color="000000"/>
              <w:right w:val="nil" w:sz="6" w:space="0" w:color="auto"/>
            </w:tcBorders>
          </w:tcPr>
          <w:p>
            <w:pPr>
              <w:pStyle w:val="TableParagraph"/>
              <w:spacing w:line="199" w:lineRule="exact"/>
              <w:ind w:left="664" w:right="0"/>
              <w:jc w:val="left"/>
              <w:rPr>
                <w:rFonts w:ascii="黑体" w:hAnsi="黑体" w:cs="黑体" w:eastAsia="黑体" w:hint="default"/>
                <w:sz w:val="20"/>
                <w:szCs w:val="20"/>
              </w:rPr>
            </w:pPr>
            <w:r>
              <w:rPr>
                <w:rFonts w:ascii="黑体" w:hAnsi="黑体" w:cs="黑体" w:eastAsia="黑体" w:hint="default"/>
                <w:sz w:val="20"/>
                <w:szCs w:val="20"/>
              </w:rPr>
              <w:t>本年减少</w:t>
            </w:r>
          </w:p>
        </w:tc>
        <w:tc>
          <w:tcPr>
            <w:tcW w:w="1890" w:type="dxa"/>
            <w:tcBorders>
              <w:top w:val="nil" w:sz="6" w:space="0" w:color="auto"/>
              <w:left w:val="nil" w:sz="6" w:space="0" w:color="auto"/>
              <w:bottom w:val="nil" w:sz="6" w:space="0" w:color="auto"/>
              <w:right w:val="nil" w:sz="6" w:space="0" w:color="auto"/>
            </w:tcBorders>
          </w:tcPr>
          <w:p>
            <w:pPr>
              <w:pStyle w:val="TableParagraph"/>
              <w:spacing w:line="199" w:lineRule="exact"/>
              <w:ind w:right="198"/>
              <w:jc w:val="right"/>
              <w:rPr>
                <w:rFonts w:ascii="黑体" w:hAnsi="黑体" w:cs="黑体" w:eastAsia="黑体" w:hint="default"/>
                <w:sz w:val="20"/>
                <w:szCs w:val="20"/>
              </w:rPr>
            </w:pPr>
            <w:r>
              <w:rPr>
                <w:rFonts w:ascii="黑体" w:hAnsi="黑体" w:cs="黑体" w:eastAsia="黑体" w:hint="default"/>
                <w:w w:val="95"/>
                <w:sz w:val="20"/>
                <w:szCs w:val="20"/>
              </w:rPr>
              <w:t>年末数</w:t>
            </w:r>
            <w:r>
              <w:rPr>
                <w:rFonts w:ascii="黑体" w:hAnsi="黑体" w:cs="黑体" w:eastAsia="黑体" w:hint="default"/>
                <w:sz w:val="20"/>
                <w:szCs w:val="20"/>
              </w:rPr>
            </w:r>
          </w:p>
        </w:tc>
      </w:tr>
      <w:tr>
        <w:trPr>
          <w:trHeight w:val="392" w:hRule="exact"/>
        </w:trPr>
        <w:tc>
          <w:tcPr>
            <w:tcW w:w="1227" w:type="dxa"/>
            <w:tcBorders>
              <w:top w:val="nil" w:sz="6" w:space="0" w:color="auto"/>
              <w:left w:val="nil" w:sz="6" w:space="0" w:color="auto"/>
              <w:bottom w:val="nil" w:sz="6" w:space="0" w:color="auto"/>
              <w:right w:val="nil" w:sz="6" w:space="0" w:color="auto"/>
            </w:tcBorders>
          </w:tcPr>
          <w:p>
            <w:pPr/>
          </w:p>
        </w:tc>
        <w:tc>
          <w:tcPr>
            <w:tcW w:w="1528"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c>
          <w:tcPr>
            <w:tcW w:w="1165" w:type="dxa"/>
            <w:tcBorders>
              <w:top w:val="single" w:sz="4" w:space="0" w:color="000000"/>
              <w:left w:val="nil" w:sz="6" w:space="0" w:color="auto"/>
              <w:bottom w:val="nil" w:sz="6" w:space="0" w:color="auto"/>
              <w:right w:val="nil" w:sz="6" w:space="0" w:color="auto"/>
            </w:tcBorders>
          </w:tcPr>
          <w:p>
            <w:pPr>
              <w:pStyle w:val="TableParagraph"/>
              <w:spacing w:line="230" w:lineRule="exact"/>
              <w:ind w:right="94"/>
              <w:jc w:val="right"/>
              <w:rPr>
                <w:rFonts w:ascii="黑体" w:hAnsi="黑体" w:cs="黑体" w:eastAsia="黑体" w:hint="default"/>
                <w:sz w:val="20"/>
                <w:szCs w:val="20"/>
              </w:rPr>
            </w:pPr>
            <w:r>
              <w:rPr>
                <w:rFonts w:ascii="黑体" w:hAnsi="黑体" w:cs="黑体" w:eastAsia="黑体" w:hint="default"/>
                <w:w w:val="95"/>
                <w:sz w:val="20"/>
                <w:szCs w:val="20"/>
              </w:rPr>
              <w:t>转回</w:t>
            </w:r>
            <w:r>
              <w:rPr>
                <w:rFonts w:ascii="黑体" w:hAnsi="黑体" w:cs="黑体" w:eastAsia="黑体" w:hint="default"/>
                <w:sz w:val="20"/>
                <w:szCs w:val="20"/>
              </w:rPr>
            </w:r>
          </w:p>
        </w:tc>
        <w:tc>
          <w:tcPr>
            <w:tcW w:w="966" w:type="dxa"/>
            <w:tcBorders>
              <w:top w:val="single" w:sz="4" w:space="0" w:color="000000"/>
              <w:left w:val="nil" w:sz="6" w:space="0" w:color="auto"/>
              <w:bottom w:val="nil" w:sz="6" w:space="0" w:color="auto"/>
              <w:right w:val="nil" w:sz="6" w:space="0" w:color="auto"/>
            </w:tcBorders>
          </w:tcPr>
          <w:p>
            <w:pPr>
              <w:pStyle w:val="TableParagraph"/>
              <w:spacing w:line="230" w:lineRule="exact"/>
              <w:ind w:right="5"/>
              <w:jc w:val="right"/>
              <w:rPr>
                <w:rFonts w:ascii="黑体" w:hAnsi="黑体" w:cs="黑体" w:eastAsia="黑体" w:hint="default"/>
                <w:sz w:val="20"/>
                <w:szCs w:val="20"/>
              </w:rPr>
            </w:pPr>
            <w:r>
              <w:rPr>
                <w:rFonts w:ascii="黑体" w:hAnsi="黑体" w:cs="黑体" w:eastAsia="黑体" w:hint="default"/>
                <w:w w:val="95"/>
                <w:sz w:val="20"/>
                <w:szCs w:val="20"/>
              </w:rPr>
              <w:t>转销</w:t>
            </w:r>
            <w:r>
              <w:rPr>
                <w:rFonts w:ascii="黑体" w:hAnsi="黑体" w:cs="黑体" w:eastAsia="黑体" w:hint="default"/>
                <w:sz w:val="20"/>
                <w:szCs w:val="20"/>
              </w:rPr>
            </w:r>
          </w:p>
        </w:tc>
        <w:tc>
          <w:tcPr>
            <w:tcW w:w="1890" w:type="dxa"/>
            <w:tcBorders>
              <w:top w:val="nil" w:sz="6" w:space="0" w:color="auto"/>
              <w:left w:val="nil" w:sz="6" w:space="0" w:color="auto"/>
              <w:bottom w:val="nil" w:sz="6" w:space="0" w:color="auto"/>
              <w:right w:val="nil" w:sz="6" w:space="0" w:color="auto"/>
            </w:tcBorders>
          </w:tcPr>
          <w:p>
            <w:pPr/>
          </w:p>
        </w:tc>
      </w:tr>
      <w:tr>
        <w:trPr>
          <w:trHeight w:val="536" w:hRule="exact"/>
        </w:trPr>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00" w:right="0"/>
              <w:jc w:val="left"/>
              <w:rPr>
                <w:rFonts w:ascii="黑体" w:hAnsi="黑体" w:cs="黑体" w:eastAsia="黑体" w:hint="default"/>
                <w:sz w:val="20"/>
                <w:szCs w:val="20"/>
              </w:rPr>
            </w:pPr>
            <w:r>
              <w:rPr>
                <w:rFonts w:ascii="Arial" w:hAnsi="Arial" w:cs="Arial" w:eastAsia="Arial" w:hint="default"/>
                <w:sz w:val="20"/>
                <w:szCs w:val="20"/>
              </w:rPr>
              <w:t>2012</w:t>
            </w:r>
            <w:r>
              <w:rPr>
                <w:rFonts w:ascii="黑体" w:hAnsi="黑体" w:cs="黑体" w:eastAsia="黑体" w:hint="default"/>
                <w:sz w:val="20"/>
                <w:szCs w:val="20"/>
              </w:rPr>
              <w:t>年</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143"/>
              <w:jc w:val="right"/>
              <w:rPr>
                <w:rFonts w:ascii="Arial" w:hAnsi="Arial" w:cs="Arial" w:eastAsia="Arial" w:hint="default"/>
                <w:sz w:val="20"/>
                <w:szCs w:val="20"/>
              </w:rPr>
            </w:pPr>
            <w:r>
              <w:rPr>
                <w:rFonts w:ascii="Arial"/>
                <w:w w:val="99"/>
                <w:sz w:val="20"/>
              </w:rPr>
            </w:r>
            <w:r>
              <w:rPr>
                <w:rFonts w:ascii="Arial"/>
                <w:spacing w:val="-1"/>
                <w:sz w:val="20"/>
                <w:u w:val="double" w:color="000000"/>
              </w:rPr>
              <w:t>83,861,529</w:t>
            </w:r>
            <w:r>
              <w:rPr>
                <w:rFonts w:ascii="Arial"/>
                <w:spacing w:val="-1"/>
                <w:sz w:val="20"/>
              </w:rPr>
            </w:r>
            <w:r>
              <w:rPr>
                <w:rFonts w:ascii="Arial"/>
                <w:sz w:val="20"/>
              </w:rPr>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274"/>
              <w:jc w:val="right"/>
              <w:rPr>
                <w:rFonts w:ascii="Arial" w:hAnsi="Arial" w:cs="Arial" w:eastAsia="Arial" w:hint="default"/>
                <w:sz w:val="20"/>
                <w:szCs w:val="20"/>
              </w:rPr>
            </w:pPr>
            <w:r>
              <w:rPr>
                <w:rFonts w:ascii="Arial"/>
                <w:w w:val="99"/>
                <w:sz w:val="20"/>
              </w:rPr>
            </w:r>
            <w:r>
              <w:rPr>
                <w:rFonts w:ascii="Arial"/>
                <w:spacing w:val="-1"/>
                <w:sz w:val="20"/>
                <w:u w:val="thick" w:color="000000"/>
              </w:rPr>
              <w:t>58,782,957</w:t>
            </w:r>
            <w:r>
              <w:rPr>
                <w:rFonts w:ascii="Arial"/>
                <w:spacing w:val="-1"/>
                <w:sz w:val="20"/>
              </w:rPr>
            </w:r>
            <w:r>
              <w:rPr>
                <w:rFonts w:ascii="Arial"/>
                <w:sz w:val="20"/>
              </w:rPr>
            </w:r>
          </w:p>
        </w:tc>
        <w:tc>
          <w:tcPr>
            <w:tcW w:w="1165" w:type="dxa"/>
            <w:tcBorders>
              <w:top w:val="nil" w:sz="6" w:space="0" w:color="auto"/>
              <w:left w:val="nil" w:sz="6" w:space="0" w:color="auto"/>
              <w:bottom w:val="nil" w:sz="6" w:space="0" w:color="auto"/>
              <w:right w:val="nil" w:sz="6" w:space="0" w:color="auto"/>
            </w:tcBorders>
          </w:tcPr>
          <w:p>
            <w:pPr>
              <w:pStyle w:val="TableParagraph"/>
              <w:tabs>
                <w:tab w:pos="902" w:val="left" w:leader="none"/>
              </w:tabs>
              <w:spacing w:line="240" w:lineRule="auto" w:before="131"/>
              <w:ind w:right="90"/>
              <w:jc w:val="right"/>
              <w:rPr>
                <w:rFonts w:ascii="Arial" w:hAnsi="Arial" w:cs="Arial" w:eastAsia="Arial" w:hint="default"/>
                <w:sz w:val="20"/>
                <w:szCs w:val="20"/>
              </w:rPr>
            </w:pPr>
            <w:r>
              <w:rPr>
                <w:rFonts w:ascii="Arial"/>
                <w:w w:val="99"/>
                <w:sz w:val="20"/>
              </w:rPr>
            </w:r>
            <w:r>
              <w:rPr>
                <w:rFonts w:ascii="Arial"/>
                <w:w w:val="99"/>
                <w:sz w:val="20"/>
                <w:u w:val="double" w:color="000000"/>
              </w:rPr>
              <w:t> </w:t>
            </w:r>
            <w:r>
              <w:rPr>
                <w:rFonts w:ascii="Arial"/>
                <w:sz w:val="20"/>
                <w:u w:val="double" w:color="000000"/>
              </w:rPr>
              <w:tab/>
            </w:r>
            <w:r>
              <w:rPr>
                <w:rFonts w:ascii="Arial"/>
                <w:w w:val="95"/>
                <w:sz w:val="20"/>
                <w:u w:val="double" w:color="000000"/>
              </w:rPr>
              <w:t>-</w:t>
            </w:r>
            <w:r>
              <w:rPr>
                <w:rFonts w:ascii="Arial"/>
                <w:w w:val="95"/>
                <w:sz w:val="20"/>
              </w:rPr>
            </w:r>
            <w:r>
              <w:rPr>
                <w:rFonts w:ascii="Arial"/>
                <w:sz w:val="20"/>
              </w:rPr>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6"/>
              <w:jc w:val="right"/>
              <w:rPr>
                <w:rFonts w:ascii="Arial" w:hAnsi="Arial" w:cs="Arial" w:eastAsia="Arial" w:hint="default"/>
                <w:sz w:val="20"/>
                <w:szCs w:val="20"/>
              </w:rPr>
            </w:pPr>
            <w:r>
              <w:rPr>
                <w:rFonts w:ascii="Arial"/>
                <w:sz w:val="21"/>
              </w:rPr>
              <w:t>(</w:t>
            </w:r>
            <w:r>
              <w:rPr>
                <w:rFonts w:ascii="Arial"/>
                <w:spacing w:val="54"/>
                <w:sz w:val="21"/>
              </w:rPr>
              <w:t> </w:t>
            </w:r>
            <w:r>
              <w:rPr>
                <w:rFonts w:ascii="Arial"/>
                <w:spacing w:val="54"/>
                <w:sz w:val="20"/>
              </w:rPr>
            </w:r>
            <w:r>
              <w:rPr>
                <w:rFonts w:ascii="Arial"/>
                <w:spacing w:val="54"/>
                <w:sz w:val="20"/>
                <w:u w:val="double" w:color="000000"/>
              </w:rPr>
              <w:t> </w:t>
            </w:r>
            <w:r>
              <w:rPr>
                <w:rFonts w:ascii="Arial"/>
                <w:sz w:val="20"/>
                <w:u w:val="double" w:color="000000"/>
              </w:rPr>
              <w:t>99,027</w:t>
            </w:r>
            <w:r>
              <w:rPr>
                <w:rFonts w:ascii="Arial"/>
                <w:sz w:val="20"/>
              </w:rPr>
              <w:t>)</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142,545,459</w:t>
            </w:r>
            <w:r>
              <w:rPr>
                <w:rFonts w:ascii="Arial"/>
                <w:spacing w:val="-1"/>
                <w:sz w:val="20"/>
              </w:rPr>
            </w:r>
            <w:r>
              <w:rPr>
                <w:rFonts w:ascii="Arial"/>
                <w:sz w:val="20"/>
              </w:rPr>
            </w:r>
          </w:p>
        </w:tc>
      </w:tr>
      <w:tr>
        <w:trPr>
          <w:trHeight w:val="370" w:hRule="exact"/>
        </w:trPr>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200"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143"/>
              <w:jc w:val="right"/>
              <w:rPr>
                <w:rFonts w:ascii="Arial" w:hAnsi="Arial" w:cs="Arial" w:eastAsia="Arial" w:hint="default"/>
                <w:sz w:val="20"/>
                <w:szCs w:val="20"/>
              </w:rPr>
            </w:pPr>
            <w:r>
              <w:rPr>
                <w:rFonts w:ascii="Arial"/>
                <w:w w:val="99"/>
                <w:sz w:val="20"/>
              </w:rPr>
            </w:r>
            <w:r>
              <w:rPr>
                <w:rFonts w:ascii="Arial"/>
                <w:spacing w:val="-1"/>
                <w:sz w:val="20"/>
                <w:u w:val="thick" w:color="000000"/>
              </w:rPr>
              <w:t>47,429,120</w:t>
            </w:r>
            <w:r>
              <w:rPr>
                <w:rFonts w:ascii="Arial"/>
                <w:spacing w:val="-1"/>
                <w:sz w:val="20"/>
              </w:rPr>
            </w:r>
            <w:r>
              <w:rPr>
                <w:rFonts w:ascii="Arial"/>
                <w:sz w:val="20"/>
              </w:rPr>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274"/>
              <w:jc w:val="right"/>
              <w:rPr>
                <w:rFonts w:ascii="Arial" w:hAnsi="Arial" w:cs="Arial" w:eastAsia="Arial" w:hint="default"/>
                <w:sz w:val="20"/>
                <w:szCs w:val="20"/>
              </w:rPr>
            </w:pPr>
            <w:r>
              <w:rPr>
                <w:rFonts w:ascii="Arial"/>
                <w:w w:val="99"/>
                <w:sz w:val="20"/>
              </w:rPr>
            </w:r>
            <w:r>
              <w:rPr>
                <w:rFonts w:ascii="Arial"/>
                <w:spacing w:val="-1"/>
                <w:sz w:val="20"/>
                <w:u w:val="thick" w:color="000000"/>
              </w:rPr>
              <w:t>39,963,218</w:t>
            </w:r>
            <w:r>
              <w:rPr>
                <w:rFonts w:ascii="Arial"/>
                <w:spacing w:val="-1"/>
                <w:sz w:val="20"/>
              </w:rPr>
            </w:r>
            <w:r>
              <w:rPr>
                <w:rFonts w:ascii="Arial"/>
                <w:sz w:val="20"/>
              </w:rPr>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93"/>
              <w:jc w:val="right"/>
              <w:rPr>
                <w:rFonts w:ascii="Arial" w:hAnsi="Arial" w:cs="Arial" w:eastAsia="Arial" w:hint="default"/>
                <w:sz w:val="20"/>
                <w:szCs w:val="20"/>
              </w:rPr>
            </w:pPr>
            <w:r>
              <w:rPr>
                <w:rFonts w:ascii="Arial"/>
                <w:spacing w:val="-1"/>
                <w:sz w:val="20"/>
              </w:rPr>
              <w:t>(</w:t>
            </w:r>
            <w:r>
              <w:rPr>
                <w:rFonts w:ascii="Arial"/>
                <w:spacing w:val="-1"/>
                <w:sz w:val="20"/>
                <w:u w:val="thick" w:color="000000"/>
              </w:rPr>
              <w:t>2,902,643</w:t>
            </w:r>
            <w:r>
              <w:rPr>
                <w:rFonts w:ascii="Arial"/>
                <w:spacing w:val="-1"/>
                <w:sz w:val="20"/>
              </w:rPr>
              <w:t>)</w:t>
            </w:r>
          </w:p>
        </w:tc>
        <w:tc>
          <w:tcPr>
            <w:tcW w:w="966"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6"/>
              <w:jc w:val="right"/>
              <w:rPr>
                <w:rFonts w:ascii="Arial" w:hAnsi="Arial" w:cs="Arial" w:eastAsia="Arial" w:hint="default"/>
                <w:sz w:val="20"/>
                <w:szCs w:val="20"/>
              </w:rPr>
            </w:pPr>
            <w:r>
              <w:rPr>
                <w:rFonts w:ascii="Arial"/>
                <w:spacing w:val="-1"/>
                <w:sz w:val="20"/>
              </w:rPr>
              <w:t>(</w:t>
            </w:r>
            <w:r>
              <w:rPr>
                <w:rFonts w:ascii="Arial"/>
                <w:spacing w:val="-1"/>
                <w:sz w:val="20"/>
                <w:u w:val="thick" w:color="000000"/>
              </w:rPr>
              <w:t>628,166</w:t>
            </w:r>
            <w:r>
              <w:rPr>
                <w:rFonts w:ascii="Arial"/>
                <w:spacing w:val="-1"/>
                <w:sz w:val="20"/>
              </w:rPr>
              <w:t>)</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198"/>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pacing w:val="-11"/>
                <w:sz w:val="20"/>
                <w:u w:val="thick" w:color="000000"/>
              </w:rPr>
              <w:t> </w:t>
            </w:r>
            <w:r>
              <w:rPr>
                <w:rFonts w:ascii="Arial"/>
                <w:spacing w:val="-1"/>
                <w:sz w:val="20"/>
                <w:u w:val="thick" w:color="000000"/>
              </w:rPr>
              <w:t>83,861,529</w:t>
            </w:r>
            <w:r>
              <w:rPr>
                <w:rFonts w:ascii="Arial"/>
                <w:spacing w:val="-1"/>
                <w:sz w:val="20"/>
              </w:rPr>
            </w:r>
          </w:p>
        </w:tc>
      </w:tr>
    </w:tbl>
    <w:p>
      <w:pPr>
        <w:spacing w:line="240" w:lineRule="auto" w:before="5"/>
        <w:rPr>
          <w:rFonts w:ascii="黑体" w:hAnsi="黑体" w:cs="黑体" w:eastAsia="黑体" w:hint="default"/>
          <w:sz w:val="28"/>
          <w:szCs w:val="28"/>
        </w:rPr>
      </w:pPr>
    </w:p>
    <w:tbl>
      <w:tblPr>
        <w:tblW w:w="0" w:type="auto"/>
        <w:jc w:val="left"/>
        <w:tblInd w:w="649" w:type="dxa"/>
        <w:tblLayout w:type="fixed"/>
        <w:tblCellMar>
          <w:top w:w="0" w:type="dxa"/>
          <w:left w:w="0" w:type="dxa"/>
          <w:bottom w:w="0" w:type="dxa"/>
          <w:right w:w="0" w:type="dxa"/>
        </w:tblCellMar>
        <w:tblLook w:val="01E0"/>
      </w:tblPr>
      <w:tblGrid>
        <w:gridCol w:w="1708"/>
        <w:gridCol w:w="990"/>
        <w:gridCol w:w="388"/>
        <w:gridCol w:w="965"/>
        <w:gridCol w:w="680"/>
        <w:gridCol w:w="235"/>
        <w:gridCol w:w="1085"/>
        <w:gridCol w:w="413"/>
        <w:gridCol w:w="912"/>
        <w:gridCol w:w="672"/>
      </w:tblGrid>
      <w:tr>
        <w:trPr>
          <w:trHeight w:val="196" w:hRule="exact"/>
        </w:trPr>
        <w:tc>
          <w:tcPr>
            <w:tcW w:w="4051" w:type="dxa"/>
            <w:gridSpan w:val="4"/>
            <w:tcBorders>
              <w:top w:val="nil" w:sz="6" w:space="0" w:color="auto"/>
              <w:left w:val="nil" w:sz="6" w:space="0" w:color="auto"/>
              <w:bottom w:val="nil" w:sz="6" w:space="0" w:color="auto"/>
              <w:right w:val="nil" w:sz="6" w:space="0" w:color="auto"/>
            </w:tcBorders>
          </w:tcPr>
          <w:p>
            <w:pPr>
              <w:pStyle w:val="TableParagraph"/>
              <w:spacing w:line="172" w:lineRule="exact"/>
              <w:ind w:left="2561" w:right="0"/>
              <w:jc w:val="left"/>
              <w:rPr>
                <w:rFonts w:ascii="黑体" w:hAnsi="黑体" w:cs="黑体" w:eastAsia="黑体" w:hint="default"/>
                <w:sz w:val="16"/>
                <w:szCs w:val="16"/>
              </w:rPr>
            </w:pPr>
            <w:r>
              <w:rPr>
                <w:rFonts w:ascii="Arial" w:hAnsi="Arial" w:cs="Arial" w:eastAsia="Arial" w:hint="default"/>
                <w:sz w:val="16"/>
                <w:szCs w:val="16"/>
              </w:rPr>
              <w:t>2012</w:t>
            </w:r>
            <w:r>
              <w:rPr>
                <w:rFonts w:ascii="黑体" w:hAnsi="黑体" w:cs="黑体" w:eastAsia="黑体" w:hint="default"/>
                <w:sz w:val="16"/>
                <w:szCs w:val="16"/>
              </w:rPr>
              <w:t>年</w:t>
            </w:r>
            <w:r>
              <w:rPr>
                <w:rFonts w:ascii="Arial" w:hAnsi="Arial" w:cs="Arial" w:eastAsia="Arial" w:hint="default"/>
                <w:sz w:val="16"/>
                <w:szCs w:val="16"/>
              </w:rPr>
              <w:t>12</w:t>
            </w:r>
            <w:r>
              <w:rPr>
                <w:rFonts w:ascii="黑体" w:hAnsi="黑体" w:cs="黑体" w:eastAsia="黑体" w:hint="default"/>
                <w:sz w:val="16"/>
                <w:szCs w:val="16"/>
              </w:rPr>
              <w:t>月</w:t>
            </w:r>
            <w:r>
              <w:rPr>
                <w:rFonts w:ascii="Arial" w:hAnsi="Arial" w:cs="Arial" w:eastAsia="Arial" w:hint="default"/>
                <w:sz w:val="16"/>
                <w:szCs w:val="16"/>
              </w:rPr>
              <w:t>31</w:t>
            </w:r>
            <w:r>
              <w:rPr>
                <w:rFonts w:ascii="黑体" w:hAnsi="黑体" w:cs="黑体" w:eastAsia="黑体" w:hint="default"/>
                <w:sz w:val="16"/>
                <w:szCs w:val="16"/>
              </w:rPr>
              <w:t>日</w:t>
            </w:r>
          </w:p>
        </w:tc>
        <w:tc>
          <w:tcPr>
            <w:tcW w:w="680" w:type="dxa"/>
            <w:tcBorders>
              <w:top w:val="nil" w:sz="6" w:space="0" w:color="auto"/>
              <w:left w:val="nil" w:sz="6" w:space="0" w:color="auto"/>
              <w:bottom w:val="single" w:sz="4" w:space="0" w:color="000000"/>
              <w:right w:val="nil" w:sz="6" w:space="0" w:color="auto"/>
            </w:tcBorders>
          </w:tcPr>
          <w:p>
            <w:pPr/>
          </w:p>
        </w:tc>
        <w:tc>
          <w:tcPr>
            <w:tcW w:w="2645" w:type="dxa"/>
            <w:gridSpan w:val="4"/>
            <w:tcBorders>
              <w:top w:val="nil" w:sz="6" w:space="0" w:color="auto"/>
              <w:left w:val="nil" w:sz="6" w:space="0" w:color="auto"/>
              <w:bottom w:val="nil" w:sz="6" w:space="0" w:color="auto"/>
              <w:right w:val="nil" w:sz="6" w:space="0" w:color="auto"/>
            </w:tcBorders>
          </w:tcPr>
          <w:p>
            <w:pPr>
              <w:pStyle w:val="TableParagraph"/>
              <w:spacing w:line="172" w:lineRule="exact"/>
              <w:ind w:left="1166" w:right="0"/>
              <w:jc w:val="left"/>
              <w:rPr>
                <w:rFonts w:ascii="黑体" w:hAnsi="黑体" w:cs="黑体" w:eastAsia="黑体" w:hint="default"/>
                <w:sz w:val="16"/>
                <w:szCs w:val="16"/>
              </w:rPr>
            </w:pPr>
            <w:r>
              <w:rPr>
                <w:rFonts w:ascii="Arial" w:hAnsi="Arial" w:cs="Arial" w:eastAsia="Arial" w:hint="default"/>
                <w:sz w:val="16"/>
                <w:szCs w:val="16"/>
              </w:rPr>
              <w:t>2011</w:t>
            </w:r>
            <w:r>
              <w:rPr>
                <w:rFonts w:ascii="黑体" w:hAnsi="黑体" w:cs="黑体" w:eastAsia="黑体" w:hint="default"/>
                <w:sz w:val="16"/>
                <w:szCs w:val="16"/>
              </w:rPr>
              <w:t>年</w:t>
            </w:r>
            <w:r>
              <w:rPr>
                <w:rFonts w:ascii="Arial" w:hAnsi="Arial" w:cs="Arial" w:eastAsia="Arial" w:hint="default"/>
                <w:sz w:val="16"/>
                <w:szCs w:val="16"/>
              </w:rPr>
              <w:t>12</w:t>
            </w:r>
            <w:r>
              <w:rPr>
                <w:rFonts w:ascii="黑体" w:hAnsi="黑体" w:cs="黑体" w:eastAsia="黑体" w:hint="default"/>
                <w:sz w:val="16"/>
                <w:szCs w:val="16"/>
              </w:rPr>
              <w:t>月</w:t>
            </w:r>
            <w:r>
              <w:rPr>
                <w:rFonts w:ascii="Arial" w:hAnsi="Arial" w:cs="Arial" w:eastAsia="Arial" w:hint="default"/>
                <w:sz w:val="16"/>
                <w:szCs w:val="16"/>
              </w:rPr>
              <w:t>31</w:t>
            </w:r>
            <w:r>
              <w:rPr>
                <w:rFonts w:ascii="黑体" w:hAnsi="黑体" w:cs="黑体" w:eastAsia="黑体" w:hint="default"/>
                <w:sz w:val="16"/>
                <w:szCs w:val="16"/>
              </w:rPr>
              <w:t>日</w:t>
            </w:r>
          </w:p>
        </w:tc>
        <w:tc>
          <w:tcPr>
            <w:tcW w:w="672" w:type="dxa"/>
            <w:tcBorders>
              <w:top w:val="nil" w:sz="6" w:space="0" w:color="auto"/>
              <w:left w:val="nil" w:sz="6" w:space="0" w:color="auto"/>
              <w:bottom w:val="single" w:sz="4" w:space="0" w:color="000000"/>
              <w:right w:val="nil" w:sz="6" w:space="0" w:color="auto"/>
            </w:tcBorders>
          </w:tcPr>
          <w:p>
            <w:pPr/>
          </w:p>
        </w:tc>
      </w:tr>
      <w:tr>
        <w:trPr>
          <w:trHeight w:val="278" w:hRule="exact"/>
        </w:trPr>
        <w:tc>
          <w:tcPr>
            <w:tcW w:w="1708" w:type="dxa"/>
            <w:tcBorders>
              <w:top w:val="single" w:sz="4" w:space="0" w:color="000000"/>
              <w:left w:val="nil" w:sz="6" w:space="0" w:color="auto"/>
              <w:bottom w:val="nil" w:sz="6" w:space="0" w:color="auto"/>
              <w:right w:val="nil" w:sz="6" w:space="0" w:color="auto"/>
            </w:tcBorders>
          </w:tcPr>
          <w:p>
            <w:pPr/>
          </w:p>
        </w:tc>
        <w:tc>
          <w:tcPr>
            <w:tcW w:w="1378"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7"/>
              <w:ind w:left="685" w:right="0"/>
              <w:jc w:val="left"/>
              <w:rPr>
                <w:rFonts w:ascii="黑体" w:hAnsi="黑体" w:cs="黑体" w:eastAsia="黑体" w:hint="default"/>
                <w:sz w:val="16"/>
                <w:szCs w:val="16"/>
              </w:rPr>
            </w:pPr>
            <w:r>
              <w:rPr>
                <w:rFonts w:ascii="黑体" w:hAnsi="黑体" w:cs="黑体" w:eastAsia="黑体" w:hint="default"/>
                <w:sz w:val="16"/>
                <w:szCs w:val="16"/>
              </w:rPr>
              <w:t>账面金额</w:t>
            </w:r>
          </w:p>
        </w:tc>
        <w:tc>
          <w:tcPr>
            <w:tcW w:w="965" w:type="dxa"/>
            <w:tcBorders>
              <w:top w:val="single" w:sz="4" w:space="0" w:color="000000"/>
              <w:left w:val="nil" w:sz="6" w:space="0" w:color="auto"/>
              <w:bottom w:val="nil" w:sz="6" w:space="0" w:color="auto"/>
              <w:right w:val="nil" w:sz="6" w:space="0" w:color="auto"/>
            </w:tcBorders>
          </w:tcPr>
          <w:p>
            <w:pPr/>
          </w:p>
        </w:tc>
        <w:tc>
          <w:tcPr>
            <w:tcW w:w="680"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right="11"/>
              <w:jc w:val="right"/>
              <w:rPr>
                <w:rFonts w:ascii="黑体" w:hAnsi="黑体" w:cs="黑体" w:eastAsia="黑体" w:hint="default"/>
                <w:sz w:val="16"/>
                <w:szCs w:val="16"/>
              </w:rPr>
            </w:pPr>
            <w:r>
              <w:rPr>
                <w:rFonts w:ascii="黑体" w:hAnsi="黑体" w:cs="黑体" w:eastAsia="黑体" w:hint="default"/>
                <w:sz w:val="16"/>
                <w:szCs w:val="16"/>
              </w:rPr>
              <w:t>坏账准备</w:t>
            </w:r>
          </w:p>
        </w:tc>
        <w:tc>
          <w:tcPr>
            <w:tcW w:w="1733"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2"/>
              <w:ind w:left="1000" w:right="0"/>
              <w:jc w:val="left"/>
              <w:rPr>
                <w:rFonts w:ascii="黑体" w:hAnsi="黑体" w:cs="黑体" w:eastAsia="黑体" w:hint="default"/>
                <w:sz w:val="16"/>
                <w:szCs w:val="16"/>
              </w:rPr>
            </w:pPr>
            <w:r>
              <w:rPr>
                <w:rFonts w:ascii="黑体" w:hAnsi="黑体" w:cs="黑体" w:eastAsia="黑体" w:hint="default"/>
                <w:sz w:val="16"/>
                <w:szCs w:val="16"/>
              </w:rPr>
              <w:t>账面金额</w:t>
            </w:r>
          </w:p>
        </w:tc>
        <w:tc>
          <w:tcPr>
            <w:tcW w:w="912" w:type="dxa"/>
            <w:tcBorders>
              <w:top w:val="single" w:sz="4" w:space="0" w:color="000000"/>
              <w:left w:val="nil" w:sz="6" w:space="0" w:color="auto"/>
              <w:bottom w:val="nil" w:sz="6" w:space="0" w:color="auto"/>
              <w:right w:val="nil" w:sz="6" w:space="0" w:color="auto"/>
            </w:tcBorders>
          </w:tcPr>
          <w:p>
            <w:pPr/>
          </w:p>
        </w:tc>
        <w:tc>
          <w:tcPr>
            <w:tcW w:w="672"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right="7"/>
              <w:jc w:val="right"/>
              <w:rPr>
                <w:rFonts w:ascii="黑体" w:hAnsi="黑体" w:cs="黑体" w:eastAsia="黑体" w:hint="default"/>
                <w:sz w:val="16"/>
                <w:szCs w:val="16"/>
              </w:rPr>
            </w:pPr>
            <w:r>
              <w:rPr>
                <w:rFonts w:ascii="黑体" w:hAnsi="黑体" w:cs="黑体" w:eastAsia="黑体" w:hint="default"/>
                <w:sz w:val="16"/>
                <w:szCs w:val="16"/>
              </w:rPr>
              <w:t>坏账准备</w:t>
            </w:r>
          </w:p>
        </w:tc>
      </w:tr>
      <w:tr>
        <w:trPr>
          <w:trHeight w:val="258" w:hRule="exact"/>
        </w:trPr>
        <w:tc>
          <w:tcPr>
            <w:tcW w:w="1708"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Style w:val="TableParagraph"/>
              <w:spacing w:line="207" w:lineRule="exact"/>
              <w:ind w:right="24"/>
              <w:jc w:val="right"/>
              <w:rPr>
                <w:rFonts w:ascii="黑体" w:hAnsi="黑体" w:cs="黑体" w:eastAsia="黑体" w:hint="default"/>
                <w:sz w:val="16"/>
                <w:szCs w:val="16"/>
              </w:rPr>
            </w:pPr>
            <w:r>
              <w:rPr>
                <w:rFonts w:ascii="黑体" w:hAnsi="黑体" w:cs="黑体" w:eastAsia="黑体" w:hint="default"/>
                <w:sz w:val="16"/>
                <w:szCs w:val="16"/>
              </w:rPr>
              <w:t>金额</w:t>
            </w:r>
          </w:p>
        </w:tc>
        <w:tc>
          <w:tcPr>
            <w:tcW w:w="388" w:type="dxa"/>
            <w:tcBorders>
              <w:top w:val="nil" w:sz="6" w:space="0" w:color="auto"/>
              <w:left w:val="nil" w:sz="6" w:space="0" w:color="auto"/>
              <w:bottom w:val="nil" w:sz="6" w:space="0" w:color="auto"/>
              <w:right w:val="nil" w:sz="6" w:space="0" w:color="auto"/>
            </w:tcBorders>
          </w:tcPr>
          <w:p>
            <w:pPr>
              <w:pStyle w:val="TableParagraph"/>
              <w:spacing w:line="207" w:lineRule="exact"/>
              <w:ind w:right="25"/>
              <w:jc w:val="center"/>
              <w:rPr>
                <w:rFonts w:ascii="黑体" w:hAnsi="黑体" w:cs="黑体" w:eastAsia="黑体" w:hint="default"/>
                <w:sz w:val="16"/>
                <w:szCs w:val="16"/>
              </w:rPr>
            </w:pPr>
            <w:r>
              <w:rPr>
                <w:rFonts w:ascii="黑体" w:hAnsi="黑体" w:cs="黑体" w:eastAsia="黑体" w:hint="default"/>
                <w:sz w:val="16"/>
                <w:szCs w:val="16"/>
              </w:rPr>
              <w:t>比例</w:t>
            </w:r>
          </w:p>
        </w:tc>
        <w:tc>
          <w:tcPr>
            <w:tcW w:w="965" w:type="dxa"/>
            <w:tcBorders>
              <w:top w:val="nil" w:sz="6" w:space="0" w:color="auto"/>
              <w:left w:val="nil" w:sz="6" w:space="0" w:color="auto"/>
              <w:bottom w:val="nil" w:sz="6" w:space="0" w:color="auto"/>
              <w:right w:val="nil" w:sz="6" w:space="0" w:color="auto"/>
            </w:tcBorders>
          </w:tcPr>
          <w:p>
            <w:pPr>
              <w:pStyle w:val="TableParagraph"/>
              <w:spacing w:line="207" w:lineRule="exact"/>
              <w:ind w:right="33"/>
              <w:jc w:val="right"/>
              <w:rPr>
                <w:rFonts w:ascii="黑体" w:hAnsi="黑体" w:cs="黑体" w:eastAsia="黑体" w:hint="default"/>
                <w:sz w:val="16"/>
                <w:szCs w:val="16"/>
              </w:rPr>
            </w:pPr>
            <w:r>
              <w:rPr>
                <w:rFonts w:ascii="黑体" w:hAnsi="黑体" w:cs="黑体" w:eastAsia="黑体" w:hint="default"/>
                <w:sz w:val="16"/>
                <w:szCs w:val="16"/>
              </w:rPr>
              <w:t>金额</w:t>
            </w:r>
          </w:p>
        </w:tc>
        <w:tc>
          <w:tcPr>
            <w:tcW w:w="680" w:type="dxa"/>
            <w:tcBorders>
              <w:top w:val="nil" w:sz="6" w:space="0" w:color="auto"/>
              <w:left w:val="nil" w:sz="6" w:space="0" w:color="auto"/>
              <w:bottom w:val="nil" w:sz="6" w:space="0" w:color="auto"/>
              <w:right w:val="nil" w:sz="6" w:space="0" w:color="auto"/>
            </w:tcBorders>
          </w:tcPr>
          <w:p>
            <w:pPr>
              <w:pStyle w:val="TableParagraph"/>
              <w:spacing w:line="207" w:lineRule="exact"/>
              <w:ind w:right="7"/>
              <w:jc w:val="right"/>
              <w:rPr>
                <w:rFonts w:ascii="黑体" w:hAnsi="黑体" w:cs="黑体" w:eastAsia="黑体" w:hint="default"/>
                <w:sz w:val="16"/>
                <w:szCs w:val="16"/>
              </w:rPr>
            </w:pPr>
            <w:r>
              <w:rPr>
                <w:rFonts w:ascii="黑体" w:hAnsi="黑体" w:cs="黑体" w:eastAsia="黑体" w:hint="default"/>
                <w:sz w:val="16"/>
                <w:szCs w:val="16"/>
              </w:rPr>
              <w:t>计提比例</w:t>
            </w:r>
          </w:p>
        </w:tc>
        <w:tc>
          <w:tcPr>
            <w:tcW w:w="235"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Style w:val="TableParagraph"/>
              <w:spacing w:line="207" w:lineRule="exact"/>
              <w:ind w:right="2"/>
              <w:jc w:val="right"/>
              <w:rPr>
                <w:rFonts w:ascii="黑体" w:hAnsi="黑体" w:cs="黑体" w:eastAsia="黑体" w:hint="default"/>
                <w:sz w:val="16"/>
                <w:szCs w:val="16"/>
              </w:rPr>
            </w:pPr>
            <w:r>
              <w:rPr>
                <w:rFonts w:ascii="黑体" w:hAnsi="黑体" w:cs="黑体" w:eastAsia="黑体" w:hint="default"/>
                <w:sz w:val="16"/>
                <w:szCs w:val="16"/>
              </w:rPr>
              <w:t>金额</w:t>
            </w:r>
          </w:p>
        </w:tc>
        <w:tc>
          <w:tcPr>
            <w:tcW w:w="413" w:type="dxa"/>
            <w:tcBorders>
              <w:top w:val="nil" w:sz="6" w:space="0" w:color="auto"/>
              <w:left w:val="nil" w:sz="6" w:space="0" w:color="auto"/>
              <w:bottom w:val="nil" w:sz="6" w:space="0" w:color="auto"/>
              <w:right w:val="nil" w:sz="6" w:space="0" w:color="auto"/>
            </w:tcBorders>
          </w:tcPr>
          <w:p>
            <w:pPr>
              <w:pStyle w:val="TableParagraph"/>
              <w:spacing w:line="207" w:lineRule="exact"/>
              <w:ind w:right="89"/>
              <w:jc w:val="right"/>
              <w:rPr>
                <w:rFonts w:ascii="黑体" w:hAnsi="黑体" w:cs="黑体" w:eastAsia="黑体" w:hint="default"/>
                <w:sz w:val="16"/>
                <w:szCs w:val="16"/>
              </w:rPr>
            </w:pPr>
            <w:r>
              <w:rPr>
                <w:rFonts w:ascii="黑体" w:hAnsi="黑体" w:cs="黑体" w:eastAsia="黑体" w:hint="default"/>
                <w:sz w:val="16"/>
                <w:szCs w:val="16"/>
              </w:rPr>
              <w:t>比例</w:t>
            </w:r>
          </w:p>
        </w:tc>
        <w:tc>
          <w:tcPr>
            <w:tcW w:w="912" w:type="dxa"/>
            <w:tcBorders>
              <w:top w:val="nil" w:sz="6" w:space="0" w:color="auto"/>
              <w:left w:val="nil" w:sz="6" w:space="0" w:color="auto"/>
              <w:bottom w:val="nil" w:sz="6" w:space="0" w:color="auto"/>
              <w:right w:val="nil" w:sz="6" w:space="0" w:color="auto"/>
            </w:tcBorders>
          </w:tcPr>
          <w:p>
            <w:pPr>
              <w:pStyle w:val="TableParagraph"/>
              <w:spacing w:line="207" w:lineRule="exact"/>
              <w:ind w:right="24"/>
              <w:jc w:val="right"/>
              <w:rPr>
                <w:rFonts w:ascii="黑体" w:hAnsi="黑体" w:cs="黑体" w:eastAsia="黑体" w:hint="default"/>
                <w:sz w:val="16"/>
                <w:szCs w:val="16"/>
              </w:rPr>
            </w:pPr>
            <w:r>
              <w:rPr>
                <w:rFonts w:ascii="黑体" w:hAnsi="黑体" w:cs="黑体" w:eastAsia="黑体" w:hint="default"/>
                <w:sz w:val="16"/>
                <w:szCs w:val="16"/>
              </w:rPr>
              <w:t>金额</w:t>
            </w:r>
          </w:p>
        </w:tc>
        <w:tc>
          <w:tcPr>
            <w:tcW w:w="672" w:type="dxa"/>
            <w:tcBorders>
              <w:top w:val="nil" w:sz="6" w:space="0" w:color="auto"/>
              <w:left w:val="nil" w:sz="6" w:space="0" w:color="auto"/>
              <w:bottom w:val="nil" w:sz="6" w:space="0" w:color="auto"/>
              <w:right w:val="nil" w:sz="6" w:space="0" w:color="auto"/>
            </w:tcBorders>
          </w:tcPr>
          <w:p>
            <w:pPr>
              <w:pStyle w:val="TableParagraph"/>
              <w:spacing w:line="207" w:lineRule="exact"/>
              <w:ind w:right="5"/>
              <w:jc w:val="right"/>
              <w:rPr>
                <w:rFonts w:ascii="黑体" w:hAnsi="黑体" w:cs="黑体" w:eastAsia="黑体" w:hint="default"/>
                <w:sz w:val="16"/>
                <w:szCs w:val="16"/>
              </w:rPr>
            </w:pPr>
            <w:r>
              <w:rPr>
                <w:rFonts w:ascii="黑体" w:hAnsi="黑体" w:cs="黑体" w:eastAsia="黑体" w:hint="default"/>
                <w:sz w:val="16"/>
                <w:szCs w:val="16"/>
              </w:rPr>
              <w:t>计提比例</w:t>
            </w:r>
          </w:p>
        </w:tc>
      </w:tr>
      <w:tr>
        <w:trPr>
          <w:trHeight w:val="234" w:hRule="exact"/>
        </w:trPr>
        <w:tc>
          <w:tcPr>
            <w:tcW w:w="1708"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
        </w:tc>
        <w:tc>
          <w:tcPr>
            <w:tcW w:w="388" w:type="dxa"/>
            <w:tcBorders>
              <w:top w:val="nil" w:sz="6" w:space="0" w:color="auto"/>
              <w:left w:val="nil" w:sz="6" w:space="0" w:color="auto"/>
              <w:bottom w:val="nil" w:sz="6" w:space="0" w:color="auto"/>
              <w:right w:val="nil" w:sz="6" w:space="0" w:color="auto"/>
            </w:tcBorders>
          </w:tcPr>
          <w:p>
            <w:pPr>
              <w:pStyle w:val="TableParagraph"/>
              <w:spacing w:line="240" w:lineRule="auto" w:before="31"/>
              <w:ind w:left="40" w:right="0"/>
              <w:jc w:val="center"/>
              <w:rPr>
                <w:rFonts w:ascii="Arial" w:hAnsi="Arial" w:cs="Arial" w:eastAsia="Arial" w:hint="default"/>
                <w:sz w:val="16"/>
                <w:szCs w:val="16"/>
              </w:rPr>
            </w:pPr>
            <w:r>
              <w:rPr>
                <w:rFonts w:ascii="Arial"/>
                <w:sz w:val="16"/>
              </w:rPr>
              <w:t>(%)</w:t>
            </w:r>
          </w:p>
        </w:tc>
        <w:tc>
          <w:tcPr>
            <w:tcW w:w="965" w:type="dxa"/>
            <w:tcBorders>
              <w:top w:val="nil" w:sz="6" w:space="0" w:color="auto"/>
              <w:left w:val="nil" w:sz="6" w:space="0" w:color="auto"/>
              <w:bottom w:val="nil" w:sz="6" w:space="0" w:color="auto"/>
              <w:right w:val="nil" w:sz="6" w:space="0" w:color="auto"/>
            </w:tcBorders>
          </w:tcPr>
          <w:p>
            <w:pP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
              <w:jc w:val="right"/>
              <w:rPr>
                <w:rFonts w:ascii="Arial" w:hAnsi="Arial" w:cs="Arial" w:eastAsia="Arial" w:hint="default"/>
                <w:sz w:val="16"/>
                <w:szCs w:val="16"/>
              </w:rPr>
            </w:pPr>
            <w:r>
              <w:rPr>
                <w:rFonts w:ascii="Arial"/>
                <w:spacing w:val="-1"/>
                <w:sz w:val="16"/>
              </w:rPr>
              <w:t>(%)</w:t>
            </w:r>
          </w:p>
        </w:tc>
        <w:tc>
          <w:tcPr>
            <w:tcW w:w="235"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
        </w:tc>
        <w:tc>
          <w:tcPr>
            <w:tcW w:w="41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2"/>
              <w:jc w:val="right"/>
              <w:rPr>
                <w:rFonts w:ascii="Arial" w:hAnsi="Arial" w:cs="Arial" w:eastAsia="Arial" w:hint="default"/>
                <w:sz w:val="16"/>
                <w:szCs w:val="16"/>
              </w:rPr>
            </w:pPr>
            <w:r>
              <w:rPr>
                <w:rFonts w:ascii="Arial"/>
                <w:spacing w:val="-1"/>
                <w:sz w:val="16"/>
              </w:rPr>
              <w:t>(%)</w:t>
            </w:r>
          </w:p>
        </w:tc>
        <w:tc>
          <w:tcPr>
            <w:tcW w:w="912" w:type="dxa"/>
            <w:tcBorders>
              <w:top w:val="nil" w:sz="6" w:space="0" w:color="auto"/>
              <w:left w:val="nil" w:sz="6" w:space="0" w:color="auto"/>
              <w:bottom w:val="nil" w:sz="6" w:space="0" w:color="auto"/>
              <w:right w:val="nil" w:sz="6" w:space="0" w:color="auto"/>
            </w:tcBorders>
          </w:tcPr>
          <w:p>
            <w:pP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8"/>
              <w:jc w:val="right"/>
              <w:rPr>
                <w:rFonts w:ascii="Arial" w:hAnsi="Arial" w:cs="Arial" w:eastAsia="Arial" w:hint="default"/>
                <w:sz w:val="16"/>
                <w:szCs w:val="16"/>
              </w:rPr>
            </w:pPr>
            <w:r>
              <w:rPr>
                <w:rFonts w:ascii="Arial"/>
                <w:spacing w:val="-1"/>
                <w:sz w:val="16"/>
              </w:rPr>
              <w:t>(%)</w:t>
            </w:r>
          </w:p>
        </w:tc>
      </w:tr>
      <w:tr>
        <w:trPr>
          <w:trHeight w:val="448" w:hRule="exact"/>
        </w:trPr>
        <w:tc>
          <w:tcPr>
            <w:tcW w:w="1708" w:type="dxa"/>
            <w:tcBorders>
              <w:top w:val="nil" w:sz="6" w:space="0" w:color="auto"/>
              <w:left w:val="nil" w:sz="6" w:space="0" w:color="auto"/>
              <w:bottom w:val="nil" w:sz="6" w:space="0" w:color="auto"/>
              <w:right w:val="nil" w:sz="6" w:space="0" w:color="auto"/>
            </w:tcBorders>
          </w:tcPr>
          <w:p>
            <w:pPr>
              <w:pStyle w:val="TableParagraph"/>
              <w:spacing w:line="183" w:lineRule="exact"/>
              <w:ind w:left="200" w:right="0"/>
              <w:jc w:val="left"/>
              <w:rPr>
                <w:rFonts w:ascii="黑体" w:hAnsi="黑体" w:cs="黑体" w:eastAsia="黑体" w:hint="default"/>
                <w:sz w:val="16"/>
                <w:szCs w:val="16"/>
              </w:rPr>
            </w:pPr>
            <w:r>
              <w:rPr>
                <w:rFonts w:ascii="黑体" w:hAnsi="黑体" w:cs="黑体" w:eastAsia="黑体" w:hint="default"/>
                <w:sz w:val="16"/>
                <w:szCs w:val="16"/>
              </w:rPr>
              <w:t>单项金额重大并单项</w:t>
            </w:r>
          </w:p>
          <w:p>
            <w:pPr>
              <w:pStyle w:val="TableParagraph"/>
              <w:spacing w:line="209" w:lineRule="exact"/>
              <w:ind w:left="358" w:right="0"/>
              <w:jc w:val="left"/>
              <w:rPr>
                <w:rFonts w:ascii="黑体" w:hAnsi="黑体" w:cs="黑体" w:eastAsia="黑体" w:hint="default"/>
                <w:sz w:val="16"/>
                <w:szCs w:val="16"/>
              </w:rPr>
            </w:pPr>
            <w:r>
              <w:rPr>
                <w:rFonts w:ascii="黑体" w:hAnsi="黑体" w:cs="黑体" w:eastAsia="黑体" w:hint="default"/>
                <w:sz w:val="16"/>
                <w:szCs w:val="16"/>
              </w:rPr>
              <w:t>计提坏账准备</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17"/>
              <w:jc w:val="right"/>
              <w:rPr>
                <w:rFonts w:ascii="Arial" w:hAnsi="Arial" w:cs="Arial" w:eastAsia="Arial" w:hint="default"/>
                <w:sz w:val="16"/>
                <w:szCs w:val="16"/>
              </w:rPr>
            </w:pPr>
            <w:r>
              <w:rPr>
                <w:rFonts w:ascii="Arial"/>
                <w:spacing w:val="-1"/>
                <w:sz w:val="16"/>
              </w:rPr>
              <w:t>492,349,413</w:t>
            </w:r>
            <w:r>
              <w:rPr>
                <w:rFonts w:ascii="Arial"/>
                <w:sz w:val="16"/>
              </w:rPr>
            </w:r>
          </w:p>
        </w:tc>
        <w:tc>
          <w:tcPr>
            <w:tcW w:w="38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left="78" w:right="0"/>
              <w:jc w:val="center"/>
              <w:rPr>
                <w:rFonts w:ascii="Arial" w:hAnsi="Arial" w:cs="Arial" w:eastAsia="Arial" w:hint="default"/>
                <w:sz w:val="16"/>
                <w:szCs w:val="16"/>
              </w:rPr>
            </w:pPr>
            <w:r>
              <w:rPr>
                <w:rFonts w:ascii="Arial"/>
                <w:sz w:val="16"/>
              </w:rPr>
              <w:t>34</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50"/>
              <w:jc w:val="right"/>
              <w:rPr>
                <w:rFonts w:ascii="Arial" w:hAnsi="Arial" w:cs="Arial" w:eastAsia="Arial" w:hint="default"/>
                <w:sz w:val="16"/>
                <w:szCs w:val="16"/>
              </w:rPr>
            </w:pPr>
            <w:r>
              <w:rPr>
                <w:rFonts w:ascii="Arial"/>
                <w:spacing w:val="-1"/>
                <w:sz w:val="16"/>
              </w:rPr>
              <w:t>20,702,370</w:t>
            </w:r>
            <w:r>
              <w:rPr>
                <w:rFonts w:ascii="Arial"/>
                <w:sz w:val="16"/>
              </w:rPr>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26"/>
              <w:jc w:val="right"/>
              <w:rPr>
                <w:rFonts w:ascii="Arial" w:hAnsi="Arial" w:cs="Arial" w:eastAsia="Arial" w:hint="default"/>
                <w:sz w:val="16"/>
                <w:szCs w:val="16"/>
              </w:rPr>
            </w:pPr>
            <w:r>
              <w:rPr>
                <w:rFonts w:ascii="Arial"/>
                <w:w w:val="100"/>
                <w:sz w:val="16"/>
              </w:rPr>
              <w:t>4</w:t>
            </w:r>
          </w:p>
        </w:tc>
        <w:tc>
          <w:tcPr>
            <w:tcW w:w="235"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0"/>
              <w:jc w:val="right"/>
              <w:rPr>
                <w:rFonts w:ascii="Arial" w:hAnsi="Arial" w:cs="Arial" w:eastAsia="Arial" w:hint="default"/>
                <w:sz w:val="16"/>
                <w:szCs w:val="16"/>
              </w:rPr>
            </w:pPr>
            <w:r>
              <w:rPr>
                <w:rFonts w:ascii="Arial"/>
                <w:spacing w:val="-1"/>
                <w:sz w:val="16"/>
              </w:rPr>
              <w:t>209,073,100</w:t>
            </w:r>
            <w:r>
              <w:rPr>
                <w:rFonts w:ascii="Arial"/>
                <w:sz w:val="16"/>
              </w:rPr>
            </w:r>
          </w:p>
        </w:tc>
        <w:tc>
          <w:tcPr>
            <w:tcW w:w="41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108"/>
              <w:jc w:val="right"/>
              <w:rPr>
                <w:rFonts w:ascii="Arial" w:hAnsi="Arial" w:cs="Arial" w:eastAsia="Arial" w:hint="default"/>
                <w:sz w:val="16"/>
                <w:szCs w:val="16"/>
              </w:rPr>
            </w:pPr>
            <w:r>
              <w:rPr>
                <w:rFonts w:ascii="Arial"/>
                <w:spacing w:val="-1"/>
                <w:sz w:val="16"/>
              </w:rPr>
              <w:t>15</w:t>
            </w:r>
            <w:r>
              <w:rPr>
                <w:rFonts w:ascii="Arial"/>
                <w:sz w:val="16"/>
              </w:rPr>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42"/>
              <w:jc w:val="right"/>
              <w:rPr>
                <w:rFonts w:ascii="Arial" w:hAnsi="Arial" w:cs="Arial" w:eastAsia="Arial" w:hint="default"/>
                <w:sz w:val="16"/>
                <w:szCs w:val="16"/>
              </w:rPr>
            </w:pPr>
            <w:r>
              <w:rPr>
                <w:rFonts w:ascii="Arial"/>
                <w:w w:val="100"/>
                <w:sz w:val="16"/>
              </w:rPr>
              <w:t>-</w:t>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26"/>
              <w:jc w:val="right"/>
              <w:rPr>
                <w:rFonts w:ascii="Arial" w:hAnsi="Arial" w:cs="Arial" w:eastAsia="Arial" w:hint="default"/>
                <w:sz w:val="16"/>
                <w:szCs w:val="16"/>
              </w:rPr>
            </w:pPr>
            <w:r>
              <w:rPr>
                <w:rFonts w:ascii="Arial"/>
                <w:w w:val="100"/>
                <w:sz w:val="16"/>
              </w:rPr>
              <w:t>-</w:t>
            </w:r>
          </w:p>
        </w:tc>
      </w:tr>
      <w:tr>
        <w:trPr>
          <w:trHeight w:val="254" w:hRule="exact"/>
        </w:trPr>
        <w:tc>
          <w:tcPr>
            <w:tcW w:w="1708" w:type="dxa"/>
            <w:tcBorders>
              <w:top w:val="nil" w:sz="6" w:space="0" w:color="auto"/>
              <w:left w:val="nil" w:sz="6" w:space="0" w:color="auto"/>
              <w:bottom w:val="nil" w:sz="6" w:space="0" w:color="auto"/>
              <w:right w:val="nil" w:sz="6" w:space="0" w:color="auto"/>
            </w:tcBorders>
          </w:tcPr>
          <w:p>
            <w:pPr>
              <w:pStyle w:val="TableParagraph"/>
              <w:spacing w:line="199" w:lineRule="exact"/>
              <w:ind w:left="260" w:right="0"/>
              <w:jc w:val="left"/>
              <w:rPr>
                <w:rFonts w:ascii="黑体" w:hAnsi="黑体" w:cs="黑体" w:eastAsia="黑体" w:hint="default"/>
                <w:sz w:val="16"/>
                <w:szCs w:val="16"/>
              </w:rPr>
            </w:pPr>
            <w:r>
              <w:rPr>
                <w:rFonts w:ascii="黑体" w:hAnsi="黑体" w:cs="黑体" w:eastAsia="黑体" w:hint="default"/>
                <w:sz w:val="16"/>
                <w:szCs w:val="16"/>
              </w:rPr>
              <w:t>组合计提坏账准备</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9"/>
              <w:jc w:val="right"/>
              <w:rPr>
                <w:rFonts w:ascii="Arial" w:hAnsi="Arial" w:cs="Arial" w:eastAsia="Arial" w:hint="default"/>
                <w:sz w:val="16"/>
                <w:szCs w:val="16"/>
              </w:rPr>
            </w:pPr>
            <w:r>
              <w:rPr>
                <w:rFonts w:ascii="Arial"/>
                <w:spacing w:val="-1"/>
                <w:sz w:val="16"/>
              </w:rPr>
              <w:t>758,862,490</w:t>
            </w:r>
            <w:r>
              <w:rPr>
                <w:rFonts w:ascii="Arial"/>
                <w:sz w:val="16"/>
              </w:rPr>
            </w:r>
          </w:p>
        </w:tc>
        <w:tc>
          <w:tcPr>
            <w:tcW w:w="38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8" w:right="0"/>
              <w:jc w:val="center"/>
              <w:rPr>
                <w:rFonts w:ascii="Arial" w:hAnsi="Arial" w:cs="Arial" w:eastAsia="Arial" w:hint="default"/>
                <w:sz w:val="16"/>
                <w:szCs w:val="16"/>
              </w:rPr>
            </w:pPr>
            <w:r>
              <w:rPr>
                <w:rFonts w:ascii="Arial"/>
                <w:sz w:val="16"/>
              </w:rPr>
              <w:t>52</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6"/>
              <w:jc w:val="right"/>
              <w:rPr>
                <w:rFonts w:ascii="Arial" w:hAnsi="Arial" w:cs="Arial" w:eastAsia="Arial" w:hint="default"/>
                <w:sz w:val="16"/>
                <w:szCs w:val="16"/>
              </w:rPr>
            </w:pPr>
            <w:r>
              <w:rPr>
                <w:rFonts w:ascii="Arial"/>
                <w:spacing w:val="-1"/>
                <w:sz w:val="16"/>
              </w:rPr>
              <w:t>95,585,455</w:t>
            </w:r>
            <w:r>
              <w:rPr>
                <w:rFonts w:ascii="Arial"/>
                <w:sz w:val="16"/>
              </w:rPr>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
              <w:jc w:val="right"/>
              <w:rPr>
                <w:rFonts w:ascii="Arial" w:hAnsi="Arial" w:cs="Arial" w:eastAsia="Arial" w:hint="default"/>
                <w:sz w:val="16"/>
                <w:szCs w:val="16"/>
              </w:rPr>
            </w:pPr>
            <w:r>
              <w:rPr>
                <w:rFonts w:ascii="Arial"/>
                <w:spacing w:val="-1"/>
                <w:sz w:val="16"/>
              </w:rPr>
              <w:t>13</w:t>
            </w:r>
            <w:r>
              <w:rPr>
                <w:rFonts w:ascii="Arial"/>
                <w:sz w:val="16"/>
              </w:rPr>
            </w:r>
          </w:p>
        </w:tc>
        <w:tc>
          <w:tcPr>
            <w:tcW w:w="235"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
              <w:jc w:val="right"/>
              <w:rPr>
                <w:rFonts w:ascii="Arial" w:hAnsi="Arial" w:cs="Arial" w:eastAsia="Arial" w:hint="default"/>
                <w:sz w:val="16"/>
                <w:szCs w:val="16"/>
              </w:rPr>
            </w:pPr>
            <w:r>
              <w:rPr>
                <w:rFonts w:ascii="Arial"/>
                <w:spacing w:val="-1"/>
                <w:sz w:val="16"/>
              </w:rPr>
              <w:t>1,101,293,266</w:t>
            </w:r>
            <w:r>
              <w:rPr>
                <w:rFonts w:ascii="Arial"/>
                <w:sz w:val="16"/>
              </w:rPr>
            </w:r>
          </w:p>
        </w:tc>
        <w:tc>
          <w:tcPr>
            <w:tcW w:w="41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8"/>
              <w:jc w:val="right"/>
              <w:rPr>
                <w:rFonts w:ascii="Arial" w:hAnsi="Arial" w:cs="Arial" w:eastAsia="Arial" w:hint="default"/>
                <w:sz w:val="16"/>
                <w:szCs w:val="16"/>
              </w:rPr>
            </w:pPr>
            <w:r>
              <w:rPr>
                <w:rFonts w:ascii="Arial"/>
                <w:spacing w:val="-1"/>
                <w:sz w:val="16"/>
              </w:rPr>
              <w:t>82</w:t>
            </w:r>
            <w:r>
              <w:rPr>
                <w:rFonts w:ascii="Arial"/>
                <w:sz w:val="16"/>
              </w:rPr>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9"/>
              <w:jc w:val="right"/>
              <w:rPr>
                <w:rFonts w:ascii="Arial" w:hAnsi="Arial" w:cs="Arial" w:eastAsia="Arial" w:hint="default"/>
                <w:sz w:val="16"/>
                <w:szCs w:val="16"/>
              </w:rPr>
            </w:pPr>
            <w:r>
              <w:rPr>
                <w:rFonts w:ascii="Arial"/>
                <w:spacing w:val="-1"/>
                <w:sz w:val="16"/>
              </w:rPr>
              <w:t>79,481,393</w:t>
            </w:r>
            <w:r>
              <w:rPr>
                <w:rFonts w:ascii="Arial"/>
                <w:sz w:val="16"/>
              </w:rPr>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
              <w:jc w:val="right"/>
              <w:rPr>
                <w:rFonts w:ascii="Arial" w:hAnsi="Arial" w:cs="Arial" w:eastAsia="Arial" w:hint="default"/>
                <w:sz w:val="16"/>
                <w:szCs w:val="16"/>
              </w:rPr>
            </w:pPr>
            <w:r>
              <w:rPr>
                <w:rFonts w:ascii="Arial"/>
                <w:w w:val="100"/>
                <w:sz w:val="16"/>
              </w:rPr>
              <w:t>7</w:t>
            </w:r>
          </w:p>
        </w:tc>
      </w:tr>
      <w:tr>
        <w:trPr>
          <w:trHeight w:val="256" w:hRule="exact"/>
        </w:trPr>
        <w:tc>
          <w:tcPr>
            <w:tcW w:w="1708" w:type="dxa"/>
            <w:tcBorders>
              <w:top w:val="nil" w:sz="6" w:space="0" w:color="auto"/>
              <w:left w:val="nil" w:sz="6" w:space="0" w:color="auto"/>
              <w:bottom w:val="nil" w:sz="6" w:space="0" w:color="auto"/>
              <w:right w:val="nil" w:sz="6" w:space="0" w:color="auto"/>
            </w:tcBorders>
          </w:tcPr>
          <w:p>
            <w:pPr>
              <w:pStyle w:val="TableParagraph"/>
              <w:spacing w:line="210" w:lineRule="exact"/>
              <w:ind w:left="360" w:right="0"/>
              <w:jc w:val="left"/>
              <w:rPr>
                <w:rFonts w:ascii="黑体" w:hAnsi="黑体" w:cs="黑体" w:eastAsia="黑体" w:hint="default"/>
                <w:sz w:val="16"/>
                <w:szCs w:val="16"/>
              </w:rPr>
            </w:pPr>
            <w:r>
              <w:rPr>
                <w:rFonts w:ascii="Arial" w:hAnsi="Arial" w:cs="Arial" w:eastAsia="Arial" w:hint="default"/>
                <w:sz w:val="16"/>
                <w:szCs w:val="16"/>
              </w:rPr>
              <w:t>1</w:t>
            </w:r>
            <w:r>
              <w:rPr>
                <w:rFonts w:ascii="Arial" w:hAnsi="Arial" w:cs="Arial" w:eastAsia="Arial" w:hint="default"/>
                <w:spacing w:val="-3"/>
                <w:sz w:val="16"/>
                <w:szCs w:val="16"/>
              </w:rPr>
              <w:t> </w:t>
            </w:r>
            <w:r>
              <w:rPr>
                <w:rFonts w:ascii="黑体" w:hAnsi="黑体" w:cs="黑体" w:eastAsia="黑体" w:hint="default"/>
                <w:sz w:val="16"/>
                <w:szCs w:val="16"/>
              </w:rPr>
              <w:t>年以内</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9"/>
              <w:jc w:val="right"/>
              <w:rPr>
                <w:rFonts w:ascii="Arial" w:hAnsi="Arial" w:cs="Arial" w:eastAsia="Arial" w:hint="default"/>
                <w:sz w:val="16"/>
                <w:szCs w:val="16"/>
              </w:rPr>
            </w:pPr>
            <w:r>
              <w:rPr>
                <w:rFonts w:ascii="Arial"/>
                <w:spacing w:val="-1"/>
                <w:sz w:val="16"/>
              </w:rPr>
              <w:t>492,546,392</w:t>
            </w:r>
            <w:r>
              <w:rPr>
                <w:rFonts w:ascii="Arial"/>
                <w:sz w:val="16"/>
              </w:rPr>
            </w:r>
          </w:p>
        </w:tc>
        <w:tc>
          <w:tcPr>
            <w:tcW w:w="38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78" w:right="0"/>
              <w:jc w:val="center"/>
              <w:rPr>
                <w:rFonts w:ascii="Arial" w:hAnsi="Arial" w:cs="Arial" w:eastAsia="Arial" w:hint="default"/>
                <w:sz w:val="16"/>
                <w:szCs w:val="16"/>
              </w:rPr>
            </w:pPr>
            <w:r>
              <w:rPr>
                <w:rFonts w:ascii="Arial"/>
                <w:sz w:val="16"/>
              </w:rPr>
              <w:t>34</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5"/>
              <w:jc w:val="right"/>
              <w:rPr>
                <w:rFonts w:ascii="Arial" w:hAnsi="Arial" w:cs="Arial" w:eastAsia="Arial" w:hint="default"/>
                <w:sz w:val="16"/>
                <w:szCs w:val="16"/>
              </w:rPr>
            </w:pPr>
            <w:r>
              <w:rPr>
                <w:rFonts w:ascii="Arial"/>
                <w:w w:val="100"/>
                <w:sz w:val="16"/>
              </w:rPr>
              <w:t>-</w:t>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
              <w:jc w:val="right"/>
              <w:rPr>
                <w:rFonts w:ascii="Arial" w:hAnsi="Arial" w:cs="Arial" w:eastAsia="Arial" w:hint="default"/>
                <w:sz w:val="16"/>
                <w:szCs w:val="16"/>
              </w:rPr>
            </w:pPr>
            <w:r>
              <w:rPr>
                <w:rFonts w:ascii="Arial"/>
                <w:w w:val="100"/>
                <w:sz w:val="16"/>
              </w:rPr>
              <w:t>-</w:t>
            </w:r>
          </w:p>
        </w:tc>
        <w:tc>
          <w:tcPr>
            <w:tcW w:w="235"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
              <w:jc w:val="right"/>
              <w:rPr>
                <w:rFonts w:ascii="Arial" w:hAnsi="Arial" w:cs="Arial" w:eastAsia="Arial" w:hint="default"/>
                <w:sz w:val="16"/>
                <w:szCs w:val="16"/>
              </w:rPr>
            </w:pPr>
            <w:r>
              <w:rPr>
                <w:rFonts w:ascii="Arial"/>
                <w:spacing w:val="-1"/>
                <w:sz w:val="16"/>
              </w:rPr>
              <w:t>869,393,278</w:t>
            </w:r>
            <w:r>
              <w:rPr>
                <w:rFonts w:ascii="Arial"/>
                <w:sz w:val="16"/>
              </w:rPr>
            </w:r>
          </w:p>
        </w:tc>
        <w:tc>
          <w:tcPr>
            <w:tcW w:w="41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8"/>
              <w:jc w:val="right"/>
              <w:rPr>
                <w:rFonts w:ascii="Arial" w:hAnsi="Arial" w:cs="Arial" w:eastAsia="Arial" w:hint="default"/>
                <w:sz w:val="16"/>
                <w:szCs w:val="16"/>
              </w:rPr>
            </w:pPr>
            <w:r>
              <w:rPr>
                <w:rFonts w:ascii="Arial"/>
                <w:spacing w:val="-1"/>
                <w:sz w:val="16"/>
              </w:rPr>
              <w:t>65</w:t>
            </w:r>
            <w:r>
              <w:rPr>
                <w:rFonts w:ascii="Arial"/>
                <w:sz w:val="16"/>
              </w:rPr>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8"/>
              <w:jc w:val="right"/>
              <w:rPr>
                <w:rFonts w:ascii="Arial" w:hAnsi="Arial" w:cs="Arial" w:eastAsia="Arial" w:hint="default"/>
                <w:sz w:val="16"/>
                <w:szCs w:val="16"/>
              </w:rPr>
            </w:pPr>
            <w:r>
              <w:rPr>
                <w:rFonts w:ascii="Arial"/>
                <w:w w:val="100"/>
                <w:sz w:val="16"/>
              </w:rPr>
              <w:t>-</w:t>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
              <w:jc w:val="right"/>
              <w:rPr>
                <w:rFonts w:ascii="Arial" w:hAnsi="Arial" w:cs="Arial" w:eastAsia="Arial" w:hint="default"/>
                <w:sz w:val="16"/>
                <w:szCs w:val="16"/>
              </w:rPr>
            </w:pPr>
            <w:r>
              <w:rPr>
                <w:rFonts w:ascii="Arial"/>
                <w:w w:val="100"/>
                <w:sz w:val="16"/>
              </w:rPr>
              <w:t>-</w:t>
            </w:r>
          </w:p>
        </w:tc>
      </w:tr>
      <w:tr>
        <w:trPr>
          <w:trHeight w:val="254" w:hRule="exact"/>
        </w:trPr>
        <w:tc>
          <w:tcPr>
            <w:tcW w:w="1708" w:type="dxa"/>
            <w:tcBorders>
              <w:top w:val="nil" w:sz="6" w:space="0" w:color="auto"/>
              <w:left w:val="nil" w:sz="6" w:space="0" w:color="auto"/>
              <w:bottom w:val="nil" w:sz="6" w:space="0" w:color="auto"/>
              <w:right w:val="nil" w:sz="6" w:space="0" w:color="auto"/>
            </w:tcBorders>
          </w:tcPr>
          <w:p>
            <w:pPr>
              <w:pStyle w:val="TableParagraph"/>
              <w:spacing w:line="211" w:lineRule="exact"/>
              <w:ind w:left="360" w:right="0"/>
              <w:jc w:val="left"/>
              <w:rPr>
                <w:rFonts w:ascii="黑体" w:hAnsi="黑体" w:cs="黑体" w:eastAsia="黑体" w:hint="default"/>
                <w:sz w:val="16"/>
                <w:szCs w:val="16"/>
              </w:rPr>
            </w:pPr>
            <w:r>
              <w:rPr>
                <w:rFonts w:ascii="Arial" w:hAnsi="Arial" w:cs="Arial" w:eastAsia="Arial" w:hint="default"/>
                <w:sz w:val="16"/>
                <w:szCs w:val="16"/>
              </w:rPr>
              <w:t>1-2</w:t>
            </w:r>
            <w:r>
              <w:rPr>
                <w:rFonts w:ascii="Arial" w:hAnsi="Arial" w:cs="Arial" w:eastAsia="Arial" w:hint="default"/>
                <w:spacing w:val="-6"/>
                <w:sz w:val="16"/>
                <w:szCs w:val="16"/>
              </w:rPr>
              <w:t> </w:t>
            </w:r>
            <w:r>
              <w:rPr>
                <w:rFonts w:ascii="黑体" w:hAnsi="黑体" w:cs="黑体" w:eastAsia="黑体" w:hint="default"/>
                <w:sz w:val="16"/>
                <w:szCs w:val="16"/>
              </w:rPr>
              <w:t>年</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9"/>
              <w:jc w:val="right"/>
              <w:rPr>
                <w:rFonts w:ascii="Arial" w:hAnsi="Arial" w:cs="Arial" w:eastAsia="Arial" w:hint="default"/>
                <w:sz w:val="16"/>
                <w:szCs w:val="16"/>
              </w:rPr>
            </w:pPr>
            <w:r>
              <w:rPr>
                <w:rFonts w:ascii="Arial"/>
                <w:spacing w:val="-1"/>
                <w:sz w:val="16"/>
              </w:rPr>
              <w:t>174,545,385</w:t>
            </w:r>
            <w:r>
              <w:rPr>
                <w:rFonts w:ascii="Arial"/>
                <w:sz w:val="16"/>
              </w:rPr>
            </w:r>
          </w:p>
        </w:tc>
        <w:tc>
          <w:tcPr>
            <w:tcW w:w="38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78" w:right="0"/>
              <w:jc w:val="center"/>
              <w:rPr>
                <w:rFonts w:ascii="Arial" w:hAnsi="Arial" w:cs="Arial" w:eastAsia="Arial" w:hint="default"/>
                <w:sz w:val="16"/>
                <w:szCs w:val="16"/>
              </w:rPr>
            </w:pPr>
            <w:r>
              <w:rPr>
                <w:rFonts w:ascii="Arial"/>
                <w:sz w:val="16"/>
              </w:rPr>
              <w:t>12</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
              <w:jc w:val="right"/>
              <w:rPr>
                <w:rFonts w:ascii="Arial" w:hAnsi="Arial" w:cs="Arial" w:eastAsia="Arial" w:hint="default"/>
                <w:sz w:val="16"/>
                <w:szCs w:val="16"/>
              </w:rPr>
            </w:pPr>
            <w:r>
              <w:rPr>
                <w:rFonts w:ascii="Arial"/>
                <w:spacing w:val="-1"/>
                <w:sz w:val="16"/>
              </w:rPr>
              <w:t>34,737,104</w:t>
            </w:r>
            <w:r>
              <w:rPr>
                <w:rFonts w:ascii="Arial"/>
                <w:sz w:val="16"/>
              </w:rPr>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
              <w:jc w:val="right"/>
              <w:rPr>
                <w:rFonts w:ascii="Arial" w:hAnsi="Arial" w:cs="Arial" w:eastAsia="Arial" w:hint="default"/>
                <w:sz w:val="16"/>
                <w:szCs w:val="16"/>
              </w:rPr>
            </w:pPr>
            <w:r>
              <w:rPr>
                <w:rFonts w:ascii="Arial"/>
                <w:spacing w:val="-1"/>
                <w:sz w:val="16"/>
              </w:rPr>
              <w:t>20</w:t>
            </w:r>
            <w:r>
              <w:rPr>
                <w:rFonts w:ascii="Arial"/>
                <w:sz w:val="16"/>
              </w:rPr>
            </w:r>
          </w:p>
        </w:tc>
        <w:tc>
          <w:tcPr>
            <w:tcW w:w="235"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
              <w:jc w:val="right"/>
              <w:rPr>
                <w:rFonts w:ascii="Arial" w:hAnsi="Arial" w:cs="Arial" w:eastAsia="Arial" w:hint="default"/>
                <w:sz w:val="16"/>
                <w:szCs w:val="16"/>
              </w:rPr>
            </w:pPr>
            <w:r>
              <w:rPr>
                <w:rFonts w:ascii="Arial"/>
                <w:spacing w:val="-1"/>
                <w:sz w:val="16"/>
              </w:rPr>
              <w:t>163,924,335</w:t>
            </w:r>
            <w:r>
              <w:rPr>
                <w:rFonts w:ascii="Arial"/>
                <w:sz w:val="16"/>
              </w:rPr>
            </w:r>
          </w:p>
        </w:tc>
        <w:tc>
          <w:tcPr>
            <w:tcW w:w="41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8"/>
              <w:jc w:val="right"/>
              <w:rPr>
                <w:rFonts w:ascii="Arial" w:hAnsi="Arial" w:cs="Arial" w:eastAsia="Arial" w:hint="default"/>
                <w:sz w:val="16"/>
                <w:szCs w:val="16"/>
              </w:rPr>
            </w:pPr>
            <w:r>
              <w:rPr>
                <w:rFonts w:ascii="Arial"/>
                <w:spacing w:val="-1"/>
                <w:sz w:val="16"/>
              </w:rPr>
              <w:t>12</w:t>
            </w:r>
            <w:r>
              <w:rPr>
                <w:rFonts w:ascii="Arial"/>
                <w:sz w:val="16"/>
              </w:rPr>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9"/>
              <w:jc w:val="right"/>
              <w:rPr>
                <w:rFonts w:ascii="Arial" w:hAnsi="Arial" w:cs="Arial" w:eastAsia="Arial" w:hint="default"/>
                <w:sz w:val="16"/>
                <w:szCs w:val="16"/>
              </w:rPr>
            </w:pPr>
            <w:r>
              <w:rPr>
                <w:rFonts w:ascii="Arial"/>
                <w:spacing w:val="-1"/>
                <w:sz w:val="16"/>
              </w:rPr>
              <w:t>32,784,867</w:t>
            </w:r>
            <w:r>
              <w:rPr>
                <w:rFonts w:ascii="Arial"/>
                <w:sz w:val="16"/>
              </w:rPr>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0"/>
              <w:jc w:val="right"/>
              <w:rPr>
                <w:rFonts w:ascii="Arial" w:hAnsi="Arial" w:cs="Arial" w:eastAsia="Arial" w:hint="default"/>
                <w:sz w:val="16"/>
                <w:szCs w:val="16"/>
              </w:rPr>
            </w:pPr>
            <w:r>
              <w:rPr>
                <w:rFonts w:ascii="Arial"/>
                <w:spacing w:val="-1"/>
                <w:sz w:val="16"/>
              </w:rPr>
              <w:t>20</w:t>
            </w:r>
            <w:r>
              <w:rPr>
                <w:rFonts w:ascii="Arial"/>
                <w:sz w:val="16"/>
              </w:rPr>
            </w:r>
          </w:p>
        </w:tc>
      </w:tr>
      <w:tr>
        <w:trPr>
          <w:trHeight w:val="256" w:hRule="exact"/>
        </w:trPr>
        <w:tc>
          <w:tcPr>
            <w:tcW w:w="1708" w:type="dxa"/>
            <w:tcBorders>
              <w:top w:val="nil" w:sz="6" w:space="0" w:color="auto"/>
              <w:left w:val="nil" w:sz="6" w:space="0" w:color="auto"/>
              <w:bottom w:val="nil" w:sz="6" w:space="0" w:color="auto"/>
              <w:right w:val="nil" w:sz="6" w:space="0" w:color="auto"/>
            </w:tcBorders>
          </w:tcPr>
          <w:p>
            <w:pPr>
              <w:pStyle w:val="TableParagraph"/>
              <w:spacing w:line="211" w:lineRule="exact"/>
              <w:ind w:left="360" w:right="0"/>
              <w:jc w:val="left"/>
              <w:rPr>
                <w:rFonts w:ascii="黑体" w:hAnsi="黑体" w:cs="黑体" w:eastAsia="黑体" w:hint="default"/>
                <w:sz w:val="16"/>
                <w:szCs w:val="16"/>
              </w:rPr>
            </w:pPr>
            <w:r>
              <w:rPr>
                <w:rFonts w:ascii="Arial" w:hAnsi="Arial" w:cs="Arial" w:eastAsia="Arial" w:hint="default"/>
                <w:sz w:val="16"/>
                <w:szCs w:val="16"/>
              </w:rPr>
              <w:t>2-3</w:t>
            </w:r>
            <w:r>
              <w:rPr>
                <w:rFonts w:ascii="Arial" w:hAnsi="Arial" w:cs="Arial" w:eastAsia="Arial" w:hint="default"/>
                <w:spacing w:val="-6"/>
                <w:sz w:val="16"/>
                <w:szCs w:val="16"/>
              </w:rPr>
              <w:t> </w:t>
            </w:r>
            <w:r>
              <w:rPr>
                <w:rFonts w:ascii="黑体" w:hAnsi="黑体" w:cs="黑体" w:eastAsia="黑体" w:hint="default"/>
                <w:sz w:val="16"/>
                <w:szCs w:val="16"/>
              </w:rPr>
              <w:t>年</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9"/>
              <w:jc w:val="right"/>
              <w:rPr>
                <w:rFonts w:ascii="Arial" w:hAnsi="Arial" w:cs="Arial" w:eastAsia="Arial" w:hint="default"/>
                <w:sz w:val="16"/>
                <w:szCs w:val="16"/>
              </w:rPr>
            </w:pPr>
            <w:r>
              <w:rPr>
                <w:rFonts w:ascii="Arial"/>
                <w:spacing w:val="-1"/>
                <w:sz w:val="16"/>
              </w:rPr>
              <w:t>51,537,271</w:t>
            </w:r>
            <w:r>
              <w:rPr>
                <w:rFonts w:ascii="Arial"/>
                <w:sz w:val="16"/>
              </w:rPr>
            </w:r>
          </w:p>
        </w:tc>
        <w:tc>
          <w:tcPr>
            <w:tcW w:w="388"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67" w:right="0"/>
              <w:jc w:val="center"/>
              <w:rPr>
                <w:rFonts w:ascii="Arial" w:hAnsi="Arial" w:cs="Arial" w:eastAsia="Arial" w:hint="default"/>
                <w:sz w:val="16"/>
                <w:szCs w:val="16"/>
              </w:rPr>
            </w:pPr>
            <w:r>
              <w:rPr>
                <w:rFonts w:ascii="Arial"/>
                <w:w w:val="100"/>
                <w:sz w:val="16"/>
              </w:rPr>
              <w:t>3</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6"/>
              <w:jc w:val="right"/>
              <w:rPr>
                <w:rFonts w:ascii="Arial" w:hAnsi="Arial" w:cs="Arial" w:eastAsia="Arial" w:hint="default"/>
                <w:sz w:val="16"/>
                <w:szCs w:val="16"/>
              </w:rPr>
            </w:pPr>
            <w:r>
              <w:rPr>
                <w:rFonts w:ascii="Arial"/>
                <w:spacing w:val="-1"/>
                <w:sz w:val="16"/>
              </w:rPr>
              <w:t>20,614,909</w:t>
            </w:r>
            <w:r>
              <w:rPr>
                <w:rFonts w:ascii="Arial"/>
                <w:sz w:val="16"/>
              </w:rPr>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
              <w:jc w:val="right"/>
              <w:rPr>
                <w:rFonts w:ascii="Arial" w:hAnsi="Arial" w:cs="Arial" w:eastAsia="Arial" w:hint="default"/>
                <w:sz w:val="16"/>
                <w:szCs w:val="16"/>
              </w:rPr>
            </w:pPr>
            <w:r>
              <w:rPr>
                <w:rFonts w:ascii="Arial"/>
                <w:spacing w:val="-1"/>
                <w:sz w:val="16"/>
              </w:rPr>
              <w:t>40</w:t>
            </w:r>
            <w:r>
              <w:rPr>
                <w:rFonts w:ascii="Arial"/>
                <w:sz w:val="16"/>
              </w:rPr>
            </w:r>
          </w:p>
        </w:tc>
        <w:tc>
          <w:tcPr>
            <w:tcW w:w="235"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7"/>
              <w:jc w:val="right"/>
              <w:rPr>
                <w:rFonts w:ascii="Arial" w:hAnsi="Arial" w:cs="Arial" w:eastAsia="Arial" w:hint="default"/>
                <w:sz w:val="16"/>
                <w:szCs w:val="16"/>
              </w:rPr>
            </w:pPr>
            <w:r>
              <w:rPr>
                <w:rFonts w:ascii="Arial"/>
                <w:spacing w:val="-1"/>
                <w:sz w:val="16"/>
              </w:rPr>
              <w:t>35,465,212</w:t>
            </w:r>
            <w:r>
              <w:rPr>
                <w:rFonts w:ascii="Arial"/>
                <w:sz w:val="16"/>
              </w:rPr>
            </w:r>
          </w:p>
        </w:tc>
        <w:tc>
          <w:tcPr>
            <w:tcW w:w="413"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7"/>
              <w:jc w:val="right"/>
              <w:rPr>
                <w:rFonts w:ascii="Arial" w:hAnsi="Arial" w:cs="Arial" w:eastAsia="Arial" w:hint="default"/>
                <w:sz w:val="16"/>
                <w:szCs w:val="16"/>
              </w:rPr>
            </w:pPr>
            <w:r>
              <w:rPr>
                <w:rFonts w:ascii="Arial"/>
                <w:w w:val="100"/>
                <w:sz w:val="16"/>
              </w:rPr>
              <w:t>3</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9"/>
              <w:jc w:val="right"/>
              <w:rPr>
                <w:rFonts w:ascii="Arial" w:hAnsi="Arial" w:cs="Arial" w:eastAsia="Arial" w:hint="default"/>
                <w:sz w:val="16"/>
                <w:szCs w:val="16"/>
              </w:rPr>
            </w:pPr>
            <w:r>
              <w:rPr>
                <w:rFonts w:ascii="Arial"/>
                <w:spacing w:val="-1"/>
                <w:sz w:val="16"/>
              </w:rPr>
              <w:t>14,186,085</w:t>
            </w:r>
            <w:r>
              <w:rPr>
                <w:rFonts w:ascii="Arial"/>
                <w:sz w:val="16"/>
              </w:rPr>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0"/>
              <w:jc w:val="right"/>
              <w:rPr>
                <w:rFonts w:ascii="Arial" w:hAnsi="Arial" w:cs="Arial" w:eastAsia="Arial" w:hint="default"/>
                <w:sz w:val="16"/>
                <w:szCs w:val="16"/>
              </w:rPr>
            </w:pPr>
            <w:r>
              <w:rPr>
                <w:rFonts w:ascii="Arial"/>
                <w:spacing w:val="-1"/>
                <w:sz w:val="16"/>
              </w:rPr>
              <w:t>40</w:t>
            </w:r>
            <w:r>
              <w:rPr>
                <w:rFonts w:ascii="Arial"/>
                <w:sz w:val="16"/>
              </w:rPr>
            </w:r>
          </w:p>
        </w:tc>
      </w:tr>
      <w:tr>
        <w:trPr>
          <w:trHeight w:val="230" w:hRule="exact"/>
        </w:trPr>
        <w:tc>
          <w:tcPr>
            <w:tcW w:w="1708" w:type="dxa"/>
            <w:tcBorders>
              <w:top w:val="nil" w:sz="6" w:space="0" w:color="auto"/>
              <w:left w:val="nil" w:sz="6" w:space="0" w:color="auto"/>
              <w:bottom w:val="nil" w:sz="6" w:space="0" w:color="auto"/>
              <w:right w:val="nil" w:sz="6" w:space="0" w:color="auto"/>
            </w:tcBorders>
          </w:tcPr>
          <w:p>
            <w:pPr>
              <w:pStyle w:val="TableParagraph"/>
              <w:spacing w:line="210" w:lineRule="exact"/>
              <w:ind w:left="360" w:right="0"/>
              <w:jc w:val="left"/>
              <w:rPr>
                <w:rFonts w:ascii="黑体" w:hAnsi="黑体" w:cs="黑体" w:eastAsia="黑体" w:hint="default"/>
                <w:sz w:val="16"/>
                <w:szCs w:val="16"/>
              </w:rPr>
            </w:pPr>
            <w:r>
              <w:rPr>
                <w:rFonts w:ascii="Arial" w:hAnsi="Arial" w:cs="Arial" w:eastAsia="Arial" w:hint="default"/>
                <w:sz w:val="16"/>
                <w:szCs w:val="16"/>
              </w:rPr>
              <w:t>3</w:t>
            </w:r>
            <w:r>
              <w:rPr>
                <w:rFonts w:ascii="Arial" w:hAnsi="Arial" w:cs="Arial" w:eastAsia="Arial" w:hint="default"/>
                <w:spacing w:val="-3"/>
                <w:sz w:val="16"/>
                <w:szCs w:val="16"/>
              </w:rPr>
              <w:t> </w:t>
            </w:r>
            <w:r>
              <w:rPr>
                <w:rFonts w:ascii="黑体" w:hAnsi="黑体" w:cs="黑体" w:eastAsia="黑体" w:hint="default"/>
                <w:sz w:val="16"/>
                <w:szCs w:val="16"/>
              </w:rPr>
              <w:t>年以上</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9"/>
              <w:jc w:val="right"/>
              <w:rPr>
                <w:rFonts w:ascii="Arial" w:hAnsi="Arial" w:cs="Arial" w:eastAsia="Arial" w:hint="default"/>
                <w:sz w:val="16"/>
                <w:szCs w:val="16"/>
              </w:rPr>
            </w:pPr>
            <w:r>
              <w:rPr>
                <w:rFonts w:ascii="Arial"/>
                <w:spacing w:val="-1"/>
                <w:sz w:val="16"/>
              </w:rPr>
              <w:t>40,233,442</w:t>
            </w:r>
            <w:r>
              <w:rPr>
                <w:rFonts w:ascii="Arial"/>
                <w:sz w:val="16"/>
              </w:rPr>
            </w:r>
          </w:p>
        </w:tc>
        <w:tc>
          <w:tcPr>
            <w:tcW w:w="38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67" w:right="0"/>
              <w:jc w:val="center"/>
              <w:rPr>
                <w:rFonts w:ascii="Arial" w:hAnsi="Arial" w:cs="Arial" w:eastAsia="Arial" w:hint="default"/>
                <w:sz w:val="16"/>
                <w:szCs w:val="16"/>
              </w:rPr>
            </w:pPr>
            <w:r>
              <w:rPr>
                <w:rFonts w:ascii="Arial"/>
                <w:w w:val="100"/>
                <w:sz w:val="16"/>
              </w:rPr>
              <w:t>3</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6"/>
              <w:jc w:val="right"/>
              <w:rPr>
                <w:rFonts w:ascii="Arial" w:hAnsi="Arial" w:cs="Arial" w:eastAsia="Arial" w:hint="default"/>
                <w:sz w:val="16"/>
                <w:szCs w:val="16"/>
              </w:rPr>
            </w:pPr>
            <w:r>
              <w:rPr>
                <w:rFonts w:ascii="Arial"/>
                <w:spacing w:val="-1"/>
                <w:sz w:val="16"/>
              </w:rPr>
              <w:t>40,233,442</w:t>
            </w:r>
            <w:r>
              <w:rPr>
                <w:rFonts w:ascii="Arial"/>
                <w:sz w:val="16"/>
              </w:rPr>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
              <w:jc w:val="right"/>
              <w:rPr>
                <w:rFonts w:ascii="Arial" w:hAnsi="Arial" w:cs="Arial" w:eastAsia="Arial" w:hint="default"/>
                <w:sz w:val="16"/>
                <w:szCs w:val="16"/>
              </w:rPr>
            </w:pPr>
            <w:r>
              <w:rPr>
                <w:rFonts w:ascii="Arial"/>
                <w:spacing w:val="-1"/>
                <w:sz w:val="16"/>
              </w:rPr>
              <w:t>100</w:t>
            </w:r>
            <w:r>
              <w:rPr>
                <w:rFonts w:ascii="Arial"/>
                <w:sz w:val="16"/>
              </w:rPr>
            </w:r>
          </w:p>
        </w:tc>
        <w:tc>
          <w:tcPr>
            <w:tcW w:w="235"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
              <w:jc w:val="right"/>
              <w:rPr>
                <w:rFonts w:ascii="Arial" w:hAnsi="Arial" w:cs="Arial" w:eastAsia="Arial" w:hint="default"/>
                <w:sz w:val="16"/>
                <w:szCs w:val="16"/>
              </w:rPr>
            </w:pPr>
            <w:r>
              <w:rPr>
                <w:rFonts w:ascii="Arial"/>
                <w:spacing w:val="-1"/>
                <w:sz w:val="16"/>
              </w:rPr>
              <w:t>32,510,441</w:t>
            </w:r>
            <w:r>
              <w:rPr>
                <w:rFonts w:ascii="Arial"/>
                <w:sz w:val="16"/>
              </w:rPr>
            </w:r>
          </w:p>
        </w:tc>
        <w:tc>
          <w:tcPr>
            <w:tcW w:w="41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7"/>
              <w:jc w:val="right"/>
              <w:rPr>
                <w:rFonts w:ascii="Arial" w:hAnsi="Arial" w:cs="Arial" w:eastAsia="Arial" w:hint="default"/>
                <w:sz w:val="16"/>
                <w:szCs w:val="16"/>
              </w:rPr>
            </w:pPr>
            <w:r>
              <w:rPr>
                <w:rFonts w:ascii="Arial"/>
                <w:w w:val="100"/>
                <w:sz w:val="16"/>
              </w:rPr>
              <w:t>2</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9"/>
              <w:jc w:val="right"/>
              <w:rPr>
                <w:rFonts w:ascii="Arial" w:hAnsi="Arial" w:cs="Arial" w:eastAsia="Arial" w:hint="default"/>
                <w:sz w:val="16"/>
                <w:szCs w:val="16"/>
              </w:rPr>
            </w:pPr>
            <w:r>
              <w:rPr>
                <w:rFonts w:ascii="Arial"/>
                <w:spacing w:val="-1"/>
                <w:sz w:val="16"/>
              </w:rPr>
              <w:t>32,510,441</w:t>
            </w:r>
            <w:r>
              <w:rPr>
                <w:rFonts w:ascii="Arial"/>
                <w:sz w:val="16"/>
              </w:rPr>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right"/>
              <w:rPr>
                <w:rFonts w:ascii="Arial" w:hAnsi="Arial" w:cs="Arial" w:eastAsia="Arial" w:hint="default"/>
                <w:sz w:val="16"/>
                <w:szCs w:val="16"/>
              </w:rPr>
            </w:pPr>
            <w:r>
              <w:rPr>
                <w:rFonts w:ascii="Arial"/>
                <w:spacing w:val="-1"/>
                <w:sz w:val="16"/>
              </w:rPr>
              <w:t>100</w:t>
            </w:r>
            <w:r>
              <w:rPr>
                <w:rFonts w:ascii="Arial"/>
                <w:sz w:val="16"/>
              </w:rPr>
            </w:r>
          </w:p>
        </w:tc>
      </w:tr>
      <w:tr>
        <w:trPr>
          <w:trHeight w:val="448" w:hRule="exact"/>
        </w:trPr>
        <w:tc>
          <w:tcPr>
            <w:tcW w:w="1708" w:type="dxa"/>
            <w:tcBorders>
              <w:top w:val="nil" w:sz="6" w:space="0" w:color="auto"/>
              <w:left w:val="nil" w:sz="6" w:space="0" w:color="auto"/>
              <w:bottom w:val="nil" w:sz="6" w:space="0" w:color="auto"/>
              <w:right w:val="nil" w:sz="6" w:space="0" w:color="auto"/>
            </w:tcBorders>
          </w:tcPr>
          <w:p>
            <w:pPr>
              <w:pStyle w:val="TableParagraph"/>
              <w:spacing w:line="174" w:lineRule="exact"/>
              <w:ind w:left="341" w:right="0" w:hanging="142"/>
              <w:jc w:val="left"/>
              <w:rPr>
                <w:rFonts w:ascii="黑体" w:hAnsi="黑体" w:cs="黑体" w:eastAsia="黑体" w:hint="default"/>
                <w:sz w:val="16"/>
                <w:szCs w:val="16"/>
              </w:rPr>
            </w:pPr>
            <w:r>
              <w:rPr>
                <w:rFonts w:ascii="黑体" w:hAnsi="黑体" w:cs="黑体" w:eastAsia="黑体" w:hint="default"/>
                <w:sz w:val="16"/>
                <w:szCs w:val="16"/>
              </w:rPr>
              <w:t>单项金额虽不重大但</w:t>
            </w:r>
          </w:p>
          <w:p>
            <w:pPr>
              <w:pStyle w:val="TableParagraph"/>
              <w:spacing w:line="209" w:lineRule="exact"/>
              <w:ind w:left="341" w:right="0"/>
              <w:jc w:val="left"/>
              <w:rPr>
                <w:rFonts w:ascii="黑体" w:hAnsi="黑体" w:cs="黑体" w:eastAsia="黑体" w:hint="default"/>
                <w:sz w:val="16"/>
                <w:szCs w:val="16"/>
              </w:rPr>
            </w:pPr>
            <w:r>
              <w:rPr>
                <w:rFonts w:ascii="黑体" w:hAnsi="黑体" w:cs="黑体" w:eastAsia="黑体" w:hint="default"/>
                <w:sz w:val="16"/>
                <w:szCs w:val="16"/>
              </w:rPr>
              <w:t>单项计提坏账准备</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16"/>
                <w:szCs w:val="16"/>
              </w:rPr>
            </w:pPr>
          </w:p>
          <w:p>
            <w:pPr>
              <w:pStyle w:val="TableParagraph"/>
              <w:spacing w:line="240" w:lineRule="auto"/>
              <w:ind w:left="-38" w:right="31"/>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pacing w:val="14"/>
                <w:sz w:val="16"/>
                <w:u w:val="single" w:color="000000"/>
              </w:rPr>
              <w:t> </w:t>
            </w:r>
            <w:r>
              <w:rPr>
                <w:rFonts w:ascii="Arial"/>
                <w:spacing w:val="-1"/>
                <w:sz w:val="16"/>
                <w:u w:val="single" w:color="000000"/>
              </w:rPr>
              <w:t>197,762,403</w:t>
            </w:r>
            <w:r>
              <w:rPr>
                <w:rFonts w:ascii="Arial"/>
                <w:spacing w:val="-1"/>
                <w:sz w:val="16"/>
              </w:rPr>
            </w:r>
            <w:r>
              <w:rPr>
                <w:rFonts w:ascii="Arial"/>
                <w:sz w:val="16"/>
              </w:rPr>
            </w:r>
          </w:p>
        </w:tc>
        <w:tc>
          <w:tcPr>
            <w:tcW w:w="38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16"/>
                <w:szCs w:val="16"/>
              </w:rPr>
            </w:pPr>
          </w:p>
          <w:p>
            <w:pPr>
              <w:pStyle w:val="TableParagraph"/>
              <w:spacing w:line="240" w:lineRule="auto"/>
              <w:ind w:right="39"/>
              <w:jc w:val="center"/>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 </w:t>
            </w:r>
            <w:r>
              <w:rPr>
                <w:rFonts w:ascii="Arial"/>
                <w:spacing w:val="-14"/>
                <w:sz w:val="16"/>
                <w:u w:val="single" w:color="000000"/>
              </w:rPr>
              <w:t> </w:t>
            </w:r>
            <w:r>
              <w:rPr>
                <w:rFonts w:ascii="Arial"/>
                <w:sz w:val="16"/>
                <w:u w:val="single" w:color="000000"/>
              </w:rPr>
              <w:t>14</w:t>
            </w:r>
            <w:r>
              <w:rPr>
                <w:rFonts w:ascii="Arial"/>
                <w:sz w:val="16"/>
              </w:rPr>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16"/>
                <w:szCs w:val="16"/>
              </w:rPr>
            </w:pPr>
          </w:p>
          <w:p>
            <w:pPr>
              <w:pStyle w:val="TableParagraph"/>
              <w:spacing w:line="240" w:lineRule="auto"/>
              <w:ind w:right="47"/>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pacing w:val="-8"/>
                <w:sz w:val="16"/>
                <w:u w:val="single" w:color="000000"/>
              </w:rPr>
              <w:t> </w:t>
            </w:r>
            <w:r>
              <w:rPr>
                <w:rFonts w:ascii="Arial"/>
                <w:spacing w:val="-1"/>
                <w:sz w:val="16"/>
                <w:u w:val="single" w:color="000000"/>
              </w:rPr>
              <w:t>26,257,634</w:t>
            </w:r>
            <w:r>
              <w:rPr>
                <w:rFonts w:ascii="Arial"/>
                <w:spacing w:val="-1"/>
                <w:sz w:val="16"/>
              </w:rPr>
            </w:r>
            <w:r>
              <w:rPr>
                <w:rFonts w:ascii="Arial"/>
                <w:sz w:val="16"/>
              </w:rPr>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16"/>
                <w:szCs w:val="16"/>
              </w:rPr>
            </w:pPr>
          </w:p>
          <w:p>
            <w:pPr>
              <w:pStyle w:val="TableParagraph"/>
              <w:spacing w:line="240" w:lineRule="auto"/>
              <w:ind w:right="26"/>
              <w:jc w:val="right"/>
              <w:rPr>
                <w:rFonts w:ascii="Arial" w:hAnsi="Arial" w:cs="Arial" w:eastAsia="Arial" w:hint="default"/>
                <w:sz w:val="16"/>
                <w:szCs w:val="16"/>
              </w:rPr>
            </w:pPr>
            <w:r>
              <w:rPr>
                <w:rFonts w:ascii="Arial"/>
                <w:spacing w:val="-1"/>
                <w:sz w:val="16"/>
              </w:rPr>
              <w:t>13</w:t>
            </w:r>
            <w:r>
              <w:rPr>
                <w:rFonts w:ascii="Arial"/>
                <w:sz w:val="16"/>
              </w:rPr>
            </w:r>
          </w:p>
        </w:tc>
        <w:tc>
          <w:tcPr>
            <w:tcW w:w="235"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16"/>
                <w:szCs w:val="16"/>
              </w:rPr>
            </w:pPr>
          </w:p>
          <w:p>
            <w:pPr>
              <w:pStyle w:val="TableParagraph"/>
              <w:spacing w:line="240" w:lineRule="auto"/>
              <w:ind w:right="7"/>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   </w:t>
            </w:r>
            <w:r>
              <w:rPr>
                <w:rFonts w:ascii="Arial"/>
                <w:spacing w:val="19"/>
                <w:sz w:val="16"/>
                <w:u w:val="single" w:color="000000"/>
              </w:rPr>
              <w:t> </w:t>
            </w:r>
            <w:r>
              <w:rPr>
                <w:rFonts w:ascii="Arial"/>
                <w:spacing w:val="-2"/>
                <w:sz w:val="16"/>
                <w:u w:val="single" w:color="000000"/>
              </w:rPr>
              <w:t>39,906,967</w:t>
            </w:r>
            <w:r>
              <w:rPr>
                <w:rFonts w:ascii="Arial"/>
                <w:spacing w:val="-2"/>
                <w:sz w:val="16"/>
              </w:rPr>
            </w:r>
            <w:r>
              <w:rPr>
                <w:rFonts w:ascii="Arial"/>
                <w:sz w:val="16"/>
              </w:rPr>
            </w:r>
          </w:p>
        </w:tc>
        <w:tc>
          <w:tcPr>
            <w:tcW w:w="4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16"/>
                <w:szCs w:val="16"/>
              </w:rPr>
            </w:pPr>
          </w:p>
          <w:p>
            <w:pPr>
              <w:pStyle w:val="TableParagraph"/>
              <w:spacing w:line="240" w:lineRule="auto"/>
              <w:ind w:right="105"/>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  </w:t>
            </w:r>
            <w:r>
              <w:rPr>
                <w:rFonts w:ascii="Arial"/>
                <w:spacing w:val="-15"/>
                <w:sz w:val="16"/>
                <w:u w:val="single" w:color="000000"/>
              </w:rPr>
              <w:t> </w:t>
            </w:r>
            <w:r>
              <w:rPr>
                <w:rFonts w:ascii="Arial"/>
                <w:sz w:val="16"/>
                <w:u w:val="single" w:color="000000"/>
              </w:rPr>
              <w:t>3</w:t>
            </w:r>
            <w:r>
              <w:rPr>
                <w:rFonts w:ascii="Arial"/>
                <w:sz w:val="16"/>
              </w:rPr>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16"/>
                <w:szCs w:val="16"/>
              </w:rPr>
            </w:pPr>
          </w:p>
          <w:p>
            <w:pPr>
              <w:pStyle w:val="TableParagraph"/>
              <w:spacing w:line="240" w:lineRule="auto"/>
              <w:ind w:right="41"/>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pacing w:val="-8"/>
                <w:sz w:val="16"/>
                <w:u w:val="single" w:color="000000"/>
              </w:rPr>
              <w:t> </w:t>
            </w:r>
            <w:r>
              <w:rPr>
                <w:rFonts w:ascii="Arial"/>
                <w:spacing w:val="-1"/>
                <w:sz w:val="16"/>
                <w:u w:val="single" w:color="000000"/>
              </w:rPr>
              <w:t>4,380,136</w:t>
            </w:r>
            <w:r>
              <w:rPr>
                <w:rFonts w:ascii="Arial"/>
                <w:spacing w:val="-1"/>
                <w:sz w:val="16"/>
              </w:rPr>
            </w:r>
            <w:r>
              <w:rPr>
                <w:rFonts w:ascii="Arial"/>
                <w:sz w:val="16"/>
              </w:rPr>
            </w:r>
          </w:p>
        </w:tc>
        <w:tc>
          <w:tcPr>
            <w:tcW w:w="67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16"/>
                <w:szCs w:val="16"/>
              </w:rPr>
            </w:pPr>
          </w:p>
          <w:p>
            <w:pPr>
              <w:pStyle w:val="TableParagraph"/>
              <w:spacing w:line="240" w:lineRule="auto"/>
              <w:ind w:right="24"/>
              <w:jc w:val="right"/>
              <w:rPr>
                <w:rFonts w:ascii="Arial" w:hAnsi="Arial" w:cs="Arial" w:eastAsia="Arial" w:hint="default"/>
                <w:sz w:val="16"/>
                <w:szCs w:val="16"/>
              </w:rPr>
            </w:pPr>
            <w:r>
              <w:rPr>
                <w:rFonts w:ascii="Arial"/>
                <w:spacing w:val="-1"/>
                <w:sz w:val="16"/>
              </w:rPr>
              <w:t>11</w:t>
            </w:r>
            <w:r>
              <w:rPr>
                <w:rFonts w:ascii="Arial"/>
                <w:sz w:val="16"/>
              </w:rPr>
            </w:r>
          </w:p>
        </w:tc>
      </w:tr>
      <w:tr>
        <w:trPr>
          <w:trHeight w:val="208" w:hRule="exact"/>
        </w:trPr>
        <w:tc>
          <w:tcPr>
            <w:tcW w:w="269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7"/>
              <w:ind w:left="1644" w:right="0"/>
              <w:jc w:val="left"/>
              <w:rPr>
                <w:rFonts w:ascii="Arial" w:hAnsi="Arial" w:cs="Arial" w:eastAsia="Arial" w:hint="default"/>
                <w:sz w:val="16"/>
                <w:szCs w:val="16"/>
              </w:rPr>
            </w:pPr>
            <w:r>
              <w:rPr>
                <w:rFonts w:ascii="Arial"/>
                <w:w w:val="100"/>
                <w:sz w:val="16"/>
              </w:rPr>
            </w:r>
            <w:r>
              <w:rPr>
                <w:rFonts w:ascii="Arial"/>
                <w:sz w:val="16"/>
                <w:u w:val="thick" w:color="000000"/>
              </w:rPr>
              <w:t>1,448,974,306</w:t>
            </w:r>
            <w:r>
              <w:rPr>
                <w:rFonts w:ascii="Arial"/>
                <w:sz w:val="16"/>
              </w:rPr>
            </w:r>
          </w:p>
        </w:tc>
        <w:tc>
          <w:tcPr>
            <w:tcW w:w="38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8"/>
              <w:jc w:val="center"/>
              <w:rPr>
                <w:rFonts w:ascii="Arial" w:hAnsi="Arial" w:cs="Arial" w:eastAsia="Arial" w:hint="default"/>
                <w:sz w:val="16"/>
                <w:szCs w:val="16"/>
              </w:rPr>
            </w:pPr>
            <w:r>
              <w:rPr>
                <w:rFonts w:ascii="Arial"/>
                <w:w w:val="100"/>
                <w:sz w:val="16"/>
              </w:rPr>
            </w:r>
            <w:r>
              <w:rPr>
                <w:rFonts w:ascii="Arial"/>
                <w:sz w:val="16"/>
                <w:u w:val="thick" w:color="000000"/>
              </w:rPr>
              <w:t>100</w:t>
            </w:r>
            <w:r>
              <w:rPr>
                <w:rFonts w:ascii="Arial"/>
                <w:sz w:val="16"/>
              </w:rPr>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6"/>
              <w:jc w:val="right"/>
              <w:rPr>
                <w:rFonts w:ascii="Arial" w:hAnsi="Arial" w:cs="Arial" w:eastAsia="Arial" w:hint="default"/>
                <w:sz w:val="16"/>
                <w:szCs w:val="16"/>
              </w:rPr>
            </w:pPr>
            <w:r>
              <w:rPr>
                <w:rFonts w:ascii="Arial"/>
                <w:w w:val="100"/>
                <w:sz w:val="16"/>
              </w:rPr>
            </w:r>
            <w:r>
              <w:rPr>
                <w:rFonts w:ascii="Arial"/>
                <w:spacing w:val="-1"/>
                <w:sz w:val="16"/>
                <w:u w:val="thick" w:color="000000"/>
              </w:rPr>
              <w:t>142,545,459</w:t>
            </w:r>
            <w:r>
              <w:rPr>
                <w:rFonts w:ascii="Arial"/>
                <w:spacing w:val="-1"/>
                <w:sz w:val="16"/>
              </w:rPr>
            </w:r>
            <w:r>
              <w:rPr>
                <w:rFonts w:ascii="Arial"/>
                <w:sz w:val="16"/>
              </w:rPr>
            </w:r>
          </w:p>
        </w:tc>
        <w:tc>
          <w:tcPr>
            <w:tcW w:w="68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Style w:val="TableParagraph"/>
              <w:tabs>
                <w:tab w:pos="1067" w:val="left" w:leader="none"/>
              </w:tabs>
              <w:spacing w:line="240" w:lineRule="auto" w:before="27"/>
              <w:ind w:right="-37"/>
              <w:jc w:val="right"/>
              <w:rPr>
                <w:rFonts w:ascii="Arial" w:hAnsi="Arial" w:cs="Arial" w:eastAsia="Arial" w:hint="default"/>
                <w:sz w:val="16"/>
                <w:szCs w:val="16"/>
              </w:rPr>
            </w:pPr>
            <w:r>
              <w:rPr>
                <w:rFonts w:ascii="Arial"/>
                <w:w w:val="100"/>
                <w:sz w:val="16"/>
              </w:rPr>
            </w:r>
            <w:r>
              <w:rPr>
                <w:rFonts w:ascii="Arial"/>
                <w:spacing w:val="-1"/>
                <w:sz w:val="16"/>
                <w:u w:val="thick" w:color="000000"/>
              </w:rPr>
              <w:t>1,350,273,333</w:t>
              <w:tab/>
            </w:r>
            <w:r>
              <w:rPr>
                <w:rFonts w:ascii="Arial"/>
                <w:spacing w:val="-1"/>
                <w:sz w:val="16"/>
              </w:rPr>
            </w:r>
          </w:p>
        </w:tc>
        <w:tc>
          <w:tcPr>
            <w:tcW w:w="41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08"/>
              <w:jc w:val="right"/>
              <w:rPr>
                <w:rFonts w:ascii="Arial" w:hAnsi="Arial" w:cs="Arial" w:eastAsia="Arial" w:hint="default"/>
                <w:sz w:val="16"/>
                <w:szCs w:val="16"/>
              </w:rPr>
            </w:pPr>
            <w:r>
              <w:rPr>
                <w:rFonts w:ascii="Arial"/>
                <w:w w:val="100"/>
                <w:sz w:val="16"/>
              </w:rPr>
            </w:r>
            <w:r>
              <w:rPr>
                <w:rFonts w:ascii="Arial"/>
                <w:spacing w:val="-1"/>
                <w:sz w:val="16"/>
                <w:u w:val="thick" w:color="000000"/>
              </w:rPr>
              <w:t>100</w:t>
            </w:r>
            <w:r>
              <w:rPr>
                <w:rFonts w:ascii="Arial"/>
                <w:spacing w:val="-1"/>
                <w:sz w:val="16"/>
              </w:rPr>
            </w:r>
            <w:r>
              <w:rPr>
                <w:rFonts w:ascii="Arial"/>
                <w:sz w:val="16"/>
              </w:rPr>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19"/>
              <w:jc w:val="right"/>
              <w:rPr>
                <w:rFonts w:ascii="Arial" w:hAnsi="Arial" w:cs="Arial" w:eastAsia="Arial" w:hint="default"/>
                <w:sz w:val="16"/>
                <w:szCs w:val="16"/>
              </w:rPr>
            </w:pPr>
            <w:r>
              <w:rPr>
                <w:rFonts w:ascii="Arial"/>
                <w:w w:val="100"/>
                <w:sz w:val="16"/>
              </w:rPr>
            </w:r>
            <w:r>
              <w:rPr>
                <w:rFonts w:ascii="Arial"/>
                <w:spacing w:val="-1"/>
                <w:sz w:val="16"/>
                <w:u w:val="thick" w:color="000000"/>
              </w:rPr>
              <w:t>83,861,529</w:t>
            </w:r>
            <w:r>
              <w:rPr>
                <w:rFonts w:ascii="Arial"/>
                <w:spacing w:val="-1"/>
                <w:sz w:val="16"/>
              </w:rPr>
            </w:r>
            <w:r>
              <w:rPr>
                <w:rFonts w:ascii="Arial"/>
                <w:sz w:val="16"/>
              </w:rPr>
            </w:r>
          </w:p>
        </w:tc>
        <w:tc>
          <w:tcPr>
            <w:tcW w:w="672"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黑体" w:hAnsi="黑体" w:cs="黑体" w:eastAsia="黑体" w:hint="default"/>
          <w:sz w:val="20"/>
          <w:szCs w:val="20"/>
        </w:rPr>
      </w:pPr>
    </w:p>
    <w:p>
      <w:pPr>
        <w:spacing w:line="240" w:lineRule="auto" w:before="9"/>
        <w:rPr>
          <w:rFonts w:ascii="黑体" w:hAnsi="黑体" w:cs="黑体" w:eastAsia="黑体" w:hint="default"/>
          <w:sz w:val="14"/>
          <w:szCs w:val="14"/>
        </w:rPr>
      </w:pPr>
    </w:p>
    <w:p>
      <w:pPr>
        <w:pStyle w:val="BodyText"/>
        <w:spacing w:line="240" w:lineRule="auto"/>
        <w:ind w:left="854" w:right="300"/>
        <w:jc w:val="left"/>
      </w:pPr>
      <w:r>
        <w:rPr/>
        <w:t>本集团采用账龄分析法计提坏账准备的应收账款情况如下：</w:t>
      </w:r>
    </w:p>
    <w:p>
      <w:pPr>
        <w:spacing w:line="240" w:lineRule="auto" w:before="5"/>
        <w:rPr>
          <w:rFonts w:ascii="黑体" w:hAnsi="黑体" w:cs="黑体" w:eastAsia="黑体" w:hint="default"/>
          <w:sz w:val="26"/>
          <w:szCs w:val="26"/>
        </w:rPr>
      </w:pPr>
    </w:p>
    <w:tbl>
      <w:tblPr>
        <w:tblW w:w="0" w:type="auto"/>
        <w:jc w:val="left"/>
        <w:tblInd w:w="810" w:type="dxa"/>
        <w:tblLayout w:type="fixed"/>
        <w:tblCellMar>
          <w:top w:w="0" w:type="dxa"/>
          <w:left w:w="0" w:type="dxa"/>
          <w:bottom w:w="0" w:type="dxa"/>
          <w:right w:w="0" w:type="dxa"/>
        </w:tblCellMar>
        <w:tblLook w:val="01E0"/>
      </w:tblPr>
      <w:tblGrid>
        <w:gridCol w:w="1460"/>
        <w:gridCol w:w="1077"/>
        <w:gridCol w:w="1111"/>
        <w:gridCol w:w="879"/>
        <w:gridCol w:w="235"/>
        <w:gridCol w:w="1061"/>
        <w:gridCol w:w="786"/>
        <w:gridCol w:w="1237"/>
      </w:tblGrid>
      <w:tr>
        <w:trPr>
          <w:trHeight w:val="196" w:hRule="exact"/>
        </w:trPr>
        <w:tc>
          <w:tcPr>
            <w:tcW w:w="3649" w:type="dxa"/>
            <w:gridSpan w:val="3"/>
            <w:tcBorders>
              <w:top w:val="nil" w:sz="6" w:space="0" w:color="auto"/>
              <w:left w:val="nil" w:sz="6" w:space="0" w:color="auto"/>
              <w:bottom w:val="nil" w:sz="6" w:space="0" w:color="auto"/>
              <w:right w:val="nil" w:sz="6" w:space="0" w:color="auto"/>
            </w:tcBorders>
          </w:tcPr>
          <w:p>
            <w:pPr>
              <w:pStyle w:val="TableParagraph"/>
              <w:spacing w:line="172" w:lineRule="exact"/>
              <w:ind w:left="2381" w:right="0"/>
              <w:jc w:val="left"/>
              <w:rPr>
                <w:rFonts w:ascii="黑体" w:hAnsi="黑体" w:cs="黑体" w:eastAsia="黑体" w:hint="default"/>
                <w:sz w:val="16"/>
                <w:szCs w:val="16"/>
              </w:rPr>
            </w:pPr>
            <w:r>
              <w:rPr>
                <w:rFonts w:ascii="Arial" w:hAnsi="Arial" w:cs="Arial" w:eastAsia="Arial" w:hint="default"/>
                <w:sz w:val="16"/>
                <w:szCs w:val="16"/>
              </w:rPr>
              <w:t>2012</w:t>
            </w:r>
            <w:r>
              <w:rPr>
                <w:rFonts w:ascii="黑体" w:hAnsi="黑体" w:cs="黑体" w:eastAsia="黑体" w:hint="default"/>
                <w:sz w:val="16"/>
                <w:szCs w:val="16"/>
              </w:rPr>
              <w:t>年</w:t>
            </w:r>
            <w:r>
              <w:rPr>
                <w:rFonts w:ascii="Arial" w:hAnsi="Arial" w:cs="Arial" w:eastAsia="Arial" w:hint="default"/>
                <w:sz w:val="16"/>
                <w:szCs w:val="16"/>
              </w:rPr>
              <w:t>12</w:t>
            </w:r>
            <w:r>
              <w:rPr>
                <w:rFonts w:ascii="黑体" w:hAnsi="黑体" w:cs="黑体" w:eastAsia="黑体" w:hint="default"/>
                <w:sz w:val="16"/>
                <w:szCs w:val="16"/>
              </w:rPr>
              <w:t>月</w:t>
            </w:r>
            <w:r>
              <w:rPr>
                <w:rFonts w:ascii="Arial" w:hAnsi="Arial" w:cs="Arial" w:eastAsia="Arial" w:hint="default"/>
                <w:sz w:val="16"/>
                <w:szCs w:val="16"/>
              </w:rPr>
              <w:t>31</w:t>
            </w:r>
            <w:r>
              <w:rPr>
                <w:rFonts w:ascii="黑体" w:hAnsi="黑体" w:cs="黑体" w:eastAsia="黑体" w:hint="default"/>
                <w:sz w:val="16"/>
                <w:szCs w:val="16"/>
              </w:rPr>
              <w:t>日</w:t>
            </w:r>
          </w:p>
        </w:tc>
        <w:tc>
          <w:tcPr>
            <w:tcW w:w="879" w:type="dxa"/>
            <w:tcBorders>
              <w:top w:val="nil" w:sz="6" w:space="0" w:color="auto"/>
              <w:left w:val="nil" w:sz="6" w:space="0" w:color="auto"/>
              <w:bottom w:val="single" w:sz="4" w:space="0" w:color="000000"/>
              <w:right w:val="nil" w:sz="6" w:space="0" w:color="auto"/>
            </w:tcBorders>
          </w:tcPr>
          <w:p>
            <w:pPr/>
          </w:p>
        </w:tc>
        <w:tc>
          <w:tcPr>
            <w:tcW w:w="3319" w:type="dxa"/>
            <w:gridSpan w:val="4"/>
            <w:tcBorders>
              <w:top w:val="nil" w:sz="6" w:space="0" w:color="auto"/>
              <w:left w:val="nil" w:sz="6" w:space="0" w:color="auto"/>
              <w:bottom w:val="nil" w:sz="6" w:space="0" w:color="auto"/>
              <w:right w:val="nil" w:sz="6" w:space="0" w:color="auto"/>
            </w:tcBorders>
          </w:tcPr>
          <w:p>
            <w:pPr>
              <w:pStyle w:val="TableParagraph"/>
              <w:spacing w:line="172" w:lineRule="exact"/>
              <w:ind w:left="1166" w:right="0"/>
              <w:jc w:val="left"/>
              <w:rPr>
                <w:rFonts w:ascii="黑体" w:hAnsi="黑体" w:cs="黑体" w:eastAsia="黑体" w:hint="default"/>
                <w:sz w:val="16"/>
                <w:szCs w:val="16"/>
              </w:rPr>
            </w:pPr>
            <w:r>
              <w:rPr>
                <w:rFonts w:ascii="Arial" w:hAnsi="Arial" w:cs="Arial" w:eastAsia="Arial" w:hint="default"/>
                <w:sz w:val="16"/>
                <w:szCs w:val="16"/>
              </w:rPr>
              <w:t>2011</w:t>
            </w:r>
            <w:r>
              <w:rPr>
                <w:rFonts w:ascii="黑体" w:hAnsi="黑体" w:cs="黑体" w:eastAsia="黑体" w:hint="default"/>
                <w:sz w:val="16"/>
                <w:szCs w:val="16"/>
              </w:rPr>
              <w:t>年</w:t>
            </w:r>
            <w:r>
              <w:rPr>
                <w:rFonts w:ascii="Arial" w:hAnsi="Arial" w:cs="Arial" w:eastAsia="Arial" w:hint="default"/>
                <w:sz w:val="16"/>
                <w:szCs w:val="16"/>
              </w:rPr>
              <w:t>12</w:t>
            </w:r>
            <w:r>
              <w:rPr>
                <w:rFonts w:ascii="黑体" w:hAnsi="黑体" w:cs="黑体" w:eastAsia="黑体" w:hint="default"/>
                <w:sz w:val="16"/>
                <w:szCs w:val="16"/>
              </w:rPr>
              <w:t>月</w:t>
            </w:r>
            <w:r>
              <w:rPr>
                <w:rFonts w:ascii="Arial" w:hAnsi="Arial" w:cs="Arial" w:eastAsia="Arial" w:hint="default"/>
                <w:sz w:val="16"/>
                <w:szCs w:val="16"/>
              </w:rPr>
              <w:t>31</w:t>
            </w:r>
            <w:r>
              <w:rPr>
                <w:rFonts w:ascii="黑体" w:hAnsi="黑体" w:cs="黑体" w:eastAsia="黑体" w:hint="default"/>
                <w:sz w:val="16"/>
                <w:szCs w:val="16"/>
              </w:rPr>
              <w:t>日</w:t>
            </w:r>
          </w:p>
        </w:tc>
      </w:tr>
      <w:tr>
        <w:trPr>
          <w:trHeight w:val="278" w:hRule="exact"/>
        </w:trPr>
        <w:tc>
          <w:tcPr>
            <w:tcW w:w="1460" w:type="dxa"/>
            <w:tcBorders>
              <w:top w:val="nil" w:sz="6" w:space="0" w:color="auto"/>
              <w:left w:val="nil" w:sz="6" w:space="0" w:color="auto"/>
              <w:bottom w:val="nil" w:sz="6" w:space="0" w:color="auto"/>
              <w:right w:val="nil" w:sz="6" w:space="0" w:color="auto"/>
            </w:tcBorders>
          </w:tcPr>
          <w:p>
            <w:pPr/>
          </w:p>
        </w:tc>
        <w:tc>
          <w:tcPr>
            <w:tcW w:w="2189"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7"/>
              <w:ind w:right="0"/>
              <w:jc w:val="center"/>
              <w:rPr>
                <w:rFonts w:ascii="黑体" w:hAnsi="黑体" w:cs="黑体" w:eastAsia="黑体" w:hint="default"/>
                <w:sz w:val="16"/>
                <w:szCs w:val="16"/>
              </w:rPr>
            </w:pPr>
            <w:r>
              <w:rPr>
                <w:rFonts w:ascii="黑体" w:hAnsi="黑体" w:cs="黑体" w:eastAsia="黑体" w:hint="default"/>
                <w:sz w:val="16"/>
                <w:szCs w:val="16"/>
              </w:rPr>
              <w:t>账面金额</w:t>
            </w:r>
          </w:p>
        </w:tc>
        <w:tc>
          <w:tcPr>
            <w:tcW w:w="879"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right="7"/>
              <w:jc w:val="right"/>
              <w:rPr>
                <w:rFonts w:ascii="黑体" w:hAnsi="黑体" w:cs="黑体" w:eastAsia="黑体" w:hint="default"/>
                <w:sz w:val="16"/>
                <w:szCs w:val="16"/>
              </w:rPr>
            </w:pPr>
            <w:r>
              <w:rPr>
                <w:rFonts w:ascii="黑体" w:hAnsi="黑体" w:cs="黑体" w:eastAsia="黑体" w:hint="default"/>
                <w:sz w:val="16"/>
                <w:szCs w:val="16"/>
              </w:rPr>
              <w:t>坏账准备</w:t>
            </w:r>
          </w:p>
        </w:tc>
        <w:tc>
          <w:tcPr>
            <w:tcW w:w="208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2"/>
              <w:ind w:left="1000" w:right="0"/>
              <w:jc w:val="left"/>
              <w:rPr>
                <w:rFonts w:ascii="黑体" w:hAnsi="黑体" w:cs="黑体" w:eastAsia="黑体" w:hint="default"/>
                <w:sz w:val="16"/>
                <w:szCs w:val="16"/>
              </w:rPr>
            </w:pPr>
            <w:r>
              <w:rPr>
                <w:rFonts w:ascii="黑体" w:hAnsi="黑体" w:cs="黑体" w:eastAsia="黑体" w:hint="default"/>
                <w:sz w:val="16"/>
                <w:szCs w:val="16"/>
              </w:rPr>
              <w:t>账面金额</w:t>
            </w:r>
          </w:p>
        </w:tc>
        <w:tc>
          <w:tcPr>
            <w:tcW w:w="1237"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right="11"/>
              <w:jc w:val="right"/>
              <w:rPr>
                <w:rFonts w:ascii="黑体" w:hAnsi="黑体" w:cs="黑体" w:eastAsia="黑体" w:hint="default"/>
                <w:sz w:val="16"/>
                <w:szCs w:val="16"/>
              </w:rPr>
            </w:pPr>
            <w:r>
              <w:rPr>
                <w:rFonts w:ascii="黑体" w:hAnsi="黑体" w:cs="黑体" w:eastAsia="黑体" w:hint="default"/>
                <w:sz w:val="16"/>
                <w:szCs w:val="16"/>
              </w:rPr>
              <w:t>坏账准备</w:t>
            </w:r>
          </w:p>
        </w:tc>
      </w:tr>
      <w:tr>
        <w:trPr>
          <w:trHeight w:val="258" w:hRule="exact"/>
        </w:trPr>
        <w:tc>
          <w:tcPr>
            <w:tcW w:w="1460" w:type="dxa"/>
            <w:tcBorders>
              <w:top w:val="nil" w:sz="6" w:space="0" w:color="auto"/>
              <w:left w:val="nil" w:sz="6" w:space="0" w:color="auto"/>
              <w:bottom w:val="nil" w:sz="6" w:space="0" w:color="auto"/>
              <w:right w:val="nil" w:sz="6" w:space="0" w:color="auto"/>
            </w:tcBorders>
          </w:tcPr>
          <w:p>
            <w:pPr/>
          </w:p>
        </w:tc>
        <w:tc>
          <w:tcPr>
            <w:tcW w:w="1077" w:type="dxa"/>
            <w:tcBorders>
              <w:top w:val="nil" w:sz="6" w:space="0" w:color="auto"/>
              <w:left w:val="nil" w:sz="6" w:space="0" w:color="auto"/>
              <w:bottom w:val="nil" w:sz="6" w:space="0" w:color="auto"/>
              <w:right w:val="nil" w:sz="6" w:space="0" w:color="auto"/>
            </w:tcBorders>
          </w:tcPr>
          <w:p>
            <w:pPr>
              <w:pStyle w:val="TableParagraph"/>
              <w:spacing w:line="207" w:lineRule="exact"/>
              <w:ind w:right="24"/>
              <w:jc w:val="right"/>
              <w:rPr>
                <w:rFonts w:ascii="黑体" w:hAnsi="黑体" w:cs="黑体" w:eastAsia="黑体" w:hint="default"/>
                <w:sz w:val="16"/>
                <w:szCs w:val="16"/>
              </w:rPr>
            </w:pPr>
            <w:r>
              <w:rPr>
                <w:rFonts w:ascii="黑体" w:hAnsi="黑体" w:cs="黑体" w:eastAsia="黑体" w:hint="default"/>
                <w:sz w:val="16"/>
                <w:szCs w:val="16"/>
              </w:rPr>
              <w:t>金额</w:t>
            </w:r>
          </w:p>
        </w:tc>
        <w:tc>
          <w:tcPr>
            <w:tcW w:w="1111" w:type="dxa"/>
            <w:tcBorders>
              <w:top w:val="nil" w:sz="6" w:space="0" w:color="auto"/>
              <w:left w:val="nil" w:sz="6" w:space="0" w:color="auto"/>
              <w:bottom w:val="nil" w:sz="6" w:space="0" w:color="auto"/>
              <w:right w:val="nil" w:sz="6" w:space="0" w:color="auto"/>
            </w:tcBorders>
          </w:tcPr>
          <w:p>
            <w:pPr>
              <w:pStyle w:val="TableParagraph"/>
              <w:spacing w:line="207" w:lineRule="exact"/>
              <w:ind w:right="768"/>
              <w:jc w:val="right"/>
              <w:rPr>
                <w:rFonts w:ascii="黑体" w:hAnsi="黑体" w:cs="黑体" w:eastAsia="黑体" w:hint="default"/>
                <w:sz w:val="16"/>
                <w:szCs w:val="16"/>
              </w:rPr>
            </w:pPr>
            <w:r>
              <w:rPr>
                <w:rFonts w:ascii="黑体" w:hAnsi="黑体" w:cs="黑体" w:eastAsia="黑体" w:hint="default"/>
                <w:sz w:val="16"/>
                <w:szCs w:val="16"/>
              </w:rPr>
              <w:t>比例</w:t>
            </w:r>
          </w:p>
        </w:tc>
        <w:tc>
          <w:tcPr>
            <w:tcW w:w="879" w:type="dxa"/>
            <w:tcBorders>
              <w:top w:val="nil" w:sz="6" w:space="0" w:color="auto"/>
              <w:left w:val="nil" w:sz="6" w:space="0" w:color="auto"/>
              <w:bottom w:val="nil" w:sz="6" w:space="0" w:color="auto"/>
              <w:right w:val="nil" w:sz="6" w:space="0" w:color="auto"/>
            </w:tcBorders>
          </w:tcPr>
          <w:p>
            <w:pPr>
              <w:pStyle w:val="TableParagraph"/>
              <w:spacing w:line="207" w:lineRule="exact"/>
              <w:ind w:right="7"/>
              <w:jc w:val="right"/>
              <w:rPr>
                <w:rFonts w:ascii="黑体" w:hAnsi="黑体" w:cs="黑体" w:eastAsia="黑体" w:hint="default"/>
                <w:sz w:val="16"/>
                <w:szCs w:val="16"/>
              </w:rPr>
            </w:pPr>
            <w:r>
              <w:rPr>
                <w:rFonts w:ascii="黑体" w:hAnsi="黑体" w:cs="黑体" w:eastAsia="黑体" w:hint="default"/>
                <w:sz w:val="16"/>
                <w:szCs w:val="16"/>
              </w:rPr>
              <w:t>金额</w:t>
            </w:r>
          </w:p>
        </w:tc>
        <w:tc>
          <w:tcPr>
            <w:tcW w:w="235"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07" w:lineRule="exact"/>
              <w:ind w:right="31"/>
              <w:jc w:val="right"/>
              <w:rPr>
                <w:rFonts w:ascii="黑体" w:hAnsi="黑体" w:cs="黑体" w:eastAsia="黑体" w:hint="default"/>
                <w:sz w:val="16"/>
                <w:szCs w:val="16"/>
              </w:rPr>
            </w:pPr>
            <w:r>
              <w:rPr>
                <w:rFonts w:ascii="黑体" w:hAnsi="黑体" w:cs="黑体" w:eastAsia="黑体" w:hint="default"/>
                <w:sz w:val="16"/>
                <w:szCs w:val="16"/>
              </w:rPr>
              <w:t>金额</w:t>
            </w:r>
          </w:p>
        </w:tc>
        <w:tc>
          <w:tcPr>
            <w:tcW w:w="786" w:type="dxa"/>
            <w:tcBorders>
              <w:top w:val="nil" w:sz="6" w:space="0" w:color="auto"/>
              <w:left w:val="nil" w:sz="6" w:space="0" w:color="auto"/>
              <w:bottom w:val="nil" w:sz="6" w:space="0" w:color="auto"/>
              <w:right w:val="nil" w:sz="6" w:space="0" w:color="auto"/>
            </w:tcBorders>
          </w:tcPr>
          <w:p>
            <w:pPr>
              <w:pStyle w:val="TableParagraph"/>
              <w:spacing w:line="207" w:lineRule="exact"/>
              <w:ind w:right="436"/>
              <w:jc w:val="right"/>
              <w:rPr>
                <w:rFonts w:ascii="黑体" w:hAnsi="黑体" w:cs="黑体" w:eastAsia="黑体" w:hint="default"/>
                <w:sz w:val="16"/>
                <w:szCs w:val="16"/>
              </w:rPr>
            </w:pPr>
            <w:r>
              <w:rPr>
                <w:rFonts w:ascii="黑体" w:hAnsi="黑体" w:cs="黑体" w:eastAsia="黑体" w:hint="default"/>
                <w:sz w:val="16"/>
                <w:szCs w:val="16"/>
              </w:rPr>
              <w:t>比例</w:t>
            </w:r>
          </w:p>
        </w:tc>
        <w:tc>
          <w:tcPr>
            <w:tcW w:w="1237" w:type="dxa"/>
            <w:tcBorders>
              <w:top w:val="nil" w:sz="6" w:space="0" w:color="auto"/>
              <w:left w:val="nil" w:sz="6" w:space="0" w:color="auto"/>
              <w:bottom w:val="nil" w:sz="6" w:space="0" w:color="auto"/>
              <w:right w:val="nil" w:sz="6" w:space="0" w:color="auto"/>
            </w:tcBorders>
          </w:tcPr>
          <w:p>
            <w:pPr>
              <w:pStyle w:val="TableParagraph"/>
              <w:spacing w:line="207" w:lineRule="exact"/>
              <w:ind w:right="7"/>
              <w:jc w:val="right"/>
              <w:rPr>
                <w:rFonts w:ascii="黑体" w:hAnsi="黑体" w:cs="黑体" w:eastAsia="黑体" w:hint="default"/>
                <w:sz w:val="16"/>
                <w:szCs w:val="16"/>
              </w:rPr>
            </w:pPr>
            <w:r>
              <w:rPr>
                <w:rFonts w:ascii="黑体" w:hAnsi="黑体" w:cs="黑体" w:eastAsia="黑体" w:hint="default"/>
                <w:sz w:val="16"/>
                <w:szCs w:val="16"/>
              </w:rPr>
              <w:t>金额</w:t>
            </w:r>
          </w:p>
        </w:tc>
      </w:tr>
      <w:tr>
        <w:trPr>
          <w:trHeight w:val="258" w:hRule="exact"/>
        </w:trPr>
        <w:tc>
          <w:tcPr>
            <w:tcW w:w="1460" w:type="dxa"/>
            <w:tcBorders>
              <w:top w:val="nil" w:sz="6" w:space="0" w:color="auto"/>
              <w:left w:val="nil" w:sz="6" w:space="0" w:color="auto"/>
              <w:bottom w:val="nil" w:sz="6" w:space="0" w:color="auto"/>
              <w:right w:val="nil" w:sz="6" w:space="0" w:color="auto"/>
            </w:tcBorders>
          </w:tcPr>
          <w:p>
            <w:pPr/>
          </w:p>
        </w:tc>
        <w:tc>
          <w:tcPr>
            <w:tcW w:w="1077" w:type="dxa"/>
            <w:tcBorders>
              <w:top w:val="nil" w:sz="6" w:space="0" w:color="auto"/>
              <w:left w:val="nil" w:sz="6" w:space="0" w:color="auto"/>
              <w:bottom w:val="nil" w:sz="6" w:space="0" w:color="auto"/>
              <w:right w:val="nil" w:sz="6" w:space="0" w:color="auto"/>
            </w:tcBorders>
          </w:tcPr>
          <w:p>
            <w:pP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770"/>
              <w:jc w:val="right"/>
              <w:rPr>
                <w:rFonts w:ascii="Arial" w:hAnsi="Arial" w:cs="Arial" w:eastAsia="Arial" w:hint="default"/>
                <w:sz w:val="16"/>
                <w:szCs w:val="16"/>
              </w:rPr>
            </w:pPr>
            <w:r>
              <w:rPr>
                <w:rFonts w:ascii="Arial"/>
                <w:spacing w:val="-1"/>
                <w:sz w:val="16"/>
              </w:rPr>
              <w:t>(%)</w:t>
            </w:r>
          </w:p>
        </w:tc>
        <w:tc>
          <w:tcPr>
            <w:tcW w:w="87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38"/>
              <w:jc w:val="right"/>
              <w:rPr>
                <w:rFonts w:ascii="Arial" w:hAnsi="Arial" w:cs="Arial" w:eastAsia="Arial" w:hint="default"/>
                <w:sz w:val="16"/>
                <w:szCs w:val="16"/>
              </w:rPr>
            </w:pPr>
            <w:r>
              <w:rPr>
                <w:rFonts w:ascii="Arial"/>
                <w:spacing w:val="-1"/>
                <w:sz w:val="16"/>
              </w:rPr>
              <w:t>(%)</w:t>
            </w:r>
          </w:p>
        </w:tc>
        <w:tc>
          <w:tcPr>
            <w:tcW w:w="1237" w:type="dxa"/>
            <w:tcBorders>
              <w:top w:val="nil" w:sz="6" w:space="0" w:color="auto"/>
              <w:left w:val="nil" w:sz="6" w:space="0" w:color="auto"/>
              <w:bottom w:val="nil" w:sz="6" w:space="0" w:color="auto"/>
              <w:right w:val="nil" w:sz="6" w:space="0" w:color="auto"/>
            </w:tcBorders>
          </w:tcPr>
          <w:p>
            <w:pPr/>
          </w:p>
        </w:tc>
      </w:tr>
      <w:tr>
        <w:trPr>
          <w:trHeight w:val="263" w:hRule="exact"/>
        </w:trPr>
        <w:tc>
          <w:tcPr>
            <w:tcW w:w="1460" w:type="dxa"/>
            <w:tcBorders>
              <w:top w:val="nil" w:sz="6" w:space="0" w:color="auto"/>
              <w:left w:val="nil" w:sz="6" w:space="0" w:color="auto"/>
              <w:bottom w:val="nil" w:sz="6" w:space="0" w:color="auto"/>
              <w:right w:val="nil" w:sz="6" w:space="0" w:color="auto"/>
            </w:tcBorders>
          </w:tcPr>
          <w:p>
            <w:pPr>
              <w:pStyle w:val="TableParagraph"/>
              <w:spacing w:line="219" w:lineRule="exact"/>
              <w:ind w:left="200" w:right="0"/>
              <w:jc w:val="left"/>
              <w:rPr>
                <w:rFonts w:ascii="黑体" w:hAnsi="黑体" w:cs="黑体" w:eastAsia="黑体" w:hint="default"/>
                <w:sz w:val="16"/>
                <w:szCs w:val="16"/>
              </w:rPr>
            </w:pPr>
            <w:r>
              <w:rPr>
                <w:rFonts w:ascii="Arial" w:hAnsi="Arial" w:cs="Arial" w:eastAsia="Arial" w:hint="default"/>
                <w:sz w:val="16"/>
                <w:szCs w:val="16"/>
              </w:rPr>
              <w:t>1</w:t>
            </w:r>
            <w:r>
              <w:rPr>
                <w:rFonts w:ascii="Arial" w:hAnsi="Arial" w:cs="Arial" w:eastAsia="Arial" w:hint="default"/>
                <w:spacing w:val="-3"/>
                <w:sz w:val="16"/>
                <w:szCs w:val="16"/>
              </w:rPr>
              <w:t> </w:t>
            </w:r>
            <w:r>
              <w:rPr>
                <w:rFonts w:ascii="黑体" w:hAnsi="黑体" w:cs="黑体" w:eastAsia="黑体" w:hint="default"/>
                <w:sz w:val="16"/>
                <w:szCs w:val="16"/>
              </w:rPr>
              <w:t>年以内</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9"/>
              <w:jc w:val="right"/>
              <w:rPr>
                <w:rFonts w:ascii="Arial" w:hAnsi="Arial" w:cs="Arial" w:eastAsia="Arial" w:hint="default"/>
                <w:sz w:val="16"/>
                <w:szCs w:val="16"/>
              </w:rPr>
            </w:pPr>
            <w:r>
              <w:rPr>
                <w:rFonts w:ascii="Arial"/>
                <w:spacing w:val="-1"/>
                <w:sz w:val="16"/>
              </w:rPr>
              <w:t>492,546,392</w:t>
            </w:r>
            <w:r>
              <w:rPr>
                <w:rFonts w:ascii="Arial"/>
                <w:sz w:val="16"/>
              </w:rPr>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773"/>
              <w:jc w:val="right"/>
              <w:rPr>
                <w:rFonts w:ascii="Arial" w:hAnsi="Arial" w:cs="Arial" w:eastAsia="Arial" w:hint="default"/>
                <w:sz w:val="16"/>
                <w:szCs w:val="16"/>
              </w:rPr>
            </w:pPr>
            <w:r>
              <w:rPr>
                <w:rFonts w:ascii="Arial"/>
                <w:spacing w:val="-1"/>
                <w:sz w:val="16"/>
              </w:rPr>
              <w:t>65</w:t>
            </w:r>
            <w:r>
              <w:rPr>
                <w:rFonts w:ascii="Arial"/>
                <w:sz w:val="16"/>
              </w:rPr>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1"/>
              <w:jc w:val="right"/>
              <w:rPr>
                <w:rFonts w:ascii="Arial" w:hAnsi="Arial" w:cs="Arial" w:eastAsia="Arial" w:hint="default"/>
                <w:sz w:val="16"/>
                <w:szCs w:val="16"/>
              </w:rPr>
            </w:pPr>
            <w:r>
              <w:rPr>
                <w:rFonts w:ascii="Arial"/>
                <w:w w:val="100"/>
                <w:sz w:val="16"/>
              </w:rPr>
              <w:t>-</w:t>
            </w:r>
          </w:p>
        </w:tc>
        <w:tc>
          <w:tcPr>
            <w:tcW w:w="235"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8"/>
              <w:jc w:val="right"/>
              <w:rPr>
                <w:rFonts w:ascii="Arial" w:hAnsi="Arial" w:cs="Arial" w:eastAsia="Arial" w:hint="default"/>
                <w:sz w:val="16"/>
                <w:szCs w:val="16"/>
              </w:rPr>
            </w:pPr>
            <w:r>
              <w:rPr>
                <w:rFonts w:ascii="Arial"/>
                <w:spacing w:val="-1"/>
                <w:sz w:val="16"/>
              </w:rPr>
              <w:t>869,393,278</w:t>
            </w:r>
            <w:r>
              <w:rPr>
                <w:rFonts w:ascii="Arial"/>
                <w:sz w:val="16"/>
              </w:rPr>
            </w: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43"/>
              <w:jc w:val="right"/>
              <w:rPr>
                <w:rFonts w:ascii="Arial" w:hAnsi="Arial" w:cs="Arial" w:eastAsia="Arial" w:hint="default"/>
                <w:sz w:val="16"/>
                <w:szCs w:val="16"/>
              </w:rPr>
            </w:pPr>
            <w:r>
              <w:rPr>
                <w:rFonts w:ascii="Arial"/>
                <w:spacing w:val="-1"/>
                <w:sz w:val="16"/>
              </w:rPr>
              <w:t>79</w:t>
            </w:r>
            <w:r>
              <w:rPr>
                <w:rFonts w:ascii="Arial"/>
                <w:sz w:val="16"/>
              </w:rPr>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1"/>
              <w:jc w:val="right"/>
              <w:rPr>
                <w:rFonts w:ascii="Arial" w:hAnsi="Arial" w:cs="Arial" w:eastAsia="Arial" w:hint="default"/>
                <w:sz w:val="16"/>
                <w:szCs w:val="16"/>
              </w:rPr>
            </w:pPr>
            <w:r>
              <w:rPr>
                <w:rFonts w:ascii="Arial"/>
                <w:w w:val="100"/>
                <w:sz w:val="16"/>
              </w:rPr>
              <w:t>-</w:t>
            </w:r>
          </w:p>
        </w:tc>
      </w:tr>
      <w:tr>
        <w:trPr>
          <w:trHeight w:val="256" w:hRule="exact"/>
        </w:trPr>
        <w:tc>
          <w:tcPr>
            <w:tcW w:w="1460" w:type="dxa"/>
            <w:tcBorders>
              <w:top w:val="nil" w:sz="6" w:space="0" w:color="auto"/>
              <w:left w:val="nil" w:sz="6" w:space="0" w:color="auto"/>
              <w:bottom w:val="nil" w:sz="6" w:space="0" w:color="auto"/>
              <w:right w:val="nil" w:sz="6" w:space="0" w:color="auto"/>
            </w:tcBorders>
          </w:tcPr>
          <w:p>
            <w:pPr>
              <w:pStyle w:val="TableParagraph"/>
              <w:spacing w:line="210" w:lineRule="exact"/>
              <w:ind w:left="200" w:right="0"/>
              <w:jc w:val="left"/>
              <w:rPr>
                <w:rFonts w:ascii="黑体" w:hAnsi="黑体" w:cs="黑体" w:eastAsia="黑体" w:hint="default"/>
                <w:sz w:val="16"/>
                <w:szCs w:val="16"/>
              </w:rPr>
            </w:pPr>
            <w:r>
              <w:rPr>
                <w:rFonts w:ascii="Arial" w:hAnsi="Arial" w:cs="Arial" w:eastAsia="Arial" w:hint="default"/>
                <w:sz w:val="16"/>
                <w:szCs w:val="16"/>
              </w:rPr>
              <w:t>1-2</w:t>
            </w:r>
            <w:r>
              <w:rPr>
                <w:rFonts w:ascii="Arial" w:hAnsi="Arial" w:cs="Arial" w:eastAsia="Arial" w:hint="default"/>
                <w:spacing w:val="-6"/>
                <w:sz w:val="16"/>
                <w:szCs w:val="16"/>
              </w:rPr>
              <w:t> </w:t>
            </w:r>
            <w:r>
              <w:rPr>
                <w:rFonts w:ascii="黑体" w:hAnsi="黑体" w:cs="黑体" w:eastAsia="黑体" w:hint="default"/>
                <w:sz w:val="16"/>
                <w:szCs w:val="16"/>
              </w:rPr>
              <w:t>年</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9"/>
              <w:jc w:val="right"/>
              <w:rPr>
                <w:rFonts w:ascii="Arial" w:hAnsi="Arial" w:cs="Arial" w:eastAsia="Arial" w:hint="default"/>
                <w:sz w:val="16"/>
                <w:szCs w:val="16"/>
              </w:rPr>
            </w:pPr>
            <w:r>
              <w:rPr>
                <w:rFonts w:ascii="Arial"/>
                <w:spacing w:val="-1"/>
                <w:sz w:val="16"/>
              </w:rPr>
              <w:t>174,545,385</w:t>
            </w:r>
            <w:r>
              <w:rPr>
                <w:rFonts w:ascii="Arial"/>
                <w:sz w:val="16"/>
              </w:rPr>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63"/>
              <w:jc w:val="right"/>
              <w:rPr>
                <w:rFonts w:ascii="Arial" w:hAnsi="Arial" w:cs="Arial" w:eastAsia="Arial" w:hint="default"/>
                <w:sz w:val="16"/>
                <w:szCs w:val="16"/>
              </w:rPr>
            </w:pPr>
            <w:r>
              <w:rPr>
                <w:rFonts w:ascii="Arial"/>
                <w:spacing w:val="-1"/>
                <w:sz w:val="16"/>
              </w:rPr>
              <w:t>23</w:t>
            </w:r>
            <w:r>
              <w:rPr>
                <w:rFonts w:ascii="Arial"/>
                <w:sz w:val="16"/>
              </w:rPr>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right"/>
              <w:rPr>
                <w:rFonts w:ascii="Arial" w:hAnsi="Arial" w:cs="Arial" w:eastAsia="Arial" w:hint="default"/>
                <w:sz w:val="16"/>
                <w:szCs w:val="16"/>
              </w:rPr>
            </w:pPr>
            <w:r>
              <w:rPr>
                <w:rFonts w:ascii="Arial"/>
                <w:spacing w:val="-1"/>
                <w:sz w:val="16"/>
              </w:rPr>
              <w:t>34,737,104</w:t>
            </w:r>
            <w:r>
              <w:rPr>
                <w:rFonts w:ascii="Arial"/>
                <w:sz w:val="16"/>
              </w:rPr>
            </w:r>
          </w:p>
        </w:tc>
        <w:tc>
          <w:tcPr>
            <w:tcW w:w="235"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8"/>
              <w:jc w:val="right"/>
              <w:rPr>
                <w:rFonts w:ascii="Arial" w:hAnsi="Arial" w:cs="Arial" w:eastAsia="Arial" w:hint="default"/>
                <w:sz w:val="16"/>
                <w:szCs w:val="16"/>
              </w:rPr>
            </w:pPr>
            <w:r>
              <w:rPr>
                <w:rFonts w:ascii="Arial"/>
                <w:spacing w:val="-1"/>
                <w:sz w:val="16"/>
              </w:rPr>
              <w:t>163,924,335</w:t>
            </w:r>
            <w:r>
              <w:rPr>
                <w:rFonts w:ascii="Arial"/>
                <w:sz w:val="16"/>
              </w:rPr>
            </w: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31"/>
              <w:jc w:val="right"/>
              <w:rPr>
                <w:rFonts w:ascii="Arial" w:hAnsi="Arial" w:cs="Arial" w:eastAsia="Arial" w:hint="default"/>
                <w:sz w:val="16"/>
                <w:szCs w:val="16"/>
              </w:rPr>
            </w:pPr>
            <w:r>
              <w:rPr>
                <w:rFonts w:ascii="Arial"/>
                <w:spacing w:val="-1"/>
                <w:sz w:val="16"/>
              </w:rPr>
              <w:t>15</w:t>
            </w:r>
            <w:r>
              <w:rPr>
                <w:rFonts w:ascii="Arial"/>
                <w:sz w:val="16"/>
              </w:rPr>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
              <w:jc w:val="right"/>
              <w:rPr>
                <w:rFonts w:ascii="Arial" w:hAnsi="Arial" w:cs="Arial" w:eastAsia="Arial" w:hint="default"/>
                <w:sz w:val="16"/>
                <w:szCs w:val="16"/>
              </w:rPr>
            </w:pPr>
            <w:r>
              <w:rPr>
                <w:rFonts w:ascii="Arial"/>
                <w:spacing w:val="-1"/>
                <w:sz w:val="16"/>
              </w:rPr>
              <w:t>32,784,867</w:t>
            </w:r>
            <w:r>
              <w:rPr>
                <w:rFonts w:ascii="Arial"/>
                <w:sz w:val="16"/>
              </w:rPr>
            </w:r>
          </w:p>
        </w:tc>
      </w:tr>
      <w:tr>
        <w:trPr>
          <w:trHeight w:val="254" w:hRule="exact"/>
        </w:trPr>
        <w:tc>
          <w:tcPr>
            <w:tcW w:w="1460"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黑体" w:hAnsi="黑体" w:cs="黑体" w:eastAsia="黑体" w:hint="default"/>
                <w:sz w:val="16"/>
                <w:szCs w:val="16"/>
              </w:rPr>
            </w:pPr>
            <w:r>
              <w:rPr>
                <w:rFonts w:ascii="Arial" w:hAnsi="Arial" w:cs="Arial" w:eastAsia="Arial" w:hint="default"/>
                <w:sz w:val="16"/>
                <w:szCs w:val="16"/>
              </w:rPr>
              <w:t>2-3</w:t>
            </w:r>
            <w:r>
              <w:rPr>
                <w:rFonts w:ascii="Arial" w:hAnsi="Arial" w:cs="Arial" w:eastAsia="Arial" w:hint="default"/>
                <w:spacing w:val="-6"/>
                <w:sz w:val="16"/>
                <w:szCs w:val="16"/>
              </w:rPr>
              <w:t> </w:t>
            </w:r>
            <w:r>
              <w:rPr>
                <w:rFonts w:ascii="黑体" w:hAnsi="黑体" w:cs="黑体" w:eastAsia="黑体" w:hint="default"/>
                <w:sz w:val="16"/>
                <w:szCs w:val="16"/>
              </w:rPr>
              <w:t>年</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9"/>
              <w:jc w:val="right"/>
              <w:rPr>
                <w:rFonts w:ascii="Arial" w:hAnsi="Arial" w:cs="Arial" w:eastAsia="Arial" w:hint="default"/>
                <w:sz w:val="16"/>
                <w:szCs w:val="16"/>
              </w:rPr>
            </w:pPr>
            <w:r>
              <w:rPr>
                <w:rFonts w:ascii="Arial"/>
                <w:spacing w:val="-1"/>
                <w:sz w:val="16"/>
              </w:rPr>
              <w:t>51,537,271</w:t>
            </w:r>
            <w:r>
              <w:rPr>
                <w:rFonts w:ascii="Arial"/>
                <w:sz w:val="16"/>
              </w:rPr>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762"/>
              <w:jc w:val="right"/>
              <w:rPr>
                <w:rFonts w:ascii="Arial" w:hAnsi="Arial" w:cs="Arial" w:eastAsia="Arial" w:hint="default"/>
                <w:sz w:val="16"/>
                <w:szCs w:val="16"/>
              </w:rPr>
            </w:pPr>
            <w:r>
              <w:rPr>
                <w:rFonts w:ascii="Arial"/>
                <w:w w:val="100"/>
                <w:sz w:val="16"/>
              </w:rPr>
              <w:t>7</w:t>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0"/>
              <w:jc w:val="right"/>
              <w:rPr>
                <w:rFonts w:ascii="Arial" w:hAnsi="Arial" w:cs="Arial" w:eastAsia="Arial" w:hint="default"/>
                <w:sz w:val="16"/>
                <w:szCs w:val="16"/>
              </w:rPr>
            </w:pPr>
            <w:r>
              <w:rPr>
                <w:rFonts w:ascii="Arial"/>
                <w:spacing w:val="-1"/>
                <w:sz w:val="16"/>
              </w:rPr>
              <w:t>20,614,909</w:t>
            </w:r>
            <w:r>
              <w:rPr>
                <w:rFonts w:ascii="Arial"/>
                <w:sz w:val="16"/>
              </w:rPr>
            </w:r>
          </w:p>
        </w:tc>
        <w:tc>
          <w:tcPr>
            <w:tcW w:w="235"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9"/>
              <w:jc w:val="right"/>
              <w:rPr>
                <w:rFonts w:ascii="Arial" w:hAnsi="Arial" w:cs="Arial" w:eastAsia="Arial" w:hint="default"/>
                <w:sz w:val="16"/>
                <w:szCs w:val="16"/>
              </w:rPr>
            </w:pPr>
            <w:r>
              <w:rPr>
                <w:rFonts w:ascii="Arial"/>
                <w:spacing w:val="-1"/>
                <w:sz w:val="16"/>
              </w:rPr>
              <w:t>35,465,212</w:t>
            </w:r>
            <w:r>
              <w:rPr>
                <w:rFonts w:ascii="Arial"/>
                <w:sz w:val="16"/>
              </w:rPr>
            </w: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430"/>
              <w:jc w:val="right"/>
              <w:rPr>
                <w:rFonts w:ascii="Arial" w:hAnsi="Arial" w:cs="Arial" w:eastAsia="Arial" w:hint="default"/>
                <w:sz w:val="16"/>
                <w:szCs w:val="16"/>
              </w:rPr>
            </w:pPr>
            <w:r>
              <w:rPr>
                <w:rFonts w:ascii="Arial"/>
                <w:w w:val="100"/>
                <w:sz w:val="16"/>
              </w:rPr>
              <w:t>3</w:t>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
              <w:jc w:val="right"/>
              <w:rPr>
                <w:rFonts w:ascii="Arial" w:hAnsi="Arial" w:cs="Arial" w:eastAsia="Arial" w:hint="default"/>
                <w:sz w:val="16"/>
                <w:szCs w:val="16"/>
              </w:rPr>
            </w:pPr>
            <w:r>
              <w:rPr>
                <w:rFonts w:ascii="Arial"/>
                <w:spacing w:val="-1"/>
                <w:sz w:val="16"/>
              </w:rPr>
              <w:t>14,186,085</w:t>
            </w:r>
            <w:r>
              <w:rPr>
                <w:rFonts w:ascii="Arial"/>
                <w:sz w:val="16"/>
              </w:rPr>
            </w:r>
          </w:p>
        </w:tc>
      </w:tr>
      <w:tr>
        <w:trPr>
          <w:trHeight w:val="387" w:hRule="exact"/>
        </w:trPr>
        <w:tc>
          <w:tcPr>
            <w:tcW w:w="1460"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黑体" w:hAnsi="黑体" w:cs="黑体" w:eastAsia="黑体" w:hint="default"/>
                <w:sz w:val="16"/>
                <w:szCs w:val="16"/>
              </w:rPr>
            </w:pPr>
            <w:r>
              <w:rPr>
                <w:rFonts w:ascii="Arial" w:hAnsi="Arial" w:cs="Arial" w:eastAsia="Arial" w:hint="default"/>
                <w:sz w:val="16"/>
                <w:szCs w:val="16"/>
              </w:rPr>
              <w:t>3</w:t>
            </w:r>
            <w:r>
              <w:rPr>
                <w:rFonts w:ascii="Arial" w:hAnsi="Arial" w:cs="Arial" w:eastAsia="Arial" w:hint="default"/>
                <w:spacing w:val="-3"/>
                <w:sz w:val="16"/>
                <w:szCs w:val="16"/>
              </w:rPr>
              <w:t> </w:t>
            </w:r>
            <w:r>
              <w:rPr>
                <w:rFonts w:ascii="黑体" w:hAnsi="黑体" w:cs="黑体" w:eastAsia="黑体" w:hint="default"/>
                <w:sz w:val="16"/>
                <w:szCs w:val="16"/>
              </w:rPr>
              <w:t>年以上</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7"/>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pacing w:val="2"/>
                <w:sz w:val="16"/>
                <w:u w:val="single" w:color="000000"/>
              </w:rPr>
              <w:t> </w:t>
            </w:r>
            <w:r>
              <w:rPr>
                <w:rFonts w:ascii="Arial"/>
                <w:spacing w:val="-1"/>
                <w:sz w:val="16"/>
                <w:u w:val="single" w:color="000000"/>
              </w:rPr>
              <w:t>40,233,442</w:t>
            </w:r>
            <w:r>
              <w:rPr>
                <w:rFonts w:ascii="Arial"/>
                <w:spacing w:val="-1"/>
                <w:sz w:val="16"/>
              </w:rPr>
            </w:r>
            <w:r>
              <w:rPr>
                <w:rFonts w:ascii="Arial"/>
                <w:sz w:val="16"/>
              </w:rPr>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760"/>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  </w:t>
            </w:r>
            <w:r>
              <w:rPr>
                <w:rFonts w:ascii="Arial"/>
                <w:spacing w:val="-15"/>
                <w:sz w:val="16"/>
                <w:u w:val="single" w:color="000000"/>
              </w:rPr>
              <w:t> </w:t>
            </w:r>
            <w:r>
              <w:rPr>
                <w:rFonts w:ascii="Arial"/>
                <w:sz w:val="16"/>
                <w:u w:val="single" w:color="000000"/>
              </w:rPr>
              <w:t>5</w:t>
            </w:r>
            <w:r>
              <w:rPr>
                <w:rFonts w:ascii="Arial"/>
                <w:sz w:val="16"/>
              </w:rPr>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0"/>
              <w:jc w:val="right"/>
              <w:rPr>
                <w:rFonts w:ascii="Arial" w:hAnsi="Arial" w:cs="Arial" w:eastAsia="Arial" w:hint="default"/>
                <w:sz w:val="16"/>
                <w:szCs w:val="16"/>
              </w:rPr>
            </w:pPr>
            <w:r>
              <w:rPr>
                <w:rFonts w:ascii="Arial"/>
                <w:w w:val="100"/>
                <w:sz w:val="16"/>
              </w:rPr>
            </w:r>
            <w:r>
              <w:rPr>
                <w:rFonts w:ascii="Arial"/>
                <w:spacing w:val="-1"/>
                <w:sz w:val="16"/>
                <w:u w:val="single" w:color="000000"/>
              </w:rPr>
              <w:t>40,233,442</w:t>
            </w:r>
            <w:r>
              <w:rPr>
                <w:rFonts w:ascii="Arial"/>
                <w:spacing w:val="-1"/>
                <w:sz w:val="16"/>
              </w:rPr>
            </w:r>
            <w:r>
              <w:rPr>
                <w:rFonts w:ascii="Arial"/>
                <w:sz w:val="16"/>
              </w:rPr>
            </w:r>
          </w:p>
        </w:tc>
        <w:tc>
          <w:tcPr>
            <w:tcW w:w="235"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6"/>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   </w:t>
            </w:r>
            <w:r>
              <w:rPr>
                <w:rFonts w:ascii="Arial"/>
                <w:spacing w:val="-21"/>
                <w:sz w:val="16"/>
                <w:u w:val="single" w:color="000000"/>
              </w:rPr>
              <w:t> </w:t>
            </w:r>
            <w:r>
              <w:rPr>
                <w:rFonts w:ascii="Arial"/>
                <w:spacing w:val="-1"/>
                <w:sz w:val="16"/>
                <w:u w:val="single" w:color="000000"/>
              </w:rPr>
              <w:t>32,510,441</w:t>
            </w:r>
            <w:r>
              <w:rPr>
                <w:rFonts w:ascii="Arial"/>
                <w:spacing w:val="-1"/>
                <w:sz w:val="16"/>
              </w:rPr>
            </w:r>
            <w:r>
              <w:rPr>
                <w:rFonts w:ascii="Arial"/>
                <w:sz w:val="16"/>
              </w:rPr>
            </w: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428"/>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  </w:t>
            </w:r>
            <w:r>
              <w:rPr>
                <w:rFonts w:ascii="Arial"/>
                <w:spacing w:val="-15"/>
                <w:sz w:val="16"/>
                <w:u w:val="single" w:color="000000"/>
              </w:rPr>
              <w:t> </w:t>
            </w:r>
            <w:r>
              <w:rPr>
                <w:rFonts w:ascii="Arial"/>
                <w:sz w:val="16"/>
                <w:u w:val="single" w:color="000000"/>
              </w:rPr>
              <w:t>3</w:t>
            </w:r>
            <w:r>
              <w:rPr>
                <w:rFonts w:ascii="Arial"/>
                <w:sz w:val="16"/>
              </w:rPr>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
              <w:jc w:val="right"/>
              <w:rPr>
                <w:rFonts w:ascii="Arial" w:hAnsi="Arial" w:cs="Arial" w:eastAsia="Arial" w:hint="default"/>
                <w:sz w:val="16"/>
                <w:szCs w:val="16"/>
              </w:rPr>
            </w:pPr>
            <w:r>
              <w:rPr>
                <w:rFonts w:ascii="Arial"/>
                <w:w w:val="100"/>
                <w:sz w:val="16"/>
              </w:rPr>
            </w:r>
            <w:r>
              <w:rPr>
                <w:rFonts w:ascii="Arial"/>
                <w:spacing w:val="-1"/>
                <w:sz w:val="16"/>
                <w:u w:val="single" w:color="000000"/>
              </w:rPr>
              <w:t>32,510,441</w:t>
            </w:r>
            <w:r>
              <w:rPr>
                <w:rFonts w:ascii="Arial"/>
                <w:spacing w:val="-1"/>
                <w:sz w:val="16"/>
              </w:rPr>
            </w:r>
            <w:r>
              <w:rPr>
                <w:rFonts w:ascii="Arial"/>
                <w:sz w:val="16"/>
              </w:rPr>
            </w:r>
          </w:p>
        </w:tc>
      </w:tr>
      <w:tr>
        <w:trPr>
          <w:trHeight w:val="330" w:hRule="exact"/>
        </w:trPr>
        <w:tc>
          <w:tcPr>
            <w:tcW w:w="1460" w:type="dxa"/>
            <w:tcBorders>
              <w:top w:val="nil" w:sz="6" w:space="0" w:color="auto"/>
              <w:left w:val="nil" w:sz="6" w:space="0" w:color="auto"/>
              <w:bottom w:val="nil" w:sz="6" w:space="0" w:color="auto"/>
              <w:right w:val="nil" w:sz="6" w:space="0" w:color="auto"/>
            </w:tcBorders>
          </w:tcPr>
          <w:p>
            <w:pP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11"/>
                <w:szCs w:val="11"/>
              </w:rPr>
            </w:pPr>
          </w:p>
          <w:p>
            <w:pPr>
              <w:pStyle w:val="TableParagraph"/>
              <w:spacing w:line="240" w:lineRule="auto"/>
              <w:ind w:right="17"/>
              <w:jc w:val="right"/>
              <w:rPr>
                <w:rFonts w:ascii="Arial" w:hAnsi="Arial" w:cs="Arial" w:eastAsia="Arial" w:hint="default"/>
                <w:sz w:val="16"/>
                <w:szCs w:val="16"/>
              </w:rPr>
            </w:pPr>
            <w:r>
              <w:rPr>
                <w:rFonts w:ascii="Arial"/>
                <w:w w:val="100"/>
                <w:sz w:val="16"/>
              </w:rPr>
            </w:r>
            <w:r>
              <w:rPr>
                <w:rFonts w:ascii="Arial"/>
                <w:spacing w:val="-1"/>
                <w:sz w:val="16"/>
                <w:u w:val="thick" w:color="000000"/>
              </w:rPr>
              <w:t>758,862,490</w:t>
            </w:r>
            <w:r>
              <w:rPr>
                <w:rFonts w:ascii="Arial"/>
                <w:spacing w:val="-1"/>
                <w:sz w:val="16"/>
              </w:rPr>
            </w:r>
            <w:r>
              <w:rPr>
                <w:rFonts w:ascii="Arial"/>
                <w:sz w:val="16"/>
              </w:rPr>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11"/>
                <w:szCs w:val="11"/>
              </w:rPr>
            </w:pPr>
          </w:p>
          <w:p>
            <w:pPr>
              <w:pStyle w:val="TableParagraph"/>
              <w:spacing w:line="240" w:lineRule="auto"/>
              <w:ind w:right="763"/>
              <w:jc w:val="right"/>
              <w:rPr>
                <w:rFonts w:ascii="Arial" w:hAnsi="Arial" w:cs="Arial" w:eastAsia="Arial" w:hint="default"/>
                <w:sz w:val="16"/>
                <w:szCs w:val="16"/>
              </w:rPr>
            </w:pPr>
            <w:r>
              <w:rPr>
                <w:rFonts w:ascii="Arial"/>
                <w:w w:val="100"/>
                <w:sz w:val="16"/>
              </w:rPr>
            </w:r>
            <w:r>
              <w:rPr>
                <w:rFonts w:ascii="Arial"/>
                <w:spacing w:val="-1"/>
                <w:sz w:val="16"/>
                <w:u w:val="thick" w:color="000000"/>
              </w:rPr>
              <w:t>100</w:t>
            </w:r>
            <w:r>
              <w:rPr>
                <w:rFonts w:ascii="Arial"/>
                <w:spacing w:val="-1"/>
                <w:sz w:val="16"/>
              </w:rPr>
            </w:r>
            <w:r>
              <w:rPr>
                <w:rFonts w:ascii="Arial"/>
                <w:sz w:val="16"/>
              </w:rPr>
            </w:r>
          </w:p>
        </w:tc>
        <w:tc>
          <w:tcPr>
            <w:tcW w:w="87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11"/>
                <w:szCs w:val="11"/>
              </w:rPr>
            </w:pPr>
          </w:p>
          <w:p>
            <w:pPr>
              <w:pStyle w:val="TableParagraph"/>
              <w:spacing w:line="240" w:lineRule="auto"/>
              <w:ind w:right="0"/>
              <w:jc w:val="right"/>
              <w:rPr>
                <w:rFonts w:ascii="Arial" w:hAnsi="Arial" w:cs="Arial" w:eastAsia="Arial" w:hint="default"/>
                <w:sz w:val="16"/>
                <w:szCs w:val="16"/>
              </w:rPr>
            </w:pPr>
            <w:r>
              <w:rPr>
                <w:rFonts w:ascii="Arial"/>
                <w:w w:val="100"/>
                <w:sz w:val="16"/>
              </w:rPr>
            </w:r>
            <w:r>
              <w:rPr>
                <w:rFonts w:ascii="Arial"/>
                <w:spacing w:val="-1"/>
                <w:sz w:val="16"/>
                <w:u w:val="thick" w:color="000000"/>
              </w:rPr>
              <w:t>95,585,455</w:t>
            </w:r>
            <w:r>
              <w:rPr>
                <w:rFonts w:ascii="Arial"/>
                <w:spacing w:val="-1"/>
                <w:sz w:val="16"/>
              </w:rPr>
            </w:r>
            <w:r>
              <w:rPr>
                <w:rFonts w:ascii="Arial"/>
                <w:sz w:val="16"/>
              </w:rPr>
            </w:r>
          </w:p>
        </w:tc>
        <w:tc>
          <w:tcPr>
            <w:tcW w:w="235"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11"/>
                <w:szCs w:val="11"/>
              </w:rPr>
            </w:pPr>
          </w:p>
          <w:p>
            <w:pPr>
              <w:pStyle w:val="TableParagraph"/>
              <w:spacing w:line="240" w:lineRule="auto"/>
              <w:ind w:right="24"/>
              <w:jc w:val="right"/>
              <w:rPr>
                <w:rFonts w:ascii="Arial" w:hAnsi="Arial" w:cs="Arial" w:eastAsia="Arial" w:hint="default"/>
                <w:sz w:val="16"/>
                <w:szCs w:val="16"/>
              </w:rPr>
            </w:pPr>
            <w:r>
              <w:rPr>
                <w:rFonts w:ascii="Arial"/>
                <w:w w:val="100"/>
                <w:sz w:val="16"/>
              </w:rPr>
            </w:r>
            <w:r>
              <w:rPr>
                <w:rFonts w:ascii="Arial"/>
                <w:spacing w:val="-1"/>
                <w:sz w:val="16"/>
                <w:u w:val="thick" w:color="000000"/>
              </w:rPr>
              <w:t>1,101,293,266</w:t>
            </w:r>
            <w:r>
              <w:rPr>
                <w:rFonts w:ascii="Arial"/>
                <w:spacing w:val="-1"/>
                <w:sz w:val="16"/>
              </w:rPr>
            </w:r>
            <w:r>
              <w:rPr>
                <w:rFonts w:ascii="Arial"/>
                <w:sz w:val="16"/>
              </w:rPr>
            </w: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11"/>
                <w:szCs w:val="11"/>
              </w:rPr>
            </w:pPr>
          </w:p>
          <w:p>
            <w:pPr>
              <w:pStyle w:val="TableParagraph"/>
              <w:spacing w:line="240" w:lineRule="auto"/>
              <w:ind w:right="431"/>
              <w:jc w:val="right"/>
              <w:rPr>
                <w:rFonts w:ascii="Arial" w:hAnsi="Arial" w:cs="Arial" w:eastAsia="Arial" w:hint="default"/>
                <w:sz w:val="16"/>
                <w:szCs w:val="16"/>
              </w:rPr>
            </w:pPr>
            <w:r>
              <w:rPr>
                <w:rFonts w:ascii="Arial"/>
                <w:w w:val="100"/>
                <w:sz w:val="16"/>
              </w:rPr>
            </w:r>
            <w:r>
              <w:rPr>
                <w:rFonts w:ascii="Arial"/>
                <w:spacing w:val="-1"/>
                <w:sz w:val="16"/>
                <w:u w:val="thick" w:color="000000"/>
              </w:rPr>
              <w:t>100</w:t>
            </w:r>
            <w:r>
              <w:rPr>
                <w:rFonts w:ascii="Arial"/>
                <w:spacing w:val="-1"/>
                <w:sz w:val="16"/>
              </w:rPr>
            </w:r>
            <w:r>
              <w:rPr>
                <w:rFonts w:ascii="Arial"/>
                <w:sz w:val="16"/>
              </w:rPr>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11"/>
                <w:szCs w:val="11"/>
              </w:rPr>
            </w:pPr>
          </w:p>
          <w:p>
            <w:pPr>
              <w:pStyle w:val="TableParagraph"/>
              <w:spacing w:line="240" w:lineRule="auto"/>
              <w:ind w:right="3"/>
              <w:jc w:val="right"/>
              <w:rPr>
                <w:rFonts w:ascii="Arial" w:hAnsi="Arial" w:cs="Arial" w:eastAsia="Arial" w:hint="default"/>
                <w:sz w:val="16"/>
                <w:szCs w:val="16"/>
              </w:rPr>
            </w:pPr>
            <w:r>
              <w:rPr>
                <w:rFonts w:ascii="Arial"/>
                <w:w w:val="100"/>
                <w:sz w:val="16"/>
              </w:rPr>
            </w:r>
            <w:r>
              <w:rPr>
                <w:rFonts w:ascii="Arial"/>
                <w:spacing w:val="-1"/>
                <w:sz w:val="16"/>
                <w:u w:val="thick" w:color="000000"/>
              </w:rPr>
              <w:t>79,481,393</w:t>
            </w:r>
            <w:r>
              <w:rPr>
                <w:rFonts w:ascii="Arial"/>
                <w:spacing w:val="-1"/>
                <w:sz w:val="16"/>
              </w:rPr>
            </w:r>
            <w:r>
              <w:rPr>
                <w:rFonts w:ascii="Arial"/>
                <w:sz w:val="16"/>
              </w:rPr>
            </w:r>
          </w:p>
        </w:tc>
      </w:tr>
    </w:tbl>
    <w:p>
      <w:pPr>
        <w:spacing w:after="0" w:line="240" w:lineRule="auto"/>
        <w:jc w:val="right"/>
        <w:rPr>
          <w:rFonts w:ascii="Arial" w:hAnsi="Arial" w:cs="Arial" w:eastAsia="Arial" w:hint="default"/>
          <w:sz w:val="16"/>
          <w:szCs w:val="16"/>
        </w:rPr>
        <w:sectPr>
          <w:pgSz w:w="11910" w:h="16850"/>
          <w:pgMar w:header="957" w:footer="468" w:top="2640" w:bottom="660" w:left="1560" w:right="1400"/>
        </w:sectPr>
      </w:pPr>
    </w:p>
    <w:p>
      <w:pPr>
        <w:spacing w:line="240" w:lineRule="auto" w:before="5"/>
        <w:rPr>
          <w:rFonts w:ascii="黑体" w:hAnsi="黑体" w:cs="黑体" w:eastAsia="黑体" w:hint="default"/>
          <w:sz w:val="27"/>
          <w:szCs w:val="27"/>
        </w:rPr>
      </w:pPr>
    </w:p>
    <w:p>
      <w:pPr>
        <w:pStyle w:val="Heading6"/>
        <w:tabs>
          <w:tab w:pos="844" w:val="left" w:leader="none"/>
        </w:tabs>
        <w:spacing w:line="240" w:lineRule="auto"/>
        <w:ind w:left="141" w:right="934"/>
        <w:jc w:val="left"/>
        <w:rPr>
          <w:b w:val="0"/>
          <w:bCs w:val="0"/>
        </w:rPr>
      </w:pPr>
      <w:r>
        <w:rPr>
          <w:w w:val="95"/>
        </w:rPr>
        <w:t>五、</w:t>
        <w:tab/>
      </w:r>
      <w:r>
        <w:rPr/>
        <w:t>合并财</w:t>
      </w:r>
      <w:bookmarkStart w:name="五、   合并财务报表主要项目注释（续）" w:id="63"/>
      <w:bookmarkEnd w:id="63"/>
      <w:r>
        <w:rPr/>
        <w:t>务报</w:t>
      </w:r>
      <w:r>
        <w:rPr/>
        <w:t>表主要项目注释（续）</w:t>
      </w:r>
      <w:r>
        <w:rPr>
          <w:b w:val="0"/>
          <w:bCs w:val="0"/>
        </w:rPr>
      </w:r>
    </w:p>
    <w:p>
      <w:pPr>
        <w:spacing w:line="240" w:lineRule="auto" w:before="6"/>
        <w:rPr>
          <w:rFonts w:ascii="黑体" w:hAnsi="黑体" w:cs="黑体" w:eastAsia="黑体" w:hint="default"/>
          <w:b/>
          <w:bCs/>
          <w:sz w:val="19"/>
          <w:szCs w:val="19"/>
        </w:rPr>
      </w:pPr>
    </w:p>
    <w:p>
      <w:pPr>
        <w:tabs>
          <w:tab w:pos="878" w:val="left" w:leader="none"/>
        </w:tabs>
        <w:spacing w:line="410" w:lineRule="auto" w:before="0"/>
        <w:ind w:left="861" w:right="934" w:hanging="735"/>
        <w:jc w:val="left"/>
        <w:rPr>
          <w:rFonts w:ascii="黑体" w:hAnsi="黑体" w:cs="黑体" w:eastAsia="黑体" w:hint="default"/>
          <w:sz w:val="20"/>
          <w:szCs w:val="20"/>
        </w:rPr>
      </w:pPr>
      <w:r>
        <w:rPr>
          <w:rFonts w:ascii="Arial" w:hAnsi="Arial" w:cs="Arial" w:eastAsia="Arial" w:hint="default"/>
          <w:b/>
          <w:bCs/>
          <w:spacing w:val="-1"/>
          <w:sz w:val="20"/>
          <w:szCs w:val="20"/>
        </w:rPr>
        <w:t>3.</w:t>
        <w:tab/>
        <w:tab/>
      </w:r>
      <w:r>
        <w:rPr>
          <w:rFonts w:ascii="黑体" w:hAnsi="黑体" w:cs="黑体" w:eastAsia="黑体" w:hint="default"/>
          <w:b/>
          <w:bCs/>
          <w:spacing w:val="1"/>
          <w:sz w:val="20"/>
          <w:szCs w:val="20"/>
        </w:rPr>
        <w:t>应收账款</w:t>
      </w:r>
      <w:bookmarkStart w:name="3.     应收账款（续）" w:id="64"/>
      <w:bookmarkEnd w:id="64"/>
      <w:r>
        <w:rPr>
          <w:rFonts w:ascii="黑体" w:hAnsi="黑体" w:cs="黑体" w:eastAsia="黑体" w:hint="default"/>
          <w:b/>
          <w:bCs/>
          <w:spacing w:val="1"/>
          <w:sz w:val="20"/>
          <w:szCs w:val="20"/>
        </w:rPr>
        <w:t>（续）</w:t>
      </w:r>
      <w:r>
        <w:rPr>
          <w:rFonts w:ascii="黑体" w:hAnsi="黑体" w:cs="黑体" w:eastAsia="黑体" w:hint="default"/>
          <w:b/>
          <w:bCs/>
          <w:spacing w:val="2"/>
          <w:w w:val="99"/>
          <w:sz w:val="20"/>
          <w:szCs w:val="20"/>
        </w:rPr>
        <w:t> </w:t>
      </w:r>
      <w:r>
        <w:rPr>
          <w:rFonts w:ascii="黑体" w:hAnsi="黑体" w:cs="黑体" w:eastAsia="黑体" w:hint="default"/>
          <w:sz w:val="20"/>
          <w:szCs w:val="20"/>
        </w:rPr>
        <w:t>于</w:t>
      </w:r>
      <w:r>
        <w:rPr>
          <w:rFonts w:ascii="Arial" w:hAnsi="Arial" w:cs="Arial" w:eastAsia="Arial" w:hint="default"/>
          <w:sz w:val="20"/>
          <w:szCs w:val="20"/>
        </w:rPr>
        <w:t>2012</w:t>
      </w:r>
      <w:r>
        <w:rPr>
          <w:rFonts w:ascii="黑体" w:hAnsi="黑体" w:cs="黑体" w:eastAsia="黑体" w:hint="default"/>
          <w:sz w:val="20"/>
          <w:szCs w:val="20"/>
        </w:rPr>
        <w:t>年</w:t>
      </w: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日，单项金额虽不重大但单独计提坏账准备的应收账款情况如下：</w:t>
      </w:r>
    </w:p>
    <w:p>
      <w:pPr>
        <w:spacing w:line="240" w:lineRule="auto" w:before="13"/>
        <w:rPr>
          <w:rFonts w:ascii="黑体" w:hAnsi="黑体" w:cs="黑体" w:eastAsia="黑体" w:hint="default"/>
          <w:sz w:val="10"/>
          <w:szCs w:val="10"/>
        </w:rPr>
      </w:pPr>
    </w:p>
    <w:tbl>
      <w:tblPr>
        <w:tblW w:w="0" w:type="auto"/>
        <w:jc w:val="left"/>
        <w:tblInd w:w="750" w:type="dxa"/>
        <w:tblLayout w:type="fixed"/>
        <w:tblCellMar>
          <w:top w:w="0" w:type="dxa"/>
          <w:left w:w="0" w:type="dxa"/>
          <w:bottom w:w="0" w:type="dxa"/>
          <w:right w:w="0" w:type="dxa"/>
        </w:tblCellMar>
        <w:tblLook w:val="01E0"/>
      </w:tblPr>
      <w:tblGrid>
        <w:gridCol w:w="2851"/>
        <w:gridCol w:w="1246"/>
        <w:gridCol w:w="1122"/>
        <w:gridCol w:w="1183"/>
        <w:gridCol w:w="1834"/>
      </w:tblGrid>
      <w:tr>
        <w:trPr>
          <w:trHeight w:val="355" w:hRule="exact"/>
        </w:trPr>
        <w:tc>
          <w:tcPr>
            <w:tcW w:w="2851"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Style w:val="TableParagraph"/>
              <w:spacing w:line="199" w:lineRule="exact"/>
              <w:ind w:right="73"/>
              <w:jc w:val="right"/>
              <w:rPr>
                <w:rFonts w:ascii="黑体" w:hAnsi="黑体" w:cs="黑体" w:eastAsia="黑体" w:hint="default"/>
                <w:sz w:val="20"/>
                <w:szCs w:val="20"/>
              </w:rPr>
            </w:pPr>
            <w:r>
              <w:rPr>
                <w:rFonts w:ascii="黑体" w:hAnsi="黑体" w:cs="黑体" w:eastAsia="黑体" w:hint="default"/>
                <w:w w:val="95"/>
                <w:sz w:val="20"/>
                <w:szCs w:val="20"/>
              </w:rPr>
              <w:t>账面余额</w:t>
            </w:r>
            <w:r>
              <w:rPr>
                <w:rFonts w:ascii="黑体" w:hAnsi="黑体" w:cs="黑体" w:eastAsia="黑体" w:hint="default"/>
                <w:sz w:val="20"/>
                <w:szCs w:val="20"/>
              </w:rPr>
            </w:r>
          </w:p>
        </w:tc>
        <w:tc>
          <w:tcPr>
            <w:tcW w:w="1122" w:type="dxa"/>
            <w:tcBorders>
              <w:top w:val="nil" w:sz="6" w:space="0" w:color="auto"/>
              <w:left w:val="nil" w:sz="6" w:space="0" w:color="auto"/>
              <w:bottom w:val="nil" w:sz="6" w:space="0" w:color="auto"/>
              <w:right w:val="nil" w:sz="6" w:space="0" w:color="auto"/>
            </w:tcBorders>
          </w:tcPr>
          <w:p>
            <w:pPr>
              <w:pStyle w:val="TableParagraph"/>
              <w:spacing w:line="199" w:lineRule="exact"/>
              <w:ind w:right="47"/>
              <w:jc w:val="right"/>
              <w:rPr>
                <w:rFonts w:ascii="黑体" w:hAnsi="黑体" w:cs="黑体" w:eastAsia="黑体" w:hint="default"/>
                <w:sz w:val="20"/>
                <w:szCs w:val="20"/>
              </w:rPr>
            </w:pPr>
            <w:r>
              <w:rPr>
                <w:rFonts w:ascii="黑体" w:hAnsi="黑体" w:cs="黑体" w:eastAsia="黑体" w:hint="default"/>
                <w:w w:val="95"/>
                <w:sz w:val="20"/>
                <w:szCs w:val="20"/>
              </w:rPr>
              <w:t>坏账准备</w:t>
            </w:r>
            <w:r>
              <w:rPr>
                <w:rFonts w:ascii="黑体" w:hAnsi="黑体" w:cs="黑体" w:eastAsia="黑体" w:hint="default"/>
                <w:sz w:val="20"/>
                <w:szCs w:val="20"/>
              </w:rPr>
            </w:r>
          </w:p>
        </w:tc>
        <w:tc>
          <w:tcPr>
            <w:tcW w:w="1183" w:type="dxa"/>
            <w:tcBorders>
              <w:top w:val="nil" w:sz="6" w:space="0" w:color="auto"/>
              <w:left w:val="nil" w:sz="6" w:space="0" w:color="auto"/>
              <w:bottom w:val="nil" w:sz="6" w:space="0" w:color="auto"/>
              <w:right w:val="nil" w:sz="6" w:space="0" w:color="auto"/>
            </w:tcBorders>
          </w:tcPr>
          <w:p>
            <w:pPr>
              <w:pStyle w:val="TableParagraph"/>
              <w:spacing w:line="199" w:lineRule="exact"/>
              <w:ind w:right="34"/>
              <w:jc w:val="right"/>
              <w:rPr>
                <w:rFonts w:ascii="黑体" w:hAnsi="黑体" w:cs="黑体" w:eastAsia="黑体" w:hint="default"/>
                <w:sz w:val="20"/>
                <w:szCs w:val="20"/>
              </w:rPr>
            </w:pPr>
            <w:r>
              <w:rPr>
                <w:rFonts w:ascii="黑体" w:hAnsi="黑体" w:cs="黑体" w:eastAsia="黑体" w:hint="default"/>
                <w:w w:val="95"/>
                <w:sz w:val="20"/>
                <w:szCs w:val="20"/>
              </w:rPr>
              <w:t>计提比例(%)</w:t>
            </w:r>
            <w:r>
              <w:rPr>
                <w:rFonts w:ascii="黑体" w:hAnsi="黑体" w:cs="黑体" w:eastAsia="黑体" w:hint="default"/>
                <w:sz w:val="20"/>
                <w:szCs w:val="20"/>
              </w:rPr>
            </w:r>
          </w:p>
        </w:tc>
        <w:tc>
          <w:tcPr>
            <w:tcW w:w="1834" w:type="dxa"/>
            <w:tcBorders>
              <w:top w:val="nil" w:sz="6" w:space="0" w:color="auto"/>
              <w:left w:val="nil" w:sz="6" w:space="0" w:color="auto"/>
              <w:bottom w:val="nil" w:sz="6" w:space="0" w:color="auto"/>
              <w:right w:val="nil" w:sz="6" w:space="0" w:color="auto"/>
            </w:tcBorders>
          </w:tcPr>
          <w:p>
            <w:pPr>
              <w:pStyle w:val="TableParagraph"/>
              <w:spacing w:line="199" w:lineRule="exact"/>
              <w:ind w:right="198"/>
              <w:jc w:val="right"/>
              <w:rPr>
                <w:rFonts w:ascii="黑体" w:hAnsi="黑体" w:cs="黑体" w:eastAsia="黑体" w:hint="default"/>
                <w:sz w:val="20"/>
                <w:szCs w:val="20"/>
              </w:rPr>
            </w:pPr>
            <w:r>
              <w:rPr>
                <w:rFonts w:ascii="黑体" w:hAnsi="黑体" w:cs="黑体" w:eastAsia="黑体" w:hint="default"/>
                <w:w w:val="95"/>
                <w:sz w:val="20"/>
                <w:szCs w:val="20"/>
              </w:rPr>
              <w:t>理由</w:t>
            </w:r>
            <w:r>
              <w:rPr>
                <w:rFonts w:ascii="黑体" w:hAnsi="黑体" w:cs="黑体" w:eastAsia="黑体" w:hint="default"/>
                <w:sz w:val="20"/>
                <w:szCs w:val="20"/>
              </w:rPr>
            </w:r>
          </w:p>
        </w:tc>
      </w:tr>
      <w:tr>
        <w:trPr>
          <w:trHeight w:val="388" w:hRule="exact"/>
        </w:trPr>
        <w:tc>
          <w:tcPr>
            <w:tcW w:w="2851"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00" w:right="0"/>
              <w:jc w:val="left"/>
              <w:rPr>
                <w:rFonts w:ascii="黑体" w:hAnsi="黑体" w:cs="黑体" w:eastAsia="黑体" w:hint="default"/>
                <w:sz w:val="20"/>
                <w:szCs w:val="20"/>
              </w:rPr>
            </w:pPr>
            <w:r>
              <w:rPr>
                <w:rFonts w:ascii="黑体" w:hAnsi="黑体" w:cs="黑体" w:eastAsia="黑体" w:hint="default"/>
                <w:sz w:val="20"/>
                <w:szCs w:val="20"/>
              </w:rPr>
              <w:t>中国机械工业集团公司</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73"/>
              <w:jc w:val="right"/>
              <w:rPr>
                <w:rFonts w:ascii="Arial" w:hAnsi="Arial" w:cs="Arial" w:eastAsia="Arial" w:hint="default"/>
                <w:sz w:val="20"/>
                <w:szCs w:val="20"/>
              </w:rPr>
            </w:pPr>
            <w:r>
              <w:rPr>
                <w:rFonts w:ascii="Arial"/>
                <w:spacing w:val="-1"/>
                <w:w w:val="95"/>
                <w:sz w:val="20"/>
              </w:rPr>
              <w:t>630,000</w:t>
            </w:r>
            <w:r>
              <w:rPr>
                <w:rFonts w:ascii="Arial"/>
                <w:sz w:val="20"/>
              </w:rPr>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46"/>
              <w:jc w:val="right"/>
              <w:rPr>
                <w:rFonts w:ascii="Arial" w:hAnsi="Arial" w:cs="Arial" w:eastAsia="Arial" w:hint="default"/>
                <w:sz w:val="20"/>
                <w:szCs w:val="20"/>
              </w:rPr>
            </w:pPr>
            <w:r>
              <w:rPr>
                <w:rFonts w:ascii="Arial"/>
                <w:spacing w:val="-1"/>
                <w:w w:val="95"/>
                <w:sz w:val="20"/>
              </w:rPr>
              <w:t>630,000</w:t>
            </w:r>
            <w:r>
              <w:rPr>
                <w:rFonts w:ascii="Arial"/>
                <w:sz w:val="20"/>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65"/>
              <w:jc w:val="right"/>
              <w:rPr>
                <w:rFonts w:ascii="Arial" w:hAnsi="Arial" w:cs="Arial" w:eastAsia="Arial" w:hint="default"/>
                <w:sz w:val="20"/>
                <w:szCs w:val="20"/>
              </w:rPr>
            </w:pPr>
            <w:r>
              <w:rPr>
                <w:rFonts w:ascii="Arial"/>
                <w:spacing w:val="-1"/>
                <w:w w:val="95"/>
                <w:sz w:val="20"/>
              </w:rPr>
              <w:t>100</w:t>
            </w:r>
            <w:r>
              <w:rPr>
                <w:rFonts w:ascii="Arial"/>
                <w:sz w:val="20"/>
              </w:rPr>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98"/>
              <w:jc w:val="right"/>
              <w:rPr>
                <w:rFonts w:ascii="黑体" w:hAnsi="黑体" w:cs="黑体" w:eastAsia="黑体" w:hint="default"/>
                <w:sz w:val="20"/>
                <w:szCs w:val="20"/>
              </w:rPr>
            </w:pPr>
            <w:r>
              <w:rPr>
                <w:rFonts w:ascii="黑体" w:hAnsi="黑体" w:cs="黑体" w:eastAsia="黑体" w:hint="default"/>
                <w:w w:val="95"/>
                <w:sz w:val="20"/>
                <w:szCs w:val="20"/>
              </w:rPr>
              <w:t>逾期尚未收回货款</w:t>
            </w:r>
            <w:r>
              <w:rPr>
                <w:rFonts w:ascii="黑体" w:hAnsi="黑体" w:cs="黑体" w:eastAsia="黑体" w:hint="default"/>
                <w:sz w:val="20"/>
                <w:szCs w:val="20"/>
              </w:rPr>
            </w:r>
          </w:p>
        </w:tc>
      </w:tr>
      <w:tr>
        <w:trPr>
          <w:trHeight w:val="254" w:hRule="exact"/>
        </w:trPr>
        <w:tc>
          <w:tcPr>
            <w:tcW w:w="2851"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z w:val="20"/>
                <w:szCs w:val="20"/>
              </w:rPr>
              <w:t>中国免税品集团有限公司</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3"/>
              <w:jc w:val="right"/>
              <w:rPr>
                <w:rFonts w:ascii="Arial" w:hAnsi="Arial" w:cs="Arial" w:eastAsia="Arial" w:hint="default"/>
                <w:sz w:val="20"/>
                <w:szCs w:val="20"/>
              </w:rPr>
            </w:pPr>
            <w:r>
              <w:rPr>
                <w:rFonts w:ascii="Arial"/>
                <w:spacing w:val="-1"/>
                <w:w w:val="95"/>
                <w:sz w:val="20"/>
              </w:rPr>
              <w:t>668,150</w:t>
            </w:r>
            <w:r>
              <w:rPr>
                <w:rFonts w:ascii="Arial"/>
                <w:sz w:val="20"/>
              </w:rPr>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6"/>
              <w:jc w:val="right"/>
              <w:rPr>
                <w:rFonts w:ascii="Arial" w:hAnsi="Arial" w:cs="Arial" w:eastAsia="Arial" w:hint="default"/>
                <w:sz w:val="20"/>
                <w:szCs w:val="20"/>
              </w:rPr>
            </w:pPr>
            <w:r>
              <w:rPr>
                <w:rFonts w:ascii="Arial"/>
                <w:spacing w:val="-1"/>
                <w:w w:val="95"/>
                <w:sz w:val="20"/>
              </w:rPr>
              <w:t>668,150</w:t>
            </w:r>
            <w:r>
              <w:rPr>
                <w:rFonts w:ascii="Arial"/>
                <w:sz w:val="20"/>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20"/>
                <w:szCs w:val="20"/>
              </w:rPr>
            </w:pPr>
            <w:r>
              <w:rPr>
                <w:rFonts w:ascii="Arial"/>
                <w:spacing w:val="-1"/>
                <w:w w:val="95"/>
                <w:sz w:val="20"/>
              </w:rPr>
              <w:t>100</w:t>
            </w:r>
            <w:r>
              <w:rPr>
                <w:rFonts w:ascii="Arial"/>
                <w:sz w:val="20"/>
              </w:rPr>
            </w:r>
          </w:p>
        </w:tc>
        <w:tc>
          <w:tcPr>
            <w:tcW w:w="1834" w:type="dxa"/>
            <w:tcBorders>
              <w:top w:val="nil" w:sz="6" w:space="0" w:color="auto"/>
              <w:left w:val="nil" w:sz="6" w:space="0" w:color="auto"/>
              <w:bottom w:val="nil" w:sz="6" w:space="0" w:color="auto"/>
              <w:right w:val="nil" w:sz="6" w:space="0" w:color="auto"/>
            </w:tcBorders>
          </w:tcPr>
          <w:p>
            <w:pPr>
              <w:pStyle w:val="TableParagraph"/>
              <w:spacing w:line="222" w:lineRule="exact"/>
              <w:ind w:right="198"/>
              <w:jc w:val="right"/>
              <w:rPr>
                <w:rFonts w:ascii="黑体" w:hAnsi="黑体" w:cs="黑体" w:eastAsia="黑体" w:hint="default"/>
                <w:sz w:val="20"/>
                <w:szCs w:val="20"/>
              </w:rPr>
            </w:pPr>
            <w:r>
              <w:rPr>
                <w:rFonts w:ascii="黑体" w:hAnsi="黑体" w:cs="黑体" w:eastAsia="黑体" w:hint="default"/>
                <w:w w:val="95"/>
                <w:sz w:val="20"/>
                <w:szCs w:val="20"/>
              </w:rPr>
              <w:t>逾期尚未收回货款</w:t>
            </w:r>
            <w:r>
              <w:rPr>
                <w:rFonts w:ascii="黑体" w:hAnsi="黑体" w:cs="黑体" w:eastAsia="黑体" w:hint="default"/>
                <w:sz w:val="20"/>
                <w:szCs w:val="20"/>
              </w:rPr>
            </w:r>
          </w:p>
        </w:tc>
      </w:tr>
      <w:tr>
        <w:trPr>
          <w:trHeight w:val="254" w:hRule="exact"/>
        </w:trPr>
        <w:tc>
          <w:tcPr>
            <w:tcW w:w="2851"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z w:val="20"/>
                <w:szCs w:val="20"/>
              </w:rPr>
              <w:t>永泰房地产（集团）有限公司</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3"/>
              <w:jc w:val="right"/>
              <w:rPr>
                <w:rFonts w:ascii="Arial" w:hAnsi="Arial" w:cs="Arial" w:eastAsia="Arial" w:hint="default"/>
                <w:sz w:val="20"/>
                <w:szCs w:val="20"/>
              </w:rPr>
            </w:pPr>
            <w:r>
              <w:rPr>
                <w:rFonts w:ascii="Arial"/>
                <w:spacing w:val="-1"/>
                <w:w w:val="95"/>
                <w:sz w:val="20"/>
              </w:rPr>
              <w:t>536,500</w:t>
            </w:r>
            <w:r>
              <w:rPr>
                <w:rFonts w:ascii="Arial"/>
                <w:sz w:val="20"/>
              </w:rPr>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6"/>
              <w:jc w:val="right"/>
              <w:rPr>
                <w:rFonts w:ascii="Arial" w:hAnsi="Arial" w:cs="Arial" w:eastAsia="Arial" w:hint="default"/>
                <w:sz w:val="20"/>
                <w:szCs w:val="20"/>
              </w:rPr>
            </w:pPr>
            <w:r>
              <w:rPr>
                <w:rFonts w:ascii="Arial"/>
                <w:spacing w:val="-1"/>
                <w:w w:val="95"/>
                <w:sz w:val="20"/>
              </w:rPr>
              <w:t>536,500</w:t>
            </w:r>
            <w:r>
              <w:rPr>
                <w:rFonts w:ascii="Arial"/>
                <w:sz w:val="20"/>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20"/>
                <w:szCs w:val="20"/>
              </w:rPr>
            </w:pPr>
            <w:r>
              <w:rPr>
                <w:rFonts w:ascii="Arial"/>
                <w:spacing w:val="-1"/>
                <w:w w:val="95"/>
                <w:sz w:val="20"/>
              </w:rPr>
              <w:t>100</w:t>
            </w:r>
            <w:r>
              <w:rPr>
                <w:rFonts w:ascii="Arial"/>
                <w:sz w:val="20"/>
              </w:rPr>
            </w:r>
          </w:p>
        </w:tc>
        <w:tc>
          <w:tcPr>
            <w:tcW w:w="1834" w:type="dxa"/>
            <w:tcBorders>
              <w:top w:val="nil" w:sz="6" w:space="0" w:color="auto"/>
              <w:left w:val="nil" w:sz="6" w:space="0" w:color="auto"/>
              <w:bottom w:val="nil" w:sz="6" w:space="0" w:color="auto"/>
              <w:right w:val="nil" w:sz="6" w:space="0" w:color="auto"/>
            </w:tcBorders>
          </w:tcPr>
          <w:p>
            <w:pPr>
              <w:pStyle w:val="TableParagraph"/>
              <w:spacing w:line="222" w:lineRule="exact"/>
              <w:ind w:right="198"/>
              <w:jc w:val="right"/>
              <w:rPr>
                <w:rFonts w:ascii="黑体" w:hAnsi="黑体" w:cs="黑体" w:eastAsia="黑体" w:hint="default"/>
                <w:sz w:val="20"/>
                <w:szCs w:val="20"/>
              </w:rPr>
            </w:pPr>
            <w:r>
              <w:rPr>
                <w:rFonts w:ascii="黑体" w:hAnsi="黑体" w:cs="黑体" w:eastAsia="黑体" w:hint="default"/>
                <w:w w:val="95"/>
                <w:sz w:val="20"/>
                <w:szCs w:val="20"/>
              </w:rPr>
              <w:t>逾期尚未收回货款</w:t>
            </w:r>
            <w:r>
              <w:rPr>
                <w:rFonts w:ascii="黑体" w:hAnsi="黑体" w:cs="黑体" w:eastAsia="黑体" w:hint="default"/>
                <w:sz w:val="20"/>
                <w:szCs w:val="20"/>
              </w:rPr>
            </w:r>
          </w:p>
        </w:tc>
      </w:tr>
      <w:tr>
        <w:trPr>
          <w:trHeight w:val="388" w:hRule="exact"/>
        </w:trPr>
        <w:tc>
          <w:tcPr>
            <w:tcW w:w="2851"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4"/>
              <w:jc w:val="right"/>
              <w:rPr>
                <w:rFonts w:ascii="Arial" w:hAnsi="Arial" w:cs="Arial" w:eastAsia="Arial" w:hint="default"/>
                <w:sz w:val="20"/>
                <w:szCs w:val="20"/>
              </w:rPr>
            </w:pPr>
            <w:r>
              <w:rPr>
                <w:rFonts w:ascii="Arial"/>
                <w:w w:val="99"/>
                <w:sz w:val="20"/>
              </w:rPr>
            </w:r>
            <w:r>
              <w:rPr>
                <w:rFonts w:ascii="Arial"/>
                <w:spacing w:val="-1"/>
                <w:sz w:val="20"/>
                <w:u w:val="single" w:color="000000"/>
              </w:rPr>
              <w:t>195,927,753</w:t>
            </w:r>
            <w:r>
              <w:rPr>
                <w:rFonts w:ascii="Arial"/>
                <w:spacing w:val="-1"/>
                <w:sz w:val="20"/>
              </w:rPr>
            </w:r>
            <w:r>
              <w:rPr>
                <w:rFonts w:ascii="Arial"/>
                <w:sz w:val="20"/>
              </w:rPr>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6"/>
              <w:jc w:val="right"/>
              <w:rPr>
                <w:rFonts w:ascii="Arial" w:hAnsi="Arial" w:cs="Arial" w:eastAsia="Arial" w:hint="default"/>
                <w:sz w:val="20"/>
                <w:szCs w:val="20"/>
              </w:rPr>
            </w:pPr>
            <w:r>
              <w:rPr>
                <w:rFonts w:ascii="Arial"/>
                <w:w w:val="99"/>
                <w:sz w:val="20"/>
              </w:rPr>
            </w:r>
            <w:r>
              <w:rPr>
                <w:rFonts w:ascii="Arial"/>
                <w:spacing w:val="-1"/>
                <w:sz w:val="20"/>
                <w:u w:val="single" w:color="000000"/>
              </w:rPr>
              <w:t>24,422,984</w:t>
            </w:r>
            <w:r>
              <w:rPr>
                <w:rFonts w:ascii="Arial"/>
                <w:spacing w:val="-1"/>
                <w:sz w:val="20"/>
              </w:rPr>
            </w:r>
            <w:r>
              <w:rPr>
                <w:rFonts w:ascii="Arial"/>
                <w:sz w:val="20"/>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20"/>
                <w:szCs w:val="20"/>
              </w:rPr>
            </w:pPr>
            <w:r>
              <w:rPr>
                <w:rFonts w:ascii="Arial"/>
                <w:spacing w:val="-1"/>
                <w:w w:val="95"/>
                <w:sz w:val="20"/>
              </w:rPr>
              <w:t>12</w:t>
            </w:r>
            <w:r>
              <w:rPr>
                <w:rFonts w:ascii="Arial"/>
                <w:sz w:val="20"/>
              </w:rPr>
            </w:r>
          </w:p>
        </w:tc>
        <w:tc>
          <w:tcPr>
            <w:tcW w:w="1834" w:type="dxa"/>
            <w:tcBorders>
              <w:top w:val="nil" w:sz="6" w:space="0" w:color="auto"/>
              <w:left w:val="nil" w:sz="6" w:space="0" w:color="auto"/>
              <w:bottom w:val="nil" w:sz="6" w:space="0" w:color="auto"/>
              <w:right w:val="nil" w:sz="6" w:space="0" w:color="auto"/>
            </w:tcBorders>
          </w:tcPr>
          <w:p>
            <w:pPr>
              <w:pStyle w:val="TableParagraph"/>
              <w:spacing w:line="222" w:lineRule="exact"/>
              <w:ind w:right="198"/>
              <w:jc w:val="right"/>
              <w:rPr>
                <w:rFonts w:ascii="黑体" w:hAnsi="黑体" w:cs="黑体" w:eastAsia="黑体" w:hint="default"/>
                <w:sz w:val="20"/>
                <w:szCs w:val="20"/>
              </w:rPr>
            </w:pPr>
            <w:r>
              <w:rPr>
                <w:rFonts w:ascii="黑体" w:hAnsi="黑体" w:cs="黑体" w:eastAsia="黑体" w:hint="default"/>
                <w:w w:val="95"/>
                <w:sz w:val="20"/>
                <w:szCs w:val="20"/>
              </w:rPr>
              <w:t>逾期尚未收回货款</w:t>
            </w:r>
            <w:r>
              <w:rPr>
                <w:rFonts w:ascii="黑体" w:hAnsi="黑体" w:cs="黑体" w:eastAsia="黑体" w:hint="default"/>
                <w:sz w:val="20"/>
                <w:szCs w:val="20"/>
              </w:rPr>
            </w:r>
          </w:p>
        </w:tc>
      </w:tr>
      <w:tr>
        <w:trPr>
          <w:trHeight w:val="355" w:hRule="exact"/>
        </w:trPr>
        <w:tc>
          <w:tcPr>
            <w:tcW w:w="2851"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74"/>
              <w:jc w:val="right"/>
              <w:rPr>
                <w:rFonts w:ascii="Arial" w:hAnsi="Arial" w:cs="Arial" w:eastAsia="Arial" w:hint="default"/>
                <w:sz w:val="20"/>
                <w:szCs w:val="20"/>
              </w:rPr>
            </w:pPr>
            <w:r>
              <w:rPr>
                <w:rFonts w:ascii="Arial"/>
                <w:w w:val="99"/>
                <w:sz w:val="20"/>
              </w:rPr>
            </w:r>
            <w:r>
              <w:rPr>
                <w:rFonts w:ascii="Arial"/>
                <w:spacing w:val="-1"/>
                <w:sz w:val="20"/>
                <w:u w:val="thick" w:color="000000"/>
              </w:rPr>
              <w:t>197,762,403</w:t>
            </w:r>
            <w:r>
              <w:rPr>
                <w:rFonts w:ascii="Arial"/>
                <w:spacing w:val="-1"/>
                <w:sz w:val="20"/>
              </w:rPr>
            </w:r>
            <w:r>
              <w:rPr>
                <w:rFonts w:ascii="Arial"/>
                <w:sz w:val="20"/>
              </w:rPr>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46"/>
              <w:jc w:val="right"/>
              <w:rPr>
                <w:rFonts w:ascii="Arial" w:hAnsi="Arial" w:cs="Arial" w:eastAsia="Arial" w:hint="default"/>
                <w:sz w:val="20"/>
                <w:szCs w:val="20"/>
              </w:rPr>
            </w:pPr>
            <w:r>
              <w:rPr>
                <w:rFonts w:ascii="Arial"/>
                <w:w w:val="99"/>
                <w:sz w:val="20"/>
              </w:rPr>
            </w:r>
            <w:r>
              <w:rPr>
                <w:rFonts w:ascii="Arial"/>
                <w:spacing w:val="-1"/>
                <w:sz w:val="20"/>
                <w:u w:val="thick" w:color="000000"/>
              </w:rPr>
              <w:t>26,257,634</w:t>
            </w:r>
            <w:r>
              <w:rPr>
                <w:rFonts w:ascii="Arial"/>
                <w:spacing w:val="-1"/>
                <w:sz w:val="20"/>
              </w:rPr>
            </w:r>
            <w:r>
              <w:rPr>
                <w:rFonts w:ascii="Arial"/>
                <w:sz w:val="20"/>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65"/>
              <w:jc w:val="right"/>
              <w:rPr>
                <w:rFonts w:ascii="Arial" w:hAnsi="Arial" w:cs="Arial" w:eastAsia="Arial" w:hint="default"/>
                <w:sz w:val="20"/>
                <w:szCs w:val="20"/>
              </w:rPr>
            </w:pPr>
            <w:r>
              <w:rPr>
                <w:rFonts w:ascii="Arial"/>
                <w:spacing w:val="-1"/>
                <w:w w:val="95"/>
                <w:sz w:val="20"/>
              </w:rPr>
              <w:t>13</w:t>
            </w:r>
            <w:r>
              <w:rPr>
                <w:rFonts w:ascii="Arial"/>
                <w:sz w:val="20"/>
              </w:rPr>
            </w:r>
          </w:p>
        </w:tc>
        <w:tc>
          <w:tcPr>
            <w:tcW w:w="1834"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黑体" w:hAnsi="黑体" w:cs="黑体" w:eastAsia="黑体" w:hint="default"/>
          <w:sz w:val="29"/>
          <w:szCs w:val="29"/>
        </w:rPr>
      </w:pPr>
    </w:p>
    <w:p>
      <w:pPr>
        <w:pStyle w:val="BodyText"/>
        <w:spacing w:line="240" w:lineRule="auto" w:before="37"/>
        <w:ind w:left="861" w:right="0"/>
        <w:jc w:val="left"/>
      </w:pPr>
      <w:r>
        <w:rPr/>
        <w:t>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日，单项金额虽不重大但单独计提坏账准备的应收账款情况如下：</w:t>
      </w:r>
    </w:p>
    <w:p>
      <w:pPr>
        <w:spacing w:line="240" w:lineRule="auto" w:before="1"/>
        <w:rPr>
          <w:rFonts w:ascii="黑体" w:hAnsi="黑体" w:cs="黑体" w:eastAsia="黑体" w:hint="default"/>
          <w:sz w:val="23"/>
          <w:szCs w:val="23"/>
        </w:rPr>
      </w:pPr>
    </w:p>
    <w:tbl>
      <w:tblPr>
        <w:tblW w:w="0" w:type="auto"/>
        <w:jc w:val="left"/>
        <w:tblInd w:w="649" w:type="dxa"/>
        <w:tblLayout w:type="fixed"/>
        <w:tblCellMar>
          <w:top w:w="0" w:type="dxa"/>
          <w:left w:w="0" w:type="dxa"/>
          <w:bottom w:w="0" w:type="dxa"/>
          <w:right w:w="0" w:type="dxa"/>
        </w:tblCellMar>
        <w:tblLook w:val="01E0"/>
      </w:tblPr>
      <w:tblGrid>
        <w:gridCol w:w="2961"/>
        <w:gridCol w:w="1283"/>
        <w:gridCol w:w="1064"/>
        <w:gridCol w:w="1187"/>
        <w:gridCol w:w="1832"/>
      </w:tblGrid>
      <w:tr>
        <w:trPr>
          <w:trHeight w:val="355" w:hRule="exact"/>
        </w:trPr>
        <w:tc>
          <w:tcPr>
            <w:tcW w:w="2961" w:type="dxa"/>
            <w:tcBorders>
              <w:top w:val="nil" w:sz="6" w:space="0" w:color="auto"/>
              <w:left w:val="nil" w:sz="6" w:space="0" w:color="auto"/>
              <w:bottom w:val="nil" w:sz="6" w:space="0" w:color="auto"/>
              <w:right w:val="nil" w:sz="6" w:space="0" w:color="auto"/>
            </w:tcBorders>
          </w:tcPr>
          <w:p>
            <w:pPr/>
          </w:p>
        </w:tc>
        <w:tc>
          <w:tcPr>
            <w:tcW w:w="1283" w:type="dxa"/>
            <w:tcBorders>
              <w:top w:val="nil" w:sz="6" w:space="0" w:color="auto"/>
              <w:left w:val="nil" w:sz="6" w:space="0" w:color="auto"/>
              <w:bottom w:val="nil" w:sz="6" w:space="0" w:color="auto"/>
              <w:right w:val="nil" w:sz="6" w:space="0" w:color="auto"/>
            </w:tcBorders>
          </w:tcPr>
          <w:p>
            <w:pPr>
              <w:pStyle w:val="TableParagraph"/>
              <w:spacing w:line="199" w:lineRule="exact"/>
              <w:ind w:right="120"/>
              <w:jc w:val="right"/>
              <w:rPr>
                <w:rFonts w:ascii="黑体" w:hAnsi="黑体" w:cs="黑体" w:eastAsia="黑体" w:hint="default"/>
                <w:sz w:val="20"/>
                <w:szCs w:val="20"/>
              </w:rPr>
            </w:pPr>
            <w:r>
              <w:rPr>
                <w:rFonts w:ascii="黑体" w:hAnsi="黑体" w:cs="黑体" w:eastAsia="黑体" w:hint="default"/>
                <w:w w:val="95"/>
                <w:sz w:val="20"/>
                <w:szCs w:val="20"/>
              </w:rPr>
              <w:t>账面余额</w:t>
            </w:r>
            <w:r>
              <w:rPr>
                <w:rFonts w:ascii="黑体" w:hAnsi="黑体" w:cs="黑体" w:eastAsia="黑体" w:hint="default"/>
                <w:sz w:val="20"/>
                <w:szCs w:val="20"/>
              </w:rPr>
            </w:r>
          </w:p>
        </w:tc>
        <w:tc>
          <w:tcPr>
            <w:tcW w:w="1064" w:type="dxa"/>
            <w:tcBorders>
              <w:top w:val="nil" w:sz="6" w:space="0" w:color="auto"/>
              <w:left w:val="nil" w:sz="6" w:space="0" w:color="auto"/>
              <w:bottom w:val="nil" w:sz="6" w:space="0" w:color="auto"/>
              <w:right w:val="nil" w:sz="6" w:space="0" w:color="auto"/>
            </w:tcBorders>
          </w:tcPr>
          <w:p>
            <w:pPr>
              <w:pStyle w:val="TableParagraph"/>
              <w:spacing w:line="199" w:lineRule="exact"/>
              <w:ind w:left="159" w:right="0"/>
              <w:jc w:val="center"/>
              <w:rPr>
                <w:rFonts w:ascii="黑体" w:hAnsi="黑体" w:cs="黑体" w:eastAsia="黑体" w:hint="default"/>
                <w:sz w:val="20"/>
                <w:szCs w:val="20"/>
              </w:rPr>
            </w:pPr>
            <w:r>
              <w:rPr>
                <w:rFonts w:ascii="黑体" w:hAnsi="黑体" w:cs="黑体" w:eastAsia="黑体" w:hint="default"/>
                <w:sz w:val="20"/>
                <w:szCs w:val="20"/>
              </w:rPr>
              <w:t>坏账准备</w:t>
            </w:r>
          </w:p>
        </w:tc>
        <w:tc>
          <w:tcPr>
            <w:tcW w:w="1187" w:type="dxa"/>
            <w:tcBorders>
              <w:top w:val="nil" w:sz="6" w:space="0" w:color="auto"/>
              <w:left w:val="nil" w:sz="6" w:space="0" w:color="auto"/>
              <w:bottom w:val="nil" w:sz="6" w:space="0" w:color="auto"/>
              <w:right w:val="nil" w:sz="6" w:space="0" w:color="auto"/>
            </w:tcBorders>
          </w:tcPr>
          <w:p>
            <w:pPr>
              <w:pStyle w:val="TableParagraph"/>
              <w:spacing w:line="199" w:lineRule="exact"/>
              <w:ind w:right="31"/>
              <w:jc w:val="right"/>
              <w:rPr>
                <w:rFonts w:ascii="黑体" w:hAnsi="黑体" w:cs="黑体" w:eastAsia="黑体" w:hint="default"/>
                <w:sz w:val="20"/>
                <w:szCs w:val="20"/>
              </w:rPr>
            </w:pPr>
            <w:r>
              <w:rPr>
                <w:rFonts w:ascii="黑体" w:hAnsi="黑体" w:cs="黑体" w:eastAsia="黑体" w:hint="default"/>
                <w:w w:val="95"/>
                <w:sz w:val="20"/>
                <w:szCs w:val="20"/>
              </w:rPr>
              <w:t>计提比例(%)</w:t>
            </w:r>
            <w:r>
              <w:rPr>
                <w:rFonts w:ascii="黑体" w:hAnsi="黑体" w:cs="黑体" w:eastAsia="黑体" w:hint="default"/>
                <w:sz w:val="20"/>
                <w:szCs w:val="20"/>
              </w:rPr>
            </w:r>
          </w:p>
        </w:tc>
        <w:tc>
          <w:tcPr>
            <w:tcW w:w="1832" w:type="dxa"/>
            <w:tcBorders>
              <w:top w:val="nil" w:sz="6" w:space="0" w:color="auto"/>
              <w:left w:val="nil" w:sz="6" w:space="0" w:color="auto"/>
              <w:bottom w:val="nil" w:sz="6" w:space="0" w:color="auto"/>
              <w:right w:val="nil" w:sz="6" w:space="0" w:color="auto"/>
            </w:tcBorders>
          </w:tcPr>
          <w:p>
            <w:pPr>
              <w:pStyle w:val="TableParagraph"/>
              <w:spacing w:line="199" w:lineRule="exact"/>
              <w:ind w:right="198"/>
              <w:jc w:val="right"/>
              <w:rPr>
                <w:rFonts w:ascii="黑体" w:hAnsi="黑体" w:cs="黑体" w:eastAsia="黑体" w:hint="default"/>
                <w:sz w:val="20"/>
                <w:szCs w:val="20"/>
              </w:rPr>
            </w:pPr>
            <w:r>
              <w:rPr>
                <w:rFonts w:ascii="黑体" w:hAnsi="黑体" w:cs="黑体" w:eastAsia="黑体" w:hint="default"/>
                <w:w w:val="95"/>
                <w:sz w:val="20"/>
                <w:szCs w:val="20"/>
              </w:rPr>
              <w:t>理由</w:t>
            </w:r>
            <w:r>
              <w:rPr>
                <w:rFonts w:ascii="黑体" w:hAnsi="黑体" w:cs="黑体" w:eastAsia="黑体" w:hint="default"/>
                <w:sz w:val="20"/>
                <w:szCs w:val="20"/>
              </w:rPr>
            </w:r>
          </w:p>
        </w:tc>
      </w:tr>
      <w:tr>
        <w:trPr>
          <w:trHeight w:val="388" w:hRule="exact"/>
        </w:trPr>
        <w:tc>
          <w:tcPr>
            <w:tcW w:w="2961"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00" w:right="0"/>
              <w:jc w:val="left"/>
              <w:rPr>
                <w:rFonts w:ascii="黑体" w:hAnsi="黑体" w:cs="黑体" w:eastAsia="黑体" w:hint="default"/>
                <w:sz w:val="20"/>
                <w:szCs w:val="20"/>
              </w:rPr>
            </w:pPr>
            <w:r>
              <w:rPr>
                <w:rFonts w:ascii="黑体" w:hAnsi="黑体" w:cs="黑体" w:eastAsia="黑体" w:hint="default"/>
                <w:sz w:val="20"/>
                <w:szCs w:val="20"/>
              </w:rPr>
              <w:t>中国机械工业集团公司</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20"/>
              <w:jc w:val="right"/>
              <w:rPr>
                <w:rFonts w:ascii="Arial" w:hAnsi="Arial" w:cs="Arial" w:eastAsia="Arial" w:hint="default"/>
                <w:sz w:val="20"/>
                <w:szCs w:val="20"/>
              </w:rPr>
            </w:pPr>
            <w:r>
              <w:rPr>
                <w:rFonts w:ascii="Arial"/>
                <w:spacing w:val="-1"/>
                <w:w w:val="95"/>
                <w:sz w:val="20"/>
              </w:rPr>
              <w:t>630,000</w:t>
            </w:r>
            <w:r>
              <w:rPr>
                <w:rFonts w:ascii="Arial"/>
                <w:sz w:val="20"/>
              </w:rPr>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36" w:right="0"/>
              <w:jc w:val="center"/>
              <w:rPr>
                <w:rFonts w:ascii="Arial" w:hAnsi="Arial" w:cs="Arial" w:eastAsia="Arial" w:hint="default"/>
                <w:sz w:val="20"/>
                <w:szCs w:val="20"/>
              </w:rPr>
            </w:pPr>
            <w:r>
              <w:rPr>
                <w:rFonts w:ascii="Arial"/>
                <w:sz w:val="20"/>
              </w:rPr>
              <w:t>630,000</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62"/>
              <w:jc w:val="right"/>
              <w:rPr>
                <w:rFonts w:ascii="Arial" w:hAnsi="Arial" w:cs="Arial" w:eastAsia="Arial" w:hint="default"/>
                <w:sz w:val="20"/>
                <w:szCs w:val="20"/>
              </w:rPr>
            </w:pPr>
            <w:r>
              <w:rPr>
                <w:rFonts w:ascii="Arial"/>
                <w:spacing w:val="-1"/>
                <w:w w:val="95"/>
                <w:sz w:val="20"/>
              </w:rPr>
              <w:t>100</w:t>
            </w:r>
            <w:r>
              <w:rPr>
                <w:rFonts w:ascii="Arial"/>
                <w:sz w:val="20"/>
              </w:rPr>
            </w:r>
          </w:p>
        </w:tc>
        <w:tc>
          <w:tcPr>
            <w:tcW w:w="183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98"/>
              <w:jc w:val="right"/>
              <w:rPr>
                <w:rFonts w:ascii="黑体" w:hAnsi="黑体" w:cs="黑体" w:eastAsia="黑体" w:hint="default"/>
                <w:sz w:val="20"/>
                <w:szCs w:val="20"/>
              </w:rPr>
            </w:pPr>
            <w:r>
              <w:rPr>
                <w:rFonts w:ascii="黑体" w:hAnsi="黑体" w:cs="黑体" w:eastAsia="黑体" w:hint="default"/>
                <w:w w:val="95"/>
                <w:sz w:val="20"/>
                <w:szCs w:val="20"/>
              </w:rPr>
              <w:t>逾期尚未收回货款</w:t>
            </w:r>
            <w:r>
              <w:rPr>
                <w:rFonts w:ascii="黑体" w:hAnsi="黑体" w:cs="黑体" w:eastAsia="黑体" w:hint="default"/>
                <w:sz w:val="20"/>
                <w:szCs w:val="20"/>
              </w:rPr>
            </w:r>
          </w:p>
        </w:tc>
      </w:tr>
      <w:tr>
        <w:trPr>
          <w:trHeight w:val="254" w:hRule="exact"/>
        </w:trPr>
        <w:tc>
          <w:tcPr>
            <w:tcW w:w="2961"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z w:val="20"/>
                <w:szCs w:val="20"/>
              </w:rPr>
              <w:t>中国免税品集团有限公司</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20"/>
              <w:jc w:val="right"/>
              <w:rPr>
                <w:rFonts w:ascii="Arial" w:hAnsi="Arial" w:cs="Arial" w:eastAsia="Arial" w:hint="default"/>
                <w:sz w:val="20"/>
                <w:szCs w:val="20"/>
              </w:rPr>
            </w:pPr>
            <w:r>
              <w:rPr>
                <w:rFonts w:ascii="Arial"/>
                <w:spacing w:val="-1"/>
                <w:w w:val="95"/>
                <w:sz w:val="20"/>
              </w:rPr>
              <w:t>668,150</w:t>
            </w:r>
            <w:r>
              <w:rPr>
                <w:rFonts w:ascii="Arial"/>
                <w:sz w:val="20"/>
              </w:rPr>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6"/>
              <w:ind w:left="236" w:right="0"/>
              <w:jc w:val="center"/>
              <w:rPr>
                <w:rFonts w:ascii="Arial" w:hAnsi="Arial" w:cs="Arial" w:eastAsia="Arial" w:hint="default"/>
                <w:sz w:val="20"/>
                <w:szCs w:val="20"/>
              </w:rPr>
            </w:pPr>
            <w:r>
              <w:rPr>
                <w:rFonts w:ascii="Arial"/>
                <w:sz w:val="20"/>
              </w:rPr>
              <w:t>668,150</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2"/>
              <w:jc w:val="right"/>
              <w:rPr>
                <w:rFonts w:ascii="Arial" w:hAnsi="Arial" w:cs="Arial" w:eastAsia="Arial" w:hint="default"/>
                <w:sz w:val="20"/>
                <w:szCs w:val="20"/>
              </w:rPr>
            </w:pPr>
            <w:r>
              <w:rPr>
                <w:rFonts w:ascii="Arial"/>
                <w:spacing w:val="-1"/>
                <w:w w:val="95"/>
                <w:sz w:val="20"/>
              </w:rPr>
              <w:t>100</w:t>
            </w:r>
            <w:r>
              <w:rPr>
                <w:rFonts w:ascii="Arial"/>
                <w:sz w:val="20"/>
              </w:rPr>
            </w:r>
          </w:p>
        </w:tc>
        <w:tc>
          <w:tcPr>
            <w:tcW w:w="1832" w:type="dxa"/>
            <w:tcBorders>
              <w:top w:val="nil" w:sz="6" w:space="0" w:color="auto"/>
              <w:left w:val="nil" w:sz="6" w:space="0" w:color="auto"/>
              <w:bottom w:val="nil" w:sz="6" w:space="0" w:color="auto"/>
              <w:right w:val="nil" w:sz="6" w:space="0" w:color="auto"/>
            </w:tcBorders>
          </w:tcPr>
          <w:p>
            <w:pPr>
              <w:pStyle w:val="TableParagraph"/>
              <w:spacing w:line="222" w:lineRule="exact"/>
              <w:ind w:right="198"/>
              <w:jc w:val="right"/>
              <w:rPr>
                <w:rFonts w:ascii="黑体" w:hAnsi="黑体" w:cs="黑体" w:eastAsia="黑体" w:hint="default"/>
                <w:sz w:val="20"/>
                <w:szCs w:val="20"/>
              </w:rPr>
            </w:pPr>
            <w:r>
              <w:rPr>
                <w:rFonts w:ascii="黑体" w:hAnsi="黑体" w:cs="黑体" w:eastAsia="黑体" w:hint="default"/>
                <w:w w:val="95"/>
                <w:sz w:val="20"/>
                <w:szCs w:val="20"/>
              </w:rPr>
              <w:t>逾期尚未收回货款</w:t>
            </w:r>
            <w:r>
              <w:rPr>
                <w:rFonts w:ascii="黑体" w:hAnsi="黑体" w:cs="黑体" w:eastAsia="黑体" w:hint="default"/>
                <w:sz w:val="20"/>
                <w:szCs w:val="20"/>
              </w:rPr>
            </w:r>
          </w:p>
        </w:tc>
      </w:tr>
      <w:tr>
        <w:trPr>
          <w:trHeight w:val="254" w:hRule="exact"/>
        </w:trPr>
        <w:tc>
          <w:tcPr>
            <w:tcW w:w="2961"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z w:val="20"/>
                <w:szCs w:val="20"/>
              </w:rPr>
              <w:t>永泰房地产（集团）有限公司</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20"/>
              <w:jc w:val="right"/>
              <w:rPr>
                <w:rFonts w:ascii="Arial" w:hAnsi="Arial" w:cs="Arial" w:eastAsia="Arial" w:hint="default"/>
                <w:sz w:val="20"/>
                <w:szCs w:val="20"/>
              </w:rPr>
            </w:pPr>
            <w:r>
              <w:rPr>
                <w:rFonts w:ascii="Arial"/>
                <w:spacing w:val="-1"/>
                <w:w w:val="95"/>
                <w:sz w:val="20"/>
              </w:rPr>
              <w:t>536,500</w:t>
            </w:r>
            <w:r>
              <w:rPr>
                <w:rFonts w:ascii="Arial"/>
                <w:sz w:val="20"/>
              </w:rPr>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6"/>
              <w:ind w:left="236" w:right="0"/>
              <w:jc w:val="center"/>
              <w:rPr>
                <w:rFonts w:ascii="Arial" w:hAnsi="Arial" w:cs="Arial" w:eastAsia="Arial" w:hint="default"/>
                <w:sz w:val="20"/>
                <w:szCs w:val="20"/>
              </w:rPr>
            </w:pPr>
            <w:r>
              <w:rPr>
                <w:rFonts w:ascii="Arial"/>
                <w:sz w:val="20"/>
              </w:rPr>
              <w:t>536,500</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2"/>
              <w:jc w:val="right"/>
              <w:rPr>
                <w:rFonts w:ascii="Arial" w:hAnsi="Arial" w:cs="Arial" w:eastAsia="Arial" w:hint="default"/>
                <w:sz w:val="20"/>
                <w:szCs w:val="20"/>
              </w:rPr>
            </w:pPr>
            <w:r>
              <w:rPr>
                <w:rFonts w:ascii="Arial"/>
                <w:spacing w:val="-1"/>
                <w:w w:val="95"/>
                <w:sz w:val="20"/>
              </w:rPr>
              <w:t>100</w:t>
            </w:r>
            <w:r>
              <w:rPr>
                <w:rFonts w:ascii="Arial"/>
                <w:sz w:val="20"/>
              </w:rPr>
            </w:r>
          </w:p>
        </w:tc>
        <w:tc>
          <w:tcPr>
            <w:tcW w:w="1832" w:type="dxa"/>
            <w:tcBorders>
              <w:top w:val="nil" w:sz="6" w:space="0" w:color="auto"/>
              <w:left w:val="nil" w:sz="6" w:space="0" w:color="auto"/>
              <w:bottom w:val="nil" w:sz="6" w:space="0" w:color="auto"/>
              <w:right w:val="nil" w:sz="6" w:space="0" w:color="auto"/>
            </w:tcBorders>
          </w:tcPr>
          <w:p>
            <w:pPr>
              <w:pStyle w:val="TableParagraph"/>
              <w:spacing w:line="222" w:lineRule="exact"/>
              <w:ind w:right="198"/>
              <w:jc w:val="right"/>
              <w:rPr>
                <w:rFonts w:ascii="黑体" w:hAnsi="黑体" w:cs="黑体" w:eastAsia="黑体" w:hint="default"/>
                <w:sz w:val="20"/>
                <w:szCs w:val="20"/>
              </w:rPr>
            </w:pPr>
            <w:r>
              <w:rPr>
                <w:rFonts w:ascii="黑体" w:hAnsi="黑体" w:cs="黑体" w:eastAsia="黑体" w:hint="default"/>
                <w:w w:val="95"/>
                <w:sz w:val="20"/>
                <w:szCs w:val="20"/>
              </w:rPr>
              <w:t>逾期尚未收回货款</w:t>
            </w:r>
            <w:r>
              <w:rPr>
                <w:rFonts w:ascii="黑体" w:hAnsi="黑体" w:cs="黑体" w:eastAsia="黑体" w:hint="default"/>
                <w:sz w:val="20"/>
                <w:szCs w:val="20"/>
              </w:rPr>
            </w:r>
          </w:p>
        </w:tc>
      </w:tr>
      <w:tr>
        <w:trPr>
          <w:trHeight w:val="388" w:hRule="exact"/>
        </w:trPr>
        <w:tc>
          <w:tcPr>
            <w:tcW w:w="2961"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20"/>
              <w:jc w:val="right"/>
              <w:rPr>
                <w:rFonts w:ascii="Arial" w:hAnsi="Arial" w:cs="Arial" w:eastAsia="Arial" w:hint="default"/>
                <w:sz w:val="20"/>
                <w:szCs w:val="20"/>
              </w:rPr>
            </w:pPr>
            <w:r>
              <w:rPr>
                <w:rFonts w:ascii="Arial"/>
                <w:w w:val="99"/>
                <w:sz w:val="20"/>
              </w:rPr>
            </w:r>
            <w:r>
              <w:rPr>
                <w:rFonts w:ascii="Arial"/>
                <w:spacing w:val="-1"/>
                <w:sz w:val="20"/>
                <w:u w:val="single" w:color="000000"/>
              </w:rPr>
              <w:t>38,072,317</w:t>
            </w:r>
            <w:r>
              <w:rPr>
                <w:rFonts w:ascii="Arial"/>
                <w:spacing w:val="-1"/>
                <w:sz w:val="20"/>
              </w:rPr>
            </w:r>
            <w:r>
              <w:rPr>
                <w:rFonts w:ascii="Arial"/>
                <w:sz w:val="20"/>
              </w:rPr>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6"/>
              <w:ind w:left="68" w:right="0"/>
              <w:jc w:val="center"/>
              <w:rPr>
                <w:rFonts w:ascii="Arial" w:hAnsi="Arial" w:cs="Arial" w:eastAsia="Arial" w:hint="default"/>
                <w:sz w:val="20"/>
                <w:szCs w:val="20"/>
              </w:rPr>
            </w:pPr>
            <w:r>
              <w:rPr>
                <w:rFonts w:ascii="Arial"/>
                <w:w w:val="99"/>
                <w:sz w:val="20"/>
              </w:rPr>
            </w:r>
            <w:r>
              <w:rPr>
                <w:rFonts w:ascii="Arial"/>
                <w:sz w:val="20"/>
                <w:u w:val="single" w:color="000000"/>
              </w:rPr>
              <w:t>2,545,486</w:t>
            </w:r>
            <w:r>
              <w:rPr>
                <w:rFonts w:ascii="Arial"/>
                <w:sz w:val="20"/>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0"/>
              <w:jc w:val="right"/>
              <w:rPr>
                <w:rFonts w:ascii="Arial" w:hAnsi="Arial" w:cs="Arial" w:eastAsia="Arial" w:hint="default"/>
                <w:sz w:val="20"/>
                <w:szCs w:val="20"/>
              </w:rPr>
            </w:pPr>
            <w:r>
              <w:rPr>
                <w:rFonts w:ascii="Arial"/>
                <w:w w:val="99"/>
                <w:sz w:val="20"/>
              </w:rPr>
              <w:t>7</w:t>
            </w:r>
            <w:r>
              <w:rPr>
                <w:rFonts w:ascii="Arial"/>
                <w:sz w:val="20"/>
              </w:rPr>
            </w:r>
          </w:p>
        </w:tc>
        <w:tc>
          <w:tcPr>
            <w:tcW w:w="1832" w:type="dxa"/>
            <w:tcBorders>
              <w:top w:val="nil" w:sz="6" w:space="0" w:color="auto"/>
              <w:left w:val="nil" w:sz="6" w:space="0" w:color="auto"/>
              <w:bottom w:val="nil" w:sz="6" w:space="0" w:color="auto"/>
              <w:right w:val="nil" w:sz="6" w:space="0" w:color="auto"/>
            </w:tcBorders>
          </w:tcPr>
          <w:p>
            <w:pPr>
              <w:pStyle w:val="TableParagraph"/>
              <w:spacing w:line="222" w:lineRule="exact"/>
              <w:ind w:right="198"/>
              <w:jc w:val="right"/>
              <w:rPr>
                <w:rFonts w:ascii="黑体" w:hAnsi="黑体" w:cs="黑体" w:eastAsia="黑体" w:hint="default"/>
                <w:sz w:val="20"/>
                <w:szCs w:val="20"/>
              </w:rPr>
            </w:pPr>
            <w:r>
              <w:rPr>
                <w:rFonts w:ascii="黑体" w:hAnsi="黑体" w:cs="黑体" w:eastAsia="黑体" w:hint="default"/>
                <w:w w:val="95"/>
                <w:sz w:val="20"/>
                <w:szCs w:val="20"/>
              </w:rPr>
              <w:t>逾期尚未收回货款</w:t>
            </w:r>
            <w:r>
              <w:rPr>
                <w:rFonts w:ascii="黑体" w:hAnsi="黑体" w:cs="黑体" w:eastAsia="黑体" w:hint="default"/>
                <w:sz w:val="20"/>
                <w:szCs w:val="20"/>
              </w:rPr>
            </w:r>
          </w:p>
        </w:tc>
      </w:tr>
      <w:tr>
        <w:trPr>
          <w:trHeight w:val="355" w:hRule="exact"/>
        </w:trPr>
        <w:tc>
          <w:tcPr>
            <w:tcW w:w="2961" w:type="dxa"/>
            <w:tcBorders>
              <w:top w:val="nil" w:sz="6" w:space="0" w:color="auto"/>
              <w:left w:val="nil" w:sz="6" w:space="0" w:color="auto"/>
              <w:bottom w:val="nil" w:sz="6" w:space="0" w:color="auto"/>
              <w:right w:val="nil" w:sz="6" w:space="0" w:color="auto"/>
            </w:tcBorders>
          </w:tcPr>
          <w:p>
            <w:pP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20"/>
              <w:jc w:val="right"/>
              <w:rPr>
                <w:rFonts w:ascii="Arial" w:hAnsi="Arial" w:cs="Arial" w:eastAsia="Arial" w:hint="default"/>
                <w:sz w:val="20"/>
                <w:szCs w:val="20"/>
              </w:rPr>
            </w:pPr>
            <w:r>
              <w:rPr>
                <w:rFonts w:ascii="Arial"/>
                <w:w w:val="99"/>
                <w:sz w:val="20"/>
              </w:rPr>
            </w:r>
            <w:r>
              <w:rPr>
                <w:rFonts w:ascii="Arial"/>
                <w:spacing w:val="-1"/>
                <w:sz w:val="20"/>
                <w:u w:val="thick" w:color="000000"/>
              </w:rPr>
              <w:t>39,906,967</w:t>
            </w:r>
            <w:r>
              <w:rPr>
                <w:rFonts w:ascii="Arial"/>
                <w:spacing w:val="-1"/>
                <w:sz w:val="20"/>
              </w:rPr>
            </w:r>
            <w:r>
              <w:rPr>
                <w:rFonts w:ascii="Arial"/>
                <w:sz w:val="20"/>
              </w:rPr>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68" w:right="0"/>
              <w:jc w:val="center"/>
              <w:rPr>
                <w:rFonts w:ascii="Arial" w:hAnsi="Arial" w:cs="Arial" w:eastAsia="Arial" w:hint="default"/>
                <w:sz w:val="20"/>
                <w:szCs w:val="20"/>
              </w:rPr>
            </w:pPr>
            <w:r>
              <w:rPr>
                <w:rFonts w:ascii="Arial"/>
                <w:w w:val="99"/>
                <w:sz w:val="20"/>
              </w:rPr>
            </w:r>
            <w:r>
              <w:rPr>
                <w:rFonts w:ascii="Arial"/>
                <w:sz w:val="20"/>
                <w:u w:val="thick" w:color="000000"/>
              </w:rPr>
              <w:t>4,380,136</w:t>
            </w:r>
            <w:r>
              <w:rPr>
                <w:rFonts w:ascii="Arial"/>
                <w:sz w:val="20"/>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60"/>
              <w:jc w:val="right"/>
              <w:rPr>
                <w:rFonts w:ascii="Arial" w:hAnsi="Arial" w:cs="Arial" w:eastAsia="Arial" w:hint="default"/>
                <w:sz w:val="20"/>
                <w:szCs w:val="20"/>
              </w:rPr>
            </w:pPr>
            <w:r>
              <w:rPr>
                <w:rFonts w:ascii="Arial"/>
                <w:spacing w:val="-1"/>
                <w:w w:val="95"/>
                <w:sz w:val="20"/>
              </w:rPr>
              <w:t>11</w:t>
            </w:r>
            <w:r>
              <w:rPr>
                <w:rFonts w:ascii="Arial"/>
                <w:sz w:val="20"/>
              </w:rPr>
            </w:r>
          </w:p>
        </w:tc>
        <w:tc>
          <w:tcPr>
            <w:tcW w:w="1832"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黑体" w:hAnsi="黑体" w:cs="黑体" w:eastAsia="黑体" w:hint="default"/>
          <w:sz w:val="29"/>
          <w:szCs w:val="29"/>
        </w:rPr>
      </w:pPr>
    </w:p>
    <w:p>
      <w:pPr>
        <w:pStyle w:val="BodyText"/>
        <w:spacing w:line="258" w:lineRule="exact" w:before="37"/>
        <w:ind w:left="849" w:right="0"/>
        <w:jc w:val="left"/>
      </w:pP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日，本集团无已计提坏账准备的重大应收账款转回、转销或收回</w:t>
      </w:r>
      <w:r>
        <w:rPr>
          <w:rFonts w:ascii="Arial" w:hAnsi="Arial" w:cs="Arial" w:eastAsia="Arial" w:hint="default"/>
        </w:rPr>
        <w:t>(2011</w:t>
      </w:r>
      <w:r>
        <w:rPr/>
        <w:t>年</w:t>
      </w:r>
    </w:p>
    <w:p>
      <w:pPr>
        <w:pStyle w:val="BodyText"/>
        <w:spacing w:line="258" w:lineRule="exact"/>
        <w:ind w:left="861" w:right="934"/>
        <w:jc w:val="left"/>
      </w:pP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w:t>
      </w:r>
    </w:p>
    <w:p>
      <w:pPr>
        <w:spacing w:after="0" w:line="258" w:lineRule="exact"/>
        <w:jc w:val="left"/>
        <w:sectPr>
          <w:pgSz w:w="11910" w:h="16850"/>
          <w:pgMar w:header="957" w:footer="468" w:top="2640" w:bottom="660" w:left="1560" w:right="1260"/>
        </w:sectPr>
      </w:pPr>
    </w:p>
    <w:p>
      <w:pPr>
        <w:spacing w:line="240" w:lineRule="auto" w:before="5"/>
        <w:rPr>
          <w:rFonts w:ascii="黑体" w:hAnsi="黑体" w:cs="黑体" w:eastAsia="黑体" w:hint="default"/>
          <w:sz w:val="16"/>
          <w:szCs w:val="16"/>
        </w:rPr>
      </w:pPr>
    </w:p>
    <w:p>
      <w:pPr>
        <w:pStyle w:val="Heading6"/>
        <w:tabs>
          <w:tab w:pos="844" w:val="left" w:leader="none"/>
        </w:tabs>
        <w:spacing w:line="240" w:lineRule="auto"/>
        <w:ind w:left="141" w:right="2891"/>
        <w:jc w:val="left"/>
        <w:rPr>
          <w:b w:val="0"/>
          <w:bCs w:val="0"/>
        </w:rPr>
      </w:pPr>
      <w:r>
        <w:rPr>
          <w:w w:val="95"/>
        </w:rPr>
        <w:t>五、</w:t>
        <w:tab/>
      </w:r>
      <w:bookmarkStart w:name="五、   合并财务报表主要项目注释（续）" w:id="65"/>
      <w:bookmarkEnd w:id="65"/>
      <w:r>
        <w:rPr/>
        <w:t>合并</w:t>
      </w:r>
      <w:r>
        <w:rPr/>
        <w:t>财务报表主要项目注释（续）</w:t>
      </w:r>
      <w:r>
        <w:rPr>
          <w:b w:val="0"/>
          <w:bCs w:val="0"/>
        </w:rPr>
      </w:r>
    </w:p>
    <w:p>
      <w:pPr>
        <w:spacing w:line="240" w:lineRule="auto" w:before="9"/>
        <w:rPr>
          <w:rFonts w:ascii="黑体" w:hAnsi="黑体" w:cs="黑体" w:eastAsia="黑体" w:hint="default"/>
          <w:b/>
          <w:bCs/>
          <w:sz w:val="18"/>
          <w:szCs w:val="18"/>
        </w:rPr>
      </w:pPr>
    </w:p>
    <w:p>
      <w:pPr>
        <w:pStyle w:val="Heading6"/>
        <w:tabs>
          <w:tab w:pos="878" w:val="left" w:leader="none"/>
        </w:tabs>
        <w:spacing w:line="240" w:lineRule="auto" w:before="0"/>
        <w:ind w:left="127" w:right="2891"/>
        <w:jc w:val="left"/>
        <w:rPr>
          <w:b w:val="0"/>
          <w:bCs w:val="0"/>
        </w:rPr>
      </w:pPr>
      <w:r>
        <w:rPr>
          <w:rFonts w:ascii="Arial" w:hAnsi="Arial" w:cs="Arial" w:eastAsia="Arial" w:hint="default"/>
          <w:spacing w:val="-1"/>
        </w:rPr>
        <w:t>3.</w:t>
        <w:tab/>
      </w:r>
      <w:r>
        <w:rPr>
          <w:spacing w:val="1"/>
        </w:rPr>
        <w:t>应收账款</w:t>
      </w:r>
      <w:bookmarkStart w:name="3.     应收账款（续）" w:id="66"/>
      <w:bookmarkEnd w:id="66"/>
      <w:r>
        <w:rPr>
          <w:spacing w:val="1"/>
        </w:rPr>
        <w:t>（续）</w:t>
      </w:r>
      <w:r>
        <w:rPr>
          <w:b w:val="0"/>
          <w:bCs w:val="0"/>
        </w:rPr>
      </w:r>
    </w:p>
    <w:p>
      <w:pPr>
        <w:spacing w:line="240" w:lineRule="auto" w:before="5"/>
        <w:rPr>
          <w:rFonts w:ascii="黑体" w:hAnsi="黑体" w:cs="黑体" w:eastAsia="黑体" w:hint="default"/>
          <w:b/>
          <w:bCs/>
          <w:sz w:val="20"/>
          <w:szCs w:val="20"/>
        </w:rPr>
      </w:pPr>
    </w:p>
    <w:p>
      <w:pPr>
        <w:pStyle w:val="BodyText"/>
        <w:spacing w:line="244" w:lineRule="auto"/>
        <w:ind w:left="861" w:right="0"/>
        <w:jc w:val="left"/>
      </w:pPr>
      <w:r>
        <w:rPr>
          <w:w w:val="95"/>
        </w:rPr>
        <w:t>于</w:t>
      </w:r>
      <w:r>
        <w:rPr>
          <w:rFonts w:ascii="Arial" w:hAnsi="Arial" w:cs="Arial" w:eastAsia="Arial" w:hint="default"/>
          <w:w w:val="95"/>
        </w:rPr>
        <w:t>2012</w:t>
      </w:r>
      <w:r>
        <w:rPr>
          <w:w w:val="95"/>
        </w:rPr>
        <w:t>年</w:t>
      </w:r>
      <w:r>
        <w:rPr>
          <w:rFonts w:ascii="Arial" w:hAnsi="Arial" w:cs="Arial" w:eastAsia="Arial" w:hint="default"/>
          <w:w w:val="95"/>
        </w:rPr>
        <w:t>12</w:t>
      </w:r>
      <w:r>
        <w:rPr>
          <w:w w:val="95"/>
        </w:rPr>
        <w:t>月</w:t>
      </w:r>
      <w:r>
        <w:rPr>
          <w:rFonts w:ascii="Arial" w:hAnsi="Arial" w:cs="Arial" w:eastAsia="Arial" w:hint="default"/>
          <w:w w:val="95"/>
        </w:rPr>
        <w:t>31</w:t>
      </w:r>
      <w:r>
        <w:rPr>
          <w:w w:val="95"/>
        </w:rPr>
        <w:t>日，本集团中无持有本公司</w:t>
      </w:r>
      <w:r>
        <w:rPr>
          <w:rFonts w:ascii="Arial" w:hAnsi="Arial" w:cs="Arial" w:eastAsia="Arial" w:hint="default"/>
          <w:w w:val="95"/>
        </w:rPr>
        <w:t>5%(</w:t>
      </w:r>
      <w:r>
        <w:rPr>
          <w:w w:val="95"/>
        </w:rPr>
        <w:t>含</w:t>
      </w:r>
      <w:r>
        <w:rPr>
          <w:rFonts w:ascii="Arial" w:hAnsi="Arial" w:cs="Arial" w:eastAsia="Arial" w:hint="default"/>
          <w:w w:val="95"/>
        </w:rPr>
        <w:t>5%)</w:t>
      </w:r>
      <w:r>
        <w:rPr>
          <w:w w:val="95"/>
        </w:rPr>
        <w:t>以上表决权股份的股东单位的应收</w:t>
      </w:r>
      <w:r>
        <w:rPr>
          <w:spacing w:val="75"/>
          <w:w w:val="95"/>
        </w:rPr>
        <w:t> </w:t>
      </w:r>
      <w:r>
        <w:rPr>
          <w:spacing w:val="75"/>
          <w:w w:val="95"/>
        </w:rPr>
      </w:r>
      <w:r>
        <w:rPr/>
        <w:t>账款</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w:t>
      </w:r>
    </w:p>
    <w:p>
      <w:pPr>
        <w:spacing w:line="240" w:lineRule="auto" w:before="4"/>
        <w:rPr>
          <w:rFonts w:ascii="黑体" w:hAnsi="黑体" w:cs="黑体" w:eastAsia="黑体" w:hint="default"/>
          <w:sz w:val="21"/>
          <w:szCs w:val="21"/>
        </w:rPr>
      </w:pPr>
    </w:p>
    <w:p>
      <w:pPr>
        <w:pStyle w:val="BodyText"/>
        <w:spacing w:line="240" w:lineRule="auto"/>
        <w:ind w:left="861" w:right="2891"/>
        <w:jc w:val="left"/>
      </w:pP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日，应收账款金额前五名如下：</w:t>
      </w:r>
    </w:p>
    <w:p>
      <w:pPr>
        <w:spacing w:line="240" w:lineRule="auto" w:before="7"/>
        <w:rPr>
          <w:rFonts w:ascii="黑体" w:hAnsi="黑体" w:cs="黑体" w:eastAsia="黑体" w:hint="default"/>
          <w:sz w:val="26"/>
          <w:szCs w:val="26"/>
        </w:rPr>
      </w:pPr>
    </w:p>
    <w:tbl>
      <w:tblPr>
        <w:tblW w:w="0" w:type="auto"/>
        <w:jc w:val="left"/>
        <w:tblInd w:w="649" w:type="dxa"/>
        <w:tblLayout w:type="fixed"/>
        <w:tblCellMar>
          <w:top w:w="0" w:type="dxa"/>
          <w:left w:w="0" w:type="dxa"/>
          <w:bottom w:w="0" w:type="dxa"/>
          <w:right w:w="0" w:type="dxa"/>
        </w:tblCellMar>
        <w:tblLook w:val="01E0"/>
      </w:tblPr>
      <w:tblGrid>
        <w:gridCol w:w="1712"/>
        <w:gridCol w:w="1946"/>
        <w:gridCol w:w="1252"/>
        <w:gridCol w:w="1633"/>
        <w:gridCol w:w="1633"/>
      </w:tblGrid>
      <w:tr>
        <w:trPr>
          <w:trHeight w:val="239" w:hRule="exact"/>
        </w:trPr>
        <w:tc>
          <w:tcPr>
            <w:tcW w:w="1712" w:type="dxa"/>
            <w:tcBorders>
              <w:top w:val="nil" w:sz="6" w:space="0" w:color="auto"/>
              <w:left w:val="nil" w:sz="6" w:space="0" w:color="auto"/>
              <w:bottom w:val="nil" w:sz="6" w:space="0" w:color="auto"/>
              <w:right w:val="nil" w:sz="6" w:space="0" w:color="auto"/>
            </w:tcBorders>
          </w:tcPr>
          <w:p>
            <w:pPr/>
          </w:p>
        </w:tc>
        <w:tc>
          <w:tcPr>
            <w:tcW w:w="1946" w:type="dxa"/>
            <w:tcBorders>
              <w:top w:val="nil" w:sz="6" w:space="0" w:color="auto"/>
              <w:left w:val="nil" w:sz="6" w:space="0" w:color="auto"/>
              <w:bottom w:val="nil" w:sz="6" w:space="0" w:color="auto"/>
              <w:right w:val="nil" w:sz="6" w:space="0" w:color="auto"/>
            </w:tcBorders>
          </w:tcPr>
          <w:p>
            <w:pPr>
              <w:pStyle w:val="TableParagraph"/>
              <w:spacing w:line="199" w:lineRule="exact"/>
              <w:ind w:right="199"/>
              <w:jc w:val="right"/>
              <w:rPr>
                <w:rFonts w:ascii="黑体" w:hAnsi="黑体" w:cs="黑体" w:eastAsia="黑体" w:hint="default"/>
                <w:sz w:val="20"/>
                <w:szCs w:val="20"/>
              </w:rPr>
            </w:pPr>
            <w:r>
              <w:rPr>
                <w:rFonts w:ascii="黑体" w:hAnsi="黑体" w:cs="黑体" w:eastAsia="黑体" w:hint="default"/>
                <w:w w:val="95"/>
                <w:sz w:val="20"/>
                <w:szCs w:val="20"/>
              </w:rPr>
              <w:t>与本集团关系</w:t>
            </w:r>
            <w:r>
              <w:rPr>
                <w:rFonts w:ascii="黑体" w:hAnsi="黑体" w:cs="黑体" w:eastAsia="黑体" w:hint="default"/>
                <w:sz w:val="20"/>
                <w:szCs w:val="20"/>
              </w:rPr>
            </w:r>
          </w:p>
        </w:tc>
        <w:tc>
          <w:tcPr>
            <w:tcW w:w="1252" w:type="dxa"/>
            <w:tcBorders>
              <w:top w:val="nil" w:sz="6" w:space="0" w:color="auto"/>
              <w:left w:val="nil" w:sz="6" w:space="0" w:color="auto"/>
              <w:bottom w:val="nil" w:sz="6" w:space="0" w:color="auto"/>
              <w:right w:val="nil" w:sz="6" w:space="0" w:color="auto"/>
            </w:tcBorders>
          </w:tcPr>
          <w:p>
            <w:pPr>
              <w:pStyle w:val="TableParagraph"/>
              <w:spacing w:line="199" w:lineRule="exact"/>
              <w:ind w:right="49"/>
              <w:jc w:val="right"/>
              <w:rPr>
                <w:rFonts w:ascii="黑体" w:hAnsi="黑体" w:cs="黑体" w:eastAsia="黑体" w:hint="default"/>
                <w:sz w:val="20"/>
                <w:szCs w:val="20"/>
              </w:rPr>
            </w:pPr>
            <w:r>
              <w:rPr>
                <w:rFonts w:ascii="黑体" w:hAnsi="黑体" w:cs="黑体" w:eastAsia="黑体" w:hint="default"/>
                <w:w w:val="95"/>
                <w:sz w:val="20"/>
                <w:szCs w:val="20"/>
              </w:rPr>
              <w:t>金额</w:t>
            </w:r>
            <w:r>
              <w:rPr>
                <w:rFonts w:ascii="黑体" w:hAnsi="黑体" w:cs="黑体" w:eastAsia="黑体" w:hint="default"/>
                <w:sz w:val="20"/>
                <w:szCs w:val="20"/>
              </w:rPr>
            </w:r>
          </w:p>
        </w:tc>
        <w:tc>
          <w:tcPr>
            <w:tcW w:w="1633" w:type="dxa"/>
            <w:tcBorders>
              <w:top w:val="nil" w:sz="6" w:space="0" w:color="auto"/>
              <w:left w:val="nil" w:sz="6" w:space="0" w:color="auto"/>
              <w:bottom w:val="nil" w:sz="6" w:space="0" w:color="auto"/>
              <w:right w:val="nil" w:sz="6" w:space="0" w:color="auto"/>
            </w:tcBorders>
          </w:tcPr>
          <w:p>
            <w:pPr>
              <w:pStyle w:val="TableParagraph"/>
              <w:spacing w:line="199" w:lineRule="exact"/>
              <w:ind w:right="31"/>
              <w:jc w:val="right"/>
              <w:rPr>
                <w:rFonts w:ascii="黑体" w:hAnsi="黑体" w:cs="黑体" w:eastAsia="黑体" w:hint="default"/>
                <w:sz w:val="20"/>
                <w:szCs w:val="20"/>
              </w:rPr>
            </w:pPr>
            <w:r>
              <w:rPr>
                <w:rFonts w:ascii="黑体" w:hAnsi="黑体" w:cs="黑体" w:eastAsia="黑体" w:hint="default"/>
                <w:w w:val="95"/>
                <w:sz w:val="20"/>
                <w:szCs w:val="20"/>
              </w:rPr>
              <w:t>账龄</w:t>
            </w:r>
            <w:r>
              <w:rPr>
                <w:rFonts w:ascii="黑体" w:hAnsi="黑体" w:cs="黑体" w:eastAsia="黑体" w:hint="default"/>
                <w:sz w:val="20"/>
                <w:szCs w:val="20"/>
              </w:rPr>
            </w:r>
          </w:p>
        </w:tc>
        <w:tc>
          <w:tcPr>
            <w:tcW w:w="1633" w:type="dxa"/>
            <w:tcBorders>
              <w:top w:val="nil" w:sz="6" w:space="0" w:color="auto"/>
              <w:left w:val="nil" w:sz="6" w:space="0" w:color="auto"/>
              <w:bottom w:val="nil" w:sz="6" w:space="0" w:color="auto"/>
              <w:right w:val="nil" w:sz="6" w:space="0" w:color="auto"/>
            </w:tcBorders>
          </w:tcPr>
          <w:p>
            <w:pPr>
              <w:pStyle w:val="TableParagraph"/>
              <w:spacing w:line="199" w:lineRule="exact"/>
              <w:ind w:right="200"/>
              <w:jc w:val="right"/>
              <w:rPr>
                <w:rFonts w:ascii="黑体" w:hAnsi="黑体" w:cs="黑体" w:eastAsia="黑体" w:hint="default"/>
                <w:sz w:val="20"/>
                <w:szCs w:val="20"/>
              </w:rPr>
            </w:pPr>
            <w:r>
              <w:rPr>
                <w:rFonts w:ascii="黑体" w:hAnsi="黑体" w:cs="黑体" w:eastAsia="黑体" w:hint="default"/>
                <w:w w:val="95"/>
                <w:sz w:val="20"/>
                <w:szCs w:val="20"/>
              </w:rPr>
              <w:t>占应收账款总额</w:t>
            </w:r>
            <w:r>
              <w:rPr>
                <w:rFonts w:ascii="黑体" w:hAnsi="黑体" w:cs="黑体" w:eastAsia="黑体" w:hint="default"/>
                <w:sz w:val="20"/>
                <w:szCs w:val="20"/>
              </w:rPr>
            </w:r>
          </w:p>
        </w:tc>
      </w:tr>
      <w:tr>
        <w:trPr>
          <w:trHeight w:val="436" w:hRule="exact"/>
        </w:trPr>
        <w:tc>
          <w:tcPr>
            <w:tcW w:w="1712" w:type="dxa"/>
            <w:tcBorders>
              <w:top w:val="nil" w:sz="6" w:space="0" w:color="auto"/>
              <w:left w:val="nil" w:sz="6" w:space="0" w:color="auto"/>
              <w:bottom w:val="nil" w:sz="6" w:space="0" w:color="auto"/>
              <w:right w:val="nil" w:sz="6" w:space="0" w:color="auto"/>
            </w:tcBorders>
          </w:tcPr>
          <w:p>
            <w:pPr/>
          </w:p>
        </w:tc>
        <w:tc>
          <w:tcPr>
            <w:tcW w:w="1946"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
        </w:tc>
        <w:tc>
          <w:tcPr>
            <w:tcW w:w="1633" w:type="dxa"/>
            <w:tcBorders>
              <w:top w:val="nil" w:sz="6" w:space="0" w:color="auto"/>
              <w:left w:val="nil" w:sz="6" w:space="0" w:color="auto"/>
              <w:bottom w:val="nil" w:sz="6" w:space="0" w:color="auto"/>
              <w:right w:val="nil" w:sz="6" w:space="0" w:color="auto"/>
            </w:tcBorders>
          </w:tcPr>
          <w:p>
            <w:pPr/>
          </w:p>
        </w:tc>
        <w:tc>
          <w:tcPr>
            <w:tcW w:w="1633" w:type="dxa"/>
            <w:tcBorders>
              <w:top w:val="nil" w:sz="6" w:space="0" w:color="auto"/>
              <w:left w:val="nil" w:sz="6" w:space="0" w:color="auto"/>
              <w:bottom w:val="nil" w:sz="6" w:space="0" w:color="auto"/>
              <w:right w:val="nil" w:sz="6" w:space="0" w:color="auto"/>
            </w:tcBorders>
          </w:tcPr>
          <w:p>
            <w:pPr>
              <w:pStyle w:val="TableParagraph"/>
              <w:spacing w:line="253" w:lineRule="exact"/>
              <w:ind w:right="201"/>
              <w:jc w:val="right"/>
              <w:rPr>
                <w:rFonts w:ascii="Arial" w:hAnsi="Arial" w:cs="Arial" w:eastAsia="Arial" w:hint="default"/>
                <w:sz w:val="20"/>
                <w:szCs w:val="20"/>
              </w:rPr>
            </w:pPr>
            <w:r>
              <w:rPr>
                <w:rFonts w:ascii="黑体" w:hAnsi="黑体" w:cs="黑体" w:eastAsia="黑体" w:hint="default"/>
                <w:w w:val="95"/>
                <w:sz w:val="20"/>
                <w:szCs w:val="20"/>
              </w:rPr>
              <w:t>的比例</w:t>
            </w:r>
            <w:r>
              <w:rPr>
                <w:rFonts w:ascii="Arial" w:hAnsi="Arial" w:cs="Arial" w:eastAsia="Arial" w:hint="default"/>
                <w:w w:val="95"/>
                <w:sz w:val="20"/>
                <w:szCs w:val="20"/>
              </w:rPr>
              <w:t>(%)</w:t>
            </w:r>
            <w:r>
              <w:rPr>
                <w:rFonts w:ascii="Arial" w:hAnsi="Arial" w:cs="Arial" w:eastAsia="Arial" w:hint="default"/>
                <w:sz w:val="20"/>
                <w:szCs w:val="20"/>
              </w:rPr>
            </w:r>
          </w:p>
        </w:tc>
      </w:tr>
      <w:tr>
        <w:trPr>
          <w:trHeight w:val="431" w:hRule="exact"/>
        </w:trPr>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200" w:right="0"/>
              <w:jc w:val="left"/>
              <w:rPr>
                <w:rFonts w:ascii="Arial" w:hAnsi="Arial" w:cs="Arial" w:eastAsia="Arial" w:hint="default"/>
                <w:sz w:val="20"/>
                <w:szCs w:val="20"/>
              </w:rPr>
            </w:pPr>
            <w:r>
              <w:rPr>
                <w:rFonts w:ascii="黑体" w:hAnsi="黑体" w:cs="黑体" w:eastAsia="黑体" w:hint="default"/>
                <w:sz w:val="20"/>
                <w:szCs w:val="20"/>
              </w:rPr>
              <w:t>单位</w:t>
            </w:r>
            <w:r>
              <w:rPr>
                <w:rFonts w:ascii="黑体" w:hAnsi="黑体" w:cs="黑体" w:eastAsia="黑体" w:hint="default"/>
                <w:spacing w:val="-53"/>
                <w:sz w:val="20"/>
                <w:szCs w:val="20"/>
              </w:rPr>
              <w:t> </w:t>
            </w:r>
            <w:r>
              <w:rPr>
                <w:rFonts w:ascii="Arial" w:hAnsi="Arial" w:cs="Arial" w:eastAsia="Arial" w:hint="default"/>
                <w:sz w:val="20"/>
                <w:szCs w:val="20"/>
              </w:rPr>
              <w:t>1</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99"/>
              <w:jc w:val="right"/>
              <w:rPr>
                <w:rFonts w:ascii="黑体" w:hAnsi="黑体" w:cs="黑体" w:eastAsia="黑体" w:hint="default"/>
                <w:sz w:val="20"/>
                <w:szCs w:val="20"/>
              </w:rPr>
            </w:pPr>
            <w:r>
              <w:rPr>
                <w:rFonts w:ascii="黑体" w:hAnsi="黑体" w:cs="黑体" w:eastAsia="黑体" w:hint="default"/>
                <w:w w:val="95"/>
                <w:sz w:val="20"/>
                <w:szCs w:val="20"/>
              </w:rPr>
              <w:t>非关联方</w:t>
            </w:r>
            <w:r>
              <w:rPr>
                <w:rFonts w:ascii="黑体" w:hAnsi="黑体" w:cs="黑体" w:eastAsia="黑体" w:hint="default"/>
                <w:sz w:val="20"/>
                <w:szCs w:val="20"/>
              </w:rPr>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50"/>
              <w:jc w:val="right"/>
              <w:rPr>
                <w:rFonts w:ascii="Arial" w:hAnsi="Arial" w:cs="Arial" w:eastAsia="Arial" w:hint="default"/>
                <w:sz w:val="20"/>
                <w:szCs w:val="20"/>
              </w:rPr>
            </w:pPr>
            <w:r>
              <w:rPr>
                <w:rFonts w:ascii="Arial"/>
                <w:spacing w:val="-1"/>
                <w:sz w:val="20"/>
              </w:rPr>
              <w:t>14,269,804</w:t>
            </w:r>
            <w:r>
              <w:rPr>
                <w:rFonts w:ascii="Arial"/>
                <w:sz w:val="20"/>
              </w:rPr>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1"/>
              <w:jc w:val="righ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9"/>
                <w:sz w:val="20"/>
                <w:szCs w:val="20"/>
              </w:rPr>
              <w:t> </w:t>
            </w:r>
            <w:r>
              <w:rPr>
                <w:rFonts w:ascii="黑体" w:hAnsi="黑体" w:cs="黑体" w:eastAsia="黑体" w:hint="default"/>
                <w:sz w:val="20"/>
                <w:szCs w:val="20"/>
              </w:rPr>
              <w:t>年以内</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170"/>
              <w:ind w:right="198"/>
              <w:jc w:val="right"/>
              <w:rPr>
                <w:rFonts w:ascii="Arial" w:hAnsi="Arial" w:cs="Arial" w:eastAsia="Arial" w:hint="default"/>
                <w:sz w:val="20"/>
                <w:szCs w:val="20"/>
              </w:rPr>
            </w:pPr>
            <w:r>
              <w:rPr>
                <w:rFonts w:ascii="Arial"/>
                <w:w w:val="99"/>
                <w:sz w:val="20"/>
              </w:rPr>
              <w:t>1</w:t>
            </w:r>
            <w:r>
              <w:rPr>
                <w:rFonts w:ascii="Arial"/>
                <w:sz w:val="20"/>
              </w:rPr>
            </w:r>
          </w:p>
        </w:tc>
      </w:tr>
      <w:tr>
        <w:trPr>
          <w:trHeight w:val="280" w:hRule="exact"/>
        </w:trPr>
        <w:tc>
          <w:tcPr>
            <w:tcW w:w="1712" w:type="dxa"/>
            <w:tcBorders>
              <w:top w:val="nil" w:sz="6" w:space="0" w:color="auto"/>
              <w:left w:val="nil" w:sz="6" w:space="0" w:color="auto"/>
              <w:bottom w:val="nil" w:sz="6" w:space="0" w:color="auto"/>
              <w:right w:val="nil" w:sz="6" w:space="0" w:color="auto"/>
            </w:tcBorders>
          </w:tcPr>
          <w:p>
            <w:pPr>
              <w:pStyle w:val="TableParagraph"/>
              <w:spacing w:line="248" w:lineRule="exact"/>
              <w:ind w:left="200" w:right="0"/>
              <w:jc w:val="left"/>
              <w:rPr>
                <w:rFonts w:ascii="Arial" w:hAnsi="Arial" w:cs="Arial" w:eastAsia="Arial" w:hint="default"/>
                <w:sz w:val="20"/>
                <w:szCs w:val="20"/>
              </w:rPr>
            </w:pPr>
            <w:r>
              <w:rPr>
                <w:rFonts w:ascii="黑体" w:hAnsi="黑体" w:cs="黑体" w:eastAsia="黑体" w:hint="default"/>
                <w:sz w:val="20"/>
                <w:szCs w:val="20"/>
              </w:rPr>
              <w:t>单位</w:t>
            </w:r>
            <w:r>
              <w:rPr>
                <w:rFonts w:ascii="黑体" w:hAnsi="黑体" w:cs="黑体" w:eastAsia="黑体" w:hint="default"/>
                <w:spacing w:val="-53"/>
                <w:sz w:val="20"/>
                <w:szCs w:val="20"/>
              </w:rPr>
              <w:t> </w:t>
            </w:r>
            <w:r>
              <w:rPr>
                <w:rFonts w:ascii="Arial" w:hAnsi="Arial" w:cs="Arial" w:eastAsia="Arial" w:hint="default"/>
                <w:sz w:val="20"/>
                <w:szCs w:val="20"/>
              </w:rPr>
              <w:t>2</w:t>
            </w:r>
          </w:p>
        </w:tc>
        <w:tc>
          <w:tcPr>
            <w:tcW w:w="1946" w:type="dxa"/>
            <w:tcBorders>
              <w:top w:val="nil" w:sz="6" w:space="0" w:color="auto"/>
              <w:left w:val="nil" w:sz="6" w:space="0" w:color="auto"/>
              <w:bottom w:val="nil" w:sz="6" w:space="0" w:color="auto"/>
              <w:right w:val="nil" w:sz="6" w:space="0" w:color="auto"/>
            </w:tcBorders>
          </w:tcPr>
          <w:p>
            <w:pPr>
              <w:pStyle w:val="TableParagraph"/>
              <w:spacing w:line="234" w:lineRule="exact"/>
              <w:ind w:right="199"/>
              <w:jc w:val="right"/>
              <w:rPr>
                <w:rFonts w:ascii="黑体" w:hAnsi="黑体" w:cs="黑体" w:eastAsia="黑体" w:hint="default"/>
                <w:sz w:val="20"/>
                <w:szCs w:val="20"/>
              </w:rPr>
            </w:pPr>
            <w:r>
              <w:rPr>
                <w:rFonts w:ascii="黑体" w:hAnsi="黑体" w:cs="黑体" w:eastAsia="黑体" w:hint="default"/>
                <w:w w:val="95"/>
                <w:sz w:val="20"/>
                <w:szCs w:val="20"/>
              </w:rPr>
              <w:t>非关联方</w:t>
            </w:r>
            <w:r>
              <w:rPr>
                <w:rFonts w:ascii="黑体" w:hAnsi="黑体" w:cs="黑体" w:eastAsia="黑体" w:hint="default"/>
                <w:sz w:val="20"/>
                <w:szCs w:val="20"/>
              </w:rPr>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0"/>
              <w:jc w:val="right"/>
              <w:rPr>
                <w:rFonts w:ascii="Arial" w:hAnsi="Arial" w:cs="Arial" w:eastAsia="Arial" w:hint="default"/>
                <w:sz w:val="20"/>
                <w:szCs w:val="20"/>
              </w:rPr>
            </w:pPr>
            <w:r>
              <w:rPr>
                <w:rFonts w:ascii="Arial"/>
                <w:spacing w:val="-1"/>
                <w:sz w:val="20"/>
              </w:rPr>
              <w:t>12,487,009</w:t>
            </w:r>
            <w:r>
              <w:rPr>
                <w:rFonts w:ascii="Arial"/>
                <w:sz w:val="20"/>
              </w:rPr>
            </w:r>
          </w:p>
        </w:tc>
        <w:tc>
          <w:tcPr>
            <w:tcW w:w="1633" w:type="dxa"/>
            <w:tcBorders>
              <w:top w:val="nil" w:sz="6" w:space="0" w:color="auto"/>
              <w:left w:val="nil" w:sz="6" w:space="0" w:color="auto"/>
              <w:bottom w:val="nil" w:sz="6" w:space="0" w:color="auto"/>
              <w:right w:val="nil" w:sz="6" w:space="0" w:color="auto"/>
            </w:tcBorders>
          </w:tcPr>
          <w:p>
            <w:pPr>
              <w:pStyle w:val="TableParagraph"/>
              <w:spacing w:line="248" w:lineRule="exact"/>
              <w:ind w:right="31"/>
              <w:jc w:val="righ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9"/>
                <w:sz w:val="20"/>
                <w:szCs w:val="20"/>
              </w:rPr>
              <w:t> </w:t>
            </w:r>
            <w:r>
              <w:rPr>
                <w:rFonts w:ascii="黑体" w:hAnsi="黑体" w:cs="黑体" w:eastAsia="黑体" w:hint="default"/>
                <w:sz w:val="20"/>
                <w:szCs w:val="20"/>
              </w:rPr>
              <w:t>年以内及</w:t>
            </w:r>
            <w:r>
              <w:rPr>
                <w:rFonts w:ascii="黑体" w:hAnsi="黑体" w:cs="黑体" w:eastAsia="黑体" w:hint="default"/>
                <w:spacing w:val="-51"/>
                <w:sz w:val="20"/>
                <w:szCs w:val="20"/>
              </w:rPr>
              <w:t> </w:t>
            </w:r>
            <w:r>
              <w:rPr>
                <w:rFonts w:ascii="Arial" w:hAnsi="Arial" w:cs="Arial" w:eastAsia="Arial" w:hint="default"/>
                <w:sz w:val="20"/>
                <w:szCs w:val="20"/>
              </w:rPr>
              <w:t>1-2</w:t>
            </w:r>
            <w:r>
              <w:rPr>
                <w:rFonts w:ascii="Arial" w:hAnsi="Arial" w:cs="Arial" w:eastAsia="Arial" w:hint="default"/>
                <w:spacing w:val="-9"/>
                <w:sz w:val="20"/>
                <w:szCs w:val="20"/>
              </w:rPr>
              <w:t> </w:t>
            </w:r>
            <w:r>
              <w:rPr>
                <w:rFonts w:ascii="黑体" w:hAnsi="黑体" w:cs="黑体" w:eastAsia="黑体" w:hint="default"/>
                <w:sz w:val="20"/>
                <w:szCs w:val="20"/>
              </w:rPr>
              <w:t>年</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0"/>
                <w:szCs w:val="20"/>
              </w:rPr>
            </w:pPr>
            <w:r>
              <w:rPr>
                <w:rFonts w:ascii="Arial"/>
                <w:w w:val="99"/>
                <w:sz w:val="20"/>
              </w:rPr>
              <w:t>1</w:t>
            </w:r>
            <w:r>
              <w:rPr>
                <w:rFonts w:ascii="Arial"/>
                <w:sz w:val="20"/>
              </w:rPr>
            </w:r>
          </w:p>
        </w:tc>
      </w:tr>
      <w:tr>
        <w:trPr>
          <w:trHeight w:val="281" w:hRule="exact"/>
        </w:trPr>
        <w:tc>
          <w:tcPr>
            <w:tcW w:w="1712" w:type="dxa"/>
            <w:tcBorders>
              <w:top w:val="nil" w:sz="6" w:space="0" w:color="auto"/>
              <w:left w:val="nil" w:sz="6" w:space="0" w:color="auto"/>
              <w:bottom w:val="nil" w:sz="6" w:space="0" w:color="auto"/>
              <w:right w:val="nil" w:sz="6" w:space="0" w:color="auto"/>
            </w:tcBorders>
          </w:tcPr>
          <w:p>
            <w:pPr>
              <w:pStyle w:val="TableParagraph"/>
              <w:spacing w:line="249" w:lineRule="exact"/>
              <w:ind w:left="200" w:right="0"/>
              <w:jc w:val="left"/>
              <w:rPr>
                <w:rFonts w:ascii="Arial" w:hAnsi="Arial" w:cs="Arial" w:eastAsia="Arial" w:hint="default"/>
                <w:sz w:val="20"/>
                <w:szCs w:val="20"/>
              </w:rPr>
            </w:pPr>
            <w:r>
              <w:rPr>
                <w:rFonts w:ascii="黑体" w:hAnsi="黑体" w:cs="黑体" w:eastAsia="黑体" w:hint="default"/>
                <w:sz w:val="20"/>
                <w:szCs w:val="20"/>
              </w:rPr>
              <w:t>单位</w:t>
            </w:r>
            <w:r>
              <w:rPr>
                <w:rFonts w:ascii="黑体" w:hAnsi="黑体" w:cs="黑体" w:eastAsia="黑体" w:hint="default"/>
                <w:spacing w:val="-53"/>
                <w:sz w:val="20"/>
                <w:szCs w:val="20"/>
              </w:rPr>
              <w:t> </w:t>
            </w:r>
            <w:r>
              <w:rPr>
                <w:rFonts w:ascii="Arial" w:hAnsi="Arial" w:cs="Arial" w:eastAsia="Arial" w:hint="default"/>
                <w:sz w:val="20"/>
                <w:szCs w:val="20"/>
              </w:rPr>
              <w:t>3</w:t>
            </w:r>
          </w:p>
        </w:tc>
        <w:tc>
          <w:tcPr>
            <w:tcW w:w="1946" w:type="dxa"/>
            <w:tcBorders>
              <w:top w:val="nil" w:sz="6" w:space="0" w:color="auto"/>
              <w:left w:val="nil" w:sz="6" w:space="0" w:color="auto"/>
              <w:bottom w:val="nil" w:sz="6" w:space="0" w:color="auto"/>
              <w:right w:val="nil" w:sz="6" w:space="0" w:color="auto"/>
            </w:tcBorders>
          </w:tcPr>
          <w:p>
            <w:pPr>
              <w:pStyle w:val="TableParagraph"/>
              <w:spacing w:line="235" w:lineRule="exact"/>
              <w:ind w:right="199"/>
              <w:jc w:val="right"/>
              <w:rPr>
                <w:rFonts w:ascii="黑体" w:hAnsi="黑体" w:cs="黑体" w:eastAsia="黑体" w:hint="default"/>
                <w:sz w:val="20"/>
                <w:szCs w:val="20"/>
              </w:rPr>
            </w:pPr>
            <w:r>
              <w:rPr>
                <w:rFonts w:ascii="黑体" w:hAnsi="黑体" w:cs="黑体" w:eastAsia="黑体" w:hint="default"/>
                <w:w w:val="95"/>
                <w:sz w:val="20"/>
                <w:szCs w:val="20"/>
              </w:rPr>
              <w:t>非关联方</w:t>
            </w:r>
            <w:r>
              <w:rPr>
                <w:rFonts w:ascii="黑体" w:hAnsi="黑体" w:cs="黑体" w:eastAsia="黑体" w:hint="default"/>
                <w:sz w:val="20"/>
                <w:szCs w:val="20"/>
              </w:rPr>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0"/>
              <w:jc w:val="right"/>
              <w:rPr>
                <w:rFonts w:ascii="Arial" w:hAnsi="Arial" w:cs="Arial" w:eastAsia="Arial" w:hint="default"/>
                <w:sz w:val="20"/>
                <w:szCs w:val="20"/>
              </w:rPr>
            </w:pPr>
            <w:r>
              <w:rPr>
                <w:rFonts w:ascii="Arial"/>
                <w:spacing w:val="-1"/>
                <w:sz w:val="20"/>
              </w:rPr>
              <w:t>10,414,157</w:t>
            </w:r>
            <w:r>
              <w:rPr>
                <w:rFonts w:ascii="Arial"/>
                <w:sz w:val="20"/>
              </w:rPr>
            </w:r>
          </w:p>
        </w:tc>
        <w:tc>
          <w:tcPr>
            <w:tcW w:w="1633" w:type="dxa"/>
            <w:tcBorders>
              <w:top w:val="nil" w:sz="6" w:space="0" w:color="auto"/>
              <w:left w:val="nil" w:sz="6" w:space="0" w:color="auto"/>
              <w:bottom w:val="nil" w:sz="6" w:space="0" w:color="auto"/>
              <w:right w:val="nil" w:sz="6" w:space="0" w:color="auto"/>
            </w:tcBorders>
          </w:tcPr>
          <w:p>
            <w:pPr>
              <w:pStyle w:val="TableParagraph"/>
              <w:spacing w:line="249" w:lineRule="exact"/>
              <w:ind w:right="31"/>
              <w:jc w:val="righ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9"/>
                <w:sz w:val="20"/>
                <w:szCs w:val="20"/>
              </w:rPr>
              <w:t> </w:t>
            </w:r>
            <w:r>
              <w:rPr>
                <w:rFonts w:ascii="黑体" w:hAnsi="黑体" w:cs="黑体" w:eastAsia="黑体" w:hint="default"/>
                <w:sz w:val="20"/>
                <w:szCs w:val="20"/>
              </w:rPr>
              <w:t>年以内</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8"/>
              <w:jc w:val="right"/>
              <w:rPr>
                <w:rFonts w:ascii="Arial" w:hAnsi="Arial" w:cs="Arial" w:eastAsia="Arial" w:hint="default"/>
                <w:sz w:val="20"/>
                <w:szCs w:val="20"/>
              </w:rPr>
            </w:pPr>
            <w:r>
              <w:rPr>
                <w:rFonts w:ascii="Arial"/>
                <w:w w:val="99"/>
                <w:sz w:val="20"/>
              </w:rPr>
              <w:t>1</w:t>
            </w:r>
            <w:r>
              <w:rPr>
                <w:rFonts w:ascii="Arial"/>
                <w:sz w:val="20"/>
              </w:rPr>
            </w:r>
          </w:p>
        </w:tc>
      </w:tr>
      <w:tr>
        <w:trPr>
          <w:trHeight w:val="280" w:hRule="exact"/>
        </w:trPr>
        <w:tc>
          <w:tcPr>
            <w:tcW w:w="1712" w:type="dxa"/>
            <w:tcBorders>
              <w:top w:val="nil" w:sz="6" w:space="0" w:color="auto"/>
              <w:left w:val="nil" w:sz="6" w:space="0" w:color="auto"/>
              <w:bottom w:val="nil" w:sz="6" w:space="0" w:color="auto"/>
              <w:right w:val="nil" w:sz="6" w:space="0" w:color="auto"/>
            </w:tcBorders>
          </w:tcPr>
          <w:p>
            <w:pPr>
              <w:pStyle w:val="TableParagraph"/>
              <w:spacing w:line="249" w:lineRule="exact"/>
              <w:ind w:left="200" w:right="0"/>
              <w:jc w:val="left"/>
              <w:rPr>
                <w:rFonts w:ascii="Arial" w:hAnsi="Arial" w:cs="Arial" w:eastAsia="Arial" w:hint="default"/>
                <w:sz w:val="20"/>
                <w:szCs w:val="20"/>
              </w:rPr>
            </w:pPr>
            <w:r>
              <w:rPr>
                <w:rFonts w:ascii="黑体" w:hAnsi="黑体" w:cs="黑体" w:eastAsia="黑体" w:hint="default"/>
                <w:sz w:val="20"/>
                <w:szCs w:val="20"/>
              </w:rPr>
              <w:t>单位</w:t>
            </w:r>
            <w:r>
              <w:rPr>
                <w:rFonts w:ascii="黑体" w:hAnsi="黑体" w:cs="黑体" w:eastAsia="黑体" w:hint="default"/>
                <w:spacing w:val="-53"/>
                <w:sz w:val="20"/>
                <w:szCs w:val="20"/>
              </w:rPr>
              <w:t> </w:t>
            </w:r>
            <w:r>
              <w:rPr>
                <w:rFonts w:ascii="Arial" w:hAnsi="Arial" w:cs="Arial" w:eastAsia="Arial" w:hint="default"/>
                <w:sz w:val="20"/>
                <w:szCs w:val="20"/>
              </w:rPr>
              <w:t>4</w:t>
            </w:r>
          </w:p>
        </w:tc>
        <w:tc>
          <w:tcPr>
            <w:tcW w:w="1946" w:type="dxa"/>
            <w:tcBorders>
              <w:top w:val="nil" w:sz="6" w:space="0" w:color="auto"/>
              <w:left w:val="nil" w:sz="6" w:space="0" w:color="auto"/>
              <w:bottom w:val="nil" w:sz="6" w:space="0" w:color="auto"/>
              <w:right w:val="nil" w:sz="6" w:space="0" w:color="auto"/>
            </w:tcBorders>
          </w:tcPr>
          <w:p>
            <w:pPr>
              <w:pStyle w:val="TableParagraph"/>
              <w:spacing w:line="235" w:lineRule="exact"/>
              <w:ind w:right="199"/>
              <w:jc w:val="right"/>
              <w:rPr>
                <w:rFonts w:ascii="黑体" w:hAnsi="黑体" w:cs="黑体" w:eastAsia="黑体" w:hint="default"/>
                <w:sz w:val="20"/>
                <w:szCs w:val="20"/>
              </w:rPr>
            </w:pPr>
            <w:r>
              <w:rPr>
                <w:rFonts w:ascii="黑体" w:hAnsi="黑体" w:cs="黑体" w:eastAsia="黑体" w:hint="default"/>
                <w:w w:val="95"/>
                <w:sz w:val="20"/>
                <w:szCs w:val="20"/>
              </w:rPr>
              <w:t>非关联方</w:t>
            </w:r>
            <w:r>
              <w:rPr>
                <w:rFonts w:ascii="黑体" w:hAnsi="黑体" w:cs="黑体" w:eastAsia="黑体" w:hint="default"/>
                <w:sz w:val="20"/>
                <w:szCs w:val="20"/>
              </w:rPr>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0"/>
              <w:jc w:val="right"/>
              <w:rPr>
                <w:rFonts w:ascii="Arial" w:hAnsi="Arial" w:cs="Arial" w:eastAsia="Arial" w:hint="default"/>
                <w:sz w:val="20"/>
                <w:szCs w:val="20"/>
              </w:rPr>
            </w:pPr>
            <w:r>
              <w:rPr>
                <w:rFonts w:ascii="Arial"/>
                <w:spacing w:val="-1"/>
                <w:sz w:val="20"/>
              </w:rPr>
              <w:t>10,399,400</w:t>
            </w:r>
            <w:r>
              <w:rPr>
                <w:rFonts w:ascii="Arial"/>
                <w:sz w:val="20"/>
              </w:rPr>
            </w:r>
          </w:p>
        </w:tc>
        <w:tc>
          <w:tcPr>
            <w:tcW w:w="1633" w:type="dxa"/>
            <w:tcBorders>
              <w:top w:val="nil" w:sz="6" w:space="0" w:color="auto"/>
              <w:left w:val="nil" w:sz="6" w:space="0" w:color="auto"/>
              <w:bottom w:val="nil" w:sz="6" w:space="0" w:color="auto"/>
              <w:right w:val="nil" w:sz="6" w:space="0" w:color="auto"/>
            </w:tcBorders>
          </w:tcPr>
          <w:p>
            <w:pPr>
              <w:pStyle w:val="TableParagraph"/>
              <w:spacing w:line="249" w:lineRule="exact"/>
              <w:ind w:right="31"/>
              <w:jc w:val="righ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9"/>
                <w:sz w:val="20"/>
                <w:szCs w:val="20"/>
              </w:rPr>
              <w:t> </w:t>
            </w:r>
            <w:r>
              <w:rPr>
                <w:rFonts w:ascii="黑体" w:hAnsi="黑体" w:cs="黑体" w:eastAsia="黑体" w:hint="default"/>
                <w:sz w:val="20"/>
                <w:szCs w:val="20"/>
              </w:rPr>
              <w:t>年以内</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8"/>
              <w:jc w:val="right"/>
              <w:rPr>
                <w:rFonts w:ascii="Arial" w:hAnsi="Arial" w:cs="Arial" w:eastAsia="Arial" w:hint="default"/>
                <w:sz w:val="20"/>
                <w:szCs w:val="20"/>
              </w:rPr>
            </w:pPr>
            <w:r>
              <w:rPr>
                <w:rFonts w:ascii="Arial"/>
                <w:w w:val="99"/>
                <w:sz w:val="20"/>
              </w:rPr>
              <w:t>1</w:t>
            </w:r>
            <w:r>
              <w:rPr>
                <w:rFonts w:ascii="Arial"/>
                <w:sz w:val="20"/>
              </w:rPr>
            </w:r>
          </w:p>
        </w:tc>
      </w:tr>
      <w:tr>
        <w:trPr>
          <w:trHeight w:val="425" w:hRule="exact"/>
        </w:trPr>
        <w:tc>
          <w:tcPr>
            <w:tcW w:w="1712" w:type="dxa"/>
            <w:tcBorders>
              <w:top w:val="nil" w:sz="6" w:space="0" w:color="auto"/>
              <w:left w:val="nil" w:sz="6" w:space="0" w:color="auto"/>
              <w:bottom w:val="nil" w:sz="6" w:space="0" w:color="auto"/>
              <w:right w:val="nil" w:sz="6" w:space="0" w:color="auto"/>
            </w:tcBorders>
          </w:tcPr>
          <w:p>
            <w:pPr>
              <w:pStyle w:val="TableParagraph"/>
              <w:spacing w:line="248" w:lineRule="exact"/>
              <w:ind w:left="204" w:right="0"/>
              <w:jc w:val="left"/>
              <w:rPr>
                <w:rFonts w:ascii="Arial" w:hAnsi="Arial" w:cs="Arial" w:eastAsia="Arial" w:hint="default"/>
                <w:sz w:val="20"/>
                <w:szCs w:val="20"/>
              </w:rPr>
            </w:pPr>
            <w:r>
              <w:rPr>
                <w:rFonts w:ascii="黑体" w:hAnsi="黑体" w:cs="黑体" w:eastAsia="黑体" w:hint="default"/>
                <w:sz w:val="20"/>
                <w:szCs w:val="20"/>
              </w:rPr>
              <w:t>单位</w:t>
            </w:r>
            <w:r>
              <w:rPr>
                <w:rFonts w:ascii="黑体" w:hAnsi="黑体" w:cs="黑体" w:eastAsia="黑体" w:hint="default"/>
                <w:spacing w:val="-53"/>
                <w:sz w:val="20"/>
                <w:szCs w:val="20"/>
              </w:rPr>
              <w:t> </w:t>
            </w:r>
            <w:r>
              <w:rPr>
                <w:rFonts w:ascii="Arial" w:hAnsi="Arial" w:cs="Arial" w:eastAsia="Arial" w:hint="default"/>
                <w:sz w:val="20"/>
                <w:szCs w:val="20"/>
              </w:rPr>
              <w:t>5</w:t>
            </w:r>
          </w:p>
        </w:tc>
        <w:tc>
          <w:tcPr>
            <w:tcW w:w="1946" w:type="dxa"/>
            <w:tcBorders>
              <w:top w:val="nil" w:sz="6" w:space="0" w:color="auto"/>
              <w:left w:val="nil" w:sz="6" w:space="0" w:color="auto"/>
              <w:bottom w:val="nil" w:sz="6" w:space="0" w:color="auto"/>
              <w:right w:val="nil" w:sz="6" w:space="0" w:color="auto"/>
            </w:tcBorders>
          </w:tcPr>
          <w:p>
            <w:pPr>
              <w:pStyle w:val="TableParagraph"/>
              <w:spacing w:line="234" w:lineRule="exact"/>
              <w:ind w:right="199"/>
              <w:jc w:val="right"/>
              <w:rPr>
                <w:rFonts w:ascii="黑体" w:hAnsi="黑体" w:cs="黑体" w:eastAsia="黑体" w:hint="default"/>
                <w:sz w:val="20"/>
                <w:szCs w:val="20"/>
              </w:rPr>
            </w:pPr>
            <w:r>
              <w:rPr>
                <w:rFonts w:ascii="黑体" w:hAnsi="黑体" w:cs="黑体" w:eastAsia="黑体" w:hint="default"/>
                <w:w w:val="95"/>
                <w:sz w:val="20"/>
                <w:szCs w:val="20"/>
              </w:rPr>
              <w:t>非关联方</w:t>
            </w:r>
            <w:r>
              <w:rPr>
                <w:rFonts w:ascii="黑体" w:hAnsi="黑体" w:cs="黑体" w:eastAsia="黑体" w:hint="default"/>
                <w:sz w:val="20"/>
                <w:szCs w:val="20"/>
              </w:rPr>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9"/>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w w:val="95"/>
                <w:sz w:val="20"/>
                <w:u w:val="single" w:color="000000"/>
              </w:rPr>
              <w:t>8,220,427</w:t>
            </w:r>
            <w:r>
              <w:rPr>
                <w:rFonts w:ascii="Arial"/>
                <w:spacing w:val="-1"/>
                <w:w w:val="95"/>
                <w:sz w:val="20"/>
              </w:rPr>
            </w:r>
            <w:r>
              <w:rPr>
                <w:rFonts w:ascii="Arial"/>
                <w:sz w:val="20"/>
              </w:rPr>
            </w:r>
          </w:p>
        </w:tc>
        <w:tc>
          <w:tcPr>
            <w:tcW w:w="1633" w:type="dxa"/>
            <w:tcBorders>
              <w:top w:val="nil" w:sz="6" w:space="0" w:color="auto"/>
              <w:left w:val="nil" w:sz="6" w:space="0" w:color="auto"/>
              <w:bottom w:val="nil" w:sz="6" w:space="0" w:color="auto"/>
              <w:right w:val="nil" w:sz="6" w:space="0" w:color="auto"/>
            </w:tcBorders>
          </w:tcPr>
          <w:p>
            <w:pPr>
              <w:pStyle w:val="TableParagraph"/>
              <w:spacing w:line="248" w:lineRule="exact"/>
              <w:ind w:right="31"/>
              <w:jc w:val="right"/>
              <w:rPr>
                <w:rFonts w:ascii="黑体" w:hAnsi="黑体" w:cs="黑体" w:eastAsia="黑体" w:hint="default"/>
                <w:sz w:val="20"/>
                <w:szCs w:val="20"/>
              </w:rPr>
            </w:pPr>
            <w:r>
              <w:rPr>
                <w:rFonts w:ascii="Arial" w:hAnsi="Arial" w:cs="Arial" w:eastAsia="Arial" w:hint="default"/>
                <w:sz w:val="20"/>
                <w:szCs w:val="20"/>
              </w:rPr>
              <w:t>2-3</w:t>
            </w:r>
            <w:r>
              <w:rPr>
                <w:rFonts w:ascii="Arial" w:hAnsi="Arial" w:cs="Arial" w:eastAsia="Arial" w:hint="default"/>
                <w:spacing w:val="-8"/>
                <w:sz w:val="20"/>
                <w:szCs w:val="20"/>
              </w:rPr>
              <w:t> </w:t>
            </w:r>
            <w:r>
              <w:rPr>
                <w:rFonts w:ascii="黑体" w:hAnsi="黑体" w:cs="黑体" w:eastAsia="黑体" w:hint="default"/>
                <w:sz w:val="20"/>
                <w:szCs w:val="20"/>
              </w:rPr>
              <w:t>年及</w:t>
            </w:r>
            <w:r>
              <w:rPr>
                <w:rFonts w:ascii="黑体" w:hAnsi="黑体" w:cs="黑体" w:eastAsia="黑体" w:hint="default"/>
                <w:spacing w:val="-52"/>
                <w:sz w:val="20"/>
                <w:szCs w:val="20"/>
              </w:rPr>
              <w:t> </w:t>
            </w:r>
            <w:r>
              <w:rPr>
                <w:rFonts w:ascii="Arial" w:hAnsi="Arial" w:cs="Arial" w:eastAsia="Arial" w:hint="default"/>
                <w:sz w:val="20"/>
                <w:szCs w:val="20"/>
              </w:rPr>
              <w:t>3</w:t>
            </w:r>
            <w:r>
              <w:rPr>
                <w:rFonts w:ascii="Arial" w:hAnsi="Arial" w:cs="Arial" w:eastAsia="Arial" w:hint="default"/>
                <w:spacing w:val="-8"/>
                <w:sz w:val="20"/>
                <w:szCs w:val="20"/>
              </w:rPr>
              <w:t> </w:t>
            </w:r>
            <w:r>
              <w:rPr>
                <w:rFonts w:ascii="黑体" w:hAnsi="黑体" w:cs="黑体" w:eastAsia="黑体" w:hint="default"/>
                <w:sz w:val="20"/>
                <w:szCs w:val="20"/>
              </w:rPr>
              <w:t>年以上</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01"/>
              <w:jc w:val="right"/>
              <w:rPr>
                <w:rFonts w:ascii="Arial" w:hAnsi="Arial" w:cs="Arial" w:eastAsia="Arial" w:hint="default"/>
                <w:sz w:val="20"/>
                <w:szCs w:val="20"/>
              </w:rPr>
            </w:pPr>
            <w:r>
              <w:rPr>
                <w:rFonts w:ascii="Arial"/>
                <w:w w:val="99"/>
                <w:sz w:val="20"/>
              </w:rPr>
            </w:r>
            <w:r>
              <w:rPr>
                <w:rFonts w:ascii="Arial"/>
                <w:spacing w:val="-2"/>
                <w:w w:val="95"/>
                <w:sz w:val="20"/>
                <w:u w:val="single" w:color="000000"/>
              </w:rPr>
              <w:t>&lt;1</w:t>
            </w:r>
            <w:r>
              <w:rPr>
                <w:rFonts w:ascii="Arial"/>
                <w:spacing w:val="-2"/>
                <w:w w:val="95"/>
                <w:sz w:val="20"/>
              </w:rPr>
            </w:r>
            <w:r>
              <w:rPr>
                <w:rFonts w:ascii="Arial"/>
                <w:sz w:val="20"/>
              </w:rPr>
            </w:r>
          </w:p>
        </w:tc>
      </w:tr>
      <w:tr>
        <w:trPr>
          <w:trHeight w:val="380" w:hRule="exact"/>
        </w:trPr>
        <w:tc>
          <w:tcPr>
            <w:tcW w:w="1712" w:type="dxa"/>
            <w:tcBorders>
              <w:top w:val="nil" w:sz="6" w:space="0" w:color="auto"/>
              <w:left w:val="nil" w:sz="6" w:space="0" w:color="auto"/>
              <w:bottom w:val="nil" w:sz="6" w:space="0" w:color="auto"/>
              <w:right w:val="nil" w:sz="6" w:space="0" w:color="auto"/>
            </w:tcBorders>
          </w:tcPr>
          <w:p>
            <w:pPr/>
          </w:p>
        </w:tc>
        <w:tc>
          <w:tcPr>
            <w:tcW w:w="1946"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50"/>
              <w:jc w:val="right"/>
              <w:rPr>
                <w:rFonts w:ascii="Arial" w:hAnsi="Arial" w:cs="Arial" w:eastAsia="Arial" w:hint="default"/>
                <w:sz w:val="20"/>
                <w:szCs w:val="20"/>
              </w:rPr>
            </w:pPr>
            <w:r>
              <w:rPr>
                <w:rFonts w:ascii="Arial"/>
                <w:w w:val="99"/>
                <w:sz w:val="20"/>
              </w:rPr>
            </w:r>
            <w:r>
              <w:rPr>
                <w:rFonts w:ascii="Arial"/>
                <w:spacing w:val="-1"/>
                <w:sz w:val="20"/>
                <w:u w:val="thick" w:color="000000"/>
              </w:rPr>
              <w:t>55,790,797</w:t>
            </w:r>
            <w:r>
              <w:rPr>
                <w:rFonts w:ascii="Arial"/>
                <w:spacing w:val="-1"/>
                <w:sz w:val="20"/>
              </w:rPr>
            </w:r>
            <w:r>
              <w:rPr>
                <w:rFonts w:ascii="Arial"/>
                <w:sz w:val="20"/>
              </w:rPr>
            </w:r>
          </w:p>
        </w:tc>
        <w:tc>
          <w:tcPr>
            <w:tcW w:w="1633" w:type="dxa"/>
            <w:tcBorders>
              <w:top w:val="nil" w:sz="6" w:space="0" w:color="auto"/>
              <w:left w:val="nil" w:sz="6" w:space="0" w:color="auto"/>
              <w:bottom w:val="nil" w:sz="6" w:space="0" w:color="auto"/>
              <w:right w:val="nil" w:sz="6" w:space="0" w:color="auto"/>
            </w:tcBorders>
          </w:tcPr>
          <w:p>
            <w:pP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98"/>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 </w:t>
            </w:r>
            <w:r>
              <w:rPr>
                <w:rFonts w:ascii="Arial"/>
                <w:spacing w:val="-25"/>
                <w:sz w:val="20"/>
                <w:u w:val="thick" w:color="000000"/>
              </w:rPr>
              <w:t> </w:t>
            </w:r>
            <w:r>
              <w:rPr>
                <w:rFonts w:ascii="Arial"/>
                <w:w w:val="95"/>
                <w:sz w:val="20"/>
                <w:u w:val="thick" w:color="000000"/>
              </w:rPr>
              <w:t>4</w:t>
            </w:r>
            <w:r>
              <w:rPr>
                <w:rFonts w:ascii="Arial"/>
                <w:w w:val="95"/>
                <w:sz w:val="20"/>
              </w:rPr>
            </w:r>
            <w:r>
              <w:rPr>
                <w:rFonts w:ascii="Arial"/>
                <w:sz w:val="20"/>
              </w:rPr>
            </w:r>
          </w:p>
        </w:tc>
      </w:tr>
    </w:tbl>
    <w:p>
      <w:pPr>
        <w:spacing w:line="240" w:lineRule="auto" w:before="6"/>
        <w:rPr>
          <w:rFonts w:ascii="黑体" w:hAnsi="黑体" w:cs="黑体" w:eastAsia="黑体" w:hint="default"/>
          <w:sz w:val="17"/>
          <w:szCs w:val="17"/>
        </w:rPr>
      </w:pPr>
    </w:p>
    <w:p>
      <w:pPr>
        <w:pStyle w:val="BodyText"/>
        <w:spacing w:line="240" w:lineRule="auto" w:before="37"/>
        <w:ind w:left="861" w:right="2891"/>
        <w:jc w:val="left"/>
      </w:pPr>
      <w:r>
        <w:rPr/>
        <w:t>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日，应收账款金额前五名如下：</w:t>
      </w:r>
    </w:p>
    <w:p>
      <w:pPr>
        <w:spacing w:line="240" w:lineRule="auto" w:before="5"/>
        <w:rPr>
          <w:rFonts w:ascii="黑体" w:hAnsi="黑体" w:cs="黑体" w:eastAsia="黑体" w:hint="default"/>
          <w:sz w:val="26"/>
          <w:szCs w:val="26"/>
        </w:rPr>
      </w:pPr>
    </w:p>
    <w:tbl>
      <w:tblPr>
        <w:tblW w:w="0" w:type="auto"/>
        <w:jc w:val="left"/>
        <w:tblInd w:w="649" w:type="dxa"/>
        <w:tblLayout w:type="fixed"/>
        <w:tblCellMar>
          <w:top w:w="0" w:type="dxa"/>
          <w:left w:w="0" w:type="dxa"/>
          <w:bottom w:w="0" w:type="dxa"/>
          <w:right w:w="0" w:type="dxa"/>
        </w:tblCellMar>
        <w:tblLook w:val="01E0"/>
      </w:tblPr>
      <w:tblGrid>
        <w:gridCol w:w="1719"/>
        <w:gridCol w:w="1959"/>
        <w:gridCol w:w="1244"/>
        <w:gridCol w:w="1620"/>
        <w:gridCol w:w="1633"/>
      </w:tblGrid>
      <w:tr>
        <w:trPr>
          <w:trHeight w:val="240" w:hRule="exact"/>
        </w:trPr>
        <w:tc>
          <w:tcPr>
            <w:tcW w:w="1719"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nil" w:sz="6" w:space="0" w:color="auto"/>
              <w:right w:val="nil" w:sz="6" w:space="0" w:color="auto"/>
            </w:tcBorders>
          </w:tcPr>
          <w:p>
            <w:pPr>
              <w:pStyle w:val="TableParagraph"/>
              <w:spacing w:line="199" w:lineRule="exact"/>
              <w:ind w:right="205"/>
              <w:jc w:val="right"/>
              <w:rPr>
                <w:rFonts w:ascii="黑体" w:hAnsi="黑体" w:cs="黑体" w:eastAsia="黑体" w:hint="default"/>
                <w:sz w:val="20"/>
                <w:szCs w:val="20"/>
              </w:rPr>
            </w:pPr>
            <w:r>
              <w:rPr>
                <w:rFonts w:ascii="黑体" w:hAnsi="黑体" w:cs="黑体" w:eastAsia="黑体" w:hint="default"/>
                <w:w w:val="95"/>
                <w:sz w:val="20"/>
                <w:szCs w:val="20"/>
              </w:rPr>
              <w:t>与本集团关系</w:t>
            </w:r>
            <w:r>
              <w:rPr>
                <w:rFonts w:ascii="黑体" w:hAnsi="黑体" w:cs="黑体" w:eastAsia="黑体" w:hint="default"/>
                <w:sz w:val="20"/>
                <w:szCs w:val="20"/>
              </w:rPr>
            </w:r>
          </w:p>
        </w:tc>
        <w:tc>
          <w:tcPr>
            <w:tcW w:w="1244" w:type="dxa"/>
            <w:tcBorders>
              <w:top w:val="nil" w:sz="6" w:space="0" w:color="auto"/>
              <w:left w:val="nil" w:sz="6" w:space="0" w:color="auto"/>
              <w:bottom w:val="nil" w:sz="6" w:space="0" w:color="auto"/>
              <w:right w:val="nil" w:sz="6" w:space="0" w:color="auto"/>
            </w:tcBorders>
          </w:tcPr>
          <w:p>
            <w:pPr>
              <w:pStyle w:val="TableParagraph"/>
              <w:spacing w:line="199" w:lineRule="exact"/>
              <w:ind w:right="36"/>
              <w:jc w:val="right"/>
              <w:rPr>
                <w:rFonts w:ascii="黑体" w:hAnsi="黑体" w:cs="黑体" w:eastAsia="黑体" w:hint="default"/>
                <w:sz w:val="20"/>
                <w:szCs w:val="20"/>
              </w:rPr>
            </w:pPr>
            <w:r>
              <w:rPr>
                <w:rFonts w:ascii="黑体" w:hAnsi="黑体" w:cs="黑体" w:eastAsia="黑体" w:hint="default"/>
                <w:w w:val="95"/>
                <w:sz w:val="20"/>
                <w:szCs w:val="20"/>
              </w:rPr>
              <w:t>金额</w:t>
            </w:r>
            <w:r>
              <w:rPr>
                <w:rFonts w:ascii="黑体" w:hAnsi="黑体" w:cs="黑体" w:eastAsia="黑体" w:hint="default"/>
                <w:sz w:val="20"/>
                <w:szCs w:val="20"/>
              </w:rPr>
            </w:r>
          </w:p>
        </w:tc>
        <w:tc>
          <w:tcPr>
            <w:tcW w:w="1620" w:type="dxa"/>
            <w:tcBorders>
              <w:top w:val="nil" w:sz="6" w:space="0" w:color="auto"/>
              <w:left w:val="nil" w:sz="6" w:space="0" w:color="auto"/>
              <w:bottom w:val="nil" w:sz="6" w:space="0" w:color="auto"/>
              <w:right w:val="nil" w:sz="6" w:space="0" w:color="auto"/>
            </w:tcBorders>
          </w:tcPr>
          <w:p>
            <w:pPr>
              <w:pStyle w:val="TableParagraph"/>
              <w:spacing w:line="199" w:lineRule="exact"/>
              <w:ind w:right="31"/>
              <w:jc w:val="right"/>
              <w:rPr>
                <w:rFonts w:ascii="黑体" w:hAnsi="黑体" w:cs="黑体" w:eastAsia="黑体" w:hint="default"/>
                <w:sz w:val="20"/>
                <w:szCs w:val="20"/>
              </w:rPr>
            </w:pPr>
            <w:r>
              <w:rPr>
                <w:rFonts w:ascii="黑体" w:hAnsi="黑体" w:cs="黑体" w:eastAsia="黑体" w:hint="default"/>
                <w:w w:val="95"/>
                <w:sz w:val="20"/>
                <w:szCs w:val="20"/>
              </w:rPr>
              <w:t>账龄</w:t>
            </w:r>
            <w:r>
              <w:rPr>
                <w:rFonts w:ascii="黑体" w:hAnsi="黑体" w:cs="黑体" w:eastAsia="黑体" w:hint="default"/>
                <w:sz w:val="20"/>
                <w:szCs w:val="20"/>
              </w:rPr>
            </w:r>
          </w:p>
        </w:tc>
        <w:tc>
          <w:tcPr>
            <w:tcW w:w="1633" w:type="dxa"/>
            <w:tcBorders>
              <w:top w:val="nil" w:sz="6" w:space="0" w:color="auto"/>
              <w:left w:val="nil" w:sz="6" w:space="0" w:color="auto"/>
              <w:bottom w:val="nil" w:sz="6" w:space="0" w:color="auto"/>
              <w:right w:val="nil" w:sz="6" w:space="0" w:color="auto"/>
            </w:tcBorders>
          </w:tcPr>
          <w:p>
            <w:pPr>
              <w:pStyle w:val="TableParagraph"/>
              <w:spacing w:line="199" w:lineRule="exact"/>
              <w:ind w:right="200"/>
              <w:jc w:val="right"/>
              <w:rPr>
                <w:rFonts w:ascii="黑体" w:hAnsi="黑体" w:cs="黑体" w:eastAsia="黑体" w:hint="default"/>
                <w:sz w:val="20"/>
                <w:szCs w:val="20"/>
              </w:rPr>
            </w:pPr>
            <w:r>
              <w:rPr>
                <w:rFonts w:ascii="黑体" w:hAnsi="黑体" w:cs="黑体" w:eastAsia="黑体" w:hint="default"/>
                <w:w w:val="95"/>
                <w:sz w:val="20"/>
                <w:szCs w:val="20"/>
              </w:rPr>
              <w:t>占应收账款总额</w:t>
            </w:r>
            <w:r>
              <w:rPr>
                <w:rFonts w:ascii="黑体" w:hAnsi="黑体" w:cs="黑体" w:eastAsia="黑体" w:hint="default"/>
                <w:sz w:val="20"/>
                <w:szCs w:val="20"/>
              </w:rPr>
            </w:r>
          </w:p>
        </w:tc>
      </w:tr>
      <w:tr>
        <w:trPr>
          <w:trHeight w:val="436" w:hRule="exact"/>
        </w:trPr>
        <w:tc>
          <w:tcPr>
            <w:tcW w:w="1719"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633" w:type="dxa"/>
            <w:tcBorders>
              <w:top w:val="nil" w:sz="6" w:space="0" w:color="auto"/>
              <w:left w:val="nil" w:sz="6" w:space="0" w:color="auto"/>
              <w:bottom w:val="nil" w:sz="6" w:space="0" w:color="auto"/>
              <w:right w:val="nil" w:sz="6" w:space="0" w:color="auto"/>
            </w:tcBorders>
          </w:tcPr>
          <w:p>
            <w:pPr>
              <w:pStyle w:val="TableParagraph"/>
              <w:spacing w:line="254" w:lineRule="exact"/>
              <w:ind w:right="201"/>
              <w:jc w:val="right"/>
              <w:rPr>
                <w:rFonts w:ascii="Arial" w:hAnsi="Arial" w:cs="Arial" w:eastAsia="Arial" w:hint="default"/>
                <w:sz w:val="20"/>
                <w:szCs w:val="20"/>
              </w:rPr>
            </w:pPr>
            <w:r>
              <w:rPr>
                <w:rFonts w:ascii="黑体" w:hAnsi="黑体" w:cs="黑体" w:eastAsia="黑体" w:hint="default"/>
                <w:w w:val="95"/>
                <w:sz w:val="20"/>
                <w:szCs w:val="20"/>
              </w:rPr>
              <w:t>的比例</w:t>
            </w:r>
            <w:r>
              <w:rPr>
                <w:rFonts w:ascii="Arial" w:hAnsi="Arial" w:cs="Arial" w:eastAsia="Arial" w:hint="default"/>
                <w:w w:val="95"/>
                <w:sz w:val="20"/>
                <w:szCs w:val="20"/>
              </w:rPr>
              <w:t>(%)</w:t>
            </w:r>
            <w:r>
              <w:rPr>
                <w:rFonts w:ascii="Arial" w:hAnsi="Arial" w:cs="Arial" w:eastAsia="Arial" w:hint="default"/>
                <w:sz w:val="20"/>
                <w:szCs w:val="20"/>
              </w:rPr>
            </w:r>
          </w:p>
        </w:tc>
      </w:tr>
      <w:tr>
        <w:trPr>
          <w:trHeight w:val="431" w:hRule="exact"/>
        </w:trPr>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200" w:right="0"/>
              <w:jc w:val="left"/>
              <w:rPr>
                <w:rFonts w:ascii="Arial" w:hAnsi="Arial" w:cs="Arial" w:eastAsia="Arial" w:hint="default"/>
                <w:sz w:val="20"/>
                <w:szCs w:val="20"/>
              </w:rPr>
            </w:pPr>
            <w:r>
              <w:rPr>
                <w:rFonts w:ascii="黑体" w:hAnsi="黑体" w:cs="黑体" w:eastAsia="黑体" w:hint="default"/>
                <w:sz w:val="20"/>
                <w:szCs w:val="20"/>
              </w:rPr>
              <w:t>单位</w:t>
            </w:r>
            <w:r>
              <w:rPr>
                <w:rFonts w:ascii="黑体" w:hAnsi="黑体" w:cs="黑体" w:eastAsia="黑体" w:hint="default"/>
                <w:spacing w:val="-53"/>
                <w:sz w:val="20"/>
                <w:szCs w:val="20"/>
              </w:rPr>
              <w:t> </w:t>
            </w:r>
            <w:r>
              <w:rPr>
                <w:rFonts w:ascii="Arial" w:hAnsi="Arial" w:cs="Arial" w:eastAsia="Arial" w:hint="default"/>
                <w:sz w:val="20"/>
                <w:szCs w:val="20"/>
              </w:rPr>
              <w:t>1</w:t>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05"/>
              <w:jc w:val="right"/>
              <w:rPr>
                <w:rFonts w:ascii="黑体" w:hAnsi="黑体" w:cs="黑体" w:eastAsia="黑体" w:hint="default"/>
                <w:sz w:val="20"/>
                <w:szCs w:val="20"/>
              </w:rPr>
            </w:pPr>
            <w:r>
              <w:rPr>
                <w:rFonts w:ascii="黑体" w:hAnsi="黑体" w:cs="黑体" w:eastAsia="黑体" w:hint="default"/>
                <w:w w:val="95"/>
                <w:sz w:val="20"/>
                <w:szCs w:val="20"/>
              </w:rPr>
              <w:t>非关联方</w:t>
            </w:r>
            <w:r>
              <w:rPr>
                <w:rFonts w:ascii="黑体" w:hAnsi="黑体" w:cs="黑体" w:eastAsia="黑体" w:hint="default"/>
                <w:sz w:val="20"/>
                <w:szCs w:val="20"/>
              </w:rPr>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36"/>
              <w:jc w:val="right"/>
              <w:rPr>
                <w:rFonts w:ascii="Arial" w:hAnsi="Arial" w:cs="Arial" w:eastAsia="Arial" w:hint="default"/>
                <w:sz w:val="20"/>
                <w:szCs w:val="20"/>
              </w:rPr>
            </w:pPr>
            <w:r>
              <w:rPr>
                <w:rFonts w:ascii="Arial"/>
                <w:spacing w:val="-1"/>
                <w:sz w:val="20"/>
              </w:rPr>
              <w:t>19,944,040</w:t>
            </w:r>
            <w:r>
              <w:rPr>
                <w:rFonts w:ascii="Arial"/>
                <w:sz w:val="20"/>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31"/>
              <w:jc w:val="righ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9"/>
                <w:sz w:val="20"/>
                <w:szCs w:val="20"/>
              </w:rPr>
              <w:t> </w:t>
            </w:r>
            <w:r>
              <w:rPr>
                <w:rFonts w:ascii="黑体" w:hAnsi="黑体" w:cs="黑体" w:eastAsia="黑体" w:hint="default"/>
                <w:sz w:val="20"/>
                <w:szCs w:val="20"/>
              </w:rPr>
              <w:t>年以内</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198"/>
              <w:jc w:val="right"/>
              <w:rPr>
                <w:rFonts w:ascii="Arial" w:hAnsi="Arial" w:cs="Arial" w:eastAsia="Arial" w:hint="default"/>
                <w:sz w:val="20"/>
                <w:szCs w:val="20"/>
              </w:rPr>
            </w:pPr>
            <w:r>
              <w:rPr>
                <w:rFonts w:ascii="Arial"/>
                <w:w w:val="99"/>
                <w:sz w:val="20"/>
              </w:rPr>
              <w:t>2</w:t>
            </w:r>
            <w:r>
              <w:rPr>
                <w:rFonts w:ascii="Arial"/>
                <w:sz w:val="20"/>
              </w:rPr>
            </w:r>
          </w:p>
        </w:tc>
      </w:tr>
      <w:tr>
        <w:trPr>
          <w:trHeight w:val="281" w:hRule="exact"/>
        </w:trPr>
        <w:tc>
          <w:tcPr>
            <w:tcW w:w="1719" w:type="dxa"/>
            <w:tcBorders>
              <w:top w:val="nil" w:sz="6" w:space="0" w:color="auto"/>
              <w:left w:val="nil" w:sz="6" w:space="0" w:color="auto"/>
              <w:bottom w:val="nil" w:sz="6" w:space="0" w:color="auto"/>
              <w:right w:val="nil" w:sz="6" w:space="0" w:color="auto"/>
            </w:tcBorders>
          </w:tcPr>
          <w:p>
            <w:pPr>
              <w:pStyle w:val="TableParagraph"/>
              <w:spacing w:line="249" w:lineRule="exact"/>
              <w:ind w:left="200" w:right="0"/>
              <w:jc w:val="left"/>
              <w:rPr>
                <w:rFonts w:ascii="Arial" w:hAnsi="Arial" w:cs="Arial" w:eastAsia="Arial" w:hint="default"/>
                <w:sz w:val="20"/>
                <w:szCs w:val="20"/>
              </w:rPr>
            </w:pPr>
            <w:r>
              <w:rPr>
                <w:rFonts w:ascii="黑体" w:hAnsi="黑体" w:cs="黑体" w:eastAsia="黑体" w:hint="default"/>
                <w:sz w:val="20"/>
                <w:szCs w:val="20"/>
              </w:rPr>
              <w:t>单位</w:t>
            </w:r>
            <w:r>
              <w:rPr>
                <w:rFonts w:ascii="黑体" w:hAnsi="黑体" w:cs="黑体" w:eastAsia="黑体" w:hint="default"/>
                <w:spacing w:val="-53"/>
                <w:sz w:val="20"/>
                <w:szCs w:val="20"/>
              </w:rPr>
              <w:t> </w:t>
            </w:r>
            <w:r>
              <w:rPr>
                <w:rFonts w:ascii="Arial" w:hAnsi="Arial" w:cs="Arial" w:eastAsia="Arial" w:hint="default"/>
                <w:sz w:val="20"/>
                <w:szCs w:val="20"/>
              </w:rPr>
              <w:t>2</w:t>
            </w:r>
          </w:p>
        </w:tc>
        <w:tc>
          <w:tcPr>
            <w:tcW w:w="1959" w:type="dxa"/>
            <w:tcBorders>
              <w:top w:val="nil" w:sz="6" w:space="0" w:color="auto"/>
              <w:left w:val="nil" w:sz="6" w:space="0" w:color="auto"/>
              <w:bottom w:val="nil" w:sz="6" w:space="0" w:color="auto"/>
              <w:right w:val="nil" w:sz="6" w:space="0" w:color="auto"/>
            </w:tcBorders>
          </w:tcPr>
          <w:p>
            <w:pPr>
              <w:pStyle w:val="TableParagraph"/>
              <w:spacing w:line="235" w:lineRule="exact"/>
              <w:ind w:right="205"/>
              <w:jc w:val="right"/>
              <w:rPr>
                <w:rFonts w:ascii="黑体" w:hAnsi="黑体" w:cs="黑体" w:eastAsia="黑体" w:hint="default"/>
                <w:sz w:val="20"/>
                <w:szCs w:val="20"/>
              </w:rPr>
            </w:pPr>
            <w:r>
              <w:rPr>
                <w:rFonts w:ascii="黑体" w:hAnsi="黑体" w:cs="黑体" w:eastAsia="黑体" w:hint="default"/>
                <w:w w:val="95"/>
                <w:sz w:val="20"/>
                <w:szCs w:val="20"/>
              </w:rPr>
              <w:t>非关联方</w:t>
            </w:r>
            <w:r>
              <w:rPr>
                <w:rFonts w:ascii="黑体" w:hAnsi="黑体" w:cs="黑体" w:eastAsia="黑体" w:hint="default"/>
                <w:sz w:val="20"/>
                <w:szCs w:val="20"/>
              </w:rPr>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6"/>
              <w:jc w:val="right"/>
              <w:rPr>
                <w:rFonts w:ascii="Arial" w:hAnsi="Arial" w:cs="Arial" w:eastAsia="Arial" w:hint="default"/>
                <w:sz w:val="20"/>
                <w:szCs w:val="20"/>
              </w:rPr>
            </w:pPr>
            <w:r>
              <w:rPr>
                <w:rFonts w:ascii="Arial"/>
                <w:spacing w:val="-1"/>
                <w:sz w:val="20"/>
              </w:rPr>
              <w:t>10,854,000</w:t>
            </w:r>
            <w:r>
              <w:rPr>
                <w:rFonts w:ascii="Arial"/>
                <w:sz w:val="20"/>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9" w:lineRule="exact"/>
              <w:ind w:right="31"/>
              <w:jc w:val="right"/>
              <w:rPr>
                <w:rFonts w:ascii="黑体" w:hAnsi="黑体" w:cs="黑体" w:eastAsia="黑体" w:hint="default"/>
                <w:sz w:val="20"/>
                <w:szCs w:val="20"/>
              </w:rPr>
            </w:pPr>
            <w:r>
              <w:rPr>
                <w:rFonts w:ascii="Arial" w:hAnsi="Arial" w:cs="Arial" w:eastAsia="Arial" w:hint="default"/>
                <w:sz w:val="20"/>
                <w:szCs w:val="20"/>
              </w:rPr>
              <w:t>1-2</w:t>
            </w:r>
            <w:r>
              <w:rPr>
                <w:rFonts w:ascii="Arial" w:hAnsi="Arial" w:cs="Arial" w:eastAsia="Arial" w:hint="default"/>
                <w:spacing w:val="-9"/>
                <w:sz w:val="20"/>
                <w:szCs w:val="20"/>
              </w:rPr>
              <w:t> </w:t>
            </w:r>
            <w:r>
              <w:rPr>
                <w:rFonts w:ascii="黑体" w:hAnsi="黑体" w:cs="黑体" w:eastAsia="黑体" w:hint="default"/>
                <w:sz w:val="20"/>
                <w:szCs w:val="20"/>
              </w:rPr>
              <w:t>年</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8"/>
              <w:jc w:val="right"/>
              <w:rPr>
                <w:rFonts w:ascii="Arial" w:hAnsi="Arial" w:cs="Arial" w:eastAsia="Arial" w:hint="default"/>
                <w:sz w:val="20"/>
                <w:szCs w:val="20"/>
              </w:rPr>
            </w:pPr>
            <w:r>
              <w:rPr>
                <w:rFonts w:ascii="Arial"/>
                <w:w w:val="99"/>
                <w:sz w:val="20"/>
              </w:rPr>
              <w:t>1</w:t>
            </w:r>
            <w:r>
              <w:rPr>
                <w:rFonts w:ascii="Arial"/>
                <w:sz w:val="20"/>
              </w:rPr>
            </w:r>
          </w:p>
        </w:tc>
      </w:tr>
      <w:tr>
        <w:trPr>
          <w:trHeight w:val="280" w:hRule="exact"/>
        </w:trPr>
        <w:tc>
          <w:tcPr>
            <w:tcW w:w="1719" w:type="dxa"/>
            <w:tcBorders>
              <w:top w:val="nil" w:sz="6" w:space="0" w:color="auto"/>
              <w:left w:val="nil" w:sz="6" w:space="0" w:color="auto"/>
              <w:bottom w:val="nil" w:sz="6" w:space="0" w:color="auto"/>
              <w:right w:val="nil" w:sz="6" w:space="0" w:color="auto"/>
            </w:tcBorders>
          </w:tcPr>
          <w:p>
            <w:pPr>
              <w:pStyle w:val="TableParagraph"/>
              <w:spacing w:line="249" w:lineRule="exact"/>
              <w:ind w:left="200" w:right="0"/>
              <w:jc w:val="left"/>
              <w:rPr>
                <w:rFonts w:ascii="Arial" w:hAnsi="Arial" w:cs="Arial" w:eastAsia="Arial" w:hint="default"/>
                <w:sz w:val="20"/>
                <w:szCs w:val="20"/>
              </w:rPr>
            </w:pPr>
            <w:r>
              <w:rPr>
                <w:rFonts w:ascii="黑体" w:hAnsi="黑体" w:cs="黑体" w:eastAsia="黑体" w:hint="default"/>
                <w:sz w:val="20"/>
                <w:szCs w:val="20"/>
              </w:rPr>
              <w:t>单位</w:t>
            </w:r>
            <w:r>
              <w:rPr>
                <w:rFonts w:ascii="黑体" w:hAnsi="黑体" w:cs="黑体" w:eastAsia="黑体" w:hint="default"/>
                <w:spacing w:val="-53"/>
                <w:sz w:val="20"/>
                <w:szCs w:val="20"/>
              </w:rPr>
              <w:t> </w:t>
            </w:r>
            <w:r>
              <w:rPr>
                <w:rFonts w:ascii="Arial" w:hAnsi="Arial" w:cs="Arial" w:eastAsia="Arial" w:hint="default"/>
                <w:sz w:val="20"/>
                <w:szCs w:val="20"/>
              </w:rPr>
              <w:t>3</w:t>
            </w:r>
          </w:p>
        </w:tc>
        <w:tc>
          <w:tcPr>
            <w:tcW w:w="1959" w:type="dxa"/>
            <w:tcBorders>
              <w:top w:val="nil" w:sz="6" w:space="0" w:color="auto"/>
              <w:left w:val="nil" w:sz="6" w:space="0" w:color="auto"/>
              <w:bottom w:val="nil" w:sz="6" w:space="0" w:color="auto"/>
              <w:right w:val="nil" w:sz="6" w:space="0" w:color="auto"/>
            </w:tcBorders>
          </w:tcPr>
          <w:p>
            <w:pPr>
              <w:pStyle w:val="TableParagraph"/>
              <w:spacing w:line="235" w:lineRule="exact"/>
              <w:ind w:right="205"/>
              <w:jc w:val="right"/>
              <w:rPr>
                <w:rFonts w:ascii="黑体" w:hAnsi="黑体" w:cs="黑体" w:eastAsia="黑体" w:hint="default"/>
                <w:sz w:val="20"/>
                <w:szCs w:val="20"/>
              </w:rPr>
            </w:pPr>
            <w:r>
              <w:rPr>
                <w:rFonts w:ascii="黑体" w:hAnsi="黑体" w:cs="黑体" w:eastAsia="黑体" w:hint="default"/>
                <w:w w:val="95"/>
                <w:sz w:val="20"/>
                <w:szCs w:val="20"/>
              </w:rPr>
              <w:t>非关联方</w:t>
            </w:r>
            <w:r>
              <w:rPr>
                <w:rFonts w:ascii="黑体" w:hAnsi="黑体" w:cs="黑体" w:eastAsia="黑体" w:hint="default"/>
                <w:sz w:val="20"/>
                <w:szCs w:val="20"/>
              </w:rPr>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6"/>
              <w:jc w:val="right"/>
              <w:rPr>
                <w:rFonts w:ascii="Arial" w:hAnsi="Arial" w:cs="Arial" w:eastAsia="Arial" w:hint="default"/>
                <w:sz w:val="20"/>
                <w:szCs w:val="20"/>
              </w:rPr>
            </w:pPr>
            <w:r>
              <w:rPr>
                <w:rFonts w:ascii="Arial"/>
                <w:spacing w:val="-1"/>
                <w:sz w:val="20"/>
              </w:rPr>
              <w:t>10,216,000</w:t>
            </w:r>
            <w:r>
              <w:rPr>
                <w:rFonts w:ascii="Arial"/>
                <w:sz w:val="20"/>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9" w:lineRule="exact"/>
              <w:ind w:right="31"/>
              <w:jc w:val="righ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9"/>
                <w:sz w:val="20"/>
                <w:szCs w:val="20"/>
              </w:rPr>
              <w:t> </w:t>
            </w:r>
            <w:r>
              <w:rPr>
                <w:rFonts w:ascii="黑体" w:hAnsi="黑体" w:cs="黑体" w:eastAsia="黑体" w:hint="default"/>
                <w:sz w:val="20"/>
                <w:szCs w:val="20"/>
              </w:rPr>
              <w:t>年以内及</w:t>
            </w:r>
            <w:r>
              <w:rPr>
                <w:rFonts w:ascii="黑体" w:hAnsi="黑体" w:cs="黑体" w:eastAsia="黑体" w:hint="default"/>
                <w:spacing w:val="-51"/>
                <w:sz w:val="20"/>
                <w:szCs w:val="20"/>
              </w:rPr>
              <w:t> </w:t>
            </w:r>
            <w:r>
              <w:rPr>
                <w:rFonts w:ascii="Arial" w:hAnsi="Arial" w:cs="Arial" w:eastAsia="Arial" w:hint="default"/>
                <w:sz w:val="20"/>
                <w:szCs w:val="20"/>
              </w:rPr>
              <w:t>1-2</w:t>
            </w:r>
            <w:r>
              <w:rPr>
                <w:rFonts w:ascii="Arial" w:hAnsi="Arial" w:cs="Arial" w:eastAsia="Arial" w:hint="default"/>
                <w:spacing w:val="-9"/>
                <w:sz w:val="20"/>
                <w:szCs w:val="20"/>
              </w:rPr>
              <w:t> </w:t>
            </w:r>
            <w:r>
              <w:rPr>
                <w:rFonts w:ascii="黑体" w:hAnsi="黑体" w:cs="黑体" w:eastAsia="黑体" w:hint="default"/>
                <w:sz w:val="20"/>
                <w:szCs w:val="20"/>
              </w:rPr>
              <w:t>年</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8"/>
              <w:jc w:val="right"/>
              <w:rPr>
                <w:rFonts w:ascii="Arial" w:hAnsi="Arial" w:cs="Arial" w:eastAsia="Arial" w:hint="default"/>
                <w:sz w:val="20"/>
                <w:szCs w:val="20"/>
              </w:rPr>
            </w:pPr>
            <w:r>
              <w:rPr>
                <w:rFonts w:ascii="Arial"/>
                <w:w w:val="99"/>
                <w:sz w:val="20"/>
              </w:rPr>
              <w:t>1</w:t>
            </w:r>
            <w:r>
              <w:rPr>
                <w:rFonts w:ascii="Arial"/>
                <w:sz w:val="20"/>
              </w:rPr>
            </w:r>
          </w:p>
        </w:tc>
      </w:tr>
      <w:tr>
        <w:trPr>
          <w:trHeight w:val="280" w:hRule="exact"/>
        </w:trPr>
        <w:tc>
          <w:tcPr>
            <w:tcW w:w="1719" w:type="dxa"/>
            <w:tcBorders>
              <w:top w:val="nil" w:sz="6" w:space="0" w:color="auto"/>
              <w:left w:val="nil" w:sz="6" w:space="0" w:color="auto"/>
              <w:bottom w:val="nil" w:sz="6" w:space="0" w:color="auto"/>
              <w:right w:val="nil" w:sz="6" w:space="0" w:color="auto"/>
            </w:tcBorders>
          </w:tcPr>
          <w:p>
            <w:pPr>
              <w:pStyle w:val="TableParagraph"/>
              <w:spacing w:line="248" w:lineRule="exact"/>
              <w:ind w:left="200" w:right="0"/>
              <w:jc w:val="left"/>
              <w:rPr>
                <w:rFonts w:ascii="Arial" w:hAnsi="Arial" w:cs="Arial" w:eastAsia="Arial" w:hint="default"/>
                <w:sz w:val="20"/>
                <w:szCs w:val="20"/>
              </w:rPr>
            </w:pPr>
            <w:r>
              <w:rPr>
                <w:rFonts w:ascii="黑体" w:hAnsi="黑体" w:cs="黑体" w:eastAsia="黑体" w:hint="default"/>
                <w:sz w:val="20"/>
                <w:szCs w:val="20"/>
              </w:rPr>
              <w:t>单位</w:t>
            </w:r>
            <w:r>
              <w:rPr>
                <w:rFonts w:ascii="黑体" w:hAnsi="黑体" w:cs="黑体" w:eastAsia="黑体" w:hint="default"/>
                <w:spacing w:val="-53"/>
                <w:sz w:val="20"/>
                <w:szCs w:val="20"/>
              </w:rPr>
              <w:t> </w:t>
            </w:r>
            <w:r>
              <w:rPr>
                <w:rFonts w:ascii="Arial" w:hAnsi="Arial" w:cs="Arial" w:eastAsia="Arial" w:hint="default"/>
                <w:sz w:val="20"/>
                <w:szCs w:val="20"/>
              </w:rPr>
              <w:t>4</w:t>
            </w:r>
          </w:p>
        </w:tc>
        <w:tc>
          <w:tcPr>
            <w:tcW w:w="1959" w:type="dxa"/>
            <w:tcBorders>
              <w:top w:val="nil" w:sz="6" w:space="0" w:color="auto"/>
              <w:left w:val="nil" w:sz="6" w:space="0" w:color="auto"/>
              <w:bottom w:val="nil" w:sz="6" w:space="0" w:color="auto"/>
              <w:right w:val="nil" w:sz="6" w:space="0" w:color="auto"/>
            </w:tcBorders>
          </w:tcPr>
          <w:p>
            <w:pPr>
              <w:pStyle w:val="TableParagraph"/>
              <w:spacing w:line="234" w:lineRule="exact"/>
              <w:ind w:right="205"/>
              <w:jc w:val="right"/>
              <w:rPr>
                <w:rFonts w:ascii="黑体" w:hAnsi="黑体" w:cs="黑体" w:eastAsia="黑体" w:hint="default"/>
                <w:sz w:val="20"/>
                <w:szCs w:val="20"/>
              </w:rPr>
            </w:pPr>
            <w:r>
              <w:rPr>
                <w:rFonts w:ascii="黑体" w:hAnsi="黑体" w:cs="黑体" w:eastAsia="黑体" w:hint="default"/>
                <w:w w:val="95"/>
                <w:sz w:val="20"/>
                <w:szCs w:val="20"/>
              </w:rPr>
              <w:t>非关联方</w:t>
            </w:r>
            <w:r>
              <w:rPr>
                <w:rFonts w:ascii="黑体" w:hAnsi="黑体" w:cs="黑体" w:eastAsia="黑体" w:hint="default"/>
                <w:sz w:val="20"/>
                <w:szCs w:val="20"/>
              </w:rPr>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6"/>
              <w:jc w:val="right"/>
              <w:rPr>
                <w:rFonts w:ascii="Arial" w:hAnsi="Arial" w:cs="Arial" w:eastAsia="Arial" w:hint="default"/>
                <w:sz w:val="20"/>
                <w:szCs w:val="20"/>
              </w:rPr>
            </w:pPr>
            <w:r>
              <w:rPr>
                <w:rFonts w:ascii="Arial"/>
                <w:spacing w:val="-1"/>
                <w:sz w:val="20"/>
              </w:rPr>
              <w:t>9,198,000</w:t>
            </w:r>
          </w:p>
        </w:tc>
        <w:tc>
          <w:tcPr>
            <w:tcW w:w="1620" w:type="dxa"/>
            <w:tcBorders>
              <w:top w:val="nil" w:sz="6" w:space="0" w:color="auto"/>
              <w:left w:val="nil" w:sz="6" w:space="0" w:color="auto"/>
              <w:bottom w:val="nil" w:sz="6" w:space="0" w:color="auto"/>
              <w:right w:val="nil" w:sz="6" w:space="0" w:color="auto"/>
            </w:tcBorders>
          </w:tcPr>
          <w:p>
            <w:pPr>
              <w:pStyle w:val="TableParagraph"/>
              <w:spacing w:line="248" w:lineRule="exact"/>
              <w:ind w:right="31"/>
              <w:jc w:val="righ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9"/>
                <w:sz w:val="20"/>
                <w:szCs w:val="20"/>
              </w:rPr>
              <w:t> </w:t>
            </w:r>
            <w:r>
              <w:rPr>
                <w:rFonts w:ascii="黑体" w:hAnsi="黑体" w:cs="黑体" w:eastAsia="黑体" w:hint="default"/>
                <w:sz w:val="20"/>
                <w:szCs w:val="20"/>
              </w:rPr>
              <w:t>年以内及</w:t>
            </w:r>
            <w:r>
              <w:rPr>
                <w:rFonts w:ascii="黑体" w:hAnsi="黑体" w:cs="黑体" w:eastAsia="黑体" w:hint="default"/>
                <w:spacing w:val="-51"/>
                <w:sz w:val="20"/>
                <w:szCs w:val="20"/>
              </w:rPr>
              <w:t> </w:t>
            </w:r>
            <w:r>
              <w:rPr>
                <w:rFonts w:ascii="Arial" w:hAnsi="Arial" w:cs="Arial" w:eastAsia="Arial" w:hint="default"/>
                <w:sz w:val="20"/>
                <w:szCs w:val="20"/>
              </w:rPr>
              <w:t>1-2</w:t>
            </w:r>
            <w:r>
              <w:rPr>
                <w:rFonts w:ascii="Arial" w:hAnsi="Arial" w:cs="Arial" w:eastAsia="Arial" w:hint="default"/>
                <w:spacing w:val="-9"/>
                <w:sz w:val="20"/>
                <w:szCs w:val="20"/>
              </w:rPr>
              <w:t> </w:t>
            </w:r>
            <w:r>
              <w:rPr>
                <w:rFonts w:ascii="黑体" w:hAnsi="黑体" w:cs="黑体" w:eastAsia="黑体" w:hint="default"/>
                <w:sz w:val="20"/>
                <w:szCs w:val="20"/>
              </w:rPr>
              <w:t>年</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0"/>
                <w:szCs w:val="20"/>
              </w:rPr>
            </w:pPr>
            <w:r>
              <w:rPr>
                <w:rFonts w:ascii="Arial"/>
                <w:w w:val="99"/>
                <w:sz w:val="20"/>
              </w:rPr>
              <w:t>1</w:t>
            </w:r>
            <w:r>
              <w:rPr>
                <w:rFonts w:ascii="Arial"/>
                <w:sz w:val="20"/>
              </w:rPr>
            </w:r>
          </w:p>
        </w:tc>
      </w:tr>
      <w:tr>
        <w:trPr>
          <w:trHeight w:val="425" w:hRule="exact"/>
        </w:trPr>
        <w:tc>
          <w:tcPr>
            <w:tcW w:w="1719" w:type="dxa"/>
            <w:tcBorders>
              <w:top w:val="nil" w:sz="6" w:space="0" w:color="auto"/>
              <w:left w:val="nil" w:sz="6" w:space="0" w:color="auto"/>
              <w:bottom w:val="nil" w:sz="6" w:space="0" w:color="auto"/>
              <w:right w:val="nil" w:sz="6" w:space="0" w:color="auto"/>
            </w:tcBorders>
          </w:tcPr>
          <w:p>
            <w:pPr>
              <w:pStyle w:val="TableParagraph"/>
              <w:spacing w:line="249" w:lineRule="exact"/>
              <w:ind w:left="204" w:right="0"/>
              <w:jc w:val="left"/>
              <w:rPr>
                <w:rFonts w:ascii="Arial" w:hAnsi="Arial" w:cs="Arial" w:eastAsia="Arial" w:hint="default"/>
                <w:sz w:val="20"/>
                <w:szCs w:val="20"/>
              </w:rPr>
            </w:pPr>
            <w:r>
              <w:rPr>
                <w:rFonts w:ascii="黑体" w:hAnsi="黑体" w:cs="黑体" w:eastAsia="黑体" w:hint="default"/>
                <w:sz w:val="20"/>
                <w:szCs w:val="20"/>
              </w:rPr>
              <w:t>单位</w:t>
            </w:r>
            <w:r>
              <w:rPr>
                <w:rFonts w:ascii="黑体" w:hAnsi="黑体" w:cs="黑体" w:eastAsia="黑体" w:hint="default"/>
                <w:spacing w:val="-53"/>
                <w:sz w:val="20"/>
                <w:szCs w:val="20"/>
              </w:rPr>
              <w:t> </w:t>
            </w:r>
            <w:r>
              <w:rPr>
                <w:rFonts w:ascii="Arial" w:hAnsi="Arial" w:cs="Arial" w:eastAsia="Arial" w:hint="default"/>
                <w:sz w:val="20"/>
                <w:szCs w:val="20"/>
              </w:rPr>
              <w:t>5</w:t>
            </w:r>
          </w:p>
        </w:tc>
        <w:tc>
          <w:tcPr>
            <w:tcW w:w="1959" w:type="dxa"/>
            <w:tcBorders>
              <w:top w:val="nil" w:sz="6" w:space="0" w:color="auto"/>
              <w:left w:val="nil" w:sz="6" w:space="0" w:color="auto"/>
              <w:bottom w:val="nil" w:sz="6" w:space="0" w:color="auto"/>
              <w:right w:val="nil" w:sz="6" w:space="0" w:color="auto"/>
            </w:tcBorders>
          </w:tcPr>
          <w:p>
            <w:pPr>
              <w:pStyle w:val="TableParagraph"/>
              <w:spacing w:line="235" w:lineRule="exact"/>
              <w:ind w:right="205"/>
              <w:jc w:val="right"/>
              <w:rPr>
                <w:rFonts w:ascii="黑体" w:hAnsi="黑体" w:cs="黑体" w:eastAsia="黑体" w:hint="default"/>
                <w:sz w:val="20"/>
                <w:szCs w:val="20"/>
              </w:rPr>
            </w:pPr>
            <w:r>
              <w:rPr>
                <w:rFonts w:ascii="黑体" w:hAnsi="黑体" w:cs="黑体" w:eastAsia="黑体" w:hint="default"/>
                <w:w w:val="95"/>
                <w:sz w:val="20"/>
                <w:szCs w:val="20"/>
              </w:rPr>
              <w:t>非关联方</w:t>
            </w:r>
            <w:r>
              <w:rPr>
                <w:rFonts w:ascii="黑体" w:hAnsi="黑体" w:cs="黑体" w:eastAsia="黑体" w:hint="default"/>
                <w:sz w:val="20"/>
                <w:szCs w:val="20"/>
              </w:rPr>
            </w: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6"/>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w w:val="95"/>
                <w:sz w:val="20"/>
                <w:u w:val="single" w:color="000000"/>
              </w:rPr>
              <w:t>8,668,000</w:t>
            </w:r>
            <w:r>
              <w:rPr>
                <w:rFonts w:ascii="Arial"/>
                <w:spacing w:val="-1"/>
                <w:w w:val="95"/>
                <w:sz w:val="20"/>
              </w:rPr>
            </w:r>
            <w:r>
              <w:rPr>
                <w:rFonts w:ascii="Arial"/>
                <w:sz w:val="20"/>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9" w:lineRule="exact"/>
              <w:ind w:right="31"/>
              <w:jc w:val="righ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9"/>
                <w:sz w:val="20"/>
                <w:szCs w:val="20"/>
              </w:rPr>
              <w:t> </w:t>
            </w:r>
            <w:r>
              <w:rPr>
                <w:rFonts w:ascii="黑体" w:hAnsi="黑体" w:cs="黑体" w:eastAsia="黑体" w:hint="default"/>
                <w:sz w:val="20"/>
                <w:szCs w:val="20"/>
              </w:rPr>
              <w:t>年以内</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8"/>
              <w:jc w:val="right"/>
              <w:rPr>
                <w:rFonts w:ascii="Arial" w:hAnsi="Arial" w:cs="Arial" w:eastAsia="Arial" w:hint="default"/>
                <w:sz w:val="20"/>
                <w:szCs w:val="20"/>
              </w:rPr>
            </w:pPr>
            <w:r>
              <w:rPr>
                <w:rFonts w:ascii="Arial"/>
                <w:w w:val="99"/>
                <w:sz w:val="20"/>
              </w:rPr>
            </w:r>
            <w:r>
              <w:rPr>
                <w:rFonts w:ascii="Arial"/>
                <w:w w:val="99"/>
                <w:sz w:val="20"/>
                <w:u w:val="single" w:color="000000"/>
              </w:rPr>
              <w:t>1</w:t>
            </w:r>
            <w:r>
              <w:rPr>
                <w:rFonts w:ascii="Arial"/>
                <w:w w:val="99"/>
                <w:sz w:val="20"/>
              </w:rPr>
            </w:r>
            <w:r>
              <w:rPr>
                <w:rFonts w:ascii="Arial"/>
                <w:sz w:val="20"/>
              </w:rPr>
            </w:r>
          </w:p>
        </w:tc>
      </w:tr>
      <w:tr>
        <w:trPr>
          <w:trHeight w:val="379" w:hRule="exact"/>
        </w:trPr>
        <w:tc>
          <w:tcPr>
            <w:tcW w:w="1719" w:type="dxa"/>
            <w:tcBorders>
              <w:top w:val="nil" w:sz="6" w:space="0" w:color="auto"/>
              <w:left w:val="nil" w:sz="6" w:space="0" w:color="auto"/>
              <w:bottom w:val="nil" w:sz="6" w:space="0" w:color="auto"/>
              <w:right w:val="nil" w:sz="6" w:space="0" w:color="auto"/>
            </w:tcBorders>
          </w:tcPr>
          <w:p>
            <w:pPr/>
          </w:p>
        </w:tc>
        <w:tc>
          <w:tcPr>
            <w:tcW w:w="1959" w:type="dxa"/>
            <w:tcBorders>
              <w:top w:val="nil" w:sz="6" w:space="0" w:color="auto"/>
              <w:left w:val="nil" w:sz="6" w:space="0" w:color="auto"/>
              <w:bottom w:val="nil" w:sz="6" w:space="0" w:color="auto"/>
              <w:right w:val="nil" w:sz="6" w:space="0" w:color="auto"/>
            </w:tcBorders>
          </w:tcPr>
          <w:p>
            <w:pPr/>
          </w:p>
        </w:tc>
        <w:tc>
          <w:tcPr>
            <w:tcW w:w="1244"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36"/>
              <w:jc w:val="right"/>
              <w:rPr>
                <w:rFonts w:ascii="Arial" w:hAnsi="Arial" w:cs="Arial" w:eastAsia="Arial" w:hint="default"/>
                <w:sz w:val="20"/>
                <w:szCs w:val="20"/>
              </w:rPr>
            </w:pPr>
            <w:r>
              <w:rPr>
                <w:rFonts w:ascii="Arial"/>
                <w:w w:val="99"/>
                <w:sz w:val="20"/>
              </w:rPr>
            </w:r>
            <w:r>
              <w:rPr>
                <w:rFonts w:ascii="Arial"/>
                <w:spacing w:val="-1"/>
                <w:sz w:val="20"/>
                <w:u w:val="thick" w:color="000000"/>
              </w:rPr>
              <w:t>58,880,040</w:t>
            </w:r>
            <w:r>
              <w:rPr>
                <w:rFonts w:ascii="Arial"/>
                <w:spacing w:val="-1"/>
                <w:sz w:val="20"/>
              </w:rPr>
            </w:r>
            <w:r>
              <w:rPr>
                <w:rFonts w:ascii="Arial"/>
                <w:sz w:val="20"/>
              </w:rPr>
            </w:r>
          </w:p>
        </w:tc>
        <w:tc>
          <w:tcPr>
            <w:tcW w:w="1620" w:type="dxa"/>
            <w:tcBorders>
              <w:top w:val="nil" w:sz="6" w:space="0" w:color="auto"/>
              <w:left w:val="nil" w:sz="6" w:space="0" w:color="auto"/>
              <w:bottom w:val="nil" w:sz="6" w:space="0" w:color="auto"/>
              <w:right w:val="nil" w:sz="6" w:space="0" w:color="auto"/>
            </w:tcBorders>
          </w:tcPr>
          <w:p>
            <w:pP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198"/>
              <w:jc w:val="right"/>
              <w:rPr>
                <w:rFonts w:ascii="Arial" w:hAnsi="Arial" w:cs="Arial" w:eastAsia="Arial" w:hint="default"/>
                <w:sz w:val="20"/>
                <w:szCs w:val="20"/>
              </w:rPr>
            </w:pPr>
            <w:r>
              <w:rPr>
                <w:rFonts w:ascii="Arial"/>
                <w:w w:val="99"/>
                <w:sz w:val="20"/>
              </w:rPr>
            </w:r>
            <w:r>
              <w:rPr>
                <w:rFonts w:ascii="Arial"/>
                <w:w w:val="99"/>
                <w:sz w:val="20"/>
                <w:u w:val="thick" w:color="000000"/>
              </w:rPr>
              <w:t>6</w:t>
            </w:r>
            <w:r>
              <w:rPr>
                <w:rFonts w:ascii="Arial"/>
                <w:w w:val="99"/>
                <w:sz w:val="20"/>
              </w:rPr>
            </w:r>
            <w:r>
              <w:rPr>
                <w:rFonts w:ascii="Arial"/>
                <w:sz w:val="20"/>
              </w:rPr>
            </w:r>
          </w:p>
        </w:tc>
      </w:tr>
    </w:tbl>
    <w:p>
      <w:pPr>
        <w:spacing w:line="240" w:lineRule="auto" w:before="9"/>
        <w:rPr>
          <w:rFonts w:ascii="黑体" w:hAnsi="黑体" w:cs="黑体" w:eastAsia="黑体" w:hint="default"/>
          <w:sz w:val="17"/>
          <w:szCs w:val="17"/>
        </w:rPr>
      </w:pPr>
    </w:p>
    <w:p>
      <w:pPr>
        <w:pStyle w:val="BodyText"/>
        <w:spacing w:line="240" w:lineRule="auto" w:before="37"/>
        <w:ind w:left="849" w:right="2891"/>
        <w:jc w:val="left"/>
      </w:pPr>
      <w:r>
        <w:rPr/>
        <w:t>应收关联方款项详见附注六、</w:t>
      </w:r>
      <w:r>
        <w:rPr>
          <w:rFonts w:ascii="Arial" w:hAnsi="Arial" w:cs="Arial" w:eastAsia="Arial" w:hint="default"/>
        </w:rPr>
        <w:t>6</w:t>
      </w:r>
      <w:r>
        <w:rPr/>
        <w:t>。</w:t>
      </w:r>
    </w:p>
    <w:p>
      <w:pPr>
        <w:spacing w:after="0" w:line="240" w:lineRule="auto"/>
        <w:jc w:val="left"/>
        <w:sectPr>
          <w:pgSz w:w="11910" w:h="16850"/>
          <w:pgMar w:header="957" w:footer="468" w:top="2640" w:bottom="660" w:left="1560" w:right="1420"/>
        </w:sectPr>
      </w:pPr>
    </w:p>
    <w:p>
      <w:pPr>
        <w:spacing w:line="240" w:lineRule="auto" w:before="5"/>
        <w:rPr>
          <w:rFonts w:ascii="黑体" w:hAnsi="黑体" w:cs="黑体" w:eastAsia="黑体" w:hint="default"/>
          <w:sz w:val="16"/>
          <w:szCs w:val="16"/>
        </w:rPr>
      </w:pPr>
    </w:p>
    <w:p>
      <w:pPr>
        <w:pStyle w:val="Heading6"/>
        <w:tabs>
          <w:tab w:pos="844" w:val="left" w:leader="none"/>
        </w:tabs>
        <w:spacing w:line="240" w:lineRule="auto"/>
        <w:ind w:left="141" w:right="0"/>
        <w:jc w:val="left"/>
        <w:rPr>
          <w:b w:val="0"/>
          <w:bCs w:val="0"/>
        </w:rPr>
      </w:pPr>
      <w:r>
        <w:rPr>
          <w:w w:val="95"/>
        </w:rPr>
        <w:t>五、</w:t>
        <w:tab/>
      </w:r>
      <w:bookmarkStart w:name="五、   合并财务报表主要项目注释（续）" w:id="67"/>
      <w:bookmarkEnd w:id="67"/>
      <w:r>
        <w:rPr/>
        <w:t>合并</w:t>
      </w:r>
      <w:r>
        <w:rPr/>
        <w:t>财务报表主要项目注释（续）</w:t>
      </w:r>
      <w:r>
        <w:rPr>
          <w:b w:val="0"/>
          <w:bCs w:val="0"/>
        </w:rPr>
      </w:r>
    </w:p>
    <w:p>
      <w:pPr>
        <w:spacing w:line="240" w:lineRule="auto" w:before="9"/>
        <w:rPr>
          <w:rFonts w:ascii="黑体" w:hAnsi="黑体" w:cs="黑体" w:eastAsia="黑体" w:hint="default"/>
          <w:b/>
          <w:bCs/>
          <w:sz w:val="18"/>
          <w:szCs w:val="18"/>
        </w:rPr>
      </w:pPr>
    </w:p>
    <w:p>
      <w:pPr>
        <w:tabs>
          <w:tab w:pos="863" w:val="left" w:leader="none"/>
        </w:tabs>
        <w:spacing w:line="424" w:lineRule="auto" w:before="0"/>
        <w:ind w:left="854" w:right="6532" w:hanging="713"/>
        <w:jc w:val="left"/>
        <w:rPr>
          <w:rFonts w:ascii="黑体" w:hAnsi="黑体" w:cs="黑体" w:eastAsia="黑体" w:hint="default"/>
          <w:sz w:val="20"/>
          <w:szCs w:val="20"/>
        </w:rPr>
      </w:pPr>
      <w:r>
        <w:rPr>
          <w:rFonts w:ascii="Arial" w:hAnsi="Arial" w:cs="Arial" w:eastAsia="Arial" w:hint="default"/>
          <w:b/>
          <w:bCs/>
          <w:spacing w:val="-1"/>
          <w:sz w:val="20"/>
          <w:szCs w:val="20"/>
        </w:rPr>
        <w:t>4.</w:t>
        <w:tab/>
        <w:tab/>
      </w:r>
      <w:r>
        <w:rPr>
          <w:rFonts w:ascii="黑体" w:hAnsi="黑体" w:cs="黑体" w:eastAsia="黑体" w:hint="default"/>
          <w:b/>
          <w:bCs/>
          <w:spacing w:val="1"/>
          <w:sz w:val="20"/>
          <w:szCs w:val="20"/>
        </w:rPr>
        <w:t>预付款项</w:t>
      </w:r>
      <w:r>
        <w:rPr>
          <w:rFonts w:ascii="黑体" w:hAnsi="黑体" w:cs="黑体" w:eastAsia="黑体" w:hint="default"/>
          <w:b/>
          <w:bCs/>
          <w:spacing w:val="2"/>
          <w:w w:val="99"/>
          <w:sz w:val="20"/>
          <w:szCs w:val="20"/>
        </w:rPr>
        <w:t> </w:t>
      </w:r>
      <w:r>
        <w:rPr>
          <w:rFonts w:ascii="黑体" w:hAnsi="黑体" w:cs="黑体" w:eastAsia="黑体" w:hint="default"/>
          <w:sz w:val="20"/>
          <w:szCs w:val="20"/>
        </w:rPr>
        <w:t>预付款项</w:t>
      </w:r>
      <w:bookmarkStart w:name="4.    预付款项" w:id="68"/>
      <w:bookmarkEnd w:id="68"/>
      <w:r>
        <w:rPr>
          <w:rFonts w:ascii="黑体" w:hAnsi="黑体" w:cs="黑体" w:eastAsia="黑体" w:hint="default"/>
          <w:sz w:val="20"/>
          <w:szCs w:val="20"/>
        </w:rPr>
        <w:t>的账</w:t>
      </w:r>
      <w:r>
        <w:rPr>
          <w:rFonts w:ascii="黑体" w:hAnsi="黑体" w:cs="黑体" w:eastAsia="黑体" w:hint="default"/>
          <w:sz w:val="20"/>
          <w:szCs w:val="20"/>
        </w:rPr>
        <w:t>龄分析如下：</w:t>
      </w:r>
    </w:p>
    <w:p>
      <w:pPr>
        <w:spacing w:line="240" w:lineRule="auto" w:before="4"/>
        <w:rPr>
          <w:rFonts w:ascii="黑体" w:hAnsi="黑体" w:cs="黑体" w:eastAsia="黑体" w:hint="default"/>
          <w:sz w:val="11"/>
          <w:szCs w:val="11"/>
        </w:rPr>
      </w:pPr>
    </w:p>
    <w:tbl>
      <w:tblPr>
        <w:tblW w:w="0" w:type="auto"/>
        <w:jc w:val="left"/>
        <w:tblInd w:w="649" w:type="dxa"/>
        <w:tblLayout w:type="fixed"/>
        <w:tblCellMar>
          <w:top w:w="0" w:type="dxa"/>
          <w:left w:w="0" w:type="dxa"/>
          <w:bottom w:w="0" w:type="dxa"/>
          <w:right w:w="0" w:type="dxa"/>
        </w:tblCellMar>
        <w:tblLook w:val="01E0"/>
      </w:tblPr>
      <w:tblGrid>
        <w:gridCol w:w="2187"/>
        <w:gridCol w:w="2048"/>
        <w:gridCol w:w="786"/>
        <w:gridCol w:w="1416"/>
        <w:gridCol w:w="1693"/>
        <w:gridCol w:w="717"/>
      </w:tblGrid>
      <w:tr>
        <w:trPr>
          <w:trHeight w:val="234" w:hRule="exact"/>
        </w:trPr>
        <w:tc>
          <w:tcPr>
            <w:tcW w:w="5022" w:type="dxa"/>
            <w:gridSpan w:val="3"/>
            <w:tcBorders>
              <w:top w:val="nil" w:sz="6" w:space="0" w:color="auto"/>
              <w:left w:val="nil" w:sz="6" w:space="0" w:color="auto"/>
              <w:bottom w:val="nil" w:sz="6" w:space="0" w:color="auto"/>
              <w:right w:val="nil" w:sz="6" w:space="0" w:color="auto"/>
            </w:tcBorders>
          </w:tcPr>
          <w:p>
            <w:pPr>
              <w:pStyle w:val="TableParagraph"/>
              <w:spacing w:line="214" w:lineRule="exact"/>
              <w:ind w:right="5"/>
              <w:jc w:val="right"/>
              <w:rPr>
                <w:rFonts w:ascii="黑体" w:hAnsi="黑体" w:cs="黑体" w:eastAsia="黑体" w:hint="default"/>
                <w:sz w:val="20"/>
                <w:szCs w:val="20"/>
              </w:rPr>
            </w:pPr>
            <w:r>
              <w:rPr>
                <w:rFonts w:ascii="Arial" w:hAnsi="Arial" w:cs="Arial" w:eastAsia="Arial" w:hint="default"/>
                <w:w w:val="95"/>
                <w:sz w:val="20"/>
                <w:szCs w:val="20"/>
              </w:rPr>
              <w:t>2012</w:t>
            </w:r>
            <w:r>
              <w:rPr>
                <w:rFonts w:ascii="黑体" w:hAnsi="黑体" w:cs="黑体" w:eastAsia="黑体" w:hint="default"/>
                <w:w w:val="95"/>
                <w:sz w:val="20"/>
                <w:szCs w:val="20"/>
              </w:rPr>
              <w:t>年</w:t>
            </w:r>
            <w:r>
              <w:rPr>
                <w:rFonts w:ascii="Arial" w:hAnsi="Arial" w:cs="Arial" w:eastAsia="Arial" w:hint="default"/>
                <w:w w:val="95"/>
                <w:sz w:val="20"/>
                <w:szCs w:val="20"/>
              </w:rPr>
              <w:t>12</w:t>
            </w:r>
            <w:r>
              <w:rPr>
                <w:rFonts w:ascii="黑体" w:hAnsi="黑体" w:cs="黑体" w:eastAsia="黑体" w:hint="default"/>
                <w:w w:val="95"/>
                <w:sz w:val="20"/>
                <w:szCs w:val="20"/>
              </w:rPr>
              <w:t>月</w:t>
            </w:r>
            <w:r>
              <w:rPr>
                <w:rFonts w:ascii="Arial" w:hAnsi="Arial" w:cs="Arial" w:eastAsia="Arial" w:hint="default"/>
                <w:w w:val="95"/>
                <w:sz w:val="20"/>
                <w:szCs w:val="20"/>
              </w:rPr>
              <w:t>31</w:t>
            </w:r>
            <w:r>
              <w:rPr>
                <w:rFonts w:ascii="黑体" w:hAnsi="黑体" w:cs="黑体" w:eastAsia="黑体" w:hint="default"/>
                <w:w w:val="95"/>
                <w:sz w:val="20"/>
                <w:szCs w:val="20"/>
              </w:rPr>
              <w:t>日</w:t>
            </w:r>
            <w:r>
              <w:rPr>
                <w:rFonts w:ascii="黑体" w:hAnsi="黑体" w:cs="黑体" w:eastAsia="黑体" w:hint="default"/>
                <w:sz w:val="20"/>
                <w:szCs w:val="20"/>
              </w:rPr>
            </w:r>
          </w:p>
        </w:tc>
        <w:tc>
          <w:tcPr>
            <w:tcW w:w="3826" w:type="dxa"/>
            <w:gridSpan w:val="3"/>
            <w:tcBorders>
              <w:top w:val="nil" w:sz="6" w:space="0" w:color="auto"/>
              <w:left w:val="nil" w:sz="6" w:space="0" w:color="auto"/>
              <w:bottom w:val="nil" w:sz="6" w:space="0" w:color="auto"/>
              <w:right w:val="nil" w:sz="6" w:space="0" w:color="auto"/>
            </w:tcBorders>
          </w:tcPr>
          <w:p>
            <w:pPr>
              <w:pStyle w:val="TableParagraph"/>
              <w:spacing w:line="214" w:lineRule="exact"/>
              <w:ind w:left="2299"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w:t>
            </w:r>
          </w:p>
        </w:tc>
      </w:tr>
      <w:tr>
        <w:trPr>
          <w:trHeight w:val="278" w:hRule="exact"/>
        </w:trPr>
        <w:tc>
          <w:tcPr>
            <w:tcW w:w="2187" w:type="dxa"/>
            <w:tcBorders>
              <w:top w:val="nil" w:sz="6" w:space="0" w:color="auto"/>
              <w:left w:val="nil" w:sz="6" w:space="0" w:color="auto"/>
              <w:bottom w:val="nil" w:sz="6" w:space="0" w:color="auto"/>
              <w:right w:val="nil" w:sz="6" w:space="0" w:color="auto"/>
            </w:tcBorders>
          </w:tcPr>
          <w:p>
            <w:pPr/>
          </w:p>
        </w:tc>
        <w:tc>
          <w:tcPr>
            <w:tcW w:w="2048" w:type="dxa"/>
            <w:tcBorders>
              <w:top w:val="single" w:sz="4" w:space="0" w:color="000000"/>
              <w:left w:val="nil" w:sz="6" w:space="0" w:color="auto"/>
              <w:bottom w:val="nil" w:sz="6" w:space="0" w:color="auto"/>
              <w:right w:val="nil" w:sz="6" w:space="0" w:color="auto"/>
            </w:tcBorders>
          </w:tcPr>
          <w:p>
            <w:pPr>
              <w:pStyle w:val="TableParagraph"/>
              <w:spacing w:line="239" w:lineRule="exact"/>
              <w:ind w:right="354"/>
              <w:jc w:val="right"/>
              <w:rPr>
                <w:rFonts w:ascii="黑体" w:hAnsi="黑体" w:cs="黑体" w:eastAsia="黑体" w:hint="default"/>
                <w:sz w:val="20"/>
                <w:szCs w:val="20"/>
              </w:rPr>
            </w:pPr>
            <w:r>
              <w:rPr>
                <w:rFonts w:ascii="黑体" w:hAnsi="黑体" w:cs="黑体" w:eastAsia="黑体" w:hint="default"/>
                <w:w w:val="95"/>
                <w:sz w:val="20"/>
                <w:szCs w:val="20"/>
              </w:rPr>
              <w:t>账面</w:t>
            </w:r>
            <w:r>
              <w:rPr>
                <w:rFonts w:ascii="黑体" w:hAnsi="黑体" w:cs="黑体" w:eastAsia="黑体" w:hint="default"/>
                <w:sz w:val="20"/>
                <w:szCs w:val="20"/>
              </w:rPr>
            </w:r>
          </w:p>
        </w:tc>
        <w:tc>
          <w:tcPr>
            <w:tcW w:w="786" w:type="dxa"/>
            <w:tcBorders>
              <w:top w:val="single" w:sz="4" w:space="0" w:color="000000"/>
              <w:left w:val="nil" w:sz="6" w:space="0" w:color="auto"/>
              <w:bottom w:val="nil" w:sz="6" w:space="0" w:color="auto"/>
              <w:right w:val="nil" w:sz="6" w:space="0" w:color="auto"/>
            </w:tcBorders>
          </w:tcPr>
          <w:p>
            <w:pPr>
              <w:pStyle w:val="TableParagraph"/>
              <w:spacing w:line="239" w:lineRule="exact"/>
              <w:ind w:right="31"/>
              <w:jc w:val="right"/>
              <w:rPr>
                <w:rFonts w:ascii="黑体" w:hAnsi="黑体" w:cs="黑体" w:eastAsia="黑体" w:hint="default"/>
                <w:sz w:val="20"/>
                <w:szCs w:val="20"/>
              </w:rPr>
            </w:pPr>
            <w:r>
              <w:rPr>
                <w:rFonts w:ascii="黑体" w:hAnsi="黑体" w:cs="黑体" w:eastAsia="黑体" w:hint="default"/>
                <w:w w:val="95"/>
                <w:sz w:val="20"/>
                <w:szCs w:val="20"/>
              </w:rPr>
              <w:t>比例</w:t>
            </w:r>
            <w:r>
              <w:rPr>
                <w:rFonts w:ascii="黑体" w:hAnsi="黑体" w:cs="黑体" w:eastAsia="黑体" w:hint="default"/>
                <w:sz w:val="20"/>
                <w:szCs w:val="20"/>
              </w:rPr>
            </w:r>
          </w:p>
        </w:tc>
        <w:tc>
          <w:tcPr>
            <w:tcW w:w="1416" w:type="dxa"/>
            <w:tcBorders>
              <w:top w:val="nil" w:sz="6" w:space="0" w:color="auto"/>
              <w:left w:val="nil" w:sz="6" w:space="0" w:color="auto"/>
              <w:bottom w:val="nil" w:sz="6" w:space="0" w:color="auto"/>
              <w:right w:val="nil" w:sz="6" w:space="0" w:color="auto"/>
            </w:tcBorders>
          </w:tcPr>
          <w:p>
            <w:pPr/>
          </w:p>
        </w:tc>
        <w:tc>
          <w:tcPr>
            <w:tcW w:w="1693" w:type="dxa"/>
            <w:tcBorders>
              <w:top w:val="single" w:sz="4" w:space="0" w:color="000000"/>
              <w:left w:val="nil" w:sz="6" w:space="0" w:color="auto"/>
              <w:bottom w:val="nil" w:sz="6" w:space="0" w:color="auto"/>
              <w:right w:val="nil" w:sz="6" w:space="0" w:color="auto"/>
            </w:tcBorders>
          </w:tcPr>
          <w:p>
            <w:pPr>
              <w:pStyle w:val="TableParagraph"/>
              <w:spacing w:line="239" w:lineRule="exact"/>
              <w:ind w:right="279"/>
              <w:jc w:val="right"/>
              <w:rPr>
                <w:rFonts w:ascii="黑体" w:hAnsi="黑体" w:cs="黑体" w:eastAsia="黑体" w:hint="default"/>
                <w:sz w:val="20"/>
                <w:szCs w:val="20"/>
              </w:rPr>
            </w:pPr>
            <w:r>
              <w:rPr>
                <w:rFonts w:ascii="黑体" w:hAnsi="黑体" w:cs="黑体" w:eastAsia="黑体" w:hint="default"/>
                <w:w w:val="95"/>
                <w:sz w:val="20"/>
                <w:szCs w:val="20"/>
              </w:rPr>
              <w:t>账面</w:t>
            </w:r>
            <w:r>
              <w:rPr>
                <w:rFonts w:ascii="黑体" w:hAnsi="黑体" w:cs="黑体" w:eastAsia="黑体" w:hint="default"/>
                <w:sz w:val="20"/>
                <w:szCs w:val="20"/>
              </w:rPr>
            </w:r>
          </w:p>
        </w:tc>
        <w:tc>
          <w:tcPr>
            <w:tcW w:w="717" w:type="dxa"/>
            <w:tcBorders>
              <w:top w:val="single" w:sz="4" w:space="0" w:color="000000"/>
              <w:left w:val="nil" w:sz="6" w:space="0" w:color="auto"/>
              <w:bottom w:val="nil" w:sz="6" w:space="0" w:color="auto"/>
              <w:right w:val="nil" w:sz="6" w:space="0" w:color="auto"/>
            </w:tcBorders>
          </w:tcPr>
          <w:p>
            <w:pPr>
              <w:pStyle w:val="TableParagraph"/>
              <w:spacing w:line="239" w:lineRule="exact"/>
              <w:ind w:right="36"/>
              <w:jc w:val="right"/>
              <w:rPr>
                <w:rFonts w:ascii="黑体" w:hAnsi="黑体" w:cs="黑体" w:eastAsia="黑体" w:hint="default"/>
                <w:sz w:val="20"/>
                <w:szCs w:val="20"/>
              </w:rPr>
            </w:pPr>
            <w:r>
              <w:rPr>
                <w:rFonts w:ascii="黑体" w:hAnsi="黑体" w:cs="黑体" w:eastAsia="黑体" w:hint="default"/>
                <w:w w:val="95"/>
                <w:sz w:val="20"/>
                <w:szCs w:val="20"/>
              </w:rPr>
              <w:t>比例</w:t>
            </w:r>
            <w:r>
              <w:rPr>
                <w:rFonts w:ascii="黑体" w:hAnsi="黑体" w:cs="黑体" w:eastAsia="黑体" w:hint="default"/>
                <w:sz w:val="20"/>
                <w:szCs w:val="20"/>
              </w:rPr>
            </w:r>
          </w:p>
        </w:tc>
      </w:tr>
      <w:tr>
        <w:trPr>
          <w:trHeight w:val="404" w:hRule="exact"/>
        </w:trPr>
        <w:tc>
          <w:tcPr>
            <w:tcW w:w="2187" w:type="dxa"/>
            <w:tcBorders>
              <w:top w:val="nil" w:sz="6" w:space="0" w:color="auto"/>
              <w:left w:val="nil" w:sz="6" w:space="0" w:color="auto"/>
              <w:bottom w:val="nil" w:sz="6" w:space="0" w:color="auto"/>
              <w:right w:val="nil" w:sz="6" w:space="0" w:color="auto"/>
            </w:tcBorders>
          </w:tcPr>
          <w:p>
            <w:pPr/>
          </w:p>
        </w:tc>
        <w:tc>
          <w:tcPr>
            <w:tcW w:w="2048" w:type="dxa"/>
            <w:tcBorders>
              <w:top w:val="nil" w:sz="6" w:space="0" w:color="auto"/>
              <w:left w:val="nil" w:sz="6" w:space="0" w:color="auto"/>
              <w:bottom w:val="nil" w:sz="6" w:space="0" w:color="auto"/>
              <w:right w:val="nil" w:sz="6" w:space="0" w:color="auto"/>
            </w:tcBorders>
          </w:tcPr>
          <w:p>
            <w:pPr>
              <w:pStyle w:val="TableParagraph"/>
              <w:spacing w:line="233" w:lineRule="exact"/>
              <w:ind w:right="354"/>
              <w:jc w:val="right"/>
              <w:rPr>
                <w:rFonts w:ascii="黑体" w:hAnsi="黑体" w:cs="黑体" w:eastAsia="黑体" w:hint="default"/>
                <w:sz w:val="20"/>
                <w:szCs w:val="20"/>
              </w:rPr>
            </w:pPr>
            <w:r>
              <w:rPr>
                <w:rFonts w:ascii="黑体" w:hAnsi="黑体" w:cs="黑体" w:eastAsia="黑体" w:hint="default"/>
                <w:w w:val="95"/>
                <w:sz w:val="20"/>
                <w:szCs w:val="20"/>
              </w:rPr>
              <w:t>余额</w:t>
            </w:r>
            <w:r>
              <w:rPr>
                <w:rFonts w:ascii="黑体" w:hAnsi="黑体" w:cs="黑体" w:eastAsia="黑体" w:hint="default"/>
                <w:sz w:val="20"/>
                <w:szCs w:val="20"/>
              </w:rPr>
            </w: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9"/>
              <w:jc w:val="right"/>
              <w:rPr>
                <w:rFonts w:ascii="Arial" w:hAnsi="Arial" w:cs="Arial" w:eastAsia="Arial" w:hint="default"/>
                <w:sz w:val="20"/>
                <w:szCs w:val="20"/>
              </w:rPr>
            </w:pPr>
            <w:r>
              <w:rPr>
                <w:rFonts w:ascii="Arial"/>
                <w:w w:val="99"/>
                <w:sz w:val="20"/>
              </w:rPr>
              <w:t>%</w:t>
            </w:r>
            <w:r>
              <w:rPr>
                <w:rFonts w:ascii="Arial"/>
                <w:sz w:val="20"/>
              </w:rPr>
            </w:r>
          </w:p>
        </w:tc>
        <w:tc>
          <w:tcPr>
            <w:tcW w:w="1416"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33" w:lineRule="exact"/>
              <w:ind w:right="279"/>
              <w:jc w:val="right"/>
              <w:rPr>
                <w:rFonts w:ascii="黑体" w:hAnsi="黑体" w:cs="黑体" w:eastAsia="黑体" w:hint="default"/>
                <w:sz w:val="20"/>
                <w:szCs w:val="20"/>
              </w:rPr>
            </w:pPr>
            <w:r>
              <w:rPr>
                <w:rFonts w:ascii="黑体" w:hAnsi="黑体" w:cs="黑体" w:eastAsia="黑体" w:hint="default"/>
                <w:w w:val="95"/>
                <w:sz w:val="20"/>
                <w:szCs w:val="20"/>
              </w:rPr>
              <w:t>余额</w:t>
            </w:r>
            <w:r>
              <w:rPr>
                <w:rFonts w:ascii="黑体" w:hAnsi="黑体" w:cs="黑体" w:eastAsia="黑体" w:hint="default"/>
                <w:sz w:val="20"/>
                <w:szCs w:val="20"/>
              </w:rPr>
            </w: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4"/>
              <w:jc w:val="right"/>
              <w:rPr>
                <w:rFonts w:ascii="Arial" w:hAnsi="Arial" w:cs="Arial" w:eastAsia="Arial" w:hint="default"/>
                <w:sz w:val="20"/>
                <w:szCs w:val="20"/>
              </w:rPr>
            </w:pPr>
            <w:r>
              <w:rPr>
                <w:rFonts w:ascii="Arial"/>
                <w:w w:val="99"/>
                <w:sz w:val="20"/>
              </w:rPr>
              <w:t>%</w:t>
            </w:r>
            <w:r>
              <w:rPr>
                <w:rFonts w:ascii="Arial"/>
                <w:sz w:val="20"/>
              </w:rPr>
            </w:r>
          </w:p>
        </w:tc>
      </w:tr>
      <w:tr>
        <w:trPr>
          <w:trHeight w:val="401" w:hRule="exact"/>
        </w:trPr>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00" w:right="0"/>
              <w:jc w:val="left"/>
              <w:rPr>
                <w:rFonts w:ascii="黑体" w:hAnsi="黑体" w:cs="黑体" w:eastAsia="黑体" w:hint="default"/>
                <w:sz w:val="20"/>
                <w:szCs w:val="20"/>
              </w:rPr>
            </w:pPr>
            <w:r>
              <w:rPr>
                <w:rFonts w:ascii="Arial" w:hAnsi="Arial" w:cs="Arial" w:eastAsia="Arial" w:hint="default"/>
                <w:sz w:val="20"/>
                <w:szCs w:val="20"/>
              </w:rPr>
              <w:t>1</w:t>
            </w:r>
            <w:r>
              <w:rPr>
                <w:rFonts w:ascii="黑体" w:hAnsi="黑体" w:cs="黑体" w:eastAsia="黑体" w:hint="default"/>
                <w:sz w:val="20"/>
                <w:szCs w:val="20"/>
              </w:rPr>
              <w:t>年以内</w:t>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352"/>
              <w:jc w:val="right"/>
              <w:rPr>
                <w:rFonts w:ascii="Arial" w:hAnsi="Arial" w:cs="Arial" w:eastAsia="Arial" w:hint="default"/>
                <w:sz w:val="20"/>
                <w:szCs w:val="20"/>
              </w:rPr>
            </w:pPr>
            <w:r>
              <w:rPr>
                <w:rFonts w:ascii="Arial"/>
                <w:spacing w:val="-1"/>
                <w:sz w:val="20"/>
              </w:rPr>
              <w:t>27,193,152</w:t>
            </w:r>
            <w:r>
              <w:rPr>
                <w:rFonts w:ascii="Arial"/>
                <w:sz w:val="20"/>
              </w:rPr>
            </w: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31"/>
              <w:jc w:val="right"/>
              <w:rPr>
                <w:rFonts w:ascii="Arial" w:hAnsi="Arial" w:cs="Arial" w:eastAsia="Arial" w:hint="default"/>
                <w:sz w:val="20"/>
                <w:szCs w:val="20"/>
              </w:rPr>
            </w:pPr>
            <w:r>
              <w:rPr>
                <w:rFonts w:ascii="Arial"/>
                <w:spacing w:val="-1"/>
                <w:w w:val="95"/>
                <w:sz w:val="20"/>
              </w:rPr>
              <w:t>93</w:t>
            </w:r>
            <w:r>
              <w:rPr>
                <w:rFonts w:ascii="Arial"/>
                <w:sz w:val="20"/>
              </w:rPr>
            </w:r>
          </w:p>
        </w:tc>
        <w:tc>
          <w:tcPr>
            <w:tcW w:w="1416"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279"/>
              <w:jc w:val="right"/>
              <w:rPr>
                <w:rFonts w:ascii="Arial" w:hAnsi="Arial" w:cs="Arial" w:eastAsia="Arial" w:hint="default"/>
                <w:sz w:val="20"/>
                <w:szCs w:val="20"/>
              </w:rPr>
            </w:pPr>
            <w:r>
              <w:rPr>
                <w:rFonts w:ascii="Arial"/>
                <w:spacing w:val="-1"/>
                <w:sz w:val="20"/>
              </w:rPr>
              <w:t>3,740,378</w:t>
            </w: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34"/>
              <w:jc w:val="right"/>
              <w:rPr>
                <w:rFonts w:ascii="Arial" w:hAnsi="Arial" w:cs="Arial" w:eastAsia="Arial" w:hint="default"/>
                <w:sz w:val="20"/>
                <w:szCs w:val="20"/>
              </w:rPr>
            </w:pPr>
            <w:r>
              <w:rPr>
                <w:rFonts w:ascii="Arial"/>
                <w:spacing w:val="-1"/>
                <w:w w:val="95"/>
                <w:sz w:val="20"/>
              </w:rPr>
              <w:t>76</w:t>
            </w:r>
            <w:r>
              <w:rPr>
                <w:rFonts w:ascii="Arial"/>
                <w:sz w:val="20"/>
              </w:rPr>
            </w:r>
          </w:p>
        </w:tc>
      </w:tr>
      <w:tr>
        <w:trPr>
          <w:trHeight w:val="268" w:hRule="exact"/>
        </w:trPr>
        <w:tc>
          <w:tcPr>
            <w:tcW w:w="2187" w:type="dxa"/>
            <w:tcBorders>
              <w:top w:val="nil" w:sz="6" w:space="0" w:color="auto"/>
              <w:left w:val="nil" w:sz="6" w:space="0" w:color="auto"/>
              <w:bottom w:val="nil" w:sz="6" w:space="0" w:color="auto"/>
              <w:right w:val="nil" w:sz="6" w:space="0" w:color="auto"/>
            </w:tcBorders>
          </w:tcPr>
          <w:p>
            <w:pPr>
              <w:pStyle w:val="TableParagraph"/>
              <w:spacing w:line="243" w:lineRule="exact"/>
              <w:ind w:left="200" w:right="0"/>
              <w:jc w:val="left"/>
              <w:rPr>
                <w:rFonts w:ascii="黑体" w:hAnsi="黑体" w:cs="黑体" w:eastAsia="黑体" w:hint="default"/>
                <w:sz w:val="20"/>
                <w:szCs w:val="20"/>
              </w:rPr>
            </w:pPr>
            <w:r>
              <w:rPr>
                <w:rFonts w:ascii="Arial" w:hAnsi="Arial" w:cs="Arial" w:eastAsia="Arial" w:hint="default"/>
                <w:sz w:val="20"/>
                <w:szCs w:val="20"/>
              </w:rPr>
              <w:t>1</w:t>
            </w:r>
            <w:r>
              <w:rPr>
                <w:rFonts w:ascii="黑体" w:hAnsi="黑体" w:cs="黑体" w:eastAsia="黑体" w:hint="default"/>
                <w:sz w:val="20"/>
                <w:szCs w:val="20"/>
              </w:rPr>
              <w:t>年至</w:t>
            </w:r>
            <w:r>
              <w:rPr>
                <w:rFonts w:ascii="Arial" w:hAnsi="Arial" w:cs="Arial" w:eastAsia="Arial" w:hint="default"/>
                <w:sz w:val="20"/>
                <w:szCs w:val="20"/>
              </w:rPr>
              <w:t>2</w:t>
            </w:r>
            <w:r>
              <w:rPr>
                <w:rFonts w:ascii="黑体" w:hAnsi="黑体" w:cs="黑体" w:eastAsia="黑体" w:hint="default"/>
                <w:sz w:val="20"/>
                <w:szCs w:val="20"/>
              </w:rPr>
              <w:t>年</w:t>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53"/>
              <w:jc w:val="right"/>
              <w:rPr>
                <w:rFonts w:ascii="Arial" w:hAnsi="Arial" w:cs="Arial" w:eastAsia="Arial" w:hint="default"/>
                <w:sz w:val="20"/>
                <w:szCs w:val="20"/>
              </w:rPr>
            </w:pPr>
            <w:r>
              <w:rPr>
                <w:rFonts w:ascii="Arial"/>
                <w:spacing w:val="-1"/>
                <w:sz w:val="20"/>
              </w:rPr>
              <w:t>2,051,657</w:t>
            </w: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8"/>
              <w:jc w:val="right"/>
              <w:rPr>
                <w:rFonts w:ascii="Arial" w:hAnsi="Arial" w:cs="Arial" w:eastAsia="Arial" w:hint="default"/>
                <w:sz w:val="20"/>
                <w:szCs w:val="20"/>
              </w:rPr>
            </w:pPr>
            <w:r>
              <w:rPr>
                <w:rFonts w:ascii="Arial"/>
                <w:w w:val="99"/>
                <w:sz w:val="20"/>
              </w:rPr>
              <w:t>7</w:t>
            </w:r>
            <w:r>
              <w:rPr>
                <w:rFonts w:ascii="Arial"/>
                <w:sz w:val="20"/>
              </w:rPr>
            </w:r>
          </w:p>
        </w:tc>
        <w:tc>
          <w:tcPr>
            <w:tcW w:w="1416"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79"/>
              <w:jc w:val="right"/>
              <w:rPr>
                <w:rFonts w:ascii="Arial" w:hAnsi="Arial" w:cs="Arial" w:eastAsia="Arial" w:hint="default"/>
                <w:sz w:val="20"/>
                <w:szCs w:val="20"/>
              </w:rPr>
            </w:pPr>
            <w:r>
              <w:rPr>
                <w:rFonts w:ascii="Arial"/>
                <w:spacing w:val="-1"/>
                <w:sz w:val="20"/>
              </w:rPr>
              <w:t>1,105,212</w:t>
            </w: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4"/>
              <w:jc w:val="right"/>
              <w:rPr>
                <w:rFonts w:ascii="Arial" w:hAnsi="Arial" w:cs="Arial" w:eastAsia="Arial" w:hint="default"/>
                <w:sz w:val="20"/>
                <w:szCs w:val="20"/>
              </w:rPr>
            </w:pPr>
            <w:r>
              <w:rPr>
                <w:rFonts w:ascii="Arial"/>
                <w:spacing w:val="-1"/>
                <w:w w:val="95"/>
                <w:sz w:val="20"/>
              </w:rPr>
              <w:t>23</w:t>
            </w:r>
            <w:r>
              <w:rPr>
                <w:rFonts w:ascii="Arial"/>
                <w:sz w:val="20"/>
              </w:rPr>
            </w:r>
          </w:p>
        </w:tc>
      </w:tr>
      <w:tr>
        <w:trPr>
          <w:trHeight w:val="268" w:hRule="exact"/>
        </w:trPr>
        <w:tc>
          <w:tcPr>
            <w:tcW w:w="2187" w:type="dxa"/>
            <w:tcBorders>
              <w:top w:val="nil" w:sz="6" w:space="0" w:color="auto"/>
              <w:left w:val="nil" w:sz="6" w:space="0" w:color="auto"/>
              <w:bottom w:val="nil" w:sz="6" w:space="0" w:color="auto"/>
              <w:right w:val="nil" w:sz="6" w:space="0" w:color="auto"/>
            </w:tcBorders>
          </w:tcPr>
          <w:p>
            <w:pPr>
              <w:pStyle w:val="TableParagraph"/>
              <w:spacing w:line="242" w:lineRule="exact"/>
              <w:ind w:left="200" w:right="0"/>
              <w:jc w:val="left"/>
              <w:rPr>
                <w:rFonts w:ascii="黑体" w:hAnsi="黑体" w:cs="黑体" w:eastAsia="黑体" w:hint="default"/>
                <w:sz w:val="20"/>
                <w:szCs w:val="20"/>
              </w:rPr>
            </w:pPr>
            <w:r>
              <w:rPr>
                <w:rFonts w:ascii="Arial" w:hAnsi="Arial" w:cs="Arial" w:eastAsia="Arial" w:hint="default"/>
                <w:sz w:val="20"/>
                <w:szCs w:val="20"/>
              </w:rPr>
              <w:t>2</w:t>
            </w:r>
            <w:r>
              <w:rPr>
                <w:rFonts w:ascii="黑体" w:hAnsi="黑体" w:cs="黑体" w:eastAsia="黑体" w:hint="default"/>
                <w:sz w:val="20"/>
                <w:szCs w:val="20"/>
              </w:rPr>
              <w:t>年至</w:t>
            </w:r>
            <w:r>
              <w:rPr>
                <w:rFonts w:ascii="Arial" w:hAnsi="Arial" w:cs="Arial" w:eastAsia="Arial" w:hint="default"/>
                <w:sz w:val="20"/>
                <w:szCs w:val="20"/>
              </w:rPr>
              <w:t>3</w:t>
            </w:r>
            <w:r>
              <w:rPr>
                <w:rFonts w:ascii="黑体" w:hAnsi="黑体" w:cs="黑体" w:eastAsia="黑体" w:hint="default"/>
                <w:sz w:val="20"/>
                <w:szCs w:val="20"/>
              </w:rPr>
              <w:t>年</w:t>
            </w: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54"/>
              <w:jc w:val="right"/>
              <w:rPr>
                <w:rFonts w:ascii="Arial" w:hAnsi="Arial" w:cs="Arial" w:eastAsia="Arial" w:hint="default"/>
                <w:sz w:val="20"/>
                <w:szCs w:val="20"/>
              </w:rPr>
            </w:pPr>
            <w:r>
              <w:rPr>
                <w:rFonts w:ascii="Arial"/>
                <w:spacing w:val="-1"/>
                <w:sz w:val="20"/>
              </w:rPr>
              <w:t>98,025</w:t>
            </w:r>
            <w:r>
              <w:rPr>
                <w:rFonts w:ascii="Arial"/>
                <w:sz w:val="20"/>
              </w:rPr>
            </w: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2"/>
              <w:jc w:val="right"/>
              <w:rPr>
                <w:rFonts w:ascii="Arial" w:hAnsi="Arial" w:cs="Arial" w:eastAsia="Arial" w:hint="default"/>
                <w:sz w:val="20"/>
                <w:szCs w:val="20"/>
              </w:rPr>
            </w:pPr>
            <w:r>
              <w:rPr>
                <w:rFonts w:ascii="Arial"/>
                <w:spacing w:val="-2"/>
                <w:w w:val="95"/>
                <w:sz w:val="20"/>
              </w:rPr>
              <w:t>&lt;1</w:t>
            </w:r>
            <w:r>
              <w:rPr>
                <w:rFonts w:ascii="Arial"/>
                <w:sz w:val="20"/>
              </w:rPr>
            </w:r>
          </w:p>
        </w:tc>
        <w:tc>
          <w:tcPr>
            <w:tcW w:w="1416"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78"/>
              <w:jc w:val="right"/>
              <w:rPr>
                <w:rFonts w:ascii="Arial" w:hAnsi="Arial" w:cs="Arial" w:eastAsia="Arial" w:hint="default"/>
                <w:sz w:val="20"/>
                <w:szCs w:val="20"/>
              </w:rPr>
            </w:pPr>
            <w:r>
              <w:rPr>
                <w:rFonts w:ascii="Arial"/>
                <w:w w:val="99"/>
                <w:sz w:val="20"/>
              </w:rPr>
              <w:t>-</w:t>
            </w:r>
            <w:r>
              <w:rPr>
                <w:rFonts w:ascii="Arial"/>
                <w:sz w:val="20"/>
              </w:rPr>
            </w: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2"/>
              <w:jc w:val="right"/>
              <w:rPr>
                <w:rFonts w:ascii="Arial" w:hAnsi="Arial" w:cs="Arial" w:eastAsia="Arial" w:hint="default"/>
                <w:sz w:val="20"/>
                <w:szCs w:val="20"/>
              </w:rPr>
            </w:pPr>
            <w:r>
              <w:rPr>
                <w:rFonts w:ascii="Arial"/>
                <w:w w:val="99"/>
                <w:sz w:val="20"/>
              </w:rPr>
              <w:t>-</w:t>
            </w:r>
            <w:r>
              <w:rPr>
                <w:rFonts w:ascii="Arial"/>
                <w:sz w:val="20"/>
              </w:rPr>
            </w:r>
          </w:p>
        </w:tc>
      </w:tr>
      <w:tr>
        <w:trPr>
          <w:trHeight w:val="407" w:hRule="exact"/>
        </w:trPr>
        <w:tc>
          <w:tcPr>
            <w:tcW w:w="2187" w:type="dxa"/>
            <w:tcBorders>
              <w:top w:val="nil" w:sz="6" w:space="0" w:color="auto"/>
              <w:left w:val="nil" w:sz="6" w:space="0" w:color="auto"/>
              <w:bottom w:val="nil" w:sz="6" w:space="0" w:color="auto"/>
              <w:right w:val="nil" w:sz="6" w:space="0" w:color="auto"/>
            </w:tcBorders>
          </w:tcPr>
          <w:p>
            <w:pPr>
              <w:pStyle w:val="TableParagraph"/>
              <w:spacing w:line="243" w:lineRule="exact"/>
              <w:ind w:left="200" w:right="0"/>
              <w:jc w:val="left"/>
              <w:rPr>
                <w:rFonts w:ascii="黑体" w:hAnsi="黑体" w:cs="黑体" w:eastAsia="黑体" w:hint="default"/>
                <w:sz w:val="20"/>
                <w:szCs w:val="20"/>
              </w:rPr>
            </w:pPr>
            <w:r>
              <w:rPr>
                <w:rFonts w:ascii="Arial" w:hAnsi="Arial" w:cs="Arial" w:eastAsia="Arial" w:hint="default"/>
                <w:sz w:val="20"/>
                <w:szCs w:val="20"/>
              </w:rPr>
              <w:t>3</w:t>
            </w:r>
            <w:r>
              <w:rPr>
                <w:rFonts w:ascii="黑体" w:hAnsi="黑体" w:cs="黑体" w:eastAsia="黑体" w:hint="default"/>
                <w:sz w:val="20"/>
                <w:szCs w:val="20"/>
              </w:rPr>
              <w:t>年以上</w:t>
            </w:r>
          </w:p>
        </w:tc>
        <w:tc>
          <w:tcPr>
            <w:tcW w:w="2048" w:type="dxa"/>
            <w:tcBorders>
              <w:top w:val="nil" w:sz="6" w:space="0" w:color="auto"/>
              <w:left w:val="nil" w:sz="6" w:space="0" w:color="auto"/>
              <w:bottom w:val="nil" w:sz="6" w:space="0" w:color="auto"/>
              <w:right w:val="nil" w:sz="6" w:space="0" w:color="auto"/>
            </w:tcBorders>
          </w:tcPr>
          <w:p>
            <w:pPr>
              <w:pStyle w:val="TableParagraph"/>
              <w:tabs>
                <w:tab w:pos="403" w:val="left" w:leader="none"/>
              </w:tabs>
              <w:spacing w:line="240" w:lineRule="auto" w:before="11"/>
              <w:ind w:right="354"/>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44,544</w:t>
            </w:r>
            <w:r>
              <w:rPr>
                <w:rFonts w:ascii="Arial"/>
                <w:spacing w:val="-1"/>
                <w:w w:val="95"/>
                <w:sz w:val="20"/>
              </w:rPr>
            </w:r>
            <w:r>
              <w:rPr>
                <w:rFonts w:ascii="Arial"/>
                <w:sz w:val="20"/>
              </w:rPr>
            </w: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2"/>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2"/>
                <w:w w:val="95"/>
                <w:sz w:val="20"/>
                <w:u w:val="single" w:color="000000"/>
              </w:rPr>
              <w:t>&lt;1</w:t>
            </w:r>
            <w:r>
              <w:rPr>
                <w:rFonts w:ascii="Arial"/>
                <w:spacing w:val="-2"/>
                <w:w w:val="95"/>
                <w:sz w:val="20"/>
              </w:rPr>
            </w:r>
            <w:r>
              <w:rPr>
                <w:rFonts w:ascii="Arial"/>
                <w:sz w:val="20"/>
              </w:rPr>
            </w:r>
          </w:p>
        </w:tc>
        <w:tc>
          <w:tcPr>
            <w:tcW w:w="1416"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1"/>
              <w:ind w:right="279"/>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46,515</w:t>
            </w:r>
            <w:r>
              <w:rPr>
                <w:rFonts w:ascii="Arial"/>
                <w:spacing w:val="-1"/>
                <w:w w:val="95"/>
                <w:sz w:val="20"/>
              </w:rPr>
            </w:r>
            <w:r>
              <w:rPr>
                <w:rFonts w:ascii="Arial"/>
                <w:sz w:val="20"/>
              </w:rPr>
            </w: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1"/>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1"/>
                <w:sz w:val="20"/>
                <w:u w:val="single" w:color="000000"/>
              </w:rPr>
              <w:t> </w:t>
            </w:r>
            <w:r>
              <w:rPr>
                <w:rFonts w:ascii="Arial"/>
                <w:w w:val="95"/>
                <w:sz w:val="20"/>
                <w:u w:val="single" w:color="000000"/>
              </w:rPr>
              <w:t>1</w:t>
            </w:r>
            <w:r>
              <w:rPr>
                <w:rFonts w:ascii="Arial"/>
                <w:w w:val="95"/>
                <w:sz w:val="20"/>
              </w:rPr>
            </w:r>
            <w:r>
              <w:rPr>
                <w:rFonts w:ascii="Arial"/>
                <w:sz w:val="20"/>
              </w:rPr>
            </w:r>
          </w:p>
        </w:tc>
      </w:tr>
      <w:tr>
        <w:trPr>
          <w:trHeight w:val="367" w:hRule="exact"/>
        </w:trPr>
        <w:tc>
          <w:tcPr>
            <w:tcW w:w="2187" w:type="dxa"/>
            <w:tcBorders>
              <w:top w:val="nil" w:sz="6" w:space="0" w:color="auto"/>
              <w:left w:val="nil" w:sz="6" w:space="0" w:color="auto"/>
              <w:bottom w:val="nil" w:sz="6" w:space="0" w:color="auto"/>
              <w:right w:val="nil" w:sz="6" w:space="0" w:color="auto"/>
            </w:tcBorders>
          </w:tcPr>
          <w:p>
            <w:pPr/>
          </w:p>
        </w:tc>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54"/>
              <w:jc w:val="right"/>
              <w:rPr>
                <w:rFonts w:ascii="Arial" w:hAnsi="Arial" w:cs="Arial" w:eastAsia="Arial" w:hint="default"/>
                <w:sz w:val="20"/>
                <w:szCs w:val="20"/>
              </w:rPr>
            </w:pPr>
            <w:r>
              <w:rPr>
                <w:rFonts w:ascii="Arial"/>
                <w:w w:val="99"/>
                <w:sz w:val="20"/>
              </w:rPr>
            </w:r>
            <w:r>
              <w:rPr>
                <w:rFonts w:ascii="Arial"/>
                <w:spacing w:val="-1"/>
                <w:sz w:val="20"/>
                <w:u w:val="thick" w:color="000000"/>
              </w:rPr>
              <w:t>29,387,378</w:t>
            </w:r>
            <w:r>
              <w:rPr>
                <w:rFonts w:ascii="Arial"/>
                <w:spacing w:val="-1"/>
                <w:sz w:val="20"/>
              </w:rPr>
            </w:r>
            <w:r>
              <w:rPr>
                <w:rFonts w:ascii="Arial"/>
                <w:sz w:val="20"/>
              </w:rPr>
            </w: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1"/>
              <w:jc w:val="right"/>
              <w:rPr>
                <w:rFonts w:ascii="Arial" w:hAnsi="Arial" w:cs="Arial" w:eastAsia="Arial" w:hint="default"/>
                <w:sz w:val="20"/>
                <w:szCs w:val="20"/>
              </w:rPr>
            </w:pPr>
            <w:r>
              <w:rPr>
                <w:rFonts w:ascii="Arial"/>
                <w:w w:val="99"/>
                <w:sz w:val="20"/>
              </w:rPr>
            </w:r>
            <w:r>
              <w:rPr>
                <w:rFonts w:ascii="Arial"/>
                <w:spacing w:val="-1"/>
                <w:w w:val="95"/>
                <w:sz w:val="20"/>
                <w:u w:val="thick" w:color="000000"/>
              </w:rPr>
              <w:t>100</w:t>
            </w:r>
            <w:r>
              <w:rPr>
                <w:rFonts w:ascii="Arial"/>
                <w:spacing w:val="-1"/>
                <w:w w:val="95"/>
                <w:sz w:val="20"/>
              </w:rPr>
            </w:r>
            <w:r>
              <w:rPr>
                <w:rFonts w:ascii="Arial"/>
                <w:sz w:val="20"/>
              </w:rPr>
            </w:r>
          </w:p>
        </w:tc>
        <w:tc>
          <w:tcPr>
            <w:tcW w:w="1416"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79"/>
              <w:jc w:val="right"/>
              <w:rPr>
                <w:rFonts w:ascii="Arial" w:hAnsi="Arial" w:cs="Arial" w:eastAsia="Arial" w:hint="default"/>
                <w:sz w:val="20"/>
                <w:szCs w:val="20"/>
              </w:rPr>
            </w:pPr>
            <w:r>
              <w:rPr>
                <w:rFonts w:ascii="Arial"/>
                <w:w w:val="99"/>
                <w:sz w:val="20"/>
              </w:rPr>
            </w:r>
            <w:r>
              <w:rPr>
                <w:rFonts w:ascii="Arial"/>
                <w:spacing w:val="-1"/>
                <w:sz w:val="20"/>
                <w:u w:val="thick" w:color="000000"/>
              </w:rPr>
              <w:t>4,892,105</w:t>
            </w:r>
            <w:r>
              <w:rPr>
                <w:rFonts w:ascii="Arial"/>
                <w:spacing w:val="-1"/>
                <w:sz w:val="20"/>
              </w:rPr>
            </w:r>
          </w:p>
        </w:tc>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4"/>
              <w:jc w:val="right"/>
              <w:rPr>
                <w:rFonts w:ascii="Arial" w:hAnsi="Arial" w:cs="Arial" w:eastAsia="Arial" w:hint="default"/>
                <w:sz w:val="20"/>
                <w:szCs w:val="20"/>
              </w:rPr>
            </w:pPr>
            <w:r>
              <w:rPr>
                <w:rFonts w:ascii="Arial"/>
                <w:w w:val="99"/>
                <w:sz w:val="20"/>
              </w:rPr>
            </w:r>
            <w:r>
              <w:rPr>
                <w:rFonts w:ascii="Arial"/>
                <w:spacing w:val="-1"/>
                <w:w w:val="95"/>
                <w:sz w:val="20"/>
                <w:u w:val="thick" w:color="000000"/>
              </w:rPr>
              <w:t>100</w:t>
            </w:r>
            <w:r>
              <w:rPr>
                <w:rFonts w:ascii="Arial"/>
                <w:spacing w:val="-1"/>
                <w:w w:val="95"/>
                <w:sz w:val="20"/>
              </w:rPr>
            </w:r>
            <w:r>
              <w:rPr>
                <w:rFonts w:ascii="Arial"/>
                <w:sz w:val="20"/>
              </w:rPr>
            </w:r>
          </w:p>
        </w:tc>
      </w:tr>
    </w:tbl>
    <w:p>
      <w:pPr>
        <w:spacing w:line="240" w:lineRule="auto" w:before="8"/>
        <w:rPr>
          <w:rFonts w:ascii="黑体" w:hAnsi="黑体" w:cs="黑体" w:eastAsia="黑体" w:hint="default"/>
          <w:sz w:val="13"/>
          <w:szCs w:val="13"/>
        </w:rPr>
      </w:pPr>
    </w:p>
    <w:p>
      <w:pPr>
        <w:pStyle w:val="BodyText"/>
        <w:spacing w:line="240" w:lineRule="auto" w:before="37"/>
        <w:ind w:left="854" w:right="0"/>
        <w:jc w:val="left"/>
      </w:pP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日，重大预付款项的金额如下：</w:t>
      </w:r>
    </w:p>
    <w:p>
      <w:pPr>
        <w:spacing w:line="240" w:lineRule="auto" w:before="3"/>
        <w:rPr>
          <w:rFonts w:ascii="黑体" w:hAnsi="黑体" w:cs="黑体" w:eastAsia="黑体" w:hint="default"/>
          <w:sz w:val="28"/>
          <w:szCs w:val="28"/>
        </w:rPr>
      </w:pPr>
    </w:p>
    <w:tbl>
      <w:tblPr>
        <w:tblW w:w="0" w:type="auto"/>
        <w:jc w:val="left"/>
        <w:tblInd w:w="649" w:type="dxa"/>
        <w:tblLayout w:type="fixed"/>
        <w:tblCellMar>
          <w:top w:w="0" w:type="dxa"/>
          <w:left w:w="0" w:type="dxa"/>
          <w:bottom w:w="0" w:type="dxa"/>
          <w:right w:w="0" w:type="dxa"/>
        </w:tblCellMar>
        <w:tblLook w:val="01E0"/>
      </w:tblPr>
      <w:tblGrid>
        <w:gridCol w:w="3003"/>
        <w:gridCol w:w="1151"/>
        <w:gridCol w:w="1240"/>
        <w:gridCol w:w="1369"/>
        <w:gridCol w:w="2260"/>
      </w:tblGrid>
      <w:tr>
        <w:trPr>
          <w:trHeight w:val="390" w:hRule="exact"/>
        </w:trPr>
        <w:tc>
          <w:tcPr>
            <w:tcW w:w="4154" w:type="dxa"/>
            <w:gridSpan w:val="2"/>
            <w:tcBorders>
              <w:top w:val="nil" w:sz="6" w:space="0" w:color="auto"/>
              <w:left w:val="nil" w:sz="6" w:space="0" w:color="auto"/>
              <w:bottom w:val="nil" w:sz="6" w:space="0" w:color="auto"/>
              <w:right w:val="nil" w:sz="6" w:space="0" w:color="auto"/>
            </w:tcBorders>
          </w:tcPr>
          <w:p>
            <w:pPr>
              <w:pStyle w:val="TableParagraph"/>
              <w:spacing w:line="199" w:lineRule="exact"/>
              <w:ind w:right="148"/>
              <w:jc w:val="right"/>
              <w:rPr>
                <w:rFonts w:ascii="黑体" w:hAnsi="黑体" w:cs="黑体" w:eastAsia="黑体" w:hint="default"/>
                <w:sz w:val="20"/>
                <w:szCs w:val="20"/>
              </w:rPr>
            </w:pPr>
            <w:r>
              <w:rPr>
                <w:rFonts w:ascii="黑体" w:hAnsi="黑体" w:cs="黑体" w:eastAsia="黑体" w:hint="default"/>
                <w:w w:val="95"/>
                <w:sz w:val="20"/>
                <w:szCs w:val="20"/>
              </w:rPr>
              <w:t>与本集团关系</w:t>
            </w:r>
            <w:r>
              <w:rPr>
                <w:rFonts w:ascii="黑体" w:hAnsi="黑体" w:cs="黑体" w:eastAsia="黑体" w:hint="default"/>
                <w:sz w:val="20"/>
                <w:szCs w:val="20"/>
              </w:rPr>
            </w:r>
          </w:p>
        </w:tc>
        <w:tc>
          <w:tcPr>
            <w:tcW w:w="1240" w:type="dxa"/>
            <w:tcBorders>
              <w:top w:val="nil" w:sz="6" w:space="0" w:color="auto"/>
              <w:left w:val="nil" w:sz="6" w:space="0" w:color="auto"/>
              <w:bottom w:val="nil" w:sz="6" w:space="0" w:color="auto"/>
              <w:right w:val="nil" w:sz="6" w:space="0" w:color="auto"/>
            </w:tcBorders>
          </w:tcPr>
          <w:p>
            <w:pPr>
              <w:pStyle w:val="TableParagraph"/>
              <w:spacing w:line="199" w:lineRule="exact"/>
              <w:ind w:right="94"/>
              <w:jc w:val="right"/>
              <w:rPr>
                <w:rFonts w:ascii="黑体" w:hAnsi="黑体" w:cs="黑体" w:eastAsia="黑体" w:hint="default"/>
                <w:sz w:val="20"/>
                <w:szCs w:val="20"/>
              </w:rPr>
            </w:pPr>
            <w:r>
              <w:rPr>
                <w:rFonts w:ascii="黑体" w:hAnsi="黑体" w:cs="黑体" w:eastAsia="黑体" w:hint="default"/>
                <w:w w:val="95"/>
                <w:sz w:val="20"/>
                <w:szCs w:val="20"/>
              </w:rPr>
              <w:t>金额</w:t>
            </w:r>
            <w:r>
              <w:rPr>
                <w:rFonts w:ascii="黑体" w:hAnsi="黑体" w:cs="黑体" w:eastAsia="黑体" w:hint="default"/>
                <w:sz w:val="20"/>
                <w:szCs w:val="20"/>
              </w:rPr>
            </w:r>
          </w:p>
        </w:tc>
        <w:tc>
          <w:tcPr>
            <w:tcW w:w="1369" w:type="dxa"/>
            <w:tcBorders>
              <w:top w:val="nil" w:sz="6" w:space="0" w:color="auto"/>
              <w:left w:val="nil" w:sz="6" w:space="0" w:color="auto"/>
              <w:bottom w:val="nil" w:sz="6" w:space="0" w:color="auto"/>
              <w:right w:val="nil" w:sz="6" w:space="0" w:color="auto"/>
            </w:tcBorders>
          </w:tcPr>
          <w:p>
            <w:pPr>
              <w:pStyle w:val="TableParagraph"/>
              <w:spacing w:line="199" w:lineRule="exact"/>
              <w:ind w:right="61"/>
              <w:jc w:val="right"/>
              <w:rPr>
                <w:rFonts w:ascii="黑体" w:hAnsi="黑体" w:cs="黑体" w:eastAsia="黑体" w:hint="default"/>
                <w:sz w:val="20"/>
                <w:szCs w:val="20"/>
              </w:rPr>
            </w:pPr>
            <w:r>
              <w:rPr>
                <w:rFonts w:ascii="黑体" w:hAnsi="黑体" w:cs="黑体" w:eastAsia="黑体" w:hint="default"/>
                <w:w w:val="95"/>
                <w:sz w:val="20"/>
                <w:szCs w:val="20"/>
              </w:rPr>
              <w:t>预付时间</w:t>
            </w:r>
            <w:r>
              <w:rPr>
                <w:rFonts w:ascii="黑体" w:hAnsi="黑体" w:cs="黑体" w:eastAsia="黑体" w:hint="default"/>
                <w:sz w:val="20"/>
                <w:szCs w:val="20"/>
              </w:rPr>
            </w:r>
          </w:p>
        </w:tc>
        <w:tc>
          <w:tcPr>
            <w:tcW w:w="2260" w:type="dxa"/>
            <w:tcBorders>
              <w:top w:val="nil" w:sz="6" w:space="0" w:color="auto"/>
              <w:left w:val="nil" w:sz="6" w:space="0" w:color="auto"/>
              <w:bottom w:val="nil" w:sz="6" w:space="0" w:color="auto"/>
              <w:right w:val="nil" w:sz="6" w:space="0" w:color="auto"/>
            </w:tcBorders>
          </w:tcPr>
          <w:p>
            <w:pPr>
              <w:pStyle w:val="TableParagraph"/>
              <w:spacing w:line="199" w:lineRule="exact"/>
              <w:ind w:right="198"/>
              <w:jc w:val="right"/>
              <w:rPr>
                <w:rFonts w:ascii="黑体" w:hAnsi="黑体" w:cs="黑体" w:eastAsia="黑体" w:hint="default"/>
                <w:sz w:val="20"/>
                <w:szCs w:val="20"/>
              </w:rPr>
            </w:pPr>
            <w:r>
              <w:rPr>
                <w:rFonts w:ascii="黑体" w:hAnsi="黑体" w:cs="黑体" w:eastAsia="黑体" w:hint="default"/>
                <w:w w:val="95"/>
                <w:sz w:val="20"/>
                <w:szCs w:val="20"/>
              </w:rPr>
              <w:t>未结算原因</w:t>
            </w:r>
            <w:r>
              <w:rPr>
                <w:rFonts w:ascii="黑体" w:hAnsi="黑体" w:cs="黑体" w:eastAsia="黑体" w:hint="default"/>
                <w:sz w:val="20"/>
                <w:szCs w:val="20"/>
              </w:rPr>
            </w:r>
          </w:p>
        </w:tc>
      </w:tr>
      <w:tr>
        <w:trPr>
          <w:trHeight w:val="436" w:hRule="exact"/>
        </w:trPr>
        <w:tc>
          <w:tcPr>
            <w:tcW w:w="3003"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00" w:right="0"/>
              <w:jc w:val="left"/>
              <w:rPr>
                <w:rFonts w:ascii="黑体" w:hAnsi="黑体" w:cs="黑体" w:eastAsia="黑体" w:hint="default"/>
                <w:sz w:val="20"/>
                <w:szCs w:val="20"/>
              </w:rPr>
            </w:pPr>
            <w:r>
              <w:rPr>
                <w:rFonts w:ascii="黑体" w:hAnsi="黑体" w:cs="黑体" w:eastAsia="黑体" w:hint="default"/>
                <w:sz w:val="20"/>
                <w:szCs w:val="20"/>
              </w:rPr>
              <w:t>北京随锐科技有限公司</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49"/>
              <w:jc w:val="right"/>
              <w:rPr>
                <w:rFonts w:ascii="黑体" w:hAnsi="黑体" w:cs="黑体" w:eastAsia="黑体" w:hint="default"/>
                <w:sz w:val="20"/>
                <w:szCs w:val="20"/>
              </w:rPr>
            </w:pPr>
            <w:r>
              <w:rPr>
                <w:rFonts w:ascii="黑体" w:hAnsi="黑体" w:cs="黑体" w:eastAsia="黑体" w:hint="default"/>
                <w:w w:val="95"/>
                <w:sz w:val="20"/>
                <w:szCs w:val="20"/>
              </w:rPr>
              <w:t>非关联方</w:t>
            </w:r>
            <w:r>
              <w:rPr>
                <w:rFonts w:ascii="黑体" w:hAnsi="黑体" w:cs="黑体" w:eastAsia="黑体" w:hint="default"/>
                <w:sz w:val="20"/>
                <w:szCs w:val="20"/>
              </w:rPr>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89"/>
              <w:jc w:val="right"/>
              <w:rPr>
                <w:rFonts w:ascii="Arial" w:hAnsi="Arial" w:cs="Arial" w:eastAsia="Arial" w:hint="default"/>
                <w:sz w:val="20"/>
                <w:szCs w:val="20"/>
              </w:rPr>
            </w:pPr>
            <w:r>
              <w:rPr>
                <w:rFonts w:ascii="Arial"/>
                <w:spacing w:val="-1"/>
                <w:sz w:val="20"/>
              </w:rPr>
              <w:t>14,876,101</w:t>
            </w:r>
            <w:r>
              <w:rPr>
                <w:rFonts w:ascii="Arial"/>
                <w:sz w:val="20"/>
              </w:rPr>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61"/>
              <w:jc w:val="right"/>
              <w:rPr>
                <w:rFonts w:ascii="黑体" w:hAnsi="黑体" w:cs="黑体" w:eastAsia="黑体" w:hint="default"/>
                <w:sz w:val="20"/>
                <w:szCs w:val="20"/>
              </w:rPr>
            </w:pPr>
            <w:r>
              <w:rPr>
                <w:rFonts w:ascii="Arial" w:hAnsi="Arial" w:cs="Arial" w:eastAsia="Arial" w:hint="default"/>
                <w:sz w:val="20"/>
                <w:szCs w:val="20"/>
              </w:rPr>
              <w:t>2012</w:t>
            </w:r>
            <w:r>
              <w:rPr>
                <w:rFonts w:ascii="Arial" w:hAnsi="Arial" w:cs="Arial" w:eastAsia="Arial" w:hint="default"/>
                <w:spacing w:val="-9"/>
                <w:sz w:val="20"/>
                <w:szCs w:val="20"/>
              </w:rPr>
              <w:t> </w:t>
            </w:r>
            <w:r>
              <w:rPr>
                <w:rFonts w:ascii="黑体" w:hAnsi="黑体" w:cs="黑体" w:eastAsia="黑体" w:hint="default"/>
                <w:sz w:val="20"/>
                <w:szCs w:val="20"/>
              </w:rPr>
              <w:t>年</w:t>
            </w:r>
            <w:r>
              <w:rPr>
                <w:rFonts w:ascii="黑体" w:hAnsi="黑体" w:cs="黑体" w:eastAsia="黑体" w:hint="default"/>
                <w:spacing w:val="-51"/>
                <w:sz w:val="20"/>
                <w:szCs w:val="20"/>
              </w:rPr>
              <w:t> </w:t>
            </w:r>
            <w:r>
              <w:rPr>
                <w:rFonts w:ascii="Arial" w:hAnsi="Arial" w:cs="Arial" w:eastAsia="Arial" w:hint="default"/>
                <w:sz w:val="20"/>
                <w:szCs w:val="20"/>
              </w:rPr>
              <w:t>12</w:t>
            </w:r>
            <w:r>
              <w:rPr>
                <w:rFonts w:ascii="Arial" w:hAnsi="Arial" w:cs="Arial" w:eastAsia="Arial" w:hint="default"/>
                <w:spacing w:val="-9"/>
                <w:sz w:val="20"/>
                <w:szCs w:val="20"/>
              </w:rPr>
              <w:t> </w:t>
            </w:r>
            <w:r>
              <w:rPr>
                <w:rFonts w:ascii="黑体" w:hAnsi="黑体" w:cs="黑体" w:eastAsia="黑体" w:hint="default"/>
                <w:sz w:val="20"/>
                <w:szCs w:val="20"/>
              </w:rPr>
              <w:t>月</w:t>
            </w:r>
          </w:p>
        </w:tc>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98"/>
              <w:jc w:val="right"/>
              <w:rPr>
                <w:rFonts w:ascii="黑体" w:hAnsi="黑体" w:cs="黑体" w:eastAsia="黑体" w:hint="default"/>
                <w:sz w:val="20"/>
                <w:szCs w:val="20"/>
              </w:rPr>
            </w:pPr>
            <w:r>
              <w:rPr>
                <w:rFonts w:ascii="黑体" w:hAnsi="黑体" w:cs="黑体" w:eastAsia="黑体" w:hint="default"/>
                <w:w w:val="95"/>
                <w:sz w:val="20"/>
                <w:szCs w:val="20"/>
              </w:rPr>
              <w:t>未到合同约定结算时间</w:t>
            </w:r>
            <w:r>
              <w:rPr>
                <w:rFonts w:ascii="黑体" w:hAnsi="黑体" w:cs="黑体" w:eastAsia="黑体" w:hint="default"/>
                <w:sz w:val="20"/>
                <w:szCs w:val="20"/>
              </w:rPr>
            </w:r>
          </w:p>
        </w:tc>
      </w:tr>
      <w:tr>
        <w:trPr>
          <w:trHeight w:val="280" w:hRule="exact"/>
        </w:trPr>
        <w:tc>
          <w:tcPr>
            <w:tcW w:w="3003"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黑体" w:hAnsi="黑体" w:cs="黑体" w:eastAsia="黑体" w:hint="default"/>
                <w:sz w:val="20"/>
                <w:szCs w:val="20"/>
              </w:rPr>
            </w:pPr>
            <w:r>
              <w:rPr>
                <w:rFonts w:ascii="黑体" w:hAnsi="黑体" w:cs="黑体" w:eastAsia="黑体" w:hint="default"/>
                <w:sz w:val="20"/>
                <w:szCs w:val="20"/>
              </w:rPr>
              <w:t>内蒙古慧瑞信息技术有限公司</w:t>
            </w:r>
          </w:p>
        </w:tc>
        <w:tc>
          <w:tcPr>
            <w:tcW w:w="1151" w:type="dxa"/>
            <w:tcBorders>
              <w:top w:val="nil" w:sz="6" w:space="0" w:color="auto"/>
              <w:left w:val="nil" w:sz="6" w:space="0" w:color="auto"/>
              <w:bottom w:val="nil" w:sz="6" w:space="0" w:color="auto"/>
              <w:right w:val="nil" w:sz="6" w:space="0" w:color="auto"/>
            </w:tcBorders>
          </w:tcPr>
          <w:p>
            <w:pPr>
              <w:pStyle w:val="TableParagraph"/>
              <w:spacing w:line="235" w:lineRule="exact"/>
              <w:ind w:right="149"/>
              <w:jc w:val="right"/>
              <w:rPr>
                <w:rFonts w:ascii="黑体" w:hAnsi="黑体" w:cs="黑体" w:eastAsia="黑体" w:hint="default"/>
                <w:sz w:val="20"/>
                <w:szCs w:val="20"/>
              </w:rPr>
            </w:pPr>
            <w:r>
              <w:rPr>
                <w:rFonts w:ascii="黑体" w:hAnsi="黑体" w:cs="黑体" w:eastAsia="黑体" w:hint="default"/>
                <w:w w:val="95"/>
                <w:sz w:val="20"/>
                <w:szCs w:val="20"/>
              </w:rPr>
              <w:t>非关联方</w:t>
            </w:r>
            <w:r>
              <w:rPr>
                <w:rFonts w:ascii="黑体" w:hAnsi="黑体" w:cs="黑体" w:eastAsia="黑体" w:hint="default"/>
                <w:sz w:val="20"/>
                <w:szCs w:val="20"/>
              </w:rPr>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89"/>
              <w:jc w:val="right"/>
              <w:rPr>
                <w:rFonts w:ascii="Arial" w:hAnsi="Arial" w:cs="Arial" w:eastAsia="Arial" w:hint="default"/>
                <w:sz w:val="20"/>
                <w:szCs w:val="20"/>
              </w:rPr>
            </w:pPr>
            <w:r>
              <w:rPr>
                <w:rFonts w:ascii="Arial"/>
                <w:spacing w:val="-1"/>
                <w:sz w:val="20"/>
              </w:rPr>
              <w:t>1,002,900</w:t>
            </w:r>
          </w:p>
        </w:tc>
        <w:tc>
          <w:tcPr>
            <w:tcW w:w="1369" w:type="dxa"/>
            <w:tcBorders>
              <w:top w:val="nil" w:sz="6" w:space="0" w:color="auto"/>
              <w:left w:val="nil" w:sz="6" w:space="0" w:color="auto"/>
              <w:bottom w:val="nil" w:sz="6" w:space="0" w:color="auto"/>
              <w:right w:val="nil" w:sz="6" w:space="0" w:color="auto"/>
            </w:tcBorders>
          </w:tcPr>
          <w:p>
            <w:pPr>
              <w:pStyle w:val="TableParagraph"/>
              <w:spacing w:line="249" w:lineRule="exact"/>
              <w:ind w:right="61"/>
              <w:jc w:val="right"/>
              <w:rPr>
                <w:rFonts w:ascii="黑体" w:hAnsi="黑体" w:cs="黑体" w:eastAsia="黑体" w:hint="default"/>
                <w:sz w:val="20"/>
                <w:szCs w:val="20"/>
              </w:rPr>
            </w:pPr>
            <w:r>
              <w:rPr>
                <w:rFonts w:ascii="Arial" w:hAnsi="Arial" w:cs="Arial" w:eastAsia="Arial" w:hint="default"/>
                <w:sz w:val="20"/>
                <w:szCs w:val="20"/>
              </w:rPr>
              <w:t>2012</w:t>
            </w:r>
            <w:r>
              <w:rPr>
                <w:rFonts w:ascii="Arial" w:hAnsi="Arial" w:cs="Arial" w:eastAsia="Arial" w:hint="default"/>
                <w:spacing w:val="-9"/>
                <w:sz w:val="20"/>
                <w:szCs w:val="20"/>
              </w:rPr>
              <w:t> </w:t>
            </w:r>
            <w:r>
              <w:rPr>
                <w:rFonts w:ascii="黑体" w:hAnsi="黑体" w:cs="黑体" w:eastAsia="黑体" w:hint="default"/>
                <w:sz w:val="20"/>
                <w:szCs w:val="20"/>
              </w:rPr>
              <w:t>年</w:t>
            </w:r>
            <w:r>
              <w:rPr>
                <w:rFonts w:ascii="黑体" w:hAnsi="黑体" w:cs="黑体" w:eastAsia="黑体" w:hint="default"/>
                <w:spacing w:val="-51"/>
                <w:sz w:val="20"/>
                <w:szCs w:val="20"/>
              </w:rPr>
              <w:t> </w:t>
            </w:r>
            <w:r>
              <w:rPr>
                <w:rFonts w:ascii="Arial" w:hAnsi="Arial" w:cs="Arial" w:eastAsia="Arial" w:hint="default"/>
                <w:sz w:val="20"/>
                <w:szCs w:val="20"/>
              </w:rPr>
              <w:t>12</w:t>
            </w:r>
            <w:r>
              <w:rPr>
                <w:rFonts w:ascii="Arial" w:hAnsi="Arial" w:cs="Arial" w:eastAsia="Arial" w:hint="default"/>
                <w:spacing w:val="-9"/>
                <w:sz w:val="20"/>
                <w:szCs w:val="20"/>
              </w:rPr>
              <w:t> </w:t>
            </w:r>
            <w:r>
              <w:rPr>
                <w:rFonts w:ascii="黑体" w:hAnsi="黑体" w:cs="黑体" w:eastAsia="黑体" w:hint="default"/>
                <w:sz w:val="20"/>
                <w:szCs w:val="20"/>
              </w:rPr>
              <w:t>月</w:t>
            </w:r>
          </w:p>
        </w:tc>
        <w:tc>
          <w:tcPr>
            <w:tcW w:w="2260" w:type="dxa"/>
            <w:tcBorders>
              <w:top w:val="nil" w:sz="6" w:space="0" w:color="auto"/>
              <w:left w:val="nil" w:sz="6" w:space="0" w:color="auto"/>
              <w:bottom w:val="nil" w:sz="6" w:space="0" w:color="auto"/>
              <w:right w:val="nil" w:sz="6" w:space="0" w:color="auto"/>
            </w:tcBorders>
          </w:tcPr>
          <w:p>
            <w:pPr>
              <w:pStyle w:val="TableParagraph"/>
              <w:spacing w:line="235" w:lineRule="exact"/>
              <w:ind w:right="198"/>
              <w:jc w:val="right"/>
              <w:rPr>
                <w:rFonts w:ascii="黑体" w:hAnsi="黑体" w:cs="黑体" w:eastAsia="黑体" w:hint="default"/>
                <w:sz w:val="20"/>
                <w:szCs w:val="20"/>
              </w:rPr>
            </w:pPr>
            <w:r>
              <w:rPr>
                <w:rFonts w:ascii="黑体" w:hAnsi="黑体" w:cs="黑体" w:eastAsia="黑体" w:hint="default"/>
                <w:w w:val="95"/>
                <w:sz w:val="20"/>
                <w:szCs w:val="20"/>
              </w:rPr>
              <w:t>未到合同约定结算时间</w:t>
            </w:r>
            <w:r>
              <w:rPr>
                <w:rFonts w:ascii="黑体" w:hAnsi="黑体" w:cs="黑体" w:eastAsia="黑体" w:hint="default"/>
                <w:sz w:val="20"/>
                <w:szCs w:val="20"/>
              </w:rPr>
            </w:r>
          </w:p>
        </w:tc>
      </w:tr>
      <w:tr>
        <w:trPr>
          <w:trHeight w:val="560" w:hRule="exact"/>
        </w:trPr>
        <w:tc>
          <w:tcPr>
            <w:tcW w:w="3003" w:type="dxa"/>
            <w:tcBorders>
              <w:top w:val="nil" w:sz="6" w:space="0" w:color="auto"/>
              <w:left w:val="nil" w:sz="6" w:space="0" w:color="auto"/>
              <w:bottom w:val="nil" w:sz="6" w:space="0" w:color="auto"/>
              <w:right w:val="nil" w:sz="6" w:space="0" w:color="auto"/>
            </w:tcBorders>
          </w:tcPr>
          <w:p>
            <w:pPr>
              <w:pStyle w:val="TableParagraph"/>
              <w:spacing w:line="234" w:lineRule="exact"/>
              <w:ind w:left="200" w:right="0"/>
              <w:jc w:val="left"/>
              <w:rPr>
                <w:rFonts w:ascii="黑体" w:hAnsi="黑体" w:cs="黑体" w:eastAsia="黑体" w:hint="default"/>
                <w:sz w:val="20"/>
                <w:szCs w:val="20"/>
              </w:rPr>
            </w:pPr>
            <w:r>
              <w:rPr>
                <w:rFonts w:ascii="黑体" w:hAnsi="黑体" w:cs="黑体" w:eastAsia="黑体" w:hint="default"/>
                <w:sz w:val="20"/>
                <w:szCs w:val="20"/>
              </w:rPr>
              <w:t>北京真诚快车软件技术开发有</w:t>
            </w:r>
          </w:p>
          <w:p>
            <w:pPr>
              <w:pStyle w:val="TableParagraph"/>
              <w:spacing w:line="240" w:lineRule="auto" w:before="19"/>
              <w:ind w:left="415" w:right="0"/>
              <w:jc w:val="left"/>
              <w:rPr>
                <w:rFonts w:ascii="黑体" w:hAnsi="黑体" w:cs="黑体" w:eastAsia="黑体" w:hint="default"/>
                <w:sz w:val="20"/>
                <w:szCs w:val="20"/>
              </w:rPr>
            </w:pPr>
            <w:r>
              <w:rPr>
                <w:rFonts w:ascii="黑体" w:hAnsi="黑体" w:cs="黑体" w:eastAsia="黑体" w:hint="default"/>
                <w:sz w:val="20"/>
                <w:szCs w:val="20"/>
              </w:rPr>
              <w:t>限责任公司</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19"/>
                <w:szCs w:val="19"/>
              </w:rPr>
            </w:pPr>
          </w:p>
          <w:p>
            <w:pPr>
              <w:pStyle w:val="TableParagraph"/>
              <w:spacing w:line="240" w:lineRule="auto"/>
              <w:ind w:right="148"/>
              <w:jc w:val="right"/>
              <w:rPr>
                <w:rFonts w:ascii="黑体" w:hAnsi="黑体" w:cs="黑体" w:eastAsia="黑体" w:hint="default"/>
                <w:sz w:val="20"/>
                <w:szCs w:val="20"/>
              </w:rPr>
            </w:pPr>
            <w:r>
              <w:rPr>
                <w:rFonts w:ascii="黑体" w:hAnsi="黑体" w:cs="黑体" w:eastAsia="黑体" w:hint="default"/>
                <w:w w:val="95"/>
                <w:sz w:val="20"/>
                <w:szCs w:val="20"/>
              </w:rPr>
              <w:t>非关联方</w:t>
            </w:r>
            <w:r>
              <w:rPr>
                <w:rFonts w:ascii="黑体" w:hAnsi="黑体" w:cs="黑体" w:eastAsia="黑体" w:hint="default"/>
                <w:sz w:val="20"/>
                <w:szCs w:val="20"/>
              </w:rPr>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22"/>
                <w:szCs w:val="22"/>
              </w:rPr>
            </w:pPr>
          </w:p>
          <w:p>
            <w:pPr>
              <w:pStyle w:val="TableParagraph"/>
              <w:spacing w:line="240" w:lineRule="auto"/>
              <w:ind w:right="89"/>
              <w:jc w:val="right"/>
              <w:rPr>
                <w:rFonts w:ascii="Arial" w:hAnsi="Arial" w:cs="Arial" w:eastAsia="Arial" w:hint="default"/>
                <w:sz w:val="20"/>
                <w:szCs w:val="20"/>
              </w:rPr>
            </w:pPr>
            <w:r>
              <w:rPr>
                <w:rFonts w:ascii="Arial"/>
                <w:spacing w:val="-1"/>
                <w:sz w:val="20"/>
              </w:rPr>
              <w:t>653,005</w:t>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19"/>
                <w:szCs w:val="19"/>
              </w:rPr>
            </w:pPr>
          </w:p>
          <w:p>
            <w:pPr>
              <w:pStyle w:val="TableParagraph"/>
              <w:spacing w:line="240" w:lineRule="auto"/>
              <w:ind w:right="61"/>
              <w:jc w:val="right"/>
              <w:rPr>
                <w:rFonts w:ascii="黑体" w:hAnsi="黑体" w:cs="黑体" w:eastAsia="黑体" w:hint="default"/>
                <w:sz w:val="20"/>
                <w:szCs w:val="20"/>
              </w:rPr>
            </w:pPr>
            <w:r>
              <w:rPr>
                <w:rFonts w:ascii="Arial" w:hAnsi="Arial" w:cs="Arial" w:eastAsia="Arial" w:hint="default"/>
                <w:sz w:val="20"/>
                <w:szCs w:val="20"/>
              </w:rPr>
              <w:t>2012</w:t>
            </w:r>
            <w:r>
              <w:rPr>
                <w:rFonts w:ascii="Arial" w:hAnsi="Arial" w:cs="Arial" w:eastAsia="Arial" w:hint="default"/>
                <w:spacing w:val="-9"/>
                <w:sz w:val="20"/>
                <w:szCs w:val="20"/>
              </w:rPr>
              <w:t> </w:t>
            </w:r>
            <w:r>
              <w:rPr>
                <w:rFonts w:ascii="黑体" w:hAnsi="黑体" w:cs="黑体" w:eastAsia="黑体" w:hint="default"/>
                <w:sz w:val="20"/>
                <w:szCs w:val="20"/>
              </w:rPr>
              <w:t>年</w:t>
            </w:r>
            <w:r>
              <w:rPr>
                <w:rFonts w:ascii="黑体" w:hAnsi="黑体" w:cs="黑体" w:eastAsia="黑体" w:hint="default"/>
                <w:spacing w:val="-51"/>
                <w:sz w:val="20"/>
                <w:szCs w:val="20"/>
              </w:rPr>
              <w:t> </w:t>
            </w:r>
            <w:r>
              <w:rPr>
                <w:rFonts w:ascii="Arial" w:hAnsi="Arial" w:cs="Arial" w:eastAsia="Arial" w:hint="default"/>
                <w:sz w:val="20"/>
                <w:szCs w:val="20"/>
              </w:rPr>
              <w:t>4</w:t>
            </w:r>
            <w:r>
              <w:rPr>
                <w:rFonts w:ascii="Arial" w:hAnsi="Arial" w:cs="Arial" w:eastAsia="Arial" w:hint="default"/>
                <w:spacing w:val="-9"/>
                <w:sz w:val="20"/>
                <w:szCs w:val="20"/>
              </w:rPr>
              <w:t> </w:t>
            </w:r>
            <w:r>
              <w:rPr>
                <w:rFonts w:ascii="黑体" w:hAnsi="黑体" w:cs="黑体" w:eastAsia="黑体" w:hint="default"/>
                <w:sz w:val="20"/>
                <w:szCs w:val="20"/>
              </w:rPr>
              <w:t>月</w:t>
            </w:r>
          </w:p>
        </w:tc>
        <w:tc>
          <w:tcPr>
            <w:tcW w:w="22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19"/>
                <w:szCs w:val="19"/>
              </w:rPr>
            </w:pPr>
          </w:p>
          <w:p>
            <w:pPr>
              <w:pStyle w:val="TableParagraph"/>
              <w:spacing w:line="240" w:lineRule="auto"/>
              <w:ind w:right="198"/>
              <w:jc w:val="right"/>
              <w:rPr>
                <w:rFonts w:ascii="黑体" w:hAnsi="黑体" w:cs="黑体" w:eastAsia="黑体" w:hint="default"/>
                <w:sz w:val="20"/>
                <w:szCs w:val="20"/>
              </w:rPr>
            </w:pPr>
            <w:r>
              <w:rPr>
                <w:rFonts w:ascii="黑体" w:hAnsi="黑体" w:cs="黑体" w:eastAsia="黑体" w:hint="default"/>
                <w:w w:val="95"/>
                <w:sz w:val="20"/>
                <w:szCs w:val="20"/>
              </w:rPr>
              <w:t>未到合同约定结算时间</w:t>
            </w:r>
            <w:r>
              <w:rPr>
                <w:rFonts w:ascii="黑体" w:hAnsi="黑体" w:cs="黑体" w:eastAsia="黑体" w:hint="default"/>
                <w:sz w:val="20"/>
                <w:szCs w:val="20"/>
              </w:rPr>
            </w:r>
          </w:p>
        </w:tc>
      </w:tr>
      <w:tr>
        <w:trPr>
          <w:trHeight w:val="280" w:hRule="exact"/>
        </w:trPr>
        <w:tc>
          <w:tcPr>
            <w:tcW w:w="3003"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黑体" w:hAnsi="黑体" w:cs="黑体" w:eastAsia="黑体" w:hint="default"/>
                <w:sz w:val="20"/>
                <w:szCs w:val="20"/>
              </w:rPr>
            </w:pPr>
            <w:r>
              <w:rPr>
                <w:rFonts w:ascii="黑体" w:hAnsi="黑体" w:cs="黑体" w:eastAsia="黑体" w:hint="default"/>
                <w:sz w:val="20"/>
                <w:szCs w:val="20"/>
              </w:rPr>
              <w:t>济南软易通软件有限公司</w:t>
            </w:r>
          </w:p>
        </w:tc>
        <w:tc>
          <w:tcPr>
            <w:tcW w:w="1151" w:type="dxa"/>
            <w:tcBorders>
              <w:top w:val="nil" w:sz="6" w:space="0" w:color="auto"/>
              <w:left w:val="nil" w:sz="6" w:space="0" w:color="auto"/>
              <w:bottom w:val="nil" w:sz="6" w:space="0" w:color="auto"/>
              <w:right w:val="nil" w:sz="6" w:space="0" w:color="auto"/>
            </w:tcBorders>
          </w:tcPr>
          <w:p>
            <w:pPr>
              <w:pStyle w:val="TableParagraph"/>
              <w:spacing w:line="235" w:lineRule="exact"/>
              <w:ind w:right="149"/>
              <w:jc w:val="right"/>
              <w:rPr>
                <w:rFonts w:ascii="黑体" w:hAnsi="黑体" w:cs="黑体" w:eastAsia="黑体" w:hint="default"/>
                <w:sz w:val="20"/>
                <w:szCs w:val="20"/>
              </w:rPr>
            </w:pPr>
            <w:r>
              <w:rPr>
                <w:rFonts w:ascii="黑体" w:hAnsi="黑体" w:cs="黑体" w:eastAsia="黑体" w:hint="default"/>
                <w:w w:val="95"/>
                <w:sz w:val="20"/>
                <w:szCs w:val="20"/>
              </w:rPr>
              <w:t>非关联方</w:t>
            </w:r>
            <w:r>
              <w:rPr>
                <w:rFonts w:ascii="黑体" w:hAnsi="黑体" w:cs="黑体" w:eastAsia="黑体" w:hint="default"/>
                <w:sz w:val="20"/>
                <w:szCs w:val="20"/>
              </w:rPr>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89"/>
              <w:jc w:val="right"/>
              <w:rPr>
                <w:rFonts w:ascii="Arial" w:hAnsi="Arial" w:cs="Arial" w:eastAsia="Arial" w:hint="default"/>
                <w:sz w:val="20"/>
                <w:szCs w:val="20"/>
              </w:rPr>
            </w:pPr>
            <w:r>
              <w:rPr>
                <w:rFonts w:ascii="Arial"/>
                <w:spacing w:val="-1"/>
                <w:w w:val="95"/>
                <w:sz w:val="20"/>
              </w:rPr>
              <w:t>458,130</w:t>
            </w:r>
            <w:r>
              <w:rPr>
                <w:rFonts w:ascii="Arial"/>
                <w:sz w:val="20"/>
              </w:rPr>
            </w:r>
          </w:p>
        </w:tc>
        <w:tc>
          <w:tcPr>
            <w:tcW w:w="1369" w:type="dxa"/>
            <w:tcBorders>
              <w:top w:val="nil" w:sz="6" w:space="0" w:color="auto"/>
              <w:left w:val="nil" w:sz="6" w:space="0" w:color="auto"/>
              <w:bottom w:val="nil" w:sz="6" w:space="0" w:color="auto"/>
              <w:right w:val="nil" w:sz="6" w:space="0" w:color="auto"/>
            </w:tcBorders>
          </w:tcPr>
          <w:p>
            <w:pPr>
              <w:pStyle w:val="TableParagraph"/>
              <w:spacing w:line="249" w:lineRule="exact"/>
              <w:ind w:right="61"/>
              <w:jc w:val="right"/>
              <w:rPr>
                <w:rFonts w:ascii="黑体" w:hAnsi="黑体" w:cs="黑体" w:eastAsia="黑体" w:hint="default"/>
                <w:sz w:val="20"/>
                <w:szCs w:val="20"/>
              </w:rPr>
            </w:pPr>
            <w:r>
              <w:rPr>
                <w:rFonts w:ascii="Arial" w:hAnsi="Arial" w:cs="Arial" w:eastAsia="Arial" w:hint="default"/>
                <w:sz w:val="20"/>
                <w:szCs w:val="20"/>
              </w:rPr>
              <w:t>2012</w:t>
            </w:r>
            <w:r>
              <w:rPr>
                <w:rFonts w:ascii="Arial" w:hAnsi="Arial" w:cs="Arial" w:eastAsia="Arial" w:hint="default"/>
                <w:spacing w:val="-9"/>
                <w:sz w:val="20"/>
                <w:szCs w:val="20"/>
              </w:rPr>
              <w:t> </w:t>
            </w:r>
            <w:r>
              <w:rPr>
                <w:rFonts w:ascii="黑体" w:hAnsi="黑体" w:cs="黑体" w:eastAsia="黑体" w:hint="default"/>
                <w:sz w:val="20"/>
                <w:szCs w:val="20"/>
              </w:rPr>
              <w:t>年</w:t>
            </w:r>
            <w:r>
              <w:rPr>
                <w:rFonts w:ascii="黑体" w:hAnsi="黑体" w:cs="黑体" w:eastAsia="黑体" w:hint="default"/>
                <w:spacing w:val="-51"/>
                <w:sz w:val="20"/>
                <w:szCs w:val="20"/>
              </w:rPr>
              <w:t> </w:t>
            </w:r>
            <w:r>
              <w:rPr>
                <w:rFonts w:ascii="Arial" w:hAnsi="Arial" w:cs="Arial" w:eastAsia="Arial" w:hint="default"/>
                <w:sz w:val="20"/>
                <w:szCs w:val="20"/>
              </w:rPr>
              <w:t>12</w:t>
            </w:r>
            <w:r>
              <w:rPr>
                <w:rFonts w:ascii="Arial" w:hAnsi="Arial" w:cs="Arial" w:eastAsia="Arial" w:hint="default"/>
                <w:spacing w:val="-9"/>
                <w:sz w:val="20"/>
                <w:szCs w:val="20"/>
              </w:rPr>
              <w:t> </w:t>
            </w:r>
            <w:r>
              <w:rPr>
                <w:rFonts w:ascii="黑体" w:hAnsi="黑体" w:cs="黑体" w:eastAsia="黑体" w:hint="default"/>
                <w:sz w:val="20"/>
                <w:szCs w:val="20"/>
              </w:rPr>
              <w:t>月</w:t>
            </w:r>
          </w:p>
        </w:tc>
        <w:tc>
          <w:tcPr>
            <w:tcW w:w="2260" w:type="dxa"/>
            <w:tcBorders>
              <w:top w:val="nil" w:sz="6" w:space="0" w:color="auto"/>
              <w:left w:val="nil" w:sz="6" w:space="0" w:color="auto"/>
              <w:bottom w:val="nil" w:sz="6" w:space="0" w:color="auto"/>
              <w:right w:val="nil" w:sz="6" w:space="0" w:color="auto"/>
            </w:tcBorders>
          </w:tcPr>
          <w:p>
            <w:pPr>
              <w:pStyle w:val="TableParagraph"/>
              <w:spacing w:line="235" w:lineRule="exact"/>
              <w:ind w:right="198"/>
              <w:jc w:val="right"/>
              <w:rPr>
                <w:rFonts w:ascii="黑体" w:hAnsi="黑体" w:cs="黑体" w:eastAsia="黑体" w:hint="default"/>
                <w:sz w:val="20"/>
                <w:szCs w:val="20"/>
              </w:rPr>
            </w:pPr>
            <w:r>
              <w:rPr>
                <w:rFonts w:ascii="黑体" w:hAnsi="黑体" w:cs="黑体" w:eastAsia="黑体" w:hint="default"/>
                <w:w w:val="95"/>
                <w:sz w:val="20"/>
                <w:szCs w:val="20"/>
              </w:rPr>
              <w:t>未到合同约定结算时间</w:t>
            </w:r>
            <w:r>
              <w:rPr>
                <w:rFonts w:ascii="黑体" w:hAnsi="黑体" w:cs="黑体" w:eastAsia="黑体" w:hint="default"/>
                <w:sz w:val="20"/>
                <w:szCs w:val="20"/>
              </w:rPr>
            </w:r>
          </w:p>
        </w:tc>
      </w:tr>
      <w:tr>
        <w:trPr>
          <w:trHeight w:val="425" w:hRule="exact"/>
        </w:trPr>
        <w:tc>
          <w:tcPr>
            <w:tcW w:w="3003" w:type="dxa"/>
            <w:tcBorders>
              <w:top w:val="nil" w:sz="6" w:space="0" w:color="auto"/>
              <w:left w:val="nil" w:sz="6" w:space="0" w:color="auto"/>
              <w:bottom w:val="nil" w:sz="6" w:space="0" w:color="auto"/>
              <w:right w:val="nil" w:sz="6" w:space="0" w:color="auto"/>
            </w:tcBorders>
          </w:tcPr>
          <w:p>
            <w:pPr>
              <w:pStyle w:val="TableParagraph"/>
              <w:spacing w:line="234" w:lineRule="exact"/>
              <w:ind w:left="200" w:right="0"/>
              <w:jc w:val="left"/>
              <w:rPr>
                <w:rFonts w:ascii="黑体" w:hAnsi="黑体" w:cs="黑体" w:eastAsia="黑体" w:hint="default"/>
                <w:sz w:val="20"/>
                <w:szCs w:val="20"/>
              </w:rPr>
            </w:pPr>
            <w:r>
              <w:rPr>
                <w:rFonts w:ascii="黑体" w:hAnsi="黑体" w:cs="黑体" w:eastAsia="黑体" w:hint="default"/>
                <w:sz w:val="20"/>
                <w:szCs w:val="20"/>
              </w:rPr>
              <w:t>广西铭景电子科技有限公司</w:t>
            </w:r>
          </w:p>
        </w:tc>
        <w:tc>
          <w:tcPr>
            <w:tcW w:w="1151" w:type="dxa"/>
            <w:tcBorders>
              <w:top w:val="nil" w:sz="6" w:space="0" w:color="auto"/>
              <w:left w:val="nil" w:sz="6" w:space="0" w:color="auto"/>
              <w:bottom w:val="nil" w:sz="6" w:space="0" w:color="auto"/>
              <w:right w:val="nil" w:sz="6" w:space="0" w:color="auto"/>
            </w:tcBorders>
          </w:tcPr>
          <w:p>
            <w:pPr>
              <w:pStyle w:val="TableParagraph"/>
              <w:spacing w:line="234" w:lineRule="exact"/>
              <w:ind w:right="149"/>
              <w:jc w:val="right"/>
              <w:rPr>
                <w:rFonts w:ascii="黑体" w:hAnsi="黑体" w:cs="黑体" w:eastAsia="黑体" w:hint="default"/>
                <w:sz w:val="20"/>
                <w:szCs w:val="20"/>
              </w:rPr>
            </w:pPr>
            <w:r>
              <w:rPr>
                <w:rFonts w:ascii="黑体" w:hAnsi="黑体" w:cs="黑体" w:eastAsia="黑体" w:hint="default"/>
                <w:w w:val="95"/>
                <w:sz w:val="20"/>
                <w:szCs w:val="20"/>
              </w:rPr>
              <w:t>非关联方</w:t>
            </w:r>
            <w:r>
              <w:rPr>
                <w:rFonts w:ascii="黑体" w:hAnsi="黑体" w:cs="黑体" w:eastAsia="黑体" w:hint="default"/>
                <w:sz w:val="20"/>
                <w:szCs w:val="20"/>
              </w:rPr>
            </w:r>
          </w:p>
        </w:tc>
        <w:tc>
          <w:tcPr>
            <w:tcW w:w="1240"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8"/>
              <w:ind w:right="89"/>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328,500</w:t>
            </w:r>
            <w:r>
              <w:rPr>
                <w:rFonts w:ascii="Arial"/>
                <w:spacing w:val="-1"/>
                <w:w w:val="95"/>
                <w:sz w:val="20"/>
              </w:rPr>
            </w:r>
            <w:r>
              <w:rPr>
                <w:rFonts w:ascii="Arial"/>
                <w:sz w:val="20"/>
              </w:rPr>
            </w:r>
          </w:p>
        </w:tc>
        <w:tc>
          <w:tcPr>
            <w:tcW w:w="1369" w:type="dxa"/>
            <w:tcBorders>
              <w:top w:val="nil" w:sz="6" w:space="0" w:color="auto"/>
              <w:left w:val="nil" w:sz="6" w:space="0" w:color="auto"/>
              <w:bottom w:val="nil" w:sz="6" w:space="0" w:color="auto"/>
              <w:right w:val="nil" w:sz="6" w:space="0" w:color="auto"/>
            </w:tcBorders>
          </w:tcPr>
          <w:p>
            <w:pPr>
              <w:pStyle w:val="TableParagraph"/>
              <w:spacing w:line="248" w:lineRule="exact"/>
              <w:ind w:right="61"/>
              <w:jc w:val="right"/>
              <w:rPr>
                <w:rFonts w:ascii="黑体" w:hAnsi="黑体" w:cs="黑体" w:eastAsia="黑体" w:hint="default"/>
                <w:sz w:val="20"/>
                <w:szCs w:val="20"/>
              </w:rPr>
            </w:pPr>
            <w:r>
              <w:rPr>
                <w:rFonts w:ascii="Arial" w:hAnsi="Arial" w:cs="Arial" w:eastAsia="Arial" w:hint="default"/>
                <w:sz w:val="20"/>
                <w:szCs w:val="20"/>
              </w:rPr>
              <w:t>2012</w:t>
            </w:r>
            <w:r>
              <w:rPr>
                <w:rFonts w:ascii="Arial" w:hAnsi="Arial" w:cs="Arial" w:eastAsia="Arial" w:hint="default"/>
                <w:spacing w:val="-9"/>
                <w:sz w:val="20"/>
                <w:szCs w:val="20"/>
              </w:rPr>
              <w:t> </w:t>
            </w:r>
            <w:r>
              <w:rPr>
                <w:rFonts w:ascii="黑体" w:hAnsi="黑体" w:cs="黑体" w:eastAsia="黑体" w:hint="default"/>
                <w:sz w:val="20"/>
                <w:szCs w:val="20"/>
              </w:rPr>
              <w:t>年</w:t>
            </w:r>
            <w:r>
              <w:rPr>
                <w:rFonts w:ascii="黑体" w:hAnsi="黑体" w:cs="黑体" w:eastAsia="黑体" w:hint="default"/>
                <w:spacing w:val="-51"/>
                <w:sz w:val="20"/>
                <w:szCs w:val="20"/>
              </w:rPr>
              <w:t> </w:t>
            </w:r>
            <w:r>
              <w:rPr>
                <w:rFonts w:ascii="Arial" w:hAnsi="Arial" w:cs="Arial" w:eastAsia="Arial" w:hint="default"/>
                <w:sz w:val="20"/>
                <w:szCs w:val="20"/>
              </w:rPr>
              <w:t>12</w:t>
            </w:r>
            <w:r>
              <w:rPr>
                <w:rFonts w:ascii="Arial" w:hAnsi="Arial" w:cs="Arial" w:eastAsia="Arial" w:hint="default"/>
                <w:spacing w:val="-9"/>
                <w:sz w:val="20"/>
                <w:szCs w:val="20"/>
              </w:rPr>
              <w:t> </w:t>
            </w:r>
            <w:r>
              <w:rPr>
                <w:rFonts w:ascii="黑体" w:hAnsi="黑体" w:cs="黑体" w:eastAsia="黑体" w:hint="default"/>
                <w:sz w:val="20"/>
                <w:szCs w:val="20"/>
              </w:rPr>
              <w:t>月</w:t>
            </w:r>
          </w:p>
        </w:tc>
        <w:tc>
          <w:tcPr>
            <w:tcW w:w="2260" w:type="dxa"/>
            <w:tcBorders>
              <w:top w:val="nil" w:sz="6" w:space="0" w:color="auto"/>
              <w:left w:val="nil" w:sz="6" w:space="0" w:color="auto"/>
              <w:bottom w:val="nil" w:sz="6" w:space="0" w:color="auto"/>
              <w:right w:val="nil" w:sz="6" w:space="0" w:color="auto"/>
            </w:tcBorders>
          </w:tcPr>
          <w:p>
            <w:pPr>
              <w:pStyle w:val="TableParagraph"/>
              <w:spacing w:line="234" w:lineRule="exact"/>
              <w:ind w:right="198"/>
              <w:jc w:val="right"/>
              <w:rPr>
                <w:rFonts w:ascii="黑体" w:hAnsi="黑体" w:cs="黑体" w:eastAsia="黑体" w:hint="default"/>
                <w:sz w:val="20"/>
                <w:szCs w:val="20"/>
              </w:rPr>
            </w:pPr>
            <w:r>
              <w:rPr>
                <w:rFonts w:ascii="黑体" w:hAnsi="黑体" w:cs="黑体" w:eastAsia="黑体" w:hint="default"/>
                <w:w w:val="95"/>
                <w:sz w:val="20"/>
                <w:szCs w:val="20"/>
              </w:rPr>
              <w:t>未到合同约定结算时间</w:t>
            </w:r>
            <w:r>
              <w:rPr>
                <w:rFonts w:ascii="黑体" w:hAnsi="黑体" w:cs="黑体" w:eastAsia="黑体" w:hint="default"/>
                <w:sz w:val="20"/>
                <w:szCs w:val="20"/>
              </w:rPr>
            </w:r>
          </w:p>
        </w:tc>
      </w:tr>
      <w:tr>
        <w:trPr>
          <w:trHeight w:val="380" w:hRule="exact"/>
        </w:trPr>
        <w:tc>
          <w:tcPr>
            <w:tcW w:w="3003" w:type="dxa"/>
            <w:tcBorders>
              <w:top w:val="nil" w:sz="6" w:space="0" w:color="auto"/>
              <w:left w:val="nil" w:sz="6" w:space="0" w:color="auto"/>
              <w:bottom w:val="nil" w:sz="6" w:space="0" w:color="auto"/>
              <w:right w:val="nil" w:sz="6" w:space="0" w:color="auto"/>
            </w:tcBorders>
          </w:tcPr>
          <w:p>
            <w:pPr/>
          </w:p>
        </w:tc>
        <w:tc>
          <w:tcPr>
            <w:tcW w:w="1151" w:type="dxa"/>
            <w:tcBorders>
              <w:top w:val="nil" w:sz="6" w:space="0" w:color="auto"/>
              <w:left w:val="nil" w:sz="6" w:space="0" w:color="auto"/>
              <w:bottom w:val="nil" w:sz="6" w:space="0" w:color="auto"/>
              <w:right w:val="nil" w:sz="6" w:space="0" w:color="auto"/>
            </w:tcBorders>
          </w:tcPr>
          <w:p>
            <w:pP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89"/>
              <w:jc w:val="right"/>
              <w:rPr>
                <w:rFonts w:ascii="Arial" w:hAnsi="Arial" w:cs="Arial" w:eastAsia="Arial" w:hint="default"/>
                <w:sz w:val="20"/>
                <w:szCs w:val="20"/>
              </w:rPr>
            </w:pPr>
            <w:r>
              <w:rPr>
                <w:rFonts w:ascii="Arial"/>
                <w:w w:val="99"/>
                <w:sz w:val="20"/>
              </w:rPr>
            </w:r>
            <w:r>
              <w:rPr>
                <w:rFonts w:ascii="Arial"/>
                <w:spacing w:val="-1"/>
                <w:sz w:val="20"/>
                <w:u w:val="thick" w:color="000000"/>
              </w:rPr>
              <w:t>17,318,636</w:t>
            </w:r>
            <w:r>
              <w:rPr>
                <w:rFonts w:ascii="Arial"/>
                <w:spacing w:val="-1"/>
                <w:sz w:val="20"/>
              </w:rPr>
            </w:r>
            <w:r>
              <w:rPr>
                <w:rFonts w:ascii="Arial"/>
                <w:sz w:val="20"/>
              </w:rPr>
            </w:r>
          </w:p>
        </w:tc>
        <w:tc>
          <w:tcPr>
            <w:tcW w:w="1369" w:type="dxa"/>
            <w:tcBorders>
              <w:top w:val="nil" w:sz="6" w:space="0" w:color="auto"/>
              <w:left w:val="nil" w:sz="6" w:space="0" w:color="auto"/>
              <w:bottom w:val="nil" w:sz="6" w:space="0" w:color="auto"/>
              <w:right w:val="nil" w:sz="6" w:space="0" w:color="auto"/>
            </w:tcBorders>
          </w:tcPr>
          <w:p>
            <w:pPr/>
          </w:p>
        </w:tc>
        <w:tc>
          <w:tcPr>
            <w:tcW w:w="2260" w:type="dxa"/>
            <w:tcBorders>
              <w:top w:val="nil" w:sz="6" w:space="0" w:color="auto"/>
              <w:left w:val="nil" w:sz="6" w:space="0" w:color="auto"/>
              <w:bottom w:val="nil" w:sz="6" w:space="0" w:color="auto"/>
              <w:right w:val="nil" w:sz="6" w:space="0" w:color="auto"/>
            </w:tcBorders>
          </w:tcPr>
          <w:p>
            <w:pPr/>
          </w:p>
        </w:tc>
      </w:tr>
    </w:tbl>
    <w:p>
      <w:pPr>
        <w:spacing w:line="240" w:lineRule="auto" w:before="3"/>
        <w:rPr>
          <w:rFonts w:ascii="黑体" w:hAnsi="黑体" w:cs="黑体" w:eastAsia="黑体" w:hint="default"/>
          <w:sz w:val="20"/>
          <w:szCs w:val="20"/>
        </w:rPr>
      </w:pPr>
    </w:p>
    <w:p>
      <w:pPr>
        <w:pStyle w:val="BodyText"/>
        <w:spacing w:line="240" w:lineRule="auto" w:before="37"/>
        <w:ind w:left="854" w:right="0"/>
        <w:jc w:val="left"/>
      </w:pPr>
      <w:r>
        <w:rPr/>
        <w:t>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日，本集团无重大预付款项。</w:t>
      </w:r>
    </w:p>
    <w:p>
      <w:pPr>
        <w:spacing w:line="240" w:lineRule="auto" w:before="10"/>
        <w:rPr>
          <w:rFonts w:ascii="黑体" w:hAnsi="黑体" w:cs="黑体" w:eastAsia="黑体" w:hint="default"/>
          <w:sz w:val="24"/>
          <w:szCs w:val="24"/>
        </w:rPr>
      </w:pPr>
    </w:p>
    <w:p>
      <w:pPr>
        <w:pStyle w:val="BodyText"/>
        <w:spacing w:line="240" w:lineRule="auto"/>
        <w:ind w:left="854" w:right="0"/>
        <w:jc w:val="left"/>
      </w:pP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日，本账户余额中无持有本公司</w:t>
      </w:r>
      <w:r>
        <w:rPr>
          <w:rFonts w:ascii="Arial" w:hAnsi="Arial" w:cs="Arial" w:eastAsia="Arial" w:hint="default"/>
        </w:rPr>
        <w:t>5%</w:t>
      </w:r>
      <w:r>
        <w:rPr/>
        <w:t>或以上表决权股份的股东单位的欠款</w:t>
      </w:r>
    </w:p>
    <w:p>
      <w:pPr>
        <w:pStyle w:val="BodyText"/>
        <w:spacing w:line="240" w:lineRule="auto" w:before="24"/>
        <w:ind w:left="854" w:right="0"/>
        <w:jc w:val="left"/>
      </w:pP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w:t>
      </w:r>
    </w:p>
    <w:p>
      <w:pPr>
        <w:spacing w:after="0" w:line="240" w:lineRule="auto"/>
        <w:jc w:val="left"/>
        <w:sectPr>
          <w:pgSz w:w="11910" w:h="16850"/>
          <w:pgMar w:header="957" w:footer="468" w:top="2640" w:bottom="660" w:left="1560" w:right="560"/>
        </w:sectPr>
      </w:pPr>
    </w:p>
    <w:p>
      <w:pPr>
        <w:spacing w:line="240" w:lineRule="auto" w:before="5"/>
        <w:rPr>
          <w:rFonts w:ascii="黑体" w:hAnsi="黑体" w:cs="黑体" w:eastAsia="黑体" w:hint="default"/>
          <w:sz w:val="16"/>
          <w:szCs w:val="16"/>
        </w:rPr>
      </w:pPr>
    </w:p>
    <w:p>
      <w:pPr>
        <w:pStyle w:val="Heading6"/>
        <w:tabs>
          <w:tab w:pos="844" w:val="left" w:leader="none"/>
        </w:tabs>
        <w:spacing w:line="240" w:lineRule="auto"/>
        <w:ind w:left="141" w:right="0"/>
        <w:jc w:val="left"/>
        <w:rPr>
          <w:b w:val="0"/>
          <w:bCs w:val="0"/>
        </w:rPr>
      </w:pPr>
      <w:r>
        <w:rPr>
          <w:w w:val="95"/>
        </w:rPr>
        <w:t>五、</w:t>
        <w:tab/>
      </w:r>
      <w:bookmarkStart w:name="五、   合并财务报表主要项目注释（续）" w:id="69"/>
      <w:bookmarkEnd w:id="69"/>
      <w:r>
        <w:rPr/>
        <w:t>合并</w:t>
      </w:r>
      <w:r>
        <w:rPr/>
        <w:t>财务报表主要项目注释（续）</w:t>
      </w:r>
      <w:r>
        <w:rPr>
          <w:b w:val="0"/>
          <w:bCs w:val="0"/>
        </w:rPr>
      </w:r>
    </w:p>
    <w:p>
      <w:pPr>
        <w:spacing w:line="240" w:lineRule="auto" w:before="9"/>
        <w:rPr>
          <w:rFonts w:ascii="黑体" w:hAnsi="黑体" w:cs="黑体" w:eastAsia="黑体" w:hint="default"/>
          <w:b/>
          <w:bCs/>
          <w:sz w:val="18"/>
          <w:szCs w:val="18"/>
        </w:rPr>
      </w:pPr>
    </w:p>
    <w:p>
      <w:pPr>
        <w:tabs>
          <w:tab w:pos="863" w:val="left" w:leader="none"/>
        </w:tabs>
        <w:spacing w:line="504" w:lineRule="auto" w:before="0"/>
        <w:ind w:left="854" w:right="5570" w:hanging="713"/>
        <w:jc w:val="left"/>
        <w:rPr>
          <w:rFonts w:ascii="黑体" w:hAnsi="黑体" w:cs="黑体" w:eastAsia="黑体" w:hint="default"/>
          <w:sz w:val="20"/>
          <w:szCs w:val="20"/>
        </w:rPr>
      </w:pPr>
      <w:r>
        <w:rPr>
          <w:rFonts w:ascii="Arial" w:hAnsi="Arial" w:cs="Arial" w:eastAsia="Arial" w:hint="default"/>
          <w:b/>
          <w:bCs/>
          <w:spacing w:val="-1"/>
          <w:sz w:val="20"/>
          <w:szCs w:val="20"/>
        </w:rPr>
        <w:t>5.</w:t>
        <w:tab/>
        <w:tab/>
      </w:r>
      <w:r>
        <w:rPr>
          <w:rFonts w:ascii="黑体" w:hAnsi="黑体" w:cs="黑体" w:eastAsia="黑体" w:hint="default"/>
          <w:b/>
          <w:bCs/>
          <w:spacing w:val="1"/>
          <w:sz w:val="20"/>
          <w:szCs w:val="20"/>
        </w:rPr>
        <w:t>其他应收款</w:t>
      </w:r>
      <w:r>
        <w:rPr>
          <w:rFonts w:ascii="黑体" w:hAnsi="黑体" w:cs="黑体" w:eastAsia="黑体" w:hint="default"/>
          <w:b/>
          <w:bCs/>
          <w:spacing w:val="2"/>
          <w:w w:val="99"/>
          <w:sz w:val="20"/>
          <w:szCs w:val="20"/>
        </w:rPr>
        <w:t> </w:t>
      </w:r>
      <w:r>
        <w:rPr>
          <w:rFonts w:ascii="黑体" w:hAnsi="黑体" w:cs="黑体" w:eastAsia="黑体" w:hint="default"/>
          <w:sz w:val="20"/>
          <w:szCs w:val="20"/>
        </w:rPr>
        <w:t>其他应收</w:t>
      </w:r>
      <w:bookmarkStart w:name="5.    其他应收款" w:id="70"/>
      <w:bookmarkEnd w:id="70"/>
      <w:r>
        <w:rPr>
          <w:rFonts w:ascii="黑体" w:hAnsi="黑体" w:cs="黑体" w:eastAsia="黑体" w:hint="default"/>
          <w:sz w:val="20"/>
          <w:szCs w:val="20"/>
        </w:rPr>
        <w:t>款的</w:t>
      </w:r>
      <w:r>
        <w:rPr>
          <w:rFonts w:ascii="黑体" w:hAnsi="黑体" w:cs="黑体" w:eastAsia="黑体" w:hint="default"/>
          <w:sz w:val="20"/>
          <w:szCs w:val="20"/>
        </w:rPr>
        <w:t>账龄分析如下：</w:t>
      </w:r>
    </w:p>
    <w:p>
      <w:pPr>
        <w:spacing w:line="240" w:lineRule="auto" w:before="2"/>
        <w:rPr>
          <w:rFonts w:ascii="黑体" w:hAnsi="黑体" w:cs="黑体" w:eastAsia="黑体" w:hint="default"/>
          <w:sz w:val="12"/>
          <w:szCs w:val="12"/>
        </w:rPr>
      </w:pPr>
    </w:p>
    <w:tbl>
      <w:tblPr>
        <w:tblW w:w="0" w:type="auto"/>
        <w:jc w:val="left"/>
        <w:tblInd w:w="649" w:type="dxa"/>
        <w:tblLayout w:type="fixed"/>
        <w:tblCellMar>
          <w:top w:w="0" w:type="dxa"/>
          <w:left w:w="0" w:type="dxa"/>
          <w:bottom w:w="0" w:type="dxa"/>
          <w:right w:w="0" w:type="dxa"/>
        </w:tblCellMar>
        <w:tblLook w:val="01E0"/>
      </w:tblPr>
      <w:tblGrid>
        <w:gridCol w:w="3776"/>
        <w:gridCol w:w="2798"/>
        <w:gridCol w:w="1621"/>
      </w:tblGrid>
      <w:tr>
        <w:trPr>
          <w:trHeight w:val="232" w:hRule="exact"/>
        </w:trPr>
        <w:tc>
          <w:tcPr>
            <w:tcW w:w="3776" w:type="dxa"/>
            <w:tcBorders>
              <w:top w:val="nil" w:sz="6" w:space="0" w:color="auto"/>
              <w:left w:val="nil" w:sz="6" w:space="0" w:color="auto"/>
              <w:bottom w:val="nil" w:sz="6" w:space="0" w:color="auto"/>
              <w:right w:val="nil" w:sz="6" w:space="0" w:color="auto"/>
            </w:tcBorders>
          </w:tcPr>
          <w:p>
            <w:pPr/>
          </w:p>
        </w:tc>
        <w:tc>
          <w:tcPr>
            <w:tcW w:w="2798" w:type="dxa"/>
            <w:tcBorders>
              <w:top w:val="nil" w:sz="6" w:space="0" w:color="auto"/>
              <w:left w:val="nil" w:sz="6" w:space="0" w:color="auto"/>
              <w:bottom w:val="nil" w:sz="6" w:space="0" w:color="auto"/>
              <w:right w:val="nil" w:sz="6" w:space="0" w:color="auto"/>
            </w:tcBorders>
          </w:tcPr>
          <w:p>
            <w:pPr>
              <w:pStyle w:val="TableParagraph"/>
              <w:spacing w:line="214" w:lineRule="exact"/>
              <w:ind w:right="422"/>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1621" w:type="dxa"/>
            <w:tcBorders>
              <w:top w:val="nil" w:sz="6" w:space="0" w:color="auto"/>
              <w:left w:val="nil" w:sz="6" w:space="0" w:color="auto"/>
              <w:bottom w:val="nil" w:sz="6" w:space="0" w:color="auto"/>
              <w:right w:val="nil" w:sz="6" w:space="0" w:color="auto"/>
            </w:tcBorders>
          </w:tcPr>
          <w:p>
            <w:pPr>
              <w:pStyle w:val="TableParagraph"/>
              <w:spacing w:line="214" w:lineRule="exact"/>
              <w:ind w:right="202"/>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r>
      <w:tr>
        <w:trPr>
          <w:trHeight w:val="383" w:hRule="exact"/>
        </w:trPr>
        <w:tc>
          <w:tcPr>
            <w:tcW w:w="3776" w:type="dxa"/>
            <w:tcBorders>
              <w:top w:val="nil" w:sz="6" w:space="0" w:color="auto"/>
              <w:left w:val="nil" w:sz="6" w:space="0" w:color="auto"/>
              <w:bottom w:val="nil" w:sz="6" w:space="0" w:color="auto"/>
              <w:right w:val="nil" w:sz="6" w:space="0" w:color="auto"/>
            </w:tcBorders>
          </w:tcPr>
          <w:p>
            <w:pPr/>
          </w:p>
        </w:tc>
        <w:tc>
          <w:tcPr>
            <w:tcW w:w="2798" w:type="dxa"/>
            <w:tcBorders>
              <w:top w:val="nil" w:sz="6" w:space="0" w:color="auto"/>
              <w:left w:val="nil" w:sz="6" w:space="0" w:color="auto"/>
              <w:bottom w:val="nil" w:sz="6" w:space="0" w:color="auto"/>
              <w:right w:val="nil" w:sz="6" w:space="0" w:color="auto"/>
            </w:tcBorders>
          </w:tcPr>
          <w:p>
            <w:pPr>
              <w:pStyle w:val="TableParagraph"/>
              <w:spacing w:line="236" w:lineRule="exact"/>
              <w:ind w:right="422"/>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621" w:type="dxa"/>
            <w:tcBorders>
              <w:top w:val="nil" w:sz="6" w:space="0" w:color="auto"/>
              <w:left w:val="nil" w:sz="6" w:space="0" w:color="auto"/>
              <w:bottom w:val="nil" w:sz="6" w:space="0" w:color="auto"/>
              <w:right w:val="nil" w:sz="6" w:space="0" w:color="auto"/>
            </w:tcBorders>
          </w:tcPr>
          <w:p>
            <w:pPr>
              <w:pStyle w:val="TableParagraph"/>
              <w:spacing w:line="236" w:lineRule="exact"/>
              <w:ind w:right="202"/>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r>
      <w:tr>
        <w:trPr>
          <w:trHeight w:val="385" w:hRule="exact"/>
        </w:trPr>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00" w:right="0"/>
              <w:jc w:val="left"/>
              <w:rPr>
                <w:rFonts w:ascii="黑体" w:hAnsi="黑体" w:cs="黑体" w:eastAsia="黑体" w:hint="default"/>
                <w:sz w:val="20"/>
                <w:szCs w:val="20"/>
              </w:rPr>
            </w:pPr>
            <w:r>
              <w:rPr>
                <w:rFonts w:ascii="Arial" w:hAnsi="Arial" w:cs="Arial" w:eastAsia="Arial" w:hint="default"/>
                <w:sz w:val="20"/>
                <w:szCs w:val="20"/>
              </w:rPr>
              <w:t>1</w:t>
            </w:r>
            <w:r>
              <w:rPr>
                <w:rFonts w:ascii="黑体" w:hAnsi="黑体" w:cs="黑体" w:eastAsia="黑体" w:hint="default"/>
                <w:sz w:val="20"/>
                <w:szCs w:val="20"/>
              </w:rPr>
              <w:t>年以内</w:t>
            </w:r>
          </w:p>
        </w:tc>
        <w:tc>
          <w:tcPr>
            <w:tcW w:w="279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420"/>
              <w:jc w:val="right"/>
              <w:rPr>
                <w:rFonts w:ascii="Arial" w:hAnsi="Arial" w:cs="Arial" w:eastAsia="Arial" w:hint="default"/>
                <w:sz w:val="20"/>
                <w:szCs w:val="20"/>
              </w:rPr>
            </w:pPr>
            <w:r>
              <w:rPr>
                <w:rFonts w:ascii="Arial"/>
                <w:spacing w:val="-1"/>
                <w:sz w:val="20"/>
              </w:rPr>
              <w:t>55,010,422</w:t>
            </w:r>
            <w:r>
              <w:rPr>
                <w:rFonts w:ascii="Arial"/>
                <w:sz w:val="20"/>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98"/>
              <w:jc w:val="right"/>
              <w:rPr>
                <w:rFonts w:ascii="Arial" w:hAnsi="Arial" w:cs="Arial" w:eastAsia="Arial" w:hint="default"/>
                <w:sz w:val="20"/>
                <w:szCs w:val="20"/>
              </w:rPr>
            </w:pPr>
            <w:r>
              <w:rPr>
                <w:rFonts w:ascii="Arial"/>
                <w:spacing w:val="-1"/>
                <w:sz w:val="20"/>
              </w:rPr>
              <w:t>50,816,025</w:t>
            </w:r>
            <w:r>
              <w:rPr>
                <w:rFonts w:ascii="Arial"/>
                <w:sz w:val="20"/>
              </w:rPr>
            </w:r>
          </w:p>
        </w:tc>
      </w:tr>
      <w:tr>
        <w:trPr>
          <w:trHeight w:val="259" w:hRule="exact"/>
        </w:trPr>
        <w:tc>
          <w:tcPr>
            <w:tcW w:w="3776"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黑体" w:hAnsi="黑体" w:cs="黑体" w:eastAsia="黑体" w:hint="default"/>
                <w:sz w:val="20"/>
                <w:szCs w:val="20"/>
              </w:rPr>
            </w:pPr>
            <w:r>
              <w:rPr>
                <w:rFonts w:ascii="Arial" w:hAnsi="Arial" w:cs="Arial" w:eastAsia="Arial" w:hint="default"/>
                <w:sz w:val="20"/>
                <w:szCs w:val="20"/>
              </w:rPr>
              <w:t>1</w:t>
            </w:r>
            <w:r>
              <w:rPr>
                <w:rFonts w:ascii="黑体" w:hAnsi="黑体" w:cs="黑体" w:eastAsia="黑体" w:hint="default"/>
                <w:sz w:val="20"/>
                <w:szCs w:val="20"/>
              </w:rPr>
              <w:t>年至</w:t>
            </w:r>
            <w:r>
              <w:rPr>
                <w:rFonts w:ascii="Arial" w:hAnsi="Arial" w:cs="Arial" w:eastAsia="Arial" w:hint="default"/>
                <w:sz w:val="20"/>
                <w:szCs w:val="20"/>
              </w:rPr>
              <w:t>2</w:t>
            </w:r>
            <w:r>
              <w:rPr>
                <w:rFonts w:ascii="黑体" w:hAnsi="黑体" w:cs="黑体" w:eastAsia="黑体" w:hint="default"/>
                <w:sz w:val="20"/>
                <w:szCs w:val="20"/>
              </w:rPr>
              <w:t>年</w:t>
            </w:r>
          </w:p>
        </w:tc>
        <w:tc>
          <w:tcPr>
            <w:tcW w:w="27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20"/>
              <w:jc w:val="right"/>
              <w:rPr>
                <w:rFonts w:ascii="Arial" w:hAnsi="Arial" w:cs="Arial" w:eastAsia="Arial" w:hint="default"/>
                <w:sz w:val="20"/>
                <w:szCs w:val="20"/>
              </w:rPr>
            </w:pPr>
            <w:r>
              <w:rPr>
                <w:rFonts w:ascii="Arial"/>
                <w:spacing w:val="-1"/>
                <w:sz w:val="20"/>
              </w:rPr>
              <w:t>17,389,275</w:t>
            </w:r>
            <w:r>
              <w:rPr>
                <w:rFonts w:ascii="Arial"/>
                <w:sz w:val="20"/>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8"/>
              <w:jc w:val="right"/>
              <w:rPr>
                <w:rFonts w:ascii="Arial" w:hAnsi="Arial" w:cs="Arial" w:eastAsia="Arial" w:hint="default"/>
                <w:sz w:val="20"/>
                <w:szCs w:val="20"/>
              </w:rPr>
            </w:pPr>
            <w:r>
              <w:rPr>
                <w:rFonts w:ascii="Arial"/>
                <w:spacing w:val="-1"/>
                <w:sz w:val="20"/>
              </w:rPr>
              <w:t>18,411,853</w:t>
            </w:r>
            <w:r>
              <w:rPr>
                <w:rFonts w:ascii="Arial"/>
                <w:sz w:val="20"/>
              </w:rPr>
            </w:r>
          </w:p>
        </w:tc>
      </w:tr>
      <w:tr>
        <w:trPr>
          <w:trHeight w:val="259" w:hRule="exact"/>
        </w:trPr>
        <w:tc>
          <w:tcPr>
            <w:tcW w:w="3776"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黑体" w:hAnsi="黑体" w:cs="黑体" w:eastAsia="黑体" w:hint="default"/>
                <w:sz w:val="20"/>
                <w:szCs w:val="20"/>
              </w:rPr>
            </w:pPr>
            <w:r>
              <w:rPr>
                <w:rFonts w:ascii="Arial" w:hAnsi="Arial" w:cs="Arial" w:eastAsia="Arial" w:hint="default"/>
                <w:sz w:val="20"/>
                <w:szCs w:val="20"/>
              </w:rPr>
              <w:t>2</w:t>
            </w:r>
            <w:r>
              <w:rPr>
                <w:rFonts w:ascii="黑体" w:hAnsi="黑体" w:cs="黑体" w:eastAsia="黑体" w:hint="default"/>
                <w:sz w:val="20"/>
                <w:szCs w:val="20"/>
              </w:rPr>
              <w:t>年至</w:t>
            </w:r>
            <w:r>
              <w:rPr>
                <w:rFonts w:ascii="Arial" w:hAnsi="Arial" w:cs="Arial" w:eastAsia="Arial" w:hint="default"/>
                <w:sz w:val="20"/>
                <w:szCs w:val="20"/>
              </w:rPr>
              <w:t>3</w:t>
            </w:r>
            <w:r>
              <w:rPr>
                <w:rFonts w:ascii="黑体" w:hAnsi="黑体" w:cs="黑体" w:eastAsia="黑体" w:hint="default"/>
                <w:sz w:val="20"/>
                <w:szCs w:val="20"/>
              </w:rPr>
              <w:t>年</w:t>
            </w:r>
          </w:p>
        </w:tc>
        <w:tc>
          <w:tcPr>
            <w:tcW w:w="27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20"/>
              <w:jc w:val="right"/>
              <w:rPr>
                <w:rFonts w:ascii="Arial" w:hAnsi="Arial" w:cs="Arial" w:eastAsia="Arial" w:hint="default"/>
                <w:sz w:val="20"/>
                <w:szCs w:val="20"/>
              </w:rPr>
            </w:pPr>
            <w:r>
              <w:rPr>
                <w:rFonts w:ascii="Arial"/>
                <w:spacing w:val="-1"/>
                <w:sz w:val="20"/>
              </w:rPr>
              <w:t>10,317,845</w:t>
            </w:r>
            <w:r>
              <w:rPr>
                <w:rFonts w:ascii="Arial"/>
                <w:sz w:val="20"/>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9"/>
              <w:jc w:val="right"/>
              <w:rPr>
                <w:rFonts w:ascii="Arial" w:hAnsi="Arial" w:cs="Arial" w:eastAsia="Arial" w:hint="default"/>
                <w:sz w:val="20"/>
                <w:szCs w:val="20"/>
              </w:rPr>
            </w:pPr>
            <w:r>
              <w:rPr>
                <w:rFonts w:ascii="Arial"/>
                <w:spacing w:val="-1"/>
                <w:sz w:val="20"/>
              </w:rPr>
              <w:t>8,334,114</w:t>
            </w:r>
          </w:p>
        </w:tc>
      </w:tr>
      <w:tr>
        <w:trPr>
          <w:trHeight w:val="260" w:hRule="exact"/>
        </w:trPr>
        <w:tc>
          <w:tcPr>
            <w:tcW w:w="3776"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黑体" w:hAnsi="黑体" w:cs="黑体" w:eastAsia="黑体" w:hint="default"/>
                <w:sz w:val="20"/>
                <w:szCs w:val="20"/>
              </w:rPr>
            </w:pPr>
            <w:r>
              <w:rPr>
                <w:rFonts w:ascii="Arial" w:hAnsi="Arial" w:cs="Arial" w:eastAsia="Arial" w:hint="default"/>
                <w:sz w:val="20"/>
                <w:szCs w:val="20"/>
              </w:rPr>
              <w:t>3</w:t>
            </w:r>
            <w:r>
              <w:rPr>
                <w:rFonts w:ascii="黑体" w:hAnsi="黑体" w:cs="黑体" w:eastAsia="黑体" w:hint="default"/>
                <w:sz w:val="20"/>
                <w:szCs w:val="20"/>
              </w:rPr>
              <w:t>年以上</w:t>
            </w:r>
          </w:p>
        </w:tc>
        <w:tc>
          <w:tcPr>
            <w:tcW w:w="27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20"/>
              <w:jc w:val="right"/>
              <w:rPr>
                <w:rFonts w:ascii="Arial" w:hAnsi="Arial" w:cs="Arial" w:eastAsia="Arial" w:hint="default"/>
                <w:sz w:val="20"/>
                <w:szCs w:val="20"/>
              </w:rPr>
            </w:pPr>
            <w:r>
              <w:rPr>
                <w:rFonts w:ascii="Arial"/>
                <w:w w:val="99"/>
                <w:sz w:val="20"/>
              </w:rPr>
            </w:r>
            <w:r>
              <w:rPr>
                <w:rFonts w:ascii="Arial"/>
                <w:spacing w:val="-1"/>
                <w:sz w:val="20"/>
                <w:u w:val="single" w:color="000000"/>
              </w:rPr>
              <w:t>11,623,318</w:t>
            </w:r>
            <w:r>
              <w:rPr>
                <w:rFonts w:ascii="Arial"/>
                <w:spacing w:val="-1"/>
                <w:sz w:val="20"/>
              </w:rPr>
            </w:r>
            <w:r>
              <w:rPr>
                <w:rFonts w:ascii="Arial"/>
                <w:sz w:val="20"/>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w w:val="95"/>
                <w:sz w:val="20"/>
                <w:u w:val="single" w:color="000000"/>
              </w:rPr>
              <w:t>9,084,038</w:t>
            </w:r>
            <w:r>
              <w:rPr>
                <w:rFonts w:ascii="Arial"/>
                <w:spacing w:val="-1"/>
                <w:w w:val="95"/>
                <w:sz w:val="20"/>
              </w:rPr>
            </w:r>
            <w:r>
              <w:rPr>
                <w:rFonts w:ascii="Arial"/>
                <w:sz w:val="20"/>
              </w:rPr>
            </w:r>
          </w:p>
        </w:tc>
      </w:tr>
      <w:tr>
        <w:trPr>
          <w:trHeight w:val="379" w:hRule="exact"/>
        </w:trPr>
        <w:tc>
          <w:tcPr>
            <w:tcW w:w="3776" w:type="dxa"/>
            <w:tcBorders>
              <w:top w:val="nil" w:sz="6" w:space="0" w:color="auto"/>
              <w:left w:val="nil" w:sz="6" w:space="0" w:color="auto"/>
              <w:bottom w:val="nil" w:sz="6" w:space="0" w:color="auto"/>
              <w:right w:val="nil" w:sz="6" w:space="0" w:color="auto"/>
            </w:tcBorders>
          </w:tcPr>
          <w:p>
            <w:pPr/>
          </w:p>
        </w:tc>
        <w:tc>
          <w:tcPr>
            <w:tcW w:w="2798" w:type="dxa"/>
            <w:tcBorders>
              <w:top w:val="nil" w:sz="6" w:space="0" w:color="auto"/>
              <w:left w:val="nil" w:sz="6" w:space="0" w:color="auto"/>
              <w:bottom w:val="nil" w:sz="6" w:space="0" w:color="auto"/>
              <w:right w:val="nil" w:sz="6" w:space="0" w:color="auto"/>
            </w:tcBorders>
          </w:tcPr>
          <w:p>
            <w:pPr>
              <w:pStyle w:val="TableParagraph"/>
              <w:spacing w:line="240" w:lineRule="auto"/>
              <w:ind w:right="420"/>
              <w:jc w:val="right"/>
              <w:rPr>
                <w:rFonts w:ascii="Arial" w:hAnsi="Arial" w:cs="Arial" w:eastAsia="Arial" w:hint="default"/>
                <w:sz w:val="20"/>
                <w:szCs w:val="20"/>
              </w:rPr>
            </w:pPr>
            <w:r>
              <w:rPr>
                <w:rFonts w:ascii="Arial"/>
                <w:spacing w:val="-1"/>
                <w:sz w:val="20"/>
              </w:rPr>
              <w:t>94,340,860</w:t>
            </w:r>
            <w:r>
              <w:rPr>
                <w:rFonts w:ascii="Arial"/>
                <w:sz w:val="20"/>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ind w:right="198"/>
              <w:jc w:val="right"/>
              <w:rPr>
                <w:rFonts w:ascii="Arial" w:hAnsi="Arial" w:cs="Arial" w:eastAsia="Arial" w:hint="default"/>
                <w:sz w:val="20"/>
                <w:szCs w:val="20"/>
              </w:rPr>
            </w:pPr>
            <w:r>
              <w:rPr>
                <w:rFonts w:ascii="Arial"/>
                <w:spacing w:val="-1"/>
                <w:sz w:val="20"/>
              </w:rPr>
              <w:t>86,646,030</w:t>
            </w:r>
            <w:r>
              <w:rPr>
                <w:rFonts w:ascii="Arial"/>
                <w:sz w:val="20"/>
              </w:rPr>
            </w:r>
          </w:p>
        </w:tc>
      </w:tr>
      <w:tr>
        <w:trPr>
          <w:trHeight w:val="517" w:hRule="exact"/>
        </w:trPr>
        <w:tc>
          <w:tcPr>
            <w:tcW w:w="377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00" w:right="0"/>
              <w:jc w:val="left"/>
              <w:rPr>
                <w:rFonts w:ascii="黑体" w:hAnsi="黑体" w:cs="黑体" w:eastAsia="黑体" w:hint="default"/>
                <w:sz w:val="20"/>
                <w:szCs w:val="20"/>
              </w:rPr>
            </w:pPr>
            <w:r>
              <w:rPr>
                <w:rFonts w:ascii="黑体" w:hAnsi="黑体" w:cs="黑体" w:eastAsia="黑体" w:hint="default"/>
                <w:sz w:val="20"/>
                <w:szCs w:val="20"/>
              </w:rPr>
              <w:t>减：其他应收款坏账准备</w:t>
            </w:r>
          </w:p>
        </w:tc>
        <w:tc>
          <w:tcPr>
            <w:tcW w:w="2798"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420"/>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w w:val="95"/>
                <w:sz w:val="20"/>
                <w:u w:val="single" w:color="000000"/>
              </w:rPr>
              <w:t>7,407,274</w:t>
            </w:r>
            <w:r>
              <w:rPr>
                <w:rFonts w:ascii="Arial"/>
                <w:spacing w:val="-1"/>
                <w:w w:val="95"/>
                <w:sz w:val="20"/>
              </w:rPr>
            </w:r>
            <w:r>
              <w:rPr>
                <w:rFonts w:ascii="Arial"/>
                <w:sz w:val="20"/>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199"/>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
                <w:sz w:val="20"/>
                <w:u w:val="single" w:color="000000"/>
              </w:rPr>
              <w:t> 5,588,786</w:t>
            </w:r>
            <w:r>
              <w:rPr>
                <w:rFonts w:ascii="Arial"/>
                <w:spacing w:val="-1"/>
                <w:sz w:val="20"/>
              </w:rPr>
            </w:r>
          </w:p>
        </w:tc>
      </w:tr>
      <w:tr>
        <w:trPr>
          <w:trHeight w:val="354" w:hRule="exact"/>
        </w:trPr>
        <w:tc>
          <w:tcPr>
            <w:tcW w:w="3776" w:type="dxa"/>
            <w:tcBorders>
              <w:top w:val="nil" w:sz="6" w:space="0" w:color="auto"/>
              <w:left w:val="nil" w:sz="6" w:space="0" w:color="auto"/>
              <w:bottom w:val="nil" w:sz="6" w:space="0" w:color="auto"/>
              <w:right w:val="nil" w:sz="6" w:space="0" w:color="auto"/>
            </w:tcBorders>
          </w:tcPr>
          <w:p>
            <w:pPr/>
          </w:p>
        </w:tc>
        <w:tc>
          <w:tcPr>
            <w:tcW w:w="2798"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420"/>
              <w:jc w:val="right"/>
              <w:rPr>
                <w:rFonts w:ascii="Arial" w:hAnsi="Arial" w:cs="Arial" w:eastAsia="Arial" w:hint="default"/>
                <w:sz w:val="20"/>
                <w:szCs w:val="20"/>
              </w:rPr>
            </w:pPr>
            <w:r>
              <w:rPr>
                <w:rFonts w:ascii="Arial"/>
                <w:w w:val="99"/>
                <w:sz w:val="20"/>
              </w:rPr>
            </w:r>
            <w:r>
              <w:rPr>
                <w:rFonts w:ascii="Arial"/>
                <w:spacing w:val="-1"/>
                <w:sz w:val="20"/>
                <w:u w:val="thick" w:color="000000"/>
              </w:rPr>
              <w:t>86,933,586</w:t>
            </w:r>
            <w:r>
              <w:rPr>
                <w:rFonts w:ascii="Arial"/>
                <w:spacing w:val="-1"/>
                <w:sz w:val="20"/>
              </w:rPr>
            </w:r>
            <w:r>
              <w:rPr>
                <w:rFonts w:ascii="Arial"/>
                <w:sz w:val="20"/>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81,057,244</w:t>
            </w:r>
            <w:r>
              <w:rPr>
                <w:rFonts w:ascii="Arial"/>
                <w:spacing w:val="-1"/>
                <w:sz w:val="20"/>
              </w:rPr>
            </w:r>
            <w:r>
              <w:rPr>
                <w:rFonts w:ascii="Arial"/>
                <w:sz w:val="20"/>
              </w:rPr>
            </w:r>
          </w:p>
        </w:tc>
      </w:tr>
    </w:tbl>
    <w:p>
      <w:pPr>
        <w:spacing w:line="240" w:lineRule="auto" w:before="8"/>
        <w:rPr>
          <w:rFonts w:ascii="黑体" w:hAnsi="黑体" w:cs="黑体" w:eastAsia="黑体" w:hint="default"/>
          <w:sz w:val="15"/>
          <w:szCs w:val="15"/>
        </w:rPr>
      </w:pPr>
    </w:p>
    <w:p>
      <w:pPr>
        <w:pStyle w:val="BodyText"/>
        <w:spacing w:line="240" w:lineRule="auto" w:before="37"/>
        <w:ind w:left="854" w:right="0"/>
        <w:jc w:val="left"/>
      </w:pPr>
      <w:r>
        <w:rPr/>
        <w:t>其他应收款坏账准备的变动如下：</w:t>
      </w:r>
    </w:p>
    <w:p>
      <w:pPr>
        <w:spacing w:line="240" w:lineRule="auto" w:before="1"/>
        <w:rPr>
          <w:rFonts w:ascii="黑体" w:hAnsi="黑体" w:cs="黑体" w:eastAsia="黑体" w:hint="default"/>
          <w:sz w:val="23"/>
          <w:szCs w:val="23"/>
        </w:rPr>
      </w:pPr>
    </w:p>
    <w:tbl>
      <w:tblPr>
        <w:tblW w:w="0" w:type="auto"/>
        <w:jc w:val="left"/>
        <w:tblInd w:w="659" w:type="dxa"/>
        <w:tblLayout w:type="fixed"/>
        <w:tblCellMar>
          <w:top w:w="0" w:type="dxa"/>
          <w:left w:w="0" w:type="dxa"/>
          <w:bottom w:w="0" w:type="dxa"/>
          <w:right w:w="0" w:type="dxa"/>
        </w:tblCellMar>
        <w:tblLook w:val="01E0"/>
      </w:tblPr>
      <w:tblGrid>
        <w:gridCol w:w="1333"/>
        <w:gridCol w:w="1658"/>
        <w:gridCol w:w="1626"/>
        <w:gridCol w:w="1990"/>
        <w:gridCol w:w="1567"/>
      </w:tblGrid>
      <w:tr>
        <w:trPr>
          <w:trHeight w:val="511" w:hRule="exact"/>
        </w:trPr>
        <w:tc>
          <w:tcPr>
            <w:tcW w:w="1333"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Style w:val="TableParagraph"/>
              <w:spacing w:line="199" w:lineRule="exact"/>
              <w:ind w:right="247"/>
              <w:jc w:val="right"/>
              <w:rPr>
                <w:rFonts w:ascii="黑体" w:hAnsi="黑体" w:cs="黑体" w:eastAsia="黑体" w:hint="default"/>
                <w:sz w:val="20"/>
                <w:szCs w:val="20"/>
              </w:rPr>
            </w:pPr>
            <w:r>
              <w:rPr>
                <w:rFonts w:ascii="黑体" w:hAnsi="黑体" w:cs="黑体" w:eastAsia="黑体" w:hint="default"/>
                <w:w w:val="95"/>
                <w:sz w:val="20"/>
                <w:szCs w:val="20"/>
              </w:rPr>
              <w:t>年初数</w:t>
            </w:r>
            <w:r>
              <w:rPr>
                <w:rFonts w:ascii="黑体" w:hAnsi="黑体" w:cs="黑体" w:eastAsia="黑体" w:hint="default"/>
                <w:sz w:val="20"/>
                <w:szCs w:val="20"/>
              </w:rPr>
            </w:r>
          </w:p>
        </w:tc>
        <w:tc>
          <w:tcPr>
            <w:tcW w:w="1626" w:type="dxa"/>
            <w:tcBorders>
              <w:top w:val="nil" w:sz="6" w:space="0" w:color="auto"/>
              <w:left w:val="nil" w:sz="6" w:space="0" w:color="auto"/>
              <w:bottom w:val="nil" w:sz="6" w:space="0" w:color="auto"/>
              <w:right w:val="nil" w:sz="6" w:space="0" w:color="auto"/>
            </w:tcBorders>
          </w:tcPr>
          <w:p>
            <w:pPr>
              <w:pStyle w:val="TableParagraph"/>
              <w:spacing w:line="199" w:lineRule="exact"/>
              <w:ind w:right="457"/>
              <w:jc w:val="right"/>
              <w:rPr>
                <w:rFonts w:ascii="黑体" w:hAnsi="黑体" w:cs="黑体" w:eastAsia="黑体" w:hint="default"/>
                <w:sz w:val="20"/>
                <w:szCs w:val="20"/>
              </w:rPr>
            </w:pPr>
            <w:r>
              <w:rPr>
                <w:rFonts w:ascii="黑体" w:hAnsi="黑体" w:cs="黑体" w:eastAsia="黑体" w:hint="default"/>
                <w:w w:val="95"/>
                <w:sz w:val="20"/>
                <w:szCs w:val="20"/>
              </w:rPr>
              <w:t>本年计提</w:t>
            </w:r>
            <w:r>
              <w:rPr>
                <w:rFonts w:ascii="黑体" w:hAnsi="黑体" w:cs="黑体" w:eastAsia="黑体" w:hint="default"/>
                <w:sz w:val="20"/>
                <w:szCs w:val="20"/>
              </w:rPr>
            </w:r>
          </w:p>
        </w:tc>
        <w:tc>
          <w:tcPr>
            <w:tcW w:w="1990" w:type="dxa"/>
            <w:tcBorders>
              <w:top w:val="nil" w:sz="6" w:space="0" w:color="auto"/>
              <w:left w:val="nil" w:sz="6" w:space="0" w:color="auto"/>
              <w:bottom w:val="nil" w:sz="6" w:space="0" w:color="auto"/>
              <w:right w:val="nil" w:sz="6" w:space="0" w:color="auto"/>
            </w:tcBorders>
          </w:tcPr>
          <w:p>
            <w:pPr>
              <w:pStyle w:val="TableParagraph"/>
              <w:spacing w:line="199" w:lineRule="exact"/>
              <w:ind w:right="476"/>
              <w:jc w:val="right"/>
              <w:rPr>
                <w:rFonts w:ascii="黑体" w:hAnsi="黑体" w:cs="黑体" w:eastAsia="黑体" w:hint="default"/>
                <w:sz w:val="20"/>
                <w:szCs w:val="20"/>
              </w:rPr>
            </w:pPr>
            <w:r>
              <w:rPr>
                <w:rFonts w:ascii="黑体" w:hAnsi="黑体" w:cs="黑体" w:eastAsia="黑体" w:hint="default"/>
                <w:w w:val="95"/>
                <w:sz w:val="20"/>
                <w:szCs w:val="20"/>
              </w:rPr>
              <w:t>本年转回</w:t>
            </w:r>
            <w:r>
              <w:rPr>
                <w:rFonts w:ascii="黑体" w:hAnsi="黑体" w:cs="黑体" w:eastAsia="黑体" w:hint="default"/>
                <w:sz w:val="20"/>
                <w:szCs w:val="20"/>
              </w:rPr>
            </w:r>
          </w:p>
        </w:tc>
        <w:tc>
          <w:tcPr>
            <w:tcW w:w="1567" w:type="dxa"/>
            <w:tcBorders>
              <w:top w:val="nil" w:sz="6" w:space="0" w:color="auto"/>
              <w:left w:val="nil" w:sz="6" w:space="0" w:color="auto"/>
              <w:bottom w:val="nil" w:sz="6" w:space="0" w:color="auto"/>
              <w:right w:val="nil" w:sz="6" w:space="0" w:color="auto"/>
            </w:tcBorders>
          </w:tcPr>
          <w:p>
            <w:pPr>
              <w:pStyle w:val="TableParagraph"/>
              <w:spacing w:line="199" w:lineRule="exact"/>
              <w:ind w:right="260"/>
              <w:jc w:val="right"/>
              <w:rPr>
                <w:rFonts w:ascii="黑体" w:hAnsi="黑体" w:cs="黑体" w:eastAsia="黑体" w:hint="default"/>
                <w:sz w:val="20"/>
                <w:szCs w:val="20"/>
              </w:rPr>
            </w:pPr>
            <w:r>
              <w:rPr>
                <w:rFonts w:ascii="黑体" w:hAnsi="黑体" w:cs="黑体" w:eastAsia="黑体" w:hint="default"/>
                <w:w w:val="95"/>
                <w:sz w:val="20"/>
                <w:szCs w:val="20"/>
              </w:rPr>
              <w:t>年末数</w:t>
            </w:r>
            <w:r>
              <w:rPr>
                <w:rFonts w:ascii="黑体" w:hAnsi="黑体" w:cs="黑体" w:eastAsia="黑体" w:hint="default"/>
                <w:sz w:val="20"/>
                <w:szCs w:val="20"/>
              </w:rPr>
            </w:r>
          </w:p>
        </w:tc>
      </w:tr>
      <w:tr>
        <w:trPr>
          <w:trHeight w:val="696" w:hRule="exact"/>
        </w:trPr>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9"/>
                <w:szCs w:val="19"/>
              </w:rPr>
            </w:pPr>
          </w:p>
          <w:p>
            <w:pPr>
              <w:pStyle w:val="TableParagraph"/>
              <w:spacing w:line="240" w:lineRule="auto"/>
              <w:ind w:left="200" w:right="0"/>
              <w:jc w:val="left"/>
              <w:rPr>
                <w:rFonts w:ascii="黑体" w:hAnsi="黑体" w:cs="黑体" w:eastAsia="黑体" w:hint="default"/>
                <w:sz w:val="20"/>
                <w:szCs w:val="20"/>
              </w:rPr>
            </w:pPr>
            <w:r>
              <w:rPr>
                <w:rFonts w:ascii="Arial" w:hAnsi="Arial" w:cs="Arial" w:eastAsia="Arial" w:hint="default"/>
                <w:sz w:val="20"/>
                <w:szCs w:val="20"/>
              </w:rPr>
              <w:t>2012</w:t>
            </w:r>
            <w:r>
              <w:rPr>
                <w:rFonts w:ascii="黑体" w:hAnsi="黑体" w:cs="黑体" w:eastAsia="黑体" w:hint="default"/>
                <w:sz w:val="20"/>
                <w:szCs w:val="20"/>
              </w:rPr>
              <w:t>年</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23"/>
                <w:szCs w:val="23"/>
              </w:rPr>
            </w:pPr>
          </w:p>
          <w:p>
            <w:pPr>
              <w:pStyle w:val="TableParagraph"/>
              <w:spacing w:line="240" w:lineRule="auto"/>
              <w:ind w:right="278"/>
              <w:jc w:val="right"/>
              <w:rPr>
                <w:rFonts w:ascii="Arial" w:hAnsi="Arial" w:cs="Arial" w:eastAsia="Arial" w:hint="default"/>
                <w:sz w:val="20"/>
                <w:szCs w:val="20"/>
              </w:rPr>
            </w:pPr>
            <w:r>
              <w:rPr>
                <w:rFonts w:ascii="Arial"/>
                <w:w w:val="99"/>
                <w:sz w:val="20"/>
              </w:rPr>
            </w:r>
            <w:r>
              <w:rPr>
                <w:rFonts w:ascii="Arial"/>
                <w:spacing w:val="-1"/>
                <w:sz w:val="20"/>
                <w:u w:val="thick" w:color="000000"/>
              </w:rPr>
              <w:t>5,588,786</w:t>
            </w:r>
            <w:r>
              <w:rPr>
                <w:rFonts w:ascii="Arial"/>
                <w:spacing w:val="-1"/>
                <w:sz w:val="20"/>
              </w:rPr>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23"/>
                <w:szCs w:val="23"/>
              </w:rPr>
            </w:pPr>
          </w:p>
          <w:p>
            <w:pPr>
              <w:pStyle w:val="TableParagraph"/>
              <w:spacing w:line="240" w:lineRule="auto"/>
              <w:ind w:right="486"/>
              <w:jc w:val="right"/>
              <w:rPr>
                <w:rFonts w:ascii="Arial" w:hAnsi="Arial" w:cs="Arial" w:eastAsia="Arial" w:hint="default"/>
                <w:sz w:val="20"/>
                <w:szCs w:val="20"/>
              </w:rPr>
            </w:pPr>
            <w:r>
              <w:rPr>
                <w:rFonts w:ascii="Arial"/>
                <w:w w:val="99"/>
                <w:sz w:val="20"/>
              </w:rPr>
            </w:r>
            <w:r>
              <w:rPr>
                <w:rFonts w:ascii="Arial"/>
                <w:spacing w:val="-1"/>
                <w:sz w:val="20"/>
                <w:u w:val="thick" w:color="000000"/>
              </w:rPr>
              <w:t>4,254,765</w:t>
            </w:r>
            <w:r>
              <w:rPr>
                <w:rFonts w:ascii="Arial"/>
                <w:spacing w:val="-1"/>
                <w:sz w:val="20"/>
              </w:rPr>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23"/>
                <w:szCs w:val="23"/>
              </w:rPr>
            </w:pPr>
          </w:p>
          <w:p>
            <w:pPr>
              <w:pStyle w:val="TableParagraph"/>
              <w:spacing w:line="240" w:lineRule="auto"/>
              <w:ind w:right="506"/>
              <w:jc w:val="right"/>
              <w:rPr>
                <w:rFonts w:ascii="Arial" w:hAnsi="Arial" w:cs="Arial" w:eastAsia="Arial" w:hint="default"/>
                <w:sz w:val="20"/>
                <w:szCs w:val="20"/>
              </w:rPr>
            </w:pPr>
            <w:r>
              <w:rPr>
                <w:rFonts w:ascii="Arial"/>
                <w:spacing w:val="-1"/>
                <w:sz w:val="20"/>
              </w:rPr>
              <w:t>(</w:t>
            </w:r>
            <w:r>
              <w:rPr>
                <w:rFonts w:ascii="Arial"/>
                <w:spacing w:val="-1"/>
                <w:sz w:val="20"/>
                <w:u w:val="thick" w:color="000000"/>
              </w:rPr>
              <w:t>2,436,277</w:t>
            </w:r>
            <w:r>
              <w:rPr>
                <w:rFonts w:ascii="Arial"/>
                <w:spacing w:val="-1"/>
                <w:sz w:val="20"/>
              </w:rPr>
              <w:t>)</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23"/>
                <w:szCs w:val="23"/>
              </w:rPr>
            </w:pPr>
          </w:p>
          <w:p>
            <w:pPr>
              <w:pStyle w:val="TableParagraph"/>
              <w:spacing w:line="240" w:lineRule="auto"/>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7,407,274</w:t>
            </w:r>
            <w:r>
              <w:rPr>
                <w:rFonts w:ascii="Arial"/>
                <w:spacing w:val="-1"/>
                <w:sz w:val="20"/>
              </w:rPr>
            </w:r>
          </w:p>
        </w:tc>
      </w:tr>
      <w:tr>
        <w:trPr>
          <w:trHeight w:val="384" w:hRule="exact"/>
        </w:trPr>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00"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278"/>
              <w:jc w:val="right"/>
              <w:rPr>
                <w:rFonts w:ascii="Arial" w:hAnsi="Arial" w:cs="Arial" w:eastAsia="Arial" w:hint="default"/>
                <w:sz w:val="20"/>
                <w:szCs w:val="20"/>
              </w:rPr>
            </w:pPr>
            <w:r>
              <w:rPr>
                <w:rFonts w:ascii="Arial"/>
                <w:w w:val="99"/>
                <w:sz w:val="20"/>
              </w:rPr>
            </w:r>
            <w:r>
              <w:rPr>
                <w:rFonts w:ascii="Arial"/>
                <w:spacing w:val="-1"/>
                <w:sz w:val="20"/>
                <w:u w:val="thick" w:color="000000"/>
              </w:rPr>
              <w:t>4,664,245</w:t>
            </w:r>
            <w:r>
              <w:rPr>
                <w:rFonts w:ascii="Arial"/>
                <w:spacing w:val="-1"/>
                <w:sz w:val="20"/>
              </w:rPr>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486"/>
              <w:jc w:val="right"/>
              <w:rPr>
                <w:rFonts w:ascii="Arial" w:hAnsi="Arial" w:cs="Arial" w:eastAsia="Arial" w:hint="default"/>
                <w:sz w:val="20"/>
                <w:szCs w:val="20"/>
              </w:rPr>
            </w:pPr>
            <w:r>
              <w:rPr>
                <w:rFonts w:ascii="Arial"/>
                <w:w w:val="99"/>
                <w:sz w:val="20"/>
              </w:rPr>
            </w:r>
            <w:r>
              <w:rPr>
                <w:rFonts w:ascii="Arial"/>
                <w:spacing w:val="-1"/>
                <w:sz w:val="20"/>
                <w:u w:val="thick" w:color="000000"/>
              </w:rPr>
              <w:t>2,049,315</w:t>
            </w:r>
            <w:r>
              <w:rPr>
                <w:rFonts w:ascii="Arial"/>
                <w:spacing w:val="-1"/>
                <w:sz w:val="20"/>
              </w:rPr>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506"/>
              <w:jc w:val="right"/>
              <w:rPr>
                <w:rFonts w:ascii="Arial" w:hAnsi="Arial" w:cs="Arial" w:eastAsia="Arial" w:hint="default"/>
                <w:sz w:val="20"/>
                <w:szCs w:val="20"/>
              </w:rPr>
            </w:pPr>
            <w:r>
              <w:rPr>
                <w:rFonts w:ascii="Arial"/>
                <w:spacing w:val="-1"/>
                <w:sz w:val="20"/>
              </w:rPr>
              <w:t>(</w:t>
            </w:r>
            <w:r>
              <w:rPr>
                <w:rFonts w:ascii="Arial"/>
                <w:spacing w:val="-1"/>
                <w:sz w:val="20"/>
                <w:u w:val="thick" w:color="000000"/>
              </w:rPr>
              <w:t>1,124,774</w:t>
            </w:r>
            <w:r>
              <w:rPr>
                <w:rFonts w:ascii="Arial"/>
                <w:spacing w:val="-1"/>
                <w:sz w:val="20"/>
              </w:rPr>
              <w:t>)</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5,588,786</w:t>
            </w:r>
            <w:r>
              <w:rPr>
                <w:rFonts w:ascii="Arial"/>
                <w:spacing w:val="-1"/>
                <w:sz w:val="20"/>
              </w:rPr>
            </w:r>
          </w:p>
        </w:tc>
      </w:tr>
    </w:tbl>
    <w:p>
      <w:pPr>
        <w:spacing w:line="240" w:lineRule="auto" w:before="3"/>
        <w:rPr>
          <w:rFonts w:ascii="黑体" w:hAnsi="黑体" w:cs="黑体" w:eastAsia="黑体" w:hint="default"/>
          <w:sz w:val="28"/>
          <w:szCs w:val="28"/>
        </w:rPr>
      </w:pPr>
    </w:p>
    <w:tbl>
      <w:tblPr>
        <w:tblW w:w="0" w:type="auto"/>
        <w:jc w:val="left"/>
        <w:tblInd w:w="649" w:type="dxa"/>
        <w:tblLayout w:type="fixed"/>
        <w:tblCellMar>
          <w:top w:w="0" w:type="dxa"/>
          <w:left w:w="0" w:type="dxa"/>
          <w:bottom w:w="0" w:type="dxa"/>
          <w:right w:w="0" w:type="dxa"/>
        </w:tblCellMar>
        <w:tblLook w:val="01E0"/>
      </w:tblPr>
      <w:tblGrid>
        <w:gridCol w:w="1708"/>
        <w:gridCol w:w="983"/>
        <w:gridCol w:w="487"/>
        <w:gridCol w:w="895"/>
        <w:gridCol w:w="882"/>
        <w:gridCol w:w="1066"/>
        <w:gridCol w:w="453"/>
        <w:gridCol w:w="860"/>
        <w:gridCol w:w="933"/>
      </w:tblGrid>
      <w:tr>
        <w:trPr>
          <w:trHeight w:val="222" w:hRule="exact"/>
        </w:trPr>
        <w:tc>
          <w:tcPr>
            <w:tcW w:w="4074" w:type="dxa"/>
            <w:gridSpan w:val="4"/>
            <w:tcBorders>
              <w:top w:val="nil" w:sz="6" w:space="0" w:color="auto"/>
              <w:left w:val="nil" w:sz="6" w:space="0" w:color="auto"/>
              <w:bottom w:val="nil" w:sz="6" w:space="0" w:color="auto"/>
              <w:right w:val="nil" w:sz="6" w:space="0" w:color="auto"/>
            </w:tcBorders>
          </w:tcPr>
          <w:p>
            <w:pPr>
              <w:pStyle w:val="TableParagraph"/>
              <w:spacing w:line="193" w:lineRule="exact"/>
              <w:ind w:left="2549" w:right="0"/>
              <w:jc w:val="left"/>
              <w:rPr>
                <w:rFonts w:ascii="黑体" w:hAnsi="黑体" w:cs="黑体" w:eastAsia="黑体" w:hint="default"/>
                <w:sz w:val="18"/>
                <w:szCs w:val="18"/>
              </w:rPr>
            </w:pPr>
            <w:r>
              <w:rPr>
                <w:rFonts w:ascii="Arial" w:hAnsi="Arial" w:cs="Arial" w:eastAsia="Arial" w:hint="default"/>
                <w:sz w:val="18"/>
                <w:szCs w:val="18"/>
              </w:rPr>
              <w:t>2012</w:t>
            </w:r>
            <w:r>
              <w:rPr>
                <w:rFonts w:ascii="黑体" w:hAnsi="黑体" w:cs="黑体" w:eastAsia="黑体" w:hint="default"/>
                <w:sz w:val="18"/>
                <w:szCs w:val="18"/>
              </w:rPr>
              <w:t>年</w:t>
            </w:r>
            <w:r>
              <w:rPr>
                <w:rFonts w:ascii="Arial" w:hAnsi="Arial" w:cs="Arial" w:eastAsia="Arial" w:hint="default"/>
                <w:sz w:val="18"/>
                <w:szCs w:val="18"/>
              </w:rPr>
              <w:t>12</w:t>
            </w:r>
            <w:r>
              <w:rPr>
                <w:rFonts w:ascii="黑体" w:hAnsi="黑体" w:cs="黑体" w:eastAsia="黑体" w:hint="default"/>
                <w:sz w:val="18"/>
                <w:szCs w:val="18"/>
              </w:rPr>
              <w:t>月</w:t>
            </w:r>
            <w:r>
              <w:rPr>
                <w:rFonts w:ascii="Arial" w:hAnsi="Arial" w:cs="Arial" w:eastAsia="Arial" w:hint="default"/>
                <w:sz w:val="18"/>
                <w:szCs w:val="18"/>
              </w:rPr>
              <w:t>31</w:t>
            </w:r>
            <w:r>
              <w:rPr>
                <w:rFonts w:ascii="黑体" w:hAnsi="黑体" w:cs="黑体" w:eastAsia="黑体" w:hint="default"/>
                <w:sz w:val="18"/>
                <w:szCs w:val="18"/>
              </w:rPr>
              <w:t>日</w:t>
            </w:r>
          </w:p>
        </w:tc>
        <w:tc>
          <w:tcPr>
            <w:tcW w:w="882" w:type="dxa"/>
            <w:tcBorders>
              <w:top w:val="nil" w:sz="6" w:space="0" w:color="auto"/>
              <w:left w:val="nil" w:sz="6" w:space="0" w:color="auto"/>
              <w:bottom w:val="nil" w:sz="6" w:space="0" w:color="auto"/>
              <w:right w:val="nil" w:sz="6" w:space="0" w:color="auto"/>
            </w:tcBorders>
          </w:tcPr>
          <w:p>
            <w:pPr/>
          </w:p>
        </w:tc>
        <w:tc>
          <w:tcPr>
            <w:tcW w:w="2379" w:type="dxa"/>
            <w:gridSpan w:val="3"/>
            <w:tcBorders>
              <w:top w:val="nil" w:sz="6" w:space="0" w:color="auto"/>
              <w:left w:val="nil" w:sz="6" w:space="0" w:color="auto"/>
              <w:bottom w:val="nil" w:sz="6" w:space="0" w:color="auto"/>
              <w:right w:val="nil" w:sz="6" w:space="0" w:color="auto"/>
            </w:tcBorders>
          </w:tcPr>
          <w:p>
            <w:pPr>
              <w:pStyle w:val="TableParagraph"/>
              <w:spacing w:line="193" w:lineRule="exact"/>
              <w:ind w:left="922" w:right="0"/>
              <w:jc w:val="left"/>
              <w:rPr>
                <w:rFonts w:ascii="黑体" w:hAnsi="黑体" w:cs="黑体" w:eastAsia="黑体" w:hint="default"/>
                <w:sz w:val="18"/>
                <w:szCs w:val="18"/>
              </w:rPr>
            </w:pPr>
            <w:r>
              <w:rPr>
                <w:rFonts w:ascii="Arial" w:hAnsi="Arial" w:cs="Arial" w:eastAsia="Arial" w:hint="default"/>
                <w:sz w:val="18"/>
                <w:szCs w:val="18"/>
              </w:rPr>
              <w:t>2011</w:t>
            </w:r>
            <w:r>
              <w:rPr>
                <w:rFonts w:ascii="黑体" w:hAnsi="黑体" w:cs="黑体" w:eastAsia="黑体" w:hint="default"/>
                <w:sz w:val="18"/>
                <w:szCs w:val="18"/>
              </w:rPr>
              <w:t>年</w:t>
            </w:r>
            <w:r>
              <w:rPr>
                <w:rFonts w:ascii="Arial" w:hAnsi="Arial" w:cs="Arial" w:eastAsia="Arial" w:hint="default"/>
                <w:sz w:val="18"/>
                <w:szCs w:val="18"/>
              </w:rPr>
              <w:t>12</w:t>
            </w:r>
            <w:r>
              <w:rPr>
                <w:rFonts w:ascii="黑体" w:hAnsi="黑体" w:cs="黑体" w:eastAsia="黑体" w:hint="default"/>
                <w:sz w:val="18"/>
                <w:szCs w:val="18"/>
              </w:rPr>
              <w:t>月</w:t>
            </w:r>
            <w:r>
              <w:rPr>
                <w:rFonts w:ascii="Arial" w:hAnsi="Arial" w:cs="Arial" w:eastAsia="Arial" w:hint="default"/>
                <w:sz w:val="18"/>
                <w:szCs w:val="18"/>
              </w:rPr>
              <w:t>31</w:t>
            </w:r>
            <w:r>
              <w:rPr>
                <w:rFonts w:ascii="黑体" w:hAnsi="黑体" w:cs="黑体" w:eastAsia="黑体" w:hint="default"/>
                <w:sz w:val="18"/>
                <w:szCs w:val="18"/>
              </w:rPr>
              <w:t>日</w:t>
            </w:r>
          </w:p>
        </w:tc>
        <w:tc>
          <w:tcPr>
            <w:tcW w:w="933" w:type="dxa"/>
            <w:tcBorders>
              <w:top w:val="nil" w:sz="6" w:space="0" w:color="auto"/>
              <w:left w:val="nil" w:sz="6" w:space="0" w:color="auto"/>
              <w:bottom w:val="nil" w:sz="6" w:space="0" w:color="auto"/>
              <w:right w:val="nil" w:sz="6" w:space="0" w:color="auto"/>
            </w:tcBorders>
          </w:tcPr>
          <w:p>
            <w:pPr/>
          </w:p>
        </w:tc>
      </w:tr>
      <w:tr>
        <w:trPr>
          <w:trHeight w:val="250" w:hRule="exact"/>
        </w:trPr>
        <w:tc>
          <w:tcPr>
            <w:tcW w:w="1708" w:type="dxa"/>
            <w:tcBorders>
              <w:top w:val="nil" w:sz="6" w:space="0" w:color="auto"/>
              <w:left w:val="nil" w:sz="6" w:space="0" w:color="auto"/>
              <w:bottom w:val="nil" w:sz="6" w:space="0" w:color="auto"/>
              <w:right w:val="nil" w:sz="6" w:space="0" w:color="auto"/>
            </w:tcBorders>
          </w:tcPr>
          <w:p>
            <w:pPr/>
          </w:p>
        </w:tc>
        <w:tc>
          <w:tcPr>
            <w:tcW w:w="1470" w:type="dxa"/>
            <w:gridSpan w:val="2"/>
            <w:tcBorders>
              <w:top w:val="nil" w:sz="6" w:space="0" w:color="auto"/>
              <w:left w:val="nil" w:sz="6" w:space="0" w:color="auto"/>
              <w:bottom w:val="nil" w:sz="6" w:space="0" w:color="auto"/>
              <w:right w:val="nil" w:sz="6" w:space="0" w:color="auto"/>
            </w:tcBorders>
          </w:tcPr>
          <w:p>
            <w:pPr>
              <w:pStyle w:val="TableParagraph"/>
              <w:spacing w:line="213" w:lineRule="exact"/>
              <w:ind w:left="637" w:right="0"/>
              <w:jc w:val="left"/>
              <w:rPr>
                <w:rFonts w:ascii="黑体" w:hAnsi="黑体" w:cs="黑体" w:eastAsia="黑体" w:hint="default"/>
                <w:sz w:val="18"/>
                <w:szCs w:val="18"/>
              </w:rPr>
            </w:pPr>
            <w:r>
              <w:rPr>
                <w:rFonts w:ascii="黑体" w:hAnsi="黑体" w:cs="黑体" w:eastAsia="黑体" w:hint="default"/>
                <w:sz w:val="18"/>
                <w:szCs w:val="18"/>
              </w:rPr>
              <w:t>账面金额</w:t>
            </w:r>
          </w:p>
        </w:tc>
        <w:tc>
          <w:tcPr>
            <w:tcW w:w="895" w:type="dxa"/>
            <w:tcBorders>
              <w:top w:val="nil" w:sz="6" w:space="0" w:color="auto"/>
              <w:left w:val="nil" w:sz="6" w:space="0" w:color="auto"/>
              <w:bottom w:val="nil" w:sz="6" w:space="0" w:color="auto"/>
              <w:right w:val="nil" w:sz="6" w:space="0" w:color="auto"/>
            </w:tcBorders>
          </w:tcPr>
          <w:p>
            <w:pPr/>
          </w:p>
        </w:tc>
        <w:tc>
          <w:tcPr>
            <w:tcW w:w="882" w:type="dxa"/>
            <w:tcBorders>
              <w:top w:val="nil" w:sz="6" w:space="0" w:color="auto"/>
              <w:left w:val="nil" w:sz="6" w:space="0" w:color="auto"/>
              <w:bottom w:val="nil" w:sz="6" w:space="0" w:color="auto"/>
              <w:right w:val="nil" w:sz="6" w:space="0" w:color="auto"/>
            </w:tcBorders>
          </w:tcPr>
          <w:p>
            <w:pPr>
              <w:pStyle w:val="TableParagraph"/>
              <w:spacing w:line="213" w:lineRule="exact"/>
              <w:ind w:left="-12" w:right="171"/>
              <w:jc w:val="right"/>
              <w:rPr>
                <w:rFonts w:ascii="黑体" w:hAnsi="黑体" w:cs="黑体" w:eastAsia="黑体" w:hint="default"/>
                <w:sz w:val="18"/>
                <w:szCs w:val="18"/>
              </w:rPr>
            </w:pPr>
            <w:r>
              <w:rPr>
                <w:rFonts w:ascii="黑体" w:hAnsi="黑体" w:cs="黑体" w:eastAsia="黑体" w:hint="default"/>
                <w:sz w:val="18"/>
                <w:szCs w:val="18"/>
              </w:rPr>
              <w:t>坏账准备</w:t>
            </w:r>
          </w:p>
        </w:tc>
        <w:tc>
          <w:tcPr>
            <w:tcW w:w="1519" w:type="dxa"/>
            <w:gridSpan w:val="2"/>
            <w:tcBorders>
              <w:top w:val="nil" w:sz="6" w:space="0" w:color="auto"/>
              <w:left w:val="nil" w:sz="6" w:space="0" w:color="auto"/>
              <w:bottom w:val="nil" w:sz="6" w:space="0" w:color="auto"/>
              <w:right w:val="nil" w:sz="6" w:space="0" w:color="auto"/>
            </w:tcBorders>
          </w:tcPr>
          <w:p>
            <w:pPr>
              <w:pStyle w:val="TableParagraph"/>
              <w:spacing w:line="213" w:lineRule="exact"/>
              <w:ind w:left="721" w:right="0"/>
              <w:jc w:val="left"/>
              <w:rPr>
                <w:rFonts w:ascii="黑体" w:hAnsi="黑体" w:cs="黑体" w:eastAsia="黑体" w:hint="default"/>
                <w:sz w:val="18"/>
                <w:szCs w:val="18"/>
              </w:rPr>
            </w:pPr>
            <w:r>
              <w:rPr>
                <w:rFonts w:ascii="黑体" w:hAnsi="黑体" w:cs="黑体" w:eastAsia="黑体" w:hint="default"/>
                <w:sz w:val="18"/>
                <w:szCs w:val="18"/>
              </w:rPr>
              <w:t>账面金额</w:t>
            </w:r>
          </w:p>
        </w:tc>
        <w:tc>
          <w:tcPr>
            <w:tcW w:w="860" w:type="dxa"/>
            <w:tcBorders>
              <w:top w:val="nil" w:sz="6" w:space="0" w:color="auto"/>
              <w:left w:val="nil" w:sz="6" w:space="0" w:color="auto"/>
              <w:bottom w:val="nil" w:sz="6" w:space="0" w:color="auto"/>
              <w:right w:val="nil" w:sz="6" w:space="0" w:color="auto"/>
            </w:tcBorders>
          </w:tcPr>
          <w:p>
            <w:pPr/>
          </w:p>
        </w:tc>
        <w:tc>
          <w:tcPr>
            <w:tcW w:w="933" w:type="dxa"/>
            <w:tcBorders>
              <w:top w:val="nil" w:sz="6" w:space="0" w:color="auto"/>
              <w:left w:val="nil" w:sz="6" w:space="0" w:color="auto"/>
              <w:bottom w:val="nil" w:sz="6" w:space="0" w:color="auto"/>
              <w:right w:val="nil" w:sz="6" w:space="0" w:color="auto"/>
            </w:tcBorders>
          </w:tcPr>
          <w:p>
            <w:pPr>
              <w:pStyle w:val="TableParagraph"/>
              <w:spacing w:line="213" w:lineRule="exact"/>
              <w:ind w:left="-14" w:right="224"/>
              <w:jc w:val="right"/>
              <w:rPr>
                <w:rFonts w:ascii="黑体" w:hAnsi="黑体" w:cs="黑体" w:eastAsia="黑体" w:hint="default"/>
                <w:sz w:val="18"/>
                <w:szCs w:val="18"/>
              </w:rPr>
            </w:pPr>
            <w:r>
              <w:rPr>
                <w:rFonts w:ascii="黑体" w:hAnsi="黑体" w:cs="黑体" w:eastAsia="黑体" w:hint="default"/>
                <w:sz w:val="18"/>
                <w:szCs w:val="18"/>
              </w:rPr>
              <w:t>坏账准备</w:t>
            </w:r>
          </w:p>
        </w:tc>
      </w:tr>
      <w:tr>
        <w:trPr>
          <w:trHeight w:val="259" w:hRule="exact"/>
        </w:trPr>
        <w:tc>
          <w:tcPr>
            <w:tcW w:w="1708" w:type="dxa"/>
            <w:tcBorders>
              <w:top w:val="nil" w:sz="6" w:space="0" w:color="auto"/>
              <w:left w:val="nil" w:sz="6" w:space="0" w:color="auto"/>
              <w:bottom w:val="nil" w:sz="6" w:space="0" w:color="auto"/>
              <w:right w:val="nil" w:sz="6" w:space="0" w:color="auto"/>
            </w:tcBorders>
          </w:tcPr>
          <w:p>
            <w:pPr/>
          </w:p>
        </w:tc>
        <w:tc>
          <w:tcPr>
            <w:tcW w:w="983" w:type="dxa"/>
            <w:tcBorders>
              <w:top w:val="nil" w:sz="6" w:space="0" w:color="auto"/>
              <w:left w:val="nil" w:sz="6" w:space="0" w:color="auto"/>
              <w:bottom w:val="nil" w:sz="6" w:space="0" w:color="auto"/>
              <w:right w:val="nil" w:sz="6" w:space="0" w:color="auto"/>
            </w:tcBorders>
          </w:tcPr>
          <w:p>
            <w:pPr>
              <w:pStyle w:val="TableParagraph"/>
              <w:spacing w:line="217" w:lineRule="exact"/>
              <w:ind w:right="14"/>
              <w:jc w:val="right"/>
              <w:rPr>
                <w:rFonts w:ascii="黑体" w:hAnsi="黑体" w:cs="黑体" w:eastAsia="黑体" w:hint="default"/>
                <w:sz w:val="18"/>
                <w:szCs w:val="18"/>
              </w:rPr>
            </w:pPr>
            <w:r>
              <w:rPr>
                <w:rFonts w:ascii="黑体" w:hAnsi="黑体" w:cs="黑体" w:eastAsia="黑体" w:hint="default"/>
                <w:sz w:val="18"/>
                <w:szCs w:val="18"/>
              </w:rPr>
              <w:t>金额</w:t>
            </w:r>
          </w:p>
        </w:tc>
        <w:tc>
          <w:tcPr>
            <w:tcW w:w="487" w:type="dxa"/>
            <w:tcBorders>
              <w:top w:val="nil" w:sz="6" w:space="0" w:color="auto"/>
              <w:left w:val="nil" w:sz="6" w:space="0" w:color="auto"/>
              <w:bottom w:val="nil" w:sz="6" w:space="0" w:color="auto"/>
              <w:right w:val="nil" w:sz="6" w:space="0" w:color="auto"/>
            </w:tcBorders>
          </w:tcPr>
          <w:p>
            <w:pPr>
              <w:pStyle w:val="TableParagraph"/>
              <w:spacing w:line="217" w:lineRule="exact"/>
              <w:ind w:right="110"/>
              <w:jc w:val="right"/>
              <w:rPr>
                <w:rFonts w:ascii="黑体" w:hAnsi="黑体" w:cs="黑体" w:eastAsia="黑体" w:hint="default"/>
                <w:sz w:val="18"/>
                <w:szCs w:val="18"/>
              </w:rPr>
            </w:pPr>
            <w:r>
              <w:rPr>
                <w:rFonts w:ascii="黑体" w:hAnsi="黑体" w:cs="黑体" w:eastAsia="黑体" w:hint="default"/>
                <w:sz w:val="18"/>
                <w:szCs w:val="18"/>
              </w:rPr>
              <w:t>比例</w:t>
            </w:r>
          </w:p>
        </w:tc>
        <w:tc>
          <w:tcPr>
            <w:tcW w:w="895" w:type="dxa"/>
            <w:tcBorders>
              <w:top w:val="nil" w:sz="6" w:space="0" w:color="auto"/>
              <w:left w:val="nil" w:sz="6" w:space="0" w:color="auto"/>
              <w:bottom w:val="nil" w:sz="6" w:space="0" w:color="auto"/>
              <w:right w:val="nil" w:sz="6" w:space="0" w:color="auto"/>
            </w:tcBorders>
          </w:tcPr>
          <w:p>
            <w:pPr>
              <w:pStyle w:val="TableParagraph"/>
              <w:spacing w:line="217" w:lineRule="exact"/>
              <w:ind w:right="0"/>
              <w:jc w:val="right"/>
              <w:rPr>
                <w:rFonts w:ascii="黑体" w:hAnsi="黑体" w:cs="黑体" w:eastAsia="黑体" w:hint="default"/>
                <w:sz w:val="18"/>
                <w:szCs w:val="18"/>
              </w:rPr>
            </w:pPr>
            <w:r>
              <w:rPr>
                <w:rFonts w:ascii="黑体" w:hAnsi="黑体" w:cs="黑体" w:eastAsia="黑体" w:hint="default"/>
                <w:sz w:val="18"/>
                <w:szCs w:val="18"/>
              </w:rPr>
              <w:t>金额</w:t>
            </w:r>
          </w:p>
        </w:tc>
        <w:tc>
          <w:tcPr>
            <w:tcW w:w="882" w:type="dxa"/>
            <w:tcBorders>
              <w:top w:val="nil" w:sz="6" w:space="0" w:color="auto"/>
              <w:left w:val="nil" w:sz="6" w:space="0" w:color="auto"/>
              <w:bottom w:val="nil" w:sz="6" w:space="0" w:color="auto"/>
              <w:right w:val="nil" w:sz="6" w:space="0" w:color="auto"/>
            </w:tcBorders>
          </w:tcPr>
          <w:p>
            <w:pPr>
              <w:pStyle w:val="TableParagraph"/>
              <w:spacing w:line="217" w:lineRule="exact"/>
              <w:ind w:left="-3" w:right="162"/>
              <w:jc w:val="right"/>
              <w:rPr>
                <w:rFonts w:ascii="黑体" w:hAnsi="黑体" w:cs="黑体" w:eastAsia="黑体" w:hint="default"/>
                <w:sz w:val="18"/>
                <w:szCs w:val="18"/>
              </w:rPr>
            </w:pPr>
            <w:r>
              <w:rPr>
                <w:rFonts w:ascii="黑体" w:hAnsi="黑体" w:cs="黑体" w:eastAsia="黑体" w:hint="default"/>
                <w:sz w:val="18"/>
                <w:szCs w:val="18"/>
              </w:rPr>
              <w:t>计提比例</w:t>
            </w:r>
          </w:p>
        </w:tc>
        <w:tc>
          <w:tcPr>
            <w:tcW w:w="1066" w:type="dxa"/>
            <w:tcBorders>
              <w:top w:val="nil" w:sz="6" w:space="0" w:color="auto"/>
              <w:left w:val="nil" w:sz="6" w:space="0" w:color="auto"/>
              <w:bottom w:val="nil" w:sz="6" w:space="0" w:color="auto"/>
              <w:right w:val="nil" w:sz="6" w:space="0" w:color="auto"/>
            </w:tcBorders>
          </w:tcPr>
          <w:p>
            <w:pPr>
              <w:pStyle w:val="TableParagraph"/>
              <w:spacing w:line="217" w:lineRule="exact"/>
              <w:ind w:right="16"/>
              <w:jc w:val="right"/>
              <w:rPr>
                <w:rFonts w:ascii="黑体" w:hAnsi="黑体" w:cs="黑体" w:eastAsia="黑体" w:hint="default"/>
                <w:sz w:val="18"/>
                <w:szCs w:val="18"/>
              </w:rPr>
            </w:pPr>
            <w:r>
              <w:rPr>
                <w:rFonts w:ascii="黑体" w:hAnsi="黑体" w:cs="黑体" w:eastAsia="黑体" w:hint="default"/>
                <w:sz w:val="18"/>
                <w:szCs w:val="18"/>
              </w:rPr>
              <w:t>金额</w:t>
            </w:r>
          </w:p>
        </w:tc>
        <w:tc>
          <w:tcPr>
            <w:tcW w:w="453" w:type="dxa"/>
            <w:tcBorders>
              <w:top w:val="nil" w:sz="6" w:space="0" w:color="auto"/>
              <w:left w:val="nil" w:sz="6" w:space="0" w:color="auto"/>
              <w:bottom w:val="nil" w:sz="6" w:space="0" w:color="auto"/>
              <w:right w:val="nil" w:sz="6" w:space="0" w:color="auto"/>
            </w:tcBorders>
          </w:tcPr>
          <w:p>
            <w:pPr>
              <w:pStyle w:val="TableParagraph"/>
              <w:spacing w:line="217" w:lineRule="exact"/>
              <w:ind w:right="75"/>
              <w:jc w:val="right"/>
              <w:rPr>
                <w:rFonts w:ascii="黑体" w:hAnsi="黑体" w:cs="黑体" w:eastAsia="黑体" w:hint="default"/>
                <w:sz w:val="18"/>
                <w:szCs w:val="18"/>
              </w:rPr>
            </w:pPr>
            <w:r>
              <w:rPr>
                <w:rFonts w:ascii="黑体" w:hAnsi="黑体" w:cs="黑体" w:eastAsia="黑体" w:hint="default"/>
                <w:sz w:val="18"/>
                <w:szCs w:val="18"/>
              </w:rPr>
              <w:t>比例</w:t>
            </w:r>
          </w:p>
        </w:tc>
        <w:tc>
          <w:tcPr>
            <w:tcW w:w="860" w:type="dxa"/>
            <w:tcBorders>
              <w:top w:val="nil" w:sz="6" w:space="0" w:color="auto"/>
              <w:left w:val="nil" w:sz="6" w:space="0" w:color="auto"/>
              <w:bottom w:val="nil" w:sz="6" w:space="0" w:color="auto"/>
              <w:right w:val="nil" w:sz="6" w:space="0" w:color="auto"/>
            </w:tcBorders>
          </w:tcPr>
          <w:p>
            <w:pPr>
              <w:pStyle w:val="TableParagraph"/>
              <w:spacing w:line="217" w:lineRule="exact"/>
              <w:ind w:right="1"/>
              <w:jc w:val="right"/>
              <w:rPr>
                <w:rFonts w:ascii="黑体" w:hAnsi="黑体" w:cs="黑体" w:eastAsia="黑体" w:hint="default"/>
                <w:sz w:val="18"/>
                <w:szCs w:val="18"/>
              </w:rPr>
            </w:pPr>
            <w:r>
              <w:rPr>
                <w:rFonts w:ascii="黑体" w:hAnsi="黑体" w:cs="黑体" w:eastAsia="黑体" w:hint="default"/>
                <w:sz w:val="18"/>
                <w:szCs w:val="18"/>
              </w:rPr>
              <w:t>金额</w:t>
            </w:r>
          </w:p>
        </w:tc>
        <w:tc>
          <w:tcPr>
            <w:tcW w:w="933" w:type="dxa"/>
            <w:tcBorders>
              <w:top w:val="nil" w:sz="6" w:space="0" w:color="auto"/>
              <w:left w:val="nil" w:sz="6" w:space="0" w:color="auto"/>
              <w:bottom w:val="nil" w:sz="6" w:space="0" w:color="auto"/>
              <w:right w:val="nil" w:sz="6" w:space="0" w:color="auto"/>
            </w:tcBorders>
          </w:tcPr>
          <w:p>
            <w:pPr>
              <w:pStyle w:val="TableParagraph"/>
              <w:spacing w:line="217" w:lineRule="exact"/>
              <w:ind w:left="-14" w:right="224"/>
              <w:jc w:val="right"/>
              <w:rPr>
                <w:rFonts w:ascii="黑体" w:hAnsi="黑体" w:cs="黑体" w:eastAsia="黑体" w:hint="default"/>
                <w:sz w:val="18"/>
                <w:szCs w:val="18"/>
              </w:rPr>
            </w:pPr>
            <w:r>
              <w:rPr>
                <w:rFonts w:ascii="黑体" w:hAnsi="黑体" w:cs="黑体" w:eastAsia="黑体" w:hint="default"/>
                <w:sz w:val="18"/>
                <w:szCs w:val="18"/>
              </w:rPr>
              <w:t>计提比例</w:t>
            </w:r>
          </w:p>
        </w:tc>
      </w:tr>
      <w:tr>
        <w:trPr>
          <w:trHeight w:val="247" w:hRule="exact"/>
        </w:trPr>
        <w:tc>
          <w:tcPr>
            <w:tcW w:w="1708" w:type="dxa"/>
            <w:tcBorders>
              <w:top w:val="nil" w:sz="6" w:space="0" w:color="auto"/>
              <w:left w:val="nil" w:sz="6" w:space="0" w:color="auto"/>
              <w:bottom w:val="nil" w:sz="6" w:space="0" w:color="auto"/>
              <w:right w:val="nil" w:sz="6" w:space="0" w:color="auto"/>
            </w:tcBorders>
          </w:tcPr>
          <w:p>
            <w:pPr/>
          </w:p>
        </w:tc>
        <w:tc>
          <w:tcPr>
            <w:tcW w:w="983" w:type="dxa"/>
            <w:tcBorders>
              <w:top w:val="nil" w:sz="6" w:space="0" w:color="auto"/>
              <w:left w:val="nil" w:sz="6" w:space="0" w:color="auto"/>
              <w:bottom w:val="nil" w:sz="6" w:space="0" w:color="auto"/>
              <w:right w:val="nil" w:sz="6" w:space="0" w:color="auto"/>
            </w:tcBorders>
          </w:tcPr>
          <w:p>
            <w:pPr/>
          </w:p>
        </w:tc>
        <w:tc>
          <w:tcPr>
            <w:tcW w:w="48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4"/>
              <w:jc w:val="right"/>
              <w:rPr>
                <w:rFonts w:ascii="Arial" w:hAnsi="Arial" w:cs="Arial" w:eastAsia="Arial" w:hint="default"/>
                <w:sz w:val="18"/>
                <w:szCs w:val="18"/>
              </w:rPr>
            </w:pPr>
            <w:r>
              <w:rPr>
                <w:rFonts w:ascii="Arial"/>
                <w:w w:val="95"/>
                <w:sz w:val="18"/>
              </w:rPr>
              <w:t>(%)</w:t>
            </w:r>
            <w:r>
              <w:rPr>
                <w:rFonts w:ascii="Arial"/>
                <w:sz w:val="18"/>
              </w:rPr>
            </w:r>
          </w:p>
        </w:tc>
        <w:tc>
          <w:tcPr>
            <w:tcW w:w="895" w:type="dxa"/>
            <w:tcBorders>
              <w:top w:val="nil" w:sz="6" w:space="0" w:color="auto"/>
              <w:left w:val="nil" w:sz="6" w:space="0" w:color="auto"/>
              <w:bottom w:val="nil" w:sz="6" w:space="0" w:color="auto"/>
              <w:right w:val="nil" w:sz="6" w:space="0" w:color="auto"/>
            </w:tcBorders>
          </w:tcPr>
          <w:p>
            <w:pP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5"/>
              <w:jc w:val="right"/>
              <w:rPr>
                <w:rFonts w:ascii="Arial" w:hAnsi="Arial" w:cs="Arial" w:eastAsia="Arial" w:hint="default"/>
                <w:sz w:val="18"/>
                <w:szCs w:val="18"/>
              </w:rPr>
            </w:pPr>
            <w:r>
              <w:rPr>
                <w:rFonts w:ascii="Arial"/>
                <w:w w:val="95"/>
                <w:sz w:val="18"/>
              </w:rPr>
              <w:t>(%)</w:t>
            </w:r>
            <w:r>
              <w:rPr>
                <w:rFonts w:ascii="Arial"/>
                <w:sz w:val="18"/>
              </w:rPr>
            </w:r>
          </w:p>
        </w:tc>
        <w:tc>
          <w:tcPr>
            <w:tcW w:w="1066" w:type="dxa"/>
            <w:tcBorders>
              <w:top w:val="nil" w:sz="6" w:space="0" w:color="auto"/>
              <w:left w:val="nil" w:sz="6" w:space="0" w:color="auto"/>
              <w:bottom w:val="nil" w:sz="6" w:space="0" w:color="auto"/>
              <w:right w:val="nil" w:sz="6" w:space="0" w:color="auto"/>
            </w:tcBorders>
          </w:tcPr>
          <w:p>
            <w:pPr/>
          </w:p>
        </w:tc>
        <w:tc>
          <w:tcPr>
            <w:tcW w:w="45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9"/>
              <w:jc w:val="right"/>
              <w:rPr>
                <w:rFonts w:ascii="Arial" w:hAnsi="Arial" w:cs="Arial" w:eastAsia="Arial" w:hint="default"/>
                <w:sz w:val="18"/>
                <w:szCs w:val="18"/>
              </w:rPr>
            </w:pPr>
            <w:r>
              <w:rPr>
                <w:rFonts w:ascii="Arial"/>
                <w:w w:val="95"/>
                <w:sz w:val="18"/>
              </w:rPr>
              <w:t>(%)</w:t>
            </w:r>
            <w:r>
              <w:rPr>
                <w:rFonts w:ascii="Arial"/>
                <w:sz w:val="18"/>
              </w:rPr>
            </w:r>
          </w:p>
        </w:tc>
        <w:tc>
          <w:tcPr>
            <w:tcW w:w="860" w:type="dxa"/>
            <w:tcBorders>
              <w:top w:val="nil" w:sz="6" w:space="0" w:color="auto"/>
              <w:left w:val="nil" w:sz="6" w:space="0" w:color="auto"/>
              <w:bottom w:val="nil" w:sz="6" w:space="0" w:color="auto"/>
              <w:right w:val="nil" w:sz="6" w:space="0" w:color="auto"/>
            </w:tcBorders>
          </w:tcPr>
          <w:p>
            <w:pP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18"/>
                <w:szCs w:val="18"/>
              </w:rPr>
            </w:pPr>
            <w:r>
              <w:rPr>
                <w:rFonts w:ascii="Arial"/>
                <w:w w:val="95"/>
                <w:sz w:val="18"/>
              </w:rPr>
              <w:t>(%)</w:t>
            </w:r>
            <w:r>
              <w:rPr>
                <w:rFonts w:ascii="Arial"/>
                <w:sz w:val="18"/>
              </w:rPr>
            </w:r>
          </w:p>
        </w:tc>
      </w:tr>
      <w:tr>
        <w:trPr>
          <w:trHeight w:val="449" w:hRule="exact"/>
        </w:trPr>
        <w:tc>
          <w:tcPr>
            <w:tcW w:w="1708" w:type="dxa"/>
            <w:tcBorders>
              <w:top w:val="nil" w:sz="6" w:space="0" w:color="auto"/>
              <w:left w:val="nil" w:sz="6" w:space="0" w:color="auto"/>
              <w:bottom w:val="nil" w:sz="6" w:space="0" w:color="auto"/>
              <w:right w:val="nil" w:sz="6" w:space="0" w:color="auto"/>
            </w:tcBorders>
          </w:tcPr>
          <w:p>
            <w:pPr>
              <w:pStyle w:val="TableParagraph"/>
              <w:spacing w:line="185" w:lineRule="exact"/>
              <w:ind w:left="133" w:right="0"/>
              <w:jc w:val="center"/>
              <w:rPr>
                <w:rFonts w:ascii="黑体" w:hAnsi="黑体" w:cs="黑体" w:eastAsia="黑体" w:hint="default"/>
                <w:sz w:val="16"/>
                <w:szCs w:val="16"/>
              </w:rPr>
            </w:pPr>
            <w:r>
              <w:rPr>
                <w:rFonts w:ascii="黑体" w:hAnsi="黑体" w:cs="黑体" w:eastAsia="黑体" w:hint="default"/>
                <w:sz w:val="16"/>
                <w:szCs w:val="16"/>
              </w:rPr>
              <w:t>单项金额重大并单项</w:t>
            </w:r>
          </w:p>
          <w:p>
            <w:pPr>
              <w:pStyle w:val="TableParagraph"/>
              <w:spacing w:line="208" w:lineRule="exact"/>
              <w:ind w:left="49" w:right="0"/>
              <w:jc w:val="center"/>
              <w:rPr>
                <w:rFonts w:ascii="黑体" w:hAnsi="黑体" w:cs="黑体" w:eastAsia="黑体" w:hint="default"/>
                <w:sz w:val="16"/>
                <w:szCs w:val="16"/>
              </w:rPr>
            </w:pPr>
            <w:r>
              <w:rPr>
                <w:rFonts w:ascii="黑体" w:hAnsi="黑体" w:cs="黑体" w:eastAsia="黑体" w:hint="default"/>
                <w:sz w:val="16"/>
                <w:szCs w:val="16"/>
              </w:rPr>
              <w:t>计提坏账准备</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5"/>
                <w:szCs w:val="15"/>
              </w:rPr>
            </w:pPr>
          </w:p>
          <w:p>
            <w:pPr>
              <w:pStyle w:val="TableParagraph"/>
              <w:spacing w:line="240" w:lineRule="auto"/>
              <w:ind w:right="12"/>
              <w:jc w:val="right"/>
              <w:rPr>
                <w:rFonts w:ascii="Arial" w:hAnsi="Arial" w:cs="Arial" w:eastAsia="Arial" w:hint="default"/>
                <w:sz w:val="18"/>
                <w:szCs w:val="18"/>
              </w:rPr>
            </w:pPr>
            <w:r>
              <w:rPr>
                <w:rFonts w:ascii="Arial"/>
                <w:spacing w:val="-1"/>
                <w:sz w:val="18"/>
              </w:rPr>
              <w:t>8,157,513</w:t>
            </w:r>
          </w:p>
        </w:tc>
        <w:tc>
          <w:tcPr>
            <w:tcW w:w="48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5"/>
                <w:szCs w:val="15"/>
              </w:rPr>
            </w:pPr>
          </w:p>
          <w:p>
            <w:pPr>
              <w:pStyle w:val="TableParagraph"/>
              <w:spacing w:line="240" w:lineRule="auto"/>
              <w:ind w:right="111"/>
              <w:jc w:val="right"/>
              <w:rPr>
                <w:rFonts w:ascii="Arial" w:hAnsi="Arial" w:cs="Arial" w:eastAsia="Arial" w:hint="default"/>
                <w:sz w:val="18"/>
                <w:szCs w:val="18"/>
              </w:rPr>
            </w:pPr>
            <w:r>
              <w:rPr>
                <w:rFonts w:ascii="Arial"/>
                <w:w w:val="99"/>
                <w:sz w:val="18"/>
              </w:rPr>
              <w:t>9</w:t>
            </w:r>
            <w:r>
              <w:rPr>
                <w:rFonts w:ascii="Arial"/>
                <w:sz w:val="18"/>
              </w:rPr>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5"/>
                <w:szCs w:val="15"/>
              </w:rPr>
            </w:pPr>
          </w:p>
          <w:p>
            <w:pPr>
              <w:pStyle w:val="TableParagraph"/>
              <w:spacing w:line="240" w:lineRule="auto"/>
              <w:ind w:right="0"/>
              <w:jc w:val="right"/>
              <w:rPr>
                <w:rFonts w:ascii="Arial" w:hAnsi="Arial" w:cs="Arial" w:eastAsia="Arial" w:hint="default"/>
                <w:sz w:val="18"/>
                <w:szCs w:val="18"/>
              </w:rPr>
            </w:pPr>
            <w:r>
              <w:rPr>
                <w:rFonts w:ascii="Arial"/>
                <w:w w:val="99"/>
                <w:sz w:val="18"/>
              </w:rPr>
              <w:t>-</w:t>
            </w:r>
            <w:r>
              <w:rPr>
                <w:rFonts w:ascii="Arial"/>
                <w:sz w:val="18"/>
              </w:rPr>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5"/>
                <w:szCs w:val="15"/>
              </w:rPr>
            </w:pPr>
          </w:p>
          <w:p>
            <w:pPr>
              <w:pStyle w:val="TableParagraph"/>
              <w:spacing w:line="240" w:lineRule="auto"/>
              <w:ind w:right="171"/>
              <w:jc w:val="right"/>
              <w:rPr>
                <w:rFonts w:ascii="Arial" w:hAnsi="Arial" w:cs="Arial" w:eastAsia="Arial" w:hint="default"/>
                <w:sz w:val="18"/>
                <w:szCs w:val="18"/>
              </w:rPr>
            </w:pPr>
            <w:r>
              <w:rPr>
                <w:rFonts w:ascii="Arial"/>
                <w:w w:val="99"/>
                <w:sz w:val="18"/>
              </w:rPr>
              <w:t>-</w:t>
            </w:r>
            <w:r>
              <w:rPr>
                <w:rFonts w:ascii="Arial"/>
                <w:sz w:val="18"/>
              </w:rPr>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5"/>
                <w:szCs w:val="15"/>
              </w:rPr>
            </w:pPr>
          </w:p>
          <w:p>
            <w:pPr>
              <w:pStyle w:val="TableParagraph"/>
              <w:spacing w:line="240" w:lineRule="auto"/>
              <w:ind w:right="14"/>
              <w:jc w:val="right"/>
              <w:rPr>
                <w:rFonts w:ascii="Arial" w:hAnsi="Arial" w:cs="Arial" w:eastAsia="Arial" w:hint="default"/>
                <w:sz w:val="18"/>
                <w:szCs w:val="18"/>
              </w:rPr>
            </w:pPr>
            <w:r>
              <w:rPr>
                <w:rFonts w:ascii="Arial"/>
                <w:spacing w:val="-1"/>
                <w:sz w:val="18"/>
              </w:rPr>
              <w:t>22,526,115</w:t>
            </w:r>
          </w:p>
        </w:tc>
        <w:tc>
          <w:tcPr>
            <w:tcW w:w="45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5"/>
                <w:szCs w:val="15"/>
              </w:rPr>
            </w:pPr>
          </w:p>
          <w:p>
            <w:pPr>
              <w:pStyle w:val="TableParagraph"/>
              <w:spacing w:line="240" w:lineRule="auto"/>
              <w:ind w:right="73"/>
              <w:jc w:val="right"/>
              <w:rPr>
                <w:rFonts w:ascii="Arial" w:hAnsi="Arial" w:cs="Arial" w:eastAsia="Arial" w:hint="default"/>
                <w:sz w:val="18"/>
                <w:szCs w:val="18"/>
              </w:rPr>
            </w:pPr>
            <w:r>
              <w:rPr>
                <w:rFonts w:ascii="Arial"/>
                <w:w w:val="95"/>
                <w:sz w:val="18"/>
              </w:rPr>
              <w:t>26</w:t>
            </w:r>
            <w:r>
              <w:rPr>
                <w:rFonts w:ascii="Arial"/>
                <w:sz w:val="18"/>
              </w:rPr>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5"/>
                <w:szCs w:val="15"/>
              </w:rPr>
            </w:pPr>
          </w:p>
          <w:p>
            <w:pPr>
              <w:pStyle w:val="TableParagraph"/>
              <w:spacing w:line="240" w:lineRule="auto"/>
              <w:ind w:right="1"/>
              <w:jc w:val="right"/>
              <w:rPr>
                <w:rFonts w:ascii="Arial" w:hAnsi="Arial" w:cs="Arial" w:eastAsia="Arial" w:hint="default"/>
                <w:sz w:val="18"/>
                <w:szCs w:val="18"/>
              </w:rPr>
            </w:pPr>
            <w:r>
              <w:rPr>
                <w:rFonts w:ascii="Arial"/>
                <w:w w:val="99"/>
                <w:sz w:val="18"/>
              </w:rPr>
              <w:t>-</w:t>
            </w:r>
            <w:r>
              <w:rPr>
                <w:rFonts w:ascii="Arial"/>
                <w:sz w:val="18"/>
              </w:rPr>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5"/>
                <w:szCs w:val="15"/>
              </w:rPr>
            </w:pPr>
          </w:p>
          <w:p>
            <w:pPr>
              <w:pStyle w:val="TableParagraph"/>
              <w:spacing w:line="240" w:lineRule="auto"/>
              <w:ind w:right="224"/>
              <w:jc w:val="right"/>
              <w:rPr>
                <w:rFonts w:ascii="Arial" w:hAnsi="Arial" w:cs="Arial" w:eastAsia="Arial" w:hint="default"/>
                <w:sz w:val="18"/>
                <w:szCs w:val="18"/>
              </w:rPr>
            </w:pPr>
            <w:r>
              <w:rPr>
                <w:rFonts w:ascii="Arial"/>
                <w:w w:val="99"/>
                <w:sz w:val="18"/>
              </w:rPr>
              <w:t>-</w:t>
            </w:r>
            <w:r>
              <w:rPr>
                <w:rFonts w:ascii="Arial"/>
                <w:sz w:val="18"/>
              </w:rPr>
            </w:r>
          </w:p>
        </w:tc>
      </w:tr>
      <w:tr>
        <w:trPr>
          <w:trHeight w:val="255" w:hRule="exact"/>
        </w:trPr>
        <w:tc>
          <w:tcPr>
            <w:tcW w:w="1708" w:type="dxa"/>
            <w:tcBorders>
              <w:top w:val="nil" w:sz="6" w:space="0" w:color="auto"/>
              <w:left w:val="nil" w:sz="6" w:space="0" w:color="auto"/>
              <w:bottom w:val="nil" w:sz="6" w:space="0" w:color="auto"/>
              <w:right w:val="nil" w:sz="6" w:space="0" w:color="auto"/>
            </w:tcBorders>
          </w:tcPr>
          <w:p>
            <w:pPr>
              <w:pStyle w:val="TableParagraph"/>
              <w:spacing w:line="198" w:lineRule="exact"/>
              <w:ind w:left="200" w:right="0"/>
              <w:jc w:val="left"/>
              <w:rPr>
                <w:rFonts w:ascii="黑体" w:hAnsi="黑体" w:cs="黑体" w:eastAsia="黑体" w:hint="default"/>
                <w:sz w:val="16"/>
                <w:szCs w:val="16"/>
              </w:rPr>
            </w:pPr>
            <w:r>
              <w:rPr>
                <w:rFonts w:ascii="黑体" w:hAnsi="黑体" w:cs="黑体" w:eastAsia="黑体" w:hint="default"/>
                <w:sz w:val="16"/>
                <w:szCs w:val="16"/>
              </w:rPr>
              <w:t>组合计提坏账准备</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
              <w:jc w:val="right"/>
              <w:rPr>
                <w:rFonts w:ascii="Arial" w:hAnsi="Arial" w:cs="Arial" w:eastAsia="Arial" w:hint="default"/>
                <w:sz w:val="18"/>
                <w:szCs w:val="18"/>
              </w:rPr>
            </w:pPr>
            <w:r>
              <w:rPr>
                <w:rFonts w:ascii="Arial"/>
                <w:spacing w:val="-1"/>
                <w:sz w:val="18"/>
              </w:rPr>
              <w:t>18,404,667</w:t>
            </w:r>
          </w:p>
        </w:tc>
        <w:tc>
          <w:tcPr>
            <w:tcW w:w="48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8"/>
              <w:jc w:val="right"/>
              <w:rPr>
                <w:rFonts w:ascii="Arial" w:hAnsi="Arial" w:cs="Arial" w:eastAsia="Arial" w:hint="default"/>
                <w:sz w:val="18"/>
                <w:szCs w:val="18"/>
              </w:rPr>
            </w:pPr>
            <w:r>
              <w:rPr>
                <w:rFonts w:ascii="Arial"/>
                <w:w w:val="95"/>
                <w:sz w:val="18"/>
              </w:rPr>
              <w:t>19</w:t>
            </w:r>
            <w:r>
              <w:rPr>
                <w:rFonts w:ascii="Arial"/>
                <w:sz w:val="18"/>
              </w:rPr>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
              <w:jc w:val="right"/>
              <w:rPr>
                <w:rFonts w:ascii="Arial" w:hAnsi="Arial" w:cs="Arial" w:eastAsia="Arial" w:hint="default"/>
                <w:sz w:val="18"/>
                <w:szCs w:val="18"/>
              </w:rPr>
            </w:pPr>
            <w:r>
              <w:rPr>
                <w:rFonts w:ascii="Arial"/>
                <w:spacing w:val="-1"/>
                <w:sz w:val="18"/>
              </w:rPr>
              <w:t>5,058,381</w:t>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69"/>
              <w:jc w:val="right"/>
              <w:rPr>
                <w:rFonts w:ascii="Arial" w:hAnsi="Arial" w:cs="Arial" w:eastAsia="Arial" w:hint="default"/>
                <w:sz w:val="18"/>
                <w:szCs w:val="18"/>
              </w:rPr>
            </w:pPr>
            <w:r>
              <w:rPr>
                <w:rFonts w:ascii="Arial"/>
                <w:w w:val="95"/>
                <w:sz w:val="18"/>
              </w:rPr>
              <w:t>27</w:t>
            </w:r>
            <w:r>
              <w:rPr>
                <w:rFonts w:ascii="Arial"/>
                <w:sz w:val="18"/>
              </w:rPr>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
              <w:jc w:val="right"/>
              <w:rPr>
                <w:rFonts w:ascii="Arial" w:hAnsi="Arial" w:cs="Arial" w:eastAsia="Arial" w:hint="default"/>
                <w:sz w:val="18"/>
                <w:szCs w:val="18"/>
              </w:rPr>
            </w:pPr>
            <w:r>
              <w:rPr>
                <w:rFonts w:ascii="Arial"/>
                <w:spacing w:val="-1"/>
                <w:sz w:val="18"/>
              </w:rPr>
              <w:t>13,791,062</w:t>
            </w:r>
          </w:p>
        </w:tc>
        <w:tc>
          <w:tcPr>
            <w:tcW w:w="45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3"/>
              <w:jc w:val="right"/>
              <w:rPr>
                <w:rFonts w:ascii="Arial" w:hAnsi="Arial" w:cs="Arial" w:eastAsia="Arial" w:hint="default"/>
                <w:sz w:val="18"/>
                <w:szCs w:val="18"/>
              </w:rPr>
            </w:pPr>
            <w:r>
              <w:rPr>
                <w:rFonts w:ascii="Arial"/>
                <w:w w:val="95"/>
                <w:sz w:val="18"/>
              </w:rPr>
              <w:t>16</w:t>
            </w:r>
            <w:r>
              <w:rPr>
                <w:rFonts w:ascii="Arial"/>
                <w:sz w:val="18"/>
              </w:rPr>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
              <w:jc w:val="right"/>
              <w:rPr>
                <w:rFonts w:ascii="Arial" w:hAnsi="Arial" w:cs="Arial" w:eastAsia="Arial" w:hint="default"/>
                <w:sz w:val="18"/>
                <w:szCs w:val="18"/>
              </w:rPr>
            </w:pPr>
            <w:r>
              <w:rPr>
                <w:rFonts w:ascii="Arial"/>
                <w:spacing w:val="-1"/>
                <w:sz w:val="18"/>
              </w:rPr>
              <w:t>3,186,705</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21"/>
              <w:jc w:val="right"/>
              <w:rPr>
                <w:rFonts w:ascii="Arial" w:hAnsi="Arial" w:cs="Arial" w:eastAsia="Arial" w:hint="default"/>
                <w:sz w:val="18"/>
                <w:szCs w:val="18"/>
              </w:rPr>
            </w:pPr>
            <w:r>
              <w:rPr>
                <w:rFonts w:ascii="Arial"/>
                <w:w w:val="95"/>
                <w:sz w:val="18"/>
              </w:rPr>
              <w:t>23</w:t>
            </w:r>
            <w:r>
              <w:rPr>
                <w:rFonts w:ascii="Arial"/>
                <w:sz w:val="18"/>
              </w:rPr>
            </w:r>
          </w:p>
        </w:tc>
      </w:tr>
      <w:tr>
        <w:trPr>
          <w:trHeight w:val="257" w:hRule="exact"/>
        </w:trPr>
        <w:tc>
          <w:tcPr>
            <w:tcW w:w="1708" w:type="dxa"/>
            <w:tcBorders>
              <w:top w:val="nil" w:sz="6" w:space="0" w:color="auto"/>
              <w:left w:val="nil" w:sz="6" w:space="0" w:color="auto"/>
              <w:bottom w:val="nil" w:sz="6" w:space="0" w:color="auto"/>
              <w:right w:val="nil" w:sz="6" w:space="0" w:color="auto"/>
            </w:tcBorders>
          </w:tcPr>
          <w:p>
            <w:pPr>
              <w:pStyle w:val="TableParagraph"/>
              <w:spacing w:line="210" w:lineRule="exact"/>
              <w:ind w:left="372" w:right="0"/>
              <w:jc w:val="left"/>
              <w:rPr>
                <w:rFonts w:ascii="黑体" w:hAnsi="黑体" w:cs="黑体" w:eastAsia="黑体" w:hint="default"/>
                <w:sz w:val="16"/>
                <w:szCs w:val="16"/>
              </w:rPr>
            </w:pPr>
            <w:r>
              <w:rPr>
                <w:rFonts w:ascii="Arial" w:hAnsi="Arial" w:cs="Arial" w:eastAsia="Arial" w:hint="default"/>
                <w:sz w:val="16"/>
                <w:szCs w:val="16"/>
              </w:rPr>
              <w:t>1</w:t>
            </w:r>
            <w:r>
              <w:rPr>
                <w:rFonts w:ascii="Arial" w:hAnsi="Arial" w:cs="Arial" w:eastAsia="Arial" w:hint="default"/>
                <w:spacing w:val="-3"/>
                <w:sz w:val="16"/>
                <w:szCs w:val="16"/>
              </w:rPr>
              <w:t> </w:t>
            </w:r>
            <w:r>
              <w:rPr>
                <w:rFonts w:ascii="黑体" w:hAnsi="黑体" w:cs="黑体" w:eastAsia="黑体" w:hint="default"/>
                <w:sz w:val="16"/>
                <w:szCs w:val="16"/>
              </w:rPr>
              <w:t>年以内</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
              <w:jc w:val="right"/>
              <w:rPr>
                <w:rFonts w:ascii="Arial" w:hAnsi="Arial" w:cs="Arial" w:eastAsia="Arial" w:hint="default"/>
                <w:sz w:val="18"/>
                <w:szCs w:val="18"/>
              </w:rPr>
            </w:pPr>
            <w:r>
              <w:rPr>
                <w:rFonts w:ascii="Arial"/>
                <w:spacing w:val="-1"/>
                <w:sz w:val="18"/>
              </w:rPr>
              <w:t>10,776,722</w:t>
            </w:r>
          </w:p>
        </w:tc>
        <w:tc>
          <w:tcPr>
            <w:tcW w:w="487"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8"/>
              <w:jc w:val="right"/>
              <w:rPr>
                <w:rFonts w:ascii="Arial" w:hAnsi="Arial" w:cs="Arial" w:eastAsia="Arial" w:hint="default"/>
                <w:sz w:val="18"/>
                <w:szCs w:val="18"/>
              </w:rPr>
            </w:pPr>
            <w:r>
              <w:rPr>
                <w:rFonts w:ascii="Arial"/>
                <w:w w:val="95"/>
                <w:sz w:val="18"/>
              </w:rPr>
              <w:t>11</w:t>
            </w:r>
            <w:r>
              <w:rPr>
                <w:rFonts w:ascii="Arial"/>
                <w:sz w:val="18"/>
              </w:rPr>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right"/>
              <w:rPr>
                <w:rFonts w:ascii="Arial" w:hAnsi="Arial" w:cs="Arial" w:eastAsia="Arial" w:hint="default"/>
                <w:sz w:val="18"/>
                <w:szCs w:val="18"/>
              </w:rPr>
            </w:pPr>
            <w:r>
              <w:rPr>
                <w:rFonts w:ascii="Arial"/>
                <w:w w:val="99"/>
                <w:sz w:val="18"/>
              </w:rPr>
              <w:t>-</w:t>
            </w:r>
            <w:r>
              <w:rPr>
                <w:rFonts w:ascii="Arial"/>
                <w:sz w:val="18"/>
              </w:rPr>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1"/>
              <w:jc w:val="right"/>
              <w:rPr>
                <w:rFonts w:ascii="Arial" w:hAnsi="Arial" w:cs="Arial" w:eastAsia="Arial" w:hint="default"/>
                <w:sz w:val="18"/>
                <w:szCs w:val="18"/>
              </w:rPr>
            </w:pPr>
            <w:r>
              <w:rPr>
                <w:rFonts w:ascii="Arial"/>
                <w:w w:val="99"/>
                <w:sz w:val="18"/>
              </w:rPr>
              <w:t>-</w:t>
            </w:r>
            <w:r>
              <w:rPr>
                <w:rFonts w:ascii="Arial"/>
                <w:sz w:val="18"/>
              </w:rPr>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
              <w:jc w:val="right"/>
              <w:rPr>
                <w:rFonts w:ascii="Arial" w:hAnsi="Arial" w:cs="Arial" w:eastAsia="Arial" w:hint="default"/>
                <w:sz w:val="18"/>
                <w:szCs w:val="18"/>
              </w:rPr>
            </w:pPr>
            <w:r>
              <w:rPr>
                <w:rFonts w:ascii="Arial"/>
                <w:spacing w:val="-1"/>
                <w:sz w:val="18"/>
              </w:rPr>
              <w:t>5,012,607</w:t>
            </w:r>
          </w:p>
        </w:tc>
        <w:tc>
          <w:tcPr>
            <w:tcW w:w="45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76"/>
              <w:jc w:val="right"/>
              <w:rPr>
                <w:rFonts w:ascii="Arial" w:hAnsi="Arial" w:cs="Arial" w:eastAsia="Arial" w:hint="default"/>
                <w:sz w:val="18"/>
                <w:szCs w:val="18"/>
              </w:rPr>
            </w:pPr>
            <w:r>
              <w:rPr>
                <w:rFonts w:ascii="Arial"/>
                <w:w w:val="99"/>
                <w:sz w:val="18"/>
              </w:rPr>
              <w:t>6</w:t>
            </w:r>
            <w:r>
              <w:rPr>
                <w:rFonts w:ascii="Arial"/>
                <w:sz w:val="18"/>
              </w:rPr>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
              <w:jc w:val="right"/>
              <w:rPr>
                <w:rFonts w:ascii="Arial" w:hAnsi="Arial" w:cs="Arial" w:eastAsia="Arial" w:hint="default"/>
                <w:sz w:val="18"/>
                <w:szCs w:val="18"/>
              </w:rPr>
            </w:pPr>
            <w:r>
              <w:rPr>
                <w:rFonts w:ascii="Arial"/>
                <w:w w:val="99"/>
                <w:sz w:val="18"/>
              </w:rPr>
              <w:t>-</w:t>
            </w:r>
            <w:r>
              <w:rPr>
                <w:rFonts w:ascii="Arial"/>
                <w:sz w:val="18"/>
              </w:rPr>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24"/>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1708" w:type="dxa"/>
            <w:tcBorders>
              <w:top w:val="nil" w:sz="6" w:space="0" w:color="auto"/>
              <w:left w:val="nil" w:sz="6" w:space="0" w:color="auto"/>
              <w:bottom w:val="nil" w:sz="6" w:space="0" w:color="auto"/>
              <w:right w:val="nil" w:sz="6" w:space="0" w:color="auto"/>
            </w:tcBorders>
          </w:tcPr>
          <w:p>
            <w:pPr>
              <w:pStyle w:val="TableParagraph"/>
              <w:spacing w:line="210" w:lineRule="exact"/>
              <w:ind w:left="372" w:right="0"/>
              <w:jc w:val="left"/>
              <w:rPr>
                <w:rFonts w:ascii="黑体" w:hAnsi="黑体" w:cs="黑体" w:eastAsia="黑体" w:hint="default"/>
                <w:sz w:val="16"/>
                <w:szCs w:val="16"/>
              </w:rPr>
            </w:pPr>
            <w:r>
              <w:rPr>
                <w:rFonts w:ascii="Arial" w:hAnsi="Arial" w:cs="Arial" w:eastAsia="Arial" w:hint="default"/>
                <w:sz w:val="16"/>
                <w:szCs w:val="16"/>
              </w:rPr>
              <w:t>1-2</w:t>
            </w:r>
            <w:r>
              <w:rPr>
                <w:rFonts w:ascii="Arial" w:hAnsi="Arial" w:cs="Arial" w:eastAsia="Arial" w:hint="default"/>
                <w:spacing w:val="-6"/>
                <w:sz w:val="16"/>
                <w:szCs w:val="16"/>
              </w:rPr>
              <w:t> </w:t>
            </w:r>
            <w:r>
              <w:rPr>
                <w:rFonts w:ascii="黑体" w:hAnsi="黑体" w:cs="黑体" w:eastAsia="黑体" w:hint="default"/>
                <w:sz w:val="16"/>
                <w:szCs w:val="16"/>
              </w:rPr>
              <w:t>年</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2"/>
              <w:jc w:val="right"/>
              <w:rPr>
                <w:rFonts w:ascii="Arial" w:hAnsi="Arial" w:cs="Arial" w:eastAsia="Arial" w:hint="default"/>
                <w:sz w:val="18"/>
                <w:szCs w:val="18"/>
              </w:rPr>
            </w:pPr>
            <w:r>
              <w:rPr>
                <w:rFonts w:ascii="Arial"/>
                <w:spacing w:val="-1"/>
                <w:sz w:val="18"/>
              </w:rPr>
              <w:t>1,698,670</w:t>
            </w:r>
          </w:p>
        </w:tc>
        <w:tc>
          <w:tcPr>
            <w:tcW w:w="48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1"/>
              <w:jc w:val="right"/>
              <w:rPr>
                <w:rFonts w:ascii="Arial" w:hAnsi="Arial" w:cs="Arial" w:eastAsia="Arial" w:hint="default"/>
                <w:sz w:val="18"/>
                <w:szCs w:val="18"/>
              </w:rPr>
            </w:pPr>
            <w:r>
              <w:rPr>
                <w:rFonts w:ascii="Arial"/>
                <w:w w:val="99"/>
                <w:sz w:val="18"/>
              </w:rPr>
              <w:t>2</w:t>
            </w:r>
            <w:r>
              <w:rPr>
                <w:rFonts w:ascii="Arial"/>
                <w:sz w:val="18"/>
              </w:rPr>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
              <w:jc w:val="right"/>
              <w:rPr>
                <w:rFonts w:ascii="Arial" w:hAnsi="Arial" w:cs="Arial" w:eastAsia="Arial" w:hint="default"/>
                <w:sz w:val="18"/>
                <w:szCs w:val="18"/>
              </w:rPr>
            </w:pPr>
            <w:r>
              <w:rPr>
                <w:rFonts w:ascii="Arial"/>
                <w:spacing w:val="-1"/>
                <w:sz w:val="18"/>
              </w:rPr>
              <w:t>339,734</w:t>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69"/>
              <w:jc w:val="right"/>
              <w:rPr>
                <w:rFonts w:ascii="Arial" w:hAnsi="Arial" w:cs="Arial" w:eastAsia="Arial" w:hint="default"/>
                <w:sz w:val="18"/>
                <w:szCs w:val="18"/>
              </w:rPr>
            </w:pPr>
            <w:r>
              <w:rPr>
                <w:rFonts w:ascii="Arial"/>
                <w:w w:val="95"/>
                <w:sz w:val="18"/>
              </w:rPr>
              <w:t>20</w:t>
            </w:r>
            <w:r>
              <w:rPr>
                <w:rFonts w:ascii="Arial"/>
                <w:sz w:val="18"/>
              </w:rPr>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
              <w:jc w:val="right"/>
              <w:rPr>
                <w:rFonts w:ascii="Arial" w:hAnsi="Arial" w:cs="Arial" w:eastAsia="Arial" w:hint="default"/>
                <w:sz w:val="18"/>
                <w:szCs w:val="18"/>
              </w:rPr>
            </w:pPr>
            <w:r>
              <w:rPr>
                <w:rFonts w:ascii="Arial"/>
                <w:spacing w:val="-1"/>
                <w:sz w:val="18"/>
              </w:rPr>
              <w:t>5,639,673</w:t>
            </w:r>
          </w:p>
        </w:tc>
        <w:tc>
          <w:tcPr>
            <w:tcW w:w="45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6"/>
              <w:jc w:val="right"/>
              <w:rPr>
                <w:rFonts w:ascii="Arial" w:hAnsi="Arial" w:cs="Arial" w:eastAsia="Arial" w:hint="default"/>
                <w:sz w:val="18"/>
                <w:szCs w:val="18"/>
              </w:rPr>
            </w:pPr>
            <w:r>
              <w:rPr>
                <w:rFonts w:ascii="Arial"/>
                <w:w w:val="99"/>
                <w:sz w:val="18"/>
              </w:rPr>
              <w:t>7</w:t>
            </w:r>
            <w:r>
              <w:rPr>
                <w:rFonts w:ascii="Arial"/>
                <w:sz w:val="18"/>
              </w:rPr>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
              <w:jc w:val="right"/>
              <w:rPr>
                <w:rFonts w:ascii="Arial" w:hAnsi="Arial" w:cs="Arial" w:eastAsia="Arial" w:hint="default"/>
                <w:sz w:val="18"/>
                <w:szCs w:val="18"/>
              </w:rPr>
            </w:pPr>
            <w:r>
              <w:rPr>
                <w:rFonts w:ascii="Arial"/>
                <w:spacing w:val="-1"/>
                <w:sz w:val="18"/>
              </w:rPr>
              <w:t>1,127,935</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21"/>
              <w:jc w:val="right"/>
              <w:rPr>
                <w:rFonts w:ascii="Arial" w:hAnsi="Arial" w:cs="Arial" w:eastAsia="Arial" w:hint="default"/>
                <w:sz w:val="18"/>
                <w:szCs w:val="18"/>
              </w:rPr>
            </w:pPr>
            <w:r>
              <w:rPr>
                <w:rFonts w:ascii="Arial"/>
                <w:w w:val="95"/>
                <w:sz w:val="18"/>
              </w:rPr>
              <w:t>20</w:t>
            </w:r>
            <w:r>
              <w:rPr>
                <w:rFonts w:ascii="Arial"/>
                <w:sz w:val="18"/>
              </w:rPr>
            </w:r>
          </w:p>
        </w:tc>
      </w:tr>
      <w:tr>
        <w:trPr>
          <w:trHeight w:val="254" w:hRule="exact"/>
        </w:trPr>
        <w:tc>
          <w:tcPr>
            <w:tcW w:w="1708" w:type="dxa"/>
            <w:tcBorders>
              <w:top w:val="nil" w:sz="6" w:space="0" w:color="auto"/>
              <w:left w:val="nil" w:sz="6" w:space="0" w:color="auto"/>
              <w:bottom w:val="nil" w:sz="6" w:space="0" w:color="auto"/>
              <w:right w:val="nil" w:sz="6" w:space="0" w:color="auto"/>
            </w:tcBorders>
          </w:tcPr>
          <w:p>
            <w:pPr>
              <w:pStyle w:val="TableParagraph"/>
              <w:spacing w:line="210" w:lineRule="exact"/>
              <w:ind w:left="372" w:right="0"/>
              <w:jc w:val="left"/>
              <w:rPr>
                <w:rFonts w:ascii="黑体" w:hAnsi="黑体" w:cs="黑体" w:eastAsia="黑体" w:hint="default"/>
                <w:sz w:val="16"/>
                <w:szCs w:val="16"/>
              </w:rPr>
            </w:pPr>
            <w:r>
              <w:rPr>
                <w:rFonts w:ascii="Arial" w:hAnsi="Arial" w:cs="Arial" w:eastAsia="Arial" w:hint="default"/>
                <w:sz w:val="16"/>
                <w:szCs w:val="16"/>
              </w:rPr>
              <w:t>2-3</w:t>
            </w:r>
            <w:r>
              <w:rPr>
                <w:rFonts w:ascii="Arial" w:hAnsi="Arial" w:cs="Arial" w:eastAsia="Arial" w:hint="default"/>
                <w:spacing w:val="-6"/>
                <w:sz w:val="16"/>
                <w:szCs w:val="16"/>
              </w:rPr>
              <w:t> </w:t>
            </w:r>
            <w:r>
              <w:rPr>
                <w:rFonts w:ascii="黑体" w:hAnsi="黑体" w:cs="黑体" w:eastAsia="黑体" w:hint="default"/>
                <w:sz w:val="16"/>
                <w:szCs w:val="16"/>
              </w:rPr>
              <w:t>年</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2"/>
              <w:jc w:val="right"/>
              <w:rPr>
                <w:rFonts w:ascii="Arial" w:hAnsi="Arial" w:cs="Arial" w:eastAsia="Arial" w:hint="default"/>
                <w:sz w:val="18"/>
                <w:szCs w:val="18"/>
              </w:rPr>
            </w:pPr>
            <w:r>
              <w:rPr>
                <w:rFonts w:ascii="Arial"/>
                <w:spacing w:val="-1"/>
                <w:sz w:val="18"/>
              </w:rPr>
              <w:t>2,017,713</w:t>
            </w:r>
          </w:p>
        </w:tc>
        <w:tc>
          <w:tcPr>
            <w:tcW w:w="48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1"/>
              <w:jc w:val="right"/>
              <w:rPr>
                <w:rFonts w:ascii="Arial" w:hAnsi="Arial" w:cs="Arial" w:eastAsia="Arial" w:hint="default"/>
                <w:sz w:val="18"/>
                <w:szCs w:val="18"/>
              </w:rPr>
            </w:pPr>
            <w:r>
              <w:rPr>
                <w:rFonts w:ascii="Arial"/>
                <w:w w:val="99"/>
                <w:sz w:val="18"/>
              </w:rPr>
              <w:t>2</w:t>
            </w:r>
            <w:r>
              <w:rPr>
                <w:rFonts w:ascii="Arial"/>
                <w:sz w:val="18"/>
              </w:rPr>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
              <w:jc w:val="right"/>
              <w:rPr>
                <w:rFonts w:ascii="Arial" w:hAnsi="Arial" w:cs="Arial" w:eastAsia="Arial" w:hint="default"/>
                <w:sz w:val="18"/>
                <w:szCs w:val="18"/>
              </w:rPr>
            </w:pPr>
            <w:r>
              <w:rPr>
                <w:rFonts w:ascii="Arial"/>
                <w:spacing w:val="-1"/>
                <w:sz w:val="18"/>
              </w:rPr>
              <w:t>807,085</w:t>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69"/>
              <w:jc w:val="right"/>
              <w:rPr>
                <w:rFonts w:ascii="Arial" w:hAnsi="Arial" w:cs="Arial" w:eastAsia="Arial" w:hint="default"/>
                <w:sz w:val="18"/>
                <w:szCs w:val="18"/>
              </w:rPr>
            </w:pPr>
            <w:r>
              <w:rPr>
                <w:rFonts w:ascii="Arial"/>
                <w:w w:val="95"/>
                <w:sz w:val="18"/>
              </w:rPr>
              <w:t>40</w:t>
            </w:r>
            <w:r>
              <w:rPr>
                <w:rFonts w:ascii="Arial"/>
                <w:sz w:val="18"/>
              </w:rPr>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
              <w:jc w:val="right"/>
              <w:rPr>
                <w:rFonts w:ascii="Arial" w:hAnsi="Arial" w:cs="Arial" w:eastAsia="Arial" w:hint="default"/>
                <w:sz w:val="18"/>
                <w:szCs w:val="18"/>
              </w:rPr>
            </w:pPr>
            <w:r>
              <w:rPr>
                <w:rFonts w:ascii="Arial"/>
                <w:spacing w:val="-1"/>
                <w:sz w:val="18"/>
              </w:rPr>
              <w:t>1,800,020</w:t>
            </w:r>
          </w:p>
        </w:tc>
        <w:tc>
          <w:tcPr>
            <w:tcW w:w="45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6"/>
              <w:jc w:val="right"/>
              <w:rPr>
                <w:rFonts w:ascii="Arial" w:hAnsi="Arial" w:cs="Arial" w:eastAsia="Arial" w:hint="default"/>
                <w:sz w:val="18"/>
                <w:szCs w:val="18"/>
              </w:rPr>
            </w:pPr>
            <w:r>
              <w:rPr>
                <w:rFonts w:ascii="Arial"/>
                <w:w w:val="99"/>
                <w:sz w:val="18"/>
              </w:rPr>
              <w:t>2</w:t>
            </w:r>
            <w:r>
              <w:rPr>
                <w:rFonts w:ascii="Arial"/>
                <w:sz w:val="18"/>
              </w:rPr>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
              <w:jc w:val="right"/>
              <w:rPr>
                <w:rFonts w:ascii="Arial" w:hAnsi="Arial" w:cs="Arial" w:eastAsia="Arial" w:hint="default"/>
                <w:sz w:val="18"/>
                <w:szCs w:val="18"/>
              </w:rPr>
            </w:pPr>
            <w:r>
              <w:rPr>
                <w:rFonts w:ascii="Arial"/>
                <w:spacing w:val="-1"/>
                <w:sz w:val="18"/>
              </w:rPr>
              <w:t>720,008</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21"/>
              <w:jc w:val="right"/>
              <w:rPr>
                <w:rFonts w:ascii="Arial" w:hAnsi="Arial" w:cs="Arial" w:eastAsia="Arial" w:hint="default"/>
                <w:sz w:val="18"/>
                <w:szCs w:val="18"/>
              </w:rPr>
            </w:pPr>
            <w:r>
              <w:rPr>
                <w:rFonts w:ascii="Arial"/>
                <w:w w:val="95"/>
                <w:sz w:val="18"/>
              </w:rPr>
              <w:t>40</w:t>
            </w:r>
            <w:r>
              <w:rPr>
                <w:rFonts w:ascii="Arial"/>
                <w:sz w:val="18"/>
              </w:rPr>
            </w:r>
          </w:p>
        </w:tc>
      </w:tr>
      <w:tr>
        <w:trPr>
          <w:trHeight w:val="232" w:hRule="exact"/>
        </w:trPr>
        <w:tc>
          <w:tcPr>
            <w:tcW w:w="1708" w:type="dxa"/>
            <w:tcBorders>
              <w:top w:val="nil" w:sz="6" w:space="0" w:color="auto"/>
              <w:left w:val="nil" w:sz="6" w:space="0" w:color="auto"/>
              <w:bottom w:val="nil" w:sz="6" w:space="0" w:color="auto"/>
              <w:right w:val="nil" w:sz="6" w:space="0" w:color="auto"/>
            </w:tcBorders>
          </w:tcPr>
          <w:p>
            <w:pPr>
              <w:pStyle w:val="TableParagraph"/>
              <w:spacing w:line="210" w:lineRule="exact"/>
              <w:ind w:left="372" w:right="0"/>
              <w:jc w:val="left"/>
              <w:rPr>
                <w:rFonts w:ascii="黑体" w:hAnsi="黑体" w:cs="黑体" w:eastAsia="黑体" w:hint="default"/>
                <w:sz w:val="16"/>
                <w:szCs w:val="16"/>
              </w:rPr>
            </w:pPr>
            <w:r>
              <w:rPr>
                <w:rFonts w:ascii="Arial" w:hAnsi="Arial" w:cs="Arial" w:eastAsia="Arial" w:hint="default"/>
                <w:sz w:val="16"/>
                <w:szCs w:val="16"/>
              </w:rPr>
              <w:t>3</w:t>
            </w:r>
            <w:r>
              <w:rPr>
                <w:rFonts w:ascii="Arial" w:hAnsi="Arial" w:cs="Arial" w:eastAsia="Arial" w:hint="default"/>
                <w:spacing w:val="-3"/>
                <w:sz w:val="16"/>
                <w:szCs w:val="16"/>
              </w:rPr>
              <w:t> </w:t>
            </w:r>
            <w:r>
              <w:rPr>
                <w:rFonts w:ascii="黑体" w:hAnsi="黑体" w:cs="黑体" w:eastAsia="黑体" w:hint="default"/>
                <w:sz w:val="16"/>
                <w:szCs w:val="16"/>
              </w:rPr>
              <w:t>年以上</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2"/>
              <w:jc w:val="right"/>
              <w:rPr>
                <w:rFonts w:ascii="Arial" w:hAnsi="Arial" w:cs="Arial" w:eastAsia="Arial" w:hint="default"/>
                <w:sz w:val="18"/>
                <w:szCs w:val="18"/>
              </w:rPr>
            </w:pPr>
            <w:r>
              <w:rPr>
                <w:rFonts w:ascii="Arial"/>
                <w:spacing w:val="-1"/>
                <w:sz w:val="18"/>
              </w:rPr>
              <w:t>3,911,562</w:t>
            </w:r>
          </w:p>
        </w:tc>
        <w:tc>
          <w:tcPr>
            <w:tcW w:w="48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1"/>
              <w:jc w:val="right"/>
              <w:rPr>
                <w:rFonts w:ascii="Arial" w:hAnsi="Arial" w:cs="Arial" w:eastAsia="Arial" w:hint="default"/>
                <w:sz w:val="18"/>
                <w:szCs w:val="18"/>
              </w:rPr>
            </w:pPr>
            <w:r>
              <w:rPr>
                <w:rFonts w:ascii="Arial"/>
                <w:w w:val="99"/>
                <w:sz w:val="18"/>
              </w:rPr>
              <w:t>4</w:t>
            </w:r>
            <w:r>
              <w:rPr>
                <w:rFonts w:ascii="Arial"/>
                <w:sz w:val="18"/>
              </w:rPr>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
              <w:jc w:val="right"/>
              <w:rPr>
                <w:rFonts w:ascii="Arial" w:hAnsi="Arial" w:cs="Arial" w:eastAsia="Arial" w:hint="default"/>
                <w:sz w:val="18"/>
                <w:szCs w:val="18"/>
              </w:rPr>
            </w:pPr>
            <w:r>
              <w:rPr>
                <w:rFonts w:ascii="Arial"/>
                <w:spacing w:val="-1"/>
                <w:sz w:val="18"/>
              </w:rPr>
              <w:t>3,911,562</w:t>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69"/>
              <w:jc w:val="right"/>
              <w:rPr>
                <w:rFonts w:ascii="Arial" w:hAnsi="Arial" w:cs="Arial" w:eastAsia="Arial" w:hint="default"/>
                <w:sz w:val="18"/>
                <w:szCs w:val="18"/>
              </w:rPr>
            </w:pPr>
            <w:r>
              <w:rPr>
                <w:rFonts w:ascii="Arial"/>
                <w:w w:val="95"/>
                <w:sz w:val="18"/>
              </w:rPr>
              <w:t>100</w:t>
            </w:r>
            <w:r>
              <w:rPr>
                <w:rFonts w:ascii="Arial"/>
                <w:sz w:val="18"/>
              </w:rPr>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
              <w:jc w:val="right"/>
              <w:rPr>
                <w:rFonts w:ascii="Arial" w:hAnsi="Arial" w:cs="Arial" w:eastAsia="Arial" w:hint="default"/>
                <w:sz w:val="18"/>
                <w:szCs w:val="18"/>
              </w:rPr>
            </w:pPr>
            <w:r>
              <w:rPr>
                <w:rFonts w:ascii="Arial"/>
                <w:spacing w:val="-1"/>
                <w:sz w:val="18"/>
              </w:rPr>
              <w:t>1,338,762</w:t>
            </w:r>
          </w:p>
        </w:tc>
        <w:tc>
          <w:tcPr>
            <w:tcW w:w="45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6"/>
              <w:jc w:val="right"/>
              <w:rPr>
                <w:rFonts w:ascii="Arial" w:hAnsi="Arial" w:cs="Arial" w:eastAsia="Arial" w:hint="default"/>
                <w:sz w:val="18"/>
                <w:szCs w:val="18"/>
              </w:rPr>
            </w:pPr>
            <w:r>
              <w:rPr>
                <w:rFonts w:ascii="Arial"/>
                <w:w w:val="99"/>
                <w:sz w:val="18"/>
              </w:rPr>
              <w:t>1</w:t>
            </w:r>
            <w:r>
              <w:rPr>
                <w:rFonts w:ascii="Arial"/>
                <w:sz w:val="18"/>
              </w:rPr>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
              <w:jc w:val="right"/>
              <w:rPr>
                <w:rFonts w:ascii="Arial" w:hAnsi="Arial" w:cs="Arial" w:eastAsia="Arial" w:hint="default"/>
                <w:sz w:val="18"/>
                <w:szCs w:val="18"/>
              </w:rPr>
            </w:pPr>
            <w:r>
              <w:rPr>
                <w:rFonts w:ascii="Arial"/>
                <w:spacing w:val="-1"/>
                <w:sz w:val="18"/>
              </w:rPr>
              <w:t>1,338,762</w:t>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21"/>
              <w:jc w:val="right"/>
              <w:rPr>
                <w:rFonts w:ascii="Arial" w:hAnsi="Arial" w:cs="Arial" w:eastAsia="Arial" w:hint="default"/>
                <w:sz w:val="18"/>
                <w:szCs w:val="18"/>
              </w:rPr>
            </w:pPr>
            <w:r>
              <w:rPr>
                <w:rFonts w:ascii="Arial"/>
                <w:w w:val="95"/>
                <w:sz w:val="18"/>
              </w:rPr>
              <w:t>100</w:t>
            </w:r>
            <w:r>
              <w:rPr>
                <w:rFonts w:ascii="Arial"/>
                <w:sz w:val="18"/>
              </w:rPr>
            </w:r>
          </w:p>
        </w:tc>
      </w:tr>
      <w:tr>
        <w:trPr>
          <w:trHeight w:val="518" w:hRule="exact"/>
        </w:trPr>
        <w:tc>
          <w:tcPr>
            <w:tcW w:w="1708" w:type="dxa"/>
            <w:tcBorders>
              <w:top w:val="nil" w:sz="6" w:space="0" w:color="auto"/>
              <w:left w:val="nil" w:sz="6" w:space="0" w:color="auto"/>
              <w:bottom w:val="nil" w:sz="6" w:space="0" w:color="auto"/>
              <w:right w:val="nil" w:sz="6" w:space="0" w:color="auto"/>
            </w:tcBorders>
          </w:tcPr>
          <w:p>
            <w:pPr>
              <w:pStyle w:val="TableParagraph"/>
              <w:spacing w:line="174" w:lineRule="exact"/>
              <w:ind w:left="360" w:right="0" w:hanging="161"/>
              <w:jc w:val="left"/>
              <w:rPr>
                <w:rFonts w:ascii="黑体" w:hAnsi="黑体" w:cs="黑体" w:eastAsia="黑体" w:hint="default"/>
                <w:sz w:val="16"/>
                <w:szCs w:val="16"/>
              </w:rPr>
            </w:pPr>
            <w:r>
              <w:rPr>
                <w:rFonts w:ascii="黑体" w:hAnsi="黑体" w:cs="黑体" w:eastAsia="黑体" w:hint="default"/>
                <w:sz w:val="16"/>
                <w:szCs w:val="16"/>
              </w:rPr>
              <w:t>单项金额虽不重大但</w:t>
            </w:r>
          </w:p>
          <w:p>
            <w:pPr>
              <w:pStyle w:val="TableParagraph"/>
              <w:spacing w:line="208" w:lineRule="exact"/>
              <w:ind w:left="360" w:right="0"/>
              <w:jc w:val="left"/>
              <w:rPr>
                <w:rFonts w:ascii="黑体" w:hAnsi="黑体" w:cs="黑体" w:eastAsia="黑体" w:hint="default"/>
                <w:sz w:val="16"/>
                <w:szCs w:val="16"/>
              </w:rPr>
            </w:pPr>
            <w:r>
              <w:rPr>
                <w:rFonts w:ascii="黑体" w:hAnsi="黑体" w:cs="黑体" w:eastAsia="黑体" w:hint="default"/>
                <w:sz w:val="16"/>
                <w:szCs w:val="16"/>
              </w:rPr>
              <w:t>单项计提坏账准备</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5"/>
                <w:szCs w:val="15"/>
              </w:rPr>
            </w:pPr>
          </w:p>
          <w:p>
            <w:pPr>
              <w:pStyle w:val="TableParagraph"/>
              <w:spacing w:line="240" w:lineRule="auto"/>
              <w:ind w:right="13"/>
              <w:jc w:val="right"/>
              <w:rPr>
                <w:rFonts w:ascii="Arial" w:hAnsi="Arial" w:cs="Arial" w:eastAsia="Arial" w:hint="default"/>
                <w:sz w:val="18"/>
                <w:szCs w:val="18"/>
              </w:rPr>
            </w:pPr>
            <w:r>
              <w:rPr>
                <w:rFonts w:ascii="Arial"/>
                <w:w w:val="99"/>
                <w:sz w:val="18"/>
              </w:rPr>
            </w:r>
            <w:r>
              <w:rPr>
                <w:rFonts w:ascii="Arial"/>
                <w:spacing w:val="-1"/>
                <w:sz w:val="18"/>
                <w:u w:val="single" w:color="000000"/>
              </w:rPr>
              <w:t>67,778,680</w:t>
            </w:r>
            <w:r>
              <w:rPr>
                <w:rFonts w:ascii="Arial"/>
                <w:spacing w:val="-1"/>
                <w:sz w:val="18"/>
              </w:rPr>
            </w:r>
          </w:p>
        </w:tc>
        <w:tc>
          <w:tcPr>
            <w:tcW w:w="48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5"/>
                <w:szCs w:val="15"/>
              </w:rPr>
            </w:pPr>
          </w:p>
          <w:p>
            <w:pPr>
              <w:pStyle w:val="TableParagraph"/>
              <w:spacing w:line="240" w:lineRule="auto"/>
              <w:ind w:right="10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9"/>
                <w:sz w:val="18"/>
                <w:u w:val="single" w:color="000000"/>
              </w:rPr>
              <w:t> </w:t>
            </w:r>
            <w:r>
              <w:rPr>
                <w:rFonts w:ascii="Arial"/>
                <w:w w:val="95"/>
                <w:sz w:val="18"/>
                <w:u w:val="single" w:color="000000"/>
              </w:rPr>
              <w:t>72</w:t>
            </w:r>
            <w:r>
              <w:rPr>
                <w:rFonts w:ascii="Arial"/>
                <w:w w:val="95"/>
                <w:sz w:val="18"/>
              </w:rPr>
            </w:r>
            <w:r>
              <w:rPr>
                <w:rFonts w:ascii="Arial"/>
                <w:sz w:val="18"/>
              </w:rPr>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5"/>
                <w:szCs w:val="15"/>
              </w:rPr>
            </w:pPr>
          </w:p>
          <w:p>
            <w:pPr>
              <w:pStyle w:val="TableParagraph"/>
              <w:spacing w:line="240" w:lineRule="auto"/>
              <w:ind w:right="-1"/>
              <w:jc w:val="right"/>
              <w:rPr>
                <w:rFonts w:ascii="Arial" w:hAnsi="Arial" w:cs="Arial" w:eastAsia="Arial" w:hint="default"/>
                <w:sz w:val="18"/>
                <w:szCs w:val="18"/>
              </w:rPr>
            </w:pPr>
            <w:r>
              <w:rPr>
                <w:rFonts w:ascii="Arial"/>
                <w:w w:val="100"/>
                <w:sz w:val="18"/>
              </w:rPr>
            </w:r>
            <w:r>
              <w:rPr>
                <w:rFonts w:ascii="Arial"/>
                <w:spacing w:val="-1"/>
                <w:sz w:val="18"/>
                <w:u w:val="single" w:color="000000"/>
              </w:rPr>
              <w:t>2,348,893</w:t>
            </w:r>
            <w:r>
              <w:rPr>
                <w:rFonts w:ascii="Arial"/>
                <w:spacing w:val="-1"/>
                <w:sz w:val="18"/>
              </w:rPr>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5"/>
                <w:szCs w:val="15"/>
              </w:rPr>
            </w:pPr>
          </w:p>
          <w:p>
            <w:pPr>
              <w:pStyle w:val="TableParagraph"/>
              <w:spacing w:line="240" w:lineRule="auto"/>
              <w:ind w:right="170"/>
              <w:jc w:val="right"/>
              <w:rPr>
                <w:rFonts w:ascii="Arial" w:hAnsi="Arial" w:cs="Arial" w:eastAsia="Arial" w:hint="default"/>
                <w:sz w:val="18"/>
                <w:szCs w:val="18"/>
              </w:rPr>
            </w:pPr>
            <w:r>
              <w:rPr>
                <w:rFonts w:ascii="Arial"/>
                <w:w w:val="99"/>
                <w:sz w:val="18"/>
              </w:rPr>
              <w:t>3</w:t>
            </w:r>
            <w:r>
              <w:rPr>
                <w:rFonts w:ascii="Arial"/>
                <w:sz w:val="18"/>
              </w:rPr>
            </w: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5"/>
                <w:szCs w:val="15"/>
              </w:rPr>
            </w:pPr>
          </w:p>
          <w:p>
            <w:pPr>
              <w:pStyle w:val="TableParagraph"/>
              <w:spacing w:line="240" w:lineRule="auto"/>
              <w:ind w:right="14"/>
              <w:jc w:val="right"/>
              <w:rPr>
                <w:rFonts w:ascii="Arial" w:hAnsi="Arial" w:cs="Arial" w:eastAsia="Arial" w:hint="default"/>
                <w:sz w:val="18"/>
                <w:szCs w:val="18"/>
              </w:rPr>
            </w:pPr>
            <w:r>
              <w:rPr>
                <w:rFonts w:ascii="Arial"/>
                <w:w w:val="99"/>
                <w:sz w:val="18"/>
              </w:rPr>
            </w:r>
            <w:r>
              <w:rPr>
                <w:rFonts w:ascii="Arial"/>
                <w:spacing w:val="-1"/>
                <w:sz w:val="18"/>
                <w:u w:val="single" w:color="000000"/>
              </w:rPr>
              <w:t>50,328,853</w:t>
            </w:r>
            <w:r>
              <w:rPr>
                <w:rFonts w:ascii="Arial"/>
                <w:spacing w:val="-1"/>
                <w:sz w:val="18"/>
              </w:rPr>
            </w:r>
          </w:p>
        </w:tc>
        <w:tc>
          <w:tcPr>
            <w:tcW w:w="45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5"/>
                <w:szCs w:val="15"/>
              </w:rPr>
            </w:pPr>
          </w:p>
          <w:p>
            <w:pPr>
              <w:pStyle w:val="TableParagraph"/>
              <w:spacing w:line="240" w:lineRule="auto"/>
              <w:ind w:right="7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9"/>
                <w:sz w:val="18"/>
                <w:u w:val="single" w:color="000000"/>
              </w:rPr>
              <w:t> </w:t>
            </w:r>
            <w:r>
              <w:rPr>
                <w:rFonts w:ascii="Arial"/>
                <w:w w:val="95"/>
                <w:sz w:val="18"/>
                <w:u w:val="single" w:color="000000"/>
              </w:rPr>
              <w:t>58</w:t>
            </w:r>
            <w:r>
              <w:rPr>
                <w:rFonts w:ascii="Arial"/>
                <w:w w:val="95"/>
                <w:sz w:val="18"/>
              </w:rPr>
            </w:r>
            <w:r>
              <w:rPr>
                <w:rFonts w:ascii="Arial"/>
                <w:sz w:val="18"/>
              </w:rPr>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5"/>
                <w:szCs w:val="15"/>
              </w:rPr>
            </w:pPr>
          </w:p>
          <w:p>
            <w:pPr>
              <w:pStyle w:val="TableParagraph"/>
              <w:spacing w:line="240" w:lineRule="auto"/>
              <w:ind w:right="-1"/>
              <w:jc w:val="right"/>
              <w:rPr>
                <w:rFonts w:ascii="Arial" w:hAnsi="Arial" w:cs="Arial" w:eastAsia="Arial" w:hint="default"/>
                <w:sz w:val="18"/>
                <w:szCs w:val="18"/>
              </w:rPr>
            </w:pPr>
            <w:r>
              <w:rPr>
                <w:rFonts w:ascii="Arial"/>
                <w:w w:val="100"/>
                <w:sz w:val="18"/>
              </w:rPr>
            </w:r>
            <w:r>
              <w:rPr>
                <w:rFonts w:ascii="Arial"/>
                <w:spacing w:val="-1"/>
                <w:sz w:val="18"/>
                <w:u w:val="single" w:color="000000"/>
              </w:rPr>
              <w:t>2,402,081</w:t>
            </w:r>
            <w:r>
              <w:rPr>
                <w:rFonts w:ascii="Arial"/>
                <w:spacing w:val="-1"/>
                <w:sz w:val="18"/>
              </w:rPr>
            </w: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5"/>
                <w:szCs w:val="15"/>
              </w:rPr>
            </w:pPr>
          </w:p>
          <w:p>
            <w:pPr>
              <w:pStyle w:val="TableParagraph"/>
              <w:spacing w:line="240" w:lineRule="auto"/>
              <w:ind w:right="222"/>
              <w:jc w:val="right"/>
              <w:rPr>
                <w:rFonts w:ascii="Arial" w:hAnsi="Arial" w:cs="Arial" w:eastAsia="Arial" w:hint="default"/>
                <w:sz w:val="18"/>
                <w:szCs w:val="18"/>
              </w:rPr>
            </w:pPr>
            <w:r>
              <w:rPr>
                <w:rFonts w:ascii="Arial"/>
                <w:w w:val="99"/>
                <w:sz w:val="18"/>
              </w:rPr>
              <w:t>5</w:t>
            </w:r>
            <w:r>
              <w:rPr>
                <w:rFonts w:ascii="Arial"/>
                <w:sz w:val="18"/>
              </w:rPr>
            </w:r>
          </w:p>
        </w:tc>
      </w:tr>
      <w:tr>
        <w:trPr>
          <w:trHeight w:val="298" w:hRule="exact"/>
        </w:trPr>
        <w:tc>
          <w:tcPr>
            <w:tcW w:w="1708" w:type="dxa"/>
            <w:tcBorders>
              <w:top w:val="nil" w:sz="6" w:space="0" w:color="auto"/>
              <w:left w:val="nil" w:sz="6" w:space="0" w:color="auto"/>
              <w:bottom w:val="nil" w:sz="6" w:space="0" w:color="auto"/>
              <w:right w:val="nil" w:sz="6" w:space="0" w:color="auto"/>
            </w:tcBorders>
          </w:tcPr>
          <w:p>
            <w:pP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0"/>
              <w:jc w:val="right"/>
              <w:rPr>
                <w:rFonts w:ascii="Arial" w:hAnsi="Arial" w:cs="Arial" w:eastAsia="Arial" w:hint="default"/>
                <w:sz w:val="18"/>
                <w:szCs w:val="18"/>
              </w:rPr>
            </w:pPr>
            <w:r>
              <w:rPr>
                <w:rFonts w:ascii="Arial"/>
                <w:w w:val="99"/>
                <w:sz w:val="18"/>
              </w:rPr>
            </w:r>
            <w:r>
              <w:rPr>
                <w:rFonts w:ascii="Arial"/>
                <w:spacing w:val="-1"/>
                <w:sz w:val="18"/>
                <w:u w:val="thick" w:color="000000"/>
              </w:rPr>
              <w:t>94,340,860</w:t>
            </w:r>
            <w:r>
              <w:rPr>
                <w:rFonts w:ascii="Arial"/>
                <w:spacing w:val="-1"/>
                <w:sz w:val="18"/>
              </w:rPr>
            </w:r>
          </w:p>
        </w:tc>
        <w:tc>
          <w:tcPr>
            <w:tcW w:w="48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15"/>
              <w:jc w:val="right"/>
              <w:rPr>
                <w:rFonts w:ascii="Arial" w:hAnsi="Arial" w:cs="Arial" w:eastAsia="Arial" w:hint="default"/>
                <w:sz w:val="18"/>
                <w:szCs w:val="18"/>
              </w:rPr>
            </w:pPr>
            <w:r>
              <w:rPr>
                <w:rFonts w:ascii="Arial"/>
                <w:w w:val="99"/>
                <w:sz w:val="18"/>
              </w:rPr>
            </w:r>
            <w:r>
              <w:rPr>
                <w:rFonts w:ascii="Arial"/>
                <w:w w:val="95"/>
                <w:sz w:val="18"/>
                <w:u w:val="thick" w:color="000000"/>
              </w:rPr>
              <w:t>100</w:t>
            </w:r>
            <w:r>
              <w:rPr>
                <w:rFonts w:ascii="Arial"/>
                <w:w w:val="95"/>
                <w:sz w:val="18"/>
              </w:rPr>
            </w:r>
            <w:r>
              <w:rPr>
                <w:rFonts w:ascii="Arial"/>
                <w:sz w:val="18"/>
              </w:rPr>
            </w:r>
          </w:p>
        </w:tc>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
              <w:jc w:val="right"/>
              <w:rPr>
                <w:rFonts w:ascii="Arial" w:hAnsi="Arial" w:cs="Arial" w:eastAsia="Arial" w:hint="default"/>
                <w:sz w:val="18"/>
                <w:szCs w:val="18"/>
              </w:rPr>
            </w:pPr>
            <w:r>
              <w:rPr>
                <w:rFonts w:ascii="Arial"/>
                <w:w w:val="100"/>
                <w:sz w:val="18"/>
              </w:rPr>
            </w:r>
            <w:r>
              <w:rPr>
                <w:rFonts w:ascii="Arial"/>
                <w:spacing w:val="-1"/>
                <w:sz w:val="18"/>
                <w:u w:val="thick" w:color="000000"/>
              </w:rPr>
              <w:t>7,407,274</w:t>
            </w:r>
            <w:r>
              <w:rPr>
                <w:rFonts w:ascii="Arial"/>
                <w:spacing w:val="-1"/>
                <w:sz w:val="18"/>
              </w:rPr>
            </w:r>
          </w:p>
        </w:tc>
        <w:tc>
          <w:tcPr>
            <w:tcW w:w="882" w:type="dxa"/>
            <w:tcBorders>
              <w:top w:val="nil" w:sz="6" w:space="0" w:color="auto"/>
              <w:left w:val="nil" w:sz="6" w:space="0" w:color="auto"/>
              <w:bottom w:val="nil" w:sz="6" w:space="0" w:color="auto"/>
              <w:right w:val="nil" w:sz="6" w:space="0" w:color="auto"/>
            </w:tcBorders>
          </w:tcPr>
          <w:p>
            <w:pPr/>
          </w:p>
        </w:tc>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9"/>
              <w:jc w:val="right"/>
              <w:rPr>
                <w:rFonts w:ascii="Arial" w:hAnsi="Arial" w:cs="Arial" w:eastAsia="Arial" w:hint="default"/>
                <w:sz w:val="18"/>
                <w:szCs w:val="18"/>
              </w:rPr>
            </w:pPr>
            <w:r>
              <w:rPr>
                <w:rFonts w:ascii="Arial"/>
                <w:w w:val="99"/>
                <w:sz w:val="18"/>
              </w:rPr>
            </w:r>
            <w:r>
              <w:rPr>
                <w:rFonts w:ascii="Arial"/>
                <w:spacing w:val="-1"/>
                <w:sz w:val="18"/>
                <w:u w:val="thick" w:color="000000"/>
              </w:rPr>
              <w:t>86,646,030</w:t>
            </w:r>
            <w:r>
              <w:rPr>
                <w:rFonts w:ascii="Arial"/>
                <w:spacing w:val="-1"/>
                <w:sz w:val="18"/>
              </w:rPr>
            </w:r>
          </w:p>
        </w:tc>
        <w:tc>
          <w:tcPr>
            <w:tcW w:w="453"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80"/>
              <w:jc w:val="right"/>
              <w:rPr>
                <w:rFonts w:ascii="Arial" w:hAnsi="Arial" w:cs="Arial" w:eastAsia="Arial" w:hint="default"/>
                <w:sz w:val="18"/>
                <w:szCs w:val="18"/>
              </w:rPr>
            </w:pPr>
            <w:r>
              <w:rPr>
                <w:rFonts w:ascii="Arial"/>
                <w:w w:val="99"/>
                <w:sz w:val="18"/>
              </w:rPr>
            </w:r>
            <w:r>
              <w:rPr>
                <w:rFonts w:ascii="Arial"/>
                <w:w w:val="95"/>
                <w:sz w:val="18"/>
                <w:u w:val="thick" w:color="000000"/>
              </w:rPr>
              <w:t>100</w:t>
            </w:r>
            <w:r>
              <w:rPr>
                <w:rFonts w:ascii="Arial"/>
                <w:w w:val="95"/>
                <w:sz w:val="18"/>
              </w:rPr>
            </w:r>
            <w:r>
              <w:rPr>
                <w:rFonts w:ascii="Arial"/>
                <w:sz w:val="18"/>
              </w:rPr>
            </w:r>
          </w:p>
        </w:tc>
        <w:tc>
          <w:tcPr>
            <w:tcW w:w="86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
              <w:jc w:val="right"/>
              <w:rPr>
                <w:rFonts w:ascii="Arial" w:hAnsi="Arial" w:cs="Arial" w:eastAsia="Arial" w:hint="default"/>
                <w:sz w:val="18"/>
                <w:szCs w:val="18"/>
              </w:rPr>
            </w:pPr>
            <w:r>
              <w:rPr>
                <w:rFonts w:ascii="Arial"/>
                <w:w w:val="100"/>
                <w:sz w:val="18"/>
              </w:rPr>
            </w:r>
            <w:r>
              <w:rPr>
                <w:rFonts w:ascii="Arial"/>
                <w:spacing w:val="-1"/>
                <w:sz w:val="18"/>
                <w:u w:val="thick" w:color="000000"/>
              </w:rPr>
              <w:t>5,588,786</w:t>
            </w:r>
            <w:r>
              <w:rPr>
                <w:rFonts w:ascii="Arial"/>
                <w:spacing w:val="-1"/>
                <w:sz w:val="18"/>
              </w:rPr>
            </w:r>
          </w:p>
        </w:tc>
        <w:tc>
          <w:tcPr>
            <w:tcW w:w="933" w:type="dxa"/>
            <w:tcBorders>
              <w:top w:val="nil" w:sz="6" w:space="0" w:color="auto"/>
              <w:left w:val="nil" w:sz="6" w:space="0" w:color="auto"/>
              <w:bottom w:val="nil" w:sz="6" w:space="0" w:color="auto"/>
              <w:right w:val="nil" w:sz="6" w:space="0" w:color="auto"/>
            </w:tcBorders>
          </w:tcPr>
          <w:p>
            <w:pPr/>
          </w:p>
        </w:tc>
      </w:tr>
    </w:tbl>
    <w:p>
      <w:pPr>
        <w:spacing w:after="0"/>
        <w:sectPr>
          <w:pgSz w:w="11910" w:h="16850"/>
          <w:pgMar w:header="957" w:footer="468" w:top="2640" w:bottom="660" w:left="1560" w:right="1320"/>
        </w:sectPr>
      </w:pPr>
    </w:p>
    <w:p>
      <w:pPr>
        <w:spacing w:line="240" w:lineRule="auto" w:before="5"/>
        <w:rPr>
          <w:rFonts w:ascii="黑体" w:hAnsi="黑体" w:cs="黑体" w:eastAsia="黑体" w:hint="default"/>
          <w:sz w:val="16"/>
          <w:szCs w:val="16"/>
        </w:rPr>
      </w:pPr>
    </w:p>
    <w:p>
      <w:pPr>
        <w:pStyle w:val="Heading6"/>
        <w:tabs>
          <w:tab w:pos="844" w:val="left" w:leader="none"/>
        </w:tabs>
        <w:spacing w:line="240" w:lineRule="auto"/>
        <w:ind w:left="141" w:right="300"/>
        <w:jc w:val="left"/>
        <w:rPr>
          <w:b w:val="0"/>
          <w:bCs w:val="0"/>
        </w:rPr>
      </w:pPr>
      <w:r>
        <w:rPr>
          <w:w w:val="95"/>
        </w:rPr>
        <w:t>五、</w:t>
        <w:tab/>
      </w:r>
      <w:bookmarkStart w:name="五、   合并财务报表主要项目注释（续）" w:id="71"/>
      <w:bookmarkEnd w:id="71"/>
      <w:r>
        <w:rPr/>
        <w:t>合并</w:t>
      </w:r>
      <w:r>
        <w:rPr/>
        <w:t>财务报表主要项目注释（续）</w:t>
      </w:r>
      <w:r>
        <w:rPr>
          <w:b w:val="0"/>
          <w:bCs w:val="0"/>
        </w:rPr>
      </w:r>
    </w:p>
    <w:p>
      <w:pPr>
        <w:spacing w:line="240" w:lineRule="auto" w:before="8"/>
        <w:rPr>
          <w:rFonts w:ascii="黑体" w:hAnsi="黑体" w:cs="黑体" w:eastAsia="黑体" w:hint="default"/>
          <w:b/>
          <w:bCs/>
          <w:sz w:val="19"/>
          <w:szCs w:val="19"/>
        </w:rPr>
      </w:pPr>
    </w:p>
    <w:p>
      <w:pPr>
        <w:tabs>
          <w:tab w:pos="883" w:val="left" w:leader="none"/>
        </w:tabs>
        <w:spacing w:line="504" w:lineRule="auto" w:before="0"/>
        <w:ind w:left="854" w:right="2692" w:hanging="713"/>
        <w:jc w:val="left"/>
        <w:rPr>
          <w:rFonts w:ascii="黑体" w:hAnsi="黑体" w:cs="黑体" w:eastAsia="黑体" w:hint="default"/>
          <w:sz w:val="20"/>
          <w:szCs w:val="20"/>
        </w:rPr>
      </w:pPr>
      <w:r>
        <w:rPr>
          <w:rFonts w:ascii="Arial" w:hAnsi="Arial" w:cs="Arial" w:eastAsia="Arial" w:hint="default"/>
          <w:b/>
          <w:bCs/>
          <w:spacing w:val="-1"/>
          <w:sz w:val="20"/>
          <w:szCs w:val="20"/>
        </w:rPr>
        <w:t>5.</w:t>
        <w:tab/>
        <w:tab/>
      </w:r>
      <w:r>
        <w:rPr>
          <w:rFonts w:ascii="黑体" w:hAnsi="黑体" w:cs="黑体" w:eastAsia="黑体" w:hint="default"/>
          <w:b/>
          <w:bCs/>
          <w:spacing w:val="1"/>
          <w:sz w:val="20"/>
          <w:szCs w:val="20"/>
        </w:rPr>
        <w:t>其他应收</w:t>
      </w:r>
      <w:bookmarkStart w:name="5.     其他应收款（续）" w:id="72"/>
      <w:bookmarkEnd w:id="72"/>
      <w:r>
        <w:rPr>
          <w:rFonts w:ascii="黑体" w:hAnsi="黑体" w:cs="黑体" w:eastAsia="黑体" w:hint="default"/>
          <w:b/>
          <w:bCs/>
          <w:spacing w:val="1"/>
          <w:sz w:val="20"/>
          <w:szCs w:val="20"/>
        </w:rPr>
        <w:t>款（</w:t>
      </w:r>
      <w:r>
        <w:rPr>
          <w:rFonts w:ascii="黑体" w:hAnsi="黑体" w:cs="黑体" w:eastAsia="黑体" w:hint="default"/>
          <w:b/>
          <w:bCs/>
          <w:spacing w:val="1"/>
          <w:sz w:val="20"/>
          <w:szCs w:val="20"/>
        </w:rPr>
        <w:t>续）</w:t>
      </w:r>
      <w:r>
        <w:rPr>
          <w:rFonts w:ascii="黑体" w:hAnsi="黑体" w:cs="黑体" w:eastAsia="黑体" w:hint="default"/>
          <w:b/>
          <w:bCs/>
          <w:w w:val="99"/>
          <w:sz w:val="20"/>
          <w:szCs w:val="20"/>
        </w:rPr>
        <w:t> </w:t>
      </w:r>
      <w:r>
        <w:rPr>
          <w:rFonts w:ascii="黑体" w:hAnsi="黑体" w:cs="黑体" w:eastAsia="黑体" w:hint="default"/>
          <w:sz w:val="20"/>
          <w:szCs w:val="20"/>
        </w:rPr>
        <w:t>本集团采用账龄分析法计提坏账准备的其他应收款情况如下：</w:t>
      </w:r>
    </w:p>
    <w:p>
      <w:pPr>
        <w:spacing w:line="240" w:lineRule="auto" w:before="1"/>
        <w:rPr>
          <w:rFonts w:ascii="黑体" w:hAnsi="黑体" w:cs="黑体" w:eastAsia="黑体" w:hint="default"/>
          <w:sz w:val="13"/>
          <w:szCs w:val="13"/>
        </w:rPr>
      </w:pPr>
    </w:p>
    <w:tbl>
      <w:tblPr>
        <w:tblW w:w="0" w:type="auto"/>
        <w:jc w:val="left"/>
        <w:tblInd w:w="649" w:type="dxa"/>
        <w:tblLayout w:type="fixed"/>
        <w:tblCellMar>
          <w:top w:w="0" w:type="dxa"/>
          <w:left w:w="0" w:type="dxa"/>
          <w:bottom w:w="0" w:type="dxa"/>
          <w:right w:w="0" w:type="dxa"/>
        </w:tblCellMar>
        <w:tblLook w:val="01E0"/>
      </w:tblPr>
      <w:tblGrid>
        <w:gridCol w:w="1194"/>
        <w:gridCol w:w="1214"/>
        <w:gridCol w:w="743"/>
        <w:gridCol w:w="1363"/>
        <w:gridCol w:w="1272"/>
        <w:gridCol w:w="886"/>
        <w:gridCol w:w="1326"/>
      </w:tblGrid>
      <w:tr>
        <w:trPr>
          <w:trHeight w:val="224" w:hRule="exact"/>
        </w:trPr>
        <w:tc>
          <w:tcPr>
            <w:tcW w:w="4514" w:type="dxa"/>
            <w:gridSpan w:val="4"/>
            <w:tcBorders>
              <w:top w:val="nil" w:sz="6" w:space="0" w:color="auto"/>
              <w:left w:val="nil" w:sz="6" w:space="0" w:color="auto"/>
              <w:bottom w:val="nil" w:sz="6" w:space="0" w:color="auto"/>
              <w:right w:val="nil" w:sz="6" w:space="0" w:color="auto"/>
            </w:tcBorders>
          </w:tcPr>
          <w:p>
            <w:pPr>
              <w:pStyle w:val="TableParagraph"/>
              <w:spacing w:line="214" w:lineRule="exact"/>
              <w:ind w:left="2002" w:right="0"/>
              <w:jc w:val="left"/>
              <w:rPr>
                <w:rFonts w:ascii="黑体" w:hAnsi="黑体" w:cs="黑体" w:eastAsia="黑体" w:hint="default"/>
                <w:sz w:val="20"/>
                <w:szCs w:val="20"/>
              </w:rPr>
            </w:pPr>
            <w:r>
              <w:rPr>
                <w:rFonts w:ascii="Arial" w:hAnsi="Arial" w:cs="Arial" w:eastAsia="Arial" w:hint="default"/>
                <w:sz w:val="20"/>
                <w:szCs w:val="20"/>
              </w:rPr>
              <w:t>2012</w:t>
            </w:r>
            <w:r>
              <w:rPr>
                <w:rFonts w:ascii="Arial" w:hAnsi="Arial" w:cs="Arial" w:eastAsia="Arial" w:hint="default"/>
                <w:spacing w:val="-8"/>
                <w:sz w:val="20"/>
                <w:szCs w:val="20"/>
              </w:rPr>
              <w:t> </w:t>
            </w:r>
            <w:r>
              <w:rPr>
                <w:rFonts w:ascii="黑体" w:hAnsi="黑体" w:cs="黑体" w:eastAsia="黑体" w:hint="default"/>
                <w:sz w:val="20"/>
                <w:szCs w:val="20"/>
              </w:rPr>
              <w:t>年</w:t>
            </w:r>
            <w:r>
              <w:rPr>
                <w:rFonts w:ascii="黑体" w:hAnsi="黑体" w:cs="黑体" w:eastAsia="黑体" w:hint="default"/>
                <w:spacing w:val="-50"/>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黑体" w:hAnsi="黑体" w:cs="黑体" w:eastAsia="黑体" w:hint="default"/>
                <w:sz w:val="20"/>
                <w:szCs w:val="20"/>
              </w:rPr>
              <w:t>月</w:t>
            </w:r>
            <w:r>
              <w:rPr>
                <w:rFonts w:ascii="黑体" w:hAnsi="黑体" w:cs="黑体" w:eastAsia="黑体" w:hint="default"/>
                <w:spacing w:val="-52"/>
                <w:sz w:val="20"/>
                <w:szCs w:val="20"/>
              </w:rPr>
              <w:t> </w:t>
            </w:r>
            <w:r>
              <w:rPr>
                <w:rFonts w:ascii="Arial" w:hAnsi="Arial" w:cs="Arial" w:eastAsia="Arial" w:hint="default"/>
                <w:sz w:val="20"/>
                <w:szCs w:val="20"/>
              </w:rPr>
              <w:t>31</w:t>
            </w:r>
            <w:r>
              <w:rPr>
                <w:rFonts w:ascii="Arial" w:hAnsi="Arial" w:cs="Arial" w:eastAsia="Arial" w:hint="default"/>
                <w:spacing w:val="-8"/>
                <w:sz w:val="20"/>
                <w:szCs w:val="20"/>
              </w:rPr>
              <w:t> </w:t>
            </w:r>
            <w:r>
              <w:rPr>
                <w:rFonts w:ascii="黑体" w:hAnsi="黑体" w:cs="黑体" w:eastAsia="黑体" w:hint="default"/>
                <w:sz w:val="20"/>
                <w:szCs w:val="20"/>
              </w:rPr>
              <w:t>日</w:t>
            </w:r>
          </w:p>
        </w:tc>
        <w:tc>
          <w:tcPr>
            <w:tcW w:w="3484" w:type="dxa"/>
            <w:gridSpan w:val="3"/>
            <w:tcBorders>
              <w:top w:val="nil" w:sz="6" w:space="0" w:color="auto"/>
              <w:left w:val="nil" w:sz="6" w:space="0" w:color="auto"/>
              <w:bottom w:val="single" w:sz="4" w:space="0" w:color="000000"/>
              <w:right w:val="nil" w:sz="6" w:space="0" w:color="auto"/>
            </w:tcBorders>
          </w:tcPr>
          <w:p>
            <w:pPr>
              <w:pStyle w:val="TableParagraph"/>
              <w:spacing w:line="214" w:lineRule="exact"/>
              <w:ind w:left="887" w:right="0"/>
              <w:jc w:val="left"/>
              <w:rPr>
                <w:rFonts w:ascii="黑体" w:hAnsi="黑体" w:cs="黑体" w:eastAsia="黑体" w:hint="default"/>
                <w:sz w:val="20"/>
                <w:szCs w:val="20"/>
              </w:rPr>
            </w:pPr>
            <w:r>
              <w:rPr>
                <w:rFonts w:ascii="Arial" w:hAnsi="Arial" w:cs="Arial" w:eastAsia="Arial" w:hint="default"/>
                <w:sz w:val="20"/>
                <w:szCs w:val="20"/>
              </w:rPr>
              <w:t>2011</w:t>
            </w:r>
            <w:r>
              <w:rPr>
                <w:rFonts w:ascii="Arial" w:hAnsi="Arial" w:cs="Arial" w:eastAsia="Arial" w:hint="default"/>
                <w:spacing w:val="-8"/>
                <w:sz w:val="20"/>
                <w:szCs w:val="20"/>
              </w:rPr>
              <w:t> </w:t>
            </w:r>
            <w:r>
              <w:rPr>
                <w:rFonts w:ascii="黑体" w:hAnsi="黑体" w:cs="黑体" w:eastAsia="黑体" w:hint="default"/>
                <w:sz w:val="20"/>
                <w:szCs w:val="20"/>
              </w:rPr>
              <w:t>年</w:t>
            </w:r>
            <w:r>
              <w:rPr>
                <w:rFonts w:ascii="黑体" w:hAnsi="黑体" w:cs="黑体" w:eastAsia="黑体" w:hint="default"/>
                <w:spacing w:val="-50"/>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黑体" w:hAnsi="黑体" w:cs="黑体" w:eastAsia="黑体" w:hint="default"/>
                <w:sz w:val="20"/>
                <w:szCs w:val="20"/>
              </w:rPr>
              <w:t>月</w:t>
            </w:r>
            <w:r>
              <w:rPr>
                <w:rFonts w:ascii="黑体" w:hAnsi="黑体" w:cs="黑体" w:eastAsia="黑体" w:hint="default"/>
                <w:spacing w:val="-52"/>
                <w:sz w:val="20"/>
                <w:szCs w:val="20"/>
              </w:rPr>
              <w:t> </w:t>
            </w:r>
            <w:r>
              <w:rPr>
                <w:rFonts w:ascii="Arial" w:hAnsi="Arial" w:cs="Arial" w:eastAsia="Arial" w:hint="default"/>
                <w:sz w:val="20"/>
                <w:szCs w:val="20"/>
              </w:rPr>
              <w:t>31</w:t>
            </w:r>
            <w:r>
              <w:rPr>
                <w:rFonts w:ascii="Arial" w:hAnsi="Arial" w:cs="Arial" w:eastAsia="Arial" w:hint="default"/>
                <w:spacing w:val="-8"/>
                <w:sz w:val="20"/>
                <w:szCs w:val="20"/>
              </w:rPr>
              <w:t> </w:t>
            </w:r>
            <w:r>
              <w:rPr>
                <w:rFonts w:ascii="黑体" w:hAnsi="黑体" w:cs="黑体" w:eastAsia="黑体" w:hint="default"/>
                <w:sz w:val="20"/>
                <w:szCs w:val="20"/>
              </w:rPr>
              <w:t>日</w:t>
            </w:r>
          </w:p>
        </w:tc>
      </w:tr>
      <w:tr>
        <w:trPr>
          <w:trHeight w:val="243" w:hRule="exact"/>
        </w:trPr>
        <w:tc>
          <w:tcPr>
            <w:tcW w:w="1194" w:type="dxa"/>
            <w:tcBorders>
              <w:top w:val="nil" w:sz="6" w:space="0" w:color="auto"/>
              <w:left w:val="nil" w:sz="6" w:space="0" w:color="auto"/>
              <w:bottom w:val="nil" w:sz="6" w:space="0" w:color="auto"/>
              <w:right w:val="nil" w:sz="6" w:space="0" w:color="auto"/>
            </w:tcBorders>
          </w:tcPr>
          <w:p>
            <w:pPr/>
          </w:p>
        </w:tc>
        <w:tc>
          <w:tcPr>
            <w:tcW w:w="1957" w:type="dxa"/>
            <w:gridSpan w:val="2"/>
            <w:tcBorders>
              <w:top w:val="single" w:sz="4" w:space="0" w:color="000000"/>
              <w:left w:val="nil" w:sz="6" w:space="0" w:color="auto"/>
              <w:bottom w:val="nil" w:sz="6" w:space="0" w:color="auto"/>
              <w:right w:val="nil" w:sz="6" w:space="0" w:color="auto"/>
            </w:tcBorders>
          </w:tcPr>
          <w:p>
            <w:pPr>
              <w:pStyle w:val="TableParagraph"/>
              <w:spacing w:line="211" w:lineRule="exact"/>
              <w:ind w:left="902" w:right="0"/>
              <w:jc w:val="left"/>
              <w:rPr>
                <w:rFonts w:ascii="黑体" w:hAnsi="黑体" w:cs="黑体" w:eastAsia="黑体" w:hint="default"/>
                <w:sz w:val="20"/>
                <w:szCs w:val="20"/>
              </w:rPr>
            </w:pPr>
            <w:r>
              <w:rPr>
                <w:rFonts w:ascii="黑体" w:hAnsi="黑体" w:cs="黑体" w:eastAsia="黑体" w:hint="default"/>
                <w:sz w:val="20"/>
                <w:szCs w:val="20"/>
              </w:rPr>
              <w:t>账面余额</w:t>
            </w:r>
          </w:p>
        </w:tc>
        <w:tc>
          <w:tcPr>
            <w:tcW w:w="1363" w:type="dxa"/>
            <w:tcBorders>
              <w:top w:val="single" w:sz="4" w:space="0" w:color="000000"/>
              <w:left w:val="nil" w:sz="6" w:space="0" w:color="auto"/>
              <w:bottom w:val="nil" w:sz="6" w:space="0" w:color="auto"/>
              <w:right w:val="nil" w:sz="6" w:space="0" w:color="auto"/>
            </w:tcBorders>
          </w:tcPr>
          <w:p>
            <w:pPr>
              <w:pStyle w:val="TableParagraph"/>
              <w:spacing w:line="211" w:lineRule="exact"/>
              <w:ind w:right="202"/>
              <w:jc w:val="right"/>
              <w:rPr>
                <w:rFonts w:ascii="黑体" w:hAnsi="黑体" w:cs="黑体" w:eastAsia="黑体" w:hint="default"/>
                <w:sz w:val="20"/>
                <w:szCs w:val="20"/>
              </w:rPr>
            </w:pPr>
            <w:r>
              <w:rPr>
                <w:rFonts w:ascii="黑体" w:hAnsi="黑体" w:cs="黑体" w:eastAsia="黑体" w:hint="default"/>
                <w:w w:val="95"/>
                <w:sz w:val="20"/>
                <w:szCs w:val="20"/>
              </w:rPr>
              <w:t>坏账准备</w:t>
            </w:r>
            <w:r>
              <w:rPr>
                <w:rFonts w:ascii="黑体" w:hAnsi="黑体" w:cs="黑体" w:eastAsia="黑体" w:hint="default"/>
                <w:sz w:val="20"/>
                <w:szCs w:val="20"/>
              </w:rPr>
            </w:r>
          </w:p>
        </w:tc>
        <w:tc>
          <w:tcPr>
            <w:tcW w:w="2158" w:type="dxa"/>
            <w:gridSpan w:val="2"/>
            <w:tcBorders>
              <w:top w:val="single" w:sz="4" w:space="0" w:color="000000"/>
              <w:left w:val="nil" w:sz="6" w:space="0" w:color="auto"/>
              <w:bottom w:val="nil" w:sz="6" w:space="0" w:color="auto"/>
              <w:right w:val="nil" w:sz="6" w:space="0" w:color="auto"/>
            </w:tcBorders>
          </w:tcPr>
          <w:p>
            <w:pPr>
              <w:pStyle w:val="TableParagraph"/>
              <w:spacing w:line="211" w:lineRule="exact"/>
              <w:ind w:left="932" w:right="0"/>
              <w:jc w:val="left"/>
              <w:rPr>
                <w:rFonts w:ascii="黑体" w:hAnsi="黑体" w:cs="黑体" w:eastAsia="黑体" w:hint="default"/>
                <w:sz w:val="20"/>
                <w:szCs w:val="20"/>
              </w:rPr>
            </w:pPr>
            <w:r>
              <w:rPr>
                <w:rFonts w:ascii="黑体" w:hAnsi="黑体" w:cs="黑体" w:eastAsia="黑体" w:hint="default"/>
                <w:sz w:val="20"/>
                <w:szCs w:val="20"/>
              </w:rPr>
              <w:t>账面余额</w:t>
            </w:r>
          </w:p>
        </w:tc>
        <w:tc>
          <w:tcPr>
            <w:tcW w:w="1326" w:type="dxa"/>
            <w:tcBorders>
              <w:top w:val="single" w:sz="4" w:space="0" w:color="000000"/>
              <w:left w:val="nil" w:sz="6" w:space="0" w:color="auto"/>
              <w:bottom w:val="nil" w:sz="6" w:space="0" w:color="auto"/>
              <w:right w:val="nil" w:sz="6" w:space="0" w:color="auto"/>
            </w:tcBorders>
          </w:tcPr>
          <w:p>
            <w:pPr>
              <w:pStyle w:val="TableParagraph"/>
              <w:spacing w:line="211" w:lineRule="exact"/>
              <w:ind w:right="2"/>
              <w:jc w:val="right"/>
              <w:rPr>
                <w:rFonts w:ascii="黑体" w:hAnsi="黑体" w:cs="黑体" w:eastAsia="黑体" w:hint="default"/>
                <w:sz w:val="20"/>
                <w:szCs w:val="20"/>
              </w:rPr>
            </w:pPr>
            <w:r>
              <w:rPr>
                <w:rFonts w:ascii="黑体" w:hAnsi="黑体" w:cs="黑体" w:eastAsia="黑体" w:hint="default"/>
                <w:w w:val="95"/>
                <w:sz w:val="20"/>
                <w:szCs w:val="20"/>
              </w:rPr>
              <w:t>坏账准备</w:t>
            </w:r>
            <w:r>
              <w:rPr>
                <w:rFonts w:ascii="黑体" w:hAnsi="黑体" w:cs="黑体" w:eastAsia="黑体" w:hint="default"/>
                <w:sz w:val="20"/>
                <w:szCs w:val="20"/>
              </w:rPr>
            </w:r>
          </w:p>
        </w:tc>
      </w:tr>
      <w:tr>
        <w:trPr>
          <w:trHeight w:val="259" w:hRule="exact"/>
        </w:trPr>
        <w:tc>
          <w:tcPr>
            <w:tcW w:w="1194"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Style w:val="TableParagraph"/>
              <w:spacing w:line="227" w:lineRule="exact"/>
              <w:ind w:right="82"/>
              <w:jc w:val="right"/>
              <w:rPr>
                <w:rFonts w:ascii="黑体" w:hAnsi="黑体" w:cs="黑体" w:eastAsia="黑体" w:hint="default"/>
                <w:sz w:val="20"/>
                <w:szCs w:val="20"/>
              </w:rPr>
            </w:pPr>
            <w:r>
              <w:rPr>
                <w:rFonts w:ascii="黑体" w:hAnsi="黑体" w:cs="黑体" w:eastAsia="黑体" w:hint="default"/>
                <w:w w:val="95"/>
                <w:sz w:val="20"/>
                <w:szCs w:val="20"/>
              </w:rPr>
              <w:t>金额</w:t>
            </w:r>
            <w:r>
              <w:rPr>
                <w:rFonts w:ascii="黑体" w:hAnsi="黑体" w:cs="黑体" w:eastAsia="黑体" w:hint="default"/>
                <w:sz w:val="20"/>
                <w:szCs w:val="20"/>
              </w:rPr>
            </w:r>
          </w:p>
        </w:tc>
        <w:tc>
          <w:tcPr>
            <w:tcW w:w="743" w:type="dxa"/>
            <w:tcBorders>
              <w:top w:val="nil" w:sz="6" w:space="0" w:color="auto"/>
              <w:left w:val="nil" w:sz="6" w:space="0" w:color="auto"/>
              <w:bottom w:val="nil" w:sz="6" w:space="0" w:color="auto"/>
              <w:right w:val="nil" w:sz="6" w:space="0" w:color="auto"/>
            </w:tcBorders>
          </w:tcPr>
          <w:p>
            <w:pPr>
              <w:pStyle w:val="TableParagraph"/>
              <w:spacing w:line="227" w:lineRule="exact"/>
              <w:ind w:right="258"/>
              <w:jc w:val="right"/>
              <w:rPr>
                <w:rFonts w:ascii="黑体" w:hAnsi="黑体" w:cs="黑体" w:eastAsia="黑体" w:hint="default"/>
                <w:sz w:val="20"/>
                <w:szCs w:val="20"/>
              </w:rPr>
            </w:pPr>
            <w:r>
              <w:rPr>
                <w:rFonts w:ascii="黑体" w:hAnsi="黑体" w:cs="黑体" w:eastAsia="黑体" w:hint="default"/>
                <w:w w:val="95"/>
                <w:sz w:val="20"/>
                <w:szCs w:val="20"/>
              </w:rPr>
              <w:t>比例</w:t>
            </w:r>
            <w:r>
              <w:rPr>
                <w:rFonts w:ascii="黑体" w:hAnsi="黑体" w:cs="黑体" w:eastAsia="黑体" w:hint="default"/>
                <w:sz w:val="20"/>
                <w:szCs w:val="20"/>
              </w:rPr>
            </w:r>
          </w:p>
        </w:tc>
        <w:tc>
          <w:tcPr>
            <w:tcW w:w="1363" w:type="dxa"/>
            <w:tcBorders>
              <w:top w:val="nil" w:sz="6" w:space="0" w:color="auto"/>
              <w:left w:val="nil" w:sz="6" w:space="0" w:color="auto"/>
              <w:bottom w:val="nil" w:sz="6" w:space="0" w:color="auto"/>
              <w:right w:val="nil" w:sz="6" w:space="0" w:color="auto"/>
            </w:tcBorders>
          </w:tcPr>
          <w:p>
            <w:pPr>
              <w:pStyle w:val="TableParagraph"/>
              <w:spacing w:line="227" w:lineRule="exact"/>
              <w:ind w:right="202"/>
              <w:jc w:val="right"/>
              <w:rPr>
                <w:rFonts w:ascii="黑体" w:hAnsi="黑体" w:cs="黑体" w:eastAsia="黑体" w:hint="default"/>
                <w:sz w:val="20"/>
                <w:szCs w:val="20"/>
              </w:rPr>
            </w:pPr>
            <w:r>
              <w:rPr>
                <w:rFonts w:ascii="黑体" w:hAnsi="黑体" w:cs="黑体" w:eastAsia="黑体" w:hint="default"/>
                <w:w w:val="95"/>
                <w:sz w:val="20"/>
                <w:szCs w:val="20"/>
              </w:rPr>
              <w:t>金额</w:t>
            </w:r>
            <w:r>
              <w:rPr>
                <w:rFonts w:ascii="黑体" w:hAnsi="黑体" w:cs="黑体" w:eastAsia="黑体" w:hint="default"/>
                <w:sz w:val="20"/>
                <w:szCs w:val="20"/>
              </w:rPr>
            </w:r>
          </w:p>
        </w:tc>
        <w:tc>
          <w:tcPr>
            <w:tcW w:w="1272" w:type="dxa"/>
            <w:tcBorders>
              <w:top w:val="nil" w:sz="6" w:space="0" w:color="auto"/>
              <w:left w:val="nil" w:sz="6" w:space="0" w:color="auto"/>
              <w:bottom w:val="nil" w:sz="6" w:space="0" w:color="auto"/>
              <w:right w:val="nil" w:sz="6" w:space="0" w:color="auto"/>
            </w:tcBorders>
          </w:tcPr>
          <w:p>
            <w:pPr>
              <w:pStyle w:val="TableParagraph"/>
              <w:spacing w:line="227" w:lineRule="exact"/>
              <w:ind w:right="59"/>
              <w:jc w:val="right"/>
              <w:rPr>
                <w:rFonts w:ascii="黑体" w:hAnsi="黑体" w:cs="黑体" w:eastAsia="黑体" w:hint="default"/>
                <w:sz w:val="20"/>
                <w:szCs w:val="20"/>
              </w:rPr>
            </w:pPr>
            <w:r>
              <w:rPr>
                <w:rFonts w:ascii="黑体" w:hAnsi="黑体" w:cs="黑体" w:eastAsia="黑体" w:hint="default"/>
                <w:w w:val="95"/>
                <w:sz w:val="20"/>
                <w:szCs w:val="20"/>
              </w:rPr>
              <w:t>金额</w:t>
            </w:r>
            <w:r>
              <w:rPr>
                <w:rFonts w:ascii="黑体" w:hAnsi="黑体" w:cs="黑体" w:eastAsia="黑体" w:hint="default"/>
                <w:sz w:val="20"/>
                <w:szCs w:val="20"/>
              </w:rPr>
            </w:r>
          </w:p>
        </w:tc>
        <w:tc>
          <w:tcPr>
            <w:tcW w:w="886" w:type="dxa"/>
            <w:tcBorders>
              <w:top w:val="nil" w:sz="6" w:space="0" w:color="auto"/>
              <w:left w:val="nil" w:sz="6" w:space="0" w:color="auto"/>
              <w:bottom w:val="nil" w:sz="6" w:space="0" w:color="auto"/>
              <w:right w:val="nil" w:sz="6" w:space="0" w:color="auto"/>
            </w:tcBorders>
          </w:tcPr>
          <w:p>
            <w:pPr>
              <w:pStyle w:val="TableParagraph"/>
              <w:spacing w:line="227" w:lineRule="exact"/>
              <w:ind w:right="423"/>
              <w:jc w:val="right"/>
              <w:rPr>
                <w:rFonts w:ascii="黑体" w:hAnsi="黑体" w:cs="黑体" w:eastAsia="黑体" w:hint="default"/>
                <w:sz w:val="20"/>
                <w:szCs w:val="20"/>
              </w:rPr>
            </w:pPr>
            <w:r>
              <w:rPr>
                <w:rFonts w:ascii="黑体" w:hAnsi="黑体" w:cs="黑体" w:eastAsia="黑体" w:hint="default"/>
                <w:w w:val="95"/>
                <w:sz w:val="20"/>
                <w:szCs w:val="20"/>
              </w:rPr>
              <w:t>比例</w:t>
            </w:r>
            <w:r>
              <w:rPr>
                <w:rFonts w:ascii="黑体" w:hAnsi="黑体" w:cs="黑体" w:eastAsia="黑体" w:hint="default"/>
                <w:sz w:val="20"/>
                <w:szCs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27" w:lineRule="exact"/>
              <w:ind w:right="0"/>
              <w:jc w:val="right"/>
              <w:rPr>
                <w:rFonts w:ascii="黑体" w:hAnsi="黑体" w:cs="黑体" w:eastAsia="黑体" w:hint="default"/>
                <w:sz w:val="20"/>
                <w:szCs w:val="20"/>
              </w:rPr>
            </w:pPr>
            <w:r>
              <w:rPr>
                <w:rFonts w:ascii="黑体" w:hAnsi="黑体" w:cs="黑体" w:eastAsia="黑体" w:hint="default"/>
                <w:w w:val="95"/>
                <w:sz w:val="20"/>
                <w:szCs w:val="20"/>
              </w:rPr>
              <w:t>金额</w:t>
            </w:r>
            <w:r>
              <w:rPr>
                <w:rFonts w:ascii="黑体" w:hAnsi="黑体" w:cs="黑体" w:eastAsia="黑体" w:hint="default"/>
                <w:sz w:val="20"/>
                <w:szCs w:val="20"/>
              </w:rPr>
            </w:r>
          </w:p>
        </w:tc>
      </w:tr>
      <w:tr>
        <w:trPr>
          <w:trHeight w:val="383" w:hRule="exact"/>
        </w:trPr>
        <w:tc>
          <w:tcPr>
            <w:tcW w:w="1194"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57"/>
              <w:jc w:val="right"/>
              <w:rPr>
                <w:rFonts w:ascii="Arial" w:hAnsi="Arial" w:cs="Arial" w:eastAsia="Arial" w:hint="default"/>
                <w:sz w:val="20"/>
                <w:szCs w:val="20"/>
              </w:rPr>
            </w:pPr>
            <w:r>
              <w:rPr>
                <w:rFonts w:ascii="Arial"/>
                <w:w w:val="95"/>
                <w:sz w:val="20"/>
              </w:rPr>
              <w:t>(%)</w:t>
            </w:r>
            <w:r>
              <w:rPr>
                <w:rFonts w:ascii="Arial"/>
                <w:sz w:val="20"/>
              </w:rPr>
            </w:r>
          </w:p>
        </w:tc>
        <w:tc>
          <w:tcPr>
            <w:tcW w:w="1363"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22"/>
              <w:jc w:val="right"/>
              <w:rPr>
                <w:rFonts w:ascii="Arial" w:hAnsi="Arial" w:cs="Arial" w:eastAsia="Arial" w:hint="default"/>
                <w:sz w:val="20"/>
                <w:szCs w:val="20"/>
              </w:rPr>
            </w:pPr>
            <w:r>
              <w:rPr>
                <w:rFonts w:ascii="Arial"/>
                <w:w w:val="95"/>
                <w:sz w:val="20"/>
              </w:rPr>
              <w:t>(%)</w:t>
            </w:r>
            <w:r>
              <w:rPr>
                <w:rFonts w:ascii="Arial"/>
                <w:sz w:val="20"/>
              </w:rPr>
            </w:r>
          </w:p>
        </w:tc>
        <w:tc>
          <w:tcPr>
            <w:tcW w:w="1326" w:type="dxa"/>
            <w:tcBorders>
              <w:top w:val="nil" w:sz="6" w:space="0" w:color="auto"/>
              <w:left w:val="nil" w:sz="6" w:space="0" w:color="auto"/>
              <w:bottom w:val="nil" w:sz="6" w:space="0" w:color="auto"/>
              <w:right w:val="nil" w:sz="6" w:space="0" w:color="auto"/>
            </w:tcBorders>
          </w:tcPr>
          <w:p>
            <w:pPr/>
          </w:p>
        </w:tc>
      </w:tr>
      <w:tr>
        <w:trPr>
          <w:trHeight w:val="383"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00" w:right="0"/>
              <w:jc w:val="lef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9"/>
                <w:sz w:val="20"/>
                <w:szCs w:val="20"/>
              </w:rPr>
              <w:t> </w:t>
            </w:r>
            <w:r>
              <w:rPr>
                <w:rFonts w:ascii="黑体" w:hAnsi="黑体" w:cs="黑体" w:eastAsia="黑体" w:hint="default"/>
                <w:sz w:val="20"/>
                <w:szCs w:val="20"/>
              </w:rPr>
              <w:t>年以内</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82"/>
              <w:jc w:val="right"/>
              <w:rPr>
                <w:rFonts w:ascii="Arial" w:hAnsi="Arial" w:cs="Arial" w:eastAsia="Arial" w:hint="default"/>
                <w:sz w:val="20"/>
                <w:szCs w:val="20"/>
              </w:rPr>
            </w:pPr>
            <w:r>
              <w:rPr>
                <w:rFonts w:ascii="Arial"/>
                <w:spacing w:val="-1"/>
                <w:sz w:val="20"/>
              </w:rPr>
              <w:t>10,776,722</w:t>
            </w:r>
            <w:r>
              <w:rPr>
                <w:rFonts w:ascii="Arial"/>
                <w:sz w:val="20"/>
              </w:rPr>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58"/>
              <w:jc w:val="right"/>
              <w:rPr>
                <w:rFonts w:ascii="Arial" w:hAnsi="Arial" w:cs="Arial" w:eastAsia="Arial" w:hint="default"/>
                <w:sz w:val="20"/>
                <w:szCs w:val="20"/>
              </w:rPr>
            </w:pPr>
            <w:r>
              <w:rPr>
                <w:rFonts w:ascii="Arial"/>
                <w:spacing w:val="-1"/>
                <w:w w:val="95"/>
                <w:sz w:val="20"/>
              </w:rPr>
              <w:t>59</w:t>
            </w:r>
            <w:r>
              <w:rPr>
                <w:rFonts w:ascii="Arial"/>
                <w:sz w:val="20"/>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01"/>
              <w:jc w:val="right"/>
              <w:rPr>
                <w:rFonts w:ascii="Arial" w:hAnsi="Arial" w:cs="Arial" w:eastAsia="Arial" w:hint="default"/>
                <w:sz w:val="20"/>
                <w:szCs w:val="20"/>
              </w:rPr>
            </w:pPr>
            <w:r>
              <w:rPr>
                <w:rFonts w:ascii="Arial"/>
                <w:w w:val="99"/>
                <w:sz w:val="20"/>
              </w:rPr>
              <w:t>-</w:t>
            </w:r>
            <w:r>
              <w:rPr>
                <w:rFonts w:ascii="Arial"/>
                <w:sz w:val="20"/>
              </w:rPr>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59"/>
              <w:jc w:val="right"/>
              <w:rPr>
                <w:rFonts w:ascii="Arial" w:hAnsi="Arial" w:cs="Arial" w:eastAsia="Arial" w:hint="default"/>
                <w:sz w:val="20"/>
                <w:szCs w:val="20"/>
              </w:rPr>
            </w:pPr>
            <w:r>
              <w:rPr>
                <w:rFonts w:ascii="Arial"/>
                <w:spacing w:val="-1"/>
                <w:sz w:val="20"/>
              </w:rPr>
              <w:t>5,012,607</w:t>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424"/>
              <w:jc w:val="right"/>
              <w:rPr>
                <w:rFonts w:ascii="Arial" w:hAnsi="Arial" w:cs="Arial" w:eastAsia="Arial" w:hint="default"/>
                <w:sz w:val="20"/>
                <w:szCs w:val="20"/>
              </w:rPr>
            </w:pPr>
            <w:r>
              <w:rPr>
                <w:rFonts w:ascii="Arial"/>
                <w:spacing w:val="-1"/>
                <w:w w:val="95"/>
                <w:sz w:val="20"/>
              </w:rPr>
              <w:t>36</w:t>
            </w:r>
            <w:r>
              <w:rPr>
                <w:rFonts w:ascii="Arial"/>
                <w:sz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0"/>
              <w:jc w:val="right"/>
              <w:rPr>
                <w:rFonts w:ascii="Arial" w:hAnsi="Arial" w:cs="Arial" w:eastAsia="Arial" w:hint="default"/>
                <w:sz w:val="20"/>
                <w:szCs w:val="20"/>
              </w:rPr>
            </w:pPr>
            <w:r>
              <w:rPr>
                <w:rFonts w:ascii="Arial"/>
                <w:w w:val="99"/>
                <w:sz w:val="20"/>
              </w:rPr>
              <w:t>-</w:t>
            </w:r>
            <w:r>
              <w:rPr>
                <w:rFonts w:ascii="Arial"/>
                <w:sz w:val="20"/>
              </w:rPr>
            </w:r>
          </w:p>
        </w:tc>
      </w:tr>
      <w:tr>
        <w:trPr>
          <w:trHeight w:val="256"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36" w:lineRule="exact"/>
              <w:ind w:left="200" w:right="0"/>
              <w:jc w:val="left"/>
              <w:rPr>
                <w:rFonts w:ascii="黑体" w:hAnsi="黑体" w:cs="黑体" w:eastAsia="黑体" w:hint="default"/>
                <w:sz w:val="20"/>
                <w:szCs w:val="20"/>
              </w:rPr>
            </w:pPr>
            <w:r>
              <w:rPr>
                <w:rFonts w:ascii="Arial" w:hAnsi="Arial" w:cs="Arial" w:eastAsia="Arial" w:hint="default"/>
                <w:sz w:val="20"/>
                <w:szCs w:val="20"/>
              </w:rPr>
              <w:t>1-2</w:t>
            </w:r>
            <w:r>
              <w:rPr>
                <w:rFonts w:ascii="Arial" w:hAnsi="Arial" w:cs="Arial" w:eastAsia="Arial" w:hint="default"/>
                <w:spacing w:val="-9"/>
                <w:sz w:val="20"/>
                <w:szCs w:val="20"/>
              </w:rPr>
              <w:t> </w:t>
            </w:r>
            <w:r>
              <w:rPr>
                <w:rFonts w:ascii="黑体" w:hAnsi="黑体" w:cs="黑体" w:eastAsia="黑体" w:hint="default"/>
                <w:sz w:val="20"/>
                <w:szCs w:val="20"/>
              </w:rPr>
              <w:t>年</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3"/>
              <w:jc w:val="right"/>
              <w:rPr>
                <w:rFonts w:ascii="Arial" w:hAnsi="Arial" w:cs="Arial" w:eastAsia="Arial" w:hint="default"/>
                <w:sz w:val="20"/>
                <w:szCs w:val="20"/>
              </w:rPr>
            </w:pPr>
            <w:r>
              <w:rPr>
                <w:rFonts w:ascii="Arial"/>
                <w:spacing w:val="-1"/>
                <w:sz w:val="20"/>
              </w:rPr>
              <w:t>1,698,670</w:t>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55"/>
              <w:jc w:val="right"/>
              <w:rPr>
                <w:rFonts w:ascii="Arial" w:hAnsi="Arial" w:cs="Arial" w:eastAsia="Arial" w:hint="default"/>
                <w:sz w:val="20"/>
                <w:szCs w:val="20"/>
              </w:rPr>
            </w:pPr>
            <w:r>
              <w:rPr>
                <w:rFonts w:ascii="Arial"/>
                <w:w w:val="99"/>
                <w:sz w:val="20"/>
              </w:rPr>
              <w:t>9</w:t>
            </w:r>
            <w:r>
              <w:rPr>
                <w:rFonts w:ascii="Arial"/>
                <w:sz w:val="20"/>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03"/>
              <w:jc w:val="right"/>
              <w:rPr>
                <w:rFonts w:ascii="Arial" w:hAnsi="Arial" w:cs="Arial" w:eastAsia="Arial" w:hint="default"/>
                <w:sz w:val="20"/>
                <w:szCs w:val="20"/>
              </w:rPr>
            </w:pPr>
            <w:r>
              <w:rPr>
                <w:rFonts w:ascii="Arial"/>
                <w:spacing w:val="-1"/>
                <w:w w:val="95"/>
                <w:sz w:val="20"/>
              </w:rPr>
              <w:t>339,734</w:t>
            </w:r>
            <w:r>
              <w:rPr>
                <w:rFonts w:ascii="Arial"/>
                <w:sz w:val="20"/>
              </w:rPr>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8"/>
              <w:jc w:val="right"/>
              <w:rPr>
                <w:rFonts w:ascii="Arial" w:hAnsi="Arial" w:cs="Arial" w:eastAsia="Arial" w:hint="default"/>
                <w:sz w:val="20"/>
                <w:szCs w:val="20"/>
              </w:rPr>
            </w:pPr>
            <w:r>
              <w:rPr>
                <w:rFonts w:ascii="Arial"/>
                <w:spacing w:val="-1"/>
                <w:sz w:val="20"/>
              </w:rPr>
              <w:t>5,639,673</w:t>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24"/>
              <w:jc w:val="right"/>
              <w:rPr>
                <w:rFonts w:ascii="Arial" w:hAnsi="Arial" w:cs="Arial" w:eastAsia="Arial" w:hint="default"/>
                <w:sz w:val="20"/>
                <w:szCs w:val="20"/>
              </w:rPr>
            </w:pPr>
            <w:r>
              <w:rPr>
                <w:rFonts w:ascii="Arial"/>
                <w:spacing w:val="-1"/>
                <w:w w:val="95"/>
                <w:sz w:val="20"/>
              </w:rPr>
              <w:t>41</w:t>
            </w:r>
            <w:r>
              <w:rPr>
                <w:rFonts w:ascii="Arial"/>
                <w:sz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
              <w:jc w:val="right"/>
              <w:rPr>
                <w:rFonts w:ascii="Arial" w:hAnsi="Arial" w:cs="Arial" w:eastAsia="Arial" w:hint="default"/>
                <w:sz w:val="20"/>
                <w:szCs w:val="20"/>
              </w:rPr>
            </w:pPr>
            <w:r>
              <w:rPr>
                <w:rFonts w:ascii="Arial"/>
                <w:spacing w:val="-1"/>
                <w:sz w:val="20"/>
              </w:rPr>
              <w:t>1,127,935</w:t>
            </w:r>
          </w:p>
        </w:tc>
      </w:tr>
      <w:tr>
        <w:trPr>
          <w:trHeight w:val="254"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黑体" w:hAnsi="黑体" w:cs="黑体" w:eastAsia="黑体" w:hint="default"/>
                <w:sz w:val="20"/>
                <w:szCs w:val="20"/>
              </w:rPr>
            </w:pPr>
            <w:r>
              <w:rPr>
                <w:rFonts w:ascii="Arial" w:hAnsi="Arial" w:cs="Arial" w:eastAsia="Arial" w:hint="default"/>
                <w:sz w:val="20"/>
                <w:szCs w:val="20"/>
              </w:rPr>
              <w:t>2-3</w:t>
            </w:r>
            <w:r>
              <w:rPr>
                <w:rFonts w:ascii="Arial" w:hAnsi="Arial" w:cs="Arial" w:eastAsia="Arial" w:hint="default"/>
                <w:spacing w:val="-9"/>
                <w:sz w:val="20"/>
                <w:szCs w:val="20"/>
              </w:rPr>
              <w:t> </w:t>
            </w:r>
            <w:r>
              <w:rPr>
                <w:rFonts w:ascii="黑体" w:hAnsi="黑体" w:cs="黑体" w:eastAsia="黑体" w:hint="default"/>
                <w:sz w:val="20"/>
                <w:szCs w:val="20"/>
              </w:rPr>
              <w:t>年</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3"/>
              <w:jc w:val="right"/>
              <w:rPr>
                <w:rFonts w:ascii="Arial" w:hAnsi="Arial" w:cs="Arial" w:eastAsia="Arial" w:hint="default"/>
                <w:sz w:val="20"/>
                <w:szCs w:val="20"/>
              </w:rPr>
            </w:pPr>
            <w:r>
              <w:rPr>
                <w:rFonts w:ascii="Arial"/>
                <w:spacing w:val="-1"/>
                <w:sz w:val="20"/>
              </w:rPr>
              <w:t>2,017,713</w:t>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58"/>
              <w:jc w:val="right"/>
              <w:rPr>
                <w:rFonts w:ascii="Arial" w:hAnsi="Arial" w:cs="Arial" w:eastAsia="Arial" w:hint="default"/>
                <w:sz w:val="20"/>
                <w:szCs w:val="20"/>
              </w:rPr>
            </w:pPr>
            <w:r>
              <w:rPr>
                <w:rFonts w:ascii="Arial"/>
                <w:spacing w:val="-1"/>
                <w:w w:val="95"/>
                <w:sz w:val="20"/>
              </w:rPr>
              <w:t>11</w:t>
            </w:r>
            <w:r>
              <w:rPr>
                <w:rFonts w:ascii="Arial"/>
                <w:sz w:val="20"/>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03"/>
              <w:jc w:val="right"/>
              <w:rPr>
                <w:rFonts w:ascii="Arial" w:hAnsi="Arial" w:cs="Arial" w:eastAsia="Arial" w:hint="default"/>
                <w:sz w:val="20"/>
                <w:szCs w:val="20"/>
              </w:rPr>
            </w:pPr>
            <w:r>
              <w:rPr>
                <w:rFonts w:ascii="Arial"/>
                <w:spacing w:val="-1"/>
                <w:w w:val="95"/>
                <w:sz w:val="20"/>
              </w:rPr>
              <w:t>807,085</w:t>
            </w:r>
            <w:r>
              <w:rPr>
                <w:rFonts w:ascii="Arial"/>
                <w:sz w:val="20"/>
              </w:rPr>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8"/>
              <w:jc w:val="right"/>
              <w:rPr>
                <w:rFonts w:ascii="Arial" w:hAnsi="Arial" w:cs="Arial" w:eastAsia="Arial" w:hint="default"/>
                <w:sz w:val="20"/>
                <w:szCs w:val="20"/>
              </w:rPr>
            </w:pPr>
            <w:r>
              <w:rPr>
                <w:rFonts w:ascii="Arial"/>
                <w:spacing w:val="-1"/>
                <w:sz w:val="20"/>
              </w:rPr>
              <w:t>1,800,020</w:t>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4"/>
              <w:jc w:val="right"/>
              <w:rPr>
                <w:rFonts w:ascii="Arial" w:hAnsi="Arial" w:cs="Arial" w:eastAsia="Arial" w:hint="default"/>
                <w:sz w:val="20"/>
                <w:szCs w:val="20"/>
              </w:rPr>
            </w:pPr>
            <w:r>
              <w:rPr>
                <w:rFonts w:ascii="Arial"/>
                <w:spacing w:val="-1"/>
                <w:w w:val="95"/>
                <w:sz w:val="20"/>
              </w:rPr>
              <w:t>13</w:t>
            </w:r>
            <w:r>
              <w:rPr>
                <w:rFonts w:ascii="Arial"/>
                <w:sz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
              <w:jc w:val="right"/>
              <w:rPr>
                <w:rFonts w:ascii="Arial" w:hAnsi="Arial" w:cs="Arial" w:eastAsia="Arial" w:hint="default"/>
                <w:sz w:val="20"/>
                <w:szCs w:val="20"/>
              </w:rPr>
            </w:pPr>
            <w:r>
              <w:rPr>
                <w:rFonts w:ascii="Arial"/>
                <w:spacing w:val="-1"/>
                <w:w w:val="95"/>
                <w:sz w:val="20"/>
              </w:rPr>
              <w:t>720,008</w:t>
            </w:r>
            <w:r>
              <w:rPr>
                <w:rFonts w:ascii="Arial"/>
                <w:sz w:val="20"/>
              </w:rPr>
            </w:r>
          </w:p>
        </w:tc>
      </w:tr>
      <w:tr>
        <w:trPr>
          <w:trHeight w:val="388" w:hRule="exact"/>
        </w:trPr>
        <w:tc>
          <w:tcPr>
            <w:tcW w:w="1194"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黑体" w:hAnsi="黑体" w:cs="黑体" w:eastAsia="黑体" w:hint="default"/>
                <w:sz w:val="20"/>
                <w:szCs w:val="20"/>
              </w:rPr>
            </w:pPr>
            <w:r>
              <w:rPr>
                <w:rFonts w:ascii="Arial" w:hAnsi="Arial" w:cs="Arial" w:eastAsia="Arial" w:hint="default"/>
                <w:sz w:val="20"/>
                <w:szCs w:val="20"/>
              </w:rPr>
              <w:t>3</w:t>
            </w:r>
            <w:r>
              <w:rPr>
                <w:rFonts w:ascii="Arial" w:hAnsi="Arial" w:cs="Arial" w:eastAsia="Arial" w:hint="default"/>
                <w:spacing w:val="-9"/>
                <w:sz w:val="20"/>
                <w:szCs w:val="20"/>
              </w:rPr>
              <w:t> </w:t>
            </w:r>
            <w:r>
              <w:rPr>
                <w:rFonts w:ascii="黑体" w:hAnsi="黑体" w:cs="黑体" w:eastAsia="黑体" w:hint="default"/>
                <w:sz w:val="20"/>
                <w:szCs w:val="20"/>
              </w:rPr>
              <w:t>年以上</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1"/>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w w:val="95"/>
                <w:sz w:val="20"/>
                <w:u w:val="single" w:color="000000"/>
              </w:rPr>
              <w:t>3,911,562</w:t>
            </w:r>
            <w:r>
              <w:rPr>
                <w:rFonts w:ascii="Arial"/>
                <w:spacing w:val="-1"/>
                <w:w w:val="95"/>
                <w:sz w:val="20"/>
              </w:rPr>
            </w:r>
            <w:r>
              <w:rPr>
                <w:rFonts w:ascii="Arial"/>
                <w:sz w:val="20"/>
              </w:rPr>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65"/>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w w:val="95"/>
                <w:sz w:val="20"/>
                <w:u w:val="single" w:color="000000"/>
              </w:rPr>
              <w:t>21</w:t>
            </w:r>
            <w:r>
              <w:rPr>
                <w:rFonts w:ascii="Arial"/>
                <w:spacing w:val="-1"/>
                <w:w w:val="95"/>
                <w:sz w:val="20"/>
              </w:rPr>
            </w:r>
            <w:r>
              <w:rPr>
                <w:rFonts w:ascii="Arial"/>
                <w:sz w:val="20"/>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14"/>
              <w:jc w:val="right"/>
              <w:rPr>
                <w:rFonts w:ascii="Arial" w:hAnsi="Arial" w:cs="Arial" w:eastAsia="Arial" w:hint="default"/>
                <w:sz w:val="20"/>
                <w:szCs w:val="20"/>
              </w:rPr>
            </w:pPr>
            <w:r>
              <w:rPr>
                <w:rFonts w:ascii="Arial"/>
                <w:w w:val="99"/>
                <w:sz w:val="20"/>
              </w:rPr>
            </w:r>
            <w:r>
              <w:rPr>
                <w:rFonts w:ascii="Arial"/>
                <w:spacing w:val="-1"/>
                <w:sz w:val="20"/>
                <w:u w:val="single" w:color="000000"/>
              </w:rPr>
              <w:t>3,911,562</w:t>
            </w:r>
            <w:r>
              <w:rPr>
                <w:rFonts w:ascii="Arial"/>
                <w:spacing w:val="-1"/>
                <w:sz w:val="20"/>
              </w:rPr>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9"/>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w w:val="95"/>
                <w:sz w:val="20"/>
                <w:u w:val="single" w:color="000000"/>
              </w:rPr>
              <w:t>1,338,762</w:t>
            </w:r>
            <w:r>
              <w:rPr>
                <w:rFonts w:ascii="Arial"/>
                <w:spacing w:val="-1"/>
                <w:w w:val="95"/>
                <w:sz w:val="20"/>
              </w:rPr>
            </w:r>
            <w:r>
              <w:rPr>
                <w:rFonts w:ascii="Arial"/>
                <w:sz w:val="20"/>
              </w:rPr>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21"/>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w w:val="95"/>
                <w:sz w:val="20"/>
                <w:u w:val="single" w:color="000000"/>
              </w:rPr>
              <w:t>10</w:t>
            </w:r>
            <w:r>
              <w:rPr>
                <w:rFonts w:ascii="Arial"/>
                <w:spacing w:val="-1"/>
                <w:w w:val="95"/>
                <w:sz w:val="20"/>
              </w:rPr>
            </w:r>
            <w:r>
              <w:rPr>
                <w:rFonts w:ascii="Arial"/>
                <w:sz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
              <w:jc w:val="right"/>
              <w:rPr>
                <w:rFonts w:ascii="Arial" w:hAnsi="Arial" w:cs="Arial" w:eastAsia="Arial" w:hint="default"/>
                <w:sz w:val="20"/>
                <w:szCs w:val="20"/>
              </w:rPr>
            </w:pPr>
            <w:r>
              <w:rPr>
                <w:rFonts w:ascii="Arial"/>
                <w:w w:val="99"/>
                <w:sz w:val="20"/>
              </w:rPr>
            </w:r>
            <w:r>
              <w:rPr>
                <w:rFonts w:ascii="Arial"/>
                <w:spacing w:val="-1"/>
                <w:sz w:val="20"/>
                <w:u w:val="single" w:color="000000"/>
              </w:rPr>
              <w:t>1,338,762</w:t>
            </w:r>
            <w:r>
              <w:rPr>
                <w:rFonts w:ascii="Arial"/>
                <w:spacing w:val="-1"/>
                <w:sz w:val="20"/>
              </w:rPr>
            </w:r>
          </w:p>
        </w:tc>
      </w:tr>
      <w:tr>
        <w:trPr>
          <w:trHeight w:val="356" w:hRule="exact"/>
        </w:trPr>
        <w:tc>
          <w:tcPr>
            <w:tcW w:w="1194"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2"/>
              <w:jc w:val="right"/>
              <w:rPr>
                <w:rFonts w:ascii="Arial" w:hAnsi="Arial" w:cs="Arial" w:eastAsia="Arial" w:hint="default"/>
                <w:sz w:val="20"/>
                <w:szCs w:val="20"/>
              </w:rPr>
            </w:pPr>
            <w:r>
              <w:rPr>
                <w:rFonts w:ascii="Arial"/>
                <w:w w:val="99"/>
                <w:sz w:val="20"/>
              </w:rPr>
            </w:r>
            <w:r>
              <w:rPr>
                <w:rFonts w:ascii="Arial"/>
                <w:spacing w:val="-1"/>
                <w:sz w:val="20"/>
                <w:u w:val="thick" w:color="000000"/>
              </w:rPr>
              <w:t>18,404,667</w:t>
            </w:r>
            <w:r>
              <w:rPr>
                <w:rFonts w:ascii="Arial"/>
                <w:spacing w:val="-1"/>
                <w:sz w:val="20"/>
              </w:rPr>
            </w:r>
            <w:r>
              <w:rPr>
                <w:rFonts w:ascii="Arial"/>
                <w:sz w:val="20"/>
              </w:rPr>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58"/>
              <w:jc w:val="right"/>
              <w:rPr>
                <w:rFonts w:ascii="Arial" w:hAnsi="Arial" w:cs="Arial" w:eastAsia="Arial" w:hint="default"/>
                <w:sz w:val="20"/>
                <w:szCs w:val="20"/>
              </w:rPr>
            </w:pPr>
            <w:r>
              <w:rPr>
                <w:rFonts w:ascii="Arial"/>
                <w:w w:val="99"/>
                <w:sz w:val="20"/>
              </w:rPr>
            </w:r>
            <w:r>
              <w:rPr>
                <w:rFonts w:ascii="Arial"/>
                <w:spacing w:val="-1"/>
                <w:w w:val="95"/>
                <w:sz w:val="20"/>
                <w:u w:val="thick" w:color="000000"/>
              </w:rPr>
              <w:t>100</w:t>
            </w:r>
            <w:r>
              <w:rPr>
                <w:rFonts w:ascii="Arial"/>
                <w:spacing w:val="-1"/>
                <w:w w:val="95"/>
                <w:sz w:val="20"/>
              </w:rPr>
            </w:r>
            <w:r>
              <w:rPr>
                <w:rFonts w:ascii="Arial"/>
                <w:sz w:val="20"/>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14"/>
              <w:jc w:val="right"/>
              <w:rPr>
                <w:rFonts w:ascii="Arial" w:hAnsi="Arial" w:cs="Arial" w:eastAsia="Arial" w:hint="default"/>
                <w:sz w:val="20"/>
                <w:szCs w:val="20"/>
              </w:rPr>
            </w:pPr>
            <w:r>
              <w:rPr>
                <w:rFonts w:ascii="Arial"/>
                <w:w w:val="99"/>
                <w:sz w:val="20"/>
              </w:rPr>
            </w:r>
            <w:r>
              <w:rPr>
                <w:rFonts w:ascii="Arial"/>
                <w:spacing w:val="-1"/>
                <w:sz w:val="20"/>
                <w:u w:val="thick" w:color="000000"/>
              </w:rPr>
              <w:t>5,058,381</w:t>
            </w:r>
            <w:r>
              <w:rPr>
                <w:rFonts w:ascii="Arial"/>
                <w:spacing w:val="-1"/>
                <w:sz w:val="20"/>
              </w:rPr>
            </w: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69"/>
              <w:jc w:val="right"/>
              <w:rPr>
                <w:rFonts w:ascii="Arial" w:hAnsi="Arial" w:cs="Arial" w:eastAsia="Arial" w:hint="default"/>
                <w:sz w:val="20"/>
                <w:szCs w:val="20"/>
              </w:rPr>
            </w:pPr>
            <w:r>
              <w:rPr>
                <w:rFonts w:ascii="Arial"/>
                <w:w w:val="99"/>
                <w:sz w:val="20"/>
              </w:rPr>
            </w:r>
            <w:r>
              <w:rPr>
                <w:rFonts w:ascii="Arial"/>
                <w:spacing w:val="-1"/>
                <w:sz w:val="20"/>
                <w:u w:val="thick" w:color="000000"/>
              </w:rPr>
              <w:t>13,791,062</w:t>
            </w:r>
            <w:r>
              <w:rPr>
                <w:rFonts w:ascii="Arial"/>
                <w:spacing w:val="-1"/>
                <w:sz w:val="20"/>
              </w:rPr>
            </w:r>
            <w:r>
              <w:rPr>
                <w:rFonts w:ascii="Arial"/>
                <w:sz w:val="20"/>
              </w:rPr>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424"/>
              <w:jc w:val="right"/>
              <w:rPr>
                <w:rFonts w:ascii="Arial" w:hAnsi="Arial" w:cs="Arial" w:eastAsia="Arial" w:hint="default"/>
                <w:sz w:val="20"/>
                <w:szCs w:val="20"/>
              </w:rPr>
            </w:pPr>
            <w:r>
              <w:rPr>
                <w:rFonts w:ascii="Arial"/>
                <w:w w:val="99"/>
                <w:sz w:val="20"/>
              </w:rPr>
            </w:r>
            <w:r>
              <w:rPr>
                <w:rFonts w:ascii="Arial"/>
                <w:spacing w:val="-1"/>
                <w:w w:val="95"/>
                <w:sz w:val="20"/>
                <w:u w:val="thick" w:color="000000"/>
              </w:rPr>
              <w:t>100</w:t>
            </w:r>
            <w:r>
              <w:rPr>
                <w:rFonts w:ascii="Arial"/>
                <w:spacing w:val="-1"/>
                <w:w w:val="95"/>
                <w:sz w:val="20"/>
              </w:rPr>
            </w:r>
            <w:r>
              <w:rPr>
                <w:rFonts w:ascii="Arial"/>
                <w:sz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2"/>
              <w:jc w:val="right"/>
              <w:rPr>
                <w:rFonts w:ascii="Arial" w:hAnsi="Arial" w:cs="Arial" w:eastAsia="Arial" w:hint="default"/>
                <w:sz w:val="20"/>
                <w:szCs w:val="20"/>
              </w:rPr>
            </w:pPr>
            <w:r>
              <w:rPr>
                <w:rFonts w:ascii="Arial"/>
                <w:w w:val="99"/>
                <w:sz w:val="20"/>
              </w:rPr>
            </w:r>
            <w:r>
              <w:rPr>
                <w:rFonts w:ascii="Arial"/>
                <w:spacing w:val="-1"/>
                <w:sz w:val="20"/>
                <w:u w:val="thick" w:color="000000"/>
              </w:rPr>
              <w:t>3,186,705</w:t>
            </w:r>
            <w:r>
              <w:rPr>
                <w:rFonts w:ascii="Arial"/>
                <w:spacing w:val="-1"/>
                <w:sz w:val="20"/>
              </w:rPr>
            </w:r>
          </w:p>
        </w:tc>
      </w:tr>
    </w:tbl>
    <w:p>
      <w:pPr>
        <w:spacing w:line="240" w:lineRule="auto" w:before="6"/>
        <w:rPr>
          <w:rFonts w:ascii="黑体" w:hAnsi="黑体" w:cs="黑体" w:eastAsia="黑体" w:hint="default"/>
          <w:sz w:val="19"/>
          <w:szCs w:val="19"/>
        </w:rPr>
      </w:pPr>
    </w:p>
    <w:p>
      <w:pPr>
        <w:pStyle w:val="BodyText"/>
        <w:spacing w:line="240" w:lineRule="auto" w:before="37"/>
        <w:ind w:left="842" w:right="300"/>
        <w:jc w:val="left"/>
      </w:pP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日，单项金额虽不重大但单独计提坏账准备的其他应收款情况如下：</w:t>
      </w:r>
    </w:p>
    <w:p>
      <w:pPr>
        <w:spacing w:line="240" w:lineRule="auto" w:before="7"/>
        <w:rPr>
          <w:rFonts w:ascii="黑体" w:hAnsi="黑体" w:cs="黑体" w:eastAsia="黑体" w:hint="default"/>
          <w:sz w:val="29"/>
          <w:szCs w:val="29"/>
        </w:rPr>
      </w:pPr>
    </w:p>
    <w:tbl>
      <w:tblPr>
        <w:tblW w:w="0" w:type="auto"/>
        <w:jc w:val="left"/>
        <w:tblInd w:w="627" w:type="dxa"/>
        <w:tblLayout w:type="fixed"/>
        <w:tblCellMar>
          <w:top w:w="0" w:type="dxa"/>
          <w:left w:w="0" w:type="dxa"/>
          <w:bottom w:w="0" w:type="dxa"/>
          <w:right w:w="0" w:type="dxa"/>
        </w:tblCellMar>
        <w:tblLook w:val="01E0"/>
      </w:tblPr>
      <w:tblGrid>
        <w:gridCol w:w="2306"/>
        <w:gridCol w:w="1151"/>
        <w:gridCol w:w="1060"/>
        <w:gridCol w:w="1261"/>
        <w:gridCol w:w="2437"/>
      </w:tblGrid>
      <w:tr>
        <w:trPr>
          <w:trHeight w:val="236" w:hRule="exact"/>
        </w:trPr>
        <w:tc>
          <w:tcPr>
            <w:tcW w:w="2306" w:type="dxa"/>
            <w:tcBorders>
              <w:top w:val="nil" w:sz="6" w:space="0" w:color="auto"/>
              <w:left w:val="nil" w:sz="6" w:space="0" w:color="auto"/>
              <w:bottom w:val="nil" w:sz="6" w:space="0" w:color="auto"/>
              <w:right w:val="nil" w:sz="6" w:space="0" w:color="auto"/>
            </w:tcBorders>
          </w:tcPr>
          <w:p>
            <w:pPr/>
          </w:p>
        </w:tc>
        <w:tc>
          <w:tcPr>
            <w:tcW w:w="1151" w:type="dxa"/>
            <w:tcBorders>
              <w:top w:val="nil" w:sz="6" w:space="0" w:color="auto"/>
              <w:left w:val="nil" w:sz="6" w:space="0" w:color="auto"/>
              <w:bottom w:val="nil" w:sz="6" w:space="0" w:color="auto"/>
              <w:right w:val="nil" w:sz="6" w:space="0" w:color="auto"/>
            </w:tcBorders>
          </w:tcPr>
          <w:p>
            <w:pPr>
              <w:pStyle w:val="TableParagraph"/>
              <w:spacing w:line="199" w:lineRule="exact"/>
              <w:ind w:right="74"/>
              <w:jc w:val="right"/>
              <w:rPr>
                <w:rFonts w:ascii="黑体" w:hAnsi="黑体" w:cs="黑体" w:eastAsia="黑体" w:hint="default"/>
                <w:sz w:val="20"/>
                <w:szCs w:val="20"/>
              </w:rPr>
            </w:pPr>
            <w:r>
              <w:rPr>
                <w:rFonts w:ascii="黑体" w:hAnsi="黑体" w:cs="黑体" w:eastAsia="黑体" w:hint="default"/>
                <w:w w:val="95"/>
                <w:sz w:val="20"/>
                <w:szCs w:val="20"/>
              </w:rPr>
              <w:t>账面余额</w:t>
            </w:r>
            <w:r>
              <w:rPr>
                <w:rFonts w:ascii="黑体" w:hAnsi="黑体" w:cs="黑体" w:eastAsia="黑体" w:hint="default"/>
                <w:sz w:val="20"/>
                <w:szCs w:val="20"/>
              </w:rPr>
            </w:r>
          </w:p>
        </w:tc>
        <w:tc>
          <w:tcPr>
            <w:tcW w:w="1060" w:type="dxa"/>
            <w:tcBorders>
              <w:top w:val="nil" w:sz="6" w:space="0" w:color="auto"/>
              <w:left w:val="nil" w:sz="6" w:space="0" w:color="auto"/>
              <w:bottom w:val="nil" w:sz="6" w:space="0" w:color="auto"/>
              <w:right w:val="nil" w:sz="6" w:space="0" w:color="auto"/>
            </w:tcBorders>
          </w:tcPr>
          <w:p>
            <w:pPr>
              <w:pStyle w:val="TableParagraph"/>
              <w:spacing w:line="199" w:lineRule="exact"/>
              <w:ind w:right="112"/>
              <w:jc w:val="right"/>
              <w:rPr>
                <w:rFonts w:ascii="黑体" w:hAnsi="黑体" w:cs="黑体" w:eastAsia="黑体" w:hint="default"/>
                <w:sz w:val="20"/>
                <w:szCs w:val="20"/>
              </w:rPr>
            </w:pPr>
            <w:r>
              <w:rPr>
                <w:rFonts w:ascii="黑体" w:hAnsi="黑体" w:cs="黑体" w:eastAsia="黑体" w:hint="default"/>
                <w:w w:val="95"/>
                <w:sz w:val="20"/>
                <w:szCs w:val="20"/>
              </w:rPr>
              <w:t>坏账准备</w:t>
            </w:r>
            <w:r>
              <w:rPr>
                <w:rFonts w:ascii="黑体" w:hAnsi="黑体" w:cs="黑体" w:eastAsia="黑体" w:hint="default"/>
                <w:sz w:val="20"/>
                <w:szCs w:val="20"/>
              </w:rPr>
            </w:r>
          </w:p>
        </w:tc>
        <w:tc>
          <w:tcPr>
            <w:tcW w:w="1261" w:type="dxa"/>
            <w:tcBorders>
              <w:top w:val="nil" w:sz="6" w:space="0" w:color="auto"/>
              <w:left w:val="nil" w:sz="6" w:space="0" w:color="auto"/>
              <w:bottom w:val="nil" w:sz="6" w:space="0" w:color="auto"/>
              <w:right w:val="nil" w:sz="6" w:space="0" w:color="auto"/>
            </w:tcBorders>
          </w:tcPr>
          <w:p>
            <w:pPr>
              <w:pStyle w:val="TableParagraph"/>
              <w:spacing w:line="214" w:lineRule="exact"/>
              <w:ind w:right="46"/>
              <w:jc w:val="right"/>
              <w:rPr>
                <w:rFonts w:ascii="Arial" w:hAnsi="Arial" w:cs="Arial" w:eastAsia="Arial" w:hint="default"/>
                <w:sz w:val="20"/>
                <w:szCs w:val="20"/>
              </w:rPr>
            </w:pPr>
            <w:r>
              <w:rPr>
                <w:rFonts w:ascii="黑体" w:hAnsi="黑体" w:cs="黑体" w:eastAsia="黑体" w:hint="default"/>
                <w:w w:val="95"/>
                <w:sz w:val="20"/>
                <w:szCs w:val="20"/>
              </w:rPr>
              <w:t>计提比例</w:t>
            </w:r>
            <w:r>
              <w:rPr>
                <w:rFonts w:ascii="Arial" w:hAnsi="Arial" w:cs="Arial" w:eastAsia="Arial" w:hint="default"/>
                <w:w w:val="95"/>
                <w:sz w:val="20"/>
                <w:szCs w:val="20"/>
              </w:rPr>
              <w:t>(%)</w:t>
            </w:r>
            <w:r>
              <w:rPr>
                <w:rFonts w:ascii="Arial" w:hAnsi="Arial" w:cs="Arial" w:eastAsia="Arial" w:hint="default"/>
                <w:sz w:val="20"/>
                <w:szCs w:val="20"/>
              </w:rPr>
            </w:r>
          </w:p>
        </w:tc>
        <w:tc>
          <w:tcPr>
            <w:tcW w:w="2437" w:type="dxa"/>
            <w:tcBorders>
              <w:top w:val="nil" w:sz="6" w:space="0" w:color="auto"/>
              <w:left w:val="nil" w:sz="6" w:space="0" w:color="auto"/>
              <w:bottom w:val="nil" w:sz="6" w:space="0" w:color="auto"/>
              <w:right w:val="nil" w:sz="6" w:space="0" w:color="auto"/>
            </w:tcBorders>
          </w:tcPr>
          <w:p>
            <w:pPr>
              <w:pStyle w:val="TableParagraph"/>
              <w:spacing w:line="199" w:lineRule="exact"/>
              <w:ind w:right="205"/>
              <w:jc w:val="right"/>
              <w:rPr>
                <w:rFonts w:ascii="黑体" w:hAnsi="黑体" w:cs="黑体" w:eastAsia="黑体" w:hint="default"/>
                <w:sz w:val="20"/>
                <w:szCs w:val="20"/>
              </w:rPr>
            </w:pPr>
            <w:r>
              <w:rPr>
                <w:rFonts w:ascii="黑体" w:hAnsi="黑体" w:cs="黑体" w:eastAsia="黑体" w:hint="default"/>
                <w:w w:val="95"/>
                <w:sz w:val="20"/>
                <w:szCs w:val="20"/>
              </w:rPr>
              <w:t>理由</w:t>
            </w:r>
            <w:r>
              <w:rPr>
                <w:rFonts w:ascii="黑体" w:hAnsi="黑体" w:cs="黑体" w:eastAsia="黑体" w:hint="default"/>
                <w:sz w:val="20"/>
                <w:szCs w:val="20"/>
              </w:rPr>
            </w:r>
          </w:p>
        </w:tc>
      </w:tr>
      <w:tr>
        <w:trPr>
          <w:trHeight w:val="472" w:hRule="exact"/>
        </w:trPr>
        <w:tc>
          <w:tcPr>
            <w:tcW w:w="2306" w:type="dxa"/>
            <w:tcBorders>
              <w:top w:val="nil" w:sz="6" w:space="0" w:color="auto"/>
              <w:left w:val="nil" w:sz="6" w:space="0" w:color="auto"/>
              <w:bottom w:val="nil" w:sz="6" w:space="0" w:color="auto"/>
              <w:right w:val="nil" w:sz="6" w:space="0" w:color="auto"/>
            </w:tcBorders>
          </w:tcPr>
          <w:p>
            <w:pPr>
              <w:pStyle w:val="TableParagraph"/>
              <w:spacing w:line="230" w:lineRule="exact" w:before="14"/>
              <w:ind w:left="423" w:right="282" w:hanging="200"/>
              <w:jc w:val="left"/>
              <w:rPr>
                <w:rFonts w:ascii="黑体" w:hAnsi="黑体" w:cs="黑体" w:eastAsia="黑体" w:hint="default"/>
                <w:sz w:val="20"/>
                <w:szCs w:val="20"/>
              </w:rPr>
            </w:pPr>
            <w:r>
              <w:rPr>
                <w:rFonts w:ascii="黑体" w:hAnsi="黑体" w:cs="黑体" w:eastAsia="黑体" w:hint="default"/>
                <w:w w:val="95"/>
                <w:sz w:val="20"/>
                <w:szCs w:val="20"/>
              </w:rPr>
              <w:t>大连万达集团股份有</w:t>
            </w:r>
            <w:r>
              <w:rPr>
                <w:rFonts w:ascii="黑体" w:hAnsi="黑体" w:cs="黑体" w:eastAsia="黑体" w:hint="default"/>
                <w:spacing w:val="-9"/>
                <w:w w:val="95"/>
                <w:sz w:val="20"/>
                <w:szCs w:val="20"/>
              </w:rPr>
              <w:t> </w:t>
            </w:r>
            <w:r>
              <w:rPr>
                <w:rFonts w:ascii="黑体" w:hAnsi="黑体" w:cs="黑体" w:eastAsia="黑体" w:hint="default"/>
                <w:spacing w:val="-9"/>
                <w:w w:val="95"/>
                <w:sz w:val="20"/>
                <w:szCs w:val="20"/>
              </w:rPr>
            </w:r>
            <w:r>
              <w:rPr>
                <w:rFonts w:ascii="黑体" w:hAnsi="黑体" w:cs="黑体" w:eastAsia="黑体" w:hint="default"/>
                <w:sz w:val="20"/>
                <w:szCs w:val="20"/>
              </w:rPr>
              <w:t>限公司</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65"/>
              <w:jc w:val="right"/>
              <w:rPr>
                <w:rFonts w:ascii="Arial" w:hAnsi="Arial" w:cs="Arial" w:eastAsia="Arial" w:hint="default"/>
                <w:sz w:val="20"/>
                <w:szCs w:val="20"/>
              </w:rPr>
            </w:pPr>
            <w:r>
              <w:rPr>
                <w:rFonts w:ascii="Arial"/>
                <w:spacing w:val="-1"/>
                <w:w w:val="95"/>
                <w:sz w:val="20"/>
              </w:rPr>
              <w:t>400,000</w:t>
            </w:r>
            <w:r>
              <w:rPr>
                <w:rFonts w:ascii="Arial"/>
                <w:sz w:val="20"/>
              </w:rPr>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102"/>
              <w:jc w:val="right"/>
              <w:rPr>
                <w:rFonts w:ascii="Arial" w:hAnsi="Arial" w:cs="Arial" w:eastAsia="Arial" w:hint="default"/>
                <w:sz w:val="20"/>
                <w:szCs w:val="20"/>
              </w:rPr>
            </w:pPr>
            <w:r>
              <w:rPr>
                <w:rFonts w:ascii="Arial"/>
                <w:spacing w:val="-1"/>
                <w:w w:val="95"/>
                <w:sz w:val="20"/>
              </w:rPr>
              <w:t>400,000</w:t>
            </w:r>
            <w:r>
              <w:rPr>
                <w:rFonts w:ascii="Arial"/>
                <w:sz w:val="20"/>
              </w:rPr>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36"/>
              <w:jc w:val="right"/>
              <w:rPr>
                <w:rFonts w:ascii="Arial" w:hAnsi="Arial" w:cs="Arial" w:eastAsia="Arial" w:hint="default"/>
                <w:sz w:val="20"/>
                <w:szCs w:val="20"/>
              </w:rPr>
            </w:pPr>
            <w:r>
              <w:rPr>
                <w:rFonts w:ascii="Arial"/>
                <w:spacing w:val="-1"/>
                <w:w w:val="95"/>
                <w:sz w:val="20"/>
              </w:rPr>
              <w:t>100</w:t>
            </w:r>
            <w:r>
              <w:rPr>
                <w:rFonts w:ascii="Arial"/>
                <w:sz w:val="20"/>
              </w:rPr>
            </w:r>
          </w:p>
        </w:tc>
        <w:tc>
          <w:tcPr>
            <w:tcW w:w="2437"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98"/>
              <w:jc w:val="right"/>
              <w:rPr>
                <w:rFonts w:ascii="黑体" w:hAnsi="黑体" w:cs="黑体" w:eastAsia="黑体" w:hint="default"/>
                <w:sz w:val="20"/>
                <w:szCs w:val="20"/>
              </w:rPr>
            </w:pPr>
            <w:r>
              <w:rPr>
                <w:rFonts w:ascii="黑体" w:hAnsi="黑体" w:cs="黑体" w:eastAsia="黑体" w:hint="default"/>
                <w:w w:val="95"/>
                <w:sz w:val="20"/>
                <w:szCs w:val="20"/>
              </w:rPr>
              <w:t>项目终止，押金不可收回</w:t>
            </w:r>
            <w:r>
              <w:rPr>
                <w:rFonts w:ascii="黑体" w:hAnsi="黑体" w:cs="黑体" w:eastAsia="黑体" w:hint="default"/>
                <w:sz w:val="20"/>
                <w:szCs w:val="20"/>
              </w:rPr>
            </w:r>
          </w:p>
        </w:tc>
      </w:tr>
      <w:tr>
        <w:trPr>
          <w:trHeight w:val="460" w:hRule="exact"/>
        </w:trPr>
        <w:tc>
          <w:tcPr>
            <w:tcW w:w="2306" w:type="dxa"/>
            <w:tcBorders>
              <w:top w:val="nil" w:sz="6" w:space="0" w:color="auto"/>
              <w:left w:val="nil" w:sz="6" w:space="0" w:color="auto"/>
              <w:bottom w:val="nil" w:sz="6" w:space="0" w:color="auto"/>
              <w:right w:val="nil" w:sz="6" w:space="0" w:color="auto"/>
            </w:tcBorders>
          </w:tcPr>
          <w:p>
            <w:pPr>
              <w:pStyle w:val="TableParagraph"/>
              <w:spacing w:line="230" w:lineRule="exact" w:before="1"/>
              <w:ind w:left="411" w:right="282" w:hanging="188"/>
              <w:jc w:val="left"/>
              <w:rPr>
                <w:rFonts w:ascii="黑体" w:hAnsi="黑体" w:cs="黑体" w:eastAsia="黑体" w:hint="default"/>
                <w:sz w:val="20"/>
                <w:szCs w:val="20"/>
              </w:rPr>
            </w:pPr>
            <w:r>
              <w:rPr>
                <w:rFonts w:ascii="黑体" w:hAnsi="黑体" w:cs="黑体" w:eastAsia="黑体" w:hint="default"/>
                <w:w w:val="95"/>
                <w:sz w:val="20"/>
                <w:szCs w:val="20"/>
              </w:rPr>
              <w:t>辽宁曙兴汽车集团股</w:t>
            </w:r>
            <w:r>
              <w:rPr>
                <w:rFonts w:ascii="黑体" w:hAnsi="黑体" w:cs="黑体" w:eastAsia="黑体" w:hint="default"/>
                <w:spacing w:val="-9"/>
                <w:w w:val="95"/>
                <w:sz w:val="20"/>
                <w:szCs w:val="20"/>
              </w:rPr>
              <w:t> </w:t>
            </w:r>
            <w:r>
              <w:rPr>
                <w:rFonts w:ascii="黑体" w:hAnsi="黑体" w:cs="黑体" w:eastAsia="黑体" w:hint="default"/>
                <w:spacing w:val="-9"/>
                <w:w w:val="95"/>
                <w:sz w:val="20"/>
                <w:szCs w:val="20"/>
              </w:rPr>
            </w:r>
            <w:r>
              <w:rPr>
                <w:rFonts w:ascii="黑体" w:hAnsi="黑体" w:cs="黑体" w:eastAsia="黑体" w:hint="default"/>
                <w:sz w:val="20"/>
                <w:szCs w:val="20"/>
              </w:rPr>
              <w:t>份有限公司</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4"/>
                <w:szCs w:val="14"/>
              </w:rPr>
            </w:pPr>
          </w:p>
          <w:p>
            <w:pPr>
              <w:pStyle w:val="TableParagraph"/>
              <w:spacing w:line="240" w:lineRule="auto"/>
              <w:ind w:right="65"/>
              <w:jc w:val="right"/>
              <w:rPr>
                <w:rFonts w:ascii="Arial" w:hAnsi="Arial" w:cs="Arial" w:eastAsia="Arial" w:hint="default"/>
                <w:sz w:val="20"/>
                <w:szCs w:val="20"/>
              </w:rPr>
            </w:pPr>
            <w:r>
              <w:rPr>
                <w:rFonts w:ascii="Arial"/>
                <w:spacing w:val="-1"/>
                <w:w w:val="95"/>
                <w:sz w:val="20"/>
              </w:rPr>
              <w:t>189,600</w:t>
            </w:r>
            <w:r>
              <w:rPr>
                <w:rFonts w:ascii="Arial"/>
                <w:sz w:val="20"/>
              </w:rPr>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4"/>
                <w:szCs w:val="14"/>
              </w:rPr>
            </w:pPr>
          </w:p>
          <w:p>
            <w:pPr>
              <w:pStyle w:val="TableParagraph"/>
              <w:spacing w:line="240" w:lineRule="auto"/>
              <w:ind w:right="102"/>
              <w:jc w:val="right"/>
              <w:rPr>
                <w:rFonts w:ascii="Arial" w:hAnsi="Arial" w:cs="Arial" w:eastAsia="Arial" w:hint="default"/>
                <w:sz w:val="20"/>
                <w:szCs w:val="20"/>
              </w:rPr>
            </w:pPr>
            <w:r>
              <w:rPr>
                <w:rFonts w:ascii="Arial"/>
                <w:spacing w:val="-1"/>
                <w:w w:val="95"/>
                <w:sz w:val="20"/>
              </w:rPr>
              <w:t>189,600</w:t>
            </w:r>
            <w:r>
              <w:rPr>
                <w:rFonts w:ascii="Arial"/>
                <w:sz w:val="20"/>
              </w:rPr>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4"/>
                <w:szCs w:val="14"/>
              </w:rPr>
            </w:pPr>
          </w:p>
          <w:p>
            <w:pPr>
              <w:pStyle w:val="TableParagraph"/>
              <w:spacing w:line="240" w:lineRule="auto"/>
              <w:ind w:right="36"/>
              <w:jc w:val="right"/>
              <w:rPr>
                <w:rFonts w:ascii="Arial" w:hAnsi="Arial" w:cs="Arial" w:eastAsia="Arial" w:hint="default"/>
                <w:sz w:val="20"/>
                <w:szCs w:val="20"/>
              </w:rPr>
            </w:pPr>
            <w:r>
              <w:rPr>
                <w:rFonts w:ascii="Arial"/>
                <w:spacing w:val="-1"/>
                <w:w w:val="95"/>
                <w:sz w:val="20"/>
              </w:rPr>
              <w:t>100</w:t>
            </w:r>
            <w:r>
              <w:rPr>
                <w:rFonts w:ascii="Arial"/>
                <w:sz w:val="20"/>
              </w:rPr>
            </w:r>
          </w:p>
        </w:tc>
        <w:tc>
          <w:tcPr>
            <w:tcW w:w="2437"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198"/>
              <w:jc w:val="right"/>
              <w:rPr>
                <w:rFonts w:ascii="黑体" w:hAnsi="黑体" w:cs="黑体" w:eastAsia="黑体" w:hint="default"/>
                <w:sz w:val="20"/>
                <w:szCs w:val="20"/>
              </w:rPr>
            </w:pPr>
            <w:r>
              <w:rPr>
                <w:rFonts w:ascii="黑体" w:hAnsi="黑体" w:cs="黑体" w:eastAsia="黑体" w:hint="default"/>
                <w:w w:val="95"/>
                <w:sz w:val="20"/>
                <w:szCs w:val="20"/>
              </w:rPr>
              <w:t>项目终止，押金不可收回</w:t>
            </w:r>
            <w:r>
              <w:rPr>
                <w:rFonts w:ascii="黑体" w:hAnsi="黑体" w:cs="黑体" w:eastAsia="黑体" w:hint="default"/>
                <w:sz w:val="20"/>
                <w:szCs w:val="20"/>
              </w:rPr>
            </w:r>
          </w:p>
        </w:tc>
      </w:tr>
      <w:tr>
        <w:trPr>
          <w:trHeight w:val="484" w:hRule="exact"/>
        </w:trPr>
        <w:tc>
          <w:tcPr>
            <w:tcW w:w="2306" w:type="dxa"/>
            <w:tcBorders>
              <w:top w:val="nil" w:sz="6" w:space="0" w:color="auto"/>
              <w:left w:val="nil" w:sz="6" w:space="0" w:color="auto"/>
              <w:bottom w:val="nil" w:sz="6" w:space="0" w:color="auto"/>
              <w:right w:val="nil" w:sz="6" w:space="0" w:color="auto"/>
            </w:tcBorders>
          </w:tcPr>
          <w:p>
            <w:pPr>
              <w:pStyle w:val="TableParagraph"/>
              <w:spacing w:line="230" w:lineRule="exact" w:before="2"/>
              <w:ind w:left="411" w:right="83" w:hanging="188"/>
              <w:jc w:val="left"/>
              <w:rPr>
                <w:rFonts w:ascii="黑体" w:hAnsi="黑体" w:cs="黑体" w:eastAsia="黑体" w:hint="default"/>
                <w:sz w:val="20"/>
                <w:szCs w:val="20"/>
              </w:rPr>
            </w:pPr>
            <w:r>
              <w:rPr>
                <w:rFonts w:ascii="黑体" w:hAnsi="黑体" w:cs="黑体" w:eastAsia="黑体" w:hint="default"/>
                <w:w w:val="95"/>
                <w:sz w:val="20"/>
                <w:szCs w:val="20"/>
              </w:rPr>
              <w:t>英腾协同科技（北京） </w:t>
            </w:r>
            <w:r>
              <w:rPr>
                <w:rFonts w:ascii="黑体" w:hAnsi="黑体" w:cs="黑体" w:eastAsia="黑体" w:hint="default"/>
                <w:sz w:val="20"/>
                <w:szCs w:val="20"/>
              </w:rPr>
              <w:t>有限公司</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sz w:val="14"/>
                <w:szCs w:val="14"/>
              </w:rPr>
            </w:pPr>
          </w:p>
          <w:p>
            <w:pPr>
              <w:pStyle w:val="TableParagraph"/>
              <w:spacing w:line="240" w:lineRule="auto"/>
              <w:ind w:right="65"/>
              <w:jc w:val="right"/>
              <w:rPr>
                <w:rFonts w:ascii="Arial" w:hAnsi="Arial" w:cs="Arial" w:eastAsia="Arial" w:hint="default"/>
                <w:sz w:val="20"/>
                <w:szCs w:val="20"/>
              </w:rPr>
            </w:pPr>
            <w:r>
              <w:rPr>
                <w:rFonts w:ascii="Arial"/>
                <w:spacing w:val="-1"/>
                <w:sz w:val="20"/>
              </w:rPr>
              <w:t>99,999</w:t>
            </w:r>
            <w:r>
              <w:rPr>
                <w:rFonts w:ascii="Arial"/>
                <w:sz w:val="20"/>
              </w:rPr>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sz w:val="14"/>
                <w:szCs w:val="14"/>
              </w:rPr>
            </w:pPr>
          </w:p>
          <w:p>
            <w:pPr>
              <w:pStyle w:val="TableParagraph"/>
              <w:spacing w:line="240" w:lineRule="auto"/>
              <w:ind w:right="102"/>
              <w:jc w:val="right"/>
              <w:rPr>
                <w:rFonts w:ascii="Arial" w:hAnsi="Arial" w:cs="Arial" w:eastAsia="Arial" w:hint="default"/>
                <w:sz w:val="20"/>
                <w:szCs w:val="20"/>
              </w:rPr>
            </w:pPr>
            <w:r>
              <w:rPr>
                <w:rFonts w:ascii="Arial"/>
                <w:spacing w:val="-1"/>
                <w:sz w:val="20"/>
              </w:rPr>
              <w:t>99,999</w:t>
            </w:r>
            <w:r>
              <w:rPr>
                <w:rFonts w:ascii="Arial"/>
                <w:sz w:val="20"/>
              </w:rPr>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sz w:val="14"/>
                <w:szCs w:val="14"/>
              </w:rPr>
            </w:pPr>
          </w:p>
          <w:p>
            <w:pPr>
              <w:pStyle w:val="TableParagraph"/>
              <w:spacing w:line="240" w:lineRule="auto"/>
              <w:ind w:right="36"/>
              <w:jc w:val="right"/>
              <w:rPr>
                <w:rFonts w:ascii="Arial" w:hAnsi="Arial" w:cs="Arial" w:eastAsia="Arial" w:hint="default"/>
                <w:sz w:val="20"/>
                <w:szCs w:val="20"/>
              </w:rPr>
            </w:pPr>
            <w:r>
              <w:rPr>
                <w:rFonts w:ascii="Arial"/>
                <w:spacing w:val="-1"/>
                <w:w w:val="95"/>
                <w:sz w:val="20"/>
              </w:rPr>
              <w:t>100</w:t>
            </w:r>
            <w:r>
              <w:rPr>
                <w:rFonts w:ascii="Arial"/>
                <w:sz w:val="20"/>
              </w:rPr>
            </w:r>
          </w:p>
        </w:tc>
        <w:tc>
          <w:tcPr>
            <w:tcW w:w="2437"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98"/>
              <w:jc w:val="right"/>
              <w:rPr>
                <w:rFonts w:ascii="黑体" w:hAnsi="黑体" w:cs="黑体" w:eastAsia="黑体" w:hint="default"/>
                <w:sz w:val="20"/>
                <w:szCs w:val="20"/>
              </w:rPr>
            </w:pPr>
            <w:r>
              <w:rPr>
                <w:rFonts w:ascii="黑体" w:hAnsi="黑体" w:cs="黑体" w:eastAsia="黑体" w:hint="default"/>
                <w:w w:val="95"/>
                <w:sz w:val="20"/>
                <w:szCs w:val="20"/>
              </w:rPr>
              <w:t>项目终止，押金不可收回</w:t>
            </w:r>
            <w:r>
              <w:rPr>
                <w:rFonts w:ascii="黑体" w:hAnsi="黑体" w:cs="黑体" w:eastAsia="黑体" w:hint="default"/>
                <w:sz w:val="20"/>
                <w:szCs w:val="20"/>
              </w:rPr>
            </w:r>
          </w:p>
        </w:tc>
      </w:tr>
      <w:tr>
        <w:trPr>
          <w:trHeight w:val="450" w:hRule="exact"/>
        </w:trPr>
        <w:tc>
          <w:tcPr>
            <w:tcW w:w="2306"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5"/>
              <w:jc w:val="right"/>
              <w:rPr>
                <w:rFonts w:ascii="Arial" w:hAnsi="Arial" w:cs="Arial" w:eastAsia="Arial" w:hint="default"/>
                <w:sz w:val="20"/>
                <w:szCs w:val="20"/>
              </w:rPr>
            </w:pPr>
            <w:r>
              <w:rPr>
                <w:rFonts w:ascii="Arial"/>
                <w:w w:val="99"/>
                <w:sz w:val="20"/>
              </w:rPr>
            </w:r>
            <w:r>
              <w:rPr>
                <w:rFonts w:ascii="Arial"/>
                <w:spacing w:val="-1"/>
                <w:sz w:val="20"/>
                <w:u w:val="single" w:color="000000"/>
              </w:rPr>
              <w:t>67,089,081</w:t>
            </w:r>
            <w:r>
              <w:rPr>
                <w:rFonts w:ascii="Arial"/>
                <w:spacing w:val="-1"/>
                <w:sz w:val="20"/>
              </w:rPr>
            </w:r>
            <w:r>
              <w:rPr>
                <w:rFonts w:ascii="Arial"/>
                <w:sz w:val="20"/>
              </w:rPr>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2"/>
              <w:jc w:val="right"/>
              <w:rPr>
                <w:rFonts w:ascii="Arial" w:hAnsi="Arial" w:cs="Arial" w:eastAsia="Arial" w:hint="default"/>
                <w:sz w:val="20"/>
                <w:szCs w:val="20"/>
              </w:rPr>
            </w:pPr>
            <w:r>
              <w:rPr>
                <w:rFonts w:ascii="Arial"/>
                <w:w w:val="99"/>
                <w:sz w:val="20"/>
              </w:rPr>
            </w:r>
            <w:r>
              <w:rPr>
                <w:rFonts w:ascii="Arial"/>
                <w:spacing w:val="-1"/>
                <w:sz w:val="20"/>
                <w:u w:val="single" w:color="000000"/>
              </w:rPr>
              <w:t>1,659,294</w:t>
            </w:r>
            <w:r>
              <w:rPr>
                <w:rFonts w:ascii="Arial"/>
                <w:spacing w:val="-1"/>
                <w:sz w:val="20"/>
              </w:rPr>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Arial" w:hAnsi="Arial" w:cs="Arial" w:eastAsia="Arial" w:hint="default"/>
                <w:sz w:val="20"/>
                <w:szCs w:val="20"/>
              </w:rPr>
            </w:pPr>
            <w:r>
              <w:rPr>
                <w:rFonts w:ascii="Arial"/>
                <w:w w:val="99"/>
                <w:sz w:val="20"/>
              </w:rPr>
              <w:t>2</w:t>
            </w:r>
            <w:r>
              <w:rPr>
                <w:rFonts w:ascii="Arial"/>
                <w:sz w:val="20"/>
              </w:rPr>
            </w:r>
          </w:p>
        </w:tc>
        <w:tc>
          <w:tcPr>
            <w:tcW w:w="2437" w:type="dxa"/>
            <w:tcBorders>
              <w:top w:val="nil" w:sz="6" w:space="0" w:color="auto"/>
              <w:left w:val="nil" w:sz="6" w:space="0" w:color="auto"/>
              <w:bottom w:val="nil" w:sz="6" w:space="0" w:color="auto"/>
              <w:right w:val="nil" w:sz="6" w:space="0" w:color="auto"/>
            </w:tcBorders>
          </w:tcPr>
          <w:p>
            <w:pPr/>
          </w:p>
        </w:tc>
      </w:tr>
      <w:tr>
        <w:trPr>
          <w:trHeight w:val="388" w:hRule="exact"/>
        </w:trPr>
        <w:tc>
          <w:tcPr>
            <w:tcW w:w="2306" w:type="dxa"/>
            <w:tcBorders>
              <w:top w:val="nil" w:sz="6" w:space="0" w:color="auto"/>
              <w:left w:val="nil" w:sz="6" w:space="0" w:color="auto"/>
              <w:bottom w:val="nil" w:sz="6" w:space="0" w:color="auto"/>
              <w:right w:val="nil" w:sz="6" w:space="0" w:color="auto"/>
            </w:tcBorders>
          </w:tcPr>
          <w:p>
            <w:pP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65"/>
              <w:jc w:val="right"/>
              <w:rPr>
                <w:rFonts w:ascii="Arial" w:hAnsi="Arial" w:cs="Arial" w:eastAsia="Arial" w:hint="default"/>
                <w:sz w:val="20"/>
                <w:szCs w:val="20"/>
              </w:rPr>
            </w:pPr>
            <w:r>
              <w:rPr>
                <w:rFonts w:ascii="Arial"/>
                <w:w w:val="99"/>
                <w:sz w:val="20"/>
              </w:rPr>
            </w:r>
            <w:r>
              <w:rPr>
                <w:rFonts w:ascii="Arial"/>
                <w:spacing w:val="-1"/>
                <w:sz w:val="20"/>
                <w:u w:val="thick" w:color="000000"/>
              </w:rPr>
              <w:t>67,778,680</w:t>
            </w:r>
            <w:r>
              <w:rPr>
                <w:rFonts w:ascii="Arial"/>
                <w:spacing w:val="-1"/>
                <w:sz w:val="20"/>
              </w:rPr>
            </w:r>
            <w:r>
              <w:rPr>
                <w:rFonts w:ascii="Arial"/>
                <w:sz w:val="20"/>
              </w:rPr>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102"/>
              <w:jc w:val="right"/>
              <w:rPr>
                <w:rFonts w:ascii="Arial" w:hAnsi="Arial" w:cs="Arial" w:eastAsia="Arial" w:hint="default"/>
                <w:sz w:val="20"/>
                <w:szCs w:val="20"/>
              </w:rPr>
            </w:pPr>
            <w:r>
              <w:rPr>
                <w:rFonts w:ascii="Arial"/>
                <w:w w:val="99"/>
                <w:sz w:val="20"/>
              </w:rPr>
            </w:r>
            <w:r>
              <w:rPr>
                <w:rFonts w:ascii="Arial"/>
                <w:spacing w:val="-1"/>
                <w:sz w:val="20"/>
                <w:u w:val="thick" w:color="000000"/>
              </w:rPr>
              <w:t>2,348,893</w:t>
            </w:r>
            <w:r>
              <w:rPr>
                <w:rFonts w:ascii="Arial"/>
                <w:spacing w:val="-1"/>
                <w:sz w:val="20"/>
              </w:rPr>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33"/>
              <w:jc w:val="right"/>
              <w:rPr>
                <w:rFonts w:ascii="Arial" w:hAnsi="Arial" w:cs="Arial" w:eastAsia="Arial" w:hint="default"/>
                <w:sz w:val="20"/>
                <w:szCs w:val="20"/>
              </w:rPr>
            </w:pPr>
            <w:r>
              <w:rPr>
                <w:rFonts w:ascii="Arial"/>
                <w:w w:val="99"/>
                <w:sz w:val="20"/>
              </w:rPr>
              <w:t>3</w:t>
            </w:r>
            <w:r>
              <w:rPr>
                <w:rFonts w:ascii="Arial"/>
                <w:sz w:val="20"/>
              </w:rPr>
            </w:r>
          </w:p>
        </w:tc>
        <w:tc>
          <w:tcPr>
            <w:tcW w:w="2437" w:type="dxa"/>
            <w:tcBorders>
              <w:top w:val="nil" w:sz="6" w:space="0" w:color="auto"/>
              <w:left w:val="nil" w:sz="6" w:space="0" w:color="auto"/>
              <w:bottom w:val="nil" w:sz="6" w:space="0" w:color="auto"/>
              <w:right w:val="nil" w:sz="6" w:space="0" w:color="auto"/>
            </w:tcBorders>
          </w:tcPr>
          <w:p>
            <w:pPr/>
          </w:p>
        </w:tc>
      </w:tr>
    </w:tbl>
    <w:p>
      <w:pPr>
        <w:spacing w:line="240" w:lineRule="auto" w:before="3"/>
        <w:rPr>
          <w:rFonts w:ascii="黑体" w:hAnsi="黑体" w:cs="黑体" w:eastAsia="黑体" w:hint="default"/>
          <w:sz w:val="22"/>
          <w:szCs w:val="22"/>
        </w:rPr>
      </w:pPr>
    </w:p>
    <w:p>
      <w:pPr>
        <w:pStyle w:val="BodyText"/>
        <w:spacing w:line="240" w:lineRule="auto" w:before="37"/>
        <w:ind w:left="813" w:right="300"/>
        <w:jc w:val="left"/>
      </w:pPr>
      <w:r>
        <w:rPr/>
        <w:t>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日，单项金额虽不重大但单独计提坏账准备的其他应收款情况如下：</w:t>
      </w:r>
    </w:p>
    <w:p>
      <w:pPr>
        <w:spacing w:line="240" w:lineRule="auto" w:before="7"/>
        <w:rPr>
          <w:rFonts w:ascii="黑体" w:hAnsi="黑体" w:cs="黑体" w:eastAsia="黑体" w:hint="default"/>
          <w:sz w:val="29"/>
          <w:szCs w:val="29"/>
        </w:rPr>
      </w:pPr>
    </w:p>
    <w:tbl>
      <w:tblPr>
        <w:tblW w:w="0" w:type="auto"/>
        <w:jc w:val="left"/>
        <w:tblInd w:w="651" w:type="dxa"/>
        <w:tblLayout w:type="fixed"/>
        <w:tblCellMar>
          <w:top w:w="0" w:type="dxa"/>
          <w:left w:w="0" w:type="dxa"/>
          <w:bottom w:w="0" w:type="dxa"/>
          <w:right w:w="0" w:type="dxa"/>
        </w:tblCellMar>
        <w:tblLook w:val="01E0"/>
      </w:tblPr>
      <w:tblGrid>
        <w:gridCol w:w="2275"/>
        <w:gridCol w:w="1151"/>
        <w:gridCol w:w="1060"/>
        <w:gridCol w:w="1261"/>
        <w:gridCol w:w="2444"/>
      </w:tblGrid>
      <w:tr>
        <w:trPr>
          <w:trHeight w:val="236" w:hRule="exact"/>
        </w:trPr>
        <w:tc>
          <w:tcPr>
            <w:tcW w:w="2275" w:type="dxa"/>
            <w:tcBorders>
              <w:top w:val="nil" w:sz="6" w:space="0" w:color="auto"/>
              <w:left w:val="nil" w:sz="6" w:space="0" w:color="auto"/>
              <w:bottom w:val="nil" w:sz="6" w:space="0" w:color="auto"/>
              <w:right w:val="nil" w:sz="6" w:space="0" w:color="auto"/>
            </w:tcBorders>
          </w:tcPr>
          <w:p>
            <w:pPr/>
          </w:p>
        </w:tc>
        <w:tc>
          <w:tcPr>
            <w:tcW w:w="1151" w:type="dxa"/>
            <w:tcBorders>
              <w:top w:val="nil" w:sz="6" w:space="0" w:color="auto"/>
              <w:left w:val="nil" w:sz="6" w:space="0" w:color="auto"/>
              <w:bottom w:val="nil" w:sz="6" w:space="0" w:color="auto"/>
              <w:right w:val="nil" w:sz="6" w:space="0" w:color="auto"/>
            </w:tcBorders>
          </w:tcPr>
          <w:p>
            <w:pPr>
              <w:pStyle w:val="TableParagraph"/>
              <w:spacing w:line="199" w:lineRule="exact"/>
              <w:ind w:right="81"/>
              <w:jc w:val="right"/>
              <w:rPr>
                <w:rFonts w:ascii="黑体" w:hAnsi="黑体" w:cs="黑体" w:eastAsia="黑体" w:hint="default"/>
                <w:sz w:val="20"/>
                <w:szCs w:val="20"/>
              </w:rPr>
            </w:pPr>
            <w:r>
              <w:rPr>
                <w:rFonts w:ascii="黑体" w:hAnsi="黑体" w:cs="黑体" w:eastAsia="黑体" w:hint="default"/>
                <w:w w:val="95"/>
                <w:sz w:val="20"/>
                <w:szCs w:val="20"/>
              </w:rPr>
              <w:t>账面余额</w:t>
            </w:r>
            <w:r>
              <w:rPr>
                <w:rFonts w:ascii="黑体" w:hAnsi="黑体" w:cs="黑体" w:eastAsia="黑体" w:hint="default"/>
                <w:sz w:val="20"/>
                <w:szCs w:val="20"/>
              </w:rPr>
            </w:r>
          </w:p>
        </w:tc>
        <w:tc>
          <w:tcPr>
            <w:tcW w:w="1060" w:type="dxa"/>
            <w:tcBorders>
              <w:top w:val="nil" w:sz="6" w:space="0" w:color="auto"/>
              <w:left w:val="nil" w:sz="6" w:space="0" w:color="auto"/>
              <w:bottom w:val="nil" w:sz="6" w:space="0" w:color="auto"/>
              <w:right w:val="nil" w:sz="6" w:space="0" w:color="auto"/>
            </w:tcBorders>
          </w:tcPr>
          <w:p>
            <w:pPr>
              <w:pStyle w:val="TableParagraph"/>
              <w:spacing w:line="199" w:lineRule="exact"/>
              <w:ind w:right="104"/>
              <w:jc w:val="right"/>
              <w:rPr>
                <w:rFonts w:ascii="黑体" w:hAnsi="黑体" w:cs="黑体" w:eastAsia="黑体" w:hint="default"/>
                <w:sz w:val="20"/>
                <w:szCs w:val="20"/>
              </w:rPr>
            </w:pPr>
            <w:r>
              <w:rPr>
                <w:rFonts w:ascii="黑体" w:hAnsi="黑体" w:cs="黑体" w:eastAsia="黑体" w:hint="default"/>
                <w:w w:val="95"/>
                <w:sz w:val="20"/>
                <w:szCs w:val="20"/>
              </w:rPr>
              <w:t>坏账准备</w:t>
            </w:r>
            <w:r>
              <w:rPr>
                <w:rFonts w:ascii="黑体" w:hAnsi="黑体" w:cs="黑体" w:eastAsia="黑体" w:hint="default"/>
                <w:sz w:val="20"/>
                <w:szCs w:val="20"/>
              </w:rPr>
            </w:r>
          </w:p>
        </w:tc>
        <w:tc>
          <w:tcPr>
            <w:tcW w:w="1261" w:type="dxa"/>
            <w:tcBorders>
              <w:top w:val="nil" w:sz="6" w:space="0" w:color="auto"/>
              <w:left w:val="nil" w:sz="6" w:space="0" w:color="auto"/>
              <w:bottom w:val="nil" w:sz="6" w:space="0" w:color="auto"/>
              <w:right w:val="nil" w:sz="6" w:space="0" w:color="auto"/>
            </w:tcBorders>
          </w:tcPr>
          <w:p>
            <w:pPr>
              <w:pStyle w:val="TableParagraph"/>
              <w:spacing w:line="214" w:lineRule="exact"/>
              <w:ind w:right="55"/>
              <w:jc w:val="right"/>
              <w:rPr>
                <w:rFonts w:ascii="Arial" w:hAnsi="Arial" w:cs="Arial" w:eastAsia="Arial" w:hint="default"/>
                <w:sz w:val="20"/>
                <w:szCs w:val="20"/>
              </w:rPr>
            </w:pPr>
            <w:r>
              <w:rPr>
                <w:rFonts w:ascii="黑体" w:hAnsi="黑体" w:cs="黑体" w:eastAsia="黑体" w:hint="default"/>
                <w:w w:val="95"/>
                <w:sz w:val="20"/>
                <w:szCs w:val="20"/>
              </w:rPr>
              <w:t>计提比例</w:t>
            </w:r>
            <w:r>
              <w:rPr>
                <w:rFonts w:ascii="Arial" w:hAnsi="Arial" w:cs="Arial" w:eastAsia="Arial" w:hint="default"/>
                <w:w w:val="95"/>
                <w:sz w:val="20"/>
                <w:szCs w:val="20"/>
              </w:rPr>
              <w:t>(%)</w:t>
            </w:r>
            <w:r>
              <w:rPr>
                <w:rFonts w:ascii="Arial" w:hAnsi="Arial" w:cs="Arial" w:eastAsia="Arial" w:hint="default"/>
                <w:sz w:val="20"/>
                <w:szCs w:val="20"/>
              </w:rPr>
            </w:r>
          </w:p>
        </w:tc>
        <w:tc>
          <w:tcPr>
            <w:tcW w:w="2444" w:type="dxa"/>
            <w:tcBorders>
              <w:top w:val="nil" w:sz="6" w:space="0" w:color="auto"/>
              <w:left w:val="nil" w:sz="6" w:space="0" w:color="auto"/>
              <w:bottom w:val="nil" w:sz="6" w:space="0" w:color="auto"/>
              <w:right w:val="nil" w:sz="6" w:space="0" w:color="auto"/>
            </w:tcBorders>
          </w:tcPr>
          <w:p>
            <w:pPr>
              <w:pStyle w:val="TableParagraph"/>
              <w:spacing w:line="199" w:lineRule="exact"/>
              <w:ind w:right="207"/>
              <w:jc w:val="right"/>
              <w:rPr>
                <w:rFonts w:ascii="黑体" w:hAnsi="黑体" w:cs="黑体" w:eastAsia="黑体" w:hint="default"/>
                <w:sz w:val="20"/>
                <w:szCs w:val="20"/>
              </w:rPr>
            </w:pPr>
            <w:r>
              <w:rPr>
                <w:rFonts w:ascii="黑体" w:hAnsi="黑体" w:cs="黑体" w:eastAsia="黑体" w:hint="default"/>
                <w:w w:val="95"/>
                <w:sz w:val="20"/>
                <w:szCs w:val="20"/>
              </w:rPr>
              <w:t>理由</w:t>
            </w:r>
            <w:r>
              <w:rPr>
                <w:rFonts w:ascii="黑体" w:hAnsi="黑体" w:cs="黑体" w:eastAsia="黑体" w:hint="default"/>
                <w:sz w:val="20"/>
                <w:szCs w:val="20"/>
              </w:rPr>
            </w:r>
          </w:p>
        </w:tc>
      </w:tr>
      <w:tr>
        <w:trPr>
          <w:trHeight w:val="472" w:hRule="exact"/>
        </w:trPr>
        <w:tc>
          <w:tcPr>
            <w:tcW w:w="2275" w:type="dxa"/>
            <w:tcBorders>
              <w:top w:val="nil" w:sz="6" w:space="0" w:color="auto"/>
              <w:left w:val="nil" w:sz="6" w:space="0" w:color="auto"/>
              <w:bottom w:val="nil" w:sz="6" w:space="0" w:color="auto"/>
              <w:right w:val="nil" w:sz="6" w:space="0" w:color="auto"/>
            </w:tcBorders>
          </w:tcPr>
          <w:p>
            <w:pPr>
              <w:pStyle w:val="TableParagraph"/>
              <w:spacing w:line="230" w:lineRule="exact" w:before="14"/>
              <w:ind w:left="387" w:right="76" w:hanging="188"/>
              <w:jc w:val="left"/>
              <w:rPr>
                <w:rFonts w:ascii="黑体" w:hAnsi="黑体" w:cs="黑体" w:eastAsia="黑体" w:hint="default"/>
                <w:sz w:val="20"/>
                <w:szCs w:val="20"/>
              </w:rPr>
            </w:pPr>
            <w:r>
              <w:rPr>
                <w:rFonts w:ascii="黑体" w:hAnsi="黑体" w:cs="黑体" w:eastAsia="黑体" w:hint="default"/>
                <w:w w:val="95"/>
                <w:sz w:val="20"/>
                <w:szCs w:val="20"/>
              </w:rPr>
              <w:t>英腾协同科技（北京） </w:t>
            </w:r>
            <w:r>
              <w:rPr>
                <w:rFonts w:ascii="黑体" w:hAnsi="黑体" w:cs="黑体" w:eastAsia="黑体" w:hint="default"/>
                <w:sz w:val="20"/>
                <w:szCs w:val="20"/>
              </w:rPr>
              <w:t>有限公司</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72"/>
              <w:jc w:val="right"/>
              <w:rPr>
                <w:rFonts w:ascii="Arial" w:hAnsi="Arial" w:cs="Arial" w:eastAsia="Arial" w:hint="default"/>
                <w:sz w:val="20"/>
                <w:szCs w:val="20"/>
              </w:rPr>
            </w:pPr>
            <w:r>
              <w:rPr>
                <w:rFonts w:ascii="Arial"/>
                <w:spacing w:val="-1"/>
                <w:sz w:val="20"/>
              </w:rPr>
              <w:t>99,999</w:t>
            </w:r>
            <w:r>
              <w:rPr>
                <w:rFonts w:ascii="Arial"/>
                <w:sz w:val="20"/>
              </w:rPr>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95"/>
              <w:jc w:val="right"/>
              <w:rPr>
                <w:rFonts w:ascii="Arial" w:hAnsi="Arial" w:cs="Arial" w:eastAsia="Arial" w:hint="default"/>
                <w:sz w:val="20"/>
                <w:szCs w:val="20"/>
              </w:rPr>
            </w:pPr>
            <w:r>
              <w:rPr>
                <w:rFonts w:ascii="Arial"/>
                <w:spacing w:val="-1"/>
                <w:sz w:val="20"/>
              </w:rPr>
              <w:t>99,999</w:t>
            </w:r>
            <w:r>
              <w:rPr>
                <w:rFonts w:ascii="Arial"/>
                <w:sz w:val="20"/>
              </w:rPr>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5"/>
                <w:szCs w:val="15"/>
              </w:rPr>
            </w:pPr>
          </w:p>
          <w:p>
            <w:pPr>
              <w:pStyle w:val="TableParagraph"/>
              <w:spacing w:line="240" w:lineRule="auto"/>
              <w:ind w:right="43"/>
              <w:jc w:val="right"/>
              <w:rPr>
                <w:rFonts w:ascii="Arial" w:hAnsi="Arial" w:cs="Arial" w:eastAsia="Arial" w:hint="default"/>
                <w:sz w:val="20"/>
                <w:szCs w:val="20"/>
              </w:rPr>
            </w:pPr>
            <w:r>
              <w:rPr>
                <w:rFonts w:ascii="Arial"/>
                <w:spacing w:val="-1"/>
                <w:w w:val="95"/>
                <w:sz w:val="20"/>
              </w:rPr>
              <w:t>100</w:t>
            </w:r>
            <w:r>
              <w:rPr>
                <w:rFonts w:ascii="Arial"/>
                <w:sz w:val="20"/>
              </w:rPr>
            </w:r>
          </w:p>
        </w:tc>
        <w:tc>
          <w:tcPr>
            <w:tcW w:w="2444"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98"/>
              <w:jc w:val="right"/>
              <w:rPr>
                <w:rFonts w:ascii="黑体" w:hAnsi="黑体" w:cs="黑体" w:eastAsia="黑体" w:hint="default"/>
                <w:sz w:val="20"/>
                <w:szCs w:val="20"/>
              </w:rPr>
            </w:pPr>
            <w:r>
              <w:rPr>
                <w:rFonts w:ascii="黑体" w:hAnsi="黑体" w:cs="黑体" w:eastAsia="黑体" w:hint="default"/>
                <w:w w:val="95"/>
                <w:sz w:val="20"/>
                <w:szCs w:val="20"/>
              </w:rPr>
              <w:t>项目终止，押金不可收回</w:t>
            </w:r>
            <w:r>
              <w:rPr>
                <w:rFonts w:ascii="黑体" w:hAnsi="黑体" w:cs="黑体" w:eastAsia="黑体" w:hint="default"/>
                <w:sz w:val="20"/>
                <w:szCs w:val="20"/>
              </w:rPr>
            </w:r>
          </w:p>
        </w:tc>
      </w:tr>
      <w:tr>
        <w:trPr>
          <w:trHeight w:val="460" w:hRule="exact"/>
        </w:trPr>
        <w:tc>
          <w:tcPr>
            <w:tcW w:w="2275" w:type="dxa"/>
            <w:tcBorders>
              <w:top w:val="nil" w:sz="6" w:space="0" w:color="auto"/>
              <w:left w:val="nil" w:sz="6" w:space="0" w:color="auto"/>
              <w:bottom w:val="nil" w:sz="6" w:space="0" w:color="auto"/>
              <w:right w:val="nil" w:sz="6" w:space="0" w:color="auto"/>
            </w:tcBorders>
          </w:tcPr>
          <w:p>
            <w:pPr>
              <w:pStyle w:val="TableParagraph"/>
              <w:spacing w:line="230" w:lineRule="exact" w:before="1"/>
              <w:ind w:left="387" w:right="268" w:hanging="181"/>
              <w:jc w:val="left"/>
              <w:rPr>
                <w:rFonts w:ascii="黑体" w:hAnsi="黑体" w:cs="黑体" w:eastAsia="黑体" w:hint="default"/>
                <w:sz w:val="20"/>
                <w:szCs w:val="20"/>
              </w:rPr>
            </w:pPr>
            <w:r>
              <w:rPr>
                <w:rFonts w:ascii="黑体" w:hAnsi="黑体" w:cs="黑体" w:eastAsia="黑体" w:hint="default"/>
                <w:w w:val="95"/>
                <w:sz w:val="20"/>
                <w:szCs w:val="20"/>
              </w:rPr>
              <w:t>东营科英激光电子有</w:t>
            </w:r>
            <w:r>
              <w:rPr>
                <w:rFonts w:ascii="黑体" w:hAnsi="黑体" w:cs="黑体" w:eastAsia="黑体" w:hint="default"/>
                <w:spacing w:val="-9"/>
                <w:w w:val="95"/>
                <w:sz w:val="20"/>
                <w:szCs w:val="20"/>
              </w:rPr>
              <w:t> </w:t>
            </w:r>
            <w:r>
              <w:rPr>
                <w:rFonts w:ascii="黑体" w:hAnsi="黑体" w:cs="黑体" w:eastAsia="黑体" w:hint="default"/>
                <w:spacing w:val="-9"/>
                <w:w w:val="95"/>
                <w:sz w:val="20"/>
                <w:szCs w:val="20"/>
              </w:rPr>
            </w:r>
            <w:r>
              <w:rPr>
                <w:rFonts w:ascii="黑体" w:hAnsi="黑体" w:cs="黑体" w:eastAsia="黑体" w:hint="default"/>
                <w:sz w:val="20"/>
                <w:szCs w:val="20"/>
              </w:rPr>
              <w:t>限公司</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4"/>
                <w:szCs w:val="14"/>
              </w:rPr>
            </w:pPr>
          </w:p>
          <w:p>
            <w:pPr>
              <w:pStyle w:val="TableParagraph"/>
              <w:spacing w:line="240" w:lineRule="auto"/>
              <w:ind w:right="72"/>
              <w:jc w:val="right"/>
              <w:rPr>
                <w:rFonts w:ascii="Arial" w:hAnsi="Arial" w:cs="Arial" w:eastAsia="Arial" w:hint="default"/>
                <w:sz w:val="20"/>
                <w:szCs w:val="20"/>
              </w:rPr>
            </w:pPr>
            <w:r>
              <w:rPr>
                <w:rFonts w:ascii="Arial"/>
                <w:spacing w:val="-1"/>
                <w:sz w:val="20"/>
              </w:rPr>
              <w:t>83,570</w:t>
            </w:r>
            <w:r>
              <w:rPr>
                <w:rFonts w:ascii="Arial"/>
                <w:sz w:val="20"/>
              </w:rPr>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4"/>
                <w:szCs w:val="14"/>
              </w:rPr>
            </w:pPr>
          </w:p>
          <w:p>
            <w:pPr>
              <w:pStyle w:val="TableParagraph"/>
              <w:spacing w:line="240" w:lineRule="auto"/>
              <w:ind w:right="95"/>
              <w:jc w:val="right"/>
              <w:rPr>
                <w:rFonts w:ascii="Arial" w:hAnsi="Arial" w:cs="Arial" w:eastAsia="Arial" w:hint="default"/>
                <w:sz w:val="20"/>
                <w:szCs w:val="20"/>
              </w:rPr>
            </w:pPr>
            <w:r>
              <w:rPr>
                <w:rFonts w:ascii="Arial"/>
                <w:spacing w:val="-1"/>
                <w:sz w:val="20"/>
              </w:rPr>
              <w:t>83,570</w:t>
            </w:r>
            <w:r>
              <w:rPr>
                <w:rFonts w:ascii="Arial"/>
                <w:sz w:val="20"/>
              </w:rPr>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4"/>
                <w:szCs w:val="14"/>
              </w:rPr>
            </w:pPr>
          </w:p>
          <w:p>
            <w:pPr>
              <w:pStyle w:val="TableParagraph"/>
              <w:spacing w:line="240" w:lineRule="auto"/>
              <w:ind w:right="43"/>
              <w:jc w:val="right"/>
              <w:rPr>
                <w:rFonts w:ascii="Arial" w:hAnsi="Arial" w:cs="Arial" w:eastAsia="Arial" w:hint="default"/>
                <w:sz w:val="20"/>
                <w:szCs w:val="20"/>
              </w:rPr>
            </w:pPr>
            <w:r>
              <w:rPr>
                <w:rFonts w:ascii="Arial"/>
                <w:spacing w:val="-1"/>
                <w:w w:val="95"/>
                <w:sz w:val="20"/>
              </w:rPr>
              <w:t>100</w:t>
            </w:r>
            <w:r>
              <w:rPr>
                <w:rFonts w:ascii="Arial"/>
                <w:sz w:val="20"/>
              </w:rPr>
            </w:r>
          </w:p>
        </w:tc>
        <w:tc>
          <w:tcPr>
            <w:tcW w:w="2444"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198"/>
              <w:jc w:val="right"/>
              <w:rPr>
                <w:rFonts w:ascii="黑体" w:hAnsi="黑体" w:cs="黑体" w:eastAsia="黑体" w:hint="default"/>
                <w:sz w:val="20"/>
                <w:szCs w:val="20"/>
              </w:rPr>
            </w:pPr>
            <w:r>
              <w:rPr>
                <w:rFonts w:ascii="黑体" w:hAnsi="黑体" w:cs="黑体" w:eastAsia="黑体" w:hint="default"/>
                <w:w w:val="95"/>
                <w:sz w:val="20"/>
                <w:szCs w:val="20"/>
              </w:rPr>
              <w:t>公司重组，押金不可收回</w:t>
            </w:r>
            <w:r>
              <w:rPr>
                <w:rFonts w:ascii="黑体" w:hAnsi="黑体" w:cs="黑体" w:eastAsia="黑体" w:hint="default"/>
                <w:sz w:val="20"/>
                <w:szCs w:val="20"/>
              </w:rPr>
            </w:r>
          </w:p>
        </w:tc>
      </w:tr>
      <w:tr>
        <w:trPr>
          <w:trHeight w:val="479" w:hRule="exact"/>
        </w:trPr>
        <w:tc>
          <w:tcPr>
            <w:tcW w:w="2275" w:type="dxa"/>
            <w:tcBorders>
              <w:top w:val="nil" w:sz="6" w:space="0" w:color="auto"/>
              <w:left w:val="nil" w:sz="6" w:space="0" w:color="auto"/>
              <w:bottom w:val="nil" w:sz="6" w:space="0" w:color="auto"/>
              <w:right w:val="nil" w:sz="6" w:space="0" w:color="auto"/>
            </w:tcBorders>
          </w:tcPr>
          <w:p>
            <w:pPr>
              <w:pStyle w:val="TableParagraph"/>
              <w:spacing w:line="230" w:lineRule="exact" w:before="2"/>
              <w:ind w:left="387" w:right="253" w:hanging="166"/>
              <w:jc w:val="left"/>
              <w:rPr>
                <w:rFonts w:ascii="黑体" w:hAnsi="黑体" w:cs="黑体" w:eastAsia="黑体" w:hint="default"/>
                <w:sz w:val="20"/>
                <w:szCs w:val="20"/>
              </w:rPr>
            </w:pPr>
            <w:r>
              <w:rPr>
                <w:rFonts w:ascii="黑体" w:hAnsi="黑体" w:cs="黑体" w:eastAsia="黑体" w:hint="default"/>
                <w:w w:val="95"/>
                <w:sz w:val="20"/>
                <w:szCs w:val="20"/>
              </w:rPr>
              <w:t>内蒙古草原兴发股份</w:t>
            </w:r>
            <w:r>
              <w:rPr>
                <w:rFonts w:ascii="黑体" w:hAnsi="黑体" w:cs="黑体" w:eastAsia="黑体" w:hint="default"/>
                <w:spacing w:val="-9"/>
                <w:w w:val="95"/>
                <w:sz w:val="20"/>
                <w:szCs w:val="20"/>
              </w:rPr>
              <w:t> </w:t>
            </w:r>
            <w:r>
              <w:rPr>
                <w:rFonts w:ascii="黑体" w:hAnsi="黑体" w:cs="黑体" w:eastAsia="黑体" w:hint="default"/>
                <w:spacing w:val="-9"/>
                <w:w w:val="95"/>
                <w:sz w:val="20"/>
                <w:szCs w:val="20"/>
              </w:rPr>
            </w:r>
            <w:r>
              <w:rPr>
                <w:rFonts w:ascii="黑体" w:hAnsi="黑体" w:cs="黑体" w:eastAsia="黑体" w:hint="default"/>
                <w:sz w:val="20"/>
                <w:szCs w:val="20"/>
              </w:rPr>
              <w:t>有限公司</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sz w:val="14"/>
                <w:szCs w:val="14"/>
              </w:rPr>
            </w:pPr>
          </w:p>
          <w:p>
            <w:pPr>
              <w:pStyle w:val="TableParagraph"/>
              <w:spacing w:line="240" w:lineRule="auto"/>
              <w:ind w:right="72"/>
              <w:jc w:val="right"/>
              <w:rPr>
                <w:rFonts w:ascii="Arial" w:hAnsi="Arial" w:cs="Arial" w:eastAsia="Arial" w:hint="default"/>
                <w:sz w:val="20"/>
                <w:szCs w:val="20"/>
              </w:rPr>
            </w:pPr>
            <w:r>
              <w:rPr>
                <w:rFonts w:ascii="Arial"/>
                <w:spacing w:val="-1"/>
                <w:sz w:val="20"/>
              </w:rPr>
              <w:t>80,000</w:t>
            </w:r>
            <w:r>
              <w:rPr>
                <w:rFonts w:ascii="Arial"/>
                <w:sz w:val="20"/>
              </w:rPr>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sz w:val="14"/>
                <w:szCs w:val="14"/>
              </w:rPr>
            </w:pPr>
          </w:p>
          <w:p>
            <w:pPr>
              <w:pStyle w:val="TableParagraph"/>
              <w:spacing w:line="240" w:lineRule="auto"/>
              <w:ind w:right="95"/>
              <w:jc w:val="right"/>
              <w:rPr>
                <w:rFonts w:ascii="Arial" w:hAnsi="Arial" w:cs="Arial" w:eastAsia="Arial" w:hint="default"/>
                <w:sz w:val="20"/>
                <w:szCs w:val="20"/>
              </w:rPr>
            </w:pPr>
            <w:r>
              <w:rPr>
                <w:rFonts w:ascii="Arial"/>
                <w:spacing w:val="-1"/>
                <w:sz w:val="20"/>
              </w:rPr>
              <w:t>80,000</w:t>
            </w:r>
            <w:r>
              <w:rPr>
                <w:rFonts w:ascii="Arial"/>
                <w:sz w:val="20"/>
              </w:rPr>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sz w:val="14"/>
                <w:szCs w:val="14"/>
              </w:rPr>
            </w:pPr>
          </w:p>
          <w:p>
            <w:pPr>
              <w:pStyle w:val="TableParagraph"/>
              <w:spacing w:line="240" w:lineRule="auto"/>
              <w:ind w:right="43"/>
              <w:jc w:val="right"/>
              <w:rPr>
                <w:rFonts w:ascii="Arial" w:hAnsi="Arial" w:cs="Arial" w:eastAsia="Arial" w:hint="default"/>
                <w:sz w:val="20"/>
                <w:szCs w:val="20"/>
              </w:rPr>
            </w:pPr>
            <w:r>
              <w:rPr>
                <w:rFonts w:ascii="Arial"/>
                <w:spacing w:val="-1"/>
                <w:w w:val="95"/>
                <w:sz w:val="20"/>
              </w:rPr>
              <w:t>100</w:t>
            </w:r>
            <w:r>
              <w:rPr>
                <w:rFonts w:ascii="Arial"/>
                <w:sz w:val="20"/>
              </w:rPr>
            </w:r>
          </w:p>
        </w:tc>
        <w:tc>
          <w:tcPr>
            <w:tcW w:w="2444"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98"/>
              <w:jc w:val="right"/>
              <w:rPr>
                <w:rFonts w:ascii="黑体" w:hAnsi="黑体" w:cs="黑体" w:eastAsia="黑体" w:hint="default"/>
                <w:sz w:val="20"/>
                <w:szCs w:val="20"/>
              </w:rPr>
            </w:pPr>
            <w:r>
              <w:rPr>
                <w:rFonts w:ascii="黑体" w:hAnsi="黑体" w:cs="黑体" w:eastAsia="黑体" w:hint="default"/>
                <w:w w:val="95"/>
                <w:sz w:val="20"/>
                <w:szCs w:val="20"/>
              </w:rPr>
              <w:t>项目终止，押金不可收回</w:t>
            </w:r>
            <w:r>
              <w:rPr>
                <w:rFonts w:ascii="黑体" w:hAnsi="黑体" w:cs="黑体" w:eastAsia="黑体" w:hint="default"/>
                <w:sz w:val="20"/>
                <w:szCs w:val="20"/>
              </w:rPr>
            </w:r>
          </w:p>
        </w:tc>
      </w:tr>
      <w:tr>
        <w:trPr>
          <w:trHeight w:val="443" w:hRule="exact"/>
        </w:trPr>
        <w:tc>
          <w:tcPr>
            <w:tcW w:w="2275" w:type="dxa"/>
            <w:tcBorders>
              <w:top w:val="nil" w:sz="6" w:space="0" w:color="auto"/>
              <w:left w:val="nil" w:sz="6" w:space="0" w:color="auto"/>
              <w:bottom w:val="nil" w:sz="6" w:space="0" w:color="auto"/>
              <w:right w:val="nil" w:sz="6" w:space="0" w:color="auto"/>
            </w:tcBorders>
          </w:tcPr>
          <w:p>
            <w:pPr>
              <w:pStyle w:val="TableParagraph"/>
              <w:spacing w:line="233" w:lineRule="exact"/>
              <w:ind w:left="221"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2"/>
              <w:jc w:val="right"/>
              <w:rPr>
                <w:rFonts w:ascii="Arial" w:hAnsi="Arial" w:cs="Arial" w:eastAsia="Arial" w:hint="default"/>
                <w:sz w:val="20"/>
                <w:szCs w:val="20"/>
              </w:rPr>
            </w:pPr>
            <w:r>
              <w:rPr>
                <w:rFonts w:ascii="Arial"/>
                <w:w w:val="99"/>
                <w:sz w:val="20"/>
              </w:rPr>
            </w:r>
            <w:r>
              <w:rPr>
                <w:rFonts w:ascii="Arial"/>
                <w:spacing w:val="-1"/>
                <w:sz w:val="20"/>
                <w:u w:val="single" w:color="000000"/>
              </w:rPr>
              <w:t>50,065,284</w:t>
            </w:r>
            <w:r>
              <w:rPr>
                <w:rFonts w:ascii="Arial"/>
                <w:spacing w:val="-1"/>
                <w:sz w:val="20"/>
              </w:rPr>
            </w:r>
            <w:r>
              <w:rPr>
                <w:rFonts w:ascii="Arial"/>
                <w:sz w:val="20"/>
              </w:rPr>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5"/>
              <w:jc w:val="right"/>
              <w:rPr>
                <w:rFonts w:ascii="Arial" w:hAnsi="Arial" w:cs="Arial" w:eastAsia="Arial" w:hint="default"/>
                <w:sz w:val="20"/>
                <w:szCs w:val="20"/>
              </w:rPr>
            </w:pPr>
            <w:r>
              <w:rPr>
                <w:rFonts w:ascii="Arial"/>
                <w:w w:val="99"/>
                <w:sz w:val="20"/>
              </w:rPr>
            </w:r>
            <w:r>
              <w:rPr>
                <w:rFonts w:ascii="Arial"/>
                <w:spacing w:val="-1"/>
                <w:sz w:val="20"/>
                <w:u w:val="single" w:color="000000"/>
              </w:rPr>
              <w:t>2,138,512</w:t>
            </w:r>
            <w:r>
              <w:rPr>
                <w:rFonts w:ascii="Arial"/>
                <w:spacing w:val="-1"/>
                <w:sz w:val="20"/>
              </w:rPr>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40"/>
              <w:jc w:val="right"/>
              <w:rPr>
                <w:rFonts w:ascii="Arial" w:hAnsi="Arial" w:cs="Arial" w:eastAsia="Arial" w:hint="default"/>
                <w:sz w:val="20"/>
                <w:szCs w:val="20"/>
              </w:rPr>
            </w:pPr>
            <w:r>
              <w:rPr>
                <w:rFonts w:ascii="Arial"/>
                <w:w w:val="99"/>
                <w:sz w:val="20"/>
              </w:rPr>
              <w:t>4</w:t>
            </w:r>
            <w:r>
              <w:rPr>
                <w:rFonts w:ascii="Arial"/>
                <w:sz w:val="20"/>
              </w:rPr>
            </w:r>
          </w:p>
        </w:tc>
        <w:tc>
          <w:tcPr>
            <w:tcW w:w="2444" w:type="dxa"/>
            <w:tcBorders>
              <w:top w:val="nil" w:sz="6" w:space="0" w:color="auto"/>
              <w:left w:val="nil" w:sz="6" w:space="0" w:color="auto"/>
              <w:bottom w:val="nil" w:sz="6" w:space="0" w:color="auto"/>
              <w:right w:val="nil" w:sz="6" w:space="0" w:color="auto"/>
            </w:tcBorders>
          </w:tcPr>
          <w:p>
            <w:pPr/>
          </w:p>
        </w:tc>
      </w:tr>
      <w:tr>
        <w:trPr>
          <w:trHeight w:val="400" w:hRule="exact"/>
        </w:trPr>
        <w:tc>
          <w:tcPr>
            <w:tcW w:w="2275" w:type="dxa"/>
            <w:tcBorders>
              <w:top w:val="nil" w:sz="6" w:space="0" w:color="auto"/>
              <w:left w:val="nil" w:sz="6" w:space="0" w:color="auto"/>
              <w:bottom w:val="nil" w:sz="6" w:space="0" w:color="auto"/>
              <w:right w:val="nil" w:sz="6" w:space="0" w:color="auto"/>
            </w:tcBorders>
          </w:tcPr>
          <w:p>
            <w:pP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72"/>
              <w:jc w:val="right"/>
              <w:rPr>
                <w:rFonts w:ascii="Arial" w:hAnsi="Arial" w:cs="Arial" w:eastAsia="Arial" w:hint="default"/>
                <w:sz w:val="20"/>
                <w:szCs w:val="20"/>
              </w:rPr>
            </w:pPr>
            <w:r>
              <w:rPr>
                <w:rFonts w:ascii="Arial"/>
                <w:w w:val="99"/>
                <w:sz w:val="20"/>
              </w:rPr>
            </w:r>
            <w:r>
              <w:rPr>
                <w:rFonts w:ascii="Arial"/>
                <w:spacing w:val="-1"/>
                <w:sz w:val="20"/>
                <w:u w:val="thick" w:color="000000"/>
              </w:rPr>
              <w:t>50,328,853</w:t>
            </w:r>
            <w:r>
              <w:rPr>
                <w:rFonts w:ascii="Arial"/>
                <w:spacing w:val="-1"/>
                <w:sz w:val="20"/>
              </w:rPr>
            </w:r>
            <w:r>
              <w:rPr>
                <w:rFonts w:ascii="Arial"/>
                <w:sz w:val="20"/>
              </w:rPr>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95"/>
              <w:jc w:val="right"/>
              <w:rPr>
                <w:rFonts w:ascii="Arial" w:hAnsi="Arial" w:cs="Arial" w:eastAsia="Arial" w:hint="default"/>
                <w:sz w:val="20"/>
                <w:szCs w:val="20"/>
              </w:rPr>
            </w:pPr>
            <w:r>
              <w:rPr>
                <w:rFonts w:ascii="Arial"/>
                <w:w w:val="99"/>
                <w:sz w:val="20"/>
              </w:rPr>
            </w:r>
            <w:r>
              <w:rPr>
                <w:rFonts w:ascii="Arial"/>
                <w:spacing w:val="-1"/>
                <w:sz w:val="20"/>
                <w:u w:val="thick" w:color="000000"/>
              </w:rPr>
              <w:t>2,402,081</w:t>
            </w:r>
            <w:r>
              <w:rPr>
                <w:rFonts w:ascii="Arial"/>
                <w:spacing w:val="-1"/>
                <w:sz w:val="20"/>
              </w:rPr>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38"/>
              <w:jc w:val="right"/>
              <w:rPr>
                <w:rFonts w:ascii="Arial" w:hAnsi="Arial" w:cs="Arial" w:eastAsia="Arial" w:hint="default"/>
                <w:sz w:val="20"/>
                <w:szCs w:val="20"/>
              </w:rPr>
            </w:pPr>
            <w:r>
              <w:rPr>
                <w:rFonts w:ascii="Arial"/>
                <w:w w:val="99"/>
                <w:sz w:val="20"/>
              </w:rPr>
              <w:t>5</w:t>
            </w:r>
            <w:r>
              <w:rPr>
                <w:rFonts w:ascii="Arial"/>
                <w:sz w:val="20"/>
              </w:rPr>
            </w:r>
          </w:p>
        </w:tc>
        <w:tc>
          <w:tcPr>
            <w:tcW w:w="2444" w:type="dxa"/>
            <w:tcBorders>
              <w:top w:val="nil" w:sz="6" w:space="0" w:color="auto"/>
              <w:left w:val="nil" w:sz="6" w:space="0" w:color="auto"/>
              <w:bottom w:val="nil" w:sz="6" w:space="0" w:color="auto"/>
              <w:right w:val="nil" w:sz="6" w:space="0" w:color="auto"/>
            </w:tcBorders>
          </w:tcPr>
          <w:p>
            <w:pPr/>
          </w:p>
        </w:tc>
      </w:tr>
    </w:tbl>
    <w:p>
      <w:pPr>
        <w:spacing w:line="240" w:lineRule="auto" w:before="3"/>
        <w:rPr>
          <w:rFonts w:ascii="黑体" w:hAnsi="黑体" w:cs="黑体" w:eastAsia="黑体" w:hint="default"/>
          <w:sz w:val="22"/>
          <w:szCs w:val="22"/>
        </w:rPr>
      </w:pPr>
    </w:p>
    <w:p>
      <w:pPr>
        <w:pStyle w:val="BodyText"/>
        <w:spacing w:line="261" w:lineRule="auto" w:before="37"/>
        <w:ind w:left="861" w:right="300"/>
        <w:jc w:val="left"/>
      </w:pPr>
      <w:r>
        <w:rPr>
          <w:w w:val="95"/>
        </w:rPr>
        <w:t>于</w:t>
      </w:r>
      <w:r>
        <w:rPr>
          <w:rFonts w:ascii="Arial" w:hAnsi="Arial" w:cs="Arial" w:eastAsia="Arial" w:hint="default"/>
          <w:w w:val="95"/>
        </w:rPr>
        <w:t>2012</w:t>
      </w:r>
      <w:r>
        <w:rPr>
          <w:w w:val="95"/>
        </w:rPr>
        <w:t>年度，本集团无已计提坏账准备的重大其他应收款转回或收回</w:t>
      </w:r>
      <w:r>
        <w:rPr>
          <w:rFonts w:ascii="Arial" w:hAnsi="Arial" w:cs="Arial" w:eastAsia="Arial" w:hint="default"/>
          <w:w w:val="95"/>
        </w:rPr>
        <w:t>(2011</w:t>
      </w:r>
      <w:r>
        <w:rPr>
          <w:w w:val="95"/>
        </w:rPr>
        <w:t>年</w:t>
      </w:r>
      <w:r>
        <w:rPr>
          <w:rFonts w:ascii="Arial" w:hAnsi="Arial" w:cs="Arial" w:eastAsia="Arial" w:hint="default"/>
          <w:w w:val="95"/>
        </w:rPr>
        <w:t>12</w:t>
      </w:r>
      <w:r>
        <w:rPr>
          <w:w w:val="95"/>
        </w:rPr>
        <w:t>月</w:t>
      </w:r>
      <w:r>
        <w:rPr>
          <w:rFonts w:ascii="Arial" w:hAnsi="Arial" w:cs="Arial" w:eastAsia="Arial" w:hint="default"/>
          <w:w w:val="95"/>
        </w:rPr>
        <w:t>31</w:t>
      </w:r>
      <w:r>
        <w:rPr>
          <w:w w:val="95"/>
        </w:rPr>
        <w:t>日：  </w:t>
      </w:r>
      <w:r>
        <w:rPr>
          <w:spacing w:val="94"/>
          <w:w w:val="95"/>
        </w:rPr>
        <w:t> </w:t>
      </w:r>
      <w:r>
        <w:rPr/>
        <w:t>无</w:t>
      </w:r>
      <w:r>
        <w:rPr>
          <w:rFonts w:ascii="Arial" w:hAnsi="Arial" w:cs="Arial" w:eastAsia="Arial" w:hint="default"/>
        </w:rPr>
        <w:t>)</w:t>
      </w:r>
      <w:r>
        <w:rPr/>
        <w:t>。</w:t>
      </w:r>
    </w:p>
    <w:p>
      <w:pPr>
        <w:spacing w:after="0" w:line="261" w:lineRule="auto"/>
        <w:jc w:val="left"/>
        <w:sectPr>
          <w:pgSz w:w="11910" w:h="16850"/>
          <w:pgMar w:header="957" w:footer="468" w:top="2640" w:bottom="660" w:left="1560" w:right="1400"/>
        </w:sectPr>
      </w:pPr>
    </w:p>
    <w:p>
      <w:pPr>
        <w:spacing w:line="240" w:lineRule="auto" w:before="5"/>
        <w:rPr>
          <w:rFonts w:ascii="黑体" w:hAnsi="黑体" w:cs="黑体" w:eastAsia="黑体" w:hint="default"/>
          <w:sz w:val="16"/>
          <w:szCs w:val="16"/>
        </w:rPr>
      </w:pPr>
    </w:p>
    <w:p>
      <w:pPr>
        <w:pStyle w:val="Heading6"/>
        <w:tabs>
          <w:tab w:pos="844" w:val="left" w:leader="none"/>
        </w:tabs>
        <w:spacing w:line="240" w:lineRule="auto"/>
        <w:ind w:left="141" w:right="300"/>
        <w:jc w:val="left"/>
        <w:rPr>
          <w:b w:val="0"/>
          <w:bCs w:val="0"/>
        </w:rPr>
      </w:pPr>
      <w:r>
        <w:rPr>
          <w:w w:val="95"/>
        </w:rPr>
        <w:t>五、</w:t>
        <w:tab/>
      </w:r>
      <w:bookmarkStart w:name="五、   合并财务报表主要项目注释（续）" w:id="73"/>
      <w:bookmarkEnd w:id="73"/>
      <w:r>
        <w:rPr/>
        <w:t>合并</w:t>
      </w:r>
      <w:r>
        <w:rPr/>
        <w:t>财务报表主要项目注释（续）</w:t>
      </w:r>
      <w:r>
        <w:rPr>
          <w:b w:val="0"/>
          <w:bCs w:val="0"/>
        </w:rPr>
      </w:r>
    </w:p>
    <w:p>
      <w:pPr>
        <w:spacing w:line="240" w:lineRule="auto" w:before="5"/>
        <w:rPr>
          <w:rFonts w:ascii="黑体" w:hAnsi="黑体" w:cs="黑体" w:eastAsia="黑体" w:hint="default"/>
          <w:b/>
          <w:bCs/>
          <w:sz w:val="20"/>
          <w:szCs w:val="20"/>
        </w:rPr>
      </w:pPr>
    </w:p>
    <w:p>
      <w:pPr>
        <w:tabs>
          <w:tab w:pos="832" w:val="left" w:leader="none"/>
        </w:tabs>
        <w:spacing w:line="489" w:lineRule="auto" w:before="0"/>
        <w:ind w:left="825" w:right="300" w:hanging="684"/>
        <w:jc w:val="left"/>
        <w:rPr>
          <w:rFonts w:ascii="黑体" w:hAnsi="黑体" w:cs="黑体" w:eastAsia="黑体" w:hint="default"/>
          <w:sz w:val="20"/>
          <w:szCs w:val="20"/>
        </w:rPr>
      </w:pPr>
      <w:r>
        <w:rPr>
          <w:rFonts w:ascii="Arial" w:hAnsi="Arial" w:cs="Arial" w:eastAsia="Arial" w:hint="default"/>
          <w:b/>
          <w:bCs/>
          <w:spacing w:val="-1"/>
          <w:sz w:val="20"/>
          <w:szCs w:val="20"/>
        </w:rPr>
        <w:t>5.</w:t>
        <w:tab/>
        <w:tab/>
      </w:r>
      <w:r>
        <w:rPr>
          <w:rFonts w:ascii="黑体" w:hAnsi="黑体" w:cs="黑体" w:eastAsia="黑体" w:hint="default"/>
          <w:b/>
          <w:bCs/>
          <w:spacing w:val="1"/>
          <w:sz w:val="20"/>
          <w:szCs w:val="20"/>
        </w:rPr>
        <w:t>其他应收</w:t>
      </w:r>
      <w:bookmarkStart w:name="5.    其他应收款（续）" w:id="74"/>
      <w:bookmarkEnd w:id="74"/>
      <w:r>
        <w:rPr>
          <w:rFonts w:ascii="黑体" w:hAnsi="黑体" w:cs="黑体" w:eastAsia="黑体" w:hint="default"/>
          <w:b/>
          <w:bCs/>
          <w:spacing w:val="1"/>
          <w:sz w:val="20"/>
          <w:szCs w:val="20"/>
        </w:rPr>
        <w:t>款（</w:t>
      </w:r>
      <w:r>
        <w:rPr>
          <w:rFonts w:ascii="黑体" w:hAnsi="黑体" w:cs="黑体" w:eastAsia="黑体" w:hint="default"/>
          <w:b/>
          <w:bCs/>
          <w:spacing w:val="1"/>
          <w:sz w:val="20"/>
          <w:szCs w:val="20"/>
        </w:rPr>
        <w:t>续）</w:t>
      </w:r>
      <w:r>
        <w:rPr>
          <w:rFonts w:ascii="黑体" w:hAnsi="黑体" w:cs="黑体" w:eastAsia="黑体" w:hint="default"/>
          <w:b/>
          <w:bCs/>
          <w:w w:val="99"/>
          <w:sz w:val="20"/>
          <w:szCs w:val="20"/>
        </w:rPr>
        <w:t> </w:t>
      </w:r>
      <w:r>
        <w:rPr>
          <w:rFonts w:ascii="黑体" w:hAnsi="黑体" w:cs="黑体" w:eastAsia="黑体" w:hint="default"/>
          <w:sz w:val="20"/>
          <w:szCs w:val="20"/>
        </w:rPr>
        <w:t>于</w:t>
      </w:r>
      <w:r>
        <w:rPr>
          <w:rFonts w:ascii="Arial" w:hAnsi="Arial" w:cs="Arial" w:eastAsia="Arial" w:hint="default"/>
          <w:sz w:val="20"/>
          <w:szCs w:val="20"/>
        </w:rPr>
        <w:t>2012</w:t>
      </w:r>
      <w:r>
        <w:rPr>
          <w:rFonts w:ascii="黑体" w:hAnsi="黑体" w:cs="黑体" w:eastAsia="黑体" w:hint="default"/>
          <w:sz w:val="20"/>
          <w:szCs w:val="20"/>
        </w:rPr>
        <w:t>年度，本集团无实际核销的其他应收款。</w:t>
      </w:r>
      <w:r>
        <w:rPr>
          <w:rFonts w:ascii="Arial" w:hAnsi="Arial" w:cs="Arial" w:eastAsia="Arial" w:hint="default"/>
          <w:sz w:val="20"/>
          <w:szCs w:val="20"/>
        </w:rPr>
        <w:t>(2011</w:t>
      </w:r>
      <w:r>
        <w:rPr>
          <w:rFonts w:ascii="黑体" w:hAnsi="黑体" w:cs="黑体" w:eastAsia="黑体" w:hint="default"/>
          <w:sz w:val="20"/>
          <w:szCs w:val="20"/>
        </w:rPr>
        <w:t>年</w:t>
      </w: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日：无</w:t>
      </w:r>
      <w:r>
        <w:rPr>
          <w:rFonts w:ascii="Arial" w:hAnsi="Arial" w:cs="Arial" w:eastAsia="Arial" w:hint="default"/>
          <w:sz w:val="20"/>
          <w:szCs w:val="20"/>
        </w:rPr>
        <w:t>)</w:t>
      </w:r>
      <w:r>
        <w:rPr>
          <w:rFonts w:ascii="黑体" w:hAnsi="黑体" w:cs="黑体" w:eastAsia="黑体" w:hint="default"/>
          <w:sz w:val="20"/>
          <w:szCs w:val="20"/>
        </w:rPr>
        <w:t>。</w:t>
      </w:r>
    </w:p>
    <w:p>
      <w:pPr>
        <w:pStyle w:val="BodyText"/>
        <w:spacing w:line="242" w:lineRule="auto" w:before="53"/>
        <w:ind w:left="827" w:right="298"/>
        <w:jc w:val="left"/>
      </w:pP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日，本集团中无持有本公司</w:t>
      </w:r>
      <w:r>
        <w:rPr>
          <w:rFonts w:ascii="Arial" w:hAnsi="Arial" w:cs="Arial" w:eastAsia="Arial" w:hint="default"/>
        </w:rPr>
        <w:t>5%(</w:t>
      </w:r>
      <w:r>
        <w:rPr/>
        <w:t>含</w:t>
      </w:r>
      <w:r>
        <w:rPr>
          <w:rFonts w:ascii="Arial" w:hAnsi="Arial" w:cs="Arial" w:eastAsia="Arial" w:hint="default"/>
        </w:rPr>
        <w:t>5%)</w:t>
      </w:r>
      <w:r>
        <w:rPr/>
        <w:t>以上表决权股份的股东单位的其他</w:t>
      </w:r>
      <w:r>
        <w:rPr>
          <w:spacing w:val="-97"/>
        </w:rPr>
        <w:t> </w:t>
      </w:r>
      <w:r>
        <w:rPr>
          <w:spacing w:val="-97"/>
        </w:rPr>
      </w:r>
      <w:r>
        <w:rPr/>
        <w:t>应收款</w:t>
      </w:r>
      <w:r>
        <w:rPr>
          <w:spacing w:val="-10"/>
        </w:rPr>
        <w:t> </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w:t>
      </w:r>
    </w:p>
    <w:p>
      <w:pPr>
        <w:spacing w:line="240" w:lineRule="auto" w:before="9"/>
        <w:rPr>
          <w:rFonts w:ascii="黑体" w:hAnsi="黑体" w:cs="黑体" w:eastAsia="黑体" w:hint="default"/>
          <w:sz w:val="21"/>
          <w:szCs w:val="21"/>
        </w:rPr>
      </w:pPr>
    </w:p>
    <w:p>
      <w:pPr>
        <w:pStyle w:val="BodyText"/>
        <w:spacing w:line="240" w:lineRule="auto"/>
        <w:ind w:left="827" w:right="300"/>
        <w:jc w:val="left"/>
      </w:pP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日，其他应收款金额前五名如下：</w:t>
      </w:r>
    </w:p>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11"/>
          <w:szCs w:val="11"/>
        </w:rPr>
      </w:pPr>
    </w:p>
    <w:tbl>
      <w:tblPr>
        <w:tblW w:w="0" w:type="auto"/>
        <w:jc w:val="left"/>
        <w:tblInd w:w="649" w:type="dxa"/>
        <w:tblLayout w:type="fixed"/>
        <w:tblCellMar>
          <w:top w:w="0" w:type="dxa"/>
          <w:left w:w="0" w:type="dxa"/>
          <w:bottom w:w="0" w:type="dxa"/>
          <w:right w:w="0" w:type="dxa"/>
        </w:tblCellMar>
        <w:tblLook w:val="01E0"/>
      </w:tblPr>
      <w:tblGrid>
        <w:gridCol w:w="3074"/>
        <w:gridCol w:w="1195"/>
        <w:gridCol w:w="1127"/>
        <w:gridCol w:w="947"/>
        <w:gridCol w:w="1850"/>
      </w:tblGrid>
      <w:tr>
        <w:trPr>
          <w:trHeight w:val="227" w:hRule="exact"/>
        </w:trPr>
        <w:tc>
          <w:tcPr>
            <w:tcW w:w="4269" w:type="dxa"/>
            <w:gridSpan w:val="2"/>
            <w:tcBorders>
              <w:top w:val="nil" w:sz="6" w:space="0" w:color="auto"/>
              <w:left w:val="nil" w:sz="6" w:space="0" w:color="auto"/>
              <w:bottom w:val="nil" w:sz="6" w:space="0" w:color="auto"/>
              <w:right w:val="nil" w:sz="6" w:space="0" w:color="auto"/>
            </w:tcBorders>
          </w:tcPr>
          <w:p>
            <w:pPr>
              <w:pStyle w:val="TableParagraph"/>
              <w:spacing w:line="199" w:lineRule="exact"/>
              <w:ind w:right="121"/>
              <w:jc w:val="right"/>
              <w:rPr>
                <w:rFonts w:ascii="黑体" w:hAnsi="黑体" w:cs="黑体" w:eastAsia="黑体" w:hint="default"/>
                <w:sz w:val="20"/>
                <w:szCs w:val="20"/>
              </w:rPr>
            </w:pPr>
            <w:r>
              <w:rPr>
                <w:rFonts w:ascii="黑体" w:hAnsi="黑体" w:cs="黑体" w:eastAsia="黑体" w:hint="default"/>
                <w:w w:val="95"/>
                <w:sz w:val="20"/>
                <w:szCs w:val="20"/>
              </w:rPr>
              <w:t>与本集团关系</w:t>
            </w:r>
            <w:r>
              <w:rPr>
                <w:rFonts w:ascii="黑体" w:hAnsi="黑体" w:cs="黑体" w:eastAsia="黑体" w:hint="default"/>
                <w:sz w:val="20"/>
                <w:szCs w:val="20"/>
              </w:rPr>
            </w:r>
          </w:p>
        </w:tc>
        <w:tc>
          <w:tcPr>
            <w:tcW w:w="1127" w:type="dxa"/>
            <w:tcBorders>
              <w:top w:val="nil" w:sz="6" w:space="0" w:color="auto"/>
              <w:left w:val="nil" w:sz="6" w:space="0" w:color="auto"/>
              <w:bottom w:val="nil" w:sz="6" w:space="0" w:color="auto"/>
              <w:right w:val="nil" w:sz="6" w:space="0" w:color="auto"/>
            </w:tcBorders>
          </w:tcPr>
          <w:p>
            <w:pPr>
              <w:pStyle w:val="TableParagraph"/>
              <w:spacing w:line="199" w:lineRule="exact"/>
              <w:ind w:right="113"/>
              <w:jc w:val="right"/>
              <w:rPr>
                <w:rFonts w:ascii="黑体" w:hAnsi="黑体" w:cs="黑体" w:eastAsia="黑体" w:hint="default"/>
                <w:sz w:val="20"/>
                <w:szCs w:val="20"/>
              </w:rPr>
            </w:pPr>
            <w:r>
              <w:rPr>
                <w:rFonts w:ascii="黑体" w:hAnsi="黑体" w:cs="黑体" w:eastAsia="黑体" w:hint="default"/>
                <w:w w:val="95"/>
                <w:sz w:val="20"/>
                <w:szCs w:val="20"/>
              </w:rPr>
              <w:t>金额</w:t>
            </w:r>
            <w:r>
              <w:rPr>
                <w:rFonts w:ascii="黑体" w:hAnsi="黑体" w:cs="黑体" w:eastAsia="黑体" w:hint="default"/>
                <w:sz w:val="20"/>
                <w:szCs w:val="20"/>
              </w:rPr>
            </w:r>
          </w:p>
        </w:tc>
        <w:tc>
          <w:tcPr>
            <w:tcW w:w="947" w:type="dxa"/>
            <w:tcBorders>
              <w:top w:val="nil" w:sz="6" w:space="0" w:color="auto"/>
              <w:left w:val="nil" w:sz="6" w:space="0" w:color="auto"/>
              <w:bottom w:val="nil" w:sz="6" w:space="0" w:color="auto"/>
              <w:right w:val="nil" w:sz="6" w:space="0" w:color="auto"/>
            </w:tcBorders>
          </w:tcPr>
          <w:p>
            <w:pPr>
              <w:pStyle w:val="TableParagraph"/>
              <w:spacing w:line="199" w:lineRule="exact"/>
              <w:ind w:right="71"/>
              <w:jc w:val="right"/>
              <w:rPr>
                <w:rFonts w:ascii="黑体" w:hAnsi="黑体" w:cs="黑体" w:eastAsia="黑体" w:hint="default"/>
                <w:sz w:val="20"/>
                <w:szCs w:val="20"/>
              </w:rPr>
            </w:pPr>
            <w:r>
              <w:rPr>
                <w:rFonts w:ascii="黑体" w:hAnsi="黑体" w:cs="黑体" w:eastAsia="黑体" w:hint="default"/>
                <w:w w:val="95"/>
                <w:sz w:val="20"/>
                <w:szCs w:val="20"/>
              </w:rPr>
              <w:t>账龄</w:t>
            </w:r>
            <w:r>
              <w:rPr>
                <w:rFonts w:ascii="黑体" w:hAnsi="黑体" w:cs="黑体" w:eastAsia="黑体" w:hint="default"/>
                <w:sz w:val="20"/>
                <w:szCs w:val="20"/>
              </w:rPr>
            </w:r>
          </w:p>
        </w:tc>
        <w:tc>
          <w:tcPr>
            <w:tcW w:w="1850" w:type="dxa"/>
            <w:tcBorders>
              <w:top w:val="nil" w:sz="6" w:space="0" w:color="auto"/>
              <w:left w:val="nil" w:sz="6" w:space="0" w:color="auto"/>
              <w:bottom w:val="nil" w:sz="6" w:space="0" w:color="auto"/>
              <w:right w:val="nil" w:sz="6" w:space="0" w:color="auto"/>
            </w:tcBorders>
          </w:tcPr>
          <w:p>
            <w:pPr>
              <w:pStyle w:val="TableParagraph"/>
              <w:spacing w:line="199" w:lineRule="exact"/>
              <w:ind w:right="198"/>
              <w:jc w:val="right"/>
              <w:rPr>
                <w:rFonts w:ascii="黑体" w:hAnsi="黑体" w:cs="黑体" w:eastAsia="黑体" w:hint="default"/>
                <w:sz w:val="20"/>
                <w:szCs w:val="20"/>
              </w:rPr>
            </w:pPr>
            <w:r>
              <w:rPr>
                <w:rFonts w:ascii="黑体" w:hAnsi="黑体" w:cs="黑体" w:eastAsia="黑体" w:hint="default"/>
                <w:w w:val="95"/>
                <w:sz w:val="20"/>
                <w:szCs w:val="20"/>
              </w:rPr>
              <w:t>占其他应收款总额</w:t>
            </w:r>
            <w:r>
              <w:rPr>
                <w:rFonts w:ascii="黑体" w:hAnsi="黑体" w:cs="黑体" w:eastAsia="黑体" w:hint="default"/>
                <w:sz w:val="20"/>
                <w:szCs w:val="20"/>
              </w:rPr>
            </w:r>
          </w:p>
        </w:tc>
      </w:tr>
      <w:tr>
        <w:trPr>
          <w:trHeight w:val="398" w:hRule="exact"/>
        </w:trPr>
        <w:tc>
          <w:tcPr>
            <w:tcW w:w="3074"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
        </w:tc>
        <w:tc>
          <w:tcPr>
            <w:tcW w:w="947"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1" w:lineRule="exact"/>
              <w:ind w:right="220"/>
              <w:jc w:val="right"/>
              <w:rPr>
                <w:rFonts w:ascii="Arial" w:hAnsi="Arial" w:cs="Arial" w:eastAsia="Arial" w:hint="default"/>
                <w:sz w:val="20"/>
                <w:szCs w:val="20"/>
              </w:rPr>
            </w:pPr>
            <w:r>
              <w:rPr>
                <w:rFonts w:ascii="黑体" w:hAnsi="黑体" w:cs="黑体" w:eastAsia="黑体" w:hint="default"/>
                <w:w w:val="95"/>
                <w:sz w:val="20"/>
                <w:szCs w:val="20"/>
              </w:rPr>
              <w:t>的比例</w:t>
            </w:r>
            <w:r>
              <w:rPr>
                <w:rFonts w:ascii="Arial" w:hAnsi="Arial" w:cs="Arial" w:eastAsia="Arial" w:hint="default"/>
                <w:w w:val="95"/>
                <w:sz w:val="20"/>
                <w:szCs w:val="20"/>
              </w:rPr>
              <w:t>(%)</w:t>
            </w:r>
            <w:r>
              <w:rPr>
                <w:rFonts w:ascii="Arial" w:hAnsi="Arial" w:cs="Arial" w:eastAsia="Arial" w:hint="default"/>
                <w:sz w:val="20"/>
                <w:szCs w:val="20"/>
              </w:rPr>
            </w:r>
          </w:p>
        </w:tc>
      </w:tr>
      <w:tr>
        <w:trPr>
          <w:trHeight w:val="394" w:hRule="exact"/>
        </w:trPr>
        <w:tc>
          <w:tcPr>
            <w:tcW w:w="3074"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00" w:right="0"/>
              <w:jc w:val="left"/>
              <w:rPr>
                <w:rFonts w:ascii="黑体" w:hAnsi="黑体" w:cs="黑体" w:eastAsia="黑体" w:hint="default"/>
                <w:sz w:val="20"/>
                <w:szCs w:val="20"/>
              </w:rPr>
            </w:pPr>
            <w:r>
              <w:rPr>
                <w:rFonts w:ascii="黑体" w:hAnsi="黑体" w:cs="黑体" w:eastAsia="黑体" w:hint="default"/>
                <w:sz w:val="20"/>
                <w:szCs w:val="20"/>
              </w:rPr>
              <w:t>温州市创力电子有限公司</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21"/>
              <w:jc w:val="right"/>
              <w:rPr>
                <w:rFonts w:ascii="黑体" w:hAnsi="黑体" w:cs="黑体" w:eastAsia="黑体" w:hint="default"/>
                <w:sz w:val="20"/>
                <w:szCs w:val="20"/>
              </w:rPr>
            </w:pPr>
            <w:r>
              <w:rPr>
                <w:rFonts w:ascii="黑体" w:hAnsi="黑体" w:cs="黑体" w:eastAsia="黑体" w:hint="default"/>
                <w:w w:val="95"/>
                <w:sz w:val="20"/>
                <w:szCs w:val="20"/>
              </w:rPr>
              <w:t>非关联方</w:t>
            </w:r>
            <w:r>
              <w:rPr>
                <w:rFonts w:ascii="黑体" w:hAnsi="黑体" w:cs="黑体" w:eastAsia="黑体" w:hint="default"/>
                <w:sz w:val="20"/>
                <w:szCs w:val="20"/>
              </w:rPr>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13"/>
              <w:jc w:val="right"/>
              <w:rPr>
                <w:rFonts w:ascii="Arial" w:hAnsi="Arial" w:cs="Arial" w:eastAsia="Arial" w:hint="default"/>
                <w:sz w:val="20"/>
                <w:szCs w:val="20"/>
              </w:rPr>
            </w:pPr>
            <w:r>
              <w:rPr>
                <w:rFonts w:ascii="Arial"/>
                <w:spacing w:val="-1"/>
                <w:sz w:val="20"/>
              </w:rPr>
              <w:t>3,000,000</w:t>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71"/>
              <w:jc w:val="righ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9"/>
                <w:sz w:val="20"/>
                <w:szCs w:val="20"/>
              </w:rPr>
              <w:t> </w:t>
            </w:r>
            <w:r>
              <w:rPr>
                <w:rFonts w:ascii="黑体" w:hAnsi="黑体" w:cs="黑体" w:eastAsia="黑体" w:hint="default"/>
                <w:sz w:val="20"/>
                <w:szCs w:val="20"/>
              </w:rPr>
              <w:t>年以内</w:t>
            </w: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216"/>
              <w:jc w:val="right"/>
              <w:rPr>
                <w:rFonts w:ascii="Arial" w:hAnsi="Arial" w:cs="Arial" w:eastAsia="Arial" w:hint="default"/>
                <w:sz w:val="20"/>
                <w:szCs w:val="20"/>
              </w:rPr>
            </w:pPr>
            <w:r>
              <w:rPr>
                <w:rFonts w:ascii="Arial"/>
                <w:w w:val="99"/>
                <w:sz w:val="20"/>
              </w:rPr>
              <w:t>3</w:t>
            </w:r>
            <w:r>
              <w:rPr>
                <w:rFonts w:ascii="Arial"/>
                <w:sz w:val="20"/>
              </w:rPr>
            </w:r>
          </w:p>
        </w:tc>
      </w:tr>
      <w:tr>
        <w:trPr>
          <w:trHeight w:val="254" w:hRule="exact"/>
        </w:trPr>
        <w:tc>
          <w:tcPr>
            <w:tcW w:w="3074"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z w:val="20"/>
                <w:szCs w:val="20"/>
              </w:rPr>
              <w:t>广东万和新电气股份有限公司</w:t>
            </w:r>
          </w:p>
        </w:tc>
        <w:tc>
          <w:tcPr>
            <w:tcW w:w="1195" w:type="dxa"/>
            <w:tcBorders>
              <w:top w:val="nil" w:sz="6" w:space="0" w:color="auto"/>
              <w:left w:val="nil" w:sz="6" w:space="0" w:color="auto"/>
              <w:bottom w:val="nil" w:sz="6" w:space="0" w:color="auto"/>
              <w:right w:val="nil" w:sz="6" w:space="0" w:color="auto"/>
            </w:tcBorders>
          </w:tcPr>
          <w:p>
            <w:pPr>
              <w:pStyle w:val="TableParagraph"/>
              <w:spacing w:line="222" w:lineRule="exact"/>
              <w:ind w:right="121"/>
              <w:jc w:val="right"/>
              <w:rPr>
                <w:rFonts w:ascii="黑体" w:hAnsi="黑体" w:cs="黑体" w:eastAsia="黑体" w:hint="default"/>
                <w:sz w:val="20"/>
                <w:szCs w:val="20"/>
              </w:rPr>
            </w:pPr>
            <w:r>
              <w:rPr>
                <w:rFonts w:ascii="黑体" w:hAnsi="黑体" w:cs="黑体" w:eastAsia="黑体" w:hint="default"/>
                <w:w w:val="95"/>
                <w:sz w:val="20"/>
                <w:szCs w:val="20"/>
              </w:rPr>
              <w:t>非关联方</w:t>
            </w:r>
            <w:r>
              <w:rPr>
                <w:rFonts w:ascii="黑体" w:hAnsi="黑体" w:cs="黑体" w:eastAsia="黑体" w:hint="default"/>
                <w:sz w:val="20"/>
                <w:szCs w:val="20"/>
              </w:rPr>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3"/>
              <w:jc w:val="right"/>
              <w:rPr>
                <w:rFonts w:ascii="Arial" w:hAnsi="Arial" w:cs="Arial" w:eastAsia="Arial" w:hint="default"/>
                <w:sz w:val="20"/>
                <w:szCs w:val="20"/>
              </w:rPr>
            </w:pPr>
            <w:r>
              <w:rPr>
                <w:rFonts w:ascii="Arial"/>
                <w:spacing w:val="-1"/>
                <w:sz w:val="20"/>
              </w:rPr>
              <w:t>3,000,000</w:t>
            </w:r>
          </w:p>
        </w:tc>
        <w:tc>
          <w:tcPr>
            <w:tcW w:w="947" w:type="dxa"/>
            <w:tcBorders>
              <w:top w:val="nil" w:sz="6" w:space="0" w:color="auto"/>
              <w:left w:val="nil" w:sz="6" w:space="0" w:color="auto"/>
              <w:bottom w:val="nil" w:sz="6" w:space="0" w:color="auto"/>
              <w:right w:val="nil" w:sz="6" w:space="0" w:color="auto"/>
            </w:tcBorders>
          </w:tcPr>
          <w:p>
            <w:pPr>
              <w:pStyle w:val="TableParagraph"/>
              <w:spacing w:line="236" w:lineRule="exact"/>
              <w:ind w:right="71"/>
              <w:jc w:val="righ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9"/>
                <w:sz w:val="20"/>
                <w:szCs w:val="20"/>
              </w:rPr>
              <w:t> </w:t>
            </w:r>
            <w:r>
              <w:rPr>
                <w:rFonts w:ascii="黑体" w:hAnsi="黑体" w:cs="黑体" w:eastAsia="黑体" w:hint="default"/>
                <w:sz w:val="20"/>
                <w:szCs w:val="20"/>
              </w:rPr>
              <w:t>年以内</w:t>
            </w: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16"/>
              <w:jc w:val="right"/>
              <w:rPr>
                <w:rFonts w:ascii="Arial" w:hAnsi="Arial" w:cs="Arial" w:eastAsia="Arial" w:hint="default"/>
                <w:sz w:val="20"/>
                <w:szCs w:val="20"/>
              </w:rPr>
            </w:pPr>
            <w:r>
              <w:rPr>
                <w:rFonts w:ascii="Arial"/>
                <w:w w:val="99"/>
                <w:sz w:val="20"/>
              </w:rPr>
              <w:t>3</w:t>
            </w:r>
            <w:r>
              <w:rPr>
                <w:rFonts w:ascii="Arial"/>
                <w:sz w:val="20"/>
              </w:rPr>
            </w:r>
          </w:p>
        </w:tc>
      </w:tr>
      <w:tr>
        <w:trPr>
          <w:trHeight w:val="254" w:hRule="exact"/>
        </w:trPr>
        <w:tc>
          <w:tcPr>
            <w:tcW w:w="3074"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z w:val="20"/>
                <w:szCs w:val="20"/>
              </w:rPr>
              <w:t>南昌市财政局</w:t>
            </w:r>
          </w:p>
        </w:tc>
        <w:tc>
          <w:tcPr>
            <w:tcW w:w="1195" w:type="dxa"/>
            <w:tcBorders>
              <w:top w:val="nil" w:sz="6" w:space="0" w:color="auto"/>
              <w:left w:val="nil" w:sz="6" w:space="0" w:color="auto"/>
              <w:bottom w:val="nil" w:sz="6" w:space="0" w:color="auto"/>
              <w:right w:val="nil" w:sz="6" w:space="0" w:color="auto"/>
            </w:tcBorders>
          </w:tcPr>
          <w:p>
            <w:pPr>
              <w:pStyle w:val="TableParagraph"/>
              <w:spacing w:line="222" w:lineRule="exact"/>
              <w:ind w:right="121"/>
              <w:jc w:val="right"/>
              <w:rPr>
                <w:rFonts w:ascii="黑体" w:hAnsi="黑体" w:cs="黑体" w:eastAsia="黑体" w:hint="default"/>
                <w:sz w:val="20"/>
                <w:szCs w:val="20"/>
              </w:rPr>
            </w:pPr>
            <w:r>
              <w:rPr>
                <w:rFonts w:ascii="黑体" w:hAnsi="黑体" w:cs="黑体" w:eastAsia="黑体" w:hint="default"/>
                <w:w w:val="95"/>
                <w:sz w:val="20"/>
                <w:szCs w:val="20"/>
              </w:rPr>
              <w:t>非关联方</w:t>
            </w:r>
            <w:r>
              <w:rPr>
                <w:rFonts w:ascii="黑体" w:hAnsi="黑体" w:cs="黑体" w:eastAsia="黑体" w:hint="default"/>
                <w:sz w:val="20"/>
                <w:szCs w:val="20"/>
              </w:rPr>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3"/>
              <w:jc w:val="right"/>
              <w:rPr>
                <w:rFonts w:ascii="Arial" w:hAnsi="Arial" w:cs="Arial" w:eastAsia="Arial" w:hint="default"/>
                <w:sz w:val="20"/>
                <w:szCs w:val="20"/>
              </w:rPr>
            </w:pPr>
            <w:r>
              <w:rPr>
                <w:rFonts w:ascii="Arial"/>
                <w:spacing w:val="-1"/>
                <w:sz w:val="20"/>
              </w:rPr>
              <w:t>1,326,656</w:t>
            </w:r>
          </w:p>
        </w:tc>
        <w:tc>
          <w:tcPr>
            <w:tcW w:w="947" w:type="dxa"/>
            <w:tcBorders>
              <w:top w:val="nil" w:sz="6" w:space="0" w:color="auto"/>
              <w:left w:val="nil" w:sz="6" w:space="0" w:color="auto"/>
              <w:bottom w:val="nil" w:sz="6" w:space="0" w:color="auto"/>
              <w:right w:val="nil" w:sz="6" w:space="0" w:color="auto"/>
            </w:tcBorders>
          </w:tcPr>
          <w:p>
            <w:pPr>
              <w:pStyle w:val="TableParagraph"/>
              <w:spacing w:line="236" w:lineRule="exact"/>
              <w:ind w:right="71"/>
              <w:jc w:val="right"/>
              <w:rPr>
                <w:rFonts w:ascii="黑体" w:hAnsi="黑体" w:cs="黑体" w:eastAsia="黑体" w:hint="default"/>
                <w:sz w:val="20"/>
                <w:szCs w:val="20"/>
              </w:rPr>
            </w:pPr>
            <w:r>
              <w:rPr>
                <w:rFonts w:ascii="Arial" w:hAnsi="Arial" w:cs="Arial" w:eastAsia="Arial" w:hint="default"/>
                <w:sz w:val="20"/>
                <w:szCs w:val="20"/>
              </w:rPr>
              <w:t>1-2</w:t>
            </w:r>
            <w:r>
              <w:rPr>
                <w:rFonts w:ascii="Arial" w:hAnsi="Arial" w:cs="Arial" w:eastAsia="Arial" w:hint="default"/>
                <w:spacing w:val="-9"/>
                <w:sz w:val="20"/>
                <w:szCs w:val="20"/>
              </w:rPr>
              <w:t> </w:t>
            </w:r>
            <w:r>
              <w:rPr>
                <w:rFonts w:ascii="黑体" w:hAnsi="黑体" w:cs="黑体" w:eastAsia="黑体" w:hint="default"/>
                <w:sz w:val="20"/>
                <w:szCs w:val="20"/>
              </w:rPr>
              <w:t>年</w:t>
            </w: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16"/>
              <w:jc w:val="right"/>
              <w:rPr>
                <w:rFonts w:ascii="Arial" w:hAnsi="Arial" w:cs="Arial" w:eastAsia="Arial" w:hint="default"/>
                <w:sz w:val="20"/>
                <w:szCs w:val="20"/>
              </w:rPr>
            </w:pPr>
            <w:r>
              <w:rPr>
                <w:rFonts w:ascii="Arial"/>
                <w:w w:val="99"/>
                <w:sz w:val="20"/>
              </w:rPr>
              <w:t>2</w:t>
            </w:r>
            <w:r>
              <w:rPr>
                <w:rFonts w:ascii="Arial"/>
                <w:sz w:val="20"/>
              </w:rPr>
            </w:r>
          </w:p>
        </w:tc>
      </w:tr>
      <w:tr>
        <w:trPr>
          <w:trHeight w:val="256" w:hRule="exact"/>
        </w:trPr>
        <w:tc>
          <w:tcPr>
            <w:tcW w:w="3074"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z w:val="20"/>
                <w:szCs w:val="20"/>
              </w:rPr>
              <w:t>安泰科技股份有限公司</w:t>
            </w:r>
          </w:p>
        </w:tc>
        <w:tc>
          <w:tcPr>
            <w:tcW w:w="1195" w:type="dxa"/>
            <w:tcBorders>
              <w:top w:val="nil" w:sz="6" w:space="0" w:color="auto"/>
              <w:left w:val="nil" w:sz="6" w:space="0" w:color="auto"/>
              <w:bottom w:val="nil" w:sz="6" w:space="0" w:color="auto"/>
              <w:right w:val="nil" w:sz="6" w:space="0" w:color="auto"/>
            </w:tcBorders>
          </w:tcPr>
          <w:p>
            <w:pPr>
              <w:pStyle w:val="TableParagraph"/>
              <w:spacing w:line="222" w:lineRule="exact"/>
              <w:ind w:right="121"/>
              <w:jc w:val="right"/>
              <w:rPr>
                <w:rFonts w:ascii="黑体" w:hAnsi="黑体" w:cs="黑体" w:eastAsia="黑体" w:hint="default"/>
                <w:sz w:val="20"/>
                <w:szCs w:val="20"/>
              </w:rPr>
            </w:pPr>
            <w:r>
              <w:rPr>
                <w:rFonts w:ascii="黑体" w:hAnsi="黑体" w:cs="黑体" w:eastAsia="黑体" w:hint="default"/>
                <w:w w:val="95"/>
                <w:sz w:val="20"/>
                <w:szCs w:val="20"/>
              </w:rPr>
              <w:t>非关联方</w:t>
            </w:r>
            <w:r>
              <w:rPr>
                <w:rFonts w:ascii="黑体" w:hAnsi="黑体" w:cs="黑体" w:eastAsia="黑体" w:hint="default"/>
                <w:sz w:val="20"/>
                <w:szCs w:val="20"/>
              </w:rPr>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3"/>
              <w:jc w:val="right"/>
              <w:rPr>
                <w:rFonts w:ascii="Arial" w:hAnsi="Arial" w:cs="Arial" w:eastAsia="Arial" w:hint="default"/>
                <w:sz w:val="20"/>
                <w:szCs w:val="20"/>
              </w:rPr>
            </w:pPr>
            <w:r>
              <w:rPr>
                <w:rFonts w:ascii="Arial"/>
                <w:spacing w:val="-1"/>
                <w:sz w:val="20"/>
              </w:rPr>
              <w:t>1,270,000</w:t>
            </w:r>
          </w:p>
        </w:tc>
        <w:tc>
          <w:tcPr>
            <w:tcW w:w="947" w:type="dxa"/>
            <w:tcBorders>
              <w:top w:val="nil" w:sz="6" w:space="0" w:color="auto"/>
              <w:left w:val="nil" w:sz="6" w:space="0" w:color="auto"/>
              <w:bottom w:val="nil" w:sz="6" w:space="0" w:color="auto"/>
              <w:right w:val="nil" w:sz="6" w:space="0" w:color="auto"/>
            </w:tcBorders>
          </w:tcPr>
          <w:p>
            <w:pPr>
              <w:pStyle w:val="TableParagraph"/>
              <w:spacing w:line="236" w:lineRule="exact"/>
              <w:ind w:right="49"/>
              <w:jc w:val="righ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9"/>
                <w:sz w:val="20"/>
                <w:szCs w:val="20"/>
              </w:rPr>
              <w:t> </w:t>
            </w:r>
            <w:r>
              <w:rPr>
                <w:rFonts w:ascii="黑体" w:hAnsi="黑体" w:cs="黑体" w:eastAsia="黑体" w:hint="default"/>
                <w:sz w:val="20"/>
                <w:szCs w:val="20"/>
              </w:rPr>
              <w:t>年以内</w:t>
            </w: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16"/>
              <w:jc w:val="right"/>
              <w:rPr>
                <w:rFonts w:ascii="Arial" w:hAnsi="Arial" w:cs="Arial" w:eastAsia="Arial" w:hint="default"/>
                <w:sz w:val="20"/>
                <w:szCs w:val="20"/>
              </w:rPr>
            </w:pPr>
            <w:r>
              <w:rPr>
                <w:rFonts w:ascii="Arial"/>
                <w:w w:val="99"/>
                <w:sz w:val="20"/>
              </w:rPr>
              <w:t>1</w:t>
            </w:r>
            <w:r>
              <w:rPr>
                <w:rFonts w:ascii="Arial"/>
                <w:sz w:val="20"/>
              </w:rPr>
            </w:r>
          </w:p>
        </w:tc>
      </w:tr>
      <w:tr>
        <w:trPr>
          <w:trHeight w:val="388" w:hRule="exact"/>
        </w:trPr>
        <w:tc>
          <w:tcPr>
            <w:tcW w:w="3074" w:type="dxa"/>
            <w:tcBorders>
              <w:top w:val="nil" w:sz="6" w:space="0" w:color="auto"/>
              <w:left w:val="nil" w:sz="6" w:space="0" w:color="auto"/>
              <w:bottom w:val="nil" w:sz="6" w:space="0" w:color="auto"/>
              <w:right w:val="nil" w:sz="6" w:space="0" w:color="auto"/>
            </w:tcBorders>
          </w:tcPr>
          <w:p>
            <w:pPr>
              <w:pStyle w:val="TableParagraph"/>
              <w:spacing w:line="223" w:lineRule="exact"/>
              <w:ind w:left="204" w:right="0"/>
              <w:jc w:val="left"/>
              <w:rPr>
                <w:rFonts w:ascii="黑体" w:hAnsi="黑体" w:cs="黑体" w:eastAsia="黑体" w:hint="default"/>
                <w:sz w:val="20"/>
                <w:szCs w:val="20"/>
              </w:rPr>
            </w:pPr>
            <w:r>
              <w:rPr>
                <w:rFonts w:ascii="黑体" w:hAnsi="黑体" w:cs="黑体" w:eastAsia="黑体" w:hint="default"/>
                <w:sz w:val="20"/>
                <w:szCs w:val="20"/>
              </w:rPr>
              <w:t>嘉兴市财政局</w:t>
            </w:r>
          </w:p>
        </w:tc>
        <w:tc>
          <w:tcPr>
            <w:tcW w:w="1195" w:type="dxa"/>
            <w:tcBorders>
              <w:top w:val="nil" w:sz="6" w:space="0" w:color="auto"/>
              <w:left w:val="nil" w:sz="6" w:space="0" w:color="auto"/>
              <w:bottom w:val="nil" w:sz="6" w:space="0" w:color="auto"/>
              <w:right w:val="nil" w:sz="6" w:space="0" w:color="auto"/>
            </w:tcBorders>
          </w:tcPr>
          <w:p>
            <w:pPr>
              <w:pStyle w:val="TableParagraph"/>
              <w:spacing w:line="223" w:lineRule="exact"/>
              <w:ind w:right="121"/>
              <w:jc w:val="right"/>
              <w:rPr>
                <w:rFonts w:ascii="黑体" w:hAnsi="黑体" w:cs="黑体" w:eastAsia="黑体" w:hint="default"/>
                <w:sz w:val="20"/>
                <w:szCs w:val="20"/>
              </w:rPr>
            </w:pPr>
            <w:r>
              <w:rPr>
                <w:rFonts w:ascii="黑体" w:hAnsi="黑体" w:cs="黑体" w:eastAsia="黑体" w:hint="default"/>
                <w:w w:val="95"/>
                <w:sz w:val="20"/>
                <w:szCs w:val="20"/>
              </w:rPr>
              <w:t>非关联方</w:t>
            </w:r>
            <w:r>
              <w:rPr>
                <w:rFonts w:ascii="黑体" w:hAnsi="黑体" w:cs="黑体" w:eastAsia="黑体" w:hint="default"/>
                <w:sz w:val="20"/>
                <w:szCs w:val="20"/>
              </w:rPr>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3"/>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1"/>
                <w:sz w:val="20"/>
                <w:u w:val="single" w:color="000000"/>
              </w:rPr>
              <w:t> </w:t>
            </w:r>
            <w:r>
              <w:rPr>
                <w:rFonts w:ascii="Arial"/>
                <w:spacing w:val="-1"/>
                <w:sz w:val="20"/>
                <w:u w:val="single" w:color="000000"/>
              </w:rPr>
              <w:t>998,929</w:t>
            </w:r>
            <w:r>
              <w:rPr>
                <w:rFonts w:ascii="Arial"/>
                <w:spacing w:val="-1"/>
                <w:sz w:val="20"/>
              </w:rPr>
            </w:r>
          </w:p>
        </w:tc>
        <w:tc>
          <w:tcPr>
            <w:tcW w:w="947" w:type="dxa"/>
            <w:tcBorders>
              <w:top w:val="nil" w:sz="6" w:space="0" w:color="auto"/>
              <w:left w:val="nil" w:sz="6" w:space="0" w:color="auto"/>
              <w:bottom w:val="nil" w:sz="6" w:space="0" w:color="auto"/>
              <w:right w:val="nil" w:sz="6" w:space="0" w:color="auto"/>
            </w:tcBorders>
          </w:tcPr>
          <w:p>
            <w:pPr>
              <w:pStyle w:val="TableParagraph"/>
              <w:spacing w:line="237" w:lineRule="exact"/>
              <w:ind w:right="71"/>
              <w:jc w:val="right"/>
              <w:rPr>
                <w:rFonts w:ascii="黑体" w:hAnsi="黑体" w:cs="黑体" w:eastAsia="黑体" w:hint="default"/>
                <w:sz w:val="20"/>
                <w:szCs w:val="20"/>
              </w:rPr>
            </w:pPr>
            <w:r>
              <w:rPr>
                <w:rFonts w:ascii="Arial" w:hAnsi="Arial" w:cs="Arial" w:eastAsia="Arial" w:hint="default"/>
                <w:sz w:val="20"/>
                <w:szCs w:val="20"/>
              </w:rPr>
              <w:t>2-3</w:t>
            </w:r>
            <w:r>
              <w:rPr>
                <w:rFonts w:ascii="Arial" w:hAnsi="Arial" w:cs="Arial" w:eastAsia="Arial" w:hint="default"/>
                <w:spacing w:val="-9"/>
                <w:sz w:val="20"/>
                <w:szCs w:val="20"/>
              </w:rPr>
              <w:t> </w:t>
            </w:r>
            <w:r>
              <w:rPr>
                <w:rFonts w:ascii="黑体" w:hAnsi="黑体" w:cs="黑体" w:eastAsia="黑体" w:hint="default"/>
                <w:sz w:val="20"/>
                <w:szCs w:val="20"/>
              </w:rPr>
              <w:t>年</w:t>
            </w: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16"/>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w w:val="95"/>
                <w:sz w:val="20"/>
                <w:u w:val="single" w:color="000000"/>
              </w:rPr>
              <w:t>1</w:t>
            </w:r>
            <w:r>
              <w:rPr>
                <w:rFonts w:ascii="Arial"/>
                <w:w w:val="95"/>
                <w:sz w:val="20"/>
              </w:rPr>
            </w:r>
            <w:r>
              <w:rPr>
                <w:rFonts w:ascii="Arial"/>
                <w:sz w:val="20"/>
              </w:rPr>
            </w:r>
          </w:p>
        </w:tc>
      </w:tr>
      <w:tr>
        <w:trPr>
          <w:trHeight w:val="354" w:hRule="exact"/>
        </w:trPr>
        <w:tc>
          <w:tcPr>
            <w:tcW w:w="3074"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13"/>
              <w:jc w:val="right"/>
              <w:rPr>
                <w:rFonts w:ascii="Arial" w:hAnsi="Arial" w:cs="Arial" w:eastAsia="Arial" w:hint="default"/>
                <w:sz w:val="20"/>
                <w:szCs w:val="20"/>
              </w:rPr>
            </w:pPr>
            <w:r>
              <w:rPr>
                <w:rFonts w:ascii="Arial"/>
                <w:w w:val="99"/>
                <w:sz w:val="20"/>
              </w:rPr>
            </w:r>
            <w:r>
              <w:rPr>
                <w:rFonts w:ascii="Arial"/>
                <w:spacing w:val="-1"/>
                <w:sz w:val="20"/>
                <w:u w:val="thick" w:color="000000"/>
              </w:rPr>
              <w:t>9,595,585</w:t>
            </w:r>
            <w:r>
              <w:rPr>
                <w:rFonts w:ascii="Arial"/>
                <w:spacing w:val="-1"/>
                <w:sz w:val="20"/>
              </w:rPr>
            </w:r>
          </w:p>
        </w:tc>
        <w:tc>
          <w:tcPr>
            <w:tcW w:w="947" w:type="dxa"/>
            <w:tcBorders>
              <w:top w:val="nil" w:sz="6" w:space="0" w:color="auto"/>
              <w:left w:val="nil" w:sz="6" w:space="0" w:color="auto"/>
              <w:bottom w:val="nil" w:sz="6" w:space="0" w:color="auto"/>
              <w:right w:val="nil" w:sz="6" w:space="0" w:color="auto"/>
            </w:tcBorders>
          </w:tcPr>
          <w:p>
            <w:pP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19"/>
              <w:jc w:val="right"/>
              <w:rPr>
                <w:rFonts w:ascii="Arial" w:hAnsi="Arial" w:cs="Arial" w:eastAsia="Arial" w:hint="default"/>
                <w:sz w:val="20"/>
                <w:szCs w:val="20"/>
              </w:rPr>
            </w:pPr>
            <w:r>
              <w:rPr>
                <w:rFonts w:ascii="Arial"/>
                <w:w w:val="99"/>
                <w:sz w:val="20"/>
              </w:rPr>
            </w:r>
            <w:r>
              <w:rPr>
                <w:rFonts w:ascii="Arial"/>
                <w:spacing w:val="-1"/>
                <w:w w:val="95"/>
                <w:sz w:val="20"/>
                <w:u w:val="thick" w:color="000000"/>
              </w:rPr>
              <w:t>10</w:t>
            </w:r>
            <w:r>
              <w:rPr>
                <w:rFonts w:ascii="Arial"/>
                <w:spacing w:val="-1"/>
                <w:w w:val="95"/>
                <w:sz w:val="20"/>
              </w:rPr>
            </w:r>
            <w:r>
              <w:rPr>
                <w:rFonts w:ascii="Arial"/>
                <w:sz w:val="20"/>
              </w:rPr>
            </w:r>
          </w:p>
        </w:tc>
      </w:tr>
    </w:tbl>
    <w:p>
      <w:pPr>
        <w:spacing w:line="240" w:lineRule="auto" w:before="12"/>
        <w:rPr>
          <w:rFonts w:ascii="黑体" w:hAnsi="黑体" w:cs="黑体" w:eastAsia="黑体" w:hint="default"/>
          <w:sz w:val="16"/>
          <w:szCs w:val="16"/>
        </w:rPr>
      </w:pPr>
    </w:p>
    <w:p>
      <w:pPr>
        <w:pStyle w:val="BodyText"/>
        <w:spacing w:line="240" w:lineRule="auto" w:before="37"/>
        <w:ind w:left="861" w:right="300"/>
        <w:jc w:val="left"/>
      </w:pPr>
      <w:r>
        <w:rPr/>
        <w:t>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日，其他应收款金额前五名如下：</w:t>
      </w:r>
    </w:p>
    <w:p>
      <w:pPr>
        <w:spacing w:line="240" w:lineRule="auto" w:before="2"/>
        <w:rPr>
          <w:rFonts w:ascii="黑体" w:hAnsi="黑体" w:cs="黑体" w:eastAsia="黑体" w:hint="default"/>
          <w:sz w:val="25"/>
          <w:szCs w:val="25"/>
        </w:rPr>
      </w:pPr>
    </w:p>
    <w:tbl>
      <w:tblPr>
        <w:tblW w:w="0" w:type="auto"/>
        <w:jc w:val="left"/>
        <w:tblInd w:w="649" w:type="dxa"/>
        <w:tblLayout w:type="fixed"/>
        <w:tblCellMar>
          <w:top w:w="0" w:type="dxa"/>
          <w:left w:w="0" w:type="dxa"/>
          <w:bottom w:w="0" w:type="dxa"/>
          <w:right w:w="0" w:type="dxa"/>
        </w:tblCellMar>
        <w:tblLook w:val="01E0"/>
      </w:tblPr>
      <w:tblGrid>
        <w:gridCol w:w="2774"/>
        <w:gridCol w:w="1441"/>
        <w:gridCol w:w="1181"/>
        <w:gridCol w:w="936"/>
        <w:gridCol w:w="1861"/>
      </w:tblGrid>
      <w:tr>
        <w:trPr>
          <w:trHeight w:val="228" w:hRule="exact"/>
        </w:trPr>
        <w:tc>
          <w:tcPr>
            <w:tcW w:w="2774"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199" w:lineRule="exact"/>
              <w:ind w:right="65"/>
              <w:jc w:val="right"/>
              <w:rPr>
                <w:rFonts w:ascii="黑体" w:hAnsi="黑体" w:cs="黑体" w:eastAsia="黑体" w:hint="default"/>
                <w:sz w:val="20"/>
                <w:szCs w:val="20"/>
              </w:rPr>
            </w:pPr>
            <w:r>
              <w:rPr>
                <w:rFonts w:ascii="黑体" w:hAnsi="黑体" w:cs="黑体" w:eastAsia="黑体" w:hint="default"/>
                <w:w w:val="95"/>
                <w:sz w:val="20"/>
                <w:szCs w:val="20"/>
              </w:rPr>
              <w:t>与本集团关系</w:t>
            </w:r>
            <w:r>
              <w:rPr>
                <w:rFonts w:ascii="黑体" w:hAnsi="黑体" w:cs="黑体" w:eastAsia="黑体" w:hint="default"/>
                <w:sz w:val="20"/>
                <w:szCs w:val="20"/>
              </w:rPr>
            </w:r>
          </w:p>
        </w:tc>
        <w:tc>
          <w:tcPr>
            <w:tcW w:w="1181" w:type="dxa"/>
            <w:tcBorders>
              <w:top w:val="nil" w:sz="6" w:space="0" w:color="auto"/>
              <w:left w:val="nil" w:sz="6" w:space="0" w:color="auto"/>
              <w:bottom w:val="nil" w:sz="6" w:space="0" w:color="auto"/>
              <w:right w:val="nil" w:sz="6" w:space="0" w:color="auto"/>
            </w:tcBorders>
          </w:tcPr>
          <w:p>
            <w:pPr>
              <w:pStyle w:val="TableParagraph"/>
              <w:spacing w:line="199" w:lineRule="exact"/>
              <w:ind w:right="113"/>
              <w:jc w:val="right"/>
              <w:rPr>
                <w:rFonts w:ascii="黑体" w:hAnsi="黑体" w:cs="黑体" w:eastAsia="黑体" w:hint="default"/>
                <w:sz w:val="20"/>
                <w:szCs w:val="20"/>
              </w:rPr>
            </w:pPr>
            <w:r>
              <w:rPr>
                <w:rFonts w:ascii="黑体" w:hAnsi="黑体" w:cs="黑体" w:eastAsia="黑体" w:hint="default"/>
                <w:w w:val="95"/>
                <w:sz w:val="20"/>
                <w:szCs w:val="20"/>
              </w:rPr>
              <w:t>金额</w:t>
            </w:r>
            <w:r>
              <w:rPr>
                <w:rFonts w:ascii="黑体" w:hAnsi="黑体" w:cs="黑体" w:eastAsia="黑体" w:hint="default"/>
                <w:sz w:val="20"/>
                <w:szCs w:val="20"/>
              </w:rPr>
            </w:r>
          </w:p>
        </w:tc>
        <w:tc>
          <w:tcPr>
            <w:tcW w:w="936" w:type="dxa"/>
            <w:tcBorders>
              <w:top w:val="nil" w:sz="6" w:space="0" w:color="auto"/>
              <w:left w:val="nil" w:sz="6" w:space="0" w:color="auto"/>
              <w:bottom w:val="nil" w:sz="6" w:space="0" w:color="auto"/>
              <w:right w:val="nil" w:sz="6" w:space="0" w:color="auto"/>
            </w:tcBorders>
          </w:tcPr>
          <w:p>
            <w:pPr>
              <w:pStyle w:val="TableParagraph"/>
              <w:spacing w:line="199" w:lineRule="exact"/>
              <w:ind w:right="60"/>
              <w:jc w:val="right"/>
              <w:rPr>
                <w:rFonts w:ascii="黑体" w:hAnsi="黑体" w:cs="黑体" w:eastAsia="黑体" w:hint="default"/>
                <w:sz w:val="20"/>
                <w:szCs w:val="20"/>
              </w:rPr>
            </w:pPr>
            <w:r>
              <w:rPr>
                <w:rFonts w:ascii="黑体" w:hAnsi="黑体" w:cs="黑体" w:eastAsia="黑体" w:hint="default"/>
                <w:w w:val="95"/>
                <w:sz w:val="20"/>
                <w:szCs w:val="20"/>
              </w:rPr>
              <w:t>账龄</w:t>
            </w:r>
            <w:r>
              <w:rPr>
                <w:rFonts w:ascii="黑体" w:hAnsi="黑体" w:cs="黑体" w:eastAsia="黑体" w:hint="default"/>
                <w:sz w:val="20"/>
                <w:szCs w:val="20"/>
              </w:rPr>
            </w:r>
          </w:p>
        </w:tc>
        <w:tc>
          <w:tcPr>
            <w:tcW w:w="1861" w:type="dxa"/>
            <w:tcBorders>
              <w:top w:val="nil" w:sz="6" w:space="0" w:color="auto"/>
              <w:left w:val="nil" w:sz="6" w:space="0" w:color="auto"/>
              <w:bottom w:val="nil" w:sz="6" w:space="0" w:color="auto"/>
              <w:right w:val="nil" w:sz="6" w:space="0" w:color="auto"/>
            </w:tcBorders>
          </w:tcPr>
          <w:p>
            <w:pPr>
              <w:pStyle w:val="TableParagraph"/>
              <w:spacing w:line="199" w:lineRule="exact"/>
              <w:ind w:right="198"/>
              <w:jc w:val="right"/>
              <w:rPr>
                <w:rFonts w:ascii="黑体" w:hAnsi="黑体" w:cs="黑体" w:eastAsia="黑体" w:hint="default"/>
                <w:sz w:val="20"/>
                <w:szCs w:val="20"/>
              </w:rPr>
            </w:pPr>
            <w:r>
              <w:rPr>
                <w:rFonts w:ascii="黑体" w:hAnsi="黑体" w:cs="黑体" w:eastAsia="黑体" w:hint="default"/>
                <w:w w:val="95"/>
                <w:sz w:val="20"/>
                <w:szCs w:val="20"/>
              </w:rPr>
              <w:t>占其他应收款总额</w:t>
            </w:r>
            <w:r>
              <w:rPr>
                <w:rFonts w:ascii="黑体" w:hAnsi="黑体" w:cs="黑体" w:eastAsia="黑体" w:hint="default"/>
                <w:sz w:val="20"/>
                <w:szCs w:val="20"/>
              </w:rPr>
            </w:r>
          </w:p>
        </w:tc>
      </w:tr>
      <w:tr>
        <w:trPr>
          <w:trHeight w:val="398" w:hRule="exact"/>
        </w:trPr>
        <w:tc>
          <w:tcPr>
            <w:tcW w:w="2774"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
        </w:tc>
        <w:tc>
          <w:tcPr>
            <w:tcW w:w="936" w:type="dxa"/>
            <w:tcBorders>
              <w:top w:val="nil" w:sz="6" w:space="0" w:color="auto"/>
              <w:left w:val="nil" w:sz="6" w:space="0" w:color="auto"/>
              <w:bottom w:val="nil" w:sz="6" w:space="0" w:color="auto"/>
              <w:right w:val="nil" w:sz="6" w:space="0" w:color="auto"/>
            </w:tcBorders>
          </w:tcPr>
          <w:p>
            <w:pPr/>
          </w:p>
        </w:tc>
        <w:tc>
          <w:tcPr>
            <w:tcW w:w="1861" w:type="dxa"/>
            <w:tcBorders>
              <w:top w:val="nil" w:sz="6" w:space="0" w:color="auto"/>
              <w:left w:val="nil" w:sz="6" w:space="0" w:color="auto"/>
              <w:bottom w:val="nil" w:sz="6" w:space="0" w:color="auto"/>
              <w:right w:val="nil" w:sz="6" w:space="0" w:color="auto"/>
            </w:tcBorders>
          </w:tcPr>
          <w:p>
            <w:pPr>
              <w:pStyle w:val="TableParagraph"/>
              <w:spacing w:line="242" w:lineRule="exact"/>
              <w:ind w:right="220"/>
              <w:jc w:val="right"/>
              <w:rPr>
                <w:rFonts w:ascii="Arial" w:hAnsi="Arial" w:cs="Arial" w:eastAsia="Arial" w:hint="default"/>
                <w:sz w:val="20"/>
                <w:szCs w:val="20"/>
              </w:rPr>
            </w:pPr>
            <w:r>
              <w:rPr>
                <w:rFonts w:ascii="黑体" w:hAnsi="黑体" w:cs="黑体" w:eastAsia="黑体" w:hint="default"/>
                <w:w w:val="95"/>
                <w:sz w:val="20"/>
                <w:szCs w:val="20"/>
              </w:rPr>
              <w:t>的比例</w:t>
            </w:r>
            <w:r>
              <w:rPr>
                <w:rFonts w:ascii="Arial" w:hAnsi="Arial" w:cs="Arial" w:eastAsia="Arial" w:hint="default"/>
                <w:w w:val="95"/>
                <w:sz w:val="20"/>
                <w:szCs w:val="20"/>
              </w:rPr>
              <w:t>(%)</w:t>
            </w:r>
            <w:r>
              <w:rPr>
                <w:rFonts w:ascii="Arial" w:hAnsi="Arial" w:cs="Arial" w:eastAsia="Arial" w:hint="default"/>
                <w:sz w:val="20"/>
                <w:szCs w:val="20"/>
              </w:rPr>
            </w:r>
          </w:p>
        </w:tc>
      </w:tr>
      <w:tr>
        <w:trPr>
          <w:trHeight w:val="392" w:hRule="exact"/>
        </w:trPr>
        <w:tc>
          <w:tcPr>
            <w:tcW w:w="2774"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00" w:right="0"/>
              <w:jc w:val="left"/>
              <w:rPr>
                <w:rFonts w:ascii="黑体" w:hAnsi="黑体" w:cs="黑体" w:eastAsia="黑体" w:hint="default"/>
                <w:sz w:val="20"/>
                <w:szCs w:val="20"/>
              </w:rPr>
            </w:pPr>
            <w:r>
              <w:rPr>
                <w:rFonts w:ascii="黑体" w:hAnsi="黑体" w:cs="黑体" w:eastAsia="黑体" w:hint="default"/>
                <w:sz w:val="20"/>
                <w:szCs w:val="20"/>
              </w:rPr>
              <w:t>北京市科学技术委员会</w:t>
            </w: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65"/>
              <w:jc w:val="right"/>
              <w:rPr>
                <w:rFonts w:ascii="黑体" w:hAnsi="黑体" w:cs="黑体" w:eastAsia="黑体" w:hint="default"/>
                <w:sz w:val="20"/>
                <w:szCs w:val="20"/>
              </w:rPr>
            </w:pPr>
            <w:r>
              <w:rPr>
                <w:rFonts w:ascii="黑体" w:hAnsi="黑体" w:cs="黑体" w:eastAsia="黑体" w:hint="default"/>
                <w:w w:val="95"/>
                <w:sz w:val="20"/>
                <w:szCs w:val="20"/>
              </w:rPr>
              <w:t>非关联方</w:t>
            </w:r>
            <w:r>
              <w:rPr>
                <w:rFonts w:ascii="黑体" w:hAnsi="黑体" w:cs="黑体" w:eastAsia="黑体" w:hint="default"/>
                <w:sz w:val="20"/>
                <w:szCs w:val="20"/>
              </w:rPr>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113"/>
              <w:jc w:val="right"/>
              <w:rPr>
                <w:rFonts w:ascii="Arial" w:hAnsi="Arial" w:cs="Arial" w:eastAsia="Arial" w:hint="default"/>
                <w:sz w:val="20"/>
                <w:szCs w:val="20"/>
              </w:rPr>
            </w:pPr>
            <w:r>
              <w:rPr>
                <w:rFonts w:ascii="Arial"/>
                <w:spacing w:val="-1"/>
                <w:sz w:val="20"/>
              </w:rPr>
              <w:t>10,091,200</w:t>
            </w:r>
            <w:r>
              <w:rPr>
                <w:rFonts w:ascii="Arial"/>
                <w:sz w:val="20"/>
              </w:rPr>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60"/>
              <w:jc w:val="righ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9"/>
                <w:sz w:val="20"/>
                <w:szCs w:val="20"/>
              </w:rPr>
              <w:t> </w:t>
            </w:r>
            <w:r>
              <w:rPr>
                <w:rFonts w:ascii="黑体" w:hAnsi="黑体" w:cs="黑体" w:eastAsia="黑体" w:hint="default"/>
                <w:sz w:val="20"/>
                <w:szCs w:val="20"/>
              </w:rPr>
              <w:t>年以内</w:t>
            </w: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219"/>
              <w:jc w:val="right"/>
              <w:rPr>
                <w:rFonts w:ascii="Arial" w:hAnsi="Arial" w:cs="Arial" w:eastAsia="Arial" w:hint="default"/>
                <w:sz w:val="20"/>
                <w:szCs w:val="20"/>
              </w:rPr>
            </w:pPr>
            <w:r>
              <w:rPr>
                <w:rFonts w:ascii="Arial"/>
                <w:spacing w:val="-1"/>
                <w:w w:val="95"/>
                <w:sz w:val="20"/>
              </w:rPr>
              <w:t>12</w:t>
            </w:r>
            <w:r>
              <w:rPr>
                <w:rFonts w:ascii="Arial"/>
                <w:sz w:val="20"/>
              </w:rPr>
            </w:r>
          </w:p>
        </w:tc>
      </w:tr>
      <w:tr>
        <w:trPr>
          <w:trHeight w:val="256" w:hRule="exact"/>
        </w:trPr>
        <w:tc>
          <w:tcPr>
            <w:tcW w:w="2774"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z w:val="20"/>
                <w:szCs w:val="20"/>
              </w:rPr>
              <w:t>南昌市财政局</w:t>
            </w:r>
          </w:p>
        </w:tc>
        <w:tc>
          <w:tcPr>
            <w:tcW w:w="1441" w:type="dxa"/>
            <w:tcBorders>
              <w:top w:val="nil" w:sz="6" w:space="0" w:color="auto"/>
              <w:left w:val="nil" w:sz="6" w:space="0" w:color="auto"/>
              <w:bottom w:val="nil" w:sz="6" w:space="0" w:color="auto"/>
              <w:right w:val="nil" w:sz="6" w:space="0" w:color="auto"/>
            </w:tcBorders>
          </w:tcPr>
          <w:p>
            <w:pPr>
              <w:pStyle w:val="TableParagraph"/>
              <w:spacing w:line="222" w:lineRule="exact"/>
              <w:ind w:right="65"/>
              <w:jc w:val="right"/>
              <w:rPr>
                <w:rFonts w:ascii="黑体" w:hAnsi="黑体" w:cs="黑体" w:eastAsia="黑体" w:hint="default"/>
                <w:sz w:val="20"/>
                <w:szCs w:val="20"/>
              </w:rPr>
            </w:pPr>
            <w:r>
              <w:rPr>
                <w:rFonts w:ascii="黑体" w:hAnsi="黑体" w:cs="黑体" w:eastAsia="黑体" w:hint="default"/>
                <w:w w:val="95"/>
                <w:sz w:val="20"/>
                <w:szCs w:val="20"/>
              </w:rPr>
              <w:t>非关联方</w:t>
            </w:r>
            <w:r>
              <w:rPr>
                <w:rFonts w:ascii="黑体" w:hAnsi="黑体" w:cs="黑体" w:eastAsia="黑体" w:hint="default"/>
                <w:sz w:val="20"/>
                <w:szCs w:val="20"/>
              </w:rPr>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3"/>
              <w:jc w:val="right"/>
              <w:rPr>
                <w:rFonts w:ascii="Arial" w:hAnsi="Arial" w:cs="Arial" w:eastAsia="Arial" w:hint="default"/>
                <w:sz w:val="20"/>
                <w:szCs w:val="20"/>
              </w:rPr>
            </w:pPr>
            <w:r>
              <w:rPr>
                <w:rFonts w:ascii="Arial"/>
                <w:spacing w:val="-1"/>
                <w:sz w:val="20"/>
              </w:rPr>
              <w:t>1,326,656</w:t>
            </w:r>
          </w:p>
        </w:tc>
        <w:tc>
          <w:tcPr>
            <w:tcW w:w="936" w:type="dxa"/>
            <w:tcBorders>
              <w:top w:val="nil" w:sz="6" w:space="0" w:color="auto"/>
              <w:left w:val="nil" w:sz="6" w:space="0" w:color="auto"/>
              <w:bottom w:val="nil" w:sz="6" w:space="0" w:color="auto"/>
              <w:right w:val="nil" w:sz="6" w:space="0" w:color="auto"/>
            </w:tcBorders>
          </w:tcPr>
          <w:p>
            <w:pPr>
              <w:pStyle w:val="TableParagraph"/>
              <w:spacing w:line="236" w:lineRule="exact"/>
              <w:ind w:right="60"/>
              <w:jc w:val="righ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9"/>
                <w:sz w:val="20"/>
                <w:szCs w:val="20"/>
              </w:rPr>
              <w:t> </w:t>
            </w:r>
            <w:r>
              <w:rPr>
                <w:rFonts w:ascii="黑体" w:hAnsi="黑体" w:cs="黑体" w:eastAsia="黑体" w:hint="default"/>
                <w:sz w:val="20"/>
                <w:szCs w:val="20"/>
              </w:rPr>
              <w:t>年以内</w:t>
            </w: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16"/>
              <w:jc w:val="right"/>
              <w:rPr>
                <w:rFonts w:ascii="Arial" w:hAnsi="Arial" w:cs="Arial" w:eastAsia="Arial" w:hint="default"/>
                <w:sz w:val="20"/>
                <w:szCs w:val="20"/>
              </w:rPr>
            </w:pPr>
            <w:r>
              <w:rPr>
                <w:rFonts w:ascii="Arial"/>
                <w:w w:val="99"/>
                <w:sz w:val="20"/>
              </w:rPr>
              <w:t>1</w:t>
            </w:r>
            <w:r>
              <w:rPr>
                <w:rFonts w:ascii="Arial"/>
                <w:sz w:val="20"/>
              </w:rPr>
            </w:r>
          </w:p>
        </w:tc>
      </w:tr>
      <w:tr>
        <w:trPr>
          <w:trHeight w:val="256" w:hRule="exact"/>
        </w:trPr>
        <w:tc>
          <w:tcPr>
            <w:tcW w:w="2774" w:type="dxa"/>
            <w:tcBorders>
              <w:top w:val="nil" w:sz="6" w:space="0" w:color="auto"/>
              <w:left w:val="nil" w:sz="6" w:space="0" w:color="auto"/>
              <w:bottom w:val="nil" w:sz="6" w:space="0" w:color="auto"/>
              <w:right w:val="nil" w:sz="6" w:space="0" w:color="auto"/>
            </w:tcBorders>
          </w:tcPr>
          <w:p>
            <w:pPr>
              <w:pStyle w:val="TableParagraph"/>
              <w:spacing w:line="223" w:lineRule="exact"/>
              <w:ind w:left="200" w:right="0"/>
              <w:jc w:val="left"/>
              <w:rPr>
                <w:rFonts w:ascii="黑体" w:hAnsi="黑体" w:cs="黑体" w:eastAsia="黑体" w:hint="default"/>
                <w:sz w:val="20"/>
                <w:szCs w:val="20"/>
              </w:rPr>
            </w:pPr>
            <w:r>
              <w:rPr>
                <w:rFonts w:ascii="黑体" w:hAnsi="黑体" w:cs="黑体" w:eastAsia="黑体" w:hint="default"/>
                <w:sz w:val="20"/>
                <w:szCs w:val="20"/>
              </w:rPr>
              <w:t>嘉兴市财政局</w:t>
            </w:r>
          </w:p>
        </w:tc>
        <w:tc>
          <w:tcPr>
            <w:tcW w:w="1441" w:type="dxa"/>
            <w:tcBorders>
              <w:top w:val="nil" w:sz="6" w:space="0" w:color="auto"/>
              <w:left w:val="nil" w:sz="6" w:space="0" w:color="auto"/>
              <w:bottom w:val="nil" w:sz="6" w:space="0" w:color="auto"/>
              <w:right w:val="nil" w:sz="6" w:space="0" w:color="auto"/>
            </w:tcBorders>
          </w:tcPr>
          <w:p>
            <w:pPr>
              <w:pStyle w:val="TableParagraph"/>
              <w:spacing w:line="223" w:lineRule="exact"/>
              <w:ind w:right="65"/>
              <w:jc w:val="right"/>
              <w:rPr>
                <w:rFonts w:ascii="黑体" w:hAnsi="黑体" w:cs="黑体" w:eastAsia="黑体" w:hint="default"/>
                <w:sz w:val="20"/>
                <w:szCs w:val="20"/>
              </w:rPr>
            </w:pPr>
            <w:r>
              <w:rPr>
                <w:rFonts w:ascii="黑体" w:hAnsi="黑体" w:cs="黑体" w:eastAsia="黑体" w:hint="default"/>
                <w:w w:val="95"/>
                <w:sz w:val="20"/>
                <w:szCs w:val="20"/>
              </w:rPr>
              <w:t>非关联方</w:t>
            </w:r>
            <w:r>
              <w:rPr>
                <w:rFonts w:ascii="黑体" w:hAnsi="黑体" w:cs="黑体" w:eastAsia="黑体" w:hint="default"/>
                <w:sz w:val="20"/>
                <w:szCs w:val="20"/>
              </w:rPr>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3"/>
              <w:jc w:val="right"/>
              <w:rPr>
                <w:rFonts w:ascii="Arial" w:hAnsi="Arial" w:cs="Arial" w:eastAsia="Arial" w:hint="default"/>
                <w:sz w:val="20"/>
                <w:szCs w:val="20"/>
              </w:rPr>
            </w:pPr>
            <w:r>
              <w:rPr>
                <w:rFonts w:ascii="Arial"/>
                <w:spacing w:val="-1"/>
                <w:w w:val="95"/>
                <w:sz w:val="20"/>
              </w:rPr>
              <w:t>998,929</w:t>
            </w:r>
            <w:r>
              <w:rPr>
                <w:rFonts w:ascii="Arial"/>
                <w:sz w:val="20"/>
              </w:rPr>
            </w:r>
          </w:p>
        </w:tc>
        <w:tc>
          <w:tcPr>
            <w:tcW w:w="936" w:type="dxa"/>
            <w:tcBorders>
              <w:top w:val="nil" w:sz="6" w:space="0" w:color="auto"/>
              <w:left w:val="nil" w:sz="6" w:space="0" w:color="auto"/>
              <w:bottom w:val="nil" w:sz="6" w:space="0" w:color="auto"/>
              <w:right w:val="nil" w:sz="6" w:space="0" w:color="auto"/>
            </w:tcBorders>
          </w:tcPr>
          <w:p>
            <w:pPr>
              <w:pStyle w:val="TableParagraph"/>
              <w:spacing w:line="237" w:lineRule="exact"/>
              <w:ind w:right="60"/>
              <w:jc w:val="right"/>
              <w:rPr>
                <w:rFonts w:ascii="黑体" w:hAnsi="黑体" w:cs="黑体" w:eastAsia="黑体" w:hint="default"/>
                <w:sz w:val="20"/>
                <w:szCs w:val="20"/>
              </w:rPr>
            </w:pPr>
            <w:r>
              <w:rPr>
                <w:rFonts w:ascii="Arial" w:hAnsi="Arial" w:cs="Arial" w:eastAsia="Arial" w:hint="default"/>
                <w:sz w:val="20"/>
                <w:szCs w:val="20"/>
              </w:rPr>
              <w:t>1-2</w:t>
            </w:r>
            <w:r>
              <w:rPr>
                <w:rFonts w:ascii="Arial" w:hAnsi="Arial" w:cs="Arial" w:eastAsia="Arial" w:hint="default"/>
                <w:spacing w:val="-9"/>
                <w:sz w:val="20"/>
                <w:szCs w:val="20"/>
              </w:rPr>
              <w:t> </w:t>
            </w:r>
            <w:r>
              <w:rPr>
                <w:rFonts w:ascii="黑体" w:hAnsi="黑体" w:cs="黑体" w:eastAsia="黑体" w:hint="default"/>
                <w:sz w:val="20"/>
                <w:szCs w:val="20"/>
              </w:rPr>
              <w:t>年</w:t>
            </w: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16"/>
              <w:jc w:val="right"/>
              <w:rPr>
                <w:rFonts w:ascii="Arial" w:hAnsi="Arial" w:cs="Arial" w:eastAsia="Arial" w:hint="default"/>
                <w:sz w:val="20"/>
                <w:szCs w:val="20"/>
              </w:rPr>
            </w:pPr>
            <w:r>
              <w:rPr>
                <w:rFonts w:ascii="Arial"/>
                <w:w w:val="99"/>
                <w:sz w:val="20"/>
              </w:rPr>
              <w:t>1</w:t>
            </w:r>
            <w:r>
              <w:rPr>
                <w:rFonts w:ascii="Arial"/>
                <w:sz w:val="20"/>
              </w:rPr>
            </w:r>
          </w:p>
        </w:tc>
      </w:tr>
      <w:tr>
        <w:trPr>
          <w:trHeight w:val="254" w:hRule="exact"/>
        </w:trPr>
        <w:tc>
          <w:tcPr>
            <w:tcW w:w="2774"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z w:val="20"/>
                <w:szCs w:val="20"/>
              </w:rPr>
              <w:t>锦州市财政局</w:t>
            </w:r>
          </w:p>
        </w:tc>
        <w:tc>
          <w:tcPr>
            <w:tcW w:w="1441" w:type="dxa"/>
            <w:tcBorders>
              <w:top w:val="nil" w:sz="6" w:space="0" w:color="auto"/>
              <w:left w:val="nil" w:sz="6" w:space="0" w:color="auto"/>
              <w:bottom w:val="nil" w:sz="6" w:space="0" w:color="auto"/>
              <w:right w:val="nil" w:sz="6" w:space="0" w:color="auto"/>
            </w:tcBorders>
          </w:tcPr>
          <w:p>
            <w:pPr>
              <w:pStyle w:val="TableParagraph"/>
              <w:spacing w:line="222" w:lineRule="exact"/>
              <w:ind w:right="65"/>
              <w:jc w:val="right"/>
              <w:rPr>
                <w:rFonts w:ascii="黑体" w:hAnsi="黑体" w:cs="黑体" w:eastAsia="黑体" w:hint="default"/>
                <w:sz w:val="20"/>
                <w:szCs w:val="20"/>
              </w:rPr>
            </w:pPr>
            <w:r>
              <w:rPr>
                <w:rFonts w:ascii="黑体" w:hAnsi="黑体" w:cs="黑体" w:eastAsia="黑体" w:hint="default"/>
                <w:w w:val="95"/>
                <w:sz w:val="20"/>
                <w:szCs w:val="20"/>
              </w:rPr>
              <w:t>非关联方</w:t>
            </w:r>
            <w:r>
              <w:rPr>
                <w:rFonts w:ascii="黑体" w:hAnsi="黑体" w:cs="黑体" w:eastAsia="黑体" w:hint="default"/>
                <w:sz w:val="20"/>
                <w:szCs w:val="20"/>
              </w:rPr>
            </w: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3"/>
              <w:jc w:val="right"/>
              <w:rPr>
                <w:rFonts w:ascii="Arial" w:hAnsi="Arial" w:cs="Arial" w:eastAsia="Arial" w:hint="default"/>
                <w:sz w:val="20"/>
                <w:szCs w:val="20"/>
              </w:rPr>
            </w:pPr>
            <w:r>
              <w:rPr>
                <w:rFonts w:ascii="Arial"/>
                <w:spacing w:val="-1"/>
                <w:w w:val="95"/>
                <w:sz w:val="20"/>
              </w:rPr>
              <w:t>877,700</w:t>
            </w:r>
            <w:r>
              <w:rPr>
                <w:rFonts w:ascii="Arial"/>
                <w:sz w:val="20"/>
              </w:rPr>
            </w:r>
          </w:p>
        </w:tc>
        <w:tc>
          <w:tcPr>
            <w:tcW w:w="936" w:type="dxa"/>
            <w:tcBorders>
              <w:top w:val="nil" w:sz="6" w:space="0" w:color="auto"/>
              <w:left w:val="nil" w:sz="6" w:space="0" w:color="auto"/>
              <w:bottom w:val="nil" w:sz="6" w:space="0" w:color="auto"/>
              <w:right w:val="nil" w:sz="6" w:space="0" w:color="auto"/>
            </w:tcBorders>
          </w:tcPr>
          <w:p>
            <w:pPr>
              <w:pStyle w:val="TableParagraph"/>
              <w:spacing w:line="236" w:lineRule="exact"/>
              <w:ind w:right="60"/>
              <w:jc w:val="righ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9"/>
                <w:sz w:val="20"/>
                <w:szCs w:val="20"/>
              </w:rPr>
              <w:t> </w:t>
            </w:r>
            <w:r>
              <w:rPr>
                <w:rFonts w:ascii="黑体" w:hAnsi="黑体" w:cs="黑体" w:eastAsia="黑体" w:hint="default"/>
                <w:sz w:val="20"/>
                <w:szCs w:val="20"/>
              </w:rPr>
              <w:t>年以内</w:t>
            </w: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16"/>
              <w:jc w:val="right"/>
              <w:rPr>
                <w:rFonts w:ascii="Arial" w:hAnsi="Arial" w:cs="Arial" w:eastAsia="Arial" w:hint="default"/>
                <w:sz w:val="20"/>
                <w:szCs w:val="20"/>
              </w:rPr>
            </w:pPr>
            <w:r>
              <w:rPr>
                <w:rFonts w:ascii="Arial"/>
                <w:w w:val="99"/>
                <w:sz w:val="20"/>
              </w:rPr>
              <w:t>1</w:t>
            </w:r>
            <w:r>
              <w:rPr>
                <w:rFonts w:ascii="Arial"/>
                <w:sz w:val="20"/>
              </w:rPr>
            </w:r>
          </w:p>
        </w:tc>
      </w:tr>
      <w:tr>
        <w:trPr>
          <w:trHeight w:val="388" w:hRule="exact"/>
        </w:trPr>
        <w:tc>
          <w:tcPr>
            <w:tcW w:w="2774" w:type="dxa"/>
            <w:tcBorders>
              <w:top w:val="nil" w:sz="6" w:space="0" w:color="auto"/>
              <w:left w:val="nil" w:sz="6" w:space="0" w:color="auto"/>
              <w:bottom w:val="nil" w:sz="6" w:space="0" w:color="auto"/>
              <w:right w:val="nil" w:sz="6" w:space="0" w:color="auto"/>
            </w:tcBorders>
          </w:tcPr>
          <w:p>
            <w:pPr>
              <w:pStyle w:val="TableParagraph"/>
              <w:spacing w:line="222" w:lineRule="exact"/>
              <w:ind w:left="204" w:right="0"/>
              <w:jc w:val="left"/>
              <w:rPr>
                <w:rFonts w:ascii="黑体" w:hAnsi="黑体" w:cs="黑体" w:eastAsia="黑体" w:hint="default"/>
                <w:sz w:val="20"/>
                <w:szCs w:val="20"/>
              </w:rPr>
            </w:pPr>
            <w:r>
              <w:rPr>
                <w:rFonts w:ascii="黑体" w:hAnsi="黑体" w:cs="黑体" w:eastAsia="黑体" w:hint="default"/>
                <w:sz w:val="20"/>
                <w:szCs w:val="20"/>
              </w:rPr>
              <w:t>通辽市政府采购中心</w:t>
            </w:r>
          </w:p>
        </w:tc>
        <w:tc>
          <w:tcPr>
            <w:tcW w:w="1441" w:type="dxa"/>
            <w:tcBorders>
              <w:top w:val="nil" w:sz="6" w:space="0" w:color="auto"/>
              <w:left w:val="nil" w:sz="6" w:space="0" w:color="auto"/>
              <w:bottom w:val="nil" w:sz="6" w:space="0" w:color="auto"/>
              <w:right w:val="nil" w:sz="6" w:space="0" w:color="auto"/>
            </w:tcBorders>
          </w:tcPr>
          <w:p>
            <w:pPr>
              <w:pStyle w:val="TableParagraph"/>
              <w:spacing w:line="222" w:lineRule="exact"/>
              <w:ind w:right="65"/>
              <w:jc w:val="right"/>
              <w:rPr>
                <w:rFonts w:ascii="黑体" w:hAnsi="黑体" w:cs="黑体" w:eastAsia="黑体" w:hint="default"/>
                <w:sz w:val="20"/>
                <w:szCs w:val="20"/>
              </w:rPr>
            </w:pPr>
            <w:r>
              <w:rPr>
                <w:rFonts w:ascii="黑体" w:hAnsi="黑体" w:cs="黑体" w:eastAsia="黑体" w:hint="default"/>
                <w:w w:val="95"/>
                <w:sz w:val="20"/>
                <w:szCs w:val="20"/>
              </w:rPr>
              <w:t>非关联方</w:t>
            </w:r>
            <w:r>
              <w:rPr>
                <w:rFonts w:ascii="黑体" w:hAnsi="黑体" w:cs="黑体" w:eastAsia="黑体" w:hint="default"/>
                <w:sz w:val="20"/>
                <w:szCs w:val="20"/>
              </w:rPr>
            </w:r>
          </w:p>
        </w:tc>
        <w:tc>
          <w:tcPr>
            <w:tcW w:w="1181"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6"/>
              <w:ind w:right="113"/>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790,000</w:t>
            </w:r>
            <w:r>
              <w:rPr>
                <w:rFonts w:ascii="Arial"/>
                <w:spacing w:val="-1"/>
                <w:w w:val="95"/>
                <w:sz w:val="20"/>
              </w:rPr>
            </w:r>
            <w:r>
              <w:rPr>
                <w:rFonts w:ascii="Arial"/>
                <w:sz w:val="20"/>
              </w:rPr>
            </w:r>
          </w:p>
        </w:tc>
        <w:tc>
          <w:tcPr>
            <w:tcW w:w="936" w:type="dxa"/>
            <w:tcBorders>
              <w:top w:val="nil" w:sz="6" w:space="0" w:color="auto"/>
              <w:left w:val="nil" w:sz="6" w:space="0" w:color="auto"/>
              <w:bottom w:val="nil" w:sz="6" w:space="0" w:color="auto"/>
              <w:right w:val="nil" w:sz="6" w:space="0" w:color="auto"/>
            </w:tcBorders>
          </w:tcPr>
          <w:p>
            <w:pPr>
              <w:pStyle w:val="TableParagraph"/>
              <w:spacing w:line="236" w:lineRule="exact"/>
              <w:ind w:right="60"/>
              <w:jc w:val="righ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9"/>
                <w:sz w:val="20"/>
                <w:szCs w:val="20"/>
              </w:rPr>
              <w:t> </w:t>
            </w:r>
            <w:r>
              <w:rPr>
                <w:rFonts w:ascii="黑体" w:hAnsi="黑体" w:cs="黑体" w:eastAsia="黑体" w:hint="default"/>
                <w:sz w:val="20"/>
                <w:szCs w:val="20"/>
              </w:rPr>
              <w:t>年以内</w:t>
            </w: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16"/>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w w:val="95"/>
                <w:sz w:val="20"/>
                <w:u w:val="single" w:color="000000"/>
              </w:rPr>
              <w:t>1</w:t>
            </w:r>
            <w:r>
              <w:rPr>
                <w:rFonts w:ascii="Arial"/>
                <w:w w:val="95"/>
                <w:sz w:val="20"/>
              </w:rPr>
            </w:r>
            <w:r>
              <w:rPr>
                <w:rFonts w:ascii="Arial"/>
                <w:sz w:val="20"/>
              </w:rPr>
            </w:r>
          </w:p>
        </w:tc>
      </w:tr>
      <w:tr>
        <w:trPr>
          <w:trHeight w:val="355" w:hRule="exact"/>
        </w:trPr>
        <w:tc>
          <w:tcPr>
            <w:tcW w:w="2774"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13"/>
              <w:jc w:val="right"/>
              <w:rPr>
                <w:rFonts w:ascii="Arial" w:hAnsi="Arial" w:cs="Arial" w:eastAsia="Arial" w:hint="default"/>
                <w:sz w:val="20"/>
                <w:szCs w:val="20"/>
              </w:rPr>
            </w:pPr>
            <w:r>
              <w:rPr>
                <w:rFonts w:ascii="Arial"/>
                <w:w w:val="99"/>
                <w:sz w:val="20"/>
              </w:rPr>
            </w:r>
            <w:r>
              <w:rPr>
                <w:rFonts w:ascii="Arial"/>
                <w:spacing w:val="-1"/>
                <w:sz w:val="20"/>
                <w:u w:val="thick" w:color="000000"/>
              </w:rPr>
              <w:t>14,084,485</w:t>
            </w:r>
            <w:r>
              <w:rPr>
                <w:rFonts w:ascii="Arial"/>
                <w:spacing w:val="-1"/>
                <w:sz w:val="20"/>
              </w:rPr>
            </w:r>
            <w:r>
              <w:rPr>
                <w:rFonts w:ascii="Arial"/>
                <w:sz w:val="20"/>
              </w:rPr>
            </w:r>
          </w:p>
        </w:tc>
        <w:tc>
          <w:tcPr>
            <w:tcW w:w="936" w:type="dxa"/>
            <w:tcBorders>
              <w:top w:val="nil" w:sz="6" w:space="0" w:color="auto"/>
              <w:left w:val="nil" w:sz="6" w:space="0" w:color="auto"/>
              <w:bottom w:val="nil" w:sz="6" w:space="0" w:color="auto"/>
              <w:right w:val="nil" w:sz="6" w:space="0" w:color="auto"/>
            </w:tcBorders>
          </w:tcPr>
          <w:p>
            <w:pP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19"/>
              <w:jc w:val="right"/>
              <w:rPr>
                <w:rFonts w:ascii="Arial" w:hAnsi="Arial" w:cs="Arial" w:eastAsia="Arial" w:hint="default"/>
                <w:sz w:val="20"/>
                <w:szCs w:val="20"/>
              </w:rPr>
            </w:pPr>
            <w:r>
              <w:rPr>
                <w:rFonts w:ascii="Arial"/>
                <w:w w:val="99"/>
                <w:sz w:val="20"/>
              </w:rPr>
            </w:r>
            <w:r>
              <w:rPr>
                <w:rFonts w:ascii="Arial"/>
                <w:spacing w:val="-1"/>
                <w:w w:val="95"/>
                <w:sz w:val="20"/>
                <w:u w:val="thick" w:color="000000"/>
              </w:rPr>
              <w:t>16</w:t>
            </w:r>
            <w:r>
              <w:rPr>
                <w:rFonts w:ascii="Arial"/>
                <w:spacing w:val="-1"/>
                <w:w w:val="95"/>
                <w:sz w:val="20"/>
              </w:rPr>
            </w:r>
            <w:r>
              <w:rPr>
                <w:rFonts w:ascii="Arial"/>
                <w:sz w:val="20"/>
              </w:rPr>
            </w:r>
          </w:p>
        </w:tc>
      </w:tr>
    </w:tbl>
    <w:p>
      <w:pPr>
        <w:spacing w:line="240" w:lineRule="auto" w:before="10"/>
        <w:rPr>
          <w:rFonts w:ascii="黑体" w:hAnsi="黑体" w:cs="黑体" w:eastAsia="黑体" w:hint="default"/>
          <w:sz w:val="16"/>
          <w:szCs w:val="16"/>
        </w:rPr>
      </w:pPr>
    </w:p>
    <w:p>
      <w:pPr>
        <w:pStyle w:val="BodyText"/>
        <w:spacing w:line="240" w:lineRule="auto" w:before="37"/>
        <w:ind w:left="861" w:right="300"/>
        <w:jc w:val="left"/>
      </w:pPr>
      <w:r>
        <w:rPr/>
        <w:t>其他应收关联方款项详见附注六、</w:t>
      </w:r>
      <w:r>
        <w:rPr>
          <w:rFonts w:ascii="Arial" w:hAnsi="Arial" w:cs="Arial" w:eastAsia="Arial" w:hint="default"/>
        </w:rPr>
        <w:t>6</w:t>
      </w:r>
      <w:r>
        <w:rPr/>
        <w:t>。</w:t>
      </w:r>
    </w:p>
    <w:p>
      <w:pPr>
        <w:spacing w:after="0" w:line="240" w:lineRule="auto"/>
        <w:jc w:val="left"/>
        <w:sectPr>
          <w:pgSz w:w="11910" w:h="16850"/>
          <w:pgMar w:header="957" w:footer="468" w:top="2640" w:bottom="660" w:left="1560" w:right="1400"/>
        </w:sectPr>
      </w:pPr>
    </w:p>
    <w:p>
      <w:pPr>
        <w:spacing w:line="240" w:lineRule="auto" w:before="5"/>
        <w:rPr>
          <w:rFonts w:ascii="黑体" w:hAnsi="黑体" w:cs="黑体" w:eastAsia="黑体" w:hint="default"/>
          <w:sz w:val="16"/>
          <w:szCs w:val="16"/>
        </w:rPr>
      </w:pPr>
    </w:p>
    <w:p>
      <w:pPr>
        <w:pStyle w:val="Heading6"/>
        <w:tabs>
          <w:tab w:pos="844" w:val="left" w:leader="none"/>
        </w:tabs>
        <w:spacing w:line="240" w:lineRule="auto"/>
        <w:ind w:left="141" w:right="300"/>
        <w:jc w:val="left"/>
        <w:rPr>
          <w:b w:val="0"/>
          <w:bCs w:val="0"/>
        </w:rPr>
      </w:pPr>
      <w:r>
        <w:rPr>
          <w:w w:val="95"/>
        </w:rPr>
        <w:t>五、</w:t>
        <w:tab/>
      </w:r>
      <w:bookmarkStart w:name="五、   合并财务报表主要项目注释（续）" w:id="75"/>
      <w:bookmarkEnd w:id="75"/>
      <w:r>
        <w:rPr/>
        <w:t>合并</w:t>
      </w:r>
      <w:r>
        <w:rPr/>
        <w:t>财务报表主要项目注释（续）</w:t>
      </w:r>
      <w:r>
        <w:rPr>
          <w:b w:val="0"/>
          <w:bCs w:val="0"/>
        </w:rPr>
      </w:r>
    </w:p>
    <w:p>
      <w:pPr>
        <w:spacing w:line="240" w:lineRule="auto" w:before="0"/>
        <w:rPr>
          <w:rFonts w:ascii="黑体" w:hAnsi="黑体" w:cs="黑体" w:eastAsia="黑体" w:hint="default"/>
          <w:b/>
          <w:bCs/>
          <w:sz w:val="24"/>
          <w:szCs w:val="24"/>
        </w:rPr>
      </w:pPr>
    </w:p>
    <w:p>
      <w:pPr>
        <w:pStyle w:val="Heading6"/>
        <w:tabs>
          <w:tab w:pos="863" w:val="left" w:leader="none"/>
        </w:tabs>
        <w:spacing w:line="240" w:lineRule="auto" w:before="0"/>
        <w:ind w:left="141" w:right="300"/>
        <w:jc w:val="left"/>
        <w:rPr>
          <w:b w:val="0"/>
          <w:bCs w:val="0"/>
        </w:rPr>
      </w:pPr>
      <w:r>
        <w:rPr>
          <w:rFonts w:ascii="Arial" w:hAnsi="Arial" w:cs="Arial" w:eastAsia="Arial" w:hint="default"/>
          <w:spacing w:val="-1"/>
        </w:rPr>
        <w:t>6.</w:t>
        <w:tab/>
      </w:r>
      <w:r>
        <w:rPr>
          <w:spacing w:val="2"/>
        </w:rPr>
        <w:t>存货</w:t>
      </w:r>
      <w:r>
        <w:rPr>
          <w:b w:val="0"/>
          <w:bCs w:val="0"/>
        </w:rPr>
      </w:r>
    </w:p>
    <w:p>
      <w:pPr>
        <w:spacing w:line="240" w:lineRule="auto" w:before="4"/>
        <w:rPr>
          <w:rFonts w:ascii="黑体" w:hAnsi="黑体" w:cs="黑体" w:eastAsia="黑体" w:hint="default"/>
          <w:b/>
          <w:bCs/>
          <w:sz w:val="23"/>
          <w:szCs w:val="23"/>
        </w:rPr>
      </w:pPr>
    </w:p>
    <w:p>
      <w:pPr>
        <w:pStyle w:val="BodyText"/>
        <w:spacing w:line="261" w:lineRule="auto"/>
        <w:ind w:left="854" w:right="300"/>
        <w:jc w:val="left"/>
      </w:pPr>
      <w:r>
        <w:rPr>
          <w:spacing w:val="-2"/>
          <w:w w:val="99"/>
        </w:rPr>
        <w:t>本集团于</w:t>
      </w:r>
      <w:bookmarkStart w:name="6.    存货" w:id="76"/>
      <w:bookmarkEnd w:id="76"/>
      <w:r>
        <w:rPr>
          <w:spacing w:val="-2"/>
          <w:w w:val="99"/>
        </w:rPr>
      </w:r>
      <w:r>
        <w:rPr>
          <w:rFonts w:ascii="Arial" w:hAnsi="Arial" w:cs="Arial" w:eastAsia="Arial" w:hint="default"/>
          <w:spacing w:val="-2"/>
          <w:w w:val="99"/>
        </w:rPr>
        <w:t>2012</w:t>
      </w:r>
      <w:r>
        <w:rPr>
          <w:spacing w:val="-2"/>
          <w:w w:val="99"/>
        </w:rPr>
        <w:t>年</w:t>
      </w:r>
      <w:r>
        <w:rPr>
          <w:rFonts w:ascii="Arial" w:hAnsi="Arial" w:cs="Arial" w:eastAsia="Arial" w:hint="default"/>
          <w:spacing w:val="-2"/>
          <w:w w:val="99"/>
        </w:rPr>
        <w:t>12</w:t>
      </w:r>
      <w:r>
        <w:rPr>
          <w:spacing w:val="-2"/>
          <w:w w:val="99"/>
        </w:rPr>
        <w:t>月</w:t>
      </w:r>
      <w:r>
        <w:rPr>
          <w:rFonts w:ascii="Arial" w:hAnsi="Arial" w:cs="Arial" w:eastAsia="Arial" w:hint="default"/>
          <w:spacing w:val="-2"/>
          <w:w w:val="99"/>
        </w:rPr>
        <w:t>31</w:t>
      </w:r>
      <w:r>
        <w:rPr>
          <w:spacing w:val="-2"/>
          <w:w w:val="99"/>
        </w:rPr>
        <w:t>日的存货中不存在因遭受毁损、全部或部分陈旧过时或销售价格低</w:t>
      </w:r>
      <w:r>
        <w:rPr>
          <w:spacing w:val="-92"/>
          <w:w w:val="99"/>
        </w:rPr>
        <w:t> </w:t>
      </w:r>
      <w:r>
        <w:rPr>
          <w:spacing w:val="-92"/>
          <w:w w:val="99"/>
        </w:rPr>
      </w:r>
      <w:r>
        <w:rPr/>
        <w:t>于成本等原因，而使存货成本高于其可变现净值的情况，故不需计提存货跌价准备。</w:t>
      </w:r>
    </w:p>
    <w:p>
      <w:pPr>
        <w:spacing w:line="240" w:lineRule="auto" w:before="9"/>
        <w:rPr>
          <w:rFonts w:ascii="黑体" w:hAnsi="黑体" w:cs="黑体" w:eastAsia="黑体" w:hint="default"/>
          <w:sz w:val="26"/>
          <w:szCs w:val="26"/>
        </w:rPr>
      </w:pPr>
    </w:p>
    <w:tbl>
      <w:tblPr>
        <w:tblW w:w="0" w:type="auto"/>
        <w:jc w:val="left"/>
        <w:tblInd w:w="654" w:type="dxa"/>
        <w:tblLayout w:type="fixed"/>
        <w:tblCellMar>
          <w:top w:w="0" w:type="dxa"/>
          <w:left w:w="0" w:type="dxa"/>
          <w:bottom w:w="0" w:type="dxa"/>
          <w:right w:w="0" w:type="dxa"/>
        </w:tblCellMar>
        <w:tblLook w:val="01E0"/>
      </w:tblPr>
      <w:tblGrid>
        <w:gridCol w:w="1297"/>
        <w:gridCol w:w="1396"/>
        <w:gridCol w:w="1020"/>
        <w:gridCol w:w="1076"/>
        <w:gridCol w:w="1180"/>
        <w:gridCol w:w="963"/>
        <w:gridCol w:w="1247"/>
      </w:tblGrid>
      <w:tr>
        <w:trPr>
          <w:trHeight w:val="233" w:hRule="exact"/>
        </w:trPr>
        <w:tc>
          <w:tcPr>
            <w:tcW w:w="3712" w:type="dxa"/>
            <w:gridSpan w:val="3"/>
            <w:tcBorders>
              <w:top w:val="nil" w:sz="6" w:space="0" w:color="auto"/>
              <w:left w:val="nil" w:sz="6" w:space="0" w:color="auto"/>
              <w:bottom w:val="nil" w:sz="6" w:space="0" w:color="auto"/>
              <w:right w:val="nil" w:sz="6" w:space="0" w:color="auto"/>
            </w:tcBorders>
          </w:tcPr>
          <w:p>
            <w:pPr>
              <w:pStyle w:val="TableParagraph"/>
              <w:spacing w:line="214" w:lineRule="exact"/>
              <w:ind w:left="2213" w:right="0"/>
              <w:jc w:val="left"/>
              <w:rPr>
                <w:rFonts w:ascii="黑体" w:hAnsi="黑体" w:cs="黑体" w:eastAsia="黑体" w:hint="default"/>
                <w:sz w:val="20"/>
                <w:szCs w:val="20"/>
              </w:rPr>
            </w:pPr>
            <w:r>
              <w:rPr>
                <w:rFonts w:ascii="Arial" w:hAnsi="Arial" w:cs="Arial" w:eastAsia="Arial" w:hint="default"/>
                <w:sz w:val="20"/>
                <w:szCs w:val="20"/>
              </w:rPr>
              <w:t>2012</w:t>
            </w:r>
            <w:r>
              <w:rPr>
                <w:rFonts w:ascii="黑体" w:hAnsi="黑体" w:cs="黑体" w:eastAsia="黑体" w:hint="default"/>
                <w:sz w:val="20"/>
                <w:szCs w:val="20"/>
              </w:rPr>
              <w:t>年</w:t>
            </w: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w:t>
            </w:r>
          </w:p>
        </w:tc>
        <w:tc>
          <w:tcPr>
            <w:tcW w:w="1076" w:type="dxa"/>
            <w:tcBorders>
              <w:top w:val="nil" w:sz="6" w:space="0" w:color="auto"/>
              <w:left w:val="nil" w:sz="6" w:space="0" w:color="auto"/>
              <w:bottom w:val="nil" w:sz="6" w:space="0" w:color="auto"/>
              <w:right w:val="nil" w:sz="6" w:space="0" w:color="auto"/>
            </w:tcBorders>
          </w:tcPr>
          <w:p>
            <w:pPr/>
          </w:p>
        </w:tc>
        <w:tc>
          <w:tcPr>
            <w:tcW w:w="3390" w:type="dxa"/>
            <w:gridSpan w:val="3"/>
            <w:tcBorders>
              <w:top w:val="nil" w:sz="6" w:space="0" w:color="auto"/>
              <w:left w:val="nil" w:sz="6" w:space="0" w:color="auto"/>
              <w:bottom w:val="nil" w:sz="6" w:space="0" w:color="auto"/>
              <w:right w:val="nil" w:sz="6" w:space="0" w:color="auto"/>
            </w:tcBorders>
          </w:tcPr>
          <w:p>
            <w:pPr>
              <w:pStyle w:val="TableParagraph"/>
              <w:spacing w:line="214" w:lineRule="exact"/>
              <w:ind w:left="825"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w:t>
            </w:r>
          </w:p>
        </w:tc>
      </w:tr>
      <w:tr>
        <w:trPr>
          <w:trHeight w:val="378" w:hRule="exact"/>
        </w:trPr>
        <w:tc>
          <w:tcPr>
            <w:tcW w:w="1297"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23" w:lineRule="exact"/>
              <w:ind w:right="95"/>
              <w:jc w:val="right"/>
              <w:rPr>
                <w:rFonts w:ascii="黑体" w:hAnsi="黑体" w:cs="黑体" w:eastAsia="黑体" w:hint="default"/>
                <w:sz w:val="20"/>
                <w:szCs w:val="20"/>
              </w:rPr>
            </w:pPr>
            <w:r>
              <w:rPr>
                <w:rFonts w:ascii="黑体" w:hAnsi="黑体" w:cs="黑体" w:eastAsia="黑体" w:hint="default"/>
                <w:w w:val="95"/>
                <w:sz w:val="20"/>
                <w:szCs w:val="20"/>
              </w:rPr>
              <w:t>账面余额</w:t>
            </w:r>
            <w:r>
              <w:rPr>
                <w:rFonts w:ascii="黑体" w:hAnsi="黑体" w:cs="黑体" w:eastAsia="黑体" w:hint="default"/>
                <w:sz w:val="20"/>
                <w:szCs w:val="20"/>
              </w:rPr>
            </w:r>
          </w:p>
        </w:tc>
        <w:tc>
          <w:tcPr>
            <w:tcW w:w="1020" w:type="dxa"/>
            <w:tcBorders>
              <w:top w:val="nil" w:sz="6" w:space="0" w:color="auto"/>
              <w:left w:val="nil" w:sz="6" w:space="0" w:color="auto"/>
              <w:bottom w:val="nil" w:sz="6" w:space="0" w:color="auto"/>
              <w:right w:val="nil" w:sz="6" w:space="0" w:color="auto"/>
            </w:tcBorders>
          </w:tcPr>
          <w:p>
            <w:pPr>
              <w:pStyle w:val="TableParagraph"/>
              <w:spacing w:line="223" w:lineRule="exact"/>
              <w:ind w:right="125"/>
              <w:jc w:val="right"/>
              <w:rPr>
                <w:rFonts w:ascii="黑体" w:hAnsi="黑体" w:cs="黑体" w:eastAsia="黑体" w:hint="default"/>
                <w:sz w:val="20"/>
                <w:szCs w:val="20"/>
              </w:rPr>
            </w:pPr>
            <w:r>
              <w:rPr>
                <w:rFonts w:ascii="黑体" w:hAnsi="黑体" w:cs="黑体" w:eastAsia="黑体" w:hint="default"/>
                <w:w w:val="95"/>
                <w:sz w:val="20"/>
                <w:szCs w:val="20"/>
              </w:rPr>
              <w:t>跌价准备</w:t>
            </w:r>
            <w:r>
              <w:rPr>
                <w:rFonts w:ascii="黑体" w:hAnsi="黑体" w:cs="黑体" w:eastAsia="黑体" w:hint="default"/>
                <w:sz w:val="20"/>
                <w:szCs w:val="20"/>
              </w:rPr>
            </w:r>
          </w:p>
        </w:tc>
        <w:tc>
          <w:tcPr>
            <w:tcW w:w="1076" w:type="dxa"/>
            <w:tcBorders>
              <w:top w:val="nil" w:sz="6" w:space="0" w:color="auto"/>
              <w:left w:val="nil" w:sz="6" w:space="0" w:color="auto"/>
              <w:bottom w:val="nil" w:sz="6" w:space="0" w:color="auto"/>
              <w:right w:val="nil" w:sz="6" w:space="0" w:color="auto"/>
            </w:tcBorders>
          </w:tcPr>
          <w:p>
            <w:pPr>
              <w:pStyle w:val="TableParagraph"/>
              <w:spacing w:line="223" w:lineRule="exact"/>
              <w:ind w:right="65"/>
              <w:jc w:val="right"/>
              <w:rPr>
                <w:rFonts w:ascii="黑体" w:hAnsi="黑体" w:cs="黑体" w:eastAsia="黑体" w:hint="default"/>
                <w:sz w:val="20"/>
                <w:szCs w:val="20"/>
              </w:rPr>
            </w:pPr>
            <w:r>
              <w:rPr>
                <w:rFonts w:ascii="黑体" w:hAnsi="黑体" w:cs="黑体" w:eastAsia="黑体" w:hint="default"/>
                <w:w w:val="95"/>
                <w:sz w:val="20"/>
                <w:szCs w:val="20"/>
              </w:rPr>
              <w:t>账面价值</w:t>
            </w:r>
            <w:r>
              <w:rPr>
                <w:rFonts w:ascii="黑体" w:hAnsi="黑体" w:cs="黑体" w:eastAsia="黑体" w:hint="default"/>
                <w:sz w:val="20"/>
                <w:szCs w:val="20"/>
              </w:rPr>
            </w:r>
          </w:p>
        </w:tc>
        <w:tc>
          <w:tcPr>
            <w:tcW w:w="1180" w:type="dxa"/>
            <w:tcBorders>
              <w:top w:val="nil" w:sz="6" w:space="0" w:color="auto"/>
              <w:left w:val="nil" w:sz="6" w:space="0" w:color="auto"/>
              <w:bottom w:val="nil" w:sz="6" w:space="0" w:color="auto"/>
              <w:right w:val="nil" w:sz="6" w:space="0" w:color="auto"/>
            </w:tcBorders>
          </w:tcPr>
          <w:p>
            <w:pPr>
              <w:pStyle w:val="TableParagraph"/>
              <w:spacing w:line="223" w:lineRule="exact"/>
              <w:ind w:right="112"/>
              <w:jc w:val="right"/>
              <w:rPr>
                <w:rFonts w:ascii="黑体" w:hAnsi="黑体" w:cs="黑体" w:eastAsia="黑体" w:hint="default"/>
                <w:sz w:val="20"/>
                <w:szCs w:val="20"/>
              </w:rPr>
            </w:pPr>
            <w:r>
              <w:rPr>
                <w:rFonts w:ascii="黑体" w:hAnsi="黑体" w:cs="黑体" w:eastAsia="黑体" w:hint="default"/>
                <w:w w:val="95"/>
                <w:sz w:val="20"/>
                <w:szCs w:val="20"/>
              </w:rPr>
              <w:t>账面余额</w:t>
            </w:r>
            <w:r>
              <w:rPr>
                <w:rFonts w:ascii="黑体" w:hAnsi="黑体" w:cs="黑体" w:eastAsia="黑体" w:hint="default"/>
                <w:sz w:val="20"/>
                <w:szCs w:val="20"/>
              </w:rPr>
            </w:r>
          </w:p>
        </w:tc>
        <w:tc>
          <w:tcPr>
            <w:tcW w:w="963" w:type="dxa"/>
            <w:tcBorders>
              <w:top w:val="nil" w:sz="6" w:space="0" w:color="auto"/>
              <w:left w:val="nil" w:sz="6" w:space="0" w:color="auto"/>
              <w:bottom w:val="nil" w:sz="6" w:space="0" w:color="auto"/>
              <w:right w:val="nil" w:sz="6" w:space="0" w:color="auto"/>
            </w:tcBorders>
          </w:tcPr>
          <w:p>
            <w:pPr>
              <w:pStyle w:val="TableParagraph"/>
              <w:spacing w:line="223" w:lineRule="exact"/>
              <w:ind w:right="50"/>
              <w:jc w:val="right"/>
              <w:rPr>
                <w:rFonts w:ascii="黑体" w:hAnsi="黑体" w:cs="黑体" w:eastAsia="黑体" w:hint="default"/>
                <w:sz w:val="20"/>
                <w:szCs w:val="20"/>
              </w:rPr>
            </w:pPr>
            <w:r>
              <w:rPr>
                <w:rFonts w:ascii="黑体" w:hAnsi="黑体" w:cs="黑体" w:eastAsia="黑体" w:hint="default"/>
                <w:w w:val="95"/>
                <w:sz w:val="20"/>
                <w:szCs w:val="20"/>
              </w:rPr>
              <w:t>跌价准备</w:t>
            </w:r>
            <w:r>
              <w:rPr>
                <w:rFonts w:ascii="黑体" w:hAnsi="黑体" w:cs="黑体" w:eastAsia="黑体" w:hint="default"/>
                <w:sz w:val="20"/>
                <w:szCs w:val="20"/>
              </w:rPr>
            </w:r>
          </w:p>
        </w:tc>
        <w:tc>
          <w:tcPr>
            <w:tcW w:w="1247" w:type="dxa"/>
            <w:tcBorders>
              <w:top w:val="nil" w:sz="6" w:space="0" w:color="auto"/>
              <w:left w:val="nil" w:sz="6" w:space="0" w:color="auto"/>
              <w:bottom w:val="nil" w:sz="6" w:space="0" w:color="auto"/>
              <w:right w:val="nil" w:sz="6" w:space="0" w:color="auto"/>
            </w:tcBorders>
          </w:tcPr>
          <w:p>
            <w:pPr>
              <w:pStyle w:val="TableParagraph"/>
              <w:spacing w:line="223" w:lineRule="exact"/>
              <w:ind w:right="198"/>
              <w:jc w:val="right"/>
              <w:rPr>
                <w:rFonts w:ascii="黑体" w:hAnsi="黑体" w:cs="黑体" w:eastAsia="黑体" w:hint="default"/>
                <w:sz w:val="20"/>
                <w:szCs w:val="20"/>
              </w:rPr>
            </w:pPr>
            <w:r>
              <w:rPr>
                <w:rFonts w:ascii="黑体" w:hAnsi="黑体" w:cs="黑体" w:eastAsia="黑体" w:hint="default"/>
                <w:w w:val="95"/>
                <w:sz w:val="20"/>
                <w:szCs w:val="20"/>
              </w:rPr>
              <w:t>账面价值</w:t>
            </w:r>
            <w:r>
              <w:rPr>
                <w:rFonts w:ascii="黑体" w:hAnsi="黑体" w:cs="黑体" w:eastAsia="黑体" w:hint="default"/>
                <w:sz w:val="20"/>
                <w:szCs w:val="20"/>
              </w:rPr>
            </w:r>
          </w:p>
        </w:tc>
      </w:tr>
      <w:tr>
        <w:trPr>
          <w:trHeight w:val="386" w:hRule="exact"/>
        </w:trPr>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00" w:right="0"/>
              <w:jc w:val="left"/>
              <w:rPr>
                <w:rFonts w:ascii="黑体" w:hAnsi="黑体" w:cs="黑体" w:eastAsia="黑体" w:hint="default"/>
                <w:sz w:val="20"/>
                <w:szCs w:val="20"/>
              </w:rPr>
            </w:pPr>
            <w:r>
              <w:rPr>
                <w:rFonts w:ascii="黑体" w:hAnsi="黑体" w:cs="黑体" w:eastAsia="黑体" w:hint="default"/>
                <w:sz w:val="20"/>
                <w:szCs w:val="20"/>
              </w:rPr>
              <w:t>原材料</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95"/>
              <w:jc w:val="right"/>
              <w:rPr>
                <w:rFonts w:ascii="Arial" w:hAnsi="Arial" w:cs="Arial" w:eastAsia="Arial" w:hint="default"/>
                <w:sz w:val="20"/>
                <w:szCs w:val="20"/>
              </w:rPr>
            </w:pPr>
            <w:r>
              <w:rPr>
                <w:rFonts w:ascii="Arial"/>
                <w:spacing w:val="-1"/>
                <w:w w:val="95"/>
                <w:sz w:val="20"/>
              </w:rPr>
              <w:t>459,895</w:t>
            </w:r>
            <w:r>
              <w:rPr>
                <w:rFonts w:ascii="Arial"/>
                <w:sz w:val="20"/>
              </w:rPr>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22"/>
              <w:jc w:val="right"/>
              <w:rPr>
                <w:rFonts w:ascii="Arial" w:hAnsi="Arial" w:cs="Arial" w:eastAsia="Arial" w:hint="default"/>
                <w:sz w:val="20"/>
                <w:szCs w:val="20"/>
              </w:rPr>
            </w:pPr>
            <w:r>
              <w:rPr>
                <w:rFonts w:ascii="Arial"/>
                <w:w w:val="99"/>
                <w:sz w:val="20"/>
              </w:rPr>
              <w:t>-</w:t>
            </w:r>
            <w:r>
              <w:rPr>
                <w:rFonts w:ascii="Arial"/>
                <w:sz w:val="20"/>
              </w:rPr>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65"/>
              <w:jc w:val="right"/>
              <w:rPr>
                <w:rFonts w:ascii="Arial" w:hAnsi="Arial" w:cs="Arial" w:eastAsia="Arial" w:hint="default"/>
                <w:sz w:val="20"/>
                <w:szCs w:val="20"/>
              </w:rPr>
            </w:pPr>
            <w:r>
              <w:rPr>
                <w:rFonts w:ascii="Arial"/>
                <w:spacing w:val="-1"/>
                <w:w w:val="95"/>
                <w:sz w:val="20"/>
              </w:rPr>
              <w:t>459,895</w:t>
            </w:r>
            <w:r>
              <w:rPr>
                <w:rFonts w:ascii="Arial"/>
                <w:sz w:val="20"/>
              </w:rPr>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13"/>
              <w:jc w:val="right"/>
              <w:rPr>
                <w:rFonts w:ascii="Arial" w:hAnsi="Arial" w:cs="Arial" w:eastAsia="Arial" w:hint="default"/>
                <w:sz w:val="20"/>
                <w:szCs w:val="20"/>
              </w:rPr>
            </w:pPr>
            <w:r>
              <w:rPr>
                <w:rFonts w:ascii="Arial"/>
                <w:spacing w:val="-1"/>
                <w:sz w:val="20"/>
              </w:rPr>
              <w:t>2,325,653</w:t>
            </w:r>
          </w:p>
        </w:tc>
        <w:tc>
          <w:tcPr>
            <w:tcW w:w="963"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48"/>
              <w:jc w:val="right"/>
              <w:rPr>
                <w:rFonts w:ascii="Arial" w:hAnsi="Arial" w:cs="Arial" w:eastAsia="Arial" w:hint="default"/>
                <w:sz w:val="20"/>
                <w:szCs w:val="20"/>
              </w:rPr>
            </w:pPr>
            <w:r>
              <w:rPr>
                <w:rFonts w:ascii="Arial"/>
                <w:w w:val="99"/>
                <w:sz w:val="20"/>
              </w:rPr>
              <w:t>-</w:t>
            </w:r>
            <w:r>
              <w:rPr>
                <w:rFonts w:ascii="Arial"/>
                <w:sz w:val="20"/>
              </w:rPr>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98"/>
              <w:jc w:val="right"/>
              <w:rPr>
                <w:rFonts w:ascii="Arial" w:hAnsi="Arial" w:cs="Arial" w:eastAsia="Arial" w:hint="default"/>
                <w:sz w:val="20"/>
                <w:szCs w:val="20"/>
              </w:rPr>
            </w:pPr>
            <w:r>
              <w:rPr>
                <w:rFonts w:ascii="Arial"/>
                <w:spacing w:val="-1"/>
                <w:sz w:val="20"/>
              </w:rPr>
              <w:t>2,325,653</w:t>
            </w:r>
          </w:p>
        </w:tc>
      </w:tr>
      <w:tr>
        <w:trPr>
          <w:trHeight w:val="383" w:hRule="exact"/>
        </w:trPr>
        <w:tc>
          <w:tcPr>
            <w:tcW w:w="1297"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z w:val="20"/>
                <w:szCs w:val="20"/>
              </w:rPr>
              <w:t>库存商品</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5"/>
              <w:jc w:val="right"/>
              <w:rPr>
                <w:rFonts w:ascii="Arial" w:hAnsi="Arial" w:cs="Arial" w:eastAsia="Arial" w:hint="default"/>
                <w:sz w:val="20"/>
                <w:szCs w:val="20"/>
              </w:rPr>
            </w:pPr>
            <w:r>
              <w:rPr>
                <w:rFonts w:ascii="Arial"/>
                <w:w w:val="99"/>
                <w:sz w:val="20"/>
              </w:rPr>
            </w:r>
            <w:r>
              <w:rPr>
                <w:rFonts w:ascii="Arial"/>
                <w:spacing w:val="-1"/>
                <w:sz w:val="20"/>
                <w:u w:val="single" w:color="000000"/>
              </w:rPr>
              <w:t>19,293,311</w:t>
            </w:r>
            <w:r>
              <w:rPr>
                <w:rFonts w:ascii="Arial"/>
                <w:spacing w:val="-1"/>
                <w:sz w:val="20"/>
              </w:rPr>
            </w:r>
            <w:r>
              <w:rPr>
                <w:rFonts w:ascii="Arial"/>
                <w:sz w:val="20"/>
              </w:rPr>
            </w:r>
          </w:p>
        </w:tc>
        <w:tc>
          <w:tcPr>
            <w:tcW w:w="1020" w:type="dxa"/>
            <w:tcBorders>
              <w:top w:val="nil" w:sz="6" w:space="0" w:color="auto"/>
              <w:left w:val="nil" w:sz="6" w:space="0" w:color="auto"/>
              <w:bottom w:val="nil" w:sz="6" w:space="0" w:color="auto"/>
              <w:right w:val="nil" w:sz="6" w:space="0" w:color="auto"/>
            </w:tcBorders>
          </w:tcPr>
          <w:p>
            <w:pPr>
              <w:pStyle w:val="TableParagraph"/>
              <w:tabs>
                <w:tab w:pos="700" w:val="left" w:leader="none"/>
              </w:tabs>
              <w:spacing w:line="240" w:lineRule="auto" w:before="6"/>
              <w:ind w:right="120"/>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Arial" w:hAnsi="Arial" w:cs="Arial" w:eastAsia="Arial" w:hint="default"/>
                <w:sz w:val="20"/>
                <w:szCs w:val="20"/>
              </w:rPr>
            </w:pPr>
            <w:r>
              <w:rPr>
                <w:rFonts w:ascii="Arial"/>
                <w:w w:val="99"/>
                <w:sz w:val="20"/>
              </w:rPr>
            </w:r>
            <w:r>
              <w:rPr>
                <w:rFonts w:ascii="Arial"/>
                <w:spacing w:val="-1"/>
                <w:sz w:val="20"/>
                <w:u w:val="single" w:color="000000"/>
              </w:rPr>
              <w:t>19,293,311</w:t>
            </w:r>
            <w:r>
              <w:rPr>
                <w:rFonts w:ascii="Arial"/>
                <w:spacing w:val="-1"/>
                <w:sz w:val="20"/>
              </w:rPr>
            </w:r>
            <w:r>
              <w:rPr>
                <w:rFonts w:ascii="Arial"/>
                <w:sz w:val="20"/>
              </w:rPr>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2"/>
              <w:jc w:val="right"/>
              <w:rPr>
                <w:rFonts w:ascii="Arial" w:hAnsi="Arial" w:cs="Arial" w:eastAsia="Arial" w:hint="default"/>
                <w:sz w:val="20"/>
                <w:szCs w:val="20"/>
              </w:rPr>
            </w:pPr>
            <w:r>
              <w:rPr>
                <w:rFonts w:ascii="Arial"/>
                <w:w w:val="99"/>
                <w:sz w:val="20"/>
              </w:rPr>
            </w:r>
            <w:r>
              <w:rPr>
                <w:rFonts w:ascii="Arial"/>
                <w:spacing w:val="-1"/>
                <w:sz w:val="20"/>
                <w:u w:val="single" w:color="000000"/>
              </w:rPr>
              <w:t>20,519,974</w:t>
            </w:r>
            <w:r>
              <w:rPr>
                <w:rFonts w:ascii="Arial"/>
                <w:spacing w:val="-1"/>
                <w:sz w:val="20"/>
              </w:rPr>
            </w:r>
            <w:r>
              <w:rPr>
                <w:rFonts w:ascii="Arial"/>
                <w:sz w:val="20"/>
              </w:rPr>
            </w:r>
          </w:p>
        </w:tc>
        <w:tc>
          <w:tcPr>
            <w:tcW w:w="963" w:type="dxa"/>
            <w:tcBorders>
              <w:top w:val="nil" w:sz="6" w:space="0" w:color="auto"/>
              <w:left w:val="nil" w:sz="6" w:space="0" w:color="auto"/>
              <w:bottom w:val="nil" w:sz="6" w:space="0" w:color="auto"/>
              <w:right w:val="nil" w:sz="6" w:space="0" w:color="auto"/>
            </w:tcBorders>
          </w:tcPr>
          <w:p>
            <w:pPr>
              <w:pStyle w:val="TableParagraph"/>
              <w:tabs>
                <w:tab w:pos="700" w:val="left" w:leader="none"/>
              </w:tabs>
              <w:spacing w:line="240" w:lineRule="auto" w:before="6"/>
              <w:ind w:right="46"/>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8"/>
              <w:jc w:val="right"/>
              <w:rPr>
                <w:rFonts w:ascii="Arial" w:hAnsi="Arial" w:cs="Arial" w:eastAsia="Arial" w:hint="default"/>
                <w:sz w:val="20"/>
                <w:szCs w:val="20"/>
              </w:rPr>
            </w:pPr>
            <w:r>
              <w:rPr>
                <w:rFonts w:ascii="Arial"/>
                <w:w w:val="99"/>
                <w:sz w:val="20"/>
              </w:rPr>
            </w:r>
            <w:r>
              <w:rPr>
                <w:rFonts w:ascii="Arial"/>
                <w:spacing w:val="-1"/>
                <w:sz w:val="20"/>
                <w:u w:val="single" w:color="000000"/>
              </w:rPr>
              <w:t>20,519,974</w:t>
            </w:r>
            <w:r>
              <w:rPr>
                <w:rFonts w:ascii="Arial"/>
                <w:spacing w:val="-1"/>
                <w:sz w:val="20"/>
              </w:rPr>
            </w:r>
            <w:r>
              <w:rPr>
                <w:rFonts w:ascii="Arial"/>
                <w:sz w:val="20"/>
              </w:rPr>
            </w:r>
          </w:p>
        </w:tc>
      </w:tr>
      <w:tr>
        <w:trPr>
          <w:trHeight w:val="360" w:hRule="exact"/>
        </w:trPr>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00" w:right="0"/>
              <w:jc w:val="left"/>
              <w:rPr>
                <w:rFonts w:ascii="黑体" w:hAnsi="黑体" w:cs="黑体" w:eastAsia="黑体" w:hint="default"/>
                <w:sz w:val="20"/>
                <w:szCs w:val="20"/>
              </w:rPr>
            </w:pPr>
            <w:r>
              <w:rPr>
                <w:rFonts w:ascii="黑体" w:hAnsi="黑体" w:cs="黑体" w:eastAsia="黑体" w:hint="default"/>
                <w:sz w:val="20"/>
                <w:szCs w:val="20"/>
              </w:rPr>
              <w:t>合计</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95"/>
              <w:jc w:val="right"/>
              <w:rPr>
                <w:rFonts w:ascii="Arial" w:hAnsi="Arial" w:cs="Arial" w:eastAsia="Arial" w:hint="default"/>
                <w:sz w:val="20"/>
                <w:szCs w:val="20"/>
              </w:rPr>
            </w:pPr>
            <w:r>
              <w:rPr>
                <w:rFonts w:ascii="Arial"/>
                <w:w w:val="99"/>
                <w:sz w:val="20"/>
              </w:rPr>
            </w:r>
            <w:r>
              <w:rPr>
                <w:rFonts w:ascii="Arial"/>
                <w:spacing w:val="-1"/>
                <w:sz w:val="20"/>
                <w:u w:val="thick" w:color="000000"/>
              </w:rPr>
              <w:t>19,753,206</w:t>
            </w:r>
            <w:r>
              <w:rPr>
                <w:rFonts w:ascii="Arial"/>
                <w:spacing w:val="-1"/>
                <w:sz w:val="20"/>
              </w:rPr>
            </w:r>
            <w:r>
              <w:rPr>
                <w:rFonts w:ascii="Arial"/>
                <w:sz w:val="20"/>
              </w:rPr>
            </w:r>
          </w:p>
        </w:tc>
        <w:tc>
          <w:tcPr>
            <w:tcW w:w="1020" w:type="dxa"/>
            <w:tcBorders>
              <w:top w:val="nil" w:sz="6" w:space="0" w:color="auto"/>
              <w:left w:val="nil" w:sz="6" w:space="0" w:color="auto"/>
              <w:bottom w:val="nil" w:sz="6" w:space="0" w:color="auto"/>
              <w:right w:val="nil" w:sz="6" w:space="0" w:color="auto"/>
            </w:tcBorders>
          </w:tcPr>
          <w:p>
            <w:pPr>
              <w:pStyle w:val="TableParagraph"/>
              <w:tabs>
                <w:tab w:pos="700" w:val="left" w:leader="none"/>
              </w:tabs>
              <w:spacing w:line="240" w:lineRule="auto" w:before="134"/>
              <w:ind w:right="120"/>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w w:val="95"/>
                <w:sz w:val="20"/>
                <w:u w:val="thick" w:color="000000"/>
              </w:rPr>
              <w:t>-</w:t>
            </w:r>
            <w:r>
              <w:rPr>
                <w:rFonts w:ascii="Arial"/>
                <w:w w:val="95"/>
                <w:sz w:val="20"/>
              </w:rPr>
            </w:r>
            <w:r>
              <w:rPr>
                <w:rFonts w:ascii="Arial"/>
                <w:sz w:val="20"/>
              </w:rPr>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65"/>
              <w:jc w:val="right"/>
              <w:rPr>
                <w:rFonts w:ascii="Arial" w:hAnsi="Arial" w:cs="Arial" w:eastAsia="Arial" w:hint="default"/>
                <w:sz w:val="20"/>
                <w:szCs w:val="20"/>
              </w:rPr>
            </w:pPr>
            <w:r>
              <w:rPr>
                <w:rFonts w:ascii="Arial"/>
                <w:w w:val="99"/>
                <w:sz w:val="20"/>
              </w:rPr>
            </w:r>
            <w:r>
              <w:rPr>
                <w:rFonts w:ascii="Arial"/>
                <w:spacing w:val="-1"/>
                <w:sz w:val="20"/>
                <w:u w:val="thick" w:color="000000"/>
              </w:rPr>
              <w:t>19,753,206</w:t>
            </w:r>
            <w:r>
              <w:rPr>
                <w:rFonts w:ascii="Arial"/>
                <w:spacing w:val="-1"/>
                <w:sz w:val="20"/>
              </w:rPr>
            </w:r>
            <w:r>
              <w:rPr>
                <w:rFonts w:ascii="Arial"/>
                <w:sz w:val="20"/>
              </w:rPr>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12"/>
              <w:jc w:val="right"/>
              <w:rPr>
                <w:rFonts w:ascii="Arial" w:hAnsi="Arial" w:cs="Arial" w:eastAsia="Arial" w:hint="default"/>
                <w:sz w:val="20"/>
                <w:szCs w:val="20"/>
              </w:rPr>
            </w:pPr>
            <w:r>
              <w:rPr>
                <w:rFonts w:ascii="Arial"/>
                <w:w w:val="99"/>
                <w:sz w:val="20"/>
              </w:rPr>
            </w:r>
            <w:r>
              <w:rPr>
                <w:rFonts w:ascii="Arial"/>
                <w:spacing w:val="-1"/>
                <w:sz w:val="20"/>
                <w:u w:val="thick" w:color="000000"/>
              </w:rPr>
              <w:t>22,845,627</w:t>
            </w:r>
            <w:r>
              <w:rPr>
                <w:rFonts w:ascii="Arial"/>
                <w:spacing w:val="-1"/>
                <w:sz w:val="20"/>
              </w:rPr>
            </w:r>
            <w:r>
              <w:rPr>
                <w:rFonts w:ascii="Arial"/>
                <w:sz w:val="20"/>
              </w:rPr>
            </w:r>
          </w:p>
        </w:tc>
        <w:tc>
          <w:tcPr>
            <w:tcW w:w="963" w:type="dxa"/>
            <w:tcBorders>
              <w:top w:val="nil" w:sz="6" w:space="0" w:color="auto"/>
              <w:left w:val="nil" w:sz="6" w:space="0" w:color="auto"/>
              <w:bottom w:val="nil" w:sz="6" w:space="0" w:color="auto"/>
              <w:right w:val="nil" w:sz="6" w:space="0" w:color="auto"/>
            </w:tcBorders>
          </w:tcPr>
          <w:p>
            <w:pPr>
              <w:pStyle w:val="TableParagraph"/>
              <w:tabs>
                <w:tab w:pos="700" w:val="left" w:leader="none"/>
              </w:tabs>
              <w:spacing w:line="240" w:lineRule="auto" w:before="134"/>
              <w:ind w:right="46"/>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w w:val="95"/>
                <w:sz w:val="20"/>
                <w:u w:val="thick" w:color="000000"/>
              </w:rPr>
              <w:t>-</w:t>
            </w:r>
            <w:r>
              <w:rPr>
                <w:rFonts w:ascii="Arial"/>
                <w:w w:val="95"/>
                <w:sz w:val="20"/>
              </w:rPr>
            </w:r>
            <w:r>
              <w:rPr>
                <w:rFonts w:ascii="Arial"/>
                <w:sz w:val="20"/>
              </w:rPr>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22,845,627</w:t>
            </w:r>
            <w:r>
              <w:rPr>
                <w:rFonts w:ascii="Arial"/>
                <w:spacing w:val="-1"/>
                <w:sz w:val="20"/>
              </w:rPr>
            </w:r>
            <w:r>
              <w:rPr>
                <w:rFonts w:ascii="Arial"/>
                <w:sz w:val="20"/>
              </w:rPr>
            </w:r>
          </w:p>
        </w:tc>
      </w:tr>
    </w:tbl>
    <w:p>
      <w:pPr>
        <w:spacing w:line="240" w:lineRule="auto" w:before="4"/>
        <w:rPr>
          <w:rFonts w:ascii="黑体" w:hAnsi="黑体" w:cs="黑体" w:eastAsia="黑体" w:hint="default"/>
          <w:sz w:val="21"/>
          <w:szCs w:val="21"/>
        </w:rPr>
      </w:pPr>
    </w:p>
    <w:p>
      <w:pPr>
        <w:pStyle w:val="BodyText"/>
        <w:spacing w:line="240" w:lineRule="auto" w:before="37"/>
        <w:ind w:left="854" w:right="300"/>
        <w:jc w:val="left"/>
      </w:pP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日无存货所有权受到限制（</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日：无）。</w:t>
      </w:r>
    </w:p>
    <w:p>
      <w:pPr>
        <w:spacing w:line="240" w:lineRule="auto" w:before="1"/>
        <w:rPr>
          <w:rFonts w:ascii="黑体" w:hAnsi="黑体" w:cs="黑体" w:eastAsia="黑体" w:hint="default"/>
          <w:sz w:val="23"/>
          <w:szCs w:val="23"/>
        </w:rPr>
      </w:pPr>
    </w:p>
    <w:p>
      <w:pPr>
        <w:pStyle w:val="Heading6"/>
        <w:tabs>
          <w:tab w:pos="863" w:val="left" w:leader="none"/>
        </w:tabs>
        <w:spacing w:line="240" w:lineRule="auto" w:before="0"/>
        <w:ind w:left="141" w:right="300"/>
        <w:jc w:val="left"/>
        <w:rPr>
          <w:b w:val="0"/>
          <w:bCs w:val="0"/>
        </w:rPr>
      </w:pPr>
      <w:r>
        <w:rPr>
          <w:rFonts w:ascii="Arial" w:hAnsi="Arial" w:cs="Arial" w:eastAsia="Arial" w:hint="default"/>
          <w:spacing w:val="-1"/>
        </w:rPr>
        <w:t>7.</w:t>
        <w:tab/>
      </w:r>
      <w:r>
        <w:rPr>
          <w:spacing w:val="1"/>
        </w:rPr>
        <w:t>其他流动资产</w:t>
      </w:r>
      <w:r>
        <w:rPr>
          <w:b w:val="0"/>
          <w:bCs w:val="0"/>
          <w:spacing w:val="1"/>
        </w:rPr>
      </w:r>
    </w:p>
    <w:p>
      <w:pPr>
        <w:spacing w:line="240" w:lineRule="auto" w:before="11"/>
        <w:rPr>
          <w:rFonts w:ascii="黑体" w:hAnsi="黑体" w:cs="黑体" w:eastAsia="黑体" w:hint="default"/>
          <w:b/>
          <w:bCs/>
          <w:sz w:val="25"/>
          <w:szCs w:val="25"/>
        </w:rPr>
      </w:pPr>
    </w:p>
    <w:tbl>
      <w:tblPr>
        <w:tblW w:w="0" w:type="auto"/>
        <w:jc w:val="left"/>
        <w:tblInd w:w="664" w:type="dxa"/>
        <w:tblLayout w:type="fixed"/>
        <w:tblCellMar>
          <w:top w:w="0" w:type="dxa"/>
          <w:left w:w="0" w:type="dxa"/>
          <w:bottom w:w="0" w:type="dxa"/>
          <w:right w:w="0" w:type="dxa"/>
        </w:tblCellMar>
        <w:tblLook w:val="01E0"/>
      </w:tblPr>
      <w:tblGrid>
        <w:gridCol w:w="3142"/>
        <w:gridCol w:w="3292"/>
        <w:gridCol w:w="1747"/>
      </w:tblGrid>
      <w:tr>
        <w:trPr>
          <w:trHeight w:val="234" w:hRule="exact"/>
        </w:trPr>
        <w:tc>
          <w:tcPr>
            <w:tcW w:w="3142" w:type="dxa"/>
            <w:tcBorders>
              <w:top w:val="nil" w:sz="6" w:space="0" w:color="auto"/>
              <w:left w:val="nil" w:sz="6" w:space="0" w:color="auto"/>
              <w:bottom w:val="nil" w:sz="6" w:space="0" w:color="auto"/>
              <w:right w:val="nil" w:sz="6" w:space="0" w:color="auto"/>
            </w:tcBorders>
          </w:tcPr>
          <w:p>
            <w:pPr/>
          </w:p>
        </w:tc>
        <w:tc>
          <w:tcPr>
            <w:tcW w:w="3292" w:type="dxa"/>
            <w:tcBorders>
              <w:top w:val="nil" w:sz="6" w:space="0" w:color="auto"/>
              <w:left w:val="nil" w:sz="6" w:space="0" w:color="auto"/>
              <w:bottom w:val="nil" w:sz="6" w:space="0" w:color="auto"/>
              <w:right w:val="nil" w:sz="6" w:space="0" w:color="auto"/>
            </w:tcBorders>
          </w:tcPr>
          <w:p>
            <w:pPr>
              <w:pStyle w:val="TableParagraph"/>
              <w:spacing w:line="214" w:lineRule="exact"/>
              <w:ind w:right="656"/>
              <w:jc w:val="right"/>
              <w:rPr>
                <w:rFonts w:ascii="黑体" w:hAnsi="黑体" w:cs="黑体" w:eastAsia="黑体" w:hint="default"/>
                <w:sz w:val="20"/>
                <w:szCs w:val="20"/>
              </w:rPr>
            </w:pPr>
            <w:bookmarkStart w:name="7.    其他流动资产" w:id="77"/>
            <w:bookmarkEnd w:id="77"/>
            <w:r>
              <w:rPr/>
            </w: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1747" w:type="dxa"/>
            <w:tcBorders>
              <w:top w:val="nil" w:sz="6" w:space="0" w:color="auto"/>
              <w:left w:val="nil" w:sz="6" w:space="0" w:color="auto"/>
              <w:bottom w:val="nil" w:sz="6" w:space="0" w:color="auto"/>
              <w:right w:val="nil" w:sz="6" w:space="0" w:color="auto"/>
            </w:tcBorders>
          </w:tcPr>
          <w:p>
            <w:pPr>
              <w:pStyle w:val="TableParagraph"/>
              <w:spacing w:line="214" w:lineRule="exact"/>
              <w:ind w:right="198"/>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r>
      <w:tr>
        <w:trPr>
          <w:trHeight w:val="389" w:hRule="exact"/>
        </w:trPr>
        <w:tc>
          <w:tcPr>
            <w:tcW w:w="3142" w:type="dxa"/>
            <w:tcBorders>
              <w:top w:val="nil" w:sz="6" w:space="0" w:color="auto"/>
              <w:left w:val="nil" w:sz="6" w:space="0" w:color="auto"/>
              <w:bottom w:val="nil" w:sz="6" w:space="0" w:color="auto"/>
              <w:right w:val="nil" w:sz="6" w:space="0" w:color="auto"/>
            </w:tcBorders>
          </w:tcPr>
          <w:p>
            <w:pPr/>
          </w:p>
        </w:tc>
        <w:tc>
          <w:tcPr>
            <w:tcW w:w="3292" w:type="dxa"/>
            <w:tcBorders>
              <w:top w:val="nil" w:sz="6" w:space="0" w:color="auto"/>
              <w:left w:val="nil" w:sz="6" w:space="0" w:color="auto"/>
              <w:bottom w:val="nil" w:sz="6" w:space="0" w:color="auto"/>
              <w:right w:val="nil" w:sz="6" w:space="0" w:color="auto"/>
            </w:tcBorders>
          </w:tcPr>
          <w:p>
            <w:pPr>
              <w:pStyle w:val="TableParagraph"/>
              <w:spacing w:line="239" w:lineRule="exact"/>
              <w:ind w:right="656"/>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747" w:type="dxa"/>
            <w:tcBorders>
              <w:top w:val="nil" w:sz="6" w:space="0" w:color="auto"/>
              <w:left w:val="nil" w:sz="6" w:space="0" w:color="auto"/>
              <w:bottom w:val="nil" w:sz="6" w:space="0" w:color="auto"/>
              <w:right w:val="nil" w:sz="6" w:space="0" w:color="auto"/>
            </w:tcBorders>
          </w:tcPr>
          <w:p>
            <w:pPr>
              <w:pStyle w:val="TableParagraph"/>
              <w:spacing w:line="239" w:lineRule="exact"/>
              <w:ind w:right="198"/>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r>
      <w:tr>
        <w:trPr>
          <w:trHeight w:val="389" w:hRule="exact"/>
        </w:trPr>
        <w:tc>
          <w:tcPr>
            <w:tcW w:w="3142"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00" w:right="0"/>
              <w:jc w:val="left"/>
              <w:rPr>
                <w:rFonts w:ascii="黑体" w:hAnsi="黑体" w:cs="黑体" w:eastAsia="黑体" w:hint="default"/>
                <w:sz w:val="20"/>
                <w:szCs w:val="20"/>
              </w:rPr>
            </w:pPr>
            <w:r>
              <w:rPr>
                <w:rFonts w:ascii="黑体" w:hAnsi="黑体" w:cs="黑体" w:eastAsia="黑体" w:hint="default"/>
                <w:sz w:val="20"/>
                <w:szCs w:val="20"/>
              </w:rPr>
              <w:t>待摊房租费用</w:t>
            </w:r>
          </w:p>
        </w:tc>
        <w:tc>
          <w:tcPr>
            <w:tcW w:w="3292"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656"/>
              <w:jc w:val="right"/>
              <w:rPr>
                <w:rFonts w:ascii="Arial" w:hAnsi="Arial" w:cs="Arial" w:eastAsia="Arial" w:hint="default"/>
                <w:sz w:val="20"/>
                <w:szCs w:val="20"/>
              </w:rPr>
            </w:pPr>
            <w:r>
              <w:rPr>
                <w:rFonts w:ascii="Arial"/>
                <w:spacing w:val="-1"/>
                <w:sz w:val="20"/>
              </w:rPr>
              <w:t>3,280,143</w:t>
            </w: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99"/>
              <w:jc w:val="right"/>
              <w:rPr>
                <w:rFonts w:ascii="Arial" w:hAnsi="Arial" w:cs="Arial" w:eastAsia="Arial" w:hint="default"/>
                <w:sz w:val="20"/>
                <w:szCs w:val="20"/>
              </w:rPr>
            </w:pPr>
            <w:r>
              <w:rPr>
                <w:rFonts w:ascii="Arial"/>
                <w:spacing w:val="-1"/>
                <w:sz w:val="20"/>
              </w:rPr>
              <w:t>2,693,252</w:t>
            </w:r>
          </w:p>
        </w:tc>
      </w:tr>
      <w:tr>
        <w:trPr>
          <w:trHeight w:val="392" w:hRule="exact"/>
        </w:trPr>
        <w:tc>
          <w:tcPr>
            <w:tcW w:w="3142" w:type="dxa"/>
            <w:tcBorders>
              <w:top w:val="nil" w:sz="6" w:space="0" w:color="auto"/>
              <w:left w:val="nil" w:sz="6" w:space="0" w:color="auto"/>
              <w:bottom w:val="nil" w:sz="6" w:space="0" w:color="auto"/>
              <w:right w:val="nil" w:sz="6" w:space="0" w:color="auto"/>
            </w:tcBorders>
          </w:tcPr>
          <w:p>
            <w:pPr>
              <w:pStyle w:val="TableParagraph"/>
              <w:spacing w:line="224" w:lineRule="exact"/>
              <w:ind w:left="200" w:right="0"/>
              <w:jc w:val="left"/>
              <w:rPr>
                <w:rFonts w:ascii="黑体" w:hAnsi="黑体" w:cs="黑体" w:eastAsia="黑体" w:hint="default"/>
                <w:sz w:val="20"/>
                <w:szCs w:val="20"/>
              </w:rPr>
            </w:pPr>
            <w:r>
              <w:rPr>
                <w:rFonts w:ascii="黑体" w:hAnsi="黑体" w:cs="黑体" w:eastAsia="黑体" w:hint="default"/>
                <w:sz w:val="20"/>
                <w:szCs w:val="20"/>
              </w:rPr>
              <w:t>其他待摊费用</w:t>
            </w:r>
          </w:p>
        </w:tc>
        <w:tc>
          <w:tcPr>
            <w:tcW w:w="32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56"/>
              <w:jc w:val="right"/>
              <w:rPr>
                <w:rFonts w:ascii="Arial" w:hAnsi="Arial" w:cs="Arial" w:eastAsia="Arial" w:hint="default"/>
                <w:sz w:val="20"/>
                <w:szCs w:val="20"/>
              </w:rPr>
            </w:pPr>
            <w:r>
              <w:rPr>
                <w:rFonts w:ascii="Arial"/>
                <w:w w:val="99"/>
                <w:sz w:val="20"/>
              </w:rPr>
            </w:r>
            <w:r>
              <w:rPr>
                <w:rFonts w:ascii="Arial"/>
                <w:spacing w:val="-1"/>
                <w:sz w:val="20"/>
                <w:u w:val="single" w:color="000000"/>
              </w:rPr>
              <w:t>2,807,529</w:t>
            </w:r>
            <w:r>
              <w:rPr>
                <w:rFonts w:ascii="Arial"/>
                <w:spacing w:val="-1"/>
                <w:sz w:val="20"/>
              </w:rPr>
            </w: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9"/>
              <w:jc w:val="right"/>
              <w:rPr>
                <w:rFonts w:ascii="Arial" w:hAnsi="Arial" w:cs="Arial" w:eastAsia="Arial" w:hint="default"/>
                <w:sz w:val="20"/>
                <w:szCs w:val="20"/>
              </w:rPr>
            </w:pPr>
            <w:r>
              <w:rPr>
                <w:rFonts w:ascii="Arial"/>
                <w:w w:val="99"/>
                <w:sz w:val="20"/>
              </w:rPr>
            </w:r>
            <w:r>
              <w:rPr>
                <w:rFonts w:ascii="Arial"/>
                <w:spacing w:val="-1"/>
                <w:sz w:val="20"/>
                <w:u w:val="single" w:color="000000"/>
              </w:rPr>
              <w:t>2,391,770</w:t>
            </w:r>
            <w:r>
              <w:rPr>
                <w:rFonts w:ascii="Arial"/>
                <w:spacing w:val="-1"/>
                <w:sz w:val="20"/>
              </w:rPr>
            </w:r>
          </w:p>
        </w:tc>
      </w:tr>
      <w:tr>
        <w:trPr>
          <w:trHeight w:val="358" w:hRule="exact"/>
        </w:trPr>
        <w:tc>
          <w:tcPr>
            <w:tcW w:w="3142" w:type="dxa"/>
            <w:tcBorders>
              <w:top w:val="nil" w:sz="6" w:space="0" w:color="auto"/>
              <w:left w:val="nil" w:sz="6" w:space="0" w:color="auto"/>
              <w:bottom w:val="nil" w:sz="6" w:space="0" w:color="auto"/>
              <w:right w:val="nil" w:sz="6" w:space="0" w:color="auto"/>
            </w:tcBorders>
          </w:tcPr>
          <w:p>
            <w:pPr/>
          </w:p>
        </w:tc>
        <w:tc>
          <w:tcPr>
            <w:tcW w:w="3292"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656"/>
              <w:jc w:val="right"/>
              <w:rPr>
                <w:rFonts w:ascii="Arial" w:hAnsi="Arial" w:cs="Arial" w:eastAsia="Arial" w:hint="default"/>
                <w:sz w:val="20"/>
                <w:szCs w:val="20"/>
              </w:rPr>
            </w:pPr>
            <w:r>
              <w:rPr>
                <w:rFonts w:ascii="Arial"/>
                <w:w w:val="99"/>
                <w:sz w:val="20"/>
              </w:rPr>
            </w:r>
            <w:r>
              <w:rPr>
                <w:rFonts w:ascii="Arial"/>
                <w:spacing w:val="-1"/>
                <w:sz w:val="20"/>
                <w:u w:val="thick" w:color="000000"/>
              </w:rPr>
              <w:t>6,087,672</w:t>
            </w:r>
            <w:r>
              <w:rPr>
                <w:rFonts w:ascii="Arial"/>
                <w:spacing w:val="-1"/>
                <w:sz w:val="20"/>
              </w:rPr>
            </w: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199"/>
              <w:jc w:val="right"/>
              <w:rPr>
                <w:rFonts w:ascii="Arial" w:hAnsi="Arial" w:cs="Arial" w:eastAsia="Arial" w:hint="default"/>
                <w:sz w:val="20"/>
                <w:szCs w:val="20"/>
              </w:rPr>
            </w:pPr>
            <w:r>
              <w:rPr>
                <w:rFonts w:ascii="Arial"/>
                <w:w w:val="99"/>
                <w:sz w:val="20"/>
              </w:rPr>
            </w:r>
            <w:r>
              <w:rPr>
                <w:rFonts w:ascii="Arial"/>
                <w:spacing w:val="-1"/>
                <w:sz w:val="20"/>
                <w:u w:val="thick" w:color="000000"/>
              </w:rPr>
              <w:t>5,085,022</w:t>
            </w:r>
            <w:r>
              <w:rPr>
                <w:rFonts w:ascii="Arial"/>
                <w:spacing w:val="-1"/>
                <w:sz w:val="20"/>
              </w:rPr>
            </w:r>
          </w:p>
        </w:tc>
      </w:tr>
    </w:tbl>
    <w:p>
      <w:pPr>
        <w:spacing w:after="0" w:line="240" w:lineRule="auto"/>
        <w:jc w:val="right"/>
        <w:rPr>
          <w:rFonts w:ascii="Arial" w:hAnsi="Arial" w:cs="Arial" w:eastAsia="Arial" w:hint="default"/>
          <w:sz w:val="20"/>
          <w:szCs w:val="20"/>
        </w:rPr>
        <w:sectPr>
          <w:pgSz w:w="11910" w:h="16850"/>
          <w:pgMar w:header="957" w:footer="468" w:top="2640" w:bottom="660" w:left="1560" w:right="1400"/>
        </w:sectPr>
      </w:pPr>
    </w:p>
    <w:p>
      <w:pPr>
        <w:spacing w:line="240" w:lineRule="auto" w:before="5"/>
        <w:rPr>
          <w:rFonts w:ascii="黑体" w:hAnsi="黑体" w:cs="黑体" w:eastAsia="黑体" w:hint="default"/>
          <w:b/>
          <w:bCs/>
          <w:sz w:val="16"/>
          <w:szCs w:val="16"/>
        </w:rPr>
      </w:pPr>
    </w:p>
    <w:p>
      <w:pPr>
        <w:pStyle w:val="Heading6"/>
        <w:tabs>
          <w:tab w:pos="844" w:val="left" w:leader="none"/>
        </w:tabs>
        <w:spacing w:line="240" w:lineRule="auto"/>
        <w:ind w:left="141" w:right="0"/>
        <w:jc w:val="left"/>
        <w:rPr>
          <w:b w:val="0"/>
          <w:bCs w:val="0"/>
        </w:rPr>
      </w:pPr>
      <w:r>
        <w:rPr>
          <w:w w:val="95"/>
        </w:rPr>
        <w:t>五、</w:t>
        <w:tab/>
      </w:r>
      <w:bookmarkStart w:name="五、   合并财务报表主要项目注释（续）" w:id="78"/>
      <w:bookmarkEnd w:id="78"/>
      <w:r>
        <w:rPr/>
        <w:t>合并</w:t>
      </w:r>
      <w:r>
        <w:rPr/>
        <w:t>财务报表主要项目注释（续）</w:t>
      </w:r>
      <w:r>
        <w:rPr>
          <w:b w:val="0"/>
          <w:bCs w:val="0"/>
        </w:rPr>
      </w:r>
    </w:p>
    <w:p>
      <w:pPr>
        <w:spacing w:line="240" w:lineRule="auto" w:before="0"/>
        <w:rPr>
          <w:rFonts w:ascii="黑体" w:hAnsi="黑体" w:cs="黑体" w:eastAsia="黑体" w:hint="default"/>
          <w:b/>
          <w:bCs/>
          <w:sz w:val="24"/>
          <w:szCs w:val="24"/>
        </w:rPr>
      </w:pPr>
    </w:p>
    <w:p>
      <w:pPr>
        <w:pStyle w:val="Heading6"/>
        <w:tabs>
          <w:tab w:pos="849" w:val="left" w:leader="none"/>
        </w:tabs>
        <w:spacing w:line="240" w:lineRule="auto" w:before="0"/>
        <w:ind w:left="141" w:right="0"/>
        <w:jc w:val="left"/>
        <w:rPr>
          <w:b w:val="0"/>
          <w:bCs w:val="0"/>
        </w:rPr>
      </w:pPr>
      <w:r>
        <w:rPr>
          <w:rFonts w:ascii="Arial" w:hAnsi="Arial" w:cs="Arial" w:eastAsia="Arial" w:hint="default"/>
          <w:spacing w:val="-1"/>
        </w:rPr>
        <w:t>8.</w:t>
        <w:tab/>
      </w:r>
      <w:r>
        <w:rPr>
          <w:spacing w:val="1"/>
        </w:rPr>
        <w:t>对合营企业和联营企业投资</w:t>
      </w:r>
      <w:r>
        <w:rPr>
          <w:b w:val="0"/>
          <w:bCs w:val="0"/>
        </w:rPr>
      </w:r>
    </w:p>
    <w:p>
      <w:pPr>
        <w:spacing w:line="240" w:lineRule="auto" w:before="4"/>
        <w:rPr>
          <w:rFonts w:ascii="黑体" w:hAnsi="黑体" w:cs="黑体" w:eastAsia="黑体" w:hint="default"/>
          <w:b/>
          <w:bCs/>
          <w:sz w:val="23"/>
          <w:szCs w:val="23"/>
        </w:rPr>
      </w:pPr>
    </w:p>
    <w:p>
      <w:pPr>
        <w:pStyle w:val="BodyText"/>
        <w:spacing w:line="240" w:lineRule="auto"/>
        <w:ind w:left="849" w:right="0"/>
        <w:jc w:val="left"/>
      </w:pPr>
      <w:r>
        <w:rPr>
          <w:rFonts w:ascii="Arial" w:hAnsi="Arial" w:cs="Arial" w:eastAsia="Arial" w:hint="default"/>
        </w:rPr>
        <w:t>2012</w:t>
      </w:r>
      <w:r>
        <w:rPr/>
        <w:t>年</w:t>
      </w:r>
    </w:p>
    <w:p>
      <w:pPr>
        <w:spacing w:line="240" w:lineRule="auto" w:before="7"/>
        <w:rPr>
          <w:rFonts w:ascii="黑体" w:hAnsi="黑体" w:cs="黑体" w:eastAsia="黑体" w:hint="default"/>
          <w:sz w:val="26"/>
          <w:szCs w:val="26"/>
        </w:rPr>
      </w:pPr>
    </w:p>
    <w:tbl>
      <w:tblPr>
        <w:tblW w:w="0" w:type="auto"/>
        <w:jc w:val="left"/>
        <w:tblInd w:w="599" w:type="dxa"/>
        <w:tblLayout w:type="fixed"/>
        <w:tblCellMar>
          <w:top w:w="0" w:type="dxa"/>
          <w:left w:w="0" w:type="dxa"/>
          <w:bottom w:w="0" w:type="dxa"/>
          <w:right w:w="0" w:type="dxa"/>
        </w:tblCellMar>
        <w:tblLook w:val="01E0"/>
      </w:tblPr>
      <w:tblGrid>
        <w:gridCol w:w="1766"/>
        <w:gridCol w:w="815"/>
        <w:gridCol w:w="856"/>
        <w:gridCol w:w="842"/>
        <w:gridCol w:w="2039"/>
        <w:gridCol w:w="1141"/>
        <w:gridCol w:w="1358"/>
      </w:tblGrid>
      <w:tr>
        <w:trPr>
          <w:trHeight w:val="344" w:hRule="exact"/>
        </w:trPr>
        <w:tc>
          <w:tcPr>
            <w:tcW w:w="1766" w:type="dxa"/>
            <w:tcBorders>
              <w:top w:val="nil" w:sz="6" w:space="0" w:color="auto"/>
              <w:left w:val="nil" w:sz="6" w:space="0" w:color="auto"/>
              <w:bottom w:val="nil" w:sz="6" w:space="0" w:color="auto"/>
              <w:right w:val="nil" w:sz="6" w:space="0" w:color="auto"/>
            </w:tcBorders>
          </w:tcPr>
          <w:p>
            <w:pPr/>
          </w:p>
        </w:tc>
        <w:tc>
          <w:tcPr>
            <w:tcW w:w="815" w:type="dxa"/>
            <w:tcBorders>
              <w:top w:val="nil" w:sz="6" w:space="0" w:color="auto"/>
              <w:left w:val="nil" w:sz="6" w:space="0" w:color="auto"/>
              <w:bottom w:val="nil" w:sz="6" w:space="0" w:color="auto"/>
              <w:right w:val="nil" w:sz="6" w:space="0" w:color="auto"/>
            </w:tcBorders>
          </w:tcPr>
          <w:p>
            <w:pPr>
              <w:pStyle w:val="TableParagraph"/>
              <w:spacing w:line="180" w:lineRule="exact"/>
              <w:ind w:left="32" w:right="0"/>
              <w:jc w:val="left"/>
              <w:rPr>
                <w:rFonts w:ascii="黑体" w:hAnsi="黑体" w:cs="黑体" w:eastAsia="黑体" w:hint="default"/>
                <w:sz w:val="18"/>
                <w:szCs w:val="18"/>
              </w:rPr>
            </w:pPr>
            <w:r>
              <w:rPr>
                <w:rFonts w:ascii="黑体" w:hAnsi="黑体" w:cs="黑体" w:eastAsia="黑体" w:hint="default"/>
                <w:sz w:val="18"/>
                <w:szCs w:val="18"/>
              </w:rPr>
              <w:t>企业类型</w:t>
            </w:r>
          </w:p>
        </w:tc>
        <w:tc>
          <w:tcPr>
            <w:tcW w:w="856" w:type="dxa"/>
            <w:tcBorders>
              <w:top w:val="nil" w:sz="6" w:space="0" w:color="auto"/>
              <w:left w:val="nil" w:sz="6" w:space="0" w:color="auto"/>
              <w:bottom w:val="nil" w:sz="6" w:space="0" w:color="auto"/>
              <w:right w:val="nil" w:sz="6" w:space="0" w:color="auto"/>
            </w:tcBorders>
          </w:tcPr>
          <w:p>
            <w:pPr>
              <w:pStyle w:val="TableParagraph"/>
              <w:spacing w:line="180" w:lineRule="exact"/>
              <w:ind w:left="62" w:right="0"/>
              <w:jc w:val="left"/>
              <w:rPr>
                <w:rFonts w:ascii="黑体" w:hAnsi="黑体" w:cs="黑体" w:eastAsia="黑体" w:hint="default"/>
                <w:sz w:val="18"/>
                <w:szCs w:val="18"/>
              </w:rPr>
            </w:pPr>
            <w:r>
              <w:rPr>
                <w:rFonts w:ascii="黑体" w:hAnsi="黑体" w:cs="黑体" w:eastAsia="黑体" w:hint="default"/>
                <w:sz w:val="18"/>
                <w:szCs w:val="18"/>
              </w:rPr>
              <w:t>注册地</w:t>
            </w:r>
          </w:p>
        </w:tc>
        <w:tc>
          <w:tcPr>
            <w:tcW w:w="842" w:type="dxa"/>
            <w:tcBorders>
              <w:top w:val="nil" w:sz="6" w:space="0" w:color="auto"/>
              <w:left w:val="nil" w:sz="6" w:space="0" w:color="auto"/>
              <w:bottom w:val="nil" w:sz="6" w:space="0" w:color="auto"/>
              <w:right w:val="nil" w:sz="6" w:space="0" w:color="auto"/>
            </w:tcBorders>
          </w:tcPr>
          <w:p>
            <w:pPr>
              <w:pStyle w:val="TableParagraph"/>
              <w:spacing w:line="180" w:lineRule="exact"/>
              <w:ind w:left="73" w:right="0"/>
              <w:jc w:val="left"/>
              <w:rPr>
                <w:rFonts w:ascii="黑体" w:hAnsi="黑体" w:cs="黑体" w:eastAsia="黑体" w:hint="default"/>
                <w:sz w:val="18"/>
                <w:szCs w:val="18"/>
              </w:rPr>
            </w:pPr>
            <w:r>
              <w:rPr>
                <w:rFonts w:ascii="黑体" w:hAnsi="黑体" w:cs="黑体" w:eastAsia="黑体" w:hint="default"/>
                <w:sz w:val="18"/>
                <w:szCs w:val="18"/>
              </w:rPr>
              <w:t>法人代表</w:t>
            </w:r>
          </w:p>
        </w:tc>
        <w:tc>
          <w:tcPr>
            <w:tcW w:w="2039" w:type="dxa"/>
            <w:tcBorders>
              <w:top w:val="nil" w:sz="6" w:space="0" w:color="auto"/>
              <w:left w:val="nil" w:sz="6" w:space="0" w:color="auto"/>
              <w:bottom w:val="nil" w:sz="6" w:space="0" w:color="auto"/>
              <w:right w:val="nil" w:sz="6" w:space="0" w:color="auto"/>
            </w:tcBorders>
          </w:tcPr>
          <w:p>
            <w:pPr>
              <w:pStyle w:val="TableParagraph"/>
              <w:spacing w:line="180" w:lineRule="exact"/>
              <w:ind w:left="613" w:right="0"/>
              <w:jc w:val="left"/>
              <w:rPr>
                <w:rFonts w:ascii="黑体" w:hAnsi="黑体" w:cs="黑体" w:eastAsia="黑体" w:hint="default"/>
                <w:sz w:val="18"/>
                <w:szCs w:val="18"/>
              </w:rPr>
            </w:pPr>
            <w:r>
              <w:rPr>
                <w:rFonts w:ascii="黑体" w:hAnsi="黑体" w:cs="黑体" w:eastAsia="黑体" w:hint="default"/>
                <w:sz w:val="18"/>
                <w:szCs w:val="18"/>
              </w:rPr>
              <w:t>业务性质</w:t>
            </w:r>
          </w:p>
        </w:tc>
        <w:tc>
          <w:tcPr>
            <w:tcW w:w="1141" w:type="dxa"/>
            <w:tcBorders>
              <w:top w:val="nil" w:sz="6" w:space="0" w:color="auto"/>
              <w:left w:val="nil" w:sz="6" w:space="0" w:color="auto"/>
              <w:bottom w:val="nil" w:sz="6" w:space="0" w:color="auto"/>
              <w:right w:val="nil" w:sz="6" w:space="0" w:color="auto"/>
            </w:tcBorders>
          </w:tcPr>
          <w:p>
            <w:pPr>
              <w:pStyle w:val="TableParagraph"/>
              <w:spacing w:line="180" w:lineRule="exact"/>
              <w:ind w:right="76"/>
              <w:jc w:val="right"/>
              <w:rPr>
                <w:rFonts w:ascii="黑体" w:hAnsi="黑体" w:cs="黑体" w:eastAsia="黑体" w:hint="default"/>
                <w:sz w:val="18"/>
                <w:szCs w:val="18"/>
              </w:rPr>
            </w:pPr>
            <w:r>
              <w:rPr>
                <w:rFonts w:ascii="黑体" w:hAnsi="黑体" w:cs="黑体" w:eastAsia="黑体" w:hint="default"/>
                <w:sz w:val="18"/>
                <w:szCs w:val="18"/>
              </w:rPr>
              <w:t>注册资本</w:t>
            </w:r>
          </w:p>
        </w:tc>
        <w:tc>
          <w:tcPr>
            <w:tcW w:w="1358" w:type="dxa"/>
            <w:tcBorders>
              <w:top w:val="nil" w:sz="6" w:space="0" w:color="auto"/>
              <w:left w:val="nil" w:sz="6" w:space="0" w:color="auto"/>
              <w:bottom w:val="nil" w:sz="6" w:space="0" w:color="auto"/>
              <w:right w:val="nil" w:sz="6" w:space="0" w:color="auto"/>
            </w:tcBorders>
          </w:tcPr>
          <w:p>
            <w:pPr>
              <w:pStyle w:val="TableParagraph"/>
              <w:spacing w:line="180" w:lineRule="exact"/>
              <w:ind w:right="200"/>
              <w:jc w:val="right"/>
              <w:rPr>
                <w:rFonts w:ascii="黑体" w:hAnsi="黑体" w:cs="黑体" w:eastAsia="黑体" w:hint="default"/>
                <w:sz w:val="18"/>
                <w:szCs w:val="18"/>
              </w:rPr>
            </w:pPr>
            <w:r>
              <w:rPr>
                <w:rFonts w:ascii="黑体" w:hAnsi="黑体" w:cs="黑体" w:eastAsia="黑体" w:hint="default"/>
                <w:sz w:val="18"/>
                <w:szCs w:val="18"/>
              </w:rPr>
              <w:t>组织机构代码</w:t>
            </w:r>
          </w:p>
        </w:tc>
      </w:tr>
      <w:tr>
        <w:trPr>
          <w:trHeight w:val="2107" w:hRule="exact"/>
        </w:trPr>
        <w:tc>
          <w:tcPr>
            <w:tcW w:w="1766" w:type="dxa"/>
            <w:tcBorders>
              <w:top w:val="nil" w:sz="6" w:space="0" w:color="auto"/>
              <w:left w:val="nil" w:sz="6" w:space="0" w:color="auto"/>
              <w:bottom w:val="nil" w:sz="6" w:space="0" w:color="auto"/>
              <w:right w:val="nil" w:sz="6" w:space="0" w:color="auto"/>
            </w:tcBorders>
          </w:tcPr>
          <w:p>
            <w:pPr>
              <w:pStyle w:val="TableParagraph"/>
              <w:spacing w:line="230" w:lineRule="exact" w:before="135"/>
              <w:ind w:left="382" w:right="30" w:hanging="183"/>
              <w:jc w:val="both"/>
              <w:rPr>
                <w:rFonts w:ascii="Arial" w:hAnsi="Arial" w:cs="Arial" w:eastAsia="Arial" w:hint="default"/>
                <w:sz w:val="18"/>
                <w:szCs w:val="18"/>
              </w:rPr>
            </w:pPr>
            <w:r>
              <w:rPr>
                <w:rFonts w:ascii="黑体" w:hAnsi="黑体" w:cs="黑体" w:eastAsia="黑体" w:hint="default"/>
                <w:spacing w:val="6"/>
                <w:sz w:val="18"/>
                <w:szCs w:val="18"/>
              </w:rPr>
              <w:t>北京致远协创软件</w:t>
            </w:r>
            <w:r>
              <w:rPr>
                <w:rFonts w:ascii="黑体" w:hAnsi="黑体" w:cs="黑体" w:eastAsia="黑体" w:hint="default"/>
                <w:spacing w:val="7"/>
                <w:sz w:val="18"/>
                <w:szCs w:val="18"/>
              </w:rPr>
              <w:t> </w:t>
            </w:r>
            <w:r>
              <w:rPr>
                <w:rFonts w:ascii="黑体" w:hAnsi="黑体" w:cs="黑体" w:eastAsia="黑体" w:hint="default"/>
                <w:spacing w:val="19"/>
                <w:sz w:val="18"/>
                <w:szCs w:val="18"/>
              </w:rPr>
              <w:t>有限公司</w:t>
            </w:r>
            <w:r>
              <w:rPr>
                <w:rFonts w:ascii="黑体" w:hAnsi="黑体" w:cs="黑体" w:eastAsia="黑体" w:hint="default"/>
                <w:spacing w:val="-64"/>
                <w:sz w:val="18"/>
                <w:szCs w:val="18"/>
              </w:rPr>
              <w:t> </w:t>
            </w:r>
            <w:r>
              <w:rPr>
                <w:rFonts w:ascii="Arial" w:hAnsi="Arial" w:cs="Arial" w:eastAsia="Arial" w:hint="default"/>
                <w:sz w:val="18"/>
                <w:szCs w:val="18"/>
              </w:rPr>
              <w:t>(</w:t>
            </w:r>
            <w:r>
              <w:rPr>
                <w:rFonts w:ascii="Arial" w:hAnsi="Arial" w:cs="Arial" w:eastAsia="Arial" w:hint="default"/>
                <w:spacing w:val="-22"/>
                <w:sz w:val="18"/>
                <w:szCs w:val="18"/>
              </w:rPr>
              <w:t> </w:t>
            </w:r>
            <w:r>
              <w:rPr>
                <w:rFonts w:ascii="黑体" w:hAnsi="黑体" w:cs="黑体" w:eastAsia="黑体" w:hint="default"/>
                <w:spacing w:val="13"/>
                <w:sz w:val="18"/>
                <w:szCs w:val="18"/>
              </w:rPr>
              <w:t>以下</w:t>
            </w:r>
            <w:r>
              <w:rPr>
                <w:rFonts w:ascii="黑体" w:hAnsi="黑体" w:cs="黑体" w:eastAsia="黑体" w:hint="default"/>
                <w:spacing w:val="-64"/>
                <w:sz w:val="18"/>
                <w:szCs w:val="18"/>
              </w:rPr>
              <w:t> </w:t>
            </w:r>
            <w:r>
              <w:rPr>
                <w:rFonts w:ascii="黑体" w:hAnsi="黑体" w:cs="黑体" w:eastAsia="黑体" w:hint="default"/>
                <w:spacing w:val="30"/>
                <w:sz w:val="18"/>
                <w:szCs w:val="18"/>
              </w:rPr>
              <w:t>简称“</w:t>
            </w:r>
            <w:r>
              <w:rPr>
                <w:rFonts w:ascii="黑体" w:hAnsi="黑体" w:cs="黑体" w:eastAsia="黑体" w:hint="default"/>
                <w:spacing w:val="-47"/>
                <w:sz w:val="18"/>
                <w:szCs w:val="18"/>
              </w:rPr>
              <w:t> </w:t>
            </w:r>
            <w:r>
              <w:rPr>
                <w:rFonts w:ascii="黑体" w:hAnsi="黑体" w:cs="黑体" w:eastAsia="黑体" w:hint="default"/>
                <w:spacing w:val="30"/>
                <w:sz w:val="18"/>
                <w:szCs w:val="18"/>
              </w:rPr>
              <w:t>致远协</w:t>
            </w:r>
            <w:r>
              <w:rPr>
                <w:rFonts w:ascii="黑体" w:hAnsi="黑体" w:cs="黑体" w:eastAsia="黑体" w:hint="default"/>
                <w:spacing w:val="-45"/>
                <w:sz w:val="18"/>
                <w:szCs w:val="18"/>
              </w:rPr>
              <w:t> </w:t>
            </w:r>
            <w:r>
              <w:rPr>
                <w:rFonts w:ascii="黑体" w:hAnsi="黑体" w:cs="黑体" w:eastAsia="黑体" w:hint="default"/>
                <w:sz w:val="18"/>
                <w:szCs w:val="18"/>
              </w:rPr>
              <w:t>创”</w:t>
            </w:r>
            <w:r>
              <w:rPr>
                <w:rFonts w:ascii="Arial" w:hAnsi="Arial" w:cs="Arial" w:eastAsia="Arial" w:hint="default"/>
                <w:sz w:val="18"/>
                <w:szCs w:val="18"/>
              </w:rPr>
              <w:t>)</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32" w:right="0"/>
              <w:jc w:val="left"/>
              <w:rPr>
                <w:rFonts w:ascii="黑体" w:hAnsi="黑体" w:cs="黑体" w:eastAsia="黑体" w:hint="default"/>
                <w:sz w:val="18"/>
                <w:szCs w:val="18"/>
              </w:rPr>
            </w:pPr>
            <w:r>
              <w:rPr>
                <w:rFonts w:ascii="黑体" w:hAnsi="黑体" w:cs="黑体" w:eastAsia="黑体" w:hint="default"/>
                <w:sz w:val="18"/>
                <w:szCs w:val="18"/>
              </w:rPr>
              <w:t>联营企业</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62" w:right="0"/>
              <w:jc w:val="left"/>
              <w:rPr>
                <w:rFonts w:ascii="黑体" w:hAnsi="黑体" w:cs="黑体" w:eastAsia="黑体" w:hint="default"/>
                <w:sz w:val="18"/>
                <w:szCs w:val="18"/>
              </w:rPr>
            </w:pPr>
            <w:r>
              <w:rPr>
                <w:rFonts w:ascii="黑体" w:hAnsi="黑体" w:cs="黑体" w:eastAsia="黑体" w:hint="default"/>
                <w:sz w:val="18"/>
                <w:szCs w:val="18"/>
              </w:rPr>
              <w:t>北京市</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73" w:right="0"/>
              <w:jc w:val="left"/>
              <w:rPr>
                <w:rFonts w:ascii="黑体" w:hAnsi="黑体" w:cs="黑体" w:eastAsia="黑体" w:hint="default"/>
                <w:sz w:val="18"/>
                <w:szCs w:val="18"/>
              </w:rPr>
            </w:pPr>
            <w:r>
              <w:rPr>
                <w:rFonts w:ascii="黑体" w:hAnsi="黑体" w:cs="黑体" w:eastAsia="黑体" w:hint="default"/>
                <w:sz w:val="18"/>
                <w:szCs w:val="18"/>
              </w:rPr>
              <w:t>徐石</w:t>
            </w:r>
          </w:p>
        </w:tc>
        <w:tc>
          <w:tcPr>
            <w:tcW w:w="2039" w:type="dxa"/>
            <w:tcBorders>
              <w:top w:val="nil" w:sz="6" w:space="0" w:color="auto"/>
              <w:left w:val="nil" w:sz="6" w:space="0" w:color="auto"/>
              <w:bottom w:val="nil" w:sz="6" w:space="0" w:color="auto"/>
              <w:right w:val="nil" w:sz="6" w:space="0" w:color="auto"/>
            </w:tcBorders>
          </w:tcPr>
          <w:p>
            <w:pPr>
              <w:pStyle w:val="TableParagraph"/>
              <w:spacing w:line="230" w:lineRule="auto" w:before="117"/>
              <w:ind w:left="49" w:right="136"/>
              <w:jc w:val="both"/>
              <w:rPr>
                <w:rFonts w:ascii="黑体" w:hAnsi="黑体" w:cs="黑体" w:eastAsia="黑体" w:hint="default"/>
                <w:sz w:val="18"/>
                <w:szCs w:val="18"/>
              </w:rPr>
            </w:pPr>
            <w:r>
              <w:rPr>
                <w:rFonts w:ascii="黑体" w:hAnsi="黑体" w:cs="黑体" w:eastAsia="黑体" w:hint="default"/>
                <w:sz w:val="18"/>
                <w:szCs w:val="18"/>
              </w:rPr>
              <w:t>软件开发</w:t>
            </w:r>
            <w:r>
              <w:rPr>
                <w:rFonts w:ascii="Arial" w:hAnsi="Arial" w:cs="Arial" w:eastAsia="Arial" w:hint="default"/>
                <w:sz w:val="18"/>
                <w:szCs w:val="18"/>
              </w:rPr>
              <w:t>,</w:t>
            </w:r>
            <w:r>
              <w:rPr>
                <w:rFonts w:ascii="黑体" w:hAnsi="黑体" w:cs="黑体" w:eastAsia="黑体" w:hint="default"/>
                <w:sz w:val="18"/>
                <w:szCs w:val="18"/>
              </w:rPr>
              <w:t>技术转让、技 </w:t>
            </w:r>
            <w:r>
              <w:rPr>
                <w:rFonts w:ascii="黑体" w:hAnsi="黑体" w:cs="黑体" w:eastAsia="黑体" w:hint="default"/>
                <w:spacing w:val="4"/>
                <w:sz w:val="18"/>
                <w:szCs w:val="18"/>
              </w:rPr>
              <w:t>术咨询、技术服务、计</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pacing w:val="4"/>
                <w:sz w:val="18"/>
                <w:szCs w:val="18"/>
              </w:rPr>
              <w:t>算机技术培训、基础软</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z w:val="18"/>
                <w:szCs w:val="18"/>
              </w:rPr>
              <w:t>件服务</w:t>
            </w:r>
            <w:r>
              <w:rPr>
                <w:rFonts w:ascii="Arial" w:hAnsi="Arial" w:cs="Arial" w:eastAsia="Arial" w:hint="default"/>
                <w:sz w:val="18"/>
                <w:szCs w:val="18"/>
              </w:rPr>
              <w:t>:</w:t>
            </w:r>
            <w:r>
              <w:rPr>
                <w:rFonts w:ascii="黑体" w:hAnsi="黑体" w:cs="黑体" w:eastAsia="黑体" w:hint="default"/>
                <w:sz w:val="18"/>
                <w:szCs w:val="18"/>
              </w:rPr>
              <w:t>应用软件服务、 </w:t>
            </w:r>
            <w:r>
              <w:rPr>
                <w:rFonts w:ascii="黑体" w:hAnsi="黑体" w:cs="黑体" w:eastAsia="黑体" w:hint="default"/>
                <w:spacing w:val="4"/>
                <w:sz w:val="18"/>
                <w:szCs w:val="18"/>
              </w:rPr>
              <w:t>计算机系统服务、销售</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pacing w:val="4"/>
                <w:sz w:val="18"/>
                <w:szCs w:val="18"/>
              </w:rPr>
              <w:t>计算机、软件及辅助设</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pacing w:val="4"/>
                <w:sz w:val="18"/>
                <w:szCs w:val="18"/>
              </w:rPr>
              <w:t>备、电子产品、机械设</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z w:val="18"/>
                <w:szCs w:val="18"/>
              </w:rPr>
              <w:t>备。</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75"/>
              <w:jc w:val="right"/>
              <w:rPr>
                <w:rFonts w:ascii="Arial" w:hAnsi="Arial" w:cs="Arial" w:eastAsia="Arial" w:hint="default"/>
                <w:sz w:val="18"/>
                <w:szCs w:val="18"/>
              </w:rPr>
            </w:pPr>
            <w:r>
              <w:rPr>
                <w:rFonts w:ascii="Arial"/>
                <w:spacing w:val="-1"/>
                <w:sz w:val="18"/>
              </w:rPr>
              <w:t>10,000,000</w:t>
            </w:r>
            <w:r>
              <w:rPr>
                <w:rFonts w:ascii="Arial"/>
                <w:sz w:val="18"/>
              </w:rPr>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98"/>
              <w:jc w:val="right"/>
              <w:rPr>
                <w:rFonts w:ascii="Arial" w:hAnsi="Arial" w:cs="Arial" w:eastAsia="Arial" w:hint="default"/>
                <w:sz w:val="18"/>
                <w:szCs w:val="18"/>
              </w:rPr>
            </w:pPr>
            <w:r>
              <w:rPr>
                <w:rFonts w:ascii="Arial"/>
                <w:spacing w:val="-1"/>
                <w:sz w:val="18"/>
              </w:rPr>
              <w:t>73765633-8</w:t>
            </w:r>
          </w:p>
        </w:tc>
      </w:tr>
      <w:tr>
        <w:trPr>
          <w:trHeight w:val="1865" w:hRule="exact"/>
        </w:trPr>
        <w:tc>
          <w:tcPr>
            <w:tcW w:w="1766" w:type="dxa"/>
            <w:tcBorders>
              <w:top w:val="nil" w:sz="6" w:space="0" w:color="auto"/>
              <w:left w:val="nil" w:sz="6" w:space="0" w:color="auto"/>
              <w:bottom w:val="nil" w:sz="6" w:space="0" w:color="auto"/>
              <w:right w:val="nil" w:sz="6" w:space="0" w:color="auto"/>
            </w:tcBorders>
          </w:tcPr>
          <w:p>
            <w:pPr>
              <w:pStyle w:val="TableParagraph"/>
              <w:spacing w:line="230" w:lineRule="exact" w:before="123"/>
              <w:ind w:left="382" w:right="70" w:hanging="183"/>
              <w:jc w:val="both"/>
              <w:rPr>
                <w:rFonts w:ascii="Arial" w:hAnsi="Arial" w:cs="Arial" w:eastAsia="Arial" w:hint="default"/>
                <w:sz w:val="18"/>
                <w:szCs w:val="18"/>
              </w:rPr>
            </w:pPr>
            <w:r>
              <w:rPr>
                <w:rFonts w:ascii="黑体" w:hAnsi="黑体" w:cs="黑体" w:eastAsia="黑体" w:hint="default"/>
                <w:spacing w:val="6"/>
                <w:sz w:val="18"/>
                <w:szCs w:val="18"/>
              </w:rPr>
              <w:t>北京西玛国正商用</w:t>
            </w:r>
            <w:r>
              <w:rPr>
                <w:rFonts w:ascii="黑体" w:hAnsi="黑体" w:cs="黑体" w:eastAsia="黑体" w:hint="default"/>
                <w:spacing w:val="7"/>
                <w:sz w:val="18"/>
                <w:szCs w:val="18"/>
              </w:rPr>
              <w:t> 表单技术有限公 </w:t>
            </w:r>
            <w:r>
              <w:rPr>
                <w:rFonts w:ascii="黑体" w:hAnsi="黑体" w:cs="黑体" w:eastAsia="黑体" w:hint="default"/>
                <w:spacing w:val="12"/>
                <w:sz w:val="18"/>
                <w:szCs w:val="18"/>
              </w:rPr>
              <w:t>司</w:t>
            </w:r>
            <w:r>
              <w:rPr>
                <w:rFonts w:ascii="Arial" w:hAnsi="Arial" w:cs="Arial" w:eastAsia="Arial" w:hint="default"/>
                <w:spacing w:val="12"/>
                <w:sz w:val="18"/>
                <w:szCs w:val="18"/>
              </w:rPr>
              <w:t>(</w:t>
            </w:r>
            <w:r>
              <w:rPr>
                <w:rFonts w:ascii="黑体" w:hAnsi="黑体" w:cs="黑体" w:eastAsia="黑体" w:hint="default"/>
                <w:spacing w:val="12"/>
                <w:sz w:val="18"/>
                <w:szCs w:val="18"/>
              </w:rPr>
              <w:t>以下简称</w:t>
            </w:r>
            <w:r>
              <w:rPr>
                <w:rFonts w:ascii="Arial" w:hAnsi="Arial" w:cs="Arial" w:eastAsia="Arial" w:hint="default"/>
                <w:spacing w:val="12"/>
                <w:sz w:val="18"/>
                <w:szCs w:val="18"/>
              </w:rPr>
              <w:t>“</w:t>
            </w:r>
            <w:r>
              <w:rPr>
                <w:rFonts w:ascii="黑体" w:hAnsi="黑体" w:cs="黑体" w:eastAsia="黑体" w:hint="default"/>
                <w:spacing w:val="12"/>
                <w:sz w:val="18"/>
                <w:szCs w:val="18"/>
              </w:rPr>
              <w:t>西</w:t>
            </w:r>
            <w:r>
              <w:rPr>
                <w:rFonts w:ascii="黑体" w:hAnsi="黑体" w:cs="黑体" w:eastAsia="黑体" w:hint="default"/>
                <w:sz w:val="18"/>
                <w:szCs w:val="18"/>
              </w:rPr>
              <w:t> 玛商用表单</w:t>
            </w:r>
            <w:r>
              <w:rPr>
                <w:rFonts w:ascii="Arial" w:hAnsi="Arial" w:cs="Arial" w:eastAsia="Arial" w:hint="default"/>
                <w:sz w:val="18"/>
                <w:szCs w:val="18"/>
              </w:rPr>
              <w:t>”)</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2" w:right="0"/>
              <w:jc w:val="left"/>
              <w:rPr>
                <w:rFonts w:ascii="黑体" w:hAnsi="黑体" w:cs="黑体" w:eastAsia="黑体" w:hint="default"/>
                <w:sz w:val="18"/>
                <w:szCs w:val="18"/>
              </w:rPr>
            </w:pPr>
            <w:r>
              <w:rPr>
                <w:rFonts w:ascii="黑体" w:hAnsi="黑体" w:cs="黑体" w:eastAsia="黑体" w:hint="default"/>
                <w:sz w:val="18"/>
                <w:szCs w:val="18"/>
              </w:rPr>
              <w:t>联营企业</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62" w:right="0"/>
              <w:jc w:val="left"/>
              <w:rPr>
                <w:rFonts w:ascii="黑体" w:hAnsi="黑体" w:cs="黑体" w:eastAsia="黑体" w:hint="default"/>
                <w:sz w:val="18"/>
                <w:szCs w:val="18"/>
              </w:rPr>
            </w:pPr>
            <w:r>
              <w:rPr>
                <w:rFonts w:ascii="黑体" w:hAnsi="黑体" w:cs="黑体" w:eastAsia="黑体" w:hint="default"/>
                <w:sz w:val="18"/>
                <w:szCs w:val="18"/>
              </w:rPr>
              <w:t>北京市</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73" w:right="0"/>
              <w:jc w:val="left"/>
              <w:rPr>
                <w:rFonts w:ascii="黑体" w:hAnsi="黑体" w:cs="黑体" w:eastAsia="黑体" w:hint="default"/>
                <w:sz w:val="18"/>
                <w:szCs w:val="18"/>
              </w:rPr>
            </w:pPr>
            <w:r>
              <w:rPr>
                <w:rFonts w:ascii="黑体" w:hAnsi="黑体" w:cs="黑体" w:eastAsia="黑体" w:hint="default"/>
                <w:sz w:val="18"/>
                <w:szCs w:val="18"/>
              </w:rPr>
              <w:t>王力</w:t>
            </w:r>
          </w:p>
        </w:tc>
        <w:tc>
          <w:tcPr>
            <w:tcW w:w="2039" w:type="dxa"/>
            <w:tcBorders>
              <w:top w:val="nil" w:sz="6" w:space="0" w:color="auto"/>
              <w:left w:val="nil" w:sz="6" w:space="0" w:color="auto"/>
              <w:bottom w:val="nil" w:sz="6" w:space="0" w:color="auto"/>
              <w:right w:val="nil" w:sz="6" w:space="0" w:color="auto"/>
            </w:tcBorders>
          </w:tcPr>
          <w:p>
            <w:pPr>
              <w:pStyle w:val="TableParagraph"/>
              <w:spacing w:line="235" w:lineRule="auto" w:before="101"/>
              <w:ind w:left="49" w:right="50"/>
              <w:jc w:val="left"/>
              <w:rPr>
                <w:rFonts w:ascii="黑体" w:hAnsi="黑体" w:cs="黑体" w:eastAsia="黑体" w:hint="default"/>
                <w:sz w:val="18"/>
                <w:szCs w:val="18"/>
              </w:rPr>
            </w:pPr>
            <w:r>
              <w:rPr>
                <w:rFonts w:ascii="黑体" w:hAnsi="黑体" w:cs="黑体" w:eastAsia="黑体" w:hint="default"/>
                <w:spacing w:val="4"/>
                <w:sz w:val="18"/>
                <w:szCs w:val="18"/>
              </w:rPr>
              <w:t>技术推广服务、销售打</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pacing w:val="4"/>
                <w:sz w:val="18"/>
                <w:szCs w:val="18"/>
              </w:rPr>
              <w:t>印纸、磁盘、计算机专</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pacing w:val="4"/>
                <w:sz w:val="18"/>
                <w:szCs w:val="18"/>
              </w:rPr>
              <w:t>用账页、账夹、计算机</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pacing w:val="-4"/>
                <w:sz w:val="18"/>
                <w:szCs w:val="18"/>
              </w:rPr>
              <w:t>及外围设备、文具用品、</w:t>
            </w:r>
            <w:r>
              <w:rPr>
                <w:rFonts w:ascii="黑体" w:hAnsi="黑体" w:cs="黑体" w:eastAsia="黑体" w:hint="default"/>
                <w:sz w:val="18"/>
                <w:szCs w:val="18"/>
              </w:rPr>
              <w:t> </w:t>
            </w:r>
            <w:r>
              <w:rPr>
                <w:rFonts w:ascii="黑体" w:hAnsi="黑体" w:cs="黑体" w:eastAsia="黑体" w:hint="default"/>
                <w:spacing w:val="4"/>
                <w:sz w:val="18"/>
                <w:szCs w:val="18"/>
              </w:rPr>
              <w:t>计算机软件制作、计算</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pacing w:val="-4"/>
                <w:sz w:val="18"/>
                <w:szCs w:val="18"/>
              </w:rPr>
              <w:t>机技术服务、技术培训、</w:t>
            </w:r>
            <w:r>
              <w:rPr>
                <w:rFonts w:ascii="黑体" w:hAnsi="黑体" w:cs="黑体" w:eastAsia="黑体" w:hint="default"/>
                <w:sz w:val="18"/>
                <w:szCs w:val="18"/>
              </w:rPr>
              <w:t> 技术进出口。</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73"/>
              <w:jc w:val="right"/>
              <w:rPr>
                <w:rFonts w:ascii="Arial" w:hAnsi="Arial" w:cs="Arial" w:eastAsia="Arial" w:hint="default"/>
                <w:sz w:val="18"/>
                <w:szCs w:val="18"/>
              </w:rPr>
            </w:pPr>
            <w:r>
              <w:rPr>
                <w:rFonts w:ascii="Arial"/>
                <w:spacing w:val="-1"/>
                <w:sz w:val="18"/>
              </w:rPr>
              <w:t>500,000</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98"/>
              <w:jc w:val="right"/>
              <w:rPr>
                <w:rFonts w:ascii="Arial" w:hAnsi="Arial" w:cs="Arial" w:eastAsia="Arial" w:hint="default"/>
                <w:sz w:val="18"/>
                <w:szCs w:val="18"/>
              </w:rPr>
            </w:pPr>
            <w:r>
              <w:rPr>
                <w:rFonts w:ascii="Arial"/>
                <w:spacing w:val="-1"/>
                <w:sz w:val="18"/>
              </w:rPr>
              <w:t>63364482-6</w:t>
            </w:r>
          </w:p>
        </w:tc>
      </w:tr>
      <w:tr>
        <w:trPr>
          <w:trHeight w:val="1639" w:hRule="exact"/>
        </w:trPr>
        <w:tc>
          <w:tcPr>
            <w:tcW w:w="1766" w:type="dxa"/>
            <w:tcBorders>
              <w:top w:val="nil" w:sz="6" w:space="0" w:color="auto"/>
              <w:left w:val="nil" w:sz="6" w:space="0" w:color="auto"/>
              <w:bottom w:val="nil" w:sz="6" w:space="0" w:color="auto"/>
              <w:right w:val="nil" w:sz="6" w:space="0" w:color="auto"/>
            </w:tcBorders>
          </w:tcPr>
          <w:p>
            <w:pPr>
              <w:pStyle w:val="TableParagraph"/>
              <w:spacing w:line="230" w:lineRule="exact" w:before="123"/>
              <w:ind w:left="382" w:right="121" w:hanging="183"/>
              <w:jc w:val="left"/>
              <w:rPr>
                <w:rFonts w:ascii="Arial" w:hAnsi="Arial" w:cs="Arial" w:eastAsia="Arial" w:hint="default"/>
                <w:sz w:val="18"/>
                <w:szCs w:val="18"/>
              </w:rPr>
            </w:pPr>
            <w:r>
              <w:rPr>
                <w:rFonts w:ascii="黑体" w:hAnsi="黑体" w:cs="黑体" w:eastAsia="黑体" w:hint="default"/>
                <w:sz w:val="18"/>
                <w:szCs w:val="18"/>
              </w:rPr>
              <w:t>北京西玛永泰商用 表单技术有限公 司</w:t>
            </w:r>
            <w:r>
              <w:rPr>
                <w:rFonts w:ascii="Arial" w:hAnsi="Arial" w:cs="Arial" w:eastAsia="Arial" w:hint="default"/>
                <w:sz w:val="18"/>
                <w:szCs w:val="18"/>
              </w:rPr>
              <w:t>(</w:t>
            </w:r>
            <w:r>
              <w:rPr>
                <w:rFonts w:ascii="黑体" w:hAnsi="黑体" w:cs="黑体" w:eastAsia="黑体" w:hint="default"/>
                <w:sz w:val="18"/>
                <w:szCs w:val="18"/>
              </w:rPr>
              <w:t>以下简称 </w:t>
            </w:r>
            <w:r>
              <w:rPr>
                <w:rFonts w:ascii="Arial" w:hAnsi="Arial" w:cs="Arial" w:eastAsia="Arial" w:hint="default"/>
                <w:sz w:val="18"/>
                <w:szCs w:val="18"/>
              </w:rPr>
              <w:t>“</w:t>
            </w:r>
            <w:r>
              <w:rPr>
                <w:rFonts w:ascii="黑体" w:hAnsi="黑体" w:cs="黑体" w:eastAsia="黑体" w:hint="default"/>
                <w:sz w:val="18"/>
                <w:szCs w:val="18"/>
              </w:rPr>
              <w:t>西玛永泰</w:t>
            </w:r>
            <w:r>
              <w:rPr>
                <w:rFonts w:ascii="Arial" w:hAnsi="Arial" w:cs="Arial" w:eastAsia="Arial" w:hint="default"/>
                <w:sz w:val="18"/>
                <w:szCs w:val="18"/>
              </w:rPr>
              <w:t>”)</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2" w:right="0"/>
              <w:jc w:val="left"/>
              <w:rPr>
                <w:rFonts w:ascii="黑体" w:hAnsi="黑体" w:cs="黑体" w:eastAsia="黑体" w:hint="default"/>
                <w:sz w:val="18"/>
                <w:szCs w:val="18"/>
              </w:rPr>
            </w:pPr>
            <w:r>
              <w:rPr>
                <w:rFonts w:ascii="黑体" w:hAnsi="黑体" w:cs="黑体" w:eastAsia="黑体" w:hint="default"/>
                <w:sz w:val="18"/>
                <w:szCs w:val="18"/>
              </w:rPr>
              <w:t>联营企业</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62" w:right="0"/>
              <w:jc w:val="left"/>
              <w:rPr>
                <w:rFonts w:ascii="黑体" w:hAnsi="黑体" w:cs="黑体" w:eastAsia="黑体" w:hint="default"/>
                <w:sz w:val="18"/>
                <w:szCs w:val="18"/>
              </w:rPr>
            </w:pPr>
            <w:r>
              <w:rPr>
                <w:rFonts w:ascii="黑体" w:hAnsi="黑体" w:cs="黑体" w:eastAsia="黑体" w:hint="default"/>
                <w:sz w:val="18"/>
                <w:szCs w:val="18"/>
              </w:rPr>
              <w:t>北京市</w:t>
            </w:r>
          </w:p>
        </w:tc>
        <w:tc>
          <w:tcPr>
            <w:tcW w:w="84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73" w:right="0"/>
              <w:jc w:val="left"/>
              <w:rPr>
                <w:rFonts w:ascii="黑体" w:hAnsi="黑体" w:cs="黑体" w:eastAsia="黑体" w:hint="default"/>
                <w:sz w:val="18"/>
                <w:szCs w:val="18"/>
              </w:rPr>
            </w:pPr>
            <w:r>
              <w:rPr>
                <w:rFonts w:ascii="黑体" w:hAnsi="黑体" w:cs="黑体" w:eastAsia="黑体" w:hint="default"/>
                <w:sz w:val="18"/>
                <w:szCs w:val="18"/>
              </w:rPr>
              <w:t>王力</w:t>
            </w:r>
          </w:p>
        </w:tc>
        <w:tc>
          <w:tcPr>
            <w:tcW w:w="2039" w:type="dxa"/>
            <w:tcBorders>
              <w:top w:val="nil" w:sz="6" w:space="0" w:color="auto"/>
              <w:left w:val="nil" w:sz="6" w:space="0" w:color="auto"/>
              <w:bottom w:val="nil" w:sz="6" w:space="0" w:color="auto"/>
              <w:right w:val="nil" w:sz="6" w:space="0" w:color="auto"/>
            </w:tcBorders>
          </w:tcPr>
          <w:p>
            <w:pPr>
              <w:pStyle w:val="TableParagraph"/>
              <w:spacing w:line="230" w:lineRule="exact" w:before="123"/>
              <w:ind w:left="49" w:right="50"/>
              <w:jc w:val="left"/>
              <w:rPr>
                <w:rFonts w:ascii="黑体" w:hAnsi="黑体" w:cs="黑体" w:eastAsia="黑体" w:hint="default"/>
                <w:sz w:val="18"/>
                <w:szCs w:val="18"/>
              </w:rPr>
            </w:pPr>
            <w:r>
              <w:rPr>
                <w:rFonts w:ascii="黑体" w:hAnsi="黑体" w:cs="黑体" w:eastAsia="黑体" w:hint="default"/>
                <w:spacing w:val="4"/>
                <w:sz w:val="18"/>
                <w:szCs w:val="18"/>
              </w:rPr>
              <w:t>技术推广服务、销售文</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pacing w:val="4"/>
                <w:sz w:val="18"/>
                <w:szCs w:val="18"/>
              </w:rPr>
              <w:t>具用品、计算机、软件</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pacing w:val="-4"/>
                <w:sz w:val="18"/>
                <w:szCs w:val="18"/>
              </w:rPr>
              <w:t>及辅助设备、电子产品、</w:t>
            </w:r>
            <w:r>
              <w:rPr>
                <w:rFonts w:ascii="黑体" w:hAnsi="黑体" w:cs="黑体" w:eastAsia="黑体" w:hint="default"/>
                <w:sz w:val="18"/>
                <w:szCs w:val="18"/>
              </w:rPr>
              <w:t> </w:t>
            </w:r>
            <w:r>
              <w:rPr>
                <w:rFonts w:ascii="黑体" w:hAnsi="黑体" w:cs="黑体" w:eastAsia="黑体" w:hint="default"/>
                <w:spacing w:val="4"/>
                <w:sz w:val="18"/>
                <w:szCs w:val="18"/>
              </w:rPr>
              <w:t>日用品、计算机技术培</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pacing w:val="4"/>
                <w:sz w:val="18"/>
                <w:szCs w:val="18"/>
              </w:rPr>
              <w:t>训、货物进出口、技术</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z w:val="18"/>
                <w:szCs w:val="18"/>
              </w:rPr>
              <w:t>进出口、代理进出口。</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73"/>
              <w:jc w:val="right"/>
              <w:rPr>
                <w:rFonts w:ascii="Arial" w:hAnsi="Arial" w:cs="Arial" w:eastAsia="Arial" w:hint="default"/>
                <w:sz w:val="18"/>
                <w:szCs w:val="18"/>
              </w:rPr>
            </w:pPr>
            <w:r>
              <w:rPr>
                <w:rFonts w:ascii="Arial"/>
                <w:spacing w:val="-1"/>
                <w:sz w:val="18"/>
              </w:rPr>
              <w:t>500,000</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201"/>
              <w:jc w:val="right"/>
              <w:rPr>
                <w:rFonts w:ascii="Arial" w:hAnsi="Arial" w:cs="Arial" w:eastAsia="Arial" w:hint="default"/>
                <w:sz w:val="18"/>
                <w:szCs w:val="18"/>
              </w:rPr>
            </w:pPr>
            <w:r>
              <w:rPr>
                <w:rFonts w:ascii="Arial"/>
                <w:spacing w:val="-1"/>
                <w:sz w:val="18"/>
              </w:rPr>
              <w:t>79341913-4</w:t>
            </w:r>
          </w:p>
        </w:tc>
      </w:tr>
      <w:tr>
        <w:trPr>
          <w:trHeight w:val="796" w:hRule="exact"/>
        </w:trPr>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00" w:right="0"/>
              <w:jc w:val="left"/>
              <w:rPr>
                <w:rFonts w:ascii="Arial" w:hAnsi="Arial" w:cs="Arial" w:eastAsia="Arial" w:hint="default"/>
                <w:sz w:val="18"/>
                <w:szCs w:val="18"/>
              </w:rPr>
            </w:pPr>
            <w:r>
              <w:rPr>
                <w:rFonts w:ascii="Arial"/>
                <w:sz w:val="18"/>
              </w:rPr>
              <w:t>YUNANO</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2" w:right="0"/>
              <w:jc w:val="left"/>
              <w:rPr>
                <w:rFonts w:ascii="黑体" w:hAnsi="黑体" w:cs="黑体" w:eastAsia="黑体" w:hint="default"/>
                <w:sz w:val="18"/>
                <w:szCs w:val="18"/>
              </w:rPr>
            </w:pPr>
            <w:r>
              <w:rPr>
                <w:rFonts w:ascii="黑体" w:hAnsi="黑体" w:cs="黑体" w:eastAsia="黑体" w:hint="default"/>
                <w:sz w:val="18"/>
                <w:szCs w:val="18"/>
              </w:rPr>
              <w:t>联营企业</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99"/>
              <w:ind w:left="62" w:right="0"/>
              <w:jc w:val="left"/>
              <w:rPr>
                <w:rFonts w:ascii="黑体" w:hAnsi="黑体" w:cs="黑体" w:eastAsia="黑体" w:hint="default"/>
                <w:sz w:val="18"/>
                <w:szCs w:val="18"/>
              </w:rPr>
            </w:pPr>
            <w:r>
              <w:rPr>
                <w:rFonts w:ascii="黑体" w:hAnsi="黑体" w:cs="黑体" w:eastAsia="黑体" w:hint="default"/>
                <w:sz w:val="18"/>
                <w:szCs w:val="18"/>
              </w:rPr>
              <w:t>法国巴黎</w:t>
            </w:r>
          </w:p>
        </w:tc>
        <w:tc>
          <w:tcPr>
            <w:tcW w:w="842" w:type="dxa"/>
            <w:tcBorders>
              <w:top w:val="nil" w:sz="6" w:space="0" w:color="auto"/>
              <w:left w:val="nil" w:sz="6" w:space="0" w:color="auto"/>
              <w:bottom w:val="nil" w:sz="6" w:space="0" w:color="auto"/>
              <w:right w:val="nil" w:sz="6" w:space="0" w:color="auto"/>
            </w:tcBorders>
          </w:tcPr>
          <w:p>
            <w:pPr>
              <w:pStyle w:val="TableParagraph"/>
              <w:spacing w:line="266" w:lineRule="auto" w:before="140"/>
              <w:ind w:left="73" w:right="136" w:firstLine="14"/>
              <w:jc w:val="left"/>
              <w:rPr>
                <w:rFonts w:ascii="Arial" w:hAnsi="Arial" w:cs="Arial" w:eastAsia="Arial" w:hint="default"/>
                <w:sz w:val="18"/>
                <w:szCs w:val="18"/>
              </w:rPr>
            </w:pPr>
            <w:r>
              <w:rPr>
                <w:rFonts w:ascii="Arial"/>
                <w:sz w:val="18"/>
              </w:rPr>
              <w:t>Marc ALINAT</w:t>
            </w:r>
          </w:p>
        </w:tc>
        <w:tc>
          <w:tcPr>
            <w:tcW w:w="2039" w:type="dxa"/>
            <w:tcBorders>
              <w:top w:val="nil" w:sz="6" w:space="0" w:color="auto"/>
              <w:left w:val="nil" w:sz="6" w:space="0" w:color="auto"/>
              <w:bottom w:val="nil" w:sz="6" w:space="0" w:color="auto"/>
              <w:right w:val="nil" w:sz="6" w:space="0" w:color="auto"/>
            </w:tcBorders>
          </w:tcPr>
          <w:p>
            <w:pPr>
              <w:pStyle w:val="TableParagraph"/>
              <w:spacing w:line="230" w:lineRule="exact" w:before="125"/>
              <w:ind w:left="49" w:right="136"/>
              <w:jc w:val="both"/>
              <w:rPr>
                <w:rFonts w:ascii="黑体" w:hAnsi="黑体" w:cs="黑体" w:eastAsia="黑体" w:hint="default"/>
                <w:sz w:val="18"/>
                <w:szCs w:val="18"/>
              </w:rPr>
            </w:pPr>
            <w:r>
              <w:rPr>
                <w:rFonts w:ascii="黑体" w:hAnsi="黑体" w:cs="黑体" w:eastAsia="黑体" w:hint="default"/>
                <w:spacing w:val="4"/>
                <w:sz w:val="18"/>
                <w:szCs w:val="18"/>
              </w:rPr>
              <w:t>与互联网相关的所有软</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pacing w:val="4"/>
                <w:sz w:val="18"/>
                <w:szCs w:val="18"/>
              </w:rPr>
              <w:t>硬件产品的研发、制造</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z w:val="18"/>
                <w:szCs w:val="18"/>
              </w:rPr>
              <w:t>和销售服务</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73"/>
              <w:jc w:val="right"/>
              <w:rPr>
                <w:rFonts w:ascii="Arial" w:hAnsi="Arial" w:cs="Arial" w:eastAsia="Arial" w:hint="default"/>
                <w:sz w:val="18"/>
                <w:szCs w:val="18"/>
              </w:rPr>
            </w:pPr>
            <w:r>
              <w:rPr>
                <w:rFonts w:ascii="黑体" w:hAnsi="黑体" w:cs="黑体" w:eastAsia="黑体" w:hint="default"/>
                <w:spacing w:val="-1"/>
                <w:sz w:val="18"/>
                <w:szCs w:val="18"/>
              </w:rPr>
              <w:t>欧元</w:t>
            </w:r>
            <w:r>
              <w:rPr>
                <w:rFonts w:ascii="Arial" w:hAnsi="Arial" w:cs="Arial" w:eastAsia="Arial" w:hint="default"/>
                <w:spacing w:val="-1"/>
                <w:sz w:val="18"/>
                <w:szCs w:val="18"/>
              </w:rPr>
              <w:t>285,714</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98"/>
              <w:jc w:val="right"/>
              <w:rPr>
                <w:rFonts w:ascii="Arial" w:hAnsi="Arial" w:cs="Arial" w:eastAsia="Arial" w:hint="default"/>
                <w:sz w:val="18"/>
                <w:szCs w:val="18"/>
              </w:rPr>
            </w:pPr>
            <w:r>
              <w:rPr>
                <w:rFonts w:ascii="Arial"/>
                <w:sz w:val="18"/>
              </w:rPr>
              <w:t>538 675</w:t>
            </w:r>
            <w:r>
              <w:rPr>
                <w:rFonts w:ascii="Arial"/>
                <w:spacing w:val="-3"/>
                <w:sz w:val="18"/>
              </w:rPr>
              <w:t> </w:t>
            </w:r>
            <w:r>
              <w:rPr>
                <w:rFonts w:ascii="Arial"/>
                <w:sz w:val="18"/>
              </w:rPr>
              <w:t>083</w:t>
            </w:r>
          </w:p>
        </w:tc>
      </w:tr>
    </w:tbl>
    <w:p>
      <w:pPr>
        <w:spacing w:line="240" w:lineRule="auto" w:before="6"/>
        <w:rPr>
          <w:rFonts w:ascii="黑体" w:hAnsi="黑体" w:cs="黑体" w:eastAsia="黑体" w:hint="default"/>
          <w:sz w:val="28"/>
          <w:szCs w:val="28"/>
        </w:rPr>
      </w:pPr>
    </w:p>
    <w:tbl>
      <w:tblPr>
        <w:tblW w:w="0" w:type="auto"/>
        <w:jc w:val="left"/>
        <w:tblInd w:w="570" w:type="dxa"/>
        <w:tblLayout w:type="fixed"/>
        <w:tblCellMar>
          <w:top w:w="0" w:type="dxa"/>
          <w:left w:w="0" w:type="dxa"/>
          <w:bottom w:w="0" w:type="dxa"/>
          <w:right w:w="0" w:type="dxa"/>
        </w:tblCellMar>
        <w:tblLook w:val="01E0"/>
      </w:tblPr>
      <w:tblGrid>
        <w:gridCol w:w="1629"/>
        <w:gridCol w:w="1480"/>
        <w:gridCol w:w="1292"/>
        <w:gridCol w:w="1344"/>
        <w:gridCol w:w="1364"/>
        <w:gridCol w:w="1251"/>
        <w:gridCol w:w="269"/>
      </w:tblGrid>
      <w:tr>
        <w:trPr>
          <w:trHeight w:val="234" w:hRule="exact"/>
        </w:trPr>
        <w:tc>
          <w:tcPr>
            <w:tcW w:w="1629" w:type="dxa"/>
            <w:tcBorders>
              <w:top w:val="nil" w:sz="6" w:space="0" w:color="auto"/>
              <w:left w:val="nil" w:sz="6" w:space="0" w:color="auto"/>
              <w:bottom w:val="nil" w:sz="6" w:space="0" w:color="auto"/>
              <w:right w:val="nil" w:sz="6" w:space="0" w:color="auto"/>
            </w:tcBorders>
          </w:tcPr>
          <w:p>
            <w:pPr>
              <w:pStyle w:val="TableParagraph"/>
              <w:spacing w:line="214" w:lineRule="exact"/>
              <w:ind w:left="200" w:right="0"/>
              <w:jc w:val="left"/>
              <w:rPr>
                <w:rFonts w:ascii="黑体" w:hAnsi="黑体" w:cs="黑体" w:eastAsia="黑体" w:hint="default"/>
                <w:sz w:val="20"/>
                <w:szCs w:val="20"/>
              </w:rPr>
            </w:pPr>
            <w:r>
              <w:rPr>
                <w:rFonts w:ascii="Arial" w:hAnsi="Arial" w:cs="Arial" w:eastAsia="Arial" w:hint="default"/>
                <w:sz w:val="20"/>
                <w:szCs w:val="20"/>
              </w:rPr>
              <w:t>2012</w:t>
            </w:r>
            <w:r>
              <w:rPr>
                <w:rFonts w:ascii="Arial" w:hAnsi="Arial" w:cs="Arial" w:eastAsia="Arial" w:hint="default"/>
                <w:spacing w:val="-9"/>
                <w:sz w:val="20"/>
                <w:szCs w:val="20"/>
              </w:rPr>
              <w:t> </w:t>
            </w:r>
            <w:r>
              <w:rPr>
                <w:rFonts w:ascii="黑体" w:hAnsi="黑体" w:cs="黑体" w:eastAsia="黑体" w:hint="default"/>
                <w:sz w:val="20"/>
                <w:szCs w:val="20"/>
              </w:rPr>
              <w:t>年</w:t>
            </w:r>
          </w:p>
        </w:tc>
        <w:tc>
          <w:tcPr>
            <w:tcW w:w="1480" w:type="dxa"/>
            <w:tcBorders>
              <w:top w:val="nil" w:sz="6" w:space="0" w:color="auto"/>
              <w:left w:val="nil" w:sz="6" w:space="0" w:color="auto"/>
              <w:bottom w:val="nil" w:sz="6" w:space="0" w:color="auto"/>
              <w:right w:val="nil" w:sz="6" w:space="0" w:color="auto"/>
            </w:tcBorders>
          </w:tcPr>
          <w:p>
            <w:pPr>
              <w:pStyle w:val="TableParagraph"/>
              <w:spacing w:line="199" w:lineRule="exact"/>
              <w:ind w:right="137"/>
              <w:jc w:val="right"/>
              <w:rPr>
                <w:rFonts w:ascii="黑体" w:hAnsi="黑体" w:cs="黑体" w:eastAsia="黑体" w:hint="default"/>
                <w:sz w:val="20"/>
                <w:szCs w:val="20"/>
              </w:rPr>
            </w:pPr>
            <w:r>
              <w:rPr>
                <w:rFonts w:ascii="黑体" w:hAnsi="黑体" w:cs="黑体" w:eastAsia="黑体" w:hint="default"/>
                <w:w w:val="95"/>
                <w:sz w:val="20"/>
                <w:szCs w:val="20"/>
              </w:rPr>
              <w:t>资产总额</w:t>
            </w:r>
            <w:r>
              <w:rPr>
                <w:rFonts w:ascii="黑体" w:hAnsi="黑体" w:cs="黑体" w:eastAsia="黑体" w:hint="default"/>
                <w:sz w:val="20"/>
                <w:szCs w:val="20"/>
              </w:rPr>
            </w:r>
          </w:p>
        </w:tc>
        <w:tc>
          <w:tcPr>
            <w:tcW w:w="1292" w:type="dxa"/>
            <w:tcBorders>
              <w:top w:val="nil" w:sz="6" w:space="0" w:color="auto"/>
              <w:left w:val="nil" w:sz="6" w:space="0" w:color="auto"/>
              <w:bottom w:val="nil" w:sz="6" w:space="0" w:color="auto"/>
              <w:right w:val="nil" w:sz="6" w:space="0" w:color="auto"/>
            </w:tcBorders>
          </w:tcPr>
          <w:p>
            <w:pPr>
              <w:pStyle w:val="TableParagraph"/>
              <w:spacing w:line="199" w:lineRule="exact"/>
              <w:ind w:right="191"/>
              <w:jc w:val="right"/>
              <w:rPr>
                <w:rFonts w:ascii="黑体" w:hAnsi="黑体" w:cs="黑体" w:eastAsia="黑体" w:hint="default"/>
                <w:sz w:val="20"/>
                <w:szCs w:val="20"/>
              </w:rPr>
            </w:pPr>
            <w:r>
              <w:rPr>
                <w:rFonts w:ascii="黑体" w:hAnsi="黑体" w:cs="黑体" w:eastAsia="黑体" w:hint="default"/>
                <w:w w:val="95"/>
                <w:sz w:val="20"/>
                <w:szCs w:val="20"/>
              </w:rPr>
              <w:t>负债总额</w:t>
            </w:r>
            <w:r>
              <w:rPr>
                <w:rFonts w:ascii="黑体" w:hAnsi="黑体" w:cs="黑体" w:eastAsia="黑体" w:hint="default"/>
                <w:sz w:val="20"/>
                <w:szCs w:val="20"/>
              </w:rPr>
            </w:r>
          </w:p>
        </w:tc>
        <w:tc>
          <w:tcPr>
            <w:tcW w:w="1344" w:type="dxa"/>
            <w:tcBorders>
              <w:top w:val="nil" w:sz="6" w:space="0" w:color="auto"/>
              <w:left w:val="nil" w:sz="6" w:space="0" w:color="auto"/>
              <w:bottom w:val="nil" w:sz="6" w:space="0" w:color="auto"/>
              <w:right w:val="nil" w:sz="6" w:space="0" w:color="auto"/>
            </w:tcBorders>
          </w:tcPr>
          <w:p>
            <w:pPr>
              <w:pStyle w:val="TableParagraph"/>
              <w:spacing w:line="199" w:lineRule="exact"/>
              <w:ind w:right="78"/>
              <w:jc w:val="right"/>
              <w:rPr>
                <w:rFonts w:ascii="黑体" w:hAnsi="黑体" w:cs="黑体" w:eastAsia="黑体" w:hint="default"/>
                <w:sz w:val="20"/>
                <w:szCs w:val="20"/>
              </w:rPr>
            </w:pPr>
            <w:r>
              <w:rPr>
                <w:rFonts w:ascii="黑体" w:hAnsi="黑体" w:cs="黑体" w:eastAsia="黑体" w:hint="default"/>
                <w:w w:val="95"/>
                <w:sz w:val="20"/>
                <w:szCs w:val="20"/>
              </w:rPr>
              <w:t>净资产总额</w:t>
            </w:r>
            <w:r>
              <w:rPr>
                <w:rFonts w:ascii="黑体" w:hAnsi="黑体" w:cs="黑体" w:eastAsia="黑体" w:hint="default"/>
                <w:sz w:val="20"/>
                <w:szCs w:val="20"/>
              </w:rPr>
            </w:r>
          </w:p>
        </w:tc>
        <w:tc>
          <w:tcPr>
            <w:tcW w:w="1364" w:type="dxa"/>
            <w:tcBorders>
              <w:top w:val="nil" w:sz="6" w:space="0" w:color="auto"/>
              <w:left w:val="nil" w:sz="6" w:space="0" w:color="auto"/>
              <w:bottom w:val="nil" w:sz="6" w:space="0" w:color="auto"/>
              <w:right w:val="nil" w:sz="6" w:space="0" w:color="auto"/>
            </w:tcBorders>
          </w:tcPr>
          <w:p>
            <w:pPr>
              <w:pStyle w:val="TableParagraph"/>
              <w:spacing w:line="199" w:lineRule="exact"/>
              <w:ind w:right="172"/>
              <w:jc w:val="right"/>
              <w:rPr>
                <w:rFonts w:ascii="黑体" w:hAnsi="黑体" w:cs="黑体" w:eastAsia="黑体" w:hint="default"/>
                <w:sz w:val="20"/>
                <w:szCs w:val="20"/>
              </w:rPr>
            </w:pPr>
            <w:r>
              <w:rPr>
                <w:rFonts w:ascii="黑体" w:hAnsi="黑体" w:cs="黑体" w:eastAsia="黑体" w:hint="default"/>
                <w:w w:val="95"/>
                <w:sz w:val="20"/>
                <w:szCs w:val="20"/>
              </w:rPr>
              <w:t>营业收入</w:t>
            </w:r>
            <w:r>
              <w:rPr>
                <w:rFonts w:ascii="黑体" w:hAnsi="黑体" w:cs="黑体" w:eastAsia="黑体" w:hint="default"/>
                <w:sz w:val="20"/>
                <w:szCs w:val="20"/>
              </w:rPr>
            </w:r>
          </w:p>
        </w:tc>
        <w:tc>
          <w:tcPr>
            <w:tcW w:w="1251" w:type="dxa"/>
            <w:tcBorders>
              <w:top w:val="nil" w:sz="6" w:space="0" w:color="auto"/>
              <w:left w:val="nil" w:sz="6" w:space="0" w:color="auto"/>
              <w:bottom w:val="nil" w:sz="6" w:space="0" w:color="auto"/>
              <w:right w:val="nil" w:sz="6" w:space="0" w:color="auto"/>
            </w:tcBorders>
          </w:tcPr>
          <w:p>
            <w:pPr>
              <w:pStyle w:val="TableParagraph"/>
              <w:spacing w:line="199" w:lineRule="exact"/>
              <w:ind w:right="0"/>
              <w:jc w:val="right"/>
              <w:rPr>
                <w:rFonts w:ascii="黑体" w:hAnsi="黑体" w:cs="黑体" w:eastAsia="黑体" w:hint="default"/>
                <w:sz w:val="20"/>
                <w:szCs w:val="20"/>
              </w:rPr>
            </w:pPr>
            <w:r>
              <w:rPr>
                <w:rFonts w:ascii="黑体" w:hAnsi="黑体" w:cs="黑体" w:eastAsia="黑体" w:hint="default"/>
                <w:w w:val="95"/>
                <w:sz w:val="20"/>
                <w:szCs w:val="20"/>
              </w:rPr>
              <w:t>净利润</w:t>
            </w:r>
            <w:r>
              <w:rPr>
                <w:rFonts w:ascii="黑体" w:hAnsi="黑体" w:cs="黑体" w:eastAsia="黑体" w:hint="default"/>
                <w:sz w:val="20"/>
                <w:szCs w:val="20"/>
              </w:rPr>
            </w:r>
          </w:p>
        </w:tc>
        <w:tc>
          <w:tcPr>
            <w:tcW w:w="269" w:type="dxa"/>
            <w:tcBorders>
              <w:top w:val="nil" w:sz="6" w:space="0" w:color="auto"/>
              <w:left w:val="nil" w:sz="6" w:space="0" w:color="auto"/>
              <w:bottom w:val="nil" w:sz="6" w:space="0" w:color="auto"/>
              <w:right w:val="nil" w:sz="6" w:space="0" w:color="auto"/>
            </w:tcBorders>
          </w:tcPr>
          <w:p>
            <w:pPr/>
          </w:p>
        </w:tc>
      </w:tr>
      <w:tr>
        <w:trPr>
          <w:trHeight w:val="382" w:hRule="exact"/>
        </w:trPr>
        <w:tc>
          <w:tcPr>
            <w:tcW w:w="1629"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Style w:val="TableParagraph"/>
              <w:spacing w:line="224" w:lineRule="exact"/>
              <w:ind w:right="137"/>
              <w:jc w:val="right"/>
              <w:rPr>
                <w:rFonts w:ascii="黑体" w:hAnsi="黑体" w:cs="黑体" w:eastAsia="黑体" w:hint="default"/>
                <w:sz w:val="20"/>
                <w:szCs w:val="20"/>
              </w:rPr>
            </w:pPr>
            <w:r>
              <w:rPr>
                <w:rFonts w:ascii="黑体" w:hAnsi="黑体" w:cs="黑体" w:eastAsia="黑体" w:hint="default"/>
                <w:w w:val="95"/>
                <w:sz w:val="20"/>
                <w:szCs w:val="20"/>
              </w:rPr>
              <w:t>年末数</w:t>
            </w:r>
            <w:r>
              <w:rPr>
                <w:rFonts w:ascii="黑体" w:hAnsi="黑体" w:cs="黑体" w:eastAsia="黑体" w:hint="default"/>
                <w:sz w:val="20"/>
                <w:szCs w:val="20"/>
              </w:rPr>
            </w:r>
          </w:p>
        </w:tc>
        <w:tc>
          <w:tcPr>
            <w:tcW w:w="1292" w:type="dxa"/>
            <w:tcBorders>
              <w:top w:val="nil" w:sz="6" w:space="0" w:color="auto"/>
              <w:left w:val="nil" w:sz="6" w:space="0" w:color="auto"/>
              <w:bottom w:val="nil" w:sz="6" w:space="0" w:color="auto"/>
              <w:right w:val="nil" w:sz="6" w:space="0" w:color="auto"/>
            </w:tcBorders>
          </w:tcPr>
          <w:p>
            <w:pPr>
              <w:pStyle w:val="TableParagraph"/>
              <w:spacing w:line="224" w:lineRule="exact"/>
              <w:ind w:right="191"/>
              <w:jc w:val="right"/>
              <w:rPr>
                <w:rFonts w:ascii="黑体" w:hAnsi="黑体" w:cs="黑体" w:eastAsia="黑体" w:hint="default"/>
                <w:sz w:val="20"/>
                <w:szCs w:val="20"/>
              </w:rPr>
            </w:pPr>
            <w:r>
              <w:rPr>
                <w:rFonts w:ascii="黑体" w:hAnsi="黑体" w:cs="黑体" w:eastAsia="黑体" w:hint="default"/>
                <w:w w:val="95"/>
                <w:sz w:val="20"/>
                <w:szCs w:val="20"/>
              </w:rPr>
              <w:t>年末数</w:t>
            </w:r>
            <w:r>
              <w:rPr>
                <w:rFonts w:ascii="黑体" w:hAnsi="黑体" w:cs="黑体" w:eastAsia="黑体" w:hint="default"/>
                <w:sz w:val="20"/>
                <w:szCs w:val="20"/>
              </w:rPr>
            </w:r>
          </w:p>
        </w:tc>
        <w:tc>
          <w:tcPr>
            <w:tcW w:w="1344" w:type="dxa"/>
            <w:tcBorders>
              <w:top w:val="nil" w:sz="6" w:space="0" w:color="auto"/>
              <w:left w:val="nil" w:sz="6" w:space="0" w:color="auto"/>
              <w:bottom w:val="nil" w:sz="6" w:space="0" w:color="auto"/>
              <w:right w:val="nil" w:sz="6" w:space="0" w:color="auto"/>
            </w:tcBorders>
          </w:tcPr>
          <w:p>
            <w:pPr>
              <w:pStyle w:val="TableParagraph"/>
              <w:spacing w:line="224" w:lineRule="exact"/>
              <w:ind w:right="78"/>
              <w:jc w:val="right"/>
              <w:rPr>
                <w:rFonts w:ascii="黑体" w:hAnsi="黑体" w:cs="黑体" w:eastAsia="黑体" w:hint="default"/>
                <w:sz w:val="20"/>
                <w:szCs w:val="20"/>
              </w:rPr>
            </w:pPr>
            <w:r>
              <w:rPr>
                <w:rFonts w:ascii="黑体" w:hAnsi="黑体" w:cs="黑体" w:eastAsia="黑体" w:hint="default"/>
                <w:w w:val="95"/>
                <w:sz w:val="20"/>
                <w:szCs w:val="20"/>
              </w:rPr>
              <w:t>年末数</w:t>
            </w:r>
            <w:r>
              <w:rPr>
                <w:rFonts w:ascii="黑体" w:hAnsi="黑体" w:cs="黑体" w:eastAsia="黑体" w:hint="default"/>
                <w:sz w:val="20"/>
                <w:szCs w:val="20"/>
              </w:rPr>
            </w:r>
          </w:p>
        </w:tc>
        <w:tc>
          <w:tcPr>
            <w:tcW w:w="1364" w:type="dxa"/>
            <w:tcBorders>
              <w:top w:val="nil" w:sz="6" w:space="0" w:color="auto"/>
              <w:left w:val="nil" w:sz="6" w:space="0" w:color="auto"/>
              <w:bottom w:val="nil" w:sz="6" w:space="0" w:color="auto"/>
              <w:right w:val="nil" w:sz="6" w:space="0" w:color="auto"/>
            </w:tcBorders>
          </w:tcPr>
          <w:p>
            <w:pPr>
              <w:pStyle w:val="TableParagraph"/>
              <w:spacing w:line="224" w:lineRule="exact"/>
              <w:ind w:right="172"/>
              <w:jc w:val="right"/>
              <w:rPr>
                <w:rFonts w:ascii="黑体" w:hAnsi="黑体" w:cs="黑体" w:eastAsia="黑体" w:hint="default"/>
                <w:sz w:val="20"/>
                <w:szCs w:val="20"/>
              </w:rPr>
            </w:pPr>
            <w:r>
              <w:rPr>
                <w:rFonts w:ascii="黑体" w:hAnsi="黑体" w:cs="黑体" w:eastAsia="黑体" w:hint="default"/>
                <w:w w:val="95"/>
                <w:sz w:val="20"/>
                <w:szCs w:val="20"/>
              </w:rPr>
              <w:t>本年数</w:t>
            </w:r>
            <w:r>
              <w:rPr>
                <w:rFonts w:ascii="黑体" w:hAnsi="黑体" w:cs="黑体" w:eastAsia="黑体" w:hint="default"/>
                <w:sz w:val="20"/>
                <w:szCs w:val="20"/>
              </w:rPr>
            </w:r>
          </w:p>
        </w:tc>
        <w:tc>
          <w:tcPr>
            <w:tcW w:w="1251" w:type="dxa"/>
            <w:tcBorders>
              <w:top w:val="nil" w:sz="6" w:space="0" w:color="auto"/>
              <w:left w:val="nil" w:sz="6" w:space="0" w:color="auto"/>
              <w:bottom w:val="nil" w:sz="6" w:space="0" w:color="auto"/>
              <w:right w:val="nil" w:sz="6" w:space="0" w:color="auto"/>
            </w:tcBorders>
          </w:tcPr>
          <w:p>
            <w:pPr>
              <w:pStyle w:val="TableParagraph"/>
              <w:spacing w:line="224" w:lineRule="exact"/>
              <w:ind w:right="0"/>
              <w:jc w:val="right"/>
              <w:rPr>
                <w:rFonts w:ascii="黑体" w:hAnsi="黑体" w:cs="黑体" w:eastAsia="黑体" w:hint="default"/>
                <w:sz w:val="20"/>
                <w:szCs w:val="20"/>
              </w:rPr>
            </w:pPr>
            <w:r>
              <w:rPr>
                <w:rFonts w:ascii="黑体" w:hAnsi="黑体" w:cs="黑体" w:eastAsia="黑体" w:hint="default"/>
                <w:w w:val="95"/>
                <w:sz w:val="20"/>
                <w:szCs w:val="20"/>
              </w:rPr>
              <w:t>本年数</w:t>
            </w:r>
            <w:r>
              <w:rPr>
                <w:rFonts w:ascii="黑体" w:hAnsi="黑体" w:cs="黑体" w:eastAsia="黑体" w:hint="default"/>
                <w:sz w:val="20"/>
                <w:szCs w:val="20"/>
              </w:rPr>
            </w:r>
          </w:p>
        </w:tc>
        <w:tc>
          <w:tcPr>
            <w:tcW w:w="269" w:type="dxa"/>
            <w:tcBorders>
              <w:top w:val="nil" w:sz="6" w:space="0" w:color="auto"/>
              <w:left w:val="nil" w:sz="6" w:space="0" w:color="auto"/>
              <w:bottom w:val="nil" w:sz="6" w:space="0" w:color="auto"/>
              <w:right w:val="nil" w:sz="6" w:space="0" w:color="auto"/>
            </w:tcBorders>
          </w:tcPr>
          <w:p>
            <w:pPr/>
          </w:p>
        </w:tc>
      </w:tr>
      <w:tr>
        <w:trPr>
          <w:trHeight w:val="397" w:hRule="exact"/>
        </w:trPr>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0" w:right="0"/>
              <w:jc w:val="left"/>
              <w:rPr>
                <w:rFonts w:ascii="黑体" w:hAnsi="黑体" w:cs="黑体" w:eastAsia="黑体" w:hint="default"/>
                <w:sz w:val="20"/>
                <w:szCs w:val="20"/>
              </w:rPr>
            </w:pPr>
            <w:r>
              <w:rPr>
                <w:rFonts w:ascii="黑体" w:hAnsi="黑体" w:cs="黑体" w:eastAsia="黑体" w:hint="default"/>
                <w:sz w:val="20"/>
                <w:szCs w:val="20"/>
              </w:rPr>
              <w:t>致远协创</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137"/>
              <w:jc w:val="right"/>
              <w:rPr>
                <w:rFonts w:ascii="Arial" w:hAnsi="Arial" w:cs="Arial" w:eastAsia="Arial" w:hint="default"/>
                <w:sz w:val="20"/>
                <w:szCs w:val="20"/>
              </w:rPr>
            </w:pPr>
            <w:r>
              <w:rPr>
                <w:rFonts w:ascii="Arial"/>
                <w:spacing w:val="-1"/>
                <w:sz w:val="20"/>
              </w:rPr>
              <w:t>142,502,331</w:t>
            </w:r>
            <w:r>
              <w:rPr>
                <w:rFonts w:ascii="Arial"/>
                <w:sz w:val="20"/>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153"/>
              <w:jc w:val="right"/>
              <w:rPr>
                <w:rFonts w:ascii="Arial" w:hAnsi="Arial" w:cs="Arial" w:eastAsia="Arial" w:hint="default"/>
                <w:sz w:val="20"/>
                <w:szCs w:val="20"/>
              </w:rPr>
            </w:pPr>
            <w:r>
              <w:rPr>
                <w:rFonts w:ascii="Arial"/>
                <w:spacing w:val="-1"/>
                <w:sz w:val="20"/>
              </w:rPr>
              <w:t>40,973,933</w:t>
            </w:r>
            <w:r>
              <w:rPr>
                <w:rFonts w:ascii="Arial"/>
                <w:sz w:val="20"/>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78"/>
              <w:jc w:val="right"/>
              <w:rPr>
                <w:rFonts w:ascii="Arial" w:hAnsi="Arial" w:cs="Arial" w:eastAsia="Arial" w:hint="default"/>
                <w:sz w:val="20"/>
                <w:szCs w:val="20"/>
              </w:rPr>
            </w:pPr>
            <w:r>
              <w:rPr>
                <w:rFonts w:ascii="Arial"/>
                <w:spacing w:val="-1"/>
                <w:sz w:val="20"/>
              </w:rPr>
              <w:t>101,528,398</w:t>
            </w:r>
            <w:r>
              <w:rPr>
                <w:rFonts w:ascii="Arial"/>
                <w:sz w:val="20"/>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173"/>
              <w:jc w:val="right"/>
              <w:rPr>
                <w:rFonts w:ascii="Arial" w:hAnsi="Arial" w:cs="Arial" w:eastAsia="Arial" w:hint="default"/>
                <w:sz w:val="20"/>
                <w:szCs w:val="20"/>
              </w:rPr>
            </w:pPr>
            <w:r>
              <w:rPr>
                <w:rFonts w:ascii="Arial"/>
                <w:spacing w:val="-1"/>
                <w:sz w:val="20"/>
              </w:rPr>
              <w:t>181,135,828</w:t>
            </w:r>
            <w:r>
              <w:rPr>
                <w:rFonts w:ascii="Arial"/>
                <w:sz w:val="20"/>
              </w:rPr>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0"/>
              <w:jc w:val="right"/>
              <w:rPr>
                <w:rFonts w:ascii="Arial" w:hAnsi="Arial" w:cs="Arial" w:eastAsia="Arial" w:hint="default"/>
                <w:sz w:val="20"/>
                <w:szCs w:val="20"/>
              </w:rPr>
            </w:pPr>
            <w:r>
              <w:rPr>
                <w:rFonts w:ascii="Arial"/>
                <w:spacing w:val="-1"/>
                <w:sz w:val="20"/>
              </w:rPr>
              <w:t>18,920,076</w:t>
            </w:r>
            <w:r>
              <w:rPr>
                <w:rFonts w:ascii="Arial"/>
                <w:sz w:val="20"/>
              </w:rPr>
            </w:r>
          </w:p>
        </w:tc>
        <w:tc>
          <w:tcPr>
            <w:tcW w:w="269" w:type="dxa"/>
            <w:tcBorders>
              <w:top w:val="nil" w:sz="6" w:space="0" w:color="auto"/>
              <w:left w:val="nil" w:sz="6" w:space="0" w:color="auto"/>
              <w:bottom w:val="nil" w:sz="6" w:space="0" w:color="auto"/>
              <w:right w:val="nil" w:sz="6" w:space="0" w:color="auto"/>
            </w:tcBorders>
          </w:tcPr>
          <w:p>
            <w:pPr/>
          </w:p>
        </w:tc>
      </w:tr>
      <w:tr>
        <w:trPr>
          <w:trHeight w:val="259" w:hRule="exact"/>
        </w:trPr>
        <w:tc>
          <w:tcPr>
            <w:tcW w:w="1629" w:type="dxa"/>
            <w:tcBorders>
              <w:top w:val="nil" w:sz="6" w:space="0" w:color="auto"/>
              <w:left w:val="nil" w:sz="6" w:space="0" w:color="auto"/>
              <w:bottom w:val="nil" w:sz="6" w:space="0" w:color="auto"/>
              <w:right w:val="nil" w:sz="6" w:space="0" w:color="auto"/>
            </w:tcBorders>
          </w:tcPr>
          <w:p>
            <w:pPr>
              <w:pStyle w:val="TableParagraph"/>
              <w:spacing w:line="218" w:lineRule="exact"/>
              <w:ind w:left="200" w:right="0"/>
              <w:jc w:val="left"/>
              <w:rPr>
                <w:rFonts w:ascii="黑体" w:hAnsi="黑体" w:cs="黑体" w:eastAsia="黑体" w:hint="default"/>
                <w:sz w:val="20"/>
                <w:szCs w:val="20"/>
              </w:rPr>
            </w:pPr>
            <w:r>
              <w:rPr>
                <w:rFonts w:ascii="黑体" w:hAnsi="黑体" w:cs="黑体" w:eastAsia="黑体" w:hint="default"/>
                <w:sz w:val="20"/>
                <w:szCs w:val="20"/>
              </w:rPr>
              <w:t>西玛商用表单</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7"/>
              <w:jc w:val="right"/>
              <w:rPr>
                <w:rFonts w:ascii="Arial" w:hAnsi="Arial" w:cs="Arial" w:eastAsia="Arial" w:hint="default"/>
                <w:sz w:val="20"/>
                <w:szCs w:val="20"/>
              </w:rPr>
            </w:pPr>
            <w:r>
              <w:rPr>
                <w:rFonts w:ascii="Arial"/>
                <w:spacing w:val="-1"/>
                <w:sz w:val="20"/>
              </w:rPr>
              <w:t>38,951,271</w:t>
            </w:r>
            <w:r>
              <w:rPr>
                <w:rFonts w:ascii="Arial"/>
                <w:sz w:val="20"/>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3"/>
              <w:jc w:val="right"/>
              <w:rPr>
                <w:rFonts w:ascii="Arial" w:hAnsi="Arial" w:cs="Arial" w:eastAsia="Arial" w:hint="default"/>
                <w:sz w:val="20"/>
                <w:szCs w:val="20"/>
              </w:rPr>
            </w:pPr>
            <w:r>
              <w:rPr>
                <w:rFonts w:ascii="Arial"/>
                <w:spacing w:val="-1"/>
                <w:sz w:val="20"/>
              </w:rPr>
              <w:t>15,756,131</w:t>
            </w:r>
            <w:r>
              <w:rPr>
                <w:rFonts w:ascii="Arial"/>
                <w:sz w:val="20"/>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8"/>
              <w:jc w:val="right"/>
              <w:rPr>
                <w:rFonts w:ascii="Arial" w:hAnsi="Arial" w:cs="Arial" w:eastAsia="Arial" w:hint="default"/>
                <w:sz w:val="20"/>
                <w:szCs w:val="20"/>
              </w:rPr>
            </w:pPr>
            <w:r>
              <w:rPr>
                <w:rFonts w:ascii="Arial"/>
                <w:spacing w:val="-1"/>
                <w:sz w:val="20"/>
              </w:rPr>
              <w:t>23,195,140</w:t>
            </w:r>
            <w:r>
              <w:rPr>
                <w:rFonts w:ascii="Arial"/>
                <w:sz w:val="20"/>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73"/>
              <w:jc w:val="right"/>
              <w:rPr>
                <w:rFonts w:ascii="Arial" w:hAnsi="Arial" w:cs="Arial" w:eastAsia="Arial" w:hint="default"/>
                <w:sz w:val="20"/>
                <w:szCs w:val="20"/>
              </w:rPr>
            </w:pPr>
            <w:r>
              <w:rPr>
                <w:rFonts w:ascii="Arial"/>
                <w:spacing w:val="-1"/>
                <w:sz w:val="20"/>
              </w:rPr>
              <w:t>65,507,633</w:t>
            </w:r>
            <w:r>
              <w:rPr>
                <w:rFonts w:ascii="Arial"/>
                <w:sz w:val="20"/>
              </w:rPr>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0"/>
              <w:jc w:val="right"/>
              <w:rPr>
                <w:rFonts w:ascii="Arial" w:hAnsi="Arial" w:cs="Arial" w:eastAsia="Arial" w:hint="default"/>
                <w:sz w:val="20"/>
                <w:szCs w:val="20"/>
              </w:rPr>
            </w:pPr>
            <w:r>
              <w:rPr>
                <w:rFonts w:ascii="Arial"/>
                <w:spacing w:val="-1"/>
                <w:sz w:val="20"/>
              </w:rPr>
              <w:t>7,114,875</w:t>
            </w:r>
          </w:p>
        </w:tc>
        <w:tc>
          <w:tcPr>
            <w:tcW w:w="269" w:type="dxa"/>
            <w:tcBorders>
              <w:top w:val="nil" w:sz="6" w:space="0" w:color="auto"/>
              <w:left w:val="nil" w:sz="6" w:space="0" w:color="auto"/>
              <w:bottom w:val="nil" w:sz="6" w:space="0" w:color="auto"/>
              <w:right w:val="nil" w:sz="6" w:space="0" w:color="auto"/>
            </w:tcBorders>
          </w:tcPr>
          <w:p>
            <w:pPr/>
          </w:p>
        </w:tc>
      </w:tr>
      <w:tr>
        <w:trPr>
          <w:trHeight w:val="270" w:hRule="exact"/>
        </w:trPr>
        <w:tc>
          <w:tcPr>
            <w:tcW w:w="1629" w:type="dxa"/>
            <w:tcBorders>
              <w:top w:val="nil" w:sz="6" w:space="0" w:color="auto"/>
              <w:left w:val="nil" w:sz="6" w:space="0" w:color="auto"/>
              <w:bottom w:val="nil" w:sz="6" w:space="0" w:color="auto"/>
              <w:right w:val="nil" w:sz="6" w:space="0" w:color="auto"/>
            </w:tcBorders>
          </w:tcPr>
          <w:p>
            <w:pPr>
              <w:pStyle w:val="TableParagraph"/>
              <w:spacing w:line="218" w:lineRule="exact"/>
              <w:ind w:left="200" w:right="0"/>
              <w:jc w:val="left"/>
              <w:rPr>
                <w:rFonts w:ascii="黑体" w:hAnsi="黑体" w:cs="黑体" w:eastAsia="黑体" w:hint="default"/>
                <w:sz w:val="20"/>
                <w:szCs w:val="20"/>
              </w:rPr>
            </w:pPr>
            <w:r>
              <w:rPr>
                <w:rFonts w:ascii="黑体" w:hAnsi="黑体" w:cs="黑体" w:eastAsia="黑体" w:hint="default"/>
                <w:sz w:val="20"/>
                <w:szCs w:val="20"/>
              </w:rPr>
              <w:t>西玛永泰</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7"/>
              <w:jc w:val="right"/>
              <w:rPr>
                <w:rFonts w:ascii="Arial" w:hAnsi="Arial" w:cs="Arial" w:eastAsia="Arial" w:hint="default"/>
                <w:sz w:val="20"/>
                <w:szCs w:val="20"/>
              </w:rPr>
            </w:pPr>
            <w:r>
              <w:rPr>
                <w:rFonts w:ascii="Arial"/>
                <w:spacing w:val="-1"/>
                <w:sz w:val="20"/>
              </w:rPr>
              <w:t>2,784,726</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52"/>
              <w:jc w:val="right"/>
              <w:rPr>
                <w:rFonts w:ascii="Arial" w:hAnsi="Arial" w:cs="Arial" w:eastAsia="Arial" w:hint="default"/>
                <w:sz w:val="20"/>
                <w:szCs w:val="20"/>
              </w:rPr>
            </w:pPr>
            <w:r>
              <w:rPr>
                <w:rFonts w:ascii="Arial"/>
                <w:spacing w:val="-1"/>
                <w:sz w:val="20"/>
              </w:rPr>
              <w:t>3,468</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8"/>
              <w:jc w:val="right"/>
              <w:rPr>
                <w:rFonts w:ascii="Arial" w:hAnsi="Arial" w:cs="Arial" w:eastAsia="Arial" w:hint="default"/>
                <w:sz w:val="20"/>
                <w:szCs w:val="20"/>
              </w:rPr>
            </w:pPr>
            <w:r>
              <w:rPr>
                <w:rFonts w:ascii="Arial"/>
                <w:spacing w:val="-1"/>
                <w:sz w:val="20"/>
              </w:rPr>
              <w:t>2,781,258</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71"/>
              <w:jc w:val="right"/>
              <w:rPr>
                <w:rFonts w:ascii="Arial" w:hAnsi="Arial" w:cs="Arial" w:eastAsia="Arial" w:hint="default"/>
                <w:sz w:val="20"/>
                <w:szCs w:val="20"/>
              </w:rPr>
            </w:pPr>
            <w:r>
              <w:rPr>
                <w:rFonts w:ascii="Arial"/>
                <w:w w:val="99"/>
                <w:sz w:val="20"/>
              </w:rPr>
              <w:t>-</w:t>
            </w:r>
            <w:r>
              <w:rPr>
                <w:rFonts w:ascii="Arial"/>
                <w:sz w:val="20"/>
              </w:rPr>
            </w:r>
          </w:p>
        </w:tc>
        <w:tc>
          <w:tcPr>
            <w:tcW w:w="1251" w:type="dxa"/>
            <w:tcBorders>
              <w:top w:val="nil" w:sz="6" w:space="0" w:color="auto"/>
              <w:left w:val="nil" w:sz="6" w:space="0" w:color="auto"/>
              <w:bottom w:val="nil" w:sz="6" w:space="0" w:color="auto"/>
              <w:right w:val="nil" w:sz="6" w:space="0" w:color="auto"/>
            </w:tcBorders>
          </w:tcPr>
          <w:p>
            <w:pPr>
              <w:pStyle w:val="TableParagraph"/>
              <w:tabs>
                <w:tab w:pos="467" w:val="left" w:leader="none"/>
              </w:tabs>
              <w:spacing w:line="240" w:lineRule="auto" w:before="17"/>
              <w:ind w:right="0"/>
              <w:jc w:val="right"/>
              <w:rPr>
                <w:rFonts w:ascii="Arial" w:hAnsi="Arial" w:cs="Arial" w:eastAsia="Arial" w:hint="default"/>
                <w:sz w:val="20"/>
                <w:szCs w:val="20"/>
              </w:rPr>
            </w:pPr>
            <w:r>
              <w:rPr>
                <w:rFonts w:ascii="Arial"/>
                <w:w w:val="95"/>
                <w:sz w:val="20"/>
              </w:rPr>
              <w:t>(</w:t>
              <w:tab/>
            </w:r>
            <w:r>
              <w:rPr>
                <w:rFonts w:ascii="Arial"/>
                <w:spacing w:val="-1"/>
                <w:w w:val="95"/>
                <w:sz w:val="20"/>
              </w:rPr>
              <w:t>41,254</w:t>
            </w:r>
            <w:r>
              <w:rPr>
                <w:rFonts w:ascii="Arial"/>
                <w:sz w:val="20"/>
              </w:rPr>
            </w:r>
          </w:p>
        </w:tc>
        <w:tc>
          <w:tcPr>
            <w:tcW w:w="26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 w:right="0"/>
              <w:jc w:val="left"/>
              <w:rPr>
                <w:rFonts w:ascii="Arial" w:hAnsi="Arial" w:cs="Arial" w:eastAsia="Arial" w:hint="default"/>
                <w:sz w:val="20"/>
                <w:szCs w:val="20"/>
              </w:rPr>
            </w:pPr>
            <w:r>
              <w:rPr>
                <w:rFonts w:ascii="Arial"/>
                <w:w w:val="99"/>
                <w:sz w:val="20"/>
              </w:rPr>
              <w:t>)</w:t>
            </w:r>
            <w:r>
              <w:rPr>
                <w:rFonts w:ascii="Arial"/>
                <w:sz w:val="20"/>
              </w:rPr>
            </w:r>
          </w:p>
        </w:tc>
      </w:tr>
      <w:tr>
        <w:trPr>
          <w:trHeight w:val="228" w:hRule="exact"/>
        </w:trPr>
        <w:tc>
          <w:tcPr>
            <w:tcW w:w="162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00" w:right="0"/>
              <w:jc w:val="left"/>
              <w:rPr>
                <w:rFonts w:ascii="Arial" w:hAnsi="Arial" w:cs="Arial" w:eastAsia="Arial" w:hint="default"/>
                <w:sz w:val="18"/>
                <w:szCs w:val="18"/>
              </w:rPr>
            </w:pPr>
            <w:r>
              <w:rPr>
                <w:rFonts w:ascii="Arial"/>
                <w:sz w:val="18"/>
              </w:rPr>
              <w:t>YUNANO</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37"/>
              <w:jc w:val="right"/>
              <w:rPr>
                <w:rFonts w:ascii="Arial" w:hAnsi="Arial" w:cs="Arial" w:eastAsia="Arial" w:hint="default"/>
                <w:sz w:val="20"/>
                <w:szCs w:val="20"/>
              </w:rPr>
            </w:pPr>
            <w:r>
              <w:rPr>
                <w:rFonts w:ascii="Arial"/>
                <w:spacing w:val="-1"/>
                <w:sz w:val="20"/>
              </w:rPr>
              <w:t>36,643,182</w:t>
            </w:r>
            <w:r>
              <w:rPr>
                <w:rFonts w:ascii="Arial"/>
                <w:sz w:val="20"/>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53"/>
              <w:jc w:val="right"/>
              <w:rPr>
                <w:rFonts w:ascii="Arial" w:hAnsi="Arial" w:cs="Arial" w:eastAsia="Arial" w:hint="default"/>
                <w:sz w:val="20"/>
                <w:szCs w:val="20"/>
              </w:rPr>
            </w:pPr>
            <w:r>
              <w:rPr>
                <w:rFonts w:ascii="Arial"/>
                <w:spacing w:val="-1"/>
                <w:sz w:val="20"/>
              </w:rPr>
              <w:t>17,899,808</w:t>
            </w:r>
            <w:r>
              <w:rPr>
                <w:rFonts w:ascii="Arial"/>
                <w:sz w:val="20"/>
              </w:rPr>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78"/>
              <w:jc w:val="right"/>
              <w:rPr>
                <w:rFonts w:ascii="Arial" w:hAnsi="Arial" w:cs="Arial" w:eastAsia="Arial" w:hint="default"/>
                <w:sz w:val="20"/>
                <w:szCs w:val="20"/>
              </w:rPr>
            </w:pPr>
            <w:r>
              <w:rPr>
                <w:rFonts w:ascii="Arial"/>
                <w:spacing w:val="-1"/>
                <w:sz w:val="20"/>
              </w:rPr>
              <w:t>18,743,374</w:t>
            </w:r>
            <w:r>
              <w:rPr>
                <w:rFonts w:ascii="Arial"/>
                <w:sz w:val="20"/>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73"/>
              <w:jc w:val="right"/>
              <w:rPr>
                <w:rFonts w:ascii="Arial" w:hAnsi="Arial" w:cs="Arial" w:eastAsia="Arial" w:hint="default"/>
                <w:sz w:val="20"/>
                <w:szCs w:val="20"/>
              </w:rPr>
            </w:pPr>
            <w:r>
              <w:rPr>
                <w:rFonts w:ascii="Arial"/>
                <w:spacing w:val="-1"/>
                <w:sz w:val="20"/>
              </w:rPr>
              <w:t>14,960,035</w:t>
            </w:r>
            <w:r>
              <w:rPr>
                <w:rFonts w:ascii="Arial"/>
                <w:sz w:val="20"/>
              </w:rPr>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right"/>
              <w:rPr>
                <w:rFonts w:ascii="Arial" w:hAnsi="Arial" w:cs="Arial" w:eastAsia="Arial" w:hint="default"/>
                <w:sz w:val="20"/>
                <w:szCs w:val="20"/>
              </w:rPr>
            </w:pPr>
            <w:r>
              <w:rPr>
                <w:rFonts w:ascii="Arial"/>
                <w:spacing w:val="-1"/>
                <w:sz w:val="20"/>
              </w:rPr>
              <w:t>(16,874,598</w:t>
            </w:r>
            <w:r>
              <w:rPr>
                <w:rFonts w:ascii="Arial"/>
                <w:sz w:val="20"/>
              </w:rPr>
            </w:r>
          </w:p>
        </w:tc>
        <w:tc>
          <w:tcPr>
            <w:tcW w:w="269" w:type="dxa"/>
            <w:tcBorders>
              <w:top w:val="nil" w:sz="6" w:space="0" w:color="auto"/>
              <w:left w:val="nil" w:sz="6" w:space="0" w:color="auto"/>
              <w:bottom w:val="nil" w:sz="6" w:space="0" w:color="auto"/>
              <w:right w:val="nil" w:sz="6" w:space="0" w:color="auto"/>
            </w:tcBorders>
          </w:tcPr>
          <w:p>
            <w:pPr>
              <w:pStyle w:val="TableParagraph"/>
              <w:spacing w:line="240" w:lineRule="auto" w:before="1"/>
              <w:ind w:left="2" w:right="0"/>
              <w:jc w:val="left"/>
              <w:rPr>
                <w:rFonts w:ascii="Arial" w:hAnsi="Arial" w:cs="Arial" w:eastAsia="Arial" w:hint="default"/>
                <w:sz w:val="20"/>
                <w:szCs w:val="20"/>
              </w:rPr>
            </w:pPr>
            <w:r>
              <w:rPr>
                <w:rFonts w:ascii="Arial"/>
                <w:w w:val="99"/>
                <w:sz w:val="20"/>
              </w:rPr>
              <w:t>)</w:t>
            </w:r>
            <w:r>
              <w:rPr>
                <w:rFonts w:ascii="Arial"/>
                <w:sz w:val="20"/>
              </w:rPr>
            </w:r>
          </w:p>
        </w:tc>
      </w:tr>
    </w:tbl>
    <w:p>
      <w:pPr>
        <w:spacing w:line="240" w:lineRule="auto" w:before="12"/>
        <w:rPr>
          <w:rFonts w:ascii="黑体" w:hAnsi="黑体" w:cs="黑体" w:eastAsia="黑体" w:hint="default"/>
          <w:sz w:val="15"/>
          <w:szCs w:val="15"/>
        </w:rPr>
      </w:pPr>
    </w:p>
    <w:p>
      <w:pPr>
        <w:pStyle w:val="BodyText"/>
        <w:spacing w:line="261" w:lineRule="auto" w:before="37"/>
        <w:ind w:left="782" w:right="586"/>
        <w:jc w:val="both"/>
      </w:pPr>
      <w:r>
        <w:rPr>
          <w:spacing w:val="2"/>
        </w:rPr>
        <w:t>本公司之全资子公司</w:t>
      </w:r>
      <w:r>
        <w:rPr>
          <w:rFonts w:ascii="Arial" w:hAnsi="Arial" w:cs="Arial" w:eastAsia="Arial" w:hint="default"/>
          <w:spacing w:val="2"/>
        </w:rPr>
        <w:t>YONYOU </w:t>
      </w:r>
      <w:r>
        <w:rPr>
          <w:rFonts w:ascii="Arial" w:hAnsi="Arial" w:cs="Arial" w:eastAsia="Arial" w:hint="default"/>
        </w:rPr>
        <w:t>INTERNATIONAL</w:t>
      </w:r>
      <w:r>
        <w:rPr/>
        <w:t>于</w:t>
      </w:r>
      <w:r>
        <w:rPr>
          <w:rFonts w:ascii="Arial" w:hAnsi="Arial" w:cs="Arial" w:eastAsia="Arial" w:hint="default"/>
        </w:rPr>
        <w:t>2012</w:t>
      </w:r>
      <w:r>
        <w:rPr/>
        <w:t>年</w:t>
      </w:r>
      <w:r>
        <w:rPr>
          <w:rFonts w:ascii="Arial" w:hAnsi="Arial" w:cs="Arial" w:eastAsia="Arial" w:hint="default"/>
        </w:rPr>
        <w:t>3</w:t>
      </w:r>
      <w:r>
        <w:rPr/>
        <w:t>月以美元</w:t>
      </w:r>
      <w:r>
        <w:rPr>
          <w:rFonts w:ascii="Arial" w:hAnsi="Arial" w:cs="Arial" w:eastAsia="Arial" w:hint="default"/>
        </w:rPr>
        <w:t>560,957</w:t>
      </w:r>
      <w:r>
        <w:rPr/>
        <w:t>元和本公司产</w:t>
      </w:r>
      <w:r>
        <w:rPr>
          <w:spacing w:val="-63"/>
        </w:rPr>
        <w:t> </w:t>
      </w:r>
      <w:r>
        <w:rPr>
          <w:spacing w:val="-63"/>
        </w:rPr>
      </w:r>
      <w:r>
        <w:rPr>
          <w:spacing w:val="24"/>
        </w:rPr>
        <w:t>品美元</w:t>
      </w:r>
      <w:r>
        <w:rPr>
          <w:spacing w:val="-67"/>
        </w:rPr>
        <w:t> </w:t>
      </w:r>
      <w:r>
        <w:rPr>
          <w:rFonts w:ascii="Arial" w:hAnsi="Arial" w:cs="Arial" w:eastAsia="Arial" w:hint="default"/>
        </w:rPr>
        <w:t>1,110,343</w:t>
      </w:r>
      <w:r>
        <w:rPr>
          <w:rFonts w:ascii="Arial" w:hAnsi="Arial" w:cs="Arial" w:eastAsia="Arial" w:hint="default"/>
          <w:spacing w:val="-21"/>
        </w:rPr>
        <w:t> </w:t>
      </w:r>
      <w:r>
        <w:rPr>
          <w:spacing w:val="24"/>
        </w:rPr>
        <w:t>元，共</w:t>
      </w:r>
      <w:r>
        <w:rPr>
          <w:spacing w:val="-65"/>
        </w:rPr>
        <w:t> </w:t>
      </w:r>
      <w:r>
        <w:rPr>
          <w:spacing w:val="24"/>
        </w:rPr>
        <w:t>计美元</w:t>
      </w:r>
      <w:r>
        <w:rPr>
          <w:spacing w:val="-67"/>
        </w:rPr>
        <w:t> </w:t>
      </w:r>
      <w:r>
        <w:rPr>
          <w:rFonts w:ascii="Arial" w:hAnsi="Arial" w:cs="Arial" w:eastAsia="Arial" w:hint="default"/>
        </w:rPr>
        <w:t>1,671,300</w:t>
      </w:r>
      <w:r>
        <w:rPr>
          <w:rFonts w:ascii="Arial" w:hAnsi="Arial" w:cs="Arial" w:eastAsia="Arial" w:hint="default"/>
          <w:spacing w:val="-21"/>
        </w:rPr>
        <w:t> </w:t>
      </w:r>
      <w:r>
        <w:rPr>
          <w:spacing w:val="24"/>
        </w:rPr>
        <w:t>元（折</w:t>
      </w:r>
      <w:r>
        <w:rPr>
          <w:spacing w:val="-65"/>
        </w:rPr>
        <w:t> </w:t>
      </w:r>
      <w:r>
        <w:rPr>
          <w:spacing w:val="27"/>
        </w:rPr>
        <w:t>合人民币</w:t>
      </w:r>
      <w:r>
        <w:rPr>
          <w:spacing w:val="-67"/>
        </w:rPr>
        <w:t> </w:t>
      </w:r>
      <w:r>
        <w:rPr>
          <w:rFonts w:ascii="Arial" w:hAnsi="Arial" w:cs="Arial" w:eastAsia="Arial" w:hint="default"/>
        </w:rPr>
        <w:t>10,504,952</w:t>
      </w:r>
      <w:r>
        <w:rPr>
          <w:rFonts w:ascii="Arial" w:hAnsi="Arial" w:cs="Arial" w:eastAsia="Arial" w:hint="default"/>
          <w:spacing w:val="-23"/>
        </w:rPr>
        <w:t> </w:t>
      </w:r>
      <w:r>
        <w:rPr>
          <w:spacing w:val="25"/>
        </w:rPr>
        <w:t>元），</w:t>
      </w:r>
      <w:r>
        <w:rPr>
          <w:spacing w:val="-67"/>
        </w:rPr>
        <w:t> </w:t>
      </w:r>
      <w:r>
        <w:rPr/>
        <w:t>与</w:t>
      </w:r>
      <w:r>
        <w:rPr>
          <w:spacing w:val="-68"/>
        </w:rPr>
        <w:t> </w:t>
      </w:r>
      <w:r>
        <w:rPr>
          <w:rFonts w:ascii="Arial" w:hAnsi="Arial" w:cs="Arial" w:eastAsia="Arial" w:hint="default"/>
        </w:rPr>
        <w:t>ATOS</w:t>
      </w:r>
      <w:r>
        <w:rPr>
          <w:rFonts w:ascii="Arial" w:hAnsi="Arial" w:cs="Arial" w:eastAsia="Arial" w:hint="default"/>
          <w:w w:val="99"/>
        </w:rPr>
        <w:t> </w:t>
      </w:r>
      <w:r>
        <w:rPr>
          <w:rFonts w:ascii="Arial" w:hAnsi="Arial" w:cs="Arial" w:eastAsia="Arial" w:hint="default"/>
        </w:rPr>
        <w:t>INVESTISSEMENT</w:t>
      </w:r>
      <w:r>
        <w:rPr/>
        <w:t>联合出资设立联营企业</w:t>
      </w:r>
      <w:r>
        <w:rPr>
          <w:rFonts w:ascii="Arial" w:hAnsi="Arial" w:cs="Arial" w:eastAsia="Arial" w:hint="default"/>
        </w:rPr>
        <w:t>YUNANO</w:t>
      </w:r>
      <w:r>
        <w:rPr/>
        <w:t>，其中</w:t>
      </w:r>
      <w:r>
        <w:rPr>
          <w:rFonts w:ascii="Arial" w:hAnsi="Arial" w:cs="Arial" w:eastAsia="Arial" w:hint="default"/>
        </w:rPr>
        <w:t>YONYOU</w:t>
      </w:r>
      <w:r>
        <w:rPr>
          <w:rFonts w:ascii="Arial" w:hAnsi="Arial" w:cs="Arial" w:eastAsia="Arial" w:hint="default"/>
          <w:spacing w:val="9"/>
        </w:rPr>
        <w:t> </w:t>
      </w:r>
      <w:r>
        <w:rPr>
          <w:rFonts w:ascii="Arial" w:hAnsi="Arial" w:cs="Arial" w:eastAsia="Arial" w:hint="default"/>
        </w:rPr>
        <w:t>INTERNATIONAL</w:t>
      </w:r>
      <w:r>
        <w:rPr/>
        <w:t>享有</w:t>
      </w:r>
    </w:p>
    <w:p>
      <w:pPr>
        <w:pStyle w:val="BodyText"/>
        <w:spacing w:line="240" w:lineRule="auto" w:before="4"/>
        <w:ind w:left="782" w:right="0"/>
        <w:jc w:val="both"/>
      </w:pPr>
      <w:r>
        <w:rPr>
          <w:rFonts w:ascii="Arial" w:hAnsi="Arial" w:cs="Arial" w:eastAsia="Arial" w:hint="default"/>
        </w:rPr>
        <w:t>YUNANO</w:t>
      </w:r>
      <w:r>
        <w:rPr/>
        <w:t>的</w:t>
      </w:r>
      <w:r>
        <w:rPr>
          <w:rFonts w:ascii="Arial" w:hAnsi="Arial" w:cs="Arial" w:eastAsia="Arial" w:hint="default"/>
        </w:rPr>
        <w:t>30%</w:t>
      </w:r>
      <w:r>
        <w:rPr/>
        <w:t>股权。</w:t>
      </w:r>
    </w:p>
    <w:p>
      <w:pPr>
        <w:spacing w:after="0" w:line="240" w:lineRule="auto"/>
        <w:jc w:val="both"/>
        <w:sectPr>
          <w:pgSz w:w="11910" w:h="16850"/>
          <w:pgMar w:header="957" w:footer="468" w:top="2640" w:bottom="660" w:left="1560" w:right="820"/>
        </w:sectPr>
      </w:pPr>
    </w:p>
    <w:p>
      <w:pPr>
        <w:spacing w:line="240" w:lineRule="auto" w:before="5"/>
        <w:rPr>
          <w:rFonts w:ascii="黑体" w:hAnsi="黑体" w:cs="黑体" w:eastAsia="黑体" w:hint="default"/>
          <w:sz w:val="16"/>
          <w:szCs w:val="16"/>
        </w:rPr>
      </w:pPr>
    </w:p>
    <w:p>
      <w:pPr>
        <w:pStyle w:val="Heading6"/>
        <w:tabs>
          <w:tab w:pos="844" w:val="left" w:leader="none"/>
        </w:tabs>
        <w:spacing w:line="240" w:lineRule="auto"/>
        <w:ind w:left="141" w:right="0"/>
        <w:jc w:val="left"/>
        <w:rPr>
          <w:b w:val="0"/>
          <w:bCs w:val="0"/>
        </w:rPr>
      </w:pPr>
      <w:r>
        <w:rPr>
          <w:w w:val="95"/>
        </w:rPr>
        <w:t>五、</w:t>
        <w:tab/>
      </w:r>
      <w:bookmarkStart w:name="五、   合并财务报表主要项目注释（续）" w:id="79"/>
      <w:bookmarkEnd w:id="79"/>
      <w:r>
        <w:rPr/>
        <w:t>合并</w:t>
      </w:r>
      <w:r>
        <w:rPr/>
        <w:t>财务报表主要项目注释（续）</w:t>
      </w:r>
      <w:r>
        <w:rPr>
          <w:b w:val="0"/>
          <w:bCs w:val="0"/>
        </w:rPr>
      </w:r>
    </w:p>
    <w:p>
      <w:pPr>
        <w:spacing w:line="240" w:lineRule="auto" w:before="0"/>
        <w:rPr>
          <w:rFonts w:ascii="黑体" w:hAnsi="黑体" w:cs="黑体" w:eastAsia="黑体" w:hint="default"/>
          <w:b/>
          <w:bCs/>
          <w:sz w:val="24"/>
          <w:szCs w:val="24"/>
        </w:rPr>
      </w:pPr>
    </w:p>
    <w:p>
      <w:pPr>
        <w:pStyle w:val="Heading6"/>
        <w:tabs>
          <w:tab w:pos="849" w:val="left" w:leader="none"/>
        </w:tabs>
        <w:spacing w:line="240" w:lineRule="auto" w:before="0"/>
        <w:ind w:left="141" w:right="0"/>
        <w:jc w:val="left"/>
        <w:rPr>
          <w:b w:val="0"/>
          <w:bCs w:val="0"/>
        </w:rPr>
      </w:pPr>
      <w:r>
        <w:rPr>
          <w:rFonts w:ascii="Arial" w:hAnsi="Arial" w:cs="Arial" w:eastAsia="Arial" w:hint="default"/>
          <w:spacing w:val="-1"/>
        </w:rPr>
        <w:t>8.</w:t>
        <w:tab/>
      </w:r>
      <w:r>
        <w:rPr>
          <w:spacing w:val="1"/>
        </w:rPr>
        <w:t>对合营企业和联营企业投资（续）</w:t>
      </w:r>
      <w:r>
        <w:rPr>
          <w:b w:val="0"/>
          <w:bCs w:val="0"/>
        </w:rPr>
      </w:r>
    </w:p>
    <w:p>
      <w:pPr>
        <w:spacing w:line="240" w:lineRule="auto" w:before="13"/>
        <w:rPr>
          <w:rFonts w:ascii="黑体" w:hAnsi="黑体" w:cs="黑体" w:eastAsia="黑体" w:hint="default"/>
          <w:b/>
          <w:bCs/>
          <w:sz w:val="17"/>
          <w:szCs w:val="17"/>
        </w:rPr>
      </w:pPr>
    </w:p>
    <w:p>
      <w:pPr>
        <w:pStyle w:val="BodyText"/>
        <w:spacing w:line="240" w:lineRule="auto"/>
        <w:ind w:left="849" w:right="0"/>
        <w:jc w:val="left"/>
      </w:pPr>
      <w:r>
        <w:rPr>
          <w:rFonts w:ascii="Arial" w:hAnsi="Arial" w:cs="Arial" w:eastAsia="Arial" w:hint="default"/>
        </w:rPr>
        <w:t>2011</w:t>
      </w:r>
      <w:r>
        <w:rPr/>
        <w:t>年</w:t>
      </w:r>
    </w:p>
    <w:p>
      <w:pPr>
        <w:spacing w:line="240" w:lineRule="auto" w:before="7"/>
        <w:rPr>
          <w:rFonts w:ascii="黑体" w:hAnsi="黑体" w:cs="黑体" w:eastAsia="黑体" w:hint="default"/>
          <w:sz w:val="26"/>
          <w:szCs w:val="26"/>
        </w:rPr>
      </w:pPr>
    </w:p>
    <w:tbl>
      <w:tblPr>
        <w:tblW w:w="0" w:type="auto"/>
        <w:jc w:val="left"/>
        <w:tblInd w:w="599" w:type="dxa"/>
        <w:tblLayout w:type="fixed"/>
        <w:tblCellMar>
          <w:top w:w="0" w:type="dxa"/>
          <w:left w:w="0" w:type="dxa"/>
          <w:bottom w:w="0" w:type="dxa"/>
          <w:right w:w="0" w:type="dxa"/>
        </w:tblCellMar>
        <w:tblLook w:val="01E0"/>
      </w:tblPr>
      <w:tblGrid>
        <w:gridCol w:w="1766"/>
        <w:gridCol w:w="815"/>
        <w:gridCol w:w="641"/>
        <w:gridCol w:w="763"/>
        <w:gridCol w:w="1988"/>
        <w:gridCol w:w="926"/>
        <w:gridCol w:w="1357"/>
      </w:tblGrid>
      <w:tr>
        <w:trPr>
          <w:trHeight w:val="344" w:hRule="exact"/>
        </w:trPr>
        <w:tc>
          <w:tcPr>
            <w:tcW w:w="1766" w:type="dxa"/>
            <w:tcBorders>
              <w:top w:val="nil" w:sz="6" w:space="0" w:color="auto"/>
              <w:left w:val="nil" w:sz="6" w:space="0" w:color="auto"/>
              <w:bottom w:val="nil" w:sz="6" w:space="0" w:color="auto"/>
              <w:right w:val="nil" w:sz="6" w:space="0" w:color="auto"/>
            </w:tcBorders>
          </w:tcPr>
          <w:p>
            <w:pPr/>
          </w:p>
        </w:tc>
        <w:tc>
          <w:tcPr>
            <w:tcW w:w="815" w:type="dxa"/>
            <w:tcBorders>
              <w:top w:val="nil" w:sz="6" w:space="0" w:color="auto"/>
              <w:left w:val="nil" w:sz="6" w:space="0" w:color="auto"/>
              <w:bottom w:val="nil" w:sz="6" w:space="0" w:color="auto"/>
              <w:right w:val="nil" w:sz="6" w:space="0" w:color="auto"/>
            </w:tcBorders>
          </w:tcPr>
          <w:p>
            <w:pPr>
              <w:pStyle w:val="TableParagraph"/>
              <w:spacing w:line="180" w:lineRule="exact"/>
              <w:ind w:left="32" w:right="0"/>
              <w:jc w:val="left"/>
              <w:rPr>
                <w:rFonts w:ascii="黑体" w:hAnsi="黑体" w:cs="黑体" w:eastAsia="黑体" w:hint="default"/>
                <w:sz w:val="18"/>
                <w:szCs w:val="18"/>
              </w:rPr>
            </w:pPr>
            <w:r>
              <w:rPr>
                <w:rFonts w:ascii="黑体" w:hAnsi="黑体" w:cs="黑体" w:eastAsia="黑体" w:hint="default"/>
                <w:sz w:val="18"/>
                <w:szCs w:val="18"/>
              </w:rPr>
              <w:t>企业类型</w:t>
            </w:r>
          </w:p>
        </w:tc>
        <w:tc>
          <w:tcPr>
            <w:tcW w:w="641" w:type="dxa"/>
            <w:tcBorders>
              <w:top w:val="nil" w:sz="6" w:space="0" w:color="auto"/>
              <w:left w:val="nil" w:sz="6" w:space="0" w:color="auto"/>
              <w:bottom w:val="nil" w:sz="6" w:space="0" w:color="auto"/>
              <w:right w:val="nil" w:sz="6" w:space="0" w:color="auto"/>
            </w:tcBorders>
          </w:tcPr>
          <w:p>
            <w:pPr>
              <w:pStyle w:val="TableParagraph"/>
              <w:spacing w:line="180" w:lineRule="exact"/>
              <w:ind w:right="36"/>
              <w:jc w:val="right"/>
              <w:rPr>
                <w:rFonts w:ascii="黑体" w:hAnsi="黑体" w:cs="黑体" w:eastAsia="黑体" w:hint="default"/>
                <w:sz w:val="18"/>
                <w:szCs w:val="18"/>
              </w:rPr>
            </w:pPr>
            <w:r>
              <w:rPr>
                <w:rFonts w:ascii="黑体" w:hAnsi="黑体" w:cs="黑体" w:eastAsia="黑体" w:hint="default"/>
                <w:sz w:val="18"/>
                <w:szCs w:val="18"/>
              </w:rPr>
              <w:t>注册地</w:t>
            </w:r>
          </w:p>
        </w:tc>
        <w:tc>
          <w:tcPr>
            <w:tcW w:w="763" w:type="dxa"/>
            <w:tcBorders>
              <w:top w:val="nil" w:sz="6" w:space="0" w:color="auto"/>
              <w:left w:val="nil" w:sz="6" w:space="0" w:color="auto"/>
              <w:bottom w:val="nil" w:sz="6" w:space="0" w:color="auto"/>
              <w:right w:val="nil" w:sz="6" w:space="0" w:color="auto"/>
            </w:tcBorders>
          </w:tcPr>
          <w:p>
            <w:pPr>
              <w:pStyle w:val="TableParagraph"/>
              <w:spacing w:line="180" w:lineRule="exact"/>
              <w:ind w:left="38" w:right="0"/>
              <w:jc w:val="left"/>
              <w:rPr>
                <w:rFonts w:ascii="黑体" w:hAnsi="黑体" w:cs="黑体" w:eastAsia="黑体" w:hint="default"/>
                <w:sz w:val="18"/>
                <w:szCs w:val="18"/>
              </w:rPr>
            </w:pPr>
            <w:r>
              <w:rPr>
                <w:rFonts w:ascii="黑体" w:hAnsi="黑体" w:cs="黑体" w:eastAsia="黑体" w:hint="default"/>
                <w:sz w:val="18"/>
                <w:szCs w:val="18"/>
              </w:rPr>
              <w:t>法人代表</w:t>
            </w:r>
          </w:p>
        </w:tc>
        <w:tc>
          <w:tcPr>
            <w:tcW w:w="1988" w:type="dxa"/>
            <w:tcBorders>
              <w:top w:val="nil" w:sz="6" w:space="0" w:color="auto"/>
              <w:left w:val="nil" w:sz="6" w:space="0" w:color="auto"/>
              <w:bottom w:val="nil" w:sz="6" w:space="0" w:color="auto"/>
              <w:right w:val="nil" w:sz="6" w:space="0" w:color="auto"/>
            </w:tcBorders>
          </w:tcPr>
          <w:p>
            <w:pPr>
              <w:pStyle w:val="TableParagraph"/>
              <w:spacing w:line="180" w:lineRule="exact"/>
              <w:ind w:left="568" w:right="0"/>
              <w:jc w:val="left"/>
              <w:rPr>
                <w:rFonts w:ascii="黑体" w:hAnsi="黑体" w:cs="黑体" w:eastAsia="黑体" w:hint="default"/>
                <w:sz w:val="18"/>
                <w:szCs w:val="18"/>
              </w:rPr>
            </w:pPr>
            <w:r>
              <w:rPr>
                <w:rFonts w:ascii="黑体" w:hAnsi="黑体" w:cs="黑体" w:eastAsia="黑体" w:hint="default"/>
                <w:sz w:val="18"/>
                <w:szCs w:val="18"/>
              </w:rPr>
              <w:t>业务性质</w:t>
            </w:r>
          </w:p>
        </w:tc>
        <w:tc>
          <w:tcPr>
            <w:tcW w:w="926" w:type="dxa"/>
            <w:tcBorders>
              <w:top w:val="nil" w:sz="6" w:space="0" w:color="auto"/>
              <w:left w:val="nil" w:sz="6" w:space="0" w:color="auto"/>
              <w:bottom w:val="nil" w:sz="6" w:space="0" w:color="auto"/>
              <w:right w:val="nil" w:sz="6" w:space="0" w:color="auto"/>
            </w:tcBorders>
          </w:tcPr>
          <w:p>
            <w:pPr>
              <w:pStyle w:val="TableParagraph"/>
              <w:spacing w:line="180" w:lineRule="exact"/>
              <w:ind w:right="76"/>
              <w:jc w:val="right"/>
              <w:rPr>
                <w:rFonts w:ascii="黑体" w:hAnsi="黑体" w:cs="黑体" w:eastAsia="黑体" w:hint="default"/>
                <w:sz w:val="18"/>
                <w:szCs w:val="18"/>
              </w:rPr>
            </w:pPr>
            <w:r>
              <w:rPr>
                <w:rFonts w:ascii="黑体" w:hAnsi="黑体" w:cs="黑体" w:eastAsia="黑体" w:hint="default"/>
                <w:sz w:val="18"/>
                <w:szCs w:val="18"/>
              </w:rPr>
              <w:t>注册资本</w:t>
            </w:r>
          </w:p>
        </w:tc>
        <w:tc>
          <w:tcPr>
            <w:tcW w:w="1357" w:type="dxa"/>
            <w:tcBorders>
              <w:top w:val="nil" w:sz="6" w:space="0" w:color="auto"/>
              <w:left w:val="nil" w:sz="6" w:space="0" w:color="auto"/>
              <w:bottom w:val="nil" w:sz="6" w:space="0" w:color="auto"/>
              <w:right w:val="nil" w:sz="6" w:space="0" w:color="auto"/>
            </w:tcBorders>
          </w:tcPr>
          <w:p>
            <w:pPr>
              <w:pStyle w:val="TableParagraph"/>
              <w:spacing w:line="180" w:lineRule="exact"/>
              <w:ind w:right="199"/>
              <w:jc w:val="right"/>
              <w:rPr>
                <w:rFonts w:ascii="黑体" w:hAnsi="黑体" w:cs="黑体" w:eastAsia="黑体" w:hint="default"/>
                <w:sz w:val="18"/>
                <w:szCs w:val="18"/>
              </w:rPr>
            </w:pPr>
            <w:r>
              <w:rPr>
                <w:rFonts w:ascii="黑体" w:hAnsi="黑体" w:cs="黑体" w:eastAsia="黑体" w:hint="default"/>
                <w:sz w:val="18"/>
                <w:szCs w:val="18"/>
              </w:rPr>
              <w:t>组织机构代码</w:t>
            </w:r>
          </w:p>
        </w:tc>
      </w:tr>
      <w:tr>
        <w:trPr>
          <w:trHeight w:val="2107" w:hRule="exact"/>
        </w:trPr>
        <w:tc>
          <w:tcPr>
            <w:tcW w:w="1766" w:type="dxa"/>
            <w:tcBorders>
              <w:top w:val="nil" w:sz="6" w:space="0" w:color="auto"/>
              <w:left w:val="nil" w:sz="6" w:space="0" w:color="auto"/>
              <w:bottom w:val="nil" w:sz="6" w:space="0" w:color="auto"/>
              <w:right w:val="nil" w:sz="6" w:space="0" w:color="auto"/>
            </w:tcBorders>
          </w:tcPr>
          <w:p>
            <w:pPr>
              <w:pStyle w:val="TableParagraph"/>
              <w:spacing w:line="230" w:lineRule="exact" w:before="135"/>
              <w:ind w:left="382" w:right="30" w:hanging="183"/>
              <w:jc w:val="both"/>
              <w:rPr>
                <w:rFonts w:ascii="Arial" w:hAnsi="Arial" w:cs="Arial" w:eastAsia="Arial" w:hint="default"/>
                <w:sz w:val="18"/>
                <w:szCs w:val="18"/>
              </w:rPr>
            </w:pPr>
            <w:r>
              <w:rPr>
                <w:rFonts w:ascii="黑体" w:hAnsi="黑体" w:cs="黑体" w:eastAsia="黑体" w:hint="default"/>
                <w:spacing w:val="6"/>
                <w:sz w:val="18"/>
                <w:szCs w:val="18"/>
              </w:rPr>
              <w:t>北京致远协创软件</w:t>
            </w:r>
            <w:r>
              <w:rPr>
                <w:rFonts w:ascii="黑体" w:hAnsi="黑体" w:cs="黑体" w:eastAsia="黑体" w:hint="default"/>
                <w:spacing w:val="7"/>
                <w:sz w:val="18"/>
                <w:szCs w:val="18"/>
              </w:rPr>
              <w:t> </w:t>
            </w:r>
            <w:r>
              <w:rPr>
                <w:rFonts w:ascii="黑体" w:hAnsi="黑体" w:cs="黑体" w:eastAsia="黑体" w:hint="default"/>
                <w:spacing w:val="19"/>
                <w:sz w:val="18"/>
                <w:szCs w:val="18"/>
              </w:rPr>
              <w:t>有限公司</w:t>
            </w:r>
            <w:r>
              <w:rPr>
                <w:rFonts w:ascii="黑体" w:hAnsi="黑体" w:cs="黑体" w:eastAsia="黑体" w:hint="default"/>
                <w:spacing w:val="-64"/>
                <w:sz w:val="18"/>
                <w:szCs w:val="18"/>
              </w:rPr>
              <w:t> </w:t>
            </w:r>
            <w:r>
              <w:rPr>
                <w:rFonts w:ascii="Arial" w:hAnsi="Arial" w:cs="Arial" w:eastAsia="Arial" w:hint="default"/>
                <w:sz w:val="18"/>
                <w:szCs w:val="18"/>
              </w:rPr>
              <w:t>(</w:t>
            </w:r>
            <w:r>
              <w:rPr>
                <w:rFonts w:ascii="Arial" w:hAnsi="Arial" w:cs="Arial" w:eastAsia="Arial" w:hint="default"/>
                <w:spacing w:val="-22"/>
                <w:sz w:val="18"/>
                <w:szCs w:val="18"/>
              </w:rPr>
              <w:t> </w:t>
            </w:r>
            <w:r>
              <w:rPr>
                <w:rFonts w:ascii="黑体" w:hAnsi="黑体" w:cs="黑体" w:eastAsia="黑体" w:hint="default"/>
                <w:spacing w:val="13"/>
                <w:sz w:val="18"/>
                <w:szCs w:val="18"/>
              </w:rPr>
              <w:t>以下</w:t>
            </w:r>
            <w:r>
              <w:rPr>
                <w:rFonts w:ascii="黑体" w:hAnsi="黑体" w:cs="黑体" w:eastAsia="黑体" w:hint="default"/>
                <w:spacing w:val="-64"/>
                <w:sz w:val="18"/>
                <w:szCs w:val="18"/>
              </w:rPr>
              <w:t> </w:t>
            </w:r>
            <w:r>
              <w:rPr>
                <w:rFonts w:ascii="黑体" w:hAnsi="黑体" w:cs="黑体" w:eastAsia="黑体" w:hint="default"/>
                <w:spacing w:val="30"/>
                <w:sz w:val="18"/>
                <w:szCs w:val="18"/>
              </w:rPr>
              <w:t>简称“</w:t>
            </w:r>
            <w:r>
              <w:rPr>
                <w:rFonts w:ascii="黑体" w:hAnsi="黑体" w:cs="黑体" w:eastAsia="黑体" w:hint="default"/>
                <w:spacing w:val="-47"/>
                <w:sz w:val="18"/>
                <w:szCs w:val="18"/>
              </w:rPr>
              <w:t> </w:t>
            </w:r>
            <w:r>
              <w:rPr>
                <w:rFonts w:ascii="黑体" w:hAnsi="黑体" w:cs="黑体" w:eastAsia="黑体" w:hint="default"/>
                <w:spacing w:val="30"/>
                <w:sz w:val="18"/>
                <w:szCs w:val="18"/>
              </w:rPr>
              <w:t>致远协</w:t>
            </w:r>
            <w:r>
              <w:rPr>
                <w:rFonts w:ascii="黑体" w:hAnsi="黑体" w:cs="黑体" w:eastAsia="黑体" w:hint="default"/>
                <w:spacing w:val="-45"/>
                <w:sz w:val="18"/>
                <w:szCs w:val="18"/>
              </w:rPr>
              <w:t> </w:t>
            </w:r>
            <w:r>
              <w:rPr>
                <w:rFonts w:ascii="黑体" w:hAnsi="黑体" w:cs="黑体" w:eastAsia="黑体" w:hint="default"/>
                <w:sz w:val="18"/>
                <w:szCs w:val="18"/>
              </w:rPr>
              <w:t>创”</w:t>
            </w:r>
            <w:r>
              <w:rPr>
                <w:rFonts w:ascii="Arial" w:hAnsi="Arial" w:cs="Arial" w:eastAsia="Arial" w:hint="default"/>
                <w:sz w:val="18"/>
                <w:szCs w:val="18"/>
              </w:rPr>
              <w:t>)</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32" w:right="0"/>
              <w:jc w:val="left"/>
              <w:rPr>
                <w:rFonts w:ascii="黑体" w:hAnsi="黑体" w:cs="黑体" w:eastAsia="黑体" w:hint="default"/>
                <w:sz w:val="18"/>
                <w:szCs w:val="18"/>
              </w:rPr>
            </w:pPr>
            <w:r>
              <w:rPr>
                <w:rFonts w:ascii="黑体" w:hAnsi="黑体" w:cs="黑体" w:eastAsia="黑体" w:hint="default"/>
                <w:sz w:val="18"/>
                <w:szCs w:val="18"/>
              </w:rPr>
              <w:t>联营企业</w:t>
            </w:r>
          </w:p>
        </w:tc>
        <w:tc>
          <w:tcPr>
            <w:tcW w:w="641"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6"/>
              <w:jc w:val="right"/>
              <w:rPr>
                <w:rFonts w:ascii="黑体" w:hAnsi="黑体" w:cs="黑体" w:eastAsia="黑体" w:hint="default"/>
                <w:sz w:val="18"/>
                <w:szCs w:val="18"/>
              </w:rPr>
            </w:pPr>
            <w:r>
              <w:rPr>
                <w:rFonts w:ascii="黑体" w:hAnsi="黑体" w:cs="黑体" w:eastAsia="黑体" w:hint="default"/>
                <w:sz w:val="18"/>
                <w:szCs w:val="18"/>
              </w:rPr>
              <w:t>北京市</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38" w:right="0"/>
              <w:jc w:val="left"/>
              <w:rPr>
                <w:rFonts w:ascii="黑体" w:hAnsi="黑体" w:cs="黑体" w:eastAsia="黑体" w:hint="default"/>
                <w:sz w:val="18"/>
                <w:szCs w:val="18"/>
              </w:rPr>
            </w:pPr>
            <w:r>
              <w:rPr>
                <w:rFonts w:ascii="黑体" w:hAnsi="黑体" w:cs="黑体" w:eastAsia="黑体" w:hint="default"/>
                <w:sz w:val="18"/>
                <w:szCs w:val="18"/>
              </w:rPr>
              <w:t>徐石</w:t>
            </w:r>
          </w:p>
        </w:tc>
        <w:tc>
          <w:tcPr>
            <w:tcW w:w="1988" w:type="dxa"/>
            <w:tcBorders>
              <w:top w:val="nil" w:sz="6" w:space="0" w:color="auto"/>
              <w:left w:val="nil" w:sz="6" w:space="0" w:color="auto"/>
              <w:bottom w:val="nil" w:sz="6" w:space="0" w:color="auto"/>
              <w:right w:val="nil" w:sz="6" w:space="0" w:color="auto"/>
            </w:tcBorders>
          </w:tcPr>
          <w:p>
            <w:pPr>
              <w:pStyle w:val="TableParagraph"/>
              <w:spacing w:line="230" w:lineRule="auto" w:before="117"/>
              <w:ind w:left="4" w:right="130"/>
              <w:jc w:val="both"/>
              <w:rPr>
                <w:rFonts w:ascii="黑体" w:hAnsi="黑体" w:cs="黑体" w:eastAsia="黑体" w:hint="default"/>
                <w:sz w:val="18"/>
                <w:szCs w:val="18"/>
              </w:rPr>
            </w:pPr>
            <w:r>
              <w:rPr>
                <w:rFonts w:ascii="黑体" w:hAnsi="黑体" w:cs="黑体" w:eastAsia="黑体" w:hint="default"/>
                <w:sz w:val="18"/>
                <w:szCs w:val="18"/>
              </w:rPr>
              <w:t>软件开发</w:t>
            </w:r>
            <w:r>
              <w:rPr>
                <w:rFonts w:ascii="Arial" w:hAnsi="Arial" w:cs="Arial" w:eastAsia="Arial" w:hint="default"/>
                <w:sz w:val="18"/>
                <w:szCs w:val="18"/>
              </w:rPr>
              <w:t>,</w:t>
            </w:r>
            <w:r>
              <w:rPr>
                <w:rFonts w:ascii="黑体" w:hAnsi="黑体" w:cs="黑体" w:eastAsia="黑体" w:hint="default"/>
                <w:sz w:val="18"/>
                <w:szCs w:val="18"/>
              </w:rPr>
              <w:t>技术转让、技 </w:t>
            </w:r>
            <w:r>
              <w:rPr>
                <w:rFonts w:ascii="黑体" w:hAnsi="黑体" w:cs="黑体" w:eastAsia="黑体" w:hint="default"/>
                <w:spacing w:val="4"/>
                <w:sz w:val="18"/>
                <w:szCs w:val="18"/>
              </w:rPr>
              <w:t>术咨询、技术服务、计</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pacing w:val="4"/>
                <w:sz w:val="18"/>
                <w:szCs w:val="18"/>
              </w:rPr>
              <w:t>算机技术培训、基础软</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z w:val="18"/>
                <w:szCs w:val="18"/>
              </w:rPr>
              <w:t>件服务</w:t>
            </w:r>
            <w:r>
              <w:rPr>
                <w:rFonts w:ascii="Arial" w:hAnsi="Arial" w:cs="Arial" w:eastAsia="Arial" w:hint="default"/>
                <w:sz w:val="18"/>
                <w:szCs w:val="18"/>
              </w:rPr>
              <w:t>:</w:t>
            </w:r>
            <w:r>
              <w:rPr>
                <w:rFonts w:ascii="黑体" w:hAnsi="黑体" w:cs="黑体" w:eastAsia="黑体" w:hint="default"/>
                <w:sz w:val="18"/>
                <w:szCs w:val="18"/>
              </w:rPr>
              <w:t>应用软件服务、 </w:t>
            </w:r>
            <w:r>
              <w:rPr>
                <w:rFonts w:ascii="黑体" w:hAnsi="黑体" w:cs="黑体" w:eastAsia="黑体" w:hint="default"/>
                <w:spacing w:val="4"/>
                <w:sz w:val="18"/>
                <w:szCs w:val="18"/>
              </w:rPr>
              <w:t>计算机系统服务、销售</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pacing w:val="4"/>
                <w:sz w:val="18"/>
                <w:szCs w:val="18"/>
              </w:rPr>
              <w:t>计算机、软件及辅助设</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pacing w:val="4"/>
                <w:sz w:val="18"/>
                <w:szCs w:val="18"/>
              </w:rPr>
              <w:t>备、电子产品、机械设</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z w:val="18"/>
                <w:szCs w:val="18"/>
              </w:rPr>
              <w:t>备。</w:t>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73"/>
              <w:jc w:val="right"/>
              <w:rPr>
                <w:rFonts w:ascii="Arial" w:hAnsi="Arial" w:cs="Arial" w:eastAsia="Arial" w:hint="default"/>
                <w:sz w:val="18"/>
                <w:szCs w:val="18"/>
              </w:rPr>
            </w:pPr>
            <w:r>
              <w:rPr>
                <w:rFonts w:ascii="Arial"/>
                <w:spacing w:val="-1"/>
                <w:sz w:val="18"/>
              </w:rPr>
              <w:t>5,384,600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98"/>
              <w:jc w:val="right"/>
              <w:rPr>
                <w:rFonts w:ascii="Arial" w:hAnsi="Arial" w:cs="Arial" w:eastAsia="Arial" w:hint="default"/>
                <w:sz w:val="18"/>
                <w:szCs w:val="18"/>
              </w:rPr>
            </w:pPr>
            <w:r>
              <w:rPr>
                <w:rFonts w:ascii="Arial"/>
                <w:spacing w:val="-1"/>
                <w:sz w:val="18"/>
              </w:rPr>
              <w:t>73765633-8</w:t>
            </w:r>
          </w:p>
        </w:tc>
      </w:tr>
      <w:tr>
        <w:trPr>
          <w:trHeight w:val="1865" w:hRule="exact"/>
        </w:trPr>
        <w:tc>
          <w:tcPr>
            <w:tcW w:w="1766" w:type="dxa"/>
            <w:tcBorders>
              <w:top w:val="nil" w:sz="6" w:space="0" w:color="auto"/>
              <w:left w:val="nil" w:sz="6" w:space="0" w:color="auto"/>
              <w:bottom w:val="nil" w:sz="6" w:space="0" w:color="auto"/>
              <w:right w:val="nil" w:sz="6" w:space="0" w:color="auto"/>
            </w:tcBorders>
          </w:tcPr>
          <w:p>
            <w:pPr>
              <w:pStyle w:val="TableParagraph"/>
              <w:spacing w:line="230" w:lineRule="exact" w:before="123"/>
              <w:ind w:left="382" w:right="70" w:hanging="183"/>
              <w:jc w:val="both"/>
              <w:rPr>
                <w:rFonts w:ascii="Arial" w:hAnsi="Arial" w:cs="Arial" w:eastAsia="Arial" w:hint="default"/>
                <w:sz w:val="18"/>
                <w:szCs w:val="18"/>
              </w:rPr>
            </w:pPr>
            <w:r>
              <w:rPr>
                <w:rFonts w:ascii="黑体" w:hAnsi="黑体" w:cs="黑体" w:eastAsia="黑体" w:hint="default"/>
                <w:spacing w:val="6"/>
                <w:sz w:val="18"/>
                <w:szCs w:val="18"/>
              </w:rPr>
              <w:t>北京西玛国正商用</w:t>
            </w:r>
            <w:r>
              <w:rPr>
                <w:rFonts w:ascii="黑体" w:hAnsi="黑体" w:cs="黑体" w:eastAsia="黑体" w:hint="default"/>
                <w:spacing w:val="7"/>
                <w:sz w:val="18"/>
                <w:szCs w:val="18"/>
              </w:rPr>
              <w:t> 表单技术有限公 </w:t>
            </w:r>
            <w:r>
              <w:rPr>
                <w:rFonts w:ascii="黑体" w:hAnsi="黑体" w:cs="黑体" w:eastAsia="黑体" w:hint="default"/>
                <w:spacing w:val="12"/>
                <w:sz w:val="18"/>
                <w:szCs w:val="18"/>
              </w:rPr>
              <w:t>司</w:t>
            </w:r>
            <w:r>
              <w:rPr>
                <w:rFonts w:ascii="Arial" w:hAnsi="Arial" w:cs="Arial" w:eastAsia="Arial" w:hint="default"/>
                <w:spacing w:val="12"/>
                <w:sz w:val="18"/>
                <w:szCs w:val="18"/>
              </w:rPr>
              <w:t>(</w:t>
            </w:r>
            <w:r>
              <w:rPr>
                <w:rFonts w:ascii="黑体" w:hAnsi="黑体" w:cs="黑体" w:eastAsia="黑体" w:hint="default"/>
                <w:spacing w:val="12"/>
                <w:sz w:val="18"/>
                <w:szCs w:val="18"/>
              </w:rPr>
              <w:t>以下简称</w:t>
            </w:r>
            <w:r>
              <w:rPr>
                <w:rFonts w:ascii="Arial" w:hAnsi="Arial" w:cs="Arial" w:eastAsia="Arial" w:hint="default"/>
                <w:spacing w:val="12"/>
                <w:sz w:val="18"/>
                <w:szCs w:val="18"/>
              </w:rPr>
              <w:t>“</w:t>
            </w:r>
            <w:r>
              <w:rPr>
                <w:rFonts w:ascii="黑体" w:hAnsi="黑体" w:cs="黑体" w:eastAsia="黑体" w:hint="default"/>
                <w:spacing w:val="12"/>
                <w:sz w:val="18"/>
                <w:szCs w:val="18"/>
              </w:rPr>
              <w:t>西</w:t>
            </w:r>
            <w:r>
              <w:rPr>
                <w:rFonts w:ascii="黑体" w:hAnsi="黑体" w:cs="黑体" w:eastAsia="黑体" w:hint="default"/>
                <w:sz w:val="18"/>
                <w:szCs w:val="18"/>
              </w:rPr>
              <w:t> 玛商用表单</w:t>
            </w:r>
            <w:r>
              <w:rPr>
                <w:rFonts w:ascii="Arial" w:hAnsi="Arial" w:cs="Arial" w:eastAsia="Arial" w:hint="default"/>
                <w:sz w:val="18"/>
                <w:szCs w:val="18"/>
              </w:rPr>
              <w:t>”)</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2" w:right="0"/>
              <w:jc w:val="left"/>
              <w:rPr>
                <w:rFonts w:ascii="黑体" w:hAnsi="黑体" w:cs="黑体" w:eastAsia="黑体" w:hint="default"/>
                <w:sz w:val="18"/>
                <w:szCs w:val="18"/>
              </w:rPr>
            </w:pPr>
            <w:r>
              <w:rPr>
                <w:rFonts w:ascii="黑体" w:hAnsi="黑体" w:cs="黑体" w:eastAsia="黑体" w:hint="default"/>
                <w:sz w:val="18"/>
                <w:szCs w:val="18"/>
              </w:rPr>
              <w:t>联营企业</w:t>
            </w:r>
          </w:p>
        </w:tc>
        <w:tc>
          <w:tcPr>
            <w:tcW w:w="64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6"/>
              <w:jc w:val="right"/>
              <w:rPr>
                <w:rFonts w:ascii="黑体" w:hAnsi="黑体" w:cs="黑体" w:eastAsia="黑体" w:hint="default"/>
                <w:sz w:val="18"/>
                <w:szCs w:val="18"/>
              </w:rPr>
            </w:pPr>
            <w:r>
              <w:rPr>
                <w:rFonts w:ascii="黑体" w:hAnsi="黑体" w:cs="黑体" w:eastAsia="黑体" w:hint="default"/>
                <w:sz w:val="18"/>
                <w:szCs w:val="18"/>
              </w:rPr>
              <w:t>北京市</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8" w:right="0"/>
              <w:jc w:val="left"/>
              <w:rPr>
                <w:rFonts w:ascii="黑体" w:hAnsi="黑体" w:cs="黑体" w:eastAsia="黑体" w:hint="default"/>
                <w:sz w:val="18"/>
                <w:szCs w:val="18"/>
              </w:rPr>
            </w:pPr>
            <w:r>
              <w:rPr>
                <w:rFonts w:ascii="黑体" w:hAnsi="黑体" w:cs="黑体" w:eastAsia="黑体" w:hint="default"/>
                <w:sz w:val="18"/>
                <w:szCs w:val="18"/>
              </w:rPr>
              <w:t>王力</w:t>
            </w:r>
          </w:p>
        </w:tc>
        <w:tc>
          <w:tcPr>
            <w:tcW w:w="1988" w:type="dxa"/>
            <w:tcBorders>
              <w:top w:val="nil" w:sz="6" w:space="0" w:color="auto"/>
              <w:left w:val="nil" w:sz="6" w:space="0" w:color="auto"/>
              <w:bottom w:val="nil" w:sz="6" w:space="0" w:color="auto"/>
              <w:right w:val="nil" w:sz="6" w:space="0" w:color="auto"/>
            </w:tcBorders>
          </w:tcPr>
          <w:p>
            <w:pPr>
              <w:pStyle w:val="TableParagraph"/>
              <w:spacing w:line="235" w:lineRule="auto" w:before="101"/>
              <w:ind w:left="4" w:right="44"/>
              <w:jc w:val="left"/>
              <w:rPr>
                <w:rFonts w:ascii="黑体" w:hAnsi="黑体" w:cs="黑体" w:eastAsia="黑体" w:hint="default"/>
                <w:sz w:val="18"/>
                <w:szCs w:val="18"/>
              </w:rPr>
            </w:pPr>
            <w:r>
              <w:rPr>
                <w:rFonts w:ascii="黑体" w:hAnsi="黑体" w:cs="黑体" w:eastAsia="黑体" w:hint="default"/>
                <w:spacing w:val="4"/>
                <w:sz w:val="18"/>
                <w:szCs w:val="18"/>
              </w:rPr>
              <w:t>技术推广服务、销售打</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pacing w:val="4"/>
                <w:sz w:val="18"/>
                <w:szCs w:val="18"/>
              </w:rPr>
              <w:t>印纸、磁盘、计算机专</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pacing w:val="4"/>
                <w:sz w:val="18"/>
                <w:szCs w:val="18"/>
              </w:rPr>
              <w:t>用账页、账夹、计算机</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pacing w:val="-4"/>
                <w:sz w:val="18"/>
                <w:szCs w:val="18"/>
              </w:rPr>
              <w:t>及外围设备、文具用品、</w:t>
            </w:r>
            <w:r>
              <w:rPr>
                <w:rFonts w:ascii="黑体" w:hAnsi="黑体" w:cs="黑体" w:eastAsia="黑体" w:hint="default"/>
                <w:sz w:val="18"/>
                <w:szCs w:val="18"/>
              </w:rPr>
              <w:t> </w:t>
            </w:r>
            <w:r>
              <w:rPr>
                <w:rFonts w:ascii="黑体" w:hAnsi="黑体" w:cs="黑体" w:eastAsia="黑体" w:hint="default"/>
                <w:spacing w:val="4"/>
                <w:sz w:val="18"/>
                <w:szCs w:val="18"/>
              </w:rPr>
              <w:t>计算机软件制作、计算</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pacing w:val="-4"/>
                <w:sz w:val="18"/>
                <w:szCs w:val="18"/>
              </w:rPr>
              <w:t>机技术服务、技术培训、</w:t>
            </w:r>
            <w:r>
              <w:rPr>
                <w:rFonts w:ascii="黑体" w:hAnsi="黑体" w:cs="黑体" w:eastAsia="黑体" w:hint="default"/>
                <w:sz w:val="18"/>
                <w:szCs w:val="18"/>
              </w:rPr>
              <w:t> 技术进出口。</w:t>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73"/>
              <w:jc w:val="right"/>
              <w:rPr>
                <w:rFonts w:ascii="Arial" w:hAnsi="Arial" w:cs="Arial" w:eastAsia="Arial" w:hint="default"/>
                <w:sz w:val="18"/>
                <w:szCs w:val="18"/>
              </w:rPr>
            </w:pPr>
            <w:r>
              <w:rPr>
                <w:rFonts w:ascii="Arial"/>
                <w:spacing w:val="-1"/>
                <w:sz w:val="18"/>
              </w:rPr>
              <w:t>500,000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98"/>
              <w:jc w:val="right"/>
              <w:rPr>
                <w:rFonts w:ascii="Arial" w:hAnsi="Arial" w:cs="Arial" w:eastAsia="Arial" w:hint="default"/>
                <w:sz w:val="18"/>
                <w:szCs w:val="18"/>
              </w:rPr>
            </w:pPr>
            <w:r>
              <w:rPr>
                <w:rFonts w:ascii="Arial"/>
                <w:spacing w:val="-1"/>
                <w:sz w:val="18"/>
              </w:rPr>
              <w:t>63364482-6</w:t>
            </w:r>
          </w:p>
        </w:tc>
      </w:tr>
      <w:tr>
        <w:trPr>
          <w:trHeight w:val="1482" w:hRule="exact"/>
        </w:trPr>
        <w:tc>
          <w:tcPr>
            <w:tcW w:w="1766" w:type="dxa"/>
            <w:tcBorders>
              <w:top w:val="nil" w:sz="6" w:space="0" w:color="auto"/>
              <w:left w:val="nil" w:sz="6" w:space="0" w:color="auto"/>
              <w:bottom w:val="nil" w:sz="6" w:space="0" w:color="auto"/>
              <w:right w:val="nil" w:sz="6" w:space="0" w:color="auto"/>
            </w:tcBorders>
          </w:tcPr>
          <w:p>
            <w:pPr>
              <w:pStyle w:val="TableParagraph"/>
              <w:spacing w:line="230" w:lineRule="exact" w:before="123"/>
              <w:ind w:left="382" w:right="121" w:hanging="183"/>
              <w:jc w:val="left"/>
              <w:rPr>
                <w:rFonts w:ascii="Arial" w:hAnsi="Arial" w:cs="Arial" w:eastAsia="Arial" w:hint="default"/>
                <w:sz w:val="18"/>
                <w:szCs w:val="18"/>
              </w:rPr>
            </w:pPr>
            <w:r>
              <w:rPr>
                <w:rFonts w:ascii="黑体" w:hAnsi="黑体" w:cs="黑体" w:eastAsia="黑体" w:hint="default"/>
                <w:sz w:val="18"/>
                <w:szCs w:val="18"/>
              </w:rPr>
              <w:t>北京西玛永泰商用 表单技术有限公 司</w:t>
            </w:r>
            <w:r>
              <w:rPr>
                <w:rFonts w:ascii="Arial" w:hAnsi="Arial" w:cs="Arial" w:eastAsia="Arial" w:hint="default"/>
                <w:sz w:val="18"/>
                <w:szCs w:val="18"/>
              </w:rPr>
              <w:t>(</w:t>
            </w:r>
            <w:r>
              <w:rPr>
                <w:rFonts w:ascii="黑体" w:hAnsi="黑体" w:cs="黑体" w:eastAsia="黑体" w:hint="default"/>
                <w:sz w:val="18"/>
                <w:szCs w:val="18"/>
              </w:rPr>
              <w:t>以下简称 </w:t>
            </w:r>
            <w:r>
              <w:rPr>
                <w:rFonts w:ascii="Arial" w:hAnsi="Arial" w:cs="Arial" w:eastAsia="Arial" w:hint="default"/>
                <w:sz w:val="18"/>
                <w:szCs w:val="18"/>
              </w:rPr>
              <w:t>“</w:t>
            </w:r>
            <w:r>
              <w:rPr>
                <w:rFonts w:ascii="黑体" w:hAnsi="黑体" w:cs="黑体" w:eastAsia="黑体" w:hint="default"/>
                <w:sz w:val="18"/>
                <w:szCs w:val="18"/>
              </w:rPr>
              <w:t>西玛永泰</w:t>
            </w:r>
            <w:r>
              <w:rPr>
                <w:rFonts w:ascii="Arial" w:hAnsi="Arial" w:cs="Arial" w:eastAsia="Arial" w:hint="default"/>
                <w:sz w:val="18"/>
                <w:szCs w:val="18"/>
              </w:rPr>
              <w:t>”)</w:t>
            </w:r>
          </w:p>
        </w:tc>
        <w:tc>
          <w:tcPr>
            <w:tcW w:w="81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2" w:right="0"/>
              <w:jc w:val="left"/>
              <w:rPr>
                <w:rFonts w:ascii="黑体" w:hAnsi="黑体" w:cs="黑体" w:eastAsia="黑体" w:hint="default"/>
                <w:sz w:val="18"/>
                <w:szCs w:val="18"/>
              </w:rPr>
            </w:pPr>
            <w:r>
              <w:rPr>
                <w:rFonts w:ascii="黑体" w:hAnsi="黑体" w:cs="黑体" w:eastAsia="黑体" w:hint="default"/>
                <w:sz w:val="18"/>
                <w:szCs w:val="18"/>
              </w:rPr>
              <w:t>联营企业</w:t>
            </w:r>
          </w:p>
        </w:tc>
        <w:tc>
          <w:tcPr>
            <w:tcW w:w="64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6"/>
              <w:jc w:val="right"/>
              <w:rPr>
                <w:rFonts w:ascii="黑体" w:hAnsi="黑体" w:cs="黑体" w:eastAsia="黑体" w:hint="default"/>
                <w:sz w:val="18"/>
                <w:szCs w:val="18"/>
              </w:rPr>
            </w:pPr>
            <w:r>
              <w:rPr>
                <w:rFonts w:ascii="黑体" w:hAnsi="黑体" w:cs="黑体" w:eastAsia="黑体" w:hint="default"/>
                <w:sz w:val="18"/>
                <w:szCs w:val="18"/>
              </w:rPr>
              <w:t>北京市</w:t>
            </w:r>
          </w:p>
        </w:tc>
        <w:tc>
          <w:tcPr>
            <w:tcW w:w="76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8" w:right="0"/>
              <w:jc w:val="left"/>
              <w:rPr>
                <w:rFonts w:ascii="黑体" w:hAnsi="黑体" w:cs="黑体" w:eastAsia="黑体" w:hint="default"/>
                <w:sz w:val="18"/>
                <w:szCs w:val="18"/>
              </w:rPr>
            </w:pPr>
            <w:r>
              <w:rPr>
                <w:rFonts w:ascii="黑体" w:hAnsi="黑体" w:cs="黑体" w:eastAsia="黑体" w:hint="default"/>
                <w:sz w:val="18"/>
                <w:szCs w:val="18"/>
              </w:rPr>
              <w:t>王力</w:t>
            </w:r>
          </w:p>
        </w:tc>
        <w:tc>
          <w:tcPr>
            <w:tcW w:w="1988" w:type="dxa"/>
            <w:tcBorders>
              <w:top w:val="nil" w:sz="6" w:space="0" w:color="auto"/>
              <w:left w:val="nil" w:sz="6" w:space="0" w:color="auto"/>
              <w:bottom w:val="nil" w:sz="6" w:space="0" w:color="auto"/>
              <w:right w:val="nil" w:sz="6" w:space="0" w:color="auto"/>
            </w:tcBorders>
          </w:tcPr>
          <w:p>
            <w:pPr>
              <w:pStyle w:val="TableParagraph"/>
              <w:spacing w:line="235" w:lineRule="auto" w:before="101"/>
              <w:ind w:left="4" w:right="44"/>
              <w:jc w:val="left"/>
              <w:rPr>
                <w:rFonts w:ascii="黑体" w:hAnsi="黑体" w:cs="黑体" w:eastAsia="黑体" w:hint="default"/>
                <w:sz w:val="18"/>
                <w:szCs w:val="18"/>
              </w:rPr>
            </w:pPr>
            <w:r>
              <w:rPr>
                <w:rFonts w:ascii="黑体" w:hAnsi="黑体" w:cs="黑体" w:eastAsia="黑体" w:hint="default"/>
                <w:spacing w:val="4"/>
                <w:sz w:val="18"/>
                <w:szCs w:val="18"/>
              </w:rPr>
              <w:t>技术推广服务、销售文</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pacing w:val="4"/>
                <w:sz w:val="18"/>
                <w:szCs w:val="18"/>
              </w:rPr>
              <w:t>具用品、计算机、软件</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pacing w:val="-4"/>
                <w:sz w:val="18"/>
                <w:szCs w:val="18"/>
              </w:rPr>
              <w:t>及辅助设备、电子产品、</w:t>
            </w:r>
            <w:r>
              <w:rPr>
                <w:rFonts w:ascii="黑体" w:hAnsi="黑体" w:cs="黑体" w:eastAsia="黑体" w:hint="default"/>
                <w:sz w:val="18"/>
                <w:szCs w:val="18"/>
              </w:rPr>
              <w:t> </w:t>
            </w:r>
            <w:r>
              <w:rPr>
                <w:rFonts w:ascii="黑体" w:hAnsi="黑体" w:cs="黑体" w:eastAsia="黑体" w:hint="default"/>
                <w:spacing w:val="4"/>
                <w:sz w:val="18"/>
                <w:szCs w:val="18"/>
              </w:rPr>
              <w:t>日用品、计算机技术培</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pacing w:val="4"/>
                <w:sz w:val="18"/>
                <w:szCs w:val="18"/>
              </w:rPr>
              <w:t>训、货物进出口、技术</w:t>
            </w:r>
            <w:r>
              <w:rPr>
                <w:rFonts w:ascii="黑体" w:hAnsi="黑体" w:cs="黑体" w:eastAsia="黑体" w:hint="default"/>
                <w:spacing w:val="-88"/>
                <w:sz w:val="18"/>
                <w:szCs w:val="18"/>
              </w:rPr>
              <w:t> </w:t>
            </w:r>
            <w:r>
              <w:rPr>
                <w:rFonts w:ascii="黑体" w:hAnsi="黑体" w:cs="黑体" w:eastAsia="黑体" w:hint="default"/>
                <w:spacing w:val="-88"/>
                <w:sz w:val="18"/>
                <w:szCs w:val="18"/>
              </w:rPr>
            </w:r>
            <w:r>
              <w:rPr>
                <w:rFonts w:ascii="黑体" w:hAnsi="黑体" w:cs="黑体" w:eastAsia="黑体" w:hint="default"/>
                <w:sz w:val="18"/>
                <w:szCs w:val="18"/>
              </w:rPr>
              <w:t>进出口、代理进出口。</w:t>
            </w:r>
          </w:p>
        </w:tc>
        <w:tc>
          <w:tcPr>
            <w:tcW w:w="926"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73"/>
              <w:jc w:val="right"/>
              <w:rPr>
                <w:rFonts w:ascii="Arial" w:hAnsi="Arial" w:cs="Arial" w:eastAsia="Arial" w:hint="default"/>
                <w:sz w:val="18"/>
                <w:szCs w:val="18"/>
              </w:rPr>
            </w:pPr>
            <w:r>
              <w:rPr>
                <w:rFonts w:ascii="Arial"/>
                <w:spacing w:val="-1"/>
                <w:sz w:val="18"/>
              </w:rPr>
              <w:t>500,000</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200"/>
              <w:jc w:val="right"/>
              <w:rPr>
                <w:rFonts w:ascii="Arial" w:hAnsi="Arial" w:cs="Arial" w:eastAsia="Arial" w:hint="default"/>
                <w:sz w:val="18"/>
                <w:szCs w:val="18"/>
              </w:rPr>
            </w:pPr>
            <w:r>
              <w:rPr>
                <w:rFonts w:ascii="Arial"/>
                <w:spacing w:val="-1"/>
                <w:sz w:val="18"/>
              </w:rPr>
              <w:t>79341913-4</w:t>
            </w:r>
          </w:p>
        </w:tc>
      </w:tr>
    </w:tbl>
    <w:p>
      <w:pPr>
        <w:spacing w:line="240" w:lineRule="auto" w:before="2"/>
        <w:rPr>
          <w:rFonts w:ascii="黑体" w:hAnsi="黑体" w:cs="黑体" w:eastAsia="黑体" w:hint="default"/>
          <w:sz w:val="23"/>
          <w:szCs w:val="23"/>
        </w:rPr>
      </w:pPr>
    </w:p>
    <w:tbl>
      <w:tblPr>
        <w:tblW w:w="0" w:type="auto"/>
        <w:jc w:val="left"/>
        <w:tblInd w:w="570" w:type="dxa"/>
        <w:tblLayout w:type="fixed"/>
        <w:tblCellMar>
          <w:top w:w="0" w:type="dxa"/>
          <w:left w:w="0" w:type="dxa"/>
          <w:bottom w:w="0" w:type="dxa"/>
          <w:right w:w="0" w:type="dxa"/>
        </w:tblCellMar>
        <w:tblLook w:val="01E0"/>
      </w:tblPr>
      <w:tblGrid>
        <w:gridCol w:w="1560"/>
        <w:gridCol w:w="1366"/>
        <w:gridCol w:w="1183"/>
        <w:gridCol w:w="369"/>
        <w:gridCol w:w="1281"/>
        <w:gridCol w:w="1267"/>
        <w:gridCol w:w="1266"/>
      </w:tblGrid>
      <w:tr>
        <w:trPr>
          <w:trHeight w:val="234" w:hRule="exact"/>
        </w:trPr>
        <w:tc>
          <w:tcPr>
            <w:tcW w:w="1560" w:type="dxa"/>
            <w:tcBorders>
              <w:top w:val="nil" w:sz="6" w:space="0" w:color="auto"/>
              <w:left w:val="nil" w:sz="6" w:space="0" w:color="auto"/>
              <w:bottom w:val="nil" w:sz="6" w:space="0" w:color="auto"/>
              <w:right w:val="nil" w:sz="6" w:space="0" w:color="auto"/>
            </w:tcBorders>
          </w:tcPr>
          <w:p>
            <w:pPr>
              <w:pStyle w:val="TableParagraph"/>
              <w:spacing w:line="214" w:lineRule="exact"/>
              <w:ind w:left="200" w:right="0"/>
              <w:jc w:val="left"/>
              <w:rPr>
                <w:rFonts w:ascii="黑体" w:hAnsi="黑体" w:cs="黑体" w:eastAsia="黑体" w:hint="default"/>
                <w:sz w:val="20"/>
                <w:szCs w:val="20"/>
              </w:rPr>
            </w:pPr>
            <w:r>
              <w:rPr>
                <w:rFonts w:ascii="Arial" w:hAnsi="Arial" w:cs="Arial" w:eastAsia="Arial" w:hint="default"/>
                <w:sz w:val="20"/>
                <w:szCs w:val="20"/>
              </w:rPr>
              <w:t>2011</w:t>
            </w:r>
            <w:r>
              <w:rPr>
                <w:rFonts w:ascii="Arial" w:hAnsi="Arial" w:cs="Arial" w:eastAsia="Arial" w:hint="default"/>
                <w:spacing w:val="-9"/>
                <w:sz w:val="20"/>
                <w:szCs w:val="20"/>
              </w:rPr>
              <w:t> </w:t>
            </w:r>
            <w:r>
              <w:rPr>
                <w:rFonts w:ascii="黑体" w:hAnsi="黑体" w:cs="黑体" w:eastAsia="黑体" w:hint="default"/>
                <w:sz w:val="20"/>
                <w:szCs w:val="20"/>
              </w:rPr>
              <w:t>年</w:t>
            </w:r>
          </w:p>
        </w:tc>
        <w:tc>
          <w:tcPr>
            <w:tcW w:w="1366" w:type="dxa"/>
            <w:tcBorders>
              <w:top w:val="nil" w:sz="6" w:space="0" w:color="auto"/>
              <w:left w:val="nil" w:sz="6" w:space="0" w:color="auto"/>
              <w:bottom w:val="nil" w:sz="6" w:space="0" w:color="auto"/>
              <w:right w:val="nil" w:sz="6" w:space="0" w:color="auto"/>
            </w:tcBorders>
          </w:tcPr>
          <w:p>
            <w:pPr>
              <w:pStyle w:val="TableParagraph"/>
              <w:spacing w:line="199" w:lineRule="exact"/>
              <w:ind w:right="92"/>
              <w:jc w:val="right"/>
              <w:rPr>
                <w:rFonts w:ascii="黑体" w:hAnsi="黑体" w:cs="黑体" w:eastAsia="黑体" w:hint="default"/>
                <w:sz w:val="20"/>
                <w:szCs w:val="20"/>
              </w:rPr>
            </w:pPr>
            <w:r>
              <w:rPr>
                <w:rFonts w:ascii="黑体" w:hAnsi="黑体" w:cs="黑体" w:eastAsia="黑体" w:hint="default"/>
                <w:w w:val="95"/>
                <w:sz w:val="20"/>
                <w:szCs w:val="20"/>
              </w:rPr>
              <w:t>资产总额</w:t>
            </w:r>
            <w:r>
              <w:rPr>
                <w:rFonts w:ascii="黑体" w:hAnsi="黑体" w:cs="黑体" w:eastAsia="黑体" w:hint="default"/>
                <w:sz w:val="20"/>
                <w:szCs w:val="20"/>
              </w:rPr>
            </w:r>
          </w:p>
        </w:tc>
        <w:tc>
          <w:tcPr>
            <w:tcW w:w="1183" w:type="dxa"/>
            <w:tcBorders>
              <w:top w:val="nil" w:sz="6" w:space="0" w:color="auto"/>
              <w:left w:val="nil" w:sz="6" w:space="0" w:color="auto"/>
              <w:bottom w:val="nil" w:sz="6" w:space="0" w:color="auto"/>
              <w:right w:val="nil" w:sz="6" w:space="0" w:color="auto"/>
            </w:tcBorders>
          </w:tcPr>
          <w:p>
            <w:pPr>
              <w:pStyle w:val="TableParagraph"/>
              <w:spacing w:line="199" w:lineRule="exact"/>
              <w:ind w:right="37"/>
              <w:jc w:val="right"/>
              <w:rPr>
                <w:rFonts w:ascii="黑体" w:hAnsi="黑体" w:cs="黑体" w:eastAsia="黑体" w:hint="default"/>
                <w:sz w:val="20"/>
                <w:szCs w:val="20"/>
              </w:rPr>
            </w:pPr>
            <w:r>
              <w:rPr>
                <w:rFonts w:ascii="黑体" w:hAnsi="黑体" w:cs="黑体" w:eastAsia="黑体" w:hint="default"/>
                <w:w w:val="95"/>
                <w:sz w:val="20"/>
                <w:szCs w:val="20"/>
              </w:rPr>
              <w:t>负债总额</w:t>
            </w:r>
            <w:r>
              <w:rPr>
                <w:rFonts w:ascii="黑体" w:hAnsi="黑体" w:cs="黑体" w:eastAsia="黑体" w:hint="default"/>
                <w:sz w:val="20"/>
                <w:szCs w:val="20"/>
              </w:rPr>
            </w:r>
          </w:p>
        </w:tc>
        <w:tc>
          <w:tcPr>
            <w:tcW w:w="369" w:type="dxa"/>
            <w:tcBorders>
              <w:top w:val="nil" w:sz="6" w:space="0" w:color="auto"/>
              <w:left w:val="nil" w:sz="6" w:space="0" w:color="auto"/>
              <w:bottom w:val="nil" w:sz="6" w:space="0" w:color="auto"/>
              <w:right w:val="nil" w:sz="6" w:space="0" w:color="auto"/>
            </w:tcBorders>
          </w:tcPr>
          <w:p>
            <w:pPr/>
          </w:p>
        </w:tc>
        <w:tc>
          <w:tcPr>
            <w:tcW w:w="1281" w:type="dxa"/>
            <w:tcBorders>
              <w:top w:val="nil" w:sz="6" w:space="0" w:color="auto"/>
              <w:left w:val="nil" w:sz="6" w:space="0" w:color="auto"/>
              <w:bottom w:val="nil" w:sz="6" w:space="0" w:color="auto"/>
              <w:right w:val="nil" w:sz="6" w:space="0" w:color="auto"/>
            </w:tcBorders>
          </w:tcPr>
          <w:p>
            <w:pPr>
              <w:pStyle w:val="TableParagraph"/>
              <w:spacing w:line="199" w:lineRule="exact"/>
              <w:ind w:right="89"/>
              <w:jc w:val="right"/>
              <w:rPr>
                <w:rFonts w:ascii="黑体" w:hAnsi="黑体" w:cs="黑体" w:eastAsia="黑体" w:hint="default"/>
                <w:sz w:val="20"/>
                <w:szCs w:val="20"/>
              </w:rPr>
            </w:pPr>
            <w:r>
              <w:rPr>
                <w:rFonts w:ascii="黑体" w:hAnsi="黑体" w:cs="黑体" w:eastAsia="黑体" w:hint="default"/>
                <w:w w:val="95"/>
                <w:sz w:val="20"/>
                <w:szCs w:val="20"/>
              </w:rPr>
              <w:t>净资产总额</w:t>
            </w:r>
            <w:r>
              <w:rPr>
                <w:rFonts w:ascii="黑体" w:hAnsi="黑体" w:cs="黑体" w:eastAsia="黑体" w:hint="default"/>
                <w:sz w:val="20"/>
                <w:szCs w:val="20"/>
              </w:rPr>
            </w:r>
          </w:p>
        </w:tc>
        <w:tc>
          <w:tcPr>
            <w:tcW w:w="1267" w:type="dxa"/>
            <w:tcBorders>
              <w:top w:val="nil" w:sz="6" w:space="0" w:color="auto"/>
              <w:left w:val="nil" w:sz="6" w:space="0" w:color="auto"/>
              <w:bottom w:val="nil" w:sz="6" w:space="0" w:color="auto"/>
              <w:right w:val="nil" w:sz="6" w:space="0" w:color="auto"/>
            </w:tcBorders>
          </w:tcPr>
          <w:p>
            <w:pPr>
              <w:pStyle w:val="TableParagraph"/>
              <w:spacing w:line="199" w:lineRule="exact"/>
              <w:ind w:right="65"/>
              <w:jc w:val="right"/>
              <w:rPr>
                <w:rFonts w:ascii="黑体" w:hAnsi="黑体" w:cs="黑体" w:eastAsia="黑体" w:hint="default"/>
                <w:sz w:val="20"/>
                <w:szCs w:val="20"/>
              </w:rPr>
            </w:pPr>
            <w:r>
              <w:rPr>
                <w:rFonts w:ascii="黑体" w:hAnsi="黑体" w:cs="黑体" w:eastAsia="黑体" w:hint="default"/>
                <w:w w:val="95"/>
                <w:sz w:val="20"/>
                <w:szCs w:val="20"/>
              </w:rPr>
              <w:t>营业收入</w:t>
            </w:r>
            <w:r>
              <w:rPr>
                <w:rFonts w:ascii="黑体" w:hAnsi="黑体" w:cs="黑体" w:eastAsia="黑体" w:hint="default"/>
                <w:sz w:val="20"/>
                <w:szCs w:val="20"/>
              </w:rPr>
            </w:r>
          </w:p>
        </w:tc>
        <w:tc>
          <w:tcPr>
            <w:tcW w:w="1266" w:type="dxa"/>
            <w:tcBorders>
              <w:top w:val="nil" w:sz="6" w:space="0" w:color="auto"/>
              <w:left w:val="nil" w:sz="6" w:space="0" w:color="auto"/>
              <w:bottom w:val="nil" w:sz="6" w:space="0" w:color="auto"/>
              <w:right w:val="nil" w:sz="6" w:space="0" w:color="auto"/>
            </w:tcBorders>
          </w:tcPr>
          <w:p>
            <w:pPr>
              <w:pStyle w:val="TableParagraph"/>
              <w:spacing w:line="199" w:lineRule="exact"/>
              <w:ind w:right="198"/>
              <w:jc w:val="right"/>
              <w:rPr>
                <w:rFonts w:ascii="黑体" w:hAnsi="黑体" w:cs="黑体" w:eastAsia="黑体" w:hint="default"/>
                <w:sz w:val="20"/>
                <w:szCs w:val="20"/>
              </w:rPr>
            </w:pPr>
            <w:r>
              <w:rPr>
                <w:rFonts w:ascii="黑体" w:hAnsi="黑体" w:cs="黑体" w:eastAsia="黑体" w:hint="default"/>
                <w:w w:val="95"/>
                <w:sz w:val="20"/>
                <w:szCs w:val="20"/>
              </w:rPr>
              <w:t>净利润</w:t>
            </w:r>
            <w:r>
              <w:rPr>
                <w:rFonts w:ascii="黑体" w:hAnsi="黑体" w:cs="黑体" w:eastAsia="黑体" w:hint="default"/>
                <w:sz w:val="20"/>
                <w:szCs w:val="20"/>
              </w:rPr>
            </w:r>
          </w:p>
        </w:tc>
      </w:tr>
      <w:tr>
        <w:trPr>
          <w:trHeight w:val="383" w:hRule="exact"/>
        </w:trPr>
        <w:tc>
          <w:tcPr>
            <w:tcW w:w="1560"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Style w:val="TableParagraph"/>
              <w:spacing w:line="224" w:lineRule="exact"/>
              <w:ind w:right="92"/>
              <w:jc w:val="right"/>
              <w:rPr>
                <w:rFonts w:ascii="黑体" w:hAnsi="黑体" w:cs="黑体" w:eastAsia="黑体" w:hint="default"/>
                <w:sz w:val="20"/>
                <w:szCs w:val="20"/>
              </w:rPr>
            </w:pPr>
            <w:r>
              <w:rPr>
                <w:rFonts w:ascii="黑体" w:hAnsi="黑体" w:cs="黑体" w:eastAsia="黑体" w:hint="default"/>
                <w:w w:val="95"/>
                <w:sz w:val="20"/>
                <w:szCs w:val="20"/>
              </w:rPr>
              <w:t>年末数</w:t>
            </w:r>
            <w:r>
              <w:rPr>
                <w:rFonts w:ascii="黑体" w:hAnsi="黑体" w:cs="黑体" w:eastAsia="黑体" w:hint="default"/>
                <w:sz w:val="20"/>
                <w:szCs w:val="20"/>
              </w:rPr>
            </w:r>
          </w:p>
        </w:tc>
        <w:tc>
          <w:tcPr>
            <w:tcW w:w="1183" w:type="dxa"/>
            <w:tcBorders>
              <w:top w:val="nil" w:sz="6" w:space="0" w:color="auto"/>
              <w:left w:val="nil" w:sz="6" w:space="0" w:color="auto"/>
              <w:bottom w:val="nil" w:sz="6" w:space="0" w:color="auto"/>
              <w:right w:val="nil" w:sz="6" w:space="0" w:color="auto"/>
            </w:tcBorders>
          </w:tcPr>
          <w:p>
            <w:pPr>
              <w:pStyle w:val="TableParagraph"/>
              <w:spacing w:line="224" w:lineRule="exact"/>
              <w:ind w:right="37"/>
              <w:jc w:val="right"/>
              <w:rPr>
                <w:rFonts w:ascii="黑体" w:hAnsi="黑体" w:cs="黑体" w:eastAsia="黑体" w:hint="default"/>
                <w:sz w:val="20"/>
                <w:szCs w:val="20"/>
              </w:rPr>
            </w:pPr>
            <w:r>
              <w:rPr>
                <w:rFonts w:ascii="黑体" w:hAnsi="黑体" w:cs="黑体" w:eastAsia="黑体" w:hint="default"/>
                <w:w w:val="95"/>
                <w:sz w:val="20"/>
                <w:szCs w:val="20"/>
              </w:rPr>
              <w:t>年末数</w:t>
            </w:r>
            <w:r>
              <w:rPr>
                <w:rFonts w:ascii="黑体" w:hAnsi="黑体" w:cs="黑体" w:eastAsia="黑体" w:hint="default"/>
                <w:sz w:val="20"/>
                <w:szCs w:val="20"/>
              </w:rPr>
            </w:r>
          </w:p>
        </w:tc>
        <w:tc>
          <w:tcPr>
            <w:tcW w:w="369" w:type="dxa"/>
            <w:tcBorders>
              <w:top w:val="nil" w:sz="6" w:space="0" w:color="auto"/>
              <w:left w:val="nil" w:sz="6" w:space="0" w:color="auto"/>
              <w:bottom w:val="nil" w:sz="6" w:space="0" w:color="auto"/>
              <w:right w:val="nil" w:sz="6" w:space="0" w:color="auto"/>
            </w:tcBorders>
          </w:tcPr>
          <w:p>
            <w:pPr/>
          </w:p>
        </w:tc>
        <w:tc>
          <w:tcPr>
            <w:tcW w:w="1281" w:type="dxa"/>
            <w:tcBorders>
              <w:top w:val="nil" w:sz="6" w:space="0" w:color="auto"/>
              <w:left w:val="nil" w:sz="6" w:space="0" w:color="auto"/>
              <w:bottom w:val="nil" w:sz="6" w:space="0" w:color="auto"/>
              <w:right w:val="nil" w:sz="6" w:space="0" w:color="auto"/>
            </w:tcBorders>
          </w:tcPr>
          <w:p>
            <w:pPr>
              <w:pStyle w:val="TableParagraph"/>
              <w:spacing w:line="224" w:lineRule="exact"/>
              <w:ind w:right="89"/>
              <w:jc w:val="right"/>
              <w:rPr>
                <w:rFonts w:ascii="黑体" w:hAnsi="黑体" w:cs="黑体" w:eastAsia="黑体" w:hint="default"/>
                <w:sz w:val="20"/>
                <w:szCs w:val="20"/>
              </w:rPr>
            </w:pPr>
            <w:r>
              <w:rPr>
                <w:rFonts w:ascii="黑体" w:hAnsi="黑体" w:cs="黑体" w:eastAsia="黑体" w:hint="default"/>
                <w:w w:val="95"/>
                <w:sz w:val="20"/>
                <w:szCs w:val="20"/>
              </w:rPr>
              <w:t>年末数</w:t>
            </w:r>
            <w:r>
              <w:rPr>
                <w:rFonts w:ascii="黑体" w:hAnsi="黑体" w:cs="黑体" w:eastAsia="黑体" w:hint="default"/>
                <w:sz w:val="20"/>
                <w:szCs w:val="20"/>
              </w:rPr>
            </w:r>
          </w:p>
        </w:tc>
        <w:tc>
          <w:tcPr>
            <w:tcW w:w="1267" w:type="dxa"/>
            <w:tcBorders>
              <w:top w:val="nil" w:sz="6" w:space="0" w:color="auto"/>
              <w:left w:val="nil" w:sz="6" w:space="0" w:color="auto"/>
              <w:bottom w:val="nil" w:sz="6" w:space="0" w:color="auto"/>
              <w:right w:val="nil" w:sz="6" w:space="0" w:color="auto"/>
            </w:tcBorders>
          </w:tcPr>
          <w:p>
            <w:pPr>
              <w:pStyle w:val="TableParagraph"/>
              <w:spacing w:line="224" w:lineRule="exact"/>
              <w:ind w:right="65"/>
              <w:jc w:val="right"/>
              <w:rPr>
                <w:rFonts w:ascii="黑体" w:hAnsi="黑体" w:cs="黑体" w:eastAsia="黑体" w:hint="default"/>
                <w:sz w:val="20"/>
                <w:szCs w:val="20"/>
              </w:rPr>
            </w:pPr>
            <w:r>
              <w:rPr>
                <w:rFonts w:ascii="黑体" w:hAnsi="黑体" w:cs="黑体" w:eastAsia="黑体" w:hint="default"/>
                <w:w w:val="95"/>
                <w:sz w:val="20"/>
                <w:szCs w:val="20"/>
              </w:rPr>
              <w:t>本年数</w:t>
            </w:r>
            <w:r>
              <w:rPr>
                <w:rFonts w:ascii="黑体" w:hAnsi="黑体" w:cs="黑体" w:eastAsia="黑体" w:hint="default"/>
                <w:sz w:val="20"/>
                <w:szCs w:val="20"/>
              </w:rPr>
            </w:r>
          </w:p>
        </w:tc>
        <w:tc>
          <w:tcPr>
            <w:tcW w:w="1266" w:type="dxa"/>
            <w:tcBorders>
              <w:top w:val="nil" w:sz="6" w:space="0" w:color="auto"/>
              <w:left w:val="nil" w:sz="6" w:space="0" w:color="auto"/>
              <w:bottom w:val="nil" w:sz="6" w:space="0" w:color="auto"/>
              <w:right w:val="nil" w:sz="6" w:space="0" w:color="auto"/>
            </w:tcBorders>
          </w:tcPr>
          <w:p>
            <w:pPr>
              <w:pStyle w:val="TableParagraph"/>
              <w:spacing w:line="224" w:lineRule="exact"/>
              <w:ind w:right="198"/>
              <w:jc w:val="right"/>
              <w:rPr>
                <w:rFonts w:ascii="黑体" w:hAnsi="黑体" w:cs="黑体" w:eastAsia="黑体" w:hint="default"/>
                <w:sz w:val="20"/>
                <w:szCs w:val="20"/>
              </w:rPr>
            </w:pPr>
            <w:r>
              <w:rPr>
                <w:rFonts w:ascii="黑体" w:hAnsi="黑体" w:cs="黑体" w:eastAsia="黑体" w:hint="default"/>
                <w:w w:val="95"/>
                <w:sz w:val="20"/>
                <w:szCs w:val="20"/>
              </w:rPr>
              <w:t>本年数</w:t>
            </w:r>
            <w:r>
              <w:rPr>
                <w:rFonts w:ascii="黑体" w:hAnsi="黑体" w:cs="黑体" w:eastAsia="黑体" w:hint="default"/>
                <w:sz w:val="20"/>
                <w:szCs w:val="20"/>
              </w:rPr>
            </w:r>
          </w:p>
        </w:tc>
      </w:tr>
      <w:tr>
        <w:trPr>
          <w:trHeight w:val="398" w:hRule="exact"/>
        </w:trPr>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96"/>
              <w:ind w:left="200" w:right="0"/>
              <w:jc w:val="left"/>
              <w:rPr>
                <w:rFonts w:ascii="黑体" w:hAnsi="黑体" w:cs="黑体" w:eastAsia="黑体" w:hint="default"/>
                <w:sz w:val="20"/>
                <w:szCs w:val="20"/>
              </w:rPr>
            </w:pPr>
            <w:r>
              <w:rPr>
                <w:rFonts w:ascii="黑体" w:hAnsi="黑体" w:cs="黑体" w:eastAsia="黑体" w:hint="default"/>
                <w:sz w:val="20"/>
                <w:szCs w:val="20"/>
              </w:rPr>
              <w:t>致远协创</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93"/>
              <w:jc w:val="right"/>
              <w:rPr>
                <w:rFonts w:ascii="Arial" w:hAnsi="Arial" w:cs="Arial" w:eastAsia="Arial" w:hint="default"/>
                <w:sz w:val="20"/>
                <w:szCs w:val="20"/>
              </w:rPr>
            </w:pPr>
            <w:r>
              <w:rPr>
                <w:rFonts w:ascii="Arial"/>
                <w:spacing w:val="-1"/>
                <w:sz w:val="20"/>
              </w:rPr>
              <w:t>117,759,238</w:t>
            </w:r>
            <w:r>
              <w:rPr>
                <w:rFonts w:ascii="Arial"/>
                <w:sz w:val="20"/>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1"/>
              <w:jc w:val="right"/>
              <w:rPr>
                <w:rFonts w:ascii="Arial" w:hAnsi="Arial" w:cs="Arial" w:eastAsia="Arial" w:hint="default"/>
                <w:sz w:val="20"/>
                <w:szCs w:val="20"/>
              </w:rPr>
            </w:pPr>
            <w:r>
              <w:rPr>
                <w:rFonts w:ascii="Arial"/>
                <w:spacing w:val="-1"/>
                <w:sz w:val="20"/>
              </w:rPr>
              <w:t>30,900,916</w:t>
            </w:r>
            <w:r>
              <w:rPr>
                <w:rFonts w:ascii="Arial"/>
                <w:sz w:val="20"/>
              </w:rPr>
            </w:r>
          </w:p>
        </w:tc>
        <w:tc>
          <w:tcPr>
            <w:tcW w:w="369" w:type="dxa"/>
            <w:tcBorders>
              <w:top w:val="nil" w:sz="6" w:space="0" w:color="auto"/>
              <w:left w:val="nil" w:sz="6" w:space="0" w:color="auto"/>
              <w:bottom w:val="nil" w:sz="6" w:space="0" w:color="auto"/>
              <w:right w:val="nil" w:sz="6" w:space="0" w:color="auto"/>
            </w:tcBorders>
          </w:tcPr>
          <w:p>
            <w:pP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89"/>
              <w:jc w:val="right"/>
              <w:rPr>
                <w:rFonts w:ascii="Arial" w:hAnsi="Arial" w:cs="Arial" w:eastAsia="Arial" w:hint="default"/>
                <w:sz w:val="20"/>
                <w:szCs w:val="20"/>
              </w:rPr>
            </w:pPr>
            <w:r>
              <w:rPr>
                <w:rFonts w:ascii="Arial"/>
                <w:spacing w:val="-1"/>
                <w:sz w:val="20"/>
              </w:rPr>
              <w:t>86,858,322</w:t>
            </w:r>
            <w:r>
              <w:rPr>
                <w:rFonts w:ascii="Arial"/>
                <w:sz w:val="20"/>
              </w:rPr>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65"/>
              <w:jc w:val="right"/>
              <w:rPr>
                <w:rFonts w:ascii="Arial" w:hAnsi="Arial" w:cs="Arial" w:eastAsia="Arial" w:hint="default"/>
                <w:sz w:val="20"/>
                <w:szCs w:val="20"/>
              </w:rPr>
            </w:pPr>
            <w:r>
              <w:rPr>
                <w:rFonts w:ascii="Arial"/>
                <w:spacing w:val="-1"/>
                <w:sz w:val="20"/>
              </w:rPr>
              <w:t>138,925,140</w:t>
            </w:r>
            <w:r>
              <w:rPr>
                <w:rFonts w:ascii="Arial"/>
                <w:sz w:val="20"/>
              </w:rPr>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198"/>
              <w:jc w:val="right"/>
              <w:rPr>
                <w:rFonts w:ascii="Arial" w:hAnsi="Arial" w:cs="Arial" w:eastAsia="Arial" w:hint="default"/>
                <w:sz w:val="20"/>
                <w:szCs w:val="20"/>
              </w:rPr>
            </w:pPr>
            <w:r>
              <w:rPr>
                <w:rFonts w:ascii="Arial"/>
                <w:spacing w:val="-1"/>
                <w:sz w:val="20"/>
              </w:rPr>
              <w:t>14,623,956</w:t>
            </w:r>
            <w:r>
              <w:rPr>
                <w:rFonts w:ascii="Arial"/>
                <w:sz w:val="20"/>
              </w:rPr>
            </w:r>
          </w:p>
        </w:tc>
      </w:tr>
      <w:tr>
        <w:trPr>
          <w:trHeight w:val="259" w:hRule="exact"/>
        </w:trPr>
        <w:tc>
          <w:tcPr>
            <w:tcW w:w="1560" w:type="dxa"/>
            <w:tcBorders>
              <w:top w:val="nil" w:sz="6" w:space="0" w:color="auto"/>
              <w:left w:val="nil" w:sz="6" w:space="0" w:color="auto"/>
              <w:bottom w:val="nil" w:sz="6" w:space="0" w:color="auto"/>
              <w:right w:val="nil" w:sz="6" w:space="0" w:color="auto"/>
            </w:tcBorders>
          </w:tcPr>
          <w:p>
            <w:pPr>
              <w:pStyle w:val="TableParagraph"/>
              <w:spacing w:line="218" w:lineRule="exact"/>
              <w:ind w:left="200" w:right="0"/>
              <w:jc w:val="left"/>
              <w:rPr>
                <w:rFonts w:ascii="黑体" w:hAnsi="黑体" w:cs="黑体" w:eastAsia="黑体" w:hint="default"/>
                <w:sz w:val="20"/>
                <w:szCs w:val="20"/>
              </w:rPr>
            </w:pPr>
            <w:r>
              <w:rPr>
                <w:rFonts w:ascii="黑体" w:hAnsi="黑体" w:cs="黑体" w:eastAsia="黑体" w:hint="default"/>
                <w:sz w:val="20"/>
                <w:szCs w:val="20"/>
              </w:rPr>
              <w:t>西玛商用表单</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3"/>
              <w:jc w:val="right"/>
              <w:rPr>
                <w:rFonts w:ascii="Arial" w:hAnsi="Arial" w:cs="Arial" w:eastAsia="Arial" w:hint="default"/>
                <w:sz w:val="20"/>
                <w:szCs w:val="20"/>
              </w:rPr>
            </w:pPr>
            <w:r>
              <w:rPr>
                <w:rFonts w:ascii="Arial"/>
                <w:spacing w:val="-1"/>
                <w:sz w:val="20"/>
              </w:rPr>
              <w:t>40,670,044</w:t>
            </w:r>
            <w:r>
              <w:rPr>
                <w:rFonts w:ascii="Arial"/>
                <w:sz w:val="20"/>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
              <w:jc w:val="right"/>
              <w:rPr>
                <w:rFonts w:ascii="Arial" w:hAnsi="Arial" w:cs="Arial" w:eastAsia="Arial" w:hint="default"/>
                <w:sz w:val="20"/>
                <w:szCs w:val="20"/>
              </w:rPr>
            </w:pPr>
            <w:r>
              <w:rPr>
                <w:rFonts w:ascii="Arial"/>
                <w:spacing w:val="-1"/>
                <w:sz w:val="20"/>
              </w:rPr>
              <w:t>23,660,962</w:t>
            </w:r>
            <w:r>
              <w:rPr>
                <w:rFonts w:ascii="Arial"/>
                <w:sz w:val="20"/>
              </w:rPr>
            </w:r>
          </w:p>
        </w:tc>
        <w:tc>
          <w:tcPr>
            <w:tcW w:w="369" w:type="dxa"/>
            <w:tcBorders>
              <w:top w:val="nil" w:sz="6" w:space="0" w:color="auto"/>
              <w:left w:val="nil" w:sz="6" w:space="0" w:color="auto"/>
              <w:bottom w:val="nil" w:sz="6" w:space="0" w:color="auto"/>
              <w:right w:val="nil" w:sz="6" w:space="0" w:color="auto"/>
            </w:tcBorders>
          </w:tcPr>
          <w:p>
            <w:pP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9"/>
              <w:jc w:val="right"/>
              <w:rPr>
                <w:rFonts w:ascii="Arial" w:hAnsi="Arial" w:cs="Arial" w:eastAsia="Arial" w:hint="default"/>
                <w:sz w:val="20"/>
                <w:szCs w:val="20"/>
              </w:rPr>
            </w:pPr>
            <w:r>
              <w:rPr>
                <w:rFonts w:ascii="Arial"/>
                <w:spacing w:val="-1"/>
                <w:sz w:val="20"/>
              </w:rPr>
              <w:t>17,009,082</w:t>
            </w:r>
            <w:r>
              <w:rPr>
                <w:rFonts w:ascii="Arial"/>
                <w:sz w:val="20"/>
              </w:rPr>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65"/>
              <w:jc w:val="right"/>
              <w:rPr>
                <w:rFonts w:ascii="Arial" w:hAnsi="Arial" w:cs="Arial" w:eastAsia="Arial" w:hint="default"/>
                <w:sz w:val="20"/>
                <w:szCs w:val="20"/>
              </w:rPr>
            </w:pPr>
            <w:r>
              <w:rPr>
                <w:rFonts w:ascii="Arial"/>
                <w:spacing w:val="-1"/>
                <w:sz w:val="20"/>
              </w:rPr>
              <w:t>52,877,498</w:t>
            </w:r>
            <w:r>
              <w:rPr>
                <w:rFonts w:ascii="Arial"/>
                <w:sz w:val="20"/>
              </w:rPr>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8"/>
              <w:jc w:val="right"/>
              <w:rPr>
                <w:rFonts w:ascii="Arial" w:hAnsi="Arial" w:cs="Arial" w:eastAsia="Arial" w:hint="default"/>
                <w:sz w:val="20"/>
                <w:szCs w:val="20"/>
              </w:rPr>
            </w:pPr>
            <w:r>
              <w:rPr>
                <w:rFonts w:ascii="Arial"/>
                <w:spacing w:val="-1"/>
                <w:sz w:val="20"/>
              </w:rPr>
              <w:t>3,349,257</w:t>
            </w:r>
          </w:p>
        </w:tc>
      </w:tr>
      <w:tr>
        <w:trPr>
          <w:trHeight w:val="240" w:hRule="exact"/>
        </w:trPr>
        <w:tc>
          <w:tcPr>
            <w:tcW w:w="1560" w:type="dxa"/>
            <w:tcBorders>
              <w:top w:val="nil" w:sz="6" w:space="0" w:color="auto"/>
              <w:left w:val="nil" w:sz="6" w:space="0" w:color="auto"/>
              <w:bottom w:val="nil" w:sz="6" w:space="0" w:color="auto"/>
              <w:right w:val="nil" w:sz="6" w:space="0" w:color="auto"/>
            </w:tcBorders>
          </w:tcPr>
          <w:p>
            <w:pPr>
              <w:pStyle w:val="TableParagraph"/>
              <w:spacing w:line="218" w:lineRule="exact"/>
              <w:ind w:left="200" w:right="0"/>
              <w:jc w:val="left"/>
              <w:rPr>
                <w:rFonts w:ascii="黑体" w:hAnsi="黑体" w:cs="黑体" w:eastAsia="黑体" w:hint="default"/>
                <w:sz w:val="20"/>
                <w:szCs w:val="20"/>
              </w:rPr>
            </w:pPr>
            <w:r>
              <w:rPr>
                <w:rFonts w:ascii="黑体" w:hAnsi="黑体" w:cs="黑体" w:eastAsia="黑体" w:hint="default"/>
                <w:sz w:val="20"/>
                <w:szCs w:val="20"/>
              </w:rPr>
              <w:t>西玛永泰</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2"/>
              <w:jc w:val="right"/>
              <w:rPr>
                <w:rFonts w:ascii="Arial" w:hAnsi="Arial" w:cs="Arial" w:eastAsia="Arial" w:hint="default"/>
                <w:sz w:val="20"/>
                <w:szCs w:val="20"/>
              </w:rPr>
            </w:pPr>
            <w:r>
              <w:rPr>
                <w:rFonts w:ascii="Arial"/>
                <w:spacing w:val="-1"/>
                <w:sz w:val="20"/>
              </w:rPr>
              <w:t>2,279,541</w:t>
            </w:r>
          </w:p>
        </w:tc>
        <w:tc>
          <w:tcPr>
            <w:tcW w:w="1183" w:type="dxa"/>
            <w:tcBorders>
              <w:top w:val="nil" w:sz="6" w:space="0" w:color="auto"/>
              <w:left w:val="nil" w:sz="6" w:space="0" w:color="auto"/>
              <w:bottom w:val="nil" w:sz="6" w:space="0" w:color="auto"/>
              <w:right w:val="nil" w:sz="6" w:space="0" w:color="auto"/>
            </w:tcBorders>
          </w:tcPr>
          <w:p>
            <w:pPr>
              <w:pStyle w:val="TableParagraph"/>
              <w:tabs>
                <w:tab w:pos="369" w:val="left" w:leader="none"/>
              </w:tabs>
              <w:spacing w:line="240" w:lineRule="auto" w:before="14"/>
              <w:ind w:right="1"/>
              <w:jc w:val="right"/>
              <w:rPr>
                <w:rFonts w:ascii="Arial" w:hAnsi="Arial" w:cs="Arial" w:eastAsia="Arial" w:hint="default"/>
                <w:sz w:val="20"/>
                <w:szCs w:val="20"/>
              </w:rPr>
            </w:pPr>
            <w:r>
              <w:rPr>
                <w:rFonts w:ascii="Arial"/>
                <w:w w:val="95"/>
                <w:sz w:val="20"/>
              </w:rPr>
              <w:t>(</w:t>
              <w:tab/>
            </w:r>
            <w:r>
              <w:rPr>
                <w:rFonts w:ascii="Arial"/>
                <w:spacing w:val="-1"/>
                <w:w w:val="95"/>
                <w:sz w:val="20"/>
              </w:rPr>
              <w:t>631,787</w:t>
            </w:r>
            <w:r>
              <w:rPr>
                <w:rFonts w:ascii="Arial"/>
                <w:sz w:val="20"/>
              </w:rPr>
            </w:r>
          </w:p>
        </w:tc>
        <w:tc>
          <w:tcPr>
            <w:tcW w:w="36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 w:right="0"/>
              <w:jc w:val="left"/>
              <w:rPr>
                <w:rFonts w:ascii="Arial" w:hAnsi="Arial" w:cs="Arial" w:eastAsia="Arial" w:hint="default"/>
                <w:sz w:val="20"/>
                <w:szCs w:val="20"/>
              </w:rPr>
            </w:pPr>
            <w:r>
              <w:rPr>
                <w:rFonts w:ascii="Arial"/>
                <w:w w:val="99"/>
                <w:sz w:val="20"/>
              </w:rPr>
              <w:t>)</w:t>
            </w:r>
            <w:r>
              <w:rPr>
                <w:rFonts w:ascii="Arial"/>
                <w:sz w:val="20"/>
              </w:rPr>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9"/>
              <w:jc w:val="right"/>
              <w:rPr>
                <w:rFonts w:ascii="Arial" w:hAnsi="Arial" w:cs="Arial" w:eastAsia="Arial" w:hint="default"/>
                <w:sz w:val="20"/>
                <w:szCs w:val="20"/>
              </w:rPr>
            </w:pPr>
            <w:r>
              <w:rPr>
                <w:rFonts w:ascii="Arial"/>
                <w:spacing w:val="-1"/>
                <w:sz w:val="20"/>
              </w:rPr>
              <w:t>2,911,328</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65"/>
              <w:jc w:val="right"/>
              <w:rPr>
                <w:rFonts w:ascii="Arial" w:hAnsi="Arial" w:cs="Arial" w:eastAsia="Arial" w:hint="default"/>
                <w:sz w:val="20"/>
                <w:szCs w:val="20"/>
              </w:rPr>
            </w:pPr>
            <w:r>
              <w:rPr>
                <w:rFonts w:ascii="Arial"/>
                <w:spacing w:val="-1"/>
                <w:sz w:val="20"/>
              </w:rPr>
              <w:t>1,888,678</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8"/>
              <w:jc w:val="right"/>
              <w:rPr>
                <w:rFonts w:ascii="Arial" w:hAnsi="Arial" w:cs="Arial" w:eastAsia="Arial" w:hint="default"/>
                <w:sz w:val="20"/>
                <w:szCs w:val="20"/>
              </w:rPr>
            </w:pPr>
            <w:r>
              <w:rPr>
                <w:rFonts w:ascii="Arial"/>
                <w:spacing w:val="-1"/>
                <w:w w:val="95"/>
                <w:sz w:val="20"/>
              </w:rPr>
              <w:t>152,560</w:t>
            </w:r>
            <w:r>
              <w:rPr>
                <w:rFonts w:ascii="Arial"/>
                <w:sz w:val="20"/>
              </w:rPr>
            </w:r>
          </w:p>
        </w:tc>
      </w:tr>
    </w:tbl>
    <w:p>
      <w:pPr>
        <w:spacing w:after="0" w:line="240" w:lineRule="auto"/>
        <w:jc w:val="right"/>
        <w:rPr>
          <w:rFonts w:ascii="Arial" w:hAnsi="Arial" w:cs="Arial" w:eastAsia="Arial" w:hint="default"/>
          <w:sz w:val="20"/>
          <w:szCs w:val="20"/>
        </w:rPr>
        <w:sectPr>
          <w:pgSz w:w="11910" w:h="16850"/>
          <w:pgMar w:header="957" w:footer="468" w:top="2640" w:bottom="660" w:left="1560" w:right="1380"/>
        </w:sectPr>
      </w:pPr>
    </w:p>
    <w:p>
      <w:pPr>
        <w:spacing w:line="240" w:lineRule="auto" w:before="12"/>
        <w:rPr>
          <w:rFonts w:ascii="黑体" w:hAnsi="黑体" w:cs="黑体" w:eastAsia="黑体" w:hint="default"/>
          <w:sz w:val="18"/>
          <w:szCs w:val="18"/>
        </w:rPr>
      </w:pPr>
    </w:p>
    <w:p>
      <w:pPr>
        <w:pStyle w:val="Heading6"/>
        <w:tabs>
          <w:tab w:pos="815" w:val="left" w:leader="none"/>
        </w:tabs>
        <w:spacing w:line="240" w:lineRule="auto"/>
        <w:ind w:left="112" w:right="0"/>
        <w:jc w:val="left"/>
        <w:rPr>
          <w:b w:val="0"/>
          <w:bCs w:val="0"/>
        </w:rPr>
      </w:pPr>
      <w:r>
        <w:rPr>
          <w:w w:val="95"/>
        </w:rPr>
        <w:t>五、</w:t>
        <w:tab/>
      </w:r>
      <w:r>
        <w:rPr/>
        <w:t>合并财</w:t>
      </w:r>
      <w:bookmarkStart w:name="五、   合并财务报表主要项目注释（续）" w:id="80"/>
      <w:bookmarkEnd w:id="80"/>
      <w:r>
        <w:rPr/>
        <w:t>务报</w:t>
      </w:r>
      <w:r>
        <w:rPr/>
        <w:t>表主要项目注释（续）</w:t>
      </w:r>
      <w:r>
        <w:rPr>
          <w:b w:val="0"/>
          <w:bCs w:val="0"/>
        </w:rPr>
      </w:r>
    </w:p>
    <w:p>
      <w:pPr>
        <w:pStyle w:val="Heading6"/>
        <w:tabs>
          <w:tab w:pos="835" w:val="left" w:leader="none"/>
        </w:tabs>
        <w:spacing w:line="240" w:lineRule="auto" w:before="177"/>
        <w:ind w:left="112" w:right="0"/>
        <w:jc w:val="left"/>
        <w:rPr>
          <w:b w:val="0"/>
          <w:bCs w:val="0"/>
        </w:rPr>
      </w:pPr>
      <w:r>
        <w:rPr>
          <w:rFonts w:ascii="Arial" w:hAnsi="Arial" w:cs="Arial" w:eastAsia="Arial" w:hint="default"/>
          <w:spacing w:val="-1"/>
        </w:rPr>
        <w:t>9.</w:t>
        <w:tab/>
      </w:r>
      <w:r>
        <w:rPr>
          <w:spacing w:val="1"/>
        </w:rPr>
        <w:t>长期股权投资</w:t>
      </w:r>
      <w:r>
        <w:rPr>
          <w:b w:val="0"/>
          <w:bCs w:val="0"/>
          <w:spacing w:val="1"/>
        </w:rPr>
      </w:r>
    </w:p>
    <w:p>
      <w:pPr>
        <w:pStyle w:val="BodyText"/>
        <w:spacing w:line="240" w:lineRule="auto" w:before="163"/>
        <w:ind w:left="820" w:right="13775"/>
        <w:jc w:val="center"/>
      </w:pPr>
      <w:r>
        <w:rPr>
          <w:rFonts w:ascii="Arial" w:hAnsi="Arial" w:cs="Arial" w:eastAsia="Arial" w:hint="default"/>
        </w:rPr>
        <w:t>2012</w:t>
      </w:r>
      <w:r>
        <w:rPr/>
        <w:t>年</w:t>
      </w:r>
    </w:p>
    <w:p>
      <w:pPr>
        <w:spacing w:line="240" w:lineRule="auto" w:before="11"/>
        <w:rPr>
          <w:rFonts w:ascii="黑体" w:hAnsi="黑体" w:cs="黑体" w:eastAsia="黑体" w:hint="default"/>
          <w:sz w:val="21"/>
          <w:szCs w:val="21"/>
        </w:rPr>
      </w:pPr>
    </w:p>
    <w:tbl>
      <w:tblPr>
        <w:tblW w:w="0" w:type="auto"/>
        <w:jc w:val="left"/>
        <w:tblInd w:w="481" w:type="dxa"/>
        <w:tblLayout w:type="fixed"/>
        <w:tblCellMar>
          <w:top w:w="0" w:type="dxa"/>
          <w:left w:w="0" w:type="dxa"/>
          <w:bottom w:w="0" w:type="dxa"/>
          <w:right w:w="0" w:type="dxa"/>
        </w:tblCellMar>
        <w:tblLook w:val="01E0"/>
      </w:tblPr>
      <w:tblGrid>
        <w:gridCol w:w="3694"/>
        <w:gridCol w:w="1231"/>
        <w:gridCol w:w="1238"/>
        <w:gridCol w:w="1123"/>
        <w:gridCol w:w="413"/>
        <w:gridCol w:w="1159"/>
        <w:gridCol w:w="1024"/>
        <w:gridCol w:w="1256"/>
        <w:gridCol w:w="1225"/>
        <w:gridCol w:w="1168"/>
        <w:gridCol w:w="1158"/>
      </w:tblGrid>
      <w:tr>
        <w:trPr>
          <w:trHeight w:val="217" w:hRule="exact"/>
        </w:trPr>
        <w:tc>
          <w:tcPr>
            <w:tcW w:w="3694"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Style w:val="TableParagraph"/>
              <w:spacing w:line="180" w:lineRule="exact"/>
              <w:ind w:right="187"/>
              <w:jc w:val="right"/>
              <w:rPr>
                <w:rFonts w:ascii="黑体" w:hAnsi="黑体" w:cs="黑体" w:eastAsia="黑体" w:hint="default"/>
                <w:sz w:val="18"/>
                <w:szCs w:val="18"/>
              </w:rPr>
            </w:pPr>
            <w:bookmarkStart w:name="9.    长期股权投资" w:id="81"/>
            <w:bookmarkEnd w:id="81"/>
            <w:r>
              <w:rPr/>
            </w:r>
            <w:r>
              <w:rPr>
                <w:rFonts w:ascii="黑体" w:hAnsi="黑体" w:cs="黑体" w:eastAsia="黑体" w:hint="default"/>
                <w:sz w:val="18"/>
                <w:szCs w:val="18"/>
              </w:rPr>
              <w:t>投资成本</w:t>
            </w:r>
          </w:p>
        </w:tc>
        <w:tc>
          <w:tcPr>
            <w:tcW w:w="1238" w:type="dxa"/>
            <w:tcBorders>
              <w:top w:val="nil" w:sz="6" w:space="0" w:color="auto"/>
              <w:left w:val="nil" w:sz="6" w:space="0" w:color="auto"/>
              <w:bottom w:val="nil" w:sz="6" w:space="0" w:color="auto"/>
              <w:right w:val="nil" w:sz="6" w:space="0" w:color="auto"/>
            </w:tcBorders>
          </w:tcPr>
          <w:p>
            <w:pPr>
              <w:pStyle w:val="TableParagraph"/>
              <w:spacing w:line="180" w:lineRule="exact"/>
              <w:ind w:right="149"/>
              <w:jc w:val="right"/>
              <w:rPr>
                <w:rFonts w:ascii="黑体" w:hAnsi="黑体" w:cs="黑体" w:eastAsia="黑体" w:hint="default"/>
                <w:sz w:val="18"/>
                <w:szCs w:val="18"/>
              </w:rPr>
            </w:pPr>
            <w:r>
              <w:rPr>
                <w:rFonts w:ascii="黑体" w:hAnsi="黑体" w:cs="黑体" w:eastAsia="黑体" w:hint="default"/>
                <w:sz w:val="18"/>
                <w:szCs w:val="18"/>
              </w:rPr>
              <w:t>年初数</w:t>
            </w:r>
          </w:p>
        </w:tc>
        <w:tc>
          <w:tcPr>
            <w:tcW w:w="1123" w:type="dxa"/>
            <w:tcBorders>
              <w:top w:val="nil" w:sz="6" w:space="0" w:color="auto"/>
              <w:left w:val="nil" w:sz="6" w:space="0" w:color="auto"/>
              <w:bottom w:val="nil" w:sz="6" w:space="0" w:color="auto"/>
              <w:right w:val="nil" w:sz="6" w:space="0" w:color="auto"/>
            </w:tcBorders>
          </w:tcPr>
          <w:p>
            <w:pPr>
              <w:pStyle w:val="TableParagraph"/>
              <w:spacing w:line="180" w:lineRule="exact"/>
              <w:ind w:right="-1"/>
              <w:jc w:val="right"/>
              <w:rPr>
                <w:rFonts w:ascii="黑体" w:hAnsi="黑体" w:cs="黑体" w:eastAsia="黑体" w:hint="default"/>
                <w:sz w:val="18"/>
                <w:szCs w:val="18"/>
              </w:rPr>
            </w:pPr>
            <w:r>
              <w:rPr>
                <w:rFonts w:ascii="黑体" w:hAnsi="黑体" w:cs="黑体" w:eastAsia="黑体" w:hint="default"/>
                <w:sz w:val="18"/>
                <w:szCs w:val="18"/>
              </w:rPr>
              <w:t>本年增减</w:t>
            </w:r>
          </w:p>
        </w:tc>
        <w:tc>
          <w:tcPr>
            <w:tcW w:w="413"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180" w:lineRule="exact"/>
              <w:ind w:right="154"/>
              <w:jc w:val="right"/>
              <w:rPr>
                <w:rFonts w:ascii="黑体" w:hAnsi="黑体" w:cs="黑体" w:eastAsia="黑体" w:hint="default"/>
                <w:sz w:val="18"/>
                <w:szCs w:val="18"/>
              </w:rPr>
            </w:pPr>
            <w:r>
              <w:rPr>
                <w:rFonts w:ascii="黑体" w:hAnsi="黑体" w:cs="黑体" w:eastAsia="黑体" w:hint="default"/>
                <w:sz w:val="18"/>
                <w:szCs w:val="18"/>
              </w:rPr>
              <w:t>年末数</w:t>
            </w:r>
          </w:p>
        </w:tc>
        <w:tc>
          <w:tcPr>
            <w:tcW w:w="1024" w:type="dxa"/>
            <w:tcBorders>
              <w:top w:val="nil" w:sz="6" w:space="0" w:color="auto"/>
              <w:left w:val="nil" w:sz="6" w:space="0" w:color="auto"/>
              <w:bottom w:val="nil" w:sz="6" w:space="0" w:color="auto"/>
              <w:right w:val="nil" w:sz="6" w:space="0" w:color="auto"/>
            </w:tcBorders>
          </w:tcPr>
          <w:p>
            <w:pPr>
              <w:pStyle w:val="TableParagraph"/>
              <w:spacing w:line="180" w:lineRule="exact"/>
              <w:ind w:right="149"/>
              <w:jc w:val="right"/>
              <w:rPr>
                <w:rFonts w:ascii="黑体" w:hAnsi="黑体" w:cs="黑体" w:eastAsia="黑体" w:hint="default"/>
                <w:sz w:val="18"/>
                <w:szCs w:val="18"/>
              </w:rPr>
            </w:pPr>
            <w:r>
              <w:rPr>
                <w:rFonts w:ascii="黑体" w:hAnsi="黑体" w:cs="黑体" w:eastAsia="黑体" w:hint="default"/>
                <w:sz w:val="18"/>
                <w:szCs w:val="18"/>
              </w:rPr>
              <w:t>持股比例</w:t>
            </w:r>
          </w:p>
        </w:tc>
        <w:tc>
          <w:tcPr>
            <w:tcW w:w="1256" w:type="dxa"/>
            <w:tcBorders>
              <w:top w:val="nil" w:sz="6" w:space="0" w:color="auto"/>
              <w:left w:val="nil" w:sz="6" w:space="0" w:color="auto"/>
              <w:bottom w:val="nil" w:sz="6" w:space="0" w:color="auto"/>
              <w:right w:val="nil" w:sz="6" w:space="0" w:color="auto"/>
            </w:tcBorders>
          </w:tcPr>
          <w:p>
            <w:pPr>
              <w:pStyle w:val="TableParagraph"/>
              <w:spacing w:line="180" w:lineRule="exact"/>
              <w:ind w:right="206"/>
              <w:jc w:val="right"/>
              <w:rPr>
                <w:rFonts w:ascii="黑体" w:hAnsi="黑体" w:cs="黑体" w:eastAsia="黑体" w:hint="default"/>
                <w:sz w:val="18"/>
                <w:szCs w:val="18"/>
              </w:rPr>
            </w:pPr>
            <w:r>
              <w:rPr>
                <w:rFonts w:ascii="黑体" w:hAnsi="黑体" w:cs="黑体" w:eastAsia="黑体" w:hint="default"/>
                <w:sz w:val="18"/>
                <w:szCs w:val="18"/>
              </w:rPr>
              <w:t>表决权比例</w:t>
            </w:r>
          </w:p>
        </w:tc>
        <w:tc>
          <w:tcPr>
            <w:tcW w:w="1225" w:type="dxa"/>
            <w:tcBorders>
              <w:top w:val="nil" w:sz="6" w:space="0" w:color="auto"/>
              <w:left w:val="nil" w:sz="6" w:space="0" w:color="auto"/>
              <w:bottom w:val="nil" w:sz="6" w:space="0" w:color="auto"/>
              <w:right w:val="nil" w:sz="6" w:space="0" w:color="auto"/>
            </w:tcBorders>
          </w:tcPr>
          <w:p>
            <w:pPr>
              <w:pStyle w:val="TableParagraph"/>
              <w:spacing w:line="180" w:lineRule="exact"/>
              <w:ind w:right="296"/>
              <w:jc w:val="right"/>
              <w:rPr>
                <w:rFonts w:ascii="黑体" w:hAnsi="黑体" w:cs="黑体" w:eastAsia="黑体" w:hint="default"/>
                <w:sz w:val="18"/>
                <w:szCs w:val="18"/>
              </w:rPr>
            </w:pPr>
            <w:r>
              <w:rPr>
                <w:rFonts w:ascii="黑体" w:hAnsi="黑体" w:cs="黑体" w:eastAsia="黑体" w:hint="default"/>
                <w:sz w:val="18"/>
                <w:szCs w:val="18"/>
              </w:rPr>
              <w:t>减值准备</w:t>
            </w:r>
          </w:p>
        </w:tc>
        <w:tc>
          <w:tcPr>
            <w:tcW w:w="1168" w:type="dxa"/>
            <w:tcBorders>
              <w:top w:val="nil" w:sz="6" w:space="0" w:color="auto"/>
              <w:left w:val="nil" w:sz="6" w:space="0" w:color="auto"/>
              <w:bottom w:val="nil" w:sz="6" w:space="0" w:color="auto"/>
              <w:right w:val="nil" w:sz="6" w:space="0" w:color="auto"/>
            </w:tcBorders>
          </w:tcPr>
          <w:p>
            <w:pPr>
              <w:pStyle w:val="TableParagraph"/>
              <w:spacing w:line="180" w:lineRule="exact"/>
              <w:ind w:right="149"/>
              <w:jc w:val="right"/>
              <w:rPr>
                <w:rFonts w:ascii="黑体" w:hAnsi="黑体" w:cs="黑体" w:eastAsia="黑体" w:hint="default"/>
                <w:sz w:val="18"/>
                <w:szCs w:val="18"/>
              </w:rPr>
            </w:pPr>
            <w:r>
              <w:rPr>
                <w:rFonts w:ascii="黑体" w:hAnsi="黑体" w:cs="黑体" w:eastAsia="黑体" w:hint="default"/>
                <w:sz w:val="18"/>
                <w:szCs w:val="18"/>
              </w:rPr>
              <w:t>本年计提</w:t>
            </w:r>
          </w:p>
        </w:tc>
        <w:tc>
          <w:tcPr>
            <w:tcW w:w="1158" w:type="dxa"/>
            <w:tcBorders>
              <w:top w:val="nil" w:sz="6" w:space="0" w:color="auto"/>
              <w:left w:val="nil" w:sz="6" w:space="0" w:color="auto"/>
              <w:bottom w:val="nil" w:sz="6" w:space="0" w:color="auto"/>
              <w:right w:val="nil" w:sz="6" w:space="0" w:color="auto"/>
            </w:tcBorders>
          </w:tcPr>
          <w:p>
            <w:pPr>
              <w:pStyle w:val="TableParagraph"/>
              <w:spacing w:line="180" w:lineRule="exact"/>
              <w:ind w:right="200"/>
              <w:jc w:val="right"/>
              <w:rPr>
                <w:rFonts w:ascii="黑体" w:hAnsi="黑体" w:cs="黑体" w:eastAsia="黑体" w:hint="default"/>
                <w:sz w:val="18"/>
                <w:szCs w:val="18"/>
              </w:rPr>
            </w:pPr>
            <w:r>
              <w:rPr>
                <w:rFonts w:ascii="黑体" w:hAnsi="黑体" w:cs="黑体" w:eastAsia="黑体" w:hint="default"/>
                <w:sz w:val="18"/>
                <w:szCs w:val="18"/>
              </w:rPr>
              <w:t>本年</w:t>
            </w:r>
          </w:p>
        </w:tc>
      </w:tr>
      <w:tr>
        <w:trPr>
          <w:trHeight w:val="259" w:hRule="exact"/>
        </w:trPr>
        <w:tc>
          <w:tcPr>
            <w:tcW w:w="3694" w:type="dxa"/>
            <w:tcBorders>
              <w:top w:val="nil" w:sz="6" w:space="0" w:color="auto"/>
              <w:left w:val="nil" w:sz="6" w:space="0" w:color="auto"/>
              <w:bottom w:val="nil" w:sz="6" w:space="0" w:color="auto"/>
              <w:right w:val="nil" w:sz="6" w:space="0" w:color="auto"/>
            </w:tcBorders>
          </w:tcPr>
          <w:p>
            <w:pPr/>
          </w:p>
        </w:tc>
        <w:tc>
          <w:tcPr>
            <w:tcW w:w="1231"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
        </w:tc>
        <w:tc>
          <w:tcPr>
            <w:tcW w:w="413"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48"/>
              <w:jc w:val="right"/>
              <w:rPr>
                <w:rFonts w:ascii="Arial" w:hAnsi="Arial" w:cs="Arial" w:eastAsia="Arial" w:hint="default"/>
                <w:sz w:val="18"/>
                <w:szCs w:val="18"/>
              </w:rPr>
            </w:pPr>
            <w:r>
              <w:rPr>
                <w:rFonts w:ascii="Arial"/>
                <w:w w:val="95"/>
                <w:sz w:val="18"/>
              </w:rPr>
              <w:t>(%)</w:t>
            </w:r>
            <w:r>
              <w:rPr>
                <w:rFonts w:ascii="Arial"/>
                <w:sz w:val="18"/>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06"/>
              <w:jc w:val="right"/>
              <w:rPr>
                <w:rFonts w:ascii="Arial" w:hAnsi="Arial" w:cs="Arial" w:eastAsia="Arial" w:hint="default"/>
                <w:sz w:val="18"/>
                <w:szCs w:val="18"/>
              </w:rPr>
            </w:pPr>
            <w:r>
              <w:rPr>
                <w:rFonts w:ascii="Arial"/>
                <w:w w:val="95"/>
                <w:sz w:val="18"/>
              </w:rPr>
              <w:t>(%)</w:t>
            </w:r>
            <w:r>
              <w:rPr>
                <w:rFonts w:ascii="Arial"/>
                <w:sz w:val="18"/>
              </w:rPr>
            </w:r>
          </w:p>
        </w:tc>
        <w:tc>
          <w:tcPr>
            <w:tcW w:w="1225" w:type="dxa"/>
            <w:tcBorders>
              <w:top w:val="nil" w:sz="6" w:space="0" w:color="auto"/>
              <w:left w:val="nil" w:sz="6" w:space="0" w:color="auto"/>
              <w:bottom w:val="nil" w:sz="6" w:space="0" w:color="auto"/>
              <w:right w:val="nil" w:sz="6" w:space="0" w:color="auto"/>
            </w:tcBorders>
          </w:tcPr>
          <w:p>
            <w:pPr/>
          </w:p>
        </w:tc>
        <w:tc>
          <w:tcPr>
            <w:tcW w:w="1168" w:type="dxa"/>
            <w:tcBorders>
              <w:top w:val="nil" w:sz="6" w:space="0" w:color="auto"/>
              <w:left w:val="nil" w:sz="6" w:space="0" w:color="auto"/>
              <w:bottom w:val="nil" w:sz="6" w:space="0" w:color="auto"/>
              <w:right w:val="nil" w:sz="6" w:space="0" w:color="auto"/>
            </w:tcBorders>
          </w:tcPr>
          <w:p>
            <w:pPr>
              <w:pStyle w:val="TableParagraph"/>
              <w:spacing w:line="217" w:lineRule="exact"/>
              <w:ind w:right="149"/>
              <w:jc w:val="right"/>
              <w:rPr>
                <w:rFonts w:ascii="黑体" w:hAnsi="黑体" w:cs="黑体" w:eastAsia="黑体" w:hint="default"/>
                <w:sz w:val="18"/>
                <w:szCs w:val="18"/>
              </w:rPr>
            </w:pPr>
            <w:r>
              <w:rPr>
                <w:rFonts w:ascii="黑体" w:hAnsi="黑体" w:cs="黑体" w:eastAsia="黑体" w:hint="default"/>
                <w:sz w:val="18"/>
                <w:szCs w:val="18"/>
              </w:rPr>
              <w:t>减值准备</w:t>
            </w:r>
          </w:p>
        </w:tc>
        <w:tc>
          <w:tcPr>
            <w:tcW w:w="1158" w:type="dxa"/>
            <w:tcBorders>
              <w:top w:val="nil" w:sz="6" w:space="0" w:color="auto"/>
              <w:left w:val="nil" w:sz="6" w:space="0" w:color="auto"/>
              <w:bottom w:val="nil" w:sz="6" w:space="0" w:color="auto"/>
              <w:right w:val="nil" w:sz="6" w:space="0" w:color="auto"/>
            </w:tcBorders>
          </w:tcPr>
          <w:p>
            <w:pPr>
              <w:pStyle w:val="TableParagraph"/>
              <w:spacing w:line="217" w:lineRule="exact"/>
              <w:ind w:right="200"/>
              <w:jc w:val="right"/>
              <w:rPr>
                <w:rFonts w:ascii="黑体" w:hAnsi="黑体" w:cs="黑体" w:eastAsia="黑体" w:hint="default"/>
                <w:sz w:val="18"/>
                <w:szCs w:val="18"/>
              </w:rPr>
            </w:pPr>
            <w:r>
              <w:rPr>
                <w:rFonts w:ascii="黑体" w:hAnsi="黑体" w:cs="黑体" w:eastAsia="黑体" w:hint="default"/>
                <w:sz w:val="18"/>
                <w:szCs w:val="18"/>
              </w:rPr>
              <w:t>现金红利</w:t>
            </w:r>
          </w:p>
        </w:tc>
      </w:tr>
      <w:tr>
        <w:trPr>
          <w:trHeight w:val="250" w:hRule="exact"/>
        </w:trPr>
        <w:tc>
          <w:tcPr>
            <w:tcW w:w="3694" w:type="dxa"/>
            <w:tcBorders>
              <w:top w:val="nil" w:sz="6" w:space="0" w:color="auto"/>
              <w:left w:val="nil" w:sz="6" w:space="0" w:color="auto"/>
              <w:bottom w:val="nil" w:sz="6" w:space="0" w:color="auto"/>
              <w:right w:val="nil" w:sz="6" w:space="0" w:color="auto"/>
            </w:tcBorders>
          </w:tcPr>
          <w:p>
            <w:pPr>
              <w:pStyle w:val="TableParagraph"/>
              <w:spacing w:line="213" w:lineRule="exact"/>
              <w:ind w:left="200" w:right="0"/>
              <w:jc w:val="left"/>
              <w:rPr>
                <w:rFonts w:ascii="黑体" w:hAnsi="黑体" w:cs="黑体" w:eastAsia="黑体" w:hint="default"/>
                <w:sz w:val="18"/>
                <w:szCs w:val="18"/>
              </w:rPr>
            </w:pPr>
            <w:r>
              <w:rPr>
                <w:rFonts w:ascii="黑体" w:hAnsi="黑体" w:cs="黑体" w:eastAsia="黑体" w:hint="default"/>
                <w:sz w:val="18"/>
                <w:szCs w:val="18"/>
              </w:rPr>
              <w:t>权益法：</w:t>
            </w:r>
          </w:p>
        </w:tc>
        <w:tc>
          <w:tcPr>
            <w:tcW w:w="1231"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
        </w:tc>
        <w:tc>
          <w:tcPr>
            <w:tcW w:w="413"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
        </w:tc>
        <w:tc>
          <w:tcPr>
            <w:tcW w:w="1256"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
        </w:tc>
        <w:tc>
          <w:tcPr>
            <w:tcW w:w="1168" w:type="dxa"/>
            <w:tcBorders>
              <w:top w:val="nil" w:sz="6" w:space="0" w:color="auto"/>
              <w:left w:val="nil" w:sz="6" w:space="0" w:color="auto"/>
              <w:bottom w:val="nil" w:sz="6" w:space="0" w:color="auto"/>
              <w:right w:val="nil" w:sz="6" w:space="0" w:color="auto"/>
            </w:tcBorders>
          </w:tcPr>
          <w:p>
            <w:pPr/>
          </w:p>
        </w:tc>
        <w:tc>
          <w:tcPr>
            <w:tcW w:w="1158" w:type="dxa"/>
            <w:tcBorders>
              <w:top w:val="nil" w:sz="6" w:space="0" w:color="auto"/>
              <w:left w:val="nil" w:sz="6" w:space="0" w:color="auto"/>
              <w:bottom w:val="nil" w:sz="6" w:space="0" w:color="auto"/>
              <w:right w:val="nil" w:sz="6" w:space="0" w:color="auto"/>
            </w:tcBorders>
          </w:tcPr>
          <w:p>
            <w:pPr/>
          </w:p>
        </w:tc>
      </w:tr>
      <w:tr>
        <w:trPr>
          <w:trHeight w:val="259" w:hRule="exact"/>
        </w:trPr>
        <w:tc>
          <w:tcPr>
            <w:tcW w:w="3694" w:type="dxa"/>
            <w:tcBorders>
              <w:top w:val="nil" w:sz="6" w:space="0" w:color="auto"/>
              <w:left w:val="nil" w:sz="6" w:space="0" w:color="auto"/>
              <w:bottom w:val="nil" w:sz="6" w:space="0" w:color="auto"/>
              <w:right w:val="nil" w:sz="6" w:space="0" w:color="auto"/>
            </w:tcBorders>
          </w:tcPr>
          <w:p>
            <w:pPr>
              <w:pStyle w:val="TableParagraph"/>
              <w:spacing w:line="217" w:lineRule="exact"/>
              <w:ind w:left="382" w:right="0"/>
              <w:jc w:val="left"/>
              <w:rPr>
                <w:rFonts w:ascii="黑体" w:hAnsi="黑体" w:cs="黑体" w:eastAsia="黑体" w:hint="default"/>
                <w:sz w:val="18"/>
                <w:szCs w:val="18"/>
              </w:rPr>
            </w:pPr>
            <w:r>
              <w:rPr>
                <w:rFonts w:ascii="黑体" w:hAnsi="黑体" w:cs="黑体" w:eastAsia="黑体" w:hint="default"/>
                <w:sz w:val="18"/>
                <w:szCs w:val="18"/>
              </w:rPr>
              <w:t>联营企业</w:t>
            </w:r>
          </w:p>
        </w:tc>
        <w:tc>
          <w:tcPr>
            <w:tcW w:w="1231"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
        </w:tc>
        <w:tc>
          <w:tcPr>
            <w:tcW w:w="413"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
        </w:tc>
        <w:tc>
          <w:tcPr>
            <w:tcW w:w="1256"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
        </w:tc>
        <w:tc>
          <w:tcPr>
            <w:tcW w:w="1168" w:type="dxa"/>
            <w:tcBorders>
              <w:top w:val="nil" w:sz="6" w:space="0" w:color="auto"/>
              <w:left w:val="nil" w:sz="6" w:space="0" w:color="auto"/>
              <w:bottom w:val="nil" w:sz="6" w:space="0" w:color="auto"/>
              <w:right w:val="nil" w:sz="6" w:space="0" w:color="auto"/>
            </w:tcBorders>
          </w:tcPr>
          <w:p>
            <w:pPr/>
          </w:p>
        </w:tc>
        <w:tc>
          <w:tcPr>
            <w:tcW w:w="1158" w:type="dxa"/>
            <w:tcBorders>
              <w:top w:val="nil" w:sz="6" w:space="0" w:color="auto"/>
              <w:left w:val="nil" w:sz="6" w:space="0" w:color="auto"/>
              <w:bottom w:val="nil" w:sz="6" w:space="0" w:color="auto"/>
              <w:right w:val="nil" w:sz="6" w:space="0" w:color="auto"/>
            </w:tcBorders>
          </w:tcPr>
          <w:p>
            <w:pPr/>
          </w:p>
        </w:tc>
      </w:tr>
      <w:tr>
        <w:trPr>
          <w:trHeight w:val="271" w:hRule="exact"/>
        </w:trPr>
        <w:tc>
          <w:tcPr>
            <w:tcW w:w="3694" w:type="dxa"/>
            <w:tcBorders>
              <w:top w:val="nil" w:sz="6" w:space="0" w:color="auto"/>
              <w:left w:val="nil" w:sz="6" w:space="0" w:color="auto"/>
              <w:bottom w:val="nil" w:sz="6" w:space="0" w:color="auto"/>
              <w:right w:val="nil" w:sz="6" w:space="0" w:color="auto"/>
            </w:tcBorders>
          </w:tcPr>
          <w:p>
            <w:pPr>
              <w:pStyle w:val="TableParagraph"/>
              <w:spacing w:line="222" w:lineRule="exact"/>
              <w:ind w:left="382" w:right="0"/>
              <w:jc w:val="left"/>
              <w:rPr>
                <w:rFonts w:ascii="黑体" w:hAnsi="黑体" w:cs="黑体" w:eastAsia="黑体" w:hint="default"/>
                <w:sz w:val="18"/>
                <w:szCs w:val="18"/>
              </w:rPr>
            </w:pPr>
            <w:r>
              <w:rPr>
                <w:rFonts w:ascii="黑体" w:hAnsi="黑体" w:cs="黑体" w:eastAsia="黑体" w:hint="default"/>
                <w:sz w:val="18"/>
                <w:szCs w:val="18"/>
              </w:rPr>
              <w:t>致远协创</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85"/>
              <w:jc w:val="right"/>
              <w:rPr>
                <w:rFonts w:ascii="Arial" w:hAnsi="Arial" w:cs="Arial" w:eastAsia="Arial" w:hint="default"/>
                <w:sz w:val="18"/>
                <w:szCs w:val="18"/>
              </w:rPr>
            </w:pPr>
            <w:r>
              <w:rPr>
                <w:rFonts w:ascii="Arial"/>
                <w:spacing w:val="-1"/>
                <w:sz w:val="18"/>
              </w:rPr>
              <w:t>13,925,126</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47"/>
              <w:jc w:val="right"/>
              <w:rPr>
                <w:rFonts w:ascii="Arial" w:hAnsi="Arial" w:cs="Arial" w:eastAsia="Arial" w:hint="default"/>
                <w:sz w:val="18"/>
                <w:szCs w:val="18"/>
              </w:rPr>
            </w:pPr>
            <w:r>
              <w:rPr>
                <w:rFonts w:ascii="Arial"/>
                <w:spacing w:val="-1"/>
                <w:sz w:val="18"/>
              </w:rPr>
              <w:t>37,987,872</w:t>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48"/>
              <w:jc w:val="right"/>
              <w:rPr>
                <w:rFonts w:ascii="Arial" w:hAnsi="Arial" w:cs="Arial" w:eastAsia="Arial" w:hint="default"/>
                <w:sz w:val="18"/>
                <w:szCs w:val="18"/>
              </w:rPr>
            </w:pPr>
            <w:r>
              <w:rPr>
                <w:rFonts w:ascii="Arial"/>
                <w:spacing w:val="-1"/>
                <w:sz w:val="18"/>
              </w:rPr>
              <w:t>4,872,027</w:t>
            </w:r>
          </w:p>
        </w:tc>
        <w:tc>
          <w:tcPr>
            <w:tcW w:w="413"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54"/>
              <w:jc w:val="right"/>
              <w:rPr>
                <w:rFonts w:ascii="Arial" w:hAnsi="Arial" w:cs="Arial" w:eastAsia="Arial" w:hint="default"/>
                <w:sz w:val="18"/>
                <w:szCs w:val="18"/>
              </w:rPr>
            </w:pPr>
            <w:r>
              <w:rPr>
                <w:rFonts w:ascii="Arial"/>
                <w:spacing w:val="-1"/>
                <w:sz w:val="18"/>
              </w:rPr>
              <w:t>42,859,899</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45"/>
              <w:jc w:val="right"/>
              <w:rPr>
                <w:rFonts w:ascii="Arial" w:hAnsi="Arial" w:cs="Arial" w:eastAsia="Arial" w:hint="default"/>
                <w:sz w:val="18"/>
                <w:szCs w:val="18"/>
              </w:rPr>
            </w:pPr>
            <w:r>
              <w:rPr>
                <w:rFonts w:ascii="Arial"/>
                <w:w w:val="95"/>
                <w:sz w:val="18"/>
              </w:rPr>
              <w:t>35.00</w:t>
            </w:r>
            <w:r>
              <w:rPr>
                <w:rFonts w:ascii="Arial"/>
                <w:sz w:val="18"/>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04"/>
              <w:jc w:val="right"/>
              <w:rPr>
                <w:rFonts w:ascii="Arial" w:hAnsi="Arial" w:cs="Arial" w:eastAsia="Arial" w:hint="default"/>
                <w:sz w:val="18"/>
                <w:szCs w:val="18"/>
              </w:rPr>
            </w:pPr>
            <w:r>
              <w:rPr>
                <w:rFonts w:ascii="Arial"/>
                <w:w w:val="95"/>
                <w:sz w:val="18"/>
              </w:rPr>
              <w:t>35.00</w:t>
            </w:r>
            <w:r>
              <w:rPr>
                <w:rFonts w:ascii="Arial"/>
                <w:sz w:val="18"/>
              </w:rPr>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96"/>
              <w:jc w:val="right"/>
              <w:rPr>
                <w:rFonts w:ascii="Arial" w:hAnsi="Arial" w:cs="Arial" w:eastAsia="Arial" w:hint="default"/>
                <w:sz w:val="18"/>
                <w:szCs w:val="18"/>
              </w:rPr>
            </w:pPr>
            <w:r>
              <w:rPr>
                <w:rFonts w:ascii="Arial"/>
                <w:w w:val="99"/>
                <w:sz w:val="18"/>
              </w:rPr>
              <w:t>-</w:t>
            </w:r>
            <w:r>
              <w:rPr>
                <w:rFonts w:ascii="Arial"/>
                <w:sz w:val="18"/>
              </w:rPr>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94"/>
              <w:jc w:val="right"/>
              <w:rPr>
                <w:rFonts w:ascii="Arial" w:hAnsi="Arial" w:cs="Arial" w:eastAsia="Arial" w:hint="default"/>
                <w:sz w:val="18"/>
                <w:szCs w:val="18"/>
              </w:rPr>
            </w:pPr>
            <w:r>
              <w:rPr>
                <w:rFonts w:ascii="Arial"/>
                <w:w w:val="99"/>
                <w:sz w:val="18"/>
              </w:rPr>
              <w:t>-</w:t>
            </w:r>
            <w:r>
              <w:rPr>
                <w:rFonts w:ascii="Arial"/>
                <w:sz w:val="18"/>
              </w:rPr>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98"/>
              <w:jc w:val="right"/>
              <w:rPr>
                <w:rFonts w:ascii="Arial" w:hAnsi="Arial" w:cs="Arial" w:eastAsia="Arial" w:hint="default"/>
                <w:sz w:val="18"/>
                <w:szCs w:val="18"/>
              </w:rPr>
            </w:pPr>
            <w:r>
              <w:rPr>
                <w:rFonts w:ascii="Arial"/>
                <w:spacing w:val="-1"/>
                <w:sz w:val="18"/>
              </w:rPr>
              <w:t>1,750,000</w:t>
            </w:r>
          </w:p>
        </w:tc>
      </w:tr>
      <w:tr>
        <w:trPr>
          <w:trHeight w:val="246" w:hRule="exact"/>
        </w:trPr>
        <w:tc>
          <w:tcPr>
            <w:tcW w:w="3694" w:type="dxa"/>
            <w:tcBorders>
              <w:top w:val="nil" w:sz="6" w:space="0" w:color="auto"/>
              <w:left w:val="nil" w:sz="6" w:space="0" w:color="auto"/>
              <w:bottom w:val="nil" w:sz="6" w:space="0" w:color="auto"/>
              <w:right w:val="nil" w:sz="6" w:space="0" w:color="auto"/>
            </w:tcBorders>
          </w:tcPr>
          <w:p>
            <w:pPr>
              <w:pStyle w:val="TableParagraph"/>
              <w:spacing w:line="206" w:lineRule="exact"/>
              <w:ind w:left="382" w:right="0"/>
              <w:jc w:val="left"/>
              <w:rPr>
                <w:rFonts w:ascii="黑体" w:hAnsi="黑体" w:cs="黑体" w:eastAsia="黑体" w:hint="default"/>
                <w:sz w:val="18"/>
                <w:szCs w:val="18"/>
              </w:rPr>
            </w:pPr>
            <w:r>
              <w:rPr>
                <w:rFonts w:ascii="黑体" w:hAnsi="黑体" w:cs="黑体" w:eastAsia="黑体" w:hint="default"/>
                <w:sz w:val="18"/>
                <w:szCs w:val="18"/>
              </w:rPr>
              <w:t>西玛商用表单</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85"/>
              <w:jc w:val="right"/>
              <w:rPr>
                <w:rFonts w:ascii="Arial" w:hAnsi="Arial" w:cs="Arial" w:eastAsia="Arial" w:hint="default"/>
                <w:sz w:val="18"/>
                <w:szCs w:val="18"/>
              </w:rPr>
            </w:pPr>
            <w:r>
              <w:rPr>
                <w:rFonts w:ascii="Arial"/>
                <w:spacing w:val="-1"/>
                <w:sz w:val="18"/>
              </w:rPr>
              <w:t>150,000</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46"/>
              <w:jc w:val="right"/>
              <w:rPr>
                <w:rFonts w:ascii="Arial" w:hAnsi="Arial" w:cs="Arial" w:eastAsia="Arial" w:hint="default"/>
                <w:sz w:val="18"/>
                <w:szCs w:val="18"/>
              </w:rPr>
            </w:pPr>
            <w:r>
              <w:rPr>
                <w:rFonts w:ascii="Arial"/>
                <w:spacing w:val="-1"/>
                <w:sz w:val="18"/>
              </w:rPr>
              <w:t>3,827,575</w:t>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48"/>
              <w:jc w:val="right"/>
              <w:rPr>
                <w:rFonts w:ascii="Arial" w:hAnsi="Arial" w:cs="Arial" w:eastAsia="Arial" w:hint="default"/>
                <w:sz w:val="18"/>
                <w:szCs w:val="18"/>
              </w:rPr>
            </w:pPr>
            <w:r>
              <w:rPr>
                <w:rFonts w:ascii="Arial"/>
                <w:spacing w:val="-1"/>
                <w:sz w:val="18"/>
              </w:rPr>
              <w:t>1,205,646</w:t>
            </w:r>
          </w:p>
        </w:tc>
        <w:tc>
          <w:tcPr>
            <w:tcW w:w="413"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51"/>
              <w:jc w:val="right"/>
              <w:rPr>
                <w:rFonts w:ascii="Arial" w:hAnsi="Arial" w:cs="Arial" w:eastAsia="Arial" w:hint="default"/>
                <w:sz w:val="18"/>
                <w:szCs w:val="18"/>
              </w:rPr>
            </w:pPr>
            <w:r>
              <w:rPr>
                <w:rFonts w:ascii="Arial"/>
                <w:spacing w:val="-1"/>
                <w:sz w:val="18"/>
              </w:rPr>
              <w:t>5,033,221</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45"/>
              <w:jc w:val="right"/>
              <w:rPr>
                <w:rFonts w:ascii="Arial" w:hAnsi="Arial" w:cs="Arial" w:eastAsia="Arial" w:hint="default"/>
                <w:sz w:val="18"/>
                <w:szCs w:val="18"/>
              </w:rPr>
            </w:pPr>
            <w:r>
              <w:rPr>
                <w:rFonts w:ascii="Arial"/>
                <w:w w:val="95"/>
                <w:sz w:val="18"/>
              </w:rPr>
              <w:t>30.00</w:t>
            </w:r>
            <w:r>
              <w:rPr>
                <w:rFonts w:ascii="Arial"/>
                <w:sz w:val="18"/>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04"/>
              <w:jc w:val="right"/>
              <w:rPr>
                <w:rFonts w:ascii="Arial" w:hAnsi="Arial" w:cs="Arial" w:eastAsia="Arial" w:hint="default"/>
                <w:sz w:val="18"/>
                <w:szCs w:val="18"/>
              </w:rPr>
            </w:pPr>
            <w:r>
              <w:rPr>
                <w:rFonts w:ascii="Arial"/>
                <w:w w:val="95"/>
                <w:sz w:val="18"/>
              </w:rPr>
              <w:t>30.00</w:t>
            </w:r>
            <w:r>
              <w:rPr>
                <w:rFonts w:ascii="Arial"/>
                <w:sz w:val="18"/>
              </w:rPr>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96"/>
              <w:jc w:val="right"/>
              <w:rPr>
                <w:rFonts w:ascii="Arial" w:hAnsi="Arial" w:cs="Arial" w:eastAsia="Arial" w:hint="default"/>
                <w:sz w:val="18"/>
                <w:szCs w:val="18"/>
              </w:rPr>
            </w:pPr>
            <w:r>
              <w:rPr>
                <w:rFonts w:ascii="Arial"/>
                <w:w w:val="99"/>
                <w:sz w:val="18"/>
              </w:rPr>
              <w:t>-</w:t>
            </w:r>
            <w:r>
              <w:rPr>
                <w:rFonts w:ascii="Arial"/>
                <w:sz w:val="18"/>
              </w:rPr>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94"/>
              <w:jc w:val="right"/>
              <w:rPr>
                <w:rFonts w:ascii="Arial" w:hAnsi="Arial" w:cs="Arial" w:eastAsia="Arial" w:hint="default"/>
                <w:sz w:val="18"/>
                <w:szCs w:val="18"/>
              </w:rPr>
            </w:pPr>
            <w:r>
              <w:rPr>
                <w:rFonts w:ascii="Arial"/>
                <w:w w:val="99"/>
                <w:sz w:val="18"/>
              </w:rPr>
              <w:t>-</w:t>
            </w:r>
            <w:r>
              <w:rPr>
                <w:rFonts w:ascii="Arial"/>
                <w:sz w:val="18"/>
              </w:rPr>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98"/>
              <w:jc w:val="right"/>
              <w:rPr>
                <w:rFonts w:ascii="Arial" w:hAnsi="Arial" w:cs="Arial" w:eastAsia="Arial" w:hint="default"/>
                <w:sz w:val="18"/>
                <w:szCs w:val="18"/>
              </w:rPr>
            </w:pPr>
            <w:r>
              <w:rPr>
                <w:rFonts w:ascii="Arial"/>
                <w:spacing w:val="-1"/>
                <w:sz w:val="18"/>
              </w:rPr>
              <w:t>928,817</w:t>
            </w:r>
          </w:p>
        </w:tc>
      </w:tr>
      <w:tr>
        <w:trPr>
          <w:trHeight w:val="253" w:hRule="exact"/>
        </w:trPr>
        <w:tc>
          <w:tcPr>
            <w:tcW w:w="3694" w:type="dxa"/>
            <w:tcBorders>
              <w:top w:val="nil" w:sz="6" w:space="0" w:color="auto"/>
              <w:left w:val="nil" w:sz="6" w:space="0" w:color="auto"/>
              <w:bottom w:val="nil" w:sz="6" w:space="0" w:color="auto"/>
              <w:right w:val="nil" w:sz="6" w:space="0" w:color="auto"/>
            </w:tcBorders>
          </w:tcPr>
          <w:p>
            <w:pPr>
              <w:pStyle w:val="TableParagraph"/>
              <w:spacing w:line="197" w:lineRule="exact"/>
              <w:ind w:left="382" w:right="0"/>
              <w:jc w:val="left"/>
              <w:rPr>
                <w:rFonts w:ascii="黑体" w:hAnsi="黑体" w:cs="黑体" w:eastAsia="黑体" w:hint="default"/>
                <w:sz w:val="18"/>
                <w:szCs w:val="18"/>
              </w:rPr>
            </w:pPr>
            <w:r>
              <w:rPr>
                <w:rFonts w:ascii="黑体" w:hAnsi="黑体" w:cs="黑体" w:eastAsia="黑体" w:hint="default"/>
                <w:sz w:val="18"/>
                <w:szCs w:val="18"/>
              </w:rPr>
              <w:t>西玛永泰</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85"/>
              <w:jc w:val="right"/>
              <w:rPr>
                <w:rFonts w:ascii="Arial" w:hAnsi="Arial" w:cs="Arial" w:eastAsia="Arial" w:hint="default"/>
                <w:sz w:val="18"/>
                <w:szCs w:val="18"/>
              </w:rPr>
            </w:pPr>
            <w:r>
              <w:rPr>
                <w:rFonts w:ascii="Arial"/>
                <w:spacing w:val="-1"/>
                <w:sz w:val="18"/>
              </w:rPr>
              <w:t>150,000</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6"/>
              <w:jc w:val="right"/>
              <w:rPr>
                <w:rFonts w:ascii="Arial" w:hAnsi="Arial" w:cs="Arial" w:eastAsia="Arial" w:hint="default"/>
                <w:sz w:val="18"/>
                <w:szCs w:val="18"/>
              </w:rPr>
            </w:pPr>
            <w:r>
              <w:rPr>
                <w:rFonts w:ascii="Arial"/>
                <w:spacing w:val="-1"/>
                <w:sz w:val="18"/>
              </w:rPr>
              <w:t>531,815</w:t>
            </w:r>
          </w:p>
        </w:tc>
        <w:tc>
          <w:tcPr>
            <w:tcW w:w="1123" w:type="dxa"/>
            <w:tcBorders>
              <w:top w:val="nil" w:sz="6" w:space="0" w:color="auto"/>
              <w:left w:val="nil" w:sz="6" w:space="0" w:color="auto"/>
              <w:bottom w:val="nil" w:sz="6" w:space="0" w:color="auto"/>
              <w:right w:val="nil" w:sz="6" w:space="0" w:color="auto"/>
            </w:tcBorders>
          </w:tcPr>
          <w:p>
            <w:pPr>
              <w:pStyle w:val="TableParagraph"/>
              <w:tabs>
                <w:tab w:pos="271" w:val="left" w:leader="none"/>
              </w:tabs>
              <w:spacing w:line="240" w:lineRule="auto" w:before="17"/>
              <w:ind w:right="48"/>
              <w:jc w:val="right"/>
              <w:rPr>
                <w:rFonts w:ascii="Arial" w:hAnsi="Arial" w:cs="Arial" w:eastAsia="Arial" w:hint="default"/>
                <w:sz w:val="18"/>
                <w:szCs w:val="18"/>
              </w:rPr>
            </w:pPr>
            <w:r>
              <w:rPr>
                <w:rFonts w:ascii="Arial"/>
                <w:sz w:val="18"/>
              </w:rPr>
              <w:t>(</w:t>
              <w:tab/>
            </w:r>
            <w:r>
              <w:rPr>
                <w:rFonts w:ascii="Arial"/>
                <w:spacing w:val="-1"/>
                <w:sz w:val="18"/>
              </w:rPr>
              <w:t>101,192</w:t>
            </w:r>
          </w:p>
        </w:tc>
        <w:tc>
          <w:tcPr>
            <w:tcW w:w="413"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 w:right="0"/>
              <w:jc w:val="left"/>
              <w:rPr>
                <w:rFonts w:ascii="Arial" w:hAnsi="Arial" w:cs="Arial" w:eastAsia="Arial" w:hint="default"/>
                <w:sz w:val="18"/>
                <w:szCs w:val="18"/>
              </w:rPr>
            </w:pPr>
            <w:r>
              <w:rPr>
                <w:rFonts w:ascii="Arial"/>
                <w:w w:val="99"/>
                <w:sz w:val="18"/>
              </w:rPr>
              <w:t>)</w:t>
            </w:r>
            <w:r>
              <w:rPr>
                <w:rFonts w:ascii="Arial"/>
                <w:sz w:val="18"/>
              </w:rPr>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51"/>
              <w:jc w:val="right"/>
              <w:rPr>
                <w:rFonts w:ascii="Arial" w:hAnsi="Arial" w:cs="Arial" w:eastAsia="Arial" w:hint="default"/>
                <w:sz w:val="18"/>
                <w:szCs w:val="18"/>
              </w:rPr>
            </w:pPr>
            <w:r>
              <w:rPr>
                <w:rFonts w:ascii="Arial"/>
                <w:spacing w:val="-1"/>
                <w:sz w:val="18"/>
              </w:rPr>
              <w:t>430,623</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45"/>
              <w:jc w:val="right"/>
              <w:rPr>
                <w:rFonts w:ascii="Arial" w:hAnsi="Arial" w:cs="Arial" w:eastAsia="Arial" w:hint="default"/>
                <w:sz w:val="18"/>
                <w:szCs w:val="18"/>
              </w:rPr>
            </w:pPr>
            <w:r>
              <w:rPr>
                <w:rFonts w:ascii="Arial"/>
                <w:w w:val="95"/>
                <w:sz w:val="18"/>
              </w:rPr>
              <w:t>30.00</w:t>
            </w:r>
            <w:r>
              <w:rPr>
                <w:rFonts w:ascii="Arial"/>
                <w:sz w:val="18"/>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04"/>
              <w:jc w:val="right"/>
              <w:rPr>
                <w:rFonts w:ascii="Arial" w:hAnsi="Arial" w:cs="Arial" w:eastAsia="Arial" w:hint="default"/>
                <w:sz w:val="18"/>
                <w:szCs w:val="18"/>
              </w:rPr>
            </w:pPr>
            <w:r>
              <w:rPr>
                <w:rFonts w:ascii="Arial"/>
                <w:w w:val="95"/>
                <w:sz w:val="18"/>
              </w:rPr>
              <w:t>30.00</w:t>
            </w:r>
            <w:r>
              <w:rPr>
                <w:rFonts w:ascii="Arial"/>
                <w:sz w:val="18"/>
              </w:rPr>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96"/>
              <w:jc w:val="right"/>
              <w:rPr>
                <w:rFonts w:ascii="Arial" w:hAnsi="Arial" w:cs="Arial" w:eastAsia="Arial" w:hint="default"/>
                <w:sz w:val="18"/>
                <w:szCs w:val="18"/>
              </w:rPr>
            </w:pPr>
            <w:r>
              <w:rPr>
                <w:rFonts w:ascii="Arial"/>
                <w:w w:val="99"/>
                <w:sz w:val="18"/>
              </w:rPr>
              <w:t>-</w:t>
            </w:r>
            <w:r>
              <w:rPr>
                <w:rFonts w:ascii="Arial"/>
                <w:sz w:val="18"/>
              </w:rPr>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94"/>
              <w:jc w:val="right"/>
              <w:rPr>
                <w:rFonts w:ascii="Arial" w:hAnsi="Arial" w:cs="Arial" w:eastAsia="Arial" w:hint="default"/>
                <w:sz w:val="18"/>
                <w:szCs w:val="18"/>
              </w:rPr>
            </w:pPr>
            <w:r>
              <w:rPr>
                <w:rFonts w:ascii="Arial"/>
                <w:w w:val="99"/>
                <w:sz w:val="18"/>
              </w:rPr>
              <w:t>-</w:t>
            </w:r>
            <w:r>
              <w:rPr>
                <w:rFonts w:ascii="Arial"/>
                <w:sz w:val="18"/>
              </w:rPr>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98"/>
              <w:jc w:val="right"/>
              <w:rPr>
                <w:rFonts w:ascii="Arial" w:hAnsi="Arial" w:cs="Arial" w:eastAsia="Arial" w:hint="default"/>
                <w:sz w:val="18"/>
                <w:szCs w:val="18"/>
              </w:rPr>
            </w:pPr>
            <w:r>
              <w:rPr>
                <w:rFonts w:ascii="Arial"/>
                <w:spacing w:val="-1"/>
                <w:sz w:val="18"/>
              </w:rPr>
              <w:t>88,816</w:t>
            </w:r>
          </w:p>
        </w:tc>
      </w:tr>
      <w:tr>
        <w:trPr>
          <w:trHeight w:val="338" w:hRule="exact"/>
        </w:trPr>
        <w:tc>
          <w:tcPr>
            <w:tcW w:w="3694" w:type="dxa"/>
            <w:tcBorders>
              <w:top w:val="nil" w:sz="6" w:space="0" w:color="auto"/>
              <w:left w:val="nil" w:sz="6" w:space="0" w:color="auto"/>
              <w:bottom w:val="nil" w:sz="6" w:space="0" w:color="auto"/>
              <w:right w:val="nil" w:sz="6" w:space="0" w:color="auto"/>
            </w:tcBorders>
          </w:tcPr>
          <w:p>
            <w:pPr>
              <w:pStyle w:val="TableParagraph"/>
              <w:spacing w:line="226" w:lineRule="exact"/>
              <w:ind w:left="382" w:right="0"/>
              <w:jc w:val="left"/>
              <w:rPr>
                <w:rFonts w:ascii="黑体" w:hAnsi="黑体" w:cs="黑体" w:eastAsia="黑体" w:hint="default"/>
                <w:sz w:val="18"/>
                <w:szCs w:val="18"/>
              </w:rPr>
            </w:pPr>
            <w:r>
              <w:rPr>
                <w:rFonts w:ascii="Arial" w:hAnsi="Arial" w:cs="Arial" w:eastAsia="Arial" w:hint="default"/>
                <w:sz w:val="18"/>
                <w:szCs w:val="18"/>
              </w:rPr>
              <w:t>YUNANO  </w:t>
            </w:r>
            <w:r>
              <w:rPr>
                <w:rFonts w:ascii="黑体" w:hAnsi="黑体" w:cs="黑体" w:eastAsia="黑体" w:hint="default"/>
                <w:sz w:val="18"/>
                <w:szCs w:val="18"/>
              </w:rPr>
              <w:t>（注</w:t>
            </w:r>
            <w:r>
              <w:rPr>
                <w:rFonts w:ascii="黑体" w:hAnsi="黑体" w:cs="黑体" w:eastAsia="黑体" w:hint="default"/>
                <w:spacing w:val="-60"/>
                <w:sz w:val="18"/>
                <w:szCs w:val="18"/>
              </w:rPr>
              <w:t> </w:t>
            </w:r>
            <w:r>
              <w:rPr>
                <w:rFonts w:ascii="Arial" w:hAnsi="Arial" w:cs="Arial" w:eastAsia="Arial" w:hint="default"/>
                <w:sz w:val="18"/>
                <w:szCs w:val="18"/>
              </w:rPr>
              <w:t>1</w:t>
            </w:r>
            <w:r>
              <w:rPr>
                <w:rFonts w:ascii="黑体" w:hAnsi="黑体" w:cs="黑体" w:eastAsia="黑体" w:hint="default"/>
                <w:sz w:val="18"/>
                <w:szCs w:val="18"/>
              </w:rPr>
              <w:t>）</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85"/>
              <w:jc w:val="right"/>
              <w:rPr>
                <w:rFonts w:ascii="Arial" w:hAnsi="Arial" w:cs="Arial" w:eastAsia="Arial" w:hint="default"/>
                <w:sz w:val="18"/>
                <w:szCs w:val="18"/>
              </w:rPr>
            </w:pPr>
            <w:r>
              <w:rPr>
                <w:rFonts w:ascii="Arial"/>
                <w:w w:val="99"/>
                <w:sz w:val="18"/>
              </w:rPr>
            </w:r>
            <w:r>
              <w:rPr>
                <w:rFonts w:ascii="Arial"/>
                <w:spacing w:val="-1"/>
                <w:sz w:val="18"/>
                <w:u w:val="single" w:color="000000"/>
              </w:rPr>
              <w:t>10,504,952</w:t>
            </w:r>
            <w:r>
              <w:rPr>
                <w:rFonts w:ascii="Arial"/>
                <w:spacing w:val="-1"/>
                <w:sz w:val="18"/>
              </w:rPr>
            </w:r>
          </w:p>
        </w:tc>
        <w:tc>
          <w:tcPr>
            <w:tcW w:w="1238" w:type="dxa"/>
            <w:tcBorders>
              <w:top w:val="nil" w:sz="6" w:space="0" w:color="auto"/>
              <w:left w:val="nil" w:sz="6" w:space="0" w:color="auto"/>
              <w:bottom w:val="nil" w:sz="6" w:space="0" w:color="auto"/>
              <w:right w:val="nil" w:sz="6" w:space="0" w:color="auto"/>
            </w:tcBorders>
          </w:tcPr>
          <w:p>
            <w:pPr>
              <w:pStyle w:val="TableParagraph"/>
              <w:tabs>
                <w:tab w:pos="842" w:val="left" w:leader="none"/>
              </w:tabs>
              <w:spacing w:line="240" w:lineRule="auto" w:before="33"/>
              <w:ind w:right="14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4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9"/>
                <w:sz w:val="18"/>
                <w:u w:val="single" w:color="000000"/>
              </w:rPr>
              <w:t> </w:t>
            </w:r>
            <w:r>
              <w:rPr>
                <w:rFonts w:ascii="Arial"/>
                <w:spacing w:val="-1"/>
                <w:sz w:val="18"/>
                <w:u w:val="single" w:color="000000"/>
              </w:rPr>
              <w:t>5,442,572</w:t>
            </w:r>
            <w:r>
              <w:rPr>
                <w:rFonts w:ascii="Arial"/>
                <w:spacing w:val="-1"/>
                <w:sz w:val="18"/>
              </w:rPr>
            </w:r>
          </w:p>
        </w:tc>
        <w:tc>
          <w:tcPr>
            <w:tcW w:w="413"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5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
                <w:sz w:val="18"/>
                <w:u w:val="single" w:color="000000"/>
              </w:rPr>
              <w:t>5,442,572</w:t>
            </w:r>
            <w:r>
              <w:rPr>
                <w:rFonts w:ascii="Arial"/>
                <w:spacing w:val="-1"/>
                <w:sz w:val="18"/>
              </w:rPr>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45"/>
              <w:jc w:val="right"/>
              <w:rPr>
                <w:rFonts w:ascii="Arial" w:hAnsi="Arial" w:cs="Arial" w:eastAsia="Arial" w:hint="default"/>
                <w:sz w:val="18"/>
                <w:szCs w:val="18"/>
              </w:rPr>
            </w:pPr>
            <w:r>
              <w:rPr>
                <w:rFonts w:ascii="Arial"/>
                <w:w w:val="95"/>
                <w:sz w:val="18"/>
              </w:rPr>
              <w:t>30.00</w:t>
            </w:r>
            <w:r>
              <w:rPr>
                <w:rFonts w:ascii="Arial"/>
                <w:sz w:val="18"/>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04"/>
              <w:jc w:val="right"/>
              <w:rPr>
                <w:rFonts w:ascii="Arial" w:hAnsi="Arial" w:cs="Arial" w:eastAsia="Arial" w:hint="default"/>
                <w:sz w:val="18"/>
                <w:szCs w:val="18"/>
              </w:rPr>
            </w:pPr>
            <w:r>
              <w:rPr>
                <w:rFonts w:ascii="Arial"/>
                <w:w w:val="95"/>
                <w:sz w:val="18"/>
              </w:rPr>
              <w:t>30.00</w:t>
            </w:r>
            <w:r>
              <w:rPr>
                <w:rFonts w:ascii="Arial"/>
                <w:sz w:val="18"/>
              </w:rPr>
            </w:r>
          </w:p>
        </w:tc>
        <w:tc>
          <w:tcPr>
            <w:tcW w:w="1225" w:type="dxa"/>
            <w:tcBorders>
              <w:top w:val="nil" w:sz="6" w:space="0" w:color="auto"/>
              <w:left w:val="nil" w:sz="6" w:space="0" w:color="auto"/>
              <w:bottom w:val="nil" w:sz="6" w:space="0" w:color="auto"/>
              <w:right w:val="nil" w:sz="6" w:space="0" w:color="auto"/>
            </w:tcBorders>
          </w:tcPr>
          <w:p>
            <w:pPr>
              <w:pStyle w:val="TableParagraph"/>
              <w:tabs>
                <w:tab w:pos="631" w:val="left" w:leader="none"/>
              </w:tabs>
              <w:spacing w:line="240" w:lineRule="auto" w:before="33"/>
              <w:ind w:right="29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68" w:type="dxa"/>
            <w:tcBorders>
              <w:top w:val="nil" w:sz="6" w:space="0" w:color="auto"/>
              <w:left w:val="nil" w:sz="6" w:space="0" w:color="auto"/>
              <w:bottom w:val="nil" w:sz="6" w:space="0" w:color="auto"/>
              <w:right w:val="nil" w:sz="6" w:space="0" w:color="auto"/>
            </w:tcBorders>
          </w:tcPr>
          <w:p>
            <w:pPr>
              <w:pStyle w:val="TableParagraph"/>
              <w:tabs>
                <w:tab w:pos="913" w:val="left" w:leader="none"/>
              </w:tabs>
              <w:spacing w:line="240" w:lineRule="auto" w:before="33"/>
              <w:ind w:left="282"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58" w:type="dxa"/>
            <w:tcBorders>
              <w:top w:val="nil" w:sz="6" w:space="0" w:color="auto"/>
              <w:left w:val="nil" w:sz="6" w:space="0" w:color="auto"/>
              <w:bottom w:val="nil" w:sz="6" w:space="0" w:color="auto"/>
              <w:right w:val="nil" w:sz="6" w:space="0" w:color="auto"/>
            </w:tcBorders>
          </w:tcPr>
          <w:p>
            <w:pPr>
              <w:pStyle w:val="TableParagraph"/>
              <w:tabs>
                <w:tab w:pos="722" w:val="left" w:leader="none"/>
              </w:tabs>
              <w:spacing w:line="240" w:lineRule="auto" w:before="33"/>
              <w:ind w:right="19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r>
      <w:tr>
        <w:trPr>
          <w:trHeight w:val="582" w:hRule="exact"/>
        </w:trPr>
        <w:tc>
          <w:tcPr>
            <w:tcW w:w="369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382" w:right="0"/>
              <w:jc w:val="left"/>
              <w:rPr>
                <w:rFonts w:ascii="黑体" w:hAnsi="黑体" w:cs="黑体" w:eastAsia="黑体" w:hint="default"/>
                <w:sz w:val="18"/>
                <w:szCs w:val="18"/>
              </w:rPr>
            </w:pPr>
            <w:r>
              <w:rPr>
                <w:rFonts w:ascii="黑体" w:hAnsi="黑体" w:cs="黑体" w:eastAsia="黑体" w:hint="default"/>
                <w:sz w:val="18"/>
                <w:szCs w:val="18"/>
              </w:rPr>
              <w:t>小计</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85"/>
              <w:jc w:val="right"/>
              <w:rPr>
                <w:rFonts w:ascii="Arial" w:hAnsi="Arial" w:cs="Arial" w:eastAsia="Arial" w:hint="default"/>
                <w:sz w:val="18"/>
                <w:szCs w:val="18"/>
              </w:rPr>
            </w:pPr>
            <w:r>
              <w:rPr>
                <w:rFonts w:ascii="Arial"/>
                <w:w w:val="99"/>
                <w:sz w:val="18"/>
              </w:rPr>
            </w:r>
            <w:r>
              <w:rPr>
                <w:rFonts w:ascii="Arial"/>
                <w:spacing w:val="-1"/>
                <w:sz w:val="18"/>
                <w:u w:val="single" w:color="000000"/>
              </w:rPr>
              <w:t>24,730,078</w:t>
            </w:r>
            <w:r>
              <w:rPr>
                <w:rFonts w:ascii="Arial"/>
                <w:spacing w:val="-1"/>
                <w:sz w:val="18"/>
              </w:rPr>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47"/>
              <w:jc w:val="right"/>
              <w:rPr>
                <w:rFonts w:ascii="Arial" w:hAnsi="Arial" w:cs="Arial" w:eastAsia="Arial" w:hint="default"/>
                <w:sz w:val="18"/>
                <w:szCs w:val="18"/>
              </w:rPr>
            </w:pPr>
            <w:r>
              <w:rPr>
                <w:rFonts w:ascii="Arial"/>
                <w:w w:val="99"/>
                <w:sz w:val="18"/>
              </w:rPr>
            </w:r>
            <w:r>
              <w:rPr>
                <w:rFonts w:ascii="Arial"/>
                <w:spacing w:val="-1"/>
                <w:sz w:val="18"/>
                <w:u w:val="single" w:color="000000"/>
              </w:rPr>
              <w:t>42,347,262</w:t>
            </w:r>
            <w:r>
              <w:rPr>
                <w:rFonts w:ascii="Arial"/>
                <w:spacing w:val="-1"/>
                <w:sz w:val="18"/>
              </w:rPr>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50"/>
              <w:jc w:val="right"/>
              <w:rPr>
                <w:rFonts w:ascii="Arial" w:hAnsi="Arial" w:cs="Arial" w:eastAsia="Arial" w:hint="default"/>
                <w:sz w:val="18"/>
                <w:szCs w:val="18"/>
              </w:rPr>
            </w:pPr>
            <w:r>
              <w:rPr>
                <w:rFonts w:ascii="Arial"/>
                <w:w w:val="99"/>
                <w:sz w:val="18"/>
              </w:rPr>
            </w:r>
            <w:r>
              <w:rPr>
                <w:rFonts w:ascii="Arial"/>
                <w:spacing w:val="-1"/>
                <w:sz w:val="18"/>
                <w:u w:val="single" w:color="000000"/>
              </w:rPr>
              <w:t>11,419,053</w:t>
            </w:r>
            <w:r>
              <w:rPr>
                <w:rFonts w:ascii="Arial"/>
                <w:spacing w:val="-1"/>
                <w:sz w:val="18"/>
              </w:rPr>
            </w:r>
          </w:p>
        </w:tc>
        <w:tc>
          <w:tcPr>
            <w:tcW w:w="413"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52"/>
              <w:jc w:val="right"/>
              <w:rPr>
                <w:rFonts w:ascii="Arial" w:hAnsi="Arial" w:cs="Arial" w:eastAsia="Arial" w:hint="default"/>
                <w:sz w:val="18"/>
                <w:szCs w:val="18"/>
              </w:rPr>
            </w:pPr>
            <w:r>
              <w:rPr>
                <w:rFonts w:ascii="Arial"/>
                <w:w w:val="99"/>
                <w:sz w:val="18"/>
              </w:rPr>
            </w:r>
            <w:r>
              <w:rPr>
                <w:rFonts w:ascii="Arial"/>
                <w:spacing w:val="-1"/>
                <w:sz w:val="18"/>
                <w:u w:val="single" w:color="000000"/>
              </w:rPr>
              <w:t>53,766,315</w:t>
            </w:r>
            <w:r>
              <w:rPr>
                <w:rFonts w:ascii="Arial"/>
                <w:spacing w:val="-1"/>
                <w:sz w:val="18"/>
              </w:rPr>
            </w:r>
          </w:p>
        </w:tc>
        <w:tc>
          <w:tcPr>
            <w:tcW w:w="1024" w:type="dxa"/>
            <w:tcBorders>
              <w:top w:val="nil" w:sz="6" w:space="0" w:color="auto"/>
              <w:left w:val="nil" w:sz="6" w:space="0" w:color="auto"/>
              <w:bottom w:val="nil" w:sz="6" w:space="0" w:color="auto"/>
              <w:right w:val="nil" w:sz="6" w:space="0" w:color="auto"/>
            </w:tcBorders>
          </w:tcPr>
          <w:p>
            <w:pPr/>
          </w:p>
        </w:tc>
        <w:tc>
          <w:tcPr>
            <w:tcW w:w="1256"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Style w:val="TableParagraph"/>
              <w:tabs>
                <w:tab w:pos="631" w:val="left" w:leader="none"/>
              </w:tabs>
              <w:spacing w:line="240" w:lineRule="auto" w:before="102"/>
              <w:ind w:right="29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68" w:type="dxa"/>
            <w:tcBorders>
              <w:top w:val="nil" w:sz="6" w:space="0" w:color="auto"/>
              <w:left w:val="nil" w:sz="6" w:space="0" w:color="auto"/>
              <w:bottom w:val="nil" w:sz="6" w:space="0" w:color="auto"/>
              <w:right w:val="nil" w:sz="6" w:space="0" w:color="auto"/>
            </w:tcBorders>
          </w:tcPr>
          <w:p>
            <w:pPr>
              <w:pStyle w:val="TableParagraph"/>
              <w:tabs>
                <w:tab w:pos="910" w:val="left" w:leader="none"/>
              </w:tabs>
              <w:spacing w:line="240" w:lineRule="auto" w:before="102"/>
              <w:ind w:left="279"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00"/>
              <w:jc w:val="right"/>
              <w:rPr>
                <w:rFonts w:ascii="Arial" w:hAnsi="Arial" w:cs="Arial" w:eastAsia="Arial" w:hint="default"/>
                <w:sz w:val="18"/>
                <w:szCs w:val="18"/>
              </w:rPr>
            </w:pPr>
            <w:r>
              <w:rPr>
                <w:rFonts w:ascii="Arial"/>
                <w:w w:val="100"/>
                <w:sz w:val="18"/>
              </w:rPr>
            </w:r>
            <w:r>
              <w:rPr>
                <w:rFonts w:ascii="Arial"/>
                <w:spacing w:val="-1"/>
                <w:sz w:val="18"/>
                <w:u w:val="single" w:color="000000"/>
              </w:rPr>
              <w:t>2,767,633</w:t>
            </w:r>
            <w:r>
              <w:rPr>
                <w:rFonts w:ascii="Arial"/>
                <w:spacing w:val="-1"/>
                <w:sz w:val="18"/>
              </w:rPr>
            </w:r>
          </w:p>
        </w:tc>
      </w:tr>
      <w:tr>
        <w:trPr>
          <w:trHeight w:val="495" w:hRule="exact"/>
        </w:trPr>
        <w:tc>
          <w:tcPr>
            <w:tcW w:w="369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16"/>
                <w:szCs w:val="16"/>
              </w:rPr>
            </w:pPr>
          </w:p>
          <w:p>
            <w:pPr>
              <w:pStyle w:val="TableParagraph"/>
              <w:spacing w:line="240" w:lineRule="auto"/>
              <w:ind w:left="200" w:right="0"/>
              <w:jc w:val="left"/>
              <w:rPr>
                <w:rFonts w:ascii="黑体" w:hAnsi="黑体" w:cs="黑体" w:eastAsia="黑体" w:hint="default"/>
                <w:sz w:val="18"/>
                <w:szCs w:val="18"/>
              </w:rPr>
            </w:pPr>
            <w:r>
              <w:rPr>
                <w:rFonts w:ascii="黑体" w:hAnsi="黑体" w:cs="黑体" w:eastAsia="黑体" w:hint="default"/>
                <w:sz w:val="18"/>
                <w:szCs w:val="18"/>
              </w:rPr>
              <w:t>成本法：</w:t>
            </w:r>
          </w:p>
        </w:tc>
        <w:tc>
          <w:tcPr>
            <w:tcW w:w="1231"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
        </w:tc>
        <w:tc>
          <w:tcPr>
            <w:tcW w:w="413"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
        </w:tc>
        <w:tc>
          <w:tcPr>
            <w:tcW w:w="1256" w:type="dxa"/>
            <w:tcBorders>
              <w:top w:val="nil" w:sz="6" w:space="0" w:color="auto"/>
              <w:left w:val="nil" w:sz="6" w:space="0" w:color="auto"/>
              <w:bottom w:val="nil" w:sz="6" w:space="0" w:color="auto"/>
              <w:right w:val="nil" w:sz="6" w:space="0" w:color="auto"/>
            </w:tcBorders>
          </w:tcPr>
          <w:p>
            <w:pPr/>
          </w:p>
        </w:tc>
        <w:tc>
          <w:tcPr>
            <w:tcW w:w="1225" w:type="dxa"/>
            <w:tcBorders>
              <w:top w:val="nil" w:sz="6" w:space="0" w:color="auto"/>
              <w:left w:val="nil" w:sz="6" w:space="0" w:color="auto"/>
              <w:bottom w:val="nil" w:sz="6" w:space="0" w:color="auto"/>
              <w:right w:val="nil" w:sz="6" w:space="0" w:color="auto"/>
            </w:tcBorders>
          </w:tcPr>
          <w:p>
            <w:pPr/>
          </w:p>
        </w:tc>
        <w:tc>
          <w:tcPr>
            <w:tcW w:w="1168" w:type="dxa"/>
            <w:tcBorders>
              <w:top w:val="nil" w:sz="6" w:space="0" w:color="auto"/>
              <w:left w:val="nil" w:sz="6" w:space="0" w:color="auto"/>
              <w:bottom w:val="nil" w:sz="6" w:space="0" w:color="auto"/>
              <w:right w:val="nil" w:sz="6" w:space="0" w:color="auto"/>
            </w:tcBorders>
          </w:tcPr>
          <w:p>
            <w:pPr/>
          </w:p>
        </w:tc>
        <w:tc>
          <w:tcPr>
            <w:tcW w:w="1158" w:type="dxa"/>
            <w:tcBorders>
              <w:top w:val="nil" w:sz="6" w:space="0" w:color="auto"/>
              <w:left w:val="nil" w:sz="6" w:space="0" w:color="auto"/>
              <w:bottom w:val="nil" w:sz="6" w:space="0" w:color="auto"/>
              <w:right w:val="nil" w:sz="6" w:space="0" w:color="auto"/>
            </w:tcBorders>
          </w:tcPr>
          <w:p>
            <w:pPr/>
          </w:p>
        </w:tc>
      </w:tr>
      <w:tr>
        <w:trPr>
          <w:trHeight w:val="271" w:hRule="exact"/>
        </w:trPr>
        <w:tc>
          <w:tcPr>
            <w:tcW w:w="3694" w:type="dxa"/>
            <w:tcBorders>
              <w:top w:val="nil" w:sz="6" w:space="0" w:color="auto"/>
              <w:left w:val="nil" w:sz="6" w:space="0" w:color="auto"/>
              <w:bottom w:val="nil" w:sz="6" w:space="0" w:color="auto"/>
              <w:right w:val="nil" w:sz="6" w:space="0" w:color="auto"/>
            </w:tcBorders>
          </w:tcPr>
          <w:p>
            <w:pPr>
              <w:pStyle w:val="TableParagraph"/>
              <w:spacing w:line="218" w:lineRule="exact"/>
              <w:ind w:left="382" w:right="0"/>
              <w:jc w:val="left"/>
              <w:rPr>
                <w:rFonts w:ascii="黑体" w:hAnsi="黑体" w:cs="黑体" w:eastAsia="黑体" w:hint="default"/>
                <w:sz w:val="18"/>
                <w:szCs w:val="18"/>
              </w:rPr>
            </w:pPr>
            <w:r>
              <w:rPr>
                <w:rFonts w:ascii="黑体" w:hAnsi="黑体" w:cs="黑体" w:eastAsia="黑体" w:hint="default"/>
                <w:sz w:val="18"/>
                <w:szCs w:val="18"/>
              </w:rPr>
              <w:t>中投信用担保有限公司</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85"/>
              <w:jc w:val="right"/>
              <w:rPr>
                <w:rFonts w:ascii="Arial" w:hAnsi="Arial" w:cs="Arial" w:eastAsia="Arial" w:hint="default"/>
                <w:sz w:val="18"/>
                <w:szCs w:val="18"/>
              </w:rPr>
            </w:pPr>
            <w:r>
              <w:rPr>
                <w:rFonts w:ascii="Arial"/>
                <w:spacing w:val="-1"/>
                <w:sz w:val="18"/>
              </w:rPr>
              <w:t>5,000,000</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46"/>
              <w:jc w:val="right"/>
              <w:rPr>
                <w:rFonts w:ascii="Arial" w:hAnsi="Arial" w:cs="Arial" w:eastAsia="Arial" w:hint="default"/>
                <w:sz w:val="18"/>
                <w:szCs w:val="18"/>
              </w:rPr>
            </w:pPr>
            <w:r>
              <w:rPr>
                <w:rFonts w:ascii="Arial"/>
                <w:spacing w:val="-1"/>
                <w:sz w:val="18"/>
              </w:rPr>
              <w:t>5,000,000</w:t>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86"/>
              <w:jc w:val="right"/>
              <w:rPr>
                <w:rFonts w:ascii="Arial" w:hAnsi="Arial" w:cs="Arial" w:eastAsia="Arial" w:hint="default"/>
                <w:sz w:val="18"/>
                <w:szCs w:val="18"/>
              </w:rPr>
            </w:pPr>
            <w:r>
              <w:rPr>
                <w:rFonts w:ascii="Arial"/>
                <w:w w:val="99"/>
                <w:sz w:val="18"/>
              </w:rPr>
              <w:t>-</w:t>
            </w:r>
            <w:r>
              <w:rPr>
                <w:rFonts w:ascii="Arial"/>
                <w:sz w:val="18"/>
              </w:rPr>
            </w:r>
          </w:p>
        </w:tc>
        <w:tc>
          <w:tcPr>
            <w:tcW w:w="413"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51"/>
              <w:jc w:val="right"/>
              <w:rPr>
                <w:rFonts w:ascii="Arial" w:hAnsi="Arial" w:cs="Arial" w:eastAsia="Arial" w:hint="default"/>
                <w:sz w:val="18"/>
                <w:szCs w:val="18"/>
              </w:rPr>
            </w:pPr>
            <w:r>
              <w:rPr>
                <w:rFonts w:ascii="Arial"/>
                <w:spacing w:val="-1"/>
                <w:sz w:val="18"/>
              </w:rPr>
              <w:t>5,000,000</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45"/>
              <w:jc w:val="right"/>
              <w:rPr>
                <w:rFonts w:ascii="Arial" w:hAnsi="Arial" w:cs="Arial" w:eastAsia="Arial" w:hint="default"/>
                <w:sz w:val="18"/>
                <w:szCs w:val="18"/>
              </w:rPr>
            </w:pPr>
            <w:r>
              <w:rPr>
                <w:rFonts w:ascii="Arial"/>
                <w:w w:val="95"/>
                <w:sz w:val="18"/>
              </w:rPr>
              <w:t>0.50</w:t>
            </w:r>
            <w:r>
              <w:rPr>
                <w:rFonts w:ascii="Arial"/>
                <w:sz w:val="18"/>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11"/>
              <w:jc w:val="right"/>
              <w:rPr>
                <w:rFonts w:ascii="Arial" w:hAnsi="Arial" w:cs="Arial" w:eastAsia="Arial" w:hint="default"/>
                <w:sz w:val="18"/>
                <w:szCs w:val="18"/>
              </w:rPr>
            </w:pPr>
            <w:r>
              <w:rPr>
                <w:rFonts w:ascii="Arial"/>
                <w:w w:val="95"/>
                <w:sz w:val="18"/>
              </w:rPr>
              <w:t>0.50</w:t>
            </w:r>
            <w:r>
              <w:rPr>
                <w:rFonts w:ascii="Arial"/>
                <w:sz w:val="18"/>
              </w:rPr>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96"/>
              <w:jc w:val="right"/>
              <w:rPr>
                <w:rFonts w:ascii="Arial" w:hAnsi="Arial" w:cs="Arial" w:eastAsia="Arial" w:hint="default"/>
                <w:sz w:val="18"/>
                <w:szCs w:val="18"/>
              </w:rPr>
            </w:pPr>
            <w:r>
              <w:rPr>
                <w:rFonts w:ascii="Arial"/>
                <w:w w:val="99"/>
                <w:sz w:val="18"/>
              </w:rPr>
              <w:t>-</w:t>
            </w:r>
            <w:r>
              <w:rPr>
                <w:rFonts w:ascii="Arial"/>
                <w:sz w:val="18"/>
              </w:rPr>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94"/>
              <w:jc w:val="right"/>
              <w:rPr>
                <w:rFonts w:ascii="Arial" w:hAnsi="Arial" w:cs="Arial" w:eastAsia="Arial" w:hint="default"/>
                <w:sz w:val="18"/>
                <w:szCs w:val="18"/>
              </w:rPr>
            </w:pPr>
            <w:r>
              <w:rPr>
                <w:rFonts w:ascii="Arial"/>
                <w:w w:val="99"/>
                <w:sz w:val="18"/>
              </w:rPr>
              <w:t>-</w:t>
            </w:r>
            <w:r>
              <w:rPr>
                <w:rFonts w:ascii="Arial"/>
                <w:sz w:val="18"/>
              </w:rPr>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00"/>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3694" w:type="dxa"/>
            <w:tcBorders>
              <w:top w:val="nil" w:sz="6" w:space="0" w:color="auto"/>
              <w:left w:val="nil" w:sz="6" w:space="0" w:color="auto"/>
              <w:bottom w:val="nil" w:sz="6" w:space="0" w:color="auto"/>
              <w:right w:val="nil" w:sz="6" w:space="0" w:color="auto"/>
            </w:tcBorders>
          </w:tcPr>
          <w:p>
            <w:pPr>
              <w:pStyle w:val="TableParagraph"/>
              <w:spacing w:line="202" w:lineRule="exact"/>
              <w:ind w:left="382" w:right="0"/>
              <w:jc w:val="left"/>
              <w:rPr>
                <w:rFonts w:ascii="黑体" w:hAnsi="黑体" w:cs="黑体" w:eastAsia="黑体" w:hint="default"/>
                <w:sz w:val="18"/>
                <w:szCs w:val="18"/>
              </w:rPr>
            </w:pPr>
            <w:r>
              <w:rPr>
                <w:rFonts w:ascii="黑体" w:hAnsi="黑体" w:cs="黑体" w:eastAsia="黑体" w:hint="default"/>
                <w:sz w:val="18"/>
                <w:szCs w:val="18"/>
              </w:rPr>
              <w:t>北京瑞友科技有限公司</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85"/>
              <w:jc w:val="right"/>
              <w:rPr>
                <w:rFonts w:ascii="Arial" w:hAnsi="Arial" w:cs="Arial" w:eastAsia="Arial" w:hint="default"/>
                <w:sz w:val="18"/>
                <w:szCs w:val="18"/>
              </w:rPr>
            </w:pPr>
            <w:r>
              <w:rPr>
                <w:rFonts w:ascii="Arial"/>
                <w:spacing w:val="-1"/>
                <w:sz w:val="18"/>
              </w:rPr>
              <w:t>4,615,766</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6"/>
              <w:jc w:val="right"/>
              <w:rPr>
                <w:rFonts w:ascii="Arial" w:hAnsi="Arial" w:cs="Arial" w:eastAsia="Arial" w:hint="default"/>
                <w:sz w:val="18"/>
                <w:szCs w:val="18"/>
              </w:rPr>
            </w:pPr>
            <w:r>
              <w:rPr>
                <w:rFonts w:ascii="Arial"/>
                <w:spacing w:val="-1"/>
                <w:sz w:val="18"/>
              </w:rPr>
              <w:t>4,615,766</w:t>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6"/>
              <w:jc w:val="right"/>
              <w:rPr>
                <w:rFonts w:ascii="Arial" w:hAnsi="Arial" w:cs="Arial" w:eastAsia="Arial" w:hint="default"/>
                <w:sz w:val="18"/>
                <w:szCs w:val="18"/>
              </w:rPr>
            </w:pPr>
            <w:r>
              <w:rPr>
                <w:rFonts w:ascii="Arial"/>
                <w:w w:val="99"/>
                <w:sz w:val="18"/>
              </w:rPr>
              <w:t>-</w:t>
            </w:r>
            <w:r>
              <w:rPr>
                <w:rFonts w:ascii="Arial"/>
                <w:sz w:val="18"/>
              </w:rPr>
            </w:r>
          </w:p>
        </w:tc>
        <w:tc>
          <w:tcPr>
            <w:tcW w:w="413"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1"/>
              <w:jc w:val="right"/>
              <w:rPr>
                <w:rFonts w:ascii="Arial" w:hAnsi="Arial" w:cs="Arial" w:eastAsia="Arial" w:hint="default"/>
                <w:sz w:val="18"/>
                <w:szCs w:val="18"/>
              </w:rPr>
            </w:pPr>
            <w:r>
              <w:rPr>
                <w:rFonts w:ascii="Arial"/>
                <w:spacing w:val="-1"/>
                <w:sz w:val="18"/>
              </w:rPr>
              <w:t>4,615,766</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5"/>
              <w:jc w:val="right"/>
              <w:rPr>
                <w:rFonts w:ascii="Arial" w:hAnsi="Arial" w:cs="Arial" w:eastAsia="Arial" w:hint="default"/>
                <w:sz w:val="18"/>
                <w:szCs w:val="18"/>
              </w:rPr>
            </w:pPr>
            <w:r>
              <w:rPr>
                <w:rFonts w:ascii="Arial"/>
                <w:w w:val="95"/>
                <w:sz w:val="18"/>
              </w:rPr>
              <w:t>18.73</w:t>
            </w:r>
            <w:r>
              <w:rPr>
                <w:rFonts w:ascii="Arial"/>
                <w:sz w:val="18"/>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11"/>
              <w:jc w:val="right"/>
              <w:rPr>
                <w:rFonts w:ascii="Arial" w:hAnsi="Arial" w:cs="Arial" w:eastAsia="Arial" w:hint="default"/>
                <w:sz w:val="18"/>
                <w:szCs w:val="18"/>
              </w:rPr>
            </w:pPr>
            <w:r>
              <w:rPr>
                <w:rFonts w:ascii="Arial"/>
                <w:w w:val="95"/>
                <w:sz w:val="18"/>
              </w:rPr>
              <w:t>18.73</w:t>
            </w:r>
            <w:r>
              <w:rPr>
                <w:rFonts w:ascii="Arial"/>
                <w:sz w:val="18"/>
              </w:rPr>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96"/>
              <w:jc w:val="right"/>
              <w:rPr>
                <w:rFonts w:ascii="Arial" w:hAnsi="Arial" w:cs="Arial" w:eastAsia="Arial" w:hint="default"/>
                <w:sz w:val="18"/>
                <w:szCs w:val="18"/>
              </w:rPr>
            </w:pPr>
            <w:r>
              <w:rPr>
                <w:rFonts w:ascii="Arial"/>
                <w:w w:val="99"/>
                <w:sz w:val="18"/>
              </w:rPr>
              <w:t>-</w:t>
            </w:r>
            <w:r>
              <w:rPr>
                <w:rFonts w:ascii="Arial"/>
                <w:sz w:val="18"/>
              </w:rPr>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94"/>
              <w:jc w:val="right"/>
              <w:rPr>
                <w:rFonts w:ascii="Arial" w:hAnsi="Arial" w:cs="Arial" w:eastAsia="Arial" w:hint="default"/>
                <w:sz w:val="18"/>
                <w:szCs w:val="18"/>
              </w:rPr>
            </w:pPr>
            <w:r>
              <w:rPr>
                <w:rFonts w:ascii="Arial"/>
                <w:w w:val="99"/>
                <w:sz w:val="18"/>
              </w:rPr>
              <w:t>-</w:t>
            </w:r>
            <w:r>
              <w:rPr>
                <w:rFonts w:ascii="Arial"/>
                <w:sz w:val="18"/>
              </w:rPr>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00"/>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3694" w:type="dxa"/>
            <w:tcBorders>
              <w:top w:val="nil" w:sz="6" w:space="0" w:color="auto"/>
              <w:left w:val="nil" w:sz="6" w:space="0" w:color="auto"/>
              <w:bottom w:val="nil" w:sz="6" w:space="0" w:color="auto"/>
              <w:right w:val="nil" w:sz="6" w:space="0" w:color="auto"/>
            </w:tcBorders>
          </w:tcPr>
          <w:p>
            <w:pPr>
              <w:pStyle w:val="TableParagraph"/>
              <w:spacing w:line="202" w:lineRule="exact"/>
              <w:ind w:left="382" w:right="0"/>
              <w:jc w:val="left"/>
              <w:rPr>
                <w:rFonts w:ascii="黑体" w:hAnsi="黑体" w:cs="黑体" w:eastAsia="黑体" w:hint="default"/>
                <w:sz w:val="18"/>
                <w:szCs w:val="18"/>
              </w:rPr>
            </w:pPr>
            <w:r>
              <w:rPr>
                <w:rFonts w:ascii="黑体" w:hAnsi="黑体" w:cs="黑体" w:eastAsia="黑体" w:hint="default"/>
                <w:spacing w:val="-4"/>
                <w:sz w:val="18"/>
                <w:szCs w:val="18"/>
              </w:rPr>
              <w:t>中企永联数据交换技术（北京）有限公司</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85"/>
              <w:jc w:val="right"/>
              <w:rPr>
                <w:rFonts w:ascii="Arial" w:hAnsi="Arial" w:cs="Arial" w:eastAsia="Arial" w:hint="default"/>
                <w:sz w:val="18"/>
                <w:szCs w:val="18"/>
              </w:rPr>
            </w:pPr>
            <w:r>
              <w:rPr>
                <w:rFonts w:ascii="Arial"/>
                <w:spacing w:val="-1"/>
                <w:sz w:val="18"/>
              </w:rPr>
              <w:t>2,500,000</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6"/>
              <w:jc w:val="right"/>
              <w:rPr>
                <w:rFonts w:ascii="Arial" w:hAnsi="Arial" w:cs="Arial" w:eastAsia="Arial" w:hint="default"/>
                <w:sz w:val="18"/>
                <w:szCs w:val="18"/>
              </w:rPr>
            </w:pPr>
            <w:r>
              <w:rPr>
                <w:rFonts w:ascii="Arial"/>
                <w:spacing w:val="-1"/>
                <w:sz w:val="18"/>
              </w:rPr>
              <w:t>2,500,000</w:t>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2"/>
              <w:jc w:val="right"/>
              <w:rPr>
                <w:rFonts w:ascii="Arial" w:hAnsi="Arial" w:cs="Arial" w:eastAsia="Arial" w:hint="default"/>
                <w:sz w:val="18"/>
                <w:szCs w:val="18"/>
              </w:rPr>
            </w:pPr>
            <w:r>
              <w:rPr>
                <w:rFonts w:ascii="Arial"/>
                <w:w w:val="99"/>
                <w:sz w:val="18"/>
              </w:rPr>
              <w:t>-</w:t>
            </w:r>
            <w:r>
              <w:rPr>
                <w:rFonts w:ascii="Arial"/>
                <w:sz w:val="18"/>
              </w:rPr>
            </w:r>
          </w:p>
        </w:tc>
        <w:tc>
          <w:tcPr>
            <w:tcW w:w="413"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1"/>
              <w:jc w:val="right"/>
              <w:rPr>
                <w:rFonts w:ascii="Arial" w:hAnsi="Arial" w:cs="Arial" w:eastAsia="Arial" w:hint="default"/>
                <w:sz w:val="18"/>
                <w:szCs w:val="18"/>
              </w:rPr>
            </w:pPr>
            <w:r>
              <w:rPr>
                <w:rFonts w:ascii="Arial"/>
                <w:spacing w:val="-1"/>
                <w:sz w:val="18"/>
              </w:rPr>
              <w:t>2,500,000</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5"/>
              <w:jc w:val="right"/>
              <w:rPr>
                <w:rFonts w:ascii="Arial" w:hAnsi="Arial" w:cs="Arial" w:eastAsia="Arial" w:hint="default"/>
                <w:sz w:val="18"/>
                <w:szCs w:val="18"/>
              </w:rPr>
            </w:pPr>
            <w:r>
              <w:rPr>
                <w:rFonts w:ascii="Arial"/>
                <w:w w:val="95"/>
                <w:sz w:val="18"/>
              </w:rPr>
              <w:t>19.81</w:t>
            </w:r>
            <w:r>
              <w:rPr>
                <w:rFonts w:ascii="Arial"/>
                <w:sz w:val="18"/>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11"/>
              <w:jc w:val="right"/>
              <w:rPr>
                <w:rFonts w:ascii="Arial" w:hAnsi="Arial" w:cs="Arial" w:eastAsia="Arial" w:hint="default"/>
                <w:sz w:val="18"/>
                <w:szCs w:val="18"/>
              </w:rPr>
            </w:pPr>
            <w:r>
              <w:rPr>
                <w:rFonts w:ascii="Arial"/>
                <w:w w:val="95"/>
                <w:sz w:val="18"/>
              </w:rPr>
              <w:t>19.81</w:t>
            </w:r>
            <w:r>
              <w:rPr>
                <w:rFonts w:ascii="Arial"/>
                <w:sz w:val="18"/>
              </w:rPr>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96"/>
              <w:jc w:val="right"/>
              <w:rPr>
                <w:rFonts w:ascii="Arial" w:hAnsi="Arial" w:cs="Arial" w:eastAsia="Arial" w:hint="default"/>
                <w:sz w:val="18"/>
                <w:szCs w:val="18"/>
              </w:rPr>
            </w:pPr>
            <w:r>
              <w:rPr>
                <w:rFonts w:ascii="Arial"/>
                <w:w w:val="99"/>
                <w:sz w:val="18"/>
              </w:rPr>
              <w:t>-</w:t>
            </w:r>
            <w:r>
              <w:rPr>
                <w:rFonts w:ascii="Arial"/>
                <w:sz w:val="18"/>
              </w:rPr>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94"/>
              <w:jc w:val="right"/>
              <w:rPr>
                <w:rFonts w:ascii="Arial" w:hAnsi="Arial" w:cs="Arial" w:eastAsia="Arial" w:hint="default"/>
                <w:sz w:val="18"/>
                <w:szCs w:val="18"/>
              </w:rPr>
            </w:pPr>
            <w:r>
              <w:rPr>
                <w:rFonts w:ascii="Arial"/>
                <w:w w:val="99"/>
                <w:sz w:val="18"/>
              </w:rPr>
              <w:t>-</w:t>
            </w:r>
            <w:r>
              <w:rPr>
                <w:rFonts w:ascii="Arial"/>
                <w:sz w:val="18"/>
              </w:rPr>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00"/>
              <w:jc w:val="right"/>
              <w:rPr>
                <w:rFonts w:ascii="Arial" w:hAnsi="Arial" w:cs="Arial" w:eastAsia="Arial" w:hint="default"/>
                <w:sz w:val="18"/>
                <w:szCs w:val="18"/>
              </w:rPr>
            </w:pPr>
            <w:r>
              <w:rPr>
                <w:rFonts w:ascii="Arial"/>
                <w:w w:val="99"/>
                <w:sz w:val="18"/>
              </w:rPr>
              <w:t>-</w:t>
            </w:r>
            <w:r>
              <w:rPr>
                <w:rFonts w:ascii="Arial"/>
                <w:sz w:val="18"/>
              </w:rPr>
            </w:r>
          </w:p>
        </w:tc>
      </w:tr>
      <w:tr>
        <w:trPr>
          <w:trHeight w:val="256" w:hRule="exact"/>
        </w:trPr>
        <w:tc>
          <w:tcPr>
            <w:tcW w:w="3694" w:type="dxa"/>
            <w:tcBorders>
              <w:top w:val="nil" w:sz="6" w:space="0" w:color="auto"/>
              <w:left w:val="nil" w:sz="6" w:space="0" w:color="auto"/>
              <w:bottom w:val="nil" w:sz="6" w:space="0" w:color="auto"/>
              <w:right w:val="nil" w:sz="6" w:space="0" w:color="auto"/>
            </w:tcBorders>
          </w:tcPr>
          <w:p>
            <w:pPr>
              <w:pStyle w:val="TableParagraph"/>
              <w:spacing w:line="202" w:lineRule="exact"/>
              <w:ind w:left="382" w:right="0"/>
              <w:jc w:val="left"/>
              <w:rPr>
                <w:rFonts w:ascii="黑体" w:hAnsi="黑体" w:cs="黑体" w:eastAsia="黑体" w:hint="default"/>
                <w:sz w:val="18"/>
                <w:szCs w:val="18"/>
              </w:rPr>
            </w:pPr>
            <w:r>
              <w:rPr>
                <w:rFonts w:ascii="黑体" w:hAnsi="黑体" w:cs="黑体" w:eastAsia="黑体" w:hint="default"/>
                <w:sz w:val="18"/>
                <w:szCs w:val="18"/>
              </w:rPr>
              <w:t>中科方德软件有限公司</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85"/>
              <w:jc w:val="right"/>
              <w:rPr>
                <w:rFonts w:ascii="Arial" w:hAnsi="Arial" w:cs="Arial" w:eastAsia="Arial" w:hint="default"/>
                <w:sz w:val="18"/>
                <w:szCs w:val="18"/>
              </w:rPr>
            </w:pPr>
            <w:r>
              <w:rPr>
                <w:rFonts w:ascii="Arial"/>
                <w:spacing w:val="-1"/>
                <w:sz w:val="18"/>
              </w:rPr>
              <w:t>11,500,000</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7"/>
              <w:jc w:val="right"/>
              <w:rPr>
                <w:rFonts w:ascii="Arial" w:hAnsi="Arial" w:cs="Arial" w:eastAsia="Arial" w:hint="default"/>
                <w:sz w:val="18"/>
                <w:szCs w:val="18"/>
              </w:rPr>
            </w:pPr>
            <w:r>
              <w:rPr>
                <w:rFonts w:ascii="Arial"/>
                <w:spacing w:val="-1"/>
                <w:sz w:val="18"/>
              </w:rPr>
              <w:t>11,500,000</w:t>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2"/>
              <w:jc w:val="right"/>
              <w:rPr>
                <w:rFonts w:ascii="Arial" w:hAnsi="Arial" w:cs="Arial" w:eastAsia="Arial" w:hint="default"/>
                <w:sz w:val="18"/>
                <w:szCs w:val="18"/>
              </w:rPr>
            </w:pPr>
            <w:r>
              <w:rPr>
                <w:rFonts w:ascii="Arial"/>
                <w:w w:val="99"/>
                <w:sz w:val="18"/>
              </w:rPr>
              <w:t>-</w:t>
            </w:r>
            <w:r>
              <w:rPr>
                <w:rFonts w:ascii="Arial"/>
                <w:sz w:val="18"/>
              </w:rPr>
            </w:r>
          </w:p>
        </w:tc>
        <w:tc>
          <w:tcPr>
            <w:tcW w:w="413"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2"/>
              <w:jc w:val="right"/>
              <w:rPr>
                <w:rFonts w:ascii="Arial" w:hAnsi="Arial" w:cs="Arial" w:eastAsia="Arial" w:hint="default"/>
                <w:sz w:val="18"/>
                <w:szCs w:val="18"/>
              </w:rPr>
            </w:pPr>
            <w:r>
              <w:rPr>
                <w:rFonts w:ascii="Arial"/>
                <w:spacing w:val="-1"/>
                <w:sz w:val="18"/>
              </w:rPr>
              <w:t>11,500,000</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5"/>
              <w:jc w:val="right"/>
              <w:rPr>
                <w:rFonts w:ascii="Arial" w:hAnsi="Arial" w:cs="Arial" w:eastAsia="Arial" w:hint="default"/>
                <w:sz w:val="18"/>
                <w:szCs w:val="18"/>
              </w:rPr>
            </w:pPr>
            <w:r>
              <w:rPr>
                <w:rFonts w:ascii="Arial"/>
                <w:w w:val="95"/>
                <w:sz w:val="18"/>
              </w:rPr>
              <w:t>11.25</w:t>
            </w:r>
            <w:r>
              <w:rPr>
                <w:rFonts w:ascii="Arial"/>
                <w:sz w:val="18"/>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11"/>
              <w:jc w:val="right"/>
              <w:rPr>
                <w:rFonts w:ascii="Arial" w:hAnsi="Arial" w:cs="Arial" w:eastAsia="Arial" w:hint="default"/>
                <w:sz w:val="18"/>
                <w:szCs w:val="18"/>
              </w:rPr>
            </w:pPr>
            <w:r>
              <w:rPr>
                <w:rFonts w:ascii="Arial"/>
                <w:w w:val="95"/>
                <w:sz w:val="18"/>
              </w:rPr>
              <w:t>11.25</w:t>
            </w:r>
            <w:r>
              <w:rPr>
                <w:rFonts w:ascii="Arial"/>
                <w:sz w:val="18"/>
              </w:rPr>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96"/>
              <w:jc w:val="right"/>
              <w:rPr>
                <w:rFonts w:ascii="Arial" w:hAnsi="Arial" w:cs="Arial" w:eastAsia="Arial" w:hint="default"/>
                <w:sz w:val="18"/>
                <w:szCs w:val="18"/>
              </w:rPr>
            </w:pPr>
            <w:r>
              <w:rPr>
                <w:rFonts w:ascii="Arial"/>
                <w:w w:val="99"/>
                <w:sz w:val="18"/>
              </w:rPr>
              <w:t>-</w:t>
            </w:r>
            <w:r>
              <w:rPr>
                <w:rFonts w:ascii="Arial"/>
                <w:sz w:val="18"/>
              </w:rPr>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94"/>
              <w:jc w:val="right"/>
              <w:rPr>
                <w:rFonts w:ascii="Arial" w:hAnsi="Arial" w:cs="Arial" w:eastAsia="Arial" w:hint="default"/>
                <w:sz w:val="18"/>
                <w:szCs w:val="18"/>
              </w:rPr>
            </w:pPr>
            <w:r>
              <w:rPr>
                <w:rFonts w:ascii="Arial"/>
                <w:w w:val="99"/>
                <w:sz w:val="18"/>
              </w:rPr>
              <w:t>-</w:t>
            </w:r>
            <w:r>
              <w:rPr>
                <w:rFonts w:ascii="Arial"/>
                <w:sz w:val="18"/>
              </w:rPr>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98"/>
              <w:jc w:val="right"/>
              <w:rPr>
                <w:rFonts w:ascii="Arial" w:hAnsi="Arial" w:cs="Arial" w:eastAsia="Arial" w:hint="default"/>
                <w:sz w:val="18"/>
                <w:szCs w:val="18"/>
              </w:rPr>
            </w:pPr>
            <w:r>
              <w:rPr>
                <w:rFonts w:ascii="Arial"/>
                <w:spacing w:val="-1"/>
                <w:sz w:val="18"/>
              </w:rPr>
              <w:t>1,170,000</w:t>
            </w:r>
          </w:p>
        </w:tc>
      </w:tr>
      <w:tr>
        <w:trPr>
          <w:trHeight w:val="256" w:hRule="exact"/>
        </w:trPr>
        <w:tc>
          <w:tcPr>
            <w:tcW w:w="3694" w:type="dxa"/>
            <w:tcBorders>
              <w:top w:val="nil" w:sz="6" w:space="0" w:color="auto"/>
              <w:left w:val="nil" w:sz="6" w:space="0" w:color="auto"/>
              <w:bottom w:val="nil" w:sz="6" w:space="0" w:color="auto"/>
              <w:right w:val="nil" w:sz="6" w:space="0" w:color="auto"/>
            </w:tcBorders>
          </w:tcPr>
          <w:p>
            <w:pPr>
              <w:pStyle w:val="TableParagraph"/>
              <w:spacing w:line="203" w:lineRule="exact"/>
              <w:ind w:left="382" w:right="0"/>
              <w:jc w:val="left"/>
              <w:rPr>
                <w:rFonts w:ascii="黑体" w:hAnsi="黑体" w:cs="黑体" w:eastAsia="黑体" w:hint="default"/>
                <w:sz w:val="18"/>
                <w:szCs w:val="18"/>
              </w:rPr>
            </w:pPr>
            <w:r>
              <w:rPr>
                <w:rFonts w:ascii="黑体" w:hAnsi="黑体" w:cs="黑体" w:eastAsia="黑体" w:hint="default"/>
                <w:sz w:val="18"/>
                <w:szCs w:val="18"/>
              </w:rPr>
              <w:t>深圳市新希元软件技术有限公司</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85"/>
              <w:jc w:val="right"/>
              <w:rPr>
                <w:rFonts w:ascii="Arial" w:hAnsi="Arial" w:cs="Arial" w:eastAsia="Arial" w:hint="default"/>
                <w:sz w:val="18"/>
                <w:szCs w:val="18"/>
              </w:rPr>
            </w:pPr>
            <w:r>
              <w:rPr>
                <w:rFonts w:ascii="Arial"/>
                <w:spacing w:val="-1"/>
                <w:sz w:val="18"/>
              </w:rPr>
              <w:t>5,000,000</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46"/>
              <w:jc w:val="right"/>
              <w:rPr>
                <w:rFonts w:ascii="Arial" w:hAnsi="Arial" w:cs="Arial" w:eastAsia="Arial" w:hint="default"/>
                <w:sz w:val="18"/>
                <w:szCs w:val="18"/>
              </w:rPr>
            </w:pPr>
            <w:r>
              <w:rPr>
                <w:rFonts w:ascii="Arial"/>
                <w:spacing w:val="-1"/>
                <w:sz w:val="18"/>
              </w:rPr>
              <w:t>5,000,000</w:t>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62"/>
              <w:jc w:val="right"/>
              <w:rPr>
                <w:rFonts w:ascii="Arial" w:hAnsi="Arial" w:cs="Arial" w:eastAsia="Arial" w:hint="default"/>
                <w:sz w:val="18"/>
                <w:szCs w:val="18"/>
              </w:rPr>
            </w:pPr>
            <w:r>
              <w:rPr>
                <w:rFonts w:ascii="Arial"/>
                <w:w w:val="99"/>
                <w:sz w:val="18"/>
              </w:rPr>
              <w:t>-</w:t>
            </w:r>
            <w:r>
              <w:rPr>
                <w:rFonts w:ascii="Arial"/>
                <w:sz w:val="18"/>
              </w:rPr>
            </w:r>
          </w:p>
        </w:tc>
        <w:tc>
          <w:tcPr>
            <w:tcW w:w="413"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51"/>
              <w:jc w:val="right"/>
              <w:rPr>
                <w:rFonts w:ascii="Arial" w:hAnsi="Arial" w:cs="Arial" w:eastAsia="Arial" w:hint="default"/>
                <w:sz w:val="18"/>
                <w:szCs w:val="18"/>
              </w:rPr>
            </w:pPr>
            <w:r>
              <w:rPr>
                <w:rFonts w:ascii="Arial"/>
                <w:spacing w:val="-1"/>
                <w:sz w:val="18"/>
              </w:rPr>
              <w:t>5,000,000</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45"/>
              <w:jc w:val="right"/>
              <w:rPr>
                <w:rFonts w:ascii="Arial" w:hAnsi="Arial" w:cs="Arial" w:eastAsia="Arial" w:hint="default"/>
                <w:sz w:val="18"/>
                <w:szCs w:val="18"/>
              </w:rPr>
            </w:pPr>
            <w:r>
              <w:rPr>
                <w:rFonts w:ascii="Arial"/>
                <w:w w:val="95"/>
                <w:sz w:val="18"/>
              </w:rPr>
              <w:t>19.80</w:t>
            </w:r>
            <w:r>
              <w:rPr>
                <w:rFonts w:ascii="Arial"/>
                <w:sz w:val="18"/>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11"/>
              <w:jc w:val="right"/>
              <w:rPr>
                <w:rFonts w:ascii="Arial" w:hAnsi="Arial" w:cs="Arial" w:eastAsia="Arial" w:hint="default"/>
                <w:sz w:val="18"/>
                <w:szCs w:val="18"/>
              </w:rPr>
            </w:pPr>
            <w:r>
              <w:rPr>
                <w:rFonts w:ascii="Arial"/>
                <w:w w:val="95"/>
                <w:sz w:val="18"/>
              </w:rPr>
              <w:t>19.80</w:t>
            </w:r>
            <w:r>
              <w:rPr>
                <w:rFonts w:ascii="Arial"/>
                <w:sz w:val="18"/>
              </w:rPr>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96"/>
              <w:jc w:val="right"/>
              <w:rPr>
                <w:rFonts w:ascii="Arial" w:hAnsi="Arial" w:cs="Arial" w:eastAsia="Arial" w:hint="default"/>
                <w:sz w:val="18"/>
                <w:szCs w:val="18"/>
              </w:rPr>
            </w:pPr>
            <w:r>
              <w:rPr>
                <w:rFonts w:ascii="Arial"/>
                <w:w w:val="99"/>
                <w:sz w:val="18"/>
              </w:rPr>
              <w:t>-</w:t>
            </w:r>
            <w:r>
              <w:rPr>
                <w:rFonts w:ascii="Arial"/>
                <w:sz w:val="18"/>
              </w:rPr>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94"/>
              <w:jc w:val="right"/>
              <w:rPr>
                <w:rFonts w:ascii="Arial" w:hAnsi="Arial" w:cs="Arial" w:eastAsia="Arial" w:hint="default"/>
                <w:sz w:val="18"/>
                <w:szCs w:val="18"/>
              </w:rPr>
            </w:pPr>
            <w:r>
              <w:rPr>
                <w:rFonts w:ascii="Arial"/>
                <w:w w:val="99"/>
                <w:sz w:val="18"/>
              </w:rPr>
              <w:t>-</w:t>
            </w:r>
            <w:r>
              <w:rPr>
                <w:rFonts w:ascii="Arial"/>
                <w:sz w:val="18"/>
              </w:rPr>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00"/>
              <w:jc w:val="right"/>
              <w:rPr>
                <w:rFonts w:ascii="Arial" w:hAnsi="Arial" w:cs="Arial" w:eastAsia="Arial" w:hint="default"/>
                <w:sz w:val="18"/>
                <w:szCs w:val="18"/>
              </w:rPr>
            </w:pPr>
            <w:r>
              <w:rPr>
                <w:rFonts w:ascii="Arial"/>
                <w:w w:val="99"/>
                <w:sz w:val="18"/>
              </w:rPr>
              <w:t>-</w:t>
            </w:r>
            <w:r>
              <w:rPr>
                <w:rFonts w:ascii="Arial"/>
                <w:sz w:val="18"/>
              </w:rPr>
            </w:r>
          </w:p>
        </w:tc>
      </w:tr>
      <w:tr>
        <w:trPr>
          <w:trHeight w:val="232" w:hRule="exact"/>
        </w:trPr>
        <w:tc>
          <w:tcPr>
            <w:tcW w:w="3694" w:type="dxa"/>
            <w:tcBorders>
              <w:top w:val="nil" w:sz="6" w:space="0" w:color="auto"/>
              <w:left w:val="nil" w:sz="6" w:space="0" w:color="auto"/>
              <w:bottom w:val="nil" w:sz="6" w:space="0" w:color="auto"/>
              <w:right w:val="nil" w:sz="6" w:space="0" w:color="auto"/>
            </w:tcBorders>
          </w:tcPr>
          <w:p>
            <w:pPr>
              <w:pStyle w:val="TableParagraph"/>
              <w:spacing w:line="202" w:lineRule="exact"/>
              <w:ind w:left="382" w:right="0"/>
              <w:jc w:val="left"/>
              <w:rPr>
                <w:rFonts w:ascii="黑体" w:hAnsi="黑体" w:cs="黑体" w:eastAsia="黑体" w:hint="default"/>
                <w:sz w:val="18"/>
                <w:szCs w:val="18"/>
              </w:rPr>
            </w:pPr>
            <w:r>
              <w:rPr>
                <w:rFonts w:ascii="黑体" w:hAnsi="黑体" w:cs="黑体" w:eastAsia="黑体" w:hint="default"/>
                <w:sz w:val="18"/>
                <w:szCs w:val="18"/>
              </w:rPr>
              <w:t>通联支付网络服务股份有限公司</w:t>
            </w:r>
          </w:p>
        </w:tc>
        <w:tc>
          <w:tcPr>
            <w:tcW w:w="123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85"/>
              <w:jc w:val="right"/>
              <w:rPr>
                <w:rFonts w:ascii="Arial" w:hAnsi="Arial" w:cs="Arial" w:eastAsia="Arial" w:hint="default"/>
                <w:sz w:val="18"/>
                <w:szCs w:val="18"/>
              </w:rPr>
            </w:pPr>
            <w:r>
              <w:rPr>
                <w:rFonts w:ascii="Arial"/>
                <w:spacing w:val="-1"/>
                <w:sz w:val="18"/>
              </w:rPr>
              <w:t>45,000,000</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7"/>
              <w:jc w:val="right"/>
              <w:rPr>
                <w:rFonts w:ascii="Arial" w:hAnsi="Arial" w:cs="Arial" w:eastAsia="Arial" w:hint="default"/>
                <w:sz w:val="18"/>
                <w:szCs w:val="18"/>
              </w:rPr>
            </w:pPr>
            <w:r>
              <w:rPr>
                <w:rFonts w:ascii="Arial"/>
                <w:spacing w:val="-1"/>
                <w:sz w:val="18"/>
              </w:rPr>
              <w:t>45,000,000</w:t>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2"/>
              <w:jc w:val="right"/>
              <w:rPr>
                <w:rFonts w:ascii="Arial" w:hAnsi="Arial" w:cs="Arial" w:eastAsia="Arial" w:hint="default"/>
                <w:sz w:val="18"/>
                <w:szCs w:val="18"/>
              </w:rPr>
            </w:pPr>
            <w:r>
              <w:rPr>
                <w:rFonts w:ascii="Arial"/>
                <w:w w:val="99"/>
                <w:sz w:val="18"/>
              </w:rPr>
              <w:t>-</w:t>
            </w:r>
            <w:r>
              <w:rPr>
                <w:rFonts w:ascii="Arial"/>
                <w:sz w:val="18"/>
              </w:rPr>
            </w:r>
          </w:p>
        </w:tc>
        <w:tc>
          <w:tcPr>
            <w:tcW w:w="413"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2"/>
              <w:jc w:val="right"/>
              <w:rPr>
                <w:rFonts w:ascii="Arial" w:hAnsi="Arial" w:cs="Arial" w:eastAsia="Arial" w:hint="default"/>
                <w:sz w:val="18"/>
                <w:szCs w:val="18"/>
              </w:rPr>
            </w:pPr>
            <w:r>
              <w:rPr>
                <w:rFonts w:ascii="Arial"/>
                <w:spacing w:val="-1"/>
                <w:sz w:val="18"/>
              </w:rPr>
              <w:t>45,000,000</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5"/>
              <w:jc w:val="right"/>
              <w:rPr>
                <w:rFonts w:ascii="Arial" w:hAnsi="Arial" w:cs="Arial" w:eastAsia="Arial" w:hint="default"/>
                <w:sz w:val="18"/>
                <w:szCs w:val="18"/>
              </w:rPr>
            </w:pPr>
            <w:r>
              <w:rPr>
                <w:rFonts w:ascii="Arial"/>
                <w:w w:val="95"/>
                <w:sz w:val="18"/>
              </w:rPr>
              <w:t>2.05</w:t>
            </w:r>
            <w:r>
              <w:rPr>
                <w:rFonts w:ascii="Arial"/>
                <w:sz w:val="18"/>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11"/>
              <w:jc w:val="right"/>
              <w:rPr>
                <w:rFonts w:ascii="Arial" w:hAnsi="Arial" w:cs="Arial" w:eastAsia="Arial" w:hint="default"/>
                <w:sz w:val="18"/>
                <w:szCs w:val="18"/>
              </w:rPr>
            </w:pPr>
            <w:r>
              <w:rPr>
                <w:rFonts w:ascii="Arial"/>
                <w:w w:val="95"/>
                <w:sz w:val="18"/>
              </w:rPr>
              <w:t>2.05</w:t>
            </w:r>
            <w:r>
              <w:rPr>
                <w:rFonts w:ascii="Arial"/>
                <w:sz w:val="18"/>
              </w:rPr>
            </w:r>
          </w:p>
        </w:tc>
        <w:tc>
          <w:tcPr>
            <w:tcW w:w="122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96"/>
              <w:jc w:val="right"/>
              <w:rPr>
                <w:rFonts w:ascii="Arial" w:hAnsi="Arial" w:cs="Arial" w:eastAsia="Arial" w:hint="default"/>
                <w:sz w:val="18"/>
                <w:szCs w:val="18"/>
              </w:rPr>
            </w:pPr>
            <w:r>
              <w:rPr>
                <w:rFonts w:ascii="Arial"/>
                <w:w w:val="99"/>
                <w:sz w:val="18"/>
              </w:rPr>
              <w:t>-</w:t>
            </w:r>
            <w:r>
              <w:rPr>
                <w:rFonts w:ascii="Arial"/>
                <w:sz w:val="18"/>
              </w:rPr>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94"/>
              <w:jc w:val="right"/>
              <w:rPr>
                <w:rFonts w:ascii="Arial" w:hAnsi="Arial" w:cs="Arial" w:eastAsia="Arial" w:hint="default"/>
                <w:sz w:val="18"/>
                <w:szCs w:val="18"/>
              </w:rPr>
            </w:pPr>
            <w:r>
              <w:rPr>
                <w:rFonts w:ascii="Arial"/>
                <w:w w:val="99"/>
                <w:sz w:val="18"/>
              </w:rPr>
              <w:t>-</w:t>
            </w:r>
            <w:r>
              <w:rPr>
                <w:rFonts w:ascii="Arial"/>
                <w:sz w:val="18"/>
              </w:rPr>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00"/>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headerReference w:type="default" r:id="rId57"/>
          <w:footerReference w:type="default" r:id="rId58"/>
          <w:pgSz w:w="16850" w:h="11910" w:orient="landscape"/>
          <w:pgMar w:header="957" w:footer="785" w:top="2640" w:bottom="980" w:left="1020" w:right="540"/>
          <w:pgNumType w:start="71"/>
        </w:sectPr>
      </w:pPr>
    </w:p>
    <w:p>
      <w:pPr>
        <w:spacing w:line="240" w:lineRule="auto" w:before="4"/>
        <w:rPr>
          <w:rFonts w:ascii="黑体" w:hAnsi="黑体" w:cs="黑体" w:eastAsia="黑体" w:hint="default"/>
          <w:sz w:val="19"/>
          <w:szCs w:val="19"/>
        </w:rPr>
      </w:pPr>
    </w:p>
    <w:p>
      <w:pPr>
        <w:pStyle w:val="Heading6"/>
        <w:spacing w:line="240" w:lineRule="auto"/>
        <w:ind w:left="112" w:right="0"/>
        <w:jc w:val="left"/>
        <w:rPr>
          <w:b w:val="0"/>
          <w:bCs w:val="0"/>
        </w:rPr>
      </w:pPr>
      <w:r>
        <w:rPr/>
        <w:t>五、</w:t>
      </w:r>
      <w:r>
        <w:rPr>
          <w:spacing w:val="-3"/>
        </w:rPr>
        <w:t> </w:t>
      </w:r>
      <w:r>
        <w:rPr/>
        <w:t>合并财务</w:t>
      </w:r>
      <w:bookmarkStart w:name="五、 合并财务报表主要项目注释（续）" w:id="82"/>
      <w:bookmarkEnd w:id="82"/>
      <w:r>
        <w:rPr/>
        <w:t>报表</w:t>
      </w:r>
      <w:r>
        <w:rPr/>
        <w:t>主要项目注释（续）</w:t>
      </w:r>
      <w:r>
        <w:rPr>
          <w:b w:val="0"/>
          <w:bCs w:val="0"/>
        </w:rPr>
      </w:r>
    </w:p>
    <w:p>
      <w:pPr>
        <w:spacing w:line="240" w:lineRule="auto" w:before="9"/>
        <w:rPr>
          <w:rFonts w:ascii="黑体" w:hAnsi="黑体" w:cs="黑体" w:eastAsia="黑体" w:hint="default"/>
          <w:b/>
          <w:bCs/>
          <w:sz w:val="14"/>
          <w:szCs w:val="14"/>
        </w:rPr>
      </w:pPr>
    </w:p>
    <w:p>
      <w:pPr>
        <w:pStyle w:val="Heading6"/>
        <w:tabs>
          <w:tab w:pos="633" w:val="left" w:leader="none"/>
        </w:tabs>
        <w:spacing w:line="240" w:lineRule="auto" w:before="0"/>
        <w:ind w:left="112" w:right="0"/>
        <w:jc w:val="left"/>
        <w:rPr>
          <w:b w:val="0"/>
          <w:bCs w:val="0"/>
        </w:rPr>
      </w:pPr>
      <w:r>
        <w:rPr>
          <w:rFonts w:ascii="Arial" w:hAnsi="Arial" w:cs="Arial" w:eastAsia="Arial" w:hint="default"/>
          <w:spacing w:val="-1"/>
        </w:rPr>
        <w:t>9.</w:t>
        <w:tab/>
      </w:r>
      <w:r>
        <w:rPr>
          <w:spacing w:val="1"/>
        </w:rPr>
        <w:t>长期股权投资（续）</w:t>
      </w:r>
      <w:r>
        <w:rPr>
          <w:b w:val="0"/>
          <w:bCs w:val="0"/>
        </w:rPr>
      </w:r>
    </w:p>
    <w:p>
      <w:pPr>
        <w:spacing w:line="240" w:lineRule="auto" w:before="11"/>
        <w:rPr>
          <w:rFonts w:ascii="黑体" w:hAnsi="黑体" w:cs="黑体" w:eastAsia="黑体" w:hint="default"/>
          <w:b/>
          <w:bCs/>
          <w:sz w:val="14"/>
          <w:szCs w:val="14"/>
        </w:rPr>
      </w:pPr>
    </w:p>
    <w:p>
      <w:pPr>
        <w:pStyle w:val="BodyText"/>
        <w:spacing w:line="240" w:lineRule="auto"/>
        <w:ind w:left="659" w:right="13216"/>
        <w:jc w:val="center"/>
      </w:pPr>
      <w:r>
        <w:rPr>
          <w:rFonts w:ascii="Arial" w:hAnsi="Arial" w:cs="Arial" w:eastAsia="Arial" w:hint="default"/>
        </w:rPr>
        <w:t>2012</w:t>
      </w:r>
      <w:r>
        <w:rPr/>
        <w:t>年（续）</w:t>
      </w:r>
    </w:p>
    <w:p>
      <w:pPr>
        <w:spacing w:line="240" w:lineRule="auto" w:before="1"/>
        <w:rPr>
          <w:rFonts w:ascii="黑体" w:hAnsi="黑体" w:cs="黑体" w:eastAsia="黑体" w:hint="default"/>
          <w:sz w:val="21"/>
          <w:szCs w:val="21"/>
        </w:rPr>
      </w:pPr>
    </w:p>
    <w:tbl>
      <w:tblPr>
        <w:tblW w:w="0" w:type="auto"/>
        <w:jc w:val="left"/>
        <w:tblInd w:w="481" w:type="dxa"/>
        <w:tblLayout w:type="fixed"/>
        <w:tblCellMar>
          <w:top w:w="0" w:type="dxa"/>
          <w:left w:w="0" w:type="dxa"/>
          <w:bottom w:w="0" w:type="dxa"/>
          <w:right w:w="0" w:type="dxa"/>
        </w:tblCellMar>
        <w:tblLook w:val="01E0"/>
      </w:tblPr>
      <w:tblGrid>
        <w:gridCol w:w="3721"/>
        <w:gridCol w:w="1511"/>
        <w:gridCol w:w="1183"/>
        <w:gridCol w:w="1300"/>
        <w:gridCol w:w="1372"/>
        <w:gridCol w:w="920"/>
        <w:gridCol w:w="1104"/>
        <w:gridCol w:w="862"/>
        <w:gridCol w:w="622"/>
        <w:gridCol w:w="812"/>
        <w:gridCol w:w="1171"/>
      </w:tblGrid>
      <w:tr>
        <w:trPr>
          <w:trHeight w:val="221" w:hRule="exact"/>
        </w:trPr>
        <w:tc>
          <w:tcPr>
            <w:tcW w:w="3721"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Style w:val="TableParagraph"/>
              <w:spacing w:line="180" w:lineRule="exact"/>
              <w:ind w:right="66"/>
              <w:jc w:val="right"/>
              <w:rPr>
                <w:rFonts w:ascii="黑体" w:hAnsi="黑体" w:cs="黑体" w:eastAsia="黑体" w:hint="default"/>
                <w:sz w:val="18"/>
                <w:szCs w:val="18"/>
              </w:rPr>
            </w:pPr>
            <w:bookmarkStart w:name="9.  长期股权投资（续）" w:id="83"/>
            <w:bookmarkEnd w:id="83"/>
            <w:r>
              <w:rPr/>
            </w:r>
            <w:r>
              <w:rPr>
                <w:rFonts w:ascii="黑体" w:hAnsi="黑体" w:cs="黑体" w:eastAsia="黑体" w:hint="default"/>
                <w:sz w:val="18"/>
                <w:szCs w:val="18"/>
              </w:rPr>
              <w:t>投资成本</w:t>
            </w:r>
          </w:p>
        </w:tc>
        <w:tc>
          <w:tcPr>
            <w:tcW w:w="1183" w:type="dxa"/>
            <w:tcBorders>
              <w:top w:val="nil" w:sz="6" w:space="0" w:color="auto"/>
              <w:left w:val="nil" w:sz="6" w:space="0" w:color="auto"/>
              <w:bottom w:val="nil" w:sz="6" w:space="0" w:color="auto"/>
              <w:right w:val="nil" w:sz="6" w:space="0" w:color="auto"/>
            </w:tcBorders>
          </w:tcPr>
          <w:p>
            <w:pPr>
              <w:pStyle w:val="TableParagraph"/>
              <w:spacing w:line="180" w:lineRule="exact"/>
              <w:ind w:right="114"/>
              <w:jc w:val="right"/>
              <w:rPr>
                <w:rFonts w:ascii="黑体" w:hAnsi="黑体" w:cs="黑体" w:eastAsia="黑体" w:hint="default"/>
                <w:sz w:val="18"/>
                <w:szCs w:val="18"/>
              </w:rPr>
            </w:pPr>
            <w:r>
              <w:rPr>
                <w:rFonts w:ascii="黑体" w:hAnsi="黑体" w:cs="黑体" w:eastAsia="黑体" w:hint="default"/>
                <w:sz w:val="18"/>
                <w:szCs w:val="18"/>
              </w:rPr>
              <w:t>年初数</w:t>
            </w:r>
          </w:p>
        </w:tc>
        <w:tc>
          <w:tcPr>
            <w:tcW w:w="1300" w:type="dxa"/>
            <w:tcBorders>
              <w:top w:val="nil" w:sz="6" w:space="0" w:color="auto"/>
              <w:left w:val="nil" w:sz="6" w:space="0" w:color="auto"/>
              <w:bottom w:val="nil" w:sz="6" w:space="0" w:color="auto"/>
              <w:right w:val="nil" w:sz="6" w:space="0" w:color="auto"/>
            </w:tcBorders>
          </w:tcPr>
          <w:p>
            <w:pPr>
              <w:pStyle w:val="TableParagraph"/>
              <w:spacing w:line="187" w:lineRule="exact"/>
              <w:ind w:right="283"/>
              <w:jc w:val="right"/>
              <w:rPr>
                <w:rFonts w:ascii="黑体" w:hAnsi="黑体" w:cs="黑体" w:eastAsia="黑体" w:hint="default"/>
                <w:sz w:val="18"/>
                <w:szCs w:val="18"/>
              </w:rPr>
            </w:pPr>
            <w:r>
              <w:rPr>
                <w:rFonts w:ascii="黑体" w:hAnsi="黑体" w:cs="黑体" w:eastAsia="黑体" w:hint="default"/>
                <w:sz w:val="18"/>
                <w:szCs w:val="18"/>
              </w:rPr>
              <w:t>本年增减</w:t>
            </w:r>
          </w:p>
        </w:tc>
        <w:tc>
          <w:tcPr>
            <w:tcW w:w="1372" w:type="dxa"/>
            <w:tcBorders>
              <w:top w:val="nil" w:sz="6" w:space="0" w:color="auto"/>
              <w:left w:val="nil" w:sz="6" w:space="0" w:color="auto"/>
              <w:bottom w:val="nil" w:sz="6" w:space="0" w:color="auto"/>
              <w:right w:val="nil" w:sz="6" w:space="0" w:color="auto"/>
            </w:tcBorders>
          </w:tcPr>
          <w:p>
            <w:pPr>
              <w:pStyle w:val="TableParagraph"/>
              <w:spacing w:line="180" w:lineRule="exact"/>
              <w:ind w:right="85"/>
              <w:jc w:val="right"/>
              <w:rPr>
                <w:rFonts w:ascii="黑体" w:hAnsi="黑体" w:cs="黑体" w:eastAsia="黑体" w:hint="default"/>
                <w:sz w:val="18"/>
                <w:szCs w:val="18"/>
              </w:rPr>
            </w:pPr>
            <w:r>
              <w:rPr>
                <w:rFonts w:ascii="黑体" w:hAnsi="黑体" w:cs="黑体" w:eastAsia="黑体" w:hint="default"/>
                <w:sz w:val="18"/>
                <w:szCs w:val="18"/>
              </w:rPr>
              <w:t>年末数</w:t>
            </w:r>
          </w:p>
        </w:tc>
        <w:tc>
          <w:tcPr>
            <w:tcW w:w="920" w:type="dxa"/>
            <w:tcBorders>
              <w:top w:val="nil" w:sz="6" w:space="0" w:color="auto"/>
              <w:left w:val="nil" w:sz="6" w:space="0" w:color="auto"/>
              <w:bottom w:val="nil" w:sz="6" w:space="0" w:color="auto"/>
              <w:right w:val="nil" w:sz="6" w:space="0" w:color="auto"/>
            </w:tcBorders>
          </w:tcPr>
          <w:p>
            <w:pPr>
              <w:pStyle w:val="TableParagraph"/>
              <w:spacing w:line="180" w:lineRule="exact"/>
              <w:ind w:right="67"/>
              <w:jc w:val="right"/>
              <w:rPr>
                <w:rFonts w:ascii="黑体" w:hAnsi="黑体" w:cs="黑体" w:eastAsia="黑体" w:hint="default"/>
                <w:sz w:val="18"/>
                <w:szCs w:val="18"/>
              </w:rPr>
            </w:pPr>
            <w:r>
              <w:rPr>
                <w:rFonts w:ascii="黑体" w:hAnsi="黑体" w:cs="黑体" w:eastAsia="黑体" w:hint="default"/>
                <w:sz w:val="18"/>
                <w:szCs w:val="18"/>
              </w:rPr>
              <w:t>持股比例</w:t>
            </w:r>
          </w:p>
        </w:tc>
        <w:tc>
          <w:tcPr>
            <w:tcW w:w="1104" w:type="dxa"/>
            <w:tcBorders>
              <w:top w:val="nil" w:sz="6" w:space="0" w:color="auto"/>
              <w:left w:val="nil" w:sz="6" w:space="0" w:color="auto"/>
              <w:bottom w:val="nil" w:sz="6" w:space="0" w:color="auto"/>
              <w:right w:val="nil" w:sz="6" w:space="0" w:color="auto"/>
            </w:tcBorders>
          </w:tcPr>
          <w:p>
            <w:pPr>
              <w:pStyle w:val="TableParagraph"/>
              <w:spacing w:line="180" w:lineRule="exact"/>
              <w:ind w:right="134"/>
              <w:jc w:val="right"/>
              <w:rPr>
                <w:rFonts w:ascii="黑体" w:hAnsi="黑体" w:cs="黑体" w:eastAsia="黑体" w:hint="default"/>
                <w:sz w:val="18"/>
                <w:szCs w:val="18"/>
              </w:rPr>
            </w:pPr>
            <w:r>
              <w:rPr>
                <w:rFonts w:ascii="黑体" w:hAnsi="黑体" w:cs="黑体" w:eastAsia="黑体" w:hint="default"/>
                <w:sz w:val="18"/>
                <w:szCs w:val="18"/>
              </w:rPr>
              <w:t>表决权比例</w:t>
            </w:r>
          </w:p>
        </w:tc>
        <w:tc>
          <w:tcPr>
            <w:tcW w:w="862" w:type="dxa"/>
            <w:tcBorders>
              <w:top w:val="nil" w:sz="6" w:space="0" w:color="auto"/>
              <w:left w:val="nil" w:sz="6" w:space="0" w:color="auto"/>
              <w:bottom w:val="nil" w:sz="6" w:space="0" w:color="auto"/>
              <w:right w:val="nil" w:sz="6" w:space="0" w:color="auto"/>
            </w:tcBorders>
          </w:tcPr>
          <w:p>
            <w:pPr>
              <w:pStyle w:val="TableParagraph"/>
              <w:spacing w:line="180" w:lineRule="exact"/>
              <w:ind w:right="5"/>
              <w:jc w:val="right"/>
              <w:rPr>
                <w:rFonts w:ascii="黑体" w:hAnsi="黑体" w:cs="黑体" w:eastAsia="黑体" w:hint="default"/>
                <w:sz w:val="18"/>
                <w:szCs w:val="18"/>
              </w:rPr>
            </w:pPr>
            <w:r>
              <w:rPr>
                <w:rFonts w:ascii="黑体" w:hAnsi="黑体" w:cs="黑体" w:eastAsia="黑体" w:hint="default"/>
                <w:sz w:val="18"/>
                <w:szCs w:val="18"/>
              </w:rPr>
              <w:t>减值准备</w:t>
            </w:r>
          </w:p>
        </w:tc>
        <w:tc>
          <w:tcPr>
            <w:tcW w:w="1434" w:type="dxa"/>
            <w:gridSpan w:val="2"/>
            <w:tcBorders>
              <w:top w:val="nil" w:sz="6" w:space="0" w:color="auto"/>
              <w:left w:val="nil" w:sz="6" w:space="0" w:color="auto"/>
              <w:bottom w:val="nil" w:sz="6" w:space="0" w:color="auto"/>
              <w:right w:val="nil" w:sz="6" w:space="0" w:color="auto"/>
            </w:tcBorders>
          </w:tcPr>
          <w:p>
            <w:pPr>
              <w:pStyle w:val="TableParagraph"/>
              <w:spacing w:line="180" w:lineRule="exact"/>
              <w:ind w:left="547" w:right="0"/>
              <w:jc w:val="left"/>
              <w:rPr>
                <w:rFonts w:ascii="黑体" w:hAnsi="黑体" w:cs="黑体" w:eastAsia="黑体" w:hint="default"/>
                <w:sz w:val="18"/>
                <w:szCs w:val="18"/>
              </w:rPr>
            </w:pPr>
            <w:r>
              <w:rPr>
                <w:rFonts w:ascii="黑体" w:hAnsi="黑体" w:cs="黑体" w:eastAsia="黑体" w:hint="default"/>
                <w:sz w:val="18"/>
                <w:szCs w:val="18"/>
              </w:rPr>
              <w:t>本年计提</w:t>
            </w:r>
          </w:p>
        </w:tc>
        <w:tc>
          <w:tcPr>
            <w:tcW w:w="1171" w:type="dxa"/>
            <w:tcBorders>
              <w:top w:val="nil" w:sz="6" w:space="0" w:color="auto"/>
              <w:left w:val="nil" w:sz="6" w:space="0" w:color="auto"/>
              <w:bottom w:val="nil" w:sz="6" w:space="0" w:color="auto"/>
              <w:right w:val="nil" w:sz="6" w:space="0" w:color="auto"/>
            </w:tcBorders>
          </w:tcPr>
          <w:p>
            <w:pPr>
              <w:pStyle w:val="TableParagraph"/>
              <w:spacing w:line="180" w:lineRule="exact"/>
              <w:ind w:right="200"/>
              <w:jc w:val="right"/>
              <w:rPr>
                <w:rFonts w:ascii="黑体" w:hAnsi="黑体" w:cs="黑体" w:eastAsia="黑体" w:hint="default"/>
                <w:sz w:val="18"/>
                <w:szCs w:val="18"/>
              </w:rPr>
            </w:pPr>
            <w:r>
              <w:rPr>
                <w:rFonts w:ascii="黑体" w:hAnsi="黑体" w:cs="黑体" w:eastAsia="黑体" w:hint="default"/>
                <w:sz w:val="18"/>
                <w:szCs w:val="18"/>
              </w:rPr>
              <w:t>本年</w:t>
            </w:r>
          </w:p>
        </w:tc>
      </w:tr>
      <w:tr>
        <w:trPr>
          <w:trHeight w:val="259" w:hRule="exact"/>
        </w:trPr>
        <w:tc>
          <w:tcPr>
            <w:tcW w:w="3721"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
        </w:tc>
        <w:tc>
          <w:tcPr>
            <w:tcW w:w="1300"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7"/>
              <w:jc w:val="right"/>
              <w:rPr>
                <w:rFonts w:ascii="Arial" w:hAnsi="Arial" w:cs="Arial" w:eastAsia="Arial" w:hint="default"/>
                <w:sz w:val="18"/>
                <w:szCs w:val="18"/>
              </w:rPr>
            </w:pPr>
            <w:r>
              <w:rPr>
                <w:rFonts w:ascii="Arial"/>
                <w:w w:val="95"/>
                <w:sz w:val="18"/>
              </w:rPr>
              <w:t>(%)</w:t>
            </w:r>
            <w:r>
              <w:rPr>
                <w:rFonts w:ascii="Arial"/>
                <w:sz w:val="18"/>
              </w:rPr>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4"/>
              <w:jc w:val="right"/>
              <w:rPr>
                <w:rFonts w:ascii="Arial" w:hAnsi="Arial" w:cs="Arial" w:eastAsia="Arial" w:hint="default"/>
                <w:sz w:val="18"/>
                <w:szCs w:val="18"/>
              </w:rPr>
            </w:pPr>
            <w:r>
              <w:rPr>
                <w:rFonts w:ascii="Arial"/>
                <w:w w:val="95"/>
                <w:sz w:val="18"/>
              </w:rPr>
              <w:t>(%)</w:t>
            </w:r>
            <w:r>
              <w:rPr>
                <w:rFonts w:ascii="Arial"/>
                <w:sz w:val="18"/>
              </w:rPr>
            </w:r>
          </w:p>
        </w:tc>
        <w:tc>
          <w:tcPr>
            <w:tcW w:w="862" w:type="dxa"/>
            <w:tcBorders>
              <w:top w:val="nil" w:sz="6" w:space="0" w:color="auto"/>
              <w:left w:val="nil" w:sz="6" w:space="0" w:color="auto"/>
              <w:bottom w:val="nil" w:sz="6" w:space="0" w:color="auto"/>
              <w:right w:val="nil" w:sz="6" w:space="0" w:color="auto"/>
            </w:tcBorders>
          </w:tcPr>
          <w:p>
            <w:pPr/>
          </w:p>
        </w:tc>
        <w:tc>
          <w:tcPr>
            <w:tcW w:w="1434" w:type="dxa"/>
            <w:gridSpan w:val="2"/>
            <w:tcBorders>
              <w:top w:val="nil" w:sz="6" w:space="0" w:color="auto"/>
              <w:left w:val="nil" w:sz="6" w:space="0" w:color="auto"/>
              <w:bottom w:val="nil" w:sz="6" w:space="0" w:color="auto"/>
              <w:right w:val="nil" w:sz="6" w:space="0" w:color="auto"/>
            </w:tcBorders>
          </w:tcPr>
          <w:p>
            <w:pPr>
              <w:pStyle w:val="TableParagraph"/>
              <w:spacing w:line="214" w:lineRule="exact"/>
              <w:ind w:left="547" w:right="0"/>
              <w:jc w:val="left"/>
              <w:rPr>
                <w:rFonts w:ascii="黑体" w:hAnsi="黑体" w:cs="黑体" w:eastAsia="黑体" w:hint="default"/>
                <w:sz w:val="18"/>
                <w:szCs w:val="18"/>
              </w:rPr>
            </w:pPr>
            <w:r>
              <w:rPr>
                <w:rFonts w:ascii="黑体" w:hAnsi="黑体" w:cs="黑体" w:eastAsia="黑体" w:hint="default"/>
                <w:sz w:val="18"/>
                <w:szCs w:val="18"/>
              </w:rPr>
              <w:t>减值准备</w:t>
            </w:r>
          </w:p>
        </w:tc>
        <w:tc>
          <w:tcPr>
            <w:tcW w:w="1171" w:type="dxa"/>
            <w:tcBorders>
              <w:top w:val="nil" w:sz="6" w:space="0" w:color="auto"/>
              <w:left w:val="nil" w:sz="6" w:space="0" w:color="auto"/>
              <w:bottom w:val="nil" w:sz="6" w:space="0" w:color="auto"/>
              <w:right w:val="nil" w:sz="6" w:space="0" w:color="auto"/>
            </w:tcBorders>
          </w:tcPr>
          <w:p>
            <w:pPr>
              <w:pStyle w:val="TableParagraph"/>
              <w:spacing w:line="214" w:lineRule="exact"/>
              <w:ind w:right="200"/>
              <w:jc w:val="right"/>
              <w:rPr>
                <w:rFonts w:ascii="黑体" w:hAnsi="黑体" w:cs="黑体" w:eastAsia="黑体" w:hint="default"/>
                <w:sz w:val="18"/>
                <w:szCs w:val="18"/>
              </w:rPr>
            </w:pPr>
            <w:r>
              <w:rPr>
                <w:rFonts w:ascii="黑体" w:hAnsi="黑体" w:cs="黑体" w:eastAsia="黑体" w:hint="default"/>
                <w:sz w:val="18"/>
                <w:szCs w:val="18"/>
              </w:rPr>
              <w:t>现金红利</w:t>
            </w:r>
          </w:p>
        </w:tc>
      </w:tr>
      <w:tr>
        <w:trPr>
          <w:trHeight w:val="254" w:hRule="exact"/>
        </w:trPr>
        <w:tc>
          <w:tcPr>
            <w:tcW w:w="3721" w:type="dxa"/>
            <w:tcBorders>
              <w:top w:val="nil" w:sz="6" w:space="0" w:color="auto"/>
              <w:left w:val="nil" w:sz="6" w:space="0" w:color="auto"/>
              <w:bottom w:val="nil" w:sz="6" w:space="0" w:color="auto"/>
              <w:right w:val="nil" w:sz="6" w:space="0" w:color="auto"/>
            </w:tcBorders>
          </w:tcPr>
          <w:p>
            <w:pPr>
              <w:pStyle w:val="TableParagraph"/>
              <w:spacing w:line="229" w:lineRule="exact"/>
              <w:ind w:left="200" w:right="0"/>
              <w:jc w:val="left"/>
              <w:rPr>
                <w:rFonts w:ascii="黑体" w:hAnsi="黑体" w:cs="黑体" w:eastAsia="黑体" w:hint="default"/>
                <w:sz w:val="18"/>
                <w:szCs w:val="18"/>
              </w:rPr>
            </w:pPr>
            <w:r>
              <w:rPr>
                <w:rFonts w:ascii="黑体" w:hAnsi="黑体" w:cs="黑体" w:eastAsia="黑体" w:hint="default"/>
                <w:sz w:val="18"/>
                <w:szCs w:val="18"/>
              </w:rPr>
              <w:t>成本法</w:t>
            </w:r>
            <w:r>
              <w:rPr>
                <w:rFonts w:ascii="Arial" w:hAnsi="Arial" w:cs="Arial" w:eastAsia="Arial" w:hint="default"/>
                <w:sz w:val="18"/>
                <w:szCs w:val="18"/>
              </w:rPr>
              <w:t>(</w:t>
            </w:r>
            <w:r>
              <w:rPr>
                <w:rFonts w:ascii="黑体" w:hAnsi="黑体" w:cs="黑体" w:eastAsia="黑体" w:hint="default"/>
                <w:sz w:val="18"/>
                <w:szCs w:val="18"/>
              </w:rPr>
              <w:t>续</w:t>
            </w:r>
            <w:r>
              <w:rPr>
                <w:rFonts w:ascii="Arial" w:hAnsi="Arial" w:cs="Arial" w:eastAsia="Arial" w:hint="default"/>
                <w:sz w:val="18"/>
                <w:szCs w:val="18"/>
              </w:rPr>
              <w:t>)</w:t>
            </w:r>
            <w:r>
              <w:rPr>
                <w:rFonts w:ascii="黑体" w:hAnsi="黑体" w:cs="黑体" w:eastAsia="黑体" w:hint="default"/>
                <w:sz w:val="18"/>
                <w:szCs w:val="18"/>
              </w:rPr>
              <w:t>：</w:t>
            </w:r>
          </w:p>
        </w:tc>
        <w:tc>
          <w:tcPr>
            <w:tcW w:w="1511"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
        </w:tc>
        <w:tc>
          <w:tcPr>
            <w:tcW w:w="1300"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
        </w:tc>
        <w:tc>
          <w:tcPr>
            <w:tcW w:w="920"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r>
      <w:tr>
        <w:trPr>
          <w:trHeight w:val="263" w:hRule="exact"/>
        </w:trPr>
        <w:tc>
          <w:tcPr>
            <w:tcW w:w="3721" w:type="dxa"/>
            <w:tcBorders>
              <w:top w:val="nil" w:sz="6" w:space="0" w:color="auto"/>
              <w:left w:val="nil" w:sz="6" w:space="0" w:color="auto"/>
              <w:bottom w:val="nil" w:sz="6" w:space="0" w:color="auto"/>
              <w:right w:val="nil" w:sz="6" w:space="0" w:color="auto"/>
            </w:tcBorders>
          </w:tcPr>
          <w:p>
            <w:pPr>
              <w:pStyle w:val="TableParagraph"/>
              <w:spacing w:line="209" w:lineRule="exact"/>
              <w:ind w:left="382" w:right="0"/>
              <w:jc w:val="left"/>
              <w:rPr>
                <w:rFonts w:ascii="黑体" w:hAnsi="黑体" w:cs="黑体" w:eastAsia="黑体" w:hint="default"/>
                <w:sz w:val="18"/>
                <w:szCs w:val="18"/>
              </w:rPr>
            </w:pPr>
            <w:r>
              <w:rPr>
                <w:rFonts w:ascii="黑体" w:hAnsi="黑体" w:cs="黑体" w:eastAsia="黑体" w:hint="default"/>
                <w:sz w:val="18"/>
                <w:szCs w:val="18"/>
              </w:rPr>
              <w:t>青岛用友政务软件有限公司</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5"/>
              <w:jc w:val="right"/>
              <w:rPr>
                <w:rFonts w:ascii="Arial" w:hAnsi="Arial" w:cs="Arial" w:eastAsia="Arial" w:hint="default"/>
                <w:sz w:val="18"/>
                <w:szCs w:val="18"/>
              </w:rPr>
            </w:pPr>
            <w:r>
              <w:rPr>
                <w:rFonts w:ascii="Arial"/>
                <w:spacing w:val="-1"/>
                <w:sz w:val="18"/>
              </w:rPr>
              <w:t>1,000,000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3"/>
              <w:jc w:val="right"/>
              <w:rPr>
                <w:rFonts w:ascii="Arial" w:hAnsi="Arial" w:cs="Arial" w:eastAsia="Arial" w:hint="default"/>
                <w:sz w:val="18"/>
                <w:szCs w:val="18"/>
              </w:rPr>
            </w:pPr>
            <w:r>
              <w:rPr>
                <w:rFonts w:ascii="Arial"/>
                <w:spacing w:val="-1"/>
                <w:sz w:val="18"/>
              </w:rPr>
              <w:t>1,000,000</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83"/>
              <w:jc w:val="right"/>
              <w:rPr>
                <w:rFonts w:ascii="Arial" w:hAnsi="Arial" w:cs="Arial" w:eastAsia="Arial" w:hint="default"/>
                <w:sz w:val="18"/>
                <w:szCs w:val="18"/>
              </w:rPr>
            </w:pPr>
            <w:r>
              <w:rPr>
                <w:rFonts w:ascii="Arial"/>
                <w:w w:val="99"/>
                <w:sz w:val="18"/>
              </w:rPr>
              <w:t>-</w:t>
            </w:r>
            <w:r>
              <w:rPr>
                <w:rFonts w:ascii="Arial"/>
                <w:sz w:val="18"/>
              </w:rPr>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3"/>
              <w:jc w:val="right"/>
              <w:rPr>
                <w:rFonts w:ascii="Arial" w:hAnsi="Arial" w:cs="Arial" w:eastAsia="Arial" w:hint="default"/>
                <w:sz w:val="18"/>
                <w:szCs w:val="18"/>
              </w:rPr>
            </w:pPr>
            <w:r>
              <w:rPr>
                <w:rFonts w:ascii="Arial"/>
                <w:spacing w:val="-1"/>
                <w:sz w:val="18"/>
              </w:rPr>
              <w:t>1,000,000</w:t>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9"/>
              <w:jc w:val="right"/>
              <w:rPr>
                <w:rFonts w:ascii="Arial" w:hAnsi="Arial" w:cs="Arial" w:eastAsia="Arial" w:hint="default"/>
                <w:sz w:val="18"/>
                <w:szCs w:val="18"/>
              </w:rPr>
            </w:pPr>
            <w:r>
              <w:rPr>
                <w:rFonts w:ascii="Arial"/>
                <w:w w:val="95"/>
                <w:sz w:val="18"/>
              </w:rPr>
              <w:t>20.00</w:t>
            </w:r>
            <w:r>
              <w:rPr>
                <w:rFonts w:ascii="Arial"/>
                <w:sz w:val="18"/>
              </w:rPr>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2"/>
              <w:jc w:val="right"/>
              <w:rPr>
                <w:rFonts w:ascii="Arial" w:hAnsi="Arial" w:cs="Arial" w:eastAsia="Arial" w:hint="default"/>
                <w:sz w:val="18"/>
                <w:szCs w:val="18"/>
              </w:rPr>
            </w:pPr>
            <w:r>
              <w:rPr>
                <w:rFonts w:ascii="Arial"/>
                <w:w w:val="95"/>
                <w:sz w:val="18"/>
              </w:rPr>
              <w:t>20.00</w:t>
            </w:r>
            <w:r>
              <w:rPr>
                <w:rFonts w:ascii="Arial"/>
                <w:sz w:val="18"/>
              </w:rPr>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
              <w:jc w:val="right"/>
              <w:rPr>
                <w:rFonts w:ascii="Arial" w:hAnsi="Arial" w:cs="Arial" w:eastAsia="Arial" w:hint="default"/>
                <w:sz w:val="18"/>
                <w:szCs w:val="18"/>
              </w:rPr>
            </w:pPr>
            <w:r>
              <w:rPr>
                <w:rFonts w:ascii="Arial"/>
                <w:w w:val="99"/>
                <w:sz w:val="18"/>
              </w:rPr>
              <w:t>-</w:t>
            </w:r>
            <w:r>
              <w:rPr>
                <w:rFonts w:ascii="Arial"/>
                <w:sz w:val="18"/>
              </w:rPr>
            </w:r>
          </w:p>
        </w:tc>
        <w:tc>
          <w:tcPr>
            <w:tcW w:w="622"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3"/>
              <w:jc w:val="right"/>
              <w:rPr>
                <w:rFonts w:ascii="Arial" w:hAnsi="Arial" w:cs="Arial" w:eastAsia="Arial" w:hint="default"/>
                <w:sz w:val="18"/>
                <w:szCs w:val="18"/>
              </w:rPr>
            </w:pPr>
            <w:r>
              <w:rPr>
                <w:rFonts w:ascii="Arial"/>
                <w:w w:val="99"/>
                <w:sz w:val="18"/>
              </w:rPr>
              <w:t>-</w:t>
            </w:r>
            <w:r>
              <w:rPr>
                <w:rFonts w:ascii="Arial"/>
                <w:sz w:val="18"/>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31"/>
              <w:jc w:val="right"/>
              <w:rPr>
                <w:rFonts w:ascii="Arial" w:hAnsi="Arial" w:cs="Arial" w:eastAsia="Arial" w:hint="default"/>
                <w:sz w:val="18"/>
                <w:szCs w:val="18"/>
              </w:rPr>
            </w:pPr>
            <w:r>
              <w:rPr>
                <w:rFonts w:ascii="Arial"/>
                <w:w w:val="99"/>
                <w:sz w:val="18"/>
              </w:rPr>
              <w:t>-</w:t>
            </w:r>
            <w:r>
              <w:rPr>
                <w:rFonts w:ascii="Arial"/>
                <w:sz w:val="18"/>
              </w:rPr>
            </w:r>
          </w:p>
        </w:tc>
      </w:tr>
      <w:tr>
        <w:trPr>
          <w:trHeight w:val="256" w:hRule="exact"/>
        </w:trPr>
        <w:tc>
          <w:tcPr>
            <w:tcW w:w="3721" w:type="dxa"/>
            <w:tcBorders>
              <w:top w:val="nil" w:sz="6" w:space="0" w:color="auto"/>
              <w:left w:val="nil" w:sz="6" w:space="0" w:color="auto"/>
              <w:bottom w:val="nil" w:sz="6" w:space="0" w:color="auto"/>
              <w:right w:val="nil" w:sz="6" w:space="0" w:color="auto"/>
            </w:tcBorders>
          </w:tcPr>
          <w:p>
            <w:pPr>
              <w:pStyle w:val="TableParagraph"/>
              <w:spacing w:line="203" w:lineRule="exact"/>
              <w:ind w:left="382" w:right="0"/>
              <w:jc w:val="left"/>
              <w:rPr>
                <w:rFonts w:ascii="黑体" w:hAnsi="黑体" w:cs="黑体" w:eastAsia="黑体" w:hint="default"/>
                <w:sz w:val="18"/>
                <w:szCs w:val="18"/>
              </w:rPr>
            </w:pPr>
            <w:r>
              <w:rPr>
                <w:rFonts w:ascii="黑体" w:hAnsi="黑体" w:cs="黑体" w:eastAsia="黑体" w:hint="default"/>
                <w:sz w:val="18"/>
                <w:szCs w:val="18"/>
              </w:rPr>
              <w:t>山东易科德软件有限公司</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65"/>
              <w:jc w:val="right"/>
              <w:rPr>
                <w:rFonts w:ascii="Arial" w:hAnsi="Arial" w:cs="Arial" w:eastAsia="Arial" w:hint="default"/>
                <w:sz w:val="18"/>
                <w:szCs w:val="18"/>
              </w:rPr>
            </w:pPr>
            <w:r>
              <w:rPr>
                <w:rFonts w:ascii="Arial"/>
                <w:spacing w:val="-1"/>
                <w:sz w:val="18"/>
              </w:rPr>
              <w:t>1,000,000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13"/>
              <w:jc w:val="right"/>
              <w:rPr>
                <w:rFonts w:ascii="Arial" w:hAnsi="Arial" w:cs="Arial" w:eastAsia="Arial" w:hint="default"/>
                <w:sz w:val="18"/>
                <w:szCs w:val="18"/>
              </w:rPr>
            </w:pPr>
            <w:r>
              <w:rPr>
                <w:rFonts w:ascii="Arial"/>
                <w:spacing w:val="-1"/>
                <w:sz w:val="18"/>
              </w:rPr>
              <w:t>1,000,000</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83"/>
              <w:jc w:val="right"/>
              <w:rPr>
                <w:rFonts w:ascii="Arial" w:hAnsi="Arial" w:cs="Arial" w:eastAsia="Arial" w:hint="default"/>
                <w:sz w:val="18"/>
                <w:szCs w:val="18"/>
              </w:rPr>
            </w:pPr>
            <w:r>
              <w:rPr>
                <w:rFonts w:ascii="Arial"/>
                <w:w w:val="99"/>
                <w:sz w:val="18"/>
              </w:rPr>
              <w:t>-</w:t>
            </w:r>
            <w:r>
              <w:rPr>
                <w:rFonts w:ascii="Arial"/>
                <w:sz w:val="18"/>
              </w:rPr>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83"/>
              <w:jc w:val="right"/>
              <w:rPr>
                <w:rFonts w:ascii="Arial" w:hAnsi="Arial" w:cs="Arial" w:eastAsia="Arial" w:hint="default"/>
                <w:sz w:val="18"/>
                <w:szCs w:val="18"/>
              </w:rPr>
            </w:pPr>
            <w:r>
              <w:rPr>
                <w:rFonts w:ascii="Arial"/>
                <w:spacing w:val="-1"/>
                <w:sz w:val="18"/>
              </w:rPr>
              <w:t>1,000,000</w:t>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79"/>
              <w:jc w:val="right"/>
              <w:rPr>
                <w:rFonts w:ascii="Arial" w:hAnsi="Arial" w:cs="Arial" w:eastAsia="Arial" w:hint="default"/>
                <w:sz w:val="18"/>
                <w:szCs w:val="18"/>
              </w:rPr>
            </w:pPr>
            <w:r>
              <w:rPr>
                <w:rFonts w:ascii="Arial"/>
                <w:w w:val="95"/>
                <w:sz w:val="18"/>
              </w:rPr>
              <w:t>20.00</w:t>
            </w:r>
            <w:r>
              <w:rPr>
                <w:rFonts w:ascii="Arial"/>
                <w:sz w:val="18"/>
              </w:rPr>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32"/>
              <w:jc w:val="right"/>
              <w:rPr>
                <w:rFonts w:ascii="Arial" w:hAnsi="Arial" w:cs="Arial" w:eastAsia="Arial" w:hint="default"/>
                <w:sz w:val="18"/>
                <w:szCs w:val="18"/>
              </w:rPr>
            </w:pPr>
            <w:r>
              <w:rPr>
                <w:rFonts w:ascii="Arial"/>
                <w:w w:val="95"/>
                <w:sz w:val="18"/>
              </w:rPr>
              <w:t>20.00</w:t>
            </w:r>
            <w:r>
              <w:rPr>
                <w:rFonts w:ascii="Arial"/>
                <w:sz w:val="18"/>
              </w:rPr>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5"/>
              <w:jc w:val="right"/>
              <w:rPr>
                <w:rFonts w:ascii="Arial" w:hAnsi="Arial" w:cs="Arial" w:eastAsia="Arial" w:hint="default"/>
                <w:sz w:val="18"/>
                <w:szCs w:val="18"/>
              </w:rPr>
            </w:pPr>
            <w:r>
              <w:rPr>
                <w:rFonts w:ascii="Arial"/>
                <w:spacing w:val="-1"/>
                <w:sz w:val="18"/>
              </w:rPr>
              <w:t>(818,586</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30"/>
              <w:ind w:left="4" w:right="0"/>
              <w:jc w:val="left"/>
              <w:rPr>
                <w:rFonts w:ascii="Arial" w:hAnsi="Arial" w:cs="Arial" w:eastAsia="Arial" w:hint="default"/>
                <w:sz w:val="18"/>
                <w:szCs w:val="18"/>
              </w:rPr>
            </w:pPr>
            <w:r>
              <w:rPr>
                <w:rFonts w:ascii="Arial"/>
                <w:w w:val="99"/>
                <w:sz w:val="18"/>
              </w:rPr>
              <w:t>)</w:t>
            </w:r>
            <w:r>
              <w:rPr>
                <w:rFonts w:ascii="Arial"/>
                <w:sz w:val="18"/>
              </w:rPr>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93"/>
              <w:jc w:val="right"/>
              <w:rPr>
                <w:rFonts w:ascii="Arial" w:hAnsi="Arial" w:cs="Arial" w:eastAsia="Arial" w:hint="default"/>
                <w:sz w:val="18"/>
                <w:szCs w:val="18"/>
              </w:rPr>
            </w:pPr>
            <w:r>
              <w:rPr>
                <w:rFonts w:ascii="Arial"/>
                <w:w w:val="99"/>
                <w:sz w:val="18"/>
              </w:rPr>
              <w:t>-</w:t>
            </w:r>
            <w:r>
              <w:rPr>
                <w:rFonts w:ascii="Arial"/>
                <w:sz w:val="18"/>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31"/>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3721" w:type="dxa"/>
            <w:tcBorders>
              <w:top w:val="nil" w:sz="6" w:space="0" w:color="auto"/>
              <w:left w:val="nil" w:sz="6" w:space="0" w:color="auto"/>
              <w:bottom w:val="nil" w:sz="6" w:space="0" w:color="auto"/>
              <w:right w:val="nil" w:sz="6" w:space="0" w:color="auto"/>
            </w:tcBorders>
          </w:tcPr>
          <w:p>
            <w:pPr>
              <w:pStyle w:val="TableParagraph"/>
              <w:spacing w:line="202" w:lineRule="exact"/>
              <w:ind w:left="382" w:right="0"/>
              <w:jc w:val="left"/>
              <w:rPr>
                <w:rFonts w:ascii="黑体" w:hAnsi="黑体" w:cs="黑体" w:eastAsia="黑体" w:hint="default"/>
                <w:sz w:val="18"/>
                <w:szCs w:val="18"/>
              </w:rPr>
            </w:pPr>
            <w:r>
              <w:rPr>
                <w:rFonts w:ascii="黑体" w:hAnsi="黑体" w:cs="黑体" w:eastAsia="黑体" w:hint="default"/>
                <w:sz w:val="18"/>
                <w:szCs w:val="18"/>
              </w:rPr>
              <w:t>安徽用友政务软件有限公司</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5"/>
              <w:jc w:val="right"/>
              <w:rPr>
                <w:rFonts w:ascii="Arial" w:hAnsi="Arial" w:cs="Arial" w:eastAsia="Arial" w:hint="default"/>
                <w:sz w:val="18"/>
                <w:szCs w:val="18"/>
              </w:rPr>
            </w:pPr>
            <w:r>
              <w:rPr>
                <w:rFonts w:ascii="Arial"/>
                <w:spacing w:val="-1"/>
                <w:sz w:val="18"/>
              </w:rPr>
              <w:t>200,000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3"/>
              <w:jc w:val="right"/>
              <w:rPr>
                <w:rFonts w:ascii="Arial" w:hAnsi="Arial" w:cs="Arial" w:eastAsia="Arial" w:hint="default"/>
                <w:sz w:val="18"/>
                <w:szCs w:val="18"/>
              </w:rPr>
            </w:pPr>
            <w:r>
              <w:rPr>
                <w:rFonts w:ascii="Arial"/>
                <w:spacing w:val="-1"/>
                <w:sz w:val="18"/>
              </w:rPr>
              <w:t>200,000</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83"/>
              <w:jc w:val="right"/>
              <w:rPr>
                <w:rFonts w:ascii="Arial" w:hAnsi="Arial" w:cs="Arial" w:eastAsia="Arial" w:hint="default"/>
                <w:sz w:val="18"/>
                <w:szCs w:val="18"/>
              </w:rPr>
            </w:pPr>
            <w:r>
              <w:rPr>
                <w:rFonts w:ascii="Arial"/>
                <w:w w:val="99"/>
                <w:sz w:val="18"/>
              </w:rPr>
              <w:t>-</w:t>
            </w:r>
            <w:r>
              <w:rPr>
                <w:rFonts w:ascii="Arial"/>
                <w:sz w:val="18"/>
              </w:rPr>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3"/>
              <w:jc w:val="right"/>
              <w:rPr>
                <w:rFonts w:ascii="Arial" w:hAnsi="Arial" w:cs="Arial" w:eastAsia="Arial" w:hint="default"/>
                <w:sz w:val="18"/>
                <w:szCs w:val="18"/>
              </w:rPr>
            </w:pPr>
            <w:r>
              <w:rPr>
                <w:rFonts w:ascii="Arial"/>
                <w:spacing w:val="-1"/>
                <w:sz w:val="18"/>
              </w:rPr>
              <w:t>200,000</w:t>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79"/>
              <w:jc w:val="right"/>
              <w:rPr>
                <w:rFonts w:ascii="Arial" w:hAnsi="Arial" w:cs="Arial" w:eastAsia="Arial" w:hint="default"/>
                <w:sz w:val="18"/>
                <w:szCs w:val="18"/>
              </w:rPr>
            </w:pPr>
            <w:r>
              <w:rPr>
                <w:rFonts w:ascii="Arial"/>
                <w:w w:val="95"/>
                <w:sz w:val="18"/>
              </w:rPr>
              <w:t>20.00</w:t>
            </w:r>
            <w:r>
              <w:rPr>
                <w:rFonts w:ascii="Arial"/>
                <w:sz w:val="18"/>
              </w:rPr>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2"/>
              <w:jc w:val="right"/>
              <w:rPr>
                <w:rFonts w:ascii="Arial" w:hAnsi="Arial" w:cs="Arial" w:eastAsia="Arial" w:hint="default"/>
                <w:sz w:val="18"/>
                <w:szCs w:val="18"/>
              </w:rPr>
            </w:pPr>
            <w:r>
              <w:rPr>
                <w:rFonts w:ascii="Arial"/>
                <w:w w:val="95"/>
                <w:sz w:val="18"/>
              </w:rPr>
              <w:t>20.00</w:t>
            </w:r>
            <w:r>
              <w:rPr>
                <w:rFonts w:ascii="Arial"/>
                <w:sz w:val="18"/>
              </w:rPr>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
              <w:jc w:val="right"/>
              <w:rPr>
                <w:rFonts w:ascii="Arial" w:hAnsi="Arial" w:cs="Arial" w:eastAsia="Arial" w:hint="default"/>
                <w:sz w:val="18"/>
                <w:szCs w:val="18"/>
              </w:rPr>
            </w:pPr>
            <w:r>
              <w:rPr>
                <w:rFonts w:ascii="Arial"/>
                <w:w w:val="99"/>
                <w:sz w:val="18"/>
              </w:rPr>
              <w:t>-</w:t>
            </w:r>
            <w:r>
              <w:rPr>
                <w:rFonts w:ascii="Arial"/>
                <w:sz w:val="18"/>
              </w:rPr>
            </w:r>
          </w:p>
        </w:tc>
        <w:tc>
          <w:tcPr>
            <w:tcW w:w="622"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93"/>
              <w:jc w:val="right"/>
              <w:rPr>
                <w:rFonts w:ascii="Arial" w:hAnsi="Arial" w:cs="Arial" w:eastAsia="Arial" w:hint="default"/>
                <w:sz w:val="18"/>
                <w:szCs w:val="18"/>
              </w:rPr>
            </w:pPr>
            <w:r>
              <w:rPr>
                <w:rFonts w:ascii="Arial"/>
                <w:w w:val="99"/>
                <w:sz w:val="18"/>
              </w:rPr>
              <w:t>-</w:t>
            </w:r>
            <w:r>
              <w:rPr>
                <w:rFonts w:ascii="Arial"/>
                <w:sz w:val="18"/>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31"/>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3721" w:type="dxa"/>
            <w:tcBorders>
              <w:top w:val="nil" w:sz="6" w:space="0" w:color="auto"/>
              <w:left w:val="nil" w:sz="6" w:space="0" w:color="auto"/>
              <w:bottom w:val="nil" w:sz="6" w:space="0" w:color="auto"/>
              <w:right w:val="nil" w:sz="6" w:space="0" w:color="auto"/>
            </w:tcBorders>
          </w:tcPr>
          <w:p>
            <w:pPr>
              <w:pStyle w:val="TableParagraph"/>
              <w:spacing w:line="202" w:lineRule="exact"/>
              <w:ind w:left="382" w:right="0"/>
              <w:jc w:val="left"/>
              <w:rPr>
                <w:rFonts w:ascii="黑体" w:hAnsi="黑体" w:cs="黑体" w:eastAsia="黑体" w:hint="default"/>
                <w:sz w:val="18"/>
                <w:szCs w:val="18"/>
              </w:rPr>
            </w:pPr>
            <w:r>
              <w:rPr>
                <w:rFonts w:ascii="黑体" w:hAnsi="黑体" w:cs="黑体" w:eastAsia="黑体" w:hint="default"/>
                <w:sz w:val="18"/>
                <w:szCs w:val="18"/>
              </w:rPr>
              <w:t>太原用友政务软件有限公司</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5"/>
              <w:jc w:val="right"/>
              <w:rPr>
                <w:rFonts w:ascii="Arial" w:hAnsi="Arial" w:cs="Arial" w:eastAsia="Arial" w:hint="default"/>
                <w:sz w:val="18"/>
                <w:szCs w:val="18"/>
              </w:rPr>
            </w:pPr>
            <w:r>
              <w:rPr>
                <w:rFonts w:ascii="Arial"/>
                <w:spacing w:val="-1"/>
                <w:sz w:val="18"/>
              </w:rPr>
              <w:t>100,000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3"/>
              <w:jc w:val="right"/>
              <w:rPr>
                <w:rFonts w:ascii="Arial" w:hAnsi="Arial" w:cs="Arial" w:eastAsia="Arial" w:hint="default"/>
                <w:sz w:val="18"/>
                <w:szCs w:val="18"/>
              </w:rPr>
            </w:pPr>
            <w:r>
              <w:rPr>
                <w:rFonts w:ascii="Arial"/>
                <w:spacing w:val="-1"/>
                <w:sz w:val="18"/>
              </w:rPr>
              <w:t>100,000</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83"/>
              <w:jc w:val="right"/>
              <w:rPr>
                <w:rFonts w:ascii="Arial" w:hAnsi="Arial" w:cs="Arial" w:eastAsia="Arial" w:hint="default"/>
                <w:sz w:val="18"/>
                <w:szCs w:val="18"/>
              </w:rPr>
            </w:pPr>
            <w:r>
              <w:rPr>
                <w:rFonts w:ascii="Arial"/>
                <w:w w:val="99"/>
                <w:sz w:val="18"/>
              </w:rPr>
              <w:t>-</w:t>
            </w:r>
            <w:r>
              <w:rPr>
                <w:rFonts w:ascii="Arial"/>
                <w:sz w:val="18"/>
              </w:rPr>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3"/>
              <w:jc w:val="right"/>
              <w:rPr>
                <w:rFonts w:ascii="Arial" w:hAnsi="Arial" w:cs="Arial" w:eastAsia="Arial" w:hint="default"/>
                <w:sz w:val="18"/>
                <w:szCs w:val="18"/>
              </w:rPr>
            </w:pPr>
            <w:r>
              <w:rPr>
                <w:rFonts w:ascii="Arial"/>
                <w:spacing w:val="-1"/>
                <w:sz w:val="18"/>
              </w:rPr>
              <w:t>100,000</w:t>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79"/>
              <w:jc w:val="right"/>
              <w:rPr>
                <w:rFonts w:ascii="Arial" w:hAnsi="Arial" w:cs="Arial" w:eastAsia="Arial" w:hint="default"/>
                <w:sz w:val="18"/>
                <w:szCs w:val="18"/>
              </w:rPr>
            </w:pPr>
            <w:r>
              <w:rPr>
                <w:rFonts w:ascii="Arial"/>
                <w:w w:val="95"/>
                <w:sz w:val="18"/>
              </w:rPr>
              <w:t>20.00</w:t>
            </w:r>
            <w:r>
              <w:rPr>
                <w:rFonts w:ascii="Arial"/>
                <w:sz w:val="18"/>
              </w:rPr>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2"/>
              <w:jc w:val="right"/>
              <w:rPr>
                <w:rFonts w:ascii="Arial" w:hAnsi="Arial" w:cs="Arial" w:eastAsia="Arial" w:hint="default"/>
                <w:sz w:val="18"/>
                <w:szCs w:val="18"/>
              </w:rPr>
            </w:pPr>
            <w:r>
              <w:rPr>
                <w:rFonts w:ascii="Arial"/>
                <w:w w:val="95"/>
                <w:sz w:val="18"/>
              </w:rPr>
              <w:t>20.00</w:t>
            </w:r>
            <w:r>
              <w:rPr>
                <w:rFonts w:ascii="Arial"/>
                <w:sz w:val="18"/>
              </w:rPr>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
              <w:jc w:val="right"/>
              <w:rPr>
                <w:rFonts w:ascii="Arial" w:hAnsi="Arial" w:cs="Arial" w:eastAsia="Arial" w:hint="default"/>
                <w:sz w:val="18"/>
                <w:szCs w:val="18"/>
              </w:rPr>
            </w:pPr>
            <w:r>
              <w:rPr>
                <w:rFonts w:ascii="Arial"/>
                <w:spacing w:val="-1"/>
                <w:sz w:val="18"/>
              </w:rPr>
              <w:t>(100,000</w:t>
            </w:r>
          </w:p>
        </w:tc>
        <w:tc>
          <w:tcPr>
            <w:tcW w:w="62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 w:right="0"/>
              <w:jc w:val="left"/>
              <w:rPr>
                <w:rFonts w:ascii="Arial" w:hAnsi="Arial" w:cs="Arial" w:eastAsia="Arial" w:hint="default"/>
                <w:sz w:val="18"/>
                <w:szCs w:val="18"/>
              </w:rPr>
            </w:pPr>
            <w:r>
              <w:rPr>
                <w:rFonts w:ascii="Arial"/>
                <w:w w:val="99"/>
                <w:sz w:val="18"/>
              </w:rPr>
              <w:t>)</w:t>
            </w:r>
            <w:r>
              <w:rPr>
                <w:rFonts w:ascii="Arial"/>
                <w:sz w:val="18"/>
              </w:rPr>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93"/>
              <w:jc w:val="right"/>
              <w:rPr>
                <w:rFonts w:ascii="Arial" w:hAnsi="Arial" w:cs="Arial" w:eastAsia="Arial" w:hint="default"/>
                <w:sz w:val="18"/>
                <w:szCs w:val="18"/>
              </w:rPr>
            </w:pPr>
            <w:r>
              <w:rPr>
                <w:rFonts w:ascii="Arial"/>
                <w:w w:val="99"/>
                <w:sz w:val="18"/>
              </w:rPr>
              <w:t>-</w:t>
            </w:r>
            <w:r>
              <w:rPr>
                <w:rFonts w:ascii="Arial"/>
                <w:sz w:val="18"/>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31"/>
              <w:jc w:val="right"/>
              <w:rPr>
                <w:rFonts w:ascii="Arial" w:hAnsi="Arial" w:cs="Arial" w:eastAsia="Arial" w:hint="default"/>
                <w:sz w:val="18"/>
                <w:szCs w:val="18"/>
              </w:rPr>
            </w:pPr>
            <w:r>
              <w:rPr>
                <w:rFonts w:ascii="Arial"/>
                <w:w w:val="99"/>
                <w:sz w:val="18"/>
              </w:rPr>
              <w:t>-</w:t>
            </w:r>
            <w:r>
              <w:rPr>
                <w:rFonts w:ascii="Arial"/>
                <w:sz w:val="18"/>
              </w:rPr>
            </w:r>
          </w:p>
        </w:tc>
      </w:tr>
      <w:tr>
        <w:trPr>
          <w:trHeight w:val="256" w:hRule="exact"/>
        </w:trPr>
        <w:tc>
          <w:tcPr>
            <w:tcW w:w="3721" w:type="dxa"/>
            <w:tcBorders>
              <w:top w:val="nil" w:sz="6" w:space="0" w:color="auto"/>
              <w:left w:val="nil" w:sz="6" w:space="0" w:color="auto"/>
              <w:bottom w:val="nil" w:sz="6" w:space="0" w:color="auto"/>
              <w:right w:val="nil" w:sz="6" w:space="0" w:color="auto"/>
            </w:tcBorders>
          </w:tcPr>
          <w:p>
            <w:pPr>
              <w:pStyle w:val="TableParagraph"/>
              <w:spacing w:line="215" w:lineRule="exact"/>
              <w:ind w:left="375" w:right="0"/>
              <w:jc w:val="left"/>
              <w:rPr>
                <w:rFonts w:ascii="黑体" w:hAnsi="黑体" w:cs="黑体" w:eastAsia="黑体" w:hint="default"/>
                <w:sz w:val="18"/>
                <w:szCs w:val="18"/>
              </w:rPr>
            </w:pPr>
            <w:r>
              <w:rPr>
                <w:rFonts w:ascii="黑体" w:hAnsi="黑体" w:cs="黑体" w:eastAsia="黑体" w:hint="default"/>
                <w:sz w:val="18"/>
                <w:szCs w:val="18"/>
              </w:rPr>
              <w:t>北京随锐科技有限公司（注</w:t>
            </w:r>
            <w:r>
              <w:rPr>
                <w:rFonts w:ascii="Arial" w:hAnsi="Arial" w:cs="Arial" w:eastAsia="Arial" w:hint="default"/>
                <w:sz w:val="18"/>
                <w:szCs w:val="18"/>
              </w:rPr>
              <w:t>2</w:t>
            </w:r>
            <w:r>
              <w:rPr>
                <w:rFonts w:ascii="黑体" w:hAnsi="黑体" w:cs="黑体" w:eastAsia="黑体" w:hint="default"/>
                <w:sz w:val="18"/>
                <w:szCs w:val="18"/>
              </w:rPr>
              <w:t>）</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5"/>
              <w:jc w:val="right"/>
              <w:rPr>
                <w:rFonts w:ascii="Arial" w:hAnsi="Arial" w:cs="Arial" w:eastAsia="Arial" w:hint="default"/>
                <w:sz w:val="18"/>
                <w:szCs w:val="18"/>
              </w:rPr>
            </w:pPr>
            <w:r>
              <w:rPr>
                <w:rFonts w:ascii="Arial"/>
                <w:spacing w:val="-1"/>
                <w:sz w:val="18"/>
              </w:rPr>
              <w:t>2,313,770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3"/>
              <w:jc w:val="right"/>
              <w:rPr>
                <w:rFonts w:ascii="Arial" w:hAnsi="Arial" w:cs="Arial" w:eastAsia="Arial" w:hint="default"/>
                <w:sz w:val="18"/>
                <w:szCs w:val="18"/>
              </w:rPr>
            </w:pPr>
            <w:r>
              <w:rPr>
                <w:rFonts w:ascii="Arial"/>
                <w:spacing w:val="-1"/>
                <w:sz w:val="18"/>
              </w:rPr>
              <w:t>2,000,000</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81"/>
              <w:jc w:val="right"/>
              <w:rPr>
                <w:rFonts w:ascii="Arial" w:hAnsi="Arial" w:cs="Arial" w:eastAsia="Arial" w:hint="default"/>
                <w:sz w:val="18"/>
                <w:szCs w:val="18"/>
              </w:rPr>
            </w:pPr>
            <w:r>
              <w:rPr>
                <w:rFonts w:ascii="Arial"/>
                <w:spacing w:val="-1"/>
                <w:sz w:val="18"/>
              </w:rPr>
              <w:t>313,770</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3"/>
              <w:jc w:val="right"/>
              <w:rPr>
                <w:rFonts w:ascii="Arial" w:hAnsi="Arial" w:cs="Arial" w:eastAsia="Arial" w:hint="default"/>
                <w:sz w:val="18"/>
                <w:szCs w:val="18"/>
              </w:rPr>
            </w:pPr>
            <w:r>
              <w:rPr>
                <w:rFonts w:ascii="Arial"/>
                <w:spacing w:val="-1"/>
                <w:sz w:val="18"/>
              </w:rPr>
              <w:t>2,313,770</w:t>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79"/>
              <w:jc w:val="right"/>
              <w:rPr>
                <w:rFonts w:ascii="Arial" w:hAnsi="Arial" w:cs="Arial" w:eastAsia="Arial" w:hint="default"/>
                <w:sz w:val="18"/>
                <w:szCs w:val="18"/>
              </w:rPr>
            </w:pPr>
            <w:r>
              <w:rPr>
                <w:rFonts w:ascii="Arial"/>
                <w:w w:val="95"/>
                <w:sz w:val="18"/>
              </w:rPr>
              <w:t>7.50</w:t>
            </w:r>
            <w:r>
              <w:rPr>
                <w:rFonts w:ascii="Arial"/>
                <w:sz w:val="18"/>
              </w:rPr>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9"/>
              <w:jc w:val="right"/>
              <w:rPr>
                <w:rFonts w:ascii="Arial" w:hAnsi="Arial" w:cs="Arial" w:eastAsia="Arial" w:hint="default"/>
                <w:sz w:val="18"/>
                <w:szCs w:val="18"/>
              </w:rPr>
            </w:pPr>
            <w:r>
              <w:rPr>
                <w:rFonts w:ascii="Arial"/>
                <w:w w:val="95"/>
                <w:sz w:val="18"/>
              </w:rPr>
              <w:t>7.50</w:t>
            </w:r>
            <w:r>
              <w:rPr>
                <w:rFonts w:ascii="Arial"/>
                <w:sz w:val="18"/>
              </w:rPr>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
              <w:jc w:val="right"/>
              <w:rPr>
                <w:rFonts w:ascii="Arial" w:hAnsi="Arial" w:cs="Arial" w:eastAsia="Arial" w:hint="default"/>
                <w:sz w:val="18"/>
                <w:szCs w:val="18"/>
              </w:rPr>
            </w:pPr>
            <w:r>
              <w:rPr>
                <w:rFonts w:ascii="Arial"/>
                <w:w w:val="99"/>
                <w:sz w:val="18"/>
              </w:rPr>
              <w:t>-</w:t>
            </w:r>
            <w:r>
              <w:rPr>
                <w:rFonts w:ascii="Arial"/>
                <w:sz w:val="18"/>
              </w:rPr>
            </w:r>
          </w:p>
        </w:tc>
        <w:tc>
          <w:tcPr>
            <w:tcW w:w="622"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93"/>
              <w:jc w:val="right"/>
              <w:rPr>
                <w:rFonts w:ascii="Arial" w:hAnsi="Arial" w:cs="Arial" w:eastAsia="Arial" w:hint="default"/>
                <w:sz w:val="18"/>
                <w:szCs w:val="18"/>
              </w:rPr>
            </w:pPr>
            <w:r>
              <w:rPr>
                <w:rFonts w:ascii="Arial"/>
                <w:w w:val="99"/>
                <w:sz w:val="18"/>
              </w:rPr>
              <w:t>-</w:t>
            </w:r>
            <w:r>
              <w:rPr>
                <w:rFonts w:ascii="Arial"/>
                <w:sz w:val="18"/>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31"/>
              <w:jc w:val="right"/>
              <w:rPr>
                <w:rFonts w:ascii="Arial" w:hAnsi="Arial" w:cs="Arial" w:eastAsia="Arial" w:hint="default"/>
                <w:sz w:val="18"/>
                <w:szCs w:val="18"/>
              </w:rPr>
            </w:pPr>
            <w:r>
              <w:rPr>
                <w:rFonts w:ascii="Arial"/>
                <w:w w:val="99"/>
                <w:sz w:val="18"/>
              </w:rPr>
              <w:t>-</w:t>
            </w:r>
            <w:r>
              <w:rPr>
                <w:rFonts w:ascii="Arial"/>
                <w:sz w:val="18"/>
              </w:rPr>
            </w:r>
          </w:p>
        </w:tc>
      </w:tr>
      <w:tr>
        <w:trPr>
          <w:trHeight w:val="256" w:hRule="exact"/>
        </w:trPr>
        <w:tc>
          <w:tcPr>
            <w:tcW w:w="3721" w:type="dxa"/>
            <w:tcBorders>
              <w:top w:val="nil" w:sz="6" w:space="0" w:color="auto"/>
              <w:left w:val="nil" w:sz="6" w:space="0" w:color="auto"/>
              <w:bottom w:val="nil" w:sz="6" w:space="0" w:color="auto"/>
              <w:right w:val="nil" w:sz="6" w:space="0" w:color="auto"/>
            </w:tcBorders>
          </w:tcPr>
          <w:p>
            <w:pPr>
              <w:pStyle w:val="TableParagraph"/>
              <w:spacing w:line="203" w:lineRule="exact"/>
              <w:ind w:left="375" w:right="0"/>
              <w:jc w:val="left"/>
              <w:rPr>
                <w:rFonts w:ascii="黑体" w:hAnsi="黑体" w:cs="黑体" w:eastAsia="黑体" w:hint="default"/>
                <w:sz w:val="18"/>
                <w:szCs w:val="18"/>
              </w:rPr>
            </w:pPr>
            <w:r>
              <w:rPr>
                <w:rFonts w:ascii="黑体" w:hAnsi="黑体" w:cs="黑体" w:eastAsia="黑体" w:hint="default"/>
                <w:sz w:val="18"/>
                <w:szCs w:val="18"/>
              </w:rPr>
              <w:t>北京族米科技有限公司</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64"/>
              <w:jc w:val="right"/>
              <w:rPr>
                <w:rFonts w:ascii="Arial" w:hAnsi="Arial" w:cs="Arial" w:eastAsia="Arial" w:hint="default"/>
                <w:sz w:val="18"/>
                <w:szCs w:val="18"/>
              </w:rPr>
            </w:pPr>
            <w:r>
              <w:rPr>
                <w:rFonts w:ascii="Arial"/>
                <w:spacing w:val="-1"/>
                <w:sz w:val="18"/>
              </w:rPr>
              <w:t>15,000,000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12"/>
              <w:jc w:val="right"/>
              <w:rPr>
                <w:rFonts w:ascii="Arial" w:hAnsi="Arial" w:cs="Arial" w:eastAsia="Arial" w:hint="default"/>
                <w:sz w:val="18"/>
                <w:szCs w:val="18"/>
              </w:rPr>
            </w:pPr>
            <w:r>
              <w:rPr>
                <w:rFonts w:ascii="Arial"/>
                <w:spacing w:val="-1"/>
                <w:sz w:val="18"/>
              </w:rPr>
              <w:t>15,000,000</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83"/>
              <w:jc w:val="right"/>
              <w:rPr>
                <w:rFonts w:ascii="Arial" w:hAnsi="Arial" w:cs="Arial" w:eastAsia="Arial" w:hint="default"/>
                <w:sz w:val="18"/>
                <w:szCs w:val="18"/>
              </w:rPr>
            </w:pPr>
            <w:r>
              <w:rPr>
                <w:rFonts w:ascii="Arial"/>
                <w:w w:val="99"/>
                <w:sz w:val="18"/>
              </w:rPr>
              <w:t>-</w:t>
            </w:r>
            <w:r>
              <w:rPr>
                <w:rFonts w:ascii="Arial"/>
                <w:sz w:val="18"/>
              </w:rPr>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83"/>
              <w:jc w:val="right"/>
              <w:rPr>
                <w:rFonts w:ascii="Arial" w:hAnsi="Arial" w:cs="Arial" w:eastAsia="Arial" w:hint="default"/>
                <w:sz w:val="18"/>
                <w:szCs w:val="18"/>
              </w:rPr>
            </w:pPr>
            <w:r>
              <w:rPr>
                <w:rFonts w:ascii="Arial"/>
                <w:spacing w:val="-1"/>
                <w:sz w:val="18"/>
              </w:rPr>
              <w:t>15,000,000</w:t>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79"/>
              <w:jc w:val="right"/>
              <w:rPr>
                <w:rFonts w:ascii="Arial" w:hAnsi="Arial" w:cs="Arial" w:eastAsia="Arial" w:hint="default"/>
                <w:sz w:val="18"/>
                <w:szCs w:val="18"/>
              </w:rPr>
            </w:pPr>
            <w:r>
              <w:rPr>
                <w:rFonts w:ascii="Arial"/>
                <w:w w:val="95"/>
                <w:sz w:val="18"/>
              </w:rPr>
              <w:t>12.85</w:t>
            </w:r>
            <w:r>
              <w:rPr>
                <w:rFonts w:ascii="Arial"/>
                <w:sz w:val="18"/>
              </w:rPr>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37"/>
              <w:jc w:val="right"/>
              <w:rPr>
                <w:rFonts w:ascii="Arial" w:hAnsi="Arial" w:cs="Arial" w:eastAsia="Arial" w:hint="default"/>
                <w:sz w:val="18"/>
                <w:szCs w:val="18"/>
              </w:rPr>
            </w:pPr>
            <w:r>
              <w:rPr>
                <w:rFonts w:ascii="Arial"/>
                <w:w w:val="95"/>
                <w:sz w:val="18"/>
              </w:rPr>
              <w:t>12.85</w:t>
            </w:r>
            <w:r>
              <w:rPr>
                <w:rFonts w:ascii="Arial"/>
                <w:sz w:val="18"/>
              </w:rPr>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5"/>
              <w:jc w:val="right"/>
              <w:rPr>
                <w:rFonts w:ascii="Arial" w:hAnsi="Arial" w:cs="Arial" w:eastAsia="Arial" w:hint="default"/>
                <w:sz w:val="18"/>
                <w:szCs w:val="18"/>
              </w:rPr>
            </w:pPr>
            <w:r>
              <w:rPr>
                <w:rFonts w:ascii="Arial"/>
                <w:w w:val="99"/>
                <w:sz w:val="18"/>
              </w:rPr>
              <w:t>-</w:t>
            </w:r>
            <w:r>
              <w:rPr>
                <w:rFonts w:ascii="Arial"/>
                <w:sz w:val="18"/>
              </w:rPr>
            </w:r>
          </w:p>
        </w:tc>
        <w:tc>
          <w:tcPr>
            <w:tcW w:w="622"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93"/>
              <w:jc w:val="right"/>
              <w:rPr>
                <w:rFonts w:ascii="Arial" w:hAnsi="Arial" w:cs="Arial" w:eastAsia="Arial" w:hint="default"/>
                <w:sz w:val="18"/>
                <w:szCs w:val="18"/>
              </w:rPr>
            </w:pPr>
            <w:r>
              <w:rPr>
                <w:rFonts w:ascii="Arial"/>
                <w:w w:val="99"/>
                <w:sz w:val="18"/>
              </w:rPr>
              <w:t>-</w:t>
            </w:r>
            <w:r>
              <w:rPr>
                <w:rFonts w:ascii="Arial"/>
                <w:sz w:val="18"/>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31"/>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3721" w:type="dxa"/>
            <w:tcBorders>
              <w:top w:val="nil" w:sz="6" w:space="0" w:color="auto"/>
              <w:left w:val="nil" w:sz="6" w:space="0" w:color="auto"/>
              <w:bottom w:val="nil" w:sz="6" w:space="0" w:color="auto"/>
              <w:right w:val="nil" w:sz="6" w:space="0" w:color="auto"/>
            </w:tcBorders>
          </w:tcPr>
          <w:p>
            <w:pPr>
              <w:pStyle w:val="TableParagraph"/>
              <w:spacing w:line="202" w:lineRule="exact"/>
              <w:ind w:left="375" w:right="0"/>
              <w:jc w:val="left"/>
              <w:rPr>
                <w:rFonts w:ascii="黑体" w:hAnsi="黑体" w:cs="黑体" w:eastAsia="黑体" w:hint="default"/>
                <w:sz w:val="18"/>
                <w:szCs w:val="18"/>
              </w:rPr>
            </w:pPr>
            <w:r>
              <w:rPr>
                <w:rFonts w:ascii="黑体" w:hAnsi="黑体" w:cs="黑体" w:eastAsia="黑体" w:hint="default"/>
                <w:sz w:val="18"/>
                <w:szCs w:val="18"/>
              </w:rPr>
              <w:t>北京盛景网联科技有限公司</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4"/>
              <w:jc w:val="right"/>
              <w:rPr>
                <w:rFonts w:ascii="Arial" w:hAnsi="Arial" w:cs="Arial" w:eastAsia="Arial" w:hint="default"/>
                <w:sz w:val="18"/>
                <w:szCs w:val="18"/>
              </w:rPr>
            </w:pPr>
            <w:r>
              <w:rPr>
                <w:rFonts w:ascii="Arial"/>
                <w:spacing w:val="-1"/>
                <w:sz w:val="18"/>
              </w:rPr>
              <w:t>11,550,000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2"/>
              <w:jc w:val="right"/>
              <w:rPr>
                <w:rFonts w:ascii="Arial" w:hAnsi="Arial" w:cs="Arial" w:eastAsia="Arial" w:hint="default"/>
                <w:sz w:val="18"/>
                <w:szCs w:val="18"/>
              </w:rPr>
            </w:pPr>
            <w:r>
              <w:rPr>
                <w:rFonts w:ascii="Arial"/>
                <w:spacing w:val="-1"/>
                <w:sz w:val="18"/>
              </w:rPr>
              <w:t>11,550,000</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83"/>
              <w:jc w:val="right"/>
              <w:rPr>
                <w:rFonts w:ascii="Arial" w:hAnsi="Arial" w:cs="Arial" w:eastAsia="Arial" w:hint="default"/>
                <w:sz w:val="18"/>
                <w:szCs w:val="18"/>
              </w:rPr>
            </w:pPr>
            <w:r>
              <w:rPr>
                <w:rFonts w:ascii="Arial"/>
                <w:w w:val="99"/>
                <w:sz w:val="18"/>
              </w:rPr>
              <w:t>-</w:t>
            </w:r>
            <w:r>
              <w:rPr>
                <w:rFonts w:ascii="Arial"/>
                <w:sz w:val="18"/>
              </w:rPr>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3"/>
              <w:jc w:val="right"/>
              <w:rPr>
                <w:rFonts w:ascii="Arial" w:hAnsi="Arial" w:cs="Arial" w:eastAsia="Arial" w:hint="default"/>
                <w:sz w:val="18"/>
                <w:szCs w:val="18"/>
              </w:rPr>
            </w:pPr>
            <w:r>
              <w:rPr>
                <w:rFonts w:ascii="Arial"/>
                <w:spacing w:val="-1"/>
                <w:sz w:val="18"/>
              </w:rPr>
              <w:t>11,550,000</w:t>
            </w:r>
          </w:p>
        </w:tc>
        <w:tc>
          <w:tcPr>
            <w:tcW w:w="920" w:type="dxa"/>
            <w:tcBorders>
              <w:top w:val="nil" w:sz="6" w:space="0" w:color="auto"/>
              <w:left w:val="nil" w:sz="6" w:space="0" w:color="auto"/>
              <w:bottom w:val="nil" w:sz="6" w:space="0" w:color="auto"/>
              <w:right w:val="nil" w:sz="6" w:space="0" w:color="auto"/>
            </w:tcBorders>
          </w:tcPr>
          <w:p>
            <w:pPr>
              <w:pStyle w:val="TableParagraph"/>
              <w:spacing w:line="222" w:lineRule="exact"/>
              <w:ind w:right="65"/>
              <w:jc w:val="right"/>
              <w:rPr>
                <w:rFonts w:ascii="Arial" w:hAnsi="Arial" w:cs="Arial" w:eastAsia="Arial" w:hint="default"/>
                <w:sz w:val="18"/>
                <w:szCs w:val="18"/>
              </w:rPr>
            </w:pPr>
            <w:r>
              <w:rPr>
                <w:rFonts w:ascii="黑体" w:hAnsi="黑体" w:cs="黑体" w:eastAsia="黑体" w:hint="default"/>
                <w:sz w:val="18"/>
                <w:szCs w:val="18"/>
              </w:rPr>
              <w:t>低于</w:t>
            </w:r>
            <w:r>
              <w:rPr>
                <w:rFonts w:ascii="黑体" w:hAnsi="黑体" w:cs="黑体" w:eastAsia="黑体" w:hint="default"/>
                <w:spacing w:val="-46"/>
                <w:sz w:val="18"/>
                <w:szCs w:val="18"/>
              </w:rPr>
              <w:t> </w:t>
            </w:r>
            <w:r>
              <w:rPr>
                <w:rFonts w:ascii="Arial" w:hAnsi="Arial" w:cs="Arial" w:eastAsia="Arial" w:hint="default"/>
                <w:sz w:val="18"/>
                <w:szCs w:val="18"/>
              </w:rPr>
              <w:t>10%</w:t>
            </w:r>
          </w:p>
        </w:tc>
        <w:tc>
          <w:tcPr>
            <w:tcW w:w="1104" w:type="dxa"/>
            <w:tcBorders>
              <w:top w:val="nil" w:sz="6" w:space="0" w:color="auto"/>
              <w:left w:val="nil" w:sz="6" w:space="0" w:color="auto"/>
              <w:bottom w:val="nil" w:sz="6" w:space="0" w:color="auto"/>
              <w:right w:val="nil" w:sz="6" w:space="0" w:color="auto"/>
            </w:tcBorders>
          </w:tcPr>
          <w:p>
            <w:pPr>
              <w:pStyle w:val="TableParagraph"/>
              <w:spacing w:line="222" w:lineRule="exact"/>
              <w:ind w:right="132"/>
              <w:jc w:val="right"/>
              <w:rPr>
                <w:rFonts w:ascii="Arial" w:hAnsi="Arial" w:cs="Arial" w:eastAsia="Arial" w:hint="default"/>
                <w:sz w:val="18"/>
                <w:szCs w:val="18"/>
              </w:rPr>
            </w:pPr>
            <w:r>
              <w:rPr>
                <w:rFonts w:ascii="黑体" w:hAnsi="黑体" w:cs="黑体" w:eastAsia="黑体" w:hint="default"/>
                <w:sz w:val="18"/>
                <w:szCs w:val="18"/>
              </w:rPr>
              <w:t>低于</w:t>
            </w:r>
            <w:r>
              <w:rPr>
                <w:rFonts w:ascii="黑体" w:hAnsi="黑体" w:cs="黑体" w:eastAsia="黑体" w:hint="default"/>
                <w:spacing w:val="-46"/>
                <w:sz w:val="18"/>
                <w:szCs w:val="18"/>
              </w:rPr>
              <w:t> </w:t>
            </w:r>
            <w:r>
              <w:rPr>
                <w:rFonts w:ascii="Arial" w:hAnsi="Arial" w:cs="Arial" w:eastAsia="Arial" w:hint="default"/>
                <w:sz w:val="18"/>
                <w:szCs w:val="18"/>
              </w:rPr>
              <w:t>10%</w:t>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
              <w:jc w:val="right"/>
              <w:rPr>
                <w:rFonts w:ascii="Arial" w:hAnsi="Arial" w:cs="Arial" w:eastAsia="Arial" w:hint="default"/>
                <w:sz w:val="18"/>
                <w:szCs w:val="18"/>
              </w:rPr>
            </w:pPr>
            <w:r>
              <w:rPr>
                <w:rFonts w:ascii="Arial"/>
                <w:w w:val="99"/>
                <w:sz w:val="18"/>
              </w:rPr>
              <w:t>-</w:t>
            </w:r>
            <w:r>
              <w:rPr>
                <w:rFonts w:ascii="Arial"/>
                <w:sz w:val="18"/>
              </w:rPr>
            </w:r>
          </w:p>
        </w:tc>
        <w:tc>
          <w:tcPr>
            <w:tcW w:w="622"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93"/>
              <w:jc w:val="right"/>
              <w:rPr>
                <w:rFonts w:ascii="Arial" w:hAnsi="Arial" w:cs="Arial" w:eastAsia="Arial" w:hint="default"/>
                <w:sz w:val="18"/>
                <w:szCs w:val="18"/>
              </w:rPr>
            </w:pPr>
            <w:r>
              <w:rPr>
                <w:rFonts w:ascii="Arial"/>
                <w:w w:val="99"/>
                <w:sz w:val="18"/>
              </w:rPr>
              <w:t>-</w:t>
            </w:r>
            <w:r>
              <w:rPr>
                <w:rFonts w:ascii="Arial"/>
                <w:sz w:val="18"/>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10"/>
              <w:jc w:val="right"/>
              <w:rPr>
                <w:rFonts w:ascii="Arial" w:hAnsi="Arial" w:cs="Arial" w:eastAsia="Arial" w:hint="default"/>
                <w:sz w:val="18"/>
                <w:szCs w:val="18"/>
              </w:rPr>
            </w:pPr>
            <w:r>
              <w:rPr>
                <w:rFonts w:ascii="Arial"/>
                <w:spacing w:val="-1"/>
                <w:sz w:val="18"/>
              </w:rPr>
              <w:t>678,463</w:t>
            </w:r>
          </w:p>
        </w:tc>
      </w:tr>
      <w:tr>
        <w:trPr>
          <w:trHeight w:val="254" w:hRule="exact"/>
        </w:trPr>
        <w:tc>
          <w:tcPr>
            <w:tcW w:w="3721" w:type="dxa"/>
            <w:tcBorders>
              <w:top w:val="nil" w:sz="6" w:space="0" w:color="auto"/>
              <w:left w:val="nil" w:sz="6" w:space="0" w:color="auto"/>
              <w:bottom w:val="nil" w:sz="6" w:space="0" w:color="auto"/>
              <w:right w:val="nil" w:sz="6" w:space="0" w:color="auto"/>
            </w:tcBorders>
          </w:tcPr>
          <w:p>
            <w:pPr>
              <w:pStyle w:val="TableParagraph"/>
              <w:spacing w:line="202" w:lineRule="exact"/>
              <w:ind w:left="375" w:right="0"/>
              <w:jc w:val="left"/>
              <w:rPr>
                <w:rFonts w:ascii="黑体" w:hAnsi="黑体" w:cs="黑体" w:eastAsia="黑体" w:hint="default"/>
                <w:sz w:val="18"/>
                <w:szCs w:val="18"/>
              </w:rPr>
            </w:pPr>
            <w:r>
              <w:rPr>
                <w:rFonts w:ascii="黑体" w:hAnsi="黑体" w:cs="黑体" w:eastAsia="黑体" w:hint="default"/>
                <w:sz w:val="18"/>
                <w:szCs w:val="18"/>
              </w:rPr>
              <w:t>北京中明万长管理咨询有限公司</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4"/>
              <w:jc w:val="right"/>
              <w:rPr>
                <w:rFonts w:ascii="Arial" w:hAnsi="Arial" w:cs="Arial" w:eastAsia="Arial" w:hint="default"/>
                <w:sz w:val="18"/>
                <w:szCs w:val="18"/>
              </w:rPr>
            </w:pPr>
            <w:r>
              <w:rPr>
                <w:rFonts w:ascii="Arial"/>
                <w:spacing w:val="-1"/>
                <w:sz w:val="18"/>
              </w:rPr>
              <w:t>19,500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2"/>
              <w:jc w:val="right"/>
              <w:rPr>
                <w:rFonts w:ascii="Arial" w:hAnsi="Arial" w:cs="Arial" w:eastAsia="Arial" w:hint="default"/>
                <w:sz w:val="18"/>
                <w:szCs w:val="18"/>
              </w:rPr>
            </w:pPr>
            <w:r>
              <w:rPr>
                <w:rFonts w:ascii="Arial"/>
                <w:spacing w:val="-1"/>
                <w:sz w:val="18"/>
              </w:rPr>
              <w:t>19,500</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83"/>
              <w:jc w:val="right"/>
              <w:rPr>
                <w:rFonts w:ascii="Arial" w:hAnsi="Arial" w:cs="Arial" w:eastAsia="Arial" w:hint="default"/>
                <w:sz w:val="18"/>
                <w:szCs w:val="18"/>
              </w:rPr>
            </w:pPr>
            <w:r>
              <w:rPr>
                <w:rFonts w:ascii="Arial"/>
                <w:w w:val="99"/>
                <w:sz w:val="18"/>
              </w:rPr>
              <w:t>-</w:t>
            </w:r>
            <w:r>
              <w:rPr>
                <w:rFonts w:ascii="Arial"/>
                <w:sz w:val="18"/>
              </w:rPr>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3"/>
              <w:jc w:val="right"/>
              <w:rPr>
                <w:rFonts w:ascii="Arial" w:hAnsi="Arial" w:cs="Arial" w:eastAsia="Arial" w:hint="default"/>
                <w:sz w:val="18"/>
                <w:szCs w:val="18"/>
              </w:rPr>
            </w:pPr>
            <w:r>
              <w:rPr>
                <w:rFonts w:ascii="Arial"/>
                <w:spacing w:val="-1"/>
                <w:sz w:val="18"/>
              </w:rPr>
              <w:t>19,500</w:t>
            </w:r>
          </w:p>
        </w:tc>
        <w:tc>
          <w:tcPr>
            <w:tcW w:w="920" w:type="dxa"/>
            <w:tcBorders>
              <w:top w:val="nil" w:sz="6" w:space="0" w:color="auto"/>
              <w:left w:val="nil" w:sz="6" w:space="0" w:color="auto"/>
              <w:bottom w:val="nil" w:sz="6" w:space="0" w:color="auto"/>
              <w:right w:val="nil" w:sz="6" w:space="0" w:color="auto"/>
            </w:tcBorders>
          </w:tcPr>
          <w:p>
            <w:pPr>
              <w:pStyle w:val="TableParagraph"/>
              <w:spacing w:line="222" w:lineRule="exact"/>
              <w:ind w:right="65"/>
              <w:jc w:val="right"/>
              <w:rPr>
                <w:rFonts w:ascii="Arial" w:hAnsi="Arial" w:cs="Arial" w:eastAsia="Arial" w:hint="default"/>
                <w:sz w:val="18"/>
                <w:szCs w:val="18"/>
              </w:rPr>
            </w:pPr>
            <w:r>
              <w:rPr>
                <w:rFonts w:ascii="黑体" w:hAnsi="黑体" w:cs="黑体" w:eastAsia="黑体" w:hint="default"/>
                <w:sz w:val="18"/>
                <w:szCs w:val="18"/>
              </w:rPr>
              <w:t>低于</w:t>
            </w:r>
            <w:r>
              <w:rPr>
                <w:rFonts w:ascii="黑体" w:hAnsi="黑体" w:cs="黑体" w:eastAsia="黑体" w:hint="default"/>
                <w:spacing w:val="-46"/>
                <w:sz w:val="18"/>
                <w:szCs w:val="18"/>
              </w:rPr>
              <w:t> </w:t>
            </w:r>
            <w:r>
              <w:rPr>
                <w:rFonts w:ascii="Arial" w:hAnsi="Arial" w:cs="Arial" w:eastAsia="Arial" w:hint="default"/>
                <w:sz w:val="18"/>
                <w:szCs w:val="18"/>
              </w:rPr>
              <w:t>10%</w:t>
            </w:r>
          </w:p>
        </w:tc>
        <w:tc>
          <w:tcPr>
            <w:tcW w:w="1104" w:type="dxa"/>
            <w:tcBorders>
              <w:top w:val="nil" w:sz="6" w:space="0" w:color="auto"/>
              <w:left w:val="nil" w:sz="6" w:space="0" w:color="auto"/>
              <w:bottom w:val="nil" w:sz="6" w:space="0" w:color="auto"/>
              <w:right w:val="nil" w:sz="6" w:space="0" w:color="auto"/>
            </w:tcBorders>
          </w:tcPr>
          <w:p>
            <w:pPr>
              <w:pStyle w:val="TableParagraph"/>
              <w:spacing w:line="222" w:lineRule="exact"/>
              <w:ind w:right="132"/>
              <w:jc w:val="right"/>
              <w:rPr>
                <w:rFonts w:ascii="Arial" w:hAnsi="Arial" w:cs="Arial" w:eastAsia="Arial" w:hint="default"/>
                <w:sz w:val="18"/>
                <w:szCs w:val="18"/>
              </w:rPr>
            </w:pPr>
            <w:r>
              <w:rPr>
                <w:rFonts w:ascii="黑体" w:hAnsi="黑体" w:cs="黑体" w:eastAsia="黑体" w:hint="default"/>
                <w:sz w:val="18"/>
                <w:szCs w:val="18"/>
              </w:rPr>
              <w:t>低于</w:t>
            </w:r>
            <w:r>
              <w:rPr>
                <w:rFonts w:ascii="黑体" w:hAnsi="黑体" w:cs="黑体" w:eastAsia="黑体" w:hint="default"/>
                <w:spacing w:val="-46"/>
                <w:sz w:val="18"/>
                <w:szCs w:val="18"/>
              </w:rPr>
              <w:t> </w:t>
            </w:r>
            <w:r>
              <w:rPr>
                <w:rFonts w:ascii="Arial" w:hAnsi="Arial" w:cs="Arial" w:eastAsia="Arial" w:hint="default"/>
                <w:sz w:val="18"/>
                <w:szCs w:val="18"/>
              </w:rPr>
              <w:t>10%</w:t>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
              <w:jc w:val="right"/>
              <w:rPr>
                <w:rFonts w:ascii="Arial" w:hAnsi="Arial" w:cs="Arial" w:eastAsia="Arial" w:hint="default"/>
                <w:sz w:val="18"/>
                <w:szCs w:val="18"/>
              </w:rPr>
            </w:pPr>
            <w:r>
              <w:rPr>
                <w:rFonts w:ascii="Arial"/>
                <w:w w:val="99"/>
                <w:sz w:val="18"/>
              </w:rPr>
              <w:t>-</w:t>
            </w:r>
            <w:r>
              <w:rPr>
                <w:rFonts w:ascii="Arial"/>
                <w:sz w:val="18"/>
              </w:rPr>
            </w:r>
          </w:p>
        </w:tc>
        <w:tc>
          <w:tcPr>
            <w:tcW w:w="622"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93"/>
              <w:jc w:val="right"/>
              <w:rPr>
                <w:rFonts w:ascii="Arial" w:hAnsi="Arial" w:cs="Arial" w:eastAsia="Arial" w:hint="default"/>
                <w:sz w:val="18"/>
                <w:szCs w:val="18"/>
              </w:rPr>
            </w:pPr>
            <w:r>
              <w:rPr>
                <w:rFonts w:ascii="Arial"/>
                <w:w w:val="99"/>
                <w:sz w:val="18"/>
              </w:rPr>
              <w:t>-</w:t>
            </w:r>
            <w:r>
              <w:rPr>
                <w:rFonts w:ascii="Arial"/>
                <w:sz w:val="18"/>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31"/>
              <w:jc w:val="right"/>
              <w:rPr>
                <w:rFonts w:ascii="Arial" w:hAnsi="Arial" w:cs="Arial" w:eastAsia="Arial" w:hint="default"/>
                <w:sz w:val="18"/>
                <w:szCs w:val="18"/>
              </w:rPr>
            </w:pPr>
            <w:r>
              <w:rPr>
                <w:rFonts w:ascii="Arial"/>
                <w:w w:val="99"/>
                <w:sz w:val="18"/>
              </w:rPr>
              <w:t>-</w:t>
            </w:r>
            <w:r>
              <w:rPr>
                <w:rFonts w:ascii="Arial"/>
                <w:sz w:val="18"/>
              </w:rPr>
            </w:r>
          </w:p>
        </w:tc>
      </w:tr>
      <w:tr>
        <w:trPr>
          <w:trHeight w:val="256" w:hRule="exact"/>
        </w:trPr>
        <w:tc>
          <w:tcPr>
            <w:tcW w:w="3721" w:type="dxa"/>
            <w:tcBorders>
              <w:top w:val="nil" w:sz="6" w:space="0" w:color="auto"/>
              <w:left w:val="nil" w:sz="6" w:space="0" w:color="auto"/>
              <w:bottom w:val="nil" w:sz="6" w:space="0" w:color="auto"/>
              <w:right w:val="nil" w:sz="6" w:space="0" w:color="auto"/>
            </w:tcBorders>
          </w:tcPr>
          <w:p>
            <w:pPr>
              <w:pStyle w:val="TableParagraph"/>
              <w:spacing w:line="202" w:lineRule="exact"/>
              <w:ind w:left="375" w:right="0"/>
              <w:jc w:val="left"/>
              <w:rPr>
                <w:rFonts w:ascii="黑体" w:hAnsi="黑体" w:cs="黑体" w:eastAsia="黑体" w:hint="default"/>
                <w:sz w:val="18"/>
                <w:szCs w:val="18"/>
              </w:rPr>
            </w:pPr>
            <w:r>
              <w:rPr>
                <w:rFonts w:ascii="黑体" w:hAnsi="黑体" w:cs="黑体" w:eastAsia="黑体" w:hint="default"/>
                <w:sz w:val="18"/>
                <w:szCs w:val="18"/>
              </w:rPr>
              <w:t>北京创业创媒传媒技术有限公司</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5"/>
              <w:jc w:val="right"/>
              <w:rPr>
                <w:rFonts w:ascii="Arial" w:hAnsi="Arial" w:cs="Arial" w:eastAsia="Arial" w:hint="default"/>
                <w:sz w:val="18"/>
                <w:szCs w:val="18"/>
              </w:rPr>
            </w:pPr>
            <w:r>
              <w:rPr>
                <w:rFonts w:ascii="Arial"/>
                <w:spacing w:val="-1"/>
                <w:sz w:val="18"/>
              </w:rPr>
              <w:t>6,000,000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3"/>
              <w:jc w:val="right"/>
              <w:rPr>
                <w:rFonts w:ascii="Arial" w:hAnsi="Arial" w:cs="Arial" w:eastAsia="Arial" w:hint="default"/>
                <w:sz w:val="18"/>
                <w:szCs w:val="18"/>
              </w:rPr>
            </w:pPr>
            <w:r>
              <w:rPr>
                <w:rFonts w:ascii="Arial"/>
                <w:spacing w:val="-1"/>
                <w:sz w:val="18"/>
              </w:rPr>
              <w:t>6,000,000</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83"/>
              <w:jc w:val="right"/>
              <w:rPr>
                <w:rFonts w:ascii="Arial" w:hAnsi="Arial" w:cs="Arial" w:eastAsia="Arial" w:hint="default"/>
                <w:sz w:val="18"/>
                <w:szCs w:val="18"/>
              </w:rPr>
            </w:pPr>
            <w:r>
              <w:rPr>
                <w:rFonts w:ascii="Arial"/>
                <w:w w:val="99"/>
                <w:sz w:val="18"/>
              </w:rPr>
              <w:t>-</w:t>
            </w:r>
            <w:r>
              <w:rPr>
                <w:rFonts w:ascii="Arial"/>
                <w:sz w:val="18"/>
              </w:rPr>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3"/>
              <w:jc w:val="right"/>
              <w:rPr>
                <w:rFonts w:ascii="Arial" w:hAnsi="Arial" w:cs="Arial" w:eastAsia="Arial" w:hint="default"/>
                <w:sz w:val="18"/>
                <w:szCs w:val="18"/>
              </w:rPr>
            </w:pPr>
            <w:r>
              <w:rPr>
                <w:rFonts w:ascii="Arial"/>
                <w:spacing w:val="-1"/>
                <w:sz w:val="18"/>
              </w:rPr>
              <w:t>6,000,000</w:t>
            </w:r>
          </w:p>
        </w:tc>
        <w:tc>
          <w:tcPr>
            <w:tcW w:w="920" w:type="dxa"/>
            <w:tcBorders>
              <w:top w:val="nil" w:sz="6" w:space="0" w:color="auto"/>
              <w:left w:val="nil" w:sz="6" w:space="0" w:color="auto"/>
              <w:bottom w:val="nil" w:sz="6" w:space="0" w:color="auto"/>
              <w:right w:val="nil" w:sz="6" w:space="0" w:color="auto"/>
            </w:tcBorders>
          </w:tcPr>
          <w:p>
            <w:pPr>
              <w:pStyle w:val="TableParagraph"/>
              <w:spacing w:line="222" w:lineRule="exact"/>
              <w:ind w:right="65"/>
              <w:jc w:val="right"/>
              <w:rPr>
                <w:rFonts w:ascii="Arial" w:hAnsi="Arial" w:cs="Arial" w:eastAsia="Arial" w:hint="default"/>
                <w:sz w:val="18"/>
                <w:szCs w:val="18"/>
              </w:rPr>
            </w:pPr>
            <w:r>
              <w:rPr>
                <w:rFonts w:ascii="黑体" w:hAnsi="黑体" w:cs="黑体" w:eastAsia="黑体" w:hint="default"/>
                <w:sz w:val="18"/>
                <w:szCs w:val="18"/>
              </w:rPr>
              <w:t>低于</w:t>
            </w:r>
            <w:r>
              <w:rPr>
                <w:rFonts w:ascii="黑体" w:hAnsi="黑体" w:cs="黑体" w:eastAsia="黑体" w:hint="default"/>
                <w:spacing w:val="-46"/>
                <w:sz w:val="18"/>
                <w:szCs w:val="18"/>
              </w:rPr>
              <w:t> </w:t>
            </w:r>
            <w:r>
              <w:rPr>
                <w:rFonts w:ascii="Arial" w:hAnsi="Arial" w:cs="Arial" w:eastAsia="Arial" w:hint="default"/>
                <w:sz w:val="18"/>
                <w:szCs w:val="18"/>
              </w:rPr>
              <w:t>10%</w:t>
            </w:r>
          </w:p>
        </w:tc>
        <w:tc>
          <w:tcPr>
            <w:tcW w:w="1104" w:type="dxa"/>
            <w:tcBorders>
              <w:top w:val="nil" w:sz="6" w:space="0" w:color="auto"/>
              <w:left w:val="nil" w:sz="6" w:space="0" w:color="auto"/>
              <w:bottom w:val="nil" w:sz="6" w:space="0" w:color="auto"/>
              <w:right w:val="nil" w:sz="6" w:space="0" w:color="auto"/>
            </w:tcBorders>
          </w:tcPr>
          <w:p>
            <w:pPr>
              <w:pStyle w:val="TableParagraph"/>
              <w:spacing w:line="222" w:lineRule="exact"/>
              <w:ind w:right="132"/>
              <w:jc w:val="right"/>
              <w:rPr>
                <w:rFonts w:ascii="Arial" w:hAnsi="Arial" w:cs="Arial" w:eastAsia="Arial" w:hint="default"/>
                <w:sz w:val="18"/>
                <w:szCs w:val="18"/>
              </w:rPr>
            </w:pPr>
            <w:r>
              <w:rPr>
                <w:rFonts w:ascii="黑体" w:hAnsi="黑体" w:cs="黑体" w:eastAsia="黑体" w:hint="default"/>
                <w:sz w:val="18"/>
                <w:szCs w:val="18"/>
              </w:rPr>
              <w:t>低于</w:t>
            </w:r>
            <w:r>
              <w:rPr>
                <w:rFonts w:ascii="黑体" w:hAnsi="黑体" w:cs="黑体" w:eastAsia="黑体" w:hint="default"/>
                <w:spacing w:val="-46"/>
                <w:sz w:val="18"/>
                <w:szCs w:val="18"/>
              </w:rPr>
              <w:t> </w:t>
            </w:r>
            <w:r>
              <w:rPr>
                <w:rFonts w:ascii="Arial" w:hAnsi="Arial" w:cs="Arial" w:eastAsia="Arial" w:hint="default"/>
                <w:sz w:val="18"/>
                <w:szCs w:val="18"/>
              </w:rPr>
              <w:t>10%</w:t>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
              <w:jc w:val="right"/>
              <w:rPr>
                <w:rFonts w:ascii="Arial" w:hAnsi="Arial" w:cs="Arial" w:eastAsia="Arial" w:hint="default"/>
                <w:sz w:val="18"/>
                <w:szCs w:val="18"/>
              </w:rPr>
            </w:pPr>
            <w:r>
              <w:rPr>
                <w:rFonts w:ascii="Arial"/>
                <w:w w:val="99"/>
                <w:sz w:val="18"/>
              </w:rPr>
              <w:t>-</w:t>
            </w:r>
            <w:r>
              <w:rPr>
                <w:rFonts w:ascii="Arial"/>
                <w:sz w:val="18"/>
              </w:rPr>
            </w:r>
          </w:p>
        </w:tc>
        <w:tc>
          <w:tcPr>
            <w:tcW w:w="622"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93"/>
              <w:jc w:val="right"/>
              <w:rPr>
                <w:rFonts w:ascii="Arial" w:hAnsi="Arial" w:cs="Arial" w:eastAsia="Arial" w:hint="default"/>
                <w:sz w:val="18"/>
                <w:szCs w:val="18"/>
              </w:rPr>
            </w:pPr>
            <w:r>
              <w:rPr>
                <w:rFonts w:ascii="Arial"/>
                <w:w w:val="99"/>
                <w:sz w:val="18"/>
              </w:rPr>
              <w:t>-</w:t>
            </w:r>
            <w:r>
              <w:rPr>
                <w:rFonts w:ascii="Arial"/>
                <w:sz w:val="18"/>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31"/>
              <w:jc w:val="right"/>
              <w:rPr>
                <w:rFonts w:ascii="Arial" w:hAnsi="Arial" w:cs="Arial" w:eastAsia="Arial" w:hint="default"/>
                <w:sz w:val="18"/>
                <w:szCs w:val="18"/>
              </w:rPr>
            </w:pPr>
            <w:r>
              <w:rPr>
                <w:rFonts w:ascii="Arial"/>
                <w:w w:val="99"/>
                <w:sz w:val="18"/>
              </w:rPr>
              <w:t>-</w:t>
            </w:r>
            <w:r>
              <w:rPr>
                <w:rFonts w:ascii="Arial"/>
                <w:sz w:val="18"/>
              </w:rPr>
            </w:r>
          </w:p>
        </w:tc>
      </w:tr>
      <w:tr>
        <w:trPr>
          <w:trHeight w:val="256" w:hRule="exact"/>
        </w:trPr>
        <w:tc>
          <w:tcPr>
            <w:tcW w:w="3721" w:type="dxa"/>
            <w:tcBorders>
              <w:top w:val="nil" w:sz="6" w:space="0" w:color="auto"/>
              <w:left w:val="nil" w:sz="6" w:space="0" w:color="auto"/>
              <w:bottom w:val="nil" w:sz="6" w:space="0" w:color="auto"/>
              <w:right w:val="nil" w:sz="6" w:space="0" w:color="auto"/>
            </w:tcBorders>
          </w:tcPr>
          <w:p>
            <w:pPr>
              <w:pStyle w:val="TableParagraph"/>
              <w:spacing w:line="203" w:lineRule="exact"/>
              <w:ind w:left="375" w:right="0"/>
              <w:jc w:val="left"/>
              <w:rPr>
                <w:rFonts w:ascii="黑体" w:hAnsi="黑体" w:cs="黑体" w:eastAsia="黑体" w:hint="default"/>
                <w:sz w:val="18"/>
                <w:szCs w:val="18"/>
              </w:rPr>
            </w:pPr>
            <w:r>
              <w:rPr>
                <w:rFonts w:ascii="黑体" w:hAnsi="黑体" w:cs="黑体" w:eastAsia="黑体" w:hint="default"/>
                <w:sz w:val="18"/>
                <w:szCs w:val="18"/>
              </w:rPr>
              <w:t>北京文德致远文化传播有限公司</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65"/>
              <w:jc w:val="right"/>
              <w:rPr>
                <w:rFonts w:ascii="Arial" w:hAnsi="Arial" w:cs="Arial" w:eastAsia="Arial" w:hint="default"/>
                <w:sz w:val="18"/>
                <w:szCs w:val="18"/>
              </w:rPr>
            </w:pPr>
            <w:r>
              <w:rPr>
                <w:rFonts w:ascii="Arial"/>
                <w:spacing w:val="-1"/>
                <w:sz w:val="18"/>
              </w:rPr>
              <w:t>5,980,500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13"/>
              <w:jc w:val="right"/>
              <w:rPr>
                <w:rFonts w:ascii="Arial" w:hAnsi="Arial" w:cs="Arial" w:eastAsia="Arial" w:hint="default"/>
                <w:sz w:val="18"/>
                <w:szCs w:val="18"/>
              </w:rPr>
            </w:pPr>
            <w:r>
              <w:rPr>
                <w:rFonts w:ascii="Arial"/>
                <w:spacing w:val="-1"/>
                <w:sz w:val="18"/>
              </w:rPr>
              <w:t>5,980,500</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83"/>
              <w:jc w:val="right"/>
              <w:rPr>
                <w:rFonts w:ascii="Arial" w:hAnsi="Arial" w:cs="Arial" w:eastAsia="Arial" w:hint="default"/>
                <w:sz w:val="18"/>
                <w:szCs w:val="18"/>
              </w:rPr>
            </w:pPr>
            <w:r>
              <w:rPr>
                <w:rFonts w:ascii="Arial"/>
                <w:w w:val="99"/>
                <w:sz w:val="18"/>
              </w:rPr>
              <w:t>-</w:t>
            </w:r>
            <w:r>
              <w:rPr>
                <w:rFonts w:ascii="Arial"/>
                <w:sz w:val="18"/>
              </w:rPr>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83"/>
              <w:jc w:val="right"/>
              <w:rPr>
                <w:rFonts w:ascii="Arial" w:hAnsi="Arial" w:cs="Arial" w:eastAsia="Arial" w:hint="default"/>
                <w:sz w:val="18"/>
                <w:szCs w:val="18"/>
              </w:rPr>
            </w:pPr>
            <w:r>
              <w:rPr>
                <w:rFonts w:ascii="Arial"/>
                <w:spacing w:val="-1"/>
                <w:sz w:val="18"/>
              </w:rPr>
              <w:t>5,980,500</w:t>
            </w:r>
          </w:p>
        </w:tc>
        <w:tc>
          <w:tcPr>
            <w:tcW w:w="920" w:type="dxa"/>
            <w:tcBorders>
              <w:top w:val="nil" w:sz="6" w:space="0" w:color="auto"/>
              <w:left w:val="nil" w:sz="6" w:space="0" w:color="auto"/>
              <w:bottom w:val="nil" w:sz="6" w:space="0" w:color="auto"/>
              <w:right w:val="nil" w:sz="6" w:space="0" w:color="auto"/>
            </w:tcBorders>
          </w:tcPr>
          <w:p>
            <w:pPr>
              <w:pStyle w:val="TableParagraph"/>
              <w:spacing w:line="223" w:lineRule="exact"/>
              <w:ind w:right="65"/>
              <w:jc w:val="right"/>
              <w:rPr>
                <w:rFonts w:ascii="Arial" w:hAnsi="Arial" w:cs="Arial" w:eastAsia="Arial" w:hint="default"/>
                <w:sz w:val="18"/>
                <w:szCs w:val="18"/>
              </w:rPr>
            </w:pPr>
            <w:r>
              <w:rPr>
                <w:rFonts w:ascii="黑体" w:hAnsi="黑体" w:cs="黑体" w:eastAsia="黑体" w:hint="default"/>
                <w:sz w:val="18"/>
                <w:szCs w:val="18"/>
              </w:rPr>
              <w:t>低于</w:t>
            </w:r>
            <w:r>
              <w:rPr>
                <w:rFonts w:ascii="黑体" w:hAnsi="黑体" w:cs="黑体" w:eastAsia="黑体" w:hint="default"/>
                <w:spacing w:val="-46"/>
                <w:sz w:val="18"/>
                <w:szCs w:val="18"/>
              </w:rPr>
              <w:t> </w:t>
            </w:r>
            <w:r>
              <w:rPr>
                <w:rFonts w:ascii="Arial" w:hAnsi="Arial" w:cs="Arial" w:eastAsia="Arial" w:hint="default"/>
                <w:sz w:val="18"/>
                <w:szCs w:val="18"/>
              </w:rPr>
              <w:t>10%</w:t>
            </w:r>
          </w:p>
        </w:tc>
        <w:tc>
          <w:tcPr>
            <w:tcW w:w="1104" w:type="dxa"/>
            <w:tcBorders>
              <w:top w:val="nil" w:sz="6" w:space="0" w:color="auto"/>
              <w:left w:val="nil" w:sz="6" w:space="0" w:color="auto"/>
              <w:bottom w:val="nil" w:sz="6" w:space="0" w:color="auto"/>
              <w:right w:val="nil" w:sz="6" w:space="0" w:color="auto"/>
            </w:tcBorders>
          </w:tcPr>
          <w:p>
            <w:pPr>
              <w:pStyle w:val="TableParagraph"/>
              <w:spacing w:line="223" w:lineRule="exact"/>
              <w:ind w:right="132"/>
              <w:jc w:val="right"/>
              <w:rPr>
                <w:rFonts w:ascii="Arial" w:hAnsi="Arial" w:cs="Arial" w:eastAsia="Arial" w:hint="default"/>
                <w:sz w:val="18"/>
                <w:szCs w:val="18"/>
              </w:rPr>
            </w:pPr>
            <w:r>
              <w:rPr>
                <w:rFonts w:ascii="黑体" w:hAnsi="黑体" w:cs="黑体" w:eastAsia="黑体" w:hint="default"/>
                <w:sz w:val="18"/>
                <w:szCs w:val="18"/>
              </w:rPr>
              <w:t>低于</w:t>
            </w:r>
            <w:r>
              <w:rPr>
                <w:rFonts w:ascii="黑体" w:hAnsi="黑体" w:cs="黑体" w:eastAsia="黑体" w:hint="default"/>
                <w:spacing w:val="-46"/>
                <w:sz w:val="18"/>
                <w:szCs w:val="18"/>
              </w:rPr>
              <w:t> </w:t>
            </w:r>
            <w:r>
              <w:rPr>
                <w:rFonts w:ascii="Arial" w:hAnsi="Arial" w:cs="Arial" w:eastAsia="Arial" w:hint="default"/>
                <w:sz w:val="18"/>
                <w:szCs w:val="18"/>
              </w:rPr>
              <w:t>10%</w:t>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5"/>
              <w:jc w:val="right"/>
              <w:rPr>
                <w:rFonts w:ascii="Arial" w:hAnsi="Arial" w:cs="Arial" w:eastAsia="Arial" w:hint="default"/>
                <w:sz w:val="18"/>
                <w:szCs w:val="18"/>
              </w:rPr>
            </w:pPr>
            <w:r>
              <w:rPr>
                <w:rFonts w:ascii="Arial"/>
                <w:w w:val="99"/>
                <w:sz w:val="18"/>
              </w:rPr>
              <w:t>-</w:t>
            </w:r>
            <w:r>
              <w:rPr>
                <w:rFonts w:ascii="Arial"/>
                <w:sz w:val="18"/>
              </w:rPr>
            </w:r>
          </w:p>
        </w:tc>
        <w:tc>
          <w:tcPr>
            <w:tcW w:w="622"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93"/>
              <w:jc w:val="right"/>
              <w:rPr>
                <w:rFonts w:ascii="Arial" w:hAnsi="Arial" w:cs="Arial" w:eastAsia="Arial" w:hint="default"/>
                <w:sz w:val="18"/>
                <w:szCs w:val="18"/>
              </w:rPr>
            </w:pPr>
            <w:r>
              <w:rPr>
                <w:rFonts w:ascii="Arial"/>
                <w:w w:val="99"/>
                <w:sz w:val="18"/>
              </w:rPr>
              <w:t>-</w:t>
            </w:r>
            <w:r>
              <w:rPr>
                <w:rFonts w:ascii="Arial"/>
                <w:sz w:val="18"/>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31"/>
              <w:jc w:val="right"/>
              <w:rPr>
                <w:rFonts w:ascii="Arial" w:hAnsi="Arial" w:cs="Arial" w:eastAsia="Arial" w:hint="default"/>
                <w:sz w:val="18"/>
                <w:szCs w:val="18"/>
              </w:rPr>
            </w:pPr>
            <w:r>
              <w:rPr>
                <w:rFonts w:ascii="Arial"/>
                <w:w w:val="99"/>
                <w:sz w:val="18"/>
              </w:rPr>
              <w:t>-</w:t>
            </w:r>
            <w:r>
              <w:rPr>
                <w:rFonts w:ascii="Arial"/>
                <w:sz w:val="18"/>
              </w:rPr>
            </w:r>
          </w:p>
        </w:tc>
      </w:tr>
      <w:tr>
        <w:trPr>
          <w:trHeight w:val="427" w:hRule="exact"/>
        </w:trPr>
        <w:tc>
          <w:tcPr>
            <w:tcW w:w="3721" w:type="dxa"/>
            <w:tcBorders>
              <w:top w:val="nil" w:sz="6" w:space="0" w:color="auto"/>
              <w:left w:val="nil" w:sz="6" w:space="0" w:color="auto"/>
              <w:bottom w:val="nil" w:sz="6" w:space="0" w:color="auto"/>
              <w:right w:val="nil" w:sz="6" w:space="0" w:color="auto"/>
            </w:tcBorders>
          </w:tcPr>
          <w:p>
            <w:pPr>
              <w:pStyle w:val="TableParagraph"/>
              <w:spacing w:line="202" w:lineRule="exact"/>
              <w:ind w:left="399" w:right="0"/>
              <w:jc w:val="left"/>
              <w:rPr>
                <w:rFonts w:ascii="黑体" w:hAnsi="黑体" w:cs="黑体" w:eastAsia="黑体" w:hint="default"/>
                <w:sz w:val="18"/>
                <w:szCs w:val="18"/>
              </w:rPr>
            </w:pPr>
            <w:r>
              <w:rPr>
                <w:rFonts w:ascii="黑体" w:hAnsi="黑体" w:cs="黑体" w:eastAsia="黑体" w:hint="default"/>
                <w:sz w:val="18"/>
                <w:szCs w:val="18"/>
              </w:rPr>
              <w:t>启购时代电子商务（北京）有限公司</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3"/>
              <w:jc w:val="right"/>
              <w:rPr>
                <w:rFonts w:ascii="Arial" w:hAnsi="Arial" w:cs="Arial" w:eastAsia="Arial" w:hint="default"/>
                <w:sz w:val="18"/>
                <w:szCs w:val="18"/>
              </w:rPr>
            </w:pPr>
            <w:r>
              <w:rPr>
                <w:rFonts w:ascii="Arial"/>
                <w:spacing w:val="-1"/>
                <w:sz w:val="18"/>
              </w:rPr>
              <w:t>5,000,000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3"/>
              <w:jc w:val="right"/>
              <w:rPr>
                <w:rFonts w:ascii="Arial" w:hAnsi="Arial" w:cs="Arial" w:eastAsia="Arial" w:hint="default"/>
                <w:sz w:val="18"/>
                <w:szCs w:val="18"/>
              </w:rPr>
            </w:pPr>
            <w:r>
              <w:rPr>
                <w:rFonts w:ascii="Arial"/>
                <w:spacing w:val="-1"/>
                <w:sz w:val="18"/>
              </w:rPr>
              <w:t>5,000,000</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83"/>
              <w:jc w:val="right"/>
              <w:rPr>
                <w:rFonts w:ascii="Arial" w:hAnsi="Arial" w:cs="Arial" w:eastAsia="Arial" w:hint="default"/>
                <w:sz w:val="18"/>
                <w:szCs w:val="18"/>
              </w:rPr>
            </w:pPr>
            <w:r>
              <w:rPr>
                <w:rFonts w:ascii="Arial"/>
                <w:w w:val="99"/>
                <w:sz w:val="18"/>
              </w:rPr>
              <w:t>-</w:t>
            </w:r>
            <w:r>
              <w:rPr>
                <w:rFonts w:ascii="Arial"/>
                <w:sz w:val="18"/>
              </w:rPr>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3"/>
              <w:jc w:val="right"/>
              <w:rPr>
                <w:rFonts w:ascii="Arial" w:hAnsi="Arial" w:cs="Arial" w:eastAsia="Arial" w:hint="default"/>
                <w:sz w:val="18"/>
                <w:szCs w:val="18"/>
              </w:rPr>
            </w:pPr>
            <w:r>
              <w:rPr>
                <w:rFonts w:ascii="Arial"/>
                <w:spacing w:val="-1"/>
                <w:sz w:val="18"/>
              </w:rPr>
              <w:t>5,000,000</w:t>
            </w:r>
          </w:p>
        </w:tc>
        <w:tc>
          <w:tcPr>
            <w:tcW w:w="920" w:type="dxa"/>
            <w:tcBorders>
              <w:top w:val="nil" w:sz="6" w:space="0" w:color="auto"/>
              <w:left w:val="nil" w:sz="6" w:space="0" w:color="auto"/>
              <w:bottom w:val="nil" w:sz="6" w:space="0" w:color="auto"/>
              <w:right w:val="nil" w:sz="6" w:space="0" w:color="auto"/>
            </w:tcBorders>
          </w:tcPr>
          <w:p>
            <w:pPr>
              <w:pStyle w:val="TableParagraph"/>
              <w:spacing w:line="222" w:lineRule="exact"/>
              <w:ind w:right="65"/>
              <w:jc w:val="right"/>
              <w:rPr>
                <w:rFonts w:ascii="Arial" w:hAnsi="Arial" w:cs="Arial" w:eastAsia="Arial" w:hint="default"/>
                <w:sz w:val="18"/>
                <w:szCs w:val="18"/>
              </w:rPr>
            </w:pPr>
            <w:r>
              <w:rPr>
                <w:rFonts w:ascii="黑体" w:hAnsi="黑体" w:cs="黑体" w:eastAsia="黑体" w:hint="default"/>
                <w:sz w:val="18"/>
                <w:szCs w:val="18"/>
              </w:rPr>
              <w:t>低于</w:t>
            </w:r>
            <w:r>
              <w:rPr>
                <w:rFonts w:ascii="黑体" w:hAnsi="黑体" w:cs="黑体" w:eastAsia="黑体" w:hint="default"/>
                <w:spacing w:val="-46"/>
                <w:sz w:val="18"/>
                <w:szCs w:val="18"/>
              </w:rPr>
              <w:t> </w:t>
            </w:r>
            <w:r>
              <w:rPr>
                <w:rFonts w:ascii="Arial" w:hAnsi="Arial" w:cs="Arial" w:eastAsia="Arial" w:hint="default"/>
                <w:sz w:val="18"/>
                <w:szCs w:val="18"/>
              </w:rPr>
              <w:t>10%</w:t>
            </w:r>
          </w:p>
        </w:tc>
        <w:tc>
          <w:tcPr>
            <w:tcW w:w="1104" w:type="dxa"/>
            <w:tcBorders>
              <w:top w:val="nil" w:sz="6" w:space="0" w:color="auto"/>
              <w:left w:val="nil" w:sz="6" w:space="0" w:color="auto"/>
              <w:bottom w:val="nil" w:sz="6" w:space="0" w:color="auto"/>
              <w:right w:val="nil" w:sz="6" w:space="0" w:color="auto"/>
            </w:tcBorders>
          </w:tcPr>
          <w:p>
            <w:pPr>
              <w:pStyle w:val="TableParagraph"/>
              <w:spacing w:line="222" w:lineRule="exact"/>
              <w:ind w:right="132"/>
              <w:jc w:val="right"/>
              <w:rPr>
                <w:rFonts w:ascii="Arial" w:hAnsi="Arial" w:cs="Arial" w:eastAsia="Arial" w:hint="default"/>
                <w:sz w:val="18"/>
                <w:szCs w:val="18"/>
              </w:rPr>
            </w:pPr>
            <w:r>
              <w:rPr>
                <w:rFonts w:ascii="黑体" w:hAnsi="黑体" w:cs="黑体" w:eastAsia="黑体" w:hint="default"/>
                <w:sz w:val="18"/>
                <w:szCs w:val="18"/>
              </w:rPr>
              <w:t>低于</w:t>
            </w:r>
            <w:r>
              <w:rPr>
                <w:rFonts w:ascii="黑体" w:hAnsi="黑体" w:cs="黑体" w:eastAsia="黑体" w:hint="default"/>
                <w:spacing w:val="-46"/>
                <w:sz w:val="18"/>
                <w:szCs w:val="18"/>
              </w:rPr>
              <w:t> </w:t>
            </w:r>
            <w:r>
              <w:rPr>
                <w:rFonts w:ascii="Arial" w:hAnsi="Arial" w:cs="Arial" w:eastAsia="Arial" w:hint="default"/>
                <w:sz w:val="18"/>
                <w:szCs w:val="18"/>
              </w:rPr>
              <w:t>10%</w:t>
            </w: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
              <w:jc w:val="right"/>
              <w:rPr>
                <w:rFonts w:ascii="Arial" w:hAnsi="Arial" w:cs="Arial" w:eastAsia="Arial" w:hint="default"/>
                <w:sz w:val="18"/>
                <w:szCs w:val="18"/>
              </w:rPr>
            </w:pPr>
            <w:r>
              <w:rPr>
                <w:rFonts w:ascii="Arial"/>
                <w:w w:val="99"/>
                <w:sz w:val="18"/>
              </w:rPr>
              <w:t>-</w:t>
            </w:r>
            <w:r>
              <w:rPr>
                <w:rFonts w:ascii="Arial"/>
                <w:sz w:val="18"/>
              </w:rPr>
            </w:r>
          </w:p>
        </w:tc>
        <w:tc>
          <w:tcPr>
            <w:tcW w:w="622"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91"/>
              <w:jc w:val="right"/>
              <w:rPr>
                <w:rFonts w:ascii="Arial" w:hAnsi="Arial" w:cs="Arial" w:eastAsia="Arial" w:hint="default"/>
                <w:sz w:val="18"/>
                <w:szCs w:val="18"/>
              </w:rPr>
            </w:pPr>
            <w:r>
              <w:rPr>
                <w:rFonts w:ascii="Arial"/>
                <w:w w:val="99"/>
                <w:sz w:val="18"/>
              </w:rPr>
              <w:t>-</w:t>
            </w:r>
            <w:r>
              <w:rPr>
                <w:rFonts w:ascii="Arial"/>
                <w:sz w:val="18"/>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31"/>
              <w:jc w:val="right"/>
              <w:rPr>
                <w:rFonts w:ascii="Arial" w:hAnsi="Arial" w:cs="Arial" w:eastAsia="Arial" w:hint="default"/>
                <w:sz w:val="18"/>
                <w:szCs w:val="18"/>
              </w:rPr>
            </w:pPr>
            <w:r>
              <w:rPr>
                <w:rFonts w:ascii="Arial"/>
                <w:w w:val="99"/>
                <w:sz w:val="18"/>
              </w:rPr>
              <w:t>-</w:t>
            </w:r>
            <w:r>
              <w:rPr>
                <w:rFonts w:ascii="Arial"/>
                <w:sz w:val="18"/>
              </w:rPr>
            </w:r>
          </w:p>
        </w:tc>
      </w:tr>
      <w:tr>
        <w:trPr>
          <w:trHeight w:val="466" w:hRule="exact"/>
        </w:trPr>
        <w:tc>
          <w:tcPr>
            <w:tcW w:w="3721" w:type="dxa"/>
            <w:tcBorders>
              <w:top w:val="nil" w:sz="6" w:space="0" w:color="auto"/>
              <w:left w:val="nil" w:sz="6" w:space="0" w:color="auto"/>
              <w:bottom w:val="nil" w:sz="6" w:space="0" w:color="auto"/>
              <w:right w:val="nil" w:sz="6" w:space="0" w:color="auto"/>
            </w:tcBorders>
          </w:tcPr>
          <w:p>
            <w:pPr/>
          </w:p>
        </w:tc>
        <w:tc>
          <w:tcPr>
            <w:tcW w:w="1511"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
        </w:tc>
        <w:tc>
          <w:tcPr>
            <w:tcW w:w="1300" w:type="dxa"/>
            <w:tcBorders>
              <w:top w:val="nil" w:sz="6" w:space="0" w:color="auto"/>
              <w:left w:val="nil" w:sz="6" w:space="0" w:color="auto"/>
              <w:bottom w:val="nil" w:sz="6" w:space="0" w:color="auto"/>
              <w:right w:val="nil" w:sz="6" w:space="0" w:color="auto"/>
            </w:tcBorders>
          </w:tcPr>
          <w:p>
            <w:pPr/>
          </w:p>
        </w:tc>
        <w:tc>
          <w:tcPr>
            <w:tcW w:w="1372" w:type="dxa"/>
            <w:tcBorders>
              <w:top w:val="nil" w:sz="6" w:space="0" w:color="auto"/>
              <w:left w:val="nil" w:sz="6" w:space="0" w:color="auto"/>
              <w:bottom w:val="nil" w:sz="6" w:space="0" w:color="auto"/>
              <w:right w:val="nil" w:sz="6" w:space="0" w:color="auto"/>
            </w:tcBorders>
          </w:tcPr>
          <w:p>
            <w:pP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65"/>
              <w:jc w:val="right"/>
              <w:rPr>
                <w:rFonts w:ascii="Arial" w:hAnsi="Arial" w:cs="Arial" w:eastAsia="Arial" w:hint="default"/>
                <w:sz w:val="18"/>
                <w:szCs w:val="18"/>
              </w:rPr>
            </w:pPr>
            <w:r>
              <w:rPr>
                <w:rFonts w:ascii="黑体" w:hAnsi="黑体" w:cs="黑体" w:eastAsia="黑体" w:hint="default"/>
                <w:sz w:val="18"/>
                <w:szCs w:val="18"/>
              </w:rPr>
              <w:t>低于</w:t>
            </w:r>
            <w:r>
              <w:rPr>
                <w:rFonts w:ascii="黑体" w:hAnsi="黑体" w:cs="黑体" w:eastAsia="黑体" w:hint="default"/>
                <w:spacing w:val="-46"/>
                <w:sz w:val="18"/>
                <w:szCs w:val="18"/>
              </w:rPr>
              <w:t> </w:t>
            </w:r>
            <w:r>
              <w:rPr>
                <w:rFonts w:ascii="Arial" w:hAnsi="Arial" w:cs="Arial" w:eastAsia="Arial" w:hint="default"/>
                <w:sz w:val="18"/>
                <w:szCs w:val="18"/>
              </w:rPr>
              <w:t>20%</w:t>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32"/>
              <w:jc w:val="right"/>
              <w:rPr>
                <w:rFonts w:ascii="Arial" w:hAnsi="Arial" w:cs="Arial" w:eastAsia="Arial" w:hint="default"/>
                <w:sz w:val="18"/>
                <w:szCs w:val="18"/>
              </w:rPr>
            </w:pPr>
            <w:r>
              <w:rPr>
                <w:rFonts w:ascii="黑体" w:hAnsi="黑体" w:cs="黑体" w:eastAsia="黑体" w:hint="default"/>
                <w:sz w:val="18"/>
                <w:szCs w:val="18"/>
              </w:rPr>
              <w:t>低于</w:t>
            </w:r>
            <w:r>
              <w:rPr>
                <w:rFonts w:ascii="黑体" w:hAnsi="黑体" w:cs="黑体" w:eastAsia="黑体" w:hint="default"/>
                <w:spacing w:val="-46"/>
                <w:sz w:val="18"/>
                <w:szCs w:val="18"/>
              </w:rPr>
              <w:t> </w:t>
            </w:r>
            <w:r>
              <w:rPr>
                <w:rFonts w:ascii="Arial" w:hAnsi="Arial" w:cs="Arial" w:eastAsia="Arial" w:hint="default"/>
                <w:sz w:val="18"/>
                <w:szCs w:val="18"/>
              </w:rPr>
              <w:t>20%</w:t>
            </w:r>
          </w:p>
        </w:tc>
        <w:tc>
          <w:tcPr>
            <w:tcW w:w="862" w:type="dxa"/>
            <w:tcBorders>
              <w:top w:val="nil" w:sz="6" w:space="0" w:color="auto"/>
              <w:left w:val="nil" w:sz="6" w:space="0" w:color="auto"/>
              <w:bottom w:val="nil" w:sz="6" w:space="0" w:color="auto"/>
              <w:right w:val="nil" w:sz="6" w:space="0" w:color="auto"/>
            </w:tcBorders>
          </w:tcPr>
          <w:p>
            <w:pPr/>
          </w:p>
        </w:tc>
        <w:tc>
          <w:tcPr>
            <w:tcW w:w="622"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r>
      <w:tr>
        <w:trPr>
          <w:trHeight w:val="314" w:hRule="exact"/>
        </w:trPr>
        <w:tc>
          <w:tcPr>
            <w:tcW w:w="372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99" w:right="0"/>
              <w:jc w:val="left"/>
              <w:rPr>
                <w:rFonts w:ascii="黑体" w:hAnsi="黑体" w:cs="黑体" w:eastAsia="黑体" w:hint="default"/>
                <w:sz w:val="18"/>
                <w:szCs w:val="18"/>
              </w:rPr>
            </w:pPr>
            <w:r>
              <w:rPr>
                <w:rFonts w:ascii="黑体" w:hAnsi="黑体" w:cs="黑体" w:eastAsia="黑体" w:hint="default"/>
                <w:sz w:val="18"/>
                <w:szCs w:val="18"/>
              </w:rPr>
              <w:t>北京家酷天成商贸有限公司（注</w:t>
            </w:r>
            <w:r>
              <w:rPr>
                <w:rFonts w:ascii="Arial" w:hAnsi="Arial" w:cs="Arial" w:eastAsia="Arial" w:hint="default"/>
                <w:sz w:val="18"/>
                <w:szCs w:val="18"/>
              </w:rPr>
              <w:t>3</w:t>
            </w:r>
            <w:r>
              <w:rPr>
                <w:rFonts w:ascii="黑体" w:hAnsi="黑体" w:cs="黑体" w:eastAsia="黑体" w:hint="default"/>
                <w:sz w:val="18"/>
                <w:szCs w:val="18"/>
              </w:rPr>
              <w:t>）</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4"/>
              <w:jc w:val="right"/>
              <w:rPr>
                <w:rFonts w:ascii="Arial" w:hAnsi="Arial" w:cs="Arial" w:eastAsia="Arial" w:hint="default"/>
                <w:sz w:val="18"/>
                <w:szCs w:val="18"/>
              </w:rPr>
            </w:pPr>
            <w:r>
              <w:rPr>
                <w:rFonts w:ascii="Arial"/>
                <w:spacing w:val="-1"/>
                <w:sz w:val="18"/>
              </w:rPr>
              <w:t>2,000,000</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12"/>
              <w:jc w:val="right"/>
              <w:rPr>
                <w:rFonts w:ascii="Arial" w:hAnsi="Arial" w:cs="Arial" w:eastAsia="Arial" w:hint="default"/>
                <w:sz w:val="18"/>
                <w:szCs w:val="18"/>
              </w:rPr>
            </w:pPr>
            <w:r>
              <w:rPr>
                <w:rFonts w:ascii="Arial"/>
                <w:w w:val="99"/>
                <w:sz w:val="18"/>
              </w:rPr>
              <w:t>-</w:t>
            </w:r>
            <w:r>
              <w:rPr>
                <w:rFonts w:ascii="Arial"/>
                <w:sz w:val="18"/>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81"/>
              <w:jc w:val="right"/>
              <w:rPr>
                <w:rFonts w:ascii="Arial" w:hAnsi="Arial" w:cs="Arial" w:eastAsia="Arial" w:hint="default"/>
                <w:sz w:val="18"/>
                <w:szCs w:val="18"/>
              </w:rPr>
            </w:pPr>
            <w:r>
              <w:rPr>
                <w:rFonts w:ascii="Arial"/>
                <w:spacing w:val="-1"/>
                <w:sz w:val="18"/>
              </w:rPr>
              <w:t>2,000,000</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83"/>
              <w:jc w:val="right"/>
              <w:rPr>
                <w:rFonts w:ascii="Arial" w:hAnsi="Arial" w:cs="Arial" w:eastAsia="Arial" w:hint="default"/>
                <w:sz w:val="18"/>
                <w:szCs w:val="18"/>
              </w:rPr>
            </w:pPr>
            <w:r>
              <w:rPr>
                <w:rFonts w:ascii="Arial"/>
                <w:spacing w:val="-1"/>
                <w:sz w:val="18"/>
              </w:rPr>
              <w:t>2,000,000</w:t>
            </w:r>
          </w:p>
        </w:tc>
        <w:tc>
          <w:tcPr>
            <w:tcW w:w="920"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
              <w:jc w:val="right"/>
              <w:rPr>
                <w:rFonts w:ascii="Arial" w:hAnsi="Arial" w:cs="Arial" w:eastAsia="Arial" w:hint="default"/>
                <w:sz w:val="18"/>
                <w:szCs w:val="18"/>
              </w:rPr>
            </w:pPr>
            <w:r>
              <w:rPr>
                <w:rFonts w:ascii="Arial"/>
                <w:w w:val="99"/>
                <w:sz w:val="18"/>
              </w:rPr>
              <w:t>-</w:t>
            </w:r>
            <w:r>
              <w:rPr>
                <w:rFonts w:ascii="Arial"/>
                <w:sz w:val="18"/>
              </w:rPr>
            </w:r>
          </w:p>
        </w:tc>
        <w:tc>
          <w:tcPr>
            <w:tcW w:w="622"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91"/>
              <w:jc w:val="right"/>
              <w:rPr>
                <w:rFonts w:ascii="Arial" w:hAnsi="Arial" w:cs="Arial" w:eastAsia="Arial" w:hint="default"/>
                <w:sz w:val="18"/>
                <w:szCs w:val="18"/>
              </w:rPr>
            </w:pPr>
            <w:r>
              <w:rPr>
                <w:rFonts w:ascii="Arial"/>
                <w:w w:val="99"/>
                <w:sz w:val="18"/>
              </w:rPr>
              <w:t>-</w:t>
            </w:r>
            <w:r>
              <w:rPr>
                <w:rFonts w:ascii="Arial"/>
                <w:sz w:val="18"/>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29"/>
              <w:jc w:val="right"/>
              <w:rPr>
                <w:rFonts w:ascii="Arial" w:hAnsi="Arial" w:cs="Arial" w:eastAsia="Arial" w:hint="default"/>
                <w:sz w:val="18"/>
                <w:szCs w:val="18"/>
              </w:rPr>
            </w:pPr>
            <w:r>
              <w:rPr>
                <w:rFonts w:ascii="Arial"/>
                <w:w w:val="99"/>
                <w:sz w:val="18"/>
              </w:rPr>
              <w:t>-</w:t>
            </w:r>
            <w:r>
              <w:rPr>
                <w:rFonts w:ascii="Arial"/>
                <w:sz w:val="18"/>
              </w:rPr>
            </w:r>
          </w:p>
        </w:tc>
      </w:tr>
      <w:tr>
        <w:trPr>
          <w:trHeight w:val="383" w:hRule="exact"/>
        </w:trPr>
        <w:tc>
          <w:tcPr>
            <w:tcW w:w="3721" w:type="dxa"/>
            <w:tcBorders>
              <w:top w:val="nil" w:sz="6" w:space="0" w:color="auto"/>
              <w:left w:val="nil" w:sz="6" w:space="0" w:color="auto"/>
              <w:bottom w:val="nil" w:sz="6" w:space="0" w:color="auto"/>
              <w:right w:val="nil" w:sz="6" w:space="0" w:color="auto"/>
            </w:tcBorders>
          </w:tcPr>
          <w:p>
            <w:pPr>
              <w:pStyle w:val="TableParagraph"/>
              <w:spacing w:line="202" w:lineRule="exact"/>
              <w:ind w:left="399" w:right="0"/>
              <w:jc w:val="left"/>
              <w:rPr>
                <w:rFonts w:ascii="黑体" w:hAnsi="黑体" w:cs="黑体" w:eastAsia="黑体" w:hint="default"/>
                <w:sz w:val="18"/>
                <w:szCs w:val="18"/>
              </w:rPr>
            </w:pPr>
            <w:r>
              <w:rPr>
                <w:rFonts w:ascii="黑体" w:hAnsi="黑体" w:cs="黑体" w:eastAsia="黑体" w:hint="default"/>
                <w:sz w:val="18"/>
                <w:szCs w:val="18"/>
              </w:rPr>
              <w:t>其他</w:t>
            </w:r>
          </w:p>
        </w:tc>
        <w:tc>
          <w:tcPr>
            <w:tcW w:w="1511" w:type="dxa"/>
            <w:tcBorders>
              <w:top w:val="nil" w:sz="6" w:space="0" w:color="auto"/>
              <w:left w:val="nil" w:sz="6" w:space="0" w:color="auto"/>
              <w:bottom w:val="nil" w:sz="6" w:space="0" w:color="auto"/>
              <w:right w:val="nil" w:sz="6" w:space="0" w:color="auto"/>
            </w:tcBorders>
          </w:tcPr>
          <w:p>
            <w:pPr>
              <w:pStyle w:val="TableParagraph"/>
              <w:tabs>
                <w:tab w:pos="542" w:val="left" w:leader="none"/>
              </w:tabs>
              <w:spacing w:line="240" w:lineRule="auto" w:before="29"/>
              <w:ind w:right="6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1,911</w:t>
            </w:r>
            <w:r>
              <w:rPr>
                <w:rFonts w:ascii="Arial"/>
                <w:spacing w:val="-1"/>
                <w:sz w:val="18"/>
              </w:rPr>
            </w:r>
          </w:p>
        </w:tc>
        <w:tc>
          <w:tcPr>
            <w:tcW w:w="1183" w:type="dxa"/>
            <w:tcBorders>
              <w:top w:val="nil" w:sz="6" w:space="0" w:color="auto"/>
              <w:left w:val="nil" w:sz="6" w:space="0" w:color="auto"/>
              <w:bottom w:val="nil" w:sz="6" w:space="0" w:color="auto"/>
              <w:right w:val="nil" w:sz="6" w:space="0" w:color="auto"/>
            </w:tcBorders>
          </w:tcPr>
          <w:p>
            <w:pPr>
              <w:pStyle w:val="TableParagraph"/>
              <w:tabs>
                <w:tab w:pos="542" w:val="left" w:leader="none"/>
              </w:tabs>
              <w:spacing w:line="240" w:lineRule="auto" w:before="29"/>
              <w:ind w:right="11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1,911</w:t>
            </w:r>
            <w:r>
              <w:rPr>
                <w:rFonts w:ascii="Arial"/>
                <w:spacing w:val="-1"/>
                <w:sz w:val="18"/>
              </w:rPr>
            </w:r>
          </w:p>
        </w:tc>
        <w:tc>
          <w:tcPr>
            <w:tcW w:w="1300" w:type="dxa"/>
            <w:tcBorders>
              <w:top w:val="nil" w:sz="6" w:space="0" w:color="auto"/>
              <w:left w:val="nil" w:sz="6" w:space="0" w:color="auto"/>
              <w:bottom w:val="nil" w:sz="6" w:space="0" w:color="auto"/>
              <w:right w:val="nil" w:sz="6" w:space="0" w:color="auto"/>
            </w:tcBorders>
          </w:tcPr>
          <w:p>
            <w:pPr>
              <w:pStyle w:val="TableParagraph"/>
              <w:tabs>
                <w:tab w:pos="902" w:val="left" w:leader="none"/>
              </w:tabs>
              <w:spacing w:line="240" w:lineRule="auto" w:before="29"/>
              <w:ind w:right="28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372" w:type="dxa"/>
            <w:tcBorders>
              <w:top w:val="nil" w:sz="6" w:space="0" w:color="auto"/>
              <w:left w:val="nil" w:sz="6" w:space="0" w:color="auto"/>
              <w:bottom w:val="nil" w:sz="6" w:space="0" w:color="auto"/>
              <w:right w:val="nil" w:sz="6" w:space="0" w:color="auto"/>
            </w:tcBorders>
          </w:tcPr>
          <w:p>
            <w:pPr>
              <w:pStyle w:val="TableParagraph"/>
              <w:tabs>
                <w:tab w:pos="542" w:val="left" w:leader="none"/>
              </w:tabs>
              <w:spacing w:line="240" w:lineRule="auto" w:before="29"/>
              <w:ind w:right="8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1,911</w:t>
            </w:r>
            <w:r>
              <w:rPr>
                <w:rFonts w:ascii="Arial"/>
                <w:spacing w:val="-1"/>
                <w:sz w:val="18"/>
              </w:rPr>
            </w:r>
          </w:p>
        </w:tc>
        <w:tc>
          <w:tcPr>
            <w:tcW w:w="920" w:type="dxa"/>
            <w:tcBorders>
              <w:top w:val="nil" w:sz="6" w:space="0" w:color="auto"/>
              <w:left w:val="nil" w:sz="6" w:space="0" w:color="auto"/>
              <w:bottom w:val="nil" w:sz="6" w:space="0" w:color="auto"/>
              <w:right w:val="nil" w:sz="6" w:space="0" w:color="auto"/>
            </w:tcBorders>
          </w:tcPr>
          <w:p>
            <w:pPr>
              <w:pStyle w:val="TableParagraph"/>
              <w:spacing w:line="222" w:lineRule="exact"/>
              <w:ind w:right="65"/>
              <w:jc w:val="right"/>
              <w:rPr>
                <w:rFonts w:ascii="Arial" w:hAnsi="Arial" w:cs="Arial" w:eastAsia="Arial" w:hint="default"/>
                <w:sz w:val="18"/>
                <w:szCs w:val="18"/>
              </w:rPr>
            </w:pPr>
            <w:r>
              <w:rPr>
                <w:rFonts w:ascii="黑体" w:hAnsi="黑体" w:cs="黑体" w:eastAsia="黑体" w:hint="default"/>
                <w:sz w:val="18"/>
                <w:szCs w:val="18"/>
              </w:rPr>
              <w:t>低于</w:t>
            </w:r>
            <w:r>
              <w:rPr>
                <w:rFonts w:ascii="黑体" w:hAnsi="黑体" w:cs="黑体" w:eastAsia="黑体" w:hint="default"/>
                <w:spacing w:val="-46"/>
                <w:sz w:val="18"/>
                <w:szCs w:val="18"/>
              </w:rPr>
              <w:t> </w:t>
            </w:r>
            <w:r>
              <w:rPr>
                <w:rFonts w:ascii="Arial" w:hAnsi="Arial" w:cs="Arial" w:eastAsia="Arial" w:hint="default"/>
                <w:sz w:val="18"/>
                <w:szCs w:val="18"/>
              </w:rPr>
              <w:t>10%</w:t>
            </w:r>
          </w:p>
        </w:tc>
        <w:tc>
          <w:tcPr>
            <w:tcW w:w="1104" w:type="dxa"/>
            <w:tcBorders>
              <w:top w:val="nil" w:sz="6" w:space="0" w:color="auto"/>
              <w:left w:val="nil" w:sz="6" w:space="0" w:color="auto"/>
              <w:bottom w:val="nil" w:sz="6" w:space="0" w:color="auto"/>
              <w:right w:val="nil" w:sz="6" w:space="0" w:color="auto"/>
            </w:tcBorders>
          </w:tcPr>
          <w:p>
            <w:pPr>
              <w:pStyle w:val="TableParagraph"/>
              <w:spacing w:line="222" w:lineRule="exact"/>
              <w:ind w:right="132"/>
              <w:jc w:val="right"/>
              <w:rPr>
                <w:rFonts w:ascii="Arial" w:hAnsi="Arial" w:cs="Arial" w:eastAsia="Arial" w:hint="default"/>
                <w:sz w:val="18"/>
                <w:szCs w:val="18"/>
              </w:rPr>
            </w:pPr>
            <w:r>
              <w:rPr>
                <w:rFonts w:ascii="黑体" w:hAnsi="黑体" w:cs="黑体" w:eastAsia="黑体" w:hint="default"/>
                <w:sz w:val="18"/>
                <w:szCs w:val="18"/>
              </w:rPr>
              <w:t>低于</w:t>
            </w:r>
            <w:r>
              <w:rPr>
                <w:rFonts w:ascii="黑体" w:hAnsi="黑体" w:cs="黑体" w:eastAsia="黑体" w:hint="default"/>
                <w:spacing w:val="-46"/>
                <w:sz w:val="18"/>
                <w:szCs w:val="18"/>
              </w:rPr>
              <w:t> </w:t>
            </w:r>
            <w:r>
              <w:rPr>
                <w:rFonts w:ascii="Arial" w:hAnsi="Arial" w:cs="Arial" w:eastAsia="Arial" w:hint="default"/>
                <w:sz w:val="18"/>
                <w:szCs w:val="18"/>
              </w:rPr>
              <w:t>10%</w:t>
            </w:r>
          </w:p>
        </w:tc>
        <w:tc>
          <w:tcPr>
            <w:tcW w:w="862" w:type="dxa"/>
            <w:tcBorders>
              <w:top w:val="nil" w:sz="6" w:space="0" w:color="auto"/>
              <w:left w:val="nil" w:sz="6" w:space="0" w:color="auto"/>
              <w:bottom w:val="nil" w:sz="6" w:space="0" w:color="auto"/>
              <w:right w:val="nil" w:sz="6" w:space="0" w:color="auto"/>
            </w:tcBorders>
          </w:tcPr>
          <w:p>
            <w:pPr>
              <w:pStyle w:val="TableParagraph"/>
              <w:tabs>
                <w:tab w:pos="631" w:val="left" w:leader="none"/>
              </w:tabs>
              <w:spacing w:line="240" w:lineRule="auto" w:before="29"/>
              <w:ind w:right="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434" w:type="dxa"/>
            <w:gridSpan w:val="2"/>
            <w:tcBorders>
              <w:top w:val="nil" w:sz="6" w:space="0" w:color="auto"/>
              <w:left w:val="nil" w:sz="6" w:space="0" w:color="auto"/>
              <w:bottom w:val="nil" w:sz="6" w:space="0" w:color="auto"/>
              <w:right w:val="nil" w:sz="6" w:space="0" w:color="auto"/>
            </w:tcBorders>
          </w:tcPr>
          <w:p>
            <w:pPr>
              <w:pStyle w:val="TableParagraph"/>
              <w:tabs>
                <w:tab w:pos="1180" w:val="left" w:leader="none"/>
              </w:tabs>
              <w:spacing w:line="240" w:lineRule="auto" w:before="29"/>
              <w:ind w:left="458"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71" w:type="dxa"/>
            <w:tcBorders>
              <w:top w:val="nil" w:sz="6" w:space="0" w:color="auto"/>
              <w:left w:val="nil" w:sz="6" w:space="0" w:color="auto"/>
              <w:bottom w:val="nil" w:sz="6" w:space="0" w:color="auto"/>
              <w:right w:val="nil" w:sz="6" w:space="0" w:color="auto"/>
            </w:tcBorders>
          </w:tcPr>
          <w:p>
            <w:pPr>
              <w:pStyle w:val="TableParagraph"/>
              <w:tabs>
                <w:tab w:pos="671" w:val="left" w:leader="none"/>
              </w:tabs>
              <w:spacing w:line="240" w:lineRule="auto" w:before="29"/>
              <w:ind w:right="22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r>
      <w:tr>
        <w:trPr>
          <w:trHeight w:val="510" w:hRule="exact"/>
        </w:trPr>
        <w:tc>
          <w:tcPr>
            <w:tcW w:w="3721"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99" w:right="0"/>
              <w:jc w:val="left"/>
              <w:rPr>
                <w:rFonts w:ascii="黑体" w:hAnsi="黑体" w:cs="黑体" w:eastAsia="黑体" w:hint="default"/>
                <w:sz w:val="18"/>
                <w:szCs w:val="18"/>
              </w:rPr>
            </w:pPr>
            <w:r>
              <w:rPr>
                <w:rFonts w:ascii="黑体" w:hAnsi="黑体" w:cs="黑体" w:eastAsia="黑体" w:hint="default"/>
                <w:sz w:val="18"/>
                <w:szCs w:val="18"/>
              </w:rPr>
              <w:t>小计</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63"/>
              <w:jc w:val="right"/>
              <w:rPr>
                <w:rFonts w:ascii="Arial" w:hAnsi="Arial" w:cs="Arial" w:eastAsia="Arial" w:hint="default"/>
                <w:sz w:val="18"/>
                <w:szCs w:val="18"/>
              </w:rPr>
            </w:pPr>
            <w:r>
              <w:rPr>
                <w:rFonts w:ascii="Arial"/>
                <w:w w:val="99"/>
                <w:sz w:val="18"/>
              </w:rPr>
            </w:r>
            <w:r>
              <w:rPr>
                <w:rFonts w:ascii="Arial"/>
                <w:spacing w:val="-1"/>
                <w:sz w:val="18"/>
                <w:u w:val="single" w:color="000000"/>
              </w:rPr>
              <w:t>123,781,447</w:t>
            </w:r>
            <w:r>
              <w:rPr>
                <w:rFonts w:ascii="Arial"/>
                <w:spacing w:val="-1"/>
                <w:sz w:val="18"/>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11"/>
              <w:jc w:val="right"/>
              <w:rPr>
                <w:rFonts w:ascii="Arial" w:hAnsi="Arial" w:cs="Arial" w:eastAsia="Arial" w:hint="default"/>
                <w:sz w:val="18"/>
                <w:szCs w:val="18"/>
              </w:rPr>
            </w:pPr>
            <w:r>
              <w:rPr>
                <w:rFonts w:ascii="Arial"/>
                <w:w w:val="99"/>
                <w:sz w:val="18"/>
              </w:rPr>
            </w:r>
            <w:r>
              <w:rPr>
                <w:rFonts w:ascii="Arial"/>
                <w:spacing w:val="-1"/>
                <w:sz w:val="18"/>
                <w:u w:val="single" w:color="000000"/>
              </w:rPr>
              <w:t>121,467,677</w:t>
            </w:r>
            <w:r>
              <w:rPr>
                <w:rFonts w:ascii="Arial"/>
                <w:spacing w:val="-1"/>
                <w:sz w:val="18"/>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28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9"/>
                <w:sz w:val="18"/>
                <w:u w:val="single" w:color="000000"/>
              </w:rPr>
              <w:t> </w:t>
            </w:r>
            <w:r>
              <w:rPr>
                <w:rFonts w:ascii="Arial"/>
                <w:spacing w:val="-1"/>
                <w:sz w:val="18"/>
                <w:u w:val="single" w:color="000000"/>
              </w:rPr>
              <w:t>2,313,770</w:t>
            </w:r>
            <w:r>
              <w:rPr>
                <w:rFonts w:ascii="Arial"/>
                <w:spacing w:val="-1"/>
                <w:sz w:val="18"/>
              </w:rPr>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83"/>
              <w:jc w:val="right"/>
              <w:rPr>
                <w:rFonts w:ascii="Arial" w:hAnsi="Arial" w:cs="Arial" w:eastAsia="Arial" w:hint="default"/>
                <w:sz w:val="18"/>
                <w:szCs w:val="18"/>
              </w:rPr>
            </w:pPr>
            <w:r>
              <w:rPr>
                <w:rFonts w:ascii="Arial"/>
                <w:w w:val="99"/>
                <w:sz w:val="18"/>
              </w:rPr>
            </w:r>
            <w:r>
              <w:rPr>
                <w:rFonts w:ascii="Arial"/>
                <w:spacing w:val="-1"/>
                <w:sz w:val="18"/>
                <w:u w:val="single" w:color="000000"/>
              </w:rPr>
              <w:t>123,781,447</w:t>
            </w:r>
            <w:r>
              <w:rPr>
                <w:rFonts w:ascii="Arial"/>
                <w:spacing w:val="-1"/>
                <w:sz w:val="18"/>
              </w:rPr>
            </w:r>
          </w:p>
        </w:tc>
        <w:tc>
          <w:tcPr>
            <w:tcW w:w="920"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2"/>
              <w:jc w:val="right"/>
              <w:rPr>
                <w:rFonts w:ascii="Arial" w:hAnsi="Arial" w:cs="Arial" w:eastAsia="Arial" w:hint="default"/>
                <w:sz w:val="18"/>
                <w:szCs w:val="18"/>
              </w:rPr>
            </w:pPr>
            <w:r>
              <w:rPr>
                <w:rFonts w:ascii="Arial"/>
                <w:spacing w:val="-1"/>
                <w:sz w:val="18"/>
              </w:rPr>
              <w:t>(</w:t>
            </w:r>
            <w:r>
              <w:rPr>
                <w:rFonts w:ascii="Arial"/>
                <w:spacing w:val="-1"/>
                <w:sz w:val="18"/>
                <w:u w:val="single" w:color="000000"/>
              </w:rPr>
              <w:t>918,586</w:t>
            </w:r>
            <w:r>
              <w:rPr>
                <w:rFonts w:ascii="Arial"/>
                <w:spacing w:val="-1"/>
                <w:sz w:val="18"/>
              </w:rPr>
            </w:r>
          </w:p>
        </w:tc>
        <w:tc>
          <w:tcPr>
            <w:tcW w:w="622" w:type="dxa"/>
            <w:tcBorders>
              <w:top w:val="nil" w:sz="6" w:space="0" w:color="auto"/>
              <w:left w:val="nil" w:sz="6" w:space="0" w:color="auto"/>
              <w:bottom w:val="nil" w:sz="6" w:space="0" w:color="auto"/>
              <w:right w:val="nil" w:sz="6" w:space="0" w:color="auto"/>
            </w:tcBorders>
          </w:tcPr>
          <w:p>
            <w:pPr>
              <w:pStyle w:val="TableParagraph"/>
              <w:tabs>
                <w:tab w:pos="458" w:val="left" w:leader="none"/>
                <w:tab w:pos="1180" w:val="left" w:leader="none"/>
              </w:tabs>
              <w:spacing w:line="240" w:lineRule="auto" w:before="158"/>
              <w:ind w:left="4" w:right="-560"/>
              <w:jc w:val="left"/>
              <w:rPr>
                <w:rFonts w:ascii="Arial" w:hAnsi="Arial" w:cs="Arial" w:eastAsia="Arial" w:hint="default"/>
                <w:sz w:val="18"/>
                <w:szCs w:val="18"/>
              </w:rPr>
            </w:pPr>
            <w:r>
              <w:rPr>
                <w:rFonts w:ascii="Arial"/>
                <w:sz w:val="18"/>
              </w:rPr>
              <w:t>)</w:t>
              <w:tab/>
            </w:r>
            <w:r>
              <w:rPr>
                <w:rFonts w:ascii="Arial"/>
                <w:w w:val="100"/>
                <w:sz w:val="18"/>
              </w:rPr>
            </w:r>
            <w:r>
              <w:rPr>
                <w:rFonts w:ascii="Arial"/>
                <w:w w:val="100"/>
                <w:sz w:val="18"/>
                <w:u w:val="single" w:color="000000"/>
              </w:rPr>
              <w:t> </w:t>
            </w:r>
            <w:r>
              <w:rPr>
                <w:rFonts w:ascii="Arial"/>
                <w:sz w:val="18"/>
                <w:u w:val="single" w:color="000000"/>
              </w:rPr>
              <w:tab/>
            </w:r>
            <w:r>
              <w:rPr>
                <w:rFonts w:ascii="Arial"/>
                <w:sz w:val="18"/>
              </w:rPr>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91"/>
              <w:jc w:val="right"/>
              <w:rPr>
                <w:rFonts w:ascii="Arial" w:hAnsi="Arial" w:cs="Arial" w:eastAsia="Arial" w:hint="default"/>
                <w:sz w:val="18"/>
                <w:szCs w:val="18"/>
              </w:rPr>
            </w:pPr>
            <w:r>
              <w:rPr>
                <w:rFonts w:ascii="Arial"/>
                <w:w w:val="99"/>
                <w:sz w:val="18"/>
              </w:rPr>
            </w:r>
            <w:r>
              <w:rPr>
                <w:rFonts w:ascii="Arial"/>
                <w:w w:val="99"/>
                <w:sz w:val="18"/>
                <w:u w:val="single" w:color="000000"/>
              </w:rPr>
              <w:t>-</w:t>
            </w:r>
            <w:r>
              <w:rPr>
                <w:rFonts w:ascii="Arial"/>
                <w:w w:val="99"/>
                <w:sz w:val="18"/>
              </w:rPr>
            </w:r>
            <w:r>
              <w:rPr>
                <w:rFonts w:ascii="Arial"/>
                <w:sz w:val="18"/>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98"/>
              <w:jc w:val="right"/>
              <w:rPr>
                <w:rFonts w:ascii="Arial" w:hAnsi="Arial" w:cs="Arial" w:eastAsia="Arial" w:hint="default"/>
                <w:sz w:val="18"/>
                <w:szCs w:val="18"/>
              </w:rPr>
            </w:pPr>
            <w:r>
              <w:rPr>
                <w:rFonts w:ascii="Arial"/>
                <w:w w:val="100"/>
                <w:sz w:val="18"/>
              </w:rPr>
            </w:r>
            <w:r>
              <w:rPr>
                <w:rFonts w:ascii="Arial"/>
                <w:spacing w:val="-1"/>
                <w:sz w:val="18"/>
                <w:u w:val="single" w:color="000000"/>
              </w:rPr>
              <w:t>1,848,463</w:t>
            </w:r>
            <w:r>
              <w:rPr>
                <w:rFonts w:ascii="Arial"/>
                <w:spacing w:val="-1"/>
                <w:sz w:val="18"/>
              </w:rPr>
            </w:r>
          </w:p>
        </w:tc>
      </w:tr>
      <w:tr>
        <w:trPr>
          <w:trHeight w:val="360" w:hRule="exact"/>
        </w:trPr>
        <w:tc>
          <w:tcPr>
            <w:tcW w:w="3721"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82" w:right="0"/>
              <w:jc w:val="left"/>
              <w:rPr>
                <w:rFonts w:ascii="黑体" w:hAnsi="黑体" w:cs="黑体" w:eastAsia="黑体" w:hint="default"/>
                <w:sz w:val="18"/>
                <w:szCs w:val="18"/>
              </w:rPr>
            </w:pPr>
            <w:r>
              <w:rPr>
                <w:rFonts w:ascii="黑体" w:hAnsi="黑体" w:cs="黑体" w:eastAsia="黑体" w:hint="default"/>
                <w:sz w:val="18"/>
                <w:szCs w:val="18"/>
              </w:rPr>
              <w:t>合计</w:t>
            </w:r>
          </w:p>
        </w:tc>
        <w:tc>
          <w:tcPr>
            <w:tcW w:w="1511"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63"/>
              <w:jc w:val="right"/>
              <w:rPr>
                <w:rFonts w:ascii="Arial" w:hAnsi="Arial" w:cs="Arial" w:eastAsia="Arial" w:hint="default"/>
                <w:sz w:val="18"/>
                <w:szCs w:val="18"/>
              </w:rPr>
            </w:pPr>
            <w:r>
              <w:rPr>
                <w:rFonts w:ascii="Arial"/>
                <w:w w:val="99"/>
                <w:sz w:val="18"/>
              </w:rPr>
            </w:r>
            <w:r>
              <w:rPr>
                <w:rFonts w:ascii="Arial"/>
                <w:spacing w:val="-1"/>
                <w:sz w:val="18"/>
                <w:u w:val="thick" w:color="000000"/>
              </w:rPr>
              <w:t>148,511,525</w:t>
            </w:r>
            <w:r>
              <w:rPr>
                <w:rFonts w:ascii="Arial"/>
                <w:spacing w:val="-1"/>
                <w:sz w:val="18"/>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11"/>
              <w:jc w:val="right"/>
              <w:rPr>
                <w:rFonts w:ascii="Arial" w:hAnsi="Arial" w:cs="Arial" w:eastAsia="Arial" w:hint="default"/>
                <w:sz w:val="18"/>
                <w:szCs w:val="18"/>
              </w:rPr>
            </w:pPr>
            <w:r>
              <w:rPr>
                <w:rFonts w:ascii="Arial"/>
                <w:w w:val="99"/>
                <w:sz w:val="18"/>
              </w:rPr>
            </w:r>
            <w:r>
              <w:rPr>
                <w:rFonts w:ascii="Arial"/>
                <w:spacing w:val="-1"/>
                <w:sz w:val="18"/>
                <w:u w:val="thick" w:color="000000"/>
              </w:rPr>
              <w:t>163,814,939</w:t>
            </w:r>
            <w:r>
              <w:rPr>
                <w:rFonts w:ascii="Arial"/>
                <w:spacing w:val="-1"/>
                <w:sz w:val="18"/>
              </w:rPr>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281"/>
              <w:jc w:val="right"/>
              <w:rPr>
                <w:rFonts w:ascii="Arial" w:hAnsi="Arial" w:cs="Arial" w:eastAsia="Arial" w:hint="default"/>
                <w:sz w:val="18"/>
                <w:szCs w:val="18"/>
              </w:rPr>
            </w:pPr>
            <w:r>
              <w:rPr>
                <w:rFonts w:ascii="Arial"/>
                <w:w w:val="99"/>
                <w:sz w:val="18"/>
              </w:rPr>
            </w:r>
            <w:r>
              <w:rPr>
                <w:rFonts w:ascii="Arial"/>
                <w:spacing w:val="-1"/>
                <w:sz w:val="18"/>
                <w:u w:val="thick" w:color="000000"/>
              </w:rPr>
              <w:t>13,732,823</w:t>
            </w:r>
            <w:r>
              <w:rPr>
                <w:rFonts w:ascii="Arial"/>
                <w:spacing w:val="-1"/>
                <w:sz w:val="18"/>
              </w:rPr>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83"/>
              <w:jc w:val="right"/>
              <w:rPr>
                <w:rFonts w:ascii="Arial" w:hAnsi="Arial" w:cs="Arial" w:eastAsia="Arial" w:hint="default"/>
                <w:sz w:val="18"/>
                <w:szCs w:val="18"/>
              </w:rPr>
            </w:pPr>
            <w:r>
              <w:rPr>
                <w:rFonts w:ascii="Arial"/>
                <w:w w:val="99"/>
                <w:sz w:val="18"/>
              </w:rPr>
            </w:r>
            <w:r>
              <w:rPr>
                <w:rFonts w:ascii="Arial"/>
                <w:spacing w:val="-1"/>
                <w:sz w:val="18"/>
                <w:u w:val="thick" w:color="000000"/>
              </w:rPr>
              <w:t>177,547,762</w:t>
            </w:r>
            <w:r>
              <w:rPr>
                <w:rFonts w:ascii="Arial"/>
                <w:spacing w:val="-1"/>
                <w:sz w:val="18"/>
              </w:rPr>
            </w:r>
          </w:p>
        </w:tc>
        <w:tc>
          <w:tcPr>
            <w:tcW w:w="920"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2"/>
              <w:jc w:val="right"/>
              <w:rPr>
                <w:rFonts w:ascii="Arial" w:hAnsi="Arial" w:cs="Arial" w:eastAsia="Arial" w:hint="default"/>
                <w:sz w:val="18"/>
                <w:szCs w:val="18"/>
              </w:rPr>
            </w:pPr>
            <w:r>
              <w:rPr>
                <w:rFonts w:ascii="Arial"/>
                <w:spacing w:val="-1"/>
                <w:sz w:val="18"/>
              </w:rPr>
              <w:t>(</w:t>
            </w:r>
            <w:r>
              <w:rPr>
                <w:rFonts w:ascii="Arial"/>
                <w:spacing w:val="-1"/>
                <w:sz w:val="18"/>
                <w:u w:val="thick" w:color="000000"/>
              </w:rPr>
              <w:t>918,586</w:t>
            </w:r>
            <w:r>
              <w:rPr>
                <w:rFonts w:ascii="Arial"/>
                <w:spacing w:val="-1"/>
                <w:sz w:val="18"/>
              </w:rPr>
            </w:r>
          </w:p>
        </w:tc>
        <w:tc>
          <w:tcPr>
            <w:tcW w:w="622" w:type="dxa"/>
            <w:tcBorders>
              <w:top w:val="nil" w:sz="6" w:space="0" w:color="auto"/>
              <w:left w:val="nil" w:sz="6" w:space="0" w:color="auto"/>
              <w:bottom w:val="nil" w:sz="6" w:space="0" w:color="auto"/>
              <w:right w:val="nil" w:sz="6" w:space="0" w:color="auto"/>
            </w:tcBorders>
          </w:tcPr>
          <w:p>
            <w:pPr>
              <w:pStyle w:val="TableParagraph"/>
              <w:tabs>
                <w:tab w:pos="458" w:val="left" w:leader="none"/>
                <w:tab w:pos="1180" w:val="left" w:leader="none"/>
              </w:tabs>
              <w:spacing w:line="240" w:lineRule="auto" w:before="156"/>
              <w:ind w:left="4" w:right="-560"/>
              <w:jc w:val="left"/>
              <w:rPr>
                <w:rFonts w:ascii="Arial" w:hAnsi="Arial" w:cs="Arial" w:eastAsia="Arial" w:hint="default"/>
                <w:sz w:val="18"/>
                <w:szCs w:val="18"/>
              </w:rPr>
            </w:pPr>
            <w:r>
              <w:rPr>
                <w:rFonts w:ascii="Arial"/>
                <w:sz w:val="18"/>
              </w:rPr>
              <w:t>)</w:t>
              <w:tab/>
            </w:r>
            <w:r>
              <w:rPr>
                <w:rFonts w:ascii="Arial"/>
                <w:w w:val="100"/>
                <w:sz w:val="18"/>
              </w:rPr>
            </w:r>
            <w:r>
              <w:rPr>
                <w:rFonts w:ascii="Arial"/>
                <w:w w:val="100"/>
                <w:sz w:val="18"/>
                <w:u w:val="thick" w:color="000000"/>
              </w:rPr>
              <w:t> </w:t>
            </w:r>
            <w:r>
              <w:rPr>
                <w:rFonts w:ascii="Arial"/>
                <w:sz w:val="18"/>
                <w:u w:val="thick" w:color="000000"/>
              </w:rPr>
              <w:tab/>
            </w:r>
            <w:r>
              <w:rPr>
                <w:rFonts w:ascii="Arial"/>
                <w:sz w:val="18"/>
              </w:rPr>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91"/>
              <w:jc w:val="right"/>
              <w:rPr>
                <w:rFonts w:ascii="Arial" w:hAnsi="Arial" w:cs="Arial" w:eastAsia="Arial" w:hint="default"/>
                <w:sz w:val="18"/>
                <w:szCs w:val="18"/>
              </w:rPr>
            </w:pPr>
            <w:r>
              <w:rPr>
                <w:rFonts w:ascii="Arial"/>
                <w:w w:val="99"/>
                <w:sz w:val="18"/>
              </w:rPr>
            </w:r>
            <w:r>
              <w:rPr>
                <w:rFonts w:ascii="Arial"/>
                <w:w w:val="99"/>
                <w:sz w:val="18"/>
                <w:u w:val="thick" w:color="000000"/>
              </w:rPr>
              <w:t>-</w:t>
            </w:r>
            <w:r>
              <w:rPr>
                <w:rFonts w:ascii="Arial"/>
                <w:w w:val="99"/>
                <w:sz w:val="18"/>
              </w:rPr>
            </w:r>
            <w:r>
              <w:rPr>
                <w:rFonts w:ascii="Arial"/>
                <w:sz w:val="18"/>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98"/>
              <w:jc w:val="right"/>
              <w:rPr>
                <w:rFonts w:ascii="Arial" w:hAnsi="Arial" w:cs="Arial" w:eastAsia="Arial" w:hint="default"/>
                <w:sz w:val="18"/>
                <w:szCs w:val="18"/>
              </w:rPr>
            </w:pPr>
            <w:r>
              <w:rPr>
                <w:rFonts w:ascii="Arial"/>
                <w:w w:val="100"/>
                <w:sz w:val="18"/>
              </w:rPr>
            </w:r>
            <w:r>
              <w:rPr>
                <w:rFonts w:ascii="Arial"/>
                <w:spacing w:val="-1"/>
                <w:sz w:val="18"/>
                <w:u w:val="thick" w:color="000000"/>
              </w:rPr>
              <w:t>4,616,096</w:t>
            </w:r>
            <w:r>
              <w:rPr>
                <w:rFonts w:ascii="Arial"/>
                <w:spacing w:val="-1"/>
                <w:sz w:val="18"/>
              </w:rPr>
            </w:r>
          </w:p>
        </w:tc>
      </w:tr>
    </w:tbl>
    <w:p>
      <w:pPr>
        <w:spacing w:after="0" w:line="240" w:lineRule="auto"/>
        <w:jc w:val="right"/>
        <w:rPr>
          <w:rFonts w:ascii="Arial" w:hAnsi="Arial" w:cs="Arial" w:eastAsia="Arial" w:hint="default"/>
          <w:sz w:val="18"/>
          <w:szCs w:val="18"/>
        </w:rPr>
        <w:sectPr>
          <w:pgSz w:w="16850" w:h="11910" w:orient="landscape"/>
          <w:pgMar w:header="957" w:footer="785" w:top="2640" w:bottom="980" w:left="1020" w:right="660"/>
        </w:sectPr>
      </w:pPr>
    </w:p>
    <w:p>
      <w:pPr>
        <w:spacing w:line="240" w:lineRule="auto" w:before="5"/>
        <w:rPr>
          <w:rFonts w:ascii="黑体" w:hAnsi="黑体" w:cs="黑体" w:eastAsia="黑体" w:hint="default"/>
          <w:sz w:val="14"/>
          <w:szCs w:val="14"/>
        </w:rPr>
      </w:pPr>
    </w:p>
    <w:p>
      <w:pPr>
        <w:pStyle w:val="Heading6"/>
        <w:tabs>
          <w:tab w:pos="815" w:val="left" w:leader="none"/>
        </w:tabs>
        <w:spacing w:line="240" w:lineRule="auto"/>
        <w:ind w:left="112" w:right="6409"/>
        <w:jc w:val="left"/>
        <w:rPr>
          <w:b w:val="0"/>
          <w:bCs w:val="0"/>
        </w:rPr>
      </w:pPr>
      <w:r>
        <w:rPr>
          <w:w w:val="95"/>
        </w:rPr>
        <w:t>五、</w:t>
        <w:tab/>
      </w:r>
      <w:r>
        <w:rPr/>
        <w:t>合并财</w:t>
      </w:r>
      <w:bookmarkStart w:name="五、   合并财务报表主要项目注释（续）" w:id="84"/>
      <w:bookmarkEnd w:id="84"/>
      <w:r>
        <w:rPr/>
        <w:t>务报</w:t>
      </w:r>
      <w:r>
        <w:rPr/>
        <w:t>表主要项目注释（续）</w:t>
      </w:r>
      <w:r>
        <w:rPr>
          <w:b w:val="0"/>
          <w:bCs w:val="0"/>
        </w:rPr>
      </w:r>
    </w:p>
    <w:p>
      <w:pPr>
        <w:pStyle w:val="Heading6"/>
        <w:tabs>
          <w:tab w:pos="835" w:val="left" w:leader="none"/>
        </w:tabs>
        <w:spacing w:line="240" w:lineRule="auto" w:before="177"/>
        <w:ind w:left="112" w:right="6409"/>
        <w:jc w:val="left"/>
        <w:rPr>
          <w:b w:val="0"/>
          <w:bCs w:val="0"/>
        </w:rPr>
      </w:pPr>
      <w:r>
        <w:rPr>
          <w:rFonts w:ascii="Arial" w:hAnsi="Arial" w:cs="Arial" w:eastAsia="Arial" w:hint="default"/>
          <w:spacing w:val="-1"/>
        </w:rPr>
        <w:t>9.</w:t>
        <w:tab/>
      </w:r>
      <w:r>
        <w:rPr>
          <w:spacing w:val="1"/>
        </w:rPr>
        <w:t>长期股权投</w:t>
      </w:r>
      <w:bookmarkStart w:name="9.    长期股权投资（续）" w:id="85"/>
      <w:bookmarkEnd w:id="85"/>
      <w:r>
        <w:rPr>
          <w:spacing w:val="1"/>
        </w:rPr>
        <w:t>资（</w:t>
      </w:r>
      <w:r>
        <w:rPr>
          <w:spacing w:val="1"/>
        </w:rPr>
        <w:t>续）</w:t>
      </w:r>
      <w:r>
        <w:rPr>
          <w:b w:val="0"/>
          <w:bCs w:val="0"/>
          <w:spacing w:val="1"/>
        </w:rPr>
      </w:r>
    </w:p>
    <w:p>
      <w:pPr>
        <w:pStyle w:val="BodyText"/>
        <w:spacing w:line="240" w:lineRule="auto" w:before="163"/>
        <w:ind w:left="840" w:right="6409"/>
        <w:jc w:val="left"/>
      </w:pPr>
      <w:r>
        <w:rPr>
          <w:rFonts w:ascii="Arial" w:hAnsi="Arial" w:cs="Arial" w:eastAsia="Arial" w:hint="default"/>
        </w:rPr>
        <w:t>2011</w:t>
      </w:r>
      <w:r>
        <w:rPr/>
        <w:t>年</w:t>
      </w:r>
    </w:p>
    <w:p>
      <w:pPr>
        <w:spacing w:line="240" w:lineRule="auto" w:before="6"/>
        <w:rPr>
          <w:rFonts w:ascii="黑体" w:hAnsi="黑体" w:cs="黑体" w:eastAsia="黑体" w:hint="default"/>
          <w:sz w:val="21"/>
          <w:szCs w:val="21"/>
        </w:rPr>
      </w:pPr>
    </w:p>
    <w:tbl>
      <w:tblPr>
        <w:tblW w:w="0" w:type="auto"/>
        <w:jc w:val="left"/>
        <w:tblInd w:w="642" w:type="dxa"/>
        <w:tblLayout w:type="fixed"/>
        <w:tblCellMar>
          <w:top w:w="0" w:type="dxa"/>
          <w:left w:w="0" w:type="dxa"/>
          <w:bottom w:w="0" w:type="dxa"/>
          <w:right w:w="0" w:type="dxa"/>
        </w:tblCellMar>
        <w:tblLook w:val="01E0"/>
      </w:tblPr>
      <w:tblGrid>
        <w:gridCol w:w="3313"/>
        <w:gridCol w:w="1464"/>
        <w:gridCol w:w="1146"/>
        <w:gridCol w:w="990"/>
        <w:gridCol w:w="284"/>
        <w:gridCol w:w="1177"/>
        <w:gridCol w:w="1044"/>
        <w:gridCol w:w="1314"/>
        <w:gridCol w:w="1234"/>
        <w:gridCol w:w="1187"/>
        <w:gridCol w:w="1119"/>
      </w:tblGrid>
      <w:tr>
        <w:trPr>
          <w:trHeight w:val="206" w:hRule="exact"/>
        </w:trPr>
        <w:tc>
          <w:tcPr>
            <w:tcW w:w="3313"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180" w:lineRule="exact"/>
              <w:ind w:right="151"/>
              <w:jc w:val="right"/>
              <w:rPr>
                <w:rFonts w:ascii="黑体" w:hAnsi="黑体" w:cs="黑体" w:eastAsia="黑体" w:hint="default"/>
                <w:sz w:val="18"/>
                <w:szCs w:val="18"/>
              </w:rPr>
            </w:pPr>
            <w:r>
              <w:rPr>
                <w:rFonts w:ascii="黑体" w:hAnsi="黑体" w:cs="黑体" w:eastAsia="黑体" w:hint="default"/>
                <w:sz w:val="18"/>
                <w:szCs w:val="18"/>
              </w:rPr>
              <w:t>投资成本</w:t>
            </w:r>
          </w:p>
        </w:tc>
        <w:tc>
          <w:tcPr>
            <w:tcW w:w="1146" w:type="dxa"/>
            <w:tcBorders>
              <w:top w:val="nil" w:sz="6" w:space="0" w:color="auto"/>
              <w:left w:val="nil" w:sz="6" w:space="0" w:color="auto"/>
              <w:bottom w:val="nil" w:sz="6" w:space="0" w:color="auto"/>
              <w:right w:val="nil" w:sz="6" w:space="0" w:color="auto"/>
            </w:tcBorders>
          </w:tcPr>
          <w:p>
            <w:pPr>
              <w:pStyle w:val="TableParagraph"/>
              <w:spacing w:line="192" w:lineRule="exact"/>
              <w:ind w:right="92"/>
              <w:jc w:val="right"/>
              <w:rPr>
                <w:rFonts w:ascii="黑体" w:hAnsi="黑体" w:cs="黑体" w:eastAsia="黑体" w:hint="default"/>
                <w:sz w:val="18"/>
                <w:szCs w:val="18"/>
              </w:rPr>
            </w:pPr>
            <w:r>
              <w:rPr>
                <w:rFonts w:ascii="黑体" w:hAnsi="黑体" w:cs="黑体" w:eastAsia="黑体" w:hint="default"/>
                <w:sz w:val="18"/>
                <w:szCs w:val="18"/>
              </w:rPr>
              <w:t>年初数</w:t>
            </w:r>
          </w:p>
        </w:tc>
        <w:tc>
          <w:tcPr>
            <w:tcW w:w="990" w:type="dxa"/>
            <w:tcBorders>
              <w:top w:val="nil" w:sz="6" w:space="0" w:color="auto"/>
              <w:left w:val="nil" w:sz="6" w:space="0" w:color="auto"/>
              <w:bottom w:val="nil" w:sz="6" w:space="0" w:color="auto"/>
              <w:right w:val="nil" w:sz="6" w:space="0" w:color="auto"/>
            </w:tcBorders>
          </w:tcPr>
          <w:p>
            <w:pPr>
              <w:pStyle w:val="TableParagraph"/>
              <w:spacing w:line="192" w:lineRule="exact"/>
              <w:ind w:right="5"/>
              <w:jc w:val="right"/>
              <w:rPr>
                <w:rFonts w:ascii="黑体" w:hAnsi="黑体" w:cs="黑体" w:eastAsia="黑体" w:hint="default"/>
                <w:sz w:val="18"/>
                <w:szCs w:val="18"/>
              </w:rPr>
            </w:pPr>
            <w:r>
              <w:rPr>
                <w:rFonts w:ascii="黑体" w:hAnsi="黑体" w:cs="黑体" w:eastAsia="黑体" w:hint="default"/>
                <w:sz w:val="18"/>
                <w:szCs w:val="18"/>
              </w:rPr>
              <w:t>本年增减</w:t>
            </w:r>
          </w:p>
        </w:tc>
        <w:tc>
          <w:tcPr>
            <w:tcW w:w="284" w:type="dxa"/>
            <w:tcBorders>
              <w:top w:val="nil" w:sz="6" w:space="0" w:color="auto"/>
              <w:left w:val="nil" w:sz="6" w:space="0" w:color="auto"/>
              <w:bottom w:val="nil" w:sz="6" w:space="0" w:color="auto"/>
              <w:right w:val="nil" w:sz="6" w:space="0" w:color="auto"/>
            </w:tcBorders>
          </w:tcPr>
          <w:p>
            <w:pPr/>
          </w:p>
        </w:tc>
        <w:tc>
          <w:tcPr>
            <w:tcW w:w="1177" w:type="dxa"/>
            <w:tcBorders>
              <w:top w:val="nil" w:sz="6" w:space="0" w:color="auto"/>
              <w:left w:val="nil" w:sz="6" w:space="0" w:color="auto"/>
              <w:bottom w:val="nil" w:sz="6" w:space="0" w:color="auto"/>
              <w:right w:val="nil" w:sz="6" w:space="0" w:color="auto"/>
            </w:tcBorders>
          </w:tcPr>
          <w:p>
            <w:pPr>
              <w:pStyle w:val="TableParagraph"/>
              <w:spacing w:line="180" w:lineRule="exact"/>
              <w:ind w:right="154"/>
              <w:jc w:val="right"/>
              <w:rPr>
                <w:rFonts w:ascii="黑体" w:hAnsi="黑体" w:cs="黑体" w:eastAsia="黑体" w:hint="default"/>
                <w:sz w:val="18"/>
                <w:szCs w:val="18"/>
              </w:rPr>
            </w:pPr>
            <w:r>
              <w:rPr>
                <w:rFonts w:ascii="黑体" w:hAnsi="黑体" w:cs="黑体" w:eastAsia="黑体" w:hint="default"/>
                <w:sz w:val="18"/>
                <w:szCs w:val="18"/>
              </w:rPr>
              <w:t>年末数</w:t>
            </w:r>
          </w:p>
        </w:tc>
        <w:tc>
          <w:tcPr>
            <w:tcW w:w="1044" w:type="dxa"/>
            <w:tcBorders>
              <w:top w:val="nil" w:sz="6" w:space="0" w:color="auto"/>
              <w:left w:val="nil" w:sz="6" w:space="0" w:color="auto"/>
              <w:bottom w:val="nil" w:sz="6" w:space="0" w:color="auto"/>
              <w:right w:val="nil" w:sz="6" w:space="0" w:color="auto"/>
            </w:tcBorders>
          </w:tcPr>
          <w:p>
            <w:pPr>
              <w:pStyle w:val="TableParagraph"/>
              <w:spacing w:line="180" w:lineRule="exact"/>
              <w:ind w:right="168"/>
              <w:jc w:val="right"/>
              <w:rPr>
                <w:rFonts w:ascii="黑体" w:hAnsi="黑体" w:cs="黑体" w:eastAsia="黑体" w:hint="default"/>
                <w:sz w:val="18"/>
                <w:szCs w:val="18"/>
              </w:rPr>
            </w:pPr>
            <w:r>
              <w:rPr>
                <w:rFonts w:ascii="黑体" w:hAnsi="黑体" w:cs="黑体" w:eastAsia="黑体" w:hint="default"/>
                <w:sz w:val="18"/>
                <w:szCs w:val="18"/>
              </w:rPr>
              <w:t>持股比例</w:t>
            </w:r>
          </w:p>
        </w:tc>
        <w:tc>
          <w:tcPr>
            <w:tcW w:w="1314" w:type="dxa"/>
            <w:tcBorders>
              <w:top w:val="nil" w:sz="6" w:space="0" w:color="auto"/>
              <w:left w:val="nil" w:sz="6" w:space="0" w:color="auto"/>
              <w:bottom w:val="nil" w:sz="6" w:space="0" w:color="auto"/>
              <w:right w:val="nil" w:sz="6" w:space="0" w:color="auto"/>
            </w:tcBorders>
          </w:tcPr>
          <w:p>
            <w:pPr>
              <w:pStyle w:val="TableParagraph"/>
              <w:spacing w:line="180" w:lineRule="exact"/>
              <w:ind w:right="241"/>
              <w:jc w:val="right"/>
              <w:rPr>
                <w:rFonts w:ascii="黑体" w:hAnsi="黑体" w:cs="黑体" w:eastAsia="黑体" w:hint="default"/>
                <w:sz w:val="18"/>
                <w:szCs w:val="18"/>
              </w:rPr>
            </w:pPr>
            <w:r>
              <w:rPr>
                <w:rFonts w:ascii="黑体" w:hAnsi="黑体" w:cs="黑体" w:eastAsia="黑体" w:hint="default"/>
                <w:sz w:val="18"/>
                <w:szCs w:val="18"/>
              </w:rPr>
              <w:t>表决权比例</w:t>
            </w:r>
          </w:p>
        </w:tc>
        <w:tc>
          <w:tcPr>
            <w:tcW w:w="1234" w:type="dxa"/>
            <w:tcBorders>
              <w:top w:val="nil" w:sz="6" w:space="0" w:color="auto"/>
              <w:left w:val="nil" w:sz="6" w:space="0" w:color="auto"/>
              <w:bottom w:val="nil" w:sz="6" w:space="0" w:color="auto"/>
              <w:right w:val="nil" w:sz="6" w:space="0" w:color="auto"/>
            </w:tcBorders>
          </w:tcPr>
          <w:p>
            <w:pPr>
              <w:pStyle w:val="TableParagraph"/>
              <w:spacing w:line="192" w:lineRule="exact"/>
              <w:ind w:right="267"/>
              <w:jc w:val="right"/>
              <w:rPr>
                <w:rFonts w:ascii="黑体" w:hAnsi="黑体" w:cs="黑体" w:eastAsia="黑体" w:hint="default"/>
                <w:sz w:val="18"/>
                <w:szCs w:val="18"/>
              </w:rPr>
            </w:pPr>
            <w:r>
              <w:rPr>
                <w:rFonts w:ascii="黑体" w:hAnsi="黑体" w:cs="黑体" w:eastAsia="黑体" w:hint="default"/>
                <w:sz w:val="18"/>
                <w:szCs w:val="18"/>
              </w:rPr>
              <w:t>减值准备</w:t>
            </w:r>
          </w:p>
        </w:tc>
        <w:tc>
          <w:tcPr>
            <w:tcW w:w="1187" w:type="dxa"/>
            <w:tcBorders>
              <w:top w:val="nil" w:sz="6" w:space="0" w:color="auto"/>
              <w:left w:val="nil" w:sz="6" w:space="0" w:color="auto"/>
              <w:bottom w:val="nil" w:sz="6" w:space="0" w:color="auto"/>
              <w:right w:val="nil" w:sz="6" w:space="0" w:color="auto"/>
            </w:tcBorders>
          </w:tcPr>
          <w:p>
            <w:pPr>
              <w:pStyle w:val="TableParagraph"/>
              <w:spacing w:line="180" w:lineRule="exact"/>
              <w:ind w:right="115"/>
              <w:jc w:val="right"/>
              <w:rPr>
                <w:rFonts w:ascii="黑体" w:hAnsi="黑体" w:cs="黑体" w:eastAsia="黑体" w:hint="default"/>
                <w:sz w:val="18"/>
                <w:szCs w:val="18"/>
              </w:rPr>
            </w:pPr>
            <w:r>
              <w:rPr>
                <w:rFonts w:ascii="黑体" w:hAnsi="黑体" w:cs="黑体" w:eastAsia="黑体" w:hint="default"/>
                <w:sz w:val="18"/>
                <w:szCs w:val="18"/>
              </w:rPr>
              <w:t>本年转销</w:t>
            </w:r>
          </w:p>
        </w:tc>
        <w:tc>
          <w:tcPr>
            <w:tcW w:w="1119" w:type="dxa"/>
            <w:tcBorders>
              <w:top w:val="nil" w:sz="6" w:space="0" w:color="auto"/>
              <w:left w:val="nil" w:sz="6" w:space="0" w:color="auto"/>
              <w:bottom w:val="nil" w:sz="6" w:space="0" w:color="auto"/>
              <w:right w:val="nil" w:sz="6" w:space="0" w:color="auto"/>
            </w:tcBorders>
          </w:tcPr>
          <w:p>
            <w:pPr>
              <w:pStyle w:val="TableParagraph"/>
              <w:spacing w:line="180" w:lineRule="exact"/>
              <w:ind w:right="200"/>
              <w:jc w:val="right"/>
              <w:rPr>
                <w:rFonts w:ascii="黑体" w:hAnsi="黑体" w:cs="黑体" w:eastAsia="黑体" w:hint="default"/>
                <w:sz w:val="18"/>
                <w:szCs w:val="18"/>
              </w:rPr>
            </w:pPr>
            <w:r>
              <w:rPr>
                <w:rFonts w:ascii="黑体" w:hAnsi="黑体" w:cs="黑体" w:eastAsia="黑体" w:hint="default"/>
                <w:sz w:val="18"/>
                <w:szCs w:val="18"/>
              </w:rPr>
              <w:t>本年</w:t>
            </w:r>
          </w:p>
        </w:tc>
      </w:tr>
      <w:tr>
        <w:trPr>
          <w:trHeight w:val="236" w:hRule="exact"/>
        </w:trPr>
        <w:tc>
          <w:tcPr>
            <w:tcW w:w="3313"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
        </w:tc>
        <w:tc>
          <w:tcPr>
            <w:tcW w:w="1146"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177"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ind w:right="168"/>
              <w:jc w:val="right"/>
              <w:rPr>
                <w:rFonts w:ascii="Arial" w:hAnsi="Arial" w:cs="Arial" w:eastAsia="Arial" w:hint="default"/>
                <w:sz w:val="18"/>
                <w:szCs w:val="18"/>
              </w:rPr>
            </w:pPr>
            <w:r>
              <w:rPr>
                <w:rFonts w:ascii="Arial"/>
                <w:w w:val="95"/>
                <w:sz w:val="18"/>
              </w:rPr>
              <w:t>(%)</w:t>
            </w:r>
            <w:r>
              <w:rPr>
                <w:rFonts w:ascii="Arial"/>
                <w:sz w:val="18"/>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ind w:right="294"/>
              <w:jc w:val="right"/>
              <w:rPr>
                <w:rFonts w:ascii="Arial" w:hAnsi="Arial" w:cs="Arial" w:eastAsia="Arial" w:hint="default"/>
                <w:sz w:val="18"/>
                <w:szCs w:val="18"/>
              </w:rPr>
            </w:pPr>
            <w:r>
              <w:rPr>
                <w:rFonts w:ascii="Arial"/>
                <w:w w:val="95"/>
                <w:sz w:val="18"/>
              </w:rPr>
              <w:t>(%)</w:t>
            </w:r>
            <w:r>
              <w:rPr>
                <w:rFonts w:ascii="Arial"/>
                <w:sz w:val="18"/>
              </w:rPr>
            </w:r>
          </w:p>
        </w:tc>
        <w:tc>
          <w:tcPr>
            <w:tcW w:w="1234"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nil" w:sz="6" w:space="0" w:color="auto"/>
              <w:right w:val="nil" w:sz="6" w:space="0" w:color="auto"/>
            </w:tcBorders>
          </w:tcPr>
          <w:p>
            <w:pPr>
              <w:pStyle w:val="TableParagraph"/>
              <w:spacing w:line="194" w:lineRule="exact"/>
              <w:ind w:right="115"/>
              <w:jc w:val="right"/>
              <w:rPr>
                <w:rFonts w:ascii="黑体" w:hAnsi="黑体" w:cs="黑体" w:eastAsia="黑体" w:hint="default"/>
                <w:sz w:val="18"/>
                <w:szCs w:val="18"/>
              </w:rPr>
            </w:pPr>
            <w:r>
              <w:rPr>
                <w:rFonts w:ascii="黑体" w:hAnsi="黑体" w:cs="黑体" w:eastAsia="黑体" w:hint="default"/>
                <w:sz w:val="18"/>
                <w:szCs w:val="18"/>
              </w:rPr>
              <w:t>减值准备</w:t>
            </w:r>
          </w:p>
        </w:tc>
        <w:tc>
          <w:tcPr>
            <w:tcW w:w="1119" w:type="dxa"/>
            <w:tcBorders>
              <w:top w:val="nil" w:sz="6" w:space="0" w:color="auto"/>
              <w:left w:val="nil" w:sz="6" w:space="0" w:color="auto"/>
              <w:bottom w:val="nil" w:sz="6" w:space="0" w:color="auto"/>
              <w:right w:val="nil" w:sz="6" w:space="0" w:color="auto"/>
            </w:tcBorders>
          </w:tcPr>
          <w:p>
            <w:pPr>
              <w:pStyle w:val="TableParagraph"/>
              <w:spacing w:line="194" w:lineRule="exact"/>
              <w:ind w:right="200"/>
              <w:jc w:val="right"/>
              <w:rPr>
                <w:rFonts w:ascii="黑体" w:hAnsi="黑体" w:cs="黑体" w:eastAsia="黑体" w:hint="default"/>
                <w:sz w:val="18"/>
                <w:szCs w:val="18"/>
              </w:rPr>
            </w:pPr>
            <w:r>
              <w:rPr>
                <w:rFonts w:ascii="黑体" w:hAnsi="黑体" w:cs="黑体" w:eastAsia="黑体" w:hint="default"/>
                <w:sz w:val="18"/>
                <w:szCs w:val="18"/>
              </w:rPr>
              <w:t>现金红利</w:t>
            </w:r>
          </w:p>
        </w:tc>
      </w:tr>
      <w:tr>
        <w:trPr>
          <w:trHeight w:val="250"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213" w:lineRule="exact"/>
              <w:ind w:left="200" w:right="0"/>
              <w:jc w:val="left"/>
              <w:rPr>
                <w:rFonts w:ascii="黑体" w:hAnsi="黑体" w:cs="黑体" w:eastAsia="黑体" w:hint="default"/>
                <w:sz w:val="18"/>
                <w:szCs w:val="18"/>
              </w:rPr>
            </w:pPr>
            <w:r>
              <w:rPr>
                <w:rFonts w:ascii="黑体" w:hAnsi="黑体" w:cs="黑体" w:eastAsia="黑体" w:hint="default"/>
                <w:sz w:val="18"/>
                <w:szCs w:val="18"/>
              </w:rPr>
              <w:t>权益法：</w:t>
            </w:r>
          </w:p>
        </w:tc>
        <w:tc>
          <w:tcPr>
            <w:tcW w:w="1464" w:type="dxa"/>
            <w:tcBorders>
              <w:top w:val="nil" w:sz="6" w:space="0" w:color="auto"/>
              <w:left w:val="nil" w:sz="6" w:space="0" w:color="auto"/>
              <w:bottom w:val="nil" w:sz="6" w:space="0" w:color="auto"/>
              <w:right w:val="nil" w:sz="6" w:space="0" w:color="auto"/>
            </w:tcBorders>
          </w:tcPr>
          <w:p>
            <w:pPr/>
          </w:p>
        </w:tc>
        <w:tc>
          <w:tcPr>
            <w:tcW w:w="1146"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177"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nil" w:sz="6" w:space="0" w:color="auto"/>
              <w:right w:val="nil" w:sz="6" w:space="0" w:color="auto"/>
            </w:tcBorders>
          </w:tcPr>
          <w:p>
            <w:pPr/>
          </w:p>
        </w:tc>
        <w:tc>
          <w:tcPr>
            <w:tcW w:w="1119" w:type="dxa"/>
            <w:tcBorders>
              <w:top w:val="nil" w:sz="6" w:space="0" w:color="auto"/>
              <w:left w:val="nil" w:sz="6" w:space="0" w:color="auto"/>
              <w:bottom w:val="nil" w:sz="6" w:space="0" w:color="auto"/>
              <w:right w:val="nil" w:sz="6" w:space="0" w:color="auto"/>
            </w:tcBorders>
          </w:tcPr>
          <w:p>
            <w:pPr/>
          </w:p>
        </w:tc>
      </w:tr>
      <w:tr>
        <w:trPr>
          <w:trHeight w:val="265"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217" w:lineRule="exact"/>
              <w:ind w:left="382" w:right="0"/>
              <w:jc w:val="left"/>
              <w:rPr>
                <w:rFonts w:ascii="黑体" w:hAnsi="黑体" w:cs="黑体" w:eastAsia="黑体" w:hint="default"/>
                <w:sz w:val="18"/>
                <w:szCs w:val="18"/>
              </w:rPr>
            </w:pPr>
            <w:r>
              <w:rPr>
                <w:rFonts w:ascii="黑体" w:hAnsi="黑体" w:cs="黑体" w:eastAsia="黑体" w:hint="default"/>
                <w:sz w:val="18"/>
                <w:szCs w:val="18"/>
              </w:rPr>
              <w:t>联营企业</w:t>
            </w:r>
          </w:p>
        </w:tc>
        <w:tc>
          <w:tcPr>
            <w:tcW w:w="1464" w:type="dxa"/>
            <w:tcBorders>
              <w:top w:val="nil" w:sz="6" w:space="0" w:color="auto"/>
              <w:left w:val="nil" w:sz="6" w:space="0" w:color="auto"/>
              <w:bottom w:val="nil" w:sz="6" w:space="0" w:color="auto"/>
              <w:right w:val="nil" w:sz="6" w:space="0" w:color="auto"/>
            </w:tcBorders>
          </w:tcPr>
          <w:p>
            <w:pPr/>
          </w:p>
        </w:tc>
        <w:tc>
          <w:tcPr>
            <w:tcW w:w="1146"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177"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nil" w:sz="6" w:space="0" w:color="auto"/>
              <w:right w:val="nil" w:sz="6" w:space="0" w:color="auto"/>
            </w:tcBorders>
          </w:tcPr>
          <w:p>
            <w:pPr/>
          </w:p>
        </w:tc>
        <w:tc>
          <w:tcPr>
            <w:tcW w:w="1119" w:type="dxa"/>
            <w:tcBorders>
              <w:top w:val="nil" w:sz="6" w:space="0" w:color="auto"/>
              <w:left w:val="nil" w:sz="6" w:space="0" w:color="auto"/>
              <w:bottom w:val="nil" w:sz="6" w:space="0" w:color="auto"/>
              <w:right w:val="nil" w:sz="6" w:space="0" w:color="auto"/>
            </w:tcBorders>
          </w:tcPr>
          <w:p>
            <w:pPr/>
          </w:p>
        </w:tc>
      </w:tr>
      <w:tr>
        <w:trPr>
          <w:trHeight w:val="272"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228" w:lineRule="exact"/>
              <w:ind w:left="382" w:right="0"/>
              <w:jc w:val="left"/>
              <w:rPr>
                <w:rFonts w:ascii="黑体" w:hAnsi="黑体" w:cs="黑体" w:eastAsia="黑体" w:hint="default"/>
                <w:sz w:val="18"/>
                <w:szCs w:val="18"/>
              </w:rPr>
            </w:pPr>
            <w:r>
              <w:rPr>
                <w:rFonts w:ascii="黑体" w:hAnsi="黑体" w:cs="黑体" w:eastAsia="黑体" w:hint="default"/>
                <w:sz w:val="18"/>
                <w:szCs w:val="18"/>
              </w:rPr>
              <w:t>致远协创</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49"/>
              <w:jc w:val="right"/>
              <w:rPr>
                <w:rFonts w:ascii="Arial" w:hAnsi="Arial" w:cs="Arial" w:eastAsia="Arial" w:hint="default"/>
                <w:sz w:val="18"/>
                <w:szCs w:val="18"/>
              </w:rPr>
            </w:pPr>
            <w:r>
              <w:rPr>
                <w:rFonts w:ascii="Arial"/>
                <w:spacing w:val="-1"/>
                <w:sz w:val="18"/>
              </w:rPr>
              <w:t>13,925,126</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1"/>
              <w:jc w:val="right"/>
              <w:rPr>
                <w:rFonts w:ascii="Arial" w:hAnsi="Arial" w:cs="Arial" w:eastAsia="Arial" w:hint="default"/>
                <w:sz w:val="18"/>
                <w:szCs w:val="18"/>
              </w:rPr>
            </w:pPr>
            <w:r>
              <w:rPr>
                <w:rFonts w:ascii="Arial"/>
                <w:spacing w:val="-1"/>
                <w:sz w:val="18"/>
              </w:rPr>
              <w:t>32,869,487</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
              <w:jc w:val="right"/>
              <w:rPr>
                <w:rFonts w:ascii="Arial" w:hAnsi="Arial" w:cs="Arial" w:eastAsia="Arial" w:hint="default"/>
                <w:sz w:val="18"/>
                <w:szCs w:val="18"/>
              </w:rPr>
            </w:pPr>
            <w:r>
              <w:rPr>
                <w:rFonts w:ascii="Arial"/>
                <w:spacing w:val="-1"/>
                <w:sz w:val="18"/>
              </w:rPr>
              <w:t>5,118,385</w:t>
            </w:r>
          </w:p>
        </w:tc>
        <w:tc>
          <w:tcPr>
            <w:tcW w:w="284" w:type="dxa"/>
            <w:tcBorders>
              <w:top w:val="nil" w:sz="6" w:space="0" w:color="auto"/>
              <w:left w:val="nil" w:sz="6" w:space="0" w:color="auto"/>
              <w:bottom w:val="nil" w:sz="6" w:space="0" w:color="auto"/>
              <w:right w:val="nil" w:sz="6" w:space="0" w:color="auto"/>
            </w:tcBorders>
          </w:tcPr>
          <w:p>
            <w:pP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52"/>
              <w:jc w:val="right"/>
              <w:rPr>
                <w:rFonts w:ascii="Arial" w:hAnsi="Arial" w:cs="Arial" w:eastAsia="Arial" w:hint="default"/>
                <w:sz w:val="18"/>
                <w:szCs w:val="18"/>
              </w:rPr>
            </w:pPr>
            <w:r>
              <w:rPr>
                <w:rFonts w:ascii="Arial"/>
                <w:spacing w:val="-1"/>
                <w:sz w:val="18"/>
              </w:rPr>
              <w:t>37,987,872</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73"/>
              <w:jc w:val="right"/>
              <w:rPr>
                <w:rFonts w:ascii="Arial" w:hAnsi="Arial" w:cs="Arial" w:eastAsia="Arial" w:hint="default"/>
                <w:sz w:val="18"/>
                <w:szCs w:val="18"/>
              </w:rPr>
            </w:pPr>
            <w:r>
              <w:rPr>
                <w:rFonts w:ascii="Arial"/>
                <w:w w:val="95"/>
                <w:sz w:val="18"/>
              </w:rPr>
              <w:t>35.00</w:t>
            </w:r>
            <w:r>
              <w:rPr>
                <w:rFonts w:ascii="Arial"/>
                <w:sz w:val="18"/>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45"/>
              <w:jc w:val="right"/>
              <w:rPr>
                <w:rFonts w:ascii="Arial" w:hAnsi="Arial" w:cs="Arial" w:eastAsia="Arial" w:hint="default"/>
                <w:sz w:val="18"/>
                <w:szCs w:val="18"/>
              </w:rPr>
            </w:pPr>
            <w:r>
              <w:rPr>
                <w:rFonts w:ascii="Arial"/>
                <w:w w:val="95"/>
                <w:sz w:val="18"/>
              </w:rPr>
              <w:t>35.00</w:t>
            </w:r>
            <w:r>
              <w:rPr>
                <w:rFonts w:ascii="Arial"/>
                <w:sz w:val="18"/>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68"/>
              <w:jc w:val="right"/>
              <w:rPr>
                <w:rFonts w:ascii="Arial" w:hAnsi="Arial" w:cs="Arial" w:eastAsia="Arial" w:hint="default"/>
                <w:sz w:val="18"/>
                <w:szCs w:val="18"/>
              </w:rPr>
            </w:pPr>
            <w:r>
              <w:rPr>
                <w:rFonts w:ascii="Arial"/>
                <w:w w:val="99"/>
                <w:sz w:val="18"/>
              </w:rPr>
              <w:t>-</w:t>
            </w:r>
            <w:r>
              <w:rPr>
                <w:rFonts w:ascii="Arial"/>
                <w:sz w:val="18"/>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5"/>
              <w:jc w:val="right"/>
              <w:rPr>
                <w:rFonts w:ascii="Arial" w:hAnsi="Arial" w:cs="Arial" w:eastAsia="Arial" w:hint="default"/>
                <w:sz w:val="18"/>
                <w:szCs w:val="18"/>
              </w:rPr>
            </w:pPr>
            <w:r>
              <w:rPr>
                <w:rFonts w:ascii="Arial"/>
                <w:w w:val="99"/>
                <w:sz w:val="18"/>
              </w:rPr>
              <w:t>-</w:t>
            </w:r>
            <w:r>
              <w:rPr>
                <w:rFonts w:ascii="Arial"/>
                <w:sz w:val="18"/>
              </w:rPr>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00"/>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210" w:lineRule="exact"/>
              <w:ind w:left="382" w:right="0"/>
              <w:jc w:val="left"/>
              <w:rPr>
                <w:rFonts w:ascii="黑体" w:hAnsi="黑体" w:cs="黑体" w:eastAsia="黑体" w:hint="default"/>
                <w:sz w:val="18"/>
                <w:szCs w:val="18"/>
              </w:rPr>
            </w:pPr>
            <w:r>
              <w:rPr>
                <w:rFonts w:ascii="黑体" w:hAnsi="黑体" w:cs="黑体" w:eastAsia="黑体" w:hint="default"/>
                <w:sz w:val="18"/>
                <w:szCs w:val="18"/>
              </w:rPr>
              <w:t>西玛商用表单</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49"/>
              <w:jc w:val="right"/>
              <w:rPr>
                <w:rFonts w:ascii="Arial" w:hAnsi="Arial" w:cs="Arial" w:eastAsia="Arial" w:hint="default"/>
                <w:sz w:val="18"/>
                <w:szCs w:val="18"/>
              </w:rPr>
            </w:pPr>
            <w:r>
              <w:rPr>
                <w:rFonts w:ascii="Arial"/>
                <w:spacing w:val="-1"/>
                <w:sz w:val="18"/>
              </w:rPr>
              <w:t>150,000</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0"/>
              <w:jc w:val="right"/>
              <w:rPr>
                <w:rFonts w:ascii="Arial" w:hAnsi="Arial" w:cs="Arial" w:eastAsia="Arial" w:hint="default"/>
                <w:sz w:val="18"/>
                <w:szCs w:val="18"/>
              </w:rPr>
            </w:pPr>
            <w:r>
              <w:rPr>
                <w:rFonts w:ascii="Arial"/>
                <w:spacing w:val="-1"/>
                <w:sz w:val="18"/>
              </w:rPr>
              <w:t>5,575,285</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
              <w:jc w:val="right"/>
              <w:rPr>
                <w:rFonts w:ascii="Arial" w:hAnsi="Arial" w:cs="Arial" w:eastAsia="Arial" w:hint="default"/>
                <w:sz w:val="18"/>
                <w:szCs w:val="18"/>
              </w:rPr>
            </w:pPr>
            <w:r>
              <w:rPr>
                <w:rFonts w:ascii="Arial"/>
                <w:spacing w:val="-1"/>
                <w:sz w:val="18"/>
              </w:rPr>
              <w:t>(1,747,710</w:t>
            </w:r>
          </w:p>
        </w:tc>
        <w:tc>
          <w:tcPr>
            <w:tcW w:w="28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 w:right="0"/>
              <w:jc w:val="left"/>
              <w:rPr>
                <w:rFonts w:ascii="Arial" w:hAnsi="Arial" w:cs="Arial" w:eastAsia="Arial" w:hint="default"/>
                <w:sz w:val="18"/>
                <w:szCs w:val="18"/>
              </w:rPr>
            </w:pPr>
            <w:r>
              <w:rPr>
                <w:rFonts w:ascii="Arial"/>
                <w:w w:val="99"/>
                <w:sz w:val="18"/>
              </w:rPr>
              <w:t>)</w:t>
            </w:r>
            <w:r>
              <w:rPr>
                <w:rFonts w:ascii="Arial"/>
                <w:sz w:val="18"/>
              </w:rPr>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51"/>
              <w:jc w:val="right"/>
              <w:rPr>
                <w:rFonts w:ascii="Arial" w:hAnsi="Arial" w:cs="Arial" w:eastAsia="Arial" w:hint="default"/>
                <w:sz w:val="18"/>
                <w:szCs w:val="18"/>
              </w:rPr>
            </w:pPr>
            <w:r>
              <w:rPr>
                <w:rFonts w:ascii="Arial"/>
                <w:spacing w:val="-1"/>
                <w:sz w:val="18"/>
              </w:rPr>
              <w:t>3,827,575</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73"/>
              <w:jc w:val="right"/>
              <w:rPr>
                <w:rFonts w:ascii="Arial" w:hAnsi="Arial" w:cs="Arial" w:eastAsia="Arial" w:hint="default"/>
                <w:sz w:val="18"/>
                <w:szCs w:val="18"/>
              </w:rPr>
            </w:pPr>
            <w:r>
              <w:rPr>
                <w:rFonts w:ascii="Arial"/>
                <w:w w:val="95"/>
                <w:sz w:val="18"/>
              </w:rPr>
              <w:t>30.00</w:t>
            </w:r>
            <w:r>
              <w:rPr>
                <w:rFonts w:ascii="Arial"/>
                <w:sz w:val="18"/>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45"/>
              <w:jc w:val="right"/>
              <w:rPr>
                <w:rFonts w:ascii="Arial" w:hAnsi="Arial" w:cs="Arial" w:eastAsia="Arial" w:hint="default"/>
                <w:sz w:val="18"/>
                <w:szCs w:val="18"/>
              </w:rPr>
            </w:pPr>
            <w:r>
              <w:rPr>
                <w:rFonts w:ascii="Arial"/>
                <w:w w:val="95"/>
                <w:sz w:val="18"/>
              </w:rPr>
              <w:t>30.00</w:t>
            </w:r>
            <w:r>
              <w:rPr>
                <w:rFonts w:ascii="Arial"/>
                <w:sz w:val="18"/>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68"/>
              <w:jc w:val="right"/>
              <w:rPr>
                <w:rFonts w:ascii="Arial" w:hAnsi="Arial" w:cs="Arial" w:eastAsia="Arial" w:hint="default"/>
                <w:sz w:val="18"/>
                <w:szCs w:val="18"/>
              </w:rPr>
            </w:pPr>
            <w:r>
              <w:rPr>
                <w:rFonts w:ascii="Arial"/>
                <w:w w:val="99"/>
                <w:sz w:val="18"/>
              </w:rPr>
              <w:t>-</w:t>
            </w:r>
            <w:r>
              <w:rPr>
                <w:rFonts w:ascii="Arial"/>
                <w:sz w:val="18"/>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5"/>
              <w:jc w:val="right"/>
              <w:rPr>
                <w:rFonts w:ascii="Arial" w:hAnsi="Arial" w:cs="Arial" w:eastAsia="Arial" w:hint="default"/>
                <w:sz w:val="18"/>
                <w:szCs w:val="18"/>
              </w:rPr>
            </w:pPr>
            <w:r>
              <w:rPr>
                <w:rFonts w:ascii="Arial"/>
                <w:w w:val="99"/>
                <w:sz w:val="18"/>
              </w:rPr>
              <w:t>-</w:t>
            </w:r>
            <w:r>
              <w:rPr>
                <w:rFonts w:ascii="Arial"/>
                <w:sz w:val="18"/>
              </w:rPr>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98"/>
              <w:jc w:val="right"/>
              <w:rPr>
                <w:rFonts w:ascii="Arial" w:hAnsi="Arial" w:cs="Arial" w:eastAsia="Arial" w:hint="default"/>
                <w:sz w:val="18"/>
                <w:szCs w:val="18"/>
              </w:rPr>
            </w:pPr>
            <w:r>
              <w:rPr>
                <w:rFonts w:ascii="Arial"/>
                <w:spacing w:val="-1"/>
                <w:sz w:val="18"/>
              </w:rPr>
              <w:t>2,752,487</w:t>
            </w:r>
          </w:p>
        </w:tc>
      </w:tr>
      <w:tr>
        <w:trPr>
          <w:trHeight w:val="384"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210" w:lineRule="exact"/>
              <w:ind w:left="382" w:right="0"/>
              <w:jc w:val="left"/>
              <w:rPr>
                <w:rFonts w:ascii="黑体" w:hAnsi="黑体" w:cs="黑体" w:eastAsia="黑体" w:hint="default"/>
                <w:sz w:val="18"/>
                <w:szCs w:val="18"/>
              </w:rPr>
            </w:pPr>
            <w:r>
              <w:rPr>
                <w:rFonts w:ascii="黑体" w:hAnsi="黑体" w:cs="黑体" w:eastAsia="黑体" w:hint="default"/>
                <w:sz w:val="18"/>
                <w:szCs w:val="18"/>
              </w:rPr>
              <w:t>西玛永泰</w:t>
            </w:r>
          </w:p>
        </w:tc>
        <w:tc>
          <w:tcPr>
            <w:tcW w:w="1464" w:type="dxa"/>
            <w:tcBorders>
              <w:top w:val="nil" w:sz="6" w:space="0" w:color="auto"/>
              <w:left w:val="nil" w:sz="6" w:space="0" w:color="auto"/>
              <w:bottom w:val="nil" w:sz="6" w:space="0" w:color="auto"/>
              <w:right w:val="nil" w:sz="6" w:space="0" w:color="auto"/>
            </w:tcBorders>
          </w:tcPr>
          <w:p>
            <w:pPr>
              <w:pStyle w:val="TableParagraph"/>
              <w:tabs>
                <w:tab w:pos="271" w:val="left" w:leader="none"/>
              </w:tabs>
              <w:spacing w:line="240" w:lineRule="auto" w:before="23"/>
              <w:ind w:right="14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150,000</w:t>
            </w:r>
            <w:r>
              <w:rPr>
                <w:rFonts w:ascii="Arial"/>
                <w:spacing w:val="-1"/>
                <w:sz w:val="18"/>
              </w:rPr>
            </w:r>
          </w:p>
        </w:tc>
        <w:tc>
          <w:tcPr>
            <w:tcW w:w="1146" w:type="dxa"/>
            <w:tcBorders>
              <w:top w:val="nil" w:sz="6" w:space="0" w:color="auto"/>
              <w:left w:val="nil" w:sz="6" w:space="0" w:color="auto"/>
              <w:bottom w:val="nil" w:sz="6" w:space="0" w:color="auto"/>
              <w:right w:val="nil" w:sz="6" w:space="0" w:color="auto"/>
            </w:tcBorders>
          </w:tcPr>
          <w:p>
            <w:pPr>
              <w:pStyle w:val="TableParagraph"/>
              <w:tabs>
                <w:tab w:pos="271" w:val="left" w:leader="none"/>
              </w:tabs>
              <w:spacing w:line="240" w:lineRule="auto" w:before="23"/>
              <w:ind w:right="9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960,901</w:t>
            </w:r>
            <w:r>
              <w:rPr>
                <w:rFonts w:ascii="Arial"/>
                <w:spacing w:val="-1"/>
                <w:sz w:val="18"/>
              </w:rPr>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
              <w:jc w:val="right"/>
              <w:rPr>
                <w:rFonts w:ascii="Arial" w:hAnsi="Arial" w:cs="Arial" w:eastAsia="Arial" w:hint="default"/>
                <w:sz w:val="18"/>
                <w:szCs w:val="18"/>
              </w:rPr>
            </w:pPr>
            <w:r>
              <w:rPr>
                <w:rFonts w:ascii="Arial"/>
                <w:sz w:val="18"/>
              </w:rPr>
              <w:t>(  </w:t>
            </w:r>
            <w:r>
              <w:rPr>
                <w:rFonts w:ascii="Arial"/>
                <w:spacing w:val="27"/>
                <w:sz w:val="18"/>
              </w:rPr>
              <w:t> </w:t>
            </w:r>
            <w:r>
              <w:rPr>
                <w:rFonts w:ascii="Arial"/>
                <w:spacing w:val="27"/>
                <w:sz w:val="18"/>
                <w:u w:val="single" w:color="000000"/>
              </w:rPr>
              <w:t> </w:t>
            </w:r>
            <w:r>
              <w:rPr>
                <w:rFonts w:ascii="Arial"/>
                <w:sz w:val="18"/>
                <w:u w:val="single" w:color="000000"/>
              </w:rPr>
              <w:t>429,086</w:t>
            </w:r>
            <w:r>
              <w:rPr>
                <w:rFonts w:ascii="Arial"/>
                <w:sz w:val="18"/>
              </w:rPr>
            </w:r>
          </w:p>
        </w:tc>
        <w:tc>
          <w:tcPr>
            <w:tcW w:w="28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4" w:right="0"/>
              <w:jc w:val="left"/>
              <w:rPr>
                <w:rFonts w:ascii="Arial" w:hAnsi="Arial" w:cs="Arial" w:eastAsia="Arial" w:hint="default"/>
                <w:sz w:val="18"/>
                <w:szCs w:val="18"/>
              </w:rPr>
            </w:pPr>
            <w:r>
              <w:rPr>
                <w:rFonts w:ascii="Arial"/>
                <w:w w:val="99"/>
                <w:sz w:val="18"/>
              </w:rPr>
              <w:t>)</w:t>
            </w:r>
            <w:r>
              <w:rPr>
                <w:rFonts w:ascii="Arial"/>
                <w:sz w:val="18"/>
              </w:rPr>
            </w:r>
          </w:p>
        </w:tc>
        <w:tc>
          <w:tcPr>
            <w:tcW w:w="1177" w:type="dxa"/>
            <w:tcBorders>
              <w:top w:val="nil" w:sz="6" w:space="0" w:color="auto"/>
              <w:left w:val="nil" w:sz="6" w:space="0" w:color="auto"/>
              <w:bottom w:val="nil" w:sz="6" w:space="0" w:color="auto"/>
              <w:right w:val="nil" w:sz="6" w:space="0" w:color="auto"/>
            </w:tcBorders>
          </w:tcPr>
          <w:p>
            <w:pPr>
              <w:pStyle w:val="TableParagraph"/>
              <w:tabs>
                <w:tab w:pos="271" w:val="left" w:leader="none"/>
              </w:tabs>
              <w:spacing w:line="240" w:lineRule="auto" w:before="23"/>
              <w:ind w:right="15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531,815</w:t>
            </w:r>
            <w:r>
              <w:rPr>
                <w:rFonts w:ascii="Arial"/>
                <w:spacing w:val="-1"/>
                <w:sz w:val="18"/>
              </w:rPr>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73"/>
              <w:jc w:val="right"/>
              <w:rPr>
                <w:rFonts w:ascii="Arial" w:hAnsi="Arial" w:cs="Arial" w:eastAsia="Arial" w:hint="default"/>
                <w:sz w:val="18"/>
                <w:szCs w:val="18"/>
              </w:rPr>
            </w:pPr>
            <w:r>
              <w:rPr>
                <w:rFonts w:ascii="Arial"/>
                <w:w w:val="95"/>
                <w:sz w:val="18"/>
              </w:rPr>
              <w:t>30.00</w:t>
            </w:r>
            <w:r>
              <w:rPr>
                <w:rFonts w:ascii="Arial"/>
                <w:sz w:val="18"/>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45"/>
              <w:jc w:val="right"/>
              <w:rPr>
                <w:rFonts w:ascii="Arial" w:hAnsi="Arial" w:cs="Arial" w:eastAsia="Arial" w:hint="default"/>
                <w:sz w:val="18"/>
                <w:szCs w:val="18"/>
              </w:rPr>
            </w:pPr>
            <w:r>
              <w:rPr>
                <w:rFonts w:ascii="Arial"/>
                <w:w w:val="95"/>
                <w:sz w:val="18"/>
              </w:rPr>
              <w:t>30.00</w:t>
            </w:r>
            <w:r>
              <w:rPr>
                <w:rFonts w:ascii="Arial"/>
                <w:sz w:val="18"/>
              </w:rPr>
            </w:r>
          </w:p>
        </w:tc>
        <w:tc>
          <w:tcPr>
            <w:tcW w:w="1234" w:type="dxa"/>
            <w:tcBorders>
              <w:top w:val="nil" w:sz="6" w:space="0" w:color="auto"/>
              <w:left w:val="nil" w:sz="6" w:space="0" w:color="auto"/>
              <w:bottom w:val="nil" w:sz="6" w:space="0" w:color="auto"/>
              <w:right w:val="nil" w:sz="6" w:space="0" w:color="auto"/>
            </w:tcBorders>
          </w:tcPr>
          <w:p>
            <w:pPr>
              <w:pStyle w:val="TableParagraph"/>
              <w:tabs>
                <w:tab w:pos="813" w:val="left" w:leader="none"/>
              </w:tabs>
              <w:spacing w:line="240" w:lineRule="auto" w:before="23"/>
              <w:ind w:right="26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87" w:type="dxa"/>
            <w:tcBorders>
              <w:top w:val="nil" w:sz="6" w:space="0" w:color="auto"/>
              <w:left w:val="nil" w:sz="6" w:space="0" w:color="auto"/>
              <w:bottom w:val="nil" w:sz="6" w:space="0" w:color="auto"/>
              <w:right w:val="nil" w:sz="6" w:space="0" w:color="auto"/>
            </w:tcBorders>
          </w:tcPr>
          <w:p>
            <w:pPr>
              <w:pStyle w:val="TableParagraph"/>
              <w:tabs>
                <w:tab w:pos="902" w:val="left" w:leader="none"/>
              </w:tabs>
              <w:spacing w:line="240" w:lineRule="auto" w:before="23"/>
              <w:ind w:right="11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9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8"/>
                <w:sz w:val="18"/>
                <w:u w:val="single" w:color="000000"/>
              </w:rPr>
              <w:t> </w:t>
            </w:r>
            <w:r>
              <w:rPr>
                <w:rFonts w:ascii="Arial"/>
                <w:spacing w:val="-1"/>
                <w:sz w:val="18"/>
                <w:u w:val="single" w:color="000000"/>
              </w:rPr>
              <w:t>474,854</w:t>
            </w:r>
            <w:r>
              <w:rPr>
                <w:rFonts w:ascii="Arial"/>
                <w:spacing w:val="-1"/>
                <w:sz w:val="18"/>
              </w:rPr>
            </w:r>
          </w:p>
        </w:tc>
      </w:tr>
      <w:tr>
        <w:trPr>
          <w:trHeight w:val="472"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382" w:right="0"/>
              <w:jc w:val="left"/>
              <w:rPr>
                <w:rFonts w:ascii="黑体" w:hAnsi="黑体" w:cs="黑体" w:eastAsia="黑体" w:hint="default"/>
                <w:sz w:val="18"/>
                <w:szCs w:val="18"/>
              </w:rPr>
            </w:pPr>
            <w:r>
              <w:rPr>
                <w:rFonts w:ascii="黑体" w:hAnsi="黑体" w:cs="黑体" w:eastAsia="黑体" w:hint="default"/>
                <w:sz w:val="18"/>
                <w:szCs w:val="18"/>
              </w:rPr>
              <w:t>小计</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149"/>
              <w:jc w:val="right"/>
              <w:rPr>
                <w:rFonts w:ascii="Arial" w:hAnsi="Arial" w:cs="Arial" w:eastAsia="Arial" w:hint="default"/>
                <w:sz w:val="18"/>
                <w:szCs w:val="18"/>
              </w:rPr>
            </w:pPr>
            <w:r>
              <w:rPr>
                <w:rFonts w:ascii="Arial"/>
                <w:w w:val="99"/>
                <w:sz w:val="18"/>
              </w:rPr>
            </w:r>
            <w:r>
              <w:rPr>
                <w:rFonts w:ascii="Arial"/>
                <w:spacing w:val="-1"/>
                <w:sz w:val="18"/>
                <w:u w:val="single" w:color="000000"/>
              </w:rPr>
              <w:t>14,225,126</w:t>
            </w:r>
            <w:r>
              <w:rPr>
                <w:rFonts w:ascii="Arial"/>
                <w:spacing w:val="-1"/>
                <w:sz w:val="18"/>
              </w:rPr>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91"/>
              <w:jc w:val="right"/>
              <w:rPr>
                <w:rFonts w:ascii="Arial" w:hAnsi="Arial" w:cs="Arial" w:eastAsia="Arial" w:hint="default"/>
                <w:sz w:val="18"/>
                <w:szCs w:val="18"/>
              </w:rPr>
            </w:pPr>
            <w:r>
              <w:rPr>
                <w:rFonts w:ascii="Arial"/>
                <w:w w:val="99"/>
                <w:sz w:val="18"/>
              </w:rPr>
            </w:r>
            <w:r>
              <w:rPr>
                <w:rFonts w:ascii="Arial"/>
                <w:spacing w:val="-1"/>
                <w:sz w:val="18"/>
                <w:u w:val="single" w:color="000000"/>
              </w:rPr>
              <w:t>39,405,673</w:t>
            </w:r>
            <w:r>
              <w:rPr>
                <w:rFonts w:ascii="Arial"/>
                <w:spacing w:val="-1"/>
                <w:sz w:val="18"/>
              </w:rPr>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2"/>
              <w:jc w:val="right"/>
              <w:rPr>
                <w:rFonts w:ascii="Arial" w:hAnsi="Arial" w:cs="Arial" w:eastAsia="Arial" w:hint="default"/>
                <w:sz w:val="18"/>
                <w:szCs w:val="18"/>
              </w:rPr>
            </w:pPr>
            <w:r>
              <w:rPr>
                <w:rFonts w:ascii="Arial"/>
                <w:w w:val="100"/>
                <w:sz w:val="18"/>
              </w:rPr>
            </w:r>
            <w:r>
              <w:rPr>
                <w:rFonts w:ascii="Arial"/>
                <w:spacing w:val="-1"/>
                <w:sz w:val="18"/>
                <w:u w:val="single" w:color="000000"/>
              </w:rPr>
              <w:t>2,941,589</w:t>
            </w:r>
            <w:r>
              <w:rPr>
                <w:rFonts w:ascii="Arial"/>
                <w:spacing w:val="-1"/>
                <w:sz w:val="18"/>
              </w:rPr>
            </w:r>
          </w:p>
        </w:tc>
        <w:tc>
          <w:tcPr>
            <w:tcW w:w="284" w:type="dxa"/>
            <w:tcBorders>
              <w:top w:val="nil" w:sz="6" w:space="0" w:color="auto"/>
              <w:left w:val="nil" w:sz="6" w:space="0" w:color="auto"/>
              <w:bottom w:val="nil" w:sz="6" w:space="0" w:color="auto"/>
              <w:right w:val="nil" w:sz="6" w:space="0" w:color="auto"/>
            </w:tcBorders>
          </w:tcPr>
          <w:p>
            <w:pP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152"/>
              <w:jc w:val="right"/>
              <w:rPr>
                <w:rFonts w:ascii="Arial" w:hAnsi="Arial" w:cs="Arial" w:eastAsia="Arial" w:hint="default"/>
                <w:sz w:val="18"/>
                <w:szCs w:val="18"/>
              </w:rPr>
            </w:pPr>
            <w:r>
              <w:rPr>
                <w:rFonts w:ascii="Arial"/>
                <w:w w:val="99"/>
                <w:sz w:val="18"/>
              </w:rPr>
            </w:r>
            <w:r>
              <w:rPr>
                <w:rFonts w:ascii="Arial"/>
                <w:spacing w:val="-1"/>
                <w:sz w:val="18"/>
                <w:u w:val="single" w:color="000000"/>
              </w:rPr>
              <w:t>42,347,262</w:t>
            </w:r>
            <w:r>
              <w:rPr>
                <w:rFonts w:ascii="Arial"/>
                <w:spacing w:val="-1"/>
                <w:sz w:val="18"/>
              </w:rPr>
            </w:r>
          </w:p>
        </w:tc>
        <w:tc>
          <w:tcPr>
            <w:tcW w:w="1044"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Style w:val="TableParagraph"/>
              <w:tabs>
                <w:tab w:pos="813" w:val="left" w:leader="none"/>
              </w:tabs>
              <w:spacing w:line="240" w:lineRule="auto" w:before="148"/>
              <w:ind w:right="26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87" w:type="dxa"/>
            <w:tcBorders>
              <w:top w:val="nil" w:sz="6" w:space="0" w:color="auto"/>
              <w:left w:val="nil" w:sz="6" w:space="0" w:color="auto"/>
              <w:bottom w:val="nil" w:sz="6" w:space="0" w:color="auto"/>
              <w:right w:val="nil" w:sz="6" w:space="0" w:color="auto"/>
            </w:tcBorders>
          </w:tcPr>
          <w:p>
            <w:pPr>
              <w:pStyle w:val="TableParagraph"/>
              <w:tabs>
                <w:tab w:pos="902" w:val="left" w:leader="none"/>
              </w:tabs>
              <w:spacing w:line="240" w:lineRule="auto" w:before="148"/>
              <w:ind w:right="11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198"/>
              <w:jc w:val="right"/>
              <w:rPr>
                <w:rFonts w:ascii="Arial" w:hAnsi="Arial" w:cs="Arial" w:eastAsia="Arial" w:hint="default"/>
                <w:sz w:val="18"/>
                <w:szCs w:val="18"/>
              </w:rPr>
            </w:pPr>
            <w:r>
              <w:rPr>
                <w:rFonts w:ascii="Arial"/>
                <w:w w:val="100"/>
                <w:sz w:val="18"/>
              </w:rPr>
            </w:r>
            <w:r>
              <w:rPr>
                <w:rFonts w:ascii="Arial"/>
                <w:spacing w:val="-1"/>
                <w:sz w:val="18"/>
                <w:u w:val="single" w:color="000000"/>
              </w:rPr>
              <w:t>3,227,341</w:t>
            </w:r>
            <w:r>
              <w:rPr>
                <w:rFonts w:ascii="Arial"/>
                <w:spacing w:val="-1"/>
                <w:sz w:val="18"/>
              </w:rPr>
            </w:r>
          </w:p>
        </w:tc>
      </w:tr>
      <w:tr>
        <w:trPr>
          <w:trHeight w:val="329"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07" w:right="0"/>
              <w:jc w:val="left"/>
              <w:rPr>
                <w:rFonts w:ascii="黑体" w:hAnsi="黑体" w:cs="黑体" w:eastAsia="黑体" w:hint="default"/>
                <w:sz w:val="18"/>
                <w:szCs w:val="18"/>
              </w:rPr>
            </w:pPr>
            <w:r>
              <w:rPr>
                <w:rFonts w:ascii="黑体" w:hAnsi="黑体" w:cs="黑体" w:eastAsia="黑体" w:hint="default"/>
                <w:sz w:val="18"/>
                <w:szCs w:val="18"/>
              </w:rPr>
              <w:t>成本法：</w:t>
            </w:r>
          </w:p>
        </w:tc>
        <w:tc>
          <w:tcPr>
            <w:tcW w:w="1464" w:type="dxa"/>
            <w:tcBorders>
              <w:top w:val="nil" w:sz="6" w:space="0" w:color="auto"/>
              <w:left w:val="nil" w:sz="6" w:space="0" w:color="auto"/>
              <w:bottom w:val="nil" w:sz="6" w:space="0" w:color="auto"/>
              <w:right w:val="nil" w:sz="6" w:space="0" w:color="auto"/>
            </w:tcBorders>
          </w:tcPr>
          <w:p>
            <w:pPr/>
          </w:p>
        </w:tc>
        <w:tc>
          <w:tcPr>
            <w:tcW w:w="1146"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177" w:type="dxa"/>
            <w:tcBorders>
              <w:top w:val="nil" w:sz="6" w:space="0" w:color="auto"/>
              <w:left w:val="nil" w:sz="6" w:space="0" w:color="auto"/>
              <w:bottom w:val="nil" w:sz="6" w:space="0" w:color="auto"/>
              <w:right w:val="nil" w:sz="6" w:space="0" w:color="auto"/>
            </w:tcBorders>
          </w:tcPr>
          <w:p>
            <w:pPr/>
          </w:p>
        </w:tc>
        <w:tc>
          <w:tcPr>
            <w:tcW w:w="1044"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nil" w:sz="6" w:space="0" w:color="auto"/>
              <w:right w:val="nil" w:sz="6" w:space="0" w:color="auto"/>
            </w:tcBorders>
          </w:tcPr>
          <w:p>
            <w:pPr/>
          </w:p>
        </w:tc>
        <w:tc>
          <w:tcPr>
            <w:tcW w:w="1119" w:type="dxa"/>
            <w:tcBorders>
              <w:top w:val="nil" w:sz="6" w:space="0" w:color="auto"/>
              <w:left w:val="nil" w:sz="6" w:space="0" w:color="auto"/>
              <w:bottom w:val="nil" w:sz="6" w:space="0" w:color="auto"/>
              <w:right w:val="nil" w:sz="6" w:space="0" w:color="auto"/>
            </w:tcBorders>
          </w:tcPr>
          <w:p>
            <w:pPr/>
          </w:p>
        </w:tc>
      </w:tr>
      <w:tr>
        <w:trPr>
          <w:trHeight w:val="264"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209" w:lineRule="exact"/>
              <w:ind w:left="382" w:right="0"/>
              <w:jc w:val="left"/>
              <w:rPr>
                <w:rFonts w:ascii="黑体" w:hAnsi="黑体" w:cs="黑体" w:eastAsia="黑体" w:hint="default"/>
                <w:sz w:val="18"/>
                <w:szCs w:val="18"/>
              </w:rPr>
            </w:pPr>
            <w:r>
              <w:rPr>
                <w:rFonts w:ascii="黑体" w:hAnsi="黑体" w:cs="黑体" w:eastAsia="黑体" w:hint="default"/>
                <w:sz w:val="18"/>
                <w:szCs w:val="18"/>
              </w:rPr>
              <w:t>杭州优智软件有限公司</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51"/>
              <w:jc w:val="right"/>
              <w:rPr>
                <w:rFonts w:ascii="Arial" w:hAnsi="Arial" w:cs="Arial" w:eastAsia="Arial" w:hint="default"/>
                <w:sz w:val="18"/>
                <w:szCs w:val="18"/>
              </w:rPr>
            </w:pPr>
            <w:r>
              <w:rPr>
                <w:rFonts w:ascii="Arial"/>
                <w:w w:val="99"/>
                <w:sz w:val="18"/>
              </w:rPr>
              <w:t>-</w:t>
            </w:r>
            <w:r>
              <w:rPr>
                <w:rFonts w:ascii="Arial"/>
                <w:sz w:val="18"/>
              </w:rPr>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0"/>
              <w:jc w:val="right"/>
              <w:rPr>
                <w:rFonts w:ascii="Arial" w:hAnsi="Arial" w:cs="Arial" w:eastAsia="Arial" w:hint="default"/>
                <w:sz w:val="18"/>
                <w:szCs w:val="18"/>
              </w:rPr>
            </w:pPr>
            <w:r>
              <w:rPr>
                <w:rFonts w:ascii="Arial"/>
                <w:spacing w:val="-1"/>
                <w:sz w:val="18"/>
              </w:rPr>
              <w:t>2,000,000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
              <w:jc w:val="right"/>
              <w:rPr>
                <w:rFonts w:ascii="Arial" w:hAnsi="Arial" w:cs="Arial" w:eastAsia="Arial" w:hint="default"/>
                <w:sz w:val="18"/>
                <w:szCs w:val="18"/>
              </w:rPr>
            </w:pPr>
            <w:r>
              <w:rPr>
                <w:rFonts w:ascii="Arial"/>
                <w:spacing w:val="-1"/>
                <w:sz w:val="18"/>
              </w:rPr>
              <w:t>(2,000,000</w:t>
            </w:r>
          </w:p>
        </w:tc>
        <w:tc>
          <w:tcPr>
            <w:tcW w:w="284" w:type="dxa"/>
            <w:tcBorders>
              <w:top w:val="nil" w:sz="6" w:space="0" w:color="auto"/>
              <w:left w:val="nil" w:sz="6" w:space="0" w:color="auto"/>
              <w:bottom w:val="nil" w:sz="6" w:space="0" w:color="auto"/>
              <w:right w:val="nil" w:sz="6" w:space="0" w:color="auto"/>
            </w:tcBorders>
          </w:tcPr>
          <w:p>
            <w:pPr>
              <w:pStyle w:val="TableParagraph"/>
              <w:spacing w:line="240" w:lineRule="auto" w:before="38"/>
              <w:ind w:left="4" w:right="0"/>
              <w:jc w:val="left"/>
              <w:rPr>
                <w:rFonts w:ascii="Arial" w:hAnsi="Arial" w:cs="Arial" w:eastAsia="Arial" w:hint="default"/>
                <w:sz w:val="18"/>
                <w:szCs w:val="18"/>
              </w:rPr>
            </w:pPr>
            <w:r>
              <w:rPr>
                <w:rFonts w:ascii="Arial"/>
                <w:w w:val="99"/>
                <w:sz w:val="18"/>
              </w:rPr>
              <w:t>)</w:t>
            </w:r>
            <w:r>
              <w:rPr>
                <w:rFonts w:ascii="Arial"/>
                <w:sz w:val="18"/>
              </w:rPr>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54"/>
              <w:jc w:val="right"/>
              <w:rPr>
                <w:rFonts w:ascii="Arial" w:hAnsi="Arial" w:cs="Arial" w:eastAsia="Arial" w:hint="default"/>
                <w:sz w:val="18"/>
                <w:szCs w:val="18"/>
              </w:rPr>
            </w:pPr>
            <w:r>
              <w:rPr>
                <w:rFonts w:ascii="Arial"/>
                <w:w w:val="99"/>
                <w:sz w:val="18"/>
              </w:rPr>
              <w:t>-</w:t>
            </w:r>
            <w:r>
              <w:rPr>
                <w:rFonts w:ascii="Arial"/>
                <w:sz w:val="18"/>
              </w:rPr>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75"/>
              <w:jc w:val="right"/>
              <w:rPr>
                <w:rFonts w:ascii="Arial" w:hAnsi="Arial" w:cs="Arial" w:eastAsia="Arial" w:hint="default"/>
                <w:sz w:val="18"/>
                <w:szCs w:val="18"/>
              </w:rPr>
            </w:pPr>
            <w:r>
              <w:rPr>
                <w:rFonts w:ascii="Arial"/>
                <w:w w:val="99"/>
                <w:sz w:val="18"/>
              </w:rPr>
              <w:t>-</w:t>
            </w:r>
            <w:r>
              <w:rPr>
                <w:rFonts w:ascii="Arial"/>
                <w:sz w:val="18"/>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46"/>
              <w:jc w:val="right"/>
              <w:rPr>
                <w:rFonts w:ascii="Arial" w:hAnsi="Arial" w:cs="Arial" w:eastAsia="Arial" w:hint="default"/>
                <w:sz w:val="18"/>
                <w:szCs w:val="18"/>
              </w:rPr>
            </w:pPr>
            <w:r>
              <w:rPr>
                <w:rFonts w:ascii="Arial"/>
                <w:w w:val="99"/>
                <w:sz w:val="18"/>
              </w:rPr>
              <w:t>-</w:t>
            </w:r>
            <w:r>
              <w:rPr>
                <w:rFonts w:ascii="Arial"/>
                <w:sz w:val="18"/>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68"/>
              <w:jc w:val="right"/>
              <w:rPr>
                <w:rFonts w:ascii="Arial" w:hAnsi="Arial" w:cs="Arial" w:eastAsia="Arial" w:hint="default"/>
                <w:sz w:val="18"/>
                <w:szCs w:val="18"/>
              </w:rPr>
            </w:pPr>
            <w:r>
              <w:rPr>
                <w:rFonts w:ascii="Arial"/>
                <w:w w:val="99"/>
                <w:sz w:val="18"/>
              </w:rPr>
              <w:t>-</w:t>
            </w:r>
            <w:r>
              <w:rPr>
                <w:rFonts w:ascii="Arial"/>
                <w:sz w:val="18"/>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3"/>
              <w:jc w:val="right"/>
              <w:rPr>
                <w:rFonts w:ascii="Arial" w:hAnsi="Arial" w:cs="Arial" w:eastAsia="Arial" w:hint="default"/>
                <w:sz w:val="18"/>
                <w:szCs w:val="18"/>
              </w:rPr>
            </w:pPr>
            <w:r>
              <w:rPr>
                <w:rFonts w:ascii="Arial"/>
                <w:spacing w:val="-1"/>
                <w:sz w:val="18"/>
              </w:rPr>
              <w:t>2,000,000</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00"/>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202" w:lineRule="exact"/>
              <w:ind w:right="408"/>
              <w:jc w:val="right"/>
              <w:rPr>
                <w:rFonts w:ascii="黑体" w:hAnsi="黑体" w:cs="黑体" w:eastAsia="黑体" w:hint="default"/>
                <w:sz w:val="18"/>
                <w:szCs w:val="18"/>
              </w:rPr>
            </w:pPr>
            <w:r>
              <w:rPr>
                <w:rFonts w:ascii="黑体" w:hAnsi="黑体" w:cs="黑体" w:eastAsia="黑体" w:hint="default"/>
                <w:sz w:val="18"/>
                <w:szCs w:val="18"/>
              </w:rPr>
              <w:t>北京贯能管理技术服务有限公司</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1"/>
              <w:jc w:val="right"/>
              <w:rPr>
                <w:rFonts w:ascii="Arial" w:hAnsi="Arial" w:cs="Arial" w:eastAsia="Arial" w:hint="default"/>
                <w:sz w:val="18"/>
                <w:szCs w:val="18"/>
              </w:rPr>
            </w:pPr>
            <w:r>
              <w:rPr>
                <w:rFonts w:ascii="Arial"/>
                <w:w w:val="99"/>
                <w:sz w:val="18"/>
              </w:rPr>
              <w:t>-</w:t>
            </w:r>
            <w:r>
              <w:rPr>
                <w:rFonts w:ascii="Arial"/>
                <w:sz w:val="18"/>
              </w:rPr>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0"/>
              <w:jc w:val="right"/>
              <w:rPr>
                <w:rFonts w:ascii="Arial" w:hAnsi="Arial" w:cs="Arial" w:eastAsia="Arial" w:hint="default"/>
                <w:sz w:val="18"/>
                <w:szCs w:val="18"/>
              </w:rPr>
            </w:pPr>
            <w:r>
              <w:rPr>
                <w:rFonts w:ascii="Arial"/>
                <w:spacing w:val="-1"/>
                <w:sz w:val="18"/>
              </w:rPr>
              <w:t>4,000,000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
              <w:jc w:val="right"/>
              <w:rPr>
                <w:rFonts w:ascii="Arial" w:hAnsi="Arial" w:cs="Arial" w:eastAsia="Arial" w:hint="default"/>
                <w:sz w:val="18"/>
                <w:szCs w:val="18"/>
              </w:rPr>
            </w:pPr>
            <w:r>
              <w:rPr>
                <w:rFonts w:ascii="Arial"/>
                <w:spacing w:val="-1"/>
                <w:sz w:val="18"/>
              </w:rPr>
              <w:t>(4,000,000</w:t>
            </w:r>
          </w:p>
        </w:tc>
        <w:tc>
          <w:tcPr>
            <w:tcW w:w="28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 w:right="0"/>
              <w:jc w:val="left"/>
              <w:rPr>
                <w:rFonts w:ascii="Arial" w:hAnsi="Arial" w:cs="Arial" w:eastAsia="Arial" w:hint="default"/>
                <w:sz w:val="18"/>
                <w:szCs w:val="18"/>
              </w:rPr>
            </w:pPr>
            <w:r>
              <w:rPr>
                <w:rFonts w:ascii="Arial"/>
                <w:w w:val="99"/>
                <w:sz w:val="18"/>
              </w:rPr>
              <w:t>)</w:t>
            </w:r>
            <w:r>
              <w:rPr>
                <w:rFonts w:ascii="Arial"/>
                <w:sz w:val="18"/>
              </w:rPr>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4"/>
              <w:jc w:val="right"/>
              <w:rPr>
                <w:rFonts w:ascii="Arial" w:hAnsi="Arial" w:cs="Arial" w:eastAsia="Arial" w:hint="default"/>
                <w:sz w:val="18"/>
                <w:szCs w:val="18"/>
              </w:rPr>
            </w:pPr>
            <w:r>
              <w:rPr>
                <w:rFonts w:ascii="Arial"/>
                <w:w w:val="99"/>
                <w:sz w:val="18"/>
              </w:rPr>
              <w:t>-</w:t>
            </w:r>
            <w:r>
              <w:rPr>
                <w:rFonts w:ascii="Arial"/>
                <w:sz w:val="18"/>
              </w:rPr>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5"/>
              <w:jc w:val="right"/>
              <w:rPr>
                <w:rFonts w:ascii="Arial" w:hAnsi="Arial" w:cs="Arial" w:eastAsia="Arial" w:hint="default"/>
                <w:sz w:val="18"/>
                <w:szCs w:val="18"/>
              </w:rPr>
            </w:pPr>
            <w:r>
              <w:rPr>
                <w:rFonts w:ascii="Arial"/>
                <w:w w:val="99"/>
                <w:sz w:val="18"/>
              </w:rPr>
              <w:t>-</w:t>
            </w:r>
            <w:r>
              <w:rPr>
                <w:rFonts w:ascii="Arial"/>
                <w:sz w:val="18"/>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46"/>
              <w:jc w:val="right"/>
              <w:rPr>
                <w:rFonts w:ascii="Arial" w:hAnsi="Arial" w:cs="Arial" w:eastAsia="Arial" w:hint="default"/>
                <w:sz w:val="18"/>
                <w:szCs w:val="18"/>
              </w:rPr>
            </w:pPr>
            <w:r>
              <w:rPr>
                <w:rFonts w:ascii="Arial"/>
                <w:w w:val="99"/>
                <w:sz w:val="18"/>
              </w:rPr>
              <w:t>-</w:t>
            </w:r>
            <w:r>
              <w:rPr>
                <w:rFonts w:ascii="Arial"/>
                <w:sz w:val="18"/>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68"/>
              <w:jc w:val="right"/>
              <w:rPr>
                <w:rFonts w:ascii="Arial" w:hAnsi="Arial" w:cs="Arial" w:eastAsia="Arial" w:hint="default"/>
                <w:sz w:val="18"/>
                <w:szCs w:val="18"/>
              </w:rPr>
            </w:pPr>
            <w:r>
              <w:rPr>
                <w:rFonts w:ascii="Arial"/>
                <w:w w:val="99"/>
                <w:sz w:val="18"/>
              </w:rPr>
              <w:t>-</w:t>
            </w:r>
            <w:r>
              <w:rPr>
                <w:rFonts w:ascii="Arial"/>
                <w:sz w:val="18"/>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3"/>
              <w:jc w:val="right"/>
              <w:rPr>
                <w:rFonts w:ascii="Arial" w:hAnsi="Arial" w:cs="Arial" w:eastAsia="Arial" w:hint="default"/>
                <w:sz w:val="18"/>
                <w:szCs w:val="18"/>
              </w:rPr>
            </w:pPr>
            <w:r>
              <w:rPr>
                <w:rFonts w:ascii="Arial"/>
                <w:spacing w:val="-1"/>
                <w:sz w:val="18"/>
              </w:rPr>
              <w:t>4,000,000</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00"/>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202" w:lineRule="exact"/>
              <w:ind w:left="382" w:right="0"/>
              <w:jc w:val="left"/>
              <w:rPr>
                <w:rFonts w:ascii="黑体" w:hAnsi="黑体" w:cs="黑体" w:eastAsia="黑体" w:hint="default"/>
                <w:sz w:val="18"/>
                <w:szCs w:val="18"/>
              </w:rPr>
            </w:pPr>
            <w:r>
              <w:rPr>
                <w:rFonts w:ascii="黑体" w:hAnsi="黑体" w:cs="黑体" w:eastAsia="黑体" w:hint="default"/>
                <w:sz w:val="18"/>
                <w:szCs w:val="18"/>
              </w:rPr>
              <w:t>中投信用担保有限公司</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9"/>
              <w:jc w:val="right"/>
              <w:rPr>
                <w:rFonts w:ascii="Arial" w:hAnsi="Arial" w:cs="Arial" w:eastAsia="Arial" w:hint="default"/>
                <w:sz w:val="18"/>
                <w:szCs w:val="18"/>
              </w:rPr>
            </w:pPr>
            <w:r>
              <w:rPr>
                <w:rFonts w:ascii="Arial"/>
                <w:spacing w:val="-1"/>
                <w:sz w:val="18"/>
              </w:rPr>
              <w:t>5,000,000</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0"/>
              <w:jc w:val="right"/>
              <w:rPr>
                <w:rFonts w:ascii="Arial" w:hAnsi="Arial" w:cs="Arial" w:eastAsia="Arial" w:hint="default"/>
                <w:sz w:val="18"/>
                <w:szCs w:val="18"/>
              </w:rPr>
            </w:pPr>
            <w:r>
              <w:rPr>
                <w:rFonts w:ascii="Arial"/>
                <w:spacing w:val="-1"/>
                <w:sz w:val="18"/>
              </w:rPr>
              <w:t>5,000,000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
              <w:jc w:val="right"/>
              <w:rPr>
                <w:rFonts w:ascii="Arial" w:hAnsi="Arial" w:cs="Arial" w:eastAsia="Arial" w:hint="default"/>
                <w:sz w:val="18"/>
                <w:szCs w:val="18"/>
              </w:rPr>
            </w:pPr>
            <w:r>
              <w:rPr>
                <w:rFonts w:ascii="Arial"/>
                <w:w w:val="99"/>
                <w:sz w:val="18"/>
              </w:rPr>
              <w:t>-</w:t>
            </w:r>
            <w:r>
              <w:rPr>
                <w:rFonts w:ascii="Arial"/>
                <w:sz w:val="18"/>
              </w:rPr>
            </w:r>
          </w:p>
        </w:tc>
        <w:tc>
          <w:tcPr>
            <w:tcW w:w="284" w:type="dxa"/>
            <w:tcBorders>
              <w:top w:val="nil" w:sz="6" w:space="0" w:color="auto"/>
              <w:left w:val="nil" w:sz="6" w:space="0" w:color="auto"/>
              <w:bottom w:val="nil" w:sz="6" w:space="0" w:color="auto"/>
              <w:right w:val="nil" w:sz="6" w:space="0" w:color="auto"/>
            </w:tcBorders>
          </w:tcPr>
          <w:p>
            <w:pP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1"/>
              <w:jc w:val="right"/>
              <w:rPr>
                <w:rFonts w:ascii="Arial" w:hAnsi="Arial" w:cs="Arial" w:eastAsia="Arial" w:hint="default"/>
                <w:sz w:val="18"/>
                <w:szCs w:val="18"/>
              </w:rPr>
            </w:pPr>
            <w:r>
              <w:rPr>
                <w:rFonts w:ascii="Arial"/>
                <w:spacing w:val="-1"/>
                <w:sz w:val="18"/>
              </w:rPr>
              <w:t>5,000,000</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3"/>
              <w:jc w:val="right"/>
              <w:rPr>
                <w:rFonts w:ascii="Arial" w:hAnsi="Arial" w:cs="Arial" w:eastAsia="Arial" w:hint="default"/>
                <w:sz w:val="18"/>
                <w:szCs w:val="18"/>
              </w:rPr>
            </w:pPr>
            <w:r>
              <w:rPr>
                <w:rFonts w:ascii="Arial"/>
                <w:w w:val="95"/>
                <w:sz w:val="18"/>
              </w:rPr>
              <w:t>0.50</w:t>
            </w:r>
            <w:r>
              <w:rPr>
                <w:rFonts w:ascii="Arial"/>
                <w:sz w:val="18"/>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44"/>
              <w:jc w:val="right"/>
              <w:rPr>
                <w:rFonts w:ascii="Arial" w:hAnsi="Arial" w:cs="Arial" w:eastAsia="Arial" w:hint="default"/>
                <w:sz w:val="18"/>
                <w:szCs w:val="18"/>
              </w:rPr>
            </w:pPr>
            <w:r>
              <w:rPr>
                <w:rFonts w:ascii="Arial"/>
                <w:w w:val="95"/>
                <w:sz w:val="18"/>
              </w:rPr>
              <w:t>0.50</w:t>
            </w:r>
            <w:r>
              <w:rPr>
                <w:rFonts w:ascii="Arial"/>
                <w:sz w:val="18"/>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68"/>
              <w:jc w:val="right"/>
              <w:rPr>
                <w:rFonts w:ascii="Arial" w:hAnsi="Arial" w:cs="Arial" w:eastAsia="Arial" w:hint="default"/>
                <w:sz w:val="18"/>
                <w:szCs w:val="18"/>
              </w:rPr>
            </w:pPr>
            <w:r>
              <w:rPr>
                <w:rFonts w:ascii="Arial"/>
                <w:w w:val="99"/>
                <w:sz w:val="18"/>
              </w:rPr>
              <w:t>-</w:t>
            </w:r>
            <w:r>
              <w:rPr>
                <w:rFonts w:ascii="Arial"/>
                <w:sz w:val="18"/>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5"/>
              <w:jc w:val="right"/>
              <w:rPr>
                <w:rFonts w:ascii="Arial" w:hAnsi="Arial" w:cs="Arial" w:eastAsia="Arial" w:hint="default"/>
                <w:sz w:val="18"/>
                <w:szCs w:val="18"/>
              </w:rPr>
            </w:pPr>
            <w:r>
              <w:rPr>
                <w:rFonts w:ascii="Arial"/>
                <w:w w:val="99"/>
                <w:sz w:val="18"/>
              </w:rPr>
              <w:t>-</w:t>
            </w:r>
            <w:r>
              <w:rPr>
                <w:rFonts w:ascii="Arial"/>
                <w:sz w:val="18"/>
              </w:rPr>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00"/>
              <w:jc w:val="right"/>
              <w:rPr>
                <w:rFonts w:ascii="Arial" w:hAnsi="Arial" w:cs="Arial" w:eastAsia="Arial" w:hint="default"/>
                <w:sz w:val="18"/>
                <w:szCs w:val="18"/>
              </w:rPr>
            </w:pPr>
            <w:r>
              <w:rPr>
                <w:rFonts w:ascii="Arial"/>
                <w:w w:val="99"/>
                <w:sz w:val="18"/>
              </w:rPr>
              <w:t>-</w:t>
            </w:r>
            <w:r>
              <w:rPr>
                <w:rFonts w:ascii="Arial"/>
                <w:sz w:val="18"/>
              </w:rPr>
            </w:r>
          </w:p>
        </w:tc>
      </w:tr>
      <w:tr>
        <w:trPr>
          <w:trHeight w:val="245"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202" w:lineRule="exact"/>
              <w:ind w:left="382" w:right="0"/>
              <w:jc w:val="left"/>
              <w:rPr>
                <w:rFonts w:ascii="黑体" w:hAnsi="黑体" w:cs="黑体" w:eastAsia="黑体" w:hint="default"/>
                <w:sz w:val="18"/>
                <w:szCs w:val="18"/>
              </w:rPr>
            </w:pPr>
            <w:r>
              <w:rPr>
                <w:rFonts w:ascii="黑体" w:hAnsi="黑体" w:cs="黑体" w:eastAsia="黑体" w:hint="default"/>
                <w:sz w:val="18"/>
                <w:szCs w:val="18"/>
              </w:rPr>
              <w:t>北京瑞友科技有限公司</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9"/>
              <w:jc w:val="right"/>
              <w:rPr>
                <w:rFonts w:ascii="Arial" w:hAnsi="Arial" w:cs="Arial" w:eastAsia="Arial" w:hint="default"/>
                <w:sz w:val="18"/>
                <w:szCs w:val="18"/>
              </w:rPr>
            </w:pPr>
            <w:r>
              <w:rPr>
                <w:rFonts w:ascii="Arial"/>
                <w:spacing w:val="-1"/>
                <w:sz w:val="18"/>
              </w:rPr>
              <w:t>4,615,766</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0"/>
              <w:jc w:val="right"/>
              <w:rPr>
                <w:rFonts w:ascii="Arial" w:hAnsi="Arial" w:cs="Arial" w:eastAsia="Arial" w:hint="default"/>
                <w:sz w:val="18"/>
                <w:szCs w:val="18"/>
              </w:rPr>
            </w:pPr>
            <w:r>
              <w:rPr>
                <w:rFonts w:ascii="Arial"/>
                <w:spacing w:val="-1"/>
                <w:sz w:val="18"/>
              </w:rPr>
              <w:t>4,615,766</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
              <w:jc w:val="right"/>
              <w:rPr>
                <w:rFonts w:ascii="Arial" w:hAnsi="Arial" w:cs="Arial" w:eastAsia="Arial" w:hint="default"/>
                <w:sz w:val="18"/>
                <w:szCs w:val="18"/>
              </w:rPr>
            </w:pPr>
            <w:r>
              <w:rPr>
                <w:rFonts w:ascii="Arial"/>
                <w:w w:val="99"/>
                <w:sz w:val="18"/>
              </w:rPr>
              <w:t>-</w:t>
            </w:r>
            <w:r>
              <w:rPr>
                <w:rFonts w:ascii="Arial"/>
                <w:sz w:val="18"/>
              </w:rPr>
            </w:r>
          </w:p>
        </w:tc>
        <w:tc>
          <w:tcPr>
            <w:tcW w:w="284" w:type="dxa"/>
            <w:tcBorders>
              <w:top w:val="nil" w:sz="6" w:space="0" w:color="auto"/>
              <w:left w:val="nil" w:sz="6" w:space="0" w:color="auto"/>
              <w:bottom w:val="nil" w:sz="6" w:space="0" w:color="auto"/>
              <w:right w:val="nil" w:sz="6" w:space="0" w:color="auto"/>
            </w:tcBorders>
          </w:tcPr>
          <w:p>
            <w:pP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1"/>
              <w:jc w:val="right"/>
              <w:rPr>
                <w:rFonts w:ascii="Arial" w:hAnsi="Arial" w:cs="Arial" w:eastAsia="Arial" w:hint="default"/>
                <w:sz w:val="18"/>
                <w:szCs w:val="18"/>
              </w:rPr>
            </w:pPr>
            <w:r>
              <w:rPr>
                <w:rFonts w:ascii="Arial"/>
                <w:spacing w:val="-1"/>
                <w:sz w:val="18"/>
              </w:rPr>
              <w:t>4,615,766</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3"/>
              <w:jc w:val="right"/>
              <w:rPr>
                <w:rFonts w:ascii="Arial" w:hAnsi="Arial" w:cs="Arial" w:eastAsia="Arial" w:hint="default"/>
                <w:sz w:val="18"/>
                <w:szCs w:val="18"/>
              </w:rPr>
            </w:pPr>
            <w:r>
              <w:rPr>
                <w:rFonts w:ascii="Arial"/>
                <w:w w:val="95"/>
                <w:sz w:val="18"/>
              </w:rPr>
              <w:t>18.73</w:t>
            </w:r>
            <w:r>
              <w:rPr>
                <w:rFonts w:ascii="Arial"/>
                <w:sz w:val="18"/>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45"/>
              <w:jc w:val="right"/>
              <w:rPr>
                <w:rFonts w:ascii="Arial" w:hAnsi="Arial" w:cs="Arial" w:eastAsia="Arial" w:hint="default"/>
                <w:sz w:val="18"/>
                <w:szCs w:val="18"/>
              </w:rPr>
            </w:pPr>
            <w:r>
              <w:rPr>
                <w:rFonts w:ascii="Arial"/>
                <w:w w:val="95"/>
                <w:sz w:val="18"/>
              </w:rPr>
              <w:t>18.73</w:t>
            </w:r>
            <w:r>
              <w:rPr>
                <w:rFonts w:ascii="Arial"/>
                <w:sz w:val="18"/>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68"/>
              <w:jc w:val="right"/>
              <w:rPr>
                <w:rFonts w:ascii="Arial" w:hAnsi="Arial" w:cs="Arial" w:eastAsia="Arial" w:hint="default"/>
                <w:sz w:val="18"/>
                <w:szCs w:val="18"/>
              </w:rPr>
            </w:pPr>
            <w:r>
              <w:rPr>
                <w:rFonts w:ascii="Arial"/>
                <w:w w:val="99"/>
                <w:sz w:val="18"/>
              </w:rPr>
              <w:t>-</w:t>
            </w:r>
            <w:r>
              <w:rPr>
                <w:rFonts w:ascii="Arial"/>
                <w:sz w:val="18"/>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5"/>
              <w:jc w:val="right"/>
              <w:rPr>
                <w:rFonts w:ascii="Arial" w:hAnsi="Arial" w:cs="Arial" w:eastAsia="Arial" w:hint="default"/>
                <w:sz w:val="18"/>
                <w:szCs w:val="18"/>
              </w:rPr>
            </w:pPr>
            <w:r>
              <w:rPr>
                <w:rFonts w:ascii="Arial"/>
                <w:w w:val="99"/>
                <w:sz w:val="18"/>
              </w:rPr>
              <w:t>-</w:t>
            </w:r>
            <w:r>
              <w:rPr>
                <w:rFonts w:ascii="Arial"/>
                <w:sz w:val="18"/>
              </w:rPr>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00"/>
              <w:jc w:val="right"/>
              <w:rPr>
                <w:rFonts w:ascii="Arial" w:hAnsi="Arial" w:cs="Arial" w:eastAsia="Arial" w:hint="default"/>
                <w:sz w:val="18"/>
                <w:szCs w:val="18"/>
              </w:rPr>
            </w:pPr>
            <w:r>
              <w:rPr>
                <w:rFonts w:ascii="Arial"/>
                <w:w w:val="99"/>
                <w:sz w:val="18"/>
              </w:rPr>
              <w:t>-</w:t>
            </w:r>
            <w:r>
              <w:rPr>
                <w:rFonts w:ascii="Arial"/>
                <w:sz w:val="18"/>
              </w:rPr>
            </w:r>
          </w:p>
        </w:tc>
      </w:tr>
      <w:tr>
        <w:trPr>
          <w:trHeight w:val="478"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191" w:lineRule="exact"/>
              <w:ind w:left="382" w:right="0"/>
              <w:jc w:val="left"/>
              <w:rPr>
                <w:rFonts w:ascii="黑体" w:hAnsi="黑体" w:cs="黑体" w:eastAsia="黑体" w:hint="default"/>
                <w:sz w:val="18"/>
                <w:szCs w:val="18"/>
              </w:rPr>
            </w:pPr>
            <w:r>
              <w:rPr>
                <w:rFonts w:ascii="黑体" w:hAnsi="黑体" w:cs="黑体" w:eastAsia="黑体" w:hint="default"/>
                <w:sz w:val="18"/>
                <w:szCs w:val="18"/>
              </w:rPr>
              <w:t>中企永联数据交换技术（北京）</w:t>
            </w:r>
          </w:p>
          <w:p>
            <w:pPr>
              <w:pStyle w:val="TableParagraph"/>
              <w:spacing w:line="234" w:lineRule="exact"/>
              <w:ind w:left="564" w:right="0"/>
              <w:jc w:val="left"/>
              <w:rPr>
                <w:rFonts w:ascii="黑体" w:hAnsi="黑体" w:cs="黑体" w:eastAsia="黑体" w:hint="default"/>
                <w:sz w:val="18"/>
                <w:szCs w:val="18"/>
              </w:rPr>
            </w:pPr>
            <w:r>
              <w:rPr>
                <w:rFonts w:ascii="黑体" w:hAnsi="黑体" w:cs="黑体" w:eastAsia="黑体" w:hint="default"/>
                <w:sz w:val="18"/>
                <w:szCs w:val="18"/>
              </w:rPr>
              <w:t>有限公司</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19"/>
                <w:szCs w:val="19"/>
              </w:rPr>
            </w:pPr>
          </w:p>
          <w:p>
            <w:pPr>
              <w:pStyle w:val="TableParagraph"/>
              <w:spacing w:line="240" w:lineRule="auto"/>
              <w:ind w:right="149"/>
              <w:jc w:val="right"/>
              <w:rPr>
                <w:rFonts w:ascii="Arial" w:hAnsi="Arial" w:cs="Arial" w:eastAsia="Arial" w:hint="default"/>
                <w:sz w:val="18"/>
                <w:szCs w:val="18"/>
              </w:rPr>
            </w:pPr>
            <w:r>
              <w:rPr>
                <w:rFonts w:ascii="Arial"/>
                <w:spacing w:val="-1"/>
                <w:sz w:val="18"/>
              </w:rPr>
              <w:t>2,500,000</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19"/>
                <w:szCs w:val="19"/>
              </w:rPr>
            </w:pPr>
          </w:p>
          <w:p>
            <w:pPr>
              <w:pStyle w:val="TableParagraph"/>
              <w:spacing w:line="240" w:lineRule="auto"/>
              <w:ind w:right="90"/>
              <w:jc w:val="right"/>
              <w:rPr>
                <w:rFonts w:ascii="Arial" w:hAnsi="Arial" w:cs="Arial" w:eastAsia="Arial" w:hint="default"/>
                <w:sz w:val="18"/>
                <w:szCs w:val="18"/>
              </w:rPr>
            </w:pPr>
            <w:r>
              <w:rPr>
                <w:rFonts w:ascii="Arial"/>
                <w:spacing w:val="-1"/>
                <w:sz w:val="18"/>
              </w:rPr>
              <w:t>2,500,000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19"/>
                <w:szCs w:val="19"/>
              </w:rPr>
            </w:pPr>
          </w:p>
          <w:p>
            <w:pPr>
              <w:pStyle w:val="TableParagraph"/>
              <w:spacing w:line="240" w:lineRule="auto"/>
              <w:ind w:right="5"/>
              <w:jc w:val="right"/>
              <w:rPr>
                <w:rFonts w:ascii="Arial" w:hAnsi="Arial" w:cs="Arial" w:eastAsia="Arial" w:hint="default"/>
                <w:sz w:val="18"/>
                <w:szCs w:val="18"/>
              </w:rPr>
            </w:pPr>
            <w:r>
              <w:rPr>
                <w:rFonts w:ascii="Arial"/>
                <w:w w:val="99"/>
                <w:sz w:val="18"/>
              </w:rPr>
              <w:t>-</w:t>
            </w:r>
            <w:r>
              <w:rPr>
                <w:rFonts w:ascii="Arial"/>
                <w:sz w:val="18"/>
              </w:rPr>
            </w:r>
          </w:p>
        </w:tc>
        <w:tc>
          <w:tcPr>
            <w:tcW w:w="284" w:type="dxa"/>
            <w:tcBorders>
              <w:top w:val="nil" w:sz="6" w:space="0" w:color="auto"/>
              <w:left w:val="nil" w:sz="6" w:space="0" w:color="auto"/>
              <w:bottom w:val="nil" w:sz="6" w:space="0" w:color="auto"/>
              <w:right w:val="nil" w:sz="6" w:space="0" w:color="auto"/>
            </w:tcBorders>
          </w:tcPr>
          <w:p>
            <w:pP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19"/>
                <w:szCs w:val="19"/>
              </w:rPr>
            </w:pPr>
          </w:p>
          <w:p>
            <w:pPr>
              <w:pStyle w:val="TableParagraph"/>
              <w:spacing w:line="240" w:lineRule="auto"/>
              <w:ind w:right="151"/>
              <w:jc w:val="right"/>
              <w:rPr>
                <w:rFonts w:ascii="Arial" w:hAnsi="Arial" w:cs="Arial" w:eastAsia="Arial" w:hint="default"/>
                <w:sz w:val="18"/>
                <w:szCs w:val="18"/>
              </w:rPr>
            </w:pPr>
            <w:r>
              <w:rPr>
                <w:rFonts w:ascii="Arial"/>
                <w:spacing w:val="-1"/>
                <w:sz w:val="18"/>
              </w:rPr>
              <w:t>2,500,000</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19"/>
                <w:szCs w:val="19"/>
              </w:rPr>
            </w:pPr>
          </w:p>
          <w:p>
            <w:pPr>
              <w:pStyle w:val="TableParagraph"/>
              <w:spacing w:line="240" w:lineRule="auto"/>
              <w:ind w:right="173"/>
              <w:jc w:val="right"/>
              <w:rPr>
                <w:rFonts w:ascii="Arial" w:hAnsi="Arial" w:cs="Arial" w:eastAsia="Arial" w:hint="default"/>
                <w:sz w:val="18"/>
                <w:szCs w:val="18"/>
              </w:rPr>
            </w:pPr>
            <w:r>
              <w:rPr>
                <w:rFonts w:ascii="Arial"/>
                <w:w w:val="95"/>
                <w:sz w:val="18"/>
              </w:rPr>
              <w:t>19.81</w:t>
            </w:r>
            <w:r>
              <w:rPr>
                <w:rFonts w:ascii="Arial"/>
                <w:sz w:val="18"/>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19"/>
                <w:szCs w:val="19"/>
              </w:rPr>
            </w:pPr>
          </w:p>
          <w:p>
            <w:pPr>
              <w:pStyle w:val="TableParagraph"/>
              <w:spacing w:line="240" w:lineRule="auto"/>
              <w:ind w:right="245"/>
              <w:jc w:val="right"/>
              <w:rPr>
                <w:rFonts w:ascii="Arial" w:hAnsi="Arial" w:cs="Arial" w:eastAsia="Arial" w:hint="default"/>
                <w:sz w:val="18"/>
                <w:szCs w:val="18"/>
              </w:rPr>
            </w:pPr>
            <w:r>
              <w:rPr>
                <w:rFonts w:ascii="Arial"/>
                <w:w w:val="95"/>
                <w:sz w:val="18"/>
              </w:rPr>
              <w:t>19.81</w:t>
            </w:r>
            <w:r>
              <w:rPr>
                <w:rFonts w:ascii="Arial"/>
                <w:sz w:val="18"/>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19"/>
                <w:szCs w:val="19"/>
              </w:rPr>
            </w:pPr>
          </w:p>
          <w:p>
            <w:pPr>
              <w:pStyle w:val="TableParagraph"/>
              <w:spacing w:line="240" w:lineRule="auto"/>
              <w:ind w:right="268"/>
              <w:jc w:val="right"/>
              <w:rPr>
                <w:rFonts w:ascii="Arial" w:hAnsi="Arial" w:cs="Arial" w:eastAsia="Arial" w:hint="default"/>
                <w:sz w:val="18"/>
                <w:szCs w:val="18"/>
              </w:rPr>
            </w:pPr>
            <w:r>
              <w:rPr>
                <w:rFonts w:ascii="Arial"/>
                <w:w w:val="99"/>
                <w:sz w:val="18"/>
              </w:rPr>
              <w:t>-</w:t>
            </w:r>
            <w:r>
              <w:rPr>
                <w:rFonts w:ascii="Arial"/>
                <w:sz w:val="18"/>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19"/>
                <w:szCs w:val="19"/>
              </w:rPr>
            </w:pPr>
          </w:p>
          <w:p>
            <w:pPr>
              <w:pStyle w:val="TableParagraph"/>
              <w:spacing w:line="240" w:lineRule="auto"/>
              <w:ind w:right="115"/>
              <w:jc w:val="right"/>
              <w:rPr>
                <w:rFonts w:ascii="Arial" w:hAnsi="Arial" w:cs="Arial" w:eastAsia="Arial" w:hint="default"/>
                <w:sz w:val="18"/>
                <w:szCs w:val="18"/>
              </w:rPr>
            </w:pPr>
            <w:r>
              <w:rPr>
                <w:rFonts w:ascii="Arial"/>
                <w:w w:val="99"/>
                <w:sz w:val="18"/>
              </w:rPr>
              <w:t>-</w:t>
            </w:r>
            <w:r>
              <w:rPr>
                <w:rFonts w:ascii="Arial"/>
                <w:sz w:val="18"/>
              </w:rPr>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19"/>
                <w:szCs w:val="19"/>
              </w:rPr>
            </w:pPr>
          </w:p>
          <w:p>
            <w:pPr>
              <w:pStyle w:val="TableParagraph"/>
              <w:spacing w:line="240" w:lineRule="auto"/>
              <w:ind w:right="200"/>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202" w:lineRule="exact"/>
              <w:ind w:left="382" w:right="0"/>
              <w:jc w:val="left"/>
              <w:rPr>
                <w:rFonts w:ascii="黑体" w:hAnsi="黑体" w:cs="黑体" w:eastAsia="黑体" w:hint="default"/>
                <w:sz w:val="18"/>
                <w:szCs w:val="18"/>
              </w:rPr>
            </w:pPr>
            <w:r>
              <w:rPr>
                <w:rFonts w:ascii="黑体" w:hAnsi="黑体" w:cs="黑体" w:eastAsia="黑体" w:hint="default"/>
                <w:sz w:val="18"/>
                <w:szCs w:val="18"/>
              </w:rPr>
              <w:t>中科方德软件有限公司</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9"/>
              <w:jc w:val="right"/>
              <w:rPr>
                <w:rFonts w:ascii="Arial" w:hAnsi="Arial" w:cs="Arial" w:eastAsia="Arial" w:hint="default"/>
                <w:sz w:val="18"/>
                <w:szCs w:val="18"/>
              </w:rPr>
            </w:pPr>
            <w:r>
              <w:rPr>
                <w:rFonts w:ascii="Arial"/>
                <w:spacing w:val="-1"/>
                <w:sz w:val="18"/>
              </w:rPr>
              <w:t>11,500,000</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1"/>
              <w:jc w:val="right"/>
              <w:rPr>
                <w:rFonts w:ascii="Arial" w:hAnsi="Arial" w:cs="Arial" w:eastAsia="Arial" w:hint="default"/>
                <w:sz w:val="18"/>
                <w:szCs w:val="18"/>
              </w:rPr>
            </w:pPr>
            <w:r>
              <w:rPr>
                <w:rFonts w:ascii="Arial"/>
                <w:spacing w:val="-1"/>
                <w:sz w:val="18"/>
              </w:rPr>
              <w:t>11,500,000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
              <w:jc w:val="right"/>
              <w:rPr>
                <w:rFonts w:ascii="Arial" w:hAnsi="Arial" w:cs="Arial" w:eastAsia="Arial" w:hint="default"/>
                <w:sz w:val="18"/>
                <w:szCs w:val="18"/>
              </w:rPr>
            </w:pPr>
            <w:r>
              <w:rPr>
                <w:rFonts w:ascii="Arial"/>
                <w:w w:val="99"/>
                <w:sz w:val="18"/>
              </w:rPr>
              <w:t>-</w:t>
            </w:r>
            <w:r>
              <w:rPr>
                <w:rFonts w:ascii="Arial"/>
                <w:sz w:val="18"/>
              </w:rPr>
            </w:r>
          </w:p>
        </w:tc>
        <w:tc>
          <w:tcPr>
            <w:tcW w:w="284" w:type="dxa"/>
            <w:tcBorders>
              <w:top w:val="nil" w:sz="6" w:space="0" w:color="auto"/>
              <w:left w:val="nil" w:sz="6" w:space="0" w:color="auto"/>
              <w:bottom w:val="nil" w:sz="6" w:space="0" w:color="auto"/>
              <w:right w:val="nil" w:sz="6" w:space="0" w:color="auto"/>
            </w:tcBorders>
          </w:tcPr>
          <w:p>
            <w:pP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2"/>
              <w:jc w:val="right"/>
              <w:rPr>
                <w:rFonts w:ascii="Arial" w:hAnsi="Arial" w:cs="Arial" w:eastAsia="Arial" w:hint="default"/>
                <w:sz w:val="18"/>
                <w:szCs w:val="18"/>
              </w:rPr>
            </w:pPr>
            <w:r>
              <w:rPr>
                <w:rFonts w:ascii="Arial"/>
                <w:spacing w:val="-1"/>
                <w:sz w:val="18"/>
              </w:rPr>
              <w:t>11,500,000</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3"/>
              <w:jc w:val="right"/>
              <w:rPr>
                <w:rFonts w:ascii="Arial" w:hAnsi="Arial" w:cs="Arial" w:eastAsia="Arial" w:hint="default"/>
                <w:sz w:val="18"/>
                <w:szCs w:val="18"/>
              </w:rPr>
            </w:pPr>
            <w:r>
              <w:rPr>
                <w:rFonts w:ascii="Arial"/>
                <w:w w:val="95"/>
                <w:sz w:val="18"/>
              </w:rPr>
              <w:t>11.25</w:t>
            </w:r>
            <w:r>
              <w:rPr>
                <w:rFonts w:ascii="Arial"/>
                <w:sz w:val="18"/>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45"/>
              <w:jc w:val="right"/>
              <w:rPr>
                <w:rFonts w:ascii="Arial" w:hAnsi="Arial" w:cs="Arial" w:eastAsia="Arial" w:hint="default"/>
                <w:sz w:val="18"/>
                <w:szCs w:val="18"/>
              </w:rPr>
            </w:pPr>
            <w:r>
              <w:rPr>
                <w:rFonts w:ascii="Arial"/>
                <w:w w:val="95"/>
                <w:sz w:val="18"/>
              </w:rPr>
              <w:t>11.25</w:t>
            </w:r>
            <w:r>
              <w:rPr>
                <w:rFonts w:ascii="Arial"/>
                <w:sz w:val="18"/>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68"/>
              <w:jc w:val="right"/>
              <w:rPr>
                <w:rFonts w:ascii="Arial" w:hAnsi="Arial" w:cs="Arial" w:eastAsia="Arial" w:hint="default"/>
                <w:sz w:val="18"/>
                <w:szCs w:val="18"/>
              </w:rPr>
            </w:pPr>
            <w:r>
              <w:rPr>
                <w:rFonts w:ascii="Arial"/>
                <w:w w:val="99"/>
                <w:sz w:val="18"/>
              </w:rPr>
              <w:t>-</w:t>
            </w:r>
            <w:r>
              <w:rPr>
                <w:rFonts w:ascii="Arial"/>
                <w:sz w:val="18"/>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5"/>
              <w:jc w:val="right"/>
              <w:rPr>
                <w:rFonts w:ascii="Arial" w:hAnsi="Arial" w:cs="Arial" w:eastAsia="Arial" w:hint="default"/>
                <w:sz w:val="18"/>
                <w:szCs w:val="18"/>
              </w:rPr>
            </w:pPr>
            <w:r>
              <w:rPr>
                <w:rFonts w:ascii="Arial"/>
                <w:w w:val="99"/>
                <w:sz w:val="18"/>
              </w:rPr>
              <w:t>-</w:t>
            </w:r>
            <w:r>
              <w:rPr>
                <w:rFonts w:ascii="Arial"/>
                <w:sz w:val="18"/>
              </w:rPr>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98"/>
              <w:jc w:val="right"/>
              <w:rPr>
                <w:rFonts w:ascii="Arial" w:hAnsi="Arial" w:cs="Arial" w:eastAsia="Arial" w:hint="default"/>
                <w:sz w:val="18"/>
                <w:szCs w:val="18"/>
              </w:rPr>
            </w:pPr>
            <w:r>
              <w:rPr>
                <w:rFonts w:ascii="Arial"/>
                <w:spacing w:val="-1"/>
                <w:sz w:val="18"/>
              </w:rPr>
              <w:t>959,167</w:t>
            </w:r>
          </w:p>
        </w:tc>
      </w:tr>
      <w:tr>
        <w:trPr>
          <w:trHeight w:val="256"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202" w:lineRule="exact"/>
              <w:ind w:right="408"/>
              <w:jc w:val="right"/>
              <w:rPr>
                <w:rFonts w:ascii="黑体" w:hAnsi="黑体" w:cs="黑体" w:eastAsia="黑体" w:hint="default"/>
                <w:sz w:val="18"/>
                <w:szCs w:val="18"/>
              </w:rPr>
            </w:pPr>
            <w:r>
              <w:rPr>
                <w:rFonts w:ascii="黑体" w:hAnsi="黑体" w:cs="黑体" w:eastAsia="黑体" w:hint="default"/>
                <w:sz w:val="18"/>
                <w:szCs w:val="18"/>
              </w:rPr>
              <w:t>深圳市新希元软件技术有限公司</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9"/>
              <w:jc w:val="right"/>
              <w:rPr>
                <w:rFonts w:ascii="Arial" w:hAnsi="Arial" w:cs="Arial" w:eastAsia="Arial" w:hint="default"/>
                <w:sz w:val="18"/>
                <w:szCs w:val="18"/>
              </w:rPr>
            </w:pPr>
            <w:r>
              <w:rPr>
                <w:rFonts w:ascii="Arial"/>
                <w:spacing w:val="-1"/>
                <w:sz w:val="18"/>
              </w:rPr>
              <w:t>5,000,000</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0"/>
              <w:jc w:val="right"/>
              <w:rPr>
                <w:rFonts w:ascii="Arial" w:hAnsi="Arial" w:cs="Arial" w:eastAsia="Arial" w:hint="default"/>
                <w:sz w:val="18"/>
                <w:szCs w:val="18"/>
              </w:rPr>
            </w:pPr>
            <w:r>
              <w:rPr>
                <w:rFonts w:ascii="Arial"/>
                <w:spacing w:val="-1"/>
                <w:sz w:val="18"/>
              </w:rPr>
              <w:t>5,000,000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
              <w:jc w:val="right"/>
              <w:rPr>
                <w:rFonts w:ascii="Arial" w:hAnsi="Arial" w:cs="Arial" w:eastAsia="Arial" w:hint="default"/>
                <w:sz w:val="18"/>
                <w:szCs w:val="18"/>
              </w:rPr>
            </w:pPr>
            <w:r>
              <w:rPr>
                <w:rFonts w:ascii="Arial"/>
                <w:w w:val="99"/>
                <w:sz w:val="18"/>
              </w:rPr>
              <w:t>-</w:t>
            </w:r>
            <w:r>
              <w:rPr>
                <w:rFonts w:ascii="Arial"/>
                <w:sz w:val="18"/>
              </w:rPr>
            </w:r>
          </w:p>
        </w:tc>
        <w:tc>
          <w:tcPr>
            <w:tcW w:w="284" w:type="dxa"/>
            <w:tcBorders>
              <w:top w:val="nil" w:sz="6" w:space="0" w:color="auto"/>
              <w:left w:val="nil" w:sz="6" w:space="0" w:color="auto"/>
              <w:bottom w:val="nil" w:sz="6" w:space="0" w:color="auto"/>
              <w:right w:val="nil" w:sz="6" w:space="0" w:color="auto"/>
            </w:tcBorders>
          </w:tcPr>
          <w:p>
            <w:pP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1"/>
              <w:jc w:val="right"/>
              <w:rPr>
                <w:rFonts w:ascii="Arial" w:hAnsi="Arial" w:cs="Arial" w:eastAsia="Arial" w:hint="default"/>
                <w:sz w:val="18"/>
                <w:szCs w:val="18"/>
              </w:rPr>
            </w:pPr>
            <w:r>
              <w:rPr>
                <w:rFonts w:ascii="Arial"/>
                <w:spacing w:val="-1"/>
                <w:sz w:val="18"/>
              </w:rPr>
              <w:t>5,000,000</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3"/>
              <w:jc w:val="right"/>
              <w:rPr>
                <w:rFonts w:ascii="Arial" w:hAnsi="Arial" w:cs="Arial" w:eastAsia="Arial" w:hint="default"/>
                <w:sz w:val="18"/>
                <w:szCs w:val="18"/>
              </w:rPr>
            </w:pPr>
            <w:r>
              <w:rPr>
                <w:rFonts w:ascii="Arial"/>
                <w:w w:val="95"/>
                <w:sz w:val="18"/>
              </w:rPr>
              <w:t>19.80</w:t>
            </w:r>
            <w:r>
              <w:rPr>
                <w:rFonts w:ascii="Arial"/>
                <w:sz w:val="18"/>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45"/>
              <w:jc w:val="right"/>
              <w:rPr>
                <w:rFonts w:ascii="Arial" w:hAnsi="Arial" w:cs="Arial" w:eastAsia="Arial" w:hint="default"/>
                <w:sz w:val="18"/>
                <w:szCs w:val="18"/>
              </w:rPr>
            </w:pPr>
            <w:r>
              <w:rPr>
                <w:rFonts w:ascii="Arial"/>
                <w:w w:val="95"/>
                <w:sz w:val="18"/>
              </w:rPr>
              <w:t>19.80</w:t>
            </w:r>
            <w:r>
              <w:rPr>
                <w:rFonts w:ascii="Arial"/>
                <w:sz w:val="18"/>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68"/>
              <w:jc w:val="right"/>
              <w:rPr>
                <w:rFonts w:ascii="Arial" w:hAnsi="Arial" w:cs="Arial" w:eastAsia="Arial" w:hint="default"/>
                <w:sz w:val="18"/>
                <w:szCs w:val="18"/>
              </w:rPr>
            </w:pPr>
            <w:r>
              <w:rPr>
                <w:rFonts w:ascii="Arial"/>
                <w:w w:val="99"/>
                <w:sz w:val="18"/>
              </w:rPr>
              <w:t>-</w:t>
            </w:r>
            <w:r>
              <w:rPr>
                <w:rFonts w:ascii="Arial"/>
                <w:sz w:val="18"/>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5"/>
              <w:jc w:val="right"/>
              <w:rPr>
                <w:rFonts w:ascii="Arial" w:hAnsi="Arial" w:cs="Arial" w:eastAsia="Arial" w:hint="default"/>
                <w:sz w:val="18"/>
                <w:szCs w:val="18"/>
              </w:rPr>
            </w:pPr>
            <w:r>
              <w:rPr>
                <w:rFonts w:ascii="Arial"/>
                <w:w w:val="99"/>
                <w:sz w:val="18"/>
              </w:rPr>
              <w:t>-</w:t>
            </w:r>
            <w:r>
              <w:rPr>
                <w:rFonts w:ascii="Arial"/>
                <w:sz w:val="18"/>
              </w:rPr>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00"/>
              <w:jc w:val="right"/>
              <w:rPr>
                <w:rFonts w:ascii="Arial" w:hAnsi="Arial" w:cs="Arial" w:eastAsia="Arial" w:hint="default"/>
                <w:sz w:val="18"/>
                <w:szCs w:val="18"/>
              </w:rPr>
            </w:pPr>
            <w:r>
              <w:rPr>
                <w:rFonts w:ascii="Arial"/>
                <w:w w:val="99"/>
                <w:sz w:val="18"/>
              </w:rPr>
              <w:t>-</w:t>
            </w:r>
            <w:r>
              <w:rPr>
                <w:rFonts w:ascii="Arial"/>
                <w:sz w:val="18"/>
              </w:rPr>
            </w:r>
          </w:p>
        </w:tc>
      </w:tr>
      <w:tr>
        <w:trPr>
          <w:trHeight w:val="256"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203" w:lineRule="exact"/>
              <w:ind w:right="408"/>
              <w:jc w:val="right"/>
              <w:rPr>
                <w:rFonts w:ascii="黑体" w:hAnsi="黑体" w:cs="黑体" w:eastAsia="黑体" w:hint="default"/>
                <w:sz w:val="18"/>
                <w:szCs w:val="18"/>
              </w:rPr>
            </w:pPr>
            <w:r>
              <w:rPr>
                <w:rFonts w:ascii="黑体" w:hAnsi="黑体" w:cs="黑体" w:eastAsia="黑体" w:hint="default"/>
                <w:sz w:val="18"/>
                <w:szCs w:val="18"/>
              </w:rPr>
              <w:t>通联支付网络服务股份有限公司</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49"/>
              <w:jc w:val="right"/>
              <w:rPr>
                <w:rFonts w:ascii="Arial" w:hAnsi="Arial" w:cs="Arial" w:eastAsia="Arial" w:hint="default"/>
                <w:sz w:val="18"/>
                <w:szCs w:val="18"/>
              </w:rPr>
            </w:pPr>
            <w:r>
              <w:rPr>
                <w:rFonts w:ascii="Arial"/>
                <w:spacing w:val="-1"/>
                <w:sz w:val="18"/>
              </w:rPr>
              <w:t>45,000,000</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91"/>
              <w:jc w:val="right"/>
              <w:rPr>
                <w:rFonts w:ascii="Arial" w:hAnsi="Arial" w:cs="Arial" w:eastAsia="Arial" w:hint="default"/>
                <w:sz w:val="18"/>
                <w:szCs w:val="18"/>
              </w:rPr>
            </w:pPr>
            <w:r>
              <w:rPr>
                <w:rFonts w:ascii="Arial"/>
                <w:spacing w:val="-1"/>
                <w:sz w:val="18"/>
              </w:rPr>
              <w:t>45,000,000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5"/>
              <w:jc w:val="right"/>
              <w:rPr>
                <w:rFonts w:ascii="Arial" w:hAnsi="Arial" w:cs="Arial" w:eastAsia="Arial" w:hint="default"/>
                <w:sz w:val="18"/>
                <w:szCs w:val="18"/>
              </w:rPr>
            </w:pPr>
            <w:r>
              <w:rPr>
                <w:rFonts w:ascii="Arial"/>
                <w:w w:val="99"/>
                <w:sz w:val="18"/>
              </w:rPr>
              <w:t>-</w:t>
            </w:r>
            <w:r>
              <w:rPr>
                <w:rFonts w:ascii="Arial"/>
                <w:sz w:val="18"/>
              </w:rPr>
            </w:r>
          </w:p>
        </w:tc>
        <w:tc>
          <w:tcPr>
            <w:tcW w:w="284" w:type="dxa"/>
            <w:tcBorders>
              <w:top w:val="nil" w:sz="6" w:space="0" w:color="auto"/>
              <w:left w:val="nil" w:sz="6" w:space="0" w:color="auto"/>
              <w:bottom w:val="nil" w:sz="6" w:space="0" w:color="auto"/>
              <w:right w:val="nil" w:sz="6" w:space="0" w:color="auto"/>
            </w:tcBorders>
          </w:tcPr>
          <w:p>
            <w:pP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52"/>
              <w:jc w:val="right"/>
              <w:rPr>
                <w:rFonts w:ascii="Arial" w:hAnsi="Arial" w:cs="Arial" w:eastAsia="Arial" w:hint="default"/>
                <w:sz w:val="18"/>
                <w:szCs w:val="18"/>
              </w:rPr>
            </w:pPr>
            <w:r>
              <w:rPr>
                <w:rFonts w:ascii="Arial"/>
                <w:spacing w:val="-1"/>
                <w:sz w:val="18"/>
              </w:rPr>
              <w:t>45,000,000</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73"/>
              <w:jc w:val="right"/>
              <w:rPr>
                <w:rFonts w:ascii="Arial" w:hAnsi="Arial" w:cs="Arial" w:eastAsia="Arial" w:hint="default"/>
                <w:sz w:val="18"/>
                <w:szCs w:val="18"/>
              </w:rPr>
            </w:pPr>
            <w:r>
              <w:rPr>
                <w:rFonts w:ascii="Arial"/>
                <w:w w:val="95"/>
                <w:sz w:val="18"/>
              </w:rPr>
              <w:t>2.05</w:t>
            </w:r>
            <w:r>
              <w:rPr>
                <w:rFonts w:ascii="Arial"/>
                <w:sz w:val="18"/>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44"/>
              <w:jc w:val="right"/>
              <w:rPr>
                <w:rFonts w:ascii="Arial" w:hAnsi="Arial" w:cs="Arial" w:eastAsia="Arial" w:hint="default"/>
                <w:sz w:val="18"/>
                <w:szCs w:val="18"/>
              </w:rPr>
            </w:pPr>
            <w:r>
              <w:rPr>
                <w:rFonts w:ascii="Arial"/>
                <w:w w:val="95"/>
                <w:sz w:val="18"/>
              </w:rPr>
              <w:t>2.05</w:t>
            </w:r>
            <w:r>
              <w:rPr>
                <w:rFonts w:ascii="Arial"/>
                <w:sz w:val="18"/>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68"/>
              <w:jc w:val="right"/>
              <w:rPr>
                <w:rFonts w:ascii="Arial" w:hAnsi="Arial" w:cs="Arial" w:eastAsia="Arial" w:hint="default"/>
                <w:sz w:val="18"/>
                <w:szCs w:val="18"/>
              </w:rPr>
            </w:pPr>
            <w:r>
              <w:rPr>
                <w:rFonts w:ascii="Arial"/>
                <w:w w:val="99"/>
                <w:sz w:val="18"/>
              </w:rPr>
              <w:t>-</w:t>
            </w:r>
            <w:r>
              <w:rPr>
                <w:rFonts w:ascii="Arial"/>
                <w:sz w:val="18"/>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15"/>
              <w:jc w:val="right"/>
              <w:rPr>
                <w:rFonts w:ascii="Arial" w:hAnsi="Arial" w:cs="Arial" w:eastAsia="Arial" w:hint="default"/>
                <w:sz w:val="18"/>
                <w:szCs w:val="18"/>
              </w:rPr>
            </w:pPr>
            <w:r>
              <w:rPr>
                <w:rFonts w:ascii="Arial"/>
                <w:w w:val="99"/>
                <w:sz w:val="18"/>
              </w:rPr>
              <w:t>-</w:t>
            </w:r>
            <w:r>
              <w:rPr>
                <w:rFonts w:ascii="Arial"/>
                <w:sz w:val="18"/>
              </w:rPr>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00"/>
              <w:jc w:val="right"/>
              <w:rPr>
                <w:rFonts w:ascii="Arial" w:hAnsi="Arial" w:cs="Arial" w:eastAsia="Arial" w:hint="default"/>
                <w:sz w:val="18"/>
                <w:szCs w:val="18"/>
              </w:rPr>
            </w:pPr>
            <w:r>
              <w:rPr>
                <w:rFonts w:ascii="Arial"/>
                <w:w w:val="99"/>
                <w:sz w:val="18"/>
              </w:rPr>
              <w:t>-</w:t>
            </w:r>
            <w:r>
              <w:rPr>
                <w:rFonts w:ascii="Arial"/>
                <w:sz w:val="18"/>
              </w:rPr>
            </w:r>
          </w:p>
        </w:tc>
      </w:tr>
      <w:tr>
        <w:trPr>
          <w:trHeight w:val="253"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202" w:lineRule="exact"/>
              <w:ind w:right="415"/>
              <w:jc w:val="right"/>
              <w:rPr>
                <w:rFonts w:ascii="黑体" w:hAnsi="黑体" w:cs="黑体" w:eastAsia="黑体" w:hint="default"/>
                <w:sz w:val="18"/>
                <w:szCs w:val="18"/>
              </w:rPr>
            </w:pPr>
            <w:r>
              <w:rPr>
                <w:rFonts w:ascii="黑体" w:hAnsi="黑体" w:cs="黑体" w:eastAsia="黑体" w:hint="default"/>
                <w:sz w:val="18"/>
                <w:szCs w:val="18"/>
              </w:rPr>
              <w:t>北京华建友联信息技术有限公司</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1"/>
              <w:jc w:val="right"/>
              <w:rPr>
                <w:rFonts w:ascii="Arial" w:hAnsi="Arial" w:cs="Arial" w:eastAsia="Arial" w:hint="default"/>
                <w:sz w:val="18"/>
                <w:szCs w:val="18"/>
              </w:rPr>
            </w:pPr>
            <w:r>
              <w:rPr>
                <w:rFonts w:ascii="Arial"/>
                <w:w w:val="99"/>
                <w:sz w:val="18"/>
              </w:rPr>
              <w:t>-</w:t>
            </w:r>
            <w:r>
              <w:rPr>
                <w:rFonts w:ascii="Arial"/>
                <w:sz w:val="18"/>
              </w:rPr>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0"/>
              <w:jc w:val="right"/>
              <w:rPr>
                <w:rFonts w:ascii="Arial" w:hAnsi="Arial" w:cs="Arial" w:eastAsia="Arial" w:hint="default"/>
                <w:sz w:val="18"/>
                <w:szCs w:val="18"/>
              </w:rPr>
            </w:pPr>
            <w:r>
              <w:rPr>
                <w:rFonts w:ascii="Arial"/>
                <w:spacing w:val="-1"/>
                <w:sz w:val="18"/>
              </w:rPr>
              <w:t>2,000,000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
              <w:jc w:val="right"/>
              <w:rPr>
                <w:rFonts w:ascii="Arial" w:hAnsi="Arial" w:cs="Arial" w:eastAsia="Arial" w:hint="default"/>
                <w:sz w:val="18"/>
                <w:szCs w:val="18"/>
              </w:rPr>
            </w:pPr>
            <w:r>
              <w:rPr>
                <w:rFonts w:ascii="Arial"/>
                <w:spacing w:val="-1"/>
                <w:sz w:val="18"/>
              </w:rPr>
              <w:t>(2,000,000</w:t>
            </w:r>
          </w:p>
        </w:tc>
        <w:tc>
          <w:tcPr>
            <w:tcW w:w="28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 w:right="0"/>
              <w:jc w:val="left"/>
              <w:rPr>
                <w:rFonts w:ascii="Arial" w:hAnsi="Arial" w:cs="Arial" w:eastAsia="Arial" w:hint="default"/>
                <w:sz w:val="18"/>
                <w:szCs w:val="18"/>
              </w:rPr>
            </w:pPr>
            <w:r>
              <w:rPr>
                <w:rFonts w:ascii="Arial"/>
                <w:w w:val="99"/>
                <w:sz w:val="18"/>
              </w:rPr>
              <w:t>)</w:t>
            </w:r>
            <w:r>
              <w:rPr>
                <w:rFonts w:ascii="Arial"/>
                <w:sz w:val="18"/>
              </w:rPr>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4"/>
              <w:jc w:val="right"/>
              <w:rPr>
                <w:rFonts w:ascii="Arial" w:hAnsi="Arial" w:cs="Arial" w:eastAsia="Arial" w:hint="default"/>
                <w:sz w:val="18"/>
                <w:szCs w:val="18"/>
              </w:rPr>
            </w:pPr>
            <w:r>
              <w:rPr>
                <w:rFonts w:ascii="Arial"/>
                <w:w w:val="99"/>
                <w:sz w:val="18"/>
              </w:rPr>
              <w:t>-</w:t>
            </w:r>
            <w:r>
              <w:rPr>
                <w:rFonts w:ascii="Arial"/>
                <w:sz w:val="18"/>
              </w:rPr>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5"/>
              <w:jc w:val="right"/>
              <w:rPr>
                <w:rFonts w:ascii="Arial" w:hAnsi="Arial" w:cs="Arial" w:eastAsia="Arial" w:hint="default"/>
                <w:sz w:val="18"/>
                <w:szCs w:val="18"/>
              </w:rPr>
            </w:pPr>
            <w:r>
              <w:rPr>
                <w:rFonts w:ascii="Arial"/>
                <w:w w:val="99"/>
                <w:sz w:val="18"/>
              </w:rPr>
              <w:t>-</w:t>
            </w:r>
            <w:r>
              <w:rPr>
                <w:rFonts w:ascii="Arial"/>
                <w:sz w:val="18"/>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46"/>
              <w:jc w:val="right"/>
              <w:rPr>
                <w:rFonts w:ascii="Arial" w:hAnsi="Arial" w:cs="Arial" w:eastAsia="Arial" w:hint="default"/>
                <w:sz w:val="18"/>
                <w:szCs w:val="18"/>
              </w:rPr>
            </w:pPr>
            <w:r>
              <w:rPr>
                <w:rFonts w:ascii="Arial"/>
                <w:w w:val="99"/>
                <w:sz w:val="18"/>
              </w:rPr>
              <w:t>-</w:t>
            </w:r>
            <w:r>
              <w:rPr>
                <w:rFonts w:ascii="Arial"/>
                <w:sz w:val="18"/>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68"/>
              <w:jc w:val="right"/>
              <w:rPr>
                <w:rFonts w:ascii="Arial" w:hAnsi="Arial" w:cs="Arial" w:eastAsia="Arial" w:hint="default"/>
                <w:sz w:val="18"/>
                <w:szCs w:val="18"/>
              </w:rPr>
            </w:pPr>
            <w:r>
              <w:rPr>
                <w:rFonts w:ascii="Arial"/>
                <w:w w:val="99"/>
                <w:sz w:val="18"/>
              </w:rPr>
              <w:t>-</w:t>
            </w:r>
            <w:r>
              <w:rPr>
                <w:rFonts w:ascii="Arial"/>
                <w:sz w:val="18"/>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15"/>
              <w:jc w:val="right"/>
              <w:rPr>
                <w:rFonts w:ascii="Arial" w:hAnsi="Arial" w:cs="Arial" w:eastAsia="Arial" w:hint="default"/>
                <w:sz w:val="18"/>
                <w:szCs w:val="18"/>
              </w:rPr>
            </w:pPr>
            <w:r>
              <w:rPr>
                <w:rFonts w:ascii="Arial"/>
                <w:w w:val="99"/>
                <w:sz w:val="18"/>
              </w:rPr>
              <w:t>-</w:t>
            </w:r>
            <w:r>
              <w:rPr>
                <w:rFonts w:ascii="Arial"/>
                <w:sz w:val="18"/>
              </w:rPr>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00"/>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201" w:lineRule="exact"/>
              <w:ind w:left="382" w:right="0"/>
              <w:jc w:val="left"/>
              <w:rPr>
                <w:rFonts w:ascii="黑体" w:hAnsi="黑体" w:cs="黑体" w:eastAsia="黑体" w:hint="default"/>
                <w:sz w:val="18"/>
                <w:szCs w:val="18"/>
              </w:rPr>
            </w:pPr>
            <w:r>
              <w:rPr>
                <w:rFonts w:ascii="黑体" w:hAnsi="黑体" w:cs="黑体" w:eastAsia="黑体" w:hint="default"/>
                <w:sz w:val="18"/>
                <w:szCs w:val="18"/>
              </w:rPr>
              <w:t>青岛用友政务软件有限公司</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49"/>
              <w:jc w:val="right"/>
              <w:rPr>
                <w:rFonts w:ascii="Arial" w:hAnsi="Arial" w:cs="Arial" w:eastAsia="Arial" w:hint="default"/>
                <w:sz w:val="18"/>
                <w:szCs w:val="18"/>
              </w:rPr>
            </w:pPr>
            <w:r>
              <w:rPr>
                <w:rFonts w:ascii="Arial"/>
                <w:spacing w:val="-1"/>
                <w:sz w:val="18"/>
              </w:rPr>
              <w:t>1,000,000</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90"/>
              <w:jc w:val="right"/>
              <w:rPr>
                <w:rFonts w:ascii="Arial" w:hAnsi="Arial" w:cs="Arial" w:eastAsia="Arial" w:hint="default"/>
                <w:sz w:val="18"/>
                <w:szCs w:val="18"/>
              </w:rPr>
            </w:pPr>
            <w:r>
              <w:rPr>
                <w:rFonts w:ascii="Arial"/>
                <w:spacing w:val="-1"/>
                <w:sz w:val="18"/>
              </w:rPr>
              <w:t>1,000,000</w:t>
            </w:r>
          </w:p>
        </w:tc>
        <w:tc>
          <w:tcPr>
            <w:tcW w:w="99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5"/>
              <w:jc w:val="right"/>
              <w:rPr>
                <w:rFonts w:ascii="Arial" w:hAnsi="Arial" w:cs="Arial" w:eastAsia="Arial" w:hint="default"/>
                <w:sz w:val="18"/>
                <w:szCs w:val="18"/>
              </w:rPr>
            </w:pPr>
            <w:r>
              <w:rPr>
                <w:rFonts w:ascii="Arial"/>
                <w:w w:val="99"/>
                <w:sz w:val="18"/>
              </w:rPr>
              <w:t>-</w:t>
            </w:r>
            <w:r>
              <w:rPr>
                <w:rFonts w:ascii="Arial"/>
                <w:sz w:val="18"/>
              </w:rPr>
            </w:r>
          </w:p>
        </w:tc>
        <w:tc>
          <w:tcPr>
            <w:tcW w:w="284" w:type="dxa"/>
            <w:tcBorders>
              <w:top w:val="nil" w:sz="6" w:space="0" w:color="auto"/>
              <w:left w:val="nil" w:sz="6" w:space="0" w:color="auto"/>
              <w:bottom w:val="nil" w:sz="6" w:space="0" w:color="auto"/>
              <w:right w:val="nil" w:sz="6" w:space="0" w:color="auto"/>
            </w:tcBorders>
          </w:tcPr>
          <w:p>
            <w:pP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51"/>
              <w:jc w:val="right"/>
              <w:rPr>
                <w:rFonts w:ascii="Arial" w:hAnsi="Arial" w:cs="Arial" w:eastAsia="Arial" w:hint="default"/>
                <w:sz w:val="18"/>
                <w:szCs w:val="18"/>
              </w:rPr>
            </w:pPr>
            <w:r>
              <w:rPr>
                <w:rFonts w:ascii="Arial"/>
                <w:spacing w:val="-1"/>
                <w:sz w:val="18"/>
              </w:rPr>
              <w:t>1,000,000</w:t>
            </w:r>
          </w:p>
        </w:tc>
        <w:tc>
          <w:tcPr>
            <w:tcW w:w="104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73"/>
              <w:jc w:val="right"/>
              <w:rPr>
                <w:rFonts w:ascii="Arial" w:hAnsi="Arial" w:cs="Arial" w:eastAsia="Arial" w:hint="default"/>
                <w:sz w:val="18"/>
                <w:szCs w:val="18"/>
              </w:rPr>
            </w:pPr>
            <w:r>
              <w:rPr>
                <w:rFonts w:ascii="Arial"/>
                <w:w w:val="95"/>
                <w:sz w:val="18"/>
              </w:rPr>
              <w:t>20.00</w:t>
            </w:r>
            <w:r>
              <w:rPr>
                <w:rFonts w:ascii="Arial"/>
                <w:sz w:val="18"/>
              </w:rPr>
            </w: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45"/>
              <w:jc w:val="right"/>
              <w:rPr>
                <w:rFonts w:ascii="Arial" w:hAnsi="Arial" w:cs="Arial" w:eastAsia="Arial" w:hint="default"/>
                <w:sz w:val="18"/>
                <w:szCs w:val="18"/>
              </w:rPr>
            </w:pPr>
            <w:r>
              <w:rPr>
                <w:rFonts w:ascii="Arial"/>
                <w:w w:val="95"/>
                <w:sz w:val="18"/>
              </w:rPr>
              <w:t>20.00</w:t>
            </w:r>
            <w:r>
              <w:rPr>
                <w:rFonts w:ascii="Arial"/>
                <w:sz w:val="18"/>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68"/>
              <w:jc w:val="right"/>
              <w:rPr>
                <w:rFonts w:ascii="Arial" w:hAnsi="Arial" w:cs="Arial" w:eastAsia="Arial" w:hint="default"/>
                <w:sz w:val="18"/>
                <w:szCs w:val="18"/>
              </w:rPr>
            </w:pPr>
            <w:r>
              <w:rPr>
                <w:rFonts w:ascii="Arial"/>
                <w:w w:val="99"/>
                <w:sz w:val="18"/>
              </w:rPr>
              <w:t>-</w:t>
            </w:r>
            <w:r>
              <w:rPr>
                <w:rFonts w:ascii="Arial"/>
                <w:sz w:val="18"/>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15"/>
              <w:jc w:val="right"/>
              <w:rPr>
                <w:rFonts w:ascii="Arial" w:hAnsi="Arial" w:cs="Arial" w:eastAsia="Arial" w:hint="default"/>
                <w:sz w:val="18"/>
                <w:szCs w:val="18"/>
              </w:rPr>
            </w:pPr>
            <w:r>
              <w:rPr>
                <w:rFonts w:ascii="Arial"/>
                <w:w w:val="99"/>
                <w:sz w:val="18"/>
              </w:rPr>
              <w:t>-</w:t>
            </w:r>
            <w:r>
              <w:rPr>
                <w:rFonts w:ascii="Arial"/>
                <w:sz w:val="18"/>
              </w:rPr>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00"/>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pgSz w:w="16850" w:h="11910" w:orient="landscape"/>
          <w:pgMar w:header="957" w:footer="785" w:top="2640" w:bottom="980" w:left="1020" w:right="800"/>
        </w:sectPr>
      </w:pPr>
    </w:p>
    <w:p>
      <w:pPr>
        <w:spacing w:line="240" w:lineRule="auto" w:before="13"/>
        <w:rPr>
          <w:rFonts w:ascii="黑体" w:hAnsi="黑体" w:cs="黑体" w:eastAsia="黑体" w:hint="default"/>
          <w:sz w:val="11"/>
          <w:szCs w:val="11"/>
        </w:rPr>
      </w:pPr>
    </w:p>
    <w:p>
      <w:pPr>
        <w:pStyle w:val="Heading6"/>
        <w:tabs>
          <w:tab w:pos="717" w:val="left" w:leader="none"/>
        </w:tabs>
        <w:spacing w:line="240" w:lineRule="auto"/>
        <w:ind w:left="112" w:right="296"/>
        <w:jc w:val="left"/>
        <w:rPr>
          <w:b w:val="0"/>
          <w:bCs w:val="0"/>
        </w:rPr>
      </w:pPr>
      <w:r>
        <w:rPr>
          <w:w w:val="95"/>
        </w:rPr>
        <w:t>五、</w:t>
        <w:tab/>
      </w:r>
      <w:r>
        <w:rPr/>
        <w:t>合并财务</w:t>
      </w:r>
      <w:bookmarkStart w:name="五、  合并财务报表主要项目注释（续）" w:id="86"/>
      <w:bookmarkEnd w:id="86"/>
      <w:r>
        <w:rPr/>
        <w:t>报表</w:t>
      </w:r>
      <w:r>
        <w:rPr/>
        <w:t>主要项目注释（续）</w:t>
      </w:r>
      <w:r>
        <w:rPr>
          <w:b w:val="0"/>
          <w:bCs w:val="0"/>
        </w:rPr>
      </w:r>
    </w:p>
    <w:p>
      <w:pPr>
        <w:pStyle w:val="Heading6"/>
        <w:tabs>
          <w:tab w:pos="693" w:val="left" w:leader="none"/>
        </w:tabs>
        <w:spacing w:line="240" w:lineRule="auto" w:before="98"/>
        <w:ind w:left="112" w:right="296"/>
        <w:jc w:val="left"/>
        <w:rPr>
          <w:b w:val="0"/>
          <w:bCs w:val="0"/>
        </w:rPr>
      </w:pPr>
      <w:r>
        <w:rPr>
          <w:rFonts w:ascii="Arial" w:hAnsi="Arial" w:cs="Arial" w:eastAsia="Arial" w:hint="default"/>
          <w:spacing w:val="-1"/>
        </w:rPr>
        <w:t>9.</w:t>
        <w:tab/>
      </w:r>
      <w:r>
        <w:rPr>
          <w:spacing w:val="1"/>
        </w:rPr>
        <w:t>长期股权投资（</w:t>
      </w:r>
      <w:bookmarkStart w:name="9.  长期股权投资（续）" w:id="87"/>
      <w:bookmarkEnd w:id="87"/>
      <w:r>
        <w:rPr>
          <w:spacing w:val="1"/>
        </w:rPr>
        <w:t>续）</w:t>
      </w:r>
      <w:r>
        <w:rPr>
          <w:b w:val="0"/>
          <w:bCs w:val="0"/>
        </w:rPr>
      </w:r>
    </w:p>
    <w:p>
      <w:pPr>
        <w:pStyle w:val="BodyText"/>
        <w:spacing w:line="240" w:lineRule="auto" w:before="84"/>
        <w:ind w:left="659" w:right="12936"/>
        <w:jc w:val="center"/>
      </w:pPr>
      <w:r>
        <w:rPr>
          <w:rFonts w:ascii="Arial" w:hAnsi="Arial" w:cs="Arial" w:eastAsia="Arial" w:hint="default"/>
        </w:rPr>
        <w:t>2011</w:t>
      </w:r>
      <w:r>
        <w:rPr/>
        <w:t>年（续）</w:t>
      </w:r>
    </w:p>
    <w:p>
      <w:pPr>
        <w:spacing w:line="240" w:lineRule="auto" w:before="7"/>
        <w:rPr>
          <w:rFonts w:ascii="黑体" w:hAnsi="黑体" w:cs="黑体" w:eastAsia="黑体" w:hint="default"/>
          <w:sz w:val="4"/>
          <w:szCs w:val="4"/>
        </w:rPr>
      </w:pPr>
    </w:p>
    <w:tbl>
      <w:tblPr>
        <w:tblW w:w="0" w:type="auto"/>
        <w:jc w:val="left"/>
        <w:tblInd w:w="481" w:type="dxa"/>
        <w:tblLayout w:type="fixed"/>
        <w:tblCellMar>
          <w:top w:w="0" w:type="dxa"/>
          <w:left w:w="0" w:type="dxa"/>
          <w:bottom w:w="0" w:type="dxa"/>
          <w:right w:w="0" w:type="dxa"/>
        </w:tblCellMar>
        <w:tblLook w:val="01E0"/>
      </w:tblPr>
      <w:tblGrid>
        <w:gridCol w:w="3362"/>
        <w:gridCol w:w="1159"/>
        <w:gridCol w:w="1252"/>
        <w:gridCol w:w="1097"/>
        <w:gridCol w:w="708"/>
        <w:gridCol w:w="836"/>
        <w:gridCol w:w="1067"/>
        <w:gridCol w:w="1276"/>
        <w:gridCol w:w="932"/>
        <w:gridCol w:w="337"/>
        <w:gridCol w:w="1171"/>
        <w:gridCol w:w="1099"/>
      </w:tblGrid>
      <w:tr>
        <w:trPr>
          <w:trHeight w:val="218" w:hRule="exact"/>
        </w:trPr>
        <w:tc>
          <w:tcPr>
            <w:tcW w:w="3362"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Style w:val="TableParagraph"/>
              <w:spacing w:line="180" w:lineRule="exact"/>
              <w:ind w:right="66"/>
              <w:jc w:val="right"/>
              <w:rPr>
                <w:rFonts w:ascii="黑体" w:hAnsi="黑体" w:cs="黑体" w:eastAsia="黑体" w:hint="default"/>
                <w:sz w:val="18"/>
                <w:szCs w:val="18"/>
              </w:rPr>
            </w:pPr>
            <w:r>
              <w:rPr>
                <w:rFonts w:ascii="黑体" w:hAnsi="黑体" w:cs="黑体" w:eastAsia="黑体" w:hint="default"/>
                <w:sz w:val="18"/>
                <w:szCs w:val="18"/>
              </w:rPr>
              <w:t>投资成本</w:t>
            </w:r>
          </w:p>
        </w:tc>
        <w:tc>
          <w:tcPr>
            <w:tcW w:w="1252" w:type="dxa"/>
            <w:tcBorders>
              <w:top w:val="nil" w:sz="6" w:space="0" w:color="auto"/>
              <w:left w:val="nil" w:sz="6" w:space="0" w:color="auto"/>
              <w:bottom w:val="nil" w:sz="6" w:space="0" w:color="auto"/>
              <w:right w:val="nil" w:sz="6" w:space="0" w:color="auto"/>
            </w:tcBorders>
          </w:tcPr>
          <w:p>
            <w:pPr>
              <w:pStyle w:val="TableParagraph"/>
              <w:spacing w:line="180" w:lineRule="exact"/>
              <w:ind w:right="182"/>
              <w:jc w:val="right"/>
              <w:rPr>
                <w:rFonts w:ascii="黑体" w:hAnsi="黑体" w:cs="黑体" w:eastAsia="黑体" w:hint="default"/>
                <w:sz w:val="18"/>
                <w:szCs w:val="18"/>
              </w:rPr>
            </w:pPr>
            <w:r>
              <w:rPr>
                <w:rFonts w:ascii="黑体" w:hAnsi="黑体" w:cs="黑体" w:eastAsia="黑体" w:hint="default"/>
                <w:sz w:val="18"/>
                <w:szCs w:val="18"/>
              </w:rPr>
              <w:t>年初数</w:t>
            </w:r>
          </w:p>
        </w:tc>
        <w:tc>
          <w:tcPr>
            <w:tcW w:w="1097" w:type="dxa"/>
            <w:tcBorders>
              <w:top w:val="nil" w:sz="6" w:space="0" w:color="auto"/>
              <w:left w:val="nil" w:sz="6" w:space="0" w:color="auto"/>
              <w:bottom w:val="nil" w:sz="6" w:space="0" w:color="auto"/>
              <w:right w:val="nil" w:sz="6" w:space="0" w:color="auto"/>
            </w:tcBorders>
          </w:tcPr>
          <w:p>
            <w:pPr>
              <w:pStyle w:val="TableParagraph"/>
              <w:spacing w:line="182" w:lineRule="exact"/>
              <w:ind w:right="5"/>
              <w:jc w:val="right"/>
              <w:rPr>
                <w:rFonts w:ascii="黑体" w:hAnsi="黑体" w:cs="黑体" w:eastAsia="黑体" w:hint="default"/>
                <w:sz w:val="18"/>
                <w:szCs w:val="18"/>
              </w:rPr>
            </w:pPr>
            <w:r>
              <w:rPr>
                <w:rFonts w:ascii="黑体" w:hAnsi="黑体" w:cs="黑体" w:eastAsia="黑体" w:hint="default"/>
                <w:sz w:val="18"/>
                <w:szCs w:val="18"/>
              </w:rPr>
              <w:t>本年增减</w:t>
            </w:r>
          </w:p>
        </w:tc>
        <w:tc>
          <w:tcPr>
            <w:tcW w:w="708" w:type="dxa"/>
            <w:tcBorders>
              <w:top w:val="nil" w:sz="6" w:space="0" w:color="auto"/>
              <w:left w:val="nil" w:sz="6" w:space="0" w:color="auto"/>
              <w:bottom w:val="nil" w:sz="6" w:space="0" w:color="auto"/>
              <w:right w:val="nil" w:sz="6" w:space="0" w:color="auto"/>
            </w:tcBorders>
          </w:tcPr>
          <w:p>
            <w:pPr/>
          </w:p>
        </w:tc>
        <w:tc>
          <w:tcPr>
            <w:tcW w:w="836" w:type="dxa"/>
            <w:tcBorders>
              <w:top w:val="nil" w:sz="6" w:space="0" w:color="auto"/>
              <w:left w:val="nil" w:sz="6" w:space="0" w:color="auto"/>
              <w:bottom w:val="nil" w:sz="6" w:space="0" w:color="auto"/>
              <w:right w:val="nil" w:sz="6" w:space="0" w:color="auto"/>
            </w:tcBorders>
          </w:tcPr>
          <w:p>
            <w:pPr>
              <w:pStyle w:val="TableParagraph"/>
              <w:spacing w:line="180" w:lineRule="exact"/>
              <w:ind w:right="131"/>
              <w:jc w:val="right"/>
              <w:rPr>
                <w:rFonts w:ascii="黑体" w:hAnsi="黑体" w:cs="黑体" w:eastAsia="黑体" w:hint="default"/>
                <w:sz w:val="18"/>
                <w:szCs w:val="18"/>
              </w:rPr>
            </w:pPr>
            <w:r>
              <w:rPr>
                <w:rFonts w:ascii="黑体" w:hAnsi="黑体" w:cs="黑体" w:eastAsia="黑体" w:hint="default"/>
                <w:sz w:val="18"/>
                <w:szCs w:val="18"/>
              </w:rPr>
              <w:t>年末数</w:t>
            </w:r>
          </w:p>
        </w:tc>
        <w:tc>
          <w:tcPr>
            <w:tcW w:w="1067" w:type="dxa"/>
            <w:tcBorders>
              <w:top w:val="nil" w:sz="6" w:space="0" w:color="auto"/>
              <w:left w:val="nil" w:sz="6" w:space="0" w:color="auto"/>
              <w:bottom w:val="nil" w:sz="6" w:space="0" w:color="auto"/>
              <w:right w:val="nil" w:sz="6" w:space="0" w:color="auto"/>
            </w:tcBorders>
          </w:tcPr>
          <w:p>
            <w:pPr>
              <w:pStyle w:val="TableParagraph"/>
              <w:spacing w:line="180" w:lineRule="exact"/>
              <w:ind w:right="168"/>
              <w:jc w:val="right"/>
              <w:rPr>
                <w:rFonts w:ascii="黑体" w:hAnsi="黑体" w:cs="黑体" w:eastAsia="黑体" w:hint="default"/>
                <w:sz w:val="18"/>
                <w:szCs w:val="18"/>
              </w:rPr>
            </w:pPr>
            <w:r>
              <w:rPr>
                <w:rFonts w:ascii="黑体" w:hAnsi="黑体" w:cs="黑体" w:eastAsia="黑体" w:hint="default"/>
                <w:sz w:val="18"/>
                <w:szCs w:val="18"/>
              </w:rPr>
              <w:t>持股比例</w:t>
            </w:r>
          </w:p>
        </w:tc>
        <w:tc>
          <w:tcPr>
            <w:tcW w:w="1276" w:type="dxa"/>
            <w:tcBorders>
              <w:top w:val="nil" w:sz="6" w:space="0" w:color="auto"/>
              <w:left w:val="nil" w:sz="6" w:space="0" w:color="auto"/>
              <w:bottom w:val="nil" w:sz="6" w:space="0" w:color="auto"/>
              <w:right w:val="nil" w:sz="6" w:space="0" w:color="auto"/>
            </w:tcBorders>
          </w:tcPr>
          <w:p>
            <w:pPr>
              <w:pStyle w:val="TableParagraph"/>
              <w:spacing w:line="180" w:lineRule="exact"/>
              <w:ind w:right="205"/>
              <w:jc w:val="right"/>
              <w:rPr>
                <w:rFonts w:ascii="黑体" w:hAnsi="黑体" w:cs="黑体" w:eastAsia="黑体" w:hint="default"/>
                <w:sz w:val="18"/>
                <w:szCs w:val="18"/>
              </w:rPr>
            </w:pPr>
            <w:r>
              <w:rPr>
                <w:rFonts w:ascii="黑体" w:hAnsi="黑体" w:cs="黑体" w:eastAsia="黑体" w:hint="default"/>
                <w:sz w:val="18"/>
                <w:szCs w:val="18"/>
              </w:rPr>
              <w:t>表决权比例</w:t>
            </w:r>
          </w:p>
        </w:tc>
        <w:tc>
          <w:tcPr>
            <w:tcW w:w="932" w:type="dxa"/>
            <w:tcBorders>
              <w:top w:val="nil" w:sz="6" w:space="0" w:color="auto"/>
              <w:left w:val="nil" w:sz="6" w:space="0" w:color="auto"/>
              <w:bottom w:val="nil" w:sz="6" w:space="0" w:color="auto"/>
              <w:right w:val="nil" w:sz="6" w:space="0" w:color="auto"/>
            </w:tcBorders>
          </w:tcPr>
          <w:p>
            <w:pPr>
              <w:pStyle w:val="TableParagraph"/>
              <w:spacing w:line="182" w:lineRule="exact"/>
              <w:ind w:right="5"/>
              <w:jc w:val="right"/>
              <w:rPr>
                <w:rFonts w:ascii="黑体" w:hAnsi="黑体" w:cs="黑体" w:eastAsia="黑体" w:hint="default"/>
                <w:sz w:val="18"/>
                <w:szCs w:val="18"/>
              </w:rPr>
            </w:pPr>
            <w:r>
              <w:rPr>
                <w:rFonts w:ascii="黑体" w:hAnsi="黑体" w:cs="黑体" w:eastAsia="黑体" w:hint="default"/>
                <w:sz w:val="18"/>
                <w:szCs w:val="18"/>
              </w:rPr>
              <w:t>减值准备</w:t>
            </w:r>
          </w:p>
        </w:tc>
        <w:tc>
          <w:tcPr>
            <w:tcW w:w="337"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182" w:lineRule="exact"/>
              <w:ind w:right="95"/>
              <w:jc w:val="right"/>
              <w:rPr>
                <w:rFonts w:ascii="黑体" w:hAnsi="黑体" w:cs="黑体" w:eastAsia="黑体" w:hint="default"/>
                <w:sz w:val="18"/>
                <w:szCs w:val="18"/>
              </w:rPr>
            </w:pPr>
            <w:r>
              <w:rPr>
                <w:rFonts w:ascii="黑体" w:hAnsi="黑体" w:cs="黑体" w:eastAsia="黑体" w:hint="default"/>
                <w:sz w:val="18"/>
                <w:szCs w:val="18"/>
              </w:rPr>
              <w:t>本年转销</w:t>
            </w:r>
          </w:p>
        </w:tc>
        <w:tc>
          <w:tcPr>
            <w:tcW w:w="1099" w:type="dxa"/>
            <w:tcBorders>
              <w:top w:val="nil" w:sz="6" w:space="0" w:color="auto"/>
              <w:left w:val="nil" w:sz="6" w:space="0" w:color="auto"/>
              <w:bottom w:val="nil" w:sz="6" w:space="0" w:color="auto"/>
              <w:right w:val="nil" w:sz="6" w:space="0" w:color="auto"/>
            </w:tcBorders>
          </w:tcPr>
          <w:p>
            <w:pPr>
              <w:pStyle w:val="TableParagraph"/>
              <w:spacing w:line="180" w:lineRule="exact"/>
              <w:ind w:right="200"/>
              <w:jc w:val="right"/>
              <w:rPr>
                <w:rFonts w:ascii="黑体" w:hAnsi="黑体" w:cs="黑体" w:eastAsia="黑体" w:hint="default"/>
                <w:sz w:val="18"/>
                <w:szCs w:val="18"/>
              </w:rPr>
            </w:pPr>
            <w:r>
              <w:rPr>
                <w:rFonts w:ascii="黑体" w:hAnsi="黑体" w:cs="黑体" w:eastAsia="黑体" w:hint="default"/>
                <w:sz w:val="18"/>
                <w:szCs w:val="18"/>
              </w:rPr>
              <w:t>本年</w:t>
            </w:r>
          </w:p>
        </w:tc>
      </w:tr>
      <w:tr>
        <w:trPr>
          <w:trHeight w:val="267" w:hRule="exact"/>
        </w:trPr>
        <w:tc>
          <w:tcPr>
            <w:tcW w:w="3362"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836" w:type="dxa"/>
            <w:tcBorders>
              <w:top w:val="nil" w:sz="6" w:space="0" w:color="auto"/>
              <w:left w:val="nil" w:sz="6" w:space="0" w:color="auto"/>
              <w:bottom w:val="nil" w:sz="6" w:space="0" w:color="auto"/>
              <w:right w:val="nil" w:sz="6" w:space="0" w:color="auto"/>
            </w:tcBorders>
          </w:tcPr>
          <w:p>
            <w:pP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68"/>
              <w:jc w:val="right"/>
              <w:rPr>
                <w:rFonts w:ascii="Arial" w:hAnsi="Arial" w:cs="Arial" w:eastAsia="Arial" w:hint="default"/>
                <w:sz w:val="18"/>
                <w:szCs w:val="18"/>
              </w:rPr>
            </w:pPr>
            <w:r>
              <w:rPr>
                <w:rFonts w:ascii="Arial"/>
                <w:w w:val="95"/>
                <w:sz w:val="18"/>
              </w:rPr>
              <w:t>(%)</w:t>
            </w:r>
            <w:r>
              <w:rPr>
                <w:rFonts w:ascii="Arial"/>
                <w:sz w:val="18"/>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05"/>
              <w:jc w:val="right"/>
              <w:rPr>
                <w:rFonts w:ascii="Arial" w:hAnsi="Arial" w:cs="Arial" w:eastAsia="Arial" w:hint="default"/>
                <w:sz w:val="18"/>
                <w:szCs w:val="18"/>
              </w:rPr>
            </w:pPr>
            <w:r>
              <w:rPr>
                <w:rFonts w:ascii="Arial"/>
                <w:w w:val="95"/>
                <w:sz w:val="18"/>
              </w:rPr>
              <w:t>(%)</w:t>
            </w:r>
            <w:r>
              <w:rPr>
                <w:rFonts w:ascii="Arial"/>
                <w:sz w:val="18"/>
              </w:rPr>
            </w:r>
          </w:p>
        </w:tc>
        <w:tc>
          <w:tcPr>
            <w:tcW w:w="932" w:type="dxa"/>
            <w:tcBorders>
              <w:top w:val="nil" w:sz="6" w:space="0" w:color="auto"/>
              <w:left w:val="nil" w:sz="6" w:space="0" w:color="auto"/>
              <w:bottom w:val="nil" w:sz="6" w:space="0" w:color="auto"/>
              <w:right w:val="nil" w:sz="6" w:space="0" w:color="auto"/>
            </w:tcBorders>
          </w:tcPr>
          <w:p>
            <w:pPr/>
          </w:p>
        </w:tc>
        <w:tc>
          <w:tcPr>
            <w:tcW w:w="337"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18" w:lineRule="exact"/>
              <w:ind w:right="95"/>
              <w:jc w:val="right"/>
              <w:rPr>
                <w:rFonts w:ascii="黑体" w:hAnsi="黑体" w:cs="黑体" w:eastAsia="黑体" w:hint="default"/>
                <w:sz w:val="18"/>
                <w:szCs w:val="18"/>
              </w:rPr>
            </w:pPr>
            <w:r>
              <w:rPr>
                <w:rFonts w:ascii="黑体" w:hAnsi="黑体" w:cs="黑体" w:eastAsia="黑体" w:hint="default"/>
                <w:sz w:val="18"/>
                <w:szCs w:val="18"/>
              </w:rPr>
              <w:t>减值准备</w:t>
            </w:r>
          </w:p>
        </w:tc>
        <w:tc>
          <w:tcPr>
            <w:tcW w:w="1099" w:type="dxa"/>
            <w:tcBorders>
              <w:top w:val="nil" w:sz="6" w:space="0" w:color="auto"/>
              <w:left w:val="nil" w:sz="6" w:space="0" w:color="auto"/>
              <w:bottom w:val="nil" w:sz="6" w:space="0" w:color="auto"/>
              <w:right w:val="nil" w:sz="6" w:space="0" w:color="auto"/>
            </w:tcBorders>
          </w:tcPr>
          <w:p>
            <w:pPr>
              <w:pStyle w:val="TableParagraph"/>
              <w:spacing w:line="216" w:lineRule="exact"/>
              <w:ind w:right="200"/>
              <w:jc w:val="right"/>
              <w:rPr>
                <w:rFonts w:ascii="黑体" w:hAnsi="黑体" w:cs="黑体" w:eastAsia="黑体" w:hint="default"/>
                <w:sz w:val="18"/>
                <w:szCs w:val="18"/>
              </w:rPr>
            </w:pPr>
            <w:r>
              <w:rPr>
                <w:rFonts w:ascii="黑体" w:hAnsi="黑体" w:cs="黑体" w:eastAsia="黑体" w:hint="default"/>
                <w:sz w:val="18"/>
                <w:szCs w:val="18"/>
              </w:rPr>
              <w:t>现金红利</w:t>
            </w:r>
          </w:p>
        </w:tc>
      </w:tr>
      <w:tr>
        <w:trPr>
          <w:trHeight w:val="252" w:hRule="exact"/>
        </w:trPr>
        <w:tc>
          <w:tcPr>
            <w:tcW w:w="3362"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黑体" w:hAnsi="黑体" w:cs="黑体" w:eastAsia="黑体" w:hint="default"/>
                <w:sz w:val="18"/>
                <w:szCs w:val="18"/>
              </w:rPr>
            </w:pPr>
            <w:r>
              <w:rPr>
                <w:rFonts w:ascii="黑体" w:hAnsi="黑体" w:cs="黑体" w:eastAsia="黑体" w:hint="default"/>
                <w:sz w:val="18"/>
                <w:szCs w:val="18"/>
              </w:rPr>
              <w:t>成本法</w:t>
            </w:r>
            <w:r>
              <w:rPr>
                <w:rFonts w:ascii="Arial" w:hAnsi="Arial" w:cs="Arial" w:eastAsia="Arial" w:hint="default"/>
                <w:sz w:val="18"/>
                <w:szCs w:val="18"/>
              </w:rPr>
              <w:t>(</w:t>
            </w:r>
            <w:r>
              <w:rPr>
                <w:rFonts w:ascii="黑体" w:hAnsi="黑体" w:cs="黑体" w:eastAsia="黑体" w:hint="default"/>
                <w:sz w:val="18"/>
                <w:szCs w:val="18"/>
              </w:rPr>
              <w:t>续</w:t>
            </w:r>
            <w:r>
              <w:rPr>
                <w:rFonts w:ascii="Arial" w:hAnsi="Arial" w:cs="Arial" w:eastAsia="Arial" w:hint="default"/>
                <w:sz w:val="18"/>
                <w:szCs w:val="18"/>
              </w:rPr>
              <w:t>)</w:t>
            </w:r>
            <w:r>
              <w:rPr>
                <w:rFonts w:ascii="黑体" w:hAnsi="黑体" w:cs="黑体" w:eastAsia="黑体" w:hint="default"/>
                <w:sz w:val="18"/>
                <w:szCs w:val="18"/>
              </w:rPr>
              <w:t>：</w:t>
            </w:r>
          </w:p>
        </w:tc>
        <w:tc>
          <w:tcPr>
            <w:tcW w:w="1159"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836" w:type="dxa"/>
            <w:tcBorders>
              <w:top w:val="nil" w:sz="6" w:space="0" w:color="auto"/>
              <w:left w:val="nil" w:sz="6" w:space="0" w:color="auto"/>
              <w:bottom w:val="nil" w:sz="6" w:space="0" w:color="auto"/>
              <w:right w:val="nil" w:sz="6" w:space="0" w:color="auto"/>
            </w:tcBorders>
          </w:tcPr>
          <w:p>
            <w:pPr/>
          </w:p>
        </w:tc>
        <w:tc>
          <w:tcPr>
            <w:tcW w:w="1067"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932" w:type="dxa"/>
            <w:tcBorders>
              <w:top w:val="nil" w:sz="6" w:space="0" w:color="auto"/>
              <w:left w:val="nil" w:sz="6" w:space="0" w:color="auto"/>
              <w:bottom w:val="nil" w:sz="6" w:space="0" w:color="auto"/>
              <w:right w:val="nil" w:sz="6" w:space="0" w:color="auto"/>
            </w:tcBorders>
          </w:tcPr>
          <w:p>
            <w:pPr/>
          </w:p>
        </w:tc>
        <w:tc>
          <w:tcPr>
            <w:tcW w:w="337"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c>
          <w:tcPr>
            <w:tcW w:w="1099" w:type="dxa"/>
            <w:tcBorders>
              <w:top w:val="nil" w:sz="6" w:space="0" w:color="auto"/>
              <w:left w:val="nil" w:sz="6" w:space="0" w:color="auto"/>
              <w:bottom w:val="nil" w:sz="6" w:space="0" w:color="auto"/>
              <w:right w:val="nil" w:sz="6" w:space="0" w:color="auto"/>
            </w:tcBorders>
          </w:tcPr>
          <w:p>
            <w:pPr/>
          </w:p>
        </w:tc>
      </w:tr>
      <w:tr>
        <w:trPr>
          <w:trHeight w:val="254" w:hRule="exact"/>
        </w:trPr>
        <w:tc>
          <w:tcPr>
            <w:tcW w:w="3362" w:type="dxa"/>
            <w:tcBorders>
              <w:top w:val="nil" w:sz="6" w:space="0" w:color="auto"/>
              <w:left w:val="nil" w:sz="6" w:space="0" w:color="auto"/>
              <w:bottom w:val="nil" w:sz="6" w:space="0" w:color="auto"/>
              <w:right w:val="nil" w:sz="6" w:space="0" w:color="auto"/>
            </w:tcBorders>
          </w:tcPr>
          <w:p>
            <w:pPr>
              <w:pStyle w:val="TableParagraph"/>
              <w:spacing w:line="201" w:lineRule="exact"/>
              <w:ind w:left="382" w:right="0"/>
              <w:jc w:val="left"/>
              <w:rPr>
                <w:rFonts w:ascii="黑体" w:hAnsi="黑体" w:cs="黑体" w:eastAsia="黑体" w:hint="default"/>
                <w:sz w:val="18"/>
                <w:szCs w:val="18"/>
              </w:rPr>
            </w:pPr>
            <w:r>
              <w:rPr>
                <w:rFonts w:ascii="黑体" w:hAnsi="黑体" w:cs="黑体" w:eastAsia="黑体" w:hint="default"/>
                <w:sz w:val="18"/>
                <w:szCs w:val="18"/>
              </w:rPr>
              <w:t>山东易科德软件有限公司</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65"/>
              <w:jc w:val="right"/>
              <w:rPr>
                <w:rFonts w:ascii="Arial" w:hAnsi="Arial" w:cs="Arial" w:eastAsia="Arial" w:hint="default"/>
                <w:sz w:val="18"/>
                <w:szCs w:val="18"/>
              </w:rPr>
            </w:pPr>
            <w:r>
              <w:rPr>
                <w:rFonts w:ascii="Arial"/>
                <w:spacing w:val="-1"/>
                <w:sz w:val="18"/>
              </w:rPr>
              <w:t>1,000,000</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80"/>
              <w:jc w:val="right"/>
              <w:rPr>
                <w:rFonts w:ascii="Arial" w:hAnsi="Arial" w:cs="Arial" w:eastAsia="Arial" w:hint="default"/>
                <w:sz w:val="18"/>
                <w:szCs w:val="18"/>
              </w:rPr>
            </w:pPr>
            <w:r>
              <w:rPr>
                <w:rFonts w:ascii="Arial"/>
                <w:spacing w:val="-1"/>
                <w:sz w:val="18"/>
              </w:rPr>
              <w:t>1,000,000</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
              <w:jc w:val="right"/>
              <w:rPr>
                <w:rFonts w:ascii="Arial" w:hAnsi="Arial" w:cs="Arial" w:eastAsia="Arial" w:hint="default"/>
                <w:sz w:val="18"/>
                <w:szCs w:val="18"/>
              </w:rPr>
            </w:pPr>
            <w:r>
              <w:rPr>
                <w:rFonts w:ascii="Arial"/>
                <w:w w:val="99"/>
                <w:sz w:val="18"/>
              </w:rPr>
              <w:t>-</w:t>
            </w:r>
            <w:r>
              <w:rPr>
                <w:rFonts w:ascii="Arial"/>
                <w:sz w:val="18"/>
              </w:rPr>
            </w:r>
          </w:p>
        </w:tc>
        <w:tc>
          <w:tcPr>
            <w:tcW w:w="15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609" w:right="0"/>
              <w:jc w:val="left"/>
              <w:rPr>
                <w:rFonts w:ascii="Arial" w:hAnsi="Arial" w:cs="Arial" w:eastAsia="Arial" w:hint="default"/>
                <w:sz w:val="18"/>
                <w:szCs w:val="18"/>
              </w:rPr>
            </w:pPr>
            <w:r>
              <w:rPr>
                <w:rFonts w:ascii="Arial"/>
                <w:sz w:val="18"/>
              </w:rPr>
              <w:t>1,000,000</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67"/>
              <w:jc w:val="right"/>
              <w:rPr>
                <w:rFonts w:ascii="Arial" w:hAnsi="Arial" w:cs="Arial" w:eastAsia="Arial" w:hint="default"/>
                <w:sz w:val="18"/>
                <w:szCs w:val="18"/>
              </w:rPr>
            </w:pPr>
            <w:r>
              <w:rPr>
                <w:rFonts w:ascii="Arial"/>
                <w:w w:val="95"/>
                <w:sz w:val="18"/>
              </w:rPr>
              <w:t>20.00</w:t>
            </w:r>
            <w:r>
              <w:rPr>
                <w:rFonts w:ascii="Arial"/>
                <w:sz w:val="18"/>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3"/>
              <w:jc w:val="right"/>
              <w:rPr>
                <w:rFonts w:ascii="Arial" w:hAnsi="Arial" w:cs="Arial" w:eastAsia="Arial" w:hint="default"/>
                <w:sz w:val="18"/>
                <w:szCs w:val="18"/>
              </w:rPr>
            </w:pPr>
            <w:r>
              <w:rPr>
                <w:rFonts w:ascii="Arial"/>
                <w:w w:val="95"/>
                <w:sz w:val="18"/>
              </w:rPr>
              <w:t>20.00</w:t>
            </w:r>
            <w:r>
              <w:rPr>
                <w:rFonts w:ascii="Arial"/>
                <w:sz w:val="18"/>
              </w:rPr>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
              <w:jc w:val="right"/>
              <w:rPr>
                <w:rFonts w:ascii="Arial" w:hAnsi="Arial" w:cs="Arial" w:eastAsia="Arial" w:hint="default"/>
                <w:sz w:val="18"/>
                <w:szCs w:val="18"/>
              </w:rPr>
            </w:pPr>
            <w:r>
              <w:rPr>
                <w:rFonts w:ascii="Arial"/>
                <w:spacing w:val="-1"/>
                <w:sz w:val="18"/>
              </w:rPr>
              <w:t>(818,586</w:t>
            </w:r>
          </w:p>
        </w:tc>
        <w:tc>
          <w:tcPr>
            <w:tcW w:w="33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 w:right="0"/>
              <w:jc w:val="left"/>
              <w:rPr>
                <w:rFonts w:ascii="Arial" w:hAnsi="Arial" w:cs="Arial" w:eastAsia="Arial" w:hint="default"/>
                <w:sz w:val="18"/>
                <w:szCs w:val="18"/>
              </w:rPr>
            </w:pPr>
            <w:r>
              <w:rPr>
                <w:rFonts w:ascii="Arial"/>
                <w:w w:val="99"/>
                <w:sz w:val="18"/>
              </w:rPr>
              <w:t>)</w:t>
            </w:r>
            <w:r>
              <w:rPr>
                <w:rFonts w:ascii="Arial"/>
                <w:sz w:val="18"/>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5"/>
              <w:jc w:val="right"/>
              <w:rPr>
                <w:rFonts w:ascii="Arial" w:hAnsi="Arial" w:cs="Arial" w:eastAsia="Arial" w:hint="default"/>
                <w:sz w:val="18"/>
                <w:szCs w:val="18"/>
              </w:rPr>
            </w:pPr>
            <w:r>
              <w:rPr>
                <w:rFonts w:ascii="Arial"/>
                <w:w w:val="99"/>
                <w:sz w:val="18"/>
              </w:rPr>
              <w:t>-</w:t>
            </w:r>
            <w:r>
              <w:rPr>
                <w:rFonts w:ascii="Arial"/>
                <w:sz w:val="18"/>
              </w:rPr>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0"/>
              <w:jc w:val="right"/>
              <w:rPr>
                <w:rFonts w:ascii="Arial" w:hAnsi="Arial" w:cs="Arial" w:eastAsia="Arial" w:hint="default"/>
                <w:sz w:val="18"/>
                <w:szCs w:val="18"/>
              </w:rPr>
            </w:pPr>
            <w:r>
              <w:rPr>
                <w:rFonts w:ascii="Arial"/>
                <w:w w:val="99"/>
                <w:sz w:val="18"/>
              </w:rPr>
              <w:t>-</w:t>
            </w:r>
            <w:r>
              <w:rPr>
                <w:rFonts w:ascii="Arial"/>
                <w:sz w:val="18"/>
              </w:rPr>
            </w:r>
          </w:p>
        </w:tc>
      </w:tr>
      <w:tr>
        <w:trPr>
          <w:trHeight w:val="256" w:hRule="exact"/>
        </w:trPr>
        <w:tc>
          <w:tcPr>
            <w:tcW w:w="3362" w:type="dxa"/>
            <w:tcBorders>
              <w:top w:val="nil" w:sz="6" w:space="0" w:color="auto"/>
              <w:left w:val="nil" w:sz="6" w:space="0" w:color="auto"/>
              <w:bottom w:val="nil" w:sz="6" w:space="0" w:color="auto"/>
              <w:right w:val="nil" w:sz="6" w:space="0" w:color="auto"/>
            </w:tcBorders>
          </w:tcPr>
          <w:p>
            <w:pPr>
              <w:pStyle w:val="TableParagraph"/>
              <w:spacing w:line="203" w:lineRule="exact"/>
              <w:ind w:left="382" w:right="0"/>
              <w:jc w:val="left"/>
              <w:rPr>
                <w:rFonts w:ascii="黑体" w:hAnsi="黑体" w:cs="黑体" w:eastAsia="黑体" w:hint="default"/>
                <w:sz w:val="18"/>
                <w:szCs w:val="18"/>
              </w:rPr>
            </w:pPr>
            <w:r>
              <w:rPr>
                <w:rFonts w:ascii="黑体" w:hAnsi="黑体" w:cs="黑体" w:eastAsia="黑体" w:hint="default"/>
                <w:sz w:val="18"/>
                <w:szCs w:val="18"/>
              </w:rPr>
              <w:t>安徽用友政务软件有限公司</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65"/>
              <w:jc w:val="right"/>
              <w:rPr>
                <w:rFonts w:ascii="Arial" w:hAnsi="Arial" w:cs="Arial" w:eastAsia="Arial" w:hint="default"/>
                <w:sz w:val="18"/>
                <w:szCs w:val="18"/>
              </w:rPr>
            </w:pPr>
            <w:r>
              <w:rPr>
                <w:rFonts w:ascii="Arial"/>
                <w:spacing w:val="-1"/>
                <w:sz w:val="18"/>
              </w:rPr>
              <w:t>200,000</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80"/>
              <w:jc w:val="right"/>
              <w:rPr>
                <w:rFonts w:ascii="Arial" w:hAnsi="Arial" w:cs="Arial" w:eastAsia="Arial" w:hint="default"/>
                <w:sz w:val="18"/>
                <w:szCs w:val="18"/>
              </w:rPr>
            </w:pPr>
            <w:r>
              <w:rPr>
                <w:rFonts w:ascii="Arial"/>
                <w:spacing w:val="-1"/>
                <w:sz w:val="18"/>
              </w:rPr>
              <w:t>200,000</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5"/>
              <w:jc w:val="right"/>
              <w:rPr>
                <w:rFonts w:ascii="Arial" w:hAnsi="Arial" w:cs="Arial" w:eastAsia="Arial" w:hint="default"/>
                <w:sz w:val="18"/>
                <w:szCs w:val="18"/>
              </w:rPr>
            </w:pPr>
            <w:r>
              <w:rPr>
                <w:rFonts w:ascii="Arial"/>
                <w:w w:val="99"/>
                <w:sz w:val="18"/>
              </w:rPr>
              <w:t>-</w:t>
            </w:r>
            <w:r>
              <w:rPr>
                <w:rFonts w:ascii="Arial"/>
                <w:sz w:val="18"/>
              </w:rPr>
            </w:r>
          </w:p>
        </w:tc>
        <w:tc>
          <w:tcPr>
            <w:tcW w:w="708" w:type="dxa"/>
            <w:tcBorders>
              <w:top w:val="nil" w:sz="6" w:space="0" w:color="auto"/>
              <w:left w:val="nil" w:sz="6" w:space="0" w:color="auto"/>
              <w:bottom w:val="nil" w:sz="6" w:space="0" w:color="auto"/>
              <w:right w:val="nil" w:sz="6" w:space="0" w:color="auto"/>
            </w:tcBorders>
          </w:tcPr>
          <w:p>
            <w:pP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28"/>
              <w:jc w:val="right"/>
              <w:rPr>
                <w:rFonts w:ascii="Arial" w:hAnsi="Arial" w:cs="Arial" w:eastAsia="Arial" w:hint="default"/>
                <w:sz w:val="18"/>
                <w:szCs w:val="18"/>
              </w:rPr>
            </w:pPr>
            <w:r>
              <w:rPr>
                <w:rFonts w:ascii="Arial"/>
                <w:spacing w:val="-1"/>
                <w:sz w:val="18"/>
              </w:rPr>
              <w:t>200,000</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67"/>
              <w:jc w:val="right"/>
              <w:rPr>
                <w:rFonts w:ascii="Arial" w:hAnsi="Arial" w:cs="Arial" w:eastAsia="Arial" w:hint="default"/>
                <w:sz w:val="18"/>
                <w:szCs w:val="18"/>
              </w:rPr>
            </w:pPr>
            <w:r>
              <w:rPr>
                <w:rFonts w:ascii="Arial"/>
                <w:w w:val="95"/>
                <w:sz w:val="18"/>
              </w:rPr>
              <w:t>20.00</w:t>
            </w:r>
            <w:r>
              <w:rPr>
                <w:rFonts w:ascii="Arial"/>
                <w:sz w:val="18"/>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03"/>
              <w:jc w:val="right"/>
              <w:rPr>
                <w:rFonts w:ascii="Arial" w:hAnsi="Arial" w:cs="Arial" w:eastAsia="Arial" w:hint="default"/>
                <w:sz w:val="18"/>
                <w:szCs w:val="18"/>
              </w:rPr>
            </w:pPr>
            <w:r>
              <w:rPr>
                <w:rFonts w:ascii="Arial"/>
                <w:w w:val="95"/>
                <w:sz w:val="18"/>
              </w:rPr>
              <w:t>20.00</w:t>
            </w:r>
            <w:r>
              <w:rPr>
                <w:rFonts w:ascii="Arial"/>
                <w:sz w:val="18"/>
              </w:rPr>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5"/>
              <w:jc w:val="right"/>
              <w:rPr>
                <w:rFonts w:ascii="Arial" w:hAnsi="Arial" w:cs="Arial" w:eastAsia="Arial" w:hint="default"/>
                <w:sz w:val="18"/>
                <w:szCs w:val="18"/>
              </w:rPr>
            </w:pPr>
            <w:r>
              <w:rPr>
                <w:rFonts w:ascii="Arial"/>
                <w:w w:val="99"/>
                <w:sz w:val="18"/>
              </w:rPr>
              <w:t>-</w:t>
            </w:r>
            <w:r>
              <w:rPr>
                <w:rFonts w:ascii="Arial"/>
                <w:sz w:val="18"/>
              </w:rPr>
            </w:r>
          </w:p>
        </w:tc>
        <w:tc>
          <w:tcPr>
            <w:tcW w:w="337"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95"/>
              <w:jc w:val="right"/>
              <w:rPr>
                <w:rFonts w:ascii="Arial" w:hAnsi="Arial" w:cs="Arial" w:eastAsia="Arial" w:hint="default"/>
                <w:sz w:val="18"/>
                <w:szCs w:val="18"/>
              </w:rPr>
            </w:pPr>
            <w:r>
              <w:rPr>
                <w:rFonts w:ascii="Arial"/>
                <w:w w:val="99"/>
                <w:sz w:val="18"/>
              </w:rPr>
              <w:t>-</w:t>
            </w:r>
            <w:r>
              <w:rPr>
                <w:rFonts w:ascii="Arial"/>
                <w:sz w:val="18"/>
              </w:rPr>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00"/>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3362" w:type="dxa"/>
            <w:tcBorders>
              <w:top w:val="nil" w:sz="6" w:space="0" w:color="auto"/>
              <w:left w:val="nil" w:sz="6" w:space="0" w:color="auto"/>
              <w:bottom w:val="nil" w:sz="6" w:space="0" w:color="auto"/>
              <w:right w:val="nil" w:sz="6" w:space="0" w:color="auto"/>
            </w:tcBorders>
          </w:tcPr>
          <w:p>
            <w:pPr>
              <w:pStyle w:val="TableParagraph"/>
              <w:spacing w:line="202" w:lineRule="exact"/>
              <w:ind w:left="382" w:right="0"/>
              <w:jc w:val="left"/>
              <w:rPr>
                <w:rFonts w:ascii="黑体" w:hAnsi="黑体" w:cs="黑体" w:eastAsia="黑体" w:hint="default"/>
                <w:sz w:val="18"/>
                <w:szCs w:val="18"/>
              </w:rPr>
            </w:pPr>
            <w:r>
              <w:rPr>
                <w:rFonts w:ascii="黑体" w:hAnsi="黑体" w:cs="黑体" w:eastAsia="黑体" w:hint="default"/>
                <w:sz w:val="18"/>
                <w:szCs w:val="18"/>
              </w:rPr>
              <w:t>太原用友政务软件有限公司</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5"/>
              <w:jc w:val="right"/>
              <w:rPr>
                <w:rFonts w:ascii="Arial" w:hAnsi="Arial" w:cs="Arial" w:eastAsia="Arial" w:hint="default"/>
                <w:sz w:val="18"/>
                <w:szCs w:val="18"/>
              </w:rPr>
            </w:pPr>
            <w:r>
              <w:rPr>
                <w:rFonts w:ascii="Arial"/>
                <w:spacing w:val="-1"/>
                <w:sz w:val="18"/>
              </w:rPr>
              <w:t>100,000</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80"/>
              <w:jc w:val="right"/>
              <w:rPr>
                <w:rFonts w:ascii="Arial" w:hAnsi="Arial" w:cs="Arial" w:eastAsia="Arial" w:hint="default"/>
                <w:sz w:val="18"/>
                <w:szCs w:val="18"/>
              </w:rPr>
            </w:pPr>
            <w:r>
              <w:rPr>
                <w:rFonts w:ascii="Arial"/>
                <w:spacing w:val="-1"/>
                <w:sz w:val="18"/>
              </w:rPr>
              <w:t>100,000</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
              <w:jc w:val="right"/>
              <w:rPr>
                <w:rFonts w:ascii="Arial" w:hAnsi="Arial" w:cs="Arial" w:eastAsia="Arial" w:hint="default"/>
                <w:sz w:val="18"/>
                <w:szCs w:val="18"/>
              </w:rPr>
            </w:pPr>
            <w:r>
              <w:rPr>
                <w:rFonts w:ascii="Arial"/>
                <w:w w:val="99"/>
                <w:sz w:val="18"/>
              </w:rPr>
              <w:t>-</w:t>
            </w:r>
            <w:r>
              <w:rPr>
                <w:rFonts w:ascii="Arial"/>
                <w:sz w:val="18"/>
              </w:rPr>
            </w:r>
          </w:p>
        </w:tc>
        <w:tc>
          <w:tcPr>
            <w:tcW w:w="708" w:type="dxa"/>
            <w:tcBorders>
              <w:top w:val="nil" w:sz="6" w:space="0" w:color="auto"/>
              <w:left w:val="nil" w:sz="6" w:space="0" w:color="auto"/>
              <w:bottom w:val="nil" w:sz="6" w:space="0" w:color="auto"/>
              <w:right w:val="nil" w:sz="6" w:space="0" w:color="auto"/>
            </w:tcBorders>
          </w:tcPr>
          <w:p>
            <w:pP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28"/>
              <w:jc w:val="right"/>
              <w:rPr>
                <w:rFonts w:ascii="Arial" w:hAnsi="Arial" w:cs="Arial" w:eastAsia="Arial" w:hint="default"/>
                <w:sz w:val="18"/>
                <w:szCs w:val="18"/>
              </w:rPr>
            </w:pPr>
            <w:r>
              <w:rPr>
                <w:rFonts w:ascii="Arial"/>
                <w:spacing w:val="-1"/>
                <w:sz w:val="18"/>
              </w:rPr>
              <w:t>100,000</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67"/>
              <w:jc w:val="right"/>
              <w:rPr>
                <w:rFonts w:ascii="Arial" w:hAnsi="Arial" w:cs="Arial" w:eastAsia="Arial" w:hint="default"/>
                <w:sz w:val="18"/>
                <w:szCs w:val="18"/>
              </w:rPr>
            </w:pPr>
            <w:r>
              <w:rPr>
                <w:rFonts w:ascii="Arial"/>
                <w:w w:val="95"/>
                <w:sz w:val="18"/>
              </w:rPr>
              <w:t>20.00</w:t>
            </w:r>
            <w:r>
              <w:rPr>
                <w:rFonts w:ascii="Arial"/>
                <w:sz w:val="18"/>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03"/>
              <w:jc w:val="right"/>
              <w:rPr>
                <w:rFonts w:ascii="Arial" w:hAnsi="Arial" w:cs="Arial" w:eastAsia="Arial" w:hint="default"/>
                <w:sz w:val="18"/>
                <w:szCs w:val="18"/>
              </w:rPr>
            </w:pPr>
            <w:r>
              <w:rPr>
                <w:rFonts w:ascii="Arial"/>
                <w:w w:val="95"/>
                <w:sz w:val="18"/>
              </w:rPr>
              <w:t>20.00</w:t>
            </w:r>
            <w:r>
              <w:rPr>
                <w:rFonts w:ascii="Arial"/>
                <w:sz w:val="18"/>
              </w:rPr>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
              <w:jc w:val="right"/>
              <w:rPr>
                <w:rFonts w:ascii="Arial" w:hAnsi="Arial" w:cs="Arial" w:eastAsia="Arial" w:hint="default"/>
                <w:sz w:val="18"/>
                <w:szCs w:val="18"/>
              </w:rPr>
            </w:pPr>
            <w:r>
              <w:rPr>
                <w:rFonts w:ascii="Arial"/>
                <w:spacing w:val="-1"/>
                <w:sz w:val="18"/>
              </w:rPr>
              <w:t>(100,000</w:t>
            </w:r>
          </w:p>
        </w:tc>
        <w:tc>
          <w:tcPr>
            <w:tcW w:w="337"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 w:right="0"/>
              <w:jc w:val="left"/>
              <w:rPr>
                <w:rFonts w:ascii="Arial" w:hAnsi="Arial" w:cs="Arial" w:eastAsia="Arial" w:hint="default"/>
                <w:sz w:val="18"/>
                <w:szCs w:val="18"/>
              </w:rPr>
            </w:pPr>
            <w:r>
              <w:rPr>
                <w:rFonts w:ascii="Arial"/>
                <w:w w:val="99"/>
                <w:sz w:val="18"/>
              </w:rPr>
              <w:t>)</w:t>
            </w:r>
            <w:r>
              <w:rPr>
                <w:rFonts w:ascii="Arial"/>
                <w:sz w:val="18"/>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5"/>
              <w:jc w:val="right"/>
              <w:rPr>
                <w:rFonts w:ascii="Arial" w:hAnsi="Arial" w:cs="Arial" w:eastAsia="Arial" w:hint="default"/>
                <w:sz w:val="18"/>
                <w:szCs w:val="18"/>
              </w:rPr>
            </w:pPr>
            <w:r>
              <w:rPr>
                <w:rFonts w:ascii="Arial"/>
                <w:w w:val="99"/>
                <w:sz w:val="18"/>
              </w:rPr>
              <w:t>-</w:t>
            </w:r>
            <w:r>
              <w:rPr>
                <w:rFonts w:ascii="Arial"/>
                <w:sz w:val="18"/>
              </w:rPr>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00"/>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3362" w:type="dxa"/>
            <w:tcBorders>
              <w:top w:val="nil" w:sz="6" w:space="0" w:color="auto"/>
              <w:left w:val="nil" w:sz="6" w:space="0" w:color="auto"/>
              <w:bottom w:val="nil" w:sz="6" w:space="0" w:color="auto"/>
              <w:right w:val="nil" w:sz="6" w:space="0" w:color="auto"/>
            </w:tcBorders>
          </w:tcPr>
          <w:p>
            <w:pPr>
              <w:pStyle w:val="TableParagraph"/>
              <w:spacing w:line="202" w:lineRule="exact"/>
              <w:ind w:left="382" w:right="0"/>
              <w:jc w:val="left"/>
              <w:rPr>
                <w:rFonts w:ascii="黑体" w:hAnsi="黑体" w:cs="黑体" w:eastAsia="黑体" w:hint="default"/>
                <w:sz w:val="18"/>
                <w:szCs w:val="18"/>
              </w:rPr>
            </w:pPr>
            <w:r>
              <w:rPr>
                <w:rFonts w:ascii="黑体" w:hAnsi="黑体" w:cs="黑体" w:eastAsia="黑体" w:hint="default"/>
                <w:sz w:val="18"/>
                <w:szCs w:val="18"/>
              </w:rPr>
              <w:t>哈尔滨用友政务软件有限公司</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6"/>
              <w:jc w:val="right"/>
              <w:rPr>
                <w:rFonts w:ascii="Arial" w:hAnsi="Arial" w:cs="Arial" w:eastAsia="Arial" w:hint="default"/>
                <w:sz w:val="18"/>
                <w:szCs w:val="18"/>
              </w:rPr>
            </w:pPr>
            <w:r>
              <w:rPr>
                <w:rFonts w:ascii="Arial"/>
                <w:w w:val="99"/>
                <w:sz w:val="18"/>
              </w:rPr>
              <w:t>-</w:t>
            </w:r>
            <w:r>
              <w:rPr>
                <w:rFonts w:ascii="Arial"/>
                <w:sz w:val="18"/>
              </w:rPr>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80"/>
              <w:jc w:val="right"/>
              <w:rPr>
                <w:rFonts w:ascii="Arial" w:hAnsi="Arial" w:cs="Arial" w:eastAsia="Arial" w:hint="default"/>
                <w:sz w:val="18"/>
                <w:szCs w:val="18"/>
              </w:rPr>
            </w:pPr>
            <w:r>
              <w:rPr>
                <w:rFonts w:ascii="Arial"/>
                <w:spacing w:val="-1"/>
                <w:sz w:val="18"/>
              </w:rPr>
              <w:t>100,000</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
              <w:jc w:val="right"/>
              <w:rPr>
                <w:rFonts w:ascii="Arial" w:hAnsi="Arial" w:cs="Arial" w:eastAsia="Arial" w:hint="default"/>
                <w:sz w:val="18"/>
                <w:szCs w:val="18"/>
              </w:rPr>
            </w:pPr>
            <w:r>
              <w:rPr>
                <w:rFonts w:ascii="Arial"/>
                <w:sz w:val="18"/>
              </w:rPr>
              <w:t>(  </w:t>
            </w:r>
            <w:r>
              <w:rPr>
                <w:rFonts w:ascii="Arial"/>
                <w:spacing w:val="27"/>
                <w:sz w:val="18"/>
              </w:rPr>
              <w:t> </w:t>
            </w:r>
            <w:r>
              <w:rPr>
                <w:rFonts w:ascii="Arial"/>
                <w:sz w:val="18"/>
              </w:rPr>
              <w:t>100,000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 w:right="0"/>
              <w:jc w:val="left"/>
              <w:rPr>
                <w:rFonts w:ascii="Arial" w:hAnsi="Arial" w:cs="Arial" w:eastAsia="Arial" w:hint="default"/>
                <w:sz w:val="18"/>
                <w:szCs w:val="18"/>
              </w:rPr>
            </w:pPr>
            <w:r>
              <w:rPr>
                <w:rFonts w:ascii="Arial"/>
                <w:w w:val="99"/>
                <w:sz w:val="18"/>
              </w:rPr>
              <w:t>)</w:t>
            </w:r>
            <w:r>
              <w:rPr>
                <w:rFonts w:ascii="Arial"/>
                <w:sz w:val="18"/>
              </w:rPr>
            </w: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31"/>
              <w:jc w:val="right"/>
              <w:rPr>
                <w:rFonts w:ascii="Arial" w:hAnsi="Arial" w:cs="Arial" w:eastAsia="Arial" w:hint="default"/>
                <w:sz w:val="18"/>
                <w:szCs w:val="18"/>
              </w:rPr>
            </w:pPr>
            <w:r>
              <w:rPr>
                <w:rFonts w:ascii="Arial"/>
                <w:w w:val="99"/>
                <w:sz w:val="18"/>
              </w:rPr>
              <w:t>-</w:t>
            </w:r>
            <w:r>
              <w:rPr>
                <w:rFonts w:ascii="Arial"/>
                <w:sz w:val="18"/>
              </w:rPr>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09"/>
              <w:jc w:val="right"/>
              <w:rPr>
                <w:rFonts w:ascii="Arial" w:hAnsi="Arial" w:cs="Arial" w:eastAsia="Arial" w:hint="default"/>
                <w:sz w:val="18"/>
                <w:szCs w:val="18"/>
              </w:rPr>
            </w:pPr>
            <w:r>
              <w:rPr>
                <w:rFonts w:ascii="Arial"/>
                <w:w w:val="99"/>
                <w:sz w:val="18"/>
              </w:rPr>
              <w:t>-</w:t>
            </w:r>
            <w:r>
              <w:rPr>
                <w:rFonts w:ascii="Arial"/>
                <w:sz w:val="18"/>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05"/>
              <w:jc w:val="right"/>
              <w:rPr>
                <w:rFonts w:ascii="Arial" w:hAnsi="Arial" w:cs="Arial" w:eastAsia="Arial" w:hint="default"/>
                <w:sz w:val="18"/>
                <w:szCs w:val="18"/>
              </w:rPr>
            </w:pPr>
            <w:r>
              <w:rPr>
                <w:rFonts w:ascii="Arial"/>
                <w:w w:val="99"/>
                <w:sz w:val="18"/>
              </w:rPr>
              <w:t>-</w:t>
            </w:r>
            <w:r>
              <w:rPr>
                <w:rFonts w:ascii="Arial"/>
                <w:sz w:val="18"/>
              </w:rPr>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
              <w:jc w:val="right"/>
              <w:rPr>
                <w:rFonts w:ascii="Arial" w:hAnsi="Arial" w:cs="Arial" w:eastAsia="Arial" w:hint="default"/>
                <w:sz w:val="18"/>
                <w:szCs w:val="18"/>
              </w:rPr>
            </w:pPr>
            <w:r>
              <w:rPr>
                <w:rFonts w:ascii="Arial"/>
                <w:w w:val="99"/>
                <w:sz w:val="18"/>
              </w:rPr>
              <w:t>-</w:t>
            </w:r>
            <w:r>
              <w:rPr>
                <w:rFonts w:ascii="Arial"/>
                <w:sz w:val="18"/>
              </w:rPr>
            </w:r>
          </w:p>
        </w:tc>
        <w:tc>
          <w:tcPr>
            <w:tcW w:w="337"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5"/>
              <w:jc w:val="right"/>
              <w:rPr>
                <w:rFonts w:ascii="Arial" w:hAnsi="Arial" w:cs="Arial" w:eastAsia="Arial" w:hint="default"/>
                <w:sz w:val="18"/>
                <w:szCs w:val="18"/>
              </w:rPr>
            </w:pPr>
            <w:r>
              <w:rPr>
                <w:rFonts w:ascii="Arial"/>
                <w:w w:val="99"/>
                <w:sz w:val="18"/>
              </w:rPr>
              <w:t>-</w:t>
            </w:r>
            <w:r>
              <w:rPr>
                <w:rFonts w:ascii="Arial"/>
                <w:sz w:val="18"/>
              </w:rPr>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00"/>
              <w:jc w:val="right"/>
              <w:rPr>
                <w:rFonts w:ascii="Arial" w:hAnsi="Arial" w:cs="Arial" w:eastAsia="Arial" w:hint="default"/>
                <w:sz w:val="18"/>
                <w:szCs w:val="18"/>
              </w:rPr>
            </w:pPr>
            <w:r>
              <w:rPr>
                <w:rFonts w:ascii="Arial"/>
                <w:w w:val="99"/>
                <w:sz w:val="18"/>
              </w:rPr>
              <w:t>-</w:t>
            </w:r>
            <w:r>
              <w:rPr>
                <w:rFonts w:ascii="Arial"/>
                <w:sz w:val="18"/>
              </w:rPr>
            </w:r>
          </w:p>
        </w:tc>
      </w:tr>
      <w:tr>
        <w:trPr>
          <w:trHeight w:val="256" w:hRule="exact"/>
        </w:trPr>
        <w:tc>
          <w:tcPr>
            <w:tcW w:w="3362" w:type="dxa"/>
            <w:tcBorders>
              <w:top w:val="nil" w:sz="6" w:space="0" w:color="auto"/>
              <w:left w:val="nil" w:sz="6" w:space="0" w:color="auto"/>
              <w:bottom w:val="nil" w:sz="6" w:space="0" w:color="auto"/>
              <w:right w:val="nil" w:sz="6" w:space="0" w:color="auto"/>
            </w:tcBorders>
          </w:tcPr>
          <w:p>
            <w:pPr>
              <w:pStyle w:val="TableParagraph"/>
              <w:spacing w:line="202" w:lineRule="exact"/>
              <w:ind w:left="375" w:right="0"/>
              <w:jc w:val="left"/>
              <w:rPr>
                <w:rFonts w:ascii="黑体" w:hAnsi="黑体" w:cs="黑体" w:eastAsia="黑体" w:hint="default"/>
                <w:sz w:val="18"/>
                <w:szCs w:val="18"/>
              </w:rPr>
            </w:pPr>
            <w:r>
              <w:rPr>
                <w:rFonts w:ascii="黑体" w:hAnsi="黑体" w:cs="黑体" w:eastAsia="黑体" w:hint="default"/>
                <w:sz w:val="18"/>
                <w:szCs w:val="18"/>
              </w:rPr>
              <w:t>北京随锐科技有限公司</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5"/>
              <w:jc w:val="right"/>
              <w:rPr>
                <w:rFonts w:ascii="Arial" w:hAnsi="Arial" w:cs="Arial" w:eastAsia="Arial" w:hint="default"/>
                <w:sz w:val="18"/>
                <w:szCs w:val="18"/>
              </w:rPr>
            </w:pPr>
            <w:r>
              <w:rPr>
                <w:rFonts w:ascii="Arial"/>
                <w:spacing w:val="-1"/>
                <w:sz w:val="18"/>
              </w:rPr>
              <w:t>2,000,000</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80"/>
              <w:jc w:val="right"/>
              <w:rPr>
                <w:rFonts w:ascii="Arial" w:hAnsi="Arial" w:cs="Arial" w:eastAsia="Arial" w:hint="default"/>
                <w:sz w:val="18"/>
                <w:szCs w:val="18"/>
              </w:rPr>
            </w:pPr>
            <w:r>
              <w:rPr>
                <w:rFonts w:ascii="Arial"/>
                <w:spacing w:val="-1"/>
                <w:sz w:val="18"/>
              </w:rPr>
              <w:t>2,000,000</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
              <w:jc w:val="right"/>
              <w:rPr>
                <w:rFonts w:ascii="Arial" w:hAnsi="Arial" w:cs="Arial" w:eastAsia="Arial" w:hint="default"/>
                <w:sz w:val="18"/>
                <w:szCs w:val="18"/>
              </w:rPr>
            </w:pPr>
            <w:r>
              <w:rPr>
                <w:rFonts w:ascii="Arial"/>
                <w:w w:val="99"/>
                <w:sz w:val="18"/>
              </w:rPr>
              <w:t>-</w:t>
            </w:r>
            <w:r>
              <w:rPr>
                <w:rFonts w:ascii="Arial"/>
                <w:sz w:val="18"/>
              </w:rPr>
            </w:r>
          </w:p>
        </w:tc>
        <w:tc>
          <w:tcPr>
            <w:tcW w:w="15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9"/>
              <w:ind w:left="609" w:right="0"/>
              <w:jc w:val="left"/>
              <w:rPr>
                <w:rFonts w:ascii="Arial" w:hAnsi="Arial" w:cs="Arial" w:eastAsia="Arial" w:hint="default"/>
                <w:sz w:val="18"/>
                <w:szCs w:val="18"/>
              </w:rPr>
            </w:pPr>
            <w:r>
              <w:rPr>
                <w:rFonts w:ascii="Arial"/>
                <w:sz w:val="18"/>
              </w:rPr>
              <w:t>2,000,000</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67"/>
              <w:jc w:val="right"/>
              <w:rPr>
                <w:rFonts w:ascii="Arial" w:hAnsi="Arial" w:cs="Arial" w:eastAsia="Arial" w:hint="default"/>
                <w:sz w:val="18"/>
                <w:szCs w:val="18"/>
              </w:rPr>
            </w:pPr>
            <w:r>
              <w:rPr>
                <w:rFonts w:ascii="Arial"/>
                <w:w w:val="95"/>
                <w:sz w:val="18"/>
              </w:rPr>
              <w:t>7.50</w:t>
            </w:r>
            <w:r>
              <w:rPr>
                <w:rFonts w:ascii="Arial"/>
                <w:sz w:val="18"/>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03"/>
              <w:jc w:val="right"/>
              <w:rPr>
                <w:rFonts w:ascii="Arial" w:hAnsi="Arial" w:cs="Arial" w:eastAsia="Arial" w:hint="default"/>
                <w:sz w:val="18"/>
                <w:szCs w:val="18"/>
              </w:rPr>
            </w:pPr>
            <w:r>
              <w:rPr>
                <w:rFonts w:ascii="Arial"/>
                <w:w w:val="95"/>
                <w:sz w:val="18"/>
              </w:rPr>
              <w:t>7.50</w:t>
            </w:r>
            <w:r>
              <w:rPr>
                <w:rFonts w:ascii="Arial"/>
                <w:sz w:val="18"/>
              </w:rPr>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
              <w:jc w:val="right"/>
              <w:rPr>
                <w:rFonts w:ascii="Arial" w:hAnsi="Arial" w:cs="Arial" w:eastAsia="Arial" w:hint="default"/>
                <w:sz w:val="18"/>
                <w:szCs w:val="18"/>
              </w:rPr>
            </w:pPr>
            <w:r>
              <w:rPr>
                <w:rFonts w:ascii="Arial"/>
                <w:w w:val="99"/>
                <w:sz w:val="18"/>
              </w:rPr>
              <w:t>-</w:t>
            </w:r>
            <w:r>
              <w:rPr>
                <w:rFonts w:ascii="Arial"/>
                <w:sz w:val="18"/>
              </w:rPr>
            </w:r>
          </w:p>
        </w:tc>
        <w:tc>
          <w:tcPr>
            <w:tcW w:w="337"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5"/>
              <w:jc w:val="right"/>
              <w:rPr>
                <w:rFonts w:ascii="Arial" w:hAnsi="Arial" w:cs="Arial" w:eastAsia="Arial" w:hint="default"/>
                <w:sz w:val="18"/>
                <w:szCs w:val="18"/>
              </w:rPr>
            </w:pPr>
            <w:r>
              <w:rPr>
                <w:rFonts w:ascii="Arial"/>
                <w:w w:val="99"/>
                <w:sz w:val="18"/>
              </w:rPr>
              <w:t>-</w:t>
            </w:r>
            <w:r>
              <w:rPr>
                <w:rFonts w:ascii="Arial"/>
                <w:sz w:val="18"/>
              </w:rPr>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00"/>
              <w:jc w:val="right"/>
              <w:rPr>
                <w:rFonts w:ascii="Arial" w:hAnsi="Arial" w:cs="Arial" w:eastAsia="Arial" w:hint="default"/>
                <w:sz w:val="18"/>
                <w:szCs w:val="18"/>
              </w:rPr>
            </w:pPr>
            <w:r>
              <w:rPr>
                <w:rFonts w:ascii="Arial"/>
                <w:w w:val="99"/>
                <w:sz w:val="18"/>
              </w:rPr>
              <w:t>-</w:t>
            </w:r>
            <w:r>
              <w:rPr>
                <w:rFonts w:ascii="Arial"/>
                <w:sz w:val="18"/>
              </w:rPr>
            </w:r>
          </w:p>
        </w:tc>
      </w:tr>
      <w:tr>
        <w:trPr>
          <w:trHeight w:val="256" w:hRule="exact"/>
        </w:trPr>
        <w:tc>
          <w:tcPr>
            <w:tcW w:w="3362" w:type="dxa"/>
            <w:tcBorders>
              <w:top w:val="nil" w:sz="6" w:space="0" w:color="auto"/>
              <w:left w:val="nil" w:sz="6" w:space="0" w:color="auto"/>
              <w:bottom w:val="nil" w:sz="6" w:space="0" w:color="auto"/>
              <w:right w:val="nil" w:sz="6" w:space="0" w:color="auto"/>
            </w:tcBorders>
          </w:tcPr>
          <w:p>
            <w:pPr>
              <w:pStyle w:val="TableParagraph"/>
              <w:spacing w:line="203" w:lineRule="exact"/>
              <w:ind w:left="375" w:right="0"/>
              <w:jc w:val="left"/>
              <w:rPr>
                <w:rFonts w:ascii="黑体" w:hAnsi="黑体" w:cs="黑体" w:eastAsia="黑体" w:hint="default"/>
                <w:sz w:val="18"/>
                <w:szCs w:val="18"/>
              </w:rPr>
            </w:pPr>
            <w:r>
              <w:rPr>
                <w:rFonts w:ascii="黑体" w:hAnsi="黑体" w:cs="黑体" w:eastAsia="黑体" w:hint="default"/>
                <w:sz w:val="18"/>
                <w:szCs w:val="18"/>
              </w:rPr>
              <w:t>北京族米科技有限公司</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64"/>
              <w:jc w:val="right"/>
              <w:rPr>
                <w:rFonts w:ascii="Arial" w:hAnsi="Arial" w:cs="Arial" w:eastAsia="Arial" w:hint="default"/>
                <w:sz w:val="18"/>
                <w:szCs w:val="18"/>
              </w:rPr>
            </w:pPr>
            <w:r>
              <w:rPr>
                <w:rFonts w:ascii="Arial"/>
                <w:spacing w:val="-1"/>
                <w:sz w:val="18"/>
              </w:rPr>
              <w:t>15,000,000</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81"/>
              <w:jc w:val="right"/>
              <w:rPr>
                <w:rFonts w:ascii="Arial" w:hAnsi="Arial" w:cs="Arial" w:eastAsia="Arial" w:hint="default"/>
                <w:sz w:val="18"/>
                <w:szCs w:val="18"/>
              </w:rPr>
            </w:pPr>
            <w:r>
              <w:rPr>
                <w:rFonts w:ascii="Arial"/>
                <w:spacing w:val="-1"/>
                <w:sz w:val="18"/>
              </w:rPr>
              <w:t>15,000,000</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5"/>
              <w:jc w:val="right"/>
              <w:rPr>
                <w:rFonts w:ascii="Arial" w:hAnsi="Arial" w:cs="Arial" w:eastAsia="Arial" w:hint="default"/>
                <w:sz w:val="18"/>
                <w:szCs w:val="18"/>
              </w:rPr>
            </w:pPr>
            <w:r>
              <w:rPr>
                <w:rFonts w:ascii="Arial"/>
                <w:w w:val="99"/>
                <w:sz w:val="18"/>
              </w:rPr>
              <w:t>-</w:t>
            </w:r>
            <w:r>
              <w:rPr>
                <w:rFonts w:ascii="Arial"/>
                <w:sz w:val="18"/>
              </w:rPr>
            </w:r>
          </w:p>
        </w:tc>
        <w:tc>
          <w:tcPr>
            <w:tcW w:w="15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left="511" w:right="0"/>
              <w:jc w:val="left"/>
              <w:rPr>
                <w:rFonts w:ascii="Arial" w:hAnsi="Arial" w:cs="Arial" w:eastAsia="Arial" w:hint="default"/>
                <w:sz w:val="18"/>
                <w:szCs w:val="18"/>
              </w:rPr>
            </w:pPr>
            <w:r>
              <w:rPr>
                <w:rFonts w:ascii="Arial"/>
                <w:sz w:val="18"/>
              </w:rPr>
              <w:t>15,000,000</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67"/>
              <w:jc w:val="right"/>
              <w:rPr>
                <w:rFonts w:ascii="Arial" w:hAnsi="Arial" w:cs="Arial" w:eastAsia="Arial" w:hint="default"/>
                <w:sz w:val="18"/>
                <w:szCs w:val="18"/>
              </w:rPr>
            </w:pPr>
            <w:r>
              <w:rPr>
                <w:rFonts w:ascii="Arial"/>
                <w:w w:val="95"/>
                <w:sz w:val="18"/>
              </w:rPr>
              <w:t>12.85</w:t>
            </w:r>
            <w:r>
              <w:rPr>
                <w:rFonts w:ascii="Arial"/>
                <w:sz w:val="18"/>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03"/>
              <w:jc w:val="right"/>
              <w:rPr>
                <w:rFonts w:ascii="Arial" w:hAnsi="Arial" w:cs="Arial" w:eastAsia="Arial" w:hint="default"/>
                <w:sz w:val="18"/>
                <w:szCs w:val="18"/>
              </w:rPr>
            </w:pPr>
            <w:r>
              <w:rPr>
                <w:rFonts w:ascii="Arial"/>
                <w:w w:val="95"/>
                <w:sz w:val="18"/>
              </w:rPr>
              <w:t>12.85</w:t>
            </w:r>
            <w:r>
              <w:rPr>
                <w:rFonts w:ascii="Arial"/>
                <w:sz w:val="18"/>
              </w:rPr>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5"/>
              <w:jc w:val="right"/>
              <w:rPr>
                <w:rFonts w:ascii="Arial" w:hAnsi="Arial" w:cs="Arial" w:eastAsia="Arial" w:hint="default"/>
                <w:sz w:val="18"/>
                <w:szCs w:val="18"/>
              </w:rPr>
            </w:pPr>
            <w:r>
              <w:rPr>
                <w:rFonts w:ascii="Arial"/>
                <w:w w:val="99"/>
                <w:sz w:val="18"/>
              </w:rPr>
              <w:t>-</w:t>
            </w:r>
            <w:r>
              <w:rPr>
                <w:rFonts w:ascii="Arial"/>
                <w:sz w:val="18"/>
              </w:rPr>
            </w:r>
          </w:p>
        </w:tc>
        <w:tc>
          <w:tcPr>
            <w:tcW w:w="337"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95"/>
              <w:jc w:val="right"/>
              <w:rPr>
                <w:rFonts w:ascii="Arial" w:hAnsi="Arial" w:cs="Arial" w:eastAsia="Arial" w:hint="default"/>
                <w:sz w:val="18"/>
                <w:szCs w:val="18"/>
              </w:rPr>
            </w:pPr>
            <w:r>
              <w:rPr>
                <w:rFonts w:ascii="Arial"/>
                <w:w w:val="99"/>
                <w:sz w:val="18"/>
              </w:rPr>
              <w:t>-</w:t>
            </w:r>
            <w:r>
              <w:rPr>
                <w:rFonts w:ascii="Arial"/>
                <w:sz w:val="18"/>
              </w:rPr>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00"/>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3362" w:type="dxa"/>
            <w:tcBorders>
              <w:top w:val="nil" w:sz="6" w:space="0" w:color="auto"/>
              <w:left w:val="nil" w:sz="6" w:space="0" w:color="auto"/>
              <w:bottom w:val="nil" w:sz="6" w:space="0" w:color="auto"/>
              <w:right w:val="nil" w:sz="6" w:space="0" w:color="auto"/>
            </w:tcBorders>
          </w:tcPr>
          <w:p>
            <w:pPr>
              <w:pStyle w:val="TableParagraph"/>
              <w:spacing w:line="202" w:lineRule="exact"/>
              <w:ind w:left="375" w:right="0"/>
              <w:jc w:val="left"/>
              <w:rPr>
                <w:rFonts w:ascii="黑体" w:hAnsi="黑体" w:cs="黑体" w:eastAsia="黑体" w:hint="default"/>
                <w:sz w:val="18"/>
                <w:szCs w:val="18"/>
              </w:rPr>
            </w:pPr>
            <w:r>
              <w:rPr>
                <w:rFonts w:ascii="黑体" w:hAnsi="黑体" w:cs="黑体" w:eastAsia="黑体" w:hint="default"/>
                <w:sz w:val="18"/>
                <w:szCs w:val="18"/>
              </w:rPr>
              <w:t>北京盛景网联科技有限公司</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4"/>
              <w:jc w:val="right"/>
              <w:rPr>
                <w:rFonts w:ascii="Arial" w:hAnsi="Arial" w:cs="Arial" w:eastAsia="Arial" w:hint="default"/>
                <w:sz w:val="18"/>
                <w:szCs w:val="18"/>
              </w:rPr>
            </w:pPr>
            <w:r>
              <w:rPr>
                <w:rFonts w:ascii="Arial"/>
                <w:spacing w:val="-1"/>
                <w:sz w:val="18"/>
              </w:rPr>
              <w:t>11,550,000</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82"/>
              <w:jc w:val="right"/>
              <w:rPr>
                <w:rFonts w:ascii="Arial" w:hAnsi="Arial" w:cs="Arial" w:eastAsia="Arial" w:hint="default"/>
                <w:sz w:val="18"/>
                <w:szCs w:val="18"/>
              </w:rPr>
            </w:pPr>
            <w:r>
              <w:rPr>
                <w:rFonts w:ascii="Arial"/>
                <w:w w:val="99"/>
                <w:sz w:val="18"/>
              </w:rPr>
              <w:t>-</w:t>
            </w:r>
            <w:r>
              <w:rPr>
                <w:rFonts w:ascii="Arial"/>
                <w:sz w:val="18"/>
              </w:rPr>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
              <w:jc w:val="right"/>
              <w:rPr>
                <w:rFonts w:ascii="Arial" w:hAnsi="Arial" w:cs="Arial" w:eastAsia="Arial" w:hint="default"/>
                <w:sz w:val="18"/>
                <w:szCs w:val="18"/>
              </w:rPr>
            </w:pPr>
            <w:r>
              <w:rPr>
                <w:rFonts w:ascii="Arial"/>
                <w:spacing w:val="-1"/>
                <w:sz w:val="18"/>
              </w:rPr>
              <w:t>11,550,000</w:t>
            </w:r>
          </w:p>
        </w:tc>
        <w:tc>
          <w:tcPr>
            <w:tcW w:w="15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9"/>
              <w:ind w:left="511" w:right="0"/>
              <w:jc w:val="left"/>
              <w:rPr>
                <w:rFonts w:ascii="Arial" w:hAnsi="Arial" w:cs="Arial" w:eastAsia="Arial" w:hint="default"/>
                <w:sz w:val="18"/>
                <w:szCs w:val="18"/>
              </w:rPr>
            </w:pPr>
            <w:r>
              <w:rPr>
                <w:rFonts w:ascii="Arial"/>
                <w:sz w:val="18"/>
              </w:rPr>
              <w:t>11,550,000</w:t>
            </w:r>
          </w:p>
        </w:tc>
        <w:tc>
          <w:tcPr>
            <w:tcW w:w="1067" w:type="dxa"/>
            <w:tcBorders>
              <w:top w:val="nil" w:sz="6" w:space="0" w:color="auto"/>
              <w:left w:val="nil" w:sz="6" w:space="0" w:color="auto"/>
              <w:bottom w:val="nil" w:sz="6" w:space="0" w:color="auto"/>
              <w:right w:val="nil" w:sz="6" w:space="0" w:color="auto"/>
            </w:tcBorders>
          </w:tcPr>
          <w:p>
            <w:pPr>
              <w:pStyle w:val="TableParagraph"/>
              <w:spacing w:line="222" w:lineRule="exact"/>
              <w:ind w:right="166"/>
              <w:jc w:val="right"/>
              <w:rPr>
                <w:rFonts w:ascii="Arial" w:hAnsi="Arial" w:cs="Arial" w:eastAsia="Arial" w:hint="default"/>
                <w:sz w:val="18"/>
                <w:szCs w:val="18"/>
              </w:rPr>
            </w:pPr>
            <w:r>
              <w:rPr>
                <w:rFonts w:ascii="黑体" w:hAnsi="黑体" w:cs="黑体" w:eastAsia="黑体" w:hint="default"/>
                <w:sz w:val="18"/>
                <w:szCs w:val="18"/>
              </w:rPr>
              <w:t>低于</w:t>
            </w:r>
            <w:r>
              <w:rPr>
                <w:rFonts w:ascii="黑体" w:hAnsi="黑体" w:cs="黑体" w:eastAsia="黑体" w:hint="default"/>
                <w:spacing w:val="-46"/>
                <w:sz w:val="18"/>
                <w:szCs w:val="18"/>
              </w:rPr>
              <w:t> </w:t>
            </w:r>
            <w:r>
              <w:rPr>
                <w:rFonts w:ascii="Arial" w:hAnsi="Arial" w:cs="Arial" w:eastAsia="Arial" w:hint="default"/>
                <w:sz w:val="18"/>
                <w:szCs w:val="18"/>
              </w:rPr>
              <w:t>10%</w:t>
            </w:r>
          </w:p>
        </w:tc>
        <w:tc>
          <w:tcPr>
            <w:tcW w:w="1276" w:type="dxa"/>
            <w:tcBorders>
              <w:top w:val="nil" w:sz="6" w:space="0" w:color="auto"/>
              <w:left w:val="nil" w:sz="6" w:space="0" w:color="auto"/>
              <w:bottom w:val="nil" w:sz="6" w:space="0" w:color="auto"/>
              <w:right w:val="nil" w:sz="6" w:space="0" w:color="auto"/>
            </w:tcBorders>
          </w:tcPr>
          <w:p>
            <w:pPr>
              <w:pStyle w:val="TableParagraph"/>
              <w:spacing w:line="222" w:lineRule="exact"/>
              <w:ind w:right="203"/>
              <w:jc w:val="right"/>
              <w:rPr>
                <w:rFonts w:ascii="Arial" w:hAnsi="Arial" w:cs="Arial" w:eastAsia="Arial" w:hint="default"/>
                <w:sz w:val="18"/>
                <w:szCs w:val="18"/>
              </w:rPr>
            </w:pPr>
            <w:r>
              <w:rPr>
                <w:rFonts w:ascii="黑体" w:hAnsi="黑体" w:cs="黑体" w:eastAsia="黑体" w:hint="default"/>
                <w:sz w:val="18"/>
                <w:szCs w:val="18"/>
              </w:rPr>
              <w:t>低于</w:t>
            </w:r>
            <w:r>
              <w:rPr>
                <w:rFonts w:ascii="黑体" w:hAnsi="黑体" w:cs="黑体" w:eastAsia="黑体" w:hint="default"/>
                <w:spacing w:val="-46"/>
                <w:sz w:val="18"/>
                <w:szCs w:val="18"/>
              </w:rPr>
              <w:t> </w:t>
            </w:r>
            <w:r>
              <w:rPr>
                <w:rFonts w:ascii="Arial" w:hAnsi="Arial" w:cs="Arial" w:eastAsia="Arial" w:hint="default"/>
                <w:sz w:val="18"/>
                <w:szCs w:val="18"/>
              </w:rPr>
              <w:t>10%</w:t>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
              <w:jc w:val="right"/>
              <w:rPr>
                <w:rFonts w:ascii="Arial" w:hAnsi="Arial" w:cs="Arial" w:eastAsia="Arial" w:hint="default"/>
                <w:sz w:val="18"/>
                <w:szCs w:val="18"/>
              </w:rPr>
            </w:pPr>
            <w:r>
              <w:rPr>
                <w:rFonts w:ascii="Arial"/>
                <w:w w:val="99"/>
                <w:sz w:val="18"/>
              </w:rPr>
              <w:t>-</w:t>
            </w:r>
            <w:r>
              <w:rPr>
                <w:rFonts w:ascii="Arial"/>
                <w:sz w:val="18"/>
              </w:rPr>
            </w:r>
          </w:p>
        </w:tc>
        <w:tc>
          <w:tcPr>
            <w:tcW w:w="337"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5"/>
              <w:jc w:val="right"/>
              <w:rPr>
                <w:rFonts w:ascii="Arial" w:hAnsi="Arial" w:cs="Arial" w:eastAsia="Arial" w:hint="default"/>
                <w:sz w:val="18"/>
                <w:szCs w:val="18"/>
              </w:rPr>
            </w:pPr>
            <w:r>
              <w:rPr>
                <w:rFonts w:ascii="Arial"/>
                <w:w w:val="99"/>
                <w:sz w:val="18"/>
              </w:rPr>
              <w:t>-</w:t>
            </w:r>
            <w:r>
              <w:rPr>
                <w:rFonts w:ascii="Arial"/>
                <w:sz w:val="18"/>
              </w:rPr>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00"/>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3362" w:type="dxa"/>
            <w:tcBorders>
              <w:top w:val="nil" w:sz="6" w:space="0" w:color="auto"/>
              <w:left w:val="nil" w:sz="6" w:space="0" w:color="auto"/>
              <w:bottom w:val="nil" w:sz="6" w:space="0" w:color="auto"/>
              <w:right w:val="nil" w:sz="6" w:space="0" w:color="auto"/>
            </w:tcBorders>
          </w:tcPr>
          <w:p>
            <w:pPr>
              <w:pStyle w:val="TableParagraph"/>
              <w:spacing w:line="202" w:lineRule="exact"/>
              <w:ind w:left="375" w:right="0"/>
              <w:jc w:val="left"/>
              <w:rPr>
                <w:rFonts w:ascii="黑体" w:hAnsi="黑体" w:cs="黑体" w:eastAsia="黑体" w:hint="default"/>
                <w:sz w:val="18"/>
                <w:szCs w:val="18"/>
              </w:rPr>
            </w:pPr>
            <w:r>
              <w:rPr>
                <w:rFonts w:ascii="黑体" w:hAnsi="黑体" w:cs="黑体" w:eastAsia="黑体" w:hint="default"/>
                <w:sz w:val="18"/>
                <w:szCs w:val="18"/>
              </w:rPr>
              <w:t>北京中明万长管理咨询有限公司</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4"/>
              <w:jc w:val="right"/>
              <w:rPr>
                <w:rFonts w:ascii="Arial" w:hAnsi="Arial" w:cs="Arial" w:eastAsia="Arial" w:hint="default"/>
                <w:sz w:val="18"/>
                <w:szCs w:val="18"/>
              </w:rPr>
            </w:pPr>
            <w:r>
              <w:rPr>
                <w:rFonts w:ascii="Arial"/>
                <w:spacing w:val="-1"/>
                <w:sz w:val="18"/>
              </w:rPr>
              <w:t>19,500</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82"/>
              <w:jc w:val="right"/>
              <w:rPr>
                <w:rFonts w:ascii="Arial" w:hAnsi="Arial" w:cs="Arial" w:eastAsia="Arial" w:hint="default"/>
                <w:sz w:val="18"/>
                <w:szCs w:val="18"/>
              </w:rPr>
            </w:pPr>
            <w:r>
              <w:rPr>
                <w:rFonts w:ascii="Arial"/>
                <w:w w:val="99"/>
                <w:sz w:val="18"/>
              </w:rPr>
              <w:t>-</w:t>
            </w:r>
            <w:r>
              <w:rPr>
                <w:rFonts w:ascii="Arial"/>
                <w:sz w:val="18"/>
              </w:rPr>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
              <w:jc w:val="right"/>
              <w:rPr>
                <w:rFonts w:ascii="Arial" w:hAnsi="Arial" w:cs="Arial" w:eastAsia="Arial" w:hint="default"/>
                <w:sz w:val="18"/>
                <w:szCs w:val="18"/>
              </w:rPr>
            </w:pPr>
            <w:r>
              <w:rPr>
                <w:rFonts w:ascii="Arial"/>
                <w:spacing w:val="-1"/>
                <w:sz w:val="18"/>
              </w:rPr>
              <w:t>19,500</w:t>
            </w:r>
          </w:p>
        </w:tc>
        <w:tc>
          <w:tcPr>
            <w:tcW w:w="708" w:type="dxa"/>
            <w:tcBorders>
              <w:top w:val="nil" w:sz="6" w:space="0" w:color="auto"/>
              <w:left w:val="nil" w:sz="6" w:space="0" w:color="auto"/>
              <w:bottom w:val="nil" w:sz="6" w:space="0" w:color="auto"/>
              <w:right w:val="nil" w:sz="6" w:space="0" w:color="auto"/>
            </w:tcBorders>
          </w:tcPr>
          <w:p>
            <w:pPr/>
          </w:p>
        </w:tc>
        <w:tc>
          <w:tcPr>
            <w:tcW w:w="83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29"/>
              <w:jc w:val="right"/>
              <w:rPr>
                <w:rFonts w:ascii="Arial" w:hAnsi="Arial" w:cs="Arial" w:eastAsia="Arial" w:hint="default"/>
                <w:sz w:val="18"/>
                <w:szCs w:val="18"/>
              </w:rPr>
            </w:pPr>
            <w:r>
              <w:rPr>
                <w:rFonts w:ascii="Arial"/>
                <w:spacing w:val="-1"/>
                <w:sz w:val="18"/>
              </w:rPr>
              <w:t>19,500</w:t>
            </w:r>
          </w:p>
        </w:tc>
        <w:tc>
          <w:tcPr>
            <w:tcW w:w="1067" w:type="dxa"/>
            <w:tcBorders>
              <w:top w:val="nil" w:sz="6" w:space="0" w:color="auto"/>
              <w:left w:val="nil" w:sz="6" w:space="0" w:color="auto"/>
              <w:bottom w:val="nil" w:sz="6" w:space="0" w:color="auto"/>
              <w:right w:val="nil" w:sz="6" w:space="0" w:color="auto"/>
            </w:tcBorders>
          </w:tcPr>
          <w:p>
            <w:pPr>
              <w:pStyle w:val="TableParagraph"/>
              <w:spacing w:line="222" w:lineRule="exact"/>
              <w:ind w:right="166"/>
              <w:jc w:val="right"/>
              <w:rPr>
                <w:rFonts w:ascii="Arial" w:hAnsi="Arial" w:cs="Arial" w:eastAsia="Arial" w:hint="default"/>
                <w:sz w:val="18"/>
                <w:szCs w:val="18"/>
              </w:rPr>
            </w:pPr>
            <w:r>
              <w:rPr>
                <w:rFonts w:ascii="黑体" w:hAnsi="黑体" w:cs="黑体" w:eastAsia="黑体" w:hint="default"/>
                <w:sz w:val="18"/>
                <w:szCs w:val="18"/>
              </w:rPr>
              <w:t>低于</w:t>
            </w:r>
            <w:r>
              <w:rPr>
                <w:rFonts w:ascii="黑体" w:hAnsi="黑体" w:cs="黑体" w:eastAsia="黑体" w:hint="default"/>
                <w:spacing w:val="-46"/>
                <w:sz w:val="18"/>
                <w:szCs w:val="18"/>
              </w:rPr>
              <w:t> </w:t>
            </w:r>
            <w:r>
              <w:rPr>
                <w:rFonts w:ascii="Arial" w:hAnsi="Arial" w:cs="Arial" w:eastAsia="Arial" w:hint="default"/>
                <w:sz w:val="18"/>
                <w:szCs w:val="18"/>
              </w:rPr>
              <w:t>10%</w:t>
            </w:r>
          </w:p>
        </w:tc>
        <w:tc>
          <w:tcPr>
            <w:tcW w:w="1276" w:type="dxa"/>
            <w:tcBorders>
              <w:top w:val="nil" w:sz="6" w:space="0" w:color="auto"/>
              <w:left w:val="nil" w:sz="6" w:space="0" w:color="auto"/>
              <w:bottom w:val="nil" w:sz="6" w:space="0" w:color="auto"/>
              <w:right w:val="nil" w:sz="6" w:space="0" w:color="auto"/>
            </w:tcBorders>
          </w:tcPr>
          <w:p>
            <w:pPr>
              <w:pStyle w:val="TableParagraph"/>
              <w:spacing w:line="222" w:lineRule="exact"/>
              <w:ind w:right="203"/>
              <w:jc w:val="right"/>
              <w:rPr>
                <w:rFonts w:ascii="Arial" w:hAnsi="Arial" w:cs="Arial" w:eastAsia="Arial" w:hint="default"/>
                <w:sz w:val="18"/>
                <w:szCs w:val="18"/>
              </w:rPr>
            </w:pPr>
            <w:r>
              <w:rPr>
                <w:rFonts w:ascii="黑体" w:hAnsi="黑体" w:cs="黑体" w:eastAsia="黑体" w:hint="default"/>
                <w:sz w:val="18"/>
                <w:szCs w:val="18"/>
              </w:rPr>
              <w:t>低于</w:t>
            </w:r>
            <w:r>
              <w:rPr>
                <w:rFonts w:ascii="黑体" w:hAnsi="黑体" w:cs="黑体" w:eastAsia="黑体" w:hint="default"/>
                <w:spacing w:val="-46"/>
                <w:sz w:val="18"/>
                <w:szCs w:val="18"/>
              </w:rPr>
              <w:t> </w:t>
            </w:r>
            <w:r>
              <w:rPr>
                <w:rFonts w:ascii="Arial" w:hAnsi="Arial" w:cs="Arial" w:eastAsia="Arial" w:hint="default"/>
                <w:sz w:val="18"/>
                <w:szCs w:val="18"/>
              </w:rPr>
              <w:t>10%</w:t>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
              <w:jc w:val="right"/>
              <w:rPr>
                <w:rFonts w:ascii="Arial" w:hAnsi="Arial" w:cs="Arial" w:eastAsia="Arial" w:hint="default"/>
                <w:sz w:val="18"/>
                <w:szCs w:val="18"/>
              </w:rPr>
            </w:pPr>
            <w:r>
              <w:rPr>
                <w:rFonts w:ascii="Arial"/>
                <w:w w:val="99"/>
                <w:sz w:val="18"/>
              </w:rPr>
              <w:t>-</w:t>
            </w:r>
            <w:r>
              <w:rPr>
                <w:rFonts w:ascii="Arial"/>
                <w:sz w:val="18"/>
              </w:rPr>
            </w:r>
          </w:p>
        </w:tc>
        <w:tc>
          <w:tcPr>
            <w:tcW w:w="337"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5"/>
              <w:jc w:val="right"/>
              <w:rPr>
                <w:rFonts w:ascii="Arial" w:hAnsi="Arial" w:cs="Arial" w:eastAsia="Arial" w:hint="default"/>
                <w:sz w:val="18"/>
                <w:szCs w:val="18"/>
              </w:rPr>
            </w:pPr>
            <w:r>
              <w:rPr>
                <w:rFonts w:ascii="Arial"/>
                <w:w w:val="99"/>
                <w:sz w:val="18"/>
              </w:rPr>
              <w:t>-</w:t>
            </w:r>
            <w:r>
              <w:rPr>
                <w:rFonts w:ascii="Arial"/>
                <w:sz w:val="18"/>
              </w:rPr>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00"/>
              <w:jc w:val="right"/>
              <w:rPr>
                <w:rFonts w:ascii="Arial" w:hAnsi="Arial" w:cs="Arial" w:eastAsia="Arial" w:hint="default"/>
                <w:sz w:val="18"/>
                <w:szCs w:val="18"/>
              </w:rPr>
            </w:pPr>
            <w:r>
              <w:rPr>
                <w:rFonts w:ascii="Arial"/>
                <w:w w:val="99"/>
                <w:sz w:val="18"/>
              </w:rPr>
              <w:t>-</w:t>
            </w:r>
            <w:r>
              <w:rPr>
                <w:rFonts w:ascii="Arial"/>
                <w:sz w:val="18"/>
              </w:rPr>
            </w:r>
          </w:p>
        </w:tc>
      </w:tr>
      <w:tr>
        <w:trPr>
          <w:trHeight w:val="256" w:hRule="exact"/>
        </w:trPr>
        <w:tc>
          <w:tcPr>
            <w:tcW w:w="3362" w:type="dxa"/>
            <w:tcBorders>
              <w:top w:val="nil" w:sz="6" w:space="0" w:color="auto"/>
              <w:left w:val="nil" w:sz="6" w:space="0" w:color="auto"/>
              <w:bottom w:val="nil" w:sz="6" w:space="0" w:color="auto"/>
              <w:right w:val="nil" w:sz="6" w:space="0" w:color="auto"/>
            </w:tcBorders>
          </w:tcPr>
          <w:p>
            <w:pPr>
              <w:pStyle w:val="TableParagraph"/>
              <w:spacing w:line="202" w:lineRule="exact"/>
              <w:ind w:left="375" w:right="0"/>
              <w:jc w:val="left"/>
              <w:rPr>
                <w:rFonts w:ascii="黑体" w:hAnsi="黑体" w:cs="黑体" w:eastAsia="黑体" w:hint="default"/>
                <w:sz w:val="18"/>
                <w:szCs w:val="18"/>
              </w:rPr>
            </w:pPr>
            <w:r>
              <w:rPr>
                <w:rFonts w:ascii="黑体" w:hAnsi="黑体" w:cs="黑体" w:eastAsia="黑体" w:hint="default"/>
                <w:sz w:val="18"/>
                <w:szCs w:val="18"/>
              </w:rPr>
              <w:t>北京创业创媒传媒技术有限公司</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5"/>
              <w:jc w:val="right"/>
              <w:rPr>
                <w:rFonts w:ascii="Arial" w:hAnsi="Arial" w:cs="Arial" w:eastAsia="Arial" w:hint="default"/>
                <w:sz w:val="18"/>
                <w:szCs w:val="18"/>
              </w:rPr>
            </w:pPr>
            <w:r>
              <w:rPr>
                <w:rFonts w:ascii="Arial"/>
                <w:spacing w:val="-1"/>
                <w:sz w:val="18"/>
              </w:rPr>
              <w:t>6,000,000</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82"/>
              <w:jc w:val="right"/>
              <w:rPr>
                <w:rFonts w:ascii="Arial" w:hAnsi="Arial" w:cs="Arial" w:eastAsia="Arial" w:hint="default"/>
                <w:sz w:val="18"/>
                <w:szCs w:val="18"/>
              </w:rPr>
            </w:pPr>
            <w:r>
              <w:rPr>
                <w:rFonts w:ascii="Arial"/>
                <w:w w:val="99"/>
                <w:sz w:val="18"/>
              </w:rPr>
              <w:t>-</w:t>
            </w:r>
            <w:r>
              <w:rPr>
                <w:rFonts w:ascii="Arial"/>
                <w:sz w:val="18"/>
              </w:rPr>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
              <w:jc w:val="right"/>
              <w:rPr>
                <w:rFonts w:ascii="Arial" w:hAnsi="Arial" w:cs="Arial" w:eastAsia="Arial" w:hint="default"/>
                <w:sz w:val="18"/>
                <w:szCs w:val="18"/>
              </w:rPr>
            </w:pPr>
            <w:r>
              <w:rPr>
                <w:rFonts w:ascii="Arial"/>
                <w:spacing w:val="-1"/>
                <w:sz w:val="18"/>
              </w:rPr>
              <w:t>6,000,000</w:t>
            </w:r>
          </w:p>
        </w:tc>
        <w:tc>
          <w:tcPr>
            <w:tcW w:w="15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9"/>
              <w:ind w:left="609" w:right="0"/>
              <w:jc w:val="left"/>
              <w:rPr>
                <w:rFonts w:ascii="Arial" w:hAnsi="Arial" w:cs="Arial" w:eastAsia="Arial" w:hint="default"/>
                <w:sz w:val="18"/>
                <w:szCs w:val="18"/>
              </w:rPr>
            </w:pPr>
            <w:r>
              <w:rPr>
                <w:rFonts w:ascii="Arial"/>
                <w:sz w:val="18"/>
              </w:rPr>
              <w:t>6,000,000</w:t>
            </w:r>
          </w:p>
        </w:tc>
        <w:tc>
          <w:tcPr>
            <w:tcW w:w="1067" w:type="dxa"/>
            <w:tcBorders>
              <w:top w:val="nil" w:sz="6" w:space="0" w:color="auto"/>
              <w:left w:val="nil" w:sz="6" w:space="0" w:color="auto"/>
              <w:bottom w:val="nil" w:sz="6" w:space="0" w:color="auto"/>
              <w:right w:val="nil" w:sz="6" w:space="0" w:color="auto"/>
            </w:tcBorders>
          </w:tcPr>
          <w:p>
            <w:pPr>
              <w:pStyle w:val="TableParagraph"/>
              <w:spacing w:line="222" w:lineRule="exact"/>
              <w:ind w:right="166"/>
              <w:jc w:val="right"/>
              <w:rPr>
                <w:rFonts w:ascii="Arial" w:hAnsi="Arial" w:cs="Arial" w:eastAsia="Arial" w:hint="default"/>
                <w:sz w:val="18"/>
                <w:szCs w:val="18"/>
              </w:rPr>
            </w:pPr>
            <w:r>
              <w:rPr>
                <w:rFonts w:ascii="黑体" w:hAnsi="黑体" w:cs="黑体" w:eastAsia="黑体" w:hint="default"/>
                <w:sz w:val="18"/>
                <w:szCs w:val="18"/>
              </w:rPr>
              <w:t>低于</w:t>
            </w:r>
            <w:r>
              <w:rPr>
                <w:rFonts w:ascii="黑体" w:hAnsi="黑体" w:cs="黑体" w:eastAsia="黑体" w:hint="default"/>
                <w:spacing w:val="-46"/>
                <w:sz w:val="18"/>
                <w:szCs w:val="18"/>
              </w:rPr>
              <w:t> </w:t>
            </w:r>
            <w:r>
              <w:rPr>
                <w:rFonts w:ascii="Arial" w:hAnsi="Arial" w:cs="Arial" w:eastAsia="Arial" w:hint="default"/>
                <w:sz w:val="18"/>
                <w:szCs w:val="18"/>
              </w:rPr>
              <w:t>10%</w:t>
            </w:r>
          </w:p>
        </w:tc>
        <w:tc>
          <w:tcPr>
            <w:tcW w:w="1276" w:type="dxa"/>
            <w:tcBorders>
              <w:top w:val="nil" w:sz="6" w:space="0" w:color="auto"/>
              <w:left w:val="nil" w:sz="6" w:space="0" w:color="auto"/>
              <w:bottom w:val="nil" w:sz="6" w:space="0" w:color="auto"/>
              <w:right w:val="nil" w:sz="6" w:space="0" w:color="auto"/>
            </w:tcBorders>
          </w:tcPr>
          <w:p>
            <w:pPr>
              <w:pStyle w:val="TableParagraph"/>
              <w:spacing w:line="222" w:lineRule="exact"/>
              <w:ind w:right="203"/>
              <w:jc w:val="right"/>
              <w:rPr>
                <w:rFonts w:ascii="Arial" w:hAnsi="Arial" w:cs="Arial" w:eastAsia="Arial" w:hint="default"/>
                <w:sz w:val="18"/>
                <w:szCs w:val="18"/>
              </w:rPr>
            </w:pPr>
            <w:r>
              <w:rPr>
                <w:rFonts w:ascii="黑体" w:hAnsi="黑体" w:cs="黑体" w:eastAsia="黑体" w:hint="default"/>
                <w:sz w:val="18"/>
                <w:szCs w:val="18"/>
              </w:rPr>
              <w:t>低于</w:t>
            </w:r>
            <w:r>
              <w:rPr>
                <w:rFonts w:ascii="黑体" w:hAnsi="黑体" w:cs="黑体" w:eastAsia="黑体" w:hint="default"/>
                <w:spacing w:val="-46"/>
                <w:sz w:val="18"/>
                <w:szCs w:val="18"/>
              </w:rPr>
              <w:t> </w:t>
            </w:r>
            <w:r>
              <w:rPr>
                <w:rFonts w:ascii="Arial" w:hAnsi="Arial" w:cs="Arial" w:eastAsia="Arial" w:hint="default"/>
                <w:sz w:val="18"/>
                <w:szCs w:val="18"/>
              </w:rPr>
              <w:t>10%</w:t>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
              <w:jc w:val="right"/>
              <w:rPr>
                <w:rFonts w:ascii="Arial" w:hAnsi="Arial" w:cs="Arial" w:eastAsia="Arial" w:hint="default"/>
                <w:sz w:val="18"/>
                <w:szCs w:val="18"/>
              </w:rPr>
            </w:pPr>
            <w:r>
              <w:rPr>
                <w:rFonts w:ascii="Arial"/>
                <w:w w:val="99"/>
                <w:sz w:val="18"/>
              </w:rPr>
              <w:t>-</w:t>
            </w:r>
            <w:r>
              <w:rPr>
                <w:rFonts w:ascii="Arial"/>
                <w:sz w:val="18"/>
              </w:rPr>
            </w:r>
          </w:p>
        </w:tc>
        <w:tc>
          <w:tcPr>
            <w:tcW w:w="337"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5"/>
              <w:jc w:val="right"/>
              <w:rPr>
                <w:rFonts w:ascii="Arial" w:hAnsi="Arial" w:cs="Arial" w:eastAsia="Arial" w:hint="default"/>
                <w:sz w:val="18"/>
                <w:szCs w:val="18"/>
              </w:rPr>
            </w:pPr>
            <w:r>
              <w:rPr>
                <w:rFonts w:ascii="Arial"/>
                <w:w w:val="99"/>
                <w:sz w:val="18"/>
              </w:rPr>
              <w:t>-</w:t>
            </w:r>
            <w:r>
              <w:rPr>
                <w:rFonts w:ascii="Arial"/>
                <w:sz w:val="18"/>
              </w:rPr>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00"/>
              <w:jc w:val="right"/>
              <w:rPr>
                <w:rFonts w:ascii="Arial" w:hAnsi="Arial" w:cs="Arial" w:eastAsia="Arial" w:hint="default"/>
                <w:sz w:val="18"/>
                <w:szCs w:val="18"/>
              </w:rPr>
            </w:pPr>
            <w:r>
              <w:rPr>
                <w:rFonts w:ascii="Arial"/>
                <w:w w:val="99"/>
                <w:sz w:val="18"/>
              </w:rPr>
              <w:t>-</w:t>
            </w:r>
            <w:r>
              <w:rPr>
                <w:rFonts w:ascii="Arial"/>
                <w:sz w:val="18"/>
              </w:rPr>
            </w:r>
          </w:p>
        </w:tc>
      </w:tr>
      <w:tr>
        <w:trPr>
          <w:trHeight w:val="256" w:hRule="exact"/>
        </w:trPr>
        <w:tc>
          <w:tcPr>
            <w:tcW w:w="3362" w:type="dxa"/>
            <w:tcBorders>
              <w:top w:val="nil" w:sz="6" w:space="0" w:color="auto"/>
              <w:left w:val="nil" w:sz="6" w:space="0" w:color="auto"/>
              <w:bottom w:val="nil" w:sz="6" w:space="0" w:color="auto"/>
              <w:right w:val="nil" w:sz="6" w:space="0" w:color="auto"/>
            </w:tcBorders>
          </w:tcPr>
          <w:p>
            <w:pPr>
              <w:pStyle w:val="TableParagraph"/>
              <w:spacing w:line="203" w:lineRule="exact"/>
              <w:ind w:left="375" w:right="0"/>
              <w:jc w:val="left"/>
              <w:rPr>
                <w:rFonts w:ascii="黑体" w:hAnsi="黑体" w:cs="黑体" w:eastAsia="黑体" w:hint="default"/>
                <w:sz w:val="18"/>
                <w:szCs w:val="18"/>
              </w:rPr>
            </w:pPr>
            <w:r>
              <w:rPr>
                <w:rFonts w:ascii="黑体" w:hAnsi="黑体" w:cs="黑体" w:eastAsia="黑体" w:hint="default"/>
                <w:sz w:val="18"/>
                <w:szCs w:val="18"/>
              </w:rPr>
              <w:t>北京文德致远文化传播有限公司</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65"/>
              <w:jc w:val="right"/>
              <w:rPr>
                <w:rFonts w:ascii="Arial" w:hAnsi="Arial" w:cs="Arial" w:eastAsia="Arial" w:hint="default"/>
                <w:sz w:val="18"/>
                <w:szCs w:val="18"/>
              </w:rPr>
            </w:pPr>
            <w:r>
              <w:rPr>
                <w:rFonts w:ascii="Arial"/>
                <w:spacing w:val="-1"/>
                <w:sz w:val="18"/>
              </w:rPr>
              <w:t>5,980,500</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82"/>
              <w:jc w:val="right"/>
              <w:rPr>
                <w:rFonts w:ascii="Arial" w:hAnsi="Arial" w:cs="Arial" w:eastAsia="Arial" w:hint="default"/>
                <w:sz w:val="18"/>
                <w:szCs w:val="18"/>
              </w:rPr>
            </w:pPr>
            <w:r>
              <w:rPr>
                <w:rFonts w:ascii="Arial"/>
                <w:w w:val="99"/>
                <w:sz w:val="18"/>
              </w:rPr>
              <w:t>-</w:t>
            </w:r>
            <w:r>
              <w:rPr>
                <w:rFonts w:ascii="Arial"/>
                <w:sz w:val="18"/>
              </w:rPr>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
              <w:jc w:val="right"/>
              <w:rPr>
                <w:rFonts w:ascii="Arial" w:hAnsi="Arial" w:cs="Arial" w:eastAsia="Arial" w:hint="default"/>
                <w:sz w:val="18"/>
                <w:szCs w:val="18"/>
              </w:rPr>
            </w:pPr>
            <w:r>
              <w:rPr>
                <w:rFonts w:ascii="Arial"/>
                <w:spacing w:val="-1"/>
                <w:sz w:val="18"/>
              </w:rPr>
              <w:t>5,980,500</w:t>
            </w:r>
          </w:p>
        </w:tc>
        <w:tc>
          <w:tcPr>
            <w:tcW w:w="15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left="609" w:right="0"/>
              <w:jc w:val="left"/>
              <w:rPr>
                <w:rFonts w:ascii="Arial" w:hAnsi="Arial" w:cs="Arial" w:eastAsia="Arial" w:hint="default"/>
                <w:sz w:val="18"/>
                <w:szCs w:val="18"/>
              </w:rPr>
            </w:pPr>
            <w:r>
              <w:rPr>
                <w:rFonts w:ascii="Arial"/>
                <w:sz w:val="18"/>
              </w:rPr>
              <w:t>5,980,500</w:t>
            </w:r>
          </w:p>
        </w:tc>
        <w:tc>
          <w:tcPr>
            <w:tcW w:w="1067" w:type="dxa"/>
            <w:tcBorders>
              <w:top w:val="nil" w:sz="6" w:space="0" w:color="auto"/>
              <w:left w:val="nil" w:sz="6" w:space="0" w:color="auto"/>
              <w:bottom w:val="nil" w:sz="6" w:space="0" w:color="auto"/>
              <w:right w:val="nil" w:sz="6" w:space="0" w:color="auto"/>
            </w:tcBorders>
          </w:tcPr>
          <w:p>
            <w:pPr>
              <w:pStyle w:val="TableParagraph"/>
              <w:spacing w:line="223" w:lineRule="exact"/>
              <w:ind w:right="166"/>
              <w:jc w:val="right"/>
              <w:rPr>
                <w:rFonts w:ascii="Arial" w:hAnsi="Arial" w:cs="Arial" w:eastAsia="Arial" w:hint="default"/>
                <w:sz w:val="18"/>
                <w:szCs w:val="18"/>
              </w:rPr>
            </w:pPr>
            <w:r>
              <w:rPr>
                <w:rFonts w:ascii="黑体" w:hAnsi="黑体" w:cs="黑体" w:eastAsia="黑体" w:hint="default"/>
                <w:sz w:val="18"/>
                <w:szCs w:val="18"/>
              </w:rPr>
              <w:t>低于</w:t>
            </w:r>
            <w:r>
              <w:rPr>
                <w:rFonts w:ascii="黑体" w:hAnsi="黑体" w:cs="黑体" w:eastAsia="黑体" w:hint="default"/>
                <w:spacing w:val="-46"/>
                <w:sz w:val="18"/>
                <w:szCs w:val="18"/>
              </w:rPr>
              <w:t> </w:t>
            </w:r>
            <w:r>
              <w:rPr>
                <w:rFonts w:ascii="Arial" w:hAnsi="Arial" w:cs="Arial" w:eastAsia="Arial" w:hint="default"/>
                <w:sz w:val="18"/>
                <w:szCs w:val="18"/>
              </w:rPr>
              <w:t>10%</w:t>
            </w:r>
          </w:p>
        </w:tc>
        <w:tc>
          <w:tcPr>
            <w:tcW w:w="1276" w:type="dxa"/>
            <w:tcBorders>
              <w:top w:val="nil" w:sz="6" w:space="0" w:color="auto"/>
              <w:left w:val="nil" w:sz="6" w:space="0" w:color="auto"/>
              <w:bottom w:val="nil" w:sz="6" w:space="0" w:color="auto"/>
              <w:right w:val="nil" w:sz="6" w:space="0" w:color="auto"/>
            </w:tcBorders>
          </w:tcPr>
          <w:p>
            <w:pPr>
              <w:pStyle w:val="TableParagraph"/>
              <w:spacing w:line="223" w:lineRule="exact"/>
              <w:ind w:right="203"/>
              <w:jc w:val="right"/>
              <w:rPr>
                <w:rFonts w:ascii="Arial" w:hAnsi="Arial" w:cs="Arial" w:eastAsia="Arial" w:hint="default"/>
                <w:sz w:val="18"/>
                <w:szCs w:val="18"/>
              </w:rPr>
            </w:pPr>
            <w:r>
              <w:rPr>
                <w:rFonts w:ascii="黑体" w:hAnsi="黑体" w:cs="黑体" w:eastAsia="黑体" w:hint="default"/>
                <w:sz w:val="18"/>
                <w:szCs w:val="18"/>
              </w:rPr>
              <w:t>低于</w:t>
            </w:r>
            <w:r>
              <w:rPr>
                <w:rFonts w:ascii="黑体" w:hAnsi="黑体" w:cs="黑体" w:eastAsia="黑体" w:hint="default"/>
                <w:spacing w:val="-46"/>
                <w:sz w:val="18"/>
                <w:szCs w:val="18"/>
              </w:rPr>
              <w:t> </w:t>
            </w:r>
            <w:r>
              <w:rPr>
                <w:rFonts w:ascii="Arial" w:hAnsi="Arial" w:cs="Arial" w:eastAsia="Arial" w:hint="default"/>
                <w:sz w:val="18"/>
                <w:szCs w:val="18"/>
              </w:rPr>
              <w:t>10%</w:t>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5"/>
              <w:jc w:val="right"/>
              <w:rPr>
                <w:rFonts w:ascii="Arial" w:hAnsi="Arial" w:cs="Arial" w:eastAsia="Arial" w:hint="default"/>
                <w:sz w:val="18"/>
                <w:szCs w:val="18"/>
              </w:rPr>
            </w:pPr>
            <w:r>
              <w:rPr>
                <w:rFonts w:ascii="Arial"/>
                <w:w w:val="99"/>
                <w:sz w:val="18"/>
              </w:rPr>
              <w:t>-</w:t>
            </w:r>
            <w:r>
              <w:rPr>
                <w:rFonts w:ascii="Arial"/>
                <w:sz w:val="18"/>
              </w:rPr>
            </w:r>
          </w:p>
        </w:tc>
        <w:tc>
          <w:tcPr>
            <w:tcW w:w="337"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95"/>
              <w:jc w:val="right"/>
              <w:rPr>
                <w:rFonts w:ascii="Arial" w:hAnsi="Arial" w:cs="Arial" w:eastAsia="Arial" w:hint="default"/>
                <w:sz w:val="18"/>
                <w:szCs w:val="18"/>
              </w:rPr>
            </w:pPr>
            <w:r>
              <w:rPr>
                <w:rFonts w:ascii="Arial"/>
                <w:w w:val="99"/>
                <w:sz w:val="18"/>
              </w:rPr>
              <w:t>-</w:t>
            </w:r>
            <w:r>
              <w:rPr>
                <w:rFonts w:ascii="Arial"/>
                <w:sz w:val="18"/>
              </w:rPr>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00"/>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3362" w:type="dxa"/>
            <w:tcBorders>
              <w:top w:val="nil" w:sz="6" w:space="0" w:color="auto"/>
              <w:left w:val="nil" w:sz="6" w:space="0" w:color="auto"/>
              <w:bottom w:val="nil" w:sz="6" w:space="0" w:color="auto"/>
              <w:right w:val="nil" w:sz="6" w:space="0" w:color="auto"/>
            </w:tcBorders>
          </w:tcPr>
          <w:p>
            <w:pPr>
              <w:pStyle w:val="TableParagraph"/>
              <w:spacing w:line="202" w:lineRule="exact"/>
              <w:ind w:left="399" w:right="0"/>
              <w:jc w:val="left"/>
              <w:rPr>
                <w:rFonts w:ascii="黑体" w:hAnsi="黑体" w:cs="黑体" w:eastAsia="黑体" w:hint="default"/>
                <w:sz w:val="18"/>
                <w:szCs w:val="18"/>
              </w:rPr>
            </w:pPr>
            <w:r>
              <w:rPr>
                <w:rFonts w:ascii="黑体" w:hAnsi="黑体" w:cs="黑体" w:eastAsia="黑体" w:hint="default"/>
                <w:sz w:val="18"/>
                <w:szCs w:val="18"/>
              </w:rPr>
              <w:t>启购时代电子商务（北京）有限公司</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63"/>
              <w:jc w:val="right"/>
              <w:rPr>
                <w:rFonts w:ascii="Arial" w:hAnsi="Arial" w:cs="Arial" w:eastAsia="Arial" w:hint="default"/>
                <w:sz w:val="18"/>
                <w:szCs w:val="18"/>
              </w:rPr>
            </w:pPr>
            <w:r>
              <w:rPr>
                <w:rFonts w:ascii="Arial"/>
                <w:spacing w:val="-1"/>
                <w:sz w:val="18"/>
              </w:rPr>
              <w:t>5,000,000</w:t>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80"/>
              <w:jc w:val="right"/>
              <w:rPr>
                <w:rFonts w:ascii="Arial" w:hAnsi="Arial" w:cs="Arial" w:eastAsia="Arial" w:hint="default"/>
                <w:sz w:val="18"/>
                <w:szCs w:val="18"/>
              </w:rPr>
            </w:pPr>
            <w:r>
              <w:rPr>
                <w:rFonts w:ascii="Arial"/>
                <w:w w:val="99"/>
                <w:sz w:val="18"/>
              </w:rPr>
              <w:t>-</w:t>
            </w:r>
            <w:r>
              <w:rPr>
                <w:rFonts w:ascii="Arial"/>
                <w:sz w:val="18"/>
              </w:rPr>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
              <w:jc w:val="right"/>
              <w:rPr>
                <w:rFonts w:ascii="Arial" w:hAnsi="Arial" w:cs="Arial" w:eastAsia="Arial" w:hint="default"/>
                <w:sz w:val="18"/>
                <w:szCs w:val="18"/>
              </w:rPr>
            </w:pPr>
            <w:r>
              <w:rPr>
                <w:rFonts w:ascii="Arial"/>
                <w:spacing w:val="-1"/>
                <w:sz w:val="18"/>
              </w:rPr>
              <w:t>5,000,000</w:t>
            </w:r>
          </w:p>
        </w:tc>
        <w:tc>
          <w:tcPr>
            <w:tcW w:w="15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9"/>
              <w:ind w:left="609" w:right="0"/>
              <w:jc w:val="left"/>
              <w:rPr>
                <w:rFonts w:ascii="Arial" w:hAnsi="Arial" w:cs="Arial" w:eastAsia="Arial" w:hint="default"/>
                <w:sz w:val="18"/>
                <w:szCs w:val="18"/>
              </w:rPr>
            </w:pPr>
            <w:r>
              <w:rPr>
                <w:rFonts w:ascii="Arial"/>
                <w:sz w:val="18"/>
              </w:rPr>
              <w:t>5,000,000</w:t>
            </w:r>
          </w:p>
        </w:tc>
        <w:tc>
          <w:tcPr>
            <w:tcW w:w="1067" w:type="dxa"/>
            <w:tcBorders>
              <w:top w:val="nil" w:sz="6" w:space="0" w:color="auto"/>
              <w:left w:val="nil" w:sz="6" w:space="0" w:color="auto"/>
              <w:bottom w:val="nil" w:sz="6" w:space="0" w:color="auto"/>
              <w:right w:val="nil" w:sz="6" w:space="0" w:color="auto"/>
            </w:tcBorders>
          </w:tcPr>
          <w:p>
            <w:pPr>
              <w:pStyle w:val="TableParagraph"/>
              <w:spacing w:line="222" w:lineRule="exact"/>
              <w:ind w:right="166"/>
              <w:jc w:val="right"/>
              <w:rPr>
                <w:rFonts w:ascii="Arial" w:hAnsi="Arial" w:cs="Arial" w:eastAsia="Arial" w:hint="default"/>
                <w:sz w:val="18"/>
                <w:szCs w:val="18"/>
              </w:rPr>
            </w:pPr>
            <w:r>
              <w:rPr>
                <w:rFonts w:ascii="黑体" w:hAnsi="黑体" w:cs="黑体" w:eastAsia="黑体" w:hint="default"/>
                <w:sz w:val="18"/>
                <w:szCs w:val="18"/>
              </w:rPr>
              <w:t>低于</w:t>
            </w:r>
            <w:r>
              <w:rPr>
                <w:rFonts w:ascii="黑体" w:hAnsi="黑体" w:cs="黑体" w:eastAsia="黑体" w:hint="default"/>
                <w:spacing w:val="-46"/>
                <w:sz w:val="18"/>
                <w:szCs w:val="18"/>
              </w:rPr>
              <w:t> </w:t>
            </w:r>
            <w:r>
              <w:rPr>
                <w:rFonts w:ascii="Arial" w:hAnsi="Arial" w:cs="Arial" w:eastAsia="Arial" w:hint="default"/>
                <w:sz w:val="18"/>
                <w:szCs w:val="18"/>
              </w:rPr>
              <w:t>10%</w:t>
            </w:r>
          </w:p>
        </w:tc>
        <w:tc>
          <w:tcPr>
            <w:tcW w:w="1276" w:type="dxa"/>
            <w:tcBorders>
              <w:top w:val="nil" w:sz="6" w:space="0" w:color="auto"/>
              <w:left w:val="nil" w:sz="6" w:space="0" w:color="auto"/>
              <w:bottom w:val="nil" w:sz="6" w:space="0" w:color="auto"/>
              <w:right w:val="nil" w:sz="6" w:space="0" w:color="auto"/>
            </w:tcBorders>
          </w:tcPr>
          <w:p>
            <w:pPr>
              <w:pStyle w:val="TableParagraph"/>
              <w:spacing w:line="222" w:lineRule="exact"/>
              <w:ind w:right="203"/>
              <w:jc w:val="right"/>
              <w:rPr>
                <w:rFonts w:ascii="Arial" w:hAnsi="Arial" w:cs="Arial" w:eastAsia="Arial" w:hint="default"/>
                <w:sz w:val="18"/>
                <w:szCs w:val="18"/>
              </w:rPr>
            </w:pPr>
            <w:r>
              <w:rPr>
                <w:rFonts w:ascii="黑体" w:hAnsi="黑体" w:cs="黑体" w:eastAsia="黑体" w:hint="default"/>
                <w:sz w:val="18"/>
                <w:szCs w:val="18"/>
              </w:rPr>
              <w:t>低于</w:t>
            </w:r>
            <w:r>
              <w:rPr>
                <w:rFonts w:ascii="黑体" w:hAnsi="黑体" w:cs="黑体" w:eastAsia="黑体" w:hint="default"/>
                <w:spacing w:val="-46"/>
                <w:sz w:val="18"/>
                <w:szCs w:val="18"/>
              </w:rPr>
              <w:t> </w:t>
            </w:r>
            <w:r>
              <w:rPr>
                <w:rFonts w:ascii="Arial" w:hAnsi="Arial" w:cs="Arial" w:eastAsia="Arial" w:hint="default"/>
                <w:sz w:val="18"/>
                <w:szCs w:val="18"/>
              </w:rPr>
              <w:t>10%</w:t>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
              <w:jc w:val="right"/>
              <w:rPr>
                <w:rFonts w:ascii="Arial" w:hAnsi="Arial" w:cs="Arial" w:eastAsia="Arial" w:hint="default"/>
                <w:sz w:val="18"/>
                <w:szCs w:val="18"/>
              </w:rPr>
            </w:pPr>
            <w:r>
              <w:rPr>
                <w:rFonts w:ascii="Arial"/>
                <w:w w:val="99"/>
                <w:sz w:val="18"/>
              </w:rPr>
              <w:t>-</w:t>
            </w:r>
            <w:r>
              <w:rPr>
                <w:rFonts w:ascii="Arial"/>
                <w:sz w:val="18"/>
              </w:rPr>
            </w:r>
          </w:p>
        </w:tc>
        <w:tc>
          <w:tcPr>
            <w:tcW w:w="337"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92"/>
              <w:jc w:val="right"/>
              <w:rPr>
                <w:rFonts w:ascii="Arial" w:hAnsi="Arial" w:cs="Arial" w:eastAsia="Arial" w:hint="default"/>
                <w:sz w:val="18"/>
                <w:szCs w:val="18"/>
              </w:rPr>
            </w:pPr>
            <w:r>
              <w:rPr>
                <w:rFonts w:ascii="Arial"/>
                <w:w w:val="99"/>
                <w:sz w:val="18"/>
              </w:rPr>
              <w:t>-</w:t>
            </w:r>
            <w:r>
              <w:rPr>
                <w:rFonts w:ascii="Arial"/>
                <w:sz w:val="18"/>
              </w:rPr>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385" w:hRule="exact"/>
        </w:trPr>
        <w:tc>
          <w:tcPr>
            <w:tcW w:w="3362" w:type="dxa"/>
            <w:tcBorders>
              <w:top w:val="nil" w:sz="6" w:space="0" w:color="auto"/>
              <w:left w:val="nil" w:sz="6" w:space="0" w:color="auto"/>
              <w:bottom w:val="nil" w:sz="6" w:space="0" w:color="auto"/>
              <w:right w:val="nil" w:sz="6" w:space="0" w:color="auto"/>
            </w:tcBorders>
          </w:tcPr>
          <w:p>
            <w:pPr>
              <w:pStyle w:val="TableParagraph"/>
              <w:spacing w:line="202" w:lineRule="exact"/>
              <w:ind w:left="399" w:right="0"/>
              <w:jc w:val="left"/>
              <w:rPr>
                <w:rFonts w:ascii="黑体" w:hAnsi="黑体" w:cs="黑体" w:eastAsia="黑体" w:hint="default"/>
                <w:sz w:val="18"/>
                <w:szCs w:val="18"/>
              </w:rPr>
            </w:pPr>
            <w:r>
              <w:rPr>
                <w:rFonts w:ascii="黑体" w:hAnsi="黑体" w:cs="黑体" w:eastAsia="黑体" w:hint="default"/>
                <w:sz w:val="18"/>
                <w:szCs w:val="18"/>
              </w:rPr>
              <w:t>其他</w:t>
            </w:r>
          </w:p>
        </w:tc>
        <w:tc>
          <w:tcPr>
            <w:tcW w:w="1159" w:type="dxa"/>
            <w:tcBorders>
              <w:top w:val="nil" w:sz="6" w:space="0" w:color="auto"/>
              <w:left w:val="nil" w:sz="6" w:space="0" w:color="auto"/>
              <w:bottom w:val="nil" w:sz="6" w:space="0" w:color="auto"/>
              <w:right w:val="nil" w:sz="6" w:space="0" w:color="auto"/>
            </w:tcBorders>
          </w:tcPr>
          <w:p>
            <w:pPr>
              <w:pStyle w:val="TableParagraph"/>
              <w:tabs>
                <w:tab w:pos="542" w:val="left" w:leader="none"/>
              </w:tabs>
              <w:spacing w:line="240" w:lineRule="auto" w:before="29"/>
              <w:ind w:right="6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1,911</w:t>
            </w:r>
            <w:r>
              <w:rPr>
                <w:rFonts w:ascii="Arial"/>
                <w:spacing w:val="-1"/>
                <w:sz w:val="18"/>
              </w:rPr>
            </w:r>
          </w:p>
        </w:tc>
        <w:tc>
          <w:tcPr>
            <w:tcW w:w="1252" w:type="dxa"/>
            <w:tcBorders>
              <w:top w:val="nil" w:sz="6" w:space="0" w:color="auto"/>
              <w:left w:val="nil" w:sz="6" w:space="0" w:color="auto"/>
              <w:bottom w:val="nil" w:sz="6" w:space="0" w:color="auto"/>
              <w:right w:val="nil" w:sz="6" w:space="0" w:color="auto"/>
            </w:tcBorders>
          </w:tcPr>
          <w:p>
            <w:pPr>
              <w:pStyle w:val="TableParagraph"/>
              <w:tabs>
                <w:tab w:pos="902" w:val="left" w:leader="none"/>
              </w:tabs>
              <w:spacing w:line="240" w:lineRule="auto" w:before="29"/>
              <w:ind w:right="18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097" w:type="dxa"/>
            <w:tcBorders>
              <w:top w:val="nil" w:sz="6" w:space="0" w:color="auto"/>
              <w:left w:val="nil" w:sz="6" w:space="0" w:color="auto"/>
              <w:bottom w:val="nil" w:sz="6" w:space="0" w:color="auto"/>
              <w:right w:val="nil" w:sz="6" w:space="0" w:color="auto"/>
            </w:tcBorders>
          </w:tcPr>
          <w:p>
            <w:pPr>
              <w:pStyle w:val="TableParagraph"/>
              <w:tabs>
                <w:tab w:pos="451" w:val="left" w:leader="none"/>
              </w:tabs>
              <w:spacing w:line="240" w:lineRule="auto" w:before="29"/>
              <w:ind w:right="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1,911</w:t>
            </w:r>
            <w:r>
              <w:rPr>
                <w:rFonts w:ascii="Arial"/>
                <w:spacing w:val="-1"/>
                <w:sz w:val="18"/>
              </w:rPr>
            </w:r>
          </w:p>
        </w:tc>
        <w:tc>
          <w:tcPr>
            <w:tcW w:w="1544" w:type="dxa"/>
            <w:gridSpan w:val="2"/>
            <w:tcBorders>
              <w:top w:val="nil" w:sz="6" w:space="0" w:color="auto"/>
              <w:left w:val="nil" w:sz="6" w:space="0" w:color="auto"/>
              <w:bottom w:val="nil" w:sz="6" w:space="0" w:color="auto"/>
              <w:right w:val="nil" w:sz="6" w:space="0" w:color="auto"/>
            </w:tcBorders>
          </w:tcPr>
          <w:p>
            <w:pPr>
              <w:pStyle w:val="TableParagraph"/>
              <w:tabs>
                <w:tab w:pos="962" w:val="left" w:leader="none"/>
              </w:tabs>
              <w:spacing w:line="240" w:lineRule="auto" w:before="29"/>
              <w:ind w:left="460"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1,911</w:t>
            </w:r>
            <w:r>
              <w:rPr>
                <w:rFonts w:ascii="Arial"/>
                <w:sz w:val="18"/>
              </w:rPr>
            </w:r>
          </w:p>
        </w:tc>
        <w:tc>
          <w:tcPr>
            <w:tcW w:w="1067" w:type="dxa"/>
            <w:tcBorders>
              <w:top w:val="nil" w:sz="6" w:space="0" w:color="auto"/>
              <w:left w:val="nil" w:sz="6" w:space="0" w:color="auto"/>
              <w:bottom w:val="nil" w:sz="6" w:space="0" w:color="auto"/>
              <w:right w:val="nil" w:sz="6" w:space="0" w:color="auto"/>
            </w:tcBorders>
          </w:tcPr>
          <w:p>
            <w:pPr>
              <w:pStyle w:val="TableParagraph"/>
              <w:spacing w:line="222" w:lineRule="exact"/>
              <w:ind w:right="166"/>
              <w:jc w:val="right"/>
              <w:rPr>
                <w:rFonts w:ascii="Arial" w:hAnsi="Arial" w:cs="Arial" w:eastAsia="Arial" w:hint="default"/>
                <w:sz w:val="18"/>
                <w:szCs w:val="18"/>
              </w:rPr>
            </w:pPr>
            <w:r>
              <w:rPr>
                <w:rFonts w:ascii="黑体" w:hAnsi="黑体" w:cs="黑体" w:eastAsia="黑体" w:hint="default"/>
                <w:sz w:val="18"/>
                <w:szCs w:val="18"/>
              </w:rPr>
              <w:t>低于</w:t>
            </w:r>
            <w:r>
              <w:rPr>
                <w:rFonts w:ascii="黑体" w:hAnsi="黑体" w:cs="黑体" w:eastAsia="黑体" w:hint="default"/>
                <w:spacing w:val="-46"/>
                <w:sz w:val="18"/>
                <w:szCs w:val="18"/>
              </w:rPr>
              <w:t> </w:t>
            </w:r>
            <w:r>
              <w:rPr>
                <w:rFonts w:ascii="Arial" w:hAnsi="Arial" w:cs="Arial" w:eastAsia="Arial" w:hint="default"/>
                <w:sz w:val="18"/>
                <w:szCs w:val="18"/>
              </w:rPr>
              <w:t>10%</w:t>
            </w:r>
          </w:p>
        </w:tc>
        <w:tc>
          <w:tcPr>
            <w:tcW w:w="1276" w:type="dxa"/>
            <w:tcBorders>
              <w:top w:val="nil" w:sz="6" w:space="0" w:color="auto"/>
              <w:left w:val="nil" w:sz="6" w:space="0" w:color="auto"/>
              <w:bottom w:val="nil" w:sz="6" w:space="0" w:color="auto"/>
              <w:right w:val="nil" w:sz="6" w:space="0" w:color="auto"/>
            </w:tcBorders>
          </w:tcPr>
          <w:p>
            <w:pPr>
              <w:pStyle w:val="TableParagraph"/>
              <w:spacing w:line="222" w:lineRule="exact"/>
              <w:ind w:right="203"/>
              <w:jc w:val="right"/>
              <w:rPr>
                <w:rFonts w:ascii="Arial" w:hAnsi="Arial" w:cs="Arial" w:eastAsia="Arial" w:hint="default"/>
                <w:sz w:val="18"/>
                <w:szCs w:val="18"/>
              </w:rPr>
            </w:pPr>
            <w:r>
              <w:rPr>
                <w:rFonts w:ascii="黑体" w:hAnsi="黑体" w:cs="黑体" w:eastAsia="黑体" w:hint="default"/>
                <w:sz w:val="18"/>
                <w:szCs w:val="18"/>
              </w:rPr>
              <w:t>低于</w:t>
            </w:r>
            <w:r>
              <w:rPr>
                <w:rFonts w:ascii="黑体" w:hAnsi="黑体" w:cs="黑体" w:eastAsia="黑体" w:hint="default"/>
                <w:spacing w:val="-46"/>
                <w:sz w:val="18"/>
                <w:szCs w:val="18"/>
              </w:rPr>
              <w:t> </w:t>
            </w:r>
            <w:r>
              <w:rPr>
                <w:rFonts w:ascii="Arial" w:hAnsi="Arial" w:cs="Arial" w:eastAsia="Arial" w:hint="default"/>
                <w:sz w:val="18"/>
                <w:szCs w:val="18"/>
              </w:rPr>
              <w:t>10%</w:t>
            </w:r>
          </w:p>
        </w:tc>
        <w:tc>
          <w:tcPr>
            <w:tcW w:w="932" w:type="dxa"/>
            <w:tcBorders>
              <w:top w:val="nil" w:sz="6" w:space="0" w:color="auto"/>
              <w:left w:val="nil" w:sz="6" w:space="0" w:color="auto"/>
              <w:bottom w:val="nil" w:sz="6" w:space="0" w:color="auto"/>
              <w:right w:val="nil" w:sz="6" w:space="0" w:color="auto"/>
            </w:tcBorders>
          </w:tcPr>
          <w:p>
            <w:pPr>
              <w:pStyle w:val="TableParagraph"/>
              <w:tabs>
                <w:tab w:pos="616" w:val="left" w:leader="none"/>
              </w:tabs>
              <w:spacing w:line="240" w:lineRule="auto" w:before="29"/>
              <w:ind w:right="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337"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Style w:val="TableParagraph"/>
              <w:tabs>
                <w:tab w:pos="722" w:val="left" w:leader="none"/>
              </w:tabs>
              <w:spacing w:line="240" w:lineRule="auto" w:before="29"/>
              <w:ind w:right="9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099" w:type="dxa"/>
            <w:tcBorders>
              <w:top w:val="nil" w:sz="6" w:space="0" w:color="auto"/>
              <w:left w:val="nil" w:sz="6" w:space="0" w:color="auto"/>
              <w:bottom w:val="nil" w:sz="6" w:space="0" w:color="auto"/>
              <w:right w:val="nil" w:sz="6" w:space="0" w:color="auto"/>
            </w:tcBorders>
          </w:tcPr>
          <w:p>
            <w:pPr>
              <w:pStyle w:val="TableParagraph"/>
              <w:tabs>
                <w:tab w:pos="731" w:val="left" w:leader="none"/>
              </w:tabs>
              <w:spacing w:line="240" w:lineRule="auto" w:before="29"/>
              <w:ind w:right="19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r>
      <w:tr>
        <w:trPr>
          <w:trHeight w:val="510" w:hRule="exact"/>
        </w:trPr>
        <w:tc>
          <w:tcPr>
            <w:tcW w:w="336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415" w:right="0"/>
              <w:jc w:val="left"/>
              <w:rPr>
                <w:rFonts w:ascii="黑体" w:hAnsi="黑体" w:cs="黑体" w:eastAsia="黑体" w:hint="default"/>
                <w:sz w:val="18"/>
                <w:szCs w:val="18"/>
              </w:rPr>
            </w:pPr>
            <w:r>
              <w:rPr>
                <w:rFonts w:ascii="黑体" w:hAnsi="黑体" w:cs="黑体" w:eastAsia="黑体" w:hint="default"/>
                <w:sz w:val="18"/>
                <w:szCs w:val="18"/>
              </w:rPr>
              <w:t>小计</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63"/>
              <w:jc w:val="right"/>
              <w:rPr>
                <w:rFonts w:ascii="Arial" w:hAnsi="Arial" w:cs="Arial" w:eastAsia="Arial" w:hint="default"/>
                <w:sz w:val="18"/>
                <w:szCs w:val="18"/>
              </w:rPr>
            </w:pPr>
            <w:r>
              <w:rPr>
                <w:rFonts w:ascii="Arial"/>
                <w:w w:val="99"/>
                <w:sz w:val="18"/>
              </w:rPr>
            </w:r>
            <w:r>
              <w:rPr>
                <w:rFonts w:ascii="Arial"/>
                <w:spacing w:val="-1"/>
                <w:sz w:val="18"/>
                <w:u w:val="single" w:color="000000"/>
              </w:rPr>
              <w:t>121,467,677</w:t>
            </w:r>
            <w:r>
              <w:rPr>
                <w:rFonts w:ascii="Arial"/>
                <w:spacing w:val="-1"/>
                <w:sz w:val="18"/>
              </w:rPr>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80"/>
              <w:jc w:val="right"/>
              <w:rPr>
                <w:rFonts w:ascii="Arial" w:hAnsi="Arial" w:cs="Arial" w:eastAsia="Arial" w:hint="default"/>
                <w:sz w:val="18"/>
                <w:szCs w:val="18"/>
              </w:rPr>
            </w:pPr>
            <w:r>
              <w:rPr>
                <w:rFonts w:ascii="Arial"/>
                <w:w w:val="99"/>
                <w:sz w:val="18"/>
              </w:rPr>
            </w:r>
            <w:r>
              <w:rPr>
                <w:rFonts w:ascii="Arial"/>
                <w:spacing w:val="-1"/>
                <w:sz w:val="18"/>
                <w:u w:val="single" w:color="000000"/>
              </w:rPr>
              <w:t>101,015,766</w:t>
            </w:r>
            <w:r>
              <w:rPr>
                <w:rFonts w:ascii="Arial"/>
                <w:spacing w:val="-1"/>
                <w:sz w:val="18"/>
              </w:rPr>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3"/>
              <w:jc w:val="right"/>
              <w:rPr>
                <w:rFonts w:ascii="Arial" w:hAnsi="Arial" w:cs="Arial" w:eastAsia="Arial" w:hint="default"/>
                <w:sz w:val="18"/>
                <w:szCs w:val="18"/>
              </w:rPr>
            </w:pPr>
            <w:r>
              <w:rPr>
                <w:rFonts w:ascii="Arial"/>
                <w:w w:val="99"/>
                <w:sz w:val="18"/>
              </w:rPr>
            </w:r>
            <w:r>
              <w:rPr>
                <w:rFonts w:ascii="Arial"/>
                <w:spacing w:val="-1"/>
                <w:sz w:val="18"/>
                <w:u w:val="single" w:color="000000"/>
              </w:rPr>
              <w:t>20,451,911</w:t>
            </w:r>
            <w:r>
              <w:rPr>
                <w:rFonts w:ascii="Arial"/>
                <w:spacing w:val="-1"/>
                <w:sz w:val="18"/>
              </w:rPr>
            </w:r>
          </w:p>
        </w:tc>
        <w:tc>
          <w:tcPr>
            <w:tcW w:w="15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5"/>
              <w:ind w:left="410" w:right="0"/>
              <w:jc w:val="left"/>
              <w:rPr>
                <w:rFonts w:ascii="Arial" w:hAnsi="Arial" w:cs="Arial" w:eastAsia="Arial" w:hint="default"/>
                <w:sz w:val="18"/>
                <w:szCs w:val="18"/>
              </w:rPr>
            </w:pPr>
            <w:r>
              <w:rPr>
                <w:rFonts w:ascii="Arial"/>
                <w:w w:val="99"/>
                <w:sz w:val="18"/>
              </w:rPr>
            </w:r>
            <w:r>
              <w:rPr>
                <w:rFonts w:ascii="Arial"/>
                <w:sz w:val="18"/>
                <w:u w:val="single" w:color="000000"/>
              </w:rPr>
              <w:t>121,467,677</w:t>
            </w:r>
            <w:r>
              <w:rPr>
                <w:rFonts w:ascii="Arial"/>
                <w:sz w:val="18"/>
              </w:rPr>
            </w:r>
          </w:p>
        </w:tc>
        <w:tc>
          <w:tcPr>
            <w:tcW w:w="1067"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2"/>
              <w:jc w:val="right"/>
              <w:rPr>
                <w:rFonts w:ascii="Arial" w:hAnsi="Arial" w:cs="Arial" w:eastAsia="Arial" w:hint="default"/>
                <w:sz w:val="18"/>
                <w:szCs w:val="18"/>
              </w:rPr>
            </w:pPr>
            <w:r>
              <w:rPr>
                <w:rFonts w:ascii="Arial"/>
                <w:spacing w:val="-1"/>
                <w:sz w:val="18"/>
              </w:rPr>
              <w:t>(</w:t>
            </w:r>
            <w:r>
              <w:rPr>
                <w:rFonts w:ascii="Arial"/>
                <w:spacing w:val="-1"/>
                <w:sz w:val="18"/>
                <w:u w:val="single" w:color="000000"/>
              </w:rPr>
              <w:t>918,586</w:t>
            </w:r>
            <w:r>
              <w:rPr>
                <w:rFonts w:ascii="Arial"/>
                <w:spacing w:val="-1"/>
                <w:sz w:val="18"/>
              </w:rPr>
            </w:r>
          </w:p>
        </w:tc>
        <w:tc>
          <w:tcPr>
            <w:tcW w:w="337"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4" w:right="0"/>
              <w:jc w:val="left"/>
              <w:rPr>
                <w:rFonts w:ascii="Arial" w:hAnsi="Arial" w:cs="Arial" w:eastAsia="Arial" w:hint="default"/>
                <w:sz w:val="18"/>
                <w:szCs w:val="18"/>
              </w:rPr>
            </w:pPr>
            <w:r>
              <w:rPr>
                <w:rFonts w:ascii="Arial"/>
                <w:w w:val="99"/>
                <w:sz w:val="18"/>
              </w:rPr>
              <w:t>)</w:t>
            </w:r>
            <w:r>
              <w:rPr>
                <w:rFonts w:ascii="Arial"/>
                <w:sz w:val="18"/>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92"/>
              <w:jc w:val="right"/>
              <w:rPr>
                <w:rFonts w:ascii="Arial" w:hAnsi="Arial" w:cs="Arial" w:eastAsia="Arial" w:hint="default"/>
                <w:sz w:val="18"/>
                <w:szCs w:val="18"/>
              </w:rPr>
            </w:pPr>
            <w:r>
              <w:rPr>
                <w:rFonts w:ascii="Arial"/>
                <w:w w:val="100"/>
                <w:sz w:val="18"/>
              </w:rPr>
            </w:r>
            <w:r>
              <w:rPr>
                <w:rFonts w:ascii="Arial"/>
                <w:spacing w:val="-1"/>
                <w:sz w:val="18"/>
                <w:u w:val="single" w:color="000000"/>
              </w:rPr>
              <w:t>6,000,000</w:t>
            </w:r>
            <w:r>
              <w:rPr>
                <w:rFonts w:ascii="Arial"/>
                <w:spacing w:val="-1"/>
                <w:sz w:val="18"/>
              </w:rPr>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9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5"/>
                <w:sz w:val="18"/>
                <w:u w:val="single" w:color="000000"/>
              </w:rPr>
              <w:t> </w:t>
            </w:r>
            <w:r>
              <w:rPr>
                <w:rFonts w:ascii="Arial"/>
                <w:spacing w:val="-1"/>
                <w:sz w:val="18"/>
                <w:u w:val="single" w:color="000000"/>
              </w:rPr>
              <w:t>959,167</w:t>
            </w:r>
            <w:r>
              <w:rPr>
                <w:rFonts w:ascii="Arial"/>
                <w:spacing w:val="-1"/>
                <w:sz w:val="18"/>
              </w:rPr>
            </w:r>
          </w:p>
        </w:tc>
      </w:tr>
      <w:tr>
        <w:trPr>
          <w:trHeight w:val="357" w:hRule="exact"/>
        </w:trPr>
        <w:tc>
          <w:tcPr>
            <w:tcW w:w="3362" w:type="dxa"/>
            <w:tcBorders>
              <w:top w:val="nil" w:sz="6" w:space="0" w:color="auto"/>
              <w:left w:val="nil" w:sz="6" w:space="0" w:color="auto"/>
              <w:bottom w:val="nil" w:sz="6" w:space="0" w:color="auto"/>
              <w:right w:val="nil" w:sz="6" w:space="0" w:color="auto"/>
            </w:tcBorders>
          </w:tcPr>
          <w:p>
            <w:pPr>
              <w:pStyle w:val="TableParagraph"/>
              <w:spacing w:line="240" w:lineRule="auto" w:before="96"/>
              <w:ind w:left="382" w:right="0"/>
              <w:jc w:val="left"/>
              <w:rPr>
                <w:rFonts w:ascii="黑体" w:hAnsi="黑体" w:cs="黑体" w:eastAsia="黑体" w:hint="default"/>
                <w:sz w:val="18"/>
                <w:szCs w:val="18"/>
              </w:rPr>
            </w:pPr>
            <w:r>
              <w:rPr>
                <w:rFonts w:ascii="黑体" w:hAnsi="黑体" w:cs="黑体" w:eastAsia="黑体" w:hint="default"/>
                <w:sz w:val="18"/>
                <w:szCs w:val="18"/>
              </w:rPr>
              <w:t>合计</w:t>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63"/>
              <w:jc w:val="right"/>
              <w:rPr>
                <w:rFonts w:ascii="Arial" w:hAnsi="Arial" w:cs="Arial" w:eastAsia="Arial" w:hint="default"/>
                <w:sz w:val="18"/>
                <w:szCs w:val="18"/>
              </w:rPr>
            </w:pPr>
            <w:r>
              <w:rPr>
                <w:rFonts w:ascii="Arial"/>
                <w:w w:val="99"/>
                <w:sz w:val="18"/>
              </w:rPr>
            </w:r>
            <w:r>
              <w:rPr>
                <w:rFonts w:ascii="Arial"/>
                <w:spacing w:val="-1"/>
                <w:sz w:val="18"/>
                <w:u w:val="thick" w:color="000000"/>
              </w:rPr>
              <w:t>135,692,803</w:t>
            </w:r>
            <w:r>
              <w:rPr>
                <w:rFonts w:ascii="Arial"/>
                <w:spacing w:val="-1"/>
                <w:sz w:val="18"/>
              </w:rPr>
            </w: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180"/>
              <w:jc w:val="right"/>
              <w:rPr>
                <w:rFonts w:ascii="Arial" w:hAnsi="Arial" w:cs="Arial" w:eastAsia="Arial" w:hint="default"/>
                <w:sz w:val="18"/>
                <w:szCs w:val="18"/>
              </w:rPr>
            </w:pPr>
            <w:r>
              <w:rPr>
                <w:rFonts w:ascii="Arial"/>
                <w:w w:val="99"/>
                <w:sz w:val="18"/>
              </w:rPr>
            </w:r>
            <w:r>
              <w:rPr>
                <w:rFonts w:ascii="Arial"/>
                <w:spacing w:val="-1"/>
                <w:sz w:val="18"/>
                <w:u w:val="thick" w:color="000000"/>
              </w:rPr>
              <w:t>140,421,439</w:t>
            </w:r>
            <w:r>
              <w:rPr>
                <w:rFonts w:ascii="Arial"/>
                <w:spacing w:val="-1"/>
                <w:sz w:val="18"/>
              </w:rPr>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10"/>
              <w:jc w:val="right"/>
              <w:rPr>
                <w:rFonts w:ascii="Arial" w:hAnsi="Arial" w:cs="Arial" w:eastAsia="Arial" w:hint="default"/>
                <w:sz w:val="18"/>
                <w:szCs w:val="18"/>
              </w:rPr>
            </w:pPr>
            <w:r>
              <w:rPr>
                <w:rFonts w:ascii="Arial"/>
                <w:w w:val="99"/>
                <w:sz w:val="18"/>
              </w:rPr>
            </w:r>
            <w:r>
              <w:rPr>
                <w:rFonts w:ascii="Arial"/>
                <w:spacing w:val="-1"/>
                <w:sz w:val="18"/>
                <w:u w:val="thick" w:color="000000"/>
              </w:rPr>
              <w:t>23,393,500</w:t>
            </w:r>
            <w:r>
              <w:rPr>
                <w:rFonts w:ascii="Arial"/>
                <w:spacing w:val="-1"/>
                <w:sz w:val="18"/>
              </w:rPr>
            </w:r>
          </w:p>
        </w:tc>
        <w:tc>
          <w:tcPr>
            <w:tcW w:w="15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4"/>
              <w:ind w:left="410" w:right="0"/>
              <w:jc w:val="left"/>
              <w:rPr>
                <w:rFonts w:ascii="Arial" w:hAnsi="Arial" w:cs="Arial" w:eastAsia="Arial" w:hint="default"/>
                <w:sz w:val="18"/>
                <w:szCs w:val="18"/>
              </w:rPr>
            </w:pPr>
            <w:r>
              <w:rPr>
                <w:rFonts w:ascii="Arial"/>
                <w:w w:val="99"/>
                <w:sz w:val="18"/>
              </w:rPr>
            </w:r>
            <w:r>
              <w:rPr>
                <w:rFonts w:ascii="Arial"/>
                <w:sz w:val="18"/>
                <w:u w:val="thick" w:color="000000"/>
              </w:rPr>
              <w:t>163,814,939</w:t>
            </w:r>
            <w:r>
              <w:rPr>
                <w:rFonts w:ascii="Arial"/>
                <w:sz w:val="18"/>
              </w:rPr>
            </w:r>
          </w:p>
        </w:tc>
        <w:tc>
          <w:tcPr>
            <w:tcW w:w="1067"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2"/>
              <w:jc w:val="right"/>
              <w:rPr>
                <w:rFonts w:ascii="Arial" w:hAnsi="Arial" w:cs="Arial" w:eastAsia="Arial" w:hint="default"/>
                <w:sz w:val="18"/>
                <w:szCs w:val="18"/>
              </w:rPr>
            </w:pPr>
            <w:r>
              <w:rPr>
                <w:rFonts w:ascii="Arial"/>
                <w:spacing w:val="-1"/>
                <w:sz w:val="18"/>
              </w:rPr>
              <w:t>(</w:t>
            </w:r>
            <w:r>
              <w:rPr>
                <w:rFonts w:ascii="Arial"/>
                <w:spacing w:val="-1"/>
                <w:sz w:val="18"/>
                <w:u w:val="thick" w:color="000000"/>
              </w:rPr>
              <w:t>918,586</w:t>
            </w:r>
            <w:r>
              <w:rPr>
                <w:rFonts w:ascii="Arial"/>
                <w:spacing w:val="-1"/>
                <w:sz w:val="18"/>
              </w:rPr>
            </w:r>
          </w:p>
        </w:tc>
        <w:tc>
          <w:tcPr>
            <w:tcW w:w="337"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4" w:right="0"/>
              <w:jc w:val="left"/>
              <w:rPr>
                <w:rFonts w:ascii="Arial" w:hAnsi="Arial" w:cs="Arial" w:eastAsia="Arial" w:hint="default"/>
                <w:sz w:val="18"/>
                <w:szCs w:val="18"/>
              </w:rPr>
            </w:pPr>
            <w:r>
              <w:rPr>
                <w:rFonts w:ascii="Arial"/>
                <w:w w:val="99"/>
                <w:sz w:val="18"/>
              </w:rPr>
              <w:t>)</w:t>
            </w:r>
            <w:r>
              <w:rPr>
                <w:rFonts w:ascii="Arial"/>
                <w:sz w:val="18"/>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92"/>
              <w:jc w:val="right"/>
              <w:rPr>
                <w:rFonts w:ascii="Arial" w:hAnsi="Arial" w:cs="Arial" w:eastAsia="Arial" w:hint="default"/>
                <w:sz w:val="18"/>
                <w:szCs w:val="18"/>
              </w:rPr>
            </w:pPr>
            <w:r>
              <w:rPr>
                <w:rFonts w:ascii="Arial"/>
                <w:w w:val="100"/>
                <w:sz w:val="18"/>
              </w:rPr>
            </w:r>
            <w:r>
              <w:rPr>
                <w:rFonts w:ascii="Arial"/>
                <w:spacing w:val="-1"/>
                <w:sz w:val="18"/>
                <w:u w:val="thick" w:color="000000"/>
              </w:rPr>
              <w:t>6,000,000</w:t>
            </w:r>
            <w:r>
              <w:rPr>
                <w:rFonts w:ascii="Arial"/>
                <w:spacing w:val="-1"/>
                <w:sz w:val="18"/>
              </w:rPr>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54"/>
              <w:ind w:right="198"/>
              <w:jc w:val="right"/>
              <w:rPr>
                <w:rFonts w:ascii="Arial" w:hAnsi="Arial" w:cs="Arial" w:eastAsia="Arial" w:hint="default"/>
                <w:sz w:val="18"/>
                <w:szCs w:val="18"/>
              </w:rPr>
            </w:pPr>
            <w:r>
              <w:rPr>
                <w:rFonts w:ascii="Arial"/>
                <w:w w:val="100"/>
                <w:sz w:val="18"/>
              </w:rPr>
            </w:r>
            <w:r>
              <w:rPr>
                <w:rFonts w:ascii="Arial"/>
                <w:spacing w:val="-1"/>
                <w:sz w:val="18"/>
                <w:u w:val="thick" w:color="000000"/>
              </w:rPr>
              <w:t>4,186,508</w:t>
            </w:r>
            <w:r>
              <w:rPr>
                <w:rFonts w:ascii="Arial"/>
                <w:spacing w:val="-1"/>
                <w:sz w:val="18"/>
              </w:rPr>
            </w:r>
          </w:p>
        </w:tc>
      </w:tr>
    </w:tbl>
    <w:p>
      <w:pPr>
        <w:spacing w:line="240" w:lineRule="auto" w:before="8"/>
        <w:rPr>
          <w:rFonts w:ascii="黑体" w:hAnsi="黑体" w:cs="黑体" w:eastAsia="黑体" w:hint="default"/>
          <w:sz w:val="27"/>
          <w:szCs w:val="27"/>
        </w:rPr>
      </w:pPr>
    </w:p>
    <w:p>
      <w:pPr>
        <w:pStyle w:val="BodyText"/>
        <w:spacing w:line="192" w:lineRule="auto" w:before="84"/>
        <w:ind w:left="667" w:right="296" w:firstLine="12"/>
        <w:jc w:val="left"/>
      </w:pPr>
      <w:r>
        <w:rPr/>
        <w:t>注</w:t>
      </w:r>
      <w:r>
        <w:rPr>
          <w:rFonts w:ascii="Arial" w:hAnsi="Arial" w:cs="Arial" w:eastAsia="Arial" w:hint="default"/>
        </w:rPr>
        <w:t>1.</w:t>
      </w:r>
      <w:r>
        <w:rPr/>
        <w:t>参见附注五、</w:t>
      </w:r>
      <w:r>
        <w:rPr>
          <w:rFonts w:ascii="Arial" w:hAnsi="Arial" w:cs="Arial" w:eastAsia="Arial" w:hint="default"/>
        </w:rPr>
        <w:t>8</w:t>
      </w:r>
      <w:r>
        <w:rPr/>
        <w:t>。</w:t>
      </w:r>
      <w:r>
        <w:rPr>
          <w:w w:val="99"/>
        </w:rPr>
        <w:t> </w:t>
      </w:r>
      <w:r>
        <w:rPr>
          <w:spacing w:val="-2"/>
        </w:rPr>
        <w:t>注</w:t>
      </w:r>
      <w:r>
        <w:rPr>
          <w:rFonts w:ascii="Arial" w:hAnsi="Arial" w:cs="Arial" w:eastAsia="Arial" w:hint="default"/>
          <w:spacing w:val="-2"/>
        </w:rPr>
        <w:t>2.</w:t>
      </w:r>
      <w:r>
        <w:rPr>
          <w:spacing w:val="-2"/>
        </w:rPr>
        <w:t>根据</w:t>
      </w:r>
      <w:r>
        <w:rPr>
          <w:rFonts w:ascii="Arial" w:hAnsi="Arial" w:cs="Arial" w:eastAsia="Arial" w:hint="default"/>
          <w:spacing w:val="-2"/>
        </w:rPr>
        <w:t>2012</w:t>
      </w:r>
      <w:r>
        <w:rPr>
          <w:spacing w:val="-2"/>
        </w:rPr>
        <w:t>年</w:t>
      </w:r>
      <w:r>
        <w:rPr>
          <w:rFonts w:ascii="Arial" w:hAnsi="Arial" w:cs="Arial" w:eastAsia="Arial" w:hint="default"/>
          <w:spacing w:val="-2"/>
        </w:rPr>
        <w:t>11</w:t>
      </w:r>
      <w:r>
        <w:rPr>
          <w:spacing w:val="-2"/>
        </w:rPr>
        <w:t>月北京随锐科技有限公司</w:t>
      </w:r>
      <w:r>
        <w:rPr>
          <w:rFonts w:ascii="Arial" w:hAnsi="Arial" w:cs="Arial" w:eastAsia="Arial" w:hint="default"/>
          <w:spacing w:val="-2"/>
        </w:rPr>
        <w:t>(</w:t>
      </w:r>
      <w:r>
        <w:rPr>
          <w:spacing w:val="-2"/>
        </w:rPr>
        <w:t>以下简称“随锐科技”</w:t>
      </w:r>
      <w:r>
        <w:rPr>
          <w:rFonts w:ascii="Arial" w:hAnsi="Arial" w:cs="Arial" w:eastAsia="Arial" w:hint="default"/>
          <w:spacing w:val="-2"/>
        </w:rPr>
        <w:t>)</w:t>
      </w:r>
      <w:r>
        <w:rPr>
          <w:spacing w:val="-2"/>
        </w:rPr>
        <w:t>的股东大会决议，随锐科技的股东按持股比例对其增资，增资金额共计人民币</w:t>
      </w:r>
      <w:r>
        <w:rPr>
          <w:rFonts w:ascii="Arial" w:hAnsi="Arial" w:cs="Arial" w:eastAsia="Arial" w:hint="default"/>
          <w:spacing w:val="-2"/>
        </w:rPr>
        <w:t>4,183,580</w:t>
      </w:r>
      <w:r>
        <w:rPr>
          <w:spacing w:val="-2"/>
        </w:rPr>
        <w:t>元。</w:t>
      </w:r>
    </w:p>
    <w:p>
      <w:pPr>
        <w:pStyle w:val="BodyText"/>
        <w:spacing w:line="189" w:lineRule="auto" w:before="2"/>
        <w:ind w:left="1031" w:right="296"/>
        <w:jc w:val="left"/>
      </w:pPr>
      <w:r>
        <w:rPr/>
        <w:t>增资完成后，随锐科技的注册资本由人民币</w:t>
      </w:r>
      <w:r>
        <w:rPr>
          <w:rFonts w:ascii="Arial" w:hAnsi="Arial" w:cs="Arial" w:eastAsia="Arial" w:hint="default"/>
        </w:rPr>
        <w:t>15,916,420</w:t>
      </w:r>
      <w:r>
        <w:rPr/>
        <w:t>元增加至人民币</w:t>
      </w:r>
      <w:r>
        <w:rPr>
          <w:rFonts w:ascii="Arial" w:hAnsi="Arial" w:cs="Arial" w:eastAsia="Arial" w:hint="default"/>
        </w:rPr>
        <w:t>20,100,000</w:t>
      </w:r>
      <w:r>
        <w:rPr/>
        <w:t>元。此次增资后，创新投资持有随锐科技的股权比例仍为</w:t>
      </w:r>
      <w:r>
        <w:rPr>
          <w:rFonts w:ascii="Arial" w:hAnsi="Arial" w:cs="Arial" w:eastAsia="Arial" w:hint="default"/>
        </w:rPr>
        <w:t>7.5%</w:t>
      </w:r>
      <w:r>
        <w:rPr/>
        <w:t>。相关的</w:t>
      </w:r>
      <w:r>
        <w:rPr>
          <w:spacing w:val="-55"/>
        </w:rPr>
        <w:t> </w:t>
      </w:r>
      <w:r>
        <w:rPr/>
        <w:t>工商登记和公司章程已经变更完成。</w:t>
      </w:r>
    </w:p>
    <w:p>
      <w:pPr>
        <w:pStyle w:val="BodyText"/>
        <w:spacing w:line="192" w:lineRule="auto" w:before="11"/>
        <w:ind w:left="1033" w:right="309" w:hanging="360"/>
        <w:jc w:val="both"/>
      </w:pPr>
      <w:r>
        <w:rPr>
          <w:spacing w:val="-1"/>
        </w:rPr>
        <w:t>注</w:t>
      </w:r>
      <w:r>
        <w:rPr>
          <w:rFonts w:ascii="Arial" w:hAnsi="Arial" w:cs="Arial" w:eastAsia="Arial" w:hint="default"/>
          <w:spacing w:val="-1"/>
        </w:rPr>
        <w:t>3.</w:t>
      </w:r>
      <w:r>
        <w:rPr>
          <w:spacing w:val="-1"/>
        </w:rPr>
        <w:t>根据</w:t>
      </w:r>
      <w:r>
        <w:rPr>
          <w:rFonts w:ascii="Arial" w:hAnsi="Arial" w:cs="Arial" w:eastAsia="Arial" w:hint="default"/>
          <w:spacing w:val="-1"/>
        </w:rPr>
        <w:t>2012</w:t>
      </w:r>
      <w:r>
        <w:rPr>
          <w:spacing w:val="-1"/>
        </w:rPr>
        <w:t>年</w:t>
      </w:r>
      <w:r>
        <w:rPr>
          <w:rFonts w:ascii="Arial" w:hAnsi="Arial" w:cs="Arial" w:eastAsia="Arial" w:hint="default"/>
          <w:spacing w:val="-1"/>
        </w:rPr>
        <w:t>10</w:t>
      </w:r>
      <w:r>
        <w:rPr>
          <w:spacing w:val="-1"/>
        </w:rPr>
        <w:t>月创新投资、北京家酷天成商贸有限公司</w:t>
      </w:r>
      <w:r>
        <w:rPr>
          <w:rFonts w:ascii="Arial" w:hAnsi="Arial" w:cs="Arial" w:eastAsia="Arial" w:hint="default"/>
          <w:spacing w:val="-1"/>
        </w:rPr>
        <w:t>(</w:t>
      </w:r>
      <w:r>
        <w:rPr>
          <w:spacing w:val="-1"/>
        </w:rPr>
        <w:t>以下简称“家酷天成”</w:t>
      </w:r>
      <w:r>
        <w:rPr>
          <w:rFonts w:ascii="Arial" w:hAnsi="Arial" w:cs="Arial" w:eastAsia="Arial" w:hint="default"/>
          <w:spacing w:val="-1"/>
        </w:rPr>
        <w:t>)</w:t>
      </w:r>
      <w:r>
        <w:rPr>
          <w:spacing w:val="-1"/>
        </w:rPr>
        <w:t>以及家酷天成的自然人股东王玮、陈登科签订的投资协议，创新投资以人民</w:t>
      </w:r>
      <w:r>
        <w:rPr>
          <w:w w:val="99"/>
        </w:rPr>
        <w:t> </w:t>
      </w:r>
      <w:r>
        <w:rPr>
          <w:spacing w:val="-1"/>
        </w:rPr>
        <w:t>币</w:t>
      </w:r>
      <w:r>
        <w:rPr>
          <w:rFonts w:ascii="Arial" w:hAnsi="Arial" w:cs="Arial" w:eastAsia="Arial" w:hint="default"/>
          <w:spacing w:val="-1"/>
        </w:rPr>
        <w:t>2,000,000</w:t>
      </w:r>
      <w:r>
        <w:rPr>
          <w:spacing w:val="-1"/>
        </w:rPr>
        <w:t>元向家酷天成投资，认购家酷天成注册资本人民币</w:t>
      </w:r>
      <w:r>
        <w:rPr>
          <w:rFonts w:ascii="Arial" w:hAnsi="Arial" w:cs="Arial" w:eastAsia="Arial" w:hint="default"/>
          <w:spacing w:val="-1"/>
        </w:rPr>
        <w:t>242,200</w:t>
      </w:r>
      <w:r>
        <w:rPr>
          <w:spacing w:val="-1"/>
        </w:rPr>
        <w:t>元，投资后创新投资持有的家酷天成的股权比例低于</w:t>
      </w:r>
      <w:r>
        <w:rPr>
          <w:rFonts w:ascii="Arial" w:hAnsi="Arial" w:cs="Arial" w:eastAsia="Arial" w:hint="default"/>
          <w:spacing w:val="-1"/>
        </w:rPr>
        <w:t>20%</w:t>
      </w:r>
      <w:r>
        <w:rPr>
          <w:spacing w:val="-1"/>
        </w:rPr>
        <w:t>。相关的工商登记和公司章</w:t>
      </w:r>
      <w:r>
        <w:rPr>
          <w:w w:val="99"/>
        </w:rPr>
        <w:t> </w:t>
      </w:r>
      <w:r>
        <w:rPr/>
        <w:t>程已经变更完成。</w:t>
      </w:r>
    </w:p>
    <w:p>
      <w:pPr>
        <w:spacing w:after="0" w:line="192" w:lineRule="auto"/>
        <w:jc w:val="both"/>
        <w:sectPr>
          <w:pgSz w:w="16850" w:h="11910" w:orient="landscape"/>
          <w:pgMar w:header="957" w:footer="785" w:top="2640" w:bottom="980" w:left="1020" w:right="940"/>
        </w:sectPr>
      </w:pPr>
    </w:p>
    <w:p>
      <w:pPr>
        <w:spacing w:line="240" w:lineRule="auto" w:before="9"/>
        <w:rPr>
          <w:rFonts w:ascii="黑体" w:hAnsi="黑体" w:cs="黑体" w:eastAsia="黑体" w:hint="default"/>
          <w:sz w:val="14"/>
          <w:szCs w:val="14"/>
        </w:rPr>
      </w:pPr>
    </w:p>
    <w:p>
      <w:pPr>
        <w:pStyle w:val="Heading6"/>
        <w:tabs>
          <w:tab w:pos="824" w:val="left" w:leader="none"/>
        </w:tabs>
        <w:spacing w:line="240" w:lineRule="auto"/>
        <w:ind w:left="121" w:right="0"/>
        <w:jc w:val="left"/>
        <w:rPr>
          <w:b w:val="0"/>
          <w:bCs w:val="0"/>
        </w:rPr>
      </w:pPr>
      <w:r>
        <w:rPr>
          <w:w w:val="95"/>
        </w:rPr>
        <w:t>五、</w:t>
        <w:tab/>
      </w:r>
      <w:bookmarkStart w:name="五、   合并财务报表主要项目注释（续）" w:id="88"/>
      <w:bookmarkEnd w:id="88"/>
      <w:r>
        <w:rPr/>
        <w:t>合并</w:t>
      </w:r>
      <w:r>
        <w:rPr/>
        <w:t>财务报表主要项目注释（续）</w:t>
      </w:r>
      <w:r>
        <w:rPr>
          <w:b w:val="0"/>
          <w:bCs w:val="0"/>
        </w:rPr>
      </w:r>
    </w:p>
    <w:p>
      <w:pPr>
        <w:spacing w:line="240" w:lineRule="auto" w:before="4"/>
        <w:rPr>
          <w:rFonts w:ascii="黑体" w:hAnsi="黑体" w:cs="黑体" w:eastAsia="黑体" w:hint="default"/>
          <w:b/>
          <w:bCs/>
          <w:sz w:val="14"/>
          <w:szCs w:val="14"/>
        </w:rPr>
      </w:pPr>
    </w:p>
    <w:p>
      <w:pPr>
        <w:pStyle w:val="Heading6"/>
        <w:tabs>
          <w:tab w:pos="827" w:val="left" w:leader="none"/>
        </w:tabs>
        <w:spacing w:line="240" w:lineRule="auto" w:before="0"/>
        <w:ind w:left="121" w:right="0"/>
        <w:jc w:val="left"/>
        <w:rPr>
          <w:b w:val="0"/>
          <w:bCs w:val="0"/>
        </w:rPr>
      </w:pPr>
      <w:r>
        <w:rPr>
          <w:rFonts w:ascii="Arial" w:hAnsi="Arial" w:cs="Arial" w:eastAsia="Arial" w:hint="default"/>
          <w:spacing w:val="-1"/>
          <w:w w:val="95"/>
        </w:rPr>
        <w:t>10</w:t>
      </w:r>
      <w:r>
        <w:rPr>
          <w:spacing w:val="-1"/>
          <w:w w:val="95"/>
        </w:rPr>
        <w:t>．</w:t>
        <w:tab/>
      </w:r>
      <w:r>
        <w:rPr>
          <w:spacing w:val="1"/>
        </w:rPr>
        <w:t>固定资产</w:t>
      </w:r>
      <w:r>
        <w:rPr>
          <w:b w:val="0"/>
          <w:bCs w:val="0"/>
        </w:rPr>
      </w:r>
    </w:p>
    <w:p>
      <w:pPr>
        <w:spacing w:line="240" w:lineRule="auto" w:before="7"/>
        <w:rPr>
          <w:rFonts w:ascii="黑体" w:hAnsi="黑体" w:cs="黑体" w:eastAsia="黑体" w:hint="default"/>
          <w:b/>
          <w:bCs/>
          <w:sz w:val="18"/>
          <w:szCs w:val="18"/>
        </w:rPr>
      </w:pPr>
    </w:p>
    <w:p>
      <w:pPr>
        <w:pStyle w:val="BodyText"/>
        <w:spacing w:line="240" w:lineRule="auto"/>
        <w:ind w:left="834" w:right="0"/>
        <w:jc w:val="left"/>
      </w:pPr>
      <w:r>
        <w:rPr>
          <w:rFonts w:ascii="Arial" w:hAnsi="Arial" w:cs="Arial" w:eastAsia="Arial" w:hint="default"/>
        </w:rPr>
        <w:t>2012</w:t>
      </w:r>
      <w:r>
        <w:rPr/>
        <w:t>年</w:t>
      </w:r>
    </w:p>
    <w:p>
      <w:pPr>
        <w:spacing w:line="240" w:lineRule="auto" w:before="9"/>
        <w:rPr>
          <w:rFonts w:ascii="黑体" w:hAnsi="黑体" w:cs="黑体" w:eastAsia="黑体" w:hint="default"/>
          <w:sz w:val="20"/>
          <w:szCs w:val="20"/>
        </w:rPr>
      </w:pPr>
    </w:p>
    <w:p>
      <w:pPr>
        <w:tabs>
          <w:tab w:pos="4266" w:val="left" w:leader="none"/>
          <w:tab w:pos="6443" w:val="left" w:leader="none"/>
          <w:tab w:pos="8089" w:val="left" w:leader="none"/>
        </w:tabs>
        <w:spacing w:before="0"/>
        <w:ind w:left="2704" w:right="0" w:firstLine="0"/>
        <w:jc w:val="left"/>
        <w:rPr>
          <w:rFonts w:ascii="黑体" w:hAnsi="黑体" w:cs="黑体" w:eastAsia="黑体" w:hint="default"/>
          <w:sz w:val="18"/>
          <w:szCs w:val="18"/>
        </w:rPr>
      </w:pPr>
      <w:r>
        <w:rPr>
          <w:rFonts w:ascii="黑体" w:hAnsi="黑体" w:cs="黑体" w:eastAsia="黑体" w:hint="default"/>
          <w:sz w:val="18"/>
          <w:szCs w:val="18"/>
        </w:rPr>
        <w:t>年初数</w:t>
        <w:tab/>
        <w:t>本年增加</w:t>
        <w:tab/>
        <w:t>本年减少</w:t>
        <w:tab/>
        <w:t>年末数</w:t>
      </w:r>
    </w:p>
    <w:p>
      <w:pPr>
        <w:spacing w:line="240" w:lineRule="auto" w:before="10"/>
        <w:rPr>
          <w:rFonts w:ascii="黑体" w:hAnsi="黑体" w:cs="黑体" w:eastAsia="黑体" w:hint="default"/>
          <w:sz w:val="3"/>
          <w:szCs w:val="3"/>
        </w:rPr>
      </w:pPr>
    </w:p>
    <w:tbl>
      <w:tblPr>
        <w:tblW w:w="0" w:type="auto"/>
        <w:jc w:val="left"/>
        <w:tblInd w:w="653" w:type="dxa"/>
        <w:tblLayout w:type="fixed"/>
        <w:tblCellMar>
          <w:top w:w="0" w:type="dxa"/>
          <w:left w:w="0" w:type="dxa"/>
          <w:bottom w:w="0" w:type="dxa"/>
          <w:right w:w="0" w:type="dxa"/>
        </w:tblCellMar>
        <w:tblLook w:val="01E0"/>
      </w:tblPr>
      <w:tblGrid>
        <w:gridCol w:w="1326"/>
        <w:gridCol w:w="1408"/>
        <w:gridCol w:w="1292"/>
        <w:gridCol w:w="1253"/>
        <w:gridCol w:w="1380"/>
        <w:gridCol w:w="1351"/>
      </w:tblGrid>
      <w:tr>
        <w:trPr>
          <w:trHeight w:val="1045" w:hRule="exact"/>
        </w:trPr>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20"/>
                <w:szCs w:val="20"/>
              </w:rPr>
            </w:pPr>
          </w:p>
          <w:p>
            <w:pPr>
              <w:pStyle w:val="TableParagraph"/>
              <w:spacing w:line="264" w:lineRule="auto"/>
              <w:ind w:left="35" w:right="209"/>
              <w:jc w:val="left"/>
              <w:rPr>
                <w:rFonts w:ascii="黑体" w:hAnsi="黑体" w:cs="黑体" w:eastAsia="黑体" w:hint="default"/>
                <w:sz w:val="18"/>
                <w:szCs w:val="18"/>
              </w:rPr>
            </w:pPr>
            <w:r>
              <w:rPr>
                <w:rFonts w:ascii="黑体" w:hAnsi="黑体" w:cs="黑体" w:eastAsia="黑体" w:hint="default"/>
                <w:sz w:val="18"/>
                <w:szCs w:val="18"/>
              </w:rPr>
              <w:t>原价 房屋及建筑物</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7"/>
              <w:ind w:right="0"/>
              <w:jc w:val="left"/>
              <w:rPr>
                <w:rFonts w:ascii="黑体" w:hAnsi="黑体" w:cs="黑体" w:eastAsia="黑体" w:hint="default"/>
                <w:sz w:val="25"/>
                <w:szCs w:val="25"/>
              </w:rPr>
            </w:pPr>
          </w:p>
          <w:p>
            <w:pPr>
              <w:pStyle w:val="TableParagraph"/>
              <w:spacing w:line="240" w:lineRule="auto"/>
              <w:ind w:right="140"/>
              <w:jc w:val="right"/>
              <w:rPr>
                <w:rFonts w:ascii="Arial" w:hAnsi="Arial" w:cs="Arial" w:eastAsia="Arial" w:hint="default"/>
                <w:sz w:val="18"/>
                <w:szCs w:val="18"/>
              </w:rPr>
            </w:pPr>
            <w:r>
              <w:rPr>
                <w:rFonts w:ascii="Arial"/>
                <w:spacing w:val="-1"/>
                <w:sz w:val="18"/>
              </w:rPr>
              <w:t>648,816,719</w:t>
            </w:r>
          </w:p>
        </w:tc>
        <w:tc>
          <w:tcPr>
            <w:tcW w:w="1292" w:type="dxa"/>
            <w:tcBorders>
              <w:top w:val="single" w:sz="4" w:space="0" w:color="000000"/>
              <w:left w:val="nil" w:sz="6" w:space="0" w:color="auto"/>
              <w:bottom w:val="nil" w:sz="6" w:space="0" w:color="auto"/>
              <w:right w:val="nil" w:sz="6" w:space="0" w:color="auto"/>
            </w:tcBorders>
          </w:tcPr>
          <w:p>
            <w:pPr>
              <w:pStyle w:val="TableParagraph"/>
              <w:spacing w:line="215" w:lineRule="exact"/>
              <w:ind w:left="250" w:right="0"/>
              <w:jc w:val="center"/>
              <w:rPr>
                <w:rFonts w:ascii="黑体" w:hAnsi="黑体" w:cs="黑体" w:eastAsia="黑体" w:hint="default"/>
                <w:sz w:val="18"/>
                <w:szCs w:val="18"/>
              </w:rPr>
            </w:pPr>
            <w:r>
              <w:rPr>
                <w:rFonts w:ascii="黑体" w:hAnsi="黑体" w:cs="黑体" w:eastAsia="黑体" w:hint="default"/>
                <w:sz w:val="18"/>
                <w:szCs w:val="18"/>
              </w:rPr>
              <w:t>在建工程</w:t>
            </w:r>
          </w:p>
          <w:p>
            <w:pPr>
              <w:pStyle w:val="TableParagraph"/>
              <w:spacing w:line="240" w:lineRule="auto" w:before="26"/>
              <w:ind w:left="229" w:right="0" w:firstLine="540"/>
              <w:jc w:val="left"/>
              <w:rPr>
                <w:rFonts w:ascii="黑体" w:hAnsi="黑体" w:cs="黑体" w:eastAsia="黑体" w:hint="default"/>
                <w:sz w:val="18"/>
                <w:szCs w:val="18"/>
              </w:rPr>
            </w:pPr>
            <w:r>
              <w:rPr>
                <w:rFonts w:ascii="黑体" w:hAnsi="黑体" w:cs="黑体" w:eastAsia="黑体" w:hint="default"/>
                <w:sz w:val="18"/>
                <w:szCs w:val="18"/>
              </w:rPr>
              <w:t>转入</w:t>
            </w:r>
          </w:p>
          <w:p>
            <w:pPr>
              <w:pStyle w:val="TableParagraph"/>
              <w:spacing w:line="240" w:lineRule="auto" w:before="10"/>
              <w:ind w:right="0"/>
              <w:jc w:val="left"/>
              <w:rPr>
                <w:rFonts w:ascii="黑体" w:hAnsi="黑体" w:cs="黑体" w:eastAsia="黑体" w:hint="default"/>
                <w:sz w:val="24"/>
                <w:szCs w:val="24"/>
              </w:rPr>
            </w:pPr>
          </w:p>
          <w:p>
            <w:pPr>
              <w:pStyle w:val="TableParagraph"/>
              <w:spacing w:line="240" w:lineRule="auto"/>
              <w:ind w:left="67" w:right="0"/>
              <w:jc w:val="center"/>
              <w:rPr>
                <w:rFonts w:ascii="Arial" w:hAnsi="Arial" w:cs="Arial" w:eastAsia="Arial" w:hint="default"/>
                <w:sz w:val="18"/>
                <w:szCs w:val="18"/>
              </w:rPr>
            </w:pPr>
            <w:r>
              <w:rPr>
                <w:rFonts w:ascii="Arial"/>
                <w:sz w:val="18"/>
              </w:rPr>
              <w:t>72,635,293</w:t>
            </w:r>
          </w:p>
        </w:tc>
        <w:tc>
          <w:tcPr>
            <w:tcW w:w="1253" w:type="dxa"/>
            <w:tcBorders>
              <w:top w:val="single" w:sz="4" w:space="0" w:color="000000"/>
              <w:left w:val="nil" w:sz="6" w:space="0" w:color="auto"/>
              <w:bottom w:val="nil" w:sz="6" w:space="0" w:color="auto"/>
              <w:right w:val="nil" w:sz="6" w:space="0" w:color="auto"/>
            </w:tcBorders>
          </w:tcPr>
          <w:p>
            <w:pPr>
              <w:pStyle w:val="TableParagraph"/>
              <w:spacing w:line="215" w:lineRule="exact"/>
              <w:ind w:right="67"/>
              <w:jc w:val="right"/>
              <w:rPr>
                <w:rFonts w:ascii="黑体" w:hAnsi="黑体" w:cs="黑体" w:eastAsia="黑体" w:hint="default"/>
                <w:sz w:val="18"/>
                <w:szCs w:val="18"/>
              </w:rPr>
            </w:pPr>
            <w:r>
              <w:rPr>
                <w:rFonts w:ascii="黑体" w:hAnsi="黑体" w:cs="黑体" w:eastAsia="黑体" w:hint="default"/>
                <w:sz w:val="18"/>
                <w:szCs w:val="18"/>
              </w:rPr>
              <w:t>其他</w:t>
            </w: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0"/>
              <w:ind w:right="0"/>
              <w:jc w:val="left"/>
              <w:rPr>
                <w:rFonts w:ascii="黑体" w:hAnsi="黑体" w:cs="黑体" w:eastAsia="黑体" w:hint="default"/>
                <w:sz w:val="26"/>
                <w:szCs w:val="26"/>
              </w:rPr>
            </w:pPr>
          </w:p>
          <w:p>
            <w:pPr>
              <w:pStyle w:val="TableParagraph"/>
              <w:spacing w:line="240" w:lineRule="auto"/>
              <w:ind w:right="70"/>
              <w:jc w:val="right"/>
              <w:rPr>
                <w:rFonts w:ascii="Arial" w:hAnsi="Arial" w:cs="Arial" w:eastAsia="Arial" w:hint="default"/>
                <w:sz w:val="18"/>
                <w:szCs w:val="18"/>
              </w:rPr>
            </w:pPr>
            <w:r>
              <w:rPr>
                <w:rFonts w:ascii="Arial"/>
                <w:w w:val="99"/>
                <w:sz w:val="18"/>
              </w:rPr>
              <w:t>-</w:t>
            </w:r>
            <w:r>
              <w:rPr>
                <w:rFonts w:ascii="Arial"/>
                <w:sz w:val="18"/>
              </w:rPr>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7"/>
              <w:ind w:right="0"/>
              <w:jc w:val="left"/>
              <w:rPr>
                <w:rFonts w:ascii="黑体" w:hAnsi="黑体" w:cs="黑体" w:eastAsia="黑体" w:hint="default"/>
                <w:sz w:val="25"/>
                <w:szCs w:val="25"/>
              </w:rPr>
            </w:pPr>
          </w:p>
          <w:p>
            <w:pPr>
              <w:pStyle w:val="TableParagraph"/>
              <w:tabs>
                <w:tab w:pos="307" w:val="left" w:leader="none"/>
              </w:tabs>
              <w:spacing w:line="240" w:lineRule="auto"/>
              <w:ind w:right="113"/>
              <w:jc w:val="right"/>
              <w:rPr>
                <w:rFonts w:ascii="Arial" w:hAnsi="Arial" w:cs="Arial" w:eastAsia="Arial" w:hint="default"/>
                <w:sz w:val="18"/>
                <w:szCs w:val="18"/>
              </w:rPr>
            </w:pPr>
            <w:r>
              <w:rPr>
                <w:rFonts w:ascii="Arial"/>
                <w:sz w:val="18"/>
              </w:rPr>
              <w:t>(</w:t>
              <w:tab/>
            </w:r>
            <w:r>
              <w:rPr>
                <w:rFonts w:ascii="Arial"/>
                <w:spacing w:val="-2"/>
                <w:w w:val="95"/>
                <w:sz w:val="18"/>
              </w:rPr>
              <w:t>596,756)</w:t>
            </w:r>
            <w:r>
              <w:rPr>
                <w:rFonts w:ascii="Arial"/>
                <w:spacing w:val="-2"/>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7"/>
              <w:ind w:right="0"/>
              <w:jc w:val="left"/>
              <w:rPr>
                <w:rFonts w:ascii="黑体" w:hAnsi="黑体" w:cs="黑体" w:eastAsia="黑体" w:hint="default"/>
                <w:sz w:val="25"/>
                <w:szCs w:val="25"/>
              </w:rPr>
            </w:pPr>
          </w:p>
          <w:p>
            <w:pPr>
              <w:pStyle w:val="TableParagraph"/>
              <w:spacing w:line="240" w:lineRule="auto"/>
              <w:ind w:right="33"/>
              <w:jc w:val="right"/>
              <w:rPr>
                <w:rFonts w:ascii="Arial" w:hAnsi="Arial" w:cs="Arial" w:eastAsia="Arial" w:hint="default"/>
                <w:sz w:val="18"/>
                <w:szCs w:val="18"/>
              </w:rPr>
            </w:pPr>
            <w:r>
              <w:rPr>
                <w:rFonts w:ascii="Arial"/>
                <w:spacing w:val="-1"/>
                <w:sz w:val="18"/>
              </w:rPr>
              <w:t>720,855,256</w:t>
            </w:r>
          </w:p>
        </w:tc>
      </w:tr>
      <w:tr>
        <w:trPr>
          <w:trHeight w:val="260" w:hRule="exact"/>
        </w:trPr>
        <w:tc>
          <w:tcPr>
            <w:tcW w:w="1326"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黑体" w:hAnsi="黑体" w:cs="黑体" w:eastAsia="黑体" w:hint="default"/>
                <w:sz w:val="18"/>
                <w:szCs w:val="18"/>
              </w:rPr>
            </w:pPr>
            <w:r>
              <w:rPr>
                <w:rFonts w:ascii="黑体" w:hAnsi="黑体" w:cs="黑体" w:eastAsia="黑体" w:hint="default"/>
                <w:sz w:val="18"/>
                <w:szCs w:val="18"/>
              </w:rPr>
              <w:t>机器设备</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41"/>
              <w:jc w:val="right"/>
              <w:rPr>
                <w:rFonts w:ascii="Arial" w:hAnsi="Arial" w:cs="Arial" w:eastAsia="Arial" w:hint="default"/>
                <w:sz w:val="18"/>
                <w:szCs w:val="18"/>
              </w:rPr>
            </w:pPr>
            <w:r>
              <w:rPr>
                <w:rFonts w:ascii="Arial"/>
                <w:spacing w:val="-1"/>
                <w:sz w:val="18"/>
              </w:rPr>
              <w:t>87,536,079</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9"/>
              <w:jc w:val="right"/>
              <w:rPr>
                <w:rFonts w:ascii="Arial" w:hAnsi="Arial" w:cs="Arial" w:eastAsia="Arial" w:hint="default"/>
                <w:sz w:val="18"/>
                <w:szCs w:val="18"/>
              </w:rPr>
            </w:pPr>
            <w:r>
              <w:rPr>
                <w:rFonts w:ascii="Arial"/>
                <w:spacing w:val="-1"/>
                <w:sz w:val="18"/>
              </w:rPr>
              <w:t>39,946,213</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67"/>
              <w:jc w:val="right"/>
              <w:rPr>
                <w:rFonts w:ascii="Arial" w:hAnsi="Arial" w:cs="Arial" w:eastAsia="Arial" w:hint="default"/>
                <w:sz w:val="18"/>
                <w:szCs w:val="18"/>
              </w:rPr>
            </w:pPr>
            <w:r>
              <w:rPr>
                <w:rFonts w:ascii="Arial"/>
                <w:spacing w:val="-1"/>
                <w:sz w:val="18"/>
              </w:rPr>
              <w:t>672,792</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63"/>
              <w:jc w:val="right"/>
              <w:rPr>
                <w:rFonts w:ascii="Arial" w:hAnsi="Arial" w:cs="Arial" w:eastAsia="Arial" w:hint="default"/>
                <w:sz w:val="18"/>
                <w:szCs w:val="18"/>
              </w:rPr>
            </w:pPr>
            <w:r>
              <w:rPr>
                <w:rFonts w:ascii="Arial"/>
                <w:w w:val="99"/>
                <w:sz w:val="18"/>
              </w:rPr>
              <w:t>-</w:t>
            </w:r>
            <w:r>
              <w:rPr>
                <w:rFonts w:ascii="Arial"/>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Arial" w:hAnsi="Arial" w:cs="Arial" w:eastAsia="Arial" w:hint="default"/>
                <w:sz w:val="18"/>
                <w:szCs w:val="18"/>
              </w:rPr>
            </w:pPr>
            <w:r>
              <w:rPr>
                <w:rFonts w:ascii="Arial"/>
                <w:spacing w:val="-1"/>
                <w:sz w:val="18"/>
              </w:rPr>
              <w:t>128,155,084</w:t>
            </w:r>
          </w:p>
        </w:tc>
      </w:tr>
      <w:tr>
        <w:trPr>
          <w:trHeight w:val="259" w:hRule="exact"/>
        </w:trPr>
        <w:tc>
          <w:tcPr>
            <w:tcW w:w="1326" w:type="dxa"/>
            <w:tcBorders>
              <w:top w:val="nil" w:sz="6" w:space="0" w:color="auto"/>
              <w:left w:val="nil" w:sz="6" w:space="0" w:color="auto"/>
              <w:bottom w:val="nil" w:sz="6" w:space="0" w:color="auto"/>
              <w:right w:val="nil" w:sz="6" w:space="0" w:color="auto"/>
            </w:tcBorders>
          </w:tcPr>
          <w:p>
            <w:pPr>
              <w:pStyle w:val="TableParagraph"/>
              <w:spacing w:line="215" w:lineRule="exact"/>
              <w:ind w:left="35" w:right="0"/>
              <w:jc w:val="left"/>
              <w:rPr>
                <w:rFonts w:ascii="黑体" w:hAnsi="黑体" w:cs="黑体" w:eastAsia="黑体" w:hint="default"/>
                <w:sz w:val="18"/>
                <w:szCs w:val="18"/>
              </w:rPr>
            </w:pPr>
            <w:r>
              <w:rPr>
                <w:rFonts w:ascii="黑体" w:hAnsi="黑体" w:cs="黑体" w:eastAsia="黑体" w:hint="default"/>
                <w:sz w:val="18"/>
                <w:szCs w:val="18"/>
              </w:rPr>
              <w:t>运输工具</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41"/>
              <w:jc w:val="right"/>
              <w:rPr>
                <w:rFonts w:ascii="Arial" w:hAnsi="Arial" w:cs="Arial" w:eastAsia="Arial" w:hint="default"/>
                <w:sz w:val="18"/>
                <w:szCs w:val="18"/>
              </w:rPr>
            </w:pPr>
            <w:r>
              <w:rPr>
                <w:rFonts w:ascii="Arial"/>
                <w:spacing w:val="-1"/>
                <w:sz w:val="18"/>
              </w:rPr>
              <w:t>57,558,023</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61"/>
              <w:jc w:val="right"/>
              <w:rPr>
                <w:rFonts w:ascii="Arial" w:hAnsi="Arial" w:cs="Arial" w:eastAsia="Arial" w:hint="default"/>
                <w:sz w:val="18"/>
                <w:szCs w:val="18"/>
              </w:rPr>
            </w:pPr>
            <w:r>
              <w:rPr>
                <w:rFonts w:ascii="Arial"/>
                <w:w w:val="99"/>
                <w:sz w:val="18"/>
              </w:rPr>
              <w:t>-</w:t>
            </w:r>
            <w:r>
              <w:rPr>
                <w:rFonts w:ascii="Arial"/>
                <w:sz w:val="18"/>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7"/>
              <w:jc w:val="right"/>
              <w:rPr>
                <w:rFonts w:ascii="Arial" w:hAnsi="Arial" w:cs="Arial" w:eastAsia="Arial" w:hint="default"/>
                <w:sz w:val="18"/>
                <w:szCs w:val="18"/>
              </w:rPr>
            </w:pPr>
            <w:r>
              <w:rPr>
                <w:rFonts w:ascii="Arial"/>
                <w:spacing w:val="-1"/>
                <w:sz w:val="18"/>
              </w:rPr>
              <w:t>6,796,461</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3"/>
              <w:jc w:val="right"/>
              <w:rPr>
                <w:rFonts w:ascii="Arial" w:hAnsi="Arial" w:cs="Arial" w:eastAsia="Arial" w:hint="default"/>
                <w:sz w:val="18"/>
                <w:szCs w:val="18"/>
              </w:rPr>
            </w:pPr>
            <w:r>
              <w:rPr>
                <w:rFonts w:ascii="Arial"/>
                <w:sz w:val="18"/>
              </w:rPr>
              <w:t>(</w:t>
            </w:r>
            <w:r>
              <w:rPr>
                <w:rFonts w:ascii="Arial"/>
                <w:spacing w:val="33"/>
                <w:sz w:val="18"/>
              </w:rPr>
              <w:t> </w:t>
            </w:r>
            <w:r>
              <w:rPr>
                <w:rFonts w:ascii="Arial"/>
                <w:sz w:val="18"/>
              </w:rPr>
              <w:t>4,856,932)</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5"/>
              <w:jc w:val="right"/>
              <w:rPr>
                <w:rFonts w:ascii="Arial" w:hAnsi="Arial" w:cs="Arial" w:eastAsia="Arial" w:hint="default"/>
                <w:sz w:val="18"/>
                <w:szCs w:val="18"/>
              </w:rPr>
            </w:pPr>
            <w:r>
              <w:rPr>
                <w:rFonts w:ascii="Arial"/>
                <w:spacing w:val="-1"/>
                <w:sz w:val="18"/>
              </w:rPr>
              <w:t>59,497,552</w:t>
            </w:r>
            <w:r>
              <w:rPr>
                <w:rFonts w:ascii="Arial"/>
                <w:sz w:val="18"/>
              </w:rPr>
            </w:r>
          </w:p>
        </w:tc>
      </w:tr>
      <w:tr>
        <w:trPr>
          <w:trHeight w:val="394" w:hRule="exact"/>
        </w:trPr>
        <w:tc>
          <w:tcPr>
            <w:tcW w:w="1326" w:type="dxa"/>
            <w:tcBorders>
              <w:top w:val="nil" w:sz="6" w:space="0" w:color="auto"/>
              <w:left w:val="nil" w:sz="6" w:space="0" w:color="auto"/>
              <w:bottom w:val="nil" w:sz="6" w:space="0" w:color="auto"/>
              <w:right w:val="nil" w:sz="6" w:space="0" w:color="auto"/>
            </w:tcBorders>
          </w:tcPr>
          <w:p>
            <w:pPr>
              <w:pStyle w:val="TableParagraph"/>
              <w:spacing w:line="215" w:lineRule="exact"/>
              <w:ind w:left="35" w:right="0"/>
              <w:jc w:val="left"/>
              <w:rPr>
                <w:rFonts w:ascii="黑体" w:hAnsi="黑体" w:cs="黑体" w:eastAsia="黑体" w:hint="default"/>
                <w:sz w:val="18"/>
                <w:szCs w:val="18"/>
              </w:rPr>
            </w:pPr>
            <w:r>
              <w:rPr>
                <w:rFonts w:ascii="黑体" w:hAnsi="黑体" w:cs="黑体" w:eastAsia="黑体" w:hint="default"/>
                <w:sz w:val="18"/>
                <w:szCs w:val="18"/>
              </w:rPr>
              <w:t>办公及电子设备</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4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8"/>
                <w:sz w:val="18"/>
                <w:u w:val="single" w:color="000000"/>
              </w:rPr>
              <w:t> </w:t>
            </w:r>
            <w:r>
              <w:rPr>
                <w:rFonts w:ascii="Arial"/>
                <w:spacing w:val="-1"/>
                <w:sz w:val="18"/>
                <w:u w:val="single" w:color="000000"/>
              </w:rPr>
              <w:t>246,986,271</w:t>
            </w:r>
            <w:r>
              <w:rPr>
                <w:rFonts w:ascii="Arial"/>
                <w:spacing w:val="-1"/>
                <w:sz w:val="18"/>
              </w:rPr>
            </w:r>
          </w:p>
        </w:tc>
        <w:tc>
          <w:tcPr>
            <w:tcW w:w="1292" w:type="dxa"/>
            <w:tcBorders>
              <w:top w:val="nil" w:sz="6" w:space="0" w:color="auto"/>
              <w:left w:val="nil" w:sz="6" w:space="0" w:color="auto"/>
              <w:bottom w:val="nil" w:sz="6" w:space="0" w:color="auto"/>
              <w:right w:val="nil" w:sz="6" w:space="0" w:color="auto"/>
            </w:tcBorders>
          </w:tcPr>
          <w:p>
            <w:pPr>
              <w:pStyle w:val="TableParagraph"/>
              <w:tabs>
                <w:tab w:pos="362" w:val="left" w:leader="none"/>
              </w:tabs>
              <w:spacing w:line="240" w:lineRule="auto" w:before="21"/>
              <w:ind w:right="15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173,267</w:t>
            </w:r>
            <w:r>
              <w:rPr>
                <w:rFonts w:ascii="Arial"/>
                <w:spacing w:val="-1"/>
                <w:sz w:val="18"/>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69"/>
              <w:jc w:val="right"/>
              <w:rPr>
                <w:rFonts w:ascii="Arial" w:hAnsi="Arial" w:cs="Arial" w:eastAsia="Arial" w:hint="default"/>
                <w:sz w:val="18"/>
                <w:szCs w:val="18"/>
              </w:rPr>
            </w:pPr>
            <w:r>
              <w:rPr>
                <w:rFonts w:ascii="Arial"/>
                <w:w w:val="99"/>
                <w:sz w:val="18"/>
              </w:rPr>
            </w:r>
            <w:r>
              <w:rPr>
                <w:rFonts w:ascii="Arial"/>
                <w:spacing w:val="-1"/>
                <w:sz w:val="18"/>
                <w:u w:val="single" w:color="000000"/>
              </w:rPr>
              <w:t>25,256,045</w:t>
            </w:r>
            <w:r>
              <w:rPr>
                <w:rFonts w:ascii="Arial"/>
                <w:spacing w:val="-1"/>
                <w:sz w:val="18"/>
              </w:rPr>
            </w:r>
            <w:r>
              <w:rPr>
                <w:rFonts w:ascii="Arial"/>
                <w:sz w:val="18"/>
              </w:rPr>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13"/>
              <w:jc w:val="right"/>
              <w:rPr>
                <w:rFonts w:ascii="Arial" w:hAnsi="Arial" w:cs="Arial" w:eastAsia="Arial" w:hint="default"/>
                <w:sz w:val="18"/>
                <w:szCs w:val="18"/>
              </w:rPr>
            </w:pPr>
            <w:r>
              <w:rPr>
                <w:rFonts w:ascii="Arial"/>
                <w:spacing w:val="-2"/>
                <w:sz w:val="18"/>
              </w:rPr>
              <w:t>(</w:t>
            </w:r>
            <w:r>
              <w:rPr>
                <w:rFonts w:ascii="Arial"/>
                <w:spacing w:val="-2"/>
                <w:sz w:val="18"/>
                <w:u w:val="single" w:color="000000"/>
              </w:rPr>
              <w:t>15,368,012</w:t>
            </w:r>
            <w:r>
              <w:rPr>
                <w:rFonts w:ascii="Arial"/>
                <w:spacing w:val="-2"/>
                <w:sz w:val="18"/>
              </w:rPr>
              <w:t>)</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5"/>
                <w:sz w:val="18"/>
                <w:u w:val="single" w:color="000000"/>
              </w:rPr>
              <w:t> </w:t>
            </w:r>
            <w:r>
              <w:rPr>
                <w:rFonts w:ascii="Arial"/>
                <w:spacing w:val="-1"/>
                <w:sz w:val="18"/>
                <w:u w:val="single" w:color="000000"/>
              </w:rPr>
              <w:t>257,047,571</w:t>
            </w:r>
            <w:r>
              <w:rPr>
                <w:rFonts w:ascii="Arial"/>
                <w:spacing w:val="-1"/>
                <w:sz w:val="18"/>
              </w:rPr>
            </w:r>
          </w:p>
        </w:tc>
      </w:tr>
      <w:tr>
        <w:trPr>
          <w:trHeight w:val="516" w:hRule="exact"/>
        </w:trPr>
        <w:tc>
          <w:tcPr>
            <w:tcW w:w="1326"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40"/>
              <w:jc w:val="right"/>
              <w:rPr>
                <w:rFonts w:ascii="Arial" w:hAnsi="Arial" w:cs="Arial" w:eastAsia="Arial" w:hint="default"/>
                <w:sz w:val="18"/>
                <w:szCs w:val="18"/>
              </w:rPr>
            </w:pPr>
            <w:r>
              <w:rPr>
                <w:rFonts w:ascii="Arial"/>
                <w:w w:val="100"/>
                <w:sz w:val="18"/>
              </w:rPr>
            </w:r>
            <w:r>
              <w:rPr>
                <w:rFonts w:ascii="Arial"/>
                <w:spacing w:val="-1"/>
                <w:sz w:val="18"/>
                <w:u w:val="thick" w:color="000000"/>
              </w:rPr>
              <w:t>1,040,897,092</w:t>
            </w:r>
            <w:r>
              <w:rPr>
                <w:rFonts w:ascii="Arial"/>
                <w:spacing w:val="-1"/>
                <w:sz w:val="18"/>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58"/>
              <w:jc w:val="right"/>
              <w:rPr>
                <w:rFonts w:ascii="Arial" w:hAnsi="Arial" w:cs="Arial" w:eastAsia="Arial" w:hint="default"/>
                <w:sz w:val="18"/>
                <w:szCs w:val="18"/>
              </w:rPr>
            </w:pPr>
            <w:r>
              <w:rPr>
                <w:rFonts w:ascii="Arial"/>
                <w:w w:val="99"/>
                <w:sz w:val="18"/>
              </w:rPr>
            </w:r>
            <w:r>
              <w:rPr>
                <w:rFonts w:ascii="Arial"/>
                <w:spacing w:val="-1"/>
                <w:sz w:val="18"/>
                <w:u w:val="thick" w:color="000000"/>
              </w:rPr>
              <w:t>112,754,773</w:t>
            </w:r>
            <w:r>
              <w:rPr>
                <w:rFonts w:ascii="Arial"/>
                <w:spacing w:val="-1"/>
                <w:sz w:val="18"/>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69"/>
              <w:jc w:val="right"/>
              <w:rPr>
                <w:rFonts w:ascii="Arial" w:hAnsi="Arial" w:cs="Arial" w:eastAsia="Arial" w:hint="default"/>
                <w:sz w:val="18"/>
                <w:szCs w:val="18"/>
              </w:rPr>
            </w:pPr>
            <w:r>
              <w:rPr>
                <w:rFonts w:ascii="Arial"/>
                <w:w w:val="99"/>
                <w:sz w:val="18"/>
              </w:rPr>
            </w:r>
            <w:r>
              <w:rPr>
                <w:rFonts w:ascii="Arial"/>
                <w:spacing w:val="-1"/>
                <w:sz w:val="18"/>
                <w:u w:val="thick" w:color="000000"/>
              </w:rPr>
              <w:t>32,725,298</w:t>
            </w:r>
            <w:r>
              <w:rPr>
                <w:rFonts w:ascii="Arial"/>
                <w:spacing w:val="-1"/>
                <w:sz w:val="18"/>
              </w:rPr>
            </w:r>
            <w:r>
              <w:rPr>
                <w:rFonts w:ascii="Arial"/>
                <w:sz w:val="18"/>
              </w:rPr>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13"/>
              <w:jc w:val="right"/>
              <w:rPr>
                <w:rFonts w:ascii="Arial" w:hAnsi="Arial" w:cs="Arial" w:eastAsia="Arial" w:hint="default"/>
                <w:sz w:val="18"/>
                <w:szCs w:val="18"/>
              </w:rPr>
            </w:pPr>
            <w:r>
              <w:rPr>
                <w:rFonts w:ascii="Arial"/>
                <w:spacing w:val="-2"/>
                <w:sz w:val="18"/>
              </w:rPr>
              <w:t>(</w:t>
            </w:r>
            <w:r>
              <w:rPr>
                <w:rFonts w:ascii="Arial"/>
                <w:spacing w:val="-2"/>
                <w:sz w:val="18"/>
                <w:u w:val="thick" w:color="000000"/>
              </w:rPr>
              <w:t>20,821,700</w:t>
            </w:r>
            <w:r>
              <w:rPr>
                <w:rFonts w:ascii="Arial"/>
                <w:spacing w:val="-2"/>
                <w:sz w:val="18"/>
              </w:rPr>
              <w:t>)</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33"/>
              <w:jc w:val="right"/>
              <w:rPr>
                <w:rFonts w:ascii="Arial" w:hAnsi="Arial" w:cs="Arial" w:eastAsia="Arial" w:hint="default"/>
                <w:sz w:val="18"/>
                <w:szCs w:val="18"/>
              </w:rPr>
            </w:pPr>
            <w:r>
              <w:rPr>
                <w:rFonts w:ascii="Arial"/>
                <w:w w:val="100"/>
                <w:sz w:val="18"/>
              </w:rPr>
            </w:r>
            <w:r>
              <w:rPr>
                <w:rFonts w:ascii="Arial"/>
                <w:spacing w:val="-1"/>
                <w:sz w:val="18"/>
                <w:u w:val="thick" w:color="000000"/>
              </w:rPr>
              <w:t>1,165,555,463</w:t>
            </w:r>
            <w:r>
              <w:rPr>
                <w:rFonts w:ascii="Arial"/>
                <w:spacing w:val="-1"/>
                <w:sz w:val="18"/>
              </w:rPr>
            </w:r>
          </w:p>
        </w:tc>
      </w:tr>
      <w:tr>
        <w:trPr>
          <w:trHeight w:val="386" w:hRule="exact"/>
        </w:trPr>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5" w:right="0"/>
              <w:jc w:val="left"/>
              <w:rPr>
                <w:rFonts w:ascii="黑体" w:hAnsi="黑体" w:cs="黑体" w:eastAsia="黑体" w:hint="default"/>
                <w:sz w:val="18"/>
                <w:szCs w:val="18"/>
              </w:rPr>
            </w:pPr>
            <w:r>
              <w:rPr>
                <w:rFonts w:ascii="黑体" w:hAnsi="黑体" w:cs="黑体" w:eastAsia="黑体" w:hint="default"/>
                <w:sz w:val="18"/>
                <w:szCs w:val="18"/>
              </w:rPr>
              <w:t>累计折旧</w:t>
            </w:r>
          </w:p>
        </w:tc>
        <w:tc>
          <w:tcPr>
            <w:tcW w:w="1408"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
        </w:tc>
      </w:tr>
      <w:tr>
        <w:trPr>
          <w:trHeight w:val="264" w:hRule="exact"/>
        </w:trPr>
        <w:tc>
          <w:tcPr>
            <w:tcW w:w="1326" w:type="dxa"/>
            <w:tcBorders>
              <w:top w:val="nil" w:sz="6" w:space="0" w:color="auto"/>
              <w:left w:val="nil" w:sz="6" w:space="0" w:color="auto"/>
              <w:bottom w:val="nil" w:sz="6" w:space="0" w:color="auto"/>
              <w:right w:val="nil" w:sz="6" w:space="0" w:color="auto"/>
            </w:tcBorders>
          </w:tcPr>
          <w:p>
            <w:pPr>
              <w:pStyle w:val="TableParagraph"/>
              <w:spacing w:line="220" w:lineRule="exact"/>
              <w:ind w:left="35" w:right="0"/>
              <w:jc w:val="left"/>
              <w:rPr>
                <w:rFonts w:ascii="黑体" w:hAnsi="黑体" w:cs="黑体" w:eastAsia="黑体" w:hint="default"/>
                <w:sz w:val="18"/>
                <w:szCs w:val="18"/>
              </w:rPr>
            </w:pPr>
            <w:r>
              <w:rPr>
                <w:rFonts w:ascii="黑体" w:hAnsi="黑体" w:cs="黑体" w:eastAsia="黑体" w:hint="default"/>
                <w:sz w:val="18"/>
                <w:szCs w:val="18"/>
              </w:rPr>
              <w:t>房屋及建筑物</w:t>
            </w:r>
          </w:p>
        </w:tc>
        <w:tc>
          <w:tcPr>
            <w:tcW w:w="1408" w:type="dxa"/>
            <w:tcBorders>
              <w:top w:val="nil" w:sz="6" w:space="0" w:color="auto"/>
              <w:left w:val="nil" w:sz="6" w:space="0" w:color="auto"/>
              <w:bottom w:val="nil" w:sz="6" w:space="0" w:color="auto"/>
              <w:right w:val="nil" w:sz="6" w:space="0" w:color="auto"/>
            </w:tcBorders>
          </w:tcPr>
          <w:p>
            <w:pPr>
              <w:pStyle w:val="TableParagraph"/>
              <w:tabs>
                <w:tab w:pos="331" w:val="left" w:leader="none"/>
              </w:tabs>
              <w:spacing w:line="240" w:lineRule="auto" w:before="25"/>
              <w:ind w:right="88"/>
              <w:jc w:val="right"/>
              <w:rPr>
                <w:rFonts w:ascii="Arial" w:hAnsi="Arial" w:cs="Arial" w:eastAsia="Arial" w:hint="default"/>
                <w:sz w:val="18"/>
                <w:szCs w:val="18"/>
              </w:rPr>
            </w:pPr>
            <w:r>
              <w:rPr>
                <w:rFonts w:ascii="Arial"/>
                <w:sz w:val="18"/>
              </w:rPr>
              <w:t>(</w:t>
              <w:tab/>
            </w:r>
            <w:r>
              <w:rPr>
                <w:rFonts w:ascii="Arial"/>
                <w:spacing w:val="-1"/>
                <w:w w:val="95"/>
                <w:sz w:val="18"/>
              </w:rPr>
              <w:t>44,856,462)</w:t>
            </w:r>
            <w:r>
              <w:rPr>
                <w:rFonts w:ascii="Arial"/>
                <w:spacing w:val="-1"/>
                <w:sz w:val="18"/>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61"/>
              <w:jc w:val="right"/>
              <w:rPr>
                <w:rFonts w:ascii="Arial" w:hAnsi="Arial" w:cs="Arial" w:eastAsia="Arial" w:hint="default"/>
                <w:sz w:val="18"/>
                <w:szCs w:val="18"/>
              </w:rPr>
            </w:pPr>
            <w:r>
              <w:rPr>
                <w:rFonts w:ascii="Arial"/>
                <w:w w:val="99"/>
                <w:sz w:val="18"/>
              </w:rPr>
              <w:t>-</w:t>
            </w:r>
            <w:r>
              <w:rPr>
                <w:rFonts w:ascii="Arial"/>
                <w:sz w:val="18"/>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0"/>
              <w:jc w:val="right"/>
              <w:rPr>
                <w:rFonts w:ascii="Arial" w:hAnsi="Arial" w:cs="Arial" w:eastAsia="Arial" w:hint="default"/>
                <w:sz w:val="18"/>
                <w:szCs w:val="18"/>
              </w:rPr>
            </w:pPr>
            <w:r>
              <w:rPr>
                <w:rFonts w:ascii="Arial"/>
                <w:sz w:val="18"/>
              </w:rPr>
              <w:t>(16,092,063)</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63"/>
              <w:jc w:val="right"/>
              <w:rPr>
                <w:rFonts w:ascii="Arial" w:hAnsi="Arial" w:cs="Arial" w:eastAsia="Arial" w:hint="default"/>
                <w:sz w:val="18"/>
                <w:szCs w:val="18"/>
              </w:rPr>
            </w:pPr>
            <w:r>
              <w:rPr>
                <w:rFonts w:ascii="Arial"/>
                <w:spacing w:val="-1"/>
                <w:w w:val="95"/>
                <w:sz w:val="18"/>
              </w:rPr>
              <w:t>43,989</w:t>
            </w:r>
            <w:r>
              <w:rPr>
                <w:rFonts w:ascii="Arial"/>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3"/>
              <w:jc w:val="right"/>
              <w:rPr>
                <w:rFonts w:ascii="Arial" w:hAnsi="Arial" w:cs="Arial" w:eastAsia="Arial" w:hint="default"/>
                <w:sz w:val="18"/>
                <w:szCs w:val="18"/>
              </w:rPr>
            </w:pPr>
            <w:r>
              <w:rPr>
                <w:rFonts w:ascii="Arial"/>
                <w:sz w:val="18"/>
              </w:rPr>
              <w:t>(  </w:t>
            </w:r>
            <w:r>
              <w:rPr>
                <w:rFonts w:ascii="Arial"/>
                <w:spacing w:val="25"/>
                <w:sz w:val="18"/>
              </w:rPr>
              <w:t> </w:t>
            </w:r>
            <w:r>
              <w:rPr>
                <w:rFonts w:ascii="Arial"/>
                <w:sz w:val="18"/>
              </w:rPr>
              <w:t>60,904,536)</w:t>
            </w:r>
          </w:p>
        </w:tc>
      </w:tr>
      <w:tr>
        <w:trPr>
          <w:trHeight w:val="260" w:hRule="exact"/>
        </w:trPr>
        <w:tc>
          <w:tcPr>
            <w:tcW w:w="1326" w:type="dxa"/>
            <w:tcBorders>
              <w:top w:val="nil" w:sz="6" w:space="0" w:color="auto"/>
              <w:left w:val="nil" w:sz="6" w:space="0" w:color="auto"/>
              <w:bottom w:val="nil" w:sz="6" w:space="0" w:color="auto"/>
              <w:right w:val="nil" w:sz="6" w:space="0" w:color="auto"/>
            </w:tcBorders>
          </w:tcPr>
          <w:p>
            <w:pPr>
              <w:pStyle w:val="TableParagraph"/>
              <w:spacing w:line="215" w:lineRule="exact"/>
              <w:ind w:left="35" w:right="0"/>
              <w:jc w:val="left"/>
              <w:rPr>
                <w:rFonts w:ascii="黑体" w:hAnsi="黑体" w:cs="黑体" w:eastAsia="黑体" w:hint="default"/>
                <w:sz w:val="18"/>
                <w:szCs w:val="18"/>
              </w:rPr>
            </w:pPr>
            <w:r>
              <w:rPr>
                <w:rFonts w:ascii="黑体" w:hAnsi="黑体" w:cs="黑体" w:eastAsia="黑体" w:hint="default"/>
                <w:sz w:val="18"/>
                <w:szCs w:val="18"/>
              </w:rPr>
              <w:t>机器设备</w:t>
            </w:r>
          </w:p>
        </w:tc>
        <w:tc>
          <w:tcPr>
            <w:tcW w:w="1408" w:type="dxa"/>
            <w:tcBorders>
              <w:top w:val="nil" w:sz="6" w:space="0" w:color="auto"/>
              <w:left w:val="nil" w:sz="6" w:space="0" w:color="auto"/>
              <w:bottom w:val="nil" w:sz="6" w:space="0" w:color="auto"/>
              <w:right w:val="nil" w:sz="6" w:space="0" w:color="auto"/>
            </w:tcBorders>
          </w:tcPr>
          <w:p>
            <w:pPr>
              <w:pStyle w:val="TableParagraph"/>
              <w:tabs>
                <w:tab w:pos="331" w:val="left" w:leader="none"/>
              </w:tabs>
              <w:spacing w:line="240" w:lineRule="auto" w:before="21"/>
              <w:ind w:right="88"/>
              <w:jc w:val="right"/>
              <w:rPr>
                <w:rFonts w:ascii="Arial" w:hAnsi="Arial" w:cs="Arial" w:eastAsia="Arial" w:hint="default"/>
                <w:sz w:val="18"/>
                <w:szCs w:val="18"/>
              </w:rPr>
            </w:pPr>
            <w:r>
              <w:rPr>
                <w:rFonts w:ascii="Arial"/>
                <w:sz w:val="18"/>
              </w:rPr>
              <w:t>(</w:t>
              <w:tab/>
            </w:r>
            <w:r>
              <w:rPr>
                <w:rFonts w:ascii="Arial"/>
                <w:spacing w:val="-1"/>
                <w:w w:val="95"/>
                <w:sz w:val="18"/>
              </w:rPr>
              <w:t>20,853,725)</w:t>
            </w:r>
            <w:r>
              <w:rPr>
                <w:rFonts w:ascii="Arial"/>
                <w:spacing w:val="-1"/>
                <w:sz w:val="18"/>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61"/>
              <w:jc w:val="right"/>
              <w:rPr>
                <w:rFonts w:ascii="Arial" w:hAnsi="Arial" w:cs="Arial" w:eastAsia="Arial" w:hint="default"/>
                <w:sz w:val="18"/>
                <w:szCs w:val="18"/>
              </w:rPr>
            </w:pPr>
            <w:r>
              <w:rPr>
                <w:rFonts w:ascii="Arial"/>
                <w:w w:val="99"/>
                <w:sz w:val="18"/>
              </w:rPr>
              <w:t>-</w:t>
            </w:r>
            <w:r>
              <w:rPr>
                <w:rFonts w:ascii="Arial"/>
                <w:sz w:val="18"/>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0"/>
              <w:jc w:val="right"/>
              <w:rPr>
                <w:rFonts w:ascii="Arial" w:hAnsi="Arial" w:cs="Arial" w:eastAsia="Arial" w:hint="default"/>
                <w:sz w:val="18"/>
                <w:szCs w:val="18"/>
              </w:rPr>
            </w:pPr>
            <w:r>
              <w:rPr>
                <w:rFonts w:ascii="Arial"/>
                <w:sz w:val="18"/>
              </w:rPr>
              <w:t>( </w:t>
            </w:r>
            <w:r>
              <w:rPr>
                <w:rFonts w:ascii="Arial"/>
                <w:spacing w:val="15"/>
                <w:sz w:val="18"/>
              </w:rPr>
              <w:t> </w:t>
            </w:r>
            <w:r>
              <w:rPr>
                <w:rFonts w:ascii="Arial"/>
                <w:sz w:val="18"/>
              </w:rPr>
              <w:t>5,411,902)</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63"/>
              <w:jc w:val="right"/>
              <w:rPr>
                <w:rFonts w:ascii="Arial" w:hAnsi="Arial" w:cs="Arial" w:eastAsia="Arial" w:hint="default"/>
                <w:sz w:val="18"/>
                <w:szCs w:val="18"/>
              </w:rPr>
            </w:pPr>
            <w:r>
              <w:rPr>
                <w:rFonts w:ascii="Arial"/>
                <w:w w:val="99"/>
                <w:sz w:val="18"/>
              </w:rPr>
              <w:t>-</w:t>
            </w:r>
            <w:r>
              <w:rPr>
                <w:rFonts w:ascii="Arial"/>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3"/>
              <w:jc w:val="right"/>
              <w:rPr>
                <w:rFonts w:ascii="Arial" w:hAnsi="Arial" w:cs="Arial" w:eastAsia="Arial" w:hint="default"/>
                <w:sz w:val="18"/>
                <w:szCs w:val="18"/>
              </w:rPr>
            </w:pPr>
            <w:r>
              <w:rPr>
                <w:rFonts w:ascii="Arial"/>
                <w:sz w:val="18"/>
              </w:rPr>
              <w:t>(  </w:t>
            </w:r>
            <w:r>
              <w:rPr>
                <w:rFonts w:ascii="Arial"/>
                <w:spacing w:val="25"/>
                <w:sz w:val="18"/>
              </w:rPr>
              <w:t> </w:t>
            </w:r>
            <w:r>
              <w:rPr>
                <w:rFonts w:ascii="Arial"/>
                <w:sz w:val="18"/>
              </w:rPr>
              <w:t>26,265,627)</w:t>
            </w:r>
          </w:p>
        </w:tc>
      </w:tr>
      <w:tr>
        <w:trPr>
          <w:trHeight w:val="260" w:hRule="exact"/>
        </w:trPr>
        <w:tc>
          <w:tcPr>
            <w:tcW w:w="1326"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黑体" w:hAnsi="黑体" w:cs="黑体" w:eastAsia="黑体" w:hint="default"/>
                <w:sz w:val="18"/>
                <w:szCs w:val="18"/>
              </w:rPr>
            </w:pPr>
            <w:r>
              <w:rPr>
                <w:rFonts w:ascii="黑体" w:hAnsi="黑体" w:cs="黑体" w:eastAsia="黑体" w:hint="default"/>
                <w:sz w:val="18"/>
                <w:szCs w:val="18"/>
              </w:rPr>
              <w:t>运输工具</w:t>
            </w:r>
          </w:p>
        </w:tc>
        <w:tc>
          <w:tcPr>
            <w:tcW w:w="1408" w:type="dxa"/>
            <w:tcBorders>
              <w:top w:val="nil" w:sz="6" w:space="0" w:color="auto"/>
              <w:left w:val="nil" w:sz="6" w:space="0" w:color="auto"/>
              <w:bottom w:val="nil" w:sz="6" w:space="0" w:color="auto"/>
              <w:right w:val="nil" w:sz="6" w:space="0" w:color="auto"/>
            </w:tcBorders>
          </w:tcPr>
          <w:p>
            <w:pPr>
              <w:pStyle w:val="TableParagraph"/>
              <w:tabs>
                <w:tab w:pos="331" w:val="left" w:leader="none"/>
              </w:tabs>
              <w:spacing w:line="240" w:lineRule="auto" w:before="22"/>
              <w:ind w:right="88"/>
              <w:jc w:val="right"/>
              <w:rPr>
                <w:rFonts w:ascii="Arial" w:hAnsi="Arial" w:cs="Arial" w:eastAsia="Arial" w:hint="default"/>
                <w:sz w:val="18"/>
                <w:szCs w:val="18"/>
              </w:rPr>
            </w:pPr>
            <w:r>
              <w:rPr>
                <w:rFonts w:ascii="Arial"/>
                <w:sz w:val="18"/>
              </w:rPr>
              <w:t>(</w:t>
              <w:tab/>
            </w:r>
            <w:r>
              <w:rPr>
                <w:rFonts w:ascii="Arial"/>
                <w:spacing w:val="-1"/>
                <w:w w:val="95"/>
                <w:sz w:val="18"/>
              </w:rPr>
              <w:t>28,203,875)</w:t>
            </w:r>
            <w:r>
              <w:rPr>
                <w:rFonts w:ascii="Arial"/>
                <w:spacing w:val="-1"/>
                <w:sz w:val="18"/>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61"/>
              <w:jc w:val="right"/>
              <w:rPr>
                <w:rFonts w:ascii="Arial" w:hAnsi="Arial" w:cs="Arial" w:eastAsia="Arial" w:hint="default"/>
                <w:sz w:val="18"/>
                <w:szCs w:val="18"/>
              </w:rPr>
            </w:pPr>
            <w:r>
              <w:rPr>
                <w:rFonts w:ascii="Arial"/>
                <w:w w:val="99"/>
                <w:sz w:val="18"/>
              </w:rPr>
              <w:t>-</w:t>
            </w:r>
            <w:r>
              <w:rPr>
                <w:rFonts w:ascii="Arial"/>
                <w:sz w:val="18"/>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right"/>
              <w:rPr>
                <w:rFonts w:ascii="Arial" w:hAnsi="Arial" w:cs="Arial" w:eastAsia="Arial" w:hint="default"/>
                <w:sz w:val="18"/>
                <w:szCs w:val="18"/>
              </w:rPr>
            </w:pPr>
            <w:r>
              <w:rPr>
                <w:rFonts w:ascii="Arial"/>
                <w:sz w:val="18"/>
              </w:rPr>
              <w:t>( </w:t>
            </w:r>
            <w:r>
              <w:rPr>
                <w:rFonts w:ascii="Arial"/>
                <w:spacing w:val="22"/>
                <w:sz w:val="18"/>
              </w:rPr>
              <w:t> </w:t>
            </w:r>
            <w:r>
              <w:rPr>
                <w:rFonts w:ascii="Arial"/>
                <w:sz w:val="18"/>
              </w:rPr>
              <w:t>7,155,899)</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61"/>
              <w:jc w:val="right"/>
              <w:rPr>
                <w:rFonts w:ascii="Arial" w:hAnsi="Arial" w:cs="Arial" w:eastAsia="Arial" w:hint="default"/>
                <w:sz w:val="18"/>
                <w:szCs w:val="18"/>
              </w:rPr>
            </w:pPr>
            <w:r>
              <w:rPr>
                <w:rFonts w:ascii="Arial"/>
                <w:spacing w:val="-1"/>
                <w:sz w:val="18"/>
              </w:rPr>
              <w:t>4,057,646</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
              <w:jc w:val="right"/>
              <w:rPr>
                <w:rFonts w:ascii="Arial" w:hAnsi="Arial" w:cs="Arial" w:eastAsia="Arial" w:hint="default"/>
                <w:sz w:val="18"/>
                <w:szCs w:val="18"/>
              </w:rPr>
            </w:pPr>
            <w:r>
              <w:rPr>
                <w:rFonts w:ascii="Arial"/>
                <w:sz w:val="18"/>
              </w:rPr>
              <w:t>(  </w:t>
            </w:r>
            <w:r>
              <w:rPr>
                <w:rFonts w:ascii="Arial"/>
                <w:spacing w:val="25"/>
                <w:sz w:val="18"/>
              </w:rPr>
              <w:t> </w:t>
            </w:r>
            <w:r>
              <w:rPr>
                <w:rFonts w:ascii="Arial"/>
                <w:sz w:val="18"/>
              </w:rPr>
              <w:t>31,302,128)</w:t>
            </w:r>
          </w:p>
        </w:tc>
      </w:tr>
      <w:tr>
        <w:trPr>
          <w:trHeight w:val="406" w:hRule="exact"/>
        </w:trPr>
        <w:tc>
          <w:tcPr>
            <w:tcW w:w="1326" w:type="dxa"/>
            <w:tcBorders>
              <w:top w:val="nil" w:sz="6" w:space="0" w:color="auto"/>
              <w:left w:val="nil" w:sz="6" w:space="0" w:color="auto"/>
              <w:bottom w:val="nil" w:sz="6" w:space="0" w:color="auto"/>
              <w:right w:val="nil" w:sz="6" w:space="0" w:color="auto"/>
            </w:tcBorders>
          </w:tcPr>
          <w:p>
            <w:pPr>
              <w:pStyle w:val="TableParagraph"/>
              <w:spacing w:line="215" w:lineRule="exact"/>
              <w:ind w:left="35" w:right="0"/>
              <w:jc w:val="left"/>
              <w:rPr>
                <w:rFonts w:ascii="黑体" w:hAnsi="黑体" w:cs="黑体" w:eastAsia="黑体" w:hint="default"/>
                <w:sz w:val="18"/>
                <w:szCs w:val="18"/>
              </w:rPr>
            </w:pPr>
            <w:r>
              <w:rPr>
                <w:rFonts w:ascii="黑体" w:hAnsi="黑体" w:cs="黑体" w:eastAsia="黑体" w:hint="default"/>
                <w:sz w:val="18"/>
                <w:szCs w:val="18"/>
              </w:rPr>
              <w:t>办公及电子设备</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88"/>
              <w:jc w:val="right"/>
              <w:rPr>
                <w:rFonts w:ascii="Arial" w:hAnsi="Arial" w:cs="Arial" w:eastAsia="Arial" w:hint="default"/>
                <w:sz w:val="18"/>
                <w:szCs w:val="18"/>
              </w:rPr>
            </w:pPr>
            <w:r>
              <w:rPr>
                <w:rFonts w:ascii="Arial"/>
                <w:sz w:val="18"/>
              </w:rPr>
              <w:t>( </w:t>
            </w:r>
            <w:r>
              <w:rPr>
                <w:rFonts w:ascii="Arial"/>
                <w:spacing w:val="43"/>
                <w:sz w:val="18"/>
              </w:rPr>
              <w:t> </w:t>
            </w:r>
            <w:r>
              <w:rPr>
                <w:rFonts w:ascii="Arial"/>
                <w:spacing w:val="43"/>
                <w:sz w:val="18"/>
                <w:u w:val="single" w:color="000000"/>
              </w:rPr>
              <w:t> </w:t>
            </w:r>
            <w:r>
              <w:rPr>
                <w:rFonts w:ascii="Arial"/>
                <w:sz w:val="18"/>
                <w:u w:val="single" w:color="000000"/>
              </w:rPr>
              <w:t>151,156,920</w:t>
            </w:r>
            <w:r>
              <w:rPr>
                <w:rFonts w:ascii="Arial"/>
                <w:sz w:val="18"/>
              </w:rPr>
              <w:t>)</w:t>
            </w:r>
          </w:p>
        </w:tc>
        <w:tc>
          <w:tcPr>
            <w:tcW w:w="1292" w:type="dxa"/>
            <w:tcBorders>
              <w:top w:val="nil" w:sz="6" w:space="0" w:color="auto"/>
              <w:left w:val="nil" w:sz="6" w:space="0" w:color="auto"/>
              <w:bottom w:val="nil" w:sz="6" w:space="0" w:color="auto"/>
              <w:right w:val="nil" w:sz="6" w:space="0" w:color="auto"/>
            </w:tcBorders>
          </w:tcPr>
          <w:p>
            <w:pPr>
              <w:pStyle w:val="TableParagraph"/>
              <w:tabs>
                <w:tab w:pos="981" w:val="left" w:leader="none"/>
              </w:tabs>
              <w:spacing w:line="240" w:lineRule="auto" w:before="21"/>
              <w:ind w:right="15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0"/>
              <w:jc w:val="right"/>
              <w:rPr>
                <w:rFonts w:ascii="Arial" w:hAnsi="Arial" w:cs="Arial" w:eastAsia="Arial" w:hint="default"/>
                <w:sz w:val="18"/>
                <w:szCs w:val="18"/>
              </w:rPr>
            </w:pPr>
            <w:r>
              <w:rPr>
                <w:rFonts w:ascii="Arial"/>
                <w:sz w:val="18"/>
              </w:rPr>
              <w:t>(</w:t>
            </w:r>
            <w:r>
              <w:rPr>
                <w:rFonts w:ascii="Arial"/>
                <w:sz w:val="18"/>
                <w:u w:val="single" w:color="000000"/>
              </w:rPr>
              <w:t>46,007,487</w:t>
            </w:r>
            <w:r>
              <w:rPr>
                <w:rFonts w:ascii="Arial"/>
                <w:sz w:val="18"/>
              </w:rPr>
              <w:t>)</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61"/>
              <w:jc w:val="right"/>
              <w:rPr>
                <w:rFonts w:ascii="Arial" w:hAnsi="Arial" w:cs="Arial" w:eastAsia="Arial" w:hint="default"/>
                <w:sz w:val="18"/>
                <w:szCs w:val="18"/>
              </w:rPr>
            </w:pPr>
            <w:r>
              <w:rPr>
                <w:rFonts w:ascii="Arial"/>
                <w:w w:val="99"/>
                <w:sz w:val="18"/>
              </w:rPr>
            </w:r>
            <w:r>
              <w:rPr>
                <w:rFonts w:ascii="Arial"/>
                <w:spacing w:val="-1"/>
                <w:sz w:val="18"/>
                <w:u w:val="single" w:color="000000"/>
              </w:rPr>
              <w:t>13,313,762</w:t>
            </w:r>
            <w:r>
              <w:rPr>
                <w:rFonts w:ascii="Arial"/>
                <w:spacing w:val="-1"/>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3"/>
              <w:jc w:val="right"/>
              <w:rPr>
                <w:rFonts w:ascii="Arial" w:hAnsi="Arial" w:cs="Arial" w:eastAsia="Arial" w:hint="default"/>
                <w:sz w:val="18"/>
                <w:szCs w:val="18"/>
              </w:rPr>
            </w:pPr>
            <w:r>
              <w:rPr>
                <w:rFonts w:ascii="Arial"/>
                <w:sz w:val="18"/>
              </w:rPr>
              <w:t>(</w:t>
            </w:r>
            <w:r>
              <w:rPr>
                <w:rFonts w:ascii="Arial"/>
                <w:spacing w:val="33"/>
                <w:sz w:val="18"/>
              </w:rPr>
              <w:t> </w:t>
            </w:r>
            <w:r>
              <w:rPr>
                <w:rFonts w:ascii="Arial"/>
                <w:spacing w:val="33"/>
                <w:sz w:val="18"/>
                <w:u w:val="single" w:color="000000"/>
              </w:rPr>
              <w:t> </w:t>
            </w:r>
            <w:r>
              <w:rPr>
                <w:rFonts w:ascii="Arial"/>
                <w:sz w:val="18"/>
                <w:u w:val="single" w:color="000000"/>
              </w:rPr>
              <w:t>183,850,645</w:t>
            </w:r>
            <w:r>
              <w:rPr>
                <w:rFonts w:ascii="Arial"/>
                <w:sz w:val="18"/>
              </w:rPr>
              <w:t>)</w:t>
            </w:r>
          </w:p>
        </w:tc>
      </w:tr>
      <w:tr>
        <w:trPr>
          <w:trHeight w:val="362" w:hRule="exact"/>
        </w:trPr>
        <w:tc>
          <w:tcPr>
            <w:tcW w:w="1326"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88"/>
              <w:jc w:val="right"/>
              <w:rPr>
                <w:rFonts w:ascii="Arial" w:hAnsi="Arial" w:cs="Arial" w:eastAsia="Arial" w:hint="default"/>
                <w:sz w:val="18"/>
                <w:szCs w:val="18"/>
              </w:rPr>
            </w:pPr>
            <w:r>
              <w:rPr>
                <w:rFonts w:ascii="Arial"/>
                <w:sz w:val="18"/>
              </w:rPr>
              <w:t>(  </w:t>
            </w:r>
            <w:r>
              <w:rPr>
                <w:rFonts w:ascii="Arial"/>
                <w:spacing w:val="8"/>
                <w:sz w:val="18"/>
              </w:rPr>
              <w:t> </w:t>
            </w:r>
            <w:r>
              <w:rPr>
                <w:rFonts w:ascii="Arial"/>
                <w:spacing w:val="8"/>
                <w:sz w:val="18"/>
                <w:u w:val="thick" w:color="000000"/>
              </w:rPr>
              <w:t> </w:t>
            </w:r>
            <w:r>
              <w:rPr>
                <w:rFonts w:ascii="Arial"/>
                <w:sz w:val="18"/>
                <w:u w:val="thick" w:color="000000"/>
              </w:rPr>
              <w:t>245,070,982</w:t>
            </w:r>
            <w:r>
              <w:rPr>
                <w:rFonts w:ascii="Arial"/>
                <w:sz w:val="18"/>
              </w:rPr>
              <w:t>)</w:t>
            </w:r>
          </w:p>
        </w:tc>
        <w:tc>
          <w:tcPr>
            <w:tcW w:w="1292" w:type="dxa"/>
            <w:tcBorders>
              <w:top w:val="nil" w:sz="6" w:space="0" w:color="auto"/>
              <w:left w:val="nil" w:sz="6" w:space="0" w:color="auto"/>
              <w:bottom w:val="nil" w:sz="6" w:space="0" w:color="auto"/>
              <w:right w:val="nil" w:sz="6" w:space="0" w:color="auto"/>
            </w:tcBorders>
          </w:tcPr>
          <w:p>
            <w:pPr>
              <w:pStyle w:val="TableParagraph"/>
              <w:tabs>
                <w:tab w:pos="981" w:val="left" w:leader="none"/>
              </w:tabs>
              <w:spacing w:line="240" w:lineRule="auto" w:before="159"/>
              <w:ind w:right="158"/>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ab/>
              <w:t>-</w:t>
            </w:r>
            <w:r>
              <w:rPr>
                <w:rFonts w:ascii="Arial"/>
                <w:sz w:val="18"/>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0"/>
              <w:jc w:val="right"/>
              <w:rPr>
                <w:rFonts w:ascii="Arial" w:hAnsi="Arial" w:cs="Arial" w:eastAsia="Arial" w:hint="default"/>
                <w:sz w:val="18"/>
                <w:szCs w:val="18"/>
              </w:rPr>
            </w:pPr>
            <w:r>
              <w:rPr>
                <w:rFonts w:ascii="Arial"/>
                <w:sz w:val="18"/>
              </w:rPr>
              <w:t>(</w:t>
            </w:r>
            <w:r>
              <w:rPr>
                <w:rFonts w:ascii="Arial"/>
                <w:sz w:val="18"/>
                <w:u w:val="thick" w:color="000000"/>
              </w:rPr>
              <w:t>74,667,351</w:t>
            </w:r>
            <w:r>
              <w:rPr>
                <w:rFonts w:ascii="Arial"/>
                <w:sz w:val="18"/>
              </w:rPr>
              <w:t>)</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61"/>
              <w:jc w:val="right"/>
              <w:rPr>
                <w:rFonts w:ascii="Arial" w:hAnsi="Arial" w:cs="Arial" w:eastAsia="Arial" w:hint="default"/>
                <w:sz w:val="18"/>
                <w:szCs w:val="18"/>
              </w:rPr>
            </w:pPr>
            <w:r>
              <w:rPr>
                <w:rFonts w:ascii="Arial"/>
                <w:w w:val="99"/>
                <w:sz w:val="18"/>
              </w:rPr>
            </w:r>
            <w:r>
              <w:rPr>
                <w:rFonts w:ascii="Arial"/>
                <w:spacing w:val="-1"/>
                <w:sz w:val="18"/>
                <w:u w:val="thick" w:color="000000"/>
              </w:rPr>
              <w:t>17,415,397</w:t>
            </w:r>
            <w:r>
              <w:rPr>
                <w:rFonts w:ascii="Arial"/>
                <w:spacing w:val="-1"/>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33"/>
              <w:jc w:val="right"/>
              <w:rPr>
                <w:rFonts w:ascii="Arial" w:hAnsi="Arial" w:cs="Arial" w:eastAsia="Arial" w:hint="default"/>
                <w:sz w:val="18"/>
                <w:szCs w:val="18"/>
              </w:rPr>
            </w:pPr>
            <w:r>
              <w:rPr>
                <w:rFonts w:ascii="Arial"/>
                <w:sz w:val="18"/>
              </w:rPr>
              <w:t>(</w:t>
            </w:r>
            <w:r>
              <w:rPr>
                <w:rFonts w:ascii="Arial"/>
                <w:spacing w:val="33"/>
                <w:sz w:val="18"/>
              </w:rPr>
              <w:t> </w:t>
            </w:r>
            <w:r>
              <w:rPr>
                <w:rFonts w:ascii="Arial"/>
                <w:spacing w:val="33"/>
                <w:sz w:val="18"/>
                <w:u w:val="thick" w:color="000000"/>
              </w:rPr>
              <w:t> </w:t>
            </w:r>
            <w:r>
              <w:rPr>
                <w:rFonts w:ascii="Arial"/>
                <w:sz w:val="18"/>
                <w:u w:val="thick" w:color="000000"/>
              </w:rPr>
              <w:t>302,322,936</w:t>
            </w:r>
            <w:r>
              <w:rPr>
                <w:rFonts w:ascii="Arial"/>
                <w:sz w:val="18"/>
              </w:rPr>
              <w:t>)</w:t>
            </w:r>
          </w:p>
        </w:tc>
      </w:tr>
      <w:tr>
        <w:trPr>
          <w:trHeight w:val="550" w:hRule="exact"/>
        </w:trPr>
        <w:tc>
          <w:tcPr>
            <w:tcW w:w="8010"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20"/>
                <w:szCs w:val="20"/>
              </w:rPr>
            </w:pPr>
          </w:p>
          <w:p>
            <w:pPr>
              <w:pStyle w:val="TableParagraph"/>
              <w:spacing w:line="240" w:lineRule="auto"/>
              <w:ind w:left="35" w:right="0"/>
              <w:jc w:val="left"/>
              <w:rPr>
                <w:rFonts w:ascii="黑体" w:hAnsi="黑体" w:cs="黑体" w:eastAsia="黑体" w:hint="default"/>
                <w:sz w:val="18"/>
                <w:szCs w:val="18"/>
              </w:rPr>
            </w:pPr>
            <w:r>
              <w:rPr>
                <w:rFonts w:ascii="黑体" w:hAnsi="黑体" w:cs="黑体" w:eastAsia="黑体" w:hint="default"/>
                <w:sz w:val="18"/>
                <w:szCs w:val="18"/>
              </w:rPr>
              <w:t>账面净值及账面价值</w:t>
            </w:r>
          </w:p>
        </w:tc>
      </w:tr>
      <w:tr>
        <w:trPr>
          <w:trHeight w:val="265" w:hRule="exact"/>
        </w:trPr>
        <w:tc>
          <w:tcPr>
            <w:tcW w:w="1326" w:type="dxa"/>
            <w:tcBorders>
              <w:top w:val="nil" w:sz="6" w:space="0" w:color="auto"/>
              <w:left w:val="nil" w:sz="6" w:space="0" w:color="auto"/>
              <w:bottom w:val="nil" w:sz="6" w:space="0" w:color="auto"/>
              <w:right w:val="nil" w:sz="6" w:space="0" w:color="auto"/>
            </w:tcBorders>
          </w:tcPr>
          <w:p>
            <w:pPr>
              <w:pStyle w:val="TableParagraph"/>
              <w:spacing w:line="221" w:lineRule="exact"/>
              <w:ind w:left="35" w:right="0"/>
              <w:jc w:val="left"/>
              <w:rPr>
                <w:rFonts w:ascii="黑体" w:hAnsi="黑体" w:cs="黑体" w:eastAsia="黑体" w:hint="default"/>
                <w:sz w:val="18"/>
                <w:szCs w:val="18"/>
              </w:rPr>
            </w:pPr>
            <w:r>
              <w:rPr>
                <w:rFonts w:ascii="黑体" w:hAnsi="黑体" w:cs="黑体" w:eastAsia="黑体" w:hint="default"/>
                <w:sz w:val="18"/>
                <w:szCs w:val="18"/>
              </w:rPr>
              <w:t>房屋及建筑物</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43"/>
              <w:jc w:val="right"/>
              <w:rPr>
                <w:rFonts w:ascii="Arial" w:hAnsi="Arial" w:cs="Arial" w:eastAsia="Arial" w:hint="default"/>
                <w:sz w:val="18"/>
                <w:szCs w:val="18"/>
              </w:rPr>
            </w:pPr>
            <w:r>
              <w:rPr>
                <w:rFonts w:ascii="Arial"/>
                <w:spacing w:val="-1"/>
                <w:sz w:val="18"/>
              </w:rPr>
              <w:t>603,960,257</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59"/>
              <w:jc w:val="right"/>
              <w:rPr>
                <w:rFonts w:ascii="Arial" w:hAnsi="Arial" w:cs="Arial" w:eastAsia="Arial" w:hint="default"/>
                <w:sz w:val="18"/>
                <w:szCs w:val="18"/>
              </w:rPr>
            </w:pPr>
            <w:r>
              <w:rPr>
                <w:rFonts w:ascii="Arial"/>
                <w:spacing w:val="-1"/>
                <w:sz w:val="18"/>
              </w:rPr>
              <w:t>72,635,293</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
              <w:jc w:val="right"/>
              <w:rPr>
                <w:rFonts w:ascii="Arial" w:hAnsi="Arial" w:cs="Arial" w:eastAsia="Arial" w:hint="default"/>
                <w:sz w:val="18"/>
                <w:szCs w:val="18"/>
              </w:rPr>
            </w:pPr>
            <w:r>
              <w:rPr>
                <w:rFonts w:ascii="Arial"/>
                <w:sz w:val="18"/>
              </w:rPr>
              <w:t>(</w:t>
            </w:r>
            <w:r>
              <w:rPr>
                <w:rFonts w:ascii="Arial"/>
                <w:spacing w:val="-7"/>
                <w:sz w:val="18"/>
              </w:rPr>
              <w:t> </w:t>
            </w:r>
            <w:r>
              <w:rPr>
                <w:rFonts w:ascii="Arial"/>
                <w:sz w:val="18"/>
              </w:rPr>
              <w:t>16,092,063)</w:t>
            </w:r>
          </w:p>
        </w:tc>
        <w:tc>
          <w:tcPr>
            <w:tcW w:w="1380" w:type="dxa"/>
            <w:tcBorders>
              <w:top w:val="nil" w:sz="6" w:space="0" w:color="auto"/>
              <w:left w:val="nil" w:sz="6" w:space="0" w:color="auto"/>
              <w:bottom w:val="nil" w:sz="6" w:space="0" w:color="auto"/>
              <w:right w:val="nil" w:sz="6" w:space="0" w:color="auto"/>
            </w:tcBorders>
          </w:tcPr>
          <w:p>
            <w:pPr>
              <w:pStyle w:val="TableParagraph"/>
              <w:tabs>
                <w:tab w:pos="307" w:val="left" w:leader="none"/>
              </w:tabs>
              <w:spacing w:line="240" w:lineRule="auto" w:before="26"/>
              <w:ind w:right="101"/>
              <w:jc w:val="right"/>
              <w:rPr>
                <w:rFonts w:ascii="Arial" w:hAnsi="Arial" w:cs="Arial" w:eastAsia="Arial" w:hint="default"/>
                <w:sz w:val="18"/>
                <w:szCs w:val="18"/>
              </w:rPr>
            </w:pPr>
            <w:r>
              <w:rPr>
                <w:rFonts w:ascii="Arial"/>
                <w:sz w:val="18"/>
              </w:rPr>
              <w:t>(</w:t>
              <w:tab/>
            </w:r>
            <w:r>
              <w:rPr>
                <w:rFonts w:ascii="Arial"/>
                <w:spacing w:val="-1"/>
                <w:sz w:val="18"/>
              </w:rPr>
              <w:t>552,767)</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4"/>
              <w:jc w:val="right"/>
              <w:rPr>
                <w:rFonts w:ascii="Arial" w:hAnsi="Arial" w:cs="Arial" w:eastAsia="Arial" w:hint="default"/>
                <w:sz w:val="18"/>
                <w:szCs w:val="18"/>
              </w:rPr>
            </w:pPr>
            <w:r>
              <w:rPr>
                <w:rFonts w:ascii="Arial"/>
                <w:spacing w:val="-1"/>
                <w:sz w:val="18"/>
              </w:rPr>
              <w:t>659,950,720</w:t>
            </w:r>
          </w:p>
        </w:tc>
      </w:tr>
      <w:tr>
        <w:trPr>
          <w:trHeight w:val="259" w:hRule="exact"/>
        </w:trPr>
        <w:tc>
          <w:tcPr>
            <w:tcW w:w="1326" w:type="dxa"/>
            <w:tcBorders>
              <w:top w:val="nil" w:sz="6" w:space="0" w:color="auto"/>
              <w:left w:val="nil" w:sz="6" w:space="0" w:color="auto"/>
              <w:bottom w:val="nil" w:sz="6" w:space="0" w:color="auto"/>
              <w:right w:val="nil" w:sz="6" w:space="0" w:color="auto"/>
            </w:tcBorders>
          </w:tcPr>
          <w:p>
            <w:pPr>
              <w:pStyle w:val="TableParagraph"/>
              <w:spacing w:line="215" w:lineRule="exact"/>
              <w:ind w:left="35" w:right="0"/>
              <w:jc w:val="left"/>
              <w:rPr>
                <w:rFonts w:ascii="黑体" w:hAnsi="黑体" w:cs="黑体" w:eastAsia="黑体" w:hint="default"/>
                <w:sz w:val="18"/>
                <w:szCs w:val="18"/>
              </w:rPr>
            </w:pPr>
            <w:r>
              <w:rPr>
                <w:rFonts w:ascii="黑体" w:hAnsi="黑体" w:cs="黑体" w:eastAsia="黑体" w:hint="default"/>
                <w:sz w:val="18"/>
                <w:szCs w:val="18"/>
              </w:rPr>
              <w:t>机器设备</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43"/>
              <w:jc w:val="right"/>
              <w:rPr>
                <w:rFonts w:ascii="Arial" w:hAnsi="Arial" w:cs="Arial" w:eastAsia="Arial" w:hint="default"/>
                <w:sz w:val="18"/>
                <w:szCs w:val="18"/>
              </w:rPr>
            </w:pPr>
            <w:r>
              <w:rPr>
                <w:rFonts w:ascii="Arial"/>
                <w:spacing w:val="-1"/>
                <w:sz w:val="18"/>
              </w:rPr>
              <w:t>66,682,354</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59"/>
              <w:jc w:val="right"/>
              <w:rPr>
                <w:rFonts w:ascii="Arial" w:hAnsi="Arial" w:cs="Arial" w:eastAsia="Arial" w:hint="default"/>
                <w:sz w:val="18"/>
                <w:szCs w:val="18"/>
              </w:rPr>
            </w:pPr>
            <w:r>
              <w:rPr>
                <w:rFonts w:ascii="Arial"/>
                <w:spacing w:val="-1"/>
                <w:sz w:val="18"/>
              </w:rPr>
              <w:t>39,946,213</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
              <w:jc w:val="right"/>
              <w:rPr>
                <w:rFonts w:ascii="Arial" w:hAnsi="Arial" w:cs="Arial" w:eastAsia="Arial" w:hint="default"/>
                <w:sz w:val="18"/>
                <w:szCs w:val="18"/>
              </w:rPr>
            </w:pPr>
            <w:r>
              <w:rPr>
                <w:rFonts w:ascii="Arial"/>
                <w:sz w:val="18"/>
              </w:rPr>
              <w:t>( </w:t>
            </w:r>
            <w:r>
              <w:rPr>
                <w:rFonts w:ascii="Arial"/>
                <w:spacing w:val="49"/>
                <w:sz w:val="18"/>
              </w:rPr>
              <w:t> </w:t>
            </w:r>
            <w:r>
              <w:rPr>
                <w:rFonts w:ascii="Arial"/>
                <w:sz w:val="18"/>
              </w:rPr>
              <w:t>4,739,110)</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63"/>
              <w:jc w:val="right"/>
              <w:rPr>
                <w:rFonts w:ascii="Arial" w:hAnsi="Arial" w:cs="Arial" w:eastAsia="Arial" w:hint="default"/>
                <w:sz w:val="18"/>
                <w:szCs w:val="18"/>
              </w:rPr>
            </w:pPr>
            <w:r>
              <w:rPr>
                <w:rFonts w:ascii="Arial"/>
                <w:w w:val="99"/>
                <w:sz w:val="18"/>
              </w:rPr>
              <w:t>-</w:t>
            </w:r>
            <w:r>
              <w:rPr>
                <w:rFonts w:ascii="Arial"/>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4"/>
              <w:jc w:val="right"/>
              <w:rPr>
                <w:rFonts w:ascii="Arial" w:hAnsi="Arial" w:cs="Arial" w:eastAsia="Arial" w:hint="default"/>
                <w:sz w:val="18"/>
                <w:szCs w:val="18"/>
              </w:rPr>
            </w:pPr>
            <w:r>
              <w:rPr>
                <w:rFonts w:ascii="Arial"/>
                <w:spacing w:val="-1"/>
                <w:sz w:val="18"/>
              </w:rPr>
              <w:t>101,889,457</w:t>
            </w:r>
          </w:p>
        </w:tc>
      </w:tr>
      <w:tr>
        <w:trPr>
          <w:trHeight w:val="260" w:hRule="exact"/>
        </w:trPr>
        <w:tc>
          <w:tcPr>
            <w:tcW w:w="1326" w:type="dxa"/>
            <w:tcBorders>
              <w:top w:val="nil" w:sz="6" w:space="0" w:color="auto"/>
              <w:left w:val="nil" w:sz="6" w:space="0" w:color="auto"/>
              <w:bottom w:val="nil" w:sz="6" w:space="0" w:color="auto"/>
              <w:right w:val="nil" w:sz="6" w:space="0" w:color="auto"/>
            </w:tcBorders>
          </w:tcPr>
          <w:p>
            <w:pPr>
              <w:pStyle w:val="TableParagraph"/>
              <w:spacing w:line="215" w:lineRule="exact"/>
              <w:ind w:left="35" w:right="0"/>
              <w:jc w:val="left"/>
              <w:rPr>
                <w:rFonts w:ascii="黑体" w:hAnsi="黑体" w:cs="黑体" w:eastAsia="黑体" w:hint="default"/>
                <w:sz w:val="18"/>
                <w:szCs w:val="18"/>
              </w:rPr>
            </w:pPr>
            <w:r>
              <w:rPr>
                <w:rFonts w:ascii="黑体" w:hAnsi="黑体" w:cs="黑体" w:eastAsia="黑体" w:hint="default"/>
                <w:sz w:val="18"/>
                <w:szCs w:val="18"/>
              </w:rPr>
              <w:t>运输工具</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43"/>
              <w:jc w:val="right"/>
              <w:rPr>
                <w:rFonts w:ascii="Arial" w:hAnsi="Arial" w:cs="Arial" w:eastAsia="Arial" w:hint="default"/>
                <w:sz w:val="18"/>
                <w:szCs w:val="18"/>
              </w:rPr>
            </w:pPr>
            <w:r>
              <w:rPr>
                <w:rFonts w:ascii="Arial"/>
                <w:spacing w:val="-1"/>
                <w:sz w:val="18"/>
              </w:rPr>
              <w:t>29,354,148</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61"/>
              <w:jc w:val="right"/>
              <w:rPr>
                <w:rFonts w:ascii="Arial" w:hAnsi="Arial" w:cs="Arial" w:eastAsia="Arial" w:hint="default"/>
                <w:sz w:val="18"/>
                <w:szCs w:val="18"/>
              </w:rPr>
            </w:pPr>
            <w:r>
              <w:rPr>
                <w:rFonts w:ascii="Arial"/>
                <w:w w:val="99"/>
                <w:sz w:val="18"/>
              </w:rPr>
              <w:t>-</w:t>
            </w:r>
            <w:r>
              <w:rPr>
                <w:rFonts w:ascii="Arial"/>
                <w:sz w:val="18"/>
              </w:rPr>
            </w:r>
          </w:p>
        </w:tc>
        <w:tc>
          <w:tcPr>
            <w:tcW w:w="1253" w:type="dxa"/>
            <w:tcBorders>
              <w:top w:val="nil" w:sz="6" w:space="0" w:color="auto"/>
              <w:left w:val="nil" w:sz="6" w:space="0" w:color="auto"/>
              <w:bottom w:val="nil" w:sz="6" w:space="0" w:color="auto"/>
              <w:right w:val="nil" w:sz="6" w:space="0" w:color="auto"/>
            </w:tcBorders>
          </w:tcPr>
          <w:p>
            <w:pPr>
              <w:pStyle w:val="TableParagraph"/>
              <w:tabs>
                <w:tab w:pos="371" w:val="left" w:leader="none"/>
              </w:tabs>
              <w:spacing w:line="240" w:lineRule="auto" w:before="21"/>
              <w:ind w:right="10"/>
              <w:jc w:val="right"/>
              <w:rPr>
                <w:rFonts w:ascii="Arial" w:hAnsi="Arial" w:cs="Arial" w:eastAsia="Arial" w:hint="default"/>
                <w:sz w:val="18"/>
                <w:szCs w:val="18"/>
              </w:rPr>
            </w:pPr>
            <w:r>
              <w:rPr>
                <w:rFonts w:ascii="Arial"/>
                <w:sz w:val="18"/>
              </w:rPr>
              <w:t>(</w:t>
              <w:tab/>
            </w:r>
            <w:r>
              <w:rPr>
                <w:rFonts w:ascii="Arial"/>
                <w:spacing w:val="-1"/>
                <w:sz w:val="18"/>
              </w:rPr>
              <w:t>359,438)</w:t>
            </w:r>
          </w:p>
        </w:tc>
        <w:tc>
          <w:tcPr>
            <w:tcW w:w="1380"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21"/>
              <w:ind w:right="101"/>
              <w:jc w:val="right"/>
              <w:rPr>
                <w:rFonts w:ascii="Arial" w:hAnsi="Arial" w:cs="Arial" w:eastAsia="Arial" w:hint="default"/>
                <w:sz w:val="18"/>
                <w:szCs w:val="18"/>
              </w:rPr>
            </w:pPr>
            <w:r>
              <w:rPr>
                <w:rFonts w:ascii="Arial"/>
                <w:sz w:val="18"/>
              </w:rPr>
              <w:t>(</w:t>
              <w:tab/>
            </w:r>
            <w:r>
              <w:rPr>
                <w:rFonts w:ascii="Arial"/>
                <w:spacing w:val="-1"/>
                <w:sz w:val="18"/>
              </w:rPr>
              <w:t>799,286)</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5"/>
              <w:jc w:val="right"/>
              <w:rPr>
                <w:rFonts w:ascii="Arial" w:hAnsi="Arial" w:cs="Arial" w:eastAsia="Arial" w:hint="default"/>
                <w:sz w:val="18"/>
                <w:szCs w:val="18"/>
              </w:rPr>
            </w:pPr>
            <w:r>
              <w:rPr>
                <w:rFonts w:ascii="Arial"/>
                <w:spacing w:val="-1"/>
                <w:sz w:val="18"/>
              </w:rPr>
              <w:t>28,195,424</w:t>
            </w:r>
            <w:r>
              <w:rPr>
                <w:rFonts w:ascii="Arial"/>
                <w:sz w:val="18"/>
              </w:rPr>
            </w:r>
          </w:p>
        </w:tc>
      </w:tr>
      <w:tr>
        <w:trPr>
          <w:trHeight w:val="394" w:hRule="exact"/>
        </w:trPr>
        <w:tc>
          <w:tcPr>
            <w:tcW w:w="1326"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黑体" w:hAnsi="黑体" w:cs="黑体" w:eastAsia="黑体" w:hint="default"/>
                <w:sz w:val="18"/>
                <w:szCs w:val="18"/>
              </w:rPr>
            </w:pPr>
            <w:r>
              <w:rPr>
                <w:rFonts w:ascii="黑体" w:hAnsi="黑体" w:cs="黑体" w:eastAsia="黑体" w:hint="default"/>
                <w:sz w:val="18"/>
                <w:szCs w:val="18"/>
              </w:rPr>
              <w:t>办公及电子设备</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4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8"/>
                <w:sz w:val="18"/>
                <w:u w:val="single" w:color="000000"/>
              </w:rPr>
              <w:t> </w:t>
            </w:r>
            <w:r>
              <w:rPr>
                <w:rFonts w:ascii="Arial"/>
                <w:spacing w:val="-1"/>
                <w:sz w:val="18"/>
                <w:u w:val="single" w:color="000000"/>
              </w:rPr>
              <w:t>95,829,351</w:t>
            </w:r>
            <w:r>
              <w:rPr>
                <w:rFonts w:ascii="Arial"/>
                <w:spacing w:val="-1"/>
                <w:sz w:val="18"/>
              </w:rPr>
            </w:r>
          </w:p>
        </w:tc>
        <w:tc>
          <w:tcPr>
            <w:tcW w:w="1292" w:type="dxa"/>
            <w:tcBorders>
              <w:top w:val="nil" w:sz="6" w:space="0" w:color="auto"/>
              <w:left w:val="nil" w:sz="6" w:space="0" w:color="auto"/>
              <w:bottom w:val="nil" w:sz="6" w:space="0" w:color="auto"/>
              <w:right w:val="nil" w:sz="6" w:space="0" w:color="auto"/>
            </w:tcBorders>
          </w:tcPr>
          <w:p>
            <w:pPr>
              <w:pStyle w:val="TableParagraph"/>
              <w:tabs>
                <w:tab w:pos="362" w:val="left" w:leader="none"/>
              </w:tabs>
              <w:spacing w:line="240" w:lineRule="auto" w:before="22"/>
              <w:ind w:right="15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173,267</w:t>
            </w:r>
            <w:r>
              <w:rPr>
                <w:rFonts w:ascii="Arial"/>
                <w:spacing w:val="-1"/>
                <w:sz w:val="18"/>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
              <w:jc w:val="right"/>
              <w:rPr>
                <w:rFonts w:ascii="Arial" w:hAnsi="Arial" w:cs="Arial" w:eastAsia="Arial" w:hint="default"/>
                <w:sz w:val="18"/>
                <w:szCs w:val="18"/>
              </w:rPr>
            </w:pPr>
            <w:r>
              <w:rPr>
                <w:rFonts w:ascii="Arial"/>
                <w:sz w:val="18"/>
              </w:rPr>
              <w:t>(</w:t>
            </w:r>
            <w:r>
              <w:rPr>
                <w:rFonts w:ascii="Arial"/>
                <w:spacing w:val="-7"/>
                <w:sz w:val="18"/>
              </w:rPr>
              <w:t> </w:t>
            </w:r>
            <w:r>
              <w:rPr>
                <w:rFonts w:ascii="Arial"/>
                <w:spacing w:val="-7"/>
                <w:sz w:val="18"/>
                <w:u w:val="single" w:color="000000"/>
              </w:rPr>
              <w:t> </w:t>
            </w:r>
            <w:r>
              <w:rPr>
                <w:rFonts w:ascii="Arial"/>
                <w:sz w:val="18"/>
                <w:u w:val="single" w:color="000000"/>
              </w:rPr>
              <w:t>20,751,442</w:t>
            </w:r>
            <w:r>
              <w:rPr>
                <w:rFonts w:ascii="Arial"/>
                <w:sz w:val="18"/>
              </w:rPr>
              <w:t>)</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1"/>
              <w:jc w:val="right"/>
              <w:rPr>
                <w:rFonts w:ascii="Arial" w:hAnsi="Arial" w:cs="Arial" w:eastAsia="Arial" w:hint="default"/>
                <w:sz w:val="18"/>
                <w:szCs w:val="18"/>
              </w:rPr>
            </w:pPr>
            <w:r>
              <w:rPr>
                <w:rFonts w:ascii="Arial"/>
                <w:sz w:val="18"/>
              </w:rPr>
              <w:t>(</w:t>
            </w:r>
            <w:r>
              <w:rPr>
                <w:rFonts w:ascii="Arial"/>
                <w:spacing w:val="35"/>
                <w:sz w:val="18"/>
              </w:rPr>
              <w:t> </w:t>
            </w:r>
            <w:r>
              <w:rPr>
                <w:rFonts w:ascii="Arial"/>
                <w:spacing w:val="35"/>
                <w:sz w:val="18"/>
                <w:u w:val="single" w:color="000000"/>
              </w:rPr>
              <w:t> </w:t>
            </w:r>
            <w:r>
              <w:rPr>
                <w:rFonts w:ascii="Arial"/>
                <w:sz w:val="18"/>
                <w:u w:val="single" w:color="000000"/>
              </w:rPr>
              <w:t>2,054,250</w:t>
            </w:r>
            <w:r>
              <w:rPr>
                <w:rFonts w:ascii="Arial"/>
                <w:sz w:val="18"/>
              </w:rPr>
              <w:t>)</w:t>
            </w:r>
          </w:p>
        </w:tc>
        <w:tc>
          <w:tcPr>
            <w:tcW w:w="1351" w:type="dxa"/>
            <w:tcBorders>
              <w:top w:val="nil" w:sz="6" w:space="0" w:color="auto"/>
              <w:left w:val="nil" w:sz="6" w:space="0" w:color="auto"/>
              <w:bottom w:val="nil" w:sz="6" w:space="0" w:color="auto"/>
              <w:right w:val="nil" w:sz="6" w:space="0" w:color="auto"/>
            </w:tcBorders>
          </w:tcPr>
          <w:p>
            <w:pPr>
              <w:pStyle w:val="TableParagraph"/>
              <w:tabs>
                <w:tab w:pos="271" w:val="left" w:leader="none"/>
              </w:tabs>
              <w:spacing w:line="240" w:lineRule="auto" w:before="22"/>
              <w:ind w:right="3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73,196,926</w:t>
            </w:r>
            <w:r>
              <w:rPr>
                <w:rFonts w:ascii="Arial"/>
                <w:spacing w:val="-1"/>
                <w:sz w:val="18"/>
              </w:rPr>
            </w:r>
          </w:p>
        </w:tc>
      </w:tr>
      <w:tr>
        <w:trPr>
          <w:trHeight w:val="449" w:hRule="exact"/>
        </w:trPr>
        <w:tc>
          <w:tcPr>
            <w:tcW w:w="1326"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44"/>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pacing w:val="19"/>
                <w:sz w:val="18"/>
                <w:u w:val="thick" w:color="000000"/>
              </w:rPr>
              <w:t> </w:t>
            </w:r>
            <w:r>
              <w:rPr>
                <w:rFonts w:ascii="Arial"/>
                <w:spacing w:val="-1"/>
                <w:sz w:val="18"/>
                <w:u w:val="thick" w:color="000000"/>
              </w:rPr>
              <w:t>795,826,110</w:t>
            </w:r>
            <w:r>
              <w:rPr>
                <w:rFonts w:ascii="Arial"/>
                <w:spacing w:val="-1"/>
                <w:sz w:val="18"/>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58"/>
              <w:jc w:val="right"/>
              <w:rPr>
                <w:rFonts w:ascii="Arial" w:hAnsi="Arial" w:cs="Arial" w:eastAsia="Arial" w:hint="default"/>
                <w:sz w:val="18"/>
                <w:szCs w:val="18"/>
              </w:rPr>
            </w:pPr>
            <w:r>
              <w:rPr>
                <w:rFonts w:ascii="Arial"/>
                <w:w w:val="99"/>
                <w:sz w:val="18"/>
              </w:rPr>
            </w:r>
            <w:r>
              <w:rPr>
                <w:rFonts w:ascii="Arial"/>
                <w:spacing w:val="-1"/>
                <w:sz w:val="18"/>
                <w:u w:val="thick" w:color="000000"/>
              </w:rPr>
              <w:t>112,754,773</w:t>
            </w:r>
            <w:r>
              <w:rPr>
                <w:rFonts w:ascii="Arial"/>
                <w:spacing w:val="-1"/>
                <w:sz w:val="18"/>
              </w:rPr>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
              <w:jc w:val="right"/>
              <w:rPr>
                <w:rFonts w:ascii="Arial" w:hAnsi="Arial" w:cs="Arial" w:eastAsia="Arial" w:hint="default"/>
                <w:sz w:val="18"/>
                <w:szCs w:val="18"/>
              </w:rPr>
            </w:pPr>
            <w:r>
              <w:rPr>
                <w:rFonts w:ascii="Arial"/>
                <w:sz w:val="18"/>
              </w:rPr>
              <w:t>(</w:t>
            </w:r>
            <w:r>
              <w:rPr>
                <w:rFonts w:ascii="Arial"/>
                <w:spacing w:val="-7"/>
                <w:sz w:val="18"/>
              </w:rPr>
              <w:t> </w:t>
            </w:r>
            <w:r>
              <w:rPr>
                <w:rFonts w:ascii="Arial"/>
                <w:spacing w:val="-7"/>
                <w:sz w:val="18"/>
                <w:u w:val="thick" w:color="000000"/>
              </w:rPr>
              <w:t> </w:t>
            </w:r>
            <w:r>
              <w:rPr>
                <w:rFonts w:ascii="Arial"/>
                <w:sz w:val="18"/>
                <w:u w:val="thick" w:color="000000"/>
              </w:rPr>
              <w:t>41,942,053</w:t>
            </w:r>
            <w:r>
              <w:rPr>
                <w:rFonts w:ascii="Arial"/>
                <w:sz w:val="18"/>
              </w:rPr>
              <w:t>)</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1"/>
              <w:jc w:val="right"/>
              <w:rPr>
                <w:rFonts w:ascii="Arial" w:hAnsi="Arial" w:cs="Arial" w:eastAsia="Arial" w:hint="default"/>
                <w:sz w:val="18"/>
                <w:szCs w:val="18"/>
              </w:rPr>
            </w:pPr>
            <w:r>
              <w:rPr>
                <w:rFonts w:ascii="Arial"/>
                <w:sz w:val="18"/>
              </w:rPr>
              <w:t>(</w:t>
            </w:r>
            <w:r>
              <w:rPr>
                <w:rFonts w:ascii="Arial"/>
                <w:spacing w:val="2"/>
                <w:sz w:val="18"/>
              </w:rPr>
              <w:t> </w:t>
            </w:r>
            <w:r>
              <w:rPr>
                <w:rFonts w:ascii="Arial"/>
                <w:spacing w:val="2"/>
                <w:sz w:val="18"/>
                <w:u w:val="thick" w:color="000000"/>
              </w:rPr>
              <w:t> </w:t>
            </w:r>
            <w:r>
              <w:rPr>
                <w:rFonts w:ascii="Arial"/>
                <w:sz w:val="18"/>
                <w:u w:val="thick" w:color="000000"/>
              </w:rPr>
              <w:t>3,406,303</w:t>
            </w:r>
            <w:r>
              <w:rPr>
                <w:rFonts w:ascii="Arial"/>
                <w:sz w:val="18"/>
              </w:rPr>
              <w:t>)</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33"/>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  </w:t>
            </w:r>
            <w:r>
              <w:rPr>
                <w:rFonts w:ascii="Arial"/>
                <w:spacing w:val="-18"/>
                <w:sz w:val="18"/>
                <w:u w:val="thick" w:color="000000"/>
              </w:rPr>
              <w:t> </w:t>
            </w:r>
            <w:r>
              <w:rPr>
                <w:rFonts w:ascii="Arial"/>
                <w:spacing w:val="-1"/>
                <w:sz w:val="18"/>
                <w:u w:val="thick" w:color="000000"/>
              </w:rPr>
              <w:t>863,232,527</w:t>
            </w:r>
            <w:r>
              <w:rPr>
                <w:rFonts w:ascii="Arial"/>
                <w:spacing w:val="-1"/>
                <w:sz w:val="18"/>
              </w:rPr>
            </w:r>
          </w:p>
        </w:tc>
      </w:tr>
    </w:tbl>
    <w:p>
      <w:pPr>
        <w:spacing w:after="0" w:line="240" w:lineRule="auto"/>
        <w:jc w:val="right"/>
        <w:rPr>
          <w:rFonts w:ascii="Arial" w:hAnsi="Arial" w:cs="Arial" w:eastAsia="Arial" w:hint="default"/>
          <w:sz w:val="18"/>
          <w:szCs w:val="18"/>
        </w:rPr>
        <w:sectPr>
          <w:headerReference w:type="default" r:id="rId59"/>
          <w:footerReference w:type="default" r:id="rId60"/>
          <w:pgSz w:w="11910" w:h="16850"/>
          <w:pgMar w:header="957" w:footer="830" w:top="2520" w:bottom="1020" w:left="1580" w:right="1560"/>
          <w:pgNumType w:start="75"/>
        </w:sectPr>
      </w:pPr>
    </w:p>
    <w:p>
      <w:pPr>
        <w:spacing w:line="240" w:lineRule="auto" w:before="2"/>
        <w:rPr>
          <w:rFonts w:ascii="黑体" w:hAnsi="黑体" w:cs="黑体" w:eastAsia="黑体" w:hint="default"/>
          <w:sz w:val="20"/>
          <w:szCs w:val="20"/>
        </w:rPr>
      </w:pPr>
    </w:p>
    <w:p>
      <w:pPr>
        <w:pStyle w:val="Heading6"/>
        <w:tabs>
          <w:tab w:pos="824" w:val="left" w:leader="none"/>
        </w:tabs>
        <w:spacing w:line="240" w:lineRule="auto"/>
        <w:ind w:left="121" w:right="0"/>
        <w:jc w:val="left"/>
        <w:rPr>
          <w:b w:val="0"/>
          <w:bCs w:val="0"/>
        </w:rPr>
      </w:pPr>
      <w:r>
        <w:rPr>
          <w:w w:val="95"/>
        </w:rPr>
        <w:t>五、</w:t>
        <w:tab/>
      </w:r>
      <w:bookmarkStart w:name="五、   合并财务报表主要项目注释（续）" w:id="89"/>
      <w:bookmarkEnd w:id="89"/>
      <w:r>
        <w:rPr/>
        <w:t>合并</w:t>
      </w:r>
      <w:r>
        <w:rPr/>
        <w:t>财务报表主要项目注释（续）</w:t>
      </w:r>
      <w:r>
        <w:rPr>
          <w:b w:val="0"/>
          <w:bCs w:val="0"/>
        </w:rPr>
      </w:r>
    </w:p>
    <w:p>
      <w:pPr>
        <w:spacing w:line="240" w:lineRule="auto" w:before="9"/>
        <w:rPr>
          <w:rFonts w:ascii="黑体" w:hAnsi="黑体" w:cs="黑体" w:eastAsia="黑体" w:hint="default"/>
          <w:b/>
          <w:bCs/>
          <w:sz w:val="16"/>
          <w:szCs w:val="16"/>
        </w:rPr>
      </w:pPr>
    </w:p>
    <w:p>
      <w:pPr>
        <w:pStyle w:val="Heading6"/>
        <w:tabs>
          <w:tab w:pos="846" w:val="left" w:leader="none"/>
        </w:tabs>
        <w:spacing w:line="240" w:lineRule="auto" w:before="0"/>
        <w:ind w:left="121" w:right="0"/>
        <w:jc w:val="left"/>
        <w:rPr>
          <w:b w:val="0"/>
          <w:bCs w:val="0"/>
        </w:rPr>
      </w:pPr>
      <w:r>
        <w:rPr>
          <w:rFonts w:ascii="Arial" w:hAnsi="Arial" w:cs="Arial" w:eastAsia="Arial" w:hint="default"/>
          <w:spacing w:val="-1"/>
          <w:w w:val="95"/>
        </w:rPr>
        <w:t>10</w:t>
      </w:r>
      <w:r>
        <w:rPr>
          <w:spacing w:val="-1"/>
          <w:w w:val="95"/>
        </w:rPr>
        <w:t>．</w:t>
        <w:tab/>
      </w:r>
      <w:r>
        <w:rPr>
          <w:spacing w:val="1"/>
        </w:rPr>
        <w:t>固定资产（续）</w:t>
      </w:r>
      <w:r>
        <w:rPr>
          <w:b w:val="0"/>
          <w:bCs w:val="0"/>
        </w:rPr>
      </w:r>
    </w:p>
    <w:p>
      <w:pPr>
        <w:spacing w:line="240" w:lineRule="auto" w:before="4"/>
        <w:rPr>
          <w:rFonts w:ascii="黑体" w:hAnsi="黑体" w:cs="黑体" w:eastAsia="黑体" w:hint="default"/>
          <w:b/>
          <w:bCs/>
          <w:sz w:val="18"/>
          <w:szCs w:val="18"/>
        </w:rPr>
      </w:pPr>
    </w:p>
    <w:p>
      <w:pPr>
        <w:pStyle w:val="BodyText"/>
        <w:spacing w:line="240" w:lineRule="auto"/>
        <w:ind w:right="8206"/>
        <w:jc w:val="center"/>
      </w:pPr>
      <w:r>
        <w:rPr>
          <w:rFonts w:ascii="Arial" w:hAnsi="Arial" w:cs="Arial" w:eastAsia="Arial" w:hint="default"/>
        </w:rPr>
        <w:t>2011</w:t>
      </w:r>
      <w:r>
        <w:rPr/>
        <w:t>年</w:t>
      </w:r>
    </w:p>
    <w:p>
      <w:pPr>
        <w:spacing w:line="240" w:lineRule="auto" w:before="3"/>
        <w:rPr>
          <w:rFonts w:ascii="黑体" w:hAnsi="黑体" w:cs="黑体" w:eastAsia="黑体" w:hint="default"/>
          <w:sz w:val="21"/>
          <w:szCs w:val="21"/>
        </w:rPr>
      </w:pPr>
    </w:p>
    <w:p>
      <w:pPr>
        <w:tabs>
          <w:tab w:pos="4791" w:val="left" w:leader="none"/>
          <w:tab w:pos="7439" w:val="left" w:leader="none"/>
          <w:tab w:pos="9025" w:val="left" w:leader="none"/>
        </w:tabs>
        <w:spacing w:before="0"/>
        <w:ind w:left="2689" w:right="0" w:firstLine="0"/>
        <w:jc w:val="left"/>
        <w:rPr>
          <w:rFonts w:ascii="黑体" w:hAnsi="黑体" w:cs="黑体" w:eastAsia="黑体" w:hint="default"/>
          <w:sz w:val="18"/>
          <w:szCs w:val="18"/>
        </w:rPr>
      </w:pPr>
      <w:r>
        <w:rPr>
          <w:rFonts w:ascii="黑体" w:hAnsi="黑体" w:cs="黑体" w:eastAsia="黑体" w:hint="default"/>
          <w:sz w:val="18"/>
          <w:szCs w:val="18"/>
        </w:rPr>
        <w:t>年初数</w:t>
        <w:tab/>
        <w:t>本年增加</w:t>
        <w:tab/>
        <w:t>本年减少</w:t>
        <w:tab/>
        <w:t>年末数</w:t>
      </w:r>
    </w:p>
    <w:p>
      <w:pPr>
        <w:spacing w:line="240" w:lineRule="auto" w:before="11"/>
        <w:rPr>
          <w:rFonts w:ascii="黑体" w:hAnsi="黑体" w:cs="黑体" w:eastAsia="黑体" w:hint="default"/>
          <w:sz w:val="2"/>
          <w:szCs w:val="2"/>
        </w:rPr>
      </w:pPr>
    </w:p>
    <w:tbl>
      <w:tblPr>
        <w:tblW w:w="0" w:type="auto"/>
        <w:jc w:val="left"/>
        <w:tblInd w:w="794" w:type="dxa"/>
        <w:tblLayout w:type="fixed"/>
        <w:tblCellMar>
          <w:top w:w="0" w:type="dxa"/>
          <w:left w:w="0" w:type="dxa"/>
          <w:bottom w:w="0" w:type="dxa"/>
          <w:right w:w="0" w:type="dxa"/>
        </w:tblCellMar>
        <w:tblLook w:val="01E0"/>
      </w:tblPr>
      <w:tblGrid>
        <w:gridCol w:w="1329"/>
        <w:gridCol w:w="1342"/>
        <w:gridCol w:w="991"/>
        <w:gridCol w:w="1350"/>
        <w:gridCol w:w="1175"/>
        <w:gridCol w:w="1264"/>
        <w:gridCol w:w="1354"/>
      </w:tblGrid>
      <w:tr>
        <w:trPr>
          <w:trHeight w:val="775" w:hRule="exact"/>
        </w:trPr>
        <w:tc>
          <w:tcPr>
            <w:tcW w:w="13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3"/>
              <w:ind w:right="0"/>
              <w:jc w:val="left"/>
              <w:rPr>
                <w:rFonts w:ascii="黑体" w:hAnsi="黑体" w:cs="黑体" w:eastAsia="黑体" w:hint="default"/>
                <w:sz w:val="20"/>
                <w:szCs w:val="20"/>
              </w:rPr>
            </w:pPr>
          </w:p>
          <w:p>
            <w:pPr>
              <w:pStyle w:val="TableParagraph"/>
              <w:spacing w:line="240" w:lineRule="auto"/>
              <w:ind w:left="35" w:right="0"/>
              <w:jc w:val="left"/>
              <w:rPr>
                <w:rFonts w:ascii="黑体" w:hAnsi="黑体" w:cs="黑体" w:eastAsia="黑体" w:hint="default"/>
                <w:sz w:val="18"/>
                <w:szCs w:val="18"/>
              </w:rPr>
            </w:pPr>
            <w:r>
              <w:rPr>
                <w:rFonts w:ascii="黑体" w:hAnsi="黑体" w:cs="黑体" w:eastAsia="黑体" w:hint="default"/>
                <w:sz w:val="18"/>
                <w:szCs w:val="18"/>
              </w:rPr>
              <w:t>原价</w:t>
            </w:r>
          </w:p>
        </w:tc>
        <w:tc>
          <w:tcPr>
            <w:tcW w:w="1342" w:type="dxa"/>
            <w:tcBorders>
              <w:top w:val="nil" w:sz="6" w:space="0" w:color="auto"/>
              <w:left w:val="nil" w:sz="6" w:space="0" w:color="auto"/>
              <w:bottom w:val="nil" w:sz="6" w:space="0" w:color="auto"/>
              <w:right w:val="nil" w:sz="6" w:space="0" w:color="auto"/>
            </w:tcBorders>
          </w:tcPr>
          <w:p>
            <w:pPr/>
          </w:p>
        </w:tc>
        <w:tc>
          <w:tcPr>
            <w:tcW w:w="991" w:type="dxa"/>
            <w:tcBorders>
              <w:top w:val="single" w:sz="4" w:space="0" w:color="000000"/>
              <w:left w:val="nil" w:sz="6" w:space="0" w:color="auto"/>
              <w:bottom w:val="nil" w:sz="6" w:space="0" w:color="auto"/>
              <w:right w:val="nil" w:sz="6" w:space="0" w:color="auto"/>
            </w:tcBorders>
          </w:tcPr>
          <w:p>
            <w:pPr>
              <w:pStyle w:val="TableParagraph"/>
              <w:spacing w:line="222" w:lineRule="exact"/>
              <w:ind w:right="115"/>
              <w:jc w:val="right"/>
              <w:rPr>
                <w:rFonts w:ascii="黑体" w:hAnsi="黑体" w:cs="黑体" w:eastAsia="黑体" w:hint="default"/>
                <w:sz w:val="18"/>
                <w:szCs w:val="18"/>
              </w:rPr>
            </w:pPr>
            <w:r>
              <w:rPr>
                <w:rFonts w:ascii="黑体" w:hAnsi="黑体" w:cs="黑体" w:eastAsia="黑体" w:hint="default"/>
                <w:sz w:val="18"/>
                <w:szCs w:val="18"/>
              </w:rPr>
              <w:t>收购</w:t>
            </w:r>
          </w:p>
        </w:tc>
        <w:tc>
          <w:tcPr>
            <w:tcW w:w="1350" w:type="dxa"/>
            <w:tcBorders>
              <w:top w:val="single" w:sz="4" w:space="0" w:color="000000"/>
              <w:left w:val="nil" w:sz="6" w:space="0" w:color="auto"/>
              <w:bottom w:val="nil" w:sz="6" w:space="0" w:color="auto"/>
              <w:right w:val="nil" w:sz="6" w:space="0" w:color="auto"/>
            </w:tcBorders>
          </w:tcPr>
          <w:p>
            <w:pPr>
              <w:pStyle w:val="TableParagraph"/>
              <w:spacing w:line="222" w:lineRule="exact"/>
              <w:ind w:left="477" w:right="0"/>
              <w:jc w:val="left"/>
              <w:rPr>
                <w:rFonts w:ascii="黑体" w:hAnsi="黑体" w:cs="黑体" w:eastAsia="黑体" w:hint="default"/>
                <w:sz w:val="18"/>
                <w:szCs w:val="18"/>
              </w:rPr>
            </w:pPr>
            <w:r>
              <w:rPr>
                <w:rFonts w:ascii="黑体" w:hAnsi="黑体" w:cs="黑体" w:eastAsia="黑体" w:hint="default"/>
                <w:sz w:val="18"/>
                <w:szCs w:val="18"/>
              </w:rPr>
              <w:t>在建工程</w:t>
            </w:r>
          </w:p>
          <w:p>
            <w:pPr>
              <w:pStyle w:val="TableParagraph"/>
              <w:spacing w:line="240" w:lineRule="auto" w:before="19"/>
              <w:ind w:left="835" w:right="0"/>
              <w:jc w:val="left"/>
              <w:rPr>
                <w:rFonts w:ascii="黑体" w:hAnsi="黑体" w:cs="黑体" w:eastAsia="黑体" w:hint="default"/>
                <w:sz w:val="18"/>
                <w:szCs w:val="18"/>
              </w:rPr>
            </w:pPr>
            <w:r>
              <w:rPr>
                <w:rFonts w:ascii="黑体" w:hAnsi="黑体" w:cs="黑体" w:eastAsia="黑体" w:hint="default"/>
                <w:sz w:val="18"/>
                <w:szCs w:val="18"/>
              </w:rPr>
              <w:t>转入</w:t>
            </w:r>
          </w:p>
        </w:tc>
        <w:tc>
          <w:tcPr>
            <w:tcW w:w="1175" w:type="dxa"/>
            <w:tcBorders>
              <w:top w:val="single" w:sz="4" w:space="0" w:color="000000"/>
              <w:left w:val="nil" w:sz="6" w:space="0" w:color="auto"/>
              <w:bottom w:val="nil" w:sz="6" w:space="0" w:color="auto"/>
              <w:right w:val="nil" w:sz="6" w:space="0" w:color="auto"/>
            </w:tcBorders>
          </w:tcPr>
          <w:p>
            <w:pPr>
              <w:pStyle w:val="TableParagraph"/>
              <w:spacing w:line="222" w:lineRule="exact"/>
              <w:ind w:right="48"/>
              <w:jc w:val="right"/>
              <w:rPr>
                <w:rFonts w:ascii="黑体" w:hAnsi="黑体" w:cs="黑体" w:eastAsia="黑体" w:hint="default"/>
                <w:sz w:val="18"/>
                <w:szCs w:val="18"/>
              </w:rPr>
            </w:pPr>
            <w:r>
              <w:rPr>
                <w:rFonts w:ascii="黑体" w:hAnsi="黑体" w:cs="黑体" w:eastAsia="黑体" w:hint="default"/>
                <w:sz w:val="18"/>
                <w:szCs w:val="18"/>
              </w:rPr>
              <w:t>其他</w:t>
            </w:r>
          </w:p>
        </w:tc>
        <w:tc>
          <w:tcPr>
            <w:tcW w:w="2618" w:type="dxa"/>
            <w:gridSpan w:val="2"/>
            <w:tcBorders>
              <w:top w:val="nil" w:sz="6" w:space="0" w:color="auto"/>
              <w:left w:val="nil" w:sz="6" w:space="0" w:color="auto"/>
              <w:bottom w:val="nil" w:sz="6" w:space="0" w:color="auto"/>
              <w:right w:val="nil" w:sz="6" w:space="0" w:color="auto"/>
            </w:tcBorders>
          </w:tcPr>
          <w:p>
            <w:pPr/>
          </w:p>
        </w:tc>
      </w:tr>
      <w:tr>
        <w:trPr>
          <w:trHeight w:val="260" w:hRule="exact"/>
        </w:trPr>
        <w:tc>
          <w:tcPr>
            <w:tcW w:w="1329"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黑体" w:hAnsi="黑体" w:cs="黑体" w:eastAsia="黑体" w:hint="default"/>
                <w:sz w:val="18"/>
                <w:szCs w:val="18"/>
              </w:rPr>
            </w:pPr>
            <w:r>
              <w:rPr>
                <w:rFonts w:ascii="黑体" w:hAnsi="黑体" w:cs="黑体" w:eastAsia="黑体" w:hint="default"/>
                <w:sz w:val="18"/>
                <w:szCs w:val="18"/>
              </w:rPr>
              <w:t>房屋及建筑物</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3"/>
              <w:jc w:val="right"/>
              <w:rPr>
                <w:rFonts w:ascii="Arial" w:hAnsi="Arial" w:cs="Arial" w:eastAsia="Arial" w:hint="default"/>
                <w:sz w:val="18"/>
                <w:szCs w:val="18"/>
              </w:rPr>
            </w:pPr>
            <w:r>
              <w:rPr>
                <w:rFonts w:ascii="Arial"/>
                <w:spacing w:val="-1"/>
                <w:sz w:val="18"/>
              </w:rPr>
              <w:t>394,809,882</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0"/>
              <w:jc w:val="right"/>
              <w:rPr>
                <w:rFonts w:ascii="Arial" w:hAnsi="Arial" w:cs="Arial" w:eastAsia="Arial" w:hint="default"/>
                <w:sz w:val="18"/>
                <w:szCs w:val="18"/>
              </w:rPr>
            </w:pPr>
            <w:r>
              <w:rPr>
                <w:rFonts w:ascii="Arial"/>
                <w:w w:val="99"/>
                <w:sz w:val="18"/>
              </w:rPr>
              <w:t>-</w:t>
            </w:r>
            <w:r>
              <w:rPr>
                <w:rFonts w:ascii="Arial"/>
                <w:sz w:val="18"/>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50"/>
              <w:jc w:val="right"/>
              <w:rPr>
                <w:rFonts w:ascii="Arial" w:hAnsi="Arial" w:cs="Arial" w:eastAsia="Arial" w:hint="default"/>
                <w:sz w:val="18"/>
                <w:szCs w:val="18"/>
              </w:rPr>
            </w:pPr>
            <w:r>
              <w:rPr>
                <w:rFonts w:ascii="Arial"/>
                <w:spacing w:val="-1"/>
                <w:sz w:val="18"/>
              </w:rPr>
              <w:t>254,006,837</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0"/>
              <w:jc w:val="right"/>
              <w:rPr>
                <w:rFonts w:ascii="Arial" w:hAnsi="Arial" w:cs="Arial" w:eastAsia="Arial" w:hint="default"/>
                <w:sz w:val="18"/>
                <w:szCs w:val="18"/>
              </w:rPr>
            </w:pPr>
            <w:r>
              <w:rPr>
                <w:rFonts w:ascii="Arial"/>
                <w:w w:val="99"/>
                <w:sz w:val="18"/>
              </w:rPr>
              <w:t>-</w:t>
            </w:r>
            <w:r>
              <w:rPr>
                <w:rFonts w:ascii="Arial"/>
                <w:sz w:val="18"/>
              </w:rPr>
            </w:r>
          </w:p>
        </w:tc>
        <w:tc>
          <w:tcPr>
            <w:tcW w:w="2618" w:type="dxa"/>
            <w:gridSpan w:val="2"/>
            <w:tcBorders>
              <w:top w:val="nil" w:sz="6" w:space="0" w:color="auto"/>
              <w:left w:val="nil" w:sz="6" w:space="0" w:color="auto"/>
              <w:bottom w:val="nil" w:sz="6" w:space="0" w:color="auto"/>
              <w:right w:val="nil" w:sz="6" w:space="0" w:color="auto"/>
            </w:tcBorders>
          </w:tcPr>
          <w:p>
            <w:pPr>
              <w:pStyle w:val="TableParagraph"/>
              <w:tabs>
                <w:tab w:pos="1579" w:val="left" w:leader="none"/>
              </w:tabs>
              <w:spacing w:line="240" w:lineRule="auto" w:before="16"/>
              <w:ind w:left="1116" w:right="0"/>
              <w:jc w:val="left"/>
              <w:rPr>
                <w:rFonts w:ascii="Arial" w:hAnsi="Arial" w:cs="Arial" w:eastAsia="Arial" w:hint="default"/>
                <w:sz w:val="18"/>
                <w:szCs w:val="18"/>
              </w:rPr>
            </w:pPr>
            <w:r>
              <w:rPr>
                <w:rFonts w:ascii="Arial"/>
                <w:sz w:val="18"/>
              </w:rPr>
              <w:t>-</w:t>
              <w:tab/>
              <w:t>648,816,719</w:t>
            </w:r>
          </w:p>
        </w:tc>
      </w:tr>
      <w:tr>
        <w:trPr>
          <w:trHeight w:val="259" w:hRule="exact"/>
        </w:trPr>
        <w:tc>
          <w:tcPr>
            <w:tcW w:w="1329" w:type="dxa"/>
            <w:tcBorders>
              <w:top w:val="nil" w:sz="6" w:space="0" w:color="auto"/>
              <w:left w:val="nil" w:sz="6" w:space="0" w:color="auto"/>
              <w:bottom w:val="nil" w:sz="6" w:space="0" w:color="auto"/>
              <w:right w:val="nil" w:sz="6" w:space="0" w:color="auto"/>
            </w:tcBorders>
          </w:tcPr>
          <w:p>
            <w:pPr>
              <w:pStyle w:val="TableParagraph"/>
              <w:spacing w:line="221" w:lineRule="exact"/>
              <w:ind w:left="35" w:right="0"/>
              <w:jc w:val="left"/>
              <w:rPr>
                <w:rFonts w:ascii="黑体" w:hAnsi="黑体" w:cs="黑体" w:eastAsia="黑体" w:hint="default"/>
                <w:sz w:val="18"/>
                <w:szCs w:val="18"/>
              </w:rPr>
            </w:pPr>
            <w:r>
              <w:rPr>
                <w:rFonts w:ascii="黑体" w:hAnsi="黑体" w:cs="黑体" w:eastAsia="黑体" w:hint="default"/>
                <w:sz w:val="18"/>
                <w:szCs w:val="18"/>
              </w:rPr>
              <w:t>机器设备</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33"/>
              <w:jc w:val="right"/>
              <w:rPr>
                <w:rFonts w:ascii="Arial" w:hAnsi="Arial" w:cs="Arial" w:eastAsia="Arial" w:hint="default"/>
                <w:sz w:val="18"/>
                <w:szCs w:val="18"/>
              </w:rPr>
            </w:pPr>
            <w:r>
              <w:rPr>
                <w:rFonts w:ascii="Arial"/>
                <w:spacing w:val="-1"/>
                <w:sz w:val="18"/>
              </w:rPr>
              <w:t>69,773,452</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0"/>
              <w:jc w:val="right"/>
              <w:rPr>
                <w:rFonts w:ascii="Arial" w:hAnsi="Arial" w:cs="Arial" w:eastAsia="Arial" w:hint="default"/>
                <w:sz w:val="18"/>
                <w:szCs w:val="18"/>
              </w:rPr>
            </w:pPr>
            <w:r>
              <w:rPr>
                <w:rFonts w:ascii="Arial"/>
                <w:w w:val="99"/>
                <w:sz w:val="18"/>
              </w:rPr>
              <w:t>-</w:t>
            </w:r>
            <w:r>
              <w:rPr>
                <w:rFonts w:ascii="Arial"/>
                <w:sz w:val="18"/>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1"/>
              <w:jc w:val="right"/>
              <w:rPr>
                <w:rFonts w:ascii="Arial" w:hAnsi="Arial" w:cs="Arial" w:eastAsia="Arial" w:hint="default"/>
                <w:sz w:val="18"/>
                <w:szCs w:val="18"/>
              </w:rPr>
            </w:pPr>
            <w:r>
              <w:rPr>
                <w:rFonts w:ascii="Arial"/>
                <w:spacing w:val="-1"/>
                <w:sz w:val="18"/>
              </w:rPr>
              <w:t>17,762,627</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0"/>
              <w:jc w:val="right"/>
              <w:rPr>
                <w:rFonts w:ascii="Arial" w:hAnsi="Arial" w:cs="Arial" w:eastAsia="Arial" w:hint="default"/>
                <w:sz w:val="18"/>
                <w:szCs w:val="18"/>
              </w:rPr>
            </w:pPr>
            <w:r>
              <w:rPr>
                <w:rFonts w:ascii="Arial"/>
                <w:w w:val="99"/>
                <w:sz w:val="18"/>
              </w:rPr>
              <w:t>-</w:t>
            </w:r>
            <w:r>
              <w:rPr>
                <w:rFonts w:ascii="Arial"/>
                <w:sz w:val="18"/>
              </w:rPr>
            </w:r>
          </w:p>
        </w:tc>
        <w:tc>
          <w:tcPr>
            <w:tcW w:w="2618" w:type="dxa"/>
            <w:gridSpan w:val="2"/>
            <w:tcBorders>
              <w:top w:val="nil" w:sz="6" w:space="0" w:color="auto"/>
              <w:left w:val="nil" w:sz="6" w:space="0" w:color="auto"/>
              <w:bottom w:val="nil" w:sz="6" w:space="0" w:color="auto"/>
              <w:right w:val="nil" w:sz="6" w:space="0" w:color="auto"/>
            </w:tcBorders>
          </w:tcPr>
          <w:p>
            <w:pPr>
              <w:pStyle w:val="TableParagraph"/>
              <w:tabs>
                <w:tab w:pos="1679" w:val="left" w:leader="none"/>
              </w:tabs>
              <w:spacing w:line="240" w:lineRule="auto" w:before="15"/>
              <w:ind w:left="1116" w:right="0"/>
              <w:jc w:val="left"/>
              <w:rPr>
                <w:rFonts w:ascii="Arial" w:hAnsi="Arial" w:cs="Arial" w:eastAsia="Arial" w:hint="default"/>
                <w:sz w:val="18"/>
                <w:szCs w:val="18"/>
              </w:rPr>
            </w:pPr>
            <w:r>
              <w:rPr>
                <w:rFonts w:ascii="Arial"/>
                <w:sz w:val="18"/>
              </w:rPr>
              <w:t>-</w:t>
              <w:tab/>
              <w:t>87,536,079</w:t>
            </w:r>
          </w:p>
        </w:tc>
      </w:tr>
      <w:tr>
        <w:trPr>
          <w:trHeight w:val="260" w:hRule="exact"/>
        </w:trPr>
        <w:tc>
          <w:tcPr>
            <w:tcW w:w="1329" w:type="dxa"/>
            <w:tcBorders>
              <w:top w:val="nil" w:sz="6" w:space="0" w:color="auto"/>
              <w:left w:val="nil" w:sz="6" w:space="0" w:color="auto"/>
              <w:bottom w:val="nil" w:sz="6" w:space="0" w:color="auto"/>
              <w:right w:val="nil" w:sz="6" w:space="0" w:color="auto"/>
            </w:tcBorders>
          </w:tcPr>
          <w:p>
            <w:pPr>
              <w:pStyle w:val="TableParagraph"/>
              <w:spacing w:line="221" w:lineRule="exact"/>
              <w:ind w:left="35" w:right="0"/>
              <w:jc w:val="left"/>
              <w:rPr>
                <w:rFonts w:ascii="黑体" w:hAnsi="黑体" w:cs="黑体" w:eastAsia="黑体" w:hint="default"/>
                <w:sz w:val="18"/>
                <w:szCs w:val="18"/>
              </w:rPr>
            </w:pPr>
            <w:r>
              <w:rPr>
                <w:rFonts w:ascii="黑体" w:hAnsi="黑体" w:cs="黑体" w:eastAsia="黑体" w:hint="default"/>
                <w:sz w:val="18"/>
                <w:szCs w:val="18"/>
              </w:rPr>
              <w:t>运输工具</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33"/>
              <w:jc w:val="right"/>
              <w:rPr>
                <w:rFonts w:ascii="Arial" w:hAnsi="Arial" w:cs="Arial" w:eastAsia="Arial" w:hint="default"/>
                <w:sz w:val="18"/>
                <w:szCs w:val="18"/>
              </w:rPr>
            </w:pPr>
            <w:r>
              <w:rPr>
                <w:rFonts w:ascii="Arial"/>
                <w:spacing w:val="-1"/>
                <w:sz w:val="18"/>
              </w:rPr>
              <w:t>54,242,875</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0"/>
              <w:jc w:val="right"/>
              <w:rPr>
                <w:rFonts w:ascii="Arial" w:hAnsi="Arial" w:cs="Arial" w:eastAsia="Arial" w:hint="default"/>
                <w:sz w:val="18"/>
                <w:szCs w:val="18"/>
              </w:rPr>
            </w:pPr>
            <w:r>
              <w:rPr>
                <w:rFonts w:ascii="Arial"/>
                <w:w w:val="99"/>
                <w:sz w:val="18"/>
              </w:rPr>
              <w:t>-</w:t>
            </w:r>
            <w:r>
              <w:rPr>
                <w:rFonts w:ascii="Arial"/>
                <w:sz w:val="18"/>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2"/>
              <w:jc w:val="right"/>
              <w:rPr>
                <w:rFonts w:ascii="Arial" w:hAnsi="Arial" w:cs="Arial" w:eastAsia="Arial" w:hint="default"/>
                <w:sz w:val="18"/>
                <w:szCs w:val="18"/>
              </w:rPr>
            </w:pPr>
            <w:r>
              <w:rPr>
                <w:rFonts w:ascii="Arial"/>
                <w:w w:val="99"/>
                <w:sz w:val="18"/>
              </w:rPr>
              <w:t>-</w:t>
            </w:r>
            <w:r>
              <w:rPr>
                <w:rFonts w:ascii="Arial"/>
                <w:sz w:val="18"/>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20" w:right="0"/>
              <w:jc w:val="left"/>
              <w:rPr>
                <w:rFonts w:ascii="Arial" w:hAnsi="Arial" w:cs="Arial" w:eastAsia="Arial" w:hint="default"/>
                <w:sz w:val="18"/>
                <w:szCs w:val="18"/>
              </w:rPr>
            </w:pPr>
            <w:r>
              <w:rPr>
                <w:rFonts w:ascii="Arial"/>
                <w:sz w:val="18"/>
              </w:rPr>
              <w:t>7,458,593</w:t>
            </w:r>
          </w:p>
        </w:tc>
        <w:tc>
          <w:tcPr>
            <w:tcW w:w="2618" w:type="dxa"/>
            <w:gridSpan w:val="2"/>
            <w:tcBorders>
              <w:top w:val="nil" w:sz="6" w:space="0" w:color="auto"/>
              <w:left w:val="nil" w:sz="6" w:space="0" w:color="auto"/>
              <w:bottom w:val="nil" w:sz="6" w:space="0" w:color="auto"/>
              <w:right w:val="nil" w:sz="6" w:space="0" w:color="auto"/>
            </w:tcBorders>
          </w:tcPr>
          <w:p>
            <w:pPr>
              <w:pStyle w:val="TableParagraph"/>
              <w:tabs>
                <w:tab w:pos="1679" w:val="left" w:leader="none"/>
              </w:tabs>
              <w:spacing w:line="240" w:lineRule="auto" w:before="15"/>
              <w:ind w:left="220" w:right="0"/>
              <w:jc w:val="left"/>
              <w:rPr>
                <w:rFonts w:ascii="Arial" w:hAnsi="Arial" w:cs="Arial" w:eastAsia="Arial" w:hint="default"/>
                <w:sz w:val="18"/>
                <w:szCs w:val="18"/>
              </w:rPr>
            </w:pPr>
            <w:r>
              <w:rPr>
                <w:rFonts w:ascii="Arial"/>
                <w:sz w:val="18"/>
              </w:rPr>
              <w:t>(</w:t>
            </w:r>
            <w:r>
              <w:rPr>
                <w:rFonts w:ascii="Arial"/>
                <w:spacing w:val="27"/>
                <w:sz w:val="18"/>
              </w:rPr>
              <w:t> </w:t>
            </w:r>
            <w:r>
              <w:rPr>
                <w:rFonts w:ascii="Arial"/>
                <w:sz w:val="18"/>
              </w:rPr>
              <w:t>4,143,445)</w:t>
              <w:tab/>
              <w:t>57,558,023</w:t>
            </w:r>
          </w:p>
        </w:tc>
      </w:tr>
      <w:tr>
        <w:trPr>
          <w:trHeight w:val="390" w:hRule="exact"/>
        </w:trPr>
        <w:tc>
          <w:tcPr>
            <w:tcW w:w="1329"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黑体" w:hAnsi="黑体" w:cs="黑体" w:eastAsia="黑体" w:hint="default"/>
                <w:sz w:val="18"/>
                <w:szCs w:val="18"/>
              </w:rPr>
            </w:pPr>
            <w:r>
              <w:rPr>
                <w:rFonts w:ascii="黑体" w:hAnsi="黑体" w:cs="黑体" w:eastAsia="黑体" w:hint="default"/>
                <w:sz w:val="18"/>
                <w:szCs w:val="18"/>
              </w:rPr>
              <w:t>办公及电子设备</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3"/>
              <w:jc w:val="right"/>
              <w:rPr>
                <w:rFonts w:ascii="Arial" w:hAnsi="Arial" w:cs="Arial" w:eastAsia="Arial" w:hint="default"/>
                <w:sz w:val="18"/>
                <w:szCs w:val="18"/>
              </w:rPr>
            </w:pPr>
            <w:r>
              <w:rPr>
                <w:rFonts w:ascii="Arial"/>
                <w:w w:val="99"/>
                <w:sz w:val="18"/>
              </w:rPr>
            </w:r>
            <w:r>
              <w:rPr>
                <w:rFonts w:ascii="Arial"/>
                <w:spacing w:val="-1"/>
                <w:sz w:val="18"/>
                <w:u w:val="single" w:color="000000"/>
              </w:rPr>
              <w:t>204,091,331</w:t>
            </w:r>
            <w:r>
              <w:rPr>
                <w:rFonts w:ascii="Arial"/>
                <w:spacing w:val="-1"/>
                <w:sz w:val="18"/>
              </w:rPr>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7"/>
              <w:jc w:val="right"/>
              <w:rPr>
                <w:rFonts w:ascii="Arial" w:hAnsi="Arial" w:cs="Arial" w:eastAsia="Arial" w:hint="default"/>
                <w:sz w:val="18"/>
                <w:szCs w:val="18"/>
              </w:rPr>
            </w:pPr>
            <w:r>
              <w:rPr>
                <w:rFonts w:ascii="Arial"/>
                <w:w w:val="100"/>
                <w:sz w:val="18"/>
              </w:rPr>
            </w:r>
            <w:r>
              <w:rPr>
                <w:rFonts w:ascii="Arial"/>
                <w:spacing w:val="-1"/>
                <w:sz w:val="18"/>
                <w:u w:val="single" w:color="000000"/>
              </w:rPr>
              <w:t>1,364,083</w:t>
            </w:r>
            <w:r>
              <w:rPr>
                <w:rFonts w:ascii="Arial"/>
                <w:spacing w:val="-1"/>
                <w:sz w:val="18"/>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5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1"/>
                <w:sz w:val="18"/>
                <w:u w:val="single" w:color="000000"/>
              </w:rPr>
              <w:t> </w:t>
            </w:r>
            <w:r>
              <w:rPr>
                <w:rFonts w:ascii="Arial"/>
                <w:spacing w:val="-1"/>
                <w:sz w:val="18"/>
                <w:u w:val="single" w:color="000000"/>
              </w:rPr>
              <w:t>21,499,680</w:t>
            </w:r>
            <w:r>
              <w:rPr>
                <w:rFonts w:ascii="Arial"/>
                <w:spacing w:val="-1"/>
                <w:sz w:val="18"/>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21" w:right="0"/>
              <w:jc w:val="left"/>
              <w:rPr>
                <w:rFonts w:ascii="Arial" w:hAnsi="Arial" w:cs="Arial" w:eastAsia="Arial" w:hint="default"/>
                <w:sz w:val="18"/>
                <w:szCs w:val="18"/>
              </w:rPr>
            </w:pPr>
            <w:r>
              <w:rPr>
                <w:rFonts w:ascii="Arial"/>
                <w:w w:val="99"/>
                <w:sz w:val="18"/>
              </w:rPr>
            </w:r>
            <w:r>
              <w:rPr>
                <w:rFonts w:ascii="Arial"/>
                <w:sz w:val="18"/>
                <w:u w:val="single" w:color="000000"/>
              </w:rPr>
              <w:t>32,331,062</w:t>
            </w:r>
            <w:r>
              <w:rPr>
                <w:rFonts w:ascii="Arial"/>
                <w:sz w:val="18"/>
              </w:rPr>
            </w:r>
          </w:p>
        </w:tc>
        <w:tc>
          <w:tcPr>
            <w:tcW w:w="26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204" w:right="0"/>
              <w:jc w:val="left"/>
              <w:rPr>
                <w:rFonts w:ascii="Arial" w:hAnsi="Arial" w:cs="Arial" w:eastAsia="Arial" w:hint="default"/>
                <w:sz w:val="18"/>
                <w:szCs w:val="18"/>
              </w:rPr>
            </w:pPr>
            <w:r>
              <w:rPr>
                <w:rFonts w:ascii="Arial"/>
                <w:sz w:val="18"/>
              </w:rPr>
              <w:t>(</w:t>
            </w:r>
            <w:r>
              <w:rPr>
                <w:rFonts w:ascii="Arial"/>
                <w:sz w:val="18"/>
                <w:u w:val="single" w:color="000000"/>
              </w:rPr>
              <w:t>12,299,885</w:t>
            </w:r>
            <w:r>
              <w:rPr>
                <w:rFonts w:ascii="Arial"/>
                <w:sz w:val="18"/>
              </w:rPr>
              <w:t>)     </w:t>
            </w:r>
            <w:r>
              <w:rPr>
                <w:rFonts w:ascii="Arial"/>
                <w:spacing w:val="43"/>
                <w:sz w:val="18"/>
              </w:rPr>
              <w:t> </w:t>
            </w:r>
            <w:r>
              <w:rPr>
                <w:rFonts w:ascii="Arial"/>
                <w:spacing w:val="43"/>
                <w:sz w:val="18"/>
                <w:u w:val="single" w:color="000000"/>
              </w:rPr>
              <w:t> </w:t>
            </w:r>
            <w:r>
              <w:rPr>
                <w:rFonts w:ascii="Arial"/>
                <w:sz w:val="18"/>
                <w:u w:val="single" w:color="000000"/>
              </w:rPr>
              <w:t>246,986,271</w:t>
            </w:r>
            <w:r>
              <w:rPr>
                <w:rFonts w:ascii="Arial"/>
                <w:sz w:val="18"/>
              </w:rPr>
            </w:r>
          </w:p>
        </w:tc>
      </w:tr>
      <w:tr>
        <w:trPr>
          <w:trHeight w:val="520" w:hRule="exact"/>
        </w:trPr>
        <w:tc>
          <w:tcPr>
            <w:tcW w:w="1329"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233"/>
              <w:jc w:val="right"/>
              <w:rPr>
                <w:rFonts w:ascii="Arial" w:hAnsi="Arial" w:cs="Arial" w:eastAsia="Arial" w:hint="default"/>
                <w:sz w:val="18"/>
                <w:szCs w:val="18"/>
              </w:rPr>
            </w:pPr>
            <w:r>
              <w:rPr>
                <w:rFonts w:ascii="Arial"/>
                <w:w w:val="99"/>
                <w:sz w:val="18"/>
              </w:rPr>
            </w:r>
            <w:r>
              <w:rPr>
                <w:rFonts w:ascii="Arial"/>
                <w:spacing w:val="-1"/>
                <w:sz w:val="18"/>
                <w:u w:val="thick" w:color="000000"/>
              </w:rPr>
              <w:t>722,917,540</w:t>
            </w:r>
            <w:r>
              <w:rPr>
                <w:rFonts w:ascii="Arial"/>
                <w:spacing w:val="-1"/>
                <w:sz w:val="18"/>
              </w:rPr>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117"/>
              <w:jc w:val="right"/>
              <w:rPr>
                <w:rFonts w:ascii="Arial" w:hAnsi="Arial" w:cs="Arial" w:eastAsia="Arial" w:hint="default"/>
                <w:sz w:val="18"/>
                <w:szCs w:val="18"/>
              </w:rPr>
            </w:pPr>
            <w:r>
              <w:rPr>
                <w:rFonts w:ascii="Arial"/>
                <w:w w:val="100"/>
                <w:sz w:val="18"/>
              </w:rPr>
            </w:r>
            <w:r>
              <w:rPr>
                <w:rFonts w:ascii="Arial"/>
                <w:spacing w:val="-1"/>
                <w:sz w:val="18"/>
                <w:u w:val="thick" w:color="000000"/>
              </w:rPr>
              <w:t>1,364,083</w:t>
            </w:r>
            <w:r>
              <w:rPr>
                <w:rFonts w:ascii="Arial"/>
                <w:spacing w:val="-1"/>
                <w:sz w:val="18"/>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150"/>
              <w:jc w:val="right"/>
              <w:rPr>
                <w:rFonts w:ascii="Arial" w:hAnsi="Arial" w:cs="Arial" w:eastAsia="Arial" w:hint="default"/>
                <w:sz w:val="18"/>
                <w:szCs w:val="18"/>
              </w:rPr>
            </w:pPr>
            <w:r>
              <w:rPr>
                <w:rFonts w:ascii="Arial"/>
                <w:w w:val="99"/>
                <w:sz w:val="18"/>
              </w:rPr>
            </w:r>
            <w:r>
              <w:rPr>
                <w:rFonts w:ascii="Arial"/>
                <w:spacing w:val="-1"/>
                <w:sz w:val="18"/>
                <w:u w:val="thick" w:color="000000"/>
              </w:rPr>
              <w:t>293,269,144</w:t>
            </w:r>
            <w:r>
              <w:rPr>
                <w:rFonts w:ascii="Arial"/>
                <w:spacing w:val="-1"/>
                <w:sz w:val="18"/>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44"/>
              <w:ind w:left="221" w:right="0"/>
              <w:jc w:val="left"/>
              <w:rPr>
                <w:rFonts w:ascii="Arial" w:hAnsi="Arial" w:cs="Arial" w:eastAsia="Arial" w:hint="default"/>
                <w:sz w:val="18"/>
                <w:szCs w:val="18"/>
              </w:rPr>
            </w:pPr>
            <w:r>
              <w:rPr>
                <w:rFonts w:ascii="Arial"/>
                <w:w w:val="99"/>
                <w:sz w:val="18"/>
              </w:rPr>
            </w:r>
            <w:r>
              <w:rPr>
                <w:rFonts w:ascii="Arial"/>
                <w:sz w:val="18"/>
                <w:u w:val="thick" w:color="000000"/>
              </w:rPr>
              <w:t>39,789,655</w:t>
            </w:r>
            <w:r>
              <w:rPr>
                <w:rFonts w:ascii="Arial"/>
                <w:sz w:val="18"/>
              </w:rPr>
            </w:r>
          </w:p>
        </w:tc>
        <w:tc>
          <w:tcPr>
            <w:tcW w:w="2618" w:type="dxa"/>
            <w:gridSpan w:val="2"/>
            <w:tcBorders>
              <w:top w:val="nil" w:sz="6" w:space="0" w:color="auto"/>
              <w:left w:val="nil" w:sz="6" w:space="0" w:color="auto"/>
              <w:bottom w:val="nil" w:sz="6" w:space="0" w:color="auto"/>
              <w:right w:val="nil" w:sz="6" w:space="0" w:color="auto"/>
            </w:tcBorders>
          </w:tcPr>
          <w:p>
            <w:pPr>
              <w:pStyle w:val="TableParagraph"/>
              <w:tabs>
                <w:tab w:pos="1427" w:val="left" w:leader="none"/>
              </w:tabs>
              <w:spacing w:line="240" w:lineRule="auto" w:before="144"/>
              <w:ind w:left="216" w:right="0"/>
              <w:jc w:val="left"/>
              <w:rPr>
                <w:rFonts w:ascii="Arial" w:hAnsi="Arial" w:cs="Arial" w:eastAsia="Arial" w:hint="default"/>
                <w:sz w:val="18"/>
                <w:szCs w:val="18"/>
              </w:rPr>
            </w:pPr>
            <w:r>
              <w:rPr>
                <w:rFonts w:ascii="Arial"/>
                <w:spacing w:val="-2"/>
                <w:sz w:val="18"/>
              </w:rPr>
              <w:t>(</w:t>
            </w:r>
            <w:r>
              <w:rPr>
                <w:rFonts w:ascii="Arial"/>
                <w:spacing w:val="-2"/>
                <w:sz w:val="18"/>
                <w:u w:val="thick" w:color="000000"/>
              </w:rPr>
              <w:t>16,443,330</w:t>
            </w:r>
            <w:r>
              <w:rPr>
                <w:rFonts w:ascii="Arial"/>
                <w:spacing w:val="-2"/>
                <w:sz w:val="18"/>
              </w:rPr>
              <w:t>)</w:t>
              <w:tab/>
            </w:r>
            <w:r>
              <w:rPr>
                <w:rFonts w:ascii="Arial"/>
                <w:spacing w:val="-1"/>
                <w:sz w:val="18"/>
                <w:u w:val="thick" w:color="000000"/>
              </w:rPr>
              <w:t>1,040,897,092</w:t>
            </w:r>
            <w:r>
              <w:rPr>
                <w:rFonts w:ascii="Arial"/>
                <w:spacing w:val="-1"/>
                <w:sz w:val="18"/>
              </w:rPr>
            </w:r>
          </w:p>
        </w:tc>
      </w:tr>
      <w:tr>
        <w:trPr>
          <w:trHeight w:val="650" w:hRule="exact"/>
        </w:trPr>
        <w:tc>
          <w:tcPr>
            <w:tcW w:w="1329" w:type="dxa"/>
            <w:tcBorders>
              <w:top w:val="nil" w:sz="6" w:space="0" w:color="auto"/>
              <w:left w:val="nil" w:sz="6" w:space="0" w:color="auto"/>
              <w:bottom w:val="nil" w:sz="6" w:space="0" w:color="auto"/>
              <w:right w:val="nil" w:sz="6" w:space="0" w:color="auto"/>
            </w:tcBorders>
          </w:tcPr>
          <w:p>
            <w:pPr>
              <w:pStyle w:val="TableParagraph"/>
              <w:spacing w:line="264" w:lineRule="auto" w:before="116"/>
              <w:ind w:left="35" w:right="211"/>
              <w:jc w:val="left"/>
              <w:rPr>
                <w:rFonts w:ascii="黑体" w:hAnsi="黑体" w:cs="黑体" w:eastAsia="黑体" w:hint="default"/>
                <w:sz w:val="18"/>
                <w:szCs w:val="18"/>
              </w:rPr>
            </w:pPr>
            <w:r>
              <w:rPr>
                <w:rFonts w:ascii="黑体" w:hAnsi="黑体" w:cs="黑体" w:eastAsia="黑体" w:hint="default"/>
                <w:sz w:val="18"/>
                <w:szCs w:val="18"/>
              </w:rPr>
              <w:t>累计折旧 房屋及建筑物</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
              <w:ind w:right="0"/>
              <w:jc w:val="left"/>
              <w:rPr>
                <w:rFonts w:ascii="黑体" w:hAnsi="黑体" w:cs="黑体" w:eastAsia="黑体" w:hint="default"/>
                <w:sz w:val="12"/>
                <w:szCs w:val="12"/>
              </w:rPr>
            </w:pPr>
          </w:p>
          <w:p>
            <w:pPr>
              <w:pStyle w:val="TableParagraph"/>
              <w:spacing w:line="240" w:lineRule="auto"/>
              <w:ind w:right="178"/>
              <w:jc w:val="right"/>
              <w:rPr>
                <w:rFonts w:ascii="Arial" w:hAnsi="Arial" w:cs="Arial" w:eastAsia="Arial" w:hint="default"/>
                <w:sz w:val="18"/>
                <w:szCs w:val="18"/>
              </w:rPr>
            </w:pPr>
            <w:r>
              <w:rPr>
                <w:rFonts w:ascii="Arial"/>
                <w:sz w:val="18"/>
              </w:rPr>
              <w:t>(  31,764,873)</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
              <w:ind w:right="0"/>
              <w:jc w:val="left"/>
              <w:rPr>
                <w:rFonts w:ascii="黑体" w:hAnsi="黑体" w:cs="黑体" w:eastAsia="黑体" w:hint="default"/>
                <w:sz w:val="12"/>
                <w:szCs w:val="12"/>
              </w:rPr>
            </w:pPr>
          </w:p>
          <w:p>
            <w:pPr>
              <w:pStyle w:val="TableParagraph"/>
              <w:spacing w:line="240" w:lineRule="auto"/>
              <w:ind w:right="120"/>
              <w:jc w:val="right"/>
              <w:rPr>
                <w:rFonts w:ascii="Arial" w:hAnsi="Arial" w:cs="Arial" w:eastAsia="Arial" w:hint="default"/>
                <w:sz w:val="18"/>
                <w:szCs w:val="18"/>
              </w:rPr>
            </w:pPr>
            <w:r>
              <w:rPr>
                <w:rFonts w:ascii="Arial"/>
                <w:w w:val="99"/>
                <w:sz w:val="18"/>
              </w:rPr>
              <w:t>-</w:t>
            </w:r>
            <w:r>
              <w:rPr>
                <w:rFonts w:ascii="Arial"/>
                <w:sz w:val="18"/>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
              <w:ind w:right="0"/>
              <w:jc w:val="left"/>
              <w:rPr>
                <w:rFonts w:ascii="黑体" w:hAnsi="黑体" w:cs="黑体" w:eastAsia="黑体" w:hint="default"/>
                <w:sz w:val="12"/>
                <w:szCs w:val="12"/>
              </w:rPr>
            </w:pPr>
          </w:p>
          <w:p>
            <w:pPr>
              <w:pStyle w:val="TableParagraph"/>
              <w:spacing w:line="240" w:lineRule="auto"/>
              <w:ind w:right="152"/>
              <w:jc w:val="right"/>
              <w:rPr>
                <w:rFonts w:ascii="Arial" w:hAnsi="Arial" w:cs="Arial" w:eastAsia="Arial" w:hint="default"/>
                <w:sz w:val="18"/>
                <w:szCs w:val="18"/>
              </w:rPr>
            </w:pPr>
            <w:r>
              <w:rPr>
                <w:rFonts w:ascii="Arial"/>
                <w:w w:val="99"/>
                <w:sz w:val="18"/>
              </w:rPr>
              <w:t>-</w:t>
            </w:r>
            <w:r>
              <w:rPr>
                <w:rFonts w:ascii="Arial"/>
                <w:sz w:val="18"/>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
              <w:ind w:right="0"/>
              <w:jc w:val="left"/>
              <w:rPr>
                <w:rFonts w:ascii="黑体" w:hAnsi="黑体" w:cs="黑体" w:eastAsia="黑体" w:hint="default"/>
                <w:sz w:val="12"/>
                <w:szCs w:val="12"/>
              </w:rPr>
            </w:pPr>
          </w:p>
          <w:p>
            <w:pPr>
              <w:pStyle w:val="TableParagraph"/>
              <w:spacing w:line="240" w:lineRule="auto"/>
              <w:ind w:right="0"/>
              <w:jc w:val="right"/>
              <w:rPr>
                <w:rFonts w:ascii="Arial" w:hAnsi="Arial" w:cs="Arial" w:eastAsia="Arial" w:hint="default"/>
                <w:sz w:val="18"/>
                <w:szCs w:val="18"/>
              </w:rPr>
            </w:pPr>
            <w:r>
              <w:rPr>
                <w:rFonts w:ascii="Arial"/>
                <w:spacing w:val="-2"/>
                <w:sz w:val="18"/>
              </w:rPr>
              <w:t>(13,091,589)</w:t>
            </w:r>
          </w:p>
        </w:tc>
        <w:tc>
          <w:tcPr>
            <w:tcW w:w="2618"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2"/>
              <w:ind w:right="0"/>
              <w:jc w:val="left"/>
              <w:rPr>
                <w:rFonts w:ascii="黑体" w:hAnsi="黑体" w:cs="黑体" w:eastAsia="黑体" w:hint="default"/>
                <w:sz w:val="12"/>
                <w:szCs w:val="12"/>
              </w:rPr>
            </w:pPr>
          </w:p>
          <w:p>
            <w:pPr>
              <w:pStyle w:val="TableParagraph"/>
              <w:tabs>
                <w:tab w:pos="1456" w:val="left" w:leader="none"/>
              </w:tabs>
              <w:spacing w:line="240" w:lineRule="auto"/>
              <w:ind w:left="1116" w:right="0"/>
              <w:jc w:val="left"/>
              <w:rPr>
                <w:rFonts w:ascii="Arial" w:hAnsi="Arial" w:cs="Arial" w:eastAsia="Arial" w:hint="default"/>
                <w:sz w:val="18"/>
                <w:szCs w:val="18"/>
              </w:rPr>
            </w:pPr>
            <w:r>
              <w:rPr>
                <w:rFonts w:ascii="Arial"/>
                <w:sz w:val="18"/>
              </w:rPr>
              <w:t>-</w:t>
              <w:tab/>
              <w:t>(</w:t>
            </w:r>
            <w:r>
              <w:rPr>
                <w:rFonts w:ascii="Arial"/>
                <w:spacing w:val="48"/>
                <w:sz w:val="18"/>
              </w:rPr>
              <w:t> </w:t>
            </w:r>
            <w:r>
              <w:rPr>
                <w:rFonts w:ascii="Arial"/>
                <w:sz w:val="18"/>
              </w:rPr>
              <w:t>44,856,462)</w:t>
            </w:r>
          </w:p>
        </w:tc>
      </w:tr>
      <w:tr>
        <w:trPr>
          <w:trHeight w:val="260" w:hRule="exact"/>
        </w:trPr>
        <w:tc>
          <w:tcPr>
            <w:tcW w:w="1329"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黑体" w:hAnsi="黑体" w:cs="黑体" w:eastAsia="黑体" w:hint="default"/>
                <w:sz w:val="18"/>
                <w:szCs w:val="18"/>
              </w:rPr>
            </w:pPr>
            <w:r>
              <w:rPr>
                <w:rFonts w:ascii="黑体" w:hAnsi="黑体" w:cs="黑体" w:eastAsia="黑体" w:hint="default"/>
                <w:sz w:val="18"/>
                <w:szCs w:val="18"/>
              </w:rPr>
              <w:t>机器设备</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78"/>
              <w:jc w:val="right"/>
              <w:rPr>
                <w:rFonts w:ascii="Arial" w:hAnsi="Arial" w:cs="Arial" w:eastAsia="Arial" w:hint="default"/>
                <w:sz w:val="18"/>
                <w:szCs w:val="18"/>
              </w:rPr>
            </w:pPr>
            <w:r>
              <w:rPr>
                <w:rFonts w:ascii="Arial"/>
                <w:sz w:val="18"/>
              </w:rPr>
              <w:t>(  16,179,475)</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0"/>
              <w:jc w:val="right"/>
              <w:rPr>
                <w:rFonts w:ascii="Arial" w:hAnsi="Arial" w:cs="Arial" w:eastAsia="Arial" w:hint="default"/>
                <w:sz w:val="18"/>
                <w:szCs w:val="18"/>
              </w:rPr>
            </w:pPr>
            <w:r>
              <w:rPr>
                <w:rFonts w:ascii="Arial"/>
                <w:w w:val="99"/>
                <w:sz w:val="18"/>
              </w:rPr>
              <w:t>-</w:t>
            </w:r>
            <w:r>
              <w:rPr>
                <w:rFonts w:ascii="Arial"/>
                <w:sz w:val="18"/>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52"/>
              <w:jc w:val="right"/>
              <w:rPr>
                <w:rFonts w:ascii="Arial" w:hAnsi="Arial" w:cs="Arial" w:eastAsia="Arial" w:hint="default"/>
                <w:sz w:val="18"/>
                <w:szCs w:val="18"/>
              </w:rPr>
            </w:pPr>
            <w:r>
              <w:rPr>
                <w:rFonts w:ascii="Arial"/>
                <w:w w:val="99"/>
                <w:sz w:val="18"/>
              </w:rPr>
              <w:t>-</w:t>
            </w:r>
            <w:r>
              <w:rPr>
                <w:rFonts w:ascii="Arial"/>
                <w:sz w:val="18"/>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right"/>
              <w:rPr>
                <w:rFonts w:ascii="Arial" w:hAnsi="Arial" w:cs="Arial" w:eastAsia="Arial" w:hint="default"/>
                <w:sz w:val="18"/>
                <w:szCs w:val="18"/>
              </w:rPr>
            </w:pPr>
            <w:r>
              <w:rPr>
                <w:rFonts w:ascii="Arial"/>
                <w:sz w:val="18"/>
              </w:rPr>
              <w:t>(</w:t>
            </w:r>
            <w:r>
              <w:rPr>
                <w:rFonts w:ascii="Arial"/>
                <w:spacing w:val="45"/>
                <w:sz w:val="18"/>
              </w:rPr>
              <w:t> </w:t>
            </w:r>
            <w:r>
              <w:rPr>
                <w:rFonts w:ascii="Arial"/>
                <w:sz w:val="18"/>
              </w:rPr>
              <w:t>4,674,250)</w:t>
            </w:r>
          </w:p>
        </w:tc>
        <w:tc>
          <w:tcPr>
            <w:tcW w:w="2618" w:type="dxa"/>
            <w:gridSpan w:val="2"/>
            <w:tcBorders>
              <w:top w:val="nil" w:sz="6" w:space="0" w:color="auto"/>
              <w:left w:val="nil" w:sz="6" w:space="0" w:color="auto"/>
              <w:bottom w:val="nil" w:sz="6" w:space="0" w:color="auto"/>
              <w:right w:val="nil" w:sz="6" w:space="0" w:color="auto"/>
            </w:tcBorders>
          </w:tcPr>
          <w:p>
            <w:pPr>
              <w:pStyle w:val="TableParagraph"/>
              <w:tabs>
                <w:tab w:pos="1439" w:val="left" w:leader="none"/>
              </w:tabs>
              <w:spacing w:line="240" w:lineRule="auto" w:before="16"/>
              <w:ind w:left="1116" w:right="0"/>
              <w:jc w:val="left"/>
              <w:rPr>
                <w:rFonts w:ascii="Arial" w:hAnsi="Arial" w:cs="Arial" w:eastAsia="Arial" w:hint="default"/>
                <w:sz w:val="18"/>
                <w:szCs w:val="18"/>
              </w:rPr>
            </w:pPr>
            <w:r>
              <w:rPr>
                <w:rFonts w:ascii="Arial"/>
                <w:sz w:val="18"/>
              </w:rPr>
              <w:t>-</w:t>
              <w:tab/>
              <w:t>( </w:t>
            </w:r>
            <w:r>
              <w:rPr>
                <w:rFonts w:ascii="Arial"/>
                <w:spacing w:val="15"/>
                <w:sz w:val="18"/>
              </w:rPr>
              <w:t> </w:t>
            </w:r>
            <w:r>
              <w:rPr>
                <w:rFonts w:ascii="Arial"/>
                <w:sz w:val="18"/>
              </w:rPr>
              <w:t>20,853,725)</w:t>
            </w:r>
          </w:p>
        </w:tc>
      </w:tr>
      <w:tr>
        <w:trPr>
          <w:trHeight w:val="259" w:hRule="exact"/>
        </w:trPr>
        <w:tc>
          <w:tcPr>
            <w:tcW w:w="1329" w:type="dxa"/>
            <w:tcBorders>
              <w:top w:val="nil" w:sz="6" w:space="0" w:color="auto"/>
              <w:left w:val="nil" w:sz="6" w:space="0" w:color="auto"/>
              <w:bottom w:val="nil" w:sz="6" w:space="0" w:color="auto"/>
              <w:right w:val="nil" w:sz="6" w:space="0" w:color="auto"/>
            </w:tcBorders>
          </w:tcPr>
          <w:p>
            <w:pPr>
              <w:pStyle w:val="TableParagraph"/>
              <w:spacing w:line="221" w:lineRule="exact"/>
              <w:ind w:left="35" w:right="0"/>
              <w:jc w:val="left"/>
              <w:rPr>
                <w:rFonts w:ascii="黑体" w:hAnsi="黑体" w:cs="黑体" w:eastAsia="黑体" w:hint="default"/>
                <w:sz w:val="18"/>
                <w:szCs w:val="18"/>
              </w:rPr>
            </w:pPr>
            <w:r>
              <w:rPr>
                <w:rFonts w:ascii="黑体" w:hAnsi="黑体" w:cs="黑体" w:eastAsia="黑体" w:hint="default"/>
                <w:sz w:val="18"/>
                <w:szCs w:val="18"/>
              </w:rPr>
              <w:t>运输工具</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78"/>
              <w:jc w:val="right"/>
              <w:rPr>
                <w:rFonts w:ascii="Arial" w:hAnsi="Arial" w:cs="Arial" w:eastAsia="Arial" w:hint="default"/>
                <w:sz w:val="18"/>
                <w:szCs w:val="18"/>
              </w:rPr>
            </w:pPr>
            <w:r>
              <w:rPr>
                <w:rFonts w:ascii="Arial"/>
                <w:sz w:val="18"/>
              </w:rPr>
              <w:t>(  24,665,757)</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0"/>
              <w:jc w:val="right"/>
              <w:rPr>
                <w:rFonts w:ascii="Arial" w:hAnsi="Arial" w:cs="Arial" w:eastAsia="Arial" w:hint="default"/>
                <w:sz w:val="18"/>
                <w:szCs w:val="18"/>
              </w:rPr>
            </w:pPr>
            <w:r>
              <w:rPr>
                <w:rFonts w:ascii="Arial"/>
                <w:w w:val="99"/>
                <w:sz w:val="18"/>
              </w:rPr>
              <w:t>-</w:t>
            </w:r>
            <w:r>
              <w:rPr>
                <w:rFonts w:ascii="Arial"/>
                <w:sz w:val="18"/>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2"/>
              <w:jc w:val="right"/>
              <w:rPr>
                <w:rFonts w:ascii="Arial" w:hAnsi="Arial" w:cs="Arial" w:eastAsia="Arial" w:hint="default"/>
                <w:sz w:val="18"/>
                <w:szCs w:val="18"/>
              </w:rPr>
            </w:pPr>
            <w:r>
              <w:rPr>
                <w:rFonts w:ascii="Arial"/>
                <w:w w:val="99"/>
                <w:sz w:val="18"/>
              </w:rPr>
              <w:t>-</w:t>
            </w:r>
            <w:r>
              <w:rPr>
                <w:rFonts w:ascii="Arial"/>
                <w:sz w:val="18"/>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right"/>
              <w:rPr>
                <w:rFonts w:ascii="Arial" w:hAnsi="Arial" w:cs="Arial" w:eastAsia="Arial" w:hint="default"/>
                <w:sz w:val="18"/>
                <w:szCs w:val="18"/>
              </w:rPr>
            </w:pPr>
            <w:r>
              <w:rPr>
                <w:rFonts w:ascii="Arial"/>
                <w:sz w:val="18"/>
              </w:rPr>
              <w:t>(</w:t>
            </w:r>
            <w:r>
              <w:rPr>
                <w:rFonts w:ascii="Arial"/>
                <w:spacing w:val="45"/>
                <w:sz w:val="18"/>
              </w:rPr>
              <w:t> </w:t>
            </w:r>
            <w:r>
              <w:rPr>
                <w:rFonts w:ascii="Arial"/>
                <w:sz w:val="18"/>
              </w:rPr>
              <w:t>7,255,283)</w:t>
            </w:r>
          </w:p>
        </w:tc>
        <w:tc>
          <w:tcPr>
            <w:tcW w:w="2618" w:type="dxa"/>
            <w:gridSpan w:val="2"/>
            <w:tcBorders>
              <w:top w:val="nil" w:sz="6" w:space="0" w:color="auto"/>
              <w:left w:val="nil" w:sz="6" w:space="0" w:color="auto"/>
              <w:bottom w:val="nil" w:sz="6" w:space="0" w:color="auto"/>
              <w:right w:val="nil" w:sz="6" w:space="0" w:color="auto"/>
            </w:tcBorders>
          </w:tcPr>
          <w:p>
            <w:pPr>
              <w:pStyle w:val="TableParagraph"/>
              <w:tabs>
                <w:tab w:pos="1456" w:val="left" w:leader="none"/>
              </w:tabs>
              <w:spacing w:line="240" w:lineRule="auto" w:before="15"/>
              <w:ind w:left="376" w:right="0"/>
              <w:jc w:val="left"/>
              <w:rPr>
                <w:rFonts w:ascii="Arial" w:hAnsi="Arial" w:cs="Arial" w:eastAsia="Arial" w:hint="default"/>
                <w:sz w:val="18"/>
                <w:szCs w:val="18"/>
              </w:rPr>
            </w:pPr>
            <w:r>
              <w:rPr>
                <w:rFonts w:ascii="Arial"/>
                <w:spacing w:val="-1"/>
                <w:sz w:val="18"/>
              </w:rPr>
              <w:t>3,717,165</w:t>
              <w:tab/>
            </w:r>
            <w:r>
              <w:rPr>
                <w:rFonts w:ascii="Arial"/>
                <w:sz w:val="18"/>
              </w:rPr>
              <w:t>( </w:t>
            </w:r>
            <w:r>
              <w:rPr>
                <w:rFonts w:ascii="Arial"/>
                <w:spacing w:val="9"/>
                <w:sz w:val="18"/>
              </w:rPr>
              <w:t> </w:t>
            </w:r>
            <w:r>
              <w:rPr>
                <w:rFonts w:ascii="Arial"/>
                <w:spacing w:val="-1"/>
                <w:sz w:val="18"/>
              </w:rPr>
              <w:t>28,203,875)</w:t>
            </w:r>
          </w:p>
        </w:tc>
      </w:tr>
      <w:tr>
        <w:trPr>
          <w:trHeight w:val="402" w:hRule="exact"/>
        </w:trPr>
        <w:tc>
          <w:tcPr>
            <w:tcW w:w="1329" w:type="dxa"/>
            <w:tcBorders>
              <w:top w:val="nil" w:sz="6" w:space="0" w:color="auto"/>
              <w:left w:val="nil" w:sz="6" w:space="0" w:color="auto"/>
              <w:bottom w:val="nil" w:sz="6" w:space="0" w:color="auto"/>
              <w:right w:val="nil" w:sz="6" w:space="0" w:color="auto"/>
            </w:tcBorders>
          </w:tcPr>
          <w:p>
            <w:pPr>
              <w:pStyle w:val="TableParagraph"/>
              <w:spacing w:line="221" w:lineRule="exact"/>
              <w:ind w:left="35" w:right="0"/>
              <w:jc w:val="left"/>
              <w:rPr>
                <w:rFonts w:ascii="黑体" w:hAnsi="黑体" w:cs="黑体" w:eastAsia="黑体" w:hint="default"/>
                <w:sz w:val="18"/>
                <w:szCs w:val="18"/>
              </w:rPr>
            </w:pPr>
            <w:r>
              <w:rPr>
                <w:rFonts w:ascii="黑体" w:hAnsi="黑体" w:cs="黑体" w:eastAsia="黑体" w:hint="default"/>
                <w:sz w:val="18"/>
                <w:szCs w:val="18"/>
              </w:rPr>
              <w:t>办公及电子设备</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78"/>
              <w:jc w:val="right"/>
              <w:rPr>
                <w:rFonts w:ascii="Arial" w:hAnsi="Arial" w:cs="Arial" w:eastAsia="Arial" w:hint="default"/>
                <w:sz w:val="18"/>
                <w:szCs w:val="18"/>
              </w:rPr>
            </w:pPr>
            <w:r>
              <w:rPr>
                <w:rFonts w:ascii="Arial"/>
                <w:spacing w:val="-1"/>
                <w:sz w:val="18"/>
              </w:rPr>
              <w:t>(</w:t>
            </w:r>
            <w:r>
              <w:rPr>
                <w:rFonts w:ascii="Arial"/>
                <w:spacing w:val="-1"/>
                <w:sz w:val="18"/>
                <w:u w:val="single" w:color="000000"/>
              </w:rPr>
              <w:t>118,402,937</w:t>
            </w:r>
            <w:r>
              <w:rPr>
                <w:rFonts w:ascii="Arial"/>
                <w:spacing w:val="-1"/>
                <w:sz w:val="18"/>
              </w:rPr>
              <w:t>)</w:t>
            </w:r>
          </w:p>
        </w:tc>
        <w:tc>
          <w:tcPr>
            <w:tcW w:w="991" w:type="dxa"/>
            <w:tcBorders>
              <w:top w:val="nil" w:sz="6" w:space="0" w:color="auto"/>
              <w:left w:val="nil" w:sz="6" w:space="0" w:color="auto"/>
              <w:bottom w:val="nil" w:sz="6" w:space="0" w:color="auto"/>
              <w:right w:val="nil" w:sz="6" w:space="0" w:color="auto"/>
            </w:tcBorders>
          </w:tcPr>
          <w:p>
            <w:pPr>
              <w:pStyle w:val="TableParagraph"/>
              <w:tabs>
                <w:tab w:pos="722" w:val="left" w:leader="none"/>
              </w:tabs>
              <w:spacing w:line="240" w:lineRule="auto" w:before="15"/>
              <w:ind w:right="11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350" w:type="dxa"/>
            <w:tcBorders>
              <w:top w:val="nil" w:sz="6" w:space="0" w:color="auto"/>
              <w:left w:val="nil" w:sz="6" w:space="0" w:color="auto"/>
              <w:bottom w:val="nil" w:sz="6" w:space="0" w:color="auto"/>
              <w:right w:val="nil" w:sz="6" w:space="0" w:color="auto"/>
            </w:tcBorders>
          </w:tcPr>
          <w:p>
            <w:pPr>
              <w:pStyle w:val="TableParagraph"/>
              <w:tabs>
                <w:tab w:pos="902" w:val="left" w:leader="none"/>
              </w:tabs>
              <w:spacing w:line="240" w:lineRule="auto" w:before="15"/>
              <w:ind w:right="15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right"/>
              <w:rPr>
                <w:rFonts w:ascii="Arial" w:hAnsi="Arial" w:cs="Arial" w:eastAsia="Arial" w:hint="default"/>
                <w:sz w:val="18"/>
                <w:szCs w:val="18"/>
              </w:rPr>
            </w:pPr>
            <w:r>
              <w:rPr>
                <w:rFonts w:ascii="Arial"/>
                <w:spacing w:val="-2"/>
                <w:sz w:val="18"/>
              </w:rPr>
              <w:t>(</w:t>
            </w:r>
            <w:r>
              <w:rPr>
                <w:rFonts w:ascii="Arial"/>
                <w:spacing w:val="-2"/>
                <w:sz w:val="18"/>
                <w:u w:val="single" w:color="000000"/>
              </w:rPr>
              <w:t>44,085,265</w:t>
            </w:r>
            <w:r>
              <w:rPr>
                <w:rFonts w:ascii="Arial"/>
                <w:spacing w:val="-2"/>
                <w:sz w:val="18"/>
              </w:rPr>
              <w:t>)</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w w:val="99"/>
                <w:sz w:val="18"/>
              </w:rPr>
            </w:r>
            <w:r>
              <w:rPr>
                <w:rFonts w:ascii="Arial"/>
                <w:spacing w:val="-1"/>
                <w:sz w:val="18"/>
                <w:u w:val="single" w:color="000000"/>
              </w:rPr>
              <w:t>11,331,282</w:t>
            </w:r>
            <w:r>
              <w:rPr>
                <w:rFonts w:ascii="Arial"/>
                <w:spacing w:val="-1"/>
                <w:sz w:val="18"/>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Arial" w:hAnsi="Arial" w:cs="Arial" w:eastAsia="Arial" w:hint="default"/>
                <w:sz w:val="18"/>
                <w:szCs w:val="18"/>
              </w:rPr>
            </w:pPr>
            <w:r>
              <w:rPr>
                <w:rFonts w:ascii="Arial"/>
                <w:spacing w:val="-1"/>
                <w:sz w:val="18"/>
              </w:rPr>
              <w:t>(</w:t>
            </w:r>
            <w:r>
              <w:rPr>
                <w:rFonts w:ascii="Arial"/>
                <w:spacing w:val="-1"/>
                <w:sz w:val="18"/>
                <w:u w:val="single" w:color="000000"/>
              </w:rPr>
              <w:t>151,156,920</w:t>
            </w:r>
            <w:r>
              <w:rPr>
                <w:rFonts w:ascii="Arial"/>
                <w:spacing w:val="-1"/>
                <w:sz w:val="18"/>
              </w:rPr>
              <w:t>)</w:t>
            </w:r>
          </w:p>
        </w:tc>
      </w:tr>
      <w:tr>
        <w:trPr>
          <w:trHeight w:val="528" w:hRule="exact"/>
        </w:trPr>
        <w:tc>
          <w:tcPr>
            <w:tcW w:w="1329"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78"/>
              <w:jc w:val="right"/>
              <w:rPr>
                <w:rFonts w:ascii="Arial" w:hAnsi="Arial" w:cs="Arial" w:eastAsia="Arial" w:hint="default"/>
                <w:sz w:val="18"/>
                <w:szCs w:val="18"/>
              </w:rPr>
            </w:pPr>
            <w:r>
              <w:rPr>
                <w:rFonts w:ascii="Arial"/>
                <w:spacing w:val="-1"/>
                <w:sz w:val="18"/>
              </w:rPr>
              <w:t>(</w:t>
            </w:r>
            <w:r>
              <w:rPr>
                <w:rFonts w:ascii="Arial"/>
                <w:spacing w:val="-1"/>
                <w:sz w:val="18"/>
                <w:u w:val="thick" w:color="000000"/>
              </w:rPr>
              <w:t>191,013,042</w:t>
            </w:r>
            <w:r>
              <w:rPr>
                <w:rFonts w:ascii="Arial"/>
                <w:spacing w:val="-1"/>
                <w:sz w:val="18"/>
              </w:rPr>
              <w:t>)</w:t>
            </w:r>
          </w:p>
        </w:tc>
        <w:tc>
          <w:tcPr>
            <w:tcW w:w="991" w:type="dxa"/>
            <w:tcBorders>
              <w:top w:val="nil" w:sz="6" w:space="0" w:color="auto"/>
              <w:left w:val="nil" w:sz="6" w:space="0" w:color="auto"/>
              <w:bottom w:val="nil" w:sz="6" w:space="0" w:color="auto"/>
              <w:right w:val="nil" w:sz="6" w:space="0" w:color="auto"/>
            </w:tcBorders>
          </w:tcPr>
          <w:p>
            <w:pPr>
              <w:pStyle w:val="TableParagraph"/>
              <w:tabs>
                <w:tab w:pos="722" w:val="left" w:leader="none"/>
              </w:tabs>
              <w:spacing w:line="240" w:lineRule="auto" w:before="158"/>
              <w:ind w:right="117"/>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ab/>
              <w:t>-</w:t>
            </w:r>
            <w:r>
              <w:rPr>
                <w:rFonts w:ascii="Arial"/>
                <w:sz w:val="18"/>
              </w:rPr>
            </w:r>
          </w:p>
        </w:tc>
        <w:tc>
          <w:tcPr>
            <w:tcW w:w="1350" w:type="dxa"/>
            <w:tcBorders>
              <w:top w:val="nil" w:sz="6" w:space="0" w:color="auto"/>
              <w:left w:val="nil" w:sz="6" w:space="0" w:color="auto"/>
              <w:bottom w:val="nil" w:sz="6" w:space="0" w:color="auto"/>
              <w:right w:val="nil" w:sz="6" w:space="0" w:color="auto"/>
            </w:tcBorders>
          </w:tcPr>
          <w:p>
            <w:pPr>
              <w:pStyle w:val="TableParagraph"/>
              <w:tabs>
                <w:tab w:pos="902" w:val="left" w:leader="none"/>
              </w:tabs>
              <w:spacing w:line="240" w:lineRule="auto" w:before="158"/>
              <w:ind w:right="150"/>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ab/>
              <w:t>-</w:t>
            </w:r>
            <w:r>
              <w:rPr>
                <w:rFonts w:ascii="Arial"/>
                <w:sz w:val="18"/>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0"/>
              <w:jc w:val="right"/>
              <w:rPr>
                <w:rFonts w:ascii="Arial" w:hAnsi="Arial" w:cs="Arial" w:eastAsia="Arial" w:hint="default"/>
                <w:sz w:val="18"/>
                <w:szCs w:val="18"/>
              </w:rPr>
            </w:pPr>
            <w:r>
              <w:rPr>
                <w:rFonts w:ascii="Arial"/>
                <w:spacing w:val="-2"/>
                <w:sz w:val="18"/>
              </w:rPr>
              <w:t>(</w:t>
            </w:r>
            <w:r>
              <w:rPr>
                <w:rFonts w:ascii="Arial"/>
                <w:spacing w:val="-2"/>
                <w:sz w:val="18"/>
                <w:u w:val="thick" w:color="000000"/>
              </w:rPr>
              <w:t>69,106,387</w:t>
            </w:r>
            <w:r>
              <w:rPr>
                <w:rFonts w:ascii="Arial"/>
                <w:spacing w:val="-2"/>
                <w:sz w:val="18"/>
              </w:rPr>
              <w:t>)</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83"/>
              <w:jc w:val="right"/>
              <w:rPr>
                <w:rFonts w:ascii="Arial" w:hAnsi="Arial" w:cs="Arial" w:eastAsia="Arial" w:hint="default"/>
                <w:sz w:val="18"/>
                <w:szCs w:val="18"/>
              </w:rPr>
            </w:pPr>
            <w:r>
              <w:rPr>
                <w:rFonts w:ascii="Arial"/>
                <w:w w:val="99"/>
                <w:sz w:val="18"/>
              </w:rPr>
            </w:r>
            <w:r>
              <w:rPr>
                <w:rFonts w:ascii="Arial"/>
                <w:spacing w:val="-1"/>
                <w:sz w:val="18"/>
                <w:u w:val="thick" w:color="000000"/>
              </w:rPr>
              <w:t>15,048,447</w:t>
            </w:r>
            <w:r>
              <w:rPr>
                <w:rFonts w:ascii="Arial"/>
                <w:spacing w:val="-1"/>
                <w:sz w:val="18"/>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33"/>
              <w:jc w:val="right"/>
              <w:rPr>
                <w:rFonts w:ascii="Arial" w:hAnsi="Arial" w:cs="Arial" w:eastAsia="Arial" w:hint="default"/>
                <w:sz w:val="18"/>
                <w:szCs w:val="18"/>
              </w:rPr>
            </w:pPr>
            <w:r>
              <w:rPr>
                <w:rFonts w:ascii="Arial"/>
                <w:spacing w:val="-1"/>
                <w:sz w:val="18"/>
              </w:rPr>
              <w:t>(</w:t>
            </w:r>
            <w:r>
              <w:rPr>
                <w:rFonts w:ascii="Arial"/>
                <w:spacing w:val="-1"/>
                <w:sz w:val="18"/>
                <w:u w:val="thick" w:color="000000"/>
              </w:rPr>
              <w:t>245,070,982</w:t>
            </w:r>
            <w:r>
              <w:rPr>
                <w:rFonts w:ascii="Arial"/>
                <w:spacing w:val="-1"/>
                <w:sz w:val="18"/>
              </w:rPr>
              <w:t>)</w:t>
            </w:r>
          </w:p>
        </w:tc>
      </w:tr>
      <w:tr>
        <w:trPr>
          <w:trHeight w:val="644" w:hRule="exact"/>
        </w:trPr>
        <w:tc>
          <w:tcPr>
            <w:tcW w:w="1329" w:type="dxa"/>
            <w:tcBorders>
              <w:top w:val="nil" w:sz="6" w:space="0" w:color="auto"/>
              <w:left w:val="nil" w:sz="6" w:space="0" w:color="auto"/>
              <w:bottom w:val="nil" w:sz="6" w:space="0" w:color="auto"/>
              <w:right w:val="nil" w:sz="6" w:space="0" w:color="auto"/>
            </w:tcBorders>
          </w:tcPr>
          <w:p>
            <w:pPr>
              <w:pStyle w:val="TableParagraph"/>
              <w:spacing w:line="264" w:lineRule="auto" w:before="111"/>
              <w:ind w:left="35" w:right="211"/>
              <w:jc w:val="left"/>
              <w:rPr>
                <w:rFonts w:ascii="黑体" w:hAnsi="黑体" w:cs="黑体" w:eastAsia="黑体" w:hint="default"/>
                <w:sz w:val="18"/>
                <w:szCs w:val="18"/>
              </w:rPr>
            </w:pPr>
            <w:r>
              <w:rPr>
                <w:rFonts w:ascii="黑体" w:hAnsi="黑体" w:cs="黑体" w:eastAsia="黑体" w:hint="default"/>
                <w:sz w:val="18"/>
                <w:szCs w:val="18"/>
              </w:rPr>
              <w:t>账面净值 房屋及建筑物</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233"/>
              <w:jc w:val="right"/>
              <w:rPr>
                <w:rFonts w:ascii="Arial" w:hAnsi="Arial" w:cs="Arial" w:eastAsia="Arial" w:hint="default"/>
                <w:sz w:val="18"/>
                <w:szCs w:val="18"/>
              </w:rPr>
            </w:pPr>
            <w:r>
              <w:rPr>
                <w:rFonts w:ascii="Arial"/>
                <w:spacing w:val="-1"/>
                <w:sz w:val="18"/>
              </w:rPr>
              <w:t>363,045,009</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120"/>
              <w:jc w:val="right"/>
              <w:rPr>
                <w:rFonts w:ascii="Arial" w:hAnsi="Arial" w:cs="Arial" w:eastAsia="Arial" w:hint="default"/>
                <w:sz w:val="18"/>
                <w:szCs w:val="18"/>
              </w:rPr>
            </w:pPr>
            <w:r>
              <w:rPr>
                <w:rFonts w:ascii="Arial"/>
                <w:w w:val="99"/>
                <w:sz w:val="18"/>
              </w:rPr>
              <w:t>-</w:t>
            </w:r>
            <w:r>
              <w:rPr>
                <w:rFonts w:ascii="Arial"/>
                <w:sz w:val="18"/>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150"/>
              <w:jc w:val="right"/>
              <w:rPr>
                <w:rFonts w:ascii="Arial" w:hAnsi="Arial" w:cs="Arial" w:eastAsia="Arial" w:hint="default"/>
                <w:sz w:val="18"/>
                <w:szCs w:val="18"/>
              </w:rPr>
            </w:pPr>
            <w:r>
              <w:rPr>
                <w:rFonts w:ascii="Arial"/>
                <w:spacing w:val="-1"/>
                <w:sz w:val="18"/>
              </w:rPr>
              <w:t>254,006,837</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5"/>
              <w:jc w:val="right"/>
              <w:rPr>
                <w:rFonts w:ascii="Arial" w:hAnsi="Arial" w:cs="Arial" w:eastAsia="Arial" w:hint="default"/>
                <w:sz w:val="18"/>
                <w:szCs w:val="18"/>
              </w:rPr>
            </w:pPr>
            <w:r>
              <w:rPr>
                <w:rFonts w:ascii="Arial"/>
                <w:spacing w:val="-1"/>
                <w:sz w:val="18"/>
              </w:rPr>
              <w:t>(13,091,589)</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85"/>
              <w:jc w:val="right"/>
              <w:rPr>
                <w:rFonts w:ascii="Arial" w:hAnsi="Arial" w:cs="Arial" w:eastAsia="Arial" w:hint="default"/>
                <w:sz w:val="18"/>
                <w:szCs w:val="18"/>
              </w:rPr>
            </w:pPr>
            <w:r>
              <w:rPr>
                <w:rFonts w:ascii="Arial"/>
                <w:w w:val="99"/>
                <w:sz w:val="18"/>
              </w:rPr>
              <w:t>-</w:t>
            </w:r>
            <w:r>
              <w:rPr>
                <w:rFonts w:ascii="Arial"/>
                <w:sz w:val="18"/>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8"/>
              <w:ind w:right="0"/>
              <w:jc w:val="left"/>
              <w:rPr>
                <w:rFonts w:ascii="黑体" w:hAnsi="黑体" w:cs="黑体" w:eastAsia="黑体" w:hint="default"/>
                <w:sz w:val="12"/>
                <w:szCs w:val="12"/>
              </w:rPr>
            </w:pPr>
          </w:p>
          <w:p>
            <w:pPr>
              <w:pStyle w:val="TableParagraph"/>
              <w:spacing w:line="240" w:lineRule="auto"/>
              <w:ind w:right="33"/>
              <w:jc w:val="right"/>
              <w:rPr>
                <w:rFonts w:ascii="Arial" w:hAnsi="Arial" w:cs="Arial" w:eastAsia="Arial" w:hint="default"/>
                <w:sz w:val="18"/>
                <w:szCs w:val="18"/>
              </w:rPr>
            </w:pPr>
            <w:r>
              <w:rPr>
                <w:rFonts w:ascii="Arial"/>
                <w:spacing w:val="-1"/>
                <w:sz w:val="18"/>
              </w:rPr>
              <w:t>603,960,257</w:t>
            </w:r>
          </w:p>
        </w:tc>
      </w:tr>
      <w:tr>
        <w:trPr>
          <w:trHeight w:val="260" w:hRule="exact"/>
        </w:trPr>
        <w:tc>
          <w:tcPr>
            <w:tcW w:w="1329" w:type="dxa"/>
            <w:tcBorders>
              <w:top w:val="nil" w:sz="6" w:space="0" w:color="auto"/>
              <w:left w:val="nil" w:sz="6" w:space="0" w:color="auto"/>
              <w:bottom w:val="nil" w:sz="6" w:space="0" w:color="auto"/>
              <w:right w:val="nil" w:sz="6" w:space="0" w:color="auto"/>
            </w:tcBorders>
          </w:tcPr>
          <w:p>
            <w:pPr>
              <w:pStyle w:val="TableParagraph"/>
              <w:spacing w:line="221" w:lineRule="exact"/>
              <w:ind w:left="35" w:right="0"/>
              <w:jc w:val="left"/>
              <w:rPr>
                <w:rFonts w:ascii="黑体" w:hAnsi="黑体" w:cs="黑体" w:eastAsia="黑体" w:hint="default"/>
                <w:sz w:val="18"/>
                <w:szCs w:val="18"/>
              </w:rPr>
            </w:pPr>
            <w:r>
              <w:rPr>
                <w:rFonts w:ascii="黑体" w:hAnsi="黑体" w:cs="黑体" w:eastAsia="黑体" w:hint="default"/>
                <w:sz w:val="18"/>
                <w:szCs w:val="18"/>
              </w:rPr>
              <w:t>机器设备</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33"/>
              <w:jc w:val="right"/>
              <w:rPr>
                <w:rFonts w:ascii="Arial" w:hAnsi="Arial" w:cs="Arial" w:eastAsia="Arial" w:hint="default"/>
                <w:sz w:val="18"/>
                <w:szCs w:val="18"/>
              </w:rPr>
            </w:pPr>
            <w:r>
              <w:rPr>
                <w:rFonts w:ascii="Arial"/>
                <w:spacing w:val="-1"/>
                <w:sz w:val="18"/>
              </w:rPr>
              <w:t>53,593,977</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0"/>
              <w:jc w:val="right"/>
              <w:rPr>
                <w:rFonts w:ascii="Arial" w:hAnsi="Arial" w:cs="Arial" w:eastAsia="Arial" w:hint="default"/>
                <w:sz w:val="18"/>
                <w:szCs w:val="18"/>
              </w:rPr>
            </w:pPr>
            <w:r>
              <w:rPr>
                <w:rFonts w:ascii="Arial"/>
                <w:w w:val="99"/>
                <w:sz w:val="18"/>
              </w:rPr>
              <w:t>-</w:t>
            </w:r>
            <w:r>
              <w:rPr>
                <w:rFonts w:ascii="Arial"/>
                <w:sz w:val="18"/>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1"/>
              <w:jc w:val="right"/>
              <w:rPr>
                <w:rFonts w:ascii="Arial" w:hAnsi="Arial" w:cs="Arial" w:eastAsia="Arial" w:hint="default"/>
                <w:sz w:val="18"/>
                <w:szCs w:val="18"/>
              </w:rPr>
            </w:pPr>
            <w:r>
              <w:rPr>
                <w:rFonts w:ascii="Arial"/>
                <w:spacing w:val="-1"/>
                <w:sz w:val="18"/>
              </w:rPr>
              <w:t>17,762,627</w:t>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
              <w:jc w:val="right"/>
              <w:rPr>
                <w:rFonts w:ascii="Arial" w:hAnsi="Arial" w:cs="Arial" w:eastAsia="Arial" w:hint="default"/>
                <w:sz w:val="18"/>
                <w:szCs w:val="18"/>
              </w:rPr>
            </w:pPr>
            <w:r>
              <w:rPr>
                <w:rFonts w:ascii="Arial"/>
                <w:sz w:val="18"/>
              </w:rPr>
              <w:t>(</w:t>
            </w:r>
            <w:r>
              <w:rPr>
                <w:rFonts w:ascii="Arial"/>
                <w:spacing w:val="31"/>
                <w:sz w:val="18"/>
              </w:rPr>
              <w:t> </w:t>
            </w:r>
            <w:r>
              <w:rPr>
                <w:rFonts w:ascii="Arial"/>
                <w:sz w:val="18"/>
              </w:rPr>
              <w:t>4,674,250)</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5"/>
              <w:jc w:val="right"/>
              <w:rPr>
                <w:rFonts w:ascii="Arial" w:hAnsi="Arial" w:cs="Arial" w:eastAsia="Arial" w:hint="default"/>
                <w:sz w:val="18"/>
                <w:szCs w:val="18"/>
              </w:rPr>
            </w:pPr>
            <w:r>
              <w:rPr>
                <w:rFonts w:ascii="Arial"/>
                <w:w w:val="99"/>
                <w:sz w:val="18"/>
              </w:rPr>
              <w:t>-</w:t>
            </w:r>
            <w:r>
              <w:rPr>
                <w:rFonts w:ascii="Arial"/>
                <w:sz w:val="18"/>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Arial" w:hAnsi="Arial" w:cs="Arial" w:eastAsia="Arial" w:hint="default"/>
                <w:sz w:val="18"/>
                <w:szCs w:val="18"/>
              </w:rPr>
            </w:pPr>
            <w:r>
              <w:rPr>
                <w:rFonts w:ascii="Arial"/>
                <w:spacing w:val="-1"/>
                <w:sz w:val="18"/>
              </w:rPr>
              <w:t>66,682,354</w:t>
            </w:r>
          </w:p>
        </w:tc>
      </w:tr>
      <w:tr>
        <w:trPr>
          <w:trHeight w:val="260" w:hRule="exact"/>
        </w:trPr>
        <w:tc>
          <w:tcPr>
            <w:tcW w:w="1329" w:type="dxa"/>
            <w:tcBorders>
              <w:top w:val="nil" w:sz="6" w:space="0" w:color="auto"/>
              <w:left w:val="nil" w:sz="6" w:space="0" w:color="auto"/>
              <w:bottom w:val="nil" w:sz="6" w:space="0" w:color="auto"/>
              <w:right w:val="nil" w:sz="6" w:space="0" w:color="auto"/>
            </w:tcBorders>
          </w:tcPr>
          <w:p>
            <w:pPr>
              <w:pStyle w:val="TableParagraph"/>
              <w:spacing w:line="222" w:lineRule="exact"/>
              <w:ind w:left="35" w:right="0"/>
              <w:jc w:val="left"/>
              <w:rPr>
                <w:rFonts w:ascii="黑体" w:hAnsi="黑体" w:cs="黑体" w:eastAsia="黑体" w:hint="default"/>
                <w:sz w:val="18"/>
                <w:szCs w:val="18"/>
              </w:rPr>
            </w:pPr>
            <w:r>
              <w:rPr>
                <w:rFonts w:ascii="黑体" w:hAnsi="黑体" w:cs="黑体" w:eastAsia="黑体" w:hint="default"/>
                <w:sz w:val="18"/>
                <w:szCs w:val="18"/>
              </w:rPr>
              <w:t>运输工具</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3"/>
              <w:jc w:val="right"/>
              <w:rPr>
                <w:rFonts w:ascii="Arial" w:hAnsi="Arial" w:cs="Arial" w:eastAsia="Arial" w:hint="default"/>
                <w:sz w:val="18"/>
                <w:szCs w:val="18"/>
              </w:rPr>
            </w:pPr>
            <w:r>
              <w:rPr>
                <w:rFonts w:ascii="Arial"/>
                <w:spacing w:val="-1"/>
                <w:sz w:val="18"/>
              </w:rPr>
              <w:t>29,577,118</w:t>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0"/>
              <w:jc w:val="right"/>
              <w:rPr>
                <w:rFonts w:ascii="Arial" w:hAnsi="Arial" w:cs="Arial" w:eastAsia="Arial" w:hint="default"/>
                <w:sz w:val="18"/>
                <w:szCs w:val="18"/>
              </w:rPr>
            </w:pPr>
            <w:r>
              <w:rPr>
                <w:rFonts w:ascii="Arial"/>
                <w:w w:val="99"/>
                <w:sz w:val="18"/>
              </w:rPr>
              <w:t>-</w:t>
            </w:r>
            <w:r>
              <w:rPr>
                <w:rFonts w:ascii="Arial"/>
                <w:sz w:val="18"/>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52"/>
              <w:jc w:val="right"/>
              <w:rPr>
                <w:rFonts w:ascii="Arial" w:hAnsi="Arial" w:cs="Arial" w:eastAsia="Arial" w:hint="default"/>
                <w:sz w:val="18"/>
                <w:szCs w:val="18"/>
              </w:rPr>
            </w:pPr>
            <w:r>
              <w:rPr>
                <w:rFonts w:ascii="Arial"/>
                <w:w w:val="99"/>
                <w:sz w:val="18"/>
              </w:rPr>
              <w:t>-</w:t>
            </w:r>
            <w:r>
              <w:rPr>
                <w:rFonts w:ascii="Arial"/>
                <w:sz w:val="18"/>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8"/>
              <w:jc w:val="right"/>
              <w:rPr>
                <w:rFonts w:ascii="Arial" w:hAnsi="Arial" w:cs="Arial" w:eastAsia="Arial" w:hint="default"/>
                <w:sz w:val="18"/>
                <w:szCs w:val="18"/>
              </w:rPr>
            </w:pPr>
            <w:r>
              <w:rPr>
                <w:rFonts w:ascii="Arial"/>
                <w:spacing w:val="-1"/>
                <w:sz w:val="18"/>
              </w:rPr>
              <w:t>203,310</w:t>
            </w:r>
          </w:p>
        </w:tc>
        <w:tc>
          <w:tcPr>
            <w:tcW w:w="1264" w:type="dxa"/>
            <w:tcBorders>
              <w:top w:val="nil" w:sz="6" w:space="0" w:color="auto"/>
              <w:left w:val="nil" w:sz="6" w:space="0" w:color="auto"/>
              <w:bottom w:val="nil" w:sz="6" w:space="0" w:color="auto"/>
              <w:right w:val="nil" w:sz="6" w:space="0" w:color="auto"/>
            </w:tcBorders>
          </w:tcPr>
          <w:p>
            <w:pPr>
              <w:pStyle w:val="TableParagraph"/>
              <w:tabs>
                <w:tab w:pos="309" w:val="left" w:leader="none"/>
              </w:tabs>
              <w:spacing w:line="240" w:lineRule="auto" w:before="16"/>
              <w:ind w:right="28"/>
              <w:jc w:val="right"/>
              <w:rPr>
                <w:rFonts w:ascii="Arial" w:hAnsi="Arial" w:cs="Arial" w:eastAsia="Arial" w:hint="default"/>
                <w:sz w:val="18"/>
                <w:szCs w:val="18"/>
              </w:rPr>
            </w:pPr>
            <w:r>
              <w:rPr>
                <w:rFonts w:ascii="Arial"/>
                <w:sz w:val="18"/>
              </w:rPr>
              <w:t>(</w:t>
              <w:tab/>
            </w:r>
            <w:r>
              <w:rPr>
                <w:rFonts w:ascii="Arial"/>
                <w:spacing w:val="-1"/>
                <w:sz w:val="18"/>
              </w:rPr>
              <w:t>426,280)</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
              <w:jc w:val="right"/>
              <w:rPr>
                <w:rFonts w:ascii="Arial" w:hAnsi="Arial" w:cs="Arial" w:eastAsia="Arial" w:hint="default"/>
                <w:sz w:val="18"/>
                <w:szCs w:val="18"/>
              </w:rPr>
            </w:pPr>
            <w:r>
              <w:rPr>
                <w:rFonts w:ascii="Arial"/>
                <w:spacing w:val="-1"/>
                <w:sz w:val="18"/>
              </w:rPr>
              <w:t>29,354,148</w:t>
            </w:r>
          </w:p>
        </w:tc>
      </w:tr>
      <w:tr>
        <w:trPr>
          <w:trHeight w:val="390" w:hRule="exact"/>
        </w:trPr>
        <w:tc>
          <w:tcPr>
            <w:tcW w:w="1329" w:type="dxa"/>
            <w:tcBorders>
              <w:top w:val="nil" w:sz="6" w:space="0" w:color="auto"/>
              <w:left w:val="nil" w:sz="6" w:space="0" w:color="auto"/>
              <w:bottom w:val="nil" w:sz="6" w:space="0" w:color="auto"/>
              <w:right w:val="nil" w:sz="6" w:space="0" w:color="auto"/>
            </w:tcBorders>
          </w:tcPr>
          <w:p>
            <w:pPr>
              <w:pStyle w:val="TableParagraph"/>
              <w:spacing w:line="221" w:lineRule="exact"/>
              <w:ind w:left="35" w:right="0"/>
              <w:jc w:val="left"/>
              <w:rPr>
                <w:rFonts w:ascii="黑体" w:hAnsi="黑体" w:cs="黑体" w:eastAsia="黑体" w:hint="default"/>
                <w:sz w:val="18"/>
                <w:szCs w:val="18"/>
              </w:rPr>
            </w:pPr>
            <w:r>
              <w:rPr>
                <w:rFonts w:ascii="黑体" w:hAnsi="黑体" w:cs="黑体" w:eastAsia="黑体" w:hint="default"/>
                <w:sz w:val="18"/>
                <w:szCs w:val="18"/>
              </w:rPr>
              <w:t>办公及电子设备</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3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9"/>
                <w:sz w:val="18"/>
                <w:u w:val="single" w:color="000000"/>
              </w:rPr>
              <w:t> </w:t>
            </w:r>
            <w:r>
              <w:rPr>
                <w:rFonts w:ascii="Arial"/>
                <w:spacing w:val="-1"/>
                <w:sz w:val="18"/>
                <w:u w:val="single" w:color="000000"/>
              </w:rPr>
              <w:t>85,688,394</w:t>
            </w:r>
            <w:r>
              <w:rPr>
                <w:rFonts w:ascii="Arial"/>
                <w:spacing w:val="-1"/>
                <w:sz w:val="18"/>
              </w:rPr>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7"/>
              <w:jc w:val="right"/>
              <w:rPr>
                <w:rFonts w:ascii="Arial" w:hAnsi="Arial" w:cs="Arial" w:eastAsia="Arial" w:hint="default"/>
                <w:sz w:val="18"/>
                <w:szCs w:val="18"/>
              </w:rPr>
            </w:pPr>
            <w:r>
              <w:rPr>
                <w:rFonts w:ascii="Arial"/>
                <w:w w:val="100"/>
                <w:sz w:val="18"/>
              </w:rPr>
            </w:r>
            <w:r>
              <w:rPr>
                <w:rFonts w:ascii="Arial"/>
                <w:spacing w:val="-1"/>
                <w:sz w:val="18"/>
                <w:u w:val="single" w:color="000000"/>
              </w:rPr>
              <w:t>1,364,083</w:t>
            </w:r>
            <w:r>
              <w:rPr>
                <w:rFonts w:ascii="Arial"/>
                <w:spacing w:val="-1"/>
                <w:sz w:val="18"/>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9"/>
                <w:sz w:val="18"/>
                <w:u w:val="single" w:color="000000"/>
              </w:rPr>
              <w:t> </w:t>
            </w:r>
            <w:r>
              <w:rPr>
                <w:rFonts w:ascii="Arial"/>
                <w:spacing w:val="-1"/>
                <w:sz w:val="18"/>
                <w:u w:val="single" w:color="000000"/>
              </w:rPr>
              <w:t>21,499,680</w:t>
            </w:r>
            <w:r>
              <w:rPr>
                <w:rFonts w:ascii="Arial"/>
                <w:spacing w:val="-1"/>
                <w:sz w:val="18"/>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
              <w:jc w:val="right"/>
              <w:rPr>
                <w:rFonts w:ascii="Arial" w:hAnsi="Arial" w:cs="Arial" w:eastAsia="Arial" w:hint="default"/>
                <w:sz w:val="18"/>
                <w:szCs w:val="18"/>
              </w:rPr>
            </w:pPr>
            <w:r>
              <w:rPr>
                <w:rFonts w:ascii="Arial"/>
                <w:spacing w:val="-3"/>
                <w:sz w:val="18"/>
              </w:rPr>
              <w:t>(</w:t>
            </w:r>
            <w:r>
              <w:rPr>
                <w:rFonts w:ascii="Arial"/>
                <w:spacing w:val="-3"/>
                <w:sz w:val="18"/>
                <w:u w:val="single" w:color="000000"/>
              </w:rPr>
              <w:t>11,754,203</w:t>
            </w:r>
            <w:r>
              <w:rPr>
                <w:rFonts w:ascii="Arial"/>
                <w:spacing w:val="-3"/>
                <w:sz w:val="18"/>
              </w:rPr>
              <w:t>)</w:t>
            </w:r>
          </w:p>
        </w:tc>
        <w:tc>
          <w:tcPr>
            <w:tcW w:w="1264" w:type="dxa"/>
            <w:tcBorders>
              <w:top w:val="nil" w:sz="6" w:space="0" w:color="auto"/>
              <w:left w:val="nil" w:sz="6" w:space="0" w:color="auto"/>
              <w:bottom w:val="nil" w:sz="6" w:space="0" w:color="auto"/>
              <w:right w:val="nil" w:sz="6" w:space="0" w:color="auto"/>
            </w:tcBorders>
          </w:tcPr>
          <w:p>
            <w:pPr>
              <w:pStyle w:val="TableParagraph"/>
              <w:tabs>
                <w:tab w:pos="316" w:val="left" w:leader="none"/>
              </w:tabs>
              <w:spacing w:line="240" w:lineRule="auto" w:before="15"/>
              <w:ind w:right="28"/>
              <w:jc w:val="right"/>
              <w:rPr>
                <w:rFonts w:ascii="Arial" w:hAnsi="Arial" w:cs="Arial" w:eastAsia="Arial" w:hint="default"/>
                <w:sz w:val="18"/>
                <w:szCs w:val="18"/>
              </w:rPr>
            </w:pPr>
            <w:r>
              <w:rPr>
                <w:rFonts w:ascii="Arial"/>
                <w:sz w:val="18"/>
              </w:rPr>
              <w:t>(</w:t>
            </w:r>
            <w:r>
              <w:rPr>
                <w:rFonts w:ascii="Arial"/>
                <w:sz w:val="18"/>
                <w:u w:val="single" w:color="000000"/>
              </w:rPr>
              <w:t> </w:t>
              <w:tab/>
            </w:r>
            <w:r>
              <w:rPr>
                <w:rFonts w:ascii="Arial"/>
                <w:spacing w:val="-2"/>
                <w:sz w:val="18"/>
                <w:u w:val="single" w:color="000000"/>
              </w:rPr>
              <w:t>968,603</w:t>
            </w:r>
            <w:r>
              <w:rPr>
                <w:rFonts w:ascii="Arial"/>
                <w:spacing w:val="-2"/>
                <w:sz w:val="18"/>
              </w:rPr>
              <w:t>)</w:t>
            </w:r>
          </w:p>
        </w:tc>
        <w:tc>
          <w:tcPr>
            <w:tcW w:w="1354" w:type="dxa"/>
            <w:tcBorders>
              <w:top w:val="nil" w:sz="6" w:space="0" w:color="auto"/>
              <w:left w:val="nil" w:sz="6" w:space="0" w:color="auto"/>
              <w:bottom w:val="nil" w:sz="6" w:space="0" w:color="auto"/>
              <w:right w:val="nil" w:sz="6" w:space="0" w:color="auto"/>
            </w:tcBorders>
          </w:tcPr>
          <w:p>
            <w:pPr>
              <w:pStyle w:val="TableParagraph"/>
              <w:tabs>
                <w:tab w:pos="266" w:val="left" w:leader="none"/>
              </w:tabs>
              <w:spacing w:line="240" w:lineRule="auto" w:before="15"/>
              <w:ind w:right="3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95,829,351</w:t>
            </w:r>
            <w:r>
              <w:rPr>
                <w:rFonts w:ascii="Arial"/>
                <w:spacing w:val="-1"/>
                <w:sz w:val="18"/>
              </w:rPr>
            </w:r>
          </w:p>
        </w:tc>
      </w:tr>
      <w:tr>
        <w:trPr>
          <w:trHeight w:val="449" w:hRule="exact"/>
        </w:trPr>
        <w:tc>
          <w:tcPr>
            <w:tcW w:w="1329"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33"/>
              <w:jc w:val="right"/>
              <w:rPr>
                <w:rFonts w:ascii="Arial" w:hAnsi="Arial" w:cs="Arial" w:eastAsia="Arial" w:hint="default"/>
                <w:sz w:val="18"/>
                <w:szCs w:val="18"/>
              </w:rPr>
            </w:pPr>
            <w:r>
              <w:rPr>
                <w:rFonts w:ascii="Arial"/>
                <w:w w:val="99"/>
                <w:sz w:val="18"/>
              </w:rPr>
            </w:r>
            <w:r>
              <w:rPr>
                <w:rFonts w:ascii="Arial"/>
                <w:spacing w:val="-1"/>
                <w:sz w:val="18"/>
                <w:u w:val="thick" w:color="000000"/>
              </w:rPr>
              <w:t>531,904,498</w:t>
            </w:r>
            <w:r>
              <w:rPr>
                <w:rFonts w:ascii="Arial"/>
                <w:spacing w:val="-1"/>
                <w:sz w:val="18"/>
              </w:rPr>
            </w:r>
          </w:p>
        </w:tc>
        <w:tc>
          <w:tcPr>
            <w:tcW w:w="991"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17"/>
              <w:jc w:val="right"/>
              <w:rPr>
                <w:rFonts w:ascii="Arial" w:hAnsi="Arial" w:cs="Arial" w:eastAsia="Arial" w:hint="default"/>
                <w:sz w:val="18"/>
                <w:szCs w:val="18"/>
              </w:rPr>
            </w:pPr>
            <w:r>
              <w:rPr>
                <w:rFonts w:ascii="Arial"/>
                <w:w w:val="100"/>
                <w:sz w:val="18"/>
              </w:rPr>
            </w:r>
            <w:r>
              <w:rPr>
                <w:rFonts w:ascii="Arial"/>
                <w:spacing w:val="-1"/>
                <w:sz w:val="18"/>
                <w:u w:val="thick" w:color="000000"/>
              </w:rPr>
              <w:t>1,364,083</w:t>
            </w:r>
            <w:r>
              <w:rPr>
                <w:rFonts w:ascii="Arial"/>
                <w:spacing w:val="-1"/>
                <w:sz w:val="18"/>
              </w:rPr>
            </w: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50"/>
              <w:jc w:val="right"/>
              <w:rPr>
                <w:rFonts w:ascii="Arial" w:hAnsi="Arial" w:cs="Arial" w:eastAsia="Arial" w:hint="default"/>
                <w:sz w:val="18"/>
                <w:szCs w:val="18"/>
              </w:rPr>
            </w:pPr>
            <w:r>
              <w:rPr>
                <w:rFonts w:ascii="Arial"/>
                <w:w w:val="99"/>
                <w:sz w:val="18"/>
              </w:rPr>
            </w:r>
            <w:r>
              <w:rPr>
                <w:rFonts w:ascii="Arial"/>
                <w:spacing w:val="-1"/>
                <w:sz w:val="18"/>
                <w:u w:val="thick" w:color="000000"/>
              </w:rPr>
              <w:t>293,269,144</w:t>
            </w:r>
            <w:r>
              <w:rPr>
                <w:rFonts w:ascii="Arial"/>
                <w:spacing w:val="-1"/>
                <w:sz w:val="18"/>
              </w:rPr>
            </w:r>
          </w:p>
        </w:tc>
        <w:tc>
          <w:tcPr>
            <w:tcW w:w="117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
              <w:jc w:val="right"/>
              <w:rPr>
                <w:rFonts w:ascii="Arial" w:hAnsi="Arial" w:cs="Arial" w:eastAsia="Arial" w:hint="default"/>
                <w:sz w:val="18"/>
                <w:szCs w:val="18"/>
              </w:rPr>
            </w:pPr>
            <w:r>
              <w:rPr>
                <w:rFonts w:ascii="Arial"/>
                <w:spacing w:val="-3"/>
                <w:sz w:val="18"/>
              </w:rPr>
              <w:t>(</w:t>
            </w:r>
            <w:r>
              <w:rPr>
                <w:rFonts w:ascii="Arial"/>
                <w:spacing w:val="-3"/>
                <w:sz w:val="18"/>
                <w:u w:val="thick" w:color="000000"/>
              </w:rPr>
              <w:t>29,316,732</w:t>
            </w:r>
            <w:r>
              <w:rPr>
                <w:rFonts w:ascii="Arial"/>
                <w:spacing w:val="-3"/>
                <w:sz w:val="18"/>
              </w:rPr>
              <w:t>)</w:t>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8"/>
              <w:jc w:val="right"/>
              <w:rPr>
                <w:rFonts w:ascii="Arial" w:hAnsi="Arial" w:cs="Arial" w:eastAsia="Arial" w:hint="default"/>
                <w:sz w:val="18"/>
                <w:szCs w:val="18"/>
              </w:rPr>
            </w:pPr>
            <w:r>
              <w:rPr>
                <w:rFonts w:ascii="Arial"/>
                <w:sz w:val="18"/>
              </w:rPr>
              <w:t>(</w:t>
            </w:r>
            <w:r>
              <w:rPr>
                <w:rFonts w:ascii="Arial"/>
                <w:spacing w:val="40"/>
                <w:sz w:val="18"/>
              </w:rPr>
              <w:t> </w:t>
            </w:r>
            <w:r>
              <w:rPr>
                <w:rFonts w:ascii="Arial"/>
                <w:spacing w:val="40"/>
                <w:sz w:val="18"/>
                <w:u w:val="thick" w:color="000000"/>
              </w:rPr>
              <w:t> </w:t>
            </w:r>
            <w:r>
              <w:rPr>
                <w:rFonts w:ascii="Arial"/>
                <w:sz w:val="18"/>
                <w:u w:val="thick" w:color="000000"/>
              </w:rPr>
              <w:t>1,394,883</w:t>
            </w:r>
            <w:r>
              <w:rPr>
                <w:rFonts w:ascii="Arial"/>
                <w:sz w:val="18"/>
              </w:rPr>
              <w:t>)</w:t>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33"/>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 </w:t>
            </w:r>
            <w:r>
              <w:rPr>
                <w:rFonts w:ascii="Arial"/>
                <w:spacing w:val="18"/>
                <w:sz w:val="18"/>
                <w:u w:val="thick" w:color="000000"/>
              </w:rPr>
              <w:t> </w:t>
            </w:r>
            <w:r>
              <w:rPr>
                <w:rFonts w:ascii="Arial"/>
                <w:spacing w:val="-1"/>
                <w:sz w:val="18"/>
                <w:u w:val="thick" w:color="000000"/>
              </w:rPr>
              <w:t>795,826,110</w:t>
            </w:r>
            <w:r>
              <w:rPr>
                <w:rFonts w:ascii="Arial"/>
                <w:spacing w:val="-1"/>
                <w:sz w:val="18"/>
              </w:rPr>
            </w:r>
          </w:p>
        </w:tc>
      </w:tr>
    </w:tbl>
    <w:p>
      <w:pPr>
        <w:spacing w:line="240" w:lineRule="auto" w:before="11"/>
        <w:rPr>
          <w:rFonts w:ascii="黑体" w:hAnsi="黑体" w:cs="黑体" w:eastAsia="黑体" w:hint="default"/>
          <w:sz w:val="6"/>
          <w:szCs w:val="6"/>
        </w:rPr>
      </w:pPr>
    </w:p>
    <w:p>
      <w:pPr>
        <w:pStyle w:val="BodyText"/>
        <w:spacing w:line="240" w:lineRule="exact" w:before="79"/>
        <w:ind w:left="834" w:right="936"/>
        <w:jc w:val="both"/>
      </w:pPr>
      <w:r>
        <w:rPr/>
        <w:t>本集团于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日的固定资产中不存在由于市价持续下跌、或技术陈旧、损坏、长</w:t>
      </w:r>
      <w:r>
        <w:rPr>
          <w:spacing w:val="-69"/>
        </w:rPr>
        <w:t> </w:t>
      </w:r>
      <w:r>
        <w:rPr>
          <w:spacing w:val="-69"/>
        </w:rPr>
      </w:r>
      <w:r>
        <w:rPr>
          <w:spacing w:val="-2"/>
        </w:rPr>
        <w:t>期闲置等原因导致固定资产可收回金额低于账面价值的情况，故不需计提固定资产减值准备</w:t>
      </w:r>
      <w:r>
        <w:rPr>
          <w:spacing w:val="-97"/>
        </w:rPr>
        <w:t> </w:t>
      </w:r>
      <w:r>
        <w:rPr>
          <w:spacing w:val="-97"/>
        </w:rPr>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w:t>
      </w:r>
    </w:p>
    <w:p>
      <w:pPr>
        <w:spacing w:line="240" w:lineRule="auto" w:before="2"/>
        <w:rPr>
          <w:rFonts w:ascii="黑体" w:hAnsi="黑体" w:cs="黑体" w:eastAsia="黑体" w:hint="default"/>
          <w:sz w:val="15"/>
          <w:szCs w:val="15"/>
        </w:rPr>
      </w:pPr>
    </w:p>
    <w:p>
      <w:pPr>
        <w:pStyle w:val="BodyText"/>
        <w:spacing w:line="258" w:lineRule="exact"/>
        <w:ind w:left="834" w:right="0"/>
        <w:jc w:val="both"/>
      </w:pP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日，本集团没有重大暂时闲置及已退废和准备处置的固定资产</w:t>
      </w:r>
    </w:p>
    <w:p>
      <w:pPr>
        <w:pStyle w:val="BodyText"/>
        <w:spacing w:line="258" w:lineRule="exact"/>
        <w:ind w:left="833" w:right="0"/>
        <w:jc w:val="both"/>
      </w:pP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w:t>
      </w:r>
    </w:p>
    <w:p>
      <w:pPr>
        <w:spacing w:line="240" w:lineRule="auto" w:before="8"/>
        <w:rPr>
          <w:rFonts w:ascii="黑体" w:hAnsi="黑体" w:cs="黑体" w:eastAsia="黑体" w:hint="default"/>
          <w:sz w:val="15"/>
          <w:szCs w:val="15"/>
        </w:rPr>
      </w:pPr>
    </w:p>
    <w:p>
      <w:pPr>
        <w:pStyle w:val="BodyText"/>
        <w:spacing w:line="240" w:lineRule="auto"/>
        <w:ind w:left="833" w:right="0"/>
        <w:jc w:val="both"/>
      </w:pP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日，未办妥产权证书的固定资产如下：</w:t>
      </w:r>
    </w:p>
    <w:p>
      <w:pPr>
        <w:spacing w:line="240" w:lineRule="auto" w:before="10"/>
        <w:rPr>
          <w:rFonts w:ascii="黑体" w:hAnsi="黑体" w:cs="黑体" w:eastAsia="黑体" w:hint="default"/>
          <w:sz w:val="21"/>
          <w:szCs w:val="21"/>
        </w:rPr>
      </w:pPr>
    </w:p>
    <w:tbl>
      <w:tblPr>
        <w:tblW w:w="0" w:type="auto"/>
        <w:jc w:val="left"/>
        <w:tblInd w:w="629" w:type="dxa"/>
        <w:tblLayout w:type="fixed"/>
        <w:tblCellMar>
          <w:top w:w="0" w:type="dxa"/>
          <w:left w:w="0" w:type="dxa"/>
          <w:bottom w:w="0" w:type="dxa"/>
          <w:right w:w="0" w:type="dxa"/>
        </w:tblCellMar>
        <w:tblLook w:val="01E0"/>
      </w:tblPr>
      <w:tblGrid>
        <w:gridCol w:w="2095"/>
        <w:gridCol w:w="1979"/>
        <w:gridCol w:w="1871"/>
        <w:gridCol w:w="2349"/>
      </w:tblGrid>
      <w:tr>
        <w:trPr>
          <w:trHeight w:val="330" w:hRule="exact"/>
        </w:trPr>
        <w:tc>
          <w:tcPr>
            <w:tcW w:w="2095"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黑体" w:hAnsi="黑体" w:cs="黑体" w:eastAsia="黑体" w:hint="default"/>
                <w:sz w:val="18"/>
                <w:szCs w:val="18"/>
              </w:rPr>
            </w:pPr>
            <w:r>
              <w:rPr>
                <w:rFonts w:ascii="黑体" w:hAnsi="黑体" w:cs="黑体" w:eastAsia="黑体" w:hint="default"/>
                <w:sz w:val="18"/>
                <w:szCs w:val="18"/>
              </w:rPr>
              <w:t>固定资产名称</w:t>
            </w:r>
          </w:p>
        </w:tc>
        <w:tc>
          <w:tcPr>
            <w:tcW w:w="1979" w:type="dxa"/>
            <w:tcBorders>
              <w:top w:val="nil" w:sz="6" w:space="0" w:color="auto"/>
              <w:left w:val="nil" w:sz="6" w:space="0" w:color="auto"/>
              <w:bottom w:val="nil" w:sz="6" w:space="0" w:color="auto"/>
              <w:right w:val="nil" w:sz="6" w:space="0" w:color="auto"/>
            </w:tcBorders>
          </w:tcPr>
          <w:p>
            <w:pPr>
              <w:pStyle w:val="TableParagraph"/>
              <w:spacing w:line="180" w:lineRule="exact"/>
              <w:ind w:left="10" w:right="0"/>
              <w:jc w:val="center"/>
              <w:rPr>
                <w:rFonts w:ascii="黑体" w:hAnsi="黑体" w:cs="黑体" w:eastAsia="黑体" w:hint="default"/>
                <w:sz w:val="18"/>
                <w:szCs w:val="18"/>
              </w:rPr>
            </w:pPr>
            <w:r>
              <w:rPr>
                <w:rFonts w:ascii="黑体" w:hAnsi="黑体" w:cs="黑体" w:eastAsia="黑体" w:hint="default"/>
                <w:sz w:val="18"/>
                <w:szCs w:val="18"/>
              </w:rPr>
              <w:t>账面净值</w:t>
            </w:r>
          </w:p>
        </w:tc>
        <w:tc>
          <w:tcPr>
            <w:tcW w:w="1871" w:type="dxa"/>
            <w:tcBorders>
              <w:top w:val="nil" w:sz="6" w:space="0" w:color="auto"/>
              <w:left w:val="nil" w:sz="6" w:space="0" w:color="auto"/>
              <w:bottom w:val="nil" w:sz="6" w:space="0" w:color="auto"/>
              <w:right w:val="nil" w:sz="6" w:space="0" w:color="auto"/>
            </w:tcBorders>
          </w:tcPr>
          <w:p>
            <w:pPr>
              <w:pStyle w:val="TableParagraph"/>
              <w:spacing w:line="180" w:lineRule="exact"/>
              <w:ind w:right="167"/>
              <w:jc w:val="right"/>
              <w:rPr>
                <w:rFonts w:ascii="黑体" w:hAnsi="黑体" w:cs="黑体" w:eastAsia="黑体" w:hint="default"/>
                <w:sz w:val="18"/>
                <w:szCs w:val="18"/>
              </w:rPr>
            </w:pPr>
            <w:r>
              <w:rPr>
                <w:rFonts w:ascii="黑体" w:hAnsi="黑体" w:cs="黑体" w:eastAsia="黑体" w:hint="default"/>
                <w:sz w:val="18"/>
                <w:szCs w:val="18"/>
              </w:rPr>
              <w:t>所属分支机构</w:t>
            </w:r>
          </w:p>
        </w:tc>
        <w:tc>
          <w:tcPr>
            <w:tcW w:w="2349" w:type="dxa"/>
            <w:tcBorders>
              <w:top w:val="nil" w:sz="6" w:space="0" w:color="auto"/>
              <w:left w:val="nil" w:sz="6" w:space="0" w:color="auto"/>
              <w:bottom w:val="nil" w:sz="6" w:space="0" w:color="auto"/>
              <w:right w:val="nil" w:sz="6" w:space="0" w:color="auto"/>
            </w:tcBorders>
          </w:tcPr>
          <w:p>
            <w:pPr>
              <w:pStyle w:val="TableParagraph"/>
              <w:spacing w:line="180" w:lineRule="exact"/>
              <w:ind w:right="198"/>
              <w:jc w:val="right"/>
              <w:rPr>
                <w:rFonts w:ascii="黑体" w:hAnsi="黑体" w:cs="黑体" w:eastAsia="黑体" w:hint="default"/>
                <w:sz w:val="18"/>
                <w:szCs w:val="18"/>
              </w:rPr>
            </w:pPr>
            <w:r>
              <w:rPr>
                <w:rFonts w:ascii="黑体" w:hAnsi="黑体" w:cs="黑体" w:eastAsia="黑体" w:hint="default"/>
                <w:sz w:val="18"/>
                <w:szCs w:val="18"/>
              </w:rPr>
              <w:t>未办妥产权证书原因</w:t>
            </w:r>
          </w:p>
        </w:tc>
      </w:tr>
      <w:tr>
        <w:trPr>
          <w:trHeight w:val="339" w:hRule="exact"/>
        </w:trPr>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0" w:right="0"/>
              <w:jc w:val="left"/>
              <w:rPr>
                <w:rFonts w:ascii="黑体" w:hAnsi="黑体" w:cs="黑体" w:eastAsia="黑体" w:hint="default"/>
                <w:sz w:val="18"/>
                <w:szCs w:val="18"/>
              </w:rPr>
            </w:pPr>
            <w:r>
              <w:rPr>
                <w:rFonts w:ascii="黑体" w:hAnsi="黑体" w:cs="黑体" w:eastAsia="黑体" w:hint="default"/>
                <w:sz w:val="18"/>
                <w:szCs w:val="18"/>
              </w:rPr>
              <w:t>珠海东南服务车</w:t>
            </w: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82" w:right="0"/>
              <w:jc w:val="center"/>
              <w:rPr>
                <w:rFonts w:ascii="Arial" w:hAnsi="Arial" w:cs="Arial" w:eastAsia="Arial" w:hint="default"/>
                <w:sz w:val="18"/>
                <w:szCs w:val="18"/>
              </w:rPr>
            </w:pPr>
            <w:r>
              <w:rPr>
                <w:rFonts w:ascii="Arial"/>
                <w:sz w:val="18"/>
              </w:rPr>
              <w:t>175,942</w:t>
            </w:r>
          </w:p>
        </w:tc>
        <w:tc>
          <w:tcPr>
            <w:tcW w:w="187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67"/>
              <w:jc w:val="right"/>
              <w:rPr>
                <w:rFonts w:ascii="黑体" w:hAnsi="黑体" w:cs="黑体" w:eastAsia="黑体" w:hint="default"/>
                <w:sz w:val="18"/>
                <w:szCs w:val="18"/>
              </w:rPr>
            </w:pPr>
            <w:r>
              <w:rPr>
                <w:rFonts w:ascii="黑体" w:hAnsi="黑体" w:cs="黑体" w:eastAsia="黑体" w:hint="default"/>
                <w:sz w:val="18"/>
                <w:szCs w:val="18"/>
              </w:rPr>
              <w:t>珠海分公司</w:t>
            </w:r>
          </w:p>
        </w:tc>
        <w:tc>
          <w:tcPr>
            <w:tcW w:w="2349"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98"/>
              <w:jc w:val="right"/>
              <w:rPr>
                <w:rFonts w:ascii="黑体" w:hAnsi="黑体" w:cs="黑体" w:eastAsia="黑体" w:hint="default"/>
                <w:sz w:val="18"/>
                <w:szCs w:val="18"/>
              </w:rPr>
            </w:pPr>
            <w:r>
              <w:rPr>
                <w:rFonts w:ascii="黑体" w:hAnsi="黑体" w:cs="黑体" w:eastAsia="黑体" w:hint="default"/>
                <w:sz w:val="18"/>
                <w:szCs w:val="18"/>
              </w:rPr>
              <w:t>过户手续尚在办理过程中</w:t>
            </w:r>
          </w:p>
        </w:tc>
      </w:tr>
    </w:tbl>
    <w:p>
      <w:pPr>
        <w:spacing w:line="240" w:lineRule="auto" w:before="2"/>
        <w:rPr>
          <w:rFonts w:ascii="黑体" w:hAnsi="黑体" w:cs="黑体" w:eastAsia="黑体" w:hint="default"/>
          <w:sz w:val="13"/>
          <w:szCs w:val="13"/>
        </w:rPr>
      </w:pPr>
    </w:p>
    <w:p>
      <w:pPr>
        <w:pStyle w:val="BodyText"/>
        <w:spacing w:line="240" w:lineRule="exact" w:before="79"/>
        <w:ind w:left="834" w:right="0"/>
        <w:jc w:val="left"/>
        <w:rPr>
          <w:rFonts w:ascii="Arial" w:hAnsi="Arial" w:cs="Arial" w:eastAsia="Arial" w:hint="default"/>
        </w:rPr>
      </w:pP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日，经营性租出房屋建筑物的账面净值为人民币</w:t>
      </w:r>
      <w:r>
        <w:rPr>
          <w:rFonts w:ascii="Arial" w:hAnsi="Arial" w:cs="Arial" w:eastAsia="Arial" w:hint="default"/>
        </w:rPr>
        <w:t>88,527,562</w:t>
      </w:r>
      <w:r>
        <w:rPr/>
        <w:t>元。</w:t>
      </w:r>
      <w:r>
        <w:rPr>
          <w:rFonts w:ascii="Arial" w:hAnsi="Arial" w:cs="Arial" w:eastAsia="Arial" w:hint="default"/>
        </w:rPr>
        <w:t>(2011</w:t>
      </w:r>
      <w:r>
        <w:rPr/>
        <w:t>年：</w:t>
      </w:r>
      <w:r>
        <w:rPr>
          <w:spacing w:val="-85"/>
        </w:rPr>
        <w:t> </w:t>
      </w:r>
      <w:r>
        <w:rPr/>
        <w:t>人民币</w:t>
      </w:r>
      <w:r>
        <w:rPr>
          <w:rFonts w:ascii="Arial" w:hAnsi="Arial" w:cs="Arial" w:eastAsia="Arial" w:hint="default"/>
        </w:rPr>
        <w:t>54,054,273</w:t>
      </w:r>
      <w:r>
        <w:rPr/>
        <w:t>元</w:t>
      </w:r>
      <w:r>
        <w:rPr>
          <w:rFonts w:ascii="Arial" w:hAnsi="Arial" w:cs="Arial" w:eastAsia="Arial" w:hint="default"/>
        </w:rPr>
        <w:t>)</w:t>
      </w:r>
    </w:p>
    <w:p>
      <w:pPr>
        <w:spacing w:after="0" w:line="240" w:lineRule="exact"/>
        <w:jc w:val="left"/>
        <w:rPr>
          <w:rFonts w:ascii="Arial" w:hAnsi="Arial" w:cs="Arial" w:eastAsia="Arial" w:hint="default"/>
        </w:rPr>
        <w:sectPr>
          <w:pgSz w:w="11910" w:h="16850"/>
          <w:pgMar w:header="957" w:footer="830" w:top="2520" w:bottom="1020" w:left="1580" w:right="620"/>
        </w:sectPr>
      </w:pPr>
    </w:p>
    <w:p>
      <w:pPr>
        <w:spacing w:line="240" w:lineRule="auto" w:before="11"/>
        <w:rPr>
          <w:rFonts w:ascii="Arial" w:hAnsi="Arial" w:cs="Arial" w:eastAsia="Arial" w:hint="default"/>
          <w:sz w:val="22"/>
          <w:szCs w:val="22"/>
        </w:rPr>
      </w:pPr>
    </w:p>
    <w:p>
      <w:pPr>
        <w:pStyle w:val="Heading6"/>
        <w:tabs>
          <w:tab w:pos="804" w:val="left" w:leader="none"/>
        </w:tabs>
        <w:spacing w:line="240" w:lineRule="auto"/>
        <w:ind w:right="3779"/>
        <w:jc w:val="left"/>
        <w:rPr>
          <w:b w:val="0"/>
          <w:bCs w:val="0"/>
        </w:rPr>
      </w:pPr>
      <w:r>
        <w:rPr>
          <w:w w:val="95"/>
        </w:rPr>
        <w:t>五、</w:t>
        <w:tab/>
      </w:r>
      <w:r>
        <w:rPr/>
        <w:t>合并财务报表主要项目注释（续）</w:t>
      </w:r>
      <w:r>
        <w:rPr>
          <w:b w:val="0"/>
          <w:bCs w:val="0"/>
        </w:rPr>
      </w:r>
    </w:p>
    <w:p>
      <w:pPr>
        <w:spacing w:line="240" w:lineRule="auto" w:before="9"/>
        <w:rPr>
          <w:rFonts w:ascii="黑体" w:hAnsi="黑体" w:cs="黑体" w:eastAsia="黑体" w:hint="default"/>
          <w:b/>
          <w:bCs/>
          <w:sz w:val="16"/>
          <w:szCs w:val="16"/>
        </w:rPr>
      </w:pPr>
    </w:p>
    <w:p>
      <w:pPr>
        <w:pStyle w:val="Heading6"/>
        <w:tabs>
          <w:tab w:pos="826" w:val="left" w:leader="none"/>
        </w:tabs>
        <w:spacing w:line="240" w:lineRule="auto" w:before="0"/>
        <w:ind w:right="3779"/>
        <w:jc w:val="left"/>
        <w:rPr>
          <w:b w:val="0"/>
          <w:bCs w:val="0"/>
        </w:rPr>
      </w:pPr>
      <w:r>
        <w:rPr>
          <w:rFonts w:ascii="Arial" w:hAnsi="Arial" w:cs="Arial" w:eastAsia="Arial" w:hint="default"/>
          <w:spacing w:val="-1"/>
          <w:w w:val="95"/>
        </w:rPr>
        <w:t>11</w:t>
      </w:r>
      <w:r>
        <w:rPr>
          <w:spacing w:val="-1"/>
          <w:w w:val="95"/>
        </w:rPr>
        <w:t>．</w:t>
        <w:tab/>
      </w:r>
      <w:r>
        <w:rPr>
          <w:spacing w:val="2"/>
        </w:rPr>
        <w:t>在建工程</w:t>
      </w:r>
      <w:r>
        <w:rPr>
          <w:b w:val="0"/>
          <w:bCs w:val="0"/>
        </w:rPr>
      </w:r>
    </w:p>
    <w:p>
      <w:pPr>
        <w:spacing w:line="240" w:lineRule="auto" w:before="7"/>
        <w:rPr>
          <w:rFonts w:ascii="黑体" w:hAnsi="黑体" w:cs="黑体" w:eastAsia="黑体" w:hint="default"/>
          <w:b/>
          <w:bCs/>
          <w:sz w:val="26"/>
          <w:szCs w:val="26"/>
        </w:rPr>
      </w:pPr>
    </w:p>
    <w:tbl>
      <w:tblPr>
        <w:tblW w:w="0" w:type="auto"/>
        <w:jc w:val="left"/>
        <w:tblInd w:w="609" w:type="dxa"/>
        <w:tblLayout w:type="fixed"/>
        <w:tblCellMar>
          <w:top w:w="0" w:type="dxa"/>
          <w:left w:w="0" w:type="dxa"/>
          <w:bottom w:w="0" w:type="dxa"/>
          <w:right w:w="0" w:type="dxa"/>
        </w:tblCellMar>
        <w:tblLook w:val="01E0"/>
      </w:tblPr>
      <w:tblGrid>
        <w:gridCol w:w="1477"/>
        <w:gridCol w:w="1154"/>
        <w:gridCol w:w="947"/>
        <w:gridCol w:w="1086"/>
        <w:gridCol w:w="233"/>
        <w:gridCol w:w="1063"/>
        <w:gridCol w:w="984"/>
        <w:gridCol w:w="1077"/>
      </w:tblGrid>
      <w:tr>
        <w:trPr>
          <w:trHeight w:val="191" w:hRule="exact"/>
        </w:trPr>
        <w:tc>
          <w:tcPr>
            <w:tcW w:w="1477"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single" w:sz="4" w:space="0" w:color="000000"/>
              <w:right w:val="nil" w:sz="6" w:space="0" w:color="auto"/>
            </w:tcBorders>
          </w:tcPr>
          <w:p>
            <w:pPr/>
          </w:p>
        </w:tc>
        <w:tc>
          <w:tcPr>
            <w:tcW w:w="947" w:type="dxa"/>
            <w:tcBorders>
              <w:top w:val="nil" w:sz="6" w:space="0" w:color="auto"/>
              <w:left w:val="nil" w:sz="6" w:space="0" w:color="auto"/>
              <w:bottom w:val="single" w:sz="4" w:space="0" w:color="000000"/>
              <w:right w:val="nil" w:sz="6" w:space="0" w:color="auto"/>
            </w:tcBorders>
          </w:tcPr>
          <w:p>
            <w:pPr>
              <w:pStyle w:val="TableParagraph"/>
              <w:spacing w:line="172" w:lineRule="exact"/>
              <w:ind w:left="187" w:right="0"/>
              <w:jc w:val="left"/>
              <w:rPr>
                <w:rFonts w:ascii="黑体" w:hAnsi="黑体" w:cs="黑体" w:eastAsia="黑体" w:hint="default"/>
                <w:sz w:val="16"/>
                <w:szCs w:val="16"/>
              </w:rPr>
            </w:pPr>
            <w:r>
              <w:rPr>
                <w:rFonts w:ascii="Arial" w:hAnsi="Arial" w:cs="Arial" w:eastAsia="Arial" w:hint="default"/>
                <w:sz w:val="16"/>
                <w:szCs w:val="16"/>
              </w:rPr>
              <w:t>2012</w:t>
            </w:r>
            <w:r>
              <w:rPr>
                <w:rFonts w:ascii="黑体" w:hAnsi="黑体" w:cs="黑体" w:eastAsia="黑体" w:hint="default"/>
                <w:sz w:val="16"/>
                <w:szCs w:val="16"/>
              </w:rPr>
              <w:t>年</w:t>
            </w:r>
          </w:p>
        </w:tc>
        <w:tc>
          <w:tcPr>
            <w:tcW w:w="1086" w:type="dxa"/>
            <w:tcBorders>
              <w:top w:val="nil" w:sz="6" w:space="0" w:color="auto"/>
              <w:left w:val="nil" w:sz="6" w:space="0" w:color="auto"/>
              <w:bottom w:val="single" w:sz="4" w:space="0" w:color="000000"/>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single" w:sz="4" w:space="0" w:color="000000"/>
              <w:right w:val="nil" w:sz="6" w:space="0" w:color="auto"/>
            </w:tcBorders>
          </w:tcPr>
          <w:p>
            <w:pPr/>
          </w:p>
        </w:tc>
        <w:tc>
          <w:tcPr>
            <w:tcW w:w="984" w:type="dxa"/>
            <w:tcBorders>
              <w:top w:val="nil" w:sz="6" w:space="0" w:color="auto"/>
              <w:left w:val="nil" w:sz="6" w:space="0" w:color="auto"/>
              <w:bottom w:val="single" w:sz="4" w:space="0" w:color="000000"/>
              <w:right w:val="nil" w:sz="6" w:space="0" w:color="auto"/>
            </w:tcBorders>
          </w:tcPr>
          <w:p>
            <w:pPr>
              <w:pStyle w:val="TableParagraph"/>
              <w:spacing w:line="172" w:lineRule="exact"/>
              <w:ind w:right="219"/>
              <w:jc w:val="right"/>
              <w:rPr>
                <w:rFonts w:ascii="黑体" w:hAnsi="黑体" w:cs="黑体" w:eastAsia="黑体" w:hint="default"/>
                <w:sz w:val="16"/>
                <w:szCs w:val="16"/>
              </w:rPr>
            </w:pPr>
            <w:r>
              <w:rPr>
                <w:rFonts w:ascii="Arial" w:hAnsi="Arial" w:cs="Arial" w:eastAsia="Arial" w:hint="default"/>
                <w:spacing w:val="-1"/>
                <w:sz w:val="16"/>
                <w:szCs w:val="16"/>
              </w:rPr>
              <w:t>2011</w:t>
            </w:r>
            <w:r>
              <w:rPr>
                <w:rFonts w:ascii="黑体" w:hAnsi="黑体" w:cs="黑体" w:eastAsia="黑体" w:hint="default"/>
                <w:spacing w:val="-1"/>
                <w:sz w:val="16"/>
                <w:szCs w:val="16"/>
              </w:rPr>
              <w:t>年</w:t>
            </w:r>
          </w:p>
        </w:tc>
        <w:tc>
          <w:tcPr>
            <w:tcW w:w="1077" w:type="dxa"/>
            <w:tcBorders>
              <w:top w:val="nil" w:sz="6" w:space="0" w:color="auto"/>
              <w:left w:val="nil" w:sz="6" w:space="0" w:color="auto"/>
              <w:bottom w:val="single" w:sz="4" w:space="0" w:color="000000"/>
              <w:right w:val="nil" w:sz="6" w:space="0" w:color="auto"/>
            </w:tcBorders>
          </w:tcPr>
          <w:p>
            <w:pPr/>
          </w:p>
        </w:tc>
      </w:tr>
      <w:tr>
        <w:trPr>
          <w:trHeight w:val="422" w:hRule="exact"/>
        </w:trPr>
        <w:tc>
          <w:tcPr>
            <w:tcW w:w="1477" w:type="dxa"/>
            <w:tcBorders>
              <w:top w:val="nil" w:sz="6" w:space="0" w:color="auto"/>
              <w:left w:val="nil" w:sz="6" w:space="0" w:color="auto"/>
              <w:bottom w:val="nil" w:sz="6" w:space="0" w:color="auto"/>
              <w:right w:val="nil" w:sz="6" w:space="0" w:color="auto"/>
            </w:tcBorders>
          </w:tcPr>
          <w:p>
            <w:pPr/>
          </w:p>
        </w:tc>
        <w:tc>
          <w:tcPr>
            <w:tcW w:w="1154"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122"/>
              <w:jc w:val="right"/>
              <w:rPr>
                <w:rFonts w:ascii="黑体" w:hAnsi="黑体" w:cs="黑体" w:eastAsia="黑体" w:hint="default"/>
                <w:sz w:val="16"/>
                <w:szCs w:val="16"/>
              </w:rPr>
            </w:pPr>
            <w:r>
              <w:rPr>
                <w:rFonts w:ascii="黑体" w:hAnsi="黑体" w:cs="黑体" w:eastAsia="黑体" w:hint="default"/>
                <w:sz w:val="16"/>
                <w:szCs w:val="16"/>
              </w:rPr>
              <w:t>账面余额</w:t>
            </w:r>
          </w:p>
        </w:tc>
        <w:tc>
          <w:tcPr>
            <w:tcW w:w="947"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left="124" w:right="0"/>
              <w:jc w:val="left"/>
              <w:rPr>
                <w:rFonts w:ascii="黑体" w:hAnsi="黑体" w:cs="黑体" w:eastAsia="黑体" w:hint="default"/>
                <w:sz w:val="16"/>
                <w:szCs w:val="16"/>
              </w:rPr>
            </w:pPr>
            <w:r>
              <w:rPr>
                <w:rFonts w:ascii="黑体" w:hAnsi="黑体" w:cs="黑体" w:eastAsia="黑体" w:hint="default"/>
                <w:sz w:val="16"/>
                <w:szCs w:val="16"/>
              </w:rPr>
              <w:t>减值准备</w:t>
            </w:r>
          </w:p>
        </w:tc>
        <w:tc>
          <w:tcPr>
            <w:tcW w:w="1086"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0"/>
              <w:jc w:val="right"/>
              <w:rPr>
                <w:rFonts w:ascii="黑体" w:hAnsi="黑体" w:cs="黑体" w:eastAsia="黑体" w:hint="default"/>
                <w:sz w:val="16"/>
                <w:szCs w:val="16"/>
              </w:rPr>
            </w:pPr>
            <w:r>
              <w:rPr>
                <w:rFonts w:ascii="黑体" w:hAnsi="黑体" w:cs="黑体" w:eastAsia="黑体" w:hint="default"/>
                <w:sz w:val="16"/>
                <w:szCs w:val="16"/>
              </w:rPr>
              <w:t>账面价值</w:t>
            </w:r>
          </w:p>
        </w:tc>
        <w:tc>
          <w:tcPr>
            <w:tcW w:w="233" w:type="dxa"/>
            <w:tcBorders>
              <w:top w:val="nil" w:sz="6" w:space="0" w:color="auto"/>
              <w:left w:val="nil" w:sz="6" w:space="0" w:color="auto"/>
              <w:bottom w:val="nil" w:sz="6" w:space="0" w:color="auto"/>
              <w:right w:val="nil" w:sz="6" w:space="0" w:color="auto"/>
            </w:tcBorders>
          </w:tcPr>
          <w:p>
            <w:pPr/>
          </w:p>
        </w:tc>
        <w:tc>
          <w:tcPr>
            <w:tcW w:w="1063"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155"/>
              <w:jc w:val="right"/>
              <w:rPr>
                <w:rFonts w:ascii="黑体" w:hAnsi="黑体" w:cs="黑体" w:eastAsia="黑体" w:hint="default"/>
                <w:sz w:val="16"/>
                <w:szCs w:val="16"/>
              </w:rPr>
            </w:pPr>
            <w:r>
              <w:rPr>
                <w:rFonts w:ascii="黑体" w:hAnsi="黑体" w:cs="黑体" w:eastAsia="黑体" w:hint="default"/>
                <w:sz w:val="16"/>
                <w:szCs w:val="16"/>
              </w:rPr>
              <w:t>账面余额</w:t>
            </w:r>
          </w:p>
        </w:tc>
        <w:tc>
          <w:tcPr>
            <w:tcW w:w="984"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183"/>
              <w:jc w:val="right"/>
              <w:rPr>
                <w:rFonts w:ascii="黑体" w:hAnsi="黑体" w:cs="黑体" w:eastAsia="黑体" w:hint="default"/>
                <w:sz w:val="16"/>
                <w:szCs w:val="16"/>
              </w:rPr>
            </w:pPr>
            <w:r>
              <w:rPr>
                <w:rFonts w:ascii="黑体" w:hAnsi="黑体" w:cs="黑体" w:eastAsia="黑体" w:hint="default"/>
                <w:sz w:val="16"/>
                <w:szCs w:val="16"/>
              </w:rPr>
              <w:t>减值准备</w:t>
            </w:r>
          </w:p>
        </w:tc>
        <w:tc>
          <w:tcPr>
            <w:tcW w:w="1077"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0"/>
              <w:jc w:val="right"/>
              <w:rPr>
                <w:rFonts w:ascii="黑体" w:hAnsi="黑体" w:cs="黑体" w:eastAsia="黑体" w:hint="default"/>
                <w:sz w:val="16"/>
                <w:szCs w:val="16"/>
              </w:rPr>
            </w:pPr>
            <w:r>
              <w:rPr>
                <w:rFonts w:ascii="黑体" w:hAnsi="黑体" w:cs="黑体" w:eastAsia="黑体" w:hint="default"/>
                <w:sz w:val="16"/>
                <w:szCs w:val="16"/>
              </w:rPr>
              <w:t>账面价值</w:t>
            </w:r>
          </w:p>
        </w:tc>
      </w:tr>
      <w:tr>
        <w:trPr>
          <w:trHeight w:val="823" w:hRule="exact"/>
        </w:trPr>
        <w:tc>
          <w:tcPr>
            <w:tcW w:w="1477" w:type="dxa"/>
            <w:tcBorders>
              <w:top w:val="nil" w:sz="6" w:space="0" w:color="auto"/>
              <w:left w:val="nil" w:sz="6" w:space="0" w:color="auto"/>
              <w:bottom w:val="nil" w:sz="6" w:space="0" w:color="auto"/>
              <w:right w:val="nil" w:sz="6" w:space="0" w:color="auto"/>
            </w:tcBorders>
          </w:tcPr>
          <w:p>
            <w:pPr>
              <w:pStyle w:val="TableParagraph"/>
              <w:spacing w:line="276" w:lineRule="auto" w:before="125"/>
              <w:ind w:left="308" w:right="17" w:hanging="109"/>
              <w:jc w:val="both"/>
              <w:rPr>
                <w:rFonts w:ascii="黑体" w:hAnsi="黑体" w:cs="黑体" w:eastAsia="黑体" w:hint="default"/>
                <w:sz w:val="16"/>
                <w:szCs w:val="16"/>
              </w:rPr>
            </w:pPr>
            <w:r>
              <w:rPr>
                <w:rFonts w:ascii="黑体" w:hAnsi="黑体" w:cs="黑体" w:eastAsia="黑体" w:hint="default"/>
                <w:spacing w:val="15"/>
                <w:sz w:val="16"/>
                <w:szCs w:val="16"/>
              </w:rPr>
              <w:t>用友软件园项目</w:t>
            </w:r>
            <w:r>
              <w:rPr>
                <w:rFonts w:ascii="黑体" w:hAnsi="黑体" w:cs="黑体" w:eastAsia="黑体" w:hint="default"/>
                <w:spacing w:val="-69"/>
                <w:sz w:val="16"/>
                <w:szCs w:val="16"/>
              </w:rPr>
              <w:t> </w:t>
            </w:r>
            <w:r>
              <w:rPr>
                <w:rFonts w:ascii="黑体" w:hAnsi="黑体" w:cs="黑体" w:eastAsia="黑体" w:hint="default"/>
                <w:sz w:val="16"/>
                <w:szCs w:val="16"/>
              </w:rPr>
              <w:t>二期工程及用友</w:t>
            </w:r>
            <w:r>
              <w:rPr>
                <w:rFonts w:ascii="黑体" w:hAnsi="黑体" w:cs="黑体" w:eastAsia="黑体" w:hint="default"/>
                <w:w w:val="100"/>
                <w:sz w:val="16"/>
                <w:szCs w:val="16"/>
              </w:rPr>
              <w:t> </w:t>
            </w:r>
            <w:r>
              <w:rPr>
                <w:rFonts w:ascii="Arial" w:hAnsi="Arial" w:cs="Arial" w:eastAsia="Arial" w:hint="default"/>
                <w:sz w:val="16"/>
                <w:szCs w:val="16"/>
              </w:rPr>
              <w:t>(</w:t>
            </w:r>
            <w:r>
              <w:rPr>
                <w:rFonts w:ascii="黑体" w:hAnsi="黑体" w:cs="黑体" w:eastAsia="黑体" w:hint="default"/>
                <w:sz w:val="16"/>
                <w:szCs w:val="16"/>
              </w:rPr>
              <w:t>南昌</w:t>
            </w:r>
            <w:r>
              <w:rPr>
                <w:rFonts w:ascii="Arial" w:hAnsi="Arial" w:cs="Arial" w:eastAsia="Arial" w:hint="default"/>
                <w:sz w:val="16"/>
                <w:szCs w:val="16"/>
              </w:rPr>
              <w:t>)</w:t>
            </w:r>
            <w:r>
              <w:rPr>
                <w:rFonts w:ascii="黑体" w:hAnsi="黑体" w:cs="黑体" w:eastAsia="黑体" w:hint="default"/>
                <w:sz w:val="16"/>
                <w:szCs w:val="16"/>
              </w:rPr>
              <w:t>工程一期</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16"/>
                <w:szCs w:val="16"/>
              </w:rPr>
            </w:pPr>
          </w:p>
          <w:p>
            <w:pPr>
              <w:pStyle w:val="TableParagraph"/>
              <w:spacing w:line="240" w:lineRule="auto"/>
              <w:ind w:right="0"/>
              <w:jc w:val="left"/>
              <w:rPr>
                <w:rFonts w:ascii="黑体" w:hAnsi="黑体" w:cs="黑体" w:eastAsia="黑体" w:hint="default"/>
                <w:b/>
                <w:bCs/>
                <w:sz w:val="16"/>
                <w:szCs w:val="16"/>
              </w:rPr>
            </w:pPr>
          </w:p>
          <w:p>
            <w:pPr>
              <w:pStyle w:val="TableParagraph"/>
              <w:spacing w:line="240" w:lineRule="auto" w:before="1"/>
              <w:ind w:right="0"/>
              <w:jc w:val="left"/>
              <w:rPr>
                <w:rFonts w:ascii="黑体" w:hAnsi="黑体" w:cs="黑体" w:eastAsia="黑体" w:hint="default"/>
                <w:b/>
                <w:bCs/>
                <w:sz w:val="17"/>
                <w:szCs w:val="17"/>
              </w:rPr>
            </w:pPr>
          </w:p>
          <w:p>
            <w:pPr>
              <w:pStyle w:val="TableParagraph"/>
              <w:spacing w:line="240" w:lineRule="auto"/>
              <w:ind w:right="137"/>
              <w:jc w:val="right"/>
              <w:rPr>
                <w:rFonts w:ascii="Arial" w:hAnsi="Arial" w:cs="Arial" w:eastAsia="Arial" w:hint="default"/>
                <w:sz w:val="16"/>
                <w:szCs w:val="16"/>
              </w:rPr>
            </w:pPr>
            <w:r>
              <w:rPr>
                <w:rFonts w:ascii="Arial"/>
                <w:w w:val="100"/>
                <w:sz w:val="16"/>
              </w:rPr>
            </w:r>
            <w:r>
              <w:rPr>
                <w:rFonts w:ascii="Arial"/>
                <w:spacing w:val="-1"/>
                <w:sz w:val="16"/>
                <w:u w:val="thick" w:color="000000"/>
              </w:rPr>
              <w:t>526,077,920</w:t>
            </w:r>
            <w:r>
              <w:rPr>
                <w:rFonts w:ascii="Arial"/>
                <w:spacing w:val="-1"/>
                <w:sz w:val="16"/>
              </w:rPr>
            </w:r>
            <w:r>
              <w:rPr>
                <w:rFonts w:ascii="Arial"/>
                <w:sz w:val="16"/>
              </w:rPr>
            </w:r>
          </w:p>
        </w:tc>
        <w:tc>
          <w:tcPr>
            <w:tcW w:w="9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16"/>
                <w:szCs w:val="16"/>
              </w:rPr>
            </w:pPr>
          </w:p>
          <w:p>
            <w:pPr>
              <w:pStyle w:val="TableParagraph"/>
              <w:spacing w:line="240" w:lineRule="auto"/>
              <w:ind w:right="0"/>
              <w:jc w:val="left"/>
              <w:rPr>
                <w:rFonts w:ascii="黑体" w:hAnsi="黑体" w:cs="黑体" w:eastAsia="黑体" w:hint="default"/>
                <w:b/>
                <w:bCs/>
                <w:sz w:val="16"/>
                <w:szCs w:val="16"/>
              </w:rPr>
            </w:pPr>
          </w:p>
          <w:p>
            <w:pPr>
              <w:pStyle w:val="TableParagraph"/>
              <w:spacing w:line="240" w:lineRule="auto" w:before="1"/>
              <w:ind w:right="0"/>
              <w:jc w:val="left"/>
              <w:rPr>
                <w:rFonts w:ascii="黑体" w:hAnsi="黑体" w:cs="黑体" w:eastAsia="黑体" w:hint="default"/>
                <w:b/>
                <w:bCs/>
                <w:sz w:val="17"/>
                <w:szCs w:val="17"/>
              </w:rPr>
            </w:pPr>
          </w:p>
          <w:p>
            <w:pPr>
              <w:pStyle w:val="TableParagraph"/>
              <w:tabs>
                <w:tab w:pos="710" w:val="left" w:leader="none"/>
              </w:tabs>
              <w:spacing w:line="240" w:lineRule="auto"/>
              <w:ind w:left="148" w:right="0"/>
              <w:jc w:val="left"/>
              <w:rPr>
                <w:rFonts w:ascii="Arial" w:hAnsi="Arial" w:cs="Arial" w:eastAsia="Arial" w:hint="default"/>
                <w:sz w:val="16"/>
                <w:szCs w:val="16"/>
              </w:rPr>
            </w:pPr>
            <w:r>
              <w:rPr>
                <w:rFonts w:ascii="Arial"/>
                <w:w w:val="100"/>
                <w:sz w:val="16"/>
              </w:rPr>
            </w:r>
            <w:r>
              <w:rPr>
                <w:rFonts w:ascii="Arial"/>
                <w:w w:val="100"/>
                <w:sz w:val="16"/>
                <w:u w:val="thick" w:color="000000"/>
              </w:rPr>
              <w:t> </w:t>
            </w:r>
            <w:r>
              <w:rPr>
                <w:rFonts w:ascii="Arial"/>
                <w:sz w:val="16"/>
                <w:u w:val="thick" w:color="000000"/>
              </w:rPr>
              <w:tab/>
              <w:t>-</w:t>
            </w:r>
            <w:r>
              <w:rPr>
                <w:rFonts w:ascii="Arial"/>
                <w:sz w:val="16"/>
              </w:rPr>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16"/>
                <w:szCs w:val="16"/>
              </w:rPr>
            </w:pPr>
          </w:p>
          <w:p>
            <w:pPr>
              <w:pStyle w:val="TableParagraph"/>
              <w:spacing w:line="240" w:lineRule="auto"/>
              <w:ind w:right="0"/>
              <w:jc w:val="left"/>
              <w:rPr>
                <w:rFonts w:ascii="黑体" w:hAnsi="黑体" w:cs="黑体" w:eastAsia="黑体" w:hint="default"/>
                <w:b/>
                <w:bCs/>
                <w:sz w:val="16"/>
                <w:szCs w:val="16"/>
              </w:rPr>
            </w:pPr>
          </w:p>
          <w:p>
            <w:pPr>
              <w:pStyle w:val="TableParagraph"/>
              <w:spacing w:line="240" w:lineRule="auto" w:before="1"/>
              <w:ind w:right="0"/>
              <w:jc w:val="left"/>
              <w:rPr>
                <w:rFonts w:ascii="黑体" w:hAnsi="黑体" w:cs="黑体" w:eastAsia="黑体" w:hint="default"/>
                <w:b/>
                <w:bCs/>
                <w:sz w:val="17"/>
                <w:szCs w:val="17"/>
              </w:rPr>
            </w:pPr>
          </w:p>
          <w:p>
            <w:pPr>
              <w:pStyle w:val="TableParagraph"/>
              <w:spacing w:line="240" w:lineRule="auto"/>
              <w:ind w:right="12"/>
              <w:jc w:val="right"/>
              <w:rPr>
                <w:rFonts w:ascii="Arial" w:hAnsi="Arial" w:cs="Arial" w:eastAsia="Arial" w:hint="default"/>
                <w:sz w:val="16"/>
                <w:szCs w:val="16"/>
              </w:rPr>
            </w:pPr>
            <w:r>
              <w:rPr>
                <w:rFonts w:ascii="Arial"/>
                <w:w w:val="100"/>
                <w:sz w:val="16"/>
              </w:rPr>
            </w:r>
            <w:r>
              <w:rPr>
                <w:rFonts w:ascii="Arial"/>
                <w:spacing w:val="-1"/>
                <w:sz w:val="16"/>
                <w:u w:val="thick" w:color="000000"/>
              </w:rPr>
              <w:t>526,077,920</w:t>
            </w:r>
            <w:r>
              <w:rPr>
                <w:rFonts w:ascii="Arial"/>
                <w:spacing w:val="-1"/>
                <w:sz w:val="16"/>
              </w:rPr>
            </w:r>
            <w:r>
              <w:rPr>
                <w:rFonts w:ascii="Arial"/>
                <w:sz w:val="16"/>
              </w:rPr>
            </w:r>
          </w:p>
        </w:tc>
        <w:tc>
          <w:tcPr>
            <w:tcW w:w="233"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16"/>
                <w:szCs w:val="16"/>
              </w:rPr>
            </w:pPr>
          </w:p>
          <w:p>
            <w:pPr>
              <w:pStyle w:val="TableParagraph"/>
              <w:spacing w:line="240" w:lineRule="auto"/>
              <w:ind w:right="0"/>
              <w:jc w:val="left"/>
              <w:rPr>
                <w:rFonts w:ascii="黑体" w:hAnsi="黑体" w:cs="黑体" w:eastAsia="黑体" w:hint="default"/>
                <w:b/>
                <w:bCs/>
                <w:sz w:val="16"/>
                <w:szCs w:val="16"/>
              </w:rPr>
            </w:pPr>
          </w:p>
          <w:p>
            <w:pPr>
              <w:pStyle w:val="TableParagraph"/>
              <w:spacing w:line="240" w:lineRule="auto" w:before="1"/>
              <w:ind w:right="0"/>
              <w:jc w:val="left"/>
              <w:rPr>
                <w:rFonts w:ascii="黑体" w:hAnsi="黑体" w:cs="黑体" w:eastAsia="黑体" w:hint="default"/>
                <w:b/>
                <w:bCs/>
                <w:sz w:val="17"/>
                <w:szCs w:val="17"/>
              </w:rPr>
            </w:pPr>
          </w:p>
          <w:p>
            <w:pPr>
              <w:pStyle w:val="TableParagraph"/>
              <w:spacing w:line="240" w:lineRule="auto"/>
              <w:ind w:right="154"/>
              <w:jc w:val="right"/>
              <w:rPr>
                <w:rFonts w:ascii="Arial" w:hAnsi="Arial" w:cs="Arial" w:eastAsia="Arial" w:hint="default"/>
                <w:sz w:val="16"/>
                <w:szCs w:val="16"/>
              </w:rPr>
            </w:pPr>
            <w:r>
              <w:rPr>
                <w:rFonts w:ascii="Arial"/>
                <w:w w:val="100"/>
                <w:sz w:val="16"/>
              </w:rPr>
            </w:r>
            <w:r>
              <w:rPr>
                <w:rFonts w:ascii="Arial"/>
                <w:spacing w:val="-1"/>
                <w:sz w:val="16"/>
                <w:u w:val="thick" w:color="000000"/>
              </w:rPr>
              <w:t>335,887,800</w:t>
            </w:r>
            <w:r>
              <w:rPr>
                <w:rFonts w:ascii="Arial"/>
                <w:spacing w:val="-1"/>
                <w:sz w:val="16"/>
              </w:rPr>
            </w:r>
            <w:r>
              <w:rPr>
                <w:rFonts w:ascii="Arial"/>
                <w:sz w:val="16"/>
              </w:rPr>
            </w:r>
          </w:p>
        </w:tc>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16"/>
                <w:szCs w:val="16"/>
              </w:rPr>
            </w:pPr>
          </w:p>
          <w:p>
            <w:pPr>
              <w:pStyle w:val="TableParagraph"/>
              <w:spacing w:line="240" w:lineRule="auto"/>
              <w:ind w:right="0"/>
              <w:jc w:val="left"/>
              <w:rPr>
                <w:rFonts w:ascii="黑体" w:hAnsi="黑体" w:cs="黑体" w:eastAsia="黑体" w:hint="default"/>
                <w:b/>
                <w:bCs/>
                <w:sz w:val="16"/>
                <w:szCs w:val="16"/>
              </w:rPr>
            </w:pPr>
          </w:p>
          <w:p>
            <w:pPr>
              <w:pStyle w:val="TableParagraph"/>
              <w:spacing w:line="240" w:lineRule="auto" w:before="1"/>
              <w:ind w:right="0"/>
              <w:jc w:val="left"/>
              <w:rPr>
                <w:rFonts w:ascii="黑体" w:hAnsi="黑体" w:cs="黑体" w:eastAsia="黑体" w:hint="default"/>
                <w:b/>
                <w:bCs/>
                <w:sz w:val="17"/>
                <w:szCs w:val="17"/>
              </w:rPr>
            </w:pPr>
          </w:p>
          <w:p>
            <w:pPr>
              <w:pStyle w:val="TableParagraph"/>
              <w:tabs>
                <w:tab w:pos="643" w:val="left" w:leader="none"/>
              </w:tabs>
              <w:spacing w:line="240" w:lineRule="auto"/>
              <w:ind w:right="182"/>
              <w:jc w:val="right"/>
              <w:rPr>
                <w:rFonts w:ascii="Arial" w:hAnsi="Arial" w:cs="Arial" w:eastAsia="Arial" w:hint="default"/>
                <w:sz w:val="16"/>
                <w:szCs w:val="16"/>
              </w:rPr>
            </w:pPr>
            <w:r>
              <w:rPr>
                <w:rFonts w:ascii="Arial"/>
                <w:w w:val="100"/>
                <w:sz w:val="16"/>
              </w:rPr>
            </w:r>
            <w:r>
              <w:rPr>
                <w:rFonts w:ascii="Arial"/>
                <w:w w:val="100"/>
                <w:sz w:val="16"/>
                <w:u w:val="thick" w:color="000000"/>
              </w:rPr>
              <w:t> </w:t>
            </w:r>
            <w:r>
              <w:rPr>
                <w:rFonts w:ascii="Arial"/>
                <w:sz w:val="16"/>
                <w:u w:val="thick" w:color="000000"/>
              </w:rPr>
              <w:tab/>
              <w:t>-</w:t>
            </w:r>
            <w:r>
              <w:rPr>
                <w:rFonts w:ascii="Arial"/>
                <w:sz w:val="16"/>
              </w:rPr>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16"/>
                <w:szCs w:val="16"/>
              </w:rPr>
            </w:pPr>
          </w:p>
          <w:p>
            <w:pPr>
              <w:pStyle w:val="TableParagraph"/>
              <w:spacing w:line="240" w:lineRule="auto"/>
              <w:ind w:right="0"/>
              <w:jc w:val="left"/>
              <w:rPr>
                <w:rFonts w:ascii="黑体" w:hAnsi="黑体" w:cs="黑体" w:eastAsia="黑体" w:hint="default"/>
                <w:b/>
                <w:bCs/>
                <w:sz w:val="16"/>
                <w:szCs w:val="16"/>
              </w:rPr>
            </w:pPr>
          </w:p>
          <w:p>
            <w:pPr>
              <w:pStyle w:val="TableParagraph"/>
              <w:spacing w:line="240" w:lineRule="auto" w:before="1"/>
              <w:ind w:right="0"/>
              <w:jc w:val="left"/>
              <w:rPr>
                <w:rFonts w:ascii="黑体" w:hAnsi="黑体" w:cs="黑体" w:eastAsia="黑体" w:hint="default"/>
                <w:b/>
                <w:bCs/>
                <w:sz w:val="17"/>
                <w:szCs w:val="17"/>
              </w:rPr>
            </w:pPr>
          </w:p>
          <w:p>
            <w:pPr>
              <w:pStyle w:val="TableParagraph"/>
              <w:spacing w:line="240" w:lineRule="auto"/>
              <w:ind w:right="0"/>
              <w:jc w:val="right"/>
              <w:rPr>
                <w:rFonts w:ascii="Arial" w:hAnsi="Arial" w:cs="Arial" w:eastAsia="Arial" w:hint="default"/>
                <w:sz w:val="16"/>
                <w:szCs w:val="16"/>
              </w:rPr>
            </w:pPr>
            <w:r>
              <w:rPr>
                <w:rFonts w:ascii="Arial"/>
                <w:w w:val="100"/>
                <w:sz w:val="16"/>
              </w:rPr>
            </w:r>
            <w:r>
              <w:rPr>
                <w:rFonts w:ascii="Arial"/>
                <w:spacing w:val="-1"/>
                <w:sz w:val="16"/>
                <w:u w:val="thick" w:color="000000"/>
              </w:rPr>
              <w:t>335,887,800</w:t>
            </w:r>
            <w:r>
              <w:rPr>
                <w:rFonts w:ascii="Arial"/>
                <w:spacing w:val="-1"/>
                <w:sz w:val="16"/>
              </w:rPr>
            </w:r>
            <w:r>
              <w:rPr>
                <w:rFonts w:ascii="Arial"/>
                <w:sz w:val="16"/>
              </w:rPr>
            </w:r>
          </w:p>
        </w:tc>
      </w:tr>
    </w:tbl>
    <w:p>
      <w:pPr>
        <w:spacing w:line="240" w:lineRule="auto" w:before="0"/>
        <w:rPr>
          <w:rFonts w:ascii="黑体" w:hAnsi="黑体" w:cs="黑体" w:eastAsia="黑体" w:hint="default"/>
          <w:b/>
          <w:bCs/>
          <w:sz w:val="20"/>
          <w:szCs w:val="20"/>
        </w:rPr>
      </w:pPr>
    </w:p>
    <w:p>
      <w:pPr>
        <w:pStyle w:val="BodyText"/>
        <w:spacing w:line="240" w:lineRule="auto" w:before="172"/>
        <w:ind w:right="3779"/>
        <w:jc w:val="left"/>
      </w:pPr>
      <w:r>
        <w:rPr>
          <w:rFonts w:ascii="Arial" w:hAnsi="Arial" w:cs="Arial" w:eastAsia="Arial" w:hint="default"/>
        </w:rPr>
        <w:t>2012</w:t>
      </w:r>
      <w:r>
        <w:rPr/>
        <w:t>年</w:t>
      </w:r>
    </w:p>
    <w:p>
      <w:pPr>
        <w:spacing w:line="240" w:lineRule="auto" w:before="12"/>
        <w:rPr>
          <w:rFonts w:ascii="黑体" w:hAnsi="黑体" w:cs="黑体" w:eastAsia="黑体" w:hint="default"/>
          <w:sz w:val="4"/>
          <w:szCs w:val="4"/>
        </w:rPr>
      </w:pPr>
    </w:p>
    <w:tbl>
      <w:tblPr>
        <w:tblW w:w="0" w:type="auto"/>
        <w:jc w:val="left"/>
        <w:tblInd w:w="592" w:type="dxa"/>
        <w:tblLayout w:type="fixed"/>
        <w:tblCellMar>
          <w:top w:w="0" w:type="dxa"/>
          <w:left w:w="0" w:type="dxa"/>
          <w:bottom w:w="0" w:type="dxa"/>
          <w:right w:w="0" w:type="dxa"/>
        </w:tblCellMar>
        <w:tblLook w:val="01E0"/>
      </w:tblPr>
      <w:tblGrid>
        <w:gridCol w:w="1737"/>
        <w:gridCol w:w="704"/>
        <w:gridCol w:w="1059"/>
        <w:gridCol w:w="1050"/>
        <w:gridCol w:w="1107"/>
        <w:gridCol w:w="992"/>
        <w:gridCol w:w="756"/>
        <w:gridCol w:w="1018"/>
      </w:tblGrid>
      <w:tr>
        <w:trPr>
          <w:trHeight w:val="448" w:hRule="exact"/>
        </w:trPr>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4"/>
                <w:szCs w:val="14"/>
              </w:rPr>
            </w:pPr>
          </w:p>
          <w:p>
            <w:pPr>
              <w:pStyle w:val="TableParagraph"/>
              <w:spacing w:line="240" w:lineRule="auto"/>
              <w:ind w:left="200" w:right="0"/>
              <w:jc w:val="left"/>
              <w:rPr>
                <w:rFonts w:ascii="黑体" w:hAnsi="黑体" w:cs="黑体" w:eastAsia="黑体" w:hint="default"/>
                <w:sz w:val="16"/>
                <w:szCs w:val="16"/>
              </w:rPr>
            </w:pPr>
            <w:r>
              <w:rPr>
                <w:rFonts w:ascii="黑体" w:hAnsi="黑体" w:cs="黑体" w:eastAsia="黑体" w:hint="default"/>
                <w:sz w:val="16"/>
                <w:szCs w:val="16"/>
              </w:rPr>
              <w:t>工程项目名称</w:t>
            </w: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4"/>
                <w:szCs w:val="14"/>
              </w:rPr>
            </w:pPr>
          </w:p>
          <w:p>
            <w:pPr>
              <w:pStyle w:val="TableParagraph"/>
              <w:spacing w:line="240" w:lineRule="auto"/>
              <w:ind w:right="71"/>
              <w:jc w:val="right"/>
              <w:rPr>
                <w:rFonts w:ascii="黑体" w:hAnsi="黑体" w:cs="黑体" w:eastAsia="黑体" w:hint="default"/>
                <w:sz w:val="16"/>
                <w:szCs w:val="16"/>
              </w:rPr>
            </w:pPr>
            <w:r>
              <w:rPr>
                <w:rFonts w:ascii="黑体" w:hAnsi="黑体" w:cs="黑体" w:eastAsia="黑体" w:hint="default"/>
                <w:sz w:val="16"/>
                <w:szCs w:val="16"/>
              </w:rPr>
              <w:t>预算款</w:t>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4"/>
                <w:szCs w:val="14"/>
              </w:rPr>
            </w:pPr>
          </w:p>
          <w:p>
            <w:pPr>
              <w:pStyle w:val="TableParagraph"/>
              <w:spacing w:line="240" w:lineRule="auto"/>
              <w:ind w:right="91"/>
              <w:jc w:val="right"/>
              <w:rPr>
                <w:rFonts w:ascii="黑体" w:hAnsi="黑体" w:cs="黑体" w:eastAsia="黑体" w:hint="default"/>
                <w:sz w:val="16"/>
                <w:szCs w:val="16"/>
              </w:rPr>
            </w:pPr>
            <w:r>
              <w:rPr>
                <w:rFonts w:ascii="黑体" w:hAnsi="黑体" w:cs="黑体" w:eastAsia="黑体" w:hint="default"/>
                <w:sz w:val="16"/>
                <w:szCs w:val="16"/>
              </w:rPr>
              <w:t>年初数</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4"/>
                <w:szCs w:val="14"/>
              </w:rPr>
            </w:pPr>
          </w:p>
          <w:p>
            <w:pPr>
              <w:pStyle w:val="TableParagraph"/>
              <w:spacing w:line="240" w:lineRule="auto"/>
              <w:ind w:right="61"/>
              <w:jc w:val="right"/>
              <w:rPr>
                <w:rFonts w:ascii="黑体" w:hAnsi="黑体" w:cs="黑体" w:eastAsia="黑体" w:hint="default"/>
                <w:sz w:val="16"/>
                <w:szCs w:val="16"/>
              </w:rPr>
            </w:pPr>
            <w:r>
              <w:rPr>
                <w:rFonts w:ascii="黑体" w:hAnsi="黑体" w:cs="黑体" w:eastAsia="黑体" w:hint="default"/>
                <w:sz w:val="16"/>
                <w:szCs w:val="16"/>
              </w:rPr>
              <w:t>本年增加</w:t>
            </w:r>
          </w:p>
        </w:tc>
        <w:tc>
          <w:tcPr>
            <w:tcW w:w="1107" w:type="dxa"/>
            <w:tcBorders>
              <w:top w:val="nil" w:sz="6" w:space="0" w:color="auto"/>
              <w:left w:val="nil" w:sz="6" w:space="0" w:color="auto"/>
              <w:bottom w:val="nil" w:sz="6" w:space="0" w:color="auto"/>
              <w:right w:val="nil" w:sz="6" w:space="0" w:color="auto"/>
            </w:tcBorders>
          </w:tcPr>
          <w:p>
            <w:pPr>
              <w:pStyle w:val="TableParagraph"/>
              <w:spacing w:line="161" w:lineRule="exact"/>
              <w:ind w:left="406" w:right="0"/>
              <w:jc w:val="left"/>
              <w:rPr>
                <w:rFonts w:ascii="黑体" w:hAnsi="黑体" w:cs="黑体" w:eastAsia="黑体" w:hint="default"/>
                <w:sz w:val="16"/>
                <w:szCs w:val="16"/>
              </w:rPr>
            </w:pPr>
            <w:r>
              <w:rPr>
                <w:rFonts w:ascii="黑体" w:hAnsi="黑体" w:cs="黑体" w:eastAsia="黑体" w:hint="default"/>
                <w:sz w:val="16"/>
                <w:szCs w:val="16"/>
              </w:rPr>
              <w:t>转入固定</w:t>
            </w:r>
          </w:p>
          <w:p>
            <w:pPr>
              <w:pStyle w:val="TableParagraph"/>
              <w:spacing w:line="240" w:lineRule="auto" w:before="30"/>
              <w:ind w:left="728" w:right="0"/>
              <w:jc w:val="left"/>
              <w:rPr>
                <w:rFonts w:ascii="黑体" w:hAnsi="黑体" w:cs="黑体" w:eastAsia="黑体" w:hint="default"/>
                <w:sz w:val="16"/>
                <w:szCs w:val="16"/>
              </w:rPr>
            </w:pPr>
            <w:r>
              <w:rPr>
                <w:rFonts w:ascii="黑体" w:hAnsi="黑体" w:cs="黑体" w:eastAsia="黑体" w:hint="default"/>
                <w:sz w:val="16"/>
                <w:szCs w:val="16"/>
              </w:rPr>
              <w:t>资产</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4"/>
                <w:szCs w:val="14"/>
              </w:rPr>
            </w:pPr>
          </w:p>
          <w:p>
            <w:pPr>
              <w:pStyle w:val="TableParagraph"/>
              <w:spacing w:line="240" w:lineRule="auto"/>
              <w:ind w:right="50"/>
              <w:jc w:val="right"/>
              <w:rPr>
                <w:rFonts w:ascii="黑体" w:hAnsi="黑体" w:cs="黑体" w:eastAsia="黑体" w:hint="default"/>
                <w:sz w:val="16"/>
                <w:szCs w:val="16"/>
              </w:rPr>
            </w:pPr>
            <w:r>
              <w:rPr>
                <w:rFonts w:ascii="黑体" w:hAnsi="黑体" w:cs="黑体" w:eastAsia="黑体" w:hint="default"/>
                <w:sz w:val="16"/>
                <w:szCs w:val="16"/>
              </w:rPr>
              <w:t>年末数</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4"/>
                <w:szCs w:val="14"/>
              </w:rPr>
            </w:pPr>
          </w:p>
          <w:p>
            <w:pPr>
              <w:pStyle w:val="TableParagraph"/>
              <w:spacing w:line="240" w:lineRule="auto"/>
              <w:ind w:right="14"/>
              <w:jc w:val="right"/>
              <w:rPr>
                <w:rFonts w:ascii="黑体" w:hAnsi="黑体" w:cs="黑体" w:eastAsia="黑体" w:hint="default"/>
                <w:sz w:val="16"/>
                <w:szCs w:val="16"/>
              </w:rPr>
            </w:pPr>
            <w:r>
              <w:rPr>
                <w:rFonts w:ascii="黑体" w:hAnsi="黑体" w:cs="黑体" w:eastAsia="黑体" w:hint="default"/>
                <w:sz w:val="16"/>
                <w:szCs w:val="16"/>
              </w:rPr>
              <w:t>资金来源</w:t>
            </w:r>
          </w:p>
        </w:tc>
        <w:tc>
          <w:tcPr>
            <w:tcW w:w="1018" w:type="dxa"/>
            <w:tcBorders>
              <w:top w:val="nil" w:sz="6" w:space="0" w:color="auto"/>
              <w:left w:val="nil" w:sz="6" w:space="0" w:color="auto"/>
              <w:bottom w:val="nil" w:sz="6" w:space="0" w:color="auto"/>
              <w:right w:val="nil" w:sz="6" w:space="0" w:color="auto"/>
            </w:tcBorders>
          </w:tcPr>
          <w:p>
            <w:pPr>
              <w:pStyle w:val="TableParagraph"/>
              <w:spacing w:line="161" w:lineRule="exact"/>
              <w:ind w:left="16" w:right="0" w:firstLine="158"/>
              <w:jc w:val="left"/>
              <w:rPr>
                <w:rFonts w:ascii="黑体" w:hAnsi="黑体" w:cs="黑体" w:eastAsia="黑体" w:hint="default"/>
                <w:sz w:val="16"/>
                <w:szCs w:val="16"/>
              </w:rPr>
            </w:pPr>
            <w:r>
              <w:rPr>
                <w:rFonts w:ascii="黑体" w:hAnsi="黑体" w:cs="黑体" w:eastAsia="黑体" w:hint="default"/>
                <w:sz w:val="16"/>
                <w:szCs w:val="16"/>
              </w:rPr>
              <w:t>工程投入</w:t>
            </w:r>
          </w:p>
          <w:p>
            <w:pPr>
              <w:pStyle w:val="TableParagraph"/>
              <w:spacing w:line="240" w:lineRule="auto" w:before="30"/>
              <w:ind w:left="16" w:right="0"/>
              <w:jc w:val="left"/>
              <w:rPr>
                <w:rFonts w:ascii="黑体" w:hAnsi="黑体" w:cs="黑体" w:eastAsia="黑体" w:hint="default"/>
                <w:sz w:val="16"/>
                <w:szCs w:val="16"/>
              </w:rPr>
            </w:pPr>
            <w:r>
              <w:rPr>
                <w:rFonts w:ascii="黑体" w:hAnsi="黑体" w:cs="黑体" w:eastAsia="黑体" w:hint="default"/>
                <w:sz w:val="16"/>
                <w:szCs w:val="16"/>
              </w:rPr>
              <w:t>占预算比例</w:t>
            </w:r>
          </w:p>
        </w:tc>
      </w:tr>
      <w:tr>
        <w:trPr>
          <w:trHeight w:val="378" w:hRule="exact"/>
        </w:trPr>
        <w:tc>
          <w:tcPr>
            <w:tcW w:w="1737" w:type="dxa"/>
            <w:tcBorders>
              <w:top w:val="nil" w:sz="6" w:space="0" w:color="auto"/>
              <w:left w:val="nil" w:sz="6" w:space="0" w:color="auto"/>
              <w:bottom w:val="nil" w:sz="6" w:space="0" w:color="auto"/>
              <w:right w:val="nil" w:sz="6" w:space="0" w:color="auto"/>
            </w:tcBorders>
          </w:tcPr>
          <w:p>
            <w:pPr/>
          </w:p>
        </w:tc>
        <w:tc>
          <w:tcPr>
            <w:tcW w:w="704" w:type="dxa"/>
            <w:tcBorders>
              <w:top w:val="nil" w:sz="6" w:space="0" w:color="auto"/>
              <w:left w:val="nil" w:sz="6" w:space="0" w:color="auto"/>
              <w:bottom w:val="nil" w:sz="6" w:space="0" w:color="auto"/>
              <w:right w:val="nil" w:sz="6" w:space="0" w:color="auto"/>
            </w:tcBorders>
          </w:tcPr>
          <w:p>
            <w:pPr>
              <w:pStyle w:val="TableParagraph"/>
              <w:spacing w:line="219" w:lineRule="exact"/>
              <w:ind w:right="70"/>
              <w:jc w:val="right"/>
              <w:rPr>
                <w:rFonts w:ascii="Arial" w:hAnsi="Arial" w:cs="Arial" w:eastAsia="Arial" w:hint="default"/>
                <w:sz w:val="16"/>
                <w:szCs w:val="16"/>
              </w:rPr>
            </w:pPr>
            <w:r>
              <w:rPr>
                <w:rFonts w:ascii="Arial" w:hAnsi="Arial" w:cs="Arial" w:eastAsia="Arial" w:hint="default"/>
                <w:spacing w:val="-1"/>
                <w:sz w:val="16"/>
                <w:szCs w:val="16"/>
              </w:rPr>
              <w:t>(</w:t>
            </w:r>
            <w:r>
              <w:rPr>
                <w:rFonts w:ascii="黑体" w:hAnsi="黑体" w:cs="黑体" w:eastAsia="黑体" w:hint="default"/>
                <w:spacing w:val="-1"/>
                <w:sz w:val="16"/>
                <w:szCs w:val="16"/>
              </w:rPr>
              <w:t>百万元</w:t>
            </w:r>
            <w:r>
              <w:rPr>
                <w:rFonts w:ascii="Arial" w:hAnsi="Arial" w:cs="Arial" w:eastAsia="Arial" w:hint="default"/>
                <w:spacing w:val="-1"/>
                <w:sz w:val="16"/>
                <w:szCs w:val="16"/>
              </w:rPr>
              <w:t>)</w:t>
            </w:r>
          </w:p>
        </w:tc>
        <w:tc>
          <w:tcPr>
            <w:tcW w:w="1059" w:type="dxa"/>
            <w:tcBorders>
              <w:top w:val="nil" w:sz="6" w:space="0" w:color="auto"/>
              <w:left w:val="nil" w:sz="6" w:space="0" w:color="auto"/>
              <w:bottom w:val="nil" w:sz="6" w:space="0" w:color="auto"/>
              <w:right w:val="nil" w:sz="6" w:space="0" w:color="auto"/>
            </w:tcBorders>
          </w:tcPr>
          <w:p>
            <w:pPr/>
          </w:p>
        </w:tc>
        <w:tc>
          <w:tcPr>
            <w:tcW w:w="1050" w:type="dxa"/>
            <w:tcBorders>
              <w:top w:val="nil" w:sz="6" w:space="0" w:color="auto"/>
              <w:left w:val="nil" w:sz="6" w:space="0" w:color="auto"/>
              <w:bottom w:val="nil" w:sz="6" w:space="0" w:color="auto"/>
              <w:right w:val="nil" w:sz="6" w:space="0" w:color="auto"/>
            </w:tcBorders>
          </w:tcPr>
          <w:p>
            <w:pPr/>
          </w:p>
        </w:tc>
        <w:tc>
          <w:tcPr>
            <w:tcW w:w="1107"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756"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99"/>
              <w:jc w:val="right"/>
              <w:rPr>
                <w:rFonts w:ascii="Arial" w:hAnsi="Arial" w:cs="Arial" w:eastAsia="Arial" w:hint="default"/>
                <w:sz w:val="16"/>
                <w:szCs w:val="16"/>
              </w:rPr>
            </w:pPr>
            <w:r>
              <w:rPr>
                <w:rFonts w:ascii="Arial"/>
                <w:spacing w:val="-1"/>
                <w:sz w:val="16"/>
              </w:rPr>
              <w:t>(%)</w:t>
            </w:r>
          </w:p>
        </w:tc>
      </w:tr>
      <w:tr>
        <w:trPr>
          <w:trHeight w:val="623" w:hRule="exact"/>
        </w:trPr>
        <w:tc>
          <w:tcPr>
            <w:tcW w:w="1737" w:type="dxa"/>
            <w:tcBorders>
              <w:top w:val="nil" w:sz="6" w:space="0" w:color="auto"/>
              <w:left w:val="nil" w:sz="6" w:space="0" w:color="auto"/>
              <w:bottom w:val="nil" w:sz="6" w:space="0" w:color="auto"/>
              <w:right w:val="nil" w:sz="6" w:space="0" w:color="auto"/>
            </w:tcBorders>
          </w:tcPr>
          <w:p>
            <w:pPr>
              <w:pStyle w:val="TableParagraph"/>
              <w:spacing w:line="276" w:lineRule="auto" w:before="114"/>
              <w:ind w:left="360" w:right="411" w:hanging="161"/>
              <w:jc w:val="left"/>
              <w:rPr>
                <w:rFonts w:ascii="黑体" w:hAnsi="黑体" w:cs="黑体" w:eastAsia="黑体" w:hint="default"/>
                <w:sz w:val="16"/>
                <w:szCs w:val="16"/>
              </w:rPr>
            </w:pPr>
            <w:r>
              <w:rPr>
                <w:rFonts w:ascii="黑体" w:hAnsi="黑体" w:cs="黑体" w:eastAsia="黑体" w:hint="default"/>
                <w:sz w:val="16"/>
                <w:szCs w:val="16"/>
              </w:rPr>
              <w:t>用友软件园</w:t>
            </w:r>
            <w:r>
              <w:rPr>
                <w:rFonts w:ascii="黑体" w:hAnsi="黑体" w:cs="黑体" w:eastAsia="黑体" w:hint="default"/>
                <w:w w:val="100"/>
                <w:sz w:val="16"/>
                <w:szCs w:val="16"/>
              </w:rPr>
              <w:t> </w:t>
            </w:r>
            <w:r>
              <w:rPr>
                <w:rFonts w:ascii="黑体" w:hAnsi="黑体" w:cs="黑体" w:eastAsia="黑体" w:hint="default"/>
                <w:spacing w:val="-1"/>
                <w:sz w:val="16"/>
                <w:szCs w:val="16"/>
              </w:rPr>
              <w:t>项目二期工程</w:t>
            </w: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74"/>
              <w:jc w:val="right"/>
              <w:rPr>
                <w:rFonts w:ascii="Arial" w:hAnsi="Arial" w:cs="Arial" w:eastAsia="Arial" w:hint="default"/>
                <w:sz w:val="16"/>
                <w:szCs w:val="16"/>
              </w:rPr>
            </w:pPr>
            <w:r>
              <w:rPr>
                <w:rFonts w:ascii="Arial"/>
                <w:spacing w:val="-1"/>
                <w:sz w:val="16"/>
              </w:rPr>
              <w:t>1,200</w:t>
            </w:r>
            <w:r>
              <w:rPr>
                <w:rFonts w:ascii="Arial"/>
                <w:sz w:val="16"/>
              </w:rPr>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94"/>
              <w:jc w:val="right"/>
              <w:rPr>
                <w:rFonts w:ascii="Arial" w:hAnsi="Arial" w:cs="Arial" w:eastAsia="Arial" w:hint="default"/>
                <w:sz w:val="16"/>
                <w:szCs w:val="16"/>
              </w:rPr>
            </w:pPr>
            <w:r>
              <w:rPr>
                <w:rFonts w:ascii="Arial"/>
                <w:spacing w:val="-1"/>
                <w:sz w:val="16"/>
              </w:rPr>
              <w:t>293,920,147</w:t>
            </w:r>
            <w:r>
              <w:rPr>
                <w:rFonts w:ascii="Arial"/>
                <w:sz w:val="16"/>
              </w:rPr>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64"/>
              <w:jc w:val="right"/>
              <w:rPr>
                <w:rFonts w:ascii="Arial" w:hAnsi="Arial" w:cs="Arial" w:eastAsia="Arial" w:hint="default"/>
                <w:sz w:val="16"/>
                <w:szCs w:val="16"/>
              </w:rPr>
            </w:pPr>
            <w:r>
              <w:rPr>
                <w:rFonts w:ascii="Arial"/>
                <w:spacing w:val="-1"/>
                <w:sz w:val="16"/>
              </w:rPr>
              <w:t>249,172,718</w:t>
            </w:r>
            <w:r>
              <w:rPr>
                <w:rFonts w:ascii="Arial"/>
                <w:sz w:val="16"/>
              </w:rPr>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45"/>
              <w:jc w:val="right"/>
              <w:rPr>
                <w:rFonts w:ascii="Arial" w:hAnsi="Arial" w:cs="Arial" w:eastAsia="Arial" w:hint="default"/>
                <w:sz w:val="16"/>
                <w:szCs w:val="16"/>
              </w:rPr>
            </w:pPr>
            <w:r>
              <w:rPr>
                <w:rFonts w:ascii="Arial"/>
                <w:spacing w:val="-1"/>
                <w:sz w:val="16"/>
              </w:rPr>
              <w:t>(112,754,773)</w:t>
            </w:r>
            <w:r>
              <w:rPr>
                <w:rFonts w:ascii="Arial"/>
                <w:sz w:val="16"/>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53"/>
              <w:jc w:val="right"/>
              <w:rPr>
                <w:rFonts w:ascii="Arial" w:hAnsi="Arial" w:cs="Arial" w:eastAsia="Arial" w:hint="default"/>
                <w:sz w:val="16"/>
                <w:szCs w:val="16"/>
              </w:rPr>
            </w:pPr>
            <w:r>
              <w:rPr>
                <w:rFonts w:ascii="Arial"/>
                <w:spacing w:val="-1"/>
                <w:sz w:val="16"/>
              </w:rPr>
              <w:t>430,338,092</w:t>
            </w:r>
            <w:r>
              <w:rPr>
                <w:rFonts w:ascii="Arial"/>
                <w:sz w:val="16"/>
              </w:rPr>
            </w:r>
          </w:p>
        </w:tc>
        <w:tc>
          <w:tcPr>
            <w:tcW w:w="756" w:type="dxa"/>
            <w:tcBorders>
              <w:top w:val="nil" w:sz="6" w:space="0" w:color="auto"/>
              <w:left w:val="nil" w:sz="6" w:space="0" w:color="auto"/>
              <w:bottom w:val="nil" w:sz="6" w:space="0" w:color="auto"/>
              <w:right w:val="nil" w:sz="6" w:space="0" w:color="auto"/>
            </w:tcBorders>
          </w:tcPr>
          <w:p>
            <w:pPr>
              <w:pStyle w:val="TableParagraph"/>
              <w:spacing w:line="261" w:lineRule="auto" w:before="114"/>
              <w:ind w:left="96" w:right="14" w:hanging="44"/>
              <w:jc w:val="left"/>
              <w:rPr>
                <w:rFonts w:ascii="黑体" w:hAnsi="黑体" w:cs="黑体" w:eastAsia="黑体" w:hint="default"/>
                <w:sz w:val="16"/>
                <w:szCs w:val="16"/>
              </w:rPr>
            </w:pPr>
            <w:r>
              <w:rPr>
                <w:rFonts w:ascii="黑体" w:hAnsi="黑体" w:cs="黑体" w:eastAsia="黑体" w:hint="default"/>
                <w:sz w:val="16"/>
                <w:szCs w:val="16"/>
              </w:rPr>
              <w:t>自筹资金</w:t>
            </w:r>
            <w:r>
              <w:rPr>
                <w:rFonts w:ascii="Arial" w:hAnsi="Arial" w:cs="Arial" w:eastAsia="Arial" w:hint="default"/>
                <w:sz w:val="16"/>
                <w:szCs w:val="16"/>
              </w:rPr>
              <w:t>/</w:t>
            </w:r>
            <w:r>
              <w:rPr>
                <w:rFonts w:ascii="Arial" w:hAnsi="Arial" w:cs="Arial" w:eastAsia="Arial" w:hint="default"/>
                <w:w w:val="100"/>
                <w:sz w:val="16"/>
                <w:szCs w:val="16"/>
              </w:rPr>
              <w:t> </w:t>
            </w:r>
            <w:r>
              <w:rPr>
                <w:rFonts w:ascii="黑体" w:hAnsi="黑体" w:cs="黑体" w:eastAsia="黑体" w:hint="default"/>
                <w:sz w:val="16"/>
                <w:szCs w:val="16"/>
              </w:rPr>
              <w:t>银行贷款</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11"/>
              <w:ind w:right="0"/>
              <w:jc w:val="left"/>
              <w:rPr>
                <w:rFonts w:ascii="黑体" w:hAnsi="黑体" w:cs="黑体" w:eastAsia="黑体" w:hint="default"/>
                <w:sz w:val="13"/>
                <w:szCs w:val="13"/>
              </w:rPr>
            </w:pPr>
          </w:p>
          <w:p>
            <w:pPr>
              <w:pStyle w:val="TableParagraph"/>
              <w:spacing w:line="240" w:lineRule="auto"/>
              <w:ind w:right="200"/>
              <w:jc w:val="right"/>
              <w:rPr>
                <w:rFonts w:ascii="Arial" w:hAnsi="Arial" w:cs="Arial" w:eastAsia="Arial" w:hint="default"/>
                <w:sz w:val="16"/>
                <w:szCs w:val="16"/>
              </w:rPr>
            </w:pPr>
            <w:r>
              <w:rPr>
                <w:rFonts w:ascii="Arial"/>
                <w:spacing w:val="-1"/>
                <w:sz w:val="16"/>
              </w:rPr>
              <w:t>70</w:t>
            </w:r>
            <w:r>
              <w:rPr>
                <w:rFonts w:ascii="Arial"/>
                <w:sz w:val="16"/>
              </w:rPr>
            </w:r>
          </w:p>
        </w:tc>
      </w:tr>
      <w:tr>
        <w:trPr>
          <w:trHeight w:val="256" w:hRule="exact"/>
        </w:trPr>
        <w:tc>
          <w:tcPr>
            <w:tcW w:w="1737" w:type="dxa"/>
            <w:tcBorders>
              <w:top w:val="nil" w:sz="6" w:space="0" w:color="auto"/>
              <w:left w:val="nil" w:sz="6" w:space="0" w:color="auto"/>
              <w:bottom w:val="nil" w:sz="6" w:space="0" w:color="auto"/>
              <w:right w:val="nil" w:sz="6" w:space="0" w:color="auto"/>
            </w:tcBorders>
          </w:tcPr>
          <w:p>
            <w:pPr>
              <w:pStyle w:val="TableParagraph"/>
              <w:spacing w:line="207" w:lineRule="exact"/>
              <w:ind w:left="200" w:right="0"/>
              <w:jc w:val="left"/>
              <w:rPr>
                <w:rFonts w:ascii="黑体" w:hAnsi="黑体" w:cs="黑体" w:eastAsia="黑体" w:hint="default"/>
                <w:sz w:val="16"/>
                <w:szCs w:val="16"/>
              </w:rPr>
            </w:pPr>
            <w:r>
              <w:rPr>
                <w:rFonts w:ascii="黑体" w:hAnsi="黑体" w:cs="黑体" w:eastAsia="黑体" w:hint="default"/>
                <w:sz w:val="16"/>
                <w:szCs w:val="16"/>
              </w:rPr>
              <w:t>用友</w:t>
            </w:r>
            <w:r>
              <w:rPr>
                <w:rFonts w:ascii="Arial" w:hAnsi="Arial" w:cs="Arial" w:eastAsia="Arial" w:hint="default"/>
                <w:sz w:val="16"/>
                <w:szCs w:val="16"/>
              </w:rPr>
              <w:t>(</w:t>
            </w:r>
            <w:r>
              <w:rPr>
                <w:rFonts w:ascii="黑体" w:hAnsi="黑体" w:cs="黑体" w:eastAsia="黑体" w:hint="default"/>
                <w:sz w:val="16"/>
                <w:szCs w:val="16"/>
              </w:rPr>
              <w:t>南昌</w:t>
            </w:r>
            <w:r>
              <w:rPr>
                <w:rFonts w:ascii="Arial" w:hAnsi="Arial" w:cs="Arial" w:eastAsia="Arial" w:hint="default"/>
                <w:sz w:val="16"/>
                <w:szCs w:val="16"/>
              </w:rPr>
              <w:t>)</w:t>
            </w:r>
            <w:r>
              <w:rPr>
                <w:rFonts w:ascii="黑体" w:hAnsi="黑体" w:cs="黑体" w:eastAsia="黑体" w:hint="default"/>
                <w:sz w:val="16"/>
                <w:szCs w:val="16"/>
              </w:rPr>
              <w:t>工程一期</w:t>
            </w: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74"/>
              <w:jc w:val="right"/>
              <w:rPr>
                <w:rFonts w:ascii="Arial" w:hAnsi="Arial" w:cs="Arial" w:eastAsia="Arial" w:hint="default"/>
                <w:sz w:val="16"/>
                <w:szCs w:val="16"/>
              </w:rPr>
            </w:pPr>
            <w:r>
              <w:rPr>
                <w:rFonts w:ascii="Arial"/>
                <w:spacing w:val="-1"/>
                <w:sz w:val="16"/>
              </w:rPr>
              <w:t>300</w:t>
            </w:r>
            <w:r>
              <w:rPr>
                <w:rFonts w:ascii="Arial"/>
                <w:sz w:val="16"/>
              </w:rPr>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4"/>
              <w:jc w:val="right"/>
              <w:rPr>
                <w:rFonts w:ascii="Arial" w:hAnsi="Arial" w:cs="Arial" w:eastAsia="Arial" w:hint="default"/>
                <w:sz w:val="16"/>
                <w:szCs w:val="16"/>
              </w:rPr>
            </w:pPr>
            <w:r>
              <w:rPr>
                <w:rFonts w:ascii="Arial"/>
                <w:spacing w:val="-1"/>
                <w:sz w:val="16"/>
              </w:rPr>
              <w:t>40,952,095</w:t>
            </w:r>
            <w:r>
              <w:rPr>
                <w:rFonts w:ascii="Arial"/>
                <w:sz w:val="16"/>
              </w:rPr>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64"/>
              <w:jc w:val="right"/>
              <w:rPr>
                <w:rFonts w:ascii="Arial" w:hAnsi="Arial" w:cs="Arial" w:eastAsia="Arial" w:hint="default"/>
                <w:sz w:val="16"/>
                <w:szCs w:val="16"/>
              </w:rPr>
            </w:pPr>
            <w:r>
              <w:rPr>
                <w:rFonts w:ascii="Arial"/>
                <w:spacing w:val="-1"/>
                <w:sz w:val="16"/>
              </w:rPr>
              <w:t>50,879,683</w:t>
            </w:r>
            <w:r>
              <w:rPr>
                <w:rFonts w:ascii="Arial"/>
                <w:sz w:val="16"/>
              </w:rPr>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6"/>
              <w:jc w:val="right"/>
              <w:rPr>
                <w:rFonts w:ascii="Arial" w:hAnsi="Arial" w:cs="Arial" w:eastAsia="Arial" w:hint="default"/>
                <w:sz w:val="16"/>
                <w:szCs w:val="16"/>
              </w:rPr>
            </w:pPr>
            <w:r>
              <w:rPr>
                <w:rFonts w:ascii="Arial"/>
                <w:w w:val="100"/>
                <w:sz w:val="16"/>
              </w:rPr>
              <w:t>-</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3"/>
              <w:jc w:val="right"/>
              <w:rPr>
                <w:rFonts w:ascii="Arial" w:hAnsi="Arial" w:cs="Arial" w:eastAsia="Arial" w:hint="default"/>
                <w:sz w:val="16"/>
                <w:szCs w:val="16"/>
              </w:rPr>
            </w:pPr>
            <w:r>
              <w:rPr>
                <w:rFonts w:ascii="Arial"/>
                <w:spacing w:val="-1"/>
                <w:sz w:val="16"/>
              </w:rPr>
              <w:t>91,831,778</w:t>
            </w:r>
            <w:r>
              <w:rPr>
                <w:rFonts w:ascii="Arial"/>
                <w:sz w:val="16"/>
              </w:rPr>
            </w:r>
          </w:p>
        </w:tc>
        <w:tc>
          <w:tcPr>
            <w:tcW w:w="756" w:type="dxa"/>
            <w:tcBorders>
              <w:top w:val="nil" w:sz="6" w:space="0" w:color="auto"/>
              <w:left w:val="nil" w:sz="6" w:space="0" w:color="auto"/>
              <w:bottom w:val="nil" w:sz="6" w:space="0" w:color="auto"/>
              <w:right w:val="nil" w:sz="6" w:space="0" w:color="auto"/>
            </w:tcBorders>
          </w:tcPr>
          <w:p>
            <w:pPr>
              <w:pStyle w:val="TableParagraph"/>
              <w:spacing w:line="195" w:lineRule="exact"/>
              <w:ind w:right="14"/>
              <w:jc w:val="right"/>
              <w:rPr>
                <w:rFonts w:ascii="黑体" w:hAnsi="黑体" w:cs="黑体" w:eastAsia="黑体" w:hint="default"/>
                <w:sz w:val="16"/>
                <w:szCs w:val="16"/>
              </w:rPr>
            </w:pPr>
            <w:r>
              <w:rPr>
                <w:rFonts w:ascii="黑体" w:hAnsi="黑体" w:cs="黑体" w:eastAsia="黑体" w:hint="default"/>
                <w:sz w:val="16"/>
                <w:szCs w:val="16"/>
              </w:rPr>
              <w:t>自筹资金</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00"/>
              <w:jc w:val="right"/>
              <w:rPr>
                <w:rFonts w:ascii="Arial" w:hAnsi="Arial" w:cs="Arial" w:eastAsia="Arial" w:hint="default"/>
                <w:sz w:val="16"/>
                <w:szCs w:val="16"/>
              </w:rPr>
            </w:pPr>
            <w:r>
              <w:rPr>
                <w:rFonts w:ascii="Arial"/>
                <w:spacing w:val="-1"/>
                <w:sz w:val="16"/>
              </w:rPr>
              <w:t>31</w:t>
            </w:r>
            <w:r>
              <w:rPr>
                <w:rFonts w:ascii="Arial"/>
                <w:sz w:val="16"/>
              </w:rPr>
            </w:r>
          </w:p>
        </w:tc>
      </w:tr>
      <w:tr>
        <w:trPr>
          <w:trHeight w:val="238" w:hRule="exact"/>
        </w:trPr>
        <w:tc>
          <w:tcPr>
            <w:tcW w:w="1737" w:type="dxa"/>
            <w:tcBorders>
              <w:top w:val="nil" w:sz="6" w:space="0" w:color="auto"/>
              <w:left w:val="nil" w:sz="6" w:space="0" w:color="auto"/>
              <w:bottom w:val="nil" w:sz="6" w:space="0" w:color="auto"/>
              <w:right w:val="nil" w:sz="6" w:space="0" w:color="auto"/>
            </w:tcBorders>
          </w:tcPr>
          <w:p>
            <w:pPr>
              <w:pStyle w:val="TableParagraph"/>
              <w:spacing w:line="196" w:lineRule="exact"/>
              <w:ind w:left="200" w:right="0"/>
              <w:jc w:val="left"/>
              <w:rPr>
                <w:rFonts w:ascii="黑体" w:hAnsi="黑体" w:cs="黑体" w:eastAsia="黑体" w:hint="default"/>
                <w:sz w:val="16"/>
                <w:szCs w:val="16"/>
              </w:rPr>
            </w:pPr>
            <w:r>
              <w:rPr>
                <w:rFonts w:ascii="黑体" w:hAnsi="黑体" w:cs="黑体" w:eastAsia="黑体" w:hint="default"/>
                <w:sz w:val="16"/>
                <w:szCs w:val="16"/>
              </w:rPr>
              <w:t>其他</w:t>
            </w:r>
          </w:p>
        </w:tc>
        <w:tc>
          <w:tcPr>
            <w:tcW w:w="704" w:type="dxa"/>
            <w:tcBorders>
              <w:top w:val="nil" w:sz="6" w:space="0" w:color="auto"/>
              <w:left w:val="nil" w:sz="6" w:space="0" w:color="auto"/>
              <w:bottom w:val="nil" w:sz="6" w:space="0" w:color="auto"/>
              <w:right w:val="nil" w:sz="6" w:space="0" w:color="auto"/>
            </w:tcBorders>
          </w:tcPr>
          <w:p>
            <w:pP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91"/>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  </w:t>
            </w:r>
            <w:r>
              <w:rPr>
                <w:rFonts w:ascii="Arial"/>
                <w:spacing w:val="-15"/>
                <w:sz w:val="16"/>
                <w:u w:val="single" w:color="000000"/>
              </w:rPr>
              <w:t> </w:t>
            </w:r>
            <w:r>
              <w:rPr>
                <w:rFonts w:ascii="Arial"/>
                <w:spacing w:val="-2"/>
                <w:sz w:val="16"/>
                <w:u w:val="single" w:color="000000"/>
              </w:rPr>
              <w:t>1,015,558</w:t>
            </w:r>
            <w:r>
              <w:rPr>
                <w:rFonts w:ascii="Arial"/>
                <w:spacing w:val="-2"/>
                <w:sz w:val="16"/>
              </w:rPr>
            </w:r>
            <w:r>
              <w:rPr>
                <w:rFonts w:ascii="Arial"/>
                <w:sz w:val="16"/>
              </w:rPr>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61"/>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  </w:t>
            </w:r>
            <w:r>
              <w:rPr>
                <w:rFonts w:ascii="Arial"/>
                <w:spacing w:val="-15"/>
                <w:sz w:val="16"/>
                <w:u w:val="single" w:color="000000"/>
              </w:rPr>
              <w:t> </w:t>
            </w:r>
            <w:r>
              <w:rPr>
                <w:rFonts w:ascii="Arial"/>
                <w:spacing w:val="-2"/>
                <w:sz w:val="16"/>
                <w:u w:val="single" w:color="000000"/>
              </w:rPr>
              <w:t>2,892,492</w:t>
            </w:r>
            <w:r>
              <w:rPr>
                <w:rFonts w:ascii="Arial"/>
                <w:spacing w:val="-2"/>
                <w:sz w:val="16"/>
              </w:rPr>
            </w:r>
            <w:r>
              <w:rPr>
                <w:rFonts w:ascii="Arial"/>
                <w:sz w:val="16"/>
              </w:rPr>
            </w:r>
          </w:p>
        </w:tc>
        <w:tc>
          <w:tcPr>
            <w:tcW w:w="1107" w:type="dxa"/>
            <w:tcBorders>
              <w:top w:val="nil" w:sz="6" w:space="0" w:color="auto"/>
              <w:left w:val="nil" w:sz="6" w:space="0" w:color="auto"/>
              <w:bottom w:val="nil" w:sz="6" w:space="0" w:color="auto"/>
              <w:right w:val="nil" w:sz="6" w:space="0" w:color="auto"/>
            </w:tcBorders>
          </w:tcPr>
          <w:p>
            <w:pPr>
              <w:pStyle w:val="TableParagraph"/>
              <w:tabs>
                <w:tab w:pos="892" w:val="left" w:leader="none"/>
              </w:tabs>
              <w:spacing w:line="240" w:lineRule="auto" w:before="23"/>
              <w:ind w:right="53"/>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w:t>
            </w:r>
            <w:r>
              <w:rPr>
                <w:rFonts w:ascii="Arial"/>
                <w:sz w:val="16"/>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0"/>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  </w:t>
            </w:r>
            <w:r>
              <w:rPr>
                <w:rFonts w:ascii="Arial"/>
                <w:spacing w:val="-15"/>
                <w:sz w:val="16"/>
                <w:u w:val="single" w:color="000000"/>
              </w:rPr>
              <w:t> </w:t>
            </w:r>
            <w:r>
              <w:rPr>
                <w:rFonts w:ascii="Arial"/>
                <w:spacing w:val="-2"/>
                <w:sz w:val="16"/>
                <w:u w:val="single" w:color="000000"/>
              </w:rPr>
              <w:t>3,908,050</w:t>
            </w:r>
            <w:r>
              <w:rPr>
                <w:rFonts w:ascii="Arial"/>
                <w:spacing w:val="-2"/>
                <w:sz w:val="16"/>
              </w:rPr>
            </w:r>
            <w:r>
              <w:rPr>
                <w:rFonts w:ascii="Arial"/>
                <w:sz w:val="16"/>
              </w:rPr>
            </w:r>
          </w:p>
        </w:tc>
        <w:tc>
          <w:tcPr>
            <w:tcW w:w="756" w:type="dxa"/>
            <w:tcBorders>
              <w:top w:val="nil" w:sz="6" w:space="0" w:color="auto"/>
              <w:left w:val="nil" w:sz="6" w:space="0" w:color="auto"/>
              <w:bottom w:val="nil" w:sz="6" w:space="0" w:color="auto"/>
              <w:right w:val="nil" w:sz="6" w:space="0" w:color="auto"/>
            </w:tcBorders>
          </w:tcPr>
          <w:p>
            <w:pPr>
              <w:pStyle w:val="TableParagraph"/>
              <w:spacing w:line="196" w:lineRule="exact"/>
              <w:ind w:right="14"/>
              <w:jc w:val="right"/>
              <w:rPr>
                <w:rFonts w:ascii="黑体" w:hAnsi="黑体" w:cs="黑体" w:eastAsia="黑体" w:hint="default"/>
                <w:sz w:val="16"/>
                <w:szCs w:val="16"/>
              </w:rPr>
            </w:pPr>
            <w:r>
              <w:rPr>
                <w:rFonts w:ascii="黑体" w:hAnsi="黑体" w:cs="黑体" w:eastAsia="黑体" w:hint="default"/>
                <w:sz w:val="16"/>
                <w:szCs w:val="16"/>
              </w:rPr>
              <w:t>自筹资金</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00"/>
              <w:jc w:val="right"/>
              <w:rPr>
                <w:rFonts w:ascii="Arial" w:hAnsi="Arial" w:cs="Arial" w:eastAsia="Arial" w:hint="default"/>
                <w:sz w:val="16"/>
                <w:szCs w:val="16"/>
              </w:rPr>
            </w:pPr>
            <w:r>
              <w:rPr>
                <w:rFonts w:ascii="Arial"/>
                <w:spacing w:val="-1"/>
                <w:sz w:val="16"/>
              </w:rPr>
              <w:t>&lt;1</w:t>
            </w:r>
            <w:r>
              <w:rPr>
                <w:rFonts w:ascii="Arial"/>
                <w:sz w:val="16"/>
              </w:rPr>
            </w:r>
          </w:p>
        </w:tc>
      </w:tr>
      <w:tr>
        <w:trPr>
          <w:trHeight w:val="238" w:hRule="exact"/>
        </w:trPr>
        <w:tc>
          <w:tcPr>
            <w:tcW w:w="1737" w:type="dxa"/>
            <w:tcBorders>
              <w:top w:val="nil" w:sz="6" w:space="0" w:color="auto"/>
              <w:left w:val="nil" w:sz="6" w:space="0" w:color="auto"/>
              <w:bottom w:val="nil" w:sz="6" w:space="0" w:color="auto"/>
              <w:right w:val="nil" w:sz="6" w:space="0" w:color="auto"/>
            </w:tcBorders>
          </w:tcPr>
          <w:p>
            <w:pPr>
              <w:pStyle w:val="TableParagraph"/>
              <w:spacing w:line="213" w:lineRule="exact"/>
              <w:ind w:left="200" w:right="0"/>
              <w:jc w:val="left"/>
              <w:rPr>
                <w:rFonts w:ascii="黑体" w:hAnsi="黑体" w:cs="黑体" w:eastAsia="黑体" w:hint="default"/>
                <w:sz w:val="18"/>
                <w:szCs w:val="18"/>
              </w:rPr>
            </w:pPr>
            <w:r>
              <w:rPr>
                <w:rFonts w:ascii="黑体" w:hAnsi="黑体" w:cs="黑体" w:eastAsia="黑体" w:hint="default"/>
                <w:sz w:val="18"/>
                <w:szCs w:val="18"/>
              </w:rPr>
              <w:t>合计</w:t>
            </w:r>
          </w:p>
        </w:tc>
        <w:tc>
          <w:tcPr>
            <w:tcW w:w="704" w:type="dxa"/>
            <w:tcBorders>
              <w:top w:val="nil" w:sz="6" w:space="0" w:color="auto"/>
              <w:left w:val="nil" w:sz="6" w:space="0" w:color="auto"/>
              <w:bottom w:val="nil" w:sz="6" w:space="0" w:color="auto"/>
              <w:right w:val="nil" w:sz="6" w:space="0" w:color="auto"/>
            </w:tcBorders>
          </w:tcPr>
          <w:p>
            <w:pP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4"/>
              <w:jc w:val="right"/>
              <w:rPr>
                <w:rFonts w:ascii="Arial" w:hAnsi="Arial" w:cs="Arial" w:eastAsia="Arial" w:hint="default"/>
                <w:sz w:val="16"/>
                <w:szCs w:val="16"/>
              </w:rPr>
            </w:pPr>
            <w:r>
              <w:rPr>
                <w:rFonts w:ascii="Arial"/>
                <w:w w:val="100"/>
                <w:sz w:val="16"/>
              </w:rPr>
            </w:r>
            <w:r>
              <w:rPr>
                <w:rFonts w:ascii="Arial"/>
                <w:spacing w:val="-1"/>
                <w:sz w:val="16"/>
                <w:u w:val="thick" w:color="000000"/>
              </w:rPr>
              <w:t>335,887,800</w:t>
            </w:r>
            <w:r>
              <w:rPr>
                <w:rFonts w:ascii="Arial"/>
                <w:spacing w:val="-1"/>
                <w:sz w:val="16"/>
              </w:rPr>
            </w:r>
            <w:r>
              <w:rPr>
                <w:rFonts w:ascii="Arial"/>
                <w:sz w:val="16"/>
              </w:rPr>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64"/>
              <w:jc w:val="right"/>
              <w:rPr>
                <w:rFonts w:ascii="Arial" w:hAnsi="Arial" w:cs="Arial" w:eastAsia="Arial" w:hint="default"/>
                <w:sz w:val="16"/>
                <w:szCs w:val="16"/>
              </w:rPr>
            </w:pPr>
            <w:r>
              <w:rPr>
                <w:rFonts w:ascii="Arial"/>
                <w:w w:val="100"/>
                <w:sz w:val="16"/>
              </w:rPr>
            </w:r>
            <w:r>
              <w:rPr>
                <w:rFonts w:ascii="Arial"/>
                <w:spacing w:val="-1"/>
                <w:sz w:val="16"/>
                <w:u w:val="thick" w:color="000000"/>
              </w:rPr>
              <w:t>302,944,893</w:t>
            </w:r>
            <w:r>
              <w:rPr>
                <w:rFonts w:ascii="Arial"/>
                <w:spacing w:val="-1"/>
                <w:sz w:val="16"/>
              </w:rPr>
            </w:r>
            <w:r>
              <w:rPr>
                <w:rFonts w:ascii="Arial"/>
                <w:sz w:val="16"/>
              </w:rPr>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4"/>
              <w:jc w:val="right"/>
              <w:rPr>
                <w:rFonts w:ascii="Arial" w:hAnsi="Arial" w:cs="Arial" w:eastAsia="Arial" w:hint="default"/>
                <w:sz w:val="16"/>
                <w:szCs w:val="16"/>
              </w:rPr>
            </w:pPr>
            <w:r>
              <w:rPr>
                <w:rFonts w:ascii="Arial"/>
                <w:spacing w:val="-1"/>
                <w:sz w:val="16"/>
              </w:rPr>
              <w:t>(</w:t>
            </w:r>
            <w:r>
              <w:rPr>
                <w:rFonts w:ascii="Arial"/>
                <w:spacing w:val="-1"/>
                <w:sz w:val="16"/>
                <w:u w:val="thick" w:color="000000"/>
              </w:rPr>
              <w:t>112,754,773</w:t>
            </w:r>
            <w:r>
              <w:rPr>
                <w:rFonts w:ascii="Arial"/>
                <w:spacing w:val="-1"/>
                <w:sz w:val="16"/>
              </w:rPr>
              <w:t>)</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3"/>
              <w:jc w:val="right"/>
              <w:rPr>
                <w:rFonts w:ascii="Arial" w:hAnsi="Arial" w:cs="Arial" w:eastAsia="Arial" w:hint="default"/>
                <w:sz w:val="16"/>
                <w:szCs w:val="16"/>
              </w:rPr>
            </w:pPr>
            <w:r>
              <w:rPr>
                <w:rFonts w:ascii="Arial"/>
                <w:w w:val="100"/>
                <w:sz w:val="16"/>
              </w:rPr>
            </w:r>
            <w:r>
              <w:rPr>
                <w:rFonts w:ascii="Arial"/>
                <w:spacing w:val="-1"/>
                <w:sz w:val="16"/>
                <w:u w:val="thick" w:color="000000"/>
              </w:rPr>
              <w:t>526,077,920</w:t>
            </w:r>
            <w:r>
              <w:rPr>
                <w:rFonts w:ascii="Arial"/>
                <w:spacing w:val="-1"/>
                <w:sz w:val="16"/>
              </w:rPr>
            </w:r>
            <w:r>
              <w:rPr>
                <w:rFonts w:ascii="Arial"/>
                <w:sz w:val="16"/>
              </w:rPr>
            </w:r>
          </w:p>
        </w:tc>
        <w:tc>
          <w:tcPr>
            <w:tcW w:w="756"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黑体" w:hAnsi="黑体" w:cs="黑体" w:eastAsia="黑体" w:hint="default"/>
          <w:sz w:val="20"/>
          <w:szCs w:val="20"/>
        </w:rPr>
      </w:pPr>
    </w:p>
    <w:p>
      <w:pPr>
        <w:pStyle w:val="BodyText"/>
        <w:spacing w:line="240" w:lineRule="auto" w:before="172"/>
        <w:ind w:right="3779"/>
        <w:jc w:val="left"/>
      </w:pPr>
      <w:r>
        <w:rPr>
          <w:rFonts w:ascii="Arial" w:hAnsi="Arial" w:cs="Arial" w:eastAsia="Arial" w:hint="default"/>
        </w:rPr>
        <w:t>2011</w:t>
      </w:r>
      <w:r>
        <w:rPr/>
        <w:t>年</w:t>
      </w:r>
    </w:p>
    <w:p>
      <w:pPr>
        <w:spacing w:line="240" w:lineRule="auto" w:before="12"/>
        <w:rPr>
          <w:rFonts w:ascii="黑体" w:hAnsi="黑体" w:cs="黑体" w:eastAsia="黑体" w:hint="default"/>
          <w:sz w:val="4"/>
          <w:szCs w:val="4"/>
        </w:rPr>
      </w:pPr>
    </w:p>
    <w:tbl>
      <w:tblPr>
        <w:tblW w:w="0" w:type="auto"/>
        <w:jc w:val="left"/>
        <w:tblInd w:w="614" w:type="dxa"/>
        <w:tblLayout w:type="fixed"/>
        <w:tblCellMar>
          <w:top w:w="0" w:type="dxa"/>
          <w:left w:w="0" w:type="dxa"/>
          <w:bottom w:w="0" w:type="dxa"/>
          <w:right w:w="0" w:type="dxa"/>
        </w:tblCellMar>
        <w:tblLook w:val="01E0"/>
      </w:tblPr>
      <w:tblGrid>
        <w:gridCol w:w="1713"/>
        <w:gridCol w:w="658"/>
        <w:gridCol w:w="1030"/>
        <w:gridCol w:w="1076"/>
        <w:gridCol w:w="1155"/>
        <w:gridCol w:w="993"/>
        <w:gridCol w:w="761"/>
        <w:gridCol w:w="1028"/>
      </w:tblGrid>
      <w:tr>
        <w:trPr>
          <w:trHeight w:val="448" w:hRule="exact"/>
        </w:trPr>
        <w:tc>
          <w:tcPr>
            <w:tcW w:w="17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4"/>
                <w:szCs w:val="14"/>
              </w:rPr>
            </w:pPr>
          </w:p>
          <w:p>
            <w:pPr>
              <w:pStyle w:val="TableParagraph"/>
              <w:spacing w:line="240" w:lineRule="auto"/>
              <w:ind w:left="200" w:right="0"/>
              <w:jc w:val="left"/>
              <w:rPr>
                <w:rFonts w:ascii="黑体" w:hAnsi="黑体" w:cs="黑体" w:eastAsia="黑体" w:hint="default"/>
                <w:sz w:val="16"/>
                <w:szCs w:val="16"/>
              </w:rPr>
            </w:pPr>
            <w:r>
              <w:rPr>
                <w:rFonts w:ascii="黑体" w:hAnsi="黑体" w:cs="黑体" w:eastAsia="黑体" w:hint="default"/>
                <w:sz w:val="16"/>
                <w:szCs w:val="16"/>
              </w:rPr>
              <w:t>工程项目名称</w:t>
            </w:r>
          </w:p>
        </w:tc>
        <w:tc>
          <w:tcPr>
            <w:tcW w:w="6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4"/>
                <w:szCs w:val="14"/>
              </w:rPr>
            </w:pPr>
          </w:p>
          <w:p>
            <w:pPr>
              <w:pStyle w:val="TableParagraph"/>
              <w:spacing w:line="240" w:lineRule="auto"/>
              <w:ind w:right="49"/>
              <w:jc w:val="right"/>
              <w:rPr>
                <w:rFonts w:ascii="黑体" w:hAnsi="黑体" w:cs="黑体" w:eastAsia="黑体" w:hint="default"/>
                <w:sz w:val="16"/>
                <w:szCs w:val="16"/>
              </w:rPr>
            </w:pPr>
            <w:r>
              <w:rPr>
                <w:rFonts w:ascii="黑体" w:hAnsi="黑体" w:cs="黑体" w:eastAsia="黑体" w:hint="default"/>
                <w:sz w:val="16"/>
                <w:szCs w:val="16"/>
              </w:rPr>
              <w:t>预算款</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4"/>
                <w:szCs w:val="14"/>
              </w:rPr>
            </w:pPr>
          </w:p>
          <w:p>
            <w:pPr>
              <w:pStyle w:val="TableParagraph"/>
              <w:spacing w:line="240" w:lineRule="auto"/>
              <w:ind w:right="83"/>
              <w:jc w:val="right"/>
              <w:rPr>
                <w:rFonts w:ascii="黑体" w:hAnsi="黑体" w:cs="黑体" w:eastAsia="黑体" w:hint="default"/>
                <w:sz w:val="16"/>
                <w:szCs w:val="16"/>
              </w:rPr>
            </w:pPr>
            <w:r>
              <w:rPr>
                <w:rFonts w:ascii="黑体" w:hAnsi="黑体" w:cs="黑体" w:eastAsia="黑体" w:hint="default"/>
                <w:sz w:val="16"/>
                <w:szCs w:val="16"/>
              </w:rPr>
              <w:t>年初数</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4"/>
                <w:szCs w:val="14"/>
              </w:rPr>
            </w:pPr>
          </w:p>
          <w:p>
            <w:pPr>
              <w:pStyle w:val="TableParagraph"/>
              <w:spacing w:line="240" w:lineRule="auto"/>
              <w:ind w:right="96"/>
              <w:jc w:val="right"/>
              <w:rPr>
                <w:rFonts w:ascii="黑体" w:hAnsi="黑体" w:cs="黑体" w:eastAsia="黑体" w:hint="default"/>
                <w:sz w:val="16"/>
                <w:szCs w:val="16"/>
              </w:rPr>
            </w:pPr>
            <w:r>
              <w:rPr>
                <w:rFonts w:ascii="黑体" w:hAnsi="黑体" w:cs="黑体" w:eastAsia="黑体" w:hint="default"/>
                <w:sz w:val="16"/>
                <w:szCs w:val="16"/>
              </w:rPr>
              <w:t>本年增加</w:t>
            </w:r>
          </w:p>
        </w:tc>
        <w:tc>
          <w:tcPr>
            <w:tcW w:w="1155" w:type="dxa"/>
            <w:tcBorders>
              <w:top w:val="nil" w:sz="6" w:space="0" w:color="auto"/>
              <w:left w:val="nil" w:sz="6" w:space="0" w:color="auto"/>
              <w:bottom w:val="nil" w:sz="6" w:space="0" w:color="auto"/>
              <w:right w:val="nil" w:sz="6" w:space="0" w:color="auto"/>
            </w:tcBorders>
          </w:tcPr>
          <w:p>
            <w:pPr>
              <w:pStyle w:val="TableParagraph"/>
              <w:spacing w:line="161" w:lineRule="exact"/>
              <w:ind w:right="56"/>
              <w:jc w:val="right"/>
              <w:rPr>
                <w:rFonts w:ascii="黑体" w:hAnsi="黑体" w:cs="黑体" w:eastAsia="黑体" w:hint="default"/>
                <w:sz w:val="16"/>
                <w:szCs w:val="16"/>
              </w:rPr>
            </w:pPr>
            <w:r>
              <w:rPr>
                <w:rFonts w:ascii="黑体" w:hAnsi="黑体" w:cs="黑体" w:eastAsia="黑体" w:hint="default"/>
                <w:sz w:val="16"/>
                <w:szCs w:val="16"/>
              </w:rPr>
              <w:t>转入固定</w:t>
            </w:r>
          </w:p>
          <w:p>
            <w:pPr>
              <w:pStyle w:val="TableParagraph"/>
              <w:spacing w:line="240" w:lineRule="auto" w:before="30"/>
              <w:ind w:right="56"/>
              <w:jc w:val="right"/>
              <w:rPr>
                <w:rFonts w:ascii="黑体" w:hAnsi="黑体" w:cs="黑体" w:eastAsia="黑体" w:hint="default"/>
                <w:sz w:val="16"/>
                <w:szCs w:val="16"/>
              </w:rPr>
            </w:pPr>
            <w:r>
              <w:rPr>
                <w:rFonts w:ascii="黑体" w:hAnsi="黑体" w:cs="黑体" w:eastAsia="黑体" w:hint="default"/>
                <w:sz w:val="16"/>
                <w:szCs w:val="16"/>
              </w:rPr>
              <w:t>资产</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4"/>
                <w:szCs w:val="14"/>
              </w:rPr>
            </w:pPr>
          </w:p>
          <w:p>
            <w:pPr>
              <w:pStyle w:val="TableParagraph"/>
              <w:spacing w:line="240" w:lineRule="auto"/>
              <w:ind w:right="47"/>
              <w:jc w:val="right"/>
              <w:rPr>
                <w:rFonts w:ascii="黑体" w:hAnsi="黑体" w:cs="黑体" w:eastAsia="黑体" w:hint="default"/>
                <w:sz w:val="16"/>
                <w:szCs w:val="16"/>
              </w:rPr>
            </w:pPr>
            <w:r>
              <w:rPr>
                <w:rFonts w:ascii="黑体" w:hAnsi="黑体" w:cs="黑体" w:eastAsia="黑体" w:hint="default"/>
                <w:sz w:val="16"/>
                <w:szCs w:val="16"/>
              </w:rPr>
              <w:t>年末数</w:t>
            </w:r>
          </w:p>
        </w:tc>
        <w:tc>
          <w:tcPr>
            <w:tcW w:w="76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14"/>
                <w:szCs w:val="14"/>
              </w:rPr>
            </w:pPr>
          </w:p>
          <w:p>
            <w:pPr>
              <w:pStyle w:val="TableParagraph"/>
              <w:spacing w:line="240" w:lineRule="auto"/>
              <w:ind w:right="24"/>
              <w:jc w:val="right"/>
              <w:rPr>
                <w:rFonts w:ascii="黑体" w:hAnsi="黑体" w:cs="黑体" w:eastAsia="黑体" w:hint="default"/>
                <w:sz w:val="16"/>
                <w:szCs w:val="16"/>
              </w:rPr>
            </w:pPr>
            <w:r>
              <w:rPr>
                <w:rFonts w:ascii="黑体" w:hAnsi="黑体" w:cs="黑体" w:eastAsia="黑体" w:hint="default"/>
                <w:sz w:val="16"/>
                <w:szCs w:val="16"/>
              </w:rPr>
              <w:t>资金来源</w:t>
            </w:r>
          </w:p>
        </w:tc>
        <w:tc>
          <w:tcPr>
            <w:tcW w:w="1028" w:type="dxa"/>
            <w:tcBorders>
              <w:top w:val="nil" w:sz="6" w:space="0" w:color="auto"/>
              <w:left w:val="nil" w:sz="6" w:space="0" w:color="auto"/>
              <w:bottom w:val="nil" w:sz="6" w:space="0" w:color="auto"/>
              <w:right w:val="nil" w:sz="6" w:space="0" w:color="auto"/>
            </w:tcBorders>
          </w:tcPr>
          <w:p>
            <w:pPr>
              <w:pStyle w:val="TableParagraph"/>
              <w:spacing w:line="161" w:lineRule="exact"/>
              <w:ind w:left="26" w:right="0" w:firstLine="158"/>
              <w:jc w:val="left"/>
              <w:rPr>
                <w:rFonts w:ascii="黑体" w:hAnsi="黑体" w:cs="黑体" w:eastAsia="黑体" w:hint="default"/>
                <w:sz w:val="16"/>
                <w:szCs w:val="16"/>
              </w:rPr>
            </w:pPr>
            <w:r>
              <w:rPr>
                <w:rFonts w:ascii="黑体" w:hAnsi="黑体" w:cs="黑体" w:eastAsia="黑体" w:hint="default"/>
                <w:sz w:val="16"/>
                <w:szCs w:val="16"/>
              </w:rPr>
              <w:t>工程投入</w:t>
            </w:r>
          </w:p>
          <w:p>
            <w:pPr>
              <w:pStyle w:val="TableParagraph"/>
              <w:spacing w:line="240" w:lineRule="auto" w:before="30"/>
              <w:ind w:left="26" w:right="0"/>
              <w:jc w:val="left"/>
              <w:rPr>
                <w:rFonts w:ascii="黑体" w:hAnsi="黑体" w:cs="黑体" w:eastAsia="黑体" w:hint="default"/>
                <w:sz w:val="16"/>
                <w:szCs w:val="16"/>
              </w:rPr>
            </w:pPr>
            <w:r>
              <w:rPr>
                <w:rFonts w:ascii="黑体" w:hAnsi="黑体" w:cs="黑体" w:eastAsia="黑体" w:hint="default"/>
                <w:sz w:val="16"/>
                <w:szCs w:val="16"/>
              </w:rPr>
              <w:t>占预算比例</w:t>
            </w:r>
          </w:p>
        </w:tc>
      </w:tr>
      <w:tr>
        <w:trPr>
          <w:trHeight w:val="378" w:hRule="exact"/>
        </w:trPr>
        <w:tc>
          <w:tcPr>
            <w:tcW w:w="1713" w:type="dxa"/>
            <w:tcBorders>
              <w:top w:val="nil" w:sz="6" w:space="0" w:color="auto"/>
              <w:left w:val="nil" w:sz="6" w:space="0" w:color="auto"/>
              <w:bottom w:val="nil" w:sz="6" w:space="0" w:color="auto"/>
              <w:right w:val="nil" w:sz="6" w:space="0" w:color="auto"/>
            </w:tcBorders>
          </w:tcPr>
          <w:p>
            <w:pPr/>
          </w:p>
        </w:tc>
        <w:tc>
          <w:tcPr>
            <w:tcW w:w="658" w:type="dxa"/>
            <w:tcBorders>
              <w:top w:val="nil" w:sz="6" w:space="0" w:color="auto"/>
              <w:left w:val="nil" w:sz="6" w:space="0" w:color="auto"/>
              <w:bottom w:val="nil" w:sz="6" w:space="0" w:color="auto"/>
              <w:right w:val="nil" w:sz="6" w:space="0" w:color="auto"/>
            </w:tcBorders>
          </w:tcPr>
          <w:p>
            <w:pPr>
              <w:pStyle w:val="TableParagraph"/>
              <w:spacing w:line="219" w:lineRule="exact"/>
              <w:ind w:right="49"/>
              <w:jc w:val="right"/>
              <w:rPr>
                <w:rFonts w:ascii="Arial" w:hAnsi="Arial" w:cs="Arial" w:eastAsia="Arial" w:hint="default"/>
                <w:sz w:val="16"/>
                <w:szCs w:val="16"/>
              </w:rPr>
            </w:pPr>
            <w:r>
              <w:rPr>
                <w:rFonts w:ascii="Arial" w:hAnsi="Arial" w:cs="Arial" w:eastAsia="Arial" w:hint="default"/>
                <w:spacing w:val="-1"/>
                <w:sz w:val="16"/>
                <w:szCs w:val="16"/>
              </w:rPr>
              <w:t>(</w:t>
            </w:r>
            <w:r>
              <w:rPr>
                <w:rFonts w:ascii="黑体" w:hAnsi="黑体" w:cs="黑体" w:eastAsia="黑体" w:hint="default"/>
                <w:spacing w:val="-1"/>
                <w:sz w:val="16"/>
                <w:szCs w:val="16"/>
              </w:rPr>
              <w:t>百万元</w:t>
            </w:r>
            <w:r>
              <w:rPr>
                <w:rFonts w:ascii="Arial" w:hAnsi="Arial" w:cs="Arial" w:eastAsia="Arial" w:hint="default"/>
                <w:spacing w:val="-1"/>
                <w:sz w:val="16"/>
                <w:szCs w:val="16"/>
              </w:rPr>
              <w:t>)</w:t>
            </w:r>
          </w:p>
        </w:tc>
        <w:tc>
          <w:tcPr>
            <w:tcW w:w="1030" w:type="dxa"/>
            <w:tcBorders>
              <w:top w:val="nil" w:sz="6" w:space="0" w:color="auto"/>
              <w:left w:val="nil" w:sz="6" w:space="0" w:color="auto"/>
              <w:bottom w:val="nil" w:sz="6" w:space="0" w:color="auto"/>
              <w:right w:val="nil" w:sz="6" w:space="0" w:color="auto"/>
            </w:tcBorders>
          </w:tcPr>
          <w:p>
            <w:pPr/>
          </w:p>
        </w:tc>
        <w:tc>
          <w:tcPr>
            <w:tcW w:w="1076"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nil" w:sz="6" w:space="0" w:color="auto"/>
            </w:tcBorders>
          </w:tcPr>
          <w:p>
            <w:pPr/>
          </w:p>
        </w:tc>
        <w:tc>
          <w:tcPr>
            <w:tcW w:w="761"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99"/>
              <w:jc w:val="right"/>
              <w:rPr>
                <w:rFonts w:ascii="Arial" w:hAnsi="Arial" w:cs="Arial" w:eastAsia="Arial" w:hint="default"/>
                <w:sz w:val="16"/>
                <w:szCs w:val="16"/>
              </w:rPr>
            </w:pPr>
            <w:r>
              <w:rPr>
                <w:rFonts w:ascii="Arial"/>
                <w:spacing w:val="-1"/>
                <w:sz w:val="16"/>
              </w:rPr>
              <w:t>(%)</w:t>
            </w:r>
          </w:p>
        </w:tc>
      </w:tr>
      <w:tr>
        <w:trPr>
          <w:trHeight w:val="624" w:hRule="exact"/>
        </w:trPr>
        <w:tc>
          <w:tcPr>
            <w:tcW w:w="1713" w:type="dxa"/>
            <w:tcBorders>
              <w:top w:val="nil" w:sz="6" w:space="0" w:color="auto"/>
              <w:left w:val="nil" w:sz="6" w:space="0" w:color="auto"/>
              <w:bottom w:val="nil" w:sz="6" w:space="0" w:color="auto"/>
              <w:right w:val="nil" w:sz="6" w:space="0" w:color="auto"/>
            </w:tcBorders>
          </w:tcPr>
          <w:p>
            <w:pPr>
              <w:pStyle w:val="TableParagraph"/>
              <w:spacing w:line="276" w:lineRule="auto" w:before="114"/>
              <w:ind w:left="360" w:right="387" w:hanging="161"/>
              <w:jc w:val="left"/>
              <w:rPr>
                <w:rFonts w:ascii="黑体" w:hAnsi="黑体" w:cs="黑体" w:eastAsia="黑体" w:hint="default"/>
                <w:sz w:val="16"/>
                <w:szCs w:val="16"/>
              </w:rPr>
            </w:pPr>
            <w:r>
              <w:rPr>
                <w:rFonts w:ascii="黑体" w:hAnsi="黑体" w:cs="黑体" w:eastAsia="黑体" w:hint="default"/>
                <w:sz w:val="16"/>
                <w:szCs w:val="16"/>
              </w:rPr>
              <w:t>用友软件园</w:t>
            </w:r>
            <w:r>
              <w:rPr>
                <w:rFonts w:ascii="黑体" w:hAnsi="黑体" w:cs="黑体" w:eastAsia="黑体" w:hint="default"/>
                <w:w w:val="100"/>
                <w:sz w:val="16"/>
                <w:szCs w:val="16"/>
              </w:rPr>
              <w:t> </w:t>
            </w:r>
            <w:r>
              <w:rPr>
                <w:rFonts w:ascii="黑体" w:hAnsi="黑体" w:cs="黑体" w:eastAsia="黑体" w:hint="default"/>
                <w:spacing w:val="-1"/>
                <w:sz w:val="16"/>
                <w:szCs w:val="16"/>
              </w:rPr>
              <w:t>项目二期工程</w:t>
            </w:r>
          </w:p>
        </w:tc>
        <w:tc>
          <w:tcPr>
            <w:tcW w:w="6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52"/>
              <w:jc w:val="right"/>
              <w:rPr>
                <w:rFonts w:ascii="Arial" w:hAnsi="Arial" w:cs="Arial" w:eastAsia="Arial" w:hint="default"/>
                <w:sz w:val="16"/>
                <w:szCs w:val="16"/>
              </w:rPr>
            </w:pPr>
            <w:r>
              <w:rPr>
                <w:rFonts w:ascii="Arial"/>
                <w:spacing w:val="-1"/>
                <w:sz w:val="16"/>
              </w:rPr>
              <w:t>1,200</w:t>
            </w:r>
            <w:r>
              <w:rPr>
                <w:rFonts w:ascii="Arial"/>
                <w:sz w:val="16"/>
              </w:rPr>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86"/>
              <w:jc w:val="right"/>
              <w:rPr>
                <w:rFonts w:ascii="Arial" w:hAnsi="Arial" w:cs="Arial" w:eastAsia="Arial" w:hint="default"/>
                <w:sz w:val="16"/>
                <w:szCs w:val="16"/>
              </w:rPr>
            </w:pPr>
            <w:r>
              <w:rPr>
                <w:rFonts w:ascii="Arial"/>
                <w:spacing w:val="-1"/>
                <w:sz w:val="16"/>
              </w:rPr>
              <w:t>362,174,905</w:t>
            </w:r>
            <w:r>
              <w:rPr>
                <w:rFonts w:ascii="Arial"/>
                <w:sz w:val="16"/>
              </w:rPr>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99"/>
              <w:jc w:val="right"/>
              <w:rPr>
                <w:rFonts w:ascii="Arial" w:hAnsi="Arial" w:cs="Arial" w:eastAsia="Arial" w:hint="default"/>
                <w:sz w:val="16"/>
                <w:szCs w:val="16"/>
              </w:rPr>
            </w:pPr>
            <w:r>
              <w:rPr>
                <w:rFonts w:ascii="Arial"/>
                <w:spacing w:val="-1"/>
                <w:sz w:val="16"/>
              </w:rPr>
              <w:t>225,014,386</w:t>
            </w:r>
            <w:r>
              <w:rPr>
                <w:rFonts w:ascii="Arial"/>
                <w:sz w:val="16"/>
              </w:rPr>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49"/>
              <w:jc w:val="right"/>
              <w:rPr>
                <w:rFonts w:ascii="Arial" w:hAnsi="Arial" w:cs="Arial" w:eastAsia="Arial" w:hint="default"/>
                <w:sz w:val="16"/>
                <w:szCs w:val="16"/>
              </w:rPr>
            </w:pPr>
            <w:r>
              <w:rPr>
                <w:rFonts w:ascii="Arial"/>
                <w:spacing w:val="-1"/>
                <w:sz w:val="16"/>
              </w:rPr>
              <w:t>(293,269,144)</w:t>
            </w:r>
            <w:r>
              <w:rPr>
                <w:rFonts w:ascii="Arial"/>
                <w:sz w:val="16"/>
              </w:rPr>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48"/>
              <w:jc w:val="right"/>
              <w:rPr>
                <w:rFonts w:ascii="Arial" w:hAnsi="Arial" w:cs="Arial" w:eastAsia="Arial" w:hint="default"/>
                <w:sz w:val="16"/>
                <w:szCs w:val="16"/>
              </w:rPr>
            </w:pPr>
            <w:r>
              <w:rPr>
                <w:rFonts w:ascii="Arial"/>
                <w:spacing w:val="-1"/>
                <w:sz w:val="16"/>
              </w:rPr>
              <w:t>293,920,147</w:t>
            </w:r>
            <w:r>
              <w:rPr>
                <w:rFonts w:ascii="Arial"/>
                <w:sz w:val="16"/>
              </w:rPr>
            </w:r>
          </w:p>
        </w:tc>
        <w:tc>
          <w:tcPr>
            <w:tcW w:w="761" w:type="dxa"/>
            <w:tcBorders>
              <w:top w:val="nil" w:sz="6" w:space="0" w:color="auto"/>
              <w:left w:val="nil" w:sz="6" w:space="0" w:color="auto"/>
              <w:bottom w:val="nil" w:sz="6" w:space="0" w:color="auto"/>
              <w:right w:val="nil" w:sz="6" w:space="0" w:color="auto"/>
            </w:tcBorders>
          </w:tcPr>
          <w:p>
            <w:pPr>
              <w:pStyle w:val="TableParagraph"/>
              <w:spacing w:line="261" w:lineRule="auto" w:before="114"/>
              <w:ind w:left="91" w:right="24" w:hanging="44"/>
              <w:jc w:val="left"/>
              <w:rPr>
                <w:rFonts w:ascii="黑体" w:hAnsi="黑体" w:cs="黑体" w:eastAsia="黑体" w:hint="default"/>
                <w:sz w:val="16"/>
                <w:szCs w:val="16"/>
              </w:rPr>
            </w:pPr>
            <w:r>
              <w:rPr>
                <w:rFonts w:ascii="黑体" w:hAnsi="黑体" w:cs="黑体" w:eastAsia="黑体" w:hint="default"/>
                <w:sz w:val="16"/>
                <w:szCs w:val="16"/>
              </w:rPr>
              <w:t>自筹资金</w:t>
            </w:r>
            <w:r>
              <w:rPr>
                <w:rFonts w:ascii="Arial" w:hAnsi="Arial" w:cs="Arial" w:eastAsia="Arial" w:hint="default"/>
                <w:sz w:val="16"/>
                <w:szCs w:val="16"/>
              </w:rPr>
              <w:t>/</w:t>
            </w:r>
            <w:r>
              <w:rPr>
                <w:rFonts w:ascii="Arial" w:hAnsi="Arial" w:cs="Arial" w:eastAsia="Arial" w:hint="default"/>
                <w:w w:val="100"/>
                <w:sz w:val="16"/>
                <w:szCs w:val="16"/>
              </w:rPr>
              <w:t> </w:t>
            </w:r>
            <w:r>
              <w:rPr>
                <w:rFonts w:ascii="黑体" w:hAnsi="黑体" w:cs="黑体" w:eastAsia="黑体" w:hint="default"/>
                <w:sz w:val="16"/>
                <w:szCs w:val="16"/>
              </w:rPr>
              <w:t>银行贷款</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11"/>
              <w:ind w:right="0"/>
              <w:jc w:val="left"/>
              <w:rPr>
                <w:rFonts w:ascii="黑体" w:hAnsi="黑体" w:cs="黑体" w:eastAsia="黑体" w:hint="default"/>
                <w:sz w:val="13"/>
                <w:szCs w:val="13"/>
              </w:rPr>
            </w:pPr>
          </w:p>
          <w:p>
            <w:pPr>
              <w:pStyle w:val="TableParagraph"/>
              <w:spacing w:line="240" w:lineRule="auto"/>
              <w:ind w:right="200"/>
              <w:jc w:val="right"/>
              <w:rPr>
                <w:rFonts w:ascii="Arial" w:hAnsi="Arial" w:cs="Arial" w:eastAsia="Arial" w:hint="default"/>
                <w:sz w:val="16"/>
                <w:szCs w:val="16"/>
              </w:rPr>
            </w:pPr>
            <w:r>
              <w:rPr>
                <w:rFonts w:ascii="Arial"/>
                <w:spacing w:val="-1"/>
                <w:sz w:val="16"/>
              </w:rPr>
              <w:t>49</w:t>
            </w:r>
            <w:r>
              <w:rPr>
                <w:rFonts w:ascii="Arial"/>
                <w:sz w:val="16"/>
              </w:rPr>
            </w:r>
          </w:p>
        </w:tc>
      </w:tr>
      <w:tr>
        <w:trPr>
          <w:trHeight w:val="247" w:hRule="exact"/>
        </w:trPr>
        <w:tc>
          <w:tcPr>
            <w:tcW w:w="1713" w:type="dxa"/>
            <w:tcBorders>
              <w:top w:val="nil" w:sz="6" w:space="0" w:color="auto"/>
              <w:left w:val="nil" w:sz="6" w:space="0" w:color="auto"/>
              <w:bottom w:val="nil" w:sz="6" w:space="0" w:color="auto"/>
              <w:right w:val="nil" w:sz="6" w:space="0" w:color="auto"/>
            </w:tcBorders>
          </w:tcPr>
          <w:p>
            <w:pPr>
              <w:pStyle w:val="TableParagraph"/>
              <w:spacing w:line="208" w:lineRule="exact"/>
              <w:ind w:left="200" w:right="0"/>
              <w:jc w:val="left"/>
              <w:rPr>
                <w:rFonts w:ascii="黑体" w:hAnsi="黑体" w:cs="黑体" w:eastAsia="黑体" w:hint="default"/>
                <w:sz w:val="16"/>
                <w:szCs w:val="16"/>
              </w:rPr>
            </w:pPr>
            <w:r>
              <w:rPr>
                <w:rFonts w:ascii="黑体" w:hAnsi="黑体" w:cs="黑体" w:eastAsia="黑体" w:hint="default"/>
                <w:sz w:val="16"/>
                <w:szCs w:val="16"/>
              </w:rPr>
              <w:t>用友</w:t>
            </w:r>
            <w:r>
              <w:rPr>
                <w:rFonts w:ascii="Arial" w:hAnsi="Arial" w:cs="Arial" w:eastAsia="Arial" w:hint="default"/>
                <w:sz w:val="16"/>
                <w:szCs w:val="16"/>
              </w:rPr>
              <w:t>(</w:t>
            </w:r>
            <w:r>
              <w:rPr>
                <w:rFonts w:ascii="黑体" w:hAnsi="黑体" w:cs="黑体" w:eastAsia="黑体" w:hint="default"/>
                <w:sz w:val="16"/>
                <w:szCs w:val="16"/>
              </w:rPr>
              <w:t>南昌</w:t>
            </w:r>
            <w:r>
              <w:rPr>
                <w:rFonts w:ascii="Arial" w:hAnsi="Arial" w:cs="Arial" w:eastAsia="Arial" w:hint="default"/>
                <w:sz w:val="16"/>
                <w:szCs w:val="16"/>
              </w:rPr>
              <w:t>)</w:t>
            </w:r>
            <w:r>
              <w:rPr>
                <w:rFonts w:ascii="黑体" w:hAnsi="黑体" w:cs="黑体" w:eastAsia="黑体" w:hint="default"/>
                <w:sz w:val="16"/>
                <w:szCs w:val="16"/>
              </w:rPr>
              <w:t>工程一期</w:t>
            </w:r>
          </w:p>
        </w:tc>
        <w:tc>
          <w:tcPr>
            <w:tcW w:w="65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2"/>
              <w:jc w:val="right"/>
              <w:rPr>
                <w:rFonts w:ascii="Arial" w:hAnsi="Arial" w:cs="Arial" w:eastAsia="Arial" w:hint="default"/>
                <w:sz w:val="16"/>
                <w:szCs w:val="16"/>
              </w:rPr>
            </w:pPr>
            <w:r>
              <w:rPr>
                <w:rFonts w:ascii="Arial"/>
                <w:spacing w:val="-1"/>
                <w:sz w:val="16"/>
              </w:rPr>
              <w:t>300</w:t>
            </w:r>
            <w:r>
              <w:rPr>
                <w:rFonts w:ascii="Arial"/>
                <w:sz w:val="16"/>
              </w:rPr>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6"/>
              <w:jc w:val="right"/>
              <w:rPr>
                <w:rFonts w:ascii="Arial" w:hAnsi="Arial" w:cs="Arial" w:eastAsia="Arial" w:hint="default"/>
                <w:sz w:val="16"/>
                <w:szCs w:val="16"/>
              </w:rPr>
            </w:pPr>
            <w:r>
              <w:rPr>
                <w:rFonts w:ascii="Arial"/>
                <w:spacing w:val="-1"/>
                <w:sz w:val="16"/>
              </w:rPr>
              <w:t>7,303,812</w:t>
            </w:r>
            <w:r>
              <w:rPr>
                <w:rFonts w:ascii="Arial"/>
                <w:sz w:val="16"/>
              </w:rPr>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99"/>
              <w:jc w:val="right"/>
              <w:rPr>
                <w:rFonts w:ascii="Arial" w:hAnsi="Arial" w:cs="Arial" w:eastAsia="Arial" w:hint="default"/>
                <w:sz w:val="16"/>
                <w:szCs w:val="16"/>
              </w:rPr>
            </w:pPr>
            <w:r>
              <w:rPr>
                <w:rFonts w:ascii="Arial"/>
                <w:spacing w:val="-1"/>
                <w:sz w:val="16"/>
              </w:rPr>
              <w:t>33,648,283</w:t>
            </w:r>
            <w:r>
              <w:rPr>
                <w:rFonts w:ascii="Arial"/>
                <w:sz w:val="16"/>
              </w:rPr>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8"/>
              <w:jc w:val="right"/>
              <w:rPr>
                <w:rFonts w:ascii="Arial" w:hAnsi="Arial" w:cs="Arial" w:eastAsia="Arial" w:hint="default"/>
                <w:sz w:val="16"/>
                <w:szCs w:val="16"/>
              </w:rPr>
            </w:pPr>
            <w:r>
              <w:rPr>
                <w:rFonts w:ascii="Arial"/>
                <w:w w:val="100"/>
                <w:sz w:val="16"/>
              </w:rPr>
              <w:t>-</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8"/>
              <w:jc w:val="right"/>
              <w:rPr>
                <w:rFonts w:ascii="Arial" w:hAnsi="Arial" w:cs="Arial" w:eastAsia="Arial" w:hint="default"/>
                <w:sz w:val="16"/>
                <w:szCs w:val="16"/>
              </w:rPr>
            </w:pPr>
            <w:r>
              <w:rPr>
                <w:rFonts w:ascii="Arial"/>
                <w:spacing w:val="-1"/>
                <w:sz w:val="16"/>
              </w:rPr>
              <w:t>40,952,095</w:t>
            </w:r>
            <w:r>
              <w:rPr>
                <w:rFonts w:ascii="Arial"/>
                <w:sz w:val="16"/>
              </w:rPr>
            </w:r>
          </w:p>
        </w:tc>
        <w:tc>
          <w:tcPr>
            <w:tcW w:w="761" w:type="dxa"/>
            <w:tcBorders>
              <w:top w:val="nil" w:sz="6" w:space="0" w:color="auto"/>
              <w:left w:val="nil" w:sz="6" w:space="0" w:color="auto"/>
              <w:bottom w:val="nil" w:sz="6" w:space="0" w:color="auto"/>
              <w:right w:val="nil" w:sz="6" w:space="0" w:color="auto"/>
            </w:tcBorders>
          </w:tcPr>
          <w:p>
            <w:pPr>
              <w:pStyle w:val="TableParagraph"/>
              <w:spacing w:line="196" w:lineRule="exact"/>
              <w:ind w:right="24"/>
              <w:jc w:val="right"/>
              <w:rPr>
                <w:rFonts w:ascii="黑体" w:hAnsi="黑体" w:cs="黑体" w:eastAsia="黑体" w:hint="default"/>
                <w:sz w:val="16"/>
                <w:szCs w:val="16"/>
              </w:rPr>
            </w:pPr>
            <w:r>
              <w:rPr>
                <w:rFonts w:ascii="黑体" w:hAnsi="黑体" w:cs="黑体" w:eastAsia="黑体" w:hint="default"/>
                <w:sz w:val="16"/>
                <w:szCs w:val="16"/>
              </w:rPr>
              <w:t>自筹资金</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98"/>
              <w:jc w:val="right"/>
              <w:rPr>
                <w:rFonts w:ascii="Arial" w:hAnsi="Arial" w:cs="Arial" w:eastAsia="Arial" w:hint="default"/>
                <w:sz w:val="16"/>
                <w:szCs w:val="16"/>
              </w:rPr>
            </w:pPr>
            <w:r>
              <w:rPr>
                <w:rFonts w:ascii="Arial"/>
                <w:spacing w:val="-1"/>
                <w:sz w:val="16"/>
              </w:rPr>
              <w:t>14</w:t>
            </w:r>
            <w:r>
              <w:rPr>
                <w:rFonts w:ascii="Arial"/>
                <w:sz w:val="16"/>
              </w:rPr>
            </w:r>
          </w:p>
        </w:tc>
      </w:tr>
      <w:tr>
        <w:trPr>
          <w:trHeight w:val="245" w:hRule="exact"/>
        </w:trPr>
        <w:tc>
          <w:tcPr>
            <w:tcW w:w="1713" w:type="dxa"/>
            <w:tcBorders>
              <w:top w:val="nil" w:sz="6" w:space="0" w:color="auto"/>
              <w:left w:val="nil" w:sz="6" w:space="0" w:color="auto"/>
              <w:bottom w:val="nil" w:sz="6" w:space="0" w:color="auto"/>
              <w:right w:val="nil" w:sz="6" w:space="0" w:color="auto"/>
            </w:tcBorders>
          </w:tcPr>
          <w:p>
            <w:pPr>
              <w:pStyle w:val="TableParagraph"/>
              <w:spacing w:line="204" w:lineRule="exact"/>
              <w:ind w:left="200" w:right="0"/>
              <w:jc w:val="left"/>
              <w:rPr>
                <w:rFonts w:ascii="黑体" w:hAnsi="黑体" w:cs="黑体" w:eastAsia="黑体" w:hint="default"/>
                <w:sz w:val="16"/>
                <w:szCs w:val="16"/>
              </w:rPr>
            </w:pPr>
            <w:r>
              <w:rPr>
                <w:rFonts w:ascii="黑体" w:hAnsi="黑体" w:cs="黑体" w:eastAsia="黑体" w:hint="default"/>
                <w:sz w:val="16"/>
                <w:szCs w:val="16"/>
              </w:rPr>
              <w:t>其他</w:t>
            </w:r>
          </w:p>
        </w:tc>
        <w:tc>
          <w:tcPr>
            <w:tcW w:w="658" w:type="dxa"/>
            <w:tcBorders>
              <w:top w:val="nil" w:sz="6" w:space="0" w:color="auto"/>
              <w:left w:val="nil" w:sz="6" w:space="0" w:color="auto"/>
              <w:bottom w:val="nil" w:sz="6" w:space="0" w:color="auto"/>
              <w:right w:val="nil" w:sz="6" w:space="0" w:color="auto"/>
            </w:tcBorders>
          </w:tcPr>
          <w:p>
            <w:pPr/>
          </w:p>
        </w:tc>
        <w:tc>
          <w:tcPr>
            <w:tcW w:w="1030" w:type="dxa"/>
            <w:tcBorders>
              <w:top w:val="nil" w:sz="6" w:space="0" w:color="auto"/>
              <w:left w:val="nil" w:sz="6" w:space="0" w:color="auto"/>
              <w:bottom w:val="nil" w:sz="6" w:space="0" w:color="auto"/>
              <w:right w:val="nil" w:sz="6" w:space="0" w:color="auto"/>
            </w:tcBorders>
          </w:tcPr>
          <w:p>
            <w:pPr>
              <w:pStyle w:val="TableParagraph"/>
              <w:tabs>
                <w:tab w:pos="842" w:val="left" w:leader="none"/>
              </w:tabs>
              <w:spacing w:line="240" w:lineRule="auto" w:before="31"/>
              <w:ind w:right="82"/>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w:t>
            </w:r>
            <w:r>
              <w:rPr>
                <w:rFonts w:ascii="Arial"/>
                <w:sz w:val="16"/>
              </w:rPr>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6"/>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  </w:t>
            </w:r>
            <w:r>
              <w:rPr>
                <w:rFonts w:ascii="Arial"/>
                <w:spacing w:val="-15"/>
                <w:sz w:val="16"/>
                <w:u w:val="single" w:color="000000"/>
              </w:rPr>
              <w:t> </w:t>
            </w:r>
            <w:r>
              <w:rPr>
                <w:rFonts w:ascii="Arial"/>
                <w:spacing w:val="-2"/>
                <w:sz w:val="16"/>
                <w:u w:val="single" w:color="000000"/>
              </w:rPr>
              <w:t>1,015,558</w:t>
            </w:r>
            <w:r>
              <w:rPr>
                <w:rFonts w:ascii="Arial"/>
                <w:spacing w:val="-2"/>
                <w:sz w:val="16"/>
              </w:rPr>
            </w:r>
            <w:r>
              <w:rPr>
                <w:rFonts w:ascii="Arial"/>
                <w:sz w:val="16"/>
              </w:rPr>
            </w:r>
          </w:p>
        </w:tc>
        <w:tc>
          <w:tcPr>
            <w:tcW w:w="1155" w:type="dxa"/>
            <w:tcBorders>
              <w:top w:val="nil" w:sz="6" w:space="0" w:color="auto"/>
              <w:left w:val="nil" w:sz="6" w:space="0" w:color="auto"/>
              <w:bottom w:val="nil" w:sz="6" w:space="0" w:color="auto"/>
              <w:right w:val="nil" w:sz="6" w:space="0" w:color="auto"/>
            </w:tcBorders>
          </w:tcPr>
          <w:p>
            <w:pPr>
              <w:pStyle w:val="TableParagraph"/>
              <w:tabs>
                <w:tab w:pos="907" w:val="left" w:leader="none"/>
              </w:tabs>
              <w:spacing w:line="240" w:lineRule="auto" w:before="31"/>
              <w:ind w:right="55"/>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w:t>
            </w:r>
            <w:r>
              <w:rPr>
                <w:rFonts w:ascii="Arial"/>
                <w:sz w:val="16"/>
              </w:rPr>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6"/>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  </w:t>
            </w:r>
            <w:r>
              <w:rPr>
                <w:rFonts w:ascii="Arial"/>
                <w:spacing w:val="-15"/>
                <w:sz w:val="16"/>
                <w:u w:val="single" w:color="000000"/>
              </w:rPr>
              <w:t> </w:t>
            </w:r>
            <w:r>
              <w:rPr>
                <w:rFonts w:ascii="Arial"/>
                <w:spacing w:val="-2"/>
                <w:sz w:val="16"/>
                <w:u w:val="single" w:color="000000"/>
              </w:rPr>
              <w:t>1,015,558</w:t>
            </w:r>
            <w:r>
              <w:rPr>
                <w:rFonts w:ascii="Arial"/>
                <w:spacing w:val="-2"/>
                <w:sz w:val="16"/>
              </w:rPr>
            </w:r>
            <w:r>
              <w:rPr>
                <w:rFonts w:ascii="Arial"/>
                <w:sz w:val="16"/>
              </w:rPr>
            </w:r>
          </w:p>
        </w:tc>
        <w:tc>
          <w:tcPr>
            <w:tcW w:w="761"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
        </w:tc>
      </w:tr>
      <w:tr>
        <w:trPr>
          <w:trHeight w:val="238" w:hRule="exact"/>
        </w:trPr>
        <w:tc>
          <w:tcPr>
            <w:tcW w:w="1713" w:type="dxa"/>
            <w:tcBorders>
              <w:top w:val="nil" w:sz="6" w:space="0" w:color="auto"/>
              <w:left w:val="nil" w:sz="6" w:space="0" w:color="auto"/>
              <w:bottom w:val="nil" w:sz="6" w:space="0" w:color="auto"/>
              <w:right w:val="nil" w:sz="6" w:space="0" w:color="auto"/>
            </w:tcBorders>
          </w:tcPr>
          <w:p>
            <w:pPr>
              <w:pStyle w:val="TableParagraph"/>
              <w:spacing w:line="213" w:lineRule="exact"/>
              <w:ind w:left="200" w:right="0"/>
              <w:jc w:val="left"/>
              <w:rPr>
                <w:rFonts w:ascii="黑体" w:hAnsi="黑体" w:cs="黑体" w:eastAsia="黑体" w:hint="default"/>
                <w:sz w:val="18"/>
                <w:szCs w:val="18"/>
              </w:rPr>
            </w:pPr>
            <w:r>
              <w:rPr>
                <w:rFonts w:ascii="黑体" w:hAnsi="黑体" w:cs="黑体" w:eastAsia="黑体" w:hint="default"/>
                <w:sz w:val="18"/>
                <w:szCs w:val="18"/>
              </w:rPr>
              <w:t>合计</w:t>
            </w:r>
          </w:p>
        </w:tc>
        <w:tc>
          <w:tcPr>
            <w:tcW w:w="658" w:type="dxa"/>
            <w:tcBorders>
              <w:top w:val="nil" w:sz="6" w:space="0" w:color="auto"/>
              <w:left w:val="nil" w:sz="6" w:space="0" w:color="auto"/>
              <w:bottom w:val="nil" w:sz="6" w:space="0" w:color="auto"/>
              <w:right w:val="nil" w:sz="6" w:space="0" w:color="auto"/>
            </w:tcBorders>
          </w:tcPr>
          <w:p>
            <w:pP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6"/>
              <w:jc w:val="right"/>
              <w:rPr>
                <w:rFonts w:ascii="Arial" w:hAnsi="Arial" w:cs="Arial" w:eastAsia="Arial" w:hint="default"/>
                <w:sz w:val="16"/>
                <w:szCs w:val="16"/>
              </w:rPr>
            </w:pPr>
            <w:r>
              <w:rPr>
                <w:rFonts w:ascii="Arial"/>
                <w:w w:val="100"/>
                <w:sz w:val="16"/>
              </w:rPr>
            </w:r>
            <w:r>
              <w:rPr>
                <w:rFonts w:ascii="Arial"/>
                <w:spacing w:val="-1"/>
                <w:sz w:val="16"/>
                <w:u w:val="thick" w:color="000000"/>
              </w:rPr>
              <w:t>369,478,717</w:t>
            </w:r>
            <w:r>
              <w:rPr>
                <w:rFonts w:ascii="Arial"/>
                <w:spacing w:val="-1"/>
                <w:sz w:val="16"/>
              </w:rPr>
            </w:r>
            <w:r>
              <w:rPr>
                <w:rFonts w:ascii="Arial"/>
                <w:sz w:val="16"/>
              </w:rPr>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9"/>
              <w:jc w:val="right"/>
              <w:rPr>
                <w:rFonts w:ascii="Arial" w:hAnsi="Arial" w:cs="Arial" w:eastAsia="Arial" w:hint="default"/>
                <w:sz w:val="16"/>
                <w:szCs w:val="16"/>
              </w:rPr>
            </w:pPr>
            <w:r>
              <w:rPr>
                <w:rFonts w:ascii="Arial"/>
                <w:w w:val="100"/>
                <w:sz w:val="16"/>
              </w:rPr>
            </w:r>
            <w:r>
              <w:rPr>
                <w:rFonts w:ascii="Arial"/>
                <w:spacing w:val="-1"/>
                <w:sz w:val="16"/>
                <w:u w:val="thick" w:color="000000"/>
              </w:rPr>
              <w:t>259,678,227</w:t>
            </w:r>
            <w:r>
              <w:rPr>
                <w:rFonts w:ascii="Arial"/>
                <w:spacing w:val="-1"/>
                <w:sz w:val="16"/>
              </w:rPr>
            </w:r>
            <w:r>
              <w:rPr>
                <w:rFonts w:ascii="Arial"/>
                <w:sz w:val="16"/>
              </w:rPr>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8"/>
              <w:jc w:val="right"/>
              <w:rPr>
                <w:rFonts w:ascii="Arial" w:hAnsi="Arial" w:cs="Arial" w:eastAsia="Arial" w:hint="default"/>
                <w:sz w:val="16"/>
                <w:szCs w:val="16"/>
              </w:rPr>
            </w:pPr>
            <w:r>
              <w:rPr>
                <w:rFonts w:ascii="Arial"/>
                <w:spacing w:val="-1"/>
                <w:sz w:val="16"/>
              </w:rPr>
              <w:t>(</w:t>
            </w:r>
            <w:r>
              <w:rPr>
                <w:rFonts w:ascii="Arial"/>
                <w:spacing w:val="-1"/>
                <w:sz w:val="16"/>
                <w:u w:val="thick" w:color="000000"/>
              </w:rPr>
              <w:t>293,269,144</w:t>
            </w:r>
            <w:r>
              <w:rPr>
                <w:rFonts w:ascii="Arial"/>
                <w:spacing w:val="-1"/>
                <w:sz w:val="16"/>
              </w:rPr>
              <w:t>)</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8"/>
              <w:jc w:val="right"/>
              <w:rPr>
                <w:rFonts w:ascii="Arial" w:hAnsi="Arial" w:cs="Arial" w:eastAsia="Arial" w:hint="default"/>
                <w:sz w:val="16"/>
                <w:szCs w:val="16"/>
              </w:rPr>
            </w:pPr>
            <w:r>
              <w:rPr>
                <w:rFonts w:ascii="Arial"/>
                <w:w w:val="100"/>
                <w:sz w:val="16"/>
              </w:rPr>
            </w:r>
            <w:r>
              <w:rPr>
                <w:rFonts w:ascii="Arial"/>
                <w:spacing w:val="-1"/>
                <w:sz w:val="16"/>
                <w:u w:val="thick" w:color="000000"/>
              </w:rPr>
              <w:t>335,887,800</w:t>
            </w:r>
            <w:r>
              <w:rPr>
                <w:rFonts w:ascii="Arial"/>
                <w:spacing w:val="-1"/>
                <w:sz w:val="16"/>
              </w:rPr>
            </w:r>
            <w:r>
              <w:rPr>
                <w:rFonts w:ascii="Arial"/>
                <w:sz w:val="16"/>
              </w:rPr>
            </w:r>
          </w:p>
        </w:tc>
        <w:tc>
          <w:tcPr>
            <w:tcW w:w="761"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
        </w:tc>
      </w:tr>
    </w:tbl>
    <w:p>
      <w:pPr>
        <w:spacing w:line="240" w:lineRule="auto" w:before="1"/>
        <w:rPr>
          <w:rFonts w:ascii="黑体" w:hAnsi="黑体" w:cs="黑体" w:eastAsia="黑体" w:hint="default"/>
          <w:sz w:val="26"/>
          <w:szCs w:val="26"/>
        </w:rPr>
      </w:pPr>
    </w:p>
    <w:p>
      <w:pPr>
        <w:pStyle w:val="BodyText"/>
        <w:spacing w:line="240" w:lineRule="auto" w:before="37"/>
        <w:ind w:right="3779"/>
        <w:jc w:val="left"/>
      </w:pPr>
      <w:r>
        <w:rPr>
          <w:rFonts w:ascii="Arial" w:hAnsi="Arial" w:cs="Arial" w:eastAsia="Arial" w:hint="default"/>
        </w:rPr>
        <w:t>2012</w:t>
      </w:r>
      <w:r>
        <w:rPr/>
        <w:t>年</w:t>
      </w:r>
    </w:p>
    <w:p>
      <w:pPr>
        <w:spacing w:line="240" w:lineRule="auto" w:before="0"/>
        <w:rPr>
          <w:rFonts w:ascii="黑体" w:hAnsi="黑体" w:cs="黑体" w:eastAsia="黑体" w:hint="default"/>
          <w:sz w:val="2"/>
          <w:szCs w:val="2"/>
        </w:rPr>
      </w:pPr>
    </w:p>
    <w:tbl>
      <w:tblPr>
        <w:tblW w:w="0" w:type="auto"/>
        <w:jc w:val="left"/>
        <w:tblInd w:w="614" w:type="dxa"/>
        <w:tblLayout w:type="fixed"/>
        <w:tblCellMar>
          <w:top w:w="0" w:type="dxa"/>
          <w:left w:w="0" w:type="dxa"/>
          <w:bottom w:w="0" w:type="dxa"/>
          <w:right w:w="0" w:type="dxa"/>
        </w:tblCellMar>
        <w:tblLook w:val="01E0"/>
      </w:tblPr>
      <w:tblGrid>
        <w:gridCol w:w="3009"/>
        <w:gridCol w:w="1200"/>
        <w:gridCol w:w="1424"/>
        <w:gridCol w:w="1492"/>
        <w:gridCol w:w="1255"/>
      </w:tblGrid>
      <w:tr>
        <w:trPr>
          <w:trHeight w:val="210" w:hRule="exact"/>
        </w:trPr>
        <w:tc>
          <w:tcPr>
            <w:tcW w:w="3009"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Style w:val="TableParagraph"/>
              <w:spacing w:line="199" w:lineRule="exact"/>
              <w:ind w:right="188"/>
              <w:jc w:val="right"/>
              <w:rPr>
                <w:rFonts w:ascii="黑体" w:hAnsi="黑体" w:cs="黑体" w:eastAsia="黑体" w:hint="default"/>
                <w:sz w:val="20"/>
                <w:szCs w:val="20"/>
              </w:rPr>
            </w:pPr>
            <w:r>
              <w:rPr>
                <w:rFonts w:ascii="黑体" w:hAnsi="黑体" w:cs="黑体" w:eastAsia="黑体" w:hint="default"/>
                <w:w w:val="95"/>
                <w:sz w:val="20"/>
                <w:szCs w:val="20"/>
              </w:rPr>
              <w:t>工程进度</w:t>
            </w:r>
            <w:r>
              <w:rPr>
                <w:rFonts w:ascii="黑体" w:hAnsi="黑体" w:cs="黑体" w:eastAsia="黑体" w:hint="default"/>
                <w:sz w:val="20"/>
                <w:szCs w:val="20"/>
              </w:rPr>
            </w:r>
          </w:p>
        </w:tc>
        <w:tc>
          <w:tcPr>
            <w:tcW w:w="1424" w:type="dxa"/>
            <w:tcBorders>
              <w:top w:val="nil" w:sz="6" w:space="0" w:color="auto"/>
              <w:left w:val="nil" w:sz="6" w:space="0" w:color="auto"/>
              <w:bottom w:val="nil" w:sz="6" w:space="0" w:color="auto"/>
              <w:right w:val="nil" w:sz="6" w:space="0" w:color="auto"/>
            </w:tcBorders>
          </w:tcPr>
          <w:p>
            <w:pPr>
              <w:pStyle w:val="TableParagraph"/>
              <w:spacing w:line="199" w:lineRule="exact"/>
              <w:ind w:right="233"/>
              <w:jc w:val="right"/>
              <w:rPr>
                <w:rFonts w:ascii="黑体" w:hAnsi="黑体" w:cs="黑体" w:eastAsia="黑体" w:hint="default"/>
                <w:sz w:val="20"/>
                <w:szCs w:val="20"/>
              </w:rPr>
            </w:pPr>
            <w:r>
              <w:rPr>
                <w:rFonts w:ascii="黑体" w:hAnsi="黑体" w:cs="黑体" w:eastAsia="黑体" w:hint="default"/>
                <w:w w:val="95"/>
                <w:sz w:val="20"/>
                <w:szCs w:val="20"/>
              </w:rPr>
              <w:t>利息资本化</w:t>
            </w:r>
            <w:r>
              <w:rPr>
                <w:rFonts w:ascii="黑体" w:hAnsi="黑体" w:cs="黑体" w:eastAsia="黑体" w:hint="default"/>
                <w:sz w:val="20"/>
                <w:szCs w:val="20"/>
              </w:rPr>
            </w:r>
          </w:p>
        </w:tc>
        <w:tc>
          <w:tcPr>
            <w:tcW w:w="1492" w:type="dxa"/>
            <w:tcBorders>
              <w:top w:val="nil" w:sz="6" w:space="0" w:color="auto"/>
              <w:left w:val="nil" w:sz="6" w:space="0" w:color="auto"/>
              <w:bottom w:val="nil" w:sz="6" w:space="0" w:color="auto"/>
              <w:right w:val="nil" w:sz="6" w:space="0" w:color="auto"/>
            </w:tcBorders>
          </w:tcPr>
          <w:p>
            <w:pPr>
              <w:pStyle w:val="TableParagraph"/>
              <w:spacing w:line="199" w:lineRule="exact"/>
              <w:ind w:right="20"/>
              <w:jc w:val="center"/>
              <w:rPr>
                <w:rFonts w:ascii="黑体" w:hAnsi="黑体" w:cs="黑体" w:eastAsia="黑体" w:hint="default"/>
                <w:sz w:val="20"/>
                <w:szCs w:val="20"/>
              </w:rPr>
            </w:pPr>
            <w:r>
              <w:rPr>
                <w:rFonts w:ascii="黑体" w:hAnsi="黑体" w:cs="黑体" w:eastAsia="黑体" w:hint="default"/>
                <w:sz w:val="20"/>
                <w:szCs w:val="20"/>
              </w:rPr>
              <w:t>其中：本年</w:t>
            </w:r>
          </w:p>
        </w:tc>
        <w:tc>
          <w:tcPr>
            <w:tcW w:w="1255" w:type="dxa"/>
            <w:tcBorders>
              <w:top w:val="nil" w:sz="6" w:space="0" w:color="auto"/>
              <w:left w:val="nil" w:sz="6" w:space="0" w:color="auto"/>
              <w:bottom w:val="nil" w:sz="6" w:space="0" w:color="auto"/>
              <w:right w:val="nil" w:sz="6" w:space="0" w:color="auto"/>
            </w:tcBorders>
          </w:tcPr>
          <w:p>
            <w:pPr>
              <w:pStyle w:val="TableParagraph"/>
              <w:spacing w:line="199" w:lineRule="exact"/>
              <w:ind w:right="198"/>
              <w:jc w:val="right"/>
              <w:rPr>
                <w:rFonts w:ascii="黑体" w:hAnsi="黑体" w:cs="黑体" w:eastAsia="黑体" w:hint="default"/>
                <w:sz w:val="20"/>
                <w:szCs w:val="20"/>
              </w:rPr>
            </w:pPr>
            <w:r>
              <w:rPr>
                <w:rFonts w:ascii="黑体" w:hAnsi="黑体" w:cs="黑体" w:eastAsia="黑体" w:hint="default"/>
                <w:w w:val="95"/>
                <w:sz w:val="20"/>
                <w:szCs w:val="20"/>
              </w:rPr>
              <w:t>本年利息</w:t>
            </w:r>
            <w:r>
              <w:rPr>
                <w:rFonts w:ascii="黑体" w:hAnsi="黑体" w:cs="黑体" w:eastAsia="黑体" w:hint="default"/>
                <w:sz w:val="20"/>
                <w:szCs w:val="20"/>
              </w:rPr>
            </w:r>
          </w:p>
        </w:tc>
      </w:tr>
      <w:tr>
        <w:trPr>
          <w:trHeight w:val="319" w:hRule="exact"/>
        </w:trPr>
        <w:tc>
          <w:tcPr>
            <w:tcW w:w="3009"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Style w:val="TableParagraph"/>
              <w:spacing w:line="210" w:lineRule="exact"/>
              <w:ind w:right="233"/>
              <w:jc w:val="right"/>
              <w:rPr>
                <w:rFonts w:ascii="黑体" w:hAnsi="黑体" w:cs="黑体" w:eastAsia="黑体" w:hint="default"/>
                <w:sz w:val="20"/>
                <w:szCs w:val="20"/>
              </w:rPr>
            </w:pPr>
            <w:r>
              <w:rPr>
                <w:rFonts w:ascii="黑体" w:hAnsi="黑体" w:cs="黑体" w:eastAsia="黑体" w:hint="default"/>
                <w:w w:val="95"/>
                <w:sz w:val="20"/>
                <w:szCs w:val="20"/>
              </w:rPr>
              <w:t>累计金额</w:t>
            </w:r>
            <w:r>
              <w:rPr>
                <w:rFonts w:ascii="黑体" w:hAnsi="黑体" w:cs="黑体" w:eastAsia="黑体" w:hint="default"/>
                <w:sz w:val="20"/>
                <w:szCs w:val="20"/>
              </w:rPr>
            </w:r>
          </w:p>
        </w:tc>
        <w:tc>
          <w:tcPr>
            <w:tcW w:w="1492" w:type="dxa"/>
            <w:tcBorders>
              <w:top w:val="nil" w:sz="6" w:space="0" w:color="auto"/>
              <w:left w:val="nil" w:sz="6" w:space="0" w:color="auto"/>
              <w:bottom w:val="nil" w:sz="6" w:space="0" w:color="auto"/>
              <w:right w:val="nil" w:sz="6" w:space="0" w:color="auto"/>
            </w:tcBorders>
          </w:tcPr>
          <w:p>
            <w:pPr>
              <w:pStyle w:val="TableParagraph"/>
              <w:spacing w:line="210" w:lineRule="exact"/>
              <w:ind w:right="20"/>
              <w:jc w:val="center"/>
              <w:rPr>
                <w:rFonts w:ascii="黑体" w:hAnsi="黑体" w:cs="黑体" w:eastAsia="黑体" w:hint="default"/>
                <w:sz w:val="20"/>
                <w:szCs w:val="20"/>
              </w:rPr>
            </w:pPr>
            <w:r>
              <w:rPr>
                <w:rFonts w:ascii="黑体" w:hAnsi="黑体" w:cs="黑体" w:eastAsia="黑体" w:hint="default"/>
                <w:sz w:val="20"/>
                <w:szCs w:val="20"/>
              </w:rPr>
              <w:t>利息资本化</w:t>
            </w:r>
          </w:p>
        </w:tc>
        <w:tc>
          <w:tcPr>
            <w:tcW w:w="1255" w:type="dxa"/>
            <w:tcBorders>
              <w:top w:val="nil" w:sz="6" w:space="0" w:color="auto"/>
              <w:left w:val="nil" w:sz="6" w:space="0" w:color="auto"/>
              <w:bottom w:val="nil" w:sz="6" w:space="0" w:color="auto"/>
              <w:right w:val="nil" w:sz="6" w:space="0" w:color="auto"/>
            </w:tcBorders>
          </w:tcPr>
          <w:p>
            <w:pPr>
              <w:pStyle w:val="TableParagraph"/>
              <w:spacing w:line="210" w:lineRule="exact"/>
              <w:ind w:right="198"/>
              <w:jc w:val="right"/>
              <w:rPr>
                <w:rFonts w:ascii="黑体" w:hAnsi="黑体" w:cs="黑体" w:eastAsia="黑体" w:hint="default"/>
                <w:sz w:val="20"/>
                <w:szCs w:val="20"/>
              </w:rPr>
            </w:pPr>
            <w:r>
              <w:rPr>
                <w:rFonts w:ascii="黑体" w:hAnsi="黑体" w:cs="黑体" w:eastAsia="黑体" w:hint="default"/>
                <w:w w:val="95"/>
                <w:sz w:val="20"/>
                <w:szCs w:val="20"/>
              </w:rPr>
              <w:t>资本化率</w:t>
            </w:r>
            <w:r>
              <w:rPr>
                <w:rFonts w:ascii="黑体" w:hAnsi="黑体" w:cs="黑体" w:eastAsia="黑体" w:hint="default"/>
                <w:sz w:val="20"/>
                <w:szCs w:val="20"/>
              </w:rPr>
            </w:r>
          </w:p>
        </w:tc>
      </w:tr>
      <w:tr>
        <w:trPr>
          <w:trHeight w:val="340"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00" w:right="0"/>
              <w:jc w:val="left"/>
              <w:rPr>
                <w:rFonts w:ascii="黑体" w:hAnsi="黑体" w:cs="黑体" w:eastAsia="黑体" w:hint="default"/>
                <w:sz w:val="20"/>
                <w:szCs w:val="20"/>
              </w:rPr>
            </w:pPr>
            <w:r>
              <w:rPr>
                <w:rFonts w:ascii="黑体" w:hAnsi="黑体" w:cs="黑体" w:eastAsia="黑体" w:hint="default"/>
                <w:sz w:val="20"/>
                <w:szCs w:val="20"/>
              </w:rPr>
              <w:t>用友软件园项目二期工程</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89"/>
              <w:jc w:val="right"/>
              <w:rPr>
                <w:rFonts w:ascii="Arial" w:hAnsi="Arial" w:cs="Arial" w:eastAsia="Arial" w:hint="default"/>
                <w:sz w:val="20"/>
                <w:szCs w:val="20"/>
              </w:rPr>
            </w:pPr>
            <w:r>
              <w:rPr>
                <w:rFonts w:ascii="Arial"/>
                <w:spacing w:val="-1"/>
                <w:w w:val="95"/>
                <w:sz w:val="20"/>
              </w:rPr>
              <w:t>70%</w:t>
            </w:r>
            <w:r>
              <w:rPr>
                <w:rFonts w:ascii="Arial"/>
                <w:sz w:val="20"/>
              </w:rPr>
            </w: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33"/>
              <w:jc w:val="right"/>
              <w:rPr>
                <w:rFonts w:ascii="Arial" w:hAnsi="Arial" w:cs="Arial" w:eastAsia="Arial" w:hint="default"/>
                <w:sz w:val="20"/>
                <w:szCs w:val="20"/>
              </w:rPr>
            </w:pPr>
            <w:r>
              <w:rPr>
                <w:rFonts w:ascii="Arial"/>
                <w:w w:val="99"/>
                <w:sz w:val="20"/>
              </w:rPr>
            </w:r>
            <w:r>
              <w:rPr>
                <w:rFonts w:ascii="Arial"/>
                <w:spacing w:val="-1"/>
                <w:sz w:val="20"/>
                <w:u w:val="thick" w:color="000000"/>
              </w:rPr>
              <w:t>7,169,143</w:t>
            </w:r>
            <w:r>
              <w:rPr>
                <w:rFonts w:ascii="Arial"/>
                <w:spacing w:val="-1"/>
                <w:sz w:val="20"/>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87" w:right="0"/>
              <w:jc w:val="center"/>
              <w:rPr>
                <w:rFonts w:ascii="Arial" w:hAnsi="Arial" w:cs="Arial" w:eastAsia="Arial" w:hint="default"/>
                <w:sz w:val="20"/>
                <w:szCs w:val="20"/>
              </w:rPr>
            </w:pPr>
            <w:r>
              <w:rPr>
                <w:rFonts w:ascii="Arial"/>
                <w:w w:val="99"/>
                <w:sz w:val="20"/>
              </w:rPr>
            </w:r>
            <w:r>
              <w:rPr>
                <w:rFonts w:ascii="Arial"/>
                <w:sz w:val="20"/>
                <w:u w:val="thick" w:color="000000"/>
              </w:rPr>
              <w:t>5,450,254</w:t>
            </w:r>
            <w:r>
              <w:rPr>
                <w:rFonts w:ascii="Arial"/>
                <w:sz w:val="20"/>
              </w:rPr>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99"/>
              <w:jc w:val="right"/>
              <w:rPr>
                <w:rFonts w:ascii="Arial" w:hAnsi="Arial" w:cs="Arial" w:eastAsia="Arial" w:hint="default"/>
                <w:sz w:val="20"/>
                <w:szCs w:val="20"/>
              </w:rPr>
            </w:pPr>
            <w:r>
              <w:rPr>
                <w:rFonts w:ascii="Arial"/>
                <w:spacing w:val="-1"/>
                <w:w w:val="95"/>
                <w:sz w:val="20"/>
              </w:rPr>
              <w:t>6.76%</w:t>
            </w:r>
            <w:r>
              <w:rPr>
                <w:rFonts w:ascii="Arial"/>
                <w:sz w:val="20"/>
              </w:rPr>
            </w:r>
          </w:p>
        </w:tc>
      </w:tr>
    </w:tbl>
    <w:p>
      <w:pPr>
        <w:spacing w:line="240" w:lineRule="auto" w:before="12"/>
        <w:rPr>
          <w:rFonts w:ascii="黑体" w:hAnsi="黑体" w:cs="黑体" w:eastAsia="黑体" w:hint="default"/>
          <w:sz w:val="25"/>
          <w:szCs w:val="25"/>
        </w:rPr>
      </w:pPr>
    </w:p>
    <w:p>
      <w:pPr>
        <w:pStyle w:val="BodyText"/>
        <w:spacing w:line="240" w:lineRule="auto" w:before="37"/>
        <w:ind w:right="3779"/>
        <w:jc w:val="left"/>
      </w:pPr>
      <w:r>
        <w:rPr>
          <w:rFonts w:ascii="Arial" w:hAnsi="Arial" w:cs="Arial" w:eastAsia="Arial" w:hint="default"/>
        </w:rPr>
        <w:t>2011</w:t>
      </w:r>
      <w:r>
        <w:rPr/>
        <w:t>年</w:t>
      </w:r>
    </w:p>
    <w:p>
      <w:pPr>
        <w:spacing w:line="240" w:lineRule="auto" w:before="3"/>
        <w:rPr>
          <w:rFonts w:ascii="黑体" w:hAnsi="黑体" w:cs="黑体" w:eastAsia="黑体" w:hint="default"/>
          <w:sz w:val="2"/>
          <w:szCs w:val="2"/>
        </w:rPr>
      </w:pPr>
    </w:p>
    <w:tbl>
      <w:tblPr>
        <w:tblW w:w="0" w:type="auto"/>
        <w:jc w:val="left"/>
        <w:tblInd w:w="614" w:type="dxa"/>
        <w:tblLayout w:type="fixed"/>
        <w:tblCellMar>
          <w:top w:w="0" w:type="dxa"/>
          <w:left w:w="0" w:type="dxa"/>
          <w:bottom w:w="0" w:type="dxa"/>
          <w:right w:w="0" w:type="dxa"/>
        </w:tblCellMar>
        <w:tblLook w:val="01E0"/>
      </w:tblPr>
      <w:tblGrid>
        <w:gridCol w:w="3025"/>
        <w:gridCol w:w="1217"/>
        <w:gridCol w:w="1405"/>
        <w:gridCol w:w="1451"/>
        <w:gridCol w:w="1234"/>
      </w:tblGrid>
      <w:tr>
        <w:trPr>
          <w:trHeight w:val="210" w:hRule="exact"/>
        </w:trPr>
        <w:tc>
          <w:tcPr>
            <w:tcW w:w="3025"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Style w:val="TableParagraph"/>
              <w:spacing w:line="199" w:lineRule="exact"/>
              <w:ind w:right="191"/>
              <w:jc w:val="right"/>
              <w:rPr>
                <w:rFonts w:ascii="黑体" w:hAnsi="黑体" w:cs="黑体" w:eastAsia="黑体" w:hint="default"/>
                <w:sz w:val="20"/>
                <w:szCs w:val="20"/>
              </w:rPr>
            </w:pPr>
            <w:r>
              <w:rPr>
                <w:rFonts w:ascii="黑体" w:hAnsi="黑体" w:cs="黑体" w:eastAsia="黑体" w:hint="default"/>
                <w:w w:val="95"/>
                <w:sz w:val="20"/>
                <w:szCs w:val="20"/>
              </w:rPr>
              <w:t>工程进度</w:t>
            </w:r>
            <w:r>
              <w:rPr>
                <w:rFonts w:ascii="黑体" w:hAnsi="黑体" w:cs="黑体" w:eastAsia="黑体" w:hint="default"/>
                <w:sz w:val="20"/>
                <w:szCs w:val="20"/>
              </w:rPr>
            </w:r>
          </w:p>
        </w:tc>
        <w:tc>
          <w:tcPr>
            <w:tcW w:w="1405" w:type="dxa"/>
            <w:tcBorders>
              <w:top w:val="nil" w:sz="6" w:space="0" w:color="auto"/>
              <w:left w:val="nil" w:sz="6" w:space="0" w:color="auto"/>
              <w:bottom w:val="nil" w:sz="6" w:space="0" w:color="auto"/>
              <w:right w:val="nil" w:sz="6" w:space="0" w:color="auto"/>
            </w:tcBorders>
          </w:tcPr>
          <w:p>
            <w:pPr>
              <w:pStyle w:val="TableParagraph"/>
              <w:spacing w:line="199" w:lineRule="exact"/>
              <w:ind w:right="212"/>
              <w:jc w:val="right"/>
              <w:rPr>
                <w:rFonts w:ascii="黑体" w:hAnsi="黑体" w:cs="黑体" w:eastAsia="黑体" w:hint="default"/>
                <w:sz w:val="20"/>
                <w:szCs w:val="20"/>
              </w:rPr>
            </w:pPr>
            <w:r>
              <w:rPr>
                <w:rFonts w:ascii="黑体" w:hAnsi="黑体" w:cs="黑体" w:eastAsia="黑体" w:hint="default"/>
                <w:w w:val="95"/>
                <w:sz w:val="20"/>
                <w:szCs w:val="20"/>
              </w:rPr>
              <w:t>利息资本化</w:t>
            </w:r>
            <w:r>
              <w:rPr>
                <w:rFonts w:ascii="黑体" w:hAnsi="黑体" w:cs="黑体" w:eastAsia="黑体" w:hint="default"/>
                <w:sz w:val="20"/>
                <w:szCs w:val="20"/>
              </w:rPr>
            </w:r>
          </w:p>
        </w:tc>
        <w:tc>
          <w:tcPr>
            <w:tcW w:w="1451" w:type="dxa"/>
            <w:tcBorders>
              <w:top w:val="nil" w:sz="6" w:space="0" w:color="auto"/>
              <w:left w:val="nil" w:sz="6" w:space="0" w:color="auto"/>
              <w:bottom w:val="nil" w:sz="6" w:space="0" w:color="auto"/>
              <w:right w:val="nil" w:sz="6" w:space="0" w:color="auto"/>
            </w:tcBorders>
          </w:tcPr>
          <w:p>
            <w:pPr>
              <w:pStyle w:val="TableParagraph"/>
              <w:spacing w:line="199" w:lineRule="exact"/>
              <w:ind w:right="20"/>
              <w:jc w:val="center"/>
              <w:rPr>
                <w:rFonts w:ascii="黑体" w:hAnsi="黑体" w:cs="黑体" w:eastAsia="黑体" w:hint="default"/>
                <w:sz w:val="20"/>
                <w:szCs w:val="20"/>
              </w:rPr>
            </w:pPr>
            <w:r>
              <w:rPr>
                <w:rFonts w:ascii="黑体" w:hAnsi="黑体" w:cs="黑体" w:eastAsia="黑体" w:hint="default"/>
                <w:sz w:val="20"/>
                <w:szCs w:val="20"/>
              </w:rPr>
              <w:t>其中：本年</w:t>
            </w:r>
          </w:p>
        </w:tc>
        <w:tc>
          <w:tcPr>
            <w:tcW w:w="1234" w:type="dxa"/>
            <w:tcBorders>
              <w:top w:val="nil" w:sz="6" w:space="0" w:color="auto"/>
              <w:left w:val="nil" w:sz="6" w:space="0" w:color="auto"/>
              <w:bottom w:val="nil" w:sz="6" w:space="0" w:color="auto"/>
              <w:right w:val="nil" w:sz="6" w:space="0" w:color="auto"/>
            </w:tcBorders>
          </w:tcPr>
          <w:p>
            <w:pPr>
              <w:pStyle w:val="TableParagraph"/>
              <w:spacing w:line="199" w:lineRule="exact"/>
              <w:ind w:right="198"/>
              <w:jc w:val="right"/>
              <w:rPr>
                <w:rFonts w:ascii="黑体" w:hAnsi="黑体" w:cs="黑体" w:eastAsia="黑体" w:hint="default"/>
                <w:sz w:val="20"/>
                <w:szCs w:val="20"/>
              </w:rPr>
            </w:pPr>
            <w:r>
              <w:rPr>
                <w:rFonts w:ascii="黑体" w:hAnsi="黑体" w:cs="黑体" w:eastAsia="黑体" w:hint="default"/>
                <w:w w:val="95"/>
                <w:sz w:val="20"/>
                <w:szCs w:val="20"/>
              </w:rPr>
              <w:t>本年利息</w:t>
            </w:r>
            <w:r>
              <w:rPr>
                <w:rFonts w:ascii="黑体" w:hAnsi="黑体" w:cs="黑体" w:eastAsia="黑体" w:hint="default"/>
                <w:sz w:val="20"/>
                <w:szCs w:val="20"/>
              </w:rPr>
            </w:r>
          </w:p>
        </w:tc>
      </w:tr>
      <w:tr>
        <w:trPr>
          <w:trHeight w:val="330" w:hRule="exact"/>
        </w:trPr>
        <w:tc>
          <w:tcPr>
            <w:tcW w:w="3025" w:type="dxa"/>
            <w:tcBorders>
              <w:top w:val="nil" w:sz="6" w:space="0" w:color="auto"/>
              <w:left w:val="nil" w:sz="6" w:space="0" w:color="auto"/>
              <w:bottom w:val="nil" w:sz="6" w:space="0" w:color="auto"/>
              <w:right w:val="nil" w:sz="6" w:space="0" w:color="auto"/>
            </w:tcBorders>
          </w:tcPr>
          <w:p>
            <w:pPr/>
          </w:p>
        </w:tc>
        <w:tc>
          <w:tcPr>
            <w:tcW w:w="1217" w:type="dxa"/>
            <w:tcBorders>
              <w:top w:val="nil" w:sz="6" w:space="0" w:color="auto"/>
              <w:left w:val="nil" w:sz="6" w:space="0" w:color="auto"/>
              <w:bottom w:val="nil" w:sz="6" w:space="0" w:color="auto"/>
              <w:right w:val="nil" w:sz="6" w:space="0" w:color="auto"/>
            </w:tcBorders>
          </w:tcPr>
          <w:p>
            <w:pPr/>
          </w:p>
        </w:tc>
        <w:tc>
          <w:tcPr>
            <w:tcW w:w="1405" w:type="dxa"/>
            <w:tcBorders>
              <w:top w:val="nil" w:sz="6" w:space="0" w:color="auto"/>
              <w:left w:val="nil" w:sz="6" w:space="0" w:color="auto"/>
              <w:bottom w:val="nil" w:sz="6" w:space="0" w:color="auto"/>
              <w:right w:val="nil" w:sz="6" w:space="0" w:color="auto"/>
            </w:tcBorders>
          </w:tcPr>
          <w:p>
            <w:pPr>
              <w:pStyle w:val="TableParagraph"/>
              <w:spacing w:line="210" w:lineRule="exact"/>
              <w:ind w:right="212"/>
              <w:jc w:val="right"/>
              <w:rPr>
                <w:rFonts w:ascii="黑体" w:hAnsi="黑体" w:cs="黑体" w:eastAsia="黑体" w:hint="default"/>
                <w:sz w:val="20"/>
                <w:szCs w:val="20"/>
              </w:rPr>
            </w:pPr>
            <w:r>
              <w:rPr>
                <w:rFonts w:ascii="黑体" w:hAnsi="黑体" w:cs="黑体" w:eastAsia="黑体" w:hint="default"/>
                <w:w w:val="95"/>
                <w:sz w:val="20"/>
                <w:szCs w:val="20"/>
              </w:rPr>
              <w:t>累计金额</w:t>
            </w:r>
            <w:r>
              <w:rPr>
                <w:rFonts w:ascii="黑体" w:hAnsi="黑体" w:cs="黑体" w:eastAsia="黑体" w:hint="default"/>
                <w:sz w:val="20"/>
                <w:szCs w:val="20"/>
              </w:rPr>
            </w:r>
          </w:p>
        </w:tc>
        <w:tc>
          <w:tcPr>
            <w:tcW w:w="1451" w:type="dxa"/>
            <w:tcBorders>
              <w:top w:val="nil" w:sz="6" w:space="0" w:color="auto"/>
              <w:left w:val="nil" w:sz="6" w:space="0" w:color="auto"/>
              <w:bottom w:val="nil" w:sz="6" w:space="0" w:color="auto"/>
              <w:right w:val="nil" w:sz="6" w:space="0" w:color="auto"/>
            </w:tcBorders>
          </w:tcPr>
          <w:p>
            <w:pPr>
              <w:pStyle w:val="TableParagraph"/>
              <w:spacing w:line="210" w:lineRule="exact"/>
              <w:ind w:right="20"/>
              <w:jc w:val="center"/>
              <w:rPr>
                <w:rFonts w:ascii="黑体" w:hAnsi="黑体" w:cs="黑体" w:eastAsia="黑体" w:hint="default"/>
                <w:sz w:val="20"/>
                <w:szCs w:val="20"/>
              </w:rPr>
            </w:pPr>
            <w:r>
              <w:rPr>
                <w:rFonts w:ascii="黑体" w:hAnsi="黑体" w:cs="黑体" w:eastAsia="黑体" w:hint="default"/>
                <w:sz w:val="20"/>
                <w:szCs w:val="20"/>
              </w:rPr>
              <w:t>利息资本化</w:t>
            </w:r>
          </w:p>
        </w:tc>
        <w:tc>
          <w:tcPr>
            <w:tcW w:w="1234" w:type="dxa"/>
            <w:tcBorders>
              <w:top w:val="nil" w:sz="6" w:space="0" w:color="auto"/>
              <w:left w:val="nil" w:sz="6" w:space="0" w:color="auto"/>
              <w:bottom w:val="nil" w:sz="6" w:space="0" w:color="auto"/>
              <w:right w:val="nil" w:sz="6" w:space="0" w:color="auto"/>
            </w:tcBorders>
          </w:tcPr>
          <w:p>
            <w:pPr>
              <w:pStyle w:val="TableParagraph"/>
              <w:spacing w:line="210" w:lineRule="exact"/>
              <w:ind w:right="198"/>
              <w:jc w:val="right"/>
              <w:rPr>
                <w:rFonts w:ascii="黑体" w:hAnsi="黑体" w:cs="黑体" w:eastAsia="黑体" w:hint="default"/>
                <w:sz w:val="20"/>
                <w:szCs w:val="20"/>
              </w:rPr>
            </w:pPr>
            <w:r>
              <w:rPr>
                <w:rFonts w:ascii="黑体" w:hAnsi="黑体" w:cs="黑体" w:eastAsia="黑体" w:hint="default"/>
                <w:w w:val="95"/>
                <w:sz w:val="20"/>
                <w:szCs w:val="20"/>
              </w:rPr>
              <w:t>资本化率</w:t>
            </w:r>
            <w:r>
              <w:rPr>
                <w:rFonts w:ascii="黑体" w:hAnsi="黑体" w:cs="黑体" w:eastAsia="黑体" w:hint="default"/>
                <w:sz w:val="20"/>
                <w:szCs w:val="20"/>
              </w:rPr>
            </w:r>
          </w:p>
        </w:tc>
      </w:tr>
      <w:tr>
        <w:trPr>
          <w:trHeight w:val="329" w:hRule="exact"/>
        </w:trPr>
        <w:tc>
          <w:tcPr>
            <w:tcW w:w="302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00" w:right="0"/>
              <w:jc w:val="left"/>
              <w:rPr>
                <w:rFonts w:ascii="黑体" w:hAnsi="黑体" w:cs="黑体" w:eastAsia="黑体" w:hint="default"/>
                <w:sz w:val="20"/>
                <w:szCs w:val="20"/>
              </w:rPr>
            </w:pPr>
            <w:r>
              <w:rPr>
                <w:rFonts w:ascii="黑体" w:hAnsi="黑体" w:cs="黑体" w:eastAsia="黑体" w:hint="default"/>
                <w:sz w:val="20"/>
                <w:szCs w:val="20"/>
              </w:rPr>
              <w:t>用友软件园项目二期工程</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92"/>
              <w:jc w:val="right"/>
              <w:rPr>
                <w:rFonts w:ascii="Arial" w:hAnsi="Arial" w:cs="Arial" w:eastAsia="Arial" w:hint="default"/>
                <w:sz w:val="20"/>
                <w:szCs w:val="20"/>
              </w:rPr>
            </w:pPr>
            <w:r>
              <w:rPr>
                <w:rFonts w:ascii="Arial"/>
                <w:spacing w:val="-1"/>
                <w:w w:val="95"/>
                <w:sz w:val="20"/>
              </w:rPr>
              <w:t>49%</w:t>
            </w:r>
            <w:r>
              <w:rPr>
                <w:rFonts w:ascii="Arial"/>
                <w:sz w:val="20"/>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12"/>
              <w:jc w:val="right"/>
              <w:rPr>
                <w:rFonts w:ascii="Arial" w:hAnsi="Arial" w:cs="Arial" w:eastAsia="Arial" w:hint="default"/>
                <w:sz w:val="20"/>
                <w:szCs w:val="20"/>
              </w:rPr>
            </w:pPr>
            <w:r>
              <w:rPr>
                <w:rFonts w:ascii="Arial"/>
                <w:w w:val="99"/>
                <w:sz w:val="20"/>
              </w:rPr>
            </w:r>
            <w:r>
              <w:rPr>
                <w:rFonts w:ascii="Arial"/>
                <w:spacing w:val="-1"/>
                <w:sz w:val="20"/>
                <w:u w:val="thick" w:color="000000"/>
              </w:rPr>
              <w:t>1,718,889</w:t>
            </w:r>
            <w:r>
              <w:rPr>
                <w:rFonts w:ascii="Arial"/>
                <w:spacing w:val="-1"/>
                <w:sz w:val="20"/>
              </w:rPr>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87" w:right="0"/>
              <w:jc w:val="center"/>
              <w:rPr>
                <w:rFonts w:ascii="Arial" w:hAnsi="Arial" w:cs="Arial" w:eastAsia="Arial" w:hint="default"/>
                <w:sz w:val="20"/>
                <w:szCs w:val="20"/>
              </w:rPr>
            </w:pPr>
            <w:r>
              <w:rPr>
                <w:rFonts w:ascii="Arial"/>
                <w:w w:val="99"/>
                <w:sz w:val="20"/>
              </w:rPr>
            </w:r>
            <w:r>
              <w:rPr>
                <w:rFonts w:ascii="Arial"/>
                <w:sz w:val="20"/>
                <w:u w:val="thick" w:color="000000"/>
              </w:rPr>
              <w:t>1,718,889</w:t>
            </w:r>
            <w:r>
              <w:rPr>
                <w:rFonts w:ascii="Arial"/>
                <w:sz w:val="20"/>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99"/>
              <w:jc w:val="right"/>
              <w:rPr>
                <w:rFonts w:ascii="Arial" w:hAnsi="Arial" w:cs="Arial" w:eastAsia="Arial" w:hint="default"/>
                <w:sz w:val="20"/>
                <w:szCs w:val="20"/>
              </w:rPr>
            </w:pPr>
            <w:r>
              <w:rPr>
                <w:rFonts w:ascii="Arial"/>
                <w:spacing w:val="-1"/>
                <w:w w:val="95"/>
                <w:sz w:val="20"/>
              </w:rPr>
              <w:t>6.75%</w:t>
            </w:r>
            <w:r>
              <w:rPr>
                <w:rFonts w:ascii="Arial"/>
                <w:sz w:val="20"/>
              </w:rPr>
            </w:r>
          </w:p>
        </w:tc>
      </w:tr>
    </w:tbl>
    <w:p>
      <w:pPr>
        <w:spacing w:line="240" w:lineRule="auto" w:before="6"/>
        <w:rPr>
          <w:rFonts w:ascii="黑体" w:hAnsi="黑体" w:cs="黑体" w:eastAsia="黑体" w:hint="default"/>
          <w:sz w:val="26"/>
          <w:szCs w:val="26"/>
        </w:rPr>
      </w:pPr>
    </w:p>
    <w:p>
      <w:pPr>
        <w:pStyle w:val="BodyText"/>
        <w:spacing w:line="408" w:lineRule="auto" w:before="37"/>
        <w:ind w:right="1132"/>
        <w:jc w:val="left"/>
      </w:pP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日，在建工程无计提减值准备的情况（</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日：无）。</w:t>
      </w:r>
      <w:r>
        <w:rPr>
          <w:w w:val="99"/>
        </w:rPr>
        <w:t> </w:t>
      </w: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日，本集团所有权受限的在建工程参见附注五、</w:t>
      </w:r>
      <w:r>
        <w:rPr>
          <w:rFonts w:ascii="Arial" w:hAnsi="Arial" w:cs="Arial" w:eastAsia="Arial" w:hint="default"/>
        </w:rPr>
        <w:t>12</w:t>
      </w:r>
      <w:r>
        <w:rPr/>
        <w:t>和</w:t>
      </w:r>
      <w:r>
        <w:rPr>
          <w:rFonts w:ascii="Arial" w:hAnsi="Arial" w:cs="Arial" w:eastAsia="Arial" w:hint="default"/>
        </w:rPr>
        <w:t>28</w:t>
      </w:r>
      <w:r>
        <w:rPr/>
        <w:t>。</w:t>
      </w:r>
    </w:p>
    <w:p>
      <w:pPr>
        <w:spacing w:after="0" w:line="408" w:lineRule="auto"/>
        <w:jc w:val="left"/>
        <w:sectPr>
          <w:pgSz w:w="11910" w:h="16850"/>
          <w:pgMar w:header="957" w:footer="830" w:top="2520" w:bottom="1020" w:left="1600" w:right="1160"/>
        </w:sectPr>
      </w:pPr>
    </w:p>
    <w:p>
      <w:pPr>
        <w:spacing w:line="240" w:lineRule="auto" w:before="2"/>
        <w:rPr>
          <w:rFonts w:ascii="黑体" w:hAnsi="黑体" w:cs="黑体" w:eastAsia="黑体" w:hint="default"/>
          <w:sz w:val="20"/>
          <w:szCs w:val="20"/>
        </w:rPr>
      </w:pPr>
    </w:p>
    <w:p>
      <w:pPr>
        <w:pStyle w:val="Heading6"/>
        <w:tabs>
          <w:tab w:pos="804" w:val="left" w:leader="none"/>
        </w:tabs>
        <w:spacing w:line="240" w:lineRule="auto"/>
        <w:ind w:right="3779"/>
        <w:jc w:val="left"/>
        <w:rPr>
          <w:b w:val="0"/>
          <w:bCs w:val="0"/>
        </w:rPr>
      </w:pPr>
      <w:r>
        <w:rPr>
          <w:w w:val="95"/>
        </w:rPr>
        <w:t>五、</w:t>
        <w:tab/>
      </w:r>
      <w:bookmarkStart w:name="五、   合并财务报表主要项目注释（续）" w:id="90"/>
      <w:bookmarkEnd w:id="90"/>
      <w:r>
        <w:rPr/>
        <w:t>合并</w:t>
      </w:r>
      <w:r>
        <w:rPr/>
        <w:t>财务报表主要项目注释（续）</w:t>
      </w:r>
      <w:r>
        <w:rPr>
          <w:b w:val="0"/>
          <w:bCs w:val="0"/>
        </w:rPr>
      </w:r>
    </w:p>
    <w:p>
      <w:pPr>
        <w:spacing w:line="240" w:lineRule="auto" w:before="6"/>
        <w:rPr>
          <w:rFonts w:ascii="黑体" w:hAnsi="黑体" w:cs="黑体" w:eastAsia="黑体" w:hint="default"/>
          <w:b/>
          <w:bCs/>
          <w:sz w:val="14"/>
          <w:szCs w:val="14"/>
        </w:rPr>
      </w:pPr>
    </w:p>
    <w:p>
      <w:pPr>
        <w:pStyle w:val="Heading6"/>
        <w:tabs>
          <w:tab w:pos="780" w:val="left" w:leader="none"/>
        </w:tabs>
        <w:spacing w:line="240" w:lineRule="auto" w:before="0"/>
        <w:ind w:right="3779"/>
        <w:jc w:val="left"/>
        <w:rPr>
          <w:b w:val="0"/>
          <w:bCs w:val="0"/>
        </w:rPr>
      </w:pPr>
      <w:r>
        <w:rPr>
          <w:rFonts w:ascii="Arial" w:hAnsi="Arial" w:cs="Arial" w:eastAsia="Arial" w:hint="default"/>
          <w:spacing w:val="-1"/>
          <w:w w:val="95"/>
        </w:rPr>
        <w:t>12.</w:t>
        <w:tab/>
      </w:r>
      <w:r>
        <w:rPr>
          <w:spacing w:val="2"/>
        </w:rPr>
        <w:t>无形资产</w:t>
      </w:r>
      <w:r>
        <w:rPr>
          <w:b w:val="0"/>
          <w:bCs w:val="0"/>
        </w:rPr>
      </w:r>
    </w:p>
    <w:p>
      <w:pPr>
        <w:pStyle w:val="BodyText"/>
        <w:spacing w:line="240" w:lineRule="auto" w:before="165"/>
        <w:ind w:right="3779"/>
        <w:jc w:val="left"/>
      </w:pPr>
      <w:r>
        <w:rPr>
          <w:rFonts w:ascii="Arial" w:hAnsi="Arial" w:cs="Arial" w:eastAsia="Arial" w:hint="default"/>
        </w:rPr>
        <w:t>2012</w:t>
      </w:r>
      <w:r>
        <w:rPr/>
        <w:t>年</w:t>
      </w:r>
    </w:p>
    <w:p>
      <w:pPr>
        <w:spacing w:line="240" w:lineRule="auto" w:before="12"/>
        <w:rPr>
          <w:rFonts w:ascii="黑体" w:hAnsi="黑体" w:cs="黑体" w:eastAsia="黑体" w:hint="default"/>
          <w:sz w:val="18"/>
          <w:szCs w:val="18"/>
        </w:rPr>
      </w:pPr>
    </w:p>
    <w:tbl>
      <w:tblPr>
        <w:tblW w:w="0" w:type="auto"/>
        <w:jc w:val="left"/>
        <w:tblInd w:w="609" w:type="dxa"/>
        <w:tblLayout w:type="fixed"/>
        <w:tblCellMar>
          <w:top w:w="0" w:type="dxa"/>
          <w:left w:w="0" w:type="dxa"/>
          <w:bottom w:w="0" w:type="dxa"/>
          <w:right w:w="0" w:type="dxa"/>
        </w:tblCellMar>
        <w:tblLook w:val="01E0"/>
      </w:tblPr>
      <w:tblGrid>
        <w:gridCol w:w="1508"/>
        <w:gridCol w:w="1514"/>
        <w:gridCol w:w="458"/>
        <w:gridCol w:w="1470"/>
        <w:gridCol w:w="776"/>
        <w:gridCol w:w="985"/>
        <w:gridCol w:w="1436"/>
        <w:gridCol w:w="277"/>
      </w:tblGrid>
      <w:tr>
        <w:trPr>
          <w:trHeight w:val="344" w:hRule="exact"/>
        </w:trPr>
        <w:tc>
          <w:tcPr>
            <w:tcW w:w="1508"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Style w:val="TableParagraph"/>
              <w:spacing w:line="199" w:lineRule="exact"/>
              <w:ind w:right="0"/>
              <w:jc w:val="right"/>
              <w:rPr>
                <w:rFonts w:ascii="黑体" w:hAnsi="黑体" w:cs="黑体" w:eastAsia="黑体" w:hint="default"/>
                <w:sz w:val="20"/>
                <w:szCs w:val="20"/>
              </w:rPr>
            </w:pPr>
            <w:r>
              <w:rPr>
                <w:rFonts w:ascii="黑体" w:hAnsi="黑体" w:cs="黑体" w:eastAsia="黑体" w:hint="default"/>
                <w:w w:val="95"/>
                <w:sz w:val="20"/>
                <w:szCs w:val="20"/>
              </w:rPr>
              <w:t>年初数</w:t>
            </w:r>
            <w:r>
              <w:rPr>
                <w:rFonts w:ascii="黑体" w:hAnsi="黑体" w:cs="黑体" w:eastAsia="黑体" w:hint="default"/>
                <w:sz w:val="20"/>
                <w:szCs w:val="20"/>
              </w:rPr>
            </w:r>
          </w:p>
        </w:tc>
        <w:tc>
          <w:tcPr>
            <w:tcW w:w="458"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Style w:val="TableParagraph"/>
              <w:spacing w:line="199" w:lineRule="exact"/>
              <w:ind w:right="1"/>
              <w:jc w:val="right"/>
              <w:rPr>
                <w:rFonts w:ascii="黑体" w:hAnsi="黑体" w:cs="黑体" w:eastAsia="黑体" w:hint="default"/>
                <w:sz w:val="20"/>
                <w:szCs w:val="20"/>
              </w:rPr>
            </w:pPr>
            <w:r>
              <w:rPr>
                <w:rFonts w:ascii="黑体" w:hAnsi="黑体" w:cs="黑体" w:eastAsia="黑体" w:hint="default"/>
                <w:w w:val="95"/>
                <w:sz w:val="20"/>
                <w:szCs w:val="20"/>
              </w:rPr>
              <w:t>本年增加</w:t>
            </w:r>
            <w:r>
              <w:rPr>
                <w:rFonts w:ascii="黑体" w:hAnsi="黑体" w:cs="黑体" w:eastAsia="黑体" w:hint="default"/>
                <w:sz w:val="20"/>
                <w:szCs w:val="20"/>
              </w:rPr>
            </w:r>
          </w:p>
        </w:tc>
        <w:tc>
          <w:tcPr>
            <w:tcW w:w="776" w:type="dxa"/>
            <w:tcBorders>
              <w:top w:val="nil" w:sz="6" w:space="0" w:color="auto"/>
              <w:left w:val="nil" w:sz="6" w:space="0" w:color="auto"/>
              <w:bottom w:val="nil" w:sz="6" w:space="0" w:color="auto"/>
              <w:right w:val="nil" w:sz="6" w:space="0" w:color="auto"/>
            </w:tcBorders>
          </w:tcPr>
          <w:p>
            <w:pPr/>
          </w:p>
        </w:tc>
        <w:tc>
          <w:tcPr>
            <w:tcW w:w="985" w:type="dxa"/>
            <w:tcBorders>
              <w:top w:val="nil" w:sz="6" w:space="0" w:color="auto"/>
              <w:left w:val="nil" w:sz="6" w:space="0" w:color="auto"/>
              <w:bottom w:val="nil" w:sz="6" w:space="0" w:color="auto"/>
              <w:right w:val="nil" w:sz="6" w:space="0" w:color="auto"/>
            </w:tcBorders>
          </w:tcPr>
          <w:p>
            <w:pPr>
              <w:pStyle w:val="TableParagraph"/>
              <w:spacing w:line="199" w:lineRule="exact"/>
              <w:ind w:left="-22" w:right="207"/>
              <w:jc w:val="right"/>
              <w:rPr>
                <w:rFonts w:ascii="黑体" w:hAnsi="黑体" w:cs="黑体" w:eastAsia="黑体" w:hint="default"/>
                <w:sz w:val="20"/>
                <w:szCs w:val="20"/>
              </w:rPr>
            </w:pPr>
            <w:r>
              <w:rPr>
                <w:rFonts w:ascii="黑体" w:hAnsi="黑体" w:cs="黑体" w:eastAsia="黑体" w:hint="default"/>
                <w:w w:val="95"/>
                <w:sz w:val="20"/>
                <w:szCs w:val="20"/>
              </w:rPr>
              <w:t>本年减少</w:t>
            </w:r>
            <w:r>
              <w:rPr>
                <w:rFonts w:ascii="黑体" w:hAnsi="黑体" w:cs="黑体" w:eastAsia="黑体" w:hint="default"/>
                <w:sz w:val="20"/>
                <w:szCs w:val="20"/>
              </w:rPr>
            </w:r>
          </w:p>
        </w:tc>
        <w:tc>
          <w:tcPr>
            <w:tcW w:w="1436" w:type="dxa"/>
            <w:tcBorders>
              <w:top w:val="nil" w:sz="6" w:space="0" w:color="auto"/>
              <w:left w:val="nil" w:sz="6" w:space="0" w:color="auto"/>
              <w:bottom w:val="nil" w:sz="6" w:space="0" w:color="auto"/>
              <w:right w:val="nil" w:sz="6" w:space="0" w:color="auto"/>
            </w:tcBorders>
          </w:tcPr>
          <w:p>
            <w:pPr>
              <w:pStyle w:val="TableParagraph"/>
              <w:spacing w:line="199" w:lineRule="exact"/>
              <w:ind w:right="8"/>
              <w:jc w:val="right"/>
              <w:rPr>
                <w:rFonts w:ascii="黑体" w:hAnsi="黑体" w:cs="黑体" w:eastAsia="黑体" w:hint="default"/>
                <w:sz w:val="20"/>
                <w:szCs w:val="20"/>
              </w:rPr>
            </w:pPr>
            <w:r>
              <w:rPr>
                <w:rFonts w:ascii="黑体" w:hAnsi="黑体" w:cs="黑体" w:eastAsia="黑体" w:hint="default"/>
                <w:w w:val="95"/>
                <w:sz w:val="20"/>
                <w:szCs w:val="20"/>
              </w:rPr>
              <w:t>年末数</w:t>
            </w:r>
            <w:r>
              <w:rPr>
                <w:rFonts w:ascii="黑体" w:hAnsi="黑体" w:cs="黑体" w:eastAsia="黑体" w:hint="default"/>
                <w:sz w:val="20"/>
                <w:szCs w:val="20"/>
              </w:rPr>
            </w:r>
          </w:p>
        </w:tc>
        <w:tc>
          <w:tcPr>
            <w:tcW w:w="277" w:type="dxa"/>
            <w:tcBorders>
              <w:top w:val="nil" w:sz="6" w:space="0" w:color="auto"/>
              <w:left w:val="nil" w:sz="6" w:space="0" w:color="auto"/>
              <w:bottom w:val="nil" w:sz="6" w:space="0" w:color="auto"/>
              <w:right w:val="nil" w:sz="6" w:space="0" w:color="auto"/>
            </w:tcBorders>
          </w:tcPr>
          <w:p>
            <w:pPr/>
          </w:p>
        </w:tc>
      </w:tr>
      <w:tr>
        <w:trPr>
          <w:trHeight w:val="384" w:hRule="exact"/>
        </w:trPr>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11" w:right="0"/>
              <w:jc w:val="left"/>
              <w:rPr>
                <w:rFonts w:ascii="黑体" w:hAnsi="黑体" w:cs="黑体" w:eastAsia="黑体" w:hint="default"/>
                <w:sz w:val="20"/>
                <w:szCs w:val="20"/>
              </w:rPr>
            </w:pPr>
            <w:r>
              <w:rPr>
                <w:rFonts w:ascii="黑体" w:hAnsi="黑体" w:cs="黑体" w:eastAsia="黑体" w:hint="default"/>
                <w:sz w:val="20"/>
                <w:szCs w:val="20"/>
              </w:rPr>
              <w:t>原价</w:t>
            </w:r>
          </w:p>
        </w:tc>
        <w:tc>
          <w:tcPr>
            <w:tcW w:w="1514"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
        </w:tc>
        <w:tc>
          <w:tcPr>
            <w:tcW w:w="776" w:type="dxa"/>
            <w:tcBorders>
              <w:top w:val="nil" w:sz="6" w:space="0" w:color="auto"/>
              <w:left w:val="nil" w:sz="6" w:space="0" w:color="auto"/>
              <w:bottom w:val="nil" w:sz="6" w:space="0" w:color="auto"/>
              <w:right w:val="nil" w:sz="6" w:space="0" w:color="auto"/>
            </w:tcBorders>
          </w:tcPr>
          <w:p>
            <w:pPr/>
          </w:p>
        </w:tc>
        <w:tc>
          <w:tcPr>
            <w:tcW w:w="985"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r>
      <w:tr>
        <w:trPr>
          <w:trHeight w:val="272" w:hRule="exact"/>
        </w:trPr>
        <w:tc>
          <w:tcPr>
            <w:tcW w:w="1508" w:type="dxa"/>
            <w:tcBorders>
              <w:top w:val="nil" w:sz="6" w:space="0" w:color="auto"/>
              <w:left w:val="nil" w:sz="6" w:space="0" w:color="auto"/>
              <w:bottom w:val="nil" w:sz="6" w:space="0" w:color="auto"/>
              <w:right w:val="nil" w:sz="6" w:space="0" w:color="auto"/>
            </w:tcBorders>
          </w:tcPr>
          <w:p>
            <w:pPr>
              <w:pStyle w:val="TableParagraph"/>
              <w:spacing w:line="239" w:lineRule="exact"/>
              <w:ind w:left="211" w:right="0"/>
              <w:jc w:val="left"/>
              <w:rPr>
                <w:rFonts w:ascii="黑体" w:hAnsi="黑体" w:cs="黑体" w:eastAsia="黑体" w:hint="default"/>
                <w:sz w:val="20"/>
                <w:szCs w:val="20"/>
              </w:rPr>
            </w:pPr>
            <w:r>
              <w:rPr>
                <w:rFonts w:ascii="黑体" w:hAnsi="黑体" w:cs="黑体" w:eastAsia="黑体" w:hint="default"/>
                <w:sz w:val="20"/>
                <w:szCs w:val="20"/>
              </w:rPr>
              <w:t>土地使用权</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0"/>
              <w:jc w:val="right"/>
              <w:rPr>
                <w:rFonts w:ascii="Arial" w:hAnsi="Arial" w:cs="Arial" w:eastAsia="Arial" w:hint="default"/>
                <w:sz w:val="20"/>
                <w:szCs w:val="20"/>
              </w:rPr>
            </w:pPr>
            <w:r>
              <w:rPr>
                <w:rFonts w:ascii="Arial"/>
                <w:spacing w:val="-1"/>
                <w:sz w:val="20"/>
              </w:rPr>
              <w:t>333,535,171</w:t>
            </w:r>
            <w:r>
              <w:rPr>
                <w:rFonts w:ascii="Arial"/>
                <w:sz w:val="20"/>
              </w:rPr>
            </w:r>
          </w:p>
        </w:tc>
        <w:tc>
          <w:tcPr>
            <w:tcW w:w="458"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
              <w:jc w:val="right"/>
              <w:rPr>
                <w:rFonts w:ascii="Arial" w:hAnsi="Arial" w:cs="Arial" w:eastAsia="Arial" w:hint="default"/>
                <w:sz w:val="20"/>
                <w:szCs w:val="20"/>
              </w:rPr>
            </w:pPr>
            <w:r>
              <w:rPr>
                <w:rFonts w:ascii="Arial"/>
                <w:spacing w:val="-1"/>
                <w:sz w:val="20"/>
              </w:rPr>
              <w:t>1,447,148</w:t>
            </w:r>
          </w:p>
        </w:tc>
        <w:tc>
          <w:tcPr>
            <w:tcW w:w="776" w:type="dxa"/>
            <w:tcBorders>
              <w:top w:val="nil" w:sz="6" w:space="0" w:color="auto"/>
              <w:left w:val="nil" w:sz="6" w:space="0" w:color="auto"/>
              <w:bottom w:val="nil" w:sz="6" w:space="0" w:color="auto"/>
              <w:right w:val="nil" w:sz="6" w:space="0" w:color="auto"/>
            </w:tcBorders>
          </w:tcPr>
          <w:p>
            <w:pP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06"/>
              <w:jc w:val="right"/>
              <w:rPr>
                <w:rFonts w:ascii="Arial" w:hAnsi="Arial" w:cs="Arial" w:eastAsia="Arial" w:hint="default"/>
                <w:sz w:val="20"/>
                <w:szCs w:val="20"/>
              </w:rPr>
            </w:pPr>
            <w:r>
              <w:rPr>
                <w:rFonts w:ascii="Arial"/>
                <w:w w:val="99"/>
                <w:sz w:val="20"/>
              </w:rPr>
              <w:t>-</w:t>
            </w:r>
            <w:r>
              <w:rPr>
                <w:rFonts w:ascii="Arial"/>
                <w:sz w:val="20"/>
              </w:rPr>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9"/>
              <w:jc w:val="right"/>
              <w:rPr>
                <w:rFonts w:ascii="Arial" w:hAnsi="Arial" w:cs="Arial" w:eastAsia="Arial" w:hint="default"/>
                <w:sz w:val="20"/>
                <w:szCs w:val="20"/>
              </w:rPr>
            </w:pPr>
            <w:r>
              <w:rPr>
                <w:rFonts w:ascii="Arial"/>
                <w:spacing w:val="-1"/>
                <w:sz w:val="20"/>
              </w:rPr>
              <w:t>334,982,319</w:t>
            </w:r>
            <w:r>
              <w:rPr>
                <w:rFonts w:ascii="Arial"/>
                <w:sz w:val="20"/>
              </w:rPr>
            </w:r>
          </w:p>
        </w:tc>
        <w:tc>
          <w:tcPr>
            <w:tcW w:w="277" w:type="dxa"/>
            <w:tcBorders>
              <w:top w:val="nil" w:sz="6" w:space="0" w:color="auto"/>
              <w:left w:val="nil" w:sz="6" w:space="0" w:color="auto"/>
              <w:bottom w:val="nil" w:sz="6" w:space="0" w:color="auto"/>
              <w:right w:val="nil" w:sz="6" w:space="0" w:color="auto"/>
            </w:tcBorders>
          </w:tcPr>
          <w:p>
            <w:pPr/>
          </w:p>
        </w:tc>
      </w:tr>
      <w:tr>
        <w:trPr>
          <w:trHeight w:val="256" w:hRule="exact"/>
        </w:trPr>
        <w:tc>
          <w:tcPr>
            <w:tcW w:w="1508" w:type="dxa"/>
            <w:tcBorders>
              <w:top w:val="nil" w:sz="6" w:space="0" w:color="auto"/>
              <w:left w:val="nil" w:sz="6" w:space="0" w:color="auto"/>
              <w:bottom w:val="nil" w:sz="6" w:space="0" w:color="auto"/>
              <w:right w:val="nil" w:sz="6" w:space="0" w:color="auto"/>
            </w:tcBorders>
          </w:tcPr>
          <w:p>
            <w:pPr>
              <w:pStyle w:val="TableParagraph"/>
              <w:spacing w:line="223" w:lineRule="exact"/>
              <w:ind w:left="211" w:right="0"/>
              <w:jc w:val="left"/>
              <w:rPr>
                <w:rFonts w:ascii="黑体" w:hAnsi="黑体" w:cs="黑体" w:eastAsia="黑体" w:hint="default"/>
                <w:sz w:val="20"/>
                <w:szCs w:val="20"/>
              </w:rPr>
            </w:pPr>
            <w:r>
              <w:rPr>
                <w:rFonts w:ascii="黑体" w:hAnsi="黑体" w:cs="黑体" w:eastAsia="黑体" w:hint="default"/>
                <w:sz w:val="20"/>
                <w:szCs w:val="20"/>
              </w:rPr>
              <w:t>软件使用权</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Arial" w:hAnsi="Arial" w:cs="Arial" w:eastAsia="Arial" w:hint="default"/>
                <w:sz w:val="20"/>
                <w:szCs w:val="20"/>
              </w:rPr>
            </w:pPr>
            <w:r>
              <w:rPr>
                <w:rFonts w:ascii="Arial"/>
                <w:spacing w:val="-1"/>
                <w:sz w:val="20"/>
              </w:rPr>
              <w:t>31,978,655</w:t>
            </w:r>
            <w:r>
              <w:rPr>
                <w:rFonts w:ascii="Arial"/>
                <w:sz w:val="20"/>
              </w:rPr>
            </w:r>
          </w:p>
        </w:tc>
        <w:tc>
          <w:tcPr>
            <w:tcW w:w="458"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
              <w:jc w:val="right"/>
              <w:rPr>
                <w:rFonts w:ascii="Arial" w:hAnsi="Arial" w:cs="Arial" w:eastAsia="Arial" w:hint="default"/>
                <w:sz w:val="20"/>
                <w:szCs w:val="20"/>
              </w:rPr>
            </w:pPr>
            <w:r>
              <w:rPr>
                <w:rFonts w:ascii="Arial"/>
                <w:spacing w:val="-1"/>
                <w:sz w:val="20"/>
              </w:rPr>
              <w:t>2,194,542</w:t>
            </w:r>
          </w:p>
        </w:tc>
        <w:tc>
          <w:tcPr>
            <w:tcW w:w="776" w:type="dxa"/>
            <w:tcBorders>
              <w:top w:val="nil" w:sz="6" w:space="0" w:color="auto"/>
              <w:left w:val="nil" w:sz="6" w:space="0" w:color="auto"/>
              <w:bottom w:val="nil" w:sz="6" w:space="0" w:color="auto"/>
              <w:right w:val="nil" w:sz="6" w:space="0" w:color="auto"/>
            </w:tcBorders>
          </w:tcPr>
          <w:p>
            <w:pP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6"/>
              <w:jc w:val="right"/>
              <w:rPr>
                <w:rFonts w:ascii="Arial" w:hAnsi="Arial" w:cs="Arial" w:eastAsia="Arial" w:hint="default"/>
                <w:sz w:val="20"/>
                <w:szCs w:val="20"/>
              </w:rPr>
            </w:pPr>
            <w:r>
              <w:rPr>
                <w:rFonts w:ascii="Arial"/>
                <w:w w:val="99"/>
                <w:sz w:val="20"/>
              </w:rPr>
              <w:t>-</w:t>
            </w:r>
            <w:r>
              <w:rPr>
                <w:rFonts w:ascii="Arial"/>
                <w:sz w:val="20"/>
              </w:rPr>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
              <w:jc w:val="right"/>
              <w:rPr>
                <w:rFonts w:ascii="Arial" w:hAnsi="Arial" w:cs="Arial" w:eastAsia="Arial" w:hint="default"/>
                <w:sz w:val="20"/>
                <w:szCs w:val="20"/>
              </w:rPr>
            </w:pPr>
            <w:r>
              <w:rPr>
                <w:rFonts w:ascii="Arial"/>
                <w:spacing w:val="-1"/>
                <w:sz w:val="20"/>
              </w:rPr>
              <w:t>34,173,197</w:t>
            </w:r>
            <w:r>
              <w:rPr>
                <w:rFonts w:ascii="Arial"/>
                <w:sz w:val="20"/>
              </w:rPr>
            </w:r>
          </w:p>
        </w:tc>
        <w:tc>
          <w:tcPr>
            <w:tcW w:w="277" w:type="dxa"/>
            <w:tcBorders>
              <w:top w:val="nil" w:sz="6" w:space="0" w:color="auto"/>
              <w:left w:val="nil" w:sz="6" w:space="0" w:color="auto"/>
              <w:bottom w:val="nil" w:sz="6" w:space="0" w:color="auto"/>
              <w:right w:val="nil" w:sz="6" w:space="0" w:color="auto"/>
            </w:tcBorders>
          </w:tcPr>
          <w:p>
            <w:pPr/>
          </w:p>
        </w:tc>
      </w:tr>
      <w:tr>
        <w:trPr>
          <w:trHeight w:val="389" w:hRule="exact"/>
        </w:trPr>
        <w:tc>
          <w:tcPr>
            <w:tcW w:w="1508" w:type="dxa"/>
            <w:tcBorders>
              <w:top w:val="nil" w:sz="6" w:space="0" w:color="auto"/>
              <w:left w:val="nil" w:sz="6" w:space="0" w:color="auto"/>
              <w:bottom w:val="nil" w:sz="6" w:space="0" w:color="auto"/>
              <w:right w:val="nil" w:sz="6" w:space="0" w:color="auto"/>
            </w:tcBorders>
          </w:tcPr>
          <w:p>
            <w:pPr>
              <w:pStyle w:val="TableParagraph"/>
              <w:spacing w:line="222" w:lineRule="exact"/>
              <w:ind w:left="211" w:right="0"/>
              <w:jc w:val="left"/>
              <w:rPr>
                <w:rFonts w:ascii="黑体" w:hAnsi="黑体" w:cs="黑体" w:eastAsia="黑体" w:hint="default"/>
                <w:sz w:val="20"/>
                <w:szCs w:val="20"/>
              </w:rPr>
            </w:pPr>
            <w:r>
              <w:rPr>
                <w:rFonts w:ascii="黑体" w:hAnsi="黑体" w:cs="黑体" w:eastAsia="黑体" w:hint="default"/>
                <w:sz w:val="20"/>
                <w:szCs w:val="20"/>
              </w:rPr>
              <w:t>软件著作权</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Arial" w:hAnsi="Arial" w:cs="Arial" w:eastAsia="Arial" w:hint="default"/>
                <w:sz w:val="20"/>
                <w:szCs w:val="20"/>
              </w:rPr>
            </w:pPr>
            <w:r>
              <w:rPr>
                <w:rFonts w:ascii="Arial"/>
                <w:w w:val="99"/>
                <w:sz w:val="20"/>
              </w:rPr>
            </w:r>
            <w:r>
              <w:rPr>
                <w:rFonts w:ascii="Arial"/>
                <w:spacing w:val="-1"/>
                <w:sz w:val="20"/>
                <w:u w:val="single" w:color="000000"/>
              </w:rPr>
              <w:t>142,723,045</w:t>
            </w:r>
            <w:r>
              <w:rPr>
                <w:rFonts w:ascii="Arial"/>
                <w:spacing w:val="-1"/>
                <w:sz w:val="20"/>
              </w:rPr>
            </w:r>
            <w:r>
              <w:rPr>
                <w:rFonts w:ascii="Arial"/>
                <w:sz w:val="20"/>
              </w:rPr>
            </w:r>
          </w:p>
        </w:tc>
        <w:tc>
          <w:tcPr>
            <w:tcW w:w="458"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Style w:val="TableParagraph"/>
              <w:tabs>
                <w:tab w:pos="801" w:val="left" w:leader="none"/>
              </w:tabs>
              <w:spacing w:line="240" w:lineRule="auto" w:before="6"/>
              <w:ind w:right="-1"/>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776" w:type="dxa"/>
            <w:tcBorders>
              <w:top w:val="nil" w:sz="6" w:space="0" w:color="auto"/>
              <w:left w:val="nil" w:sz="6" w:space="0" w:color="auto"/>
              <w:bottom w:val="nil" w:sz="6" w:space="0" w:color="auto"/>
              <w:right w:val="nil" w:sz="6" w:space="0" w:color="auto"/>
            </w:tcBorders>
          </w:tcPr>
          <w:p>
            <w:pPr/>
          </w:p>
        </w:tc>
        <w:tc>
          <w:tcPr>
            <w:tcW w:w="985"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6"/>
              <w:ind w:right="203"/>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
              <w:jc w:val="right"/>
              <w:rPr>
                <w:rFonts w:ascii="Arial" w:hAnsi="Arial" w:cs="Arial" w:eastAsia="Arial" w:hint="default"/>
                <w:sz w:val="20"/>
                <w:szCs w:val="20"/>
              </w:rPr>
            </w:pPr>
            <w:r>
              <w:rPr>
                <w:rFonts w:ascii="Arial"/>
                <w:w w:val="99"/>
                <w:sz w:val="20"/>
              </w:rPr>
            </w:r>
            <w:r>
              <w:rPr>
                <w:rFonts w:ascii="Arial"/>
                <w:spacing w:val="-1"/>
                <w:sz w:val="20"/>
                <w:u w:val="single" w:color="000000"/>
              </w:rPr>
              <w:t>142,723,045</w:t>
            </w:r>
            <w:r>
              <w:rPr>
                <w:rFonts w:ascii="Arial"/>
                <w:spacing w:val="-1"/>
                <w:sz w:val="20"/>
              </w:rPr>
            </w:r>
            <w:r>
              <w:rPr>
                <w:rFonts w:ascii="Arial"/>
                <w:sz w:val="20"/>
              </w:rPr>
            </w:r>
          </w:p>
        </w:tc>
        <w:tc>
          <w:tcPr>
            <w:tcW w:w="277" w:type="dxa"/>
            <w:tcBorders>
              <w:top w:val="nil" w:sz="6" w:space="0" w:color="auto"/>
              <w:left w:val="nil" w:sz="6" w:space="0" w:color="auto"/>
              <w:bottom w:val="nil" w:sz="6" w:space="0" w:color="auto"/>
              <w:right w:val="nil" w:sz="6" w:space="0" w:color="auto"/>
            </w:tcBorders>
          </w:tcPr>
          <w:p>
            <w:pPr/>
          </w:p>
        </w:tc>
      </w:tr>
      <w:tr>
        <w:trPr>
          <w:trHeight w:val="497" w:hRule="exact"/>
        </w:trPr>
        <w:tc>
          <w:tcPr>
            <w:tcW w:w="1508"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0"/>
              <w:jc w:val="right"/>
              <w:rPr>
                <w:rFonts w:ascii="Arial" w:hAnsi="Arial" w:cs="Arial" w:eastAsia="Arial" w:hint="default"/>
                <w:sz w:val="20"/>
                <w:szCs w:val="20"/>
              </w:rPr>
            </w:pPr>
            <w:r>
              <w:rPr>
                <w:rFonts w:ascii="Arial"/>
                <w:w w:val="99"/>
                <w:sz w:val="20"/>
              </w:rPr>
            </w:r>
            <w:r>
              <w:rPr>
                <w:rFonts w:ascii="Arial"/>
                <w:spacing w:val="-1"/>
                <w:sz w:val="20"/>
                <w:u w:val="thick" w:color="000000"/>
              </w:rPr>
              <w:t>508,236,871</w:t>
            </w:r>
            <w:r>
              <w:rPr>
                <w:rFonts w:ascii="Arial"/>
                <w:spacing w:val="-1"/>
                <w:sz w:val="20"/>
              </w:rPr>
            </w:r>
            <w:r>
              <w:rPr>
                <w:rFonts w:ascii="Arial"/>
                <w:sz w:val="20"/>
              </w:rPr>
            </w:r>
          </w:p>
        </w:tc>
        <w:tc>
          <w:tcPr>
            <w:tcW w:w="458"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
              <w:jc w:val="right"/>
              <w:rPr>
                <w:rFonts w:ascii="Arial" w:hAnsi="Arial" w:cs="Arial" w:eastAsia="Arial" w:hint="default"/>
                <w:sz w:val="20"/>
                <w:szCs w:val="20"/>
              </w:rPr>
            </w:pPr>
            <w:r>
              <w:rPr>
                <w:rFonts w:ascii="Arial"/>
                <w:w w:val="99"/>
                <w:sz w:val="20"/>
              </w:rPr>
            </w:r>
            <w:r>
              <w:rPr>
                <w:rFonts w:ascii="Arial"/>
                <w:spacing w:val="-1"/>
                <w:sz w:val="20"/>
                <w:u w:val="thick" w:color="000000"/>
              </w:rPr>
              <w:t>3,641,690</w:t>
            </w:r>
            <w:r>
              <w:rPr>
                <w:rFonts w:ascii="Arial"/>
                <w:spacing w:val="-1"/>
                <w:sz w:val="20"/>
              </w:rPr>
            </w:r>
          </w:p>
        </w:tc>
        <w:tc>
          <w:tcPr>
            <w:tcW w:w="776" w:type="dxa"/>
            <w:tcBorders>
              <w:top w:val="nil" w:sz="6" w:space="0" w:color="auto"/>
              <w:left w:val="nil" w:sz="6" w:space="0" w:color="auto"/>
              <w:bottom w:val="nil" w:sz="6" w:space="0" w:color="auto"/>
              <w:right w:val="nil" w:sz="6" w:space="0" w:color="auto"/>
            </w:tcBorders>
          </w:tcPr>
          <w:p>
            <w:pPr/>
          </w:p>
        </w:tc>
        <w:tc>
          <w:tcPr>
            <w:tcW w:w="985"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131"/>
              <w:ind w:right="203"/>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w w:val="95"/>
                <w:sz w:val="20"/>
                <w:u w:val="thick" w:color="000000"/>
              </w:rPr>
              <w:t>-</w:t>
            </w:r>
            <w:r>
              <w:rPr>
                <w:rFonts w:ascii="Arial"/>
                <w:w w:val="95"/>
                <w:sz w:val="20"/>
              </w:rPr>
            </w:r>
            <w:r>
              <w:rPr>
                <w:rFonts w:ascii="Arial"/>
                <w:sz w:val="20"/>
              </w:rPr>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
              <w:jc w:val="right"/>
              <w:rPr>
                <w:rFonts w:ascii="Arial" w:hAnsi="Arial" w:cs="Arial" w:eastAsia="Arial" w:hint="default"/>
                <w:sz w:val="20"/>
                <w:szCs w:val="20"/>
              </w:rPr>
            </w:pPr>
            <w:r>
              <w:rPr>
                <w:rFonts w:ascii="Arial"/>
                <w:w w:val="99"/>
                <w:sz w:val="20"/>
              </w:rPr>
            </w:r>
            <w:r>
              <w:rPr>
                <w:rFonts w:ascii="Arial"/>
                <w:spacing w:val="-1"/>
                <w:sz w:val="20"/>
                <w:u w:val="thick" w:color="000000"/>
              </w:rPr>
              <w:t>511,878,561</w:t>
            </w:r>
            <w:r>
              <w:rPr>
                <w:rFonts w:ascii="Arial"/>
                <w:spacing w:val="-1"/>
                <w:sz w:val="20"/>
              </w:rPr>
            </w:r>
            <w:r>
              <w:rPr>
                <w:rFonts w:ascii="Arial"/>
                <w:sz w:val="20"/>
              </w:rPr>
            </w:r>
          </w:p>
        </w:tc>
        <w:tc>
          <w:tcPr>
            <w:tcW w:w="277" w:type="dxa"/>
            <w:tcBorders>
              <w:top w:val="nil" w:sz="6" w:space="0" w:color="auto"/>
              <w:left w:val="nil" w:sz="6" w:space="0" w:color="auto"/>
              <w:bottom w:val="nil" w:sz="6" w:space="0" w:color="auto"/>
              <w:right w:val="nil" w:sz="6" w:space="0" w:color="auto"/>
            </w:tcBorders>
          </w:tcPr>
          <w:p>
            <w:pPr/>
          </w:p>
        </w:tc>
      </w:tr>
      <w:tr>
        <w:trPr>
          <w:trHeight w:val="379" w:hRule="exact"/>
        </w:trPr>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00" w:right="0"/>
              <w:jc w:val="left"/>
              <w:rPr>
                <w:rFonts w:ascii="黑体" w:hAnsi="黑体" w:cs="黑体" w:eastAsia="黑体" w:hint="default"/>
                <w:sz w:val="20"/>
                <w:szCs w:val="20"/>
              </w:rPr>
            </w:pPr>
            <w:r>
              <w:rPr>
                <w:rFonts w:ascii="黑体" w:hAnsi="黑体" w:cs="黑体" w:eastAsia="黑体" w:hint="default"/>
                <w:sz w:val="20"/>
                <w:szCs w:val="20"/>
              </w:rPr>
              <w:t>累计摊销</w:t>
            </w:r>
          </w:p>
        </w:tc>
        <w:tc>
          <w:tcPr>
            <w:tcW w:w="1514"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
        </w:tc>
        <w:tc>
          <w:tcPr>
            <w:tcW w:w="776" w:type="dxa"/>
            <w:tcBorders>
              <w:top w:val="nil" w:sz="6" w:space="0" w:color="auto"/>
              <w:left w:val="nil" w:sz="6" w:space="0" w:color="auto"/>
              <w:bottom w:val="nil" w:sz="6" w:space="0" w:color="auto"/>
              <w:right w:val="nil" w:sz="6" w:space="0" w:color="auto"/>
            </w:tcBorders>
          </w:tcPr>
          <w:p>
            <w:pPr/>
          </w:p>
        </w:tc>
        <w:tc>
          <w:tcPr>
            <w:tcW w:w="985"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r>
      <w:tr>
        <w:trPr>
          <w:trHeight w:val="271" w:hRule="exact"/>
        </w:trPr>
        <w:tc>
          <w:tcPr>
            <w:tcW w:w="1508" w:type="dxa"/>
            <w:tcBorders>
              <w:top w:val="nil" w:sz="6" w:space="0" w:color="auto"/>
              <w:left w:val="nil" w:sz="6" w:space="0" w:color="auto"/>
              <w:bottom w:val="nil" w:sz="6" w:space="0" w:color="auto"/>
              <w:right w:val="nil" w:sz="6" w:space="0" w:color="auto"/>
            </w:tcBorders>
          </w:tcPr>
          <w:p>
            <w:pPr>
              <w:pStyle w:val="TableParagraph"/>
              <w:spacing w:line="239" w:lineRule="exact"/>
              <w:ind w:left="211" w:right="0"/>
              <w:jc w:val="left"/>
              <w:rPr>
                <w:rFonts w:ascii="黑体" w:hAnsi="黑体" w:cs="黑体" w:eastAsia="黑体" w:hint="default"/>
                <w:sz w:val="20"/>
                <w:szCs w:val="20"/>
              </w:rPr>
            </w:pPr>
            <w:r>
              <w:rPr>
                <w:rFonts w:ascii="黑体" w:hAnsi="黑体" w:cs="黑体" w:eastAsia="黑体" w:hint="default"/>
                <w:sz w:val="20"/>
                <w:szCs w:val="20"/>
              </w:rPr>
              <w:t>土地使用权</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0"/>
              <w:jc w:val="right"/>
              <w:rPr>
                <w:rFonts w:ascii="Arial" w:hAnsi="Arial" w:cs="Arial" w:eastAsia="Arial" w:hint="default"/>
                <w:sz w:val="20"/>
                <w:szCs w:val="20"/>
              </w:rPr>
            </w:pPr>
            <w:r>
              <w:rPr>
                <w:rFonts w:ascii="Arial"/>
                <w:sz w:val="20"/>
              </w:rPr>
              <w:t>( </w:t>
            </w:r>
            <w:r>
              <w:rPr>
                <w:rFonts w:ascii="Arial"/>
                <w:spacing w:val="20"/>
                <w:sz w:val="20"/>
              </w:rPr>
              <w:t> </w:t>
            </w:r>
            <w:r>
              <w:rPr>
                <w:rFonts w:ascii="Arial"/>
                <w:sz w:val="20"/>
              </w:rPr>
              <w:t>30,581,356</w:t>
            </w:r>
          </w:p>
        </w:tc>
        <w:tc>
          <w:tcPr>
            <w:tcW w:w="45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0"/>
              <w:jc w:val="left"/>
              <w:rPr>
                <w:rFonts w:ascii="Arial" w:hAnsi="Arial" w:cs="Arial" w:eastAsia="Arial" w:hint="default"/>
                <w:sz w:val="20"/>
                <w:szCs w:val="20"/>
              </w:rPr>
            </w:pPr>
            <w:r>
              <w:rPr>
                <w:rFonts w:ascii="Arial"/>
                <w:w w:val="99"/>
                <w:sz w:val="20"/>
              </w:rPr>
              <w:t>)</w:t>
            </w:r>
            <w:r>
              <w:rPr>
                <w:rFonts w:ascii="Arial"/>
                <w:sz w:val="20"/>
              </w:rPr>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
              <w:jc w:val="right"/>
              <w:rPr>
                <w:rFonts w:ascii="Arial" w:hAnsi="Arial" w:cs="Arial" w:eastAsia="Arial" w:hint="default"/>
                <w:sz w:val="20"/>
                <w:szCs w:val="20"/>
              </w:rPr>
            </w:pPr>
            <w:r>
              <w:rPr>
                <w:rFonts w:ascii="Arial"/>
                <w:sz w:val="20"/>
              </w:rPr>
              <w:t>( </w:t>
            </w:r>
            <w:r>
              <w:rPr>
                <w:rFonts w:ascii="Arial"/>
                <w:spacing w:val="3"/>
                <w:sz w:val="20"/>
              </w:rPr>
              <w:t> </w:t>
            </w:r>
            <w:r>
              <w:rPr>
                <w:rFonts w:ascii="Arial"/>
                <w:sz w:val="20"/>
              </w:rPr>
              <w:t>6,825,196</w:t>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 w:right="0"/>
              <w:jc w:val="left"/>
              <w:rPr>
                <w:rFonts w:ascii="Arial" w:hAnsi="Arial" w:cs="Arial" w:eastAsia="Arial" w:hint="default"/>
                <w:sz w:val="20"/>
                <w:szCs w:val="20"/>
              </w:rPr>
            </w:pPr>
            <w:r>
              <w:rPr>
                <w:rFonts w:ascii="Arial"/>
                <w:w w:val="99"/>
                <w:sz w:val="20"/>
              </w:rPr>
              <w:t>)</w:t>
            </w:r>
            <w:r>
              <w:rPr>
                <w:rFonts w:ascii="Arial"/>
                <w:sz w:val="20"/>
              </w:rPr>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06"/>
              <w:jc w:val="right"/>
              <w:rPr>
                <w:rFonts w:ascii="Arial" w:hAnsi="Arial" w:cs="Arial" w:eastAsia="Arial" w:hint="default"/>
                <w:sz w:val="20"/>
                <w:szCs w:val="20"/>
              </w:rPr>
            </w:pPr>
            <w:r>
              <w:rPr>
                <w:rFonts w:ascii="Arial"/>
                <w:w w:val="99"/>
                <w:sz w:val="20"/>
              </w:rPr>
              <w:t>-</w:t>
            </w:r>
            <w:r>
              <w:rPr>
                <w:rFonts w:ascii="Arial"/>
                <w:sz w:val="20"/>
              </w:rPr>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9"/>
              <w:jc w:val="right"/>
              <w:rPr>
                <w:rFonts w:ascii="Arial" w:hAnsi="Arial" w:cs="Arial" w:eastAsia="Arial" w:hint="default"/>
                <w:sz w:val="20"/>
                <w:szCs w:val="20"/>
              </w:rPr>
            </w:pPr>
            <w:r>
              <w:rPr>
                <w:rFonts w:ascii="Arial"/>
                <w:sz w:val="20"/>
              </w:rPr>
              <w:t>( </w:t>
            </w:r>
            <w:r>
              <w:rPr>
                <w:rFonts w:ascii="Arial"/>
                <w:spacing w:val="34"/>
                <w:sz w:val="20"/>
              </w:rPr>
              <w:t> </w:t>
            </w:r>
            <w:r>
              <w:rPr>
                <w:rFonts w:ascii="Arial"/>
                <w:sz w:val="20"/>
              </w:rPr>
              <w:t>37,406,552</w:t>
            </w:r>
          </w:p>
        </w:tc>
        <w:tc>
          <w:tcPr>
            <w:tcW w:w="27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 w:right="0"/>
              <w:jc w:val="left"/>
              <w:rPr>
                <w:rFonts w:ascii="Arial" w:hAnsi="Arial" w:cs="Arial" w:eastAsia="Arial" w:hint="default"/>
                <w:sz w:val="20"/>
                <w:szCs w:val="20"/>
              </w:rPr>
            </w:pPr>
            <w:r>
              <w:rPr>
                <w:rFonts w:ascii="Arial"/>
                <w:w w:val="99"/>
                <w:sz w:val="20"/>
              </w:rPr>
              <w:t>)</w:t>
            </w:r>
            <w:r>
              <w:rPr>
                <w:rFonts w:ascii="Arial"/>
                <w:sz w:val="20"/>
              </w:rPr>
            </w:r>
          </w:p>
        </w:tc>
      </w:tr>
      <w:tr>
        <w:trPr>
          <w:trHeight w:val="256" w:hRule="exact"/>
        </w:trPr>
        <w:tc>
          <w:tcPr>
            <w:tcW w:w="1508" w:type="dxa"/>
            <w:tcBorders>
              <w:top w:val="nil" w:sz="6" w:space="0" w:color="auto"/>
              <w:left w:val="nil" w:sz="6" w:space="0" w:color="auto"/>
              <w:bottom w:val="nil" w:sz="6" w:space="0" w:color="auto"/>
              <w:right w:val="nil" w:sz="6" w:space="0" w:color="auto"/>
            </w:tcBorders>
          </w:tcPr>
          <w:p>
            <w:pPr>
              <w:pStyle w:val="TableParagraph"/>
              <w:spacing w:line="222" w:lineRule="exact"/>
              <w:ind w:left="211" w:right="0"/>
              <w:jc w:val="left"/>
              <w:rPr>
                <w:rFonts w:ascii="黑体" w:hAnsi="黑体" w:cs="黑体" w:eastAsia="黑体" w:hint="default"/>
                <w:sz w:val="20"/>
                <w:szCs w:val="20"/>
              </w:rPr>
            </w:pPr>
            <w:r>
              <w:rPr>
                <w:rFonts w:ascii="黑体" w:hAnsi="黑体" w:cs="黑体" w:eastAsia="黑体" w:hint="default"/>
                <w:sz w:val="20"/>
                <w:szCs w:val="20"/>
              </w:rPr>
              <w:t>软件使用权</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Arial" w:hAnsi="Arial" w:cs="Arial" w:eastAsia="Arial" w:hint="default"/>
                <w:sz w:val="20"/>
                <w:szCs w:val="20"/>
              </w:rPr>
            </w:pPr>
            <w:r>
              <w:rPr>
                <w:rFonts w:ascii="Arial"/>
                <w:sz w:val="20"/>
              </w:rPr>
              <w:t>( </w:t>
            </w:r>
            <w:r>
              <w:rPr>
                <w:rFonts w:ascii="Arial"/>
                <w:spacing w:val="24"/>
                <w:sz w:val="20"/>
              </w:rPr>
              <w:t> </w:t>
            </w:r>
            <w:r>
              <w:rPr>
                <w:rFonts w:ascii="Arial"/>
                <w:sz w:val="20"/>
              </w:rPr>
              <w:t>22,209,070</w:t>
            </w:r>
          </w:p>
        </w:tc>
        <w:tc>
          <w:tcPr>
            <w:tcW w:w="45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20"/>
                <w:szCs w:val="20"/>
              </w:rPr>
            </w:pPr>
            <w:r>
              <w:rPr>
                <w:rFonts w:ascii="Arial"/>
                <w:w w:val="99"/>
                <w:sz w:val="20"/>
              </w:rPr>
              <w:t>)</w:t>
            </w:r>
            <w:r>
              <w:rPr>
                <w:rFonts w:ascii="Arial"/>
                <w:sz w:val="20"/>
              </w:rPr>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
              <w:jc w:val="right"/>
              <w:rPr>
                <w:rFonts w:ascii="Arial" w:hAnsi="Arial" w:cs="Arial" w:eastAsia="Arial" w:hint="default"/>
                <w:sz w:val="20"/>
                <w:szCs w:val="20"/>
              </w:rPr>
            </w:pPr>
            <w:r>
              <w:rPr>
                <w:rFonts w:ascii="Arial"/>
                <w:sz w:val="20"/>
              </w:rPr>
              <w:t>( </w:t>
            </w:r>
            <w:r>
              <w:rPr>
                <w:rFonts w:ascii="Arial"/>
                <w:spacing w:val="3"/>
                <w:sz w:val="20"/>
              </w:rPr>
              <w:t> </w:t>
            </w:r>
            <w:r>
              <w:rPr>
                <w:rFonts w:ascii="Arial"/>
                <w:sz w:val="20"/>
              </w:rPr>
              <w:t>1,732,400</w:t>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 w:right="0"/>
              <w:jc w:val="left"/>
              <w:rPr>
                <w:rFonts w:ascii="Arial" w:hAnsi="Arial" w:cs="Arial" w:eastAsia="Arial" w:hint="default"/>
                <w:sz w:val="20"/>
                <w:szCs w:val="20"/>
              </w:rPr>
            </w:pPr>
            <w:r>
              <w:rPr>
                <w:rFonts w:ascii="Arial"/>
                <w:w w:val="99"/>
                <w:sz w:val="20"/>
              </w:rPr>
              <w:t>)</w:t>
            </w:r>
            <w:r>
              <w:rPr>
                <w:rFonts w:ascii="Arial"/>
                <w:sz w:val="20"/>
              </w:rPr>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06"/>
              <w:jc w:val="right"/>
              <w:rPr>
                <w:rFonts w:ascii="Arial" w:hAnsi="Arial" w:cs="Arial" w:eastAsia="Arial" w:hint="default"/>
                <w:sz w:val="20"/>
                <w:szCs w:val="20"/>
              </w:rPr>
            </w:pPr>
            <w:r>
              <w:rPr>
                <w:rFonts w:ascii="Arial"/>
                <w:w w:val="99"/>
                <w:sz w:val="20"/>
              </w:rPr>
              <w:t>-</w:t>
            </w:r>
            <w:r>
              <w:rPr>
                <w:rFonts w:ascii="Arial"/>
                <w:sz w:val="20"/>
              </w:rPr>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
              <w:jc w:val="right"/>
              <w:rPr>
                <w:rFonts w:ascii="Arial" w:hAnsi="Arial" w:cs="Arial" w:eastAsia="Arial" w:hint="default"/>
                <w:sz w:val="20"/>
                <w:szCs w:val="20"/>
              </w:rPr>
            </w:pPr>
            <w:r>
              <w:rPr>
                <w:rFonts w:ascii="Arial"/>
                <w:sz w:val="20"/>
              </w:rPr>
              <w:t>( </w:t>
            </w:r>
            <w:r>
              <w:rPr>
                <w:rFonts w:ascii="Arial"/>
                <w:spacing w:val="29"/>
                <w:sz w:val="20"/>
              </w:rPr>
              <w:t> </w:t>
            </w:r>
            <w:r>
              <w:rPr>
                <w:rFonts w:ascii="Arial"/>
                <w:sz w:val="20"/>
              </w:rPr>
              <w:t>23,941,470</w:t>
            </w:r>
          </w:p>
        </w:tc>
        <w:tc>
          <w:tcPr>
            <w:tcW w:w="277"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 w:right="0"/>
              <w:jc w:val="left"/>
              <w:rPr>
                <w:rFonts w:ascii="Arial" w:hAnsi="Arial" w:cs="Arial" w:eastAsia="Arial" w:hint="default"/>
                <w:sz w:val="20"/>
                <w:szCs w:val="20"/>
              </w:rPr>
            </w:pPr>
            <w:r>
              <w:rPr>
                <w:rFonts w:ascii="Arial"/>
                <w:w w:val="99"/>
                <w:sz w:val="20"/>
              </w:rPr>
              <w:t>)</w:t>
            </w:r>
            <w:r>
              <w:rPr>
                <w:rFonts w:ascii="Arial"/>
                <w:sz w:val="20"/>
              </w:rPr>
            </w:r>
          </w:p>
        </w:tc>
      </w:tr>
      <w:tr>
        <w:trPr>
          <w:trHeight w:val="389" w:hRule="exact"/>
        </w:trPr>
        <w:tc>
          <w:tcPr>
            <w:tcW w:w="1508" w:type="dxa"/>
            <w:tcBorders>
              <w:top w:val="nil" w:sz="6" w:space="0" w:color="auto"/>
              <w:left w:val="nil" w:sz="6" w:space="0" w:color="auto"/>
              <w:bottom w:val="nil" w:sz="6" w:space="0" w:color="auto"/>
              <w:right w:val="nil" w:sz="6" w:space="0" w:color="auto"/>
            </w:tcBorders>
          </w:tcPr>
          <w:p>
            <w:pPr>
              <w:pStyle w:val="TableParagraph"/>
              <w:spacing w:line="223" w:lineRule="exact"/>
              <w:ind w:left="211" w:right="0"/>
              <w:jc w:val="left"/>
              <w:rPr>
                <w:rFonts w:ascii="黑体" w:hAnsi="黑体" w:cs="黑体" w:eastAsia="黑体" w:hint="default"/>
                <w:sz w:val="20"/>
                <w:szCs w:val="20"/>
              </w:rPr>
            </w:pPr>
            <w:r>
              <w:rPr>
                <w:rFonts w:ascii="黑体" w:hAnsi="黑体" w:cs="黑体" w:eastAsia="黑体" w:hint="default"/>
                <w:sz w:val="20"/>
                <w:szCs w:val="20"/>
              </w:rPr>
              <w:t>软件著作权</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Arial" w:hAnsi="Arial" w:cs="Arial" w:eastAsia="Arial" w:hint="default"/>
                <w:sz w:val="20"/>
                <w:szCs w:val="20"/>
              </w:rPr>
            </w:pPr>
            <w:r>
              <w:rPr>
                <w:rFonts w:ascii="Arial"/>
                <w:sz w:val="20"/>
              </w:rPr>
              <w:t>( </w:t>
            </w:r>
            <w:r>
              <w:rPr>
                <w:rFonts w:ascii="Arial"/>
                <w:spacing w:val="27"/>
                <w:sz w:val="20"/>
              </w:rPr>
              <w:t> </w:t>
            </w:r>
            <w:r>
              <w:rPr>
                <w:rFonts w:ascii="Arial"/>
                <w:spacing w:val="27"/>
                <w:sz w:val="20"/>
                <w:u w:val="single" w:color="000000"/>
              </w:rPr>
              <w:t> </w:t>
            </w:r>
            <w:r>
              <w:rPr>
                <w:rFonts w:ascii="Arial"/>
                <w:sz w:val="20"/>
                <w:u w:val="single" w:color="000000"/>
              </w:rPr>
              <w:t>51,124,367</w:t>
            </w:r>
            <w:r>
              <w:rPr>
                <w:rFonts w:ascii="Arial"/>
                <w:sz w:val="20"/>
              </w:rPr>
            </w:r>
          </w:p>
        </w:tc>
        <w:tc>
          <w:tcPr>
            <w:tcW w:w="45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20"/>
                <w:szCs w:val="20"/>
              </w:rPr>
            </w:pPr>
            <w:r>
              <w:rPr>
                <w:rFonts w:ascii="Arial"/>
                <w:w w:val="99"/>
                <w:sz w:val="20"/>
              </w:rPr>
              <w:t>)</w:t>
            </w:r>
            <w:r>
              <w:rPr>
                <w:rFonts w:ascii="Arial"/>
                <w:sz w:val="20"/>
              </w:rPr>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
              <w:jc w:val="right"/>
              <w:rPr>
                <w:rFonts w:ascii="Arial" w:hAnsi="Arial" w:cs="Arial" w:eastAsia="Arial" w:hint="default"/>
                <w:sz w:val="20"/>
                <w:szCs w:val="20"/>
              </w:rPr>
            </w:pPr>
            <w:r>
              <w:rPr>
                <w:rFonts w:ascii="Arial"/>
                <w:spacing w:val="-1"/>
                <w:sz w:val="20"/>
              </w:rPr>
              <w:t>(</w:t>
            </w:r>
            <w:r>
              <w:rPr>
                <w:rFonts w:ascii="Arial"/>
                <w:spacing w:val="-1"/>
                <w:sz w:val="20"/>
                <w:u w:val="single" w:color="000000"/>
              </w:rPr>
              <w:t>17,412,458</w:t>
            </w:r>
            <w:r>
              <w:rPr>
                <w:rFonts w:ascii="Arial"/>
                <w:spacing w:val="-1"/>
                <w:sz w:val="20"/>
              </w:rPr>
            </w:r>
            <w:r>
              <w:rPr>
                <w:rFonts w:ascii="Arial"/>
                <w:sz w:val="20"/>
              </w:rPr>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7"/>
              <w:ind w:left="-2" w:right="0"/>
              <w:jc w:val="left"/>
              <w:rPr>
                <w:rFonts w:ascii="Arial" w:hAnsi="Arial" w:cs="Arial" w:eastAsia="Arial" w:hint="default"/>
                <w:sz w:val="20"/>
                <w:szCs w:val="20"/>
              </w:rPr>
            </w:pPr>
            <w:r>
              <w:rPr>
                <w:rFonts w:ascii="Arial"/>
                <w:w w:val="99"/>
                <w:sz w:val="20"/>
              </w:rPr>
              <w:t>)</w:t>
            </w:r>
            <w:r>
              <w:rPr>
                <w:rFonts w:ascii="Arial"/>
                <w:sz w:val="20"/>
              </w:rPr>
            </w:r>
          </w:p>
        </w:tc>
        <w:tc>
          <w:tcPr>
            <w:tcW w:w="985"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7"/>
              <w:ind w:right="203"/>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
              <w:jc w:val="right"/>
              <w:rPr>
                <w:rFonts w:ascii="Arial" w:hAnsi="Arial" w:cs="Arial" w:eastAsia="Arial" w:hint="default"/>
                <w:sz w:val="20"/>
                <w:szCs w:val="20"/>
              </w:rPr>
            </w:pPr>
            <w:r>
              <w:rPr>
                <w:rFonts w:ascii="Arial"/>
                <w:sz w:val="20"/>
              </w:rPr>
              <w:t>( </w:t>
            </w:r>
            <w:r>
              <w:rPr>
                <w:rFonts w:ascii="Arial"/>
                <w:spacing w:val="27"/>
                <w:sz w:val="20"/>
              </w:rPr>
              <w:t> </w:t>
            </w:r>
            <w:r>
              <w:rPr>
                <w:rFonts w:ascii="Arial"/>
                <w:spacing w:val="27"/>
                <w:sz w:val="20"/>
                <w:u w:val="single" w:color="000000"/>
              </w:rPr>
              <w:t> </w:t>
            </w:r>
            <w:r>
              <w:rPr>
                <w:rFonts w:ascii="Arial"/>
                <w:sz w:val="20"/>
                <w:u w:val="single" w:color="000000"/>
              </w:rPr>
              <w:t>68,536,825</w:t>
            </w:r>
            <w:r>
              <w:rPr>
                <w:rFonts w:ascii="Arial"/>
                <w:sz w:val="20"/>
              </w:rPr>
            </w:r>
          </w:p>
        </w:tc>
        <w:tc>
          <w:tcPr>
            <w:tcW w:w="277"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 w:right="0"/>
              <w:jc w:val="left"/>
              <w:rPr>
                <w:rFonts w:ascii="Arial" w:hAnsi="Arial" w:cs="Arial" w:eastAsia="Arial" w:hint="default"/>
                <w:sz w:val="20"/>
                <w:szCs w:val="20"/>
              </w:rPr>
            </w:pPr>
            <w:r>
              <w:rPr>
                <w:rFonts w:ascii="Arial"/>
                <w:w w:val="99"/>
                <w:sz w:val="20"/>
              </w:rPr>
              <w:t>)</w:t>
            </w:r>
            <w:r>
              <w:rPr>
                <w:rFonts w:ascii="Arial"/>
                <w:sz w:val="20"/>
              </w:rPr>
            </w:r>
          </w:p>
        </w:tc>
      </w:tr>
      <w:tr>
        <w:trPr>
          <w:trHeight w:val="497" w:hRule="exact"/>
        </w:trPr>
        <w:tc>
          <w:tcPr>
            <w:tcW w:w="1508"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0"/>
              <w:jc w:val="right"/>
              <w:rPr>
                <w:rFonts w:ascii="Arial" w:hAnsi="Arial" w:cs="Arial" w:eastAsia="Arial" w:hint="default"/>
                <w:sz w:val="20"/>
                <w:szCs w:val="20"/>
              </w:rPr>
            </w:pPr>
            <w:r>
              <w:rPr>
                <w:rFonts w:ascii="Arial"/>
                <w:spacing w:val="-1"/>
                <w:sz w:val="20"/>
              </w:rPr>
              <w:t>(</w:t>
            </w:r>
            <w:r>
              <w:rPr>
                <w:rFonts w:ascii="Arial"/>
                <w:spacing w:val="-1"/>
                <w:sz w:val="20"/>
                <w:u w:val="thick" w:color="000000"/>
              </w:rPr>
              <w:t>103,914,793</w:t>
            </w:r>
            <w:r>
              <w:rPr>
                <w:rFonts w:ascii="Arial"/>
                <w:spacing w:val="-1"/>
                <w:sz w:val="20"/>
              </w:rPr>
            </w:r>
            <w:r>
              <w:rPr>
                <w:rFonts w:ascii="Arial"/>
                <w:sz w:val="20"/>
              </w:rPr>
            </w:r>
          </w:p>
        </w:tc>
        <w:tc>
          <w:tcPr>
            <w:tcW w:w="458"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0"/>
              <w:jc w:val="left"/>
              <w:rPr>
                <w:rFonts w:ascii="Arial" w:hAnsi="Arial" w:cs="Arial" w:eastAsia="Arial" w:hint="default"/>
                <w:sz w:val="20"/>
                <w:szCs w:val="20"/>
              </w:rPr>
            </w:pPr>
            <w:r>
              <w:rPr>
                <w:rFonts w:ascii="Arial"/>
                <w:w w:val="99"/>
                <w:sz w:val="20"/>
              </w:rPr>
              <w:t>)</w:t>
            </w:r>
            <w:r>
              <w:rPr>
                <w:rFonts w:ascii="Arial"/>
                <w:sz w:val="20"/>
              </w:rPr>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
              <w:jc w:val="right"/>
              <w:rPr>
                <w:rFonts w:ascii="Arial" w:hAnsi="Arial" w:cs="Arial" w:eastAsia="Arial" w:hint="default"/>
                <w:sz w:val="20"/>
                <w:szCs w:val="20"/>
              </w:rPr>
            </w:pPr>
            <w:r>
              <w:rPr>
                <w:rFonts w:ascii="Arial"/>
                <w:spacing w:val="-1"/>
                <w:sz w:val="20"/>
              </w:rPr>
              <w:t>(</w:t>
            </w:r>
            <w:r>
              <w:rPr>
                <w:rFonts w:ascii="Arial"/>
                <w:spacing w:val="-1"/>
                <w:sz w:val="20"/>
                <w:u w:val="thick" w:color="000000"/>
              </w:rPr>
              <w:t>25,970,054</w:t>
            </w:r>
            <w:r>
              <w:rPr>
                <w:rFonts w:ascii="Arial"/>
                <w:spacing w:val="-1"/>
                <w:sz w:val="20"/>
              </w:rPr>
            </w:r>
            <w:r>
              <w:rPr>
                <w:rFonts w:ascii="Arial"/>
                <w:sz w:val="20"/>
              </w:rPr>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2" w:right="0"/>
              <w:jc w:val="left"/>
              <w:rPr>
                <w:rFonts w:ascii="Arial" w:hAnsi="Arial" w:cs="Arial" w:eastAsia="Arial" w:hint="default"/>
                <w:sz w:val="20"/>
                <w:szCs w:val="20"/>
              </w:rPr>
            </w:pPr>
            <w:r>
              <w:rPr>
                <w:rFonts w:ascii="Arial"/>
                <w:w w:val="99"/>
                <w:sz w:val="20"/>
              </w:rPr>
              <w:t>)</w:t>
            </w:r>
            <w:r>
              <w:rPr>
                <w:rFonts w:ascii="Arial"/>
                <w:sz w:val="20"/>
              </w:rPr>
            </w:r>
          </w:p>
        </w:tc>
        <w:tc>
          <w:tcPr>
            <w:tcW w:w="985"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130"/>
              <w:ind w:right="203"/>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w w:val="95"/>
                <w:sz w:val="20"/>
                <w:u w:val="thick" w:color="000000"/>
              </w:rPr>
              <w:t>-</w:t>
            </w:r>
            <w:r>
              <w:rPr>
                <w:rFonts w:ascii="Arial"/>
                <w:w w:val="95"/>
                <w:sz w:val="20"/>
              </w:rPr>
            </w:r>
            <w:r>
              <w:rPr>
                <w:rFonts w:ascii="Arial"/>
                <w:sz w:val="20"/>
              </w:rPr>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9"/>
              <w:jc w:val="right"/>
              <w:rPr>
                <w:rFonts w:ascii="Arial" w:hAnsi="Arial" w:cs="Arial" w:eastAsia="Arial" w:hint="default"/>
                <w:sz w:val="20"/>
                <w:szCs w:val="20"/>
              </w:rPr>
            </w:pPr>
            <w:r>
              <w:rPr>
                <w:rFonts w:ascii="Arial"/>
                <w:spacing w:val="-1"/>
                <w:sz w:val="20"/>
              </w:rPr>
              <w:t>(</w:t>
            </w:r>
            <w:r>
              <w:rPr>
                <w:rFonts w:ascii="Arial"/>
                <w:spacing w:val="-1"/>
                <w:sz w:val="20"/>
                <w:u w:val="thick" w:color="000000"/>
              </w:rPr>
              <w:t>129,884,847</w:t>
            </w:r>
            <w:r>
              <w:rPr>
                <w:rFonts w:ascii="Arial"/>
                <w:spacing w:val="-1"/>
                <w:sz w:val="20"/>
              </w:rPr>
            </w:r>
            <w:r>
              <w:rPr>
                <w:rFonts w:ascii="Arial"/>
                <w:sz w:val="20"/>
              </w:rPr>
            </w:r>
          </w:p>
        </w:tc>
        <w:tc>
          <w:tcPr>
            <w:tcW w:w="277"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0" w:right="0"/>
              <w:jc w:val="left"/>
              <w:rPr>
                <w:rFonts w:ascii="Arial" w:hAnsi="Arial" w:cs="Arial" w:eastAsia="Arial" w:hint="default"/>
                <w:sz w:val="20"/>
                <w:szCs w:val="20"/>
              </w:rPr>
            </w:pPr>
            <w:r>
              <w:rPr>
                <w:rFonts w:ascii="Arial"/>
                <w:w w:val="99"/>
                <w:sz w:val="20"/>
              </w:rPr>
              <w:t>)</w:t>
            </w:r>
            <w:r>
              <w:rPr>
                <w:rFonts w:ascii="Arial"/>
                <w:sz w:val="20"/>
              </w:rPr>
            </w:r>
          </w:p>
        </w:tc>
      </w:tr>
      <w:tr>
        <w:trPr>
          <w:trHeight w:val="379" w:hRule="exact"/>
        </w:trPr>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00" w:right="0"/>
              <w:jc w:val="left"/>
              <w:rPr>
                <w:rFonts w:ascii="黑体" w:hAnsi="黑体" w:cs="黑体" w:eastAsia="黑体" w:hint="default"/>
                <w:sz w:val="20"/>
                <w:szCs w:val="20"/>
              </w:rPr>
            </w:pPr>
            <w:r>
              <w:rPr>
                <w:rFonts w:ascii="黑体" w:hAnsi="黑体" w:cs="黑体" w:eastAsia="黑体" w:hint="default"/>
                <w:sz w:val="20"/>
                <w:szCs w:val="20"/>
              </w:rPr>
              <w:t>账面净值</w:t>
            </w:r>
          </w:p>
        </w:tc>
        <w:tc>
          <w:tcPr>
            <w:tcW w:w="1514"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
        </w:tc>
        <w:tc>
          <w:tcPr>
            <w:tcW w:w="776" w:type="dxa"/>
            <w:tcBorders>
              <w:top w:val="nil" w:sz="6" w:space="0" w:color="auto"/>
              <w:left w:val="nil" w:sz="6" w:space="0" w:color="auto"/>
              <w:bottom w:val="nil" w:sz="6" w:space="0" w:color="auto"/>
              <w:right w:val="nil" w:sz="6" w:space="0" w:color="auto"/>
            </w:tcBorders>
          </w:tcPr>
          <w:p>
            <w:pPr/>
          </w:p>
        </w:tc>
        <w:tc>
          <w:tcPr>
            <w:tcW w:w="985"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r>
      <w:tr>
        <w:trPr>
          <w:trHeight w:val="271" w:hRule="exact"/>
        </w:trPr>
        <w:tc>
          <w:tcPr>
            <w:tcW w:w="1508" w:type="dxa"/>
            <w:tcBorders>
              <w:top w:val="nil" w:sz="6" w:space="0" w:color="auto"/>
              <w:left w:val="nil" w:sz="6" w:space="0" w:color="auto"/>
              <w:bottom w:val="nil" w:sz="6" w:space="0" w:color="auto"/>
              <w:right w:val="nil" w:sz="6" w:space="0" w:color="auto"/>
            </w:tcBorders>
          </w:tcPr>
          <w:p>
            <w:pPr>
              <w:pStyle w:val="TableParagraph"/>
              <w:spacing w:line="238" w:lineRule="exact"/>
              <w:ind w:left="211" w:right="0"/>
              <w:jc w:val="left"/>
              <w:rPr>
                <w:rFonts w:ascii="黑体" w:hAnsi="黑体" w:cs="黑体" w:eastAsia="黑体" w:hint="default"/>
                <w:sz w:val="20"/>
                <w:szCs w:val="20"/>
              </w:rPr>
            </w:pPr>
            <w:r>
              <w:rPr>
                <w:rFonts w:ascii="黑体" w:hAnsi="黑体" w:cs="黑体" w:eastAsia="黑体" w:hint="default"/>
                <w:sz w:val="20"/>
                <w:szCs w:val="20"/>
              </w:rPr>
              <w:t>土地使用权</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right"/>
              <w:rPr>
                <w:rFonts w:ascii="Arial" w:hAnsi="Arial" w:cs="Arial" w:eastAsia="Arial" w:hint="default"/>
                <w:sz w:val="20"/>
                <w:szCs w:val="20"/>
              </w:rPr>
            </w:pPr>
            <w:r>
              <w:rPr>
                <w:rFonts w:ascii="Arial"/>
                <w:spacing w:val="-1"/>
                <w:sz w:val="20"/>
              </w:rPr>
              <w:t>302,953,815</w:t>
            </w:r>
            <w:r>
              <w:rPr>
                <w:rFonts w:ascii="Arial"/>
                <w:sz w:val="20"/>
              </w:rPr>
            </w:r>
          </w:p>
        </w:tc>
        <w:tc>
          <w:tcPr>
            <w:tcW w:w="458"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
              <w:jc w:val="right"/>
              <w:rPr>
                <w:rFonts w:ascii="Arial" w:hAnsi="Arial" w:cs="Arial" w:eastAsia="Arial" w:hint="default"/>
                <w:sz w:val="20"/>
                <w:szCs w:val="20"/>
              </w:rPr>
            </w:pPr>
            <w:r>
              <w:rPr>
                <w:rFonts w:ascii="Arial"/>
                <w:sz w:val="20"/>
              </w:rPr>
              <w:t>(</w:t>
            </w:r>
            <w:r>
              <w:rPr>
                <w:rFonts w:ascii="Arial"/>
                <w:spacing w:val="35"/>
                <w:sz w:val="20"/>
              </w:rPr>
              <w:t> </w:t>
            </w:r>
            <w:r>
              <w:rPr>
                <w:rFonts w:ascii="Arial"/>
                <w:sz w:val="20"/>
              </w:rPr>
              <w:t>5,378,048</w:t>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 w:right="0"/>
              <w:jc w:val="left"/>
              <w:rPr>
                <w:rFonts w:ascii="Arial" w:hAnsi="Arial" w:cs="Arial" w:eastAsia="Arial" w:hint="default"/>
                <w:sz w:val="20"/>
                <w:szCs w:val="20"/>
              </w:rPr>
            </w:pPr>
            <w:r>
              <w:rPr>
                <w:rFonts w:ascii="Arial"/>
                <w:w w:val="99"/>
                <w:sz w:val="20"/>
              </w:rPr>
              <w:t>)</w:t>
            </w:r>
            <w:r>
              <w:rPr>
                <w:rFonts w:ascii="Arial"/>
                <w:sz w:val="20"/>
              </w:rPr>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06"/>
              <w:jc w:val="right"/>
              <w:rPr>
                <w:rFonts w:ascii="Arial" w:hAnsi="Arial" w:cs="Arial" w:eastAsia="Arial" w:hint="default"/>
                <w:sz w:val="20"/>
                <w:szCs w:val="20"/>
              </w:rPr>
            </w:pPr>
            <w:r>
              <w:rPr>
                <w:rFonts w:ascii="Arial"/>
                <w:w w:val="99"/>
                <w:sz w:val="20"/>
              </w:rPr>
              <w:t>-</w:t>
            </w:r>
            <w:r>
              <w:rPr>
                <w:rFonts w:ascii="Arial"/>
                <w:sz w:val="20"/>
              </w:rPr>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9"/>
              <w:jc w:val="right"/>
              <w:rPr>
                <w:rFonts w:ascii="Arial" w:hAnsi="Arial" w:cs="Arial" w:eastAsia="Arial" w:hint="default"/>
                <w:sz w:val="20"/>
                <w:szCs w:val="20"/>
              </w:rPr>
            </w:pPr>
            <w:r>
              <w:rPr>
                <w:rFonts w:ascii="Arial"/>
                <w:spacing w:val="-1"/>
                <w:sz w:val="20"/>
              </w:rPr>
              <w:t>297,575,767</w:t>
            </w:r>
            <w:r>
              <w:rPr>
                <w:rFonts w:ascii="Arial"/>
                <w:sz w:val="20"/>
              </w:rPr>
            </w:r>
          </w:p>
        </w:tc>
        <w:tc>
          <w:tcPr>
            <w:tcW w:w="277" w:type="dxa"/>
            <w:tcBorders>
              <w:top w:val="nil" w:sz="6" w:space="0" w:color="auto"/>
              <w:left w:val="nil" w:sz="6" w:space="0" w:color="auto"/>
              <w:bottom w:val="nil" w:sz="6" w:space="0" w:color="auto"/>
              <w:right w:val="nil" w:sz="6" w:space="0" w:color="auto"/>
            </w:tcBorders>
          </w:tcPr>
          <w:p>
            <w:pPr/>
          </w:p>
        </w:tc>
      </w:tr>
      <w:tr>
        <w:trPr>
          <w:trHeight w:val="257" w:hRule="exact"/>
        </w:trPr>
        <w:tc>
          <w:tcPr>
            <w:tcW w:w="1508" w:type="dxa"/>
            <w:tcBorders>
              <w:top w:val="nil" w:sz="6" w:space="0" w:color="auto"/>
              <w:left w:val="nil" w:sz="6" w:space="0" w:color="auto"/>
              <w:bottom w:val="nil" w:sz="6" w:space="0" w:color="auto"/>
              <w:right w:val="nil" w:sz="6" w:space="0" w:color="auto"/>
            </w:tcBorders>
          </w:tcPr>
          <w:p>
            <w:pPr>
              <w:pStyle w:val="TableParagraph"/>
              <w:spacing w:line="223" w:lineRule="exact"/>
              <w:ind w:left="211" w:right="0"/>
              <w:jc w:val="left"/>
              <w:rPr>
                <w:rFonts w:ascii="黑体" w:hAnsi="黑体" w:cs="黑体" w:eastAsia="黑体" w:hint="default"/>
                <w:sz w:val="20"/>
                <w:szCs w:val="20"/>
              </w:rPr>
            </w:pPr>
            <w:r>
              <w:rPr>
                <w:rFonts w:ascii="黑体" w:hAnsi="黑体" w:cs="黑体" w:eastAsia="黑体" w:hint="default"/>
                <w:sz w:val="20"/>
                <w:szCs w:val="20"/>
              </w:rPr>
              <w:t>软件使用权</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Arial" w:hAnsi="Arial" w:cs="Arial" w:eastAsia="Arial" w:hint="default"/>
                <w:sz w:val="20"/>
                <w:szCs w:val="20"/>
              </w:rPr>
            </w:pPr>
            <w:r>
              <w:rPr>
                <w:rFonts w:ascii="Arial"/>
                <w:spacing w:val="-1"/>
                <w:sz w:val="20"/>
              </w:rPr>
              <w:t>9,769,585</w:t>
            </w:r>
          </w:p>
        </w:tc>
        <w:tc>
          <w:tcPr>
            <w:tcW w:w="458"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
              <w:jc w:val="right"/>
              <w:rPr>
                <w:rFonts w:ascii="Arial" w:hAnsi="Arial" w:cs="Arial" w:eastAsia="Arial" w:hint="default"/>
                <w:sz w:val="20"/>
                <w:szCs w:val="20"/>
              </w:rPr>
            </w:pPr>
            <w:r>
              <w:rPr>
                <w:rFonts w:ascii="Arial"/>
                <w:spacing w:val="-1"/>
                <w:w w:val="95"/>
                <w:sz w:val="20"/>
              </w:rPr>
              <w:t>462,142</w:t>
            </w:r>
            <w:r>
              <w:rPr>
                <w:rFonts w:ascii="Arial"/>
                <w:sz w:val="20"/>
              </w:rPr>
            </w:r>
          </w:p>
        </w:tc>
        <w:tc>
          <w:tcPr>
            <w:tcW w:w="776" w:type="dxa"/>
            <w:tcBorders>
              <w:top w:val="nil" w:sz="6" w:space="0" w:color="auto"/>
              <w:left w:val="nil" w:sz="6" w:space="0" w:color="auto"/>
              <w:bottom w:val="nil" w:sz="6" w:space="0" w:color="auto"/>
              <w:right w:val="nil" w:sz="6" w:space="0" w:color="auto"/>
            </w:tcBorders>
          </w:tcPr>
          <w:p>
            <w:pP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6"/>
              <w:jc w:val="right"/>
              <w:rPr>
                <w:rFonts w:ascii="Arial" w:hAnsi="Arial" w:cs="Arial" w:eastAsia="Arial" w:hint="default"/>
                <w:sz w:val="20"/>
                <w:szCs w:val="20"/>
              </w:rPr>
            </w:pPr>
            <w:r>
              <w:rPr>
                <w:rFonts w:ascii="Arial"/>
                <w:w w:val="99"/>
                <w:sz w:val="20"/>
              </w:rPr>
              <w:t>-</w:t>
            </w:r>
            <w:r>
              <w:rPr>
                <w:rFonts w:ascii="Arial"/>
                <w:sz w:val="20"/>
              </w:rPr>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
              <w:jc w:val="right"/>
              <w:rPr>
                <w:rFonts w:ascii="Arial" w:hAnsi="Arial" w:cs="Arial" w:eastAsia="Arial" w:hint="default"/>
                <w:sz w:val="20"/>
                <w:szCs w:val="20"/>
              </w:rPr>
            </w:pPr>
            <w:r>
              <w:rPr>
                <w:rFonts w:ascii="Arial"/>
                <w:spacing w:val="-1"/>
                <w:sz w:val="20"/>
              </w:rPr>
              <w:t>10,231,727</w:t>
            </w:r>
            <w:r>
              <w:rPr>
                <w:rFonts w:ascii="Arial"/>
                <w:sz w:val="20"/>
              </w:rPr>
            </w:r>
          </w:p>
        </w:tc>
        <w:tc>
          <w:tcPr>
            <w:tcW w:w="277" w:type="dxa"/>
            <w:tcBorders>
              <w:top w:val="nil" w:sz="6" w:space="0" w:color="auto"/>
              <w:left w:val="nil" w:sz="6" w:space="0" w:color="auto"/>
              <w:bottom w:val="nil" w:sz="6" w:space="0" w:color="auto"/>
              <w:right w:val="nil" w:sz="6" w:space="0" w:color="auto"/>
            </w:tcBorders>
          </w:tcPr>
          <w:p>
            <w:pPr/>
          </w:p>
        </w:tc>
      </w:tr>
      <w:tr>
        <w:trPr>
          <w:trHeight w:val="389" w:hRule="exact"/>
        </w:trPr>
        <w:tc>
          <w:tcPr>
            <w:tcW w:w="1508" w:type="dxa"/>
            <w:tcBorders>
              <w:top w:val="nil" w:sz="6" w:space="0" w:color="auto"/>
              <w:left w:val="nil" w:sz="6" w:space="0" w:color="auto"/>
              <w:bottom w:val="nil" w:sz="6" w:space="0" w:color="auto"/>
              <w:right w:val="nil" w:sz="6" w:space="0" w:color="auto"/>
            </w:tcBorders>
          </w:tcPr>
          <w:p>
            <w:pPr>
              <w:pStyle w:val="TableParagraph"/>
              <w:spacing w:line="223" w:lineRule="exact"/>
              <w:ind w:left="211" w:right="0"/>
              <w:jc w:val="left"/>
              <w:rPr>
                <w:rFonts w:ascii="黑体" w:hAnsi="黑体" w:cs="黑体" w:eastAsia="黑体" w:hint="default"/>
                <w:sz w:val="20"/>
                <w:szCs w:val="20"/>
              </w:rPr>
            </w:pPr>
            <w:r>
              <w:rPr>
                <w:rFonts w:ascii="黑体" w:hAnsi="黑体" w:cs="黑体" w:eastAsia="黑体" w:hint="default"/>
                <w:sz w:val="20"/>
                <w:szCs w:val="20"/>
              </w:rPr>
              <w:t>软件著作权</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9"/>
                <w:sz w:val="20"/>
                <w:u w:val="single" w:color="000000"/>
              </w:rPr>
              <w:t> </w:t>
            </w:r>
            <w:r>
              <w:rPr>
                <w:rFonts w:ascii="Arial"/>
                <w:spacing w:val="-1"/>
                <w:sz w:val="20"/>
                <w:u w:val="single" w:color="000000"/>
              </w:rPr>
              <w:t>91,598,678</w:t>
            </w:r>
            <w:r>
              <w:rPr>
                <w:rFonts w:ascii="Arial"/>
                <w:spacing w:val="-1"/>
                <w:sz w:val="20"/>
              </w:rPr>
            </w:r>
            <w:r>
              <w:rPr>
                <w:rFonts w:ascii="Arial"/>
                <w:sz w:val="20"/>
              </w:rPr>
            </w:r>
          </w:p>
        </w:tc>
        <w:tc>
          <w:tcPr>
            <w:tcW w:w="458"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
              <w:jc w:val="right"/>
              <w:rPr>
                <w:rFonts w:ascii="Arial" w:hAnsi="Arial" w:cs="Arial" w:eastAsia="Arial" w:hint="default"/>
                <w:sz w:val="20"/>
                <w:szCs w:val="20"/>
              </w:rPr>
            </w:pPr>
            <w:r>
              <w:rPr>
                <w:rFonts w:ascii="Arial"/>
                <w:spacing w:val="-1"/>
                <w:sz w:val="20"/>
              </w:rPr>
              <w:t>(</w:t>
            </w:r>
            <w:r>
              <w:rPr>
                <w:rFonts w:ascii="Arial"/>
                <w:spacing w:val="-1"/>
                <w:sz w:val="20"/>
                <w:u w:val="single" w:color="000000"/>
              </w:rPr>
              <w:t>17,412,458</w:t>
            </w:r>
            <w:r>
              <w:rPr>
                <w:rFonts w:ascii="Arial"/>
                <w:spacing w:val="-1"/>
                <w:sz w:val="20"/>
              </w:rPr>
            </w:r>
            <w:r>
              <w:rPr>
                <w:rFonts w:ascii="Arial"/>
                <w:sz w:val="20"/>
              </w:rPr>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7"/>
              <w:ind w:left="-2" w:right="0"/>
              <w:jc w:val="left"/>
              <w:rPr>
                <w:rFonts w:ascii="Arial" w:hAnsi="Arial" w:cs="Arial" w:eastAsia="Arial" w:hint="default"/>
                <w:sz w:val="20"/>
                <w:szCs w:val="20"/>
              </w:rPr>
            </w:pPr>
            <w:r>
              <w:rPr>
                <w:rFonts w:ascii="Arial"/>
                <w:w w:val="99"/>
                <w:sz w:val="20"/>
              </w:rPr>
              <w:t>)</w:t>
            </w:r>
            <w:r>
              <w:rPr>
                <w:rFonts w:ascii="Arial"/>
                <w:sz w:val="20"/>
              </w:rPr>
            </w:r>
          </w:p>
        </w:tc>
        <w:tc>
          <w:tcPr>
            <w:tcW w:w="985"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7"/>
              <w:ind w:right="203"/>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sz w:val="20"/>
                <w:u w:val="single" w:color="000000"/>
              </w:rPr>
              <w:t>74,186,220</w:t>
            </w:r>
            <w:r>
              <w:rPr>
                <w:rFonts w:ascii="Arial"/>
                <w:spacing w:val="-1"/>
                <w:sz w:val="20"/>
              </w:rPr>
            </w:r>
          </w:p>
        </w:tc>
        <w:tc>
          <w:tcPr>
            <w:tcW w:w="277" w:type="dxa"/>
            <w:tcBorders>
              <w:top w:val="nil" w:sz="6" w:space="0" w:color="auto"/>
              <w:left w:val="nil" w:sz="6" w:space="0" w:color="auto"/>
              <w:bottom w:val="nil" w:sz="6" w:space="0" w:color="auto"/>
              <w:right w:val="nil" w:sz="6" w:space="0" w:color="auto"/>
            </w:tcBorders>
          </w:tcPr>
          <w:p>
            <w:pPr/>
          </w:p>
        </w:tc>
      </w:tr>
      <w:tr>
        <w:trPr>
          <w:trHeight w:val="496" w:hRule="exact"/>
        </w:trPr>
        <w:tc>
          <w:tcPr>
            <w:tcW w:w="1508"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0"/>
              <w:jc w:val="right"/>
              <w:rPr>
                <w:rFonts w:ascii="Arial" w:hAnsi="Arial" w:cs="Arial" w:eastAsia="Arial" w:hint="default"/>
                <w:sz w:val="20"/>
                <w:szCs w:val="20"/>
              </w:rPr>
            </w:pPr>
            <w:r>
              <w:rPr>
                <w:rFonts w:ascii="Arial"/>
                <w:w w:val="99"/>
                <w:sz w:val="20"/>
              </w:rPr>
            </w:r>
            <w:r>
              <w:rPr>
                <w:rFonts w:ascii="Arial"/>
                <w:spacing w:val="-1"/>
                <w:sz w:val="20"/>
                <w:u w:val="thick" w:color="000000"/>
              </w:rPr>
              <w:t>404,322,078</w:t>
            </w:r>
            <w:r>
              <w:rPr>
                <w:rFonts w:ascii="Arial"/>
                <w:spacing w:val="-1"/>
                <w:sz w:val="20"/>
              </w:rPr>
            </w:r>
            <w:r>
              <w:rPr>
                <w:rFonts w:ascii="Arial"/>
                <w:sz w:val="20"/>
              </w:rPr>
            </w:r>
          </w:p>
        </w:tc>
        <w:tc>
          <w:tcPr>
            <w:tcW w:w="458"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
              <w:jc w:val="right"/>
              <w:rPr>
                <w:rFonts w:ascii="Arial" w:hAnsi="Arial" w:cs="Arial" w:eastAsia="Arial" w:hint="default"/>
                <w:sz w:val="20"/>
                <w:szCs w:val="20"/>
              </w:rPr>
            </w:pPr>
            <w:r>
              <w:rPr>
                <w:rFonts w:ascii="Arial"/>
                <w:spacing w:val="-1"/>
                <w:sz w:val="20"/>
              </w:rPr>
              <w:t>(</w:t>
            </w:r>
            <w:r>
              <w:rPr>
                <w:rFonts w:ascii="Arial"/>
                <w:spacing w:val="-1"/>
                <w:sz w:val="20"/>
                <w:u w:val="thick" w:color="000000"/>
              </w:rPr>
              <w:t>22,328,364</w:t>
            </w:r>
            <w:r>
              <w:rPr>
                <w:rFonts w:ascii="Arial"/>
                <w:spacing w:val="-1"/>
                <w:sz w:val="20"/>
              </w:rPr>
            </w:r>
            <w:r>
              <w:rPr>
                <w:rFonts w:ascii="Arial"/>
                <w:sz w:val="20"/>
              </w:rPr>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2" w:right="0"/>
              <w:jc w:val="left"/>
              <w:rPr>
                <w:rFonts w:ascii="Arial" w:hAnsi="Arial" w:cs="Arial" w:eastAsia="Arial" w:hint="default"/>
                <w:sz w:val="20"/>
                <w:szCs w:val="20"/>
              </w:rPr>
            </w:pPr>
            <w:r>
              <w:rPr>
                <w:rFonts w:ascii="Arial"/>
                <w:w w:val="99"/>
                <w:sz w:val="20"/>
              </w:rPr>
              <w:t>)</w:t>
            </w:r>
            <w:r>
              <w:rPr>
                <w:rFonts w:ascii="Arial"/>
                <w:sz w:val="20"/>
              </w:rPr>
            </w:r>
          </w:p>
        </w:tc>
        <w:tc>
          <w:tcPr>
            <w:tcW w:w="985"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130"/>
              <w:ind w:right="203"/>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w w:val="95"/>
                <w:sz w:val="20"/>
                <w:u w:val="thick" w:color="000000"/>
              </w:rPr>
              <w:t>-</w:t>
            </w:r>
            <w:r>
              <w:rPr>
                <w:rFonts w:ascii="Arial"/>
                <w:w w:val="95"/>
                <w:sz w:val="20"/>
              </w:rPr>
            </w:r>
            <w:r>
              <w:rPr>
                <w:rFonts w:ascii="Arial"/>
                <w:sz w:val="20"/>
              </w:rPr>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9"/>
              <w:jc w:val="right"/>
              <w:rPr>
                <w:rFonts w:ascii="Arial" w:hAnsi="Arial" w:cs="Arial" w:eastAsia="Arial" w:hint="default"/>
                <w:sz w:val="20"/>
                <w:szCs w:val="20"/>
              </w:rPr>
            </w:pPr>
            <w:r>
              <w:rPr>
                <w:rFonts w:ascii="Arial"/>
                <w:w w:val="99"/>
                <w:sz w:val="20"/>
              </w:rPr>
            </w:r>
            <w:r>
              <w:rPr>
                <w:rFonts w:ascii="Arial"/>
                <w:spacing w:val="-1"/>
                <w:sz w:val="20"/>
                <w:u w:val="thick" w:color="000000"/>
              </w:rPr>
              <w:t>381,993,714</w:t>
            </w:r>
            <w:r>
              <w:rPr>
                <w:rFonts w:ascii="Arial"/>
                <w:spacing w:val="-1"/>
                <w:sz w:val="20"/>
              </w:rPr>
            </w:r>
            <w:r>
              <w:rPr>
                <w:rFonts w:ascii="Arial"/>
                <w:sz w:val="20"/>
              </w:rPr>
            </w:r>
          </w:p>
        </w:tc>
        <w:tc>
          <w:tcPr>
            <w:tcW w:w="277" w:type="dxa"/>
            <w:tcBorders>
              <w:top w:val="nil" w:sz="6" w:space="0" w:color="auto"/>
              <w:left w:val="nil" w:sz="6" w:space="0" w:color="auto"/>
              <w:bottom w:val="nil" w:sz="6" w:space="0" w:color="auto"/>
              <w:right w:val="nil" w:sz="6" w:space="0" w:color="auto"/>
            </w:tcBorders>
          </w:tcPr>
          <w:p>
            <w:pPr/>
          </w:p>
        </w:tc>
      </w:tr>
      <w:tr>
        <w:trPr>
          <w:trHeight w:val="379" w:hRule="exact"/>
        </w:trPr>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00" w:right="0"/>
              <w:jc w:val="left"/>
              <w:rPr>
                <w:rFonts w:ascii="黑体" w:hAnsi="黑体" w:cs="黑体" w:eastAsia="黑体" w:hint="default"/>
                <w:sz w:val="20"/>
                <w:szCs w:val="20"/>
              </w:rPr>
            </w:pPr>
            <w:r>
              <w:rPr>
                <w:rFonts w:ascii="黑体" w:hAnsi="黑体" w:cs="黑体" w:eastAsia="黑体" w:hint="default"/>
                <w:sz w:val="20"/>
                <w:szCs w:val="20"/>
              </w:rPr>
              <w:t>减值准备</w:t>
            </w:r>
          </w:p>
        </w:tc>
        <w:tc>
          <w:tcPr>
            <w:tcW w:w="1514"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
        </w:tc>
        <w:tc>
          <w:tcPr>
            <w:tcW w:w="776" w:type="dxa"/>
            <w:tcBorders>
              <w:top w:val="nil" w:sz="6" w:space="0" w:color="auto"/>
              <w:left w:val="nil" w:sz="6" w:space="0" w:color="auto"/>
              <w:bottom w:val="nil" w:sz="6" w:space="0" w:color="auto"/>
              <w:right w:val="nil" w:sz="6" w:space="0" w:color="auto"/>
            </w:tcBorders>
          </w:tcPr>
          <w:p>
            <w:pPr/>
          </w:p>
        </w:tc>
        <w:tc>
          <w:tcPr>
            <w:tcW w:w="985"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r>
      <w:tr>
        <w:trPr>
          <w:trHeight w:val="272" w:hRule="exact"/>
        </w:trPr>
        <w:tc>
          <w:tcPr>
            <w:tcW w:w="1508" w:type="dxa"/>
            <w:tcBorders>
              <w:top w:val="nil" w:sz="6" w:space="0" w:color="auto"/>
              <w:left w:val="nil" w:sz="6" w:space="0" w:color="auto"/>
              <w:bottom w:val="nil" w:sz="6" w:space="0" w:color="auto"/>
              <w:right w:val="nil" w:sz="6" w:space="0" w:color="auto"/>
            </w:tcBorders>
          </w:tcPr>
          <w:p>
            <w:pPr>
              <w:pStyle w:val="TableParagraph"/>
              <w:spacing w:line="239" w:lineRule="exact"/>
              <w:ind w:left="211" w:right="0"/>
              <w:jc w:val="left"/>
              <w:rPr>
                <w:rFonts w:ascii="黑体" w:hAnsi="黑体" w:cs="黑体" w:eastAsia="黑体" w:hint="default"/>
                <w:sz w:val="20"/>
                <w:szCs w:val="20"/>
              </w:rPr>
            </w:pPr>
            <w:r>
              <w:rPr>
                <w:rFonts w:ascii="黑体" w:hAnsi="黑体" w:cs="黑体" w:eastAsia="黑体" w:hint="default"/>
                <w:sz w:val="20"/>
                <w:szCs w:val="20"/>
              </w:rPr>
              <w:t>土地使用权</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0"/>
              <w:jc w:val="right"/>
              <w:rPr>
                <w:rFonts w:ascii="Arial" w:hAnsi="Arial" w:cs="Arial" w:eastAsia="Arial" w:hint="default"/>
                <w:sz w:val="20"/>
                <w:szCs w:val="20"/>
              </w:rPr>
            </w:pPr>
            <w:r>
              <w:rPr>
                <w:rFonts w:ascii="Arial"/>
                <w:w w:val="99"/>
                <w:sz w:val="20"/>
              </w:rPr>
              <w:t>-</w:t>
            </w:r>
            <w:r>
              <w:rPr>
                <w:rFonts w:ascii="Arial"/>
                <w:sz w:val="20"/>
              </w:rPr>
            </w:r>
          </w:p>
        </w:tc>
        <w:tc>
          <w:tcPr>
            <w:tcW w:w="458"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0"/>
              <w:jc w:val="right"/>
              <w:rPr>
                <w:rFonts w:ascii="Arial" w:hAnsi="Arial" w:cs="Arial" w:eastAsia="Arial" w:hint="default"/>
                <w:sz w:val="20"/>
                <w:szCs w:val="20"/>
              </w:rPr>
            </w:pPr>
            <w:r>
              <w:rPr>
                <w:rFonts w:ascii="Arial"/>
                <w:w w:val="99"/>
                <w:sz w:val="20"/>
              </w:rPr>
              <w:t>-</w:t>
            </w:r>
            <w:r>
              <w:rPr>
                <w:rFonts w:ascii="Arial"/>
                <w:sz w:val="20"/>
              </w:rPr>
            </w:r>
          </w:p>
        </w:tc>
        <w:tc>
          <w:tcPr>
            <w:tcW w:w="776" w:type="dxa"/>
            <w:tcBorders>
              <w:top w:val="nil" w:sz="6" w:space="0" w:color="auto"/>
              <w:left w:val="nil" w:sz="6" w:space="0" w:color="auto"/>
              <w:bottom w:val="nil" w:sz="6" w:space="0" w:color="auto"/>
              <w:right w:val="nil" w:sz="6" w:space="0" w:color="auto"/>
            </w:tcBorders>
          </w:tcPr>
          <w:p>
            <w:pP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06"/>
              <w:jc w:val="right"/>
              <w:rPr>
                <w:rFonts w:ascii="Arial" w:hAnsi="Arial" w:cs="Arial" w:eastAsia="Arial" w:hint="default"/>
                <w:sz w:val="20"/>
                <w:szCs w:val="20"/>
              </w:rPr>
            </w:pPr>
            <w:r>
              <w:rPr>
                <w:rFonts w:ascii="Arial"/>
                <w:w w:val="99"/>
                <w:sz w:val="20"/>
              </w:rPr>
              <w:t>-</w:t>
            </w:r>
            <w:r>
              <w:rPr>
                <w:rFonts w:ascii="Arial"/>
                <w:sz w:val="20"/>
              </w:rPr>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7"/>
              <w:jc w:val="right"/>
              <w:rPr>
                <w:rFonts w:ascii="Arial" w:hAnsi="Arial" w:cs="Arial" w:eastAsia="Arial" w:hint="default"/>
                <w:sz w:val="20"/>
                <w:szCs w:val="20"/>
              </w:rPr>
            </w:pPr>
            <w:r>
              <w:rPr>
                <w:rFonts w:ascii="Arial"/>
                <w:w w:val="99"/>
                <w:sz w:val="20"/>
              </w:rPr>
              <w:t>-</w:t>
            </w:r>
            <w:r>
              <w:rPr>
                <w:rFonts w:ascii="Arial"/>
                <w:sz w:val="20"/>
              </w:rPr>
            </w:r>
          </w:p>
        </w:tc>
        <w:tc>
          <w:tcPr>
            <w:tcW w:w="277" w:type="dxa"/>
            <w:tcBorders>
              <w:top w:val="nil" w:sz="6" w:space="0" w:color="auto"/>
              <w:left w:val="nil" w:sz="6" w:space="0" w:color="auto"/>
              <w:bottom w:val="nil" w:sz="6" w:space="0" w:color="auto"/>
              <w:right w:val="nil" w:sz="6" w:space="0" w:color="auto"/>
            </w:tcBorders>
          </w:tcPr>
          <w:p>
            <w:pPr/>
          </w:p>
        </w:tc>
      </w:tr>
      <w:tr>
        <w:trPr>
          <w:trHeight w:val="256" w:hRule="exact"/>
        </w:trPr>
        <w:tc>
          <w:tcPr>
            <w:tcW w:w="1508" w:type="dxa"/>
            <w:tcBorders>
              <w:top w:val="nil" w:sz="6" w:space="0" w:color="auto"/>
              <w:left w:val="nil" w:sz="6" w:space="0" w:color="auto"/>
              <w:bottom w:val="nil" w:sz="6" w:space="0" w:color="auto"/>
              <w:right w:val="nil" w:sz="6" w:space="0" w:color="auto"/>
            </w:tcBorders>
          </w:tcPr>
          <w:p>
            <w:pPr>
              <w:pStyle w:val="TableParagraph"/>
              <w:spacing w:line="223" w:lineRule="exact"/>
              <w:ind w:left="211" w:right="0"/>
              <w:jc w:val="left"/>
              <w:rPr>
                <w:rFonts w:ascii="黑体" w:hAnsi="黑体" w:cs="黑体" w:eastAsia="黑体" w:hint="default"/>
                <w:sz w:val="20"/>
                <w:szCs w:val="20"/>
              </w:rPr>
            </w:pPr>
            <w:r>
              <w:rPr>
                <w:rFonts w:ascii="黑体" w:hAnsi="黑体" w:cs="黑体" w:eastAsia="黑体" w:hint="default"/>
                <w:sz w:val="20"/>
                <w:szCs w:val="20"/>
              </w:rPr>
              <w:t>软件使用权</w:t>
            </w:r>
          </w:p>
        </w:tc>
        <w:tc>
          <w:tcPr>
            <w:tcW w:w="1514" w:type="dxa"/>
            <w:tcBorders>
              <w:top w:val="nil" w:sz="6" w:space="0" w:color="auto"/>
              <w:left w:val="nil" w:sz="6" w:space="0" w:color="auto"/>
              <w:bottom w:val="nil" w:sz="6" w:space="0" w:color="auto"/>
              <w:right w:val="nil" w:sz="6" w:space="0" w:color="auto"/>
            </w:tcBorders>
          </w:tcPr>
          <w:p>
            <w:pPr>
              <w:pStyle w:val="TableParagraph"/>
              <w:tabs>
                <w:tab w:pos="268" w:val="left" w:leader="none"/>
              </w:tabs>
              <w:spacing w:line="240" w:lineRule="auto" w:before="7"/>
              <w:ind w:right="0"/>
              <w:jc w:val="right"/>
              <w:rPr>
                <w:rFonts w:ascii="Arial" w:hAnsi="Arial" w:cs="Arial" w:eastAsia="Arial" w:hint="default"/>
                <w:sz w:val="20"/>
                <w:szCs w:val="20"/>
              </w:rPr>
            </w:pPr>
            <w:r>
              <w:rPr>
                <w:rFonts w:ascii="Arial"/>
                <w:w w:val="95"/>
                <w:sz w:val="20"/>
              </w:rPr>
              <w:t>(</w:t>
              <w:tab/>
            </w:r>
            <w:r>
              <w:rPr>
                <w:rFonts w:ascii="Arial"/>
                <w:spacing w:val="-1"/>
                <w:sz w:val="20"/>
              </w:rPr>
              <w:t>3,600,000</w:t>
            </w:r>
          </w:p>
        </w:tc>
        <w:tc>
          <w:tcPr>
            <w:tcW w:w="45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Arial" w:hAnsi="Arial" w:cs="Arial" w:eastAsia="Arial" w:hint="default"/>
                <w:sz w:val="20"/>
                <w:szCs w:val="20"/>
              </w:rPr>
            </w:pPr>
            <w:r>
              <w:rPr>
                <w:rFonts w:ascii="Arial"/>
                <w:w w:val="99"/>
                <w:sz w:val="20"/>
              </w:rPr>
              <w:t>)</w:t>
            </w:r>
            <w:r>
              <w:rPr>
                <w:rFonts w:ascii="Arial"/>
                <w:sz w:val="20"/>
              </w:rPr>
            </w: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Arial" w:hAnsi="Arial" w:cs="Arial" w:eastAsia="Arial" w:hint="default"/>
                <w:sz w:val="20"/>
                <w:szCs w:val="20"/>
              </w:rPr>
            </w:pPr>
            <w:r>
              <w:rPr>
                <w:rFonts w:ascii="Arial"/>
                <w:w w:val="99"/>
                <w:sz w:val="20"/>
              </w:rPr>
              <w:t>-</w:t>
            </w:r>
            <w:r>
              <w:rPr>
                <w:rFonts w:ascii="Arial"/>
                <w:sz w:val="20"/>
              </w:rPr>
            </w:r>
          </w:p>
        </w:tc>
        <w:tc>
          <w:tcPr>
            <w:tcW w:w="776" w:type="dxa"/>
            <w:tcBorders>
              <w:top w:val="nil" w:sz="6" w:space="0" w:color="auto"/>
              <w:left w:val="nil" w:sz="6" w:space="0" w:color="auto"/>
              <w:bottom w:val="nil" w:sz="6" w:space="0" w:color="auto"/>
              <w:right w:val="nil" w:sz="6" w:space="0" w:color="auto"/>
            </w:tcBorders>
          </w:tcPr>
          <w:p>
            <w:pP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6"/>
              <w:jc w:val="right"/>
              <w:rPr>
                <w:rFonts w:ascii="Arial" w:hAnsi="Arial" w:cs="Arial" w:eastAsia="Arial" w:hint="default"/>
                <w:sz w:val="20"/>
                <w:szCs w:val="20"/>
              </w:rPr>
            </w:pPr>
            <w:r>
              <w:rPr>
                <w:rFonts w:ascii="Arial"/>
                <w:w w:val="99"/>
                <w:sz w:val="20"/>
              </w:rPr>
              <w:t>-</w:t>
            </w:r>
            <w:r>
              <w:rPr>
                <w:rFonts w:ascii="Arial"/>
                <w:sz w:val="20"/>
              </w:rPr>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
              <w:jc w:val="right"/>
              <w:rPr>
                <w:rFonts w:ascii="Arial" w:hAnsi="Arial" w:cs="Arial" w:eastAsia="Arial" w:hint="default"/>
                <w:sz w:val="20"/>
                <w:szCs w:val="20"/>
              </w:rPr>
            </w:pPr>
            <w:r>
              <w:rPr>
                <w:rFonts w:ascii="Arial"/>
                <w:sz w:val="20"/>
              </w:rPr>
              <w:t>(  </w:t>
            </w:r>
            <w:r>
              <w:rPr>
                <w:rFonts w:ascii="Arial"/>
                <w:spacing w:val="17"/>
                <w:sz w:val="20"/>
              </w:rPr>
              <w:t> </w:t>
            </w:r>
            <w:r>
              <w:rPr>
                <w:rFonts w:ascii="Arial"/>
                <w:sz w:val="20"/>
              </w:rPr>
              <w:t>3,600,000</w:t>
            </w:r>
          </w:p>
        </w:tc>
        <w:tc>
          <w:tcPr>
            <w:tcW w:w="277"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 w:right="0"/>
              <w:jc w:val="left"/>
              <w:rPr>
                <w:rFonts w:ascii="Arial" w:hAnsi="Arial" w:cs="Arial" w:eastAsia="Arial" w:hint="default"/>
                <w:sz w:val="20"/>
                <w:szCs w:val="20"/>
              </w:rPr>
            </w:pPr>
            <w:r>
              <w:rPr>
                <w:rFonts w:ascii="Arial"/>
                <w:w w:val="99"/>
                <w:sz w:val="20"/>
              </w:rPr>
              <w:t>)</w:t>
            </w:r>
            <w:r>
              <w:rPr>
                <w:rFonts w:ascii="Arial"/>
                <w:sz w:val="20"/>
              </w:rPr>
            </w:r>
          </w:p>
        </w:tc>
      </w:tr>
      <w:tr>
        <w:trPr>
          <w:trHeight w:val="389" w:hRule="exact"/>
        </w:trPr>
        <w:tc>
          <w:tcPr>
            <w:tcW w:w="1508" w:type="dxa"/>
            <w:tcBorders>
              <w:top w:val="nil" w:sz="6" w:space="0" w:color="auto"/>
              <w:left w:val="nil" w:sz="6" w:space="0" w:color="auto"/>
              <w:bottom w:val="nil" w:sz="6" w:space="0" w:color="auto"/>
              <w:right w:val="nil" w:sz="6" w:space="0" w:color="auto"/>
            </w:tcBorders>
          </w:tcPr>
          <w:p>
            <w:pPr>
              <w:pStyle w:val="TableParagraph"/>
              <w:spacing w:line="222" w:lineRule="exact"/>
              <w:ind w:left="211" w:right="0"/>
              <w:jc w:val="left"/>
              <w:rPr>
                <w:rFonts w:ascii="黑体" w:hAnsi="黑体" w:cs="黑体" w:eastAsia="黑体" w:hint="default"/>
                <w:sz w:val="20"/>
                <w:szCs w:val="20"/>
              </w:rPr>
            </w:pPr>
            <w:r>
              <w:rPr>
                <w:rFonts w:ascii="黑体" w:hAnsi="黑体" w:cs="黑体" w:eastAsia="黑体" w:hint="default"/>
                <w:sz w:val="20"/>
                <w:szCs w:val="20"/>
              </w:rPr>
              <w:t>软件著作权</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Arial" w:hAnsi="Arial" w:cs="Arial" w:eastAsia="Arial" w:hint="default"/>
                <w:sz w:val="20"/>
                <w:szCs w:val="20"/>
              </w:rPr>
            </w:pPr>
            <w:r>
              <w:rPr>
                <w:rFonts w:ascii="Arial"/>
                <w:sz w:val="20"/>
              </w:rPr>
              <w:t>(  </w:t>
            </w:r>
            <w:r>
              <w:rPr>
                <w:rFonts w:ascii="Arial"/>
                <w:spacing w:val="26"/>
                <w:sz w:val="20"/>
              </w:rPr>
              <w:t> </w:t>
            </w:r>
            <w:r>
              <w:rPr>
                <w:rFonts w:ascii="Arial"/>
                <w:spacing w:val="26"/>
                <w:sz w:val="20"/>
                <w:u w:val="single" w:color="000000"/>
              </w:rPr>
              <w:t> </w:t>
            </w:r>
            <w:r>
              <w:rPr>
                <w:rFonts w:ascii="Arial"/>
                <w:sz w:val="20"/>
                <w:u w:val="single" w:color="000000"/>
              </w:rPr>
              <w:t>4,022,801</w:t>
            </w:r>
            <w:r>
              <w:rPr>
                <w:rFonts w:ascii="Arial"/>
                <w:sz w:val="20"/>
              </w:rPr>
            </w:r>
          </w:p>
        </w:tc>
        <w:tc>
          <w:tcPr>
            <w:tcW w:w="45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20"/>
                <w:szCs w:val="20"/>
              </w:rPr>
            </w:pPr>
            <w:r>
              <w:rPr>
                <w:rFonts w:ascii="Arial"/>
                <w:w w:val="99"/>
                <w:sz w:val="20"/>
              </w:rPr>
              <w:t>)</w:t>
            </w:r>
            <w:r>
              <w:rPr>
                <w:rFonts w:ascii="Arial"/>
                <w:sz w:val="20"/>
              </w:rPr>
            </w:r>
          </w:p>
        </w:tc>
        <w:tc>
          <w:tcPr>
            <w:tcW w:w="1470" w:type="dxa"/>
            <w:tcBorders>
              <w:top w:val="nil" w:sz="6" w:space="0" w:color="auto"/>
              <w:left w:val="nil" w:sz="6" w:space="0" w:color="auto"/>
              <w:bottom w:val="nil" w:sz="6" w:space="0" w:color="auto"/>
              <w:right w:val="nil" w:sz="6" w:space="0" w:color="auto"/>
            </w:tcBorders>
          </w:tcPr>
          <w:p>
            <w:pPr>
              <w:pStyle w:val="TableParagraph"/>
              <w:tabs>
                <w:tab w:pos="902" w:val="left" w:leader="none"/>
              </w:tabs>
              <w:spacing w:line="240" w:lineRule="auto" w:before="6"/>
              <w:ind w:right="-1"/>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776" w:type="dxa"/>
            <w:tcBorders>
              <w:top w:val="nil" w:sz="6" w:space="0" w:color="auto"/>
              <w:left w:val="nil" w:sz="6" w:space="0" w:color="auto"/>
              <w:bottom w:val="nil" w:sz="6" w:space="0" w:color="auto"/>
              <w:right w:val="nil" w:sz="6" w:space="0" w:color="auto"/>
            </w:tcBorders>
          </w:tcPr>
          <w:p>
            <w:pPr/>
          </w:p>
        </w:tc>
        <w:tc>
          <w:tcPr>
            <w:tcW w:w="985"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6"/>
              <w:ind w:right="203"/>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
              <w:jc w:val="right"/>
              <w:rPr>
                <w:rFonts w:ascii="Arial" w:hAnsi="Arial" w:cs="Arial" w:eastAsia="Arial" w:hint="default"/>
                <w:sz w:val="20"/>
                <w:szCs w:val="20"/>
              </w:rPr>
            </w:pPr>
            <w:r>
              <w:rPr>
                <w:rFonts w:ascii="Arial"/>
                <w:sz w:val="20"/>
              </w:rPr>
              <w:t>(  </w:t>
            </w:r>
            <w:r>
              <w:rPr>
                <w:rFonts w:ascii="Arial"/>
                <w:spacing w:val="2"/>
                <w:sz w:val="20"/>
              </w:rPr>
              <w:t> </w:t>
            </w:r>
            <w:r>
              <w:rPr>
                <w:rFonts w:ascii="Arial"/>
                <w:spacing w:val="2"/>
                <w:sz w:val="20"/>
                <w:u w:val="single" w:color="000000"/>
              </w:rPr>
              <w:t> </w:t>
            </w:r>
            <w:r>
              <w:rPr>
                <w:rFonts w:ascii="Arial"/>
                <w:sz w:val="20"/>
                <w:u w:val="single" w:color="000000"/>
              </w:rPr>
              <w:t>4,022,801</w:t>
            </w:r>
            <w:r>
              <w:rPr>
                <w:rFonts w:ascii="Arial"/>
                <w:sz w:val="20"/>
              </w:rPr>
            </w:r>
          </w:p>
        </w:tc>
        <w:tc>
          <w:tcPr>
            <w:tcW w:w="277" w:type="dxa"/>
            <w:tcBorders>
              <w:top w:val="nil" w:sz="6" w:space="0" w:color="auto"/>
              <w:left w:val="nil" w:sz="6" w:space="0" w:color="auto"/>
              <w:bottom w:val="nil" w:sz="6" w:space="0" w:color="auto"/>
              <w:right w:val="nil" w:sz="6" w:space="0" w:color="auto"/>
            </w:tcBorders>
          </w:tcPr>
          <w:p>
            <w:pPr>
              <w:pStyle w:val="TableParagraph"/>
              <w:spacing w:line="240" w:lineRule="auto" w:before="6"/>
              <w:ind w:left="10" w:right="0"/>
              <w:jc w:val="left"/>
              <w:rPr>
                <w:rFonts w:ascii="Arial" w:hAnsi="Arial" w:cs="Arial" w:eastAsia="Arial" w:hint="default"/>
                <w:sz w:val="20"/>
                <w:szCs w:val="20"/>
              </w:rPr>
            </w:pPr>
            <w:r>
              <w:rPr>
                <w:rFonts w:ascii="Arial"/>
                <w:w w:val="99"/>
                <w:sz w:val="20"/>
              </w:rPr>
              <w:t>)</w:t>
            </w:r>
            <w:r>
              <w:rPr>
                <w:rFonts w:ascii="Arial"/>
                <w:sz w:val="20"/>
              </w:rPr>
            </w:r>
          </w:p>
        </w:tc>
      </w:tr>
      <w:tr>
        <w:trPr>
          <w:trHeight w:val="497" w:hRule="exact"/>
        </w:trPr>
        <w:tc>
          <w:tcPr>
            <w:tcW w:w="1508"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0"/>
              <w:jc w:val="right"/>
              <w:rPr>
                <w:rFonts w:ascii="Arial" w:hAnsi="Arial" w:cs="Arial" w:eastAsia="Arial" w:hint="default"/>
                <w:sz w:val="20"/>
                <w:szCs w:val="20"/>
              </w:rPr>
            </w:pPr>
            <w:r>
              <w:rPr>
                <w:rFonts w:ascii="Arial"/>
                <w:sz w:val="20"/>
              </w:rPr>
              <w:t>(  </w:t>
            </w:r>
            <w:r>
              <w:rPr>
                <w:rFonts w:ascii="Arial"/>
                <w:spacing w:val="25"/>
                <w:sz w:val="20"/>
              </w:rPr>
              <w:t> </w:t>
            </w:r>
            <w:r>
              <w:rPr>
                <w:rFonts w:ascii="Arial"/>
                <w:spacing w:val="25"/>
                <w:sz w:val="20"/>
                <w:u w:val="thick" w:color="000000"/>
              </w:rPr>
              <w:t> </w:t>
            </w:r>
            <w:r>
              <w:rPr>
                <w:rFonts w:ascii="Arial"/>
                <w:sz w:val="20"/>
                <w:u w:val="thick" w:color="000000"/>
              </w:rPr>
              <w:t>7,622,801</w:t>
            </w:r>
            <w:r>
              <w:rPr>
                <w:rFonts w:ascii="Arial"/>
                <w:sz w:val="20"/>
              </w:rPr>
            </w:r>
          </w:p>
        </w:tc>
        <w:tc>
          <w:tcPr>
            <w:tcW w:w="458"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0"/>
              <w:jc w:val="left"/>
              <w:rPr>
                <w:rFonts w:ascii="Arial" w:hAnsi="Arial" w:cs="Arial" w:eastAsia="Arial" w:hint="default"/>
                <w:sz w:val="20"/>
                <w:szCs w:val="20"/>
              </w:rPr>
            </w:pPr>
            <w:r>
              <w:rPr>
                <w:rFonts w:ascii="Arial"/>
                <w:w w:val="99"/>
                <w:sz w:val="20"/>
              </w:rPr>
              <w:t>)</w:t>
            </w:r>
            <w:r>
              <w:rPr>
                <w:rFonts w:ascii="Arial"/>
                <w:sz w:val="20"/>
              </w:rPr>
            </w:r>
          </w:p>
        </w:tc>
        <w:tc>
          <w:tcPr>
            <w:tcW w:w="1470" w:type="dxa"/>
            <w:tcBorders>
              <w:top w:val="nil" w:sz="6" w:space="0" w:color="auto"/>
              <w:left w:val="nil" w:sz="6" w:space="0" w:color="auto"/>
              <w:bottom w:val="nil" w:sz="6" w:space="0" w:color="auto"/>
              <w:right w:val="nil" w:sz="6" w:space="0" w:color="auto"/>
            </w:tcBorders>
          </w:tcPr>
          <w:p>
            <w:pPr>
              <w:pStyle w:val="TableParagraph"/>
              <w:tabs>
                <w:tab w:pos="902" w:val="left" w:leader="none"/>
              </w:tabs>
              <w:spacing w:line="240" w:lineRule="auto" w:before="131"/>
              <w:ind w:right="-1"/>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w w:val="95"/>
                <w:sz w:val="20"/>
                <w:u w:val="thick" w:color="000000"/>
              </w:rPr>
              <w:t>-</w:t>
            </w:r>
            <w:r>
              <w:rPr>
                <w:rFonts w:ascii="Arial"/>
                <w:w w:val="95"/>
                <w:sz w:val="20"/>
              </w:rPr>
            </w:r>
            <w:r>
              <w:rPr>
                <w:rFonts w:ascii="Arial"/>
                <w:sz w:val="20"/>
              </w:rPr>
            </w:r>
          </w:p>
        </w:tc>
        <w:tc>
          <w:tcPr>
            <w:tcW w:w="776" w:type="dxa"/>
            <w:tcBorders>
              <w:top w:val="nil" w:sz="6" w:space="0" w:color="auto"/>
              <w:left w:val="nil" w:sz="6" w:space="0" w:color="auto"/>
              <w:bottom w:val="nil" w:sz="6" w:space="0" w:color="auto"/>
              <w:right w:val="nil" w:sz="6" w:space="0" w:color="auto"/>
            </w:tcBorders>
          </w:tcPr>
          <w:p>
            <w:pPr/>
          </w:p>
        </w:tc>
        <w:tc>
          <w:tcPr>
            <w:tcW w:w="985"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131"/>
              <w:ind w:right="203"/>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w w:val="95"/>
                <w:sz w:val="20"/>
                <w:u w:val="thick" w:color="000000"/>
              </w:rPr>
              <w:t>-</w:t>
            </w:r>
            <w:r>
              <w:rPr>
                <w:rFonts w:ascii="Arial"/>
                <w:w w:val="95"/>
                <w:sz w:val="20"/>
              </w:rPr>
            </w:r>
            <w:r>
              <w:rPr>
                <w:rFonts w:ascii="Arial"/>
                <w:sz w:val="20"/>
              </w:rPr>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9"/>
              <w:jc w:val="right"/>
              <w:rPr>
                <w:rFonts w:ascii="Arial" w:hAnsi="Arial" w:cs="Arial" w:eastAsia="Arial" w:hint="default"/>
                <w:sz w:val="20"/>
                <w:szCs w:val="20"/>
              </w:rPr>
            </w:pPr>
            <w:r>
              <w:rPr>
                <w:rFonts w:ascii="Arial"/>
                <w:sz w:val="20"/>
              </w:rPr>
              <w:t>( </w:t>
            </w:r>
            <w:r>
              <w:rPr>
                <w:rFonts w:ascii="Arial"/>
                <w:spacing w:val="53"/>
                <w:sz w:val="20"/>
              </w:rPr>
              <w:t> </w:t>
            </w:r>
            <w:r>
              <w:rPr>
                <w:rFonts w:ascii="Arial"/>
                <w:spacing w:val="53"/>
                <w:sz w:val="20"/>
                <w:u w:val="thick" w:color="000000"/>
              </w:rPr>
              <w:t> </w:t>
            </w:r>
            <w:r>
              <w:rPr>
                <w:rFonts w:ascii="Arial"/>
                <w:sz w:val="20"/>
                <w:u w:val="thick" w:color="000000"/>
              </w:rPr>
              <w:t>7,622,801</w:t>
            </w:r>
            <w:r>
              <w:rPr>
                <w:rFonts w:ascii="Arial"/>
                <w:sz w:val="20"/>
              </w:rPr>
            </w:r>
          </w:p>
        </w:tc>
        <w:tc>
          <w:tcPr>
            <w:tcW w:w="277"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10" w:right="0"/>
              <w:jc w:val="left"/>
              <w:rPr>
                <w:rFonts w:ascii="Arial" w:hAnsi="Arial" w:cs="Arial" w:eastAsia="Arial" w:hint="default"/>
                <w:sz w:val="20"/>
                <w:szCs w:val="20"/>
              </w:rPr>
            </w:pPr>
            <w:r>
              <w:rPr>
                <w:rFonts w:ascii="Arial"/>
                <w:w w:val="99"/>
                <w:sz w:val="20"/>
              </w:rPr>
              <w:t>)</w:t>
            </w:r>
            <w:r>
              <w:rPr>
                <w:rFonts w:ascii="Arial"/>
                <w:sz w:val="20"/>
              </w:rPr>
            </w:r>
          </w:p>
        </w:tc>
      </w:tr>
      <w:tr>
        <w:trPr>
          <w:trHeight w:val="379" w:hRule="exact"/>
        </w:trPr>
        <w:tc>
          <w:tcPr>
            <w:tcW w:w="150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11" w:right="0"/>
              <w:jc w:val="left"/>
              <w:rPr>
                <w:rFonts w:ascii="黑体" w:hAnsi="黑体" w:cs="黑体" w:eastAsia="黑体" w:hint="default"/>
                <w:sz w:val="20"/>
                <w:szCs w:val="20"/>
              </w:rPr>
            </w:pPr>
            <w:r>
              <w:rPr>
                <w:rFonts w:ascii="黑体" w:hAnsi="黑体" w:cs="黑体" w:eastAsia="黑体" w:hint="default"/>
                <w:sz w:val="20"/>
                <w:szCs w:val="20"/>
              </w:rPr>
              <w:t>账面价值</w:t>
            </w:r>
          </w:p>
        </w:tc>
        <w:tc>
          <w:tcPr>
            <w:tcW w:w="1514" w:type="dxa"/>
            <w:tcBorders>
              <w:top w:val="nil" w:sz="6" w:space="0" w:color="auto"/>
              <w:left w:val="nil" w:sz="6" w:space="0" w:color="auto"/>
              <w:bottom w:val="nil" w:sz="6" w:space="0" w:color="auto"/>
              <w:right w:val="nil" w:sz="6" w:space="0" w:color="auto"/>
            </w:tcBorders>
          </w:tcPr>
          <w:p>
            <w:pPr/>
          </w:p>
        </w:tc>
        <w:tc>
          <w:tcPr>
            <w:tcW w:w="458"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
        </w:tc>
        <w:tc>
          <w:tcPr>
            <w:tcW w:w="776" w:type="dxa"/>
            <w:tcBorders>
              <w:top w:val="nil" w:sz="6" w:space="0" w:color="auto"/>
              <w:left w:val="nil" w:sz="6" w:space="0" w:color="auto"/>
              <w:bottom w:val="nil" w:sz="6" w:space="0" w:color="auto"/>
              <w:right w:val="nil" w:sz="6" w:space="0" w:color="auto"/>
            </w:tcBorders>
          </w:tcPr>
          <w:p>
            <w:pPr/>
          </w:p>
        </w:tc>
        <w:tc>
          <w:tcPr>
            <w:tcW w:w="985"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r>
      <w:tr>
        <w:trPr>
          <w:trHeight w:val="271" w:hRule="exact"/>
        </w:trPr>
        <w:tc>
          <w:tcPr>
            <w:tcW w:w="1508" w:type="dxa"/>
            <w:tcBorders>
              <w:top w:val="nil" w:sz="6" w:space="0" w:color="auto"/>
              <w:left w:val="nil" w:sz="6" w:space="0" w:color="auto"/>
              <w:bottom w:val="nil" w:sz="6" w:space="0" w:color="auto"/>
              <w:right w:val="nil" w:sz="6" w:space="0" w:color="auto"/>
            </w:tcBorders>
          </w:tcPr>
          <w:p>
            <w:pPr>
              <w:pStyle w:val="TableParagraph"/>
              <w:spacing w:line="239" w:lineRule="exact"/>
              <w:ind w:left="211" w:right="0"/>
              <w:jc w:val="left"/>
              <w:rPr>
                <w:rFonts w:ascii="黑体" w:hAnsi="黑体" w:cs="黑体" w:eastAsia="黑体" w:hint="default"/>
                <w:sz w:val="20"/>
                <w:szCs w:val="20"/>
              </w:rPr>
            </w:pPr>
            <w:r>
              <w:rPr>
                <w:rFonts w:ascii="黑体" w:hAnsi="黑体" w:cs="黑体" w:eastAsia="黑体" w:hint="default"/>
                <w:sz w:val="20"/>
                <w:szCs w:val="20"/>
              </w:rPr>
              <w:t>土地使用权</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0"/>
              <w:jc w:val="right"/>
              <w:rPr>
                <w:rFonts w:ascii="Arial" w:hAnsi="Arial" w:cs="Arial" w:eastAsia="Arial" w:hint="default"/>
                <w:sz w:val="20"/>
                <w:szCs w:val="20"/>
              </w:rPr>
            </w:pPr>
            <w:r>
              <w:rPr>
                <w:rFonts w:ascii="Arial"/>
                <w:spacing w:val="-1"/>
                <w:sz w:val="20"/>
              </w:rPr>
              <w:t>302,953,815</w:t>
            </w:r>
            <w:r>
              <w:rPr>
                <w:rFonts w:ascii="Arial"/>
                <w:sz w:val="20"/>
              </w:rPr>
            </w:r>
          </w:p>
        </w:tc>
        <w:tc>
          <w:tcPr>
            <w:tcW w:w="458"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
              <w:jc w:val="right"/>
              <w:rPr>
                <w:rFonts w:ascii="Arial" w:hAnsi="Arial" w:cs="Arial" w:eastAsia="Arial" w:hint="default"/>
                <w:sz w:val="20"/>
                <w:szCs w:val="20"/>
              </w:rPr>
            </w:pPr>
            <w:r>
              <w:rPr>
                <w:rFonts w:ascii="Arial"/>
                <w:sz w:val="20"/>
              </w:rPr>
              <w:t>(</w:t>
            </w:r>
            <w:r>
              <w:rPr>
                <w:rFonts w:ascii="Arial"/>
                <w:spacing w:val="35"/>
                <w:sz w:val="20"/>
              </w:rPr>
              <w:t> </w:t>
            </w:r>
            <w:r>
              <w:rPr>
                <w:rFonts w:ascii="Arial"/>
                <w:sz w:val="20"/>
              </w:rPr>
              <w:t>5,378,048</w:t>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 w:right="0"/>
              <w:jc w:val="left"/>
              <w:rPr>
                <w:rFonts w:ascii="Arial" w:hAnsi="Arial" w:cs="Arial" w:eastAsia="Arial" w:hint="default"/>
                <w:sz w:val="20"/>
                <w:szCs w:val="20"/>
              </w:rPr>
            </w:pPr>
            <w:r>
              <w:rPr>
                <w:rFonts w:ascii="Arial"/>
                <w:w w:val="99"/>
                <w:sz w:val="20"/>
              </w:rPr>
              <w:t>)</w:t>
            </w:r>
            <w:r>
              <w:rPr>
                <w:rFonts w:ascii="Arial"/>
                <w:sz w:val="20"/>
              </w:rPr>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06"/>
              <w:jc w:val="right"/>
              <w:rPr>
                <w:rFonts w:ascii="Arial" w:hAnsi="Arial" w:cs="Arial" w:eastAsia="Arial" w:hint="default"/>
                <w:sz w:val="20"/>
                <w:szCs w:val="20"/>
              </w:rPr>
            </w:pPr>
            <w:r>
              <w:rPr>
                <w:rFonts w:ascii="Arial"/>
                <w:w w:val="99"/>
                <w:sz w:val="20"/>
              </w:rPr>
              <w:t>-</w:t>
            </w:r>
            <w:r>
              <w:rPr>
                <w:rFonts w:ascii="Arial"/>
                <w:sz w:val="20"/>
              </w:rPr>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9"/>
              <w:jc w:val="right"/>
              <w:rPr>
                <w:rFonts w:ascii="Arial" w:hAnsi="Arial" w:cs="Arial" w:eastAsia="Arial" w:hint="default"/>
                <w:sz w:val="20"/>
                <w:szCs w:val="20"/>
              </w:rPr>
            </w:pPr>
            <w:r>
              <w:rPr>
                <w:rFonts w:ascii="Arial"/>
                <w:spacing w:val="-1"/>
                <w:sz w:val="20"/>
              </w:rPr>
              <w:t>297,575,767</w:t>
            </w:r>
            <w:r>
              <w:rPr>
                <w:rFonts w:ascii="Arial"/>
                <w:sz w:val="20"/>
              </w:rPr>
            </w:r>
          </w:p>
        </w:tc>
        <w:tc>
          <w:tcPr>
            <w:tcW w:w="277" w:type="dxa"/>
            <w:tcBorders>
              <w:top w:val="nil" w:sz="6" w:space="0" w:color="auto"/>
              <w:left w:val="nil" w:sz="6" w:space="0" w:color="auto"/>
              <w:bottom w:val="nil" w:sz="6" w:space="0" w:color="auto"/>
              <w:right w:val="nil" w:sz="6" w:space="0" w:color="auto"/>
            </w:tcBorders>
          </w:tcPr>
          <w:p>
            <w:pPr/>
          </w:p>
        </w:tc>
      </w:tr>
      <w:tr>
        <w:trPr>
          <w:trHeight w:val="256" w:hRule="exact"/>
        </w:trPr>
        <w:tc>
          <w:tcPr>
            <w:tcW w:w="1508" w:type="dxa"/>
            <w:tcBorders>
              <w:top w:val="nil" w:sz="6" w:space="0" w:color="auto"/>
              <w:left w:val="nil" w:sz="6" w:space="0" w:color="auto"/>
              <w:bottom w:val="nil" w:sz="6" w:space="0" w:color="auto"/>
              <w:right w:val="nil" w:sz="6" w:space="0" w:color="auto"/>
            </w:tcBorders>
          </w:tcPr>
          <w:p>
            <w:pPr>
              <w:pStyle w:val="TableParagraph"/>
              <w:spacing w:line="222" w:lineRule="exact"/>
              <w:ind w:left="211" w:right="0"/>
              <w:jc w:val="left"/>
              <w:rPr>
                <w:rFonts w:ascii="黑体" w:hAnsi="黑体" w:cs="黑体" w:eastAsia="黑体" w:hint="default"/>
                <w:sz w:val="20"/>
                <w:szCs w:val="20"/>
              </w:rPr>
            </w:pPr>
            <w:r>
              <w:rPr>
                <w:rFonts w:ascii="黑体" w:hAnsi="黑体" w:cs="黑体" w:eastAsia="黑体" w:hint="default"/>
                <w:sz w:val="20"/>
                <w:szCs w:val="20"/>
              </w:rPr>
              <w:t>软件使用权</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Arial" w:hAnsi="Arial" w:cs="Arial" w:eastAsia="Arial" w:hint="default"/>
                <w:sz w:val="20"/>
                <w:szCs w:val="20"/>
              </w:rPr>
            </w:pPr>
            <w:r>
              <w:rPr>
                <w:rFonts w:ascii="Arial"/>
                <w:spacing w:val="-1"/>
                <w:sz w:val="20"/>
              </w:rPr>
              <w:t>6,169,585</w:t>
            </w:r>
          </w:p>
        </w:tc>
        <w:tc>
          <w:tcPr>
            <w:tcW w:w="458"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
              <w:jc w:val="right"/>
              <w:rPr>
                <w:rFonts w:ascii="Arial" w:hAnsi="Arial" w:cs="Arial" w:eastAsia="Arial" w:hint="default"/>
                <w:sz w:val="20"/>
                <w:szCs w:val="20"/>
              </w:rPr>
            </w:pPr>
            <w:r>
              <w:rPr>
                <w:rFonts w:ascii="Arial"/>
                <w:spacing w:val="-1"/>
                <w:w w:val="95"/>
                <w:sz w:val="20"/>
              </w:rPr>
              <w:t>462,142</w:t>
            </w:r>
            <w:r>
              <w:rPr>
                <w:rFonts w:ascii="Arial"/>
                <w:sz w:val="20"/>
              </w:rPr>
            </w:r>
          </w:p>
        </w:tc>
        <w:tc>
          <w:tcPr>
            <w:tcW w:w="776" w:type="dxa"/>
            <w:tcBorders>
              <w:top w:val="nil" w:sz="6" w:space="0" w:color="auto"/>
              <w:left w:val="nil" w:sz="6" w:space="0" w:color="auto"/>
              <w:bottom w:val="nil" w:sz="6" w:space="0" w:color="auto"/>
              <w:right w:val="nil" w:sz="6" w:space="0" w:color="auto"/>
            </w:tcBorders>
          </w:tcPr>
          <w:p>
            <w:pP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06"/>
              <w:jc w:val="right"/>
              <w:rPr>
                <w:rFonts w:ascii="Arial" w:hAnsi="Arial" w:cs="Arial" w:eastAsia="Arial" w:hint="default"/>
                <w:sz w:val="20"/>
                <w:szCs w:val="20"/>
              </w:rPr>
            </w:pPr>
            <w:r>
              <w:rPr>
                <w:rFonts w:ascii="Arial"/>
                <w:w w:val="99"/>
                <w:sz w:val="20"/>
              </w:rPr>
              <w:t>-</w:t>
            </w:r>
            <w:r>
              <w:rPr>
                <w:rFonts w:ascii="Arial"/>
                <w:sz w:val="20"/>
              </w:rPr>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
              <w:jc w:val="right"/>
              <w:rPr>
                <w:rFonts w:ascii="Arial" w:hAnsi="Arial" w:cs="Arial" w:eastAsia="Arial" w:hint="default"/>
                <w:sz w:val="20"/>
                <w:szCs w:val="20"/>
              </w:rPr>
            </w:pPr>
            <w:r>
              <w:rPr>
                <w:rFonts w:ascii="Arial"/>
                <w:spacing w:val="-1"/>
                <w:sz w:val="20"/>
              </w:rPr>
              <w:t>6,631,727</w:t>
            </w:r>
          </w:p>
        </w:tc>
        <w:tc>
          <w:tcPr>
            <w:tcW w:w="277" w:type="dxa"/>
            <w:tcBorders>
              <w:top w:val="nil" w:sz="6" w:space="0" w:color="auto"/>
              <w:left w:val="nil" w:sz="6" w:space="0" w:color="auto"/>
              <w:bottom w:val="nil" w:sz="6" w:space="0" w:color="auto"/>
              <w:right w:val="nil" w:sz="6" w:space="0" w:color="auto"/>
            </w:tcBorders>
          </w:tcPr>
          <w:p>
            <w:pPr/>
          </w:p>
        </w:tc>
      </w:tr>
      <w:tr>
        <w:trPr>
          <w:trHeight w:val="389" w:hRule="exact"/>
        </w:trPr>
        <w:tc>
          <w:tcPr>
            <w:tcW w:w="1508" w:type="dxa"/>
            <w:tcBorders>
              <w:top w:val="nil" w:sz="6" w:space="0" w:color="auto"/>
              <w:left w:val="nil" w:sz="6" w:space="0" w:color="auto"/>
              <w:bottom w:val="nil" w:sz="6" w:space="0" w:color="auto"/>
              <w:right w:val="nil" w:sz="6" w:space="0" w:color="auto"/>
            </w:tcBorders>
          </w:tcPr>
          <w:p>
            <w:pPr>
              <w:pStyle w:val="TableParagraph"/>
              <w:spacing w:line="223" w:lineRule="exact"/>
              <w:ind w:left="211" w:right="0"/>
              <w:jc w:val="left"/>
              <w:rPr>
                <w:rFonts w:ascii="黑体" w:hAnsi="黑体" w:cs="黑体" w:eastAsia="黑体" w:hint="default"/>
                <w:sz w:val="20"/>
                <w:szCs w:val="20"/>
              </w:rPr>
            </w:pPr>
            <w:r>
              <w:rPr>
                <w:rFonts w:ascii="黑体" w:hAnsi="黑体" w:cs="黑体" w:eastAsia="黑体" w:hint="default"/>
                <w:sz w:val="20"/>
                <w:szCs w:val="20"/>
              </w:rPr>
              <w:t>软件著作权</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sz w:val="20"/>
                <w:u w:val="single" w:color="000000"/>
              </w:rPr>
              <w:t>87,575,877</w:t>
            </w:r>
            <w:r>
              <w:rPr>
                <w:rFonts w:ascii="Arial"/>
                <w:spacing w:val="-1"/>
                <w:sz w:val="20"/>
              </w:rPr>
            </w:r>
          </w:p>
        </w:tc>
        <w:tc>
          <w:tcPr>
            <w:tcW w:w="458"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
              <w:jc w:val="right"/>
              <w:rPr>
                <w:rFonts w:ascii="Arial" w:hAnsi="Arial" w:cs="Arial" w:eastAsia="Arial" w:hint="default"/>
                <w:sz w:val="20"/>
                <w:szCs w:val="20"/>
              </w:rPr>
            </w:pPr>
            <w:r>
              <w:rPr>
                <w:rFonts w:ascii="Arial"/>
                <w:spacing w:val="-1"/>
                <w:sz w:val="20"/>
              </w:rPr>
              <w:t>(</w:t>
            </w:r>
            <w:r>
              <w:rPr>
                <w:rFonts w:ascii="Arial"/>
                <w:spacing w:val="-1"/>
                <w:sz w:val="20"/>
                <w:u w:val="single" w:color="000000"/>
              </w:rPr>
              <w:t>17,412,458</w:t>
            </w:r>
            <w:r>
              <w:rPr>
                <w:rFonts w:ascii="Arial"/>
                <w:spacing w:val="-1"/>
                <w:sz w:val="20"/>
              </w:rPr>
            </w:r>
            <w:r>
              <w:rPr>
                <w:rFonts w:ascii="Arial"/>
                <w:sz w:val="20"/>
              </w:rPr>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7"/>
              <w:ind w:left="-2" w:right="0"/>
              <w:jc w:val="left"/>
              <w:rPr>
                <w:rFonts w:ascii="Arial" w:hAnsi="Arial" w:cs="Arial" w:eastAsia="Arial" w:hint="default"/>
                <w:sz w:val="20"/>
                <w:szCs w:val="20"/>
              </w:rPr>
            </w:pPr>
            <w:r>
              <w:rPr>
                <w:rFonts w:ascii="Arial"/>
                <w:w w:val="99"/>
                <w:sz w:val="20"/>
              </w:rPr>
              <w:t>)</w:t>
            </w:r>
            <w:r>
              <w:rPr>
                <w:rFonts w:ascii="Arial"/>
                <w:sz w:val="20"/>
              </w:rPr>
            </w:r>
          </w:p>
        </w:tc>
        <w:tc>
          <w:tcPr>
            <w:tcW w:w="985"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7"/>
              <w:ind w:right="203"/>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sz w:val="20"/>
                <w:u w:val="single" w:color="000000"/>
              </w:rPr>
              <w:t>70,163,419</w:t>
            </w:r>
            <w:r>
              <w:rPr>
                <w:rFonts w:ascii="Arial"/>
                <w:spacing w:val="-1"/>
                <w:sz w:val="20"/>
              </w:rPr>
            </w:r>
          </w:p>
        </w:tc>
        <w:tc>
          <w:tcPr>
            <w:tcW w:w="277" w:type="dxa"/>
            <w:tcBorders>
              <w:top w:val="nil" w:sz="6" w:space="0" w:color="auto"/>
              <w:left w:val="nil" w:sz="6" w:space="0" w:color="auto"/>
              <w:bottom w:val="nil" w:sz="6" w:space="0" w:color="auto"/>
              <w:right w:val="nil" w:sz="6" w:space="0" w:color="auto"/>
            </w:tcBorders>
          </w:tcPr>
          <w:p>
            <w:pPr/>
          </w:p>
        </w:tc>
      </w:tr>
      <w:tr>
        <w:trPr>
          <w:trHeight w:val="355" w:hRule="exact"/>
        </w:trPr>
        <w:tc>
          <w:tcPr>
            <w:tcW w:w="1508"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0"/>
              <w:jc w:val="right"/>
              <w:rPr>
                <w:rFonts w:ascii="Arial" w:hAnsi="Arial" w:cs="Arial" w:eastAsia="Arial" w:hint="default"/>
                <w:sz w:val="20"/>
                <w:szCs w:val="20"/>
              </w:rPr>
            </w:pPr>
            <w:r>
              <w:rPr>
                <w:rFonts w:ascii="Arial"/>
                <w:w w:val="99"/>
                <w:sz w:val="20"/>
              </w:rPr>
            </w:r>
            <w:r>
              <w:rPr>
                <w:rFonts w:ascii="Arial"/>
                <w:spacing w:val="-1"/>
                <w:sz w:val="20"/>
                <w:u w:val="thick" w:color="000000"/>
              </w:rPr>
              <w:t>396,699,277</w:t>
            </w:r>
            <w:r>
              <w:rPr>
                <w:rFonts w:ascii="Arial"/>
                <w:spacing w:val="-1"/>
                <w:sz w:val="20"/>
              </w:rPr>
            </w:r>
            <w:r>
              <w:rPr>
                <w:rFonts w:ascii="Arial"/>
                <w:sz w:val="20"/>
              </w:rPr>
            </w:r>
          </w:p>
        </w:tc>
        <w:tc>
          <w:tcPr>
            <w:tcW w:w="458" w:type="dxa"/>
            <w:tcBorders>
              <w:top w:val="nil" w:sz="6" w:space="0" w:color="auto"/>
              <w:left w:val="nil" w:sz="6" w:space="0" w:color="auto"/>
              <w:bottom w:val="nil" w:sz="6" w:space="0" w:color="auto"/>
              <w:right w:val="nil" w:sz="6" w:space="0" w:color="auto"/>
            </w:tcBorders>
          </w:tcPr>
          <w:p>
            <w:pPr/>
          </w:p>
        </w:tc>
        <w:tc>
          <w:tcPr>
            <w:tcW w:w="147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
              <w:jc w:val="right"/>
              <w:rPr>
                <w:rFonts w:ascii="Arial" w:hAnsi="Arial" w:cs="Arial" w:eastAsia="Arial" w:hint="default"/>
                <w:sz w:val="20"/>
                <w:szCs w:val="20"/>
              </w:rPr>
            </w:pPr>
            <w:r>
              <w:rPr>
                <w:rFonts w:ascii="Arial"/>
                <w:spacing w:val="-1"/>
                <w:sz w:val="20"/>
              </w:rPr>
              <w:t>(</w:t>
            </w:r>
            <w:r>
              <w:rPr>
                <w:rFonts w:ascii="Arial"/>
                <w:spacing w:val="-1"/>
                <w:sz w:val="20"/>
                <w:u w:val="thick" w:color="000000"/>
              </w:rPr>
              <w:t>22,328,364</w:t>
            </w:r>
            <w:r>
              <w:rPr>
                <w:rFonts w:ascii="Arial"/>
                <w:spacing w:val="-1"/>
                <w:sz w:val="20"/>
              </w:rPr>
            </w:r>
            <w:r>
              <w:rPr>
                <w:rFonts w:ascii="Arial"/>
                <w:sz w:val="20"/>
              </w:rPr>
            </w:r>
          </w:p>
        </w:tc>
        <w:tc>
          <w:tcPr>
            <w:tcW w:w="776"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2" w:right="0"/>
              <w:jc w:val="left"/>
              <w:rPr>
                <w:rFonts w:ascii="Arial" w:hAnsi="Arial" w:cs="Arial" w:eastAsia="Arial" w:hint="default"/>
                <w:sz w:val="20"/>
                <w:szCs w:val="20"/>
              </w:rPr>
            </w:pPr>
            <w:r>
              <w:rPr>
                <w:rFonts w:ascii="Arial"/>
                <w:w w:val="99"/>
                <w:sz w:val="20"/>
              </w:rPr>
              <w:t>)</w:t>
            </w:r>
            <w:r>
              <w:rPr>
                <w:rFonts w:ascii="Arial"/>
                <w:sz w:val="20"/>
              </w:rPr>
            </w:r>
          </w:p>
        </w:tc>
        <w:tc>
          <w:tcPr>
            <w:tcW w:w="985"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130"/>
              <w:ind w:right="203"/>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w w:val="95"/>
                <w:sz w:val="20"/>
                <w:u w:val="thick" w:color="000000"/>
              </w:rPr>
              <w:t>-</w:t>
            </w:r>
            <w:r>
              <w:rPr>
                <w:rFonts w:ascii="Arial"/>
                <w:w w:val="95"/>
                <w:sz w:val="20"/>
              </w:rPr>
            </w:r>
            <w:r>
              <w:rPr>
                <w:rFonts w:ascii="Arial"/>
                <w:sz w:val="20"/>
              </w:rPr>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9"/>
              <w:jc w:val="right"/>
              <w:rPr>
                <w:rFonts w:ascii="Arial" w:hAnsi="Arial" w:cs="Arial" w:eastAsia="Arial" w:hint="default"/>
                <w:sz w:val="20"/>
                <w:szCs w:val="20"/>
              </w:rPr>
            </w:pPr>
            <w:r>
              <w:rPr>
                <w:rFonts w:ascii="Arial"/>
                <w:w w:val="99"/>
                <w:sz w:val="20"/>
              </w:rPr>
            </w:r>
            <w:r>
              <w:rPr>
                <w:rFonts w:ascii="Arial"/>
                <w:spacing w:val="-1"/>
                <w:sz w:val="20"/>
                <w:u w:val="thick" w:color="000000"/>
              </w:rPr>
              <w:t>374,370,913</w:t>
            </w:r>
            <w:r>
              <w:rPr>
                <w:rFonts w:ascii="Arial"/>
                <w:spacing w:val="-1"/>
                <w:sz w:val="20"/>
              </w:rPr>
            </w:r>
            <w:r>
              <w:rPr>
                <w:rFonts w:ascii="Arial"/>
                <w:sz w:val="20"/>
              </w:rPr>
            </w:r>
          </w:p>
        </w:tc>
        <w:tc>
          <w:tcPr>
            <w:tcW w:w="277" w:type="dxa"/>
            <w:tcBorders>
              <w:top w:val="nil" w:sz="6" w:space="0" w:color="auto"/>
              <w:left w:val="nil" w:sz="6" w:space="0" w:color="auto"/>
              <w:bottom w:val="nil" w:sz="6" w:space="0" w:color="auto"/>
              <w:right w:val="nil" w:sz="6" w:space="0" w:color="auto"/>
            </w:tcBorders>
          </w:tcPr>
          <w:p>
            <w:pPr/>
          </w:p>
        </w:tc>
      </w:tr>
    </w:tbl>
    <w:p>
      <w:pPr>
        <w:spacing w:after="0"/>
        <w:sectPr>
          <w:pgSz w:w="11910" w:h="16850"/>
          <w:pgMar w:header="957" w:footer="830" w:top="2520" w:bottom="1020" w:left="1600" w:right="1160"/>
        </w:sectPr>
      </w:pPr>
    </w:p>
    <w:p>
      <w:pPr>
        <w:spacing w:line="240" w:lineRule="auto" w:before="3"/>
        <w:rPr>
          <w:rFonts w:ascii="黑体" w:hAnsi="黑体" w:cs="黑体" w:eastAsia="黑体" w:hint="default"/>
          <w:sz w:val="17"/>
          <w:szCs w:val="17"/>
        </w:rPr>
      </w:pPr>
    </w:p>
    <w:p>
      <w:pPr>
        <w:pStyle w:val="Heading6"/>
        <w:tabs>
          <w:tab w:pos="804" w:val="left" w:leader="none"/>
        </w:tabs>
        <w:spacing w:line="240" w:lineRule="auto"/>
        <w:ind w:right="0"/>
        <w:jc w:val="left"/>
        <w:rPr>
          <w:b w:val="0"/>
          <w:bCs w:val="0"/>
        </w:rPr>
      </w:pPr>
      <w:r>
        <w:rPr>
          <w:w w:val="95"/>
        </w:rPr>
        <w:t>五、</w:t>
        <w:tab/>
      </w:r>
      <w:bookmarkStart w:name="五、   合并财务报表主要项目注释（续）" w:id="91"/>
      <w:bookmarkEnd w:id="91"/>
      <w:r>
        <w:rPr/>
        <w:t>合并</w:t>
      </w:r>
      <w:r>
        <w:rPr/>
        <w:t>财务报表主要项目注释（续）</w:t>
      </w:r>
      <w:r>
        <w:rPr>
          <w:b w:val="0"/>
          <w:bCs w:val="0"/>
        </w:rPr>
      </w:r>
    </w:p>
    <w:p>
      <w:pPr>
        <w:pStyle w:val="Heading6"/>
        <w:tabs>
          <w:tab w:pos="780" w:val="left" w:leader="none"/>
        </w:tabs>
        <w:spacing w:line="240" w:lineRule="auto" w:before="180"/>
        <w:ind w:right="0"/>
        <w:jc w:val="left"/>
        <w:rPr>
          <w:b w:val="0"/>
          <w:bCs w:val="0"/>
        </w:rPr>
      </w:pPr>
      <w:r>
        <w:rPr>
          <w:rFonts w:ascii="Arial" w:hAnsi="Arial" w:cs="Arial" w:eastAsia="Arial" w:hint="default"/>
          <w:spacing w:val="-1"/>
          <w:w w:val="95"/>
        </w:rPr>
        <w:t>12.</w:t>
        <w:tab/>
      </w:r>
      <w:r>
        <w:rPr>
          <w:spacing w:val="1"/>
        </w:rPr>
        <w:t>无形资产（续）</w:t>
      </w:r>
      <w:r>
        <w:rPr>
          <w:b w:val="0"/>
          <w:bCs w:val="0"/>
        </w:rPr>
      </w:r>
    </w:p>
    <w:p>
      <w:pPr>
        <w:pStyle w:val="BodyText"/>
        <w:spacing w:line="240" w:lineRule="auto" w:before="163"/>
        <w:ind w:left="794" w:right="7646"/>
        <w:jc w:val="center"/>
      </w:pPr>
      <w:r>
        <w:rPr>
          <w:rFonts w:ascii="Arial" w:hAnsi="Arial" w:cs="Arial" w:eastAsia="Arial" w:hint="default"/>
        </w:rPr>
        <w:t>2011</w:t>
      </w:r>
      <w:r>
        <w:rPr/>
        <w:t>年</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21"/>
          <w:szCs w:val="21"/>
        </w:rPr>
      </w:pPr>
    </w:p>
    <w:p>
      <w:pPr>
        <w:pStyle w:val="BodyText"/>
        <w:spacing w:line="240" w:lineRule="auto" w:before="74"/>
        <w:ind w:left="5891" w:right="3128"/>
        <w:jc w:val="center"/>
        <w:rPr>
          <w:rFonts w:ascii="Arial" w:hAnsi="Arial" w:cs="Arial" w:eastAsia="Arial" w:hint="default"/>
        </w:rPr>
      </w:pPr>
      <w:r>
        <w:rPr/>
        <w:pict>
          <v:shape style="position:absolute;margin-left:110.480003pt;margin-top:-132.759476pt;width:420.8pt;height:468.25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66"/>
                    <w:gridCol w:w="1202"/>
                    <w:gridCol w:w="1200"/>
                    <w:gridCol w:w="369"/>
                    <w:gridCol w:w="1265"/>
                    <w:gridCol w:w="66"/>
                    <w:gridCol w:w="1382"/>
                    <w:gridCol w:w="1386"/>
                    <w:gridCol w:w="278"/>
                  </w:tblGrid>
                  <w:tr>
                    <w:trPr>
                      <w:trHeight w:val="222" w:hRule="exact"/>
                    </w:trPr>
                    <w:tc>
                      <w:tcPr>
                        <w:tcW w:w="1266"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nil" w:sz="6" w:space="0" w:color="auto"/>
                          <w:right w:val="nil" w:sz="6" w:space="0" w:color="auto"/>
                        </w:tcBorders>
                      </w:tcPr>
                      <w:p>
                        <w:pPr>
                          <w:pStyle w:val="TableParagraph"/>
                          <w:spacing w:line="199" w:lineRule="exact"/>
                          <w:ind w:right="1"/>
                          <w:jc w:val="right"/>
                          <w:rPr>
                            <w:rFonts w:ascii="黑体" w:hAnsi="黑体" w:cs="黑体" w:eastAsia="黑体" w:hint="default"/>
                            <w:sz w:val="20"/>
                            <w:szCs w:val="20"/>
                          </w:rPr>
                        </w:pPr>
                        <w:r>
                          <w:rPr>
                            <w:rFonts w:ascii="黑体" w:hAnsi="黑体" w:cs="黑体" w:eastAsia="黑体" w:hint="default"/>
                            <w:w w:val="95"/>
                            <w:sz w:val="20"/>
                            <w:szCs w:val="20"/>
                          </w:rPr>
                          <w:t>年初数</w:t>
                        </w:r>
                        <w:r>
                          <w:rPr>
                            <w:rFonts w:ascii="黑体" w:hAnsi="黑体" w:cs="黑体" w:eastAsia="黑体" w:hint="default"/>
                            <w:sz w:val="20"/>
                            <w:szCs w:val="20"/>
                          </w:rPr>
                        </w:r>
                      </w:p>
                    </w:tc>
                    <w:tc>
                      <w:tcPr>
                        <w:tcW w:w="2835" w:type="dxa"/>
                        <w:gridSpan w:val="3"/>
                        <w:tcBorders>
                          <w:top w:val="nil" w:sz="6" w:space="0" w:color="auto"/>
                          <w:left w:val="nil" w:sz="6" w:space="0" w:color="auto"/>
                          <w:bottom w:val="nil" w:sz="6" w:space="0" w:color="auto"/>
                          <w:right w:val="nil" w:sz="6" w:space="0" w:color="auto"/>
                        </w:tcBorders>
                      </w:tcPr>
                      <w:p>
                        <w:pPr>
                          <w:pStyle w:val="TableParagraph"/>
                          <w:spacing w:line="199" w:lineRule="exact"/>
                          <w:ind w:left="1114" w:right="0"/>
                          <w:jc w:val="left"/>
                          <w:rPr>
                            <w:rFonts w:ascii="黑体" w:hAnsi="黑体" w:cs="黑体" w:eastAsia="黑体" w:hint="default"/>
                            <w:sz w:val="20"/>
                            <w:szCs w:val="20"/>
                          </w:rPr>
                        </w:pPr>
                        <w:r>
                          <w:rPr>
                            <w:rFonts w:ascii="黑体" w:hAnsi="黑体" w:cs="黑体" w:eastAsia="黑体" w:hint="default"/>
                            <w:sz w:val="20"/>
                            <w:szCs w:val="20"/>
                          </w:rPr>
                          <w:t>本年增加</w:t>
                        </w:r>
                      </w:p>
                    </w:tc>
                    <w:tc>
                      <w:tcPr>
                        <w:tcW w:w="1448" w:type="dxa"/>
                        <w:gridSpan w:val="2"/>
                        <w:tcBorders>
                          <w:top w:val="nil" w:sz="6" w:space="0" w:color="auto"/>
                          <w:left w:val="nil" w:sz="6" w:space="0" w:color="auto"/>
                          <w:bottom w:val="nil" w:sz="6" w:space="0" w:color="auto"/>
                          <w:right w:val="nil" w:sz="6" w:space="0" w:color="auto"/>
                        </w:tcBorders>
                      </w:tcPr>
                      <w:p>
                        <w:pPr>
                          <w:pStyle w:val="TableParagraph"/>
                          <w:spacing w:line="199" w:lineRule="exact"/>
                          <w:ind w:left="477" w:right="0"/>
                          <w:jc w:val="left"/>
                          <w:rPr>
                            <w:rFonts w:ascii="黑体" w:hAnsi="黑体" w:cs="黑体" w:eastAsia="黑体" w:hint="default"/>
                            <w:sz w:val="20"/>
                            <w:szCs w:val="20"/>
                          </w:rPr>
                        </w:pPr>
                        <w:r>
                          <w:rPr>
                            <w:rFonts w:ascii="黑体" w:hAnsi="黑体" w:cs="黑体" w:eastAsia="黑体" w:hint="default"/>
                            <w:sz w:val="20"/>
                            <w:szCs w:val="20"/>
                          </w:rPr>
                          <w:t>本年减少</w:t>
                        </w:r>
                      </w:p>
                    </w:tc>
                    <w:tc>
                      <w:tcPr>
                        <w:tcW w:w="1386" w:type="dxa"/>
                        <w:tcBorders>
                          <w:top w:val="nil" w:sz="6" w:space="0" w:color="auto"/>
                          <w:left w:val="nil" w:sz="6" w:space="0" w:color="auto"/>
                          <w:bottom w:val="nil" w:sz="6" w:space="0" w:color="auto"/>
                          <w:right w:val="nil" w:sz="6" w:space="0" w:color="auto"/>
                        </w:tcBorders>
                      </w:tcPr>
                      <w:p>
                        <w:pPr>
                          <w:pStyle w:val="TableParagraph"/>
                          <w:spacing w:line="199" w:lineRule="exact"/>
                          <w:ind w:right="10"/>
                          <w:jc w:val="right"/>
                          <w:rPr>
                            <w:rFonts w:ascii="黑体" w:hAnsi="黑体" w:cs="黑体" w:eastAsia="黑体" w:hint="default"/>
                            <w:sz w:val="20"/>
                            <w:szCs w:val="20"/>
                          </w:rPr>
                        </w:pPr>
                        <w:r>
                          <w:rPr>
                            <w:rFonts w:ascii="黑体" w:hAnsi="黑体" w:cs="黑体" w:eastAsia="黑体" w:hint="default"/>
                            <w:w w:val="95"/>
                            <w:sz w:val="20"/>
                            <w:szCs w:val="20"/>
                          </w:rPr>
                          <w:t>年末数</w:t>
                        </w:r>
                        <w:r>
                          <w:rPr>
                            <w:rFonts w:ascii="黑体" w:hAnsi="黑体" w:cs="黑体" w:eastAsia="黑体" w:hint="default"/>
                            <w:sz w:val="20"/>
                            <w:szCs w:val="20"/>
                          </w:rPr>
                        </w:r>
                      </w:p>
                    </w:tc>
                    <w:tc>
                      <w:tcPr>
                        <w:tcW w:w="278" w:type="dxa"/>
                        <w:tcBorders>
                          <w:top w:val="nil" w:sz="6" w:space="0" w:color="auto"/>
                          <w:left w:val="nil" w:sz="6" w:space="0" w:color="auto"/>
                          <w:bottom w:val="nil" w:sz="6" w:space="0" w:color="auto"/>
                          <w:right w:val="nil" w:sz="6" w:space="0" w:color="auto"/>
                        </w:tcBorders>
                      </w:tcPr>
                      <w:p>
                        <w:pPr/>
                      </w:p>
                    </w:tc>
                  </w:tr>
                  <w:tr>
                    <w:trPr>
                      <w:trHeight w:val="353" w:hRule="exact"/>
                    </w:trPr>
                    <w:tc>
                      <w:tcPr>
                        <w:tcW w:w="1266"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nil" w:sz="6" w:space="0" w:color="auto"/>
                          <w:right w:val="nil" w:sz="6" w:space="0" w:color="auto"/>
                        </w:tcBorders>
                      </w:tcPr>
                      <w:p>
                        <w:pPr/>
                      </w:p>
                    </w:tc>
                    <w:tc>
                      <w:tcPr>
                        <w:tcW w:w="1200" w:type="dxa"/>
                        <w:tcBorders>
                          <w:top w:val="single" w:sz="4" w:space="0" w:color="000000"/>
                          <w:left w:val="nil" w:sz="6" w:space="0" w:color="auto"/>
                          <w:bottom w:val="nil" w:sz="6" w:space="0" w:color="auto"/>
                          <w:right w:val="nil" w:sz="6" w:space="0" w:color="auto"/>
                        </w:tcBorders>
                      </w:tcPr>
                      <w:p>
                        <w:pPr>
                          <w:pStyle w:val="TableParagraph"/>
                          <w:spacing w:line="203" w:lineRule="exact"/>
                          <w:ind w:left="650" w:right="0"/>
                          <w:jc w:val="left"/>
                          <w:rPr>
                            <w:rFonts w:ascii="黑体" w:hAnsi="黑体" w:cs="黑体" w:eastAsia="黑体" w:hint="default"/>
                            <w:sz w:val="20"/>
                            <w:szCs w:val="20"/>
                          </w:rPr>
                        </w:pPr>
                        <w:r>
                          <w:rPr>
                            <w:rFonts w:ascii="黑体" w:hAnsi="黑体" w:cs="黑体" w:eastAsia="黑体" w:hint="default"/>
                            <w:sz w:val="20"/>
                            <w:szCs w:val="20"/>
                          </w:rPr>
                          <w:t>收购</w:t>
                        </w:r>
                      </w:p>
                    </w:tc>
                    <w:tc>
                      <w:tcPr>
                        <w:tcW w:w="369" w:type="dxa"/>
                        <w:tcBorders>
                          <w:top w:val="single" w:sz="4" w:space="0" w:color="000000"/>
                          <w:left w:val="nil" w:sz="6" w:space="0" w:color="auto"/>
                          <w:bottom w:val="nil" w:sz="6" w:space="0" w:color="auto"/>
                          <w:right w:val="nil" w:sz="6" w:space="0" w:color="auto"/>
                        </w:tcBorders>
                      </w:tcPr>
                      <w:p>
                        <w:pPr/>
                      </w:p>
                    </w:tc>
                    <w:tc>
                      <w:tcPr>
                        <w:tcW w:w="1265" w:type="dxa"/>
                        <w:tcBorders>
                          <w:top w:val="single" w:sz="4" w:space="0" w:color="000000"/>
                          <w:left w:val="nil" w:sz="6" w:space="0" w:color="auto"/>
                          <w:bottom w:val="nil" w:sz="6" w:space="0" w:color="auto"/>
                          <w:right w:val="nil" w:sz="6" w:space="0" w:color="auto"/>
                        </w:tcBorders>
                      </w:tcPr>
                      <w:p>
                        <w:pPr>
                          <w:pStyle w:val="TableParagraph"/>
                          <w:spacing w:line="203" w:lineRule="exact"/>
                          <w:ind w:left="454"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66"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
                    </w:tc>
                    <w:tc>
                      <w:tcPr>
                        <w:tcW w:w="278" w:type="dxa"/>
                        <w:tcBorders>
                          <w:top w:val="nil" w:sz="6" w:space="0" w:color="auto"/>
                          <w:left w:val="nil" w:sz="6" w:space="0" w:color="auto"/>
                          <w:bottom w:val="nil" w:sz="6" w:space="0" w:color="auto"/>
                          <w:right w:val="nil" w:sz="6" w:space="0" w:color="auto"/>
                        </w:tcBorders>
                      </w:tcPr>
                      <w:p>
                        <w:pPr/>
                      </w:p>
                    </w:tc>
                  </w:tr>
                  <w:tr>
                    <w:trPr>
                      <w:trHeight w:val="383"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11" w:right="0"/>
                          <w:jc w:val="left"/>
                          <w:rPr>
                            <w:rFonts w:ascii="黑体" w:hAnsi="黑体" w:cs="黑体" w:eastAsia="黑体" w:hint="default"/>
                            <w:sz w:val="20"/>
                            <w:szCs w:val="20"/>
                          </w:rPr>
                        </w:pPr>
                        <w:r>
                          <w:rPr>
                            <w:rFonts w:ascii="黑体" w:hAnsi="黑体" w:cs="黑体" w:eastAsia="黑体" w:hint="default"/>
                            <w:sz w:val="20"/>
                            <w:szCs w:val="20"/>
                          </w:rPr>
                          <w:t>原价</w:t>
                        </w:r>
                      </w:p>
                    </w:tc>
                    <w:tc>
                      <w:tcPr>
                        <w:tcW w:w="1202"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
                    </w:tc>
                    <w:tc>
                      <w:tcPr>
                        <w:tcW w:w="369"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
                    </w:tc>
                    <w:tc>
                      <w:tcPr>
                        <w:tcW w:w="66"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
                    </w:tc>
                    <w:tc>
                      <w:tcPr>
                        <w:tcW w:w="278" w:type="dxa"/>
                        <w:tcBorders>
                          <w:top w:val="nil" w:sz="6" w:space="0" w:color="auto"/>
                          <w:left w:val="nil" w:sz="6" w:space="0" w:color="auto"/>
                          <w:bottom w:val="nil" w:sz="6" w:space="0" w:color="auto"/>
                          <w:right w:val="nil" w:sz="6" w:space="0" w:color="auto"/>
                        </w:tcBorders>
                      </w:tcPr>
                      <w:p>
                        <w:pPr/>
                      </w:p>
                    </w:tc>
                  </w:tr>
                  <w:tr>
                    <w:trPr>
                      <w:trHeight w:val="270"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38" w:lineRule="exact"/>
                          <w:ind w:left="211" w:right="0"/>
                          <w:jc w:val="left"/>
                          <w:rPr>
                            <w:rFonts w:ascii="黑体" w:hAnsi="黑体" w:cs="黑体" w:eastAsia="黑体" w:hint="default"/>
                            <w:sz w:val="20"/>
                            <w:szCs w:val="20"/>
                          </w:rPr>
                        </w:pPr>
                        <w:r>
                          <w:rPr>
                            <w:rFonts w:ascii="黑体" w:hAnsi="黑体" w:cs="黑体" w:eastAsia="黑体" w:hint="default"/>
                            <w:sz w:val="20"/>
                            <w:szCs w:val="20"/>
                          </w:rPr>
                          <w:t>土地使用权</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right"/>
                          <w:rPr>
                            <w:rFonts w:ascii="Arial" w:hAnsi="Arial" w:cs="Arial" w:eastAsia="Arial" w:hint="default"/>
                            <w:sz w:val="20"/>
                            <w:szCs w:val="20"/>
                          </w:rPr>
                        </w:pPr>
                        <w:r>
                          <w:rPr>
                            <w:rFonts w:ascii="Arial"/>
                            <w:spacing w:val="-1"/>
                            <w:sz w:val="20"/>
                          </w:rPr>
                          <w:t>330,141,371</w:t>
                        </w:r>
                        <w:r>
                          <w:rPr>
                            <w:rFonts w:ascii="Arial"/>
                            <w:sz w:val="20"/>
                          </w:rPr>
                        </w:r>
                      </w:p>
                    </w:tc>
                    <w:tc>
                      <w:tcPr>
                        <w:tcW w:w="1200" w:type="dxa"/>
                        <w:tcBorders>
                          <w:top w:val="nil" w:sz="6" w:space="0" w:color="auto"/>
                          <w:left w:val="nil" w:sz="6" w:space="0" w:color="auto"/>
                          <w:bottom w:val="nil" w:sz="6" w:space="0" w:color="auto"/>
                          <w:right w:val="nil" w:sz="6" w:space="0" w:color="auto"/>
                        </w:tcBorders>
                      </w:tcPr>
                      <w:p>
                        <w:pPr/>
                      </w:p>
                    </w:tc>
                    <w:tc>
                      <w:tcPr>
                        <w:tcW w:w="36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center"/>
                          <w:rPr>
                            <w:rFonts w:ascii="Arial" w:hAnsi="Arial" w:cs="Arial" w:eastAsia="Arial" w:hint="default"/>
                            <w:sz w:val="20"/>
                            <w:szCs w:val="20"/>
                          </w:rPr>
                        </w:pPr>
                        <w:r>
                          <w:rPr>
                            <w:rFonts w:ascii="Arial"/>
                            <w:w w:val="99"/>
                            <w:sz w:val="20"/>
                          </w:rPr>
                          <w:t>-</w:t>
                        </w:r>
                        <w:r>
                          <w:rPr>
                            <w:rFonts w:ascii="Arial"/>
                            <w:sz w:val="20"/>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right"/>
                          <w:rPr>
                            <w:rFonts w:ascii="Arial" w:hAnsi="Arial" w:cs="Arial" w:eastAsia="Arial" w:hint="default"/>
                            <w:sz w:val="20"/>
                            <w:szCs w:val="20"/>
                          </w:rPr>
                        </w:pPr>
                        <w:r>
                          <w:rPr>
                            <w:rFonts w:ascii="Arial"/>
                            <w:spacing w:val="-1"/>
                            <w:sz w:val="20"/>
                          </w:rPr>
                          <w:t>3,393,800</w:t>
                        </w:r>
                      </w:p>
                    </w:tc>
                    <w:tc>
                      <w:tcPr>
                        <w:tcW w:w="66"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70"/>
                          <w:jc w:val="right"/>
                          <w:rPr>
                            <w:rFonts w:ascii="Arial" w:hAnsi="Arial" w:cs="Arial" w:eastAsia="Arial" w:hint="default"/>
                            <w:sz w:val="20"/>
                            <w:szCs w:val="20"/>
                          </w:rPr>
                        </w:pPr>
                        <w:r>
                          <w:rPr>
                            <w:rFonts w:ascii="Arial"/>
                            <w:w w:val="99"/>
                            <w:sz w:val="20"/>
                          </w:rPr>
                          <w:t>-</w:t>
                        </w:r>
                        <w:r>
                          <w:rPr>
                            <w:rFonts w:ascii="Arial"/>
                            <w:sz w:val="20"/>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
                          <w:jc w:val="right"/>
                          <w:rPr>
                            <w:rFonts w:ascii="Arial" w:hAnsi="Arial" w:cs="Arial" w:eastAsia="Arial" w:hint="default"/>
                            <w:sz w:val="20"/>
                            <w:szCs w:val="20"/>
                          </w:rPr>
                        </w:pPr>
                        <w:r>
                          <w:rPr>
                            <w:rFonts w:ascii="Arial"/>
                            <w:spacing w:val="-1"/>
                            <w:sz w:val="20"/>
                          </w:rPr>
                          <w:t>333,535,171</w:t>
                        </w:r>
                        <w:r>
                          <w:rPr>
                            <w:rFonts w:ascii="Arial"/>
                            <w:sz w:val="20"/>
                          </w:rPr>
                        </w:r>
                      </w:p>
                    </w:tc>
                    <w:tc>
                      <w:tcPr>
                        <w:tcW w:w="278" w:type="dxa"/>
                        <w:tcBorders>
                          <w:top w:val="nil" w:sz="6" w:space="0" w:color="auto"/>
                          <w:left w:val="nil" w:sz="6" w:space="0" w:color="auto"/>
                          <w:bottom w:val="nil" w:sz="6" w:space="0" w:color="auto"/>
                          <w:right w:val="nil" w:sz="6" w:space="0" w:color="auto"/>
                        </w:tcBorders>
                      </w:tcPr>
                      <w:p>
                        <w:pPr/>
                      </w:p>
                    </w:tc>
                  </w:tr>
                  <w:tr>
                    <w:trPr>
                      <w:trHeight w:val="254"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22" w:lineRule="exact"/>
                          <w:ind w:left="211" w:right="0"/>
                          <w:jc w:val="left"/>
                          <w:rPr>
                            <w:rFonts w:ascii="黑体" w:hAnsi="黑体" w:cs="黑体" w:eastAsia="黑体" w:hint="default"/>
                            <w:sz w:val="20"/>
                            <w:szCs w:val="20"/>
                          </w:rPr>
                        </w:pPr>
                        <w:r>
                          <w:rPr>
                            <w:rFonts w:ascii="黑体" w:hAnsi="黑体" w:cs="黑体" w:eastAsia="黑体" w:hint="default"/>
                            <w:sz w:val="20"/>
                            <w:szCs w:val="20"/>
                          </w:rPr>
                          <w:t>软件使用权</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Arial" w:hAnsi="Arial" w:cs="Arial" w:eastAsia="Arial" w:hint="default"/>
                            <w:sz w:val="20"/>
                            <w:szCs w:val="20"/>
                          </w:rPr>
                        </w:pPr>
                        <w:r>
                          <w:rPr>
                            <w:rFonts w:ascii="Arial"/>
                            <w:spacing w:val="-1"/>
                            <w:sz w:val="20"/>
                          </w:rPr>
                          <w:t>29,556,985</w:t>
                        </w:r>
                        <w:r>
                          <w:rPr>
                            <w:rFonts w:ascii="Arial"/>
                            <w:sz w:val="20"/>
                          </w:rPr>
                        </w:r>
                      </w:p>
                    </w:tc>
                    <w:tc>
                      <w:tcPr>
                        <w:tcW w:w="1200" w:type="dxa"/>
                        <w:tcBorders>
                          <w:top w:val="nil" w:sz="6" w:space="0" w:color="auto"/>
                          <w:left w:val="nil" w:sz="6" w:space="0" w:color="auto"/>
                          <w:bottom w:val="nil" w:sz="6" w:space="0" w:color="auto"/>
                          <w:right w:val="nil" w:sz="6" w:space="0" w:color="auto"/>
                        </w:tcBorders>
                      </w:tcPr>
                      <w:p>
                        <w:pPr/>
                      </w:p>
                    </w:tc>
                    <w:tc>
                      <w:tcPr>
                        <w:tcW w:w="36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center"/>
                          <w:rPr>
                            <w:rFonts w:ascii="Arial" w:hAnsi="Arial" w:cs="Arial" w:eastAsia="Arial" w:hint="default"/>
                            <w:sz w:val="20"/>
                            <w:szCs w:val="20"/>
                          </w:rPr>
                        </w:pPr>
                        <w:r>
                          <w:rPr>
                            <w:rFonts w:ascii="Arial"/>
                            <w:w w:val="99"/>
                            <w:sz w:val="20"/>
                          </w:rPr>
                          <w:t>-</w:t>
                        </w:r>
                        <w:r>
                          <w:rPr>
                            <w:rFonts w:ascii="Arial"/>
                            <w:sz w:val="20"/>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Arial" w:hAnsi="Arial" w:cs="Arial" w:eastAsia="Arial" w:hint="default"/>
                            <w:sz w:val="20"/>
                            <w:szCs w:val="20"/>
                          </w:rPr>
                        </w:pPr>
                        <w:r>
                          <w:rPr>
                            <w:rFonts w:ascii="Arial"/>
                            <w:spacing w:val="-1"/>
                            <w:sz w:val="20"/>
                          </w:rPr>
                          <w:t>2,421,670</w:t>
                        </w:r>
                      </w:p>
                    </w:tc>
                    <w:tc>
                      <w:tcPr>
                        <w:tcW w:w="66"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70"/>
                          <w:jc w:val="right"/>
                          <w:rPr>
                            <w:rFonts w:ascii="Arial" w:hAnsi="Arial" w:cs="Arial" w:eastAsia="Arial" w:hint="default"/>
                            <w:sz w:val="20"/>
                            <w:szCs w:val="20"/>
                          </w:rPr>
                        </w:pPr>
                        <w:r>
                          <w:rPr>
                            <w:rFonts w:ascii="Arial"/>
                            <w:w w:val="99"/>
                            <w:sz w:val="20"/>
                          </w:rPr>
                          <w:t>-</w:t>
                        </w:r>
                        <w:r>
                          <w:rPr>
                            <w:rFonts w:ascii="Arial"/>
                            <w:sz w:val="20"/>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
                          <w:jc w:val="right"/>
                          <w:rPr>
                            <w:rFonts w:ascii="Arial" w:hAnsi="Arial" w:cs="Arial" w:eastAsia="Arial" w:hint="default"/>
                            <w:sz w:val="20"/>
                            <w:szCs w:val="20"/>
                          </w:rPr>
                        </w:pPr>
                        <w:r>
                          <w:rPr>
                            <w:rFonts w:ascii="Arial"/>
                            <w:spacing w:val="-1"/>
                            <w:sz w:val="20"/>
                          </w:rPr>
                          <w:t>31,978,655</w:t>
                        </w:r>
                        <w:r>
                          <w:rPr>
                            <w:rFonts w:ascii="Arial"/>
                            <w:sz w:val="20"/>
                          </w:rPr>
                        </w:r>
                      </w:p>
                    </w:tc>
                    <w:tc>
                      <w:tcPr>
                        <w:tcW w:w="278" w:type="dxa"/>
                        <w:tcBorders>
                          <w:top w:val="nil" w:sz="6" w:space="0" w:color="auto"/>
                          <w:left w:val="nil" w:sz="6" w:space="0" w:color="auto"/>
                          <w:bottom w:val="nil" w:sz="6" w:space="0" w:color="auto"/>
                          <w:right w:val="nil" w:sz="6" w:space="0" w:color="auto"/>
                        </w:tcBorders>
                      </w:tcPr>
                      <w:p>
                        <w:pPr/>
                      </w:p>
                    </w:tc>
                  </w:tr>
                  <w:tr>
                    <w:trPr>
                      <w:trHeight w:val="388"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22" w:lineRule="exact"/>
                          <w:ind w:left="211" w:right="0"/>
                          <w:jc w:val="left"/>
                          <w:rPr>
                            <w:rFonts w:ascii="黑体" w:hAnsi="黑体" w:cs="黑体" w:eastAsia="黑体" w:hint="default"/>
                            <w:sz w:val="20"/>
                            <w:szCs w:val="20"/>
                          </w:rPr>
                        </w:pPr>
                        <w:r>
                          <w:rPr>
                            <w:rFonts w:ascii="黑体" w:hAnsi="黑体" w:cs="黑体" w:eastAsia="黑体" w:hint="default"/>
                            <w:sz w:val="20"/>
                            <w:szCs w:val="20"/>
                          </w:rPr>
                          <w:t>软件著作权</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Arial" w:hAnsi="Arial" w:cs="Arial" w:eastAsia="Arial" w:hint="default"/>
                            <w:sz w:val="20"/>
                            <w:szCs w:val="20"/>
                          </w:rPr>
                        </w:pPr>
                        <w:r>
                          <w:rPr>
                            <w:rFonts w:ascii="Arial"/>
                            <w:w w:val="99"/>
                            <w:sz w:val="20"/>
                          </w:rPr>
                        </w:r>
                        <w:r>
                          <w:rPr>
                            <w:rFonts w:ascii="Arial"/>
                            <w:spacing w:val="-1"/>
                            <w:sz w:val="20"/>
                            <w:u w:val="single" w:color="000000"/>
                          </w:rPr>
                          <w:t>114,410,645</w:t>
                        </w:r>
                        <w:r>
                          <w:rPr>
                            <w:rFonts w:ascii="Arial"/>
                            <w:spacing w:val="-1"/>
                            <w:sz w:val="20"/>
                          </w:rPr>
                        </w:r>
                        <w:r>
                          <w:rPr>
                            <w:rFonts w:ascii="Arial"/>
                            <w:sz w:val="20"/>
                          </w:rPr>
                        </w:r>
                      </w:p>
                    </w:tc>
                    <w:tc>
                      <w:tcPr>
                        <w:tcW w:w="15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418" w:right="0"/>
                          <w:jc w:val="left"/>
                          <w:rPr>
                            <w:rFonts w:ascii="Arial" w:hAnsi="Arial" w:cs="Arial" w:eastAsia="Arial" w:hint="default"/>
                            <w:sz w:val="20"/>
                            <w:szCs w:val="20"/>
                          </w:rPr>
                        </w:pPr>
                        <w:r>
                          <w:rPr>
                            <w:rFonts w:ascii="Arial"/>
                            <w:w w:val="99"/>
                            <w:sz w:val="20"/>
                          </w:rPr>
                        </w:r>
                        <w:r>
                          <w:rPr>
                            <w:rFonts w:ascii="Arial"/>
                            <w:sz w:val="20"/>
                            <w:u w:val="single" w:color="000000"/>
                          </w:rPr>
                          <w:t>28,312,400</w:t>
                        </w:r>
                        <w:r>
                          <w:rPr>
                            <w:rFonts w:ascii="Arial"/>
                            <w:sz w:val="20"/>
                          </w:rPr>
                        </w:r>
                      </w:p>
                    </w:tc>
                    <w:tc>
                      <w:tcPr>
                        <w:tcW w:w="1265" w:type="dxa"/>
                        <w:tcBorders>
                          <w:top w:val="nil" w:sz="6" w:space="0" w:color="auto"/>
                          <w:left w:val="nil" w:sz="6" w:space="0" w:color="auto"/>
                          <w:bottom w:val="nil" w:sz="6" w:space="0" w:color="auto"/>
                          <w:right w:val="nil" w:sz="6" w:space="0" w:color="auto"/>
                        </w:tcBorders>
                      </w:tcPr>
                      <w:p>
                        <w:pPr>
                          <w:pStyle w:val="TableParagraph"/>
                          <w:tabs>
                            <w:tab w:pos="907" w:val="left" w:leader="none"/>
                          </w:tabs>
                          <w:spacing w:line="240" w:lineRule="auto" w:before="6"/>
                          <w:ind w:right="1"/>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448" w:type="dxa"/>
                        <w:gridSpan w:val="2"/>
                        <w:tcBorders>
                          <w:top w:val="nil" w:sz="6" w:space="0" w:color="auto"/>
                          <w:left w:val="nil" w:sz="6" w:space="0" w:color="auto"/>
                          <w:bottom w:val="nil" w:sz="6" w:space="0" w:color="auto"/>
                          <w:right w:val="nil" w:sz="6" w:space="0" w:color="auto"/>
                        </w:tcBorders>
                      </w:tcPr>
                      <w:p>
                        <w:pPr>
                          <w:pStyle w:val="TableParagraph"/>
                          <w:tabs>
                            <w:tab w:pos="1211" w:val="left" w:leader="none"/>
                          </w:tabs>
                          <w:spacing w:line="240" w:lineRule="auto" w:before="6"/>
                          <w:ind w:left="609" w:right="0"/>
                          <w:jc w:val="lef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t>-</w:t>
                        </w:r>
                        <w:r>
                          <w:rPr>
                            <w:rFonts w:ascii="Arial"/>
                            <w:sz w:val="20"/>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
                          <w:jc w:val="right"/>
                          <w:rPr>
                            <w:rFonts w:ascii="Arial" w:hAnsi="Arial" w:cs="Arial" w:eastAsia="Arial" w:hint="default"/>
                            <w:sz w:val="20"/>
                            <w:szCs w:val="20"/>
                          </w:rPr>
                        </w:pPr>
                        <w:r>
                          <w:rPr>
                            <w:rFonts w:ascii="Arial"/>
                            <w:w w:val="99"/>
                            <w:sz w:val="20"/>
                          </w:rPr>
                        </w:r>
                        <w:r>
                          <w:rPr>
                            <w:rFonts w:ascii="Arial"/>
                            <w:spacing w:val="-1"/>
                            <w:sz w:val="20"/>
                            <w:u w:val="single" w:color="000000"/>
                          </w:rPr>
                          <w:t>142,723,045</w:t>
                        </w:r>
                        <w:r>
                          <w:rPr>
                            <w:rFonts w:ascii="Arial"/>
                            <w:spacing w:val="-1"/>
                            <w:sz w:val="20"/>
                          </w:rPr>
                        </w:r>
                        <w:r>
                          <w:rPr>
                            <w:rFonts w:ascii="Arial"/>
                            <w:sz w:val="20"/>
                          </w:rPr>
                        </w:r>
                      </w:p>
                    </w:tc>
                    <w:tc>
                      <w:tcPr>
                        <w:tcW w:w="278" w:type="dxa"/>
                        <w:tcBorders>
                          <w:top w:val="nil" w:sz="6" w:space="0" w:color="auto"/>
                          <w:left w:val="nil" w:sz="6" w:space="0" w:color="auto"/>
                          <w:bottom w:val="nil" w:sz="6" w:space="0" w:color="auto"/>
                          <w:right w:val="nil" w:sz="6" w:space="0" w:color="auto"/>
                        </w:tcBorders>
                      </w:tcPr>
                      <w:p>
                        <w:pPr/>
                      </w:p>
                    </w:tc>
                  </w:tr>
                  <w:tr>
                    <w:trPr>
                      <w:trHeight w:val="494" w:hRule="exact"/>
                    </w:trPr>
                    <w:tc>
                      <w:tcPr>
                        <w:tcW w:w="1266"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0"/>
                          <w:jc w:val="right"/>
                          <w:rPr>
                            <w:rFonts w:ascii="Arial" w:hAnsi="Arial" w:cs="Arial" w:eastAsia="Arial" w:hint="default"/>
                            <w:sz w:val="20"/>
                            <w:szCs w:val="20"/>
                          </w:rPr>
                        </w:pPr>
                        <w:r>
                          <w:rPr>
                            <w:rFonts w:ascii="Arial"/>
                            <w:w w:val="99"/>
                            <w:sz w:val="20"/>
                          </w:rPr>
                        </w:r>
                        <w:r>
                          <w:rPr>
                            <w:rFonts w:ascii="Arial"/>
                            <w:spacing w:val="-1"/>
                            <w:sz w:val="20"/>
                            <w:u w:val="thick" w:color="000000"/>
                          </w:rPr>
                          <w:t>474,109,001</w:t>
                        </w:r>
                        <w:r>
                          <w:rPr>
                            <w:rFonts w:ascii="Arial"/>
                            <w:spacing w:val="-1"/>
                            <w:sz w:val="20"/>
                          </w:rPr>
                        </w:r>
                        <w:r>
                          <w:rPr>
                            <w:rFonts w:ascii="Arial"/>
                            <w:sz w:val="20"/>
                          </w:rPr>
                        </w:r>
                      </w:p>
                    </w:tc>
                    <w:tc>
                      <w:tcPr>
                        <w:tcW w:w="15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0"/>
                          <w:ind w:left="418" w:right="0"/>
                          <w:jc w:val="left"/>
                          <w:rPr>
                            <w:rFonts w:ascii="Arial" w:hAnsi="Arial" w:cs="Arial" w:eastAsia="Arial" w:hint="default"/>
                            <w:sz w:val="20"/>
                            <w:szCs w:val="20"/>
                          </w:rPr>
                        </w:pPr>
                        <w:r>
                          <w:rPr>
                            <w:rFonts w:ascii="Arial"/>
                            <w:w w:val="99"/>
                            <w:sz w:val="20"/>
                          </w:rPr>
                        </w:r>
                        <w:r>
                          <w:rPr>
                            <w:rFonts w:ascii="Arial"/>
                            <w:sz w:val="20"/>
                            <w:u w:val="thick" w:color="000000"/>
                          </w:rPr>
                          <w:t>28,312,400</w:t>
                        </w:r>
                        <w:r>
                          <w:rPr>
                            <w:rFonts w:ascii="Arial"/>
                            <w:sz w:val="20"/>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0"/>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pacing w:val="-11"/>
                            <w:sz w:val="20"/>
                            <w:u w:val="thick" w:color="000000"/>
                          </w:rPr>
                          <w:t> </w:t>
                        </w:r>
                        <w:r>
                          <w:rPr>
                            <w:rFonts w:ascii="Arial"/>
                            <w:spacing w:val="-1"/>
                            <w:w w:val="95"/>
                            <w:sz w:val="20"/>
                            <w:u w:val="thick" w:color="000000"/>
                          </w:rPr>
                          <w:t>5,815,470</w:t>
                        </w:r>
                        <w:r>
                          <w:rPr>
                            <w:rFonts w:ascii="Arial"/>
                            <w:spacing w:val="-1"/>
                            <w:w w:val="95"/>
                            <w:sz w:val="20"/>
                          </w:rPr>
                        </w:r>
                        <w:r>
                          <w:rPr>
                            <w:rFonts w:ascii="Arial"/>
                            <w:sz w:val="20"/>
                          </w:rPr>
                        </w:r>
                      </w:p>
                    </w:tc>
                    <w:tc>
                      <w:tcPr>
                        <w:tcW w:w="1448" w:type="dxa"/>
                        <w:gridSpan w:val="2"/>
                        <w:tcBorders>
                          <w:top w:val="nil" w:sz="6" w:space="0" w:color="auto"/>
                          <w:left w:val="nil" w:sz="6" w:space="0" w:color="auto"/>
                          <w:bottom w:val="nil" w:sz="6" w:space="0" w:color="auto"/>
                          <w:right w:val="nil" w:sz="6" w:space="0" w:color="auto"/>
                        </w:tcBorders>
                      </w:tcPr>
                      <w:p>
                        <w:pPr>
                          <w:pStyle w:val="TableParagraph"/>
                          <w:tabs>
                            <w:tab w:pos="1211" w:val="left" w:leader="none"/>
                          </w:tabs>
                          <w:spacing w:line="240" w:lineRule="auto" w:before="130"/>
                          <w:ind w:left="609" w:right="0"/>
                          <w:jc w:val="lef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t>-</w:t>
                        </w:r>
                        <w:r>
                          <w:rPr>
                            <w:rFonts w:ascii="Arial"/>
                            <w:sz w:val="20"/>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
                          <w:jc w:val="right"/>
                          <w:rPr>
                            <w:rFonts w:ascii="Arial" w:hAnsi="Arial" w:cs="Arial" w:eastAsia="Arial" w:hint="default"/>
                            <w:sz w:val="20"/>
                            <w:szCs w:val="20"/>
                          </w:rPr>
                        </w:pPr>
                        <w:r>
                          <w:rPr>
                            <w:rFonts w:ascii="Arial"/>
                            <w:w w:val="99"/>
                            <w:sz w:val="20"/>
                          </w:rPr>
                        </w:r>
                        <w:r>
                          <w:rPr>
                            <w:rFonts w:ascii="Arial"/>
                            <w:spacing w:val="-1"/>
                            <w:sz w:val="20"/>
                            <w:u w:val="thick" w:color="000000"/>
                          </w:rPr>
                          <w:t>508,236,871</w:t>
                        </w:r>
                        <w:r>
                          <w:rPr>
                            <w:rFonts w:ascii="Arial"/>
                            <w:spacing w:val="-1"/>
                            <w:sz w:val="20"/>
                          </w:rPr>
                        </w:r>
                        <w:r>
                          <w:rPr>
                            <w:rFonts w:ascii="Arial"/>
                            <w:sz w:val="20"/>
                          </w:rPr>
                        </w:r>
                      </w:p>
                    </w:tc>
                    <w:tc>
                      <w:tcPr>
                        <w:tcW w:w="278" w:type="dxa"/>
                        <w:tcBorders>
                          <w:top w:val="nil" w:sz="6" w:space="0" w:color="auto"/>
                          <w:left w:val="nil" w:sz="6" w:space="0" w:color="auto"/>
                          <w:bottom w:val="nil" w:sz="6" w:space="0" w:color="auto"/>
                          <w:right w:val="nil" w:sz="6" w:space="0" w:color="auto"/>
                        </w:tcBorders>
                      </w:tcPr>
                      <w:p>
                        <w:pPr/>
                      </w:p>
                    </w:tc>
                  </w:tr>
                  <w:tr>
                    <w:trPr>
                      <w:trHeight w:val="365"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00" w:right="0"/>
                          <w:jc w:val="left"/>
                          <w:rPr>
                            <w:rFonts w:ascii="黑体" w:hAnsi="黑体" w:cs="黑体" w:eastAsia="黑体" w:hint="default"/>
                            <w:sz w:val="20"/>
                            <w:szCs w:val="20"/>
                          </w:rPr>
                        </w:pPr>
                        <w:r>
                          <w:rPr>
                            <w:rFonts w:ascii="黑体" w:hAnsi="黑体" w:cs="黑体" w:eastAsia="黑体" w:hint="default"/>
                            <w:sz w:val="20"/>
                            <w:szCs w:val="20"/>
                          </w:rPr>
                          <w:t>累计摊销</w:t>
                        </w:r>
                      </w:p>
                    </w:tc>
                    <w:tc>
                      <w:tcPr>
                        <w:tcW w:w="1202"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
                    </w:tc>
                    <w:tc>
                      <w:tcPr>
                        <w:tcW w:w="369"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
                    </w:tc>
                    <w:tc>
                      <w:tcPr>
                        <w:tcW w:w="66"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
                    </w:tc>
                    <w:tc>
                      <w:tcPr>
                        <w:tcW w:w="278" w:type="dxa"/>
                        <w:tcBorders>
                          <w:top w:val="nil" w:sz="6" w:space="0" w:color="auto"/>
                          <w:left w:val="nil" w:sz="6" w:space="0" w:color="auto"/>
                          <w:bottom w:val="nil" w:sz="6" w:space="0" w:color="auto"/>
                          <w:right w:val="nil" w:sz="6" w:space="0" w:color="auto"/>
                        </w:tcBorders>
                      </w:tcPr>
                      <w:p>
                        <w:pPr/>
                      </w:p>
                    </w:tc>
                  </w:tr>
                  <w:tr>
                    <w:trPr>
                      <w:trHeight w:val="271"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52" w:lineRule="exact"/>
                          <w:ind w:left="211" w:right="0"/>
                          <w:jc w:val="left"/>
                          <w:rPr>
                            <w:rFonts w:ascii="黑体" w:hAnsi="黑体" w:cs="黑体" w:eastAsia="黑体" w:hint="default"/>
                            <w:sz w:val="20"/>
                            <w:szCs w:val="20"/>
                          </w:rPr>
                        </w:pPr>
                        <w:r>
                          <w:rPr>
                            <w:rFonts w:ascii="黑体" w:hAnsi="黑体" w:cs="黑体" w:eastAsia="黑体" w:hint="default"/>
                            <w:sz w:val="20"/>
                            <w:szCs w:val="20"/>
                          </w:rPr>
                          <w:t>土地使用权</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right"/>
                          <w:rPr>
                            <w:rFonts w:ascii="Arial" w:hAnsi="Arial" w:cs="Arial" w:eastAsia="Arial" w:hint="default"/>
                            <w:sz w:val="20"/>
                            <w:szCs w:val="20"/>
                          </w:rPr>
                        </w:pPr>
                        <w:r>
                          <w:rPr>
                            <w:rFonts w:ascii="Arial"/>
                            <w:sz w:val="20"/>
                          </w:rPr>
                          <w:t>(</w:t>
                        </w:r>
                        <w:r>
                          <w:rPr>
                            <w:rFonts w:ascii="Arial"/>
                            <w:spacing w:val="-9"/>
                            <w:sz w:val="20"/>
                          </w:rPr>
                          <w:t> </w:t>
                        </w:r>
                        <w:r>
                          <w:rPr>
                            <w:rFonts w:ascii="Arial"/>
                            <w:sz w:val="20"/>
                          </w:rPr>
                          <w:t>23,548,922</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7" w:right="0"/>
                          <w:jc w:val="left"/>
                          <w:rPr>
                            <w:rFonts w:ascii="Arial" w:hAnsi="Arial" w:cs="Arial" w:eastAsia="Arial" w:hint="default"/>
                            <w:sz w:val="20"/>
                            <w:szCs w:val="20"/>
                          </w:rPr>
                        </w:pPr>
                        <w:r>
                          <w:rPr>
                            <w:rFonts w:ascii="Arial"/>
                            <w:w w:val="99"/>
                            <w:sz w:val="20"/>
                          </w:rPr>
                          <w:t>)</w:t>
                        </w:r>
                        <w:r>
                          <w:rPr>
                            <w:rFonts w:ascii="Arial"/>
                            <w:sz w:val="20"/>
                          </w:rPr>
                        </w:r>
                      </w:p>
                    </w:tc>
                    <w:tc>
                      <w:tcPr>
                        <w:tcW w:w="36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center"/>
                          <w:rPr>
                            <w:rFonts w:ascii="Arial" w:hAnsi="Arial" w:cs="Arial" w:eastAsia="Arial" w:hint="default"/>
                            <w:sz w:val="20"/>
                            <w:szCs w:val="20"/>
                          </w:rPr>
                        </w:pPr>
                        <w:r>
                          <w:rPr>
                            <w:rFonts w:ascii="Arial"/>
                            <w:w w:val="99"/>
                            <w:sz w:val="20"/>
                          </w:rPr>
                          <w:t>-</w:t>
                        </w:r>
                        <w:r>
                          <w:rPr>
                            <w:rFonts w:ascii="Arial"/>
                            <w:sz w:val="20"/>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right"/>
                          <w:rPr>
                            <w:rFonts w:ascii="Arial" w:hAnsi="Arial" w:cs="Arial" w:eastAsia="Arial" w:hint="default"/>
                            <w:sz w:val="20"/>
                            <w:szCs w:val="20"/>
                          </w:rPr>
                        </w:pPr>
                        <w:r>
                          <w:rPr>
                            <w:rFonts w:ascii="Arial"/>
                            <w:sz w:val="20"/>
                          </w:rPr>
                          <w:t>( </w:t>
                        </w:r>
                        <w:r>
                          <w:rPr>
                            <w:rFonts w:ascii="Arial"/>
                            <w:spacing w:val="22"/>
                            <w:sz w:val="20"/>
                          </w:rPr>
                          <w:t> </w:t>
                        </w:r>
                        <w:r>
                          <w:rPr>
                            <w:rFonts w:ascii="Arial"/>
                            <w:sz w:val="20"/>
                          </w:rPr>
                          <w:t>7,032,434</w:t>
                        </w:r>
                      </w:p>
                    </w:tc>
                    <w:tc>
                      <w:tcPr>
                        <w:tcW w:w="66"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0"/>
                          <w:jc w:val="right"/>
                          <w:rPr>
                            <w:rFonts w:ascii="Arial" w:hAnsi="Arial" w:cs="Arial" w:eastAsia="Arial" w:hint="default"/>
                            <w:sz w:val="20"/>
                            <w:szCs w:val="20"/>
                          </w:rPr>
                        </w:pPr>
                        <w:r>
                          <w:rPr>
                            <w:rFonts w:ascii="Arial"/>
                            <w:w w:val="99"/>
                            <w:sz w:val="20"/>
                          </w:rPr>
                          <w:t>-</w:t>
                        </w:r>
                        <w:r>
                          <w:rPr>
                            <w:rFonts w:ascii="Arial"/>
                            <w:sz w:val="20"/>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
                          <w:jc w:val="right"/>
                          <w:rPr>
                            <w:rFonts w:ascii="Arial" w:hAnsi="Arial" w:cs="Arial" w:eastAsia="Arial" w:hint="default"/>
                            <w:sz w:val="20"/>
                            <w:szCs w:val="20"/>
                          </w:rPr>
                        </w:pPr>
                        <w:r>
                          <w:rPr>
                            <w:rFonts w:ascii="Arial"/>
                            <w:sz w:val="20"/>
                          </w:rPr>
                          <w:t>( </w:t>
                        </w:r>
                        <w:r>
                          <w:rPr>
                            <w:rFonts w:ascii="Arial"/>
                            <w:spacing w:val="9"/>
                            <w:sz w:val="20"/>
                          </w:rPr>
                          <w:t> </w:t>
                        </w:r>
                        <w:r>
                          <w:rPr>
                            <w:rFonts w:ascii="Arial"/>
                            <w:sz w:val="20"/>
                          </w:rPr>
                          <w:t>30,581,356</w:t>
                        </w:r>
                      </w:p>
                    </w:tc>
                    <w:tc>
                      <w:tcPr>
                        <w:tcW w:w="27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1" w:right="0"/>
                          <w:jc w:val="left"/>
                          <w:rPr>
                            <w:rFonts w:ascii="Arial" w:hAnsi="Arial" w:cs="Arial" w:eastAsia="Arial" w:hint="default"/>
                            <w:sz w:val="20"/>
                            <w:szCs w:val="20"/>
                          </w:rPr>
                        </w:pPr>
                        <w:r>
                          <w:rPr>
                            <w:rFonts w:ascii="Arial"/>
                            <w:w w:val="99"/>
                            <w:sz w:val="20"/>
                          </w:rPr>
                          <w:t>)</w:t>
                        </w:r>
                        <w:r>
                          <w:rPr>
                            <w:rFonts w:ascii="Arial"/>
                            <w:sz w:val="20"/>
                          </w:rPr>
                        </w:r>
                      </w:p>
                    </w:tc>
                  </w:tr>
                  <w:tr>
                    <w:trPr>
                      <w:trHeight w:val="268"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35" w:lineRule="exact"/>
                          <w:ind w:left="211" w:right="0"/>
                          <w:jc w:val="left"/>
                          <w:rPr>
                            <w:rFonts w:ascii="黑体" w:hAnsi="黑体" w:cs="黑体" w:eastAsia="黑体" w:hint="default"/>
                            <w:sz w:val="20"/>
                            <w:szCs w:val="20"/>
                          </w:rPr>
                        </w:pPr>
                        <w:r>
                          <w:rPr>
                            <w:rFonts w:ascii="黑体" w:hAnsi="黑体" w:cs="黑体" w:eastAsia="黑体" w:hint="default"/>
                            <w:sz w:val="20"/>
                            <w:szCs w:val="20"/>
                          </w:rPr>
                          <w:t>软件使用权</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0"/>
                          <w:jc w:val="right"/>
                          <w:rPr>
                            <w:rFonts w:ascii="Arial" w:hAnsi="Arial" w:cs="Arial" w:eastAsia="Arial" w:hint="default"/>
                            <w:sz w:val="20"/>
                            <w:szCs w:val="20"/>
                          </w:rPr>
                        </w:pPr>
                        <w:r>
                          <w:rPr>
                            <w:rFonts w:ascii="Arial"/>
                            <w:sz w:val="20"/>
                          </w:rPr>
                          <w:t>(</w:t>
                        </w:r>
                        <w:r>
                          <w:rPr>
                            <w:rFonts w:ascii="Arial"/>
                            <w:spacing w:val="-9"/>
                            <w:sz w:val="20"/>
                          </w:rPr>
                          <w:t> </w:t>
                        </w:r>
                        <w:r>
                          <w:rPr>
                            <w:rFonts w:ascii="Arial"/>
                            <w:sz w:val="20"/>
                          </w:rPr>
                          <w:t>19,783,204</w:t>
                        </w:r>
                      </w:p>
                    </w:tc>
                    <w:tc>
                      <w:tcPr>
                        <w:tcW w:w="1200" w:type="dxa"/>
                        <w:tcBorders>
                          <w:top w:val="nil" w:sz="6" w:space="0" w:color="auto"/>
                          <w:left w:val="nil" w:sz="6" w:space="0" w:color="auto"/>
                          <w:bottom w:val="nil" w:sz="6" w:space="0" w:color="auto"/>
                          <w:right w:val="nil" w:sz="6" w:space="0" w:color="auto"/>
                        </w:tcBorders>
                      </w:tcPr>
                      <w:p>
                        <w:pPr>
                          <w:pStyle w:val="TableParagraph"/>
                          <w:spacing w:line="213" w:lineRule="exact"/>
                          <w:ind w:left="17" w:right="0"/>
                          <w:jc w:val="left"/>
                          <w:rPr>
                            <w:rFonts w:ascii="Arial" w:hAnsi="Arial" w:cs="Arial" w:eastAsia="Arial" w:hint="default"/>
                            <w:sz w:val="20"/>
                            <w:szCs w:val="20"/>
                          </w:rPr>
                        </w:pPr>
                        <w:r>
                          <w:rPr>
                            <w:rFonts w:ascii="Arial"/>
                            <w:w w:val="99"/>
                            <w:sz w:val="20"/>
                          </w:rPr>
                          <w:t>)</w:t>
                        </w:r>
                        <w:r>
                          <w:rPr>
                            <w:rFonts w:ascii="Arial"/>
                            <w:sz w:val="20"/>
                          </w:rPr>
                        </w:r>
                      </w:p>
                    </w:tc>
                    <w:tc>
                      <w:tcPr>
                        <w:tcW w:w="36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0"/>
                          <w:jc w:val="center"/>
                          <w:rPr>
                            <w:rFonts w:ascii="Arial" w:hAnsi="Arial" w:cs="Arial" w:eastAsia="Arial" w:hint="default"/>
                            <w:sz w:val="20"/>
                            <w:szCs w:val="20"/>
                          </w:rPr>
                        </w:pPr>
                        <w:r>
                          <w:rPr>
                            <w:rFonts w:ascii="Arial"/>
                            <w:w w:val="99"/>
                            <w:sz w:val="20"/>
                          </w:rPr>
                          <w:t>-</w:t>
                        </w:r>
                        <w:r>
                          <w:rPr>
                            <w:rFonts w:ascii="Arial"/>
                            <w:sz w:val="20"/>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
                          <w:jc w:val="right"/>
                          <w:rPr>
                            <w:rFonts w:ascii="Arial" w:hAnsi="Arial" w:cs="Arial" w:eastAsia="Arial" w:hint="default"/>
                            <w:sz w:val="20"/>
                            <w:szCs w:val="20"/>
                          </w:rPr>
                        </w:pPr>
                        <w:r>
                          <w:rPr>
                            <w:rFonts w:ascii="Arial"/>
                            <w:sz w:val="20"/>
                          </w:rPr>
                          <w:t>( </w:t>
                        </w:r>
                        <w:r>
                          <w:rPr>
                            <w:rFonts w:ascii="Arial"/>
                            <w:spacing w:val="17"/>
                            <w:sz w:val="20"/>
                          </w:rPr>
                          <w:t> </w:t>
                        </w:r>
                        <w:r>
                          <w:rPr>
                            <w:rFonts w:ascii="Arial"/>
                            <w:sz w:val="20"/>
                          </w:rPr>
                          <w:t>2,425,866</w:t>
                        </w:r>
                      </w:p>
                    </w:tc>
                    <w:tc>
                      <w:tcPr>
                        <w:tcW w:w="66"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70"/>
                          <w:jc w:val="right"/>
                          <w:rPr>
                            <w:rFonts w:ascii="Arial" w:hAnsi="Arial" w:cs="Arial" w:eastAsia="Arial" w:hint="default"/>
                            <w:sz w:val="20"/>
                            <w:szCs w:val="20"/>
                          </w:rPr>
                        </w:pPr>
                        <w:r>
                          <w:rPr>
                            <w:rFonts w:ascii="Arial"/>
                            <w:w w:val="99"/>
                            <w:sz w:val="20"/>
                          </w:rPr>
                          <w:t>-</w:t>
                        </w:r>
                        <w:r>
                          <w:rPr>
                            <w:rFonts w:ascii="Arial"/>
                            <w:sz w:val="20"/>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0"/>
                          <w:jc w:val="right"/>
                          <w:rPr>
                            <w:rFonts w:ascii="Arial" w:hAnsi="Arial" w:cs="Arial" w:eastAsia="Arial" w:hint="default"/>
                            <w:sz w:val="20"/>
                            <w:szCs w:val="20"/>
                          </w:rPr>
                        </w:pPr>
                        <w:r>
                          <w:rPr>
                            <w:rFonts w:ascii="Arial"/>
                            <w:sz w:val="20"/>
                          </w:rPr>
                          <w:t>( </w:t>
                        </w:r>
                        <w:r>
                          <w:rPr>
                            <w:rFonts w:ascii="Arial"/>
                            <w:spacing w:val="20"/>
                            <w:sz w:val="20"/>
                          </w:rPr>
                          <w:t> </w:t>
                        </w:r>
                        <w:r>
                          <w:rPr>
                            <w:rFonts w:ascii="Arial"/>
                            <w:sz w:val="20"/>
                          </w:rPr>
                          <w:t>22,209,070</w:t>
                        </w:r>
                      </w:p>
                    </w:tc>
                    <w:tc>
                      <w:tcPr>
                        <w:tcW w:w="278" w:type="dxa"/>
                        <w:tcBorders>
                          <w:top w:val="nil" w:sz="6" w:space="0" w:color="auto"/>
                          <w:left w:val="nil" w:sz="6" w:space="0" w:color="auto"/>
                          <w:bottom w:val="nil" w:sz="6" w:space="0" w:color="auto"/>
                          <w:right w:val="nil" w:sz="6" w:space="0" w:color="auto"/>
                        </w:tcBorders>
                      </w:tcPr>
                      <w:p>
                        <w:pPr>
                          <w:pStyle w:val="TableParagraph"/>
                          <w:spacing w:line="213" w:lineRule="exact"/>
                          <w:ind w:left="11" w:right="0"/>
                          <w:jc w:val="left"/>
                          <w:rPr>
                            <w:rFonts w:ascii="Arial" w:hAnsi="Arial" w:cs="Arial" w:eastAsia="Arial" w:hint="default"/>
                            <w:sz w:val="20"/>
                            <w:szCs w:val="20"/>
                          </w:rPr>
                        </w:pPr>
                        <w:r>
                          <w:rPr>
                            <w:rFonts w:ascii="Arial"/>
                            <w:w w:val="99"/>
                            <w:sz w:val="20"/>
                          </w:rPr>
                          <w:t>)</w:t>
                        </w:r>
                        <w:r>
                          <w:rPr>
                            <w:rFonts w:ascii="Arial"/>
                            <w:sz w:val="20"/>
                          </w:rPr>
                        </w:r>
                      </w:p>
                    </w:tc>
                  </w:tr>
                  <w:tr>
                    <w:trPr>
                      <w:trHeight w:val="388"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22" w:lineRule="exact"/>
                          <w:ind w:left="211" w:right="0"/>
                          <w:jc w:val="left"/>
                          <w:rPr>
                            <w:rFonts w:ascii="黑体" w:hAnsi="黑体" w:cs="黑体" w:eastAsia="黑体" w:hint="default"/>
                            <w:sz w:val="20"/>
                            <w:szCs w:val="20"/>
                          </w:rPr>
                        </w:pPr>
                        <w:r>
                          <w:rPr>
                            <w:rFonts w:ascii="黑体" w:hAnsi="黑体" w:cs="黑体" w:eastAsia="黑体" w:hint="default"/>
                            <w:sz w:val="20"/>
                            <w:szCs w:val="20"/>
                          </w:rPr>
                          <w:t>软件著作权</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right"/>
                          <w:rPr>
                            <w:rFonts w:ascii="Arial" w:hAnsi="Arial" w:cs="Arial" w:eastAsia="Arial" w:hint="default"/>
                            <w:sz w:val="20"/>
                            <w:szCs w:val="20"/>
                          </w:rPr>
                        </w:pPr>
                        <w:r>
                          <w:rPr>
                            <w:rFonts w:ascii="Arial"/>
                            <w:sz w:val="20"/>
                          </w:rPr>
                          <w:t>(</w:t>
                        </w:r>
                        <w:r>
                          <w:rPr>
                            <w:rFonts w:ascii="Arial"/>
                            <w:spacing w:val="-9"/>
                            <w:sz w:val="20"/>
                          </w:rPr>
                          <w:t> </w:t>
                        </w:r>
                        <w:r>
                          <w:rPr>
                            <w:rFonts w:ascii="Arial"/>
                            <w:sz w:val="20"/>
                            <w:u w:val="single" w:color="000000"/>
                          </w:rPr>
                          <w:t>35,408,196</w:t>
                        </w:r>
                        <w:r>
                          <w:rPr>
                            <w:rFonts w:ascii="Arial"/>
                            <w:sz w:val="20"/>
                          </w:rPr>
                        </w:r>
                      </w:p>
                    </w:tc>
                    <w:tc>
                      <w:tcPr>
                        <w:tcW w:w="1200" w:type="dxa"/>
                        <w:tcBorders>
                          <w:top w:val="nil" w:sz="6" w:space="0" w:color="auto"/>
                          <w:left w:val="nil" w:sz="6" w:space="0" w:color="auto"/>
                          <w:bottom w:val="nil" w:sz="6" w:space="0" w:color="auto"/>
                          <w:right w:val="nil" w:sz="6" w:space="0" w:color="auto"/>
                        </w:tcBorders>
                      </w:tcPr>
                      <w:p>
                        <w:pPr>
                          <w:pStyle w:val="TableParagraph"/>
                          <w:tabs>
                            <w:tab w:pos="451" w:val="left" w:leader="none"/>
                            <w:tab w:pos="1353" w:val="left" w:leader="none"/>
                          </w:tabs>
                          <w:spacing w:line="240" w:lineRule="auto" w:before="6"/>
                          <w:ind w:right="-154"/>
                          <w:jc w:val="left"/>
                          <w:rPr>
                            <w:rFonts w:ascii="Arial" w:hAnsi="Arial" w:cs="Arial" w:eastAsia="Arial" w:hint="default"/>
                            <w:sz w:val="20"/>
                            <w:szCs w:val="20"/>
                          </w:rPr>
                        </w:pPr>
                        <w:r>
                          <w:rPr>
                            <w:rFonts w:ascii="Arial"/>
                            <w:sz w:val="20"/>
                          </w:rPr>
                          <w:t>)</w:t>
                          <w:tab/>
                        </w:r>
                        <w:r>
                          <w:rPr>
                            <w:rFonts w:ascii="Arial"/>
                            <w:w w:val="99"/>
                            <w:sz w:val="20"/>
                          </w:rPr>
                        </w:r>
                        <w:r>
                          <w:rPr>
                            <w:rFonts w:ascii="Arial"/>
                            <w:w w:val="99"/>
                            <w:sz w:val="20"/>
                            <w:u w:val="single" w:color="000000"/>
                          </w:rPr>
                          <w:t> </w:t>
                        </w:r>
                        <w:r>
                          <w:rPr>
                            <w:rFonts w:ascii="Arial"/>
                            <w:sz w:val="20"/>
                            <w:u w:val="single" w:color="000000"/>
                          </w:rPr>
                          <w:tab/>
                        </w:r>
                        <w:r>
                          <w:rPr>
                            <w:rFonts w:ascii="Arial"/>
                            <w:sz w:val="20"/>
                          </w:rPr>
                        </w:r>
                      </w:p>
                    </w:tc>
                    <w:tc>
                      <w:tcPr>
                        <w:tcW w:w="369" w:type="dxa"/>
                        <w:tcBorders>
                          <w:top w:val="nil" w:sz="6" w:space="0" w:color="auto"/>
                          <w:left w:val="nil" w:sz="6" w:space="0" w:color="auto"/>
                          <w:bottom w:val="nil" w:sz="6" w:space="0" w:color="auto"/>
                          <w:right w:val="nil" w:sz="6" w:space="0" w:color="auto"/>
                        </w:tcBorders>
                      </w:tcPr>
                      <w:p>
                        <w:pPr>
                          <w:pStyle w:val="TableParagraph"/>
                          <w:spacing w:line="240" w:lineRule="auto" w:before="6"/>
                          <w:ind w:left="4" w:right="0"/>
                          <w:jc w:val="center"/>
                          <w:rPr>
                            <w:rFonts w:ascii="Arial" w:hAnsi="Arial" w:cs="Arial" w:eastAsia="Arial" w:hint="default"/>
                            <w:sz w:val="20"/>
                            <w:szCs w:val="20"/>
                          </w:rPr>
                        </w:pPr>
                        <w:r>
                          <w:rPr>
                            <w:rFonts w:ascii="Arial"/>
                            <w:w w:val="99"/>
                            <w:sz w:val="20"/>
                          </w:rPr>
                        </w:r>
                        <w:r>
                          <w:rPr>
                            <w:rFonts w:ascii="Arial"/>
                            <w:w w:val="99"/>
                            <w:sz w:val="20"/>
                            <w:u w:val="single" w:color="000000"/>
                          </w:rPr>
                          <w:t>-</w:t>
                        </w:r>
                        <w:r>
                          <w:rPr>
                            <w:rFonts w:ascii="Arial"/>
                            <w:w w:val="99"/>
                            <w:sz w:val="20"/>
                          </w:rPr>
                        </w:r>
                        <w:r>
                          <w:rPr>
                            <w:rFonts w:ascii="Arial"/>
                            <w:sz w:val="20"/>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
                          <w:jc w:val="right"/>
                          <w:rPr>
                            <w:rFonts w:ascii="Arial" w:hAnsi="Arial" w:cs="Arial" w:eastAsia="Arial" w:hint="default"/>
                            <w:sz w:val="20"/>
                            <w:szCs w:val="20"/>
                          </w:rPr>
                        </w:pPr>
                        <w:r>
                          <w:rPr>
                            <w:rFonts w:ascii="Arial"/>
                            <w:sz w:val="20"/>
                          </w:rPr>
                          <w:t>(</w:t>
                        </w:r>
                        <w:r>
                          <w:rPr>
                            <w:rFonts w:ascii="Arial"/>
                            <w:spacing w:val="-24"/>
                            <w:sz w:val="20"/>
                          </w:rPr>
                          <w:t> </w:t>
                        </w:r>
                        <w:r>
                          <w:rPr>
                            <w:rFonts w:ascii="Arial"/>
                            <w:sz w:val="20"/>
                            <w:u w:val="single" w:color="000000"/>
                          </w:rPr>
                          <w:t>15,716,171</w:t>
                        </w:r>
                        <w:r>
                          <w:rPr>
                            <w:rFonts w:ascii="Arial"/>
                            <w:sz w:val="20"/>
                          </w:rPr>
                        </w:r>
                      </w:p>
                    </w:tc>
                    <w:tc>
                      <w:tcPr>
                        <w:tcW w:w="66"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6"/>
                          <w:ind w:right="167"/>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
                          <w:jc w:val="right"/>
                          <w:rPr>
                            <w:rFonts w:ascii="Arial" w:hAnsi="Arial" w:cs="Arial" w:eastAsia="Arial" w:hint="default"/>
                            <w:sz w:val="20"/>
                            <w:szCs w:val="20"/>
                          </w:rPr>
                        </w:pPr>
                        <w:r>
                          <w:rPr>
                            <w:rFonts w:ascii="Arial"/>
                            <w:sz w:val="20"/>
                          </w:rPr>
                          <w:t>( </w:t>
                        </w:r>
                        <w:r>
                          <w:rPr>
                            <w:rFonts w:ascii="Arial"/>
                            <w:spacing w:val="9"/>
                            <w:sz w:val="20"/>
                          </w:rPr>
                          <w:t> </w:t>
                        </w:r>
                        <w:r>
                          <w:rPr>
                            <w:rFonts w:ascii="Arial"/>
                            <w:spacing w:val="9"/>
                            <w:sz w:val="20"/>
                            <w:u w:val="single" w:color="000000"/>
                          </w:rPr>
                          <w:t> </w:t>
                        </w:r>
                        <w:r>
                          <w:rPr>
                            <w:rFonts w:ascii="Arial"/>
                            <w:sz w:val="20"/>
                            <w:u w:val="single" w:color="000000"/>
                          </w:rPr>
                          <w:t>51,124,367</w:t>
                        </w:r>
                        <w:r>
                          <w:rPr>
                            <w:rFonts w:ascii="Arial"/>
                            <w:sz w:val="20"/>
                          </w:rPr>
                        </w:r>
                      </w:p>
                    </w:tc>
                    <w:tc>
                      <w:tcPr>
                        <w:tcW w:w="278" w:type="dxa"/>
                        <w:tcBorders>
                          <w:top w:val="nil" w:sz="6" w:space="0" w:color="auto"/>
                          <w:left w:val="nil" w:sz="6" w:space="0" w:color="auto"/>
                          <w:bottom w:val="nil" w:sz="6" w:space="0" w:color="auto"/>
                          <w:right w:val="nil" w:sz="6" w:space="0" w:color="auto"/>
                        </w:tcBorders>
                      </w:tcPr>
                      <w:p>
                        <w:pPr>
                          <w:pStyle w:val="TableParagraph"/>
                          <w:spacing w:line="240" w:lineRule="auto" w:before="6"/>
                          <w:ind w:left="11" w:right="0"/>
                          <w:jc w:val="left"/>
                          <w:rPr>
                            <w:rFonts w:ascii="Arial" w:hAnsi="Arial" w:cs="Arial" w:eastAsia="Arial" w:hint="default"/>
                            <w:sz w:val="20"/>
                            <w:szCs w:val="20"/>
                          </w:rPr>
                        </w:pPr>
                        <w:r>
                          <w:rPr>
                            <w:rFonts w:ascii="Arial"/>
                            <w:w w:val="99"/>
                            <w:sz w:val="20"/>
                          </w:rPr>
                          <w:t>)</w:t>
                        </w:r>
                        <w:r>
                          <w:rPr>
                            <w:rFonts w:ascii="Arial"/>
                            <w:sz w:val="20"/>
                          </w:rPr>
                        </w:r>
                      </w:p>
                    </w:tc>
                  </w:tr>
                  <w:tr>
                    <w:trPr>
                      <w:trHeight w:val="494" w:hRule="exact"/>
                    </w:trPr>
                    <w:tc>
                      <w:tcPr>
                        <w:tcW w:w="1266"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0"/>
                          <w:jc w:val="right"/>
                          <w:rPr>
                            <w:rFonts w:ascii="Arial" w:hAnsi="Arial" w:cs="Arial" w:eastAsia="Arial" w:hint="default"/>
                            <w:sz w:val="20"/>
                            <w:szCs w:val="20"/>
                          </w:rPr>
                        </w:pPr>
                        <w:r>
                          <w:rPr>
                            <w:rFonts w:ascii="Arial"/>
                            <w:sz w:val="20"/>
                          </w:rPr>
                          <w:t>( </w:t>
                        </w:r>
                        <w:r>
                          <w:rPr>
                            <w:rFonts w:ascii="Arial"/>
                            <w:sz w:val="20"/>
                            <w:u w:val="thick" w:color="000000"/>
                          </w:rPr>
                          <w:t> 78,740,322</w:t>
                        </w:r>
                        <w:r>
                          <w:rPr>
                            <w:rFonts w:ascii="Arial"/>
                            <w:sz w:val="20"/>
                          </w:rPr>
                        </w:r>
                      </w:p>
                    </w:tc>
                    <w:tc>
                      <w:tcPr>
                        <w:tcW w:w="1200" w:type="dxa"/>
                        <w:tcBorders>
                          <w:top w:val="nil" w:sz="6" w:space="0" w:color="auto"/>
                          <w:left w:val="nil" w:sz="6" w:space="0" w:color="auto"/>
                          <w:bottom w:val="nil" w:sz="6" w:space="0" w:color="auto"/>
                          <w:right w:val="nil" w:sz="6" w:space="0" w:color="auto"/>
                        </w:tcBorders>
                      </w:tcPr>
                      <w:p>
                        <w:pPr>
                          <w:pStyle w:val="TableParagraph"/>
                          <w:tabs>
                            <w:tab w:pos="451" w:val="left" w:leader="none"/>
                            <w:tab w:pos="1353" w:val="left" w:leader="none"/>
                          </w:tabs>
                          <w:spacing w:line="240" w:lineRule="auto" w:before="130"/>
                          <w:ind w:right="-154"/>
                          <w:jc w:val="left"/>
                          <w:rPr>
                            <w:rFonts w:ascii="Arial" w:hAnsi="Arial" w:cs="Arial" w:eastAsia="Arial" w:hint="default"/>
                            <w:sz w:val="20"/>
                            <w:szCs w:val="20"/>
                          </w:rPr>
                        </w:pPr>
                        <w:r>
                          <w:rPr>
                            <w:rFonts w:ascii="Arial"/>
                            <w:sz w:val="20"/>
                          </w:rPr>
                          <w:t>)</w:t>
                          <w:tab/>
                        </w:r>
                        <w:r>
                          <w:rPr>
                            <w:rFonts w:ascii="Arial"/>
                            <w:w w:val="99"/>
                            <w:sz w:val="20"/>
                          </w:rPr>
                        </w:r>
                        <w:r>
                          <w:rPr>
                            <w:rFonts w:ascii="Arial"/>
                            <w:w w:val="99"/>
                            <w:sz w:val="20"/>
                            <w:u w:val="thick" w:color="000000"/>
                          </w:rPr>
                          <w:t> </w:t>
                        </w:r>
                        <w:r>
                          <w:rPr>
                            <w:rFonts w:ascii="Arial"/>
                            <w:sz w:val="20"/>
                            <w:u w:val="thick" w:color="000000"/>
                          </w:rPr>
                          <w:tab/>
                        </w:r>
                        <w:r>
                          <w:rPr>
                            <w:rFonts w:ascii="Arial"/>
                            <w:sz w:val="20"/>
                          </w:rPr>
                        </w:r>
                      </w:p>
                    </w:tc>
                    <w:tc>
                      <w:tcPr>
                        <w:tcW w:w="369"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4" w:right="0"/>
                          <w:jc w:val="center"/>
                          <w:rPr>
                            <w:rFonts w:ascii="Arial" w:hAnsi="Arial" w:cs="Arial" w:eastAsia="Arial" w:hint="default"/>
                            <w:sz w:val="20"/>
                            <w:szCs w:val="20"/>
                          </w:rPr>
                        </w:pPr>
                        <w:r>
                          <w:rPr>
                            <w:rFonts w:ascii="Arial"/>
                            <w:w w:val="99"/>
                            <w:sz w:val="20"/>
                          </w:rPr>
                        </w:r>
                        <w:r>
                          <w:rPr>
                            <w:rFonts w:ascii="Arial"/>
                            <w:w w:val="99"/>
                            <w:sz w:val="20"/>
                            <w:u w:val="thick" w:color="000000"/>
                          </w:rPr>
                          <w:t>-</w:t>
                        </w:r>
                        <w:r>
                          <w:rPr>
                            <w:rFonts w:ascii="Arial"/>
                            <w:w w:val="99"/>
                            <w:sz w:val="20"/>
                          </w:rPr>
                        </w:r>
                        <w:r>
                          <w:rPr>
                            <w:rFonts w:ascii="Arial"/>
                            <w:sz w:val="20"/>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
                          <w:jc w:val="right"/>
                          <w:rPr>
                            <w:rFonts w:ascii="Arial" w:hAnsi="Arial" w:cs="Arial" w:eastAsia="Arial" w:hint="default"/>
                            <w:sz w:val="20"/>
                            <w:szCs w:val="20"/>
                          </w:rPr>
                        </w:pPr>
                        <w:r>
                          <w:rPr>
                            <w:rFonts w:ascii="Arial"/>
                            <w:spacing w:val="-1"/>
                            <w:sz w:val="20"/>
                          </w:rPr>
                          <w:t>(</w:t>
                        </w:r>
                        <w:r>
                          <w:rPr>
                            <w:rFonts w:ascii="Arial"/>
                            <w:spacing w:val="-1"/>
                            <w:sz w:val="20"/>
                            <w:u w:val="thick" w:color="000000"/>
                          </w:rPr>
                          <w:t>25,174,471</w:t>
                        </w:r>
                        <w:r>
                          <w:rPr>
                            <w:rFonts w:ascii="Arial"/>
                            <w:spacing w:val="-1"/>
                            <w:sz w:val="20"/>
                          </w:rPr>
                        </w:r>
                        <w:r>
                          <w:rPr>
                            <w:rFonts w:ascii="Arial"/>
                            <w:sz w:val="20"/>
                          </w:rPr>
                        </w:r>
                      </w:p>
                    </w:tc>
                    <w:tc>
                      <w:tcPr>
                        <w:tcW w:w="66"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130"/>
                          <w:ind w:right="167"/>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w w:val="95"/>
                            <w:sz w:val="20"/>
                            <w:u w:val="thick" w:color="000000"/>
                          </w:rPr>
                          <w:t>-</w:t>
                        </w:r>
                        <w:r>
                          <w:rPr>
                            <w:rFonts w:ascii="Arial"/>
                            <w:w w:val="95"/>
                            <w:sz w:val="20"/>
                          </w:rPr>
                        </w:r>
                        <w:r>
                          <w:rPr>
                            <w:rFonts w:ascii="Arial"/>
                            <w:sz w:val="20"/>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
                          <w:jc w:val="right"/>
                          <w:rPr>
                            <w:rFonts w:ascii="Arial" w:hAnsi="Arial" w:cs="Arial" w:eastAsia="Arial" w:hint="default"/>
                            <w:sz w:val="20"/>
                            <w:szCs w:val="20"/>
                          </w:rPr>
                        </w:pPr>
                        <w:r>
                          <w:rPr>
                            <w:rFonts w:ascii="Arial"/>
                            <w:spacing w:val="-1"/>
                            <w:sz w:val="20"/>
                          </w:rPr>
                          <w:t>(</w:t>
                        </w:r>
                        <w:r>
                          <w:rPr>
                            <w:rFonts w:ascii="Arial"/>
                            <w:spacing w:val="-1"/>
                            <w:sz w:val="20"/>
                            <w:u w:val="thick" w:color="000000"/>
                          </w:rPr>
                          <w:t>103,914,793</w:t>
                        </w:r>
                        <w:r>
                          <w:rPr>
                            <w:rFonts w:ascii="Arial"/>
                            <w:spacing w:val="-1"/>
                            <w:sz w:val="20"/>
                          </w:rPr>
                        </w:r>
                        <w:r>
                          <w:rPr>
                            <w:rFonts w:ascii="Arial"/>
                            <w:sz w:val="20"/>
                          </w:rPr>
                        </w:r>
                      </w:p>
                    </w:tc>
                    <w:tc>
                      <w:tcPr>
                        <w:tcW w:w="278"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1" w:right="0"/>
                          <w:jc w:val="left"/>
                          <w:rPr>
                            <w:rFonts w:ascii="Arial" w:hAnsi="Arial" w:cs="Arial" w:eastAsia="Arial" w:hint="default"/>
                            <w:sz w:val="20"/>
                            <w:szCs w:val="20"/>
                          </w:rPr>
                        </w:pPr>
                        <w:r>
                          <w:rPr>
                            <w:rFonts w:ascii="Arial"/>
                            <w:w w:val="99"/>
                            <w:sz w:val="20"/>
                          </w:rPr>
                          <w:t>)</w:t>
                        </w:r>
                        <w:r>
                          <w:rPr>
                            <w:rFonts w:ascii="Arial"/>
                            <w:sz w:val="20"/>
                          </w:rPr>
                        </w:r>
                      </w:p>
                    </w:tc>
                  </w:tr>
                  <w:tr>
                    <w:trPr>
                      <w:trHeight w:val="377"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00" w:right="0"/>
                          <w:jc w:val="left"/>
                          <w:rPr>
                            <w:rFonts w:ascii="黑体" w:hAnsi="黑体" w:cs="黑体" w:eastAsia="黑体" w:hint="default"/>
                            <w:sz w:val="20"/>
                            <w:szCs w:val="20"/>
                          </w:rPr>
                        </w:pPr>
                        <w:r>
                          <w:rPr>
                            <w:rFonts w:ascii="黑体" w:hAnsi="黑体" w:cs="黑体" w:eastAsia="黑体" w:hint="default"/>
                            <w:sz w:val="20"/>
                            <w:szCs w:val="20"/>
                          </w:rPr>
                          <w:t>账面净值</w:t>
                        </w:r>
                      </w:p>
                    </w:tc>
                    <w:tc>
                      <w:tcPr>
                        <w:tcW w:w="1202"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
                    </w:tc>
                    <w:tc>
                      <w:tcPr>
                        <w:tcW w:w="369"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
                    </w:tc>
                    <w:tc>
                      <w:tcPr>
                        <w:tcW w:w="66"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
                    </w:tc>
                    <w:tc>
                      <w:tcPr>
                        <w:tcW w:w="278" w:type="dxa"/>
                        <w:tcBorders>
                          <w:top w:val="nil" w:sz="6" w:space="0" w:color="auto"/>
                          <w:left w:val="nil" w:sz="6" w:space="0" w:color="auto"/>
                          <w:bottom w:val="nil" w:sz="6" w:space="0" w:color="auto"/>
                          <w:right w:val="nil" w:sz="6" w:space="0" w:color="auto"/>
                        </w:tcBorders>
                      </w:tcPr>
                      <w:p>
                        <w:pPr/>
                      </w:p>
                    </w:tc>
                  </w:tr>
                  <w:tr>
                    <w:trPr>
                      <w:trHeight w:val="271"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38" w:lineRule="exact"/>
                          <w:ind w:left="211" w:right="0"/>
                          <w:jc w:val="left"/>
                          <w:rPr>
                            <w:rFonts w:ascii="黑体" w:hAnsi="黑体" w:cs="黑体" w:eastAsia="黑体" w:hint="default"/>
                            <w:sz w:val="20"/>
                            <w:szCs w:val="20"/>
                          </w:rPr>
                        </w:pPr>
                        <w:r>
                          <w:rPr>
                            <w:rFonts w:ascii="黑体" w:hAnsi="黑体" w:cs="黑体" w:eastAsia="黑体" w:hint="default"/>
                            <w:sz w:val="20"/>
                            <w:szCs w:val="20"/>
                          </w:rPr>
                          <w:t>土地使用权</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right"/>
                          <w:rPr>
                            <w:rFonts w:ascii="Arial" w:hAnsi="Arial" w:cs="Arial" w:eastAsia="Arial" w:hint="default"/>
                            <w:sz w:val="20"/>
                            <w:szCs w:val="20"/>
                          </w:rPr>
                        </w:pPr>
                        <w:r>
                          <w:rPr>
                            <w:rFonts w:ascii="Arial"/>
                            <w:spacing w:val="-1"/>
                            <w:sz w:val="20"/>
                          </w:rPr>
                          <w:t>306,592,449</w:t>
                        </w:r>
                        <w:r>
                          <w:rPr>
                            <w:rFonts w:ascii="Arial"/>
                            <w:sz w:val="20"/>
                          </w:rPr>
                        </w:r>
                      </w:p>
                    </w:tc>
                    <w:tc>
                      <w:tcPr>
                        <w:tcW w:w="1200" w:type="dxa"/>
                        <w:tcBorders>
                          <w:top w:val="nil" w:sz="6" w:space="0" w:color="auto"/>
                          <w:left w:val="nil" w:sz="6" w:space="0" w:color="auto"/>
                          <w:bottom w:val="nil" w:sz="6" w:space="0" w:color="auto"/>
                          <w:right w:val="nil" w:sz="6" w:space="0" w:color="auto"/>
                        </w:tcBorders>
                      </w:tcPr>
                      <w:p>
                        <w:pPr/>
                      </w:p>
                    </w:tc>
                    <w:tc>
                      <w:tcPr>
                        <w:tcW w:w="36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center"/>
                          <w:rPr>
                            <w:rFonts w:ascii="Arial" w:hAnsi="Arial" w:cs="Arial" w:eastAsia="Arial" w:hint="default"/>
                            <w:sz w:val="20"/>
                            <w:szCs w:val="20"/>
                          </w:rPr>
                        </w:pPr>
                        <w:r>
                          <w:rPr>
                            <w:rFonts w:ascii="Arial"/>
                            <w:w w:val="99"/>
                            <w:sz w:val="20"/>
                          </w:rPr>
                          <w:t>-</w:t>
                        </w:r>
                        <w:r>
                          <w:rPr>
                            <w:rFonts w:ascii="Arial"/>
                            <w:sz w:val="20"/>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
                          <w:jc w:val="right"/>
                          <w:rPr>
                            <w:rFonts w:ascii="Arial" w:hAnsi="Arial" w:cs="Arial" w:eastAsia="Arial" w:hint="default"/>
                            <w:sz w:val="20"/>
                            <w:szCs w:val="20"/>
                          </w:rPr>
                        </w:pPr>
                        <w:r>
                          <w:rPr>
                            <w:rFonts w:ascii="Arial"/>
                            <w:sz w:val="20"/>
                          </w:rPr>
                          <w:t>( </w:t>
                        </w:r>
                        <w:r>
                          <w:rPr>
                            <w:rFonts w:ascii="Arial"/>
                            <w:spacing w:val="25"/>
                            <w:sz w:val="20"/>
                          </w:rPr>
                          <w:t> </w:t>
                        </w:r>
                        <w:r>
                          <w:rPr>
                            <w:rFonts w:ascii="Arial"/>
                            <w:sz w:val="20"/>
                          </w:rPr>
                          <w:t>3,638,634</w:t>
                        </w:r>
                      </w:p>
                    </w:tc>
                    <w:tc>
                      <w:tcPr>
                        <w:tcW w:w="66"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70"/>
                          <w:jc w:val="right"/>
                          <w:rPr>
                            <w:rFonts w:ascii="Arial" w:hAnsi="Arial" w:cs="Arial" w:eastAsia="Arial" w:hint="default"/>
                            <w:sz w:val="20"/>
                            <w:szCs w:val="20"/>
                          </w:rPr>
                        </w:pPr>
                        <w:r>
                          <w:rPr>
                            <w:rFonts w:ascii="Arial"/>
                            <w:w w:val="99"/>
                            <w:sz w:val="20"/>
                          </w:rPr>
                          <w:t>-</w:t>
                        </w:r>
                        <w:r>
                          <w:rPr>
                            <w:rFonts w:ascii="Arial"/>
                            <w:sz w:val="20"/>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
                          <w:jc w:val="right"/>
                          <w:rPr>
                            <w:rFonts w:ascii="Arial" w:hAnsi="Arial" w:cs="Arial" w:eastAsia="Arial" w:hint="default"/>
                            <w:sz w:val="20"/>
                            <w:szCs w:val="20"/>
                          </w:rPr>
                        </w:pPr>
                        <w:r>
                          <w:rPr>
                            <w:rFonts w:ascii="Arial"/>
                            <w:spacing w:val="-1"/>
                            <w:sz w:val="20"/>
                          </w:rPr>
                          <w:t>302,953,815</w:t>
                        </w:r>
                        <w:r>
                          <w:rPr>
                            <w:rFonts w:ascii="Arial"/>
                            <w:sz w:val="20"/>
                          </w:rPr>
                        </w:r>
                      </w:p>
                    </w:tc>
                    <w:tc>
                      <w:tcPr>
                        <w:tcW w:w="278" w:type="dxa"/>
                        <w:tcBorders>
                          <w:top w:val="nil" w:sz="6" w:space="0" w:color="auto"/>
                          <w:left w:val="nil" w:sz="6" w:space="0" w:color="auto"/>
                          <w:bottom w:val="nil" w:sz="6" w:space="0" w:color="auto"/>
                          <w:right w:val="nil" w:sz="6" w:space="0" w:color="auto"/>
                        </w:tcBorders>
                      </w:tcPr>
                      <w:p>
                        <w:pPr/>
                      </w:p>
                    </w:tc>
                  </w:tr>
                  <w:tr>
                    <w:trPr>
                      <w:trHeight w:val="256"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23" w:lineRule="exact"/>
                          <w:ind w:left="211" w:right="0"/>
                          <w:jc w:val="left"/>
                          <w:rPr>
                            <w:rFonts w:ascii="黑体" w:hAnsi="黑体" w:cs="黑体" w:eastAsia="黑体" w:hint="default"/>
                            <w:sz w:val="20"/>
                            <w:szCs w:val="20"/>
                          </w:rPr>
                        </w:pPr>
                        <w:r>
                          <w:rPr>
                            <w:rFonts w:ascii="黑体" w:hAnsi="黑体" w:cs="黑体" w:eastAsia="黑体" w:hint="default"/>
                            <w:sz w:val="20"/>
                            <w:szCs w:val="20"/>
                          </w:rPr>
                          <w:t>软件使用权</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
                          <w:jc w:val="right"/>
                          <w:rPr>
                            <w:rFonts w:ascii="Arial" w:hAnsi="Arial" w:cs="Arial" w:eastAsia="Arial" w:hint="default"/>
                            <w:sz w:val="20"/>
                            <w:szCs w:val="20"/>
                          </w:rPr>
                        </w:pPr>
                        <w:r>
                          <w:rPr>
                            <w:rFonts w:ascii="Arial"/>
                            <w:spacing w:val="-1"/>
                            <w:sz w:val="20"/>
                          </w:rPr>
                          <w:t>9,773,781</w:t>
                        </w:r>
                      </w:p>
                    </w:tc>
                    <w:tc>
                      <w:tcPr>
                        <w:tcW w:w="1200" w:type="dxa"/>
                        <w:tcBorders>
                          <w:top w:val="nil" w:sz="6" w:space="0" w:color="auto"/>
                          <w:left w:val="nil" w:sz="6" w:space="0" w:color="auto"/>
                          <w:bottom w:val="nil" w:sz="6" w:space="0" w:color="auto"/>
                          <w:right w:val="nil" w:sz="6" w:space="0" w:color="auto"/>
                        </w:tcBorders>
                      </w:tcPr>
                      <w:p>
                        <w:pPr/>
                      </w:p>
                    </w:tc>
                    <w:tc>
                      <w:tcPr>
                        <w:tcW w:w="36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center"/>
                          <w:rPr>
                            <w:rFonts w:ascii="Arial" w:hAnsi="Arial" w:cs="Arial" w:eastAsia="Arial" w:hint="default"/>
                            <w:sz w:val="20"/>
                            <w:szCs w:val="20"/>
                          </w:rPr>
                        </w:pPr>
                        <w:r>
                          <w:rPr>
                            <w:rFonts w:ascii="Arial"/>
                            <w:w w:val="99"/>
                            <w:sz w:val="20"/>
                          </w:rPr>
                          <w:t>-</w:t>
                        </w:r>
                        <w:r>
                          <w:rPr>
                            <w:rFonts w:ascii="Arial"/>
                            <w:sz w:val="20"/>
                          </w:rPr>
                        </w:r>
                      </w:p>
                    </w:tc>
                    <w:tc>
                      <w:tcPr>
                        <w:tcW w:w="1265" w:type="dxa"/>
                        <w:tcBorders>
                          <w:top w:val="nil" w:sz="6" w:space="0" w:color="auto"/>
                          <w:left w:val="nil" w:sz="6" w:space="0" w:color="auto"/>
                          <w:bottom w:val="nil" w:sz="6" w:space="0" w:color="auto"/>
                          <w:right w:val="nil" w:sz="6" w:space="0" w:color="auto"/>
                        </w:tcBorders>
                      </w:tcPr>
                      <w:p>
                        <w:pPr>
                          <w:pStyle w:val="TableParagraph"/>
                          <w:tabs>
                            <w:tab w:pos="609" w:val="left" w:leader="none"/>
                          </w:tabs>
                          <w:spacing w:line="240" w:lineRule="auto" w:before="7"/>
                          <w:ind w:right="0"/>
                          <w:jc w:val="right"/>
                          <w:rPr>
                            <w:rFonts w:ascii="Arial" w:hAnsi="Arial" w:cs="Arial" w:eastAsia="Arial" w:hint="default"/>
                            <w:sz w:val="20"/>
                            <w:szCs w:val="20"/>
                          </w:rPr>
                        </w:pPr>
                        <w:r>
                          <w:rPr>
                            <w:rFonts w:ascii="Arial"/>
                            <w:w w:val="95"/>
                            <w:sz w:val="20"/>
                          </w:rPr>
                          <w:t>(</w:t>
                          <w:tab/>
                        </w:r>
                        <w:r>
                          <w:rPr>
                            <w:rFonts w:ascii="Arial"/>
                            <w:spacing w:val="-1"/>
                            <w:w w:val="95"/>
                            <w:sz w:val="20"/>
                          </w:rPr>
                          <w:t>4,196</w:t>
                        </w:r>
                        <w:r>
                          <w:rPr>
                            <w:rFonts w:ascii="Arial"/>
                            <w:sz w:val="20"/>
                          </w:rPr>
                        </w:r>
                      </w:p>
                    </w:tc>
                    <w:tc>
                      <w:tcPr>
                        <w:tcW w:w="66"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70"/>
                          <w:jc w:val="right"/>
                          <w:rPr>
                            <w:rFonts w:ascii="Arial" w:hAnsi="Arial" w:cs="Arial" w:eastAsia="Arial" w:hint="default"/>
                            <w:sz w:val="20"/>
                            <w:szCs w:val="20"/>
                          </w:rPr>
                        </w:pPr>
                        <w:r>
                          <w:rPr>
                            <w:rFonts w:ascii="Arial"/>
                            <w:w w:val="99"/>
                            <w:sz w:val="20"/>
                          </w:rPr>
                          <w:t>-</w:t>
                        </w:r>
                        <w:r>
                          <w:rPr>
                            <w:rFonts w:ascii="Arial"/>
                            <w:sz w:val="20"/>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
                          <w:jc w:val="right"/>
                          <w:rPr>
                            <w:rFonts w:ascii="Arial" w:hAnsi="Arial" w:cs="Arial" w:eastAsia="Arial" w:hint="default"/>
                            <w:sz w:val="20"/>
                            <w:szCs w:val="20"/>
                          </w:rPr>
                        </w:pPr>
                        <w:r>
                          <w:rPr>
                            <w:rFonts w:ascii="Arial"/>
                            <w:spacing w:val="-1"/>
                            <w:sz w:val="20"/>
                          </w:rPr>
                          <w:t>9,769,585</w:t>
                        </w:r>
                      </w:p>
                    </w:tc>
                    <w:tc>
                      <w:tcPr>
                        <w:tcW w:w="278" w:type="dxa"/>
                        <w:tcBorders>
                          <w:top w:val="nil" w:sz="6" w:space="0" w:color="auto"/>
                          <w:left w:val="nil" w:sz="6" w:space="0" w:color="auto"/>
                          <w:bottom w:val="nil" w:sz="6" w:space="0" w:color="auto"/>
                          <w:right w:val="nil" w:sz="6" w:space="0" w:color="auto"/>
                        </w:tcBorders>
                      </w:tcPr>
                      <w:p>
                        <w:pPr/>
                      </w:p>
                    </w:tc>
                  </w:tr>
                  <w:tr>
                    <w:trPr>
                      <w:trHeight w:val="386"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22" w:lineRule="exact"/>
                          <w:ind w:left="211" w:right="0"/>
                          <w:jc w:val="left"/>
                          <w:rPr>
                            <w:rFonts w:ascii="黑体" w:hAnsi="黑体" w:cs="黑体" w:eastAsia="黑体" w:hint="default"/>
                            <w:sz w:val="20"/>
                            <w:szCs w:val="20"/>
                          </w:rPr>
                        </w:pPr>
                        <w:r>
                          <w:rPr>
                            <w:rFonts w:ascii="黑体" w:hAnsi="黑体" w:cs="黑体" w:eastAsia="黑体" w:hint="default"/>
                            <w:sz w:val="20"/>
                            <w:szCs w:val="20"/>
                          </w:rPr>
                          <w:t>软件著作权</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sz w:val="20"/>
                            <w:u w:val="single" w:color="000000"/>
                          </w:rPr>
                          <w:t>79,002,449</w:t>
                        </w:r>
                        <w:r>
                          <w:rPr>
                            <w:rFonts w:ascii="Arial"/>
                            <w:spacing w:val="-1"/>
                            <w:sz w:val="20"/>
                          </w:rPr>
                        </w:r>
                      </w:p>
                    </w:tc>
                    <w:tc>
                      <w:tcPr>
                        <w:tcW w:w="15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418" w:right="0"/>
                          <w:jc w:val="left"/>
                          <w:rPr>
                            <w:rFonts w:ascii="Arial" w:hAnsi="Arial" w:cs="Arial" w:eastAsia="Arial" w:hint="default"/>
                            <w:sz w:val="20"/>
                            <w:szCs w:val="20"/>
                          </w:rPr>
                        </w:pPr>
                        <w:r>
                          <w:rPr>
                            <w:rFonts w:ascii="Arial"/>
                            <w:w w:val="99"/>
                            <w:sz w:val="20"/>
                          </w:rPr>
                        </w:r>
                        <w:r>
                          <w:rPr>
                            <w:rFonts w:ascii="Arial"/>
                            <w:sz w:val="20"/>
                            <w:u w:val="single" w:color="000000"/>
                          </w:rPr>
                          <w:t>28,312,400</w:t>
                        </w:r>
                        <w:r>
                          <w:rPr>
                            <w:rFonts w:ascii="Arial"/>
                            <w:sz w:val="20"/>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
                          <w:jc w:val="right"/>
                          <w:rPr>
                            <w:rFonts w:ascii="Arial" w:hAnsi="Arial" w:cs="Arial" w:eastAsia="Arial" w:hint="default"/>
                            <w:sz w:val="20"/>
                            <w:szCs w:val="20"/>
                          </w:rPr>
                        </w:pPr>
                        <w:r>
                          <w:rPr>
                            <w:rFonts w:ascii="Arial"/>
                            <w:sz w:val="20"/>
                          </w:rPr>
                          <w:t>(</w:t>
                        </w:r>
                        <w:r>
                          <w:rPr>
                            <w:rFonts w:ascii="Arial"/>
                            <w:spacing w:val="-38"/>
                            <w:sz w:val="20"/>
                          </w:rPr>
                          <w:t> </w:t>
                        </w:r>
                        <w:r>
                          <w:rPr>
                            <w:rFonts w:ascii="Arial"/>
                            <w:sz w:val="20"/>
                            <w:u w:val="single" w:color="000000"/>
                          </w:rPr>
                          <w:t>15,716,171</w:t>
                        </w:r>
                        <w:r>
                          <w:rPr>
                            <w:rFonts w:ascii="Arial"/>
                            <w:sz w:val="20"/>
                          </w:rPr>
                        </w:r>
                      </w:p>
                    </w:tc>
                    <w:tc>
                      <w:tcPr>
                        <w:tcW w:w="66"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6"/>
                          <w:ind w:right="167"/>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8"/>
                            <w:sz w:val="20"/>
                            <w:u w:val="single" w:color="000000"/>
                          </w:rPr>
                          <w:t> </w:t>
                        </w:r>
                        <w:r>
                          <w:rPr>
                            <w:rFonts w:ascii="Arial"/>
                            <w:spacing w:val="-1"/>
                            <w:sz w:val="20"/>
                            <w:u w:val="single" w:color="000000"/>
                          </w:rPr>
                          <w:t>91,598,678</w:t>
                        </w:r>
                        <w:r>
                          <w:rPr>
                            <w:rFonts w:ascii="Arial"/>
                            <w:spacing w:val="-1"/>
                            <w:sz w:val="20"/>
                          </w:rPr>
                        </w:r>
                        <w:r>
                          <w:rPr>
                            <w:rFonts w:ascii="Arial"/>
                            <w:sz w:val="20"/>
                          </w:rPr>
                        </w:r>
                      </w:p>
                    </w:tc>
                    <w:tc>
                      <w:tcPr>
                        <w:tcW w:w="278" w:type="dxa"/>
                        <w:tcBorders>
                          <w:top w:val="nil" w:sz="6" w:space="0" w:color="auto"/>
                          <w:left w:val="nil" w:sz="6" w:space="0" w:color="auto"/>
                          <w:bottom w:val="nil" w:sz="6" w:space="0" w:color="auto"/>
                          <w:right w:val="nil" w:sz="6" w:space="0" w:color="auto"/>
                        </w:tcBorders>
                      </w:tcPr>
                      <w:p>
                        <w:pPr/>
                      </w:p>
                    </w:tc>
                  </w:tr>
                  <w:tr>
                    <w:trPr>
                      <w:trHeight w:val="494" w:hRule="exact"/>
                    </w:trPr>
                    <w:tc>
                      <w:tcPr>
                        <w:tcW w:w="1266"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0"/>
                          <w:jc w:val="right"/>
                          <w:rPr>
                            <w:rFonts w:ascii="Arial" w:hAnsi="Arial" w:cs="Arial" w:eastAsia="Arial" w:hint="default"/>
                            <w:sz w:val="20"/>
                            <w:szCs w:val="20"/>
                          </w:rPr>
                        </w:pPr>
                        <w:r>
                          <w:rPr>
                            <w:rFonts w:ascii="Arial"/>
                            <w:w w:val="99"/>
                            <w:sz w:val="20"/>
                          </w:rPr>
                        </w:r>
                        <w:r>
                          <w:rPr>
                            <w:rFonts w:ascii="Arial"/>
                            <w:spacing w:val="-1"/>
                            <w:sz w:val="20"/>
                            <w:u w:val="thick" w:color="000000"/>
                          </w:rPr>
                          <w:t>395,368,679</w:t>
                        </w:r>
                        <w:r>
                          <w:rPr>
                            <w:rFonts w:ascii="Arial"/>
                            <w:spacing w:val="-1"/>
                            <w:sz w:val="20"/>
                          </w:rPr>
                        </w:r>
                        <w:r>
                          <w:rPr>
                            <w:rFonts w:ascii="Arial"/>
                            <w:sz w:val="20"/>
                          </w:rPr>
                        </w:r>
                      </w:p>
                    </w:tc>
                    <w:tc>
                      <w:tcPr>
                        <w:tcW w:w="15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8"/>
                          <w:ind w:left="418" w:right="0"/>
                          <w:jc w:val="left"/>
                          <w:rPr>
                            <w:rFonts w:ascii="Arial" w:hAnsi="Arial" w:cs="Arial" w:eastAsia="Arial" w:hint="default"/>
                            <w:sz w:val="20"/>
                            <w:szCs w:val="20"/>
                          </w:rPr>
                        </w:pPr>
                        <w:r>
                          <w:rPr>
                            <w:rFonts w:ascii="Arial"/>
                            <w:w w:val="99"/>
                            <w:sz w:val="20"/>
                          </w:rPr>
                        </w:r>
                        <w:r>
                          <w:rPr>
                            <w:rFonts w:ascii="Arial"/>
                            <w:sz w:val="20"/>
                            <w:u w:val="thick" w:color="000000"/>
                          </w:rPr>
                          <w:t>28,312,400</w:t>
                        </w:r>
                        <w:r>
                          <w:rPr>
                            <w:rFonts w:ascii="Arial"/>
                            <w:sz w:val="20"/>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
                          <w:jc w:val="right"/>
                          <w:rPr>
                            <w:rFonts w:ascii="Arial" w:hAnsi="Arial" w:cs="Arial" w:eastAsia="Arial" w:hint="default"/>
                            <w:sz w:val="20"/>
                            <w:szCs w:val="20"/>
                          </w:rPr>
                        </w:pPr>
                        <w:r>
                          <w:rPr>
                            <w:rFonts w:ascii="Arial"/>
                            <w:sz w:val="20"/>
                          </w:rPr>
                          <w:t>(</w:t>
                        </w:r>
                        <w:r>
                          <w:rPr>
                            <w:rFonts w:ascii="Arial"/>
                            <w:spacing w:val="-38"/>
                            <w:sz w:val="20"/>
                          </w:rPr>
                          <w:t> </w:t>
                        </w:r>
                        <w:r>
                          <w:rPr>
                            <w:rFonts w:ascii="Arial"/>
                            <w:sz w:val="20"/>
                            <w:u w:val="thick" w:color="000000"/>
                          </w:rPr>
                          <w:t>19,359,001</w:t>
                        </w:r>
                        <w:r>
                          <w:rPr>
                            <w:rFonts w:ascii="Arial"/>
                            <w:sz w:val="20"/>
                          </w:rPr>
                        </w:r>
                      </w:p>
                    </w:tc>
                    <w:tc>
                      <w:tcPr>
                        <w:tcW w:w="66"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128"/>
                          <w:ind w:right="167"/>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w w:val="95"/>
                            <w:sz w:val="20"/>
                            <w:u w:val="thick" w:color="000000"/>
                          </w:rPr>
                          <w:t>-</w:t>
                        </w:r>
                        <w:r>
                          <w:rPr>
                            <w:rFonts w:ascii="Arial"/>
                            <w:w w:val="95"/>
                            <w:sz w:val="20"/>
                          </w:rPr>
                        </w:r>
                        <w:r>
                          <w:rPr>
                            <w:rFonts w:ascii="Arial"/>
                            <w:sz w:val="20"/>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0"/>
                          <w:jc w:val="right"/>
                          <w:rPr>
                            <w:rFonts w:ascii="Arial" w:hAnsi="Arial" w:cs="Arial" w:eastAsia="Arial" w:hint="default"/>
                            <w:sz w:val="20"/>
                            <w:szCs w:val="20"/>
                          </w:rPr>
                        </w:pPr>
                        <w:r>
                          <w:rPr>
                            <w:rFonts w:ascii="Arial"/>
                            <w:w w:val="99"/>
                            <w:sz w:val="20"/>
                          </w:rPr>
                        </w:r>
                        <w:r>
                          <w:rPr>
                            <w:rFonts w:ascii="Arial"/>
                            <w:spacing w:val="-1"/>
                            <w:sz w:val="20"/>
                            <w:u w:val="thick" w:color="000000"/>
                          </w:rPr>
                          <w:t>404,322,078</w:t>
                        </w:r>
                        <w:r>
                          <w:rPr>
                            <w:rFonts w:ascii="Arial"/>
                            <w:spacing w:val="-1"/>
                            <w:sz w:val="20"/>
                          </w:rPr>
                        </w:r>
                        <w:r>
                          <w:rPr>
                            <w:rFonts w:ascii="Arial"/>
                            <w:sz w:val="20"/>
                          </w:rPr>
                        </w:r>
                      </w:p>
                    </w:tc>
                    <w:tc>
                      <w:tcPr>
                        <w:tcW w:w="278" w:type="dxa"/>
                        <w:tcBorders>
                          <w:top w:val="nil" w:sz="6" w:space="0" w:color="auto"/>
                          <w:left w:val="nil" w:sz="6" w:space="0" w:color="auto"/>
                          <w:bottom w:val="nil" w:sz="6" w:space="0" w:color="auto"/>
                          <w:right w:val="nil" w:sz="6" w:space="0" w:color="auto"/>
                        </w:tcBorders>
                      </w:tcPr>
                      <w:p>
                        <w:pPr/>
                      </w:p>
                    </w:tc>
                  </w:tr>
                  <w:tr>
                    <w:trPr>
                      <w:trHeight w:val="378"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00" w:right="0"/>
                          <w:jc w:val="left"/>
                          <w:rPr>
                            <w:rFonts w:ascii="黑体" w:hAnsi="黑体" w:cs="黑体" w:eastAsia="黑体" w:hint="default"/>
                            <w:sz w:val="20"/>
                            <w:szCs w:val="20"/>
                          </w:rPr>
                        </w:pPr>
                        <w:r>
                          <w:rPr>
                            <w:rFonts w:ascii="黑体" w:hAnsi="黑体" w:cs="黑体" w:eastAsia="黑体" w:hint="default"/>
                            <w:sz w:val="20"/>
                            <w:szCs w:val="20"/>
                          </w:rPr>
                          <w:t>减值准备</w:t>
                        </w:r>
                      </w:p>
                    </w:tc>
                    <w:tc>
                      <w:tcPr>
                        <w:tcW w:w="1202"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
                    </w:tc>
                    <w:tc>
                      <w:tcPr>
                        <w:tcW w:w="369"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
                    </w:tc>
                    <w:tc>
                      <w:tcPr>
                        <w:tcW w:w="66"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
                    </w:tc>
                    <w:tc>
                      <w:tcPr>
                        <w:tcW w:w="278" w:type="dxa"/>
                        <w:tcBorders>
                          <w:top w:val="nil" w:sz="6" w:space="0" w:color="auto"/>
                          <w:left w:val="nil" w:sz="6" w:space="0" w:color="auto"/>
                          <w:bottom w:val="nil" w:sz="6" w:space="0" w:color="auto"/>
                          <w:right w:val="nil" w:sz="6" w:space="0" w:color="auto"/>
                        </w:tcBorders>
                      </w:tcPr>
                      <w:p>
                        <w:pPr/>
                      </w:p>
                    </w:tc>
                  </w:tr>
                  <w:tr>
                    <w:trPr>
                      <w:trHeight w:val="270"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38" w:lineRule="exact"/>
                          <w:ind w:left="211" w:right="0"/>
                          <w:jc w:val="left"/>
                          <w:rPr>
                            <w:rFonts w:ascii="黑体" w:hAnsi="黑体" w:cs="黑体" w:eastAsia="黑体" w:hint="default"/>
                            <w:sz w:val="20"/>
                            <w:szCs w:val="20"/>
                          </w:rPr>
                        </w:pPr>
                        <w:r>
                          <w:rPr>
                            <w:rFonts w:ascii="黑体" w:hAnsi="黑体" w:cs="黑体" w:eastAsia="黑体" w:hint="default"/>
                            <w:sz w:val="20"/>
                            <w:szCs w:val="20"/>
                          </w:rPr>
                          <w:t>土地使用权</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right"/>
                          <w:rPr>
                            <w:rFonts w:ascii="Arial" w:hAnsi="Arial" w:cs="Arial" w:eastAsia="Arial" w:hint="default"/>
                            <w:sz w:val="20"/>
                            <w:szCs w:val="20"/>
                          </w:rPr>
                        </w:pPr>
                        <w:r>
                          <w:rPr>
                            <w:rFonts w:ascii="Arial"/>
                            <w:w w:val="99"/>
                            <w:sz w:val="20"/>
                          </w:rPr>
                          <w:t>-</w:t>
                        </w:r>
                        <w:r>
                          <w:rPr>
                            <w:rFonts w:ascii="Arial"/>
                            <w:sz w:val="20"/>
                          </w:rPr>
                        </w:r>
                      </w:p>
                    </w:tc>
                    <w:tc>
                      <w:tcPr>
                        <w:tcW w:w="1200" w:type="dxa"/>
                        <w:tcBorders>
                          <w:top w:val="nil" w:sz="6" w:space="0" w:color="auto"/>
                          <w:left w:val="nil" w:sz="6" w:space="0" w:color="auto"/>
                          <w:bottom w:val="nil" w:sz="6" w:space="0" w:color="auto"/>
                          <w:right w:val="nil" w:sz="6" w:space="0" w:color="auto"/>
                        </w:tcBorders>
                      </w:tcPr>
                      <w:p>
                        <w:pPr/>
                      </w:p>
                    </w:tc>
                    <w:tc>
                      <w:tcPr>
                        <w:tcW w:w="36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center"/>
                          <w:rPr>
                            <w:rFonts w:ascii="Arial" w:hAnsi="Arial" w:cs="Arial" w:eastAsia="Arial" w:hint="default"/>
                            <w:sz w:val="20"/>
                            <w:szCs w:val="20"/>
                          </w:rPr>
                        </w:pPr>
                        <w:r>
                          <w:rPr>
                            <w:rFonts w:ascii="Arial"/>
                            <w:w w:val="99"/>
                            <w:sz w:val="20"/>
                          </w:rPr>
                          <w:t>-</w:t>
                        </w:r>
                        <w:r>
                          <w:rPr>
                            <w:rFonts w:ascii="Arial"/>
                            <w:sz w:val="20"/>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
                          <w:jc w:val="right"/>
                          <w:rPr>
                            <w:rFonts w:ascii="Arial" w:hAnsi="Arial" w:cs="Arial" w:eastAsia="Arial" w:hint="default"/>
                            <w:sz w:val="20"/>
                            <w:szCs w:val="20"/>
                          </w:rPr>
                        </w:pPr>
                        <w:r>
                          <w:rPr>
                            <w:rFonts w:ascii="Arial"/>
                            <w:w w:val="99"/>
                            <w:sz w:val="20"/>
                          </w:rPr>
                          <w:t>-</w:t>
                        </w:r>
                        <w:r>
                          <w:rPr>
                            <w:rFonts w:ascii="Arial"/>
                            <w:sz w:val="20"/>
                          </w:rPr>
                        </w:r>
                      </w:p>
                    </w:tc>
                    <w:tc>
                      <w:tcPr>
                        <w:tcW w:w="66"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70"/>
                          <w:jc w:val="right"/>
                          <w:rPr>
                            <w:rFonts w:ascii="Arial" w:hAnsi="Arial" w:cs="Arial" w:eastAsia="Arial" w:hint="default"/>
                            <w:sz w:val="20"/>
                            <w:szCs w:val="20"/>
                          </w:rPr>
                        </w:pPr>
                        <w:r>
                          <w:rPr>
                            <w:rFonts w:ascii="Arial"/>
                            <w:w w:val="99"/>
                            <w:sz w:val="20"/>
                          </w:rPr>
                          <w:t>-</w:t>
                        </w:r>
                        <w:r>
                          <w:rPr>
                            <w:rFonts w:ascii="Arial"/>
                            <w:sz w:val="20"/>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8"/>
                          <w:jc w:val="right"/>
                          <w:rPr>
                            <w:rFonts w:ascii="Arial" w:hAnsi="Arial" w:cs="Arial" w:eastAsia="Arial" w:hint="default"/>
                            <w:sz w:val="20"/>
                            <w:szCs w:val="20"/>
                          </w:rPr>
                        </w:pPr>
                        <w:r>
                          <w:rPr>
                            <w:rFonts w:ascii="Arial"/>
                            <w:w w:val="99"/>
                            <w:sz w:val="20"/>
                          </w:rPr>
                          <w:t>-</w:t>
                        </w:r>
                        <w:r>
                          <w:rPr>
                            <w:rFonts w:ascii="Arial"/>
                            <w:sz w:val="20"/>
                          </w:rPr>
                        </w:r>
                      </w:p>
                    </w:tc>
                    <w:tc>
                      <w:tcPr>
                        <w:tcW w:w="278" w:type="dxa"/>
                        <w:tcBorders>
                          <w:top w:val="nil" w:sz="6" w:space="0" w:color="auto"/>
                          <w:left w:val="nil" w:sz="6" w:space="0" w:color="auto"/>
                          <w:bottom w:val="nil" w:sz="6" w:space="0" w:color="auto"/>
                          <w:right w:val="nil" w:sz="6" w:space="0" w:color="auto"/>
                        </w:tcBorders>
                      </w:tcPr>
                      <w:p>
                        <w:pPr/>
                      </w:p>
                    </w:tc>
                  </w:tr>
                  <w:tr>
                    <w:trPr>
                      <w:trHeight w:val="242"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22" w:lineRule="exact"/>
                          <w:ind w:left="211" w:right="0"/>
                          <w:jc w:val="left"/>
                          <w:rPr>
                            <w:rFonts w:ascii="黑体" w:hAnsi="黑体" w:cs="黑体" w:eastAsia="黑体" w:hint="default"/>
                            <w:sz w:val="20"/>
                            <w:szCs w:val="20"/>
                          </w:rPr>
                        </w:pPr>
                        <w:r>
                          <w:rPr>
                            <w:rFonts w:ascii="黑体" w:hAnsi="黑体" w:cs="黑体" w:eastAsia="黑体" w:hint="default"/>
                            <w:sz w:val="20"/>
                            <w:szCs w:val="20"/>
                          </w:rPr>
                          <w:t>软件使用权</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
                          <w:jc w:val="right"/>
                          <w:rPr>
                            <w:rFonts w:ascii="Arial" w:hAnsi="Arial" w:cs="Arial" w:eastAsia="Arial" w:hint="default"/>
                            <w:sz w:val="20"/>
                            <w:szCs w:val="20"/>
                          </w:rPr>
                        </w:pPr>
                        <w:r>
                          <w:rPr>
                            <w:rFonts w:ascii="Arial"/>
                            <w:sz w:val="20"/>
                          </w:rPr>
                          <w:t>(  </w:t>
                        </w:r>
                        <w:r>
                          <w:rPr>
                            <w:rFonts w:ascii="Arial"/>
                            <w:spacing w:val="17"/>
                            <w:sz w:val="20"/>
                          </w:rPr>
                          <w:t> </w:t>
                        </w:r>
                        <w:r>
                          <w:rPr>
                            <w:rFonts w:ascii="Arial"/>
                            <w:sz w:val="20"/>
                          </w:rPr>
                          <w:t>3,600,000</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20"/>
                            <w:szCs w:val="20"/>
                          </w:rPr>
                        </w:pPr>
                        <w:r>
                          <w:rPr>
                            <w:rFonts w:ascii="Arial"/>
                            <w:w w:val="99"/>
                            <w:sz w:val="20"/>
                          </w:rPr>
                          <w:t>)</w:t>
                        </w:r>
                        <w:r>
                          <w:rPr>
                            <w:rFonts w:ascii="Arial"/>
                            <w:sz w:val="20"/>
                          </w:rPr>
                        </w:r>
                      </w:p>
                    </w:tc>
                    <w:tc>
                      <w:tcPr>
                        <w:tcW w:w="36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center"/>
                          <w:rPr>
                            <w:rFonts w:ascii="Arial" w:hAnsi="Arial" w:cs="Arial" w:eastAsia="Arial" w:hint="default"/>
                            <w:sz w:val="20"/>
                            <w:szCs w:val="20"/>
                          </w:rPr>
                        </w:pPr>
                        <w:r>
                          <w:rPr>
                            <w:rFonts w:ascii="Arial"/>
                            <w:w w:val="99"/>
                            <w:sz w:val="20"/>
                          </w:rPr>
                          <w:t>-</w:t>
                        </w:r>
                        <w:r>
                          <w:rPr>
                            <w:rFonts w:ascii="Arial"/>
                            <w:sz w:val="20"/>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
                          <w:jc w:val="right"/>
                          <w:rPr>
                            <w:rFonts w:ascii="Arial" w:hAnsi="Arial" w:cs="Arial" w:eastAsia="Arial" w:hint="default"/>
                            <w:sz w:val="20"/>
                            <w:szCs w:val="20"/>
                          </w:rPr>
                        </w:pPr>
                        <w:r>
                          <w:rPr>
                            <w:rFonts w:ascii="Arial"/>
                            <w:w w:val="99"/>
                            <w:sz w:val="20"/>
                          </w:rPr>
                          <w:t>-</w:t>
                        </w:r>
                        <w:r>
                          <w:rPr>
                            <w:rFonts w:ascii="Arial"/>
                            <w:sz w:val="20"/>
                          </w:rPr>
                        </w:r>
                      </w:p>
                    </w:tc>
                    <w:tc>
                      <w:tcPr>
                        <w:tcW w:w="66"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70"/>
                          <w:jc w:val="right"/>
                          <w:rPr>
                            <w:rFonts w:ascii="Arial" w:hAnsi="Arial" w:cs="Arial" w:eastAsia="Arial" w:hint="default"/>
                            <w:sz w:val="20"/>
                            <w:szCs w:val="20"/>
                          </w:rPr>
                        </w:pPr>
                        <w:r>
                          <w:rPr>
                            <w:rFonts w:ascii="Arial"/>
                            <w:w w:val="99"/>
                            <w:sz w:val="20"/>
                          </w:rPr>
                          <w:t>-</w:t>
                        </w:r>
                        <w:r>
                          <w:rPr>
                            <w:rFonts w:ascii="Arial"/>
                            <w:sz w:val="20"/>
                          </w:rPr>
                        </w:r>
                      </w:p>
                    </w:tc>
                    <w:tc>
                      <w:tcPr>
                        <w:tcW w:w="1386" w:type="dxa"/>
                        <w:tcBorders>
                          <w:top w:val="nil" w:sz="6" w:space="0" w:color="auto"/>
                          <w:left w:val="nil" w:sz="6" w:space="0" w:color="auto"/>
                          <w:bottom w:val="nil" w:sz="6" w:space="0" w:color="auto"/>
                          <w:right w:val="nil" w:sz="6" w:space="0" w:color="auto"/>
                        </w:tcBorders>
                      </w:tcPr>
                      <w:p>
                        <w:pPr>
                          <w:pStyle w:val="TableParagraph"/>
                          <w:tabs>
                            <w:tab w:pos="268" w:val="left" w:leader="none"/>
                          </w:tabs>
                          <w:spacing w:line="240" w:lineRule="auto" w:before="6"/>
                          <w:ind w:right="10"/>
                          <w:jc w:val="right"/>
                          <w:rPr>
                            <w:rFonts w:ascii="Arial" w:hAnsi="Arial" w:cs="Arial" w:eastAsia="Arial" w:hint="default"/>
                            <w:sz w:val="20"/>
                            <w:szCs w:val="20"/>
                          </w:rPr>
                        </w:pPr>
                        <w:r>
                          <w:rPr>
                            <w:rFonts w:ascii="Arial"/>
                            <w:w w:val="95"/>
                            <w:sz w:val="20"/>
                          </w:rPr>
                          <w:t>(</w:t>
                          <w:tab/>
                        </w:r>
                        <w:r>
                          <w:rPr>
                            <w:rFonts w:ascii="Arial"/>
                            <w:spacing w:val="-1"/>
                            <w:sz w:val="20"/>
                          </w:rPr>
                          <w:t>3,600,000</w:t>
                        </w:r>
                      </w:p>
                    </w:tc>
                    <w:tc>
                      <w:tcPr>
                        <w:tcW w:w="278" w:type="dxa"/>
                        <w:tcBorders>
                          <w:top w:val="nil" w:sz="6" w:space="0" w:color="auto"/>
                          <w:left w:val="nil" w:sz="6" w:space="0" w:color="auto"/>
                          <w:bottom w:val="nil" w:sz="6" w:space="0" w:color="auto"/>
                          <w:right w:val="nil" w:sz="6" w:space="0" w:color="auto"/>
                        </w:tcBorders>
                      </w:tcPr>
                      <w:p>
                        <w:pPr>
                          <w:pStyle w:val="TableParagraph"/>
                          <w:spacing w:line="240" w:lineRule="auto" w:before="6"/>
                          <w:ind w:left="11" w:right="0"/>
                          <w:jc w:val="left"/>
                          <w:rPr>
                            <w:rFonts w:ascii="Arial" w:hAnsi="Arial" w:cs="Arial" w:eastAsia="Arial" w:hint="default"/>
                            <w:sz w:val="20"/>
                            <w:szCs w:val="20"/>
                          </w:rPr>
                        </w:pPr>
                        <w:r>
                          <w:rPr>
                            <w:rFonts w:ascii="Arial"/>
                            <w:w w:val="99"/>
                            <w:sz w:val="20"/>
                          </w:rPr>
                          <w:t>)</w:t>
                        </w:r>
                        <w:r>
                          <w:rPr>
                            <w:rFonts w:ascii="Arial"/>
                            <w:sz w:val="20"/>
                          </w:rPr>
                        </w:r>
                      </w:p>
                    </w:tc>
                  </w:tr>
                  <w:tr>
                    <w:trPr>
                      <w:trHeight w:val="401"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36" w:lineRule="exact"/>
                          <w:ind w:left="211" w:right="0"/>
                          <w:jc w:val="left"/>
                          <w:rPr>
                            <w:rFonts w:ascii="黑体" w:hAnsi="黑体" w:cs="黑体" w:eastAsia="黑体" w:hint="default"/>
                            <w:sz w:val="20"/>
                            <w:szCs w:val="20"/>
                          </w:rPr>
                        </w:pPr>
                        <w:r>
                          <w:rPr>
                            <w:rFonts w:ascii="黑体" w:hAnsi="黑体" w:cs="黑体" w:eastAsia="黑体" w:hint="default"/>
                            <w:sz w:val="20"/>
                            <w:szCs w:val="20"/>
                          </w:rPr>
                          <w:t>软件著作权</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
                          <w:jc w:val="right"/>
                          <w:rPr>
                            <w:rFonts w:ascii="Arial" w:hAnsi="Arial" w:cs="Arial" w:eastAsia="Arial" w:hint="default"/>
                            <w:sz w:val="20"/>
                            <w:szCs w:val="20"/>
                          </w:rPr>
                        </w:pPr>
                        <w:r>
                          <w:rPr>
                            <w:rFonts w:ascii="Arial"/>
                            <w:sz w:val="20"/>
                          </w:rPr>
                          <w:t>(  </w:t>
                        </w:r>
                        <w:r>
                          <w:rPr>
                            <w:rFonts w:ascii="Arial"/>
                            <w:spacing w:val="15"/>
                            <w:sz w:val="20"/>
                          </w:rPr>
                          <w:t> </w:t>
                        </w:r>
                        <w:r>
                          <w:rPr>
                            <w:rFonts w:ascii="Arial"/>
                            <w:spacing w:val="15"/>
                            <w:sz w:val="20"/>
                            <w:u w:val="single" w:color="000000"/>
                          </w:rPr>
                          <w:t> </w:t>
                        </w:r>
                        <w:r>
                          <w:rPr>
                            <w:rFonts w:ascii="Arial"/>
                            <w:sz w:val="20"/>
                            <w:u w:val="single" w:color="000000"/>
                          </w:rPr>
                          <w:t>4,022,801</w:t>
                        </w:r>
                        <w:r>
                          <w:rPr>
                            <w:rFonts w:ascii="Arial"/>
                            <w:sz w:val="20"/>
                          </w:rPr>
                        </w:r>
                      </w:p>
                    </w:tc>
                    <w:tc>
                      <w:tcPr>
                        <w:tcW w:w="1200" w:type="dxa"/>
                        <w:tcBorders>
                          <w:top w:val="nil" w:sz="6" w:space="0" w:color="auto"/>
                          <w:left w:val="nil" w:sz="6" w:space="0" w:color="auto"/>
                          <w:bottom w:val="nil" w:sz="6" w:space="0" w:color="auto"/>
                          <w:right w:val="nil" w:sz="6" w:space="0" w:color="auto"/>
                        </w:tcBorders>
                      </w:tcPr>
                      <w:p>
                        <w:pPr>
                          <w:pStyle w:val="TableParagraph"/>
                          <w:tabs>
                            <w:tab w:pos="451" w:val="left" w:leader="none"/>
                            <w:tab w:pos="1353" w:val="left" w:leader="none"/>
                          </w:tabs>
                          <w:spacing w:line="215" w:lineRule="exact"/>
                          <w:ind w:right="-154"/>
                          <w:jc w:val="left"/>
                          <w:rPr>
                            <w:rFonts w:ascii="Arial" w:hAnsi="Arial" w:cs="Arial" w:eastAsia="Arial" w:hint="default"/>
                            <w:sz w:val="20"/>
                            <w:szCs w:val="20"/>
                          </w:rPr>
                        </w:pPr>
                        <w:r>
                          <w:rPr>
                            <w:rFonts w:ascii="Arial"/>
                            <w:sz w:val="20"/>
                          </w:rPr>
                          <w:t>)</w:t>
                          <w:tab/>
                        </w:r>
                        <w:r>
                          <w:rPr>
                            <w:rFonts w:ascii="Arial"/>
                            <w:w w:val="99"/>
                            <w:position w:val="-3"/>
                            <w:sz w:val="20"/>
                          </w:rPr>
                        </w:r>
                        <w:r>
                          <w:rPr>
                            <w:rFonts w:ascii="Arial"/>
                            <w:w w:val="99"/>
                            <w:position w:val="-3"/>
                            <w:sz w:val="20"/>
                            <w:u w:val="single" w:color="000000"/>
                          </w:rPr>
                          <w:t> </w:t>
                        </w:r>
                        <w:r>
                          <w:rPr>
                            <w:rFonts w:ascii="Arial"/>
                            <w:position w:val="-3"/>
                            <w:sz w:val="20"/>
                            <w:u w:val="single" w:color="000000"/>
                          </w:rPr>
                          <w:tab/>
                        </w:r>
                        <w:r>
                          <w:rPr>
                            <w:rFonts w:ascii="Arial"/>
                            <w:sz w:val="20"/>
                          </w:rPr>
                        </w:r>
                      </w:p>
                    </w:tc>
                    <w:tc>
                      <w:tcPr>
                        <w:tcW w:w="36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 w:right="0"/>
                          <w:jc w:val="center"/>
                          <w:rPr>
                            <w:rFonts w:ascii="Arial" w:hAnsi="Arial" w:cs="Arial" w:eastAsia="Arial" w:hint="default"/>
                            <w:sz w:val="20"/>
                            <w:szCs w:val="20"/>
                          </w:rPr>
                        </w:pPr>
                        <w:r>
                          <w:rPr>
                            <w:rFonts w:ascii="Arial"/>
                            <w:w w:val="99"/>
                            <w:sz w:val="20"/>
                          </w:rPr>
                        </w:r>
                        <w:r>
                          <w:rPr>
                            <w:rFonts w:ascii="Arial"/>
                            <w:w w:val="99"/>
                            <w:sz w:val="20"/>
                            <w:u w:val="single" w:color="000000"/>
                          </w:rPr>
                          <w:t>-</w:t>
                        </w:r>
                        <w:r>
                          <w:rPr>
                            <w:rFonts w:ascii="Arial"/>
                            <w:w w:val="99"/>
                            <w:sz w:val="20"/>
                          </w:rPr>
                        </w:r>
                        <w:r>
                          <w:rPr>
                            <w:rFonts w:ascii="Arial"/>
                            <w:sz w:val="20"/>
                          </w:rPr>
                        </w:r>
                      </w:p>
                    </w:tc>
                    <w:tc>
                      <w:tcPr>
                        <w:tcW w:w="1265"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before="20"/>
                          <w:ind w:right="-2"/>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448" w:type="dxa"/>
                        <w:gridSpan w:val="2"/>
                        <w:tcBorders>
                          <w:top w:val="nil" w:sz="6" w:space="0" w:color="auto"/>
                          <w:left w:val="nil" w:sz="6" w:space="0" w:color="auto"/>
                          <w:bottom w:val="nil" w:sz="6" w:space="0" w:color="auto"/>
                          <w:right w:val="nil" w:sz="6" w:space="0" w:color="auto"/>
                        </w:tcBorders>
                      </w:tcPr>
                      <w:p>
                        <w:pPr>
                          <w:pStyle w:val="TableParagraph"/>
                          <w:tabs>
                            <w:tab w:pos="1211" w:val="left" w:leader="none"/>
                          </w:tabs>
                          <w:spacing w:line="240" w:lineRule="auto" w:before="20"/>
                          <w:ind w:left="609" w:right="0"/>
                          <w:jc w:val="lef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t>-</w:t>
                        </w:r>
                        <w:r>
                          <w:rPr>
                            <w:rFonts w:ascii="Arial"/>
                            <w:sz w:val="20"/>
                          </w:rPr>
                        </w:r>
                      </w:p>
                    </w:tc>
                    <w:tc>
                      <w:tcPr>
                        <w:tcW w:w="1386" w:type="dxa"/>
                        <w:tcBorders>
                          <w:top w:val="nil" w:sz="6" w:space="0" w:color="auto"/>
                          <w:left w:val="nil" w:sz="6" w:space="0" w:color="auto"/>
                          <w:bottom w:val="nil" w:sz="6" w:space="0" w:color="auto"/>
                          <w:right w:val="nil" w:sz="6" w:space="0" w:color="auto"/>
                        </w:tcBorders>
                      </w:tcPr>
                      <w:p>
                        <w:pPr>
                          <w:pStyle w:val="TableParagraph"/>
                          <w:tabs>
                            <w:tab w:pos="268" w:val="left" w:leader="none"/>
                          </w:tabs>
                          <w:spacing w:line="240" w:lineRule="auto" w:before="20"/>
                          <w:ind w:right="9"/>
                          <w:jc w:val="right"/>
                          <w:rPr>
                            <w:rFonts w:ascii="Arial" w:hAnsi="Arial" w:cs="Arial" w:eastAsia="Arial" w:hint="default"/>
                            <w:sz w:val="20"/>
                            <w:szCs w:val="20"/>
                          </w:rPr>
                        </w:pPr>
                        <w:r>
                          <w:rPr>
                            <w:rFonts w:ascii="Arial"/>
                            <w:w w:val="95"/>
                            <w:sz w:val="20"/>
                          </w:rPr>
                          <w:t>(</w:t>
                          <w:tab/>
                        </w:r>
                        <w:r>
                          <w:rPr>
                            <w:rFonts w:ascii="Arial"/>
                            <w:spacing w:val="-1"/>
                            <w:sz w:val="20"/>
                            <w:u w:val="single" w:color="000000"/>
                          </w:rPr>
                          <w:t>4,022,801</w:t>
                        </w:r>
                        <w:r>
                          <w:rPr>
                            <w:rFonts w:ascii="Arial"/>
                            <w:spacing w:val="-1"/>
                            <w:sz w:val="20"/>
                          </w:rPr>
                        </w:r>
                      </w:p>
                    </w:tc>
                    <w:tc>
                      <w:tcPr>
                        <w:tcW w:w="27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 w:right="0"/>
                          <w:jc w:val="left"/>
                          <w:rPr>
                            <w:rFonts w:ascii="Arial" w:hAnsi="Arial" w:cs="Arial" w:eastAsia="Arial" w:hint="default"/>
                            <w:sz w:val="20"/>
                            <w:szCs w:val="20"/>
                          </w:rPr>
                        </w:pPr>
                        <w:r>
                          <w:rPr>
                            <w:rFonts w:ascii="Arial"/>
                            <w:w w:val="99"/>
                            <w:sz w:val="20"/>
                          </w:rPr>
                          <w:t>)</w:t>
                        </w:r>
                        <w:r>
                          <w:rPr>
                            <w:rFonts w:ascii="Arial"/>
                            <w:sz w:val="20"/>
                          </w:rPr>
                        </w:r>
                      </w:p>
                    </w:tc>
                  </w:tr>
                  <w:tr>
                    <w:trPr>
                      <w:trHeight w:val="494" w:hRule="exact"/>
                    </w:trPr>
                    <w:tc>
                      <w:tcPr>
                        <w:tcW w:w="1266"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
                          <w:jc w:val="right"/>
                          <w:rPr>
                            <w:rFonts w:ascii="Arial" w:hAnsi="Arial" w:cs="Arial" w:eastAsia="Arial" w:hint="default"/>
                            <w:sz w:val="20"/>
                            <w:szCs w:val="20"/>
                          </w:rPr>
                        </w:pPr>
                        <w:r>
                          <w:rPr>
                            <w:rFonts w:ascii="Arial"/>
                            <w:sz w:val="20"/>
                          </w:rPr>
                          <w:t>(  </w:t>
                        </w:r>
                        <w:r>
                          <w:rPr>
                            <w:rFonts w:ascii="Arial"/>
                            <w:spacing w:val="7"/>
                            <w:sz w:val="20"/>
                          </w:rPr>
                          <w:t> </w:t>
                        </w:r>
                        <w:r>
                          <w:rPr>
                            <w:rFonts w:ascii="Arial"/>
                            <w:spacing w:val="7"/>
                            <w:sz w:val="20"/>
                            <w:u w:val="thick" w:color="000000"/>
                          </w:rPr>
                          <w:t> </w:t>
                        </w:r>
                        <w:r>
                          <w:rPr>
                            <w:rFonts w:ascii="Arial"/>
                            <w:sz w:val="20"/>
                            <w:u w:val="thick" w:color="000000"/>
                          </w:rPr>
                          <w:t>7,622,801</w:t>
                        </w:r>
                        <w:r>
                          <w:rPr>
                            <w:rFonts w:ascii="Arial"/>
                            <w:sz w:val="20"/>
                          </w:rPr>
                        </w:r>
                      </w:p>
                    </w:tc>
                    <w:tc>
                      <w:tcPr>
                        <w:tcW w:w="1200" w:type="dxa"/>
                        <w:tcBorders>
                          <w:top w:val="nil" w:sz="6" w:space="0" w:color="auto"/>
                          <w:left w:val="nil" w:sz="6" w:space="0" w:color="auto"/>
                          <w:bottom w:val="nil" w:sz="6" w:space="0" w:color="auto"/>
                          <w:right w:val="nil" w:sz="6" w:space="0" w:color="auto"/>
                        </w:tcBorders>
                      </w:tcPr>
                      <w:p>
                        <w:pPr>
                          <w:pStyle w:val="TableParagraph"/>
                          <w:tabs>
                            <w:tab w:pos="451" w:val="left" w:leader="none"/>
                            <w:tab w:pos="1353" w:val="left" w:leader="none"/>
                          </w:tabs>
                          <w:spacing w:line="240" w:lineRule="auto" w:before="128"/>
                          <w:ind w:right="-154"/>
                          <w:jc w:val="left"/>
                          <w:rPr>
                            <w:rFonts w:ascii="Arial" w:hAnsi="Arial" w:cs="Arial" w:eastAsia="Arial" w:hint="default"/>
                            <w:sz w:val="20"/>
                            <w:szCs w:val="20"/>
                          </w:rPr>
                        </w:pPr>
                        <w:r>
                          <w:rPr>
                            <w:rFonts w:ascii="Arial"/>
                            <w:sz w:val="20"/>
                          </w:rPr>
                          <w:t>)</w:t>
                          <w:tab/>
                        </w:r>
                        <w:r>
                          <w:rPr>
                            <w:rFonts w:ascii="Arial"/>
                            <w:w w:val="99"/>
                            <w:sz w:val="20"/>
                          </w:rPr>
                        </w:r>
                        <w:r>
                          <w:rPr>
                            <w:rFonts w:ascii="Arial"/>
                            <w:w w:val="99"/>
                            <w:sz w:val="20"/>
                            <w:u w:val="thick" w:color="000000"/>
                          </w:rPr>
                          <w:t> </w:t>
                        </w:r>
                        <w:r>
                          <w:rPr>
                            <w:rFonts w:ascii="Arial"/>
                            <w:sz w:val="20"/>
                            <w:u w:val="thick" w:color="000000"/>
                          </w:rPr>
                          <w:tab/>
                        </w:r>
                        <w:r>
                          <w:rPr>
                            <w:rFonts w:ascii="Arial"/>
                            <w:sz w:val="20"/>
                          </w:rPr>
                        </w:r>
                      </w:p>
                    </w:tc>
                    <w:tc>
                      <w:tcPr>
                        <w:tcW w:w="369"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4" w:right="0"/>
                          <w:jc w:val="center"/>
                          <w:rPr>
                            <w:rFonts w:ascii="Arial" w:hAnsi="Arial" w:cs="Arial" w:eastAsia="Arial" w:hint="default"/>
                            <w:sz w:val="20"/>
                            <w:szCs w:val="20"/>
                          </w:rPr>
                        </w:pPr>
                        <w:r>
                          <w:rPr>
                            <w:rFonts w:ascii="Arial"/>
                            <w:w w:val="99"/>
                            <w:sz w:val="20"/>
                          </w:rPr>
                        </w:r>
                        <w:r>
                          <w:rPr>
                            <w:rFonts w:ascii="Arial"/>
                            <w:w w:val="99"/>
                            <w:sz w:val="20"/>
                            <w:u w:val="thick" w:color="000000"/>
                          </w:rPr>
                          <w:t>-</w:t>
                        </w:r>
                        <w:r>
                          <w:rPr>
                            <w:rFonts w:ascii="Arial"/>
                            <w:w w:val="99"/>
                            <w:sz w:val="20"/>
                          </w:rPr>
                        </w:r>
                        <w:r>
                          <w:rPr>
                            <w:rFonts w:ascii="Arial"/>
                            <w:sz w:val="20"/>
                          </w:rPr>
                        </w:r>
                      </w:p>
                    </w:tc>
                    <w:tc>
                      <w:tcPr>
                        <w:tcW w:w="1265"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before="128"/>
                          <w:ind w:right="-2"/>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w w:val="95"/>
                            <w:sz w:val="20"/>
                            <w:u w:val="thick" w:color="000000"/>
                          </w:rPr>
                          <w:t>-</w:t>
                        </w:r>
                        <w:r>
                          <w:rPr>
                            <w:rFonts w:ascii="Arial"/>
                            <w:w w:val="95"/>
                            <w:sz w:val="20"/>
                          </w:rPr>
                        </w:r>
                        <w:r>
                          <w:rPr>
                            <w:rFonts w:ascii="Arial"/>
                            <w:sz w:val="20"/>
                          </w:rPr>
                        </w:r>
                      </w:p>
                    </w:tc>
                    <w:tc>
                      <w:tcPr>
                        <w:tcW w:w="1448" w:type="dxa"/>
                        <w:gridSpan w:val="2"/>
                        <w:tcBorders>
                          <w:top w:val="nil" w:sz="6" w:space="0" w:color="auto"/>
                          <w:left w:val="nil" w:sz="6" w:space="0" w:color="auto"/>
                          <w:bottom w:val="nil" w:sz="6" w:space="0" w:color="auto"/>
                          <w:right w:val="nil" w:sz="6" w:space="0" w:color="auto"/>
                        </w:tcBorders>
                      </w:tcPr>
                      <w:p>
                        <w:pPr>
                          <w:pStyle w:val="TableParagraph"/>
                          <w:tabs>
                            <w:tab w:pos="1211" w:val="left" w:leader="none"/>
                          </w:tabs>
                          <w:spacing w:line="240" w:lineRule="auto" w:before="128"/>
                          <w:ind w:left="609" w:right="0"/>
                          <w:jc w:val="lef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t>-</w:t>
                        </w:r>
                        <w:r>
                          <w:rPr>
                            <w:rFonts w:ascii="Arial"/>
                            <w:sz w:val="20"/>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0"/>
                          <w:jc w:val="right"/>
                          <w:rPr>
                            <w:rFonts w:ascii="Arial" w:hAnsi="Arial" w:cs="Arial" w:eastAsia="Arial" w:hint="default"/>
                            <w:sz w:val="20"/>
                            <w:szCs w:val="20"/>
                          </w:rPr>
                        </w:pPr>
                        <w:r>
                          <w:rPr>
                            <w:rFonts w:ascii="Arial"/>
                            <w:sz w:val="20"/>
                          </w:rPr>
                          <w:t>(  </w:t>
                        </w:r>
                        <w:r>
                          <w:rPr>
                            <w:rFonts w:ascii="Arial"/>
                            <w:spacing w:val="25"/>
                            <w:sz w:val="20"/>
                          </w:rPr>
                          <w:t> </w:t>
                        </w:r>
                        <w:r>
                          <w:rPr>
                            <w:rFonts w:ascii="Arial"/>
                            <w:spacing w:val="25"/>
                            <w:sz w:val="20"/>
                            <w:u w:val="thick" w:color="000000"/>
                          </w:rPr>
                          <w:t> </w:t>
                        </w:r>
                        <w:r>
                          <w:rPr>
                            <w:rFonts w:ascii="Arial"/>
                            <w:sz w:val="20"/>
                            <w:u w:val="thick" w:color="000000"/>
                          </w:rPr>
                          <w:t>7,622,801</w:t>
                        </w:r>
                        <w:r>
                          <w:rPr>
                            <w:rFonts w:ascii="Arial"/>
                            <w:sz w:val="20"/>
                          </w:rPr>
                        </w:r>
                      </w:p>
                    </w:tc>
                    <w:tc>
                      <w:tcPr>
                        <w:tcW w:w="278"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1" w:right="0"/>
                          <w:jc w:val="left"/>
                          <w:rPr>
                            <w:rFonts w:ascii="Arial" w:hAnsi="Arial" w:cs="Arial" w:eastAsia="Arial" w:hint="default"/>
                            <w:sz w:val="20"/>
                            <w:szCs w:val="20"/>
                          </w:rPr>
                        </w:pPr>
                        <w:r>
                          <w:rPr>
                            <w:rFonts w:ascii="Arial"/>
                            <w:w w:val="99"/>
                            <w:sz w:val="20"/>
                          </w:rPr>
                          <w:t>)</w:t>
                        </w:r>
                        <w:r>
                          <w:rPr>
                            <w:rFonts w:ascii="Arial"/>
                            <w:sz w:val="20"/>
                          </w:rPr>
                        </w:r>
                      </w:p>
                    </w:tc>
                  </w:tr>
                  <w:tr>
                    <w:trPr>
                      <w:trHeight w:val="378"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11" w:right="0"/>
                          <w:jc w:val="left"/>
                          <w:rPr>
                            <w:rFonts w:ascii="黑体" w:hAnsi="黑体" w:cs="黑体" w:eastAsia="黑体" w:hint="default"/>
                            <w:sz w:val="20"/>
                            <w:szCs w:val="20"/>
                          </w:rPr>
                        </w:pPr>
                        <w:r>
                          <w:rPr>
                            <w:rFonts w:ascii="黑体" w:hAnsi="黑体" w:cs="黑体" w:eastAsia="黑体" w:hint="default"/>
                            <w:sz w:val="20"/>
                            <w:szCs w:val="20"/>
                          </w:rPr>
                          <w:t>账面价值</w:t>
                        </w:r>
                      </w:p>
                    </w:tc>
                    <w:tc>
                      <w:tcPr>
                        <w:tcW w:w="1202"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
                    </w:tc>
                    <w:tc>
                      <w:tcPr>
                        <w:tcW w:w="369"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
                    </w:tc>
                    <w:tc>
                      <w:tcPr>
                        <w:tcW w:w="66"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
                    </w:tc>
                    <w:tc>
                      <w:tcPr>
                        <w:tcW w:w="278" w:type="dxa"/>
                        <w:tcBorders>
                          <w:top w:val="nil" w:sz="6" w:space="0" w:color="auto"/>
                          <w:left w:val="nil" w:sz="6" w:space="0" w:color="auto"/>
                          <w:bottom w:val="nil" w:sz="6" w:space="0" w:color="auto"/>
                          <w:right w:val="nil" w:sz="6" w:space="0" w:color="auto"/>
                        </w:tcBorders>
                      </w:tcPr>
                      <w:p>
                        <w:pPr/>
                      </w:p>
                    </w:tc>
                  </w:tr>
                  <w:tr>
                    <w:trPr>
                      <w:trHeight w:val="270"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38" w:lineRule="exact"/>
                          <w:ind w:left="211" w:right="0"/>
                          <w:jc w:val="left"/>
                          <w:rPr>
                            <w:rFonts w:ascii="黑体" w:hAnsi="黑体" w:cs="黑体" w:eastAsia="黑体" w:hint="default"/>
                            <w:sz w:val="20"/>
                            <w:szCs w:val="20"/>
                          </w:rPr>
                        </w:pPr>
                        <w:r>
                          <w:rPr>
                            <w:rFonts w:ascii="黑体" w:hAnsi="黑体" w:cs="黑体" w:eastAsia="黑体" w:hint="default"/>
                            <w:sz w:val="20"/>
                            <w:szCs w:val="20"/>
                          </w:rPr>
                          <w:t>土地使用权</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right"/>
                          <w:rPr>
                            <w:rFonts w:ascii="Arial" w:hAnsi="Arial" w:cs="Arial" w:eastAsia="Arial" w:hint="default"/>
                            <w:sz w:val="20"/>
                            <w:szCs w:val="20"/>
                          </w:rPr>
                        </w:pPr>
                        <w:r>
                          <w:rPr>
                            <w:rFonts w:ascii="Arial"/>
                            <w:spacing w:val="-1"/>
                            <w:sz w:val="20"/>
                          </w:rPr>
                          <w:t>306,592,449</w:t>
                        </w:r>
                        <w:r>
                          <w:rPr>
                            <w:rFonts w:ascii="Arial"/>
                            <w:sz w:val="20"/>
                          </w:rPr>
                        </w:r>
                      </w:p>
                    </w:tc>
                    <w:tc>
                      <w:tcPr>
                        <w:tcW w:w="1200" w:type="dxa"/>
                        <w:tcBorders>
                          <w:top w:val="nil" w:sz="6" w:space="0" w:color="auto"/>
                          <w:left w:val="nil" w:sz="6" w:space="0" w:color="auto"/>
                          <w:bottom w:val="nil" w:sz="6" w:space="0" w:color="auto"/>
                          <w:right w:val="nil" w:sz="6" w:space="0" w:color="auto"/>
                        </w:tcBorders>
                      </w:tcPr>
                      <w:p>
                        <w:pPr/>
                      </w:p>
                    </w:tc>
                    <w:tc>
                      <w:tcPr>
                        <w:tcW w:w="36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center"/>
                          <w:rPr>
                            <w:rFonts w:ascii="Arial" w:hAnsi="Arial" w:cs="Arial" w:eastAsia="Arial" w:hint="default"/>
                            <w:sz w:val="20"/>
                            <w:szCs w:val="20"/>
                          </w:rPr>
                        </w:pPr>
                        <w:r>
                          <w:rPr>
                            <w:rFonts w:ascii="Arial"/>
                            <w:w w:val="99"/>
                            <w:sz w:val="20"/>
                          </w:rPr>
                          <w:t>-</w:t>
                        </w:r>
                        <w:r>
                          <w:rPr>
                            <w:rFonts w:ascii="Arial"/>
                            <w:sz w:val="20"/>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
                          <w:jc w:val="right"/>
                          <w:rPr>
                            <w:rFonts w:ascii="Arial" w:hAnsi="Arial" w:cs="Arial" w:eastAsia="Arial" w:hint="default"/>
                            <w:sz w:val="20"/>
                            <w:szCs w:val="20"/>
                          </w:rPr>
                        </w:pPr>
                        <w:r>
                          <w:rPr>
                            <w:rFonts w:ascii="Arial"/>
                            <w:sz w:val="20"/>
                          </w:rPr>
                          <w:t>( </w:t>
                        </w:r>
                        <w:r>
                          <w:rPr>
                            <w:rFonts w:ascii="Arial"/>
                            <w:spacing w:val="39"/>
                            <w:sz w:val="20"/>
                          </w:rPr>
                          <w:t> </w:t>
                        </w:r>
                        <w:r>
                          <w:rPr>
                            <w:rFonts w:ascii="Arial"/>
                            <w:sz w:val="20"/>
                          </w:rPr>
                          <w:t>3,638,634</w:t>
                        </w:r>
                      </w:p>
                    </w:tc>
                    <w:tc>
                      <w:tcPr>
                        <w:tcW w:w="66"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70"/>
                          <w:jc w:val="right"/>
                          <w:rPr>
                            <w:rFonts w:ascii="Arial" w:hAnsi="Arial" w:cs="Arial" w:eastAsia="Arial" w:hint="default"/>
                            <w:sz w:val="20"/>
                            <w:szCs w:val="20"/>
                          </w:rPr>
                        </w:pPr>
                        <w:r>
                          <w:rPr>
                            <w:rFonts w:ascii="Arial"/>
                            <w:w w:val="99"/>
                            <w:sz w:val="20"/>
                          </w:rPr>
                          <w:t>-</w:t>
                        </w:r>
                        <w:r>
                          <w:rPr>
                            <w:rFonts w:ascii="Arial"/>
                            <w:sz w:val="20"/>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
                          <w:jc w:val="right"/>
                          <w:rPr>
                            <w:rFonts w:ascii="Arial" w:hAnsi="Arial" w:cs="Arial" w:eastAsia="Arial" w:hint="default"/>
                            <w:sz w:val="20"/>
                            <w:szCs w:val="20"/>
                          </w:rPr>
                        </w:pPr>
                        <w:r>
                          <w:rPr>
                            <w:rFonts w:ascii="Arial"/>
                            <w:spacing w:val="-1"/>
                            <w:sz w:val="20"/>
                          </w:rPr>
                          <w:t>302,953,815</w:t>
                        </w:r>
                        <w:r>
                          <w:rPr>
                            <w:rFonts w:ascii="Arial"/>
                            <w:sz w:val="20"/>
                          </w:rPr>
                        </w:r>
                      </w:p>
                    </w:tc>
                    <w:tc>
                      <w:tcPr>
                        <w:tcW w:w="278" w:type="dxa"/>
                        <w:tcBorders>
                          <w:top w:val="nil" w:sz="6" w:space="0" w:color="auto"/>
                          <w:left w:val="nil" w:sz="6" w:space="0" w:color="auto"/>
                          <w:bottom w:val="nil" w:sz="6" w:space="0" w:color="auto"/>
                          <w:right w:val="nil" w:sz="6" w:space="0" w:color="auto"/>
                        </w:tcBorders>
                      </w:tcPr>
                      <w:p>
                        <w:pPr/>
                      </w:p>
                    </w:tc>
                  </w:tr>
                  <w:tr>
                    <w:trPr>
                      <w:trHeight w:val="254"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22" w:lineRule="exact"/>
                          <w:ind w:left="211" w:right="0"/>
                          <w:jc w:val="left"/>
                          <w:rPr>
                            <w:rFonts w:ascii="黑体" w:hAnsi="黑体" w:cs="黑体" w:eastAsia="黑体" w:hint="default"/>
                            <w:sz w:val="20"/>
                            <w:szCs w:val="20"/>
                          </w:rPr>
                        </w:pPr>
                        <w:r>
                          <w:rPr>
                            <w:rFonts w:ascii="黑体" w:hAnsi="黑体" w:cs="黑体" w:eastAsia="黑体" w:hint="default"/>
                            <w:sz w:val="20"/>
                            <w:szCs w:val="20"/>
                          </w:rPr>
                          <w:t>软件使用权</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
                          <w:jc w:val="right"/>
                          <w:rPr>
                            <w:rFonts w:ascii="Arial" w:hAnsi="Arial" w:cs="Arial" w:eastAsia="Arial" w:hint="default"/>
                            <w:sz w:val="20"/>
                            <w:szCs w:val="20"/>
                          </w:rPr>
                        </w:pPr>
                        <w:r>
                          <w:rPr>
                            <w:rFonts w:ascii="Arial"/>
                            <w:spacing w:val="-1"/>
                            <w:sz w:val="20"/>
                          </w:rPr>
                          <w:t>6,173,781</w:t>
                        </w:r>
                      </w:p>
                    </w:tc>
                    <w:tc>
                      <w:tcPr>
                        <w:tcW w:w="1200" w:type="dxa"/>
                        <w:tcBorders>
                          <w:top w:val="nil" w:sz="6" w:space="0" w:color="auto"/>
                          <w:left w:val="nil" w:sz="6" w:space="0" w:color="auto"/>
                          <w:bottom w:val="nil" w:sz="6" w:space="0" w:color="auto"/>
                          <w:right w:val="nil" w:sz="6" w:space="0" w:color="auto"/>
                        </w:tcBorders>
                      </w:tcPr>
                      <w:p>
                        <w:pPr/>
                      </w:p>
                    </w:tc>
                    <w:tc>
                      <w:tcPr>
                        <w:tcW w:w="36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center"/>
                          <w:rPr>
                            <w:rFonts w:ascii="Arial" w:hAnsi="Arial" w:cs="Arial" w:eastAsia="Arial" w:hint="default"/>
                            <w:sz w:val="20"/>
                            <w:szCs w:val="20"/>
                          </w:rPr>
                        </w:pPr>
                        <w:r>
                          <w:rPr>
                            <w:rFonts w:ascii="Arial"/>
                            <w:w w:val="99"/>
                            <w:sz w:val="20"/>
                          </w:rPr>
                          <w:t>-</w:t>
                        </w:r>
                        <w:r>
                          <w:rPr>
                            <w:rFonts w:ascii="Arial"/>
                            <w:sz w:val="20"/>
                          </w:rPr>
                        </w:r>
                      </w:p>
                    </w:tc>
                    <w:tc>
                      <w:tcPr>
                        <w:tcW w:w="1265"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6"/>
                          <w:ind w:right="0"/>
                          <w:jc w:val="right"/>
                          <w:rPr>
                            <w:rFonts w:ascii="Arial" w:hAnsi="Arial" w:cs="Arial" w:eastAsia="Arial" w:hint="default"/>
                            <w:sz w:val="20"/>
                            <w:szCs w:val="20"/>
                          </w:rPr>
                        </w:pPr>
                        <w:r>
                          <w:rPr>
                            <w:rFonts w:ascii="Arial"/>
                            <w:w w:val="95"/>
                            <w:sz w:val="20"/>
                          </w:rPr>
                          <w:t>(</w:t>
                          <w:tab/>
                        </w:r>
                        <w:r>
                          <w:rPr>
                            <w:rFonts w:ascii="Arial"/>
                            <w:spacing w:val="-1"/>
                            <w:w w:val="95"/>
                            <w:sz w:val="20"/>
                          </w:rPr>
                          <w:t>4,196</w:t>
                        </w:r>
                        <w:r>
                          <w:rPr>
                            <w:rFonts w:ascii="Arial"/>
                            <w:sz w:val="20"/>
                          </w:rPr>
                        </w:r>
                      </w:p>
                    </w:tc>
                    <w:tc>
                      <w:tcPr>
                        <w:tcW w:w="66"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70"/>
                          <w:jc w:val="right"/>
                          <w:rPr>
                            <w:rFonts w:ascii="Arial" w:hAnsi="Arial" w:cs="Arial" w:eastAsia="Arial" w:hint="default"/>
                            <w:sz w:val="20"/>
                            <w:szCs w:val="20"/>
                          </w:rPr>
                        </w:pPr>
                        <w:r>
                          <w:rPr>
                            <w:rFonts w:ascii="Arial"/>
                            <w:w w:val="99"/>
                            <w:sz w:val="20"/>
                          </w:rPr>
                          <w:t>-</w:t>
                        </w:r>
                        <w:r>
                          <w:rPr>
                            <w:rFonts w:ascii="Arial"/>
                            <w:sz w:val="20"/>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
                          <w:jc w:val="right"/>
                          <w:rPr>
                            <w:rFonts w:ascii="Arial" w:hAnsi="Arial" w:cs="Arial" w:eastAsia="Arial" w:hint="default"/>
                            <w:sz w:val="20"/>
                            <w:szCs w:val="20"/>
                          </w:rPr>
                        </w:pPr>
                        <w:r>
                          <w:rPr>
                            <w:rFonts w:ascii="Arial"/>
                            <w:spacing w:val="-1"/>
                            <w:sz w:val="20"/>
                          </w:rPr>
                          <w:t>6,169,585</w:t>
                        </w:r>
                      </w:p>
                    </w:tc>
                    <w:tc>
                      <w:tcPr>
                        <w:tcW w:w="278" w:type="dxa"/>
                        <w:tcBorders>
                          <w:top w:val="nil" w:sz="6" w:space="0" w:color="auto"/>
                          <w:left w:val="nil" w:sz="6" w:space="0" w:color="auto"/>
                          <w:bottom w:val="nil" w:sz="6" w:space="0" w:color="auto"/>
                          <w:right w:val="nil" w:sz="6" w:space="0" w:color="auto"/>
                        </w:tcBorders>
                      </w:tcPr>
                      <w:p>
                        <w:pPr/>
                      </w:p>
                    </w:tc>
                  </w:tr>
                  <w:tr>
                    <w:trPr>
                      <w:trHeight w:val="388" w:hRule="exact"/>
                    </w:trPr>
                    <w:tc>
                      <w:tcPr>
                        <w:tcW w:w="1266" w:type="dxa"/>
                        <w:tcBorders>
                          <w:top w:val="nil" w:sz="6" w:space="0" w:color="auto"/>
                          <w:left w:val="nil" w:sz="6" w:space="0" w:color="auto"/>
                          <w:bottom w:val="nil" w:sz="6" w:space="0" w:color="auto"/>
                          <w:right w:val="nil" w:sz="6" w:space="0" w:color="auto"/>
                        </w:tcBorders>
                      </w:tcPr>
                      <w:p>
                        <w:pPr>
                          <w:pStyle w:val="TableParagraph"/>
                          <w:spacing w:line="222" w:lineRule="exact"/>
                          <w:ind w:left="211" w:right="0"/>
                          <w:jc w:val="left"/>
                          <w:rPr>
                            <w:rFonts w:ascii="黑体" w:hAnsi="黑体" w:cs="黑体" w:eastAsia="黑体" w:hint="default"/>
                            <w:sz w:val="20"/>
                            <w:szCs w:val="20"/>
                          </w:rPr>
                        </w:pPr>
                        <w:r>
                          <w:rPr>
                            <w:rFonts w:ascii="黑体" w:hAnsi="黑体" w:cs="黑体" w:eastAsia="黑体" w:hint="default"/>
                            <w:sz w:val="20"/>
                            <w:szCs w:val="20"/>
                          </w:rPr>
                          <w:t>软件著作权</w:t>
                        </w: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sz w:val="20"/>
                            <w:u w:val="single" w:color="000000"/>
                          </w:rPr>
                          <w:t>74,979,648</w:t>
                        </w:r>
                        <w:r>
                          <w:rPr>
                            <w:rFonts w:ascii="Arial"/>
                            <w:spacing w:val="-1"/>
                            <w:sz w:val="20"/>
                          </w:rPr>
                        </w:r>
                      </w:p>
                    </w:tc>
                    <w:tc>
                      <w:tcPr>
                        <w:tcW w:w="15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left="418" w:right="0"/>
                          <w:jc w:val="left"/>
                          <w:rPr>
                            <w:rFonts w:ascii="Arial" w:hAnsi="Arial" w:cs="Arial" w:eastAsia="Arial" w:hint="default"/>
                            <w:sz w:val="20"/>
                            <w:szCs w:val="20"/>
                          </w:rPr>
                        </w:pPr>
                        <w:r>
                          <w:rPr>
                            <w:rFonts w:ascii="Arial"/>
                            <w:w w:val="99"/>
                            <w:sz w:val="20"/>
                          </w:rPr>
                        </w:r>
                        <w:r>
                          <w:rPr>
                            <w:rFonts w:ascii="Arial"/>
                            <w:sz w:val="20"/>
                            <w:u w:val="single" w:color="000000"/>
                          </w:rPr>
                          <w:t>28,312,400</w:t>
                        </w:r>
                        <w:r>
                          <w:rPr>
                            <w:rFonts w:ascii="Arial"/>
                            <w:sz w:val="20"/>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
                          <w:jc w:val="right"/>
                          <w:rPr>
                            <w:rFonts w:ascii="Arial" w:hAnsi="Arial" w:cs="Arial" w:eastAsia="Arial" w:hint="default"/>
                            <w:sz w:val="20"/>
                            <w:szCs w:val="20"/>
                          </w:rPr>
                        </w:pPr>
                        <w:r>
                          <w:rPr>
                            <w:rFonts w:ascii="Arial"/>
                            <w:sz w:val="20"/>
                          </w:rPr>
                          <w:t>(</w:t>
                        </w:r>
                        <w:r>
                          <w:rPr>
                            <w:rFonts w:ascii="Arial"/>
                            <w:spacing w:val="-22"/>
                            <w:sz w:val="20"/>
                          </w:rPr>
                          <w:t> </w:t>
                        </w:r>
                        <w:r>
                          <w:rPr>
                            <w:rFonts w:ascii="Arial"/>
                            <w:sz w:val="20"/>
                            <w:u w:val="single" w:color="000000"/>
                          </w:rPr>
                          <w:t>15,716,171</w:t>
                        </w:r>
                        <w:r>
                          <w:rPr>
                            <w:rFonts w:ascii="Arial"/>
                            <w:sz w:val="20"/>
                          </w:rPr>
                        </w:r>
                      </w:p>
                    </w:tc>
                    <w:tc>
                      <w:tcPr>
                        <w:tcW w:w="66"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6"/>
                          <w:ind w:right="167"/>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sz w:val="20"/>
                            <w:u w:val="single" w:color="000000"/>
                          </w:rPr>
                          <w:t>87,575,877</w:t>
                        </w:r>
                        <w:r>
                          <w:rPr>
                            <w:rFonts w:ascii="Arial"/>
                            <w:spacing w:val="-1"/>
                            <w:sz w:val="20"/>
                          </w:rPr>
                        </w:r>
                      </w:p>
                    </w:tc>
                    <w:tc>
                      <w:tcPr>
                        <w:tcW w:w="278" w:type="dxa"/>
                        <w:tcBorders>
                          <w:top w:val="nil" w:sz="6" w:space="0" w:color="auto"/>
                          <w:left w:val="nil" w:sz="6" w:space="0" w:color="auto"/>
                          <w:bottom w:val="nil" w:sz="6" w:space="0" w:color="auto"/>
                          <w:right w:val="nil" w:sz="6" w:space="0" w:color="auto"/>
                        </w:tcBorders>
                      </w:tcPr>
                      <w:p>
                        <w:pPr/>
                      </w:p>
                    </w:tc>
                  </w:tr>
                  <w:tr>
                    <w:trPr>
                      <w:trHeight w:val="355" w:hRule="exact"/>
                    </w:trPr>
                    <w:tc>
                      <w:tcPr>
                        <w:tcW w:w="1266" w:type="dxa"/>
                        <w:tcBorders>
                          <w:top w:val="nil" w:sz="6" w:space="0" w:color="auto"/>
                          <w:left w:val="nil" w:sz="6" w:space="0" w:color="auto"/>
                          <w:bottom w:val="nil" w:sz="6" w:space="0" w:color="auto"/>
                          <w:right w:val="nil" w:sz="6" w:space="0" w:color="auto"/>
                        </w:tcBorders>
                      </w:tcPr>
                      <w:p>
                        <w:pPr/>
                      </w:p>
                    </w:tc>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0"/>
                          <w:jc w:val="right"/>
                          <w:rPr>
                            <w:rFonts w:ascii="Arial" w:hAnsi="Arial" w:cs="Arial" w:eastAsia="Arial" w:hint="default"/>
                            <w:sz w:val="20"/>
                            <w:szCs w:val="20"/>
                          </w:rPr>
                        </w:pPr>
                        <w:r>
                          <w:rPr>
                            <w:rFonts w:ascii="Arial"/>
                            <w:w w:val="99"/>
                            <w:sz w:val="20"/>
                          </w:rPr>
                        </w:r>
                        <w:r>
                          <w:rPr>
                            <w:rFonts w:ascii="Arial"/>
                            <w:spacing w:val="-1"/>
                            <w:sz w:val="20"/>
                            <w:u w:val="thick" w:color="000000"/>
                          </w:rPr>
                          <w:t>387,745,878</w:t>
                        </w:r>
                        <w:r>
                          <w:rPr>
                            <w:rFonts w:ascii="Arial"/>
                            <w:spacing w:val="-1"/>
                            <w:sz w:val="20"/>
                          </w:rPr>
                        </w:r>
                        <w:r>
                          <w:rPr>
                            <w:rFonts w:ascii="Arial"/>
                            <w:sz w:val="20"/>
                          </w:rPr>
                        </w:r>
                      </w:p>
                    </w:tc>
                    <w:tc>
                      <w:tcPr>
                        <w:tcW w:w="157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0"/>
                          <w:ind w:left="418" w:right="0"/>
                          <w:jc w:val="left"/>
                          <w:rPr>
                            <w:rFonts w:ascii="Arial" w:hAnsi="Arial" w:cs="Arial" w:eastAsia="Arial" w:hint="default"/>
                            <w:sz w:val="20"/>
                            <w:szCs w:val="20"/>
                          </w:rPr>
                        </w:pPr>
                        <w:r>
                          <w:rPr>
                            <w:rFonts w:ascii="Arial"/>
                            <w:w w:val="99"/>
                            <w:sz w:val="20"/>
                          </w:rPr>
                        </w:r>
                        <w:r>
                          <w:rPr>
                            <w:rFonts w:ascii="Arial"/>
                            <w:sz w:val="20"/>
                            <w:u w:val="thick" w:color="000000"/>
                          </w:rPr>
                          <w:t>28,312,400</w:t>
                        </w:r>
                        <w:r>
                          <w:rPr>
                            <w:rFonts w:ascii="Arial"/>
                            <w:sz w:val="20"/>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
                          <w:jc w:val="right"/>
                          <w:rPr>
                            <w:rFonts w:ascii="Arial" w:hAnsi="Arial" w:cs="Arial" w:eastAsia="Arial" w:hint="default"/>
                            <w:sz w:val="20"/>
                            <w:szCs w:val="20"/>
                          </w:rPr>
                        </w:pPr>
                        <w:r>
                          <w:rPr>
                            <w:rFonts w:ascii="Arial"/>
                            <w:spacing w:val="-1"/>
                            <w:sz w:val="20"/>
                          </w:rPr>
                          <w:t>(</w:t>
                        </w:r>
                        <w:r>
                          <w:rPr>
                            <w:rFonts w:ascii="Arial"/>
                            <w:spacing w:val="-1"/>
                            <w:sz w:val="20"/>
                            <w:u w:val="thick" w:color="000000"/>
                          </w:rPr>
                          <w:t>19,359,001</w:t>
                        </w:r>
                        <w:r>
                          <w:rPr>
                            <w:rFonts w:ascii="Arial"/>
                            <w:spacing w:val="-1"/>
                            <w:sz w:val="20"/>
                          </w:rPr>
                        </w:r>
                        <w:r>
                          <w:rPr>
                            <w:rFonts w:ascii="Arial"/>
                            <w:sz w:val="20"/>
                          </w:rPr>
                        </w:r>
                      </w:p>
                    </w:tc>
                    <w:tc>
                      <w:tcPr>
                        <w:tcW w:w="66" w:type="dxa"/>
                        <w:tcBorders>
                          <w:top w:val="nil" w:sz="6" w:space="0" w:color="auto"/>
                          <w:left w:val="nil" w:sz="6" w:space="0" w:color="auto"/>
                          <w:bottom w:val="nil" w:sz="6" w:space="0" w:color="auto"/>
                          <w:right w:val="nil" w:sz="6" w:space="0" w:color="auto"/>
                        </w:tcBorders>
                      </w:tcPr>
                      <w:p>
                        <w:pPr/>
                      </w:p>
                    </w:tc>
                    <w:tc>
                      <w:tcPr>
                        <w:tcW w:w="1382"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130"/>
                          <w:ind w:right="167"/>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w w:val="95"/>
                            <w:sz w:val="20"/>
                            <w:u w:val="thick" w:color="000000"/>
                          </w:rPr>
                          <w:t>-</w:t>
                        </w:r>
                        <w:r>
                          <w:rPr>
                            <w:rFonts w:ascii="Arial"/>
                            <w:w w:val="95"/>
                            <w:sz w:val="20"/>
                          </w:rPr>
                        </w:r>
                        <w:r>
                          <w:rPr>
                            <w:rFonts w:ascii="Arial"/>
                            <w:sz w:val="20"/>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
                          <w:jc w:val="right"/>
                          <w:rPr>
                            <w:rFonts w:ascii="Arial" w:hAnsi="Arial" w:cs="Arial" w:eastAsia="Arial" w:hint="default"/>
                            <w:sz w:val="20"/>
                            <w:szCs w:val="20"/>
                          </w:rPr>
                        </w:pPr>
                        <w:r>
                          <w:rPr>
                            <w:rFonts w:ascii="Arial"/>
                            <w:w w:val="99"/>
                            <w:sz w:val="20"/>
                          </w:rPr>
                        </w:r>
                        <w:r>
                          <w:rPr>
                            <w:rFonts w:ascii="Arial"/>
                            <w:spacing w:val="-1"/>
                            <w:sz w:val="20"/>
                            <w:u w:val="thick" w:color="000000"/>
                          </w:rPr>
                          <w:t>396,699,277</w:t>
                        </w:r>
                        <w:r>
                          <w:rPr>
                            <w:rFonts w:ascii="Arial"/>
                            <w:spacing w:val="-1"/>
                            <w:sz w:val="20"/>
                          </w:rPr>
                        </w:r>
                        <w:r>
                          <w:rPr>
                            <w:rFonts w:ascii="Arial"/>
                            <w:sz w:val="20"/>
                          </w:rPr>
                        </w:r>
                      </w:p>
                    </w:tc>
                    <w:tc>
                      <w:tcPr>
                        <w:tcW w:w="278"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Arial"/>
          <w:w w:val="99"/>
        </w:rPr>
        <w:t>)</w:t>
      </w:r>
      <w:r>
        <w:rPr>
          <w:rFonts w:ascii="Arial"/>
        </w:rPr>
      </w:r>
    </w:p>
    <w:p>
      <w:pPr>
        <w:pStyle w:val="BodyText"/>
        <w:spacing w:line="240" w:lineRule="auto" w:before="24"/>
        <w:ind w:left="5891" w:right="3128"/>
        <w:jc w:val="center"/>
        <w:rPr>
          <w:rFonts w:ascii="Arial" w:hAnsi="Arial" w:cs="Arial" w:eastAsia="Arial" w:hint="default"/>
        </w:rPr>
      </w:pPr>
      <w:r>
        <w:rPr>
          <w:rFonts w:ascii="Arial"/>
          <w:w w:val="99"/>
        </w:rPr>
        <w:t>)</w:t>
      </w:r>
      <w:r>
        <w:rPr>
          <w:rFonts w:ascii="Arial"/>
        </w:rPr>
      </w:r>
    </w:p>
    <w:p>
      <w:pPr>
        <w:pStyle w:val="BodyText"/>
        <w:spacing w:line="240" w:lineRule="auto" w:before="60"/>
        <w:ind w:left="5891" w:right="3128"/>
        <w:jc w:val="center"/>
        <w:rPr>
          <w:rFonts w:ascii="Arial" w:hAnsi="Arial" w:cs="Arial" w:eastAsia="Arial" w:hint="default"/>
        </w:rPr>
      </w:pPr>
      <w:r>
        <w:rPr>
          <w:rFonts w:ascii="Arial"/>
          <w:w w:val="99"/>
        </w:rPr>
        <w:t>)</w:t>
      </w:r>
      <w:r>
        <w:rPr>
          <w:rFonts w:ascii="Arial"/>
        </w:rPr>
      </w:r>
    </w:p>
    <w:p>
      <w:pPr>
        <w:spacing w:line="240" w:lineRule="auto" w:before="0"/>
        <w:rPr>
          <w:rFonts w:ascii="Arial" w:hAnsi="Arial" w:cs="Arial" w:eastAsia="Arial" w:hint="default"/>
          <w:sz w:val="18"/>
          <w:szCs w:val="18"/>
        </w:rPr>
      </w:pPr>
    </w:p>
    <w:p>
      <w:pPr>
        <w:pStyle w:val="BodyText"/>
        <w:spacing w:line="240" w:lineRule="auto" w:before="74"/>
        <w:ind w:left="5891" w:right="3128"/>
        <w:jc w:val="center"/>
        <w:rPr>
          <w:rFonts w:ascii="Arial" w:hAnsi="Arial" w:cs="Arial" w:eastAsia="Arial" w:hint="default"/>
        </w:rPr>
      </w:pPr>
      <w:r>
        <w:rPr>
          <w:rFonts w:ascii="Arial"/>
          <w:w w:val="99"/>
        </w:rPr>
        <w:t>)</w:t>
      </w:r>
      <w:r>
        <w:rPr>
          <w:rFonts w:ascii="Arial"/>
        </w:rPr>
      </w:r>
    </w:p>
    <w:p>
      <w:pPr>
        <w:spacing w:line="240" w:lineRule="auto" w:before="0"/>
        <w:rPr>
          <w:rFonts w:ascii="Arial" w:hAnsi="Arial" w:cs="Arial" w:eastAsia="Arial" w:hint="default"/>
          <w:sz w:val="20"/>
          <w:szCs w:val="20"/>
        </w:rPr>
      </w:pPr>
    </w:p>
    <w:p>
      <w:pPr>
        <w:spacing w:line="240" w:lineRule="auto" w:before="11"/>
        <w:rPr>
          <w:rFonts w:ascii="Arial" w:hAnsi="Arial" w:cs="Arial" w:eastAsia="Arial" w:hint="default"/>
          <w:sz w:val="19"/>
          <w:szCs w:val="19"/>
        </w:rPr>
      </w:pPr>
    </w:p>
    <w:p>
      <w:pPr>
        <w:pStyle w:val="BodyText"/>
        <w:spacing w:line="240" w:lineRule="auto" w:before="74"/>
        <w:ind w:left="5891" w:right="3128"/>
        <w:jc w:val="center"/>
        <w:rPr>
          <w:rFonts w:ascii="Arial" w:hAnsi="Arial" w:cs="Arial" w:eastAsia="Arial" w:hint="default"/>
        </w:rPr>
      </w:pPr>
      <w:r>
        <w:rPr>
          <w:rFonts w:ascii="Arial"/>
          <w:w w:val="99"/>
        </w:rPr>
        <w:t>)</w:t>
      </w:r>
      <w:r>
        <w:rPr>
          <w:rFonts w:ascii="Arial"/>
        </w:rPr>
      </w:r>
    </w:p>
    <w:p>
      <w:pPr>
        <w:pStyle w:val="BodyText"/>
        <w:spacing w:line="240" w:lineRule="auto" w:before="27"/>
        <w:ind w:left="5891" w:right="3128"/>
        <w:jc w:val="center"/>
        <w:rPr>
          <w:rFonts w:ascii="Arial" w:hAnsi="Arial" w:cs="Arial" w:eastAsia="Arial" w:hint="default"/>
        </w:rPr>
      </w:pPr>
      <w:r>
        <w:rPr>
          <w:rFonts w:ascii="Arial"/>
          <w:w w:val="99"/>
        </w:rPr>
        <w:t>)</w:t>
      </w:r>
      <w:r>
        <w:rPr>
          <w:rFonts w:ascii="Arial"/>
        </w:rPr>
      </w:r>
    </w:p>
    <w:p>
      <w:pPr>
        <w:pStyle w:val="BodyText"/>
        <w:spacing w:line="240" w:lineRule="auto" w:before="24"/>
        <w:ind w:left="5891" w:right="3128"/>
        <w:jc w:val="center"/>
        <w:rPr>
          <w:rFonts w:ascii="Arial" w:hAnsi="Arial" w:cs="Arial" w:eastAsia="Arial" w:hint="default"/>
        </w:rPr>
      </w:pPr>
      <w:r>
        <w:rPr>
          <w:rFonts w:ascii="Arial"/>
          <w:w w:val="99"/>
        </w:rPr>
        <w:t>)</w:t>
      </w:r>
      <w:r>
        <w:rPr>
          <w:rFonts w:ascii="Arial"/>
        </w:rPr>
      </w:r>
    </w:p>
    <w:p>
      <w:pPr>
        <w:spacing w:line="240" w:lineRule="auto" w:before="10"/>
        <w:rPr>
          <w:rFonts w:ascii="Arial" w:hAnsi="Arial" w:cs="Arial" w:eastAsia="Arial" w:hint="default"/>
          <w:sz w:val="17"/>
          <w:szCs w:val="17"/>
        </w:rPr>
      </w:pPr>
    </w:p>
    <w:p>
      <w:pPr>
        <w:pStyle w:val="BodyText"/>
        <w:spacing w:line="240" w:lineRule="auto" w:before="74"/>
        <w:ind w:left="5891" w:right="3128"/>
        <w:jc w:val="center"/>
        <w:rPr>
          <w:rFonts w:ascii="Arial" w:hAnsi="Arial" w:cs="Arial" w:eastAsia="Arial" w:hint="default"/>
        </w:rPr>
      </w:pPr>
      <w:r>
        <w:rPr>
          <w:rFonts w:ascii="Arial"/>
          <w:w w:val="99"/>
        </w:rPr>
        <w:t>)</w:t>
      </w:r>
      <w:r>
        <w:rPr>
          <w:rFonts w:ascii="Arial"/>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0"/>
        <w:rPr>
          <w:rFonts w:ascii="Arial" w:hAnsi="Arial" w:cs="Arial" w:eastAsia="Arial" w:hint="default"/>
          <w:sz w:val="21"/>
          <w:szCs w:val="21"/>
        </w:rPr>
      </w:pPr>
    </w:p>
    <w:p>
      <w:pPr>
        <w:pStyle w:val="BodyText"/>
        <w:spacing w:line="240" w:lineRule="auto"/>
        <w:ind w:left="5891" w:right="3128"/>
        <w:jc w:val="center"/>
        <w:rPr>
          <w:rFonts w:ascii="Arial" w:hAnsi="Arial" w:cs="Arial" w:eastAsia="Arial" w:hint="default"/>
        </w:rPr>
      </w:pPr>
      <w:r>
        <w:rPr>
          <w:rFonts w:ascii="Arial"/>
          <w:w w:val="99"/>
        </w:rPr>
        <w:t>)</w:t>
      </w:r>
      <w:r>
        <w:rPr>
          <w:rFonts w:ascii="Arial"/>
        </w:rPr>
      </w:r>
    </w:p>
    <w:p>
      <w:pPr>
        <w:pStyle w:val="BodyText"/>
        <w:spacing w:line="240" w:lineRule="auto" w:before="24"/>
        <w:ind w:left="5891" w:right="3128"/>
        <w:jc w:val="center"/>
        <w:rPr>
          <w:rFonts w:ascii="Arial" w:hAnsi="Arial" w:cs="Arial" w:eastAsia="Arial" w:hint="default"/>
        </w:rPr>
      </w:pPr>
      <w:r>
        <w:rPr>
          <w:rFonts w:ascii="Arial"/>
          <w:w w:val="99"/>
        </w:rPr>
        <w:t>)</w:t>
      </w:r>
      <w:r>
        <w:rPr>
          <w:rFonts w:ascii="Arial"/>
        </w:rPr>
      </w:r>
    </w:p>
    <w:p>
      <w:pPr>
        <w:pStyle w:val="BodyText"/>
        <w:spacing w:line="240" w:lineRule="auto" w:before="24"/>
        <w:ind w:left="5891" w:right="3128"/>
        <w:jc w:val="center"/>
        <w:rPr>
          <w:rFonts w:ascii="Arial" w:hAnsi="Arial" w:cs="Arial" w:eastAsia="Arial" w:hint="default"/>
        </w:rPr>
      </w:pPr>
      <w:r>
        <w:rPr>
          <w:rFonts w:ascii="Arial"/>
          <w:w w:val="99"/>
        </w:rPr>
        <w:t>)</w:t>
      </w:r>
      <w:r>
        <w:rPr>
          <w:rFonts w:ascii="Arial"/>
        </w:rPr>
      </w:r>
    </w:p>
    <w:p>
      <w:pPr>
        <w:spacing w:line="240" w:lineRule="auto" w:before="0"/>
        <w:rPr>
          <w:rFonts w:ascii="Arial" w:hAnsi="Arial" w:cs="Arial" w:eastAsia="Arial" w:hint="default"/>
          <w:sz w:val="18"/>
          <w:szCs w:val="18"/>
        </w:rPr>
      </w:pPr>
    </w:p>
    <w:p>
      <w:pPr>
        <w:pStyle w:val="BodyText"/>
        <w:spacing w:line="240" w:lineRule="auto" w:before="74"/>
        <w:ind w:left="5891" w:right="3128"/>
        <w:jc w:val="center"/>
        <w:rPr>
          <w:rFonts w:ascii="Arial" w:hAnsi="Arial" w:cs="Arial" w:eastAsia="Arial" w:hint="default"/>
        </w:rPr>
      </w:pPr>
      <w:r>
        <w:rPr>
          <w:rFonts w:ascii="Arial"/>
          <w:w w:val="99"/>
        </w:rPr>
        <w:t>)</w:t>
      </w:r>
      <w:r>
        <w:rPr>
          <w:rFonts w:ascii="Arial"/>
        </w:rPr>
      </w:r>
    </w:p>
    <w:p>
      <w:pPr>
        <w:spacing w:after="0" w:line="240" w:lineRule="auto"/>
        <w:jc w:val="center"/>
        <w:rPr>
          <w:rFonts w:ascii="Arial" w:hAnsi="Arial" w:cs="Arial" w:eastAsia="Arial" w:hint="default"/>
        </w:rPr>
        <w:sectPr>
          <w:pgSz w:w="11910" w:h="16850"/>
          <w:pgMar w:header="957" w:footer="830" w:top="2520" w:bottom="1020" w:left="1600" w:right="1180"/>
        </w:sectPr>
      </w:pPr>
    </w:p>
    <w:p>
      <w:pPr>
        <w:spacing w:line="240" w:lineRule="auto" w:before="5"/>
        <w:rPr>
          <w:rFonts w:ascii="Arial" w:hAnsi="Arial" w:cs="Arial" w:eastAsia="Arial" w:hint="default"/>
          <w:sz w:val="24"/>
          <w:szCs w:val="24"/>
        </w:rPr>
      </w:pPr>
    </w:p>
    <w:p>
      <w:pPr>
        <w:pStyle w:val="Heading6"/>
        <w:tabs>
          <w:tab w:pos="804" w:val="left" w:leader="none"/>
        </w:tabs>
        <w:spacing w:line="240" w:lineRule="auto"/>
        <w:ind w:right="232"/>
        <w:jc w:val="left"/>
        <w:rPr>
          <w:b w:val="0"/>
          <w:bCs w:val="0"/>
        </w:rPr>
      </w:pPr>
      <w:r>
        <w:rPr>
          <w:w w:val="95"/>
        </w:rPr>
        <w:t>五、</w:t>
        <w:tab/>
      </w:r>
      <w:bookmarkStart w:name="五、   合并财务报表主要项目注释（续）" w:id="92"/>
      <w:bookmarkEnd w:id="92"/>
      <w:r>
        <w:rPr/>
        <w:t>合并</w:t>
      </w:r>
      <w:r>
        <w:rPr/>
        <w:t>财务报表主要项目注释（续）</w:t>
      </w:r>
      <w:r>
        <w:rPr>
          <w:b w:val="0"/>
          <w:bCs w:val="0"/>
        </w:rPr>
      </w:r>
    </w:p>
    <w:p>
      <w:pPr>
        <w:spacing w:line="240" w:lineRule="auto" w:before="8"/>
        <w:rPr>
          <w:rFonts w:ascii="黑体" w:hAnsi="黑体" w:cs="黑体" w:eastAsia="黑体" w:hint="default"/>
          <w:b/>
          <w:bCs/>
          <w:sz w:val="19"/>
          <w:szCs w:val="19"/>
        </w:rPr>
      </w:pPr>
    </w:p>
    <w:p>
      <w:pPr>
        <w:pStyle w:val="Heading6"/>
        <w:tabs>
          <w:tab w:pos="819" w:val="left" w:leader="none"/>
        </w:tabs>
        <w:spacing w:line="240" w:lineRule="auto" w:before="0"/>
        <w:ind w:right="232"/>
        <w:jc w:val="left"/>
        <w:rPr>
          <w:b w:val="0"/>
          <w:bCs w:val="0"/>
        </w:rPr>
      </w:pPr>
      <w:r>
        <w:rPr>
          <w:rFonts w:ascii="Arial" w:hAnsi="Arial" w:cs="Arial" w:eastAsia="Arial" w:hint="default"/>
          <w:spacing w:val="-1"/>
          <w:w w:val="95"/>
        </w:rPr>
        <w:t>12.</w:t>
        <w:tab/>
      </w:r>
      <w:r>
        <w:rPr>
          <w:spacing w:val="2"/>
        </w:rPr>
        <w:t>无形资产（续）</w:t>
      </w:r>
      <w:r>
        <w:rPr>
          <w:b w:val="0"/>
          <w:bCs w:val="0"/>
        </w:rPr>
      </w:r>
    </w:p>
    <w:p>
      <w:pPr>
        <w:spacing w:line="240" w:lineRule="auto" w:before="9"/>
        <w:rPr>
          <w:rFonts w:ascii="黑体" w:hAnsi="黑体" w:cs="黑体" w:eastAsia="黑体" w:hint="default"/>
          <w:b/>
          <w:bCs/>
          <w:sz w:val="20"/>
          <w:szCs w:val="20"/>
        </w:rPr>
      </w:pPr>
    </w:p>
    <w:p>
      <w:pPr>
        <w:pStyle w:val="BodyText"/>
        <w:spacing w:line="260" w:lineRule="exact"/>
        <w:ind w:left="809" w:right="270" w:firstLine="4"/>
        <w:jc w:val="both"/>
      </w:pPr>
      <w:r>
        <w:rPr/>
        <w:t>软件使用权本年新增主要为本公司购买的微软</w:t>
      </w:r>
      <w:r>
        <w:rPr>
          <w:rFonts w:ascii="Arial" w:hAnsi="Arial" w:cs="Arial" w:eastAsia="Arial" w:hint="default"/>
        </w:rPr>
        <w:t>EAP</w:t>
      </w:r>
      <w:r>
        <w:rPr/>
        <w:t>研发工具、</w:t>
      </w:r>
      <w:r>
        <w:rPr>
          <w:rFonts w:ascii="Arial" w:hAnsi="Arial" w:cs="Arial" w:eastAsia="Arial" w:hint="default"/>
        </w:rPr>
        <w:t>Sybase Power</w:t>
      </w:r>
      <w:r>
        <w:rPr>
          <w:rFonts w:ascii="Arial" w:hAnsi="Arial" w:cs="Arial" w:eastAsia="Arial" w:hint="default"/>
          <w:spacing w:val="-20"/>
        </w:rPr>
        <w:t> </w:t>
      </w:r>
      <w:r>
        <w:rPr>
          <w:rFonts w:ascii="Arial" w:hAnsi="Arial" w:cs="Arial" w:eastAsia="Arial" w:hint="default"/>
        </w:rPr>
        <w:t>Designer</w:t>
      </w:r>
      <w:r>
        <w:rPr/>
        <w:t>等软</w:t>
      </w:r>
      <w:r>
        <w:rPr>
          <w:w w:val="99"/>
        </w:rPr>
        <w:t> </w:t>
      </w:r>
      <w:r>
        <w:rPr/>
        <w:t>件使用权，金额为人民币</w:t>
      </w:r>
      <w:r>
        <w:rPr>
          <w:rFonts w:ascii="Arial" w:hAnsi="Arial" w:cs="Arial" w:eastAsia="Arial" w:hint="default"/>
        </w:rPr>
        <w:t>2,194,542</w:t>
      </w:r>
      <w:r>
        <w:rPr/>
        <w:t>元。</w:t>
      </w:r>
    </w:p>
    <w:p>
      <w:pPr>
        <w:spacing w:line="240" w:lineRule="auto" w:before="1"/>
        <w:rPr>
          <w:rFonts w:ascii="黑体" w:hAnsi="黑体" w:cs="黑体" w:eastAsia="黑体" w:hint="default"/>
          <w:sz w:val="19"/>
          <w:szCs w:val="19"/>
        </w:rPr>
      </w:pPr>
    </w:p>
    <w:p>
      <w:pPr>
        <w:pStyle w:val="BodyText"/>
        <w:spacing w:line="225" w:lineRule="auto"/>
        <w:ind w:left="809" w:right="262"/>
        <w:jc w:val="both"/>
      </w:pPr>
      <w:r>
        <w:rPr>
          <w:spacing w:val="2"/>
        </w:rPr>
        <w:t>土地使用权包括用友软件</w:t>
      </w:r>
      <w:bookmarkStart w:name="土地使用权包括用友软件园一期的土地出让金及相关税费人民币7,235,590元和开" w:id="93"/>
      <w:bookmarkEnd w:id="93"/>
      <w:r>
        <w:rPr>
          <w:spacing w:val="2"/>
        </w:rPr>
        <w:t>园</w:t>
      </w:r>
      <w:r>
        <w:rPr>
          <w:spacing w:val="2"/>
        </w:rPr>
        <w:t>一期的土地出让金及相关税费人民币</w:t>
      </w:r>
      <w:r>
        <w:rPr>
          <w:rFonts w:ascii="Arial" w:hAnsi="Arial" w:cs="Arial" w:eastAsia="Arial" w:hint="default"/>
          <w:spacing w:val="2"/>
        </w:rPr>
        <w:t>7,235,590</w:t>
      </w:r>
      <w:r>
        <w:rPr>
          <w:spacing w:val="2"/>
        </w:rPr>
        <w:t>元和开发建设费</w:t>
      </w:r>
      <w:r>
        <w:rPr>
          <w:w w:val="99"/>
        </w:rPr>
        <w:t> </w:t>
      </w:r>
      <w:r>
        <w:rPr/>
        <w:t>人民币</w:t>
      </w:r>
      <w:r>
        <w:rPr>
          <w:rFonts w:ascii="Arial" w:hAnsi="Arial" w:cs="Arial" w:eastAsia="Arial" w:hint="default"/>
        </w:rPr>
        <w:t>100,987,500</w:t>
      </w:r>
      <w:r>
        <w:rPr/>
        <w:t>元，用友软件园二期的土地出让金及相关税费人民币</w:t>
      </w:r>
      <w:r>
        <w:rPr>
          <w:rFonts w:ascii="Arial" w:hAnsi="Arial" w:cs="Arial" w:eastAsia="Arial" w:hint="default"/>
        </w:rPr>
        <w:t>77,130,460</w:t>
      </w:r>
      <w:r>
        <w:rPr/>
        <w:t>元、开</w:t>
      </w:r>
      <w:r>
        <w:rPr>
          <w:spacing w:val="-53"/>
        </w:rPr>
        <w:t> </w:t>
      </w:r>
      <w:r>
        <w:rPr>
          <w:spacing w:val="-53"/>
        </w:rPr>
      </w:r>
      <w:r>
        <w:rPr/>
        <w:t>发建设费人民币</w:t>
      </w:r>
      <w:r>
        <w:rPr>
          <w:rFonts w:ascii="Arial" w:hAnsi="Arial" w:cs="Arial" w:eastAsia="Arial" w:hint="default"/>
        </w:rPr>
        <w:t>108,609,120</w:t>
      </w:r>
      <w:r>
        <w:rPr/>
        <w:t>元和城市基础设施费人民币</w:t>
      </w:r>
      <w:r>
        <w:rPr>
          <w:rFonts w:ascii="Arial" w:hAnsi="Arial" w:cs="Arial" w:eastAsia="Arial" w:hint="default"/>
        </w:rPr>
        <w:t>3,393,800</w:t>
      </w:r>
      <w:r>
        <w:rPr/>
        <w:t>元，以及用友</w:t>
      </w:r>
      <w:r>
        <w:rPr>
          <w:rFonts w:ascii="Arial" w:hAnsi="Arial" w:cs="Arial" w:eastAsia="Arial" w:hint="default"/>
        </w:rPr>
        <w:t>(</w:t>
      </w:r>
      <w:r>
        <w:rPr/>
        <w:t>南昌</w:t>
      </w:r>
      <w:r>
        <w:rPr>
          <w:rFonts w:ascii="Arial" w:hAnsi="Arial" w:cs="Arial" w:eastAsia="Arial" w:hint="default"/>
        </w:rPr>
        <w:t>)</w:t>
      </w:r>
      <w:r>
        <w:rPr/>
        <w:t>的土</w:t>
      </w:r>
      <w:r>
        <w:rPr>
          <w:spacing w:val="-69"/>
        </w:rPr>
        <w:t> </w:t>
      </w:r>
      <w:r>
        <w:rPr>
          <w:spacing w:val="2"/>
        </w:rPr>
        <w:t>地出让金及相关税费人民币</w:t>
      </w:r>
      <w:r>
        <w:rPr>
          <w:rFonts w:ascii="Arial" w:hAnsi="Arial" w:cs="Arial" w:eastAsia="Arial" w:hint="default"/>
          <w:spacing w:val="2"/>
        </w:rPr>
        <w:t>37,625,849</w:t>
      </w:r>
      <w:r>
        <w:rPr>
          <w:spacing w:val="2"/>
        </w:rPr>
        <w:t>元。截至</w:t>
      </w:r>
      <w:r>
        <w:rPr>
          <w:rFonts w:ascii="Arial" w:hAnsi="Arial" w:cs="Arial" w:eastAsia="Arial" w:hint="default"/>
          <w:spacing w:val="2"/>
        </w:rPr>
        <w:t>2012</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日，本公司尚未支付的上述</w:t>
      </w:r>
      <w:r>
        <w:rPr>
          <w:spacing w:val="4"/>
          <w:w w:val="99"/>
        </w:rPr>
        <w:t> </w:t>
      </w:r>
      <w:r>
        <w:rPr/>
        <w:t>开发建设费共计人民币</w:t>
      </w:r>
      <w:r>
        <w:rPr>
          <w:rFonts w:ascii="Arial" w:hAnsi="Arial" w:cs="Arial" w:eastAsia="Arial" w:hint="default"/>
        </w:rPr>
        <w:t>74,596,620</w:t>
      </w:r>
      <w:r>
        <w:rPr/>
        <w:t>元。</w:t>
      </w:r>
    </w:p>
    <w:p>
      <w:pPr>
        <w:spacing w:line="240" w:lineRule="auto" w:before="13"/>
        <w:rPr>
          <w:rFonts w:ascii="黑体" w:hAnsi="黑体" w:cs="黑体" w:eastAsia="黑体" w:hint="default"/>
          <w:sz w:val="19"/>
          <w:szCs w:val="19"/>
        </w:rPr>
      </w:pPr>
    </w:p>
    <w:p>
      <w:pPr>
        <w:pStyle w:val="BodyText"/>
        <w:spacing w:line="225" w:lineRule="auto"/>
        <w:ind w:right="313"/>
        <w:jc w:val="both"/>
      </w:pP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日，本公司以账面价值为人民币</w:t>
      </w:r>
      <w:r>
        <w:rPr>
          <w:rFonts w:ascii="Arial" w:hAnsi="Arial" w:cs="Arial" w:eastAsia="Arial" w:hint="default"/>
        </w:rPr>
        <w:t>75,028,616</w:t>
      </w:r>
      <w:r>
        <w:rPr/>
        <w:t>元的土地使用权及价值为人民</w:t>
      </w:r>
      <w:r>
        <w:rPr>
          <w:spacing w:val="-76"/>
        </w:rPr>
        <w:t> </w:t>
      </w:r>
      <w:r>
        <w:rPr>
          <w:spacing w:val="-76"/>
        </w:rPr>
      </w:r>
      <w:r>
        <w:rPr/>
        <w:t>币</w:t>
      </w:r>
      <w:r>
        <w:rPr>
          <w:rFonts w:ascii="Arial" w:hAnsi="Arial" w:cs="Arial" w:eastAsia="Arial" w:hint="default"/>
        </w:rPr>
        <w:t>291,898,651</w:t>
      </w:r>
      <w:r>
        <w:rPr/>
        <w:t>元的地上在建工程为抵押，取得招商银行股份有限公司北京清华园支行借款</w:t>
      </w:r>
      <w:r>
        <w:rPr>
          <w:spacing w:val="-96"/>
        </w:rPr>
        <w:t> </w:t>
      </w:r>
      <w:r>
        <w:rPr>
          <w:spacing w:val="-96"/>
        </w:rPr>
      </w:r>
      <w:r>
        <w:rPr/>
        <w:t>人民币</w:t>
      </w:r>
      <w:r>
        <w:rPr>
          <w:rFonts w:ascii="Arial" w:hAnsi="Arial" w:cs="Arial" w:eastAsia="Arial" w:hint="default"/>
        </w:rPr>
        <w:t>158,763,319</w:t>
      </w:r>
      <w:r>
        <w:rPr/>
        <w:t>元；</w:t>
      </w:r>
      <w:r>
        <w:rPr>
          <w:rFonts w:ascii="Arial" w:hAnsi="Arial" w:cs="Arial" w:eastAsia="Arial" w:hint="default"/>
        </w:rPr>
        <w:t>2012</w:t>
      </w:r>
      <w:r>
        <w:rPr/>
        <w:t>年该土地使用权的摊销额为人民币</w:t>
      </w:r>
      <w:r>
        <w:rPr>
          <w:rFonts w:ascii="Arial" w:hAnsi="Arial" w:cs="Arial" w:eastAsia="Arial" w:hint="default"/>
        </w:rPr>
        <w:t>1,689,200</w:t>
      </w:r>
      <w:r>
        <w:rPr/>
        <w:t>元。详情参见附</w:t>
      </w:r>
      <w:r>
        <w:rPr>
          <w:spacing w:val="-39"/>
        </w:rPr>
        <w:t> </w:t>
      </w:r>
      <w:r>
        <w:rPr>
          <w:spacing w:val="-39"/>
        </w:rPr>
      </w:r>
      <w:r>
        <w:rPr/>
        <w:t>注五、</w:t>
      </w:r>
      <w:r>
        <w:rPr>
          <w:rFonts w:ascii="Arial" w:hAnsi="Arial" w:cs="Arial" w:eastAsia="Arial" w:hint="default"/>
        </w:rPr>
        <w:t>28</w:t>
      </w:r>
      <w:r>
        <w:rPr/>
        <w:t>。</w:t>
      </w:r>
    </w:p>
    <w:p>
      <w:pPr>
        <w:spacing w:line="240" w:lineRule="auto" w:before="12"/>
        <w:rPr>
          <w:rFonts w:ascii="黑体" w:hAnsi="黑体" w:cs="黑体" w:eastAsia="黑体" w:hint="default"/>
          <w:sz w:val="18"/>
          <w:szCs w:val="18"/>
        </w:rPr>
      </w:pPr>
    </w:p>
    <w:p>
      <w:pPr>
        <w:pStyle w:val="Heading6"/>
        <w:tabs>
          <w:tab w:pos="819" w:val="left" w:leader="none"/>
        </w:tabs>
        <w:spacing w:line="240" w:lineRule="auto" w:before="0"/>
        <w:ind w:right="232"/>
        <w:jc w:val="left"/>
        <w:rPr>
          <w:b w:val="0"/>
          <w:bCs w:val="0"/>
        </w:rPr>
      </w:pPr>
      <w:r>
        <w:rPr>
          <w:rFonts w:ascii="Arial" w:hAnsi="Arial" w:cs="Arial" w:eastAsia="Arial" w:hint="default"/>
          <w:spacing w:val="-1"/>
          <w:w w:val="95"/>
        </w:rPr>
        <w:t>13.</w:t>
        <w:tab/>
      </w:r>
      <w:r>
        <w:rPr>
          <w:spacing w:val="2"/>
        </w:rPr>
        <w:t>开发支出</w:t>
      </w:r>
      <w:r>
        <w:rPr>
          <w:b w:val="0"/>
          <w:bCs w:val="0"/>
        </w:rPr>
      </w:r>
    </w:p>
    <w:p>
      <w:pPr>
        <w:spacing w:line="240" w:lineRule="auto" w:before="7"/>
        <w:rPr>
          <w:rFonts w:ascii="黑体" w:hAnsi="黑体" w:cs="黑体" w:eastAsia="黑体" w:hint="default"/>
          <w:b/>
          <w:bCs/>
          <w:sz w:val="18"/>
          <w:szCs w:val="18"/>
        </w:rPr>
      </w:pPr>
    </w:p>
    <w:p>
      <w:pPr>
        <w:pStyle w:val="BodyText"/>
        <w:spacing w:line="388" w:lineRule="auto"/>
        <w:ind w:right="6576"/>
        <w:jc w:val="left"/>
      </w:pPr>
      <w:r>
        <w:rPr/>
        <w:pict>
          <v:shape style="position:absolute;margin-left:115.879997pt;margin-top:37.562363pt;width:411.45pt;height:124.45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87"/>
                    <w:gridCol w:w="661"/>
                    <w:gridCol w:w="1499"/>
                    <w:gridCol w:w="1158"/>
                    <w:gridCol w:w="968"/>
                    <w:gridCol w:w="1756"/>
                  </w:tblGrid>
                  <w:tr>
                    <w:trPr>
                      <w:trHeight w:val="222" w:hRule="exact"/>
                    </w:trPr>
                    <w:tc>
                      <w:tcPr>
                        <w:tcW w:w="2848" w:type="dxa"/>
                        <w:gridSpan w:val="2"/>
                        <w:tcBorders>
                          <w:top w:val="nil" w:sz="6" w:space="0" w:color="auto"/>
                          <w:left w:val="nil" w:sz="6" w:space="0" w:color="auto"/>
                          <w:bottom w:val="nil" w:sz="6" w:space="0" w:color="auto"/>
                          <w:right w:val="nil" w:sz="6" w:space="0" w:color="auto"/>
                        </w:tcBorders>
                      </w:tcPr>
                      <w:p>
                        <w:pPr>
                          <w:pStyle w:val="TableParagraph"/>
                          <w:spacing w:line="199" w:lineRule="exact"/>
                          <w:ind w:right="205"/>
                          <w:jc w:val="right"/>
                          <w:rPr>
                            <w:rFonts w:ascii="黑体" w:hAnsi="黑体" w:cs="黑体" w:eastAsia="黑体" w:hint="default"/>
                            <w:sz w:val="20"/>
                            <w:szCs w:val="20"/>
                          </w:rPr>
                        </w:pPr>
                        <w:r>
                          <w:rPr>
                            <w:rFonts w:ascii="黑体" w:hAnsi="黑体" w:cs="黑体" w:eastAsia="黑体" w:hint="default"/>
                            <w:w w:val="95"/>
                            <w:sz w:val="20"/>
                            <w:szCs w:val="20"/>
                          </w:rPr>
                          <w:t>年初数</w:t>
                        </w:r>
                        <w:r>
                          <w:rPr>
                            <w:rFonts w:ascii="黑体" w:hAnsi="黑体" w:cs="黑体" w:eastAsia="黑体" w:hint="default"/>
                            <w:sz w:val="20"/>
                            <w:szCs w:val="20"/>
                          </w:rPr>
                        </w:r>
                      </w:p>
                    </w:tc>
                    <w:tc>
                      <w:tcPr>
                        <w:tcW w:w="1499" w:type="dxa"/>
                        <w:tcBorders>
                          <w:top w:val="nil" w:sz="6" w:space="0" w:color="auto"/>
                          <w:left w:val="nil" w:sz="6" w:space="0" w:color="auto"/>
                          <w:bottom w:val="nil" w:sz="6" w:space="0" w:color="auto"/>
                          <w:right w:val="nil" w:sz="6" w:space="0" w:color="auto"/>
                        </w:tcBorders>
                      </w:tcPr>
                      <w:p>
                        <w:pPr>
                          <w:pStyle w:val="TableParagraph"/>
                          <w:spacing w:line="199" w:lineRule="exact"/>
                          <w:ind w:left="203" w:right="0"/>
                          <w:jc w:val="left"/>
                          <w:rPr>
                            <w:rFonts w:ascii="黑体" w:hAnsi="黑体" w:cs="黑体" w:eastAsia="黑体" w:hint="default"/>
                            <w:sz w:val="20"/>
                            <w:szCs w:val="20"/>
                          </w:rPr>
                        </w:pPr>
                        <w:r>
                          <w:rPr>
                            <w:rFonts w:ascii="黑体" w:hAnsi="黑体" w:cs="黑体" w:eastAsia="黑体" w:hint="default"/>
                            <w:sz w:val="20"/>
                            <w:szCs w:val="20"/>
                          </w:rPr>
                          <w:t>本年增加</w:t>
                        </w:r>
                      </w:p>
                    </w:tc>
                    <w:tc>
                      <w:tcPr>
                        <w:tcW w:w="2126" w:type="dxa"/>
                        <w:gridSpan w:val="2"/>
                        <w:tcBorders>
                          <w:top w:val="nil" w:sz="6" w:space="0" w:color="auto"/>
                          <w:left w:val="nil" w:sz="6" w:space="0" w:color="auto"/>
                          <w:bottom w:val="single" w:sz="4" w:space="0" w:color="000000"/>
                          <w:right w:val="nil" w:sz="6" w:space="0" w:color="auto"/>
                        </w:tcBorders>
                      </w:tcPr>
                      <w:p>
                        <w:pPr>
                          <w:pStyle w:val="TableParagraph"/>
                          <w:spacing w:line="199" w:lineRule="exact"/>
                          <w:ind w:left="614" w:right="0"/>
                          <w:jc w:val="left"/>
                          <w:rPr>
                            <w:rFonts w:ascii="黑体" w:hAnsi="黑体" w:cs="黑体" w:eastAsia="黑体" w:hint="default"/>
                            <w:sz w:val="20"/>
                            <w:szCs w:val="20"/>
                          </w:rPr>
                        </w:pPr>
                        <w:r>
                          <w:rPr>
                            <w:rFonts w:ascii="黑体" w:hAnsi="黑体" w:cs="黑体" w:eastAsia="黑体" w:hint="default"/>
                            <w:sz w:val="20"/>
                            <w:szCs w:val="20"/>
                          </w:rPr>
                          <w:t>本年减少</w:t>
                        </w:r>
                      </w:p>
                    </w:tc>
                    <w:tc>
                      <w:tcPr>
                        <w:tcW w:w="1756" w:type="dxa"/>
                        <w:tcBorders>
                          <w:top w:val="nil" w:sz="6" w:space="0" w:color="auto"/>
                          <w:left w:val="nil" w:sz="6" w:space="0" w:color="auto"/>
                          <w:bottom w:val="nil" w:sz="6" w:space="0" w:color="auto"/>
                          <w:right w:val="nil" w:sz="6" w:space="0" w:color="auto"/>
                        </w:tcBorders>
                      </w:tcPr>
                      <w:p>
                        <w:pPr>
                          <w:pStyle w:val="TableParagraph"/>
                          <w:spacing w:line="199" w:lineRule="exact"/>
                          <w:ind w:right="198"/>
                          <w:jc w:val="right"/>
                          <w:rPr>
                            <w:rFonts w:ascii="黑体" w:hAnsi="黑体" w:cs="黑体" w:eastAsia="黑体" w:hint="default"/>
                            <w:sz w:val="20"/>
                            <w:szCs w:val="20"/>
                          </w:rPr>
                        </w:pPr>
                        <w:r>
                          <w:rPr>
                            <w:rFonts w:ascii="黑体" w:hAnsi="黑体" w:cs="黑体" w:eastAsia="黑体" w:hint="default"/>
                            <w:w w:val="95"/>
                            <w:sz w:val="20"/>
                            <w:szCs w:val="20"/>
                          </w:rPr>
                          <w:t>年末数</w:t>
                        </w:r>
                        <w:r>
                          <w:rPr>
                            <w:rFonts w:ascii="黑体" w:hAnsi="黑体" w:cs="黑体" w:eastAsia="黑体" w:hint="default"/>
                            <w:sz w:val="20"/>
                            <w:szCs w:val="20"/>
                          </w:rPr>
                        </w:r>
                      </w:p>
                    </w:tc>
                  </w:tr>
                  <w:tr>
                    <w:trPr>
                      <w:trHeight w:val="542" w:hRule="exact"/>
                    </w:trPr>
                    <w:tc>
                      <w:tcPr>
                        <w:tcW w:w="2187" w:type="dxa"/>
                        <w:tcBorders>
                          <w:top w:val="nil" w:sz="6" w:space="0" w:color="auto"/>
                          <w:left w:val="nil" w:sz="6" w:space="0" w:color="auto"/>
                          <w:bottom w:val="nil" w:sz="6" w:space="0" w:color="auto"/>
                          <w:right w:val="nil" w:sz="6" w:space="0" w:color="auto"/>
                        </w:tcBorders>
                      </w:tcPr>
                      <w:p>
                        <w:pPr/>
                      </w:p>
                    </w:tc>
                    <w:tc>
                      <w:tcPr>
                        <w:tcW w:w="661" w:type="dxa"/>
                        <w:tcBorders>
                          <w:top w:val="nil" w:sz="6" w:space="0" w:color="auto"/>
                          <w:left w:val="nil" w:sz="6" w:space="0" w:color="auto"/>
                          <w:bottom w:val="nil" w:sz="6" w:space="0" w:color="auto"/>
                          <w:right w:val="nil" w:sz="6" w:space="0" w:color="auto"/>
                        </w:tcBorders>
                      </w:tcPr>
                      <w:p>
                        <w:pPr/>
                      </w:p>
                    </w:tc>
                    <w:tc>
                      <w:tcPr>
                        <w:tcW w:w="1499" w:type="dxa"/>
                        <w:tcBorders>
                          <w:top w:val="nil" w:sz="6" w:space="0" w:color="auto"/>
                          <w:left w:val="nil" w:sz="6" w:space="0" w:color="auto"/>
                          <w:bottom w:val="nil" w:sz="6" w:space="0" w:color="auto"/>
                          <w:right w:val="nil" w:sz="6" w:space="0" w:color="auto"/>
                        </w:tcBorders>
                      </w:tcPr>
                      <w:p>
                        <w:pPr/>
                      </w:p>
                    </w:tc>
                    <w:tc>
                      <w:tcPr>
                        <w:tcW w:w="1158" w:type="dxa"/>
                        <w:tcBorders>
                          <w:top w:val="single" w:sz="4" w:space="0" w:color="000000"/>
                          <w:left w:val="nil" w:sz="6" w:space="0" w:color="auto"/>
                          <w:bottom w:val="nil" w:sz="6" w:space="0" w:color="auto"/>
                          <w:right w:val="nil" w:sz="6" w:space="0" w:color="auto"/>
                        </w:tcBorders>
                      </w:tcPr>
                      <w:p>
                        <w:pPr>
                          <w:pStyle w:val="TableParagraph"/>
                          <w:spacing w:line="182" w:lineRule="exact"/>
                          <w:ind w:left="189" w:right="0"/>
                          <w:jc w:val="left"/>
                          <w:rPr>
                            <w:rFonts w:ascii="黑体" w:hAnsi="黑体" w:cs="黑体" w:eastAsia="黑体" w:hint="default"/>
                            <w:sz w:val="20"/>
                            <w:szCs w:val="20"/>
                          </w:rPr>
                        </w:pPr>
                        <w:r>
                          <w:rPr>
                            <w:rFonts w:ascii="黑体" w:hAnsi="黑体" w:cs="黑体" w:eastAsia="黑体" w:hint="default"/>
                            <w:sz w:val="20"/>
                            <w:szCs w:val="20"/>
                          </w:rPr>
                          <w:t>计入当期</w:t>
                        </w:r>
                      </w:p>
                      <w:p>
                        <w:pPr>
                          <w:pStyle w:val="TableParagraph"/>
                          <w:spacing w:line="240" w:lineRule="exact"/>
                          <w:ind w:left="588" w:right="0"/>
                          <w:jc w:val="left"/>
                          <w:rPr>
                            <w:rFonts w:ascii="黑体" w:hAnsi="黑体" w:cs="黑体" w:eastAsia="黑体" w:hint="default"/>
                            <w:sz w:val="20"/>
                            <w:szCs w:val="20"/>
                          </w:rPr>
                        </w:pPr>
                        <w:r>
                          <w:rPr>
                            <w:rFonts w:ascii="黑体" w:hAnsi="黑体" w:cs="黑体" w:eastAsia="黑体" w:hint="default"/>
                            <w:sz w:val="20"/>
                            <w:szCs w:val="20"/>
                          </w:rPr>
                          <w:t>损益</w:t>
                        </w:r>
                      </w:p>
                    </w:tc>
                    <w:tc>
                      <w:tcPr>
                        <w:tcW w:w="968" w:type="dxa"/>
                        <w:tcBorders>
                          <w:top w:val="single" w:sz="4" w:space="0" w:color="000000"/>
                          <w:left w:val="nil" w:sz="6" w:space="0" w:color="auto"/>
                          <w:bottom w:val="nil" w:sz="6" w:space="0" w:color="auto"/>
                          <w:right w:val="nil" w:sz="6" w:space="0" w:color="auto"/>
                        </w:tcBorders>
                      </w:tcPr>
                      <w:p>
                        <w:pPr>
                          <w:pStyle w:val="TableParagraph"/>
                          <w:spacing w:line="182" w:lineRule="exact"/>
                          <w:ind w:left="167" w:right="0"/>
                          <w:jc w:val="left"/>
                          <w:rPr>
                            <w:rFonts w:ascii="黑体" w:hAnsi="黑体" w:cs="黑体" w:eastAsia="黑体" w:hint="default"/>
                            <w:sz w:val="20"/>
                            <w:szCs w:val="20"/>
                          </w:rPr>
                        </w:pPr>
                        <w:r>
                          <w:rPr>
                            <w:rFonts w:ascii="黑体" w:hAnsi="黑体" w:cs="黑体" w:eastAsia="黑体" w:hint="default"/>
                            <w:w w:val="95"/>
                            <w:sz w:val="20"/>
                            <w:szCs w:val="20"/>
                          </w:rPr>
                          <w:t>确认无形</w:t>
                        </w:r>
                        <w:r>
                          <w:rPr>
                            <w:rFonts w:ascii="黑体" w:hAnsi="黑体" w:cs="黑体" w:eastAsia="黑体" w:hint="default"/>
                            <w:sz w:val="20"/>
                            <w:szCs w:val="20"/>
                          </w:rPr>
                        </w:r>
                      </w:p>
                      <w:p>
                        <w:pPr>
                          <w:pStyle w:val="TableParagraph"/>
                          <w:spacing w:line="240" w:lineRule="exact"/>
                          <w:ind w:left="565" w:right="0"/>
                          <w:jc w:val="left"/>
                          <w:rPr>
                            <w:rFonts w:ascii="黑体" w:hAnsi="黑体" w:cs="黑体" w:eastAsia="黑体" w:hint="default"/>
                            <w:sz w:val="20"/>
                            <w:szCs w:val="20"/>
                          </w:rPr>
                        </w:pPr>
                        <w:r>
                          <w:rPr>
                            <w:rFonts w:ascii="黑体" w:hAnsi="黑体" w:cs="黑体" w:eastAsia="黑体" w:hint="default"/>
                            <w:sz w:val="20"/>
                            <w:szCs w:val="20"/>
                          </w:rPr>
                          <w:t>资产</w:t>
                        </w:r>
                      </w:p>
                    </w:tc>
                    <w:tc>
                      <w:tcPr>
                        <w:tcW w:w="1756" w:type="dxa"/>
                        <w:tcBorders>
                          <w:top w:val="nil" w:sz="6" w:space="0" w:color="auto"/>
                          <w:left w:val="nil" w:sz="6" w:space="0" w:color="auto"/>
                          <w:bottom w:val="nil" w:sz="6" w:space="0" w:color="auto"/>
                          <w:right w:val="nil" w:sz="6" w:space="0" w:color="auto"/>
                        </w:tcBorders>
                      </w:tcPr>
                      <w:p>
                        <w:pPr/>
                      </w:p>
                    </w:tc>
                  </w:tr>
                  <w:tr>
                    <w:trPr>
                      <w:trHeight w:val="334" w:hRule="exact"/>
                    </w:trPr>
                    <w:tc>
                      <w:tcPr>
                        <w:tcW w:w="218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00" w:right="0"/>
                          <w:jc w:val="left"/>
                          <w:rPr>
                            <w:rFonts w:ascii="黑体" w:hAnsi="黑体" w:cs="黑体" w:eastAsia="黑体" w:hint="default"/>
                            <w:sz w:val="20"/>
                            <w:szCs w:val="20"/>
                          </w:rPr>
                        </w:pPr>
                        <w:r>
                          <w:rPr>
                            <w:rFonts w:ascii="Arial" w:hAnsi="Arial" w:cs="Arial" w:eastAsia="Arial" w:hint="default"/>
                            <w:sz w:val="20"/>
                            <w:szCs w:val="20"/>
                          </w:rPr>
                          <w:t>PaaS</w:t>
                        </w:r>
                        <w:r>
                          <w:rPr>
                            <w:rFonts w:ascii="黑体" w:hAnsi="黑体" w:cs="黑体" w:eastAsia="黑体" w:hint="default"/>
                            <w:sz w:val="20"/>
                            <w:szCs w:val="20"/>
                          </w:rPr>
                          <w:t>云平台</w:t>
                        </w: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03"/>
                          <w:jc w:val="right"/>
                          <w:rPr>
                            <w:rFonts w:ascii="Arial" w:hAnsi="Arial" w:cs="Arial" w:eastAsia="Arial" w:hint="default"/>
                            <w:sz w:val="20"/>
                            <w:szCs w:val="20"/>
                          </w:rPr>
                        </w:pPr>
                        <w:r>
                          <w:rPr>
                            <w:rFonts w:ascii="Arial"/>
                            <w:w w:val="99"/>
                            <w:sz w:val="20"/>
                          </w:rPr>
                          <w:t>-</w:t>
                        </w:r>
                        <w:r>
                          <w:rPr>
                            <w:rFonts w:ascii="Arial"/>
                            <w:sz w:val="20"/>
                          </w:rPr>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12" w:right="0"/>
                          <w:jc w:val="left"/>
                          <w:rPr>
                            <w:rFonts w:ascii="Arial" w:hAnsi="Arial" w:cs="Arial" w:eastAsia="Arial" w:hint="default"/>
                            <w:sz w:val="20"/>
                            <w:szCs w:val="20"/>
                          </w:rPr>
                        </w:pPr>
                        <w:r>
                          <w:rPr>
                            <w:rFonts w:ascii="Arial"/>
                            <w:sz w:val="20"/>
                          </w:rPr>
                          <w:t>19,824,563</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67"/>
                          <w:jc w:val="right"/>
                          <w:rPr>
                            <w:rFonts w:ascii="Arial" w:hAnsi="Arial" w:cs="Arial" w:eastAsia="Arial" w:hint="default"/>
                            <w:sz w:val="20"/>
                            <w:szCs w:val="20"/>
                          </w:rPr>
                        </w:pPr>
                        <w:r>
                          <w:rPr>
                            <w:rFonts w:ascii="Arial"/>
                            <w:w w:val="99"/>
                            <w:sz w:val="20"/>
                          </w:rPr>
                          <w:t>-</w:t>
                        </w:r>
                        <w:r>
                          <w:rPr>
                            <w:rFonts w:ascii="Arial"/>
                            <w:sz w:val="20"/>
                          </w:rPr>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0"/>
                          <w:jc w:val="right"/>
                          <w:rPr>
                            <w:rFonts w:ascii="Arial" w:hAnsi="Arial" w:cs="Arial" w:eastAsia="Arial" w:hint="default"/>
                            <w:sz w:val="20"/>
                            <w:szCs w:val="20"/>
                          </w:rPr>
                        </w:pPr>
                        <w:r>
                          <w:rPr>
                            <w:rFonts w:ascii="Arial"/>
                            <w:w w:val="99"/>
                            <w:sz w:val="20"/>
                          </w:rPr>
                          <w:t>-</w:t>
                        </w:r>
                        <w:r>
                          <w:rPr>
                            <w:rFonts w:ascii="Arial"/>
                            <w:sz w:val="20"/>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98"/>
                          <w:jc w:val="right"/>
                          <w:rPr>
                            <w:rFonts w:ascii="Arial" w:hAnsi="Arial" w:cs="Arial" w:eastAsia="Arial" w:hint="default"/>
                            <w:sz w:val="20"/>
                            <w:szCs w:val="20"/>
                          </w:rPr>
                        </w:pPr>
                        <w:r>
                          <w:rPr>
                            <w:rFonts w:ascii="Arial"/>
                            <w:spacing w:val="-1"/>
                            <w:sz w:val="20"/>
                          </w:rPr>
                          <w:t>19,824,563</w:t>
                        </w:r>
                        <w:r>
                          <w:rPr>
                            <w:rFonts w:ascii="Arial"/>
                            <w:sz w:val="20"/>
                          </w:rPr>
                        </w:r>
                      </w:p>
                    </w:tc>
                  </w:tr>
                  <w:tr>
                    <w:trPr>
                      <w:trHeight w:val="456" w:hRule="exact"/>
                    </w:trPr>
                    <w:tc>
                      <w:tcPr>
                        <w:tcW w:w="2187" w:type="dxa"/>
                        <w:tcBorders>
                          <w:top w:val="nil" w:sz="6" w:space="0" w:color="auto"/>
                          <w:left w:val="nil" w:sz="6" w:space="0" w:color="auto"/>
                          <w:bottom w:val="nil" w:sz="6" w:space="0" w:color="auto"/>
                          <w:right w:val="nil" w:sz="6" w:space="0" w:color="auto"/>
                        </w:tcBorders>
                      </w:tcPr>
                      <w:p>
                        <w:pPr>
                          <w:pStyle w:val="TableParagraph"/>
                          <w:spacing w:line="184" w:lineRule="exact"/>
                          <w:ind w:left="200" w:right="0"/>
                          <w:jc w:val="left"/>
                          <w:rPr>
                            <w:rFonts w:ascii="黑体" w:hAnsi="黑体" w:cs="黑体" w:eastAsia="黑体" w:hint="default"/>
                            <w:sz w:val="20"/>
                            <w:szCs w:val="20"/>
                          </w:rPr>
                        </w:pPr>
                        <w:r>
                          <w:rPr>
                            <w:rFonts w:ascii="黑体" w:hAnsi="黑体" w:cs="黑体" w:eastAsia="黑体" w:hint="default"/>
                            <w:sz w:val="20"/>
                            <w:szCs w:val="20"/>
                          </w:rPr>
                          <w:t>新一代商业智能平</w:t>
                        </w:r>
                      </w:p>
                      <w:p>
                        <w:pPr>
                          <w:pStyle w:val="TableParagraph"/>
                          <w:spacing w:line="256" w:lineRule="exact"/>
                          <w:ind w:left="375" w:right="0"/>
                          <w:jc w:val="left"/>
                          <w:rPr>
                            <w:rFonts w:ascii="黑体" w:hAnsi="黑体" w:cs="黑体" w:eastAsia="黑体" w:hint="default"/>
                            <w:sz w:val="20"/>
                            <w:szCs w:val="20"/>
                          </w:rPr>
                        </w:pPr>
                        <w:r>
                          <w:rPr>
                            <w:rFonts w:ascii="黑体" w:hAnsi="黑体" w:cs="黑体" w:eastAsia="黑体" w:hint="default"/>
                            <w:sz w:val="20"/>
                            <w:szCs w:val="20"/>
                          </w:rPr>
                          <w:t>台</w:t>
                        </w:r>
                        <w:r>
                          <w:rPr>
                            <w:rFonts w:ascii="Arial" w:hAnsi="Arial" w:cs="Arial" w:eastAsia="Arial" w:hint="default"/>
                            <w:sz w:val="20"/>
                            <w:szCs w:val="20"/>
                          </w:rPr>
                          <w:t>BQ8</w:t>
                        </w:r>
                        <w:r>
                          <w:rPr>
                            <w:rFonts w:ascii="黑体" w:hAnsi="黑体" w:cs="黑体" w:eastAsia="黑体" w:hint="default"/>
                            <w:sz w:val="20"/>
                            <w:szCs w:val="20"/>
                          </w:rPr>
                          <w:t>项目</w:t>
                        </w: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sz w:val="15"/>
                            <w:szCs w:val="15"/>
                          </w:rPr>
                        </w:pPr>
                      </w:p>
                      <w:p>
                        <w:pPr>
                          <w:pStyle w:val="TableParagraph"/>
                          <w:spacing w:line="240" w:lineRule="auto"/>
                          <w:ind w:right="203"/>
                          <w:jc w:val="right"/>
                          <w:rPr>
                            <w:rFonts w:ascii="Arial" w:hAnsi="Arial" w:cs="Arial" w:eastAsia="Arial" w:hint="default"/>
                            <w:sz w:val="20"/>
                            <w:szCs w:val="20"/>
                          </w:rPr>
                        </w:pPr>
                        <w:r>
                          <w:rPr>
                            <w:rFonts w:ascii="Arial"/>
                            <w:w w:val="99"/>
                            <w:sz w:val="20"/>
                          </w:rPr>
                          <w:t>-</w:t>
                        </w:r>
                        <w:r>
                          <w:rPr>
                            <w:rFonts w:ascii="Arial"/>
                            <w:sz w:val="20"/>
                          </w:rPr>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sz w:val="15"/>
                            <w:szCs w:val="15"/>
                          </w:rPr>
                        </w:pPr>
                      </w:p>
                      <w:p>
                        <w:pPr>
                          <w:pStyle w:val="TableParagraph"/>
                          <w:spacing w:line="240" w:lineRule="auto"/>
                          <w:ind w:right="285"/>
                          <w:jc w:val="right"/>
                          <w:rPr>
                            <w:rFonts w:ascii="Arial" w:hAnsi="Arial" w:cs="Arial" w:eastAsia="Arial" w:hint="default"/>
                            <w:sz w:val="20"/>
                            <w:szCs w:val="20"/>
                          </w:rPr>
                        </w:pPr>
                        <w:r>
                          <w:rPr>
                            <w:rFonts w:ascii="Arial"/>
                            <w:spacing w:val="-1"/>
                            <w:sz w:val="20"/>
                          </w:rPr>
                          <w:t>6,011,690</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sz w:val="15"/>
                            <w:szCs w:val="15"/>
                          </w:rPr>
                        </w:pPr>
                      </w:p>
                      <w:p>
                        <w:pPr>
                          <w:pStyle w:val="TableParagraph"/>
                          <w:spacing w:line="240" w:lineRule="auto"/>
                          <w:ind w:right="167"/>
                          <w:jc w:val="right"/>
                          <w:rPr>
                            <w:rFonts w:ascii="Arial" w:hAnsi="Arial" w:cs="Arial" w:eastAsia="Arial" w:hint="default"/>
                            <w:sz w:val="20"/>
                            <w:szCs w:val="20"/>
                          </w:rPr>
                        </w:pPr>
                        <w:r>
                          <w:rPr>
                            <w:rFonts w:ascii="Arial"/>
                            <w:w w:val="99"/>
                            <w:sz w:val="20"/>
                          </w:rPr>
                          <w:t>-</w:t>
                        </w:r>
                        <w:r>
                          <w:rPr>
                            <w:rFonts w:ascii="Arial"/>
                            <w:sz w:val="20"/>
                          </w:rPr>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sz w:val="15"/>
                            <w:szCs w:val="15"/>
                          </w:rPr>
                        </w:pPr>
                      </w:p>
                      <w:p>
                        <w:pPr>
                          <w:pStyle w:val="TableParagraph"/>
                          <w:spacing w:line="240" w:lineRule="auto"/>
                          <w:ind w:right="0"/>
                          <w:jc w:val="right"/>
                          <w:rPr>
                            <w:rFonts w:ascii="Arial" w:hAnsi="Arial" w:cs="Arial" w:eastAsia="Arial" w:hint="default"/>
                            <w:sz w:val="20"/>
                            <w:szCs w:val="20"/>
                          </w:rPr>
                        </w:pPr>
                        <w:r>
                          <w:rPr>
                            <w:rFonts w:ascii="Arial"/>
                            <w:w w:val="99"/>
                            <w:sz w:val="20"/>
                          </w:rPr>
                          <w:t>-</w:t>
                        </w:r>
                        <w:r>
                          <w:rPr>
                            <w:rFonts w:ascii="Arial"/>
                            <w:sz w:val="20"/>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sz w:val="15"/>
                            <w:szCs w:val="15"/>
                          </w:rPr>
                        </w:pPr>
                      </w:p>
                      <w:p>
                        <w:pPr>
                          <w:pStyle w:val="TableParagraph"/>
                          <w:spacing w:line="240" w:lineRule="auto"/>
                          <w:ind w:right="198"/>
                          <w:jc w:val="right"/>
                          <w:rPr>
                            <w:rFonts w:ascii="Arial" w:hAnsi="Arial" w:cs="Arial" w:eastAsia="Arial" w:hint="default"/>
                            <w:sz w:val="20"/>
                            <w:szCs w:val="20"/>
                          </w:rPr>
                        </w:pPr>
                        <w:r>
                          <w:rPr>
                            <w:rFonts w:ascii="Arial"/>
                            <w:spacing w:val="-1"/>
                            <w:sz w:val="20"/>
                          </w:rPr>
                          <w:t>6,011,690</w:t>
                        </w:r>
                      </w:p>
                    </w:tc>
                  </w:tr>
                  <w:tr>
                    <w:trPr>
                      <w:trHeight w:val="244" w:hRule="exact"/>
                    </w:trPr>
                    <w:tc>
                      <w:tcPr>
                        <w:tcW w:w="2187" w:type="dxa"/>
                        <w:tcBorders>
                          <w:top w:val="nil" w:sz="6" w:space="0" w:color="auto"/>
                          <w:left w:val="nil" w:sz="6" w:space="0" w:color="auto"/>
                          <w:bottom w:val="nil" w:sz="6" w:space="0" w:color="auto"/>
                          <w:right w:val="nil" w:sz="6" w:space="0" w:color="auto"/>
                        </w:tcBorders>
                      </w:tcPr>
                      <w:p>
                        <w:pPr>
                          <w:pStyle w:val="TableParagraph"/>
                          <w:spacing w:line="223" w:lineRule="exact"/>
                          <w:ind w:left="200" w:right="0"/>
                          <w:jc w:val="left"/>
                          <w:rPr>
                            <w:rFonts w:ascii="黑体" w:hAnsi="黑体" w:cs="黑体" w:eastAsia="黑体" w:hint="default"/>
                            <w:sz w:val="20"/>
                            <w:szCs w:val="20"/>
                          </w:rPr>
                        </w:pPr>
                        <w:r>
                          <w:rPr>
                            <w:rFonts w:ascii="黑体" w:hAnsi="黑体" w:cs="黑体" w:eastAsia="黑体" w:hint="default"/>
                            <w:sz w:val="20"/>
                            <w:szCs w:val="20"/>
                          </w:rPr>
                          <w:t>区域卫生服务平台</w:t>
                        </w:r>
                      </w:p>
                    </w:tc>
                    <w:tc>
                      <w:tcPr>
                        <w:tcW w:w="66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3"/>
                          <w:jc w:val="right"/>
                          <w:rPr>
                            <w:rFonts w:ascii="Arial" w:hAnsi="Arial" w:cs="Arial" w:eastAsia="Arial" w:hint="default"/>
                            <w:sz w:val="20"/>
                            <w:szCs w:val="20"/>
                          </w:rPr>
                        </w:pPr>
                        <w:r>
                          <w:rPr>
                            <w:rFonts w:ascii="Arial"/>
                            <w:w w:val="99"/>
                            <w:sz w:val="20"/>
                          </w:rPr>
                          <w:t>-</w:t>
                        </w:r>
                        <w:r>
                          <w:rPr>
                            <w:rFonts w:ascii="Arial"/>
                            <w:sz w:val="20"/>
                          </w:rPr>
                        </w:r>
                      </w:p>
                    </w:tc>
                    <w:tc>
                      <w:tcPr>
                        <w:tcW w:w="1499" w:type="dxa"/>
                        <w:tcBorders>
                          <w:top w:val="nil" w:sz="6" w:space="0" w:color="auto"/>
                          <w:left w:val="nil" w:sz="6" w:space="0" w:color="auto"/>
                          <w:bottom w:val="nil" w:sz="6" w:space="0" w:color="auto"/>
                          <w:right w:val="nil" w:sz="6" w:space="0" w:color="auto"/>
                        </w:tcBorders>
                      </w:tcPr>
                      <w:p>
                        <w:pPr>
                          <w:pStyle w:val="TableParagraph"/>
                          <w:spacing w:line="225" w:lineRule="exact"/>
                          <w:ind w:right="285"/>
                          <w:jc w:val="right"/>
                          <w:rPr>
                            <w:rFonts w:ascii="Arial" w:hAnsi="Arial" w:cs="Arial" w:eastAsia="Arial" w:hint="default"/>
                            <w:sz w:val="20"/>
                            <w:szCs w:val="20"/>
                          </w:rPr>
                        </w:pPr>
                        <w:r>
                          <w:rPr>
                            <w:rFonts w:ascii="Arial"/>
                            <w:spacing w:val="-1"/>
                            <w:sz w:val="20"/>
                          </w:rPr>
                          <w:t>3,942,961</w:t>
                        </w:r>
                      </w:p>
                    </w:tc>
                    <w:tc>
                      <w:tcPr>
                        <w:tcW w:w="115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7"/>
                          <w:jc w:val="right"/>
                          <w:rPr>
                            <w:rFonts w:ascii="Arial" w:hAnsi="Arial" w:cs="Arial" w:eastAsia="Arial" w:hint="default"/>
                            <w:sz w:val="20"/>
                            <w:szCs w:val="20"/>
                          </w:rPr>
                        </w:pPr>
                        <w:r>
                          <w:rPr>
                            <w:rFonts w:ascii="Arial"/>
                            <w:w w:val="99"/>
                            <w:sz w:val="20"/>
                          </w:rPr>
                          <w:t>-</w:t>
                        </w:r>
                        <w:r>
                          <w:rPr>
                            <w:rFonts w:ascii="Arial"/>
                            <w:sz w:val="20"/>
                          </w:rPr>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right"/>
                          <w:rPr>
                            <w:rFonts w:ascii="Arial" w:hAnsi="Arial" w:cs="Arial" w:eastAsia="Arial" w:hint="default"/>
                            <w:sz w:val="20"/>
                            <w:szCs w:val="20"/>
                          </w:rPr>
                        </w:pPr>
                        <w:r>
                          <w:rPr>
                            <w:rFonts w:ascii="Arial"/>
                            <w:w w:val="99"/>
                            <w:sz w:val="20"/>
                          </w:rPr>
                          <w:t>-</w:t>
                        </w:r>
                        <w:r>
                          <w:rPr>
                            <w:rFonts w:ascii="Arial"/>
                            <w:sz w:val="20"/>
                          </w:rPr>
                        </w:r>
                      </w:p>
                    </w:tc>
                    <w:tc>
                      <w:tcPr>
                        <w:tcW w:w="1756" w:type="dxa"/>
                        <w:tcBorders>
                          <w:top w:val="nil" w:sz="6" w:space="0" w:color="auto"/>
                          <w:left w:val="nil" w:sz="6" w:space="0" w:color="auto"/>
                          <w:bottom w:val="nil" w:sz="6" w:space="0" w:color="auto"/>
                          <w:right w:val="nil" w:sz="6" w:space="0" w:color="auto"/>
                        </w:tcBorders>
                      </w:tcPr>
                      <w:p>
                        <w:pPr>
                          <w:pStyle w:val="TableParagraph"/>
                          <w:spacing w:line="225" w:lineRule="exact"/>
                          <w:ind w:right="198"/>
                          <w:jc w:val="right"/>
                          <w:rPr>
                            <w:rFonts w:ascii="Arial" w:hAnsi="Arial" w:cs="Arial" w:eastAsia="Arial" w:hint="default"/>
                            <w:sz w:val="20"/>
                            <w:szCs w:val="20"/>
                          </w:rPr>
                        </w:pPr>
                        <w:r>
                          <w:rPr>
                            <w:rFonts w:ascii="Arial"/>
                            <w:spacing w:val="-1"/>
                            <w:sz w:val="20"/>
                          </w:rPr>
                          <w:t>3,942,961</w:t>
                        </w:r>
                      </w:p>
                    </w:tc>
                  </w:tr>
                  <w:tr>
                    <w:trPr>
                      <w:trHeight w:val="352" w:hRule="exact"/>
                    </w:trPr>
                    <w:tc>
                      <w:tcPr>
                        <w:tcW w:w="2187"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黑体" w:hAnsi="黑体" w:cs="黑体" w:eastAsia="黑体" w:hint="default"/>
                            <w:sz w:val="20"/>
                            <w:szCs w:val="20"/>
                          </w:rPr>
                        </w:pPr>
                        <w:r>
                          <w:rPr>
                            <w:rFonts w:ascii="黑体" w:hAnsi="黑体" w:cs="黑体" w:eastAsia="黑体" w:hint="default"/>
                            <w:sz w:val="20"/>
                            <w:szCs w:val="20"/>
                          </w:rPr>
                          <w:t>畅捷通云服务平台</w:t>
                        </w:r>
                      </w:p>
                    </w:tc>
                    <w:tc>
                      <w:tcPr>
                        <w:tcW w:w="661" w:type="dxa"/>
                        <w:tcBorders>
                          <w:top w:val="nil" w:sz="6" w:space="0" w:color="auto"/>
                          <w:left w:val="nil" w:sz="6" w:space="0" w:color="auto"/>
                          <w:bottom w:val="nil" w:sz="6" w:space="0" w:color="auto"/>
                          <w:right w:val="nil" w:sz="6" w:space="0" w:color="auto"/>
                        </w:tcBorders>
                      </w:tcPr>
                      <w:p>
                        <w:pPr>
                          <w:pStyle w:val="TableParagraph"/>
                          <w:tabs>
                            <w:tab w:pos="391" w:val="left" w:leader="none"/>
                          </w:tabs>
                          <w:spacing w:line="229" w:lineRule="exact"/>
                          <w:ind w:left="-10" w:right="201"/>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499" w:type="dxa"/>
                        <w:tcBorders>
                          <w:top w:val="nil" w:sz="6" w:space="0" w:color="auto"/>
                          <w:left w:val="nil" w:sz="6" w:space="0" w:color="auto"/>
                          <w:bottom w:val="nil" w:sz="6" w:space="0" w:color="auto"/>
                          <w:right w:val="nil" w:sz="6" w:space="0" w:color="auto"/>
                        </w:tcBorders>
                      </w:tcPr>
                      <w:p>
                        <w:pPr>
                          <w:pStyle w:val="TableParagraph"/>
                          <w:spacing w:line="215" w:lineRule="exact"/>
                          <w:ind w:left="212" w:right="0"/>
                          <w:jc w:val="left"/>
                          <w:rPr>
                            <w:rFonts w:ascii="Arial" w:hAnsi="Arial" w:cs="Arial" w:eastAsia="Arial" w:hint="default"/>
                            <w:sz w:val="20"/>
                            <w:szCs w:val="20"/>
                          </w:rPr>
                        </w:pPr>
                        <w:r>
                          <w:rPr>
                            <w:rFonts w:ascii="Arial"/>
                            <w:w w:val="99"/>
                            <w:sz w:val="20"/>
                          </w:rPr>
                        </w:r>
                        <w:r>
                          <w:rPr>
                            <w:rFonts w:ascii="Arial"/>
                            <w:sz w:val="20"/>
                            <w:u w:val="single" w:color="000000"/>
                          </w:rPr>
                          <w:t>10,531,567</w:t>
                        </w:r>
                        <w:r>
                          <w:rPr>
                            <w:rFonts w:ascii="Arial"/>
                            <w:sz w:val="20"/>
                          </w:rPr>
                        </w:r>
                      </w:p>
                    </w:tc>
                    <w:tc>
                      <w:tcPr>
                        <w:tcW w:w="1158" w:type="dxa"/>
                        <w:tcBorders>
                          <w:top w:val="nil" w:sz="6" w:space="0" w:color="auto"/>
                          <w:left w:val="nil" w:sz="6" w:space="0" w:color="auto"/>
                          <w:bottom w:val="nil" w:sz="6" w:space="0" w:color="auto"/>
                          <w:right w:val="nil" w:sz="6" w:space="0" w:color="auto"/>
                        </w:tcBorders>
                      </w:tcPr>
                      <w:p>
                        <w:pPr>
                          <w:pStyle w:val="TableParagraph"/>
                          <w:tabs>
                            <w:tab w:pos="801" w:val="left" w:leader="none"/>
                          </w:tabs>
                          <w:spacing w:line="229" w:lineRule="exact"/>
                          <w:ind w:right="165"/>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968" w:type="dxa"/>
                        <w:tcBorders>
                          <w:top w:val="nil" w:sz="6" w:space="0" w:color="auto"/>
                          <w:left w:val="nil" w:sz="6" w:space="0" w:color="auto"/>
                          <w:bottom w:val="nil" w:sz="6" w:space="0" w:color="auto"/>
                          <w:right w:val="nil" w:sz="6" w:space="0" w:color="auto"/>
                        </w:tcBorders>
                      </w:tcPr>
                      <w:p>
                        <w:pPr>
                          <w:pStyle w:val="TableParagraph"/>
                          <w:tabs>
                            <w:tab w:pos="700" w:val="left" w:leader="none"/>
                          </w:tabs>
                          <w:spacing w:line="229" w:lineRule="exact"/>
                          <w:ind w:right="0"/>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756" w:type="dxa"/>
                        <w:tcBorders>
                          <w:top w:val="nil" w:sz="6" w:space="0" w:color="auto"/>
                          <w:left w:val="nil" w:sz="6" w:space="0" w:color="auto"/>
                          <w:bottom w:val="nil" w:sz="6" w:space="0" w:color="auto"/>
                          <w:right w:val="nil" w:sz="6" w:space="0" w:color="auto"/>
                        </w:tcBorders>
                      </w:tcPr>
                      <w:p>
                        <w:pPr>
                          <w:pStyle w:val="TableParagraph"/>
                          <w:spacing w:line="215" w:lineRule="exact"/>
                          <w:ind w:right="198"/>
                          <w:jc w:val="right"/>
                          <w:rPr>
                            <w:rFonts w:ascii="Arial" w:hAnsi="Arial" w:cs="Arial" w:eastAsia="Arial" w:hint="default"/>
                            <w:sz w:val="20"/>
                            <w:szCs w:val="20"/>
                          </w:rPr>
                        </w:pPr>
                        <w:r>
                          <w:rPr>
                            <w:rFonts w:ascii="Arial"/>
                            <w:w w:val="99"/>
                            <w:sz w:val="20"/>
                          </w:rPr>
                        </w:r>
                        <w:r>
                          <w:rPr>
                            <w:rFonts w:ascii="Arial"/>
                            <w:spacing w:val="-1"/>
                            <w:sz w:val="20"/>
                            <w:u w:val="single" w:color="000000"/>
                          </w:rPr>
                          <w:t>10,531,567</w:t>
                        </w:r>
                        <w:r>
                          <w:rPr>
                            <w:rFonts w:ascii="Arial"/>
                            <w:spacing w:val="-1"/>
                            <w:sz w:val="20"/>
                          </w:rPr>
                        </w:r>
                        <w:r>
                          <w:rPr>
                            <w:rFonts w:ascii="Arial"/>
                            <w:sz w:val="20"/>
                          </w:rPr>
                        </w:r>
                      </w:p>
                    </w:tc>
                  </w:tr>
                  <w:tr>
                    <w:trPr>
                      <w:trHeight w:val="341" w:hRule="exact"/>
                    </w:trPr>
                    <w:tc>
                      <w:tcPr>
                        <w:tcW w:w="2187" w:type="dxa"/>
                        <w:tcBorders>
                          <w:top w:val="nil" w:sz="6" w:space="0" w:color="auto"/>
                          <w:left w:val="nil" w:sz="6" w:space="0" w:color="auto"/>
                          <w:bottom w:val="nil" w:sz="6" w:space="0" w:color="auto"/>
                          <w:right w:val="nil" w:sz="6" w:space="0" w:color="auto"/>
                        </w:tcBorders>
                      </w:tcPr>
                      <w:p>
                        <w:pPr/>
                      </w:p>
                    </w:tc>
                    <w:tc>
                      <w:tcPr>
                        <w:tcW w:w="661" w:type="dxa"/>
                        <w:tcBorders>
                          <w:top w:val="nil" w:sz="6" w:space="0" w:color="auto"/>
                          <w:left w:val="nil" w:sz="6" w:space="0" w:color="auto"/>
                          <w:bottom w:val="nil" w:sz="6" w:space="0" w:color="auto"/>
                          <w:right w:val="nil" w:sz="6" w:space="0" w:color="auto"/>
                        </w:tcBorders>
                      </w:tcPr>
                      <w:p>
                        <w:pPr>
                          <w:pStyle w:val="TableParagraph"/>
                          <w:tabs>
                            <w:tab w:pos="391" w:val="left" w:leader="none"/>
                          </w:tabs>
                          <w:spacing w:line="240" w:lineRule="auto" w:before="115"/>
                          <w:ind w:left="-10" w:right="201"/>
                          <w:jc w:val="right"/>
                          <w:rPr>
                            <w:rFonts w:ascii="Arial" w:hAnsi="Arial" w:cs="Arial" w:eastAsia="Arial" w:hint="default"/>
                            <w:sz w:val="20"/>
                            <w:szCs w:val="20"/>
                          </w:rPr>
                        </w:pPr>
                        <w:r>
                          <w:rPr>
                            <w:rFonts w:ascii="Arial"/>
                            <w:w w:val="99"/>
                            <w:sz w:val="20"/>
                          </w:rPr>
                        </w:r>
                        <w:r>
                          <w:rPr>
                            <w:rFonts w:ascii="Arial"/>
                            <w:w w:val="99"/>
                            <w:sz w:val="20"/>
                            <w:u w:val="double" w:color="000000"/>
                          </w:rPr>
                          <w:t> </w:t>
                        </w:r>
                        <w:r>
                          <w:rPr>
                            <w:rFonts w:ascii="Arial"/>
                            <w:sz w:val="20"/>
                            <w:u w:val="double" w:color="000000"/>
                          </w:rPr>
                          <w:tab/>
                        </w:r>
                        <w:r>
                          <w:rPr>
                            <w:rFonts w:ascii="Arial"/>
                            <w:w w:val="95"/>
                            <w:sz w:val="20"/>
                            <w:u w:val="double" w:color="000000"/>
                          </w:rPr>
                          <w:t>-</w:t>
                        </w:r>
                        <w:r>
                          <w:rPr>
                            <w:rFonts w:ascii="Arial"/>
                            <w:w w:val="95"/>
                            <w:sz w:val="20"/>
                          </w:rPr>
                        </w:r>
                        <w:r>
                          <w:rPr>
                            <w:rFonts w:ascii="Arial"/>
                            <w:sz w:val="20"/>
                          </w:rPr>
                        </w: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212" w:right="0"/>
                          <w:jc w:val="left"/>
                          <w:rPr>
                            <w:rFonts w:ascii="Arial" w:hAnsi="Arial" w:cs="Arial" w:eastAsia="Arial" w:hint="default"/>
                            <w:sz w:val="20"/>
                            <w:szCs w:val="20"/>
                          </w:rPr>
                        </w:pPr>
                        <w:r>
                          <w:rPr>
                            <w:rFonts w:ascii="Arial"/>
                            <w:w w:val="99"/>
                            <w:sz w:val="20"/>
                          </w:rPr>
                        </w:r>
                        <w:r>
                          <w:rPr>
                            <w:rFonts w:ascii="Arial"/>
                            <w:sz w:val="20"/>
                            <w:u w:val="double" w:color="000000"/>
                          </w:rPr>
                          <w:t>40,310,781</w:t>
                        </w:r>
                        <w:r>
                          <w:rPr>
                            <w:rFonts w:ascii="Arial"/>
                            <w:sz w:val="20"/>
                          </w:rPr>
                        </w:r>
                      </w:p>
                    </w:tc>
                    <w:tc>
                      <w:tcPr>
                        <w:tcW w:w="1158" w:type="dxa"/>
                        <w:tcBorders>
                          <w:top w:val="nil" w:sz="6" w:space="0" w:color="auto"/>
                          <w:left w:val="nil" w:sz="6" w:space="0" w:color="auto"/>
                          <w:bottom w:val="nil" w:sz="6" w:space="0" w:color="auto"/>
                          <w:right w:val="nil" w:sz="6" w:space="0" w:color="auto"/>
                        </w:tcBorders>
                      </w:tcPr>
                      <w:p>
                        <w:pPr>
                          <w:pStyle w:val="TableParagraph"/>
                          <w:tabs>
                            <w:tab w:pos="801" w:val="left" w:leader="none"/>
                          </w:tabs>
                          <w:spacing w:line="240" w:lineRule="auto" w:before="115"/>
                          <w:ind w:right="165"/>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w w:val="95"/>
                            <w:sz w:val="20"/>
                            <w:u w:val="thick" w:color="000000"/>
                          </w:rPr>
                          <w:t>-</w:t>
                        </w:r>
                        <w:r>
                          <w:rPr>
                            <w:rFonts w:ascii="Arial"/>
                            <w:w w:val="95"/>
                            <w:sz w:val="20"/>
                          </w:rPr>
                        </w:r>
                        <w:r>
                          <w:rPr>
                            <w:rFonts w:ascii="Arial"/>
                            <w:sz w:val="20"/>
                          </w:rPr>
                        </w:r>
                      </w:p>
                    </w:tc>
                    <w:tc>
                      <w:tcPr>
                        <w:tcW w:w="968" w:type="dxa"/>
                        <w:tcBorders>
                          <w:top w:val="nil" w:sz="6" w:space="0" w:color="auto"/>
                          <w:left w:val="nil" w:sz="6" w:space="0" w:color="auto"/>
                          <w:bottom w:val="nil" w:sz="6" w:space="0" w:color="auto"/>
                          <w:right w:val="nil" w:sz="6" w:space="0" w:color="auto"/>
                        </w:tcBorders>
                      </w:tcPr>
                      <w:p>
                        <w:pPr>
                          <w:pStyle w:val="TableParagraph"/>
                          <w:tabs>
                            <w:tab w:pos="700" w:val="left" w:leader="none"/>
                          </w:tabs>
                          <w:spacing w:line="240" w:lineRule="auto" w:before="115"/>
                          <w:ind w:right="0"/>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w w:val="95"/>
                            <w:sz w:val="20"/>
                            <w:u w:val="thick" w:color="000000"/>
                          </w:rPr>
                          <w:t>-</w:t>
                        </w:r>
                        <w:r>
                          <w:rPr>
                            <w:rFonts w:ascii="Arial"/>
                            <w:w w:val="95"/>
                            <w:sz w:val="20"/>
                          </w:rPr>
                        </w:r>
                        <w:r>
                          <w:rPr>
                            <w:rFonts w:ascii="Arial"/>
                            <w:sz w:val="20"/>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98"/>
                          <w:jc w:val="right"/>
                          <w:rPr>
                            <w:rFonts w:ascii="Arial" w:hAnsi="Arial" w:cs="Arial" w:eastAsia="Arial" w:hint="default"/>
                            <w:sz w:val="20"/>
                            <w:szCs w:val="20"/>
                          </w:rPr>
                        </w:pPr>
                        <w:r>
                          <w:rPr>
                            <w:rFonts w:ascii="Arial"/>
                            <w:w w:val="99"/>
                            <w:sz w:val="20"/>
                          </w:rPr>
                        </w:r>
                        <w:r>
                          <w:rPr>
                            <w:rFonts w:ascii="Arial"/>
                            <w:spacing w:val="-1"/>
                            <w:sz w:val="20"/>
                            <w:u w:val="double" w:color="000000"/>
                          </w:rPr>
                          <w:t>40,310,781</w:t>
                        </w:r>
                        <w:r>
                          <w:rPr>
                            <w:rFonts w:ascii="Arial"/>
                            <w:spacing w:val="-1"/>
                            <w:sz w:val="20"/>
                          </w:rPr>
                        </w:r>
                        <w:r>
                          <w:rPr>
                            <w:rFonts w:ascii="Arial"/>
                            <w:sz w:val="20"/>
                          </w:rPr>
                        </w:r>
                      </w:p>
                    </w:tc>
                  </w:tr>
                </w:tbl>
                <w:p>
                  <w:pPr/>
                </w:p>
              </w:txbxContent>
            </v:textbox>
            <w10:wrap type="none"/>
          </v:shape>
        </w:pict>
      </w:r>
      <w:r>
        <w:rPr/>
        <w:t>开发项目支出如下</w:t>
      </w:r>
      <w:r>
        <w:rPr>
          <w:rFonts w:ascii="Arial" w:hAnsi="Arial" w:cs="Arial" w:eastAsia="Arial" w:hint="default"/>
        </w:rPr>
        <w:t>:</w:t>
      </w:r>
      <w:r>
        <w:rPr>
          <w:rFonts w:ascii="Arial" w:hAnsi="Arial" w:cs="Arial" w:eastAsia="Arial" w:hint="default"/>
          <w:w w:val="99"/>
        </w:rPr>
        <w:t> </w:t>
      </w:r>
      <w:r>
        <w:rPr>
          <w:rFonts w:ascii="Arial" w:hAnsi="Arial" w:cs="Arial" w:eastAsia="Arial" w:hint="default"/>
        </w:rPr>
        <w:t>2012</w:t>
      </w:r>
      <w:r>
        <w:rPr/>
        <w:t>年</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2"/>
          <w:szCs w:val="22"/>
        </w:rPr>
      </w:pPr>
    </w:p>
    <w:p>
      <w:pPr>
        <w:pStyle w:val="BodyText"/>
        <w:spacing w:line="424" w:lineRule="auto" w:before="37"/>
        <w:ind w:left="821" w:right="232" w:hanging="12"/>
        <w:jc w:val="left"/>
      </w:pPr>
      <w:r>
        <w:rPr>
          <w:rFonts w:ascii="Arial" w:hAnsi="Arial" w:cs="Arial" w:eastAsia="Arial" w:hint="default"/>
        </w:rPr>
        <w:t>2012</w:t>
      </w:r>
      <w:r>
        <w:rPr/>
        <w:t>年开发支出占研究开发项目支出总额的比例为</w:t>
      </w:r>
      <w:r>
        <w:rPr>
          <w:rFonts w:ascii="Arial" w:hAnsi="Arial" w:cs="Arial" w:eastAsia="Arial" w:hint="default"/>
        </w:rPr>
        <w:t>6.07%(2011</w:t>
      </w:r>
      <w:r>
        <w:rPr/>
        <w:t>年：无</w:t>
      </w:r>
      <w:r>
        <w:rPr>
          <w:rFonts w:ascii="Arial" w:hAnsi="Arial" w:cs="Arial" w:eastAsia="Arial" w:hint="default"/>
        </w:rPr>
        <w:t>)</w:t>
      </w:r>
      <w:r>
        <w:rPr/>
        <w:t>。</w:t>
      </w:r>
      <w:r>
        <w:rPr>
          <w:w w:val="99"/>
        </w:rPr>
        <w:t> </w:t>
      </w:r>
      <w:r>
        <w:rPr>
          <w:w w:val="95"/>
        </w:rPr>
        <w:t>于</w:t>
      </w:r>
      <w:r>
        <w:rPr>
          <w:rFonts w:ascii="Arial" w:hAnsi="Arial" w:cs="Arial" w:eastAsia="Arial" w:hint="default"/>
          <w:w w:val="95"/>
        </w:rPr>
        <w:t>2012</w:t>
      </w:r>
      <w:r>
        <w:rPr>
          <w:w w:val="95"/>
        </w:rPr>
        <w:t>年</w:t>
      </w:r>
      <w:r>
        <w:rPr>
          <w:rFonts w:ascii="Arial" w:hAnsi="Arial" w:cs="Arial" w:eastAsia="Arial" w:hint="default"/>
          <w:w w:val="95"/>
        </w:rPr>
        <w:t>12</w:t>
      </w:r>
      <w:r>
        <w:rPr>
          <w:w w:val="95"/>
        </w:rPr>
        <w:t>月</w:t>
      </w:r>
      <w:r>
        <w:rPr>
          <w:rFonts w:ascii="Arial" w:hAnsi="Arial" w:cs="Arial" w:eastAsia="Arial" w:hint="default"/>
          <w:w w:val="95"/>
        </w:rPr>
        <w:t>31</w:t>
      </w:r>
      <w:r>
        <w:rPr>
          <w:w w:val="95"/>
        </w:rPr>
        <w:t>日，本集团无内部研发形成的无形资产</w:t>
      </w:r>
      <w:r>
        <w:rPr>
          <w:rFonts w:ascii="Arial" w:hAnsi="Arial" w:cs="Arial" w:eastAsia="Arial" w:hint="default"/>
          <w:w w:val="95"/>
        </w:rPr>
        <w:t>(2011</w:t>
      </w:r>
      <w:r>
        <w:rPr>
          <w:w w:val="95"/>
        </w:rPr>
        <w:t>年</w:t>
      </w:r>
      <w:r>
        <w:rPr>
          <w:rFonts w:ascii="Arial" w:hAnsi="Arial" w:cs="Arial" w:eastAsia="Arial" w:hint="default"/>
          <w:w w:val="95"/>
        </w:rPr>
        <w:t>12</w:t>
      </w:r>
      <w:r>
        <w:rPr>
          <w:w w:val="95"/>
        </w:rPr>
        <w:t>月</w:t>
      </w:r>
      <w:r>
        <w:rPr>
          <w:rFonts w:ascii="Arial" w:hAnsi="Arial" w:cs="Arial" w:eastAsia="Arial" w:hint="default"/>
          <w:w w:val="95"/>
        </w:rPr>
        <w:t>31</w:t>
      </w:r>
      <w:r>
        <w:rPr>
          <w:w w:val="95"/>
        </w:rPr>
        <w:t>日：无</w:t>
      </w:r>
      <w:r>
        <w:rPr>
          <w:rFonts w:ascii="Arial" w:hAnsi="Arial" w:cs="Arial" w:eastAsia="Arial" w:hint="default"/>
          <w:w w:val="95"/>
        </w:rPr>
        <w:t>)</w:t>
      </w:r>
      <w:r>
        <w:rPr>
          <w:w w:val="95"/>
        </w:rPr>
        <w:t>。</w:t>
      </w:r>
      <w:r>
        <w:rPr/>
      </w:r>
    </w:p>
    <w:p>
      <w:pPr>
        <w:spacing w:after="0" w:line="424" w:lineRule="auto"/>
        <w:jc w:val="left"/>
        <w:sectPr>
          <w:pgSz w:w="11910" w:h="16850"/>
          <w:pgMar w:header="957" w:footer="830" w:top="2520" w:bottom="1020" w:left="1600" w:right="1240"/>
        </w:sectPr>
      </w:pPr>
    </w:p>
    <w:p>
      <w:pPr>
        <w:spacing w:line="240" w:lineRule="auto" w:before="0"/>
        <w:rPr>
          <w:rFonts w:ascii="黑体" w:hAnsi="黑体" w:cs="黑体" w:eastAsia="黑体" w:hint="default"/>
          <w:sz w:val="24"/>
          <w:szCs w:val="24"/>
        </w:rPr>
      </w:pPr>
    </w:p>
    <w:p>
      <w:pPr>
        <w:pStyle w:val="Heading6"/>
        <w:tabs>
          <w:tab w:pos="804" w:val="left" w:leader="none"/>
        </w:tabs>
        <w:spacing w:line="240" w:lineRule="auto"/>
        <w:ind w:right="94"/>
        <w:jc w:val="left"/>
        <w:rPr>
          <w:b w:val="0"/>
          <w:bCs w:val="0"/>
        </w:rPr>
      </w:pPr>
      <w:r>
        <w:rPr>
          <w:w w:val="95"/>
        </w:rPr>
        <w:t>五、</w:t>
        <w:tab/>
      </w:r>
      <w:r>
        <w:rPr/>
        <w:t>合并财务报表主要项目注释（续）</w:t>
      </w:r>
      <w:r>
        <w:rPr>
          <w:b w:val="0"/>
          <w:bCs w:val="0"/>
        </w:rPr>
      </w:r>
    </w:p>
    <w:p>
      <w:pPr>
        <w:pStyle w:val="Heading6"/>
        <w:tabs>
          <w:tab w:pos="831" w:val="left" w:leader="none"/>
        </w:tabs>
        <w:spacing w:line="240" w:lineRule="auto" w:before="170"/>
        <w:ind w:right="94"/>
        <w:jc w:val="left"/>
        <w:rPr>
          <w:b w:val="0"/>
          <w:bCs w:val="0"/>
        </w:rPr>
      </w:pPr>
      <w:r>
        <w:rPr>
          <w:rFonts w:ascii="Arial" w:hAnsi="Arial" w:cs="Arial" w:eastAsia="Arial" w:hint="default"/>
          <w:spacing w:val="-1"/>
          <w:w w:val="95"/>
        </w:rPr>
        <w:t>14.</w:t>
        <w:tab/>
      </w:r>
      <w:r>
        <w:rPr>
          <w:spacing w:val="2"/>
        </w:rPr>
        <w:t>商誉</w:t>
      </w:r>
      <w:r>
        <w:rPr>
          <w:b w:val="0"/>
          <w:bCs w:val="0"/>
        </w:rPr>
      </w:r>
    </w:p>
    <w:p>
      <w:pPr>
        <w:pStyle w:val="BodyText"/>
        <w:spacing w:line="240" w:lineRule="auto" w:before="163"/>
        <w:ind w:right="94"/>
        <w:jc w:val="left"/>
      </w:pPr>
      <w:r>
        <w:rPr>
          <w:rFonts w:ascii="Arial" w:hAnsi="Arial" w:cs="Arial" w:eastAsia="Arial" w:hint="default"/>
        </w:rPr>
        <w:t>2012</w:t>
      </w:r>
      <w:r>
        <w:rPr/>
        <w:t>年</w:t>
      </w:r>
    </w:p>
    <w:p>
      <w:pPr>
        <w:spacing w:line="240" w:lineRule="auto" w:before="4"/>
        <w:rPr>
          <w:rFonts w:ascii="黑体" w:hAnsi="黑体" w:cs="黑体" w:eastAsia="黑体" w:hint="default"/>
          <w:sz w:val="3"/>
          <w:szCs w:val="3"/>
        </w:rPr>
      </w:pPr>
    </w:p>
    <w:tbl>
      <w:tblPr>
        <w:tblW w:w="0" w:type="auto"/>
        <w:jc w:val="left"/>
        <w:tblInd w:w="820" w:type="dxa"/>
        <w:tblLayout w:type="fixed"/>
        <w:tblCellMar>
          <w:top w:w="0" w:type="dxa"/>
          <w:left w:w="0" w:type="dxa"/>
          <w:bottom w:w="0" w:type="dxa"/>
          <w:right w:w="0" w:type="dxa"/>
        </w:tblCellMar>
        <w:tblLook w:val="01E0"/>
      </w:tblPr>
      <w:tblGrid>
        <w:gridCol w:w="2224"/>
        <w:gridCol w:w="1433"/>
        <w:gridCol w:w="1068"/>
        <w:gridCol w:w="1129"/>
        <w:gridCol w:w="1296"/>
        <w:gridCol w:w="827"/>
        <w:gridCol w:w="268"/>
      </w:tblGrid>
      <w:tr>
        <w:trPr>
          <w:trHeight w:val="358" w:hRule="exact"/>
        </w:trPr>
        <w:tc>
          <w:tcPr>
            <w:tcW w:w="2224"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199" w:lineRule="exact"/>
              <w:ind w:right="95"/>
              <w:jc w:val="right"/>
              <w:rPr>
                <w:rFonts w:ascii="黑体" w:hAnsi="黑体" w:cs="黑体" w:eastAsia="黑体" w:hint="default"/>
                <w:sz w:val="20"/>
                <w:szCs w:val="20"/>
              </w:rPr>
            </w:pPr>
            <w:bookmarkStart w:name="14.   商誉" w:id="94"/>
            <w:bookmarkEnd w:id="94"/>
            <w:r>
              <w:rPr/>
            </w:r>
            <w:r>
              <w:rPr>
                <w:rFonts w:ascii="黑体" w:hAnsi="黑体" w:cs="黑体" w:eastAsia="黑体" w:hint="default"/>
                <w:w w:val="95"/>
                <w:sz w:val="20"/>
                <w:szCs w:val="20"/>
              </w:rPr>
              <w:t>年初数</w:t>
            </w:r>
            <w:r>
              <w:rPr>
                <w:rFonts w:ascii="黑体" w:hAnsi="黑体" w:cs="黑体" w:eastAsia="黑体" w:hint="default"/>
                <w:sz w:val="20"/>
                <w:szCs w:val="20"/>
              </w:rPr>
            </w:r>
          </w:p>
        </w:tc>
        <w:tc>
          <w:tcPr>
            <w:tcW w:w="1068" w:type="dxa"/>
            <w:tcBorders>
              <w:top w:val="nil" w:sz="6" w:space="0" w:color="auto"/>
              <w:left w:val="nil" w:sz="6" w:space="0" w:color="auto"/>
              <w:bottom w:val="nil" w:sz="6" w:space="0" w:color="auto"/>
              <w:right w:val="nil" w:sz="6" w:space="0" w:color="auto"/>
            </w:tcBorders>
          </w:tcPr>
          <w:p>
            <w:pPr>
              <w:pStyle w:val="TableParagraph"/>
              <w:spacing w:line="199" w:lineRule="exact"/>
              <w:ind w:right="171"/>
              <w:jc w:val="right"/>
              <w:rPr>
                <w:rFonts w:ascii="黑体" w:hAnsi="黑体" w:cs="黑体" w:eastAsia="黑体" w:hint="default"/>
                <w:sz w:val="20"/>
                <w:szCs w:val="20"/>
              </w:rPr>
            </w:pPr>
            <w:r>
              <w:rPr>
                <w:rFonts w:ascii="黑体" w:hAnsi="黑体" w:cs="黑体" w:eastAsia="黑体" w:hint="default"/>
                <w:w w:val="95"/>
                <w:sz w:val="20"/>
                <w:szCs w:val="20"/>
              </w:rPr>
              <w:t>本年增加</w:t>
            </w:r>
            <w:r>
              <w:rPr>
                <w:rFonts w:ascii="黑体" w:hAnsi="黑体" w:cs="黑体" w:eastAsia="黑体" w:hint="default"/>
                <w:sz w:val="20"/>
                <w:szCs w:val="20"/>
              </w:rPr>
            </w:r>
          </w:p>
        </w:tc>
        <w:tc>
          <w:tcPr>
            <w:tcW w:w="1129" w:type="dxa"/>
            <w:tcBorders>
              <w:top w:val="nil" w:sz="6" w:space="0" w:color="auto"/>
              <w:left w:val="nil" w:sz="6" w:space="0" w:color="auto"/>
              <w:bottom w:val="nil" w:sz="6" w:space="0" w:color="auto"/>
              <w:right w:val="nil" w:sz="6" w:space="0" w:color="auto"/>
            </w:tcBorders>
          </w:tcPr>
          <w:p>
            <w:pPr>
              <w:pStyle w:val="TableParagraph"/>
              <w:spacing w:line="199" w:lineRule="exact"/>
              <w:ind w:right="160"/>
              <w:jc w:val="right"/>
              <w:rPr>
                <w:rFonts w:ascii="黑体" w:hAnsi="黑体" w:cs="黑体" w:eastAsia="黑体" w:hint="default"/>
                <w:sz w:val="20"/>
                <w:szCs w:val="20"/>
              </w:rPr>
            </w:pPr>
            <w:r>
              <w:rPr>
                <w:rFonts w:ascii="黑体" w:hAnsi="黑体" w:cs="黑体" w:eastAsia="黑体" w:hint="default"/>
                <w:w w:val="95"/>
                <w:sz w:val="20"/>
                <w:szCs w:val="20"/>
              </w:rPr>
              <w:t>本年减少</w:t>
            </w:r>
            <w:r>
              <w:rPr>
                <w:rFonts w:ascii="黑体" w:hAnsi="黑体" w:cs="黑体" w:eastAsia="黑体" w:hint="default"/>
                <w:sz w:val="20"/>
                <w:szCs w:val="20"/>
              </w:rPr>
            </w:r>
          </w:p>
        </w:tc>
        <w:tc>
          <w:tcPr>
            <w:tcW w:w="1296" w:type="dxa"/>
            <w:tcBorders>
              <w:top w:val="nil" w:sz="6" w:space="0" w:color="auto"/>
              <w:left w:val="nil" w:sz="6" w:space="0" w:color="auto"/>
              <w:bottom w:val="nil" w:sz="6" w:space="0" w:color="auto"/>
              <w:right w:val="nil" w:sz="6" w:space="0" w:color="auto"/>
            </w:tcBorders>
          </w:tcPr>
          <w:p>
            <w:pPr>
              <w:pStyle w:val="TableParagraph"/>
              <w:spacing w:line="199" w:lineRule="exact"/>
              <w:ind w:right="26"/>
              <w:jc w:val="right"/>
              <w:rPr>
                <w:rFonts w:ascii="黑体" w:hAnsi="黑体" w:cs="黑体" w:eastAsia="黑体" w:hint="default"/>
                <w:sz w:val="20"/>
                <w:szCs w:val="20"/>
              </w:rPr>
            </w:pPr>
            <w:r>
              <w:rPr>
                <w:rFonts w:ascii="黑体" w:hAnsi="黑体" w:cs="黑体" w:eastAsia="黑体" w:hint="default"/>
                <w:w w:val="95"/>
                <w:sz w:val="20"/>
                <w:szCs w:val="20"/>
              </w:rPr>
              <w:t>年末数</w:t>
            </w:r>
            <w:r>
              <w:rPr>
                <w:rFonts w:ascii="黑体" w:hAnsi="黑体" w:cs="黑体" w:eastAsia="黑体" w:hint="default"/>
                <w:sz w:val="20"/>
                <w:szCs w:val="20"/>
              </w:rPr>
            </w:r>
          </w:p>
        </w:tc>
        <w:tc>
          <w:tcPr>
            <w:tcW w:w="827" w:type="dxa"/>
            <w:tcBorders>
              <w:top w:val="nil" w:sz="6" w:space="0" w:color="auto"/>
              <w:left w:val="nil" w:sz="6" w:space="0" w:color="auto"/>
              <w:bottom w:val="nil" w:sz="6" w:space="0" w:color="auto"/>
              <w:right w:val="nil" w:sz="6" w:space="0" w:color="auto"/>
            </w:tcBorders>
          </w:tcPr>
          <w:p>
            <w:pPr>
              <w:pStyle w:val="TableParagraph"/>
              <w:spacing w:line="199" w:lineRule="exact"/>
              <w:ind w:right="1"/>
              <w:jc w:val="right"/>
              <w:rPr>
                <w:rFonts w:ascii="黑体" w:hAnsi="黑体" w:cs="黑体" w:eastAsia="黑体" w:hint="default"/>
                <w:sz w:val="20"/>
                <w:szCs w:val="20"/>
              </w:rPr>
            </w:pPr>
            <w:r>
              <w:rPr>
                <w:rFonts w:ascii="黑体" w:hAnsi="黑体" w:cs="黑体" w:eastAsia="黑体" w:hint="default"/>
                <w:w w:val="95"/>
                <w:sz w:val="20"/>
                <w:szCs w:val="20"/>
              </w:rPr>
              <w:t>减值准备</w:t>
            </w:r>
            <w:r>
              <w:rPr>
                <w:rFonts w:ascii="黑体" w:hAnsi="黑体" w:cs="黑体" w:eastAsia="黑体" w:hint="default"/>
                <w:sz w:val="20"/>
                <w:szCs w:val="20"/>
              </w:rPr>
            </w:r>
          </w:p>
        </w:tc>
        <w:tc>
          <w:tcPr>
            <w:tcW w:w="268" w:type="dxa"/>
            <w:tcBorders>
              <w:top w:val="nil" w:sz="6" w:space="0" w:color="auto"/>
              <w:left w:val="nil" w:sz="6" w:space="0" w:color="auto"/>
              <w:bottom w:val="nil" w:sz="6" w:space="0" w:color="auto"/>
              <w:right w:val="nil" w:sz="6" w:space="0" w:color="auto"/>
            </w:tcBorders>
          </w:tcPr>
          <w:p>
            <w:pPr/>
          </w:p>
        </w:tc>
      </w:tr>
      <w:tr>
        <w:trPr>
          <w:trHeight w:val="378" w:hRule="exact"/>
        </w:trPr>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96"/>
              <w:ind w:left="200" w:right="0"/>
              <w:jc w:val="left"/>
              <w:rPr>
                <w:rFonts w:ascii="黑体" w:hAnsi="黑体" w:cs="黑体" w:eastAsia="黑体" w:hint="default"/>
                <w:sz w:val="20"/>
                <w:szCs w:val="20"/>
              </w:rPr>
            </w:pPr>
            <w:r>
              <w:rPr>
                <w:rFonts w:ascii="黑体" w:hAnsi="黑体" w:cs="黑体" w:eastAsia="黑体" w:hint="default"/>
                <w:sz w:val="20"/>
                <w:szCs w:val="20"/>
              </w:rPr>
              <w:t>特博深</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95"/>
              <w:jc w:val="right"/>
              <w:rPr>
                <w:rFonts w:ascii="Arial" w:hAnsi="Arial" w:cs="Arial" w:eastAsia="Arial" w:hint="default"/>
                <w:sz w:val="20"/>
                <w:szCs w:val="20"/>
              </w:rPr>
            </w:pPr>
            <w:r>
              <w:rPr>
                <w:rFonts w:ascii="Arial"/>
                <w:spacing w:val="-1"/>
                <w:sz w:val="20"/>
              </w:rPr>
              <w:t>37,828,833</w:t>
            </w:r>
            <w:r>
              <w:rPr>
                <w:rFonts w:ascii="Arial"/>
                <w:sz w:val="20"/>
              </w:rPr>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70"/>
              <w:jc w:val="right"/>
              <w:rPr>
                <w:rFonts w:ascii="Arial" w:hAnsi="Arial" w:cs="Arial" w:eastAsia="Arial" w:hint="default"/>
                <w:sz w:val="20"/>
                <w:szCs w:val="20"/>
              </w:rPr>
            </w:pPr>
            <w:r>
              <w:rPr>
                <w:rFonts w:ascii="Arial"/>
                <w:w w:val="99"/>
                <w:sz w:val="20"/>
              </w:rPr>
              <w:t>-</w:t>
            </w:r>
            <w:r>
              <w:rPr>
                <w:rFonts w:ascii="Arial"/>
                <w:sz w:val="20"/>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59"/>
              <w:jc w:val="right"/>
              <w:rPr>
                <w:rFonts w:ascii="Arial" w:hAnsi="Arial" w:cs="Arial" w:eastAsia="Arial" w:hint="default"/>
                <w:sz w:val="20"/>
                <w:szCs w:val="20"/>
              </w:rPr>
            </w:pPr>
            <w:r>
              <w:rPr>
                <w:rFonts w:ascii="Arial"/>
                <w:w w:val="99"/>
                <w:sz w:val="20"/>
              </w:rPr>
              <w:t>-</w:t>
            </w:r>
            <w:r>
              <w:rPr>
                <w:rFonts w:ascii="Arial"/>
                <w:sz w:val="20"/>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7"/>
              <w:jc w:val="right"/>
              <w:rPr>
                <w:rFonts w:ascii="Arial" w:hAnsi="Arial" w:cs="Arial" w:eastAsia="Arial" w:hint="default"/>
                <w:sz w:val="20"/>
                <w:szCs w:val="20"/>
              </w:rPr>
            </w:pPr>
            <w:r>
              <w:rPr>
                <w:rFonts w:ascii="Arial"/>
                <w:spacing w:val="-1"/>
                <w:sz w:val="20"/>
              </w:rPr>
              <w:t>37,828,833</w:t>
            </w:r>
            <w:r>
              <w:rPr>
                <w:rFonts w:ascii="Arial"/>
                <w:sz w:val="20"/>
              </w:rPr>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
              <w:jc w:val="right"/>
              <w:rPr>
                <w:rFonts w:ascii="Arial" w:hAnsi="Arial" w:cs="Arial" w:eastAsia="Arial" w:hint="default"/>
                <w:sz w:val="20"/>
                <w:szCs w:val="20"/>
              </w:rPr>
            </w:pPr>
            <w:r>
              <w:rPr>
                <w:rFonts w:ascii="Arial"/>
                <w:w w:val="99"/>
                <w:sz w:val="20"/>
              </w:rPr>
              <w:t>-</w:t>
            </w:r>
            <w:r>
              <w:rPr>
                <w:rFonts w:ascii="Arial"/>
                <w:sz w:val="20"/>
              </w:rPr>
            </w:r>
          </w:p>
        </w:tc>
        <w:tc>
          <w:tcPr>
            <w:tcW w:w="268" w:type="dxa"/>
            <w:tcBorders>
              <w:top w:val="nil" w:sz="6" w:space="0" w:color="auto"/>
              <w:left w:val="nil" w:sz="6" w:space="0" w:color="auto"/>
              <w:bottom w:val="nil" w:sz="6" w:space="0" w:color="auto"/>
              <w:right w:val="nil" w:sz="6" w:space="0" w:color="auto"/>
            </w:tcBorders>
          </w:tcPr>
          <w:p>
            <w:pPr/>
          </w:p>
        </w:tc>
      </w:tr>
      <w:tr>
        <w:trPr>
          <w:trHeight w:val="259" w:hRule="exact"/>
        </w:trPr>
        <w:tc>
          <w:tcPr>
            <w:tcW w:w="2224"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黑体" w:hAnsi="黑体" w:cs="黑体" w:eastAsia="黑体" w:hint="default"/>
                <w:sz w:val="20"/>
                <w:szCs w:val="20"/>
              </w:rPr>
            </w:pPr>
            <w:r>
              <w:rPr>
                <w:rFonts w:ascii="黑体" w:hAnsi="黑体" w:cs="黑体" w:eastAsia="黑体" w:hint="default"/>
                <w:sz w:val="20"/>
                <w:szCs w:val="20"/>
              </w:rPr>
              <w:t>上海天诺坛网</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95"/>
              <w:jc w:val="right"/>
              <w:rPr>
                <w:rFonts w:ascii="Arial" w:hAnsi="Arial" w:cs="Arial" w:eastAsia="Arial" w:hint="default"/>
                <w:sz w:val="20"/>
                <w:szCs w:val="20"/>
              </w:rPr>
            </w:pPr>
            <w:r>
              <w:rPr>
                <w:rFonts w:ascii="Arial"/>
                <w:spacing w:val="-1"/>
                <w:sz w:val="20"/>
              </w:rPr>
              <w:t>12,659,937</w:t>
            </w:r>
            <w:r>
              <w:rPr>
                <w:rFonts w:ascii="Arial"/>
                <w:sz w:val="20"/>
              </w:rPr>
            </w:r>
          </w:p>
        </w:tc>
        <w:tc>
          <w:tcPr>
            <w:tcW w:w="1068" w:type="dxa"/>
            <w:tcBorders>
              <w:top w:val="nil" w:sz="6" w:space="0" w:color="auto"/>
              <w:left w:val="nil" w:sz="6" w:space="0" w:color="auto"/>
              <w:bottom w:val="nil" w:sz="6" w:space="0" w:color="auto"/>
              <w:right w:val="nil" w:sz="6" w:space="0" w:color="auto"/>
            </w:tcBorders>
          </w:tcPr>
          <w:p>
            <w:pPr>
              <w:pStyle w:val="TableParagraph"/>
              <w:spacing w:line="215" w:lineRule="exact"/>
              <w:ind w:right="170"/>
              <w:jc w:val="right"/>
              <w:rPr>
                <w:rFonts w:ascii="Arial" w:hAnsi="Arial" w:cs="Arial" w:eastAsia="Arial" w:hint="default"/>
                <w:sz w:val="20"/>
                <w:szCs w:val="20"/>
              </w:rPr>
            </w:pPr>
            <w:r>
              <w:rPr>
                <w:rFonts w:ascii="Arial"/>
                <w:w w:val="99"/>
                <w:sz w:val="20"/>
              </w:rPr>
              <w:t>-</w:t>
            </w:r>
            <w:r>
              <w:rPr>
                <w:rFonts w:ascii="Arial"/>
                <w:sz w:val="20"/>
              </w:rPr>
            </w:r>
          </w:p>
        </w:tc>
        <w:tc>
          <w:tcPr>
            <w:tcW w:w="1129" w:type="dxa"/>
            <w:tcBorders>
              <w:top w:val="nil" w:sz="6" w:space="0" w:color="auto"/>
              <w:left w:val="nil" w:sz="6" w:space="0" w:color="auto"/>
              <w:bottom w:val="nil" w:sz="6" w:space="0" w:color="auto"/>
              <w:right w:val="nil" w:sz="6" w:space="0" w:color="auto"/>
            </w:tcBorders>
          </w:tcPr>
          <w:p>
            <w:pPr>
              <w:pStyle w:val="TableParagraph"/>
              <w:spacing w:line="215" w:lineRule="exact"/>
              <w:ind w:right="159"/>
              <w:jc w:val="right"/>
              <w:rPr>
                <w:rFonts w:ascii="Arial" w:hAnsi="Arial" w:cs="Arial" w:eastAsia="Arial" w:hint="default"/>
                <w:sz w:val="20"/>
                <w:szCs w:val="20"/>
              </w:rPr>
            </w:pPr>
            <w:r>
              <w:rPr>
                <w:rFonts w:ascii="Arial"/>
                <w:w w:val="99"/>
                <w:sz w:val="20"/>
              </w:rPr>
              <w:t>-</w:t>
            </w:r>
            <w:r>
              <w:rPr>
                <w:rFonts w:ascii="Arial"/>
                <w:sz w:val="20"/>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7"/>
              <w:jc w:val="right"/>
              <w:rPr>
                <w:rFonts w:ascii="Arial" w:hAnsi="Arial" w:cs="Arial" w:eastAsia="Arial" w:hint="default"/>
                <w:sz w:val="20"/>
                <w:szCs w:val="20"/>
              </w:rPr>
            </w:pPr>
            <w:r>
              <w:rPr>
                <w:rFonts w:ascii="Arial"/>
                <w:spacing w:val="-1"/>
                <w:sz w:val="20"/>
              </w:rPr>
              <w:t>12,659,937</w:t>
            </w:r>
            <w:r>
              <w:rPr>
                <w:rFonts w:ascii="Arial"/>
                <w:sz w:val="20"/>
              </w:rPr>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
              <w:jc w:val="right"/>
              <w:rPr>
                <w:rFonts w:ascii="Arial" w:hAnsi="Arial" w:cs="Arial" w:eastAsia="Arial" w:hint="default"/>
                <w:sz w:val="20"/>
                <w:szCs w:val="20"/>
              </w:rPr>
            </w:pPr>
            <w:r>
              <w:rPr>
                <w:rFonts w:ascii="Arial"/>
                <w:w w:val="99"/>
                <w:sz w:val="20"/>
              </w:rPr>
              <w:t>-</w:t>
            </w:r>
            <w:r>
              <w:rPr>
                <w:rFonts w:ascii="Arial"/>
                <w:sz w:val="20"/>
              </w:rPr>
            </w:r>
          </w:p>
        </w:tc>
        <w:tc>
          <w:tcPr>
            <w:tcW w:w="268" w:type="dxa"/>
            <w:tcBorders>
              <w:top w:val="nil" w:sz="6" w:space="0" w:color="auto"/>
              <w:left w:val="nil" w:sz="6" w:space="0" w:color="auto"/>
              <w:bottom w:val="nil" w:sz="6" w:space="0" w:color="auto"/>
              <w:right w:val="nil" w:sz="6" w:space="0" w:color="auto"/>
            </w:tcBorders>
          </w:tcPr>
          <w:p>
            <w:pPr/>
          </w:p>
        </w:tc>
      </w:tr>
      <w:tr>
        <w:trPr>
          <w:trHeight w:val="257" w:hRule="exact"/>
        </w:trPr>
        <w:tc>
          <w:tcPr>
            <w:tcW w:w="2224" w:type="dxa"/>
            <w:tcBorders>
              <w:top w:val="nil" w:sz="6" w:space="0" w:color="auto"/>
              <w:left w:val="nil" w:sz="6" w:space="0" w:color="auto"/>
              <w:bottom w:val="nil" w:sz="6" w:space="0" w:color="auto"/>
              <w:right w:val="nil" w:sz="6" w:space="0" w:color="auto"/>
            </w:tcBorders>
          </w:tcPr>
          <w:p>
            <w:pPr>
              <w:pStyle w:val="TableParagraph"/>
              <w:spacing w:line="236" w:lineRule="exact"/>
              <w:ind w:left="200" w:right="0"/>
              <w:jc w:val="left"/>
              <w:rPr>
                <w:rFonts w:ascii="黑体" w:hAnsi="黑体" w:cs="黑体" w:eastAsia="黑体" w:hint="default"/>
                <w:sz w:val="20"/>
                <w:szCs w:val="20"/>
              </w:rPr>
            </w:pPr>
            <w:r>
              <w:rPr>
                <w:rFonts w:ascii="黑体" w:hAnsi="黑体" w:cs="黑体" w:eastAsia="黑体" w:hint="default"/>
                <w:sz w:val="20"/>
                <w:szCs w:val="20"/>
              </w:rPr>
              <w:t>重庆迈特</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5"/>
              <w:jc w:val="right"/>
              <w:rPr>
                <w:rFonts w:ascii="Arial" w:hAnsi="Arial" w:cs="Arial" w:eastAsia="Arial" w:hint="default"/>
                <w:sz w:val="20"/>
                <w:szCs w:val="20"/>
              </w:rPr>
            </w:pPr>
            <w:r>
              <w:rPr>
                <w:rFonts w:ascii="Arial"/>
                <w:spacing w:val="-1"/>
                <w:sz w:val="20"/>
              </w:rPr>
              <w:t>5,709,400</w:t>
            </w:r>
          </w:p>
        </w:tc>
        <w:tc>
          <w:tcPr>
            <w:tcW w:w="1068" w:type="dxa"/>
            <w:tcBorders>
              <w:top w:val="nil" w:sz="6" w:space="0" w:color="auto"/>
              <w:left w:val="nil" w:sz="6" w:space="0" w:color="auto"/>
              <w:bottom w:val="nil" w:sz="6" w:space="0" w:color="auto"/>
              <w:right w:val="nil" w:sz="6" w:space="0" w:color="auto"/>
            </w:tcBorders>
          </w:tcPr>
          <w:p>
            <w:pPr>
              <w:pStyle w:val="TableParagraph"/>
              <w:spacing w:line="215" w:lineRule="exact"/>
              <w:ind w:right="170"/>
              <w:jc w:val="right"/>
              <w:rPr>
                <w:rFonts w:ascii="Arial" w:hAnsi="Arial" w:cs="Arial" w:eastAsia="Arial" w:hint="default"/>
                <w:sz w:val="20"/>
                <w:szCs w:val="20"/>
              </w:rPr>
            </w:pPr>
            <w:r>
              <w:rPr>
                <w:rFonts w:ascii="Arial"/>
                <w:w w:val="99"/>
                <w:sz w:val="20"/>
              </w:rPr>
              <w:t>-</w:t>
            </w:r>
            <w:r>
              <w:rPr>
                <w:rFonts w:ascii="Arial"/>
                <w:sz w:val="20"/>
              </w:rPr>
            </w:r>
          </w:p>
        </w:tc>
        <w:tc>
          <w:tcPr>
            <w:tcW w:w="1129" w:type="dxa"/>
            <w:tcBorders>
              <w:top w:val="nil" w:sz="6" w:space="0" w:color="auto"/>
              <w:left w:val="nil" w:sz="6" w:space="0" w:color="auto"/>
              <w:bottom w:val="nil" w:sz="6" w:space="0" w:color="auto"/>
              <w:right w:val="nil" w:sz="6" w:space="0" w:color="auto"/>
            </w:tcBorders>
          </w:tcPr>
          <w:p>
            <w:pPr>
              <w:pStyle w:val="TableParagraph"/>
              <w:spacing w:line="215" w:lineRule="exact"/>
              <w:ind w:right="159"/>
              <w:jc w:val="right"/>
              <w:rPr>
                <w:rFonts w:ascii="Arial" w:hAnsi="Arial" w:cs="Arial" w:eastAsia="Arial" w:hint="default"/>
                <w:sz w:val="20"/>
                <w:szCs w:val="20"/>
              </w:rPr>
            </w:pPr>
            <w:r>
              <w:rPr>
                <w:rFonts w:ascii="Arial"/>
                <w:w w:val="99"/>
                <w:sz w:val="20"/>
              </w:rPr>
              <w:t>-</w:t>
            </w:r>
            <w:r>
              <w:rPr>
                <w:rFonts w:ascii="Arial"/>
                <w:sz w:val="20"/>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6"/>
              <w:jc w:val="right"/>
              <w:rPr>
                <w:rFonts w:ascii="Arial" w:hAnsi="Arial" w:cs="Arial" w:eastAsia="Arial" w:hint="default"/>
                <w:sz w:val="20"/>
                <w:szCs w:val="20"/>
              </w:rPr>
            </w:pPr>
            <w:r>
              <w:rPr>
                <w:rFonts w:ascii="Arial"/>
                <w:spacing w:val="-1"/>
                <w:sz w:val="20"/>
              </w:rPr>
              <w:t>5,709,400</w:t>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
              <w:jc w:val="right"/>
              <w:rPr>
                <w:rFonts w:ascii="Arial" w:hAnsi="Arial" w:cs="Arial" w:eastAsia="Arial" w:hint="default"/>
                <w:sz w:val="20"/>
                <w:szCs w:val="20"/>
              </w:rPr>
            </w:pPr>
            <w:r>
              <w:rPr>
                <w:rFonts w:ascii="Arial"/>
                <w:w w:val="99"/>
                <w:sz w:val="20"/>
              </w:rPr>
              <w:t>-</w:t>
            </w:r>
            <w:r>
              <w:rPr>
                <w:rFonts w:ascii="Arial"/>
                <w:sz w:val="20"/>
              </w:rPr>
            </w:r>
          </w:p>
        </w:tc>
        <w:tc>
          <w:tcPr>
            <w:tcW w:w="268" w:type="dxa"/>
            <w:tcBorders>
              <w:top w:val="nil" w:sz="6" w:space="0" w:color="auto"/>
              <w:left w:val="nil" w:sz="6" w:space="0" w:color="auto"/>
              <w:bottom w:val="nil" w:sz="6" w:space="0" w:color="auto"/>
              <w:right w:val="nil" w:sz="6" w:space="0" w:color="auto"/>
            </w:tcBorders>
          </w:tcPr>
          <w:p>
            <w:pPr/>
          </w:p>
        </w:tc>
      </w:tr>
      <w:tr>
        <w:trPr>
          <w:trHeight w:val="259" w:hRule="exact"/>
        </w:trPr>
        <w:tc>
          <w:tcPr>
            <w:tcW w:w="2224"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黑体" w:hAnsi="黑体" w:cs="黑体" w:eastAsia="黑体" w:hint="default"/>
                <w:sz w:val="20"/>
                <w:szCs w:val="20"/>
              </w:rPr>
            </w:pPr>
            <w:r>
              <w:rPr>
                <w:rFonts w:ascii="黑体" w:hAnsi="黑体" w:cs="黑体" w:eastAsia="黑体" w:hint="default"/>
                <w:sz w:val="20"/>
                <w:szCs w:val="20"/>
              </w:rPr>
              <w:t>上海哈久</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95"/>
              <w:jc w:val="right"/>
              <w:rPr>
                <w:rFonts w:ascii="Arial" w:hAnsi="Arial" w:cs="Arial" w:eastAsia="Arial" w:hint="default"/>
                <w:sz w:val="20"/>
                <w:szCs w:val="20"/>
              </w:rPr>
            </w:pPr>
            <w:r>
              <w:rPr>
                <w:rFonts w:ascii="Arial"/>
                <w:spacing w:val="-1"/>
                <w:sz w:val="20"/>
              </w:rPr>
              <w:t>6,637,723</w:t>
            </w:r>
          </w:p>
        </w:tc>
        <w:tc>
          <w:tcPr>
            <w:tcW w:w="1068" w:type="dxa"/>
            <w:tcBorders>
              <w:top w:val="nil" w:sz="6" w:space="0" w:color="auto"/>
              <w:left w:val="nil" w:sz="6" w:space="0" w:color="auto"/>
              <w:bottom w:val="nil" w:sz="6" w:space="0" w:color="auto"/>
              <w:right w:val="nil" w:sz="6" w:space="0" w:color="auto"/>
            </w:tcBorders>
          </w:tcPr>
          <w:p>
            <w:pPr>
              <w:pStyle w:val="TableParagraph"/>
              <w:spacing w:line="215" w:lineRule="exact"/>
              <w:ind w:right="170"/>
              <w:jc w:val="right"/>
              <w:rPr>
                <w:rFonts w:ascii="Arial" w:hAnsi="Arial" w:cs="Arial" w:eastAsia="Arial" w:hint="default"/>
                <w:sz w:val="20"/>
                <w:szCs w:val="20"/>
              </w:rPr>
            </w:pPr>
            <w:r>
              <w:rPr>
                <w:rFonts w:ascii="Arial"/>
                <w:w w:val="99"/>
                <w:sz w:val="20"/>
              </w:rPr>
              <w:t>-</w:t>
            </w:r>
            <w:r>
              <w:rPr>
                <w:rFonts w:ascii="Arial"/>
                <w:sz w:val="20"/>
              </w:rPr>
            </w:r>
          </w:p>
        </w:tc>
        <w:tc>
          <w:tcPr>
            <w:tcW w:w="1129" w:type="dxa"/>
            <w:tcBorders>
              <w:top w:val="nil" w:sz="6" w:space="0" w:color="auto"/>
              <w:left w:val="nil" w:sz="6" w:space="0" w:color="auto"/>
              <w:bottom w:val="nil" w:sz="6" w:space="0" w:color="auto"/>
              <w:right w:val="nil" w:sz="6" w:space="0" w:color="auto"/>
            </w:tcBorders>
          </w:tcPr>
          <w:p>
            <w:pPr>
              <w:pStyle w:val="TableParagraph"/>
              <w:spacing w:line="215" w:lineRule="exact"/>
              <w:ind w:right="159"/>
              <w:jc w:val="right"/>
              <w:rPr>
                <w:rFonts w:ascii="Arial" w:hAnsi="Arial" w:cs="Arial" w:eastAsia="Arial" w:hint="default"/>
                <w:sz w:val="20"/>
                <w:szCs w:val="20"/>
              </w:rPr>
            </w:pPr>
            <w:r>
              <w:rPr>
                <w:rFonts w:ascii="Arial"/>
                <w:w w:val="99"/>
                <w:sz w:val="20"/>
              </w:rPr>
              <w:t>-</w:t>
            </w:r>
            <w:r>
              <w:rPr>
                <w:rFonts w:ascii="Arial"/>
                <w:sz w:val="20"/>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Arial" w:hAnsi="Arial" w:cs="Arial" w:eastAsia="Arial" w:hint="default"/>
                <w:sz w:val="20"/>
                <w:szCs w:val="20"/>
              </w:rPr>
            </w:pPr>
            <w:r>
              <w:rPr>
                <w:rFonts w:ascii="Arial"/>
                <w:spacing w:val="-1"/>
                <w:sz w:val="20"/>
              </w:rPr>
              <w:t>6,637,723</w:t>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
              <w:jc w:val="right"/>
              <w:rPr>
                <w:rFonts w:ascii="Arial" w:hAnsi="Arial" w:cs="Arial" w:eastAsia="Arial" w:hint="default"/>
                <w:sz w:val="20"/>
                <w:szCs w:val="20"/>
              </w:rPr>
            </w:pPr>
            <w:r>
              <w:rPr>
                <w:rFonts w:ascii="Arial"/>
                <w:w w:val="99"/>
                <w:sz w:val="20"/>
              </w:rPr>
              <w:t>-</w:t>
            </w:r>
            <w:r>
              <w:rPr>
                <w:rFonts w:ascii="Arial"/>
                <w:sz w:val="20"/>
              </w:rPr>
            </w:r>
          </w:p>
        </w:tc>
        <w:tc>
          <w:tcPr>
            <w:tcW w:w="268" w:type="dxa"/>
            <w:tcBorders>
              <w:top w:val="nil" w:sz="6" w:space="0" w:color="auto"/>
              <w:left w:val="nil" w:sz="6" w:space="0" w:color="auto"/>
              <w:bottom w:val="nil" w:sz="6" w:space="0" w:color="auto"/>
              <w:right w:val="nil" w:sz="6" w:space="0" w:color="auto"/>
            </w:tcBorders>
          </w:tcPr>
          <w:p>
            <w:pPr/>
          </w:p>
        </w:tc>
      </w:tr>
      <w:tr>
        <w:trPr>
          <w:trHeight w:val="257" w:hRule="exact"/>
        </w:trPr>
        <w:tc>
          <w:tcPr>
            <w:tcW w:w="2224" w:type="dxa"/>
            <w:tcBorders>
              <w:top w:val="nil" w:sz="6" w:space="0" w:color="auto"/>
              <w:left w:val="nil" w:sz="6" w:space="0" w:color="auto"/>
              <w:bottom w:val="nil" w:sz="6" w:space="0" w:color="auto"/>
              <w:right w:val="nil" w:sz="6" w:space="0" w:color="auto"/>
            </w:tcBorders>
          </w:tcPr>
          <w:p>
            <w:pPr>
              <w:pStyle w:val="TableParagraph"/>
              <w:spacing w:line="236" w:lineRule="exact"/>
              <w:ind w:left="200" w:right="0"/>
              <w:jc w:val="left"/>
              <w:rPr>
                <w:rFonts w:ascii="黑体" w:hAnsi="黑体" w:cs="黑体" w:eastAsia="黑体" w:hint="default"/>
                <w:sz w:val="20"/>
                <w:szCs w:val="20"/>
              </w:rPr>
            </w:pPr>
            <w:r>
              <w:rPr>
                <w:rFonts w:ascii="黑体" w:hAnsi="黑体" w:cs="黑体" w:eastAsia="黑体" w:hint="default"/>
                <w:sz w:val="20"/>
                <w:szCs w:val="20"/>
              </w:rPr>
              <w:t>时空超越</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5"/>
              <w:jc w:val="right"/>
              <w:rPr>
                <w:rFonts w:ascii="Arial" w:hAnsi="Arial" w:cs="Arial" w:eastAsia="Arial" w:hint="default"/>
                <w:sz w:val="20"/>
                <w:szCs w:val="20"/>
              </w:rPr>
            </w:pPr>
            <w:r>
              <w:rPr>
                <w:rFonts w:ascii="Arial"/>
                <w:spacing w:val="-1"/>
                <w:sz w:val="20"/>
              </w:rPr>
              <w:t>35,997,518</w:t>
            </w:r>
            <w:r>
              <w:rPr>
                <w:rFonts w:ascii="Arial"/>
                <w:sz w:val="20"/>
              </w:rPr>
            </w:r>
          </w:p>
        </w:tc>
        <w:tc>
          <w:tcPr>
            <w:tcW w:w="1068" w:type="dxa"/>
            <w:tcBorders>
              <w:top w:val="nil" w:sz="6" w:space="0" w:color="auto"/>
              <w:left w:val="nil" w:sz="6" w:space="0" w:color="auto"/>
              <w:bottom w:val="nil" w:sz="6" w:space="0" w:color="auto"/>
              <w:right w:val="nil" w:sz="6" w:space="0" w:color="auto"/>
            </w:tcBorders>
          </w:tcPr>
          <w:p>
            <w:pPr>
              <w:pStyle w:val="TableParagraph"/>
              <w:spacing w:line="215" w:lineRule="exact"/>
              <w:ind w:right="170"/>
              <w:jc w:val="right"/>
              <w:rPr>
                <w:rFonts w:ascii="Arial" w:hAnsi="Arial" w:cs="Arial" w:eastAsia="Arial" w:hint="default"/>
                <w:sz w:val="20"/>
                <w:szCs w:val="20"/>
              </w:rPr>
            </w:pPr>
            <w:r>
              <w:rPr>
                <w:rFonts w:ascii="Arial"/>
                <w:w w:val="99"/>
                <w:sz w:val="20"/>
              </w:rPr>
              <w:t>-</w:t>
            </w:r>
            <w:r>
              <w:rPr>
                <w:rFonts w:ascii="Arial"/>
                <w:sz w:val="20"/>
              </w:rPr>
            </w:r>
          </w:p>
        </w:tc>
        <w:tc>
          <w:tcPr>
            <w:tcW w:w="1129" w:type="dxa"/>
            <w:tcBorders>
              <w:top w:val="nil" w:sz="6" w:space="0" w:color="auto"/>
              <w:left w:val="nil" w:sz="6" w:space="0" w:color="auto"/>
              <w:bottom w:val="nil" w:sz="6" w:space="0" w:color="auto"/>
              <w:right w:val="nil" w:sz="6" w:space="0" w:color="auto"/>
            </w:tcBorders>
          </w:tcPr>
          <w:p>
            <w:pPr>
              <w:pStyle w:val="TableParagraph"/>
              <w:spacing w:line="215" w:lineRule="exact"/>
              <w:ind w:right="159"/>
              <w:jc w:val="right"/>
              <w:rPr>
                <w:rFonts w:ascii="Arial" w:hAnsi="Arial" w:cs="Arial" w:eastAsia="Arial" w:hint="default"/>
                <w:sz w:val="20"/>
                <w:szCs w:val="20"/>
              </w:rPr>
            </w:pPr>
            <w:r>
              <w:rPr>
                <w:rFonts w:ascii="Arial"/>
                <w:w w:val="99"/>
                <w:sz w:val="20"/>
              </w:rPr>
              <w:t>-</w:t>
            </w:r>
            <w:r>
              <w:rPr>
                <w:rFonts w:ascii="Arial"/>
                <w:sz w:val="20"/>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7"/>
              <w:jc w:val="right"/>
              <w:rPr>
                <w:rFonts w:ascii="Arial" w:hAnsi="Arial" w:cs="Arial" w:eastAsia="Arial" w:hint="default"/>
                <w:sz w:val="20"/>
                <w:szCs w:val="20"/>
              </w:rPr>
            </w:pPr>
            <w:r>
              <w:rPr>
                <w:rFonts w:ascii="Arial"/>
                <w:spacing w:val="-1"/>
                <w:sz w:val="20"/>
              </w:rPr>
              <w:t>35,997,518</w:t>
            </w:r>
            <w:r>
              <w:rPr>
                <w:rFonts w:ascii="Arial"/>
                <w:sz w:val="20"/>
              </w:rPr>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
              <w:jc w:val="right"/>
              <w:rPr>
                <w:rFonts w:ascii="Arial" w:hAnsi="Arial" w:cs="Arial" w:eastAsia="Arial" w:hint="default"/>
                <w:sz w:val="20"/>
                <w:szCs w:val="20"/>
              </w:rPr>
            </w:pPr>
            <w:r>
              <w:rPr>
                <w:rFonts w:ascii="Arial"/>
                <w:w w:val="99"/>
                <w:sz w:val="20"/>
              </w:rPr>
              <w:t>-</w:t>
            </w:r>
            <w:r>
              <w:rPr>
                <w:rFonts w:ascii="Arial"/>
                <w:sz w:val="20"/>
              </w:rPr>
            </w:r>
          </w:p>
        </w:tc>
        <w:tc>
          <w:tcPr>
            <w:tcW w:w="268" w:type="dxa"/>
            <w:tcBorders>
              <w:top w:val="nil" w:sz="6" w:space="0" w:color="auto"/>
              <w:left w:val="nil" w:sz="6" w:space="0" w:color="auto"/>
              <w:bottom w:val="nil" w:sz="6" w:space="0" w:color="auto"/>
              <w:right w:val="nil" w:sz="6" w:space="0" w:color="auto"/>
            </w:tcBorders>
          </w:tcPr>
          <w:p>
            <w:pPr/>
          </w:p>
        </w:tc>
      </w:tr>
      <w:tr>
        <w:trPr>
          <w:trHeight w:val="259" w:hRule="exact"/>
        </w:trPr>
        <w:tc>
          <w:tcPr>
            <w:tcW w:w="2224"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黑体" w:hAnsi="黑体" w:cs="黑体" w:eastAsia="黑体" w:hint="default"/>
                <w:sz w:val="20"/>
                <w:szCs w:val="20"/>
              </w:rPr>
            </w:pPr>
            <w:r>
              <w:rPr>
                <w:rFonts w:ascii="黑体" w:hAnsi="黑体" w:cs="黑体" w:eastAsia="黑体" w:hint="default"/>
                <w:sz w:val="20"/>
                <w:szCs w:val="20"/>
              </w:rPr>
              <w:t>广州尚南</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95"/>
              <w:jc w:val="right"/>
              <w:rPr>
                <w:rFonts w:ascii="Arial" w:hAnsi="Arial" w:cs="Arial" w:eastAsia="Arial" w:hint="default"/>
                <w:sz w:val="20"/>
                <w:szCs w:val="20"/>
              </w:rPr>
            </w:pPr>
            <w:r>
              <w:rPr>
                <w:rFonts w:ascii="Arial"/>
                <w:spacing w:val="-1"/>
                <w:sz w:val="20"/>
              </w:rPr>
              <w:t>28,555,713</w:t>
            </w:r>
            <w:r>
              <w:rPr>
                <w:rFonts w:ascii="Arial"/>
                <w:sz w:val="20"/>
              </w:rPr>
            </w:r>
          </w:p>
        </w:tc>
        <w:tc>
          <w:tcPr>
            <w:tcW w:w="1068" w:type="dxa"/>
            <w:tcBorders>
              <w:top w:val="nil" w:sz="6" w:space="0" w:color="auto"/>
              <w:left w:val="nil" w:sz="6" w:space="0" w:color="auto"/>
              <w:bottom w:val="nil" w:sz="6" w:space="0" w:color="auto"/>
              <w:right w:val="nil" w:sz="6" w:space="0" w:color="auto"/>
            </w:tcBorders>
          </w:tcPr>
          <w:p>
            <w:pPr>
              <w:pStyle w:val="TableParagraph"/>
              <w:spacing w:line="215" w:lineRule="exact"/>
              <w:ind w:right="170"/>
              <w:jc w:val="right"/>
              <w:rPr>
                <w:rFonts w:ascii="Arial" w:hAnsi="Arial" w:cs="Arial" w:eastAsia="Arial" w:hint="default"/>
                <w:sz w:val="20"/>
                <w:szCs w:val="20"/>
              </w:rPr>
            </w:pPr>
            <w:r>
              <w:rPr>
                <w:rFonts w:ascii="Arial"/>
                <w:w w:val="99"/>
                <w:sz w:val="20"/>
              </w:rPr>
              <w:t>-</w:t>
            </w:r>
            <w:r>
              <w:rPr>
                <w:rFonts w:ascii="Arial"/>
                <w:sz w:val="20"/>
              </w:rPr>
            </w:r>
          </w:p>
        </w:tc>
        <w:tc>
          <w:tcPr>
            <w:tcW w:w="1129" w:type="dxa"/>
            <w:tcBorders>
              <w:top w:val="nil" w:sz="6" w:space="0" w:color="auto"/>
              <w:left w:val="nil" w:sz="6" w:space="0" w:color="auto"/>
              <w:bottom w:val="nil" w:sz="6" w:space="0" w:color="auto"/>
              <w:right w:val="nil" w:sz="6" w:space="0" w:color="auto"/>
            </w:tcBorders>
          </w:tcPr>
          <w:p>
            <w:pPr>
              <w:pStyle w:val="TableParagraph"/>
              <w:spacing w:line="215" w:lineRule="exact"/>
              <w:ind w:right="159"/>
              <w:jc w:val="right"/>
              <w:rPr>
                <w:rFonts w:ascii="Arial" w:hAnsi="Arial" w:cs="Arial" w:eastAsia="Arial" w:hint="default"/>
                <w:sz w:val="20"/>
                <w:szCs w:val="20"/>
              </w:rPr>
            </w:pPr>
            <w:r>
              <w:rPr>
                <w:rFonts w:ascii="Arial"/>
                <w:w w:val="99"/>
                <w:sz w:val="20"/>
              </w:rPr>
              <w:t>-</w:t>
            </w:r>
            <w:r>
              <w:rPr>
                <w:rFonts w:ascii="Arial"/>
                <w:sz w:val="20"/>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7"/>
              <w:jc w:val="right"/>
              <w:rPr>
                <w:rFonts w:ascii="Arial" w:hAnsi="Arial" w:cs="Arial" w:eastAsia="Arial" w:hint="default"/>
                <w:sz w:val="20"/>
                <w:szCs w:val="20"/>
              </w:rPr>
            </w:pPr>
            <w:r>
              <w:rPr>
                <w:rFonts w:ascii="Arial"/>
                <w:spacing w:val="-1"/>
                <w:sz w:val="20"/>
              </w:rPr>
              <w:t>28,555,713</w:t>
            </w:r>
            <w:r>
              <w:rPr>
                <w:rFonts w:ascii="Arial"/>
                <w:sz w:val="20"/>
              </w:rPr>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
              <w:jc w:val="right"/>
              <w:rPr>
                <w:rFonts w:ascii="Arial" w:hAnsi="Arial" w:cs="Arial" w:eastAsia="Arial" w:hint="default"/>
                <w:sz w:val="20"/>
                <w:szCs w:val="20"/>
              </w:rPr>
            </w:pPr>
            <w:r>
              <w:rPr>
                <w:rFonts w:ascii="Arial"/>
                <w:w w:val="99"/>
                <w:sz w:val="20"/>
              </w:rPr>
              <w:t>-</w:t>
            </w:r>
            <w:r>
              <w:rPr>
                <w:rFonts w:ascii="Arial"/>
                <w:sz w:val="20"/>
              </w:rPr>
            </w:r>
          </w:p>
        </w:tc>
        <w:tc>
          <w:tcPr>
            <w:tcW w:w="268" w:type="dxa"/>
            <w:tcBorders>
              <w:top w:val="nil" w:sz="6" w:space="0" w:color="auto"/>
              <w:left w:val="nil" w:sz="6" w:space="0" w:color="auto"/>
              <w:bottom w:val="nil" w:sz="6" w:space="0" w:color="auto"/>
              <w:right w:val="nil" w:sz="6" w:space="0" w:color="auto"/>
            </w:tcBorders>
          </w:tcPr>
          <w:p>
            <w:pPr/>
          </w:p>
        </w:tc>
      </w:tr>
      <w:tr>
        <w:trPr>
          <w:trHeight w:val="257" w:hRule="exact"/>
        </w:trPr>
        <w:tc>
          <w:tcPr>
            <w:tcW w:w="2224" w:type="dxa"/>
            <w:tcBorders>
              <w:top w:val="nil" w:sz="6" w:space="0" w:color="auto"/>
              <w:left w:val="nil" w:sz="6" w:space="0" w:color="auto"/>
              <w:bottom w:val="nil" w:sz="6" w:space="0" w:color="auto"/>
              <w:right w:val="nil" w:sz="6" w:space="0" w:color="auto"/>
            </w:tcBorders>
          </w:tcPr>
          <w:p>
            <w:pPr>
              <w:pStyle w:val="TableParagraph"/>
              <w:spacing w:line="236" w:lineRule="exact"/>
              <w:ind w:left="200" w:right="0"/>
              <w:jc w:val="left"/>
              <w:rPr>
                <w:rFonts w:ascii="黑体" w:hAnsi="黑体" w:cs="黑体" w:eastAsia="黑体" w:hint="default"/>
                <w:sz w:val="20"/>
                <w:szCs w:val="20"/>
              </w:rPr>
            </w:pPr>
            <w:r>
              <w:rPr>
                <w:rFonts w:ascii="黑体" w:hAnsi="黑体" w:cs="黑体" w:eastAsia="黑体" w:hint="default"/>
                <w:sz w:val="20"/>
                <w:szCs w:val="20"/>
              </w:rPr>
              <w:t>广州安易及江门安易</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5"/>
              <w:jc w:val="right"/>
              <w:rPr>
                <w:rFonts w:ascii="Arial" w:hAnsi="Arial" w:cs="Arial" w:eastAsia="Arial" w:hint="default"/>
                <w:sz w:val="20"/>
                <w:szCs w:val="20"/>
              </w:rPr>
            </w:pPr>
            <w:r>
              <w:rPr>
                <w:rFonts w:ascii="Arial"/>
                <w:spacing w:val="-1"/>
                <w:sz w:val="20"/>
              </w:rPr>
              <w:t>14,807,958</w:t>
            </w:r>
            <w:r>
              <w:rPr>
                <w:rFonts w:ascii="Arial"/>
                <w:sz w:val="20"/>
              </w:rPr>
            </w:r>
          </w:p>
        </w:tc>
        <w:tc>
          <w:tcPr>
            <w:tcW w:w="1068" w:type="dxa"/>
            <w:tcBorders>
              <w:top w:val="nil" w:sz="6" w:space="0" w:color="auto"/>
              <w:left w:val="nil" w:sz="6" w:space="0" w:color="auto"/>
              <w:bottom w:val="nil" w:sz="6" w:space="0" w:color="auto"/>
              <w:right w:val="nil" w:sz="6" w:space="0" w:color="auto"/>
            </w:tcBorders>
          </w:tcPr>
          <w:p>
            <w:pPr>
              <w:pStyle w:val="TableParagraph"/>
              <w:spacing w:line="215" w:lineRule="exact"/>
              <w:ind w:right="170"/>
              <w:jc w:val="right"/>
              <w:rPr>
                <w:rFonts w:ascii="Arial" w:hAnsi="Arial" w:cs="Arial" w:eastAsia="Arial" w:hint="default"/>
                <w:sz w:val="20"/>
                <w:szCs w:val="20"/>
              </w:rPr>
            </w:pPr>
            <w:r>
              <w:rPr>
                <w:rFonts w:ascii="Arial"/>
                <w:w w:val="99"/>
                <w:sz w:val="20"/>
              </w:rPr>
              <w:t>-</w:t>
            </w:r>
            <w:r>
              <w:rPr>
                <w:rFonts w:ascii="Arial"/>
                <w:sz w:val="20"/>
              </w:rPr>
            </w:r>
          </w:p>
        </w:tc>
        <w:tc>
          <w:tcPr>
            <w:tcW w:w="1129" w:type="dxa"/>
            <w:tcBorders>
              <w:top w:val="nil" w:sz="6" w:space="0" w:color="auto"/>
              <w:left w:val="nil" w:sz="6" w:space="0" w:color="auto"/>
              <w:bottom w:val="nil" w:sz="6" w:space="0" w:color="auto"/>
              <w:right w:val="nil" w:sz="6" w:space="0" w:color="auto"/>
            </w:tcBorders>
          </w:tcPr>
          <w:p>
            <w:pPr>
              <w:pStyle w:val="TableParagraph"/>
              <w:spacing w:line="215" w:lineRule="exact"/>
              <w:ind w:right="159"/>
              <w:jc w:val="right"/>
              <w:rPr>
                <w:rFonts w:ascii="Arial" w:hAnsi="Arial" w:cs="Arial" w:eastAsia="Arial" w:hint="default"/>
                <w:sz w:val="20"/>
                <w:szCs w:val="20"/>
              </w:rPr>
            </w:pPr>
            <w:r>
              <w:rPr>
                <w:rFonts w:ascii="Arial"/>
                <w:w w:val="99"/>
                <w:sz w:val="20"/>
              </w:rPr>
              <w:t>-</w:t>
            </w:r>
            <w:r>
              <w:rPr>
                <w:rFonts w:ascii="Arial"/>
                <w:sz w:val="20"/>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7"/>
              <w:jc w:val="right"/>
              <w:rPr>
                <w:rFonts w:ascii="Arial" w:hAnsi="Arial" w:cs="Arial" w:eastAsia="Arial" w:hint="default"/>
                <w:sz w:val="20"/>
                <w:szCs w:val="20"/>
              </w:rPr>
            </w:pPr>
            <w:r>
              <w:rPr>
                <w:rFonts w:ascii="Arial"/>
                <w:spacing w:val="-1"/>
                <w:sz w:val="20"/>
              </w:rPr>
              <w:t>14,807,958</w:t>
            </w:r>
            <w:r>
              <w:rPr>
                <w:rFonts w:ascii="Arial"/>
                <w:sz w:val="20"/>
              </w:rPr>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
              <w:jc w:val="right"/>
              <w:rPr>
                <w:rFonts w:ascii="Arial" w:hAnsi="Arial" w:cs="Arial" w:eastAsia="Arial" w:hint="default"/>
                <w:sz w:val="20"/>
                <w:szCs w:val="20"/>
              </w:rPr>
            </w:pPr>
            <w:r>
              <w:rPr>
                <w:rFonts w:ascii="Arial"/>
                <w:w w:val="99"/>
                <w:sz w:val="20"/>
              </w:rPr>
              <w:t>-</w:t>
            </w:r>
            <w:r>
              <w:rPr>
                <w:rFonts w:ascii="Arial"/>
                <w:sz w:val="20"/>
              </w:rPr>
            </w:r>
          </w:p>
        </w:tc>
        <w:tc>
          <w:tcPr>
            <w:tcW w:w="268" w:type="dxa"/>
            <w:tcBorders>
              <w:top w:val="nil" w:sz="6" w:space="0" w:color="auto"/>
              <w:left w:val="nil" w:sz="6" w:space="0" w:color="auto"/>
              <w:bottom w:val="nil" w:sz="6" w:space="0" w:color="auto"/>
              <w:right w:val="nil" w:sz="6" w:space="0" w:color="auto"/>
            </w:tcBorders>
          </w:tcPr>
          <w:p>
            <w:pPr/>
          </w:p>
        </w:tc>
      </w:tr>
      <w:tr>
        <w:trPr>
          <w:trHeight w:val="259" w:hRule="exact"/>
        </w:trPr>
        <w:tc>
          <w:tcPr>
            <w:tcW w:w="2224"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黑体" w:hAnsi="黑体" w:cs="黑体" w:eastAsia="黑体" w:hint="default"/>
                <w:sz w:val="20"/>
                <w:szCs w:val="20"/>
              </w:rPr>
            </w:pPr>
            <w:r>
              <w:rPr>
                <w:rFonts w:ascii="黑体" w:hAnsi="黑体" w:cs="黑体" w:eastAsia="黑体" w:hint="default"/>
                <w:sz w:val="20"/>
                <w:szCs w:val="20"/>
              </w:rPr>
              <w:t>用友医院</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95"/>
              <w:jc w:val="right"/>
              <w:rPr>
                <w:rFonts w:ascii="Arial" w:hAnsi="Arial" w:cs="Arial" w:eastAsia="Arial" w:hint="default"/>
                <w:sz w:val="20"/>
                <w:szCs w:val="20"/>
              </w:rPr>
            </w:pPr>
            <w:r>
              <w:rPr>
                <w:rFonts w:ascii="Arial"/>
                <w:spacing w:val="-1"/>
                <w:sz w:val="20"/>
              </w:rPr>
              <w:t>7,602,648</w:t>
            </w:r>
          </w:p>
        </w:tc>
        <w:tc>
          <w:tcPr>
            <w:tcW w:w="1068" w:type="dxa"/>
            <w:tcBorders>
              <w:top w:val="nil" w:sz="6" w:space="0" w:color="auto"/>
              <w:left w:val="nil" w:sz="6" w:space="0" w:color="auto"/>
              <w:bottom w:val="nil" w:sz="6" w:space="0" w:color="auto"/>
              <w:right w:val="nil" w:sz="6" w:space="0" w:color="auto"/>
            </w:tcBorders>
          </w:tcPr>
          <w:p>
            <w:pPr>
              <w:pStyle w:val="TableParagraph"/>
              <w:spacing w:line="215" w:lineRule="exact"/>
              <w:ind w:right="170"/>
              <w:jc w:val="right"/>
              <w:rPr>
                <w:rFonts w:ascii="Arial" w:hAnsi="Arial" w:cs="Arial" w:eastAsia="Arial" w:hint="default"/>
                <w:sz w:val="20"/>
                <w:szCs w:val="20"/>
              </w:rPr>
            </w:pPr>
            <w:r>
              <w:rPr>
                <w:rFonts w:ascii="Arial"/>
                <w:w w:val="99"/>
                <w:sz w:val="20"/>
              </w:rPr>
              <w:t>-</w:t>
            </w:r>
            <w:r>
              <w:rPr>
                <w:rFonts w:ascii="Arial"/>
                <w:sz w:val="20"/>
              </w:rPr>
            </w:r>
          </w:p>
        </w:tc>
        <w:tc>
          <w:tcPr>
            <w:tcW w:w="1129" w:type="dxa"/>
            <w:tcBorders>
              <w:top w:val="nil" w:sz="6" w:space="0" w:color="auto"/>
              <w:left w:val="nil" w:sz="6" w:space="0" w:color="auto"/>
              <w:bottom w:val="nil" w:sz="6" w:space="0" w:color="auto"/>
              <w:right w:val="nil" w:sz="6" w:space="0" w:color="auto"/>
            </w:tcBorders>
          </w:tcPr>
          <w:p>
            <w:pPr>
              <w:pStyle w:val="TableParagraph"/>
              <w:spacing w:line="215" w:lineRule="exact"/>
              <w:ind w:right="159"/>
              <w:jc w:val="right"/>
              <w:rPr>
                <w:rFonts w:ascii="Arial" w:hAnsi="Arial" w:cs="Arial" w:eastAsia="Arial" w:hint="default"/>
                <w:sz w:val="20"/>
                <w:szCs w:val="20"/>
              </w:rPr>
            </w:pPr>
            <w:r>
              <w:rPr>
                <w:rFonts w:ascii="Arial"/>
                <w:w w:val="99"/>
                <w:sz w:val="20"/>
              </w:rPr>
              <w:t>-</w:t>
            </w:r>
            <w:r>
              <w:rPr>
                <w:rFonts w:ascii="Arial"/>
                <w:sz w:val="20"/>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Arial" w:hAnsi="Arial" w:cs="Arial" w:eastAsia="Arial" w:hint="default"/>
                <w:sz w:val="20"/>
                <w:szCs w:val="20"/>
              </w:rPr>
            </w:pPr>
            <w:r>
              <w:rPr>
                <w:rFonts w:ascii="Arial"/>
                <w:spacing w:val="-1"/>
                <w:sz w:val="20"/>
              </w:rPr>
              <w:t>7,602,648</w:t>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
              <w:jc w:val="right"/>
              <w:rPr>
                <w:rFonts w:ascii="Arial" w:hAnsi="Arial" w:cs="Arial" w:eastAsia="Arial" w:hint="default"/>
                <w:sz w:val="20"/>
                <w:szCs w:val="20"/>
              </w:rPr>
            </w:pPr>
            <w:r>
              <w:rPr>
                <w:rFonts w:ascii="Arial"/>
                <w:w w:val="99"/>
                <w:sz w:val="20"/>
              </w:rPr>
              <w:t>-</w:t>
            </w:r>
            <w:r>
              <w:rPr>
                <w:rFonts w:ascii="Arial"/>
                <w:sz w:val="20"/>
              </w:rPr>
            </w:r>
          </w:p>
        </w:tc>
        <w:tc>
          <w:tcPr>
            <w:tcW w:w="268" w:type="dxa"/>
            <w:tcBorders>
              <w:top w:val="nil" w:sz="6" w:space="0" w:color="auto"/>
              <w:left w:val="nil" w:sz="6" w:space="0" w:color="auto"/>
              <w:bottom w:val="nil" w:sz="6" w:space="0" w:color="auto"/>
              <w:right w:val="nil" w:sz="6" w:space="0" w:color="auto"/>
            </w:tcBorders>
          </w:tcPr>
          <w:p>
            <w:pPr/>
          </w:p>
        </w:tc>
      </w:tr>
      <w:tr>
        <w:trPr>
          <w:trHeight w:val="257" w:hRule="exact"/>
        </w:trPr>
        <w:tc>
          <w:tcPr>
            <w:tcW w:w="2224" w:type="dxa"/>
            <w:tcBorders>
              <w:top w:val="nil" w:sz="6" w:space="0" w:color="auto"/>
              <w:left w:val="nil" w:sz="6" w:space="0" w:color="auto"/>
              <w:bottom w:val="nil" w:sz="6" w:space="0" w:color="auto"/>
              <w:right w:val="nil" w:sz="6" w:space="0" w:color="auto"/>
            </w:tcBorders>
          </w:tcPr>
          <w:p>
            <w:pPr>
              <w:pStyle w:val="TableParagraph"/>
              <w:spacing w:line="236" w:lineRule="exact"/>
              <w:ind w:left="200" w:right="0"/>
              <w:jc w:val="left"/>
              <w:rPr>
                <w:rFonts w:ascii="黑体" w:hAnsi="黑体" w:cs="黑体" w:eastAsia="黑体" w:hint="default"/>
                <w:sz w:val="20"/>
                <w:szCs w:val="20"/>
              </w:rPr>
            </w:pPr>
            <w:r>
              <w:rPr>
                <w:rFonts w:ascii="黑体" w:hAnsi="黑体" w:cs="黑体" w:eastAsia="黑体" w:hint="default"/>
                <w:sz w:val="20"/>
                <w:szCs w:val="20"/>
              </w:rPr>
              <w:t>珠海用友</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5"/>
              <w:jc w:val="right"/>
              <w:rPr>
                <w:rFonts w:ascii="Arial" w:hAnsi="Arial" w:cs="Arial" w:eastAsia="Arial" w:hint="default"/>
                <w:sz w:val="20"/>
                <w:szCs w:val="20"/>
              </w:rPr>
            </w:pPr>
            <w:r>
              <w:rPr>
                <w:rFonts w:ascii="Arial"/>
                <w:spacing w:val="-1"/>
                <w:sz w:val="20"/>
              </w:rPr>
              <w:t>4,778,619</w:t>
            </w:r>
          </w:p>
        </w:tc>
        <w:tc>
          <w:tcPr>
            <w:tcW w:w="1068" w:type="dxa"/>
            <w:tcBorders>
              <w:top w:val="nil" w:sz="6" w:space="0" w:color="auto"/>
              <w:left w:val="nil" w:sz="6" w:space="0" w:color="auto"/>
              <w:bottom w:val="nil" w:sz="6" w:space="0" w:color="auto"/>
              <w:right w:val="nil" w:sz="6" w:space="0" w:color="auto"/>
            </w:tcBorders>
          </w:tcPr>
          <w:p>
            <w:pPr>
              <w:pStyle w:val="TableParagraph"/>
              <w:spacing w:line="215" w:lineRule="exact"/>
              <w:ind w:right="170"/>
              <w:jc w:val="right"/>
              <w:rPr>
                <w:rFonts w:ascii="Arial" w:hAnsi="Arial" w:cs="Arial" w:eastAsia="Arial" w:hint="default"/>
                <w:sz w:val="20"/>
                <w:szCs w:val="20"/>
              </w:rPr>
            </w:pPr>
            <w:r>
              <w:rPr>
                <w:rFonts w:ascii="Arial"/>
                <w:w w:val="99"/>
                <w:sz w:val="20"/>
              </w:rPr>
              <w:t>-</w:t>
            </w:r>
            <w:r>
              <w:rPr>
                <w:rFonts w:ascii="Arial"/>
                <w:sz w:val="20"/>
              </w:rPr>
            </w:r>
          </w:p>
        </w:tc>
        <w:tc>
          <w:tcPr>
            <w:tcW w:w="1129" w:type="dxa"/>
            <w:tcBorders>
              <w:top w:val="nil" w:sz="6" w:space="0" w:color="auto"/>
              <w:left w:val="nil" w:sz="6" w:space="0" w:color="auto"/>
              <w:bottom w:val="nil" w:sz="6" w:space="0" w:color="auto"/>
              <w:right w:val="nil" w:sz="6" w:space="0" w:color="auto"/>
            </w:tcBorders>
          </w:tcPr>
          <w:p>
            <w:pPr>
              <w:pStyle w:val="TableParagraph"/>
              <w:spacing w:line="215" w:lineRule="exact"/>
              <w:ind w:right="159"/>
              <w:jc w:val="right"/>
              <w:rPr>
                <w:rFonts w:ascii="Arial" w:hAnsi="Arial" w:cs="Arial" w:eastAsia="Arial" w:hint="default"/>
                <w:sz w:val="20"/>
                <w:szCs w:val="20"/>
              </w:rPr>
            </w:pPr>
            <w:r>
              <w:rPr>
                <w:rFonts w:ascii="Arial"/>
                <w:w w:val="99"/>
                <w:sz w:val="20"/>
              </w:rPr>
              <w:t>-</w:t>
            </w:r>
            <w:r>
              <w:rPr>
                <w:rFonts w:ascii="Arial"/>
                <w:sz w:val="20"/>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6"/>
              <w:jc w:val="right"/>
              <w:rPr>
                <w:rFonts w:ascii="Arial" w:hAnsi="Arial" w:cs="Arial" w:eastAsia="Arial" w:hint="default"/>
                <w:sz w:val="20"/>
                <w:szCs w:val="20"/>
              </w:rPr>
            </w:pPr>
            <w:r>
              <w:rPr>
                <w:rFonts w:ascii="Arial"/>
                <w:spacing w:val="-1"/>
                <w:sz w:val="20"/>
              </w:rPr>
              <w:t>4,778,619</w:t>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
              <w:jc w:val="right"/>
              <w:rPr>
                <w:rFonts w:ascii="Arial" w:hAnsi="Arial" w:cs="Arial" w:eastAsia="Arial" w:hint="default"/>
                <w:sz w:val="20"/>
                <w:szCs w:val="20"/>
              </w:rPr>
            </w:pPr>
            <w:r>
              <w:rPr>
                <w:rFonts w:ascii="Arial"/>
                <w:w w:val="99"/>
                <w:sz w:val="20"/>
              </w:rPr>
              <w:t>-</w:t>
            </w:r>
            <w:r>
              <w:rPr>
                <w:rFonts w:ascii="Arial"/>
                <w:sz w:val="20"/>
              </w:rPr>
            </w:r>
          </w:p>
        </w:tc>
        <w:tc>
          <w:tcPr>
            <w:tcW w:w="268" w:type="dxa"/>
            <w:tcBorders>
              <w:top w:val="nil" w:sz="6" w:space="0" w:color="auto"/>
              <w:left w:val="nil" w:sz="6" w:space="0" w:color="auto"/>
              <w:bottom w:val="nil" w:sz="6" w:space="0" w:color="auto"/>
              <w:right w:val="nil" w:sz="6" w:space="0" w:color="auto"/>
            </w:tcBorders>
          </w:tcPr>
          <w:p>
            <w:pPr/>
          </w:p>
        </w:tc>
      </w:tr>
      <w:tr>
        <w:trPr>
          <w:trHeight w:val="259" w:hRule="exact"/>
        </w:trPr>
        <w:tc>
          <w:tcPr>
            <w:tcW w:w="2224"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黑体" w:hAnsi="黑体" w:cs="黑体" w:eastAsia="黑体" w:hint="default"/>
                <w:sz w:val="20"/>
                <w:szCs w:val="20"/>
              </w:rPr>
            </w:pPr>
            <w:r>
              <w:rPr>
                <w:rFonts w:ascii="黑体" w:hAnsi="黑体" w:cs="黑体" w:eastAsia="黑体" w:hint="default"/>
                <w:sz w:val="20"/>
                <w:szCs w:val="20"/>
              </w:rPr>
              <w:t>徐州用友</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95"/>
              <w:jc w:val="right"/>
              <w:rPr>
                <w:rFonts w:ascii="Arial" w:hAnsi="Arial" w:cs="Arial" w:eastAsia="Arial" w:hint="default"/>
                <w:sz w:val="20"/>
                <w:szCs w:val="20"/>
              </w:rPr>
            </w:pPr>
            <w:r>
              <w:rPr>
                <w:rFonts w:ascii="Arial"/>
                <w:spacing w:val="-1"/>
                <w:sz w:val="20"/>
              </w:rPr>
              <w:t>3,497,241</w:t>
            </w:r>
          </w:p>
        </w:tc>
        <w:tc>
          <w:tcPr>
            <w:tcW w:w="1068" w:type="dxa"/>
            <w:tcBorders>
              <w:top w:val="nil" w:sz="6" w:space="0" w:color="auto"/>
              <w:left w:val="nil" w:sz="6" w:space="0" w:color="auto"/>
              <w:bottom w:val="nil" w:sz="6" w:space="0" w:color="auto"/>
              <w:right w:val="nil" w:sz="6" w:space="0" w:color="auto"/>
            </w:tcBorders>
          </w:tcPr>
          <w:p>
            <w:pPr>
              <w:pStyle w:val="TableParagraph"/>
              <w:spacing w:line="215" w:lineRule="exact"/>
              <w:ind w:right="170"/>
              <w:jc w:val="right"/>
              <w:rPr>
                <w:rFonts w:ascii="Arial" w:hAnsi="Arial" w:cs="Arial" w:eastAsia="Arial" w:hint="default"/>
                <w:sz w:val="20"/>
                <w:szCs w:val="20"/>
              </w:rPr>
            </w:pPr>
            <w:r>
              <w:rPr>
                <w:rFonts w:ascii="Arial"/>
                <w:w w:val="99"/>
                <w:sz w:val="20"/>
              </w:rPr>
              <w:t>-</w:t>
            </w:r>
            <w:r>
              <w:rPr>
                <w:rFonts w:ascii="Arial"/>
                <w:sz w:val="20"/>
              </w:rPr>
            </w:r>
          </w:p>
        </w:tc>
        <w:tc>
          <w:tcPr>
            <w:tcW w:w="1129" w:type="dxa"/>
            <w:tcBorders>
              <w:top w:val="nil" w:sz="6" w:space="0" w:color="auto"/>
              <w:left w:val="nil" w:sz="6" w:space="0" w:color="auto"/>
              <w:bottom w:val="nil" w:sz="6" w:space="0" w:color="auto"/>
              <w:right w:val="nil" w:sz="6" w:space="0" w:color="auto"/>
            </w:tcBorders>
          </w:tcPr>
          <w:p>
            <w:pPr>
              <w:pStyle w:val="TableParagraph"/>
              <w:spacing w:line="215" w:lineRule="exact"/>
              <w:ind w:right="159"/>
              <w:jc w:val="right"/>
              <w:rPr>
                <w:rFonts w:ascii="Arial" w:hAnsi="Arial" w:cs="Arial" w:eastAsia="Arial" w:hint="default"/>
                <w:sz w:val="20"/>
                <w:szCs w:val="20"/>
              </w:rPr>
            </w:pPr>
            <w:r>
              <w:rPr>
                <w:rFonts w:ascii="Arial"/>
                <w:w w:val="99"/>
                <w:sz w:val="20"/>
              </w:rPr>
              <w:t>-</w:t>
            </w:r>
            <w:r>
              <w:rPr>
                <w:rFonts w:ascii="Arial"/>
                <w:sz w:val="20"/>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Arial" w:hAnsi="Arial" w:cs="Arial" w:eastAsia="Arial" w:hint="default"/>
                <w:sz w:val="20"/>
                <w:szCs w:val="20"/>
              </w:rPr>
            </w:pPr>
            <w:r>
              <w:rPr>
                <w:rFonts w:ascii="Arial"/>
                <w:spacing w:val="-1"/>
                <w:sz w:val="20"/>
              </w:rPr>
              <w:t>3,497,241</w:t>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
              <w:jc w:val="right"/>
              <w:rPr>
                <w:rFonts w:ascii="Arial" w:hAnsi="Arial" w:cs="Arial" w:eastAsia="Arial" w:hint="default"/>
                <w:sz w:val="20"/>
                <w:szCs w:val="20"/>
              </w:rPr>
            </w:pPr>
            <w:r>
              <w:rPr>
                <w:rFonts w:ascii="Arial"/>
                <w:w w:val="99"/>
                <w:sz w:val="20"/>
              </w:rPr>
              <w:t>-</w:t>
            </w:r>
            <w:r>
              <w:rPr>
                <w:rFonts w:ascii="Arial"/>
                <w:sz w:val="20"/>
              </w:rPr>
            </w:r>
          </w:p>
        </w:tc>
        <w:tc>
          <w:tcPr>
            <w:tcW w:w="268" w:type="dxa"/>
            <w:tcBorders>
              <w:top w:val="nil" w:sz="6" w:space="0" w:color="auto"/>
              <w:left w:val="nil" w:sz="6" w:space="0" w:color="auto"/>
              <w:bottom w:val="nil" w:sz="6" w:space="0" w:color="auto"/>
              <w:right w:val="nil" w:sz="6" w:space="0" w:color="auto"/>
            </w:tcBorders>
          </w:tcPr>
          <w:p>
            <w:pPr/>
          </w:p>
        </w:tc>
      </w:tr>
      <w:tr>
        <w:trPr>
          <w:trHeight w:val="257" w:hRule="exact"/>
        </w:trPr>
        <w:tc>
          <w:tcPr>
            <w:tcW w:w="2224" w:type="dxa"/>
            <w:tcBorders>
              <w:top w:val="nil" w:sz="6" w:space="0" w:color="auto"/>
              <w:left w:val="nil" w:sz="6" w:space="0" w:color="auto"/>
              <w:bottom w:val="nil" w:sz="6" w:space="0" w:color="auto"/>
              <w:right w:val="nil" w:sz="6" w:space="0" w:color="auto"/>
            </w:tcBorders>
          </w:tcPr>
          <w:p>
            <w:pPr>
              <w:pStyle w:val="TableParagraph"/>
              <w:spacing w:line="236" w:lineRule="exact"/>
              <w:ind w:left="200" w:right="0"/>
              <w:jc w:val="left"/>
              <w:rPr>
                <w:rFonts w:ascii="黑体" w:hAnsi="黑体" w:cs="黑体" w:eastAsia="黑体" w:hint="default"/>
                <w:sz w:val="20"/>
                <w:szCs w:val="20"/>
              </w:rPr>
            </w:pPr>
            <w:r>
              <w:rPr>
                <w:rFonts w:ascii="黑体" w:hAnsi="黑体" w:cs="黑体" w:eastAsia="黑体" w:hint="default"/>
                <w:sz w:val="20"/>
                <w:szCs w:val="20"/>
              </w:rPr>
              <w:t>常州用友</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95"/>
              <w:jc w:val="right"/>
              <w:rPr>
                <w:rFonts w:ascii="Arial" w:hAnsi="Arial" w:cs="Arial" w:eastAsia="Arial" w:hint="default"/>
                <w:sz w:val="20"/>
                <w:szCs w:val="20"/>
              </w:rPr>
            </w:pPr>
            <w:r>
              <w:rPr>
                <w:rFonts w:ascii="Arial"/>
                <w:spacing w:val="-1"/>
                <w:sz w:val="20"/>
              </w:rPr>
              <w:t>3,115,084</w:t>
            </w:r>
          </w:p>
        </w:tc>
        <w:tc>
          <w:tcPr>
            <w:tcW w:w="1068" w:type="dxa"/>
            <w:tcBorders>
              <w:top w:val="nil" w:sz="6" w:space="0" w:color="auto"/>
              <w:left w:val="nil" w:sz="6" w:space="0" w:color="auto"/>
              <w:bottom w:val="nil" w:sz="6" w:space="0" w:color="auto"/>
              <w:right w:val="nil" w:sz="6" w:space="0" w:color="auto"/>
            </w:tcBorders>
          </w:tcPr>
          <w:p>
            <w:pPr>
              <w:pStyle w:val="TableParagraph"/>
              <w:spacing w:line="215" w:lineRule="exact"/>
              <w:ind w:right="170"/>
              <w:jc w:val="right"/>
              <w:rPr>
                <w:rFonts w:ascii="Arial" w:hAnsi="Arial" w:cs="Arial" w:eastAsia="Arial" w:hint="default"/>
                <w:sz w:val="20"/>
                <w:szCs w:val="20"/>
              </w:rPr>
            </w:pPr>
            <w:r>
              <w:rPr>
                <w:rFonts w:ascii="Arial"/>
                <w:w w:val="99"/>
                <w:sz w:val="20"/>
              </w:rPr>
              <w:t>-</w:t>
            </w:r>
            <w:r>
              <w:rPr>
                <w:rFonts w:ascii="Arial"/>
                <w:sz w:val="20"/>
              </w:rPr>
            </w:r>
          </w:p>
        </w:tc>
        <w:tc>
          <w:tcPr>
            <w:tcW w:w="1129" w:type="dxa"/>
            <w:tcBorders>
              <w:top w:val="nil" w:sz="6" w:space="0" w:color="auto"/>
              <w:left w:val="nil" w:sz="6" w:space="0" w:color="auto"/>
              <w:bottom w:val="nil" w:sz="6" w:space="0" w:color="auto"/>
              <w:right w:val="nil" w:sz="6" w:space="0" w:color="auto"/>
            </w:tcBorders>
          </w:tcPr>
          <w:p>
            <w:pPr>
              <w:pStyle w:val="TableParagraph"/>
              <w:spacing w:line="215" w:lineRule="exact"/>
              <w:ind w:right="159"/>
              <w:jc w:val="right"/>
              <w:rPr>
                <w:rFonts w:ascii="Arial" w:hAnsi="Arial" w:cs="Arial" w:eastAsia="Arial" w:hint="default"/>
                <w:sz w:val="20"/>
                <w:szCs w:val="20"/>
              </w:rPr>
            </w:pPr>
            <w:r>
              <w:rPr>
                <w:rFonts w:ascii="Arial"/>
                <w:w w:val="99"/>
                <w:sz w:val="20"/>
              </w:rPr>
              <w:t>-</w:t>
            </w:r>
            <w:r>
              <w:rPr>
                <w:rFonts w:ascii="Arial"/>
                <w:sz w:val="20"/>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6"/>
              <w:jc w:val="right"/>
              <w:rPr>
                <w:rFonts w:ascii="Arial" w:hAnsi="Arial" w:cs="Arial" w:eastAsia="Arial" w:hint="default"/>
                <w:sz w:val="20"/>
                <w:szCs w:val="20"/>
              </w:rPr>
            </w:pPr>
            <w:r>
              <w:rPr>
                <w:rFonts w:ascii="Arial"/>
                <w:spacing w:val="-1"/>
                <w:sz w:val="20"/>
              </w:rPr>
              <w:t>3,115,084</w:t>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
              <w:jc w:val="right"/>
              <w:rPr>
                <w:rFonts w:ascii="Arial" w:hAnsi="Arial" w:cs="Arial" w:eastAsia="Arial" w:hint="default"/>
                <w:sz w:val="20"/>
                <w:szCs w:val="20"/>
              </w:rPr>
            </w:pPr>
            <w:r>
              <w:rPr>
                <w:rFonts w:ascii="Arial"/>
                <w:w w:val="99"/>
                <w:sz w:val="20"/>
              </w:rPr>
              <w:t>-</w:t>
            </w:r>
            <w:r>
              <w:rPr>
                <w:rFonts w:ascii="Arial"/>
                <w:sz w:val="20"/>
              </w:rPr>
            </w:r>
          </w:p>
        </w:tc>
        <w:tc>
          <w:tcPr>
            <w:tcW w:w="268" w:type="dxa"/>
            <w:tcBorders>
              <w:top w:val="nil" w:sz="6" w:space="0" w:color="auto"/>
              <w:left w:val="nil" w:sz="6" w:space="0" w:color="auto"/>
              <w:bottom w:val="nil" w:sz="6" w:space="0" w:color="auto"/>
              <w:right w:val="nil" w:sz="6" w:space="0" w:color="auto"/>
            </w:tcBorders>
          </w:tcPr>
          <w:p>
            <w:pPr/>
          </w:p>
        </w:tc>
      </w:tr>
      <w:tr>
        <w:trPr>
          <w:trHeight w:val="254" w:hRule="exact"/>
        </w:trPr>
        <w:tc>
          <w:tcPr>
            <w:tcW w:w="2224"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黑体" w:hAnsi="黑体" w:cs="黑体" w:eastAsia="黑体" w:hint="default"/>
                <w:sz w:val="20"/>
                <w:szCs w:val="20"/>
              </w:rPr>
            </w:pPr>
            <w:r>
              <w:rPr>
                <w:rFonts w:ascii="黑体" w:hAnsi="黑体" w:cs="黑体" w:eastAsia="黑体" w:hint="default"/>
                <w:sz w:val="20"/>
                <w:szCs w:val="20"/>
              </w:rPr>
              <w:t>北京伟库</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95"/>
              <w:jc w:val="right"/>
              <w:rPr>
                <w:rFonts w:ascii="Arial" w:hAnsi="Arial" w:cs="Arial" w:eastAsia="Arial" w:hint="default"/>
                <w:sz w:val="20"/>
                <w:szCs w:val="20"/>
              </w:rPr>
            </w:pPr>
            <w:r>
              <w:rPr>
                <w:rFonts w:ascii="Arial"/>
                <w:spacing w:val="-1"/>
                <w:sz w:val="20"/>
              </w:rPr>
              <w:t>2,896,357</w:t>
            </w:r>
          </w:p>
        </w:tc>
        <w:tc>
          <w:tcPr>
            <w:tcW w:w="1068" w:type="dxa"/>
            <w:tcBorders>
              <w:top w:val="nil" w:sz="6" w:space="0" w:color="auto"/>
              <w:left w:val="nil" w:sz="6" w:space="0" w:color="auto"/>
              <w:bottom w:val="nil" w:sz="6" w:space="0" w:color="auto"/>
              <w:right w:val="nil" w:sz="6" w:space="0" w:color="auto"/>
            </w:tcBorders>
          </w:tcPr>
          <w:p>
            <w:pPr>
              <w:pStyle w:val="TableParagraph"/>
              <w:spacing w:line="215" w:lineRule="exact"/>
              <w:ind w:right="170"/>
              <w:jc w:val="right"/>
              <w:rPr>
                <w:rFonts w:ascii="Arial" w:hAnsi="Arial" w:cs="Arial" w:eastAsia="Arial" w:hint="default"/>
                <w:sz w:val="20"/>
                <w:szCs w:val="20"/>
              </w:rPr>
            </w:pPr>
            <w:r>
              <w:rPr>
                <w:rFonts w:ascii="Arial"/>
                <w:w w:val="99"/>
                <w:sz w:val="20"/>
              </w:rPr>
              <w:t>-</w:t>
            </w:r>
            <w:r>
              <w:rPr>
                <w:rFonts w:ascii="Arial"/>
                <w:sz w:val="20"/>
              </w:rPr>
            </w:r>
          </w:p>
        </w:tc>
        <w:tc>
          <w:tcPr>
            <w:tcW w:w="1129" w:type="dxa"/>
            <w:tcBorders>
              <w:top w:val="nil" w:sz="6" w:space="0" w:color="auto"/>
              <w:left w:val="nil" w:sz="6" w:space="0" w:color="auto"/>
              <w:bottom w:val="nil" w:sz="6" w:space="0" w:color="auto"/>
              <w:right w:val="nil" w:sz="6" w:space="0" w:color="auto"/>
            </w:tcBorders>
          </w:tcPr>
          <w:p>
            <w:pPr>
              <w:pStyle w:val="TableParagraph"/>
              <w:spacing w:line="215" w:lineRule="exact"/>
              <w:ind w:right="159"/>
              <w:jc w:val="right"/>
              <w:rPr>
                <w:rFonts w:ascii="Arial" w:hAnsi="Arial" w:cs="Arial" w:eastAsia="Arial" w:hint="default"/>
                <w:sz w:val="20"/>
                <w:szCs w:val="20"/>
              </w:rPr>
            </w:pPr>
            <w:r>
              <w:rPr>
                <w:rFonts w:ascii="Arial"/>
                <w:w w:val="99"/>
                <w:sz w:val="20"/>
              </w:rPr>
              <w:t>-</w:t>
            </w:r>
            <w:r>
              <w:rPr>
                <w:rFonts w:ascii="Arial"/>
                <w:sz w:val="20"/>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
              <w:jc w:val="right"/>
              <w:rPr>
                <w:rFonts w:ascii="Arial" w:hAnsi="Arial" w:cs="Arial" w:eastAsia="Arial" w:hint="default"/>
                <w:sz w:val="20"/>
                <w:szCs w:val="20"/>
              </w:rPr>
            </w:pPr>
            <w:r>
              <w:rPr>
                <w:rFonts w:ascii="Arial"/>
                <w:spacing w:val="-1"/>
                <w:sz w:val="20"/>
              </w:rPr>
              <w:t>2,896,357</w:t>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
              <w:jc w:val="right"/>
              <w:rPr>
                <w:rFonts w:ascii="Arial" w:hAnsi="Arial" w:cs="Arial" w:eastAsia="Arial" w:hint="default"/>
                <w:sz w:val="20"/>
                <w:szCs w:val="20"/>
              </w:rPr>
            </w:pPr>
            <w:r>
              <w:rPr>
                <w:rFonts w:ascii="Arial"/>
                <w:w w:val="99"/>
                <w:sz w:val="20"/>
              </w:rPr>
              <w:t>-</w:t>
            </w:r>
            <w:r>
              <w:rPr>
                <w:rFonts w:ascii="Arial"/>
                <w:sz w:val="20"/>
              </w:rPr>
            </w:r>
          </w:p>
        </w:tc>
        <w:tc>
          <w:tcPr>
            <w:tcW w:w="268" w:type="dxa"/>
            <w:tcBorders>
              <w:top w:val="nil" w:sz="6" w:space="0" w:color="auto"/>
              <w:left w:val="nil" w:sz="6" w:space="0" w:color="auto"/>
              <w:bottom w:val="nil" w:sz="6" w:space="0" w:color="auto"/>
              <w:right w:val="nil" w:sz="6" w:space="0" w:color="auto"/>
            </w:tcBorders>
          </w:tcPr>
          <w:p>
            <w:pPr/>
          </w:p>
        </w:tc>
      </w:tr>
      <w:tr>
        <w:trPr>
          <w:trHeight w:val="458" w:hRule="exact"/>
        </w:trPr>
        <w:tc>
          <w:tcPr>
            <w:tcW w:w="2224" w:type="dxa"/>
            <w:tcBorders>
              <w:top w:val="nil" w:sz="6" w:space="0" w:color="auto"/>
              <w:left w:val="nil" w:sz="6" w:space="0" w:color="auto"/>
              <w:bottom w:val="nil" w:sz="6" w:space="0" w:color="auto"/>
              <w:right w:val="nil" w:sz="6" w:space="0" w:color="auto"/>
            </w:tcBorders>
          </w:tcPr>
          <w:p>
            <w:pPr>
              <w:pStyle w:val="TableParagraph"/>
              <w:spacing w:line="218" w:lineRule="exact" w:before="2"/>
              <w:ind w:left="416" w:right="224" w:hanging="216"/>
              <w:jc w:val="left"/>
              <w:rPr>
                <w:rFonts w:ascii="黑体" w:hAnsi="黑体" w:cs="黑体" w:eastAsia="黑体" w:hint="default"/>
                <w:sz w:val="20"/>
                <w:szCs w:val="20"/>
              </w:rPr>
            </w:pPr>
            <w:r>
              <w:rPr>
                <w:rFonts w:ascii="黑体" w:hAnsi="黑体" w:cs="黑体" w:eastAsia="黑体" w:hint="default"/>
                <w:w w:val="95"/>
                <w:sz w:val="20"/>
                <w:szCs w:val="20"/>
              </w:rPr>
              <w:t>用友政务收购参股代</w:t>
            </w:r>
            <w:r>
              <w:rPr>
                <w:rFonts w:ascii="黑体" w:hAnsi="黑体" w:cs="黑体" w:eastAsia="黑体" w:hint="default"/>
                <w:spacing w:val="-9"/>
                <w:w w:val="95"/>
                <w:sz w:val="20"/>
                <w:szCs w:val="20"/>
              </w:rPr>
              <w:t> </w:t>
            </w:r>
            <w:r>
              <w:rPr>
                <w:rFonts w:ascii="黑体" w:hAnsi="黑体" w:cs="黑体" w:eastAsia="黑体" w:hint="default"/>
                <w:spacing w:val="-9"/>
                <w:w w:val="95"/>
                <w:sz w:val="20"/>
                <w:szCs w:val="20"/>
              </w:rPr>
            </w:r>
            <w:r>
              <w:rPr>
                <w:rFonts w:ascii="黑体" w:hAnsi="黑体" w:cs="黑体" w:eastAsia="黑体" w:hint="default"/>
                <w:sz w:val="20"/>
                <w:szCs w:val="20"/>
              </w:rPr>
              <w:t>理公司</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5"/>
                <w:szCs w:val="15"/>
              </w:rPr>
            </w:pPr>
          </w:p>
          <w:p>
            <w:pPr>
              <w:pStyle w:val="TableParagraph"/>
              <w:spacing w:line="240" w:lineRule="auto"/>
              <w:ind w:right="95"/>
              <w:jc w:val="right"/>
              <w:rPr>
                <w:rFonts w:ascii="Arial" w:hAnsi="Arial" w:cs="Arial" w:eastAsia="Arial" w:hint="default"/>
                <w:sz w:val="20"/>
                <w:szCs w:val="20"/>
              </w:rPr>
            </w:pPr>
            <w:r>
              <w:rPr>
                <w:rFonts w:ascii="Arial"/>
                <w:spacing w:val="-1"/>
                <w:sz w:val="20"/>
              </w:rPr>
              <w:t>14,620,644</w:t>
            </w:r>
            <w:r>
              <w:rPr>
                <w:rFonts w:ascii="Arial"/>
                <w:sz w:val="20"/>
              </w:rPr>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5"/>
                <w:szCs w:val="15"/>
              </w:rPr>
            </w:pPr>
          </w:p>
          <w:p>
            <w:pPr>
              <w:pStyle w:val="TableParagraph"/>
              <w:spacing w:line="240" w:lineRule="auto"/>
              <w:ind w:right="170"/>
              <w:jc w:val="right"/>
              <w:rPr>
                <w:rFonts w:ascii="Arial" w:hAnsi="Arial" w:cs="Arial" w:eastAsia="Arial" w:hint="default"/>
                <w:sz w:val="20"/>
                <w:szCs w:val="20"/>
              </w:rPr>
            </w:pPr>
            <w:r>
              <w:rPr>
                <w:rFonts w:ascii="Arial"/>
                <w:w w:val="99"/>
                <w:sz w:val="20"/>
              </w:rPr>
              <w:t>-</w:t>
            </w:r>
            <w:r>
              <w:rPr>
                <w:rFonts w:ascii="Arial"/>
                <w:sz w:val="20"/>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5"/>
                <w:szCs w:val="15"/>
              </w:rPr>
            </w:pPr>
          </w:p>
          <w:p>
            <w:pPr>
              <w:pStyle w:val="TableParagraph"/>
              <w:spacing w:line="240" w:lineRule="auto"/>
              <w:ind w:right="159"/>
              <w:jc w:val="right"/>
              <w:rPr>
                <w:rFonts w:ascii="Arial" w:hAnsi="Arial" w:cs="Arial" w:eastAsia="Arial" w:hint="default"/>
                <w:sz w:val="20"/>
                <w:szCs w:val="20"/>
              </w:rPr>
            </w:pPr>
            <w:r>
              <w:rPr>
                <w:rFonts w:ascii="Arial"/>
                <w:spacing w:val="-1"/>
                <w:sz w:val="20"/>
              </w:rPr>
              <w:t>(40,685)</w:t>
            </w:r>
            <w:r>
              <w:rPr>
                <w:rFonts w:ascii="Arial"/>
                <w:sz w:val="20"/>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5"/>
                <w:szCs w:val="15"/>
              </w:rPr>
            </w:pPr>
          </w:p>
          <w:p>
            <w:pPr>
              <w:pStyle w:val="TableParagraph"/>
              <w:spacing w:line="240" w:lineRule="auto"/>
              <w:ind w:right="27"/>
              <w:jc w:val="right"/>
              <w:rPr>
                <w:rFonts w:ascii="Arial" w:hAnsi="Arial" w:cs="Arial" w:eastAsia="Arial" w:hint="default"/>
                <w:sz w:val="20"/>
                <w:szCs w:val="20"/>
              </w:rPr>
            </w:pPr>
            <w:r>
              <w:rPr>
                <w:rFonts w:ascii="Arial"/>
                <w:spacing w:val="-1"/>
                <w:sz w:val="20"/>
              </w:rPr>
              <w:t>14,579,959</w:t>
            </w:r>
            <w:r>
              <w:rPr>
                <w:rFonts w:ascii="Arial"/>
                <w:sz w:val="20"/>
              </w:rPr>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5"/>
                <w:szCs w:val="15"/>
              </w:rPr>
            </w:pPr>
          </w:p>
          <w:p>
            <w:pPr>
              <w:pStyle w:val="TableParagraph"/>
              <w:spacing w:line="240" w:lineRule="auto"/>
              <w:ind w:right="-1"/>
              <w:jc w:val="right"/>
              <w:rPr>
                <w:rFonts w:ascii="Arial" w:hAnsi="Arial" w:cs="Arial" w:eastAsia="Arial" w:hint="default"/>
                <w:sz w:val="20"/>
                <w:szCs w:val="20"/>
              </w:rPr>
            </w:pPr>
            <w:r>
              <w:rPr>
                <w:rFonts w:ascii="Arial"/>
                <w:w w:val="99"/>
                <w:sz w:val="20"/>
              </w:rPr>
              <w:t>-</w:t>
            </w:r>
            <w:r>
              <w:rPr>
                <w:rFonts w:ascii="Arial"/>
                <w:sz w:val="20"/>
              </w:rPr>
            </w:r>
          </w:p>
        </w:tc>
        <w:tc>
          <w:tcPr>
            <w:tcW w:w="268" w:type="dxa"/>
            <w:tcBorders>
              <w:top w:val="nil" w:sz="6" w:space="0" w:color="auto"/>
              <w:left w:val="nil" w:sz="6" w:space="0" w:color="auto"/>
              <w:bottom w:val="nil" w:sz="6" w:space="0" w:color="auto"/>
              <w:right w:val="nil" w:sz="6" w:space="0" w:color="auto"/>
            </w:tcBorders>
          </w:tcPr>
          <w:p>
            <w:pPr/>
          </w:p>
        </w:tc>
      </w:tr>
      <w:tr>
        <w:trPr>
          <w:trHeight w:val="244" w:hRule="exact"/>
        </w:trPr>
        <w:tc>
          <w:tcPr>
            <w:tcW w:w="2224" w:type="dxa"/>
            <w:tcBorders>
              <w:top w:val="nil" w:sz="6" w:space="0" w:color="auto"/>
              <w:left w:val="nil" w:sz="6" w:space="0" w:color="auto"/>
              <w:bottom w:val="nil" w:sz="6" w:space="0" w:color="auto"/>
              <w:right w:val="nil" w:sz="6" w:space="0" w:color="auto"/>
            </w:tcBorders>
          </w:tcPr>
          <w:p>
            <w:pPr>
              <w:pStyle w:val="TableParagraph"/>
              <w:spacing w:line="224" w:lineRule="exact"/>
              <w:ind w:left="200" w:right="0"/>
              <w:jc w:val="left"/>
              <w:rPr>
                <w:rFonts w:ascii="黑体" w:hAnsi="黑体" w:cs="黑体" w:eastAsia="黑体" w:hint="default"/>
                <w:sz w:val="20"/>
                <w:szCs w:val="20"/>
              </w:rPr>
            </w:pPr>
            <w:r>
              <w:rPr>
                <w:rFonts w:ascii="黑体" w:hAnsi="黑体" w:cs="黑体" w:eastAsia="黑体" w:hint="default"/>
                <w:sz w:val="20"/>
                <w:szCs w:val="20"/>
              </w:rPr>
              <w:t>用友华表</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95"/>
              <w:jc w:val="right"/>
              <w:rPr>
                <w:rFonts w:ascii="Arial" w:hAnsi="Arial" w:cs="Arial" w:eastAsia="Arial" w:hint="default"/>
                <w:sz w:val="20"/>
                <w:szCs w:val="20"/>
              </w:rPr>
            </w:pPr>
            <w:r>
              <w:rPr>
                <w:rFonts w:ascii="Arial"/>
                <w:spacing w:val="-1"/>
                <w:sz w:val="20"/>
              </w:rPr>
              <w:t>1,155,000</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0"/>
              <w:jc w:val="right"/>
              <w:rPr>
                <w:rFonts w:ascii="Arial" w:hAnsi="Arial" w:cs="Arial" w:eastAsia="Arial" w:hint="default"/>
                <w:sz w:val="20"/>
                <w:szCs w:val="20"/>
              </w:rPr>
            </w:pPr>
            <w:r>
              <w:rPr>
                <w:rFonts w:ascii="Arial"/>
                <w:w w:val="99"/>
                <w:sz w:val="20"/>
              </w:rPr>
              <w:t>-</w:t>
            </w:r>
            <w:r>
              <w:rPr>
                <w:rFonts w:ascii="Arial"/>
                <w:sz w:val="20"/>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59"/>
              <w:jc w:val="right"/>
              <w:rPr>
                <w:rFonts w:ascii="Arial" w:hAnsi="Arial" w:cs="Arial" w:eastAsia="Arial" w:hint="default"/>
                <w:sz w:val="20"/>
                <w:szCs w:val="20"/>
              </w:rPr>
            </w:pPr>
            <w:r>
              <w:rPr>
                <w:rFonts w:ascii="Arial"/>
                <w:w w:val="99"/>
                <w:sz w:val="20"/>
              </w:rPr>
              <w:t>-</w:t>
            </w:r>
            <w:r>
              <w:rPr>
                <w:rFonts w:ascii="Arial"/>
                <w:sz w:val="20"/>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
              <w:jc w:val="right"/>
              <w:rPr>
                <w:rFonts w:ascii="Arial" w:hAnsi="Arial" w:cs="Arial" w:eastAsia="Arial" w:hint="default"/>
                <w:sz w:val="20"/>
                <w:szCs w:val="20"/>
              </w:rPr>
            </w:pPr>
            <w:r>
              <w:rPr>
                <w:rFonts w:ascii="Arial"/>
                <w:spacing w:val="-1"/>
                <w:sz w:val="20"/>
              </w:rPr>
              <w:t>1,155,000</w:t>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
              <w:jc w:val="right"/>
              <w:rPr>
                <w:rFonts w:ascii="Arial" w:hAnsi="Arial" w:cs="Arial" w:eastAsia="Arial" w:hint="default"/>
                <w:sz w:val="20"/>
                <w:szCs w:val="20"/>
              </w:rPr>
            </w:pPr>
            <w:r>
              <w:rPr>
                <w:rFonts w:ascii="Arial"/>
                <w:spacing w:val="-1"/>
                <w:sz w:val="20"/>
              </w:rPr>
              <w:t>(382,200</w:t>
            </w:r>
            <w:r>
              <w:rPr>
                <w:rFonts w:ascii="Arial"/>
                <w:sz w:val="20"/>
              </w:rPr>
            </w:r>
          </w:p>
        </w:tc>
        <w:tc>
          <w:tcPr>
            <w:tcW w:w="268" w:type="dxa"/>
            <w:tcBorders>
              <w:top w:val="nil" w:sz="6" w:space="0" w:color="auto"/>
              <w:left w:val="nil" w:sz="6" w:space="0" w:color="auto"/>
              <w:bottom w:val="nil" w:sz="6" w:space="0" w:color="auto"/>
              <w:right w:val="nil" w:sz="6" w:space="0" w:color="auto"/>
            </w:tcBorders>
          </w:tcPr>
          <w:p>
            <w:pPr>
              <w:pStyle w:val="TableParagraph"/>
              <w:spacing w:line="240" w:lineRule="auto" w:before="8"/>
              <w:ind w:left="1" w:right="0"/>
              <w:jc w:val="left"/>
              <w:rPr>
                <w:rFonts w:ascii="Arial" w:hAnsi="Arial" w:cs="Arial" w:eastAsia="Arial" w:hint="default"/>
                <w:sz w:val="20"/>
                <w:szCs w:val="20"/>
              </w:rPr>
            </w:pPr>
            <w:r>
              <w:rPr>
                <w:rFonts w:ascii="Arial"/>
                <w:w w:val="99"/>
                <w:sz w:val="20"/>
              </w:rPr>
              <w:t>)</w:t>
            </w:r>
            <w:r>
              <w:rPr>
                <w:rFonts w:ascii="Arial"/>
                <w:sz w:val="20"/>
              </w:rPr>
            </w:r>
          </w:p>
        </w:tc>
      </w:tr>
      <w:tr>
        <w:trPr>
          <w:trHeight w:val="258" w:hRule="exact"/>
        </w:trPr>
        <w:tc>
          <w:tcPr>
            <w:tcW w:w="2224"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黑体" w:hAnsi="黑体" w:cs="黑体" w:eastAsia="黑体" w:hint="default"/>
                <w:sz w:val="20"/>
                <w:szCs w:val="20"/>
              </w:rPr>
            </w:pPr>
            <w:r>
              <w:rPr>
                <w:rFonts w:ascii="黑体" w:hAnsi="黑体" w:cs="黑体" w:eastAsia="黑体" w:hint="default"/>
                <w:sz w:val="20"/>
                <w:szCs w:val="20"/>
              </w:rPr>
              <w:t>用友政务</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95"/>
              <w:jc w:val="right"/>
              <w:rPr>
                <w:rFonts w:ascii="Arial" w:hAnsi="Arial" w:cs="Arial" w:eastAsia="Arial" w:hint="default"/>
                <w:sz w:val="20"/>
                <w:szCs w:val="20"/>
              </w:rPr>
            </w:pPr>
            <w:r>
              <w:rPr>
                <w:rFonts w:ascii="Arial"/>
                <w:spacing w:val="-1"/>
                <w:sz w:val="20"/>
              </w:rPr>
              <w:t>308,399,874</w:t>
            </w:r>
            <w:r>
              <w:rPr>
                <w:rFonts w:ascii="Arial"/>
                <w:sz w:val="20"/>
              </w:rPr>
            </w:r>
          </w:p>
        </w:tc>
        <w:tc>
          <w:tcPr>
            <w:tcW w:w="1068" w:type="dxa"/>
            <w:tcBorders>
              <w:top w:val="nil" w:sz="6" w:space="0" w:color="auto"/>
              <w:left w:val="nil" w:sz="6" w:space="0" w:color="auto"/>
              <w:bottom w:val="nil" w:sz="6" w:space="0" w:color="auto"/>
              <w:right w:val="nil" w:sz="6" w:space="0" w:color="auto"/>
            </w:tcBorders>
          </w:tcPr>
          <w:p>
            <w:pPr>
              <w:pStyle w:val="TableParagraph"/>
              <w:spacing w:line="213" w:lineRule="exact"/>
              <w:ind w:right="170"/>
              <w:jc w:val="right"/>
              <w:rPr>
                <w:rFonts w:ascii="Arial" w:hAnsi="Arial" w:cs="Arial" w:eastAsia="Arial" w:hint="default"/>
                <w:sz w:val="20"/>
                <w:szCs w:val="20"/>
              </w:rPr>
            </w:pPr>
            <w:r>
              <w:rPr>
                <w:rFonts w:ascii="Arial"/>
                <w:w w:val="99"/>
                <w:sz w:val="20"/>
              </w:rPr>
              <w:t>-</w:t>
            </w:r>
            <w:r>
              <w:rPr>
                <w:rFonts w:ascii="Arial"/>
                <w:sz w:val="20"/>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9"/>
              <w:jc w:val="right"/>
              <w:rPr>
                <w:rFonts w:ascii="Arial" w:hAnsi="Arial" w:cs="Arial" w:eastAsia="Arial" w:hint="default"/>
                <w:sz w:val="20"/>
                <w:szCs w:val="20"/>
              </w:rPr>
            </w:pPr>
            <w:r>
              <w:rPr>
                <w:rFonts w:ascii="Arial"/>
                <w:w w:val="99"/>
                <w:sz w:val="20"/>
              </w:rPr>
              <w:t>-</w:t>
            </w:r>
            <w:r>
              <w:rPr>
                <w:rFonts w:ascii="Arial"/>
                <w:sz w:val="20"/>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7"/>
              <w:jc w:val="right"/>
              <w:rPr>
                <w:rFonts w:ascii="Arial" w:hAnsi="Arial" w:cs="Arial" w:eastAsia="Arial" w:hint="default"/>
                <w:sz w:val="20"/>
                <w:szCs w:val="20"/>
              </w:rPr>
            </w:pPr>
            <w:r>
              <w:rPr>
                <w:rFonts w:ascii="Arial"/>
                <w:spacing w:val="-1"/>
                <w:sz w:val="20"/>
              </w:rPr>
              <w:t>308,399,874</w:t>
            </w:r>
            <w:r>
              <w:rPr>
                <w:rFonts w:ascii="Arial"/>
                <w:sz w:val="20"/>
              </w:rPr>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
              <w:jc w:val="right"/>
              <w:rPr>
                <w:rFonts w:ascii="Arial" w:hAnsi="Arial" w:cs="Arial" w:eastAsia="Arial" w:hint="default"/>
                <w:sz w:val="20"/>
                <w:szCs w:val="20"/>
              </w:rPr>
            </w:pPr>
            <w:r>
              <w:rPr>
                <w:rFonts w:ascii="Arial"/>
                <w:w w:val="99"/>
                <w:sz w:val="20"/>
              </w:rPr>
              <w:t>-</w:t>
            </w:r>
            <w:r>
              <w:rPr>
                <w:rFonts w:ascii="Arial"/>
                <w:sz w:val="20"/>
              </w:rPr>
            </w:r>
          </w:p>
        </w:tc>
        <w:tc>
          <w:tcPr>
            <w:tcW w:w="268" w:type="dxa"/>
            <w:tcBorders>
              <w:top w:val="nil" w:sz="6" w:space="0" w:color="auto"/>
              <w:left w:val="nil" w:sz="6" w:space="0" w:color="auto"/>
              <w:bottom w:val="nil" w:sz="6" w:space="0" w:color="auto"/>
              <w:right w:val="nil" w:sz="6" w:space="0" w:color="auto"/>
            </w:tcBorders>
          </w:tcPr>
          <w:p>
            <w:pPr/>
          </w:p>
        </w:tc>
      </w:tr>
      <w:tr>
        <w:trPr>
          <w:trHeight w:val="272" w:hRule="exact"/>
        </w:trPr>
        <w:tc>
          <w:tcPr>
            <w:tcW w:w="2224"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黑体" w:hAnsi="黑体" w:cs="黑体" w:eastAsia="黑体" w:hint="default"/>
                <w:sz w:val="20"/>
                <w:szCs w:val="20"/>
              </w:rPr>
            </w:pPr>
            <w:r>
              <w:rPr>
                <w:rFonts w:ascii="黑体" w:hAnsi="黑体" w:cs="黑体" w:eastAsia="黑体" w:hint="default"/>
                <w:sz w:val="20"/>
                <w:szCs w:val="20"/>
              </w:rPr>
              <w:t>用友汽车</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95"/>
              <w:jc w:val="right"/>
              <w:rPr>
                <w:rFonts w:ascii="Arial" w:hAnsi="Arial" w:cs="Arial" w:eastAsia="Arial" w:hint="default"/>
                <w:sz w:val="20"/>
                <w:szCs w:val="20"/>
              </w:rPr>
            </w:pPr>
            <w:r>
              <w:rPr>
                <w:rFonts w:ascii="Arial"/>
                <w:spacing w:val="-1"/>
                <w:sz w:val="20"/>
              </w:rPr>
              <w:t>378,396,387</w:t>
            </w:r>
            <w:r>
              <w:rPr>
                <w:rFonts w:ascii="Arial"/>
                <w:sz w:val="20"/>
              </w:rPr>
            </w:r>
          </w:p>
        </w:tc>
        <w:tc>
          <w:tcPr>
            <w:tcW w:w="1068" w:type="dxa"/>
            <w:tcBorders>
              <w:top w:val="nil" w:sz="6" w:space="0" w:color="auto"/>
              <w:left w:val="nil" w:sz="6" w:space="0" w:color="auto"/>
              <w:bottom w:val="nil" w:sz="6" w:space="0" w:color="auto"/>
              <w:right w:val="nil" w:sz="6" w:space="0" w:color="auto"/>
            </w:tcBorders>
          </w:tcPr>
          <w:p>
            <w:pPr>
              <w:pStyle w:val="TableParagraph"/>
              <w:spacing w:line="215" w:lineRule="exact"/>
              <w:ind w:right="170"/>
              <w:jc w:val="right"/>
              <w:rPr>
                <w:rFonts w:ascii="Arial" w:hAnsi="Arial" w:cs="Arial" w:eastAsia="Arial" w:hint="default"/>
                <w:sz w:val="20"/>
                <w:szCs w:val="20"/>
              </w:rPr>
            </w:pPr>
            <w:r>
              <w:rPr>
                <w:rFonts w:ascii="Arial"/>
                <w:w w:val="99"/>
                <w:sz w:val="20"/>
              </w:rPr>
              <w:t>-</w:t>
            </w:r>
            <w:r>
              <w:rPr>
                <w:rFonts w:ascii="Arial"/>
                <w:sz w:val="20"/>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59"/>
              <w:jc w:val="right"/>
              <w:rPr>
                <w:rFonts w:ascii="Arial" w:hAnsi="Arial" w:cs="Arial" w:eastAsia="Arial" w:hint="default"/>
                <w:sz w:val="20"/>
                <w:szCs w:val="20"/>
              </w:rPr>
            </w:pPr>
            <w:r>
              <w:rPr>
                <w:rFonts w:ascii="Arial"/>
                <w:w w:val="99"/>
                <w:sz w:val="20"/>
              </w:rPr>
              <w:t>-</w:t>
            </w:r>
            <w:r>
              <w:rPr>
                <w:rFonts w:ascii="Arial"/>
                <w:sz w:val="20"/>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7"/>
              <w:jc w:val="right"/>
              <w:rPr>
                <w:rFonts w:ascii="Arial" w:hAnsi="Arial" w:cs="Arial" w:eastAsia="Arial" w:hint="default"/>
                <w:sz w:val="20"/>
                <w:szCs w:val="20"/>
              </w:rPr>
            </w:pPr>
            <w:r>
              <w:rPr>
                <w:rFonts w:ascii="Arial"/>
                <w:spacing w:val="-1"/>
                <w:sz w:val="20"/>
              </w:rPr>
              <w:t>378,396,387</w:t>
            </w:r>
            <w:r>
              <w:rPr>
                <w:rFonts w:ascii="Arial"/>
                <w:sz w:val="20"/>
              </w:rPr>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
              <w:jc w:val="right"/>
              <w:rPr>
                <w:rFonts w:ascii="Arial" w:hAnsi="Arial" w:cs="Arial" w:eastAsia="Arial" w:hint="default"/>
                <w:sz w:val="20"/>
                <w:szCs w:val="20"/>
              </w:rPr>
            </w:pPr>
            <w:r>
              <w:rPr>
                <w:rFonts w:ascii="Arial"/>
                <w:w w:val="99"/>
                <w:sz w:val="20"/>
              </w:rPr>
              <w:t>-</w:t>
            </w:r>
            <w:r>
              <w:rPr>
                <w:rFonts w:ascii="Arial"/>
                <w:sz w:val="20"/>
              </w:rPr>
            </w:r>
          </w:p>
        </w:tc>
        <w:tc>
          <w:tcPr>
            <w:tcW w:w="268" w:type="dxa"/>
            <w:tcBorders>
              <w:top w:val="nil" w:sz="6" w:space="0" w:color="auto"/>
              <w:left w:val="nil" w:sz="6" w:space="0" w:color="auto"/>
              <w:bottom w:val="nil" w:sz="6" w:space="0" w:color="auto"/>
              <w:right w:val="nil" w:sz="6" w:space="0" w:color="auto"/>
            </w:tcBorders>
          </w:tcPr>
          <w:p>
            <w:pPr/>
          </w:p>
        </w:tc>
      </w:tr>
      <w:tr>
        <w:trPr>
          <w:trHeight w:val="386" w:hRule="exact"/>
        </w:trPr>
        <w:tc>
          <w:tcPr>
            <w:tcW w:w="2224" w:type="dxa"/>
            <w:tcBorders>
              <w:top w:val="nil" w:sz="6" w:space="0" w:color="auto"/>
              <w:left w:val="nil" w:sz="6" w:space="0" w:color="auto"/>
              <w:bottom w:val="nil" w:sz="6" w:space="0" w:color="auto"/>
              <w:right w:val="nil" w:sz="6" w:space="0" w:color="auto"/>
            </w:tcBorders>
          </w:tcPr>
          <w:p>
            <w:pPr>
              <w:pStyle w:val="TableParagraph"/>
              <w:spacing w:line="223" w:lineRule="exact"/>
              <w:ind w:left="200"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5"/>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1"/>
                <w:sz w:val="20"/>
                <w:u w:val="single" w:color="000000"/>
              </w:rPr>
              <w:t> </w:t>
            </w:r>
            <w:r>
              <w:rPr>
                <w:rFonts w:ascii="Arial"/>
                <w:spacing w:val="-1"/>
                <w:w w:val="95"/>
                <w:sz w:val="20"/>
                <w:u w:val="single" w:color="000000"/>
              </w:rPr>
              <w:t>5,064,153</w:t>
            </w:r>
            <w:r>
              <w:rPr>
                <w:rFonts w:ascii="Arial"/>
                <w:spacing w:val="-1"/>
                <w:w w:val="95"/>
                <w:sz w:val="20"/>
              </w:rPr>
            </w:r>
            <w:r>
              <w:rPr>
                <w:rFonts w:ascii="Arial"/>
                <w:sz w:val="20"/>
              </w:rPr>
            </w:r>
          </w:p>
        </w:tc>
        <w:tc>
          <w:tcPr>
            <w:tcW w:w="1068" w:type="dxa"/>
            <w:tcBorders>
              <w:top w:val="nil" w:sz="6" w:space="0" w:color="auto"/>
              <w:left w:val="nil" w:sz="6" w:space="0" w:color="auto"/>
              <w:bottom w:val="nil" w:sz="6" w:space="0" w:color="auto"/>
              <w:right w:val="nil" w:sz="6" w:space="0" w:color="auto"/>
            </w:tcBorders>
          </w:tcPr>
          <w:p>
            <w:pPr>
              <w:pStyle w:val="TableParagraph"/>
              <w:tabs>
                <w:tab w:pos="700" w:val="left" w:leader="none"/>
              </w:tabs>
              <w:spacing w:line="240" w:lineRule="auto" w:before="7"/>
              <w:ind w:right="167"/>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129"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7"/>
              <w:ind w:right="156"/>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7"/>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1"/>
                <w:sz w:val="20"/>
                <w:u w:val="single" w:color="000000"/>
              </w:rPr>
              <w:t> </w:t>
            </w:r>
            <w:r>
              <w:rPr>
                <w:rFonts w:ascii="Arial"/>
                <w:spacing w:val="-1"/>
                <w:w w:val="95"/>
                <w:sz w:val="20"/>
                <w:u w:val="single" w:color="000000"/>
              </w:rPr>
              <w:t>5,064,153</w:t>
            </w:r>
            <w:r>
              <w:rPr>
                <w:rFonts w:ascii="Arial"/>
                <w:spacing w:val="-1"/>
                <w:w w:val="95"/>
                <w:sz w:val="20"/>
              </w:rPr>
            </w:r>
            <w:r>
              <w:rPr>
                <w:rFonts w:ascii="Arial"/>
                <w:sz w:val="20"/>
              </w:rPr>
            </w:r>
          </w:p>
        </w:tc>
        <w:tc>
          <w:tcPr>
            <w:tcW w:w="827"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7"/>
              <w:ind w:right="-3"/>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268" w:type="dxa"/>
            <w:tcBorders>
              <w:top w:val="nil" w:sz="6" w:space="0" w:color="auto"/>
              <w:left w:val="nil" w:sz="6" w:space="0" w:color="auto"/>
              <w:bottom w:val="nil" w:sz="6" w:space="0" w:color="auto"/>
              <w:right w:val="nil" w:sz="6" w:space="0" w:color="auto"/>
            </w:tcBorders>
          </w:tcPr>
          <w:p>
            <w:pPr/>
          </w:p>
        </w:tc>
      </w:tr>
      <w:tr>
        <w:trPr>
          <w:trHeight w:val="363" w:hRule="exact"/>
        </w:trPr>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00" w:right="0"/>
              <w:jc w:val="left"/>
              <w:rPr>
                <w:rFonts w:ascii="黑体" w:hAnsi="黑体" w:cs="黑体" w:eastAsia="黑体" w:hint="default"/>
                <w:sz w:val="20"/>
                <w:szCs w:val="20"/>
              </w:rPr>
            </w:pPr>
            <w:r>
              <w:rPr>
                <w:rFonts w:ascii="黑体" w:hAnsi="黑体" w:cs="黑体" w:eastAsia="黑体" w:hint="default"/>
                <w:sz w:val="20"/>
                <w:szCs w:val="20"/>
              </w:rPr>
              <w:t>合计</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95"/>
              <w:jc w:val="right"/>
              <w:rPr>
                <w:rFonts w:ascii="Arial" w:hAnsi="Arial" w:cs="Arial" w:eastAsia="Arial" w:hint="default"/>
                <w:sz w:val="20"/>
                <w:szCs w:val="20"/>
              </w:rPr>
            </w:pPr>
            <w:r>
              <w:rPr>
                <w:rFonts w:ascii="Arial"/>
                <w:w w:val="99"/>
                <w:sz w:val="20"/>
              </w:rPr>
            </w:r>
            <w:r>
              <w:rPr>
                <w:rFonts w:ascii="Arial"/>
                <w:spacing w:val="-1"/>
                <w:sz w:val="20"/>
                <w:u w:val="thick" w:color="000000"/>
              </w:rPr>
              <w:t>871,723,089</w:t>
            </w:r>
            <w:r>
              <w:rPr>
                <w:rFonts w:ascii="Arial"/>
                <w:spacing w:val="-1"/>
                <w:sz w:val="20"/>
              </w:rPr>
            </w:r>
            <w:r>
              <w:rPr>
                <w:rFonts w:ascii="Arial"/>
                <w:sz w:val="20"/>
              </w:rPr>
            </w:r>
          </w:p>
        </w:tc>
        <w:tc>
          <w:tcPr>
            <w:tcW w:w="1068" w:type="dxa"/>
            <w:tcBorders>
              <w:top w:val="nil" w:sz="6" w:space="0" w:color="auto"/>
              <w:left w:val="nil" w:sz="6" w:space="0" w:color="auto"/>
              <w:bottom w:val="nil" w:sz="6" w:space="0" w:color="auto"/>
              <w:right w:val="nil" w:sz="6" w:space="0" w:color="auto"/>
            </w:tcBorders>
          </w:tcPr>
          <w:p>
            <w:pPr>
              <w:pStyle w:val="TableParagraph"/>
              <w:tabs>
                <w:tab w:pos="700" w:val="left" w:leader="none"/>
              </w:tabs>
              <w:spacing w:line="240" w:lineRule="auto" w:before="137"/>
              <w:ind w:right="167"/>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w w:val="95"/>
                <w:sz w:val="20"/>
                <w:u w:val="thick" w:color="000000"/>
              </w:rPr>
              <w:t>-</w:t>
            </w:r>
            <w:r>
              <w:rPr>
                <w:rFonts w:ascii="Arial"/>
                <w:w w:val="95"/>
                <w:sz w:val="20"/>
              </w:rPr>
            </w:r>
            <w:r>
              <w:rPr>
                <w:rFonts w:ascii="Arial"/>
                <w:sz w:val="20"/>
              </w:rPr>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159"/>
              <w:jc w:val="right"/>
              <w:rPr>
                <w:rFonts w:ascii="Arial" w:hAnsi="Arial" w:cs="Arial" w:eastAsia="Arial" w:hint="default"/>
                <w:sz w:val="20"/>
                <w:szCs w:val="20"/>
              </w:rPr>
            </w:pPr>
            <w:r>
              <w:rPr>
                <w:rFonts w:ascii="Arial"/>
                <w:spacing w:val="-1"/>
                <w:sz w:val="20"/>
              </w:rPr>
              <w:t>(</w:t>
            </w:r>
            <w:r>
              <w:rPr>
                <w:rFonts w:ascii="Arial"/>
                <w:spacing w:val="-1"/>
                <w:sz w:val="20"/>
                <w:u w:val="thick" w:color="000000"/>
              </w:rPr>
              <w:t>40,685</w:t>
            </w:r>
            <w:r>
              <w:rPr>
                <w:rFonts w:ascii="Arial"/>
                <w:spacing w:val="-1"/>
                <w:sz w:val="20"/>
              </w:rPr>
              <w:t>)</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27"/>
              <w:jc w:val="right"/>
              <w:rPr>
                <w:rFonts w:ascii="Arial" w:hAnsi="Arial" w:cs="Arial" w:eastAsia="Arial" w:hint="default"/>
                <w:sz w:val="20"/>
                <w:szCs w:val="20"/>
              </w:rPr>
            </w:pPr>
            <w:r>
              <w:rPr>
                <w:rFonts w:ascii="Arial"/>
                <w:w w:val="99"/>
                <w:sz w:val="20"/>
              </w:rPr>
            </w:r>
            <w:r>
              <w:rPr>
                <w:rFonts w:ascii="Arial"/>
                <w:spacing w:val="-1"/>
                <w:sz w:val="20"/>
                <w:u w:val="thick" w:color="000000"/>
              </w:rPr>
              <w:t>871,682,404</w:t>
            </w:r>
            <w:r>
              <w:rPr>
                <w:rFonts w:ascii="Arial"/>
                <w:spacing w:val="-1"/>
                <w:sz w:val="20"/>
              </w:rPr>
            </w:r>
            <w:r>
              <w:rPr>
                <w:rFonts w:ascii="Arial"/>
                <w:sz w:val="20"/>
              </w:rPr>
            </w:r>
          </w:p>
        </w:tc>
        <w:tc>
          <w:tcPr>
            <w:tcW w:w="827"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1"/>
              <w:jc w:val="right"/>
              <w:rPr>
                <w:rFonts w:ascii="Arial" w:hAnsi="Arial" w:cs="Arial" w:eastAsia="Arial" w:hint="default"/>
                <w:sz w:val="20"/>
                <w:szCs w:val="20"/>
              </w:rPr>
            </w:pPr>
            <w:r>
              <w:rPr>
                <w:rFonts w:ascii="Arial"/>
                <w:spacing w:val="-1"/>
                <w:sz w:val="20"/>
              </w:rPr>
              <w:t>(</w:t>
            </w:r>
            <w:r>
              <w:rPr>
                <w:rFonts w:ascii="Arial"/>
                <w:spacing w:val="-1"/>
                <w:sz w:val="20"/>
                <w:u w:val="thick" w:color="000000"/>
              </w:rPr>
              <w:t>382,200</w:t>
            </w:r>
            <w:r>
              <w:rPr>
                <w:rFonts w:ascii="Arial"/>
                <w:spacing w:val="-1"/>
                <w:sz w:val="20"/>
              </w:rPr>
            </w:r>
            <w:r>
              <w:rPr>
                <w:rFonts w:ascii="Arial"/>
                <w:sz w:val="20"/>
              </w:rPr>
            </w:r>
          </w:p>
        </w:tc>
        <w:tc>
          <w:tcPr>
            <w:tcW w:w="268"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1" w:right="0"/>
              <w:jc w:val="left"/>
              <w:rPr>
                <w:rFonts w:ascii="Arial" w:hAnsi="Arial" w:cs="Arial" w:eastAsia="Arial" w:hint="default"/>
                <w:sz w:val="20"/>
                <w:szCs w:val="20"/>
              </w:rPr>
            </w:pPr>
            <w:r>
              <w:rPr>
                <w:rFonts w:ascii="Arial"/>
                <w:w w:val="99"/>
                <w:sz w:val="20"/>
              </w:rPr>
              <w:t>)</w:t>
            </w:r>
            <w:r>
              <w:rPr>
                <w:rFonts w:ascii="Arial"/>
                <w:sz w:val="20"/>
              </w:rPr>
            </w:r>
          </w:p>
        </w:tc>
      </w:tr>
    </w:tbl>
    <w:p>
      <w:pPr>
        <w:spacing w:after="0" w:line="240" w:lineRule="auto"/>
        <w:jc w:val="left"/>
        <w:rPr>
          <w:rFonts w:ascii="Arial" w:hAnsi="Arial" w:cs="Arial" w:eastAsia="Arial" w:hint="default"/>
          <w:sz w:val="20"/>
          <w:szCs w:val="20"/>
        </w:rPr>
        <w:sectPr>
          <w:pgSz w:w="11910" w:h="16850"/>
          <w:pgMar w:header="957" w:footer="830" w:top="2520" w:bottom="1020" w:left="1600" w:right="1140"/>
        </w:sectPr>
      </w:pPr>
    </w:p>
    <w:p>
      <w:pPr>
        <w:spacing w:line="240" w:lineRule="auto" w:before="3"/>
        <w:rPr>
          <w:rFonts w:ascii="黑体" w:hAnsi="黑体" w:cs="黑体" w:eastAsia="黑体" w:hint="default"/>
          <w:sz w:val="21"/>
          <w:szCs w:val="21"/>
        </w:rPr>
      </w:pPr>
    </w:p>
    <w:p>
      <w:pPr>
        <w:pStyle w:val="Heading6"/>
        <w:tabs>
          <w:tab w:pos="804" w:val="left" w:leader="none"/>
        </w:tabs>
        <w:spacing w:line="240" w:lineRule="auto"/>
        <w:ind w:right="1038"/>
        <w:jc w:val="left"/>
        <w:rPr>
          <w:b w:val="0"/>
          <w:bCs w:val="0"/>
        </w:rPr>
      </w:pPr>
      <w:r>
        <w:rPr>
          <w:w w:val="95"/>
        </w:rPr>
        <w:t>五、</w:t>
        <w:tab/>
      </w:r>
      <w:bookmarkStart w:name="五、   合并财务报表主要项目注释（续）" w:id="95"/>
      <w:bookmarkEnd w:id="95"/>
      <w:r>
        <w:rPr/>
        <w:t>合并</w:t>
      </w:r>
      <w:r>
        <w:rPr/>
        <w:t>财务报表主要项目注释（续）</w:t>
      </w:r>
      <w:r>
        <w:rPr>
          <w:b w:val="0"/>
          <w:bCs w:val="0"/>
        </w:rPr>
      </w:r>
    </w:p>
    <w:p>
      <w:pPr>
        <w:spacing w:line="240" w:lineRule="auto" w:before="12"/>
        <w:rPr>
          <w:rFonts w:ascii="黑体" w:hAnsi="黑体" w:cs="黑体" w:eastAsia="黑体" w:hint="default"/>
          <w:b/>
          <w:bCs/>
          <w:sz w:val="20"/>
          <w:szCs w:val="20"/>
        </w:rPr>
      </w:pPr>
    </w:p>
    <w:p>
      <w:pPr>
        <w:pStyle w:val="Heading6"/>
        <w:tabs>
          <w:tab w:pos="831" w:val="left" w:leader="none"/>
        </w:tabs>
        <w:spacing w:line="240" w:lineRule="auto" w:before="0"/>
        <w:ind w:right="1038"/>
        <w:jc w:val="left"/>
        <w:rPr>
          <w:b w:val="0"/>
          <w:bCs w:val="0"/>
        </w:rPr>
      </w:pPr>
      <w:r>
        <w:rPr>
          <w:rFonts w:ascii="Arial" w:hAnsi="Arial" w:cs="Arial" w:eastAsia="Arial" w:hint="default"/>
          <w:spacing w:val="-1"/>
          <w:w w:val="95"/>
        </w:rPr>
        <w:t>14.</w:t>
        <w:tab/>
      </w:r>
      <w:r>
        <w:rPr>
          <w:spacing w:val="2"/>
        </w:rPr>
        <w:t>商誉（续）</w:t>
      </w:r>
      <w:r>
        <w:rPr>
          <w:b w:val="0"/>
          <w:bCs w:val="0"/>
        </w:rPr>
      </w:r>
    </w:p>
    <w:p>
      <w:pPr>
        <w:spacing w:line="240" w:lineRule="auto" w:before="1"/>
        <w:rPr>
          <w:rFonts w:ascii="黑体" w:hAnsi="黑体" w:cs="黑体" w:eastAsia="黑体" w:hint="default"/>
          <w:b/>
          <w:bCs/>
          <w:sz w:val="23"/>
          <w:szCs w:val="23"/>
        </w:rPr>
      </w:pPr>
    </w:p>
    <w:p>
      <w:pPr>
        <w:pStyle w:val="BodyText"/>
        <w:spacing w:line="240" w:lineRule="auto"/>
        <w:ind w:right="1038"/>
        <w:jc w:val="left"/>
      </w:pPr>
      <w:r>
        <w:rPr>
          <w:rFonts w:ascii="Arial" w:hAnsi="Arial" w:cs="Arial" w:eastAsia="Arial" w:hint="default"/>
        </w:rPr>
        <w:t>2011</w:t>
      </w:r>
      <w:r>
        <w:rPr/>
        <w:t>年</w:t>
      </w:r>
    </w:p>
    <w:p>
      <w:pPr>
        <w:spacing w:line="240" w:lineRule="auto" w:before="7"/>
        <w:rPr>
          <w:rFonts w:ascii="黑体" w:hAnsi="黑体" w:cs="黑体" w:eastAsia="黑体" w:hint="default"/>
          <w:sz w:val="27"/>
          <w:szCs w:val="27"/>
        </w:rPr>
      </w:pPr>
    </w:p>
    <w:tbl>
      <w:tblPr>
        <w:tblW w:w="0" w:type="auto"/>
        <w:jc w:val="left"/>
        <w:tblInd w:w="609" w:type="dxa"/>
        <w:tblLayout w:type="fixed"/>
        <w:tblCellMar>
          <w:top w:w="0" w:type="dxa"/>
          <w:left w:w="0" w:type="dxa"/>
          <w:bottom w:w="0" w:type="dxa"/>
          <w:right w:w="0" w:type="dxa"/>
        </w:tblCellMar>
        <w:tblLook w:val="01E0"/>
      </w:tblPr>
      <w:tblGrid>
        <w:gridCol w:w="2024"/>
        <w:gridCol w:w="1370"/>
        <w:gridCol w:w="1353"/>
        <w:gridCol w:w="1182"/>
        <w:gridCol w:w="1394"/>
        <w:gridCol w:w="931"/>
        <w:gridCol w:w="268"/>
      </w:tblGrid>
      <w:tr>
        <w:trPr>
          <w:trHeight w:val="358" w:hRule="exact"/>
        </w:trPr>
        <w:tc>
          <w:tcPr>
            <w:tcW w:w="2024"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Style w:val="TableParagraph"/>
              <w:spacing w:line="199" w:lineRule="exact"/>
              <w:ind w:right="232"/>
              <w:jc w:val="right"/>
              <w:rPr>
                <w:rFonts w:ascii="黑体" w:hAnsi="黑体" w:cs="黑体" w:eastAsia="黑体" w:hint="default"/>
                <w:sz w:val="20"/>
                <w:szCs w:val="20"/>
              </w:rPr>
            </w:pPr>
            <w:bookmarkStart w:name="14.   商誉（续）" w:id="96"/>
            <w:bookmarkEnd w:id="96"/>
            <w:r>
              <w:rPr/>
            </w:r>
            <w:r>
              <w:rPr>
                <w:rFonts w:ascii="黑体" w:hAnsi="黑体" w:cs="黑体" w:eastAsia="黑体" w:hint="default"/>
                <w:w w:val="95"/>
                <w:sz w:val="20"/>
                <w:szCs w:val="20"/>
              </w:rPr>
              <w:t>年初数</w:t>
            </w:r>
            <w:r>
              <w:rPr>
                <w:rFonts w:ascii="黑体" w:hAnsi="黑体" w:cs="黑体" w:eastAsia="黑体" w:hint="default"/>
                <w:sz w:val="20"/>
                <w:szCs w:val="20"/>
              </w:rPr>
            </w:r>
          </w:p>
        </w:tc>
        <w:tc>
          <w:tcPr>
            <w:tcW w:w="1353" w:type="dxa"/>
            <w:tcBorders>
              <w:top w:val="nil" w:sz="6" w:space="0" w:color="auto"/>
              <w:left w:val="nil" w:sz="6" w:space="0" w:color="auto"/>
              <w:bottom w:val="nil" w:sz="6" w:space="0" w:color="auto"/>
              <w:right w:val="nil" w:sz="6" w:space="0" w:color="auto"/>
            </w:tcBorders>
          </w:tcPr>
          <w:p>
            <w:pPr>
              <w:pStyle w:val="TableParagraph"/>
              <w:spacing w:line="199" w:lineRule="exact"/>
              <w:ind w:right="229"/>
              <w:jc w:val="right"/>
              <w:rPr>
                <w:rFonts w:ascii="黑体" w:hAnsi="黑体" w:cs="黑体" w:eastAsia="黑体" w:hint="default"/>
                <w:sz w:val="20"/>
                <w:szCs w:val="20"/>
              </w:rPr>
            </w:pPr>
            <w:r>
              <w:rPr>
                <w:rFonts w:ascii="黑体" w:hAnsi="黑体" w:cs="黑体" w:eastAsia="黑体" w:hint="default"/>
                <w:w w:val="95"/>
                <w:sz w:val="20"/>
                <w:szCs w:val="20"/>
              </w:rPr>
              <w:t>本年增加</w:t>
            </w:r>
            <w:r>
              <w:rPr>
                <w:rFonts w:ascii="黑体" w:hAnsi="黑体" w:cs="黑体" w:eastAsia="黑体" w:hint="default"/>
                <w:sz w:val="20"/>
                <w:szCs w:val="20"/>
              </w:rPr>
            </w:r>
          </w:p>
        </w:tc>
        <w:tc>
          <w:tcPr>
            <w:tcW w:w="1182" w:type="dxa"/>
            <w:tcBorders>
              <w:top w:val="nil" w:sz="6" w:space="0" w:color="auto"/>
              <w:left w:val="nil" w:sz="6" w:space="0" w:color="auto"/>
              <w:bottom w:val="nil" w:sz="6" w:space="0" w:color="auto"/>
              <w:right w:val="nil" w:sz="6" w:space="0" w:color="auto"/>
            </w:tcBorders>
          </w:tcPr>
          <w:p>
            <w:pPr>
              <w:pStyle w:val="TableParagraph"/>
              <w:spacing w:line="199" w:lineRule="exact"/>
              <w:ind w:right="153"/>
              <w:jc w:val="right"/>
              <w:rPr>
                <w:rFonts w:ascii="黑体" w:hAnsi="黑体" w:cs="黑体" w:eastAsia="黑体" w:hint="default"/>
                <w:sz w:val="20"/>
                <w:szCs w:val="20"/>
              </w:rPr>
            </w:pPr>
            <w:r>
              <w:rPr>
                <w:rFonts w:ascii="黑体" w:hAnsi="黑体" w:cs="黑体" w:eastAsia="黑体" w:hint="default"/>
                <w:w w:val="95"/>
                <w:sz w:val="20"/>
                <w:szCs w:val="20"/>
              </w:rPr>
              <w:t>本年减少</w:t>
            </w:r>
            <w:r>
              <w:rPr>
                <w:rFonts w:ascii="黑体" w:hAnsi="黑体" w:cs="黑体" w:eastAsia="黑体" w:hint="default"/>
                <w:sz w:val="20"/>
                <w:szCs w:val="20"/>
              </w:rPr>
            </w:r>
          </w:p>
        </w:tc>
        <w:tc>
          <w:tcPr>
            <w:tcW w:w="1394" w:type="dxa"/>
            <w:tcBorders>
              <w:top w:val="nil" w:sz="6" w:space="0" w:color="auto"/>
              <w:left w:val="nil" w:sz="6" w:space="0" w:color="auto"/>
              <w:bottom w:val="nil" w:sz="6" w:space="0" w:color="auto"/>
              <w:right w:val="nil" w:sz="6" w:space="0" w:color="auto"/>
            </w:tcBorders>
          </w:tcPr>
          <w:p>
            <w:pPr>
              <w:pStyle w:val="TableParagraph"/>
              <w:spacing w:line="199" w:lineRule="exact"/>
              <w:ind w:right="131"/>
              <w:jc w:val="right"/>
              <w:rPr>
                <w:rFonts w:ascii="黑体" w:hAnsi="黑体" w:cs="黑体" w:eastAsia="黑体" w:hint="default"/>
                <w:sz w:val="20"/>
                <w:szCs w:val="20"/>
              </w:rPr>
            </w:pPr>
            <w:r>
              <w:rPr>
                <w:rFonts w:ascii="黑体" w:hAnsi="黑体" w:cs="黑体" w:eastAsia="黑体" w:hint="default"/>
                <w:w w:val="95"/>
                <w:sz w:val="20"/>
                <w:szCs w:val="20"/>
              </w:rPr>
              <w:t>年末数</w:t>
            </w:r>
            <w:r>
              <w:rPr>
                <w:rFonts w:ascii="黑体" w:hAnsi="黑体" w:cs="黑体" w:eastAsia="黑体" w:hint="default"/>
                <w:sz w:val="20"/>
                <w:szCs w:val="20"/>
              </w:rPr>
            </w:r>
          </w:p>
        </w:tc>
        <w:tc>
          <w:tcPr>
            <w:tcW w:w="931" w:type="dxa"/>
            <w:tcBorders>
              <w:top w:val="nil" w:sz="6" w:space="0" w:color="auto"/>
              <w:left w:val="nil" w:sz="6" w:space="0" w:color="auto"/>
              <w:bottom w:val="nil" w:sz="6" w:space="0" w:color="auto"/>
              <w:right w:val="nil" w:sz="6" w:space="0" w:color="auto"/>
            </w:tcBorders>
          </w:tcPr>
          <w:p>
            <w:pPr>
              <w:pStyle w:val="TableParagraph"/>
              <w:spacing w:line="199" w:lineRule="exact"/>
              <w:ind w:right="1"/>
              <w:jc w:val="right"/>
              <w:rPr>
                <w:rFonts w:ascii="黑体" w:hAnsi="黑体" w:cs="黑体" w:eastAsia="黑体" w:hint="default"/>
                <w:sz w:val="20"/>
                <w:szCs w:val="20"/>
              </w:rPr>
            </w:pPr>
            <w:r>
              <w:rPr>
                <w:rFonts w:ascii="黑体" w:hAnsi="黑体" w:cs="黑体" w:eastAsia="黑体" w:hint="default"/>
                <w:w w:val="95"/>
                <w:sz w:val="20"/>
                <w:szCs w:val="20"/>
              </w:rPr>
              <w:t>减值准备</w:t>
            </w:r>
            <w:r>
              <w:rPr>
                <w:rFonts w:ascii="黑体" w:hAnsi="黑体" w:cs="黑体" w:eastAsia="黑体" w:hint="default"/>
                <w:sz w:val="20"/>
                <w:szCs w:val="20"/>
              </w:rPr>
            </w:r>
          </w:p>
        </w:tc>
        <w:tc>
          <w:tcPr>
            <w:tcW w:w="268" w:type="dxa"/>
            <w:tcBorders>
              <w:top w:val="nil" w:sz="6" w:space="0" w:color="auto"/>
              <w:left w:val="nil" w:sz="6" w:space="0" w:color="auto"/>
              <w:bottom w:val="nil" w:sz="6" w:space="0" w:color="auto"/>
              <w:right w:val="nil" w:sz="6" w:space="0" w:color="auto"/>
            </w:tcBorders>
          </w:tcPr>
          <w:p>
            <w:pPr/>
          </w:p>
        </w:tc>
      </w:tr>
      <w:tr>
        <w:trPr>
          <w:trHeight w:val="377" w:hRule="exact"/>
        </w:trPr>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96"/>
              <w:ind w:left="200" w:right="0"/>
              <w:jc w:val="left"/>
              <w:rPr>
                <w:rFonts w:ascii="黑体" w:hAnsi="黑体" w:cs="黑体" w:eastAsia="黑体" w:hint="default"/>
                <w:sz w:val="20"/>
                <w:szCs w:val="20"/>
              </w:rPr>
            </w:pPr>
            <w:r>
              <w:rPr>
                <w:rFonts w:ascii="黑体" w:hAnsi="黑体" w:cs="黑体" w:eastAsia="黑体" w:hint="default"/>
                <w:sz w:val="20"/>
                <w:szCs w:val="20"/>
              </w:rPr>
              <w:t>特博深</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33"/>
              <w:jc w:val="right"/>
              <w:rPr>
                <w:rFonts w:ascii="Arial" w:hAnsi="Arial" w:cs="Arial" w:eastAsia="Arial" w:hint="default"/>
                <w:sz w:val="20"/>
                <w:szCs w:val="20"/>
              </w:rPr>
            </w:pPr>
            <w:r>
              <w:rPr>
                <w:rFonts w:ascii="Arial"/>
                <w:spacing w:val="-1"/>
                <w:sz w:val="20"/>
              </w:rPr>
              <w:t>37,828,833</w:t>
            </w:r>
            <w:r>
              <w:rPr>
                <w:rFonts w:ascii="Arial"/>
                <w:sz w:val="20"/>
              </w:rPr>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28"/>
              <w:jc w:val="right"/>
              <w:rPr>
                <w:rFonts w:ascii="Arial" w:hAnsi="Arial" w:cs="Arial" w:eastAsia="Arial" w:hint="default"/>
                <w:sz w:val="20"/>
                <w:szCs w:val="20"/>
              </w:rPr>
            </w:pPr>
            <w:r>
              <w:rPr>
                <w:rFonts w:ascii="Arial"/>
                <w:w w:val="99"/>
                <w:sz w:val="20"/>
              </w:rPr>
              <w:t>-</w:t>
            </w:r>
            <w:r>
              <w:rPr>
                <w:rFonts w:ascii="Arial"/>
                <w:sz w:val="20"/>
              </w:rPr>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52"/>
              <w:jc w:val="right"/>
              <w:rPr>
                <w:rFonts w:ascii="Arial" w:hAnsi="Arial" w:cs="Arial" w:eastAsia="Arial" w:hint="default"/>
                <w:sz w:val="20"/>
                <w:szCs w:val="20"/>
              </w:rPr>
            </w:pPr>
            <w:r>
              <w:rPr>
                <w:rFonts w:ascii="Arial"/>
                <w:w w:val="99"/>
                <w:sz w:val="20"/>
              </w:rPr>
              <w:t>-</w:t>
            </w:r>
            <w:r>
              <w:rPr>
                <w:rFonts w:ascii="Arial"/>
                <w:sz w:val="20"/>
              </w:rPr>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31"/>
              <w:jc w:val="right"/>
              <w:rPr>
                <w:rFonts w:ascii="Arial" w:hAnsi="Arial" w:cs="Arial" w:eastAsia="Arial" w:hint="default"/>
                <w:sz w:val="20"/>
                <w:szCs w:val="20"/>
              </w:rPr>
            </w:pPr>
            <w:r>
              <w:rPr>
                <w:rFonts w:ascii="Arial"/>
                <w:spacing w:val="-1"/>
                <w:sz w:val="20"/>
              </w:rPr>
              <w:t>37,828,833</w:t>
            </w:r>
            <w:r>
              <w:rPr>
                <w:rFonts w:ascii="Arial"/>
                <w:sz w:val="20"/>
              </w:rPr>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
              <w:jc w:val="right"/>
              <w:rPr>
                <w:rFonts w:ascii="Arial" w:hAnsi="Arial" w:cs="Arial" w:eastAsia="Arial" w:hint="default"/>
                <w:sz w:val="20"/>
                <w:szCs w:val="20"/>
              </w:rPr>
            </w:pPr>
            <w:r>
              <w:rPr>
                <w:rFonts w:ascii="Arial"/>
                <w:w w:val="99"/>
                <w:sz w:val="20"/>
              </w:rPr>
              <w:t>-</w:t>
            </w:r>
            <w:r>
              <w:rPr>
                <w:rFonts w:ascii="Arial"/>
                <w:sz w:val="20"/>
              </w:rPr>
            </w:r>
          </w:p>
        </w:tc>
        <w:tc>
          <w:tcPr>
            <w:tcW w:w="268" w:type="dxa"/>
            <w:tcBorders>
              <w:top w:val="nil" w:sz="6" w:space="0" w:color="auto"/>
              <w:left w:val="nil" w:sz="6" w:space="0" w:color="auto"/>
              <w:bottom w:val="nil" w:sz="6" w:space="0" w:color="auto"/>
              <w:right w:val="nil" w:sz="6" w:space="0" w:color="auto"/>
            </w:tcBorders>
          </w:tcPr>
          <w:p>
            <w:pPr/>
          </w:p>
        </w:tc>
      </w:tr>
      <w:tr>
        <w:trPr>
          <w:trHeight w:val="258" w:hRule="exact"/>
        </w:trPr>
        <w:tc>
          <w:tcPr>
            <w:tcW w:w="2024"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黑体" w:hAnsi="黑体" w:cs="黑体" w:eastAsia="黑体" w:hint="default"/>
                <w:sz w:val="20"/>
                <w:szCs w:val="20"/>
              </w:rPr>
            </w:pPr>
            <w:r>
              <w:rPr>
                <w:rFonts w:ascii="黑体" w:hAnsi="黑体" w:cs="黑体" w:eastAsia="黑体" w:hint="default"/>
                <w:sz w:val="20"/>
                <w:szCs w:val="20"/>
              </w:rPr>
              <w:t>上海天诺坛网</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33"/>
              <w:jc w:val="right"/>
              <w:rPr>
                <w:rFonts w:ascii="Arial" w:hAnsi="Arial" w:cs="Arial" w:eastAsia="Arial" w:hint="default"/>
                <w:sz w:val="20"/>
                <w:szCs w:val="20"/>
              </w:rPr>
            </w:pPr>
            <w:r>
              <w:rPr>
                <w:rFonts w:ascii="Arial"/>
                <w:spacing w:val="-1"/>
                <w:sz w:val="20"/>
              </w:rPr>
              <w:t>12,659,937</w:t>
            </w:r>
            <w:r>
              <w:rPr>
                <w:rFonts w:ascii="Arial"/>
                <w:sz w:val="20"/>
              </w:rPr>
            </w:r>
          </w:p>
        </w:tc>
        <w:tc>
          <w:tcPr>
            <w:tcW w:w="1353" w:type="dxa"/>
            <w:tcBorders>
              <w:top w:val="nil" w:sz="6" w:space="0" w:color="auto"/>
              <w:left w:val="nil" w:sz="6" w:space="0" w:color="auto"/>
              <w:bottom w:val="nil" w:sz="6" w:space="0" w:color="auto"/>
              <w:right w:val="nil" w:sz="6" w:space="0" w:color="auto"/>
            </w:tcBorders>
          </w:tcPr>
          <w:p>
            <w:pPr>
              <w:pStyle w:val="TableParagraph"/>
              <w:spacing w:line="213" w:lineRule="exact"/>
              <w:ind w:right="228"/>
              <w:jc w:val="right"/>
              <w:rPr>
                <w:rFonts w:ascii="Arial" w:hAnsi="Arial" w:cs="Arial" w:eastAsia="Arial" w:hint="default"/>
                <w:sz w:val="20"/>
                <w:szCs w:val="20"/>
              </w:rPr>
            </w:pPr>
            <w:r>
              <w:rPr>
                <w:rFonts w:ascii="Arial"/>
                <w:w w:val="99"/>
                <w:sz w:val="20"/>
              </w:rPr>
              <w:t>-</w:t>
            </w:r>
            <w:r>
              <w:rPr>
                <w:rFonts w:ascii="Arial"/>
                <w:sz w:val="20"/>
              </w:rPr>
            </w:r>
          </w:p>
        </w:tc>
        <w:tc>
          <w:tcPr>
            <w:tcW w:w="1182" w:type="dxa"/>
            <w:tcBorders>
              <w:top w:val="nil" w:sz="6" w:space="0" w:color="auto"/>
              <w:left w:val="nil" w:sz="6" w:space="0" w:color="auto"/>
              <w:bottom w:val="nil" w:sz="6" w:space="0" w:color="auto"/>
              <w:right w:val="nil" w:sz="6" w:space="0" w:color="auto"/>
            </w:tcBorders>
          </w:tcPr>
          <w:p>
            <w:pPr>
              <w:pStyle w:val="TableParagraph"/>
              <w:spacing w:line="213" w:lineRule="exact"/>
              <w:ind w:right="152"/>
              <w:jc w:val="right"/>
              <w:rPr>
                <w:rFonts w:ascii="Arial" w:hAnsi="Arial" w:cs="Arial" w:eastAsia="Arial" w:hint="default"/>
                <w:sz w:val="20"/>
                <w:szCs w:val="20"/>
              </w:rPr>
            </w:pPr>
            <w:r>
              <w:rPr>
                <w:rFonts w:ascii="Arial"/>
                <w:w w:val="99"/>
                <w:sz w:val="20"/>
              </w:rPr>
              <w:t>-</w:t>
            </w:r>
            <w:r>
              <w:rPr>
                <w:rFonts w:ascii="Arial"/>
                <w:sz w:val="20"/>
              </w:rPr>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31"/>
              <w:jc w:val="right"/>
              <w:rPr>
                <w:rFonts w:ascii="Arial" w:hAnsi="Arial" w:cs="Arial" w:eastAsia="Arial" w:hint="default"/>
                <w:sz w:val="20"/>
                <w:szCs w:val="20"/>
              </w:rPr>
            </w:pPr>
            <w:r>
              <w:rPr>
                <w:rFonts w:ascii="Arial"/>
                <w:spacing w:val="-1"/>
                <w:sz w:val="20"/>
              </w:rPr>
              <w:t>12,659,937</w:t>
            </w:r>
            <w:r>
              <w:rPr>
                <w:rFonts w:ascii="Arial"/>
                <w:sz w:val="20"/>
              </w:rPr>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
              <w:jc w:val="right"/>
              <w:rPr>
                <w:rFonts w:ascii="Arial" w:hAnsi="Arial" w:cs="Arial" w:eastAsia="Arial" w:hint="default"/>
                <w:sz w:val="20"/>
                <w:szCs w:val="20"/>
              </w:rPr>
            </w:pPr>
            <w:r>
              <w:rPr>
                <w:rFonts w:ascii="Arial"/>
                <w:w w:val="99"/>
                <w:sz w:val="20"/>
              </w:rPr>
              <w:t>-</w:t>
            </w:r>
            <w:r>
              <w:rPr>
                <w:rFonts w:ascii="Arial"/>
                <w:sz w:val="20"/>
              </w:rPr>
            </w:r>
          </w:p>
        </w:tc>
        <w:tc>
          <w:tcPr>
            <w:tcW w:w="268" w:type="dxa"/>
            <w:tcBorders>
              <w:top w:val="nil" w:sz="6" w:space="0" w:color="auto"/>
              <w:left w:val="nil" w:sz="6" w:space="0" w:color="auto"/>
              <w:bottom w:val="nil" w:sz="6" w:space="0" w:color="auto"/>
              <w:right w:val="nil" w:sz="6" w:space="0" w:color="auto"/>
            </w:tcBorders>
          </w:tcPr>
          <w:p>
            <w:pPr/>
          </w:p>
        </w:tc>
      </w:tr>
      <w:tr>
        <w:trPr>
          <w:trHeight w:val="258" w:hRule="exact"/>
        </w:trPr>
        <w:tc>
          <w:tcPr>
            <w:tcW w:w="2024"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黑体" w:hAnsi="黑体" w:cs="黑体" w:eastAsia="黑体" w:hint="default"/>
                <w:sz w:val="20"/>
                <w:szCs w:val="20"/>
              </w:rPr>
            </w:pPr>
            <w:r>
              <w:rPr>
                <w:rFonts w:ascii="黑体" w:hAnsi="黑体" w:cs="黑体" w:eastAsia="黑体" w:hint="default"/>
                <w:sz w:val="20"/>
                <w:szCs w:val="20"/>
              </w:rPr>
              <w:t>重庆迈特</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32"/>
              <w:jc w:val="right"/>
              <w:rPr>
                <w:rFonts w:ascii="Arial" w:hAnsi="Arial" w:cs="Arial" w:eastAsia="Arial" w:hint="default"/>
                <w:sz w:val="20"/>
                <w:szCs w:val="20"/>
              </w:rPr>
            </w:pPr>
            <w:r>
              <w:rPr>
                <w:rFonts w:ascii="Arial"/>
                <w:spacing w:val="-1"/>
                <w:sz w:val="20"/>
              </w:rPr>
              <w:t>5,709,400</w:t>
            </w:r>
          </w:p>
        </w:tc>
        <w:tc>
          <w:tcPr>
            <w:tcW w:w="1353" w:type="dxa"/>
            <w:tcBorders>
              <w:top w:val="nil" w:sz="6" w:space="0" w:color="auto"/>
              <w:left w:val="nil" w:sz="6" w:space="0" w:color="auto"/>
              <w:bottom w:val="nil" w:sz="6" w:space="0" w:color="auto"/>
              <w:right w:val="nil" w:sz="6" w:space="0" w:color="auto"/>
            </w:tcBorders>
          </w:tcPr>
          <w:p>
            <w:pPr>
              <w:pStyle w:val="TableParagraph"/>
              <w:spacing w:line="215" w:lineRule="exact"/>
              <w:ind w:right="228"/>
              <w:jc w:val="right"/>
              <w:rPr>
                <w:rFonts w:ascii="Arial" w:hAnsi="Arial" w:cs="Arial" w:eastAsia="Arial" w:hint="default"/>
                <w:sz w:val="20"/>
                <w:szCs w:val="20"/>
              </w:rPr>
            </w:pPr>
            <w:r>
              <w:rPr>
                <w:rFonts w:ascii="Arial"/>
                <w:w w:val="99"/>
                <w:sz w:val="20"/>
              </w:rPr>
              <w:t>-</w:t>
            </w:r>
            <w:r>
              <w:rPr>
                <w:rFonts w:ascii="Arial"/>
                <w:sz w:val="20"/>
              </w:rPr>
            </w:r>
          </w:p>
        </w:tc>
        <w:tc>
          <w:tcPr>
            <w:tcW w:w="1182" w:type="dxa"/>
            <w:tcBorders>
              <w:top w:val="nil" w:sz="6" w:space="0" w:color="auto"/>
              <w:left w:val="nil" w:sz="6" w:space="0" w:color="auto"/>
              <w:bottom w:val="nil" w:sz="6" w:space="0" w:color="auto"/>
              <w:right w:val="nil" w:sz="6" w:space="0" w:color="auto"/>
            </w:tcBorders>
          </w:tcPr>
          <w:p>
            <w:pPr>
              <w:pStyle w:val="TableParagraph"/>
              <w:spacing w:line="215" w:lineRule="exact"/>
              <w:ind w:right="152"/>
              <w:jc w:val="right"/>
              <w:rPr>
                <w:rFonts w:ascii="Arial" w:hAnsi="Arial" w:cs="Arial" w:eastAsia="Arial" w:hint="default"/>
                <w:sz w:val="20"/>
                <w:szCs w:val="20"/>
              </w:rPr>
            </w:pPr>
            <w:r>
              <w:rPr>
                <w:rFonts w:ascii="Arial"/>
                <w:w w:val="99"/>
                <w:sz w:val="20"/>
              </w:rPr>
              <w:t>-</w:t>
            </w:r>
            <w:r>
              <w:rPr>
                <w:rFonts w:ascii="Arial"/>
                <w:sz w:val="20"/>
              </w:rPr>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31"/>
              <w:jc w:val="right"/>
              <w:rPr>
                <w:rFonts w:ascii="Arial" w:hAnsi="Arial" w:cs="Arial" w:eastAsia="Arial" w:hint="default"/>
                <w:sz w:val="20"/>
                <w:szCs w:val="20"/>
              </w:rPr>
            </w:pPr>
            <w:r>
              <w:rPr>
                <w:rFonts w:ascii="Arial"/>
                <w:spacing w:val="-1"/>
                <w:sz w:val="20"/>
              </w:rPr>
              <w:t>5,709,400</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
              <w:jc w:val="right"/>
              <w:rPr>
                <w:rFonts w:ascii="Arial" w:hAnsi="Arial" w:cs="Arial" w:eastAsia="Arial" w:hint="default"/>
                <w:sz w:val="20"/>
                <w:szCs w:val="20"/>
              </w:rPr>
            </w:pPr>
            <w:r>
              <w:rPr>
                <w:rFonts w:ascii="Arial"/>
                <w:w w:val="99"/>
                <w:sz w:val="20"/>
              </w:rPr>
              <w:t>-</w:t>
            </w:r>
            <w:r>
              <w:rPr>
                <w:rFonts w:ascii="Arial"/>
                <w:sz w:val="20"/>
              </w:rPr>
            </w:r>
          </w:p>
        </w:tc>
        <w:tc>
          <w:tcPr>
            <w:tcW w:w="268" w:type="dxa"/>
            <w:tcBorders>
              <w:top w:val="nil" w:sz="6" w:space="0" w:color="auto"/>
              <w:left w:val="nil" w:sz="6" w:space="0" w:color="auto"/>
              <w:bottom w:val="nil" w:sz="6" w:space="0" w:color="auto"/>
              <w:right w:val="nil" w:sz="6" w:space="0" w:color="auto"/>
            </w:tcBorders>
          </w:tcPr>
          <w:p>
            <w:pPr/>
          </w:p>
        </w:tc>
      </w:tr>
      <w:tr>
        <w:trPr>
          <w:trHeight w:val="258" w:hRule="exact"/>
        </w:trPr>
        <w:tc>
          <w:tcPr>
            <w:tcW w:w="2024"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黑体" w:hAnsi="黑体" w:cs="黑体" w:eastAsia="黑体" w:hint="default"/>
                <w:sz w:val="20"/>
                <w:szCs w:val="20"/>
              </w:rPr>
            </w:pPr>
            <w:r>
              <w:rPr>
                <w:rFonts w:ascii="黑体" w:hAnsi="黑体" w:cs="黑体" w:eastAsia="黑体" w:hint="default"/>
                <w:sz w:val="20"/>
                <w:szCs w:val="20"/>
              </w:rPr>
              <w:t>上海哈久</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32"/>
              <w:jc w:val="right"/>
              <w:rPr>
                <w:rFonts w:ascii="Arial" w:hAnsi="Arial" w:cs="Arial" w:eastAsia="Arial" w:hint="default"/>
                <w:sz w:val="20"/>
                <w:szCs w:val="20"/>
              </w:rPr>
            </w:pPr>
            <w:r>
              <w:rPr>
                <w:rFonts w:ascii="Arial"/>
                <w:spacing w:val="-1"/>
                <w:sz w:val="20"/>
              </w:rPr>
              <w:t>6,637,723</w:t>
            </w:r>
          </w:p>
        </w:tc>
        <w:tc>
          <w:tcPr>
            <w:tcW w:w="1353" w:type="dxa"/>
            <w:tcBorders>
              <w:top w:val="nil" w:sz="6" w:space="0" w:color="auto"/>
              <w:left w:val="nil" w:sz="6" w:space="0" w:color="auto"/>
              <w:bottom w:val="nil" w:sz="6" w:space="0" w:color="auto"/>
              <w:right w:val="nil" w:sz="6" w:space="0" w:color="auto"/>
            </w:tcBorders>
          </w:tcPr>
          <w:p>
            <w:pPr>
              <w:pStyle w:val="TableParagraph"/>
              <w:spacing w:line="213" w:lineRule="exact"/>
              <w:ind w:right="228"/>
              <w:jc w:val="right"/>
              <w:rPr>
                <w:rFonts w:ascii="Arial" w:hAnsi="Arial" w:cs="Arial" w:eastAsia="Arial" w:hint="default"/>
                <w:sz w:val="20"/>
                <w:szCs w:val="20"/>
              </w:rPr>
            </w:pPr>
            <w:r>
              <w:rPr>
                <w:rFonts w:ascii="Arial"/>
                <w:w w:val="99"/>
                <w:sz w:val="20"/>
              </w:rPr>
              <w:t>-</w:t>
            </w:r>
            <w:r>
              <w:rPr>
                <w:rFonts w:ascii="Arial"/>
                <w:sz w:val="20"/>
              </w:rPr>
            </w:r>
          </w:p>
        </w:tc>
        <w:tc>
          <w:tcPr>
            <w:tcW w:w="1182" w:type="dxa"/>
            <w:tcBorders>
              <w:top w:val="nil" w:sz="6" w:space="0" w:color="auto"/>
              <w:left w:val="nil" w:sz="6" w:space="0" w:color="auto"/>
              <w:bottom w:val="nil" w:sz="6" w:space="0" w:color="auto"/>
              <w:right w:val="nil" w:sz="6" w:space="0" w:color="auto"/>
            </w:tcBorders>
          </w:tcPr>
          <w:p>
            <w:pPr>
              <w:pStyle w:val="TableParagraph"/>
              <w:spacing w:line="213" w:lineRule="exact"/>
              <w:ind w:right="152"/>
              <w:jc w:val="right"/>
              <w:rPr>
                <w:rFonts w:ascii="Arial" w:hAnsi="Arial" w:cs="Arial" w:eastAsia="Arial" w:hint="default"/>
                <w:sz w:val="20"/>
                <w:szCs w:val="20"/>
              </w:rPr>
            </w:pPr>
            <w:r>
              <w:rPr>
                <w:rFonts w:ascii="Arial"/>
                <w:w w:val="99"/>
                <w:sz w:val="20"/>
              </w:rPr>
              <w:t>-</w:t>
            </w:r>
            <w:r>
              <w:rPr>
                <w:rFonts w:ascii="Arial"/>
                <w:sz w:val="20"/>
              </w:rPr>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31"/>
              <w:jc w:val="right"/>
              <w:rPr>
                <w:rFonts w:ascii="Arial" w:hAnsi="Arial" w:cs="Arial" w:eastAsia="Arial" w:hint="default"/>
                <w:sz w:val="20"/>
                <w:szCs w:val="20"/>
              </w:rPr>
            </w:pPr>
            <w:r>
              <w:rPr>
                <w:rFonts w:ascii="Arial"/>
                <w:spacing w:val="-1"/>
                <w:sz w:val="20"/>
              </w:rPr>
              <w:t>6,637,723</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
              <w:jc w:val="right"/>
              <w:rPr>
                <w:rFonts w:ascii="Arial" w:hAnsi="Arial" w:cs="Arial" w:eastAsia="Arial" w:hint="default"/>
                <w:sz w:val="20"/>
                <w:szCs w:val="20"/>
              </w:rPr>
            </w:pPr>
            <w:r>
              <w:rPr>
                <w:rFonts w:ascii="Arial"/>
                <w:w w:val="99"/>
                <w:sz w:val="20"/>
              </w:rPr>
              <w:t>-</w:t>
            </w:r>
            <w:r>
              <w:rPr>
                <w:rFonts w:ascii="Arial"/>
                <w:sz w:val="20"/>
              </w:rPr>
            </w:r>
          </w:p>
        </w:tc>
        <w:tc>
          <w:tcPr>
            <w:tcW w:w="268" w:type="dxa"/>
            <w:tcBorders>
              <w:top w:val="nil" w:sz="6" w:space="0" w:color="auto"/>
              <w:left w:val="nil" w:sz="6" w:space="0" w:color="auto"/>
              <w:bottom w:val="nil" w:sz="6" w:space="0" w:color="auto"/>
              <w:right w:val="nil" w:sz="6" w:space="0" w:color="auto"/>
            </w:tcBorders>
          </w:tcPr>
          <w:p>
            <w:pPr/>
          </w:p>
        </w:tc>
      </w:tr>
      <w:tr>
        <w:trPr>
          <w:trHeight w:val="258" w:hRule="exact"/>
        </w:trPr>
        <w:tc>
          <w:tcPr>
            <w:tcW w:w="2024"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黑体" w:hAnsi="黑体" w:cs="黑体" w:eastAsia="黑体" w:hint="default"/>
                <w:sz w:val="20"/>
                <w:szCs w:val="20"/>
              </w:rPr>
            </w:pPr>
            <w:r>
              <w:rPr>
                <w:rFonts w:ascii="黑体" w:hAnsi="黑体" w:cs="黑体" w:eastAsia="黑体" w:hint="default"/>
                <w:sz w:val="20"/>
                <w:szCs w:val="20"/>
              </w:rPr>
              <w:t>时空超越</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33"/>
              <w:jc w:val="right"/>
              <w:rPr>
                <w:rFonts w:ascii="Arial" w:hAnsi="Arial" w:cs="Arial" w:eastAsia="Arial" w:hint="default"/>
                <w:sz w:val="20"/>
                <w:szCs w:val="20"/>
              </w:rPr>
            </w:pPr>
            <w:r>
              <w:rPr>
                <w:rFonts w:ascii="Arial"/>
                <w:spacing w:val="-1"/>
                <w:sz w:val="20"/>
              </w:rPr>
              <w:t>35,997,518</w:t>
            </w:r>
            <w:r>
              <w:rPr>
                <w:rFonts w:ascii="Arial"/>
                <w:sz w:val="20"/>
              </w:rPr>
            </w:r>
          </w:p>
        </w:tc>
        <w:tc>
          <w:tcPr>
            <w:tcW w:w="1353" w:type="dxa"/>
            <w:tcBorders>
              <w:top w:val="nil" w:sz="6" w:space="0" w:color="auto"/>
              <w:left w:val="nil" w:sz="6" w:space="0" w:color="auto"/>
              <w:bottom w:val="nil" w:sz="6" w:space="0" w:color="auto"/>
              <w:right w:val="nil" w:sz="6" w:space="0" w:color="auto"/>
            </w:tcBorders>
          </w:tcPr>
          <w:p>
            <w:pPr>
              <w:pStyle w:val="TableParagraph"/>
              <w:spacing w:line="215" w:lineRule="exact"/>
              <w:ind w:right="228"/>
              <w:jc w:val="right"/>
              <w:rPr>
                <w:rFonts w:ascii="Arial" w:hAnsi="Arial" w:cs="Arial" w:eastAsia="Arial" w:hint="default"/>
                <w:sz w:val="20"/>
                <w:szCs w:val="20"/>
              </w:rPr>
            </w:pPr>
            <w:r>
              <w:rPr>
                <w:rFonts w:ascii="Arial"/>
                <w:w w:val="99"/>
                <w:sz w:val="20"/>
              </w:rPr>
              <w:t>-</w:t>
            </w:r>
            <w:r>
              <w:rPr>
                <w:rFonts w:ascii="Arial"/>
                <w:sz w:val="20"/>
              </w:rPr>
            </w:r>
          </w:p>
        </w:tc>
        <w:tc>
          <w:tcPr>
            <w:tcW w:w="1182" w:type="dxa"/>
            <w:tcBorders>
              <w:top w:val="nil" w:sz="6" w:space="0" w:color="auto"/>
              <w:left w:val="nil" w:sz="6" w:space="0" w:color="auto"/>
              <w:bottom w:val="nil" w:sz="6" w:space="0" w:color="auto"/>
              <w:right w:val="nil" w:sz="6" w:space="0" w:color="auto"/>
            </w:tcBorders>
          </w:tcPr>
          <w:p>
            <w:pPr>
              <w:pStyle w:val="TableParagraph"/>
              <w:spacing w:line="215" w:lineRule="exact"/>
              <w:ind w:right="152"/>
              <w:jc w:val="right"/>
              <w:rPr>
                <w:rFonts w:ascii="Arial" w:hAnsi="Arial" w:cs="Arial" w:eastAsia="Arial" w:hint="default"/>
                <w:sz w:val="20"/>
                <w:szCs w:val="20"/>
              </w:rPr>
            </w:pPr>
            <w:r>
              <w:rPr>
                <w:rFonts w:ascii="Arial"/>
                <w:w w:val="99"/>
                <w:sz w:val="20"/>
              </w:rPr>
              <w:t>-</w:t>
            </w:r>
            <w:r>
              <w:rPr>
                <w:rFonts w:ascii="Arial"/>
                <w:sz w:val="20"/>
              </w:rPr>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31"/>
              <w:jc w:val="right"/>
              <w:rPr>
                <w:rFonts w:ascii="Arial" w:hAnsi="Arial" w:cs="Arial" w:eastAsia="Arial" w:hint="default"/>
                <w:sz w:val="20"/>
                <w:szCs w:val="20"/>
              </w:rPr>
            </w:pPr>
            <w:r>
              <w:rPr>
                <w:rFonts w:ascii="Arial"/>
                <w:spacing w:val="-1"/>
                <w:sz w:val="20"/>
              </w:rPr>
              <w:t>35,997,518</w:t>
            </w:r>
            <w:r>
              <w:rPr>
                <w:rFonts w:ascii="Arial"/>
                <w:sz w:val="20"/>
              </w:rPr>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
              <w:jc w:val="right"/>
              <w:rPr>
                <w:rFonts w:ascii="Arial" w:hAnsi="Arial" w:cs="Arial" w:eastAsia="Arial" w:hint="default"/>
                <w:sz w:val="20"/>
                <w:szCs w:val="20"/>
              </w:rPr>
            </w:pPr>
            <w:r>
              <w:rPr>
                <w:rFonts w:ascii="Arial"/>
                <w:w w:val="99"/>
                <w:sz w:val="20"/>
              </w:rPr>
              <w:t>-</w:t>
            </w:r>
            <w:r>
              <w:rPr>
                <w:rFonts w:ascii="Arial"/>
                <w:sz w:val="20"/>
              </w:rPr>
            </w:r>
          </w:p>
        </w:tc>
        <w:tc>
          <w:tcPr>
            <w:tcW w:w="268" w:type="dxa"/>
            <w:tcBorders>
              <w:top w:val="nil" w:sz="6" w:space="0" w:color="auto"/>
              <w:left w:val="nil" w:sz="6" w:space="0" w:color="auto"/>
              <w:bottom w:val="nil" w:sz="6" w:space="0" w:color="auto"/>
              <w:right w:val="nil" w:sz="6" w:space="0" w:color="auto"/>
            </w:tcBorders>
          </w:tcPr>
          <w:p>
            <w:pPr/>
          </w:p>
        </w:tc>
      </w:tr>
      <w:tr>
        <w:trPr>
          <w:trHeight w:val="258" w:hRule="exact"/>
        </w:trPr>
        <w:tc>
          <w:tcPr>
            <w:tcW w:w="2024"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黑体" w:hAnsi="黑体" w:cs="黑体" w:eastAsia="黑体" w:hint="default"/>
                <w:sz w:val="20"/>
                <w:szCs w:val="20"/>
              </w:rPr>
            </w:pPr>
            <w:r>
              <w:rPr>
                <w:rFonts w:ascii="黑体" w:hAnsi="黑体" w:cs="黑体" w:eastAsia="黑体" w:hint="default"/>
                <w:sz w:val="20"/>
                <w:szCs w:val="20"/>
              </w:rPr>
              <w:t>广州尚南</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33"/>
              <w:jc w:val="right"/>
              <w:rPr>
                <w:rFonts w:ascii="Arial" w:hAnsi="Arial" w:cs="Arial" w:eastAsia="Arial" w:hint="default"/>
                <w:sz w:val="20"/>
                <w:szCs w:val="20"/>
              </w:rPr>
            </w:pPr>
            <w:r>
              <w:rPr>
                <w:rFonts w:ascii="Arial"/>
                <w:spacing w:val="-1"/>
                <w:sz w:val="20"/>
              </w:rPr>
              <w:t>28,555,713</w:t>
            </w:r>
            <w:r>
              <w:rPr>
                <w:rFonts w:ascii="Arial"/>
                <w:sz w:val="20"/>
              </w:rPr>
            </w:r>
          </w:p>
        </w:tc>
        <w:tc>
          <w:tcPr>
            <w:tcW w:w="1353" w:type="dxa"/>
            <w:tcBorders>
              <w:top w:val="nil" w:sz="6" w:space="0" w:color="auto"/>
              <w:left w:val="nil" w:sz="6" w:space="0" w:color="auto"/>
              <w:bottom w:val="nil" w:sz="6" w:space="0" w:color="auto"/>
              <w:right w:val="nil" w:sz="6" w:space="0" w:color="auto"/>
            </w:tcBorders>
          </w:tcPr>
          <w:p>
            <w:pPr>
              <w:pStyle w:val="TableParagraph"/>
              <w:spacing w:line="213" w:lineRule="exact"/>
              <w:ind w:right="228"/>
              <w:jc w:val="right"/>
              <w:rPr>
                <w:rFonts w:ascii="Arial" w:hAnsi="Arial" w:cs="Arial" w:eastAsia="Arial" w:hint="default"/>
                <w:sz w:val="20"/>
                <w:szCs w:val="20"/>
              </w:rPr>
            </w:pPr>
            <w:r>
              <w:rPr>
                <w:rFonts w:ascii="Arial"/>
                <w:w w:val="99"/>
                <w:sz w:val="20"/>
              </w:rPr>
              <w:t>-</w:t>
            </w:r>
            <w:r>
              <w:rPr>
                <w:rFonts w:ascii="Arial"/>
                <w:sz w:val="20"/>
              </w:rPr>
            </w:r>
          </w:p>
        </w:tc>
        <w:tc>
          <w:tcPr>
            <w:tcW w:w="1182" w:type="dxa"/>
            <w:tcBorders>
              <w:top w:val="nil" w:sz="6" w:space="0" w:color="auto"/>
              <w:left w:val="nil" w:sz="6" w:space="0" w:color="auto"/>
              <w:bottom w:val="nil" w:sz="6" w:space="0" w:color="auto"/>
              <w:right w:val="nil" w:sz="6" w:space="0" w:color="auto"/>
            </w:tcBorders>
          </w:tcPr>
          <w:p>
            <w:pPr>
              <w:pStyle w:val="TableParagraph"/>
              <w:spacing w:line="213" w:lineRule="exact"/>
              <w:ind w:right="152"/>
              <w:jc w:val="right"/>
              <w:rPr>
                <w:rFonts w:ascii="Arial" w:hAnsi="Arial" w:cs="Arial" w:eastAsia="Arial" w:hint="default"/>
                <w:sz w:val="20"/>
                <w:szCs w:val="20"/>
              </w:rPr>
            </w:pPr>
            <w:r>
              <w:rPr>
                <w:rFonts w:ascii="Arial"/>
                <w:w w:val="99"/>
                <w:sz w:val="20"/>
              </w:rPr>
              <w:t>-</w:t>
            </w:r>
            <w:r>
              <w:rPr>
                <w:rFonts w:ascii="Arial"/>
                <w:sz w:val="20"/>
              </w:rPr>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31"/>
              <w:jc w:val="right"/>
              <w:rPr>
                <w:rFonts w:ascii="Arial" w:hAnsi="Arial" w:cs="Arial" w:eastAsia="Arial" w:hint="default"/>
                <w:sz w:val="20"/>
                <w:szCs w:val="20"/>
              </w:rPr>
            </w:pPr>
            <w:r>
              <w:rPr>
                <w:rFonts w:ascii="Arial"/>
                <w:spacing w:val="-1"/>
                <w:sz w:val="20"/>
              </w:rPr>
              <w:t>28,555,713</w:t>
            </w:r>
            <w:r>
              <w:rPr>
                <w:rFonts w:ascii="Arial"/>
                <w:sz w:val="20"/>
              </w:rPr>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
              <w:jc w:val="right"/>
              <w:rPr>
                <w:rFonts w:ascii="Arial" w:hAnsi="Arial" w:cs="Arial" w:eastAsia="Arial" w:hint="default"/>
                <w:sz w:val="20"/>
                <w:szCs w:val="20"/>
              </w:rPr>
            </w:pPr>
            <w:r>
              <w:rPr>
                <w:rFonts w:ascii="Arial"/>
                <w:w w:val="99"/>
                <w:sz w:val="20"/>
              </w:rPr>
              <w:t>-</w:t>
            </w:r>
            <w:r>
              <w:rPr>
                <w:rFonts w:ascii="Arial"/>
                <w:sz w:val="20"/>
              </w:rPr>
            </w:r>
          </w:p>
        </w:tc>
        <w:tc>
          <w:tcPr>
            <w:tcW w:w="268" w:type="dxa"/>
            <w:tcBorders>
              <w:top w:val="nil" w:sz="6" w:space="0" w:color="auto"/>
              <w:left w:val="nil" w:sz="6" w:space="0" w:color="auto"/>
              <w:bottom w:val="nil" w:sz="6" w:space="0" w:color="auto"/>
              <w:right w:val="nil" w:sz="6" w:space="0" w:color="auto"/>
            </w:tcBorders>
          </w:tcPr>
          <w:p>
            <w:pPr/>
          </w:p>
        </w:tc>
      </w:tr>
      <w:tr>
        <w:trPr>
          <w:trHeight w:val="258" w:hRule="exact"/>
        </w:trPr>
        <w:tc>
          <w:tcPr>
            <w:tcW w:w="2024"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黑体" w:hAnsi="黑体" w:cs="黑体" w:eastAsia="黑体" w:hint="default"/>
                <w:sz w:val="20"/>
                <w:szCs w:val="20"/>
              </w:rPr>
            </w:pPr>
            <w:r>
              <w:rPr>
                <w:rFonts w:ascii="黑体" w:hAnsi="黑体" w:cs="黑体" w:eastAsia="黑体" w:hint="default"/>
                <w:sz w:val="20"/>
                <w:szCs w:val="20"/>
              </w:rPr>
              <w:t>广州安易及江门安易</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33"/>
              <w:jc w:val="right"/>
              <w:rPr>
                <w:rFonts w:ascii="Arial" w:hAnsi="Arial" w:cs="Arial" w:eastAsia="Arial" w:hint="default"/>
                <w:sz w:val="20"/>
                <w:szCs w:val="20"/>
              </w:rPr>
            </w:pPr>
            <w:r>
              <w:rPr>
                <w:rFonts w:ascii="Arial"/>
                <w:spacing w:val="-1"/>
                <w:sz w:val="20"/>
              </w:rPr>
              <w:t>14,807,958</w:t>
            </w:r>
            <w:r>
              <w:rPr>
                <w:rFonts w:ascii="Arial"/>
                <w:sz w:val="20"/>
              </w:rPr>
            </w:r>
          </w:p>
        </w:tc>
        <w:tc>
          <w:tcPr>
            <w:tcW w:w="1353" w:type="dxa"/>
            <w:tcBorders>
              <w:top w:val="nil" w:sz="6" w:space="0" w:color="auto"/>
              <w:left w:val="nil" w:sz="6" w:space="0" w:color="auto"/>
              <w:bottom w:val="nil" w:sz="6" w:space="0" w:color="auto"/>
              <w:right w:val="nil" w:sz="6" w:space="0" w:color="auto"/>
            </w:tcBorders>
          </w:tcPr>
          <w:p>
            <w:pPr>
              <w:pStyle w:val="TableParagraph"/>
              <w:spacing w:line="215" w:lineRule="exact"/>
              <w:ind w:right="228"/>
              <w:jc w:val="right"/>
              <w:rPr>
                <w:rFonts w:ascii="Arial" w:hAnsi="Arial" w:cs="Arial" w:eastAsia="Arial" w:hint="default"/>
                <w:sz w:val="20"/>
                <w:szCs w:val="20"/>
              </w:rPr>
            </w:pPr>
            <w:r>
              <w:rPr>
                <w:rFonts w:ascii="Arial"/>
                <w:w w:val="99"/>
                <w:sz w:val="20"/>
              </w:rPr>
              <w:t>-</w:t>
            </w:r>
            <w:r>
              <w:rPr>
                <w:rFonts w:ascii="Arial"/>
                <w:sz w:val="20"/>
              </w:rPr>
            </w:r>
          </w:p>
        </w:tc>
        <w:tc>
          <w:tcPr>
            <w:tcW w:w="1182" w:type="dxa"/>
            <w:tcBorders>
              <w:top w:val="nil" w:sz="6" w:space="0" w:color="auto"/>
              <w:left w:val="nil" w:sz="6" w:space="0" w:color="auto"/>
              <w:bottom w:val="nil" w:sz="6" w:space="0" w:color="auto"/>
              <w:right w:val="nil" w:sz="6" w:space="0" w:color="auto"/>
            </w:tcBorders>
          </w:tcPr>
          <w:p>
            <w:pPr>
              <w:pStyle w:val="TableParagraph"/>
              <w:spacing w:line="215" w:lineRule="exact"/>
              <w:ind w:right="152"/>
              <w:jc w:val="right"/>
              <w:rPr>
                <w:rFonts w:ascii="Arial" w:hAnsi="Arial" w:cs="Arial" w:eastAsia="Arial" w:hint="default"/>
                <w:sz w:val="20"/>
                <w:szCs w:val="20"/>
              </w:rPr>
            </w:pPr>
            <w:r>
              <w:rPr>
                <w:rFonts w:ascii="Arial"/>
                <w:w w:val="99"/>
                <w:sz w:val="20"/>
              </w:rPr>
              <w:t>-</w:t>
            </w:r>
            <w:r>
              <w:rPr>
                <w:rFonts w:ascii="Arial"/>
                <w:sz w:val="20"/>
              </w:rPr>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31"/>
              <w:jc w:val="right"/>
              <w:rPr>
                <w:rFonts w:ascii="Arial" w:hAnsi="Arial" w:cs="Arial" w:eastAsia="Arial" w:hint="default"/>
                <w:sz w:val="20"/>
                <w:szCs w:val="20"/>
              </w:rPr>
            </w:pPr>
            <w:r>
              <w:rPr>
                <w:rFonts w:ascii="Arial"/>
                <w:spacing w:val="-1"/>
                <w:sz w:val="20"/>
              </w:rPr>
              <w:t>14,807,958</w:t>
            </w:r>
            <w:r>
              <w:rPr>
                <w:rFonts w:ascii="Arial"/>
                <w:sz w:val="20"/>
              </w:rPr>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
              <w:jc w:val="right"/>
              <w:rPr>
                <w:rFonts w:ascii="Arial" w:hAnsi="Arial" w:cs="Arial" w:eastAsia="Arial" w:hint="default"/>
                <w:sz w:val="20"/>
                <w:szCs w:val="20"/>
              </w:rPr>
            </w:pPr>
            <w:r>
              <w:rPr>
                <w:rFonts w:ascii="Arial"/>
                <w:w w:val="99"/>
                <w:sz w:val="20"/>
              </w:rPr>
              <w:t>-</w:t>
            </w:r>
            <w:r>
              <w:rPr>
                <w:rFonts w:ascii="Arial"/>
                <w:sz w:val="20"/>
              </w:rPr>
            </w:r>
          </w:p>
        </w:tc>
        <w:tc>
          <w:tcPr>
            <w:tcW w:w="268" w:type="dxa"/>
            <w:tcBorders>
              <w:top w:val="nil" w:sz="6" w:space="0" w:color="auto"/>
              <w:left w:val="nil" w:sz="6" w:space="0" w:color="auto"/>
              <w:bottom w:val="nil" w:sz="6" w:space="0" w:color="auto"/>
              <w:right w:val="nil" w:sz="6" w:space="0" w:color="auto"/>
            </w:tcBorders>
          </w:tcPr>
          <w:p>
            <w:pPr/>
          </w:p>
        </w:tc>
      </w:tr>
      <w:tr>
        <w:trPr>
          <w:trHeight w:val="258" w:hRule="exact"/>
        </w:trPr>
        <w:tc>
          <w:tcPr>
            <w:tcW w:w="2024"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黑体" w:hAnsi="黑体" w:cs="黑体" w:eastAsia="黑体" w:hint="default"/>
                <w:sz w:val="20"/>
                <w:szCs w:val="20"/>
              </w:rPr>
            </w:pPr>
            <w:r>
              <w:rPr>
                <w:rFonts w:ascii="黑体" w:hAnsi="黑体" w:cs="黑体" w:eastAsia="黑体" w:hint="default"/>
                <w:sz w:val="20"/>
                <w:szCs w:val="20"/>
              </w:rPr>
              <w:t>用友医院</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32"/>
              <w:jc w:val="right"/>
              <w:rPr>
                <w:rFonts w:ascii="Arial" w:hAnsi="Arial" w:cs="Arial" w:eastAsia="Arial" w:hint="default"/>
                <w:sz w:val="20"/>
                <w:szCs w:val="20"/>
              </w:rPr>
            </w:pPr>
            <w:r>
              <w:rPr>
                <w:rFonts w:ascii="Arial"/>
                <w:spacing w:val="-1"/>
                <w:sz w:val="20"/>
              </w:rPr>
              <w:t>7,602,648</w:t>
            </w:r>
          </w:p>
        </w:tc>
        <w:tc>
          <w:tcPr>
            <w:tcW w:w="1353" w:type="dxa"/>
            <w:tcBorders>
              <w:top w:val="nil" w:sz="6" w:space="0" w:color="auto"/>
              <w:left w:val="nil" w:sz="6" w:space="0" w:color="auto"/>
              <w:bottom w:val="nil" w:sz="6" w:space="0" w:color="auto"/>
              <w:right w:val="nil" w:sz="6" w:space="0" w:color="auto"/>
            </w:tcBorders>
          </w:tcPr>
          <w:p>
            <w:pPr>
              <w:pStyle w:val="TableParagraph"/>
              <w:spacing w:line="213" w:lineRule="exact"/>
              <w:ind w:right="228"/>
              <w:jc w:val="right"/>
              <w:rPr>
                <w:rFonts w:ascii="Arial" w:hAnsi="Arial" w:cs="Arial" w:eastAsia="Arial" w:hint="default"/>
                <w:sz w:val="20"/>
                <w:szCs w:val="20"/>
              </w:rPr>
            </w:pPr>
            <w:r>
              <w:rPr>
                <w:rFonts w:ascii="Arial"/>
                <w:w w:val="99"/>
                <w:sz w:val="20"/>
              </w:rPr>
              <w:t>-</w:t>
            </w:r>
            <w:r>
              <w:rPr>
                <w:rFonts w:ascii="Arial"/>
                <w:sz w:val="20"/>
              </w:rPr>
            </w:r>
          </w:p>
        </w:tc>
        <w:tc>
          <w:tcPr>
            <w:tcW w:w="1182" w:type="dxa"/>
            <w:tcBorders>
              <w:top w:val="nil" w:sz="6" w:space="0" w:color="auto"/>
              <w:left w:val="nil" w:sz="6" w:space="0" w:color="auto"/>
              <w:bottom w:val="nil" w:sz="6" w:space="0" w:color="auto"/>
              <w:right w:val="nil" w:sz="6" w:space="0" w:color="auto"/>
            </w:tcBorders>
          </w:tcPr>
          <w:p>
            <w:pPr>
              <w:pStyle w:val="TableParagraph"/>
              <w:spacing w:line="213" w:lineRule="exact"/>
              <w:ind w:right="152"/>
              <w:jc w:val="right"/>
              <w:rPr>
                <w:rFonts w:ascii="Arial" w:hAnsi="Arial" w:cs="Arial" w:eastAsia="Arial" w:hint="default"/>
                <w:sz w:val="20"/>
                <w:szCs w:val="20"/>
              </w:rPr>
            </w:pPr>
            <w:r>
              <w:rPr>
                <w:rFonts w:ascii="Arial"/>
                <w:w w:val="99"/>
                <w:sz w:val="20"/>
              </w:rPr>
              <w:t>-</w:t>
            </w:r>
            <w:r>
              <w:rPr>
                <w:rFonts w:ascii="Arial"/>
                <w:sz w:val="20"/>
              </w:rPr>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31"/>
              <w:jc w:val="right"/>
              <w:rPr>
                <w:rFonts w:ascii="Arial" w:hAnsi="Arial" w:cs="Arial" w:eastAsia="Arial" w:hint="default"/>
                <w:sz w:val="20"/>
                <w:szCs w:val="20"/>
              </w:rPr>
            </w:pPr>
            <w:r>
              <w:rPr>
                <w:rFonts w:ascii="Arial"/>
                <w:spacing w:val="-1"/>
                <w:sz w:val="20"/>
              </w:rPr>
              <w:t>7,602,648</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
              <w:jc w:val="right"/>
              <w:rPr>
                <w:rFonts w:ascii="Arial" w:hAnsi="Arial" w:cs="Arial" w:eastAsia="Arial" w:hint="default"/>
                <w:sz w:val="20"/>
                <w:szCs w:val="20"/>
              </w:rPr>
            </w:pPr>
            <w:r>
              <w:rPr>
                <w:rFonts w:ascii="Arial"/>
                <w:w w:val="99"/>
                <w:sz w:val="20"/>
              </w:rPr>
              <w:t>-</w:t>
            </w:r>
            <w:r>
              <w:rPr>
                <w:rFonts w:ascii="Arial"/>
                <w:sz w:val="20"/>
              </w:rPr>
            </w:r>
          </w:p>
        </w:tc>
        <w:tc>
          <w:tcPr>
            <w:tcW w:w="268" w:type="dxa"/>
            <w:tcBorders>
              <w:top w:val="nil" w:sz="6" w:space="0" w:color="auto"/>
              <w:left w:val="nil" w:sz="6" w:space="0" w:color="auto"/>
              <w:bottom w:val="nil" w:sz="6" w:space="0" w:color="auto"/>
              <w:right w:val="nil" w:sz="6" w:space="0" w:color="auto"/>
            </w:tcBorders>
          </w:tcPr>
          <w:p>
            <w:pPr/>
          </w:p>
        </w:tc>
      </w:tr>
      <w:tr>
        <w:trPr>
          <w:trHeight w:val="258" w:hRule="exact"/>
        </w:trPr>
        <w:tc>
          <w:tcPr>
            <w:tcW w:w="2024"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黑体" w:hAnsi="黑体" w:cs="黑体" w:eastAsia="黑体" w:hint="default"/>
                <w:sz w:val="20"/>
                <w:szCs w:val="20"/>
              </w:rPr>
            </w:pPr>
            <w:r>
              <w:rPr>
                <w:rFonts w:ascii="黑体" w:hAnsi="黑体" w:cs="黑体" w:eastAsia="黑体" w:hint="default"/>
                <w:sz w:val="20"/>
                <w:szCs w:val="20"/>
              </w:rPr>
              <w:t>珠海用友</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32"/>
              <w:jc w:val="right"/>
              <w:rPr>
                <w:rFonts w:ascii="Arial" w:hAnsi="Arial" w:cs="Arial" w:eastAsia="Arial" w:hint="default"/>
                <w:sz w:val="20"/>
                <w:szCs w:val="20"/>
              </w:rPr>
            </w:pPr>
            <w:r>
              <w:rPr>
                <w:rFonts w:ascii="Arial"/>
                <w:spacing w:val="-1"/>
                <w:sz w:val="20"/>
              </w:rPr>
              <w:t>4,778,619</w:t>
            </w:r>
          </w:p>
        </w:tc>
        <w:tc>
          <w:tcPr>
            <w:tcW w:w="1353" w:type="dxa"/>
            <w:tcBorders>
              <w:top w:val="nil" w:sz="6" w:space="0" w:color="auto"/>
              <w:left w:val="nil" w:sz="6" w:space="0" w:color="auto"/>
              <w:bottom w:val="nil" w:sz="6" w:space="0" w:color="auto"/>
              <w:right w:val="nil" w:sz="6" w:space="0" w:color="auto"/>
            </w:tcBorders>
          </w:tcPr>
          <w:p>
            <w:pPr>
              <w:pStyle w:val="TableParagraph"/>
              <w:spacing w:line="215" w:lineRule="exact"/>
              <w:ind w:right="228"/>
              <w:jc w:val="right"/>
              <w:rPr>
                <w:rFonts w:ascii="Arial" w:hAnsi="Arial" w:cs="Arial" w:eastAsia="Arial" w:hint="default"/>
                <w:sz w:val="20"/>
                <w:szCs w:val="20"/>
              </w:rPr>
            </w:pPr>
            <w:r>
              <w:rPr>
                <w:rFonts w:ascii="Arial"/>
                <w:w w:val="99"/>
                <w:sz w:val="20"/>
              </w:rPr>
              <w:t>-</w:t>
            </w:r>
            <w:r>
              <w:rPr>
                <w:rFonts w:ascii="Arial"/>
                <w:sz w:val="20"/>
              </w:rPr>
            </w:r>
          </w:p>
        </w:tc>
        <w:tc>
          <w:tcPr>
            <w:tcW w:w="1182" w:type="dxa"/>
            <w:tcBorders>
              <w:top w:val="nil" w:sz="6" w:space="0" w:color="auto"/>
              <w:left w:val="nil" w:sz="6" w:space="0" w:color="auto"/>
              <w:bottom w:val="nil" w:sz="6" w:space="0" w:color="auto"/>
              <w:right w:val="nil" w:sz="6" w:space="0" w:color="auto"/>
            </w:tcBorders>
          </w:tcPr>
          <w:p>
            <w:pPr>
              <w:pStyle w:val="TableParagraph"/>
              <w:spacing w:line="215" w:lineRule="exact"/>
              <w:ind w:right="152"/>
              <w:jc w:val="right"/>
              <w:rPr>
                <w:rFonts w:ascii="Arial" w:hAnsi="Arial" w:cs="Arial" w:eastAsia="Arial" w:hint="default"/>
                <w:sz w:val="20"/>
                <w:szCs w:val="20"/>
              </w:rPr>
            </w:pPr>
            <w:r>
              <w:rPr>
                <w:rFonts w:ascii="Arial"/>
                <w:w w:val="99"/>
                <w:sz w:val="20"/>
              </w:rPr>
              <w:t>-</w:t>
            </w:r>
            <w:r>
              <w:rPr>
                <w:rFonts w:ascii="Arial"/>
                <w:sz w:val="20"/>
              </w:rPr>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31"/>
              <w:jc w:val="right"/>
              <w:rPr>
                <w:rFonts w:ascii="Arial" w:hAnsi="Arial" w:cs="Arial" w:eastAsia="Arial" w:hint="default"/>
                <w:sz w:val="20"/>
                <w:szCs w:val="20"/>
              </w:rPr>
            </w:pPr>
            <w:r>
              <w:rPr>
                <w:rFonts w:ascii="Arial"/>
                <w:spacing w:val="-1"/>
                <w:sz w:val="20"/>
              </w:rPr>
              <w:t>4,778,619</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
              <w:jc w:val="right"/>
              <w:rPr>
                <w:rFonts w:ascii="Arial" w:hAnsi="Arial" w:cs="Arial" w:eastAsia="Arial" w:hint="default"/>
                <w:sz w:val="20"/>
                <w:szCs w:val="20"/>
              </w:rPr>
            </w:pPr>
            <w:r>
              <w:rPr>
                <w:rFonts w:ascii="Arial"/>
                <w:w w:val="99"/>
                <w:sz w:val="20"/>
              </w:rPr>
              <w:t>-</w:t>
            </w:r>
            <w:r>
              <w:rPr>
                <w:rFonts w:ascii="Arial"/>
                <w:sz w:val="20"/>
              </w:rPr>
            </w:r>
          </w:p>
        </w:tc>
        <w:tc>
          <w:tcPr>
            <w:tcW w:w="268" w:type="dxa"/>
            <w:tcBorders>
              <w:top w:val="nil" w:sz="6" w:space="0" w:color="auto"/>
              <w:left w:val="nil" w:sz="6" w:space="0" w:color="auto"/>
              <w:bottom w:val="nil" w:sz="6" w:space="0" w:color="auto"/>
              <w:right w:val="nil" w:sz="6" w:space="0" w:color="auto"/>
            </w:tcBorders>
          </w:tcPr>
          <w:p>
            <w:pPr/>
          </w:p>
        </w:tc>
      </w:tr>
      <w:tr>
        <w:trPr>
          <w:trHeight w:val="258" w:hRule="exact"/>
        </w:trPr>
        <w:tc>
          <w:tcPr>
            <w:tcW w:w="2024"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黑体" w:hAnsi="黑体" w:cs="黑体" w:eastAsia="黑体" w:hint="default"/>
                <w:sz w:val="20"/>
                <w:szCs w:val="20"/>
              </w:rPr>
            </w:pPr>
            <w:r>
              <w:rPr>
                <w:rFonts w:ascii="黑体" w:hAnsi="黑体" w:cs="黑体" w:eastAsia="黑体" w:hint="default"/>
                <w:sz w:val="20"/>
                <w:szCs w:val="20"/>
              </w:rPr>
              <w:t>徐州用友</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32"/>
              <w:jc w:val="right"/>
              <w:rPr>
                <w:rFonts w:ascii="Arial" w:hAnsi="Arial" w:cs="Arial" w:eastAsia="Arial" w:hint="default"/>
                <w:sz w:val="20"/>
                <w:szCs w:val="20"/>
              </w:rPr>
            </w:pPr>
            <w:r>
              <w:rPr>
                <w:rFonts w:ascii="Arial"/>
                <w:spacing w:val="-1"/>
                <w:sz w:val="20"/>
              </w:rPr>
              <w:t>3,497,241</w:t>
            </w:r>
          </w:p>
        </w:tc>
        <w:tc>
          <w:tcPr>
            <w:tcW w:w="1353" w:type="dxa"/>
            <w:tcBorders>
              <w:top w:val="nil" w:sz="6" w:space="0" w:color="auto"/>
              <w:left w:val="nil" w:sz="6" w:space="0" w:color="auto"/>
              <w:bottom w:val="nil" w:sz="6" w:space="0" w:color="auto"/>
              <w:right w:val="nil" w:sz="6" w:space="0" w:color="auto"/>
            </w:tcBorders>
          </w:tcPr>
          <w:p>
            <w:pPr>
              <w:pStyle w:val="TableParagraph"/>
              <w:spacing w:line="213" w:lineRule="exact"/>
              <w:ind w:right="228"/>
              <w:jc w:val="right"/>
              <w:rPr>
                <w:rFonts w:ascii="Arial" w:hAnsi="Arial" w:cs="Arial" w:eastAsia="Arial" w:hint="default"/>
                <w:sz w:val="20"/>
                <w:szCs w:val="20"/>
              </w:rPr>
            </w:pPr>
            <w:r>
              <w:rPr>
                <w:rFonts w:ascii="Arial"/>
                <w:w w:val="99"/>
                <w:sz w:val="20"/>
              </w:rPr>
              <w:t>-</w:t>
            </w:r>
            <w:r>
              <w:rPr>
                <w:rFonts w:ascii="Arial"/>
                <w:sz w:val="20"/>
              </w:rPr>
            </w:r>
          </w:p>
        </w:tc>
        <w:tc>
          <w:tcPr>
            <w:tcW w:w="1182" w:type="dxa"/>
            <w:tcBorders>
              <w:top w:val="nil" w:sz="6" w:space="0" w:color="auto"/>
              <w:left w:val="nil" w:sz="6" w:space="0" w:color="auto"/>
              <w:bottom w:val="nil" w:sz="6" w:space="0" w:color="auto"/>
              <w:right w:val="nil" w:sz="6" w:space="0" w:color="auto"/>
            </w:tcBorders>
          </w:tcPr>
          <w:p>
            <w:pPr>
              <w:pStyle w:val="TableParagraph"/>
              <w:spacing w:line="213" w:lineRule="exact"/>
              <w:ind w:right="152"/>
              <w:jc w:val="right"/>
              <w:rPr>
                <w:rFonts w:ascii="Arial" w:hAnsi="Arial" w:cs="Arial" w:eastAsia="Arial" w:hint="default"/>
                <w:sz w:val="20"/>
                <w:szCs w:val="20"/>
              </w:rPr>
            </w:pPr>
            <w:r>
              <w:rPr>
                <w:rFonts w:ascii="Arial"/>
                <w:w w:val="99"/>
                <w:sz w:val="20"/>
              </w:rPr>
              <w:t>-</w:t>
            </w:r>
            <w:r>
              <w:rPr>
                <w:rFonts w:ascii="Arial"/>
                <w:sz w:val="20"/>
              </w:rPr>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31"/>
              <w:jc w:val="right"/>
              <w:rPr>
                <w:rFonts w:ascii="Arial" w:hAnsi="Arial" w:cs="Arial" w:eastAsia="Arial" w:hint="default"/>
                <w:sz w:val="20"/>
                <w:szCs w:val="20"/>
              </w:rPr>
            </w:pPr>
            <w:r>
              <w:rPr>
                <w:rFonts w:ascii="Arial"/>
                <w:spacing w:val="-1"/>
                <w:sz w:val="20"/>
              </w:rPr>
              <w:t>3,497,241</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
              <w:jc w:val="right"/>
              <w:rPr>
                <w:rFonts w:ascii="Arial" w:hAnsi="Arial" w:cs="Arial" w:eastAsia="Arial" w:hint="default"/>
                <w:sz w:val="20"/>
                <w:szCs w:val="20"/>
              </w:rPr>
            </w:pPr>
            <w:r>
              <w:rPr>
                <w:rFonts w:ascii="Arial"/>
                <w:w w:val="99"/>
                <w:sz w:val="20"/>
              </w:rPr>
              <w:t>-</w:t>
            </w:r>
            <w:r>
              <w:rPr>
                <w:rFonts w:ascii="Arial"/>
                <w:sz w:val="20"/>
              </w:rPr>
            </w:r>
          </w:p>
        </w:tc>
        <w:tc>
          <w:tcPr>
            <w:tcW w:w="268" w:type="dxa"/>
            <w:tcBorders>
              <w:top w:val="nil" w:sz="6" w:space="0" w:color="auto"/>
              <w:left w:val="nil" w:sz="6" w:space="0" w:color="auto"/>
              <w:bottom w:val="nil" w:sz="6" w:space="0" w:color="auto"/>
              <w:right w:val="nil" w:sz="6" w:space="0" w:color="auto"/>
            </w:tcBorders>
          </w:tcPr>
          <w:p>
            <w:pPr/>
          </w:p>
        </w:tc>
      </w:tr>
      <w:tr>
        <w:trPr>
          <w:trHeight w:val="268" w:hRule="exact"/>
        </w:trPr>
        <w:tc>
          <w:tcPr>
            <w:tcW w:w="2024"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黑体" w:hAnsi="黑体" w:cs="黑体" w:eastAsia="黑体" w:hint="default"/>
                <w:sz w:val="20"/>
                <w:szCs w:val="20"/>
              </w:rPr>
            </w:pPr>
            <w:r>
              <w:rPr>
                <w:rFonts w:ascii="黑体" w:hAnsi="黑体" w:cs="黑体" w:eastAsia="黑体" w:hint="default"/>
                <w:sz w:val="20"/>
                <w:szCs w:val="20"/>
              </w:rPr>
              <w:t>常州用友</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32"/>
              <w:jc w:val="right"/>
              <w:rPr>
                <w:rFonts w:ascii="Arial" w:hAnsi="Arial" w:cs="Arial" w:eastAsia="Arial" w:hint="default"/>
                <w:sz w:val="20"/>
                <w:szCs w:val="20"/>
              </w:rPr>
            </w:pPr>
            <w:r>
              <w:rPr>
                <w:rFonts w:ascii="Arial"/>
                <w:spacing w:val="-1"/>
                <w:sz w:val="20"/>
              </w:rPr>
              <w:t>3,115,084</w:t>
            </w:r>
          </w:p>
        </w:tc>
        <w:tc>
          <w:tcPr>
            <w:tcW w:w="1353" w:type="dxa"/>
            <w:tcBorders>
              <w:top w:val="nil" w:sz="6" w:space="0" w:color="auto"/>
              <w:left w:val="nil" w:sz="6" w:space="0" w:color="auto"/>
              <w:bottom w:val="nil" w:sz="6" w:space="0" w:color="auto"/>
              <w:right w:val="nil" w:sz="6" w:space="0" w:color="auto"/>
            </w:tcBorders>
          </w:tcPr>
          <w:p>
            <w:pPr>
              <w:pStyle w:val="TableParagraph"/>
              <w:spacing w:line="215" w:lineRule="exact"/>
              <w:ind w:right="228"/>
              <w:jc w:val="right"/>
              <w:rPr>
                <w:rFonts w:ascii="Arial" w:hAnsi="Arial" w:cs="Arial" w:eastAsia="Arial" w:hint="default"/>
                <w:sz w:val="20"/>
                <w:szCs w:val="20"/>
              </w:rPr>
            </w:pPr>
            <w:r>
              <w:rPr>
                <w:rFonts w:ascii="Arial"/>
                <w:w w:val="99"/>
                <w:sz w:val="20"/>
              </w:rPr>
              <w:t>-</w:t>
            </w:r>
            <w:r>
              <w:rPr>
                <w:rFonts w:ascii="Arial"/>
                <w:sz w:val="20"/>
              </w:rPr>
            </w:r>
          </w:p>
        </w:tc>
        <w:tc>
          <w:tcPr>
            <w:tcW w:w="1182" w:type="dxa"/>
            <w:tcBorders>
              <w:top w:val="nil" w:sz="6" w:space="0" w:color="auto"/>
              <w:left w:val="nil" w:sz="6" w:space="0" w:color="auto"/>
              <w:bottom w:val="nil" w:sz="6" w:space="0" w:color="auto"/>
              <w:right w:val="nil" w:sz="6" w:space="0" w:color="auto"/>
            </w:tcBorders>
          </w:tcPr>
          <w:p>
            <w:pPr>
              <w:pStyle w:val="TableParagraph"/>
              <w:spacing w:line="215" w:lineRule="exact"/>
              <w:ind w:right="152"/>
              <w:jc w:val="right"/>
              <w:rPr>
                <w:rFonts w:ascii="Arial" w:hAnsi="Arial" w:cs="Arial" w:eastAsia="Arial" w:hint="default"/>
                <w:sz w:val="20"/>
                <w:szCs w:val="20"/>
              </w:rPr>
            </w:pPr>
            <w:r>
              <w:rPr>
                <w:rFonts w:ascii="Arial"/>
                <w:w w:val="99"/>
                <w:sz w:val="20"/>
              </w:rPr>
              <w:t>-</w:t>
            </w:r>
            <w:r>
              <w:rPr>
                <w:rFonts w:ascii="Arial"/>
                <w:sz w:val="20"/>
              </w:rPr>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31"/>
              <w:jc w:val="right"/>
              <w:rPr>
                <w:rFonts w:ascii="Arial" w:hAnsi="Arial" w:cs="Arial" w:eastAsia="Arial" w:hint="default"/>
                <w:sz w:val="20"/>
                <w:szCs w:val="20"/>
              </w:rPr>
            </w:pPr>
            <w:r>
              <w:rPr>
                <w:rFonts w:ascii="Arial"/>
                <w:spacing w:val="-1"/>
                <w:sz w:val="20"/>
              </w:rPr>
              <w:t>3,115,084</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
              <w:jc w:val="right"/>
              <w:rPr>
                <w:rFonts w:ascii="Arial" w:hAnsi="Arial" w:cs="Arial" w:eastAsia="Arial" w:hint="default"/>
                <w:sz w:val="20"/>
                <w:szCs w:val="20"/>
              </w:rPr>
            </w:pPr>
            <w:r>
              <w:rPr>
                <w:rFonts w:ascii="Arial"/>
                <w:w w:val="99"/>
                <w:sz w:val="20"/>
              </w:rPr>
              <w:t>-</w:t>
            </w:r>
            <w:r>
              <w:rPr>
                <w:rFonts w:ascii="Arial"/>
                <w:sz w:val="20"/>
              </w:rPr>
            </w:r>
          </w:p>
        </w:tc>
        <w:tc>
          <w:tcPr>
            <w:tcW w:w="268" w:type="dxa"/>
            <w:tcBorders>
              <w:top w:val="nil" w:sz="6" w:space="0" w:color="auto"/>
              <w:left w:val="nil" w:sz="6" w:space="0" w:color="auto"/>
              <w:bottom w:val="nil" w:sz="6" w:space="0" w:color="auto"/>
              <w:right w:val="nil" w:sz="6" w:space="0" w:color="auto"/>
            </w:tcBorders>
          </w:tcPr>
          <w:p>
            <w:pPr/>
          </w:p>
        </w:tc>
      </w:tr>
      <w:tr>
        <w:trPr>
          <w:trHeight w:val="244" w:hRule="exact"/>
        </w:trPr>
        <w:tc>
          <w:tcPr>
            <w:tcW w:w="2024" w:type="dxa"/>
            <w:tcBorders>
              <w:top w:val="nil" w:sz="6" w:space="0" w:color="auto"/>
              <w:left w:val="nil" w:sz="6" w:space="0" w:color="auto"/>
              <w:bottom w:val="nil" w:sz="6" w:space="0" w:color="auto"/>
              <w:right w:val="nil" w:sz="6" w:space="0" w:color="auto"/>
            </w:tcBorders>
          </w:tcPr>
          <w:p>
            <w:pPr>
              <w:pStyle w:val="TableParagraph"/>
              <w:spacing w:line="228" w:lineRule="exact"/>
              <w:ind w:left="200" w:right="0"/>
              <w:jc w:val="left"/>
              <w:rPr>
                <w:rFonts w:ascii="黑体" w:hAnsi="黑体" w:cs="黑体" w:eastAsia="黑体" w:hint="default"/>
                <w:sz w:val="20"/>
                <w:szCs w:val="20"/>
              </w:rPr>
            </w:pPr>
            <w:r>
              <w:rPr>
                <w:rFonts w:ascii="黑体" w:hAnsi="黑体" w:cs="黑体" w:eastAsia="黑体" w:hint="default"/>
                <w:sz w:val="20"/>
                <w:szCs w:val="20"/>
              </w:rPr>
              <w:t>北京伟库</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31"/>
              <w:jc w:val="right"/>
              <w:rPr>
                <w:rFonts w:ascii="Arial" w:hAnsi="Arial" w:cs="Arial" w:eastAsia="Arial" w:hint="default"/>
                <w:sz w:val="20"/>
                <w:szCs w:val="20"/>
              </w:rPr>
            </w:pPr>
            <w:r>
              <w:rPr>
                <w:rFonts w:ascii="Arial"/>
                <w:w w:val="99"/>
                <w:sz w:val="20"/>
              </w:rPr>
              <w:t>-</w:t>
            </w:r>
            <w:r>
              <w:rPr>
                <w:rFonts w:ascii="Arial"/>
                <w:sz w:val="20"/>
              </w:rPr>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29"/>
              <w:jc w:val="right"/>
              <w:rPr>
                <w:rFonts w:ascii="Arial" w:hAnsi="Arial" w:cs="Arial" w:eastAsia="Arial" w:hint="default"/>
                <w:sz w:val="20"/>
                <w:szCs w:val="20"/>
              </w:rPr>
            </w:pPr>
            <w:r>
              <w:rPr>
                <w:rFonts w:ascii="Arial"/>
                <w:spacing w:val="-1"/>
                <w:sz w:val="20"/>
              </w:rPr>
              <w:t>2,896,357</w:t>
            </w:r>
          </w:p>
        </w:tc>
        <w:tc>
          <w:tcPr>
            <w:tcW w:w="1182" w:type="dxa"/>
            <w:tcBorders>
              <w:top w:val="nil" w:sz="6" w:space="0" w:color="auto"/>
              <w:left w:val="nil" w:sz="6" w:space="0" w:color="auto"/>
              <w:bottom w:val="nil" w:sz="6" w:space="0" w:color="auto"/>
              <w:right w:val="nil" w:sz="6" w:space="0" w:color="auto"/>
            </w:tcBorders>
          </w:tcPr>
          <w:p>
            <w:pPr>
              <w:pStyle w:val="TableParagraph"/>
              <w:spacing w:line="223" w:lineRule="exact"/>
              <w:ind w:right="152"/>
              <w:jc w:val="right"/>
              <w:rPr>
                <w:rFonts w:ascii="Arial" w:hAnsi="Arial" w:cs="Arial" w:eastAsia="Arial" w:hint="default"/>
                <w:sz w:val="20"/>
                <w:szCs w:val="20"/>
              </w:rPr>
            </w:pPr>
            <w:r>
              <w:rPr>
                <w:rFonts w:ascii="Arial"/>
                <w:w w:val="99"/>
                <w:sz w:val="20"/>
              </w:rPr>
              <w:t>-</w:t>
            </w:r>
            <w:r>
              <w:rPr>
                <w:rFonts w:ascii="Arial"/>
                <w:sz w:val="20"/>
              </w:rPr>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31"/>
              <w:jc w:val="right"/>
              <w:rPr>
                <w:rFonts w:ascii="Arial" w:hAnsi="Arial" w:cs="Arial" w:eastAsia="Arial" w:hint="default"/>
                <w:sz w:val="20"/>
                <w:szCs w:val="20"/>
              </w:rPr>
            </w:pPr>
            <w:r>
              <w:rPr>
                <w:rFonts w:ascii="Arial"/>
                <w:spacing w:val="-1"/>
                <w:sz w:val="20"/>
              </w:rPr>
              <w:t>2,896,357</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
              <w:jc w:val="right"/>
              <w:rPr>
                <w:rFonts w:ascii="Arial" w:hAnsi="Arial" w:cs="Arial" w:eastAsia="Arial" w:hint="default"/>
                <w:sz w:val="20"/>
                <w:szCs w:val="20"/>
              </w:rPr>
            </w:pPr>
            <w:r>
              <w:rPr>
                <w:rFonts w:ascii="Arial"/>
                <w:w w:val="99"/>
                <w:sz w:val="20"/>
              </w:rPr>
              <w:t>-</w:t>
            </w:r>
            <w:r>
              <w:rPr>
                <w:rFonts w:ascii="Arial"/>
                <w:sz w:val="20"/>
              </w:rPr>
            </w:r>
          </w:p>
        </w:tc>
        <w:tc>
          <w:tcPr>
            <w:tcW w:w="268" w:type="dxa"/>
            <w:tcBorders>
              <w:top w:val="nil" w:sz="6" w:space="0" w:color="auto"/>
              <w:left w:val="nil" w:sz="6" w:space="0" w:color="auto"/>
              <w:bottom w:val="nil" w:sz="6" w:space="0" w:color="auto"/>
              <w:right w:val="nil" w:sz="6" w:space="0" w:color="auto"/>
            </w:tcBorders>
          </w:tcPr>
          <w:p>
            <w:pPr/>
          </w:p>
        </w:tc>
      </w:tr>
      <w:tr>
        <w:trPr>
          <w:trHeight w:val="445" w:hRule="exact"/>
        </w:trPr>
        <w:tc>
          <w:tcPr>
            <w:tcW w:w="2024" w:type="dxa"/>
            <w:tcBorders>
              <w:top w:val="nil" w:sz="6" w:space="0" w:color="auto"/>
              <w:left w:val="nil" w:sz="6" w:space="0" w:color="auto"/>
              <w:bottom w:val="nil" w:sz="6" w:space="0" w:color="auto"/>
              <w:right w:val="nil" w:sz="6" w:space="0" w:color="auto"/>
            </w:tcBorders>
          </w:tcPr>
          <w:p>
            <w:pPr>
              <w:pStyle w:val="TableParagraph"/>
              <w:spacing w:line="220" w:lineRule="exact" w:before="1"/>
              <w:ind w:left="428" w:right="24" w:hanging="228"/>
              <w:jc w:val="left"/>
              <w:rPr>
                <w:rFonts w:ascii="黑体" w:hAnsi="黑体" w:cs="黑体" w:eastAsia="黑体" w:hint="default"/>
                <w:sz w:val="20"/>
                <w:szCs w:val="20"/>
              </w:rPr>
            </w:pPr>
            <w:r>
              <w:rPr>
                <w:rFonts w:ascii="黑体" w:hAnsi="黑体" w:cs="黑体" w:eastAsia="黑体" w:hint="default"/>
                <w:w w:val="95"/>
                <w:sz w:val="20"/>
                <w:szCs w:val="20"/>
              </w:rPr>
              <w:t>用友政务收购参股及</w:t>
            </w:r>
            <w:r>
              <w:rPr>
                <w:rFonts w:ascii="黑体" w:hAnsi="黑体" w:cs="黑体" w:eastAsia="黑体" w:hint="default"/>
                <w:spacing w:val="-9"/>
                <w:w w:val="95"/>
                <w:sz w:val="20"/>
                <w:szCs w:val="20"/>
              </w:rPr>
              <w:t> </w:t>
            </w:r>
            <w:r>
              <w:rPr>
                <w:rFonts w:ascii="黑体" w:hAnsi="黑体" w:cs="黑体" w:eastAsia="黑体" w:hint="default"/>
                <w:spacing w:val="-9"/>
                <w:w w:val="95"/>
                <w:sz w:val="20"/>
                <w:szCs w:val="20"/>
              </w:rPr>
            </w:r>
            <w:r>
              <w:rPr>
                <w:rFonts w:ascii="黑体" w:hAnsi="黑体" w:cs="黑体" w:eastAsia="黑体" w:hint="default"/>
                <w:sz w:val="20"/>
                <w:szCs w:val="20"/>
              </w:rPr>
              <w:t>代理公司</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6"/>
                <w:szCs w:val="16"/>
              </w:rPr>
            </w:pPr>
          </w:p>
          <w:p>
            <w:pPr>
              <w:pStyle w:val="TableParagraph"/>
              <w:spacing w:line="240" w:lineRule="auto"/>
              <w:ind w:right="233"/>
              <w:jc w:val="right"/>
              <w:rPr>
                <w:rFonts w:ascii="Arial" w:hAnsi="Arial" w:cs="Arial" w:eastAsia="Arial" w:hint="default"/>
                <w:sz w:val="20"/>
                <w:szCs w:val="20"/>
              </w:rPr>
            </w:pPr>
            <w:r>
              <w:rPr>
                <w:rFonts w:ascii="Arial"/>
                <w:spacing w:val="-1"/>
                <w:sz w:val="20"/>
              </w:rPr>
              <w:t>12,512,992</w:t>
            </w:r>
            <w:r>
              <w:rPr>
                <w:rFonts w:ascii="Arial"/>
                <w:sz w:val="20"/>
              </w:rPr>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6"/>
                <w:szCs w:val="16"/>
              </w:rPr>
            </w:pPr>
          </w:p>
          <w:p>
            <w:pPr>
              <w:pStyle w:val="TableParagraph"/>
              <w:spacing w:line="240" w:lineRule="auto"/>
              <w:ind w:right="229"/>
              <w:jc w:val="right"/>
              <w:rPr>
                <w:rFonts w:ascii="Arial" w:hAnsi="Arial" w:cs="Arial" w:eastAsia="Arial" w:hint="default"/>
                <w:sz w:val="20"/>
                <w:szCs w:val="20"/>
              </w:rPr>
            </w:pPr>
            <w:r>
              <w:rPr>
                <w:rFonts w:ascii="Arial"/>
                <w:spacing w:val="-1"/>
                <w:sz w:val="20"/>
              </w:rPr>
              <w:t>2,107,652</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6"/>
                <w:szCs w:val="16"/>
              </w:rPr>
            </w:pPr>
          </w:p>
          <w:p>
            <w:pPr>
              <w:pStyle w:val="TableParagraph"/>
              <w:spacing w:line="240" w:lineRule="auto"/>
              <w:ind w:right="152"/>
              <w:jc w:val="right"/>
              <w:rPr>
                <w:rFonts w:ascii="Arial" w:hAnsi="Arial" w:cs="Arial" w:eastAsia="Arial" w:hint="default"/>
                <w:sz w:val="20"/>
                <w:szCs w:val="20"/>
              </w:rPr>
            </w:pPr>
            <w:r>
              <w:rPr>
                <w:rFonts w:ascii="Arial"/>
                <w:w w:val="99"/>
                <w:sz w:val="20"/>
              </w:rPr>
              <w:t>-</w:t>
            </w:r>
            <w:r>
              <w:rPr>
                <w:rFonts w:ascii="Arial"/>
                <w:sz w:val="20"/>
              </w:rPr>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6"/>
                <w:szCs w:val="16"/>
              </w:rPr>
            </w:pPr>
          </w:p>
          <w:p>
            <w:pPr>
              <w:pStyle w:val="TableParagraph"/>
              <w:spacing w:line="240" w:lineRule="auto"/>
              <w:ind w:right="131"/>
              <w:jc w:val="right"/>
              <w:rPr>
                <w:rFonts w:ascii="Arial" w:hAnsi="Arial" w:cs="Arial" w:eastAsia="Arial" w:hint="default"/>
                <w:sz w:val="20"/>
                <w:szCs w:val="20"/>
              </w:rPr>
            </w:pPr>
            <w:r>
              <w:rPr>
                <w:rFonts w:ascii="Arial"/>
                <w:spacing w:val="-1"/>
                <w:sz w:val="20"/>
              </w:rPr>
              <w:t>14,620,644</w:t>
            </w:r>
            <w:r>
              <w:rPr>
                <w:rFonts w:ascii="Arial"/>
                <w:sz w:val="20"/>
              </w:rPr>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6"/>
                <w:szCs w:val="16"/>
              </w:rPr>
            </w:pPr>
          </w:p>
          <w:p>
            <w:pPr>
              <w:pStyle w:val="TableParagraph"/>
              <w:spacing w:line="240" w:lineRule="auto"/>
              <w:ind w:right="-1"/>
              <w:jc w:val="right"/>
              <w:rPr>
                <w:rFonts w:ascii="Arial" w:hAnsi="Arial" w:cs="Arial" w:eastAsia="Arial" w:hint="default"/>
                <w:sz w:val="20"/>
                <w:szCs w:val="20"/>
              </w:rPr>
            </w:pPr>
            <w:r>
              <w:rPr>
                <w:rFonts w:ascii="Arial"/>
                <w:w w:val="99"/>
                <w:sz w:val="20"/>
              </w:rPr>
              <w:t>-</w:t>
            </w:r>
            <w:r>
              <w:rPr>
                <w:rFonts w:ascii="Arial"/>
                <w:sz w:val="20"/>
              </w:rPr>
            </w:r>
          </w:p>
        </w:tc>
        <w:tc>
          <w:tcPr>
            <w:tcW w:w="268" w:type="dxa"/>
            <w:tcBorders>
              <w:top w:val="nil" w:sz="6" w:space="0" w:color="auto"/>
              <w:left w:val="nil" w:sz="6" w:space="0" w:color="auto"/>
              <w:bottom w:val="nil" w:sz="6" w:space="0" w:color="auto"/>
              <w:right w:val="nil" w:sz="6" w:space="0" w:color="auto"/>
            </w:tcBorders>
          </w:tcPr>
          <w:p>
            <w:pPr/>
          </w:p>
        </w:tc>
      </w:tr>
      <w:tr>
        <w:trPr>
          <w:trHeight w:val="258" w:hRule="exact"/>
        </w:trPr>
        <w:tc>
          <w:tcPr>
            <w:tcW w:w="2024"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黑体" w:hAnsi="黑体" w:cs="黑体" w:eastAsia="黑体" w:hint="default"/>
                <w:sz w:val="20"/>
                <w:szCs w:val="20"/>
              </w:rPr>
            </w:pPr>
            <w:r>
              <w:rPr>
                <w:rFonts w:ascii="黑体" w:hAnsi="黑体" w:cs="黑体" w:eastAsia="黑体" w:hint="default"/>
                <w:sz w:val="20"/>
                <w:szCs w:val="20"/>
              </w:rPr>
              <w:t>用友华表</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32"/>
              <w:jc w:val="right"/>
              <w:rPr>
                <w:rFonts w:ascii="Arial" w:hAnsi="Arial" w:cs="Arial" w:eastAsia="Arial" w:hint="default"/>
                <w:sz w:val="20"/>
                <w:szCs w:val="20"/>
              </w:rPr>
            </w:pPr>
            <w:r>
              <w:rPr>
                <w:rFonts w:ascii="Arial"/>
                <w:spacing w:val="-1"/>
                <w:sz w:val="20"/>
              </w:rPr>
              <w:t>1,155,000</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28"/>
              <w:jc w:val="right"/>
              <w:rPr>
                <w:rFonts w:ascii="Arial" w:hAnsi="Arial" w:cs="Arial" w:eastAsia="Arial" w:hint="default"/>
                <w:sz w:val="20"/>
                <w:szCs w:val="20"/>
              </w:rPr>
            </w:pPr>
            <w:r>
              <w:rPr>
                <w:rFonts w:ascii="Arial"/>
                <w:w w:val="99"/>
                <w:sz w:val="20"/>
              </w:rPr>
              <w:t>-</w:t>
            </w:r>
            <w:r>
              <w:rPr>
                <w:rFonts w:ascii="Arial"/>
                <w:sz w:val="20"/>
              </w:rPr>
            </w:r>
          </w:p>
        </w:tc>
        <w:tc>
          <w:tcPr>
            <w:tcW w:w="1182" w:type="dxa"/>
            <w:tcBorders>
              <w:top w:val="nil" w:sz="6" w:space="0" w:color="auto"/>
              <w:left w:val="nil" w:sz="6" w:space="0" w:color="auto"/>
              <w:bottom w:val="nil" w:sz="6" w:space="0" w:color="auto"/>
              <w:right w:val="nil" w:sz="6" w:space="0" w:color="auto"/>
            </w:tcBorders>
          </w:tcPr>
          <w:p>
            <w:pPr>
              <w:pStyle w:val="TableParagraph"/>
              <w:spacing w:line="213" w:lineRule="exact"/>
              <w:ind w:right="152"/>
              <w:jc w:val="right"/>
              <w:rPr>
                <w:rFonts w:ascii="Arial" w:hAnsi="Arial" w:cs="Arial" w:eastAsia="Arial" w:hint="default"/>
                <w:sz w:val="20"/>
                <w:szCs w:val="20"/>
              </w:rPr>
            </w:pPr>
            <w:r>
              <w:rPr>
                <w:rFonts w:ascii="Arial"/>
                <w:w w:val="99"/>
                <w:sz w:val="20"/>
              </w:rPr>
              <w:t>-</w:t>
            </w:r>
            <w:r>
              <w:rPr>
                <w:rFonts w:ascii="Arial"/>
                <w:sz w:val="20"/>
              </w:rPr>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31"/>
              <w:jc w:val="right"/>
              <w:rPr>
                <w:rFonts w:ascii="Arial" w:hAnsi="Arial" w:cs="Arial" w:eastAsia="Arial" w:hint="default"/>
                <w:sz w:val="20"/>
                <w:szCs w:val="20"/>
              </w:rPr>
            </w:pPr>
            <w:r>
              <w:rPr>
                <w:rFonts w:ascii="Arial"/>
                <w:spacing w:val="-1"/>
                <w:sz w:val="20"/>
              </w:rPr>
              <w:t>1,155,000</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
              <w:jc w:val="right"/>
              <w:rPr>
                <w:rFonts w:ascii="Arial" w:hAnsi="Arial" w:cs="Arial" w:eastAsia="Arial" w:hint="default"/>
                <w:sz w:val="20"/>
                <w:szCs w:val="20"/>
              </w:rPr>
            </w:pPr>
            <w:r>
              <w:rPr>
                <w:rFonts w:ascii="Arial"/>
                <w:spacing w:val="-1"/>
                <w:sz w:val="20"/>
              </w:rPr>
              <w:t>(382,200</w:t>
            </w:r>
            <w:r>
              <w:rPr>
                <w:rFonts w:ascii="Arial"/>
                <w:sz w:val="20"/>
              </w:rPr>
            </w:r>
          </w:p>
        </w:tc>
        <w:tc>
          <w:tcPr>
            <w:tcW w:w="26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 w:right="0"/>
              <w:jc w:val="left"/>
              <w:rPr>
                <w:rFonts w:ascii="Arial" w:hAnsi="Arial" w:cs="Arial" w:eastAsia="Arial" w:hint="default"/>
                <w:sz w:val="20"/>
                <w:szCs w:val="20"/>
              </w:rPr>
            </w:pPr>
            <w:r>
              <w:rPr>
                <w:rFonts w:ascii="Arial"/>
                <w:w w:val="99"/>
                <w:sz w:val="20"/>
              </w:rPr>
              <w:t>)</w:t>
            </w:r>
            <w:r>
              <w:rPr>
                <w:rFonts w:ascii="Arial"/>
                <w:sz w:val="20"/>
              </w:rPr>
            </w:r>
          </w:p>
        </w:tc>
      </w:tr>
      <w:tr>
        <w:trPr>
          <w:trHeight w:val="257" w:hRule="exact"/>
        </w:trPr>
        <w:tc>
          <w:tcPr>
            <w:tcW w:w="2024" w:type="dxa"/>
            <w:tcBorders>
              <w:top w:val="nil" w:sz="6" w:space="0" w:color="auto"/>
              <w:left w:val="nil" w:sz="6" w:space="0" w:color="auto"/>
              <w:bottom w:val="nil" w:sz="6" w:space="0" w:color="auto"/>
              <w:right w:val="nil" w:sz="6" w:space="0" w:color="auto"/>
            </w:tcBorders>
          </w:tcPr>
          <w:p>
            <w:pPr>
              <w:pStyle w:val="TableParagraph"/>
              <w:spacing w:line="236" w:lineRule="exact"/>
              <w:ind w:left="200" w:right="0"/>
              <w:jc w:val="left"/>
              <w:rPr>
                <w:rFonts w:ascii="黑体" w:hAnsi="黑体" w:cs="黑体" w:eastAsia="黑体" w:hint="default"/>
                <w:sz w:val="20"/>
                <w:szCs w:val="20"/>
              </w:rPr>
            </w:pPr>
            <w:r>
              <w:rPr>
                <w:rFonts w:ascii="黑体" w:hAnsi="黑体" w:cs="黑体" w:eastAsia="黑体" w:hint="default"/>
                <w:sz w:val="20"/>
                <w:szCs w:val="20"/>
              </w:rPr>
              <w:t>用友政务</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33"/>
              <w:jc w:val="right"/>
              <w:rPr>
                <w:rFonts w:ascii="Arial" w:hAnsi="Arial" w:cs="Arial" w:eastAsia="Arial" w:hint="default"/>
                <w:sz w:val="20"/>
                <w:szCs w:val="20"/>
              </w:rPr>
            </w:pPr>
            <w:r>
              <w:rPr>
                <w:rFonts w:ascii="Arial"/>
                <w:spacing w:val="-1"/>
                <w:sz w:val="20"/>
              </w:rPr>
              <w:t>308,399,874</w:t>
            </w:r>
            <w:r>
              <w:rPr>
                <w:rFonts w:ascii="Arial"/>
                <w:sz w:val="20"/>
              </w:rPr>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28"/>
              <w:jc w:val="right"/>
              <w:rPr>
                <w:rFonts w:ascii="Arial" w:hAnsi="Arial" w:cs="Arial" w:eastAsia="Arial" w:hint="default"/>
                <w:sz w:val="20"/>
                <w:szCs w:val="20"/>
              </w:rPr>
            </w:pPr>
            <w:r>
              <w:rPr>
                <w:rFonts w:ascii="Arial"/>
                <w:w w:val="99"/>
                <w:sz w:val="20"/>
              </w:rPr>
              <w:t>-</w:t>
            </w:r>
            <w:r>
              <w:rPr>
                <w:rFonts w:ascii="Arial"/>
                <w:sz w:val="20"/>
              </w:rPr>
            </w:r>
          </w:p>
        </w:tc>
        <w:tc>
          <w:tcPr>
            <w:tcW w:w="1182" w:type="dxa"/>
            <w:tcBorders>
              <w:top w:val="nil" w:sz="6" w:space="0" w:color="auto"/>
              <w:left w:val="nil" w:sz="6" w:space="0" w:color="auto"/>
              <w:bottom w:val="nil" w:sz="6" w:space="0" w:color="auto"/>
              <w:right w:val="nil" w:sz="6" w:space="0" w:color="auto"/>
            </w:tcBorders>
          </w:tcPr>
          <w:p>
            <w:pPr>
              <w:pStyle w:val="TableParagraph"/>
              <w:spacing w:line="215" w:lineRule="exact"/>
              <w:ind w:right="152"/>
              <w:jc w:val="right"/>
              <w:rPr>
                <w:rFonts w:ascii="Arial" w:hAnsi="Arial" w:cs="Arial" w:eastAsia="Arial" w:hint="default"/>
                <w:sz w:val="20"/>
                <w:szCs w:val="20"/>
              </w:rPr>
            </w:pPr>
            <w:r>
              <w:rPr>
                <w:rFonts w:ascii="Arial"/>
                <w:w w:val="99"/>
                <w:sz w:val="20"/>
              </w:rPr>
              <w:t>-</w:t>
            </w:r>
            <w:r>
              <w:rPr>
                <w:rFonts w:ascii="Arial"/>
                <w:sz w:val="20"/>
              </w:rPr>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1"/>
              <w:jc w:val="right"/>
              <w:rPr>
                <w:rFonts w:ascii="Arial" w:hAnsi="Arial" w:cs="Arial" w:eastAsia="Arial" w:hint="default"/>
                <w:sz w:val="20"/>
                <w:szCs w:val="20"/>
              </w:rPr>
            </w:pPr>
            <w:r>
              <w:rPr>
                <w:rFonts w:ascii="Arial"/>
                <w:spacing w:val="-1"/>
                <w:sz w:val="20"/>
              </w:rPr>
              <w:t>308,399,874</w:t>
            </w:r>
            <w:r>
              <w:rPr>
                <w:rFonts w:ascii="Arial"/>
                <w:sz w:val="20"/>
              </w:rPr>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
              <w:jc w:val="right"/>
              <w:rPr>
                <w:rFonts w:ascii="Arial" w:hAnsi="Arial" w:cs="Arial" w:eastAsia="Arial" w:hint="default"/>
                <w:sz w:val="20"/>
                <w:szCs w:val="20"/>
              </w:rPr>
            </w:pPr>
            <w:r>
              <w:rPr>
                <w:rFonts w:ascii="Arial"/>
                <w:w w:val="99"/>
                <w:sz w:val="20"/>
              </w:rPr>
              <w:t>-</w:t>
            </w:r>
            <w:r>
              <w:rPr>
                <w:rFonts w:ascii="Arial"/>
                <w:sz w:val="20"/>
              </w:rPr>
            </w:r>
          </w:p>
        </w:tc>
        <w:tc>
          <w:tcPr>
            <w:tcW w:w="268" w:type="dxa"/>
            <w:tcBorders>
              <w:top w:val="nil" w:sz="6" w:space="0" w:color="auto"/>
              <w:left w:val="nil" w:sz="6" w:space="0" w:color="auto"/>
              <w:bottom w:val="nil" w:sz="6" w:space="0" w:color="auto"/>
              <w:right w:val="nil" w:sz="6" w:space="0" w:color="auto"/>
            </w:tcBorders>
          </w:tcPr>
          <w:p>
            <w:pPr/>
          </w:p>
        </w:tc>
      </w:tr>
      <w:tr>
        <w:trPr>
          <w:trHeight w:val="272" w:hRule="exact"/>
        </w:trPr>
        <w:tc>
          <w:tcPr>
            <w:tcW w:w="2024"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黑体" w:hAnsi="黑体" w:cs="黑体" w:eastAsia="黑体" w:hint="default"/>
                <w:sz w:val="20"/>
                <w:szCs w:val="20"/>
              </w:rPr>
            </w:pPr>
            <w:r>
              <w:rPr>
                <w:rFonts w:ascii="黑体" w:hAnsi="黑体" w:cs="黑体" w:eastAsia="黑体" w:hint="default"/>
                <w:sz w:val="20"/>
                <w:szCs w:val="20"/>
              </w:rPr>
              <w:t>用友汽车</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33"/>
              <w:jc w:val="right"/>
              <w:rPr>
                <w:rFonts w:ascii="Arial" w:hAnsi="Arial" w:cs="Arial" w:eastAsia="Arial" w:hint="default"/>
                <w:sz w:val="20"/>
                <w:szCs w:val="20"/>
              </w:rPr>
            </w:pPr>
            <w:r>
              <w:rPr>
                <w:rFonts w:ascii="Arial"/>
                <w:spacing w:val="-1"/>
                <w:sz w:val="20"/>
              </w:rPr>
              <w:t>378,396,387</w:t>
            </w:r>
            <w:r>
              <w:rPr>
                <w:rFonts w:ascii="Arial"/>
                <w:sz w:val="20"/>
              </w:rPr>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28"/>
              <w:jc w:val="right"/>
              <w:rPr>
                <w:rFonts w:ascii="Arial" w:hAnsi="Arial" w:cs="Arial" w:eastAsia="Arial" w:hint="default"/>
                <w:sz w:val="20"/>
                <w:szCs w:val="20"/>
              </w:rPr>
            </w:pPr>
            <w:r>
              <w:rPr>
                <w:rFonts w:ascii="Arial"/>
                <w:w w:val="99"/>
                <w:sz w:val="20"/>
              </w:rPr>
              <w:t>-</w:t>
            </w:r>
            <w:r>
              <w:rPr>
                <w:rFonts w:ascii="Arial"/>
                <w:sz w:val="20"/>
              </w:rPr>
            </w:r>
          </w:p>
        </w:tc>
        <w:tc>
          <w:tcPr>
            <w:tcW w:w="1182" w:type="dxa"/>
            <w:tcBorders>
              <w:top w:val="nil" w:sz="6" w:space="0" w:color="auto"/>
              <w:left w:val="nil" w:sz="6" w:space="0" w:color="auto"/>
              <w:bottom w:val="nil" w:sz="6" w:space="0" w:color="auto"/>
              <w:right w:val="nil" w:sz="6" w:space="0" w:color="auto"/>
            </w:tcBorders>
          </w:tcPr>
          <w:p>
            <w:pPr>
              <w:pStyle w:val="TableParagraph"/>
              <w:spacing w:line="215" w:lineRule="exact"/>
              <w:ind w:right="152"/>
              <w:jc w:val="right"/>
              <w:rPr>
                <w:rFonts w:ascii="Arial" w:hAnsi="Arial" w:cs="Arial" w:eastAsia="Arial" w:hint="default"/>
                <w:sz w:val="20"/>
                <w:szCs w:val="20"/>
              </w:rPr>
            </w:pPr>
            <w:r>
              <w:rPr>
                <w:rFonts w:ascii="Arial"/>
                <w:w w:val="99"/>
                <w:sz w:val="20"/>
              </w:rPr>
              <w:t>-</w:t>
            </w:r>
            <w:r>
              <w:rPr>
                <w:rFonts w:ascii="Arial"/>
                <w:sz w:val="20"/>
              </w:rPr>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31"/>
              <w:jc w:val="right"/>
              <w:rPr>
                <w:rFonts w:ascii="Arial" w:hAnsi="Arial" w:cs="Arial" w:eastAsia="Arial" w:hint="default"/>
                <w:sz w:val="20"/>
                <w:szCs w:val="20"/>
              </w:rPr>
            </w:pPr>
            <w:r>
              <w:rPr>
                <w:rFonts w:ascii="Arial"/>
                <w:spacing w:val="-1"/>
                <w:sz w:val="20"/>
              </w:rPr>
              <w:t>378,396,387</w:t>
            </w:r>
            <w:r>
              <w:rPr>
                <w:rFonts w:ascii="Arial"/>
                <w:sz w:val="20"/>
              </w:rPr>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
              <w:jc w:val="right"/>
              <w:rPr>
                <w:rFonts w:ascii="Arial" w:hAnsi="Arial" w:cs="Arial" w:eastAsia="Arial" w:hint="default"/>
                <w:sz w:val="20"/>
                <w:szCs w:val="20"/>
              </w:rPr>
            </w:pPr>
            <w:r>
              <w:rPr>
                <w:rFonts w:ascii="Arial"/>
                <w:w w:val="99"/>
                <w:sz w:val="20"/>
              </w:rPr>
              <w:t>-</w:t>
            </w:r>
            <w:r>
              <w:rPr>
                <w:rFonts w:ascii="Arial"/>
                <w:sz w:val="20"/>
              </w:rPr>
            </w:r>
          </w:p>
        </w:tc>
        <w:tc>
          <w:tcPr>
            <w:tcW w:w="268" w:type="dxa"/>
            <w:tcBorders>
              <w:top w:val="nil" w:sz="6" w:space="0" w:color="auto"/>
              <w:left w:val="nil" w:sz="6" w:space="0" w:color="auto"/>
              <w:bottom w:val="nil" w:sz="6" w:space="0" w:color="auto"/>
              <w:right w:val="nil" w:sz="6" w:space="0" w:color="auto"/>
            </w:tcBorders>
          </w:tcPr>
          <w:p>
            <w:pPr/>
          </w:p>
        </w:tc>
      </w:tr>
      <w:tr>
        <w:trPr>
          <w:trHeight w:val="386" w:hRule="exact"/>
        </w:trPr>
        <w:tc>
          <w:tcPr>
            <w:tcW w:w="2024" w:type="dxa"/>
            <w:tcBorders>
              <w:top w:val="nil" w:sz="6" w:space="0" w:color="auto"/>
              <w:left w:val="nil" w:sz="6" w:space="0" w:color="auto"/>
              <w:bottom w:val="nil" w:sz="6" w:space="0" w:color="auto"/>
              <w:right w:val="nil" w:sz="6" w:space="0" w:color="auto"/>
            </w:tcBorders>
          </w:tcPr>
          <w:p>
            <w:pPr>
              <w:pStyle w:val="TableParagraph"/>
              <w:spacing w:line="223" w:lineRule="exact"/>
              <w:ind w:left="200"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33"/>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1"/>
                <w:sz w:val="20"/>
                <w:u w:val="single" w:color="000000"/>
              </w:rPr>
              <w:t> </w:t>
            </w:r>
            <w:r>
              <w:rPr>
                <w:rFonts w:ascii="Arial"/>
                <w:spacing w:val="-1"/>
                <w:w w:val="95"/>
                <w:sz w:val="20"/>
                <w:u w:val="single" w:color="000000"/>
              </w:rPr>
              <w:t>1,501,048</w:t>
            </w:r>
            <w:r>
              <w:rPr>
                <w:rFonts w:ascii="Arial"/>
                <w:spacing w:val="-1"/>
                <w:w w:val="95"/>
                <w:sz w:val="20"/>
              </w:rPr>
            </w:r>
            <w:r>
              <w:rPr>
                <w:rFonts w:ascii="Arial"/>
                <w:sz w:val="20"/>
              </w:rPr>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29"/>
              <w:jc w:val="right"/>
              <w:rPr>
                <w:rFonts w:ascii="Arial" w:hAnsi="Arial" w:cs="Arial" w:eastAsia="Arial" w:hint="default"/>
                <w:sz w:val="20"/>
                <w:szCs w:val="20"/>
              </w:rPr>
            </w:pPr>
            <w:r>
              <w:rPr>
                <w:rFonts w:ascii="Arial"/>
                <w:w w:val="99"/>
                <w:sz w:val="20"/>
              </w:rPr>
            </w:r>
            <w:r>
              <w:rPr>
                <w:rFonts w:ascii="Arial"/>
                <w:spacing w:val="-1"/>
                <w:sz w:val="20"/>
                <w:u w:val="single" w:color="000000"/>
              </w:rPr>
              <w:t>3,563,105</w:t>
            </w:r>
            <w:r>
              <w:rPr>
                <w:rFonts w:ascii="Arial"/>
                <w:spacing w:val="-1"/>
                <w:sz w:val="20"/>
              </w:rPr>
            </w:r>
          </w:p>
        </w:tc>
        <w:tc>
          <w:tcPr>
            <w:tcW w:w="1182" w:type="dxa"/>
            <w:tcBorders>
              <w:top w:val="nil" w:sz="6" w:space="0" w:color="auto"/>
              <w:left w:val="nil" w:sz="6" w:space="0" w:color="auto"/>
              <w:bottom w:val="nil" w:sz="6" w:space="0" w:color="auto"/>
              <w:right w:val="nil" w:sz="6" w:space="0" w:color="auto"/>
            </w:tcBorders>
          </w:tcPr>
          <w:p>
            <w:pPr>
              <w:pStyle w:val="TableParagraph"/>
              <w:tabs>
                <w:tab w:pos="842" w:val="left" w:leader="none"/>
              </w:tabs>
              <w:spacing w:line="240" w:lineRule="auto" w:before="7"/>
              <w:ind w:right="149"/>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1"/>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1"/>
                <w:sz w:val="20"/>
                <w:u w:val="single" w:color="000000"/>
              </w:rPr>
              <w:t> </w:t>
            </w:r>
            <w:r>
              <w:rPr>
                <w:rFonts w:ascii="Arial"/>
                <w:spacing w:val="-1"/>
                <w:w w:val="95"/>
                <w:sz w:val="20"/>
                <w:u w:val="single" w:color="000000"/>
              </w:rPr>
              <w:t>5,064,153</w:t>
            </w:r>
            <w:r>
              <w:rPr>
                <w:rFonts w:ascii="Arial"/>
                <w:spacing w:val="-1"/>
                <w:w w:val="95"/>
                <w:sz w:val="20"/>
              </w:rPr>
            </w:r>
            <w:r>
              <w:rPr>
                <w:rFonts w:ascii="Arial"/>
                <w:sz w:val="20"/>
              </w:rPr>
            </w:r>
          </w:p>
        </w:tc>
        <w:tc>
          <w:tcPr>
            <w:tcW w:w="931"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7"/>
              <w:ind w:right="-3"/>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268" w:type="dxa"/>
            <w:tcBorders>
              <w:top w:val="nil" w:sz="6" w:space="0" w:color="auto"/>
              <w:left w:val="nil" w:sz="6" w:space="0" w:color="auto"/>
              <w:bottom w:val="nil" w:sz="6" w:space="0" w:color="auto"/>
              <w:right w:val="nil" w:sz="6" w:space="0" w:color="auto"/>
            </w:tcBorders>
          </w:tcPr>
          <w:p>
            <w:pPr/>
          </w:p>
        </w:tc>
      </w:tr>
      <w:tr>
        <w:trPr>
          <w:trHeight w:val="363" w:hRule="exact"/>
        </w:trPr>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00" w:right="0"/>
              <w:jc w:val="left"/>
              <w:rPr>
                <w:rFonts w:ascii="黑体" w:hAnsi="黑体" w:cs="黑体" w:eastAsia="黑体" w:hint="default"/>
                <w:sz w:val="20"/>
                <w:szCs w:val="20"/>
              </w:rPr>
            </w:pPr>
            <w:r>
              <w:rPr>
                <w:rFonts w:ascii="黑体" w:hAnsi="黑体" w:cs="黑体" w:eastAsia="黑体" w:hint="default"/>
                <w:sz w:val="20"/>
                <w:szCs w:val="20"/>
              </w:rPr>
              <w:t>合计</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233"/>
              <w:jc w:val="right"/>
              <w:rPr>
                <w:rFonts w:ascii="Arial" w:hAnsi="Arial" w:cs="Arial" w:eastAsia="Arial" w:hint="default"/>
                <w:sz w:val="20"/>
                <w:szCs w:val="20"/>
              </w:rPr>
            </w:pPr>
            <w:r>
              <w:rPr>
                <w:rFonts w:ascii="Arial"/>
                <w:w w:val="99"/>
                <w:sz w:val="20"/>
              </w:rPr>
            </w:r>
            <w:r>
              <w:rPr>
                <w:rFonts w:ascii="Arial"/>
                <w:spacing w:val="-1"/>
                <w:sz w:val="20"/>
                <w:u w:val="thick" w:color="000000"/>
              </w:rPr>
              <w:t>863,155,975</w:t>
            </w:r>
            <w:r>
              <w:rPr>
                <w:rFonts w:ascii="Arial"/>
                <w:spacing w:val="-1"/>
                <w:sz w:val="20"/>
              </w:rPr>
            </w:r>
            <w:r>
              <w:rPr>
                <w:rFonts w:ascii="Arial"/>
                <w:sz w:val="20"/>
              </w:rPr>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227"/>
              <w:jc w:val="right"/>
              <w:rPr>
                <w:rFonts w:ascii="Arial" w:hAnsi="Arial" w:cs="Arial" w:eastAsia="Arial" w:hint="default"/>
                <w:sz w:val="20"/>
                <w:szCs w:val="20"/>
              </w:rPr>
            </w:pPr>
            <w:r>
              <w:rPr>
                <w:rFonts w:ascii="Arial"/>
                <w:w w:val="99"/>
                <w:sz w:val="20"/>
              </w:rPr>
            </w:r>
            <w:r>
              <w:rPr>
                <w:rFonts w:ascii="Arial"/>
                <w:spacing w:val="-1"/>
                <w:sz w:val="20"/>
                <w:u w:val="thick" w:color="000000"/>
              </w:rPr>
              <w:t>8,567,114</w:t>
            </w:r>
            <w:r>
              <w:rPr>
                <w:rFonts w:ascii="Arial"/>
                <w:spacing w:val="-1"/>
                <w:sz w:val="20"/>
              </w:rPr>
            </w:r>
          </w:p>
        </w:tc>
        <w:tc>
          <w:tcPr>
            <w:tcW w:w="1182" w:type="dxa"/>
            <w:tcBorders>
              <w:top w:val="nil" w:sz="6" w:space="0" w:color="auto"/>
              <w:left w:val="nil" w:sz="6" w:space="0" w:color="auto"/>
              <w:bottom w:val="nil" w:sz="6" w:space="0" w:color="auto"/>
              <w:right w:val="nil" w:sz="6" w:space="0" w:color="auto"/>
            </w:tcBorders>
          </w:tcPr>
          <w:p>
            <w:pPr>
              <w:pStyle w:val="TableParagraph"/>
              <w:tabs>
                <w:tab w:pos="801" w:val="left" w:leader="none"/>
              </w:tabs>
              <w:spacing w:line="240" w:lineRule="auto" w:before="137"/>
              <w:ind w:right="149"/>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w w:val="95"/>
                <w:sz w:val="20"/>
                <w:u w:val="thick" w:color="000000"/>
              </w:rPr>
              <w:t>-</w:t>
            </w:r>
            <w:r>
              <w:rPr>
                <w:rFonts w:ascii="Arial"/>
                <w:w w:val="95"/>
                <w:sz w:val="20"/>
              </w:rPr>
            </w:r>
            <w:r>
              <w:rPr>
                <w:rFonts w:ascii="Arial"/>
                <w:sz w:val="20"/>
              </w:rPr>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131"/>
              <w:jc w:val="right"/>
              <w:rPr>
                <w:rFonts w:ascii="Arial" w:hAnsi="Arial" w:cs="Arial" w:eastAsia="Arial" w:hint="default"/>
                <w:sz w:val="20"/>
                <w:szCs w:val="20"/>
              </w:rPr>
            </w:pPr>
            <w:r>
              <w:rPr>
                <w:rFonts w:ascii="Arial"/>
                <w:w w:val="99"/>
                <w:sz w:val="20"/>
              </w:rPr>
            </w:r>
            <w:r>
              <w:rPr>
                <w:rFonts w:ascii="Arial"/>
                <w:spacing w:val="-1"/>
                <w:sz w:val="20"/>
                <w:u w:val="thick" w:color="000000"/>
              </w:rPr>
              <w:t>871,723,089</w:t>
            </w:r>
            <w:r>
              <w:rPr>
                <w:rFonts w:ascii="Arial"/>
                <w:spacing w:val="-1"/>
                <w:sz w:val="20"/>
              </w:rPr>
            </w:r>
            <w:r>
              <w:rPr>
                <w:rFonts w:ascii="Arial"/>
                <w:sz w:val="20"/>
              </w:rPr>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1"/>
              <w:jc w:val="right"/>
              <w:rPr>
                <w:rFonts w:ascii="Arial" w:hAnsi="Arial" w:cs="Arial" w:eastAsia="Arial" w:hint="default"/>
                <w:sz w:val="20"/>
                <w:szCs w:val="20"/>
              </w:rPr>
            </w:pPr>
            <w:r>
              <w:rPr>
                <w:rFonts w:ascii="Arial"/>
                <w:spacing w:val="-1"/>
                <w:sz w:val="20"/>
              </w:rPr>
              <w:t>(</w:t>
            </w:r>
            <w:r>
              <w:rPr>
                <w:rFonts w:ascii="Arial"/>
                <w:spacing w:val="-1"/>
                <w:sz w:val="20"/>
                <w:u w:val="thick" w:color="000000"/>
              </w:rPr>
              <w:t>382,200</w:t>
            </w:r>
            <w:r>
              <w:rPr>
                <w:rFonts w:ascii="Arial"/>
                <w:spacing w:val="-1"/>
                <w:sz w:val="20"/>
              </w:rPr>
            </w:r>
            <w:r>
              <w:rPr>
                <w:rFonts w:ascii="Arial"/>
                <w:sz w:val="20"/>
              </w:rPr>
            </w:r>
          </w:p>
        </w:tc>
        <w:tc>
          <w:tcPr>
            <w:tcW w:w="268"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1" w:right="0"/>
              <w:jc w:val="left"/>
              <w:rPr>
                <w:rFonts w:ascii="Arial" w:hAnsi="Arial" w:cs="Arial" w:eastAsia="Arial" w:hint="default"/>
                <w:sz w:val="20"/>
                <w:szCs w:val="20"/>
              </w:rPr>
            </w:pPr>
            <w:r>
              <w:rPr>
                <w:rFonts w:ascii="Arial"/>
                <w:w w:val="99"/>
                <w:sz w:val="20"/>
              </w:rPr>
              <w:t>)</w:t>
            </w:r>
            <w:r>
              <w:rPr>
                <w:rFonts w:ascii="Arial"/>
                <w:sz w:val="20"/>
              </w:rPr>
            </w:r>
          </w:p>
        </w:tc>
      </w:tr>
    </w:tbl>
    <w:p>
      <w:pPr>
        <w:spacing w:after="0" w:line="240" w:lineRule="auto"/>
        <w:jc w:val="left"/>
        <w:rPr>
          <w:rFonts w:ascii="Arial" w:hAnsi="Arial" w:cs="Arial" w:eastAsia="Arial" w:hint="default"/>
          <w:sz w:val="20"/>
          <w:szCs w:val="20"/>
        </w:rPr>
        <w:sectPr>
          <w:pgSz w:w="11910" w:h="16850"/>
          <w:pgMar w:header="957" w:footer="830" w:top="2520" w:bottom="1020" w:left="1600" w:right="1060"/>
        </w:sectPr>
      </w:pPr>
    </w:p>
    <w:p>
      <w:pPr>
        <w:spacing w:line="240" w:lineRule="auto" w:before="3"/>
        <w:rPr>
          <w:rFonts w:ascii="黑体" w:hAnsi="黑体" w:cs="黑体" w:eastAsia="黑体" w:hint="default"/>
          <w:sz w:val="21"/>
          <w:szCs w:val="21"/>
        </w:rPr>
      </w:pPr>
    </w:p>
    <w:p>
      <w:pPr>
        <w:pStyle w:val="Heading6"/>
        <w:tabs>
          <w:tab w:pos="804" w:val="left" w:leader="none"/>
        </w:tabs>
        <w:spacing w:line="240" w:lineRule="auto"/>
        <w:ind w:right="3627"/>
        <w:jc w:val="left"/>
        <w:rPr>
          <w:b w:val="0"/>
          <w:bCs w:val="0"/>
        </w:rPr>
      </w:pPr>
      <w:r>
        <w:rPr>
          <w:w w:val="95"/>
        </w:rPr>
        <w:t>五、</w:t>
        <w:tab/>
      </w:r>
      <w:bookmarkStart w:name="五、   合并财务报表主要项目注释（续）" w:id="97"/>
      <w:bookmarkEnd w:id="97"/>
      <w:r>
        <w:rPr/>
        <w:t>合并</w:t>
      </w:r>
      <w:r>
        <w:rPr/>
        <w:t>财务报表主要项目注释（续）</w:t>
      </w:r>
      <w:r>
        <w:rPr>
          <w:b w:val="0"/>
          <w:bCs w:val="0"/>
        </w:rPr>
      </w:r>
    </w:p>
    <w:p>
      <w:pPr>
        <w:spacing w:line="240" w:lineRule="auto" w:before="8"/>
        <w:rPr>
          <w:rFonts w:ascii="黑体" w:hAnsi="黑体" w:cs="黑体" w:eastAsia="黑体" w:hint="default"/>
          <w:b/>
          <w:bCs/>
          <w:sz w:val="15"/>
          <w:szCs w:val="15"/>
        </w:rPr>
      </w:pPr>
    </w:p>
    <w:p>
      <w:pPr>
        <w:tabs>
          <w:tab w:pos="792" w:val="left" w:leader="none"/>
        </w:tabs>
        <w:spacing w:line="408" w:lineRule="auto" w:before="0"/>
        <w:ind w:left="814" w:right="6693" w:hanging="713"/>
        <w:jc w:val="left"/>
        <w:rPr>
          <w:rFonts w:ascii="黑体" w:hAnsi="黑体" w:cs="黑体" w:eastAsia="黑体" w:hint="default"/>
          <w:sz w:val="20"/>
          <w:szCs w:val="20"/>
        </w:rPr>
      </w:pPr>
      <w:r>
        <w:rPr>
          <w:rFonts w:ascii="Arial" w:hAnsi="Arial" w:cs="Arial" w:eastAsia="Arial" w:hint="default"/>
          <w:b/>
          <w:bCs/>
          <w:spacing w:val="-1"/>
          <w:w w:val="95"/>
          <w:sz w:val="20"/>
          <w:szCs w:val="20"/>
        </w:rPr>
        <w:t>14.</w:t>
        <w:tab/>
      </w:r>
      <w:r>
        <w:rPr>
          <w:rFonts w:ascii="黑体" w:hAnsi="黑体" w:cs="黑体" w:eastAsia="黑体" w:hint="default"/>
          <w:b/>
          <w:bCs/>
          <w:spacing w:val="1"/>
          <w:sz w:val="20"/>
          <w:szCs w:val="20"/>
        </w:rPr>
        <w:t>商誉（续</w:t>
      </w:r>
      <w:bookmarkStart w:name="14.   商誉（续）" w:id="98"/>
      <w:bookmarkEnd w:id="98"/>
      <w:r>
        <w:rPr>
          <w:rFonts w:ascii="黑体" w:hAnsi="黑体" w:cs="黑体" w:eastAsia="黑体" w:hint="default"/>
          <w:b/>
          <w:bCs/>
          <w:spacing w:val="1"/>
          <w:sz w:val="20"/>
          <w:szCs w:val="20"/>
        </w:rPr>
        <w:t>）</w:t>
      </w:r>
      <w:r>
        <w:rPr>
          <w:rFonts w:ascii="黑体" w:hAnsi="黑体" w:cs="黑体" w:eastAsia="黑体" w:hint="default"/>
          <w:b/>
          <w:bCs/>
          <w:w w:val="99"/>
          <w:sz w:val="20"/>
          <w:szCs w:val="20"/>
        </w:rPr>
        <w:t> </w:t>
      </w:r>
      <w:r>
        <w:rPr>
          <w:rFonts w:ascii="黑体" w:hAnsi="黑体" w:cs="黑体" w:eastAsia="黑体" w:hint="default"/>
          <w:sz w:val="20"/>
          <w:szCs w:val="20"/>
        </w:rPr>
        <w:t>商誉的减值测试</w:t>
      </w:r>
    </w:p>
    <w:p>
      <w:pPr>
        <w:pStyle w:val="BodyText"/>
        <w:spacing w:line="240" w:lineRule="exact" w:before="120"/>
        <w:ind w:right="112"/>
        <w:jc w:val="both"/>
      </w:pPr>
      <w:r>
        <w:rPr>
          <w:w w:val="95"/>
        </w:rPr>
        <w:t>企业合并取得的商誉主要为收购用友汽车、用友政务所产生的商誉。收购资产及业务取得的</w:t>
      </w:r>
      <w:r>
        <w:rPr>
          <w:spacing w:val="86"/>
          <w:w w:val="95"/>
        </w:rPr>
        <w:t> </w:t>
      </w:r>
      <w:r>
        <w:rPr>
          <w:spacing w:val="86"/>
          <w:w w:val="95"/>
        </w:rPr>
      </w:r>
      <w:r>
        <w:rPr/>
        <w:t>商誉主要为收购其他公司软件著作权及相关业务等所产生的商誉。</w:t>
      </w:r>
    </w:p>
    <w:p>
      <w:pPr>
        <w:spacing w:line="240" w:lineRule="auto" w:before="2"/>
        <w:rPr>
          <w:rFonts w:ascii="黑体" w:hAnsi="黑体" w:cs="黑体" w:eastAsia="黑体" w:hint="default"/>
          <w:sz w:val="15"/>
          <w:szCs w:val="15"/>
        </w:rPr>
      </w:pPr>
    </w:p>
    <w:p>
      <w:pPr>
        <w:pStyle w:val="BodyText"/>
        <w:spacing w:line="240" w:lineRule="auto"/>
        <w:ind w:right="0"/>
        <w:jc w:val="both"/>
      </w:pPr>
      <w:r>
        <w:rPr/>
        <w:t>本公司于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日对上述商誉执行了减值测试。</w:t>
      </w:r>
    </w:p>
    <w:p>
      <w:pPr>
        <w:spacing w:line="240" w:lineRule="auto" w:before="10"/>
        <w:rPr>
          <w:rFonts w:ascii="黑体" w:hAnsi="黑体" w:cs="黑体" w:eastAsia="黑体" w:hint="default"/>
          <w:sz w:val="18"/>
          <w:szCs w:val="18"/>
        </w:rPr>
      </w:pPr>
    </w:p>
    <w:p>
      <w:pPr>
        <w:pStyle w:val="BodyText"/>
        <w:spacing w:line="240" w:lineRule="exact"/>
        <w:ind w:right="110"/>
        <w:jc w:val="both"/>
      </w:pPr>
      <w:r>
        <w:rPr>
          <w:spacing w:val="2"/>
          <w:w w:val="95"/>
        </w:rPr>
        <w:t>本公司对商誉相关资产组的可收回金额采用预计未来现金流量的现值，根据管理层批准的</w:t>
      </w:r>
      <w:r>
        <w:rPr>
          <w:rFonts w:ascii="Arial" w:hAnsi="Arial" w:cs="Arial" w:eastAsia="Arial" w:hint="default"/>
          <w:spacing w:val="2"/>
          <w:w w:val="95"/>
        </w:rPr>
        <w:t>5</w:t>
      </w:r>
      <w:r>
        <w:rPr>
          <w:rFonts w:ascii="Arial" w:hAnsi="Arial" w:cs="Arial" w:eastAsia="Arial" w:hint="default"/>
          <w:spacing w:val="40"/>
          <w:w w:val="95"/>
        </w:rPr>
        <w:t> </w:t>
      </w:r>
      <w:r>
        <w:rPr/>
        <w:t>年期的财务预算基础上的现金流量预测来确定。现金流量预测所用的折现率是</w:t>
      </w:r>
      <w:r>
        <w:rPr>
          <w:rFonts w:ascii="Arial" w:hAnsi="Arial" w:cs="Arial" w:eastAsia="Arial" w:hint="default"/>
        </w:rPr>
        <w:t>12.5%</w:t>
      </w:r>
      <w:r>
        <w:rPr/>
        <w:t>。管理</w:t>
      </w:r>
      <w:r>
        <w:rPr>
          <w:spacing w:val="-97"/>
        </w:rPr>
        <w:t> </w:t>
      </w:r>
      <w:r>
        <w:rPr>
          <w:spacing w:val="-97"/>
        </w:rPr>
      </w:r>
      <w:r>
        <w:rPr>
          <w:w w:val="95"/>
        </w:rPr>
        <w:t>层认为，尽管上述公司或业务所对应的市场需求和客户群体均在稳定增长，但五年以后增长</w:t>
      </w:r>
      <w:r>
        <w:rPr>
          <w:spacing w:val="86"/>
          <w:w w:val="95"/>
        </w:rPr>
        <w:t> </w:t>
      </w:r>
      <w:r>
        <w:rPr>
          <w:spacing w:val="86"/>
          <w:w w:val="95"/>
        </w:rPr>
      </w:r>
      <w:r>
        <w:rPr>
          <w:spacing w:val="2"/>
        </w:rPr>
        <w:t>速度可能会逐渐放缓，且仍将维持在平稳增长的水平，由此，管理层使用</w:t>
      </w:r>
      <w:r>
        <w:rPr>
          <w:rFonts w:ascii="Arial" w:hAnsi="Arial" w:cs="Arial" w:eastAsia="Arial" w:hint="default"/>
          <w:spacing w:val="2"/>
        </w:rPr>
        <w:t>5%</w:t>
      </w:r>
      <w:r>
        <w:rPr>
          <w:spacing w:val="2"/>
        </w:rPr>
        <w:t>的增长率来推</w:t>
      </w:r>
      <w:r>
        <w:rPr>
          <w:spacing w:val="2"/>
          <w:w w:val="99"/>
        </w:rPr>
        <w:t> </w:t>
      </w:r>
      <w:r>
        <w:rPr/>
        <w:t>断五年以后现金流量，管理层相信这一增长率是合理的。</w:t>
      </w:r>
    </w:p>
    <w:p>
      <w:pPr>
        <w:spacing w:line="240" w:lineRule="auto" w:before="5"/>
        <w:rPr>
          <w:rFonts w:ascii="黑体" w:hAnsi="黑体" w:cs="黑体" w:eastAsia="黑体" w:hint="default"/>
          <w:sz w:val="18"/>
          <w:szCs w:val="18"/>
        </w:rPr>
      </w:pPr>
    </w:p>
    <w:p>
      <w:pPr>
        <w:pStyle w:val="BodyText"/>
        <w:spacing w:line="240" w:lineRule="exact"/>
        <w:ind w:right="110"/>
        <w:jc w:val="both"/>
      </w:pPr>
      <w:r>
        <w:rPr>
          <w:spacing w:val="2"/>
        </w:rPr>
        <w:t>计算相关资产组于</w:t>
      </w:r>
      <w:r>
        <w:rPr>
          <w:rFonts w:ascii="Arial" w:hAnsi="Arial" w:cs="Arial" w:eastAsia="Arial" w:hint="default"/>
          <w:spacing w:val="2"/>
        </w:rPr>
        <w:t>2012</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日预计未来现金流量现值采用了假设。以下详述了管理层</w:t>
      </w:r>
      <w:r>
        <w:rPr>
          <w:spacing w:val="2"/>
          <w:w w:val="99"/>
        </w:rPr>
        <w:t> </w:t>
      </w:r>
      <w:r>
        <w:rPr/>
        <w:t>为进行商誉的减值测试，在确定现金流量预测时作出的关键假设：</w:t>
      </w:r>
    </w:p>
    <w:p>
      <w:pPr>
        <w:spacing w:line="240" w:lineRule="auto" w:before="5"/>
        <w:rPr>
          <w:rFonts w:ascii="黑体" w:hAnsi="黑体" w:cs="黑体" w:eastAsia="黑体" w:hint="default"/>
          <w:sz w:val="18"/>
          <w:szCs w:val="18"/>
        </w:rPr>
      </w:pPr>
    </w:p>
    <w:p>
      <w:pPr>
        <w:pStyle w:val="BodyText"/>
        <w:spacing w:line="240" w:lineRule="exact"/>
        <w:ind w:right="110"/>
        <w:jc w:val="both"/>
      </w:pPr>
      <w:r>
        <w:rPr/>
        <w:t>收入增长</w:t>
      </w:r>
      <w:r>
        <w:rPr>
          <w:spacing w:val="-53"/>
        </w:rPr>
        <w:t> </w:t>
      </w:r>
      <w:r>
        <w:rPr>
          <w:rFonts w:ascii="Arial" w:hAnsi="Arial" w:cs="Arial" w:eastAsia="Arial" w:hint="default"/>
          <w:spacing w:val="-2"/>
        </w:rPr>
        <w:t>—</w:t>
      </w:r>
      <w:r>
        <w:rPr>
          <w:spacing w:val="-2"/>
        </w:rPr>
        <w:t>确定基础是在预算年度前一年及历史上实现的收入增长率基础上，根据预计的市</w:t>
      </w:r>
      <w:r>
        <w:rPr>
          <w:w w:val="99"/>
        </w:rPr>
        <w:t> </w:t>
      </w:r>
      <w:r>
        <w:rPr/>
        <w:t>场需求及自身的业务发展及营销战略而保持相应的增长率。</w:t>
      </w:r>
    </w:p>
    <w:p>
      <w:pPr>
        <w:spacing w:line="240" w:lineRule="auto" w:before="5"/>
        <w:rPr>
          <w:rFonts w:ascii="黑体" w:hAnsi="黑体" w:cs="黑体" w:eastAsia="黑体" w:hint="default"/>
          <w:sz w:val="18"/>
          <w:szCs w:val="18"/>
        </w:rPr>
      </w:pPr>
    </w:p>
    <w:p>
      <w:pPr>
        <w:pStyle w:val="BodyText"/>
        <w:spacing w:line="240" w:lineRule="exact"/>
        <w:ind w:right="110"/>
        <w:jc w:val="both"/>
      </w:pPr>
      <w:r>
        <w:rPr/>
        <w:t>预算毛利</w:t>
      </w:r>
      <w:r>
        <w:rPr>
          <w:spacing w:val="-53"/>
        </w:rPr>
        <w:t> </w:t>
      </w:r>
      <w:r>
        <w:rPr>
          <w:rFonts w:ascii="Arial" w:hAnsi="Arial" w:cs="Arial" w:eastAsia="Arial" w:hint="default"/>
          <w:spacing w:val="-2"/>
        </w:rPr>
        <w:t>—</w:t>
      </w:r>
      <w:r>
        <w:rPr>
          <w:spacing w:val="-2"/>
        </w:rPr>
        <w:t>确定基础是在预算年度前一年实现的平均毛利率基础上，根据预计效率的提高及</w:t>
      </w:r>
      <w:r>
        <w:rPr>
          <w:w w:val="99"/>
        </w:rPr>
        <w:t> </w:t>
      </w:r>
      <w:r>
        <w:rPr/>
        <w:t>预计市场开发情况适当提高该平均毛利率。</w:t>
      </w:r>
    </w:p>
    <w:p>
      <w:pPr>
        <w:spacing w:line="240" w:lineRule="auto" w:before="2"/>
        <w:rPr>
          <w:rFonts w:ascii="黑体" w:hAnsi="黑体" w:cs="黑体" w:eastAsia="黑体" w:hint="default"/>
          <w:sz w:val="15"/>
          <w:szCs w:val="15"/>
        </w:rPr>
      </w:pPr>
    </w:p>
    <w:p>
      <w:pPr>
        <w:pStyle w:val="BodyText"/>
        <w:tabs>
          <w:tab w:pos="1661" w:val="left" w:leader="none"/>
        </w:tabs>
        <w:spacing w:line="417" w:lineRule="auto"/>
        <w:ind w:right="2044"/>
        <w:jc w:val="left"/>
      </w:pPr>
      <w:r>
        <w:rPr>
          <w:w w:val="95"/>
        </w:rPr>
        <w:t>折现率</w:t>
        <w:tab/>
      </w:r>
      <w:r>
        <w:rPr>
          <w:rFonts w:ascii="Arial" w:hAnsi="Arial" w:cs="Arial" w:eastAsia="Arial" w:hint="default"/>
        </w:rPr>
        <w:t>—</w:t>
      </w:r>
      <w:r>
        <w:rPr/>
        <w:t>采用的折现率是反映相关资产组特定风险的税前折现率。</w:t>
      </w:r>
      <w:r>
        <w:rPr>
          <w:w w:val="99"/>
        </w:rPr>
        <w:t> </w:t>
      </w:r>
      <w:r>
        <w:rPr/>
        <w:t>分配至关键假设的金额与外部信息一致。</w:t>
      </w:r>
    </w:p>
    <w:p>
      <w:pPr>
        <w:spacing w:after="0" w:line="417" w:lineRule="auto"/>
        <w:jc w:val="left"/>
        <w:sectPr>
          <w:pgSz w:w="11910" w:h="16850"/>
          <w:pgMar w:header="957" w:footer="830" w:top="2520" w:bottom="1020" w:left="1600" w:right="1400"/>
        </w:sectPr>
      </w:pPr>
    </w:p>
    <w:p>
      <w:pPr>
        <w:spacing w:line="240" w:lineRule="auto" w:before="3"/>
        <w:rPr>
          <w:rFonts w:ascii="黑体" w:hAnsi="黑体" w:cs="黑体" w:eastAsia="黑体" w:hint="default"/>
          <w:sz w:val="21"/>
          <w:szCs w:val="21"/>
        </w:rPr>
      </w:pPr>
    </w:p>
    <w:p>
      <w:pPr>
        <w:pStyle w:val="Heading6"/>
        <w:tabs>
          <w:tab w:pos="804" w:val="left" w:leader="none"/>
        </w:tabs>
        <w:spacing w:line="240" w:lineRule="auto"/>
        <w:ind w:right="223"/>
        <w:jc w:val="left"/>
        <w:rPr>
          <w:b w:val="0"/>
          <w:bCs w:val="0"/>
        </w:rPr>
      </w:pPr>
      <w:r>
        <w:rPr>
          <w:w w:val="95"/>
        </w:rPr>
        <w:t>五、</w:t>
        <w:tab/>
      </w:r>
      <w:bookmarkStart w:name="五、   合并财务报表主要项目注释（续）" w:id="99"/>
      <w:bookmarkEnd w:id="99"/>
      <w:r>
        <w:rPr/>
        <w:t>合并</w:t>
      </w:r>
      <w:r>
        <w:rPr/>
        <w:t>财务报表主要项目注释（续）</w:t>
      </w:r>
      <w:r>
        <w:rPr>
          <w:b w:val="0"/>
          <w:bCs w:val="0"/>
        </w:rPr>
      </w:r>
    </w:p>
    <w:p>
      <w:pPr>
        <w:spacing w:line="240" w:lineRule="auto" w:before="10"/>
        <w:rPr>
          <w:rFonts w:ascii="黑体" w:hAnsi="黑体" w:cs="黑体" w:eastAsia="黑体" w:hint="default"/>
          <w:b/>
          <w:bCs/>
          <w:sz w:val="15"/>
          <w:szCs w:val="15"/>
        </w:rPr>
      </w:pPr>
    </w:p>
    <w:p>
      <w:pPr>
        <w:pStyle w:val="Heading6"/>
        <w:tabs>
          <w:tab w:pos="819" w:val="left" w:leader="none"/>
        </w:tabs>
        <w:spacing w:line="240" w:lineRule="auto" w:before="0"/>
        <w:ind w:right="223"/>
        <w:jc w:val="left"/>
        <w:rPr>
          <w:b w:val="0"/>
          <w:bCs w:val="0"/>
        </w:rPr>
      </w:pPr>
      <w:r>
        <w:rPr>
          <w:rFonts w:ascii="Arial" w:hAnsi="Arial" w:cs="Arial" w:eastAsia="Arial" w:hint="default"/>
          <w:spacing w:val="-1"/>
          <w:w w:val="95"/>
        </w:rPr>
        <w:t>15.</w:t>
        <w:tab/>
      </w:r>
      <w:bookmarkStart w:name="15.    长期待摊费用" w:id="100"/>
      <w:bookmarkEnd w:id="100"/>
      <w:r>
        <w:rPr>
          <w:rFonts w:ascii="Arial" w:hAnsi="Arial" w:cs="Arial" w:eastAsia="Arial" w:hint="default"/>
          <w:spacing w:val="-1"/>
          <w:w w:val="95"/>
        </w:rPr>
      </w:r>
      <w:r>
        <w:rPr>
          <w:spacing w:val="2"/>
        </w:rPr>
        <w:t>长期待摊费用</w:t>
      </w:r>
      <w:r>
        <w:rPr>
          <w:b w:val="0"/>
          <w:bCs w:val="0"/>
        </w:rPr>
      </w:r>
    </w:p>
    <w:p>
      <w:pPr>
        <w:spacing w:line="240" w:lineRule="auto" w:before="10"/>
        <w:rPr>
          <w:rFonts w:ascii="黑体" w:hAnsi="黑体" w:cs="黑体" w:eastAsia="黑体" w:hint="default"/>
          <w:b/>
          <w:bCs/>
          <w:sz w:val="17"/>
          <w:szCs w:val="17"/>
        </w:rPr>
      </w:pPr>
    </w:p>
    <w:p>
      <w:pPr>
        <w:pStyle w:val="BodyText"/>
        <w:spacing w:line="240" w:lineRule="auto"/>
        <w:ind w:left="794" w:right="7406"/>
        <w:jc w:val="center"/>
      </w:pPr>
      <w:r>
        <w:rPr>
          <w:rFonts w:ascii="Arial" w:hAnsi="Arial" w:cs="Arial" w:eastAsia="Arial" w:hint="default"/>
        </w:rPr>
        <w:t>2012</w:t>
      </w:r>
      <w:r>
        <w:rPr/>
        <w:t>年</w:t>
      </w:r>
    </w:p>
    <w:p>
      <w:pPr>
        <w:spacing w:line="240" w:lineRule="auto" w:before="9"/>
        <w:rPr>
          <w:rFonts w:ascii="黑体" w:hAnsi="黑体" w:cs="黑体" w:eastAsia="黑体" w:hint="default"/>
          <w:sz w:val="25"/>
          <w:szCs w:val="25"/>
        </w:rPr>
      </w:pPr>
    </w:p>
    <w:tbl>
      <w:tblPr>
        <w:tblW w:w="0" w:type="auto"/>
        <w:jc w:val="left"/>
        <w:tblInd w:w="609" w:type="dxa"/>
        <w:tblLayout w:type="fixed"/>
        <w:tblCellMar>
          <w:top w:w="0" w:type="dxa"/>
          <w:left w:w="0" w:type="dxa"/>
          <w:bottom w:w="0" w:type="dxa"/>
          <w:right w:w="0" w:type="dxa"/>
        </w:tblCellMar>
        <w:tblLook w:val="01E0"/>
      </w:tblPr>
      <w:tblGrid>
        <w:gridCol w:w="1196"/>
        <w:gridCol w:w="1873"/>
        <w:gridCol w:w="1675"/>
        <w:gridCol w:w="1408"/>
        <w:gridCol w:w="438"/>
        <w:gridCol w:w="1555"/>
      </w:tblGrid>
      <w:tr>
        <w:trPr>
          <w:trHeight w:val="400" w:hRule="exact"/>
        </w:trPr>
        <w:tc>
          <w:tcPr>
            <w:tcW w:w="1196"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199" w:lineRule="exact"/>
              <w:ind w:left="705" w:right="0"/>
              <w:jc w:val="left"/>
              <w:rPr>
                <w:rFonts w:ascii="黑体" w:hAnsi="黑体" w:cs="黑体" w:eastAsia="黑体" w:hint="default"/>
                <w:sz w:val="20"/>
                <w:szCs w:val="20"/>
              </w:rPr>
            </w:pPr>
            <w:r>
              <w:rPr>
                <w:rFonts w:ascii="黑体" w:hAnsi="黑体" w:cs="黑体" w:eastAsia="黑体" w:hint="default"/>
                <w:sz w:val="20"/>
                <w:szCs w:val="20"/>
              </w:rPr>
              <w:t>年初数</w:t>
            </w:r>
          </w:p>
        </w:tc>
        <w:tc>
          <w:tcPr>
            <w:tcW w:w="1675" w:type="dxa"/>
            <w:tcBorders>
              <w:top w:val="nil" w:sz="6" w:space="0" w:color="auto"/>
              <w:left w:val="nil" w:sz="6" w:space="0" w:color="auto"/>
              <w:bottom w:val="nil" w:sz="6" w:space="0" w:color="auto"/>
              <w:right w:val="nil" w:sz="6" w:space="0" w:color="auto"/>
            </w:tcBorders>
          </w:tcPr>
          <w:p>
            <w:pPr>
              <w:pStyle w:val="TableParagraph"/>
              <w:spacing w:line="199" w:lineRule="exact"/>
              <w:ind w:left="476" w:right="0"/>
              <w:jc w:val="left"/>
              <w:rPr>
                <w:rFonts w:ascii="黑体" w:hAnsi="黑体" w:cs="黑体" w:eastAsia="黑体" w:hint="default"/>
                <w:sz w:val="20"/>
                <w:szCs w:val="20"/>
              </w:rPr>
            </w:pPr>
            <w:r>
              <w:rPr>
                <w:rFonts w:ascii="黑体" w:hAnsi="黑体" w:cs="黑体" w:eastAsia="黑体" w:hint="default"/>
                <w:sz w:val="20"/>
                <w:szCs w:val="20"/>
              </w:rPr>
              <w:t>本年增加</w:t>
            </w:r>
          </w:p>
        </w:tc>
        <w:tc>
          <w:tcPr>
            <w:tcW w:w="1408" w:type="dxa"/>
            <w:tcBorders>
              <w:top w:val="nil" w:sz="6" w:space="0" w:color="auto"/>
              <w:left w:val="nil" w:sz="6" w:space="0" w:color="auto"/>
              <w:bottom w:val="nil" w:sz="6" w:space="0" w:color="auto"/>
              <w:right w:val="nil" w:sz="6" w:space="0" w:color="auto"/>
            </w:tcBorders>
          </w:tcPr>
          <w:p>
            <w:pPr>
              <w:pStyle w:val="TableParagraph"/>
              <w:spacing w:line="199" w:lineRule="exact"/>
              <w:ind w:right="106"/>
              <w:jc w:val="right"/>
              <w:rPr>
                <w:rFonts w:ascii="黑体" w:hAnsi="黑体" w:cs="黑体" w:eastAsia="黑体" w:hint="default"/>
                <w:sz w:val="20"/>
                <w:szCs w:val="20"/>
              </w:rPr>
            </w:pPr>
            <w:r>
              <w:rPr>
                <w:rFonts w:ascii="黑体" w:hAnsi="黑体" w:cs="黑体" w:eastAsia="黑体" w:hint="default"/>
                <w:w w:val="95"/>
                <w:sz w:val="20"/>
                <w:szCs w:val="20"/>
              </w:rPr>
              <w:t>本年摊销</w:t>
            </w:r>
            <w:r>
              <w:rPr>
                <w:rFonts w:ascii="黑体" w:hAnsi="黑体" w:cs="黑体" w:eastAsia="黑体" w:hint="default"/>
                <w:sz w:val="20"/>
                <w:szCs w:val="20"/>
              </w:rPr>
            </w:r>
          </w:p>
        </w:tc>
        <w:tc>
          <w:tcPr>
            <w:tcW w:w="438"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199" w:lineRule="exact"/>
              <w:ind w:right="291"/>
              <w:jc w:val="right"/>
              <w:rPr>
                <w:rFonts w:ascii="黑体" w:hAnsi="黑体" w:cs="黑体" w:eastAsia="黑体" w:hint="default"/>
                <w:sz w:val="20"/>
                <w:szCs w:val="20"/>
              </w:rPr>
            </w:pPr>
            <w:r>
              <w:rPr>
                <w:rFonts w:ascii="黑体" w:hAnsi="黑体" w:cs="黑体" w:eastAsia="黑体" w:hint="default"/>
                <w:w w:val="95"/>
                <w:sz w:val="20"/>
                <w:szCs w:val="20"/>
              </w:rPr>
              <w:t>年末数</w:t>
            </w:r>
            <w:r>
              <w:rPr>
                <w:rFonts w:ascii="黑体" w:hAnsi="黑体" w:cs="黑体" w:eastAsia="黑体" w:hint="default"/>
                <w:sz w:val="20"/>
                <w:szCs w:val="20"/>
              </w:rPr>
            </w:r>
          </w:p>
        </w:tc>
      </w:tr>
      <w:tr>
        <w:trPr>
          <w:trHeight w:val="454" w:hRule="exact"/>
        </w:trPr>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200" w:right="0"/>
              <w:jc w:val="left"/>
              <w:rPr>
                <w:rFonts w:ascii="黑体" w:hAnsi="黑体" w:cs="黑体" w:eastAsia="黑体" w:hint="default"/>
                <w:sz w:val="20"/>
                <w:szCs w:val="20"/>
              </w:rPr>
            </w:pPr>
            <w:r>
              <w:rPr>
                <w:rFonts w:ascii="黑体" w:hAnsi="黑体" w:cs="黑体" w:eastAsia="黑体" w:hint="default"/>
                <w:sz w:val="20"/>
                <w:szCs w:val="20"/>
              </w:rPr>
              <w:t>装修费</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13"/>
                <w:szCs w:val="13"/>
              </w:rPr>
            </w:pPr>
          </w:p>
          <w:p>
            <w:pPr>
              <w:pStyle w:val="TableParagraph"/>
              <w:spacing w:line="240" w:lineRule="auto"/>
              <w:ind w:left="398" w:right="0"/>
              <w:jc w:val="left"/>
              <w:rPr>
                <w:rFonts w:ascii="Arial" w:hAnsi="Arial" w:cs="Arial" w:eastAsia="Arial" w:hint="default"/>
                <w:sz w:val="20"/>
                <w:szCs w:val="20"/>
              </w:rPr>
            </w:pPr>
            <w:r>
              <w:rPr>
                <w:rFonts w:ascii="Arial"/>
                <w:sz w:val="20"/>
              </w:rPr>
              <w:t>22,025,047</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13"/>
                <w:szCs w:val="13"/>
              </w:rPr>
            </w:pPr>
          </w:p>
          <w:p>
            <w:pPr>
              <w:pStyle w:val="TableParagraph"/>
              <w:spacing w:line="240" w:lineRule="auto"/>
              <w:ind w:left="479" w:right="0"/>
              <w:jc w:val="left"/>
              <w:rPr>
                <w:rFonts w:ascii="Arial" w:hAnsi="Arial" w:cs="Arial" w:eastAsia="Arial" w:hint="default"/>
                <w:sz w:val="20"/>
                <w:szCs w:val="20"/>
              </w:rPr>
            </w:pPr>
            <w:r>
              <w:rPr>
                <w:rFonts w:ascii="Arial"/>
                <w:sz w:val="20"/>
              </w:rPr>
              <w:t>6,999,336</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13"/>
                <w:szCs w:val="13"/>
              </w:rPr>
            </w:pPr>
          </w:p>
          <w:p>
            <w:pPr>
              <w:pStyle w:val="TableParagraph"/>
              <w:spacing w:line="240" w:lineRule="auto"/>
              <w:ind w:right="12"/>
              <w:jc w:val="right"/>
              <w:rPr>
                <w:rFonts w:ascii="Arial" w:hAnsi="Arial" w:cs="Arial" w:eastAsia="Arial" w:hint="default"/>
                <w:sz w:val="20"/>
                <w:szCs w:val="20"/>
              </w:rPr>
            </w:pPr>
            <w:r>
              <w:rPr>
                <w:rFonts w:ascii="Arial"/>
                <w:spacing w:val="-1"/>
                <w:sz w:val="20"/>
              </w:rPr>
              <w:t>(10,578,886</w:t>
            </w:r>
            <w:r>
              <w:rPr>
                <w:rFonts w:ascii="Arial"/>
                <w:sz w:val="20"/>
              </w:rPr>
            </w:r>
          </w:p>
        </w:tc>
        <w:tc>
          <w:tcPr>
            <w:tcW w:w="43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13"/>
                <w:szCs w:val="13"/>
              </w:rPr>
            </w:pPr>
          </w:p>
          <w:p>
            <w:pPr>
              <w:pStyle w:val="TableParagraph"/>
              <w:spacing w:line="240" w:lineRule="auto"/>
              <w:ind w:left="14" w:right="0"/>
              <w:jc w:val="left"/>
              <w:rPr>
                <w:rFonts w:ascii="Arial" w:hAnsi="Arial" w:cs="Arial" w:eastAsia="Arial" w:hint="default"/>
                <w:sz w:val="20"/>
                <w:szCs w:val="20"/>
              </w:rPr>
            </w:pPr>
            <w:r>
              <w:rPr>
                <w:rFonts w:ascii="Arial"/>
                <w:w w:val="99"/>
                <w:sz w:val="20"/>
              </w:rPr>
              <w:t>)</w:t>
            </w:r>
            <w:r>
              <w:rPr>
                <w:rFonts w:ascii="Arial"/>
                <w:sz w:val="20"/>
              </w:rPr>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13"/>
                <w:szCs w:val="13"/>
              </w:rPr>
            </w:pPr>
          </w:p>
          <w:p>
            <w:pPr>
              <w:pStyle w:val="TableParagraph"/>
              <w:spacing w:line="240" w:lineRule="auto"/>
              <w:ind w:right="199"/>
              <w:jc w:val="right"/>
              <w:rPr>
                <w:rFonts w:ascii="Arial" w:hAnsi="Arial" w:cs="Arial" w:eastAsia="Arial" w:hint="default"/>
                <w:sz w:val="20"/>
                <w:szCs w:val="20"/>
              </w:rPr>
            </w:pPr>
            <w:r>
              <w:rPr>
                <w:rFonts w:ascii="Arial"/>
                <w:spacing w:val="-1"/>
                <w:sz w:val="20"/>
              </w:rPr>
              <w:t>18,445,497</w:t>
            </w:r>
            <w:r>
              <w:rPr>
                <w:rFonts w:ascii="Arial"/>
                <w:sz w:val="20"/>
              </w:rPr>
            </w:r>
          </w:p>
        </w:tc>
      </w:tr>
      <w:tr>
        <w:trPr>
          <w:trHeight w:val="454" w:hRule="exact"/>
        </w:trPr>
        <w:tc>
          <w:tcPr>
            <w:tcW w:w="1196" w:type="dxa"/>
            <w:tcBorders>
              <w:top w:val="nil" w:sz="6" w:space="0" w:color="auto"/>
              <w:left w:val="nil" w:sz="6" w:space="0" w:color="auto"/>
              <w:bottom w:val="nil" w:sz="6" w:space="0" w:color="auto"/>
              <w:right w:val="nil" w:sz="6" w:space="0" w:color="auto"/>
            </w:tcBorders>
          </w:tcPr>
          <w:p>
            <w:pPr>
              <w:pStyle w:val="TableParagraph"/>
              <w:spacing w:line="246" w:lineRule="exact"/>
              <w:ind w:left="200"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98" w:right="0"/>
              <w:jc w:val="left"/>
              <w:rPr>
                <w:rFonts w:ascii="Arial" w:hAnsi="Arial" w:cs="Arial" w:eastAsia="Arial" w:hint="default"/>
                <w:sz w:val="20"/>
                <w:szCs w:val="20"/>
              </w:rPr>
            </w:pPr>
            <w:r>
              <w:rPr>
                <w:rFonts w:ascii="Arial"/>
                <w:w w:val="99"/>
                <w:sz w:val="20"/>
              </w:rPr>
            </w:r>
            <w:r>
              <w:rPr>
                <w:rFonts w:ascii="Arial"/>
                <w:sz w:val="20"/>
                <w:u w:val="single" w:color="000000"/>
              </w:rPr>
              <w:t>18,025,515</w:t>
            </w:r>
            <w:r>
              <w:rPr>
                <w:rFonts w:ascii="Arial"/>
                <w:sz w:val="20"/>
              </w:rPr>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79" w:right="0"/>
              <w:jc w:val="left"/>
              <w:rPr>
                <w:rFonts w:ascii="Arial" w:hAnsi="Arial" w:cs="Arial" w:eastAsia="Arial" w:hint="default"/>
                <w:sz w:val="20"/>
                <w:szCs w:val="20"/>
              </w:rPr>
            </w:pPr>
            <w:r>
              <w:rPr>
                <w:rFonts w:ascii="Arial"/>
                <w:w w:val="99"/>
                <w:sz w:val="20"/>
              </w:rPr>
            </w:r>
            <w:r>
              <w:rPr>
                <w:rFonts w:ascii="Arial"/>
                <w:sz w:val="20"/>
                <w:u w:val="single" w:color="000000"/>
              </w:rPr>
              <w:t>2,034,692</w:t>
            </w:r>
            <w:r>
              <w:rPr>
                <w:rFonts w:ascii="Arial"/>
                <w:sz w:val="20"/>
              </w:rPr>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
              <w:jc w:val="right"/>
              <w:rPr>
                <w:rFonts w:ascii="Arial" w:hAnsi="Arial" w:cs="Arial" w:eastAsia="Arial" w:hint="default"/>
                <w:sz w:val="20"/>
                <w:szCs w:val="20"/>
              </w:rPr>
            </w:pPr>
            <w:r>
              <w:rPr>
                <w:rFonts w:ascii="Arial"/>
                <w:sz w:val="20"/>
              </w:rPr>
              <w:t>( </w:t>
            </w:r>
            <w:r>
              <w:rPr>
                <w:rFonts w:ascii="Arial"/>
                <w:spacing w:val="11"/>
                <w:sz w:val="20"/>
              </w:rPr>
              <w:t> </w:t>
            </w:r>
            <w:r>
              <w:rPr>
                <w:rFonts w:ascii="Arial"/>
                <w:spacing w:val="11"/>
                <w:sz w:val="20"/>
                <w:u w:val="single" w:color="000000"/>
              </w:rPr>
              <w:t> </w:t>
            </w:r>
            <w:r>
              <w:rPr>
                <w:rFonts w:ascii="Arial"/>
                <w:sz w:val="20"/>
                <w:u w:val="single" w:color="000000"/>
              </w:rPr>
              <w:t>5,493,545</w:t>
            </w:r>
            <w:r>
              <w:rPr>
                <w:rFonts w:ascii="Arial"/>
                <w:sz w:val="20"/>
              </w:rPr>
            </w:r>
          </w:p>
        </w:tc>
        <w:tc>
          <w:tcPr>
            <w:tcW w:w="43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Arial" w:hAnsi="Arial" w:cs="Arial" w:eastAsia="Arial" w:hint="default"/>
                <w:sz w:val="20"/>
                <w:szCs w:val="20"/>
              </w:rPr>
            </w:pPr>
            <w:r>
              <w:rPr>
                <w:rFonts w:ascii="Arial"/>
                <w:w w:val="99"/>
                <w:sz w:val="20"/>
              </w:rPr>
              <w:t>)</w:t>
            </w:r>
            <w:r>
              <w:rPr>
                <w:rFonts w:ascii="Arial"/>
                <w:sz w:val="20"/>
              </w:rPr>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99"/>
              <w:jc w:val="right"/>
              <w:rPr>
                <w:rFonts w:ascii="Arial" w:hAnsi="Arial" w:cs="Arial" w:eastAsia="Arial" w:hint="default"/>
                <w:sz w:val="20"/>
                <w:szCs w:val="20"/>
              </w:rPr>
            </w:pPr>
            <w:r>
              <w:rPr>
                <w:rFonts w:ascii="Arial"/>
                <w:w w:val="99"/>
                <w:sz w:val="20"/>
              </w:rPr>
            </w:r>
            <w:r>
              <w:rPr>
                <w:rFonts w:ascii="Arial"/>
                <w:spacing w:val="-1"/>
                <w:sz w:val="20"/>
                <w:u w:val="single" w:color="000000"/>
              </w:rPr>
              <w:t>14,566,662</w:t>
            </w:r>
            <w:r>
              <w:rPr>
                <w:rFonts w:ascii="Arial"/>
                <w:spacing w:val="-1"/>
                <w:sz w:val="20"/>
              </w:rPr>
            </w:r>
            <w:r>
              <w:rPr>
                <w:rFonts w:ascii="Arial"/>
                <w:sz w:val="20"/>
              </w:rPr>
            </w:r>
          </w:p>
        </w:tc>
      </w:tr>
      <w:tr>
        <w:trPr>
          <w:trHeight w:val="400" w:hRule="exact"/>
        </w:trPr>
        <w:tc>
          <w:tcPr>
            <w:tcW w:w="1196"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398" w:right="0"/>
              <w:jc w:val="left"/>
              <w:rPr>
                <w:rFonts w:ascii="Arial" w:hAnsi="Arial" w:cs="Arial" w:eastAsia="Arial" w:hint="default"/>
                <w:sz w:val="20"/>
                <w:szCs w:val="20"/>
              </w:rPr>
            </w:pPr>
            <w:r>
              <w:rPr>
                <w:rFonts w:ascii="Arial"/>
                <w:w w:val="99"/>
                <w:sz w:val="20"/>
              </w:rPr>
            </w:r>
            <w:r>
              <w:rPr>
                <w:rFonts w:ascii="Arial"/>
                <w:sz w:val="20"/>
                <w:u w:val="thick" w:color="000000"/>
              </w:rPr>
              <w:t>40,050,562</w:t>
            </w:r>
            <w:r>
              <w:rPr>
                <w:rFonts w:ascii="Arial"/>
                <w:sz w:val="20"/>
              </w:rPr>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479" w:right="0"/>
              <w:jc w:val="left"/>
              <w:rPr>
                <w:rFonts w:ascii="Arial" w:hAnsi="Arial" w:cs="Arial" w:eastAsia="Arial" w:hint="default"/>
                <w:sz w:val="20"/>
                <w:szCs w:val="20"/>
              </w:rPr>
            </w:pPr>
            <w:r>
              <w:rPr>
                <w:rFonts w:ascii="Arial"/>
                <w:w w:val="99"/>
                <w:sz w:val="20"/>
              </w:rPr>
            </w:r>
            <w:r>
              <w:rPr>
                <w:rFonts w:ascii="Arial"/>
                <w:sz w:val="20"/>
                <w:u w:val="thick" w:color="000000"/>
              </w:rPr>
              <w:t>9,034,028</w:t>
            </w:r>
            <w:r>
              <w:rPr>
                <w:rFonts w:ascii="Arial"/>
                <w:sz w:val="20"/>
              </w:rPr>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12"/>
              <w:jc w:val="right"/>
              <w:rPr>
                <w:rFonts w:ascii="Arial" w:hAnsi="Arial" w:cs="Arial" w:eastAsia="Arial" w:hint="default"/>
                <w:sz w:val="20"/>
                <w:szCs w:val="20"/>
              </w:rPr>
            </w:pPr>
            <w:r>
              <w:rPr>
                <w:rFonts w:ascii="Arial"/>
                <w:spacing w:val="-1"/>
                <w:sz w:val="20"/>
              </w:rPr>
              <w:t>(</w:t>
            </w:r>
            <w:r>
              <w:rPr>
                <w:rFonts w:ascii="Arial"/>
                <w:spacing w:val="-1"/>
                <w:sz w:val="20"/>
                <w:u w:val="thick" w:color="000000"/>
              </w:rPr>
              <w:t>16,072,431</w:t>
            </w:r>
            <w:r>
              <w:rPr>
                <w:rFonts w:ascii="Arial"/>
                <w:spacing w:val="-1"/>
                <w:sz w:val="20"/>
              </w:rPr>
            </w:r>
            <w:r>
              <w:rPr>
                <w:rFonts w:ascii="Arial"/>
                <w:sz w:val="20"/>
              </w:rPr>
            </w:r>
          </w:p>
        </w:tc>
        <w:tc>
          <w:tcPr>
            <w:tcW w:w="438"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14" w:right="0"/>
              <w:jc w:val="left"/>
              <w:rPr>
                <w:rFonts w:ascii="Arial" w:hAnsi="Arial" w:cs="Arial" w:eastAsia="Arial" w:hint="default"/>
                <w:sz w:val="20"/>
                <w:szCs w:val="20"/>
              </w:rPr>
            </w:pPr>
            <w:r>
              <w:rPr>
                <w:rFonts w:ascii="Arial"/>
                <w:w w:val="99"/>
                <w:sz w:val="20"/>
              </w:rPr>
              <w:t>)</w:t>
            </w:r>
            <w:r>
              <w:rPr>
                <w:rFonts w:ascii="Arial"/>
                <w:sz w:val="20"/>
              </w:rPr>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199"/>
              <w:jc w:val="right"/>
              <w:rPr>
                <w:rFonts w:ascii="Arial" w:hAnsi="Arial" w:cs="Arial" w:eastAsia="Arial" w:hint="default"/>
                <w:sz w:val="20"/>
                <w:szCs w:val="20"/>
              </w:rPr>
            </w:pPr>
            <w:r>
              <w:rPr>
                <w:rFonts w:ascii="Arial"/>
                <w:w w:val="99"/>
                <w:sz w:val="20"/>
              </w:rPr>
            </w:r>
            <w:r>
              <w:rPr>
                <w:rFonts w:ascii="Arial"/>
                <w:spacing w:val="-1"/>
                <w:sz w:val="20"/>
                <w:u w:val="thick" w:color="000000"/>
              </w:rPr>
              <w:t>33,012,159</w:t>
            </w:r>
            <w:r>
              <w:rPr>
                <w:rFonts w:ascii="Arial"/>
                <w:spacing w:val="-1"/>
                <w:sz w:val="20"/>
              </w:rPr>
            </w:r>
            <w:r>
              <w:rPr>
                <w:rFonts w:ascii="Arial"/>
                <w:sz w:val="20"/>
              </w:rPr>
            </w:r>
          </w:p>
        </w:tc>
      </w:tr>
    </w:tbl>
    <w:p>
      <w:pPr>
        <w:spacing w:line="240" w:lineRule="auto" w:before="13"/>
        <w:rPr>
          <w:rFonts w:ascii="黑体" w:hAnsi="黑体" w:cs="黑体" w:eastAsia="黑体" w:hint="default"/>
          <w:sz w:val="20"/>
          <w:szCs w:val="20"/>
        </w:rPr>
      </w:pPr>
    </w:p>
    <w:p>
      <w:pPr>
        <w:pStyle w:val="BodyText"/>
        <w:spacing w:line="240" w:lineRule="auto" w:before="37"/>
        <w:ind w:right="223"/>
        <w:jc w:val="left"/>
      </w:pPr>
      <w:r>
        <w:rPr>
          <w:rFonts w:ascii="Arial" w:hAnsi="Arial" w:cs="Arial" w:eastAsia="Arial" w:hint="default"/>
        </w:rPr>
        <w:t>2011</w:t>
      </w:r>
      <w:r>
        <w:rPr/>
        <w:t>年</w:t>
      </w:r>
    </w:p>
    <w:p>
      <w:pPr>
        <w:spacing w:line="240" w:lineRule="auto" w:before="9"/>
        <w:rPr>
          <w:rFonts w:ascii="黑体" w:hAnsi="黑体" w:cs="黑体" w:eastAsia="黑体" w:hint="default"/>
          <w:sz w:val="25"/>
          <w:szCs w:val="25"/>
        </w:rPr>
      </w:pPr>
    </w:p>
    <w:tbl>
      <w:tblPr>
        <w:tblW w:w="0" w:type="auto"/>
        <w:jc w:val="left"/>
        <w:tblInd w:w="609" w:type="dxa"/>
        <w:tblLayout w:type="fixed"/>
        <w:tblCellMar>
          <w:top w:w="0" w:type="dxa"/>
          <w:left w:w="0" w:type="dxa"/>
          <w:bottom w:w="0" w:type="dxa"/>
          <w:right w:w="0" w:type="dxa"/>
        </w:tblCellMar>
        <w:tblLook w:val="01E0"/>
      </w:tblPr>
      <w:tblGrid>
        <w:gridCol w:w="1196"/>
        <w:gridCol w:w="1819"/>
        <w:gridCol w:w="1720"/>
        <w:gridCol w:w="1418"/>
        <w:gridCol w:w="437"/>
        <w:gridCol w:w="1555"/>
      </w:tblGrid>
      <w:tr>
        <w:trPr>
          <w:trHeight w:val="400" w:hRule="exact"/>
        </w:trPr>
        <w:tc>
          <w:tcPr>
            <w:tcW w:w="1196"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Style w:val="TableParagraph"/>
              <w:spacing w:line="199" w:lineRule="exact"/>
              <w:ind w:left="705" w:right="0"/>
              <w:jc w:val="left"/>
              <w:rPr>
                <w:rFonts w:ascii="黑体" w:hAnsi="黑体" w:cs="黑体" w:eastAsia="黑体" w:hint="default"/>
                <w:sz w:val="20"/>
                <w:szCs w:val="20"/>
              </w:rPr>
            </w:pPr>
            <w:r>
              <w:rPr>
                <w:rFonts w:ascii="黑体" w:hAnsi="黑体" w:cs="黑体" w:eastAsia="黑体" w:hint="default"/>
                <w:sz w:val="20"/>
                <w:szCs w:val="20"/>
              </w:rPr>
              <w:t>年初数</w:t>
            </w:r>
          </w:p>
        </w:tc>
        <w:tc>
          <w:tcPr>
            <w:tcW w:w="1720" w:type="dxa"/>
            <w:tcBorders>
              <w:top w:val="nil" w:sz="6" w:space="0" w:color="auto"/>
              <w:left w:val="nil" w:sz="6" w:space="0" w:color="auto"/>
              <w:bottom w:val="nil" w:sz="6" w:space="0" w:color="auto"/>
              <w:right w:val="nil" w:sz="6" w:space="0" w:color="auto"/>
            </w:tcBorders>
          </w:tcPr>
          <w:p>
            <w:pPr>
              <w:pStyle w:val="TableParagraph"/>
              <w:spacing w:line="199" w:lineRule="exact"/>
              <w:ind w:left="530" w:right="0"/>
              <w:jc w:val="left"/>
              <w:rPr>
                <w:rFonts w:ascii="黑体" w:hAnsi="黑体" w:cs="黑体" w:eastAsia="黑体" w:hint="default"/>
                <w:sz w:val="20"/>
                <w:szCs w:val="20"/>
              </w:rPr>
            </w:pPr>
            <w:r>
              <w:rPr>
                <w:rFonts w:ascii="黑体" w:hAnsi="黑体" w:cs="黑体" w:eastAsia="黑体" w:hint="default"/>
                <w:sz w:val="20"/>
                <w:szCs w:val="20"/>
              </w:rPr>
              <w:t>本年增加</w:t>
            </w:r>
          </w:p>
        </w:tc>
        <w:tc>
          <w:tcPr>
            <w:tcW w:w="1418" w:type="dxa"/>
            <w:tcBorders>
              <w:top w:val="nil" w:sz="6" w:space="0" w:color="auto"/>
              <w:left w:val="nil" w:sz="6" w:space="0" w:color="auto"/>
              <w:bottom w:val="nil" w:sz="6" w:space="0" w:color="auto"/>
              <w:right w:val="nil" w:sz="6" w:space="0" w:color="auto"/>
            </w:tcBorders>
          </w:tcPr>
          <w:p>
            <w:pPr>
              <w:pStyle w:val="TableParagraph"/>
              <w:spacing w:line="199" w:lineRule="exact"/>
              <w:ind w:right="107"/>
              <w:jc w:val="right"/>
              <w:rPr>
                <w:rFonts w:ascii="黑体" w:hAnsi="黑体" w:cs="黑体" w:eastAsia="黑体" w:hint="default"/>
                <w:sz w:val="20"/>
                <w:szCs w:val="20"/>
              </w:rPr>
            </w:pPr>
            <w:r>
              <w:rPr>
                <w:rFonts w:ascii="黑体" w:hAnsi="黑体" w:cs="黑体" w:eastAsia="黑体" w:hint="default"/>
                <w:w w:val="95"/>
                <w:sz w:val="20"/>
                <w:szCs w:val="20"/>
              </w:rPr>
              <w:t>本年摊销</w:t>
            </w:r>
            <w:r>
              <w:rPr>
                <w:rFonts w:ascii="黑体" w:hAnsi="黑体" w:cs="黑体" w:eastAsia="黑体" w:hint="default"/>
                <w:sz w:val="20"/>
                <w:szCs w:val="20"/>
              </w:rPr>
            </w:r>
          </w:p>
        </w:tc>
        <w:tc>
          <w:tcPr>
            <w:tcW w:w="437"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199" w:lineRule="exact"/>
              <w:ind w:right="291"/>
              <w:jc w:val="right"/>
              <w:rPr>
                <w:rFonts w:ascii="黑体" w:hAnsi="黑体" w:cs="黑体" w:eastAsia="黑体" w:hint="default"/>
                <w:sz w:val="20"/>
                <w:szCs w:val="20"/>
              </w:rPr>
            </w:pPr>
            <w:r>
              <w:rPr>
                <w:rFonts w:ascii="黑体" w:hAnsi="黑体" w:cs="黑体" w:eastAsia="黑体" w:hint="default"/>
                <w:w w:val="95"/>
                <w:sz w:val="20"/>
                <w:szCs w:val="20"/>
              </w:rPr>
              <w:t>年末数</w:t>
            </w:r>
            <w:r>
              <w:rPr>
                <w:rFonts w:ascii="黑体" w:hAnsi="黑体" w:cs="黑体" w:eastAsia="黑体" w:hint="default"/>
                <w:sz w:val="20"/>
                <w:szCs w:val="20"/>
              </w:rPr>
            </w:r>
          </w:p>
        </w:tc>
      </w:tr>
      <w:tr>
        <w:trPr>
          <w:trHeight w:val="454" w:hRule="exact"/>
        </w:trPr>
        <w:tc>
          <w:tcPr>
            <w:tcW w:w="1196"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200" w:right="0"/>
              <w:jc w:val="left"/>
              <w:rPr>
                <w:rFonts w:ascii="黑体" w:hAnsi="黑体" w:cs="黑体" w:eastAsia="黑体" w:hint="default"/>
                <w:sz w:val="20"/>
                <w:szCs w:val="20"/>
              </w:rPr>
            </w:pPr>
            <w:r>
              <w:rPr>
                <w:rFonts w:ascii="黑体" w:hAnsi="黑体" w:cs="黑体" w:eastAsia="黑体" w:hint="default"/>
                <w:sz w:val="20"/>
                <w:szCs w:val="20"/>
              </w:rPr>
              <w:t>装修费</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13"/>
                <w:szCs w:val="13"/>
              </w:rPr>
            </w:pPr>
          </w:p>
          <w:p>
            <w:pPr>
              <w:pStyle w:val="TableParagraph"/>
              <w:spacing w:line="240" w:lineRule="auto"/>
              <w:ind w:left="398" w:right="0"/>
              <w:jc w:val="left"/>
              <w:rPr>
                <w:rFonts w:ascii="Arial" w:hAnsi="Arial" w:cs="Arial" w:eastAsia="Arial" w:hint="default"/>
                <w:sz w:val="20"/>
                <w:szCs w:val="20"/>
              </w:rPr>
            </w:pPr>
            <w:r>
              <w:rPr>
                <w:rFonts w:ascii="Arial"/>
                <w:sz w:val="20"/>
              </w:rPr>
              <w:t>22,766,294</w:t>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13"/>
                <w:szCs w:val="13"/>
              </w:rPr>
            </w:pPr>
          </w:p>
          <w:p>
            <w:pPr>
              <w:pStyle w:val="TableParagraph"/>
              <w:spacing w:line="240" w:lineRule="auto"/>
              <w:ind w:right="296"/>
              <w:jc w:val="right"/>
              <w:rPr>
                <w:rFonts w:ascii="Arial" w:hAnsi="Arial" w:cs="Arial" w:eastAsia="Arial" w:hint="default"/>
                <w:sz w:val="20"/>
                <w:szCs w:val="20"/>
              </w:rPr>
            </w:pPr>
            <w:r>
              <w:rPr>
                <w:rFonts w:ascii="Arial"/>
                <w:spacing w:val="-1"/>
                <w:sz w:val="20"/>
              </w:rPr>
              <w:t>8,243,046</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13"/>
                <w:szCs w:val="13"/>
              </w:rPr>
            </w:pPr>
          </w:p>
          <w:p>
            <w:pPr>
              <w:pStyle w:val="TableParagraph"/>
              <w:spacing w:line="240" w:lineRule="auto"/>
              <w:ind w:right="13"/>
              <w:jc w:val="right"/>
              <w:rPr>
                <w:rFonts w:ascii="Arial" w:hAnsi="Arial" w:cs="Arial" w:eastAsia="Arial" w:hint="default"/>
                <w:sz w:val="20"/>
                <w:szCs w:val="20"/>
              </w:rPr>
            </w:pPr>
            <w:r>
              <w:rPr>
                <w:rFonts w:ascii="Arial"/>
                <w:sz w:val="20"/>
              </w:rPr>
              <w:t>( </w:t>
            </w:r>
            <w:r>
              <w:rPr>
                <w:rFonts w:ascii="Arial"/>
                <w:spacing w:val="30"/>
                <w:sz w:val="20"/>
              </w:rPr>
              <w:t> </w:t>
            </w:r>
            <w:r>
              <w:rPr>
                <w:rFonts w:ascii="Arial"/>
                <w:sz w:val="20"/>
              </w:rPr>
              <w:t>8,984,293</w:t>
            </w:r>
          </w:p>
        </w:tc>
        <w:tc>
          <w:tcPr>
            <w:tcW w:w="43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13"/>
                <w:szCs w:val="13"/>
              </w:rPr>
            </w:pPr>
          </w:p>
          <w:p>
            <w:pPr>
              <w:pStyle w:val="TableParagraph"/>
              <w:spacing w:line="240" w:lineRule="auto"/>
              <w:ind w:left="13" w:right="0"/>
              <w:jc w:val="left"/>
              <w:rPr>
                <w:rFonts w:ascii="Arial" w:hAnsi="Arial" w:cs="Arial" w:eastAsia="Arial" w:hint="default"/>
                <w:sz w:val="20"/>
                <w:szCs w:val="20"/>
              </w:rPr>
            </w:pPr>
            <w:r>
              <w:rPr>
                <w:rFonts w:ascii="Arial"/>
                <w:w w:val="99"/>
                <w:sz w:val="20"/>
              </w:rPr>
              <w:t>)</w:t>
            </w:r>
            <w:r>
              <w:rPr>
                <w:rFonts w:ascii="Arial"/>
                <w:sz w:val="20"/>
              </w:rPr>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13"/>
                <w:szCs w:val="13"/>
              </w:rPr>
            </w:pPr>
          </w:p>
          <w:p>
            <w:pPr>
              <w:pStyle w:val="TableParagraph"/>
              <w:spacing w:line="240" w:lineRule="auto"/>
              <w:ind w:right="199"/>
              <w:jc w:val="right"/>
              <w:rPr>
                <w:rFonts w:ascii="Arial" w:hAnsi="Arial" w:cs="Arial" w:eastAsia="Arial" w:hint="default"/>
                <w:sz w:val="20"/>
                <w:szCs w:val="20"/>
              </w:rPr>
            </w:pPr>
            <w:r>
              <w:rPr>
                <w:rFonts w:ascii="Arial"/>
                <w:spacing w:val="-1"/>
                <w:sz w:val="20"/>
              </w:rPr>
              <w:t>22,025,047</w:t>
            </w:r>
            <w:r>
              <w:rPr>
                <w:rFonts w:ascii="Arial"/>
                <w:sz w:val="20"/>
              </w:rPr>
            </w:r>
          </w:p>
        </w:tc>
      </w:tr>
      <w:tr>
        <w:trPr>
          <w:trHeight w:val="454" w:hRule="exact"/>
        </w:trPr>
        <w:tc>
          <w:tcPr>
            <w:tcW w:w="1196" w:type="dxa"/>
            <w:tcBorders>
              <w:top w:val="nil" w:sz="6" w:space="0" w:color="auto"/>
              <w:left w:val="nil" w:sz="6" w:space="0" w:color="auto"/>
              <w:bottom w:val="nil" w:sz="6" w:space="0" w:color="auto"/>
              <w:right w:val="nil" w:sz="6" w:space="0" w:color="auto"/>
            </w:tcBorders>
          </w:tcPr>
          <w:p>
            <w:pPr>
              <w:pStyle w:val="TableParagraph"/>
              <w:spacing w:line="246" w:lineRule="exact"/>
              <w:ind w:left="200"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98" w:right="0"/>
              <w:jc w:val="left"/>
              <w:rPr>
                <w:rFonts w:ascii="Arial" w:hAnsi="Arial" w:cs="Arial" w:eastAsia="Arial" w:hint="default"/>
                <w:sz w:val="20"/>
                <w:szCs w:val="20"/>
              </w:rPr>
            </w:pPr>
            <w:r>
              <w:rPr>
                <w:rFonts w:ascii="Arial"/>
                <w:w w:val="99"/>
                <w:sz w:val="20"/>
              </w:rPr>
            </w:r>
            <w:r>
              <w:rPr>
                <w:rFonts w:ascii="Arial"/>
                <w:sz w:val="20"/>
                <w:u w:val="single" w:color="000000"/>
              </w:rPr>
              <w:t>21,418,777</w:t>
            </w:r>
            <w:r>
              <w:rPr>
                <w:rFonts w:ascii="Arial"/>
                <w:sz w:val="20"/>
              </w:rPr>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97"/>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w w:val="95"/>
                <w:sz w:val="20"/>
                <w:u w:val="single" w:color="000000"/>
              </w:rPr>
              <w:t>2,524,239</w:t>
            </w:r>
            <w:r>
              <w:rPr>
                <w:rFonts w:ascii="Arial"/>
                <w:spacing w:val="-1"/>
                <w:w w:val="95"/>
                <w:sz w:val="20"/>
              </w:rPr>
            </w:r>
            <w:r>
              <w:rPr>
                <w:rFonts w:ascii="Arial"/>
                <w:sz w:val="20"/>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
              <w:jc w:val="right"/>
              <w:rPr>
                <w:rFonts w:ascii="Arial" w:hAnsi="Arial" w:cs="Arial" w:eastAsia="Arial" w:hint="default"/>
                <w:sz w:val="20"/>
                <w:szCs w:val="20"/>
              </w:rPr>
            </w:pPr>
            <w:r>
              <w:rPr>
                <w:rFonts w:ascii="Arial"/>
                <w:sz w:val="20"/>
              </w:rPr>
              <w:t>( </w:t>
            </w:r>
            <w:r>
              <w:rPr>
                <w:rFonts w:ascii="Arial"/>
                <w:spacing w:val="24"/>
                <w:sz w:val="20"/>
              </w:rPr>
              <w:t> </w:t>
            </w:r>
            <w:r>
              <w:rPr>
                <w:rFonts w:ascii="Arial"/>
                <w:spacing w:val="24"/>
                <w:sz w:val="20"/>
                <w:u w:val="single" w:color="000000"/>
              </w:rPr>
              <w:t> </w:t>
            </w:r>
            <w:r>
              <w:rPr>
                <w:rFonts w:ascii="Arial"/>
                <w:sz w:val="20"/>
                <w:u w:val="single" w:color="000000"/>
              </w:rPr>
              <w:t>5,917,501</w:t>
            </w:r>
            <w:r>
              <w:rPr>
                <w:rFonts w:ascii="Arial"/>
                <w:sz w:val="20"/>
              </w:rPr>
            </w:r>
          </w:p>
        </w:tc>
        <w:tc>
          <w:tcPr>
            <w:tcW w:w="437"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3" w:right="0"/>
              <w:jc w:val="left"/>
              <w:rPr>
                <w:rFonts w:ascii="Arial" w:hAnsi="Arial" w:cs="Arial" w:eastAsia="Arial" w:hint="default"/>
                <w:sz w:val="20"/>
                <w:szCs w:val="20"/>
              </w:rPr>
            </w:pPr>
            <w:r>
              <w:rPr>
                <w:rFonts w:ascii="Arial"/>
                <w:w w:val="99"/>
                <w:sz w:val="20"/>
              </w:rPr>
              <w:t>)</w:t>
            </w:r>
            <w:r>
              <w:rPr>
                <w:rFonts w:ascii="Arial"/>
                <w:sz w:val="20"/>
              </w:rPr>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99"/>
              <w:jc w:val="right"/>
              <w:rPr>
                <w:rFonts w:ascii="Arial" w:hAnsi="Arial" w:cs="Arial" w:eastAsia="Arial" w:hint="default"/>
                <w:sz w:val="20"/>
                <w:szCs w:val="20"/>
              </w:rPr>
            </w:pPr>
            <w:r>
              <w:rPr>
                <w:rFonts w:ascii="Arial"/>
                <w:w w:val="99"/>
                <w:sz w:val="20"/>
              </w:rPr>
            </w:r>
            <w:r>
              <w:rPr>
                <w:rFonts w:ascii="Arial"/>
                <w:spacing w:val="-1"/>
                <w:sz w:val="20"/>
                <w:u w:val="single" w:color="000000"/>
              </w:rPr>
              <w:t>18,025,515</w:t>
            </w:r>
            <w:r>
              <w:rPr>
                <w:rFonts w:ascii="Arial"/>
                <w:spacing w:val="-1"/>
                <w:sz w:val="20"/>
              </w:rPr>
            </w:r>
            <w:r>
              <w:rPr>
                <w:rFonts w:ascii="Arial"/>
                <w:sz w:val="20"/>
              </w:rPr>
            </w:r>
          </w:p>
        </w:tc>
      </w:tr>
      <w:tr>
        <w:trPr>
          <w:trHeight w:val="400" w:hRule="exact"/>
        </w:trPr>
        <w:tc>
          <w:tcPr>
            <w:tcW w:w="1196" w:type="dxa"/>
            <w:tcBorders>
              <w:top w:val="nil" w:sz="6" w:space="0" w:color="auto"/>
              <w:left w:val="nil" w:sz="6" w:space="0" w:color="auto"/>
              <w:bottom w:val="nil" w:sz="6" w:space="0" w:color="auto"/>
              <w:right w:val="nil" w:sz="6" w:space="0" w:color="auto"/>
            </w:tcBorders>
          </w:tcPr>
          <w:p>
            <w:pPr/>
          </w:p>
        </w:tc>
        <w:tc>
          <w:tcPr>
            <w:tcW w:w="1819"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398" w:right="0"/>
              <w:jc w:val="left"/>
              <w:rPr>
                <w:rFonts w:ascii="Arial" w:hAnsi="Arial" w:cs="Arial" w:eastAsia="Arial" w:hint="default"/>
                <w:sz w:val="20"/>
                <w:szCs w:val="20"/>
              </w:rPr>
            </w:pPr>
            <w:r>
              <w:rPr>
                <w:rFonts w:ascii="Arial"/>
                <w:w w:val="99"/>
                <w:sz w:val="20"/>
              </w:rPr>
            </w:r>
            <w:r>
              <w:rPr>
                <w:rFonts w:ascii="Arial"/>
                <w:sz w:val="20"/>
                <w:u w:val="thick" w:color="000000"/>
              </w:rPr>
              <w:t>44,185,071</w:t>
            </w:r>
            <w:r>
              <w:rPr>
                <w:rFonts w:ascii="Arial"/>
                <w:sz w:val="20"/>
              </w:rPr>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297"/>
              <w:jc w:val="right"/>
              <w:rPr>
                <w:rFonts w:ascii="Arial" w:hAnsi="Arial" w:cs="Arial" w:eastAsia="Arial" w:hint="default"/>
                <w:sz w:val="20"/>
                <w:szCs w:val="20"/>
              </w:rPr>
            </w:pPr>
            <w:r>
              <w:rPr>
                <w:rFonts w:ascii="Arial"/>
                <w:w w:val="99"/>
                <w:sz w:val="20"/>
              </w:rPr>
            </w:r>
            <w:r>
              <w:rPr>
                <w:rFonts w:ascii="Arial"/>
                <w:spacing w:val="-1"/>
                <w:sz w:val="20"/>
                <w:u w:val="thick" w:color="000000"/>
              </w:rPr>
              <w:t>10,767,285</w:t>
            </w:r>
            <w:r>
              <w:rPr>
                <w:rFonts w:ascii="Arial"/>
                <w:spacing w:val="-1"/>
                <w:sz w:val="20"/>
              </w:rPr>
            </w:r>
            <w:r>
              <w:rPr>
                <w:rFonts w:ascii="Arial"/>
                <w:sz w:val="20"/>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13"/>
              <w:jc w:val="right"/>
              <w:rPr>
                <w:rFonts w:ascii="Arial" w:hAnsi="Arial" w:cs="Arial" w:eastAsia="Arial" w:hint="default"/>
                <w:sz w:val="20"/>
                <w:szCs w:val="20"/>
              </w:rPr>
            </w:pPr>
            <w:r>
              <w:rPr>
                <w:rFonts w:ascii="Arial"/>
                <w:spacing w:val="-1"/>
                <w:sz w:val="20"/>
              </w:rPr>
              <w:t>(</w:t>
            </w:r>
            <w:r>
              <w:rPr>
                <w:rFonts w:ascii="Arial"/>
                <w:spacing w:val="-1"/>
                <w:sz w:val="20"/>
                <w:u w:val="thick" w:color="000000"/>
              </w:rPr>
              <w:t>14,901,794</w:t>
            </w:r>
            <w:r>
              <w:rPr>
                <w:rFonts w:ascii="Arial"/>
                <w:spacing w:val="-1"/>
                <w:sz w:val="20"/>
              </w:rPr>
            </w:r>
            <w:r>
              <w:rPr>
                <w:rFonts w:ascii="Arial"/>
                <w:sz w:val="20"/>
              </w:rPr>
            </w:r>
          </w:p>
        </w:tc>
        <w:tc>
          <w:tcPr>
            <w:tcW w:w="437"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13" w:right="0"/>
              <w:jc w:val="left"/>
              <w:rPr>
                <w:rFonts w:ascii="Arial" w:hAnsi="Arial" w:cs="Arial" w:eastAsia="Arial" w:hint="default"/>
                <w:sz w:val="20"/>
                <w:szCs w:val="20"/>
              </w:rPr>
            </w:pPr>
            <w:r>
              <w:rPr>
                <w:rFonts w:ascii="Arial"/>
                <w:w w:val="99"/>
                <w:sz w:val="20"/>
              </w:rPr>
              <w:t>)</w:t>
            </w:r>
            <w:r>
              <w:rPr>
                <w:rFonts w:ascii="Arial"/>
                <w:sz w:val="20"/>
              </w:rPr>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199"/>
              <w:jc w:val="right"/>
              <w:rPr>
                <w:rFonts w:ascii="Arial" w:hAnsi="Arial" w:cs="Arial" w:eastAsia="Arial" w:hint="default"/>
                <w:sz w:val="20"/>
                <w:szCs w:val="20"/>
              </w:rPr>
            </w:pPr>
            <w:r>
              <w:rPr>
                <w:rFonts w:ascii="Arial"/>
                <w:w w:val="99"/>
                <w:sz w:val="20"/>
              </w:rPr>
            </w:r>
            <w:r>
              <w:rPr>
                <w:rFonts w:ascii="Arial"/>
                <w:spacing w:val="-1"/>
                <w:sz w:val="20"/>
                <w:u w:val="thick" w:color="000000"/>
              </w:rPr>
              <w:t>40,050,562</w:t>
            </w:r>
            <w:r>
              <w:rPr>
                <w:rFonts w:ascii="Arial"/>
                <w:spacing w:val="-1"/>
                <w:sz w:val="20"/>
              </w:rPr>
            </w:r>
            <w:r>
              <w:rPr>
                <w:rFonts w:ascii="Arial"/>
                <w:sz w:val="20"/>
              </w:rPr>
            </w:r>
          </w:p>
        </w:tc>
      </w:tr>
    </w:tbl>
    <w:p>
      <w:pPr>
        <w:spacing w:line="240" w:lineRule="auto" w:before="1"/>
        <w:rPr>
          <w:rFonts w:ascii="黑体" w:hAnsi="黑体" w:cs="黑体" w:eastAsia="黑体" w:hint="default"/>
          <w:sz w:val="13"/>
          <w:szCs w:val="13"/>
        </w:rPr>
      </w:pPr>
    </w:p>
    <w:p>
      <w:pPr>
        <w:tabs>
          <w:tab w:pos="823" w:val="left" w:leader="none"/>
        </w:tabs>
        <w:spacing w:line="424" w:lineRule="auto" w:before="37"/>
        <w:ind w:left="809" w:right="5077" w:hanging="708"/>
        <w:jc w:val="left"/>
        <w:rPr>
          <w:rFonts w:ascii="黑体" w:hAnsi="黑体" w:cs="黑体" w:eastAsia="黑体" w:hint="default"/>
          <w:sz w:val="20"/>
          <w:szCs w:val="20"/>
        </w:rPr>
      </w:pPr>
      <w:r>
        <w:rPr>
          <w:rFonts w:ascii="Arial" w:hAnsi="Arial" w:cs="Arial" w:eastAsia="Arial" w:hint="default"/>
          <w:b/>
          <w:bCs/>
          <w:spacing w:val="-1"/>
          <w:w w:val="95"/>
          <w:sz w:val="20"/>
          <w:szCs w:val="20"/>
        </w:rPr>
        <w:t>16.</w:t>
        <w:tab/>
        <w:tab/>
      </w:r>
      <w:r>
        <w:rPr>
          <w:rFonts w:ascii="黑体" w:hAnsi="黑体" w:cs="黑体" w:eastAsia="黑体" w:hint="default"/>
          <w:b/>
          <w:bCs/>
          <w:spacing w:val="1"/>
          <w:sz w:val="20"/>
          <w:szCs w:val="20"/>
        </w:rPr>
        <w:t>递延所得税资产</w:t>
      </w:r>
      <w:r>
        <w:rPr>
          <w:rFonts w:ascii="Arial" w:hAnsi="Arial" w:cs="Arial" w:eastAsia="Arial" w:hint="default"/>
          <w:b/>
          <w:bCs/>
          <w:spacing w:val="1"/>
          <w:sz w:val="20"/>
          <w:szCs w:val="20"/>
        </w:rPr>
        <w:t>/</w:t>
      </w:r>
      <w:r>
        <w:rPr>
          <w:rFonts w:ascii="黑体" w:hAnsi="黑体" w:cs="黑体" w:eastAsia="黑体" w:hint="default"/>
          <w:b/>
          <w:bCs/>
          <w:spacing w:val="1"/>
          <w:sz w:val="20"/>
          <w:szCs w:val="20"/>
        </w:rPr>
        <w:t>负债</w:t>
      </w:r>
      <w:r>
        <w:rPr>
          <w:rFonts w:ascii="黑体" w:hAnsi="黑体" w:cs="黑体" w:eastAsia="黑体" w:hint="default"/>
          <w:b/>
          <w:bCs/>
          <w:spacing w:val="2"/>
          <w:w w:val="99"/>
          <w:sz w:val="20"/>
          <w:szCs w:val="20"/>
        </w:rPr>
        <w:t> </w:t>
      </w:r>
      <w:r>
        <w:rPr>
          <w:rFonts w:ascii="黑体" w:hAnsi="黑体" w:cs="黑体" w:eastAsia="黑体" w:hint="default"/>
          <w:sz w:val="20"/>
          <w:szCs w:val="20"/>
        </w:rPr>
        <w:t>已确认的递延所得税资产和负债：</w:t>
      </w:r>
    </w:p>
    <w:p>
      <w:pPr>
        <w:spacing w:line="240" w:lineRule="auto" w:before="4"/>
        <w:rPr>
          <w:rFonts w:ascii="黑体" w:hAnsi="黑体" w:cs="黑体" w:eastAsia="黑体" w:hint="default"/>
          <w:sz w:val="9"/>
          <w:szCs w:val="9"/>
        </w:rPr>
      </w:pPr>
    </w:p>
    <w:tbl>
      <w:tblPr>
        <w:tblW w:w="0" w:type="auto"/>
        <w:jc w:val="left"/>
        <w:tblInd w:w="621" w:type="dxa"/>
        <w:tblLayout w:type="fixed"/>
        <w:tblCellMar>
          <w:top w:w="0" w:type="dxa"/>
          <w:left w:w="0" w:type="dxa"/>
          <w:bottom w:w="0" w:type="dxa"/>
          <w:right w:w="0" w:type="dxa"/>
        </w:tblCellMar>
        <w:tblLook w:val="01E0"/>
      </w:tblPr>
      <w:tblGrid>
        <w:gridCol w:w="4372"/>
        <w:gridCol w:w="2179"/>
        <w:gridCol w:w="1593"/>
      </w:tblGrid>
      <w:tr>
        <w:trPr>
          <w:trHeight w:val="234" w:hRule="exact"/>
        </w:trPr>
        <w:tc>
          <w:tcPr>
            <w:tcW w:w="4372"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14" w:lineRule="exact"/>
              <w:ind w:right="394"/>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1593" w:type="dxa"/>
            <w:tcBorders>
              <w:top w:val="nil" w:sz="6" w:space="0" w:color="auto"/>
              <w:left w:val="nil" w:sz="6" w:space="0" w:color="auto"/>
              <w:bottom w:val="nil" w:sz="6" w:space="0" w:color="auto"/>
              <w:right w:val="nil" w:sz="6" w:space="0" w:color="auto"/>
            </w:tcBorders>
          </w:tcPr>
          <w:p>
            <w:pPr>
              <w:pStyle w:val="TableParagraph"/>
              <w:spacing w:line="214" w:lineRule="exact"/>
              <w:ind w:right="198"/>
              <w:jc w:val="right"/>
              <w:rPr>
                <w:rFonts w:ascii="黑体" w:hAnsi="黑体" w:cs="黑体" w:eastAsia="黑体" w:hint="default"/>
                <w:sz w:val="20"/>
                <w:szCs w:val="20"/>
              </w:rPr>
            </w:pPr>
            <w:bookmarkStart w:name="16.    递延所得税资产/负债" w:id="101"/>
            <w:bookmarkEnd w:id="101"/>
            <w:r>
              <w:rPr/>
            </w:r>
            <w:bookmarkStart w:name="已确认的递延所得税资产和负债：" w:id="102"/>
            <w:bookmarkEnd w:id="102"/>
            <w:r>
              <w:rPr/>
            </w: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r>
      <w:tr>
        <w:trPr>
          <w:trHeight w:val="310" w:hRule="exact"/>
        </w:trPr>
        <w:tc>
          <w:tcPr>
            <w:tcW w:w="4372"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39" w:lineRule="exact"/>
              <w:ind w:right="394"/>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593" w:type="dxa"/>
            <w:tcBorders>
              <w:top w:val="nil" w:sz="6" w:space="0" w:color="auto"/>
              <w:left w:val="nil" w:sz="6" w:space="0" w:color="auto"/>
              <w:bottom w:val="nil" w:sz="6" w:space="0" w:color="auto"/>
              <w:right w:val="nil" w:sz="6" w:space="0" w:color="auto"/>
            </w:tcBorders>
          </w:tcPr>
          <w:p>
            <w:pPr>
              <w:pStyle w:val="TableParagraph"/>
              <w:spacing w:line="239" w:lineRule="exact"/>
              <w:ind w:right="198"/>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r>
      <w:tr>
        <w:trPr>
          <w:trHeight w:val="305" w:hRule="exact"/>
        </w:trPr>
        <w:tc>
          <w:tcPr>
            <w:tcW w:w="437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00" w:right="0"/>
              <w:jc w:val="left"/>
              <w:rPr>
                <w:rFonts w:ascii="黑体" w:hAnsi="黑体" w:cs="黑体" w:eastAsia="黑体" w:hint="default"/>
                <w:sz w:val="20"/>
                <w:szCs w:val="20"/>
              </w:rPr>
            </w:pPr>
            <w:r>
              <w:rPr>
                <w:rFonts w:ascii="黑体" w:hAnsi="黑体" w:cs="黑体" w:eastAsia="黑体" w:hint="default"/>
                <w:sz w:val="20"/>
                <w:szCs w:val="20"/>
              </w:rPr>
              <w:t>递延所得税资产</w:t>
            </w:r>
          </w:p>
        </w:tc>
        <w:tc>
          <w:tcPr>
            <w:tcW w:w="2179" w:type="dxa"/>
            <w:tcBorders>
              <w:top w:val="nil" w:sz="6" w:space="0" w:color="auto"/>
              <w:left w:val="nil" w:sz="6" w:space="0" w:color="auto"/>
              <w:bottom w:val="nil" w:sz="6" w:space="0" w:color="auto"/>
              <w:right w:val="nil" w:sz="6" w:space="0" w:color="auto"/>
            </w:tcBorders>
          </w:tcPr>
          <w:p>
            <w:pPr/>
          </w:p>
        </w:tc>
        <w:tc>
          <w:tcPr>
            <w:tcW w:w="1593" w:type="dxa"/>
            <w:tcBorders>
              <w:top w:val="nil" w:sz="6" w:space="0" w:color="auto"/>
              <w:left w:val="nil" w:sz="6" w:space="0" w:color="auto"/>
              <w:bottom w:val="nil" w:sz="6" w:space="0" w:color="auto"/>
              <w:right w:val="nil" w:sz="6" w:space="0" w:color="auto"/>
            </w:tcBorders>
          </w:tcPr>
          <w:p>
            <w:pPr/>
          </w:p>
        </w:tc>
      </w:tr>
      <w:tr>
        <w:trPr>
          <w:trHeight w:val="265" w:hRule="exact"/>
        </w:trPr>
        <w:tc>
          <w:tcPr>
            <w:tcW w:w="4372" w:type="dxa"/>
            <w:tcBorders>
              <w:top w:val="nil" w:sz="6" w:space="0" w:color="auto"/>
              <w:left w:val="nil" w:sz="6" w:space="0" w:color="auto"/>
              <w:bottom w:val="nil" w:sz="6" w:space="0" w:color="auto"/>
              <w:right w:val="nil" w:sz="6" w:space="0" w:color="auto"/>
            </w:tcBorders>
          </w:tcPr>
          <w:p>
            <w:pPr>
              <w:pStyle w:val="TableParagraph"/>
              <w:spacing w:line="229" w:lineRule="exact"/>
              <w:ind w:left="363" w:right="0"/>
              <w:jc w:val="left"/>
              <w:rPr>
                <w:rFonts w:ascii="黑体" w:hAnsi="黑体" w:cs="黑体" w:eastAsia="黑体" w:hint="default"/>
                <w:sz w:val="20"/>
                <w:szCs w:val="20"/>
              </w:rPr>
            </w:pPr>
            <w:r>
              <w:rPr>
                <w:rFonts w:ascii="黑体" w:hAnsi="黑体" w:cs="黑体" w:eastAsia="黑体" w:hint="default"/>
                <w:sz w:val="20"/>
                <w:szCs w:val="20"/>
              </w:rPr>
              <w:t>内部未实现销售利润</w:t>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94"/>
              <w:jc w:val="right"/>
              <w:rPr>
                <w:rFonts w:ascii="Arial" w:hAnsi="Arial" w:cs="Arial" w:eastAsia="Arial" w:hint="default"/>
                <w:sz w:val="20"/>
                <w:szCs w:val="20"/>
              </w:rPr>
            </w:pPr>
            <w:r>
              <w:rPr>
                <w:rFonts w:ascii="Arial"/>
                <w:spacing w:val="-1"/>
                <w:sz w:val="20"/>
              </w:rPr>
              <w:t>3,553,161</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98"/>
              <w:jc w:val="right"/>
              <w:rPr>
                <w:rFonts w:ascii="Arial" w:hAnsi="Arial" w:cs="Arial" w:eastAsia="Arial" w:hint="default"/>
                <w:sz w:val="20"/>
                <w:szCs w:val="20"/>
              </w:rPr>
            </w:pPr>
            <w:r>
              <w:rPr>
                <w:rFonts w:ascii="Arial"/>
                <w:spacing w:val="-1"/>
                <w:sz w:val="20"/>
              </w:rPr>
              <w:t>1,274,306</w:t>
            </w:r>
          </w:p>
        </w:tc>
      </w:tr>
      <w:tr>
        <w:trPr>
          <w:trHeight w:val="259" w:hRule="exact"/>
        </w:trPr>
        <w:tc>
          <w:tcPr>
            <w:tcW w:w="4372" w:type="dxa"/>
            <w:tcBorders>
              <w:top w:val="nil" w:sz="6" w:space="0" w:color="auto"/>
              <w:left w:val="nil" w:sz="6" w:space="0" w:color="auto"/>
              <w:bottom w:val="nil" w:sz="6" w:space="0" w:color="auto"/>
              <w:right w:val="nil" w:sz="6" w:space="0" w:color="auto"/>
            </w:tcBorders>
          </w:tcPr>
          <w:p>
            <w:pPr>
              <w:pStyle w:val="TableParagraph"/>
              <w:spacing w:line="226" w:lineRule="exact"/>
              <w:ind w:left="363" w:right="0"/>
              <w:jc w:val="left"/>
              <w:rPr>
                <w:rFonts w:ascii="黑体" w:hAnsi="黑体" w:cs="黑体" w:eastAsia="黑体" w:hint="default"/>
                <w:sz w:val="20"/>
                <w:szCs w:val="20"/>
              </w:rPr>
            </w:pPr>
            <w:r>
              <w:rPr>
                <w:rFonts w:ascii="黑体" w:hAnsi="黑体" w:cs="黑体" w:eastAsia="黑体" w:hint="default"/>
                <w:sz w:val="20"/>
                <w:szCs w:val="20"/>
              </w:rPr>
              <w:t>预提费用</w:t>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94"/>
              <w:jc w:val="right"/>
              <w:rPr>
                <w:rFonts w:ascii="Arial" w:hAnsi="Arial" w:cs="Arial" w:eastAsia="Arial" w:hint="default"/>
                <w:sz w:val="20"/>
                <w:szCs w:val="20"/>
              </w:rPr>
            </w:pPr>
            <w:r>
              <w:rPr>
                <w:rFonts w:ascii="Arial"/>
                <w:spacing w:val="-1"/>
                <w:sz w:val="20"/>
              </w:rPr>
              <w:t>2,310,550</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spacing w:val="-1"/>
                <w:sz w:val="20"/>
              </w:rPr>
              <w:t>2,553,388</w:t>
            </w:r>
          </w:p>
        </w:tc>
      </w:tr>
      <w:tr>
        <w:trPr>
          <w:trHeight w:val="259" w:hRule="exact"/>
        </w:trPr>
        <w:tc>
          <w:tcPr>
            <w:tcW w:w="4372" w:type="dxa"/>
            <w:tcBorders>
              <w:top w:val="nil" w:sz="6" w:space="0" w:color="auto"/>
              <w:left w:val="nil" w:sz="6" w:space="0" w:color="auto"/>
              <w:bottom w:val="nil" w:sz="6" w:space="0" w:color="auto"/>
              <w:right w:val="nil" w:sz="6" w:space="0" w:color="auto"/>
            </w:tcBorders>
          </w:tcPr>
          <w:p>
            <w:pPr>
              <w:pStyle w:val="TableParagraph"/>
              <w:spacing w:line="226" w:lineRule="exact"/>
              <w:ind w:left="363" w:right="0"/>
              <w:jc w:val="left"/>
              <w:rPr>
                <w:rFonts w:ascii="黑体" w:hAnsi="黑体" w:cs="黑体" w:eastAsia="黑体" w:hint="default"/>
                <w:sz w:val="20"/>
                <w:szCs w:val="20"/>
              </w:rPr>
            </w:pPr>
            <w:r>
              <w:rPr>
                <w:rFonts w:ascii="黑体" w:hAnsi="黑体" w:cs="黑体" w:eastAsia="黑体" w:hint="default"/>
                <w:sz w:val="20"/>
                <w:szCs w:val="20"/>
              </w:rPr>
              <w:t>固定资产折旧差异</w:t>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95"/>
              <w:jc w:val="right"/>
              <w:rPr>
                <w:rFonts w:ascii="Arial" w:hAnsi="Arial" w:cs="Arial" w:eastAsia="Arial" w:hint="default"/>
                <w:sz w:val="20"/>
                <w:szCs w:val="20"/>
              </w:rPr>
            </w:pPr>
            <w:r>
              <w:rPr>
                <w:rFonts w:ascii="Arial"/>
                <w:spacing w:val="-1"/>
                <w:w w:val="95"/>
                <w:sz w:val="20"/>
              </w:rPr>
              <w:t>519,114</w:t>
            </w:r>
            <w:r>
              <w:rPr>
                <w:rFonts w:ascii="Arial"/>
                <w:sz w:val="20"/>
              </w:rPr>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spacing w:val="-1"/>
                <w:w w:val="95"/>
                <w:sz w:val="20"/>
              </w:rPr>
              <w:t>469,204</w:t>
            </w:r>
            <w:r>
              <w:rPr>
                <w:rFonts w:ascii="Arial"/>
                <w:sz w:val="20"/>
              </w:rPr>
            </w:r>
          </w:p>
        </w:tc>
      </w:tr>
      <w:tr>
        <w:trPr>
          <w:trHeight w:val="259" w:hRule="exact"/>
        </w:trPr>
        <w:tc>
          <w:tcPr>
            <w:tcW w:w="4372" w:type="dxa"/>
            <w:tcBorders>
              <w:top w:val="nil" w:sz="6" w:space="0" w:color="auto"/>
              <w:left w:val="nil" w:sz="6" w:space="0" w:color="auto"/>
              <w:bottom w:val="nil" w:sz="6" w:space="0" w:color="auto"/>
              <w:right w:val="nil" w:sz="6" w:space="0" w:color="auto"/>
            </w:tcBorders>
          </w:tcPr>
          <w:p>
            <w:pPr>
              <w:pStyle w:val="TableParagraph"/>
              <w:spacing w:line="226" w:lineRule="exact"/>
              <w:ind w:left="363" w:right="0"/>
              <w:jc w:val="left"/>
              <w:rPr>
                <w:rFonts w:ascii="黑体" w:hAnsi="黑体" w:cs="黑体" w:eastAsia="黑体" w:hint="default"/>
                <w:sz w:val="20"/>
                <w:szCs w:val="20"/>
              </w:rPr>
            </w:pPr>
            <w:r>
              <w:rPr>
                <w:rFonts w:ascii="黑体" w:hAnsi="黑体" w:cs="黑体" w:eastAsia="黑体" w:hint="default"/>
                <w:sz w:val="20"/>
                <w:szCs w:val="20"/>
              </w:rPr>
              <w:t>资产减值准备</w:t>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94"/>
              <w:jc w:val="right"/>
              <w:rPr>
                <w:rFonts w:ascii="Arial" w:hAnsi="Arial" w:cs="Arial" w:eastAsia="Arial" w:hint="default"/>
                <w:sz w:val="20"/>
                <w:szCs w:val="20"/>
              </w:rPr>
            </w:pPr>
            <w:r>
              <w:rPr>
                <w:rFonts w:ascii="Arial"/>
                <w:spacing w:val="-1"/>
                <w:sz w:val="20"/>
              </w:rPr>
              <w:t>1,484,700</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spacing w:val="-1"/>
                <w:w w:val="95"/>
                <w:sz w:val="20"/>
              </w:rPr>
              <w:t>968,100</w:t>
            </w:r>
            <w:r>
              <w:rPr>
                <w:rFonts w:ascii="Arial"/>
                <w:sz w:val="20"/>
              </w:rPr>
            </w:r>
          </w:p>
        </w:tc>
      </w:tr>
      <w:tr>
        <w:trPr>
          <w:trHeight w:val="259" w:hRule="exact"/>
        </w:trPr>
        <w:tc>
          <w:tcPr>
            <w:tcW w:w="4372" w:type="dxa"/>
            <w:tcBorders>
              <w:top w:val="nil" w:sz="6" w:space="0" w:color="auto"/>
              <w:left w:val="nil" w:sz="6" w:space="0" w:color="auto"/>
              <w:bottom w:val="nil" w:sz="6" w:space="0" w:color="auto"/>
              <w:right w:val="nil" w:sz="6" w:space="0" w:color="auto"/>
            </w:tcBorders>
          </w:tcPr>
          <w:p>
            <w:pPr>
              <w:pStyle w:val="TableParagraph"/>
              <w:spacing w:line="226" w:lineRule="exact"/>
              <w:ind w:left="363" w:right="0"/>
              <w:jc w:val="left"/>
              <w:rPr>
                <w:rFonts w:ascii="黑体" w:hAnsi="黑体" w:cs="黑体" w:eastAsia="黑体" w:hint="default"/>
                <w:sz w:val="20"/>
                <w:szCs w:val="20"/>
              </w:rPr>
            </w:pPr>
            <w:r>
              <w:rPr>
                <w:rFonts w:ascii="黑体" w:hAnsi="黑体" w:cs="黑体" w:eastAsia="黑体" w:hint="default"/>
                <w:sz w:val="20"/>
                <w:szCs w:val="20"/>
              </w:rPr>
              <w:t>政府补助</w:t>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94"/>
              <w:jc w:val="right"/>
              <w:rPr>
                <w:rFonts w:ascii="Arial" w:hAnsi="Arial" w:cs="Arial" w:eastAsia="Arial" w:hint="default"/>
                <w:sz w:val="20"/>
                <w:szCs w:val="20"/>
              </w:rPr>
            </w:pPr>
            <w:r>
              <w:rPr>
                <w:rFonts w:ascii="Arial"/>
                <w:spacing w:val="-1"/>
                <w:sz w:val="20"/>
              </w:rPr>
              <w:t>5,132,430</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spacing w:val="-1"/>
                <w:sz w:val="20"/>
              </w:rPr>
              <w:t>1,548,500</w:t>
            </w:r>
          </w:p>
        </w:tc>
      </w:tr>
      <w:tr>
        <w:trPr>
          <w:trHeight w:val="389" w:hRule="exact"/>
        </w:trPr>
        <w:tc>
          <w:tcPr>
            <w:tcW w:w="4372" w:type="dxa"/>
            <w:tcBorders>
              <w:top w:val="nil" w:sz="6" w:space="0" w:color="auto"/>
              <w:left w:val="nil" w:sz="6" w:space="0" w:color="auto"/>
              <w:bottom w:val="nil" w:sz="6" w:space="0" w:color="auto"/>
              <w:right w:val="nil" w:sz="6" w:space="0" w:color="auto"/>
            </w:tcBorders>
          </w:tcPr>
          <w:p>
            <w:pPr>
              <w:pStyle w:val="TableParagraph"/>
              <w:spacing w:line="226" w:lineRule="exact"/>
              <w:ind w:left="363" w:right="0"/>
              <w:jc w:val="left"/>
              <w:rPr>
                <w:rFonts w:ascii="黑体" w:hAnsi="黑体" w:cs="黑体" w:eastAsia="黑体" w:hint="default"/>
                <w:sz w:val="20"/>
                <w:szCs w:val="20"/>
              </w:rPr>
            </w:pPr>
            <w:r>
              <w:rPr>
                <w:rFonts w:ascii="黑体" w:hAnsi="黑体" w:cs="黑体" w:eastAsia="黑体" w:hint="default"/>
                <w:sz w:val="20"/>
                <w:szCs w:val="20"/>
              </w:rPr>
              <w:t>未支付的应付职工薪酬</w:t>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93"/>
              <w:jc w:val="right"/>
              <w:rPr>
                <w:rFonts w:ascii="Arial" w:hAnsi="Arial" w:cs="Arial" w:eastAsia="Arial" w:hint="default"/>
                <w:sz w:val="20"/>
                <w:szCs w:val="20"/>
              </w:rPr>
            </w:pPr>
            <w:r>
              <w:rPr>
                <w:rFonts w:ascii="Arial"/>
                <w:w w:val="99"/>
                <w:sz w:val="20"/>
              </w:rPr>
            </w:r>
            <w:r>
              <w:rPr>
                <w:rFonts w:ascii="Arial"/>
                <w:spacing w:val="-1"/>
                <w:sz w:val="20"/>
                <w:u w:val="single" w:color="000000"/>
              </w:rPr>
              <w:t>59,302,578</w:t>
            </w:r>
            <w:r>
              <w:rPr>
                <w:rFonts w:ascii="Arial"/>
                <w:spacing w:val="-1"/>
                <w:sz w:val="20"/>
              </w:rPr>
            </w:r>
            <w:r>
              <w:rPr>
                <w:rFonts w:ascii="Arial"/>
                <w:sz w:val="20"/>
              </w:rPr>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w w:val="99"/>
                <w:sz w:val="20"/>
              </w:rPr>
            </w:r>
            <w:r>
              <w:rPr>
                <w:rFonts w:ascii="Arial"/>
                <w:spacing w:val="-1"/>
                <w:sz w:val="20"/>
                <w:u w:val="single" w:color="000000"/>
              </w:rPr>
              <w:t>61,500,090</w:t>
            </w:r>
            <w:r>
              <w:rPr>
                <w:rFonts w:ascii="Arial"/>
                <w:spacing w:val="-1"/>
                <w:sz w:val="20"/>
              </w:rPr>
            </w:r>
            <w:r>
              <w:rPr>
                <w:rFonts w:ascii="Arial"/>
                <w:sz w:val="20"/>
              </w:rPr>
            </w:r>
          </w:p>
        </w:tc>
      </w:tr>
      <w:tr>
        <w:trPr>
          <w:trHeight w:val="509" w:hRule="exact"/>
        </w:trPr>
        <w:tc>
          <w:tcPr>
            <w:tcW w:w="4372" w:type="dxa"/>
            <w:tcBorders>
              <w:top w:val="nil" w:sz="6" w:space="0" w:color="auto"/>
              <w:left w:val="nil" w:sz="6" w:space="0" w:color="auto"/>
              <w:bottom w:val="nil" w:sz="6" w:space="0" w:color="auto"/>
              <w:right w:val="nil" w:sz="6" w:space="0" w:color="auto"/>
            </w:tcBorders>
          </w:tcPr>
          <w:p>
            <w:pP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93"/>
              <w:jc w:val="right"/>
              <w:rPr>
                <w:rFonts w:ascii="Arial" w:hAnsi="Arial" w:cs="Arial" w:eastAsia="Arial" w:hint="default"/>
                <w:sz w:val="20"/>
                <w:szCs w:val="20"/>
              </w:rPr>
            </w:pPr>
            <w:r>
              <w:rPr>
                <w:rFonts w:ascii="Arial"/>
                <w:w w:val="99"/>
                <w:sz w:val="20"/>
              </w:rPr>
            </w:r>
            <w:r>
              <w:rPr>
                <w:rFonts w:ascii="Arial"/>
                <w:spacing w:val="-1"/>
                <w:sz w:val="20"/>
                <w:u w:val="thick" w:color="000000"/>
              </w:rPr>
              <w:t>72,302,533</w:t>
            </w:r>
            <w:r>
              <w:rPr>
                <w:rFonts w:ascii="Arial"/>
                <w:spacing w:val="-1"/>
                <w:sz w:val="20"/>
              </w:rPr>
            </w:r>
            <w:r>
              <w:rPr>
                <w:rFonts w:ascii="Arial"/>
                <w:sz w:val="20"/>
              </w:rPr>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68,313,588</w:t>
            </w:r>
            <w:r>
              <w:rPr>
                <w:rFonts w:ascii="Arial"/>
                <w:spacing w:val="-1"/>
                <w:sz w:val="20"/>
              </w:rPr>
            </w:r>
            <w:r>
              <w:rPr>
                <w:rFonts w:ascii="Arial"/>
                <w:sz w:val="20"/>
              </w:rPr>
            </w:r>
          </w:p>
        </w:tc>
      </w:tr>
      <w:tr>
        <w:trPr>
          <w:trHeight w:val="383" w:hRule="exact"/>
        </w:trPr>
        <w:tc>
          <w:tcPr>
            <w:tcW w:w="437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00" w:right="0"/>
              <w:jc w:val="left"/>
              <w:rPr>
                <w:rFonts w:ascii="黑体" w:hAnsi="黑体" w:cs="黑体" w:eastAsia="黑体" w:hint="default"/>
                <w:sz w:val="20"/>
                <w:szCs w:val="20"/>
              </w:rPr>
            </w:pPr>
            <w:r>
              <w:rPr>
                <w:rFonts w:ascii="黑体" w:hAnsi="黑体" w:cs="黑体" w:eastAsia="黑体" w:hint="default"/>
                <w:sz w:val="20"/>
                <w:szCs w:val="20"/>
              </w:rPr>
              <w:t>递延所得税负债</w:t>
            </w:r>
          </w:p>
        </w:tc>
        <w:tc>
          <w:tcPr>
            <w:tcW w:w="2179" w:type="dxa"/>
            <w:tcBorders>
              <w:top w:val="nil" w:sz="6" w:space="0" w:color="auto"/>
              <w:left w:val="nil" w:sz="6" w:space="0" w:color="auto"/>
              <w:bottom w:val="nil" w:sz="6" w:space="0" w:color="auto"/>
              <w:right w:val="nil" w:sz="6" w:space="0" w:color="auto"/>
            </w:tcBorders>
          </w:tcPr>
          <w:p>
            <w:pPr/>
          </w:p>
        </w:tc>
        <w:tc>
          <w:tcPr>
            <w:tcW w:w="1593" w:type="dxa"/>
            <w:tcBorders>
              <w:top w:val="nil" w:sz="6" w:space="0" w:color="auto"/>
              <w:left w:val="nil" w:sz="6" w:space="0" w:color="auto"/>
              <w:bottom w:val="nil" w:sz="6" w:space="0" w:color="auto"/>
              <w:right w:val="nil" w:sz="6" w:space="0" w:color="auto"/>
            </w:tcBorders>
          </w:tcPr>
          <w:p>
            <w:pPr/>
          </w:p>
        </w:tc>
      </w:tr>
      <w:tr>
        <w:trPr>
          <w:trHeight w:val="237" w:hRule="exact"/>
        </w:trPr>
        <w:tc>
          <w:tcPr>
            <w:tcW w:w="4372" w:type="dxa"/>
            <w:tcBorders>
              <w:top w:val="nil" w:sz="6" w:space="0" w:color="auto"/>
              <w:left w:val="nil" w:sz="6" w:space="0" w:color="auto"/>
              <w:bottom w:val="nil" w:sz="6" w:space="0" w:color="auto"/>
              <w:right w:val="nil" w:sz="6" w:space="0" w:color="auto"/>
            </w:tcBorders>
          </w:tcPr>
          <w:p>
            <w:pPr>
              <w:pStyle w:val="TableParagraph"/>
              <w:spacing w:line="229" w:lineRule="exact"/>
              <w:ind w:left="389" w:right="0"/>
              <w:jc w:val="left"/>
              <w:rPr>
                <w:rFonts w:ascii="黑体" w:hAnsi="黑体" w:cs="黑体" w:eastAsia="黑体" w:hint="default"/>
                <w:sz w:val="20"/>
                <w:szCs w:val="20"/>
              </w:rPr>
            </w:pPr>
            <w:r>
              <w:rPr>
                <w:rFonts w:ascii="黑体" w:hAnsi="黑体" w:cs="黑体" w:eastAsia="黑体" w:hint="default"/>
                <w:sz w:val="20"/>
                <w:szCs w:val="20"/>
              </w:rPr>
              <w:t>非同一控制下企业合并公允价值调整</w:t>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95"/>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pacing w:val="-11"/>
                <w:sz w:val="20"/>
                <w:u w:val="thick" w:color="000000"/>
              </w:rPr>
              <w:t> </w:t>
            </w:r>
            <w:r>
              <w:rPr>
                <w:rFonts w:ascii="Arial"/>
                <w:spacing w:val="-1"/>
                <w:w w:val="95"/>
                <w:sz w:val="20"/>
                <w:u w:val="thick" w:color="000000"/>
              </w:rPr>
              <w:t>5,030,737</w:t>
            </w:r>
            <w:r>
              <w:rPr>
                <w:rFonts w:ascii="Arial"/>
                <w:spacing w:val="-1"/>
                <w:w w:val="95"/>
                <w:sz w:val="20"/>
              </w:rPr>
            </w:r>
            <w:r>
              <w:rPr>
                <w:rFonts w:ascii="Arial"/>
                <w:sz w:val="20"/>
              </w:rPr>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8"/>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pacing w:val="-11"/>
                <w:sz w:val="20"/>
                <w:u w:val="thick" w:color="000000"/>
              </w:rPr>
              <w:t> </w:t>
            </w:r>
            <w:r>
              <w:rPr>
                <w:rFonts w:ascii="Arial"/>
                <w:spacing w:val="-1"/>
                <w:w w:val="95"/>
                <w:sz w:val="20"/>
                <w:u w:val="thick" w:color="000000"/>
              </w:rPr>
              <w:t>5,510,618</w:t>
            </w:r>
            <w:r>
              <w:rPr>
                <w:rFonts w:ascii="Arial"/>
                <w:spacing w:val="-1"/>
                <w:w w:val="95"/>
                <w:sz w:val="20"/>
              </w:rPr>
            </w:r>
            <w:r>
              <w:rPr>
                <w:rFonts w:ascii="Arial"/>
                <w:sz w:val="20"/>
              </w:rPr>
            </w:r>
          </w:p>
        </w:tc>
      </w:tr>
    </w:tbl>
    <w:p>
      <w:pPr>
        <w:spacing w:after="0" w:line="240" w:lineRule="auto"/>
        <w:jc w:val="right"/>
        <w:rPr>
          <w:rFonts w:ascii="Arial" w:hAnsi="Arial" w:cs="Arial" w:eastAsia="Arial" w:hint="default"/>
          <w:sz w:val="20"/>
          <w:szCs w:val="20"/>
        </w:rPr>
        <w:sectPr>
          <w:pgSz w:w="11910" w:h="16850"/>
          <w:pgMar w:header="957" w:footer="830" w:top="2520" w:bottom="1020" w:left="1600" w:right="1420"/>
        </w:sectPr>
      </w:pPr>
    </w:p>
    <w:p>
      <w:pPr>
        <w:spacing w:line="240" w:lineRule="auto" w:before="3"/>
        <w:rPr>
          <w:rFonts w:ascii="黑体" w:hAnsi="黑体" w:cs="黑体" w:eastAsia="黑体" w:hint="default"/>
          <w:sz w:val="21"/>
          <w:szCs w:val="21"/>
        </w:rPr>
      </w:pPr>
    </w:p>
    <w:p>
      <w:pPr>
        <w:pStyle w:val="Heading6"/>
        <w:tabs>
          <w:tab w:pos="804" w:val="left" w:leader="none"/>
        </w:tabs>
        <w:spacing w:line="240" w:lineRule="auto"/>
        <w:ind w:right="934"/>
        <w:jc w:val="left"/>
        <w:rPr>
          <w:b w:val="0"/>
          <w:bCs w:val="0"/>
        </w:rPr>
      </w:pPr>
      <w:r>
        <w:rPr>
          <w:w w:val="95"/>
        </w:rPr>
        <w:t>五、</w:t>
        <w:tab/>
      </w:r>
      <w:r>
        <w:rPr/>
        <w:t>合并</w:t>
      </w:r>
      <w:bookmarkStart w:name="五、   合并财务报表主要项目注释（续）" w:id="103"/>
      <w:bookmarkEnd w:id="103"/>
      <w:r>
        <w:rPr/>
        <w:t>财</w:t>
      </w:r>
      <w:r>
        <w:rPr/>
        <w:t>务报表主要项目注释（续）</w:t>
      </w:r>
      <w:r>
        <w:rPr>
          <w:b w:val="0"/>
          <w:bCs w:val="0"/>
        </w:rPr>
      </w:r>
    </w:p>
    <w:p>
      <w:pPr>
        <w:spacing w:line="240" w:lineRule="auto" w:before="1"/>
        <w:rPr>
          <w:rFonts w:ascii="黑体" w:hAnsi="黑体" w:cs="黑体" w:eastAsia="黑体" w:hint="default"/>
          <w:b/>
          <w:bCs/>
          <w:sz w:val="19"/>
          <w:szCs w:val="19"/>
        </w:rPr>
      </w:pPr>
    </w:p>
    <w:p>
      <w:pPr>
        <w:tabs>
          <w:tab w:pos="823" w:val="left" w:leader="none"/>
        </w:tabs>
        <w:spacing w:line="451" w:lineRule="auto" w:before="0"/>
        <w:ind w:left="802" w:right="5682" w:hanging="701"/>
        <w:jc w:val="left"/>
        <w:rPr>
          <w:rFonts w:ascii="黑体" w:hAnsi="黑体" w:cs="黑体" w:eastAsia="黑体" w:hint="default"/>
          <w:sz w:val="20"/>
          <w:szCs w:val="20"/>
        </w:rPr>
      </w:pPr>
      <w:r>
        <w:rPr>
          <w:rFonts w:ascii="Arial" w:hAnsi="Arial" w:cs="Arial" w:eastAsia="Arial" w:hint="default"/>
          <w:b/>
          <w:bCs/>
          <w:spacing w:val="-1"/>
          <w:w w:val="95"/>
          <w:sz w:val="20"/>
          <w:szCs w:val="20"/>
        </w:rPr>
        <w:t>16.</w:t>
        <w:tab/>
        <w:tab/>
      </w:r>
      <w:r>
        <w:rPr>
          <w:rFonts w:ascii="黑体" w:hAnsi="黑体" w:cs="黑体" w:eastAsia="黑体" w:hint="default"/>
          <w:b/>
          <w:bCs/>
          <w:spacing w:val="1"/>
          <w:sz w:val="20"/>
          <w:szCs w:val="20"/>
        </w:rPr>
        <w:t>递延</w:t>
      </w:r>
      <w:bookmarkStart w:name="16.    递延所得税资产/负债（续）" w:id="104"/>
      <w:bookmarkEnd w:id="104"/>
      <w:r>
        <w:rPr>
          <w:rFonts w:ascii="黑体" w:hAnsi="黑体" w:cs="黑体" w:eastAsia="黑体" w:hint="default"/>
          <w:b/>
          <w:bCs/>
          <w:spacing w:val="1"/>
          <w:sz w:val="20"/>
          <w:szCs w:val="20"/>
        </w:rPr>
        <w:t>所得</w:t>
      </w:r>
      <w:r>
        <w:rPr>
          <w:rFonts w:ascii="黑体" w:hAnsi="黑体" w:cs="黑体" w:eastAsia="黑体" w:hint="default"/>
          <w:b/>
          <w:bCs/>
          <w:spacing w:val="1"/>
          <w:sz w:val="20"/>
          <w:szCs w:val="20"/>
        </w:rPr>
        <w:t>税资产</w:t>
      </w:r>
      <w:r>
        <w:rPr>
          <w:rFonts w:ascii="Arial" w:hAnsi="Arial" w:cs="Arial" w:eastAsia="Arial" w:hint="default"/>
          <w:b/>
          <w:bCs/>
          <w:spacing w:val="1"/>
          <w:sz w:val="20"/>
          <w:szCs w:val="20"/>
        </w:rPr>
        <w:t>/</w:t>
      </w:r>
      <w:r>
        <w:rPr>
          <w:rFonts w:ascii="黑体" w:hAnsi="黑体" w:cs="黑体" w:eastAsia="黑体" w:hint="default"/>
          <w:b/>
          <w:bCs/>
          <w:spacing w:val="1"/>
          <w:sz w:val="20"/>
          <w:szCs w:val="20"/>
        </w:rPr>
        <w:t>负债（续）</w:t>
      </w:r>
      <w:r>
        <w:rPr>
          <w:rFonts w:ascii="黑体" w:hAnsi="黑体" w:cs="黑体" w:eastAsia="黑体" w:hint="default"/>
          <w:b/>
          <w:bCs/>
          <w:w w:val="99"/>
          <w:sz w:val="20"/>
          <w:szCs w:val="20"/>
        </w:rPr>
        <w:t> </w:t>
      </w:r>
      <w:r>
        <w:rPr>
          <w:rFonts w:ascii="黑体" w:hAnsi="黑体" w:cs="黑体" w:eastAsia="黑体" w:hint="default"/>
          <w:sz w:val="20"/>
          <w:szCs w:val="20"/>
        </w:rPr>
        <w:t>未确认递延所得</w:t>
      </w:r>
      <w:bookmarkStart w:name="未确认递延所得税资产如下：" w:id="105"/>
      <w:bookmarkEnd w:id="105"/>
      <w:r>
        <w:rPr>
          <w:rFonts w:ascii="黑体" w:hAnsi="黑体" w:cs="黑体" w:eastAsia="黑体" w:hint="default"/>
          <w:sz w:val="20"/>
          <w:szCs w:val="20"/>
        </w:rPr>
        <w:t>税资</w:t>
      </w:r>
      <w:r>
        <w:rPr>
          <w:rFonts w:ascii="黑体" w:hAnsi="黑体" w:cs="黑体" w:eastAsia="黑体" w:hint="default"/>
          <w:sz w:val="20"/>
          <w:szCs w:val="20"/>
        </w:rPr>
        <w:t>产如下：</w:t>
      </w:r>
    </w:p>
    <w:p>
      <w:pPr>
        <w:spacing w:line="240" w:lineRule="auto" w:before="9"/>
        <w:rPr>
          <w:rFonts w:ascii="黑体" w:hAnsi="黑体" w:cs="黑体" w:eastAsia="黑体" w:hint="default"/>
          <w:sz w:val="9"/>
          <w:szCs w:val="9"/>
        </w:rPr>
      </w:pPr>
    </w:p>
    <w:tbl>
      <w:tblPr>
        <w:tblW w:w="0" w:type="auto"/>
        <w:jc w:val="left"/>
        <w:tblInd w:w="575" w:type="dxa"/>
        <w:tblLayout w:type="fixed"/>
        <w:tblCellMar>
          <w:top w:w="0" w:type="dxa"/>
          <w:left w:w="0" w:type="dxa"/>
          <w:bottom w:w="0" w:type="dxa"/>
          <w:right w:w="0" w:type="dxa"/>
        </w:tblCellMar>
        <w:tblLook w:val="01E0"/>
      </w:tblPr>
      <w:tblGrid>
        <w:gridCol w:w="3697"/>
        <w:gridCol w:w="2724"/>
        <w:gridCol w:w="1981"/>
      </w:tblGrid>
      <w:tr>
        <w:trPr>
          <w:trHeight w:val="366" w:hRule="exact"/>
        </w:trPr>
        <w:tc>
          <w:tcPr>
            <w:tcW w:w="3697" w:type="dxa"/>
            <w:tcBorders>
              <w:top w:val="nil" w:sz="6" w:space="0" w:color="auto"/>
              <w:left w:val="nil" w:sz="6" w:space="0" w:color="auto"/>
              <w:bottom w:val="nil" w:sz="6" w:space="0" w:color="auto"/>
              <w:right w:val="nil" w:sz="6" w:space="0" w:color="auto"/>
            </w:tcBorders>
          </w:tcPr>
          <w:p>
            <w:pPr/>
          </w:p>
        </w:tc>
        <w:tc>
          <w:tcPr>
            <w:tcW w:w="2724" w:type="dxa"/>
            <w:tcBorders>
              <w:top w:val="nil" w:sz="6" w:space="0" w:color="auto"/>
              <w:left w:val="nil" w:sz="6" w:space="0" w:color="auto"/>
              <w:bottom w:val="nil" w:sz="6" w:space="0" w:color="auto"/>
              <w:right w:val="nil" w:sz="6" w:space="0" w:color="auto"/>
            </w:tcBorders>
          </w:tcPr>
          <w:p>
            <w:pPr>
              <w:pStyle w:val="TableParagraph"/>
              <w:spacing w:line="214" w:lineRule="exact"/>
              <w:ind w:right="290"/>
              <w:jc w:val="right"/>
              <w:rPr>
                <w:rFonts w:ascii="黑体" w:hAnsi="黑体" w:cs="黑体" w:eastAsia="黑体" w:hint="default"/>
                <w:sz w:val="20"/>
                <w:szCs w:val="20"/>
              </w:rPr>
            </w:pPr>
            <w:r>
              <w:rPr>
                <w:rFonts w:ascii="Arial" w:hAnsi="Arial" w:cs="Arial" w:eastAsia="Arial" w:hint="default"/>
                <w:w w:val="95"/>
                <w:sz w:val="20"/>
                <w:szCs w:val="20"/>
              </w:rPr>
              <w:t>2012</w:t>
            </w:r>
            <w:r>
              <w:rPr>
                <w:rFonts w:ascii="黑体" w:hAnsi="黑体" w:cs="黑体" w:eastAsia="黑体" w:hint="default"/>
                <w:w w:val="95"/>
                <w:sz w:val="20"/>
                <w:szCs w:val="20"/>
              </w:rPr>
              <w:t>年</w:t>
            </w:r>
            <w:r>
              <w:rPr>
                <w:rFonts w:ascii="Arial" w:hAnsi="Arial" w:cs="Arial" w:eastAsia="Arial" w:hint="default"/>
                <w:w w:val="95"/>
                <w:sz w:val="20"/>
                <w:szCs w:val="20"/>
              </w:rPr>
              <w:t>12</w:t>
            </w:r>
            <w:r>
              <w:rPr>
                <w:rFonts w:ascii="黑体" w:hAnsi="黑体" w:cs="黑体" w:eastAsia="黑体" w:hint="default"/>
                <w:w w:val="95"/>
                <w:sz w:val="20"/>
                <w:szCs w:val="20"/>
              </w:rPr>
              <w:t>月</w:t>
            </w:r>
            <w:r>
              <w:rPr>
                <w:rFonts w:ascii="Arial" w:hAnsi="Arial" w:cs="Arial" w:eastAsia="Arial" w:hint="default"/>
                <w:w w:val="95"/>
                <w:sz w:val="20"/>
                <w:szCs w:val="20"/>
              </w:rPr>
              <w:t>31</w:t>
            </w:r>
            <w:r>
              <w:rPr>
                <w:rFonts w:ascii="黑体" w:hAnsi="黑体" w:cs="黑体" w:eastAsia="黑体" w:hint="default"/>
                <w:w w:val="95"/>
                <w:sz w:val="20"/>
                <w:szCs w:val="20"/>
              </w:rPr>
              <w:t>日</w:t>
            </w:r>
            <w:r>
              <w:rPr>
                <w:rFonts w:ascii="黑体" w:hAnsi="黑体" w:cs="黑体" w:eastAsia="黑体" w:hint="default"/>
                <w:sz w:val="20"/>
                <w:szCs w:val="20"/>
              </w:rPr>
            </w:r>
          </w:p>
        </w:tc>
        <w:tc>
          <w:tcPr>
            <w:tcW w:w="1981" w:type="dxa"/>
            <w:tcBorders>
              <w:top w:val="nil" w:sz="6" w:space="0" w:color="auto"/>
              <w:left w:val="nil" w:sz="6" w:space="0" w:color="auto"/>
              <w:bottom w:val="nil" w:sz="6" w:space="0" w:color="auto"/>
              <w:right w:val="nil" w:sz="6" w:space="0" w:color="auto"/>
            </w:tcBorders>
          </w:tcPr>
          <w:p>
            <w:pPr>
              <w:pStyle w:val="TableParagraph"/>
              <w:spacing w:line="214" w:lineRule="exact"/>
              <w:ind w:right="198"/>
              <w:jc w:val="right"/>
              <w:rPr>
                <w:rFonts w:ascii="黑体" w:hAnsi="黑体" w:cs="黑体" w:eastAsia="黑体" w:hint="default"/>
                <w:sz w:val="20"/>
                <w:szCs w:val="20"/>
              </w:rPr>
            </w:pPr>
            <w:r>
              <w:rPr>
                <w:rFonts w:ascii="Arial" w:hAnsi="Arial" w:cs="Arial" w:eastAsia="Arial" w:hint="default"/>
                <w:w w:val="95"/>
                <w:sz w:val="20"/>
                <w:szCs w:val="20"/>
              </w:rPr>
              <w:t>2011</w:t>
            </w:r>
            <w:r>
              <w:rPr>
                <w:rFonts w:ascii="黑体" w:hAnsi="黑体" w:cs="黑体" w:eastAsia="黑体" w:hint="default"/>
                <w:w w:val="95"/>
                <w:sz w:val="20"/>
                <w:szCs w:val="20"/>
              </w:rPr>
              <w:t>年</w:t>
            </w:r>
            <w:r>
              <w:rPr>
                <w:rFonts w:ascii="Arial" w:hAnsi="Arial" w:cs="Arial" w:eastAsia="Arial" w:hint="default"/>
                <w:w w:val="95"/>
                <w:sz w:val="20"/>
                <w:szCs w:val="20"/>
              </w:rPr>
              <w:t>12</w:t>
            </w:r>
            <w:r>
              <w:rPr>
                <w:rFonts w:ascii="黑体" w:hAnsi="黑体" w:cs="黑体" w:eastAsia="黑体" w:hint="default"/>
                <w:w w:val="95"/>
                <w:sz w:val="20"/>
                <w:szCs w:val="20"/>
              </w:rPr>
              <w:t>月</w:t>
            </w:r>
            <w:r>
              <w:rPr>
                <w:rFonts w:ascii="Arial" w:hAnsi="Arial" w:cs="Arial" w:eastAsia="Arial" w:hint="default"/>
                <w:w w:val="95"/>
                <w:sz w:val="20"/>
                <w:szCs w:val="20"/>
              </w:rPr>
              <w:t>31</w:t>
            </w:r>
            <w:r>
              <w:rPr>
                <w:rFonts w:ascii="黑体" w:hAnsi="黑体" w:cs="黑体" w:eastAsia="黑体" w:hint="default"/>
                <w:w w:val="95"/>
                <w:sz w:val="20"/>
                <w:szCs w:val="20"/>
              </w:rPr>
              <w:t>日</w:t>
            </w:r>
            <w:r>
              <w:rPr>
                <w:rFonts w:ascii="黑体" w:hAnsi="黑体" w:cs="黑体" w:eastAsia="黑体" w:hint="default"/>
                <w:sz w:val="20"/>
                <w:szCs w:val="20"/>
              </w:rPr>
            </w:r>
          </w:p>
        </w:tc>
      </w:tr>
      <w:tr>
        <w:trPr>
          <w:trHeight w:val="412" w:hRule="exact"/>
        </w:trPr>
        <w:tc>
          <w:tcPr>
            <w:tcW w:w="369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0" w:right="0"/>
              <w:jc w:val="left"/>
              <w:rPr>
                <w:rFonts w:ascii="黑体" w:hAnsi="黑体" w:cs="黑体" w:eastAsia="黑体" w:hint="default"/>
                <w:sz w:val="20"/>
                <w:szCs w:val="20"/>
              </w:rPr>
            </w:pPr>
            <w:r>
              <w:rPr>
                <w:rFonts w:ascii="黑体" w:hAnsi="黑体" w:cs="黑体" w:eastAsia="黑体" w:hint="default"/>
                <w:sz w:val="20"/>
                <w:szCs w:val="20"/>
              </w:rPr>
              <w:t>资产减值准备</w:t>
            </w:r>
            <w:r>
              <w:rPr>
                <w:rFonts w:ascii="Arial" w:hAnsi="Arial" w:cs="Arial" w:eastAsia="Arial" w:hint="default"/>
                <w:sz w:val="20"/>
                <w:szCs w:val="20"/>
              </w:rPr>
              <w:t>-</w:t>
            </w:r>
            <w:r>
              <w:rPr>
                <w:rFonts w:ascii="黑体" w:hAnsi="黑体" w:cs="黑体" w:eastAsia="黑体" w:hint="default"/>
                <w:sz w:val="20"/>
                <w:szCs w:val="20"/>
              </w:rPr>
              <w:t>坏账准备</w:t>
            </w:r>
          </w:p>
        </w:tc>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91"/>
              <w:jc w:val="right"/>
              <w:rPr>
                <w:rFonts w:ascii="Arial" w:hAnsi="Arial" w:cs="Arial" w:eastAsia="Arial" w:hint="default"/>
                <w:sz w:val="20"/>
                <w:szCs w:val="20"/>
              </w:rPr>
            </w:pPr>
            <w:r>
              <w:rPr>
                <w:rFonts w:ascii="Arial"/>
                <w:spacing w:val="-1"/>
                <w:sz w:val="20"/>
              </w:rPr>
              <w:t>19,871,695</w:t>
            </w:r>
            <w:r>
              <w:rPr>
                <w:rFonts w:ascii="Arial"/>
                <w:sz w:val="20"/>
              </w:rPr>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98"/>
              <w:jc w:val="right"/>
              <w:rPr>
                <w:rFonts w:ascii="Arial" w:hAnsi="Arial" w:cs="Arial" w:eastAsia="Arial" w:hint="default"/>
                <w:sz w:val="20"/>
                <w:szCs w:val="20"/>
              </w:rPr>
            </w:pPr>
            <w:r>
              <w:rPr>
                <w:rFonts w:ascii="Arial"/>
                <w:spacing w:val="-1"/>
                <w:sz w:val="20"/>
              </w:rPr>
              <w:t>12,448,703</w:t>
            </w:r>
            <w:r>
              <w:rPr>
                <w:rFonts w:ascii="Arial"/>
                <w:sz w:val="20"/>
              </w:rPr>
            </w:r>
          </w:p>
        </w:tc>
      </w:tr>
      <w:tr>
        <w:trPr>
          <w:trHeight w:val="398" w:hRule="exact"/>
        </w:trPr>
        <w:tc>
          <w:tcPr>
            <w:tcW w:w="3697"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可抵扣亏损</w:t>
            </w:r>
          </w:p>
        </w:tc>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91"/>
              <w:jc w:val="right"/>
              <w:rPr>
                <w:rFonts w:ascii="Arial" w:hAnsi="Arial" w:cs="Arial" w:eastAsia="Arial" w:hint="default"/>
                <w:sz w:val="20"/>
                <w:szCs w:val="20"/>
              </w:rPr>
            </w:pPr>
            <w:r>
              <w:rPr>
                <w:rFonts w:ascii="Arial"/>
                <w:w w:val="99"/>
                <w:sz w:val="20"/>
              </w:rPr>
            </w:r>
            <w:r>
              <w:rPr>
                <w:rFonts w:ascii="Arial"/>
                <w:spacing w:val="-1"/>
                <w:sz w:val="20"/>
                <w:u w:val="single" w:color="000000"/>
              </w:rPr>
              <w:t>75,912,468</w:t>
            </w:r>
            <w:r>
              <w:rPr>
                <w:rFonts w:ascii="Arial"/>
                <w:spacing w:val="-1"/>
                <w:sz w:val="20"/>
              </w:rPr>
            </w:r>
            <w:r>
              <w:rPr>
                <w:rFonts w:ascii="Arial"/>
                <w:sz w:val="20"/>
              </w:rPr>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98"/>
              <w:jc w:val="right"/>
              <w:rPr>
                <w:rFonts w:ascii="Arial" w:hAnsi="Arial" w:cs="Arial" w:eastAsia="Arial" w:hint="default"/>
                <w:sz w:val="20"/>
                <w:szCs w:val="20"/>
              </w:rPr>
            </w:pPr>
            <w:r>
              <w:rPr>
                <w:rFonts w:ascii="Arial"/>
                <w:w w:val="99"/>
                <w:sz w:val="20"/>
              </w:rPr>
            </w:r>
            <w:r>
              <w:rPr>
                <w:rFonts w:ascii="Arial"/>
                <w:spacing w:val="-1"/>
                <w:sz w:val="20"/>
                <w:u w:val="single" w:color="000000"/>
              </w:rPr>
              <w:t>53,453,699</w:t>
            </w:r>
            <w:r>
              <w:rPr>
                <w:rFonts w:ascii="Arial"/>
                <w:spacing w:val="-1"/>
                <w:sz w:val="20"/>
              </w:rPr>
            </w:r>
            <w:r>
              <w:rPr>
                <w:rFonts w:ascii="Arial"/>
                <w:sz w:val="20"/>
              </w:rPr>
            </w:r>
          </w:p>
        </w:tc>
      </w:tr>
      <w:tr>
        <w:trPr>
          <w:trHeight w:val="346" w:hRule="exact"/>
        </w:trPr>
        <w:tc>
          <w:tcPr>
            <w:tcW w:w="3697" w:type="dxa"/>
            <w:tcBorders>
              <w:top w:val="nil" w:sz="6" w:space="0" w:color="auto"/>
              <w:left w:val="nil" w:sz="6" w:space="0" w:color="auto"/>
              <w:bottom w:val="nil" w:sz="6" w:space="0" w:color="auto"/>
              <w:right w:val="nil" w:sz="6" w:space="0" w:color="auto"/>
            </w:tcBorders>
          </w:tcPr>
          <w:p>
            <w:pPr/>
          </w:p>
        </w:tc>
        <w:tc>
          <w:tcPr>
            <w:tcW w:w="2724"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91"/>
              <w:jc w:val="right"/>
              <w:rPr>
                <w:rFonts w:ascii="Arial" w:hAnsi="Arial" w:cs="Arial" w:eastAsia="Arial" w:hint="default"/>
                <w:sz w:val="20"/>
                <w:szCs w:val="20"/>
              </w:rPr>
            </w:pPr>
            <w:r>
              <w:rPr>
                <w:rFonts w:ascii="Arial"/>
                <w:w w:val="99"/>
                <w:sz w:val="20"/>
              </w:rPr>
            </w:r>
            <w:r>
              <w:rPr>
                <w:rFonts w:ascii="Arial"/>
                <w:spacing w:val="-1"/>
                <w:sz w:val="20"/>
                <w:u w:val="thick" w:color="000000"/>
              </w:rPr>
              <w:t>95,784,163</w:t>
            </w:r>
            <w:r>
              <w:rPr>
                <w:rFonts w:ascii="Arial"/>
                <w:spacing w:val="-1"/>
                <w:sz w:val="20"/>
              </w:rPr>
            </w:r>
            <w:r>
              <w:rPr>
                <w:rFonts w:ascii="Arial"/>
                <w:sz w:val="20"/>
              </w:rPr>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65,902,402</w:t>
            </w:r>
            <w:r>
              <w:rPr>
                <w:rFonts w:ascii="Arial"/>
                <w:spacing w:val="-1"/>
                <w:sz w:val="20"/>
              </w:rPr>
            </w:r>
            <w:r>
              <w:rPr>
                <w:rFonts w:ascii="Arial"/>
                <w:sz w:val="20"/>
              </w:rPr>
            </w:r>
          </w:p>
        </w:tc>
      </w:tr>
    </w:tbl>
    <w:p>
      <w:pPr>
        <w:spacing w:line="240" w:lineRule="auto" w:before="5"/>
        <w:rPr>
          <w:rFonts w:ascii="黑体" w:hAnsi="黑体" w:cs="黑体" w:eastAsia="黑体" w:hint="default"/>
          <w:sz w:val="14"/>
          <w:szCs w:val="14"/>
        </w:rPr>
      </w:pPr>
    </w:p>
    <w:p>
      <w:pPr>
        <w:pStyle w:val="BodyText"/>
        <w:spacing w:line="240" w:lineRule="auto" w:before="37"/>
        <w:ind w:left="802" w:right="934"/>
        <w:jc w:val="left"/>
      </w:pPr>
      <w:r>
        <w:rPr/>
        <w:t>未确认递延所得税资产的可抵扣亏损将于以</w:t>
      </w:r>
      <w:bookmarkStart w:name="未确认递延所得税资产的可抵扣亏损将于以下年度到期：" w:id="106"/>
      <w:bookmarkEnd w:id="106"/>
      <w:r>
        <w:rPr/>
        <w:t>下年</w:t>
      </w:r>
      <w:r>
        <w:rPr/>
        <w:t>度到期：</w:t>
      </w:r>
    </w:p>
    <w:p>
      <w:pPr>
        <w:spacing w:line="240" w:lineRule="auto" w:before="1"/>
        <w:rPr>
          <w:rFonts w:ascii="黑体" w:hAnsi="黑体" w:cs="黑体" w:eastAsia="黑体" w:hint="default"/>
          <w:sz w:val="23"/>
          <w:szCs w:val="23"/>
        </w:rPr>
      </w:pPr>
    </w:p>
    <w:tbl>
      <w:tblPr>
        <w:tblW w:w="0" w:type="auto"/>
        <w:jc w:val="left"/>
        <w:tblInd w:w="575" w:type="dxa"/>
        <w:tblLayout w:type="fixed"/>
        <w:tblCellMar>
          <w:top w:w="0" w:type="dxa"/>
          <w:left w:w="0" w:type="dxa"/>
          <w:bottom w:w="0" w:type="dxa"/>
          <w:right w:w="0" w:type="dxa"/>
        </w:tblCellMar>
        <w:tblLook w:val="01E0"/>
      </w:tblPr>
      <w:tblGrid>
        <w:gridCol w:w="2926"/>
        <w:gridCol w:w="3476"/>
        <w:gridCol w:w="1976"/>
      </w:tblGrid>
      <w:tr>
        <w:trPr>
          <w:trHeight w:val="345" w:hRule="exact"/>
        </w:trPr>
        <w:tc>
          <w:tcPr>
            <w:tcW w:w="2926" w:type="dxa"/>
            <w:tcBorders>
              <w:top w:val="nil" w:sz="6" w:space="0" w:color="auto"/>
              <w:left w:val="nil" w:sz="6" w:space="0" w:color="auto"/>
              <w:bottom w:val="nil" w:sz="6" w:space="0" w:color="auto"/>
              <w:right w:val="nil" w:sz="6" w:space="0" w:color="auto"/>
            </w:tcBorders>
          </w:tcPr>
          <w:p>
            <w:pPr/>
          </w:p>
        </w:tc>
        <w:tc>
          <w:tcPr>
            <w:tcW w:w="3476" w:type="dxa"/>
            <w:tcBorders>
              <w:top w:val="nil" w:sz="6" w:space="0" w:color="auto"/>
              <w:left w:val="nil" w:sz="6" w:space="0" w:color="auto"/>
              <w:bottom w:val="nil" w:sz="6" w:space="0" w:color="auto"/>
              <w:right w:val="nil" w:sz="6" w:space="0" w:color="auto"/>
            </w:tcBorders>
          </w:tcPr>
          <w:p>
            <w:pPr>
              <w:pStyle w:val="TableParagraph"/>
              <w:spacing w:line="214" w:lineRule="exact"/>
              <w:ind w:right="284"/>
              <w:jc w:val="right"/>
              <w:rPr>
                <w:rFonts w:ascii="黑体" w:hAnsi="黑体" w:cs="黑体" w:eastAsia="黑体" w:hint="default"/>
                <w:sz w:val="20"/>
                <w:szCs w:val="20"/>
              </w:rPr>
            </w:pPr>
            <w:r>
              <w:rPr>
                <w:rFonts w:ascii="Arial" w:hAnsi="Arial" w:cs="Arial" w:eastAsia="Arial" w:hint="default"/>
                <w:w w:val="95"/>
                <w:sz w:val="20"/>
                <w:szCs w:val="20"/>
              </w:rPr>
              <w:t>2012</w:t>
            </w:r>
            <w:r>
              <w:rPr>
                <w:rFonts w:ascii="黑体" w:hAnsi="黑体" w:cs="黑体" w:eastAsia="黑体" w:hint="default"/>
                <w:w w:val="95"/>
                <w:sz w:val="20"/>
                <w:szCs w:val="20"/>
              </w:rPr>
              <w:t>年</w:t>
            </w:r>
            <w:r>
              <w:rPr>
                <w:rFonts w:ascii="Arial" w:hAnsi="Arial" w:cs="Arial" w:eastAsia="Arial" w:hint="default"/>
                <w:w w:val="95"/>
                <w:sz w:val="20"/>
                <w:szCs w:val="20"/>
              </w:rPr>
              <w:t>12</w:t>
            </w:r>
            <w:r>
              <w:rPr>
                <w:rFonts w:ascii="黑体" w:hAnsi="黑体" w:cs="黑体" w:eastAsia="黑体" w:hint="default"/>
                <w:w w:val="95"/>
                <w:sz w:val="20"/>
                <w:szCs w:val="20"/>
              </w:rPr>
              <w:t>月</w:t>
            </w:r>
            <w:r>
              <w:rPr>
                <w:rFonts w:ascii="Arial" w:hAnsi="Arial" w:cs="Arial" w:eastAsia="Arial" w:hint="default"/>
                <w:w w:val="95"/>
                <w:sz w:val="20"/>
                <w:szCs w:val="20"/>
              </w:rPr>
              <w:t>31</w:t>
            </w:r>
            <w:r>
              <w:rPr>
                <w:rFonts w:ascii="黑体" w:hAnsi="黑体" w:cs="黑体" w:eastAsia="黑体" w:hint="default"/>
                <w:w w:val="95"/>
                <w:sz w:val="20"/>
                <w:szCs w:val="20"/>
              </w:rPr>
              <w:t>日</w:t>
            </w:r>
            <w:r>
              <w:rPr>
                <w:rFonts w:ascii="黑体" w:hAnsi="黑体" w:cs="黑体" w:eastAsia="黑体" w:hint="default"/>
                <w:sz w:val="20"/>
                <w:szCs w:val="20"/>
              </w:rPr>
            </w:r>
          </w:p>
        </w:tc>
        <w:tc>
          <w:tcPr>
            <w:tcW w:w="1976" w:type="dxa"/>
            <w:tcBorders>
              <w:top w:val="nil" w:sz="6" w:space="0" w:color="auto"/>
              <w:left w:val="nil" w:sz="6" w:space="0" w:color="auto"/>
              <w:bottom w:val="nil" w:sz="6" w:space="0" w:color="auto"/>
              <w:right w:val="nil" w:sz="6" w:space="0" w:color="auto"/>
            </w:tcBorders>
          </w:tcPr>
          <w:p>
            <w:pPr>
              <w:pStyle w:val="TableParagraph"/>
              <w:spacing w:line="214" w:lineRule="exact"/>
              <w:ind w:right="201"/>
              <w:jc w:val="right"/>
              <w:rPr>
                <w:rFonts w:ascii="黑体" w:hAnsi="黑体" w:cs="黑体" w:eastAsia="黑体" w:hint="default"/>
                <w:sz w:val="20"/>
                <w:szCs w:val="20"/>
              </w:rPr>
            </w:pPr>
            <w:r>
              <w:rPr>
                <w:rFonts w:ascii="Arial" w:hAnsi="Arial" w:cs="Arial" w:eastAsia="Arial" w:hint="default"/>
                <w:w w:val="95"/>
                <w:sz w:val="20"/>
                <w:szCs w:val="20"/>
              </w:rPr>
              <w:t>2011</w:t>
            </w:r>
            <w:r>
              <w:rPr>
                <w:rFonts w:ascii="黑体" w:hAnsi="黑体" w:cs="黑体" w:eastAsia="黑体" w:hint="default"/>
                <w:w w:val="95"/>
                <w:sz w:val="20"/>
                <w:szCs w:val="20"/>
              </w:rPr>
              <w:t>年</w:t>
            </w:r>
            <w:r>
              <w:rPr>
                <w:rFonts w:ascii="Arial" w:hAnsi="Arial" w:cs="Arial" w:eastAsia="Arial" w:hint="default"/>
                <w:w w:val="95"/>
                <w:sz w:val="20"/>
                <w:szCs w:val="20"/>
              </w:rPr>
              <w:t>12</w:t>
            </w:r>
            <w:r>
              <w:rPr>
                <w:rFonts w:ascii="黑体" w:hAnsi="黑体" w:cs="黑体" w:eastAsia="黑体" w:hint="default"/>
                <w:w w:val="95"/>
                <w:sz w:val="20"/>
                <w:szCs w:val="20"/>
              </w:rPr>
              <w:t>月</w:t>
            </w:r>
            <w:r>
              <w:rPr>
                <w:rFonts w:ascii="Arial" w:hAnsi="Arial" w:cs="Arial" w:eastAsia="Arial" w:hint="default"/>
                <w:w w:val="95"/>
                <w:sz w:val="20"/>
                <w:szCs w:val="20"/>
              </w:rPr>
              <w:t>31</w:t>
            </w:r>
            <w:r>
              <w:rPr>
                <w:rFonts w:ascii="黑体" w:hAnsi="黑体" w:cs="黑体" w:eastAsia="黑体" w:hint="default"/>
                <w:w w:val="95"/>
                <w:sz w:val="20"/>
                <w:szCs w:val="20"/>
              </w:rPr>
              <w:t>日</w:t>
            </w:r>
            <w:r>
              <w:rPr>
                <w:rFonts w:ascii="黑体" w:hAnsi="黑体" w:cs="黑体" w:eastAsia="黑体" w:hint="default"/>
                <w:sz w:val="20"/>
                <w:szCs w:val="20"/>
              </w:rPr>
            </w:r>
          </w:p>
        </w:tc>
      </w:tr>
      <w:tr>
        <w:trPr>
          <w:trHeight w:val="384" w:hRule="exact"/>
        </w:trPr>
        <w:tc>
          <w:tcPr>
            <w:tcW w:w="292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0" w:right="0"/>
              <w:jc w:val="left"/>
              <w:rPr>
                <w:rFonts w:ascii="黑体" w:hAnsi="黑体" w:cs="黑体" w:eastAsia="黑体" w:hint="default"/>
                <w:sz w:val="20"/>
                <w:szCs w:val="20"/>
              </w:rPr>
            </w:pPr>
            <w:r>
              <w:rPr>
                <w:rFonts w:ascii="Arial" w:hAnsi="Arial" w:cs="Arial" w:eastAsia="Arial" w:hint="default"/>
                <w:sz w:val="20"/>
                <w:szCs w:val="20"/>
              </w:rPr>
              <w:t>2012</w:t>
            </w:r>
            <w:r>
              <w:rPr>
                <w:rFonts w:ascii="黑体" w:hAnsi="黑体" w:cs="黑体" w:eastAsia="黑体" w:hint="default"/>
                <w:sz w:val="20"/>
                <w:szCs w:val="20"/>
              </w:rPr>
              <w:t>年</w:t>
            </w:r>
          </w:p>
        </w:tc>
        <w:tc>
          <w:tcPr>
            <w:tcW w:w="3476"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83"/>
              <w:jc w:val="right"/>
              <w:rPr>
                <w:rFonts w:ascii="Arial" w:hAnsi="Arial" w:cs="Arial" w:eastAsia="Arial" w:hint="default"/>
                <w:sz w:val="20"/>
                <w:szCs w:val="20"/>
              </w:rPr>
            </w:pPr>
            <w:r>
              <w:rPr>
                <w:rFonts w:ascii="Arial"/>
                <w:w w:val="99"/>
                <w:sz w:val="20"/>
              </w:rPr>
              <w:t>-</w:t>
            </w:r>
            <w:r>
              <w:rPr>
                <w:rFonts w:ascii="Arial"/>
                <w:sz w:val="20"/>
              </w:rPr>
            </w:r>
          </w:p>
        </w:tc>
        <w:tc>
          <w:tcPr>
            <w:tcW w:w="197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202"/>
              <w:jc w:val="right"/>
              <w:rPr>
                <w:rFonts w:ascii="Arial" w:hAnsi="Arial" w:cs="Arial" w:eastAsia="Arial" w:hint="default"/>
                <w:sz w:val="20"/>
                <w:szCs w:val="20"/>
              </w:rPr>
            </w:pPr>
            <w:r>
              <w:rPr>
                <w:rFonts w:ascii="Arial"/>
                <w:spacing w:val="-1"/>
                <w:sz w:val="20"/>
              </w:rPr>
              <w:t>60,060</w:t>
            </w:r>
            <w:r>
              <w:rPr>
                <w:rFonts w:ascii="Arial"/>
                <w:sz w:val="20"/>
              </w:rPr>
            </w:r>
          </w:p>
        </w:tc>
      </w:tr>
      <w:tr>
        <w:trPr>
          <w:trHeight w:val="268" w:hRule="exact"/>
        </w:trPr>
        <w:tc>
          <w:tcPr>
            <w:tcW w:w="2926" w:type="dxa"/>
            <w:tcBorders>
              <w:top w:val="nil" w:sz="6" w:space="0" w:color="auto"/>
              <w:left w:val="nil" w:sz="6" w:space="0" w:color="auto"/>
              <w:bottom w:val="nil" w:sz="6" w:space="0" w:color="auto"/>
              <w:right w:val="nil" w:sz="6" w:space="0" w:color="auto"/>
            </w:tcBorders>
          </w:tcPr>
          <w:p>
            <w:pPr>
              <w:pStyle w:val="TableParagraph"/>
              <w:spacing w:line="253" w:lineRule="exact"/>
              <w:ind w:left="200" w:right="0"/>
              <w:jc w:val="left"/>
              <w:rPr>
                <w:rFonts w:ascii="黑体" w:hAnsi="黑体" w:cs="黑体" w:eastAsia="黑体" w:hint="default"/>
                <w:sz w:val="20"/>
                <w:szCs w:val="20"/>
              </w:rPr>
            </w:pPr>
            <w:r>
              <w:rPr>
                <w:rFonts w:ascii="Arial" w:hAnsi="Arial" w:cs="Arial" w:eastAsia="Arial" w:hint="default"/>
                <w:sz w:val="20"/>
                <w:szCs w:val="20"/>
              </w:rPr>
              <w:t>2013</w:t>
            </w:r>
            <w:r>
              <w:rPr>
                <w:rFonts w:ascii="黑体" w:hAnsi="黑体" w:cs="黑体" w:eastAsia="黑体" w:hint="default"/>
                <w:sz w:val="20"/>
                <w:szCs w:val="20"/>
              </w:rPr>
              <w:t>年</w:t>
            </w:r>
          </w:p>
        </w:tc>
        <w:tc>
          <w:tcPr>
            <w:tcW w:w="347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82"/>
              <w:jc w:val="right"/>
              <w:rPr>
                <w:rFonts w:ascii="Arial" w:hAnsi="Arial" w:cs="Arial" w:eastAsia="Arial" w:hint="default"/>
                <w:sz w:val="20"/>
                <w:szCs w:val="20"/>
              </w:rPr>
            </w:pPr>
            <w:r>
              <w:rPr>
                <w:rFonts w:ascii="Arial"/>
                <w:spacing w:val="-1"/>
                <w:sz w:val="20"/>
              </w:rPr>
              <w:t>9,476,373</w:t>
            </w:r>
          </w:p>
        </w:tc>
        <w:tc>
          <w:tcPr>
            <w:tcW w:w="1976" w:type="dxa"/>
            <w:tcBorders>
              <w:top w:val="nil" w:sz="6" w:space="0" w:color="auto"/>
              <w:left w:val="nil" w:sz="6" w:space="0" w:color="auto"/>
              <w:bottom w:val="nil" w:sz="6" w:space="0" w:color="auto"/>
              <w:right w:val="nil" w:sz="6" w:space="0" w:color="auto"/>
            </w:tcBorders>
          </w:tcPr>
          <w:p>
            <w:pPr>
              <w:pStyle w:val="TableParagraph"/>
              <w:spacing w:line="222" w:lineRule="exact"/>
              <w:ind w:right="202"/>
              <w:jc w:val="right"/>
              <w:rPr>
                <w:rFonts w:ascii="Arial" w:hAnsi="Arial" w:cs="Arial" w:eastAsia="Arial" w:hint="default"/>
                <w:sz w:val="20"/>
                <w:szCs w:val="20"/>
              </w:rPr>
            </w:pPr>
            <w:r>
              <w:rPr>
                <w:rFonts w:ascii="Arial"/>
                <w:spacing w:val="-1"/>
                <w:sz w:val="20"/>
              </w:rPr>
              <w:t>11,597,179</w:t>
            </w:r>
            <w:r>
              <w:rPr>
                <w:rFonts w:ascii="Arial"/>
                <w:sz w:val="20"/>
              </w:rPr>
            </w:r>
          </w:p>
        </w:tc>
      </w:tr>
      <w:tr>
        <w:trPr>
          <w:trHeight w:val="268" w:hRule="exact"/>
        </w:trPr>
        <w:tc>
          <w:tcPr>
            <w:tcW w:w="2926"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黑体" w:hAnsi="黑体" w:cs="黑体" w:eastAsia="黑体" w:hint="default"/>
                <w:sz w:val="20"/>
                <w:szCs w:val="20"/>
              </w:rPr>
            </w:pPr>
            <w:r>
              <w:rPr>
                <w:rFonts w:ascii="Arial" w:hAnsi="Arial" w:cs="Arial" w:eastAsia="Arial" w:hint="default"/>
                <w:sz w:val="20"/>
                <w:szCs w:val="20"/>
              </w:rPr>
              <w:t>2014</w:t>
            </w:r>
            <w:r>
              <w:rPr>
                <w:rFonts w:ascii="黑体" w:hAnsi="黑体" w:cs="黑体" w:eastAsia="黑体" w:hint="default"/>
                <w:sz w:val="20"/>
                <w:szCs w:val="20"/>
              </w:rPr>
              <w:t>年</w:t>
            </w:r>
          </w:p>
        </w:tc>
        <w:tc>
          <w:tcPr>
            <w:tcW w:w="347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82"/>
              <w:jc w:val="right"/>
              <w:rPr>
                <w:rFonts w:ascii="Arial" w:hAnsi="Arial" w:cs="Arial" w:eastAsia="Arial" w:hint="default"/>
                <w:sz w:val="20"/>
                <w:szCs w:val="20"/>
              </w:rPr>
            </w:pPr>
            <w:r>
              <w:rPr>
                <w:rFonts w:ascii="Arial"/>
                <w:spacing w:val="-1"/>
                <w:w w:val="95"/>
                <w:sz w:val="20"/>
              </w:rPr>
              <w:t>11,613,663</w:t>
            </w:r>
            <w:r>
              <w:rPr>
                <w:rFonts w:ascii="Arial"/>
                <w:sz w:val="20"/>
              </w:rPr>
            </w:r>
          </w:p>
        </w:tc>
        <w:tc>
          <w:tcPr>
            <w:tcW w:w="1976" w:type="dxa"/>
            <w:tcBorders>
              <w:top w:val="nil" w:sz="6" w:space="0" w:color="auto"/>
              <w:left w:val="nil" w:sz="6" w:space="0" w:color="auto"/>
              <w:bottom w:val="nil" w:sz="6" w:space="0" w:color="auto"/>
              <w:right w:val="nil" w:sz="6" w:space="0" w:color="auto"/>
            </w:tcBorders>
          </w:tcPr>
          <w:p>
            <w:pPr>
              <w:pStyle w:val="TableParagraph"/>
              <w:spacing w:line="223" w:lineRule="exact"/>
              <w:ind w:right="202"/>
              <w:jc w:val="right"/>
              <w:rPr>
                <w:rFonts w:ascii="Arial" w:hAnsi="Arial" w:cs="Arial" w:eastAsia="Arial" w:hint="default"/>
                <w:sz w:val="20"/>
                <w:szCs w:val="20"/>
              </w:rPr>
            </w:pPr>
            <w:r>
              <w:rPr>
                <w:rFonts w:ascii="Arial"/>
                <w:spacing w:val="-1"/>
                <w:sz w:val="20"/>
              </w:rPr>
              <w:t>13,929,361</w:t>
            </w:r>
            <w:r>
              <w:rPr>
                <w:rFonts w:ascii="Arial"/>
                <w:sz w:val="20"/>
              </w:rPr>
            </w:r>
          </w:p>
        </w:tc>
      </w:tr>
      <w:tr>
        <w:trPr>
          <w:trHeight w:val="266" w:hRule="exact"/>
        </w:trPr>
        <w:tc>
          <w:tcPr>
            <w:tcW w:w="2926" w:type="dxa"/>
            <w:tcBorders>
              <w:top w:val="nil" w:sz="6" w:space="0" w:color="auto"/>
              <w:left w:val="nil" w:sz="6" w:space="0" w:color="auto"/>
              <w:bottom w:val="nil" w:sz="6" w:space="0" w:color="auto"/>
              <w:right w:val="nil" w:sz="6" w:space="0" w:color="auto"/>
            </w:tcBorders>
          </w:tcPr>
          <w:p>
            <w:pPr>
              <w:pStyle w:val="TableParagraph"/>
              <w:spacing w:line="253" w:lineRule="exact"/>
              <w:ind w:left="200" w:right="0"/>
              <w:jc w:val="left"/>
              <w:rPr>
                <w:rFonts w:ascii="黑体" w:hAnsi="黑体" w:cs="黑体" w:eastAsia="黑体" w:hint="default"/>
                <w:sz w:val="20"/>
                <w:szCs w:val="20"/>
              </w:rPr>
            </w:pPr>
            <w:r>
              <w:rPr>
                <w:rFonts w:ascii="Arial" w:hAnsi="Arial" w:cs="Arial" w:eastAsia="Arial" w:hint="default"/>
                <w:sz w:val="20"/>
                <w:szCs w:val="20"/>
              </w:rPr>
              <w:t>2015</w:t>
            </w:r>
            <w:r>
              <w:rPr>
                <w:rFonts w:ascii="黑体" w:hAnsi="黑体" w:cs="黑体" w:eastAsia="黑体" w:hint="default"/>
                <w:sz w:val="20"/>
                <w:szCs w:val="20"/>
              </w:rPr>
              <w:t>年</w:t>
            </w:r>
          </w:p>
        </w:tc>
        <w:tc>
          <w:tcPr>
            <w:tcW w:w="347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82"/>
              <w:jc w:val="right"/>
              <w:rPr>
                <w:rFonts w:ascii="Arial" w:hAnsi="Arial" w:cs="Arial" w:eastAsia="Arial" w:hint="default"/>
                <w:sz w:val="20"/>
                <w:szCs w:val="20"/>
              </w:rPr>
            </w:pPr>
            <w:r>
              <w:rPr>
                <w:rFonts w:ascii="Arial"/>
                <w:spacing w:val="-1"/>
                <w:sz w:val="20"/>
              </w:rPr>
              <w:t>79,091,211</w:t>
            </w:r>
            <w:r>
              <w:rPr>
                <w:rFonts w:ascii="Arial"/>
                <w:sz w:val="20"/>
              </w:rPr>
            </w:r>
          </w:p>
        </w:tc>
        <w:tc>
          <w:tcPr>
            <w:tcW w:w="1976" w:type="dxa"/>
            <w:tcBorders>
              <w:top w:val="nil" w:sz="6" w:space="0" w:color="auto"/>
              <w:left w:val="nil" w:sz="6" w:space="0" w:color="auto"/>
              <w:bottom w:val="nil" w:sz="6" w:space="0" w:color="auto"/>
              <w:right w:val="nil" w:sz="6" w:space="0" w:color="auto"/>
            </w:tcBorders>
          </w:tcPr>
          <w:p>
            <w:pPr>
              <w:pStyle w:val="TableParagraph"/>
              <w:spacing w:line="222" w:lineRule="exact"/>
              <w:ind w:right="202"/>
              <w:jc w:val="right"/>
              <w:rPr>
                <w:rFonts w:ascii="Arial" w:hAnsi="Arial" w:cs="Arial" w:eastAsia="Arial" w:hint="default"/>
                <w:sz w:val="20"/>
                <w:szCs w:val="20"/>
              </w:rPr>
            </w:pPr>
            <w:r>
              <w:rPr>
                <w:rFonts w:ascii="Arial"/>
                <w:spacing w:val="-1"/>
                <w:sz w:val="20"/>
              </w:rPr>
              <w:t>80,092,849</w:t>
            </w:r>
            <w:r>
              <w:rPr>
                <w:rFonts w:ascii="Arial"/>
                <w:sz w:val="20"/>
              </w:rPr>
            </w:r>
          </w:p>
        </w:tc>
      </w:tr>
      <w:tr>
        <w:trPr>
          <w:trHeight w:val="266" w:hRule="exact"/>
        </w:trPr>
        <w:tc>
          <w:tcPr>
            <w:tcW w:w="2926" w:type="dxa"/>
            <w:tcBorders>
              <w:top w:val="nil" w:sz="6" w:space="0" w:color="auto"/>
              <w:left w:val="nil" w:sz="6" w:space="0" w:color="auto"/>
              <w:bottom w:val="nil" w:sz="6" w:space="0" w:color="auto"/>
              <w:right w:val="nil" w:sz="6" w:space="0" w:color="auto"/>
            </w:tcBorders>
          </w:tcPr>
          <w:p>
            <w:pPr>
              <w:pStyle w:val="TableParagraph"/>
              <w:spacing w:line="253" w:lineRule="exact"/>
              <w:ind w:left="200" w:right="0"/>
              <w:jc w:val="left"/>
              <w:rPr>
                <w:rFonts w:ascii="黑体" w:hAnsi="黑体" w:cs="黑体" w:eastAsia="黑体" w:hint="default"/>
                <w:sz w:val="20"/>
                <w:szCs w:val="20"/>
              </w:rPr>
            </w:pPr>
            <w:r>
              <w:rPr>
                <w:rFonts w:ascii="Arial" w:hAnsi="Arial" w:cs="Arial" w:eastAsia="Arial" w:hint="default"/>
                <w:sz w:val="20"/>
                <w:szCs w:val="20"/>
              </w:rPr>
              <w:t>2016</w:t>
            </w:r>
            <w:r>
              <w:rPr>
                <w:rFonts w:ascii="黑体" w:hAnsi="黑体" w:cs="黑体" w:eastAsia="黑体" w:hint="default"/>
                <w:sz w:val="20"/>
                <w:szCs w:val="20"/>
              </w:rPr>
              <w:t>年</w:t>
            </w:r>
          </w:p>
        </w:tc>
        <w:tc>
          <w:tcPr>
            <w:tcW w:w="347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82"/>
              <w:jc w:val="right"/>
              <w:rPr>
                <w:rFonts w:ascii="Arial" w:hAnsi="Arial" w:cs="Arial" w:eastAsia="Arial" w:hint="default"/>
                <w:sz w:val="20"/>
                <w:szCs w:val="20"/>
              </w:rPr>
            </w:pPr>
            <w:r>
              <w:rPr>
                <w:rFonts w:ascii="Arial"/>
                <w:spacing w:val="-1"/>
                <w:sz w:val="20"/>
              </w:rPr>
              <w:t>107,454,619</w:t>
            </w:r>
          </w:p>
        </w:tc>
        <w:tc>
          <w:tcPr>
            <w:tcW w:w="1976" w:type="dxa"/>
            <w:tcBorders>
              <w:top w:val="nil" w:sz="6" w:space="0" w:color="auto"/>
              <w:left w:val="nil" w:sz="6" w:space="0" w:color="auto"/>
              <w:bottom w:val="nil" w:sz="6" w:space="0" w:color="auto"/>
              <w:right w:val="nil" w:sz="6" w:space="0" w:color="auto"/>
            </w:tcBorders>
          </w:tcPr>
          <w:p>
            <w:pPr>
              <w:pStyle w:val="TableParagraph"/>
              <w:spacing w:line="222" w:lineRule="exact"/>
              <w:ind w:right="202"/>
              <w:jc w:val="right"/>
              <w:rPr>
                <w:rFonts w:ascii="Arial" w:hAnsi="Arial" w:cs="Arial" w:eastAsia="Arial" w:hint="default"/>
                <w:sz w:val="20"/>
                <w:szCs w:val="20"/>
              </w:rPr>
            </w:pPr>
            <w:r>
              <w:rPr>
                <w:rFonts w:ascii="Arial"/>
                <w:spacing w:val="-1"/>
                <w:sz w:val="20"/>
              </w:rPr>
              <w:t>108,890,804</w:t>
            </w:r>
            <w:r>
              <w:rPr>
                <w:rFonts w:ascii="Arial"/>
                <w:sz w:val="20"/>
              </w:rPr>
            </w:r>
          </w:p>
        </w:tc>
      </w:tr>
      <w:tr>
        <w:trPr>
          <w:trHeight w:val="389" w:hRule="exact"/>
        </w:trPr>
        <w:tc>
          <w:tcPr>
            <w:tcW w:w="2926" w:type="dxa"/>
            <w:tcBorders>
              <w:top w:val="nil" w:sz="6" w:space="0" w:color="auto"/>
              <w:left w:val="nil" w:sz="6" w:space="0" w:color="auto"/>
              <w:bottom w:val="nil" w:sz="6" w:space="0" w:color="auto"/>
              <w:right w:val="nil" w:sz="6" w:space="0" w:color="auto"/>
            </w:tcBorders>
          </w:tcPr>
          <w:p>
            <w:pPr>
              <w:pStyle w:val="TableParagraph"/>
              <w:spacing w:line="253" w:lineRule="exact"/>
              <w:ind w:left="200" w:right="0"/>
              <w:jc w:val="left"/>
              <w:rPr>
                <w:rFonts w:ascii="黑体" w:hAnsi="黑体" w:cs="黑体" w:eastAsia="黑体" w:hint="default"/>
                <w:sz w:val="20"/>
                <w:szCs w:val="20"/>
              </w:rPr>
            </w:pPr>
            <w:r>
              <w:rPr>
                <w:rFonts w:ascii="Arial" w:hAnsi="Arial" w:cs="Arial" w:eastAsia="Arial" w:hint="default"/>
                <w:sz w:val="20"/>
                <w:szCs w:val="20"/>
              </w:rPr>
              <w:t>2017</w:t>
            </w:r>
            <w:r>
              <w:rPr>
                <w:rFonts w:ascii="黑体" w:hAnsi="黑体" w:cs="黑体" w:eastAsia="黑体" w:hint="default"/>
                <w:sz w:val="20"/>
                <w:szCs w:val="20"/>
              </w:rPr>
              <w:t>年</w:t>
            </w:r>
          </w:p>
        </w:tc>
        <w:tc>
          <w:tcPr>
            <w:tcW w:w="34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85"/>
              <w:jc w:val="right"/>
              <w:rPr>
                <w:rFonts w:ascii="Arial" w:hAnsi="Arial" w:cs="Arial" w:eastAsia="Arial" w:hint="default"/>
                <w:sz w:val="20"/>
                <w:szCs w:val="20"/>
              </w:rPr>
            </w:pPr>
            <w:r>
              <w:rPr>
                <w:rFonts w:ascii="Arial"/>
                <w:w w:val="99"/>
                <w:sz w:val="20"/>
              </w:rPr>
            </w:r>
            <w:r>
              <w:rPr>
                <w:rFonts w:ascii="Arial"/>
                <w:spacing w:val="-1"/>
                <w:w w:val="95"/>
                <w:sz w:val="20"/>
                <w:u w:val="single" w:color="000000"/>
              </w:rPr>
              <w:t>130,811,526</w:t>
            </w:r>
            <w:r>
              <w:rPr>
                <w:rFonts w:ascii="Arial"/>
                <w:spacing w:val="-1"/>
                <w:w w:val="95"/>
                <w:sz w:val="20"/>
              </w:rPr>
            </w:r>
            <w:r>
              <w:rPr>
                <w:rFonts w:ascii="Arial"/>
                <w:sz w:val="20"/>
              </w:rPr>
            </w:r>
          </w:p>
        </w:tc>
        <w:tc>
          <w:tcPr>
            <w:tcW w:w="1976"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22" w:lineRule="exact"/>
              <w:ind w:right="19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r>
      <w:tr>
        <w:trPr>
          <w:trHeight w:val="340" w:hRule="exact"/>
        </w:trPr>
        <w:tc>
          <w:tcPr>
            <w:tcW w:w="2926" w:type="dxa"/>
            <w:tcBorders>
              <w:top w:val="nil" w:sz="6" w:space="0" w:color="auto"/>
              <w:left w:val="nil" w:sz="6" w:space="0" w:color="auto"/>
              <w:bottom w:val="nil" w:sz="6" w:space="0" w:color="auto"/>
              <w:right w:val="nil" w:sz="6" w:space="0" w:color="auto"/>
            </w:tcBorders>
          </w:tcPr>
          <w:p>
            <w:pPr/>
          </w:p>
        </w:tc>
        <w:tc>
          <w:tcPr>
            <w:tcW w:w="347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85"/>
              <w:jc w:val="right"/>
              <w:rPr>
                <w:rFonts w:ascii="Arial" w:hAnsi="Arial" w:cs="Arial" w:eastAsia="Arial" w:hint="default"/>
                <w:sz w:val="20"/>
                <w:szCs w:val="20"/>
              </w:rPr>
            </w:pPr>
            <w:r>
              <w:rPr>
                <w:rFonts w:ascii="Arial"/>
                <w:w w:val="99"/>
                <w:sz w:val="20"/>
              </w:rPr>
            </w:r>
            <w:r>
              <w:rPr>
                <w:rFonts w:ascii="Arial"/>
                <w:spacing w:val="-1"/>
                <w:sz w:val="20"/>
                <w:u w:val="thick" w:color="000000"/>
              </w:rPr>
              <w:t>338,447,392</w:t>
            </w:r>
            <w:r>
              <w:rPr>
                <w:rFonts w:ascii="Arial"/>
                <w:spacing w:val="-1"/>
                <w:sz w:val="20"/>
              </w:rPr>
            </w:r>
            <w:r>
              <w:rPr>
                <w:rFonts w:ascii="Arial"/>
                <w:sz w:val="20"/>
              </w:rPr>
            </w:r>
          </w:p>
        </w:tc>
        <w:tc>
          <w:tcPr>
            <w:tcW w:w="197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02"/>
              <w:jc w:val="right"/>
              <w:rPr>
                <w:rFonts w:ascii="Arial" w:hAnsi="Arial" w:cs="Arial" w:eastAsia="Arial" w:hint="default"/>
                <w:sz w:val="20"/>
                <w:szCs w:val="20"/>
              </w:rPr>
            </w:pPr>
            <w:r>
              <w:rPr>
                <w:rFonts w:ascii="Arial"/>
                <w:w w:val="99"/>
                <w:sz w:val="20"/>
              </w:rPr>
            </w:r>
            <w:r>
              <w:rPr>
                <w:rFonts w:ascii="Arial"/>
                <w:spacing w:val="-1"/>
                <w:sz w:val="20"/>
                <w:u w:val="thick" w:color="000000"/>
              </w:rPr>
              <w:t>214,570,253</w:t>
            </w:r>
            <w:r>
              <w:rPr>
                <w:rFonts w:ascii="Arial"/>
                <w:spacing w:val="-1"/>
                <w:sz w:val="20"/>
              </w:rPr>
            </w:r>
            <w:r>
              <w:rPr>
                <w:rFonts w:ascii="Arial"/>
                <w:sz w:val="20"/>
              </w:rPr>
            </w:r>
          </w:p>
        </w:tc>
      </w:tr>
    </w:tbl>
    <w:p>
      <w:pPr>
        <w:spacing w:line="240" w:lineRule="auto" w:before="4"/>
        <w:rPr>
          <w:rFonts w:ascii="黑体" w:hAnsi="黑体" w:cs="黑体" w:eastAsia="黑体" w:hint="default"/>
          <w:sz w:val="17"/>
          <w:szCs w:val="17"/>
        </w:rPr>
      </w:pPr>
    </w:p>
    <w:p>
      <w:pPr>
        <w:pStyle w:val="BodyText"/>
        <w:spacing w:line="240" w:lineRule="auto" w:before="37"/>
        <w:ind w:right="934"/>
        <w:jc w:val="left"/>
      </w:pPr>
      <w:r>
        <w:rPr/>
        <w:t>引起暂时性差异的资产或负债项目对应的暂时性差异如下：</w:t>
      </w:r>
    </w:p>
    <w:p>
      <w:pPr>
        <w:spacing w:line="240" w:lineRule="auto" w:before="13"/>
        <w:rPr>
          <w:rFonts w:ascii="黑体" w:hAnsi="黑体" w:cs="黑体" w:eastAsia="黑体" w:hint="default"/>
          <w:sz w:val="28"/>
          <w:szCs w:val="28"/>
        </w:rPr>
      </w:pPr>
    </w:p>
    <w:tbl>
      <w:tblPr>
        <w:tblW w:w="0" w:type="auto"/>
        <w:jc w:val="left"/>
        <w:tblInd w:w="621" w:type="dxa"/>
        <w:tblLayout w:type="fixed"/>
        <w:tblCellMar>
          <w:top w:w="0" w:type="dxa"/>
          <w:left w:w="0" w:type="dxa"/>
          <w:bottom w:w="0" w:type="dxa"/>
          <w:right w:w="0" w:type="dxa"/>
        </w:tblCellMar>
        <w:tblLook w:val="01E0"/>
      </w:tblPr>
      <w:tblGrid>
        <w:gridCol w:w="4254"/>
        <w:gridCol w:w="2203"/>
        <w:gridCol w:w="1734"/>
      </w:tblGrid>
      <w:tr>
        <w:trPr>
          <w:trHeight w:val="234" w:hRule="exact"/>
        </w:trPr>
        <w:tc>
          <w:tcPr>
            <w:tcW w:w="4254" w:type="dxa"/>
            <w:tcBorders>
              <w:top w:val="nil" w:sz="6" w:space="0" w:color="auto"/>
              <w:left w:val="nil" w:sz="6" w:space="0" w:color="auto"/>
              <w:bottom w:val="nil" w:sz="6" w:space="0" w:color="auto"/>
              <w:right w:val="nil" w:sz="6" w:space="0" w:color="auto"/>
            </w:tcBorders>
          </w:tcPr>
          <w:p>
            <w:pPr/>
          </w:p>
        </w:tc>
        <w:tc>
          <w:tcPr>
            <w:tcW w:w="2203" w:type="dxa"/>
            <w:tcBorders>
              <w:top w:val="nil" w:sz="6" w:space="0" w:color="auto"/>
              <w:left w:val="nil" w:sz="6" w:space="0" w:color="auto"/>
              <w:bottom w:val="nil" w:sz="6" w:space="0" w:color="auto"/>
              <w:right w:val="nil" w:sz="6" w:space="0" w:color="auto"/>
            </w:tcBorders>
          </w:tcPr>
          <w:p>
            <w:pPr>
              <w:pStyle w:val="TableParagraph"/>
              <w:spacing w:line="214" w:lineRule="exact"/>
              <w:ind w:right="426"/>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1734" w:type="dxa"/>
            <w:tcBorders>
              <w:top w:val="nil" w:sz="6" w:space="0" w:color="auto"/>
              <w:left w:val="nil" w:sz="6" w:space="0" w:color="auto"/>
              <w:bottom w:val="nil" w:sz="6" w:space="0" w:color="auto"/>
              <w:right w:val="nil" w:sz="6" w:space="0" w:color="auto"/>
            </w:tcBorders>
          </w:tcPr>
          <w:p>
            <w:pPr>
              <w:pStyle w:val="TableParagraph"/>
              <w:spacing w:line="214" w:lineRule="exact"/>
              <w:ind w:right="198"/>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r>
      <w:tr>
        <w:trPr>
          <w:trHeight w:val="259" w:hRule="exact"/>
        </w:trPr>
        <w:tc>
          <w:tcPr>
            <w:tcW w:w="4254" w:type="dxa"/>
            <w:tcBorders>
              <w:top w:val="nil" w:sz="6" w:space="0" w:color="auto"/>
              <w:left w:val="nil" w:sz="6" w:space="0" w:color="auto"/>
              <w:bottom w:val="nil" w:sz="6" w:space="0" w:color="auto"/>
              <w:right w:val="nil" w:sz="6" w:space="0" w:color="auto"/>
            </w:tcBorders>
          </w:tcPr>
          <w:p>
            <w:pPr/>
          </w:p>
        </w:tc>
        <w:tc>
          <w:tcPr>
            <w:tcW w:w="2203" w:type="dxa"/>
            <w:tcBorders>
              <w:top w:val="nil" w:sz="6" w:space="0" w:color="auto"/>
              <w:left w:val="nil" w:sz="6" w:space="0" w:color="auto"/>
              <w:bottom w:val="nil" w:sz="6" w:space="0" w:color="auto"/>
              <w:right w:val="nil" w:sz="6" w:space="0" w:color="auto"/>
            </w:tcBorders>
          </w:tcPr>
          <w:p>
            <w:pPr>
              <w:pStyle w:val="TableParagraph"/>
              <w:spacing w:line="239" w:lineRule="exact"/>
              <w:ind w:right="426"/>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734" w:type="dxa"/>
            <w:tcBorders>
              <w:top w:val="nil" w:sz="6" w:space="0" w:color="auto"/>
              <w:left w:val="nil" w:sz="6" w:space="0" w:color="auto"/>
              <w:bottom w:val="nil" w:sz="6" w:space="0" w:color="auto"/>
              <w:right w:val="nil" w:sz="6" w:space="0" w:color="auto"/>
            </w:tcBorders>
          </w:tcPr>
          <w:p>
            <w:pPr>
              <w:pStyle w:val="TableParagraph"/>
              <w:spacing w:line="239" w:lineRule="exact"/>
              <w:ind w:right="198"/>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r>
      <w:tr>
        <w:trPr>
          <w:trHeight w:val="252"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24" w:lineRule="exact"/>
              <w:ind w:left="200" w:right="0"/>
              <w:jc w:val="left"/>
              <w:rPr>
                <w:rFonts w:ascii="黑体" w:hAnsi="黑体" w:cs="黑体" w:eastAsia="黑体" w:hint="default"/>
                <w:sz w:val="20"/>
                <w:szCs w:val="20"/>
              </w:rPr>
            </w:pPr>
            <w:r>
              <w:rPr>
                <w:rFonts w:ascii="黑体" w:hAnsi="黑体" w:cs="黑体" w:eastAsia="黑体" w:hint="default"/>
                <w:sz w:val="20"/>
                <w:szCs w:val="20"/>
              </w:rPr>
              <w:t>可抵扣暂时性差异</w:t>
            </w:r>
          </w:p>
        </w:tc>
        <w:tc>
          <w:tcPr>
            <w:tcW w:w="2203"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
        </w:tc>
      </w:tr>
      <w:tr>
        <w:trPr>
          <w:trHeight w:val="264"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32" w:lineRule="exact"/>
              <w:ind w:left="403" w:right="0"/>
              <w:jc w:val="left"/>
              <w:rPr>
                <w:rFonts w:ascii="黑体" w:hAnsi="黑体" w:cs="黑体" w:eastAsia="黑体" w:hint="default"/>
                <w:sz w:val="20"/>
                <w:szCs w:val="20"/>
              </w:rPr>
            </w:pPr>
            <w:r>
              <w:rPr>
                <w:rFonts w:ascii="黑体" w:hAnsi="黑体" w:cs="黑体" w:eastAsia="黑体" w:hint="default"/>
                <w:sz w:val="20"/>
                <w:szCs w:val="20"/>
              </w:rPr>
              <w:t>内部未实现销售利润</w:t>
            </w:r>
          </w:p>
        </w:tc>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424"/>
              <w:jc w:val="right"/>
              <w:rPr>
                <w:rFonts w:ascii="Arial" w:hAnsi="Arial" w:cs="Arial" w:eastAsia="Arial" w:hint="default"/>
                <w:sz w:val="20"/>
                <w:szCs w:val="20"/>
              </w:rPr>
            </w:pPr>
            <w:r>
              <w:rPr>
                <w:rFonts w:ascii="Arial"/>
                <w:spacing w:val="-1"/>
                <w:w w:val="95"/>
                <w:sz w:val="20"/>
              </w:rPr>
              <w:t>14,615,099</w:t>
            </w:r>
            <w:r>
              <w:rPr>
                <w:rFonts w:ascii="Arial"/>
                <w:sz w:val="20"/>
              </w:rPr>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98"/>
              <w:jc w:val="right"/>
              <w:rPr>
                <w:rFonts w:ascii="Arial" w:hAnsi="Arial" w:cs="Arial" w:eastAsia="Arial" w:hint="default"/>
                <w:sz w:val="20"/>
                <w:szCs w:val="20"/>
              </w:rPr>
            </w:pPr>
            <w:r>
              <w:rPr>
                <w:rFonts w:ascii="Arial"/>
                <w:spacing w:val="-1"/>
                <w:sz w:val="20"/>
              </w:rPr>
              <w:t>5,396,902</w:t>
            </w:r>
          </w:p>
        </w:tc>
      </w:tr>
      <w:tr>
        <w:trPr>
          <w:trHeight w:val="263"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29" w:lineRule="exact"/>
              <w:ind w:left="403" w:right="0"/>
              <w:jc w:val="left"/>
              <w:rPr>
                <w:rFonts w:ascii="黑体" w:hAnsi="黑体" w:cs="黑体" w:eastAsia="黑体" w:hint="default"/>
                <w:sz w:val="20"/>
                <w:szCs w:val="20"/>
              </w:rPr>
            </w:pPr>
            <w:r>
              <w:rPr>
                <w:rFonts w:ascii="黑体" w:hAnsi="黑体" w:cs="黑体" w:eastAsia="黑体" w:hint="default"/>
                <w:sz w:val="20"/>
                <w:szCs w:val="20"/>
              </w:rPr>
              <w:t>预提费用</w:t>
            </w:r>
          </w:p>
        </w:tc>
        <w:tc>
          <w:tcPr>
            <w:tcW w:w="2203" w:type="dxa"/>
            <w:tcBorders>
              <w:top w:val="nil" w:sz="6" w:space="0" w:color="auto"/>
              <w:left w:val="nil" w:sz="6" w:space="0" w:color="auto"/>
              <w:bottom w:val="nil" w:sz="6" w:space="0" w:color="auto"/>
              <w:right w:val="nil" w:sz="6" w:space="0" w:color="auto"/>
            </w:tcBorders>
          </w:tcPr>
          <w:p>
            <w:pPr>
              <w:pStyle w:val="TableParagraph"/>
              <w:spacing w:line="227" w:lineRule="exact"/>
              <w:ind w:right="424"/>
              <w:jc w:val="right"/>
              <w:rPr>
                <w:rFonts w:ascii="Arial" w:hAnsi="Arial" w:cs="Arial" w:eastAsia="Arial" w:hint="default"/>
                <w:sz w:val="20"/>
                <w:szCs w:val="20"/>
              </w:rPr>
            </w:pPr>
            <w:r>
              <w:rPr>
                <w:rFonts w:ascii="Arial"/>
                <w:spacing w:val="-1"/>
                <w:w w:val="95"/>
                <w:sz w:val="20"/>
              </w:rPr>
              <w:t>13,938,606</w:t>
            </w:r>
            <w:r>
              <w:rPr>
                <w:rFonts w:ascii="Arial"/>
                <w:sz w:val="20"/>
              </w:rPr>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8"/>
              <w:jc w:val="right"/>
              <w:rPr>
                <w:rFonts w:ascii="Arial" w:hAnsi="Arial" w:cs="Arial" w:eastAsia="Arial" w:hint="default"/>
                <w:sz w:val="20"/>
                <w:szCs w:val="20"/>
              </w:rPr>
            </w:pPr>
            <w:r>
              <w:rPr>
                <w:rFonts w:ascii="Arial"/>
                <w:spacing w:val="-1"/>
                <w:sz w:val="20"/>
              </w:rPr>
              <w:t>13,741,416</w:t>
            </w:r>
            <w:r>
              <w:rPr>
                <w:rFonts w:ascii="Arial"/>
                <w:sz w:val="20"/>
              </w:rPr>
            </w:r>
          </w:p>
        </w:tc>
      </w:tr>
      <w:tr>
        <w:trPr>
          <w:trHeight w:val="259"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26" w:lineRule="exact"/>
              <w:ind w:left="403" w:right="0"/>
              <w:jc w:val="left"/>
              <w:rPr>
                <w:rFonts w:ascii="黑体" w:hAnsi="黑体" w:cs="黑体" w:eastAsia="黑体" w:hint="default"/>
                <w:sz w:val="20"/>
                <w:szCs w:val="20"/>
              </w:rPr>
            </w:pPr>
            <w:r>
              <w:rPr>
                <w:rFonts w:ascii="黑体" w:hAnsi="黑体" w:cs="黑体" w:eastAsia="黑体" w:hint="default"/>
                <w:sz w:val="20"/>
                <w:szCs w:val="20"/>
              </w:rPr>
              <w:t>固定资产折旧差异</w:t>
            </w:r>
          </w:p>
        </w:tc>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24"/>
              <w:jc w:val="right"/>
              <w:rPr>
                <w:rFonts w:ascii="Arial" w:hAnsi="Arial" w:cs="Arial" w:eastAsia="Arial" w:hint="default"/>
                <w:sz w:val="20"/>
                <w:szCs w:val="20"/>
              </w:rPr>
            </w:pPr>
            <w:r>
              <w:rPr>
                <w:rFonts w:ascii="Arial"/>
                <w:spacing w:val="-1"/>
                <w:sz w:val="20"/>
              </w:rPr>
              <w:t>4,417,865</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spacing w:val="-1"/>
                <w:sz w:val="20"/>
              </w:rPr>
              <w:t>3,532,306</w:t>
            </w:r>
          </w:p>
        </w:tc>
      </w:tr>
      <w:tr>
        <w:trPr>
          <w:trHeight w:val="259"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26" w:lineRule="exact"/>
              <w:ind w:left="403" w:right="0"/>
              <w:jc w:val="left"/>
              <w:rPr>
                <w:rFonts w:ascii="黑体" w:hAnsi="黑体" w:cs="黑体" w:eastAsia="黑体" w:hint="default"/>
                <w:sz w:val="20"/>
                <w:szCs w:val="20"/>
              </w:rPr>
            </w:pPr>
            <w:r>
              <w:rPr>
                <w:rFonts w:ascii="黑体" w:hAnsi="黑体" w:cs="黑体" w:eastAsia="黑体" w:hint="default"/>
                <w:sz w:val="20"/>
                <w:szCs w:val="20"/>
              </w:rPr>
              <w:t>资产减值准备</w:t>
            </w:r>
          </w:p>
        </w:tc>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24"/>
              <w:jc w:val="right"/>
              <w:rPr>
                <w:rFonts w:ascii="Arial" w:hAnsi="Arial" w:cs="Arial" w:eastAsia="Arial" w:hint="default"/>
                <w:sz w:val="20"/>
                <w:szCs w:val="20"/>
              </w:rPr>
            </w:pPr>
            <w:r>
              <w:rPr>
                <w:rFonts w:ascii="Arial"/>
                <w:spacing w:val="-1"/>
                <w:sz w:val="20"/>
              </w:rPr>
              <w:t>7,622,801</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spacing w:val="-1"/>
                <w:sz w:val="20"/>
              </w:rPr>
              <w:t>7,622,801</w:t>
            </w:r>
          </w:p>
        </w:tc>
      </w:tr>
      <w:tr>
        <w:trPr>
          <w:trHeight w:val="259"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26" w:lineRule="exact"/>
              <w:ind w:left="403" w:right="0"/>
              <w:jc w:val="left"/>
              <w:rPr>
                <w:rFonts w:ascii="黑体" w:hAnsi="黑体" w:cs="黑体" w:eastAsia="黑体" w:hint="default"/>
                <w:sz w:val="20"/>
                <w:szCs w:val="20"/>
              </w:rPr>
            </w:pPr>
            <w:r>
              <w:rPr>
                <w:rFonts w:ascii="黑体" w:hAnsi="黑体" w:cs="黑体" w:eastAsia="黑体" w:hint="default"/>
                <w:sz w:val="20"/>
                <w:szCs w:val="20"/>
              </w:rPr>
              <w:t>政府补助</w:t>
            </w:r>
          </w:p>
        </w:tc>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25"/>
              <w:jc w:val="right"/>
              <w:rPr>
                <w:rFonts w:ascii="Arial" w:hAnsi="Arial" w:cs="Arial" w:eastAsia="Arial" w:hint="default"/>
                <w:sz w:val="20"/>
                <w:szCs w:val="20"/>
              </w:rPr>
            </w:pPr>
            <w:r>
              <w:rPr>
                <w:rFonts w:ascii="Arial"/>
                <w:spacing w:val="-1"/>
                <w:sz w:val="20"/>
              </w:rPr>
              <w:t>48,736,200</w:t>
            </w:r>
            <w:r>
              <w:rPr>
                <w:rFonts w:ascii="Arial"/>
                <w:sz w:val="20"/>
              </w:rPr>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spacing w:val="-1"/>
                <w:sz w:val="20"/>
              </w:rPr>
              <w:t>13,510,000</w:t>
            </w:r>
            <w:r>
              <w:rPr>
                <w:rFonts w:ascii="Arial"/>
                <w:sz w:val="20"/>
              </w:rPr>
            </w:r>
          </w:p>
        </w:tc>
      </w:tr>
      <w:tr>
        <w:trPr>
          <w:trHeight w:val="389"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26" w:lineRule="exact"/>
              <w:ind w:left="403" w:right="0"/>
              <w:jc w:val="left"/>
              <w:rPr>
                <w:rFonts w:ascii="黑体" w:hAnsi="黑体" w:cs="黑体" w:eastAsia="黑体" w:hint="default"/>
                <w:sz w:val="20"/>
                <w:szCs w:val="20"/>
              </w:rPr>
            </w:pPr>
            <w:r>
              <w:rPr>
                <w:rFonts w:ascii="黑体" w:hAnsi="黑体" w:cs="黑体" w:eastAsia="黑体" w:hint="default"/>
                <w:sz w:val="20"/>
                <w:szCs w:val="20"/>
              </w:rPr>
              <w:t>未支付的应付职工薪酬</w:t>
            </w:r>
          </w:p>
        </w:tc>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25"/>
              <w:jc w:val="right"/>
              <w:rPr>
                <w:rFonts w:ascii="Arial" w:hAnsi="Arial" w:cs="Arial" w:eastAsia="Arial" w:hint="default"/>
                <w:sz w:val="20"/>
                <w:szCs w:val="20"/>
              </w:rPr>
            </w:pPr>
            <w:r>
              <w:rPr>
                <w:rFonts w:ascii="Arial"/>
                <w:w w:val="99"/>
                <w:sz w:val="20"/>
              </w:rPr>
            </w:r>
            <w:r>
              <w:rPr>
                <w:rFonts w:ascii="Arial"/>
                <w:spacing w:val="-1"/>
                <w:sz w:val="20"/>
                <w:u w:val="single" w:color="000000"/>
              </w:rPr>
              <w:t>436,074,101</w:t>
            </w:r>
            <w:r>
              <w:rPr>
                <w:rFonts w:ascii="Arial"/>
                <w:spacing w:val="-1"/>
                <w:sz w:val="20"/>
              </w:rPr>
            </w:r>
            <w:r>
              <w:rPr>
                <w:rFonts w:ascii="Arial"/>
                <w:sz w:val="20"/>
              </w:rPr>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w w:val="99"/>
                <w:sz w:val="20"/>
              </w:rPr>
            </w:r>
            <w:r>
              <w:rPr>
                <w:rFonts w:ascii="Arial"/>
                <w:spacing w:val="-1"/>
                <w:sz w:val="20"/>
                <w:u w:val="single" w:color="000000"/>
              </w:rPr>
              <w:t>480,772,889</w:t>
            </w:r>
            <w:r>
              <w:rPr>
                <w:rFonts w:ascii="Arial"/>
                <w:spacing w:val="-1"/>
                <w:sz w:val="20"/>
              </w:rPr>
            </w:r>
            <w:r>
              <w:rPr>
                <w:rFonts w:ascii="Arial"/>
                <w:sz w:val="20"/>
              </w:rPr>
            </w:r>
          </w:p>
        </w:tc>
      </w:tr>
      <w:tr>
        <w:trPr>
          <w:trHeight w:val="509" w:hRule="exact"/>
        </w:trPr>
        <w:tc>
          <w:tcPr>
            <w:tcW w:w="4254" w:type="dxa"/>
            <w:tcBorders>
              <w:top w:val="nil" w:sz="6" w:space="0" w:color="auto"/>
              <w:left w:val="nil" w:sz="6" w:space="0" w:color="auto"/>
              <w:bottom w:val="nil" w:sz="6" w:space="0" w:color="auto"/>
              <w:right w:val="nil" w:sz="6" w:space="0" w:color="auto"/>
            </w:tcBorders>
          </w:tcPr>
          <w:p>
            <w:pPr/>
          </w:p>
        </w:tc>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425"/>
              <w:jc w:val="right"/>
              <w:rPr>
                <w:rFonts w:ascii="Arial" w:hAnsi="Arial" w:cs="Arial" w:eastAsia="Arial" w:hint="default"/>
                <w:sz w:val="20"/>
                <w:szCs w:val="20"/>
              </w:rPr>
            </w:pPr>
            <w:r>
              <w:rPr>
                <w:rFonts w:ascii="Arial"/>
                <w:w w:val="99"/>
                <w:sz w:val="20"/>
              </w:rPr>
            </w:r>
            <w:r>
              <w:rPr>
                <w:rFonts w:ascii="Arial"/>
                <w:spacing w:val="-1"/>
                <w:sz w:val="20"/>
                <w:u w:val="thick" w:color="000000"/>
              </w:rPr>
              <w:t>525,404,672</w:t>
            </w:r>
            <w:r>
              <w:rPr>
                <w:rFonts w:ascii="Arial"/>
                <w:spacing w:val="-1"/>
                <w:sz w:val="20"/>
              </w:rPr>
            </w:r>
            <w:r>
              <w:rPr>
                <w:rFonts w:ascii="Arial"/>
                <w:sz w:val="20"/>
              </w:rPr>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524,576,314</w:t>
            </w:r>
            <w:r>
              <w:rPr>
                <w:rFonts w:ascii="Arial"/>
                <w:spacing w:val="-1"/>
                <w:sz w:val="20"/>
              </w:rPr>
            </w:r>
            <w:r>
              <w:rPr>
                <w:rFonts w:ascii="Arial"/>
                <w:sz w:val="20"/>
              </w:rPr>
            </w:r>
          </w:p>
        </w:tc>
      </w:tr>
      <w:tr>
        <w:trPr>
          <w:trHeight w:val="383"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00" w:right="0"/>
              <w:jc w:val="left"/>
              <w:rPr>
                <w:rFonts w:ascii="黑体" w:hAnsi="黑体" w:cs="黑体" w:eastAsia="黑体" w:hint="default"/>
                <w:sz w:val="20"/>
                <w:szCs w:val="20"/>
              </w:rPr>
            </w:pPr>
            <w:r>
              <w:rPr>
                <w:rFonts w:ascii="黑体" w:hAnsi="黑体" w:cs="黑体" w:eastAsia="黑体" w:hint="default"/>
                <w:sz w:val="20"/>
                <w:szCs w:val="20"/>
              </w:rPr>
              <w:t>应纳税暂时性差异</w:t>
            </w:r>
          </w:p>
        </w:tc>
        <w:tc>
          <w:tcPr>
            <w:tcW w:w="2203" w:type="dxa"/>
            <w:tcBorders>
              <w:top w:val="nil" w:sz="6" w:space="0" w:color="auto"/>
              <w:left w:val="nil" w:sz="6" w:space="0" w:color="auto"/>
              <w:bottom w:val="nil" w:sz="6" w:space="0" w:color="auto"/>
              <w:right w:val="nil" w:sz="6" w:space="0" w:color="auto"/>
            </w:tcBorders>
          </w:tcPr>
          <w:p>
            <w:pPr/>
          </w:p>
        </w:tc>
        <w:tc>
          <w:tcPr>
            <w:tcW w:w="1734" w:type="dxa"/>
            <w:tcBorders>
              <w:top w:val="nil" w:sz="6" w:space="0" w:color="auto"/>
              <w:left w:val="nil" w:sz="6" w:space="0" w:color="auto"/>
              <w:bottom w:val="nil" w:sz="6" w:space="0" w:color="auto"/>
              <w:right w:val="nil" w:sz="6" w:space="0" w:color="auto"/>
            </w:tcBorders>
          </w:tcPr>
          <w:p>
            <w:pPr/>
          </w:p>
        </w:tc>
      </w:tr>
      <w:tr>
        <w:trPr>
          <w:trHeight w:val="237" w:hRule="exact"/>
        </w:trPr>
        <w:tc>
          <w:tcPr>
            <w:tcW w:w="4254" w:type="dxa"/>
            <w:tcBorders>
              <w:top w:val="nil" w:sz="6" w:space="0" w:color="auto"/>
              <w:left w:val="nil" w:sz="6" w:space="0" w:color="auto"/>
              <w:bottom w:val="nil" w:sz="6" w:space="0" w:color="auto"/>
              <w:right w:val="nil" w:sz="6" w:space="0" w:color="auto"/>
            </w:tcBorders>
          </w:tcPr>
          <w:p>
            <w:pPr>
              <w:pStyle w:val="TableParagraph"/>
              <w:spacing w:line="229" w:lineRule="exact"/>
              <w:ind w:left="389" w:right="0"/>
              <w:jc w:val="left"/>
              <w:rPr>
                <w:rFonts w:ascii="黑体" w:hAnsi="黑体" w:cs="黑体" w:eastAsia="黑体" w:hint="default"/>
                <w:sz w:val="20"/>
                <w:szCs w:val="20"/>
              </w:rPr>
            </w:pPr>
            <w:r>
              <w:rPr>
                <w:rFonts w:ascii="黑体" w:hAnsi="黑体" w:cs="黑体" w:eastAsia="黑体" w:hint="default"/>
                <w:sz w:val="20"/>
                <w:szCs w:val="20"/>
              </w:rPr>
              <w:t>非同一控制下企业合并公允价值调整</w:t>
            </w:r>
          </w:p>
        </w:tc>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35"/>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pacing w:val="9"/>
                <w:sz w:val="20"/>
                <w:u w:val="thick" w:color="000000"/>
              </w:rPr>
              <w:t> </w:t>
            </w:r>
            <w:r>
              <w:rPr>
                <w:rFonts w:ascii="Arial"/>
                <w:spacing w:val="-1"/>
                <w:sz w:val="20"/>
                <w:u w:val="thick" w:color="000000"/>
              </w:rPr>
              <w:t>32,188,401</w:t>
            </w:r>
            <w:r>
              <w:rPr>
                <w:rFonts w:ascii="Arial"/>
                <w:spacing w:val="-1"/>
                <w:sz w:val="20"/>
              </w:rPr>
            </w:r>
            <w:r>
              <w:rPr>
                <w:rFonts w:ascii="Arial"/>
                <w:sz w:val="20"/>
              </w:rPr>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05"/>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pacing w:val="-11"/>
                <w:sz w:val="20"/>
                <w:u w:val="thick" w:color="000000"/>
              </w:rPr>
              <w:t> </w:t>
            </w:r>
            <w:r>
              <w:rPr>
                <w:rFonts w:ascii="Arial"/>
                <w:spacing w:val="-1"/>
                <w:sz w:val="20"/>
                <w:u w:val="thick" w:color="000000"/>
              </w:rPr>
              <w:t>35,120,957</w:t>
            </w:r>
            <w:r>
              <w:rPr>
                <w:rFonts w:ascii="Arial"/>
                <w:spacing w:val="-1"/>
                <w:sz w:val="20"/>
              </w:rPr>
            </w:r>
          </w:p>
        </w:tc>
      </w:tr>
    </w:tbl>
    <w:p>
      <w:pPr>
        <w:spacing w:after="0" w:line="240" w:lineRule="auto"/>
        <w:jc w:val="right"/>
        <w:rPr>
          <w:rFonts w:ascii="Arial" w:hAnsi="Arial" w:cs="Arial" w:eastAsia="Arial" w:hint="default"/>
          <w:sz w:val="20"/>
          <w:szCs w:val="20"/>
        </w:rPr>
        <w:sectPr>
          <w:pgSz w:w="11910" w:h="16850"/>
          <w:pgMar w:header="957" w:footer="830" w:top="2520" w:bottom="1020" w:left="1600" w:right="1220"/>
        </w:sectPr>
      </w:pPr>
    </w:p>
    <w:p>
      <w:pPr>
        <w:spacing w:line="240" w:lineRule="auto" w:before="3"/>
        <w:rPr>
          <w:rFonts w:ascii="黑体" w:hAnsi="黑体" w:cs="黑体" w:eastAsia="黑体" w:hint="default"/>
          <w:sz w:val="21"/>
          <w:szCs w:val="21"/>
        </w:rPr>
      </w:pPr>
    </w:p>
    <w:p>
      <w:pPr>
        <w:pStyle w:val="Heading6"/>
        <w:tabs>
          <w:tab w:pos="804" w:val="left" w:leader="none"/>
        </w:tabs>
        <w:spacing w:line="240" w:lineRule="auto"/>
        <w:ind w:right="2891"/>
        <w:jc w:val="left"/>
        <w:rPr>
          <w:b w:val="0"/>
          <w:bCs w:val="0"/>
        </w:rPr>
      </w:pPr>
      <w:r>
        <w:rPr>
          <w:w w:val="95"/>
        </w:rPr>
        <w:t>五、</w:t>
        <w:tab/>
      </w:r>
      <w:r>
        <w:rPr/>
        <w:t>合并</w:t>
      </w:r>
      <w:bookmarkStart w:name="五、   合并财务报表主要项目注释（续）" w:id="107"/>
      <w:bookmarkEnd w:id="107"/>
      <w:r>
        <w:rPr/>
        <w:t>财</w:t>
      </w:r>
      <w:r>
        <w:rPr/>
        <w:t>务报表主要项目注释（续）</w:t>
      </w:r>
      <w:r>
        <w:rPr>
          <w:b w:val="0"/>
          <w:bCs w:val="0"/>
        </w:rPr>
      </w:r>
    </w:p>
    <w:p>
      <w:pPr>
        <w:pStyle w:val="Heading6"/>
        <w:tabs>
          <w:tab w:pos="823" w:val="left" w:leader="none"/>
        </w:tabs>
        <w:spacing w:line="240" w:lineRule="auto" w:before="175"/>
        <w:ind w:right="2891"/>
        <w:jc w:val="left"/>
        <w:rPr>
          <w:b w:val="0"/>
          <w:bCs w:val="0"/>
        </w:rPr>
      </w:pPr>
      <w:r>
        <w:rPr>
          <w:rFonts w:ascii="Arial" w:hAnsi="Arial" w:cs="Arial" w:eastAsia="Arial" w:hint="default"/>
          <w:spacing w:val="-1"/>
          <w:w w:val="95"/>
        </w:rPr>
        <w:t>17.</w:t>
        <w:tab/>
      </w:r>
      <w:r>
        <w:rPr>
          <w:spacing w:val="1"/>
        </w:rPr>
        <w:t>资产</w:t>
      </w:r>
      <w:bookmarkStart w:name="17.    资产减值准备" w:id="108"/>
      <w:bookmarkEnd w:id="108"/>
      <w:r>
        <w:rPr>
          <w:spacing w:val="1"/>
        </w:rPr>
        <w:t>减值</w:t>
      </w:r>
      <w:r>
        <w:rPr>
          <w:spacing w:val="1"/>
        </w:rPr>
        <w:t>准备</w:t>
      </w:r>
      <w:r>
        <w:rPr>
          <w:b w:val="0"/>
          <w:bCs w:val="0"/>
          <w:spacing w:val="1"/>
        </w:rPr>
      </w:r>
    </w:p>
    <w:p>
      <w:pPr>
        <w:pStyle w:val="BodyText"/>
        <w:spacing w:line="240" w:lineRule="auto" w:before="163"/>
        <w:ind w:left="794" w:right="7446"/>
        <w:jc w:val="center"/>
      </w:pPr>
      <w:r>
        <w:rPr>
          <w:rFonts w:ascii="Arial" w:hAnsi="Arial" w:cs="Arial" w:eastAsia="Arial" w:hint="default"/>
        </w:rPr>
        <w:t>2012</w:t>
      </w:r>
      <w:r>
        <w:rPr/>
        <w:t>年</w:t>
      </w:r>
    </w:p>
    <w:p>
      <w:pPr>
        <w:spacing w:line="240" w:lineRule="auto" w:before="8"/>
        <w:rPr>
          <w:rFonts w:ascii="黑体" w:hAnsi="黑体" w:cs="黑体" w:eastAsia="黑体" w:hint="default"/>
          <w:sz w:val="26"/>
          <w:szCs w:val="26"/>
        </w:rPr>
      </w:pPr>
    </w:p>
    <w:tbl>
      <w:tblPr>
        <w:tblW w:w="0" w:type="auto"/>
        <w:jc w:val="left"/>
        <w:tblInd w:w="604" w:type="dxa"/>
        <w:tblLayout w:type="fixed"/>
        <w:tblCellMar>
          <w:top w:w="0" w:type="dxa"/>
          <w:left w:w="0" w:type="dxa"/>
          <w:bottom w:w="0" w:type="dxa"/>
          <w:right w:w="0" w:type="dxa"/>
        </w:tblCellMar>
        <w:tblLook w:val="01E0"/>
      </w:tblPr>
      <w:tblGrid>
        <w:gridCol w:w="2212"/>
        <w:gridCol w:w="1270"/>
        <w:gridCol w:w="1290"/>
        <w:gridCol w:w="1387"/>
        <w:gridCol w:w="761"/>
        <w:gridCol w:w="1290"/>
      </w:tblGrid>
      <w:tr>
        <w:trPr>
          <w:trHeight w:val="203" w:hRule="exact"/>
        </w:trPr>
        <w:tc>
          <w:tcPr>
            <w:tcW w:w="221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180" w:lineRule="exact"/>
              <w:ind w:right="162"/>
              <w:jc w:val="right"/>
              <w:rPr>
                <w:rFonts w:ascii="黑体" w:hAnsi="黑体" w:cs="黑体" w:eastAsia="黑体" w:hint="default"/>
                <w:sz w:val="18"/>
                <w:szCs w:val="18"/>
              </w:rPr>
            </w:pPr>
            <w:r>
              <w:rPr>
                <w:rFonts w:ascii="黑体" w:hAnsi="黑体" w:cs="黑体" w:eastAsia="黑体" w:hint="default"/>
                <w:sz w:val="18"/>
                <w:szCs w:val="18"/>
              </w:rPr>
              <w:t>年初数</w:t>
            </w:r>
          </w:p>
        </w:tc>
        <w:tc>
          <w:tcPr>
            <w:tcW w:w="1290" w:type="dxa"/>
            <w:tcBorders>
              <w:top w:val="nil" w:sz="6" w:space="0" w:color="auto"/>
              <w:left w:val="nil" w:sz="6" w:space="0" w:color="auto"/>
              <w:bottom w:val="nil" w:sz="6" w:space="0" w:color="auto"/>
              <w:right w:val="nil" w:sz="6" w:space="0" w:color="auto"/>
            </w:tcBorders>
          </w:tcPr>
          <w:p>
            <w:pPr>
              <w:pStyle w:val="TableParagraph"/>
              <w:spacing w:line="180" w:lineRule="exact"/>
              <w:ind w:right="239"/>
              <w:jc w:val="right"/>
              <w:rPr>
                <w:rFonts w:ascii="黑体" w:hAnsi="黑体" w:cs="黑体" w:eastAsia="黑体" w:hint="default"/>
                <w:sz w:val="18"/>
                <w:szCs w:val="18"/>
              </w:rPr>
            </w:pPr>
            <w:r>
              <w:rPr>
                <w:rFonts w:ascii="黑体" w:hAnsi="黑体" w:cs="黑体" w:eastAsia="黑体" w:hint="default"/>
                <w:sz w:val="18"/>
                <w:szCs w:val="18"/>
              </w:rPr>
              <w:t>本年计提</w:t>
            </w:r>
          </w:p>
        </w:tc>
        <w:tc>
          <w:tcPr>
            <w:tcW w:w="1387" w:type="dxa"/>
            <w:tcBorders>
              <w:top w:val="nil" w:sz="6" w:space="0" w:color="auto"/>
              <w:left w:val="nil" w:sz="6" w:space="0" w:color="auto"/>
              <w:bottom w:val="single" w:sz="4" w:space="0" w:color="000000"/>
              <w:right w:val="nil" w:sz="6" w:space="0" w:color="auto"/>
            </w:tcBorders>
          </w:tcPr>
          <w:p>
            <w:pPr>
              <w:pStyle w:val="TableParagraph"/>
              <w:spacing w:line="180" w:lineRule="exact"/>
              <w:ind w:left="664" w:right="0"/>
              <w:jc w:val="left"/>
              <w:rPr>
                <w:rFonts w:ascii="黑体" w:hAnsi="黑体" w:cs="黑体" w:eastAsia="黑体" w:hint="default"/>
                <w:sz w:val="18"/>
                <w:szCs w:val="18"/>
              </w:rPr>
            </w:pPr>
            <w:r>
              <w:rPr>
                <w:rFonts w:ascii="黑体" w:hAnsi="黑体" w:cs="黑体" w:eastAsia="黑体" w:hint="default"/>
                <w:sz w:val="18"/>
                <w:szCs w:val="18"/>
              </w:rPr>
              <w:t>本年减少</w:t>
            </w:r>
          </w:p>
        </w:tc>
        <w:tc>
          <w:tcPr>
            <w:tcW w:w="761" w:type="dxa"/>
            <w:tcBorders>
              <w:top w:val="nil" w:sz="6" w:space="0" w:color="auto"/>
              <w:left w:val="nil" w:sz="6" w:space="0" w:color="auto"/>
              <w:bottom w:val="single" w:sz="4" w:space="0" w:color="000000"/>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Style w:val="TableParagraph"/>
              <w:spacing w:line="180" w:lineRule="exact"/>
              <w:ind w:right="205"/>
              <w:jc w:val="right"/>
              <w:rPr>
                <w:rFonts w:ascii="黑体" w:hAnsi="黑体" w:cs="黑体" w:eastAsia="黑体" w:hint="default"/>
                <w:sz w:val="18"/>
                <w:szCs w:val="18"/>
              </w:rPr>
            </w:pPr>
            <w:r>
              <w:rPr>
                <w:rFonts w:ascii="黑体" w:hAnsi="黑体" w:cs="黑体" w:eastAsia="黑体" w:hint="default"/>
                <w:sz w:val="18"/>
                <w:szCs w:val="18"/>
              </w:rPr>
              <w:t>年末数</w:t>
            </w:r>
          </w:p>
        </w:tc>
      </w:tr>
      <w:tr>
        <w:trPr>
          <w:trHeight w:val="457" w:hRule="exact"/>
        </w:trPr>
        <w:tc>
          <w:tcPr>
            <w:tcW w:w="221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c>
          <w:tcPr>
            <w:tcW w:w="1387"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left="657" w:right="0"/>
              <w:jc w:val="left"/>
              <w:rPr>
                <w:rFonts w:ascii="黑体" w:hAnsi="黑体" w:cs="黑体" w:eastAsia="黑体" w:hint="default"/>
                <w:sz w:val="18"/>
                <w:szCs w:val="18"/>
              </w:rPr>
            </w:pPr>
            <w:r>
              <w:rPr>
                <w:rFonts w:ascii="黑体" w:hAnsi="黑体" w:cs="黑体" w:eastAsia="黑体" w:hint="default"/>
                <w:sz w:val="18"/>
                <w:szCs w:val="18"/>
              </w:rPr>
              <w:t>转回</w:t>
            </w:r>
          </w:p>
        </w:tc>
        <w:tc>
          <w:tcPr>
            <w:tcW w:w="761"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94"/>
              <w:jc w:val="right"/>
              <w:rPr>
                <w:rFonts w:ascii="黑体" w:hAnsi="黑体" w:cs="黑体" w:eastAsia="黑体" w:hint="default"/>
                <w:sz w:val="18"/>
                <w:szCs w:val="18"/>
              </w:rPr>
            </w:pPr>
            <w:r>
              <w:rPr>
                <w:rFonts w:ascii="黑体" w:hAnsi="黑体" w:cs="黑体" w:eastAsia="黑体" w:hint="default"/>
                <w:sz w:val="18"/>
                <w:szCs w:val="18"/>
              </w:rPr>
              <w:t>转销</w:t>
            </w:r>
          </w:p>
        </w:tc>
        <w:tc>
          <w:tcPr>
            <w:tcW w:w="1290" w:type="dxa"/>
            <w:tcBorders>
              <w:top w:val="nil" w:sz="6" w:space="0" w:color="auto"/>
              <w:left w:val="nil" w:sz="6" w:space="0" w:color="auto"/>
              <w:bottom w:val="nil" w:sz="6" w:space="0" w:color="auto"/>
              <w:right w:val="nil" w:sz="6" w:space="0" w:color="auto"/>
            </w:tcBorders>
          </w:tcPr>
          <w:p>
            <w:pPr/>
          </w:p>
        </w:tc>
      </w:tr>
      <w:tr>
        <w:trPr>
          <w:trHeight w:val="376"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200" w:right="0"/>
              <w:jc w:val="left"/>
              <w:rPr>
                <w:rFonts w:ascii="黑体" w:hAnsi="黑体" w:cs="黑体" w:eastAsia="黑体" w:hint="default"/>
                <w:sz w:val="18"/>
                <w:szCs w:val="18"/>
              </w:rPr>
            </w:pPr>
            <w:r>
              <w:rPr>
                <w:rFonts w:ascii="黑体" w:hAnsi="黑体" w:cs="黑体" w:eastAsia="黑体" w:hint="default"/>
                <w:sz w:val="18"/>
                <w:szCs w:val="18"/>
              </w:rPr>
              <w:t>坏账准备</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53"/>
              <w:jc w:val="right"/>
              <w:rPr>
                <w:rFonts w:ascii="Arial" w:hAnsi="Arial" w:cs="Arial" w:eastAsia="Arial" w:hint="default"/>
                <w:sz w:val="18"/>
                <w:szCs w:val="18"/>
              </w:rPr>
            </w:pPr>
            <w:r>
              <w:rPr>
                <w:rFonts w:ascii="Arial"/>
                <w:spacing w:val="-1"/>
                <w:sz w:val="18"/>
              </w:rPr>
              <w:t>89,450,315</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231"/>
              <w:jc w:val="right"/>
              <w:rPr>
                <w:rFonts w:ascii="Arial" w:hAnsi="Arial" w:cs="Arial" w:eastAsia="Arial" w:hint="default"/>
                <w:sz w:val="18"/>
                <w:szCs w:val="18"/>
              </w:rPr>
            </w:pPr>
            <w:r>
              <w:rPr>
                <w:rFonts w:ascii="Arial"/>
                <w:spacing w:val="-1"/>
                <w:sz w:val="18"/>
              </w:rPr>
              <w:t>63,037,722</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100" w:right="0"/>
              <w:jc w:val="left"/>
              <w:rPr>
                <w:rFonts w:ascii="Arial" w:hAnsi="Arial" w:cs="Arial" w:eastAsia="Arial" w:hint="default"/>
                <w:sz w:val="18"/>
                <w:szCs w:val="18"/>
              </w:rPr>
            </w:pPr>
            <w:r>
              <w:rPr>
                <w:rFonts w:ascii="Arial"/>
                <w:sz w:val="18"/>
              </w:rPr>
              <w:t>(2,436,277)</w:t>
            </w:r>
          </w:p>
        </w:tc>
        <w:tc>
          <w:tcPr>
            <w:tcW w:w="761"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84"/>
              <w:jc w:val="right"/>
              <w:rPr>
                <w:rFonts w:ascii="Arial" w:hAnsi="Arial" w:cs="Arial" w:eastAsia="Arial" w:hint="default"/>
                <w:sz w:val="18"/>
                <w:szCs w:val="18"/>
              </w:rPr>
            </w:pPr>
            <w:r>
              <w:rPr>
                <w:rFonts w:ascii="Arial"/>
                <w:spacing w:val="-1"/>
                <w:sz w:val="18"/>
              </w:rPr>
              <w:t>(99,027)</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98"/>
              <w:jc w:val="right"/>
              <w:rPr>
                <w:rFonts w:ascii="Arial" w:hAnsi="Arial" w:cs="Arial" w:eastAsia="Arial" w:hint="default"/>
                <w:sz w:val="18"/>
                <w:szCs w:val="18"/>
              </w:rPr>
            </w:pPr>
            <w:r>
              <w:rPr>
                <w:rFonts w:ascii="Arial"/>
                <w:spacing w:val="-1"/>
                <w:sz w:val="18"/>
              </w:rPr>
              <w:t>149,952,733</w:t>
            </w:r>
          </w:p>
        </w:tc>
      </w:tr>
      <w:tr>
        <w:trPr>
          <w:trHeight w:val="226"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206" w:lineRule="exact"/>
              <w:ind w:left="200" w:right="0"/>
              <w:jc w:val="left"/>
              <w:rPr>
                <w:rFonts w:ascii="黑体" w:hAnsi="黑体" w:cs="黑体" w:eastAsia="黑体" w:hint="default"/>
                <w:sz w:val="18"/>
                <w:szCs w:val="18"/>
              </w:rPr>
            </w:pPr>
            <w:r>
              <w:rPr>
                <w:rFonts w:ascii="黑体" w:hAnsi="黑体" w:cs="黑体" w:eastAsia="黑体" w:hint="default"/>
                <w:sz w:val="18"/>
                <w:szCs w:val="18"/>
              </w:rPr>
              <w:t>长期股权投资减值准备</w:t>
            </w:r>
          </w:p>
        </w:tc>
        <w:tc>
          <w:tcPr>
            <w:tcW w:w="1270" w:type="dxa"/>
            <w:tcBorders>
              <w:top w:val="nil" w:sz="6" w:space="0" w:color="auto"/>
              <w:left w:val="nil" w:sz="6" w:space="0" w:color="auto"/>
              <w:bottom w:val="nil" w:sz="6" w:space="0" w:color="auto"/>
              <w:right w:val="nil" w:sz="6" w:space="0" w:color="auto"/>
            </w:tcBorders>
          </w:tcPr>
          <w:p>
            <w:pPr>
              <w:pStyle w:val="TableParagraph"/>
              <w:spacing w:line="199" w:lineRule="exact"/>
              <w:ind w:right="152"/>
              <w:jc w:val="right"/>
              <w:rPr>
                <w:rFonts w:ascii="Arial" w:hAnsi="Arial" w:cs="Arial" w:eastAsia="Arial" w:hint="default"/>
                <w:sz w:val="18"/>
                <w:szCs w:val="18"/>
              </w:rPr>
            </w:pPr>
            <w:r>
              <w:rPr>
                <w:rFonts w:ascii="Arial"/>
                <w:spacing w:val="-1"/>
                <w:sz w:val="18"/>
              </w:rPr>
              <w:t>918,586</w:t>
            </w:r>
          </w:p>
        </w:tc>
        <w:tc>
          <w:tcPr>
            <w:tcW w:w="1290" w:type="dxa"/>
            <w:tcBorders>
              <w:top w:val="nil" w:sz="6" w:space="0" w:color="auto"/>
              <w:left w:val="nil" w:sz="6" w:space="0" w:color="auto"/>
              <w:bottom w:val="nil" w:sz="6" w:space="0" w:color="auto"/>
              <w:right w:val="nil" w:sz="6" w:space="0" w:color="auto"/>
            </w:tcBorders>
          </w:tcPr>
          <w:p>
            <w:pPr>
              <w:pStyle w:val="TableParagraph"/>
              <w:spacing w:line="199" w:lineRule="exact"/>
              <w:ind w:right="233"/>
              <w:jc w:val="right"/>
              <w:rPr>
                <w:rFonts w:ascii="Arial" w:hAnsi="Arial" w:cs="Arial" w:eastAsia="Arial" w:hint="default"/>
                <w:sz w:val="18"/>
                <w:szCs w:val="18"/>
              </w:rPr>
            </w:pPr>
            <w:r>
              <w:rPr>
                <w:rFonts w:ascii="Arial"/>
                <w:w w:val="99"/>
                <w:sz w:val="18"/>
              </w:rPr>
              <w:t>-</w:t>
            </w:r>
            <w:r>
              <w:rPr>
                <w:rFonts w:ascii="Arial"/>
                <w:sz w:val="18"/>
              </w:rPr>
            </w:r>
          </w:p>
        </w:tc>
        <w:tc>
          <w:tcPr>
            <w:tcW w:w="1387" w:type="dxa"/>
            <w:tcBorders>
              <w:top w:val="nil" w:sz="6" w:space="0" w:color="auto"/>
              <w:left w:val="nil" w:sz="6" w:space="0" w:color="auto"/>
              <w:bottom w:val="nil" w:sz="6" w:space="0" w:color="auto"/>
              <w:right w:val="nil" w:sz="6" w:space="0" w:color="auto"/>
            </w:tcBorders>
          </w:tcPr>
          <w:p>
            <w:pPr>
              <w:pStyle w:val="TableParagraph"/>
              <w:spacing w:line="199" w:lineRule="exact"/>
              <w:ind w:right="362"/>
              <w:jc w:val="right"/>
              <w:rPr>
                <w:rFonts w:ascii="Arial" w:hAnsi="Arial" w:cs="Arial" w:eastAsia="Arial" w:hint="default"/>
                <w:sz w:val="18"/>
                <w:szCs w:val="18"/>
              </w:rPr>
            </w:pPr>
            <w:r>
              <w:rPr>
                <w:rFonts w:ascii="Arial"/>
                <w:w w:val="99"/>
                <w:sz w:val="18"/>
              </w:rPr>
              <w:t>-</w:t>
            </w:r>
            <w:r>
              <w:rPr>
                <w:rFonts w:ascii="Arial"/>
                <w:sz w:val="18"/>
              </w:rPr>
            </w:r>
          </w:p>
        </w:tc>
        <w:tc>
          <w:tcPr>
            <w:tcW w:w="761" w:type="dxa"/>
            <w:tcBorders>
              <w:top w:val="nil" w:sz="6" w:space="0" w:color="auto"/>
              <w:left w:val="nil" w:sz="6" w:space="0" w:color="auto"/>
              <w:bottom w:val="nil" w:sz="6" w:space="0" w:color="auto"/>
              <w:right w:val="nil" w:sz="6" w:space="0" w:color="auto"/>
            </w:tcBorders>
          </w:tcPr>
          <w:p>
            <w:pPr>
              <w:pStyle w:val="TableParagraph"/>
              <w:spacing w:line="199" w:lineRule="exact"/>
              <w:ind w:right="87"/>
              <w:jc w:val="right"/>
              <w:rPr>
                <w:rFonts w:ascii="Arial" w:hAnsi="Arial" w:cs="Arial" w:eastAsia="Arial" w:hint="default"/>
                <w:sz w:val="18"/>
                <w:szCs w:val="18"/>
              </w:rPr>
            </w:pPr>
            <w:r>
              <w:rPr>
                <w:rFonts w:ascii="Arial"/>
                <w:w w:val="99"/>
                <w:sz w:val="18"/>
              </w:rPr>
              <w:t>-</w:t>
            </w:r>
            <w:r>
              <w:rPr>
                <w:rFonts w:ascii="Arial"/>
                <w:sz w:val="18"/>
              </w:rPr>
            </w:r>
          </w:p>
        </w:tc>
        <w:tc>
          <w:tcPr>
            <w:tcW w:w="1290" w:type="dxa"/>
            <w:tcBorders>
              <w:top w:val="nil" w:sz="6" w:space="0" w:color="auto"/>
              <w:left w:val="nil" w:sz="6" w:space="0" w:color="auto"/>
              <w:bottom w:val="nil" w:sz="6" w:space="0" w:color="auto"/>
              <w:right w:val="nil" w:sz="6" w:space="0" w:color="auto"/>
            </w:tcBorders>
          </w:tcPr>
          <w:p>
            <w:pPr>
              <w:pStyle w:val="TableParagraph"/>
              <w:spacing w:line="199" w:lineRule="exact"/>
              <w:ind w:right="198"/>
              <w:jc w:val="right"/>
              <w:rPr>
                <w:rFonts w:ascii="Arial" w:hAnsi="Arial" w:cs="Arial" w:eastAsia="Arial" w:hint="default"/>
                <w:sz w:val="18"/>
                <w:szCs w:val="18"/>
              </w:rPr>
            </w:pPr>
            <w:r>
              <w:rPr>
                <w:rFonts w:ascii="Arial"/>
                <w:spacing w:val="-1"/>
                <w:sz w:val="18"/>
              </w:rPr>
              <w:t>918,586</w:t>
            </w:r>
          </w:p>
        </w:tc>
      </w:tr>
      <w:tr>
        <w:trPr>
          <w:trHeight w:val="238"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210" w:lineRule="exact"/>
              <w:ind w:left="200" w:right="0"/>
              <w:jc w:val="left"/>
              <w:rPr>
                <w:rFonts w:ascii="黑体" w:hAnsi="黑体" w:cs="黑体" w:eastAsia="黑体" w:hint="default"/>
                <w:sz w:val="18"/>
                <w:szCs w:val="18"/>
              </w:rPr>
            </w:pPr>
            <w:r>
              <w:rPr>
                <w:rFonts w:ascii="黑体" w:hAnsi="黑体" w:cs="黑体" w:eastAsia="黑体" w:hint="default"/>
                <w:sz w:val="18"/>
                <w:szCs w:val="18"/>
              </w:rPr>
              <w:t>商誉减值准备</w:t>
            </w:r>
          </w:p>
        </w:tc>
        <w:tc>
          <w:tcPr>
            <w:tcW w:w="1270" w:type="dxa"/>
            <w:tcBorders>
              <w:top w:val="nil" w:sz="6" w:space="0" w:color="auto"/>
              <w:left w:val="nil" w:sz="6" w:space="0" w:color="auto"/>
              <w:bottom w:val="nil" w:sz="6" w:space="0" w:color="auto"/>
              <w:right w:val="nil" w:sz="6" w:space="0" w:color="auto"/>
            </w:tcBorders>
          </w:tcPr>
          <w:p>
            <w:pPr>
              <w:pStyle w:val="TableParagraph"/>
              <w:spacing w:line="204" w:lineRule="exact"/>
              <w:ind w:right="152"/>
              <w:jc w:val="right"/>
              <w:rPr>
                <w:rFonts w:ascii="Arial" w:hAnsi="Arial" w:cs="Arial" w:eastAsia="Arial" w:hint="default"/>
                <w:sz w:val="18"/>
                <w:szCs w:val="18"/>
              </w:rPr>
            </w:pPr>
            <w:r>
              <w:rPr>
                <w:rFonts w:ascii="Arial"/>
                <w:spacing w:val="-1"/>
                <w:sz w:val="18"/>
              </w:rPr>
              <w:t>382,200</w:t>
            </w:r>
          </w:p>
        </w:tc>
        <w:tc>
          <w:tcPr>
            <w:tcW w:w="1290" w:type="dxa"/>
            <w:tcBorders>
              <w:top w:val="nil" w:sz="6" w:space="0" w:color="auto"/>
              <w:left w:val="nil" w:sz="6" w:space="0" w:color="auto"/>
              <w:bottom w:val="nil" w:sz="6" w:space="0" w:color="auto"/>
              <w:right w:val="nil" w:sz="6" w:space="0" w:color="auto"/>
            </w:tcBorders>
          </w:tcPr>
          <w:p>
            <w:pPr>
              <w:pStyle w:val="TableParagraph"/>
              <w:spacing w:line="204" w:lineRule="exact"/>
              <w:ind w:right="233"/>
              <w:jc w:val="right"/>
              <w:rPr>
                <w:rFonts w:ascii="Arial" w:hAnsi="Arial" w:cs="Arial" w:eastAsia="Arial" w:hint="default"/>
                <w:sz w:val="18"/>
                <w:szCs w:val="18"/>
              </w:rPr>
            </w:pPr>
            <w:r>
              <w:rPr>
                <w:rFonts w:ascii="Arial"/>
                <w:w w:val="99"/>
                <w:sz w:val="18"/>
              </w:rPr>
              <w:t>-</w:t>
            </w:r>
            <w:r>
              <w:rPr>
                <w:rFonts w:ascii="Arial"/>
                <w:sz w:val="18"/>
              </w:rPr>
            </w:r>
          </w:p>
        </w:tc>
        <w:tc>
          <w:tcPr>
            <w:tcW w:w="1387" w:type="dxa"/>
            <w:tcBorders>
              <w:top w:val="nil" w:sz="6" w:space="0" w:color="auto"/>
              <w:left w:val="nil" w:sz="6" w:space="0" w:color="auto"/>
              <w:bottom w:val="nil" w:sz="6" w:space="0" w:color="auto"/>
              <w:right w:val="nil" w:sz="6" w:space="0" w:color="auto"/>
            </w:tcBorders>
          </w:tcPr>
          <w:p>
            <w:pPr>
              <w:pStyle w:val="TableParagraph"/>
              <w:spacing w:line="204" w:lineRule="exact"/>
              <w:ind w:right="362"/>
              <w:jc w:val="right"/>
              <w:rPr>
                <w:rFonts w:ascii="Arial" w:hAnsi="Arial" w:cs="Arial" w:eastAsia="Arial" w:hint="default"/>
                <w:sz w:val="18"/>
                <w:szCs w:val="18"/>
              </w:rPr>
            </w:pPr>
            <w:r>
              <w:rPr>
                <w:rFonts w:ascii="Arial"/>
                <w:w w:val="99"/>
                <w:sz w:val="18"/>
              </w:rPr>
              <w:t>-</w:t>
            </w:r>
            <w:r>
              <w:rPr>
                <w:rFonts w:ascii="Arial"/>
                <w:sz w:val="18"/>
              </w:rPr>
            </w:r>
          </w:p>
        </w:tc>
        <w:tc>
          <w:tcPr>
            <w:tcW w:w="761" w:type="dxa"/>
            <w:tcBorders>
              <w:top w:val="nil" w:sz="6" w:space="0" w:color="auto"/>
              <w:left w:val="nil" w:sz="6" w:space="0" w:color="auto"/>
              <w:bottom w:val="nil" w:sz="6" w:space="0" w:color="auto"/>
              <w:right w:val="nil" w:sz="6" w:space="0" w:color="auto"/>
            </w:tcBorders>
          </w:tcPr>
          <w:p>
            <w:pPr>
              <w:pStyle w:val="TableParagraph"/>
              <w:spacing w:line="204" w:lineRule="exact"/>
              <w:ind w:right="87"/>
              <w:jc w:val="right"/>
              <w:rPr>
                <w:rFonts w:ascii="Arial" w:hAnsi="Arial" w:cs="Arial" w:eastAsia="Arial" w:hint="default"/>
                <w:sz w:val="18"/>
                <w:szCs w:val="18"/>
              </w:rPr>
            </w:pPr>
            <w:r>
              <w:rPr>
                <w:rFonts w:ascii="Arial"/>
                <w:w w:val="99"/>
                <w:sz w:val="18"/>
              </w:rPr>
              <w:t>-</w:t>
            </w:r>
            <w:r>
              <w:rPr>
                <w:rFonts w:ascii="Arial"/>
                <w:sz w:val="18"/>
              </w:rPr>
            </w:r>
          </w:p>
        </w:tc>
        <w:tc>
          <w:tcPr>
            <w:tcW w:w="1290" w:type="dxa"/>
            <w:tcBorders>
              <w:top w:val="nil" w:sz="6" w:space="0" w:color="auto"/>
              <w:left w:val="nil" w:sz="6" w:space="0" w:color="auto"/>
              <w:bottom w:val="nil" w:sz="6" w:space="0" w:color="auto"/>
              <w:right w:val="nil" w:sz="6" w:space="0" w:color="auto"/>
            </w:tcBorders>
          </w:tcPr>
          <w:p>
            <w:pPr>
              <w:pStyle w:val="TableParagraph"/>
              <w:spacing w:line="204" w:lineRule="exact"/>
              <w:ind w:right="198"/>
              <w:jc w:val="right"/>
              <w:rPr>
                <w:rFonts w:ascii="Arial" w:hAnsi="Arial" w:cs="Arial" w:eastAsia="Arial" w:hint="default"/>
                <w:sz w:val="18"/>
                <w:szCs w:val="18"/>
              </w:rPr>
            </w:pPr>
            <w:r>
              <w:rPr>
                <w:rFonts w:ascii="Arial"/>
                <w:spacing w:val="-1"/>
                <w:sz w:val="18"/>
              </w:rPr>
              <w:t>382,200</w:t>
            </w:r>
          </w:p>
        </w:tc>
      </w:tr>
      <w:tr>
        <w:trPr>
          <w:trHeight w:val="383"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218" w:lineRule="exact"/>
              <w:ind w:left="200" w:right="0"/>
              <w:jc w:val="left"/>
              <w:rPr>
                <w:rFonts w:ascii="黑体" w:hAnsi="黑体" w:cs="黑体" w:eastAsia="黑体" w:hint="default"/>
                <w:sz w:val="18"/>
                <w:szCs w:val="18"/>
              </w:rPr>
            </w:pPr>
            <w:r>
              <w:rPr>
                <w:rFonts w:ascii="黑体" w:hAnsi="黑体" w:cs="黑体" w:eastAsia="黑体" w:hint="default"/>
                <w:sz w:val="18"/>
                <w:szCs w:val="18"/>
              </w:rPr>
              <w:t>无形资产减值准备</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5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pacing w:val="-1"/>
                <w:sz w:val="18"/>
                <w:u w:val="single" w:color="000000"/>
              </w:rPr>
              <w:t>7,622,801</w:t>
            </w:r>
            <w:r>
              <w:rPr>
                <w:rFonts w:ascii="Arial"/>
                <w:spacing w:val="-1"/>
                <w:sz w:val="18"/>
              </w:rPr>
            </w:r>
          </w:p>
        </w:tc>
        <w:tc>
          <w:tcPr>
            <w:tcW w:w="1290" w:type="dxa"/>
            <w:tcBorders>
              <w:top w:val="nil" w:sz="6" w:space="0" w:color="auto"/>
              <w:left w:val="nil" w:sz="6" w:space="0" w:color="auto"/>
              <w:bottom w:val="nil" w:sz="6" w:space="0" w:color="auto"/>
              <w:right w:val="nil" w:sz="6" w:space="0" w:color="auto"/>
            </w:tcBorders>
          </w:tcPr>
          <w:p>
            <w:pPr>
              <w:pStyle w:val="TableParagraph"/>
              <w:tabs>
                <w:tab w:pos="813" w:val="left" w:leader="none"/>
              </w:tabs>
              <w:spacing w:line="240" w:lineRule="auto" w:before="4"/>
              <w:ind w:right="23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387" w:type="dxa"/>
            <w:tcBorders>
              <w:top w:val="nil" w:sz="6" w:space="0" w:color="auto"/>
              <w:left w:val="nil" w:sz="6" w:space="0" w:color="auto"/>
              <w:bottom w:val="nil" w:sz="6" w:space="0" w:color="auto"/>
              <w:right w:val="nil" w:sz="6" w:space="0" w:color="auto"/>
            </w:tcBorders>
          </w:tcPr>
          <w:p>
            <w:pPr>
              <w:pStyle w:val="TableParagraph"/>
              <w:tabs>
                <w:tab w:pos="964" w:val="left" w:leader="none"/>
              </w:tabs>
              <w:spacing w:line="240" w:lineRule="auto" w:before="4"/>
              <w:ind w:left="242"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761" w:type="dxa"/>
            <w:tcBorders>
              <w:top w:val="nil" w:sz="6" w:space="0" w:color="auto"/>
              <w:left w:val="nil" w:sz="6" w:space="0" w:color="auto"/>
              <w:bottom w:val="nil" w:sz="6" w:space="0" w:color="auto"/>
              <w:right w:val="nil" w:sz="6" w:space="0" w:color="auto"/>
            </w:tcBorders>
          </w:tcPr>
          <w:p>
            <w:pPr>
              <w:pStyle w:val="TableParagraph"/>
              <w:tabs>
                <w:tab w:pos="491" w:val="left" w:leader="none"/>
              </w:tabs>
              <w:spacing w:line="240" w:lineRule="auto" w:before="4"/>
              <w:ind w:right="8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9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8"/>
                <w:sz w:val="18"/>
                <w:u w:val="single" w:color="000000"/>
              </w:rPr>
              <w:t> </w:t>
            </w:r>
            <w:r>
              <w:rPr>
                <w:rFonts w:ascii="Arial"/>
                <w:spacing w:val="-1"/>
                <w:sz w:val="18"/>
                <w:u w:val="single" w:color="000000"/>
              </w:rPr>
              <w:t>7,622,801</w:t>
            </w:r>
            <w:r>
              <w:rPr>
                <w:rFonts w:ascii="Arial"/>
                <w:spacing w:val="-1"/>
                <w:sz w:val="18"/>
              </w:rPr>
            </w:r>
          </w:p>
        </w:tc>
      </w:tr>
      <w:tr>
        <w:trPr>
          <w:trHeight w:val="345" w:hRule="exact"/>
        </w:trPr>
        <w:tc>
          <w:tcPr>
            <w:tcW w:w="221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53"/>
              <w:jc w:val="right"/>
              <w:rPr>
                <w:rFonts w:ascii="Arial" w:hAnsi="Arial" w:cs="Arial" w:eastAsia="Arial" w:hint="default"/>
                <w:sz w:val="18"/>
                <w:szCs w:val="18"/>
              </w:rPr>
            </w:pPr>
            <w:r>
              <w:rPr>
                <w:rFonts w:ascii="Arial"/>
                <w:w w:val="99"/>
                <w:sz w:val="18"/>
              </w:rPr>
            </w:r>
            <w:r>
              <w:rPr>
                <w:rFonts w:ascii="Arial"/>
                <w:spacing w:val="-1"/>
                <w:sz w:val="18"/>
                <w:u w:val="thick" w:color="000000"/>
              </w:rPr>
              <w:t>98,373,902</w:t>
            </w:r>
            <w:r>
              <w:rPr>
                <w:rFonts w:ascii="Arial"/>
                <w:spacing w:val="-1"/>
                <w:sz w:val="18"/>
              </w:rPr>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231"/>
              <w:jc w:val="right"/>
              <w:rPr>
                <w:rFonts w:ascii="Arial" w:hAnsi="Arial" w:cs="Arial" w:eastAsia="Arial" w:hint="default"/>
                <w:sz w:val="18"/>
                <w:szCs w:val="18"/>
              </w:rPr>
            </w:pPr>
            <w:r>
              <w:rPr>
                <w:rFonts w:ascii="Arial"/>
                <w:w w:val="99"/>
                <w:sz w:val="18"/>
              </w:rPr>
            </w:r>
            <w:r>
              <w:rPr>
                <w:rFonts w:ascii="Arial"/>
                <w:spacing w:val="-1"/>
                <w:sz w:val="18"/>
                <w:u w:val="thick" w:color="000000"/>
              </w:rPr>
              <w:t>63,037,722</w:t>
            </w:r>
            <w:r>
              <w:rPr>
                <w:rFonts w:ascii="Arial"/>
                <w:spacing w:val="-1"/>
                <w:sz w:val="18"/>
              </w:rPr>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00" w:right="0"/>
              <w:jc w:val="left"/>
              <w:rPr>
                <w:rFonts w:ascii="Arial" w:hAnsi="Arial" w:cs="Arial" w:eastAsia="Arial" w:hint="default"/>
                <w:sz w:val="18"/>
                <w:szCs w:val="18"/>
              </w:rPr>
            </w:pPr>
            <w:r>
              <w:rPr>
                <w:rFonts w:ascii="Arial"/>
                <w:sz w:val="18"/>
              </w:rPr>
              <w:t>(</w:t>
            </w:r>
            <w:r>
              <w:rPr>
                <w:rFonts w:ascii="Arial"/>
                <w:sz w:val="18"/>
                <w:u w:val="thick" w:color="000000"/>
              </w:rPr>
              <w:t>2,436,277</w:t>
            </w:r>
            <w:r>
              <w:rPr>
                <w:rFonts w:ascii="Arial"/>
                <w:sz w:val="18"/>
              </w:rPr>
              <w:t>)</w:t>
            </w:r>
          </w:p>
        </w:tc>
        <w:tc>
          <w:tcPr>
            <w:tcW w:w="761"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84"/>
              <w:jc w:val="right"/>
              <w:rPr>
                <w:rFonts w:ascii="Arial" w:hAnsi="Arial" w:cs="Arial" w:eastAsia="Arial" w:hint="default"/>
                <w:sz w:val="18"/>
                <w:szCs w:val="18"/>
              </w:rPr>
            </w:pPr>
            <w:r>
              <w:rPr>
                <w:rFonts w:ascii="Arial"/>
                <w:spacing w:val="-1"/>
                <w:sz w:val="18"/>
              </w:rPr>
              <w:t>(</w:t>
            </w:r>
            <w:r>
              <w:rPr>
                <w:rFonts w:ascii="Arial"/>
                <w:spacing w:val="-1"/>
                <w:sz w:val="18"/>
                <w:u w:val="thick" w:color="000000"/>
              </w:rPr>
              <w:t>99,027</w:t>
            </w:r>
            <w:r>
              <w:rPr>
                <w:rFonts w:ascii="Arial"/>
                <w:spacing w:val="-1"/>
                <w:sz w:val="18"/>
              </w:rPr>
              <w:t>)</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98"/>
              <w:jc w:val="right"/>
              <w:rPr>
                <w:rFonts w:ascii="Arial" w:hAnsi="Arial" w:cs="Arial" w:eastAsia="Arial" w:hint="default"/>
                <w:sz w:val="18"/>
                <w:szCs w:val="18"/>
              </w:rPr>
            </w:pPr>
            <w:r>
              <w:rPr>
                <w:rFonts w:ascii="Arial"/>
                <w:w w:val="99"/>
                <w:sz w:val="18"/>
              </w:rPr>
            </w:r>
            <w:r>
              <w:rPr>
                <w:rFonts w:ascii="Arial"/>
                <w:spacing w:val="-1"/>
                <w:sz w:val="18"/>
                <w:u w:val="thick" w:color="000000"/>
              </w:rPr>
              <w:t>158,876,320</w:t>
            </w:r>
            <w:r>
              <w:rPr>
                <w:rFonts w:ascii="Arial"/>
                <w:spacing w:val="-1"/>
                <w:sz w:val="18"/>
              </w:rPr>
            </w:r>
          </w:p>
        </w:tc>
      </w:tr>
    </w:tbl>
    <w:p>
      <w:pPr>
        <w:spacing w:line="240" w:lineRule="auto" w:before="1"/>
        <w:rPr>
          <w:rFonts w:ascii="黑体" w:hAnsi="黑体" w:cs="黑体" w:eastAsia="黑体" w:hint="default"/>
          <w:sz w:val="10"/>
          <w:szCs w:val="10"/>
        </w:rPr>
      </w:pPr>
    </w:p>
    <w:p>
      <w:pPr>
        <w:pStyle w:val="BodyText"/>
        <w:spacing w:line="240" w:lineRule="auto" w:before="37"/>
        <w:ind w:right="2891"/>
        <w:jc w:val="left"/>
      </w:pPr>
      <w:r>
        <w:rPr>
          <w:rFonts w:ascii="Arial" w:hAnsi="Arial" w:cs="Arial" w:eastAsia="Arial" w:hint="default"/>
        </w:rPr>
        <w:t>2011</w:t>
      </w:r>
      <w:r>
        <w:rPr/>
        <w:t>年</w:t>
      </w:r>
    </w:p>
    <w:p>
      <w:pPr>
        <w:spacing w:line="240" w:lineRule="auto" w:before="5"/>
        <w:rPr>
          <w:rFonts w:ascii="黑体" w:hAnsi="黑体" w:cs="黑体" w:eastAsia="黑体" w:hint="default"/>
          <w:sz w:val="26"/>
          <w:szCs w:val="26"/>
        </w:rPr>
      </w:pPr>
    </w:p>
    <w:tbl>
      <w:tblPr>
        <w:tblW w:w="0" w:type="auto"/>
        <w:jc w:val="left"/>
        <w:tblInd w:w="604" w:type="dxa"/>
        <w:tblLayout w:type="fixed"/>
        <w:tblCellMar>
          <w:top w:w="0" w:type="dxa"/>
          <w:left w:w="0" w:type="dxa"/>
          <w:bottom w:w="0" w:type="dxa"/>
          <w:right w:w="0" w:type="dxa"/>
        </w:tblCellMar>
        <w:tblLook w:val="01E0"/>
      </w:tblPr>
      <w:tblGrid>
        <w:gridCol w:w="2212"/>
        <w:gridCol w:w="1270"/>
        <w:gridCol w:w="1290"/>
        <w:gridCol w:w="1079"/>
        <w:gridCol w:w="983"/>
        <w:gridCol w:w="1375"/>
      </w:tblGrid>
      <w:tr>
        <w:trPr>
          <w:trHeight w:val="205" w:hRule="exact"/>
        </w:trPr>
        <w:tc>
          <w:tcPr>
            <w:tcW w:w="221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180" w:lineRule="exact"/>
              <w:ind w:right="162"/>
              <w:jc w:val="right"/>
              <w:rPr>
                <w:rFonts w:ascii="黑体" w:hAnsi="黑体" w:cs="黑体" w:eastAsia="黑体" w:hint="default"/>
                <w:sz w:val="18"/>
                <w:szCs w:val="18"/>
              </w:rPr>
            </w:pPr>
            <w:r>
              <w:rPr>
                <w:rFonts w:ascii="黑体" w:hAnsi="黑体" w:cs="黑体" w:eastAsia="黑体" w:hint="default"/>
                <w:sz w:val="18"/>
                <w:szCs w:val="18"/>
              </w:rPr>
              <w:t>年初数</w:t>
            </w:r>
          </w:p>
        </w:tc>
        <w:tc>
          <w:tcPr>
            <w:tcW w:w="1290" w:type="dxa"/>
            <w:tcBorders>
              <w:top w:val="nil" w:sz="6" w:space="0" w:color="auto"/>
              <w:left w:val="nil" w:sz="6" w:space="0" w:color="auto"/>
              <w:bottom w:val="nil" w:sz="6" w:space="0" w:color="auto"/>
              <w:right w:val="nil" w:sz="6" w:space="0" w:color="auto"/>
            </w:tcBorders>
          </w:tcPr>
          <w:p>
            <w:pPr>
              <w:pStyle w:val="TableParagraph"/>
              <w:spacing w:line="180" w:lineRule="exact"/>
              <w:ind w:right="239"/>
              <w:jc w:val="right"/>
              <w:rPr>
                <w:rFonts w:ascii="黑体" w:hAnsi="黑体" w:cs="黑体" w:eastAsia="黑体" w:hint="default"/>
                <w:sz w:val="18"/>
                <w:szCs w:val="18"/>
              </w:rPr>
            </w:pPr>
            <w:r>
              <w:rPr>
                <w:rFonts w:ascii="黑体" w:hAnsi="黑体" w:cs="黑体" w:eastAsia="黑体" w:hint="default"/>
                <w:sz w:val="18"/>
                <w:szCs w:val="18"/>
              </w:rPr>
              <w:t>本年计提</w:t>
            </w:r>
          </w:p>
        </w:tc>
        <w:tc>
          <w:tcPr>
            <w:tcW w:w="2062" w:type="dxa"/>
            <w:gridSpan w:val="2"/>
            <w:tcBorders>
              <w:top w:val="nil" w:sz="6" w:space="0" w:color="auto"/>
              <w:left w:val="nil" w:sz="6" w:space="0" w:color="auto"/>
              <w:bottom w:val="single" w:sz="4" w:space="0" w:color="000000"/>
              <w:right w:val="nil" w:sz="6" w:space="0" w:color="auto"/>
            </w:tcBorders>
          </w:tcPr>
          <w:p>
            <w:pPr>
              <w:pStyle w:val="TableParagraph"/>
              <w:spacing w:line="180" w:lineRule="exact"/>
              <w:ind w:left="664" w:right="0"/>
              <w:jc w:val="left"/>
              <w:rPr>
                <w:rFonts w:ascii="黑体" w:hAnsi="黑体" w:cs="黑体" w:eastAsia="黑体" w:hint="default"/>
                <w:sz w:val="18"/>
                <w:szCs w:val="18"/>
              </w:rPr>
            </w:pPr>
            <w:r>
              <w:rPr>
                <w:rFonts w:ascii="黑体" w:hAnsi="黑体" w:cs="黑体" w:eastAsia="黑体" w:hint="default"/>
                <w:sz w:val="18"/>
                <w:szCs w:val="18"/>
              </w:rPr>
              <w:t>本年减少</w:t>
            </w:r>
          </w:p>
        </w:tc>
        <w:tc>
          <w:tcPr>
            <w:tcW w:w="1375" w:type="dxa"/>
            <w:tcBorders>
              <w:top w:val="nil" w:sz="6" w:space="0" w:color="auto"/>
              <w:left w:val="nil" w:sz="6" w:space="0" w:color="auto"/>
              <w:bottom w:val="nil" w:sz="6" w:space="0" w:color="auto"/>
              <w:right w:val="nil" w:sz="6" w:space="0" w:color="auto"/>
            </w:tcBorders>
          </w:tcPr>
          <w:p>
            <w:pPr>
              <w:pStyle w:val="TableParagraph"/>
              <w:spacing w:line="180" w:lineRule="exact"/>
              <w:ind w:right="205"/>
              <w:jc w:val="right"/>
              <w:rPr>
                <w:rFonts w:ascii="黑体" w:hAnsi="黑体" w:cs="黑体" w:eastAsia="黑体" w:hint="default"/>
                <w:sz w:val="18"/>
                <w:szCs w:val="18"/>
              </w:rPr>
            </w:pPr>
            <w:r>
              <w:rPr>
                <w:rFonts w:ascii="黑体" w:hAnsi="黑体" w:cs="黑体" w:eastAsia="黑体" w:hint="default"/>
                <w:sz w:val="18"/>
                <w:szCs w:val="18"/>
              </w:rPr>
              <w:t>年末数</w:t>
            </w:r>
          </w:p>
        </w:tc>
      </w:tr>
      <w:tr>
        <w:trPr>
          <w:trHeight w:val="457" w:hRule="exact"/>
        </w:trPr>
        <w:tc>
          <w:tcPr>
            <w:tcW w:w="221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c>
          <w:tcPr>
            <w:tcW w:w="1290" w:type="dxa"/>
            <w:tcBorders>
              <w:top w:val="nil" w:sz="6" w:space="0" w:color="auto"/>
              <w:left w:val="nil" w:sz="6" w:space="0" w:color="auto"/>
              <w:bottom w:val="nil" w:sz="6" w:space="0" w:color="auto"/>
              <w:right w:val="nil" w:sz="6" w:space="0" w:color="auto"/>
            </w:tcBorders>
          </w:tcPr>
          <w:p>
            <w:pPr/>
          </w:p>
        </w:tc>
        <w:tc>
          <w:tcPr>
            <w:tcW w:w="1079"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59"/>
              <w:jc w:val="right"/>
              <w:rPr>
                <w:rFonts w:ascii="黑体" w:hAnsi="黑体" w:cs="黑体" w:eastAsia="黑体" w:hint="default"/>
                <w:sz w:val="18"/>
                <w:szCs w:val="18"/>
              </w:rPr>
            </w:pPr>
            <w:r>
              <w:rPr>
                <w:rFonts w:ascii="黑体" w:hAnsi="黑体" w:cs="黑体" w:eastAsia="黑体" w:hint="default"/>
                <w:sz w:val="18"/>
                <w:szCs w:val="18"/>
              </w:rPr>
              <w:t>转回</w:t>
            </w:r>
          </w:p>
        </w:tc>
        <w:tc>
          <w:tcPr>
            <w:tcW w:w="983"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8"/>
              <w:jc w:val="right"/>
              <w:rPr>
                <w:rFonts w:ascii="黑体" w:hAnsi="黑体" w:cs="黑体" w:eastAsia="黑体" w:hint="default"/>
                <w:sz w:val="18"/>
                <w:szCs w:val="18"/>
              </w:rPr>
            </w:pPr>
            <w:r>
              <w:rPr>
                <w:rFonts w:ascii="黑体" w:hAnsi="黑体" w:cs="黑体" w:eastAsia="黑体" w:hint="default"/>
                <w:sz w:val="18"/>
                <w:szCs w:val="18"/>
              </w:rPr>
              <w:t>转销</w:t>
            </w:r>
          </w:p>
        </w:tc>
        <w:tc>
          <w:tcPr>
            <w:tcW w:w="1375" w:type="dxa"/>
            <w:tcBorders>
              <w:top w:val="nil" w:sz="6" w:space="0" w:color="auto"/>
              <w:left w:val="nil" w:sz="6" w:space="0" w:color="auto"/>
              <w:bottom w:val="nil" w:sz="6" w:space="0" w:color="auto"/>
              <w:right w:val="nil" w:sz="6" w:space="0" w:color="auto"/>
            </w:tcBorders>
          </w:tcPr>
          <w:p>
            <w:pPr/>
          </w:p>
        </w:tc>
      </w:tr>
      <w:tr>
        <w:trPr>
          <w:trHeight w:val="376"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200" w:right="0"/>
              <w:jc w:val="left"/>
              <w:rPr>
                <w:rFonts w:ascii="黑体" w:hAnsi="黑体" w:cs="黑体" w:eastAsia="黑体" w:hint="default"/>
                <w:sz w:val="18"/>
                <w:szCs w:val="18"/>
              </w:rPr>
            </w:pPr>
            <w:r>
              <w:rPr>
                <w:rFonts w:ascii="黑体" w:hAnsi="黑体" w:cs="黑体" w:eastAsia="黑体" w:hint="default"/>
                <w:sz w:val="18"/>
                <w:szCs w:val="18"/>
              </w:rPr>
              <w:t>坏账准备</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53"/>
              <w:jc w:val="right"/>
              <w:rPr>
                <w:rFonts w:ascii="Arial" w:hAnsi="Arial" w:cs="Arial" w:eastAsia="Arial" w:hint="default"/>
                <w:sz w:val="18"/>
                <w:szCs w:val="18"/>
              </w:rPr>
            </w:pPr>
            <w:r>
              <w:rPr>
                <w:rFonts w:ascii="Arial"/>
                <w:spacing w:val="-1"/>
                <w:sz w:val="18"/>
              </w:rPr>
              <w:t>52,093,365</w:t>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231"/>
              <w:jc w:val="right"/>
              <w:rPr>
                <w:rFonts w:ascii="Arial" w:hAnsi="Arial" w:cs="Arial" w:eastAsia="Arial" w:hint="default"/>
                <w:sz w:val="18"/>
                <w:szCs w:val="18"/>
              </w:rPr>
            </w:pPr>
            <w:r>
              <w:rPr>
                <w:rFonts w:ascii="Arial"/>
                <w:spacing w:val="-1"/>
                <w:sz w:val="18"/>
              </w:rPr>
              <w:t>42,012,533</w:t>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51"/>
              <w:jc w:val="right"/>
              <w:rPr>
                <w:rFonts w:ascii="Arial" w:hAnsi="Arial" w:cs="Arial" w:eastAsia="Arial" w:hint="default"/>
                <w:sz w:val="18"/>
                <w:szCs w:val="18"/>
              </w:rPr>
            </w:pPr>
            <w:r>
              <w:rPr>
                <w:rFonts w:ascii="Arial"/>
                <w:spacing w:val="-1"/>
                <w:sz w:val="18"/>
              </w:rPr>
              <w:t>(4,027,417)</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0"/>
              <w:jc w:val="right"/>
              <w:rPr>
                <w:rFonts w:ascii="Arial" w:hAnsi="Arial" w:cs="Arial" w:eastAsia="Arial" w:hint="default"/>
                <w:sz w:val="18"/>
                <w:szCs w:val="18"/>
              </w:rPr>
            </w:pPr>
            <w:r>
              <w:rPr>
                <w:rFonts w:ascii="Arial"/>
                <w:sz w:val="18"/>
              </w:rPr>
              <w:t>(  </w:t>
            </w:r>
            <w:r>
              <w:rPr>
                <w:rFonts w:ascii="Arial"/>
                <w:spacing w:val="3"/>
                <w:sz w:val="18"/>
              </w:rPr>
              <w:t> </w:t>
            </w:r>
            <w:r>
              <w:rPr>
                <w:rFonts w:ascii="Arial"/>
                <w:sz w:val="18"/>
              </w:rPr>
              <w:t>628,166)</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98"/>
              <w:jc w:val="right"/>
              <w:rPr>
                <w:rFonts w:ascii="Arial" w:hAnsi="Arial" w:cs="Arial" w:eastAsia="Arial" w:hint="default"/>
                <w:sz w:val="18"/>
                <w:szCs w:val="18"/>
              </w:rPr>
            </w:pPr>
            <w:r>
              <w:rPr>
                <w:rFonts w:ascii="Arial"/>
                <w:spacing w:val="-1"/>
                <w:sz w:val="18"/>
              </w:rPr>
              <w:t>89,450,315</w:t>
            </w:r>
          </w:p>
        </w:tc>
      </w:tr>
      <w:tr>
        <w:trPr>
          <w:trHeight w:val="224"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206" w:lineRule="exact"/>
              <w:ind w:left="200" w:right="0"/>
              <w:jc w:val="left"/>
              <w:rPr>
                <w:rFonts w:ascii="黑体" w:hAnsi="黑体" w:cs="黑体" w:eastAsia="黑体" w:hint="default"/>
                <w:sz w:val="18"/>
                <w:szCs w:val="18"/>
              </w:rPr>
            </w:pPr>
            <w:r>
              <w:rPr>
                <w:rFonts w:ascii="黑体" w:hAnsi="黑体" w:cs="黑体" w:eastAsia="黑体" w:hint="default"/>
                <w:sz w:val="18"/>
                <w:szCs w:val="18"/>
              </w:rPr>
              <w:t>长期股权投资减值准备</w:t>
            </w:r>
          </w:p>
        </w:tc>
        <w:tc>
          <w:tcPr>
            <w:tcW w:w="1270" w:type="dxa"/>
            <w:tcBorders>
              <w:top w:val="nil" w:sz="6" w:space="0" w:color="auto"/>
              <w:left w:val="nil" w:sz="6" w:space="0" w:color="auto"/>
              <w:bottom w:val="nil" w:sz="6" w:space="0" w:color="auto"/>
              <w:right w:val="nil" w:sz="6" w:space="0" w:color="auto"/>
            </w:tcBorders>
          </w:tcPr>
          <w:p>
            <w:pPr>
              <w:pStyle w:val="TableParagraph"/>
              <w:spacing w:line="199" w:lineRule="exact"/>
              <w:ind w:right="152"/>
              <w:jc w:val="right"/>
              <w:rPr>
                <w:rFonts w:ascii="Arial" w:hAnsi="Arial" w:cs="Arial" w:eastAsia="Arial" w:hint="default"/>
                <w:sz w:val="18"/>
                <w:szCs w:val="18"/>
              </w:rPr>
            </w:pPr>
            <w:r>
              <w:rPr>
                <w:rFonts w:ascii="Arial"/>
                <w:spacing w:val="-1"/>
                <w:sz w:val="18"/>
              </w:rPr>
              <w:t>6,918,586</w:t>
            </w:r>
          </w:p>
        </w:tc>
        <w:tc>
          <w:tcPr>
            <w:tcW w:w="1290" w:type="dxa"/>
            <w:tcBorders>
              <w:top w:val="nil" w:sz="6" w:space="0" w:color="auto"/>
              <w:left w:val="nil" w:sz="6" w:space="0" w:color="auto"/>
              <w:bottom w:val="nil" w:sz="6" w:space="0" w:color="auto"/>
              <w:right w:val="nil" w:sz="6" w:space="0" w:color="auto"/>
            </w:tcBorders>
          </w:tcPr>
          <w:p>
            <w:pPr>
              <w:pStyle w:val="TableParagraph"/>
              <w:spacing w:line="199" w:lineRule="exact"/>
              <w:ind w:right="233"/>
              <w:jc w:val="right"/>
              <w:rPr>
                <w:rFonts w:ascii="Arial" w:hAnsi="Arial" w:cs="Arial" w:eastAsia="Arial" w:hint="default"/>
                <w:sz w:val="18"/>
                <w:szCs w:val="18"/>
              </w:rPr>
            </w:pPr>
            <w:r>
              <w:rPr>
                <w:rFonts w:ascii="Arial"/>
                <w:w w:val="99"/>
                <w:sz w:val="18"/>
              </w:rPr>
              <w:t>-</w:t>
            </w:r>
            <w:r>
              <w:rPr>
                <w:rFonts w:ascii="Arial"/>
                <w:sz w:val="18"/>
              </w:rPr>
            </w:r>
          </w:p>
        </w:tc>
        <w:tc>
          <w:tcPr>
            <w:tcW w:w="1079" w:type="dxa"/>
            <w:tcBorders>
              <w:top w:val="nil" w:sz="6" w:space="0" w:color="auto"/>
              <w:left w:val="nil" w:sz="6" w:space="0" w:color="auto"/>
              <w:bottom w:val="nil" w:sz="6" w:space="0" w:color="auto"/>
              <w:right w:val="nil" w:sz="6" w:space="0" w:color="auto"/>
            </w:tcBorders>
          </w:tcPr>
          <w:p>
            <w:pPr>
              <w:pStyle w:val="TableParagraph"/>
              <w:spacing w:line="199" w:lineRule="exact"/>
              <w:ind w:right="54"/>
              <w:jc w:val="right"/>
              <w:rPr>
                <w:rFonts w:ascii="Arial" w:hAnsi="Arial" w:cs="Arial" w:eastAsia="Arial" w:hint="default"/>
                <w:sz w:val="18"/>
                <w:szCs w:val="18"/>
              </w:rPr>
            </w:pPr>
            <w:r>
              <w:rPr>
                <w:rFonts w:ascii="Arial"/>
                <w:w w:val="99"/>
                <w:sz w:val="18"/>
              </w:rPr>
              <w:t>-</w:t>
            </w:r>
            <w:r>
              <w:rPr>
                <w:rFonts w:ascii="Arial"/>
                <w:sz w:val="18"/>
              </w:rPr>
            </w:r>
          </w:p>
        </w:tc>
        <w:tc>
          <w:tcPr>
            <w:tcW w:w="983" w:type="dxa"/>
            <w:tcBorders>
              <w:top w:val="nil" w:sz="6" w:space="0" w:color="auto"/>
              <w:left w:val="nil" w:sz="6" w:space="0" w:color="auto"/>
              <w:bottom w:val="nil" w:sz="6" w:space="0" w:color="auto"/>
              <w:right w:val="nil" w:sz="6" w:space="0" w:color="auto"/>
            </w:tcBorders>
          </w:tcPr>
          <w:p>
            <w:pPr>
              <w:pStyle w:val="TableParagraph"/>
              <w:spacing w:line="199" w:lineRule="exact"/>
              <w:ind w:right="0"/>
              <w:jc w:val="right"/>
              <w:rPr>
                <w:rFonts w:ascii="Arial" w:hAnsi="Arial" w:cs="Arial" w:eastAsia="Arial" w:hint="default"/>
                <w:sz w:val="18"/>
                <w:szCs w:val="18"/>
              </w:rPr>
            </w:pPr>
            <w:r>
              <w:rPr>
                <w:rFonts w:ascii="Arial"/>
                <w:spacing w:val="-1"/>
                <w:sz w:val="18"/>
              </w:rPr>
              <w:t>(6,000,000)</w:t>
            </w:r>
          </w:p>
        </w:tc>
        <w:tc>
          <w:tcPr>
            <w:tcW w:w="1375" w:type="dxa"/>
            <w:tcBorders>
              <w:top w:val="nil" w:sz="6" w:space="0" w:color="auto"/>
              <w:left w:val="nil" w:sz="6" w:space="0" w:color="auto"/>
              <w:bottom w:val="nil" w:sz="6" w:space="0" w:color="auto"/>
              <w:right w:val="nil" w:sz="6" w:space="0" w:color="auto"/>
            </w:tcBorders>
          </w:tcPr>
          <w:p>
            <w:pPr>
              <w:pStyle w:val="TableParagraph"/>
              <w:spacing w:line="199" w:lineRule="exact"/>
              <w:ind w:right="198"/>
              <w:jc w:val="right"/>
              <w:rPr>
                <w:rFonts w:ascii="Arial" w:hAnsi="Arial" w:cs="Arial" w:eastAsia="Arial" w:hint="default"/>
                <w:sz w:val="18"/>
                <w:szCs w:val="18"/>
              </w:rPr>
            </w:pPr>
            <w:r>
              <w:rPr>
                <w:rFonts w:ascii="Arial"/>
                <w:spacing w:val="-1"/>
                <w:sz w:val="18"/>
              </w:rPr>
              <w:t>918,586</w:t>
            </w:r>
          </w:p>
        </w:tc>
      </w:tr>
      <w:tr>
        <w:trPr>
          <w:trHeight w:val="242"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209" w:lineRule="exact"/>
              <w:ind w:left="200" w:right="0"/>
              <w:jc w:val="left"/>
              <w:rPr>
                <w:rFonts w:ascii="黑体" w:hAnsi="黑体" w:cs="黑体" w:eastAsia="黑体" w:hint="default"/>
                <w:sz w:val="18"/>
                <w:szCs w:val="18"/>
              </w:rPr>
            </w:pPr>
            <w:r>
              <w:rPr>
                <w:rFonts w:ascii="黑体" w:hAnsi="黑体" w:cs="黑体" w:eastAsia="黑体" w:hint="default"/>
                <w:sz w:val="18"/>
                <w:szCs w:val="18"/>
              </w:rPr>
              <w:t>商誉减值准备</w:t>
            </w:r>
          </w:p>
        </w:tc>
        <w:tc>
          <w:tcPr>
            <w:tcW w:w="1270" w:type="dxa"/>
            <w:tcBorders>
              <w:top w:val="nil" w:sz="6" w:space="0" w:color="auto"/>
              <w:left w:val="nil" w:sz="6" w:space="0" w:color="auto"/>
              <w:bottom w:val="nil" w:sz="6" w:space="0" w:color="auto"/>
              <w:right w:val="nil" w:sz="6" w:space="0" w:color="auto"/>
            </w:tcBorders>
          </w:tcPr>
          <w:p>
            <w:pPr>
              <w:pStyle w:val="TableParagraph"/>
              <w:spacing w:line="203" w:lineRule="exact"/>
              <w:ind w:right="152"/>
              <w:jc w:val="right"/>
              <w:rPr>
                <w:rFonts w:ascii="Arial" w:hAnsi="Arial" w:cs="Arial" w:eastAsia="Arial" w:hint="default"/>
                <w:sz w:val="18"/>
                <w:szCs w:val="18"/>
              </w:rPr>
            </w:pPr>
            <w:r>
              <w:rPr>
                <w:rFonts w:ascii="Arial"/>
                <w:spacing w:val="-1"/>
                <w:sz w:val="18"/>
              </w:rPr>
              <w:t>382,200</w:t>
            </w:r>
          </w:p>
        </w:tc>
        <w:tc>
          <w:tcPr>
            <w:tcW w:w="1290" w:type="dxa"/>
            <w:tcBorders>
              <w:top w:val="nil" w:sz="6" w:space="0" w:color="auto"/>
              <w:left w:val="nil" w:sz="6" w:space="0" w:color="auto"/>
              <w:bottom w:val="nil" w:sz="6" w:space="0" w:color="auto"/>
              <w:right w:val="nil" w:sz="6" w:space="0" w:color="auto"/>
            </w:tcBorders>
          </w:tcPr>
          <w:p>
            <w:pPr>
              <w:pStyle w:val="TableParagraph"/>
              <w:spacing w:line="203" w:lineRule="exact"/>
              <w:ind w:right="233"/>
              <w:jc w:val="right"/>
              <w:rPr>
                <w:rFonts w:ascii="Arial" w:hAnsi="Arial" w:cs="Arial" w:eastAsia="Arial" w:hint="default"/>
                <w:sz w:val="18"/>
                <w:szCs w:val="18"/>
              </w:rPr>
            </w:pPr>
            <w:r>
              <w:rPr>
                <w:rFonts w:ascii="Arial"/>
                <w:w w:val="99"/>
                <w:sz w:val="18"/>
              </w:rPr>
              <w:t>-</w:t>
            </w:r>
            <w:r>
              <w:rPr>
                <w:rFonts w:ascii="Arial"/>
                <w:sz w:val="18"/>
              </w:rPr>
            </w:r>
          </w:p>
        </w:tc>
        <w:tc>
          <w:tcPr>
            <w:tcW w:w="1079" w:type="dxa"/>
            <w:tcBorders>
              <w:top w:val="nil" w:sz="6" w:space="0" w:color="auto"/>
              <w:left w:val="nil" w:sz="6" w:space="0" w:color="auto"/>
              <w:bottom w:val="nil" w:sz="6" w:space="0" w:color="auto"/>
              <w:right w:val="nil" w:sz="6" w:space="0" w:color="auto"/>
            </w:tcBorders>
          </w:tcPr>
          <w:p>
            <w:pPr>
              <w:pStyle w:val="TableParagraph"/>
              <w:spacing w:line="203" w:lineRule="exact"/>
              <w:ind w:right="54"/>
              <w:jc w:val="right"/>
              <w:rPr>
                <w:rFonts w:ascii="Arial" w:hAnsi="Arial" w:cs="Arial" w:eastAsia="Arial" w:hint="default"/>
                <w:sz w:val="18"/>
                <w:szCs w:val="18"/>
              </w:rPr>
            </w:pPr>
            <w:r>
              <w:rPr>
                <w:rFonts w:ascii="Arial"/>
                <w:w w:val="99"/>
                <w:sz w:val="18"/>
              </w:rPr>
              <w:t>-</w:t>
            </w:r>
            <w:r>
              <w:rPr>
                <w:rFonts w:ascii="Arial"/>
                <w:sz w:val="18"/>
              </w:rPr>
            </w:r>
          </w:p>
        </w:tc>
        <w:tc>
          <w:tcPr>
            <w:tcW w:w="983" w:type="dxa"/>
            <w:tcBorders>
              <w:top w:val="nil" w:sz="6" w:space="0" w:color="auto"/>
              <w:left w:val="nil" w:sz="6" w:space="0" w:color="auto"/>
              <w:bottom w:val="nil" w:sz="6" w:space="0" w:color="auto"/>
              <w:right w:val="nil" w:sz="6" w:space="0" w:color="auto"/>
            </w:tcBorders>
          </w:tcPr>
          <w:p>
            <w:pPr>
              <w:pStyle w:val="TableParagraph"/>
              <w:spacing w:line="203" w:lineRule="exact"/>
              <w:ind w:right="1"/>
              <w:jc w:val="right"/>
              <w:rPr>
                <w:rFonts w:ascii="Arial" w:hAnsi="Arial" w:cs="Arial" w:eastAsia="Arial" w:hint="default"/>
                <w:sz w:val="18"/>
                <w:szCs w:val="18"/>
              </w:rPr>
            </w:pPr>
            <w:r>
              <w:rPr>
                <w:rFonts w:ascii="Arial"/>
                <w:w w:val="99"/>
                <w:sz w:val="18"/>
              </w:rPr>
              <w:t>-</w:t>
            </w:r>
            <w:r>
              <w:rPr>
                <w:rFonts w:ascii="Arial"/>
                <w:sz w:val="18"/>
              </w:rPr>
            </w:r>
          </w:p>
        </w:tc>
        <w:tc>
          <w:tcPr>
            <w:tcW w:w="1375" w:type="dxa"/>
            <w:tcBorders>
              <w:top w:val="nil" w:sz="6" w:space="0" w:color="auto"/>
              <w:left w:val="nil" w:sz="6" w:space="0" w:color="auto"/>
              <w:bottom w:val="nil" w:sz="6" w:space="0" w:color="auto"/>
              <w:right w:val="nil" w:sz="6" w:space="0" w:color="auto"/>
            </w:tcBorders>
          </w:tcPr>
          <w:p>
            <w:pPr>
              <w:pStyle w:val="TableParagraph"/>
              <w:spacing w:line="203" w:lineRule="exact"/>
              <w:ind w:right="198"/>
              <w:jc w:val="right"/>
              <w:rPr>
                <w:rFonts w:ascii="Arial" w:hAnsi="Arial" w:cs="Arial" w:eastAsia="Arial" w:hint="default"/>
                <w:sz w:val="18"/>
                <w:szCs w:val="18"/>
              </w:rPr>
            </w:pPr>
            <w:r>
              <w:rPr>
                <w:rFonts w:ascii="Arial"/>
                <w:spacing w:val="-1"/>
                <w:sz w:val="18"/>
              </w:rPr>
              <w:t>382,200</w:t>
            </w:r>
          </w:p>
        </w:tc>
      </w:tr>
      <w:tr>
        <w:trPr>
          <w:trHeight w:val="390"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224" w:lineRule="exact"/>
              <w:ind w:left="200" w:right="0"/>
              <w:jc w:val="left"/>
              <w:rPr>
                <w:rFonts w:ascii="黑体" w:hAnsi="黑体" w:cs="黑体" w:eastAsia="黑体" w:hint="default"/>
                <w:sz w:val="18"/>
                <w:szCs w:val="18"/>
              </w:rPr>
            </w:pPr>
            <w:r>
              <w:rPr>
                <w:rFonts w:ascii="黑体" w:hAnsi="黑体" w:cs="黑体" w:eastAsia="黑体" w:hint="default"/>
                <w:sz w:val="18"/>
                <w:szCs w:val="18"/>
              </w:rPr>
              <w:t>无形资产减值准备</w:t>
            </w: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5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9"/>
                <w:sz w:val="18"/>
                <w:u w:val="single" w:color="000000"/>
              </w:rPr>
              <w:t> </w:t>
            </w:r>
            <w:r>
              <w:rPr>
                <w:rFonts w:ascii="Arial"/>
                <w:spacing w:val="-1"/>
                <w:sz w:val="18"/>
                <w:u w:val="single" w:color="000000"/>
              </w:rPr>
              <w:t>7,622,801</w:t>
            </w:r>
            <w:r>
              <w:rPr>
                <w:rFonts w:ascii="Arial"/>
                <w:spacing w:val="-1"/>
                <w:sz w:val="18"/>
              </w:rPr>
            </w:r>
          </w:p>
        </w:tc>
        <w:tc>
          <w:tcPr>
            <w:tcW w:w="1290" w:type="dxa"/>
            <w:tcBorders>
              <w:top w:val="nil" w:sz="6" w:space="0" w:color="auto"/>
              <w:left w:val="nil" w:sz="6" w:space="0" w:color="auto"/>
              <w:bottom w:val="nil" w:sz="6" w:space="0" w:color="auto"/>
              <w:right w:val="nil" w:sz="6" w:space="0" w:color="auto"/>
            </w:tcBorders>
          </w:tcPr>
          <w:p>
            <w:pPr>
              <w:pStyle w:val="TableParagraph"/>
              <w:tabs>
                <w:tab w:pos="813" w:val="left" w:leader="none"/>
              </w:tabs>
              <w:spacing w:line="240" w:lineRule="auto" w:before="10"/>
              <w:ind w:right="23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079" w:type="dxa"/>
            <w:tcBorders>
              <w:top w:val="nil" w:sz="6" w:space="0" w:color="auto"/>
              <w:left w:val="nil" w:sz="6" w:space="0" w:color="auto"/>
              <w:bottom w:val="nil" w:sz="6" w:space="0" w:color="auto"/>
              <w:right w:val="nil" w:sz="6" w:space="0" w:color="auto"/>
            </w:tcBorders>
          </w:tcPr>
          <w:p>
            <w:pPr>
              <w:pStyle w:val="TableParagraph"/>
              <w:tabs>
                <w:tab w:pos="801" w:val="left" w:leader="none"/>
              </w:tabs>
              <w:spacing w:line="240" w:lineRule="auto" w:before="10"/>
              <w:ind w:right="5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983" w:type="dxa"/>
            <w:tcBorders>
              <w:top w:val="nil" w:sz="6" w:space="0" w:color="auto"/>
              <w:left w:val="nil" w:sz="6" w:space="0" w:color="auto"/>
              <w:bottom w:val="nil" w:sz="6" w:space="0" w:color="auto"/>
              <w:right w:val="nil" w:sz="6" w:space="0" w:color="auto"/>
            </w:tcBorders>
          </w:tcPr>
          <w:p>
            <w:pPr>
              <w:pStyle w:val="TableParagraph"/>
              <w:tabs>
                <w:tab w:pos="813" w:val="left" w:leader="none"/>
              </w:tabs>
              <w:spacing w:line="240" w:lineRule="auto" w:before="10"/>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pacing w:val="-1"/>
                <w:sz w:val="18"/>
                <w:u w:val="single" w:color="000000"/>
              </w:rPr>
              <w:t>7,622,801</w:t>
            </w:r>
            <w:r>
              <w:rPr>
                <w:rFonts w:ascii="Arial"/>
                <w:spacing w:val="-1"/>
                <w:sz w:val="18"/>
              </w:rPr>
            </w:r>
          </w:p>
        </w:tc>
      </w:tr>
      <w:tr>
        <w:trPr>
          <w:trHeight w:val="346" w:hRule="exact"/>
        </w:trPr>
        <w:tc>
          <w:tcPr>
            <w:tcW w:w="221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53"/>
              <w:jc w:val="right"/>
              <w:rPr>
                <w:rFonts w:ascii="Arial" w:hAnsi="Arial" w:cs="Arial" w:eastAsia="Arial" w:hint="default"/>
                <w:sz w:val="18"/>
                <w:szCs w:val="18"/>
              </w:rPr>
            </w:pPr>
            <w:r>
              <w:rPr>
                <w:rFonts w:ascii="Arial"/>
                <w:w w:val="99"/>
                <w:sz w:val="18"/>
              </w:rPr>
            </w:r>
            <w:r>
              <w:rPr>
                <w:rFonts w:ascii="Arial"/>
                <w:spacing w:val="-1"/>
                <w:sz w:val="18"/>
                <w:u w:val="thick" w:color="000000"/>
              </w:rPr>
              <w:t>67,016,952</w:t>
            </w:r>
            <w:r>
              <w:rPr>
                <w:rFonts w:ascii="Arial"/>
                <w:spacing w:val="-1"/>
                <w:sz w:val="18"/>
              </w:rPr>
            </w:r>
          </w:p>
        </w:tc>
        <w:tc>
          <w:tcPr>
            <w:tcW w:w="1290"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231"/>
              <w:jc w:val="right"/>
              <w:rPr>
                <w:rFonts w:ascii="Arial" w:hAnsi="Arial" w:cs="Arial" w:eastAsia="Arial" w:hint="default"/>
                <w:sz w:val="18"/>
                <w:szCs w:val="18"/>
              </w:rPr>
            </w:pPr>
            <w:r>
              <w:rPr>
                <w:rFonts w:ascii="Arial"/>
                <w:w w:val="99"/>
                <w:sz w:val="18"/>
              </w:rPr>
            </w:r>
            <w:r>
              <w:rPr>
                <w:rFonts w:ascii="Arial"/>
                <w:spacing w:val="-1"/>
                <w:sz w:val="18"/>
                <w:u w:val="thick" w:color="000000"/>
              </w:rPr>
              <w:t>42,012,533</w:t>
            </w:r>
            <w:r>
              <w:rPr>
                <w:rFonts w:ascii="Arial"/>
                <w:spacing w:val="-1"/>
                <w:sz w:val="18"/>
              </w:rPr>
            </w: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52"/>
              <w:jc w:val="right"/>
              <w:rPr>
                <w:rFonts w:ascii="Arial" w:hAnsi="Arial" w:cs="Arial" w:eastAsia="Arial" w:hint="default"/>
                <w:sz w:val="18"/>
                <w:szCs w:val="18"/>
              </w:rPr>
            </w:pPr>
            <w:r>
              <w:rPr>
                <w:rFonts w:ascii="Arial"/>
                <w:spacing w:val="-1"/>
                <w:sz w:val="18"/>
              </w:rPr>
              <w:t>(</w:t>
            </w:r>
            <w:r>
              <w:rPr>
                <w:rFonts w:ascii="Arial"/>
                <w:spacing w:val="-1"/>
                <w:sz w:val="18"/>
                <w:u w:val="thick" w:color="000000"/>
              </w:rPr>
              <w:t>4,027,417</w:t>
            </w:r>
            <w:r>
              <w:rPr>
                <w:rFonts w:ascii="Arial"/>
                <w:spacing w:val="-1"/>
                <w:sz w:val="18"/>
              </w:rPr>
              <w:t>)</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0"/>
              <w:jc w:val="right"/>
              <w:rPr>
                <w:rFonts w:ascii="Arial" w:hAnsi="Arial" w:cs="Arial" w:eastAsia="Arial" w:hint="default"/>
                <w:sz w:val="18"/>
                <w:szCs w:val="18"/>
              </w:rPr>
            </w:pPr>
            <w:r>
              <w:rPr>
                <w:rFonts w:ascii="Arial"/>
                <w:spacing w:val="-1"/>
                <w:sz w:val="18"/>
              </w:rPr>
              <w:t>(</w:t>
            </w:r>
            <w:r>
              <w:rPr>
                <w:rFonts w:ascii="Arial"/>
                <w:spacing w:val="-1"/>
                <w:sz w:val="18"/>
                <w:u w:val="thick" w:color="000000"/>
              </w:rPr>
              <w:t>6,628,166</w:t>
            </w:r>
            <w:r>
              <w:rPr>
                <w:rFonts w:ascii="Arial"/>
                <w:spacing w:val="-1"/>
                <w:sz w:val="18"/>
              </w:rPr>
              <w:t>)</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98"/>
              <w:jc w:val="right"/>
              <w:rPr>
                <w:rFonts w:ascii="Arial" w:hAnsi="Arial" w:cs="Arial" w:eastAsia="Arial" w:hint="default"/>
                <w:sz w:val="18"/>
                <w:szCs w:val="18"/>
              </w:rPr>
            </w:pPr>
            <w:r>
              <w:rPr>
                <w:rFonts w:ascii="Arial"/>
                <w:w w:val="99"/>
                <w:sz w:val="18"/>
              </w:rPr>
            </w:r>
            <w:r>
              <w:rPr>
                <w:rFonts w:ascii="Arial"/>
                <w:spacing w:val="-1"/>
                <w:sz w:val="18"/>
                <w:u w:val="thick" w:color="000000"/>
              </w:rPr>
              <w:t>98,373,902</w:t>
            </w:r>
            <w:r>
              <w:rPr>
                <w:rFonts w:ascii="Arial"/>
                <w:spacing w:val="-1"/>
                <w:sz w:val="18"/>
              </w:rPr>
            </w:r>
          </w:p>
        </w:tc>
      </w:tr>
    </w:tbl>
    <w:p>
      <w:pPr>
        <w:spacing w:after="0" w:line="240" w:lineRule="auto"/>
        <w:jc w:val="right"/>
        <w:rPr>
          <w:rFonts w:ascii="Arial" w:hAnsi="Arial" w:cs="Arial" w:eastAsia="Arial" w:hint="default"/>
          <w:sz w:val="18"/>
          <w:szCs w:val="18"/>
        </w:rPr>
        <w:sectPr>
          <w:pgSz w:w="11910" w:h="16850"/>
          <w:pgMar w:header="957" w:footer="830" w:top="2520" w:bottom="1020" w:left="1600" w:right="1380"/>
        </w:sectPr>
      </w:pPr>
    </w:p>
    <w:p>
      <w:pPr>
        <w:spacing w:line="240" w:lineRule="auto" w:before="7"/>
        <w:rPr>
          <w:rFonts w:ascii="黑体" w:hAnsi="黑体" w:cs="黑体" w:eastAsia="黑体" w:hint="default"/>
          <w:sz w:val="20"/>
          <w:szCs w:val="20"/>
        </w:rPr>
      </w:pPr>
    </w:p>
    <w:p>
      <w:pPr>
        <w:pStyle w:val="Heading6"/>
        <w:tabs>
          <w:tab w:pos="804" w:val="left" w:leader="none"/>
        </w:tabs>
        <w:spacing w:line="240" w:lineRule="auto"/>
        <w:ind w:right="232"/>
        <w:jc w:val="left"/>
        <w:rPr>
          <w:b w:val="0"/>
          <w:bCs w:val="0"/>
        </w:rPr>
      </w:pPr>
      <w:r>
        <w:rPr>
          <w:w w:val="95"/>
        </w:rPr>
        <w:t>五、</w:t>
        <w:tab/>
      </w:r>
      <w:r>
        <w:rPr/>
        <w:t>合并</w:t>
      </w:r>
      <w:bookmarkStart w:name="五、   合并财务报表主要项目注释（续）" w:id="109"/>
      <w:bookmarkEnd w:id="109"/>
      <w:r>
        <w:rPr/>
        <w:t>财</w:t>
      </w:r>
      <w:r>
        <w:rPr/>
        <w:t>务报表主要项目注释（续）</w:t>
      </w:r>
      <w:r>
        <w:rPr>
          <w:b w:val="0"/>
          <w:bCs w:val="0"/>
        </w:rPr>
      </w:r>
    </w:p>
    <w:p>
      <w:pPr>
        <w:pStyle w:val="Heading6"/>
        <w:tabs>
          <w:tab w:pos="823" w:val="left" w:leader="none"/>
        </w:tabs>
        <w:spacing w:line="240" w:lineRule="auto" w:before="175"/>
        <w:ind w:right="232"/>
        <w:jc w:val="left"/>
        <w:rPr>
          <w:b w:val="0"/>
          <w:bCs w:val="0"/>
        </w:rPr>
      </w:pPr>
      <w:r>
        <w:rPr>
          <w:rFonts w:ascii="Arial" w:hAnsi="Arial" w:cs="Arial" w:eastAsia="Arial" w:hint="default"/>
          <w:spacing w:val="-1"/>
          <w:w w:val="95"/>
        </w:rPr>
        <w:t>18.</w:t>
        <w:tab/>
      </w:r>
      <w:r>
        <w:rPr>
          <w:spacing w:val="1"/>
        </w:rPr>
        <w:t>所有</w:t>
      </w:r>
      <w:bookmarkStart w:name="18.    所有权受到限制的资产" w:id="110"/>
      <w:bookmarkEnd w:id="110"/>
      <w:r>
        <w:rPr>
          <w:spacing w:val="1"/>
        </w:rPr>
        <w:t>权受</w:t>
      </w:r>
      <w:r>
        <w:rPr>
          <w:spacing w:val="1"/>
        </w:rPr>
        <w:t>到限制的资产</w:t>
      </w:r>
      <w:r>
        <w:rPr>
          <w:b w:val="0"/>
          <w:bCs w:val="0"/>
        </w:rPr>
      </w:r>
    </w:p>
    <w:p>
      <w:pPr>
        <w:pStyle w:val="BodyText"/>
        <w:spacing w:line="240" w:lineRule="auto" w:before="163"/>
        <w:ind w:left="809" w:right="232"/>
        <w:jc w:val="left"/>
      </w:pPr>
      <w:r>
        <w:rPr>
          <w:rFonts w:ascii="Arial" w:hAnsi="Arial" w:cs="Arial" w:eastAsia="Arial" w:hint="default"/>
        </w:rPr>
        <w:t>2012</w:t>
      </w:r>
      <w:r>
        <w:rPr/>
        <w:t>年</w:t>
      </w:r>
    </w:p>
    <w:p>
      <w:pPr>
        <w:spacing w:line="240" w:lineRule="auto" w:before="1"/>
        <w:rPr>
          <w:rFonts w:ascii="黑体" w:hAnsi="黑体" w:cs="黑体" w:eastAsia="黑体" w:hint="default"/>
          <w:sz w:val="19"/>
          <w:szCs w:val="19"/>
        </w:rPr>
      </w:pPr>
    </w:p>
    <w:tbl>
      <w:tblPr>
        <w:tblW w:w="0" w:type="auto"/>
        <w:jc w:val="left"/>
        <w:tblInd w:w="604" w:type="dxa"/>
        <w:tblLayout w:type="fixed"/>
        <w:tblCellMar>
          <w:top w:w="0" w:type="dxa"/>
          <w:left w:w="0" w:type="dxa"/>
          <w:bottom w:w="0" w:type="dxa"/>
          <w:right w:w="0" w:type="dxa"/>
        </w:tblCellMar>
        <w:tblLook w:val="01E0"/>
      </w:tblPr>
      <w:tblGrid>
        <w:gridCol w:w="3057"/>
        <w:gridCol w:w="1294"/>
        <w:gridCol w:w="1271"/>
        <w:gridCol w:w="1385"/>
        <w:gridCol w:w="1340"/>
      </w:tblGrid>
      <w:tr>
        <w:trPr>
          <w:trHeight w:val="319" w:hRule="exact"/>
        </w:trPr>
        <w:tc>
          <w:tcPr>
            <w:tcW w:w="3057"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Style w:val="TableParagraph"/>
              <w:spacing w:line="199" w:lineRule="exact"/>
              <w:ind w:right="169"/>
              <w:jc w:val="right"/>
              <w:rPr>
                <w:rFonts w:ascii="黑体" w:hAnsi="黑体" w:cs="黑体" w:eastAsia="黑体" w:hint="default"/>
                <w:sz w:val="20"/>
                <w:szCs w:val="20"/>
              </w:rPr>
            </w:pPr>
            <w:bookmarkStart w:name="2012年" w:id="111"/>
            <w:bookmarkEnd w:id="111"/>
            <w:r>
              <w:rPr/>
            </w:r>
            <w:r>
              <w:rPr>
                <w:rFonts w:ascii="黑体" w:hAnsi="黑体" w:cs="黑体" w:eastAsia="黑体" w:hint="default"/>
                <w:w w:val="95"/>
                <w:sz w:val="20"/>
                <w:szCs w:val="20"/>
              </w:rPr>
              <w:t>年初数</w:t>
            </w:r>
            <w:r>
              <w:rPr>
                <w:rFonts w:ascii="黑体" w:hAnsi="黑体" w:cs="黑体" w:eastAsia="黑体" w:hint="default"/>
                <w:sz w:val="20"/>
                <w:szCs w:val="20"/>
              </w:rPr>
            </w:r>
          </w:p>
        </w:tc>
        <w:tc>
          <w:tcPr>
            <w:tcW w:w="1271" w:type="dxa"/>
            <w:tcBorders>
              <w:top w:val="nil" w:sz="6" w:space="0" w:color="auto"/>
              <w:left w:val="nil" w:sz="6" w:space="0" w:color="auto"/>
              <w:bottom w:val="nil" w:sz="6" w:space="0" w:color="auto"/>
              <w:right w:val="nil" w:sz="6" w:space="0" w:color="auto"/>
            </w:tcBorders>
          </w:tcPr>
          <w:p>
            <w:pPr>
              <w:pStyle w:val="TableParagraph"/>
              <w:spacing w:line="199" w:lineRule="exact"/>
              <w:ind w:right="125"/>
              <w:jc w:val="right"/>
              <w:rPr>
                <w:rFonts w:ascii="黑体" w:hAnsi="黑体" w:cs="黑体" w:eastAsia="黑体" w:hint="default"/>
                <w:sz w:val="20"/>
                <w:szCs w:val="20"/>
              </w:rPr>
            </w:pPr>
            <w:r>
              <w:rPr>
                <w:rFonts w:ascii="黑体" w:hAnsi="黑体" w:cs="黑体" w:eastAsia="黑体" w:hint="default"/>
                <w:w w:val="95"/>
                <w:sz w:val="20"/>
                <w:szCs w:val="20"/>
              </w:rPr>
              <w:t>本年增加</w:t>
            </w:r>
            <w:r>
              <w:rPr>
                <w:rFonts w:ascii="黑体" w:hAnsi="黑体" w:cs="黑体" w:eastAsia="黑体" w:hint="default"/>
                <w:sz w:val="20"/>
                <w:szCs w:val="20"/>
              </w:rPr>
            </w:r>
          </w:p>
        </w:tc>
        <w:tc>
          <w:tcPr>
            <w:tcW w:w="1385" w:type="dxa"/>
            <w:tcBorders>
              <w:top w:val="nil" w:sz="6" w:space="0" w:color="auto"/>
              <w:left w:val="nil" w:sz="6" w:space="0" w:color="auto"/>
              <w:bottom w:val="nil" w:sz="6" w:space="0" w:color="auto"/>
              <w:right w:val="nil" w:sz="6" w:space="0" w:color="auto"/>
            </w:tcBorders>
          </w:tcPr>
          <w:p>
            <w:pPr>
              <w:pStyle w:val="TableParagraph"/>
              <w:spacing w:line="199" w:lineRule="exact"/>
              <w:ind w:right="141"/>
              <w:jc w:val="right"/>
              <w:rPr>
                <w:rFonts w:ascii="黑体" w:hAnsi="黑体" w:cs="黑体" w:eastAsia="黑体" w:hint="default"/>
                <w:sz w:val="20"/>
                <w:szCs w:val="20"/>
              </w:rPr>
            </w:pPr>
            <w:r>
              <w:rPr>
                <w:rFonts w:ascii="黑体" w:hAnsi="黑体" w:cs="黑体" w:eastAsia="黑体" w:hint="default"/>
                <w:w w:val="95"/>
                <w:sz w:val="20"/>
                <w:szCs w:val="20"/>
              </w:rPr>
              <w:t>本年减少</w:t>
            </w:r>
            <w:r>
              <w:rPr>
                <w:rFonts w:ascii="黑体" w:hAnsi="黑体" w:cs="黑体" w:eastAsia="黑体" w:hint="default"/>
                <w:sz w:val="20"/>
                <w:szCs w:val="20"/>
              </w:rPr>
            </w:r>
          </w:p>
        </w:tc>
        <w:tc>
          <w:tcPr>
            <w:tcW w:w="1340" w:type="dxa"/>
            <w:tcBorders>
              <w:top w:val="nil" w:sz="6" w:space="0" w:color="auto"/>
              <w:left w:val="nil" w:sz="6" w:space="0" w:color="auto"/>
              <w:bottom w:val="nil" w:sz="6" w:space="0" w:color="auto"/>
              <w:right w:val="nil" w:sz="6" w:space="0" w:color="auto"/>
            </w:tcBorders>
          </w:tcPr>
          <w:p>
            <w:pPr>
              <w:pStyle w:val="TableParagraph"/>
              <w:spacing w:line="199" w:lineRule="exact"/>
              <w:ind w:right="198"/>
              <w:jc w:val="right"/>
              <w:rPr>
                <w:rFonts w:ascii="黑体" w:hAnsi="黑体" w:cs="黑体" w:eastAsia="黑体" w:hint="default"/>
                <w:sz w:val="20"/>
                <w:szCs w:val="20"/>
              </w:rPr>
            </w:pPr>
            <w:r>
              <w:rPr>
                <w:rFonts w:ascii="黑体" w:hAnsi="黑体" w:cs="黑体" w:eastAsia="黑体" w:hint="default"/>
                <w:w w:val="95"/>
                <w:sz w:val="20"/>
                <w:szCs w:val="20"/>
              </w:rPr>
              <w:t>年末数</w:t>
            </w:r>
            <w:r>
              <w:rPr>
                <w:rFonts w:ascii="黑体" w:hAnsi="黑体" w:cs="黑体" w:eastAsia="黑体" w:hint="default"/>
                <w:sz w:val="20"/>
                <w:szCs w:val="20"/>
              </w:rPr>
            </w:r>
          </w:p>
        </w:tc>
      </w:tr>
      <w:tr>
        <w:trPr>
          <w:trHeight w:val="330" w:hRule="exact"/>
        </w:trPr>
        <w:tc>
          <w:tcPr>
            <w:tcW w:w="3057"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00" w:right="0"/>
              <w:jc w:val="left"/>
              <w:rPr>
                <w:rFonts w:ascii="黑体" w:hAnsi="黑体" w:cs="黑体" w:eastAsia="黑体" w:hint="default"/>
                <w:sz w:val="20"/>
                <w:szCs w:val="20"/>
              </w:rPr>
            </w:pPr>
            <w:r>
              <w:rPr>
                <w:rFonts w:ascii="黑体" w:hAnsi="黑体" w:cs="黑体" w:eastAsia="黑体" w:hint="default"/>
                <w:sz w:val="20"/>
                <w:szCs w:val="20"/>
              </w:rPr>
              <w:t>用于担保的资产</w:t>
            </w:r>
          </w:p>
        </w:tc>
        <w:tc>
          <w:tcPr>
            <w:tcW w:w="1294"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
        </w:tc>
      </w:tr>
      <w:tr>
        <w:trPr>
          <w:trHeight w:val="224" w:hRule="exact"/>
        </w:trPr>
        <w:tc>
          <w:tcPr>
            <w:tcW w:w="3057" w:type="dxa"/>
            <w:tcBorders>
              <w:top w:val="nil" w:sz="6" w:space="0" w:color="auto"/>
              <w:left w:val="nil" w:sz="6" w:space="0" w:color="auto"/>
              <w:bottom w:val="nil" w:sz="6" w:space="0" w:color="auto"/>
              <w:right w:val="nil" w:sz="6" w:space="0" w:color="auto"/>
            </w:tcBorders>
          </w:tcPr>
          <w:p>
            <w:pPr>
              <w:pStyle w:val="TableParagraph"/>
              <w:spacing w:line="224" w:lineRule="exact"/>
              <w:ind w:left="420" w:right="0"/>
              <w:jc w:val="left"/>
              <w:rPr>
                <w:rFonts w:ascii="Arial" w:hAnsi="Arial" w:cs="Arial" w:eastAsia="Arial" w:hint="default"/>
                <w:sz w:val="20"/>
                <w:szCs w:val="20"/>
              </w:rPr>
            </w:pPr>
            <w:r>
              <w:rPr>
                <w:rFonts w:ascii="黑体" w:hAnsi="黑体" w:cs="黑体" w:eastAsia="黑体" w:hint="default"/>
                <w:sz w:val="20"/>
                <w:szCs w:val="20"/>
              </w:rPr>
              <w:t>履约保函资金</w:t>
            </w:r>
            <w:r>
              <w:rPr>
                <w:rFonts w:ascii="Arial" w:hAnsi="Arial" w:cs="Arial" w:eastAsia="Arial" w:hint="default"/>
                <w:sz w:val="20"/>
                <w:szCs w:val="20"/>
              </w:rPr>
              <w:t>(</w:t>
            </w:r>
            <w:r>
              <w:rPr>
                <w:rFonts w:ascii="黑体" w:hAnsi="黑体" w:cs="黑体" w:eastAsia="黑体" w:hint="default"/>
                <w:sz w:val="20"/>
                <w:szCs w:val="20"/>
              </w:rPr>
              <w:t>注</w:t>
            </w:r>
            <w:r>
              <w:rPr>
                <w:rFonts w:ascii="黑体" w:hAnsi="黑体" w:cs="黑体" w:eastAsia="黑体" w:hint="default"/>
                <w:spacing w:val="-57"/>
                <w:sz w:val="20"/>
                <w:szCs w:val="20"/>
              </w:rPr>
              <w:t> </w:t>
            </w:r>
            <w:r>
              <w:rPr>
                <w:rFonts w:ascii="Arial" w:hAnsi="Arial" w:cs="Arial" w:eastAsia="Arial" w:hint="default"/>
                <w:sz w:val="20"/>
                <w:szCs w:val="20"/>
              </w:rPr>
              <w:t>1)</w:t>
            </w:r>
          </w:p>
        </w:tc>
        <w:tc>
          <w:tcPr>
            <w:tcW w:w="1294" w:type="dxa"/>
            <w:tcBorders>
              <w:top w:val="nil" w:sz="6" w:space="0" w:color="auto"/>
              <w:left w:val="nil" w:sz="6" w:space="0" w:color="auto"/>
              <w:bottom w:val="nil" w:sz="6" w:space="0" w:color="auto"/>
              <w:right w:val="nil" w:sz="6" w:space="0" w:color="auto"/>
            </w:tcBorders>
          </w:tcPr>
          <w:p>
            <w:pPr>
              <w:pStyle w:val="TableParagraph"/>
              <w:spacing w:line="201" w:lineRule="exact"/>
              <w:ind w:right="149"/>
              <w:jc w:val="right"/>
              <w:rPr>
                <w:rFonts w:ascii="Arial" w:hAnsi="Arial" w:cs="Arial" w:eastAsia="Arial" w:hint="default"/>
                <w:sz w:val="18"/>
                <w:szCs w:val="18"/>
              </w:rPr>
            </w:pPr>
            <w:r>
              <w:rPr>
                <w:rFonts w:ascii="Arial"/>
                <w:spacing w:val="-1"/>
                <w:sz w:val="18"/>
              </w:rPr>
              <w:t>6,756,844</w:t>
            </w:r>
          </w:p>
        </w:tc>
        <w:tc>
          <w:tcPr>
            <w:tcW w:w="1271" w:type="dxa"/>
            <w:tcBorders>
              <w:top w:val="nil" w:sz="6" w:space="0" w:color="auto"/>
              <w:left w:val="nil" w:sz="6" w:space="0" w:color="auto"/>
              <w:bottom w:val="nil" w:sz="6" w:space="0" w:color="auto"/>
              <w:right w:val="nil" w:sz="6" w:space="0" w:color="auto"/>
            </w:tcBorders>
          </w:tcPr>
          <w:p>
            <w:pPr>
              <w:pStyle w:val="TableParagraph"/>
              <w:spacing w:line="201" w:lineRule="exact"/>
              <w:ind w:right="116"/>
              <w:jc w:val="right"/>
              <w:rPr>
                <w:rFonts w:ascii="Arial" w:hAnsi="Arial" w:cs="Arial" w:eastAsia="Arial" w:hint="default"/>
                <w:sz w:val="18"/>
                <w:szCs w:val="18"/>
              </w:rPr>
            </w:pPr>
            <w:r>
              <w:rPr>
                <w:rFonts w:ascii="Arial"/>
                <w:spacing w:val="-1"/>
                <w:sz w:val="18"/>
              </w:rPr>
              <w:t>17,831,476</w:t>
            </w:r>
          </w:p>
        </w:tc>
        <w:tc>
          <w:tcPr>
            <w:tcW w:w="1385" w:type="dxa"/>
            <w:tcBorders>
              <w:top w:val="nil" w:sz="6" w:space="0" w:color="auto"/>
              <w:left w:val="nil" w:sz="6" w:space="0" w:color="auto"/>
              <w:bottom w:val="nil" w:sz="6" w:space="0" w:color="auto"/>
              <w:right w:val="nil" w:sz="6" w:space="0" w:color="auto"/>
            </w:tcBorders>
          </w:tcPr>
          <w:p>
            <w:pPr>
              <w:pStyle w:val="TableParagraph"/>
              <w:spacing w:line="201" w:lineRule="exact"/>
              <w:ind w:right="142"/>
              <w:jc w:val="right"/>
              <w:rPr>
                <w:rFonts w:ascii="Arial" w:hAnsi="Arial" w:cs="Arial" w:eastAsia="Arial" w:hint="default"/>
                <w:sz w:val="18"/>
                <w:szCs w:val="18"/>
              </w:rPr>
            </w:pPr>
            <w:r>
              <w:rPr>
                <w:rFonts w:ascii="Arial"/>
                <w:sz w:val="18"/>
              </w:rPr>
              <w:t>(  </w:t>
            </w:r>
            <w:r>
              <w:rPr>
                <w:rFonts w:ascii="Arial"/>
                <w:spacing w:val="26"/>
                <w:sz w:val="18"/>
              </w:rPr>
              <w:t> </w:t>
            </w:r>
            <w:r>
              <w:rPr>
                <w:rFonts w:ascii="Arial"/>
                <w:sz w:val="18"/>
              </w:rPr>
              <w:t>7,122,772)</w:t>
            </w:r>
          </w:p>
        </w:tc>
        <w:tc>
          <w:tcPr>
            <w:tcW w:w="1340" w:type="dxa"/>
            <w:tcBorders>
              <w:top w:val="nil" w:sz="6" w:space="0" w:color="auto"/>
              <w:left w:val="nil" w:sz="6" w:space="0" w:color="auto"/>
              <w:bottom w:val="nil" w:sz="6" w:space="0" w:color="auto"/>
              <w:right w:val="nil" w:sz="6" w:space="0" w:color="auto"/>
            </w:tcBorders>
          </w:tcPr>
          <w:p>
            <w:pPr>
              <w:pStyle w:val="TableParagraph"/>
              <w:spacing w:line="201" w:lineRule="exact"/>
              <w:ind w:right="200"/>
              <w:jc w:val="right"/>
              <w:rPr>
                <w:rFonts w:ascii="Arial" w:hAnsi="Arial" w:cs="Arial" w:eastAsia="Arial" w:hint="default"/>
                <w:sz w:val="18"/>
                <w:szCs w:val="18"/>
              </w:rPr>
            </w:pPr>
            <w:r>
              <w:rPr>
                <w:rFonts w:ascii="Arial"/>
                <w:spacing w:val="-1"/>
                <w:sz w:val="18"/>
              </w:rPr>
              <w:t>17,465,548</w:t>
            </w:r>
            <w:r>
              <w:rPr>
                <w:rFonts w:ascii="Arial"/>
                <w:sz w:val="18"/>
              </w:rPr>
            </w:r>
          </w:p>
        </w:tc>
      </w:tr>
      <w:tr>
        <w:trPr>
          <w:trHeight w:val="333" w:hRule="exact"/>
        </w:trPr>
        <w:tc>
          <w:tcPr>
            <w:tcW w:w="3057" w:type="dxa"/>
            <w:tcBorders>
              <w:top w:val="nil" w:sz="6" w:space="0" w:color="auto"/>
              <w:left w:val="nil" w:sz="6" w:space="0" w:color="auto"/>
              <w:bottom w:val="nil" w:sz="6" w:space="0" w:color="auto"/>
              <w:right w:val="nil" w:sz="6" w:space="0" w:color="auto"/>
            </w:tcBorders>
          </w:tcPr>
          <w:p>
            <w:pPr>
              <w:pStyle w:val="TableParagraph"/>
              <w:spacing w:line="218" w:lineRule="exact"/>
              <w:ind w:left="420" w:right="0"/>
              <w:jc w:val="left"/>
              <w:rPr>
                <w:rFonts w:ascii="Arial" w:hAnsi="Arial" w:cs="Arial" w:eastAsia="Arial" w:hint="default"/>
                <w:sz w:val="20"/>
                <w:szCs w:val="20"/>
              </w:rPr>
            </w:pPr>
            <w:r>
              <w:rPr>
                <w:rFonts w:ascii="黑体" w:hAnsi="黑体" w:cs="黑体" w:eastAsia="黑体" w:hint="default"/>
                <w:sz w:val="20"/>
                <w:szCs w:val="20"/>
              </w:rPr>
              <w:t>土地使用权及在建工程</w:t>
            </w:r>
            <w:r>
              <w:rPr>
                <w:rFonts w:ascii="Arial" w:hAnsi="Arial" w:cs="Arial" w:eastAsia="Arial" w:hint="default"/>
                <w:sz w:val="20"/>
                <w:szCs w:val="20"/>
              </w:rPr>
              <w:t>(</w:t>
            </w:r>
            <w:r>
              <w:rPr>
                <w:rFonts w:ascii="黑体" w:hAnsi="黑体" w:cs="黑体" w:eastAsia="黑体" w:hint="default"/>
                <w:sz w:val="20"/>
                <w:szCs w:val="20"/>
              </w:rPr>
              <w:t>注</w:t>
            </w:r>
            <w:r>
              <w:rPr>
                <w:rFonts w:ascii="黑体" w:hAnsi="黑体" w:cs="黑体" w:eastAsia="黑体" w:hint="default"/>
                <w:spacing w:val="-52"/>
                <w:sz w:val="20"/>
                <w:szCs w:val="20"/>
              </w:rPr>
              <w:t> </w:t>
            </w:r>
            <w:r>
              <w:rPr>
                <w:rFonts w:ascii="Arial" w:hAnsi="Arial" w:cs="Arial" w:eastAsia="Arial" w:hint="default"/>
                <w:sz w:val="20"/>
                <w:szCs w:val="20"/>
              </w:rPr>
              <w:t>2)</w:t>
            </w:r>
          </w:p>
        </w:tc>
        <w:tc>
          <w:tcPr>
            <w:tcW w:w="1294" w:type="dxa"/>
            <w:tcBorders>
              <w:top w:val="nil" w:sz="6" w:space="0" w:color="auto"/>
              <w:left w:val="nil" w:sz="6" w:space="0" w:color="auto"/>
              <w:bottom w:val="nil" w:sz="6" w:space="0" w:color="auto"/>
              <w:right w:val="nil" w:sz="6" w:space="0" w:color="auto"/>
            </w:tcBorders>
          </w:tcPr>
          <w:p>
            <w:pPr>
              <w:pStyle w:val="TableParagraph"/>
              <w:spacing w:line="195" w:lineRule="exact"/>
              <w:ind w:right="147"/>
              <w:jc w:val="right"/>
              <w:rPr>
                <w:rFonts w:ascii="Arial" w:hAnsi="Arial" w:cs="Arial" w:eastAsia="Arial" w:hint="default"/>
                <w:sz w:val="18"/>
                <w:szCs w:val="18"/>
              </w:rPr>
            </w:pPr>
            <w:r>
              <w:rPr>
                <w:rFonts w:ascii="Arial"/>
                <w:w w:val="99"/>
                <w:sz w:val="18"/>
              </w:rPr>
            </w:r>
            <w:r>
              <w:rPr>
                <w:rFonts w:ascii="Arial"/>
                <w:spacing w:val="-1"/>
                <w:sz w:val="18"/>
                <w:u w:val="single" w:color="000000"/>
              </w:rPr>
              <w:t>163,020,567</w:t>
            </w:r>
            <w:r>
              <w:rPr>
                <w:rFonts w:ascii="Arial"/>
                <w:spacing w:val="-1"/>
                <w:sz w:val="18"/>
              </w:rPr>
            </w:r>
          </w:p>
        </w:tc>
        <w:tc>
          <w:tcPr>
            <w:tcW w:w="1271" w:type="dxa"/>
            <w:tcBorders>
              <w:top w:val="nil" w:sz="6" w:space="0" w:color="auto"/>
              <w:left w:val="nil" w:sz="6" w:space="0" w:color="auto"/>
              <w:bottom w:val="nil" w:sz="6" w:space="0" w:color="auto"/>
              <w:right w:val="nil" w:sz="6" w:space="0" w:color="auto"/>
            </w:tcBorders>
          </w:tcPr>
          <w:p>
            <w:pPr>
              <w:pStyle w:val="TableParagraph"/>
              <w:spacing w:line="195" w:lineRule="exact"/>
              <w:ind w:right="115"/>
              <w:jc w:val="right"/>
              <w:rPr>
                <w:rFonts w:ascii="Arial" w:hAnsi="Arial" w:cs="Arial" w:eastAsia="Arial" w:hint="default"/>
                <w:sz w:val="18"/>
                <w:szCs w:val="18"/>
              </w:rPr>
            </w:pPr>
            <w:r>
              <w:rPr>
                <w:rFonts w:ascii="Arial"/>
                <w:w w:val="99"/>
                <w:sz w:val="18"/>
              </w:rPr>
            </w:r>
            <w:r>
              <w:rPr>
                <w:rFonts w:ascii="Arial"/>
                <w:spacing w:val="-1"/>
                <w:sz w:val="18"/>
                <w:u w:val="single" w:color="000000"/>
              </w:rPr>
              <w:t>366,927,267</w:t>
            </w:r>
            <w:r>
              <w:rPr>
                <w:rFonts w:ascii="Arial"/>
                <w:spacing w:val="-1"/>
                <w:sz w:val="18"/>
              </w:rPr>
            </w:r>
          </w:p>
        </w:tc>
        <w:tc>
          <w:tcPr>
            <w:tcW w:w="1385" w:type="dxa"/>
            <w:tcBorders>
              <w:top w:val="nil" w:sz="6" w:space="0" w:color="auto"/>
              <w:left w:val="nil" w:sz="6" w:space="0" w:color="auto"/>
              <w:bottom w:val="nil" w:sz="6" w:space="0" w:color="auto"/>
              <w:right w:val="nil" w:sz="6" w:space="0" w:color="auto"/>
            </w:tcBorders>
          </w:tcPr>
          <w:p>
            <w:pPr>
              <w:pStyle w:val="TableParagraph"/>
              <w:spacing w:line="195" w:lineRule="exact"/>
              <w:ind w:right="134"/>
              <w:jc w:val="right"/>
              <w:rPr>
                <w:rFonts w:ascii="Arial" w:hAnsi="Arial" w:cs="Arial" w:eastAsia="Arial" w:hint="default"/>
                <w:sz w:val="18"/>
                <w:szCs w:val="18"/>
              </w:rPr>
            </w:pPr>
            <w:r>
              <w:rPr>
                <w:rFonts w:ascii="Arial"/>
                <w:spacing w:val="-1"/>
                <w:sz w:val="18"/>
              </w:rPr>
              <w:t>(</w:t>
            </w:r>
            <w:r>
              <w:rPr>
                <w:rFonts w:ascii="Arial"/>
                <w:spacing w:val="-1"/>
                <w:sz w:val="18"/>
                <w:u w:val="single" w:color="000000"/>
              </w:rPr>
              <w:t>163,020,567</w:t>
            </w:r>
            <w:r>
              <w:rPr>
                <w:rFonts w:ascii="Arial"/>
                <w:spacing w:val="-1"/>
                <w:sz w:val="18"/>
              </w:rPr>
              <w:t>)</w:t>
            </w:r>
          </w:p>
        </w:tc>
        <w:tc>
          <w:tcPr>
            <w:tcW w:w="1340" w:type="dxa"/>
            <w:tcBorders>
              <w:top w:val="nil" w:sz="6" w:space="0" w:color="auto"/>
              <w:left w:val="nil" w:sz="6" w:space="0" w:color="auto"/>
              <w:bottom w:val="nil" w:sz="6" w:space="0" w:color="auto"/>
              <w:right w:val="nil" w:sz="6" w:space="0" w:color="auto"/>
            </w:tcBorders>
          </w:tcPr>
          <w:p>
            <w:pPr>
              <w:pStyle w:val="TableParagraph"/>
              <w:spacing w:line="195" w:lineRule="exact"/>
              <w:ind w:right="198"/>
              <w:jc w:val="right"/>
              <w:rPr>
                <w:rFonts w:ascii="Arial" w:hAnsi="Arial" w:cs="Arial" w:eastAsia="Arial" w:hint="default"/>
                <w:sz w:val="18"/>
                <w:szCs w:val="18"/>
              </w:rPr>
            </w:pPr>
            <w:r>
              <w:rPr>
                <w:rFonts w:ascii="Arial"/>
                <w:w w:val="99"/>
                <w:sz w:val="18"/>
              </w:rPr>
            </w:r>
            <w:r>
              <w:rPr>
                <w:rFonts w:ascii="Arial"/>
                <w:spacing w:val="-1"/>
                <w:sz w:val="18"/>
                <w:u w:val="single" w:color="000000"/>
              </w:rPr>
              <w:t>366,927,267</w:t>
            </w:r>
            <w:r>
              <w:rPr>
                <w:rFonts w:ascii="Arial"/>
                <w:spacing w:val="-1"/>
                <w:sz w:val="18"/>
              </w:rPr>
            </w:r>
          </w:p>
        </w:tc>
      </w:tr>
      <w:tr>
        <w:trPr>
          <w:trHeight w:val="299" w:hRule="exact"/>
        </w:trPr>
        <w:tc>
          <w:tcPr>
            <w:tcW w:w="3057"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47"/>
              <w:jc w:val="right"/>
              <w:rPr>
                <w:rFonts w:ascii="Arial" w:hAnsi="Arial" w:cs="Arial" w:eastAsia="Arial" w:hint="default"/>
                <w:sz w:val="18"/>
                <w:szCs w:val="18"/>
              </w:rPr>
            </w:pPr>
            <w:r>
              <w:rPr>
                <w:rFonts w:ascii="Arial"/>
                <w:w w:val="99"/>
                <w:sz w:val="18"/>
              </w:rPr>
            </w:r>
            <w:r>
              <w:rPr>
                <w:rFonts w:ascii="Arial"/>
                <w:spacing w:val="-1"/>
                <w:sz w:val="18"/>
                <w:u w:val="thick" w:color="000000"/>
              </w:rPr>
              <w:t>169,777,411</w:t>
            </w:r>
            <w:r>
              <w:rPr>
                <w:rFonts w:ascii="Arial"/>
                <w:spacing w:val="-1"/>
                <w:sz w:val="18"/>
              </w:rPr>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15"/>
              <w:jc w:val="right"/>
              <w:rPr>
                <w:rFonts w:ascii="Arial" w:hAnsi="Arial" w:cs="Arial" w:eastAsia="Arial" w:hint="default"/>
                <w:sz w:val="18"/>
                <w:szCs w:val="18"/>
              </w:rPr>
            </w:pPr>
            <w:r>
              <w:rPr>
                <w:rFonts w:ascii="Arial"/>
                <w:w w:val="99"/>
                <w:sz w:val="18"/>
              </w:rPr>
            </w:r>
            <w:r>
              <w:rPr>
                <w:rFonts w:ascii="Arial"/>
                <w:spacing w:val="-1"/>
                <w:sz w:val="18"/>
                <w:u w:val="thick" w:color="000000"/>
              </w:rPr>
              <w:t>384,758,743</w:t>
            </w:r>
            <w:r>
              <w:rPr>
                <w:rFonts w:ascii="Arial"/>
                <w:spacing w:val="-1"/>
                <w:sz w:val="18"/>
              </w:rPr>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42"/>
              <w:jc w:val="right"/>
              <w:rPr>
                <w:rFonts w:ascii="Arial" w:hAnsi="Arial" w:cs="Arial" w:eastAsia="Arial" w:hint="default"/>
                <w:sz w:val="18"/>
                <w:szCs w:val="18"/>
              </w:rPr>
            </w:pPr>
            <w:r>
              <w:rPr>
                <w:rFonts w:ascii="Arial"/>
                <w:spacing w:val="-1"/>
                <w:sz w:val="18"/>
              </w:rPr>
              <w:t>(</w:t>
            </w:r>
            <w:r>
              <w:rPr>
                <w:rFonts w:ascii="Arial"/>
                <w:spacing w:val="-1"/>
                <w:sz w:val="18"/>
                <w:u w:val="thick" w:color="000000"/>
              </w:rPr>
              <w:t>170,143,339</w:t>
            </w:r>
            <w:r>
              <w:rPr>
                <w:rFonts w:ascii="Arial"/>
                <w:spacing w:val="-1"/>
                <w:sz w:val="18"/>
              </w:rPr>
              <w:t>)</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98"/>
              <w:jc w:val="right"/>
              <w:rPr>
                <w:rFonts w:ascii="Arial" w:hAnsi="Arial" w:cs="Arial" w:eastAsia="Arial" w:hint="default"/>
                <w:sz w:val="18"/>
                <w:szCs w:val="18"/>
              </w:rPr>
            </w:pPr>
            <w:r>
              <w:rPr>
                <w:rFonts w:ascii="Arial"/>
                <w:w w:val="99"/>
                <w:sz w:val="18"/>
              </w:rPr>
            </w:r>
            <w:r>
              <w:rPr>
                <w:rFonts w:ascii="Arial"/>
                <w:spacing w:val="-1"/>
                <w:sz w:val="18"/>
                <w:u w:val="thick" w:color="000000"/>
              </w:rPr>
              <w:t>384,392,815</w:t>
            </w:r>
            <w:r>
              <w:rPr>
                <w:rFonts w:ascii="Arial"/>
                <w:spacing w:val="-1"/>
                <w:sz w:val="18"/>
              </w:rPr>
            </w:r>
          </w:p>
        </w:tc>
      </w:tr>
    </w:tbl>
    <w:p>
      <w:pPr>
        <w:spacing w:line="240" w:lineRule="auto" w:before="1"/>
        <w:rPr>
          <w:rFonts w:ascii="黑体" w:hAnsi="黑体" w:cs="黑体" w:eastAsia="黑体" w:hint="default"/>
          <w:sz w:val="10"/>
          <w:szCs w:val="10"/>
        </w:rPr>
      </w:pPr>
    </w:p>
    <w:p>
      <w:pPr>
        <w:pStyle w:val="BodyText"/>
        <w:tabs>
          <w:tab w:pos="1815" w:val="left" w:leader="none"/>
        </w:tabs>
        <w:spacing w:line="240" w:lineRule="auto" w:before="37"/>
        <w:ind w:left="857" w:right="232"/>
        <w:jc w:val="left"/>
      </w:pPr>
      <w:r>
        <w:rPr>
          <w:spacing w:val="-1"/>
        </w:rPr>
        <w:t>注</w:t>
      </w:r>
      <w:r>
        <w:rPr>
          <w:rFonts w:ascii="Arial" w:hAnsi="Arial" w:cs="Arial" w:eastAsia="Arial" w:hint="default"/>
          <w:spacing w:val="-1"/>
        </w:rPr>
        <w:t>1.</w:t>
        <w:tab/>
      </w:r>
      <w:r>
        <w:rPr/>
        <w:t>上述履约保函资金的最长到期日为</w:t>
      </w:r>
      <w:r>
        <w:rPr>
          <w:rFonts w:ascii="Arial" w:hAnsi="Arial" w:cs="Arial" w:eastAsia="Arial" w:hint="default"/>
        </w:rPr>
        <w:t>2014</w:t>
      </w:r>
      <w:r>
        <w:rPr/>
        <w:t>年</w:t>
      </w:r>
      <w:r>
        <w:rPr>
          <w:rFonts w:ascii="Arial" w:hAnsi="Arial" w:cs="Arial" w:eastAsia="Arial" w:hint="default"/>
        </w:rPr>
        <w:t>12</w:t>
      </w:r>
      <w:r>
        <w:rPr/>
        <w:t>月</w:t>
      </w:r>
      <w:r>
        <w:rPr>
          <w:rFonts w:ascii="Arial" w:hAnsi="Arial" w:cs="Arial" w:eastAsia="Arial" w:hint="default"/>
        </w:rPr>
        <w:t>30</w:t>
      </w:r>
      <w:r>
        <w:rPr/>
        <w:t>日。详情参见附注五、</w:t>
      </w:r>
      <w:r>
        <w:rPr>
          <w:rFonts w:ascii="Arial" w:hAnsi="Arial" w:cs="Arial" w:eastAsia="Arial" w:hint="default"/>
        </w:rPr>
        <w:t>1</w:t>
      </w:r>
      <w:r>
        <w:rPr/>
        <w:t>。</w:t>
      </w:r>
    </w:p>
    <w:p>
      <w:pPr>
        <w:spacing w:line="240" w:lineRule="auto" w:before="0"/>
        <w:rPr>
          <w:rFonts w:ascii="黑体" w:hAnsi="黑体" w:cs="黑体" w:eastAsia="黑体" w:hint="default"/>
          <w:sz w:val="16"/>
          <w:szCs w:val="16"/>
        </w:rPr>
      </w:pPr>
    </w:p>
    <w:p>
      <w:pPr>
        <w:pStyle w:val="BodyText"/>
        <w:tabs>
          <w:tab w:pos="1814" w:val="left" w:leader="none"/>
        </w:tabs>
        <w:spacing w:line="192" w:lineRule="auto"/>
        <w:ind w:left="1814" w:right="313" w:hanging="958"/>
        <w:jc w:val="both"/>
      </w:pPr>
      <w:r>
        <w:rPr>
          <w:spacing w:val="-1"/>
        </w:rPr>
        <w:t>注</w:t>
      </w:r>
      <w:r>
        <w:rPr>
          <w:rFonts w:ascii="Arial" w:hAnsi="Arial" w:cs="Arial" w:eastAsia="Arial" w:hint="default"/>
          <w:spacing w:val="-1"/>
        </w:rPr>
        <w:t>2.</w:t>
        <w:tab/>
      </w:r>
      <w:r>
        <w:rPr>
          <w:spacing w:val="4"/>
        </w:rPr>
        <w:t>上述抵押的土地使用权及在建工程对应的借款起始日分别为</w:t>
      </w:r>
      <w:r>
        <w:rPr>
          <w:rFonts w:ascii="Arial" w:hAnsi="Arial" w:cs="Arial" w:eastAsia="Arial" w:hint="default"/>
          <w:spacing w:val="4"/>
        </w:rPr>
        <w:t>2012</w:t>
      </w:r>
      <w:r>
        <w:rPr>
          <w:spacing w:val="4"/>
        </w:rPr>
        <w:t>年</w:t>
      </w:r>
      <w:r>
        <w:rPr>
          <w:rFonts w:ascii="Arial" w:hAnsi="Arial" w:cs="Arial" w:eastAsia="Arial" w:hint="default"/>
          <w:spacing w:val="4"/>
        </w:rPr>
        <w:t>5</w:t>
      </w:r>
      <w:r>
        <w:rPr>
          <w:spacing w:val="4"/>
        </w:rPr>
        <w:t>月</w:t>
      </w:r>
      <w:r>
        <w:rPr>
          <w:rFonts w:ascii="Arial" w:hAnsi="Arial" w:cs="Arial" w:eastAsia="Arial" w:hint="default"/>
          <w:spacing w:val="4"/>
        </w:rPr>
        <w:t>16</w:t>
      </w:r>
      <w:r>
        <w:rPr>
          <w:spacing w:val="4"/>
        </w:rPr>
        <w:t>日和</w:t>
      </w:r>
      <w:r>
        <w:rPr>
          <w:spacing w:val="4"/>
          <w:w w:val="99"/>
        </w:rPr>
        <w:t> </w:t>
      </w:r>
      <w:r>
        <w:rPr>
          <w:rFonts w:ascii="Arial" w:hAnsi="Arial" w:cs="Arial" w:eastAsia="Arial" w:hint="default"/>
          <w:w w:val="95"/>
        </w:rPr>
        <w:t>2012</w:t>
      </w:r>
      <w:r>
        <w:rPr>
          <w:w w:val="95"/>
        </w:rPr>
        <w:t>年</w:t>
      </w:r>
      <w:r>
        <w:rPr>
          <w:rFonts w:ascii="Arial" w:hAnsi="Arial" w:cs="Arial" w:eastAsia="Arial" w:hint="default"/>
          <w:w w:val="95"/>
        </w:rPr>
        <w:t>8</w:t>
      </w:r>
      <w:r>
        <w:rPr>
          <w:w w:val="95"/>
        </w:rPr>
        <w:t>月</w:t>
      </w:r>
      <w:r>
        <w:rPr>
          <w:rFonts w:ascii="Arial" w:hAnsi="Arial" w:cs="Arial" w:eastAsia="Arial" w:hint="default"/>
          <w:w w:val="95"/>
        </w:rPr>
        <w:t>11</w:t>
      </w:r>
      <w:r>
        <w:rPr>
          <w:w w:val="95"/>
        </w:rPr>
        <w:t>日，到期日分别为</w:t>
      </w:r>
      <w:r>
        <w:rPr>
          <w:rFonts w:ascii="Arial" w:hAnsi="Arial" w:cs="Arial" w:eastAsia="Arial" w:hint="default"/>
          <w:w w:val="95"/>
        </w:rPr>
        <w:t>2019</w:t>
      </w:r>
      <w:r>
        <w:rPr>
          <w:w w:val="95"/>
        </w:rPr>
        <w:t>年</w:t>
      </w:r>
      <w:r>
        <w:rPr>
          <w:rFonts w:ascii="Arial" w:hAnsi="Arial" w:cs="Arial" w:eastAsia="Arial" w:hint="default"/>
          <w:w w:val="95"/>
        </w:rPr>
        <w:t>4</w:t>
      </w:r>
      <w:r>
        <w:rPr>
          <w:w w:val="95"/>
        </w:rPr>
        <w:t>月</w:t>
      </w:r>
      <w:r>
        <w:rPr>
          <w:rFonts w:ascii="Arial" w:hAnsi="Arial" w:cs="Arial" w:eastAsia="Arial" w:hint="default"/>
          <w:w w:val="95"/>
        </w:rPr>
        <w:t>14</w:t>
      </w:r>
      <w:r>
        <w:rPr>
          <w:w w:val="95"/>
        </w:rPr>
        <w:t>日和</w:t>
      </w:r>
      <w:r>
        <w:rPr>
          <w:rFonts w:ascii="Arial" w:hAnsi="Arial" w:cs="Arial" w:eastAsia="Arial" w:hint="default"/>
          <w:w w:val="95"/>
        </w:rPr>
        <w:t>2019</w:t>
      </w:r>
      <w:r>
        <w:rPr>
          <w:w w:val="95"/>
        </w:rPr>
        <w:t>年</w:t>
      </w:r>
      <w:r>
        <w:rPr>
          <w:rFonts w:ascii="Arial" w:hAnsi="Arial" w:cs="Arial" w:eastAsia="Arial" w:hint="default"/>
          <w:w w:val="95"/>
        </w:rPr>
        <w:t>4</w:t>
      </w:r>
      <w:r>
        <w:rPr>
          <w:w w:val="95"/>
        </w:rPr>
        <w:t>月</w:t>
      </w:r>
      <w:r>
        <w:rPr>
          <w:rFonts w:ascii="Arial" w:hAnsi="Arial" w:cs="Arial" w:eastAsia="Arial" w:hint="default"/>
          <w:w w:val="95"/>
        </w:rPr>
        <w:t>24</w:t>
      </w:r>
      <w:r>
        <w:rPr>
          <w:w w:val="95"/>
        </w:rPr>
        <w:t>日，详情参见附</w:t>
      </w:r>
      <w:r>
        <w:rPr>
          <w:w w:val="99"/>
        </w:rPr>
        <w:t> </w:t>
      </w:r>
      <w:r>
        <w:rPr/>
        <w:t>注五、</w:t>
      </w:r>
      <w:r>
        <w:rPr>
          <w:rFonts w:ascii="Arial" w:hAnsi="Arial" w:cs="Arial" w:eastAsia="Arial" w:hint="default"/>
        </w:rPr>
        <w:t>12</w:t>
      </w:r>
      <w:r>
        <w:rPr/>
        <w:t>。</w:t>
      </w:r>
    </w:p>
    <w:p>
      <w:pPr>
        <w:pStyle w:val="BodyText"/>
        <w:spacing w:line="240" w:lineRule="auto" w:before="171"/>
        <w:ind w:left="808" w:right="232"/>
        <w:jc w:val="left"/>
      </w:pPr>
      <w:r>
        <w:rPr>
          <w:rFonts w:ascii="Arial" w:hAnsi="Arial" w:cs="Arial" w:eastAsia="Arial" w:hint="default"/>
        </w:rPr>
        <w:t>2011</w:t>
      </w:r>
      <w:r>
        <w:rPr/>
        <w:t>年</w:t>
      </w:r>
    </w:p>
    <w:p>
      <w:pPr>
        <w:spacing w:line="240" w:lineRule="auto" w:before="12"/>
        <w:rPr>
          <w:rFonts w:ascii="黑体" w:hAnsi="黑体" w:cs="黑体" w:eastAsia="黑体" w:hint="default"/>
          <w:sz w:val="18"/>
          <w:szCs w:val="18"/>
        </w:rPr>
      </w:pPr>
    </w:p>
    <w:tbl>
      <w:tblPr>
        <w:tblW w:w="0" w:type="auto"/>
        <w:jc w:val="left"/>
        <w:tblInd w:w="604" w:type="dxa"/>
        <w:tblLayout w:type="fixed"/>
        <w:tblCellMar>
          <w:top w:w="0" w:type="dxa"/>
          <w:left w:w="0" w:type="dxa"/>
          <w:bottom w:w="0" w:type="dxa"/>
          <w:right w:w="0" w:type="dxa"/>
        </w:tblCellMar>
        <w:tblLook w:val="01E0"/>
      </w:tblPr>
      <w:tblGrid>
        <w:gridCol w:w="2845"/>
        <w:gridCol w:w="1451"/>
        <w:gridCol w:w="1420"/>
        <w:gridCol w:w="1291"/>
        <w:gridCol w:w="1340"/>
      </w:tblGrid>
      <w:tr>
        <w:trPr>
          <w:trHeight w:val="320" w:hRule="exact"/>
        </w:trPr>
        <w:tc>
          <w:tcPr>
            <w:tcW w:w="2845"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199" w:lineRule="exact"/>
              <w:ind w:right="210"/>
              <w:jc w:val="right"/>
              <w:rPr>
                <w:rFonts w:ascii="黑体" w:hAnsi="黑体" w:cs="黑体" w:eastAsia="黑体" w:hint="default"/>
                <w:sz w:val="20"/>
                <w:szCs w:val="20"/>
              </w:rPr>
            </w:pPr>
            <w:r>
              <w:rPr>
                <w:rFonts w:ascii="黑体" w:hAnsi="黑体" w:cs="黑体" w:eastAsia="黑体" w:hint="default"/>
                <w:w w:val="95"/>
                <w:sz w:val="20"/>
                <w:szCs w:val="20"/>
              </w:rPr>
              <w:t>年初数</w:t>
            </w:r>
            <w:r>
              <w:rPr>
                <w:rFonts w:ascii="黑体" w:hAnsi="黑体" w:cs="黑体" w:eastAsia="黑体" w:hint="default"/>
                <w:sz w:val="20"/>
                <w:szCs w:val="20"/>
              </w:rPr>
            </w:r>
          </w:p>
        </w:tc>
        <w:tc>
          <w:tcPr>
            <w:tcW w:w="1420" w:type="dxa"/>
            <w:tcBorders>
              <w:top w:val="nil" w:sz="6" w:space="0" w:color="auto"/>
              <w:left w:val="nil" w:sz="6" w:space="0" w:color="auto"/>
              <w:bottom w:val="nil" w:sz="6" w:space="0" w:color="auto"/>
              <w:right w:val="nil" w:sz="6" w:space="0" w:color="auto"/>
            </w:tcBorders>
          </w:tcPr>
          <w:p>
            <w:pPr>
              <w:pStyle w:val="TableParagraph"/>
              <w:spacing w:line="199" w:lineRule="exact"/>
              <w:ind w:right="233"/>
              <w:jc w:val="right"/>
              <w:rPr>
                <w:rFonts w:ascii="黑体" w:hAnsi="黑体" w:cs="黑体" w:eastAsia="黑体" w:hint="default"/>
                <w:sz w:val="20"/>
                <w:szCs w:val="20"/>
              </w:rPr>
            </w:pPr>
            <w:bookmarkStart w:name="2011年" w:id="112"/>
            <w:bookmarkEnd w:id="112"/>
            <w:r>
              <w:rPr/>
            </w:r>
            <w:r>
              <w:rPr>
                <w:rFonts w:ascii="黑体" w:hAnsi="黑体" w:cs="黑体" w:eastAsia="黑体" w:hint="default"/>
                <w:w w:val="95"/>
                <w:sz w:val="20"/>
                <w:szCs w:val="20"/>
              </w:rPr>
              <w:t>本年增加</w:t>
            </w:r>
            <w:r>
              <w:rPr>
                <w:rFonts w:ascii="黑体" w:hAnsi="黑体" w:cs="黑体" w:eastAsia="黑体" w:hint="default"/>
                <w:sz w:val="20"/>
                <w:szCs w:val="20"/>
              </w:rPr>
            </w:r>
          </w:p>
        </w:tc>
        <w:tc>
          <w:tcPr>
            <w:tcW w:w="1291" w:type="dxa"/>
            <w:tcBorders>
              <w:top w:val="nil" w:sz="6" w:space="0" w:color="auto"/>
              <w:left w:val="nil" w:sz="6" w:space="0" w:color="auto"/>
              <w:bottom w:val="nil" w:sz="6" w:space="0" w:color="auto"/>
              <w:right w:val="nil" w:sz="6" w:space="0" w:color="auto"/>
            </w:tcBorders>
          </w:tcPr>
          <w:p>
            <w:pPr>
              <w:pStyle w:val="TableParagraph"/>
              <w:spacing w:line="199" w:lineRule="exact"/>
              <w:ind w:right="135"/>
              <w:jc w:val="right"/>
              <w:rPr>
                <w:rFonts w:ascii="黑体" w:hAnsi="黑体" w:cs="黑体" w:eastAsia="黑体" w:hint="default"/>
                <w:sz w:val="20"/>
                <w:szCs w:val="20"/>
              </w:rPr>
            </w:pPr>
            <w:r>
              <w:rPr>
                <w:rFonts w:ascii="黑体" w:hAnsi="黑体" w:cs="黑体" w:eastAsia="黑体" w:hint="default"/>
                <w:w w:val="95"/>
                <w:sz w:val="20"/>
                <w:szCs w:val="20"/>
              </w:rPr>
              <w:t>本年减少</w:t>
            </w:r>
            <w:r>
              <w:rPr>
                <w:rFonts w:ascii="黑体" w:hAnsi="黑体" w:cs="黑体" w:eastAsia="黑体" w:hint="default"/>
                <w:sz w:val="20"/>
                <w:szCs w:val="20"/>
              </w:rPr>
            </w:r>
          </w:p>
        </w:tc>
        <w:tc>
          <w:tcPr>
            <w:tcW w:w="1340" w:type="dxa"/>
            <w:tcBorders>
              <w:top w:val="nil" w:sz="6" w:space="0" w:color="auto"/>
              <w:left w:val="nil" w:sz="6" w:space="0" w:color="auto"/>
              <w:bottom w:val="nil" w:sz="6" w:space="0" w:color="auto"/>
              <w:right w:val="nil" w:sz="6" w:space="0" w:color="auto"/>
            </w:tcBorders>
          </w:tcPr>
          <w:p>
            <w:pPr>
              <w:pStyle w:val="TableParagraph"/>
              <w:spacing w:line="199" w:lineRule="exact"/>
              <w:ind w:right="200"/>
              <w:jc w:val="right"/>
              <w:rPr>
                <w:rFonts w:ascii="黑体" w:hAnsi="黑体" w:cs="黑体" w:eastAsia="黑体" w:hint="default"/>
                <w:sz w:val="20"/>
                <w:szCs w:val="20"/>
              </w:rPr>
            </w:pPr>
            <w:r>
              <w:rPr>
                <w:rFonts w:ascii="黑体" w:hAnsi="黑体" w:cs="黑体" w:eastAsia="黑体" w:hint="default"/>
                <w:w w:val="95"/>
                <w:sz w:val="20"/>
                <w:szCs w:val="20"/>
              </w:rPr>
              <w:t>年末数</w:t>
            </w:r>
            <w:r>
              <w:rPr>
                <w:rFonts w:ascii="黑体" w:hAnsi="黑体" w:cs="黑体" w:eastAsia="黑体" w:hint="default"/>
                <w:sz w:val="20"/>
                <w:szCs w:val="20"/>
              </w:rPr>
            </w:r>
          </w:p>
        </w:tc>
      </w:tr>
      <w:tr>
        <w:trPr>
          <w:trHeight w:val="330" w:hRule="exact"/>
        </w:trPr>
        <w:tc>
          <w:tcPr>
            <w:tcW w:w="2845"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00" w:right="0"/>
              <w:jc w:val="left"/>
              <w:rPr>
                <w:rFonts w:ascii="黑体" w:hAnsi="黑体" w:cs="黑体" w:eastAsia="黑体" w:hint="default"/>
                <w:sz w:val="20"/>
                <w:szCs w:val="20"/>
              </w:rPr>
            </w:pPr>
            <w:r>
              <w:rPr>
                <w:rFonts w:ascii="黑体" w:hAnsi="黑体" w:cs="黑体" w:eastAsia="黑体" w:hint="default"/>
                <w:sz w:val="20"/>
                <w:szCs w:val="20"/>
              </w:rPr>
              <w:t>用于担保的资产</w:t>
            </w:r>
          </w:p>
        </w:tc>
        <w:tc>
          <w:tcPr>
            <w:tcW w:w="1451"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
        </w:tc>
      </w:tr>
      <w:tr>
        <w:trPr>
          <w:trHeight w:val="220" w:hRule="exact"/>
        </w:trPr>
        <w:tc>
          <w:tcPr>
            <w:tcW w:w="2845" w:type="dxa"/>
            <w:tcBorders>
              <w:top w:val="nil" w:sz="6" w:space="0" w:color="auto"/>
              <w:left w:val="nil" w:sz="6" w:space="0" w:color="auto"/>
              <w:bottom w:val="nil" w:sz="6" w:space="0" w:color="auto"/>
              <w:right w:val="nil" w:sz="6" w:space="0" w:color="auto"/>
            </w:tcBorders>
          </w:tcPr>
          <w:p>
            <w:pPr>
              <w:pStyle w:val="TableParagraph"/>
              <w:spacing w:line="209" w:lineRule="exact"/>
              <w:ind w:left="420" w:right="0"/>
              <w:jc w:val="left"/>
              <w:rPr>
                <w:rFonts w:ascii="黑体" w:hAnsi="黑体" w:cs="黑体" w:eastAsia="黑体" w:hint="default"/>
                <w:sz w:val="20"/>
                <w:szCs w:val="20"/>
              </w:rPr>
            </w:pPr>
            <w:r>
              <w:rPr>
                <w:rFonts w:ascii="黑体" w:hAnsi="黑体" w:cs="黑体" w:eastAsia="黑体" w:hint="default"/>
                <w:sz w:val="20"/>
                <w:szCs w:val="20"/>
              </w:rPr>
              <w:t>履约保函资金</w:t>
            </w:r>
          </w:p>
        </w:tc>
        <w:tc>
          <w:tcPr>
            <w:tcW w:w="1451" w:type="dxa"/>
            <w:tcBorders>
              <w:top w:val="nil" w:sz="6" w:space="0" w:color="auto"/>
              <w:left w:val="nil" w:sz="6" w:space="0" w:color="auto"/>
              <w:bottom w:val="nil" w:sz="6" w:space="0" w:color="auto"/>
              <w:right w:val="nil" w:sz="6" w:space="0" w:color="auto"/>
            </w:tcBorders>
          </w:tcPr>
          <w:p>
            <w:pPr>
              <w:pStyle w:val="TableParagraph"/>
              <w:spacing w:line="200" w:lineRule="exact"/>
              <w:ind w:right="188"/>
              <w:jc w:val="right"/>
              <w:rPr>
                <w:rFonts w:ascii="Arial" w:hAnsi="Arial" w:cs="Arial" w:eastAsia="Arial" w:hint="default"/>
                <w:sz w:val="18"/>
                <w:szCs w:val="18"/>
              </w:rPr>
            </w:pPr>
            <w:r>
              <w:rPr>
                <w:rFonts w:ascii="Arial"/>
                <w:spacing w:val="-1"/>
                <w:sz w:val="18"/>
              </w:rPr>
              <w:t>6,248,890</w:t>
            </w:r>
          </w:p>
        </w:tc>
        <w:tc>
          <w:tcPr>
            <w:tcW w:w="1420" w:type="dxa"/>
            <w:tcBorders>
              <w:top w:val="nil" w:sz="6" w:space="0" w:color="auto"/>
              <w:left w:val="nil" w:sz="6" w:space="0" w:color="auto"/>
              <w:bottom w:val="nil" w:sz="6" w:space="0" w:color="auto"/>
              <w:right w:val="nil" w:sz="6" w:space="0" w:color="auto"/>
            </w:tcBorders>
          </w:tcPr>
          <w:p>
            <w:pPr>
              <w:pStyle w:val="TableParagraph"/>
              <w:spacing w:line="200" w:lineRule="exact"/>
              <w:ind w:right="223"/>
              <w:jc w:val="right"/>
              <w:rPr>
                <w:rFonts w:ascii="Arial" w:hAnsi="Arial" w:cs="Arial" w:eastAsia="Arial" w:hint="default"/>
                <w:sz w:val="18"/>
                <w:szCs w:val="18"/>
              </w:rPr>
            </w:pPr>
            <w:r>
              <w:rPr>
                <w:rFonts w:ascii="Arial"/>
                <w:spacing w:val="-1"/>
                <w:sz w:val="18"/>
              </w:rPr>
              <w:t>6,245,233</w:t>
            </w:r>
          </w:p>
        </w:tc>
        <w:tc>
          <w:tcPr>
            <w:tcW w:w="1291" w:type="dxa"/>
            <w:tcBorders>
              <w:top w:val="nil" w:sz="6" w:space="0" w:color="auto"/>
              <w:left w:val="nil" w:sz="6" w:space="0" w:color="auto"/>
              <w:bottom w:val="nil" w:sz="6" w:space="0" w:color="auto"/>
              <w:right w:val="nil" w:sz="6" w:space="0" w:color="auto"/>
            </w:tcBorders>
          </w:tcPr>
          <w:p>
            <w:pPr>
              <w:pStyle w:val="TableParagraph"/>
              <w:spacing w:line="200" w:lineRule="exact"/>
              <w:ind w:right="134"/>
              <w:jc w:val="right"/>
              <w:rPr>
                <w:rFonts w:ascii="Arial" w:hAnsi="Arial" w:cs="Arial" w:eastAsia="Arial" w:hint="default"/>
                <w:sz w:val="18"/>
                <w:szCs w:val="18"/>
              </w:rPr>
            </w:pPr>
            <w:r>
              <w:rPr>
                <w:rFonts w:ascii="Arial"/>
                <w:spacing w:val="-1"/>
                <w:sz w:val="18"/>
              </w:rPr>
              <w:t>(5,737,279)</w:t>
            </w:r>
          </w:p>
        </w:tc>
        <w:tc>
          <w:tcPr>
            <w:tcW w:w="1340" w:type="dxa"/>
            <w:tcBorders>
              <w:top w:val="nil" w:sz="6" w:space="0" w:color="auto"/>
              <w:left w:val="nil" w:sz="6" w:space="0" w:color="auto"/>
              <w:bottom w:val="nil" w:sz="6" w:space="0" w:color="auto"/>
              <w:right w:val="nil" w:sz="6" w:space="0" w:color="auto"/>
            </w:tcBorders>
          </w:tcPr>
          <w:p>
            <w:pPr>
              <w:pStyle w:val="TableParagraph"/>
              <w:spacing w:line="200" w:lineRule="exact"/>
              <w:ind w:right="198"/>
              <w:jc w:val="right"/>
              <w:rPr>
                <w:rFonts w:ascii="Arial" w:hAnsi="Arial" w:cs="Arial" w:eastAsia="Arial" w:hint="default"/>
                <w:sz w:val="18"/>
                <w:szCs w:val="18"/>
              </w:rPr>
            </w:pPr>
            <w:r>
              <w:rPr>
                <w:rFonts w:ascii="Arial"/>
                <w:spacing w:val="-1"/>
                <w:sz w:val="18"/>
              </w:rPr>
              <w:t>6,756,844</w:t>
            </w:r>
          </w:p>
        </w:tc>
      </w:tr>
      <w:tr>
        <w:trPr>
          <w:trHeight w:val="333" w:hRule="exact"/>
        </w:trPr>
        <w:tc>
          <w:tcPr>
            <w:tcW w:w="2845" w:type="dxa"/>
            <w:tcBorders>
              <w:top w:val="nil" w:sz="6" w:space="0" w:color="auto"/>
              <w:left w:val="nil" w:sz="6" w:space="0" w:color="auto"/>
              <w:bottom w:val="nil" w:sz="6" w:space="0" w:color="auto"/>
              <w:right w:val="nil" w:sz="6" w:space="0" w:color="auto"/>
            </w:tcBorders>
          </w:tcPr>
          <w:p>
            <w:pPr>
              <w:pStyle w:val="TableParagraph"/>
              <w:spacing w:line="210" w:lineRule="exact"/>
              <w:ind w:left="392" w:right="0"/>
              <w:jc w:val="left"/>
              <w:rPr>
                <w:rFonts w:ascii="黑体" w:hAnsi="黑体" w:cs="黑体" w:eastAsia="黑体" w:hint="default"/>
                <w:sz w:val="20"/>
                <w:szCs w:val="20"/>
              </w:rPr>
            </w:pPr>
            <w:r>
              <w:rPr>
                <w:rFonts w:ascii="黑体" w:hAnsi="黑体" w:cs="黑体" w:eastAsia="黑体" w:hint="default"/>
                <w:sz w:val="20"/>
                <w:szCs w:val="20"/>
              </w:rPr>
              <w:t>土地使用权及在建工程</w:t>
            </w:r>
          </w:p>
        </w:tc>
        <w:tc>
          <w:tcPr>
            <w:tcW w:w="1451" w:type="dxa"/>
            <w:tcBorders>
              <w:top w:val="nil" w:sz="6" w:space="0" w:color="auto"/>
              <w:left w:val="nil" w:sz="6" w:space="0" w:color="auto"/>
              <w:bottom w:val="nil" w:sz="6" w:space="0" w:color="auto"/>
              <w:right w:val="nil" w:sz="6" w:space="0" w:color="auto"/>
            </w:tcBorders>
          </w:tcPr>
          <w:p>
            <w:pPr>
              <w:pStyle w:val="TableParagraph"/>
              <w:tabs>
                <w:tab w:pos="772" w:val="left" w:leader="none"/>
              </w:tabs>
              <w:spacing w:line="201" w:lineRule="exact"/>
              <w:ind w:right="18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420" w:type="dxa"/>
            <w:tcBorders>
              <w:top w:val="nil" w:sz="6" w:space="0" w:color="auto"/>
              <w:left w:val="nil" w:sz="6" w:space="0" w:color="auto"/>
              <w:bottom w:val="nil" w:sz="6" w:space="0" w:color="auto"/>
              <w:right w:val="nil" w:sz="6" w:space="0" w:color="auto"/>
            </w:tcBorders>
          </w:tcPr>
          <w:p>
            <w:pPr>
              <w:pStyle w:val="TableParagraph"/>
              <w:spacing w:line="201" w:lineRule="exact"/>
              <w:ind w:right="223"/>
              <w:jc w:val="right"/>
              <w:rPr>
                <w:rFonts w:ascii="Arial" w:hAnsi="Arial" w:cs="Arial" w:eastAsia="Arial" w:hint="default"/>
                <w:sz w:val="18"/>
                <w:szCs w:val="18"/>
              </w:rPr>
            </w:pPr>
            <w:r>
              <w:rPr>
                <w:rFonts w:ascii="Arial"/>
                <w:w w:val="99"/>
                <w:sz w:val="18"/>
              </w:rPr>
            </w:r>
            <w:r>
              <w:rPr>
                <w:rFonts w:ascii="Arial"/>
                <w:spacing w:val="-1"/>
                <w:sz w:val="18"/>
                <w:u w:val="single" w:color="000000"/>
              </w:rPr>
              <w:t>163,670,139</w:t>
            </w:r>
            <w:r>
              <w:rPr>
                <w:rFonts w:ascii="Arial"/>
                <w:spacing w:val="-1"/>
                <w:sz w:val="18"/>
              </w:rPr>
            </w:r>
          </w:p>
        </w:tc>
        <w:tc>
          <w:tcPr>
            <w:tcW w:w="1291" w:type="dxa"/>
            <w:tcBorders>
              <w:top w:val="nil" w:sz="6" w:space="0" w:color="auto"/>
              <w:left w:val="nil" w:sz="6" w:space="0" w:color="auto"/>
              <w:bottom w:val="nil" w:sz="6" w:space="0" w:color="auto"/>
              <w:right w:val="nil" w:sz="6" w:space="0" w:color="auto"/>
            </w:tcBorders>
          </w:tcPr>
          <w:p>
            <w:pPr>
              <w:pStyle w:val="TableParagraph"/>
              <w:spacing w:line="201" w:lineRule="exact"/>
              <w:ind w:right="135"/>
              <w:jc w:val="right"/>
              <w:rPr>
                <w:rFonts w:ascii="Arial" w:hAnsi="Arial" w:cs="Arial" w:eastAsia="Arial" w:hint="default"/>
                <w:sz w:val="18"/>
                <w:szCs w:val="18"/>
              </w:rPr>
            </w:pPr>
            <w:r>
              <w:rPr>
                <w:rFonts w:ascii="Arial"/>
                <w:sz w:val="18"/>
              </w:rPr>
              <w:t>(  </w:t>
            </w:r>
            <w:r>
              <w:rPr>
                <w:rFonts w:ascii="Arial"/>
                <w:spacing w:val="2"/>
                <w:sz w:val="18"/>
              </w:rPr>
              <w:t> </w:t>
            </w:r>
            <w:r>
              <w:rPr>
                <w:rFonts w:ascii="Arial"/>
                <w:spacing w:val="2"/>
                <w:sz w:val="18"/>
                <w:u w:val="single" w:color="000000"/>
              </w:rPr>
              <w:t> </w:t>
            </w:r>
            <w:r>
              <w:rPr>
                <w:rFonts w:ascii="Arial"/>
                <w:sz w:val="18"/>
                <w:u w:val="single" w:color="000000"/>
              </w:rPr>
              <w:t>649,572</w:t>
            </w:r>
            <w:r>
              <w:rPr>
                <w:rFonts w:ascii="Arial"/>
                <w:sz w:val="18"/>
              </w:rPr>
              <w:t>)</w:t>
            </w:r>
          </w:p>
        </w:tc>
        <w:tc>
          <w:tcPr>
            <w:tcW w:w="1340" w:type="dxa"/>
            <w:tcBorders>
              <w:top w:val="nil" w:sz="6" w:space="0" w:color="auto"/>
              <w:left w:val="nil" w:sz="6" w:space="0" w:color="auto"/>
              <w:bottom w:val="nil" w:sz="6" w:space="0" w:color="auto"/>
              <w:right w:val="nil" w:sz="6" w:space="0" w:color="auto"/>
            </w:tcBorders>
          </w:tcPr>
          <w:p>
            <w:pPr>
              <w:pStyle w:val="TableParagraph"/>
              <w:spacing w:line="201" w:lineRule="exact"/>
              <w:ind w:right="198"/>
              <w:jc w:val="right"/>
              <w:rPr>
                <w:rFonts w:ascii="Arial" w:hAnsi="Arial" w:cs="Arial" w:eastAsia="Arial" w:hint="default"/>
                <w:sz w:val="18"/>
                <w:szCs w:val="18"/>
              </w:rPr>
            </w:pPr>
            <w:r>
              <w:rPr>
                <w:rFonts w:ascii="Arial"/>
                <w:w w:val="99"/>
                <w:sz w:val="18"/>
              </w:rPr>
            </w:r>
            <w:r>
              <w:rPr>
                <w:rFonts w:ascii="Arial"/>
                <w:spacing w:val="-1"/>
                <w:sz w:val="18"/>
                <w:u w:val="single" w:color="000000"/>
              </w:rPr>
              <w:t>163,020,567</w:t>
            </w:r>
            <w:r>
              <w:rPr>
                <w:rFonts w:ascii="Arial"/>
                <w:spacing w:val="-1"/>
                <w:sz w:val="18"/>
              </w:rPr>
            </w:r>
          </w:p>
        </w:tc>
      </w:tr>
      <w:tr>
        <w:trPr>
          <w:trHeight w:val="303" w:hRule="exact"/>
        </w:trPr>
        <w:tc>
          <w:tcPr>
            <w:tcW w:w="2845"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88"/>
              <w:jc w:val="right"/>
              <w:rPr>
                <w:rFonts w:ascii="Arial" w:hAnsi="Arial" w:cs="Arial" w:eastAsia="Arial" w:hint="default"/>
                <w:sz w:val="18"/>
                <w:szCs w:val="18"/>
              </w:rPr>
            </w:pPr>
            <w:r>
              <w:rPr>
                <w:rFonts w:ascii="Arial"/>
                <w:w w:val="100"/>
                <w:sz w:val="18"/>
              </w:rPr>
            </w:r>
            <w:r>
              <w:rPr>
                <w:rFonts w:ascii="Arial"/>
                <w:spacing w:val="-1"/>
                <w:sz w:val="18"/>
                <w:u w:val="thick" w:color="000000"/>
              </w:rPr>
              <w:t>6,248,890</w:t>
            </w:r>
            <w:r>
              <w:rPr>
                <w:rFonts w:ascii="Arial"/>
                <w:spacing w:val="-1"/>
                <w:sz w:val="18"/>
              </w:rPr>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23"/>
              <w:jc w:val="right"/>
              <w:rPr>
                <w:rFonts w:ascii="Arial" w:hAnsi="Arial" w:cs="Arial" w:eastAsia="Arial" w:hint="default"/>
                <w:sz w:val="18"/>
                <w:szCs w:val="18"/>
              </w:rPr>
            </w:pPr>
            <w:r>
              <w:rPr>
                <w:rFonts w:ascii="Arial"/>
                <w:w w:val="99"/>
                <w:sz w:val="18"/>
              </w:rPr>
            </w:r>
            <w:r>
              <w:rPr>
                <w:rFonts w:ascii="Arial"/>
                <w:spacing w:val="-1"/>
                <w:sz w:val="18"/>
                <w:u w:val="thick" w:color="000000"/>
              </w:rPr>
              <w:t>169,915,372</w:t>
            </w:r>
            <w:r>
              <w:rPr>
                <w:rFonts w:ascii="Arial"/>
                <w:spacing w:val="-1"/>
                <w:sz w:val="18"/>
              </w:rPr>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35"/>
              <w:jc w:val="right"/>
              <w:rPr>
                <w:rFonts w:ascii="Arial" w:hAnsi="Arial" w:cs="Arial" w:eastAsia="Arial" w:hint="default"/>
                <w:sz w:val="18"/>
                <w:szCs w:val="18"/>
              </w:rPr>
            </w:pPr>
            <w:r>
              <w:rPr>
                <w:rFonts w:ascii="Arial"/>
                <w:spacing w:val="-1"/>
                <w:sz w:val="18"/>
              </w:rPr>
              <w:t>(</w:t>
            </w:r>
            <w:r>
              <w:rPr>
                <w:rFonts w:ascii="Arial"/>
                <w:spacing w:val="-1"/>
                <w:sz w:val="18"/>
                <w:u w:val="thick" w:color="000000"/>
              </w:rPr>
              <w:t>6,386,851</w:t>
            </w:r>
            <w:r>
              <w:rPr>
                <w:rFonts w:ascii="Arial"/>
                <w:spacing w:val="-1"/>
                <w:sz w:val="18"/>
              </w:rPr>
              <w:t>)</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98"/>
              <w:jc w:val="right"/>
              <w:rPr>
                <w:rFonts w:ascii="Arial" w:hAnsi="Arial" w:cs="Arial" w:eastAsia="Arial" w:hint="default"/>
                <w:sz w:val="18"/>
                <w:szCs w:val="18"/>
              </w:rPr>
            </w:pPr>
            <w:r>
              <w:rPr>
                <w:rFonts w:ascii="Arial"/>
                <w:w w:val="99"/>
                <w:sz w:val="18"/>
              </w:rPr>
            </w:r>
            <w:r>
              <w:rPr>
                <w:rFonts w:ascii="Arial"/>
                <w:spacing w:val="-1"/>
                <w:sz w:val="18"/>
                <w:u w:val="thick" w:color="000000"/>
              </w:rPr>
              <w:t>169,777,411</w:t>
            </w:r>
            <w:r>
              <w:rPr>
                <w:rFonts w:ascii="Arial"/>
                <w:spacing w:val="-1"/>
                <w:sz w:val="18"/>
              </w:rPr>
            </w:r>
          </w:p>
        </w:tc>
      </w:tr>
    </w:tbl>
    <w:p>
      <w:pPr>
        <w:spacing w:line="240" w:lineRule="auto" w:before="13"/>
        <w:rPr>
          <w:rFonts w:ascii="黑体" w:hAnsi="黑体" w:cs="黑体" w:eastAsia="黑体" w:hint="default"/>
          <w:sz w:val="10"/>
          <w:szCs w:val="10"/>
        </w:rPr>
      </w:pPr>
    </w:p>
    <w:p>
      <w:pPr>
        <w:pStyle w:val="Heading6"/>
        <w:tabs>
          <w:tab w:pos="821" w:val="left" w:leader="none"/>
        </w:tabs>
        <w:spacing w:line="240" w:lineRule="auto"/>
        <w:ind w:right="232"/>
        <w:jc w:val="left"/>
        <w:rPr>
          <w:b w:val="0"/>
          <w:bCs w:val="0"/>
        </w:rPr>
      </w:pPr>
      <w:r>
        <w:rPr>
          <w:w w:val="95"/>
        </w:rPr>
        <w:t>19.</w:t>
        <w:tab/>
      </w:r>
      <w:r>
        <w:rPr/>
        <w:t>短期借款</w:t>
      </w:r>
      <w:r>
        <w:rPr>
          <w:b w:val="0"/>
          <w:bCs w:val="0"/>
        </w:rPr>
      </w:r>
    </w:p>
    <w:p>
      <w:pPr>
        <w:spacing w:line="240" w:lineRule="auto" w:before="1"/>
        <w:rPr>
          <w:rFonts w:ascii="黑体" w:hAnsi="黑体" w:cs="黑体" w:eastAsia="黑体" w:hint="default"/>
          <w:b/>
          <w:bCs/>
          <w:sz w:val="21"/>
          <w:szCs w:val="21"/>
        </w:rPr>
      </w:pPr>
    </w:p>
    <w:tbl>
      <w:tblPr>
        <w:tblW w:w="0" w:type="auto"/>
        <w:jc w:val="left"/>
        <w:tblInd w:w="621" w:type="dxa"/>
        <w:tblLayout w:type="fixed"/>
        <w:tblCellMar>
          <w:top w:w="0" w:type="dxa"/>
          <w:left w:w="0" w:type="dxa"/>
          <w:bottom w:w="0" w:type="dxa"/>
          <w:right w:w="0" w:type="dxa"/>
        </w:tblCellMar>
        <w:tblLook w:val="01E0"/>
      </w:tblPr>
      <w:tblGrid>
        <w:gridCol w:w="3024"/>
        <w:gridCol w:w="3341"/>
        <w:gridCol w:w="1959"/>
      </w:tblGrid>
      <w:tr>
        <w:trPr>
          <w:trHeight w:val="232" w:hRule="exact"/>
        </w:trPr>
        <w:tc>
          <w:tcPr>
            <w:tcW w:w="3024" w:type="dxa"/>
            <w:tcBorders>
              <w:top w:val="nil" w:sz="6" w:space="0" w:color="auto"/>
              <w:left w:val="nil" w:sz="6" w:space="0" w:color="auto"/>
              <w:bottom w:val="nil" w:sz="6" w:space="0" w:color="auto"/>
              <w:right w:val="nil" w:sz="6" w:space="0" w:color="auto"/>
            </w:tcBorders>
          </w:tcPr>
          <w:p>
            <w:pPr/>
          </w:p>
        </w:tc>
        <w:tc>
          <w:tcPr>
            <w:tcW w:w="3341" w:type="dxa"/>
            <w:tcBorders>
              <w:top w:val="nil" w:sz="6" w:space="0" w:color="auto"/>
              <w:left w:val="nil" w:sz="6" w:space="0" w:color="auto"/>
              <w:bottom w:val="nil" w:sz="6" w:space="0" w:color="auto"/>
              <w:right w:val="nil" w:sz="6" w:space="0" w:color="auto"/>
            </w:tcBorders>
          </w:tcPr>
          <w:p>
            <w:pPr>
              <w:pStyle w:val="TableParagraph"/>
              <w:spacing w:line="214" w:lineRule="exact"/>
              <w:ind w:right="648"/>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1959" w:type="dxa"/>
            <w:tcBorders>
              <w:top w:val="nil" w:sz="6" w:space="0" w:color="auto"/>
              <w:left w:val="nil" w:sz="6" w:space="0" w:color="auto"/>
              <w:bottom w:val="nil" w:sz="6" w:space="0" w:color="auto"/>
              <w:right w:val="nil" w:sz="6" w:space="0" w:color="auto"/>
            </w:tcBorders>
          </w:tcPr>
          <w:p>
            <w:pPr>
              <w:pStyle w:val="TableParagraph"/>
              <w:spacing w:line="214" w:lineRule="exact"/>
              <w:ind w:right="198"/>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r>
      <w:tr>
        <w:trPr>
          <w:trHeight w:val="382" w:hRule="exact"/>
        </w:trPr>
        <w:tc>
          <w:tcPr>
            <w:tcW w:w="3024" w:type="dxa"/>
            <w:tcBorders>
              <w:top w:val="nil" w:sz="6" w:space="0" w:color="auto"/>
              <w:left w:val="nil" w:sz="6" w:space="0" w:color="auto"/>
              <w:bottom w:val="nil" w:sz="6" w:space="0" w:color="auto"/>
              <w:right w:val="nil" w:sz="6" w:space="0" w:color="auto"/>
            </w:tcBorders>
          </w:tcPr>
          <w:p>
            <w:pPr/>
          </w:p>
        </w:tc>
        <w:tc>
          <w:tcPr>
            <w:tcW w:w="3341" w:type="dxa"/>
            <w:tcBorders>
              <w:top w:val="nil" w:sz="6" w:space="0" w:color="auto"/>
              <w:left w:val="nil" w:sz="6" w:space="0" w:color="auto"/>
              <w:bottom w:val="nil" w:sz="6" w:space="0" w:color="auto"/>
              <w:right w:val="nil" w:sz="6" w:space="0" w:color="auto"/>
            </w:tcBorders>
          </w:tcPr>
          <w:p>
            <w:pPr>
              <w:pStyle w:val="TableParagraph"/>
              <w:spacing w:line="236" w:lineRule="exact"/>
              <w:ind w:right="648"/>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959" w:type="dxa"/>
            <w:tcBorders>
              <w:top w:val="nil" w:sz="6" w:space="0" w:color="auto"/>
              <w:left w:val="nil" w:sz="6" w:space="0" w:color="auto"/>
              <w:bottom w:val="nil" w:sz="6" w:space="0" w:color="auto"/>
              <w:right w:val="nil" w:sz="6" w:space="0" w:color="auto"/>
            </w:tcBorders>
          </w:tcPr>
          <w:p>
            <w:pPr>
              <w:pStyle w:val="TableParagraph"/>
              <w:spacing w:line="236" w:lineRule="exact"/>
              <w:ind w:right="198"/>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r>
      <w:tr>
        <w:trPr>
          <w:trHeight w:val="383" w:hRule="exact"/>
        </w:trPr>
        <w:tc>
          <w:tcPr>
            <w:tcW w:w="302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0" w:right="0"/>
              <w:jc w:val="left"/>
              <w:rPr>
                <w:rFonts w:ascii="Arial" w:hAnsi="Arial" w:cs="Arial" w:eastAsia="Arial" w:hint="default"/>
                <w:sz w:val="20"/>
                <w:szCs w:val="20"/>
              </w:rPr>
            </w:pPr>
            <w:r>
              <w:rPr>
                <w:rFonts w:ascii="黑体" w:hAnsi="黑体" w:cs="黑体" w:eastAsia="黑体" w:hint="default"/>
                <w:sz w:val="20"/>
                <w:szCs w:val="20"/>
              </w:rPr>
              <w:t>保证借款</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1)</w:t>
            </w:r>
          </w:p>
        </w:tc>
        <w:tc>
          <w:tcPr>
            <w:tcW w:w="3341"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648"/>
              <w:jc w:val="right"/>
              <w:rPr>
                <w:rFonts w:ascii="Arial" w:hAnsi="Arial" w:cs="Arial" w:eastAsia="Arial" w:hint="default"/>
                <w:sz w:val="20"/>
                <w:szCs w:val="20"/>
              </w:rPr>
            </w:pPr>
            <w:r>
              <w:rPr>
                <w:rFonts w:ascii="Arial"/>
                <w:spacing w:val="-1"/>
                <w:sz w:val="20"/>
              </w:rPr>
              <w:t>100,000,000</w:t>
            </w:r>
            <w:r>
              <w:rPr>
                <w:rFonts w:ascii="Arial"/>
                <w:sz w:val="20"/>
              </w:rPr>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98"/>
              <w:jc w:val="right"/>
              <w:rPr>
                <w:rFonts w:ascii="Arial" w:hAnsi="Arial" w:cs="Arial" w:eastAsia="Arial" w:hint="default"/>
                <w:sz w:val="20"/>
                <w:szCs w:val="20"/>
              </w:rPr>
            </w:pPr>
            <w:r>
              <w:rPr>
                <w:rFonts w:ascii="Arial"/>
                <w:spacing w:val="-1"/>
                <w:sz w:val="20"/>
              </w:rPr>
              <w:t>90,000,000</w:t>
            </w:r>
            <w:r>
              <w:rPr>
                <w:rFonts w:ascii="Arial"/>
                <w:sz w:val="20"/>
              </w:rPr>
            </w:r>
          </w:p>
        </w:tc>
      </w:tr>
      <w:tr>
        <w:trPr>
          <w:trHeight w:val="388" w:hRule="exact"/>
        </w:trPr>
        <w:tc>
          <w:tcPr>
            <w:tcW w:w="3024" w:type="dxa"/>
            <w:tcBorders>
              <w:top w:val="nil" w:sz="6" w:space="0" w:color="auto"/>
              <w:left w:val="nil" w:sz="6" w:space="0" w:color="auto"/>
              <w:bottom w:val="nil" w:sz="6" w:space="0" w:color="auto"/>
              <w:right w:val="nil" w:sz="6" w:space="0" w:color="auto"/>
            </w:tcBorders>
          </w:tcPr>
          <w:p>
            <w:pPr>
              <w:pStyle w:val="TableParagraph"/>
              <w:spacing w:line="237" w:lineRule="exact"/>
              <w:ind w:left="200" w:right="0"/>
              <w:jc w:val="left"/>
              <w:rPr>
                <w:rFonts w:ascii="Arial" w:hAnsi="Arial" w:cs="Arial" w:eastAsia="Arial" w:hint="default"/>
                <w:sz w:val="20"/>
                <w:szCs w:val="20"/>
              </w:rPr>
            </w:pPr>
            <w:r>
              <w:rPr>
                <w:rFonts w:ascii="黑体" w:hAnsi="黑体" w:cs="黑体" w:eastAsia="黑体" w:hint="default"/>
                <w:sz w:val="20"/>
                <w:szCs w:val="20"/>
              </w:rPr>
              <w:t>信用借款</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2)</w:t>
            </w:r>
          </w:p>
        </w:tc>
        <w:tc>
          <w:tcPr>
            <w:tcW w:w="334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4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6"/>
                <w:sz w:val="20"/>
                <w:u w:val="single" w:color="000000"/>
              </w:rPr>
              <w:t> </w:t>
            </w:r>
            <w:r>
              <w:rPr>
                <w:rFonts w:ascii="Arial"/>
                <w:spacing w:val="-1"/>
                <w:sz w:val="20"/>
                <w:u w:val="single" w:color="000000"/>
              </w:rPr>
              <w:t>910,000,000</w:t>
            </w:r>
            <w:r>
              <w:rPr>
                <w:rFonts w:ascii="Arial"/>
                <w:spacing w:val="-1"/>
                <w:sz w:val="20"/>
              </w:rPr>
            </w:r>
            <w:r>
              <w:rPr>
                <w:rFonts w:ascii="Arial"/>
                <w:sz w:val="20"/>
              </w:rPr>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w w:val="99"/>
                <w:sz w:val="20"/>
              </w:rPr>
            </w:r>
            <w:r>
              <w:rPr>
                <w:rFonts w:ascii="Arial"/>
                <w:spacing w:val="-1"/>
                <w:sz w:val="20"/>
                <w:u w:val="single" w:color="000000"/>
              </w:rPr>
              <w:t>400,000,000</w:t>
            </w:r>
            <w:r>
              <w:rPr>
                <w:rFonts w:ascii="Arial"/>
                <w:spacing w:val="-1"/>
                <w:sz w:val="20"/>
              </w:rPr>
            </w:r>
            <w:r>
              <w:rPr>
                <w:rFonts w:ascii="Arial"/>
                <w:sz w:val="20"/>
              </w:rPr>
            </w:r>
          </w:p>
        </w:tc>
      </w:tr>
      <w:tr>
        <w:trPr>
          <w:trHeight w:val="354" w:hRule="exact"/>
        </w:trPr>
        <w:tc>
          <w:tcPr>
            <w:tcW w:w="3024" w:type="dxa"/>
            <w:tcBorders>
              <w:top w:val="nil" w:sz="6" w:space="0" w:color="auto"/>
              <w:left w:val="nil" w:sz="6" w:space="0" w:color="auto"/>
              <w:bottom w:val="nil" w:sz="6" w:space="0" w:color="auto"/>
              <w:right w:val="nil" w:sz="6" w:space="0" w:color="auto"/>
            </w:tcBorders>
          </w:tcPr>
          <w:p>
            <w:pPr/>
          </w:p>
        </w:tc>
        <w:tc>
          <w:tcPr>
            <w:tcW w:w="334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648"/>
              <w:jc w:val="right"/>
              <w:rPr>
                <w:rFonts w:ascii="Arial" w:hAnsi="Arial" w:cs="Arial" w:eastAsia="Arial" w:hint="default"/>
                <w:sz w:val="20"/>
                <w:szCs w:val="20"/>
              </w:rPr>
            </w:pPr>
            <w:r>
              <w:rPr>
                <w:rFonts w:ascii="Arial"/>
                <w:w w:val="99"/>
                <w:sz w:val="20"/>
              </w:rPr>
            </w:r>
            <w:r>
              <w:rPr>
                <w:rFonts w:ascii="Arial"/>
                <w:spacing w:val="-1"/>
                <w:sz w:val="20"/>
                <w:u w:val="thick" w:color="000000"/>
              </w:rPr>
              <w:t>1,010,000,000</w:t>
            </w:r>
            <w:r>
              <w:rPr>
                <w:rFonts w:ascii="Arial"/>
                <w:spacing w:val="-1"/>
                <w:sz w:val="20"/>
              </w:rPr>
            </w:r>
            <w:r>
              <w:rPr>
                <w:rFonts w:ascii="Arial"/>
                <w:sz w:val="20"/>
              </w:rPr>
            </w:r>
          </w:p>
        </w:tc>
        <w:tc>
          <w:tcPr>
            <w:tcW w:w="195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490,000,000</w:t>
            </w:r>
            <w:r>
              <w:rPr>
                <w:rFonts w:ascii="Arial"/>
                <w:spacing w:val="-1"/>
                <w:sz w:val="20"/>
              </w:rPr>
            </w:r>
            <w:r>
              <w:rPr>
                <w:rFonts w:ascii="Arial"/>
                <w:sz w:val="20"/>
              </w:rPr>
            </w:r>
          </w:p>
        </w:tc>
      </w:tr>
    </w:tbl>
    <w:p>
      <w:pPr>
        <w:spacing w:line="240" w:lineRule="auto" w:before="6"/>
        <w:rPr>
          <w:rFonts w:ascii="黑体" w:hAnsi="黑体" w:cs="黑体" w:eastAsia="黑体" w:hint="default"/>
          <w:b/>
          <w:bCs/>
          <w:sz w:val="11"/>
          <w:szCs w:val="11"/>
        </w:rPr>
      </w:pPr>
    </w:p>
    <w:p>
      <w:pPr>
        <w:pStyle w:val="BodyText"/>
        <w:spacing w:line="240" w:lineRule="exact" w:before="79"/>
        <w:ind w:left="1541" w:right="316" w:hanging="720"/>
        <w:jc w:val="both"/>
      </w:pPr>
      <w:r>
        <w:rPr/>
        <w:t>注</w:t>
      </w:r>
      <w:r>
        <w:rPr>
          <w:rFonts w:ascii="Arial" w:hAnsi="Arial" w:cs="Arial" w:eastAsia="Arial" w:hint="default"/>
        </w:rPr>
        <w:t>1</w:t>
      </w:r>
      <w:r>
        <w:rPr/>
        <w:t>．</w:t>
      </w:r>
      <w:r>
        <w:rPr>
          <w:spacing w:val="3"/>
        </w:rPr>
        <w:t> </w:t>
      </w:r>
      <w:r>
        <w:rPr/>
        <w:t>保</w:t>
      </w:r>
      <w:r>
        <w:rPr>
          <w:spacing w:val="-75"/>
        </w:rPr>
        <w:t> </w:t>
      </w:r>
      <w:r>
        <w:rPr>
          <w:spacing w:val="13"/>
        </w:rPr>
        <w:t>证借</w:t>
      </w:r>
      <w:r>
        <w:rPr>
          <w:spacing w:val="-75"/>
        </w:rPr>
        <w:t> </w:t>
      </w:r>
      <w:r>
        <w:rPr/>
        <w:t>款</w:t>
      </w:r>
      <w:r>
        <w:rPr>
          <w:spacing w:val="-75"/>
        </w:rPr>
        <w:t> </w:t>
      </w:r>
      <w:r>
        <w:rPr>
          <w:spacing w:val="13"/>
        </w:rPr>
        <w:t>为本</w:t>
      </w:r>
      <w:r>
        <w:rPr>
          <w:spacing w:val="-75"/>
        </w:rPr>
        <w:t> </w:t>
      </w:r>
      <w:r>
        <w:rPr/>
        <w:t>公</w:t>
      </w:r>
      <w:r>
        <w:rPr>
          <w:spacing w:val="-73"/>
        </w:rPr>
        <w:t> </w:t>
      </w:r>
      <w:r>
        <w:rPr/>
        <w:t>司</w:t>
      </w:r>
      <w:r>
        <w:rPr>
          <w:spacing w:val="-75"/>
        </w:rPr>
        <w:t> </w:t>
      </w:r>
      <w:r>
        <w:rPr/>
        <w:t>向</w:t>
      </w:r>
      <w:r>
        <w:rPr>
          <w:spacing w:val="-75"/>
        </w:rPr>
        <w:t> </w:t>
      </w:r>
      <w:r>
        <w:rPr/>
        <w:t>北</w:t>
      </w:r>
      <w:r>
        <w:rPr>
          <w:spacing w:val="-73"/>
        </w:rPr>
        <w:t> </w:t>
      </w:r>
      <w:r>
        <w:rPr>
          <w:spacing w:val="13"/>
        </w:rPr>
        <w:t>京银</w:t>
      </w:r>
      <w:r>
        <w:rPr>
          <w:spacing w:val="-75"/>
        </w:rPr>
        <w:t> </w:t>
      </w:r>
      <w:r>
        <w:rPr/>
        <w:t>行</w:t>
      </w:r>
      <w:r>
        <w:rPr>
          <w:spacing w:val="-75"/>
        </w:rPr>
        <w:t> </w:t>
      </w:r>
      <w:r>
        <w:rPr>
          <w:spacing w:val="13"/>
        </w:rPr>
        <w:t>展览</w:t>
      </w:r>
      <w:r>
        <w:rPr>
          <w:spacing w:val="-75"/>
        </w:rPr>
        <w:t> </w:t>
      </w:r>
      <w:r>
        <w:rPr/>
        <w:t>路</w:t>
      </w:r>
      <w:r>
        <w:rPr>
          <w:spacing w:val="-75"/>
        </w:rPr>
        <w:t> </w:t>
      </w:r>
      <w:r>
        <w:rPr>
          <w:spacing w:val="13"/>
        </w:rPr>
        <w:t>支行</w:t>
      </w:r>
      <w:r>
        <w:rPr>
          <w:spacing w:val="-73"/>
        </w:rPr>
        <w:t> </w:t>
      </w:r>
      <w:r>
        <w:rPr>
          <w:spacing w:val="13"/>
        </w:rPr>
        <w:t>人民</w:t>
      </w:r>
      <w:r>
        <w:rPr>
          <w:spacing w:val="-73"/>
        </w:rPr>
        <w:t> </w:t>
      </w:r>
      <w:r>
        <w:rPr/>
        <w:t>币</w:t>
      </w:r>
      <w:r>
        <w:rPr>
          <w:spacing w:val="-75"/>
        </w:rPr>
        <w:t> </w:t>
      </w:r>
      <w:r>
        <w:rPr/>
        <w:t>借</w:t>
      </w:r>
      <w:r>
        <w:rPr>
          <w:spacing w:val="-75"/>
        </w:rPr>
        <w:t> </w:t>
      </w:r>
      <w:r>
        <w:rPr>
          <w:spacing w:val="13"/>
        </w:rPr>
        <w:t>款，</w:t>
      </w:r>
      <w:r>
        <w:rPr>
          <w:spacing w:val="-75"/>
        </w:rPr>
        <w:t> </w:t>
      </w:r>
      <w:r>
        <w:rPr/>
        <w:t>借</w:t>
      </w:r>
      <w:r>
        <w:rPr>
          <w:spacing w:val="-75"/>
        </w:rPr>
        <w:t> </w:t>
      </w:r>
      <w:r>
        <w:rPr>
          <w:spacing w:val="13"/>
        </w:rPr>
        <w:t>款金</w:t>
      </w:r>
      <w:r>
        <w:rPr>
          <w:spacing w:val="-75"/>
        </w:rPr>
        <w:t> </w:t>
      </w:r>
      <w:r>
        <w:rPr/>
        <w:t>额</w:t>
      </w:r>
      <w:r>
        <w:rPr>
          <w:spacing w:val="-73"/>
        </w:rPr>
        <w:t> </w:t>
      </w:r>
      <w:r>
        <w:rPr/>
        <w:t>为</w:t>
      </w:r>
      <w:r>
        <w:rPr>
          <w:spacing w:val="-75"/>
        </w:rPr>
        <w:t> </w:t>
      </w:r>
      <w:r>
        <w:rPr/>
        <w:t>人</w:t>
      </w:r>
      <w:r>
        <w:rPr>
          <w:spacing w:val="-73"/>
        </w:rPr>
        <w:t> </w:t>
      </w:r>
      <w:r>
        <w:rPr/>
        <w:t>民</w:t>
      </w:r>
      <w:r>
        <w:rPr>
          <w:spacing w:val="-75"/>
        </w:rPr>
        <w:t> </w:t>
      </w:r>
      <w:r>
        <w:rPr/>
        <w:t>币</w:t>
      </w:r>
      <w:r>
        <w:rPr>
          <w:w w:val="99"/>
        </w:rPr>
        <w:t> </w:t>
      </w:r>
      <w:r>
        <w:rPr>
          <w:rFonts w:ascii="Arial" w:hAnsi="Arial" w:cs="Arial" w:eastAsia="Arial" w:hint="default"/>
          <w:spacing w:val="-2"/>
        </w:rPr>
        <w:t>100,000,000</w:t>
      </w:r>
      <w:r>
        <w:rPr>
          <w:spacing w:val="-2"/>
        </w:rPr>
        <w:t>元，借款起始日为</w:t>
      </w:r>
      <w:r>
        <w:rPr>
          <w:rFonts w:ascii="Arial" w:hAnsi="Arial" w:cs="Arial" w:eastAsia="Arial" w:hint="default"/>
          <w:spacing w:val="-2"/>
        </w:rPr>
        <w:t>2012</w:t>
      </w:r>
      <w:r>
        <w:rPr>
          <w:spacing w:val="-2"/>
        </w:rPr>
        <w:t>年</w:t>
      </w:r>
      <w:r>
        <w:rPr>
          <w:rFonts w:ascii="Arial" w:hAnsi="Arial" w:cs="Arial" w:eastAsia="Arial" w:hint="default"/>
          <w:spacing w:val="-2"/>
        </w:rPr>
        <w:t>4</w:t>
      </w:r>
      <w:r>
        <w:rPr>
          <w:spacing w:val="-2"/>
        </w:rPr>
        <w:t>月</w:t>
      </w:r>
      <w:r>
        <w:rPr>
          <w:rFonts w:ascii="Arial" w:hAnsi="Arial" w:cs="Arial" w:eastAsia="Arial" w:hint="default"/>
          <w:spacing w:val="-2"/>
        </w:rPr>
        <w:t>20</w:t>
      </w:r>
      <w:r>
        <w:rPr>
          <w:spacing w:val="-2"/>
        </w:rPr>
        <w:t>日，终止日为</w:t>
      </w:r>
      <w:r>
        <w:rPr>
          <w:rFonts w:ascii="Arial" w:hAnsi="Arial" w:cs="Arial" w:eastAsia="Arial" w:hint="default"/>
          <w:spacing w:val="-2"/>
        </w:rPr>
        <w:t>2013</w:t>
      </w:r>
      <w:r>
        <w:rPr>
          <w:spacing w:val="-2"/>
        </w:rPr>
        <w:t>年</w:t>
      </w:r>
      <w:r>
        <w:rPr>
          <w:rFonts w:ascii="Arial" w:hAnsi="Arial" w:cs="Arial" w:eastAsia="Arial" w:hint="default"/>
          <w:spacing w:val="-2"/>
        </w:rPr>
        <w:t>4</w:t>
      </w:r>
      <w:r>
        <w:rPr>
          <w:spacing w:val="-2"/>
        </w:rPr>
        <w:t>月</w:t>
      </w:r>
      <w:r>
        <w:rPr>
          <w:rFonts w:ascii="Arial" w:hAnsi="Arial" w:cs="Arial" w:eastAsia="Arial" w:hint="default"/>
          <w:spacing w:val="-2"/>
        </w:rPr>
        <w:t>20</w:t>
      </w:r>
      <w:r>
        <w:rPr>
          <w:spacing w:val="-2"/>
        </w:rPr>
        <w:t>日，借款利</w:t>
      </w:r>
      <w:r>
        <w:rPr>
          <w:spacing w:val="2"/>
          <w:w w:val="99"/>
        </w:rPr>
        <w:t> </w:t>
      </w:r>
      <w:r>
        <w:rPr/>
        <w:t>率为央行公布的一年期同期基准利率，该笔借款由用友科技提供信用担保。</w:t>
      </w:r>
    </w:p>
    <w:p>
      <w:pPr>
        <w:spacing w:line="240" w:lineRule="auto" w:before="6"/>
        <w:rPr>
          <w:rFonts w:ascii="黑体" w:hAnsi="黑体" w:cs="黑体" w:eastAsia="黑体" w:hint="default"/>
          <w:sz w:val="17"/>
          <w:szCs w:val="17"/>
        </w:rPr>
      </w:pPr>
    </w:p>
    <w:p>
      <w:pPr>
        <w:pStyle w:val="BodyText"/>
        <w:tabs>
          <w:tab w:pos="1490" w:val="left" w:leader="none"/>
        </w:tabs>
        <w:spacing w:line="192" w:lineRule="auto"/>
        <w:ind w:left="1521" w:right="232" w:hanging="701"/>
        <w:jc w:val="left"/>
      </w:pPr>
      <w:r>
        <w:rPr>
          <w:spacing w:val="-1"/>
        </w:rPr>
        <w:t>注</w:t>
      </w:r>
      <w:r>
        <w:rPr>
          <w:rFonts w:ascii="Arial" w:hAnsi="Arial" w:cs="Arial" w:eastAsia="Arial" w:hint="default"/>
          <w:spacing w:val="-1"/>
        </w:rPr>
        <w:t>2.</w:t>
        <w:tab/>
      </w:r>
      <w:r>
        <w:rPr>
          <w:spacing w:val="1"/>
        </w:rPr>
        <w:t>于</w:t>
      </w:r>
      <w:r>
        <w:rPr>
          <w:rFonts w:ascii="Arial" w:hAnsi="Arial" w:cs="Arial" w:eastAsia="Arial" w:hint="default"/>
          <w:spacing w:val="1"/>
        </w:rPr>
        <w:t>2012</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日，上述信用借款的年利率为</w:t>
      </w:r>
      <w:r>
        <w:rPr>
          <w:rFonts w:ascii="Arial" w:hAnsi="Arial" w:cs="Arial" w:eastAsia="Arial" w:hint="default"/>
          <w:spacing w:val="1"/>
        </w:rPr>
        <w:t>5.6%</w:t>
      </w:r>
      <w:r>
        <w:rPr>
          <w:spacing w:val="1"/>
        </w:rPr>
        <w:t>至</w:t>
      </w:r>
      <w:r>
        <w:rPr>
          <w:rFonts w:ascii="Arial" w:hAnsi="Arial" w:cs="Arial" w:eastAsia="Arial" w:hint="default"/>
          <w:spacing w:val="1"/>
        </w:rPr>
        <w:t>7.216%</w:t>
      </w:r>
      <w:r>
        <w:rPr>
          <w:spacing w:val="1"/>
        </w:rPr>
        <w:t>，其中，向平安银行</w:t>
      </w:r>
      <w:r>
        <w:rPr>
          <w:spacing w:val="2"/>
          <w:w w:val="99"/>
        </w:rPr>
        <w:t> </w:t>
      </w:r>
      <w:r>
        <w:rPr>
          <w:w w:val="95"/>
        </w:rPr>
        <w:t>北京知春路支行借入的金额均为人民币</w:t>
      </w:r>
      <w:r>
        <w:rPr>
          <w:rFonts w:ascii="Arial" w:hAnsi="Arial" w:cs="Arial" w:eastAsia="Arial" w:hint="default"/>
          <w:w w:val="95"/>
        </w:rPr>
        <w:t>100,000,000</w:t>
      </w:r>
      <w:r>
        <w:rPr>
          <w:w w:val="95"/>
        </w:rPr>
        <w:t>元的两笔借款为固定利率借款，</w:t>
      </w:r>
      <w:r>
        <w:rPr>
          <w:w w:val="99"/>
        </w:rPr>
        <w:t> </w:t>
      </w:r>
      <w:r>
        <w:rPr/>
        <w:t>其年利率为</w:t>
      </w:r>
      <w:r>
        <w:rPr>
          <w:rFonts w:ascii="Arial" w:hAnsi="Arial" w:cs="Arial" w:eastAsia="Arial" w:hint="default"/>
        </w:rPr>
        <w:t>5.6%</w:t>
      </w:r>
      <w:r>
        <w:rPr/>
        <w:t>；向中国光大银行股份有限公司北京天宁寺支行借入的金额分别为</w:t>
      </w:r>
      <w:r>
        <w:rPr>
          <w:w w:val="99"/>
        </w:rPr>
        <w:t> </w:t>
      </w:r>
      <w:r>
        <w:rPr/>
        <w:t>人民币</w:t>
      </w:r>
      <w:r>
        <w:rPr>
          <w:rFonts w:ascii="Arial" w:hAnsi="Arial" w:cs="Arial" w:eastAsia="Arial" w:hint="default"/>
        </w:rPr>
        <w:t>70,000,000</w:t>
      </w:r>
      <w:r>
        <w:rPr/>
        <w:t>元和人民币</w:t>
      </w:r>
      <w:r>
        <w:rPr>
          <w:rFonts w:ascii="Arial" w:hAnsi="Arial" w:cs="Arial" w:eastAsia="Arial" w:hint="default"/>
        </w:rPr>
        <w:t>50,000,000</w:t>
      </w:r>
      <w:r>
        <w:rPr/>
        <w:t>元的借款为固定利率借款，其年利率分别</w:t>
      </w:r>
      <w:r>
        <w:rPr>
          <w:w w:val="99"/>
        </w:rPr>
        <w:t> </w:t>
      </w:r>
      <w:r>
        <w:rPr>
          <w:spacing w:val="2"/>
        </w:rPr>
        <w:t>为</w:t>
      </w:r>
      <w:r>
        <w:rPr>
          <w:rFonts w:ascii="Arial" w:hAnsi="Arial" w:cs="Arial" w:eastAsia="Arial" w:hint="default"/>
          <w:spacing w:val="2"/>
        </w:rPr>
        <w:t>6%</w:t>
      </w:r>
      <w:r>
        <w:rPr>
          <w:spacing w:val="2"/>
        </w:rPr>
        <w:t>和</w:t>
      </w:r>
      <w:r>
        <w:rPr>
          <w:rFonts w:ascii="Arial" w:hAnsi="Arial" w:cs="Arial" w:eastAsia="Arial" w:hint="default"/>
          <w:spacing w:val="2"/>
        </w:rPr>
        <w:t>5.6%</w:t>
      </w:r>
      <w:r>
        <w:rPr>
          <w:spacing w:val="2"/>
        </w:rPr>
        <w:t>，除此之外，其余借款贷款期限内以中国人民银行公布的同期基准利</w:t>
      </w:r>
      <w:r>
        <w:rPr>
          <w:spacing w:val="2"/>
          <w:w w:val="99"/>
        </w:rPr>
        <w:t> </w:t>
      </w:r>
      <w:r>
        <w:rPr/>
        <w:t>率为准。</w:t>
      </w:r>
    </w:p>
    <w:p>
      <w:pPr>
        <w:spacing w:line="240" w:lineRule="auto" w:before="13"/>
        <w:rPr>
          <w:rFonts w:ascii="黑体" w:hAnsi="黑体" w:cs="黑体" w:eastAsia="黑体" w:hint="default"/>
          <w:sz w:val="13"/>
          <w:szCs w:val="13"/>
        </w:rPr>
      </w:pPr>
    </w:p>
    <w:p>
      <w:pPr>
        <w:pStyle w:val="BodyText"/>
        <w:spacing w:line="240" w:lineRule="auto"/>
        <w:ind w:left="821" w:right="232"/>
        <w:jc w:val="left"/>
      </w:pP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日，本集团无已到期但未偿还的短期借款（</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日：无）。</w:t>
      </w:r>
    </w:p>
    <w:p>
      <w:pPr>
        <w:spacing w:after="0" w:line="240" w:lineRule="auto"/>
        <w:jc w:val="left"/>
        <w:sectPr>
          <w:pgSz w:w="11910" w:h="16850"/>
          <w:pgMar w:header="957" w:footer="830" w:top="2520" w:bottom="1020" w:left="1600" w:right="1240"/>
        </w:sectPr>
      </w:pPr>
    </w:p>
    <w:p>
      <w:pPr>
        <w:spacing w:line="240" w:lineRule="auto" w:before="2"/>
        <w:rPr>
          <w:rFonts w:ascii="黑体" w:hAnsi="黑体" w:cs="黑体" w:eastAsia="黑体" w:hint="default"/>
          <w:sz w:val="20"/>
          <w:szCs w:val="20"/>
        </w:rPr>
      </w:pPr>
    </w:p>
    <w:p>
      <w:pPr>
        <w:pStyle w:val="Heading6"/>
        <w:tabs>
          <w:tab w:pos="804" w:val="left" w:leader="none"/>
        </w:tabs>
        <w:spacing w:line="240" w:lineRule="auto"/>
        <w:ind w:right="3627"/>
        <w:jc w:val="left"/>
        <w:rPr>
          <w:b w:val="0"/>
          <w:bCs w:val="0"/>
        </w:rPr>
      </w:pPr>
      <w:r>
        <w:rPr>
          <w:w w:val="95"/>
        </w:rPr>
        <w:t>五、</w:t>
        <w:tab/>
      </w:r>
      <w:bookmarkStart w:name="五、   合并财务报表主要项目注释（续）" w:id="113"/>
      <w:bookmarkEnd w:id="113"/>
      <w:r>
        <w:rPr/>
        <w:t>合并</w:t>
      </w:r>
      <w:r>
        <w:rPr/>
        <w:t>财务报表主要项目注释（续）</w:t>
      </w:r>
      <w:r>
        <w:rPr>
          <w:b w:val="0"/>
          <w:bCs w:val="0"/>
        </w:rPr>
      </w:r>
    </w:p>
    <w:p>
      <w:pPr>
        <w:tabs>
          <w:tab w:pos="819" w:val="left" w:leader="none"/>
        </w:tabs>
        <w:spacing w:line="384" w:lineRule="auto" w:before="180"/>
        <w:ind w:left="814" w:right="4492" w:hanging="713"/>
        <w:jc w:val="left"/>
        <w:rPr>
          <w:rFonts w:ascii="黑体" w:hAnsi="黑体" w:cs="黑体" w:eastAsia="黑体" w:hint="default"/>
          <w:sz w:val="20"/>
          <w:szCs w:val="20"/>
        </w:rPr>
      </w:pPr>
      <w:r>
        <w:rPr>
          <w:rFonts w:ascii="Arial" w:hAnsi="Arial" w:cs="Arial" w:eastAsia="Arial" w:hint="default"/>
          <w:b/>
          <w:bCs/>
          <w:spacing w:val="-1"/>
          <w:w w:val="95"/>
          <w:sz w:val="20"/>
          <w:szCs w:val="20"/>
        </w:rPr>
        <w:t>20.</w:t>
        <w:tab/>
        <w:tab/>
      </w:r>
      <w:r>
        <w:rPr>
          <w:rFonts w:ascii="黑体" w:hAnsi="黑体" w:cs="黑体" w:eastAsia="黑体" w:hint="default"/>
          <w:b/>
          <w:bCs/>
          <w:spacing w:val="2"/>
          <w:sz w:val="20"/>
          <w:szCs w:val="20"/>
        </w:rPr>
        <w:t>应付账款</w:t>
      </w:r>
      <w:r>
        <w:rPr>
          <w:rFonts w:ascii="黑体" w:hAnsi="黑体" w:cs="黑体" w:eastAsia="黑体" w:hint="default"/>
          <w:b/>
          <w:bCs/>
          <w:spacing w:val="2"/>
          <w:w w:val="99"/>
          <w:sz w:val="20"/>
          <w:szCs w:val="20"/>
        </w:rPr>
        <w:t> </w:t>
      </w:r>
      <w:r>
        <w:rPr>
          <w:rFonts w:ascii="黑体" w:hAnsi="黑体" w:cs="黑体" w:eastAsia="黑体" w:hint="default"/>
          <w:w w:val="95"/>
          <w:sz w:val="20"/>
          <w:szCs w:val="20"/>
        </w:rPr>
        <w:t>应付账款</w:t>
      </w:r>
      <w:bookmarkStart w:name="20.    应付账款" w:id="114"/>
      <w:bookmarkEnd w:id="114"/>
      <w:r>
        <w:rPr>
          <w:rFonts w:ascii="黑体" w:hAnsi="黑体" w:cs="黑体" w:eastAsia="黑体" w:hint="default"/>
          <w:w w:val="95"/>
          <w:sz w:val="20"/>
          <w:szCs w:val="20"/>
        </w:rPr>
        <w:t>不计</w:t>
      </w:r>
      <w:r>
        <w:rPr>
          <w:rFonts w:ascii="黑体" w:hAnsi="黑体" w:cs="黑体" w:eastAsia="黑体" w:hint="default"/>
          <w:w w:val="95"/>
          <w:sz w:val="20"/>
          <w:szCs w:val="20"/>
        </w:rPr>
        <w:t>息，并通常在</w:t>
      </w:r>
      <w:r>
        <w:rPr>
          <w:rFonts w:ascii="Arial" w:hAnsi="Arial" w:cs="Arial" w:eastAsia="Arial" w:hint="default"/>
          <w:w w:val="95"/>
          <w:sz w:val="20"/>
          <w:szCs w:val="20"/>
        </w:rPr>
        <w:t>2</w:t>
      </w:r>
      <w:r>
        <w:rPr>
          <w:rFonts w:ascii="黑体" w:hAnsi="黑体" w:cs="黑体" w:eastAsia="黑体" w:hint="default"/>
          <w:w w:val="95"/>
          <w:sz w:val="20"/>
          <w:szCs w:val="20"/>
        </w:rPr>
        <w:t>个月内清偿。</w:t>
      </w:r>
      <w:r>
        <w:rPr>
          <w:rFonts w:ascii="黑体" w:hAnsi="黑体" w:cs="黑体" w:eastAsia="黑体" w:hint="default"/>
          <w:w w:val="99"/>
          <w:sz w:val="20"/>
          <w:szCs w:val="20"/>
        </w:rPr>
        <w:t> </w:t>
      </w:r>
      <w:r>
        <w:rPr>
          <w:rFonts w:ascii="黑体" w:hAnsi="黑体" w:cs="黑体" w:eastAsia="黑体" w:hint="default"/>
          <w:sz w:val="20"/>
          <w:szCs w:val="20"/>
        </w:rPr>
        <w:t>应付关联方款项详见附注六、</w:t>
      </w:r>
      <w:r>
        <w:rPr>
          <w:rFonts w:ascii="Arial" w:hAnsi="Arial" w:cs="Arial" w:eastAsia="Arial" w:hint="default"/>
          <w:sz w:val="20"/>
          <w:szCs w:val="20"/>
        </w:rPr>
        <w:t>6</w:t>
      </w:r>
      <w:r>
        <w:rPr>
          <w:rFonts w:ascii="黑体" w:hAnsi="黑体" w:cs="黑体" w:eastAsia="黑体" w:hint="default"/>
          <w:sz w:val="20"/>
          <w:szCs w:val="20"/>
        </w:rPr>
        <w:t>。</w:t>
      </w:r>
    </w:p>
    <w:p>
      <w:pPr>
        <w:pStyle w:val="BodyText"/>
        <w:spacing w:line="240" w:lineRule="auto" w:before="29"/>
        <w:ind w:left="809" w:right="194"/>
        <w:jc w:val="left"/>
      </w:pPr>
      <w:r>
        <w:rPr>
          <w:w w:val="99"/>
        </w:rPr>
        <w:t>于</w:t>
      </w:r>
      <w:r>
        <w:rPr>
          <w:rFonts w:ascii="Arial" w:hAnsi="Arial" w:cs="Arial" w:eastAsia="Arial" w:hint="default"/>
          <w:spacing w:val="-1"/>
          <w:w w:val="99"/>
        </w:rPr>
        <w:t>20</w:t>
      </w:r>
      <w:r>
        <w:rPr>
          <w:rFonts w:ascii="Arial" w:hAnsi="Arial" w:cs="Arial" w:eastAsia="Arial" w:hint="default"/>
          <w:spacing w:val="2"/>
          <w:w w:val="99"/>
        </w:rPr>
        <w:t>1</w:t>
      </w:r>
      <w:r>
        <w:rPr>
          <w:rFonts w:ascii="Arial" w:hAnsi="Arial" w:cs="Arial" w:eastAsia="Arial" w:hint="default"/>
          <w:spacing w:val="-1"/>
          <w:w w:val="99"/>
        </w:rPr>
        <w:t>2</w:t>
      </w:r>
      <w:r>
        <w:rPr>
          <w:w w:val="99"/>
        </w:rPr>
        <w:t>年</w:t>
      </w:r>
      <w:r>
        <w:rPr>
          <w:rFonts w:ascii="Arial" w:hAnsi="Arial" w:cs="Arial" w:eastAsia="Arial" w:hint="default"/>
          <w:spacing w:val="2"/>
          <w:w w:val="99"/>
        </w:rPr>
        <w:t>1</w:t>
      </w:r>
      <w:r>
        <w:rPr>
          <w:rFonts w:ascii="Arial" w:hAnsi="Arial" w:cs="Arial" w:eastAsia="Arial" w:hint="default"/>
          <w:spacing w:val="-1"/>
          <w:w w:val="99"/>
        </w:rPr>
        <w:t>2</w:t>
      </w:r>
      <w:r>
        <w:rPr>
          <w:w w:val="99"/>
        </w:rPr>
        <w:t>月</w:t>
      </w:r>
      <w:r>
        <w:rPr>
          <w:rFonts w:ascii="Arial" w:hAnsi="Arial" w:cs="Arial" w:eastAsia="Arial" w:hint="default"/>
          <w:spacing w:val="2"/>
          <w:w w:val="99"/>
        </w:rPr>
        <w:t>3</w:t>
      </w:r>
      <w:r>
        <w:rPr>
          <w:rFonts w:ascii="Arial" w:hAnsi="Arial" w:cs="Arial" w:eastAsia="Arial" w:hint="default"/>
          <w:spacing w:val="-1"/>
          <w:w w:val="99"/>
        </w:rPr>
        <w:t>1</w:t>
      </w:r>
      <w:r>
        <w:rPr>
          <w:spacing w:val="2"/>
          <w:w w:val="99"/>
        </w:rPr>
        <w:t>日</w:t>
      </w:r>
      <w:r>
        <w:rPr>
          <w:spacing w:val="-89"/>
          <w:w w:val="99"/>
        </w:rPr>
        <w:t>，</w:t>
      </w:r>
      <w:r>
        <w:rPr>
          <w:w w:val="99"/>
        </w:rPr>
        <w:t>本</w:t>
      </w:r>
      <w:r>
        <w:rPr>
          <w:spacing w:val="2"/>
          <w:w w:val="99"/>
        </w:rPr>
        <w:t>账户</w:t>
      </w:r>
      <w:r>
        <w:rPr>
          <w:w w:val="99"/>
        </w:rPr>
        <w:t>余额中</w:t>
      </w:r>
      <w:r>
        <w:rPr>
          <w:spacing w:val="2"/>
          <w:w w:val="99"/>
        </w:rPr>
        <w:t>无</w:t>
      </w:r>
      <w:r>
        <w:rPr>
          <w:w w:val="99"/>
        </w:rPr>
        <w:t>账龄</w:t>
      </w:r>
      <w:r>
        <w:rPr>
          <w:spacing w:val="2"/>
          <w:w w:val="99"/>
        </w:rPr>
        <w:t>超</w:t>
      </w:r>
      <w:r>
        <w:rPr>
          <w:w w:val="99"/>
        </w:rPr>
        <w:t>过</w:t>
      </w:r>
      <w:r>
        <w:rPr>
          <w:rFonts w:ascii="Arial" w:hAnsi="Arial" w:cs="Arial" w:eastAsia="Arial" w:hint="default"/>
          <w:spacing w:val="-1"/>
          <w:w w:val="99"/>
        </w:rPr>
        <w:t>1</w:t>
      </w:r>
      <w:r>
        <w:rPr>
          <w:spacing w:val="2"/>
          <w:w w:val="99"/>
        </w:rPr>
        <w:t>年</w:t>
      </w:r>
      <w:r>
        <w:rPr>
          <w:w w:val="99"/>
        </w:rPr>
        <w:t>的</w:t>
      </w:r>
      <w:r>
        <w:rPr>
          <w:spacing w:val="2"/>
          <w:w w:val="99"/>
        </w:rPr>
        <w:t>大</w:t>
      </w:r>
      <w:r>
        <w:rPr>
          <w:w w:val="99"/>
        </w:rPr>
        <w:t>额应付</w:t>
      </w:r>
      <w:r>
        <w:rPr>
          <w:spacing w:val="2"/>
          <w:w w:val="99"/>
        </w:rPr>
        <w:t>账</w:t>
      </w:r>
      <w:r>
        <w:rPr>
          <w:spacing w:val="-89"/>
          <w:w w:val="99"/>
        </w:rPr>
        <w:t>款</w:t>
      </w:r>
      <w:r>
        <w:rPr>
          <w:spacing w:val="2"/>
          <w:w w:val="99"/>
        </w:rPr>
        <w:t>（</w:t>
      </w:r>
      <w:r>
        <w:rPr>
          <w:rFonts w:ascii="Arial" w:hAnsi="Arial" w:cs="Arial" w:eastAsia="Arial" w:hint="default"/>
          <w:spacing w:val="-1"/>
          <w:w w:val="99"/>
        </w:rPr>
        <w:t>20</w:t>
      </w:r>
      <w:r>
        <w:rPr>
          <w:rFonts w:ascii="Arial" w:hAnsi="Arial" w:cs="Arial" w:eastAsia="Arial" w:hint="default"/>
          <w:spacing w:val="2"/>
          <w:w w:val="99"/>
        </w:rPr>
        <w:t>1</w:t>
      </w:r>
      <w:r>
        <w:rPr>
          <w:rFonts w:ascii="Arial" w:hAnsi="Arial" w:cs="Arial" w:eastAsia="Arial" w:hint="default"/>
          <w:spacing w:val="-1"/>
          <w:w w:val="99"/>
        </w:rPr>
        <w:t>1</w:t>
      </w:r>
      <w:r>
        <w:rPr>
          <w:w w:val="99"/>
        </w:rPr>
        <w:t>年</w:t>
      </w:r>
      <w:r>
        <w:rPr>
          <w:rFonts w:ascii="Arial" w:hAnsi="Arial" w:cs="Arial" w:eastAsia="Arial" w:hint="default"/>
          <w:spacing w:val="2"/>
          <w:w w:val="99"/>
        </w:rPr>
        <w:t>1</w:t>
      </w:r>
      <w:r>
        <w:rPr>
          <w:rFonts w:ascii="Arial" w:hAnsi="Arial" w:cs="Arial" w:eastAsia="Arial" w:hint="default"/>
          <w:spacing w:val="-1"/>
          <w:w w:val="99"/>
        </w:rPr>
        <w:t>2</w:t>
      </w:r>
      <w:r>
        <w:rPr>
          <w:w w:val="99"/>
        </w:rPr>
        <w:t>月</w:t>
      </w:r>
      <w:r>
        <w:rPr>
          <w:rFonts w:ascii="Arial" w:hAnsi="Arial" w:cs="Arial" w:eastAsia="Arial" w:hint="default"/>
          <w:spacing w:val="2"/>
          <w:w w:val="99"/>
        </w:rPr>
        <w:t>31</w:t>
      </w:r>
      <w:r>
        <w:rPr>
          <w:w w:val="99"/>
        </w:rPr>
        <w:t>日</w:t>
      </w:r>
      <w:r>
        <w:rPr>
          <w:spacing w:val="-89"/>
          <w:w w:val="99"/>
        </w:rPr>
        <w:t>：</w:t>
      </w:r>
      <w:r>
        <w:rPr>
          <w:spacing w:val="2"/>
          <w:w w:val="99"/>
        </w:rPr>
        <w:t>无</w:t>
      </w:r>
      <w:r>
        <w:rPr>
          <w:spacing w:val="-89"/>
          <w:w w:val="99"/>
        </w:rPr>
        <w:t>）。</w:t>
      </w:r>
      <w:r>
        <w:rPr/>
      </w:r>
    </w:p>
    <w:p>
      <w:pPr>
        <w:spacing w:line="240" w:lineRule="auto" w:before="7"/>
        <w:rPr>
          <w:rFonts w:ascii="黑体" w:hAnsi="黑体" w:cs="黑体" w:eastAsia="黑体" w:hint="default"/>
          <w:sz w:val="25"/>
          <w:szCs w:val="25"/>
        </w:rPr>
      </w:pPr>
    </w:p>
    <w:p>
      <w:pPr>
        <w:tabs>
          <w:tab w:pos="823" w:val="left" w:leader="none"/>
        </w:tabs>
        <w:spacing w:line="444" w:lineRule="auto" w:before="0"/>
        <w:ind w:left="814" w:right="5037" w:hanging="713"/>
        <w:jc w:val="left"/>
        <w:rPr>
          <w:rFonts w:ascii="Arial" w:hAnsi="Arial" w:cs="Arial" w:eastAsia="Arial" w:hint="default"/>
          <w:sz w:val="20"/>
          <w:szCs w:val="20"/>
        </w:rPr>
      </w:pPr>
      <w:r>
        <w:rPr>
          <w:rFonts w:ascii="Arial" w:hAnsi="Arial" w:cs="Arial" w:eastAsia="Arial" w:hint="default"/>
          <w:b/>
          <w:bCs/>
          <w:spacing w:val="-1"/>
          <w:w w:val="95"/>
          <w:sz w:val="20"/>
          <w:szCs w:val="20"/>
        </w:rPr>
        <w:t>21.</w:t>
        <w:tab/>
        <w:tab/>
      </w:r>
      <w:r>
        <w:rPr>
          <w:rFonts w:ascii="黑体" w:hAnsi="黑体" w:cs="黑体" w:eastAsia="黑体" w:hint="default"/>
          <w:b/>
          <w:bCs/>
          <w:spacing w:val="1"/>
          <w:sz w:val="20"/>
          <w:szCs w:val="20"/>
        </w:rPr>
        <w:t>预收款项</w:t>
      </w:r>
      <w:r>
        <w:rPr>
          <w:rFonts w:ascii="黑体" w:hAnsi="黑体" w:cs="黑体" w:eastAsia="黑体" w:hint="default"/>
          <w:b/>
          <w:bCs/>
          <w:spacing w:val="2"/>
          <w:w w:val="99"/>
          <w:sz w:val="20"/>
          <w:szCs w:val="20"/>
        </w:rPr>
        <w:t> </w:t>
      </w:r>
      <w:r>
        <w:rPr>
          <w:rFonts w:ascii="黑体" w:hAnsi="黑体" w:cs="黑体" w:eastAsia="黑体" w:hint="default"/>
          <w:sz w:val="20"/>
          <w:szCs w:val="20"/>
        </w:rPr>
        <w:t>预收款项的余额及其账龄分</w:t>
      </w:r>
      <w:bookmarkStart w:name="21.    预收款项" w:id="115"/>
      <w:bookmarkEnd w:id="115"/>
      <w:r>
        <w:rPr>
          <w:rFonts w:ascii="黑体" w:hAnsi="黑体" w:cs="黑体" w:eastAsia="黑体" w:hint="default"/>
          <w:sz w:val="20"/>
          <w:szCs w:val="20"/>
        </w:rPr>
        <w:t>析如下</w:t>
      </w:r>
      <w:r>
        <w:rPr>
          <w:rFonts w:ascii="Arial" w:hAnsi="Arial" w:cs="Arial" w:eastAsia="Arial" w:hint="default"/>
          <w:sz w:val="20"/>
          <w:szCs w:val="20"/>
        </w:rPr>
        <w:t>:</w:t>
      </w:r>
    </w:p>
    <w:p>
      <w:pPr>
        <w:spacing w:line="240" w:lineRule="auto" w:before="11"/>
        <w:rPr>
          <w:rFonts w:ascii="Arial" w:hAnsi="Arial" w:cs="Arial" w:eastAsia="Arial" w:hint="default"/>
          <w:sz w:val="8"/>
          <w:szCs w:val="8"/>
        </w:rPr>
      </w:pPr>
    </w:p>
    <w:tbl>
      <w:tblPr>
        <w:tblW w:w="0" w:type="auto"/>
        <w:jc w:val="left"/>
        <w:tblInd w:w="638" w:type="dxa"/>
        <w:tblLayout w:type="fixed"/>
        <w:tblCellMar>
          <w:top w:w="0" w:type="dxa"/>
          <w:left w:w="0" w:type="dxa"/>
          <w:bottom w:w="0" w:type="dxa"/>
          <w:right w:w="0" w:type="dxa"/>
        </w:tblCellMar>
        <w:tblLook w:val="01E0"/>
      </w:tblPr>
      <w:tblGrid>
        <w:gridCol w:w="2238"/>
        <w:gridCol w:w="2736"/>
        <w:gridCol w:w="780"/>
        <w:gridCol w:w="1488"/>
        <w:gridCol w:w="925"/>
      </w:tblGrid>
      <w:tr>
        <w:trPr>
          <w:trHeight w:val="234" w:hRule="exact"/>
        </w:trPr>
        <w:tc>
          <w:tcPr>
            <w:tcW w:w="2238" w:type="dxa"/>
            <w:tcBorders>
              <w:top w:val="nil" w:sz="6" w:space="0" w:color="auto"/>
              <w:left w:val="nil" w:sz="6" w:space="0" w:color="auto"/>
              <w:bottom w:val="nil" w:sz="6" w:space="0" w:color="auto"/>
              <w:right w:val="nil" w:sz="6" w:space="0" w:color="auto"/>
            </w:tcBorders>
          </w:tcPr>
          <w:p>
            <w:pPr/>
          </w:p>
        </w:tc>
        <w:tc>
          <w:tcPr>
            <w:tcW w:w="2736" w:type="dxa"/>
            <w:tcBorders>
              <w:top w:val="nil" w:sz="6" w:space="0" w:color="auto"/>
              <w:left w:val="nil" w:sz="6" w:space="0" w:color="auto"/>
              <w:bottom w:val="nil" w:sz="6" w:space="0" w:color="auto"/>
              <w:right w:val="nil" w:sz="6" w:space="0" w:color="auto"/>
            </w:tcBorders>
          </w:tcPr>
          <w:p>
            <w:pPr>
              <w:pStyle w:val="TableParagraph"/>
              <w:spacing w:line="214" w:lineRule="exact"/>
              <w:ind w:right="295"/>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780" w:type="dxa"/>
            <w:tcBorders>
              <w:top w:val="nil" w:sz="6" w:space="0" w:color="auto"/>
              <w:left w:val="nil" w:sz="6" w:space="0" w:color="auto"/>
              <w:bottom w:val="nil" w:sz="6" w:space="0" w:color="auto"/>
              <w:right w:val="nil" w:sz="6" w:space="0" w:color="auto"/>
            </w:tcBorders>
          </w:tcPr>
          <w:p>
            <w:pPr>
              <w:pStyle w:val="TableParagraph"/>
              <w:spacing w:line="199" w:lineRule="exact"/>
              <w:ind w:right="82"/>
              <w:jc w:val="right"/>
              <w:rPr>
                <w:rFonts w:ascii="黑体" w:hAnsi="黑体" w:cs="黑体" w:eastAsia="黑体" w:hint="default"/>
                <w:sz w:val="20"/>
                <w:szCs w:val="20"/>
              </w:rPr>
            </w:pPr>
            <w:r>
              <w:rPr>
                <w:rFonts w:ascii="黑体" w:hAnsi="黑体" w:cs="黑体" w:eastAsia="黑体" w:hint="default"/>
                <w:w w:val="95"/>
                <w:sz w:val="20"/>
                <w:szCs w:val="20"/>
              </w:rPr>
              <w:t>比例</w:t>
            </w:r>
            <w:r>
              <w:rPr>
                <w:rFonts w:ascii="黑体" w:hAnsi="黑体" w:cs="黑体" w:eastAsia="黑体" w:hint="default"/>
                <w:sz w:val="20"/>
                <w:szCs w:val="20"/>
              </w:rPr>
            </w:r>
          </w:p>
        </w:tc>
        <w:tc>
          <w:tcPr>
            <w:tcW w:w="1488" w:type="dxa"/>
            <w:tcBorders>
              <w:top w:val="nil" w:sz="6" w:space="0" w:color="auto"/>
              <w:left w:val="nil" w:sz="6" w:space="0" w:color="auto"/>
              <w:bottom w:val="nil" w:sz="6" w:space="0" w:color="auto"/>
              <w:right w:val="nil" w:sz="6" w:space="0" w:color="auto"/>
            </w:tcBorders>
          </w:tcPr>
          <w:p>
            <w:pPr>
              <w:pStyle w:val="TableParagraph"/>
              <w:spacing w:line="214" w:lineRule="exact"/>
              <w:ind w:right="295"/>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c>
          <w:tcPr>
            <w:tcW w:w="925" w:type="dxa"/>
            <w:tcBorders>
              <w:top w:val="nil" w:sz="6" w:space="0" w:color="auto"/>
              <w:left w:val="nil" w:sz="6" w:space="0" w:color="auto"/>
              <w:bottom w:val="nil" w:sz="6" w:space="0" w:color="auto"/>
              <w:right w:val="nil" w:sz="6" w:space="0" w:color="auto"/>
            </w:tcBorders>
          </w:tcPr>
          <w:p>
            <w:pPr>
              <w:pStyle w:val="TableParagraph"/>
              <w:spacing w:line="199" w:lineRule="exact"/>
              <w:ind w:right="226"/>
              <w:jc w:val="right"/>
              <w:rPr>
                <w:rFonts w:ascii="黑体" w:hAnsi="黑体" w:cs="黑体" w:eastAsia="黑体" w:hint="default"/>
                <w:sz w:val="20"/>
                <w:szCs w:val="20"/>
              </w:rPr>
            </w:pPr>
            <w:r>
              <w:rPr>
                <w:rFonts w:ascii="黑体" w:hAnsi="黑体" w:cs="黑体" w:eastAsia="黑体" w:hint="default"/>
                <w:w w:val="95"/>
                <w:sz w:val="20"/>
                <w:szCs w:val="20"/>
              </w:rPr>
              <w:t>比例</w:t>
            </w:r>
            <w:r>
              <w:rPr>
                <w:rFonts w:ascii="黑体" w:hAnsi="黑体" w:cs="黑体" w:eastAsia="黑体" w:hint="default"/>
                <w:sz w:val="20"/>
                <w:szCs w:val="20"/>
              </w:rPr>
            </w:r>
          </w:p>
        </w:tc>
      </w:tr>
      <w:tr>
        <w:trPr>
          <w:trHeight w:val="374" w:hRule="exact"/>
        </w:trPr>
        <w:tc>
          <w:tcPr>
            <w:tcW w:w="2238" w:type="dxa"/>
            <w:tcBorders>
              <w:top w:val="nil" w:sz="6" w:space="0" w:color="auto"/>
              <w:left w:val="nil" w:sz="6" w:space="0" w:color="auto"/>
              <w:bottom w:val="nil" w:sz="6" w:space="0" w:color="auto"/>
              <w:right w:val="nil" w:sz="6" w:space="0" w:color="auto"/>
            </w:tcBorders>
          </w:tcPr>
          <w:p>
            <w:pPr/>
          </w:p>
        </w:tc>
        <w:tc>
          <w:tcPr>
            <w:tcW w:w="2736" w:type="dxa"/>
            <w:tcBorders>
              <w:top w:val="nil" w:sz="6" w:space="0" w:color="auto"/>
              <w:left w:val="nil" w:sz="6" w:space="0" w:color="auto"/>
              <w:bottom w:val="nil" w:sz="6" w:space="0" w:color="auto"/>
              <w:right w:val="nil" w:sz="6" w:space="0" w:color="auto"/>
            </w:tcBorders>
          </w:tcPr>
          <w:p>
            <w:pPr>
              <w:pStyle w:val="TableParagraph"/>
              <w:spacing w:line="239" w:lineRule="exact"/>
              <w:ind w:right="295"/>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0"/>
              <w:jc w:val="right"/>
              <w:rPr>
                <w:rFonts w:ascii="Arial" w:hAnsi="Arial" w:cs="Arial" w:eastAsia="Arial" w:hint="default"/>
                <w:sz w:val="20"/>
                <w:szCs w:val="20"/>
              </w:rPr>
            </w:pPr>
            <w:r>
              <w:rPr>
                <w:rFonts w:ascii="Arial"/>
                <w:w w:val="99"/>
                <w:sz w:val="20"/>
              </w:rPr>
              <w:t>%</w:t>
            </w:r>
            <w:r>
              <w:rPr>
                <w:rFonts w:ascii="Arial"/>
                <w:sz w:val="20"/>
              </w:rPr>
            </w:r>
          </w:p>
        </w:tc>
        <w:tc>
          <w:tcPr>
            <w:tcW w:w="1488" w:type="dxa"/>
            <w:tcBorders>
              <w:top w:val="nil" w:sz="6" w:space="0" w:color="auto"/>
              <w:left w:val="nil" w:sz="6" w:space="0" w:color="auto"/>
              <w:bottom w:val="nil" w:sz="6" w:space="0" w:color="auto"/>
              <w:right w:val="nil" w:sz="6" w:space="0" w:color="auto"/>
            </w:tcBorders>
          </w:tcPr>
          <w:p>
            <w:pPr>
              <w:pStyle w:val="TableParagraph"/>
              <w:spacing w:line="239" w:lineRule="exact"/>
              <w:ind w:right="295"/>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20"/>
                <w:szCs w:val="20"/>
              </w:rPr>
            </w:pPr>
            <w:r>
              <w:rPr>
                <w:rFonts w:ascii="Arial"/>
                <w:w w:val="99"/>
                <w:sz w:val="20"/>
              </w:rPr>
              <w:t>%</w:t>
            </w:r>
            <w:r>
              <w:rPr>
                <w:rFonts w:ascii="Arial"/>
                <w:sz w:val="20"/>
              </w:rPr>
            </w:r>
          </w:p>
        </w:tc>
      </w:tr>
      <w:tr>
        <w:trPr>
          <w:trHeight w:val="374" w:hRule="exact"/>
        </w:trPr>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00" w:right="0"/>
              <w:jc w:val="left"/>
              <w:rPr>
                <w:rFonts w:ascii="黑体" w:hAnsi="黑体" w:cs="黑体" w:eastAsia="黑体" w:hint="default"/>
                <w:sz w:val="20"/>
                <w:szCs w:val="20"/>
              </w:rPr>
            </w:pPr>
            <w:r>
              <w:rPr>
                <w:rFonts w:ascii="Arial" w:hAnsi="Arial" w:cs="Arial" w:eastAsia="Arial" w:hint="default"/>
                <w:sz w:val="20"/>
                <w:szCs w:val="20"/>
              </w:rPr>
              <w:t>1</w:t>
            </w:r>
            <w:r>
              <w:rPr>
                <w:rFonts w:ascii="黑体" w:hAnsi="黑体" w:cs="黑体" w:eastAsia="黑体" w:hint="default"/>
                <w:sz w:val="20"/>
                <w:szCs w:val="20"/>
              </w:rPr>
              <w:t>年以内</w:t>
            </w:r>
          </w:p>
        </w:tc>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96"/>
              <w:jc w:val="right"/>
              <w:rPr>
                <w:rFonts w:ascii="Arial" w:hAnsi="Arial" w:cs="Arial" w:eastAsia="Arial" w:hint="default"/>
                <w:sz w:val="20"/>
                <w:szCs w:val="20"/>
              </w:rPr>
            </w:pPr>
            <w:r>
              <w:rPr>
                <w:rFonts w:ascii="Arial"/>
                <w:spacing w:val="-1"/>
                <w:sz w:val="20"/>
              </w:rPr>
              <w:t>400,967,073</w:t>
            </w:r>
            <w:r>
              <w:rPr>
                <w:rFonts w:ascii="Arial"/>
                <w:sz w:val="20"/>
              </w:rPr>
            </w: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82"/>
              <w:jc w:val="right"/>
              <w:rPr>
                <w:rFonts w:ascii="Arial" w:hAnsi="Arial" w:cs="Arial" w:eastAsia="Arial" w:hint="default"/>
                <w:sz w:val="20"/>
                <w:szCs w:val="20"/>
              </w:rPr>
            </w:pPr>
            <w:r>
              <w:rPr>
                <w:rFonts w:ascii="Arial"/>
                <w:spacing w:val="-1"/>
                <w:w w:val="95"/>
                <w:sz w:val="20"/>
              </w:rPr>
              <w:t>75</w:t>
            </w:r>
            <w:r>
              <w:rPr>
                <w:rFonts w:ascii="Arial"/>
                <w:sz w:val="20"/>
              </w:rPr>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296"/>
              <w:jc w:val="right"/>
              <w:rPr>
                <w:rFonts w:ascii="Arial" w:hAnsi="Arial" w:cs="Arial" w:eastAsia="Arial" w:hint="default"/>
                <w:sz w:val="20"/>
                <w:szCs w:val="20"/>
              </w:rPr>
            </w:pPr>
            <w:r>
              <w:rPr>
                <w:rFonts w:ascii="Arial"/>
                <w:spacing w:val="-1"/>
                <w:sz w:val="20"/>
              </w:rPr>
              <w:t>308,472,626</w:t>
            </w:r>
            <w:r>
              <w:rPr>
                <w:rFonts w:ascii="Arial"/>
                <w:sz w:val="20"/>
              </w:rPr>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99"/>
              <w:jc w:val="right"/>
              <w:rPr>
                <w:rFonts w:ascii="Arial" w:hAnsi="Arial" w:cs="Arial" w:eastAsia="Arial" w:hint="default"/>
                <w:sz w:val="20"/>
                <w:szCs w:val="20"/>
              </w:rPr>
            </w:pPr>
            <w:r>
              <w:rPr>
                <w:rFonts w:ascii="Arial"/>
                <w:spacing w:val="-1"/>
                <w:w w:val="95"/>
                <w:sz w:val="20"/>
              </w:rPr>
              <w:t>80</w:t>
            </w:r>
            <w:r>
              <w:rPr>
                <w:rFonts w:ascii="Arial"/>
                <w:sz w:val="20"/>
              </w:rPr>
            </w:r>
          </w:p>
        </w:tc>
      </w:tr>
      <w:tr>
        <w:trPr>
          <w:trHeight w:val="259" w:hRule="exact"/>
        </w:trPr>
        <w:tc>
          <w:tcPr>
            <w:tcW w:w="2238"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黑体" w:hAnsi="黑体" w:cs="黑体" w:eastAsia="黑体" w:hint="default"/>
                <w:sz w:val="20"/>
                <w:szCs w:val="20"/>
              </w:rPr>
            </w:pPr>
            <w:r>
              <w:rPr>
                <w:rFonts w:ascii="Arial" w:hAnsi="Arial" w:cs="Arial" w:eastAsia="Arial" w:hint="default"/>
                <w:sz w:val="20"/>
                <w:szCs w:val="20"/>
              </w:rPr>
              <w:t>1</w:t>
            </w:r>
            <w:r>
              <w:rPr>
                <w:rFonts w:ascii="黑体" w:hAnsi="黑体" w:cs="黑体" w:eastAsia="黑体" w:hint="default"/>
                <w:sz w:val="20"/>
                <w:szCs w:val="20"/>
              </w:rPr>
              <w:t>至</w:t>
            </w:r>
            <w:r>
              <w:rPr>
                <w:rFonts w:ascii="Arial" w:hAnsi="Arial" w:cs="Arial" w:eastAsia="Arial" w:hint="default"/>
                <w:sz w:val="20"/>
                <w:szCs w:val="20"/>
              </w:rPr>
              <w:t>2</w:t>
            </w:r>
            <w:r>
              <w:rPr>
                <w:rFonts w:ascii="黑体" w:hAnsi="黑体" w:cs="黑体" w:eastAsia="黑体" w:hint="default"/>
                <w:sz w:val="20"/>
                <w:szCs w:val="20"/>
              </w:rPr>
              <w:t>年</w:t>
            </w:r>
          </w:p>
        </w:tc>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6"/>
              <w:jc w:val="right"/>
              <w:rPr>
                <w:rFonts w:ascii="Arial" w:hAnsi="Arial" w:cs="Arial" w:eastAsia="Arial" w:hint="default"/>
                <w:sz w:val="20"/>
                <w:szCs w:val="20"/>
              </w:rPr>
            </w:pPr>
            <w:r>
              <w:rPr>
                <w:rFonts w:ascii="Arial"/>
                <w:spacing w:val="-1"/>
                <w:sz w:val="20"/>
              </w:rPr>
              <w:t>67,396,720</w:t>
            </w:r>
            <w:r>
              <w:rPr>
                <w:rFonts w:ascii="Arial"/>
                <w:sz w:val="20"/>
              </w:rPr>
            </w: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2"/>
              <w:jc w:val="right"/>
              <w:rPr>
                <w:rFonts w:ascii="Arial" w:hAnsi="Arial" w:cs="Arial" w:eastAsia="Arial" w:hint="default"/>
                <w:sz w:val="20"/>
                <w:szCs w:val="20"/>
              </w:rPr>
            </w:pPr>
            <w:r>
              <w:rPr>
                <w:rFonts w:ascii="Arial"/>
                <w:spacing w:val="-1"/>
                <w:w w:val="95"/>
                <w:sz w:val="20"/>
              </w:rPr>
              <w:t>13</w:t>
            </w:r>
            <w:r>
              <w:rPr>
                <w:rFonts w:ascii="Arial"/>
                <w:sz w:val="20"/>
              </w:rPr>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6"/>
              <w:jc w:val="right"/>
              <w:rPr>
                <w:rFonts w:ascii="Arial" w:hAnsi="Arial" w:cs="Arial" w:eastAsia="Arial" w:hint="default"/>
                <w:sz w:val="20"/>
                <w:szCs w:val="20"/>
              </w:rPr>
            </w:pPr>
            <w:r>
              <w:rPr>
                <w:rFonts w:ascii="Arial"/>
                <w:spacing w:val="-1"/>
                <w:sz w:val="20"/>
              </w:rPr>
              <w:t>44,690,979</w:t>
            </w:r>
            <w:r>
              <w:rPr>
                <w:rFonts w:ascii="Arial"/>
                <w:sz w:val="20"/>
              </w:rPr>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9"/>
              <w:jc w:val="right"/>
              <w:rPr>
                <w:rFonts w:ascii="Arial" w:hAnsi="Arial" w:cs="Arial" w:eastAsia="Arial" w:hint="default"/>
                <w:sz w:val="20"/>
                <w:szCs w:val="20"/>
              </w:rPr>
            </w:pPr>
            <w:r>
              <w:rPr>
                <w:rFonts w:ascii="Arial"/>
                <w:spacing w:val="-1"/>
                <w:w w:val="95"/>
                <w:sz w:val="20"/>
              </w:rPr>
              <w:t>12</w:t>
            </w:r>
            <w:r>
              <w:rPr>
                <w:rFonts w:ascii="Arial"/>
                <w:sz w:val="20"/>
              </w:rPr>
            </w:r>
          </w:p>
        </w:tc>
      </w:tr>
      <w:tr>
        <w:trPr>
          <w:trHeight w:val="260" w:hRule="exact"/>
        </w:trPr>
        <w:tc>
          <w:tcPr>
            <w:tcW w:w="2238"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黑体" w:hAnsi="黑体" w:cs="黑体" w:eastAsia="黑体" w:hint="default"/>
                <w:sz w:val="20"/>
                <w:szCs w:val="20"/>
              </w:rPr>
            </w:pPr>
            <w:r>
              <w:rPr>
                <w:rFonts w:ascii="Arial" w:hAnsi="Arial" w:cs="Arial" w:eastAsia="Arial" w:hint="default"/>
                <w:sz w:val="20"/>
                <w:szCs w:val="20"/>
              </w:rPr>
              <w:t>2</w:t>
            </w:r>
            <w:r>
              <w:rPr>
                <w:rFonts w:ascii="黑体" w:hAnsi="黑体" w:cs="黑体" w:eastAsia="黑体" w:hint="default"/>
                <w:sz w:val="20"/>
                <w:szCs w:val="20"/>
              </w:rPr>
              <w:t>至</w:t>
            </w:r>
            <w:r>
              <w:rPr>
                <w:rFonts w:ascii="Arial" w:hAnsi="Arial" w:cs="Arial" w:eastAsia="Arial" w:hint="default"/>
                <w:sz w:val="20"/>
                <w:szCs w:val="20"/>
              </w:rPr>
              <w:t>3</w:t>
            </w:r>
            <w:r>
              <w:rPr>
                <w:rFonts w:ascii="黑体" w:hAnsi="黑体" w:cs="黑体" w:eastAsia="黑体" w:hint="default"/>
                <w:sz w:val="20"/>
                <w:szCs w:val="20"/>
              </w:rPr>
              <w:t>年</w:t>
            </w:r>
          </w:p>
        </w:tc>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6"/>
              <w:jc w:val="right"/>
              <w:rPr>
                <w:rFonts w:ascii="Arial" w:hAnsi="Arial" w:cs="Arial" w:eastAsia="Arial" w:hint="default"/>
                <w:sz w:val="20"/>
                <w:szCs w:val="20"/>
              </w:rPr>
            </w:pPr>
            <w:r>
              <w:rPr>
                <w:rFonts w:ascii="Arial"/>
                <w:spacing w:val="-1"/>
                <w:sz w:val="20"/>
              </w:rPr>
              <w:t>34,375,273</w:t>
            </w:r>
            <w:r>
              <w:rPr>
                <w:rFonts w:ascii="Arial"/>
                <w:sz w:val="20"/>
              </w:rPr>
            </w: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9"/>
              <w:jc w:val="right"/>
              <w:rPr>
                <w:rFonts w:ascii="Arial" w:hAnsi="Arial" w:cs="Arial" w:eastAsia="Arial" w:hint="default"/>
                <w:sz w:val="20"/>
                <w:szCs w:val="20"/>
              </w:rPr>
            </w:pPr>
            <w:r>
              <w:rPr>
                <w:rFonts w:ascii="Arial"/>
                <w:w w:val="99"/>
                <w:sz w:val="20"/>
              </w:rPr>
              <w:t>6</w:t>
            </w:r>
            <w:r>
              <w:rPr>
                <w:rFonts w:ascii="Arial"/>
                <w:sz w:val="20"/>
              </w:rPr>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6"/>
              <w:jc w:val="right"/>
              <w:rPr>
                <w:rFonts w:ascii="Arial" w:hAnsi="Arial" w:cs="Arial" w:eastAsia="Arial" w:hint="default"/>
                <w:sz w:val="20"/>
                <w:szCs w:val="20"/>
              </w:rPr>
            </w:pPr>
            <w:r>
              <w:rPr>
                <w:rFonts w:ascii="Arial"/>
                <w:spacing w:val="-1"/>
                <w:sz w:val="20"/>
              </w:rPr>
              <w:t>17,038,827</w:t>
            </w:r>
            <w:r>
              <w:rPr>
                <w:rFonts w:ascii="Arial"/>
                <w:sz w:val="20"/>
              </w:rPr>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4"/>
              <w:jc w:val="right"/>
              <w:rPr>
                <w:rFonts w:ascii="Arial" w:hAnsi="Arial" w:cs="Arial" w:eastAsia="Arial" w:hint="default"/>
                <w:sz w:val="20"/>
                <w:szCs w:val="20"/>
              </w:rPr>
            </w:pPr>
            <w:r>
              <w:rPr>
                <w:rFonts w:ascii="Arial"/>
                <w:w w:val="99"/>
                <w:sz w:val="20"/>
              </w:rPr>
              <w:t>4</w:t>
            </w:r>
            <w:r>
              <w:rPr>
                <w:rFonts w:ascii="Arial"/>
                <w:sz w:val="20"/>
              </w:rPr>
            </w:r>
          </w:p>
        </w:tc>
      </w:tr>
      <w:tr>
        <w:trPr>
          <w:trHeight w:val="320" w:hRule="exact"/>
        </w:trPr>
        <w:tc>
          <w:tcPr>
            <w:tcW w:w="223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0"/>
                <w:szCs w:val="20"/>
              </w:rPr>
            </w:pPr>
            <w:r>
              <w:rPr>
                <w:rFonts w:ascii="Arial" w:hAnsi="Arial" w:cs="Arial" w:eastAsia="Arial" w:hint="default"/>
                <w:sz w:val="20"/>
                <w:szCs w:val="20"/>
              </w:rPr>
              <w:t>3</w:t>
            </w:r>
            <w:r>
              <w:rPr>
                <w:rFonts w:ascii="黑体" w:hAnsi="黑体" w:cs="黑体" w:eastAsia="黑体" w:hint="default"/>
                <w:sz w:val="20"/>
                <w:szCs w:val="20"/>
              </w:rPr>
              <w:t>年以上</w:t>
            </w:r>
          </w:p>
        </w:tc>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96"/>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8"/>
                <w:sz w:val="20"/>
                <w:u w:val="single" w:color="000000"/>
              </w:rPr>
              <w:t> </w:t>
            </w:r>
            <w:r>
              <w:rPr>
                <w:rFonts w:ascii="Arial"/>
                <w:spacing w:val="-1"/>
                <w:sz w:val="20"/>
                <w:u w:val="single" w:color="000000"/>
              </w:rPr>
              <w:t>29,646,461</w:t>
            </w:r>
            <w:r>
              <w:rPr>
                <w:rFonts w:ascii="Arial"/>
                <w:spacing w:val="-1"/>
                <w:sz w:val="20"/>
              </w:rPr>
            </w:r>
            <w:r>
              <w:rPr>
                <w:rFonts w:ascii="Arial"/>
                <w:sz w:val="20"/>
              </w:rPr>
            </w: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9"/>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1"/>
                <w:sz w:val="20"/>
                <w:u w:val="single" w:color="000000"/>
              </w:rPr>
              <w:t> </w:t>
            </w:r>
            <w:r>
              <w:rPr>
                <w:rFonts w:ascii="Arial"/>
                <w:w w:val="95"/>
                <w:sz w:val="20"/>
                <w:u w:val="single" w:color="000000"/>
              </w:rPr>
              <w:t>6</w:t>
            </w:r>
            <w:r>
              <w:rPr>
                <w:rFonts w:ascii="Arial"/>
                <w:w w:val="95"/>
                <w:sz w:val="20"/>
              </w:rPr>
            </w:r>
            <w:r>
              <w:rPr>
                <w:rFonts w:ascii="Arial"/>
                <w:sz w:val="20"/>
              </w:rPr>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95"/>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sz w:val="20"/>
                <w:u w:val="single" w:color="000000"/>
              </w:rPr>
              <w:t>16,742,629</w:t>
            </w:r>
            <w:r>
              <w:rPr>
                <w:rFonts w:ascii="Arial"/>
                <w:spacing w:val="-1"/>
                <w:sz w:val="20"/>
              </w:rPr>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4"/>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1"/>
                <w:sz w:val="20"/>
                <w:u w:val="single" w:color="000000"/>
              </w:rPr>
              <w:t> </w:t>
            </w:r>
            <w:r>
              <w:rPr>
                <w:rFonts w:ascii="Arial"/>
                <w:w w:val="95"/>
                <w:sz w:val="20"/>
                <w:u w:val="single" w:color="000000"/>
              </w:rPr>
              <w:t>4</w:t>
            </w:r>
            <w:r>
              <w:rPr>
                <w:rFonts w:ascii="Arial"/>
                <w:w w:val="95"/>
                <w:sz w:val="20"/>
              </w:rPr>
            </w:r>
            <w:r>
              <w:rPr>
                <w:rFonts w:ascii="Arial"/>
                <w:sz w:val="20"/>
              </w:rPr>
            </w:r>
          </w:p>
        </w:tc>
      </w:tr>
      <w:tr>
        <w:trPr>
          <w:trHeight w:val="284" w:hRule="exact"/>
        </w:trPr>
        <w:tc>
          <w:tcPr>
            <w:tcW w:w="2238" w:type="dxa"/>
            <w:tcBorders>
              <w:top w:val="nil" w:sz="6" w:space="0" w:color="auto"/>
              <w:left w:val="nil" w:sz="6" w:space="0" w:color="auto"/>
              <w:bottom w:val="nil" w:sz="6" w:space="0" w:color="auto"/>
              <w:right w:val="nil" w:sz="6" w:space="0" w:color="auto"/>
            </w:tcBorders>
          </w:tcPr>
          <w:p>
            <w:pPr/>
          </w:p>
        </w:tc>
        <w:tc>
          <w:tcPr>
            <w:tcW w:w="273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96"/>
              <w:jc w:val="right"/>
              <w:rPr>
                <w:rFonts w:ascii="Arial" w:hAnsi="Arial" w:cs="Arial" w:eastAsia="Arial" w:hint="default"/>
                <w:sz w:val="20"/>
                <w:szCs w:val="20"/>
              </w:rPr>
            </w:pPr>
            <w:r>
              <w:rPr>
                <w:rFonts w:ascii="Arial"/>
                <w:w w:val="99"/>
                <w:sz w:val="20"/>
              </w:rPr>
            </w:r>
            <w:r>
              <w:rPr>
                <w:rFonts w:ascii="Arial"/>
                <w:spacing w:val="-1"/>
                <w:sz w:val="20"/>
                <w:u w:val="thick" w:color="000000"/>
              </w:rPr>
              <w:t>532,385,527</w:t>
            </w:r>
            <w:r>
              <w:rPr>
                <w:rFonts w:ascii="Arial"/>
                <w:spacing w:val="-1"/>
                <w:sz w:val="20"/>
              </w:rPr>
            </w:r>
            <w:r>
              <w:rPr>
                <w:rFonts w:ascii="Arial"/>
                <w:sz w:val="20"/>
              </w:rPr>
            </w:r>
          </w:p>
        </w:tc>
        <w:tc>
          <w:tcPr>
            <w:tcW w:w="78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2"/>
              <w:jc w:val="right"/>
              <w:rPr>
                <w:rFonts w:ascii="Arial" w:hAnsi="Arial" w:cs="Arial" w:eastAsia="Arial" w:hint="default"/>
                <w:sz w:val="20"/>
                <w:szCs w:val="20"/>
              </w:rPr>
            </w:pPr>
            <w:r>
              <w:rPr>
                <w:rFonts w:ascii="Arial"/>
                <w:w w:val="99"/>
                <w:sz w:val="20"/>
              </w:rPr>
            </w:r>
            <w:r>
              <w:rPr>
                <w:rFonts w:ascii="Arial"/>
                <w:spacing w:val="-1"/>
                <w:w w:val="95"/>
                <w:sz w:val="20"/>
                <w:u w:val="thick" w:color="000000"/>
              </w:rPr>
              <w:t>100</w:t>
            </w:r>
            <w:r>
              <w:rPr>
                <w:rFonts w:ascii="Arial"/>
                <w:spacing w:val="-1"/>
                <w:w w:val="95"/>
                <w:sz w:val="20"/>
              </w:rPr>
            </w:r>
            <w:r>
              <w:rPr>
                <w:rFonts w:ascii="Arial"/>
                <w:sz w:val="20"/>
              </w:rPr>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96"/>
              <w:jc w:val="right"/>
              <w:rPr>
                <w:rFonts w:ascii="Arial" w:hAnsi="Arial" w:cs="Arial" w:eastAsia="Arial" w:hint="default"/>
                <w:sz w:val="20"/>
                <w:szCs w:val="20"/>
              </w:rPr>
            </w:pPr>
            <w:r>
              <w:rPr>
                <w:rFonts w:ascii="Arial"/>
                <w:w w:val="99"/>
                <w:sz w:val="20"/>
              </w:rPr>
            </w:r>
            <w:r>
              <w:rPr>
                <w:rFonts w:ascii="Arial"/>
                <w:spacing w:val="-1"/>
                <w:sz w:val="20"/>
                <w:u w:val="thick" w:color="000000"/>
              </w:rPr>
              <w:t>386,945,061</w:t>
            </w:r>
            <w:r>
              <w:rPr>
                <w:rFonts w:ascii="Arial"/>
                <w:spacing w:val="-1"/>
                <w:sz w:val="20"/>
              </w:rPr>
            </w:r>
            <w:r>
              <w:rPr>
                <w:rFonts w:ascii="Arial"/>
                <w:sz w:val="20"/>
              </w:rPr>
            </w:r>
          </w:p>
        </w:tc>
        <w:tc>
          <w:tcPr>
            <w:tcW w:w="92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07"/>
              <w:jc w:val="right"/>
              <w:rPr>
                <w:rFonts w:ascii="Arial" w:hAnsi="Arial" w:cs="Arial" w:eastAsia="Arial" w:hint="default"/>
                <w:sz w:val="20"/>
                <w:szCs w:val="20"/>
              </w:rPr>
            </w:pPr>
            <w:r>
              <w:rPr>
                <w:rFonts w:ascii="Arial"/>
                <w:w w:val="99"/>
                <w:sz w:val="20"/>
              </w:rPr>
            </w:r>
            <w:r>
              <w:rPr>
                <w:rFonts w:ascii="Arial"/>
                <w:spacing w:val="-1"/>
                <w:w w:val="95"/>
                <w:sz w:val="20"/>
                <w:u w:val="thick" w:color="000000"/>
              </w:rPr>
              <w:t>100</w:t>
            </w:r>
            <w:r>
              <w:rPr>
                <w:rFonts w:ascii="Arial"/>
                <w:spacing w:val="-1"/>
                <w:w w:val="95"/>
                <w:sz w:val="20"/>
              </w:rPr>
            </w:r>
            <w:r>
              <w:rPr>
                <w:rFonts w:ascii="Arial"/>
                <w:sz w:val="20"/>
              </w:rPr>
            </w:r>
          </w:p>
        </w:tc>
      </w:tr>
    </w:tbl>
    <w:p>
      <w:pPr>
        <w:spacing w:line="240" w:lineRule="auto" w:before="9"/>
        <w:rPr>
          <w:rFonts w:ascii="Arial" w:hAnsi="Arial" w:cs="Arial" w:eastAsia="Arial" w:hint="default"/>
          <w:sz w:val="17"/>
          <w:szCs w:val="17"/>
        </w:rPr>
      </w:pPr>
    </w:p>
    <w:p>
      <w:pPr>
        <w:pStyle w:val="BodyText"/>
        <w:spacing w:line="276" w:lineRule="auto" w:before="37"/>
        <w:ind w:right="152"/>
        <w:jc w:val="left"/>
      </w:pPr>
      <w:r>
        <w:rPr>
          <w:spacing w:val="-2"/>
        </w:rPr>
        <w:t>预收款项为预收客户有关软件销售及维护服务收入的款项。该款项按照收入确认的会计政策</w:t>
      </w:r>
      <w:r>
        <w:rPr>
          <w:spacing w:val="-97"/>
        </w:rPr>
        <w:t> </w:t>
      </w:r>
      <w:r>
        <w:rPr>
          <w:spacing w:val="-97"/>
        </w:rPr>
      </w:r>
      <w:r>
        <w:rPr/>
        <w:t>应于以后年度确认收入。</w:t>
      </w:r>
    </w:p>
    <w:p>
      <w:pPr>
        <w:spacing w:line="240" w:lineRule="auto" w:before="3"/>
        <w:rPr>
          <w:rFonts w:ascii="黑体" w:hAnsi="黑体" w:cs="黑体" w:eastAsia="黑体" w:hint="default"/>
          <w:sz w:val="18"/>
          <w:szCs w:val="18"/>
        </w:rPr>
      </w:pPr>
    </w:p>
    <w:p>
      <w:pPr>
        <w:pStyle w:val="BodyText"/>
        <w:spacing w:line="261" w:lineRule="auto"/>
        <w:ind w:left="813" w:right="194"/>
        <w:jc w:val="left"/>
      </w:pPr>
      <w:r>
        <w:rPr>
          <w:spacing w:val="-1"/>
          <w:w w:val="95"/>
        </w:rPr>
        <w:t>于</w:t>
      </w:r>
      <w:r>
        <w:rPr>
          <w:rFonts w:ascii="Arial" w:hAnsi="Arial" w:cs="Arial" w:eastAsia="Arial" w:hint="default"/>
          <w:spacing w:val="-1"/>
          <w:w w:val="95"/>
        </w:rPr>
        <w:t>2012</w:t>
      </w:r>
      <w:r>
        <w:rPr>
          <w:spacing w:val="-1"/>
          <w:w w:val="95"/>
        </w:rPr>
        <w:t>年</w:t>
      </w:r>
      <w:r>
        <w:rPr>
          <w:rFonts w:ascii="Arial" w:hAnsi="Arial" w:cs="Arial" w:eastAsia="Arial" w:hint="default"/>
          <w:spacing w:val="-1"/>
          <w:w w:val="95"/>
        </w:rPr>
        <w:t>12</w:t>
      </w:r>
      <w:r>
        <w:rPr>
          <w:spacing w:val="-1"/>
          <w:w w:val="95"/>
        </w:rPr>
        <w:t>月</w:t>
      </w:r>
      <w:r>
        <w:rPr>
          <w:rFonts w:ascii="Arial" w:hAnsi="Arial" w:cs="Arial" w:eastAsia="Arial" w:hint="default"/>
          <w:spacing w:val="-1"/>
          <w:w w:val="95"/>
        </w:rPr>
        <w:t>31</w:t>
      </w:r>
      <w:r>
        <w:rPr>
          <w:spacing w:val="-1"/>
          <w:w w:val="95"/>
        </w:rPr>
        <w:t>日，本账户余额中并无持本公司</w:t>
      </w:r>
      <w:r>
        <w:rPr>
          <w:rFonts w:ascii="Arial" w:hAnsi="Arial" w:cs="Arial" w:eastAsia="Arial" w:hint="default"/>
          <w:spacing w:val="-1"/>
          <w:w w:val="95"/>
        </w:rPr>
        <w:t>5%</w:t>
      </w:r>
      <w:r>
        <w:rPr>
          <w:spacing w:val="-1"/>
          <w:w w:val="95"/>
        </w:rPr>
        <w:t>或以上表决权股份的股东单位或关联方</w:t>
      </w:r>
      <w:r>
        <w:rPr>
          <w:spacing w:val="5"/>
          <w:w w:val="95"/>
        </w:rPr>
        <w:t> </w:t>
      </w:r>
      <w:r>
        <w:rPr>
          <w:spacing w:val="5"/>
          <w:w w:val="95"/>
        </w:rPr>
      </w:r>
      <w:r>
        <w:rPr/>
        <w:t>的款项</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w:t>
      </w:r>
    </w:p>
    <w:p>
      <w:pPr>
        <w:spacing w:line="240" w:lineRule="auto" w:before="3"/>
        <w:rPr>
          <w:rFonts w:ascii="黑体" w:hAnsi="黑体" w:cs="黑体" w:eastAsia="黑体" w:hint="default"/>
          <w:sz w:val="23"/>
          <w:szCs w:val="23"/>
        </w:rPr>
      </w:pPr>
    </w:p>
    <w:p>
      <w:pPr>
        <w:pStyle w:val="BodyText"/>
        <w:spacing w:line="240" w:lineRule="auto"/>
        <w:ind w:left="813" w:right="194"/>
        <w:jc w:val="left"/>
      </w:pPr>
      <w:r>
        <w:rPr>
          <w:w w:val="99"/>
        </w:rPr>
        <w:t>于</w:t>
      </w:r>
      <w:r>
        <w:rPr>
          <w:rFonts w:ascii="Arial" w:hAnsi="Arial" w:cs="Arial" w:eastAsia="Arial" w:hint="default"/>
          <w:spacing w:val="-1"/>
          <w:w w:val="99"/>
        </w:rPr>
        <w:t>20</w:t>
      </w:r>
      <w:r>
        <w:rPr>
          <w:rFonts w:ascii="Arial" w:hAnsi="Arial" w:cs="Arial" w:eastAsia="Arial" w:hint="default"/>
          <w:spacing w:val="2"/>
          <w:w w:val="99"/>
        </w:rPr>
        <w:t>1</w:t>
      </w:r>
      <w:r>
        <w:rPr>
          <w:rFonts w:ascii="Arial" w:hAnsi="Arial" w:cs="Arial" w:eastAsia="Arial" w:hint="default"/>
          <w:spacing w:val="-1"/>
          <w:w w:val="99"/>
        </w:rPr>
        <w:t>2</w:t>
      </w:r>
      <w:r>
        <w:rPr>
          <w:w w:val="99"/>
        </w:rPr>
        <w:t>年</w:t>
      </w:r>
      <w:r>
        <w:rPr>
          <w:rFonts w:ascii="Arial" w:hAnsi="Arial" w:cs="Arial" w:eastAsia="Arial" w:hint="default"/>
          <w:spacing w:val="2"/>
          <w:w w:val="99"/>
        </w:rPr>
        <w:t>1</w:t>
      </w:r>
      <w:r>
        <w:rPr>
          <w:rFonts w:ascii="Arial" w:hAnsi="Arial" w:cs="Arial" w:eastAsia="Arial" w:hint="default"/>
          <w:spacing w:val="-1"/>
          <w:w w:val="99"/>
        </w:rPr>
        <w:t>2</w:t>
      </w:r>
      <w:r>
        <w:rPr>
          <w:w w:val="99"/>
        </w:rPr>
        <w:t>月</w:t>
      </w:r>
      <w:r>
        <w:rPr>
          <w:rFonts w:ascii="Arial" w:hAnsi="Arial" w:cs="Arial" w:eastAsia="Arial" w:hint="default"/>
          <w:spacing w:val="2"/>
          <w:w w:val="99"/>
        </w:rPr>
        <w:t>3</w:t>
      </w:r>
      <w:r>
        <w:rPr>
          <w:rFonts w:ascii="Arial" w:hAnsi="Arial" w:cs="Arial" w:eastAsia="Arial" w:hint="default"/>
          <w:spacing w:val="-1"/>
          <w:w w:val="99"/>
        </w:rPr>
        <w:t>1</w:t>
      </w:r>
      <w:r>
        <w:rPr>
          <w:w w:val="99"/>
        </w:rPr>
        <w:t>日</w:t>
      </w:r>
      <w:r>
        <w:rPr>
          <w:spacing w:val="-87"/>
          <w:w w:val="99"/>
        </w:rPr>
        <w:t>，</w:t>
      </w:r>
      <w:r>
        <w:rPr>
          <w:w w:val="99"/>
        </w:rPr>
        <w:t>本账</w:t>
      </w:r>
      <w:r>
        <w:rPr>
          <w:spacing w:val="2"/>
          <w:w w:val="99"/>
        </w:rPr>
        <w:t>户</w:t>
      </w:r>
      <w:r>
        <w:rPr>
          <w:w w:val="99"/>
        </w:rPr>
        <w:t>余额中</w:t>
      </w:r>
      <w:r>
        <w:rPr>
          <w:spacing w:val="2"/>
          <w:w w:val="99"/>
        </w:rPr>
        <w:t>无</w:t>
      </w:r>
      <w:r>
        <w:rPr>
          <w:w w:val="99"/>
        </w:rPr>
        <w:t>账龄</w:t>
      </w:r>
      <w:r>
        <w:rPr>
          <w:spacing w:val="2"/>
          <w:w w:val="99"/>
        </w:rPr>
        <w:t>超</w:t>
      </w:r>
      <w:r>
        <w:rPr>
          <w:w w:val="99"/>
        </w:rPr>
        <w:t>过</w:t>
      </w:r>
      <w:r>
        <w:rPr>
          <w:rFonts w:ascii="Arial" w:hAnsi="Arial" w:cs="Arial" w:eastAsia="Arial" w:hint="default"/>
          <w:spacing w:val="-1"/>
          <w:w w:val="99"/>
        </w:rPr>
        <w:t>1</w:t>
      </w:r>
      <w:r>
        <w:rPr>
          <w:spacing w:val="2"/>
          <w:w w:val="99"/>
        </w:rPr>
        <w:t>年</w:t>
      </w:r>
      <w:r>
        <w:rPr>
          <w:w w:val="99"/>
        </w:rPr>
        <w:t>的</w:t>
      </w:r>
      <w:r>
        <w:rPr>
          <w:spacing w:val="2"/>
          <w:w w:val="99"/>
        </w:rPr>
        <w:t>大</w:t>
      </w:r>
      <w:r>
        <w:rPr>
          <w:w w:val="99"/>
        </w:rPr>
        <w:t>额预收</w:t>
      </w:r>
      <w:r>
        <w:rPr>
          <w:spacing w:val="2"/>
          <w:w w:val="99"/>
        </w:rPr>
        <w:t>款</w:t>
      </w:r>
      <w:r>
        <w:rPr>
          <w:spacing w:val="-89"/>
          <w:w w:val="99"/>
        </w:rPr>
        <w:t>项</w:t>
      </w:r>
      <w:r>
        <w:rPr>
          <w:w w:val="99"/>
        </w:rPr>
        <w:t>（</w:t>
      </w:r>
      <w:r>
        <w:rPr>
          <w:rFonts w:ascii="Arial" w:hAnsi="Arial" w:cs="Arial" w:eastAsia="Arial" w:hint="default"/>
          <w:spacing w:val="-1"/>
          <w:w w:val="99"/>
        </w:rPr>
        <w:t>2</w:t>
      </w:r>
      <w:r>
        <w:rPr>
          <w:rFonts w:ascii="Arial" w:hAnsi="Arial" w:cs="Arial" w:eastAsia="Arial" w:hint="default"/>
          <w:spacing w:val="2"/>
          <w:w w:val="99"/>
        </w:rPr>
        <w:t>0</w:t>
      </w:r>
      <w:r>
        <w:rPr>
          <w:rFonts w:ascii="Arial" w:hAnsi="Arial" w:cs="Arial" w:eastAsia="Arial" w:hint="default"/>
          <w:spacing w:val="-1"/>
          <w:w w:val="99"/>
        </w:rPr>
        <w:t>11</w:t>
      </w:r>
      <w:r>
        <w:rPr>
          <w:spacing w:val="2"/>
          <w:w w:val="99"/>
        </w:rPr>
        <w:t>年</w:t>
      </w:r>
      <w:r>
        <w:rPr>
          <w:rFonts w:ascii="Arial" w:hAnsi="Arial" w:cs="Arial" w:eastAsia="Arial" w:hint="default"/>
          <w:spacing w:val="-1"/>
          <w:w w:val="99"/>
        </w:rPr>
        <w:t>1</w:t>
      </w:r>
      <w:r>
        <w:rPr>
          <w:rFonts w:ascii="Arial" w:hAnsi="Arial" w:cs="Arial" w:eastAsia="Arial" w:hint="default"/>
          <w:spacing w:val="2"/>
          <w:w w:val="99"/>
        </w:rPr>
        <w:t>2</w:t>
      </w:r>
      <w:r>
        <w:rPr>
          <w:w w:val="99"/>
        </w:rPr>
        <w:t>月</w:t>
      </w:r>
      <w:r>
        <w:rPr>
          <w:rFonts w:ascii="Arial" w:hAnsi="Arial" w:cs="Arial" w:eastAsia="Arial" w:hint="default"/>
          <w:spacing w:val="-1"/>
          <w:w w:val="99"/>
        </w:rPr>
        <w:t>3</w:t>
      </w:r>
      <w:r>
        <w:rPr>
          <w:rFonts w:ascii="Arial" w:hAnsi="Arial" w:cs="Arial" w:eastAsia="Arial" w:hint="default"/>
          <w:spacing w:val="2"/>
          <w:w w:val="99"/>
        </w:rPr>
        <w:t>1</w:t>
      </w:r>
      <w:r>
        <w:rPr>
          <w:w w:val="99"/>
        </w:rPr>
        <w:t>日</w:t>
      </w:r>
      <w:r>
        <w:rPr>
          <w:spacing w:val="-89"/>
          <w:w w:val="99"/>
        </w:rPr>
        <w:t>：</w:t>
      </w:r>
      <w:r>
        <w:rPr>
          <w:w w:val="99"/>
        </w:rPr>
        <w:t>无</w:t>
      </w:r>
      <w:r>
        <w:rPr>
          <w:spacing w:val="-89"/>
          <w:w w:val="99"/>
        </w:rPr>
        <w:t>）。</w:t>
      </w:r>
      <w:r>
        <w:rPr/>
      </w:r>
    </w:p>
    <w:p>
      <w:pPr>
        <w:spacing w:after="0" w:line="240" w:lineRule="auto"/>
        <w:jc w:val="left"/>
        <w:sectPr>
          <w:pgSz w:w="11910" w:h="16850"/>
          <w:pgMar w:header="957" w:footer="830" w:top="2520" w:bottom="1020" w:left="1600" w:right="1400"/>
        </w:sectPr>
      </w:pPr>
    </w:p>
    <w:p>
      <w:pPr>
        <w:spacing w:line="240" w:lineRule="auto" w:before="8"/>
        <w:rPr>
          <w:rFonts w:ascii="黑体" w:hAnsi="黑体" w:cs="黑体" w:eastAsia="黑体" w:hint="default"/>
          <w:sz w:val="21"/>
          <w:szCs w:val="21"/>
        </w:rPr>
      </w:pPr>
    </w:p>
    <w:p>
      <w:pPr>
        <w:pStyle w:val="Heading6"/>
        <w:tabs>
          <w:tab w:pos="804" w:val="left" w:leader="none"/>
        </w:tabs>
        <w:spacing w:line="240" w:lineRule="auto"/>
        <w:ind w:right="0"/>
        <w:jc w:val="left"/>
        <w:rPr>
          <w:b w:val="0"/>
          <w:bCs w:val="0"/>
        </w:rPr>
      </w:pPr>
      <w:r>
        <w:rPr>
          <w:w w:val="95"/>
        </w:rPr>
        <w:t>五、</w:t>
        <w:tab/>
      </w:r>
      <w:r>
        <w:rPr/>
        <w:t>合并财务报表主要项目注释（续）</w:t>
      </w:r>
      <w:r>
        <w:rPr>
          <w:b w:val="0"/>
          <w:bCs w:val="0"/>
        </w:rPr>
      </w:r>
    </w:p>
    <w:p>
      <w:pPr>
        <w:spacing w:line="240" w:lineRule="auto" w:before="1"/>
        <w:rPr>
          <w:rFonts w:ascii="黑体" w:hAnsi="黑体" w:cs="黑体" w:eastAsia="黑体" w:hint="default"/>
          <w:b/>
          <w:bCs/>
          <w:sz w:val="17"/>
          <w:szCs w:val="17"/>
        </w:rPr>
      </w:pPr>
    </w:p>
    <w:p>
      <w:pPr>
        <w:pStyle w:val="Heading6"/>
        <w:tabs>
          <w:tab w:pos="823" w:val="left" w:leader="none"/>
        </w:tabs>
        <w:spacing w:line="240" w:lineRule="auto" w:before="0"/>
        <w:ind w:right="0"/>
        <w:jc w:val="left"/>
        <w:rPr>
          <w:b w:val="0"/>
          <w:bCs w:val="0"/>
        </w:rPr>
      </w:pPr>
      <w:r>
        <w:rPr>
          <w:rFonts w:ascii="Arial" w:hAnsi="Arial" w:cs="Arial" w:eastAsia="Arial" w:hint="default"/>
          <w:spacing w:val="-1"/>
          <w:w w:val="95"/>
        </w:rPr>
        <w:t>22.</w:t>
        <w:tab/>
      </w:r>
      <w:r>
        <w:rPr>
          <w:spacing w:val="1"/>
        </w:rPr>
        <w:t>应付</w:t>
      </w:r>
      <w:bookmarkStart w:name="22.    应付职工薪酬" w:id="116"/>
      <w:bookmarkEnd w:id="116"/>
      <w:r>
        <w:rPr>
          <w:spacing w:val="1"/>
        </w:rPr>
        <w:t>职工</w:t>
      </w:r>
      <w:r>
        <w:rPr>
          <w:spacing w:val="1"/>
        </w:rPr>
        <w:t>薪酬</w:t>
      </w:r>
      <w:r>
        <w:rPr>
          <w:b w:val="0"/>
          <w:bCs w:val="0"/>
          <w:spacing w:val="1"/>
        </w:rPr>
      </w:r>
    </w:p>
    <w:p>
      <w:pPr>
        <w:spacing w:line="240" w:lineRule="auto" w:before="1"/>
        <w:rPr>
          <w:rFonts w:ascii="黑体" w:hAnsi="黑体" w:cs="黑体" w:eastAsia="黑体" w:hint="default"/>
          <w:b/>
          <w:bCs/>
          <w:sz w:val="21"/>
          <w:szCs w:val="21"/>
        </w:rPr>
      </w:pPr>
    </w:p>
    <w:tbl>
      <w:tblPr>
        <w:tblW w:w="0" w:type="auto"/>
        <w:jc w:val="left"/>
        <w:tblInd w:w="609" w:type="dxa"/>
        <w:tblLayout w:type="fixed"/>
        <w:tblCellMar>
          <w:top w:w="0" w:type="dxa"/>
          <w:left w:w="0" w:type="dxa"/>
          <w:bottom w:w="0" w:type="dxa"/>
          <w:right w:w="0" w:type="dxa"/>
        </w:tblCellMar>
        <w:tblLook w:val="01E0"/>
      </w:tblPr>
      <w:tblGrid>
        <w:gridCol w:w="2563"/>
        <w:gridCol w:w="1291"/>
        <w:gridCol w:w="1522"/>
        <w:gridCol w:w="1478"/>
        <w:gridCol w:w="157"/>
        <w:gridCol w:w="1386"/>
      </w:tblGrid>
      <w:tr>
        <w:trPr>
          <w:trHeight w:val="234" w:hRule="exact"/>
        </w:trPr>
        <w:tc>
          <w:tcPr>
            <w:tcW w:w="2563" w:type="dxa"/>
            <w:tcBorders>
              <w:top w:val="nil" w:sz="6" w:space="0" w:color="auto"/>
              <w:left w:val="nil" w:sz="6" w:space="0" w:color="auto"/>
              <w:bottom w:val="nil" w:sz="6" w:space="0" w:color="auto"/>
              <w:right w:val="nil" w:sz="6" w:space="0" w:color="auto"/>
            </w:tcBorders>
          </w:tcPr>
          <w:p>
            <w:pPr>
              <w:pStyle w:val="TableParagraph"/>
              <w:spacing w:line="214" w:lineRule="exact"/>
              <w:ind w:left="200" w:right="0"/>
              <w:jc w:val="left"/>
              <w:rPr>
                <w:rFonts w:ascii="黑体" w:hAnsi="黑体" w:cs="黑体" w:eastAsia="黑体" w:hint="default"/>
                <w:sz w:val="20"/>
                <w:szCs w:val="20"/>
              </w:rPr>
            </w:pPr>
            <w:r>
              <w:rPr>
                <w:rFonts w:ascii="Arial" w:hAnsi="Arial" w:cs="Arial" w:eastAsia="Arial" w:hint="default"/>
                <w:sz w:val="20"/>
                <w:szCs w:val="20"/>
              </w:rPr>
              <w:t>2012</w:t>
            </w:r>
            <w:r>
              <w:rPr>
                <w:rFonts w:ascii="黑体" w:hAnsi="黑体" w:cs="黑体" w:eastAsia="黑体" w:hint="default"/>
                <w:sz w:val="20"/>
                <w:szCs w:val="20"/>
              </w:rPr>
              <w:t>年</w:t>
            </w:r>
          </w:p>
        </w:tc>
        <w:tc>
          <w:tcPr>
            <w:tcW w:w="1291"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
        </w:tc>
        <w:tc>
          <w:tcPr>
            <w:tcW w:w="157"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
        </w:tc>
      </w:tr>
      <w:tr>
        <w:trPr>
          <w:trHeight w:val="409" w:hRule="exact"/>
        </w:trPr>
        <w:tc>
          <w:tcPr>
            <w:tcW w:w="2563"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Style w:val="TableParagraph"/>
              <w:spacing w:line="224" w:lineRule="exact"/>
              <w:ind w:right="124"/>
              <w:jc w:val="right"/>
              <w:rPr>
                <w:rFonts w:ascii="黑体" w:hAnsi="黑体" w:cs="黑体" w:eastAsia="黑体" w:hint="default"/>
                <w:sz w:val="20"/>
                <w:szCs w:val="20"/>
              </w:rPr>
            </w:pPr>
            <w:r>
              <w:rPr>
                <w:rFonts w:ascii="黑体" w:hAnsi="黑体" w:cs="黑体" w:eastAsia="黑体" w:hint="default"/>
                <w:w w:val="95"/>
                <w:sz w:val="20"/>
                <w:szCs w:val="20"/>
              </w:rPr>
              <w:t>年初数</w:t>
            </w:r>
            <w:r>
              <w:rPr>
                <w:rFonts w:ascii="黑体" w:hAnsi="黑体" w:cs="黑体" w:eastAsia="黑体" w:hint="default"/>
                <w:sz w:val="20"/>
                <w:szCs w:val="20"/>
              </w:rPr>
            </w:r>
          </w:p>
        </w:tc>
        <w:tc>
          <w:tcPr>
            <w:tcW w:w="1522" w:type="dxa"/>
            <w:tcBorders>
              <w:top w:val="nil" w:sz="6" w:space="0" w:color="auto"/>
              <w:left w:val="nil" w:sz="6" w:space="0" w:color="auto"/>
              <w:bottom w:val="nil" w:sz="6" w:space="0" w:color="auto"/>
              <w:right w:val="nil" w:sz="6" w:space="0" w:color="auto"/>
            </w:tcBorders>
          </w:tcPr>
          <w:p>
            <w:pPr>
              <w:pStyle w:val="TableParagraph"/>
              <w:spacing w:line="224" w:lineRule="exact"/>
              <w:ind w:right="116"/>
              <w:jc w:val="right"/>
              <w:rPr>
                <w:rFonts w:ascii="黑体" w:hAnsi="黑体" w:cs="黑体" w:eastAsia="黑体" w:hint="default"/>
                <w:sz w:val="20"/>
                <w:szCs w:val="20"/>
              </w:rPr>
            </w:pPr>
            <w:r>
              <w:rPr>
                <w:rFonts w:ascii="黑体" w:hAnsi="黑体" w:cs="黑体" w:eastAsia="黑体" w:hint="default"/>
                <w:w w:val="95"/>
                <w:sz w:val="20"/>
                <w:szCs w:val="20"/>
              </w:rPr>
              <w:t>本年增加</w:t>
            </w:r>
            <w:r>
              <w:rPr>
                <w:rFonts w:ascii="黑体" w:hAnsi="黑体" w:cs="黑体" w:eastAsia="黑体" w:hint="default"/>
                <w:sz w:val="20"/>
                <w:szCs w:val="20"/>
              </w:rPr>
            </w:r>
          </w:p>
        </w:tc>
        <w:tc>
          <w:tcPr>
            <w:tcW w:w="1478" w:type="dxa"/>
            <w:tcBorders>
              <w:top w:val="nil" w:sz="6" w:space="0" w:color="auto"/>
              <w:left w:val="nil" w:sz="6" w:space="0" w:color="auto"/>
              <w:bottom w:val="nil" w:sz="6" w:space="0" w:color="auto"/>
              <w:right w:val="nil" w:sz="6" w:space="0" w:color="auto"/>
            </w:tcBorders>
          </w:tcPr>
          <w:p>
            <w:pPr>
              <w:pStyle w:val="TableParagraph"/>
              <w:spacing w:line="224" w:lineRule="exact"/>
              <w:ind w:right="11"/>
              <w:jc w:val="right"/>
              <w:rPr>
                <w:rFonts w:ascii="黑体" w:hAnsi="黑体" w:cs="黑体" w:eastAsia="黑体" w:hint="default"/>
                <w:sz w:val="20"/>
                <w:szCs w:val="20"/>
              </w:rPr>
            </w:pPr>
            <w:r>
              <w:rPr>
                <w:rFonts w:ascii="黑体" w:hAnsi="黑体" w:cs="黑体" w:eastAsia="黑体" w:hint="default"/>
                <w:w w:val="95"/>
                <w:sz w:val="20"/>
                <w:szCs w:val="20"/>
              </w:rPr>
              <w:t>本年减少</w:t>
            </w:r>
            <w:r>
              <w:rPr>
                <w:rFonts w:ascii="黑体" w:hAnsi="黑体" w:cs="黑体" w:eastAsia="黑体" w:hint="default"/>
                <w:sz w:val="20"/>
                <w:szCs w:val="20"/>
              </w:rPr>
            </w:r>
          </w:p>
        </w:tc>
        <w:tc>
          <w:tcPr>
            <w:tcW w:w="157"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Style w:val="TableParagraph"/>
              <w:spacing w:line="224" w:lineRule="exact"/>
              <w:ind w:right="198"/>
              <w:jc w:val="right"/>
              <w:rPr>
                <w:rFonts w:ascii="黑体" w:hAnsi="黑体" w:cs="黑体" w:eastAsia="黑体" w:hint="default"/>
                <w:sz w:val="20"/>
                <w:szCs w:val="20"/>
              </w:rPr>
            </w:pPr>
            <w:r>
              <w:rPr>
                <w:rFonts w:ascii="黑体" w:hAnsi="黑体" w:cs="黑体" w:eastAsia="黑体" w:hint="default"/>
                <w:w w:val="95"/>
                <w:sz w:val="20"/>
                <w:szCs w:val="20"/>
              </w:rPr>
              <w:t>年末数</w:t>
            </w:r>
            <w:r>
              <w:rPr>
                <w:rFonts w:ascii="黑体" w:hAnsi="黑体" w:cs="黑体" w:eastAsia="黑体" w:hint="default"/>
                <w:sz w:val="20"/>
                <w:szCs w:val="20"/>
              </w:rPr>
            </w:r>
          </w:p>
        </w:tc>
      </w:tr>
      <w:tr>
        <w:trPr>
          <w:trHeight w:val="428" w:hRule="exact"/>
        </w:trPr>
        <w:tc>
          <w:tcPr>
            <w:tcW w:w="2563"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59"/>
              <w:jc w:val="right"/>
              <w:rPr>
                <w:rFonts w:ascii="黑体" w:hAnsi="黑体" w:cs="黑体" w:eastAsia="黑体" w:hint="default"/>
                <w:sz w:val="20"/>
                <w:szCs w:val="20"/>
              </w:rPr>
            </w:pPr>
            <w:r>
              <w:rPr>
                <w:rFonts w:ascii="黑体" w:hAnsi="黑体" w:cs="黑体" w:eastAsia="黑体" w:hint="default"/>
                <w:w w:val="95"/>
                <w:sz w:val="20"/>
                <w:szCs w:val="20"/>
              </w:rPr>
              <w:t>工资、奖金、津贴和补贴</w:t>
            </w:r>
            <w:r>
              <w:rPr>
                <w:rFonts w:ascii="黑体" w:hAnsi="黑体" w:cs="黑体" w:eastAsia="黑体" w:hint="default"/>
                <w:sz w:val="20"/>
                <w:szCs w:val="20"/>
              </w:rPr>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b/>
                <w:bCs/>
                <w:sz w:val="14"/>
                <w:szCs w:val="14"/>
              </w:rPr>
            </w:pPr>
          </w:p>
          <w:p>
            <w:pPr>
              <w:pStyle w:val="TableParagraph"/>
              <w:spacing w:line="240" w:lineRule="auto"/>
              <w:ind w:right="124"/>
              <w:jc w:val="right"/>
              <w:rPr>
                <w:rFonts w:ascii="Arial" w:hAnsi="Arial" w:cs="Arial" w:eastAsia="Arial" w:hint="default"/>
                <w:sz w:val="20"/>
                <w:szCs w:val="20"/>
              </w:rPr>
            </w:pPr>
            <w:r>
              <w:rPr>
                <w:rFonts w:ascii="Arial"/>
                <w:spacing w:val="-1"/>
                <w:sz w:val="20"/>
              </w:rPr>
              <w:t>480,772,889</w:t>
            </w:r>
            <w:r>
              <w:rPr>
                <w:rFonts w:ascii="Arial"/>
                <w:sz w:val="20"/>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b/>
                <w:bCs/>
                <w:sz w:val="14"/>
                <w:szCs w:val="14"/>
              </w:rPr>
            </w:pPr>
          </w:p>
          <w:p>
            <w:pPr>
              <w:pStyle w:val="TableParagraph"/>
              <w:spacing w:line="240" w:lineRule="auto"/>
              <w:ind w:right="117"/>
              <w:jc w:val="right"/>
              <w:rPr>
                <w:rFonts w:ascii="Arial" w:hAnsi="Arial" w:cs="Arial" w:eastAsia="Arial" w:hint="default"/>
                <w:sz w:val="20"/>
                <w:szCs w:val="20"/>
              </w:rPr>
            </w:pPr>
            <w:r>
              <w:rPr>
                <w:rFonts w:ascii="Arial"/>
                <w:spacing w:val="-1"/>
                <w:sz w:val="20"/>
              </w:rPr>
              <w:t>1,728,096,076</w:t>
            </w:r>
            <w:r>
              <w:rPr>
                <w:rFonts w:ascii="Arial"/>
                <w:sz w:val="20"/>
              </w:rPr>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b/>
                <w:bCs/>
                <w:sz w:val="14"/>
                <w:szCs w:val="14"/>
              </w:rPr>
            </w:pPr>
          </w:p>
          <w:p>
            <w:pPr>
              <w:pStyle w:val="TableParagraph"/>
              <w:spacing w:line="240" w:lineRule="auto"/>
              <w:ind w:right="11"/>
              <w:jc w:val="right"/>
              <w:rPr>
                <w:rFonts w:ascii="Arial" w:hAnsi="Arial" w:cs="Arial" w:eastAsia="Arial" w:hint="default"/>
                <w:sz w:val="20"/>
                <w:szCs w:val="20"/>
              </w:rPr>
            </w:pPr>
            <w:r>
              <w:rPr>
                <w:rFonts w:ascii="Arial"/>
                <w:spacing w:val="-1"/>
                <w:sz w:val="20"/>
              </w:rPr>
              <w:t>(1,772,794,864</w:t>
            </w:r>
          </w:p>
        </w:tc>
        <w:tc>
          <w:tcPr>
            <w:tcW w:w="157" w:type="dxa"/>
            <w:tcBorders>
              <w:top w:val="nil" w:sz="6" w:space="0" w:color="auto"/>
              <w:left w:val="nil" w:sz="6" w:space="0" w:color="auto"/>
              <w:bottom w:val="nil" w:sz="6" w:space="0" w:color="auto"/>
              <w:right w:val="nil" w:sz="6" w:space="0" w:color="auto"/>
            </w:tcBorders>
          </w:tcPr>
          <w:p>
            <w:pPr>
              <w:pStyle w:val="TableParagraph"/>
              <w:spacing w:line="240" w:lineRule="auto" w:before="168"/>
              <w:ind w:left="13" w:right="0"/>
              <w:jc w:val="left"/>
              <w:rPr>
                <w:rFonts w:ascii="Arial" w:hAnsi="Arial" w:cs="Arial" w:eastAsia="Arial" w:hint="default"/>
                <w:sz w:val="20"/>
                <w:szCs w:val="20"/>
              </w:rPr>
            </w:pPr>
            <w:r>
              <w:rPr>
                <w:rFonts w:ascii="Arial"/>
                <w:w w:val="99"/>
                <w:sz w:val="20"/>
              </w:rPr>
              <w:t>)</w:t>
            </w:r>
            <w:r>
              <w:rPr>
                <w:rFonts w:ascii="Arial"/>
                <w:sz w:val="20"/>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b/>
                <w:bCs/>
                <w:sz w:val="14"/>
                <w:szCs w:val="14"/>
              </w:rPr>
            </w:pPr>
          </w:p>
          <w:p>
            <w:pPr>
              <w:pStyle w:val="TableParagraph"/>
              <w:spacing w:line="240" w:lineRule="auto"/>
              <w:ind w:right="198"/>
              <w:jc w:val="right"/>
              <w:rPr>
                <w:rFonts w:ascii="Arial" w:hAnsi="Arial" w:cs="Arial" w:eastAsia="Arial" w:hint="default"/>
                <w:sz w:val="20"/>
                <w:szCs w:val="20"/>
              </w:rPr>
            </w:pPr>
            <w:r>
              <w:rPr>
                <w:rFonts w:ascii="Arial"/>
                <w:spacing w:val="-1"/>
                <w:sz w:val="20"/>
              </w:rPr>
              <w:t>436,074,101</w:t>
            </w:r>
            <w:r>
              <w:rPr>
                <w:rFonts w:ascii="Arial"/>
                <w:sz w:val="20"/>
              </w:rPr>
            </w:r>
          </w:p>
        </w:tc>
      </w:tr>
      <w:tr>
        <w:trPr>
          <w:trHeight w:val="260" w:hRule="exact"/>
        </w:trPr>
        <w:tc>
          <w:tcPr>
            <w:tcW w:w="2563" w:type="dxa"/>
            <w:tcBorders>
              <w:top w:val="nil" w:sz="6" w:space="0" w:color="auto"/>
              <w:left w:val="nil" w:sz="6" w:space="0" w:color="auto"/>
              <w:bottom w:val="nil" w:sz="6" w:space="0" w:color="auto"/>
              <w:right w:val="nil" w:sz="6" w:space="0" w:color="auto"/>
            </w:tcBorders>
          </w:tcPr>
          <w:p>
            <w:pPr>
              <w:pStyle w:val="TableParagraph"/>
              <w:spacing w:line="215" w:lineRule="exact"/>
              <w:ind w:left="308" w:right="0"/>
              <w:jc w:val="left"/>
              <w:rPr>
                <w:rFonts w:ascii="黑体" w:hAnsi="黑体" w:cs="黑体" w:eastAsia="黑体" w:hint="default"/>
                <w:sz w:val="20"/>
                <w:szCs w:val="20"/>
              </w:rPr>
            </w:pPr>
            <w:r>
              <w:rPr>
                <w:rFonts w:ascii="黑体" w:hAnsi="黑体" w:cs="黑体" w:eastAsia="黑体" w:hint="default"/>
                <w:sz w:val="20"/>
                <w:szCs w:val="20"/>
              </w:rPr>
              <w:t>社会保险费</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5"/>
              <w:jc w:val="right"/>
              <w:rPr>
                <w:rFonts w:ascii="Arial" w:hAnsi="Arial" w:cs="Arial" w:eastAsia="Arial" w:hint="default"/>
                <w:sz w:val="20"/>
                <w:szCs w:val="20"/>
              </w:rPr>
            </w:pPr>
            <w:r>
              <w:rPr>
                <w:rFonts w:ascii="Arial"/>
                <w:spacing w:val="-1"/>
                <w:sz w:val="20"/>
              </w:rPr>
              <w:t>9,566,961</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7"/>
              <w:jc w:val="right"/>
              <w:rPr>
                <w:rFonts w:ascii="Arial" w:hAnsi="Arial" w:cs="Arial" w:eastAsia="Arial" w:hint="default"/>
                <w:sz w:val="20"/>
                <w:szCs w:val="20"/>
              </w:rPr>
            </w:pPr>
            <w:r>
              <w:rPr>
                <w:rFonts w:ascii="Arial"/>
                <w:spacing w:val="-1"/>
                <w:sz w:val="20"/>
              </w:rPr>
              <w:t>321,647,092</w:t>
            </w:r>
            <w:r>
              <w:rPr>
                <w:rFonts w:ascii="Arial"/>
                <w:sz w:val="20"/>
              </w:rPr>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
              <w:jc w:val="right"/>
              <w:rPr>
                <w:rFonts w:ascii="Arial" w:hAnsi="Arial" w:cs="Arial" w:eastAsia="Arial" w:hint="default"/>
                <w:sz w:val="20"/>
                <w:szCs w:val="20"/>
              </w:rPr>
            </w:pPr>
            <w:r>
              <w:rPr>
                <w:rFonts w:ascii="Arial"/>
                <w:sz w:val="20"/>
              </w:rPr>
              <w:t>( </w:t>
            </w:r>
            <w:r>
              <w:rPr>
                <w:rFonts w:ascii="Arial"/>
                <w:spacing w:val="39"/>
                <w:sz w:val="20"/>
              </w:rPr>
              <w:t> </w:t>
            </w:r>
            <w:r>
              <w:rPr>
                <w:rFonts w:ascii="Arial"/>
                <w:sz w:val="20"/>
              </w:rPr>
              <w:t>324,701,060</w:t>
            </w:r>
          </w:p>
        </w:tc>
        <w:tc>
          <w:tcPr>
            <w:tcW w:w="157" w:type="dxa"/>
            <w:tcBorders>
              <w:top w:val="nil" w:sz="6" w:space="0" w:color="auto"/>
              <w:left w:val="nil" w:sz="6" w:space="0" w:color="auto"/>
              <w:bottom w:val="nil" w:sz="6" w:space="0" w:color="auto"/>
              <w:right w:val="nil" w:sz="6" w:space="0" w:color="auto"/>
            </w:tcBorders>
          </w:tcPr>
          <w:p>
            <w:pPr>
              <w:pStyle w:val="TableParagraph"/>
              <w:spacing w:line="229" w:lineRule="exact"/>
              <w:ind w:left="13" w:right="0"/>
              <w:jc w:val="left"/>
              <w:rPr>
                <w:rFonts w:ascii="Arial" w:hAnsi="Arial" w:cs="Arial" w:eastAsia="Arial" w:hint="default"/>
                <w:sz w:val="20"/>
                <w:szCs w:val="20"/>
              </w:rPr>
            </w:pPr>
            <w:r>
              <w:rPr>
                <w:rFonts w:ascii="Arial"/>
                <w:w w:val="99"/>
                <w:sz w:val="20"/>
              </w:rPr>
              <w:t>)</w:t>
            </w:r>
            <w:r>
              <w:rPr>
                <w:rFonts w:ascii="Arial"/>
                <w:sz w:val="20"/>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0"/>
                <w:szCs w:val="20"/>
              </w:rPr>
            </w:pPr>
            <w:r>
              <w:rPr>
                <w:rFonts w:ascii="Arial"/>
                <w:spacing w:val="-1"/>
                <w:sz w:val="20"/>
              </w:rPr>
              <w:t>6,512,993</w:t>
            </w:r>
          </w:p>
        </w:tc>
      </w:tr>
      <w:tr>
        <w:trPr>
          <w:trHeight w:val="259" w:hRule="exact"/>
        </w:trPr>
        <w:tc>
          <w:tcPr>
            <w:tcW w:w="2563" w:type="dxa"/>
            <w:tcBorders>
              <w:top w:val="nil" w:sz="6" w:space="0" w:color="auto"/>
              <w:left w:val="nil" w:sz="6" w:space="0" w:color="auto"/>
              <w:bottom w:val="nil" w:sz="6" w:space="0" w:color="auto"/>
              <w:right w:val="nil" w:sz="6" w:space="0" w:color="auto"/>
            </w:tcBorders>
          </w:tcPr>
          <w:p>
            <w:pPr>
              <w:pStyle w:val="TableParagraph"/>
              <w:spacing w:line="216" w:lineRule="exact"/>
              <w:ind w:left="308" w:right="0"/>
              <w:jc w:val="left"/>
              <w:rPr>
                <w:rFonts w:ascii="黑体" w:hAnsi="黑体" w:cs="黑体" w:eastAsia="黑体" w:hint="default"/>
                <w:sz w:val="20"/>
                <w:szCs w:val="20"/>
              </w:rPr>
            </w:pPr>
            <w:r>
              <w:rPr>
                <w:rFonts w:ascii="黑体" w:hAnsi="黑体" w:cs="黑体" w:eastAsia="黑体" w:hint="default"/>
                <w:sz w:val="20"/>
                <w:szCs w:val="20"/>
              </w:rPr>
              <w:t>其中：医疗保险费</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5"/>
              <w:jc w:val="right"/>
              <w:rPr>
                <w:rFonts w:ascii="Arial" w:hAnsi="Arial" w:cs="Arial" w:eastAsia="Arial" w:hint="default"/>
                <w:sz w:val="20"/>
                <w:szCs w:val="20"/>
              </w:rPr>
            </w:pPr>
            <w:r>
              <w:rPr>
                <w:rFonts w:ascii="Arial"/>
                <w:spacing w:val="-1"/>
                <w:sz w:val="20"/>
              </w:rPr>
              <w:t>3,222,187</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7"/>
              <w:jc w:val="right"/>
              <w:rPr>
                <w:rFonts w:ascii="Arial" w:hAnsi="Arial" w:cs="Arial" w:eastAsia="Arial" w:hint="default"/>
                <w:sz w:val="20"/>
                <w:szCs w:val="20"/>
              </w:rPr>
            </w:pPr>
            <w:r>
              <w:rPr>
                <w:rFonts w:ascii="Arial"/>
                <w:spacing w:val="-1"/>
                <w:sz w:val="20"/>
              </w:rPr>
              <w:t>88,563,599</w:t>
            </w:r>
            <w:r>
              <w:rPr>
                <w:rFonts w:ascii="Arial"/>
                <w:sz w:val="20"/>
              </w:rPr>
            </w:r>
          </w:p>
        </w:tc>
        <w:tc>
          <w:tcPr>
            <w:tcW w:w="1478" w:type="dxa"/>
            <w:tcBorders>
              <w:top w:val="nil" w:sz="6" w:space="0" w:color="auto"/>
              <w:left w:val="nil" w:sz="6" w:space="0" w:color="auto"/>
              <w:bottom w:val="nil" w:sz="6" w:space="0" w:color="auto"/>
              <w:right w:val="nil" w:sz="6" w:space="0" w:color="auto"/>
            </w:tcBorders>
          </w:tcPr>
          <w:p>
            <w:pPr>
              <w:pStyle w:val="TableParagraph"/>
              <w:tabs>
                <w:tab w:pos="347" w:val="left" w:leader="none"/>
              </w:tabs>
              <w:spacing w:line="240" w:lineRule="auto" w:before="17"/>
              <w:ind w:right="11"/>
              <w:jc w:val="right"/>
              <w:rPr>
                <w:rFonts w:ascii="Arial" w:hAnsi="Arial" w:cs="Arial" w:eastAsia="Arial" w:hint="default"/>
                <w:sz w:val="20"/>
                <w:szCs w:val="20"/>
              </w:rPr>
            </w:pPr>
            <w:r>
              <w:rPr>
                <w:rFonts w:ascii="Arial"/>
                <w:w w:val="95"/>
                <w:sz w:val="20"/>
              </w:rPr>
              <w:t>(</w:t>
              <w:tab/>
            </w:r>
            <w:r>
              <w:rPr>
                <w:rFonts w:ascii="Arial"/>
                <w:spacing w:val="-1"/>
                <w:sz w:val="20"/>
              </w:rPr>
              <w:t>90,619,511</w:t>
            </w:r>
          </w:p>
        </w:tc>
        <w:tc>
          <w:tcPr>
            <w:tcW w:w="157" w:type="dxa"/>
            <w:tcBorders>
              <w:top w:val="nil" w:sz="6" w:space="0" w:color="auto"/>
              <w:left w:val="nil" w:sz="6" w:space="0" w:color="auto"/>
              <w:bottom w:val="nil" w:sz="6" w:space="0" w:color="auto"/>
              <w:right w:val="nil" w:sz="6" w:space="0" w:color="auto"/>
            </w:tcBorders>
          </w:tcPr>
          <w:p>
            <w:pPr>
              <w:pStyle w:val="TableParagraph"/>
              <w:spacing w:line="228" w:lineRule="exact"/>
              <w:ind w:left="13" w:right="0"/>
              <w:jc w:val="left"/>
              <w:rPr>
                <w:rFonts w:ascii="Arial" w:hAnsi="Arial" w:cs="Arial" w:eastAsia="Arial" w:hint="default"/>
                <w:sz w:val="20"/>
                <w:szCs w:val="20"/>
              </w:rPr>
            </w:pPr>
            <w:r>
              <w:rPr>
                <w:rFonts w:ascii="Arial"/>
                <w:w w:val="99"/>
                <w:sz w:val="20"/>
              </w:rPr>
              <w:t>)</w:t>
            </w:r>
            <w:r>
              <w:rPr>
                <w:rFonts w:ascii="Arial"/>
                <w:sz w:val="20"/>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98"/>
              <w:jc w:val="right"/>
              <w:rPr>
                <w:rFonts w:ascii="Arial" w:hAnsi="Arial" w:cs="Arial" w:eastAsia="Arial" w:hint="default"/>
                <w:sz w:val="20"/>
                <w:szCs w:val="20"/>
              </w:rPr>
            </w:pPr>
            <w:r>
              <w:rPr>
                <w:rFonts w:ascii="Arial"/>
                <w:spacing w:val="-1"/>
                <w:sz w:val="20"/>
              </w:rPr>
              <w:t>1,166,275</w:t>
            </w:r>
          </w:p>
        </w:tc>
      </w:tr>
      <w:tr>
        <w:trPr>
          <w:trHeight w:val="248" w:hRule="exact"/>
        </w:trPr>
        <w:tc>
          <w:tcPr>
            <w:tcW w:w="2563" w:type="dxa"/>
            <w:tcBorders>
              <w:top w:val="nil" w:sz="6" w:space="0" w:color="auto"/>
              <w:left w:val="nil" w:sz="6" w:space="0" w:color="auto"/>
              <w:bottom w:val="nil" w:sz="6" w:space="0" w:color="auto"/>
              <w:right w:val="nil" w:sz="6" w:space="0" w:color="auto"/>
            </w:tcBorders>
          </w:tcPr>
          <w:p>
            <w:pPr>
              <w:pStyle w:val="TableParagraph"/>
              <w:spacing w:line="216" w:lineRule="exact"/>
              <w:ind w:left="908" w:right="0"/>
              <w:jc w:val="left"/>
              <w:rPr>
                <w:rFonts w:ascii="黑体" w:hAnsi="黑体" w:cs="黑体" w:eastAsia="黑体" w:hint="default"/>
                <w:sz w:val="20"/>
                <w:szCs w:val="20"/>
              </w:rPr>
            </w:pPr>
            <w:r>
              <w:rPr>
                <w:rFonts w:ascii="黑体" w:hAnsi="黑体" w:cs="黑体" w:eastAsia="黑体" w:hint="default"/>
                <w:sz w:val="20"/>
                <w:szCs w:val="20"/>
              </w:rPr>
              <w:t>基本养老保险费</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25"/>
              <w:jc w:val="right"/>
              <w:rPr>
                <w:rFonts w:ascii="Arial" w:hAnsi="Arial" w:cs="Arial" w:eastAsia="Arial" w:hint="default"/>
                <w:sz w:val="20"/>
                <w:szCs w:val="20"/>
              </w:rPr>
            </w:pPr>
            <w:r>
              <w:rPr>
                <w:rFonts w:ascii="Arial"/>
                <w:spacing w:val="-1"/>
                <w:sz w:val="20"/>
              </w:rPr>
              <w:t>5,982,509</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7"/>
              <w:jc w:val="right"/>
              <w:rPr>
                <w:rFonts w:ascii="Arial" w:hAnsi="Arial" w:cs="Arial" w:eastAsia="Arial" w:hint="default"/>
                <w:sz w:val="20"/>
                <w:szCs w:val="20"/>
              </w:rPr>
            </w:pPr>
            <w:r>
              <w:rPr>
                <w:rFonts w:ascii="Arial"/>
                <w:spacing w:val="-1"/>
                <w:sz w:val="20"/>
              </w:rPr>
              <w:t>211,871,670</w:t>
            </w:r>
            <w:r>
              <w:rPr>
                <w:rFonts w:ascii="Arial"/>
                <w:sz w:val="20"/>
              </w:rPr>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
              <w:jc w:val="right"/>
              <w:rPr>
                <w:rFonts w:ascii="Arial" w:hAnsi="Arial" w:cs="Arial" w:eastAsia="Arial" w:hint="default"/>
                <w:sz w:val="20"/>
                <w:szCs w:val="20"/>
              </w:rPr>
            </w:pPr>
            <w:r>
              <w:rPr>
                <w:rFonts w:ascii="Arial"/>
                <w:sz w:val="20"/>
              </w:rPr>
              <w:t>( </w:t>
            </w:r>
            <w:r>
              <w:rPr>
                <w:rFonts w:ascii="Arial"/>
                <w:spacing w:val="39"/>
                <w:sz w:val="20"/>
              </w:rPr>
              <w:t> </w:t>
            </w:r>
            <w:r>
              <w:rPr>
                <w:rFonts w:ascii="Arial"/>
                <w:sz w:val="20"/>
              </w:rPr>
              <w:t>212,876,992</w:t>
            </w:r>
          </w:p>
        </w:tc>
        <w:tc>
          <w:tcPr>
            <w:tcW w:w="157" w:type="dxa"/>
            <w:tcBorders>
              <w:top w:val="nil" w:sz="6" w:space="0" w:color="auto"/>
              <w:left w:val="nil" w:sz="6" w:space="0" w:color="auto"/>
              <w:bottom w:val="nil" w:sz="6" w:space="0" w:color="auto"/>
              <w:right w:val="nil" w:sz="6" w:space="0" w:color="auto"/>
            </w:tcBorders>
          </w:tcPr>
          <w:p>
            <w:pPr>
              <w:pStyle w:val="TableParagraph"/>
              <w:spacing w:line="228" w:lineRule="exact"/>
              <w:ind w:left="13" w:right="0"/>
              <w:jc w:val="left"/>
              <w:rPr>
                <w:rFonts w:ascii="Arial" w:hAnsi="Arial" w:cs="Arial" w:eastAsia="Arial" w:hint="default"/>
                <w:sz w:val="20"/>
                <w:szCs w:val="20"/>
              </w:rPr>
            </w:pPr>
            <w:r>
              <w:rPr>
                <w:rFonts w:ascii="Arial"/>
                <w:w w:val="99"/>
                <w:sz w:val="20"/>
              </w:rPr>
              <w:t>)</w:t>
            </w:r>
            <w:r>
              <w:rPr>
                <w:rFonts w:ascii="Arial"/>
                <w:sz w:val="20"/>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98"/>
              <w:jc w:val="right"/>
              <w:rPr>
                <w:rFonts w:ascii="Arial" w:hAnsi="Arial" w:cs="Arial" w:eastAsia="Arial" w:hint="default"/>
                <w:sz w:val="20"/>
                <w:szCs w:val="20"/>
              </w:rPr>
            </w:pPr>
            <w:r>
              <w:rPr>
                <w:rFonts w:ascii="Arial"/>
                <w:spacing w:val="-1"/>
                <w:sz w:val="20"/>
              </w:rPr>
              <w:t>4,977,187</w:t>
            </w:r>
          </w:p>
        </w:tc>
      </w:tr>
      <w:tr>
        <w:trPr>
          <w:trHeight w:val="259" w:hRule="exact"/>
        </w:trPr>
        <w:tc>
          <w:tcPr>
            <w:tcW w:w="2563" w:type="dxa"/>
            <w:tcBorders>
              <w:top w:val="nil" w:sz="6" w:space="0" w:color="auto"/>
              <w:left w:val="nil" w:sz="6" w:space="0" w:color="auto"/>
              <w:bottom w:val="nil" w:sz="6" w:space="0" w:color="auto"/>
              <w:right w:val="nil" w:sz="6" w:space="0" w:color="auto"/>
            </w:tcBorders>
          </w:tcPr>
          <w:p>
            <w:pPr>
              <w:pStyle w:val="TableParagraph"/>
              <w:spacing w:line="227" w:lineRule="exact"/>
              <w:ind w:left="908" w:right="0"/>
              <w:jc w:val="left"/>
              <w:rPr>
                <w:rFonts w:ascii="黑体" w:hAnsi="黑体" w:cs="黑体" w:eastAsia="黑体" w:hint="default"/>
                <w:sz w:val="20"/>
                <w:szCs w:val="20"/>
              </w:rPr>
            </w:pPr>
            <w:r>
              <w:rPr>
                <w:rFonts w:ascii="黑体" w:hAnsi="黑体" w:cs="黑体" w:eastAsia="黑体" w:hint="default"/>
                <w:sz w:val="20"/>
                <w:szCs w:val="20"/>
              </w:rPr>
              <w:t>失业保险费</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4"/>
              <w:jc w:val="right"/>
              <w:rPr>
                <w:rFonts w:ascii="Arial" w:hAnsi="Arial" w:cs="Arial" w:eastAsia="Arial" w:hint="default"/>
                <w:sz w:val="20"/>
                <w:szCs w:val="20"/>
              </w:rPr>
            </w:pPr>
            <w:r>
              <w:rPr>
                <w:rFonts w:ascii="Arial"/>
                <w:spacing w:val="-1"/>
                <w:w w:val="95"/>
                <w:sz w:val="20"/>
              </w:rPr>
              <w:t>205,898</w:t>
            </w:r>
            <w:r>
              <w:rPr>
                <w:rFonts w:ascii="Arial"/>
                <w:sz w:val="20"/>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7"/>
              <w:jc w:val="right"/>
              <w:rPr>
                <w:rFonts w:ascii="Arial" w:hAnsi="Arial" w:cs="Arial" w:eastAsia="Arial" w:hint="default"/>
                <w:sz w:val="20"/>
                <w:szCs w:val="20"/>
              </w:rPr>
            </w:pPr>
            <w:r>
              <w:rPr>
                <w:rFonts w:ascii="Arial"/>
                <w:spacing w:val="-1"/>
                <w:sz w:val="20"/>
              </w:rPr>
              <w:t>12,671,876</w:t>
            </w:r>
            <w:r>
              <w:rPr>
                <w:rFonts w:ascii="Arial"/>
                <w:sz w:val="20"/>
              </w:rPr>
            </w:r>
          </w:p>
        </w:tc>
        <w:tc>
          <w:tcPr>
            <w:tcW w:w="1478" w:type="dxa"/>
            <w:tcBorders>
              <w:top w:val="nil" w:sz="6" w:space="0" w:color="auto"/>
              <w:left w:val="nil" w:sz="6" w:space="0" w:color="auto"/>
              <w:bottom w:val="nil" w:sz="6" w:space="0" w:color="auto"/>
              <w:right w:val="nil" w:sz="6" w:space="0" w:color="auto"/>
            </w:tcBorders>
          </w:tcPr>
          <w:p>
            <w:pPr>
              <w:pStyle w:val="TableParagraph"/>
              <w:tabs>
                <w:tab w:pos="347" w:val="left" w:leader="none"/>
              </w:tabs>
              <w:spacing w:line="240" w:lineRule="auto" w:before="28"/>
              <w:ind w:right="11"/>
              <w:jc w:val="right"/>
              <w:rPr>
                <w:rFonts w:ascii="Arial" w:hAnsi="Arial" w:cs="Arial" w:eastAsia="Arial" w:hint="default"/>
                <w:sz w:val="20"/>
                <w:szCs w:val="20"/>
              </w:rPr>
            </w:pPr>
            <w:r>
              <w:rPr>
                <w:rFonts w:ascii="Arial"/>
                <w:w w:val="95"/>
                <w:sz w:val="20"/>
              </w:rPr>
              <w:t>(</w:t>
              <w:tab/>
            </w:r>
            <w:r>
              <w:rPr>
                <w:rFonts w:ascii="Arial"/>
                <w:spacing w:val="-1"/>
                <w:sz w:val="20"/>
              </w:rPr>
              <w:t>12,704,613</w:t>
            </w:r>
          </w:p>
        </w:tc>
        <w:tc>
          <w:tcPr>
            <w:tcW w:w="157" w:type="dxa"/>
            <w:tcBorders>
              <w:top w:val="nil" w:sz="6" w:space="0" w:color="auto"/>
              <w:left w:val="nil" w:sz="6" w:space="0" w:color="auto"/>
              <w:bottom w:val="nil" w:sz="6" w:space="0" w:color="auto"/>
              <w:right w:val="nil" w:sz="6" w:space="0" w:color="auto"/>
            </w:tcBorders>
          </w:tcPr>
          <w:p>
            <w:pPr>
              <w:pStyle w:val="TableParagraph"/>
              <w:spacing w:line="210" w:lineRule="exact"/>
              <w:ind w:left="13" w:right="0"/>
              <w:jc w:val="left"/>
              <w:rPr>
                <w:rFonts w:ascii="Arial" w:hAnsi="Arial" w:cs="Arial" w:eastAsia="Arial" w:hint="default"/>
                <w:sz w:val="20"/>
                <w:szCs w:val="20"/>
              </w:rPr>
            </w:pPr>
            <w:r>
              <w:rPr>
                <w:rFonts w:ascii="Arial"/>
                <w:w w:val="99"/>
                <w:sz w:val="20"/>
              </w:rPr>
              <w:t>)</w:t>
            </w:r>
            <w:r>
              <w:rPr>
                <w:rFonts w:ascii="Arial"/>
                <w:sz w:val="20"/>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98"/>
              <w:jc w:val="right"/>
              <w:rPr>
                <w:rFonts w:ascii="Arial" w:hAnsi="Arial" w:cs="Arial" w:eastAsia="Arial" w:hint="default"/>
                <w:sz w:val="20"/>
                <w:szCs w:val="20"/>
              </w:rPr>
            </w:pPr>
            <w:r>
              <w:rPr>
                <w:rFonts w:ascii="Arial"/>
                <w:spacing w:val="-1"/>
                <w:w w:val="95"/>
                <w:sz w:val="20"/>
              </w:rPr>
              <w:t>173,161</w:t>
            </w:r>
            <w:r>
              <w:rPr>
                <w:rFonts w:ascii="Arial"/>
                <w:sz w:val="20"/>
              </w:rPr>
            </w:r>
          </w:p>
        </w:tc>
      </w:tr>
      <w:tr>
        <w:trPr>
          <w:trHeight w:val="259" w:hRule="exact"/>
        </w:trPr>
        <w:tc>
          <w:tcPr>
            <w:tcW w:w="2563" w:type="dxa"/>
            <w:tcBorders>
              <w:top w:val="nil" w:sz="6" w:space="0" w:color="auto"/>
              <w:left w:val="nil" w:sz="6" w:space="0" w:color="auto"/>
              <w:bottom w:val="nil" w:sz="6" w:space="0" w:color="auto"/>
              <w:right w:val="nil" w:sz="6" w:space="0" w:color="auto"/>
            </w:tcBorders>
          </w:tcPr>
          <w:p>
            <w:pPr>
              <w:pStyle w:val="TableParagraph"/>
              <w:spacing w:line="227" w:lineRule="exact"/>
              <w:ind w:left="905" w:right="0"/>
              <w:jc w:val="left"/>
              <w:rPr>
                <w:rFonts w:ascii="黑体" w:hAnsi="黑体" w:cs="黑体" w:eastAsia="黑体" w:hint="default"/>
                <w:sz w:val="20"/>
                <w:szCs w:val="20"/>
              </w:rPr>
            </w:pPr>
            <w:r>
              <w:rPr>
                <w:rFonts w:ascii="黑体" w:hAnsi="黑体" w:cs="黑体" w:eastAsia="黑体" w:hint="default"/>
                <w:sz w:val="20"/>
                <w:szCs w:val="20"/>
              </w:rPr>
              <w:t>工伤保险费</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4"/>
              <w:jc w:val="right"/>
              <w:rPr>
                <w:rFonts w:ascii="Arial" w:hAnsi="Arial" w:cs="Arial" w:eastAsia="Arial" w:hint="default"/>
                <w:sz w:val="20"/>
                <w:szCs w:val="20"/>
              </w:rPr>
            </w:pPr>
            <w:r>
              <w:rPr>
                <w:rFonts w:ascii="Arial"/>
                <w:spacing w:val="-1"/>
                <w:sz w:val="20"/>
              </w:rPr>
              <w:t>81,333</w:t>
            </w:r>
            <w:r>
              <w:rPr>
                <w:rFonts w:ascii="Arial"/>
                <w:sz w:val="20"/>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6"/>
              <w:jc w:val="right"/>
              <w:rPr>
                <w:rFonts w:ascii="Arial" w:hAnsi="Arial" w:cs="Arial" w:eastAsia="Arial" w:hint="default"/>
                <w:sz w:val="20"/>
                <w:szCs w:val="20"/>
              </w:rPr>
            </w:pPr>
            <w:r>
              <w:rPr>
                <w:rFonts w:ascii="Arial"/>
                <w:spacing w:val="-1"/>
                <w:sz w:val="20"/>
              </w:rPr>
              <w:t>3,025,275</w:t>
            </w:r>
          </w:p>
        </w:tc>
        <w:tc>
          <w:tcPr>
            <w:tcW w:w="1478" w:type="dxa"/>
            <w:tcBorders>
              <w:top w:val="nil" w:sz="6" w:space="0" w:color="auto"/>
              <w:left w:val="nil" w:sz="6" w:space="0" w:color="auto"/>
              <w:bottom w:val="nil" w:sz="6" w:space="0" w:color="auto"/>
              <w:right w:val="nil" w:sz="6" w:space="0" w:color="auto"/>
            </w:tcBorders>
          </w:tcPr>
          <w:p>
            <w:pPr>
              <w:pStyle w:val="TableParagraph"/>
              <w:tabs>
                <w:tab w:pos="448" w:val="left" w:leader="none"/>
              </w:tabs>
              <w:spacing w:line="240" w:lineRule="auto" w:before="28"/>
              <w:ind w:right="11"/>
              <w:jc w:val="right"/>
              <w:rPr>
                <w:rFonts w:ascii="Arial" w:hAnsi="Arial" w:cs="Arial" w:eastAsia="Arial" w:hint="default"/>
                <w:sz w:val="20"/>
                <w:szCs w:val="20"/>
              </w:rPr>
            </w:pPr>
            <w:r>
              <w:rPr>
                <w:rFonts w:ascii="Arial"/>
                <w:w w:val="95"/>
                <w:sz w:val="20"/>
              </w:rPr>
              <w:t>(</w:t>
              <w:tab/>
            </w:r>
            <w:r>
              <w:rPr>
                <w:rFonts w:ascii="Arial"/>
                <w:spacing w:val="-1"/>
                <w:w w:val="95"/>
                <w:sz w:val="20"/>
              </w:rPr>
              <w:t>3,010,455</w:t>
            </w:r>
            <w:r>
              <w:rPr>
                <w:rFonts w:ascii="Arial"/>
                <w:sz w:val="20"/>
              </w:rPr>
            </w:r>
          </w:p>
        </w:tc>
        <w:tc>
          <w:tcPr>
            <w:tcW w:w="157" w:type="dxa"/>
            <w:tcBorders>
              <w:top w:val="nil" w:sz="6" w:space="0" w:color="auto"/>
              <w:left w:val="nil" w:sz="6" w:space="0" w:color="auto"/>
              <w:bottom w:val="nil" w:sz="6" w:space="0" w:color="auto"/>
              <w:right w:val="nil" w:sz="6" w:space="0" w:color="auto"/>
            </w:tcBorders>
          </w:tcPr>
          <w:p>
            <w:pPr>
              <w:pStyle w:val="TableParagraph"/>
              <w:spacing w:line="210" w:lineRule="exact"/>
              <w:ind w:left="13" w:right="0"/>
              <w:jc w:val="left"/>
              <w:rPr>
                <w:rFonts w:ascii="Arial" w:hAnsi="Arial" w:cs="Arial" w:eastAsia="Arial" w:hint="default"/>
                <w:sz w:val="20"/>
                <w:szCs w:val="20"/>
              </w:rPr>
            </w:pPr>
            <w:r>
              <w:rPr>
                <w:rFonts w:ascii="Arial"/>
                <w:w w:val="99"/>
                <w:sz w:val="20"/>
              </w:rPr>
              <w:t>)</w:t>
            </w:r>
            <w:r>
              <w:rPr>
                <w:rFonts w:ascii="Arial"/>
                <w:sz w:val="20"/>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98"/>
              <w:jc w:val="right"/>
              <w:rPr>
                <w:rFonts w:ascii="Arial" w:hAnsi="Arial" w:cs="Arial" w:eastAsia="Arial" w:hint="default"/>
                <w:sz w:val="20"/>
                <w:szCs w:val="20"/>
              </w:rPr>
            </w:pPr>
            <w:r>
              <w:rPr>
                <w:rFonts w:ascii="Arial"/>
                <w:spacing w:val="-1"/>
                <w:sz w:val="20"/>
              </w:rPr>
              <w:t>96,153</w:t>
            </w:r>
            <w:r>
              <w:rPr>
                <w:rFonts w:ascii="Arial"/>
                <w:sz w:val="20"/>
              </w:rPr>
            </w:r>
          </w:p>
        </w:tc>
      </w:tr>
      <w:tr>
        <w:trPr>
          <w:trHeight w:val="259" w:hRule="exact"/>
        </w:trPr>
        <w:tc>
          <w:tcPr>
            <w:tcW w:w="2563" w:type="dxa"/>
            <w:tcBorders>
              <w:top w:val="nil" w:sz="6" w:space="0" w:color="auto"/>
              <w:left w:val="nil" w:sz="6" w:space="0" w:color="auto"/>
              <w:bottom w:val="nil" w:sz="6" w:space="0" w:color="auto"/>
              <w:right w:val="nil" w:sz="6" w:space="0" w:color="auto"/>
            </w:tcBorders>
          </w:tcPr>
          <w:p>
            <w:pPr>
              <w:pStyle w:val="TableParagraph"/>
              <w:spacing w:line="227" w:lineRule="exact"/>
              <w:ind w:left="905" w:right="0"/>
              <w:jc w:val="left"/>
              <w:rPr>
                <w:rFonts w:ascii="黑体" w:hAnsi="黑体" w:cs="黑体" w:eastAsia="黑体" w:hint="default"/>
                <w:sz w:val="20"/>
                <w:szCs w:val="20"/>
              </w:rPr>
            </w:pPr>
            <w:r>
              <w:rPr>
                <w:rFonts w:ascii="黑体" w:hAnsi="黑体" w:cs="黑体" w:eastAsia="黑体" w:hint="default"/>
                <w:sz w:val="20"/>
                <w:szCs w:val="20"/>
              </w:rPr>
              <w:t>生育保险费</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4"/>
              <w:jc w:val="right"/>
              <w:rPr>
                <w:rFonts w:ascii="Arial" w:hAnsi="Arial" w:cs="Arial" w:eastAsia="Arial" w:hint="default"/>
                <w:sz w:val="20"/>
                <w:szCs w:val="20"/>
              </w:rPr>
            </w:pPr>
            <w:r>
              <w:rPr>
                <w:rFonts w:ascii="Arial"/>
                <w:spacing w:val="-1"/>
                <w:sz w:val="20"/>
              </w:rPr>
              <w:t>75,034</w:t>
            </w:r>
            <w:r>
              <w:rPr>
                <w:rFonts w:ascii="Arial"/>
                <w:sz w:val="20"/>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6"/>
              <w:jc w:val="right"/>
              <w:rPr>
                <w:rFonts w:ascii="Arial" w:hAnsi="Arial" w:cs="Arial" w:eastAsia="Arial" w:hint="default"/>
                <w:sz w:val="20"/>
                <w:szCs w:val="20"/>
              </w:rPr>
            </w:pPr>
            <w:r>
              <w:rPr>
                <w:rFonts w:ascii="Arial"/>
                <w:spacing w:val="-1"/>
                <w:sz w:val="20"/>
              </w:rPr>
              <w:t>5,514,672</w:t>
            </w:r>
          </w:p>
        </w:tc>
        <w:tc>
          <w:tcPr>
            <w:tcW w:w="1478" w:type="dxa"/>
            <w:tcBorders>
              <w:top w:val="nil" w:sz="6" w:space="0" w:color="auto"/>
              <w:left w:val="nil" w:sz="6" w:space="0" w:color="auto"/>
              <w:bottom w:val="nil" w:sz="6" w:space="0" w:color="auto"/>
              <w:right w:val="nil" w:sz="6" w:space="0" w:color="auto"/>
            </w:tcBorders>
          </w:tcPr>
          <w:p>
            <w:pPr>
              <w:pStyle w:val="TableParagraph"/>
              <w:tabs>
                <w:tab w:pos="448" w:val="left" w:leader="none"/>
              </w:tabs>
              <w:spacing w:line="240" w:lineRule="auto" w:before="28"/>
              <w:ind w:right="11"/>
              <w:jc w:val="right"/>
              <w:rPr>
                <w:rFonts w:ascii="Arial" w:hAnsi="Arial" w:cs="Arial" w:eastAsia="Arial" w:hint="default"/>
                <w:sz w:val="20"/>
                <w:szCs w:val="20"/>
              </w:rPr>
            </w:pPr>
            <w:r>
              <w:rPr>
                <w:rFonts w:ascii="Arial"/>
                <w:w w:val="95"/>
                <w:sz w:val="20"/>
              </w:rPr>
              <w:t>(</w:t>
              <w:tab/>
            </w:r>
            <w:r>
              <w:rPr>
                <w:rFonts w:ascii="Arial"/>
                <w:spacing w:val="-1"/>
                <w:w w:val="95"/>
                <w:sz w:val="20"/>
              </w:rPr>
              <w:t>5,489,489</w:t>
            </w:r>
            <w:r>
              <w:rPr>
                <w:rFonts w:ascii="Arial"/>
                <w:sz w:val="20"/>
              </w:rPr>
            </w:r>
          </w:p>
        </w:tc>
        <w:tc>
          <w:tcPr>
            <w:tcW w:w="157" w:type="dxa"/>
            <w:tcBorders>
              <w:top w:val="nil" w:sz="6" w:space="0" w:color="auto"/>
              <w:left w:val="nil" w:sz="6" w:space="0" w:color="auto"/>
              <w:bottom w:val="nil" w:sz="6" w:space="0" w:color="auto"/>
              <w:right w:val="nil" w:sz="6" w:space="0" w:color="auto"/>
            </w:tcBorders>
          </w:tcPr>
          <w:p>
            <w:pPr>
              <w:pStyle w:val="TableParagraph"/>
              <w:spacing w:line="210" w:lineRule="exact"/>
              <w:ind w:left="13" w:right="0"/>
              <w:jc w:val="left"/>
              <w:rPr>
                <w:rFonts w:ascii="Arial" w:hAnsi="Arial" w:cs="Arial" w:eastAsia="Arial" w:hint="default"/>
                <w:sz w:val="20"/>
                <w:szCs w:val="20"/>
              </w:rPr>
            </w:pPr>
            <w:r>
              <w:rPr>
                <w:rFonts w:ascii="Arial"/>
                <w:w w:val="99"/>
                <w:sz w:val="20"/>
              </w:rPr>
              <w:t>)</w:t>
            </w:r>
            <w:r>
              <w:rPr>
                <w:rFonts w:ascii="Arial"/>
                <w:sz w:val="20"/>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98"/>
              <w:jc w:val="right"/>
              <w:rPr>
                <w:rFonts w:ascii="Arial" w:hAnsi="Arial" w:cs="Arial" w:eastAsia="Arial" w:hint="default"/>
                <w:sz w:val="20"/>
                <w:szCs w:val="20"/>
              </w:rPr>
            </w:pPr>
            <w:r>
              <w:rPr>
                <w:rFonts w:ascii="Arial"/>
                <w:spacing w:val="-1"/>
                <w:w w:val="95"/>
                <w:sz w:val="20"/>
              </w:rPr>
              <w:t>100,217</w:t>
            </w:r>
            <w:r>
              <w:rPr>
                <w:rFonts w:ascii="Arial"/>
                <w:sz w:val="20"/>
              </w:rPr>
            </w:r>
          </w:p>
        </w:tc>
      </w:tr>
      <w:tr>
        <w:trPr>
          <w:trHeight w:val="259" w:hRule="exact"/>
        </w:trPr>
        <w:tc>
          <w:tcPr>
            <w:tcW w:w="2563" w:type="dxa"/>
            <w:tcBorders>
              <w:top w:val="nil" w:sz="6" w:space="0" w:color="auto"/>
              <w:left w:val="nil" w:sz="6" w:space="0" w:color="auto"/>
              <w:bottom w:val="nil" w:sz="6" w:space="0" w:color="auto"/>
              <w:right w:val="nil" w:sz="6" w:space="0" w:color="auto"/>
            </w:tcBorders>
          </w:tcPr>
          <w:p>
            <w:pPr>
              <w:pStyle w:val="TableParagraph"/>
              <w:spacing w:line="227" w:lineRule="exact"/>
              <w:ind w:left="288" w:right="0"/>
              <w:jc w:val="left"/>
              <w:rPr>
                <w:rFonts w:ascii="黑体" w:hAnsi="黑体" w:cs="黑体" w:eastAsia="黑体" w:hint="default"/>
                <w:sz w:val="20"/>
                <w:szCs w:val="20"/>
              </w:rPr>
            </w:pPr>
            <w:r>
              <w:rPr>
                <w:rFonts w:ascii="黑体" w:hAnsi="黑体" w:cs="黑体" w:eastAsia="黑体" w:hint="default"/>
                <w:sz w:val="20"/>
                <w:szCs w:val="20"/>
              </w:rPr>
              <w:t>住房公积金</w:t>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5"/>
              <w:jc w:val="right"/>
              <w:rPr>
                <w:rFonts w:ascii="Arial" w:hAnsi="Arial" w:cs="Arial" w:eastAsia="Arial" w:hint="default"/>
                <w:sz w:val="20"/>
                <w:szCs w:val="20"/>
              </w:rPr>
            </w:pPr>
            <w:r>
              <w:rPr>
                <w:rFonts w:ascii="Arial"/>
                <w:spacing w:val="-1"/>
                <w:sz w:val="20"/>
              </w:rPr>
              <w:t>4,383,003</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7"/>
              <w:jc w:val="right"/>
              <w:rPr>
                <w:rFonts w:ascii="Arial" w:hAnsi="Arial" w:cs="Arial" w:eastAsia="Arial" w:hint="default"/>
                <w:sz w:val="20"/>
                <w:szCs w:val="20"/>
              </w:rPr>
            </w:pPr>
            <w:r>
              <w:rPr>
                <w:rFonts w:ascii="Arial"/>
                <w:spacing w:val="-1"/>
                <w:sz w:val="20"/>
              </w:rPr>
              <w:t>187,636,989</w:t>
            </w:r>
            <w:r>
              <w:rPr>
                <w:rFonts w:ascii="Arial"/>
                <w:sz w:val="20"/>
              </w:rPr>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
              <w:jc w:val="right"/>
              <w:rPr>
                <w:rFonts w:ascii="Arial" w:hAnsi="Arial" w:cs="Arial" w:eastAsia="Arial" w:hint="default"/>
                <w:sz w:val="20"/>
                <w:szCs w:val="20"/>
              </w:rPr>
            </w:pPr>
            <w:r>
              <w:rPr>
                <w:rFonts w:ascii="Arial"/>
                <w:sz w:val="20"/>
              </w:rPr>
              <w:t>( </w:t>
            </w:r>
            <w:r>
              <w:rPr>
                <w:rFonts w:ascii="Arial"/>
                <w:spacing w:val="39"/>
                <w:sz w:val="20"/>
              </w:rPr>
              <w:t> </w:t>
            </w:r>
            <w:r>
              <w:rPr>
                <w:rFonts w:ascii="Arial"/>
                <w:sz w:val="20"/>
              </w:rPr>
              <w:t>188,106,703</w:t>
            </w:r>
          </w:p>
        </w:tc>
        <w:tc>
          <w:tcPr>
            <w:tcW w:w="157" w:type="dxa"/>
            <w:tcBorders>
              <w:top w:val="nil" w:sz="6" w:space="0" w:color="auto"/>
              <w:left w:val="nil" w:sz="6" w:space="0" w:color="auto"/>
              <w:bottom w:val="nil" w:sz="6" w:space="0" w:color="auto"/>
              <w:right w:val="nil" w:sz="6" w:space="0" w:color="auto"/>
            </w:tcBorders>
          </w:tcPr>
          <w:p>
            <w:pPr>
              <w:pStyle w:val="TableParagraph"/>
              <w:spacing w:line="210" w:lineRule="exact"/>
              <w:ind w:left="13" w:right="0"/>
              <w:jc w:val="left"/>
              <w:rPr>
                <w:rFonts w:ascii="Arial" w:hAnsi="Arial" w:cs="Arial" w:eastAsia="Arial" w:hint="default"/>
                <w:sz w:val="20"/>
                <w:szCs w:val="20"/>
              </w:rPr>
            </w:pPr>
            <w:r>
              <w:rPr>
                <w:rFonts w:ascii="Arial"/>
                <w:w w:val="99"/>
                <w:sz w:val="20"/>
              </w:rPr>
              <w:t>)</w:t>
            </w:r>
            <w:r>
              <w:rPr>
                <w:rFonts w:ascii="Arial"/>
                <w:sz w:val="20"/>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98"/>
              <w:jc w:val="right"/>
              <w:rPr>
                <w:rFonts w:ascii="Arial" w:hAnsi="Arial" w:cs="Arial" w:eastAsia="Arial" w:hint="default"/>
                <w:sz w:val="20"/>
                <w:szCs w:val="20"/>
              </w:rPr>
            </w:pPr>
            <w:r>
              <w:rPr>
                <w:rFonts w:ascii="Arial"/>
                <w:spacing w:val="-1"/>
                <w:sz w:val="20"/>
              </w:rPr>
              <w:t>3,913,289</w:t>
            </w:r>
          </w:p>
        </w:tc>
      </w:tr>
      <w:tr>
        <w:trPr>
          <w:trHeight w:val="259" w:hRule="exact"/>
        </w:trPr>
        <w:tc>
          <w:tcPr>
            <w:tcW w:w="2563" w:type="dxa"/>
            <w:tcBorders>
              <w:top w:val="nil" w:sz="6" w:space="0" w:color="auto"/>
              <w:left w:val="nil" w:sz="6" w:space="0" w:color="auto"/>
              <w:bottom w:val="nil" w:sz="6" w:space="0" w:color="auto"/>
              <w:right w:val="nil" w:sz="6" w:space="0" w:color="auto"/>
            </w:tcBorders>
          </w:tcPr>
          <w:p>
            <w:pPr>
              <w:pStyle w:val="TableParagraph"/>
              <w:spacing w:line="227" w:lineRule="exact"/>
              <w:ind w:right="54"/>
              <w:jc w:val="right"/>
              <w:rPr>
                <w:rFonts w:ascii="黑体" w:hAnsi="黑体" w:cs="黑体" w:eastAsia="黑体" w:hint="default"/>
                <w:sz w:val="20"/>
                <w:szCs w:val="20"/>
              </w:rPr>
            </w:pPr>
            <w:r>
              <w:rPr>
                <w:rFonts w:ascii="黑体" w:hAnsi="黑体" w:cs="黑体" w:eastAsia="黑体" w:hint="default"/>
                <w:w w:val="95"/>
                <w:sz w:val="20"/>
                <w:szCs w:val="20"/>
              </w:rPr>
              <w:t>工会经费和职工教育经费</w:t>
            </w:r>
            <w:r>
              <w:rPr>
                <w:rFonts w:ascii="黑体" w:hAnsi="黑体" w:cs="黑体" w:eastAsia="黑体" w:hint="default"/>
                <w:sz w:val="20"/>
                <w:szCs w:val="20"/>
              </w:rPr>
            </w: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25"/>
              <w:jc w:val="right"/>
              <w:rPr>
                <w:rFonts w:ascii="Arial" w:hAnsi="Arial" w:cs="Arial" w:eastAsia="Arial" w:hint="default"/>
                <w:sz w:val="20"/>
                <w:szCs w:val="20"/>
              </w:rPr>
            </w:pPr>
            <w:r>
              <w:rPr>
                <w:rFonts w:ascii="Arial"/>
                <w:spacing w:val="-1"/>
                <w:sz w:val="20"/>
              </w:rPr>
              <w:t>6,352,475</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6"/>
              <w:jc w:val="right"/>
              <w:rPr>
                <w:rFonts w:ascii="Arial" w:hAnsi="Arial" w:cs="Arial" w:eastAsia="Arial" w:hint="default"/>
                <w:sz w:val="20"/>
                <w:szCs w:val="20"/>
              </w:rPr>
            </w:pPr>
            <w:r>
              <w:rPr>
                <w:rFonts w:ascii="Arial"/>
                <w:spacing w:val="-1"/>
                <w:sz w:val="20"/>
              </w:rPr>
              <w:t>1,179,774</w:t>
            </w:r>
          </w:p>
        </w:tc>
        <w:tc>
          <w:tcPr>
            <w:tcW w:w="1478" w:type="dxa"/>
            <w:tcBorders>
              <w:top w:val="nil" w:sz="6" w:space="0" w:color="auto"/>
              <w:left w:val="nil" w:sz="6" w:space="0" w:color="auto"/>
              <w:bottom w:val="nil" w:sz="6" w:space="0" w:color="auto"/>
              <w:right w:val="nil" w:sz="6" w:space="0" w:color="auto"/>
            </w:tcBorders>
          </w:tcPr>
          <w:p>
            <w:pPr>
              <w:pStyle w:val="TableParagraph"/>
              <w:tabs>
                <w:tab w:pos="448" w:val="left" w:leader="none"/>
              </w:tabs>
              <w:spacing w:line="240" w:lineRule="auto" w:before="28"/>
              <w:ind w:right="11"/>
              <w:jc w:val="right"/>
              <w:rPr>
                <w:rFonts w:ascii="Arial" w:hAnsi="Arial" w:cs="Arial" w:eastAsia="Arial" w:hint="default"/>
                <w:sz w:val="20"/>
                <w:szCs w:val="20"/>
              </w:rPr>
            </w:pPr>
            <w:r>
              <w:rPr>
                <w:rFonts w:ascii="Arial"/>
                <w:w w:val="95"/>
                <w:sz w:val="20"/>
              </w:rPr>
              <w:t>(</w:t>
              <w:tab/>
            </w:r>
            <w:r>
              <w:rPr>
                <w:rFonts w:ascii="Arial"/>
                <w:spacing w:val="-1"/>
                <w:w w:val="95"/>
                <w:sz w:val="20"/>
              </w:rPr>
              <w:t>1,608,913</w:t>
            </w:r>
            <w:r>
              <w:rPr>
                <w:rFonts w:ascii="Arial"/>
                <w:sz w:val="20"/>
              </w:rPr>
            </w:r>
          </w:p>
        </w:tc>
        <w:tc>
          <w:tcPr>
            <w:tcW w:w="157" w:type="dxa"/>
            <w:tcBorders>
              <w:top w:val="nil" w:sz="6" w:space="0" w:color="auto"/>
              <w:left w:val="nil" w:sz="6" w:space="0" w:color="auto"/>
              <w:bottom w:val="nil" w:sz="6" w:space="0" w:color="auto"/>
              <w:right w:val="nil" w:sz="6" w:space="0" w:color="auto"/>
            </w:tcBorders>
          </w:tcPr>
          <w:p>
            <w:pPr>
              <w:pStyle w:val="TableParagraph"/>
              <w:spacing w:line="210" w:lineRule="exact"/>
              <w:ind w:left="13" w:right="0"/>
              <w:jc w:val="left"/>
              <w:rPr>
                <w:rFonts w:ascii="Arial" w:hAnsi="Arial" w:cs="Arial" w:eastAsia="Arial" w:hint="default"/>
                <w:sz w:val="20"/>
                <w:szCs w:val="20"/>
              </w:rPr>
            </w:pPr>
            <w:r>
              <w:rPr>
                <w:rFonts w:ascii="Arial"/>
                <w:w w:val="99"/>
                <w:sz w:val="20"/>
              </w:rPr>
              <w:t>)</w:t>
            </w:r>
            <w:r>
              <w:rPr>
                <w:rFonts w:ascii="Arial"/>
                <w:sz w:val="20"/>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98"/>
              <w:jc w:val="right"/>
              <w:rPr>
                <w:rFonts w:ascii="Arial" w:hAnsi="Arial" w:cs="Arial" w:eastAsia="Arial" w:hint="default"/>
                <w:sz w:val="20"/>
                <w:szCs w:val="20"/>
              </w:rPr>
            </w:pPr>
            <w:r>
              <w:rPr>
                <w:rFonts w:ascii="Arial"/>
                <w:spacing w:val="-1"/>
                <w:sz w:val="20"/>
              </w:rPr>
              <w:t>5,923,336</w:t>
            </w:r>
          </w:p>
        </w:tc>
      </w:tr>
      <w:tr>
        <w:trPr>
          <w:trHeight w:val="386" w:hRule="exact"/>
        </w:trPr>
        <w:tc>
          <w:tcPr>
            <w:tcW w:w="2563" w:type="dxa"/>
            <w:tcBorders>
              <w:top w:val="nil" w:sz="6" w:space="0" w:color="auto"/>
              <w:left w:val="nil" w:sz="6" w:space="0" w:color="auto"/>
              <w:bottom w:val="nil" w:sz="6" w:space="0" w:color="auto"/>
              <w:right w:val="nil" w:sz="6" w:space="0" w:color="auto"/>
            </w:tcBorders>
          </w:tcPr>
          <w:p>
            <w:pPr>
              <w:pStyle w:val="TableParagraph"/>
              <w:spacing w:line="227" w:lineRule="exact"/>
              <w:ind w:left="308"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291" w:type="dxa"/>
            <w:tcBorders>
              <w:top w:val="nil" w:sz="6" w:space="0" w:color="auto"/>
              <w:left w:val="nil" w:sz="6" w:space="0" w:color="auto"/>
              <w:bottom w:val="nil" w:sz="6" w:space="0" w:color="auto"/>
              <w:right w:val="nil" w:sz="6" w:space="0" w:color="auto"/>
            </w:tcBorders>
          </w:tcPr>
          <w:p>
            <w:pPr>
              <w:pStyle w:val="TableParagraph"/>
              <w:tabs>
                <w:tab w:pos="395" w:val="left" w:leader="none"/>
              </w:tabs>
              <w:spacing w:line="240" w:lineRule="auto" w:before="28"/>
              <w:ind w:right="124"/>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116,603</w:t>
            </w:r>
            <w:r>
              <w:rPr>
                <w:rFonts w:ascii="Arial"/>
                <w:spacing w:val="-1"/>
                <w:w w:val="95"/>
                <w:sz w:val="20"/>
              </w:rPr>
            </w:r>
            <w:r>
              <w:rPr>
                <w:rFonts w:ascii="Arial"/>
                <w:sz w:val="20"/>
              </w:rPr>
            </w:r>
          </w:p>
        </w:tc>
        <w:tc>
          <w:tcPr>
            <w:tcW w:w="1522" w:type="dxa"/>
            <w:tcBorders>
              <w:top w:val="nil" w:sz="6" w:space="0" w:color="auto"/>
              <w:left w:val="nil" w:sz="6" w:space="0" w:color="auto"/>
              <w:bottom w:val="nil" w:sz="6" w:space="0" w:color="auto"/>
              <w:right w:val="nil" w:sz="6" w:space="0" w:color="auto"/>
            </w:tcBorders>
          </w:tcPr>
          <w:p>
            <w:pPr>
              <w:pStyle w:val="TableParagraph"/>
              <w:tabs>
                <w:tab w:pos="542" w:val="left" w:leader="none"/>
              </w:tabs>
              <w:spacing w:line="240" w:lineRule="auto" w:before="28"/>
              <w:ind w:right="117"/>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975,850</w:t>
            </w:r>
            <w:r>
              <w:rPr>
                <w:rFonts w:ascii="Arial"/>
                <w:spacing w:val="-1"/>
                <w:w w:val="95"/>
                <w:sz w:val="20"/>
              </w:rPr>
            </w:r>
            <w:r>
              <w:rPr>
                <w:rFonts w:ascii="Arial"/>
                <w:sz w:val="20"/>
              </w:rPr>
            </w:r>
          </w:p>
        </w:tc>
        <w:tc>
          <w:tcPr>
            <w:tcW w:w="1478" w:type="dxa"/>
            <w:tcBorders>
              <w:top w:val="nil" w:sz="6" w:space="0" w:color="auto"/>
              <w:left w:val="nil" w:sz="6" w:space="0" w:color="auto"/>
              <w:bottom w:val="nil" w:sz="6" w:space="0" w:color="auto"/>
              <w:right w:val="nil" w:sz="6" w:space="0" w:color="auto"/>
            </w:tcBorders>
          </w:tcPr>
          <w:p>
            <w:pPr>
              <w:pStyle w:val="TableParagraph"/>
              <w:tabs>
                <w:tab w:pos="619" w:val="left" w:leader="none"/>
              </w:tabs>
              <w:spacing w:line="240" w:lineRule="auto" w:before="28"/>
              <w:ind w:right="11"/>
              <w:jc w:val="right"/>
              <w:rPr>
                <w:rFonts w:ascii="Arial" w:hAnsi="Arial" w:cs="Arial" w:eastAsia="Arial" w:hint="default"/>
                <w:sz w:val="20"/>
                <w:szCs w:val="20"/>
              </w:rPr>
            </w:pPr>
            <w:r>
              <w:rPr>
                <w:rFonts w:ascii="Arial"/>
                <w:w w:val="95"/>
                <w:sz w:val="20"/>
              </w:rPr>
              <w:t>(</w:t>
            </w:r>
            <w:r>
              <w:rPr>
                <w:rFonts w:ascii="Arial"/>
                <w:w w:val="95"/>
                <w:sz w:val="20"/>
                <w:u w:val="single" w:color="000000"/>
              </w:rPr>
              <w:t> </w:t>
              <w:tab/>
            </w:r>
            <w:r>
              <w:rPr>
                <w:rFonts w:ascii="Arial"/>
                <w:spacing w:val="-1"/>
                <w:w w:val="95"/>
                <w:sz w:val="20"/>
                <w:u w:val="single" w:color="000000"/>
              </w:rPr>
              <w:t>992,642</w:t>
            </w:r>
            <w:r>
              <w:rPr>
                <w:rFonts w:ascii="Arial"/>
                <w:spacing w:val="-1"/>
                <w:w w:val="95"/>
                <w:sz w:val="20"/>
              </w:rPr>
            </w:r>
            <w:r>
              <w:rPr>
                <w:rFonts w:ascii="Arial"/>
                <w:sz w:val="20"/>
              </w:rPr>
            </w:r>
          </w:p>
        </w:tc>
        <w:tc>
          <w:tcPr>
            <w:tcW w:w="157" w:type="dxa"/>
            <w:tcBorders>
              <w:top w:val="nil" w:sz="6" w:space="0" w:color="auto"/>
              <w:left w:val="nil" w:sz="6" w:space="0" w:color="auto"/>
              <w:bottom w:val="nil" w:sz="6" w:space="0" w:color="auto"/>
              <w:right w:val="nil" w:sz="6" w:space="0" w:color="auto"/>
            </w:tcBorders>
          </w:tcPr>
          <w:p>
            <w:pPr>
              <w:pStyle w:val="TableParagraph"/>
              <w:spacing w:line="210" w:lineRule="exact"/>
              <w:ind w:left="13" w:right="0"/>
              <w:jc w:val="left"/>
              <w:rPr>
                <w:rFonts w:ascii="Arial" w:hAnsi="Arial" w:cs="Arial" w:eastAsia="Arial" w:hint="default"/>
                <w:sz w:val="20"/>
                <w:szCs w:val="20"/>
              </w:rPr>
            </w:pPr>
            <w:r>
              <w:rPr>
                <w:rFonts w:ascii="Arial"/>
                <w:w w:val="99"/>
                <w:sz w:val="20"/>
              </w:rPr>
              <w:t>)</w:t>
            </w:r>
            <w:r>
              <w:rPr>
                <w:rFonts w:ascii="Arial"/>
                <w:sz w:val="20"/>
              </w:rPr>
            </w:r>
          </w:p>
        </w:tc>
        <w:tc>
          <w:tcPr>
            <w:tcW w:w="1386" w:type="dxa"/>
            <w:tcBorders>
              <w:top w:val="nil" w:sz="6" w:space="0" w:color="auto"/>
              <w:left w:val="nil" w:sz="6" w:space="0" w:color="auto"/>
              <w:bottom w:val="nil" w:sz="6" w:space="0" w:color="auto"/>
              <w:right w:val="nil" w:sz="6" w:space="0" w:color="auto"/>
            </w:tcBorders>
          </w:tcPr>
          <w:p>
            <w:pPr>
              <w:pStyle w:val="TableParagraph"/>
              <w:tabs>
                <w:tab w:pos="496" w:val="left" w:leader="none"/>
              </w:tabs>
              <w:spacing w:line="240" w:lineRule="auto" w:before="28"/>
              <w:ind w:right="19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99,811</w:t>
            </w:r>
            <w:r>
              <w:rPr>
                <w:rFonts w:ascii="Arial"/>
                <w:spacing w:val="-1"/>
                <w:w w:val="95"/>
                <w:sz w:val="20"/>
              </w:rPr>
            </w:r>
            <w:r>
              <w:rPr>
                <w:rFonts w:ascii="Arial"/>
                <w:sz w:val="20"/>
              </w:rPr>
            </w:r>
          </w:p>
        </w:tc>
      </w:tr>
      <w:tr>
        <w:trPr>
          <w:trHeight w:val="352" w:hRule="exact"/>
        </w:trPr>
        <w:tc>
          <w:tcPr>
            <w:tcW w:w="2563" w:type="dxa"/>
            <w:tcBorders>
              <w:top w:val="nil" w:sz="6" w:space="0" w:color="auto"/>
              <w:left w:val="nil" w:sz="6" w:space="0" w:color="auto"/>
              <w:bottom w:val="nil" w:sz="6" w:space="0" w:color="auto"/>
              <w:right w:val="nil" w:sz="6" w:space="0" w:color="auto"/>
            </w:tcBorders>
          </w:tcPr>
          <w:p>
            <w:pPr/>
          </w:p>
        </w:tc>
        <w:tc>
          <w:tcPr>
            <w:tcW w:w="1291"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24"/>
              <w:jc w:val="right"/>
              <w:rPr>
                <w:rFonts w:ascii="Arial" w:hAnsi="Arial" w:cs="Arial" w:eastAsia="Arial" w:hint="default"/>
                <w:sz w:val="20"/>
                <w:szCs w:val="20"/>
              </w:rPr>
            </w:pPr>
            <w:r>
              <w:rPr>
                <w:rFonts w:ascii="Arial"/>
                <w:w w:val="99"/>
                <w:sz w:val="20"/>
              </w:rPr>
            </w:r>
            <w:r>
              <w:rPr>
                <w:rFonts w:ascii="Arial"/>
                <w:spacing w:val="-1"/>
                <w:sz w:val="20"/>
                <w:u w:val="thick" w:color="000000"/>
              </w:rPr>
              <w:t>501,191,931</w:t>
            </w:r>
            <w:r>
              <w:rPr>
                <w:rFonts w:ascii="Arial"/>
                <w:spacing w:val="-1"/>
                <w:sz w:val="20"/>
              </w:rPr>
            </w:r>
            <w:r>
              <w:rPr>
                <w:rFonts w:ascii="Arial"/>
                <w:sz w:val="20"/>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17"/>
              <w:jc w:val="right"/>
              <w:rPr>
                <w:rFonts w:ascii="Arial" w:hAnsi="Arial" w:cs="Arial" w:eastAsia="Arial" w:hint="default"/>
                <w:sz w:val="20"/>
                <w:szCs w:val="20"/>
              </w:rPr>
            </w:pPr>
            <w:r>
              <w:rPr>
                <w:rFonts w:ascii="Arial"/>
                <w:w w:val="99"/>
                <w:sz w:val="20"/>
              </w:rPr>
            </w:r>
            <w:r>
              <w:rPr>
                <w:rFonts w:ascii="Arial"/>
                <w:spacing w:val="-1"/>
                <w:sz w:val="20"/>
                <w:u w:val="thick" w:color="000000"/>
              </w:rPr>
              <w:t>2,239,535,781</w:t>
            </w:r>
            <w:r>
              <w:rPr>
                <w:rFonts w:ascii="Arial"/>
                <w:spacing w:val="-1"/>
                <w:sz w:val="20"/>
              </w:rPr>
            </w:r>
            <w:r>
              <w:rPr>
                <w:rFonts w:ascii="Arial"/>
                <w:sz w:val="20"/>
              </w:rPr>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1"/>
              <w:jc w:val="right"/>
              <w:rPr>
                <w:rFonts w:ascii="Arial" w:hAnsi="Arial" w:cs="Arial" w:eastAsia="Arial" w:hint="default"/>
                <w:sz w:val="20"/>
                <w:szCs w:val="20"/>
              </w:rPr>
            </w:pPr>
            <w:r>
              <w:rPr>
                <w:rFonts w:ascii="Arial"/>
                <w:spacing w:val="-1"/>
                <w:sz w:val="20"/>
              </w:rPr>
              <w:t>(</w:t>
            </w:r>
            <w:r>
              <w:rPr>
                <w:rFonts w:ascii="Arial"/>
                <w:spacing w:val="-1"/>
                <w:sz w:val="20"/>
                <w:u w:val="thick" w:color="000000"/>
              </w:rPr>
              <w:t>2,288,204,182</w:t>
            </w:r>
            <w:r>
              <w:rPr>
                <w:rFonts w:ascii="Arial"/>
                <w:spacing w:val="-1"/>
                <w:sz w:val="20"/>
              </w:rPr>
            </w:r>
          </w:p>
        </w:tc>
        <w:tc>
          <w:tcPr>
            <w:tcW w:w="157"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3" w:right="0"/>
              <w:jc w:val="left"/>
              <w:rPr>
                <w:rFonts w:ascii="Arial" w:hAnsi="Arial" w:cs="Arial" w:eastAsia="Arial" w:hint="default"/>
                <w:sz w:val="20"/>
                <w:szCs w:val="20"/>
              </w:rPr>
            </w:pPr>
            <w:r>
              <w:rPr>
                <w:rFonts w:ascii="Arial"/>
                <w:w w:val="99"/>
                <w:sz w:val="20"/>
              </w:rPr>
              <w:t>)</w:t>
            </w:r>
            <w:r>
              <w:rPr>
                <w:rFonts w:ascii="Arial"/>
                <w:sz w:val="20"/>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452,523,530</w:t>
            </w:r>
            <w:r>
              <w:rPr>
                <w:rFonts w:ascii="Arial"/>
                <w:spacing w:val="-1"/>
                <w:sz w:val="20"/>
              </w:rPr>
            </w:r>
            <w:r>
              <w:rPr>
                <w:rFonts w:ascii="Arial"/>
                <w:sz w:val="20"/>
              </w:rPr>
            </w:r>
          </w:p>
        </w:tc>
      </w:tr>
    </w:tbl>
    <w:p>
      <w:pPr>
        <w:spacing w:line="240" w:lineRule="auto" w:before="2"/>
        <w:rPr>
          <w:rFonts w:ascii="黑体" w:hAnsi="黑体" w:cs="黑体" w:eastAsia="黑体" w:hint="default"/>
          <w:b/>
          <w:bCs/>
          <w:sz w:val="20"/>
          <w:szCs w:val="20"/>
        </w:rPr>
      </w:pPr>
    </w:p>
    <w:tbl>
      <w:tblPr>
        <w:tblW w:w="0" w:type="auto"/>
        <w:jc w:val="left"/>
        <w:tblInd w:w="609" w:type="dxa"/>
        <w:tblLayout w:type="fixed"/>
        <w:tblCellMar>
          <w:top w:w="0" w:type="dxa"/>
          <w:left w:w="0" w:type="dxa"/>
          <w:bottom w:w="0" w:type="dxa"/>
          <w:right w:w="0" w:type="dxa"/>
        </w:tblCellMar>
        <w:tblLook w:val="01E0"/>
      </w:tblPr>
      <w:tblGrid>
        <w:gridCol w:w="2570"/>
        <w:gridCol w:w="1304"/>
        <w:gridCol w:w="1526"/>
        <w:gridCol w:w="1494"/>
        <w:gridCol w:w="170"/>
        <w:gridCol w:w="1399"/>
      </w:tblGrid>
      <w:tr>
        <w:trPr>
          <w:trHeight w:val="234"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214" w:lineRule="exact"/>
              <w:ind w:left="200"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p>
        </w:tc>
        <w:tc>
          <w:tcPr>
            <w:tcW w:w="1304"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
        </w:tc>
        <w:tc>
          <w:tcPr>
            <w:tcW w:w="170"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
        </w:tc>
      </w:tr>
      <w:tr>
        <w:trPr>
          <w:trHeight w:val="409" w:hRule="exact"/>
        </w:trPr>
        <w:tc>
          <w:tcPr>
            <w:tcW w:w="2570"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24" w:lineRule="exact"/>
              <w:ind w:right="130"/>
              <w:jc w:val="right"/>
              <w:rPr>
                <w:rFonts w:ascii="黑体" w:hAnsi="黑体" w:cs="黑体" w:eastAsia="黑体" w:hint="default"/>
                <w:sz w:val="20"/>
                <w:szCs w:val="20"/>
              </w:rPr>
            </w:pPr>
            <w:r>
              <w:rPr>
                <w:rFonts w:ascii="黑体" w:hAnsi="黑体" w:cs="黑体" w:eastAsia="黑体" w:hint="default"/>
                <w:w w:val="95"/>
                <w:sz w:val="20"/>
                <w:szCs w:val="20"/>
              </w:rPr>
              <w:t>年初数</w:t>
            </w:r>
            <w:r>
              <w:rPr>
                <w:rFonts w:ascii="黑体" w:hAnsi="黑体" w:cs="黑体" w:eastAsia="黑体" w:hint="default"/>
                <w:sz w:val="20"/>
                <w:szCs w:val="20"/>
              </w:rPr>
            </w:r>
          </w:p>
        </w:tc>
        <w:tc>
          <w:tcPr>
            <w:tcW w:w="1526" w:type="dxa"/>
            <w:tcBorders>
              <w:top w:val="nil" w:sz="6" w:space="0" w:color="auto"/>
              <w:left w:val="nil" w:sz="6" w:space="0" w:color="auto"/>
              <w:bottom w:val="nil" w:sz="6" w:space="0" w:color="auto"/>
              <w:right w:val="nil" w:sz="6" w:space="0" w:color="auto"/>
            </w:tcBorders>
          </w:tcPr>
          <w:p>
            <w:pPr>
              <w:pStyle w:val="TableParagraph"/>
              <w:spacing w:line="224" w:lineRule="exact"/>
              <w:ind w:right="115"/>
              <w:jc w:val="right"/>
              <w:rPr>
                <w:rFonts w:ascii="黑体" w:hAnsi="黑体" w:cs="黑体" w:eastAsia="黑体" w:hint="default"/>
                <w:sz w:val="20"/>
                <w:szCs w:val="20"/>
              </w:rPr>
            </w:pPr>
            <w:r>
              <w:rPr>
                <w:rFonts w:ascii="黑体" w:hAnsi="黑体" w:cs="黑体" w:eastAsia="黑体" w:hint="default"/>
                <w:w w:val="95"/>
                <w:sz w:val="20"/>
                <w:szCs w:val="20"/>
              </w:rPr>
              <w:t>本年增加</w:t>
            </w:r>
            <w:r>
              <w:rPr>
                <w:rFonts w:ascii="黑体" w:hAnsi="黑体" w:cs="黑体" w:eastAsia="黑体" w:hint="default"/>
                <w:sz w:val="20"/>
                <w:szCs w:val="20"/>
              </w:rPr>
            </w:r>
          </w:p>
        </w:tc>
        <w:tc>
          <w:tcPr>
            <w:tcW w:w="1494" w:type="dxa"/>
            <w:tcBorders>
              <w:top w:val="nil" w:sz="6" w:space="0" w:color="auto"/>
              <w:left w:val="nil" w:sz="6" w:space="0" w:color="auto"/>
              <w:bottom w:val="nil" w:sz="6" w:space="0" w:color="auto"/>
              <w:right w:val="nil" w:sz="6" w:space="0" w:color="auto"/>
            </w:tcBorders>
          </w:tcPr>
          <w:p>
            <w:pPr>
              <w:pStyle w:val="TableParagraph"/>
              <w:spacing w:line="224" w:lineRule="exact"/>
              <w:ind w:right="11"/>
              <w:jc w:val="right"/>
              <w:rPr>
                <w:rFonts w:ascii="黑体" w:hAnsi="黑体" w:cs="黑体" w:eastAsia="黑体" w:hint="default"/>
                <w:sz w:val="20"/>
                <w:szCs w:val="20"/>
              </w:rPr>
            </w:pPr>
            <w:r>
              <w:rPr>
                <w:rFonts w:ascii="黑体" w:hAnsi="黑体" w:cs="黑体" w:eastAsia="黑体" w:hint="default"/>
                <w:w w:val="95"/>
                <w:sz w:val="20"/>
                <w:szCs w:val="20"/>
              </w:rPr>
              <w:t>本年减少</w:t>
            </w:r>
            <w:r>
              <w:rPr>
                <w:rFonts w:ascii="黑体" w:hAnsi="黑体" w:cs="黑体" w:eastAsia="黑体" w:hint="default"/>
                <w:sz w:val="20"/>
                <w:szCs w:val="20"/>
              </w:rPr>
            </w:r>
          </w:p>
        </w:tc>
        <w:tc>
          <w:tcPr>
            <w:tcW w:w="170"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24" w:lineRule="exact"/>
              <w:ind w:right="198"/>
              <w:jc w:val="right"/>
              <w:rPr>
                <w:rFonts w:ascii="黑体" w:hAnsi="黑体" w:cs="黑体" w:eastAsia="黑体" w:hint="default"/>
                <w:sz w:val="20"/>
                <w:szCs w:val="20"/>
              </w:rPr>
            </w:pPr>
            <w:r>
              <w:rPr>
                <w:rFonts w:ascii="黑体" w:hAnsi="黑体" w:cs="黑体" w:eastAsia="黑体" w:hint="default"/>
                <w:w w:val="95"/>
                <w:sz w:val="20"/>
                <w:szCs w:val="20"/>
              </w:rPr>
              <w:t>年末数</w:t>
            </w:r>
            <w:r>
              <w:rPr>
                <w:rFonts w:ascii="黑体" w:hAnsi="黑体" w:cs="黑体" w:eastAsia="黑体" w:hint="default"/>
                <w:sz w:val="20"/>
                <w:szCs w:val="20"/>
              </w:rPr>
            </w:r>
          </w:p>
        </w:tc>
      </w:tr>
      <w:tr>
        <w:trPr>
          <w:trHeight w:val="427"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75"/>
              <w:jc w:val="right"/>
              <w:rPr>
                <w:rFonts w:ascii="黑体" w:hAnsi="黑体" w:cs="黑体" w:eastAsia="黑体" w:hint="default"/>
                <w:sz w:val="20"/>
                <w:szCs w:val="20"/>
              </w:rPr>
            </w:pPr>
            <w:r>
              <w:rPr>
                <w:rFonts w:ascii="黑体" w:hAnsi="黑体" w:cs="黑体" w:eastAsia="黑体" w:hint="default"/>
                <w:spacing w:val="-1"/>
                <w:w w:val="95"/>
                <w:sz w:val="20"/>
                <w:szCs w:val="20"/>
              </w:rPr>
              <w:t>工资、奖金、津贴和补贴</w:t>
            </w:r>
            <w:r>
              <w:rPr>
                <w:rFonts w:ascii="黑体" w:hAnsi="黑体" w:cs="黑体" w:eastAsia="黑体" w:hint="default"/>
                <w:spacing w:val="-1"/>
                <w:sz w:val="20"/>
                <w:szCs w:val="20"/>
              </w:rPr>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b/>
                <w:bCs/>
                <w:sz w:val="14"/>
                <w:szCs w:val="14"/>
              </w:rPr>
            </w:pPr>
          </w:p>
          <w:p>
            <w:pPr>
              <w:pStyle w:val="TableParagraph"/>
              <w:spacing w:line="240" w:lineRule="auto"/>
              <w:ind w:right="130"/>
              <w:jc w:val="right"/>
              <w:rPr>
                <w:rFonts w:ascii="Arial" w:hAnsi="Arial" w:cs="Arial" w:eastAsia="Arial" w:hint="default"/>
                <w:sz w:val="20"/>
                <w:szCs w:val="20"/>
              </w:rPr>
            </w:pPr>
            <w:r>
              <w:rPr>
                <w:rFonts w:ascii="Arial"/>
                <w:spacing w:val="-1"/>
                <w:sz w:val="20"/>
              </w:rPr>
              <w:t>362,527,611</w:t>
            </w:r>
            <w:r>
              <w:rPr>
                <w:rFonts w:ascii="Arial"/>
                <w:sz w:val="20"/>
              </w:rPr>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b/>
                <w:bCs/>
                <w:sz w:val="14"/>
                <w:szCs w:val="14"/>
              </w:rPr>
            </w:pPr>
          </w:p>
          <w:p>
            <w:pPr>
              <w:pStyle w:val="TableParagraph"/>
              <w:spacing w:line="240" w:lineRule="auto"/>
              <w:ind w:right="116"/>
              <w:jc w:val="right"/>
              <w:rPr>
                <w:rFonts w:ascii="Arial" w:hAnsi="Arial" w:cs="Arial" w:eastAsia="Arial" w:hint="default"/>
                <w:sz w:val="20"/>
                <w:szCs w:val="20"/>
              </w:rPr>
            </w:pPr>
            <w:r>
              <w:rPr>
                <w:rFonts w:ascii="Arial"/>
                <w:spacing w:val="-1"/>
                <w:sz w:val="20"/>
              </w:rPr>
              <w:t>1,555,662,048</w:t>
            </w:r>
            <w:r>
              <w:rPr>
                <w:rFonts w:ascii="Arial"/>
                <w:sz w:val="20"/>
              </w:rPr>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b/>
                <w:bCs/>
                <w:sz w:val="14"/>
                <w:szCs w:val="14"/>
              </w:rPr>
            </w:pPr>
          </w:p>
          <w:p>
            <w:pPr>
              <w:pStyle w:val="TableParagraph"/>
              <w:spacing w:line="240" w:lineRule="auto"/>
              <w:ind w:right="11"/>
              <w:jc w:val="right"/>
              <w:rPr>
                <w:rFonts w:ascii="Arial" w:hAnsi="Arial" w:cs="Arial" w:eastAsia="Arial" w:hint="default"/>
                <w:sz w:val="20"/>
                <w:szCs w:val="20"/>
              </w:rPr>
            </w:pPr>
            <w:r>
              <w:rPr>
                <w:rFonts w:ascii="Arial"/>
                <w:spacing w:val="-1"/>
                <w:sz w:val="20"/>
              </w:rPr>
              <w:t>(1,437,416,770</w:t>
            </w:r>
          </w:p>
        </w:tc>
        <w:tc>
          <w:tcPr>
            <w:tcW w:w="170"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13" w:right="0"/>
              <w:jc w:val="left"/>
              <w:rPr>
                <w:rFonts w:ascii="Arial" w:hAnsi="Arial" w:cs="Arial" w:eastAsia="Arial" w:hint="default"/>
                <w:sz w:val="20"/>
                <w:szCs w:val="20"/>
              </w:rPr>
            </w:pPr>
            <w:r>
              <w:rPr>
                <w:rFonts w:ascii="Arial"/>
                <w:w w:val="99"/>
                <w:sz w:val="20"/>
              </w:rPr>
              <w:t>)</w:t>
            </w:r>
            <w:r>
              <w:rPr>
                <w:rFonts w:ascii="Arial"/>
                <w:sz w:val="20"/>
              </w:rPr>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b/>
                <w:bCs/>
                <w:sz w:val="14"/>
                <w:szCs w:val="14"/>
              </w:rPr>
            </w:pPr>
          </w:p>
          <w:p>
            <w:pPr>
              <w:pStyle w:val="TableParagraph"/>
              <w:spacing w:line="240" w:lineRule="auto"/>
              <w:ind w:right="198"/>
              <w:jc w:val="right"/>
              <w:rPr>
                <w:rFonts w:ascii="Arial" w:hAnsi="Arial" w:cs="Arial" w:eastAsia="Arial" w:hint="default"/>
                <w:sz w:val="20"/>
                <w:szCs w:val="20"/>
              </w:rPr>
            </w:pPr>
            <w:r>
              <w:rPr>
                <w:rFonts w:ascii="Arial"/>
                <w:spacing w:val="-1"/>
                <w:sz w:val="20"/>
              </w:rPr>
              <w:t>480,772,889</w:t>
            </w:r>
            <w:r>
              <w:rPr>
                <w:rFonts w:ascii="Arial"/>
                <w:sz w:val="20"/>
              </w:rPr>
            </w:r>
          </w:p>
        </w:tc>
      </w:tr>
      <w:tr>
        <w:trPr>
          <w:trHeight w:val="259"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216" w:lineRule="exact"/>
              <w:ind w:left="308" w:right="0"/>
              <w:jc w:val="left"/>
              <w:rPr>
                <w:rFonts w:ascii="黑体" w:hAnsi="黑体" w:cs="黑体" w:eastAsia="黑体" w:hint="default"/>
                <w:sz w:val="20"/>
                <w:szCs w:val="20"/>
              </w:rPr>
            </w:pPr>
            <w:r>
              <w:rPr>
                <w:rFonts w:ascii="黑体" w:hAnsi="黑体" w:cs="黑体" w:eastAsia="黑体" w:hint="default"/>
                <w:sz w:val="20"/>
                <w:szCs w:val="20"/>
              </w:rPr>
              <w:t>社会保险费</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1"/>
              <w:jc w:val="right"/>
              <w:rPr>
                <w:rFonts w:ascii="Arial" w:hAnsi="Arial" w:cs="Arial" w:eastAsia="Arial" w:hint="default"/>
                <w:sz w:val="20"/>
                <w:szCs w:val="20"/>
              </w:rPr>
            </w:pPr>
            <w:r>
              <w:rPr>
                <w:rFonts w:ascii="Arial"/>
                <w:spacing w:val="-1"/>
                <w:sz w:val="20"/>
              </w:rPr>
              <w:t>6,329,215</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6"/>
              <w:jc w:val="right"/>
              <w:rPr>
                <w:rFonts w:ascii="Arial" w:hAnsi="Arial" w:cs="Arial" w:eastAsia="Arial" w:hint="default"/>
                <w:sz w:val="20"/>
                <w:szCs w:val="20"/>
              </w:rPr>
            </w:pPr>
            <w:r>
              <w:rPr>
                <w:rFonts w:ascii="Arial"/>
                <w:spacing w:val="-1"/>
                <w:sz w:val="20"/>
              </w:rPr>
              <w:t>227,348,919</w:t>
            </w:r>
            <w:r>
              <w:rPr>
                <w:rFonts w:ascii="Arial"/>
                <w:sz w:val="20"/>
              </w:rPr>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
              <w:jc w:val="right"/>
              <w:rPr>
                <w:rFonts w:ascii="Arial" w:hAnsi="Arial" w:cs="Arial" w:eastAsia="Arial" w:hint="default"/>
                <w:sz w:val="20"/>
                <w:szCs w:val="20"/>
              </w:rPr>
            </w:pPr>
            <w:r>
              <w:rPr>
                <w:rFonts w:ascii="Arial"/>
                <w:sz w:val="20"/>
              </w:rPr>
              <w:t>(  </w:t>
            </w:r>
            <w:r>
              <w:rPr>
                <w:rFonts w:ascii="Arial"/>
                <w:spacing w:val="4"/>
                <w:sz w:val="20"/>
              </w:rPr>
              <w:t> </w:t>
            </w:r>
            <w:r>
              <w:rPr>
                <w:rFonts w:ascii="Arial"/>
                <w:sz w:val="20"/>
              </w:rPr>
              <w:t>224,111,173</w:t>
            </w:r>
          </w:p>
        </w:tc>
        <w:tc>
          <w:tcPr>
            <w:tcW w:w="170" w:type="dxa"/>
            <w:tcBorders>
              <w:top w:val="nil" w:sz="6" w:space="0" w:color="auto"/>
              <w:left w:val="nil" w:sz="6" w:space="0" w:color="auto"/>
              <w:bottom w:val="nil" w:sz="6" w:space="0" w:color="auto"/>
              <w:right w:val="nil" w:sz="6" w:space="0" w:color="auto"/>
            </w:tcBorders>
          </w:tcPr>
          <w:p>
            <w:pPr>
              <w:pStyle w:val="TableParagraph"/>
              <w:spacing w:line="228" w:lineRule="exact"/>
              <w:ind w:left="13" w:right="0"/>
              <w:jc w:val="left"/>
              <w:rPr>
                <w:rFonts w:ascii="Arial" w:hAnsi="Arial" w:cs="Arial" w:eastAsia="Arial" w:hint="default"/>
                <w:sz w:val="20"/>
                <w:szCs w:val="20"/>
              </w:rPr>
            </w:pPr>
            <w:r>
              <w:rPr>
                <w:rFonts w:ascii="Arial"/>
                <w:w w:val="99"/>
                <w:sz w:val="20"/>
              </w:rPr>
              <w:t>)</w:t>
            </w:r>
            <w:r>
              <w:rPr>
                <w:rFonts w:ascii="Arial"/>
                <w:sz w:val="20"/>
              </w:rPr>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98"/>
              <w:jc w:val="right"/>
              <w:rPr>
                <w:rFonts w:ascii="Arial" w:hAnsi="Arial" w:cs="Arial" w:eastAsia="Arial" w:hint="default"/>
                <w:sz w:val="20"/>
                <w:szCs w:val="20"/>
              </w:rPr>
            </w:pPr>
            <w:r>
              <w:rPr>
                <w:rFonts w:ascii="Arial"/>
                <w:spacing w:val="-1"/>
                <w:sz w:val="20"/>
              </w:rPr>
              <w:t>9,566,961</w:t>
            </w:r>
          </w:p>
        </w:tc>
      </w:tr>
      <w:tr>
        <w:trPr>
          <w:trHeight w:val="260"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216" w:lineRule="exact"/>
              <w:ind w:left="308" w:right="0"/>
              <w:jc w:val="left"/>
              <w:rPr>
                <w:rFonts w:ascii="黑体" w:hAnsi="黑体" w:cs="黑体" w:eastAsia="黑体" w:hint="default"/>
                <w:sz w:val="20"/>
                <w:szCs w:val="20"/>
              </w:rPr>
            </w:pPr>
            <w:r>
              <w:rPr>
                <w:rFonts w:ascii="黑体" w:hAnsi="黑体" w:cs="黑体" w:eastAsia="黑体" w:hint="default"/>
                <w:sz w:val="20"/>
                <w:szCs w:val="20"/>
              </w:rPr>
              <w:t>其中：医疗保险费</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0"/>
              <w:jc w:val="right"/>
              <w:rPr>
                <w:rFonts w:ascii="Arial" w:hAnsi="Arial" w:cs="Arial" w:eastAsia="Arial" w:hint="default"/>
                <w:sz w:val="20"/>
                <w:szCs w:val="20"/>
              </w:rPr>
            </w:pPr>
            <w:r>
              <w:rPr>
                <w:rFonts w:ascii="Arial"/>
                <w:spacing w:val="-1"/>
                <w:w w:val="95"/>
                <w:sz w:val="20"/>
              </w:rPr>
              <w:t>319,341</w:t>
            </w:r>
            <w:r>
              <w:rPr>
                <w:rFonts w:ascii="Arial"/>
                <w:sz w:val="20"/>
              </w:rPr>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16"/>
              <w:jc w:val="right"/>
              <w:rPr>
                <w:rFonts w:ascii="Arial" w:hAnsi="Arial" w:cs="Arial" w:eastAsia="Arial" w:hint="default"/>
                <w:sz w:val="20"/>
                <w:szCs w:val="20"/>
              </w:rPr>
            </w:pPr>
            <w:r>
              <w:rPr>
                <w:rFonts w:ascii="Arial"/>
                <w:spacing w:val="-1"/>
                <w:sz w:val="20"/>
              </w:rPr>
              <w:t>59,021,634</w:t>
            </w:r>
            <w:r>
              <w:rPr>
                <w:rFonts w:ascii="Arial"/>
                <w:sz w:val="20"/>
              </w:rPr>
            </w:r>
          </w:p>
        </w:tc>
        <w:tc>
          <w:tcPr>
            <w:tcW w:w="1494" w:type="dxa"/>
            <w:tcBorders>
              <w:top w:val="nil" w:sz="6" w:space="0" w:color="auto"/>
              <w:left w:val="nil" w:sz="6" w:space="0" w:color="auto"/>
              <w:bottom w:val="nil" w:sz="6" w:space="0" w:color="auto"/>
              <w:right w:val="nil" w:sz="6" w:space="0" w:color="auto"/>
            </w:tcBorders>
          </w:tcPr>
          <w:p>
            <w:pPr>
              <w:pStyle w:val="TableParagraph"/>
              <w:tabs>
                <w:tab w:pos="359" w:val="left" w:leader="none"/>
              </w:tabs>
              <w:spacing w:line="240" w:lineRule="auto" w:before="19"/>
              <w:ind w:right="11"/>
              <w:jc w:val="right"/>
              <w:rPr>
                <w:rFonts w:ascii="Arial" w:hAnsi="Arial" w:cs="Arial" w:eastAsia="Arial" w:hint="default"/>
                <w:sz w:val="20"/>
                <w:szCs w:val="20"/>
              </w:rPr>
            </w:pPr>
            <w:r>
              <w:rPr>
                <w:rFonts w:ascii="Arial"/>
                <w:w w:val="95"/>
                <w:sz w:val="20"/>
              </w:rPr>
              <w:t>(</w:t>
              <w:tab/>
            </w:r>
            <w:r>
              <w:rPr>
                <w:rFonts w:ascii="Arial"/>
                <w:spacing w:val="-1"/>
                <w:w w:val="95"/>
                <w:sz w:val="20"/>
              </w:rPr>
              <w:t>56,118,788</w:t>
            </w:r>
            <w:r>
              <w:rPr>
                <w:rFonts w:ascii="Arial"/>
                <w:spacing w:val="-1"/>
                <w:sz w:val="20"/>
              </w:rPr>
            </w:r>
          </w:p>
        </w:tc>
        <w:tc>
          <w:tcPr>
            <w:tcW w:w="170" w:type="dxa"/>
            <w:tcBorders>
              <w:top w:val="nil" w:sz="6" w:space="0" w:color="auto"/>
              <w:left w:val="nil" w:sz="6" w:space="0" w:color="auto"/>
              <w:bottom w:val="nil" w:sz="6" w:space="0" w:color="auto"/>
              <w:right w:val="nil" w:sz="6" w:space="0" w:color="auto"/>
            </w:tcBorders>
          </w:tcPr>
          <w:p>
            <w:pPr>
              <w:pStyle w:val="TableParagraph"/>
              <w:spacing w:line="240" w:lineRule="auto"/>
              <w:ind w:left="13" w:right="0"/>
              <w:jc w:val="left"/>
              <w:rPr>
                <w:rFonts w:ascii="Arial" w:hAnsi="Arial" w:cs="Arial" w:eastAsia="Arial" w:hint="default"/>
                <w:sz w:val="20"/>
                <w:szCs w:val="20"/>
              </w:rPr>
            </w:pPr>
            <w:r>
              <w:rPr>
                <w:rFonts w:ascii="Arial"/>
                <w:w w:val="99"/>
                <w:sz w:val="20"/>
              </w:rPr>
              <w:t>)</w:t>
            </w:r>
            <w:r>
              <w:rPr>
                <w:rFonts w:ascii="Arial"/>
                <w:sz w:val="20"/>
              </w:rPr>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8"/>
              <w:jc w:val="right"/>
              <w:rPr>
                <w:rFonts w:ascii="Arial" w:hAnsi="Arial" w:cs="Arial" w:eastAsia="Arial" w:hint="default"/>
                <w:sz w:val="20"/>
                <w:szCs w:val="20"/>
              </w:rPr>
            </w:pPr>
            <w:r>
              <w:rPr>
                <w:rFonts w:ascii="Arial"/>
                <w:spacing w:val="-1"/>
                <w:sz w:val="20"/>
              </w:rPr>
              <w:t>3,222,187</w:t>
            </w:r>
          </w:p>
        </w:tc>
      </w:tr>
      <w:tr>
        <w:trPr>
          <w:trHeight w:val="259"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215" w:lineRule="exact"/>
              <w:ind w:left="910" w:right="0"/>
              <w:jc w:val="left"/>
              <w:rPr>
                <w:rFonts w:ascii="黑体" w:hAnsi="黑体" w:cs="黑体" w:eastAsia="黑体" w:hint="default"/>
                <w:sz w:val="20"/>
                <w:szCs w:val="20"/>
              </w:rPr>
            </w:pPr>
            <w:r>
              <w:rPr>
                <w:rFonts w:ascii="黑体" w:hAnsi="黑体" w:cs="黑体" w:eastAsia="黑体" w:hint="default"/>
                <w:sz w:val="20"/>
                <w:szCs w:val="20"/>
              </w:rPr>
              <w:t>基本养老保险费</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1"/>
              <w:jc w:val="right"/>
              <w:rPr>
                <w:rFonts w:ascii="Arial" w:hAnsi="Arial" w:cs="Arial" w:eastAsia="Arial" w:hint="default"/>
                <w:sz w:val="20"/>
                <w:szCs w:val="20"/>
              </w:rPr>
            </w:pPr>
            <w:r>
              <w:rPr>
                <w:rFonts w:ascii="Arial"/>
                <w:spacing w:val="-1"/>
                <w:sz w:val="20"/>
              </w:rPr>
              <w:t>5,794,369</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6"/>
              <w:jc w:val="right"/>
              <w:rPr>
                <w:rFonts w:ascii="Arial" w:hAnsi="Arial" w:cs="Arial" w:eastAsia="Arial" w:hint="default"/>
                <w:sz w:val="20"/>
                <w:szCs w:val="20"/>
              </w:rPr>
            </w:pPr>
            <w:r>
              <w:rPr>
                <w:rFonts w:ascii="Arial"/>
                <w:spacing w:val="-1"/>
                <w:sz w:val="20"/>
              </w:rPr>
              <w:t>155,378,673</w:t>
            </w:r>
            <w:r>
              <w:rPr>
                <w:rFonts w:ascii="Arial"/>
                <w:sz w:val="20"/>
              </w:rPr>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
              <w:jc w:val="right"/>
              <w:rPr>
                <w:rFonts w:ascii="Arial" w:hAnsi="Arial" w:cs="Arial" w:eastAsia="Arial" w:hint="default"/>
                <w:sz w:val="20"/>
                <w:szCs w:val="20"/>
              </w:rPr>
            </w:pPr>
            <w:r>
              <w:rPr>
                <w:rFonts w:ascii="Arial"/>
                <w:sz w:val="20"/>
              </w:rPr>
              <w:t>( </w:t>
            </w:r>
            <w:r>
              <w:rPr>
                <w:rFonts w:ascii="Arial"/>
                <w:spacing w:val="46"/>
                <w:sz w:val="20"/>
              </w:rPr>
              <w:t> </w:t>
            </w:r>
            <w:r>
              <w:rPr>
                <w:rFonts w:ascii="Arial"/>
                <w:sz w:val="20"/>
              </w:rPr>
              <w:t>155,190,533</w:t>
            </w:r>
          </w:p>
        </w:tc>
        <w:tc>
          <w:tcPr>
            <w:tcW w:w="170" w:type="dxa"/>
            <w:tcBorders>
              <w:top w:val="nil" w:sz="6" w:space="0" w:color="auto"/>
              <w:left w:val="nil" w:sz="6" w:space="0" w:color="auto"/>
              <w:bottom w:val="nil" w:sz="6" w:space="0" w:color="auto"/>
              <w:right w:val="nil" w:sz="6" w:space="0" w:color="auto"/>
            </w:tcBorders>
          </w:tcPr>
          <w:p>
            <w:pPr>
              <w:pStyle w:val="TableParagraph"/>
              <w:spacing w:line="229" w:lineRule="exact"/>
              <w:ind w:left="13" w:right="0"/>
              <w:jc w:val="left"/>
              <w:rPr>
                <w:rFonts w:ascii="Arial" w:hAnsi="Arial" w:cs="Arial" w:eastAsia="Arial" w:hint="default"/>
                <w:sz w:val="20"/>
                <w:szCs w:val="20"/>
              </w:rPr>
            </w:pPr>
            <w:r>
              <w:rPr>
                <w:rFonts w:ascii="Arial"/>
                <w:w w:val="99"/>
                <w:sz w:val="20"/>
              </w:rPr>
              <w:t>)</w:t>
            </w:r>
            <w:r>
              <w:rPr>
                <w:rFonts w:ascii="Arial"/>
                <w:sz w:val="20"/>
              </w:rPr>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0"/>
                <w:szCs w:val="20"/>
              </w:rPr>
            </w:pPr>
            <w:r>
              <w:rPr>
                <w:rFonts w:ascii="Arial"/>
                <w:spacing w:val="-1"/>
                <w:sz w:val="20"/>
              </w:rPr>
              <w:t>5,982,509</w:t>
            </w:r>
          </w:p>
        </w:tc>
      </w:tr>
      <w:tr>
        <w:trPr>
          <w:trHeight w:val="260"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215" w:lineRule="exact"/>
              <w:ind w:left="876" w:right="0"/>
              <w:jc w:val="left"/>
              <w:rPr>
                <w:rFonts w:ascii="黑体" w:hAnsi="黑体" w:cs="黑体" w:eastAsia="黑体" w:hint="default"/>
                <w:sz w:val="20"/>
                <w:szCs w:val="20"/>
              </w:rPr>
            </w:pPr>
            <w:r>
              <w:rPr>
                <w:rFonts w:ascii="黑体" w:hAnsi="黑体" w:cs="黑体" w:eastAsia="黑体" w:hint="default"/>
                <w:sz w:val="20"/>
                <w:szCs w:val="20"/>
              </w:rPr>
              <w:t>失业保险费</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0"/>
              <w:jc w:val="right"/>
              <w:rPr>
                <w:rFonts w:ascii="Arial" w:hAnsi="Arial" w:cs="Arial" w:eastAsia="Arial" w:hint="default"/>
                <w:sz w:val="20"/>
                <w:szCs w:val="20"/>
              </w:rPr>
            </w:pPr>
            <w:r>
              <w:rPr>
                <w:rFonts w:ascii="Arial"/>
                <w:spacing w:val="-1"/>
                <w:w w:val="95"/>
                <w:sz w:val="20"/>
              </w:rPr>
              <w:t>111,639</w:t>
            </w:r>
            <w:r>
              <w:rPr>
                <w:rFonts w:ascii="Arial"/>
                <w:sz w:val="20"/>
              </w:rPr>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5"/>
              <w:jc w:val="right"/>
              <w:rPr>
                <w:rFonts w:ascii="Arial" w:hAnsi="Arial" w:cs="Arial" w:eastAsia="Arial" w:hint="default"/>
                <w:sz w:val="20"/>
                <w:szCs w:val="20"/>
              </w:rPr>
            </w:pPr>
            <w:r>
              <w:rPr>
                <w:rFonts w:ascii="Arial"/>
                <w:spacing w:val="-1"/>
                <w:sz w:val="20"/>
              </w:rPr>
              <w:t>8,733,402</w:t>
            </w:r>
          </w:p>
        </w:tc>
        <w:tc>
          <w:tcPr>
            <w:tcW w:w="1494" w:type="dxa"/>
            <w:tcBorders>
              <w:top w:val="nil" w:sz="6" w:space="0" w:color="auto"/>
              <w:left w:val="nil" w:sz="6" w:space="0" w:color="auto"/>
              <w:bottom w:val="nil" w:sz="6" w:space="0" w:color="auto"/>
              <w:right w:val="nil" w:sz="6" w:space="0" w:color="auto"/>
            </w:tcBorders>
          </w:tcPr>
          <w:p>
            <w:pPr>
              <w:pStyle w:val="TableParagraph"/>
              <w:tabs>
                <w:tab w:pos="467" w:val="left" w:leader="none"/>
              </w:tabs>
              <w:spacing w:line="240" w:lineRule="auto" w:before="18"/>
              <w:ind w:right="11"/>
              <w:jc w:val="right"/>
              <w:rPr>
                <w:rFonts w:ascii="Arial" w:hAnsi="Arial" w:cs="Arial" w:eastAsia="Arial" w:hint="default"/>
                <w:sz w:val="20"/>
                <w:szCs w:val="20"/>
              </w:rPr>
            </w:pPr>
            <w:r>
              <w:rPr>
                <w:rFonts w:ascii="Arial"/>
                <w:w w:val="95"/>
                <w:sz w:val="20"/>
              </w:rPr>
              <w:t>(</w:t>
              <w:tab/>
            </w:r>
            <w:r>
              <w:rPr>
                <w:rFonts w:ascii="Arial"/>
                <w:spacing w:val="-1"/>
                <w:w w:val="95"/>
                <w:sz w:val="20"/>
              </w:rPr>
              <w:t>8,639,143</w:t>
            </w:r>
            <w:r>
              <w:rPr>
                <w:rFonts w:ascii="Arial"/>
                <w:sz w:val="20"/>
              </w:rPr>
            </w:r>
          </w:p>
        </w:tc>
        <w:tc>
          <w:tcPr>
            <w:tcW w:w="170" w:type="dxa"/>
            <w:tcBorders>
              <w:top w:val="nil" w:sz="6" w:space="0" w:color="auto"/>
              <w:left w:val="nil" w:sz="6" w:space="0" w:color="auto"/>
              <w:bottom w:val="nil" w:sz="6" w:space="0" w:color="auto"/>
              <w:right w:val="nil" w:sz="6" w:space="0" w:color="auto"/>
            </w:tcBorders>
          </w:tcPr>
          <w:p>
            <w:pPr>
              <w:pStyle w:val="TableParagraph"/>
              <w:spacing w:line="229" w:lineRule="exact"/>
              <w:ind w:left="13" w:right="0"/>
              <w:jc w:val="left"/>
              <w:rPr>
                <w:rFonts w:ascii="Arial" w:hAnsi="Arial" w:cs="Arial" w:eastAsia="Arial" w:hint="default"/>
                <w:sz w:val="20"/>
                <w:szCs w:val="20"/>
              </w:rPr>
            </w:pPr>
            <w:r>
              <w:rPr>
                <w:rFonts w:ascii="Arial"/>
                <w:w w:val="99"/>
                <w:sz w:val="20"/>
              </w:rPr>
              <w:t>)</w:t>
            </w:r>
            <w:r>
              <w:rPr>
                <w:rFonts w:ascii="Arial"/>
                <w:sz w:val="20"/>
              </w:rPr>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0"/>
                <w:szCs w:val="20"/>
              </w:rPr>
            </w:pPr>
            <w:r>
              <w:rPr>
                <w:rFonts w:ascii="Arial"/>
                <w:spacing w:val="-1"/>
                <w:w w:val="95"/>
                <w:sz w:val="20"/>
              </w:rPr>
              <w:t>205,898</w:t>
            </w:r>
            <w:r>
              <w:rPr>
                <w:rFonts w:ascii="Arial"/>
                <w:sz w:val="20"/>
              </w:rPr>
            </w:r>
          </w:p>
        </w:tc>
      </w:tr>
      <w:tr>
        <w:trPr>
          <w:trHeight w:val="259"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216" w:lineRule="exact"/>
              <w:ind w:left="876" w:right="0"/>
              <w:jc w:val="left"/>
              <w:rPr>
                <w:rFonts w:ascii="黑体" w:hAnsi="黑体" w:cs="黑体" w:eastAsia="黑体" w:hint="default"/>
                <w:sz w:val="20"/>
                <w:szCs w:val="20"/>
              </w:rPr>
            </w:pPr>
            <w:r>
              <w:rPr>
                <w:rFonts w:ascii="黑体" w:hAnsi="黑体" w:cs="黑体" w:eastAsia="黑体" w:hint="default"/>
                <w:sz w:val="20"/>
                <w:szCs w:val="20"/>
              </w:rPr>
              <w:t>工伤保险费</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0"/>
              <w:jc w:val="right"/>
              <w:rPr>
                <w:rFonts w:ascii="Arial" w:hAnsi="Arial" w:cs="Arial" w:eastAsia="Arial" w:hint="default"/>
                <w:sz w:val="20"/>
                <w:szCs w:val="20"/>
              </w:rPr>
            </w:pPr>
            <w:r>
              <w:rPr>
                <w:rFonts w:ascii="Arial"/>
                <w:spacing w:val="-1"/>
                <w:sz w:val="20"/>
              </w:rPr>
              <w:t>65,452</w:t>
            </w:r>
            <w:r>
              <w:rPr>
                <w:rFonts w:ascii="Arial"/>
                <w:sz w:val="20"/>
              </w:rPr>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5"/>
              <w:jc w:val="right"/>
              <w:rPr>
                <w:rFonts w:ascii="Arial" w:hAnsi="Arial" w:cs="Arial" w:eastAsia="Arial" w:hint="default"/>
                <w:sz w:val="20"/>
                <w:szCs w:val="20"/>
              </w:rPr>
            </w:pPr>
            <w:r>
              <w:rPr>
                <w:rFonts w:ascii="Arial"/>
                <w:spacing w:val="-1"/>
                <w:sz w:val="20"/>
              </w:rPr>
              <w:t>2,005,482</w:t>
            </w:r>
          </w:p>
        </w:tc>
        <w:tc>
          <w:tcPr>
            <w:tcW w:w="1494" w:type="dxa"/>
            <w:tcBorders>
              <w:top w:val="nil" w:sz="6" w:space="0" w:color="auto"/>
              <w:left w:val="nil" w:sz="6" w:space="0" w:color="auto"/>
              <w:bottom w:val="nil" w:sz="6" w:space="0" w:color="auto"/>
              <w:right w:val="nil" w:sz="6" w:space="0" w:color="auto"/>
            </w:tcBorders>
          </w:tcPr>
          <w:p>
            <w:pPr>
              <w:pStyle w:val="TableParagraph"/>
              <w:tabs>
                <w:tab w:pos="467" w:val="left" w:leader="none"/>
              </w:tabs>
              <w:spacing w:line="240" w:lineRule="auto" w:before="17"/>
              <w:ind w:right="11"/>
              <w:jc w:val="right"/>
              <w:rPr>
                <w:rFonts w:ascii="Arial" w:hAnsi="Arial" w:cs="Arial" w:eastAsia="Arial" w:hint="default"/>
                <w:sz w:val="20"/>
                <w:szCs w:val="20"/>
              </w:rPr>
            </w:pPr>
            <w:r>
              <w:rPr>
                <w:rFonts w:ascii="Arial"/>
                <w:w w:val="95"/>
                <w:sz w:val="20"/>
              </w:rPr>
              <w:t>(</w:t>
              <w:tab/>
            </w:r>
            <w:r>
              <w:rPr>
                <w:rFonts w:ascii="Arial"/>
                <w:spacing w:val="-1"/>
                <w:w w:val="95"/>
                <w:sz w:val="20"/>
              </w:rPr>
              <w:t>1,989,601</w:t>
            </w:r>
            <w:r>
              <w:rPr>
                <w:rFonts w:ascii="Arial"/>
                <w:sz w:val="20"/>
              </w:rPr>
            </w:r>
          </w:p>
        </w:tc>
        <w:tc>
          <w:tcPr>
            <w:tcW w:w="170" w:type="dxa"/>
            <w:tcBorders>
              <w:top w:val="nil" w:sz="6" w:space="0" w:color="auto"/>
              <w:left w:val="nil" w:sz="6" w:space="0" w:color="auto"/>
              <w:bottom w:val="nil" w:sz="6" w:space="0" w:color="auto"/>
              <w:right w:val="nil" w:sz="6" w:space="0" w:color="auto"/>
            </w:tcBorders>
          </w:tcPr>
          <w:p>
            <w:pPr>
              <w:pStyle w:val="TableParagraph"/>
              <w:spacing w:line="228" w:lineRule="exact"/>
              <w:ind w:left="13" w:right="0"/>
              <w:jc w:val="left"/>
              <w:rPr>
                <w:rFonts w:ascii="Arial" w:hAnsi="Arial" w:cs="Arial" w:eastAsia="Arial" w:hint="default"/>
                <w:sz w:val="20"/>
                <w:szCs w:val="20"/>
              </w:rPr>
            </w:pPr>
            <w:r>
              <w:rPr>
                <w:rFonts w:ascii="Arial"/>
                <w:w w:val="99"/>
                <w:sz w:val="20"/>
              </w:rPr>
              <w:t>)</w:t>
            </w:r>
            <w:r>
              <w:rPr>
                <w:rFonts w:ascii="Arial"/>
                <w:sz w:val="20"/>
              </w:rPr>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98"/>
              <w:jc w:val="right"/>
              <w:rPr>
                <w:rFonts w:ascii="Arial" w:hAnsi="Arial" w:cs="Arial" w:eastAsia="Arial" w:hint="default"/>
                <w:sz w:val="20"/>
                <w:szCs w:val="20"/>
              </w:rPr>
            </w:pPr>
            <w:r>
              <w:rPr>
                <w:rFonts w:ascii="Arial"/>
                <w:spacing w:val="-1"/>
                <w:sz w:val="20"/>
              </w:rPr>
              <w:t>81,333</w:t>
            </w:r>
            <w:r>
              <w:rPr>
                <w:rFonts w:ascii="Arial"/>
                <w:sz w:val="20"/>
              </w:rPr>
            </w:r>
          </w:p>
        </w:tc>
      </w:tr>
      <w:tr>
        <w:trPr>
          <w:trHeight w:val="259"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216" w:lineRule="exact"/>
              <w:ind w:left="876" w:right="0"/>
              <w:jc w:val="left"/>
              <w:rPr>
                <w:rFonts w:ascii="黑体" w:hAnsi="黑体" w:cs="黑体" w:eastAsia="黑体" w:hint="default"/>
                <w:sz w:val="20"/>
                <w:szCs w:val="20"/>
              </w:rPr>
            </w:pPr>
            <w:r>
              <w:rPr>
                <w:rFonts w:ascii="黑体" w:hAnsi="黑体" w:cs="黑体" w:eastAsia="黑体" w:hint="default"/>
                <w:sz w:val="20"/>
                <w:szCs w:val="20"/>
              </w:rPr>
              <w:t>生育保险费</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0"/>
              <w:jc w:val="right"/>
              <w:rPr>
                <w:rFonts w:ascii="Arial" w:hAnsi="Arial" w:cs="Arial" w:eastAsia="Arial" w:hint="default"/>
                <w:sz w:val="20"/>
                <w:szCs w:val="20"/>
              </w:rPr>
            </w:pPr>
            <w:r>
              <w:rPr>
                <w:rFonts w:ascii="Arial"/>
                <w:spacing w:val="-1"/>
                <w:sz w:val="20"/>
              </w:rPr>
              <w:t>38,414</w:t>
            </w:r>
            <w:r>
              <w:rPr>
                <w:rFonts w:ascii="Arial"/>
                <w:sz w:val="20"/>
              </w:rPr>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5"/>
              <w:jc w:val="right"/>
              <w:rPr>
                <w:rFonts w:ascii="Arial" w:hAnsi="Arial" w:cs="Arial" w:eastAsia="Arial" w:hint="default"/>
                <w:sz w:val="20"/>
                <w:szCs w:val="20"/>
              </w:rPr>
            </w:pPr>
            <w:r>
              <w:rPr>
                <w:rFonts w:ascii="Arial"/>
                <w:spacing w:val="-1"/>
                <w:sz w:val="20"/>
              </w:rPr>
              <w:t>2,209,728</w:t>
            </w:r>
          </w:p>
        </w:tc>
        <w:tc>
          <w:tcPr>
            <w:tcW w:w="1494" w:type="dxa"/>
            <w:tcBorders>
              <w:top w:val="nil" w:sz="6" w:space="0" w:color="auto"/>
              <w:left w:val="nil" w:sz="6" w:space="0" w:color="auto"/>
              <w:bottom w:val="nil" w:sz="6" w:space="0" w:color="auto"/>
              <w:right w:val="nil" w:sz="6" w:space="0" w:color="auto"/>
            </w:tcBorders>
          </w:tcPr>
          <w:p>
            <w:pPr>
              <w:pStyle w:val="TableParagraph"/>
              <w:tabs>
                <w:tab w:pos="467" w:val="left" w:leader="none"/>
              </w:tabs>
              <w:spacing w:line="240" w:lineRule="auto" w:before="17"/>
              <w:ind w:right="11"/>
              <w:jc w:val="right"/>
              <w:rPr>
                <w:rFonts w:ascii="Arial" w:hAnsi="Arial" w:cs="Arial" w:eastAsia="Arial" w:hint="default"/>
                <w:sz w:val="20"/>
                <w:szCs w:val="20"/>
              </w:rPr>
            </w:pPr>
            <w:r>
              <w:rPr>
                <w:rFonts w:ascii="Arial"/>
                <w:w w:val="95"/>
                <w:sz w:val="20"/>
              </w:rPr>
              <w:t>(</w:t>
              <w:tab/>
            </w:r>
            <w:r>
              <w:rPr>
                <w:rFonts w:ascii="Arial"/>
                <w:spacing w:val="-1"/>
                <w:w w:val="95"/>
                <w:sz w:val="20"/>
              </w:rPr>
              <w:t>2,173,108</w:t>
            </w:r>
            <w:r>
              <w:rPr>
                <w:rFonts w:ascii="Arial"/>
                <w:sz w:val="20"/>
              </w:rPr>
            </w:r>
          </w:p>
        </w:tc>
        <w:tc>
          <w:tcPr>
            <w:tcW w:w="170" w:type="dxa"/>
            <w:tcBorders>
              <w:top w:val="nil" w:sz="6" w:space="0" w:color="auto"/>
              <w:left w:val="nil" w:sz="6" w:space="0" w:color="auto"/>
              <w:bottom w:val="nil" w:sz="6" w:space="0" w:color="auto"/>
              <w:right w:val="nil" w:sz="6" w:space="0" w:color="auto"/>
            </w:tcBorders>
          </w:tcPr>
          <w:p>
            <w:pPr>
              <w:pStyle w:val="TableParagraph"/>
              <w:spacing w:line="228" w:lineRule="exact"/>
              <w:ind w:left="13" w:right="0"/>
              <w:jc w:val="left"/>
              <w:rPr>
                <w:rFonts w:ascii="Arial" w:hAnsi="Arial" w:cs="Arial" w:eastAsia="Arial" w:hint="default"/>
                <w:sz w:val="20"/>
                <w:szCs w:val="20"/>
              </w:rPr>
            </w:pPr>
            <w:r>
              <w:rPr>
                <w:rFonts w:ascii="Arial"/>
                <w:w w:val="99"/>
                <w:sz w:val="20"/>
              </w:rPr>
              <w:t>)</w:t>
            </w:r>
            <w:r>
              <w:rPr>
                <w:rFonts w:ascii="Arial"/>
                <w:sz w:val="20"/>
              </w:rPr>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98"/>
              <w:jc w:val="right"/>
              <w:rPr>
                <w:rFonts w:ascii="Arial" w:hAnsi="Arial" w:cs="Arial" w:eastAsia="Arial" w:hint="default"/>
                <w:sz w:val="20"/>
                <w:szCs w:val="20"/>
              </w:rPr>
            </w:pPr>
            <w:r>
              <w:rPr>
                <w:rFonts w:ascii="Arial"/>
                <w:spacing w:val="-1"/>
                <w:sz w:val="20"/>
              </w:rPr>
              <w:t>75,034</w:t>
            </w:r>
            <w:r>
              <w:rPr>
                <w:rFonts w:ascii="Arial"/>
                <w:sz w:val="20"/>
              </w:rPr>
            </w:r>
          </w:p>
        </w:tc>
      </w:tr>
      <w:tr>
        <w:trPr>
          <w:trHeight w:val="259"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216" w:lineRule="exact"/>
              <w:ind w:left="288" w:right="0"/>
              <w:jc w:val="left"/>
              <w:rPr>
                <w:rFonts w:ascii="黑体" w:hAnsi="黑体" w:cs="黑体" w:eastAsia="黑体" w:hint="default"/>
                <w:sz w:val="20"/>
                <w:szCs w:val="20"/>
              </w:rPr>
            </w:pPr>
            <w:r>
              <w:rPr>
                <w:rFonts w:ascii="黑体" w:hAnsi="黑体" w:cs="黑体" w:eastAsia="黑体" w:hint="default"/>
                <w:sz w:val="20"/>
                <w:szCs w:val="20"/>
              </w:rPr>
              <w:t>住房公积金</w:t>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1"/>
              <w:jc w:val="right"/>
              <w:rPr>
                <w:rFonts w:ascii="Arial" w:hAnsi="Arial" w:cs="Arial" w:eastAsia="Arial" w:hint="default"/>
                <w:sz w:val="20"/>
                <w:szCs w:val="20"/>
              </w:rPr>
            </w:pPr>
            <w:r>
              <w:rPr>
                <w:rFonts w:ascii="Arial"/>
                <w:spacing w:val="-1"/>
                <w:sz w:val="20"/>
              </w:rPr>
              <w:t>2,999,624</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6"/>
              <w:jc w:val="right"/>
              <w:rPr>
                <w:rFonts w:ascii="Arial" w:hAnsi="Arial" w:cs="Arial" w:eastAsia="Arial" w:hint="default"/>
                <w:sz w:val="20"/>
                <w:szCs w:val="20"/>
              </w:rPr>
            </w:pPr>
            <w:r>
              <w:rPr>
                <w:rFonts w:ascii="Arial"/>
                <w:spacing w:val="-1"/>
                <w:sz w:val="20"/>
              </w:rPr>
              <w:t>92,852,818</w:t>
            </w:r>
            <w:r>
              <w:rPr>
                <w:rFonts w:ascii="Arial"/>
                <w:sz w:val="20"/>
              </w:rPr>
            </w:r>
          </w:p>
        </w:tc>
        <w:tc>
          <w:tcPr>
            <w:tcW w:w="1494" w:type="dxa"/>
            <w:tcBorders>
              <w:top w:val="nil" w:sz="6" w:space="0" w:color="auto"/>
              <w:left w:val="nil" w:sz="6" w:space="0" w:color="auto"/>
              <w:bottom w:val="nil" w:sz="6" w:space="0" w:color="auto"/>
              <w:right w:val="nil" w:sz="6" w:space="0" w:color="auto"/>
            </w:tcBorders>
          </w:tcPr>
          <w:p>
            <w:pPr>
              <w:pStyle w:val="TableParagraph"/>
              <w:tabs>
                <w:tab w:pos="359" w:val="left" w:leader="none"/>
              </w:tabs>
              <w:spacing w:line="240" w:lineRule="auto" w:before="17"/>
              <w:ind w:right="11"/>
              <w:jc w:val="right"/>
              <w:rPr>
                <w:rFonts w:ascii="Arial" w:hAnsi="Arial" w:cs="Arial" w:eastAsia="Arial" w:hint="default"/>
                <w:sz w:val="20"/>
                <w:szCs w:val="20"/>
              </w:rPr>
            </w:pPr>
            <w:r>
              <w:rPr>
                <w:rFonts w:ascii="Arial"/>
                <w:w w:val="95"/>
                <w:sz w:val="20"/>
              </w:rPr>
              <w:t>(</w:t>
              <w:tab/>
            </w:r>
            <w:r>
              <w:rPr>
                <w:rFonts w:ascii="Arial"/>
                <w:spacing w:val="-1"/>
                <w:w w:val="95"/>
                <w:sz w:val="20"/>
              </w:rPr>
              <w:t>91,469,439</w:t>
            </w:r>
            <w:r>
              <w:rPr>
                <w:rFonts w:ascii="Arial"/>
                <w:spacing w:val="-1"/>
                <w:sz w:val="20"/>
              </w:rPr>
            </w:r>
          </w:p>
        </w:tc>
        <w:tc>
          <w:tcPr>
            <w:tcW w:w="170" w:type="dxa"/>
            <w:tcBorders>
              <w:top w:val="nil" w:sz="6" w:space="0" w:color="auto"/>
              <w:left w:val="nil" w:sz="6" w:space="0" w:color="auto"/>
              <w:bottom w:val="nil" w:sz="6" w:space="0" w:color="auto"/>
              <w:right w:val="nil" w:sz="6" w:space="0" w:color="auto"/>
            </w:tcBorders>
          </w:tcPr>
          <w:p>
            <w:pPr>
              <w:pStyle w:val="TableParagraph"/>
              <w:spacing w:line="228" w:lineRule="exact"/>
              <w:ind w:left="13" w:right="0"/>
              <w:jc w:val="left"/>
              <w:rPr>
                <w:rFonts w:ascii="Arial" w:hAnsi="Arial" w:cs="Arial" w:eastAsia="Arial" w:hint="default"/>
                <w:sz w:val="20"/>
                <w:szCs w:val="20"/>
              </w:rPr>
            </w:pPr>
            <w:r>
              <w:rPr>
                <w:rFonts w:ascii="Arial"/>
                <w:w w:val="99"/>
                <w:sz w:val="20"/>
              </w:rPr>
              <w:t>)</w:t>
            </w:r>
            <w:r>
              <w:rPr>
                <w:rFonts w:ascii="Arial"/>
                <w:sz w:val="20"/>
              </w:rPr>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98"/>
              <w:jc w:val="right"/>
              <w:rPr>
                <w:rFonts w:ascii="Arial" w:hAnsi="Arial" w:cs="Arial" w:eastAsia="Arial" w:hint="default"/>
                <w:sz w:val="20"/>
                <w:szCs w:val="20"/>
              </w:rPr>
            </w:pPr>
            <w:r>
              <w:rPr>
                <w:rFonts w:ascii="Arial"/>
                <w:spacing w:val="-1"/>
                <w:sz w:val="20"/>
              </w:rPr>
              <w:t>4,383,003</w:t>
            </w:r>
          </w:p>
        </w:tc>
      </w:tr>
      <w:tr>
        <w:trPr>
          <w:trHeight w:val="259"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216" w:lineRule="exact"/>
              <w:ind w:right="61"/>
              <w:jc w:val="right"/>
              <w:rPr>
                <w:rFonts w:ascii="黑体" w:hAnsi="黑体" w:cs="黑体" w:eastAsia="黑体" w:hint="default"/>
                <w:sz w:val="20"/>
                <w:szCs w:val="20"/>
              </w:rPr>
            </w:pPr>
            <w:r>
              <w:rPr>
                <w:rFonts w:ascii="黑体" w:hAnsi="黑体" w:cs="黑体" w:eastAsia="黑体" w:hint="default"/>
                <w:w w:val="95"/>
                <w:sz w:val="20"/>
                <w:szCs w:val="20"/>
              </w:rPr>
              <w:t>工会经费和职工教育经费</w:t>
            </w:r>
            <w:r>
              <w:rPr>
                <w:rFonts w:ascii="黑体" w:hAnsi="黑体" w:cs="黑体" w:eastAsia="黑体" w:hint="default"/>
                <w:sz w:val="20"/>
                <w:szCs w:val="20"/>
              </w:rPr>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1"/>
              <w:jc w:val="right"/>
              <w:rPr>
                <w:rFonts w:ascii="Arial" w:hAnsi="Arial" w:cs="Arial" w:eastAsia="Arial" w:hint="default"/>
                <w:sz w:val="20"/>
                <w:szCs w:val="20"/>
              </w:rPr>
            </w:pPr>
            <w:r>
              <w:rPr>
                <w:rFonts w:ascii="Arial"/>
                <w:spacing w:val="-1"/>
                <w:sz w:val="20"/>
              </w:rPr>
              <w:t>6,473,545</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5"/>
              <w:jc w:val="right"/>
              <w:rPr>
                <w:rFonts w:ascii="Arial" w:hAnsi="Arial" w:cs="Arial" w:eastAsia="Arial" w:hint="default"/>
                <w:sz w:val="20"/>
                <w:szCs w:val="20"/>
              </w:rPr>
            </w:pPr>
            <w:r>
              <w:rPr>
                <w:rFonts w:ascii="Arial"/>
                <w:spacing w:val="-1"/>
                <w:w w:val="95"/>
                <w:sz w:val="20"/>
              </w:rPr>
              <w:t>756,567</w:t>
            </w:r>
            <w:r>
              <w:rPr>
                <w:rFonts w:ascii="Arial"/>
                <w:sz w:val="20"/>
              </w:rPr>
            </w:r>
          </w:p>
        </w:tc>
        <w:tc>
          <w:tcPr>
            <w:tcW w:w="1494" w:type="dxa"/>
            <w:tcBorders>
              <w:top w:val="nil" w:sz="6" w:space="0" w:color="auto"/>
              <w:left w:val="nil" w:sz="6" w:space="0" w:color="auto"/>
              <w:bottom w:val="nil" w:sz="6" w:space="0" w:color="auto"/>
              <w:right w:val="nil" w:sz="6" w:space="0" w:color="auto"/>
            </w:tcBorders>
          </w:tcPr>
          <w:p>
            <w:pPr>
              <w:pStyle w:val="TableParagraph"/>
              <w:tabs>
                <w:tab w:pos="643" w:val="left" w:leader="none"/>
              </w:tabs>
              <w:spacing w:line="240" w:lineRule="auto" w:before="17"/>
              <w:ind w:right="11"/>
              <w:jc w:val="right"/>
              <w:rPr>
                <w:rFonts w:ascii="Arial" w:hAnsi="Arial" w:cs="Arial" w:eastAsia="Arial" w:hint="default"/>
                <w:sz w:val="20"/>
                <w:szCs w:val="20"/>
              </w:rPr>
            </w:pPr>
            <w:r>
              <w:rPr>
                <w:rFonts w:ascii="Arial"/>
                <w:w w:val="95"/>
                <w:sz w:val="20"/>
              </w:rPr>
              <w:t>(</w:t>
              <w:tab/>
            </w:r>
            <w:r>
              <w:rPr>
                <w:rFonts w:ascii="Arial"/>
                <w:spacing w:val="-1"/>
                <w:sz w:val="20"/>
              </w:rPr>
              <w:t>877,637</w:t>
            </w:r>
          </w:p>
        </w:tc>
        <w:tc>
          <w:tcPr>
            <w:tcW w:w="170" w:type="dxa"/>
            <w:tcBorders>
              <w:top w:val="nil" w:sz="6" w:space="0" w:color="auto"/>
              <w:left w:val="nil" w:sz="6" w:space="0" w:color="auto"/>
              <w:bottom w:val="nil" w:sz="6" w:space="0" w:color="auto"/>
              <w:right w:val="nil" w:sz="6" w:space="0" w:color="auto"/>
            </w:tcBorders>
          </w:tcPr>
          <w:p>
            <w:pPr>
              <w:pStyle w:val="TableParagraph"/>
              <w:spacing w:line="228" w:lineRule="exact"/>
              <w:ind w:left="13" w:right="0"/>
              <w:jc w:val="left"/>
              <w:rPr>
                <w:rFonts w:ascii="Arial" w:hAnsi="Arial" w:cs="Arial" w:eastAsia="Arial" w:hint="default"/>
                <w:sz w:val="20"/>
                <w:szCs w:val="20"/>
              </w:rPr>
            </w:pPr>
            <w:r>
              <w:rPr>
                <w:rFonts w:ascii="Arial"/>
                <w:w w:val="99"/>
                <w:sz w:val="20"/>
              </w:rPr>
              <w:t>)</w:t>
            </w:r>
            <w:r>
              <w:rPr>
                <w:rFonts w:ascii="Arial"/>
                <w:sz w:val="20"/>
              </w:rPr>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98"/>
              <w:jc w:val="right"/>
              <w:rPr>
                <w:rFonts w:ascii="Arial" w:hAnsi="Arial" w:cs="Arial" w:eastAsia="Arial" w:hint="default"/>
                <w:sz w:val="20"/>
                <w:szCs w:val="20"/>
              </w:rPr>
            </w:pPr>
            <w:r>
              <w:rPr>
                <w:rFonts w:ascii="Arial"/>
                <w:spacing w:val="-1"/>
                <w:sz w:val="20"/>
              </w:rPr>
              <w:t>6,352,475</w:t>
            </w:r>
          </w:p>
        </w:tc>
      </w:tr>
      <w:tr>
        <w:trPr>
          <w:trHeight w:val="389" w:hRule="exact"/>
        </w:trPr>
        <w:tc>
          <w:tcPr>
            <w:tcW w:w="2570" w:type="dxa"/>
            <w:tcBorders>
              <w:top w:val="nil" w:sz="6" w:space="0" w:color="auto"/>
              <w:left w:val="nil" w:sz="6" w:space="0" w:color="auto"/>
              <w:bottom w:val="nil" w:sz="6" w:space="0" w:color="auto"/>
              <w:right w:val="nil" w:sz="6" w:space="0" w:color="auto"/>
            </w:tcBorders>
          </w:tcPr>
          <w:p>
            <w:pPr>
              <w:pStyle w:val="TableParagraph"/>
              <w:spacing w:line="216" w:lineRule="exact"/>
              <w:ind w:left="308"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304" w:type="dxa"/>
            <w:tcBorders>
              <w:top w:val="nil" w:sz="6" w:space="0" w:color="auto"/>
              <w:left w:val="nil" w:sz="6" w:space="0" w:color="auto"/>
              <w:bottom w:val="nil" w:sz="6" w:space="0" w:color="auto"/>
              <w:right w:val="nil" w:sz="6" w:space="0" w:color="auto"/>
            </w:tcBorders>
          </w:tcPr>
          <w:p>
            <w:pPr>
              <w:pStyle w:val="TableParagraph"/>
              <w:tabs>
                <w:tab w:pos="403" w:val="left" w:leader="none"/>
              </w:tabs>
              <w:spacing w:line="240" w:lineRule="auto" w:before="17"/>
              <w:ind w:right="130"/>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262,906</w:t>
            </w:r>
            <w:r>
              <w:rPr>
                <w:rFonts w:ascii="Arial"/>
                <w:spacing w:val="-1"/>
                <w:w w:val="95"/>
                <w:sz w:val="20"/>
              </w:rPr>
            </w:r>
            <w:r>
              <w:rPr>
                <w:rFonts w:ascii="Arial"/>
                <w:sz w:val="20"/>
              </w:rPr>
            </w:r>
          </w:p>
        </w:tc>
        <w:tc>
          <w:tcPr>
            <w:tcW w:w="1526" w:type="dxa"/>
            <w:tcBorders>
              <w:top w:val="nil" w:sz="6" w:space="0" w:color="auto"/>
              <w:left w:val="nil" w:sz="6" w:space="0" w:color="auto"/>
              <w:bottom w:val="nil" w:sz="6" w:space="0" w:color="auto"/>
              <w:right w:val="nil" w:sz="6" w:space="0" w:color="auto"/>
            </w:tcBorders>
          </w:tcPr>
          <w:p>
            <w:pPr>
              <w:pStyle w:val="TableParagraph"/>
              <w:tabs>
                <w:tab w:pos="376" w:val="left" w:leader="none"/>
              </w:tabs>
              <w:spacing w:line="240" w:lineRule="auto" w:before="17"/>
              <w:ind w:right="115"/>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1,645,124</w:t>
            </w:r>
            <w:r>
              <w:rPr>
                <w:rFonts w:ascii="Arial"/>
                <w:spacing w:val="-1"/>
                <w:w w:val="95"/>
                <w:sz w:val="20"/>
              </w:rPr>
            </w:r>
            <w:r>
              <w:rPr>
                <w:rFonts w:ascii="Arial"/>
                <w:sz w:val="20"/>
              </w:rPr>
            </w:r>
          </w:p>
        </w:tc>
        <w:tc>
          <w:tcPr>
            <w:tcW w:w="1494" w:type="dxa"/>
            <w:tcBorders>
              <w:top w:val="nil" w:sz="6" w:space="0" w:color="auto"/>
              <w:left w:val="nil" w:sz="6" w:space="0" w:color="auto"/>
              <w:bottom w:val="nil" w:sz="6" w:space="0" w:color="auto"/>
              <w:right w:val="nil" w:sz="6" w:space="0" w:color="auto"/>
            </w:tcBorders>
          </w:tcPr>
          <w:p>
            <w:pPr>
              <w:pStyle w:val="TableParagraph"/>
              <w:tabs>
                <w:tab w:pos="467" w:val="left" w:leader="none"/>
              </w:tabs>
              <w:spacing w:line="240" w:lineRule="auto" w:before="17"/>
              <w:ind w:right="11"/>
              <w:jc w:val="right"/>
              <w:rPr>
                <w:rFonts w:ascii="Arial" w:hAnsi="Arial" w:cs="Arial" w:eastAsia="Arial" w:hint="default"/>
                <w:sz w:val="20"/>
                <w:szCs w:val="20"/>
              </w:rPr>
            </w:pPr>
            <w:r>
              <w:rPr>
                <w:rFonts w:ascii="Arial"/>
                <w:w w:val="95"/>
                <w:sz w:val="20"/>
              </w:rPr>
              <w:t>(</w:t>
            </w:r>
            <w:r>
              <w:rPr>
                <w:rFonts w:ascii="Arial"/>
                <w:w w:val="95"/>
                <w:sz w:val="20"/>
                <w:u w:val="single" w:color="000000"/>
              </w:rPr>
              <w:t> </w:t>
              <w:tab/>
            </w:r>
            <w:r>
              <w:rPr>
                <w:rFonts w:ascii="Arial"/>
                <w:spacing w:val="-1"/>
                <w:w w:val="95"/>
                <w:sz w:val="20"/>
                <w:u w:val="single" w:color="000000"/>
              </w:rPr>
              <w:t>1,791,427</w:t>
            </w:r>
            <w:r>
              <w:rPr>
                <w:rFonts w:ascii="Arial"/>
                <w:spacing w:val="-1"/>
                <w:w w:val="95"/>
                <w:sz w:val="20"/>
              </w:rPr>
            </w:r>
            <w:r>
              <w:rPr>
                <w:rFonts w:ascii="Arial"/>
                <w:sz w:val="20"/>
              </w:rPr>
            </w:r>
          </w:p>
        </w:tc>
        <w:tc>
          <w:tcPr>
            <w:tcW w:w="170" w:type="dxa"/>
            <w:tcBorders>
              <w:top w:val="nil" w:sz="6" w:space="0" w:color="auto"/>
              <w:left w:val="nil" w:sz="6" w:space="0" w:color="auto"/>
              <w:bottom w:val="nil" w:sz="6" w:space="0" w:color="auto"/>
              <w:right w:val="nil" w:sz="6" w:space="0" w:color="auto"/>
            </w:tcBorders>
          </w:tcPr>
          <w:p>
            <w:pPr>
              <w:pStyle w:val="TableParagraph"/>
              <w:spacing w:line="228" w:lineRule="exact"/>
              <w:ind w:left="13" w:right="0"/>
              <w:jc w:val="left"/>
              <w:rPr>
                <w:rFonts w:ascii="Arial" w:hAnsi="Arial" w:cs="Arial" w:eastAsia="Arial" w:hint="default"/>
                <w:sz w:val="20"/>
                <w:szCs w:val="20"/>
              </w:rPr>
            </w:pPr>
            <w:r>
              <w:rPr>
                <w:rFonts w:ascii="Arial"/>
                <w:w w:val="99"/>
                <w:sz w:val="20"/>
              </w:rPr>
              <w:t>)</w:t>
            </w:r>
            <w:r>
              <w:rPr>
                <w:rFonts w:ascii="Arial"/>
                <w:sz w:val="20"/>
              </w:rPr>
            </w:r>
          </w:p>
        </w:tc>
        <w:tc>
          <w:tcPr>
            <w:tcW w:w="1399" w:type="dxa"/>
            <w:tcBorders>
              <w:top w:val="nil" w:sz="6" w:space="0" w:color="auto"/>
              <w:left w:val="nil" w:sz="6" w:space="0" w:color="auto"/>
              <w:bottom w:val="nil" w:sz="6" w:space="0" w:color="auto"/>
              <w:right w:val="nil" w:sz="6" w:space="0" w:color="auto"/>
            </w:tcBorders>
          </w:tcPr>
          <w:p>
            <w:pPr>
              <w:pStyle w:val="TableParagraph"/>
              <w:tabs>
                <w:tab w:pos="403" w:val="left" w:leader="none"/>
              </w:tabs>
              <w:spacing w:line="240" w:lineRule="auto" w:before="17"/>
              <w:ind w:right="19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116,603</w:t>
            </w:r>
            <w:r>
              <w:rPr>
                <w:rFonts w:ascii="Arial"/>
                <w:spacing w:val="-1"/>
                <w:w w:val="95"/>
                <w:sz w:val="20"/>
              </w:rPr>
            </w:r>
            <w:r>
              <w:rPr>
                <w:rFonts w:ascii="Arial"/>
                <w:sz w:val="20"/>
              </w:rPr>
            </w:r>
          </w:p>
        </w:tc>
      </w:tr>
      <w:tr>
        <w:trPr>
          <w:trHeight w:val="365" w:hRule="exact"/>
        </w:trPr>
        <w:tc>
          <w:tcPr>
            <w:tcW w:w="2570"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30"/>
              <w:jc w:val="right"/>
              <w:rPr>
                <w:rFonts w:ascii="Arial" w:hAnsi="Arial" w:cs="Arial" w:eastAsia="Arial" w:hint="default"/>
                <w:sz w:val="20"/>
                <w:szCs w:val="20"/>
              </w:rPr>
            </w:pPr>
            <w:r>
              <w:rPr>
                <w:rFonts w:ascii="Arial"/>
                <w:w w:val="99"/>
                <w:sz w:val="20"/>
              </w:rPr>
            </w:r>
            <w:r>
              <w:rPr>
                <w:rFonts w:ascii="Arial"/>
                <w:spacing w:val="-1"/>
                <w:sz w:val="20"/>
                <w:u w:val="thick" w:color="000000"/>
              </w:rPr>
              <w:t>378,592,901</w:t>
            </w:r>
            <w:r>
              <w:rPr>
                <w:rFonts w:ascii="Arial"/>
                <w:spacing w:val="-1"/>
                <w:sz w:val="20"/>
              </w:rPr>
            </w:r>
            <w:r>
              <w:rPr>
                <w:rFonts w:ascii="Arial"/>
                <w:sz w:val="20"/>
              </w:rPr>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16"/>
              <w:jc w:val="right"/>
              <w:rPr>
                <w:rFonts w:ascii="Arial" w:hAnsi="Arial" w:cs="Arial" w:eastAsia="Arial" w:hint="default"/>
                <w:sz w:val="20"/>
                <w:szCs w:val="20"/>
              </w:rPr>
            </w:pPr>
            <w:r>
              <w:rPr>
                <w:rFonts w:ascii="Arial"/>
                <w:w w:val="99"/>
                <w:sz w:val="20"/>
              </w:rPr>
            </w:r>
            <w:r>
              <w:rPr>
                <w:rFonts w:ascii="Arial"/>
                <w:spacing w:val="-1"/>
                <w:sz w:val="20"/>
                <w:u w:val="thick" w:color="000000"/>
              </w:rPr>
              <w:t>1,878,265,476</w:t>
            </w:r>
            <w:r>
              <w:rPr>
                <w:rFonts w:ascii="Arial"/>
                <w:spacing w:val="-1"/>
                <w:sz w:val="20"/>
              </w:rPr>
            </w:r>
            <w:r>
              <w:rPr>
                <w:rFonts w:ascii="Arial"/>
                <w:sz w:val="20"/>
              </w:rPr>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1"/>
              <w:jc w:val="right"/>
              <w:rPr>
                <w:rFonts w:ascii="Arial" w:hAnsi="Arial" w:cs="Arial" w:eastAsia="Arial" w:hint="default"/>
                <w:sz w:val="20"/>
                <w:szCs w:val="20"/>
              </w:rPr>
            </w:pPr>
            <w:r>
              <w:rPr>
                <w:rFonts w:ascii="Arial"/>
                <w:spacing w:val="-1"/>
                <w:sz w:val="20"/>
              </w:rPr>
              <w:t>(</w:t>
            </w:r>
            <w:r>
              <w:rPr>
                <w:rFonts w:ascii="Arial"/>
                <w:spacing w:val="-1"/>
                <w:sz w:val="20"/>
                <w:u w:val="thick" w:color="000000"/>
              </w:rPr>
              <w:t>1,755,666,446</w:t>
            </w:r>
            <w:r>
              <w:rPr>
                <w:rFonts w:ascii="Arial"/>
                <w:spacing w:val="-1"/>
                <w:sz w:val="20"/>
              </w:rPr>
            </w:r>
          </w:p>
        </w:tc>
        <w:tc>
          <w:tcPr>
            <w:tcW w:w="170"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13" w:right="0"/>
              <w:jc w:val="left"/>
              <w:rPr>
                <w:rFonts w:ascii="Arial" w:hAnsi="Arial" w:cs="Arial" w:eastAsia="Arial" w:hint="default"/>
                <w:sz w:val="20"/>
                <w:szCs w:val="20"/>
              </w:rPr>
            </w:pPr>
            <w:r>
              <w:rPr>
                <w:rFonts w:ascii="Arial"/>
                <w:w w:val="99"/>
                <w:sz w:val="20"/>
              </w:rPr>
              <w:t>)</w:t>
            </w:r>
            <w:r>
              <w:rPr>
                <w:rFonts w:ascii="Arial"/>
                <w:sz w:val="20"/>
              </w:rPr>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501,191,931</w:t>
            </w:r>
            <w:r>
              <w:rPr>
                <w:rFonts w:ascii="Arial"/>
                <w:spacing w:val="-1"/>
                <w:sz w:val="20"/>
              </w:rPr>
            </w:r>
            <w:r>
              <w:rPr>
                <w:rFonts w:ascii="Arial"/>
                <w:sz w:val="20"/>
              </w:rPr>
            </w:r>
          </w:p>
        </w:tc>
      </w:tr>
    </w:tbl>
    <w:p>
      <w:pPr>
        <w:spacing w:line="240" w:lineRule="auto" w:before="4"/>
        <w:rPr>
          <w:rFonts w:ascii="黑体" w:hAnsi="黑体" w:cs="黑体" w:eastAsia="黑体" w:hint="default"/>
          <w:b/>
          <w:bCs/>
          <w:sz w:val="12"/>
          <w:szCs w:val="12"/>
        </w:rPr>
      </w:pPr>
    </w:p>
    <w:p>
      <w:pPr>
        <w:pStyle w:val="BodyText"/>
        <w:spacing w:line="240" w:lineRule="auto" w:before="37"/>
        <w:ind w:left="821" w:right="0"/>
        <w:jc w:val="left"/>
      </w:pP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日，本集团无属于拖欠性质的应付职工薪酬。</w:t>
      </w:r>
    </w:p>
    <w:p>
      <w:pPr>
        <w:spacing w:line="240" w:lineRule="auto" w:before="7"/>
        <w:rPr>
          <w:rFonts w:ascii="黑体" w:hAnsi="黑体" w:cs="黑体" w:eastAsia="黑体" w:hint="default"/>
          <w:sz w:val="18"/>
          <w:szCs w:val="18"/>
        </w:rPr>
      </w:pPr>
    </w:p>
    <w:p>
      <w:pPr>
        <w:pStyle w:val="BodyText"/>
        <w:spacing w:line="240" w:lineRule="auto"/>
        <w:ind w:left="821" w:right="0"/>
        <w:jc w:val="left"/>
      </w:pPr>
      <w:r>
        <w:rPr>
          <w:rFonts w:ascii="Arial" w:hAnsi="Arial" w:cs="Arial" w:eastAsia="Arial" w:hint="default"/>
        </w:rPr>
        <w:t>2012</w:t>
      </w:r>
      <w:r>
        <w:rPr/>
        <w:t>年工会经费和职工教育经费金额为人民币</w:t>
      </w:r>
      <w:r>
        <w:rPr>
          <w:rFonts w:ascii="Arial" w:hAnsi="Arial" w:cs="Arial" w:eastAsia="Arial" w:hint="default"/>
        </w:rPr>
        <w:t>1,179,774</w:t>
      </w:r>
      <w:r>
        <w:rPr/>
        <w:t>元</w:t>
      </w:r>
      <w:r>
        <w:rPr>
          <w:rFonts w:ascii="Arial" w:hAnsi="Arial" w:cs="Arial" w:eastAsia="Arial" w:hint="default"/>
        </w:rPr>
        <w:t>(2011</w:t>
      </w:r>
      <w:r>
        <w:rPr/>
        <w:t>年：人民币</w:t>
      </w:r>
      <w:r>
        <w:rPr>
          <w:rFonts w:ascii="Arial" w:hAnsi="Arial" w:cs="Arial" w:eastAsia="Arial" w:hint="default"/>
        </w:rPr>
        <w:t>756,567</w:t>
      </w:r>
      <w:r>
        <w:rPr/>
        <w:t>元</w:t>
      </w:r>
      <w:r>
        <w:rPr>
          <w:rFonts w:ascii="Arial" w:hAnsi="Arial" w:cs="Arial" w:eastAsia="Arial" w:hint="default"/>
        </w:rPr>
        <w:t>)</w:t>
      </w:r>
      <w:r>
        <w:rPr/>
        <w:t>。</w:t>
      </w:r>
    </w:p>
    <w:p>
      <w:pPr>
        <w:spacing w:after="0" w:line="240" w:lineRule="auto"/>
        <w:jc w:val="left"/>
        <w:sectPr>
          <w:pgSz w:w="11910" w:h="16850"/>
          <w:pgMar w:header="957" w:footer="830" w:top="2520" w:bottom="1020" w:left="1600" w:right="1120"/>
        </w:sectPr>
      </w:pPr>
    </w:p>
    <w:p>
      <w:pPr>
        <w:spacing w:line="240" w:lineRule="auto" w:before="2"/>
        <w:rPr>
          <w:rFonts w:ascii="黑体" w:hAnsi="黑体" w:cs="黑体" w:eastAsia="黑体" w:hint="default"/>
          <w:sz w:val="20"/>
          <w:szCs w:val="20"/>
        </w:rPr>
      </w:pPr>
    </w:p>
    <w:p>
      <w:pPr>
        <w:pStyle w:val="Heading6"/>
        <w:tabs>
          <w:tab w:pos="804" w:val="left" w:leader="none"/>
        </w:tabs>
        <w:spacing w:line="240" w:lineRule="auto"/>
        <w:ind w:right="223"/>
        <w:jc w:val="left"/>
        <w:rPr>
          <w:b w:val="0"/>
          <w:bCs w:val="0"/>
        </w:rPr>
      </w:pPr>
      <w:r>
        <w:rPr>
          <w:w w:val="95"/>
        </w:rPr>
        <w:t>五、</w:t>
        <w:tab/>
      </w:r>
      <w:bookmarkStart w:name="五、   合并财务报表主要项目注释（续）" w:id="117"/>
      <w:bookmarkEnd w:id="117"/>
      <w:r>
        <w:rPr/>
        <w:t>合并</w:t>
      </w:r>
      <w:r>
        <w:rPr/>
        <w:t>财务报表主要项目注释（续）</w:t>
      </w:r>
      <w:r>
        <w:rPr>
          <w:b w:val="0"/>
          <w:bCs w:val="0"/>
        </w:rPr>
      </w:r>
    </w:p>
    <w:p>
      <w:pPr>
        <w:spacing w:line="240" w:lineRule="auto" w:before="10"/>
        <w:rPr>
          <w:rFonts w:ascii="黑体" w:hAnsi="黑体" w:cs="黑体" w:eastAsia="黑体" w:hint="default"/>
          <w:b/>
          <w:bCs/>
          <w:sz w:val="17"/>
          <w:szCs w:val="17"/>
        </w:rPr>
      </w:pPr>
    </w:p>
    <w:p>
      <w:pPr>
        <w:pStyle w:val="Heading6"/>
        <w:tabs>
          <w:tab w:pos="823" w:val="left" w:leader="none"/>
        </w:tabs>
        <w:spacing w:line="240" w:lineRule="auto" w:before="0"/>
        <w:ind w:right="223"/>
        <w:jc w:val="left"/>
        <w:rPr>
          <w:b w:val="0"/>
          <w:bCs w:val="0"/>
        </w:rPr>
      </w:pPr>
      <w:r>
        <w:rPr>
          <w:rFonts w:ascii="Arial" w:hAnsi="Arial" w:cs="Arial" w:eastAsia="Arial" w:hint="default"/>
          <w:spacing w:val="-1"/>
          <w:w w:val="95"/>
        </w:rPr>
        <w:t>23.</w:t>
        <w:tab/>
      </w:r>
      <w:r>
        <w:rPr>
          <w:spacing w:val="1"/>
        </w:rPr>
        <w:t>应交税费</w:t>
      </w:r>
      <w:r>
        <w:rPr>
          <w:b w:val="0"/>
          <w:bCs w:val="0"/>
        </w:rPr>
      </w:r>
    </w:p>
    <w:p>
      <w:pPr>
        <w:spacing w:line="240" w:lineRule="auto" w:before="1"/>
        <w:rPr>
          <w:rFonts w:ascii="黑体" w:hAnsi="黑体" w:cs="黑体" w:eastAsia="黑体" w:hint="default"/>
          <w:b/>
          <w:bCs/>
          <w:sz w:val="21"/>
          <w:szCs w:val="21"/>
        </w:rPr>
      </w:pPr>
    </w:p>
    <w:tbl>
      <w:tblPr>
        <w:tblW w:w="0" w:type="auto"/>
        <w:jc w:val="left"/>
        <w:tblInd w:w="609" w:type="dxa"/>
        <w:tblLayout w:type="fixed"/>
        <w:tblCellMar>
          <w:top w:w="0" w:type="dxa"/>
          <w:left w:w="0" w:type="dxa"/>
          <w:bottom w:w="0" w:type="dxa"/>
          <w:right w:w="0" w:type="dxa"/>
        </w:tblCellMar>
        <w:tblLook w:val="01E0"/>
      </w:tblPr>
      <w:tblGrid>
        <w:gridCol w:w="3696"/>
        <w:gridCol w:w="2584"/>
        <w:gridCol w:w="1887"/>
      </w:tblGrid>
      <w:tr>
        <w:trPr>
          <w:trHeight w:val="622" w:hRule="exact"/>
        </w:trPr>
        <w:tc>
          <w:tcPr>
            <w:tcW w:w="3696" w:type="dxa"/>
            <w:tcBorders>
              <w:top w:val="nil" w:sz="6" w:space="0" w:color="auto"/>
              <w:left w:val="nil" w:sz="6" w:space="0" w:color="auto"/>
              <w:bottom w:val="nil" w:sz="6" w:space="0" w:color="auto"/>
              <w:right w:val="nil" w:sz="6" w:space="0" w:color="auto"/>
            </w:tcBorders>
          </w:tcPr>
          <w:p>
            <w:pPr/>
          </w:p>
        </w:tc>
        <w:tc>
          <w:tcPr>
            <w:tcW w:w="2584" w:type="dxa"/>
            <w:tcBorders>
              <w:top w:val="nil" w:sz="6" w:space="0" w:color="auto"/>
              <w:left w:val="nil" w:sz="6" w:space="0" w:color="auto"/>
              <w:bottom w:val="nil" w:sz="6" w:space="0" w:color="auto"/>
              <w:right w:val="nil" w:sz="6" w:space="0" w:color="auto"/>
            </w:tcBorders>
          </w:tcPr>
          <w:p>
            <w:pPr>
              <w:pStyle w:val="TableParagraph"/>
              <w:spacing w:line="205" w:lineRule="exact"/>
              <w:ind w:left="778" w:right="0"/>
              <w:jc w:val="center"/>
              <w:rPr>
                <w:rFonts w:ascii="黑体" w:hAnsi="黑体" w:cs="黑体" w:eastAsia="黑体" w:hint="default"/>
                <w:sz w:val="20"/>
                <w:szCs w:val="20"/>
              </w:rPr>
            </w:pPr>
            <w:bookmarkStart w:name="23.    应交税费" w:id="118"/>
            <w:bookmarkEnd w:id="118"/>
            <w:r>
              <w:rPr/>
            </w:r>
            <w:r>
              <w:rPr>
                <w:rFonts w:ascii="Arial" w:hAnsi="Arial" w:cs="Arial" w:eastAsia="Arial" w:hint="default"/>
                <w:sz w:val="20"/>
                <w:szCs w:val="20"/>
              </w:rPr>
              <w:t>2012</w:t>
            </w:r>
            <w:r>
              <w:rPr>
                <w:rFonts w:ascii="黑体" w:hAnsi="黑体" w:cs="黑体" w:eastAsia="黑体" w:hint="default"/>
                <w:sz w:val="20"/>
                <w:szCs w:val="20"/>
              </w:rPr>
              <w:t>年</w:t>
            </w:r>
          </w:p>
          <w:p>
            <w:pPr>
              <w:pStyle w:val="TableParagraph"/>
              <w:spacing w:line="268" w:lineRule="exact"/>
              <w:ind w:left="579" w:right="0"/>
              <w:jc w:val="center"/>
              <w:rPr>
                <w:rFonts w:ascii="黑体" w:hAnsi="黑体" w:cs="黑体" w:eastAsia="黑体" w:hint="default"/>
                <w:sz w:val="20"/>
                <w:szCs w:val="20"/>
              </w:rPr>
            </w:pP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w:t>
            </w:r>
          </w:p>
        </w:tc>
        <w:tc>
          <w:tcPr>
            <w:tcW w:w="1887" w:type="dxa"/>
            <w:tcBorders>
              <w:top w:val="nil" w:sz="6" w:space="0" w:color="auto"/>
              <w:left w:val="nil" w:sz="6" w:space="0" w:color="auto"/>
              <w:bottom w:val="nil" w:sz="6" w:space="0" w:color="auto"/>
              <w:right w:val="nil" w:sz="6" w:space="0" w:color="auto"/>
            </w:tcBorders>
          </w:tcPr>
          <w:p>
            <w:pPr>
              <w:pStyle w:val="TableParagraph"/>
              <w:spacing w:line="205" w:lineRule="exact"/>
              <w:ind w:left="843" w:right="0"/>
              <w:jc w:val="center"/>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p>
          <w:p>
            <w:pPr>
              <w:pStyle w:val="TableParagraph"/>
              <w:spacing w:line="268" w:lineRule="exact"/>
              <w:ind w:left="644" w:right="0"/>
              <w:jc w:val="center"/>
              <w:rPr>
                <w:rFonts w:ascii="黑体" w:hAnsi="黑体" w:cs="黑体" w:eastAsia="黑体" w:hint="default"/>
                <w:sz w:val="20"/>
                <w:szCs w:val="20"/>
              </w:rPr>
            </w:pP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w:t>
            </w:r>
          </w:p>
        </w:tc>
      </w:tr>
      <w:tr>
        <w:trPr>
          <w:trHeight w:val="386" w:hRule="exact"/>
        </w:trPr>
        <w:tc>
          <w:tcPr>
            <w:tcW w:w="369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00" w:right="0"/>
              <w:jc w:val="left"/>
              <w:rPr>
                <w:rFonts w:ascii="黑体" w:hAnsi="黑体" w:cs="黑体" w:eastAsia="黑体" w:hint="default"/>
                <w:sz w:val="20"/>
                <w:szCs w:val="20"/>
              </w:rPr>
            </w:pPr>
            <w:r>
              <w:rPr>
                <w:rFonts w:ascii="黑体" w:hAnsi="黑体" w:cs="黑体" w:eastAsia="黑体" w:hint="default"/>
                <w:sz w:val="20"/>
                <w:szCs w:val="20"/>
              </w:rPr>
              <w:t>增值税</w:t>
            </w:r>
          </w:p>
        </w:tc>
        <w:tc>
          <w:tcPr>
            <w:tcW w:w="258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576"/>
              <w:jc w:val="right"/>
              <w:rPr>
                <w:rFonts w:ascii="Arial" w:hAnsi="Arial" w:cs="Arial" w:eastAsia="Arial" w:hint="default"/>
                <w:sz w:val="20"/>
                <w:szCs w:val="20"/>
              </w:rPr>
            </w:pPr>
            <w:r>
              <w:rPr>
                <w:rFonts w:ascii="Arial"/>
                <w:spacing w:val="-1"/>
                <w:sz w:val="20"/>
              </w:rPr>
              <w:t>157,333,553</w:t>
            </w:r>
            <w:r>
              <w:rPr>
                <w:rFonts w:ascii="Arial"/>
                <w:sz w:val="20"/>
              </w:rPr>
            </w:r>
          </w:p>
        </w:tc>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98"/>
              <w:jc w:val="right"/>
              <w:rPr>
                <w:rFonts w:ascii="Arial" w:hAnsi="Arial" w:cs="Arial" w:eastAsia="Arial" w:hint="default"/>
                <w:sz w:val="20"/>
                <w:szCs w:val="20"/>
              </w:rPr>
            </w:pPr>
            <w:r>
              <w:rPr>
                <w:rFonts w:ascii="Arial"/>
                <w:spacing w:val="-1"/>
                <w:sz w:val="20"/>
              </w:rPr>
              <w:t>178,914,003</w:t>
            </w:r>
            <w:r>
              <w:rPr>
                <w:rFonts w:ascii="Arial"/>
                <w:sz w:val="20"/>
              </w:rPr>
            </w:r>
          </w:p>
        </w:tc>
      </w:tr>
      <w:tr>
        <w:trPr>
          <w:trHeight w:val="259" w:hRule="exact"/>
        </w:trPr>
        <w:tc>
          <w:tcPr>
            <w:tcW w:w="3696"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营业税</w:t>
            </w:r>
          </w:p>
        </w:tc>
        <w:tc>
          <w:tcPr>
            <w:tcW w:w="258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76"/>
              <w:jc w:val="right"/>
              <w:rPr>
                <w:rFonts w:ascii="Arial" w:hAnsi="Arial" w:cs="Arial" w:eastAsia="Arial" w:hint="default"/>
                <w:sz w:val="20"/>
                <w:szCs w:val="20"/>
              </w:rPr>
            </w:pPr>
            <w:r>
              <w:rPr>
                <w:rFonts w:ascii="Arial"/>
                <w:spacing w:val="-1"/>
                <w:sz w:val="20"/>
              </w:rPr>
              <w:t>14,709,215</w:t>
            </w:r>
            <w:r>
              <w:rPr>
                <w:rFonts w:ascii="Arial"/>
                <w:sz w:val="20"/>
              </w:rPr>
            </w:r>
          </w:p>
        </w:tc>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spacing w:val="-1"/>
                <w:sz w:val="20"/>
              </w:rPr>
              <w:t>40,318,916</w:t>
            </w:r>
            <w:r>
              <w:rPr>
                <w:rFonts w:ascii="Arial"/>
                <w:sz w:val="20"/>
              </w:rPr>
            </w:r>
          </w:p>
        </w:tc>
      </w:tr>
      <w:tr>
        <w:trPr>
          <w:trHeight w:val="259" w:hRule="exact"/>
        </w:trPr>
        <w:tc>
          <w:tcPr>
            <w:tcW w:w="3696"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企业所得税</w:t>
            </w:r>
          </w:p>
        </w:tc>
        <w:tc>
          <w:tcPr>
            <w:tcW w:w="258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76"/>
              <w:jc w:val="right"/>
              <w:rPr>
                <w:rFonts w:ascii="Arial" w:hAnsi="Arial" w:cs="Arial" w:eastAsia="Arial" w:hint="default"/>
                <w:sz w:val="20"/>
                <w:szCs w:val="20"/>
              </w:rPr>
            </w:pPr>
            <w:r>
              <w:rPr>
                <w:rFonts w:ascii="Arial"/>
                <w:spacing w:val="-1"/>
                <w:sz w:val="20"/>
              </w:rPr>
              <w:t>48,082,946</w:t>
            </w:r>
            <w:r>
              <w:rPr>
                <w:rFonts w:ascii="Arial"/>
                <w:sz w:val="20"/>
              </w:rPr>
            </w:r>
          </w:p>
        </w:tc>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spacing w:val="-1"/>
                <w:sz w:val="20"/>
              </w:rPr>
              <w:t>99,743,519</w:t>
            </w:r>
            <w:r>
              <w:rPr>
                <w:rFonts w:ascii="Arial"/>
                <w:sz w:val="20"/>
              </w:rPr>
            </w:r>
          </w:p>
        </w:tc>
      </w:tr>
      <w:tr>
        <w:trPr>
          <w:trHeight w:val="259" w:hRule="exact"/>
        </w:trPr>
        <w:tc>
          <w:tcPr>
            <w:tcW w:w="3696"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个人所得税</w:t>
            </w:r>
          </w:p>
        </w:tc>
        <w:tc>
          <w:tcPr>
            <w:tcW w:w="258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76"/>
              <w:jc w:val="right"/>
              <w:rPr>
                <w:rFonts w:ascii="Arial" w:hAnsi="Arial" w:cs="Arial" w:eastAsia="Arial" w:hint="default"/>
                <w:sz w:val="20"/>
                <w:szCs w:val="20"/>
              </w:rPr>
            </w:pPr>
            <w:r>
              <w:rPr>
                <w:rFonts w:ascii="Arial"/>
                <w:spacing w:val="-1"/>
                <w:sz w:val="20"/>
              </w:rPr>
              <w:t>7,571,679</w:t>
            </w:r>
          </w:p>
        </w:tc>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spacing w:val="-1"/>
                <w:sz w:val="20"/>
              </w:rPr>
              <w:t>5,781,387</w:t>
            </w:r>
          </w:p>
        </w:tc>
      </w:tr>
      <w:tr>
        <w:trPr>
          <w:trHeight w:val="259" w:hRule="exact"/>
        </w:trPr>
        <w:tc>
          <w:tcPr>
            <w:tcW w:w="3696"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城市维护建设税及教育费附加</w:t>
            </w:r>
          </w:p>
        </w:tc>
        <w:tc>
          <w:tcPr>
            <w:tcW w:w="258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76"/>
              <w:jc w:val="right"/>
              <w:rPr>
                <w:rFonts w:ascii="Arial" w:hAnsi="Arial" w:cs="Arial" w:eastAsia="Arial" w:hint="default"/>
                <w:sz w:val="20"/>
                <w:szCs w:val="20"/>
              </w:rPr>
            </w:pPr>
            <w:r>
              <w:rPr>
                <w:rFonts w:ascii="Arial"/>
                <w:spacing w:val="-1"/>
                <w:sz w:val="20"/>
              </w:rPr>
              <w:t>19,677,412</w:t>
            </w:r>
            <w:r>
              <w:rPr>
                <w:rFonts w:ascii="Arial"/>
                <w:sz w:val="20"/>
              </w:rPr>
            </w:r>
          </w:p>
        </w:tc>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spacing w:val="-1"/>
                <w:sz w:val="20"/>
              </w:rPr>
              <w:t>19,970,726</w:t>
            </w:r>
            <w:r>
              <w:rPr>
                <w:rFonts w:ascii="Arial"/>
                <w:sz w:val="20"/>
              </w:rPr>
            </w:r>
          </w:p>
        </w:tc>
      </w:tr>
      <w:tr>
        <w:trPr>
          <w:trHeight w:val="389" w:hRule="exact"/>
        </w:trPr>
        <w:tc>
          <w:tcPr>
            <w:tcW w:w="3696"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2584"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40" w:lineRule="auto" w:before="7"/>
              <w:ind w:right="579"/>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745,204</w:t>
            </w:r>
            <w:r>
              <w:rPr>
                <w:rFonts w:ascii="Arial"/>
                <w:spacing w:val="-1"/>
                <w:w w:val="95"/>
                <w:sz w:val="20"/>
              </w:rPr>
            </w:r>
            <w:r>
              <w:rPr>
                <w:rFonts w:ascii="Arial"/>
                <w:sz w:val="20"/>
              </w:rPr>
            </w:r>
          </w:p>
        </w:tc>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
                <w:sz w:val="20"/>
                <w:u w:val="single" w:color="000000"/>
              </w:rPr>
              <w:t> </w:t>
            </w:r>
            <w:r>
              <w:rPr>
                <w:rFonts w:ascii="Arial"/>
                <w:spacing w:val="-1"/>
                <w:w w:val="95"/>
                <w:sz w:val="20"/>
                <w:u w:val="single" w:color="000000"/>
              </w:rPr>
              <w:t>1,869,006</w:t>
            </w:r>
            <w:r>
              <w:rPr>
                <w:rFonts w:ascii="Arial"/>
                <w:spacing w:val="-1"/>
                <w:w w:val="95"/>
                <w:sz w:val="20"/>
              </w:rPr>
            </w:r>
            <w:r>
              <w:rPr>
                <w:rFonts w:ascii="Arial"/>
                <w:sz w:val="20"/>
              </w:rPr>
            </w:r>
          </w:p>
        </w:tc>
      </w:tr>
      <w:tr>
        <w:trPr>
          <w:trHeight w:val="355" w:hRule="exact"/>
        </w:trPr>
        <w:tc>
          <w:tcPr>
            <w:tcW w:w="3696" w:type="dxa"/>
            <w:tcBorders>
              <w:top w:val="nil" w:sz="6" w:space="0" w:color="auto"/>
              <w:left w:val="nil" w:sz="6" w:space="0" w:color="auto"/>
              <w:bottom w:val="nil" w:sz="6" w:space="0" w:color="auto"/>
              <w:right w:val="nil" w:sz="6" w:space="0" w:color="auto"/>
            </w:tcBorders>
          </w:tcPr>
          <w:p>
            <w:pPr/>
          </w:p>
        </w:tc>
        <w:tc>
          <w:tcPr>
            <w:tcW w:w="258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576"/>
              <w:jc w:val="right"/>
              <w:rPr>
                <w:rFonts w:ascii="Arial" w:hAnsi="Arial" w:cs="Arial" w:eastAsia="Arial" w:hint="default"/>
                <w:sz w:val="20"/>
                <w:szCs w:val="20"/>
              </w:rPr>
            </w:pPr>
            <w:r>
              <w:rPr>
                <w:rFonts w:ascii="Arial"/>
                <w:w w:val="99"/>
                <w:sz w:val="20"/>
              </w:rPr>
            </w:r>
            <w:r>
              <w:rPr>
                <w:rFonts w:ascii="Arial"/>
                <w:spacing w:val="-1"/>
                <w:sz w:val="20"/>
                <w:u w:val="thick" w:color="000000"/>
              </w:rPr>
              <w:t>248,120,009</w:t>
            </w:r>
            <w:r>
              <w:rPr>
                <w:rFonts w:ascii="Arial"/>
                <w:spacing w:val="-1"/>
                <w:sz w:val="20"/>
              </w:rPr>
            </w:r>
            <w:r>
              <w:rPr>
                <w:rFonts w:ascii="Arial"/>
                <w:sz w:val="20"/>
              </w:rPr>
            </w:r>
          </w:p>
        </w:tc>
        <w:tc>
          <w:tcPr>
            <w:tcW w:w="1887"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346,597,557</w:t>
            </w:r>
            <w:r>
              <w:rPr>
                <w:rFonts w:ascii="Arial"/>
                <w:spacing w:val="-1"/>
                <w:sz w:val="20"/>
              </w:rPr>
            </w:r>
            <w:r>
              <w:rPr>
                <w:rFonts w:ascii="Arial"/>
                <w:sz w:val="20"/>
              </w:rPr>
            </w:r>
          </w:p>
        </w:tc>
      </w:tr>
    </w:tbl>
    <w:p>
      <w:pPr>
        <w:spacing w:line="240" w:lineRule="auto" w:before="0"/>
        <w:rPr>
          <w:rFonts w:ascii="黑体" w:hAnsi="黑体" w:cs="黑体" w:eastAsia="黑体" w:hint="default"/>
          <w:b/>
          <w:bCs/>
          <w:sz w:val="20"/>
          <w:szCs w:val="20"/>
        </w:rPr>
      </w:pPr>
    </w:p>
    <w:p>
      <w:pPr>
        <w:pStyle w:val="Heading6"/>
        <w:tabs>
          <w:tab w:pos="826" w:val="left" w:leader="none"/>
        </w:tabs>
        <w:spacing w:line="240" w:lineRule="auto" w:before="175"/>
        <w:ind w:right="223"/>
        <w:jc w:val="left"/>
        <w:rPr>
          <w:b w:val="0"/>
          <w:bCs w:val="0"/>
        </w:rPr>
      </w:pPr>
      <w:r>
        <w:rPr>
          <w:rFonts w:ascii="Arial" w:hAnsi="Arial" w:cs="Arial" w:eastAsia="Arial" w:hint="default"/>
          <w:spacing w:val="-1"/>
          <w:w w:val="95"/>
        </w:rPr>
        <w:t>24</w:t>
      </w:r>
      <w:r>
        <w:rPr>
          <w:spacing w:val="-1"/>
          <w:w w:val="95"/>
        </w:rPr>
        <w:t>．</w:t>
        <w:tab/>
      </w:r>
      <w:r>
        <w:rPr>
          <w:spacing w:val="2"/>
        </w:rPr>
        <w:t>应付股利</w:t>
      </w:r>
      <w:r>
        <w:rPr>
          <w:b w:val="0"/>
          <w:bCs w:val="0"/>
        </w:rPr>
      </w:r>
    </w:p>
    <w:p>
      <w:pPr>
        <w:spacing w:line="240" w:lineRule="auto" w:before="13"/>
        <w:rPr>
          <w:rFonts w:ascii="黑体" w:hAnsi="黑体" w:cs="黑体" w:eastAsia="黑体" w:hint="default"/>
          <w:b/>
          <w:bCs/>
          <w:sz w:val="17"/>
          <w:szCs w:val="17"/>
        </w:rPr>
      </w:pPr>
    </w:p>
    <w:p>
      <w:pPr>
        <w:pStyle w:val="BodyText"/>
        <w:spacing w:line="261" w:lineRule="auto"/>
        <w:ind w:right="223"/>
        <w:jc w:val="left"/>
      </w:pP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日，本账户余额主要为用友政务尚未向少数股东支付的归属于</w:t>
      </w:r>
      <w:r>
        <w:rPr>
          <w:rFonts w:ascii="Arial" w:hAnsi="Arial" w:cs="Arial" w:eastAsia="Arial" w:hint="default"/>
        </w:rPr>
        <w:t>2008</w:t>
      </w:r>
      <w:r>
        <w:rPr/>
        <w:t>年度</w:t>
      </w:r>
      <w:r>
        <w:rPr>
          <w:spacing w:val="-61"/>
        </w:rPr>
        <w:t> </w:t>
      </w:r>
      <w:r>
        <w:rPr/>
        <w:t>的现金股利人民币</w:t>
      </w:r>
      <w:r>
        <w:rPr>
          <w:rFonts w:ascii="Arial" w:hAnsi="Arial" w:cs="Arial" w:eastAsia="Arial" w:hint="default"/>
        </w:rPr>
        <w:t>312,500</w:t>
      </w:r>
      <w:r>
        <w:rPr/>
        <w:t>元。</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日：人民币</w:t>
      </w:r>
      <w:r>
        <w:rPr>
          <w:rFonts w:ascii="Arial" w:hAnsi="Arial" w:cs="Arial" w:eastAsia="Arial" w:hint="default"/>
        </w:rPr>
        <w:t>312,500</w:t>
      </w:r>
      <w:r>
        <w:rPr/>
        <w:t>元</w:t>
      </w:r>
      <w:r>
        <w:rPr>
          <w:rFonts w:ascii="Arial" w:hAnsi="Arial" w:cs="Arial" w:eastAsia="Arial" w:hint="default"/>
        </w:rPr>
        <w:t>)</w:t>
      </w:r>
      <w:r>
        <w:rPr/>
        <w:t>。</w:t>
      </w:r>
    </w:p>
    <w:p>
      <w:pPr>
        <w:spacing w:line="240" w:lineRule="auto" w:before="4"/>
        <w:rPr>
          <w:rFonts w:ascii="黑体" w:hAnsi="黑体" w:cs="黑体" w:eastAsia="黑体" w:hint="default"/>
          <w:sz w:val="15"/>
          <w:szCs w:val="15"/>
        </w:rPr>
      </w:pPr>
    </w:p>
    <w:p>
      <w:pPr>
        <w:pStyle w:val="Heading6"/>
        <w:tabs>
          <w:tab w:pos="799" w:val="left" w:leader="none"/>
        </w:tabs>
        <w:spacing w:line="240" w:lineRule="auto" w:before="0"/>
        <w:ind w:right="223"/>
        <w:jc w:val="left"/>
        <w:rPr>
          <w:b w:val="0"/>
          <w:bCs w:val="0"/>
        </w:rPr>
      </w:pPr>
      <w:r>
        <w:rPr>
          <w:rFonts w:ascii="Arial" w:hAnsi="Arial" w:cs="Arial" w:eastAsia="Arial" w:hint="default"/>
          <w:spacing w:val="-1"/>
          <w:w w:val="95"/>
        </w:rPr>
        <w:t>25.</w:t>
        <w:tab/>
      </w:r>
      <w:r>
        <w:rPr>
          <w:spacing w:val="2"/>
        </w:rPr>
        <w:t>其他应付款</w:t>
      </w:r>
      <w:r>
        <w:rPr>
          <w:b w:val="0"/>
          <w:bCs w:val="0"/>
        </w:rPr>
      </w:r>
    </w:p>
    <w:p>
      <w:pPr>
        <w:spacing w:line="240" w:lineRule="auto" w:before="1"/>
        <w:rPr>
          <w:rFonts w:ascii="黑体" w:hAnsi="黑体" w:cs="黑体" w:eastAsia="黑体" w:hint="default"/>
          <w:b/>
          <w:bCs/>
          <w:sz w:val="19"/>
          <w:szCs w:val="19"/>
        </w:rPr>
      </w:pPr>
    </w:p>
    <w:tbl>
      <w:tblPr>
        <w:tblW w:w="0" w:type="auto"/>
        <w:jc w:val="left"/>
        <w:tblInd w:w="609" w:type="dxa"/>
        <w:tblLayout w:type="fixed"/>
        <w:tblCellMar>
          <w:top w:w="0" w:type="dxa"/>
          <w:left w:w="0" w:type="dxa"/>
          <w:bottom w:w="0" w:type="dxa"/>
          <w:right w:w="0" w:type="dxa"/>
        </w:tblCellMar>
        <w:tblLook w:val="01E0"/>
      </w:tblPr>
      <w:tblGrid>
        <w:gridCol w:w="3570"/>
        <w:gridCol w:w="2707"/>
        <w:gridCol w:w="1890"/>
      </w:tblGrid>
      <w:tr>
        <w:trPr>
          <w:trHeight w:val="590" w:hRule="exact"/>
        </w:trPr>
        <w:tc>
          <w:tcPr>
            <w:tcW w:w="3570" w:type="dxa"/>
            <w:tcBorders>
              <w:top w:val="nil" w:sz="6" w:space="0" w:color="auto"/>
              <w:left w:val="nil" w:sz="6" w:space="0" w:color="auto"/>
              <w:bottom w:val="nil" w:sz="6" w:space="0" w:color="auto"/>
              <w:right w:val="nil" w:sz="6" w:space="0" w:color="auto"/>
            </w:tcBorders>
          </w:tcPr>
          <w:p>
            <w:pPr/>
          </w:p>
        </w:tc>
        <w:tc>
          <w:tcPr>
            <w:tcW w:w="2707" w:type="dxa"/>
            <w:tcBorders>
              <w:top w:val="nil" w:sz="6" w:space="0" w:color="auto"/>
              <w:left w:val="nil" w:sz="6" w:space="0" w:color="auto"/>
              <w:bottom w:val="nil" w:sz="6" w:space="0" w:color="auto"/>
              <w:right w:val="nil" w:sz="6" w:space="0" w:color="auto"/>
            </w:tcBorders>
          </w:tcPr>
          <w:p>
            <w:pPr>
              <w:pStyle w:val="TableParagraph"/>
              <w:spacing w:line="199" w:lineRule="exact"/>
              <w:ind w:left="901" w:right="0"/>
              <w:jc w:val="center"/>
              <w:rPr>
                <w:rFonts w:ascii="黑体" w:hAnsi="黑体" w:cs="黑体" w:eastAsia="黑体" w:hint="default"/>
                <w:sz w:val="20"/>
                <w:szCs w:val="20"/>
              </w:rPr>
            </w:pPr>
            <w:r>
              <w:rPr>
                <w:rFonts w:ascii="Arial" w:hAnsi="Arial" w:cs="Arial" w:eastAsia="Arial" w:hint="default"/>
                <w:sz w:val="20"/>
                <w:szCs w:val="20"/>
              </w:rPr>
              <w:t>2012</w:t>
            </w:r>
            <w:r>
              <w:rPr>
                <w:rFonts w:ascii="黑体" w:hAnsi="黑体" w:cs="黑体" w:eastAsia="黑体" w:hint="default"/>
                <w:sz w:val="20"/>
                <w:szCs w:val="20"/>
              </w:rPr>
              <w:t>年</w:t>
            </w:r>
          </w:p>
          <w:p>
            <w:pPr>
              <w:pStyle w:val="TableParagraph"/>
              <w:spacing w:line="262" w:lineRule="exact"/>
              <w:ind w:left="702" w:right="0"/>
              <w:jc w:val="center"/>
              <w:rPr>
                <w:rFonts w:ascii="黑体" w:hAnsi="黑体" w:cs="黑体" w:eastAsia="黑体" w:hint="default"/>
                <w:sz w:val="20"/>
                <w:szCs w:val="20"/>
              </w:rPr>
            </w:pP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w:t>
            </w:r>
          </w:p>
        </w:tc>
        <w:tc>
          <w:tcPr>
            <w:tcW w:w="1890" w:type="dxa"/>
            <w:tcBorders>
              <w:top w:val="nil" w:sz="6" w:space="0" w:color="auto"/>
              <w:left w:val="nil" w:sz="6" w:space="0" w:color="auto"/>
              <w:bottom w:val="nil" w:sz="6" w:space="0" w:color="auto"/>
              <w:right w:val="nil" w:sz="6" w:space="0" w:color="auto"/>
            </w:tcBorders>
          </w:tcPr>
          <w:p>
            <w:pPr>
              <w:pStyle w:val="TableParagraph"/>
              <w:spacing w:line="199" w:lineRule="exact"/>
              <w:ind w:left="846" w:right="0"/>
              <w:jc w:val="center"/>
              <w:rPr>
                <w:rFonts w:ascii="黑体" w:hAnsi="黑体" w:cs="黑体" w:eastAsia="黑体" w:hint="default"/>
                <w:sz w:val="20"/>
                <w:szCs w:val="20"/>
              </w:rPr>
            </w:pPr>
            <w:bookmarkStart w:name="25.    其他应付款" w:id="119"/>
            <w:bookmarkEnd w:id="119"/>
            <w:r>
              <w:rPr/>
            </w:r>
            <w:r>
              <w:rPr>
                <w:rFonts w:ascii="Arial" w:hAnsi="Arial" w:cs="Arial" w:eastAsia="Arial" w:hint="default"/>
                <w:sz w:val="20"/>
                <w:szCs w:val="20"/>
              </w:rPr>
              <w:t>2011</w:t>
            </w:r>
            <w:r>
              <w:rPr>
                <w:rFonts w:ascii="黑体" w:hAnsi="黑体" w:cs="黑体" w:eastAsia="黑体" w:hint="default"/>
                <w:sz w:val="20"/>
                <w:szCs w:val="20"/>
              </w:rPr>
              <w:t>年</w:t>
            </w:r>
          </w:p>
          <w:p>
            <w:pPr>
              <w:pStyle w:val="TableParagraph"/>
              <w:spacing w:line="262" w:lineRule="exact"/>
              <w:ind w:left="647" w:right="0"/>
              <w:jc w:val="center"/>
              <w:rPr>
                <w:rFonts w:ascii="黑体" w:hAnsi="黑体" w:cs="黑体" w:eastAsia="黑体" w:hint="default"/>
                <w:sz w:val="20"/>
                <w:szCs w:val="20"/>
              </w:rPr>
            </w:pPr>
            <w:r>
              <w:rPr>
                <w:rFonts w:ascii="Arial" w:hAnsi="Arial" w:cs="Arial" w:eastAsia="Arial" w:hint="default"/>
                <w:sz w:val="20"/>
                <w:szCs w:val="20"/>
              </w:rPr>
              <w:t>12</w:t>
            </w:r>
            <w:r>
              <w:rPr>
                <w:rFonts w:ascii="黑体" w:hAnsi="黑体" w:cs="黑体" w:eastAsia="黑体" w:hint="default"/>
                <w:sz w:val="20"/>
                <w:szCs w:val="20"/>
              </w:rPr>
              <w:t>月</w:t>
            </w:r>
            <w:r>
              <w:rPr>
                <w:rFonts w:ascii="Arial" w:hAnsi="Arial" w:cs="Arial" w:eastAsia="Arial" w:hint="default"/>
                <w:sz w:val="20"/>
                <w:szCs w:val="20"/>
              </w:rPr>
              <w:t>31</w:t>
            </w:r>
            <w:r>
              <w:rPr>
                <w:rFonts w:ascii="黑体" w:hAnsi="黑体" w:cs="黑体" w:eastAsia="黑体" w:hint="default"/>
                <w:sz w:val="20"/>
                <w:szCs w:val="20"/>
              </w:rPr>
              <w:t>日</w:t>
            </w:r>
          </w:p>
        </w:tc>
      </w:tr>
      <w:tr>
        <w:trPr>
          <w:trHeight w:val="367" w:hRule="exact"/>
        </w:trPr>
        <w:tc>
          <w:tcPr>
            <w:tcW w:w="3570" w:type="dxa"/>
            <w:tcBorders>
              <w:top w:val="nil" w:sz="6" w:space="0" w:color="auto"/>
              <w:left w:val="nil" w:sz="6" w:space="0" w:color="auto"/>
              <w:bottom w:val="nil" w:sz="6" w:space="0" w:color="auto"/>
              <w:right w:val="nil" w:sz="6" w:space="0" w:color="auto"/>
            </w:tcBorders>
          </w:tcPr>
          <w:p>
            <w:pPr>
              <w:pStyle w:val="TableParagraph"/>
              <w:spacing w:line="240" w:lineRule="auto" w:before="72"/>
              <w:ind w:left="200" w:right="0"/>
              <w:jc w:val="left"/>
              <w:rPr>
                <w:rFonts w:ascii="黑体" w:hAnsi="黑体" w:cs="黑体" w:eastAsia="黑体" w:hint="default"/>
                <w:sz w:val="20"/>
                <w:szCs w:val="20"/>
              </w:rPr>
            </w:pPr>
            <w:r>
              <w:rPr>
                <w:rFonts w:ascii="黑体" w:hAnsi="黑体" w:cs="黑体" w:eastAsia="黑体" w:hint="default"/>
                <w:sz w:val="20"/>
                <w:szCs w:val="20"/>
              </w:rPr>
              <w:t>押金</w:t>
            </w:r>
          </w:p>
        </w:tc>
        <w:tc>
          <w:tcPr>
            <w:tcW w:w="2707"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579"/>
              <w:jc w:val="right"/>
              <w:rPr>
                <w:rFonts w:ascii="Arial" w:hAnsi="Arial" w:cs="Arial" w:eastAsia="Arial" w:hint="default"/>
                <w:sz w:val="20"/>
                <w:szCs w:val="20"/>
              </w:rPr>
            </w:pPr>
            <w:r>
              <w:rPr>
                <w:rFonts w:ascii="Arial"/>
                <w:spacing w:val="-1"/>
                <w:sz w:val="20"/>
              </w:rPr>
              <w:t>29,307,340</w:t>
            </w:r>
            <w:r>
              <w:rPr>
                <w:rFonts w:ascii="Arial"/>
                <w:sz w:val="20"/>
              </w:rPr>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98"/>
              <w:jc w:val="right"/>
              <w:rPr>
                <w:rFonts w:ascii="Arial" w:hAnsi="Arial" w:cs="Arial" w:eastAsia="Arial" w:hint="default"/>
                <w:sz w:val="20"/>
                <w:szCs w:val="20"/>
              </w:rPr>
            </w:pPr>
            <w:r>
              <w:rPr>
                <w:rFonts w:ascii="Arial"/>
                <w:spacing w:val="-1"/>
                <w:sz w:val="20"/>
              </w:rPr>
              <w:t>28,177,743</w:t>
            </w:r>
            <w:r>
              <w:rPr>
                <w:rFonts w:ascii="Arial"/>
                <w:sz w:val="20"/>
              </w:rPr>
            </w:r>
          </w:p>
        </w:tc>
      </w:tr>
      <w:tr>
        <w:trPr>
          <w:trHeight w:val="259" w:hRule="exact"/>
        </w:trPr>
        <w:tc>
          <w:tcPr>
            <w:tcW w:w="3570"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广告费</w:t>
            </w:r>
          </w:p>
        </w:tc>
        <w:tc>
          <w:tcPr>
            <w:tcW w:w="27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79"/>
              <w:jc w:val="right"/>
              <w:rPr>
                <w:rFonts w:ascii="Arial" w:hAnsi="Arial" w:cs="Arial" w:eastAsia="Arial" w:hint="default"/>
                <w:sz w:val="20"/>
                <w:szCs w:val="20"/>
              </w:rPr>
            </w:pPr>
            <w:r>
              <w:rPr>
                <w:rFonts w:ascii="Arial"/>
                <w:spacing w:val="-1"/>
                <w:sz w:val="20"/>
              </w:rPr>
              <w:t>88,939</w:t>
            </w:r>
            <w:r>
              <w:rPr>
                <w:rFonts w:ascii="Arial"/>
                <w:sz w:val="20"/>
              </w:rPr>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spacing w:val="-1"/>
                <w:w w:val="95"/>
                <w:sz w:val="20"/>
              </w:rPr>
              <w:t>486,808</w:t>
            </w:r>
            <w:r>
              <w:rPr>
                <w:rFonts w:ascii="Arial"/>
                <w:sz w:val="20"/>
              </w:rPr>
            </w:r>
          </w:p>
        </w:tc>
      </w:tr>
      <w:tr>
        <w:trPr>
          <w:trHeight w:val="259" w:hRule="exact"/>
        </w:trPr>
        <w:tc>
          <w:tcPr>
            <w:tcW w:w="3570"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房租</w:t>
            </w:r>
          </w:p>
        </w:tc>
        <w:tc>
          <w:tcPr>
            <w:tcW w:w="27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78"/>
              <w:jc w:val="right"/>
              <w:rPr>
                <w:rFonts w:ascii="Arial" w:hAnsi="Arial" w:cs="Arial" w:eastAsia="Arial" w:hint="default"/>
                <w:sz w:val="20"/>
                <w:szCs w:val="20"/>
              </w:rPr>
            </w:pPr>
            <w:r>
              <w:rPr>
                <w:rFonts w:ascii="Arial"/>
                <w:spacing w:val="-1"/>
                <w:sz w:val="20"/>
              </w:rPr>
              <w:t>3,155,218</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spacing w:val="-1"/>
                <w:sz w:val="20"/>
              </w:rPr>
              <w:t>4,129,103</w:t>
            </w:r>
          </w:p>
        </w:tc>
      </w:tr>
      <w:tr>
        <w:trPr>
          <w:trHeight w:val="260" w:hRule="exact"/>
        </w:trPr>
        <w:tc>
          <w:tcPr>
            <w:tcW w:w="357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Arial" w:hAnsi="Arial" w:cs="Arial" w:eastAsia="Arial" w:hint="default"/>
                <w:sz w:val="20"/>
                <w:szCs w:val="20"/>
              </w:rPr>
            </w:pPr>
            <w:r>
              <w:rPr>
                <w:rFonts w:ascii="黑体" w:hAnsi="黑体" w:cs="黑体" w:eastAsia="黑体" w:hint="default"/>
                <w:sz w:val="20"/>
                <w:szCs w:val="20"/>
              </w:rPr>
              <w:t>应付软件园建设款</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1)</w:t>
            </w:r>
          </w:p>
        </w:tc>
        <w:tc>
          <w:tcPr>
            <w:tcW w:w="270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79"/>
              <w:jc w:val="right"/>
              <w:rPr>
                <w:rFonts w:ascii="Arial" w:hAnsi="Arial" w:cs="Arial" w:eastAsia="Arial" w:hint="default"/>
                <w:sz w:val="20"/>
                <w:szCs w:val="20"/>
              </w:rPr>
            </w:pPr>
            <w:r>
              <w:rPr>
                <w:rFonts w:ascii="Arial"/>
                <w:spacing w:val="-1"/>
                <w:sz w:val="20"/>
              </w:rPr>
              <w:t>17,798,370</w:t>
            </w:r>
            <w:r>
              <w:rPr>
                <w:rFonts w:ascii="Arial"/>
                <w:sz w:val="20"/>
              </w:rPr>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spacing w:val="-1"/>
                <w:sz w:val="20"/>
              </w:rPr>
              <w:t>27,247,473</w:t>
            </w:r>
            <w:r>
              <w:rPr>
                <w:rFonts w:ascii="Arial"/>
                <w:sz w:val="20"/>
              </w:rPr>
            </w:r>
          </w:p>
        </w:tc>
      </w:tr>
      <w:tr>
        <w:trPr>
          <w:trHeight w:val="259" w:hRule="exact"/>
        </w:trPr>
        <w:tc>
          <w:tcPr>
            <w:tcW w:w="3570"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Arial" w:hAnsi="Arial" w:cs="Arial" w:eastAsia="Arial" w:hint="default"/>
                <w:sz w:val="20"/>
                <w:szCs w:val="20"/>
              </w:rPr>
            </w:pPr>
            <w:r>
              <w:rPr>
                <w:rFonts w:ascii="黑体" w:hAnsi="黑体" w:cs="黑体" w:eastAsia="黑体" w:hint="default"/>
                <w:sz w:val="20"/>
                <w:szCs w:val="20"/>
              </w:rPr>
              <w:t>应付土地开发建设费</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2)</w:t>
            </w:r>
          </w:p>
        </w:tc>
        <w:tc>
          <w:tcPr>
            <w:tcW w:w="270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79"/>
              <w:jc w:val="right"/>
              <w:rPr>
                <w:rFonts w:ascii="Arial" w:hAnsi="Arial" w:cs="Arial" w:eastAsia="Arial" w:hint="default"/>
                <w:sz w:val="20"/>
                <w:szCs w:val="20"/>
              </w:rPr>
            </w:pPr>
            <w:r>
              <w:rPr>
                <w:rFonts w:ascii="Arial"/>
                <w:spacing w:val="-1"/>
                <w:sz w:val="20"/>
              </w:rPr>
              <w:t>74,596,620</w:t>
            </w:r>
            <w:r>
              <w:rPr>
                <w:rFonts w:ascii="Arial"/>
                <w:sz w:val="20"/>
              </w:rPr>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8"/>
              <w:jc w:val="right"/>
              <w:rPr>
                <w:rFonts w:ascii="Arial" w:hAnsi="Arial" w:cs="Arial" w:eastAsia="Arial" w:hint="default"/>
                <w:sz w:val="20"/>
                <w:szCs w:val="20"/>
              </w:rPr>
            </w:pPr>
            <w:r>
              <w:rPr>
                <w:rFonts w:ascii="Arial"/>
                <w:spacing w:val="-1"/>
                <w:sz w:val="20"/>
              </w:rPr>
              <w:t>74,596,620</w:t>
            </w:r>
            <w:r>
              <w:rPr>
                <w:rFonts w:ascii="Arial"/>
                <w:sz w:val="20"/>
              </w:rPr>
            </w:r>
          </w:p>
        </w:tc>
      </w:tr>
      <w:tr>
        <w:trPr>
          <w:trHeight w:val="259" w:hRule="exact"/>
        </w:trPr>
        <w:tc>
          <w:tcPr>
            <w:tcW w:w="3570"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Arial" w:hAnsi="Arial" w:cs="Arial" w:eastAsia="Arial" w:hint="default"/>
                <w:sz w:val="20"/>
                <w:szCs w:val="20"/>
              </w:rPr>
            </w:pPr>
            <w:r>
              <w:rPr>
                <w:rFonts w:ascii="黑体" w:hAnsi="黑体" w:cs="黑体" w:eastAsia="黑体" w:hint="default"/>
                <w:sz w:val="20"/>
                <w:szCs w:val="20"/>
              </w:rPr>
              <w:t>资产业务收购款</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3)</w:t>
            </w:r>
          </w:p>
        </w:tc>
        <w:tc>
          <w:tcPr>
            <w:tcW w:w="270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78"/>
              <w:jc w:val="right"/>
              <w:rPr>
                <w:rFonts w:ascii="Arial" w:hAnsi="Arial" w:cs="Arial" w:eastAsia="Arial" w:hint="default"/>
                <w:sz w:val="20"/>
                <w:szCs w:val="20"/>
              </w:rPr>
            </w:pPr>
            <w:r>
              <w:rPr>
                <w:rFonts w:ascii="Arial"/>
                <w:spacing w:val="-1"/>
                <w:sz w:val="20"/>
              </w:rPr>
              <w:t>6,970,671</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8"/>
              <w:jc w:val="right"/>
              <w:rPr>
                <w:rFonts w:ascii="Arial" w:hAnsi="Arial" w:cs="Arial" w:eastAsia="Arial" w:hint="default"/>
                <w:sz w:val="20"/>
                <w:szCs w:val="20"/>
              </w:rPr>
            </w:pPr>
            <w:r>
              <w:rPr>
                <w:rFonts w:ascii="Arial"/>
                <w:spacing w:val="-1"/>
                <w:sz w:val="20"/>
              </w:rPr>
              <w:t>18,108,953</w:t>
            </w:r>
            <w:r>
              <w:rPr>
                <w:rFonts w:ascii="Arial"/>
                <w:sz w:val="20"/>
              </w:rPr>
            </w:r>
          </w:p>
        </w:tc>
      </w:tr>
      <w:tr>
        <w:trPr>
          <w:trHeight w:val="259" w:hRule="exact"/>
        </w:trPr>
        <w:tc>
          <w:tcPr>
            <w:tcW w:w="3570"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Arial" w:hAnsi="Arial" w:cs="Arial" w:eastAsia="Arial" w:hint="default"/>
                <w:sz w:val="20"/>
                <w:szCs w:val="20"/>
              </w:rPr>
            </w:pPr>
            <w:r>
              <w:rPr>
                <w:rFonts w:ascii="黑体" w:hAnsi="黑体" w:cs="黑体" w:eastAsia="黑体" w:hint="default"/>
                <w:sz w:val="20"/>
                <w:szCs w:val="20"/>
              </w:rPr>
              <w:t>股权收购款</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4)</w:t>
            </w:r>
          </w:p>
        </w:tc>
        <w:tc>
          <w:tcPr>
            <w:tcW w:w="270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79"/>
              <w:jc w:val="right"/>
              <w:rPr>
                <w:rFonts w:ascii="Arial" w:hAnsi="Arial" w:cs="Arial" w:eastAsia="Arial" w:hint="default"/>
                <w:sz w:val="20"/>
                <w:szCs w:val="20"/>
              </w:rPr>
            </w:pPr>
            <w:r>
              <w:rPr>
                <w:rFonts w:ascii="Arial"/>
                <w:spacing w:val="-1"/>
                <w:sz w:val="20"/>
              </w:rPr>
              <w:t>34,460,000</w:t>
            </w:r>
            <w:r>
              <w:rPr>
                <w:rFonts w:ascii="Arial"/>
                <w:sz w:val="20"/>
              </w:rPr>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8"/>
              <w:jc w:val="right"/>
              <w:rPr>
                <w:rFonts w:ascii="Arial" w:hAnsi="Arial" w:cs="Arial" w:eastAsia="Arial" w:hint="default"/>
                <w:sz w:val="20"/>
                <w:szCs w:val="20"/>
              </w:rPr>
            </w:pPr>
            <w:r>
              <w:rPr>
                <w:rFonts w:ascii="Arial"/>
                <w:spacing w:val="-1"/>
                <w:sz w:val="20"/>
              </w:rPr>
              <w:t>74,035,148</w:t>
            </w:r>
            <w:r>
              <w:rPr>
                <w:rFonts w:ascii="Arial"/>
                <w:sz w:val="20"/>
              </w:rPr>
            </w:r>
          </w:p>
        </w:tc>
      </w:tr>
      <w:tr>
        <w:trPr>
          <w:trHeight w:val="362" w:hRule="exact"/>
        </w:trPr>
        <w:tc>
          <w:tcPr>
            <w:tcW w:w="3570" w:type="dxa"/>
            <w:tcBorders>
              <w:top w:val="nil" w:sz="6" w:space="0" w:color="auto"/>
              <w:left w:val="nil" w:sz="6" w:space="0" w:color="auto"/>
              <w:bottom w:val="nil" w:sz="6" w:space="0" w:color="auto"/>
              <w:right w:val="nil" w:sz="6" w:space="0" w:color="auto"/>
            </w:tcBorders>
          </w:tcPr>
          <w:p>
            <w:pPr>
              <w:pStyle w:val="TableParagraph"/>
              <w:spacing w:line="224" w:lineRule="exact"/>
              <w:ind w:left="200"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270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7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sz w:val="20"/>
                <w:u w:val="single" w:color="000000"/>
              </w:rPr>
              <w:t>35,853,201</w:t>
            </w:r>
            <w:r>
              <w:rPr>
                <w:rFonts w:ascii="Arial"/>
                <w:spacing w:val="-1"/>
                <w:sz w:val="20"/>
              </w:rPr>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sz w:val="20"/>
                <w:u w:val="single" w:color="000000"/>
              </w:rPr>
              <w:t>31,718,593</w:t>
            </w:r>
            <w:r>
              <w:rPr>
                <w:rFonts w:ascii="Arial"/>
                <w:spacing w:val="-1"/>
                <w:sz w:val="20"/>
              </w:rPr>
            </w:r>
          </w:p>
        </w:tc>
      </w:tr>
      <w:tr>
        <w:trPr>
          <w:trHeight w:val="330" w:hRule="exact"/>
        </w:trPr>
        <w:tc>
          <w:tcPr>
            <w:tcW w:w="3570" w:type="dxa"/>
            <w:tcBorders>
              <w:top w:val="nil" w:sz="6" w:space="0" w:color="auto"/>
              <w:left w:val="nil" w:sz="6" w:space="0" w:color="auto"/>
              <w:bottom w:val="nil" w:sz="6" w:space="0" w:color="auto"/>
              <w:right w:val="nil" w:sz="6" w:space="0" w:color="auto"/>
            </w:tcBorders>
          </w:tcPr>
          <w:p>
            <w:pPr/>
          </w:p>
        </w:tc>
        <w:tc>
          <w:tcPr>
            <w:tcW w:w="270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579"/>
              <w:jc w:val="right"/>
              <w:rPr>
                <w:rFonts w:ascii="Arial" w:hAnsi="Arial" w:cs="Arial" w:eastAsia="Arial" w:hint="default"/>
                <w:sz w:val="20"/>
                <w:szCs w:val="20"/>
              </w:rPr>
            </w:pPr>
            <w:r>
              <w:rPr>
                <w:rFonts w:ascii="Arial"/>
                <w:w w:val="99"/>
                <w:sz w:val="20"/>
              </w:rPr>
            </w:r>
            <w:r>
              <w:rPr>
                <w:rFonts w:ascii="Arial"/>
                <w:spacing w:val="-1"/>
                <w:sz w:val="20"/>
                <w:u w:val="thick" w:color="000000"/>
              </w:rPr>
              <w:t>202,230,359</w:t>
            </w:r>
            <w:r>
              <w:rPr>
                <w:rFonts w:ascii="Arial"/>
                <w:spacing w:val="-1"/>
                <w:sz w:val="20"/>
              </w:rPr>
            </w:r>
            <w:r>
              <w:rPr>
                <w:rFonts w:ascii="Arial"/>
                <w:sz w:val="20"/>
              </w:rPr>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258,500,441</w:t>
            </w:r>
            <w:r>
              <w:rPr>
                <w:rFonts w:ascii="Arial"/>
                <w:spacing w:val="-1"/>
                <w:sz w:val="20"/>
              </w:rPr>
            </w:r>
            <w:r>
              <w:rPr>
                <w:rFonts w:ascii="Arial"/>
                <w:sz w:val="20"/>
              </w:rPr>
            </w:r>
          </w:p>
        </w:tc>
      </w:tr>
    </w:tbl>
    <w:p>
      <w:pPr>
        <w:spacing w:line="240" w:lineRule="auto" w:before="12"/>
        <w:rPr>
          <w:rFonts w:ascii="黑体" w:hAnsi="黑体" w:cs="黑体" w:eastAsia="黑体" w:hint="default"/>
          <w:b/>
          <w:bCs/>
          <w:sz w:val="16"/>
          <w:szCs w:val="16"/>
        </w:rPr>
      </w:pPr>
    </w:p>
    <w:p>
      <w:pPr>
        <w:pStyle w:val="BodyText"/>
        <w:spacing w:line="283" w:lineRule="auto" w:before="37"/>
        <w:ind w:left="1529" w:right="277" w:hanging="720"/>
        <w:jc w:val="both"/>
      </w:pPr>
      <w:r>
        <w:rPr/>
        <w:t>注</w:t>
      </w:r>
      <w:r>
        <w:rPr>
          <w:rFonts w:ascii="Arial" w:hAnsi="Arial" w:cs="Arial" w:eastAsia="Arial" w:hint="default"/>
        </w:rPr>
        <w:t>1</w:t>
      </w:r>
      <w:r>
        <w:rPr/>
        <w:t>．</w:t>
      </w:r>
      <w:r>
        <w:rPr>
          <w:spacing w:val="97"/>
        </w:rPr>
        <w:t> </w:t>
      </w:r>
      <w:r>
        <w:rPr>
          <w:spacing w:val="2"/>
        </w:rPr>
        <w:t>本公司就用友软件园一期建设与有关建筑承包商就建筑工程设计、工程招标咨询</w:t>
      </w:r>
      <w:r>
        <w:rPr>
          <w:spacing w:val="2"/>
          <w:w w:val="99"/>
        </w:rPr>
        <w:t> </w:t>
      </w:r>
      <w:r>
        <w:rPr/>
        <w:t>等签署的合同总金额为人民币</w:t>
      </w:r>
      <w:r>
        <w:rPr>
          <w:rFonts w:ascii="Arial" w:hAnsi="Arial" w:cs="Arial" w:eastAsia="Arial" w:hint="default"/>
        </w:rPr>
        <w:t>571,038,758</w:t>
      </w:r>
      <w:r>
        <w:rPr/>
        <w:t>元。截至</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日已支付上述</w:t>
      </w:r>
      <w:r>
        <w:rPr>
          <w:w w:val="99"/>
        </w:rPr>
        <w:t> </w:t>
      </w:r>
      <w:r>
        <w:rPr/>
        <w:t>合同金额为人民币</w:t>
      </w:r>
      <w:r>
        <w:rPr>
          <w:rFonts w:ascii="Arial" w:hAnsi="Arial" w:cs="Arial" w:eastAsia="Arial" w:hint="default"/>
        </w:rPr>
        <w:t>566,638,008</w:t>
      </w:r>
      <w:r>
        <w:rPr/>
        <w:t>元，将尚未支付部分人民币</w:t>
      </w:r>
      <w:r>
        <w:rPr>
          <w:rFonts w:ascii="Arial" w:hAnsi="Arial" w:cs="Arial" w:eastAsia="Arial" w:hint="default"/>
        </w:rPr>
        <w:t>4,400,750</w:t>
      </w:r>
      <w:r>
        <w:rPr/>
        <w:t>元暂估计入</w:t>
      </w:r>
      <w:r>
        <w:rPr>
          <w:spacing w:val="2"/>
          <w:w w:val="99"/>
        </w:rPr>
        <w:t> </w:t>
      </w:r>
      <w:r>
        <w:rPr>
          <w:w w:val="95"/>
        </w:rPr>
        <w:t>其他应付款科目中。</w:t>
      </w:r>
      <w:r>
        <w:rPr>
          <w:rFonts w:ascii="Arial" w:hAnsi="Arial" w:cs="Arial" w:eastAsia="Arial" w:hint="default"/>
          <w:w w:val="95"/>
        </w:rPr>
        <w:t>2011</w:t>
      </w:r>
      <w:r>
        <w:rPr>
          <w:w w:val="95"/>
        </w:rPr>
        <w:t>年和</w:t>
      </w:r>
      <w:r>
        <w:rPr>
          <w:rFonts w:ascii="Arial" w:hAnsi="Arial" w:cs="Arial" w:eastAsia="Arial" w:hint="default"/>
          <w:w w:val="95"/>
        </w:rPr>
        <w:t>2012</w:t>
      </w:r>
      <w:r>
        <w:rPr>
          <w:w w:val="95"/>
        </w:rPr>
        <w:t>年用友软件园二期研发中心、能源中心和宿舍</w:t>
      </w:r>
      <w:r>
        <w:rPr>
          <w:w w:val="99"/>
        </w:rPr>
        <w:t> </w:t>
      </w:r>
      <w:r>
        <w:rPr>
          <w:spacing w:val="2"/>
        </w:rPr>
        <w:t>楼分别达到预定可使用状态，由于尚未进行工程造价结算审核，因此本公司暂估</w:t>
      </w:r>
      <w:r>
        <w:rPr>
          <w:spacing w:val="2"/>
          <w:w w:val="99"/>
        </w:rPr>
        <w:t> </w:t>
      </w:r>
      <w:r>
        <w:rPr>
          <w:spacing w:val="2"/>
          <w:w w:val="95"/>
        </w:rPr>
        <w:t>转固，将尚未支付的暂估部分共计人民币</w:t>
      </w:r>
      <w:r>
        <w:rPr>
          <w:rFonts w:ascii="Arial" w:hAnsi="Arial" w:cs="Arial" w:eastAsia="Arial" w:hint="default"/>
          <w:spacing w:val="2"/>
          <w:w w:val="95"/>
        </w:rPr>
        <w:t>13,048,346</w:t>
      </w:r>
      <w:r>
        <w:rPr>
          <w:spacing w:val="2"/>
          <w:w w:val="95"/>
        </w:rPr>
        <w:t>元计入其他应付款科目中。</w:t>
      </w:r>
      <w:r>
        <w:rPr>
          <w:spacing w:val="2"/>
          <w:w w:val="99"/>
        </w:rPr>
        <w:t> </w:t>
      </w:r>
      <w:r>
        <w:rPr>
          <w:spacing w:val="2"/>
        </w:rPr>
        <w:t>除此之外，本公司尚未支付用友软件园二期应付第三方的软件园建设款共计人民</w:t>
      </w:r>
      <w:r>
        <w:rPr>
          <w:spacing w:val="2"/>
          <w:w w:val="99"/>
        </w:rPr>
        <w:t> </w:t>
      </w:r>
      <w:r>
        <w:rPr/>
        <w:t>币</w:t>
      </w:r>
      <w:r>
        <w:rPr>
          <w:rFonts w:ascii="Arial" w:hAnsi="Arial" w:cs="Arial" w:eastAsia="Arial" w:hint="default"/>
        </w:rPr>
        <w:t>349,274</w:t>
      </w:r>
      <w:r>
        <w:rPr/>
        <w:t>元。</w:t>
      </w:r>
    </w:p>
    <w:p>
      <w:pPr>
        <w:spacing w:after="0" w:line="283" w:lineRule="auto"/>
        <w:jc w:val="both"/>
        <w:sectPr>
          <w:pgSz w:w="11910" w:h="16850"/>
          <w:pgMar w:header="957" w:footer="830" w:top="2520" w:bottom="1020" w:left="1600" w:right="1420"/>
        </w:sectPr>
      </w:pPr>
    </w:p>
    <w:p>
      <w:pPr>
        <w:spacing w:line="240" w:lineRule="auto" w:before="8"/>
        <w:rPr>
          <w:rFonts w:ascii="黑体" w:hAnsi="黑体" w:cs="黑体" w:eastAsia="黑体" w:hint="default"/>
          <w:sz w:val="21"/>
          <w:szCs w:val="21"/>
        </w:rPr>
      </w:pPr>
    </w:p>
    <w:p>
      <w:pPr>
        <w:pStyle w:val="Heading6"/>
        <w:tabs>
          <w:tab w:pos="804" w:val="left" w:leader="none"/>
        </w:tabs>
        <w:spacing w:line="240" w:lineRule="auto"/>
        <w:ind w:right="0"/>
        <w:jc w:val="left"/>
        <w:rPr>
          <w:b w:val="0"/>
          <w:bCs w:val="0"/>
        </w:rPr>
      </w:pPr>
      <w:r>
        <w:rPr>
          <w:w w:val="95"/>
        </w:rPr>
        <w:t>五、</w:t>
        <w:tab/>
      </w:r>
      <w:r>
        <w:rPr/>
        <w:t>合并财务报表主要项目注释（续）</w:t>
      </w:r>
      <w:r>
        <w:rPr>
          <w:b w:val="0"/>
          <w:bCs w:val="0"/>
        </w:rPr>
      </w:r>
    </w:p>
    <w:p>
      <w:pPr>
        <w:spacing w:line="240" w:lineRule="auto" w:before="5"/>
        <w:rPr>
          <w:rFonts w:ascii="黑体" w:hAnsi="黑体" w:cs="黑体" w:eastAsia="黑体" w:hint="default"/>
          <w:b/>
          <w:bCs/>
          <w:sz w:val="15"/>
          <w:szCs w:val="15"/>
        </w:rPr>
      </w:pPr>
    </w:p>
    <w:p>
      <w:pPr>
        <w:pStyle w:val="Heading6"/>
        <w:tabs>
          <w:tab w:pos="799" w:val="left" w:leader="none"/>
        </w:tabs>
        <w:spacing w:line="240" w:lineRule="auto" w:before="0"/>
        <w:ind w:right="0"/>
        <w:jc w:val="left"/>
        <w:rPr>
          <w:b w:val="0"/>
          <w:bCs w:val="0"/>
        </w:rPr>
      </w:pPr>
      <w:r>
        <w:rPr>
          <w:rFonts w:ascii="Arial" w:hAnsi="Arial" w:cs="Arial" w:eastAsia="Arial" w:hint="default"/>
          <w:spacing w:val="-1"/>
          <w:w w:val="95"/>
        </w:rPr>
        <w:t>25.</w:t>
        <w:tab/>
      </w:r>
      <w:bookmarkStart w:name="25.    其他应付款（续）" w:id="120"/>
      <w:bookmarkEnd w:id="120"/>
      <w:r>
        <w:rPr>
          <w:rFonts w:ascii="Arial" w:hAnsi="Arial" w:cs="Arial" w:eastAsia="Arial" w:hint="default"/>
          <w:spacing w:val="-1"/>
          <w:w w:val="95"/>
        </w:rPr>
      </w:r>
      <w:r>
        <w:rPr>
          <w:spacing w:val="1"/>
        </w:rPr>
        <w:t>其他应付款（续）</w:t>
      </w:r>
      <w:r>
        <w:rPr>
          <w:b w:val="0"/>
          <w:bCs w:val="0"/>
        </w:rPr>
      </w:r>
    </w:p>
    <w:p>
      <w:pPr>
        <w:spacing w:line="240" w:lineRule="auto" w:before="10"/>
        <w:rPr>
          <w:rFonts w:ascii="黑体" w:hAnsi="黑体" w:cs="黑体" w:eastAsia="黑体" w:hint="default"/>
          <w:b/>
          <w:bCs/>
          <w:sz w:val="17"/>
          <w:szCs w:val="17"/>
        </w:rPr>
      </w:pPr>
    </w:p>
    <w:p>
      <w:pPr>
        <w:pStyle w:val="BodyText"/>
        <w:spacing w:line="240" w:lineRule="auto"/>
        <w:ind w:right="0"/>
        <w:jc w:val="left"/>
      </w:pPr>
      <w:r>
        <w:rPr/>
        <w:t>注</w:t>
      </w:r>
      <w:r>
        <w:rPr>
          <w:rFonts w:ascii="Arial" w:hAnsi="Arial" w:cs="Arial" w:eastAsia="Arial" w:hint="default"/>
        </w:rPr>
        <w:t>2</w:t>
      </w:r>
      <w:r>
        <w:rPr/>
        <w:t>．详情参见附注五、</w:t>
      </w:r>
      <w:r>
        <w:rPr>
          <w:rFonts w:ascii="Arial" w:hAnsi="Arial" w:cs="Arial" w:eastAsia="Arial" w:hint="default"/>
        </w:rPr>
        <w:t>12</w:t>
      </w:r>
      <w:r>
        <w:rPr/>
        <w:t>。</w:t>
      </w:r>
    </w:p>
    <w:p>
      <w:pPr>
        <w:spacing w:line="240" w:lineRule="auto" w:before="10"/>
        <w:rPr>
          <w:rFonts w:ascii="黑体" w:hAnsi="黑体" w:cs="黑体" w:eastAsia="黑体" w:hint="default"/>
          <w:sz w:val="24"/>
          <w:szCs w:val="24"/>
        </w:rPr>
      </w:pPr>
    </w:p>
    <w:p>
      <w:pPr>
        <w:pStyle w:val="BodyText"/>
        <w:spacing w:line="261" w:lineRule="auto"/>
        <w:ind w:left="1291" w:right="0" w:hanging="478"/>
        <w:jc w:val="left"/>
      </w:pPr>
      <w:r>
        <w:rPr/>
        <w:t>注</w:t>
      </w:r>
      <w:r>
        <w:rPr>
          <w:rFonts w:ascii="Arial" w:hAnsi="Arial" w:cs="Arial" w:eastAsia="Arial" w:hint="default"/>
        </w:rPr>
        <w:t>3.</w:t>
      </w:r>
      <w:r>
        <w:rPr>
          <w:rFonts w:ascii="Arial" w:hAnsi="Arial" w:cs="Arial" w:eastAsia="Arial" w:hint="default"/>
          <w:spacing w:val="40"/>
        </w:rPr>
        <w:t> </w:t>
      </w:r>
      <w:r>
        <w:rPr>
          <w:spacing w:val="4"/>
        </w:rPr>
        <w:t>资产业务收购款主要为本集团于</w:t>
      </w:r>
      <w:r>
        <w:rPr>
          <w:rFonts w:ascii="Arial" w:hAnsi="Arial" w:cs="Arial" w:eastAsia="Arial" w:hint="default"/>
          <w:spacing w:val="4"/>
        </w:rPr>
        <w:t>2009</w:t>
      </w:r>
      <w:r>
        <w:rPr>
          <w:spacing w:val="4"/>
        </w:rPr>
        <w:t>年度至</w:t>
      </w:r>
      <w:r>
        <w:rPr>
          <w:rFonts w:ascii="Arial" w:hAnsi="Arial" w:cs="Arial" w:eastAsia="Arial" w:hint="default"/>
          <w:spacing w:val="4"/>
        </w:rPr>
        <w:t>2011</w:t>
      </w:r>
      <w:r>
        <w:rPr>
          <w:spacing w:val="4"/>
        </w:rPr>
        <w:t>年度一系列的资产业务收购活动而</w:t>
      </w:r>
      <w:r>
        <w:rPr>
          <w:w w:val="99"/>
        </w:rPr>
        <w:t> </w:t>
      </w:r>
      <w:r>
        <w:rPr/>
        <w:t>产生的尚未支付完毕的收购款。</w:t>
      </w:r>
    </w:p>
    <w:p>
      <w:pPr>
        <w:spacing w:line="240" w:lineRule="auto" w:before="6"/>
        <w:rPr>
          <w:rFonts w:ascii="黑体" w:hAnsi="黑体" w:cs="黑体" w:eastAsia="黑体" w:hint="default"/>
          <w:sz w:val="24"/>
          <w:szCs w:val="24"/>
        </w:rPr>
      </w:pPr>
    </w:p>
    <w:p>
      <w:pPr>
        <w:pStyle w:val="BodyText"/>
        <w:spacing w:line="261" w:lineRule="auto"/>
        <w:ind w:left="1277" w:right="0" w:hanging="463"/>
        <w:jc w:val="left"/>
      </w:pPr>
      <w:r>
        <w:rPr/>
        <w:t>注</w:t>
      </w:r>
      <w:r>
        <w:rPr>
          <w:rFonts w:ascii="Arial" w:hAnsi="Arial" w:cs="Arial" w:eastAsia="Arial" w:hint="default"/>
        </w:rPr>
        <w:t>4.</w:t>
      </w:r>
      <w:r>
        <w:rPr>
          <w:rFonts w:ascii="Arial" w:hAnsi="Arial" w:cs="Arial" w:eastAsia="Arial" w:hint="default"/>
          <w:spacing w:val="49"/>
        </w:rPr>
        <w:t> </w:t>
      </w:r>
      <w:r>
        <w:rPr>
          <w:spacing w:val="2"/>
        </w:rPr>
        <w:t>股权收购款主要包括本公司及江西用友于</w:t>
      </w:r>
      <w:r>
        <w:rPr>
          <w:rFonts w:ascii="Arial" w:hAnsi="Arial" w:cs="Arial" w:eastAsia="Arial" w:hint="default"/>
          <w:spacing w:val="2"/>
        </w:rPr>
        <w:t>2010</w:t>
      </w:r>
      <w:r>
        <w:rPr>
          <w:spacing w:val="2"/>
        </w:rPr>
        <w:t>年度收购用友汽车</w:t>
      </w:r>
      <w:r>
        <w:rPr>
          <w:rFonts w:ascii="Arial" w:hAnsi="Arial" w:cs="Arial" w:eastAsia="Arial" w:hint="default"/>
          <w:spacing w:val="2"/>
        </w:rPr>
        <w:t>100%</w:t>
      </w:r>
      <w:r>
        <w:rPr>
          <w:spacing w:val="2"/>
        </w:rPr>
        <w:t>的股权而产生</w:t>
      </w:r>
      <w:r>
        <w:rPr>
          <w:w w:val="99"/>
        </w:rPr>
        <w:t> </w:t>
      </w:r>
      <w:r>
        <w:rPr/>
        <w:t>的尚未支付完毕的收购款人民币</w:t>
      </w:r>
      <w:r>
        <w:rPr>
          <w:rFonts w:ascii="Arial" w:hAnsi="Arial" w:cs="Arial" w:eastAsia="Arial" w:hint="default"/>
        </w:rPr>
        <w:t>34,370,000</w:t>
      </w:r>
      <w:r>
        <w:rPr/>
        <w:t>元。</w:t>
      </w:r>
    </w:p>
    <w:p>
      <w:pPr>
        <w:spacing w:line="240" w:lineRule="auto" w:before="3"/>
        <w:rPr>
          <w:rFonts w:ascii="黑体" w:hAnsi="黑体" w:cs="黑体" w:eastAsia="黑体" w:hint="default"/>
          <w:sz w:val="23"/>
          <w:szCs w:val="23"/>
        </w:rPr>
      </w:pPr>
    </w:p>
    <w:p>
      <w:pPr>
        <w:pStyle w:val="BodyText"/>
        <w:spacing w:line="513" w:lineRule="auto"/>
        <w:ind w:left="813" w:right="2924"/>
        <w:jc w:val="left"/>
      </w:pPr>
      <w:r>
        <w:rPr/>
        <w:t>本账户余额中无持本公司</w:t>
      </w:r>
      <w:r>
        <w:rPr>
          <w:rFonts w:ascii="Arial" w:hAnsi="Arial" w:cs="Arial" w:eastAsia="Arial" w:hint="default"/>
        </w:rPr>
        <w:t>5%</w:t>
      </w:r>
      <w:r>
        <w:rPr/>
        <w:t>或以上表决权股份的股东单位。</w:t>
      </w:r>
      <w:r>
        <w:rPr>
          <w:w w:val="99"/>
        </w:rPr>
        <w:t> </w:t>
      </w:r>
      <w:r>
        <w:rPr/>
        <w:t>其他应付关联方款项详见附注六、</w:t>
      </w:r>
      <w:r>
        <w:rPr>
          <w:rFonts w:ascii="Arial" w:hAnsi="Arial" w:cs="Arial" w:eastAsia="Arial" w:hint="default"/>
        </w:rPr>
        <w:t>6</w:t>
      </w:r>
      <w:r>
        <w:rPr/>
        <w:t>。</w:t>
      </w:r>
      <w:r>
        <w:rPr>
          <w:w w:val="99"/>
        </w:rPr>
        <w:t> </w:t>
      </w: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日，账龄超过</w:t>
      </w:r>
      <w:r>
        <w:rPr>
          <w:rFonts w:ascii="Arial" w:hAnsi="Arial" w:cs="Arial" w:eastAsia="Arial" w:hint="default"/>
        </w:rPr>
        <w:t>1</w:t>
      </w:r>
      <w:r>
        <w:rPr/>
        <w:t>年的大额款项如下：</w:t>
      </w:r>
    </w:p>
    <w:tbl>
      <w:tblPr>
        <w:tblW w:w="0" w:type="auto"/>
        <w:jc w:val="left"/>
        <w:tblInd w:w="619" w:type="dxa"/>
        <w:tblLayout w:type="fixed"/>
        <w:tblCellMar>
          <w:top w:w="0" w:type="dxa"/>
          <w:left w:w="0" w:type="dxa"/>
          <w:bottom w:w="0" w:type="dxa"/>
          <w:right w:w="0" w:type="dxa"/>
        </w:tblCellMar>
        <w:tblLook w:val="01E0"/>
      </w:tblPr>
      <w:tblGrid>
        <w:gridCol w:w="3878"/>
        <w:gridCol w:w="1946"/>
        <w:gridCol w:w="2464"/>
      </w:tblGrid>
      <w:tr>
        <w:trPr>
          <w:trHeight w:val="356" w:hRule="exact"/>
        </w:trPr>
        <w:tc>
          <w:tcPr>
            <w:tcW w:w="3878" w:type="dxa"/>
            <w:tcBorders>
              <w:top w:val="nil" w:sz="6" w:space="0" w:color="auto"/>
              <w:left w:val="nil" w:sz="6" w:space="0" w:color="auto"/>
              <w:bottom w:val="nil" w:sz="6" w:space="0" w:color="auto"/>
              <w:right w:val="nil" w:sz="6" w:space="0" w:color="auto"/>
            </w:tcBorders>
          </w:tcPr>
          <w:p>
            <w:pPr/>
          </w:p>
        </w:tc>
        <w:tc>
          <w:tcPr>
            <w:tcW w:w="1946" w:type="dxa"/>
            <w:tcBorders>
              <w:top w:val="nil" w:sz="6" w:space="0" w:color="auto"/>
              <w:left w:val="nil" w:sz="6" w:space="0" w:color="auto"/>
              <w:bottom w:val="nil" w:sz="6" w:space="0" w:color="auto"/>
              <w:right w:val="nil" w:sz="6" w:space="0" w:color="auto"/>
            </w:tcBorders>
          </w:tcPr>
          <w:p>
            <w:pPr>
              <w:pStyle w:val="TableParagraph"/>
              <w:spacing w:line="199" w:lineRule="exact"/>
              <w:ind w:right="265"/>
              <w:jc w:val="right"/>
              <w:rPr>
                <w:rFonts w:ascii="黑体" w:hAnsi="黑体" w:cs="黑体" w:eastAsia="黑体" w:hint="default"/>
                <w:sz w:val="20"/>
                <w:szCs w:val="20"/>
              </w:rPr>
            </w:pPr>
            <w:r>
              <w:rPr>
                <w:rFonts w:ascii="黑体" w:hAnsi="黑体" w:cs="黑体" w:eastAsia="黑体" w:hint="default"/>
                <w:w w:val="95"/>
                <w:sz w:val="20"/>
                <w:szCs w:val="20"/>
              </w:rPr>
              <w:t>应付金额</w:t>
            </w:r>
            <w:r>
              <w:rPr>
                <w:rFonts w:ascii="黑体" w:hAnsi="黑体" w:cs="黑体" w:eastAsia="黑体" w:hint="default"/>
                <w:sz w:val="20"/>
                <w:szCs w:val="20"/>
              </w:rPr>
            </w:r>
          </w:p>
        </w:tc>
        <w:tc>
          <w:tcPr>
            <w:tcW w:w="2464" w:type="dxa"/>
            <w:tcBorders>
              <w:top w:val="nil" w:sz="6" w:space="0" w:color="auto"/>
              <w:left w:val="nil" w:sz="6" w:space="0" w:color="auto"/>
              <w:bottom w:val="nil" w:sz="6" w:space="0" w:color="auto"/>
              <w:right w:val="nil" w:sz="6" w:space="0" w:color="auto"/>
            </w:tcBorders>
          </w:tcPr>
          <w:p>
            <w:pPr>
              <w:pStyle w:val="TableParagraph"/>
              <w:spacing w:line="199" w:lineRule="exact"/>
              <w:ind w:right="198"/>
              <w:jc w:val="right"/>
              <w:rPr>
                <w:rFonts w:ascii="黑体" w:hAnsi="黑体" w:cs="黑体" w:eastAsia="黑体" w:hint="default"/>
                <w:sz w:val="20"/>
                <w:szCs w:val="20"/>
              </w:rPr>
            </w:pPr>
            <w:r>
              <w:rPr>
                <w:rFonts w:ascii="黑体" w:hAnsi="黑体" w:cs="黑体" w:eastAsia="黑体" w:hint="default"/>
                <w:w w:val="95"/>
                <w:sz w:val="20"/>
                <w:szCs w:val="20"/>
              </w:rPr>
              <w:t>未结转原因</w:t>
            </w:r>
            <w:r>
              <w:rPr>
                <w:rFonts w:ascii="黑体" w:hAnsi="黑体" w:cs="黑体" w:eastAsia="黑体" w:hint="default"/>
                <w:sz w:val="20"/>
                <w:szCs w:val="20"/>
              </w:rPr>
            </w:r>
          </w:p>
        </w:tc>
      </w:tr>
      <w:tr>
        <w:trPr>
          <w:trHeight w:val="390" w:hRule="exact"/>
        </w:trPr>
        <w:tc>
          <w:tcPr>
            <w:tcW w:w="387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0" w:right="0"/>
              <w:jc w:val="left"/>
              <w:rPr>
                <w:rFonts w:ascii="黑体" w:hAnsi="黑体" w:cs="黑体" w:eastAsia="黑体" w:hint="default"/>
                <w:sz w:val="20"/>
                <w:szCs w:val="20"/>
              </w:rPr>
            </w:pPr>
            <w:r>
              <w:rPr>
                <w:rFonts w:ascii="黑体" w:hAnsi="黑体" w:cs="黑体" w:eastAsia="黑体" w:hint="default"/>
                <w:sz w:val="20"/>
                <w:szCs w:val="20"/>
              </w:rPr>
              <w:t>用友汽车原自然人股东</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266"/>
              <w:jc w:val="right"/>
              <w:rPr>
                <w:rFonts w:ascii="Arial" w:hAnsi="Arial" w:cs="Arial" w:eastAsia="Arial" w:hint="default"/>
                <w:sz w:val="20"/>
                <w:szCs w:val="20"/>
              </w:rPr>
            </w:pPr>
            <w:r>
              <w:rPr>
                <w:rFonts w:ascii="Arial"/>
                <w:spacing w:val="-1"/>
                <w:sz w:val="20"/>
              </w:rPr>
              <w:t>34,370,000</w:t>
            </w:r>
            <w:r>
              <w:rPr>
                <w:rFonts w:ascii="Arial"/>
                <w:sz w:val="20"/>
              </w:rPr>
            </w:r>
          </w:p>
        </w:tc>
        <w:tc>
          <w:tcPr>
            <w:tcW w:w="246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98"/>
              <w:jc w:val="right"/>
              <w:rPr>
                <w:rFonts w:ascii="黑体" w:hAnsi="黑体" w:cs="黑体" w:eastAsia="黑体" w:hint="default"/>
                <w:sz w:val="20"/>
                <w:szCs w:val="20"/>
              </w:rPr>
            </w:pPr>
            <w:r>
              <w:rPr>
                <w:rFonts w:ascii="黑体" w:hAnsi="黑体" w:cs="黑体" w:eastAsia="黑体" w:hint="default"/>
                <w:w w:val="95"/>
                <w:sz w:val="20"/>
                <w:szCs w:val="20"/>
              </w:rPr>
              <w:t>未到合同约定的付款日</w:t>
            </w:r>
            <w:r>
              <w:rPr>
                <w:rFonts w:ascii="黑体" w:hAnsi="黑体" w:cs="黑体" w:eastAsia="黑体" w:hint="default"/>
                <w:sz w:val="20"/>
                <w:szCs w:val="20"/>
              </w:rPr>
            </w:r>
          </w:p>
        </w:tc>
      </w:tr>
      <w:tr>
        <w:trPr>
          <w:trHeight w:val="260" w:hRule="exact"/>
        </w:trPr>
        <w:tc>
          <w:tcPr>
            <w:tcW w:w="3878"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北京中关村永丰基地发展有限公司</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66"/>
              <w:jc w:val="right"/>
              <w:rPr>
                <w:rFonts w:ascii="Arial" w:hAnsi="Arial" w:cs="Arial" w:eastAsia="Arial" w:hint="default"/>
                <w:sz w:val="20"/>
                <w:szCs w:val="20"/>
              </w:rPr>
            </w:pPr>
            <w:r>
              <w:rPr>
                <w:rFonts w:ascii="Arial"/>
                <w:spacing w:val="-1"/>
                <w:sz w:val="20"/>
              </w:rPr>
              <w:t>74,596,620</w:t>
            </w:r>
            <w:r>
              <w:rPr>
                <w:rFonts w:ascii="Arial"/>
                <w:sz w:val="20"/>
              </w:rPr>
            </w:r>
          </w:p>
        </w:tc>
        <w:tc>
          <w:tcPr>
            <w:tcW w:w="2464" w:type="dxa"/>
            <w:tcBorders>
              <w:top w:val="nil" w:sz="6" w:space="0" w:color="auto"/>
              <w:left w:val="nil" w:sz="6" w:space="0" w:color="auto"/>
              <w:bottom w:val="nil" w:sz="6" w:space="0" w:color="auto"/>
              <w:right w:val="nil" w:sz="6" w:space="0" w:color="auto"/>
            </w:tcBorders>
          </w:tcPr>
          <w:p>
            <w:pPr>
              <w:pStyle w:val="TableParagraph"/>
              <w:spacing w:line="226" w:lineRule="exact"/>
              <w:ind w:right="198"/>
              <w:jc w:val="right"/>
              <w:rPr>
                <w:rFonts w:ascii="黑体" w:hAnsi="黑体" w:cs="黑体" w:eastAsia="黑体" w:hint="default"/>
                <w:sz w:val="20"/>
                <w:szCs w:val="20"/>
              </w:rPr>
            </w:pPr>
            <w:r>
              <w:rPr>
                <w:rFonts w:ascii="黑体" w:hAnsi="黑体" w:cs="黑体" w:eastAsia="黑体" w:hint="default"/>
                <w:w w:val="95"/>
                <w:sz w:val="20"/>
                <w:szCs w:val="20"/>
              </w:rPr>
              <w:t>未到合同约定的付款日</w:t>
            </w:r>
            <w:r>
              <w:rPr>
                <w:rFonts w:ascii="黑体" w:hAnsi="黑体" w:cs="黑体" w:eastAsia="黑体" w:hint="default"/>
                <w:sz w:val="20"/>
                <w:szCs w:val="20"/>
              </w:rPr>
            </w:r>
          </w:p>
        </w:tc>
      </w:tr>
      <w:tr>
        <w:trPr>
          <w:trHeight w:val="389" w:hRule="exact"/>
        </w:trPr>
        <w:tc>
          <w:tcPr>
            <w:tcW w:w="3878" w:type="dxa"/>
            <w:tcBorders>
              <w:top w:val="nil" w:sz="6" w:space="0" w:color="auto"/>
              <w:left w:val="nil" w:sz="6" w:space="0" w:color="auto"/>
              <w:bottom w:val="nil" w:sz="6" w:space="0" w:color="auto"/>
              <w:right w:val="nil" w:sz="6" w:space="0" w:color="auto"/>
            </w:tcBorders>
          </w:tcPr>
          <w:p>
            <w:pPr>
              <w:pStyle w:val="TableParagraph"/>
              <w:spacing w:line="224" w:lineRule="exact"/>
              <w:ind w:left="200" w:right="0"/>
              <w:jc w:val="left"/>
              <w:rPr>
                <w:rFonts w:ascii="黑体" w:hAnsi="黑体" w:cs="黑体" w:eastAsia="黑体" w:hint="default"/>
                <w:sz w:val="20"/>
                <w:szCs w:val="20"/>
              </w:rPr>
            </w:pPr>
            <w:r>
              <w:rPr>
                <w:rFonts w:ascii="黑体" w:hAnsi="黑体" w:cs="黑体" w:eastAsia="黑体" w:hint="default"/>
                <w:sz w:val="20"/>
                <w:szCs w:val="20"/>
              </w:rPr>
              <w:t>中建三局建设工程股份有限公司</w:t>
            </w: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5"/>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1"/>
                <w:sz w:val="20"/>
                <w:u w:val="single" w:color="000000"/>
              </w:rPr>
              <w:t> </w:t>
            </w:r>
            <w:r>
              <w:rPr>
                <w:rFonts w:ascii="Arial"/>
                <w:spacing w:val="-1"/>
                <w:w w:val="95"/>
                <w:sz w:val="20"/>
                <w:u w:val="single" w:color="000000"/>
              </w:rPr>
              <w:t>4,500,000</w:t>
            </w:r>
            <w:r>
              <w:rPr>
                <w:rFonts w:ascii="Arial"/>
                <w:spacing w:val="-1"/>
                <w:w w:val="95"/>
                <w:sz w:val="20"/>
              </w:rPr>
            </w:r>
            <w:r>
              <w:rPr>
                <w:rFonts w:ascii="Arial"/>
                <w:sz w:val="20"/>
              </w:rPr>
            </w:r>
          </w:p>
        </w:tc>
        <w:tc>
          <w:tcPr>
            <w:tcW w:w="2464" w:type="dxa"/>
            <w:tcBorders>
              <w:top w:val="nil" w:sz="6" w:space="0" w:color="auto"/>
              <w:left w:val="nil" w:sz="6" w:space="0" w:color="auto"/>
              <w:bottom w:val="nil" w:sz="6" w:space="0" w:color="auto"/>
              <w:right w:val="nil" w:sz="6" w:space="0" w:color="auto"/>
            </w:tcBorders>
          </w:tcPr>
          <w:p>
            <w:pPr>
              <w:pStyle w:val="TableParagraph"/>
              <w:spacing w:line="224" w:lineRule="exact"/>
              <w:ind w:right="198"/>
              <w:jc w:val="right"/>
              <w:rPr>
                <w:rFonts w:ascii="黑体" w:hAnsi="黑体" w:cs="黑体" w:eastAsia="黑体" w:hint="default"/>
                <w:sz w:val="20"/>
                <w:szCs w:val="20"/>
              </w:rPr>
            </w:pPr>
            <w:r>
              <w:rPr>
                <w:rFonts w:ascii="黑体" w:hAnsi="黑体" w:cs="黑体" w:eastAsia="黑体" w:hint="default"/>
                <w:w w:val="95"/>
                <w:sz w:val="20"/>
                <w:szCs w:val="20"/>
              </w:rPr>
              <w:t>未到合同约定的付款日</w:t>
            </w:r>
            <w:r>
              <w:rPr>
                <w:rFonts w:ascii="黑体" w:hAnsi="黑体" w:cs="黑体" w:eastAsia="黑体" w:hint="default"/>
                <w:sz w:val="20"/>
                <w:szCs w:val="20"/>
              </w:rPr>
            </w:r>
          </w:p>
        </w:tc>
      </w:tr>
      <w:tr>
        <w:trPr>
          <w:trHeight w:val="354" w:hRule="exact"/>
        </w:trPr>
        <w:tc>
          <w:tcPr>
            <w:tcW w:w="3878" w:type="dxa"/>
            <w:tcBorders>
              <w:top w:val="nil" w:sz="6" w:space="0" w:color="auto"/>
              <w:left w:val="nil" w:sz="6" w:space="0" w:color="auto"/>
              <w:bottom w:val="nil" w:sz="6" w:space="0" w:color="auto"/>
              <w:right w:val="nil" w:sz="6" w:space="0" w:color="auto"/>
            </w:tcBorders>
          </w:tcPr>
          <w:p>
            <w:pPr/>
          </w:p>
        </w:tc>
        <w:tc>
          <w:tcPr>
            <w:tcW w:w="1946"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66"/>
              <w:jc w:val="right"/>
              <w:rPr>
                <w:rFonts w:ascii="Arial" w:hAnsi="Arial" w:cs="Arial" w:eastAsia="Arial" w:hint="default"/>
                <w:sz w:val="20"/>
                <w:szCs w:val="20"/>
              </w:rPr>
            </w:pPr>
            <w:r>
              <w:rPr>
                <w:rFonts w:ascii="Arial"/>
                <w:w w:val="99"/>
                <w:sz w:val="20"/>
              </w:rPr>
            </w:r>
            <w:r>
              <w:rPr>
                <w:rFonts w:ascii="Arial"/>
                <w:spacing w:val="-1"/>
                <w:sz w:val="20"/>
                <w:u w:val="thick" w:color="000000"/>
              </w:rPr>
              <w:t>113,466,620</w:t>
            </w:r>
            <w:r>
              <w:rPr>
                <w:rFonts w:ascii="Arial"/>
                <w:spacing w:val="-1"/>
                <w:sz w:val="20"/>
              </w:rPr>
            </w:r>
            <w:r>
              <w:rPr>
                <w:rFonts w:ascii="Arial"/>
                <w:sz w:val="20"/>
              </w:rPr>
            </w:r>
          </w:p>
        </w:tc>
        <w:tc>
          <w:tcPr>
            <w:tcW w:w="2464" w:type="dxa"/>
            <w:tcBorders>
              <w:top w:val="nil" w:sz="6" w:space="0" w:color="auto"/>
              <w:left w:val="nil" w:sz="6" w:space="0" w:color="auto"/>
              <w:bottom w:val="nil" w:sz="6" w:space="0" w:color="auto"/>
              <w:right w:val="nil" w:sz="6" w:space="0" w:color="auto"/>
            </w:tcBorders>
          </w:tcPr>
          <w:p>
            <w:pPr/>
          </w:p>
        </w:tc>
      </w:tr>
    </w:tbl>
    <w:p>
      <w:pPr>
        <w:spacing w:line="240" w:lineRule="auto" w:before="8"/>
        <w:rPr>
          <w:rFonts w:ascii="黑体" w:hAnsi="黑体" w:cs="黑体" w:eastAsia="黑体" w:hint="default"/>
          <w:sz w:val="15"/>
          <w:szCs w:val="15"/>
        </w:rPr>
      </w:pPr>
    </w:p>
    <w:p>
      <w:pPr>
        <w:pStyle w:val="BodyText"/>
        <w:spacing w:line="424" w:lineRule="auto" w:before="37"/>
        <w:ind w:right="2501"/>
        <w:jc w:val="left"/>
      </w:pPr>
      <w:r>
        <w:rPr/>
        <w:t>以上账龄超过</w:t>
      </w:r>
      <w:r>
        <w:rPr>
          <w:rFonts w:ascii="Arial" w:hAnsi="Arial" w:cs="Arial" w:eastAsia="Arial" w:hint="default"/>
        </w:rPr>
        <w:t>1</w:t>
      </w:r>
      <w:r>
        <w:rPr/>
        <w:t>年的大额其他应付款，资产负债表日后均未支付。</w:t>
      </w:r>
      <w:r>
        <w:rPr>
          <w:w w:val="99"/>
        </w:rPr>
        <w:t> </w:t>
      </w:r>
      <w:r>
        <w:rPr/>
        <w:t>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日，账龄超过</w:t>
      </w:r>
      <w:r>
        <w:rPr>
          <w:rFonts w:ascii="Arial" w:hAnsi="Arial" w:cs="Arial" w:eastAsia="Arial" w:hint="default"/>
        </w:rPr>
        <w:t>1</w:t>
      </w:r>
      <w:r>
        <w:rPr/>
        <w:t>年的大额款项如下：</w:t>
      </w:r>
    </w:p>
    <w:p>
      <w:pPr>
        <w:spacing w:line="240" w:lineRule="auto" w:before="12"/>
        <w:rPr>
          <w:rFonts w:ascii="黑体" w:hAnsi="黑体" w:cs="黑体" w:eastAsia="黑体" w:hint="default"/>
          <w:sz w:val="7"/>
          <w:szCs w:val="7"/>
        </w:rPr>
      </w:pPr>
    </w:p>
    <w:tbl>
      <w:tblPr>
        <w:tblW w:w="0" w:type="auto"/>
        <w:jc w:val="left"/>
        <w:tblInd w:w="619" w:type="dxa"/>
        <w:tblLayout w:type="fixed"/>
        <w:tblCellMar>
          <w:top w:w="0" w:type="dxa"/>
          <w:left w:w="0" w:type="dxa"/>
          <w:bottom w:w="0" w:type="dxa"/>
          <w:right w:w="0" w:type="dxa"/>
        </w:tblCellMar>
        <w:tblLook w:val="01E0"/>
      </w:tblPr>
      <w:tblGrid>
        <w:gridCol w:w="3874"/>
        <w:gridCol w:w="1961"/>
        <w:gridCol w:w="2482"/>
      </w:tblGrid>
      <w:tr>
        <w:trPr>
          <w:trHeight w:val="356" w:hRule="exact"/>
        </w:trPr>
        <w:tc>
          <w:tcPr>
            <w:tcW w:w="3874"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199" w:lineRule="exact"/>
              <w:ind w:right="283"/>
              <w:jc w:val="right"/>
              <w:rPr>
                <w:rFonts w:ascii="黑体" w:hAnsi="黑体" w:cs="黑体" w:eastAsia="黑体" w:hint="default"/>
                <w:sz w:val="20"/>
                <w:szCs w:val="20"/>
              </w:rPr>
            </w:pPr>
            <w:r>
              <w:rPr>
                <w:rFonts w:ascii="黑体" w:hAnsi="黑体" w:cs="黑体" w:eastAsia="黑体" w:hint="default"/>
                <w:w w:val="95"/>
                <w:sz w:val="20"/>
                <w:szCs w:val="20"/>
              </w:rPr>
              <w:t>应付金额</w:t>
            </w:r>
            <w:r>
              <w:rPr>
                <w:rFonts w:ascii="黑体" w:hAnsi="黑体" w:cs="黑体" w:eastAsia="黑体" w:hint="default"/>
                <w:sz w:val="20"/>
                <w:szCs w:val="20"/>
              </w:rPr>
            </w:r>
          </w:p>
        </w:tc>
        <w:tc>
          <w:tcPr>
            <w:tcW w:w="2482" w:type="dxa"/>
            <w:tcBorders>
              <w:top w:val="nil" w:sz="6" w:space="0" w:color="auto"/>
              <w:left w:val="nil" w:sz="6" w:space="0" w:color="auto"/>
              <w:bottom w:val="nil" w:sz="6" w:space="0" w:color="auto"/>
              <w:right w:val="nil" w:sz="6" w:space="0" w:color="auto"/>
            </w:tcBorders>
          </w:tcPr>
          <w:p>
            <w:pPr>
              <w:pStyle w:val="TableParagraph"/>
              <w:spacing w:line="199" w:lineRule="exact"/>
              <w:ind w:right="198"/>
              <w:jc w:val="right"/>
              <w:rPr>
                <w:rFonts w:ascii="黑体" w:hAnsi="黑体" w:cs="黑体" w:eastAsia="黑体" w:hint="default"/>
                <w:sz w:val="20"/>
                <w:szCs w:val="20"/>
              </w:rPr>
            </w:pPr>
            <w:r>
              <w:rPr>
                <w:rFonts w:ascii="黑体" w:hAnsi="黑体" w:cs="黑体" w:eastAsia="黑体" w:hint="default"/>
                <w:w w:val="95"/>
                <w:sz w:val="20"/>
                <w:szCs w:val="20"/>
              </w:rPr>
              <w:t>未结转原因</w:t>
            </w:r>
            <w:r>
              <w:rPr>
                <w:rFonts w:ascii="黑体" w:hAnsi="黑体" w:cs="黑体" w:eastAsia="黑体" w:hint="default"/>
                <w:sz w:val="20"/>
                <w:szCs w:val="20"/>
              </w:rPr>
            </w:r>
          </w:p>
        </w:tc>
      </w:tr>
      <w:tr>
        <w:trPr>
          <w:trHeight w:val="390" w:hRule="exact"/>
        </w:trPr>
        <w:tc>
          <w:tcPr>
            <w:tcW w:w="387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0" w:right="0"/>
              <w:jc w:val="left"/>
              <w:rPr>
                <w:rFonts w:ascii="黑体" w:hAnsi="黑体" w:cs="黑体" w:eastAsia="黑体" w:hint="default"/>
                <w:sz w:val="20"/>
                <w:szCs w:val="20"/>
              </w:rPr>
            </w:pPr>
            <w:r>
              <w:rPr>
                <w:rFonts w:ascii="黑体" w:hAnsi="黑体" w:cs="黑体" w:eastAsia="黑体" w:hint="default"/>
                <w:sz w:val="20"/>
                <w:szCs w:val="20"/>
              </w:rPr>
              <w:t>用友汽车原自然人股东</w:t>
            </w: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284"/>
              <w:jc w:val="right"/>
              <w:rPr>
                <w:rFonts w:ascii="Arial" w:hAnsi="Arial" w:cs="Arial" w:eastAsia="Arial" w:hint="default"/>
                <w:sz w:val="20"/>
                <w:szCs w:val="20"/>
              </w:rPr>
            </w:pPr>
            <w:r>
              <w:rPr>
                <w:rFonts w:ascii="Arial"/>
                <w:spacing w:val="-1"/>
                <w:sz w:val="20"/>
              </w:rPr>
              <w:t>73,650,000</w:t>
            </w:r>
            <w:r>
              <w:rPr>
                <w:rFonts w:ascii="Arial"/>
                <w:sz w:val="20"/>
              </w:rPr>
            </w: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98"/>
              <w:jc w:val="right"/>
              <w:rPr>
                <w:rFonts w:ascii="黑体" w:hAnsi="黑体" w:cs="黑体" w:eastAsia="黑体" w:hint="default"/>
                <w:sz w:val="20"/>
                <w:szCs w:val="20"/>
              </w:rPr>
            </w:pPr>
            <w:r>
              <w:rPr>
                <w:rFonts w:ascii="黑体" w:hAnsi="黑体" w:cs="黑体" w:eastAsia="黑体" w:hint="default"/>
                <w:w w:val="95"/>
                <w:sz w:val="20"/>
                <w:szCs w:val="20"/>
              </w:rPr>
              <w:t>未到合同约定的付款日</w:t>
            </w:r>
            <w:r>
              <w:rPr>
                <w:rFonts w:ascii="黑体" w:hAnsi="黑体" w:cs="黑体" w:eastAsia="黑体" w:hint="default"/>
                <w:sz w:val="20"/>
                <w:szCs w:val="20"/>
              </w:rPr>
            </w:r>
          </w:p>
        </w:tc>
      </w:tr>
      <w:tr>
        <w:trPr>
          <w:trHeight w:val="259" w:hRule="exact"/>
        </w:trPr>
        <w:tc>
          <w:tcPr>
            <w:tcW w:w="3874"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北京中关村永丰基地发展有限公司</w:t>
            </w: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84"/>
              <w:jc w:val="right"/>
              <w:rPr>
                <w:rFonts w:ascii="Arial" w:hAnsi="Arial" w:cs="Arial" w:eastAsia="Arial" w:hint="default"/>
                <w:sz w:val="20"/>
                <w:szCs w:val="20"/>
              </w:rPr>
            </w:pPr>
            <w:r>
              <w:rPr>
                <w:rFonts w:ascii="Arial"/>
                <w:spacing w:val="-1"/>
                <w:sz w:val="20"/>
              </w:rPr>
              <w:t>74,596,620</w:t>
            </w:r>
            <w:r>
              <w:rPr>
                <w:rFonts w:ascii="Arial"/>
                <w:sz w:val="20"/>
              </w:rPr>
            </w:r>
          </w:p>
        </w:tc>
        <w:tc>
          <w:tcPr>
            <w:tcW w:w="2482" w:type="dxa"/>
            <w:tcBorders>
              <w:top w:val="nil" w:sz="6" w:space="0" w:color="auto"/>
              <w:left w:val="nil" w:sz="6" w:space="0" w:color="auto"/>
              <w:bottom w:val="nil" w:sz="6" w:space="0" w:color="auto"/>
              <w:right w:val="nil" w:sz="6" w:space="0" w:color="auto"/>
            </w:tcBorders>
          </w:tcPr>
          <w:p>
            <w:pPr>
              <w:pStyle w:val="TableParagraph"/>
              <w:spacing w:line="226" w:lineRule="exact"/>
              <w:ind w:right="198"/>
              <w:jc w:val="right"/>
              <w:rPr>
                <w:rFonts w:ascii="黑体" w:hAnsi="黑体" w:cs="黑体" w:eastAsia="黑体" w:hint="default"/>
                <w:sz w:val="20"/>
                <w:szCs w:val="20"/>
              </w:rPr>
            </w:pPr>
            <w:r>
              <w:rPr>
                <w:rFonts w:ascii="黑体" w:hAnsi="黑体" w:cs="黑体" w:eastAsia="黑体" w:hint="default"/>
                <w:w w:val="95"/>
                <w:sz w:val="20"/>
                <w:szCs w:val="20"/>
              </w:rPr>
              <w:t>未到合同约定的付款日</w:t>
            </w:r>
            <w:r>
              <w:rPr>
                <w:rFonts w:ascii="黑体" w:hAnsi="黑体" w:cs="黑体" w:eastAsia="黑体" w:hint="default"/>
                <w:sz w:val="20"/>
                <w:szCs w:val="20"/>
              </w:rPr>
            </w:r>
          </w:p>
        </w:tc>
      </w:tr>
      <w:tr>
        <w:trPr>
          <w:trHeight w:val="389" w:hRule="exact"/>
        </w:trPr>
        <w:tc>
          <w:tcPr>
            <w:tcW w:w="3874"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时空超越</w:t>
            </w: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83"/>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1"/>
                <w:sz w:val="20"/>
                <w:u w:val="single" w:color="000000"/>
              </w:rPr>
              <w:t> </w:t>
            </w:r>
            <w:r>
              <w:rPr>
                <w:rFonts w:ascii="Arial"/>
                <w:spacing w:val="-1"/>
                <w:w w:val="95"/>
                <w:sz w:val="20"/>
                <w:u w:val="single" w:color="000000"/>
              </w:rPr>
              <w:t>3,010,000</w:t>
            </w:r>
            <w:r>
              <w:rPr>
                <w:rFonts w:ascii="Arial"/>
                <w:spacing w:val="-1"/>
                <w:w w:val="95"/>
                <w:sz w:val="20"/>
              </w:rPr>
            </w:r>
            <w:r>
              <w:rPr>
                <w:rFonts w:ascii="Arial"/>
                <w:sz w:val="20"/>
              </w:rPr>
            </w:r>
          </w:p>
        </w:tc>
        <w:tc>
          <w:tcPr>
            <w:tcW w:w="2482" w:type="dxa"/>
            <w:tcBorders>
              <w:top w:val="nil" w:sz="6" w:space="0" w:color="auto"/>
              <w:left w:val="nil" w:sz="6" w:space="0" w:color="auto"/>
              <w:bottom w:val="nil" w:sz="6" w:space="0" w:color="auto"/>
              <w:right w:val="nil" w:sz="6" w:space="0" w:color="auto"/>
            </w:tcBorders>
          </w:tcPr>
          <w:p>
            <w:pPr>
              <w:pStyle w:val="TableParagraph"/>
              <w:spacing w:line="226" w:lineRule="exact"/>
              <w:ind w:right="198"/>
              <w:jc w:val="right"/>
              <w:rPr>
                <w:rFonts w:ascii="黑体" w:hAnsi="黑体" w:cs="黑体" w:eastAsia="黑体" w:hint="default"/>
                <w:sz w:val="20"/>
                <w:szCs w:val="20"/>
              </w:rPr>
            </w:pPr>
            <w:r>
              <w:rPr>
                <w:rFonts w:ascii="黑体" w:hAnsi="黑体" w:cs="黑体" w:eastAsia="黑体" w:hint="default"/>
                <w:w w:val="95"/>
                <w:sz w:val="20"/>
                <w:szCs w:val="20"/>
              </w:rPr>
              <w:t>未到合同约定的付款日</w:t>
            </w:r>
            <w:r>
              <w:rPr>
                <w:rFonts w:ascii="黑体" w:hAnsi="黑体" w:cs="黑体" w:eastAsia="黑体" w:hint="default"/>
                <w:sz w:val="20"/>
                <w:szCs w:val="20"/>
              </w:rPr>
            </w:r>
          </w:p>
        </w:tc>
      </w:tr>
      <w:tr>
        <w:trPr>
          <w:trHeight w:val="355" w:hRule="exact"/>
        </w:trPr>
        <w:tc>
          <w:tcPr>
            <w:tcW w:w="3874" w:type="dxa"/>
            <w:tcBorders>
              <w:top w:val="nil" w:sz="6" w:space="0" w:color="auto"/>
              <w:left w:val="nil" w:sz="6" w:space="0" w:color="auto"/>
              <w:bottom w:val="nil" w:sz="6" w:space="0" w:color="auto"/>
              <w:right w:val="nil" w:sz="6" w:space="0" w:color="auto"/>
            </w:tcBorders>
          </w:tcPr>
          <w:p>
            <w:pPr/>
          </w:p>
        </w:tc>
        <w:tc>
          <w:tcPr>
            <w:tcW w:w="1961"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84"/>
              <w:jc w:val="right"/>
              <w:rPr>
                <w:rFonts w:ascii="Arial" w:hAnsi="Arial" w:cs="Arial" w:eastAsia="Arial" w:hint="default"/>
                <w:sz w:val="20"/>
                <w:szCs w:val="20"/>
              </w:rPr>
            </w:pPr>
            <w:r>
              <w:rPr>
                <w:rFonts w:ascii="Arial"/>
                <w:w w:val="99"/>
                <w:sz w:val="20"/>
              </w:rPr>
            </w:r>
            <w:r>
              <w:rPr>
                <w:rFonts w:ascii="Arial"/>
                <w:spacing w:val="-1"/>
                <w:sz w:val="20"/>
                <w:u w:val="thick" w:color="000000"/>
              </w:rPr>
              <w:t>151,256,620</w:t>
            </w:r>
            <w:r>
              <w:rPr>
                <w:rFonts w:ascii="Arial"/>
                <w:spacing w:val="-1"/>
                <w:sz w:val="20"/>
              </w:rPr>
            </w:r>
            <w:r>
              <w:rPr>
                <w:rFonts w:ascii="Arial"/>
                <w:sz w:val="20"/>
              </w:rPr>
            </w:r>
          </w:p>
        </w:tc>
        <w:tc>
          <w:tcPr>
            <w:tcW w:w="2482" w:type="dxa"/>
            <w:tcBorders>
              <w:top w:val="nil" w:sz="6" w:space="0" w:color="auto"/>
              <w:left w:val="nil" w:sz="6" w:space="0" w:color="auto"/>
              <w:bottom w:val="nil" w:sz="6" w:space="0" w:color="auto"/>
              <w:right w:val="nil" w:sz="6" w:space="0" w:color="auto"/>
            </w:tcBorders>
          </w:tcPr>
          <w:p>
            <w:pPr/>
          </w:p>
        </w:tc>
      </w:tr>
    </w:tbl>
    <w:p>
      <w:pPr>
        <w:spacing w:after="0"/>
        <w:sectPr>
          <w:pgSz w:w="11910" w:h="16850"/>
          <w:pgMar w:header="957" w:footer="830" w:top="2520" w:bottom="1020" w:left="1600" w:right="1260"/>
        </w:sectPr>
      </w:pPr>
    </w:p>
    <w:p>
      <w:pPr>
        <w:spacing w:line="240" w:lineRule="auto" w:before="3"/>
        <w:rPr>
          <w:rFonts w:ascii="黑体" w:hAnsi="黑体" w:cs="黑体" w:eastAsia="黑体" w:hint="default"/>
          <w:sz w:val="21"/>
          <w:szCs w:val="21"/>
        </w:rPr>
      </w:pPr>
    </w:p>
    <w:p>
      <w:pPr>
        <w:pStyle w:val="Heading6"/>
        <w:tabs>
          <w:tab w:pos="804" w:val="left" w:leader="none"/>
        </w:tabs>
        <w:spacing w:line="240" w:lineRule="auto"/>
        <w:ind w:right="3627"/>
        <w:jc w:val="left"/>
        <w:rPr>
          <w:b w:val="0"/>
          <w:bCs w:val="0"/>
        </w:rPr>
      </w:pPr>
      <w:r>
        <w:rPr>
          <w:w w:val="95"/>
        </w:rPr>
        <w:t>五、</w:t>
        <w:tab/>
      </w:r>
      <w:r>
        <w:rPr/>
        <w:t>合并财务报表主要项目注释（续）</w:t>
      </w:r>
      <w:r>
        <w:rPr>
          <w:b w:val="0"/>
          <w:bCs w:val="0"/>
        </w:rPr>
      </w:r>
    </w:p>
    <w:p>
      <w:pPr>
        <w:spacing w:line="240" w:lineRule="auto" w:before="10"/>
        <w:rPr>
          <w:rFonts w:ascii="黑体" w:hAnsi="黑体" w:cs="黑体" w:eastAsia="黑体" w:hint="default"/>
          <w:b/>
          <w:bCs/>
          <w:sz w:val="17"/>
          <w:szCs w:val="17"/>
        </w:rPr>
      </w:pPr>
    </w:p>
    <w:p>
      <w:pPr>
        <w:pStyle w:val="Heading6"/>
        <w:tabs>
          <w:tab w:pos="823" w:val="left" w:leader="none"/>
        </w:tabs>
        <w:spacing w:line="240" w:lineRule="auto" w:before="0"/>
        <w:ind w:right="3627"/>
        <w:jc w:val="left"/>
        <w:rPr>
          <w:b w:val="0"/>
          <w:bCs w:val="0"/>
        </w:rPr>
      </w:pPr>
      <w:r>
        <w:rPr>
          <w:rFonts w:ascii="Arial" w:hAnsi="Arial" w:cs="Arial" w:eastAsia="Arial" w:hint="default"/>
          <w:spacing w:val="-1"/>
          <w:w w:val="95"/>
        </w:rPr>
        <w:t>26.</w:t>
        <w:tab/>
      </w:r>
      <w:r>
        <w:rPr>
          <w:spacing w:val="1"/>
        </w:rPr>
        <w:t>一年</w:t>
      </w:r>
      <w:bookmarkStart w:name="26.    一年内到期的非流动负债" w:id="121"/>
      <w:bookmarkEnd w:id="121"/>
      <w:r>
        <w:rPr>
          <w:spacing w:val="1"/>
        </w:rPr>
        <w:t>内到</w:t>
      </w:r>
      <w:r>
        <w:rPr>
          <w:spacing w:val="1"/>
        </w:rPr>
        <w:t>期的非流动负债</w:t>
      </w:r>
      <w:r>
        <w:rPr>
          <w:b w:val="0"/>
          <w:bCs w:val="0"/>
          <w:spacing w:val="1"/>
        </w:rPr>
      </w:r>
    </w:p>
    <w:p>
      <w:pPr>
        <w:spacing w:line="240" w:lineRule="auto" w:before="2"/>
        <w:rPr>
          <w:rFonts w:ascii="黑体" w:hAnsi="黑体" w:cs="黑体" w:eastAsia="黑体" w:hint="default"/>
          <w:b/>
          <w:bCs/>
          <w:sz w:val="20"/>
          <w:szCs w:val="20"/>
        </w:rPr>
      </w:pPr>
    </w:p>
    <w:tbl>
      <w:tblPr>
        <w:tblW w:w="0" w:type="auto"/>
        <w:jc w:val="left"/>
        <w:tblInd w:w="621" w:type="dxa"/>
        <w:tblLayout w:type="fixed"/>
        <w:tblCellMar>
          <w:top w:w="0" w:type="dxa"/>
          <w:left w:w="0" w:type="dxa"/>
          <w:bottom w:w="0" w:type="dxa"/>
          <w:right w:w="0" w:type="dxa"/>
        </w:tblCellMar>
        <w:tblLook w:val="01E0"/>
      </w:tblPr>
      <w:tblGrid>
        <w:gridCol w:w="3618"/>
        <w:gridCol w:w="2714"/>
        <w:gridCol w:w="1853"/>
      </w:tblGrid>
      <w:tr>
        <w:trPr>
          <w:trHeight w:val="232" w:hRule="exact"/>
        </w:trPr>
        <w:tc>
          <w:tcPr>
            <w:tcW w:w="3618" w:type="dxa"/>
            <w:tcBorders>
              <w:top w:val="nil" w:sz="6" w:space="0" w:color="auto"/>
              <w:left w:val="nil" w:sz="6" w:space="0" w:color="auto"/>
              <w:bottom w:val="nil" w:sz="6" w:space="0" w:color="auto"/>
              <w:right w:val="nil" w:sz="6" w:space="0" w:color="auto"/>
            </w:tcBorders>
          </w:tcPr>
          <w:p>
            <w:pPr/>
          </w:p>
        </w:tc>
        <w:tc>
          <w:tcPr>
            <w:tcW w:w="2714" w:type="dxa"/>
            <w:tcBorders>
              <w:top w:val="nil" w:sz="6" w:space="0" w:color="auto"/>
              <w:left w:val="nil" w:sz="6" w:space="0" w:color="auto"/>
              <w:bottom w:val="nil" w:sz="6" w:space="0" w:color="auto"/>
              <w:right w:val="nil" w:sz="6" w:space="0" w:color="auto"/>
            </w:tcBorders>
          </w:tcPr>
          <w:p>
            <w:pPr>
              <w:pStyle w:val="TableParagraph"/>
              <w:spacing w:line="214" w:lineRule="exact"/>
              <w:ind w:right="614"/>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1853" w:type="dxa"/>
            <w:tcBorders>
              <w:top w:val="nil" w:sz="6" w:space="0" w:color="auto"/>
              <w:left w:val="nil" w:sz="6" w:space="0" w:color="auto"/>
              <w:bottom w:val="nil" w:sz="6" w:space="0" w:color="auto"/>
              <w:right w:val="nil" w:sz="6" w:space="0" w:color="auto"/>
            </w:tcBorders>
          </w:tcPr>
          <w:p>
            <w:pPr>
              <w:pStyle w:val="TableParagraph"/>
              <w:spacing w:line="214" w:lineRule="exact"/>
              <w:ind w:right="199"/>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r>
      <w:tr>
        <w:trPr>
          <w:trHeight w:val="383" w:hRule="exact"/>
        </w:trPr>
        <w:tc>
          <w:tcPr>
            <w:tcW w:w="3618" w:type="dxa"/>
            <w:tcBorders>
              <w:top w:val="nil" w:sz="6" w:space="0" w:color="auto"/>
              <w:left w:val="nil" w:sz="6" w:space="0" w:color="auto"/>
              <w:bottom w:val="nil" w:sz="6" w:space="0" w:color="auto"/>
              <w:right w:val="nil" w:sz="6" w:space="0" w:color="auto"/>
            </w:tcBorders>
          </w:tcPr>
          <w:p>
            <w:pPr/>
          </w:p>
        </w:tc>
        <w:tc>
          <w:tcPr>
            <w:tcW w:w="2714" w:type="dxa"/>
            <w:tcBorders>
              <w:top w:val="nil" w:sz="6" w:space="0" w:color="auto"/>
              <w:left w:val="nil" w:sz="6" w:space="0" w:color="auto"/>
              <w:bottom w:val="nil" w:sz="6" w:space="0" w:color="auto"/>
              <w:right w:val="nil" w:sz="6" w:space="0" w:color="auto"/>
            </w:tcBorders>
          </w:tcPr>
          <w:p>
            <w:pPr>
              <w:pStyle w:val="TableParagraph"/>
              <w:spacing w:line="236" w:lineRule="exact"/>
              <w:ind w:right="614"/>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853" w:type="dxa"/>
            <w:tcBorders>
              <w:top w:val="nil" w:sz="6" w:space="0" w:color="auto"/>
              <w:left w:val="nil" w:sz="6" w:space="0" w:color="auto"/>
              <w:bottom w:val="nil" w:sz="6" w:space="0" w:color="auto"/>
              <w:right w:val="nil" w:sz="6" w:space="0" w:color="auto"/>
            </w:tcBorders>
          </w:tcPr>
          <w:p>
            <w:pPr>
              <w:pStyle w:val="TableParagraph"/>
              <w:spacing w:line="236" w:lineRule="exact"/>
              <w:ind w:right="199"/>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r>
      <w:tr>
        <w:trPr>
          <w:trHeight w:val="376" w:hRule="exact"/>
        </w:trPr>
        <w:tc>
          <w:tcPr>
            <w:tcW w:w="361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00" w:right="0"/>
              <w:jc w:val="left"/>
              <w:rPr>
                <w:rFonts w:ascii="Arial" w:hAnsi="Arial" w:cs="Arial" w:eastAsia="Arial" w:hint="default"/>
                <w:sz w:val="20"/>
                <w:szCs w:val="20"/>
              </w:rPr>
            </w:pPr>
            <w:r>
              <w:rPr>
                <w:rFonts w:ascii="黑体" w:hAnsi="黑体" w:cs="黑体" w:eastAsia="黑体" w:hint="default"/>
                <w:sz w:val="20"/>
                <w:szCs w:val="20"/>
              </w:rPr>
              <w:t>一年内到期的长期借款</w:t>
            </w:r>
            <w:r>
              <w:rPr>
                <w:rFonts w:ascii="Arial" w:hAnsi="Arial" w:cs="Arial" w:eastAsia="Arial" w:hint="default"/>
                <w:sz w:val="20"/>
                <w:szCs w:val="20"/>
              </w:rPr>
              <w:t>(</w:t>
            </w:r>
            <w:r>
              <w:rPr>
                <w:rFonts w:ascii="黑体" w:hAnsi="黑体" w:cs="黑体" w:eastAsia="黑体" w:hint="default"/>
                <w:sz w:val="20"/>
                <w:szCs w:val="20"/>
              </w:rPr>
              <w:t>注1</w:t>
            </w:r>
            <w:r>
              <w:rPr>
                <w:rFonts w:ascii="Arial" w:hAnsi="Arial" w:cs="Arial" w:eastAsia="Arial" w:hint="default"/>
                <w:sz w:val="20"/>
                <w:szCs w:val="20"/>
              </w:rPr>
              <w:t>)</w:t>
            </w:r>
          </w:p>
        </w:tc>
        <w:tc>
          <w:tcPr>
            <w:tcW w:w="271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615"/>
              <w:jc w:val="right"/>
              <w:rPr>
                <w:rFonts w:ascii="Arial" w:hAnsi="Arial" w:cs="Arial" w:eastAsia="Arial" w:hint="default"/>
                <w:sz w:val="20"/>
                <w:szCs w:val="20"/>
              </w:rPr>
            </w:pPr>
            <w:r>
              <w:rPr>
                <w:rFonts w:ascii="Arial"/>
                <w:spacing w:val="-1"/>
                <w:sz w:val="20"/>
              </w:rPr>
              <w:t>100,000,000</w:t>
            </w:r>
            <w:r>
              <w:rPr>
                <w:rFonts w:ascii="Arial"/>
                <w:sz w:val="20"/>
              </w:rPr>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98"/>
              <w:jc w:val="right"/>
              <w:rPr>
                <w:rFonts w:ascii="Arial" w:hAnsi="Arial" w:cs="Arial" w:eastAsia="Arial" w:hint="default"/>
                <w:sz w:val="20"/>
                <w:szCs w:val="20"/>
              </w:rPr>
            </w:pPr>
            <w:r>
              <w:rPr>
                <w:rFonts w:ascii="Arial"/>
                <w:w w:val="99"/>
                <w:sz w:val="20"/>
              </w:rPr>
              <w:t>-</w:t>
            </w:r>
            <w:r>
              <w:rPr>
                <w:rFonts w:ascii="Arial"/>
                <w:sz w:val="20"/>
              </w:rPr>
            </w:r>
          </w:p>
        </w:tc>
      </w:tr>
      <w:tr>
        <w:trPr>
          <w:trHeight w:val="394" w:hRule="exact"/>
        </w:trPr>
        <w:tc>
          <w:tcPr>
            <w:tcW w:w="3618" w:type="dxa"/>
            <w:tcBorders>
              <w:top w:val="nil" w:sz="6" w:space="0" w:color="auto"/>
              <w:left w:val="nil" w:sz="6" w:space="0" w:color="auto"/>
              <w:bottom w:val="nil" w:sz="6" w:space="0" w:color="auto"/>
              <w:right w:val="nil" w:sz="6" w:space="0" w:color="auto"/>
            </w:tcBorders>
          </w:tcPr>
          <w:p>
            <w:pPr>
              <w:pStyle w:val="TableParagraph"/>
              <w:spacing w:line="243" w:lineRule="exact"/>
              <w:ind w:left="200" w:right="0"/>
              <w:jc w:val="left"/>
              <w:rPr>
                <w:rFonts w:ascii="Arial" w:hAnsi="Arial" w:cs="Arial" w:eastAsia="Arial" w:hint="default"/>
                <w:sz w:val="20"/>
                <w:szCs w:val="20"/>
              </w:rPr>
            </w:pPr>
            <w:r>
              <w:rPr>
                <w:rFonts w:ascii="黑体" w:hAnsi="黑体" w:cs="黑体" w:eastAsia="黑体" w:hint="default"/>
                <w:sz w:val="20"/>
                <w:szCs w:val="20"/>
              </w:rPr>
              <w:t>一年内到期的递延收益</w:t>
            </w:r>
            <w:r>
              <w:rPr>
                <w:rFonts w:ascii="Arial" w:hAnsi="Arial" w:cs="Arial" w:eastAsia="Arial" w:hint="default"/>
                <w:sz w:val="20"/>
                <w:szCs w:val="20"/>
              </w:rPr>
              <w:t>(</w:t>
            </w:r>
            <w:r>
              <w:rPr>
                <w:rFonts w:ascii="黑体" w:hAnsi="黑体" w:cs="黑体" w:eastAsia="黑体" w:hint="default"/>
                <w:sz w:val="20"/>
                <w:szCs w:val="20"/>
              </w:rPr>
              <w:t>注2</w:t>
            </w:r>
            <w:r>
              <w:rPr>
                <w:rFonts w:ascii="Arial" w:hAnsi="Arial" w:cs="Arial" w:eastAsia="Arial" w:hint="default"/>
                <w:sz w:val="20"/>
                <w:szCs w:val="20"/>
              </w:rPr>
              <w:t>)</w:t>
            </w:r>
          </w:p>
        </w:tc>
        <w:tc>
          <w:tcPr>
            <w:tcW w:w="2714" w:type="dxa"/>
            <w:tcBorders>
              <w:top w:val="nil" w:sz="6" w:space="0" w:color="auto"/>
              <w:left w:val="nil" w:sz="6" w:space="0" w:color="auto"/>
              <w:bottom w:val="nil" w:sz="6" w:space="0" w:color="auto"/>
              <w:right w:val="nil" w:sz="6" w:space="0" w:color="auto"/>
            </w:tcBorders>
          </w:tcPr>
          <w:p>
            <w:pPr>
              <w:pStyle w:val="TableParagraph"/>
              <w:spacing w:line="219" w:lineRule="exact"/>
              <w:ind w:right="614"/>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sz w:val="20"/>
                <w:u w:val="single" w:color="000000"/>
              </w:rPr>
              <w:t>20,571,200</w:t>
            </w:r>
            <w:r>
              <w:rPr>
                <w:rFonts w:ascii="Arial"/>
                <w:spacing w:val="-1"/>
                <w:sz w:val="20"/>
              </w:rPr>
            </w:r>
          </w:p>
        </w:tc>
        <w:tc>
          <w:tcPr>
            <w:tcW w:w="1853" w:type="dxa"/>
            <w:tcBorders>
              <w:top w:val="nil" w:sz="6" w:space="0" w:color="auto"/>
              <w:left w:val="nil" w:sz="6" w:space="0" w:color="auto"/>
              <w:bottom w:val="nil" w:sz="6" w:space="0" w:color="auto"/>
              <w:right w:val="nil" w:sz="6" w:space="0" w:color="auto"/>
            </w:tcBorders>
          </w:tcPr>
          <w:p>
            <w:pPr>
              <w:pStyle w:val="TableParagraph"/>
              <w:spacing w:line="219" w:lineRule="exact"/>
              <w:ind w:right="235"/>
              <w:jc w:val="right"/>
              <w:rPr>
                <w:rFonts w:ascii="Arial" w:hAnsi="Arial" w:cs="Arial" w:eastAsia="Arial" w:hint="default"/>
                <w:sz w:val="20"/>
                <w:szCs w:val="20"/>
              </w:rPr>
            </w:pPr>
            <w:r>
              <w:rPr>
                <w:rFonts w:ascii="Arial"/>
                <w:w w:val="99"/>
                <w:sz w:val="20"/>
              </w:rPr>
            </w:r>
            <w:r>
              <w:rPr>
                <w:rFonts w:ascii="Arial"/>
                <w:spacing w:val="-1"/>
                <w:sz w:val="20"/>
                <w:u w:val="single" w:color="000000"/>
              </w:rPr>
              <w:t>14,240,000</w:t>
            </w:r>
            <w:r>
              <w:rPr>
                <w:rFonts w:ascii="Arial"/>
                <w:spacing w:val="-1"/>
                <w:sz w:val="20"/>
              </w:rPr>
            </w:r>
            <w:r>
              <w:rPr>
                <w:rFonts w:ascii="Arial"/>
                <w:sz w:val="20"/>
              </w:rPr>
            </w:r>
          </w:p>
        </w:tc>
      </w:tr>
      <w:tr>
        <w:trPr>
          <w:trHeight w:val="354" w:hRule="exact"/>
        </w:trPr>
        <w:tc>
          <w:tcPr>
            <w:tcW w:w="3618" w:type="dxa"/>
            <w:tcBorders>
              <w:top w:val="nil" w:sz="6" w:space="0" w:color="auto"/>
              <w:left w:val="nil" w:sz="6" w:space="0" w:color="auto"/>
              <w:bottom w:val="nil" w:sz="6" w:space="0" w:color="auto"/>
              <w:right w:val="nil" w:sz="6" w:space="0" w:color="auto"/>
            </w:tcBorders>
          </w:tcPr>
          <w:p>
            <w:pPr/>
          </w:p>
        </w:tc>
        <w:tc>
          <w:tcPr>
            <w:tcW w:w="2714"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615"/>
              <w:jc w:val="right"/>
              <w:rPr>
                <w:rFonts w:ascii="Arial" w:hAnsi="Arial" w:cs="Arial" w:eastAsia="Arial" w:hint="default"/>
                <w:sz w:val="20"/>
                <w:szCs w:val="20"/>
              </w:rPr>
            </w:pPr>
            <w:r>
              <w:rPr>
                <w:rFonts w:ascii="Arial"/>
                <w:w w:val="99"/>
                <w:sz w:val="20"/>
              </w:rPr>
            </w:r>
            <w:r>
              <w:rPr>
                <w:rFonts w:ascii="Arial"/>
                <w:spacing w:val="-1"/>
                <w:sz w:val="20"/>
                <w:u w:val="thick" w:color="000000"/>
              </w:rPr>
              <w:t>120,571,200</w:t>
            </w:r>
            <w:r>
              <w:rPr>
                <w:rFonts w:ascii="Arial"/>
                <w:spacing w:val="-1"/>
                <w:sz w:val="20"/>
              </w:rPr>
            </w:r>
            <w:r>
              <w:rPr>
                <w:rFonts w:ascii="Arial"/>
                <w:sz w:val="20"/>
              </w:rPr>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99"/>
              <w:jc w:val="right"/>
              <w:rPr>
                <w:rFonts w:ascii="Arial" w:hAnsi="Arial" w:cs="Arial" w:eastAsia="Arial" w:hint="default"/>
                <w:sz w:val="20"/>
                <w:szCs w:val="20"/>
              </w:rPr>
            </w:pPr>
            <w:r>
              <w:rPr>
                <w:rFonts w:ascii="Arial"/>
                <w:w w:val="99"/>
                <w:sz w:val="20"/>
              </w:rPr>
            </w:r>
            <w:r>
              <w:rPr>
                <w:rFonts w:ascii="Arial"/>
                <w:spacing w:val="-1"/>
                <w:sz w:val="20"/>
                <w:u w:val="thick" w:color="000000"/>
              </w:rPr>
              <w:t>14,240,000</w:t>
            </w:r>
            <w:r>
              <w:rPr>
                <w:rFonts w:ascii="Arial"/>
                <w:spacing w:val="-1"/>
                <w:sz w:val="20"/>
              </w:rPr>
            </w:r>
            <w:r>
              <w:rPr>
                <w:rFonts w:ascii="Arial"/>
                <w:sz w:val="20"/>
              </w:rPr>
            </w:r>
          </w:p>
        </w:tc>
      </w:tr>
    </w:tbl>
    <w:p>
      <w:pPr>
        <w:spacing w:line="240" w:lineRule="auto" w:before="1"/>
        <w:rPr>
          <w:rFonts w:ascii="黑体" w:hAnsi="黑体" w:cs="黑体" w:eastAsia="黑体" w:hint="default"/>
          <w:b/>
          <w:bCs/>
          <w:sz w:val="22"/>
          <w:szCs w:val="22"/>
        </w:rPr>
      </w:pPr>
    </w:p>
    <w:p>
      <w:pPr>
        <w:pStyle w:val="BodyText"/>
        <w:spacing w:line="417" w:lineRule="auto" w:before="37"/>
        <w:ind w:left="821" w:right="5890" w:hanging="1"/>
        <w:jc w:val="left"/>
      </w:pPr>
      <w:r>
        <w:rPr/>
        <w:t>注</w:t>
      </w:r>
      <w:r>
        <w:rPr>
          <w:rFonts w:ascii="Arial" w:hAnsi="Arial" w:cs="Arial" w:eastAsia="Arial" w:hint="default"/>
        </w:rPr>
        <w:t>1</w:t>
      </w:r>
      <w:r>
        <w:rPr/>
        <w:t>．</w:t>
      </w:r>
      <w:r>
        <w:rPr>
          <w:spacing w:val="-58"/>
        </w:rPr>
        <w:t> </w:t>
      </w:r>
      <w:r>
        <w:rPr/>
        <w:t>参见附注五、</w:t>
      </w:r>
      <w:r>
        <w:rPr>
          <w:rFonts w:ascii="Arial" w:hAnsi="Arial" w:cs="Arial" w:eastAsia="Arial" w:hint="default"/>
        </w:rPr>
        <w:t>28</w:t>
      </w:r>
      <w:r>
        <w:rPr/>
        <w:t>。</w:t>
      </w:r>
      <w:r>
        <w:rPr>
          <w:w w:val="99"/>
        </w:rPr>
        <w:t> </w:t>
      </w:r>
      <w:r>
        <w:rPr/>
        <w:t>注</w:t>
      </w:r>
      <w:r>
        <w:rPr>
          <w:rFonts w:ascii="Arial" w:hAnsi="Arial" w:cs="Arial" w:eastAsia="Arial" w:hint="default"/>
        </w:rPr>
        <w:t>2</w:t>
      </w:r>
      <w:r>
        <w:rPr/>
        <w:t>．</w:t>
      </w:r>
      <w:r>
        <w:rPr>
          <w:spacing w:val="-59"/>
        </w:rPr>
        <w:t> </w:t>
      </w:r>
      <w:r>
        <w:rPr/>
        <w:t>参见附注五、</w:t>
      </w:r>
      <w:r>
        <w:rPr>
          <w:rFonts w:ascii="Arial" w:hAnsi="Arial" w:cs="Arial" w:eastAsia="Arial" w:hint="default"/>
        </w:rPr>
        <w:t>29</w:t>
      </w:r>
      <w:r>
        <w:rPr/>
        <w:t>。</w:t>
      </w:r>
    </w:p>
    <w:p>
      <w:pPr>
        <w:pStyle w:val="Heading6"/>
        <w:tabs>
          <w:tab w:pos="823" w:val="left" w:leader="none"/>
        </w:tabs>
        <w:spacing w:line="240" w:lineRule="auto" w:before="60"/>
        <w:ind w:right="3627"/>
        <w:jc w:val="left"/>
        <w:rPr>
          <w:b w:val="0"/>
          <w:bCs w:val="0"/>
        </w:rPr>
      </w:pPr>
      <w:r>
        <w:rPr>
          <w:rFonts w:ascii="Arial" w:hAnsi="Arial" w:cs="Arial" w:eastAsia="Arial" w:hint="default"/>
          <w:spacing w:val="-1"/>
          <w:w w:val="95"/>
        </w:rPr>
        <w:t>27.</w:t>
        <w:tab/>
      </w:r>
      <w:r>
        <w:rPr>
          <w:spacing w:val="1"/>
        </w:rPr>
        <w:t>其他流动负债</w:t>
      </w:r>
      <w:r>
        <w:rPr>
          <w:b w:val="0"/>
          <w:bCs w:val="0"/>
          <w:spacing w:val="1"/>
        </w:rPr>
      </w:r>
    </w:p>
    <w:p>
      <w:pPr>
        <w:spacing w:line="240" w:lineRule="auto" w:before="10"/>
        <w:rPr>
          <w:rFonts w:ascii="黑体" w:hAnsi="黑体" w:cs="黑体" w:eastAsia="黑体" w:hint="default"/>
          <w:b/>
          <w:bCs/>
          <w:sz w:val="20"/>
          <w:szCs w:val="20"/>
        </w:rPr>
      </w:pPr>
    </w:p>
    <w:tbl>
      <w:tblPr>
        <w:tblW w:w="0" w:type="auto"/>
        <w:jc w:val="left"/>
        <w:tblInd w:w="638" w:type="dxa"/>
        <w:tblLayout w:type="fixed"/>
        <w:tblCellMar>
          <w:top w:w="0" w:type="dxa"/>
          <w:left w:w="0" w:type="dxa"/>
          <w:bottom w:w="0" w:type="dxa"/>
          <w:right w:w="0" w:type="dxa"/>
        </w:tblCellMar>
        <w:tblLook w:val="01E0"/>
      </w:tblPr>
      <w:tblGrid>
        <w:gridCol w:w="2788"/>
        <w:gridCol w:w="3534"/>
        <w:gridCol w:w="1834"/>
      </w:tblGrid>
      <w:tr>
        <w:trPr>
          <w:trHeight w:val="234" w:hRule="exact"/>
        </w:trPr>
        <w:tc>
          <w:tcPr>
            <w:tcW w:w="2788" w:type="dxa"/>
            <w:tcBorders>
              <w:top w:val="nil" w:sz="6" w:space="0" w:color="auto"/>
              <w:left w:val="nil" w:sz="6" w:space="0" w:color="auto"/>
              <w:bottom w:val="nil" w:sz="6" w:space="0" w:color="auto"/>
              <w:right w:val="nil" w:sz="6" w:space="0" w:color="auto"/>
            </w:tcBorders>
          </w:tcPr>
          <w:p>
            <w:pPr/>
          </w:p>
        </w:tc>
        <w:tc>
          <w:tcPr>
            <w:tcW w:w="3534" w:type="dxa"/>
            <w:tcBorders>
              <w:top w:val="nil" w:sz="6" w:space="0" w:color="auto"/>
              <w:left w:val="nil" w:sz="6" w:space="0" w:color="auto"/>
              <w:bottom w:val="nil" w:sz="6" w:space="0" w:color="auto"/>
              <w:right w:val="nil" w:sz="6" w:space="0" w:color="auto"/>
            </w:tcBorders>
          </w:tcPr>
          <w:p>
            <w:pPr>
              <w:pStyle w:val="TableParagraph"/>
              <w:spacing w:line="214" w:lineRule="exact"/>
              <w:ind w:right="635"/>
              <w:jc w:val="right"/>
              <w:rPr>
                <w:rFonts w:ascii="黑体" w:hAnsi="黑体" w:cs="黑体" w:eastAsia="黑体" w:hint="default"/>
                <w:sz w:val="20"/>
                <w:szCs w:val="20"/>
              </w:rPr>
            </w:pPr>
            <w:bookmarkStart w:name="27.    其他流动负债" w:id="122"/>
            <w:bookmarkEnd w:id="122"/>
            <w:r>
              <w:rPr/>
            </w: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1834" w:type="dxa"/>
            <w:tcBorders>
              <w:top w:val="nil" w:sz="6" w:space="0" w:color="auto"/>
              <w:left w:val="nil" w:sz="6" w:space="0" w:color="auto"/>
              <w:bottom w:val="nil" w:sz="6" w:space="0" w:color="auto"/>
              <w:right w:val="nil" w:sz="6" w:space="0" w:color="auto"/>
            </w:tcBorders>
          </w:tcPr>
          <w:p>
            <w:pPr>
              <w:pStyle w:val="TableParagraph"/>
              <w:spacing w:line="214" w:lineRule="exact"/>
              <w:ind w:right="198"/>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r>
      <w:tr>
        <w:trPr>
          <w:trHeight w:val="374" w:hRule="exact"/>
        </w:trPr>
        <w:tc>
          <w:tcPr>
            <w:tcW w:w="2788" w:type="dxa"/>
            <w:tcBorders>
              <w:top w:val="nil" w:sz="6" w:space="0" w:color="auto"/>
              <w:left w:val="nil" w:sz="6" w:space="0" w:color="auto"/>
              <w:bottom w:val="nil" w:sz="6" w:space="0" w:color="auto"/>
              <w:right w:val="nil" w:sz="6" w:space="0" w:color="auto"/>
            </w:tcBorders>
          </w:tcPr>
          <w:p>
            <w:pPr/>
          </w:p>
        </w:tc>
        <w:tc>
          <w:tcPr>
            <w:tcW w:w="3534" w:type="dxa"/>
            <w:tcBorders>
              <w:top w:val="nil" w:sz="6" w:space="0" w:color="auto"/>
              <w:left w:val="nil" w:sz="6" w:space="0" w:color="auto"/>
              <w:bottom w:val="nil" w:sz="6" w:space="0" w:color="auto"/>
              <w:right w:val="nil" w:sz="6" w:space="0" w:color="auto"/>
            </w:tcBorders>
          </w:tcPr>
          <w:p>
            <w:pPr>
              <w:pStyle w:val="TableParagraph"/>
              <w:spacing w:line="239" w:lineRule="exact"/>
              <w:ind w:right="653"/>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834" w:type="dxa"/>
            <w:tcBorders>
              <w:top w:val="nil" w:sz="6" w:space="0" w:color="auto"/>
              <w:left w:val="nil" w:sz="6" w:space="0" w:color="auto"/>
              <w:bottom w:val="nil" w:sz="6" w:space="0" w:color="auto"/>
              <w:right w:val="nil" w:sz="6" w:space="0" w:color="auto"/>
            </w:tcBorders>
          </w:tcPr>
          <w:p>
            <w:pPr>
              <w:pStyle w:val="TableParagraph"/>
              <w:spacing w:line="239" w:lineRule="exact"/>
              <w:ind w:right="198"/>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r>
      <w:tr>
        <w:trPr>
          <w:trHeight w:val="373" w:hRule="exact"/>
        </w:trPr>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00" w:right="0"/>
              <w:jc w:val="left"/>
              <w:rPr>
                <w:rFonts w:ascii="黑体" w:hAnsi="黑体" w:cs="黑体" w:eastAsia="黑体" w:hint="default"/>
                <w:sz w:val="20"/>
                <w:szCs w:val="20"/>
              </w:rPr>
            </w:pPr>
            <w:r>
              <w:rPr>
                <w:rFonts w:ascii="黑体" w:hAnsi="黑体" w:cs="黑体" w:eastAsia="黑体" w:hint="default"/>
                <w:sz w:val="20"/>
                <w:szCs w:val="20"/>
              </w:rPr>
              <w:t>审计费</w:t>
            </w:r>
          </w:p>
        </w:tc>
        <w:tc>
          <w:tcPr>
            <w:tcW w:w="3534"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653"/>
              <w:jc w:val="right"/>
              <w:rPr>
                <w:rFonts w:ascii="Arial" w:hAnsi="Arial" w:cs="Arial" w:eastAsia="Arial" w:hint="default"/>
                <w:sz w:val="20"/>
                <w:szCs w:val="20"/>
              </w:rPr>
            </w:pPr>
            <w:r>
              <w:rPr>
                <w:rFonts w:ascii="Arial"/>
                <w:spacing w:val="-1"/>
                <w:sz w:val="20"/>
              </w:rPr>
              <w:t>1,950,000</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98"/>
              <w:jc w:val="right"/>
              <w:rPr>
                <w:rFonts w:ascii="Arial" w:hAnsi="Arial" w:cs="Arial" w:eastAsia="Arial" w:hint="default"/>
                <w:sz w:val="20"/>
                <w:szCs w:val="20"/>
              </w:rPr>
            </w:pPr>
            <w:r>
              <w:rPr>
                <w:rFonts w:ascii="Arial"/>
                <w:spacing w:val="-1"/>
                <w:sz w:val="20"/>
              </w:rPr>
              <w:t>1,350,000</w:t>
            </w:r>
          </w:p>
        </w:tc>
      </w:tr>
      <w:tr>
        <w:trPr>
          <w:trHeight w:val="259" w:hRule="exact"/>
        </w:trPr>
        <w:tc>
          <w:tcPr>
            <w:tcW w:w="2788"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房租</w:t>
            </w:r>
          </w:p>
        </w:tc>
        <w:tc>
          <w:tcPr>
            <w:tcW w:w="35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53"/>
              <w:jc w:val="right"/>
              <w:rPr>
                <w:rFonts w:ascii="Arial" w:hAnsi="Arial" w:cs="Arial" w:eastAsia="Arial" w:hint="default"/>
                <w:sz w:val="20"/>
                <w:szCs w:val="20"/>
              </w:rPr>
            </w:pPr>
            <w:r>
              <w:rPr>
                <w:rFonts w:ascii="Arial"/>
                <w:spacing w:val="-1"/>
                <w:sz w:val="20"/>
              </w:rPr>
              <w:t>2,820,018</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spacing w:val="-1"/>
                <w:w w:val="95"/>
                <w:sz w:val="20"/>
              </w:rPr>
              <w:t>726,226</w:t>
            </w:r>
            <w:r>
              <w:rPr>
                <w:rFonts w:ascii="Arial"/>
                <w:sz w:val="20"/>
              </w:rPr>
            </w:r>
          </w:p>
        </w:tc>
      </w:tr>
      <w:tr>
        <w:trPr>
          <w:trHeight w:val="364" w:hRule="exact"/>
        </w:trPr>
        <w:tc>
          <w:tcPr>
            <w:tcW w:w="2788"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35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53"/>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w w:val="95"/>
                <w:sz w:val="20"/>
                <w:u w:val="single" w:color="000000"/>
              </w:rPr>
              <w:t>9,168,588</w:t>
            </w:r>
            <w:r>
              <w:rPr>
                <w:rFonts w:ascii="Arial"/>
                <w:spacing w:val="-1"/>
                <w:w w:val="95"/>
                <w:sz w:val="20"/>
              </w:rPr>
            </w:r>
            <w:r>
              <w:rPr>
                <w:rFonts w:ascii="Arial"/>
                <w:sz w:val="20"/>
              </w:rPr>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w w:val="99"/>
                <w:sz w:val="20"/>
              </w:rPr>
            </w:r>
            <w:r>
              <w:rPr>
                <w:rFonts w:ascii="Arial"/>
                <w:spacing w:val="-1"/>
                <w:sz w:val="20"/>
                <w:u w:val="single" w:color="000000"/>
              </w:rPr>
              <w:t>11,665,190</w:t>
            </w:r>
            <w:r>
              <w:rPr>
                <w:rFonts w:ascii="Arial"/>
                <w:spacing w:val="-1"/>
                <w:sz w:val="20"/>
              </w:rPr>
            </w:r>
            <w:r>
              <w:rPr>
                <w:rFonts w:ascii="Arial"/>
                <w:sz w:val="20"/>
              </w:rPr>
            </w:r>
          </w:p>
        </w:tc>
      </w:tr>
      <w:tr>
        <w:trPr>
          <w:trHeight w:val="330" w:hRule="exact"/>
        </w:trPr>
        <w:tc>
          <w:tcPr>
            <w:tcW w:w="2788" w:type="dxa"/>
            <w:tcBorders>
              <w:top w:val="nil" w:sz="6" w:space="0" w:color="auto"/>
              <w:left w:val="nil" w:sz="6" w:space="0" w:color="auto"/>
              <w:bottom w:val="nil" w:sz="6" w:space="0" w:color="auto"/>
              <w:right w:val="nil" w:sz="6" w:space="0" w:color="auto"/>
            </w:tcBorders>
          </w:tcPr>
          <w:p>
            <w:pPr/>
          </w:p>
        </w:tc>
        <w:tc>
          <w:tcPr>
            <w:tcW w:w="353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653"/>
              <w:jc w:val="right"/>
              <w:rPr>
                <w:rFonts w:ascii="Arial" w:hAnsi="Arial" w:cs="Arial" w:eastAsia="Arial" w:hint="default"/>
                <w:sz w:val="20"/>
                <w:szCs w:val="20"/>
              </w:rPr>
            </w:pPr>
            <w:r>
              <w:rPr>
                <w:rFonts w:ascii="Arial"/>
                <w:w w:val="99"/>
                <w:sz w:val="20"/>
              </w:rPr>
            </w:r>
            <w:r>
              <w:rPr>
                <w:rFonts w:ascii="Arial"/>
                <w:spacing w:val="-1"/>
                <w:sz w:val="20"/>
                <w:u w:val="thick" w:color="000000"/>
              </w:rPr>
              <w:t>13,938,606</w:t>
            </w:r>
            <w:r>
              <w:rPr>
                <w:rFonts w:ascii="Arial"/>
                <w:spacing w:val="-1"/>
                <w:sz w:val="20"/>
              </w:rPr>
            </w:r>
            <w:r>
              <w:rPr>
                <w:rFonts w:ascii="Arial"/>
                <w:sz w:val="20"/>
              </w:rPr>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13,741,416</w:t>
            </w:r>
            <w:r>
              <w:rPr>
                <w:rFonts w:ascii="Arial"/>
                <w:spacing w:val="-1"/>
                <w:sz w:val="20"/>
              </w:rPr>
            </w:r>
            <w:r>
              <w:rPr>
                <w:rFonts w:ascii="Arial"/>
                <w:sz w:val="20"/>
              </w:rPr>
            </w:r>
          </w:p>
        </w:tc>
      </w:tr>
    </w:tbl>
    <w:p>
      <w:pPr>
        <w:spacing w:line="240" w:lineRule="auto" w:before="11"/>
        <w:rPr>
          <w:rFonts w:ascii="黑体" w:hAnsi="黑体" w:cs="黑体" w:eastAsia="黑体" w:hint="default"/>
          <w:b/>
          <w:bCs/>
          <w:sz w:val="13"/>
          <w:szCs w:val="13"/>
        </w:rPr>
      </w:pPr>
    </w:p>
    <w:p>
      <w:pPr>
        <w:pStyle w:val="Heading6"/>
        <w:tabs>
          <w:tab w:pos="780" w:val="left" w:leader="none"/>
        </w:tabs>
        <w:spacing w:line="240" w:lineRule="auto"/>
        <w:ind w:right="3627"/>
        <w:jc w:val="left"/>
        <w:rPr>
          <w:b w:val="0"/>
          <w:bCs w:val="0"/>
        </w:rPr>
      </w:pPr>
      <w:r>
        <w:rPr>
          <w:rFonts w:ascii="Arial" w:hAnsi="Arial" w:cs="Arial" w:eastAsia="Arial" w:hint="default"/>
          <w:spacing w:val="-1"/>
          <w:w w:val="95"/>
        </w:rPr>
        <w:t>28.</w:t>
        <w:tab/>
      </w:r>
      <w:r>
        <w:rPr>
          <w:spacing w:val="2"/>
        </w:rPr>
        <w:t>长期借款</w:t>
      </w:r>
      <w:r>
        <w:rPr>
          <w:b w:val="0"/>
          <w:bCs w:val="0"/>
        </w:rPr>
      </w:r>
    </w:p>
    <w:p>
      <w:pPr>
        <w:spacing w:line="240" w:lineRule="auto" w:before="1"/>
        <w:rPr>
          <w:rFonts w:ascii="黑体" w:hAnsi="黑体" w:cs="黑体" w:eastAsia="黑体" w:hint="default"/>
          <w:b/>
          <w:bCs/>
          <w:sz w:val="21"/>
          <w:szCs w:val="21"/>
        </w:rPr>
      </w:pPr>
    </w:p>
    <w:tbl>
      <w:tblPr>
        <w:tblW w:w="0" w:type="auto"/>
        <w:jc w:val="left"/>
        <w:tblInd w:w="621" w:type="dxa"/>
        <w:tblLayout w:type="fixed"/>
        <w:tblCellMar>
          <w:top w:w="0" w:type="dxa"/>
          <w:left w:w="0" w:type="dxa"/>
          <w:bottom w:w="0" w:type="dxa"/>
          <w:right w:w="0" w:type="dxa"/>
        </w:tblCellMar>
        <w:tblLook w:val="01E0"/>
      </w:tblPr>
      <w:tblGrid>
        <w:gridCol w:w="3584"/>
        <w:gridCol w:w="2692"/>
        <w:gridCol w:w="1903"/>
      </w:tblGrid>
      <w:tr>
        <w:trPr>
          <w:trHeight w:val="242" w:hRule="exact"/>
        </w:trPr>
        <w:tc>
          <w:tcPr>
            <w:tcW w:w="3584" w:type="dxa"/>
            <w:tcBorders>
              <w:top w:val="nil" w:sz="6" w:space="0" w:color="auto"/>
              <w:left w:val="nil" w:sz="6" w:space="0" w:color="auto"/>
              <w:bottom w:val="nil" w:sz="6" w:space="0" w:color="auto"/>
              <w:right w:val="nil" w:sz="6" w:space="0" w:color="auto"/>
            </w:tcBorders>
          </w:tcPr>
          <w:p>
            <w:pPr/>
          </w:p>
        </w:tc>
        <w:tc>
          <w:tcPr>
            <w:tcW w:w="2692" w:type="dxa"/>
            <w:tcBorders>
              <w:top w:val="nil" w:sz="6" w:space="0" w:color="auto"/>
              <w:left w:val="nil" w:sz="6" w:space="0" w:color="auto"/>
              <w:bottom w:val="nil" w:sz="6" w:space="0" w:color="auto"/>
              <w:right w:val="nil" w:sz="6" w:space="0" w:color="auto"/>
            </w:tcBorders>
          </w:tcPr>
          <w:p>
            <w:pPr>
              <w:pStyle w:val="TableParagraph"/>
              <w:spacing w:line="214" w:lineRule="exact"/>
              <w:ind w:right="569"/>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1903" w:type="dxa"/>
            <w:tcBorders>
              <w:top w:val="nil" w:sz="6" w:space="0" w:color="auto"/>
              <w:left w:val="nil" w:sz="6" w:space="0" w:color="auto"/>
              <w:bottom w:val="nil" w:sz="6" w:space="0" w:color="auto"/>
              <w:right w:val="nil" w:sz="6" w:space="0" w:color="auto"/>
            </w:tcBorders>
          </w:tcPr>
          <w:p>
            <w:pPr>
              <w:pStyle w:val="TableParagraph"/>
              <w:spacing w:line="214" w:lineRule="exact"/>
              <w:ind w:right="198"/>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r>
      <w:tr>
        <w:trPr>
          <w:trHeight w:val="403" w:hRule="exact"/>
        </w:trPr>
        <w:tc>
          <w:tcPr>
            <w:tcW w:w="3584" w:type="dxa"/>
            <w:tcBorders>
              <w:top w:val="nil" w:sz="6" w:space="0" w:color="auto"/>
              <w:left w:val="nil" w:sz="6" w:space="0" w:color="auto"/>
              <w:bottom w:val="nil" w:sz="6" w:space="0" w:color="auto"/>
              <w:right w:val="nil" w:sz="6" w:space="0" w:color="auto"/>
            </w:tcBorders>
          </w:tcPr>
          <w:p>
            <w:pPr/>
          </w:p>
        </w:tc>
        <w:tc>
          <w:tcPr>
            <w:tcW w:w="2692" w:type="dxa"/>
            <w:tcBorders>
              <w:top w:val="nil" w:sz="6" w:space="0" w:color="auto"/>
              <w:left w:val="nil" w:sz="6" w:space="0" w:color="auto"/>
              <w:bottom w:val="nil" w:sz="6" w:space="0" w:color="auto"/>
              <w:right w:val="nil" w:sz="6" w:space="0" w:color="auto"/>
            </w:tcBorders>
          </w:tcPr>
          <w:p>
            <w:pPr>
              <w:pStyle w:val="TableParagraph"/>
              <w:spacing w:line="247" w:lineRule="exact"/>
              <w:ind w:right="569"/>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903" w:type="dxa"/>
            <w:tcBorders>
              <w:top w:val="nil" w:sz="6" w:space="0" w:color="auto"/>
              <w:left w:val="nil" w:sz="6" w:space="0" w:color="auto"/>
              <w:bottom w:val="nil" w:sz="6" w:space="0" w:color="auto"/>
              <w:right w:val="nil" w:sz="6" w:space="0" w:color="auto"/>
            </w:tcBorders>
          </w:tcPr>
          <w:p>
            <w:pPr>
              <w:pStyle w:val="TableParagraph"/>
              <w:spacing w:line="247" w:lineRule="exact"/>
              <w:ind w:right="198"/>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r>
      <w:tr>
        <w:trPr>
          <w:trHeight w:val="406" w:hRule="exact"/>
        </w:trPr>
        <w:tc>
          <w:tcPr>
            <w:tcW w:w="3584"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200" w:right="0"/>
              <w:jc w:val="left"/>
              <w:rPr>
                <w:rFonts w:ascii="Arial" w:hAnsi="Arial" w:cs="Arial" w:eastAsia="Arial" w:hint="default"/>
                <w:sz w:val="20"/>
                <w:szCs w:val="20"/>
              </w:rPr>
            </w:pPr>
            <w:r>
              <w:rPr>
                <w:rFonts w:ascii="黑体" w:hAnsi="黑体" w:cs="黑体" w:eastAsia="黑体" w:hint="default"/>
                <w:sz w:val="20"/>
                <w:szCs w:val="20"/>
              </w:rPr>
              <w:t>抵押借款</w:t>
            </w:r>
            <w:r>
              <w:rPr>
                <w:rFonts w:ascii="Arial" w:hAnsi="Arial" w:cs="Arial" w:eastAsia="Arial" w:hint="default"/>
                <w:sz w:val="20"/>
                <w:szCs w:val="20"/>
              </w:rPr>
              <w:t>(</w:t>
            </w:r>
            <w:r>
              <w:rPr>
                <w:rFonts w:ascii="黑体" w:hAnsi="黑体" w:cs="黑体" w:eastAsia="黑体" w:hint="default"/>
                <w:sz w:val="20"/>
                <w:szCs w:val="20"/>
              </w:rPr>
              <w:t>注1</w:t>
            </w:r>
            <w:r>
              <w:rPr>
                <w:rFonts w:ascii="Arial" w:hAnsi="Arial" w:cs="Arial" w:eastAsia="Arial" w:hint="default"/>
                <w:sz w:val="20"/>
                <w:szCs w:val="20"/>
              </w:rPr>
              <w:t>)</w:t>
            </w:r>
          </w:p>
        </w:tc>
        <w:tc>
          <w:tcPr>
            <w:tcW w:w="2692"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594"/>
              <w:jc w:val="right"/>
              <w:rPr>
                <w:rFonts w:ascii="Arial" w:hAnsi="Arial" w:cs="Arial" w:eastAsia="Arial" w:hint="default"/>
                <w:sz w:val="20"/>
                <w:szCs w:val="20"/>
              </w:rPr>
            </w:pPr>
            <w:r>
              <w:rPr>
                <w:rFonts w:ascii="Arial"/>
                <w:spacing w:val="-1"/>
                <w:sz w:val="20"/>
              </w:rPr>
              <w:t>158,763,319</w:t>
            </w:r>
            <w:r>
              <w:rPr>
                <w:rFonts w:ascii="Arial"/>
                <w:sz w:val="20"/>
              </w:rPr>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22"/>
              <w:jc w:val="right"/>
              <w:rPr>
                <w:rFonts w:ascii="Arial" w:hAnsi="Arial" w:cs="Arial" w:eastAsia="Arial" w:hint="default"/>
                <w:sz w:val="20"/>
                <w:szCs w:val="20"/>
              </w:rPr>
            </w:pPr>
            <w:r>
              <w:rPr>
                <w:rFonts w:ascii="Arial"/>
                <w:spacing w:val="-1"/>
                <w:sz w:val="20"/>
              </w:rPr>
              <w:t>50,000,000</w:t>
            </w:r>
            <w:r>
              <w:rPr>
                <w:rFonts w:ascii="Arial"/>
                <w:sz w:val="20"/>
              </w:rPr>
            </w:r>
          </w:p>
        </w:tc>
      </w:tr>
      <w:tr>
        <w:trPr>
          <w:trHeight w:val="259" w:hRule="exact"/>
        </w:trPr>
        <w:tc>
          <w:tcPr>
            <w:tcW w:w="3584" w:type="dxa"/>
            <w:tcBorders>
              <w:top w:val="nil" w:sz="6" w:space="0" w:color="auto"/>
              <w:left w:val="nil" w:sz="6" w:space="0" w:color="auto"/>
              <w:bottom w:val="nil" w:sz="6" w:space="0" w:color="auto"/>
              <w:right w:val="nil" w:sz="6" w:space="0" w:color="auto"/>
            </w:tcBorders>
          </w:tcPr>
          <w:p>
            <w:pPr>
              <w:pStyle w:val="TableParagraph"/>
              <w:spacing w:line="249" w:lineRule="exact"/>
              <w:ind w:left="200" w:right="0"/>
              <w:jc w:val="left"/>
              <w:rPr>
                <w:rFonts w:ascii="Arial" w:hAnsi="Arial" w:cs="Arial" w:eastAsia="Arial" w:hint="default"/>
                <w:sz w:val="20"/>
                <w:szCs w:val="20"/>
              </w:rPr>
            </w:pPr>
            <w:r>
              <w:rPr>
                <w:rFonts w:ascii="黑体" w:hAnsi="黑体" w:cs="黑体" w:eastAsia="黑体" w:hint="default"/>
                <w:sz w:val="20"/>
                <w:szCs w:val="20"/>
              </w:rPr>
              <w:t>保证借款</w:t>
            </w:r>
            <w:r>
              <w:rPr>
                <w:rFonts w:ascii="Arial" w:hAnsi="Arial" w:cs="Arial" w:eastAsia="Arial" w:hint="default"/>
                <w:sz w:val="20"/>
                <w:szCs w:val="20"/>
              </w:rPr>
              <w:t>(</w:t>
            </w:r>
            <w:r>
              <w:rPr>
                <w:rFonts w:ascii="黑体" w:hAnsi="黑体" w:cs="黑体" w:eastAsia="黑体" w:hint="default"/>
                <w:sz w:val="20"/>
                <w:szCs w:val="20"/>
              </w:rPr>
              <w:t>注2</w:t>
            </w:r>
            <w:r>
              <w:rPr>
                <w:rFonts w:ascii="Arial" w:hAnsi="Arial" w:cs="Arial" w:eastAsia="Arial" w:hint="default"/>
                <w:sz w:val="20"/>
                <w:szCs w:val="20"/>
              </w:rPr>
              <w:t>)</w:t>
            </w:r>
          </w:p>
        </w:tc>
        <w:tc>
          <w:tcPr>
            <w:tcW w:w="2692" w:type="dxa"/>
            <w:tcBorders>
              <w:top w:val="nil" w:sz="6" w:space="0" w:color="auto"/>
              <w:left w:val="nil" w:sz="6" w:space="0" w:color="auto"/>
              <w:bottom w:val="nil" w:sz="6" w:space="0" w:color="auto"/>
              <w:right w:val="nil" w:sz="6" w:space="0" w:color="auto"/>
            </w:tcBorders>
          </w:tcPr>
          <w:p>
            <w:pPr>
              <w:pStyle w:val="TableParagraph"/>
              <w:spacing w:line="218" w:lineRule="exact"/>
              <w:ind w:right="594"/>
              <w:jc w:val="right"/>
              <w:rPr>
                <w:rFonts w:ascii="Arial" w:hAnsi="Arial" w:cs="Arial" w:eastAsia="Arial" w:hint="default"/>
                <w:sz w:val="20"/>
                <w:szCs w:val="20"/>
              </w:rPr>
            </w:pPr>
            <w:r>
              <w:rPr>
                <w:rFonts w:ascii="Arial"/>
                <w:spacing w:val="-1"/>
                <w:w w:val="95"/>
                <w:sz w:val="20"/>
              </w:rPr>
              <w:t>100,000,000</w:t>
            </w:r>
            <w:r>
              <w:rPr>
                <w:rFonts w:ascii="Arial"/>
                <w:sz w:val="20"/>
              </w:rPr>
            </w:r>
          </w:p>
        </w:tc>
        <w:tc>
          <w:tcPr>
            <w:tcW w:w="1903" w:type="dxa"/>
            <w:tcBorders>
              <w:top w:val="nil" w:sz="6" w:space="0" w:color="auto"/>
              <w:left w:val="nil" w:sz="6" w:space="0" w:color="auto"/>
              <w:bottom w:val="nil" w:sz="6" w:space="0" w:color="auto"/>
              <w:right w:val="nil" w:sz="6" w:space="0" w:color="auto"/>
            </w:tcBorders>
          </w:tcPr>
          <w:p>
            <w:pPr>
              <w:pStyle w:val="TableParagraph"/>
              <w:spacing w:line="218" w:lineRule="exact"/>
              <w:ind w:right="222"/>
              <w:jc w:val="right"/>
              <w:rPr>
                <w:rFonts w:ascii="Arial" w:hAnsi="Arial" w:cs="Arial" w:eastAsia="Arial" w:hint="default"/>
                <w:sz w:val="20"/>
                <w:szCs w:val="20"/>
              </w:rPr>
            </w:pPr>
            <w:r>
              <w:rPr>
                <w:rFonts w:ascii="Arial"/>
                <w:spacing w:val="-1"/>
                <w:sz w:val="20"/>
              </w:rPr>
              <w:t>130,000,000</w:t>
            </w:r>
            <w:r>
              <w:rPr>
                <w:rFonts w:ascii="Arial"/>
                <w:sz w:val="20"/>
              </w:rPr>
            </w:r>
          </w:p>
        </w:tc>
      </w:tr>
      <w:tr>
        <w:trPr>
          <w:trHeight w:val="370" w:hRule="exact"/>
        </w:trPr>
        <w:tc>
          <w:tcPr>
            <w:tcW w:w="3584"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黑体" w:hAnsi="黑体" w:cs="黑体" w:eastAsia="黑体" w:hint="default"/>
                <w:sz w:val="20"/>
                <w:szCs w:val="20"/>
              </w:rPr>
            </w:pPr>
            <w:r>
              <w:rPr>
                <w:rFonts w:ascii="黑体" w:hAnsi="黑体" w:cs="黑体" w:eastAsia="黑体" w:hint="default"/>
                <w:sz w:val="20"/>
                <w:szCs w:val="20"/>
              </w:rPr>
              <w:t>减：一年内到期的长期借款</w:t>
            </w:r>
          </w:p>
        </w:tc>
        <w:tc>
          <w:tcPr>
            <w:tcW w:w="2692" w:type="dxa"/>
            <w:tcBorders>
              <w:top w:val="nil" w:sz="6" w:space="0" w:color="auto"/>
              <w:left w:val="nil" w:sz="6" w:space="0" w:color="auto"/>
              <w:bottom w:val="nil" w:sz="6" w:space="0" w:color="auto"/>
              <w:right w:val="nil" w:sz="6" w:space="0" w:color="auto"/>
            </w:tcBorders>
          </w:tcPr>
          <w:p>
            <w:pPr>
              <w:pStyle w:val="TableParagraph"/>
              <w:spacing w:line="218" w:lineRule="exact"/>
              <w:ind w:right="594"/>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sz w:val="20"/>
                <w:u w:val="single" w:color="000000"/>
              </w:rPr>
              <w:t>100,000,000</w:t>
            </w:r>
            <w:r>
              <w:rPr>
                <w:rFonts w:ascii="Arial"/>
                <w:spacing w:val="-1"/>
                <w:sz w:val="20"/>
              </w:rPr>
            </w:r>
            <w:r>
              <w:rPr>
                <w:rFonts w:ascii="Arial"/>
                <w:sz w:val="20"/>
              </w:rPr>
            </w:r>
          </w:p>
        </w:tc>
        <w:tc>
          <w:tcPr>
            <w:tcW w:w="1903"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18" w:lineRule="exact"/>
              <w:ind w:right="21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r>
      <w:tr>
        <w:trPr>
          <w:trHeight w:val="334" w:hRule="exact"/>
        </w:trPr>
        <w:tc>
          <w:tcPr>
            <w:tcW w:w="3584" w:type="dxa"/>
            <w:tcBorders>
              <w:top w:val="nil" w:sz="6" w:space="0" w:color="auto"/>
              <w:left w:val="nil" w:sz="6" w:space="0" w:color="auto"/>
              <w:bottom w:val="nil" w:sz="6" w:space="0" w:color="auto"/>
              <w:right w:val="nil" w:sz="6" w:space="0" w:color="auto"/>
            </w:tcBorders>
          </w:tcPr>
          <w:p>
            <w:pPr/>
          </w:p>
        </w:tc>
        <w:tc>
          <w:tcPr>
            <w:tcW w:w="2692"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594"/>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pacing w:val="-11"/>
                <w:sz w:val="20"/>
                <w:u w:val="thick" w:color="000000"/>
              </w:rPr>
              <w:t> </w:t>
            </w:r>
            <w:r>
              <w:rPr>
                <w:rFonts w:ascii="Arial"/>
                <w:spacing w:val="-1"/>
                <w:sz w:val="20"/>
                <w:u w:val="thick" w:color="000000"/>
              </w:rPr>
              <w:t>158,763,319</w:t>
            </w:r>
            <w:r>
              <w:rPr>
                <w:rFonts w:ascii="Arial"/>
                <w:spacing w:val="-1"/>
                <w:sz w:val="20"/>
              </w:rPr>
            </w:r>
            <w:r>
              <w:rPr>
                <w:rFonts w:ascii="Arial"/>
                <w:sz w:val="20"/>
              </w:rPr>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22"/>
              <w:jc w:val="right"/>
              <w:rPr>
                <w:rFonts w:ascii="Arial" w:hAnsi="Arial" w:cs="Arial" w:eastAsia="Arial" w:hint="default"/>
                <w:sz w:val="20"/>
                <w:szCs w:val="20"/>
              </w:rPr>
            </w:pPr>
            <w:r>
              <w:rPr>
                <w:rFonts w:ascii="Arial"/>
                <w:w w:val="99"/>
                <w:sz w:val="20"/>
              </w:rPr>
            </w:r>
            <w:r>
              <w:rPr>
                <w:rFonts w:ascii="Arial"/>
                <w:spacing w:val="-1"/>
                <w:sz w:val="20"/>
                <w:u w:val="thick" w:color="000000"/>
              </w:rPr>
              <w:t>180,000,000</w:t>
            </w:r>
            <w:r>
              <w:rPr>
                <w:rFonts w:ascii="Arial"/>
                <w:spacing w:val="-1"/>
                <w:sz w:val="20"/>
              </w:rPr>
            </w:r>
            <w:r>
              <w:rPr>
                <w:rFonts w:ascii="Arial"/>
                <w:sz w:val="20"/>
              </w:rPr>
            </w:r>
          </w:p>
        </w:tc>
      </w:tr>
    </w:tbl>
    <w:p>
      <w:pPr>
        <w:spacing w:line="240" w:lineRule="auto" w:before="13"/>
        <w:rPr>
          <w:rFonts w:ascii="黑体" w:hAnsi="黑体" w:cs="黑体" w:eastAsia="黑体" w:hint="default"/>
          <w:b/>
          <w:bCs/>
          <w:sz w:val="13"/>
          <w:szCs w:val="13"/>
        </w:rPr>
      </w:pPr>
    </w:p>
    <w:p>
      <w:pPr>
        <w:pStyle w:val="BodyText"/>
        <w:spacing w:line="260" w:lineRule="exact" w:before="63"/>
        <w:ind w:left="1378" w:right="268" w:hanging="564"/>
        <w:jc w:val="both"/>
      </w:pPr>
      <w:r>
        <w:rPr/>
        <w:t>注</w:t>
      </w:r>
      <w:r>
        <w:rPr>
          <w:rFonts w:ascii="Arial" w:hAnsi="Arial" w:cs="Arial" w:eastAsia="Arial" w:hint="default"/>
        </w:rPr>
        <w:t>1</w:t>
      </w:r>
      <w:r>
        <w:rPr/>
        <w:t>．</w:t>
      </w:r>
      <w:r>
        <w:rPr>
          <w:spacing w:val="-17"/>
        </w:rPr>
        <w:t> </w:t>
      </w:r>
      <w:r>
        <w:rPr/>
        <w:t>抵押借款为本公司向招商银行股份有限公司北京清华园支行的两笔人民币借款，金</w:t>
      </w:r>
      <w:r>
        <w:rPr>
          <w:spacing w:val="-89"/>
        </w:rPr>
        <w:t> </w:t>
      </w:r>
      <w:r>
        <w:rPr>
          <w:spacing w:val="-89"/>
        </w:rPr>
      </w:r>
      <w:r>
        <w:rPr/>
        <w:t>额分别为人民币</w:t>
      </w:r>
      <w:r>
        <w:rPr>
          <w:rFonts w:ascii="Arial" w:hAnsi="Arial" w:cs="Arial" w:eastAsia="Arial" w:hint="default"/>
        </w:rPr>
        <w:t>76,000,000</w:t>
      </w:r>
      <w:r>
        <w:rPr/>
        <w:t>元和人民币</w:t>
      </w:r>
      <w:r>
        <w:rPr>
          <w:rFonts w:ascii="Arial" w:hAnsi="Arial" w:cs="Arial" w:eastAsia="Arial" w:hint="default"/>
        </w:rPr>
        <w:t>82,763,319</w:t>
      </w:r>
      <w:r>
        <w:rPr/>
        <w:t>元，借款起始日分别为</w:t>
      </w:r>
      <w:r>
        <w:rPr>
          <w:rFonts w:ascii="Arial" w:hAnsi="Arial" w:cs="Arial" w:eastAsia="Arial" w:hint="default"/>
        </w:rPr>
        <w:t>2012</w:t>
      </w:r>
      <w:r>
        <w:rPr/>
        <w:t>年</w:t>
      </w:r>
      <w:r>
        <w:rPr>
          <w:rFonts w:ascii="Arial" w:hAnsi="Arial" w:cs="Arial" w:eastAsia="Arial" w:hint="default"/>
        </w:rPr>
        <w:t>5</w:t>
      </w:r>
      <w:r>
        <w:rPr>
          <w:rFonts w:ascii="Arial" w:hAnsi="Arial" w:cs="Arial" w:eastAsia="Arial" w:hint="default"/>
          <w:w w:val="99"/>
        </w:rPr>
        <w:t> </w:t>
      </w:r>
      <w:r>
        <w:rPr>
          <w:spacing w:val="2"/>
        </w:rPr>
        <w:t>月</w:t>
      </w:r>
      <w:r>
        <w:rPr>
          <w:rFonts w:ascii="Arial" w:hAnsi="Arial" w:cs="Arial" w:eastAsia="Arial" w:hint="default"/>
          <w:spacing w:val="2"/>
        </w:rPr>
        <w:t>16</w:t>
      </w:r>
      <w:r>
        <w:rPr>
          <w:spacing w:val="2"/>
        </w:rPr>
        <w:t>日和</w:t>
      </w:r>
      <w:r>
        <w:rPr>
          <w:rFonts w:ascii="Arial" w:hAnsi="Arial" w:cs="Arial" w:eastAsia="Arial" w:hint="default"/>
          <w:spacing w:val="2"/>
        </w:rPr>
        <w:t>2012</w:t>
      </w:r>
      <w:r>
        <w:rPr>
          <w:spacing w:val="2"/>
        </w:rPr>
        <w:t>年</w:t>
      </w:r>
      <w:r>
        <w:rPr>
          <w:rFonts w:ascii="Arial" w:hAnsi="Arial" w:cs="Arial" w:eastAsia="Arial" w:hint="default"/>
          <w:spacing w:val="2"/>
        </w:rPr>
        <w:t>8</w:t>
      </w:r>
      <w:r>
        <w:rPr>
          <w:spacing w:val="2"/>
        </w:rPr>
        <w:t>月</w:t>
      </w:r>
      <w:r>
        <w:rPr>
          <w:rFonts w:ascii="Arial" w:hAnsi="Arial" w:cs="Arial" w:eastAsia="Arial" w:hint="default"/>
          <w:spacing w:val="2"/>
        </w:rPr>
        <w:t>11</w:t>
      </w:r>
      <w:r>
        <w:rPr>
          <w:spacing w:val="2"/>
        </w:rPr>
        <w:t>日，终止日分别为</w:t>
      </w:r>
      <w:r>
        <w:rPr>
          <w:rFonts w:ascii="Arial" w:hAnsi="Arial" w:cs="Arial" w:eastAsia="Arial" w:hint="default"/>
          <w:spacing w:val="2"/>
        </w:rPr>
        <w:t>2019</w:t>
      </w:r>
      <w:r>
        <w:rPr>
          <w:spacing w:val="2"/>
        </w:rPr>
        <w:t>年</w:t>
      </w:r>
      <w:r>
        <w:rPr>
          <w:rFonts w:ascii="Arial" w:hAnsi="Arial" w:cs="Arial" w:eastAsia="Arial" w:hint="default"/>
          <w:spacing w:val="2"/>
        </w:rPr>
        <w:t>4</w:t>
      </w:r>
      <w:r>
        <w:rPr>
          <w:spacing w:val="2"/>
        </w:rPr>
        <w:t>月</w:t>
      </w:r>
      <w:r>
        <w:rPr>
          <w:rFonts w:ascii="Arial" w:hAnsi="Arial" w:cs="Arial" w:eastAsia="Arial" w:hint="default"/>
          <w:spacing w:val="2"/>
        </w:rPr>
        <w:t>14</w:t>
      </w:r>
      <w:r>
        <w:rPr>
          <w:spacing w:val="2"/>
        </w:rPr>
        <w:t>日和</w:t>
      </w:r>
      <w:r>
        <w:rPr>
          <w:rFonts w:ascii="Arial" w:hAnsi="Arial" w:cs="Arial" w:eastAsia="Arial" w:hint="default"/>
          <w:spacing w:val="2"/>
        </w:rPr>
        <w:t>2019</w:t>
      </w:r>
      <w:r>
        <w:rPr>
          <w:spacing w:val="2"/>
        </w:rPr>
        <w:t>年</w:t>
      </w:r>
      <w:r>
        <w:rPr>
          <w:rFonts w:ascii="Arial" w:hAnsi="Arial" w:cs="Arial" w:eastAsia="Arial" w:hint="default"/>
          <w:spacing w:val="2"/>
        </w:rPr>
        <w:t>4</w:t>
      </w:r>
      <w:r>
        <w:rPr>
          <w:spacing w:val="2"/>
        </w:rPr>
        <w:t>月</w:t>
      </w:r>
      <w:r>
        <w:rPr>
          <w:rFonts w:ascii="Arial" w:hAnsi="Arial" w:cs="Arial" w:eastAsia="Arial" w:hint="default"/>
          <w:spacing w:val="2"/>
        </w:rPr>
        <w:t>24</w:t>
      </w:r>
      <w:r>
        <w:rPr>
          <w:spacing w:val="2"/>
        </w:rPr>
        <w:t>日，借款</w:t>
      </w:r>
      <w:r>
        <w:rPr>
          <w:spacing w:val="2"/>
          <w:w w:val="99"/>
        </w:rPr>
        <w:t> </w:t>
      </w:r>
      <w:r>
        <w:rPr/>
        <w:t>利率均为五年以上金融机构人民币贷款基准利率。该借款以本公司中关村永丰基地</w:t>
      </w:r>
      <w:r>
        <w:rPr>
          <w:spacing w:val="2"/>
          <w:w w:val="99"/>
        </w:rPr>
        <w:t> </w:t>
      </w:r>
      <w:r>
        <w:rPr>
          <w:rFonts w:ascii="Arial" w:hAnsi="Arial" w:cs="Arial" w:eastAsia="Arial" w:hint="default"/>
          <w:spacing w:val="-4"/>
        </w:rPr>
        <w:t>III-10</w:t>
      </w:r>
      <w:r>
        <w:rPr>
          <w:spacing w:val="-4"/>
        </w:rPr>
        <w:t>、</w:t>
      </w:r>
      <w:r>
        <w:rPr>
          <w:rFonts w:ascii="Arial" w:hAnsi="Arial" w:cs="Arial" w:eastAsia="Arial" w:hint="default"/>
          <w:spacing w:val="-4"/>
        </w:rPr>
        <w:t>III-12</w:t>
      </w:r>
      <w:r>
        <w:rPr>
          <w:spacing w:val="-4"/>
        </w:rPr>
        <w:t>、</w:t>
      </w:r>
      <w:r>
        <w:rPr>
          <w:rFonts w:ascii="Arial" w:hAnsi="Arial" w:cs="Arial" w:eastAsia="Arial" w:hint="default"/>
          <w:spacing w:val="-4"/>
        </w:rPr>
        <w:t>III-14</w:t>
      </w:r>
      <w:r>
        <w:rPr>
          <w:spacing w:val="-4"/>
        </w:rPr>
        <w:t>和</w:t>
      </w:r>
      <w:r>
        <w:rPr>
          <w:rFonts w:ascii="Arial" w:hAnsi="Arial" w:cs="Arial" w:eastAsia="Arial" w:hint="default"/>
          <w:spacing w:val="-4"/>
        </w:rPr>
        <w:t>III-16</w:t>
      </w:r>
      <w:r>
        <w:rPr>
          <w:spacing w:val="-4"/>
        </w:rPr>
        <w:t>地块土地使用权及在建工程作为抵押。参见附注五、</w:t>
      </w:r>
      <w:r>
        <w:rPr>
          <w:rFonts w:ascii="Arial" w:hAnsi="Arial" w:cs="Arial" w:eastAsia="Arial" w:hint="default"/>
          <w:spacing w:val="-4"/>
        </w:rPr>
        <w:t>12</w:t>
      </w:r>
      <w:r>
        <w:rPr>
          <w:spacing w:val="-4"/>
        </w:rPr>
        <w:t>。</w:t>
      </w:r>
    </w:p>
    <w:p>
      <w:pPr>
        <w:spacing w:line="240" w:lineRule="auto" w:before="7"/>
        <w:rPr>
          <w:rFonts w:ascii="黑体" w:hAnsi="黑体" w:cs="黑体" w:eastAsia="黑体" w:hint="default"/>
          <w:sz w:val="17"/>
          <w:szCs w:val="17"/>
        </w:rPr>
      </w:pPr>
    </w:p>
    <w:p>
      <w:pPr>
        <w:pStyle w:val="BodyText"/>
        <w:spacing w:line="260" w:lineRule="exact"/>
        <w:ind w:left="1378" w:right="254" w:hanging="564"/>
        <w:jc w:val="both"/>
      </w:pPr>
      <w:r>
        <w:rPr/>
        <w:t>注</w:t>
      </w:r>
      <w:r>
        <w:rPr>
          <w:rFonts w:ascii="Arial" w:hAnsi="Arial" w:cs="Arial" w:eastAsia="Arial" w:hint="default"/>
        </w:rPr>
        <w:t>2</w:t>
      </w:r>
      <w:r>
        <w:rPr/>
        <w:t>．</w:t>
      </w:r>
      <w:r>
        <w:rPr>
          <w:spacing w:val="-55"/>
        </w:rPr>
        <w:t> </w:t>
      </w:r>
      <w:r>
        <w:rPr>
          <w:spacing w:val="4"/>
        </w:rPr>
        <w:t>一年内到期的长期借款为本公司于</w:t>
      </w:r>
      <w:r>
        <w:rPr>
          <w:rFonts w:ascii="Arial" w:hAnsi="Arial" w:cs="Arial" w:eastAsia="Arial" w:hint="default"/>
          <w:spacing w:val="4"/>
        </w:rPr>
        <w:t>2010</w:t>
      </w:r>
      <w:r>
        <w:rPr>
          <w:spacing w:val="4"/>
        </w:rPr>
        <w:t>年</w:t>
      </w:r>
      <w:r>
        <w:rPr>
          <w:rFonts w:ascii="Arial" w:hAnsi="Arial" w:cs="Arial" w:eastAsia="Arial" w:hint="default"/>
          <w:spacing w:val="4"/>
        </w:rPr>
        <w:t>10</w:t>
      </w:r>
      <w:r>
        <w:rPr>
          <w:spacing w:val="4"/>
        </w:rPr>
        <w:t>月</w:t>
      </w:r>
      <w:r>
        <w:rPr>
          <w:rFonts w:ascii="Arial" w:hAnsi="Arial" w:cs="Arial" w:eastAsia="Arial" w:hint="default"/>
          <w:spacing w:val="4"/>
        </w:rPr>
        <w:t>11</w:t>
      </w:r>
      <w:r>
        <w:rPr>
          <w:spacing w:val="4"/>
        </w:rPr>
        <w:t>日向北京银行展览路支行借入的</w:t>
      </w:r>
      <w:r>
        <w:rPr>
          <w:spacing w:val="4"/>
          <w:w w:val="99"/>
        </w:rPr>
        <w:t> </w:t>
      </w:r>
      <w:r>
        <w:rPr/>
        <w:t>本金为人民币</w:t>
      </w:r>
      <w:r>
        <w:rPr>
          <w:rFonts w:ascii="Arial" w:hAnsi="Arial" w:cs="Arial" w:eastAsia="Arial" w:hint="default"/>
        </w:rPr>
        <w:t>150,000,000</w:t>
      </w:r>
      <w:r>
        <w:rPr/>
        <w:t>元，到期日为</w:t>
      </w:r>
      <w:r>
        <w:rPr>
          <w:rFonts w:ascii="Arial" w:hAnsi="Arial" w:cs="Arial" w:eastAsia="Arial" w:hint="default"/>
        </w:rPr>
        <w:t>2013</w:t>
      </w:r>
      <w:r>
        <w:rPr/>
        <w:t>年</w:t>
      </w:r>
      <w:r>
        <w:rPr>
          <w:rFonts w:ascii="Arial" w:hAnsi="Arial" w:cs="Arial" w:eastAsia="Arial" w:hint="default"/>
        </w:rPr>
        <w:t>9</w:t>
      </w:r>
      <w:r>
        <w:rPr/>
        <w:t>月</w:t>
      </w:r>
      <w:r>
        <w:rPr>
          <w:rFonts w:ascii="Arial" w:hAnsi="Arial" w:cs="Arial" w:eastAsia="Arial" w:hint="default"/>
        </w:rPr>
        <w:t>6</w:t>
      </w:r>
      <w:r>
        <w:rPr/>
        <w:t>日的三年期固定资产借款。本</w:t>
      </w:r>
      <w:r>
        <w:rPr>
          <w:w w:val="99"/>
        </w:rPr>
        <w:t> </w:t>
      </w:r>
      <w:r>
        <w:rPr>
          <w:spacing w:val="18"/>
        </w:rPr>
        <w:t>公司按合同约定于</w:t>
      </w:r>
      <w:r>
        <w:rPr>
          <w:spacing w:val="-81"/>
        </w:rPr>
        <w:t> </w:t>
      </w:r>
      <w:r>
        <w:rPr>
          <w:rFonts w:ascii="Arial" w:hAnsi="Arial" w:cs="Arial" w:eastAsia="Arial" w:hint="default"/>
        </w:rPr>
        <w:t>2011</w:t>
      </w:r>
      <w:r>
        <w:rPr>
          <w:rFonts w:ascii="Arial" w:hAnsi="Arial" w:cs="Arial" w:eastAsia="Arial" w:hint="default"/>
          <w:spacing w:val="-34"/>
        </w:rPr>
        <w:t> </w:t>
      </w:r>
      <w:r>
        <w:rPr>
          <w:spacing w:val="10"/>
        </w:rPr>
        <w:t>年和</w:t>
      </w:r>
      <w:r>
        <w:rPr>
          <w:spacing w:val="-81"/>
        </w:rPr>
        <w:t> </w:t>
      </w:r>
      <w:r>
        <w:rPr>
          <w:rFonts w:ascii="Arial" w:hAnsi="Arial" w:cs="Arial" w:eastAsia="Arial" w:hint="default"/>
        </w:rPr>
        <w:t>2012</w:t>
      </w:r>
      <w:r>
        <w:rPr>
          <w:rFonts w:ascii="Arial" w:hAnsi="Arial" w:cs="Arial" w:eastAsia="Arial" w:hint="default"/>
          <w:spacing w:val="-37"/>
        </w:rPr>
        <w:t> </w:t>
      </w:r>
      <w:r>
        <w:rPr>
          <w:spacing w:val="19"/>
        </w:rPr>
        <w:t>年分别偿还了人民币</w:t>
      </w:r>
      <w:r>
        <w:rPr>
          <w:spacing w:val="-81"/>
        </w:rPr>
        <w:t> </w:t>
      </w:r>
      <w:r>
        <w:rPr>
          <w:rFonts w:ascii="Arial" w:hAnsi="Arial" w:cs="Arial" w:eastAsia="Arial" w:hint="default"/>
        </w:rPr>
        <w:t>20,000,000</w:t>
      </w:r>
      <w:r>
        <w:rPr>
          <w:rFonts w:ascii="Arial" w:hAnsi="Arial" w:cs="Arial" w:eastAsia="Arial" w:hint="default"/>
          <w:spacing w:val="-34"/>
        </w:rPr>
        <w:t> </w:t>
      </w:r>
      <w:r>
        <w:rPr>
          <w:spacing w:val="17"/>
        </w:rPr>
        <w:t>元和人民币</w:t>
      </w:r>
      <w:r>
        <w:rPr>
          <w:spacing w:val="-79"/>
        </w:rPr>
        <w:t> </w:t>
      </w:r>
      <w:r>
        <w:rPr>
          <w:rFonts w:ascii="Arial" w:hAnsi="Arial" w:cs="Arial" w:eastAsia="Arial" w:hint="default"/>
          <w:spacing w:val="2"/>
        </w:rPr>
        <w:t>30,000,000</w:t>
      </w:r>
      <w:r>
        <w:rPr>
          <w:spacing w:val="2"/>
        </w:rPr>
        <w:t>元。由于该笔贷款将于</w:t>
      </w:r>
      <w:r>
        <w:rPr>
          <w:rFonts w:ascii="Arial" w:hAnsi="Arial" w:cs="Arial" w:eastAsia="Arial" w:hint="default"/>
          <w:spacing w:val="2"/>
        </w:rPr>
        <w:t>2013</w:t>
      </w:r>
      <w:r>
        <w:rPr>
          <w:spacing w:val="2"/>
        </w:rPr>
        <w:t>年</w:t>
      </w:r>
      <w:r>
        <w:rPr>
          <w:rFonts w:ascii="Arial" w:hAnsi="Arial" w:cs="Arial" w:eastAsia="Arial" w:hint="default"/>
          <w:spacing w:val="2"/>
        </w:rPr>
        <w:t>9</w:t>
      </w:r>
      <w:r>
        <w:rPr>
          <w:spacing w:val="2"/>
        </w:rPr>
        <w:t>月到期，故将其划为一年内到期的长期</w:t>
      </w:r>
      <w:r>
        <w:rPr>
          <w:spacing w:val="4"/>
          <w:w w:val="99"/>
        </w:rPr>
        <w:t> </w:t>
      </w:r>
      <w:r>
        <w:rPr/>
        <w:t>借款。</w:t>
      </w:r>
    </w:p>
    <w:p>
      <w:pPr>
        <w:spacing w:after="0" w:line="260" w:lineRule="exact"/>
        <w:jc w:val="both"/>
        <w:sectPr>
          <w:pgSz w:w="11910" w:h="16850"/>
          <w:pgMar w:header="957" w:footer="830" w:top="2520" w:bottom="1020" w:left="1600" w:right="1400"/>
        </w:sectPr>
      </w:pPr>
    </w:p>
    <w:p>
      <w:pPr>
        <w:spacing w:line="240" w:lineRule="auto" w:before="3"/>
        <w:rPr>
          <w:rFonts w:ascii="黑体" w:hAnsi="黑体" w:cs="黑体" w:eastAsia="黑体" w:hint="default"/>
          <w:sz w:val="21"/>
          <w:szCs w:val="21"/>
        </w:rPr>
      </w:pPr>
    </w:p>
    <w:p>
      <w:pPr>
        <w:pStyle w:val="Heading6"/>
        <w:tabs>
          <w:tab w:pos="804" w:val="left" w:leader="none"/>
        </w:tabs>
        <w:spacing w:line="240" w:lineRule="auto"/>
        <w:ind w:right="2891"/>
        <w:jc w:val="left"/>
        <w:rPr>
          <w:b w:val="0"/>
          <w:bCs w:val="0"/>
        </w:rPr>
      </w:pPr>
      <w:r>
        <w:rPr>
          <w:w w:val="95"/>
        </w:rPr>
        <w:t>五、</w:t>
        <w:tab/>
      </w:r>
      <w:r>
        <w:rPr/>
        <w:t>合并财务报表主要项目注释（续）</w:t>
      </w:r>
      <w:r>
        <w:rPr>
          <w:b w:val="0"/>
          <w:bCs w:val="0"/>
        </w:rPr>
      </w:r>
    </w:p>
    <w:p>
      <w:pPr>
        <w:spacing w:line="240" w:lineRule="auto" w:before="5"/>
        <w:rPr>
          <w:rFonts w:ascii="黑体" w:hAnsi="黑体" w:cs="黑体" w:eastAsia="黑体" w:hint="default"/>
          <w:b/>
          <w:bCs/>
          <w:sz w:val="17"/>
          <w:szCs w:val="17"/>
        </w:rPr>
      </w:pPr>
    </w:p>
    <w:p>
      <w:pPr>
        <w:pStyle w:val="Heading6"/>
        <w:tabs>
          <w:tab w:pos="823" w:val="left" w:leader="none"/>
        </w:tabs>
        <w:spacing w:line="240" w:lineRule="auto" w:before="0"/>
        <w:ind w:right="2891"/>
        <w:jc w:val="left"/>
        <w:rPr>
          <w:b w:val="0"/>
          <w:bCs w:val="0"/>
        </w:rPr>
      </w:pPr>
      <w:r>
        <w:rPr>
          <w:rFonts w:ascii="Arial" w:hAnsi="Arial" w:cs="Arial" w:eastAsia="Arial" w:hint="default"/>
          <w:spacing w:val="-1"/>
          <w:w w:val="95"/>
        </w:rPr>
        <w:t>29.</w:t>
        <w:tab/>
      </w:r>
      <w:r>
        <w:rPr>
          <w:spacing w:val="1"/>
        </w:rPr>
        <w:t>递延收益</w:t>
      </w:r>
      <w:r>
        <w:rPr>
          <w:b w:val="0"/>
          <w:bCs w:val="0"/>
        </w:rPr>
      </w:r>
    </w:p>
    <w:p>
      <w:pPr>
        <w:spacing w:line="240" w:lineRule="auto" w:before="11"/>
        <w:rPr>
          <w:rFonts w:ascii="黑体" w:hAnsi="黑体" w:cs="黑体" w:eastAsia="黑体" w:hint="default"/>
          <w:b/>
          <w:bCs/>
          <w:sz w:val="21"/>
          <w:szCs w:val="21"/>
        </w:rPr>
      </w:pPr>
    </w:p>
    <w:tbl>
      <w:tblPr>
        <w:tblW w:w="0" w:type="auto"/>
        <w:jc w:val="left"/>
        <w:tblInd w:w="621" w:type="dxa"/>
        <w:tblLayout w:type="fixed"/>
        <w:tblCellMar>
          <w:top w:w="0" w:type="dxa"/>
          <w:left w:w="0" w:type="dxa"/>
          <w:bottom w:w="0" w:type="dxa"/>
          <w:right w:w="0" w:type="dxa"/>
        </w:tblCellMar>
        <w:tblLook w:val="01E0"/>
      </w:tblPr>
      <w:tblGrid>
        <w:gridCol w:w="3636"/>
        <w:gridCol w:w="2695"/>
        <w:gridCol w:w="1862"/>
      </w:tblGrid>
      <w:tr>
        <w:trPr>
          <w:trHeight w:val="242" w:hRule="exact"/>
        </w:trPr>
        <w:tc>
          <w:tcPr>
            <w:tcW w:w="3636" w:type="dxa"/>
            <w:tcBorders>
              <w:top w:val="nil" w:sz="6" w:space="0" w:color="auto"/>
              <w:left w:val="nil" w:sz="6" w:space="0" w:color="auto"/>
              <w:bottom w:val="nil" w:sz="6" w:space="0" w:color="auto"/>
              <w:right w:val="nil" w:sz="6" w:space="0" w:color="auto"/>
            </w:tcBorders>
          </w:tcPr>
          <w:p>
            <w:pPr/>
          </w:p>
        </w:tc>
        <w:tc>
          <w:tcPr>
            <w:tcW w:w="2695" w:type="dxa"/>
            <w:tcBorders>
              <w:top w:val="nil" w:sz="6" w:space="0" w:color="auto"/>
              <w:left w:val="nil" w:sz="6" w:space="0" w:color="auto"/>
              <w:bottom w:val="nil" w:sz="6" w:space="0" w:color="auto"/>
              <w:right w:val="nil" w:sz="6" w:space="0" w:color="auto"/>
            </w:tcBorders>
          </w:tcPr>
          <w:p>
            <w:pPr>
              <w:pStyle w:val="TableParagraph"/>
              <w:spacing w:line="214" w:lineRule="exact"/>
              <w:ind w:right="635"/>
              <w:jc w:val="right"/>
              <w:rPr>
                <w:rFonts w:ascii="黑体" w:hAnsi="黑体" w:cs="黑体" w:eastAsia="黑体" w:hint="default"/>
                <w:sz w:val="20"/>
                <w:szCs w:val="20"/>
              </w:rPr>
            </w:pPr>
            <w:bookmarkStart w:name="29.    递延收益" w:id="123"/>
            <w:bookmarkEnd w:id="123"/>
            <w:r>
              <w:rPr/>
            </w: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1862" w:type="dxa"/>
            <w:tcBorders>
              <w:top w:val="nil" w:sz="6" w:space="0" w:color="auto"/>
              <w:left w:val="nil" w:sz="6" w:space="0" w:color="auto"/>
              <w:bottom w:val="nil" w:sz="6" w:space="0" w:color="auto"/>
              <w:right w:val="nil" w:sz="6" w:space="0" w:color="auto"/>
            </w:tcBorders>
          </w:tcPr>
          <w:p>
            <w:pPr>
              <w:pStyle w:val="TableParagraph"/>
              <w:spacing w:line="214" w:lineRule="exact"/>
              <w:ind w:right="198"/>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r>
      <w:tr>
        <w:trPr>
          <w:trHeight w:val="403" w:hRule="exact"/>
        </w:trPr>
        <w:tc>
          <w:tcPr>
            <w:tcW w:w="3636" w:type="dxa"/>
            <w:tcBorders>
              <w:top w:val="nil" w:sz="6" w:space="0" w:color="auto"/>
              <w:left w:val="nil" w:sz="6" w:space="0" w:color="auto"/>
              <w:bottom w:val="nil" w:sz="6" w:space="0" w:color="auto"/>
              <w:right w:val="nil" w:sz="6" w:space="0" w:color="auto"/>
            </w:tcBorders>
          </w:tcPr>
          <w:p>
            <w:pPr/>
          </w:p>
        </w:tc>
        <w:tc>
          <w:tcPr>
            <w:tcW w:w="2695" w:type="dxa"/>
            <w:tcBorders>
              <w:top w:val="nil" w:sz="6" w:space="0" w:color="auto"/>
              <w:left w:val="nil" w:sz="6" w:space="0" w:color="auto"/>
              <w:bottom w:val="nil" w:sz="6" w:space="0" w:color="auto"/>
              <w:right w:val="nil" w:sz="6" w:space="0" w:color="auto"/>
            </w:tcBorders>
          </w:tcPr>
          <w:p>
            <w:pPr>
              <w:pStyle w:val="TableParagraph"/>
              <w:spacing w:line="247" w:lineRule="exact"/>
              <w:ind w:right="635"/>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862" w:type="dxa"/>
            <w:tcBorders>
              <w:top w:val="nil" w:sz="6" w:space="0" w:color="auto"/>
              <w:left w:val="nil" w:sz="6" w:space="0" w:color="auto"/>
              <w:bottom w:val="nil" w:sz="6" w:space="0" w:color="auto"/>
              <w:right w:val="nil" w:sz="6" w:space="0" w:color="auto"/>
            </w:tcBorders>
          </w:tcPr>
          <w:p>
            <w:pPr>
              <w:pStyle w:val="TableParagraph"/>
              <w:spacing w:line="247" w:lineRule="exact"/>
              <w:ind w:right="198"/>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r>
      <w:tr>
        <w:trPr>
          <w:trHeight w:val="401" w:hRule="exact"/>
        </w:trPr>
        <w:tc>
          <w:tcPr>
            <w:tcW w:w="3636"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200" w:right="0"/>
              <w:jc w:val="left"/>
              <w:rPr>
                <w:rFonts w:ascii="黑体" w:hAnsi="黑体" w:cs="黑体" w:eastAsia="黑体" w:hint="default"/>
                <w:sz w:val="20"/>
                <w:szCs w:val="20"/>
              </w:rPr>
            </w:pPr>
            <w:r>
              <w:rPr>
                <w:rFonts w:ascii="黑体" w:hAnsi="黑体" w:cs="黑体" w:eastAsia="黑体" w:hint="default"/>
                <w:sz w:val="20"/>
                <w:szCs w:val="20"/>
              </w:rPr>
              <w:t>递延收益</w:t>
            </w:r>
          </w:p>
        </w:tc>
        <w:tc>
          <w:tcPr>
            <w:tcW w:w="2695"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650"/>
              <w:jc w:val="right"/>
              <w:rPr>
                <w:rFonts w:ascii="Arial" w:hAnsi="Arial" w:cs="Arial" w:eastAsia="Arial" w:hint="default"/>
                <w:sz w:val="20"/>
                <w:szCs w:val="20"/>
              </w:rPr>
            </w:pPr>
            <w:r>
              <w:rPr>
                <w:rFonts w:ascii="Arial"/>
                <w:spacing w:val="-1"/>
                <w:sz w:val="20"/>
              </w:rPr>
              <w:t>70,328,434</w:t>
            </w:r>
            <w:r>
              <w:rPr>
                <w:rFonts w:ascii="Arial"/>
                <w:sz w:val="20"/>
              </w:rPr>
            </w: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24"/>
              <w:jc w:val="right"/>
              <w:rPr>
                <w:rFonts w:ascii="Arial" w:hAnsi="Arial" w:cs="Arial" w:eastAsia="Arial" w:hint="default"/>
                <w:sz w:val="20"/>
                <w:szCs w:val="20"/>
              </w:rPr>
            </w:pPr>
            <w:r>
              <w:rPr>
                <w:rFonts w:ascii="Arial"/>
                <w:spacing w:val="-1"/>
                <w:sz w:val="20"/>
              </w:rPr>
              <w:t>24,742,234</w:t>
            </w:r>
            <w:r>
              <w:rPr>
                <w:rFonts w:ascii="Arial"/>
                <w:sz w:val="20"/>
              </w:rPr>
            </w:r>
          </w:p>
        </w:tc>
      </w:tr>
      <w:tr>
        <w:trPr>
          <w:trHeight w:val="374" w:hRule="exact"/>
        </w:trPr>
        <w:tc>
          <w:tcPr>
            <w:tcW w:w="363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0"/>
                <w:szCs w:val="20"/>
              </w:rPr>
            </w:pPr>
            <w:r>
              <w:rPr>
                <w:rFonts w:ascii="黑体" w:hAnsi="黑体" w:cs="黑体" w:eastAsia="黑体" w:hint="default"/>
                <w:sz w:val="20"/>
                <w:szCs w:val="20"/>
              </w:rPr>
              <w:t>减：一年内到期的递延收益</w:t>
            </w:r>
          </w:p>
        </w:tc>
        <w:tc>
          <w:tcPr>
            <w:tcW w:w="2695" w:type="dxa"/>
            <w:tcBorders>
              <w:top w:val="nil" w:sz="6" w:space="0" w:color="auto"/>
              <w:left w:val="nil" w:sz="6" w:space="0" w:color="auto"/>
              <w:bottom w:val="nil" w:sz="6" w:space="0" w:color="auto"/>
              <w:right w:val="nil" w:sz="6" w:space="0" w:color="auto"/>
            </w:tcBorders>
          </w:tcPr>
          <w:p>
            <w:pPr>
              <w:pStyle w:val="TableParagraph"/>
              <w:spacing w:line="223" w:lineRule="exact"/>
              <w:ind w:right="650"/>
              <w:jc w:val="right"/>
              <w:rPr>
                <w:rFonts w:ascii="Arial" w:hAnsi="Arial" w:cs="Arial" w:eastAsia="Arial" w:hint="default"/>
                <w:sz w:val="20"/>
                <w:szCs w:val="20"/>
              </w:rPr>
            </w:pPr>
            <w:r>
              <w:rPr>
                <w:rFonts w:ascii="Arial"/>
                <w:w w:val="99"/>
                <w:sz w:val="20"/>
              </w:rPr>
            </w:r>
            <w:r>
              <w:rPr>
                <w:rFonts w:ascii="Arial"/>
                <w:spacing w:val="-1"/>
                <w:sz w:val="20"/>
                <w:u w:val="single" w:color="000000"/>
              </w:rPr>
              <w:t>20,571,200</w:t>
            </w:r>
            <w:r>
              <w:rPr>
                <w:rFonts w:ascii="Arial"/>
                <w:spacing w:val="-1"/>
                <w:sz w:val="20"/>
              </w:rPr>
            </w:r>
            <w:r>
              <w:rPr>
                <w:rFonts w:ascii="Arial"/>
                <w:sz w:val="20"/>
              </w:rPr>
            </w:r>
          </w:p>
        </w:tc>
        <w:tc>
          <w:tcPr>
            <w:tcW w:w="1862" w:type="dxa"/>
            <w:tcBorders>
              <w:top w:val="nil" w:sz="6" w:space="0" w:color="auto"/>
              <w:left w:val="nil" w:sz="6" w:space="0" w:color="auto"/>
              <w:bottom w:val="nil" w:sz="6" w:space="0" w:color="auto"/>
              <w:right w:val="nil" w:sz="6" w:space="0" w:color="auto"/>
            </w:tcBorders>
          </w:tcPr>
          <w:p>
            <w:pPr>
              <w:pStyle w:val="TableParagraph"/>
              <w:spacing w:line="223" w:lineRule="exact"/>
              <w:ind w:right="224"/>
              <w:jc w:val="right"/>
              <w:rPr>
                <w:rFonts w:ascii="Arial" w:hAnsi="Arial" w:cs="Arial" w:eastAsia="Arial" w:hint="default"/>
                <w:sz w:val="20"/>
                <w:szCs w:val="20"/>
              </w:rPr>
            </w:pPr>
            <w:r>
              <w:rPr>
                <w:rFonts w:ascii="Arial"/>
                <w:w w:val="99"/>
                <w:sz w:val="20"/>
              </w:rPr>
            </w:r>
            <w:r>
              <w:rPr>
                <w:rFonts w:ascii="Arial"/>
                <w:spacing w:val="-1"/>
                <w:sz w:val="20"/>
                <w:u w:val="single" w:color="000000"/>
              </w:rPr>
              <w:t>14,240,000</w:t>
            </w:r>
            <w:r>
              <w:rPr>
                <w:rFonts w:ascii="Arial"/>
                <w:spacing w:val="-1"/>
                <w:sz w:val="20"/>
              </w:rPr>
            </w:r>
            <w:r>
              <w:rPr>
                <w:rFonts w:ascii="Arial"/>
                <w:sz w:val="20"/>
              </w:rPr>
            </w:r>
          </w:p>
        </w:tc>
      </w:tr>
      <w:tr>
        <w:trPr>
          <w:trHeight w:val="334" w:hRule="exact"/>
        </w:trPr>
        <w:tc>
          <w:tcPr>
            <w:tcW w:w="3636" w:type="dxa"/>
            <w:tcBorders>
              <w:top w:val="nil" w:sz="6" w:space="0" w:color="auto"/>
              <w:left w:val="nil" w:sz="6" w:space="0" w:color="auto"/>
              <w:bottom w:val="nil" w:sz="6" w:space="0" w:color="auto"/>
              <w:right w:val="nil" w:sz="6" w:space="0" w:color="auto"/>
            </w:tcBorders>
          </w:tcPr>
          <w:p>
            <w:pPr/>
          </w:p>
        </w:tc>
        <w:tc>
          <w:tcPr>
            <w:tcW w:w="269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650"/>
              <w:jc w:val="right"/>
              <w:rPr>
                <w:rFonts w:ascii="Arial" w:hAnsi="Arial" w:cs="Arial" w:eastAsia="Arial" w:hint="default"/>
                <w:sz w:val="20"/>
                <w:szCs w:val="20"/>
              </w:rPr>
            </w:pPr>
            <w:r>
              <w:rPr>
                <w:rFonts w:ascii="Arial"/>
                <w:w w:val="99"/>
                <w:sz w:val="20"/>
              </w:rPr>
            </w:r>
            <w:r>
              <w:rPr>
                <w:rFonts w:ascii="Arial"/>
                <w:spacing w:val="-1"/>
                <w:sz w:val="20"/>
                <w:u w:val="thick" w:color="000000"/>
              </w:rPr>
              <w:t>49,757,234</w:t>
            </w:r>
            <w:r>
              <w:rPr>
                <w:rFonts w:ascii="Arial"/>
                <w:spacing w:val="-1"/>
                <w:sz w:val="20"/>
              </w:rPr>
            </w:r>
            <w:r>
              <w:rPr>
                <w:rFonts w:ascii="Arial"/>
                <w:sz w:val="20"/>
              </w:rPr>
            </w:r>
          </w:p>
        </w:tc>
        <w:tc>
          <w:tcPr>
            <w:tcW w:w="1862"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24"/>
              <w:jc w:val="right"/>
              <w:rPr>
                <w:rFonts w:ascii="Arial" w:hAnsi="Arial" w:cs="Arial" w:eastAsia="Arial" w:hint="default"/>
                <w:sz w:val="20"/>
                <w:szCs w:val="20"/>
              </w:rPr>
            </w:pPr>
            <w:r>
              <w:rPr>
                <w:rFonts w:ascii="Arial"/>
                <w:w w:val="99"/>
                <w:sz w:val="20"/>
              </w:rPr>
            </w:r>
            <w:r>
              <w:rPr>
                <w:rFonts w:ascii="Arial"/>
                <w:spacing w:val="-1"/>
                <w:sz w:val="20"/>
                <w:u w:val="thick" w:color="000000"/>
              </w:rPr>
              <w:t>10,502,234</w:t>
            </w:r>
            <w:r>
              <w:rPr>
                <w:rFonts w:ascii="Arial"/>
                <w:spacing w:val="-1"/>
                <w:sz w:val="20"/>
              </w:rPr>
            </w:r>
            <w:r>
              <w:rPr>
                <w:rFonts w:ascii="Arial"/>
                <w:sz w:val="20"/>
              </w:rPr>
            </w:r>
          </w:p>
        </w:tc>
      </w:tr>
    </w:tbl>
    <w:p>
      <w:pPr>
        <w:spacing w:line="240" w:lineRule="auto" w:before="13"/>
        <w:rPr>
          <w:rFonts w:ascii="黑体" w:hAnsi="黑体" w:cs="黑体" w:eastAsia="黑体" w:hint="default"/>
          <w:b/>
          <w:bCs/>
          <w:sz w:val="13"/>
          <w:szCs w:val="13"/>
        </w:rPr>
      </w:pPr>
    </w:p>
    <w:p>
      <w:pPr>
        <w:pStyle w:val="BodyText"/>
        <w:spacing w:line="260" w:lineRule="exact" w:before="63"/>
        <w:ind w:right="0" w:firstLine="7"/>
        <w:jc w:val="left"/>
      </w:pPr>
      <w:r>
        <w:rPr>
          <w:w w:val="95"/>
        </w:rPr>
        <w:t>递延收益均为政府部门拨付的科研性质的经费，用于补偿以后期间的相关费用或损失，并</w:t>
      </w:r>
      <w:r>
        <w:rPr>
          <w:spacing w:val="74"/>
          <w:w w:val="95"/>
        </w:rPr>
        <w:t> </w:t>
      </w:r>
      <w:r>
        <w:rPr>
          <w:spacing w:val="74"/>
          <w:w w:val="95"/>
        </w:rPr>
      </w:r>
      <w:r>
        <w:rPr/>
        <w:t>在确认相关费用的期间计入当期损益。</w:t>
      </w:r>
    </w:p>
    <w:p>
      <w:pPr>
        <w:spacing w:after="0" w:line="260" w:lineRule="exact"/>
        <w:jc w:val="left"/>
        <w:sectPr>
          <w:pgSz w:w="11910" w:h="16850"/>
          <w:pgMar w:header="957" w:footer="830" w:top="2520" w:bottom="1020" w:left="1600" w:right="1380"/>
        </w:sectPr>
      </w:pPr>
    </w:p>
    <w:p>
      <w:pPr>
        <w:spacing w:line="240" w:lineRule="auto" w:before="3"/>
        <w:rPr>
          <w:rFonts w:ascii="黑体" w:hAnsi="黑体" w:cs="黑体" w:eastAsia="黑体" w:hint="default"/>
          <w:sz w:val="21"/>
          <w:szCs w:val="21"/>
        </w:rPr>
      </w:pPr>
    </w:p>
    <w:p>
      <w:pPr>
        <w:pStyle w:val="Heading6"/>
        <w:tabs>
          <w:tab w:pos="804" w:val="left" w:leader="none"/>
        </w:tabs>
        <w:spacing w:line="240" w:lineRule="auto"/>
        <w:ind w:right="0"/>
        <w:jc w:val="left"/>
        <w:rPr>
          <w:b w:val="0"/>
          <w:bCs w:val="0"/>
        </w:rPr>
      </w:pPr>
      <w:bookmarkStart w:name="于2012年度，本集团所获得的政府补助均为与收益相关。" w:id="124"/>
      <w:bookmarkEnd w:id="124"/>
      <w:r>
        <w:rPr>
          <w:b w:val="0"/>
          <w:bCs w:val="0"/>
        </w:rPr>
      </w:r>
      <w:r>
        <w:rPr>
          <w:w w:val="95"/>
        </w:rPr>
        <w:t>五、</w:t>
        <w:tab/>
      </w:r>
      <w:r>
        <w:rPr/>
        <w:t>合并财务报表主要项目注释（续）</w:t>
      </w:r>
      <w:r>
        <w:rPr>
          <w:b w:val="0"/>
          <w:bCs w:val="0"/>
        </w:rPr>
      </w:r>
    </w:p>
    <w:p>
      <w:pPr>
        <w:spacing w:line="240" w:lineRule="auto" w:before="5"/>
        <w:rPr>
          <w:rFonts w:ascii="黑体" w:hAnsi="黑体" w:cs="黑体" w:eastAsia="黑体" w:hint="default"/>
          <w:b/>
          <w:bCs/>
          <w:sz w:val="17"/>
          <w:szCs w:val="17"/>
        </w:rPr>
      </w:pPr>
    </w:p>
    <w:p>
      <w:pPr>
        <w:tabs>
          <w:tab w:pos="823" w:val="left" w:leader="none"/>
        </w:tabs>
        <w:spacing w:line="434" w:lineRule="auto" w:before="0"/>
        <w:ind w:left="828" w:right="7254" w:hanging="728"/>
        <w:jc w:val="left"/>
        <w:rPr>
          <w:rFonts w:ascii="黑体" w:hAnsi="黑体" w:cs="黑体" w:eastAsia="黑体" w:hint="default"/>
          <w:sz w:val="20"/>
          <w:szCs w:val="20"/>
        </w:rPr>
      </w:pPr>
      <w:r>
        <w:rPr>
          <w:rFonts w:ascii="Arial" w:hAnsi="Arial" w:cs="Arial" w:eastAsia="Arial" w:hint="default"/>
          <w:b/>
          <w:bCs/>
          <w:spacing w:val="-1"/>
          <w:w w:val="95"/>
          <w:sz w:val="20"/>
          <w:szCs w:val="20"/>
        </w:rPr>
        <w:t>29.</w:t>
        <w:tab/>
      </w:r>
      <w:r>
        <w:rPr>
          <w:rFonts w:ascii="黑体" w:hAnsi="黑体" w:cs="黑体" w:eastAsia="黑体" w:hint="default"/>
          <w:b/>
          <w:bCs/>
          <w:spacing w:val="1"/>
          <w:w w:val="95"/>
          <w:sz w:val="20"/>
          <w:szCs w:val="20"/>
        </w:rPr>
        <w:t>递延</w:t>
      </w:r>
      <w:bookmarkStart w:name="29.    递延收益（续）" w:id="125"/>
      <w:bookmarkEnd w:id="125"/>
      <w:r>
        <w:rPr>
          <w:rFonts w:ascii="黑体" w:hAnsi="黑体" w:cs="黑体" w:eastAsia="黑体" w:hint="default"/>
          <w:b/>
          <w:bCs/>
          <w:spacing w:val="1"/>
          <w:w w:val="95"/>
          <w:sz w:val="20"/>
          <w:szCs w:val="20"/>
        </w:rPr>
        <w:t>收益</w:t>
      </w:r>
      <w:r>
        <w:rPr>
          <w:rFonts w:ascii="黑体" w:hAnsi="黑体" w:cs="黑体" w:eastAsia="黑体" w:hint="default"/>
          <w:b/>
          <w:bCs/>
          <w:spacing w:val="1"/>
          <w:w w:val="95"/>
          <w:sz w:val="20"/>
          <w:szCs w:val="20"/>
        </w:rPr>
        <w:t>（续）</w:t>
      </w:r>
      <w:r>
        <w:rPr>
          <w:rFonts w:ascii="黑体" w:hAnsi="黑体" w:cs="黑体" w:eastAsia="黑体" w:hint="default"/>
          <w:b/>
          <w:bCs/>
          <w:spacing w:val="-34"/>
          <w:w w:val="95"/>
          <w:sz w:val="20"/>
          <w:szCs w:val="20"/>
        </w:rPr>
        <w:t> </w:t>
      </w:r>
      <w:r>
        <w:rPr>
          <w:rFonts w:ascii="黑体" w:hAnsi="黑体" w:cs="黑体" w:eastAsia="黑体" w:hint="default"/>
          <w:b/>
          <w:bCs/>
          <w:spacing w:val="-34"/>
          <w:w w:val="95"/>
          <w:sz w:val="20"/>
          <w:szCs w:val="20"/>
        </w:rPr>
      </w:r>
      <w:r>
        <w:rPr>
          <w:rFonts w:ascii="黑体" w:hAnsi="黑体" w:cs="黑体" w:eastAsia="黑体" w:hint="default"/>
          <w:sz w:val="20"/>
          <w:szCs w:val="20"/>
        </w:rPr>
        <w:t>明细如下：</w:t>
      </w:r>
    </w:p>
    <w:p>
      <w:pPr>
        <w:spacing w:line="240" w:lineRule="auto" w:before="10"/>
        <w:rPr>
          <w:rFonts w:ascii="黑体" w:hAnsi="黑体" w:cs="黑体" w:eastAsia="黑体" w:hint="default"/>
          <w:sz w:val="9"/>
          <w:szCs w:val="9"/>
        </w:rPr>
      </w:pPr>
    </w:p>
    <w:tbl>
      <w:tblPr>
        <w:tblW w:w="0" w:type="auto"/>
        <w:jc w:val="left"/>
        <w:tblInd w:w="710" w:type="dxa"/>
        <w:tblLayout w:type="fixed"/>
        <w:tblCellMar>
          <w:top w:w="0" w:type="dxa"/>
          <w:left w:w="0" w:type="dxa"/>
          <w:bottom w:w="0" w:type="dxa"/>
          <w:right w:w="0" w:type="dxa"/>
        </w:tblCellMar>
        <w:tblLook w:val="01E0"/>
      </w:tblPr>
      <w:tblGrid>
        <w:gridCol w:w="5949"/>
        <w:gridCol w:w="1343"/>
        <w:gridCol w:w="1371"/>
      </w:tblGrid>
      <w:tr>
        <w:trPr>
          <w:trHeight w:val="223" w:hRule="exact"/>
        </w:trPr>
        <w:tc>
          <w:tcPr>
            <w:tcW w:w="5949"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spacing w:line="193" w:lineRule="exact"/>
              <w:ind w:right="228"/>
              <w:jc w:val="right"/>
              <w:rPr>
                <w:rFonts w:ascii="黑体" w:hAnsi="黑体" w:cs="黑体" w:eastAsia="黑体" w:hint="default"/>
                <w:sz w:val="18"/>
                <w:szCs w:val="18"/>
              </w:rPr>
            </w:pPr>
            <w:r>
              <w:rPr>
                <w:rFonts w:ascii="Arial" w:hAnsi="Arial" w:cs="Arial" w:eastAsia="Arial" w:hint="default"/>
                <w:w w:val="95"/>
                <w:sz w:val="18"/>
                <w:szCs w:val="18"/>
              </w:rPr>
              <w:t>2012</w:t>
            </w:r>
            <w:r>
              <w:rPr>
                <w:rFonts w:ascii="黑体" w:hAnsi="黑体" w:cs="黑体" w:eastAsia="黑体" w:hint="default"/>
                <w:w w:val="95"/>
                <w:sz w:val="18"/>
                <w:szCs w:val="18"/>
              </w:rPr>
              <w:t>年</w:t>
            </w:r>
          </w:p>
        </w:tc>
        <w:tc>
          <w:tcPr>
            <w:tcW w:w="1371" w:type="dxa"/>
            <w:tcBorders>
              <w:top w:val="nil" w:sz="6" w:space="0" w:color="auto"/>
              <w:left w:val="nil" w:sz="6" w:space="0" w:color="auto"/>
              <w:bottom w:val="nil" w:sz="6" w:space="0" w:color="auto"/>
              <w:right w:val="nil" w:sz="6" w:space="0" w:color="auto"/>
            </w:tcBorders>
          </w:tcPr>
          <w:p>
            <w:pPr>
              <w:pStyle w:val="TableParagraph"/>
              <w:spacing w:line="193" w:lineRule="exact"/>
              <w:ind w:right="198"/>
              <w:jc w:val="right"/>
              <w:rPr>
                <w:rFonts w:ascii="黑体" w:hAnsi="黑体" w:cs="黑体" w:eastAsia="黑体" w:hint="default"/>
                <w:sz w:val="18"/>
                <w:szCs w:val="18"/>
              </w:rPr>
            </w:pPr>
            <w:r>
              <w:rPr>
                <w:rFonts w:ascii="Arial" w:hAnsi="Arial" w:cs="Arial" w:eastAsia="Arial" w:hint="default"/>
                <w:w w:val="95"/>
                <w:sz w:val="18"/>
                <w:szCs w:val="18"/>
              </w:rPr>
              <w:t>2011</w:t>
            </w:r>
            <w:r>
              <w:rPr>
                <w:rFonts w:ascii="黑体" w:hAnsi="黑体" w:cs="黑体" w:eastAsia="黑体" w:hint="default"/>
                <w:w w:val="95"/>
                <w:sz w:val="18"/>
                <w:szCs w:val="18"/>
              </w:rPr>
              <w:t>年</w:t>
            </w:r>
          </w:p>
        </w:tc>
      </w:tr>
      <w:tr>
        <w:trPr>
          <w:trHeight w:val="381" w:hRule="exact"/>
        </w:trPr>
        <w:tc>
          <w:tcPr>
            <w:tcW w:w="5949"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spacing w:line="227" w:lineRule="exact"/>
              <w:ind w:right="228"/>
              <w:jc w:val="right"/>
              <w:rPr>
                <w:rFonts w:ascii="黑体" w:hAnsi="黑体" w:cs="黑体" w:eastAsia="黑体" w:hint="default"/>
                <w:sz w:val="18"/>
                <w:szCs w:val="18"/>
              </w:rPr>
            </w:pPr>
            <w:r>
              <w:rPr>
                <w:rFonts w:ascii="Arial" w:hAnsi="Arial" w:cs="Arial" w:eastAsia="Arial" w:hint="default"/>
                <w:w w:val="95"/>
                <w:sz w:val="18"/>
                <w:szCs w:val="18"/>
              </w:rPr>
              <w:t>12</w:t>
            </w:r>
            <w:r>
              <w:rPr>
                <w:rFonts w:ascii="黑体" w:hAnsi="黑体" w:cs="黑体" w:eastAsia="黑体" w:hint="default"/>
                <w:w w:val="95"/>
                <w:sz w:val="18"/>
                <w:szCs w:val="18"/>
              </w:rPr>
              <w:t>月</w:t>
            </w:r>
            <w:r>
              <w:rPr>
                <w:rFonts w:ascii="Arial" w:hAnsi="Arial" w:cs="Arial" w:eastAsia="Arial" w:hint="default"/>
                <w:w w:val="95"/>
                <w:sz w:val="18"/>
                <w:szCs w:val="18"/>
              </w:rPr>
              <w:t>31</w:t>
            </w:r>
            <w:r>
              <w:rPr>
                <w:rFonts w:ascii="黑体" w:hAnsi="黑体" w:cs="黑体" w:eastAsia="黑体" w:hint="default"/>
                <w:w w:val="95"/>
                <w:sz w:val="18"/>
                <w:szCs w:val="18"/>
              </w:rPr>
              <w:t>日</w:t>
            </w:r>
          </w:p>
        </w:tc>
        <w:tc>
          <w:tcPr>
            <w:tcW w:w="1371" w:type="dxa"/>
            <w:tcBorders>
              <w:top w:val="nil" w:sz="6" w:space="0" w:color="auto"/>
              <w:left w:val="nil" w:sz="6" w:space="0" w:color="auto"/>
              <w:bottom w:val="nil" w:sz="6" w:space="0" w:color="auto"/>
              <w:right w:val="nil" w:sz="6" w:space="0" w:color="auto"/>
            </w:tcBorders>
          </w:tcPr>
          <w:p>
            <w:pPr>
              <w:pStyle w:val="TableParagraph"/>
              <w:spacing w:line="227" w:lineRule="exact"/>
              <w:ind w:right="198"/>
              <w:jc w:val="right"/>
              <w:rPr>
                <w:rFonts w:ascii="黑体" w:hAnsi="黑体" w:cs="黑体" w:eastAsia="黑体" w:hint="default"/>
                <w:sz w:val="18"/>
                <w:szCs w:val="18"/>
              </w:rPr>
            </w:pPr>
            <w:r>
              <w:rPr>
                <w:rFonts w:ascii="Arial" w:hAnsi="Arial" w:cs="Arial" w:eastAsia="Arial" w:hint="default"/>
                <w:w w:val="95"/>
                <w:sz w:val="18"/>
                <w:szCs w:val="18"/>
              </w:rPr>
              <w:t>12</w:t>
            </w:r>
            <w:r>
              <w:rPr>
                <w:rFonts w:ascii="黑体" w:hAnsi="黑体" w:cs="黑体" w:eastAsia="黑体" w:hint="default"/>
                <w:w w:val="95"/>
                <w:sz w:val="18"/>
                <w:szCs w:val="18"/>
              </w:rPr>
              <w:t>月</w:t>
            </w:r>
            <w:r>
              <w:rPr>
                <w:rFonts w:ascii="Arial" w:hAnsi="Arial" w:cs="Arial" w:eastAsia="Arial" w:hint="default"/>
                <w:w w:val="95"/>
                <w:sz w:val="18"/>
                <w:szCs w:val="18"/>
              </w:rPr>
              <w:t>31</w:t>
            </w:r>
            <w:r>
              <w:rPr>
                <w:rFonts w:ascii="黑体" w:hAnsi="黑体" w:cs="黑体" w:eastAsia="黑体" w:hint="default"/>
                <w:w w:val="95"/>
                <w:sz w:val="18"/>
                <w:szCs w:val="18"/>
              </w:rPr>
              <w:t>日</w:t>
            </w:r>
          </w:p>
        </w:tc>
      </w:tr>
      <w:tr>
        <w:trPr>
          <w:trHeight w:val="377" w:hRule="exact"/>
        </w:trPr>
        <w:tc>
          <w:tcPr>
            <w:tcW w:w="5949"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200" w:right="0"/>
              <w:jc w:val="left"/>
              <w:rPr>
                <w:rFonts w:ascii="黑体" w:hAnsi="黑体" w:cs="黑体" w:eastAsia="黑体" w:hint="default"/>
                <w:sz w:val="18"/>
                <w:szCs w:val="18"/>
              </w:rPr>
            </w:pPr>
            <w:r>
              <w:rPr>
                <w:rFonts w:ascii="黑体" w:hAnsi="黑体" w:cs="黑体" w:eastAsia="黑体" w:hint="default"/>
                <w:sz w:val="18"/>
                <w:szCs w:val="18"/>
              </w:rPr>
              <w:t>2012</w:t>
            </w:r>
            <w:r>
              <w:rPr>
                <w:rFonts w:ascii="黑体" w:hAnsi="黑体" w:cs="黑体" w:eastAsia="黑体" w:hint="default"/>
                <w:spacing w:val="-47"/>
                <w:sz w:val="18"/>
                <w:szCs w:val="18"/>
              </w:rPr>
              <w:t> </w:t>
            </w:r>
            <w:r>
              <w:rPr>
                <w:rFonts w:ascii="黑体" w:hAnsi="黑体" w:cs="黑体" w:eastAsia="黑体" w:hint="default"/>
                <w:sz w:val="18"/>
                <w:szCs w:val="18"/>
              </w:rPr>
              <w:t>电子信息产业振兴和技术改造中央投资项目</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176" w:right="0"/>
              <w:jc w:val="left"/>
              <w:rPr>
                <w:rFonts w:ascii="Arial" w:hAnsi="Arial" w:cs="Arial" w:eastAsia="Arial" w:hint="default"/>
                <w:sz w:val="18"/>
                <w:szCs w:val="18"/>
              </w:rPr>
            </w:pPr>
            <w:r>
              <w:rPr>
                <w:rFonts w:ascii="Arial"/>
                <w:sz w:val="18"/>
              </w:rPr>
              <w:t>20,000,000</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222"/>
              <w:jc w:val="right"/>
              <w:rPr>
                <w:rFonts w:ascii="Arial" w:hAnsi="Arial" w:cs="Arial" w:eastAsia="Arial" w:hint="default"/>
                <w:sz w:val="18"/>
                <w:szCs w:val="18"/>
              </w:rPr>
            </w:pPr>
            <w:r>
              <w:rPr>
                <w:rFonts w:ascii="Arial"/>
                <w:w w:val="99"/>
                <w:sz w:val="18"/>
              </w:rPr>
              <w:t>-</w:t>
            </w:r>
            <w:r>
              <w:rPr>
                <w:rFonts w:ascii="Arial"/>
                <w:sz w:val="18"/>
              </w:rPr>
            </w:r>
          </w:p>
        </w:tc>
      </w:tr>
      <w:tr>
        <w:trPr>
          <w:trHeight w:val="256" w:hRule="exact"/>
        </w:trPr>
        <w:tc>
          <w:tcPr>
            <w:tcW w:w="5949" w:type="dxa"/>
            <w:tcBorders>
              <w:top w:val="nil" w:sz="6" w:space="0" w:color="auto"/>
              <w:left w:val="nil" w:sz="6" w:space="0" w:color="auto"/>
              <w:bottom w:val="nil" w:sz="6" w:space="0" w:color="auto"/>
              <w:right w:val="nil" w:sz="6" w:space="0" w:color="auto"/>
            </w:tcBorders>
          </w:tcPr>
          <w:p>
            <w:pPr>
              <w:pStyle w:val="TableParagraph"/>
              <w:spacing w:line="219" w:lineRule="exact"/>
              <w:ind w:left="200" w:right="0"/>
              <w:jc w:val="left"/>
              <w:rPr>
                <w:rFonts w:ascii="黑体" w:hAnsi="黑体" w:cs="黑体" w:eastAsia="黑体" w:hint="default"/>
                <w:sz w:val="18"/>
                <w:szCs w:val="18"/>
              </w:rPr>
            </w:pPr>
            <w:r>
              <w:rPr>
                <w:rFonts w:ascii="黑体" w:hAnsi="黑体" w:cs="黑体" w:eastAsia="黑体" w:hint="default"/>
                <w:sz w:val="18"/>
                <w:szCs w:val="18"/>
              </w:rPr>
              <w:t>用友高端企业管理软件与服务产业化推广</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76" w:right="0"/>
              <w:jc w:val="left"/>
              <w:rPr>
                <w:rFonts w:ascii="Arial" w:hAnsi="Arial" w:cs="Arial" w:eastAsia="Arial" w:hint="default"/>
                <w:sz w:val="18"/>
                <w:szCs w:val="18"/>
              </w:rPr>
            </w:pPr>
            <w:r>
              <w:rPr>
                <w:rFonts w:ascii="Arial"/>
                <w:sz w:val="18"/>
              </w:rPr>
              <w:t>10,000,000</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22"/>
              <w:jc w:val="right"/>
              <w:rPr>
                <w:rFonts w:ascii="Arial" w:hAnsi="Arial" w:cs="Arial" w:eastAsia="Arial" w:hint="default"/>
                <w:sz w:val="18"/>
                <w:szCs w:val="18"/>
              </w:rPr>
            </w:pPr>
            <w:r>
              <w:rPr>
                <w:rFonts w:ascii="Arial"/>
                <w:w w:val="99"/>
                <w:sz w:val="18"/>
              </w:rPr>
              <w:t>-</w:t>
            </w:r>
            <w:r>
              <w:rPr>
                <w:rFonts w:ascii="Arial"/>
                <w:sz w:val="18"/>
              </w:rPr>
            </w:r>
          </w:p>
        </w:tc>
      </w:tr>
      <w:tr>
        <w:trPr>
          <w:trHeight w:val="256" w:hRule="exact"/>
        </w:trPr>
        <w:tc>
          <w:tcPr>
            <w:tcW w:w="5949" w:type="dxa"/>
            <w:tcBorders>
              <w:top w:val="nil" w:sz="6" w:space="0" w:color="auto"/>
              <w:left w:val="nil" w:sz="6" w:space="0" w:color="auto"/>
              <w:bottom w:val="nil" w:sz="6" w:space="0" w:color="auto"/>
              <w:right w:val="nil" w:sz="6" w:space="0" w:color="auto"/>
            </w:tcBorders>
          </w:tcPr>
          <w:p>
            <w:pPr>
              <w:pStyle w:val="TableParagraph"/>
              <w:spacing w:line="220" w:lineRule="exact"/>
              <w:ind w:left="200" w:right="0"/>
              <w:jc w:val="left"/>
              <w:rPr>
                <w:rFonts w:ascii="黑体" w:hAnsi="黑体" w:cs="黑体" w:eastAsia="黑体" w:hint="default"/>
                <w:sz w:val="18"/>
                <w:szCs w:val="18"/>
              </w:rPr>
            </w:pPr>
            <w:r>
              <w:rPr>
                <w:rFonts w:ascii="黑体" w:hAnsi="黑体" w:cs="黑体" w:eastAsia="黑体" w:hint="default"/>
                <w:sz w:val="18"/>
                <w:szCs w:val="18"/>
              </w:rPr>
              <w:t>第三批广东省战略性新兴产业发展专项资金</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76" w:right="0"/>
              <w:jc w:val="left"/>
              <w:rPr>
                <w:rFonts w:ascii="Arial" w:hAnsi="Arial" w:cs="Arial" w:eastAsia="Arial" w:hint="default"/>
                <w:sz w:val="18"/>
                <w:szCs w:val="18"/>
              </w:rPr>
            </w:pPr>
            <w:r>
              <w:rPr>
                <w:rFonts w:ascii="Arial"/>
                <w:sz w:val="18"/>
              </w:rPr>
              <w:t>10,000,000</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22"/>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5949" w:type="dxa"/>
            <w:tcBorders>
              <w:top w:val="nil" w:sz="6" w:space="0" w:color="auto"/>
              <w:left w:val="nil" w:sz="6" w:space="0" w:color="auto"/>
              <w:bottom w:val="nil" w:sz="6" w:space="0" w:color="auto"/>
              <w:right w:val="nil" w:sz="6" w:space="0" w:color="auto"/>
            </w:tcBorders>
          </w:tcPr>
          <w:p>
            <w:pPr>
              <w:pStyle w:val="TableParagraph"/>
              <w:spacing w:line="219" w:lineRule="exact"/>
              <w:ind w:left="200" w:right="0"/>
              <w:jc w:val="left"/>
              <w:rPr>
                <w:rFonts w:ascii="黑体" w:hAnsi="黑体" w:cs="黑体" w:eastAsia="黑体" w:hint="default"/>
                <w:sz w:val="18"/>
                <w:szCs w:val="18"/>
              </w:rPr>
            </w:pPr>
            <w:r>
              <w:rPr>
                <w:rFonts w:ascii="黑体" w:hAnsi="黑体" w:cs="黑体" w:eastAsia="黑体" w:hint="default"/>
                <w:sz w:val="18"/>
                <w:szCs w:val="18"/>
              </w:rPr>
              <w:t>大型通用数据库管理系统与套件研发及产业化</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1"/>
              <w:jc w:val="right"/>
              <w:rPr>
                <w:rFonts w:ascii="Arial" w:hAnsi="Arial" w:cs="Arial" w:eastAsia="Arial" w:hint="default"/>
                <w:sz w:val="18"/>
                <w:szCs w:val="18"/>
              </w:rPr>
            </w:pPr>
            <w:r>
              <w:rPr>
                <w:rFonts w:ascii="Arial"/>
                <w:spacing w:val="-1"/>
                <w:sz w:val="18"/>
              </w:rPr>
              <w:t>6,560,000</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9"/>
              <w:jc w:val="right"/>
              <w:rPr>
                <w:rFonts w:ascii="Arial" w:hAnsi="Arial" w:cs="Arial" w:eastAsia="Arial" w:hint="default"/>
                <w:sz w:val="18"/>
                <w:szCs w:val="18"/>
              </w:rPr>
            </w:pPr>
            <w:r>
              <w:rPr>
                <w:rFonts w:ascii="Arial"/>
                <w:spacing w:val="-1"/>
                <w:sz w:val="18"/>
              </w:rPr>
              <w:t>6,560,000</w:t>
            </w:r>
          </w:p>
        </w:tc>
      </w:tr>
      <w:tr>
        <w:trPr>
          <w:trHeight w:val="254" w:hRule="exact"/>
        </w:trPr>
        <w:tc>
          <w:tcPr>
            <w:tcW w:w="5949" w:type="dxa"/>
            <w:tcBorders>
              <w:top w:val="nil" w:sz="6" w:space="0" w:color="auto"/>
              <w:left w:val="nil" w:sz="6" w:space="0" w:color="auto"/>
              <w:bottom w:val="nil" w:sz="6" w:space="0" w:color="auto"/>
              <w:right w:val="nil" w:sz="6" w:space="0" w:color="auto"/>
            </w:tcBorders>
          </w:tcPr>
          <w:p>
            <w:pPr>
              <w:pStyle w:val="TableParagraph"/>
              <w:spacing w:line="219" w:lineRule="exact"/>
              <w:ind w:left="200" w:right="0"/>
              <w:jc w:val="left"/>
              <w:rPr>
                <w:rFonts w:ascii="黑体" w:hAnsi="黑体" w:cs="黑体" w:eastAsia="黑体" w:hint="default"/>
                <w:sz w:val="18"/>
                <w:szCs w:val="18"/>
              </w:rPr>
            </w:pPr>
            <w:r>
              <w:rPr>
                <w:rFonts w:ascii="黑体" w:hAnsi="黑体" w:cs="黑体" w:eastAsia="黑体" w:hint="default"/>
                <w:sz w:val="18"/>
                <w:szCs w:val="18"/>
              </w:rPr>
              <w:t>基于企业内部控制规范的</w:t>
            </w:r>
            <w:r>
              <w:rPr>
                <w:rFonts w:ascii="黑体" w:hAnsi="黑体" w:cs="黑体" w:eastAsia="黑体" w:hint="default"/>
                <w:spacing w:val="-46"/>
                <w:sz w:val="18"/>
                <w:szCs w:val="18"/>
              </w:rPr>
              <w:t> </w:t>
            </w:r>
            <w:r>
              <w:rPr>
                <w:rFonts w:ascii="黑体" w:hAnsi="黑体" w:cs="黑体" w:eastAsia="黑体" w:hint="default"/>
                <w:sz w:val="18"/>
                <w:szCs w:val="18"/>
              </w:rPr>
              <w:t>IT</w:t>
            </w:r>
            <w:r>
              <w:rPr>
                <w:rFonts w:ascii="黑体" w:hAnsi="黑体" w:cs="黑体" w:eastAsia="黑体" w:hint="default"/>
                <w:spacing w:val="-45"/>
                <w:sz w:val="18"/>
                <w:szCs w:val="18"/>
              </w:rPr>
              <w:t> </w:t>
            </w:r>
            <w:r>
              <w:rPr>
                <w:rFonts w:ascii="黑体" w:hAnsi="黑体" w:cs="黑体" w:eastAsia="黑体" w:hint="default"/>
                <w:sz w:val="18"/>
                <w:szCs w:val="18"/>
              </w:rPr>
              <w:t>治理管理系统研发</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1"/>
              <w:jc w:val="right"/>
              <w:rPr>
                <w:rFonts w:ascii="Arial" w:hAnsi="Arial" w:cs="Arial" w:eastAsia="Arial" w:hint="default"/>
                <w:sz w:val="18"/>
                <w:szCs w:val="18"/>
              </w:rPr>
            </w:pPr>
            <w:r>
              <w:rPr>
                <w:rFonts w:ascii="Arial"/>
                <w:spacing w:val="-1"/>
                <w:sz w:val="18"/>
              </w:rPr>
              <w:t>5,000,000</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22"/>
              <w:jc w:val="right"/>
              <w:rPr>
                <w:rFonts w:ascii="Arial" w:hAnsi="Arial" w:cs="Arial" w:eastAsia="Arial" w:hint="default"/>
                <w:sz w:val="18"/>
                <w:szCs w:val="18"/>
              </w:rPr>
            </w:pPr>
            <w:r>
              <w:rPr>
                <w:rFonts w:ascii="Arial"/>
                <w:w w:val="99"/>
                <w:sz w:val="18"/>
              </w:rPr>
              <w:t>-</w:t>
            </w:r>
            <w:r>
              <w:rPr>
                <w:rFonts w:ascii="Arial"/>
                <w:sz w:val="18"/>
              </w:rPr>
            </w:r>
          </w:p>
        </w:tc>
      </w:tr>
      <w:tr>
        <w:trPr>
          <w:trHeight w:val="256" w:hRule="exact"/>
        </w:trPr>
        <w:tc>
          <w:tcPr>
            <w:tcW w:w="5949" w:type="dxa"/>
            <w:tcBorders>
              <w:top w:val="nil" w:sz="6" w:space="0" w:color="auto"/>
              <w:left w:val="nil" w:sz="6" w:space="0" w:color="auto"/>
              <w:bottom w:val="nil" w:sz="6" w:space="0" w:color="auto"/>
              <w:right w:val="nil" w:sz="6" w:space="0" w:color="auto"/>
            </w:tcBorders>
          </w:tcPr>
          <w:p>
            <w:pPr>
              <w:pStyle w:val="TableParagraph"/>
              <w:spacing w:line="219" w:lineRule="exact"/>
              <w:ind w:left="200" w:right="0"/>
              <w:jc w:val="left"/>
              <w:rPr>
                <w:rFonts w:ascii="黑体" w:hAnsi="黑体" w:cs="黑体" w:eastAsia="黑体" w:hint="default"/>
                <w:sz w:val="18"/>
                <w:szCs w:val="18"/>
              </w:rPr>
            </w:pPr>
            <w:r>
              <w:rPr>
                <w:rFonts w:ascii="黑体" w:hAnsi="黑体" w:cs="黑体" w:eastAsia="黑体" w:hint="default"/>
                <w:sz w:val="18"/>
                <w:szCs w:val="18"/>
              </w:rPr>
              <w:t>国家</w:t>
            </w:r>
            <w:r>
              <w:rPr>
                <w:rFonts w:ascii="黑体" w:hAnsi="黑体" w:cs="黑体" w:eastAsia="黑体" w:hint="default"/>
                <w:spacing w:val="-47"/>
                <w:sz w:val="18"/>
                <w:szCs w:val="18"/>
              </w:rPr>
              <w:t> </w:t>
            </w:r>
            <w:r>
              <w:rPr>
                <w:rFonts w:ascii="黑体" w:hAnsi="黑体" w:cs="黑体" w:eastAsia="黑体" w:hint="default"/>
                <w:sz w:val="18"/>
                <w:szCs w:val="18"/>
              </w:rPr>
              <w:t>863</w:t>
            </w:r>
            <w:r>
              <w:rPr>
                <w:rFonts w:ascii="黑体" w:hAnsi="黑体" w:cs="黑体" w:eastAsia="黑体" w:hint="default"/>
                <w:spacing w:val="-46"/>
                <w:sz w:val="18"/>
                <w:szCs w:val="18"/>
              </w:rPr>
              <w:t> </w:t>
            </w:r>
            <w:r>
              <w:rPr>
                <w:rFonts w:ascii="黑体" w:hAnsi="黑体" w:cs="黑体" w:eastAsia="黑体" w:hint="default"/>
                <w:sz w:val="18"/>
                <w:szCs w:val="18"/>
              </w:rPr>
              <w:t>计划：业务驱动的多企业资源协调管理系统研发</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1"/>
              <w:jc w:val="right"/>
              <w:rPr>
                <w:rFonts w:ascii="Arial" w:hAnsi="Arial" w:cs="Arial" w:eastAsia="Arial" w:hint="default"/>
                <w:sz w:val="18"/>
                <w:szCs w:val="18"/>
              </w:rPr>
            </w:pPr>
            <w:r>
              <w:rPr>
                <w:rFonts w:ascii="Arial"/>
                <w:spacing w:val="-1"/>
                <w:sz w:val="18"/>
              </w:rPr>
              <w:t>3,040,000</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9"/>
              <w:jc w:val="right"/>
              <w:rPr>
                <w:rFonts w:ascii="Arial" w:hAnsi="Arial" w:cs="Arial" w:eastAsia="Arial" w:hint="default"/>
                <w:sz w:val="18"/>
                <w:szCs w:val="18"/>
              </w:rPr>
            </w:pPr>
            <w:r>
              <w:rPr>
                <w:rFonts w:ascii="Arial"/>
                <w:spacing w:val="-1"/>
                <w:sz w:val="18"/>
              </w:rPr>
              <w:t>3,040,000</w:t>
            </w:r>
          </w:p>
        </w:tc>
      </w:tr>
      <w:tr>
        <w:trPr>
          <w:trHeight w:val="256" w:hRule="exact"/>
        </w:trPr>
        <w:tc>
          <w:tcPr>
            <w:tcW w:w="5949" w:type="dxa"/>
            <w:tcBorders>
              <w:top w:val="nil" w:sz="6" w:space="0" w:color="auto"/>
              <w:left w:val="nil" w:sz="6" w:space="0" w:color="auto"/>
              <w:bottom w:val="nil" w:sz="6" w:space="0" w:color="auto"/>
              <w:right w:val="nil" w:sz="6" w:space="0" w:color="auto"/>
            </w:tcBorders>
          </w:tcPr>
          <w:p>
            <w:pPr>
              <w:pStyle w:val="TableParagraph"/>
              <w:spacing w:line="220" w:lineRule="exact"/>
              <w:ind w:left="200" w:right="0"/>
              <w:jc w:val="left"/>
              <w:rPr>
                <w:rFonts w:ascii="黑体" w:hAnsi="黑体" w:cs="黑体" w:eastAsia="黑体" w:hint="default"/>
                <w:sz w:val="18"/>
                <w:szCs w:val="18"/>
              </w:rPr>
            </w:pPr>
            <w:r>
              <w:rPr>
                <w:rFonts w:ascii="黑体" w:hAnsi="黑体" w:cs="黑体" w:eastAsia="黑体" w:hint="default"/>
                <w:sz w:val="18"/>
                <w:szCs w:val="18"/>
              </w:rPr>
              <w:t>广东省现代信息服务业发展专项资金</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1"/>
              <w:jc w:val="right"/>
              <w:rPr>
                <w:rFonts w:ascii="Arial" w:hAnsi="Arial" w:cs="Arial" w:eastAsia="Arial" w:hint="default"/>
                <w:sz w:val="18"/>
                <w:szCs w:val="18"/>
              </w:rPr>
            </w:pPr>
            <w:r>
              <w:rPr>
                <w:rFonts w:ascii="Arial"/>
                <w:spacing w:val="-1"/>
                <w:sz w:val="18"/>
              </w:rPr>
              <w:t>3,000,000</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19"/>
              <w:jc w:val="right"/>
              <w:rPr>
                <w:rFonts w:ascii="Arial" w:hAnsi="Arial" w:cs="Arial" w:eastAsia="Arial" w:hint="default"/>
                <w:sz w:val="18"/>
                <w:szCs w:val="18"/>
              </w:rPr>
            </w:pPr>
            <w:r>
              <w:rPr>
                <w:rFonts w:ascii="Arial"/>
                <w:spacing w:val="-1"/>
                <w:sz w:val="18"/>
              </w:rPr>
              <w:t>3,000,000</w:t>
            </w:r>
          </w:p>
        </w:tc>
      </w:tr>
      <w:tr>
        <w:trPr>
          <w:trHeight w:val="254" w:hRule="exact"/>
        </w:trPr>
        <w:tc>
          <w:tcPr>
            <w:tcW w:w="5949" w:type="dxa"/>
            <w:tcBorders>
              <w:top w:val="nil" w:sz="6" w:space="0" w:color="auto"/>
              <w:left w:val="nil" w:sz="6" w:space="0" w:color="auto"/>
              <w:bottom w:val="nil" w:sz="6" w:space="0" w:color="auto"/>
              <w:right w:val="nil" w:sz="6" w:space="0" w:color="auto"/>
            </w:tcBorders>
          </w:tcPr>
          <w:p>
            <w:pPr>
              <w:pStyle w:val="TableParagraph"/>
              <w:spacing w:line="219" w:lineRule="exact"/>
              <w:ind w:left="200" w:right="0"/>
              <w:jc w:val="left"/>
              <w:rPr>
                <w:rFonts w:ascii="黑体" w:hAnsi="黑体" w:cs="黑体" w:eastAsia="黑体" w:hint="default"/>
                <w:sz w:val="18"/>
                <w:szCs w:val="18"/>
              </w:rPr>
            </w:pPr>
            <w:r>
              <w:rPr>
                <w:rFonts w:ascii="黑体" w:hAnsi="黑体" w:cs="黑体" w:eastAsia="黑体" w:hint="default"/>
                <w:sz w:val="18"/>
                <w:szCs w:val="18"/>
              </w:rPr>
              <w:t>面向福建省内跨区域医保协同服务应用示范课题费</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1"/>
              <w:jc w:val="right"/>
              <w:rPr>
                <w:rFonts w:ascii="Arial" w:hAnsi="Arial" w:cs="Arial" w:eastAsia="Arial" w:hint="default"/>
                <w:sz w:val="18"/>
                <w:szCs w:val="18"/>
              </w:rPr>
            </w:pPr>
            <w:r>
              <w:rPr>
                <w:rFonts w:ascii="Arial"/>
                <w:spacing w:val="-1"/>
                <w:sz w:val="18"/>
              </w:rPr>
              <w:t>3,676,200</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9"/>
              <w:jc w:val="right"/>
              <w:rPr>
                <w:rFonts w:ascii="Arial" w:hAnsi="Arial" w:cs="Arial" w:eastAsia="Arial" w:hint="default"/>
                <w:sz w:val="18"/>
                <w:szCs w:val="18"/>
              </w:rPr>
            </w:pPr>
            <w:r>
              <w:rPr>
                <w:rFonts w:ascii="Arial"/>
                <w:spacing w:val="-1"/>
                <w:sz w:val="18"/>
              </w:rPr>
              <w:t>2,450,000</w:t>
            </w:r>
          </w:p>
        </w:tc>
      </w:tr>
      <w:tr>
        <w:trPr>
          <w:trHeight w:val="254" w:hRule="exact"/>
        </w:trPr>
        <w:tc>
          <w:tcPr>
            <w:tcW w:w="5949" w:type="dxa"/>
            <w:tcBorders>
              <w:top w:val="nil" w:sz="6" w:space="0" w:color="auto"/>
              <w:left w:val="nil" w:sz="6" w:space="0" w:color="auto"/>
              <w:bottom w:val="nil" w:sz="6" w:space="0" w:color="auto"/>
              <w:right w:val="nil" w:sz="6" w:space="0" w:color="auto"/>
            </w:tcBorders>
          </w:tcPr>
          <w:p>
            <w:pPr>
              <w:pStyle w:val="TableParagraph"/>
              <w:spacing w:line="219" w:lineRule="exact"/>
              <w:ind w:left="200" w:right="0"/>
              <w:jc w:val="left"/>
              <w:rPr>
                <w:rFonts w:ascii="黑体" w:hAnsi="黑体" w:cs="黑体" w:eastAsia="黑体" w:hint="default"/>
                <w:sz w:val="18"/>
                <w:szCs w:val="18"/>
              </w:rPr>
            </w:pPr>
            <w:r>
              <w:rPr>
                <w:rFonts w:ascii="黑体" w:hAnsi="黑体" w:cs="黑体" w:eastAsia="黑体" w:hint="default"/>
                <w:sz w:val="18"/>
                <w:szCs w:val="18"/>
              </w:rPr>
              <w:t>“基于</w:t>
            </w:r>
            <w:r>
              <w:rPr>
                <w:rFonts w:ascii="黑体" w:hAnsi="黑体" w:cs="黑体" w:eastAsia="黑体" w:hint="default"/>
                <w:spacing w:val="-48"/>
                <w:sz w:val="18"/>
                <w:szCs w:val="18"/>
              </w:rPr>
              <w:t> </w:t>
            </w:r>
            <w:r>
              <w:rPr>
                <w:rFonts w:ascii="黑体" w:hAnsi="黑体" w:cs="黑体" w:eastAsia="黑体" w:hint="default"/>
                <w:sz w:val="18"/>
                <w:szCs w:val="18"/>
              </w:rPr>
              <w:t>SOA</w:t>
            </w:r>
            <w:r>
              <w:rPr>
                <w:rFonts w:ascii="黑体" w:hAnsi="黑体" w:cs="黑体" w:eastAsia="黑体" w:hint="default"/>
                <w:spacing w:val="-47"/>
                <w:sz w:val="18"/>
                <w:szCs w:val="18"/>
              </w:rPr>
              <w:t> </w:t>
            </w:r>
            <w:r>
              <w:rPr>
                <w:rFonts w:ascii="黑体" w:hAnsi="黑体" w:cs="黑体" w:eastAsia="黑体" w:hint="default"/>
                <w:sz w:val="18"/>
                <w:szCs w:val="18"/>
              </w:rPr>
              <w:t>架构的新一代企业管理应用系统(U9)研发及产业化”</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1"/>
              <w:jc w:val="right"/>
              <w:rPr>
                <w:rFonts w:ascii="Arial" w:hAnsi="Arial" w:cs="Arial" w:eastAsia="Arial" w:hint="default"/>
                <w:sz w:val="18"/>
                <w:szCs w:val="18"/>
              </w:rPr>
            </w:pPr>
            <w:r>
              <w:rPr>
                <w:rFonts w:ascii="Arial"/>
                <w:spacing w:val="-1"/>
                <w:sz w:val="18"/>
              </w:rPr>
              <w:t>2,000,000</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9"/>
              <w:jc w:val="right"/>
              <w:rPr>
                <w:rFonts w:ascii="Arial" w:hAnsi="Arial" w:cs="Arial" w:eastAsia="Arial" w:hint="default"/>
                <w:sz w:val="18"/>
                <w:szCs w:val="18"/>
              </w:rPr>
            </w:pPr>
            <w:r>
              <w:rPr>
                <w:rFonts w:ascii="Arial"/>
                <w:spacing w:val="-1"/>
                <w:sz w:val="18"/>
              </w:rPr>
              <w:t>2,000,000</w:t>
            </w:r>
          </w:p>
        </w:tc>
      </w:tr>
      <w:tr>
        <w:trPr>
          <w:trHeight w:val="256" w:hRule="exact"/>
        </w:trPr>
        <w:tc>
          <w:tcPr>
            <w:tcW w:w="5949" w:type="dxa"/>
            <w:tcBorders>
              <w:top w:val="nil" w:sz="6" w:space="0" w:color="auto"/>
              <w:left w:val="nil" w:sz="6" w:space="0" w:color="auto"/>
              <w:bottom w:val="nil" w:sz="6" w:space="0" w:color="auto"/>
              <w:right w:val="nil" w:sz="6" w:space="0" w:color="auto"/>
            </w:tcBorders>
          </w:tcPr>
          <w:p>
            <w:pPr>
              <w:pStyle w:val="TableParagraph"/>
              <w:spacing w:line="219" w:lineRule="exact"/>
              <w:ind w:left="200" w:right="0"/>
              <w:jc w:val="left"/>
              <w:rPr>
                <w:rFonts w:ascii="黑体" w:hAnsi="黑体" w:cs="黑体" w:eastAsia="黑体" w:hint="default"/>
                <w:sz w:val="18"/>
                <w:szCs w:val="18"/>
              </w:rPr>
            </w:pPr>
            <w:r>
              <w:rPr>
                <w:rFonts w:ascii="黑体" w:hAnsi="黑体" w:cs="黑体" w:eastAsia="黑体" w:hint="default"/>
                <w:sz w:val="18"/>
                <w:szCs w:val="18"/>
              </w:rPr>
              <w:t>广州市创新型企业建设方案</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1"/>
              <w:jc w:val="right"/>
              <w:rPr>
                <w:rFonts w:ascii="Arial" w:hAnsi="Arial" w:cs="Arial" w:eastAsia="Arial" w:hint="default"/>
                <w:sz w:val="18"/>
                <w:szCs w:val="18"/>
              </w:rPr>
            </w:pPr>
            <w:r>
              <w:rPr>
                <w:rFonts w:ascii="Arial"/>
                <w:spacing w:val="-1"/>
                <w:sz w:val="18"/>
              </w:rPr>
              <w:t>2,000,000</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9"/>
              <w:jc w:val="right"/>
              <w:rPr>
                <w:rFonts w:ascii="Arial" w:hAnsi="Arial" w:cs="Arial" w:eastAsia="Arial" w:hint="default"/>
                <w:sz w:val="18"/>
                <w:szCs w:val="18"/>
              </w:rPr>
            </w:pPr>
            <w:r>
              <w:rPr>
                <w:rFonts w:ascii="Arial"/>
                <w:spacing w:val="-1"/>
                <w:sz w:val="18"/>
              </w:rPr>
              <w:t>2,000,000</w:t>
            </w:r>
          </w:p>
        </w:tc>
      </w:tr>
      <w:tr>
        <w:trPr>
          <w:trHeight w:val="256" w:hRule="exact"/>
        </w:trPr>
        <w:tc>
          <w:tcPr>
            <w:tcW w:w="5949" w:type="dxa"/>
            <w:tcBorders>
              <w:top w:val="nil" w:sz="6" w:space="0" w:color="auto"/>
              <w:left w:val="nil" w:sz="6" w:space="0" w:color="auto"/>
              <w:bottom w:val="nil" w:sz="6" w:space="0" w:color="auto"/>
              <w:right w:val="nil" w:sz="6" w:space="0" w:color="auto"/>
            </w:tcBorders>
          </w:tcPr>
          <w:p>
            <w:pPr>
              <w:pStyle w:val="TableParagraph"/>
              <w:spacing w:line="220" w:lineRule="exact"/>
              <w:ind w:left="200" w:right="0"/>
              <w:jc w:val="left"/>
              <w:rPr>
                <w:rFonts w:ascii="黑体" w:hAnsi="黑体" w:cs="黑体" w:eastAsia="黑体" w:hint="default"/>
                <w:sz w:val="18"/>
                <w:szCs w:val="18"/>
              </w:rPr>
            </w:pPr>
            <w:r>
              <w:rPr>
                <w:rFonts w:ascii="黑体" w:hAnsi="黑体" w:cs="黑体" w:eastAsia="黑体" w:hint="default"/>
                <w:sz w:val="18"/>
                <w:szCs w:val="18"/>
              </w:rPr>
              <w:t>四川课题-协同医疗卫生服务支撑关键技术研究</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1"/>
              <w:jc w:val="right"/>
              <w:rPr>
                <w:rFonts w:ascii="Arial" w:hAnsi="Arial" w:cs="Arial" w:eastAsia="Arial" w:hint="default"/>
                <w:sz w:val="18"/>
                <w:szCs w:val="18"/>
              </w:rPr>
            </w:pPr>
            <w:r>
              <w:rPr>
                <w:rFonts w:ascii="Arial"/>
                <w:spacing w:val="-1"/>
                <w:sz w:val="18"/>
              </w:rPr>
              <w:t>1,500,000</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19"/>
              <w:jc w:val="right"/>
              <w:rPr>
                <w:rFonts w:ascii="Arial" w:hAnsi="Arial" w:cs="Arial" w:eastAsia="Arial" w:hint="default"/>
                <w:sz w:val="18"/>
                <w:szCs w:val="18"/>
              </w:rPr>
            </w:pPr>
            <w:r>
              <w:rPr>
                <w:rFonts w:ascii="Arial"/>
                <w:spacing w:val="-1"/>
                <w:sz w:val="18"/>
              </w:rPr>
              <w:t>1,500,000</w:t>
            </w:r>
          </w:p>
        </w:tc>
      </w:tr>
      <w:tr>
        <w:trPr>
          <w:trHeight w:val="254" w:hRule="exact"/>
        </w:trPr>
        <w:tc>
          <w:tcPr>
            <w:tcW w:w="5949" w:type="dxa"/>
            <w:tcBorders>
              <w:top w:val="nil" w:sz="6" w:space="0" w:color="auto"/>
              <w:left w:val="nil" w:sz="6" w:space="0" w:color="auto"/>
              <w:bottom w:val="nil" w:sz="6" w:space="0" w:color="auto"/>
              <w:right w:val="nil" w:sz="6" w:space="0" w:color="auto"/>
            </w:tcBorders>
          </w:tcPr>
          <w:p>
            <w:pPr>
              <w:pStyle w:val="TableParagraph"/>
              <w:spacing w:line="219" w:lineRule="exact"/>
              <w:ind w:left="200" w:right="0"/>
              <w:jc w:val="left"/>
              <w:rPr>
                <w:rFonts w:ascii="黑体" w:hAnsi="黑体" w:cs="黑体" w:eastAsia="黑体" w:hint="default"/>
                <w:sz w:val="18"/>
                <w:szCs w:val="18"/>
              </w:rPr>
            </w:pPr>
            <w:r>
              <w:rPr>
                <w:rFonts w:ascii="黑体" w:hAnsi="黑体" w:cs="黑体" w:eastAsia="黑体" w:hint="default"/>
                <w:sz w:val="18"/>
                <w:szCs w:val="18"/>
              </w:rPr>
              <w:t>国家</w:t>
            </w:r>
            <w:r>
              <w:rPr>
                <w:rFonts w:ascii="黑体" w:hAnsi="黑体" w:cs="黑体" w:eastAsia="黑体" w:hint="default"/>
                <w:spacing w:val="-48"/>
                <w:sz w:val="18"/>
                <w:szCs w:val="18"/>
              </w:rPr>
              <w:t> </w:t>
            </w:r>
            <w:r>
              <w:rPr>
                <w:rFonts w:ascii="黑体" w:hAnsi="黑体" w:cs="黑体" w:eastAsia="黑体" w:hint="default"/>
                <w:sz w:val="18"/>
                <w:szCs w:val="18"/>
              </w:rPr>
              <w:t>863</w:t>
            </w:r>
            <w:r>
              <w:rPr>
                <w:rFonts w:ascii="黑体" w:hAnsi="黑体" w:cs="黑体" w:eastAsia="黑体" w:hint="default"/>
                <w:spacing w:val="-47"/>
                <w:sz w:val="18"/>
                <w:szCs w:val="18"/>
              </w:rPr>
              <w:t> </w:t>
            </w:r>
            <w:r>
              <w:rPr>
                <w:rFonts w:ascii="黑体" w:hAnsi="黑体" w:cs="黑体" w:eastAsia="黑体" w:hint="default"/>
                <w:sz w:val="18"/>
                <w:szCs w:val="18"/>
              </w:rPr>
              <w:t>计划：RFID</w:t>
            </w:r>
            <w:r>
              <w:rPr>
                <w:rFonts w:ascii="黑体" w:hAnsi="黑体" w:cs="黑体" w:eastAsia="黑体" w:hint="default"/>
                <w:spacing w:val="-47"/>
                <w:sz w:val="18"/>
                <w:szCs w:val="18"/>
              </w:rPr>
              <w:t> </w:t>
            </w:r>
            <w:r>
              <w:rPr>
                <w:rFonts w:ascii="黑体" w:hAnsi="黑体" w:cs="黑体" w:eastAsia="黑体" w:hint="default"/>
                <w:sz w:val="18"/>
                <w:szCs w:val="18"/>
              </w:rPr>
              <w:t>的信息集成管理技术研究与开发</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1"/>
              <w:jc w:val="right"/>
              <w:rPr>
                <w:rFonts w:ascii="Arial" w:hAnsi="Arial" w:cs="Arial" w:eastAsia="Arial" w:hint="default"/>
                <w:sz w:val="18"/>
                <w:szCs w:val="18"/>
              </w:rPr>
            </w:pPr>
            <w:r>
              <w:rPr>
                <w:rFonts w:ascii="Arial"/>
                <w:spacing w:val="-1"/>
                <w:sz w:val="18"/>
              </w:rPr>
              <w:t>1,190,000</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9"/>
              <w:jc w:val="right"/>
              <w:rPr>
                <w:rFonts w:ascii="Arial" w:hAnsi="Arial" w:cs="Arial" w:eastAsia="Arial" w:hint="default"/>
                <w:sz w:val="18"/>
                <w:szCs w:val="18"/>
              </w:rPr>
            </w:pPr>
            <w:r>
              <w:rPr>
                <w:rFonts w:ascii="Arial"/>
                <w:spacing w:val="-1"/>
                <w:sz w:val="18"/>
              </w:rPr>
              <w:t>1,190,000</w:t>
            </w:r>
          </w:p>
        </w:tc>
      </w:tr>
      <w:tr>
        <w:trPr>
          <w:trHeight w:val="254" w:hRule="exact"/>
        </w:trPr>
        <w:tc>
          <w:tcPr>
            <w:tcW w:w="5949" w:type="dxa"/>
            <w:tcBorders>
              <w:top w:val="nil" w:sz="6" w:space="0" w:color="auto"/>
              <w:left w:val="nil" w:sz="6" w:space="0" w:color="auto"/>
              <w:bottom w:val="nil" w:sz="6" w:space="0" w:color="auto"/>
              <w:right w:val="nil" w:sz="6" w:space="0" w:color="auto"/>
            </w:tcBorders>
          </w:tcPr>
          <w:p>
            <w:pPr>
              <w:pStyle w:val="TableParagraph"/>
              <w:spacing w:line="219" w:lineRule="exact"/>
              <w:ind w:left="243" w:right="0"/>
              <w:jc w:val="left"/>
              <w:rPr>
                <w:rFonts w:ascii="黑体" w:hAnsi="黑体" w:cs="黑体" w:eastAsia="黑体" w:hint="default"/>
                <w:sz w:val="18"/>
                <w:szCs w:val="18"/>
              </w:rPr>
            </w:pPr>
            <w:r>
              <w:rPr>
                <w:rFonts w:ascii="黑体" w:hAnsi="黑体" w:cs="黑体" w:eastAsia="黑体" w:hint="default"/>
                <w:sz w:val="18"/>
                <w:szCs w:val="18"/>
              </w:rPr>
              <w:t>小巨人专项资金-第四代</w:t>
            </w:r>
            <w:r>
              <w:rPr>
                <w:rFonts w:ascii="黑体" w:hAnsi="黑体" w:cs="黑体" w:eastAsia="黑体" w:hint="default"/>
                <w:spacing w:val="-47"/>
                <w:sz w:val="18"/>
                <w:szCs w:val="18"/>
              </w:rPr>
              <w:t> </w:t>
            </w:r>
            <w:r>
              <w:rPr>
                <w:rFonts w:ascii="黑体" w:hAnsi="黑体" w:cs="黑体" w:eastAsia="黑体" w:hint="default"/>
                <w:sz w:val="18"/>
                <w:szCs w:val="18"/>
              </w:rPr>
              <w:t>DMS</w:t>
            </w:r>
            <w:r>
              <w:rPr>
                <w:rFonts w:ascii="黑体" w:hAnsi="黑体" w:cs="黑体" w:eastAsia="黑体" w:hint="default"/>
                <w:spacing w:val="-46"/>
                <w:sz w:val="18"/>
                <w:szCs w:val="18"/>
              </w:rPr>
              <w:t> </w:t>
            </w:r>
            <w:r>
              <w:rPr>
                <w:rFonts w:ascii="黑体" w:hAnsi="黑体" w:cs="黑体" w:eastAsia="黑体" w:hint="default"/>
                <w:sz w:val="18"/>
                <w:szCs w:val="18"/>
              </w:rPr>
              <w:t>系统、精益订单管理与产销协同信息系统</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1"/>
              <w:jc w:val="right"/>
              <w:rPr>
                <w:rFonts w:ascii="Arial" w:hAnsi="Arial" w:cs="Arial" w:eastAsia="Arial" w:hint="default"/>
                <w:sz w:val="18"/>
                <w:szCs w:val="18"/>
              </w:rPr>
            </w:pPr>
            <w:r>
              <w:rPr>
                <w:rFonts w:ascii="Arial"/>
                <w:spacing w:val="-1"/>
                <w:sz w:val="18"/>
              </w:rPr>
              <w:t>1,000,000</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9"/>
              <w:jc w:val="right"/>
              <w:rPr>
                <w:rFonts w:ascii="Arial" w:hAnsi="Arial" w:cs="Arial" w:eastAsia="Arial" w:hint="default"/>
                <w:sz w:val="18"/>
                <w:szCs w:val="18"/>
              </w:rPr>
            </w:pPr>
            <w:r>
              <w:rPr>
                <w:rFonts w:ascii="Arial"/>
                <w:spacing w:val="-1"/>
                <w:sz w:val="18"/>
              </w:rPr>
              <w:t>1,000,000</w:t>
            </w:r>
          </w:p>
        </w:tc>
      </w:tr>
      <w:tr>
        <w:trPr>
          <w:trHeight w:val="257" w:hRule="exact"/>
        </w:trPr>
        <w:tc>
          <w:tcPr>
            <w:tcW w:w="5949" w:type="dxa"/>
            <w:tcBorders>
              <w:top w:val="nil" w:sz="6" w:space="0" w:color="auto"/>
              <w:left w:val="nil" w:sz="6" w:space="0" w:color="auto"/>
              <w:bottom w:val="nil" w:sz="6" w:space="0" w:color="auto"/>
              <w:right w:val="nil" w:sz="6" w:space="0" w:color="auto"/>
            </w:tcBorders>
          </w:tcPr>
          <w:p>
            <w:pPr>
              <w:pStyle w:val="TableParagraph"/>
              <w:spacing w:line="219" w:lineRule="exact"/>
              <w:ind w:left="200" w:right="0"/>
              <w:jc w:val="left"/>
              <w:rPr>
                <w:rFonts w:ascii="黑体" w:hAnsi="黑体" w:cs="黑体" w:eastAsia="黑体" w:hint="default"/>
                <w:sz w:val="18"/>
                <w:szCs w:val="18"/>
              </w:rPr>
            </w:pPr>
            <w:r>
              <w:rPr>
                <w:rFonts w:ascii="黑体" w:hAnsi="黑体" w:cs="黑体" w:eastAsia="黑体" w:hint="default"/>
                <w:sz w:val="18"/>
                <w:szCs w:val="18"/>
              </w:rPr>
              <w:t>海淀区企业实施专利成果转化专项计划项目</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1"/>
              <w:jc w:val="right"/>
              <w:rPr>
                <w:rFonts w:ascii="Arial" w:hAnsi="Arial" w:cs="Arial" w:eastAsia="Arial" w:hint="default"/>
                <w:sz w:val="18"/>
                <w:szCs w:val="18"/>
              </w:rPr>
            </w:pPr>
            <w:r>
              <w:rPr>
                <w:rFonts w:ascii="Arial"/>
                <w:spacing w:val="-1"/>
                <w:sz w:val="18"/>
              </w:rPr>
              <w:t>150,000</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9"/>
              <w:jc w:val="right"/>
              <w:rPr>
                <w:rFonts w:ascii="Arial" w:hAnsi="Arial" w:cs="Arial" w:eastAsia="Arial" w:hint="default"/>
                <w:sz w:val="18"/>
                <w:szCs w:val="18"/>
              </w:rPr>
            </w:pPr>
            <w:r>
              <w:rPr>
                <w:rFonts w:ascii="Arial"/>
                <w:spacing w:val="-1"/>
                <w:sz w:val="18"/>
              </w:rPr>
              <w:t>150,000</w:t>
            </w:r>
          </w:p>
        </w:tc>
      </w:tr>
      <w:tr>
        <w:trPr>
          <w:trHeight w:val="488" w:hRule="exact"/>
        </w:trPr>
        <w:tc>
          <w:tcPr>
            <w:tcW w:w="5949" w:type="dxa"/>
            <w:tcBorders>
              <w:top w:val="nil" w:sz="6" w:space="0" w:color="auto"/>
              <w:left w:val="nil" w:sz="6" w:space="0" w:color="auto"/>
              <w:bottom w:val="nil" w:sz="6" w:space="0" w:color="auto"/>
              <w:right w:val="nil" w:sz="6" w:space="0" w:color="auto"/>
            </w:tcBorders>
          </w:tcPr>
          <w:p>
            <w:pPr>
              <w:pStyle w:val="TableParagraph"/>
              <w:spacing w:line="232" w:lineRule="exact" w:before="7"/>
              <w:ind w:left="363" w:right="174" w:hanging="164"/>
              <w:jc w:val="left"/>
              <w:rPr>
                <w:rFonts w:ascii="黑体" w:hAnsi="黑体" w:cs="黑体" w:eastAsia="黑体" w:hint="default"/>
                <w:sz w:val="18"/>
                <w:szCs w:val="18"/>
              </w:rPr>
            </w:pPr>
            <w:r>
              <w:rPr>
                <w:rFonts w:ascii="黑体" w:hAnsi="黑体" w:cs="黑体" w:eastAsia="黑体" w:hint="default"/>
                <w:sz w:val="18"/>
                <w:szCs w:val="18"/>
              </w:rPr>
              <w:t>北京市发展与改革委员会：“基于</w:t>
            </w:r>
            <w:r>
              <w:rPr>
                <w:rFonts w:ascii="黑体" w:hAnsi="黑体" w:cs="黑体" w:eastAsia="黑体" w:hint="default"/>
                <w:spacing w:val="-51"/>
                <w:sz w:val="18"/>
                <w:szCs w:val="18"/>
              </w:rPr>
              <w:t> </w:t>
            </w:r>
            <w:r>
              <w:rPr>
                <w:rFonts w:ascii="黑体" w:hAnsi="黑体" w:cs="黑体" w:eastAsia="黑体" w:hint="default"/>
                <w:sz w:val="18"/>
                <w:szCs w:val="18"/>
              </w:rPr>
              <w:t>SOA</w:t>
            </w:r>
            <w:r>
              <w:rPr>
                <w:rFonts w:ascii="黑体" w:hAnsi="黑体" w:cs="黑体" w:eastAsia="黑体" w:hint="default"/>
                <w:spacing w:val="-50"/>
                <w:sz w:val="18"/>
                <w:szCs w:val="18"/>
              </w:rPr>
              <w:t> </w:t>
            </w:r>
            <w:r>
              <w:rPr>
                <w:rFonts w:ascii="黑体" w:hAnsi="黑体" w:cs="黑体" w:eastAsia="黑体" w:hint="default"/>
                <w:sz w:val="18"/>
                <w:szCs w:val="18"/>
              </w:rPr>
              <w:t>架构的新一代企业管理应用系统</w:t>
            </w:r>
            <w:r>
              <w:rPr>
                <w:rFonts w:ascii="黑体" w:hAnsi="黑体" w:cs="黑体" w:eastAsia="黑体" w:hint="default"/>
                <w:sz w:val="18"/>
                <w:szCs w:val="18"/>
              </w:rPr>
              <w:t> (U9)研发及产业化”</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20"/>
                <w:szCs w:val="20"/>
              </w:rPr>
            </w:pPr>
          </w:p>
          <w:p>
            <w:pPr>
              <w:pStyle w:val="TableParagraph"/>
              <w:spacing w:line="240" w:lineRule="auto"/>
              <w:ind w:right="264"/>
              <w:jc w:val="right"/>
              <w:rPr>
                <w:rFonts w:ascii="Arial" w:hAnsi="Arial" w:cs="Arial" w:eastAsia="Arial" w:hint="default"/>
                <w:sz w:val="18"/>
                <w:szCs w:val="18"/>
              </w:rPr>
            </w:pPr>
            <w:r>
              <w:rPr>
                <w:rFonts w:ascii="Arial"/>
                <w:w w:val="99"/>
                <w:sz w:val="18"/>
              </w:rPr>
              <w:t>-</w:t>
            </w:r>
            <w:r>
              <w:rPr>
                <w:rFonts w:ascii="Arial"/>
                <w:sz w:val="18"/>
              </w:rPr>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20"/>
                <w:szCs w:val="20"/>
              </w:rPr>
            </w:pPr>
          </w:p>
          <w:p>
            <w:pPr>
              <w:pStyle w:val="TableParagraph"/>
              <w:spacing w:line="240" w:lineRule="auto"/>
              <w:ind w:right="219"/>
              <w:jc w:val="right"/>
              <w:rPr>
                <w:rFonts w:ascii="Arial" w:hAnsi="Arial" w:cs="Arial" w:eastAsia="Arial" w:hint="default"/>
                <w:sz w:val="18"/>
                <w:szCs w:val="18"/>
              </w:rPr>
            </w:pPr>
            <w:r>
              <w:rPr>
                <w:rFonts w:ascii="Arial"/>
                <w:spacing w:val="-1"/>
                <w:sz w:val="18"/>
              </w:rPr>
              <w:t>1,000,000</w:t>
            </w:r>
          </w:p>
        </w:tc>
      </w:tr>
      <w:tr>
        <w:trPr>
          <w:trHeight w:val="232" w:hRule="exact"/>
        </w:trPr>
        <w:tc>
          <w:tcPr>
            <w:tcW w:w="5949" w:type="dxa"/>
            <w:tcBorders>
              <w:top w:val="nil" w:sz="6" w:space="0" w:color="auto"/>
              <w:left w:val="nil" w:sz="6" w:space="0" w:color="auto"/>
              <w:bottom w:val="nil" w:sz="6" w:space="0" w:color="auto"/>
              <w:right w:val="nil" w:sz="6" w:space="0" w:color="auto"/>
            </w:tcBorders>
          </w:tcPr>
          <w:p>
            <w:pPr>
              <w:pStyle w:val="TableParagraph"/>
              <w:spacing w:line="196" w:lineRule="exact"/>
              <w:ind w:left="200" w:right="0"/>
              <w:jc w:val="left"/>
              <w:rPr>
                <w:rFonts w:ascii="黑体" w:hAnsi="黑体" w:cs="黑体" w:eastAsia="黑体" w:hint="default"/>
                <w:sz w:val="18"/>
                <w:szCs w:val="18"/>
              </w:rPr>
            </w:pPr>
            <w:r>
              <w:rPr>
                <w:rFonts w:ascii="黑体" w:hAnsi="黑体" w:cs="黑体" w:eastAsia="黑体" w:hint="default"/>
                <w:sz w:val="18"/>
                <w:szCs w:val="18"/>
              </w:rPr>
              <w:t>面向整车制造企业精益订单及产销协同管理平台(OTD)研究与应用项目</w:t>
            </w:r>
          </w:p>
        </w:tc>
        <w:tc>
          <w:tcPr>
            <w:tcW w:w="1343" w:type="dxa"/>
            <w:tcBorders>
              <w:top w:val="nil" w:sz="6" w:space="0" w:color="auto"/>
              <w:left w:val="nil" w:sz="6" w:space="0" w:color="auto"/>
              <w:bottom w:val="nil" w:sz="6" w:space="0" w:color="auto"/>
              <w:right w:val="nil" w:sz="6" w:space="0" w:color="auto"/>
            </w:tcBorders>
          </w:tcPr>
          <w:p>
            <w:pPr>
              <w:pStyle w:val="TableParagraph"/>
              <w:spacing w:line="197" w:lineRule="exact"/>
              <w:ind w:right="264"/>
              <w:jc w:val="right"/>
              <w:rPr>
                <w:rFonts w:ascii="Arial" w:hAnsi="Arial" w:cs="Arial" w:eastAsia="Arial" w:hint="default"/>
                <w:sz w:val="18"/>
                <w:szCs w:val="18"/>
              </w:rPr>
            </w:pPr>
            <w:r>
              <w:rPr>
                <w:rFonts w:ascii="Arial"/>
                <w:w w:val="99"/>
                <w:sz w:val="18"/>
              </w:rPr>
              <w:t>-</w:t>
            </w:r>
            <w:r>
              <w:rPr>
                <w:rFonts w:ascii="Arial"/>
                <w:sz w:val="18"/>
              </w:rPr>
            </w:r>
          </w:p>
        </w:tc>
        <w:tc>
          <w:tcPr>
            <w:tcW w:w="1371" w:type="dxa"/>
            <w:tcBorders>
              <w:top w:val="nil" w:sz="6" w:space="0" w:color="auto"/>
              <w:left w:val="nil" w:sz="6" w:space="0" w:color="auto"/>
              <w:bottom w:val="nil" w:sz="6" w:space="0" w:color="auto"/>
              <w:right w:val="nil" w:sz="6" w:space="0" w:color="auto"/>
            </w:tcBorders>
          </w:tcPr>
          <w:p>
            <w:pPr>
              <w:pStyle w:val="TableParagraph"/>
              <w:spacing w:line="197" w:lineRule="exact"/>
              <w:ind w:right="219"/>
              <w:jc w:val="right"/>
              <w:rPr>
                <w:rFonts w:ascii="Arial" w:hAnsi="Arial" w:cs="Arial" w:eastAsia="Arial" w:hint="default"/>
                <w:sz w:val="18"/>
                <w:szCs w:val="18"/>
              </w:rPr>
            </w:pPr>
            <w:r>
              <w:rPr>
                <w:rFonts w:ascii="Arial"/>
                <w:spacing w:val="-1"/>
                <w:sz w:val="18"/>
              </w:rPr>
              <w:t>350,000</w:t>
            </w:r>
          </w:p>
        </w:tc>
      </w:tr>
      <w:tr>
        <w:trPr>
          <w:trHeight w:val="383" w:hRule="exact"/>
        </w:trPr>
        <w:tc>
          <w:tcPr>
            <w:tcW w:w="5949" w:type="dxa"/>
            <w:tcBorders>
              <w:top w:val="nil" w:sz="6" w:space="0" w:color="auto"/>
              <w:left w:val="nil" w:sz="6" w:space="0" w:color="auto"/>
              <w:bottom w:val="nil" w:sz="6" w:space="0" w:color="auto"/>
              <w:right w:val="nil" w:sz="6" w:space="0" w:color="auto"/>
            </w:tcBorders>
          </w:tcPr>
          <w:p>
            <w:pPr>
              <w:pStyle w:val="TableParagraph"/>
              <w:spacing w:line="219" w:lineRule="exact"/>
              <w:ind w:left="200" w:right="0"/>
              <w:jc w:val="left"/>
              <w:rPr>
                <w:rFonts w:ascii="黑体" w:hAnsi="黑体" w:cs="黑体" w:eastAsia="黑体" w:hint="default"/>
                <w:sz w:val="18"/>
                <w:szCs w:val="18"/>
              </w:rPr>
            </w:pPr>
            <w:r>
              <w:rPr>
                <w:rFonts w:ascii="黑体" w:hAnsi="黑体" w:cs="黑体" w:eastAsia="黑体" w:hint="default"/>
                <w:sz w:val="18"/>
                <w:szCs w:val="18"/>
              </w:rPr>
              <w:t>其他</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85"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9"/>
                <w:sz w:val="18"/>
                <w:u w:val="single" w:color="000000"/>
              </w:rPr>
              <w:t> </w:t>
            </w:r>
            <w:r>
              <w:rPr>
                <w:rFonts w:ascii="Arial"/>
                <w:sz w:val="18"/>
                <w:u w:val="single" w:color="000000"/>
              </w:rPr>
              <w:t>1,212,234</w:t>
            </w:r>
            <w:r>
              <w:rPr>
                <w:rFonts w:ascii="Arial"/>
                <w:sz w:val="18"/>
              </w:rPr>
            </w:r>
          </w:p>
        </w:tc>
        <w:tc>
          <w:tcPr>
            <w:tcW w:w="1371" w:type="dxa"/>
            <w:tcBorders>
              <w:top w:val="nil" w:sz="6" w:space="0" w:color="auto"/>
              <w:left w:val="nil" w:sz="6" w:space="0" w:color="auto"/>
              <w:bottom w:val="nil" w:sz="6" w:space="0" w:color="auto"/>
              <w:right w:val="nil" w:sz="6" w:space="0" w:color="auto"/>
            </w:tcBorders>
          </w:tcPr>
          <w:p>
            <w:pPr>
              <w:pStyle w:val="TableParagraph"/>
              <w:tabs>
                <w:tab w:pos="271" w:val="left" w:leader="none"/>
              </w:tabs>
              <w:spacing w:line="240" w:lineRule="auto" w:before="12"/>
              <w:ind w:right="21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502,234</w:t>
            </w:r>
            <w:r>
              <w:rPr>
                <w:rFonts w:ascii="Arial"/>
                <w:spacing w:val="-1"/>
                <w:sz w:val="18"/>
              </w:rPr>
            </w:r>
          </w:p>
        </w:tc>
      </w:tr>
      <w:tr>
        <w:trPr>
          <w:trHeight w:val="510" w:hRule="exact"/>
        </w:trPr>
        <w:tc>
          <w:tcPr>
            <w:tcW w:w="5949"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176" w:right="0"/>
              <w:jc w:val="left"/>
              <w:rPr>
                <w:rFonts w:ascii="Arial" w:hAnsi="Arial" w:cs="Arial" w:eastAsia="Arial" w:hint="default"/>
                <w:sz w:val="18"/>
                <w:szCs w:val="18"/>
              </w:rPr>
            </w:pPr>
            <w:r>
              <w:rPr>
                <w:rFonts w:ascii="Arial"/>
                <w:w w:val="99"/>
                <w:sz w:val="18"/>
              </w:rPr>
            </w:r>
            <w:r>
              <w:rPr>
                <w:rFonts w:ascii="Arial"/>
                <w:sz w:val="18"/>
                <w:u w:val="single" w:color="000000"/>
              </w:rPr>
              <w:t>70,328,434</w:t>
            </w:r>
            <w:r>
              <w:rPr>
                <w:rFonts w:ascii="Arial"/>
                <w:sz w:val="18"/>
              </w:rPr>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20"/>
              <w:jc w:val="right"/>
              <w:rPr>
                <w:rFonts w:ascii="Arial" w:hAnsi="Arial" w:cs="Arial" w:eastAsia="Arial" w:hint="default"/>
                <w:sz w:val="18"/>
                <w:szCs w:val="18"/>
              </w:rPr>
            </w:pPr>
            <w:r>
              <w:rPr>
                <w:rFonts w:ascii="Arial"/>
                <w:w w:val="99"/>
                <w:sz w:val="18"/>
              </w:rPr>
            </w:r>
            <w:r>
              <w:rPr>
                <w:rFonts w:ascii="Arial"/>
                <w:spacing w:val="-1"/>
                <w:sz w:val="18"/>
                <w:u w:val="single" w:color="000000"/>
              </w:rPr>
              <w:t>24,742,234</w:t>
            </w:r>
            <w:r>
              <w:rPr>
                <w:rFonts w:ascii="Arial"/>
                <w:spacing w:val="-1"/>
                <w:sz w:val="18"/>
              </w:rPr>
            </w:r>
          </w:p>
        </w:tc>
      </w:tr>
      <w:tr>
        <w:trPr>
          <w:trHeight w:val="383" w:hRule="exact"/>
        </w:trPr>
        <w:tc>
          <w:tcPr>
            <w:tcW w:w="5949"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00" w:right="0"/>
              <w:jc w:val="left"/>
              <w:rPr>
                <w:rFonts w:ascii="黑体" w:hAnsi="黑体" w:cs="黑体" w:eastAsia="黑体" w:hint="default"/>
                <w:sz w:val="18"/>
                <w:szCs w:val="18"/>
              </w:rPr>
            </w:pPr>
            <w:r>
              <w:rPr>
                <w:rFonts w:ascii="黑体" w:hAnsi="黑体" w:cs="黑体" w:eastAsia="黑体" w:hint="default"/>
                <w:sz w:val="18"/>
                <w:szCs w:val="18"/>
              </w:rPr>
              <w:t>减：一年内到期的递延收益：</w:t>
            </w:r>
          </w:p>
        </w:tc>
        <w:tc>
          <w:tcPr>
            <w:tcW w:w="1343" w:type="dxa"/>
            <w:tcBorders>
              <w:top w:val="nil" w:sz="6" w:space="0" w:color="auto"/>
              <w:left w:val="nil" w:sz="6" w:space="0" w:color="auto"/>
              <w:bottom w:val="nil" w:sz="6" w:space="0" w:color="auto"/>
              <w:right w:val="nil" w:sz="6" w:space="0" w:color="auto"/>
            </w:tcBorders>
          </w:tcPr>
          <w:p>
            <w:pPr/>
          </w:p>
        </w:tc>
        <w:tc>
          <w:tcPr>
            <w:tcW w:w="1371" w:type="dxa"/>
            <w:tcBorders>
              <w:top w:val="nil" w:sz="6" w:space="0" w:color="auto"/>
              <w:left w:val="nil" w:sz="6" w:space="0" w:color="auto"/>
              <w:bottom w:val="nil" w:sz="6" w:space="0" w:color="auto"/>
              <w:right w:val="nil" w:sz="6" w:space="0" w:color="auto"/>
            </w:tcBorders>
          </w:tcPr>
          <w:p>
            <w:pPr/>
          </w:p>
        </w:tc>
      </w:tr>
      <w:tr>
        <w:trPr>
          <w:trHeight w:val="256" w:hRule="exact"/>
        </w:trPr>
        <w:tc>
          <w:tcPr>
            <w:tcW w:w="5949" w:type="dxa"/>
            <w:tcBorders>
              <w:top w:val="nil" w:sz="6" w:space="0" w:color="auto"/>
              <w:left w:val="nil" w:sz="6" w:space="0" w:color="auto"/>
              <w:bottom w:val="nil" w:sz="6" w:space="0" w:color="auto"/>
              <w:right w:val="nil" w:sz="6" w:space="0" w:color="auto"/>
            </w:tcBorders>
          </w:tcPr>
          <w:p>
            <w:pPr>
              <w:pStyle w:val="TableParagraph"/>
              <w:spacing w:line="220" w:lineRule="exact"/>
              <w:ind w:left="200" w:right="0"/>
              <w:jc w:val="left"/>
              <w:rPr>
                <w:rFonts w:ascii="黑体" w:hAnsi="黑体" w:cs="黑体" w:eastAsia="黑体" w:hint="default"/>
                <w:sz w:val="18"/>
                <w:szCs w:val="18"/>
              </w:rPr>
            </w:pPr>
            <w:r>
              <w:rPr>
                <w:rFonts w:ascii="黑体" w:hAnsi="黑体" w:cs="黑体" w:eastAsia="黑体" w:hint="default"/>
                <w:sz w:val="18"/>
                <w:szCs w:val="18"/>
              </w:rPr>
              <w:t>大型通用数据库管理系统与套件研发及产业化</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1"/>
              <w:jc w:val="right"/>
              <w:rPr>
                <w:rFonts w:ascii="Arial" w:hAnsi="Arial" w:cs="Arial" w:eastAsia="Arial" w:hint="default"/>
                <w:sz w:val="18"/>
                <w:szCs w:val="18"/>
              </w:rPr>
            </w:pPr>
            <w:r>
              <w:rPr>
                <w:rFonts w:ascii="Arial"/>
                <w:spacing w:val="-1"/>
                <w:sz w:val="18"/>
              </w:rPr>
              <w:t>6,560,000</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19"/>
              <w:jc w:val="right"/>
              <w:rPr>
                <w:rFonts w:ascii="Arial" w:hAnsi="Arial" w:cs="Arial" w:eastAsia="Arial" w:hint="default"/>
                <w:sz w:val="18"/>
                <w:szCs w:val="18"/>
              </w:rPr>
            </w:pPr>
            <w:r>
              <w:rPr>
                <w:rFonts w:ascii="Arial"/>
                <w:spacing w:val="-1"/>
                <w:sz w:val="18"/>
              </w:rPr>
              <w:t>6,560,000</w:t>
            </w:r>
          </w:p>
        </w:tc>
      </w:tr>
      <w:tr>
        <w:trPr>
          <w:trHeight w:val="254" w:hRule="exact"/>
        </w:trPr>
        <w:tc>
          <w:tcPr>
            <w:tcW w:w="5949" w:type="dxa"/>
            <w:tcBorders>
              <w:top w:val="nil" w:sz="6" w:space="0" w:color="auto"/>
              <w:left w:val="nil" w:sz="6" w:space="0" w:color="auto"/>
              <w:bottom w:val="nil" w:sz="6" w:space="0" w:color="auto"/>
              <w:right w:val="nil" w:sz="6" w:space="0" w:color="auto"/>
            </w:tcBorders>
          </w:tcPr>
          <w:p>
            <w:pPr>
              <w:pStyle w:val="TableParagraph"/>
              <w:spacing w:line="219" w:lineRule="exact"/>
              <w:ind w:left="200" w:right="0"/>
              <w:jc w:val="left"/>
              <w:rPr>
                <w:rFonts w:ascii="黑体" w:hAnsi="黑体" w:cs="黑体" w:eastAsia="黑体" w:hint="default"/>
                <w:sz w:val="18"/>
                <w:szCs w:val="18"/>
              </w:rPr>
            </w:pPr>
            <w:r>
              <w:rPr>
                <w:rFonts w:ascii="黑体" w:hAnsi="黑体" w:cs="黑体" w:eastAsia="黑体" w:hint="default"/>
                <w:sz w:val="18"/>
                <w:szCs w:val="18"/>
              </w:rPr>
              <w:t>国家</w:t>
            </w:r>
            <w:r>
              <w:rPr>
                <w:rFonts w:ascii="黑体" w:hAnsi="黑体" w:cs="黑体" w:eastAsia="黑体" w:hint="default"/>
                <w:spacing w:val="-47"/>
                <w:sz w:val="18"/>
                <w:szCs w:val="18"/>
              </w:rPr>
              <w:t> </w:t>
            </w:r>
            <w:r>
              <w:rPr>
                <w:rFonts w:ascii="黑体" w:hAnsi="黑体" w:cs="黑体" w:eastAsia="黑体" w:hint="default"/>
                <w:sz w:val="18"/>
                <w:szCs w:val="18"/>
              </w:rPr>
              <w:t>863</w:t>
            </w:r>
            <w:r>
              <w:rPr>
                <w:rFonts w:ascii="黑体" w:hAnsi="黑体" w:cs="黑体" w:eastAsia="黑体" w:hint="default"/>
                <w:spacing w:val="-46"/>
                <w:sz w:val="18"/>
                <w:szCs w:val="18"/>
              </w:rPr>
              <w:t> </w:t>
            </w:r>
            <w:r>
              <w:rPr>
                <w:rFonts w:ascii="黑体" w:hAnsi="黑体" w:cs="黑体" w:eastAsia="黑体" w:hint="default"/>
                <w:sz w:val="18"/>
                <w:szCs w:val="18"/>
              </w:rPr>
              <w:t>计划：业务驱动的多企业资源协同管理系统研发</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1"/>
              <w:jc w:val="right"/>
              <w:rPr>
                <w:rFonts w:ascii="Arial" w:hAnsi="Arial" w:cs="Arial" w:eastAsia="Arial" w:hint="default"/>
                <w:sz w:val="18"/>
                <w:szCs w:val="18"/>
              </w:rPr>
            </w:pPr>
            <w:r>
              <w:rPr>
                <w:rFonts w:ascii="Arial"/>
                <w:spacing w:val="-1"/>
                <w:sz w:val="18"/>
              </w:rPr>
              <w:t>3,040,000</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9"/>
              <w:jc w:val="right"/>
              <w:rPr>
                <w:rFonts w:ascii="Arial" w:hAnsi="Arial" w:cs="Arial" w:eastAsia="Arial" w:hint="default"/>
                <w:sz w:val="18"/>
                <w:szCs w:val="18"/>
              </w:rPr>
            </w:pPr>
            <w:r>
              <w:rPr>
                <w:rFonts w:ascii="Arial"/>
                <w:spacing w:val="-1"/>
                <w:sz w:val="18"/>
              </w:rPr>
              <w:t>3,040,000</w:t>
            </w:r>
          </w:p>
        </w:tc>
      </w:tr>
      <w:tr>
        <w:trPr>
          <w:trHeight w:val="254" w:hRule="exact"/>
        </w:trPr>
        <w:tc>
          <w:tcPr>
            <w:tcW w:w="5949" w:type="dxa"/>
            <w:tcBorders>
              <w:top w:val="nil" w:sz="6" w:space="0" w:color="auto"/>
              <w:left w:val="nil" w:sz="6" w:space="0" w:color="auto"/>
              <w:bottom w:val="nil" w:sz="6" w:space="0" w:color="auto"/>
              <w:right w:val="nil" w:sz="6" w:space="0" w:color="auto"/>
            </w:tcBorders>
          </w:tcPr>
          <w:p>
            <w:pPr>
              <w:pStyle w:val="TableParagraph"/>
              <w:spacing w:line="219" w:lineRule="exact"/>
              <w:ind w:left="200" w:right="0"/>
              <w:jc w:val="left"/>
              <w:rPr>
                <w:rFonts w:ascii="黑体" w:hAnsi="黑体" w:cs="黑体" w:eastAsia="黑体" w:hint="default"/>
                <w:sz w:val="18"/>
                <w:szCs w:val="18"/>
              </w:rPr>
            </w:pPr>
            <w:r>
              <w:rPr>
                <w:rFonts w:ascii="黑体" w:hAnsi="黑体" w:cs="黑体" w:eastAsia="黑体" w:hint="default"/>
                <w:sz w:val="18"/>
                <w:szCs w:val="18"/>
              </w:rPr>
              <w:t>面向福建省内跨区域医保协同服务应用示范课题费</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1"/>
              <w:jc w:val="right"/>
              <w:rPr>
                <w:rFonts w:ascii="Arial" w:hAnsi="Arial" w:cs="Arial" w:eastAsia="Arial" w:hint="default"/>
                <w:sz w:val="18"/>
                <w:szCs w:val="18"/>
              </w:rPr>
            </w:pPr>
            <w:r>
              <w:rPr>
                <w:rFonts w:ascii="Arial"/>
                <w:spacing w:val="-1"/>
                <w:sz w:val="18"/>
              </w:rPr>
              <w:t>3,676,200</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9"/>
              <w:jc w:val="right"/>
              <w:rPr>
                <w:rFonts w:ascii="Arial" w:hAnsi="Arial" w:cs="Arial" w:eastAsia="Arial" w:hint="default"/>
                <w:sz w:val="18"/>
                <w:szCs w:val="18"/>
              </w:rPr>
            </w:pPr>
            <w:r>
              <w:rPr>
                <w:rFonts w:ascii="Arial"/>
                <w:spacing w:val="-1"/>
                <w:sz w:val="18"/>
              </w:rPr>
              <w:t>2,450,000</w:t>
            </w:r>
          </w:p>
        </w:tc>
      </w:tr>
      <w:tr>
        <w:trPr>
          <w:trHeight w:val="256" w:hRule="exact"/>
        </w:trPr>
        <w:tc>
          <w:tcPr>
            <w:tcW w:w="5949" w:type="dxa"/>
            <w:tcBorders>
              <w:top w:val="nil" w:sz="6" w:space="0" w:color="auto"/>
              <w:left w:val="nil" w:sz="6" w:space="0" w:color="auto"/>
              <w:bottom w:val="nil" w:sz="6" w:space="0" w:color="auto"/>
              <w:right w:val="nil" w:sz="6" w:space="0" w:color="auto"/>
            </w:tcBorders>
          </w:tcPr>
          <w:p>
            <w:pPr>
              <w:pStyle w:val="TableParagraph"/>
              <w:spacing w:line="219" w:lineRule="exact"/>
              <w:ind w:left="200" w:right="0"/>
              <w:jc w:val="left"/>
              <w:rPr>
                <w:rFonts w:ascii="黑体" w:hAnsi="黑体" w:cs="黑体" w:eastAsia="黑体" w:hint="default"/>
                <w:sz w:val="18"/>
                <w:szCs w:val="18"/>
              </w:rPr>
            </w:pPr>
            <w:r>
              <w:rPr>
                <w:rFonts w:ascii="黑体" w:hAnsi="黑体" w:cs="黑体" w:eastAsia="黑体" w:hint="default"/>
                <w:sz w:val="18"/>
                <w:szCs w:val="18"/>
              </w:rPr>
              <w:t>2012</w:t>
            </w:r>
            <w:r>
              <w:rPr>
                <w:rFonts w:ascii="黑体" w:hAnsi="黑体" w:cs="黑体" w:eastAsia="黑体" w:hint="default"/>
                <w:spacing w:val="-47"/>
                <w:sz w:val="18"/>
                <w:szCs w:val="18"/>
              </w:rPr>
              <w:t> </w:t>
            </w:r>
            <w:r>
              <w:rPr>
                <w:rFonts w:ascii="黑体" w:hAnsi="黑体" w:cs="黑体" w:eastAsia="黑体" w:hint="default"/>
                <w:sz w:val="18"/>
                <w:szCs w:val="18"/>
              </w:rPr>
              <w:t>电子信息产业振兴和技术改造中央投资项目</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1"/>
              <w:jc w:val="right"/>
              <w:rPr>
                <w:rFonts w:ascii="Arial" w:hAnsi="Arial" w:cs="Arial" w:eastAsia="Arial" w:hint="default"/>
                <w:sz w:val="18"/>
                <w:szCs w:val="18"/>
              </w:rPr>
            </w:pPr>
            <w:r>
              <w:rPr>
                <w:rFonts w:ascii="Arial"/>
                <w:spacing w:val="-1"/>
                <w:sz w:val="18"/>
              </w:rPr>
              <w:t>2,000,000</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22"/>
              <w:jc w:val="right"/>
              <w:rPr>
                <w:rFonts w:ascii="Arial" w:hAnsi="Arial" w:cs="Arial" w:eastAsia="Arial" w:hint="default"/>
                <w:sz w:val="18"/>
                <w:szCs w:val="18"/>
              </w:rPr>
            </w:pPr>
            <w:r>
              <w:rPr>
                <w:rFonts w:ascii="Arial"/>
                <w:w w:val="99"/>
                <w:sz w:val="18"/>
              </w:rPr>
              <w:t>-</w:t>
            </w:r>
            <w:r>
              <w:rPr>
                <w:rFonts w:ascii="Arial"/>
                <w:sz w:val="18"/>
              </w:rPr>
            </w:r>
          </w:p>
        </w:tc>
      </w:tr>
      <w:tr>
        <w:trPr>
          <w:trHeight w:val="256" w:hRule="exact"/>
        </w:trPr>
        <w:tc>
          <w:tcPr>
            <w:tcW w:w="5949" w:type="dxa"/>
            <w:tcBorders>
              <w:top w:val="nil" w:sz="6" w:space="0" w:color="auto"/>
              <w:left w:val="nil" w:sz="6" w:space="0" w:color="auto"/>
              <w:bottom w:val="nil" w:sz="6" w:space="0" w:color="auto"/>
              <w:right w:val="nil" w:sz="6" w:space="0" w:color="auto"/>
            </w:tcBorders>
          </w:tcPr>
          <w:p>
            <w:pPr>
              <w:pStyle w:val="TableParagraph"/>
              <w:spacing w:line="220" w:lineRule="exact"/>
              <w:ind w:left="200" w:right="0"/>
              <w:jc w:val="left"/>
              <w:rPr>
                <w:rFonts w:ascii="黑体" w:hAnsi="黑体" w:cs="黑体" w:eastAsia="黑体" w:hint="default"/>
                <w:sz w:val="18"/>
                <w:szCs w:val="18"/>
              </w:rPr>
            </w:pPr>
            <w:r>
              <w:rPr>
                <w:rFonts w:ascii="黑体" w:hAnsi="黑体" w:cs="黑体" w:eastAsia="黑体" w:hint="default"/>
                <w:sz w:val="18"/>
                <w:szCs w:val="18"/>
              </w:rPr>
              <w:t>广州市创新型企业建设方案</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1"/>
              <w:jc w:val="right"/>
              <w:rPr>
                <w:rFonts w:ascii="Arial" w:hAnsi="Arial" w:cs="Arial" w:eastAsia="Arial" w:hint="default"/>
                <w:sz w:val="18"/>
                <w:szCs w:val="18"/>
              </w:rPr>
            </w:pPr>
            <w:r>
              <w:rPr>
                <w:rFonts w:ascii="Arial"/>
                <w:spacing w:val="-1"/>
                <w:sz w:val="18"/>
              </w:rPr>
              <w:t>2,000,000</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22"/>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5949" w:type="dxa"/>
            <w:tcBorders>
              <w:top w:val="nil" w:sz="6" w:space="0" w:color="auto"/>
              <w:left w:val="nil" w:sz="6" w:space="0" w:color="auto"/>
              <w:bottom w:val="nil" w:sz="6" w:space="0" w:color="auto"/>
              <w:right w:val="nil" w:sz="6" w:space="0" w:color="auto"/>
            </w:tcBorders>
          </w:tcPr>
          <w:p>
            <w:pPr>
              <w:pStyle w:val="TableParagraph"/>
              <w:spacing w:line="219" w:lineRule="exact"/>
              <w:ind w:left="200" w:right="0"/>
              <w:jc w:val="left"/>
              <w:rPr>
                <w:rFonts w:ascii="黑体" w:hAnsi="黑体" w:cs="黑体" w:eastAsia="黑体" w:hint="default"/>
                <w:sz w:val="18"/>
                <w:szCs w:val="18"/>
              </w:rPr>
            </w:pPr>
            <w:r>
              <w:rPr>
                <w:rFonts w:ascii="黑体" w:hAnsi="黑体" w:cs="黑体" w:eastAsia="黑体" w:hint="default"/>
                <w:sz w:val="18"/>
                <w:szCs w:val="18"/>
              </w:rPr>
              <w:t>国家</w:t>
            </w:r>
            <w:r>
              <w:rPr>
                <w:rFonts w:ascii="黑体" w:hAnsi="黑体" w:cs="黑体" w:eastAsia="黑体" w:hint="default"/>
                <w:spacing w:val="-48"/>
                <w:sz w:val="18"/>
                <w:szCs w:val="18"/>
              </w:rPr>
              <w:t> </w:t>
            </w:r>
            <w:r>
              <w:rPr>
                <w:rFonts w:ascii="黑体" w:hAnsi="黑体" w:cs="黑体" w:eastAsia="黑体" w:hint="default"/>
                <w:sz w:val="18"/>
                <w:szCs w:val="18"/>
              </w:rPr>
              <w:t>863</w:t>
            </w:r>
            <w:r>
              <w:rPr>
                <w:rFonts w:ascii="黑体" w:hAnsi="黑体" w:cs="黑体" w:eastAsia="黑体" w:hint="default"/>
                <w:spacing w:val="-47"/>
                <w:sz w:val="18"/>
                <w:szCs w:val="18"/>
              </w:rPr>
              <w:t> </w:t>
            </w:r>
            <w:r>
              <w:rPr>
                <w:rFonts w:ascii="黑体" w:hAnsi="黑体" w:cs="黑体" w:eastAsia="黑体" w:hint="default"/>
                <w:sz w:val="18"/>
                <w:szCs w:val="18"/>
              </w:rPr>
              <w:t>计划：RFID</w:t>
            </w:r>
            <w:r>
              <w:rPr>
                <w:rFonts w:ascii="黑体" w:hAnsi="黑体" w:cs="黑体" w:eastAsia="黑体" w:hint="default"/>
                <w:spacing w:val="-47"/>
                <w:sz w:val="18"/>
                <w:szCs w:val="18"/>
              </w:rPr>
              <w:t> </w:t>
            </w:r>
            <w:r>
              <w:rPr>
                <w:rFonts w:ascii="黑体" w:hAnsi="黑体" w:cs="黑体" w:eastAsia="黑体" w:hint="default"/>
                <w:sz w:val="18"/>
                <w:szCs w:val="18"/>
              </w:rPr>
              <w:t>的信息集成管理技术研究与开发</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1"/>
              <w:jc w:val="right"/>
              <w:rPr>
                <w:rFonts w:ascii="Arial" w:hAnsi="Arial" w:cs="Arial" w:eastAsia="Arial" w:hint="default"/>
                <w:sz w:val="18"/>
                <w:szCs w:val="18"/>
              </w:rPr>
            </w:pPr>
            <w:r>
              <w:rPr>
                <w:rFonts w:ascii="Arial"/>
                <w:spacing w:val="-1"/>
                <w:sz w:val="18"/>
              </w:rPr>
              <w:t>1,190,000</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9"/>
              <w:jc w:val="right"/>
              <w:rPr>
                <w:rFonts w:ascii="Arial" w:hAnsi="Arial" w:cs="Arial" w:eastAsia="Arial" w:hint="default"/>
                <w:sz w:val="18"/>
                <w:szCs w:val="18"/>
              </w:rPr>
            </w:pPr>
            <w:r>
              <w:rPr>
                <w:rFonts w:ascii="Arial"/>
                <w:spacing w:val="-1"/>
                <w:sz w:val="18"/>
              </w:rPr>
              <w:t>1,190,000</w:t>
            </w:r>
          </w:p>
        </w:tc>
      </w:tr>
      <w:tr>
        <w:trPr>
          <w:trHeight w:val="256" w:hRule="exact"/>
        </w:trPr>
        <w:tc>
          <w:tcPr>
            <w:tcW w:w="5949" w:type="dxa"/>
            <w:tcBorders>
              <w:top w:val="nil" w:sz="6" w:space="0" w:color="auto"/>
              <w:left w:val="nil" w:sz="6" w:space="0" w:color="auto"/>
              <w:bottom w:val="nil" w:sz="6" w:space="0" w:color="auto"/>
              <w:right w:val="nil" w:sz="6" w:space="0" w:color="auto"/>
            </w:tcBorders>
          </w:tcPr>
          <w:p>
            <w:pPr>
              <w:pStyle w:val="TableParagraph"/>
              <w:spacing w:line="219" w:lineRule="exact"/>
              <w:ind w:left="200" w:right="0"/>
              <w:jc w:val="left"/>
              <w:rPr>
                <w:rFonts w:ascii="黑体" w:hAnsi="黑体" w:cs="黑体" w:eastAsia="黑体" w:hint="default"/>
                <w:sz w:val="18"/>
                <w:szCs w:val="18"/>
              </w:rPr>
            </w:pPr>
            <w:r>
              <w:rPr>
                <w:rFonts w:ascii="黑体" w:hAnsi="黑体" w:cs="黑体" w:eastAsia="黑体" w:hint="default"/>
                <w:sz w:val="18"/>
                <w:szCs w:val="18"/>
              </w:rPr>
              <w:t>小巨人专项资金-第四代</w:t>
            </w:r>
            <w:r>
              <w:rPr>
                <w:rFonts w:ascii="黑体" w:hAnsi="黑体" w:cs="黑体" w:eastAsia="黑体" w:hint="default"/>
                <w:spacing w:val="-47"/>
                <w:sz w:val="18"/>
                <w:szCs w:val="18"/>
              </w:rPr>
              <w:t> </w:t>
            </w:r>
            <w:r>
              <w:rPr>
                <w:rFonts w:ascii="黑体" w:hAnsi="黑体" w:cs="黑体" w:eastAsia="黑体" w:hint="default"/>
                <w:sz w:val="18"/>
                <w:szCs w:val="18"/>
              </w:rPr>
              <w:t>DMS</w:t>
            </w:r>
            <w:r>
              <w:rPr>
                <w:rFonts w:ascii="黑体" w:hAnsi="黑体" w:cs="黑体" w:eastAsia="黑体" w:hint="default"/>
                <w:spacing w:val="-46"/>
                <w:sz w:val="18"/>
                <w:szCs w:val="18"/>
              </w:rPr>
              <w:t> </w:t>
            </w:r>
            <w:r>
              <w:rPr>
                <w:rFonts w:ascii="黑体" w:hAnsi="黑体" w:cs="黑体" w:eastAsia="黑体" w:hint="default"/>
                <w:sz w:val="18"/>
                <w:szCs w:val="18"/>
              </w:rPr>
              <w:t>系统、精益订单管理与产销协同信息系统</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61"/>
              <w:jc w:val="right"/>
              <w:rPr>
                <w:rFonts w:ascii="Arial" w:hAnsi="Arial" w:cs="Arial" w:eastAsia="Arial" w:hint="default"/>
                <w:sz w:val="18"/>
                <w:szCs w:val="18"/>
              </w:rPr>
            </w:pPr>
            <w:r>
              <w:rPr>
                <w:rFonts w:ascii="Arial"/>
                <w:spacing w:val="-1"/>
                <w:sz w:val="18"/>
              </w:rPr>
              <w:t>1,000,000</w:t>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22"/>
              <w:jc w:val="right"/>
              <w:rPr>
                <w:rFonts w:ascii="Arial" w:hAnsi="Arial" w:cs="Arial" w:eastAsia="Arial" w:hint="default"/>
                <w:sz w:val="18"/>
                <w:szCs w:val="18"/>
              </w:rPr>
            </w:pPr>
            <w:r>
              <w:rPr>
                <w:rFonts w:ascii="Arial"/>
                <w:w w:val="99"/>
                <w:sz w:val="18"/>
              </w:rPr>
              <w:t>-</w:t>
            </w:r>
            <w:r>
              <w:rPr>
                <w:rFonts w:ascii="Arial"/>
                <w:sz w:val="18"/>
              </w:rPr>
            </w:r>
          </w:p>
        </w:tc>
      </w:tr>
      <w:tr>
        <w:trPr>
          <w:trHeight w:val="489" w:hRule="exact"/>
        </w:trPr>
        <w:tc>
          <w:tcPr>
            <w:tcW w:w="5949" w:type="dxa"/>
            <w:tcBorders>
              <w:top w:val="nil" w:sz="6" w:space="0" w:color="auto"/>
              <w:left w:val="nil" w:sz="6" w:space="0" w:color="auto"/>
              <w:bottom w:val="nil" w:sz="6" w:space="0" w:color="auto"/>
              <w:right w:val="nil" w:sz="6" w:space="0" w:color="auto"/>
            </w:tcBorders>
          </w:tcPr>
          <w:p>
            <w:pPr>
              <w:pStyle w:val="TableParagraph"/>
              <w:spacing w:line="236" w:lineRule="exact" w:before="3"/>
              <w:ind w:left="363" w:right="174" w:hanging="164"/>
              <w:jc w:val="left"/>
              <w:rPr>
                <w:rFonts w:ascii="黑体" w:hAnsi="黑体" w:cs="黑体" w:eastAsia="黑体" w:hint="default"/>
                <w:sz w:val="18"/>
                <w:szCs w:val="18"/>
              </w:rPr>
            </w:pPr>
            <w:r>
              <w:rPr>
                <w:rFonts w:ascii="黑体" w:hAnsi="黑体" w:cs="黑体" w:eastAsia="黑体" w:hint="default"/>
                <w:sz w:val="18"/>
                <w:szCs w:val="18"/>
              </w:rPr>
              <w:t>北京市发展与改革委员会：“基于</w:t>
            </w:r>
            <w:r>
              <w:rPr>
                <w:rFonts w:ascii="黑体" w:hAnsi="黑体" w:cs="黑体" w:eastAsia="黑体" w:hint="default"/>
                <w:spacing w:val="-51"/>
                <w:sz w:val="18"/>
                <w:szCs w:val="18"/>
              </w:rPr>
              <w:t> </w:t>
            </w:r>
            <w:r>
              <w:rPr>
                <w:rFonts w:ascii="黑体" w:hAnsi="黑体" w:cs="黑体" w:eastAsia="黑体" w:hint="default"/>
                <w:sz w:val="18"/>
                <w:szCs w:val="18"/>
              </w:rPr>
              <w:t>SOA</w:t>
            </w:r>
            <w:r>
              <w:rPr>
                <w:rFonts w:ascii="黑体" w:hAnsi="黑体" w:cs="黑体" w:eastAsia="黑体" w:hint="default"/>
                <w:spacing w:val="-50"/>
                <w:sz w:val="18"/>
                <w:szCs w:val="18"/>
              </w:rPr>
              <w:t> </w:t>
            </w:r>
            <w:r>
              <w:rPr>
                <w:rFonts w:ascii="黑体" w:hAnsi="黑体" w:cs="黑体" w:eastAsia="黑体" w:hint="default"/>
                <w:sz w:val="18"/>
                <w:szCs w:val="18"/>
              </w:rPr>
              <w:t>架构的新一代企业管理应用系统</w:t>
            </w:r>
            <w:r>
              <w:rPr>
                <w:rFonts w:ascii="黑体" w:hAnsi="黑体" w:cs="黑体" w:eastAsia="黑体" w:hint="default"/>
                <w:sz w:val="18"/>
                <w:szCs w:val="18"/>
              </w:rPr>
              <w:t> (U9)研发及产业化”</w:t>
            </w: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9"/>
                <w:szCs w:val="19"/>
              </w:rPr>
            </w:pPr>
          </w:p>
          <w:p>
            <w:pPr>
              <w:pStyle w:val="TableParagraph"/>
              <w:spacing w:line="240" w:lineRule="auto"/>
              <w:ind w:right="242"/>
              <w:jc w:val="right"/>
              <w:rPr>
                <w:rFonts w:ascii="Arial" w:hAnsi="Arial" w:cs="Arial" w:eastAsia="Arial" w:hint="default"/>
                <w:sz w:val="18"/>
                <w:szCs w:val="18"/>
              </w:rPr>
            </w:pPr>
            <w:r>
              <w:rPr>
                <w:rFonts w:ascii="Arial"/>
                <w:w w:val="99"/>
                <w:sz w:val="18"/>
              </w:rPr>
              <w:t>-</w:t>
            </w:r>
            <w:r>
              <w:rPr>
                <w:rFonts w:ascii="Arial"/>
                <w:sz w:val="18"/>
              </w:rPr>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20"/>
                <w:szCs w:val="20"/>
              </w:rPr>
            </w:pPr>
          </w:p>
          <w:p>
            <w:pPr>
              <w:pStyle w:val="TableParagraph"/>
              <w:spacing w:line="240" w:lineRule="auto"/>
              <w:ind w:right="219"/>
              <w:jc w:val="right"/>
              <w:rPr>
                <w:rFonts w:ascii="Arial" w:hAnsi="Arial" w:cs="Arial" w:eastAsia="Arial" w:hint="default"/>
                <w:sz w:val="18"/>
                <w:szCs w:val="18"/>
              </w:rPr>
            </w:pPr>
            <w:r>
              <w:rPr>
                <w:rFonts w:ascii="Arial"/>
                <w:spacing w:val="-1"/>
                <w:sz w:val="18"/>
              </w:rPr>
              <w:t>1,000,000</w:t>
            </w:r>
          </w:p>
        </w:tc>
      </w:tr>
      <w:tr>
        <w:trPr>
          <w:trHeight w:val="359" w:hRule="exact"/>
        </w:trPr>
        <w:tc>
          <w:tcPr>
            <w:tcW w:w="5949" w:type="dxa"/>
            <w:tcBorders>
              <w:top w:val="nil" w:sz="6" w:space="0" w:color="auto"/>
              <w:left w:val="nil" w:sz="6" w:space="0" w:color="auto"/>
              <w:bottom w:val="nil" w:sz="6" w:space="0" w:color="auto"/>
              <w:right w:val="nil" w:sz="6" w:space="0" w:color="auto"/>
            </w:tcBorders>
          </w:tcPr>
          <w:p>
            <w:pPr>
              <w:pStyle w:val="TableParagraph"/>
              <w:spacing w:line="196" w:lineRule="exact"/>
              <w:ind w:left="200" w:right="0"/>
              <w:jc w:val="left"/>
              <w:rPr>
                <w:rFonts w:ascii="黑体" w:hAnsi="黑体" w:cs="黑体" w:eastAsia="黑体" w:hint="default"/>
                <w:sz w:val="18"/>
                <w:szCs w:val="18"/>
              </w:rPr>
            </w:pPr>
            <w:r>
              <w:rPr>
                <w:rFonts w:ascii="黑体" w:hAnsi="黑体" w:cs="黑体" w:eastAsia="黑体" w:hint="default"/>
                <w:sz w:val="18"/>
                <w:szCs w:val="18"/>
              </w:rPr>
              <w:t>其他</w:t>
            </w:r>
          </w:p>
        </w:tc>
        <w:tc>
          <w:tcPr>
            <w:tcW w:w="1343" w:type="dxa"/>
            <w:tcBorders>
              <w:top w:val="nil" w:sz="6" w:space="0" w:color="auto"/>
              <w:left w:val="nil" w:sz="6" w:space="0" w:color="auto"/>
              <w:bottom w:val="nil" w:sz="6" w:space="0" w:color="auto"/>
              <w:right w:val="nil" w:sz="6" w:space="0" w:color="auto"/>
            </w:tcBorders>
          </w:tcPr>
          <w:p>
            <w:pPr>
              <w:pStyle w:val="TableParagraph"/>
              <w:spacing w:line="197" w:lineRule="exact"/>
              <w:ind w:left="185"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9"/>
                <w:sz w:val="18"/>
                <w:u w:val="single" w:color="000000"/>
              </w:rPr>
              <w:t> </w:t>
            </w:r>
            <w:r>
              <w:rPr>
                <w:rFonts w:ascii="Arial"/>
                <w:sz w:val="18"/>
                <w:u w:val="single" w:color="000000"/>
              </w:rPr>
              <w:t>1,105,000</w:t>
            </w:r>
            <w:r>
              <w:rPr>
                <w:rFonts w:ascii="Arial"/>
                <w:sz w:val="18"/>
              </w:rPr>
            </w:r>
          </w:p>
        </w:tc>
        <w:tc>
          <w:tcPr>
            <w:tcW w:w="1371" w:type="dxa"/>
            <w:tcBorders>
              <w:top w:val="nil" w:sz="6" w:space="0" w:color="auto"/>
              <w:left w:val="nil" w:sz="6" w:space="0" w:color="auto"/>
              <w:bottom w:val="nil" w:sz="6" w:space="0" w:color="auto"/>
              <w:right w:val="nil" w:sz="6" w:space="0" w:color="auto"/>
            </w:tcBorders>
          </w:tcPr>
          <w:p>
            <w:pPr>
              <w:pStyle w:val="TableParagraph"/>
              <w:tabs>
                <w:tab w:pos="892" w:val="left" w:leader="none"/>
              </w:tabs>
              <w:spacing w:line="197" w:lineRule="exact"/>
              <w:ind w:right="21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r>
      <w:tr>
        <w:trPr>
          <w:trHeight w:val="514" w:hRule="exact"/>
        </w:trPr>
        <w:tc>
          <w:tcPr>
            <w:tcW w:w="5949"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176" w:right="0"/>
              <w:jc w:val="left"/>
              <w:rPr>
                <w:rFonts w:ascii="Arial" w:hAnsi="Arial" w:cs="Arial" w:eastAsia="Arial" w:hint="default"/>
                <w:sz w:val="18"/>
                <w:szCs w:val="18"/>
              </w:rPr>
            </w:pPr>
            <w:r>
              <w:rPr>
                <w:rFonts w:ascii="Arial"/>
                <w:w w:val="99"/>
                <w:sz w:val="18"/>
              </w:rPr>
            </w:r>
            <w:r>
              <w:rPr>
                <w:rFonts w:ascii="Arial"/>
                <w:sz w:val="18"/>
                <w:u w:val="single" w:color="000000"/>
              </w:rPr>
              <w:t>20,571,200</w:t>
            </w:r>
            <w:r>
              <w:rPr>
                <w:rFonts w:ascii="Arial"/>
                <w:sz w:val="18"/>
              </w:rPr>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20"/>
              <w:jc w:val="right"/>
              <w:rPr>
                <w:rFonts w:ascii="Arial" w:hAnsi="Arial" w:cs="Arial" w:eastAsia="Arial" w:hint="default"/>
                <w:sz w:val="18"/>
                <w:szCs w:val="18"/>
              </w:rPr>
            </w:pPr>
            <w:r>
              <w:rPr>
                <w:rFonts w:ascii="Arial"/>
                <w:w w:val="99"/>
                <w:sz w:val="18"/>
              </w:rPr>
            </w:r>
            <w:r>
              <w:rPr>
                <w:rFonts w:ascii="Arial"/>
                <w:spacing w:val="-1"/>
                <w:sz w:val="18"/>
                <w:u w:val="single" w:color="000000"/>
              </w:rPr>
              <w:t>14,240,000</w:t>
            </w:r>
            <w:r>
              <w:rPr>
                <w:rFonts w:ascii="Arial"/>
                <w:spacing w:val="-1"/>
                <w:sz w:val="18"/>
              </w:rPr>
            </w:r>
          </w:p>
        </w:tc>
      </w:tr>
      <w:tr>
        <w:trPr>
          <w:trHeight w:val="352" w:hRule="exact"/>
        </w:trPr>
        <w:tc>
          <w:tcPr>
            <w:tcW w:w="5949"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157" w:right="0"/>
              <w:jc w:val="left"/>
              <w:rPr>
                <w:rFonts w:ascii="Arial" w:hAnsi="Arial" w:cs="Arial" w:eastAsia="Arial" w:hint="default"/>
                <w:sz w:val="18"/>
                <w:szCs w:val="18"/>
              </w:rPr>
            </w:pPr>
            <w:r>
              <w:rPr>
                <w:rFonts w:ascii="Arial"/>
                <w:w w:val="99"/>
                <w:sz w:val="18"/>
              </w:rPr>
            </w:r>
            <w:r>
              <w:rPr>
                <w:rFonts w:ascii="Arial"/>
                <w:sz w:val="18"/>
                <w:u w:val="thick" w:color="000000"/>
              </w:rPr>
              <w:t>49,757,234</w:t>
            </w:r>
            <w:r>
              <w:rPr>
                <w:rFonts w:ascii="Arial"/>
                <w:sz w:val="18"/>
              </w:rPr>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238"/>
              <w:jc w:val="right"/>
              <w:rPr>
                <w:rFonts w:ascii="Arial" w:hAnsi="Arial" w:cs="Arial" w:eastAsia="Arial" w:hint="default"/>
                <w:sz w:val="18"/>
                <w:szCs w:val="18"/>
              </w:rPr>
            </w:pPr>
            <w:r>
              <w:rPr>
                <w:rFonts w:ascii="Arial"/>
                <w:w w:val="99"/>
                <w:sz w:val="18"/>
              </w:rPr>
            </w:r>
            <w:r>
              <w:rPr>
                <w:rFonts w:ascii="Arial"/>
                <w:spacing w:val="-1"/>
                <w:sz w:val="18"/>
                <w:u w:val="thick" w:color="000000"/>
              </w:rPr>
              <w:t>10,502,234</w:t>
            </w:r>
            <w:r>
              <w:rPr>
                <w:rFonts w:ascii="Arial"/>
                <w:spacing w:val="-1"/>
                <w:sz w:val="18"/>
              </w:rPr>
            </w:r>
          </w:p>
        </w:tc>
      </w:tr>
    </w:tbl>
    <w:p>
      <w:pPr>
        <w:spacing w:line="240" w:lineRule="auto" w:before="13"/>
        <w:rPr>
          <w:rFonts w:ascii="黑体" w:hAnsi="黑体" w:cs="黑体" w:eastAsia="黑体" w:hint="default"/>
          <w:sz w:val="14"/>
          <w:szCs w:val="14"/>
        </w:rPr>
      </w:pPr>
    </w:p>
    <w:p>
      <w:pPr>
        <w:pStyle w:val="BodyText"/>
        <w:spacing w:line="240" w:lineRule="auto" w:before="37"/>
        <w:ind w:left="1001" w:right="0"/>
        <w:jc w:val="left"/>
      </w:pPr>
      <w:r>
        <w:rPr/>
        <w:t>于</w:t>
      </w:r>
      <w:r>
        <w:rPr>
          <w:rFonts w:ascii="Arial" w:hAnsi="Arial" w:cs="Arial" w:eastAsia="Arial" w:hint="default"/>
        </w:rPr>
        <w:t>2012</w:t>
      </w:r>
      <w:r>
        <w:rPr/>
        <w:t>年度，本集团所获得的政府补助均为与收益相关。</w:t>
      </w:r>
    </w:p>
    <w:p>
      <w:pPr>
        <w:spacing w:after="0" w:line="240" w:lineRule="auto"/>
        <w:jc w:val="left"/>
        <w:sectPr>
          <w:pgSz w:w="11910" w:h="16850"/>
          <w:pgMar w:header="957" w:footer="830" w:top="2520" w:bottom="1020" w:left="1600" w:right="820"/>
        </w:sectPr>
      </w:pPr>
    </w:p>
    <w:p>
      <w:pPr>
        <w:spacing w:line="240" w:lineRule="auto" w:before="9"/>
        <w:rPr>
          <w:rFonts w:ascii="黑体" w:hAnsi="黑体" w:cs="黑体" w:eastAsia="黑体" w:hint="default"/>
          <w:sz w:val="19"/>
          <w:szCs w:val="19"/>
        </w:rPr>
      </w:pPr>
    </w:p>
    <w:p>
      <w:pPr>
        <w:pStyle w:val="Heading6"/>
        <w:tabs>
          <w:tab w:pos="815" w:val="left" w:leader="none"/>
        </w:tabs>
        <w:spacing w:line="240" w:lineRule="auto"/>
        <w:ind w:left="112" w:right="4245"/>
        <w:jc w:val="left"/>
        <w:rPr>
          <w:b w:val="0"/>
          <w:bCs w:val="0"/>
        </w:rPr>
      </w:pPr>
      <w:r>
        <w:rPr>
          <w:w w:val="95"/>
        </w:rPr>
        <w:t>五、</w:t>
        <w:tab/>
      </w:r>
      <w:r>
        <w:rPr/>
        <w:t>合并财</w:t>
      </w:r>
      <w:bookmarkStart w:name="五、   合并财务报表主要项目注释（续）" w:id="126"/>
      <w:bookmarkEnd w:id="126"/>
      <w:r>
        <w:rPr/>
        <w:t>务报</w:t>
      </w:r>
      <w:r>
        <w:rPr/>
        <w:t>表主要项目注释（续）</w:t>
      </w:r>
      <w:r>
        <w:rPr>
          <w:b w:val="0"/>
          <w:bCs w:val="0"/>
        </w:rPr>
      </w:r>
    </w:p>
    <w:p>
      <w:pPr>
        <w:spacing w:line="240" w:lineRule="auto" w:before="3"/>
        <w:rPr>
          <w:rFonts w:ascii="黑体" w:hAnsi="黑体" w:cs="黑体" w:eastAsia="黑体" w:hint="default"/>
          <w:b/>
          <w:bCs/>
          <w:sz w:val="17"/>
          <w:szCs w:val="17"/>
        </w:rPr>
      </w:pPr>
    </w:p>
    <w:p>
      <w:pPr>
        <w:pStyle w:val="BodyText"/>
        <w:tabs>
          <w:tab w:pos="835" w:val="left" w:leader="none"/>
        </w:tabs>
        <w:spacing w:line="444" w:lineRule="auto"/>
        <w:ind w:left="820" w:right="5047" w:hanging="708"/>
        <w:jc w:val="left"/>
      </w:pPr>
      <w:r>
        <w:rPr>
          <w:rFonts w:ascii="Arial" w:hAnsi="Arial" w:cs="Arial" w:eastAsia="Arial" w:hint="default"/>
          <w:b/>
          <w:bCs/>
          <w:spacing w:val="-1"/>
          <w:w w:val="95"/>
        </w:rPr>
        <w:t>30.</w:t>
        <w:tab/>
        <w:tab/>
      </w:r>
      <w:r>
        <w:rPr>
          <w:rFonts w:ascii="黑体" w:hAnsi="黑体" w:cs="黑体" w:eastAsia="黑体" w:hint="default"/>
          <w:b/>
          <w:bCs/>
          <w:spacing w:val="2"/>
        </w:rPr>
        <w:t>股本</w:t>
      </w:r>
      <w:r>
        <w:rPr>
          <w:rFonts w:ascii="黑体" w:hAnsi="黑体" w:cs="黑体" w:eastAsia="黑体" w:hint="default"/>
          <w:b/>
          <w:bCs/>
          <w:spacing w:val="2"/>
          <w:w w:val="99"/>
        </w:rPr>
        <w:t> </w:t>
      </w:r>
      <w:r>
        <w:rPr/>
        <w:t>本公司于</w:t>
      </w:r>
      <w:r>
        <w:rPr>
          <w:rFonts w:ascii="Arial" w:hAnsi="Arial" w:cs="Arial" w:eastAsia="Arial" w:hint="default"/>
        </w:rPr>
        <w:t>2012</w:t>
      </w:r>
      <w:r>
        <w:rPr/>
        <w:t>年</w:t>
      </w:r>
      <w:bookmarkStart w:name="30.    股本" w:id="127"/>
      <w:bookmarkEnd w:id="127"/>
      <w:r>
        <w:rPr/>
      </w:r>
      <w:r>
        <w:rPr>
          <w:rFonts w:ascii="Arial" w:hAnsi="Arial" w:cs="Arial" w:eastAsia="Arial" w:hint="default"/>
        </w:rPr>
        <w:t>12</w:t>
      </w:r>
      <w:r>
        <w:rPr/>
        <w:t>月</w:t>
      </w:r>
      <w:r>
        <w:rPr>
          <w:rFonts w:ascii="Arial" w:hAnsi="Arial" w:cs="Arial" w:eastAsia="Arial" w:hint="default"/>
        </w:rPr>
        <w:t>31</w:t>
      </w:r>
      <w:r>
        <w:rPr/>
        <w:t>日的实收股本计人民币</w:t>
      </w:r>
      <w:r>
        <w:rPr>
          <w:rFonts w:ascii="Arial" w:hAnsi="Arial" w:cs="Arial" w:eastAsia="Arial" w:hint="default"/>
        </w:rPr>
        <w:t>979,084,040</w:t>
      </w:r>
      <w:r>
        <w:rPr/>
        <w:t>元，每股面值人民币</w:t>
      </w:r>
      <w:r>
        <w:rPr>
          <w:rFonts w:ascii="Arial" w:hAnsi="Arial" w:cs="Arial" w:eastAsia="Arial" w:hint="default"/>
        </w:rPr>
        <w:t>1</w:t>
      </w:r>
      <w:r>
        <w:rPr/>
        <w:t>元，股份变动如下：</w:t>
      </w:r>
    </w:p>
    <w:p>
      <w:pPr>
        <w:spacing w:line="240" w:lineRule="auto" w:before="5"/>
        <w:rPr>
          <w:rFonts w:ascii="黑体" w:hAnsi="黑体" w:cs="黑体" w:eastAsia="黑体" w:hint="default"/>
          <w:sz w:val="8"/>
          <w:szCs w:val="8"/>
        </w:rPr>
      </w:pPr>
    </w:p>
    <w:tbl>
      <w:tblPr>
        <w:tblW w:w="0" w:type="auto"/>
        <w:jc w:val="left"/>
        <w:tblInd w:w="908" w:type="dxa"/>
        <w:tblLayout w:type="fixed"/>
        <w:tblCellMar>
          <w:top w:w="0" w:type="dxa"/>
          <w:left w:w="0" w:type="dxa"/>
          <w:bottom w:w="0" w:type="dxa"/>
          <w:right w:w="0" w:type="dxa"/>
        </w:tblCellMar>
        <w:tblLook w:val="01E0"/>
      </w:tblPr>
      <w:tblGrid>
        <w:gridCol w:w="2779"/>
        <w:gridCol w:w="1669"/>
        <w:gridCol w:w="1014"/>
        <w:gridCol w:w="1688"/>
        <w:gridCol w:w="1908"/>
        <w:gridCol w:w="1051"/>
      </w:tblGrid>
      <w:tr>
        <w:trPr>
          <w:trHeight w:val="234" w:hRule="exact"/>
        </w:trPr>
        <w:tc>
          <w:tcPr>
            <w:tcW w:w="277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Style w:val="TableParagraph"/>
              <w:spacing w:line="199" w:lineRule="exact"/>
              <w:ind w:right="175"/>
              <w:jc w:val="right"/>
              <w:rPr>
                <w:rFonts w:ascii="黑体" w:hAnsi="黑体" w:cs="黑体" w:eastAsia="黑体" w:hint="default"/>
                <w:sz w:val="20"/>
                <w:szCs w:val="20"/>
              </w:rPr>
            </w:pPr>
            <w:r>
              <w:rPr>
                <w:rFonts w:ascii="黑体" w:hAnsi="黑体" w:cs="黑体" w:eastAsia="黑体" w:hint="default"/>
                <w:w w:val="95"/>
                <w:sz w:val="20"/>
                <w:szCs w:val="20"/>
              </w:rPr>
              <w:t>年初数</w:t>
            </w:r>
            <w:r>
              <w:rPr>
                <w:rFonts w:ascii="黑体" w:hAnsi="黑体" w:cs="黑体" w:eastAsia="黑体" w:hint="default"/>
                <w:sz w:val="20"/>
                <w:szCs w:val="20"/>
              </w:rPr>
            </w:r>
          </w:p>
        </w:tc>
        <w:tc>
          <w:tcPr>
            <w:tcW w:w="1014" w:type="dxa"/>
            <w:tcBorders>
              <w:top w:val="nil" w:sz="6" w:space="0" w:color="auto"/>
              <w:left w:val="nil" w:sz="6" w:space="0" w:color="auto"/>
              <w:bottom w:val="single" w:sz="4" w:space="0" w:color="000000"/>
              <w:right w:val="nil" w:sz="6" w:space="0" w:color="auto"/>
            </w:tcBorders>
          </w:tcPr>
          <w:p>
            <w:pPr/>
          </w:p>
        </w:tc>
        <w:tc>
          <w:tcPr>
            <w:tcW w:w="1688" w:type="dxa"/>
            <w:tcBorders>
              <w:top w:val="nil" w:sz="6" w:space="0" w:color="auto"/>
              <w:left w:val="nil" w:sz="6" w:space="0" w:color="auto"/>
              <w:bottom w:val="single" w:sz="4" w:space="0" w:color="000000"/>
              <w:right w:val="nil" w:sz="6" w:space="0" w:color="auto"/>
            </w:tcBorders>
          </w:tcPr>
          <w:p>
            <w:pPr>
              <w:pStyle w:val="TableParagraph"/>
              <w:spacing w:line="199" w:lineRule="exact"/>
              <w:ind w:left="195" w:right="0"/>
              <w:jc w:val="left"/>
              <w:rPr>
                <w:rFonts w:ascii="黑体" w:hAnsi="黑体" w:cs="黑体" w:eastAsia="黑体" w:hint="default"/>
                <w:sz w:val="20"/>
                <w:szCs w:val="20"/>
              </w:rPr>
            </w:pPr>
            <w:r>
              <w:rPr>
                <w:rFonts w:ascii="黑体" w:hAnsi="黑体" w:cs="黑体" w:eastAsia="黑体" w:hint="default"/>
                <w:sz w:val="20"/>
                <w:szCs w:val="20"/>
              </w:rPr>
              <w:t>本年变动股数</w:t>
            </w:r>
          </w:p>
        </w:tc>
        <w:tc>
          <w:tcPr>
            <w:tcW w:w="1908" w:type="dxa"/>
            <w:tcBorders>
              <w:top w:val="nil" w:sz="6" w:space="0" w:color="auto"/>
              <w:left w:val="nil" w:sz="6" w:space="0" w:color="auto"/>
              <w:bottom w:val="nil" w:sz="6" w:space="0" w:color="auto"/>
              <w:right w:val="nil" w:sz="6" w:space="0" w:color="auto"/>
            </w:tcBorders>
          </w:tcPr>
          <w:p>
            <w:pPr>
              <w:pStyle w:val="TableParagraph"/>
              <w:spacing w:line="199" w:lineRule="exact"/>
              <w:ind w:right="142"/>
              <w:jc w:val="right"/>
              <w:rPr>
                <w:rFonts w:ascii="黑体" w:hAnsi="黑体" w:cs="黑体" w:eastAsia="黑体" w:hint="default"/>
                <w:sz w:val="20"/>
                <w:szCs w:val="20"/>
              </w:rPr>
            </w:pPr>
            <w:r>
              <w:rPr>
                <w:rFonts w:ascii="黑体" w:hAnsi="黑体" w:cs="黑体" w:eastAsia="黑体" w:hint="default"/>
                <w:w w:val="95"/>
                <w:sz w:val="20"/>
                <w:szCs w:val="20"/>
              </w:rPr>
              <w:t>年末数</w:t>
            </w:r>
            <w:r>
              <w:rPr>
                <w:rFonts w:ascii="黑体" w:hAnsi="黑体" w:cs="黑体" w:eastAsia="黑体" w:hint="default"/>
                <w:sz w:val="20"/>
                <w:szCs w:val="20"/>
              </w:rPr>
            </w:r>
          </w:p>
        </w:tc>
        <w:tc>
          <w:tcPr>
            <w:tcW w:w="1051" w:type="dxa"/>
            <w:tcBorders>
              <w:top w:val="nil" w:sz="6" w:space="0" w:color="auto"/>
              <w:left w:val="nil" w:sz="6" w:space="0" w:color="auto"/>
              <w:bottom w:val="nil" w:sz="6" w:space="0" w:color="auto"/>
              <w:right w:val="nil" w:sz="6" w:space="0" w:color="auto"/>
            </w:tcBorders>
          </w:tcPr>
          <w:p>
            <w:pPr/>
          </w:p>
        </w:tc>
      </w:tr>
      <w:tr>
        <w:trPr>
          <w:trHeight w:val="270" w:hRule="exact"/>
        </w:trPr>
        <w:tc>
          <w:tcPr>
            <w:tcW w:w="277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Style w:val="TableParagraph"/>
              <w:spacing w:line="235" w:lineRule="exact"/>
              <w:ind w:right="179"/>
              <w:jc w:val="right"/>
              <w:rPr>
                <w:rFonts w:ascii="黑体" w:hAnsi="黑体" w:cs="黑体" w:eastAsia="黑体" w:hint="default"/>
                <w:sz w:val="20"/>
                <w:szCs w:val="20"/>
              </w:rPr>
            </w:pPr>
            <w:r>
              <w:rPr>
                <w:rFonts w:ascii="黑体" w:hAnsi="黑体" w:cs="黑体" w:eastAsia="黑体" w:hint="default"/>
                <w:w w:val="95"/>
                <w:sz w:val="20"/>
                <w:szCs w:val="20"/>
              </w:rPr>
              <w:t>股数</w:t>
            </w:r>
            <w:r>
              <w:rPr>
                <w:rFonts w:ascii="黑体" w:hAnsi="黑体" w:cs="黑体" w:eastAsia="黑体" w:hint="default"/>
                <w:sz w:val="20"/>
                <w:szCs w:val="20"/>
              </w:rPr>
            </w:r>
          </w:p>
        </w:tc>
        <w:tc>
          <w:tcPr>
            <w:tcW w:w="1014" w:type="dxa"/>
            <w:tcBorders>
              <w:top w:val="single" w:sz="4" w:space="0" w:color="000000"/>
              <w:left w:val="nil" w:sz="6" w:space="0" w:color="auto"/>
              <w:bottom w:val="nil" w:sz="6" w:space="0" w:color="auto"/>
              <w:right w:val="nil" w:sz="6" w:space="0" w:color="auto"/>
            </w:tcBorders>
          </w:tcPr>
          <w:p>
            <w:pPr>
              <w:pStyle w:val="TableParagraph"/>
              <w:spacing w:line="244" w:lineRule="exact"/>
              <w:ind w:right="124"/>
              <w:jc w:val="right"/>
              <w:rPr>
                <w:rFonts w:ascii="Arial" w:hAnsi="Arial" w:cs="Arial" w:eastAsia="Arial" w:hint="default"/>
                <w:sz w:val="20"/>
                <w:szCs w:val="20"/>
              </w:rPr>
            </w:pPr>
            <w:r>
              <w:rPr>
                <w:rFonts w:ascii="黑体" w:hAnsi="黑体" w:cs="黑体" w:eastAsia="黑体" w:hint="default"/>
                <w:w w:val="95"/>
                <w:sz w:val="20"/>
                <w:szCs w:val="20"/>
              </w:rPr>
              <w:t>比例</w:t>
            </w:r>
            <w:r>
              <w:rPr>
                <w:rFonts w:ascii="Arial" w:hAnsi="Arial" w:cs="Arial" w:eastAsia="Arial" w:hint="default"/>
                <w:w w:val="95"/>
                <w:sz w:val="20"/>
                <w:szCs w:val="20"/>
              </w:rPr>
              <w:t>(%)</w:t>
            </w:r>
            <w:r>
              <w:rPr>
                <w:rFonts w:ascii="Arial" w:hAnsi="Arial" w:cs="Arial" w:eastAsia="Arial" w:hint="default"/>
                <w:sz w:val="20"/>
                <w:szCs w:val="20"/>
              </w:rPr>
            </w:r>
          </w:p>
        </w:tc>
        <w:tc>
          <w:tcPr>
            <w:tcW w:w="1688" w:type="dxa"/>
            <w:tcBorders>
              <w:top w:val="single" w:sz="4" w:space="0" w:color="000000"/>
              <w:left w:val="nil" w:sz="6" w:space="0" w:color="auto"/>
              <w:bottom w:val="nil" w:sz="6" w:space="0" w:color="auto"/>
              <w:right w:val="nil" w:sz="6" w:space="0" w:color="auto"/>
            </w:tcBorders>
          </w:tcPr>
          <w:p>
            <w:pPr>
              <w:pStyle w:val="TableParagraph"/>
              <w:spacing w:line="230" w:lineRule="exact"/>
              <w:ind w:right="0"/>
              <w:jc w:val="right"/>
              <w:rPr>
                <w:rFonts w:ascii="黑体" w:hAnsi="黑体" w:cs="黑体" w:eastAsia="黑体" w:hint="default"/>
                <w:sz w:val="20"/>
                <w:szCs w:val="20"/>
              </w:rPr>
            </w:pPr>
            <w:r>
              <w:rPr>
                <w:rFonts w:ascii="黑体" w:hAnsi="黑体" w:cs="黑体" w:eastAsia="黑体" w:hint="default"/>
                <w:w w:val="95"/>
                <w:sz w:val="20"/>
                <w:szCs w:val="20"/>
              </w:rPr>
              <w:t>资本公积转增股本</w:t>
            </w:r>
            <w:r>
              <w:rPr>
                <w:rFonts w:ascii="黑体" w:hAnsi="黑体" w:cs="黑体" w:eastAsia="黑体" w:hint="default"/>
                <w:sz w:val="20"/>
                <w:szCs w:val="20"/>
              </w:rPr>
            </w:r>
          </w:p>
        </w:tc>
        <w:tc>
          <w:tcPr>
            <w:tcW w:w="1908" w:type="dxa"/>
            <w:tcBorders>
              <w:top w:val="nil" w:sz="6" w:space="0" w:color="auto"/>
              <w:left w:val="nil" w:sz="6" w:space="0" w:color="auto"/>
              <w:bottom w:val="nil" w:sz="6" w:space="0" w:color="auto"/>
              <w:right w:val="nil" w:sz="6" w:space="0" w:color="auto"/>
            </w:tcBorders>
          </w:tcPr>
          <w:p>
            <w:pPr>
              <w:pStyle w:val="TableParagraph"/>
              <w:spacing w:line="235" w:lineRule="exact"/>
              <w:ind w:right="139"/>
              <w:jc w:val="right"/>
              <w:rPr>
                <w:rFonts w:ascii="黑体" w:hAnsi="黑体" w:cs="黑体" w:eastAsia="黑体" w:hint="default"/>
                <w:sz w:val="20"/>
                <w:szCs w:val="20"/>
              </w:rPr>
            </w:pPr>
            <w:r>
              <w:rPr>
                <w:rFonts w:ascii="黑体" w:hAnsi="黑体" w:cs="黑体" w:eastAsia="黑体" w:hint="default"/>
                <w:w w:val="95"/>
                <w:sz w:val="20"/>
                <w:szCs w:val="20"/>
              </w:rPr>
              <w:t>股数</w:t>
            </w:r>
            <w:r>
              <w:rPr>
                <w:rFonts w:ascii="黑体" w:hAnsi="黑体" w:cs="黑体" w:eastAsia="黑体" w:hint="default"/>
                <w:sz w:val="20"/>
                <w:szCs w:val="20"/>
              </w:rPr>
            </w:r>
          </w:p>
        </w:tc>
        <w:tc>
          <w:tcPr>
            <w:tcW w:w="1051" w:type="dxa"/>
            <w:tcBorders>
              <w:top w:val="nil" w:sz="6" w:space="0" w:color="auto"/>
              <w:left w:val="nil" w:sz="6" w:space="0" w:color="auto"/>
              <w:bottom w:val="nil" w:sz="6" w:space="0" w:color="auto"/>
              <w:right w:val="nil" w:sz="6" w:space="0" w:color="auto"/>
            </w:tcBorders>
          </w:tcPr>
          <w:p>
            <w:pPr>
              <w:pStyle w:val="TableParagraph"/>
              <w:spacing w:line="249" w:lineRule="exact"/>
              <w:ind w:right="198"/>
              <w:jc w:val="right"/>
              <w:rPr>
                <w:rFonts w:ascii="Arial" w:hAnsi="Arial" w:cs="Arial" w:eastAsia="Arial" w:hint="default"/>
                <w:sz w:val="20"/>
                <w:szCs w:val="20"/>
              </w:rPr>
            </w:pPr>
            <w:r>
              <w:rPr>
                <w:rFonts w:ascii="黑体" w:hAnsi="黑体" w:cs="黑体" w:eastAsia="黑体" w:hint="default"/>
                <w:w w:val="95"/>
                <w:sz w:val="20"/>
                <w:szCs w:val="20"/>
              </w:rPr>
              <w:t>比例</w:t>
            </w:r>
            <w:r>
              <w:rPr>
                <w:rFonts w:ascii="Arial" w:hAnsi="Arial" w:cs="Arial" w:eastAsia="Arial" w:hint="default"/>
                <w:w w:val="95"/>
                <w:sz w:val="20"/>
                <w:szCs w:val="20"/>
              </w:rPr>
              <w:t>(%)</w:t>
            </w:r>
            <w:r>
              <w:rPr>
                <w:rFonts w:ascii="Arial" w:hAnsi="Arial" w:cs="Arial" w:eastAsia="Arial" w:hint="default"/>
                <w:sz w:val="20"/>
                <w:szCs w:val="20"/>
              </w:rPr>
            </w:r>
          </w:p>
        </w:tc>
      </w:tr>
      <w:tr>
        <w:trPr>
          <w:trHeight w:val="260" w:hRule="exact"/>
        </w:trPr>
        <w:tc>
          <w:tcPr>
            <w:tcW w:w="277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c>
          <w:tcPr>
            <w:tcW w:w="1014" w:type="dxa"/>
            <w:tcBorders>
              <w:top w:val="nil" w:sz="6" w:space="0" w:color="auto"/>
              <w:left w:val="nil" w:sz="6" w:space="0" w:color="auto"/>
              <w:bottom w:val="nil" w:sz="6" w:space="0" w:color="auto"/>
              <w:right w:val="nil" w:sz="6" w:space="0" w:color="auto"/>
            </w:tcBorders>
          </w:tcPr>
          <w:p>
            <w:pP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exact"/>
              <w:ind w:right="-2"/>
              <w:jc w:val="right"/>
              <w:rPr>
                <w:rFonts w:ascii="Arial" w:hAnsi="Arial" w:cs="Arial" w:eastAsia="Arial" w:hint="default"/>
                <w:sz w:val="20"/>
                <w:szCs w:val="20"/>
              </w:rPr>
            </w:pPr>
            <w:r>
              <w:rPr>
                <w:rFonts w:ascii="Arial" w:hAnsi="Arial" w:cs="Arial" w:eastAsia="Arial" w:hint="default"/>
                <w:sz w:val="20"/>
                <w:szCs w:val="20"/>
              </w:rPr>
              <w:t>(</w:t>
            </w:r>
            <w:r>
              <w:rPr>
                <w:rFonts w:ascii="黑体" w:hAnsi="黑体" w:cs="黑体" w:eastAsia="黑体" w:hint="default"/>
                <w:sz w:val="20"/>
                <w:szCs w:val="20"/>
              </w:rPr>
              <w:t>注</w:t>
            </w:r>
            <w:r>
              <w:rPr>
                <w:rFonts w:ascii="黑体" w:hAnsi="黑体" w:cs="黑体" w:eastAsia="黑体" w:hint="default"/>
                <w:spacing w:val="-54"/>
                <w:sz w:val="20"/>
                <w:szCs w:val="20"/>
              </w:rPr>
              <w:t> </w:t>
            </w:r>
            <w:r>
              <w:rPr>
                <w:rFonts w:ascii="Arial" w:hAnsi="Arial" w:cs="Arial" w:eastAsia="Arial" w:hint="default"/>
                <w:sz w:val="20"/>
                <w:szCs w:val="20"/>
              </w:rPr>
              <w:t>1)</w:t>
            </w:r>
          </w:p>
        </w:tc>
        <w:tc>
          <w:tcPr>
            <w:tcW w:w="1908"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
        </w:tc>
      </w:tr>
      <w:tr>
        <w:trPr>
          <w:trHeight w:val="254" w:hRule="exact"/>
        </w:trPr>
        <w:tc>
          <w:tcPr>
            <w:tcW w:w="2779" w:type="dxa"/>
            <w:tcBorders>
              <w:top w:val="nil" w:sz="6" w:space="0" w:color="auto"/>
              <w:left w:val="nil" w:sz="6" w:space="0" w:color="auto"/>
              <w:bottom w:val="nil" w:sz="6" w:space="0" w:color="auto"/>
              <w:right w:val="nil" w:sz="6" w:space="0" w:color="auto"/>
            </w:tcBorders>
          </w:tcPr>
          <w:p>
            <w:pPr>
              <w:pStyle w:val="TableParagraph"/>
              <w:spacing w:line="224" w:lineRule="exact"/>
              <w:ind w:left="200" w:right="0"/>
              <w:jc w:val="left"/>
              <w:rPr>
                <w:rFonts w:ascii="黑体" w:hAnsi="黑体" w:cs="黑体" w:eastAsia="黑体" w:hint="default"/>
                <w:sz w:val="20"/>
                <w:szCs w:val="20"/>
              </w:rPr>
            </w:pPr>
            <w:r>
              <w:rPr>
                <w:rFonts w:ascii="黑体" w:hAnsi="黑体" w:cs="黑体" w:eastAsia="黑体" w:hint="default"/>
                <w:b/>
                <w:bCs/>
                <w:sz w:val="20"/>
                <w:szCs w:val="20"/>
              </w:rPr>
              <w:t>无限售条件股份</w:t>
            </w:r>
            <w:r>
              <w:rPr>
                <w:rFonts w:ascii="黑体" w:hAnsi="黑体" w:cs="黑体" w:eastAsia="黑体" w:hint="default"/>
                <w:sz w:val="20"/>
                <w:szCs w:val="20"/>
              </w:rPr>
            </w:r>
          </w:p>
        </w:tc>
        <w:tc>
          <w:tcPr>
            <w:tcW w:w="1669" w:type="dxa"/>
            <w:tcBorders>
              <w:top w:val="nil" w:sz="6" w:space="0" w:color="auto"/>
              <w:left w:val="nil" w:sz="6" w:space="0" w:color="auto"/>
              <w:bottom w:val="nil" w:sz="6" w:space="0" w:color="auto"/>
              <w:right w:val="nil" w:sz="6" w:space="0" w:color="auto"/>
            </w:tcBorders>
          </w:tcPr>
          <w:p>
            <w:pPr/>
          </w:p>
        </w:tc>
        <w:tc>
          <w:tcPr>
            <w:tcW w:w="1014" w:type="dxa"/>
            <w:tcBorders>
              <w:top w:val="nil" w:sz="6" w:space="0" w:color="auto"/>
              <w:left w:val="nil" w:sz="6" w:space="0" w:color="auto"/>
              <w:bottom w:val="nil" w:sz="6" w:space="0" w:color="auto"/>
              <w:right w:val="nil" w:sz="6" w:space="0" w:color="auto"/>
            </w:tcBorders>
          </w:tcPr>
          <w:p>
            <w:pPr/>
          </w:p>
        </w:tc>
        <w:tc>
          <w:tcPr>
            <w:tcW w:w="1688" w:type="dxa"/>
            <w:tcBorders>
              <w:top w:val="nil" w:sz="6" w:space="0" w:color="auto"/>
              <w:left w:val="nil" w:sz="6" w:space="0" w:color="auto"/>
              <w:bottom w:val="nil" w:sz="6" w:space="0" w:color="auto"/>
              <w:right w:val="nil" w:sz="6" w:space="0" w:color="auto"/>
            </w:tcBorders>
          </w:tcPr>
          <w:p>
            <w:pPr/>
          </w:p>
        </w:tc>
        <w:tc>
          <w:tcPr>
            <w:tcW w:w="1908"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
        </w:tc>
      </w:tr>
      <w:tr>
        <w:trPr>
          <w:trHeight w:val="251" w:hRule="exact"/>
        </w:trPr>
        <w:tc>
          <w:tcPr>
            <w:tcW w:w="2779" w:type="dxa"/>
            <w:tcBorders>
              <w:top w:val="nil" w:sz="6" w:space="0" w:color="auto"/>
              <w:left w:val="nil" w:sz="6" w:space="0" w:color="auto"/>
              <w:bottom w:val="nil" w:sz="6" w:space="0" w:color="auto"/>
              <w:right w:val="nil" w:sz="6" w:space="0" w:color="auto"/>
            </w:tcBorders>
          </w:tcPr>
          <w:p>
            <w:pPr>
              <w:pStyle w:val="TableParagraph"/>
              <w:spacing w:line="229" w:lineRule="exact"/>
              <w:ind w:left="200" w:right="0"/>
              <w:jc w:val="left"/>
              <w:rPr>
                <w:rFonts w:ascii="黑体" w:hAnsi="黑体" w:cs="黑体" w:eastAsia="黑体" w:hint="default"/>
                <w:sz w:val="20"/>
                <w:szCs w:val="20"/>
              </w:rPr>
            </w:pPr>
            <w:r>
              <w:rPr>
                <w:rFonts w:ascii="黑体" w:hAnsi="黑体" w:cs="黑体" w:eastAsia="黑体" w:hint="default"/>
                <w:sz w:val="20"/>
                <w:szCs w:val="20"/>
              </w:rPr>
              <w:t>境内上市的人民币普通股</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78"/>
              <w:jc w:val="right"/>
              <w:rPr>
                <w:rFonts w:ascii="Arial" w:hAnsi="Arial" w:cs="Arial" w:eastAsia="Arial" w:hint="default"/>
                <w:sz w:val="20"/>
                <w:szCs w:val="20"/>
              </w:rPr>
            </w:pPr>
            <w:r>
              <w:rPr>
                <w:rFonts w:ascii="Arial"/>
                <w:w w:val="99"/>
                <w:sz w:val="20"/>
              </w:rPr>
            </w:r>
            <w:r>
              <w:rPr>
                <w:rFonts w:ascii="Arial"/>
                <w:spacing w:val="-1"/>
                <w:sz w:val="20"/>
                <w:u w:val="thick" w:color="000000"/>
              </w:rPr>
              <w:t>815,903,367</w:t>
            </w:r>
            <w:r>
              <w:rPr>
                <w:rFonts w:ascii="Arial"/>
                <w:spacing w:val="-1"/>
                <w:sz w:val="20"/>
              </w:rPr>
            </w:r>
            <w:r>
              <w:rPr>
                <w:rFonts w:ascii="Arial"/>
                <w:sz w:val="20"/>
              </w:rPr>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88"/>
              <w:jc w:val="right"/>
              <w:rPr>
                <w:rFonts w:ascii="Arial" w:hAnsi="Arial" w:cs="Arial" w:eastAsia="Arial" w:hint="default"/>
                <w:sz w:val="20"/>
                <w:szCs w:val="20"/>
              </w:rPr>
            </w:pPr>
            <w:r>
              <w:rPr>
                <w:rFonts w:ascii="Arial"/>
                <w:w w:val="99"/>
                <w:sz w:val="20"/>
              </w:rPr>
            </w:r>
            <w:r>
              <w:rPr>
                <w:rFonts w:ascii="Arial"/>
                <w:spacing w:val="-1"/>
                <w:w w:val="95"/>
                <w:sz w:val="20"/>
                <w:u w:val="thick" w:color="000000"/>
              </w:rPr>
              <w:t>100</w:t>
            </w:r>
            <w:r>
              <w:rPr>
                <w:rFonts w:ascii="Arial"/>
                <w:spacing w:val="-1"/>
                <w:w w:val="95"/>
                <w:sz w:val="20"/>
              </w:rPr>
            </w:r>
            <w:r>
              <w:rPr>
                <w:rFonts w:ascii="Arial"/>
                <w:sz w:val="20"/>
              </w:rPr>
            </w:r>
          </w:p>
        </w:tc>
        <w:tc>
          <w:tcPr>
            <w:tcW w:w="168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1"/>
              <w:jc w:val="right"/>
              <w:rPr>
                <w:rFonts w:ascii="Arial" w:hAnsi="Arial" w:cs="Arial" w:eastAsia="Arial" w:hint="default"/>
                <w:sz w:val="20"/>
                <w:szCs w:val="20"/>
              </w:rPr>
            </w:pPr>
            <w:r>
              <w:rPr>
                <w:rFonts w:ascii="Arial"/>
                <w:w w:val="99"/>
                <w:sz w:val="20"/>
              </w:rPr>
            </w:r>
            <w:r>
              <w:rPr>
                <w:rFonts w:ascii="Arial"/>
                <w:spacing w:val="-1"/>
                <w:sz w:val="20"/>
                <w:u w:val="thick" w:color="000000"/>
              </w:rPr>
              <w:t>163,180,673</w:t>
            </w:r>
            <w:r>
              <w:rPr>
                <w:rFonts w:ascii="Arial"/>
                <w:spacing w:val="-1"/>
                <w:sz w:val="20"/>
              </w:rPr>
            </w:r>
            <w:r>
              <w:rPr>
                <w:rFonts w:ascii="Arial"/>
                <w:sz w:val="20"/>
              </w:rPr>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40"/>
              <w:jc w:val="right"/>
              <w:rPr>
                <w:rFonts w:ascii="Arial" w:hAnsi="Arial" w:cs="Arial" w:eastAsia="Arial" w:hint="default"/>
                <w:sz w:val="20"/>
                <w:szCs w:val="20"/>
              </w:rPr>
            </w:pPr>
            <w:r>
              <w:rPr>
                <w:rFonts w:ascii="Arial"/>
                <w:w w:val="99"/>
                <w:sz w:val="20"/>
              </w:rPr>
            </w:r>
            <w:r>
              <w:rPr>
                <w:rFonts w:ascii="Arial"/>
                <w:spacing w:val="-1"/>
                <w:sz w:val="20"/>
                <w:u w:val="thick" w:color="000000"/>
              </w:rPr>
              <w:t>979,084,040</w:t>
            </w:r>
            <w:r>
              <w:rPr>
                <w:rFonts w:ascii="Arial"/>
                <w:spacing w:val="-1"/>
                <w:sz w:val="20"/>
              </w:rPr>
            </w:r>
            <w:r>
              <w:rPr>
                <w:rFonts w:ascii="Arial"/>
                <w:sz w:val="20"/>
              </w:rPr>
            </w:r>
          </w:p>
        </w:tc>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99"/>
              <w:jc w:val="right"/>
              <w:rPr>
                <w:rFonts w:ascii="Arial" w:hAnsi="Arial" w:cs="Arial" w:eastAsia="Arial" w:hint="default"/>
                <w:sz w:val="20"/>
                <w:szCs w:val="20"/>
              </w:rPr>
            </w:pPr>
            <w:r>
              <w:rPr>
                <w:rFonts w:ascii="Arial"/>
                <w:w w:val="99"/>
                <w:sz w:val="20"/>
              </w:rPr>
            </w:r>
            <w:r>
              <w:rPr>
                <w:rFonts w:ascii="Arial"/>
                <w:spacing w:val="-1"/>
                <w:w w:val="95"/>
                <w:sz w:val="20"/>
                <w:u w:val="thick" w:color="000000"/>
              </w:rPr>
              <w:t>100</w:t>
            </w:r>
            <w:r>
              <w:rPr>
                <w:rFonts w:ascii="Arial"/>
                <w:spacing w:val="-1"/>
                <w:w w:val="95"/>
                <w:sz w:val="20"/>
              </w:rPr>
            </w:r>
            <w:r>
              <w:rPr>
                <w:rFonts w:ascii="Arial"/>
                <w:sz w:val="20"/>
              </w:rPr>
            </w:r>
          </w:p>
        </w:tc>
      </w:tr>
    </w:tbl>
    <w:p>
      <w:pPr>
        <w:spacing w:after="0" w:line="240" w:lineRule="auto"/>
        <w:jc w:val="right"/>
        <w:rPr>
          <w:rFonts w:ascii="Arial" w:hAnsi="Arial" w:cs="Arial" w:eastAsia="Arial" w:hint="default"/>
          <w:sz w:val="20"/>
          <w:szCs w:val="20"/>
        </w:rPr>
        <w:sectPr>
          <w:headerReference w:type="default" r:id="rId61"/>
          <w:footerReference w:type="default" r:id="rId62"/>
          <w:pgSz w:w="16850" w:h="11910" w:orient="landscape"/>
          <w:pgMar w:header="957" w:footer="465" w:top="2540" w:bottom="660" w:left="1020" w:right="1040"/>
          <w:pgNumType w:start="95"/>
        </w:sectPr>
      </w:pPr>
    </w:p>
    <w:p>
      <w:pPr>
        <w:spacing w:line="240" w:lineRule="auto" w:before="9"/>
        <w:rPr>
          <w:rFonts w:ascii="黑体" w:hAnsi="黑体" w:cs="黑体" w:eastAsia="黑体" w:hint="default"/>
          <w:sz w:val="19"/>
          <w:szCs w:val="19"/>
        </w:rPr>
      </w:pPr>
    </w:p>
    <w:p>
      <w:pPr>
        <w:pStyle w:val="Heading6"/>
        <w:tabs>
          <w:tab w:pos="815" w:val="left" w:leader="none"/>
        </w:tabs>
        <w:spacing w:line="240" w:lineRule="auto"/>
        <w:ind w:left="112" w:right="4245"/>
        <w:jc w:val="left"/>
        <w:rPr>
          <w:b w:val="0"/>
          <w:bCs w:val="0"/>
        </w:rPr>
      </w:pPr>
      <w:r>
        <w:rPr>
          <w:w w:val="95"/>
        </w:rPr>
        <w:t>五、</w:t>
        <w:tab/>
      </w:r>
      <w:r>
        <w:rPr/>
        <w:t>合并财</w:t>
      </w:r>
      <w:bookmarkStart w:name="五、   合并财务报表主要项目注释（续）" w:id="128"/>
      <w:bookmarkEnd w:id="128"/>
      <w:r>
        <w:rPr/>
        <w:t>务报</w:t>
      </w:r>
      <w:r>
        <w:rPr/>
        <w:t>表主要项目注释（续）</w:t>
      </w:r>
      <w:r>
        <w:rPr>
          <w:b w:val="0"/>
          <w:bCs w:val="0"/>
        </w:rPr>
      </w:r>
    </w:p>
    <w:p>
      <w:pPr>
        <w:spacing w:line="240" w:lineRule="auto" w:before="2"/>
        <w:rPr>
          <w:rFonts w:ascii="黑体" w:hAnsi="黑体" w:cs="黑体" w:eastAsia="黑体" w:hint="default"/>
          <w:b/>
          <w:bCs/>
          <w:sz w:val="18"/>
          <w:szCs w:val="18"/>
        </w:rPr>
      </w:pPr>
    </w:p>
    <w:p>
      <w:pPr>
        <w:pStyle w:val="BodyText"/>
        <w:tabs>
          <w:tab w:pos="835" w:val="left" w:leader="none"/>
        </w:tabs>
        <w:spacing w:line="444" w:lineRule="auto"/>
        <w:ind w:left="820" w:right="4245" w:hanging="708"/>
        <w:jc w:val="left"/>
      </w:pPr>
      <w:r>
        <w:rPr>
          <w:rFonts w:ascii="Arial" w:hAnsi="Arial" w:cs="Arial" w:eastAsia="Arial" w:hint="default"/>
          <w:b/>
          <w:bCs/>
          <w:spacing w:val="-1"/>
          <w:w w:val="95"/>
        </w:rPr>
        <w:t>30.</w:t>
        <w:tab/>
        <w:tab/>
      </w:r>
      <w:r>
        <w:rPr>
          <w:rFonts w:ascii="黑体" w:hAnsi="黑体" w:cs="黑体" w:eastAsia="黑体" w:hint="default"/>
          <w:b/>
          <w:bCs/>
          <w:spacing w:val="1"/>
        </w:rPr>
        <w:t>股本（续）</w:t>
      </w:r>
      <w:r>
        <w:rPr>
          <w:rFonts w:ascii="黑体" w:hAnsi="黑体" w:cs="黑体" w:eastAsia="黑体" w:hint="default"/>
          <w:b/>
          <w:bCs/>
          <w:spacing w:val="2"/>
          <w:w w:val="99"/>
        </w:rPr>
        <w:t> </w:t>
      </w:r>
      <w:r>
        <w:rPr/>
        <w:t>本公司于</w:t>
      </w:r>
      <w:r>
        <w:rPr>
          <w:rFonts w:ascii="Arial" w:hAnsi="Arial" w:cs="Arial" w:eastAsia="Arial" w:hint="default"/>
        </w:rPr>
        <w:t>2011</w:t>
      </w:r>
      <w:r>
        <w:rPr/>
        <w:t>年</w:t>
      </w:r>
      <w:bookmarkStart w:name="30.    股本（续）" w:id="129"/>
      <w:bookmarkEnd w:id="129"/>
      <w:r>
        <w:rPr/>
      </w:r>
      <w:r>
        <w:rPr>
          <w:rFonts w:ascii="Arial" w:hAnsi="Arial" w:cs="Arial" w:eastAsia="Arial" w:hint="default"/>
        </w:rPr>
        <w:t>12</w:t>
      </w:r>
      <w:r>
        <w:rPr/>
        <w:t>月</w:t>
      </w:r>
      <w:r>
        <w:rPr>
          <w:rFonts w:ascii="Arial" w:hAnsi="Arial" w:cs="Arial" w:eastAsia="Arial" w:hint="default"/>
        </w:rPr>
        <w:t>31</w:t>
      </w:r>
      <w:r>
        <w:rPr/>
        <w:t>日的实收股本计人民币</w:t>
      </w:r>
      <w:r>
        <w:rPr>
          <w:rFonts w:ascii="Arial" w:hAnsi="Arial" w:cs="Arial" w:eastAsia="Arial" w:hint="default"/>
        </w:rPr>
        <w:t>815,903,367</w:t>
      </w:r>
      <w:r>
        <w:rPr/>
        <w:t>元，每股面值人民币</w:t>
      </w:r>
      <w:r>
        <w:rPr>
          <w:rFonts w:ascii="Arial" w:hAnsi="Arial" w:cs="Arial" w:eastAsia="Arial" w:hint="default"/>
        </w:rPr>
        <w:t>1</w:t>
      </w:r>
      <w:r>
        <w:rPr/>
        <w:t>元，股份种类及其结构如下：</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26"/>
          <w:szCs w:val="26"/>
        </w:rPr>
      </w:pPr>
    </w:p>
    <w:p>
      <w:pPr>
        <w:pStyle w:val="BodyText"/>
        <w:spacing w:line="240" w:lineRule="auto" w:before="74"/>
        <w:ind w:left="9589" w:right="5085"/>
        <w:jc w:val="center"/>
        <w:rPr>
          <w:rFonts w:ascii="Arial" w:hAnsi="Arial" w:cs="Arial" w:eastAsia="Arial" w:hint="default"/>
        </w:rPr>
      </w:pPr>
      <w:r>
        <w:rPr/>
        <w:pict>
          <v:shape style="position:absolute;margin-left:84.440002pt;margin-top:-60.999378pt;width:608.1pt;height:153.15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2"/>
                    <w:gridCol w:w="2478"/>
                    <w:gridCol w:w="1595"/>
                    <w:gridCol w:w="884"/>
                    <w:gridCol w:w="1641"/>
                    <w:gridCol w:w="790"/>
                    <w:gridCol w:w="1128"/>
                    <w:gridCol w:w="70"/>
                    <w:gridCol w:w="1815"/>
                    <w:gridCol w:w="1340"/>
                  </w:tblGrid>
                  <w:tr>
                    <w:trPr>
                      <w:trHeight w:val="234" w:hRule="exact"/>
                    </w:trPr>
                    <w:tc>
                      <w:tcPr>
                        <w:tcW w:w="422" w:type="dxa"/>
                        <w:tcBorders>
                          <w:top w:val="nil" w:sz="6" w:space="0" w:color="auto"/>
                          <w:left w:val="nil" w:sz="6" w:space="0" w:color="auto"/>
                          <w:bottom w:val="nil" w:sz="6" w:space="0" w:color="auto"/>
                          <w:right w:val="nil" w:sz="6" w:space="0" w:color="auto"/>
                        </w:tcBorders>
                      </w:tcPr>
                      <w:p>
                        <w:pPr/>
                      </w:p>
                    </w:tc>
                    <w:tc>
                      <w:tcPr>
                        <w:tcW w:w="2478"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Style w:val="TableParagraph"/>
                          <w:spacing w:line="199" w:lineRule="exact"/>
                          <w:ind w:right="137"/>
                          <w:jc w:val="right"/>
                          <w:rPr>
                            <w:rFonts w:ascii="黑体" w:hAnsi="黑体" w:cs="黑体" w:eastAsia="黑体" w:hint="default"/>
                            <w:sz w:val="20"/>
                            <w:szCs w:val="20"/>
                          </w:rPr>
                        </w:pPr>
                        <w:r>
                          <w:rPr>
                            <w:rFonts w:ascii="黑体" w:hAnsi="黑体" w:cs="黑体" w:eastAsia="黑体" w:hint="default"/>
                            <w:w w:val="95"/>
                            <w:sz w:val="20"/>
                            <w:szCs w:val="20"/>
                          </w:rPr>
                          <w:t>年初数</w:t>
                        </w:r>
                        <w:r>
                          <w:rPr>
                            <w:rFonts w:ascii="黑体" w:hAnsi="黑体" w:cs="黑体" w:eastAsia="黑体" w:hint="default"/>
                            <w:sz w:val="20"/>
                            <w:szCs w:val="20"/>
                          </w:rPr>
                        </w:r>
                      </w:p>
                    </w:tc>
                    <w:tc>
                      <w:tcPr>
                        <w:tcW w:w="884" w:type="dxa"/>
                        <w:tcBorders>
                          <w:top w:val="nil" w:sz="6" w:space="0" w:color="auto"/>
                          <w:left w:val="nil" w:sz="6" w:space="0" w:color="auto"/>
                          <w:bottom w:val="nil" w:sz="6" w:space="0" w:color="auto"/>
                          <w:right w:val="nil" w:sz="6" w:space="0" w:color="auto"/>
                        </w:tcBorders>
                      </w:tcPr>
                      <w:p>
                        <w:pPr/>
                      </w:p>
                    </w:tc>
                    <w:tc>
                      <w:tcPr>
                        <w:tcW w:w="2430" w:type="dxa"/>
                        <w:gridSpan w:val="2"/>
                        <w:tcBorders>
                          <w:top w:val="nil" w:sz="6" w:space="0" w:color="auto"/>
                          <w:left w:val="nil" w:sz="6" w:space="0" w:color="auto"/>
                          <w:bottom w:val="single" w:sz="4" w:space="0" w:color="000000"/>
                          <w:right w:val="nil" w:sz="6" w:space="0" w:color="auto"/>
                        </w:tcBorders>
                      </w:tcPr>
                      <w:p>
                        <w:pPr>
                          <w:pStyle w:val="TableParagraph"/>
                          <w:spacing w:line="199" w:lineRule="exact"/>
                          <w:ind w:left="1173" w:right="0"/>
                          <w:jc w:val="left"/>
                          <w:rPr>
                            <w:rFonts w:ascii="黑体" w:hAnsi="黑体" w:cs="黑体" w:eastAsia="黑体" w:hint="default"/>
                            <w:sz w:val="20"/>
                            <w:szCs w:val="20"/>
                          </w:rPr>
                        </w:pPr>
                        <w:r>
                          <w:rPr>
                            <w:rFonts w:ascii="黑体" w:hAnsi="黑体" w:cs="黑体" w:eastAsia="黑体" w:hint="default"/>
                            <w:sz w:val="20"/>
                            <w:szCs w:val="20"/>
                          </w:rPr>
                          <w:t>本年变动股数</w:t>
                        </w:r>
                      </w:p>
                    </w:tc>
                    <w:tc>
                      <w:tcPr>
                        <w:tcW w:w="1128" w:type="dxa"/>
                        <w:tcBorders>
                          <w:top w:val="nil" w:sz="6" w:space="0" w:color="auto"/>
                          <w:left w:val="nil" w:sz="6" w:space="0" w:color="auto"/>
                          <w:bottom w:val="single" w:sz="4" w:space="0" w:color="000000"/>
                          <w:right w:val="nil" w:sz="6" w:space="0" w:color="auto"/>
                        </w:tcBorders>
                      </w:tcPr>
                      <w:p>
                        <w:pPr/>
                      </w:p>
                    </w:tc>
                    <w:tc>
                      <w:tcPr>
                        <w:tcW w:w="70" w:type="dxa"/>
                        <w:tcBorders>
                          <w:top w:val="nil" w:sz="6" w:space="0" w:color="auto"/>
                          <w:left w:val="nil" w:sz="6" w:space="0" w:color="auto"/>
                          <w:bottom w:val="nil" w:sz="6" w:space="0" w:color="auto"/>
                          <w:right w:val="nil" w:sz="6" w:space="0" w:color="auto"/>
                        </w:tcBorders>
                      </w:tcPr>
                      <w:p>
                        <w:pPr/>
                      </w:p>
                    </w:tc>
                    <w:tc>
                      <w:tcPr>
                        <w:tcW w:w="3154" w:type="dxa"/>
                        <w:gridSpan w:val="2"/>
                        <w:tcBorders>
                          <w:top w:val="nil" w:sz="6" w:space="0" w:color="auto"/>
                          <w:left w:val="nil" w:sz="6" w:space="0" w:color="auto"/>
                          <w:bottom w:val="nil" w:sz="6" w:space="0" w:color="auto"/>
                          <w:right w:val="nil" w:sz="6" w:space="0" w:color="auto"/>
                        </w:tcBorders>
                      </w:tcPr>
                      <w:p>
                        <w:pPr>
                          <w:pStyle w:val="TableParagraph"/>
                          <w:spacing w:line="199" w:lineRule="exact"/>
                          <w:ind w:left="94" w:right="0"/>
                          <w:jc w:val="center"/>
                          <w:rPr>
                            <w:rFonts w:ascii="黑体" w:hAnsi="黑体" w:cs="黑体" w:eastAsia="黑体" w:hint="default"/>
                            <w:sz w:val="20"/>
                            <w:szCs w:val="20"/>
                          </w:rPr>
                        </w:pPr>
                        <w:r>
                          <w:rPr>
                            <w:rFonts w:ascii="黑体" w:hAnsi="黑体" w:cs="黑体" w:eastAsia="黑体" w:hint="default"/>
                            <w:sz w:val="20"/>
                            <w:szCs w:val="20"/>
                          </w:rPr>
                          <w:t>年末数</w:t>
                        </w:r>
                      </w:p>
                    </w:tc>
                  </w:tr>
                  <w:tr>
                    <w:trPr>
                      <w:trHeight w:val="396" w:hRule="exact"/>
                    </w:trPr>
                    <w:tc>
                      <w:tcPr>
                        <w:tcW w:w="422" w:type="dxa"/>
                        <w:tcBorders>
                          <w:top w:val="nil" w:sz="6" w:space="0" w:color="auto"/>
                          <w:left w:val="nil" w:sz="6" w:space="0" w:color="auto"/>
                          <w:bottom w:val="nil" w:sz="6" w:space="0" w:color="auto"/>
                          <w:right w:val="nil" w:sz="6" w:space="0" w:color="auto"/>
                        </w:tcBorders>
                      </w:tcPr>
                      <w:p>
                        <w:pPr/>
                      </w:p>
                    </w:tc>
                    <w:tc>
                      <w:tcPr>
                        <w:tcW w:w="2478" w:type="dxa"/>
                        <w:tcBorders>
                          <w:top w:val="nil" w:sz="6" w:space="0" w:color="auto"/>
                          <w:left w:val="nil" w:sz="6" w:space="0" w:color="auto"/>
                          <w:bottom w:val="nil" w:sz="6" w:space="0" w:color="auto"/>
                          <w:right w:val="nil" w:sz="6" w:space="0" w:color="auto"/>
                        </w:tcBorders>
                      </w:tcPr>
                      <w:p>
                        <w:pPr/>
                      </w:p>
                    </w:tc>
                    <w:tc>
                      <w:tcPr>
                        <w:tcW w:w="1595" w:type="dxa"/>
                        <w:tcBorders>
                          <w:top w:val="nil" w:sz="6" w:space="0" w:color="auto"/>
                          <w:left w:val="nil" w:sz="6" w:space="0" w:color="auto"/>
                          <w:bottom w:val="nil" w:sz="6" w:space="0" w:color="auto"/>
                          <w:right w:val="nil" w:sz="6" w:space="0" w:color="auto"/>
                        </w:tcBorders>
                      </w:tcPr>
                      <w:p>
                        <w:pPr>
                          <w:pStyle w:val="TableParagraph"/>
                          <w:spacing w:line="235" w:lineRule="exact"/>
                          <w:ind w:right="221"/>
                          <w:jc w:val="right"/>
                          <w:rPr>
                            <w:rFonts w:ascii="黑体" w:hAnsi="黑体" w:cs="黑体" w:eastAsia="黑体" w:hint="default"/>
                            <w:sz w:val="20"/>
                            <w:szCs w:val="20"/>
                          </w:rPr>
                        </w:pPr>
                        <w:r>
                          <w:rPr>
                            <w:rFonts w:ascii="黑体" w:hAnsi="黑体" w:cs="黑体" w:eastAsia="黑体" w:hint="default"/>
                            <w:w w:val="95"/>
                            <w:sz w:val="20"/>
                            <w:szCs w:val="20"/>
                          </w:rPr>
                          <w:t>股数</w:t>
                        </w:r>
                        <w:r>
                          <w:rPr>
                            <w:rFonts w:ascii="黑体" w:hAnsi="黑体" w:cs="黑体" w:eastAsia="黑体" w:hint="default"/>
                            <w:sz w:val="20"/>
                            <w:szCs w:val="20"/>
                          </w:rPr>
                        </w:r>
                      </w:p>
                    </w:tc>
                    <w:tc>
                      <w:tcPr>
                        <w:tcW w:w="884" w:type="dxa"/>
                        <w:tcBorders>
                          <w:top w:val="nil" w:sz="6" w:space="0" w:color="auto"/>
                          <w:left w:val="nil" w:sz="6" w:space="0" w:color="auto"/>
                          <w:bottom w:val="nil" w:sz="6" w:space="0" w:color="auto"/>
                          <w:right w:val="nil" w:sz="6" w:space="0" w:color="auto"/>
                        </w:tcBorders>
                      </w:tcPr>
                      <w:p>
                        <w:pPr>
                          <w:pStyle w:val="TableParagraph"/>
                          <w:spacing w:line="249" w:lineRule="exact"/>
                          <w:ind w:right="34"/>
                          <w:jc w:val="right"/>
                          <w:rPr>
                            <w:rFonts w:ascii="Arial" w:hAnsi="Arial" w:cs="Arial" w:eastAsia="Arial" w:hint="default"/>
                            <w:sz w:val="20"/>
                            <w:szCs w:val="20"/>
                          </w:rPr>
                        </w:pPr>
                        <w:r>
                          <w:rPr>
                            <w:rFonts w:ascii="黑体" w:hAnsi="黑体" w:cs="黑体" w:eastAsia="黑体" w:hint="default"/>
                            <w:w w:val="95"/>
                            <w:sz w:val="20"/>
                            <w:szCs w:val="20"/>
                          </w:rPr>
                          <w:t>比例</w:t>
                        </w:r>
                        <w:r>
                          <w:rPr>
                            <w:rFonts w:ascii="Arial" w:hAnsi="Arial" w:cs="Arial" w:eastAsia="Arial" w:hint="default"/>
                            <w:w w:val="95"/>
                            <w:sz w:val="20"/>
                            <w:szCs w:val="20"/>
                          </w:rPr>
                          <w:t>(%)</w:t>
                        </w:r>
                        <w:r>
                          <w:rPr>
                            <w:rFonts w:ascii="Arial" w:hAnsi="Arial" w:cs="Arial" w:eastAsia="Arial" w:hint="default"/>
                            <w:sz w:val="20"/>
                            <w:szCs w:val="20"/>
                          </w:rPr>
                        </w:r>
                      </w:p>
                    </w:tc>
                    <w:tc>
                      <w:tcPr>
                        <w:tcW w:w="1641" w:type="dxa"/>
                        <w:tcBorders>
                          <w:top w:val="single" w:sz="4" w:space="0" w:color="000000"/>
                          <w:left w:val="nil" w:sz="6" w:space="0" w:color="auto"/>
                          <w:bottom w:val="nil" w:sz="6" w:space="0" w:color="auto"/>
                          <w:right w:val="nil" w:sz="6" w:space="0" w:color="auto"/>
                        </w:tcBorders>
                      </w:tcPr>
                      <w:p>
                        <w:pPr>
                          <w:pStyle w:val="TableParagraph"/>
                          <w:spacing w:line="230" w:lineRule="exact"/>
                          <w:ind w:right="1"/>
                          <w:jc w:val="right"/>
                          <w:rPr>
                            <w:rFonts w:ascii="黑体" w:hAnsi="黑体" w:cs="黑体" w:eastAsia="黑体" w:hint="default"/>
                            <w:sz w:val="20"/>
                            <w:szCs w:val="20"/>
                          </w:rPr>
                        </w:pPr>
                        <w:r>
                          <w:rPr>
                            <w:rFonts w:ascii="黑体" w:hAnsi="黑体" w:cs="黑体" w:eastAsia="黑体" w:hint="default"/>
                            <w:w w:val="95"/>
                            <w:sz w:val="20"/>
                            <w:szCs w:val="20"/>
                          </w:rPr>
                          <w:t>股权激励计划</w:t>
                        </w:r>
                        <w:r>
                          <w:rPr>
                            <w:rFonts w:ascii="黑体" w:hAnsi="黑体" w:cs="黑体" w:eastAsia="黑体" w:hint="default"/>
                            <w:sz w:val="20"/>
                            <w:szCs w:val="20"/>
                          </w:rPr>
                        </w:r>
                      </w:p>
                    </w:tc>
                    <w:tc>
                      <w:tcPr>
                        <w:tcW w:w="790" w:type="dxa"/>
                        <w:tcBorders>
                          <w:top w:val="single" w:sz="4" w:space="0" w:color="000000"/>
                          <w:left w:val="nil" w:sz="6" w:space="0" w:color="auto"/>
                          <w:bottom w:val="nil" w:sz="6" w:space="0" w:color="auto"/>
                          <w:right w:val="nil" w:sz="6" w:space="0" w:color="auto"/>
                        </w:tcBorders>
                      </w:tcPr>
                      <w:p>
                        <w:pPr/>
                      </w:p>
                    </w:tc>
                    <w:tc>
                      <w:tcPr>
                        <w:tcW w:w="1128" w:type="dxa"/>
                        <w:tcBorders>
                          <w:top w:val="single" w:sz="4" w:space="0" w:color="000000"/>
                          <w:left w:val="nil" w:sz="6" w:space="0" w:color="auto"/>
                          <w:bottom w:val="nil" w:sz="6" w:space="0" w:color="auto"/>
                          <w:right w:val="nil" w:sz="6" w:space="0" w:color="auto"/>
                        </w:tcBorders>
                      </w:tcPr>
                      <w:p>
                        <w:pPr>
                          <w:pStyle w:val="TableParagraph"/>
                          <w:spacing w:line="230" w:lineRule="exact"/>
                          <w:ind w:right="1"/>
                          <w:jc w:val="right"/>
                          <w:rPr>
                            <w:rFonts w:ascii="黑体" w:hAnsi="黑体" w:cs="黑体" w:eastAsia="黑体" w:hint="default"/>
                            <w:sz w:val="20"/>
                            <w:szCs w:val="20"/>
                          </w:rPr>
                        </w:pPr>
                        <w:r>
                          <w:rPr>
                            <w:rFonts w:ascii="黑体" w:hAnsi="黑体" w:cs="黑体" w:eastAsia="黑体" w:hint="default"/>
                            <w:w w:val="95"/>
                            <w:sz w:val="20"/>
                            <w:szCs w:val="20"/>
                          </w:rPr>
                          <w:t>小计</w:t>
                        </w:r>
                        <w:r>
                          <w:rPr>
                            <w:rFonts w:ascii="黑体" w:hAnsi="黑体" w:cs="黑体" w:eastAsia="黑体" w:hint="default"/>
                            <w:sz w:val="20"/>
                            <w:szCs w:val="20"/>
                          </w:rPr>
                        </w:r>
                      </w:p>
                    </w:tc>
                    <w:tc>
                      <w:tcPr>
                        <w:tcW w:w="70" w:type="dxa"/>
                        <w:tcBorders>
                          <w:top w:val="nil" w:sz="6" w:space="0" w:color="auto"/>
                          <w:left w:val="nil" w:sz="6" w:space="0" w:color="auto"/>
                          <w:bottom w:val="nil" w:sz="6" w:space="0" w:color="auto"/>
                          <w:right w:val="nil" w:sz="6" w:space="0" w:color="auto"/>
                        </w:tcBorders>
                      </w:tcPr>
                      <w:p>
                        <w:pPr/>
                      </w:p>
                    </w:tc>
                    <w:tc>
                      <w:tcPr>
                        <w:tcW w:w="1815" w:type="dxa"/>
                        <w:tcBorders>
                          <w:top w:val="nil" w:sz="6" w:space="0" w:color="auto"/>
                          <w:left w:val="nil" w:sz="6" w:space="0" w:color="auto"/>
                          <w:bottom w:val="nil" w:sz="6" w:space="0" w:color="auto"/>
                          <w:right w:val="nil" w:sz="6" w:space="0" w:color="auto"/>
                        </w:tcBorders>
                      </w:tcPr>
                      <w:p>
                        <w:pPr>
                          <w:pStyle w:val="TableParagraph"/>
                          <w:spacing w:line="235" w:lineRule="exact"/>
                          <w:ind w:right="429"/>
                          <w:jc w:val="right"/>
                          <w:rPr>
                            <w:rFonts w:ascii="黑体" w:hAnsi="黑体" w:cs="黑体" w:eastAsia="黑体" w:hint="default"/>
                            <w:sz w:val="20"/>
                            <w:szCs w:val="20"/>
                          </w:rPr>
                        </w:pPr>
                        <w:r>
                          <w:rPr>
                            <w:rFonts w:ascii="黑体" w:hAnsi="黑体" w:cs="黑体" w:eastAsia="黑体" w:hint="default"/>
                            <w:w w:val="95"/>
                            <w:sz w:val="20"/>
                            <w:szCs w:val="20"/>
                          </w:rPr>
                          <w:t>股数</w:t>
                        </w:r>
                        <w:r>
                          <w:rPr>
                            <w:rFonts w:ascii="黑体" w:hAnsi="黑体" w:cs="黑体" w:eastAsia="黑体" w:hint="default"/>
                            <w:sz w:val="20"/>
                            <w:szCs w:val="20"/>
                          </w:rPr>
                        </w:r>
                      </w:p>
                    </w:tc>
                    <w:tc>
                      <w:tcPr>
                        <w:tcW w:w="1340" w:type="dxa"/>
                        <w:tcBorders>
                          <w:top w:val="nil" w:sz="6" w:space="0" w:color="auto"/>
                          <w:left w:val="nil" w:sz="6" w:space="0" w:color="auto"/>
                          <w:bottom w:val="nil" w:sz="6" w:space="0" w:color="auto"/>
                          <w:right w:val="nil" w:sz="6" w:space="0" w:color="auto"/>
                        </w:tcBorders>
                      </w:tcPr>
                      <w:p>
                        <w:pPr>
                          <w:pStyle w:val="TableParagraph"/>
                          <w:spacing w:line="249" w:lineRule="exact"/>
                          <w:ind w:right="200"/>
                          <w:jc w:val="right"/>
                          <w:rPr>
                            <w:rFonts w:ascii="Arial" w:hAnsi="Arial" w:cs="Arial" w:eastAsia="Arial" w:hint="default"/>
                            <w:sz w:val="20"/>
                            <w:szCs w:val="20"/>
                          </w:rPr>
                        </w:pPr>
                        <w:r>
                          <w:rPr>
                            <w:rFonts w:ascii="黑体" w:hAnsi="黑体" w:cs="黑体" w:eastAsia="黑体" w:hint="default"/>
                            <w:w w:val="95"/>
                            <w:sz w:val="20"/>
                            <w:szCs w:val="20"/>
                          </w:rPr>
                          <w:t>比例</w:t>
                        </w:r>
                        <w:r>
                          <w:rPr>
                            <w:rFonts w:ascii="Arial" w:hAnsi="Arial" w:cs="Arial" w:eastAsia="Arial" w:hint="default"/>
                            <w:w w:val="95"/>
                            <w:sz w:val="20"/>
                            <w:szCs w:val="20"/>
                          </w:rPr>
                          <w:t>(%)</w:t>
                        </w:r>
                        <w:r>
                          <w:rPr>
                            <w:rFonts w:ascii="Arial" w:hAnsi="Arial" w:cs="Arial" w:eastAsia="Arial" w:hint="default"/>
                            <w:sz w:val="20"/>
                            <w:szCs w:val="20"/>
                          </w:rPr>
                        </w:r>
                      </w:p>
                    </w:tc>
                  </w:tr>
                  <w:tr>
                    <w:trPr>
                      <w:trHeight w:val="509" w:hRule="exact"/>
                    </w:trPr>
                    <w:tc>
                      <w:tcPr>
                        <w:tcW w:w="422"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0"/>
                          <w:jc w:val="right"/>
                          <w:rPr>
                            <w:rFonts w:ascii="黑体" w:hAnsi="黑体" w:cs="黑体" w:eastAsia="黑体" w:hint="default"/>
                            <w:sz w:val="20"/>
                            <w:szCs w:val="20"/>
                          </w:rPr>
                        </w:pPr>
                        <w:r>
                          <w:rPr>
                            <w:rFonts w:ascii="黑体" w:hAnsi="黑体" w:cs="黑体" w:eastAsia="黑体" w:hint="default"/>
                            <w:b/>
                            <w:bCs/>
                            <w:w w:val="99"/>
                            <w:sz w:val="20"/>
                            <w:szCs w:val="20"/>
                          </w:rPr>
                          <w:t>一</w:t>
                        </w:r>
                        <w:r>
                          <w:rPr>
                            <w:rFonts w:ascii="黑体" w:hAnsi="黑体" w:cs="黑体" w:eastAsia="黑体" w:hint="default"/>
                            <w:sz w:val="20"/>
                            <w:szCs w:val="20"/>
                          </w:rPr>
                        </w:r>
                      </w:p>
                    </w:tc>
                    <w:tc>
                      <w:tcPr>
                        <w:tcW w:w="2478"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5" w:right="0"/>
                          <w:jc w:val="left"/>
                          <w:rPr>
                            <w:rFonts w:ascii="黑体" w:hAnsi="黑体" w:cs="黑体" w:eastAsia="黑体" w:hint="default"/>
                            <w:sz w:val="20"/>
                            <w:szCs w:val="20"/>
                          </w:rPr>
                        </w:pPr>
                        <w:r>
                          <w:rPr>
                            <w:rFonts w:ascii="黑体" w:hAnsi="黑体" w:cs="黑体" w:eastAsia="黑体" w:hint="default"/>
                            <w:b/>
                            <w:bCs/>
                            <w:sz w:val="20"/>
                            <w:szCs w:val="20"/>
                          </w:rPr>
                          <w:t>有限售条件股份</w:t>
                        </w:r>
                        <w:r>
                          <w:rPr>
                            <w:rFonts w:ascii="黑体" w:hAnsi="黑体" w:cs="黑体" w:eastAsia="黑体" w:hint="default"/>
                            <w:sz w:val="20"/>
                            <w:szCs w:val="20"/>
                          </w:rPr>
                        </w:r>
                      </w:p>
                    </w:tc>
                    <w:tc>
                      <w:tcPr>
                        <w:tcW w:w="1595" w:type="dxa"/>
                        <w:tcBorders>
                          <w:top w:val="nil" w:sz="6" w:space="0" w:color="auto"/>
                          <w:left w:val="nil" w:sz="6" w:space="0" w:color="auto"/>
                          <w:bottom w:val="nil" w:sz="6" w:space="0" w:color="auto"/>
                          <w:right w:val="nil" w:sz="6" w:space="0" w:color="auto"/>
                        </w:tcBorders>
                      </w:tcPr>
                      <w:p>
                        <w:pPr/>
                      </w:p>
                    </w:tc>
                    <w:tc>
                      <w:tcPr>
                        <w:tcW w:w="884"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nil" w:sz="6" w:space="0" w:color="auto"/>
                          <w:right w:val="nil" w:sz="6" w:space="0" w:color="auto"/>
                        </w:tcBorders>
                      </w:tcPr>
                      <w:p>
                        <w:pPr/>
                      </w:p>
                    </w:tc>
                    <w:tc>
                      <w:tcPr>
                        <w:tcW w:w="790"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70" w:type="dxa"/>
                        <w:tcBorders>
                          <w:top w:val="nil" w:sz="6" w:space="0" w:color="auto"/>
                          <w:left w:val="nil" w:sz="6" w:space="0" w:color="auto"/>
                          <w:bottom w:val="nil" w:sz="6" w:space="0" w:color="auto"/>
                          <w:right w:val="nil" w:sz="6" w:space="0" w:color="auto"/>
                        </w:tcBorders>
                      </w:tcPr>
                      <w:p>
                        <w:pPr/>
                      </w:p>
                    </w:tc>
                    <w:tc>
                      <w:tcPr>
                        <w:tcW w:w="1815"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
                    </w:tc>
                  </w:tr>
                  <w:tr>
                    <w:trPr>
                      <w:trHeight w:val="527" w:hRule="exact"/>
                    </w:trPr>
                    <w:tc>
                      <w:tcPr>
                        <w:tcW w:w="422" w:type="dxa"/>
                        <w:tcBorders>
                          <w:top w:val="nil" w:sz="6" w:space="0" w:color="auto"/>
                          <w:left w:val="nil" w:sz="6" w:space="0" w:color="auto"/>
                          <w:bottom w:val="nil" w:sz="6" w:space="0" w:color="auto"/>
                          <w:right w:val="nil" w:sz="6" w:space="0" w:color="auto"/>
                        </w:tcBorders>
                      </w:tcPr>
                      <w:p>
                        <w:pPr/>
                      </w:p>
                    </w:tc>
                    <w:tc>
                      <w:tcPr>
                        <w:tcW w:w="247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5" w:right="0"/>
                          <w:jc w:val="left"/>
                          <w:rPr>
                            <w:rFonts w:ascii="黑体" w:hAnsi="黑体" w:cs="黑体" w:eastAsia="黑体" w:hint="default"/>
                            <w:sz w:val="20"/>
                            <w:szCs w:val="20"/>
                          </w:rPr>
                        </w:pPr>
                        <w:r>
                          <w:rPr>
                            <w:rFonts w:ascii="黑体" w:hAnsi="黑体" w:cs="黑体" w:eastAsia="黑体" w:hint="default"/>
                            <w:sz w:val="20"/>
                            <w:szCs w:val="20"/>
                          </w:rPr>
                          <w:t>境内自然人持股</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273" w:right="0"/>
                          <w:jc w:val="lef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z w:val="20"/>
                            <w:u w:val="single" w:color="000000"/>
                          </w:rPr>
                          <w:t>10,994,351</w:t>
                        </w:r>
                        <w:r>
                          <w:rPr>
                            <w:rFonts w:ascii="Arial"/>
                            <w:sz w:val="20"/>
                          </w:rPr>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0"/>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1"/>
                            <w:sz w:val="20"/>
                            <w:u w:val="single" w:color="000000"/>
                          </w:rPr>
                          <w:t> </w:t>
                        </w:r>
                        <w:r>
                          <w:rPr>
                            <w:rFonts w:ascii="Arial"/>
                            <w:spacing w:val="-1"/>
                            <w:w w:val="95"/>
                            <w:sz w:val="20"/>
                            <w:u w:val="single" w:color="000000"/>
                          </w:rPr>
                          <w:t>1.35</w:t>
                        </w:r>
                        <w:r>
                          <w:rPr>
                            <w:rFonts w:ascii="Arial"/>
                            <w:spacing w:val="-1"/>
                            <w:w w:val="95"/>
                            <w:sz w:val="20"/>
                          </w:rPr>
                        </w:r>
                        <w:r>
                          <w:rPr>
                            <w:rFonts w:ascii="Arial"/>
                            <w:sz w:val="20"/>
                          </w:rPr>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2"/>
                          <w:jc w:val="right"/>
                          <w:rPr>
                            <w:rFonts w:ascii="Arial" w:hAnsi="Arial" w:cs="Arial" w:eastAsia="Arial" w:hint="default"/>
                            <w:sz w:val="20"/>
                            <w:szCs w:val="20"/>
                          </w:rPr>
                        </w:pPr>
                        <w:r>
                          <w:rPr>
                            <w:rFonts w:ascii="Arial"/>
                            <w:spacing w:val="-1"/>
                            <w:sz w:val="20"/>
                          </w:rPr>
                          <w:t>(</w:t>
                        </w:r>
                        <w:r>
                          <w:rPr>
                            <w:rFonts w:ascii="Arial"/>
                            <w:spacing w:val="-1"/>
                            <w:sz w:val="20"/>
                            <w:u w:val="single" w:color="000000"/>
                          </w:rPr>
                          <w:t>10,994,351</w:t>
                        </w:r>
                        <w:r>
                          <w:rPr>
                            <w:rFonts w:ascii="Arial"/>
                            <w:spacing w:val="-1"/>
                            <w:sz w:val="20"/>
                          </w:rPr>
                        </w:r>
                        <w:r>
                          <w:rPr>
                            <w:rFonts w:ascii="Arial"/>
                            <w:sz w:val="20"/>
                          </w:rPr>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3" w:right="0"/>
                          <w:jc w:val="left"/>
                          <w:rPr>
                            <w:rFonts w:ascii="Arial" w:hAnsi="Arial" w:cs="Arial" w:eastAsia="Arial" w:hint="default"/>
                            <w:sz w:val="20"/>
                            <w:szCs w:val="20"/>
                          </w:rPr>
                        </w:pPr>
                        <w:r>
                          <w:rPr>
                            <w:rFonts w:ascii="Arial"/>
                            <w:w w:val="99"/>
                            <w:sz w:val="20"/>
                          </w:rPr>
                          <w:t>)</w:t>
                        </w:r>
                        <w:r>
                          <w:rPr>
                            <w:rFonts w:ascii="Arial"/>
                            <w:sz w:val="20"/>
                          </w:rPr>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2"/>
                          <w:jc w:val="right"/>
                          <w:rPr>
                            <w:rFonts w:ascii="Arial" w:hAnsi="Arial" w:cs="Arial" w:eastAsia="Arial" w:hint="default"/>
                            <w:sz w:val="20"/>
                            <w:szCs w:val="20"/>
                          </w:rPr>
                        </w:pPr>
                        <w:r>
                          <w:rPr>
                            <w:rFonts w:ascii="Arial"/>
                            <w:spacing w:val="-1"/>
                            <w:sz w:val="20"/>
                          </w:rPr>
                          <w:t>(</w:t>
                        </w:r>
                        <w:r>
                          <w:rPr>
                            <w:rFonts w:ascii="Arial"/>
                            <w:spacing w:val="-1"/>
                            <w:sz w:val="20"/>
                            <w:u w:val="single" w:color="000000"/>
                          </w:rPr>
                          <w:t>10,994,351</w:t>
                        </w:r>
                        <w:r>
                          <w:rPr>
                            <w:rFonts w:ascii="Arial"/>
                            <w:spacing w:val="-1"/>
                            <w:sz w:val="20"/>
                          </w:rPr>
                        </w:r>
                        <w:r>
                          <w:rPr>
                            <w:rFonts w:ascii="Arial"/>
                            <w:sz w:val="20"/>
                          </w:rPr>
                        </w:r>
                      </w:p>
                    </w:tc>
                    <w:tc>
                      <w:tcPr>
                        <w:tcW w:w="70" w:type="dxa"/>
                        <w:tcBorders>
                          <w:top w:val="nil" w:sz="6" w:space="0" w:color="auto"/>
                          <w:left w:val="nil" w:sz="6" w:space="0" w:color="auto"/>
                          <w:bottom w:val="nil" w:sz="6" w:space="0" w:color="auto"/>
                          <w:right w:val="nil" w:sz="6" w:space="0" w:color="auto"/>
                        </w:tcBorders>
                      </w:tcPr>
                      <w:p>
                        <w:pPr/>
                      </w:p>
                    </w:tc>
                    <w:tc>
                      <w:tcPr>
                        <w:tcW w:w="1815"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before="155"/>
                          <w:ind w:right="425"/>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340"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40" w:lineRule="auto" w:before="155"/>
                          <w:ind w:right="19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r>
                  <w:tr>
                    <w:trPr>
                      <w:trHeight w:val="503" w:hRule="exact"/>
                    </w:trPr>
                    <w:tc>
                      <w:tcPr>
                        <w:tcW w:w="42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20"/>
                          <w:jc w:val="right"/>
                          <w:rPr>
                            <w:rFonts w:ascii="黑体" w:hAnsi="黑体" w:cs="黑体" w:eastAsia="黑体" w:hint="default"/>
                            <w:sz w:val="20"/>
                            <w:szCs w:val="20"/>
                          </w:rPr>
                        </w:pPr>
                        <w:r>
                          <w:rPr>
                            <w:rFonts w:ascii="黑体" w:hAnsi="黑体" w:cs="黑体" w:eastAsia="黑体" w:hint="default"/>
                            <w:b/>
                            <w:bCs/>
                            <w:w w:val="99"/>
                            <w:sz w:val="20"/>
                            <w:szCs w:val="20"/>
                          </w:rPr>
                          <w:t>二</w:t>
                        </w:r>
                        <w:r>
                          <w:rPr>
                            <w:rFonts w:ascii="黑体" w:hAnsi="黑体" w:cs="黑体" w:eastAsia="黑体" w:hint="default"/>
                            <w:sz w:val="20"/>
                            <w:szCs w:val="20"/>
                          </w:rPr>
                        </w:r>
                      </w:p>
                    </w:tc>
                    <w:tc>
                      <w:tcPr>
                        <w:tcW w:w="247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5" w:right="0"/>
                          <w:jc w:val="left"/>
                          <w:rPr>
                            <w:rFonts w:ascii="黑体" w:hAnsi="黑体" w:cs="黑体" w:eastAsia="黑体" w:hint="default"/>
                            <w:sz w:val="20"/>
                            <w:szCs w:val="20"/>
                          </w:rPr>
                        </w:pPr>
                        <w:r>
                          <w:rPr>
                            <w:rFonts w:ascii="黑体" w:hAnsi="黑体" w:cs="黑体" w:eastAsia="黑体" w:hint="default"/>
                            <w:b/>
                            <w:bCs/>
                            <w:sz w:val="20"/>
                            <w:szCs w:val="20"/>
                          </w:rPr>
                          <w:t>无限售条件股份</w:t>
                        </w:r>
                        <w:r>
                          <w:rPr>
                            <w:rFonts w:ascii="黑体" w:hAnsi="黑体" w:cs="黑体" w:eastAsia="黑体" w:hint="default"/>
                            <w:sz w:val="20"/>
                            <w:szCs w:val="20"/>
                          </w:rPr>
                        </w:r>
                      </w:p>
                    </w:tc>
                    <w:tc>
                      <w:tcPr>
                        <w:tcW w:w="1595" w:type="dxa"/>
                        <w:tcBorders>
                          <w:top w:val="nil" w:sz="6" w:space="0" w:color="auto"/>
                          <w:left w:val="nil" w:sz="6" w:space="0" w:color="auto"/>
                          <w:bottom w:val="nil" w:sz="6" w:space="0" w:color="auto"/>
                          <w:right w:val="nil" w:sz="6" w:space="0" w:color="auto"/>
                        </w:tcBorders>
                      </w:tcPr>
                      <w:p>
                        <w:pPr/>
                      </w:p>
                    </w:tc>
                    <w:tc>
                      <w:tcPr>
                        <w:tcW w:w="884" w:type="dxa"/>
                        <w:tcBorders>
                          <w:top w:val="nil" w:sz="6" w:space="0" w:color="auto"/>
                          <w:left w:val="nil" w:sz="6" w:space="0" w:color="auto"/>
                          <w:bottom w:val="nil" w:sz="6" w:space="0" w:color="auto"/>
                          <w:right w:val="nil" w:sz="6" w:space="0" w:color="auto"/>
                        </w:tcBorders>
                      </w:tcPr>
                      <w:p>
                        <w:pPr/>
                      </w:p>
                    </w:tc>
                    <w:tc>
                      <w:tcPr>
                        <w:tcW w:w="1641" w:type="dxa"/>
                        <w:tcBorders>
                          <w:top w:val="nil" w:sz="6" w:space="0" w:color="auto"/>
                          <w:left w:val="nil" w:sz="6" w:space="0" w:color="auto"/>
                          <w:bottom w:val="nil" w:sz="6" w:space="0" w:color="auto"/>
                          <w:right w:val="nil" w:sz="6" w:space="0" w:color="auto"/>
                        </w:tcBorders>
                      </w:tcPr>
                      <w:p>
                        <w:pPr/>
                      </w:p>
                    </w:tc>
                    <w:tc>
                      <w:tcPr>
                        <w:tcW w:w="790"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70" w:type="dxa"/>
                        <w:tcBorders>
                          <w:top w:val="nil" w:sz="6" w:space="0" w:color="auto"/>
                          <w:left w:val="nil" w:sz="6" w:space="0" w:color="auto"/>
                          <w:bottom w:val="nil" w:sz="6" w:space="0" w:color="auto"/>
                          <w:right w:val="nil" w:sz="6" w:space="0" w:color="auto"/>
                        </w:tcBorders>
                      </w:tcPr>
                      <w:p>
                        <w:pPr/>
                      </w:p>
                    </w:tc>
                    <w:tc>
                      <w:tcPr>
                        <w:tcW w:w="1815" w:type="dxa"/>
                        <w:tcBorders>
                          <w:top w:val="nil" w:sz="6" w:space="0" w:color="auto"/>
                          <w:left w:val="nil" w:sz="6" w:space="0" w:color="auto"/>
                          <w:bottom w:val="nil" w:sz="6" w:space="0" w:color="auto"/>
                          <w:right w:val="nil" w:sz="6" w:space="0" w:color="auto"/>
                        </w:tcBorders>
                      </w:tcPr>
                      <w:p>
                        <w:pPr/>
                      </w:p>
                    </w:tc>
                    <w:tc>
                      <w:tcPr>
                        <w:tcW w:w="1340" w:type="dxa"/>
                        <w:tcBorders>
                          <w:top w:val="nil" w:sz="6" w:space="0" w:color="auto"/>
                          <w:left w:val="nil" w:sz="6" w:space="0" w:color="auto"/>
                          <w:bottom w:val="nil" w:sz="6" w:space="0" w:color="auto"/>
                          <w:right w:val="nil" w:sz="6" w:space="0" w:color="auto"/>
                        </w:tcBorders>
                      </w:tcPr>
                      <w:p>
                        <w:pPr/>
                      </w:p>
                    </w:tc>
                  </w:tr>
                  <w:tr>
                    <w:trPr>
                      <w:trHeight w:val="524" w:hRule="exact"/>
                    </w:trPr>
                    <w:tc>
                      <w:tcPr>
                        <w:tcW w:w="422" w:type="dxa"/>
                        <w:tcBorders>
                          <w:top w:val="nil" w:sz="6" w:space="0" w:color="auto"/>
                          <w:left w:val="nil" w:sz="6" w:space="0" w:color="auto"/>
                          <w:bottom w:val="nil" w:sz="6" w:space="0" w:color="auto"/>
                          <w:right w:val="nil" w:sz="6" w:space="0" w:color="auto"/>
                        </w:tcBorders>
                      </w:tcPr>
                      <w:p>
                        <w:pPr/>
                      </w:p>
                    </w:tc>
                    <w:tc>
                      <w:tcPr>
                        <w:tcW w:w="247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5" w:right="0"/>
                          <w:jc w:val="left"/>
                          <w:rPr>
                            <w:rFonts w:ascii="黑体" w:hAnsi="黑体" w:cs="黑体" w:eastAsia="黑体" w:hint="default"/>
                            <w:sz w:val="20"/>
                            <w:szCs w:val="20"/>
                          </w:rPr>
                        </w:pPr>
                        <w:r>
                          <w:rPr>
                            <w:rFonts w:ascii="黑体" w:hAnsi="黑体" w:cs="黑体" w:eastAsia="黑体" w:hint="default"/>
                            <w:sz w:val="20"/>
                            <w:szCs w:val="20"/>
                          </w:rPr>
                          <w:t>境内上市的人民币普通股</w:t>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152"/>
                          <w:ind w:left="264" w:right="0"/>
                          <w:jc w:val="left"/>
                          <w:rPr>
                            <w:rFonts w:ascii="Arial" w:hAnsi="Arial" w:cs="Arial" w:eastAsia="Arial" w:hint="default"/>
                            <w:sz w:val="20"/>
                            <w:szCs w:val="20"/>
                          </w:rPr>
                        </w:pPr>
                        <w:r>
                          <w:rPr>
                            <w:rFonts w:ascii="Arial"/>
                            <w:w w:val="99"/>
                            <w:sz w:val="20"/>
                          </w:rPr>
                        </w:r>
                        <w:r>
                          <w:rPr>
                            <w:rFonts w:ascii="Arial"/>
                            <w:sz w:val="20"/>
                            <w:u w:val="single" w:color="000000"/>
                          </w:rPr>
                          <w:t>805,137,556</w:t>
                        </w:r>
                        <w:r>
                          <w:rPr>
                            <w:rFonts w:ascii="Arial"/>
                            <w:sz w:val="20"/>
                          </w:rPr>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0"/>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w w:val="95"/>
                            <w:sz w:val="20"/>
                            <w:u w:val="single" w:color="000000"/>
                          </w:rPr>
                          <w:t>98.65</w:t>
                        </w:r>
                        <w:r>
                          <w:rPr>
                            <w:rFonts w:ascii="Arial"/>
                            <w:spacing w:val="-1"/>
                            <w:w w:val="95"/>
                            <w:sz w:val="20"/>
                          </w:rPr>
                        </w:r>
                        <w:r>
                          <w:rPr>
                            <w:rFonts w:ascii="Arial"/>
                            <w:sz w:val="20"/>
                          </w:rPr>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1"/>
                          <w:jc w:val="right"/>
                          <w:rPr>
                            <w:rFonts w:ascii="Arial" w:hAnsi="Arial" w:cs="Arial" w:eastAsia="Arial" w:hint="default"/>
                            <w:sz w:val="20"/>
                            <w:szCs w:val="20"/>
                          </w:rPr>
                        </w:pPr>
                        <w:r>
                          <w:rPr>
                            <w:rFonts w:ascii="Arial"/>
                            <w:w w:val="99"/>
                            <w:sz w:val="20"/>
                          </w:rPr>
                        </w:r>
                        <w:r>
                          <w:rPr>
                            <w:rFonts w:ascii="Arial"/>
                            <w:spacing w:val="-1"/>
                            <w:sz w:val="20"/>
                            <w:u w:val="single" w:color="000000"/>
                          </w:rPr>
                          <w:t>10,765,811</w:t>
                        </w:r>
                        <w:r>
                          <w:rPr>
                            <w:rFonts w:ascii="Arial"/>
                            <w:spacing w:val="-1"/>
                            <w:sz w:val="20"/>
                          </w:rPr>
                        </w:r>
                      </w:p>
                    </w:tc>
                    <w:tc>
                      <w:tcPr>
                        <w:tcW w:w="790"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2"/>
                          <w:jc w:val="right"/>
                          <w:rPr>
                            <w:rFonts w:ascii="Arial" w:hAnsi="Arial" w:cs="Arial" w:eastAsia="Arial" w:hint="default"/>
                            <w:sz w:val="20"/>
                            <w:szCs w:val="20"/>
                          </w:rPr>
                        </w:pPr>
                        <w:r>
                          <w:rPr>
                            <w:rFonts w:ascii="Arial"/>
                            <w:w w:val="99"/>
                            <w:sz w:val="20"/>
                          </w:rPr>
                        </w:r>
                        <w:r>
                          <w:rPr>
                            <w:rFonts w:ascii="Arial"/>
                            <w:spacing w:val="-1"/>
                            <w:sz w:val="20"/>
                            <w:u w:val="single" w:color="000000"/>
                          </w:rPr>
                          <w:t>10,765,811</w:t>
                        </w:r>
                        <w:r>
                          <w:rPr>
                            <w:rFonts w:ascii="Arial"/>
                            <w:spacing w:val="-1"/>
                            <w:sz w:val="20"/>
                          </w:rPr>
                        </w:r>
                        <w:r>
                          <w:rPr>
                            <w:rFonts w:ascii="Arial"/>
                            <w:sz w:val="20"/>
                          </w:rPr>
                        </w:r>
                      </w:p>
                    </w:tc>
                    <w:tc>
                      <w:tcPr>
                        <w:tcW w:w="70" w:type="dxa"/>
                        <w:tcBorders>
                          <w:top w:val="nil" w:sz="6" w:space="0" w:color="auto"/>
                          <w:left w:val="nil" w:sz="6" w:space="0" w:color="auto"/>
                          <w:bottom w:val="nil" w:sz="6" w:space="0" w:color="auto"/>
                          <w:right w:val="nil" w:sz="6" w:space="0" w:color="auto"/>
                        </w:tcBorders>
                      </w:tcPr>
                      <w:p>
                        <w:pP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430"/>
                          <w:jc w:val="right"/>
                          <w:rPr>
                            <w:rFonts w:ascii="Arial" w:hAnsi="Arial" w:cs="Arial" w:eastAsia="Arial" w:hint="default"/>
                            <w:sz w:val="20"/>
                            <w:szCs w:val="20"/>
                          </w:rPr>
                        </w:pPr>
                        <w:r>
                          <w:rPr>
                            <w:rFonts w:ascii="Arial"/>
                            <w:w w:val="99"/>
                            <w:sz w:val="20"/>
                          </w:rPr>
                        </w:r>
                        <w:r>
                          <w:rPr>
                            <w:rFonts w:ascii="Arial"/>
                            <w:spacing w:val="-1"/>
                            <w:sz w:val="20"/>
                            <w:u w:val="single" w:color="000000"/>
                          </w:rPr>
                          <w:t>815,903,367</w:t>
                        </w:r>
                        <w:r>
                          <w:rPr>
                            <w:rFonts w:ascii="Arial"/>
                            <w:spacing w:val="-1"/>
                            <w:sz w:val="20"/>
                          </w:rPr>
                        </w:r>
                        <w:r>
                          <w:rPr>
                            <w:rFonts w:ascii="Arial"/>
                            <w:sz w:val="20"/>
                          </w:rPr>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202"/>
                          <w:jc w:val="right"/>
                          <w:rPr>
                            <w:rFonts w:ascii="Arial" w:hAnsi="Arial" w:cs="Arial" w:eastAsia="Arial" w:hint="default"/>
                            <w:sz w:val="20"/>
                            <w:szCs w:val="20"/>
                          </w:rPr>
                        </w:pPr>
                        <w:r>
                          <w:rPr>
                            <w:rFonts w:ascii="Arial"/>
                            <w:w w:val="99"/>
                            <w:sz w:val="20"/>
                          </w:rPr>
                        </w:r>
                        <w:r>
                          <w:rPr>
                            <w:rFonts w:ascii="Arial"/>
                            <w:spacing w:val="-1"/>
                            <w:w w:val="95"/>
                            <w:sz w:val="20"/>
                            <w:u w:val="single" w:color="000000"/>
                          </w:rPr>
                          <w:t>100</w:t>
                        </w:r>
                        <w:r>
                          <w:rPr>
                            <w:rFonts w:ascii="Arial"/>
                            <w:spacing w:val="-1"/>
                            <w:w w:val="95"/>
                            <w:sz w:val="20"/>
                          </w:rPr>
                        </w:r>
                        <w:r>
                          <w:rPr>
                            <w:rFonts w:ascii="Arial"/>
                            <w:sz w:val="20"/>
                          </w:rPr>
                        </w:r>
                      </w:p>
                    </w:tc>
                  </w:tr>
                  <w:tr>
                    <w:trPr>
                      <w:trHeight w:val="370" w:hRule="exact"/>
                    </w:trPr>
                    <w:tc>
                      <w:tcPr>
                        <w:tcW w:w="42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3"/>
                          <w:jc w:val="right"/>
                          <w:rPr>
                            <w:rFonts w:ascii="黑体" w:hAnsi="黑体" w:cs="黑体" w:eastAsia="黑体" w:hint="default"/>
                            <w:sz w:val="20"/>
                            <w:szCs w:val="20"/>
                          </w:rPr>
                        </w:pPr>
                        <w:r>
                          <w:rPr>
                            <w:rFonts w:ascii="黑体" w:hAnsi="黑体" w:cs="黑体" w:eastAsia="黑体" w:hint="default"/>
                            <w:b/>
                            <w:bCs/>
                            <w:w w:val="99"/>
                            <w:sz w:val="20"/>
                            <w:szCs w:val="20"/>
                          </w:rPr>
                          <w:t>三</w:t>
                        </w:r>
                        <w:r>
                          <w:rPr>
                            <w:rFonts w:ascii="黑体" w:hAnsi="黑体" w:cs="黑体" w:eastAsia="黑体" w:hint="default"/>
                            <w:sz w:val="20"/>
                            <w:szCs w:val="20"/>
                          </w:rPr>
                        </w:r>
                      </w:p>
                    </w:tc>
                    <w:tc>
                      <w:tcPr>
                        <w:tcW w:w="247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2" w:right="0"/>
                          <w:jc w:val="left"/>
                          <w:rPr>
                            <w:rFonts w:ascii="黑体" w:hAnsi="黑体" w:cs="黑体" w:eastAsia="黑体" w:hint="default"/>
                            <w:sz w:val="20"/>
                            <w:szCs w:val="20"/>
                          </w:rPr>
                        </w:pPr>
                        <w:r>
                          <w:rPr>
                            <w:rFonts w:ascii="黑体" w:hAnsi="黑体" w:cs="黑体" w:eastAsia="黑体" w:hint="default"/>
                            <w:b/>
                            <w:bCs/>
                            <w:sz w:val="20"/>
                            <w:szCs w:val="20"/>
                          </w:rPr>
                          <w:t>股份总数</w:t>
                        </w:r>
                        <w:r>
                          <w:rPr>
                            <w:rFonts w:ascii="黑体" w:hAnsi="黑体" w:cs="黑体" w:eastAsia="黑体" w:hint="default"/>
                            <w:sz w:val="20"/>
                            <w:szCs w:val="20"/>
                          </w:rPr>
                        </w:r>
                      </w:p>
                    </w:tc>
                    <w:tc>
                      <w:tcPr>
                        <w:tcW w:w="1595" w:type="dxa"/>
                        <w:tcBorders>
                          <w:top w:val="nil" w:sz="6" w:space="0" w:color="auto"/>
                          <w:left w:val="nil" w:sz="6" w:space="0" w:color="auto"/>
                          <w:bottom w:val="nil" w:sz="6" w:space="0" w:color="auto"/>
                          <w:right w:val="nil" w:sz="6" w:space="0" w:color="auto"/>
                        </w:tcBorders>
                      </w:tcPr>
                      <w:p>
                        <w:pPr>
                          <w:pStyle w:val="TableParagraph"/>
                          <w:spacing w:line="240" w:lineRule="auto" w:before="144"/>
                          <w:ind w:left="264" w:right="0"/>
                          <w:jc w:val="left"/>
                          <w:rPr>
                            <w:rFonts w:ascii="Arial" w:hAnsi="Arial" w:cs="Arial" w:eastAsia="Arial" w:hint="default"/>
                            <w:sz w:val="20"/>
                            <w:szCs w:val="20"/>
                          </w:rPr>
                        </w:pPr>
                        <w:r>
                          <w:rPr>
                            <w:rFonts w:ascii="Arial"/>
                            <w:w w:val="99"/>
                            <w:sz w:val="20"/>
                          </w:rPr>
                        </w:r>
                        <w:r>
                          <w:rPr>
                            <w:rFonts w:ascii="Arial"/>
                            <w:sz w:val="20"/>
                            <w:u w:val="thick" w:color="000000"/>
                          </w:rPr>
                          <w:t>816,131,907</w:t>
                        </w:r>
                        <w:r>
                          <w:rPr>
                            <w:rFonts w:ascii="Arial"/>
                            <w:sz w:val="20"/>
                          </w:rPr>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0"/>
                          <w:jc w:val="right"/>
                          <w:rPr>
                            <w:rFonts w:ascii="Arial" w:hAnsi="Arial" w:cs="Arial" w:eastAsia="Arial" w:hint="default"/>
                            <w:sz w:val="20"/>
                            <w:szCs w:val="20"/>
                          </w:rPr>
                        </w:pPr>
                        <w:r>
                          <w:rPr>
                            <w:rFonts w:ascii="Arial"/>
                            <w:w w:val="99"/>
                            <w:sz w:val="20"/>
                          </w:rPr>
                        </w:r>
                        <w:r>
                          <w:rPr>
                            <w:rFonts w:ascii="Arial"/>
                            <w:spacing w:val="-1"/>
                            <w:sz w:val="20"/>
                            <w:u w:val="thick" w:color="000000"/>
                          </w:rPr>
                          <w:t>100.00</w:t>
                        </w:r>
                        <w:r>
                          <w:rPr>
                            <w:rFonts w:ascii="Arial"/>
                            <w:spacing w:val="-1"/>
                            <w:sz w:val="20"/>
                          </w:rPr>
                        </w:r>
                        <w:r>
                          <w:rPr>
                            <w:rFonts w:ascii="Arial"/>
                            <w:sz w:val="20"/>
                          </w:rPr>
                        </w:r>
                      </w:p>
                    </w:tc>
                    <w:tc>
                      <w:tcPr>
                        <w:tcW w:w="1641" w:type="dxa"/>
                        <w:tcBorders>
                          <w:top w:val="nil" w:sz="6" w:space="0" w:color="auto"/>
                          <w:left w:val="nil" w:sz="6" w:space="0" w:color="auto"/>
                          <w:bottom w:val="nil" w:sz="6" w:space="0" w:color="auto"/>
                          <w:right w:val="nil" w:sz="6" w:space="0" w:color="auto"/>
                        </w:tcBorders>
                      </w:tcPr>
                      <w:p>
                        <w:pPr>
                          <w:pStyle w:val="TableParagraph"/>
                          <w:tabs>
                            <w:tab w:pos="369" w:val="left" w:leader="none"/>
                          </w:tabs>
                          <w:spacing w:line="240" w:lineRule="auto" w:before="144"/>
                          <w:ind w:right="1"/>
                          <w:jc w:val="right"/>
                          <w:rPr>
                            <w:rFonts w:ascii="Arial" w:hAnsi="Arial" w:cs="Arial" w:eastAsia="Arial" w:hint="default"/>
                            <w:sz w:val="20"/>
                            <w:szCs w:val="20"/>
                          </w:rPr>
                        </w:pPr>
                        <w:r>
                          <w:rPr>
                            <w:rFonts w:ascii="Arial"/>
                            <w:w w:val="95"/>
                            <w:sz w:val="20"/>
                          </w:rPr>
                          <w:t>(</w:t>
                        </w:r>
                        <w:r>
                          <w:rPr>
                            <w:rFonts w:ascii="Arial"/>
                            <w:w w:val="95"/>
                            <w:sz w:val="20"/>
                            <w:u w:val="thick" w:color="000000"/>
                          </w:rPr>
                          <w:t> </w:t>
                          <w:tab/>
                        </w:r>
                        <w:r>
                          <w:rPr>
                            <w:rFonts w:ascii="Arial"/>
                            <w:spacing w:val="-1"/>
                            <w:w w:val="95"/>
                            <w:sz w:val="20"/>
                            <w:u w:val="thick" w:color="000000"/>
                          </w:rPr>
                          <w:t>228,540</w:t>
                        </w:r>
                        <w:r>
                          <w:rPr>
                            <w:rFonts w:ascii="Arial"/>
                            <w:spacing w:val="-1"/>
                            <w:w w:val="95"/>
                            <w:sz w:val="20"/>
                          </w:rPr>
                        </w:r>
                        <w:r>
                          <w:rPr>
                            <w:rFonts w:ascii="Arial"/>
                            <w:sz w:val="20"/>
                          </w:rPr>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44"/>
                          <w:ind w:left="3" w:right="0"/>
                          <w:jc w:val="left"/>
                          <w:rPr>
                            <w:rFonts w:ascii="Arial" w:hAnsi="Arial" w:cs="Arial" w:eastAsia="Arial" w:hint="default"/>
                            <w:sz w:val="20"/>
                            <w:szCs w:val="20"/>
                          </w:rPr>
                        </w:pPr>
                        <w:r>
                          <w:rPr>
                            <w:rFonts w:ascii="Arial"/>
                            <w:w w:val="99"/>
                            <w:sz w:val="20"/>
                          </w:rPr>
                          <w:t>)</w:t>
                        </w:r>
                        <w:r>
                          <w:rPr>
                            <w:rFonts w:ascii="Arial"/>
                            <w:sz w:val="20"/>
                          </w:rPr>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13"/>
                          <w:jc w:val="right"/>
                          <w:rPr>
                            <w:rFonts w:ascii="Arial" w:hAnsi="Arial" w:cs="Arial" w:eastAsia="Arial" w:hint="default"/>
                            <w:sz w:val="20"/>
                            <w:szCs w:val="20"/>
                          </w:rPr>
                        </w:pPr>
                        <w:r>
                          <w:rPr>
                            <w:rFonts w:ascii="Arial"/>
                            <w:sz w:val="20"/>
                          </w:rPr>
                          <w:t>(  </w:t>
                        </w:r>
                        <w:r>
                          <w:rPr>
                            <w:rFonts w:ascii="Arial"/>
                            <w:spacing w:val="47"/>
                            <w:sz w:val="20"/>
                          </w:rPr>
                          <w:t> </w:t>
                        </w:r>
                        <w:r>
                          <w:rPr>
                            <w:rFonts w:ascii="Arial"/>
                            <w:spacing w:val="47"/>
                            <w:sz w:val="20"/>
                            <w:u w:val="thick" w:color="000000"/>
                          </w:rPr>
                          <w:t> </w:t>
                        </w:r>
                        <w:r>
                          <w:rPr>
                            <w:rFonts w:ascii="Arial"/>
                            <w:sz w:val="20"/>
                            <w:u w:val="thick" w:color="000000"/>
                          </w:rPr>
                          <w:t>228,540</w:t>
                        </w:r>
                        <w:r>
                          <w:rPr>
                            <w:rFonts w:ascii="Arial"/>
                            <w:sz w:val="20"/>
                          </w:rPr>
                        </w:r>
                      </w:p>
                    </w:tc>
                    <w:tc>
                      <w:tcPr>
                        <w:tcW w:w="70" w:type="dxa"/>
                        <w:tcBorders>
                          <w:top w:val="nil" w:sz="6" w:space="0" w:color="auto"/>
                          <w:left w:val="nil" w:sz="6" w:space="0" w:color="auto"/>
                          <w:bottom w:val="nil" w:sz="6" w:space="0" w:color="auto"/>
                          <w:right w:val="nil" w:sz="6" w:space="0" w:color="auto"/>
                        </w:tcBorders>
                      </w:tcPr>
                      <w:p>
                        <w:pP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430"/>
                          <w:jc w:val="right"/>
                          <w:rPr>
                            <w:rFonts w:ascii="Arial" w:hAnsi="Arial" w:cs="Arial" w:eastAsia="Arial" w:hint="default"/>
                            <w:sz w:val="20"/>
                            <w:szCs w:val="20"/>
                          </w:rPr>
                        </w:pPr>
                        <w:r>
                          <w:rPr>
                            <w:rFonts w:ascii="Arial"/>
                            <w:w w:val="99"/>
                            <w:sz w:val="20"/>
                          </w:rPr>
                        </w:r>
                        <w:r>
                          <w:rPr>
                            <w:rFonts w:ascii="Arial"/>
                            <w:spacing w:val="-1"/>
                            <w:sz w:val="20"/>
                            <w:u w:val="thick" w:color="000000"/>
                          </w:rPr>
                          <w:t>815,903,367</w:t>
                        </w:r>
                        <w:r>
                          <w:rPr>
                            <w:rFonts w:ascii="Arial"/>
                            <w:spacing w:val="-1"/>
                            <w:sz w:val="20"/>
                          </w:rPr>
                        </w:r>
                        <w:r>
                          <w:rPr>
                            <w:rFonts w:ascii="Arial"/>
                            <w:sz w:val="20"/>
                          </w:rPr>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202"/>
                          <w:jc w:val="right"/>
                          <w:rPr>
                            <w:rFonts w:ascii="Arial" w:hAnsi="Arial" w:cs="Arial" w:eastAsia="Arial" w:hint="default"/>
                            <w:sz w:val="20"/>
                            <w:szCs w:val="20"/>
                          </w:rPr>
                        </w:pPr>
                        <w:r>
                          <w:rPr>
                            <w:rFonts w:ascii="Arial"/>
                            <w:w w:val="99"/>
                            <w:sz w:val="20"/>
                          </w:rPr>
                        </w:r>
                        <w:r>
                          <w:rPr>
                            <w:rFonts w:ascii="Arial"/>
                            <w:spacing w:val="-1"/>
                            <w:w w:val="95"/>
                            <w:sz w:val="20"/>
                            <w:u w:val="thick" w:color="000000"/>
                          </w:rPr>
                          <w:t>100</w:t>
                        </w:r>
                        <w:r>
                          <w:rPr>
                            <w:rFonts w:ascii="Arial"/>
                            <w:spacing w:val="-1"/>
                            <w:w w:val="95"/>
                            <w:sz w:val="20"/>
                          </w:rPr>
                        </w:r>
                        <w:r>
                          <w:rPr>
                            <w:rFonts w:ascii="Arial"/>
                            <w:sz w:val="20"/>
                          </w:rPr>
                        </w:r>
                      </w:p>
                    </w:tc>
                  </w:tr>
                </w:tbl>
                <w:p>
                  <w:pPr/>
                </w:p>
              </w:txbxContent>
            </v:textbox>
            <w10:wrap type="none"/>
          </v:shape>
        </w:pict>
      </w:r>
      <w:r>
        <w:rPr>
          <w:rFonts w:ascii="Arial"/>
          <w:w w:val="99"/>
        </w:rPr>
        <w:t>)</w:t>
      </w:r>
      <w:r>
        <w:rPr>
          <w:rFonts w:ascii="Arial"/>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9"/>
        <w:rPr>
          <w:rFonts w:ascii="Arial" w:hAnsi="Arial" w:cs="Arial" w:eastAsia="Arial" w:hint="default"/>
          <w:sz w:val="27"/>
          <w:szCs w:val="27"/>
        </w:rPr>
      </w:pPr>
    </w:p>
    <w:p>
      <w:pPr>
        <w:pStyle w:val="BodyText"/>
        <w:spacing w:line="240" w:lineRule="auto" w:before="74"/>
        <w:ind w:left="9589" w:right="5085"/>
        <w:jc w:val="center"/>
        <w:rPr>
          <w:rFonts w:ascii="Arial" w:hAnsi="Arial" w:cs="Arial" w:eastAsia="Arial" w:hint="default"/>
        </w:rPr>
      </w:pPr>
      <w:r>
        <w:rPr>
          <w:rFonts w:ascii="Arial"/>
          <w:w w:val="99"/>
        </w:rPr>
        <w:t>)</w:t>
      </w:r>
      <w:r>
        <w:rPr>
          <w:rFonts w:ascii="Arial"/>
        </w:rPr>
      </w:r>
    </w:p>
    <w:p>
      <w:pPr>
        <w:spacing w:line="240" w:lineRule="auto" w:before="0"/>
        <w:rPr>
          <w:rFonts w:ascii="Arial" w:hAnsi="Arial" w:cs="Arial" w:eastAsia="Arial" w:hint="default"/>
          <w:sz w:val="20"/>
          <w:szCs w:val="20"/>
        </w:rPr>
      </w:pPr>
    </w:p>
    <w:p>
      <w:pPr>
        <w:spacing w:line="240" w:lineRule="auto" w:before="11"/>
        <w:rPr>
          <w:rFonts w:ascii="Arial" w:hAnsi="Arial" w:cs="Arial" w:eastAsia="Arial" w:hint="default"/>
          <w:sz w:val="24"/>
          <w:szCs w:val="24"/>
        </w:rPr>
      </w:pPr>
    </w:p>
    <w:p>
      <w:pPr>
        <w:pStyle w:val="BodyText"/>
        <w:spacing w:line="225" w:lineRule="auto" w:before="51"/>
        <w:ind w:left="1533" w:right="2136" w:hanging="720"/>
        <w:jc w:val="both"/>
      </w:pPr>
      <w:r>
        <w:rPr/>
        <w:t>注</w:t>
      </w:r>
      <w:r>
        <w:rPr>
          <w:rFonts w:ascii="Arial" w:hAnsi="Arial" w:cs="Arial" w:eastAsia="Arial" w:hint="default"/>
        </w:rPr>
        <w:t>1</w:t>
      </w:r>
      <w:r>
        <w:rPr/>
        <w:t>．</w:t>
      </w:r>
      <w:r>
        <w:rPr>
          <w:spacing w:val="90"/>
        </w:rPr>
        <w:t> </w:t>
      </w:r>
      <w:r>
        <w:rPr/>
        <w:t>经本公司于</w:t>
      </w:r>
      <w:r>
        <w:rPr>
          <w:rFonts w:ascii="Arial" w:hAnsi="Arial" w:cs="Arial" w:eastAsia="Arial" w:hint="default"/>
        </w:rPr>
        <w:t>2012</w:t>
      </w:r>
      <w:r>
        <w:rPr/>
        <w:t>年</w:t>
      </w:r>
      <w:r>
        <w:rPr>
          <w:rFonts w:ascii="Arial" w:hAnsi="Arial" w:cs="Arial" w:eastAsia="Arial" w:hint="default"/>
        </w:rPr>
        <w:t>3</w:t>
      </w:r>
      <w:r>
        <w:rPr/>
        <w:t>月</w:t>
      </w:r>
      <w:r>
        <w:rPr>
          <w:rFonts w:ascii="Arial" w:hAnsi="Arial" w:cs="Arial" w:eastAsia="Arial" w:hint="default"/>
        </w:rPr>
        <w:t>30</w:t>
      </w:r>
      <w:r>
        <w:rPr/>
        <w:t>日召开的</w:t>
      </w:r>
      <w:r>
        <w:rPr>
          <w:rFonts w:ascii="Arial" w:hAnsi="Arial" w:cs="Arial" w:eastAsia="Arial" w:hint="default"/>
        </w:rPr>
        <w:t>2011</w:t>
      </w:r>
      <w:r>
        <w:rPr/>
        <w:t>年年度股东大会决议通过的《</w:t>
      </w:r>
      <w:r>
        <w:rPr>
          <w:rFonts w:ascii="Arial" w:hAnsi="Arial" w:cs="Arial" w:eastAsia="Arial" w:hint="default"/>
        </w:rPr>
        <w:t>2011</w:t>
      </w:r>
      <w:r>
        <w:rPr/>
        <w:t>年度资本公积转增股本议案》，本公司以</w:t>
      </w:r>
      <w:r>
        <w:rPr>
          <w:rFonts w:ascii="Arial" w:hAnsi="Arial" w:cs="Arial" w:eastAsia="Arial" w:hint="default"/>
        </w:rPr>
        <w:t>2011</w:t>
      </w:r>
      <w:r>
        <w:rPr/>
        <w:t>年末总</w:t>
      </w:r>
      <w:r>
        <w:rPr>
          <w:w w:val="99"/>
        </w:rPr>
        <w:t> </w:t>
      </w:r>
      <w:r>
        <w:rPr>
          <w:spacing w:val="8"/>
        </w:rPr>
        <w:t>股本</w:t>
      </w:r>
      <w:r>
        <w:rPr>
          <w:rFonts w:ascii="Arial" w:hAnsi="Arial" w:cs="Arial" w:eastAsia="Arial" w:hint="default"/>
          <w:spacing w:val="8"/>
        </w:rPr>
        <w:t>815,903,367</w:t>
      </w:r>
      <w:r>
        <w:rPr>
          <w:spacing w:val="8"/>
        </w:rPr>
        <w:t>股为基数，向全体股东每</w:t>
      </w:r>
      <w:r>
        <w:rPr>
          <w:rFonts w:ascii="Arial" w:hAnsi="Arial" w:cs="Arial" w:eastAsia="Arial" w:hint="default"/>
          <w:spacing w:val="8"/>
        </w:rPr>
        <w:t>10</w:t>
      </w:r>
      <w:r>
        <w:rPr>
          <w:spacing w:val="8"/>
        </w:rPr>
        <w:t>股转增</w:t>
      </w:r>
      <w:r>
        <w:rPr>
          <w:rFonts w:ascii="Arial" w:hAnsi="Arial" w:cs="Arial" w:eastAsia="Arial" w:hint="default"/>
          <w:spacing w:val="8"/>
        </w:rPr>
        <w:t>2</w:t>
      </w:r>
      <w:r>
        <w:rPr>
          <w:spacing w:val="8"/>
        </w:rPr>
        <w:t>股，共计转增</w:t>
      </w:r>
      <w:r>
        <w:rPr>
          <w:rFonts w:ascii="Arial" w:hAnsi="Arial" w:cs="Arial" w:eastAsia="Arial" w:hint="default"/>
          <w:spacing w:val="8"/>
        </w:rPr>
        <w:t>163,180,673</w:t>
      </w:r>
      <w:r>
        <w:rPr>
          <w:spacing w:val="8"/>
        </w:rPr>
        <w:t>股。转增后，本公司的注册资本由人民币</w:t>
      </w:r>
      <w:r>
        <w:rPr>
          <w:w w:val="99"/>
        </w:rPr>
        <w:t> </w:t>
      </w:r>
      <w:r>
        <w:rPr>
          <w:rFonts w:ascii="Arial" w:hAnsi="Arial" w:cs="Arial" w:eastAsia="Arial" w:hint="default"/>
        </w:rPr>
        <w:t>815,903,367</w:t>
      </w:r>
      <w:r>
        <w:rPr/>
        <w:t>元增加至人民币</w:t>
      </w:r>
      <w:r>
        <w:rPr>
          <w:rFonts w:ascii="Arial" w:hAnsi="Arial" w:cs="Arial" w:eastAsia="Arial" w:hint="default"/>
        </w:rPr>
        <w:t>979,084,040</w:t>
      </w:r>
      <w:r>
        <w:rPr/>
        <w:t>元。</w:t>
      </w:r>
    </w:p>
    <w:p>
      <w:pPr>
        <w:spacing w:line="240" w:lineRule="auto" w:before="11"/>
        <w:rPr>
          <w:rFonts w:ascii="黑体" w:hAnsi="黑体" w:cs="黑体" w:eastAsia="黑体" w:hint="default"/>
          <w:sz w:val="20"/>
          <w:szCs w:val="20"/>
        </w:rPr>
      </w:pPr>
    </w:p>
    <w:p>
      <w:pPr>
        <w:pStyle w:val="BodyText"/>
        <w:spacing w:line="260" w:lineRule="exact"/>
        <w:ind w:left="1533" w:right="0"/>
        <w:jc w:val="left"/>
      </w:pPr>
      <w:r>
        <w:rPr/>
        <w:t>上述股本变动业经北京中诚正信会计师事务所有限公司进行验证，并于</w:t>
      </w:r>
      <w:r>
        <w:rPr>
          <w:rFonts w:ascii="Arial" w:hAnsi="Arial" w:cs="Arial" w:eastAsia="Arial" w:hint="default"/>
        </w:rPr>
        <w:t>2012</w:t>
      </w:r>
      <w:r>
        <w:rPr/>
        <w:t>年</w:t>
      </w:r>
      <w:r>
        <w:rPr>
          <w:rFonts w:ascii="Arial" w:hAnsi="Arial" w:cs="Arial" w:eastAsia="Arial" w:hint="default"/>
        </w:rPr>
        <w:t>5</w:t>
      </w:r>
      <w:r>
        <w:rPr/>
        <w:t>月</w:t>
      </w:r>
      <w:r>
        <w:rPr>
          <w:rFonts w:ascii="Arial" w:hAnsi="Arial" w:cs="Arial" w:eastAsia="Arial" w:hint="default"/>
        </w:rPr>
        <w:t>19</w:t>
      </w:r>
      <w:r>
        <w:rPr/>
        <w:t>日出具了中诚正信验字</w:t>
      </w:r>
      <w:r>
        <w:rPr>
          <w:rFonts w:ascii="Arial" w:hAnsi="Arial" w:cs="Arial" w:eastAsia="Arial" w:hint="default"/>
        </w:rPr>
        <w:t>(2012)</w:t>
      </w:r>
      <w:r>
        <w:rPr/>
        <w:t>第</w:t>
      </w:r>
      <w:r>
        <w:rPr>
          <w:rFonts w:ascii="Arial" w:hAnsi="Arial" w:cs="Arial" w:eastAsia="Arial" w:hint="default"/>
        </w:rPr>
        <w:t>062</w:t>
      </w:r>
      <w:r>
        <w:rPr/>
        <w:t>号的验</w:t>
      </w:r>
      <w:r>
        <w:rPr>
          <w:spacing w:val="-86"/>
        </w:rPr>
        <w:t> </w:t>
      </w:r>
      <w:r>
        <w:rPr>
          <w:spacing w:val="-86"/>
        </w:rPr>
      </w:r>
      <w:r>
        <w:rPr/>
        <w:t>资报告。截至本财务报表批准日，本公司已取得变更后的营业执照。</w:t>
      </w:r>
    </w:p>
    <w:p>
      <w:pPr>
        <w:spacing w:after="0" w:line="260" w:lineRule="exact"/>
        <w:jc w:val="left"/>
        <w:sectPr>
          <w:pgSz w:w="16850" w:h="11910" w:orient="landscape"/>
          <w:pgMar w:header="957" w:footer="465" w:top="2540" w:bottom="660" w:left="1020" w:right="1040"/>
        </w:sectPr>
      </w:pPr>
    </w:p>
    <w:p>
      <w:pPr>
        <w:spacing w:line="240" w:lineRule="auto" w:before="12"/>
        <w:rPr>
          <w:rFonts w:ascii="黑体" w:hAnsi="黑体" w:cs="黑体" w:eastAsia="黑体" w:hint="default"/>
          <w:sz w:val="16"/>
          <w:szCs w:val="16"/>
        </w:rPr>
      </w:pPr>
    </w:p>
    <w:p>
      <w:pPr>
        <w:pStyle w:val="Heading6"/>
        <w:tabs>
          <w:tab w:pos="804" w:val="left" w:leader="none"/>
        </w:tabs>
        <w:spacing w:line="240" w:lineRule="auto"/>
        <w:ind w:right="0"/>
        <w:jc w:val="left"/>
        <w:rPr>
          <w:b w:val="0"/>
          <w:bCs w:val="0"/>
        </w:rPr>
      </w:pPr>
      <w:r>
        <w:rPr>
          <w:w w:val="95"/>
        </w:rPr>
        <w:t>五、</w:t>
        <w:tab/>
      </w:r>
      <w:bookmarkStart w:name="五、   合并财务报表主要项目注释（续）" w:id="130"/>
      <w:bookmarkEnd w:id="130"/>
      <w:r>
        <w:rPr/>
        <w:t>合并</w:t>
      </w:r>
      <w:r>
        <w:rPr/>
        <w:t>财务报表主要项目注释（续）</w:t>
      </w:r>
      <w:r>
        <w:rPr>
          <w:b w:val="0"/>
          <w:bCs w:val="0"/>
        </w:rPr>
      </w:r>
    </w:p>
    <w:p>
      <w:pPr>
        <w:pStyle w:val="Heading6"/>
        <w:tabs>
          <w:tab w:pos="780" w:val="left" w:leader="none"/>
        </w:tabs>
        <w:spacing w:line="240" w:lineRule="auto" w:before="175"/>
        <w:ind w:right="0"/>
        <w:jc w:val="left"/>
        <w:rPr>
          <w:b w:val="0"/>
          <w:bCs w:val="0"/>
        </w:rPr>
      </w:pPr>
      <w:r>
        <w:rPr>
          <w:rFonts w:ascii="Arial" w:hAnsi="Arial" w:cs="Arial" w:eastAsia="Arial" w:hint="default"/>
          <w:spacing w:val="-1"/>
          <w:w w:val="95"/>
        </w:rPr>
        <w:t>31.</w:t>
        <w:tab/>
      </w:r>
      <w:r>
        <w:rPr>
          <w:spacing w:val="2"/>
        </w:rPr>
        <w:t>资本公积</w:t>
      </w:r>
      <w:r>
        <w:rPr>
          <w:b w:val="0"/>
          <w:bCs w:val="0"/>
        </w:rPr>
      </w:r>
    </w:p>
    <w:p>
      <w:pPr>
        <w:spacing w:line="240" w:lineRule="auto" w:before="7"/>
        <w:rPr>
          <w:rFonts w:ascii="黑体" w:hAnsi="黑体" w:cs="黑体" w:eastAsia="黑体" w:hint="default"/>
          <w:b/>
          <w:bCs/>
          <w:sz w:val="18"/>
          <w:szCs w:val="18"/>
        </w:rPr>
      </w:pPr>
    </w:p>
    <w:p>
      <w:pPr>
        <w:pStyle w:val="BodyText"/>
        <w:spacing w:line="240" w:lineRule="auto"/>
        <w:ind w:right="0"/>
        <w:jc w:val="left"/>
      </w:pPr>
      <w:r>
        <w:rPr>
          <w:rFonts w:ascii="Arial" w:hAnsi="Arial" w:cs="Arial" w:eastAsia="Arial" w:hint="default"/>
        </w:rPr>
        <w:t>2012</w:t>
      </w:r>
      <w:r>
        <w:rPr/>
        <w:t>年</w:t>
      </w:r>
    </w:p>
    <w:p>
      <w:pPr>
        <w:spacing w:line="240" w:lineRule="auto" w:before="2"/>
        <w:rPr>
          <w:rFonts w:ascii="黑体" w:hAnsi="黑体" w:cs="黑体" w:eastAsia="黑体" w:hint="default"/>
          <w:sz w:val="5"/>
          <w:szCs w:val="5"/>
        </w:rPr>
      </w:pPr>
    </w:p>
    <w:tbl>
      <w:tblPr>
        <w:tblW w:w="0" w:type="auto"/>
        <w:jc w:val="left"/>
        <w:tblInd w:w="595" w:type="dxa"/>
        <w:tblLayout w:type="fixed"/>
        <w:tblCellMar>
          <w:top w:w="0" w:type="dxa"/>
          <w:left w:w="0" w:type="dxa"/>
          <w:bottom w:w="0" w:type="dxa"/>
          <w:right w:w="0" w:type="dxa"/>
        </w:tblCellMar>
        <w:tblLook w:val="01E0"/>
      </w:tblPr>
      <w:tblGrid>
        <w:gridCol w:w="2530"/>
        <w:gridCol w:w="1262"/>
        <w:gridCol w:w="323"/>
        <w:gridCol w:w="1362"/>
        <w:gridCol w:w="1577"/>
        <w:gridCol w:w="1529"/>
      </w:tblGrid>
      <w:tr>
        <w:trPr>
          <w:trHeight w:val="349" w:hRule="exact"/>
        </w:trPr>
        <w:tc>
          <w:tcPr>
            <w:tcW w:w="2530"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180" w:lineRule="exact"/>
              <w:ind w:right="57"/>
              <w:jc w:val="right"/>
              <w:rPr>
                <w:rFonts w:ascii="黑体" w:hAnsi="黑体" w:cs="黑体" w:eastAsia="黑体" w:hint="default"/>
                <w:sz w:val="18"/>
                <w:szCs w:val="18"/>
              </w:rPr>
            </w:pPr>
            <w:r>
              <w:rPr>
                <w:rFonts w:ascii="黑体" w:hAnsi="黑体" w:cs="黑体" w:eastAsia="黑体" w:hint="default"/>
                <w:sz w:val="18"/>
                <w:szCs w:val="18"/>
              </w:rPr>
              <w:t>年初数</w:t>
            </w:r>
          </w:p>
        </w:tc>
        <w:tc>
          <w:tcPr>
            <w:tcW w:w="323" w:type="dxa"/>
            <w:tcBorders>
              <w:top w:val="nil" w:sz="6" w:space="0" w:color="auto"/>
              <w:left w:val="nil" w:sz="6" w:space="0" w:color="auto"/>
              <w:bottom w:val="nil" w:sz="6" w:space="0" w:color="auto"/>
              <w:right w:val="nil" w:sz="6" w:space="0" w:color="auto"/>
            </w:tcBorders>
          </w:tcPr>
          <w:p>
            <w:pPr/>
          </w:p>
        </w:tc>
        <w:tc>
          <w:tcPr>
            <w:tcW w:w="1362" w:type="dxa"/>
            <w:tcBorders>
              <w:top w:val="nil" w:sz="6" w:space="0" w:color="auto"/>
              <w:left w:val="nil" w:sz="6" w:space="0" w:color="auto"/>
              <w:bottom w:val="nil" w:sz="6" w:space="0" w:color="auto"/>
              <w:right w:val="nil" w:sz="6" w:space="0" w:color="auto"/>
            </w:tcBorders>
          </w:tcPr>
          <w:p>
            <w:pPr>
              <w:pStyle w:val="TableParagraph"/>
              <w:spacing w:line="180" w:lineRule="exact"/>
              <w:ind w:right="192"/>
              <w:jc w:val="right"/>
              <w:rPr>
                <w:rFonts w:ascii="黑体" w:hAnsi="黑体" w:cs="黑体" w:eastAsia="黑体" w:hint="default"/>
                <w:sz w:val="18"/>
                <w:szCs w:val="18"/>
              </w:rPr>
            </w:pPr>
            <w:r>
              <w:rPr>
                <w:rFonts w:ascii="黑体" w:hAnsi="黑体" w:cs="黑体" w:eastAsia="黑体" w:hint="default"/>
                <w:sz w:val="18"/>
                <w:szCs w:val="18"/>
              </w:rPr>
              <w:t>本年增加</w:t>
            </w:r>
          </w:p>
        </w:tc>
        <w:tc>
          <w:tcPr>
            <w:tcW w:w="1577" w:type="dxa"/>
            <w:tcBorders>
              <w:top w:val="nil" w:sz="6" w:space="0" w:color="auto"/>
              <w:left w:val="nil" w:sz="6" w:space="0" w:color="auto"/>
              <w:bottom w:val="nil" w:sz="6" w:space="0" w:color="auto"/>
              <w:right w:val="nil" w:sz="6" w:space="0" w:color="auto"/>
            </w:tcBorders>
          </w:tcPr>
          <w:p>
            <w:pPr>
              <w:pStyle w:val="TableParagraph"/>
              <w:spacing w:line="180" w:lineRule="exact"/>
              <w:ind w:right="262"/>
              <w:jc w:val="right"/>
              <w:rPr>
                <w:rFonts w:ascii="黑体" w:hAnsi="黑体" w:cs="黑体" w:eastAsia="黑体" w:hint="default"/>
                <w:sz w:val="18"/>
                <w:szCs w:val="18"/>
              </w:rPr>
            </w:pPr>
            <w:r>
              <w:rPr>
                <w:rFonts w:ascii="黑体" w:hAnsi="黑体" w:cs="黑体" w:eastAsia="黑体" w:hint="default"/>
                <w:sz w:val="18"/>
                <w:szCs w:val="18"/>
              </w:rPr>
              <w:t>本年减少</w:t>
            </w:r>
          </w:p>
        </w:tc>
        <w:tc>
          <w:tcPr>
            <w:tcW w:w="1529" w:type="dxa"/>
            <w:tcBorders>
              <w:top w:val="nil" w:sz="6" w:space="0" w:color="auto"/>
              <w:left w:val="nil" w:sz="6" w:space="0" w:color="auto"/>
              <w:bottom w:val="nil" w:sz="6" w:space="0" w:color="auto"/>
              <w:right w:val="nil" w:sz="6" w:space="0" w:color="auto"/>
            </w:tcBorders>
          </w:tcPr>
          <w:p>
            <w:pPr>
              <w:pStyle w:val="TableParagraph"/>
              <w:spacing w:line="180" w:lineRule="exact"/>
              <w:ind w:right="255"/>
              <w:jc w:val="right"/>
              <w:rPr>
                <w:rFonts w:ascii="黑体" w:hAnsi="黑体" w:cs="黑体" w:eastAsia="黑体" w:hint="default"/>
                <w:sz w:val="18"/>
                <w:szCs w:val="18"/>
              </w:rPr>
            </w:pPr>
            <w:r>
              <w:rPr>
                <w:rFonts w:ascii="黑体" w:hAnsi="黑体" w:cs="黑体" w:eastAsia="黑体" w:hint="default"/>
                <w:sz w:val="18"/>
                <w:szCs w:val="18"/>
              </w:rPr>
              <w:t>年末数</w:t>
            </w:r>
          </w:p>
        </w:tc>
      </w:tr>
      <w:tr>
        <w:trPr>
          <w:trHeight w:val="394" w:hRule="exact"/>
        </w:trPr>
        <w:tc>
          <w:tcPr>
            <w:tcW w:w="2530"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214" w:right="0"/>
              <w:jc w:val="left"/>
              <w:rPr>
                <w:rFonts w:ascii="黑体" w:hAnsi="黑体" w:cs="黑体" w:eastAsia="黑体" w:hint="default"/>
                <w:sz w:val="18"/>
                <w:szCs w:val="18"/>
              </w:rPr>
            </w:pPr>
            <w:r>
              <w:rPr>
                <w:rFonts w:ascii="黑体" w:hAnsi="黑体" w:cs="黑体" w:eastAsia="黑体" w:hint="default"/>
                <w:sz w:val="18"/>
                <w:szCs w:val="18"/>
              </w:rPr>
              <w:t>股本溢价（注</w:t>
            </w:r>
            <w:r>
              <w:rPr>
                <w:rFonts w:ascii="Arial" w:hAnsi="Arial" w:cs="Arial" w:eastAsia="Arial" w:hint="default"/>
                <w:sz w:val="18"/>
                <w:szCs w:val="18"/>
              </w:rPr>
              <w:t>1</w:t>
            </w:r>
            <w:r>
              <w:rPr>
                <w:rFonts w:ascii="黑体" w:hAnsi="黑体" w:cs="黑体" w:eastAsia="黑体" w:hint="default"/>
                <w:sz w:val="18"/>
                <w:szCs w:val="18"/>
              </w:rPr>
              <w:t>）</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
              <w:jc w:val="right"/>
              <w:rPr>
                <w:rFonts w:ascii="Arial" w:hAnsi="Arial" w:cs="Arial" w:eastAsia="Arial" w:hint="default"/>
                <w:sz w:val="18"/>
                <w:szCs w:val="18"/>
              </w:rPr>
            </w:pPr>
            <w:r>
              <w:rPr>
                <w:rFonts w:ascii="Arial"/>
                <w:spacing w:val="-1"/>
                <w:sz w:val="18"/>
              </w:rPr>
              <w:t>609,103,209</w:t>
            </w:r>
          </w:p>
        </w:tc>
        <w:tc>
          <w:tcPr>
            <w:tcW w:w="323" w:type="dxa"/>
            <w:tcBorders>
              <w:top w:val="nil" w:sz="6" w:space="0" w:color="auto"/>
              <w:left w:val="nil" w:sz="6" w:space="0" w:color="auto"/>
              <w:bottom w:val="nil" w:sz="6" w:space="0" w:color="auto"/>
              <w:right w:val="nil" w:sz="6" w:space="0" w:color="auto"/>
            </w:tcBorders>
          </w:tcPr>
          <w:p>
            <w:pP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92"/>
              <w:jc w:val="right"/>
              <w:rPr>
                <w:rFonts w:ascii="Arial" w:hAnsi="Arial" w:cs="Arial" w:eastAsia="Arial" w:hint="default"/>
                <w:sz w:val="18"/>
                <w:szCs w:val="18"/>
              </w:rPr>
            </w:pPr>
            <w:r>
              <w:rPr>
                <w:rFonts w:ascii="Arial"/>
                <w:w w:val="99"/>
                <w:sz w:val="18"/>
              </w:rPr>
              <w:t>-</w:t>
            </w:r>
            <w:r>
              <w:rPr>
                <w:rFonts w:ascii="Arial"/>
                <w:sz w:val="18"/>
              </w:rPr>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259"/>
              <w:jc w:val="right"/>
              <w:rPr>
                <w:rFonts w:ascii="Arial" w:hAnsi="Arial" w:cs="Arial" w:eastAsia="Arial" w:hint="default"/>
                <w:sz w:val="18"/>
                <w:szCs w:val="18"/>
              </w:rPr>
            </w:pPr>
            <w:r>
              <w:rPr>
                <w:rFonts w:ascii="Arial"/>
                <w:spacing w:val="-1"/>
                <w:sz w:val="18"/>
              </w:rPr>
              <w:t>(163,180,673)</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253"/>
              <w:jc w:val="right"/>
              <w:rPr>
                <w:rFonts w:ascii="Arial" w:hAnsi="Arial" w:cs="Arial" w:eastAsia="Arial" w:hint="default"/>
                <w:sz w:val="18"/>
                <w:szCs w:val="18"/>
              </w:rPr>
            </w:pPr>
            <w:r>
              <w:rPr>
                <w:rFonts w:ascii="Arial"/>
                <w:spacing w:val="-1"/>
                <w:sz w:val="18"/>
              </w:rPr>
              <w:t>445,922,536</w:t>
            </w:r>
          </w:p>
        </w:tc>
      </w:tr>
      <w:tr>
        <w:trPr>
          <w:trHeight w:val="260" w:hRule="exact"/>
        </w:trPr>
        <w:tc>
          <w:tcPr>
            <w:tcW w:w="2530" w:type="dxa"/>
            <w:tcBorders>
              <w:top w:val="nil" w:sz="6" w:space="0" w:color="auto"/>
              <w:left w:val="nil" w:sz="6" w:space="0" w:color="auto"/>
              <w:bottom w:val="nil" w:sz="6" w:space="0" w:color="auto"/>
              <w:right w:val="nil" w:sz="6" w:space="0" w:color="auto"/>
            </w:tcBorders>
          </w:tcPr>
          <w:p>
            <w:pPr>
              <w:pStyle w:val="TableParagraph"/>
              <w:spacing w:line="216" w:lineRule="exact"/>
              <w:ind w:left="214" w:right="0"/>
              <w:jc w:val="left"/>
              <w:rPr>
                <w:rFonts w:ascii="黑体" w:hAnsi="黑体" w:cs="黑体" w:eastAsia="黑体" w:hint="default"/>
                <w:sz w:val="18"/>
                <w:szCs w:val="18"/>
              </w:rPr>
            </w:pPr>
            <w:r>
              <w:rPr>
                <w:rFonts w:ascii="黑体" w:hAnsi="黑体" w:cs="黑体" w:eastAsia="黑体" w:hint="default"/>
                <w:sz w:val="18"/>
                <w:szCs w:val="18"/>
              </w:rPr>
              <w:t>新股申购冻结资金利息</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right"/>
              <w:rPr>
                <w:rFonts w:ascii="Arial" w:hAnsi="Arial" w:cs="Arial" w:eastAsia="Arial" w:hint="default"/>
                <w:sz w:val="18"/>
                <w:szCs w:val="18"/>
              </w:rPr>
            </w:pPr>
            <w:r>
              <w:rPr>
                <w:rFonts w:ascii="Arial"/>
                <w:spacing w:val="-1"/>
                <w:sz w:val="18"/>
              </w:rPr>
              <w:t>20,148,153</w:t>
            </w:r>
          </w:p>
        </w:tc>
        <w:tc>
          <w:tcPr>
            <w:tcW w:w="323" w:type="dxa"/>
            <w:tcBorders>
              <w:top w:val="nil" w:sz="6" w:space="0" w:color="auto"/>
              <w:left w:val="nil" w:sz="6" w:space="0" w:color="auto"/>
              <w:bottom w:val="nil" w:sz="6" w:space="0" w:color="auto"/>
              <w:right w:val="nil" w:sz="6" w:space="0" w:color="auto"/>
            </w:tcBorders>
          </w:tcPr>
          <w:p>
            <w:pP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2"/>
              <w:jc w:val="right"/>
              <w:rPr>
                <w:rFonts w:ascii="Arial" w:hAnsi="Arial" w:cs="Arial" w:eastAsia="Arial" w:hint="default"/>
                <w:sz w:val="18"/>
                <w:szCs w:val="18"/>
              </w:rPr>
            </w:pPr>
            <w:r>
              <w:rPr>
                <w:rFonts w:ascii="Arial"/>
                <w:w w:val="99"/>
                <w:sz w:val="18"/>
              </w:rPr>
              <w:t>-</w:t>
            </w:r>
            <w:r>
              <w:rPr>
                <w:rFonts w:ascii="Arial"/>
                <w:sz w:val="18"/>
              </w:rPr>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62"/>
              <w:jc w:val="right"/>
              <w:rPr>
                <w:rFonts w:ascii="Arial" w:hAnsi="Arial" w:cs="Arial" w:eastAsia="Arial" w:hint="default"/>
                <w:sz w:val="18"/>
                <w:szCs w:val="18"/>
              </w:rPr>
            </w:pPr>
            <w:r>
              <w:rPr>
                <w:rFonts w:ascii="Arial"/>
                <w:w w:val="99"/>
                <w:sz w:val="18"/>
              </w:rPr>
              <w:t>-</w:t>
            </w:r>
            <w:r>
              <w:rPr>
                <w:rFonts w:ascii="Arial"/>
                <w:sz w:val="18"/>
              </w:rPr>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53"/>
              <w:jc w:val="right"/>
              <w:rPr>
                <w:rFonts w:ascii="Arial" w:hAnsi="Arial" w:cs="Arial" w:eastAsia="Arial" w:hint="default"/>
                <w:sz w:val="18"/>
                <w:szCs w:val="18"/>
              </w:rPr>
            </w:pPr>
            <w:r>
              <w:rPr>
                <w:rFonts w:ascii="Arial"/>
                <w:spacing w:val="-1"/>
                <w:sz w:val="18"/>
              </w:rPr>
              <w:t>20,148,153</w:t>
            </w:r>
          </w:p>
        </w:tc>
      </w:tr>
      <w:tr>
        <w:trPr>
          <w:trHeight w:val="259" w:hRule="exact"/>
        </w:trPr>
        <w:tc>
          <w:tcPr>
            <w:tcW w:w="2530" w:type="dxa"/>
            <w:tcBorders>
              <w:top w:val="nil" w:sz="6" w:space="0" w:color="auto"/>
              <w:left w:val="nil" w:sz="6" w:space="0" w:color="auto"/>
              <w:bottom w:val="nil" w:sz="6" w:space="0" w:color="auto"/>
              <w:right w:val="nil" w:sz="6" w:space="0" w:color="auto"/>
            </w:tcBorders>
          </w:tcPr>
          <w:p>
            <w:pPr>
              <w:pStyle w:val="TableParagraph"/>
              <w:spacing w:line="215" w:lineRule="exact"/>
              <w:ind w:left="214" w:right="0"/>
              <w:jc w:val="left"/>
              <w:rPr>
                <w:rFonts w:ascii="黑体" w:hAnsi="黑体" w:cs="黑体" w:eastAsia="黑体" w:hint="default"/>
                <w:sz w:val="18"/>
                <w:szCs w:val="18"/>
              </w:rPr>
            </w:pPr>
            <w:r>
              <w:rPr>
                <w:rFonts w:ascii="黑体" w:hAnsi="黑体" w:cs="黑体" w:eastAsia="黑体" w:hint="default"/>
                <w:sz w:val="18"/>
                <w:szCs w:val="18"/>
              </w:rPr>
              <w:t>关联交易差价</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0"/>
              <w:jc w:val="right"/>
              <w:rPr>
                <w:rFonts w:ascii="Arial" w:hAnsi="Arial" w:cs="Arial" w:eastAsia="Arial" w:hint="default"/>
                <w:sz w:val="18"/>
                <w:szCs w:val="18"/>
              </w:rPr>
            </w:pPr>
            <w:r>
              <w:rPr>
                <w:rFonts w:ascii="Arial"/>
                <w:spacing w:val="-1"/>
                <w:sz w:val="18"/>
              </w:rPr>
              <w:t>17,969,348</w:t>
            </w:r>
          </w:p>
        </w:tc>
        <w:tc>
          <w:tcPr>
            <w:tcW w:w="323" w:type="dxa"/>
            <w:tcBorders>
              <w:top w:val="nil" w:sz="6" w:space="0" w:color="auto"/>
              <w:left w:val="nil" w:sz="6" w:space="0" w:color="auto"/>
              <w:bottom w:val="nil" w:sz="6" w:space="0" w:color="auto"/>
              <w:right w:val="nil" w:sz="6" w:space="0" w:color="auto"/>
            </w:tcBorders>
          </w:tcPr>
          <w:p>
            <w:pP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92"/>
              <w:jc w:val="right"/>
              <w:rPr>
                <w:rFonts w:ascii="Arial" w:hAnsi="Arial" w:cs="Arial" w:eastAsia="Arial" w:hint="default"/>
                <w:sz w:val="18"/>
                <w:szCs w:val="18"/>
              </w:rPr>
            </w:pPr>
            <w:r>
              <w:rPr>
                <w:rFonts w:ascii="Arial"/>
                <w:w w:val="99"/>
                <w:sz w:val="18"/>
              </w:rPr>
              <w:t>-</w:t>
            </w:r>
            <w:r>
              <w:rPr>
                <w:rFonts w:ascii="Arial"/>
                <w:sz w:val="18"/>
              </w:rPr>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62"/>
              <w:jc w:val="right"/>
              <w:rPr>
                <w:rFonts w:ascii="Arial" w:hAnsi="Arial" w:cs="Arial" w:eastAsia="Arial" w:hint="default"/>
                <w:sz w:val="18"/>
                <w:szCs w:val="18"/>
              </w:rPr>
            </w:pPr>
            <w:r>
              <w:rPr>
                <w:rFonts w:ascii="Arial"/>
                <w:w w:val="99"/>
                <w:sz w:val="18"/>
              </w:rPr>
              <w:t>-</w:t>
            </w:r>
            <w:r>
              <w:rPr>
                <w:rFonts w:ascii="Arial"/>
                <w:sz w:val="18"/>
              </w:rPr>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53"/>
              <w:jc w:val="right"/>
              <w:rPr>
                <w:rFonts w:ascii="Arial" w:hAnsi="Arial" w:cs="Arial" w:eastAsia="Arial" w:hint="default"/>
                <w:sz w:val="18"/>
                <w:szCs w:val="18"/>
              </w:rPr>
            </w:pPr>
            <w:r>
              <w:rPr>
                <w:rFonts w:ascii="Arial"/>
                <w:spacing w:val="-1"/>
                <w:sz w:val="18"/>
              </w:rPr>
              <w:t>17,969,348</w:t>
            </w:r>
          </w:p>
        </w:tc>
      </w:tr>
      <w:tr>
        <w:trPr>
          <w:trHeight w:val="260" w:hRule="exact"/>
        </w:trPr>
        <w:tc>
          <w:tcPr>
            <w:tcW w:w="2530" w:type="dxa"/>
            <w:tcBorders>
              <w:top w:val="nil" w:sz="6" w:space="0" w:color="auto"/>
              <w:left w:val="nil" w:sz="6" w:space="0" w:color="auto"/>
              <w:bottom w:val="nil" w:sz="6" w:space="0" w:color="auto"/>
              <w:right w:val="nil" w:sz="6" w:space="0" w:color="auto"/>
            </w:tcBorders>
          </w:tcPr>
          <w:p>
            <w:pPr>
              <w:pStyle w:val="TableParagraph"/>
              <w:spacing w:line="215" w:lineRule="exact"/>
              <w:ind w:left="214" w:right="0"/>
              <w:jc w:val="left"/>
              <w:rPr>
                <w:rFonts w:ascii="黑体" w:hAnsi="黑体" w:cs="黑体" w:eastAsia="黑体" w:hint="default"/>
                <w:sz w:val="18"/>
                <w:szCs w:val="18"/>
              </w:rPr>
            </w:pPr>
            <w:r>
              <w:rPr>
                <w:rFonts w:ascii="黑体" w:hAnsi="黑体" w:cs="黑体" w:eastAsia="黑体" w:hint="default"/>
                <w:sz w:val="18"/>
                <w:szCs w:val="18"/>
              </w:rPr>
              <w:t>股权激励成本</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0"/>
              <w:jc w:val="right"/>
              <w:rPr>
                <w:rFonts w:ascii="Arial" w:hAnsi="Arial" w:cs="Arial" w:eastAsia="Arial" w:hint="default"/>
                <w:sz w:val="18"/>
                <w:szCs w:val="18"/>
              </w:rPr>
            </w:pPr>
            <w:r>
              <w:rPr>
                <w:rFonts w:ascii="Arial"/>
                <w:spacing w:val="-1"/>
                <w:sz w:val="18"/>
              </w:rPr>
              <w:t>94,859,610</w:t>
            </w:r>
          </w:p>
        </w:tc>
        <w:tc>
          <w:tcPr>
            <w:tcW w:w="323" w:type="dxa"/>
            <w:tcBorders>
              <w:top w:val="nil" w:sz="6" w:space="0" w:color="auto"/>
              <w:left w:val="nil" w:sz="6" w:space="0" w:color="auto"/>
              <w:bottom w:val="nil" w:sz="6" w:space="0" w:color="auto"/>
              <w:right w:val="nil" w:sz="6" w:space="0" w:color="auto"/>
            </w:tcBorders>
          </w:tcPr>
          <w:p>
            <w:pP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92"/>
              <w:jc w:val="right"/>
              <w:rPr>
                <w:rFonts w:ascii="Arial" w:hAnsi="Arial" w:cs="Arial" w:eastAsia="Arial" w:hint="default"/>
                <w:sz w:val="18"/>
                <w:szCs w:val="18"/>
              </w:rPr>
            </w:pPr>
            <w:r>
              <w:rPr>
                <w:rFonts w:ascii="Arial"/>
                <w:w w:val="99"/>
                <w:sz w:val="18"/>
              </w:rPr>
              <w:t>-</w:t>
            </w:r>
            <w:r>
              <w:rPr>
                <w:rFonts w:ascii="Arial"/>
                <w:sz w:val="18"/>
              </w:rPr>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59"/>
              <w:jc w:val="right"/>
              <w:rPr>
                <w:rFonts w:ascii="Arial" w:hAnsi="Arial" w:cs="Arial" w:eastAsia="Arial" w:hint="default"/>
                <w:sz w:val="18"/>
                <w:szCs w:val="18"/>
              </w:rPr>
            </w:pPr>
            <w:r>
              <w:rPr>
                <w:rFonts w:ascii="Arial"/>
                <w:sz w:val="18"/>
              </w:rPr>
              <w:t>(  </w:t>
            </w:r>
            <w:r>
              <w:rPr>
                <w:rFonts w:ascii="Arial"/>
                <w:spacing w:val="15"/>
                <w:sz w:val="18"/>
              </w:rPr>
              <w:t> </w:t>
            </w:r>
            <w:r>
              <w:rPr>
                <w:rFonts w:ascii="Arial"/>
                <w:sz w:val="18"/>
              </w:rPr>
              <w:t>8,877,629)</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53"/>
              <w:jc w:val="right"/>
              <w:rPr>
                <w:rFonts w:ascii="Arial" w:hAnsi="Arial" w:cs="Arial" w:eastAsia="Arial" w:hint="default"/>
                <w:sz w:val="18"/>
                <w:szCs w:val="18"/>
              </w:rPr>
            </w:pPr>
            <w:r>
              <w:rPr>
                <w:rFonts w:ascii="Arial"/>
                <w:spacing w:val="-1"/>
                <w:sz w:val="18"/>
              </w:rPr>
              <w:t>85,981,981</w:t>
            </w:r>
          </w:p>
        </w:tc>
      </w:tr>
      <w:tr>
        <w:trPr>
          <w:trHeight w:val="260" w:hRule="exact"/>
        </w:trPr>
        <w:tc>
          <w:tcPr>
            <w:tcW w:w="2530" w:type="dxa"/>
            <w:tcBorders>
              <w:top w:val="nil" w:sz="6" w:space="0" w:color="auto"/>
              <w:left w:val="nil" w:sz="6" w:space="0" w:color="auto"/>
              <w:bottom w:val="nil" w:sz="6" w:space="0" w:color="auto"/>
              <w:right w:val="nil" w:sz="6" w:space="0" w:color="auto"/>
            </w:tcBorders>
          </w:tcPr>
          <w:p>
            <w:pPr>
              <w:pStyle w:val="TableParagraph"/>
              <w:spacing w:line="229" w:lineRule="exact"/>
              <w:ind w:left="200" w:right="0"/>
              <w:jc w:val="left"/>
              <w:rPr>
                <w:rFonts w:ascii="黑体" w:hAnsi="黑体" w:cs="黑体" w:eastAsia="黑体" w:hint="default"/>
                <w:sz w:val="18"/>
                <w:szCs w:val="18"/>
              </w:rPr>
            </w:pPr>
            <w:r>
              <w:rPr>
                <w:rFonts w:ascii="黑体" w:hAnsi="黑体" w:cs="黑体" w:eastAsia="黑体" w:hint="default"/>
                <w:sz w:val="18"/>
                <w:szCs w:val="18"/>
              </w:rPr>
              <w:t>受让少数股东股权（注</w:t>
            </w:r>
            <w:r>
              <w:rPr>
                <w:rFonts w:ascii="Arial" w:hAnsi="Arial" w:cs="Arial" w:eastAsia="Arial" w:hint="default"/>
                <w:sz w:val="18"/>
                <w:szCs w:val="18"/>
              </w:rPr>
              <w:t>2</w:t>
            </w:r>
            <w:r>
              <w:rPr>
                <w:rFonts w:ascii="黑体" w:hAnsi="黑体" w:cs="黑体" w:eastAsia="黑体" w:hint="default"/>
                <w:sz w:val="18"/>
                <w:szCs w:val="18"/>
              </w:rPr>
              <w:t>）</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
              <w:jc w:val="right"/>
              <w:rPr>
                <w:rFonts w:ascii="Arial" w:hAnsi="Arial" w:cs="Arial" w:eastAsia="Arial" w:hint="default"/>
                <w:sz w:val="18"/>
                <w:szCs w:val="18"/>
              </w:rPr>
            </w:pPr>
            <w:r>
              <w:rPr>
                <w:rFonts w:ascii="Arial"/>
                <w:sz w:val="18"/>
              </w:rPr>
              <w:t>(</w:t>
            </w:r>
            <w:r>
              <w:rPr>
                <w:rFonts w:ascii="Arial"/>
                <w:spacing w:val="-5"/>
                <w:sz w:val="18"/>
              </w:rPr>
              <w:t> </w:t>
            </w:r>
            <w:r>
              <w:rPr>
                <w:rFonts w:ascii="Arial"/>
                <w:sz w:val="18"/>
              </w:rPr>
              <w:t>23,362,169</w:t>
            </w:r>
          </w:p>
        </w:tc>
        <w:tc>
          <w:tcPr>
            <w:tcW w:w="32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 w:right="0"/>
              <w:jc w:val="left"/>
              <w:rPr>
                <w:rFonts w:ascii="Arial" w:hAnsi="Arial" w:cs="Arial" w:eastAsia="Arial" w:hint="default"/>
                <w:sz w:val="18"/>
                <w:szCs w:val="18"/>
              </w:rPr>
            </w:pPr>
            <w:r>
              <w:rPr>
                <w:rFonts w:ascii="Arial"/>
                <w:w w:val="99"/>
                <w:sz w:val="18"/>
              </w:rPr>
              <w:t>)</w:t>
            </w:r>
            <w:r>
              <w:rPr>
                <w:rFonts w:ascii="Arial"/>
                <w:sz w:val="18"/>
              </w:rPr>
            </w: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0"/>
              <w:jc w:val="right"/>
              <w:rPr>
                <w:rFonts w:ascii="Arial" w:hAnsi="Arial" w:cs="Arial" w:eastAsia="Arial" w:hint="default"/>
                <w:sz w:val="18"/>
                <w:szCs w:val="18"/>
              </w:rPr>
            </w:pPr>
            <w:r>
              <w:rPr>
                <w:rFonts w:ascii="Arial"/>
                <w:spacing w:val="-1"/>
                <w:sz w:val="18"/>
              </w:rPr>
              <w:t>12,258,633</w:t>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62"/>
              <w:jc w:val="right"/>
              <w:rPr>
                <w:rFonts w:ascii="Arial" w:hAnsi="Arial" w:cs="Arial" w:eastAsia="Arial" w:hint="default"/>
                <w:sz w:val="18"/>
                <w:szCs w:val="18"/>
              </w:rPr>
            </w:pPr>
            <w:r>
              <w:rPr>
                <w:rFonts w:ascii="Arial"/>
                <w:w w:val="99"/>
                <w:sz w:val="18"/>
              </w:rPr>
              <w:t>-</w:t>
            </w:r>
            <w:r>
              <w:rPr>
                <w:rFonts w:ascii="Arial"/>
                <w:sz w:val="18"/>
              </w:rPr>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8"/>
              <w:jc w:val="right"/>
              <w:rPr>
                <w:rFonts w:ascii="Arial" w:hAnsi="Arial" w:cs="Arial" w:eastAsia="Arial" w:hint="default"/>
                <w:sz w:val="18"/>
                <w:szCs w:val="18"/>
              </w:rPr>
            </w:pPr>
            <w:r>
              <w:rPr>
                <w:rFonts w:ascii="Arial"/>
                <w:sz w:val="18"/>
              </w:rPr>
              <w:t>(</w:t>
            </w:r>
            <w:r>
              <w:rPr>
                <w:rFonts w:ascii="Arial"/>
                <w:spacing w:val="-10"/>
                <w:sz w:val="18"/>
              </w:rPr>
              <w:t> </w:t>
            </w:r>
            <w:r>
              <w:rPr>
                <w:rFonts w:ascii="Arial"/>
                <w:sz w:val="18"/>
              </w:rPr>
              <w:t>11,103,536)</w:t>
            </w:r>
          </w:p>
        </w:tc>
      </w:tr>
      <w:tr>
        <w:trPr>
          <w:trHeight w:val="394" w:hRule="exact"/>
        </w:trPr>
        <w:tc>
          <w:tcPr>
            <w:tcW w:w="2530"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黑体" w:hAnsi="黑体" w:cs="黑体" w:eastAsia="黑体" w:hint="default"/>
                <w:sz w:val="18"/>
                <w:szCs w:val="18"/>
              </w:rPr>
            </w:pPr>
            <w:r>
              <w:rPr>
                <w:rFonts w:ascii="黑体" w:hAnsi="黑体" w:cs="黑体" w:eastAsia="黑体" w:hint="default"/>
                <w:sz w:val="18"/>
                <w:szCs w:val="18"/>
              </w:rPr>
              <w:t>其他</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9"/>
                <w:sz w:val="18"/>
                <w:u w:val="single" w:color="000000"/>
              </w:rPr>
              <w:t> </w:t>
            </w:r>
            <w:r>
              <w:rPr>
                <w:rFonts w:ascii="Arial"/>
                <w:spacing w:val="-1"/>
                <w:sz w:val="18"/>
                <w:u w:val="single" w:color="000000"/>
              </w:rPr>
              <w:t>20,630,550</w:t>
            </w:r>
            <w:r>
              <w:rPr>
                <w:rFonts w:ascii="Arial"/>
                <w:spacing w:val="-1"/>
                <w:sz w:val="18"/>
              </w:rPr>
            </w:r>
          </w:p>
        </w:tc>
        <w:tc>
          <w:tcPr>
            <w:tcW w:w="323" w:type="dxa"/>
            <w:tcBorders>
              <w:top w:val="nil" w:sz="6" w:space="0" w:color="auto"/>
              <w:left w:val="nil" w:sz="6" w:space="0" w:color="auto"/>
              <w:bottom w:val="nil" w:sz="6" w:space="0" w:color="auto"/>
              <w:right w:val="nil" w:sz="6" w:space="0" w:color="auto"/>
            </w:tcBorders>
          </w:tcPr>
          <w:p>
            <w:pPr/>
          </w:p>
        </w:tc>
        <w:tc>
          <w:tcPr>
            <w:tcW w:w="1362" w:type="dxa"/>
            <w:tcBorders>
              <w:top w:val="nil" w:sz="6" w:space="0" w:color="auto"/>
              <w:left w:val="nil" w:sz="6" w:space="0" w:color="auto"/>
              <w:bottom w:val="nil" w:sz="6" w:space="0" w:color="auto"/>
              <w:right w:val="nil" w:sz="6" w:space="0" w:color="auto"/>
            </w:tcBorders>
          </w:tcPr>
          <w:p>
            <w:pPr>
              <w:pStyle w:val="TableParagraph"/>
              <w:tabs>
                <w:tab w:pos="813" w:val="left" w:leader="none"/>
              </w:tabs>
              <w:spacing w:line="240" w:lineRule="auto" w:before="21"/>
              <w:ind w:right="18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577" w:type="dxa"/>
            <w:tcBorders>
              <w:top w:val="nil" w:sz="6" w:space="0" w:color="auto"/>
              <w:left w:val="nil" w:sz="6" w:space="0" w:color="auto"/>
              <w:bottom w:val="nil" w:sz="6" w:space="0" w:color="auto"/>
              <w:right w:val="nil" w:sz="6" w:space="0" w:color="auto"/>
            </w:tcBorders>
          </w:tcPr>
          <w:p>
            <w:pPr>
              <w:pStyle w:val="TableParagraph"/>
              <w:tabs>
                <w:tab w:pos="1012" w:val="left" w:leader="none"/>
              </w:tabs>
              <w:spacing w:line="240" w:lineRule="auto" w:before="21"/>
              <w:ind w:right="26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5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9"/>
                <w:sz w:val="18"/>
                <w:u w:val="single" w:color="000000"/>
              </w:rPr>
              <w:t> </w:t>
            </w:r>
            <w:r>
              <w:rPr>
                <w:rFonts w:ascii="Arial"/>
                <w:spacing w:val="-1"/>
                <w:sz w:val="18"/>
                <w:u w:val="single" w:color="000000"/>
              </w:rPr>
              <w:t>20,630,550</w:t>
            </w:r>
            <w:r>
              <w:rPr>
                <w:rFonts w:ascii="Arial"/>
                <w:spacing w:val="-1"/>
                <w:sz w:val="18"/>
              </w:rPr>
            </w:r>
          </w:p>
        </w:tc>
      </w:tr>
      <w:tr>
        <w:trPr>
          <w:trHeight w:val="350" w:hRule="exact"/>
        </w:trPr>
        <w:tc>
          <w:tcPr>
            <w:tcW w:w="2530"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
              <w:jc w:val="right"/>
              <w:rPr>
                <w:rFonts w:ascii="Arial" w:hAnsi="Arial" w:cs="Arial" w:eastAsia="Arial" w:hint="default"/>
                <w:sz w:val="18"/>
                <w:szCs w:val="18"/>
              </w:rPr>
            </w:pPr>
            <w:r>
              <w:rPr>
                <w:rFonts w:ascii="Arial"/>
                <w:w w:val="99"/>
                <w:sz w:val="18"/>
              </w:rPr>
            </w:r>
            <w:r>
              <w:rPr>
                <w:rFonts w:ascii="Arial"/>
                <w:spacing w:val="-1"/>
                <w:sz w:val="18"/>
                <w:u w:val="thick" w:color="000000"/>
              </w:rPr>
              <w:t>739,348,701</w:t>
            </w:r>
            <w:r>
              <w:rPr>
                <w:rFonts w:ascii="Arial"/>
                <w:spacing w:val="-1"/>
                <w:sz w:val="18"/>
              </w:rPr>
            </w:r>
          </w:p>
        </w:tc>
        <w:tc>
          <w:tcPr>
            <w:tcW w:w="323" w:type="dxa"/>
            <w:tcBorders>
              <w:top w:val="nil" w:sz="6" w:space="0" w:color="auto"/>
              <w:left w:val="nil" w:sz="6" w:space="0" w:color="auto"/>
              <w:bottom w:val="nil" w:sz="6" w:space="0" w:color="auto"/>
              <w:right w:val="nil" w:sz="6" w:space="0" w:color="auto"/>
            </w:tcBorders>
          </w:tcPr>
          <w:p>
            <w:pPr/>
          </w:p>
        </w:tc>
        <w:tc>
          <w:tcPr>
            <w:tcW w:w="1362"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90"/>
              <w:jc w:val="right"/>
              <w:rPr>
                <w:rFonts w:ascii="Arial" w:hAnsi="Arial" w:cs="Arial" w:eastAsia="Arial" w:hint="default"/>
                <w:sz w:val="18"/>
                <w:szCs w:val="18"/>
              </w:rPr>
            </w:pPr>
            <w:r>
              <w:rPr>
                <w:rFonts w:ascii="Arial"/>
                <w:w w:val="99"/>
                <w:sz w:val="18"/>
              </w:rPr>
            </w:r>
            <w:r>
              <w:rPr>
                <w:rFonts w:ascii="Arial"/>
                <w:spacing w:val="-1"/>
                <w:sz w:val="18"/>
                <w:u w:val="thick" w:color="000000"/>
              </w:rPr>
              <w:t>12,258,633</w:t>
            </w:r>
            <w:r>
              <w:rPr>
                <w:rFonts w:ascii="Arial"/>
                <w:spacing w:val="-1"/>
                <w:sz w:val="18"/>
              </w:rPr>
            </w:r>
          </w:p>
        </w:tc>
        <w:tc>
          <w:tcPr>
            <w:tcW w:w="1577"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260"/>
              <w:jc w:val="right"/>
              <w:rPr>
                <w:rFonts w:ascii="Arial" w:hAnsi="Arial" w:cs="Arial" w:eastAsia="Arial" w:hint="default"/>
                <w:sz w:val="18"/>
                <w:szCs w:val="18"/>
              </w:rPr>
            </w:pPr>
            <w:r>
              <w:rPr>
                <w:rFonts w:ascii="Arial"/>
                <w:spacing w:val="-1"/>
                <w:sz w:val="18"/>
              </w:rPr>
              <w:t>(</w:t>
            </w:r>
            <w:r>
              <w:rPr>
                <w:rFonts w:ascii="Arial"/>
                <w:spacing w:val="-1"/>
                <w:sz w:val="18"/>
                <w:u w:val="thick" w:color="000000"/>
              </w:rPr>
              <w:t>172,058,302</w:t>
            </w:r>
            <w:r>
              <w:rPr>
                <w:rFonts w:ascii="Arial"/>
                <w:spacing w:val="-1"/>
                <w:sz w:val="18"/>
              </w:rPr>
              <w:t>)</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253"/>
              <w:jc w:val="right"/>
              <w:rPr>
                <w:rFonts w:ascii="Arial" w:hAnsi="Arial" w:cs="Arial" w:eastAsia="Arial" w:hint="default"/>
                <w:sz w:val="18"/>
                <w:szCs w:val="18"/>
              </w:rPr>
            </w:pPr>
            <w:r>
              <w:rPr>
                <w:rFonts w:ascii="Arial"/>
                <w:w w:val="99"/>
                <w:sz w:val="18"/>
              </w:rPr>
            </w:r>
            <w:r>
              <w:rPr>
                <w:rFonts w:ascii="Arial"/>
                <w:spacing w:val="-1"/>
                <w:sz w:val="18"/>
                <w:u w:val="thick" w:color="000000"/>
              </w:rPr>
              <w:t>579,549,032</w:t>
            </w:r>
            <w:r>
              <w:rPr>
                <w:rFonts w:ascii="Arial"/>
                <w:spacing w:val="-1"/>
                <w:sz w:val="18"/>
              </w:rPr>
            </w:r>
          </w:p>
        </w:tc>
      </w:tr>
    </w:tbl>
    <w:p>
      <w:pPr>
        <w:spacing w:line="240" w:lineRule="auto" w:before="1"/>
        <w:rPr>
          <w:rFonts w:ascii="黑体" w:hAnsi="黑体" w:cs="黑体" w:eastAsia="黑体" w:hint="default"/>
          <w:sz w:val="16"/>
          <w:szCs w:val="16"/>
        </w:rPr>
      </w:pPr>
    </w:p>
    <w:p>
      <w:pPr>
        <w:pStyle w:val="BodyText"/>
        <w:spacing w:line="240" w:lineRule="auto" w:before="37"/>
        <w:ind w:right="0"/>
        <w:jc w:val="left"/>
      </w:pPr>
      <w:r>
        <w:rPr>
          <w:rFonts w:ascii="Arial" w:hAnsi="Arial" w:cs="Arial" w:eastAsia="Arial" w:hint="default"/>
        </w:rPr>
        <w:t>2011</w:t>
      </w:r>
      <w:r>
        <w:rPr/>
        <w:t>年</w:t>
      </w:r>
    </w:p>
    <w:p>
      <w:pPr>
        <w:spacing w:line="240" w:lineRule="auto" w:before="12"/>
        <w:rPr>
          <w:rFonts w:ascii="黑体" w:hAnsi="黑体" w:cs="黑体" w:eastAsia="黑体" w:hint="default"/>
          <w:sz w:val="24"/>
          <w:szCs w:val="24"/>
        </w:rPr>
      </w:pPr>
    </w:p>
    <w:tbl>
      <w:tblPr>
        <w:tblW w:w="0" w:type="auto"/>
        <w:jc w:val="left"/>
        <w:tblInd w:w="595" w:type="dxa"/>
        <w:tblLayout w:type="fixed"/>
        <w:tblCellMar>
          <w:top w:w="0" w:type="dxa"/>
          <w:left w:w="0" w:type="dxa"/>
          <w:bottom w:w="0" w:type="dxa"/>
          <w:right w:w="0" w:type="dxa"/>
        </w:tblCellMar>
        <w:tblLook w:val="01E0"/>
      </w:tblPr>
      <w:tblGrid>
        <w:gridCol w:w="2383"/>
        <w:gridCol w:w="1381"/>
        <w:gridCol w:w="341"/>
        <w:gridCol w:w="1485"/>
        <w:gridCol w:w="1465"/>
        <w:gridCol w:w="1515"/>
      </w:tblGrid>
      <w:tr>
        <w:trPr>
          <w:trHeight w:val="350" w:hRule="exact"/>
        </w:trPr>
        <w:tc>
          <w:tcPr>
            <w:tcW w:w="2383"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Style w:val="TableParagraph"/>
              <w:spacing w:line="180" w:lineRule="exact"/>
              <w:ind w:right="57"/>
              <w:jc w:val="right"/>
              <w:rPr>
                <w:rFonts w:ascii="黑体" w:hAnsi="黑体" w:cs="黑体" w:eastAsia="黑体" w:hint="default"/>
                <w:sz w:val="18"/>
                <w:szCs w:val="18"/>
              </w:rPr>
            </w:pPr>
            <w:r>
              <w:rPr>
                <w:rFonts w:ascii="黑体" w:hAnsi="黑体" w:cs="黑体" w:eastAsia="黑体" w:hint="default"/>
                <w:sz w:val="18"/>
                <w:szCs w:val="18"/>
              </w:rPr>
              <w:t>年初数</w:t>
            </w:r>
          </w:p>
        </w:tc>
        <w:tc>
          <w:tcPr>
            <w:tcW w:w="341"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Style w:val="TableParagraph"/>
              <w:spacing w:line="180" w:lineRule="exact"/>
              <w:ind w:right="294"/>
              <w:jc w:val="right"/>
              <w:rPr>
                <w:rFonts w:ascii="黑体" w:hAnsi="黑体" w:cs="黑体" w:eastAsia="黑体" w:hint="default"/>
                <w:sz w:val="18"/>
                <w:szCs w:val="18"/>
              </w:rPr>
            </w:pPr>
            <w:r>
              <w:rPr>
                <w:rFonts w:ascii="黑体" w:hAnsi="黑体" w:cs="黑体" w:eastAsia="黑体" w:hint="default"/>
                <w:sz w:val="18"/>
                <w:szCs w:val="18"/>
              </w:rPr>
              <w:t>本年增加</w:t>
            </w:r>
          </w:p>
        </w:tc>
        <w:tc>
          <w:tcPr>
            <w:tcW w:w="1465" w:type="dxa"/>
            <w:tcBorders>
              <w:top w:val="nil" w:sz="6" w:space="0" w:color="auto"/>
              <w:left w:val="nil" w:sz="6" w:space="0" w:color="auto"/>
              <w:bottom w:val="nil" w:sz="6" w:space="0" w:color="auto"/>
              <w:right w:val="nil" w:sz="6" w:space="0" w:color="auto"/>
            </w:tcBorders>
          </w:tcPr>
          <w:p>
            <w:pPr>
              <w:pStyle w:val="TableParagraph"/>
              <w:spacing w:line="180" w:lineRule="exact"/>
              <w:ind w:right="247"/>
              <w:jc w:val="right"/>
              <w:rPr>
                <w:rFonts w:ascii="黑体" w:hAnsi="黑体" w:cs="黑体" w:eastAsia="黑体" w:hint="default"/>
                <w:sz w:val="18"/>
                <w:szCs w:val="18"/>
              </w:rPr>
            </w:pPr>
            <w:r>
              <w:rPr>
                <w:rFonts w:ascii="黑体" w:hAnsi="黑体" w:cs="黑体" w:eastAsia="黑体" w:hint="default"/>
                <w:sz w:val="18"/>
                <w:szCs w:val="18"/>
              </w:rPr>
              <w:t>本年减少</w:t>
            </w:r>
          </w:p>
        </w:tc>
        <w:tc>
          <w:tcPr>
            <w:tcW w:w="1515" w:type="dxa"/>
            <w:tcBorders>
              <w:top w:val="nil" w:sz="6" w:space="0" w:color="auto"/>
              <w:left w:val="nil" w:sz="6" w:space="0" w:color="auto"/>
              <w:bottom w:val="nil" w:sz="6" w:space="0" w:color="auto"/>
              <w:right w:val="nil" w:sz="6" w:space="0" w:color="auto"/>
            </w:tcBorders>
          </w:tcPr>
          <w:p>
            <w:pPr>
              <w:pStyle w:val="TableParagraph"/>
              <w:spacing w:line="180" w:lineRule="exact"/>
              <w:ind w:left="717" w:right="0"/>
              <w:jc w:val="left"/>
              <w:rPr>
                <w:rFonts w:ascii="黑体" w:hAnsi="黑体" w:cs="黑体" w:eastAsia="黑体" w:hint="default"/>
                <w:sz w:val="18"/>
                <w:szCs w:val="18"/>
              </w:rPr>
            </w:pPr>
            <w:r>
              <w:rPr>
                <w:rFonts w:ascii="黑体" w:hAnsi="黑体" w:cs="黑体" w:eastAsia="黑体" w:hint="default"/>
                <w:sz w:val="18"/>
                <w:szCs w:val="18"/>
              </w:rPr>
              <w:t>年末数</w:t>
            </w:r>
          </w:p>
        </w:tc>
      </w:tr>
      <w:tr>
        <w:trPr>
          <w:trHeight w:val="394" w:hRule="exact"/>
        </w:trPr>
        <w:tc>
          <w:tcPr>
            <w:tcW w:w="2383"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214" w:right="0"/>
              <w:jc w:val="left"/>
              <w:rPr>
                <w:rFonts w:ascii="黑体" w:hAnsi="黑体" w:cs="黑体" w:eastAsia="黑体" w:hint="default"/>
                <w:sz w:val="18"/>
                <w:szCs w:val="18"/>
              </w:rPr>
            </w:pPr>
            <w:r>
              <w:rPr>
                <w:rFonts w:ascii="黑体" w:hAnsi="黑体" w:cs="黑体" w:eastAsia="黑体" w:hint="default"/>
                <w:sz w:val="18"/>
                <w:szCs w:val="18"/>
              </w:rPr>
              <w:t>股本溢价</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
              <w:jc w:val="right"/>
              <w:rPr>
                <w:rFonts w:ascii="Arial" w:hAnsi="Arial" w:cs="Arial" w:eastAsia="Arial" w:hint="default"/>
                <w:sz w:val="18"/>
                <w:szCs w:val="18"/>
              </w:rPr>
            </w:pPr>
            <w:r>
              <w:rPr>
                <w:rFonts w:ascii="Arial"/>
                <w:spacing w:val="-1"/>
                <w:sz w:val="18"/>
              </w:rPr>
              <w:t>609,103,209</w:t>
            </w:r>
          </w:p>
        </w:tc>
        <w:tc>
          <w:tcPr>
            <w:tcW w:w="341"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294"/>
              <w:jc w:val="right"/>
              <w:rPr>
                <w:rFonts w:ascii="Arial" w:hAnsi="Arial" w:cs="Arial" w:eastAsia="Arial" w:hint="default"/>
                <w:sz w:val="18"/>
                <w:szCs w:val="18"/>
              </w:rPr>
            </w:pPr>
            <w:r>
              <w:rPr>
                <w:rFonts w:ascii="Arial"/>
                <w:w w:val="99"/>
                <w:sz w:val="18"/>
              </w:rPr>
              <w:t>-</w:t>
            </w:r>
            <w:r>
              <w:rPr>
                <w:rFonts w:ascii="Arial"/>
                <w:sz w:val="18"/>
              </w:rPr>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249"/>
              <w:jc w:val="right"/>
              <w:rPr>
                <w:rFonts w:ascii="Arial" w:hAnsi="Arial" w:cs="Arial" w:eastAsia="Arial" w:hint="default"/>
                <w:sz w:val="18"/>
                <w:szCs w:val="18"/>
              </w:rPr>
            </w:pPr>
            <w:r>
              <w:rPr>
                <w:rFonts w:ascii="Arial"/>
                <w:w w:val="99"/>
                <w:sz w:val="18"/>
              </w:rPr>
              <w:t>-</w:t>
            </w:r>
            <w:r>
              <w:rPr>
                <w:rFonts w:ascii="Arial"/>
                <w:sz w:val="18"/>
              </w:rPr>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256" w:right="0"/>
              <w:jc w:val="left"/>
              <w:rPr>
                <w:rFonts w:ascii="Arial" w:hAnsi="Arial" w:cs="Arial" w:eastAsia="Arial" w:hint="default"/>
                <w:sz w:val="18"/>
                <w:szCs w:val="18"/>
              </w:rPr>
            </w:pPr>
            <w:r>
              <w:rPr>
                <w:rFonts w:ascii="Arial"/>
                <w:sz w:val="18"/>
              </w:rPr>
              <w:t>609,103,209</w:t>
            </w:r>
          </w:p>
        </w:tc>
      </w:tr>
      <w:tr>
        <w:trPr>
          <w:trHeight w:val="259" w:hRule="exact"/>
        </w:trPr>
        <w:tc>
          <w:tcPr>
            <w:tcW w:w="2383" w:type="dxa"/>
            <w:tcBorders>
              <w:top w:val="nil" w:sz="6" w:space="0" w:color="auto"/>
              <w:left w:val="nil" w:sz="6" w:space="0" w:color="auto"/>
              <w:bottom w:val="nil" w:sz="6" w:space="0" w:color="auto"/>
              <w:right w:val="nil" w:sz="6" w:space="0" w:color="auto"/>
            </w:tcBorders>
          </w:tcPr>
          <w:p>
            <w:pPr>
              <w:pStyle w:val="TableParagraph"/>
              <w:spacing w:line="215" w:lineRule="exact"/>
              <w:ind w:left="214" w:right="0"/>
              <w:jc w:val="left"/>
              <w:rPr>
                <w:rFonts w:ascii="黑体" w:hAnsi="黑体" w:cs="黑体" w:eastAsia="黑体" w:hint="default"/>
                <w:sz w:val="18"/>
                <w:szCs w:val="18"/>
              </w:rPr>
            </w:pPr>
            <w:r>
              <w:rPr>
                <w:rFonts w:ascii="黑体" w:hAnsi="黑体" w:cs="黑体" w:eastAsia="黑体" w:hint="default"/>
                <w:sz w:val="18"/>
                <w:szCs w:val="18"/>
              </w:rPr>
              <w:t>新股申购冻结资金利息</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0"/>
              <w:jc w:val="right"/>
              <w:rPr>
                <w:rFonts w:ascii="Arial" w:hAnsi="Arial" w:cs="Arial" w:eastAsia="Arial" w:hint="default"/>
                <w:sz w:val="18"/>
                <w:szCs w:val="18"/>
              </w:rPr>
            </w:pPr>
            <w:r>
              <w:rPr>
                <w:rFonts w:ascii="Arial"/>
                <w:spacing w:val="-1"/>
                <w:sz w:val="18"/>
              </w:rPr>
              <w:t>20,148,153</w:t>
            </w:r>
          </w:p>
        </w:tc>
        <w:tc>
          <w:tcPr>
            <w:tcW w:w="341"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94"/>
              <w:jc w:val="right"/>
              <w:rPr>
                <w:rFonts w:ascii="Arial" w:hAnsi="Arial" w:cs="Arial" w:eastAsia="Arial" w:hint="default"/>
                <w:sz w:val="18"/>
                <w:szCs w:val="18"/>
              </w:rPr>
            </w:pPr>
            <w:r>
              <w:rPr>
                <w:rFonts w:ascii="Arial"/>
                <w:w w:val="99"/>
                <w:sz w:val="18"/>
              </w:rPr>
              <w:t>-</w:t>
            </w:r>
            <w:r>
              <w:rPr>
                <w:rFonts w:ascii="Arial"/>
                <w:sz w:val="18"/>
              </w:rPr>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49"/>
              <w:jc w:val="right"/>
              <w:rPr>
                <w:rFonts w:ascii="Arial" w:hAnsi="Arial" w:cs="Arial" w:eastAsia="Arial" w:hint="default"/>
                <w:sz w:val="18"/>
                <w:szCs w:val="18"/>
              </w:rPr>
            </w:pPr>
            <w:r>
              <w:rPr>
                <w:rFonts w:ascii="Arial"/>
                <w:w w:val="99"/>
                <w:sz w:val="18"/>
              </w:rPr>
              <w:t>-</w:t>
            </w:r>
            <w:r>
              <w:rPr>
                <w:rFonts w:ascii="Arial"/>
                <w:sz w:val="18"/>
              </w:rPr>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7" w:right="0"/>
              <w:jc w:val="left"/>
              <w:rPr>
                <w:rFonts w:ascii="Arial" w:hAnsi="Arial" w:cs="Arial" w:eastAsia="Arial" w:hint="default"/>
                <w:sz w:val="18"/>
                <w:szCs w:val="18"/>
              </w:rPr>
            </w:pPr>
            <w:r>
              <w:rPr>
                <w:rFonts w:ascii="Arial"/>
                <w:sz w:val="18"/>
              </w:rPr>
              <w:t>20,148,153</w:t>
            </w:r>
          </w:p>
        </w:tc>
      </w:tr>
      <w:tr>
        <w:trPr>
          <w:trHeight w:val="260" w:hRule="exact"/>
        </w:trPr>
        <w:tc>
          <w:tcPr>
            <w:tcW w:w="2383" w:type="dxa"/>
            <w:tcBorders>
              <w:top w:val="nil" w:sz="6" w:space="0" w:color="auto"/>
              <w:left w:val="nil" w:sz="6" w:space="0" w:color="auto"/>
              <w:bottom w:val="nil" w:sz="6" w:space="0" w:color="auto"/>
              <w:right w:val="nil" w:sz="6" w:space="0" w:color="auto"/>
            </w:tcBorders>
          </w:tcPr>
          <w:p>
            <w:pPr>
              <w:pStyle w:val="TableParagraph"/>
              <w:spacing w:line="215" w:lineRule="exact"/>
              <w:ind w:left="214" w:right="0"/>
              <w:jc w:val="left"/>
              <w:rPr>
                <w:rFonts w:ascii="黑体" w:hAnsi="黑体" w:cs="黑体" w:eastAsia="黑体" w:hint="default"/>
                <w:sz w:val="18"/>
                <w:szCs w:val="18"/>
              </w:rPr>
            </w:pPr>
            <w:r>
              <w:rPr>
                <w:rFonts w:ascii="黑体" w:hAnsi="黑体" w:cs="黑体" w:eastAsia="黑体" w:hint="default"/>
                <w:sz w:val="18"/>
                <w:szCs w:val="18"/>
              </w:rPr>
              <w:t>关联交易差价</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0"/>
              <w:jc w:val="right"/>
              <w:rPr>
                <w:rFonts w:ascii="Arial" w:hAnsi="Arial" w:cs="Arial" w:eastAsia="Arial" w:hint="default"/>
                <w:sz w:val="18"/>
                <w:szCs w:val="18"/>
              </w:rPr>
            </w:pPr>
            <w:r>
              <w:rPr>
                <w:rFonts w:ascii="Arial"/>
                <w:spacing w:val="-1"/>
                <w:sz w:val="18"/>
              </w:rPr>
              <w:t>17,969,348</w:t>
            </w:r>
          </w:p>
        </w:tc>
        <w:tc>
          <w:tcPr>
            <w:tcW w:w="341"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94"/>
              <w:jc w:val="right"/>
              <w:rPr>
                <w:rFonts w:ascii="Arial" w:hAnsi="Arial" w:cs="Arial" w:eastAsia="Arial" w:hint="default"/>
                <w:sz w:val="18"/>
                <w:szCs w:val="18"/>
              </w:rPr>
            </w:pPr>
            <w:r>
              <w:rPr>
                <w:rFonts w:ascii="Arial"/>
                <w:w w:val="99"/>
                <w:sz w:val="18"/>
              </w:rPr>
              <w:t>-</w:t>
            </w:r>
            <w:r>
              <w:rPr>
                <w:rFonts w:ascii="Arial"/>
                <w:sz w:val="18"/>
              </w:rPr>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49"/>
              <w:jc w:val="right"/>
              <w:rPr>
                <w:rFonts w:ascii="Arial" w:hAnsi="Arial" w:cs="Arial" w:eastAsia="Arial" w:hint="default"/>
                <w:sz w:val="18"/>
                <w:szCs w:val="18"/>
              </w:rPr>
            </w:pPr>
            <w:r>
              <w:rPr>
                <w:rFonts w:ascii="Arial"/>
                <w:w w:val="99"/>
                <w:sz w:val="18"/>
              </w:rPr>
              <w:t>-</w:t>
            </w:r>
            <w:r>
              <w:rPr>
                <w:rFonts w:ascii="Arial"/>
                <w:sz w:val="18"/>
              </w:rPr>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7" w:right="0"/>
              <w:jc w:val="left"/>
              <w:rPr>
                <w:rFonts w:ascii="Arial" w:hAnsi="Arial" w:cs="Arial" w:eastAsia="Arial" w:hint="default"/>
                <w:sz w:val="18"/>
                <w:szCs w:val="18"/>
              </w:rPr>
            </w:pPr>
            <w:r>
              <w:rPr>
                <w:rFonts w:ascii="Arial"/>
                <w:sz w:val="18"/>
              </w:rPr>
              <w:t>17,969,348</w:t>
            </w:r>
          </w:p>
        </w:tc>
      </w:tr>
      <w:tr>
        <w:trPr>
          <w:trHeight w:val="260" w:hRule="exact"/>
        </w:trPr>
        <w:tc>
          <w:tcPr>
            <w:tcW w:w="2383" w:type="dxa"/>
            <w:tcBorders>
              <w:top w:val="nil" w:sz="6" w:space="0" w:color="auto"/>
              <w:left w:val="nil" w:sz="6" w:space="0" w:color="auto"/>
              <w:bottom w:val="nil" w:sz="6" w:space="0" w:color="auto"/>
              <w:right w:val="nil" w:sz="6" w:space="0" w:color="auto"/>
            </w:tcBorders>
          </w:tcPr>
          <w:p>
            <w:pPr>
              <w:pStyle w:val="TableParagraph"/>
              <w:spacing w:line="216" w:lineRule="exact"/>
              <w:ind w:left="214" w:right="0"/>
              <w:jc w:val="left"/>
              <w:rPr>
                <w:rFonts w:ascii="黑体" w:hAnsi="黑体" w:cs="黑体" w:eastAsia="黑体" w:hint="default"/>
                <w:sz w:val="18"/>
                <w:szCs w:val="18"/>
              </w:rPr>
            </w:pPr>
            <w:r>
              <w:rPr>
                <w:rFonts w:ascii="黑体" w:hAnsi="黑体" w:cs="黑体" w:eastAsia="黑体" w:hint="default"/>
                <w:sz w:val="18"/>
                <w:szCs w:val="18"/>
              </w:rPr>
              <w:t>股权激励成本</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0"/>
              <w:jc w:val="right"/>
              <w:rPr>
                <w:rFonts w:ascii="Arial" w:hAnsi="Arial" w:cs="Arial" w:eastAsia="Arial" w:hint="default"/>
                <w:sz w:val="18"/>
                <w:szCs w:val="18"/>
              </w:rPr>
            </w:pPr>
            <w:r>
              <w:rPr>
                <w:rFonts w:ascii="Arial"/>
                <w:spacing w:val="-1"/>
                <w:sz w:val="18"/>
              </w:rPr>
              <w:t>66,138,549</w:t>
            </w:r>
          </w:p>
        </w:tc>
        <w:tc>
          <w:tcPr>
            <w:tcW w:w="341"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92"/>
              <w:jc w:val="right"/>
              <w:rPr>
                <w:rFonts w:ascii="Arial" w:hAnsi="Arial" w:cs="Arial" w:eastAsia="Arial" w:hint="default"/>
                <w:sz w:val="18"/>
                <w:szCs w:val="18"/>
              </w:rPr>
            </w:pPr>
            <w:r>
              <w:rPr>
                <w:rFonts w:ascii="Arial"/>
                <w:spacing w:val="-1"/>
                <w:sz w:val="18"/>
              </w:rPr>
              <w:t>30,999,687</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44"/>
              <w:jc w:val="right"/>
              <w:rPr>
                <w:rFonts w:ascii="Arial" w:hAnsi="Arial" w:cs="Arial" w:eastAsia="Arial" w:hint="default"/>
                <w:sz w:val="18"/>
                <w:szCs w:val="18"/>
              </w:rPr>
            </w:pPr>
            <w:r>
              <w:rPr>
                <w:rFonts w:ascii="Arial"/>
                <w:spacing w:val="-1"/>
                <w:sz w:val="18"/>
              </w:rPr>
              <w:t>(2,278,626)</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7" w:right="0"/>
              <w:jc w:val="left"/>
              <w:rPr>
                <w:rFonts w:ascii="Arial" w:hAnsi="Arial" w:cs="Arial" w:eastAsia="Arial" w:hint="default"/>
                <w:sz w:val="18"/>
                <w:szCs w:val="18"/>
              </w:rPr>
            </w:pPr>
            <w:r>
              <w:rPr>
                <w:rFonts w:ascii="Arial"/>
                <w:sz w:val="18"/>
              </w:rPr>
              <w:t>94,859,610</w:t>
            </w:r>
          </w:p>
        </w:tc>
      </w:tr>
      <w:tr>
        <w:trPr>
          <w:trHeight w:val="259" w:hRule="exact"/>
        </w:trPr>
        <w:tc>
          <w:tcPr>
            <w:tcW w:w="2383"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黑体" w:hAnsi="黑体" w:cs="黑体" w:eastAsia="黑体" w:hint="default"/>
                <w:sz w:val="18"/>
                <w:szCs w:val="18"/>
              </w:rPr>
            </w:pPr>
            <w:r>
              <w:rPr>
                <w:rFonts w:ascii="黑体" w:hAnsi="黑体" w:cs="黑体" w:eastAsia="黑体" w:hint="default"/>
                <w:sz w:val="18"/>
                <w:szCs w:val="18"/>
              </w:rPr>
              <w:t>受让少数股东股权</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
              <w:jc w:val="right"/>
              <w:rPr>
                <w:rFonts w:ascii="Arial" w:hAnsi="Arial" w:cs="Arial" w:eastAsia="Arial" w:hint="default"/>
                <w:sz w:val="18"/>
                <w:szCs w:val="18"/>
              </w:rPr>
            </w:pPr>
            <w:r>
              <w:rPr>
                <w:rFonts w:ascii="Arial"/>
                <w:sz w:val="18"/>
              </w:rPr>
              <w:t>(</w:t>
            </w:r>
            <w:r>
              <w:rPr>
                <w:rFonts w:ascii="Arial"/>
                <w:spacing w:val="-5"/>
                <w:sz w:val="18"/>
              </w:rPr>
              <w:t> </w:t>
            </w:r>
            <w:r>
              <w:rPr>
                <w:rFonts w:ascii="Arial"/>
                <w:sz w:val="18"/>
              </w:rPr>
              <w:t>68,106,296</w:t>
            </w:r>
          </w:p>
        </w:tc>
        <w:tc>
          <w:tcPr>
            <w:tcW w:w="34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8" w:right="0"/>
              <w:jc w:val="left"/>
              <w:rPr>
                <w:rFonts w:ascii="Arial" w:hAnsi="Arial" w:cs="Arial" w:eastAsia="Arial" w:hint="default"/>
                <w:sz w:val="18"/>
                <w:szCs w:val="18"/>
              </w:rPr>
            </w:pPr>
            <w:r>
              <w:rPr>
                <w:rFonts w:ascii="Arial"/>
                <w:w w:val="99"/>
                <w:sz w:val="18"/>
              </w:rPr>
              <w:t>)</w:t>
            </w:r>
            <w:r>
              <w:rPr>
                <w:rFonts w:ascii="Arial"/>
                <w:sz w:val="18"/>
              </w:rPr>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92"/>
              <w:jc w:val="right"/>
              <w:rPr>
                <w:rFonts w:ascii="Arial" w:hAnsi="Arial" w:cs="Arial" w:eastAsia="Arial" w:hint="default"/>
                <w:sz w:val="18"/>
                <w:szCs w:val="18"/>
              </w:rPr>
            </w:pPr>
            <w:r>
              <w:rPr>
                <w:rFonts w:ascii="Arial"/>
                <w:spacing w:val="-1"/>
                <w:sz w:val="18"/>
              </w:rPr>
              <w:t>44,744,127</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49"/>
              <w:jc w:val="right"/>
              <w:rPr>
                <w:rFonts w:ascii="Arial" w:hAnsi="Arial" w:cs="Arial" w:eastAsia="Arial" w:hint="default"/>
                <w:sz w:val="18"/>
                <w:szCs w:val="18"/>
              </w:rPr>
            </w:pPr>
            <w:r>
              <w:rPr>
                <w:rFonts w:ascii="Arial"/>
                <w:w w:val="99"/>
                <w:sz w:val="18"/>
              </w:rPr>
              <w:t>-</w:t>
            </w:r>
            <w:r>
              <w:rPr>
                <w:rFonts w:ascii="Arial"/>
                <w:sz w:val="18"/>
              </w:rPr>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46" w:right="0"/>
              <w:jc w:val="left"/>
              <w:rPr>
                <w:rFonts w:ascii="Arial" w:hAnsi="Arial" w:cs="Arial" w:eastAsia="Arial" w:hint="default"/>
                <w:sz w:val="18"/>
                <w:szCs w:val="18"/>
              </w:rPr>
            </w:pPr>
            <w:r>
              <w:rPr>
                <w:rFonts w:ascii="Arial"/>
                <w:sz w:val="18"/>
              </w:rPr>
              <w:t>(</w:t>
            </w:r>
            <w:r>
              <w:rPr>
                <w:rFonts w:ascii="Arial"/>
                <w:spacing w:val="-10"/>
                <w:sz w:val="18"/>
              </w:rPr>
              <w:t> </w:t>
            </w:r>
            <w:r>
              <w:rPr>
                <w:rFonts w:ascii="Arial"/>
                <w:sz w:val="18"/>
              </w:rPr>
              <w:t>23,362,169)</w:t>
            </w:r>
          </w:p>
        </w:tc>
      </w:tr>
      <w:tr>
        <w:trPr>
          <w:trHeight w:val="394" w:hRule="exact"/>
        </w:trPr>
        <w:tc>
          <w:tcPr>
            <w:tcW w:w="2383"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黑体" w:hAnsi="黑体" w:cs="黑体" w:eastAsia="黑体" w:hint="default"/>
                <w:sz w:val="18"/>
                <w:szCs w:val="18"/>
              </w:rPr>
            </w:pPr>
            <w:r>
              <w:rPr>
                <w:rFonts w:ascii="黑体" w:hAnsi="黑体" w:cs="黑体" w:eastAsia="黑体" w:hint="default"/>
                <w:sz w:val="18"/>
                <w:szCs w:val="18"/>
              </w:rPr>
              <w:t>其他</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9"/>
                <w:sz w:val="18"/>
                <w:u w:val="single" w:color="000000"/>
              </w:rPr>
              <w:t> </w:t>
            </w:r>
            <w:r>
              <w:rPr>
                <w:rFonts w:ascii="Arial"/>
                <w:spacing w:val="-1"/>
                <w:sz w:val="18"/>
                <w:u w:val="single" w:color="000000"/>
              </w:rPr>
              <w:t>20,630,550</w:t>
            </w:r>
            <w:r>
              <w:rPr>
                <w:rFonts w:ascii="Arial"/>
                <w:spacing w:val="-1"/>
                <w:sz w:val="18"/>
              </w:rPr>
            </w:r>
          </w:p>
        </w:tc>
        <w:tc>
          <w:tcPr>
            <w:tcW w:w="341"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Style w:val="TableParagraph"/>
              <w:tabs>
                <w:tab w:pos="813" w:val="left" w:leader="none"/>
              </w:tabs>
              <w:spacing w:line="240" w:lineRule="auto" w:before="21"/>
              <w:ind w:right="29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465" w:type="dxa"/>
            <w:tcBorders>
              <w:top w:val="nil" w:sz="6" w:space="0" w:color="auto"/>
              <w:left w:val="nil" w:sz="6" w:space="0" w:color="auto"/>
              <w:bottom w:val="nil" w:sz="6" w:space="0" w:color="auto"/>
              <w:right w:val="nil" w:sz="6" w:space="0" w:color="auto"/>
            </w:tcBorders>
          </w:tcPr>
          <w:p>
            <w:pPr>
              <w:pStyle w:val="TableParagraph"/>
              <w:tabs>
                <w:tab w:pos="861" w:val="left" w:leader="none"/>
              </w:tabs>
              <w:spacing w:line="240" w:lineRule="auto" w:before="21"/>
              <w:ind w:right="24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66"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9"/>
                <w:sz w:val="18"/>
                <w:u w:val="single" w:color="000000"/>
              </w:rPr>
              <w:t> </w:t>
            </w:r>
            <w:r>
              <w:rPr>
                <w:rFonts w:ascii="Arial"/>
                <w:sz w:val="18"/>
                <w:u w:val="single" w:color="000000"/>
              </w:rPr>
              <w:t>20,630,550</w:t>
            </w:r>
            <w:r>
              <w:rPr>
                <w:rFonts w:ascii="Arial"/>
                <w:sz w:val="18"/>
              </w:rPr>
            </w:r>
          </w:p>
        </w:tc>
      </w:tr>
      <w:tr>
        <w:trPr>
          <w:trHeight w:val="350" w:hRule="exact"/>
        </w:trPr>
        <w:tc>
          <w:tcPr>
            <w:tcW w:w="2383"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
              <w:jc w:val="right"/>
              <w:rPr>
                <w:rFonts w:ascii="Arial" w:hAnsi="Arial" w:cs="Arial" w:eastAsia="Arial" w:hint="default"/>
                <w:sz w:val="18"/>
                <w:szCs w:val="18"/>
              </w:rPr>
            </w:pPr>
            <w:r>
              <w:rPr>
                <w:rFonts w:ascii="Arial"/>
                <w:w w:val="99"/>
                <w:sz w:val="18"/>
              </w:rPr>
            </w:r>
            <w:r>
              <w:rPr>
                <w:rFonts w:ascii="Arial"/>
                <w:spacing w:val="-1"/>
                <w:sz w:val="18"/>
                <w:u w:val="thick" w:color="000000"/>
              </w:rPr>
              <w:t>665,883,513</w:t>
            </w:r>
            <w:r>
              <w:rPr>
                <w:rFonts w:ascii="Arial"/>
                <w:spacing w:val="-1"/>
                <w:sz w:val="18"/>
              </w:rPr>
            </w:r>
          </w:p>
        </w:tc>
        <w:tc>
          <w:tcPr>
            <w:tcW w:w="341"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292"/>
              <w:jc w:val="right"/>
              <w:rPr>
                <w:rFonts w:ascii="Arial" w:hAnsi="Arial" w:cs="Arial" w:eastAsia="Arial" w:hint="default"/>
                <w:sz w:val="18"/>
                <w:szCs w:val="18"/>
              </w:rPr>
            </w:pPr>
            <w:r>
              <w:rPr>
                <w:rFonts w:ascii="Arial"/>
                <w:w w:val="99"/>
                <w:sz w:val="18"/>
              </w:rPr>
            </w:r>
            <w:r>
              <w:rPr>
                <w:rFonts w:ascii="Arial"/>
                <w:spacing w:val="-1"/>
                <w:sz w:val="18"/>
                <w:u w:val="thick" w:color="000000"/>
              </w:rPr>
              <w:t>75,743,814</w:t>
            </w:r>
            <w:r>
              <w:rPr>
                <w:rFonts w:ascii="Arial"/>
                <w:spacing w:val="-1"/>
                <w:sz w:val="18"/>
              </w:rPr>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245"/>
              <w:jc w:val="right"/>
              <w:rPr>
                <w:rFonts w:ascii="Arial" w:hAnsi="Arial" w:cs="Arial" w:eastAsia="Arial" w:hint="default"/>
                <w:sz w:val="18"/>
                <w:szCs w:val="18"/>
              </w:rPr>
            </w:pPr>
            <w:r>
              <w:rPr>
                <w:rFonts w:ascii="Arial"/>
                <w:spacing w:val="-1"/>
                <w:sz w:val="18"/>
              </w:rPr>
              <w:t>(</w:t>
            </w:r>
            <w:r>
              <w:rPr>
                <w:rFonts w:ascii="Arial"/>
                <w:spacing w:val="-1"/>
                <w:sz w:val="18"/>
                <w:u w:val="thick" w:color="000000"/>
              </w:rPr>
              <w:t>2,278,626</w:t>
            </w:r>
            <w:r>
              <w:rPr>
                <w:rFonts w:ascii="Arial"/>
                <w:spacing w:val="-1"/>
                <w:sz w:val="18"/>
              </w:rPr>
              <w:t>)</w:t>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256" w:right="0"/>
              <w:jc w:val="left"/>
              <w:rPr>
                <w:rFonts w:ascii="Arial" w:hAnsi="Arial" w:cs="Arial" w:eastAsia="Arial" w:hint="default"/>
                <w:sz w:val="18"/>
                <w:szCs w:val="18"/>
              </w:rPr>
            </w:pPr>
            <w:r>
              <w:rPr>
                <w:rFonts w:ascii="Arial"/>
                <w:w w:val="99"/>
                <w:sz w:val="18"/>
              </w:rPr>
            </w:r>
            <w:r>
              <w:rPr>
                <w:rFonts w:ascii="Arial"/>
                <w:sz w:val="18"/>
                <w:u w:val="thick" w:color="000000"/>
              </w:rPr>
              <w:t>739,348,701</w:t>
            </w:r>
            <w:r>
              <w:rPr>
                <w:rFonts w:ascii="Arial"/>
                <w:sz w:val="18"/>
              </w:rPr>
            </w:r>
          </w:p>
        </w:tc>
      </w:tr>
    </w:tbl>
    <w:p>
      <w:pPr>
        <w:spacing w:line="240" w:lineRule="auto" w:before="4"/>
        <w:rPr>
          <w:rFonts w:ascii="黑体" w:hAnsi="黑体" w:cs="黑体" w:eastAsia="黑体" w:hint="default"/>
          <w:sz w:val="16"/>
          <w:szCs w:val="16"/>
        </w:rPr>
      </w:pPr>
    </w:p>
    <w:p>
      <w:pPr>
        <w:pStyle w:val="BodyText"/>
        <w:tabs>
          <w:tab w:pos="1534" w:val="left" w:leader="none"/>
        </w:tabs>
        <w:spacing w:line="268" w:lineRule="exact" w:before="37"/>
        <w:ind w:right="0"/>
        <w:jc w:val="left"/>
      </w:pPr>
      <w:r>
        <w:rPr>
          <w:spacing w:val="-1"/>
          <w:w w:val="95"/>
        </w:rPr>
        <w:t>注</w:t>
      </w:r>
      <w:r>
        <w:rPr>
          <w:rFonts w:ascii="Arial" w:hAnsi="Arial" w:cs="Arial" w:eastAsia="Arial" w:hint="default"/>
          <w:spacing w:val="-1"/>
          <w:w w:val="95"/>
        </w:rPr>
        <w:t>1</w:t>
      </w:r>
      <w:r>
        <w:rPr>
          <w:spacing w:val="-1"/>
          <w:w w:val="95"/>
        </w:rPr>
        <w:t>．</w:t>
        <w:tab/>
      </w:r>
      <w:r>
        <w:rPr/>
        <w:t>参见附注五、</w:t>
      </w:r>
      <w:r>
        <w:rPr>
          <w:rFonts w:ascii="Arial" w:hAnsi="Arial" w:cs="Arial" w:eastAsia="Arial" w:hint="default"/>
        </w:rPr>
        <w:t>30</w:t>
      </w:r>
      <w:r>
        <w:rPr/>
        <w:t>。</w:t>
      </w:r>
    </w:p>
    <w:p>
      <w:pPr>
        <w:pStyle w:val="BodyText"/>
        <w:spacing w:line="228" w:lineRule="auto" w:before="3"/>
        <w:ind w:left="1533" w:right="394" w:hanging="720"/>
        <w:jc w:val="both"/>
      </w:pPr>
      <w:r>
        <w:rPr/>
        <w:t>注</w:t>
      </w:r>
      <w:r>
        <w:rPr>
          <w:rFonts w:ascii="Arial" w:hAnsi="Arial" w:cs="Arial" w:eastAsia="Arial" w:hint="default"/>
        </w:rPr>
        <w:t>2</w:t>
      </w:r>
      <w:r>
        <w:rPr/>
        <w:t>．</w:t>
      </w:r>
      <w:r>
        <w:rPr>
          <w:spacing w:val="3"/>
        </w:rPr>
        <w:t> 根据畅捷通于</w:t>
      </w:r>
      <w:r>
        <w:rPr>
          <w:rFonts w:ascii="Arial" w:hAnsi="Arial" w:cs="Arial" w:eastAsia="Arial" w:hint="default"/>
          <w:spacing w:val="3"/>
        </w:rPr>
        <w:t>2012</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4</w:t>
      </w:r>
      <w:r>
        <w:rPr>
          <w:spacing w:val="3"/>
        </w:rPr>
        <w:t>日和</w:t>
      </w:r>
      <w:r>
        <w:rPr>
          <w:rFonts w:ascii="Arial" w:hAnsi="Arial" w:cs="Arial" w:eastAsia="Arial" w:hint="default"/>
          <w:spacing w:val="3"/>
        </w:rPr>
        <w:t>2012</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5</w:t>
      </w:r>
      <w:r>
        <w:rPr>
          <w:spacing w:val="3"/>
        </w:rPr>
        <w:t>日召开的</w:t>
      </w:r>
      <w:r>
        <w:rPr>
          <w:rFonts w:ascii="Arial" w:hAnsi="Arial" w:cs="Arial" w:eastAsia="Arial" w:hint="default"/>
          <w:spacing w:val="3"/>
        </w:rPr>
        <w:t>2012</w:t>
      </w:r>
      <w:r>
        <w:rPr>
          <w:spacing w:val="3"/>
        </w:rPr>
        <w:t>年第二次临时股东大会</w:t>
      </w:r>
      <w:r>
        <w:rPr>
          <w:w w:val="99"/>
        </w:rPr>
        <w:t> </w:t>
      </w:r>
      <w:r>
        <w:rPr>
          <w:spacing w:val="-2"/>
          <w:w w:val="95"/>
        </w:rPr>
        <w:t>和</w:t>
      </w:r>
      <w:r>
        <w:rPr>
          <w:rFonts w:ascii="Arial" w:hAnsi="Arial" w:cs="Arial" w:eastAsia="Arial" w:hint="default"/>
          <w:spacing w:val="-2"/>
          <w:w w:val="95"/>
        </w:rPr>
        <w:t>2012</w:t>
      </w:r>
      <w:r>
        <w:rPr>
          <w:spacing w:val="-2"/>
          <w:w w:val="95"/>
        </w:rPr>
        <w:t>年第三次临时股东大会决议，北京汇云捷畅投资管理中心（有限合伙）对其增</w:t>
      </w:r>
      <w:r>
        <w:rPr>
          <w:w w:val="99"/>
        </w:rPr>
        <w:t> </w:t>
      </w:r>
      <w:r>
        <w:rPr/>
        <w:t>资</w:t>
      </w:r>
      <w:r>
        <w:rPr>
          <w:spacing w:val="-76"/>
        </w:rPr>
        <w:t> </w:t>
      </w:r>
      <w:r>
        <w:rPr>
          <w:spacing w:val="13"/>
        </w:rPr>
        <w:t>人民</w:t>
      </w:r>
      <w:r>
        <w:rPr>
          <w:spacing w:val="-74"/>
        </w:rPr>
        <w:t> </w:t>
      </w:r>
      <w:r>
        <w:rPr/>
        <w:t>币</w:t>
      </w:r>
      <w:r>
        <w:rPr>
          <w:spacing w:val="-76"/>
        </w:rPr>
        <w:t> </w:t>
      </w:r>
      <w:r>
        <w:rPr>
          <w:rFonts w:ascii="Arial" w:hAnsi="Arial" w:cs="Arial" w:eastAsia="Arial" w:hint="default"/>
        </w:rPr>
        <w:t>19,634,994</w:t>
      </w:r>
      <w:r>
        <w:rPr>
          <w:rFonts w:ascii="Arial" w:hAnsi="Arial" w:cs="Arial" w:eastAsia="Arial" w:hint="default"/>
          <w:spacing w:val="-32"/>
        </w:rPr>
        <w:t> </w:t>
      </w:r>
      <w:r>
        <w:rPr/>
        <w:t>元</w:t>
      </w:r>
      <w:r>
        <w:rPr>
          <w:spacing w:val="-74"/>
        </w:rPr>
        <w:t> </w:t>
      </w:r>
      <w:r>
        <w:rPr/>
        <w:t>，</w:t>
      </w:r>
      <w:r>
        <w:rPr>
          <w:spacing w:val="-74"/>
        </w:rPr>
        <w:t> </w:t>
      </w:r>
      <w:r>
        <w:rPr/>
        <w:t>其</w:t>
      </w:r>
      <w:r>
        <w:rPr>
          <w:spacing w:val="-76"/>
        </w:rPr>
        <w:t> </w:t>
      </w:r>
      <w:r>
        <w:rPr/>
        <w:t>中</w:t>
      </w:r>
      <w:r>
        <w:rPr>
          <w:spacing w:val="-76"/>
        </w:rPr>
        <w:t> </w:t>
      </w:r>
      <w:r>
        <w:rPr/>
        <w:t>人</w:t>
      </w:r>
      <w:r>
        <w:rPr>
          <w:spacing w:val="-74"/>
        </w:rPr>
        <w:t> </w:t>
      </w:r>
      <w:r>
        <w:rPr>
          <w:spacing w:val="13"/>
        </w:rPr>
        <w:t>民币</w:t>
      </w:r>
      <w:r>
        <w:rPr>
          <w:spacing w:val="-76"/>
        </w:rPr>
        <w:t> </w:t>
      </w:r>
      <w:r>
        <w:rPr>
          <w:rFonts w:ascii="Arial" w:hAnsi="Arial" w:cs="Arial" w:eastAsia="Arial" w:hint="default"/>
        </w:rPr>
        <w:t>2,181,666</w:t>
      </w:r>
      <w:r>
        <w:rPr>
          <w:rFonts w:ascii="Arial" w:hAnsi="Arial" w:cs="Arial" w:eastAsia="Arial" w:hint="default"/>
          <w:spacing w:val="-32"/>
        </w:rPr>
        <w:t> </w:t>
      </w:r>
      <w:r>
        <w:rPr/>
        <w:t>元</w:t>
      </w:r>
      <w:r>
        <w:rPr>
          <w:spacing w:val="-74"/>
        </w:rPr>
        <w:t> </w:t>
      </w:r>
      <w:r>
        <w:rPr/>
        <w:t>计</w:t>
      </w:r>
      <w:r>
        <w:rPr>
          <w:spacing w:val="-76"/>
        </w:rPr>
        <w:t> </w:t>
      </w:r>
      <w:r>
        <w:rPr/>
        <w:t>入</w:t>
      </w:r>
      <w:r>
        <w:rPr>
          <w:spacing w:val="-76"/>
        </w:rPr>
        <w:t> </w:t>
      </w:r>
      <w:r>
        <w:rPr/>
        <w:t>注</w:t>
      </w:r>
      <w:r>
        <w:rPr>
          <w:spacing w:val="-74"/>
        </w:rPr>
        <w:t> </w:t>
      </w:r>
      <w:r>
        <w:rPr>
          <w:spacing w:val="13"/>
        </w:rPr>
        <w:t>册资</w:t>
      </w:r>
      <w:r>
        <w:rPr>
          <w:spacing w:val="-76"/>
        </w:rPr>
        <w:t> </w:t>
      </w:r>
      <w:r>
        <w:rPr/>
        <w:t>本</w:t>
      </w:r>
      <w:r>
        <w:rPr>
          <w:spacing w:val="-74"/>
        </w:rPr>
        <w:t> </w:t>
      </w:r>
      <w:r>
        <w:rPr/>
        <w:t>，</w:t>
      </w:r>
      <w:r>
        <w:rPr>
          <w:spacing w:val="-76"/>
        </w:rPr>
        <w:t> </w:t>
      </w:r>
      <w:r>
        <w:rPr/>
        <w:t>其</w:t>
      </w:r>
      <w:r>
        <w:rPr>
          <w:spacing w:val="-74"/>
        </w:rPr>
        <w:t> </w:t>
      </w:r>
      <w:r>
        <w:rPr/>
        <w:t>余</w:t>
      </w:r>
      <w:r>
        <w:rPr>
          <w:spacing w:val="-76"/>
        </w:rPr>
        <w:t> </w:t>
      </w:r>
      <w:r>
        <w:rPr/>
        <w:t>人</w:t>
      </w:r>
      <w:r>
        <w:rPr>
          <w:spacing w:val="-74"/>
        </w:rPr>
        <w:t> </w:t>
      </w:r>
      <w:r>
        <w:rPr/>
        <w:t>民</w:t>
      </w:r>
      <w:r>
        <w:rPr>
          <w:spacing w:val="-76"/>
        </w:rPr>
        <w:t> </w:t>
      </w:r>
      <w:r>
        <w:rPr/>
        <w:t>币</w:t>
      </w:r>
      <w:r>
        <w:rPr>
          <w:w w:val="99"/>
        </w:rPr>
        <w:t> </w:t>
      </w:r>
      <w:r>
        <w:rPr>
          <w:rFonts w:ascii="Arial" w:hAnsi="Arial" w:cs="Arial" w:eastAsia="Arial" w:hint="default"/>
        </w:rPr>
        <w:t>17,453,328</w:t>
      </w:r>
      <w:r>
        <w:rPr/>
        <w:t>元计入资本公积。增资后畅捷通股本总额为</w:t>
      </w:r>
      <w:r>
        <w:rPr>
          <w:rFonts w:ascii="Arial" w:hAnsi="Arial" w:cs="Arial" w:eastAsia="Arial" w:hint="default"/>
        </w:rPr>
        <w:t>162,181,666</w:t>
      </w:r>
      <w:r>
        <w:rPr/>
        <w:t>股，每股面值人</w:t>
      </w:r>
      <w:r>
        <w:rPr>
          <w:w w:val="99"/>
        </w:rPr>
        <w:t> </w:t>
      </w:r>
      <w:r>
        <w:rPr>
          <w:spacing w:val="-1"/>
        </w:rPr>
        <w:t>民币</w:t>
      </w:r>
      <w:r>
        <w:rPr>
          <w:rFonts w:ascii="Arial" w:hAnsi="Arial" w:cs="Arial" w:eastAsia="Arial" w:hint="default"/>
          <w:spacing w:val="-1"/>
        </w:rPr>
        <w:t>1</w:t>
      </w:r>
      <w:r>
        <w:rPr>
          <w:spacing w:val="-1"/>
        </w:rPr>
        <w:t>元，其中本公司和本公司的全资子公司幸福投资共计拥有</w:t>
      </w:r>
      <w:r>
        <w:rPr>
          <w:rFonts w:ascii="Arial" w:hAnsi="Arial" w:cs="Arial" w:eastAsia="Arial" w:hint="default"/>
          <w:spacing w:val="-1"/>
        </w:rPr>
        <w:t>92.73%</w:t>
      </w:r>
      <w:r>
        <w:rPr>
          <w:spacing w:val="-1"/>
        </w:rPr>
        <w:t>的股权，北京</w:t>
      </w:r>
      <w:r>
        <w:rPr>
          <w:w w:val="99"/>
        </w:rPr>
        <w:t> </w:t>
      </w:r>
      <w:r>
        <w:rPr/>
        <w:t>汇云捷畅投资管理中心（有限合伙）拥有</w:t>
      </w:r>
      <w:r>
        <w:rPr>
          <w:rFonts w:ascii="Arial" w:hAnsi="Arial" w:cs="Arial" w:eastAsia="Arial" w:hint="default"/>
        </w:rPr>
        <w:t>1.35%</w:t>
      </w:r>
      <w:r>
        <w:rPr/>
        <w:t>的股权，其他四家股东共拥有</w:t>
      </w:r>
      <w:r>
        <w:rPr>
          <w:rFonts w:ascii="Arial" w:hAnsi="Arial" w:cs="Arial" w:eastAsia="Arial" w:hint="default"/>
        </w:rPr>
        <w:t>5.92%</w:t>
      </w:r>
      <w:r>
        <w:rPr>
          <w:rFonts w:ascii="Arial" w:hAnsi="Arial" w:cs="Arial" w:eastAsia="Arial" w:hint="default"/>
          <w:spacing w:val="2"/>
          <w:w w:val="99"/>
        </w:rPr>
        <w:t> </w:t>
      </w:r>
      <w:r>
        <w:rPr/>
        <w:t>的股权。截至</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日，北京汇云捷畅投资管理中心（有限合伙）已经支付</w:t>
      </w:r>
      <w:r>
        <w:rPr>
          <w:w w:val="99"/>
        </w:rPr>
        <w:t> </w:t>
      </w:r>
      <w:r>
        <w:rPr>
          <w:spacing w:val="-1"/>
          <w:w w:val="95"/>
        </w:rPr>
        <w:t>全部增资款项，畅捷通已完成相关工商登记变更。本公司将北京汇云捷畅投资管理中</w:t>
      </w:r>
      <w:r>
        <w:rPr>
          <w:w w:val="99"/>
        </w:rPr>
        <w:t> </w:t>
      </w:r>
      <w:r>
        <w:rPr>
          <w:w w:val="95"/>
        </w:rPr>
        <w:t>心（有限合伙）增资款项与增资完成后按其股权比例</w:t>
      </w:r>
      <w:r>
        <w:rPr>
          <w:rFonts w:ascii="Arial" w:hAnsi="Arial" w:cs="Arial" w:eastAsia="Arial" w:hint="default"/>
          <w:w w:val="95"/>
        </w:rPr>
        <w:t>1.35%</w:t>
      </w:r>
      <w:r>
        <w:rPr>
          <w:w w:val="95"/>
        </w:rPr>
        <w:t>分占的畅捷通账面净资产</w:t>
      </w:r>
      <w:r>
        <w:rPr>
          <w:w w:val="99"/>
        </w:rPr>
        <w:t> </w:t>
      </w:r>
      <w:r>
        <w:rPr>
          <w:w w:val="95"/>
        </w:rPr>
        <w:t>部分之间的差额，扣除其他四家少数股东在畅捷通增资完成后按其持股比例</w:t>
      </w:r>
      <w:r>
        <w:rPr>
          <w:rFonts w:ascii="Arial" w:hAnsi="Arial" w:cs="Arial" w:eastAsia="Arial" w:hint="default"/>
          <w:w w:val="95"/>
        </w:rPr>
        <w:t>5.92%</w:t>
      </w:r>
      <w:r>
        <w:rPr>
          <w:w w:val="95"/>
        </w:rPr>
        <w:t>应</w:t>
      </w:r>
      <w:r>
        <w:rPr>
          <w:w w:val="99"/>
        </w:rPr>
        <w:t> </w:t>
      </w:r>
      <w:r>
        <w:rPr/>
        <w:t>享有的权益的增加额，计人民币</w:t>
      </w:r>
      <w:r>
        <w:rPr>
          <w:rFonts w:ascii="Arial" w:hAnsi="Arial" w:cs="Arial" w:eastAsia="Arial" w:hint="default"/>
        </w:rPr>
        <w:t>12,258,633</w:t>
      </w:r>
      <w:r>
        <w:rPr/>
        <w:t>元，计入资本公积科目。</w:t>
      </w:r>
    </w:p>
    <w:p>
      <w:pPr>
        <w:spacing w:after="0" w:line="228" w:lineRule="auto"/>
        <w:jc w:val="both"/>
        <w:sectPr>
          <w:headerReference w:type="default" r:id="rId63"/>
          <w:footerReference w:type="default" r:id="rId64"/>
          <w:pgSz w:w="11910" w:h="16840"/>
          <w:pgMar w:header="825" w:footer="473" w:top="2420" w:bottom="660" w:left="1600" w:right="1020"/>
          <w:pgNumType w:start="97"/>
        </w:sectPr>
      </w:pPr>
    </w:p>
    <w:p>
      <w:pPr>
        <w:spacing w:line="240" w:lineRule="auto" w:before="12"/>
        <w:rPr>
          <w:rFonts w:ascii="黑体" w:hAnsi="黑体" w:cs="黑体" w:eastAsia="黑体" w:hint="default"/>
          <w:sz w:val="18"/>
          <w:szCs w:val="18"/>
        </w:rPr>
      </w:pPr>
    </w:p>
    <w:p>
      <w:pPr>
        <w:pStyle w:val="Heading6"/>
        <w:tabs>
          <w:tab w:pos="804" w:val="left" w:leader="none"/>
        </w:tabs>
        <w:spacing w:line="240" w:lineRule="auto"/>
        <w:ind w:right="0"/>
        <w:jc w:val="left"/>
        <w:rPr>
          <w:b w:val="0"/>
          <w:bCs w:val="0"/>
        </w:rPr>
      </w:pPr>
      <w:r>
        <w:rPr>
          <w:w w:val="95"/>
        </w:rPr>
        <w:t>五、</w:t>
        <w:tab/>
      </w:r>
      <w:bookmarkStart w:name="五、   合并财务报表主要项目注释（续）" w:id="131"/>
      <w:bookmarkEnd w:id="131"/>
      <w:r>
        <w:rPr/>
        <w:t>合并</w:t>
      </w:r>
      <w:r>
        <w:rPr/>
        <w:t>财务报表主要项目注释（续）</w:t>
      </w:r>
      <w:r>
        <w:rPr>
          <w:b w:val="0"/>
          <w:bCs w:val="0"/>
        </w:rPr>
      </w:r>
    </w:p>
    <w:p>
      <w:pPr>
        <w:spacing w:line="240" w:lineRule="auto" w:before="5"/>
        <w:rPr>
          <w:rFonts w:ascii="黑体" w:hAnsi="黑体" w:cs="黑体" w:eastAsia="黑体" w:hint="default"/>
          <w:b/>
          <w:bCs/>
          <w:sz w:val="17"/>
          <w:szCs w:val="17"/>
        </w:rPr>
      </w:pPr>
    </w:p>
    <w:p>
      <w:pPr>
        <w:pStyle w:val="Heading6"/>
        <w:tabs>
          <w:tab w:pos="823" w:val="left" w:leader="none"/>
        </w:tabs>
        <w:spacing w:line="240" w:lineRule="auto" w:before="0"/>
        <w:ind w:right="0"/>
        <w:jc w:val="left"/>
        <w:rPr>
          <w:b w:val="0"/>
          <w:bCs w:val="0"/>
        </w:rPr>
      </w:pPr>
      <w:r>
        <w:rPr>
          <w:rFonts w:ascii="Arial" w:hAnsi="Arial" w:cs="Arial" w:eastAsia="Arial" w:hint="default"/>
          <w:spacing w:val="-1"/>
          <w:w w:val="95"/>
        </w:rPr>
        <w:t>32.</w:t>
        <w:tab/>
      </w:r>
      <w:r>
        <w:rPr/>
        <w:t>库存股</w:t>
      </w:r>
      <w:r>
        <w:rPr>
          <w:b w:val="0"/>
          <w:bCs w:val="0"/>
        </w:rPr>
      </w:r>
    </w:p>
    <w:p>
      <w:pPr>
        <w:spacing w:line="240" w:lineRule="auto" w:before="10"/>
        <w:rPr>
          <w:rFonts w:ascii="黑体" w:hAnsi="黑体" w:cs="黑体" w:eastAsia="黑体" w:hint="default"/>
          <w:b/>
          <w:bCs/>
          <w:sz w:val="17"/>
          <w:szCs w:val="17"/>
        </w:rPr>
      </w:pPr>
    </w:p>
    <w:p>
      <w:pPr>
        <w:pStyle w:val="BodyText"/>
        <w:spacing w:line="240" w:lineRule="auto"/>
        <w:ind w:right="0"/>
        <w:jc w:val="left"/>
      </w:pPr>
      <w:r>
        <w:rPr>
          <w:rFonts w:ascii="Arial" w:hAnsi="Arial" w:cs="Arial" w:eastAsia="Arial" w:hint="default"/>
        </w:rPr>
        <w:t>2012</w:t>
      </w:r>
      <w:r>
        <w:rPr/>
        <w:t>年</w:t>
      </w:r>
    </w:p>
    <w:p>
      <w:pPr>
        <w:spacing w:line="240" w:lineRule="auto" w:before="9"/>
        <w:rPr>
          <w:rFonts w:ascii="黑体" w:hAnsi="黑体" w:cs="黑体" w:eastAsia="黑体" w:hint="default"/>
          <w:sz w:val="18"/>
          <w:szCs w:val="18"/>
        </w:rPr>
      </w:pPr>
    </w:p>
    <w:tbl>
      <w:tblPr>
        <w:tblW w:w="0" w:type="auto"/>
        <w:jc w:val="left"/>
        <w:tblInd w:w="595" w:type="dxa"/>
        <w:tblLayout w:type="fixed"/>
        <w:tblCellMar>
          <w:top w:w="0" w:type="dxa"/>
          <w:left w:w="0" w:type="dxa"/>
          <w:bottom w:w="0" w:type="dxa"/>
          <w:right w:w="0" w:type="dxa"/>
        </w:tblCellMar>
        <w:tblLook w:val="01E0"/>
      </w:tblPr>
      <w:tblGrid>
        <w:gridCol w:w="3980"/>
        <w:gridCol w:w="230"/>
        <w:gridCol w:w="1536"/>
        <w:gridCol w:w="1360"/>
        <w:gridCol w:w="1386"/>
      </w:tblGrid>
      <w:tr>
        <w:trPr>
          <w:trHeight w:val="361" w:hRule="exact"/>
        </w:trPr>
        <w:tc>
          <w:tcPr>
            <w:tcW w:w="3980" w:type="dxa"/>
            <w:tcBorders>
              <w:top w:val="nil" w:sz="6" w:space="0" w:color="auto"/>
              <w:left w:val="nil" w:sz="6" w:space="0" w:color="auto"/>
              <w:bottom w:val="nil" w:sz="6" w:space="0" w:color="auto"/>
              <w:right w:val="nil" w:sz="6" w:space="0" w:color="auto"/>
            </w:tcBorders>
          </w:tcPr>
          <w:p>
            <w:pPr>
              <w:pStyle w:val="TableParagraph"/>
              <w:spacing w:line="202" w:lineRule="exact"/>
              <w:ind w:right="-3"/>
              <w:jc w:val="right"/>
              <w:rPr>
                <w:rFonts w:ascii="黑体" w:hAnsi="黑体" w:cs="黑体" w:eastAsia="黑体" w:hint="default"/>
                <w:sz w:val="20"/>
                <w:szCs w:val="20"/>
              </w:rPr>
            </w:pPr>
            <w:r>
              <w:rPr>
                <w:rFonts w:ascii="黑体" w:hAnsi="黑体" w:cs="黑体" w:eastAsia="黑体" w:hint="default"/>
                <w:w w:val="95"/>
                <w:sz w:val="20"/>
                <w:szCs w:val="20"/>
              </w:rPr>
              <w:t>年初数</w:t>
            </w:r>
            <w:r>
              <w:rPr>
                <w:rFonts w:ascii="黑体" w:hAnsi="黑体" w:cs="黑体" w:eastAsia="黑体" w:hint="default"/>
                <w:sz w:val="20"/>
                <w:szCs w:val="20"/>
              </w:rPr>
            </w:r>
          </w:p>
        </w:tc>
        <w:tc>
          <w:tcPr>
            <w:tcW w:w="230"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02" w:lineRule="exact"/>
              <w:ind w:right="371"/>
              <w:jc w:val="right"/>
              <w:rPr>
                <w:rFonts w:ascii="黑体" w:hAnsi="黑体" w:cs="黑体" w:eastAsia="黑体" w:hint="default"/>
                <w:sz w:val="20"/>
                <w:szCs w:val="20"/>
              </w:rPr>
            </w:pPr>
            <w:r>
              <w:rPr>
                <w:rFonts w:ascii="黑体" w:hAnsi="黑体" w:cs="黑体" w:eastAsia="黑体" w:hint="default"/>
                <w:w w:val="95"/>
                <w:sz w:val="20"/>
                <w:szCs w:val="20"/>
              </w:rPr>
              <w:t>本年增加</w:t>
            </w:r>
            <w:r>
              <w:rPr>
                <w:rFonts w:ascii="黑体" w:hAnsi="黑体" w:cs="黑体" w:eastAsia="黑体" w:hint="default"/>
                <w:sz w:val="20"/>
                <w:szCs w:val="20"/>
              </w:rPr>
            </w:r>
          </w:p>
        </w:tc>
        <w:tc>
          <w:tcPr>
            <w:tcW w:w="1360" w:type="dxa"/>
            <w:tcBorders>
              <w:top w:val="nil" w:sz="6" w:space="0" w:color="auto"/>
              <w:left w:val="nil" w:sz="6" w:space="0" w:color="auto"/>
              <w:bottom w:val="nil" w:sz="6" w:space="0" w:color="auto"/>
              <w:right w:val="nil" w:sz="6" w:space="0" w:color="auto"/>
            </w:tcBorders>
          </w:tcPr>
          <w:p>
            <w:pPr>
              <w:pStyle w:val="TableParagraph"/>
              <w:spacing w:line="199" w:lineRule="exact"/>
              <w:ind w:right="189"/>
              <w:jc w:val="right"/>
              <w:rPr>
                <w:rFonts w:ascii="黑体" w:hAnsi="黑体" w:cs="黑体" w:eastAsia="黑体" w:hint="default"/>
                <w:sz w:val="20"/>
                <w:szCs w:val="20"/>
              </w:rPr>
            </w:pPr>
            <w:r>
              <w:rPr>
                <w:rFonts w:ascii="黑体" w:hAnsi="黑体" w:cs="黑体" w:eastAsia="黑体" w:hint="default"/>
                <w:w w:val="95"/>
                <w:sz w:val="20"/>
                <w:szCs w:val="20"/>
              </w:rPr>
              <w:t>本年减少</w:t>
            </w:r>
            <w:r>
              <w:rPr>
                <w:rFonts w:ascii="黑体" w:hAnsi="黑体" w:cs="黑体" w:eastAsia="黑体" w:hint="default"/>
                <w:sz w:val="20"/>
                <w:szCs w:val="20"/>
              </w:rPr>
            </w:r>
          </w:p>
        </w:tc>
        <w:tc>
          <w:tcPr>
            <w:tcW w:w="1386" w:type="dxa"/>
            <w:tcBorders>
              <w:top w:val="nil" w:sz="6" w:space="0" w:color="auto"/>
              <w:left w:val="nil" w:sz="6" w:space="0" w:color="auto"/>
              <w:bottom w:val="nil" w:sz="6" w:space="0" w:color="auto"/>
              <w:right w:val="nil" w:sz="6" w:space="0" w:color="auto"/>
            </w:tcBorders>
          </w:tcPr>
          <w:p>
            <w:pPr>
              <w:pStyle w:val="TableParagraph"/>
              <w:spacing w:line="199" w:lineRule="exact"/>
              <w:ind w:right="198"/>
              <w:jc w:val="right"/>
              <w:rPr>
                <w:rFonts w:ascii="黑体" w:hAnsi="黑体" w:cs="黑体" w:eastAsia="黑体" w:hint="default"/>
                <w:sz w:val="20"/>
                <w:szCs w:val="20"/>
              </w:rPr>
            </w:pPr>
            <w:r>
              <w:rPr>
                <w:rFonts w:ascii="黑体" w:hAnsi="黑体" w:cs="黑体" w:eastAsia="黑体" w:hint="default"/>
                <w:w w:val="95"/>
                <w:sz w:val="20"/>
                <w:szCs w:val="20"/>
              </w:rPr>
              <w:t>年末数</w:t>
            </w:r>
            <w:r>
              <w:rPr>
                <w:rFonts w:ascii="黑体" w:hAnsi="黑体" w:cs="黑体" w:eastAsia="黑体" w:hint="default"/>
                <w:sz w:val="20"/>
                <w:szCs w:val="20"/>
              </w:rPr>
            </w:r>
          </w:p>
        </w:tc>
      </w:tr>
      <w:tr>
        <w:trPr>
          <w:trHeight w:val="369" w:hRule="exact"/>
        </w:trPr>
        <w:tc>
          <w:tcPr>
            <w:tcW w:w="3980" w:type="dxa"/>
            <w:tcBorders>
              <w:top w:val="nil" w:sz="6" w:space="0" w:color="auto"/>
              <w:left w:val="nil" w:sz="6" w:space="0" w:color="auto"/>
              <w:bottom w:val="nil" w:sz="6" w:space="0" w:color="auto"/>
              <w:right w:val="nil" w:sz="6" w:space="0" w:color="auto"/>
            </w:tcBorders>
          </w:tcPr>
          <w:p>
            <w:pPr>
              <w:pStyle w:val="TableParagraph"/>
              <w:tabs>
                <w:tab w:pos="2875" w:val="left" w:leader="none"/>
                <w:tab w:pos="3777" w:val="left" w:leader="none"/>
              </w:tabs>
              <w:spacing w:line="240" w:lineRule="auto" w:before="97"/>
              <w:ind w:right="0"/>
              <w:jc w:val="right"/>
              <w:rPr>
                <w:rFonts w:ascii="Arial" w:hAnsi="Arial" w:cs="Arial" w:eastAsia="Arial" w:hint="default"/>
                <w:sz w:val="20"/>
                <w:szCs w:val="20"/>
              </w:rPr>
            </w:pPr>
            <w:r>
              <w:rPr>
                <w:rFonts w:ascii="黑体" w:hAnsi="黑体" w:cs="黑体" w:eastAsia="黑体" w:hint="default"/>
                <w:w w:val="95"/>
                <w:sz w:val="20"/>
                <w:szCs w:val="20"/>
              </w:rPr>
              <w:t>库存股</w:t>
            </w:r>
            <w:r>
              <w:rPr>
                <w:rFonts w:ascii="黑体" w:hAnsi="黑体" w:cs="黑体" w:eastAsia="黑体" w:hint="default"/>
                <w:sz w:val="20"/>
                <w:szCs w:val="20"/>
              </w:rPr>
              <w:tab/>
            </w:r>
            <w:r>
              <w:rPr>
                <w:rFonts w:ascii="Arial" w:hAnsi="Arial" w:cs="Arial" w:eastAsia="Arial" w:hint="default"/>
                <w:w w:val="99"/>
                <w:sz w:val="20"/>
                <w:szCs w:val="20"/>
              </w:rPr>
            </w:r>
            <w:r>
              <w:rPr>
                <w:rFonts w:ascii="Arial" w:hAnsi="Arial" w:cs="Arial" w:eastAsia="Arial" w:hint="default"/>
                <w:w w:val="99"/>
                <w:sz w:val="20"/>
                <w:szCs w:val="20"/>
                <w:u w:val="thick" w:color="000000"/>
              </w:rPr>
              <w:t> </w:t>
            </w:r>
            <w:r>
              <w:rPr>
                <w:rFonts w:ascii="Arial" w:hAnsi="Arial" w:cs="Arial" w:eastAsia="Arial" w:hint="default"/>
                <w:sz w:val="20"/>
                <w:szCs w:val="20"/>
                <w:u w:val="thick" w:color="000000"/>
              </w:rPr>
              <w:tab/>
            </w:r>
            <w:r>
              <w:rPr>
                <w:rFonts w:ascii="Arial" w:hAnsi="Arial" w:cs="Arial" w:eastAsia="Arial" w:hint="default"/>
                <w:sz w:val="20"/>
                <w:szCs w:val="20"/>
              </w:rPr>
            </w:r>
          </w:p>
        </w:tc>
        <w:tc>
          <w:tcPr>
            <w:tcW w:w="230"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3" w:right="0"/>
              <w:jc w:val="left"/>
              <w:rPr>
                <w:rFonts w:ascii="Arial" w:hAnsi="Arial" w:cs="Arial" w:eastAsia="Arial" w:hint="default"/>
                <w:sz w:val="20"/>
                <w:szCs w:val="20"/>
              </w:rPr>
            </w:pPr>
            <w:r>
              <w:rPr>
                <w:rFonts w:ascii="Arial"/>
                <w:w w:val="99"/>
                <w:sz w:val="20"/>
              </w:rPr>
            </w:r>
            <w:r>
              <w:rPr>
                <w:rFonts w:ascii="Arial"/>
                <w:w w:val="99"/>
                <w:sz w:val="20"/>
                <w:u w:val="thick" w:color="000000"/>
              </w:rPr>
              <w:t>-</w:t>
            </w:r>
            <w:r>
              <w:rPr>
                <w:rFonts w:ascii="Arial"/>
                <w:w w:val="99"/>
                <w:sz w:val="20"/>
              </w:rPr>
            </w:r>
            <w:r>
              <w:rPr>
                <w:rFonts w:ascii="Arial"/>
                <w:sz w:val="20"/>
              </w:rPr>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370"/>
              <w:jc w:val="right"/>
              <w:rPr>
                <w:rFonts w:ascii="Arial" w:hAnsi="Arial" w:cs="Arial" w:eastAsia="Arial" w:hint="default"/>
                <w:sz w:val="20"/>
                <w:szCs w:val="20"/>
              </w:rPr>
            </w:pPr>
            <w:r>
              <w:rPr>
                <w:rFonts w:ascii="Arial"/>
                <w:w w:val="99"/>
                <w:sz w:val="20"/>
              </w:rPr>
            </w:r>
            <w:r>
              <w:rPr>
                <w:rFonts w:ascii="Arial"/>
                <w:spacing w:val="-1"/>
                <w:sz w:val="20"/>
                <w:u w:val="thick" w:color="000000"/>
              </w:rPr>
              <w:t>20,001,895</w:t>
            </w:r>
            <w:r>
              <w:rPr>
                <w:rFonts w:ascii="Arial"/>
                <w:spacing w:val="-1"/>
                <w:sz w:val="20"/>
              </w:rPr>
            </w:r>
            <w:r>
              <w:rPr>
                <w:rFonts w:ascii="Arial"/>
                <w:sz w:val="20"/>
              </w:rPr>
            </w:r>
          </w:p>
        </w:tc>
        <w:tc>
          <w:tcPr>
            <w:tcW w:w="1360" w:type="dxa"/>
            <w:tcBorders>
              <w:top w:val="nil" w:sz="6" w:space="0" w:color="auto"/>
              <w:left w:val="nil" w:sz="6" w:space="0" w:color="auto"/>
              <w:bottom w:val="nil" w:sz="6" w:space="0" w:color="auto"/>
              <w:right w:val="nil" w:sz="6" w:space="0" w:color="auto"/>
            </w:tcBorders>
          </w:tcPr>
          <w:p>
            <w:pPr>
              <w:pStyle w:val="TableParagraph"/>
              <w:tabs>
                <w:tab w:pos="902" w:val="left" w:leader="none"/>
              </w:tabs>
              <w:spacing w:line="240" w:lineRule="auto" w:before="143"/>
              <w:ind w:right="185"/>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w w:val="95"/>
                <w:sz w:val="20"/>
                <w:u w:val="thick" w:color="000000"/>
              </w:rPr>
              <w:t>-</w:t>
            </w:r>
            <w:r>
              <w:rPr>
                <w:rFonts w:ascii="Arial"/>
                <w:w w:val="95"/>
                <w:sz w:val="20"/>
              </w:rPr>
            </w:r>
            <w:r>
              <w:rPr>
                <w:rFonts w:ascii="Arial"/>
                <w:sz w:val="20"/>
              </w:rPr>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20,001,895</w:t>
            </w:r>
            <w:r>
              <w:rPr>
                <w:rFonts w:ascii="Arial"/>
                <w:spacing w:val="-1"/>
                <w:sz w:val="20"/>
              </w:rPr>
            </w:r>
            <w:r>
              <w:rPr>
                <w:rFonts w:ascii="Arial"/>
                <w:sz w:val="20"/>
              </w:rPr>
            </w:r>
          </w:p>
        </w:tc>
      </w:tr>
    </w:tbl>
    <w:p>
      <w:pPr>
        <w:spacing w:line="240" w:lineRule="auto" w:before="0"/>
        <w:rPr>
          <w:rFonts w:ascii="黑体" w:hAnsi="黑体" w:cs="黑体" w:eastAsia="黑体" w:hint="default"/>
          <w:sz w:val="20"/>
          <w:szCs w:val="20"/>
        </w:rPr>
      </w:pPr>
    </w:p>
    <w:p>
      <w:pPr>
        <w:spacing w:line="240" w:lineRule="auto" w:before="6"/>
        <w:rPr>
          <w:rFonts w:ascii="黑体" w:hAnsi="黑体" w:cs="黑体" w:eastAsia="黑体" w:hint="default"/>
          <w:sz w:val="21"/>
          <w:szCs w:val="21"/>
        </w:rPr>
      </w:pPr>
    </w:p>
    <w:p>
      <w:pPr>
        <w:pStyle w:val="BodyText"/>
        <w:spacing w:line="261" w:lineRule="auto" w:before="37"/>
        <w:ind w:left="809" w:right="0"/>
        <w:jc w:val="left"/>
      </w:pPr>
      <w:r>
        <w:rPr/>
        <w:t>本公司于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20</w:t>
      </w:r>
      <w:r>
        <w:rPr/>
        <w:t>日召开</w:t>
      </w:r>
      <w:r>
        <w:rPr>
          <w:rFonts w:ascii="Arial" w:hAnsi="Arial" w:cs="Arial" w:eastAsia="Arial" w:hint="default"/>
        </w:rPr>
        <w:t>2012</w:t>
      </w:r>
      <w:r>
        <w:rPr/>
        <w:t>年第二次临时股东大会审议通过《公司关于以集中竞价交</w:t>
      </w:r>
      <w:r>
        <w:rPr>
          <w:w w:val="99"/>
        </w:rPr>
        <w:t> </w:t>
      </w:r>
      <w:r>
        <w:rPr/>
        <w:t>易方式回购本公司股份的议案》，并于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28</w:t>
      </w:r>
      <w:r>
        <w:rPr/>
        <w:t>日披露了《用友软件股份有限公司回购</w:t>
      </w:r>
      <w:r>
        <w:rPr>
          <w:w w:val="99"/>
        </w:rPr>
        <w:t> </w:t>
      </w:r>
      <w:r>
        <w:rPr>
          <w:spacing w:val="2"/>
          <w:w w:val="95"/>
        </w:rPr>
        <w:t>报告书》。根据回购报告书，本公司拟以不超过每股人民币</w:t>
      </w:r>
      <w:r>
        <w:rPr>
          <w:rFonts w:ascii="Arial" w:hAnsi="Arial" w:cs="Arial" w:eastAsia="Arial" w:hint="default"/>
          <w:spacing w:val="2"/>
          <w:w w:val="95"/>
        </w:rPr>
        <w:t>11.18</w:t>
      </w:r>
      <w:r>
        <w:rPr>
          <w:spacing w:val="2"/>
          <w:w w:val="95"/>
        </w:rPr>
        <w:t>元的价格回购本公司股份，</w:t>
      </w:r>
      <w:r>
        <w:rPr>
          <w:spacing w:val="90"/>
          <w:w w:val="95"/>
        </w:rPr>
        <w:t> </w:t>
      </w:r>
      <w:r>
        <w:rPr>
          <w:spacing w:val="90"/>
          <w:w w:val="95"/>
        </w:rPr>
      </w:r>
      <w:r>
        <w:rPr/>
        <w:t>回购总金额最高不超过人民币</w:t>
      </w:r>
      <w:r>
        <w:rPr>
          <w:rFonts w:ascii="Arial" w:hAnsi="Arial" w:cs="Arial" w:eastAsia="Arial" w:hint="default"/>
        </w:rPr>
        <w:t>2</w:t>
      </w:r>
      <w:r>
        <w:rPr/>
        <w:t>亿元，回购的股份将注销，减少注册资本，回购股份的期限自</w:t>
      </w:r>
      <w:r>
        <w:rPr>
          <w:w w:val="99"/>
        </w:rPr>
        <w:t> </w:t>
      </w:r>
      <w:r>
        <w:rPr/>
        <w:t>股东大会审议通过回购股份方案之日起六个月内。</w:t>
      </w:r>
    </w:p>
    <w:p>
      <w:pPr>
        <w:spacing w:line="240" w:lineRule="auto" w:before="6"/>
        <w:rPr>
          <w:rFonts w:ascii="黑体" w:hAnsi="黑体" w:cs="黑体" w:eastAsia="黑体" w:hint="default"/>
          <w:sz w:val="24"/>
          <w:szCs w:val="24"/>
        </w:rPr>
      </w:pPr>
    </w:p>
    <w:p>
      <w:pPr>
        <w:pStyle w:val="BodyText"/>
        <w:spacing w:line="261" w:lineRule="auto"/>
        <w:ind w:left="809" w:right="0"/>
        <w:jc w:val="left"/>
      </w:pPr>
      <w:r>
        <w:rPr>
          <w:w w:val="95"/>
        </w:rPr>
        <w:t>本公司已于</w:t>
      </w:r>
      <w:r>
        <w:rPr>
          <w:rFonts w:ascii="Arial" w:hAnsi="Arial" w:cs="Arial" w:eastAsia="Arial" w:hint="default"/>
          <w:w w:val="95"/>
        </w:rPr>
        <w:t>2012</w:t>
      </w:r>
      <w:r>
        <w:rPr>
          <w:w w:val="95"/>
        </w:rPr>
        <w:t>年</w:t>
      </w:r>
      <w:r>
        <w:rPr>
          <w:rFonts w:ascii="Arial" w:hAnsi="Arial" w:cs="Arial" w:eastAsia="Arial" w:hint="default"/>
          <w:w w:val="95"/>
        </w:rPr>
        <w:t>12</w:t>
      </w:r>
      <w:r>
        <w:rPr>
          <w:w w:val="95"/>
        </w:rPr>
        <w:t>月</w:t>
      </w:r>
      <w:r>
        <w:rPr>
          <w:rFonts w:ascii="Arial" w:hAnsi="Arial" w:cs="Arial" w:eastAsia="Arial" w:hint="default"/>
          <w:w w:val="95"/>
        </w:rPr>
        <w:t>31</w:t>
      </w:r>
      <w:r>
        <w:rPr>
          <w:w w:val="95"/>
        </w:rPr>
        <w:t>日首次实施了回购股份。本公司首次回购股份数量为</w:t>
      </w:r>
      <w:r>
        <w:rPr>
          <w:rFonts w:ascii="Arial" w:hAnsi="Arial" w:cs="Arial" w:eastAsia="Arial" w:hint="default"/>
          <w:w w:val="95"/>
        </w:rPr>
        <w:t>2,024,199</w:t>
      </w:r>
      <w:r>
        <w:rPr>
          <w:w w:val="95"/>
        </w:rPr>
        <w:t>股，</w:t>
      </w:r>
      <w:r>
        <w:rPr>
          <w:spacing w:val="15"/>
          <w:w w:val="95"/>
        </w:rPr>
        <w:t> </w:t>
      </w:r>
      <w:r>
        <w:rPr>
          <w:w w:val="95"/>
        </w:rPr>
        <w:t>占公司总股本的比例为</w:t>
      </w:r>
      <w:r>
        <w:rPr>
          <w:rFonts w:ascii="Arial" w:hAnsi="Arial" w:cs="Arial" w:eastAsia="Arial" w:hint="default"/>
          <w:w w:val="95"/>
        </w:rPr>
        <w:t>0.21%</w:t>
      </w:r>
      <w:r>
        <w:rPr>
          <w:w w:val="95"/>
        </w:rPr>
        <w:t>，支付总金额为人民币</w:t>
      </w:r>
      <w:r>
        <w:rPr>
          <w:rFonts w:ascii="Arial" w:hAnsi="Arial" w:cs="Arial" w:eastAsia="Arial" w:hint="default"/>
          <w:w w:val="95"/>
        </w:rPr>
        <w:t>20,001,895</w:t>
      </w:r>
      <w:r>
        <w:rPr>
          <w:w w:val="95"/>
        </w:rPr>
        <w:t>元。根据《企业会计准则》相</w:t>
      </w:r>
      <w:r>
        <w:rPr>
          <w:spacing w:val="23"/>
          <w:w w:val="95"/>
        </w:rPr>
        <w:t> </w:t>
      </w:r>
      <w:r>
        <w:rPr>
          <w:spacing w:val="23"/>
          <w:w w:val="95"/>
        </w:rPr>
      </w:r>
      <w:r>
        <w:rPr/>
        <w:t>关规定，本公司按实际支付的金额确认库存股人民币</w:t>
      </w:r>
      <w:r>
        <w:rPr>
          <w:rFonts w:ascii="Arial" w:hAnsi="Arial" w:cs="Arial" w:eastAsia="Arial" w:hint="default"/>
        </w:rPr>
        <w:t>20,001,895</w:t>
      </w:r>
      <w:r>
        <w:rPr/>
        <w:t>元。</w:t>
      </w:r>
    </w:p>
    <w:p>
      <w:pPr>
        <w:spacing w:line="240" w:lineRule="auto" w:before="3"/>
        <w:rPr>
          <w:rFonts w:ascii="黑体" w:hAnsi="黑体" w:cs="黑体" w:eastAsia="黑体" w:hint="default"/>
          <w:sz w:val="16"/>
          <w:szCs w:val="16"/>
        </w:rPr>
      </w:pPr>
    </w:p>
    <w:p>
      <w:pPr>
        <w:pStyle w:val="Heading6"/>
        <w:tabs>
          <w:tab w:pos="823" w:val="left" w:leader="none"/>
        </w:tabs>
        <w:spacing w:line="240" w:lineRule="auto" w:before="0"/>
        <w:ind w:right="0"/>
        <w:jc w:val="left"/>
        <w:rPr>
          <w:b w:val="0"/>
          <w:bCs w:val="0"/>
        </w:rPr>
      </w:pPr>
      <w:r>
        <w:rPr>
          <w:rFonts w:ascii="Arial" w:hAnsi="Arial" w:cs="Arial" w:eastAsia="Arial" w:hint="default"/>
          <w:spacing w:val="-1"/>
          <w:w w:val="95"/>
        </w:rPr>
        <w:t>33.</w:t>
        <w:tab/>
      </w:r>
      <w:r>
        <w:rPr>
          <w:spacing w:val="1"/>
        </w:rPr>
        <w:t>盈余公积</w:t>
      </w:r>
      <w:r>
        <w:rPr>
          <w:b w:val="0"/>
          <w:bCs w:val="0"/>
        </w:rPr>
      </w:r>
    </w:p>
    <w:p>
      <w:pPr>
        <w:pStyle w:val="BodyText"/>
        <w:spacing w:line="240" w:lineRule="auto" w:before="168"/>
        <w:ind w:right="0"/>
        <w:jc w:val="left"/>
      </w:pPr>
      <w:r>
        <w:rPr>
          <w:rFonts w:ascii="Arial" w:hAnsi="Arial" w:cs="Arial" w:eastAsia="Arial" w:hint="default"/>
        </w:rPr>
        <w:t>2012</w:t>
      </w:r>
      <w:r>
        <w:rPr/>
        <w:t>年</w:t>
      </w:r>
    </w:p>
    <w:p>
      <w:pPr>
        <w:spacing w:line="240" w:lineRule="auto" w:before="9"/>
        <w:rPr>
          <w:rFonts w:ascii="黑体" w:hAnsi="黑体" w:cs="黑体" w:eastAsia="黑体" w:hint="default"/>
          <w:sz w:val="16"/>
          <w:szCs w:val="16"/>
        </w:rPr>
      </w:pPr>
    </w:p>
    <w:tbl>
      <w:tblPr>
        <w:tblW w:w="0" w:type="auto"/>
        <w:jc w:val="left"/>
        <w:tblInd w:w="609" w:type="dxa"/>
        <w:tblLayout w:type="fixed"/>
        <w:tblCellMar>
          <w:top w:w="0" w:type="dxa"/>
          <w:left w:w="0" w:type="dxa"/>
          <w:bottom w:w="0" w:type="dxa"/>
          <w:right w:w="0" w:type="dxa"/>
        </w:tblCellMar>
        <w:tblLook w:val="01E0"/>
      </w:tblPr>
      <w:tblGrid>
        <w:gridCol w:w="2515"/>
        <w:gridCol w:w="2576"/>
        <w:gridCol w:w="1717"/>
        <w:gridCol w:w="1677"/>
      </w:tblGrid>
      <w:tr>
        <w:trPr>
          <w:trHeight w:val="354" w:hRule="exact"/>
        </w:trPr>
        <w:tc>
          <w:tcPr>
            <w:tcW w:w="2515" w:type="dxa"/>
            <w:tcBorders>
              <w:top w:val="nil" w:sz="6" w:space="0" w:color="auto"/>
              <w:left w:val="nil" w:sz="6" w:space="0" w:color="auto"/>
              <w:bottom w:val="nil" w:sz="6" w:space="0" w:color="auto"/>
              <w:right w:val="nil" w:sz="6" w:space="0" w:color="auto"/>
            </w:tcBorders>
          </w:tcPr>
          <w:p>
            <w:pPr/>
          </w:p>
        </w:tc>
        <w:tc>
          <w:tcPr>
            <w:tcW w:w="2576" w:type="dxa"/>
            <w:tcBorders>
              <w:top w:val="nil" w:sz="6" w:space="0" w:color="auto"/>
              <w:left w:val="nil" w:sz="6" w:space="0" w:color="auto"/>
              <w:bottom w:val="nil" w:sz="6" w:space="0" w:color="auto"/>
              <w:right w:val="nil" w:sz="6" w:space="0" w:color="auto"/>
            </w:tcBorders>
          </w:tcPr>
          <w:p>
            <w:pPr>
              <w:pStyle w:val="TableParagraph"/>
              <w:spacing w:line="199" w:lineRule="exact"/>
              <w:ind w:right="348"/>
              <w:jc w:val="right"/>
              <w:rPr>
                <w:rFonts w:ascii="黑体" w:hAnsi="黑体" w:cs="黑体" w:eastAsia="黑体" w:hint="default"/>
                <w:sz w:val="20"/>
                <w:szCs w:val="20"/>
              </w:rPr>
            </w:pPr>
            <w:r>
              <w:rPr>
                <w:rFonts w:ascii="黑体" w:hAnsi="黑体" w:cs="黑体" w:eastAsia="黑体" w:hint="default"/>
                <w:w w:val="95"/>
                <w:sz w:val="20"/>
                <w:szCs w:val="20"/>
              </w:rPr>
              <w:t>年初数</w:t>
            </w:r>
            <w:r>
              <w:rPr>
                <w:rFonts w:ascii="黑体" w:hAnsi="黑体" w:cs="黑体" w:eastAsia="黑体" w:hint="default"/>
                <w:sz w:val="20"/>
                <w:szCs w:val="20"/>
              </w:rPr>
            </w:r>
          </w:p>
        </w:tc>
        <w:tc>
          <w:tcPr>
            <w:tcW w:w="1717" w:type="dxa"/>
            <w:tcBorders>
              <w:top w:val="nil" w:sz="6" w:space="0" w:color="auto"/>
              <w:left w:val="nil" w:sz="6" w:space="0" w:color="auto"/>
              <w:bottom w:val="nil" w:sz="6" w:space="0" w:color="auto"/>
              <w:right w:val="nil" w:sz="6" w:space="0" w:color="auto"/>
            </w:tcBorders>
          </w:tcPr>
          <w:p>
            <w:pPr>
              <w:pStyle w:val="TableParagraph"/>
              <w:spacing w:line="199" w:lineRule="exact"/>
              <w:ind w:right="399"/>
              <w:jc w:val="right"/>
              <w:rPr>
                <w:rFonts w:ascii="黑体" w:hAnsi="黑体" w:cs="黑体" w:eastAsia="黑体" w:hint="default"/>
                <w:sz w:val="20"/>
                <w:szCs w:val="20"/>
              </w:rPr>
            </w:pPr>
            <w:r>
              <w:rPr>
                <w:rFonts w:ascii="黑体" w:hAnsi="黑体" w:cs="黑体" w:eastAsia="黑体" w:hint="default"/>
                <w:w w:val="95"/>
                <w:sz w:val="20"/>
                <w:szCs w:val="20"/>
              </w:rPr>
              <w:t>本年增加</w:t>
            </w:r>
            <w:r>
              <w:rPr>
                <w:rFonts w:ascii="黑体" w:hAnsi="黑体" w:cs="黑体" w:eastAsia="黑体" w:hint="default"/>
                <w:sz w:val="20"/>
                <w:szCs w:val="20"/>
              </w:rPr>
            </w:r>
          </w:p>
        </w:tc>
        <w:tc>
          <w:tcPr>
            <w:tcW w:w="1677" w:type="dxa"/>
            <w:tcBorders>
              <w:top w:val="nil" w:sz="6" w:space="0" w:color="auto"/>
              <w:left w:val="nil" w:sz="6" w:space="0" w:color="auto"/>
              <w:bottom w:val="nil" w:sz="6" w:space="0" w:color="auto"/>
              <w:right w:val="nil" w:sz="6" w:space="0" w:color="auto"/>
            </w:tcBorders>
          </w:tcPr>
          <w:p>
            <w:pPr>
              <w:pStyle w:val="TableParagraph"/>
              <w:spacing w:line="199" w:lineRule="exact"/>
              <w:ind w:right="199"/>
              <w:jc w:val="right"/>
              <w:rPr>
                <w:rFonts w:ascii="黑体" w:hAnsi="黑体" w:cs="黑体" w:eastAsia="黑体" w:hint="default"/>
                <w:sz w:val="20"/>
                <w:szCs w:val="20"/>
              </w:rPr>
            </w:pPr>
            <w:r>
              <w:rPr>
                <w:rFonts w:ascii="黑体" w:hAnsi="黑体" w:cs="黑体" w:eastAsia="黑体" w:hint="default"/>
                <w:w w:val="95"/>
                <w:sz w:val="20"/>
                <w:szCs w:val="20"/>
              </w:rPr>
              <w:t>年末数</w:t>
            </w:r>
            <w:r>
              <w:rPr>
                <w:rFonts w:ascii="黑体" w:hAnsi="黑体" w:cs="黑体" w:eastAsia="黑体" w:hint="default"/>
                <w:sz w:val="20"/>
                <w:szCs w:val="20"/>
              </w:rPr>
            </w:r>
          </w:p>
        </w:tc>
      </w:tr>
      <w:tr>
        <w:trPr>
          <w:trHeight w:val="386" w:hRule="exact"/>
        </w:trPr>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00" w:right="0"/>
              <w:jc w:val="left"/>
              <w:rPr>
                <w:rFonts w:ascii="黑体" w:hAnsi="黑体" w:cs="黑体" w:eastAsia="黑体" w:hint="default"/>
                <w:sz w:val="20"/>
                <w:szCs w:val="20"/>
              </w:rPr>
            </w:pPr>
            <w:r>
              <w:rPr>
                <w:rFonts w:ascii="黑体" w:hAnsi="黑体" w:cs="黑体" w:eastAsia="黑体" w:hint="default"/>
                <w:sz w:val="20"/>
                <w:szCs w:val="20"/>
              </w:rPr>
              <w:t>法定盈余公积</w:t>
            </w:r>
          </w:p>
        </w:tc>
        <w:tc>
          <w:tcPr>
            <w:tcW w:w="2576"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348"/>
              <w:jc w:val="right"/>
              <w:rPr>
                <w:rFonts w:ascii="Arial" w:hAnsi="Arial" w:cs="Arial" w:eastAsia="Arial" w:hint="default"/>
                <w:sz w:val="20"/>
                <w:szCs w:val="20"/>
              </w:rPr>
            </w:pPr>
            <w:r>
              <w:rPr>
                <w:rFonts w:ascii="Arial"/>
                <w:spacing w:val="-1"/>
                <w:sz w:val="20"/>
              </w:rPr>
              <w:t>290,466,670</w:t>
            </w:r>
            <w:r>
              <w:rPr>
                <w:rFonts w:ascii="Arial"/>
                <w:sz w:val="20"/>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366"/>
              <w:jc w:val="right"/>
              <w:rPr>
                <w:rFonts w:ascii="Arial" w:hAnsi="Arial" w:cs="Arial" w:eastAsia="Arial" w:hint="default"/>
                <w:sz w:val="20"/>
                <w:szCs w:val="20"/>
              </w:rPr>
            </w:pPr>
            <w:r>
              <w:rPr>
                <w:rFonts w:ascii="Arial"/>
                <w:spacing w:val="-1"/>
                <w:sz w:val="20"/>
              </w:rPr>
              <w:t>42,657,180</w:t>
            </w:r>
            <w:r>
              <w:rPr>
                <w:rFonts w:ascii="Arial"/>
                <w:sz w:val="20"/>
              </w:rPr>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98"/>
              <w:jc w:val="right"/>
              <w:rPr>
                <w:rFonts w:ascii="Arial" w:hAnsi="Arial" w:cs="Arial" w:eastAsia="Arial" w:hint="default"/>
                <w:sz w:val="20"/>
                <w:szCs w:val="20"/>
              </w:rPr>
            </w:pPr>
            <w:r>
              <w:rPr>
                <w:rFonts w:ascii="Arial"/>
                <w:spacing w:val="-1"/>
                <w:sz w:val="20"/>
              </w:rPr>
              <w:t>333,123,850</w:t>
            </w:r>
            <w:r>
              <w:rPr>
                <w:rFonts w:ascii="Arial"/>
                <w:sz w:val="20"/>
              </w:rPr>
            </w:r>
          </w:p>
        </w:tc>
      </w:tr>
      <w:tr>
        <w:trPr>
          <w:trHeight w:val="388" w:hRule="exact"/>
        </w:trPr>
        <w:tc>
          <w:tcPr>
            <w:tcW w:w="2515"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z w:val="20"/>
                <w:szCs w:val="20"/>
              </w:rPr>
              <w:t>任意盈余公积</w:t>
            </w:r>
          </w:p>
        </w:tc>
        <w:tc>
          <w:tcPr>
            <w:tcW w:w="257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8"/>
              <w:jc w:val="right"/>
              <w:rPr>
                <w:rFonts w:ascii="Arial" w:hAnsi="Arial" w:cs="Arial" w:eastAsia="Arial" w:hint="default"/>
                <w:sz w:val="20"/>
                <w:szCs w:val="20"/>
              </w:rPr>
            </w:pPr>
            <w:r>
              <w:rPr>
                <w:rFonts w:ascii="Arial"/>
                <w:w w:val="99"/>
                <w:sz w:val="20"/>
              </w:rPr>
            </w:r>
            <w:r>
              <w:rPr>
                <w:rFonts w:ascii="Arial"/>
                <w:spacing w:val="-1"/>
                <w:sz w:val="20"/>
                <w:u w:val="single" w:color="000000"/>
              </w:rPr>
              <w:t>100,931,332</w:t>
            </w:r>
            <w:r>
              <w:rPr>
                <w:rFonts w:ascii="Arial"/>
                <w:spacing w:val="-1"/>
                <w:sz w:val="20"/>
              </w:rPr>
            </w:r>
            <w:r>
              <w:rPr>
                <w:rFonts w:ascii="Arial"/>
                <w:sz w:val="20"/>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4"/>
              <w:jc w:val="right"/>
              <w:rPr>
                <w:rFonts w:ascii="Arial" w:hAnsi="Arial" w:cs="Arial" w:eastAsia="Arial" w:hint="default"/>
                <w:sz w:val="20"/>
                <w:szCs w:val="20"/>
              </w:rPr>
            </w:pPr>
            <w:r>
              <w:rPr>
                <w:rFonts w:ascii="Arial"/>
                <w:w w:val="99"/>
                <w:sz w:val="20"/>
              </w:rPr>
            </w:r>
            <w:r>
              <w:rPr>
                <w:rFonts w:ascii="Arial"/>
                <w:spacing w:val="-1"/>
                <w:sz w:val="20"/>
                <w:u w:val="single" w:color="000000"/>
              </w:rPr>
              <w:t>21,328,590</w:t>
            </w:r>
            <w:r>
              <w:rPr>
                <w:rFonts w:ascii="Arial"/>
                <w:spacing w:val="-1"/>
                <w:sz w:val="20"/>
              </w:rPr>
            </w:r>
            <w:r>
              <w:rPr>
                <w:rFonts w:ascii="Arial"/>
                <w:sz w:val="20"/>
              </w:rPr>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8"/>
              <w:jc w:val="right"/>
              <w:rPr>
                <w:rFonts w:ascii="Arial" w:hAnsi="Arial" w:cs="Arial" w:eastAsia="Arial" w:hint="default"/>
                <w:sz w:val="20"/>
                <w:szCs w:val="20"/>
              </w:rPr>
            </w:pPr>
            <w:r>
              <w:rPr>
                <w:rFonts w:ascii="Arial"/>
                <w:w w:val="99"/>
                <w:sz w:val="20"/>
              </w:rPr>
            </w:r>
            <w:r>
              <w:rPr>
                <w:rFonts w:ascii="Arial"/>
                <w:spacing w:val="-1"/>
                <w:sz w:val="20"/>
                <w:u w:val="single" w:color="000000"/>
              </w:rPr>
              <w:t>122,259,922</w:t>
            </w:r>
            <w:r>
              <w:rPr>
                <w:rFonts w:ascii="Arial"/>
                <w:spacing w:val="-1"/>
                <w:sz w:val="20"/>
              </w:rPr>
            </w:r>
            <w:r>
              <w:rPr>
                <w:rFonts w:ascii="Arial"/>
                <w:sz w:val="20"/>
              </w:rPr>
            </w:r>
          </w:p>
        </w:tc>
      </w:tr>
      <w:tr>
        <w:trPr>
          <w:trHeight w:val="355" w:hRule="exact"/>
        </w:trPr>
        <w:tc>
          <w:tcPr>
            <w:tcW w:w="2515" w:type="dxa"/>
            <w:tcBorders>
              <w:top w:val="nil" w:sz="6" w:space="0" w:color="auto"/>
              <w:left w:val="nil" w:sz="6" w:space="0" w:color="auto"/>
              <w:bottom w:val="nil" w:sz="6" w:space="0" w:color="auto"/>
              <w:right w:val="nil" w:sz="6" w:space="0" w:color="auto"/>
            </w:tcBorders>
          </w:tcPr>
          <w:p>
            <w:pPr/>
          </w:p>
        </w:tc>
        <w:tc>
          <w:tcPr>
            <w:tcW w:w="257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48"/>
              <w:jc w:val="right"/>
              <w:rPr>
                <w:rFonts w:ascii="Arial" w:hAnsi="Arial" w:cs="Arial" w:eastAsia="Arial" w:hint="default"/>
                <w:sz w:val="20"/>
                <w:szCs w:val="20"/>
              </w:rPr>
            </w:pPr>
            <w:r>
              <w:rPr>
                <w:rFonts w:ascii="Arial"/>
                <w:w w:val="99"/>
                <w:sz w:val="20"/>
              </w:rPr>
            </w:r>
            <w:r>
              <w:rPr>
                <w:rFonts w:ascii="Arial"/>
                <w:spacing w:val="-1"/>
                <w:sz w:val="20"/>
                <w:u w:val="thick" w:color="000000"/>
              </w:rPr>
              <w:t>391,398,002</w:t>
            </w:r>
            <w:r>
              <w:rPr>
                <w:rFonts w:ascii="Arial"/>
                <w:spacing w:val="-1"/>
                <w:sz w:val="20"/>
              </w:rPr>
            </w:r>
            <w:r>
              <w:rPr>
                <w:rFonts w:ascii="Arial"/>
                <w:sz w:val="20"/>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66"/>
              <w:jc w:val="right"/>
              <w:rPr>
                <w:rFonts w:ascii="Arial" w:hAnsi="Arial" w:cs="Arial" w:eastAsia="Arial" w:hint="default"/>
                <w:sz w:val="20"/>
                <w:szCs w:val="20"/>
              </w:rPr>
            </w:pPr>
            <w:r>
              <w:rPr>
                <w:rFonts w:ascii="Arial"/>
                <w:w w:val="99"/>
                <w:sz w:val="20"/>
              </w:rPr>
            </w:r>
            <w:r>
              <w:rPr>
                <w:rFonts w:ascii="Arial"/>
                <w:spacing w:val="-1"/>
                <w:sz w:val="20"/>
                <w:u w:val="thick" w:color="000000"/>
              </w:rPr>
              <w:t>63,985,770</w:t>
            </w:r>
            <w:r>
              <w:rPr>
                <w:rFonts w:ascii="Arial"/>
                <w:spacing w:val="-1"/>
                <w:sz w:val="20"/>
              </w:rPr>
            </w:r>
            <w:r>
              <w:rPr>
                <w:rFonts w:ascii="Arial"/>
                <w:sz w:val="20"/>
              </w:rPr>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00"/>
              <w:jc w:val="right"/>
              <w:rPr>
                <w:rFonts w:ascii="Arial" w:hAnsi="Arial" w:cs="Arial" w:eastAsia="Arial" w:hint="default"/>
                <w:sz w:val="20"/>
                <w:szCs w:val="20"/>
              </w:rPr>
            </w:pPr>
            <w:r>
              <w:rPr>
                <w:rFonts w:ascii="Arial"/>
                <w:w w:val="99"/>
                <w:sz w:val="20"/>
              </w:rPr>
            </w:r>
            <w:r>
              <w:rPr>
                <w:rFonts w:ascii="Arial"/>
                <w:spacing w:val="-1"/>
                <w:sz w:val="20"/>
                <w:u w:val="thick" w:color="000000"/>
              </w:rPr>
              <w:t>455,383,772</w:t>
            </w:r>
            <w:r>
              <w:rPr>
                <w:rFonts w:ascii="Arial"/>
                <w:spacing w:val="-1"/>
                <w:sz w:val="20"/>
              </w:rPr>
            </w:r>
            <w:r>
              <w:rPr>
                <w:rFonts w:ascii="Arial"/>
                <w:sz w:val="20"/>
              </w:rPr>
            </w:r>
          </w:p>
        </w:tc>
      </w:tr>
    </w:tbl>
    <w:p>
      <w:pPr>
        <w:spacing w:line="240" w:lineRule="auto" w:before="11"/>
        <w:rPr>
          <w:rFonts w:ascii="黑体" w:hAnsi="黑体" w:cs="黑体" w:eastAsia="黑体" w:hint="default"/>
          <w:sz w:val="10"/>
          <w:szCs w:val="10"/>
        </w:rPr>
      </w:pPr>
    </w:p>
    <w:p>
      <w:pPr>
        <w:pStyle w:val="BodyText"/>
        <w:spacing w:line="240" w:lineRule="auto" w:before="37"/>
        <w:ind w:right="0"/>
        <w:jc w:val="left"/>
      </w:pPr>
      <w:r>
        <w:rPr>
          <w:rFonts w:ascii="Arial" w:hAnsi="Arial" w:cs="Arial" w:eastAsia="Arial" w:hint="default"/>
        </w:rPr>
        <w:t>2011</w:t>
      </w:r>
      <w:r>
        <w:rPr/>
        <w:t>年</w:t>
      </w:r>
    </w:p>
    <w:p>
      <w:pPr>
        <w:spacing w:line="240" w:lineRule="auto" w:before="2"/>
        <w:rPr>
          <w:rFonts w:ascii="黑体" w:hAnsi="黑体" w:cs="黑体" w:eastAsia="黑体" w:hint="default"/>
          <w:sz w:val="20"/>
          <w:szCs w:val="20"/>
        </w:rPr>
      </w:pPr>
    </w:p>
    <w:tbl>
      <w:tblPr>
        <w:tblW w:w="0" w:type="auto"/>
        <w:jc w:val="left"/>
        <w:tblInd w:w="609" w:type="dxa"/>
        <w:tblLayout w:type="fixed"/>
        <w:tblCellMar>
          <w:top w:w="0" w:type="dxa"/>
          <w:left w:w="0" w:type="dxa"/>
          <w:bottom w:w="0" w:type="dxa"/>
          <w:right w:w="0" w:type="dxa"/>
        </w:tblCellMar>
        <w:tblLook w:val="01E0"/>
      </w:tblPr>
      <w:tblGrid>
        <w:gridCol w:w="2515"/>
        <w:gridCol w:w="2576"/>
        <w:gridCol w:w="1716"/>
        <w:gridCol w:w="1676"/>
      </w:tblGrid>
      <w:tr>
        <w:trPr>
          <w:trHeight w:val="354" w:hRule="exact"/>
        </w:trPr>
        <w:tc>
          <w:tcPr>
            <w:tcW w:w="2515" w:type="dxa"/>
            <w:tcBorders>
              <w:top w:val="nil" w:sz="6" w:space="0" w:color="auto"/>
              <w:left w:val="nil" w:sz="6" w:space="0" w:color="auto"/>
              <w:bottom w:val="nil" w:sz="6" w:space="0" w:color="auto"/>
              <w:right w:val="nil" w:sz="6" w:space="0" w:color="auto"/>
            </w:tcBorders>
          </w:tcPr>
          <w:p>
            <w:pPr/>
          </w:p>
        </w:tc>
        <w:tc>
          <w:tcPr>
            <w:tcW w:w="2576" w:type="dxa"/>
            <w:tcBorders>
              <w:top w:val="nil" w:sz="6" w:space="0" w:color="auto"/>
              <w:left w:val="nil" w:sz="6" w:space="0" w:color="auto"/>
              <w:bottom w:val="nil" w:sz="6" w:space="0" w:color="auto"/>
              <w:right w:val="nil" w:sz="6" w:space="0" w:color="auto"/>
            </w:tcBorders>
          </w:tcPr>
          <w:p>
            <w:pPr>
              <w:pStyle w:val="TableParagraph"/>
              <w:spacing w:line="199" w:lineRule="exact"/>
              <w:ind w:right="348"/>
              <w:jc w:val="right"/>
              <w:rPr>
                <w:rFonts w:ascii="黑体" w:hAnsi="黑体" w:cs="黑体" w:eastAsia="黑体" w:hint="default"/>
                <w:sz w:val="20"/>
                <w:szCs w:val="20"/>
              </w:rPr>
            </w:pPr>
            <w:r>
              <w:rPr>
                <w:rFonts w:ascii="黑体" w:hAnsi="黑体" w:cs="黑体" w:eastAsia="黑体" w:hint="default"/>
                <w:w w:val="95"/>
                <w:sz w:val="20"/>
                <w:szCs w:val="20"/>
              </w:rPr>
              <w:t>年初数</w:t>
            </w:r>
            <w:r>
              <w:rPr>
                <w:rFonts w:ascii="黑体" w:hAnsi="黑体" w:cs="黑体" w:eastAsia="黑体" w:hint="default"/>
                <w:sz w:val="20"/>
                <w:szCs w:val="20"/>
              </w:rPr>
            </w:r>
          </w:p>
        </w:tc>
        <w:tc>
          <w:tcPr>
            <w:tcW w:w="1716" w:type="dxa"/>
            <w:tcBorders>
              <w:top w:val="nil" w:sz="6" w:space="0" w:color="auto"/>
              <w:left w:val="nil" w:sz="6" w:space="0" w:color="auto"/>
              <w:bottom w:val="nil" w:sz="6" w:space="0" w:color="auto"/>
              <w:right w:val="nil" w:sz="6" w:space="0" w:color="auto"/>
            </w:tcBorders>
          </w:tcPr>
          <w:p>
            <w:pPr>
              <w:pStyle w:val="TableParagraph"/>
              <w:spacing w:line="199" w:lineRule="exact"/>
              <w:ind w:right="398"/>
              <w:jc w:val="right"/>
              <w:rPr>
                <w:rFonts w:ascii="黑体" w:hAnsi="黑体" w:cs="黑体" w:eastAsia="黑体" w:hint="default"/>
                <w:sz w:val="20"/>
                <w:szCs w:val="20"/>
              </w:rPr>
            </w:pPr>
            <w:r>
              <w:rPr>
                <w:rFonts w:ascii="黑体" w:hAnsi="黑体" w:cs="黑体" w:eastAsia="黑体" w:hint="default"/>
                <w:w w:val="95"/>
                <w:sz w:val="20"/>
                <w:szCs w:val="20"/>
              </w:rPr>
              <w:t>本年增加</w:t>
            </w:r>
            <w:r>
              <w:rPr>
                <w:rFonts w:ascii="黑体" w:hAnsi="黑体" w:cs="黑体" w:eastAsia="黑体" w:hint="default"/>
                <w:sz w:val="20"/>
                <w:szCs w:val="20"/>
              </w:rPr>
            </w:r>
          </w:p>
        </w:tc>
        <w:tc>
          <w:tcPr>
            <w:tcW w:w="1676" w:type="dxa"/>
            <w:tcBorders>
              <w:top w:val="nil" w:sz="6" w:space="0" w:color="auto"/>
              <w:left w:val="nil" w:sz="6" w:space="0" w:color="auto"/>
              <w:bottom w:val="nil" w:sz="6" w:space="0" w:color="auto"/>
              <w:right w:val="nil" w:sz="6" w:space="0" w:color="auto"/>
            </w:tcBorders>
          </w:tcPr>
          <w:p>
            <w:pPr>
              <w:pStyle w:val="TableParagraph"/>
              <w:spacing w:line="199" w:lineRule="exact"/>
              <w:ind w:right="198"/>
              <w:jc w:val="right"/>
              <w:rPr>
                <w:rFonts w:ascii="黑体" w:hAnsi="黑体" w:cs="黑体" w:eastAsia="黑体" w:hint="default"/>
                <w:sz w:val="20"/>
                <w:szCs w:val="20"/>
              </w:rPr>
            </w:pPr>
            <w:r>
              <w:rPr>
                <w:rFonts w:ascii="黑体" w:hAnsi="黑体" w:cs="黑体" w:eastAsia="黑体" w:hint="default"/>
                <w:w w:val="95"/>
                <w:sz w:val="20"/>
                <w:szCs w:val="20"/>
              </w:rPr>
              <w:t>年末数</w:t>
            </w:r>
            <w:r>
              <w:rPr>
                <w:rFonts w:ascii="黑体" w:hAnsi="黑体" w:cs="黑体" w:eastAsia="黑体" w:hint="default"/>
                <w:sz w:val="20"/>
                <w:szCs w:val="20"/>
              </w:rPr>
            </w:r>
          </w:p>
        </w:tc>
      </w:tr>
      <w:tr>
        <w:trPr>
          <w:trHeight w:val="386" w:hRule="exact"/>
        </w:trPr>
        <w:tc>
          <w:tcPr>
            <w:tcW w:w="2515"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00" w:right="0"/>
              <w:jc w:val="left"/>
              <w:rPr>
                <w:rFonts w:ascii="黑体" w:hAnsi="黑体" w:cs="黑体" w:eastAsia="黑体" w:hint="default"/>
                <w:sz w:val="20"/>
                <w:szCs w:val="20"/>
              </w:rPr>
            </w:pPr>
            <w:r>
              <w:rPr>
                <w:rFonts w:ascii="黑体" w:hAnsi="黑体" w:cs="黑体" w:eastAsia="黑体" w:hint="default"/>
                <w:sz w:val="20"/>
                <w:szCs w:val="20"/>
              </w:rPr>
              <w:t>法定盈余公积</w:t>
            </w:r>
          </w:p>
        </w:tc>
        <w:tc>
          <w:tcPr>
            <w:tcW w:w="2576"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348"/>
              <w:jc w:val="right"/>
              <w:rPr>
                <w:rFonts w:ascii="Arial" w:hAnsi="Arial" w:cs="Arial" w:eastAsia="Arial" w:hint="default"/>
                <w:sz w:val="20"/>
                <w:szCs w:val="20"/>
              </w:rPr>
            </w:pPr>
            <w:r>
              <w:rPr>
                <w:rFonts w:ascii="Arial"/>
                <w:spacing w:val="-1"/>
                <w:sz w:val="20"/>
              </w:rPr>
              <w:t>241,796,079</w:t>
            </w:r>
            <w:r>
              <w:rPr>
                <w:rFonts w:ascii="Arial"/>
                <w:sz w:val="20"/>
              </w:rPr>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365"/>
              <w:jc w:val="right"/>
              <w:rPr>
                <w:rFonts w:ascii="Arial" w:hAnsi="Arial" w:cs="Arial" w:eastAsia="Arial" w:hint="default"/>
                <w:sz w:val="20"/>
                <w:szCs w:val="20"/>
              </w:rPr>
            </w:pPr>
            <w:r>
              <w:rPr>
                <w:rFonts w:ascii="Arial"/>
                <w:spacing w:val="-1"/>
                <w:sz w:val="20"/>
              </w:rPr>
              <w:t>48,670,591</w:t>
            </w:r>
            <w:r>
              <w:rPr>
                <w:rFonts w:ascii="Arial"/>
                <w:sz w:val="20"/>
              </w:rPr>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98"/>
              <w:jc w:val="right"/>
              <w:rPr>
                <w:rFonts w:ascii="Arial" w:hAnsi="Arial" w:cs="Arial" w:eastAsia="Arial" w:hint="default"/>
                <w:sz w:val="20"/>
                <w:szCs w:val="20"/>
              </w:rPr>
            </w:pPr>
            <w:r>
              <w:rPr>
                <w:rFonts w:ascii="Arial"/>
                <w:spacing w:val="-1"/>
                <w:sz w:val="20"/>
              </w:rPr>
              <w:t>290,466,670</w:t>
            </w:r>
            <w:r>
              <w:rPr>
                <w:rFonts w:ascii="Arial"/>
                <w:sz w:val="20"/>
              </w:rPr>
            </w:r>
          </w:p>
        </w:tc>
      </w:tr>
      <w:tr>
        <w:trPr>
          <w:trHeight w:val="388" w:hRule="exact"/>
        </w:trPr>
        <w:tc>
          <w:tcPr>
            <w:tcW w:w="2515"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z w:val="20"/>
                <w:szCs w:val="20"/>
              </w:rPr>
              <w:t>任意盈余公积</w:t>
            </w:r>
          </w:p>
        </w:tc>
        <w:tc>
          <w:tcPr>
            <w:tcW w:w="257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sz w:val="20"/>
                <w:u w:val="single" w:color="000000"/>
              </w:rPr>
              <w:t>76,596,037</w:t>
            </w:r>
            <w:r>
              <w:rPr>
                <w:rFonts w:ascii="Arial"/>
                <w:spacing w:val="-1"/>
                <w:sz w:val="20"/>
              </w:rPr>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5"/>
              <w:jc w:val="right"/>
              <w:rPr>
                <w:rFonts w:ascii="Arial" w:hAnsi="Arial" w:cs="Arial" w:eastAsia="Arial" w:hint="default"/>
                <w:sz w:val="20"/>
                <w:szCs w:val="20"/>
              </w:rPr>
            </w:pPr>
            <w:r>
              <w:rPr>
                <w:rFonts w:ascii="Arial"/>
                <w:w w:val="99"/>
                <w:sz w:val="20"/>
              </w:rPr>
            </w:r>
            <w:r>
              <w:rPr>
                <w:rFonts w:ascii="Arial"/>
                <w:spacing w:val="-1"/>
                <w:sz w:val="20"/>
                <w:u w:val="single" w:color="000000"/>
              </w:rPr>
              <w:t>24,335,295</w:t>
            </w:r>
            <w:r>
              <w:rPr>
                <w:rFonts w:ascii="Arial"/>
                <w:spacing w:val="-1"/>
                <w:sz w:val="20"/>
              </w:rPr>
            </w:r>
            <w:r>
              <w:rPr>
                <w:rFonts w:ascii="Arial"/>
                <w:sz w:val="20"/>
              </w:rPr>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8"/>
              <w:jc w:val="right"/>
              <w:rPr>
                <w:rFonts w:ascii="Arial" w:hAnsi="Arial" w:cs="Arial" w:eastAsia="Arial" w:hint="default"/>
                <w:sz w:val="20"/>
                <w:szCs w:val="20"/>
              </w:rPr>
            </w:pPr>
            <w:r>
              <w:rPr>
                <w:rFonts w:ascii="Arial"/>
                <w:w w:val="99"/>
                <w:sz w:val="20"/>
              </w:rPr>
            </w:r>
            <w:r>
              <w:rPr>
                <w:rFonts w:ascii="Arial"/>
                <w:spacing w:val="-1"/>
                <w:sz w:val="20"/>
                <w:u w:val="single" w:color="000000"/>
              </w:rPr>
              <w:t>100,931,332</w:t>
            </w:r>
            <w:r>
              <w:rPr>
                <w:rFonts w:ascii="Arial"/>
                <w:spacing w:val="-1"/>
                <w:sz w:val="20"/>
              </w:rPr>
            </w:r>
            <w:r>
              <w:rPr>
                <w:rFonts w:ascii="Arial"/>
                <w:sz w:val="20"/>
              </w:rPr>
            </w:r>
          </w:p>
        </w:tc>
      </w:tr>
      <w:tr>
        <w:trPr>
          <w:trHeight w:val="355" w:hRule="exact"/>
        </w:trPr>
        <w:tc>
          <w:tcPr>
            <w:tcW w:w="2515" w:type="dxa"/>
            <w:tcBorders>
              <w:top w:val="nil" w:sz="6" w:space="0" w:color="auto"/>
              <w:left w:val="nil" w:sz="6" w:space="0" w:color="auto"/>
              <w:bottom w:val="nil" w:sz="6" w:space="0" w:color="auto"/>
              <w:right w:val="nil" w:sz="6" w:space="0" w:color="auto"/>
            </w:tcBorders>
          </w:tcPr>
          <w:p>
            <w:pPr/>
          </w:p>
        </w:tc>
        <w:tc>
          <w:tcPr>
            <w:tcW w:w="257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48"/>
              <w:jc w:val="right"/>
              <w:rPr>
                <w:rFonts w:ascii="Arial" w:hAnsi="Arial" w:cs="Arial" w:eastAsia="Arial" w:hint="default"/>
                <w:sz w:val="20"/>
                <w:szCs w:val="20"/>
              </w:rPr>
            </w:pPr>
            <w:r>
              <w:rPr>
                <w:rFonts w:ascii="Arial"/>
                <w:w w:val="99"/>
                <w:sz w:val="20"/>
              </w:rPr>
            </w:r>
            <w:r>
              <w:rPr>
                <w:rFonts w:ascii="Arial"/>
                <w:spacing w:val="-1"/>
                <w:sz w:val="20"/>
                <w:u w:val="thick" w:color="000000"/>
              </w:rPr>
              <w:t>318,392,116</w:t>
            </w:r>
            <w:r>
              <w:rPr>
                <w:rFonts w:ascii="Arial"/>
                <w:spacing w:val="-1"/>
                <w:sz w:val="20"/>
              </w:rPr>
            </w:r>
            <w:r>
              <w:rPr>
                <w:rFonts w:ascii="Arial"/>
                <w:sz w:val="20"/>
              </w:rPr>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65"/>
              <w:jc w:val="right"/>
              <w:rPr>
                <w:rFonts w:ascii="Arial" w:hAnsi="Arial" w:cs="Arial" w:eastAsia="Arial" w:hint="default"/>
                <w:sz w:val="20"/>
                <w:szCs w:val="20"/>
              </w:rPr>
            </w:pPr>
            <w:r>
              <w:rPr>
                <w:rFonts w:ascii="Arial"/>
                <w:w w:val="99"/>
                <w:sz w:val="20"/>
              </w:rPr>
            </w:r>
            <w:r>
              <w:rPr>
                <w:rFonts w:ascii="Arial"/>
                <w:spacing w:val="-1"/>
                <w:sz w:val="20"/>
                <w:u w:val="thick" w:color="000000"/>
              </w:rPr>
              <w:t>73,005,886</w:t>
            </w:r>
            <w:r>
              <w:rPr>
                <w:rFonts w:ascii="Arial"/>
                <w:spacing w:val="-1"/>
                <w:sz w:val="20"/>
              </w:rPr>
            </w:r>
            <w:r>
              <w:rPr>
                <w:rFonts w:ascii="Arial"/>
                <w:sz w:val="20"/>
              </w:rPr>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391,398,002</w:t>
            </w:r>
            <w:r>
              <w:rPr>
                <w:rFonts w:ascii="Arial"/>
                <w:spacing w:val="-1"/>
                <w:sz w:val="20"/>
              </w:rPr>
            </w:r>
            <w:r>
              <w:rPr>
                <w:rFonts w:ascii="Arial"/>
                <w:sz w:val="20"/>
              </w:rPr>
            </w:r>
          </w:p>
        </w:tc>
      </w:tr>
    </w:tbl>
    <w:p>
      <w:pPr>
        <w:spacing w:line="240" w:lineRule="auto" w:before="3"/>
        <w:rPr>
          <w:rFonts w:ascii="黑体" w:hAnsi="黑体" w:cs="黑体" w:eastAsia="黑体" w:hint="default"/>
          <w:sz w:val="22"/>
          <w:szCs w:val="22"/>
        </w:rPr>
      </w:pPr>
    </w:p>
    <w:p>
      <w:pPr>
        <w:pStyle w:val="BodyText"/>
        <w:spacing w:line="261" w:lineRule="auto" w:before="37"/>
        <w:ind w:left="809" w:right="314"/>
        <w:jc w:val="both"/>
      </w:pPr>
      <w:r>
        <w:rPr>
          <w:spacing w:val="2"/>
          <w:w w:val="95"/>
        </w:rPr>
        <w:t>根据公司法、本公司章程的规定，本公司按净利润的</w:t>
      </w:r>
      <w:r>
        <w:rPr>
          <w:rFonts w:ascii="Arial" w:hAnsi="Arial" w:cs="Arial" w:eastAsia="Arial" w:hint="default"/>
          <w:spacing w:val="2"/>
          <w:w w:val="95"/>
        </w:rPr>
        <w:t>10%</w:t>
      </w:r>
      <w:r>
        <w:rPr>
          <w:spacing w:val="2"/>
          <w:w w:val="95"/>
        </w:rPr>
        <w:t>提取法定盈余公积金。法定盈余公</w:t>
      </w:r>
      <w:r>
        <w:rPr>
          <w:spacing w:val="90"/>
          <w:w w:val="95"/>
        </w:rPr>
        <w:t> </w:t>
      </w:r>
      <w:r>
        <w:rPr>
          <w:spacing w:val="90"/>
          <w:w w:val="95"/>
        </w:rPr>
      </w:r>
      <w:r>
        <w:rPr/>
        <w:t>积累计额为本公司注册资本</w:t>
      </w:r>
      <w:r>
        <w:rPr>
          <w:rFonts w:ascii="Arial" w:hAnsi="Arial" w:cs="Arial" w:eastAsia="Arial" w:hint="default"/>
        </w:rPr>
        <w:t>50%</w:t>
      </w:r>
      <w:r>
        <w:rPr/>
        <w:t>以上的，可不再提取。</w:t>
      </w:r>
    </w:p>
    <w:p>
      <w:pPr>
        <w:spacing w:line="240" w:lineRule="auto" w:before="3"/>
        <w:rPr>
          <w:rFonts w:ascii="黑体" w:hAnsi="黑体" w:cs="黑体" w:eastAsia="黑体" w:hint="default"/>
          <w:sz w:val="23"/>
          <w:szCs w:val="23"/>
        </w:rPr>
      </w:pPr>
    </w:p>
    <w:p>
      <w:pPr>
        <w:pStyle w:val="BodyText"/>
        <w:spacing w:line="268" w:lineRule="auto"/>
        <w:ind w:left="809" w:right="316"/>
        <w:jc w:val="both"/>
      </w:pPr>
      <w:r>
        <w:rPr>
          <w:spacing w:val="2"/>
          <w:w w:val="95"/>
        </w:rPr>
        <w:t>本公司在提取法定盈余公积后，可提取任意盈余公积。任意盈余公积的提取由董事会提议，</w:t>
      </w:r>
      <w:r>
        <w:rPr>
          <w:spacing w:val="90"/>
          <w:w w:val="95"/>
        </w:rPr>
        <w:t> </w:t>
      </w:r>
      <w:r>
        <w:rPr>
          <w:spacing w:val="90"/>
          <w:w w:val="95"/>
        </w:rPr>
      </w:r>
      <w:r>
        <w:rPr>
          <w:spacing w:val="-2"/>
        </w:rPr>
        <w:t>并经股东大会批准。经批准，任意盈余公积可用于弥补以前年度亏损或增加股本。经</w:t>
      </w:r>
      <w:r>
        <w:rPr>
          <w:rFonts w:ascii="Arial" w:hAnsi="Arial" w:cs="Arial" w:eastAsia="Arial" w:hint="default"/>
          <w:spacing w:val="-2"/>
        </w:rPr>
        <w:t>2013</w:t>
      </w:r>
      <w:r>
        <w:rPr>
          <w:spacing w:val="-2"/>
        </w:rPr>
        <w:t>年</w:t>
      </w:r>
      <w:r>
        <w:rPr>
          <w:rFonts w:ascii="Arial" w:hAnsi="Arial" w:cs="Arial" w:eastAsia="Arial" w:hint="default"/>
          <w:spacing w:val="-2"/>
        </w:rPr>
        <w:t>3</w:t>
      </w:r>
      <w:r>
        <w:rPr>
          <w:rFonts w:ascii="Arial" w:hAnsi="Arial" w:cs="Arial" w:eastAsia="Arial" w:hint="default"/>
          <w:w w:val="99"/>
        </w:rPr>
        <w:t> </w:t>
      </w:r>
      <w:r>
        <w:rPr/>
        <w:t>月</w:t>
      </w:r>
      <w:r>
        <w:rPr>
          <w:rFonts w:ascii="Arial" w:hAnsi="Arial" w:cs="Arial" w:eastAsia="Arial" w:hint="default"/>
        </w:rPr>
        <w:t>18</w:t>
      </w:r>
      <w:r>
        <w:rPr/>
        <w:t>日董事会提议，本公司按</w:t>
      </w:r>
      <w:r>
        <w:rPr>
          <w:rFonts w:ascii="Arial" w:hAnsi="Arial" w:cs="Arial" w:eastAsia="Arial" w:hint="default"/>
        </w:rPr>
        <w:t>2012</w:t>
      </w:r>
      <w:r>
        <w:rPr/>
        <w:t>年净利润</w:t>
      </w:r>
      <w:r>
        <w:rPr>
          <w:rFonts w:ascii="Arial" w:hAnsi="Arial" w:cs="Arial" w:eastAsia="Arial" w:hint="default"/>
        </w:rPr>
        <w:t>5%</w:t>
      </w:r>
      <w:r>
        <w:rPr/>
        <w:t>计提任意盈余公积。</w:t>
      </w:r>
    </w:p>
    <w:p>
      <w:pPr>
        <w:spacing w:after="0" w:line="268" w:lineRule="auto"/>
        <w:jc w:val="both"/>
        <w:sectPr>
          <w:pgSz w:w="11910" w:h="16840"/>
          <w:pgMar w:header="825" w:footer="473" w:top="2420" w:bottom="660" w:left="1600" w:right="1100"/>
        </w:sectPr>
      </w:pPr>
    </w:p>
    <w:p>
      <w:pPr>
        <w:spacing w:line="240" w:lineRule="auto" w:before="12"/>
        <w:rPr>
          <w:rFonts w:ascii="黑体" w:hAnsi="黑体" w:cs="黑体" w:eastAsia="黑体" w:hint="default"/>
          <w:sz w:val="18"/>
          <w:szCs w:val="18"/>
        </w:rPr>
      </w:pPr>
    </w:p>
    <w:p>
      <w:pPr>
        <w:pStyle w:val="Heading6"/>
        <w:tabs>
          <w:tab w:pos="804" w:val="left" w:leader="none"/>
        </w:tabs>
        <w:spacing w:line="240" w:lineRule="auto"/>
        <w:ind w:right="0"/>
        <w:jc w:val="left"/>
        <w:rPr>
          <w:b w:val="0"/>
          <w:bCs w:val="0"/>
        </w:rPr>
      </w:pPr>
      <w:r>
        <w:rPr>
          <w:w w:val="95"/>
        </w:rPr>
        <w:t>五、</w:t>
        <w:tab/>
      </w:r>
      <w:bookmarkStart w:name="五、   合并财务报表主要项目注释（续）" w:id="132"/>
      <w:bookmarkEnd w:id="132"/>
      <w:r>
        <w:rPr/>
        <w:t>合并</w:t>
      </w:r>
      <w:r>
        <w:rPr/>
        <w:t>财务报表主要项目注释（续）</w:t>
      </w:r>
      <w:r>
        <w:rPr>
          <w:b w:val="0"/>
          <w:bCs w:val="0"/>
        </w:rPr>
      </w:r>
    </w:p>
    <w:p>
      <w:pPr>
        <w:spacing w:line="240" w:lineRule="auto" w:before="5"/>
        <w:rPr>
          <w:rFonts w:ascii="黑体" w:hAnsi="黑体" w:cs="黑体" w:eastAsia="黑体" w:hint="default"/>
          <w:b/>
          <w:bCs/>
          <w:sz w:val="17"/>
          <w:szCs w:val="17"/>
        </w:rPr>
      </w:pPr>
    </w:p>
    <w:p>
      <w:pPr>
        <w:pStyle w:val="Heading6"/>
        <w:tabs>
          <w:tab w:pos="823" w:val="left" w:leader="none"/>
        </w:tabs>
        <w:spacing w:line="240" w:lineRule="auto" w:before="0"/>
        <w:ind w:right="0"/>
        <w:jc w:val="left"/>
        <w:rPr>
          <w:b w:val="0"/>
          <w:bCs w:val="0"/>
        </w:rPr>
      </w:pPr>
      <w:r>
        <w:rPr>
          <w:rFonts w:ascii="Arial" w:hAnsi="Arial" w:cs="Arial" w:eastAsia="Arial" w:hint="default"/>
          <w:spacing w:val="-1"/>
          <w:w w:val="95"/>
        </w:rPr>
        <w:t>34.</w:t>
        <w:tab/>
      </w:r>
      <w:r>
        <w:rPr>
          <w:spacing w:val="1"/>
        </w:rPr>
        <w:t>未分</w:t>
      </w:r>
      <w:bookmarkStart w:name="34.    未分配利润" w:id="133"/>
      <w:bookmarkEnd w:id="133"/>
      <w:r>
        <w:rPr>
          <w:spacing w:val="1"/>
        </w:rPr>
        <w:t>配利润</w:t>
      </w:r>
      <w:r>
        <w:rPr>
          <w:b w:val="0"/>
          <w:bCs w:val="0"/>
        </w:rPr>
      </w:r>
    </w:p>
    <w:p>
      <w:pPr>
        <w:spacing w:line="240" w:lineRule="auto" w:before="6"/>
        <w:rPr>
          <w:rFonts w:ascii="黑体" w:hAnsi="黑体" w:cs="黑体" w:eastAsia="黑体" w:hint="default"/>
          <w:b/>
          <w:bCs/>
          <w:sz w:val="19"/>
          <w:szCs w:val="19"/>
        </w:rPr>
      </w:pPr>
    </w:p>
    <w:tbl>
      <w:tblPr>
        <w:tblW w:w="0" w:type="auto"/>
        <w:jc w:val="left"/>
        <w:tblInd w:w="602" w:type="dxa"/>
        <w:tblLayout w:type="fixed"/>
        <w:tblCellMar>
          <w:top w:w="0" w:type="dxa"/>
          <w:left w:w="0" w:type="dxa"/>
          <w:bottom w:w="0" w:type="dxa"/>
          <w:right w:w="0" w:type="dxa"/>
        </w:tblCellMar>
        <w:tblLook w:val="01E0"/>
      </w:tblPr>
      <w:tblGrid>
        <w:gridCol w:w="4169"/>
        <w:gridCol w:w="2272"/>
        <w:gridCol w:w="1624"/>
      </w:tblGrid>
      <w:tr>
        <w:trPr>
          <w:trHeight w:val="360" w:hRule="exact"/>
        </w:trPr>
        <w:tc>
          <w:tcPr>
            <w:tcW w:w="4169" w:type="dxa"/>
            <w:tcBorders>
              <w:top w:val="nil" w:sz="6" w:space="0" w:color="auto"/>
              <w:left w:val="nil" w:sz="6" w:space="0" w:color="auto"/>
              <w:bottom w:val="nil" w:sz="6" w:space="0" w:color="auto"/>
              <w:right w:val="nil" w:sz="6" w:space="0" w:color="auto"/>
            </w:tcBorders>
          </w:tcPr>
          <w:p>
            <w:pPr/>
          </w:p>
        </w:tc>
        <w:tc>
          <w:tcPr>
            <w:tcW w:w="2272" w:type="dxa"/>
            <w:tcBorders>
              <w:top w:val="nil" w:sz="6" w:space="0" w:color="auto"/>
              <w:left w:val="nil" w:sz="6" w:space="0" w:color="auto"/>
              <w:bottom w:val="nil" w:sz="6" w:space="0" w:color="auto"/>
              <w:right w:val="nil" w:sz="6" w:space="0" w:color="auto"/>
            </w:tcBorders>
          </w:tcPr>
          <w:p>
            <w:pPr>
              <w:pStyle w:val="TableParagraph"/>
              <w:spacing w:line="214" w:lineRule="exact"/>
              <w:ind w:right="181"/>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1624" w:type="dxa"/>
            <w:tcBorders>
              <w:top w:val="nil" w:sz="6" w:space="0" w:color="auto"/>
              <w:left w:val="nil" w:sz="6" w:space="0" w:color="auto"/>
              <w:bottom w:val="nil" w:sz="6" w:space="0" w:color="auto"/>
              <w:right w:val="nil" w:sz="6" w:space="0" w:color="auto"/>
            </w:tcBorders>
          </w:tcPr>
          <w:p>
            <w:pPr>
              <w:pStyle w:val="TableParagraph"/>
              <w:spacing w:line="214" w:lineRule="exact"/>
              <w:ind w:right="231"/>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r>
      <w:tr>
        <w:trPr>
          <w:trHeight w:val="379" w:hRule="exact"/>
        </w:trPr>
        <w:tc>
          <w:tcPr>
            <w:tcW w:w="416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07" w:right="0"/>
              <w:jc w:val="left"/>
              <w:rPr>
                <w:rFonts w:ascii="黑体" w:hAnsi="黑体" w:cs="黑体" w:eastAsia="黑体" w:hint="default"/>
                <w:sz w:val="20"/>
                <w:szCs w:val="20"/>
              </w:rPr>
            </w:pPr>
            <w:r>
              <w:rPr>
                <w:rFonts w:ascii="黑体" w:hAnsi="黑体" w:cs="黑体" w:eastAsia="黑体" w:hint="default"/>
                <w:sz w:val="20"/>
                <w:szCs w:val="20"/>
              </w:rPr>
              <w:t>年初未分配利润</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81"/>
              <w:jc w:val="right"/>
              <w:rPr>
                <w:rFonts w:ascii="Arial" w:hAnsi="Arial" w:cs="Arial" w:eastAsia="Arial" w:hint="default"/>
                <w:sz w:val="20"/>
                <w:szCs w:val="20"/>
              </w:rPr>
            </w:pPr>
            <w:r>
              <w:rPr>
                <w:rFonts w:ascii="Arial"/>
                <w:spacing w:val="-1"/>
                <w:sz w:val="20"/>
              </w:rPr>
              <w:t>1,011,116,076</w:t>
            </w:r>
            <w:r>
              <w:rPr>
                <w:rFonts w:ascii="Arial"/>
                <w:sz w:val="20"/>
              </w:rPr>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31"/>
              <w:jc w:val="right"/>
              <w:rPr>
                <w:rFonts w:ascii="Arial" w:hAnsi="Arial" w:cs="Arial" w:eastAsia="Arial" w:hint="default"/>
                <w:sz w:val="20"/>
                <w:szCs w:val="20"/>
              </w:rPr>
            </w:pPr>
            <w:r>
              <w:rPr>
                <w:rFonts w:ascii="Arial"/>
                <w:spacing w:val="-1"/>
                <w:sz w:val="20"/>
              </w:rPr>
              <w:t>726,864,193</w:t>
            </w:r>
            <w:r>
              <w:rPr>
                <w:rFonts w:ascii="Arial"/>
                <w:sz w:val="20"/>
              </w:rPr>
            </w:r>
          </w:p>
        </w:tc>
      </w:tr>
      <w:tr>
        <w:trPr>
          <w:trHeight w:val="254" w:hRule="exact"/>
        </w:trPr>
        <w:tc>
          <w:tcPr>
            <w:tcW w:w="4169"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归属于母公司的净利润</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81"/>
              <w:jc w:val="right"/>
              <w:rPr>
                <w:rFonts w:ascii="Arial" w:hAnsi="Arial" w:cs="Arial" w:eastAsia="Arial" w:hint="default"/>
                <w:sz w:val="20"/>
                <w:szCs w:val="20"/>
              </w:rPr>
            </w:pPr>
            <w:r>
              <w:rPr>
                <w:rFonts w:ascii="Arial"/>
                <w:spacing w:val="-1"/>
                <w:sz w:val="20"/>
              </w:rPr>
              <w:t>379,601,971</w:t>
            </w:r>
            <w:r>
              <w:rPr>
                <w:rFonts w:ascii="Arial"/>
                <w:sz w:val="20"/>
              </w:rPr>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31"/>
              <w:jc w:val="right"/>
              <w:rPr>
                <w:rFonts w:ascii="Arial" w:hAnsi="Arial" w:cs="Arial" w:eastAsia="Arial" w:hint="default"/>
                <w:sz w:val="20"/>
                <w:szCs w:val="20"/>
              </w:rPr>
            </w:pPr>
            <w:r>
              <w:rPr>
                <w:rFonts w:ascii="Arial"/>
                <w:spacing w:val="-1"/>
                <w:sz w:val="20"/>
              </w:rPr>
              <w:t>536,784,549</w:t>
            </w:r>
            <w:r>
              <w:rPr>
                <w:rFonts w:ascii="Arial"/>
                <w:sz w:val="20"/>
              </w:rPr>
            </w:r>
          </w:p>
        </w:tc>
      </w:tr>
      <w:tr>
        <w:trPr>
          <w:trHeight w:val="259" w:hRule="exact"/>
        </w:trPr>
        <w:tc>
          <w:tcPr>
            <w:tcW w:w="4169"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Arial" w:hAnsi="Arial" w:cs="Arial" w:eastAsia="Arial" w:hint="default"/>
                <w:sz w:val="20"/>
                <w:szCs w:val="20"/>
              </w:rPr>
            </w:pPr>
            <w:r>
              <w:rPr>
                <w:rFonts w:ascii="黑体" w:hAnsi="黑体" w:cs="黑体" w:eastAsia="黑体" w:hint="default"/>
                <w:sz w:val="20"/>
                <w:szCs w:val="20"/>
              </w:rPr>
              <w:t>减：提取法定盈余公积</w:t>
            </w:r>
            <w:r>
              <w:rPr>
                <w:rFonts w:ascii="Arial" w:hAnsi="Arial" w:cs="Arial" w:eastAsia="Arial" w:hint="default"/>
                <w:sz w:val="20"/>
                <w:szCs w:val="20"/>
              </w:rPr>
              <w:t>(</w:t>
            </w:r>
            <w:r>
              <w:rPr>
                <w:rFonts w:ascii="黑体" w:hAnsi="黑体" w:cs="黑体" w:eastAsia="黑体" w:hint="default"/>
                <w:sz w:val="20"/>
                <w:szCs w:val="20"/>
              </w:rPr>
              <w:t>附注五、</w:t>
            </w:r>
            <w:r>
              <w:rPr>
                <w:rFonts w:ascii="Arial" w:hAnsi="Arial" w:cs="Arial" w:eastAsia="Arial" w:hint="default"/>
                <w:sz w:val="20"/>
                <w:szCs w:val="20"/>
              </w:rPr>
              <w:t>33)</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81"/>
              <w:jc w:val="right"/>
              <w:rPr>
                <w:rFonts w:ascii="Arial" w:hAnsi="Arial" w:cs="Arial" w:eastAsia="Arial" w:hint="default"/>
                <w:sz w:val="20"/>
                <w:szCs w:val="20"/>
              </w:rPr>
            </w:pPr>
            <w:r>
              <w:rPr>
                <w:rFonts w:ascii="Arial"/>
                <w:spacing w:val="-1"/>
                <w:w w:val="95"/>
                <w:sz w:val="20"/>
              </w:rPr>
              <w:t>42,657,180</w:t>
            </w:r>
            <w:r>
              <w:rPr>
                <w:rFonts w:ascii="Arial"/>
                <w:sz w:val="20"/>
              </w:rPr>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231"/>
              <w:jc w:val="right"/>
              <w:rPr>
                <w:rFonts w:ascii="Arial" w:hAnsi="Arial" w:cs="Arial" w:eastAsia="Arial" w:hint="default"/>
                <w:sz w:val="20"/>
                <w:szCs w:val="20"/>
              </w:rPr>
            </w:pPr>
            <w:r>
              <w:rPr>
                <w:rFonts w:ascii="Arial"/>
                <w:spacing w:val="-1"/>
                <w:sz w:val="20"/>
              </w:rPr>
              <w:t>48,670,591</w:t>
            </w:r>
            <w:r>
              <w:rPr>
                <w:rFonts w:ascii="Arial"/>
                <w:sz w:val="20"/>
              </w:rPr>
            </w:r>
          </w:p>
        </w:tc>
      </w:tr>
      <w:tr>
        <w:trPr>
          <w:trHeight w:val="256" w:hRule="exact"/>
        </w:trPr>
        <w:tc>
          <w:tcPr>
            <w:tcW w:w="4169" w:type="dxa"/>
            <w:tcBorders>
              <w:top w:val="nil" w:sz="6" w:space="0" w:color="auto"/>
              <w:left w:val="nil" w:sz="6" w:space="0" w:color="auto"/>
              <w:bottom w:val="nil" w:sz="6" w:space="0" w:color="auto"/>
              <w:right w:val="nil" w:sz="6" w:space="0" w:color="auto"/>
            </w:tcBorders>
          </w:tcPr>
          <w:p>
            <w:pPr>
              <w:pStyle w:val="TableParagraph"/>
              <w:spacing w:line="237" w:lineRule="exact"/>
              <w:ind w:left="605" w:right="0"/>
              <w:jc w:val="left"/>
              <w:rPr>
                <w:rFonts w:ascii="Arial" w:hAnsi="Arial" w:cs="Arial" w:eastAsia="Arial" w:hint="default"/>
                <w:sz w:val="20"/>
                <w:szCs w:val="20"/>
              </w:rPr>
            </w:pPr>
            <w:r>
              <w:rPr>
                <w:rFonts w:ascii="黑体" w:hAnsi="黑体" w:cs="黑体" w:eastAsia="黑体" w:hint="default"/>
                <w:sz w:val="20"/>
                <w:szCs w:val="20"/>
              </w:rPr>
              <w:t>提取任意盈余公积</w:t>
            </w:r>
            <w:r>
              <w:rPr>
                <w:rFonts w:ascii="Arial" w:hAnsi="Arial" w:cs="Arial" w:eastAsia="Arial" w:hint="default"/>
                <w:sz w:val="20"/>
                <w:szCs w:val="20"/>
              </w:rPr>
              <w:t>(</w:t>
            </w:r>
            <w:r>
              <w:rPr>
                <w:rFonts w:ascii="黑体" w:hAnsi="黑体" w:cs="黑体" w:eastAsia="黑体" w:hint="default"/>
                <w:sz w:val="20"/>
                <w:szCs w:val="20"/>
              </w:rPr>
              <w:t>附注五、</w:t>
            </w:r>
            <w:r>
              <w:rPr>
                <w:rFonts w:ascii="Arial" w:hAnsi="Arial" w:cs="Arial" w:eastAsia="Arial" w:hint="default"/>
                <w:sz w:val="20"/>
                <w:szCs w:val="20"/>
              </w:rPr>
              <w:t>33)</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ind w:right="179"/>
              <w:jc w:val="right"/>
              <w:rPr>
                <w:rFonts w:ascii="Arial" w:hAnsi="Arial" w:cs="Arial" w:eastAsia="Arial" w:hint="default"/>
                <w:sz w:val="20"/>
                <w:szCs w:val="20"/>
              </w:rPr>
            </w:pPr>
            <w:r>
              <w:rPr>
                <w:rFonts w:ascii="Arial"/>
                <w:spacing w:val="-1"/>
                <w:sz w:val="20"/>
              </w:rPr>
              <w:t>21,328,590</w:t>
            </w:r>
            <w:r>
              <w:rPr>
                <w:rFonts w:ascii="Arial"/>
                <w:sz w:val="20"/>
              </w:rPr>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ind w:right="231"/>
              <w:jc w:val="right"/>
              <w:rPr>
                <w:rFonts w:ascii="Arial" w:hAnsi="Arial" w:cs="Arial" w:eastAsia="Arial" w:hint="default"/>
                <w:sz w:val="20"/>
                <w:szCs w:val="20"/>
              </w:rPr>
            </w:pPr>
            <w:r>
              <w:rPr>
                <w:rFonts w:ascii="Arial"/>
                <w:spacing w:val="-1"/>
                <w:sz w:val="20"/>
              </w:rPr>
              <w:t>24,335,295</w:t>
            </w:r>
            <w:r>
              <w:rPr>
                <w:rFonts w:ascii="Arial"/>
                <w:sz w:val="20"/>
              </w:rPr>
            </w:r>
          </w:p>
        </w:tc>
      </w:tr>
      <w:tr>
        <w:trPr>
          <w:trHeight w:val="364" w:hRule="exact"/>
        </w:trPr>
        <w:tc>
          <w:tcPr>
            <w:tcW w:w="4169" w:type="dxa"/>
            <w:tcBorders>
              <w:top w:val="nil" w:sz="6" w:space="0" w:color="auto"/>
              <w:left w:val="nil" w:sz="6" w:space="0" w:color="auto"/>
              <w:bottom w:val="nil" w:sz="6" w:space="0" w:color="auto"/>
              <w:right w:val="nil" w:sz="6" w:space="0" w:color="auto"/>
            </w:tcBorders>
          </w:tcPr>
          <w:p>
            <w:pPr>
              <w:pStyle w:val="TableParagraph"/>
              <w:spacing w:line="236" w:lineRule="exact"/>
              <w:ind w:left="600" w:right="0"/>
              <w:jc w:val="left"/>
              <w:rPr>
                <w:rFonts w:ascii="Arial" w:hAnsi="Arial" w:cs="Arial" w:eastAsia="Arial" w:hint="default"/>
                <w:sz w:val="20"/>
                <w:szCs w:val="20"/>
              </w:rPr>
            </w:pPr>
            <w:r>
              <w:rPr>
                <w:rFonts w:ascii="黑体" w:hAnsi="黑体" w:cs="黑体" w:eastAsia="黑体" w:hint="default"/>
                <w:sz w:val="20"/>
                <w:szCs w:val="20"/>
              </w:rPr>
              <w:t>已派发之现金股利</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1)</w:t>
            </w:r>
          </w:p>
        </w:tc>
        <w:tc>
          <w:tcPr>
            <w:tcW w:w="2272" w:type="dxa"/>
            <w:tcBorders>
              <w:top w:val="nil" w:sz="6" w:space="0" w:color="auto"/>
              <w:left w:val="nil" w:sz="6" w:space="0" w:color="auto"/>
              <w:bottom w:val="nil" w:sz="6" w:space="0" w:color="auto"/>
              <w:right w:val="nil" w:sz="6" w:space="0" w:color="auto"/>
            </w:tcBorders>
          </w:tcPr>
          <w:p>
            <w:pPr>
              <w:pStyle w:val="TableParagraph"/>
              <w:spacing w:line="229" w:lineRule="exact"/>
              <w:ind w:right="181"/>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9"/>
                <w:sz w:val="20"/>
                <w:u w:val="single" w:color="000000"/>
              </w:rPr>
              <w:t> </w:t>
            </w:r>
            <w:r>
              <w:rPr>
                <w:rFonts w:ascii="Arial"/>
                <w:spacing w:val="-1"/>
                <w:sz w:val="20"/>
                <w:u w:val="single" w:color="000000"/>
              </w:rPr>
              <w:t>326,361,347</w:t>
            </w:r>
            <w:r>
              <w:rPr>
                <w:rFonts w:ascii="Arial"/>
                <w:spacing w:val="-1"/>
                <w:sz w:val="20"/>
              </w:rPr>
            </w:r>
            <w:r>
              <w:rPr>
                <w:rFonts w:ascii="Arial"/>
                <w:sz w:val="20"/>
              </w:rPr>
            </w:r>
          </w:p>
        </w:tc>
        <w:tc>
          <w:tcPr>
            <w:tcW w:w="1624" w:type="dxa"/>
            <w:tcBorders>
              <w:top w:val="nil" w:sz="6" w:space="0" w:color="auto"/>
              <w:left w:val="nil" w:sz="6" w:space="0" w:color="auto"/>
              <w:bottom w:val="nil" w:sz="6" w:space="0" w:color="auto"/>
              <w:right w:val="nil" w:sz="6" w:space="0" w:color="auto"/>
            </w:tcBorders>
          </w:tcPr>
          <w:p>
            <w:pPr>
              <w:pStyle w:val="TableParagraph"/>
              <w:spacing w:line="229" w:lineRule="exact"/>
              <w:ind w:right="231"/>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11"/>
                <w:sz w:val="20"/>
                <w:u w:val="single" w:color="000000"/>
              </w:rPr>
              <w:t> </w:t>
            </w:r>
            <w:r>
              <w:rPr>
                <w:rFonts w:ascii="Arial"/>
                <w:spacing w:val="-1"/>
                <w:sz w:val="20"/>
                <w:u w:val="single" w:color="000000"/>
              </w:rPr>
              <w:t>179,526,780</w:t>
            </w:r>
            <w:r>
              <w:rPr>
                <w:rFonts w:ascii="Arial"/>
                <w:spacing w:val="-1"/>
                <w:sz w:val="20"/>
              </w:rPr>
            </w:r>
          </w:p>
        </w:tc>
      </w:tr>
      <w:tr>
        <w:trPr>
          <w:trHeight w:val="341" w:hRule="exact"/>
        </w:trPr>
        <w:tc>
          <w:tcPr>
            <w:tcW w:w="416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07" w:right="0"/>
              <w:jc w:val="left"/>
              <w:rPr>
                <w:rFonts w:ascii="黑体" w:hAnsi="黑体" w:cs="黑体" w:eastAsia="黑体" w:hint="default"/>
                <w:sz w:val="20"/>
                <w:szCs w:val="20"/>
              </w:rPr>
            </w:pPr>
            <w:r>
              <w:rPr>
                <w:rFonts w:ascii="黑体" w:hAnsi="黑体" w:cs="黑体" w:eastAsia="黑体" w:hint="default"/>
                <w:sz w:val="20"/>
                <w:szCs w:val="20"/>
              </w:rPr>
              <w:t>年末未分配利润</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45"/>
              <w:jc w:val="right"/>
              <w:rPr>
                <w:rFonts w:ascii="Arial" w:hAnsi="Arial" w:cs="Arial" w:eastAsia="Arial" w:hint="default"/>
                <w:sz w:val="20"/>
                <w:szCs w:val="20"/>
              </w:rPr>
            </w:pPr>
            <w:r>
              <w:rPr>
                <w:rFonts w:ascii="Arial"/>
                <w:w w:val="99"/>
                <w:sz w:val="20"/>
              </w:rPr>
            </w:r>
            <w:r>
              <w:rPr>
                <w:rFonts w:ascii="Arial"/>
                <w:spacing w:val="-1"/>
                <w:sz w:val="20"/>
                <w:u w:val="thick" w:color="000000"/>
              </w:rPr>
              <w:t>1,000,370,930</w:t>
            </w:r>
            <w:r>
              <w:rPr>
                <w:rFonts w:ascii="Arial"/>
                <w:spacing w:val="-1"/>
                <w:sz w:val="20"/>
              </w:rPr>
            </w:r>
            <w:r>
              <w:rPr>
                <w:rFonts w:ascii="Arial"/>
                <w:sz w:val="20"/>
              </w:rPr>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1,011,116,076</w:t>
            </w:r>
            <w:r>
              <w:rPr>
                <w:rFonts w:ascii="Arial"/>
                <w:spacing w:val="-1"/>
                <w:sz w:val="20"/>
              </w:rPr>
            </w:r>
            <w:r>
              <w:rPr>
                <w:rFonts w:ascii="Arial"/>
                <w:sz w:val="20"/>
              </w:rPr>
            </w:r>
          </w:p>
        </w:tc>
      </w:tr>
    </w:tbl>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15"/>
          <w:szCs w:val="15"/>
        </w:rPr>
      </w:pPr>
    </w:p>
    <w:p>
      <w:pPr>
        <w:pStyle w:val="BodyText"/>
        <w:spacing w:line="261" w:lineRule="auto" w:before="37"/>
        <w:ind w:left="1378" w:right="559" w:hanging="591"/>
        <w:jc w:val="both"/>
      </w:pPr>
      <w:r>
        <w:rPr/>
        <w:t>注</w:t>
      </w:r>
      <w:r>
        <w:rPr>
          <w:rFonts w:ascii="Arial" w:hAnsi="Arial" w:cs="Arial" w:eastAsia="Arial" w:hint="default"/>
        </w:rPr>
        <w:t>1</w:t>
      </w:r>
      <w:r>
        <w:rPr/>
        <w:t>．</w:t>
      </w:r>
      <w:r>
        <w:rPr>
          <w:spacing w:val="-17"/>
        </w:rPr>
        <w:t> </w:t>
      </w:r>
      <w:r>
        <w:rPr>
          <w:spacing w:val="5"/>
        </w:rPr>
        <w:t>根据本公司</w:t>
      </w:r>
      <w:r>
        <w:rPr>
          <w:rFonts w:ascii="Arial" w:hAnsi="Arial" w:cs="Arial" w:eastAsia="Arial" w:hint="default"/>
          <w:spacing w:val="5"/>
        </w:rPr>
        <w:t>2012</w:t>
      </w:r>
      <w:r>
        <w:rPr>
          <w:spacing w:val="5"/>
        </w:rPr>
        <w:t>年</w:t>
      </w:r>
      <w:r>
        <w:rPr>
          <w:rFonts w:ascii="Arial" w:hAnsi="Arial" w:cs="Arial" w:eastAsia="Arial" w:hint="default"/>
          <w:spacing w:val="5"/>
        </w:rPr>
        <w:t>3</w:t>
      </w:r>
      <w:r>
        <w:rPr>
          <w:spacing w:val="5"/>
        </w:rPr>
        <w:t>月</w:t>
      </w:r>
      <w:r>
        <w:rPr>
          <w:rFonts w:ascii="Arial" w:hAnsi="Arial" w:cs="Arial" w:eastAsia="Arial" w:hint="default"/>
          <w:spacing w:val="5"/>
        </w:rPr>
        <w:t>30</w:t>
      </w:r>
      <w:r>
        <w:rPr>
          <w:spacing w:val="5"/>
        </w:rPr>
        <w:t>日召开的</w:t>
      </w:r>
      <w:r>
        <w:rPr>
          <w:rFonts w:ascii="Arial" w:hAnsi="Arial" w:cs="Arial" w:eastAsia="Arial" w:hint="default"/>
          <w:spacing w:val="5"/>
        </w:rPr>
        <w:t>2011</w:t>
      </w:r>
      <w:r>
        <w:rPr>
          <w:spacing w:val="5"/>
        </w:rPr>
        <w:t>年度股东大会通过的</w:t>
      </w:r>
      <w:r>
        <w:rPr>
          <w:rFonts w:ascii="Arial" w:hAnsi="Arial" w:cs="Arial" w:eastAsia="Arial" w:hint="default"/>
          <w:spacing w:val="5"/>
        </w:rPr>
        <w:t>2011</w:t>
      </w:r>
      <w:r>
        <w:rPr>
          <w:spacing w:val="5"/>
        </w:rPr>
        <w:t>年度利润分配</w:t>
      </w:r>
      <w:r>
        <w:rPr>
          <w:spacing w:val="7"/>
          <w:w w:val="99"/>
        </w:rPr>
        <w:t> </w:t>
      </w:r>
      <w:r>
        <w:rPr/>
        <w:t>议案，本公司以</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日总股份</w:t>
      </w:r>
      <w:r>
        <w:rPr>
          <w:rFonts w:ascii="Arial" w:hAnsi="Arial" w:cs="Arial" w:eastAsia="Arial" w:hint="default"/>
        </w:rPr>
        <w:t>815,903,367</w:t>
      </w:r>
      <w:r>
        <w:rPr/>
        <w:t>股为基数，向全体股东按每</w:t>
      </w:r>
      <w:r>
        <w:rPr>
          <w:spacing w:val="2"/>
          <w:w w:val="99"/>
        </w:rPr>
        <w:t> </w:t>
      </w:r>
      <w:r>
        <w:rPr>
          <w:rFonts w:ascii="Arial" w:hAnsi="Arial" w:cs="Arial" w:eastAsia="Arial" w:hint="default"/>
          <w:spacing w:val="-4"/>
        </w:rPr>
        <w:t>10</w:t>
      </w:r>
      <w:r>
        <w:rPr>
          <w:spacing w:val="-4"/>
        </w:rPr>
        <w:t>股派发现金红利人民币</w:t>
      </w:r>
      <w:r>
        <w:rPr>
          <w:rFonts w:ascii="Arial" w:hAnsi="Arial" w:cs="Arial" w:eastAsia="Arial" w:hint="default"/>
          <w:spacing w:val="-4"/>
        </w:rPr>
        <w:t>4</w:t>
      </w:r>
      <w:r>
        <w:rPr>
          <w:spacing w:val="-4"/>
        </w:rPr>
        <w:t>元（含税），共计派发现金股利人民币</w:t>
      </w:r>
      <w:r>
        <w:rPr>
          <w:rFonts w:ascii="Arial" w:hAnsi="Arial" w:cs="Arial" w:eastAsia="Arial" w:hint="default"/>
          <w:spacing w:val="-4"/>
        </w:rPr>
        <w:t>326,361,347</w:t>
      </w:r>
      <w:r>
        <w:rPr>
          <w:spacing w:val="-4"/>
        </w:rPr>
        <w:t>元。</w:t>
      </w:r>
    </w:p>
    <w:p>
      <w:pPr>
        <w:spacing w:after="0" w:line="261" w:lineRule="auto"/>
        <w:jc w:val="both"/>
        <w:sectPr>
          <w:pgSz w:w="11910" w:h="16840"/>
          <w:pgMar w:header="825" w:footer="473" w:top="2420" w:bottom="660" w:left="1600" w:right="1280"/>
        </w:sectPr>
      </w:pPr>
    </w:p>
    <w:p>
      <w:pPr>
        <w:spacing w:line="240" w:lineRule="auto" w:before="8"/>
        <w:rPr>
          <w:rFonts w:ascii="黑体" w:hAnsi="黑体" w:cs="黑体" w:eastAsia="黑体" w:hint="default"/>
          <w:sz w:val="17"/>
          <w:szCs w:val="17"/>
        </w:rPr>
      </w:pPr>
    </w:p>
    <w:p>
      <w:pPr>
        <w:pStyle w:val="Heading6"/>
        <w:tabs>
          <w:tab w:pos="804" w:val="left" w:leader="none"/>
        </w:tabs>
        <w:spacing w:line="240" w:lineRule="auto"/>
        <w:ind w:right="0"/>
        <w:jc w:val="left"/>
        <w:rPr>
          <w:b w:val="0"/>
          <w:bCs w:val="0"/>
        </w:rPr>
      </w:pPr>
      <w:r>
        <w:rPr>
          <w:w w:val="95"/>
        </w:rPr>
        <w:t>五、</w:t>
        <w:tab/>
      </w:r>
      <w:bookmarkStart w:name="五、   合并财务报表主要项目注释（续）" w:id="134"/>
      <w:bookmarkEnd w:id="134"/>
      <w:r>
        <w:rPr/>
        <w:t>合并</w:t>
      </w:r>
      <w:r>
        <w:rPr/>
        <w:t>财务报表主要项目注释（续）</w:t>
      </w:r>
      <w:r>
        <w:rPr>
          <w:b w:val="0"/>
          <w:bCs w:val="0"/>
        </w:rPr>
      </w:r>
    </w:p>
    <w:p>
      <w:pPr>
        <w:spacing w:line="240" w:lineRule="auto" w:before="9"/>
        <w:rPr>
          <w:rFonts w:ascii="黑体" w:hAnsi="黑体" w:cs="黑体" w:eastAsia="黑体" w:hint="default"/>
          <w:b/>
          <w:bCs/>
          <w:sz w:val="16"/>
          <w:szCs w:val="16"/>
        </w:rPr>
      </w:pPr>
    </w:p>
    <w:p>
      <w:pPr>
        <w:pStyle w:val="Heading6"/>
        <w:tabs>
          <w:tab w:pos="826" w:val="left" w:leader="none"/>
        </w:tabs>
        <w:spacing w:line="240" w:lineRule="auto" w:before="0"/>
        <w:ind w:right="0"/>
        <w:jc w:val="left"/>
        <w:rPr>
          <w:b w:val="0"/>
          <w:bCs w:val="0"/>
        </w:rPr>
      </w:pPr>
      <w:r>
        <w:rPr>
          <w:rFonts w:ascii="Arial" w:hAnsi="Arial" w:cs="Arial" w:eastAsia="Arial" w:hint="default"/>
          <w:spacing w:val="-1"/>
          <w:w w:val="95"/>
        </w:rPr>
        <w:t>35</w:t>
      </w:r>
      <w:r>
        <w:rPr>
          <w:spacing w:val="-1"/>
          <w:w w:val="95"/>
        </w:rPr>
        <w:t>．</w:t>
        <w:tab/>
      </w:r>
      <w:r>
        <w:rPr>
          <w:spacing w:val="1"/>
        </w:rPr>
        <w:t>营业收入</w:t>
      </w:r>
      <w:bookmarkStart w:name="35．   营业收入及成本" w:id="135"/>
      <w:bookmarkEnd w:id="135"/>
      <w:r>
        <w:rPr>
          <w:spacing w:val="1"/>
        </w:rPr>
        <w:t>及成本</w:t>
      </w:r>
      <w:r>
        <w:rPr>
          <w:b w:val="0"/>
          <w:bCs w:val="0"/>
        </w:rPr>
      </w:r>
    </w:p>
    <w:p>
      <w:pPr>
        <w:pStyle w:val="BodyText"/>
        <w:spacing w:line="240" w:lineRule="auto" w:before="175"/>
        <w:ind w:right="0"/>
        <w:jc w:val="left"/>
      </w:pPr>
      <w:r>
        <w:rPr/>
        <w:t>营业收入列示如下：</w:t>
      </w:r>
    </w:p>
    <w:p>
      <w:pPr>
        <w:spacing w:line="240" w:lineRule="auto" w:before="0"/>
        <w:rPr>
          <w:rFonts w:ascii="黑体" w:hAnsi="黑体" w:cs="黑体" w:eastAsia="黑体" w:hint="default"/>
          <w:sz w:val="20"/>
          <w:szCs w:val="20"/>
        </w:rPr>
      </w:pPr>
    </w:p>
    <w:p>
      <w:pPr>
        <w:spacing w:line="240" w:lineRule="auto" w:before="6"/>
        <w:rPr>
          <w:rFonts w:ascii="黑体" w:hAnsi="黑体" w:cs="黑体" w:eastAsia="黑体" w:hint="default"/>
          <w:sz w:val="10"/>
          <w:szCs w:val="10"/>
        </w:rPr>
      </w:pPr>
    </w:p>
    <w:tbl>
      <w:tblPr>
        <w:tblW w:w="0" w:type="auto"/>
        <w:jc w:val="left"/>
        <w:tblInd w:w="619" w:type="dxa"/>
        <w:tblLayout w:type="fixed"/>
        <w:tblCellMar>
          <w:top w:w="0" w:type="dxa"/>
          <w:left w:w="0" w:type="dxa"/>
          <w:bottom w:w="0" w:type="dxa"/>
          <w:right w:w="0" w:type="dxa"/>
        </w:tblCellMar>
        <w:tblLook w:val="01E0"/>
      </w:tblPr>
      <w:tblGrid>
        <w:gridCol w:w="3126"/>
        <w:gridCol w:w="3323"/>
        <w:gridCol w:w="1783"/>
      </w:tblGrid>
      <w:tr>
        <w:trPr>
          <w:trHeight w:val="416" w:hRule="exact"/>
        </w:trPr>
        <w:tc>
          <w:tcPr>
            <w:tcW w:w="3126" w:type="dxa"/>
            <w:tcBorders>
              <w:top w:val="nil" w:sz="6" w:space="0" w:color="auto"/>
              <w:left w:val="nil" w:sz="6" w:space="0" w:color="auto"/>
              <w:bottom w:val="nil" w:sz="6" w:space="0" w:color="auto"/>
              <w:right w:val="nil" w:sz="6" w:space="0" w:color="auto"/>
            </w:tcBorders>
          </w:tcPr>
          <w:p>
            <w:pPr/>
          </w:p>
        </w:tc>
        <w:tc>
          <w:tcPr>
            <w:tcW w:w="3323" w:type="dxa"/>
            <w:tcBorders>
              <w:top w:val="nil" w:sz="6" w:space="0" w:color="auto"/>
              <w:left w:val="nil" w:sz="6" w:space="0" w:color="auto"/>
              <w:bottom w:val="nil" w:sz="6" w:space="0" w:color="auto"/>
              <w:right w:val="nil" w:sz="6" w:space="0" w:color="auto"/>
            </w:tcBorders>
          </w:tcPr>
          <w:p>
            <w:pPr>
              <w:pStyle w:val="TableParagraph"/>
              <w:spacing w:line="214" w:lineRule="exact"/>
              <w:ind w:right="315"/>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1783" w:type="dxa"/>
            <w:tcBorders>
              <w:top w:val="nil" w:sz="6" w:space="0" w:color="auto"/>
              <w:left w:val="nil" w:sz="6" w:space="0" w:color="auto"/>
              <w:bottom w:val="nil" w:sz="6" w:space="0" w:color="auto"/>
              <w:right w:val="nil" w:sz="6" w:space="0" w:color="auto"/>
            </w:tcBorders>
          </w:tcPr>
          <w:p>
            <w:pPr>
              <w:pStyle w:val="TableParagraph"/>
              <w:spacing w:line="214" w:lineRule="exact"/>
              <w:ind w:right="221"/>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r>
      <w:tr>
        <w:trPr>
          <w:trHeight w:val="464" w:hRule="exact"/>
        </w:trPr>
        <w:tc>
          <w:tcPr>
            <w:tcW w:w="3126"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200" w:right="0"/>
              <w:jc w:val="left"/>
              <w:rPr>
                <w:rFonts w:ascii="黑体" w:hAnsi="黑体" w:cs="黑体" w:eastAsia="黑体" w:hint="default"/>
                <w:sz w:val="20"/>
                <w:szCs w:val="20"/>
              </w:rPr>
            </w:pPr>
            <w:r>
              <w:rPr>
                <w:rFonts w:ascii="黑体" w:hAnsi="黑体" w:cs="黑体" w:eastAsia="黑体" w:hint="default"/>
                <w:sz w:val="20"/>
                <w:szCs w:val="20"/>
              </w:rPr>
              <w:t>主营业务收入</w:t>
            </w:r>
          </w:p>
        </w:tc>
        <w:tc>
          <w:tcPr>
            <w:tcW w:w="332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4"/>
                <w:szCs w:val="14"/>
              </w:rPr>
            </w:pPr>
          </w:p>
          <w:p>
            <w:pPr>
              <w:pStyle w:val="TableParagraph"/>
              <w:spacing w:line="240" w:lineRule="auto"/>
              <w:ind w:right="316"/>
              <w:jc w:val="right"/>
              <w:rPr>
                <w:rFonts w:ascii="Arial" w:hAnsi="Arial" w:cs="Arial" w:eastAsia="Arial" w:hint="default"/>
                <w:sz w:val="20"/>
                <w:szCs w:val="20"/>
              </w:rPr>
            </w:pPr>
            <w:r>
              <w:rPr>
                <w:rFonts w:ascii="Arial"/>
                <w:spacing w:val="-1"/>
                <w:sz w:val="20"/>
              </w:rPr>
              <w:t>4,210,347,905</w:t>
            </w:r>
            <w:r>
              <w:rPr>
                <w:rFonts w:ascii="Arial"/>
                <w:sz w:val="20"/>
              </w:rPr>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4"/>
                <w:szCs w:val="14"/>
              </w:rPr>
            </w:pPr>
          </w:p>
          <w:p>
            <w:pPr>
              <w:pStyle w:val="TableParagraph"/>
              <w:spacing w:line="240" w:lineRule="auto"/>
              <w:ind w:right="198"/>
              <w:jc w:val="right"/>
              <w:rPr>
                <w:rFonts w:ascii="Arial" w:hAnsi="Arial" w:cs="Arial" w:eastAsia="Arial" w:hint="default"/>
                <w:sz w:val="20"/>
                <w:szCs w:val="20"/>
              </w:rPr>
            </w:pPr>
            <w:r>
              <w:rPr>
                <w:rFonts w:ascii="Arial"/>
                <w:spacing w:val="-1"/>
                <w:sz w:val="20"/>
              </w:rPr>
              <w:t>4,107,195,751</w:t>
            </w:r>
            <w:r>
              <w:rPr>
                <w:rFonts w:ascii="Arial"/>
                <w:sz w:val="20"/>
              </w:rPr>
            </w:r>
          </w:p>
        </w:tc>
      </w:tr>
      <w:tr>
        <w:trPr>
          <w:trHeight w:val="469" w:hRule="exact"/>
        </w:trPr>
        <w:tc>
          <w:tcPr>
            <w:tcW w:w="3126"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黑体" w:hAnsi="黑体" w:cs="黑体" w:eastAsia="黑体" w:hint="default"/>
                <w:sz w:val="20"/>
                <w:szCs w:val="20"/>
              </w:rPr>
            </w:pPr>
            <w:r>
              <w:rPr>
                <w:rFonts w:ascii="黑体" w:hAnsi="黑体" w:cs="黑体" w:eastAsia="黑体" w:hint="default"/>
                <w:sz w:val="20"/>
                <w:szCs w:val="20"/>
              </w:rPr>
              <w:t>其他业务收入</w:t>
            </w:r>
          </w:p>
        </w:tc>
        <w:tc>
          <w:tcPr>
            <w:tcW w:w="3323"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31"/>
              <w:ind w:right="304"/>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24,862,705</w:t>
            </w:r>
            <w:r>
              <w:rPr>
                <w:rFonts w:ascii="Arial"/>
                <w:spacing w:val="-1"/>
                <w:w w:val="95"/>
                <w:sz w:val="20"/>
              </w:rPr>
            </w:r>
            <w:r>
              <w:rPr>
                <w:rFonts w:ascii="Arial"/>
                <w:sz w:val="20"/>
              </w:rPr>
            </w:r>
          </w:p>
        </w:tc>
        <w:tc>
          <w:tcPr>
            <w:tcW w:w="1783"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31"/>
              <w:ind w:right="19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14,965,915</w:t>
            </w:r>
            <w:r>
              <w:rPr>
                <w:rFonts w:ascii="Arial"/>
                <w:spacing w:val="-1"/>
                <w:w w:val="95"/>
                <w:sz w:val="20"/>
              </w:rPr>
            </w:r>
            <w:r>
              <w:rPr>
                <w:rFonts w:ascii="Arial"/>
                <w:sz w:val="20"/>
              </w:rPr>
            </w:r>
          </w:p>
        </w:tc>
      </w:tr>
      <w:tr>
        <w:trPr>
          <w:trHeight w:val="412" w:hRule="exact"/>
        </w:trPr>
        <w:tc>
          <w:tcPr>
            <w:tcW w:w="3126" w:type="dxa"/>
            <w:tcBorders>
              <w:top w:val="nil" w:sz="6" w:space="0" w:color="auto"/>
              <w:left w:val="nil" w:sz="6" w:space="0" w:color="auto"/>
              <w:bottom w:val="nil" w:sz="6" w:space="0" w:color="auto"/>
              <w:right w:val="nil" w:sz="6" w:space="0" w:color="auto"/>
            </w:tcBorders>
          </w:tcPr>
          <w:p>
            <w:pPr/>
          </w:p>
        </w:tc>
        <w:tc>
          <w:tcPr>
            <w:tcW w:w="332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4"/>
                <w:szCs w:val="14"/>
              </w:rPr>
            </w:pPr>
          </w:p>
          <w:p>
            <w:pPr>
              <w:pStyle w:val="TableParagraph"/>
              <w:spacing w:line="240" w:lineRule="auto"/>
              <w:ind w:right="316"/>
              <w:jc w:val="right"/>
              <w:rPr>
                <w:rFonts w:ascii="Arial" w:hAnsi="Arial" w:cs="Arial" w:eastAsia="Arial" w:hint="default"/>
                <w:sz w:val="20"/>
                <w:szCs w:val="20"/>
              </w:rPr>
            </w:pPr>
            <w:r>
              <w:rPr>
                <w:rFonts w:ascii="Arial"/>
                <w:w w:val="99"/>
                <w:sz w:val="20"/>
              </w:rPr>
            </w:r>
            <w:r>
              <w:rPr>
                <w:rFonts w:ascii="Arial"/>
                <w:spacing w:val="-1"/>
                <w:sz w:val="20"/>
                <w:u w:val="thick" w:color="000000"/>
              </w:rPr>
              <w:t>4,235,210,610</w:t>
            </w:r>
            <w:r>
              <w:rPr>
                <w:rFonts w:ascii="Arial"/>
                <w:spacing w:val="-1"/>
                <w:sz w:val="20"/>
              </w:rPr>
            </w:r>
            <w:r>
              <w:rPr>
                <w:rFonts w:ascii="Arial"/>
                <w:sz w:val="20"/>
              </w:rPr>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4"/>
                <w:szCs w:val="14"/>
              </w:rPr>
            </w:pPr>
          </w:p>
          <w:p>
            <w:pPr>
              <w:pStyle w:val="TableParagraph"/>
              <w:spacing w:line="240" w:lineRule="auto"/>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4,122,161,666</w:t>
            </w:r>
            <w:r>
              <w:rPr>
                <w:rFonts w:ascii="Arial"/>
                <w:spacing w:val="-1"/>
                <w:sz w:val="20"/>
              </w:rPr>
            </w:r>
            <w:r>
              <w:rPr>
                <w:rFonts w:ascii="Arial"/>
                <w:sz w:val="20"/>
              </w:rPr>
            </w:r>
          </w:p>
        </w:tc>
      </w:tr>
    </w:tbl>
    <w:p>
      <w:pPr>
        <w:spacing w:line="240" w:lineRule="auto" w:before="4"/>
        <w:rPr>
          <w:rFonts w:ascii="黑体" w:hAnsi="黑体" w:cs="黑体" w:eastAsia="黑体" w:hint="default"/>
          <w:sz w:val="23"/>
          <w:szCs w:val="23"/>
        </w:rPr>
      </w:pPr>
    </w:p>
    <w:p>
      <w:pPr>
        <w:pStyle w:val="BodyText"/>
        <w:spacing w:line="240" w:lineRule="auto" w:before="37"/>
        <w:ind w:right="0"/>
        <w:jc w:val="left"/>
      </w:pPr>
      <w:r>
        <w:rPr/>
        <w:t>营业成本列示如下：</w:t>
      </w:r>
    </w:p>
    <w:p>
      <w:pPr>
        <w:spacing w:line="240" w:lineRule="auto" w:before="13"/>
        <w:rPr>
          <w:rFonts w:ascii="黑体" w:hAnsi="黑体" w:cs="黑体" w:eastAsia="黑体" w:hint="default"/>
          <w:sz w:val="21"/>
          <w:szCs w:val="21"/>
        </w:rPr>
      </w:pPr>
    </w:p>
    <w:tbl>
      <w:tblPr>
        <w:tblW w:w="0" w:type="auto"/>
        <w:jc w:val="left"/>
        <w:tblInd w:w="604" w:type="dxa"/>
        <w:tblLayout w:type="fixed"/>
        <w:tblCellMar>
          <w:top w:w="0" w:type="dxa"/>
          <w:left w:w="0" w:type="dxa"/>
          <w:bottom w:w="0" w:type="dxa"/>
          <w:right w:w="0" w:type="dxa"/>
        </w:tblCellMar>
        <w:tblLook w:val="01E0"/>
      </w:tblPr>
      <w:tblGrid>
        <w:gridCol w:w="3210"/>
        <w:gridCol w:w="3316"/>
        <w:gridCol w:w="1703"/>
      </w:tblGrid>
      <w:tr>
        <w:trPr>
          <w:trHeight w:val="416" w:hRule="exact"/>
        </w:trPr>
        <w:tc>
          <w:tcPr>
            <w:tcW w:w="3210" w:type="dxa"/>
            <w:tcBorders>
              <w:top w:val="nil" w:sz="6" w:space="0" w:color="auto"/>
              <w:left w:val="nil" w:sz="6" w:space="0" w:color="auto"/>
              <w:bottom w:val="nil" w:sz="6" w:space="0" w:color="auto"/>
              <w:right w:val="nil" w:sz="6" w:space="0" w:color="auto"/>
            </w:tcBorders>
          </w:tcPr>
          <w:p>
            <w:pPr/>
          </w:p>
        </w:tc>
        <w:tc>
          <w:tcPr>
            <w:tcW w:w="3316" w:type="dxa"/>
            <w:tcBorders>
              <w:top w:val="nil" w:sz="6" w:space="0" w:color="auto"/>
              <w:left w:val="nil" w:sz="6" w:space="0" w:color="auto"/>
              <w:bottom w:val="nil" w:sz="6" w:space="0" w:color="auto"/>
              <w:right w:val="nil" w:sz="6" w:space="0" w:color="auto"/>
            </w:tcBorders>
          </w:tcPr>
          <w:p>
            <w:pPr>
              <w:pStyle w:val="TableParagraph"/>
              <w:spacing w:line="214" w:lineRule="exact"/>
              <w:ind w:right="392"/>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1703" w:type="dxa"/>
            <w:tcBorders>
              <w:top w:val="nil" w:sz="6" w:space="0" w:color="auto"/>
              <w:left w:val="nil" w:sz="6" w:space="0" w:color="auto"/>
              <w:bottom w:val="nil" w:sz="6" w:space="0" w:color="auto"/>
              <w:right w:val="nil" w:sz="6" w:space="0" w:color="auto"/>
            </w:tcBorders>
          </w:tcPr>
          <w:p>
            <w:pPr>
              <w:pStyle w:val="TableParagraph"/>
              <w:spacing w:line="214" w:lineRule="exact"/>
              <w:ind w:right="228"/>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r>
      <w:tr>
        <w:trPr>
          <w:trHeight w:val="464" w:hRule="exact"/>
        </w:trPr>
        <w:tc>
          <w:tcPr>
            <w:tcW w:w="3210"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200" w:right="0"/>
              <w:jc w:val="left"/>
              <w:rPr>
                <w:rFonts w:ascii="黑体" w:hAnsi="黑体" w:cs="黑体" w:eastAsia="黑体" w:hint="default"/>
                <w:sz w:val="20"/>
                <w:szCs w:val="20"/>
              </w:rPr>
            </w:pPr>
            <w:r>
              <w:rPr>
                <w:rFonts w:ascii="黑体" w:hAnsi="黑体" w:cs="黑体" w:eastAsia="黑体" w:hint="default"/>
                <w:sz w:val="20"/>
                <w:szCs w:val="20"/>
              </w:rPr>
              <w:t>主营业务成本</w:t>
            </w:r>
          </w:p>
        </w:tc>
        <w:tc>
          <w:tcPr>
            <w:tcW w:w="331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4"/>
                <w:szCs w:val="14"/>
              </w:rPr>
            </w:pPr>
          </w:p>
          <w:p>
            <w:pPr>
              <w:pStyle w:val="TableParagraph"/>
              <w:spacing w:line="240" w:lineRule="auto"/>
              <w:ind w:right="393"/>
              <w:jc w:val="right"/>
              <w:rPr>
                <w:rFonts w:ascii="Arial" w:hAnsi="Arial" w:cs="Arial" w:eastAsia="Arial" w:hint="default"/>
                <w:sz w:val="20"/>
                <w:szCs w:val="20"/>
              </w:rPr>
            </w:pPr>
            <w:r>
              <w:rPr>
                <w:rFonts w:ascii="Arial"/>
                <w:spacing w:val="-1"/>
                <w:sz w:val="20"/>
              </w:rPr>
              <w:t>673,432,919</w:t>
            </w:r>
            <w:r>
              <w:rPr>
                <w:rFonts w:ascii="Arial"/>
                <w:sz w:val="20"/>
              </w:rPr>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4"/>
                <w:szCs w:val="14"/>
              </w:rPr>
            </w:pPr>
          </w:p>
          <w:p>
            <w:pPr>
              <w:pStyle w:val="TableParagraph"/>
              <w:spacing w:line="240" w:lineRule="auto"/>
              <w:ind w:right="198"/>
              <w:jc w:val="right"/>
              <w:rPr>
                <w:rFonts w:ascii="Arial" w:hAnsi="Arial" w:cs="Arial" w:eastAsia="Arial" w:hint="default"/>
                <w:sz w:val="20"/>
                <w:szCs w:val="20"/>
              </w:rPr>
            </w:pPr>
            <w:r>
              <w:rPr>
                <w:rFonts w:ascii="Arial"/>
                <w:spacing w:val="-1"/>
                <w:sz w:val="20"/>
              </w:rPr>
              <w:t>621,757,394</w:t>
            </w:r>
            <w:r>
              <w:rPr>
                <w:rFonts w:ascii="Arial"/>
                <w:sz w:val="20"/>
              </w:rPr>
            </w:r>
          </w:p>
        </w:tc>
      </w:tr>
      <w:tr>
        <w:trPr>
          <w:trHeight w:val="469" w:hRule="exact"/>
        </w:trPr>
        <w:tc>
          <w:tcPr>
            <w:tcW w:w="3210"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黑体" w:hAnsi="黑体" w:cs="黑体" w:eastAsia="黑体" w:hint="default"/>
                <w:sz w:val="20"/>
                <w:szCs w:val="20"/>
              </w:rPr>
            </w:pPr>
            <w:r>
              <w:rPr>
                <w:rFonts w:ascii="黑体" w:hAnsi="黑体" w:cs="黑体" w:eastAsia="黑体" w:hint="default"/>
                <w:sz w:val="20"/>
                <w:szCs w:val="20"/>
              </w:rPr>
              <w:t>其他业务成本</w:t>
            </w:r>
          </w:p>
        </w:tc>
        <w:tc>
          <w:tcPr>
            <w:tcW w:w="331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93"/>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1"/>
                <w:sz w:val="20"/>
                <w:u w:val="single" w:color="000000"/>
              </w:rPr>
              <w:t> </w:t>
            </w:r>
            <w:r>
              <w:rPr>
                <w:rFonts w:ascii="Arial"/>
                <w:spacing w:val="-1"/>
                <w:w w:val="95"/>
                <w:sz w:val="20"/>
                <w:u w:val="single" w:color="000000"/>
              </w:rPr>
              <w:t>1,452,240</w:t>
            </w:r>
            <w:r>
              <w:rPr>
                <w:rFonts w:ascii="Arial"/>
                <w:spacing w:val="-1"/>
                <w:w w:val="95"/>
                <w:sz w:val="20"/>
              </w:rPr>
            </w:r>
            <w:r>
              <w:rPr>
                <w:rFonts w:ascii="Arial"/>
                <w:sz w:val="20"/>
              </w:rPr>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9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1"/>
                <w:sz w:val="20"/>
                <w:u w:val="single" w:color="000000"/>
              </w:rPr>
              <w:t> </w:t>
            </w:r>
            <w:r>
              <w:rPr>
                <w:rFonts w:ascii="Arial"/>
                <w:spacing w:val="-1"/>
                <w:w w:val="95"/>
                <w:sz w:val="20"/>
                <w:u w:val="single" w:color="000000"/>
              </w:rPr>
              <w:t>1,859,052</w:t>
            </w:r>
            <w:r>
              <w:rPr>
                <w:rFonts w:ascii="Arial"/>
                <w:spacing w:val="-1"/>
                <w:w w:val="95"/>
                <w:sz w:val="20"/>
              </w:rPr>
            </w:r>
            <w:r>
              <w:rPr>
                <w:rFonts w:ascii="Arial"/>
                <w:sz w:val="20"/>
              </w:rPr>
            </w:r>
          </w:p>
        </w:tc>
      </w:tr>
      <w:tr>
        <w:trPr>
          <w:trHeight w:val="412" w:hRule="exact"/>
        </w:trPr>
        <w:tc>
          <w:tcPr>
            <w:tcW w:w="3210" w:type="dxa"/>
            <w:tcBorders>
              <w:top w:val="nil" w:sz="6" w:space="0" w:color="auto"/>
              <w:left w:val="nil" w:sz="6" w:space="0" w:color="auto"/>
              <w:bottom w:val="nil" w:sz="6" w:space="0" w:color="auto"/>
              <w:right w:val="nil" w:sz="6" w:space="0" w:color="auto"/>
            </w:tcBorders>
          </w:tcPr>
          <w:p>
            <w:pPr/>
          </w:p>
        </w:tc>
        <w:tc>
          <w:tcPr>
            <w:tcW w:w="33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4"/>
                <w:szCs w:val="14"/>
              </w:rPr>
            </w:pPr>
          </w:p>
          <w:p>
            <w:pPr>
              <w:pStyle w:val="TableParagraph"/>
              <w:spacing w:line="240" w:lineRule="auto"/>
              <w:ind w:right="393"/>
              <w:jc w:val="right"/>
              <w:rPr>
                <w:rFonts w:ascii="Arial" w:hAnsi="Arial" w:cs="Arial" w:eastAsia="Arial" w:hint="default"/>
                <w:sz w:val="20"/>
                <w:szCs w:val="20"/>
              </w:rPr>
            </w:pPr>
            <w:r>
              <w:rPr>
                <w:rFonts w:ascii="Arial"/>
                <w:w w:val="99"/>
                <w:sz w:val="20"/>
              </w:rPr>
            </w:r>
            <w:r>
              <w:rPr>
                <w:rFonts w:ascii="Arial"/>
                <w:spacing w:val="-1"/>
                <w:sz w:val="20"/>
                <w:u w:val="thick" w:color="000000"/>
              </w:rPr>
              <w:t>674,885,159</w:t>
            </w:r>
            <w:r>
              <w:rPr>
                <w:rFonts w:ascii="Arial"/>
                <w:spacing w:val="-1"/>
                <w:sz w:val="20"/>
              </w:rPr>
            </w:r>
            <w:r>
              <w:rPr>
                <w:rFonts w:ascii="Arial"/>
                <w:sz w:val="20"/>
              </w:rPr>
            </w: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4"/>
                <w:szCs w:val="14"/>
              </w:rPr>
            </w:pPr>
          </w:p>
          <w:p>
            <w:pPr>
              <w:pStyle w:val="TableParagraph"/>
              <w:spacing w:line="240" w:lineRule="auto"/>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623,616,446</w:t>
            </w:r>
            <w:r>
              <w:rPr>
                <w:rFonts w:ascii="Arial"/>
                <w:spacing w:val="-1"/>
                <w:sz w:val="20"/>
              </w:rPr>
            </w:r>
            <w:r>
              <w:rPr>
                <w:rFonts w:ascii="Arial"/>
                <w:sz w:val="20"/>
              </w:rPr>
            </w:r>
          </w:p>
        </w:tc>
      </w:tr>
    </w:tbl>
    <w:p>
      <w:pPr>
        <w:spacing w:line="240" w:lineRule="auto" w:before="4"/>
        <w:rPr>
          <w:rFonts w:ascii="黑体" w:hAnsi="黑体" w:cs="黑体" w:eastAsia="黑体" w:hint="default"/>
          <w:sz w:val="23"/>
          <w:szCs w:val="23"/>
        </w:rPr>
      </w:pPr>
    </w:p>
    <w:p>
      <w:pPr>
        <w:pStyle w:val="BodyText"/>
        <w:spacing w:line="240" w:lineRule="auto" w:before="37"/>
        <w:ind w:right="0"/>
        <w:jc w:val="left"/>
      </w:pPr>
      <w:r>
        <w:rPr/>
        <w:t>主营业务收入及成本列示如下：</w:t>
      </w:r>
    </w:p>
    <w:p>
      <w:pPr>
        <w:spacing w:line="240" w:lineRule="auto" w:before="12"/>
        <w:rPr>
          <w:rFonts w:ascii="黑体" w:hAnsi="黑体" w:cs="黑体" w:eastAsia="黑体" w:hint="default"/>
          <w:sz w:val="29"/>
          <w:szCs w:val="29"/>
        </w:rPr>
      </w:pPr>
    </w:p>
    <w:tbl>
      <w:tblPr>
        <w:tblW w:w="0" w:type="auto"/>
        <w:jc w:val="left"/>
        <w:tblInd w:w="604" w:type="dxa"/>
        <w:tblLayout w:type="fixed"/>
        <w:tblCellMar>
          <w:top w:w="0" w:type="dxa"/>
          <w:left w:w="0" w:type="dxa"/>
          <w:bottom w:w="0" w:type="dxa"/>
          <w:right w:w="0" w:type="dxa"/>
        </w:tblCellMar>
        <w:tblLook w:val="01E0"/>
      </w:tblPr>
      <w:tblGrid>
        <w:gridCol w:w="1906"/>
        <w:gridCol w:w="1829"/>
        <w:gridCol w:w="1150"/>
        <w:gridCol w:w="204"/>
        <w:gridCol w:w="1710"/>
        <w:gridCol w:w="1297"/>
      </w:tblGrid>
      <w:tr>
        <w:trPr>
          <w:trHeight w:val="238" w:hRule="exact"/>
        </w:trPr>
        <w:tc>
          <w:tcPr>
            <w:tcW w:w="1906"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single" w:sz="4" w:space="0" w:color="000000"/>
              <w:right w:val="nil" w:sz="6" w:space="0" w:color="auto"/>
            </w:tcBorders>
          </w:tcPr>
          <w:p>
            <w:pPr>
              <w:pStyle w:val="TableParagraph"/>
              <w:spacing w:line="214" w:lineRule="exact"/>
              <w:ind w:left="1149" w:right="0"/>
              <w:jc w:val="left"/>
              <w:rPr>
                <w:rFonts w:ascii="黑体" w:hAnsi="黑体" w:cs="黑体" w:eastAsia="黑体" w:hint="default"/>
                <w:sz w:val="20"/>
                <w:szCs w:val="20"/>
              </w:rPr>
            </w:pPr>
            <w:r>
              <w:rPr>
                <w:rFonts w:ascii="Arial" w:hAnsi="Arial" w:cs="Arial" w:eastAsia="Arial" w:hint="default"/>
                <w:sz w:val="20"/>
                <w:szCs w:val="20"/>
              </w:rPr>
              <w:t>2012</w:t>
            </w:r>
            <w:r>
              <w:rPr>
                <w:rFonts w:ascii="黑体" w:hAnsi="黑体" w:cs="黑体" w:eastAsia="黑体" w:hint="default"/>
                <w:sz w:val="20"/>
                <w:szCs w:val="20"/>
              </w:rPr>
              <w:t>年</w:t>
            </w:r>
          </w:p>
        </w:tc>
        <w:tc>
          <w:tcPr>
            <w:tcW w:w="1150" w:type="dxa"/>
            <w:tcBorders>
              <w:top w:val="nil" w:sz="6" w:space="0" w:color="auto"/>
              <w:left w:val="nil" w:sz="6" w:space="0" w:color="auto"/>
              <w:bottom w:val="single" w:sz="4" w:space="0" w:color="000000"/>
              <w:right w:val="nil" w:sz="6" w:space="0" w:color="auto"/>
            </w:tcBorders>
          </w:tcPr>
          <w:p>
            <w:pPr/>
          </w:p>
        </w:tc>
        <w:tc>
          <w:tcPr>
            <w:tcW w:w="3211" w:type="dxa"/>
            <w:gridSpan w:val="3"/>
            <w:tcBorders>
              <w:top w:val="nil" w:sz="6" w:space="0" w:color="auto"/>
              <w:left w:val="nil" w:sz="6" w:space="0" w:color="auto"/>
              <w:bottom w:val="nil" w:sz="6" w:space="0" w:color="auto"/>
              <w:right w:val="nil" w:sz="6" w:space="0" w:color="auto"/>
            </w:tcBorders>
          </w:tcPr>
          <w:p>
            <w:pPr>
              <w:pStyle w:val="TableParagraph"/>
              <w:spacing w:line="214" w:lineRule="exact"/>
              <w:ind w:left="167" w:right="0"/>
              <w:jc w:val="center"/>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p>
        </w:tc>
      </w:tr>
      <w:tr>
        <w:trPr>
          <w:trHeight w:val="390" w:hRule="exact"/>
        </w:trPr>
        <w:tc>
          <w:tcPr>
            <w:tcW w:w="1906" w:type="dxa"/>
            <w:tcBorders>
              <w:top w:val="nil" w:sz="6" w:space="0" w:color="auto"/>
              <w:left w:val="nil" w:sz="6" w:space="0" w:color="auto"/>
              <w:bottom w:val="nil" w:sz="6" w:space="0" w:color="auto"/>
              <w:right w:val="nil" w:sz="6" w:space="0" w:color="auto"/>
            </w:tcBorders>
          </w:tcPr>
          <w:p>
            <w:pPr/>
          </w:p>
        </w:tc>
        <w:tc>
          <w:tcPr>
            <w:tcW w:w="1829" w:type="dxa"/>
            <w:tcBorders>
              <w:top w:val="single" w:sz="4" w:space="0" w:color="000000"/>
              <w:left w:val="nil" w:sz="6" w:space="0" w:color="auto"/>
              <w:bottom w:val="nil" w:sz="6" w:space="0" w:color="auto"/>
              <w:right w:val="nil" w:sz="6" w:space="0" w:color="auto"/>
            </w:tcBorders>
          </w:tcPr>
          <w:p>
            <w:pPr>
              <w:pStyle w:val="TableParagraph"/>
              <w:spacing w:line="227" w:lineRule="exact"/>
              <w:ind w:left="1159" w:right="0"/>
              <w:jc w:val="left"/>
              <w:rPr>
                <w:rFonts w:ascii="黑体" w:hAnsi="黑体" w:cs="黑体" w:eastAsia="黑体" w:hint="default"/>
                <w:sz w:val="20"/>
                <w:szCs w:val="20"/>
              </w:rPr>
            </w:pPr>
            <w:r>
              <w:rPr>
                <w:rFonts w:ascii="黑体" w:hAnsi="黑体" w:cs="黑体" w:eastAsia="黑体" w:hint="default"/>
                <w:sz w:val="20"/>
                <w:szCs w:val="20"/>
              </w:rPr>
              <w:t>收入</w:t>
            </w:r>
          </w:p>
        </w:tc>
        <w:tc>
          <w:tcPr>
            <w:tcW w:w="1150" w:type="dxa"/>
            <w:tcBorders>
              <w:top w:val="single" w:sz="4" w:space="0" w:color="000000"/>
              <w:left w:val="nil" w:sz="6" w:space="0" w:color="auto"/>
              <w:bottom w:val="nil" w:sz="6" w:space="0" w:color="auto"/>
              <w:right w:val="nil" w:sz="6" w:space="0" w:color="auto"/>
            </w:tcBorders>
          </w:tcPr>
          <w:p>
            <w:pPr>
              <w:pStyle w:val="TableParagraph"/>
              <w:spacing w:line="227" w:lineRule="exact"/>
              <w:ind w:right="2"/>
              <w:jc w:val="right"/>
              <w:rPr>
                <w:rFonts w:ascii="黑体" w:hAnsi="黑体" w:cs="黑体" w:eastAsia="黑体" w:hint="default"/>
                <w:sz w:val="20"/>
                <w:szCs w:val="20"/>
              </w:rPr>
            </w:pPr>
            <w:r>
              <w:rPr>
                <w:rFonts w:ascii="黑体" w:hAnsi="黑体" w:cs="黑体" w:eastAsia="黑体" w:hint="default"/>
                <w:w w:val="95"/>
                <w:sz w:val="20"/>
                <w:szCs w:val="20"/>
              </w:rPr>
              <w:t>成本</w:t>
            </w:r>
            <w:r>
              <w:rPr>
                <w:rFonts w:ascii="黑体" w:hAnsi="黑体" w:cs="黑体" w:eastAsia="黑体" w:hint="default"/>
                <w:sz w:val="20"/>
                <w:szCs w:val="20"/>
              </w:rPr>
            </w:r>
          </w:p>
        </w:tc>
        <w:tc>
          <w:tcPr>
            <w:tcW w:w="204" w:type="dxa"/>
            <w:tcBorders>
              <w:top w:val="nil" w:sz="6" w:space="0" w:color="auto"/>
              <w:left w:val="nil" w:sz="6" w:space="0" w:color="auto"/>
              <w:bottom w:val="nil" w:sz="6" w:space="0" w:color="auto"/>
              <w:right w:val="nil" w:sz="6" w:space="0" w:color="auto"/>
            </w:tcBorders>
          </w:tcPr>
          <w:p>
            <w:pPr/>
          </w:p>
        </w:tc>
        <w:tc>
          <w:tcPr>
            <w:tcW w:w="1710" w:type="dxa"/>
            <w:tcBorders>
              <w:top w:val="single" w:sz="4" w:space="0" w:color="000000"/>
              <w:left w:val="nil" w:sz="6" w:space="0" w:color="auto"/>
              <w:bottom w:val="nil" w:sz="6" w:space="0" w:color="auto"/>
              <w:right w:val="nil" w:sz="6" w:space="0" w:color="auto"/>
            </w:tcBorders>
          </w:tcPr>
          <w:p>
            <w:pPr>
              <w:pStyle w:val="TableParagraph"/>
              <w:spacing w:line="227" w:lineRule="exact"/>
              <w:ind w:right="185"/>
              <w:jc w:val="right"/>
              <w:rPr>
                <w:rFonts w:ascii="黑体" w:hAnsi="黑体" w:cs="黑体" w:eastAsia="黑体" w:hint="default"/>
                <w:sz w:val="20"/>
                <w:szCs w:val="20"/>
              </w:rPr>
            </w:pPr>
            <w:r>
              <w:rPr>
                <w:rFonts w:ascii="黑体" w:hAnsi="黑体" w:cs="黑体" w:eastAsia="黑体" w:hint="default"/>
                <w:w w:val="95"/>
                <w:sz w:val="20"/>
                <w:szCs w:val="20"/>
              </w:rPr>
              <w:t>收入</w:t>
            </w:r>
            <w:r>
              <w:rPr>
                <w:rFonts w:ascii="黑体" w:hAnsi="黑体" w:cs="黑体" w:eastAsia="黑体" w:hint="default"/>
                <w:sz w:val="20"/>
                <w:szCs w:val="20"/>
              </w:rPr>
            </w:r>
          </w:p>
        </w:tc>
        <w:tc>
          <w:tcPr>
            <w:tcW w:w="1297" w:type="dxa"/>
            <w:tcBorders>
              <w:top w:val="single" w:sz="4" w:space="0" w:color="000000"/>
              <w:left w:val="nil" w:sz="6" w:space="0" w:color="auto"/>
              <w:bottom w:val="nil" w:sz="6" w:space="0" w:color="auto"/>
              <w:right w:val="nil" w:sz="6" w:space="0" w:color="auto"/>
            </w:tcBorders>
          </w:tcPr>
          <w:p>
            <w:pPr>
              <w:pStyle w:val="TableParagraph"/>
              <w:spacing w:line="227" w:lineRule="exact"/>
              <w:ind w:right="0"/>
              <w:jc w:val="right"/>
              <w:rPr>
                <w:rFonts w:ascii="黑体" w:hAnsi="黑体" w:cs="黑体" w:eastAsia="黑体" w:hint="default"/>
                <w:sz w:val="20"/>
                <w:szCs w:val="20"/>
              </w:rPr>
            </w:pPr>
            <w:r>
              <w:rPr>
                <w:rFonts w:ascii="黑体" w:hAnsi="黑体" w:cs="黑体" w:eastAsia="黑体" w:hint="default"/>
                <w:w w:val="95"/>
                <w:sz w:val="20"/>
                <w:szCs w:val="20"/>
              </w:rPr>
              <w:t>成本</w:t>
            </w:r>
            <w:r>
              <w:rPr>
                <w:rFonts w:ascii="黑体" w:hAnsi="黑体" w:cs="黑体" w:eastAsia="黑体" w:hint="default"/>
                <w:sz w:val="20"/>
                <w:szCs w:val="20"/>
              </w:rPr>
            </w:r>
          </w:p>
        </w:tc>
      </w:tr>
      <w:tr>
        <w:trPr>
          <w:trHeight w:val="420" w:hRule="exact"/>
        </w:trPr>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96"/>
              <w:ind w:left="200" w:right="0"/>
              <w:jc w:val="left"/>
              <w:rPr>
                <w:rFonts w:ascii="黑体" w:hAnsi="黑体" w:cs="黑体" w:eastAsia="黑体" w:hint="default"/>
                <w:sz w:val="20"/>
                <w:szCs w:val="20"/>
              </w:rPr>
            </w:pPr>
            <w:r>
              <w:rPr>
                <w:rFonts w:ascii="黑体" w:hAnsi="黑体" w:cs="黑体" w:eastAsia="黑体" w:hint="default"/>
                <w:sz w:val="20"/>
                <w:szCs w:val="20"/>
              </w:rPr>
              <w:t>软件产品销售</w:t>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144"/>
              <w:ind w:left="280" w:right="0"/>
              <w:jc w:val="left"/>
              <w:rPr>
                <w:rFonts w:ascii="Arial" w:hAnsi="Arial" w:cs="Arial" w:eastAsia="Arial" w:hint="default"/>
                <w:sz w:val="20"/>
                <w:szCs w:val="20"/>
              </w:rPr>
            </w:pPr>
            <w:r>
              <w:rPr>
                <w:rFonts w:ascii="Arial"/>
                <w:sz w:val="20"/>
              </w:rPr>
              <w:t>2,303,740,308</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3"/>
              <w:jc w:val="right"/>
              <w:rPr>
                <w:rFonts w:ascii="Arial" w:hAnsi="Arial" w:cs="Arial" w:eastAsia="Arial" w:hint="default"/>
                <w:sz w:val="20"/>
                <w:szCs w:val="20"/>
              </w:rPr>
            </w:pPr>
            <w:r>
              <w:rPr>
                <w:rFonts w:ascii="Arial"/>
                <w:spacing w:val="-1"/>
                <w:sz w:val="20"/>
              </w:rPr>
              <w:t>125,223,986</w:t>
            </w:r>
            <w:r>
              <w:rPr>
                <w:rFonts w:ascii="Arial"/>
                <w:sz w:val="20"/>
              </w:rPr>
            </w:r>
          </w:p>
        </w:tc>
        <w:tc>
          <w:tcPr>
            <w:tcW w:w="204" w:type="dxa"/>
            <w:tcBorders>
              <w:top w:val="nil" w:sz="6" w:space="0" w:color="auto"/>
              <w:left w:val="nil" w:sz="6" w:space="0" w:color="auto"/>
              <w:bottom w:val="nil" w:sz="6" w:space="0" w:color="auto"/>
              <w:right w:val="nil" w:sz="6" w:space="0" w:color="auto"/>
            </w:tcBorders>
          </w:tcPr>
          <w:p>
            <w:pP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184"/>
              <w:jc w:val="right"/>
              <w:rPr>
                <w:rFonts w:ascii="Arial" w:hAnsi="Arial" w:cs="Arial" w:eastAsia="Arial" w:hint="default"/>
                <w:sz w:val="20"/>
                <w:szCs w:val="20"/>
              </w:rPr>
            </w:pPr>
            <w:r>
              <w:rPr>
                <w:rFonts w:ascii="Arial"/>
                <w:spacing w:val="-1"/>
                <w:sz w:val="20"/>
              </w:rPr>
              <w:t>2,283,337,984</w:t>
            </w:r>
            <w:r>
              <w:rPr>
                <w:rFonts w:ascii="Arial"/>
                <w:sz w:val="20"/>
              </w:rPr>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0"/>
              <w:jc w:val="right"/>
              <w:rPr>
                <w:rFonts w:ascii="Arial" w:hAnsi="Arial" w:cs="Arial" w:eastAsia="Arial" w:hint="default"/>
                <w:sz w:val="20"/>
                <w:szCs w:val="20"/>
              </w:rPr>
            </w:pPr>
            <w:r>
              <w:rPr>
                <w:rFonts w:ascii="Arial"/>
                <w:spacing w:val="-1"/>
                <w:sz w:val="20"/>
              </w:rPr>
              <w:t>151,877,976</w:t>
            </w:r>
            <w:r>
              <w:rPr>
                <w:rFonts w:ascii="Arial"/>
                <w:sz w:val="20"/>
              </w:rPr>
            </w:r>
          </w:p>
        </w:tc>
      </w:tr>
      <w:tr>
        <w:trPr>
          <w:trHeight w:val="316" w:hRule="exact"/>
        </w:trPr>
        <w:tc>
          <w:tcPr>
            <w:tcW w:w="1906" w:type="dxa"/>
            <w:tcBorders>
              <w:top w:val="nil" w:sz="6" w:space="0" w:color="auto"/>
              <w:left w:val="nil" w:sz="6" w:space="0" w:color="auto"/>
              <w:bottom w:val="nil" w:sz="6" w:space="0" w:color="auto"/>
              <w:right w:val="nil" w:sz="6" w:space="0" w:color="auto"/>
            </w:tcBorders>
          </w:tcPr>
          <w:p>
            <w:pPr>
              <w:pStyle w:val="TableParagraph"/>
              <w:spacing w:line="250" w:lineRule="exact"/>
              <w:ind w:left="200" w:right="0"/>
              <w:jc w:val="left"/>
              <w:rPr>
                <w:rFonts w:ascii="黑体" w:hAnsi="黑体" w:cs="黑体" w:eastAsia="黑体" w:hint="default"/>
                <w:sz w:val="20"/>
                <w:szCs w:val="20"/>
              </w:rPr>
            </w:pPr>
            <w:r>
              <w:rPr>
                <w:rFonts w:ascii="黑体" w:hAnsi="黑体" w:cs="黑体" w:eastAsia="黑体" w:hint="default"/>
                <w:sz w:val="20"/>
                <w:szCs w:val="20"/>
              </w:rPr>
              <w:t>技术服务及培训</w:t>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80" w:right="0"/>
              <w:jc w:val="left"/>
              <w:rPr>
                <w:rFonts w:ascii="Arial" w:hAnsi="Arial" w:cs="Arial" w:eastAsia="Arial" w:hint="default"/>
                <w:sz w:val="20"/>
                <w:szCs w:val="20"/>
              </w:rPr>
            </w:pPr>
            <w:r>
              <w:rPr>
                <w:rFonts w:ascii="Arial"/>
                <w:sz w:val="20"/>
              </w:rPr>
              <w:t>1,748,214,069</w:t>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
              <w:jc w:val="right"/>
              <w:rPr>
                <w:rFonts w:ascii="Arial" w:hAnsi="Arial" w:cs="Arial" w:eastAsia="Arial" w:hint="default"/>
                <w:sz w:val="20"/>
                <w:szCs w:val="20"/>
              </w:rPr>
            </w:pPr>
            <w:r>
              <w:rPr>
                <w:rFonts w:ascii="Arial"/>
                <w:spacing w:val="-1"/>
                <w:sz w:val="20"/>
              </w:rPr>
              <w:t>434,299,137</w:t>
            </w:r>
            <w:r>
              <w:rPr>
                <w:rFonts w:ascii="Arial"/>
                <w:sz w:val="20"/>
              </w:rPr>
            </w:r>
          </w:p>
        </w:tc>
        <w:tc>
          <w:tcPr>
            <w:tcW w:w="204" w:type="dxa"/>
            <w:tcBorders>
              <w:top w:val="nil" w:sz="6" w:space="0" w:color="auto"/>
              <w:left w:val="nil" w:sz="6" w:space="0" w:color="auto"/>
              <w:bottom w:val="nil" w:sz="6" w:space="0" w:color="auto"/>
              <w:right w:val="nil" w:sz="6" w:space="0" w:color="auto"/>
            </w:tcBorders>
          </w:tcPr>
          <w:p>
            <w:pP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84"/>
              <w:jc w:val="right"/>
              <w:rPr>
                <w:rFonts w:ascii="Arial" w:hAnsi="Arial" w:cs="Arial" w:eastAsia="Arial" w:hint="default"/>
                <w:sz w:val="20"/>
                <w:szCs w:val="20"/>
              </w:rPr>
            </w:pPr>
            <w:r>
              <w:rPr>
                <w:rFonts w:ascii="Arial"/>
                <w:spacing w:val="-1"/>
                <w:sz w:val="20"/>
              </w:rPr>
              <w:t>1,695,666,527</w:t>
            </w:r>
            <w:r>
              <w:rPr>
                <w:rFonts w:ascii="Arial"/>
                <w:sz w:val="20"/>
              </w:rPr>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0"/>
              <w:jc w:val="right"/>
              <w:rPr>
                <w:rFonts w:ascii="Arial" w:hAnsi="Arial" w:cs="Arial" w:eastAsia="Arial" w:hint="default"/>
                <w:sz w:val="20"/>
                <w:szCs w:val="20"/>
              </w:rPr>
            </w:pPr>
            <w:r>
              <w:rPr>
                <w:rFonts w:ascii="Arial"/>
                <w:spacing w:val="-1"/>
                <w:sz w:val="20"/>
              </w:rPr>
              <w:t>376,306,830</w:t>
            </w:r>
            <w:r>
              <w:rPr>
                <w:rFonts w:ascii="Arial"/>
                <w:sz w:val="20"/>
              </w:rPr>
            </w:r>
          </w:p>
        </w:tc>
      </w:tr>
      <w:tr>
        <w:trPr>
          <w:trHeight w:val="499" w:hRule="exact"/>
        </w:trPr>
        <w:tc>
          <w:tcPr>
            <w:tcW w:w="1906" w:type="dxa"/>
            <w:tcBorders>
              <w:top w:val="nil" w:sz="6" w:space="0" w:color="auto"/>
              <w:left w:val="nil" w:sz="6" w:space="0" w:color="auto"/>
              <w:bottom w:val="nil" w:sz="6" w:space="0" w:color="auto"/>
              <w:right w:val="nil" w:sz="6" w:space="0" w:color="auto"/>
            </w:tcBorders>
          </w:tcPr>
          <w:p>
            <w:pPr>
              <w:pStyle w:val="TableParagraph"/>
              <w:spacing w:line="253" w:lineRule="exact"/>
              <w:ind w:left="200" w:right="0"/>
              <w:jc w:val="left"/>
              <w:rPr>
                <w:rFonts w:ascii="黑体" w:hAnsi="黑体" w:cs="黑体" w:eastAsia="黑体" w:hint="default"/>
                <w:sz w:val="20"/>
                <w:szCs w:val="20"/>
              </w:rPr>
            </w:pPr>
            <w:r>
              <w:rPr>
                <w:rFonts w:ascii="黑体" w:hAnsi="黑体" w:cs="黑体" w:eastAsia="黑体" w:hint="default"/>
                <w:sz w:val="20"/>
                <w:szCs w:val="20"/>
              </w:rPr>
              <w:t>外购商品销售</w:t>
            </w: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47" w:right="0"/>
              <w:jc w:val="lef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1"/>
                <w:sz w:val="20"/>
                <w:u w:val="single" w:color="000000"/>
              </w:rPr>
              <w:t> </w:t>
            </w:r>
            <w:r>
              <w:rPr>
                <w:rFonts w:ascii="Arial"/>
                <w:sz w:val="20"/>
                <w:u w:val="single" w:color="000000"/>
              </w:rPr>
              <w:t>158,393,528</w:t>
            </w:r>
            <w:r>
              <w:rPr>
                <w:rFonts w:ascii="Arial"/>
                <w:sz w:val="20"/>
              </w:rPr>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
              <w:jc w:val="right"/>
              <w:rPr>
                <w:rFonts w:ascii="Arial" w:hAnsi="Arial" w:cs="Arial" w:eastAsia="Arial" w:hint="default"/>
                <w:sz w:val="20"/>
                <w:szCs w:val="20"/>
              </w:rPr>
            </w:pPr>
            <w:r>
              <w:rPr>
                <w:rFonts w:ascii="Arial"/>
                <w:w w:val="99"/>
                <w:sz w:val="20"/>
              </w:rPr>
            </w:r>
            <w:r>
              <w:rPr>
                <w:rFonts w:ascii="Arial"/>
                <w:spacing w:val="-1"/>
                <w:sz w:val="20"/>
                <w:u w:val="single" w:color="000000"/>
              </w:rPr>
              <w:t>113,909,796</w:t>
            </w:r>
            <w:r>
              <w:rPr>
                <w:rFonts w:ascii="Arial"/>
                <w:spacing w:val="-1"/>
                <w:sz w:val="20"/>
              </w:rPr>
            </w:r>
            <w:r>
              <w:rPr>
                <w:rFonts w:ascii="Arial"/>
                <w:sz w:val="20"/>
              </w:rPr>
            </w:r>
          </w:p>
        </w:tc>
        <w:tc>
          <w:tcPr>
            <w:tcW w:w="204" w:type="dxa"/>
            <w:tcBorders>
              <w:top w:val="nil" w:sz="6" w:space="0" w:color="auto"/>
              <w:left w:val="nil" w:sz="6" w:space="0" w:color="auto"/>
              <w:bottom w:val="nil" w:sz="6" w:space="0" w:color="auto"/>
              <w:right w:val="nil" w:sz="6" w:space="0" w:color="auto"/>
            </w:tcBorders>
          </w:tcPr>
          <w:p>
            <w:pP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84"/>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1"/>
                <w:sz w:val="20"/>
                <w:u w:val="single" w:color="000000"/>
              </w:rPr>
              <w:t> </w:t>
            </w:r>
            <w:r>
              <w:rPr>
                <w:rFonts w:ascii="Arial"/>
                <w:spacing w:val="-1"/>
                <w:sz w:val="20"/>
                <w:u w:val="single" w:color="000000"/>
              </w:rPr>
              <w:t>128,191,240</w:t>
            </w:r>
            <w:r>
              <w:rPr>
                <w:rFonts w:ascii="Arial"/>
                <w:spacing w:val="-1"/>
                <w:sz w:val="20"/>
              </w:rPr>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0"/>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sz w:val="20"/>
                <w:u w:val="single" w:color="000000"/>
              </w:rPr>
              <w:t>93,572,588</w:t>
            </w:r>
            <w:r>
              <w:rPr>
                <w:rFonts w:ascii="Arial"/>
                <w:spacing w:val="-1"/>
                <w:sz w:val="20"/>
              </w:rPr>
            </w:r>
          </w:p>
        </w:tc>
      </w:tr>
      <w:tr>
        <w:trPr>
          <w:trHeight w:val="455" w:hRule="exact"/>
        </w:trPr>
        <w:tc>
          <w:tcPr>
            <w:tcW w:w="1906" w:type="dxa"/>
            <w:tcBorders>
              <w:top w:val="nil" w:sz="6" w:space="0" w:color="auto"/>
              <w:left w:val="nil" w:sz="6" w:space="0" w:color="auto"/>
              <w:bottom w:val="nil" w:sz="6" w:space="0" w:color="auto"/>
              <w:right w:val="nil" w:sz="6" w:space="0" w:color="auto"/>
            </w:tcBorders>
          </w:tcPr>
          <w:p>
            <w:pPr/>
          </w:p>
        </w:tc>
        <w:tc>
          <w:tcPr>
            <w:tcW w:w="182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5"/>
                <w:szCs w:val="15"/>
              </w:rPr>
            </w:pPr>
          </w:p>
          <w:p>
            <w:pPr>
              <w:pStyle w:val="TableParagraph"/>
              <w:spacing w:line="240" w:lineRule="auto"/>
              <w:ind w:left="280" w:right="0"/>
              <w:jc w:val="left"/>
              <w:rPr>
                <w:rFonts w:ascii="Arial" w:hAnsi="Arial" w:cs="Arial" w:eastAsia="Arial" w:hint="default"/>
                <w:sz w:val="20"/>
                <w:szCs w:val="20"/>
              </w:rPr>
            </w:pPr>
            <w:r>
              <w:rPr>
                <w:rFonts w:ascii="Arial"/>
                <w:w w:val="99"/>
                <w:sz w:val="20"/>
              </w:rPr>
            </w:r>
            <w:r>
              <w:rPr>
                <w:rFonts w:ascii="Arial"/>
                <w:sz w:val="20"/>
                <w:u w:val="thick" w:color="000000"/>
              </w:rPr>
              <w:t>4,210,347,905</w:t>
            </w:r>
            <w:r>
              <w:rPr>
                <w:rFonts w:ascii="Arial"/>
                <w:sz w:val="20"/>
              </w:rPr>
            </w: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5"/>
                <w:szCs w:val="15"/>
              </w:rPr>
            </w:pPr>
          </w:p>
          <w:p>
            <w:pPr>
              <w:pStyle w:val="TableParagraph"/>
              <w:spacing w:line="240" w:lineRule="auto"/>
              <w:ind w:right="3"/>
              <w:jc w:val="right"/>
              <w:rPr>
                <w:rFonts w:ascii="Arial" w:hAnsi="Arial" w:cs="Arial" w:eastAsia="Arial" w:hint="default"/>
                <w:sz w:val="20"/>
                <w:szCs w:val="20"/>
              </w:rPr>
            </w:pPr>
            <w:r>
              <w:rPr>
                <w:rFonts w:ascii="Arial"/>
                <w:w w:val="99"/>
                <w:sz w:val="20"/>
              </w:rPr>
            </w:r>
            <w:r>
              <w:rPr>
                <w:rFonts w:ascii="Arial"/>
                <w:spacing w:val="-1"/>
                <w:sz w:val="20"/>
                <w:u w:val="thick" w:color="000000"/>
              </w:rPr>
              <w:t>673,432,919</w:t>
            </w:r>
            <w:r>
              <w:rPr>
                <w:rFonts w:ascii="Arial"/>
                <w:spacing w:val="-1"/>
                <w:sz w:val="20"/>
              </w:rPr>
            </w:r>
            <w:r>
              <w:rPr>
                <w:rFonts w:ascii="Arial"/>
                <w:sz w:val="20"/>
              </w:rPr>
            </w:r>
          </w:p>
        </w:tc>
        <w:tc>
          <w:tcPr>
            <w:tcW w:w="204" w:type="dxa"/>
            <w:tcBorders>
              <w:top w:val="nil" w:sz="6" w:space="0" w:color="auto"/>
              <w:left w:val="nil" w:sz="6" w:space="0" w:color="auto"/>
              <w:bottom w:val="nil" w:sz="6" w:space="0" w:color="auto"/>
              <w:right w:val="nil" w:sz="6" w:space="0" w:color="auto"/>
            </w:tcBorders>
          </w:tcPr>
          <w:p>
            <w:pP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184"/>
              <w:jc w:val="right"/>
              <w:rPr>
                <w:rFonts w:ascii="Arial" w:hAnsi="Arial" w:cs="Arial" w:eastAsia="Arial" w:hint="default"/>
                <w:sz w:val="20"/>
                <w:szCs w:val="20"/>
              </w:rPr>
            </w:pPr>
            <w:r>
              <w:rPr>
                <w:rFonts w:ascii="Arial"/>
                <w:w w:val="99"/>
                <w:sz w:val="20"/>
              </w:rPr>
            </w:r>
            <w:r>
              <w:rPr>
                <w:rFonts w:ascii="Arial"/>
                <w:spacing w:val="-1"/>
                <w:sz w:val="20"/>
                <w:u w:val="thick" w:color="000000"/>
              </w:rPr>
              <w:t>4,107,195,751</w:t>
            </w:r>
            <w:r>
              <w:rPr>
                <w:rFonts w:ascii="Arial"/>
                <w:spacing w:val="-1"/>
                <w:sz w:val="20"/>
              </w:rPr>
            </w:r>
            <w:r>
              <w:rPr>
                <w:rFonts w:ascii="Arial"/>
                <w:sz w:val="20"/>
              </w:rPr>
            </w:r>
          </w:p>
        </w:tc>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sz w:val="17"/>
                <w:szCs w:val="17"/>
              </w:rPr>
            </w:pPr>
          </w:p>
          <w:p>
            <w:pPr>
              <w:pStyle w:val="TableParagraph"/>
              <w:spacing w:line="240" w:lineRule="auto"/>
              <w:ind w:right="0"/>
              <w:jc w:val="right"/>
              <w:rPr>
                <w:rFonts w:ascii="Arial" w:hAnsi="Arial" w:cs="Arial" w:eastAsia="Arial" w:hint="default"/>
                <w:sz w:val="20"/>
                <w:szCs w:val="20"/>
              </w:rPr>
            </w:pPr>
            <w:r>
              <w:rPr>
                <w:rFonts w:ascii="Arial"/>
                <w:w w:val="99"/>
                <w:sz w:val="20"/>
              </w:rPr>
            </w:r>
            <w:r>
              <w:rPr>
                <w:rFonts w:ascii="Arial"/>
                <w:spacing w:val="-1"/>
                <w:sz w:val="20"/>
                <w:u w:val="thick" w:color="000000"/>
              </w:rPr>
              <w:t>621,757,394</w:t>
            </w:r>
            <w:r>
              <w:rPr>
                <w:rFonts w:ascii="Arial"/>
                <w:spacing w:val="-1"/>
                <w:sz w:val="20"/>
              </w:rPr>
            </w:r>
            <w:r>
              <w:rPr>
                <w:rFonts w:ascii="Arial"/>
                <w:sz w:val="20"/>
              </w:rPr>
            </w:r>
          </w:p>
        </w:tc>
      </w:tr>
    </w:tbl>
    <w:p>
      <w:pPr>
        <w:spacing w:line="240" w:lineRule="auto" w:before="11"/>
        <w:rPr>
          <w:rFonts w:ascii="黑体" w:hAnsi="黑体" w:cs="黑体" w:eastAsia="黑体" w:hint="default"/>
          <w:sz w:val="21"/>
          <w:szCs w:val="21"/>
        </w:rPr>
      </w:pPr>
    </w:p>
    <w:p>
      <w:pPr>
        <w:pStyle w:val="BodyText"/>
        <w:spacing w:line="240" w:lineRule="auto" w:before="37"/>
        <w:ind w:right="0"/>
        <w:jc w:val="left"/>
      </w:pPr>
      <w:r>
        <w:rPr/>
        <w:t>主营业务的分地区信息如下：</w:t>
      </w: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10"/>
          <w:szCs w:val="10"/>
        </w:rPr>
      </w:pPr>
    </w:p>
    <w:tbl>
      <w:tblPr>
        <w:tblW w:w="0" w:type="auto"/>
        <w:jc w:val="left"/>
        <w:tblInd w:w="604" w:type="dxa"/>
        <w:tblLayout w:type="fixed"/>
        <w:tblCellMar>
          <w:top w:w="0" w:type="dxa"/>
          <w:left w:w="0" w:type="dxa"/>
          <w:bottom w:w="0" w:type="dxa"/>
          <w:right w:w="0" w:type="dxa"/>
        </w:tblCellMar>
        <w:tblLook w:val="01E0"/>
      </w:tblPr>
      <w:tblGrid>
        <w:gridCol w:w="1906"/>
        <w:gridCol w:w="1831"/>
        <w:gridCol w:w="1147"/>
        <w:gridCol w:w="235"/>
        <w:gridCol w:w="1703"/>
        <w:gridCol w:w="1273"/>
      </w:tblGrid>
      <w:tr>
        <w:trPr>
          <w:trHeight w:val="265" w:hRule="exact"/>
        </w:trPr>
        <w:tc>
          <w:tcPr>
            <w:tcW w:w="1906" w:type="dxa"/>
            <w:tcBorders>
              <w:top w:val="nil" w:sz="6" w:space="0" w:color="auto"/>
              <w:left w:val="nil" w:sz="6" w:space="0" w:color="auto"/>
              <w:bottom w:val="nil" w:sz="6" w:space="0" w:color="auto"/>
              <w:right w:val="nil" w:sz="6" w:space="0" w:color="auto"/>
            </w:tcBorders>
          </w:tcPr>
          <w:p>
            <w:pPr/>
          </w:p>
        </w:tc>
        <w:tc>
          <w:tcPr>
            <w:tcW w:w="1831" w:type="dxa"/>
            <w:tcBorders>
              <w:top w:val="nil" w:sz="6" w:space="0" w:color="auto"/>
              <w:left w:val="nil" w:sz="6" w:space="0" w:color="auto"/>
              <w:bottom w:val="single" w:sz="4" w:space="0" w:color="000000"/>
              <w:right w:val="nil" w:sz="6" w:space="0" w:color="auto"/>
            </w:tcBorders>
          </w:tcPr>
          <w:p>
            <w:pPr>
              <w:pStyle w:val="TableParagraph"/>
              <w:spacing w:line="214" w:lineRule="exact"/>
              <w:ind w:left="1161" w:right="0"/>
              <w:jc w:val="left"/>
              <w:rPr>
                <w:rFonts w:ascii="黑体" w:hAnsi="黑体" w:cs="黑体" w:eastAsia="黑体" w:hint="default"/>
                <w:sz w:val="20"/>
                <w:szCs w:val="20"/>
              </w:rPr>
            </w:pPr>
            <w:r>
              <w:rPr>
                <w:rFonts w:ascii="Arial" w:hAnsi="Arial" w:cs="Arial" w:eastAsia="Arial" w:hint="default"/>
                <w:sz w:val="20"/>
                <w:szCs w:val="20"/>
              </w:rPr>
              <w:t>2012</w:t>
            </w:r>
            <w:r>
              <w:rPr>
                <w:rFonts w:ascii="黑体" w:hAnsi="黑体" w:cs="黑体" w:eastAsia="黑体" w:hint="default"/>
                <w:sz w:val="20"/>
                <w:szCs w:val="20"/>
              </w:rPr>
              <w:t>年</w:t>
            </w:r>
          </w:p>
        </w:tc>
        <w:tc>
          <w:tcPr>
            <w:tcW w:w="1147" w:type="dxa"/>
            <w:tcBorders>
              <w:top w:val="nil" w:sz="6" w:space="0" w:color="auto"/>
              <w:left w:val="nil" w:sz="6" w:space="0" w:color="auto"/>
              <w:bottom w:val="single" w:sz="4" w:space="0" w:color="000000"/>
              <w:right w:val="nil" w:sz="6" w:space="0" w:color="auto"/>
            </w:tcBorders>
          </w:tcPr>
          <w:p>
            <w:pPr/>
          </w:p>
        </w:tc>
        <w:tc>
          <w:tcPr>
            <w:tcW w:w="3211" w:type="dxa"/>
            <w:gridSpan w:val="3"/>
            <w:tcBorders>
              <w:top w:val="nil" w:sz="6" w:space="0" w:color="auto"/>
              <w:left w:val="nil" w:sz="6" w:space="0" w:color="auto"/>
              <w:bottom w:val="nil" w:sz="6" w:space="0" w:color="auto"/>
              <w:right w:val="nil" w:sz="6" w:space="0" w:color="auto"/>
            </w:tcBorders>
          </w:tcPr>
          <w:p>
            <w:pPr>
              <w:pStyle w:val="TableParagraph"/>
              <w:spacing w:line="214" w:lineRule="exact"/>
              <w:ind w:left="244" w:right="0"/>
              <w:jc w:val="center"/>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p>
        </w:tc>
      </w:tr>
      <w:tr>
        <w:trPr>
          <w:trHeight w:val="468" w:hRule="exact"/>
        </w:trPr>
        <w:tc>
          <w:tcPr>
            <w:tcW w:w="1906" w:type="dxa"/>
            <w:tcBorders>
              <w:top w:val="nil" w:sz="6" w:space="0" w:color="auto"/>
              <w:left w:val="nil" w:sz="6" w:space="0" w:color="auto"/>
              <w:bottom w:val="nil" w:sz="6" w:space="0" w:color="auto"/>
              <w:right w:val="nil" w:sz="6" w:space="0" w:color="auto"/>
            </w:tcBorders>
          </w:tcPr>
          <w:p>
            <w:pPr/>
          </w:p>
        </w:tc>
        <w:tc>
          <w:tcPr>
            <w:tcW w:w="1831" w:type="dxa"/>
            <w:tcBorders>
              <w:top w:val="single" w:sz="4" w:space="0" w:color="000000"/>
              <w:left w:val="nil" w:sz="6" w:space="0" w:color="auto"/>
              <w:bottom w:val="nil" w:sz="6" w:space="0" w:color="auto"/>
              <w:right w:val="nil" w:sz="6" w:space="0" w:color="auto"/>
            </w:tcBorders>
          </w:tcPr>
          <w:p>
            <w:pPr>
              <w:pStyle w:val="TableParagraph"/>
              <w:spacing w:line="251" w:lineRule="exact"/>
              <w:ind w:left="1152" w:right="0"/>
              <w:jc w:val="left"/>
              <w:rPr>
                <w:rFonts w:ascii="黑体" w:hAnsi="黑体" w:cs="黑体" w:eastAsia="黑体" w:hint="default"/>
                <w:sz w:val="20"/>
                <w:szCs w:val="20"/>
              </w:rPr>
            </w:pPr>
            <w:r>
              <w:rPr>
                <w:rFonts w:ascii="黑体" w:hAnsi="黑体" w:cs="黑体" w:eastAsia="黑体" w:hint="default"/>
                <w:sz w:val="20"/>
                <w:szCs w:val="20"/>
              </w:rPr>
              <w:t>收入</w:t>
            </w:r>
          </w:p>
        </w:tc>
        <w:tc>
          <w:tcPr>
            <w:tcW w:w="1147" w:type="dxa"/>
            <w:tcBorders>
              <w:top w:val="single" w:sz="4" w:space="0" w:color="000000"/>
              <w:left w:val="nil" w:sz="6" w:space="0" w:color="auto"/>
              <w:bottom w:val="nil" w:sz="6" w:space="0" w:color="auto"/>
              <w:right w:val="nil" w:sz="6" w:space="0" w:color="auto"/>
            </w:tcBorders>
          </w:tcPr>
          <w:p>
            <w:pPr>
              <w:pStyle w:val="TableParagraph"/>
              <w:spacing w:line="251" w:lineRule="exact"/>
              <w:ind w:right="29"/>
              <w:jc w:val="right"/>
              <w:rPr>
                <w:rFonts w:ascii="黑体" w:hAnsi="黑体" w:cs="黑体" w:eastAsia="黑体" w:hint="default"/>
                <w:sz w:val="20"/>
                <w:szCs w:val="20"/>
              </w:rPr>
            </w:pPr>
            <w:r>
              <w:rPr>
                <w:rFonts w:ascii="黑体" w:hAnsi="黑体" w:cs="黑体" w:eastAsia="黑体" w:hint="default"/>
                <w:w w:val="95"/>
                <w:sz w:val="20"/>
                <w:szCs w:val="20"/>
              </w:rPr>
              <w:t>成本</w:t>
            </w:r>
            <w:r>
              <w:rPr>
                <w:rFonts w:ascii="黑体" w:hAnsi="黑体" w:cs="黑体" w:eastAsia="黑体" w:hint="default"/>
                <w:sz w:val="20"/>
                <w:szCs w:val="20"/>
              </w:rPr>
            </w:r>
          </w:p>
        </w:tc>
        <w:tc>
          <w:tcPr>
            <w:tcW w:w="235" w:type="dxa"/>
            <w:tcBorders>
              <w:top w:val="nil" w:sz="6" w:space="0" w:color="auto"/>
              <w:left w:val="nil" w:sz="6" w:space="0" w:color="auto"/>
              <w:bottom w:val="nil" w:sz="6" w:space="0" w:color="auto"/>
              <w:right w:val="nil" w:sz="6" w:space="0" w:color="auto"/>
            </w:tcBorders>
          </w:tcPr>
          <w:p>
            <w:pPr/>
          </w:p>
        </w:tc>
        <w:tc>
          <w:tcPr>
            <w:tcW w:w="1703" w:type="dxa"/>
            <w:tcBorders>
              <w:top w:val="single" w:sz="4" w:space="0" w:color="000000"/>
              <w:left w:val="nil" w:sz="6" w:space="0" w:color="auto"/>
              <w:bottom w:val="nil" w:sz="6" w:space="0" w:color="auto"/>
              <w:right w:val="nil" w:sz="6" w:space="0" w:color="auto"/>
            </w:tcBorders>
          </w:tcPr>
          <w:p>
            <w:pPr>
              <w:pStyle w:val="TableParagraph"/>
              <w:spacing w:line="251" w:lineRule="exact"/>
              <w:ind w:right="155"/>
              <w:jc w:val="right"/>
              <w:rPr>
                <w:rFonts w:ascii="黑体" w:hAnsi="黑体" w:cs="黑体" w:eastAsia="黑体" w:hint="default"/>
                <w:sz w:val="20"/>
                <w:szCs w:val="20"/>
              </w:rPr>
            </w:pPr>
            <w:r>
              <w:rPr>
                <w:rFonts w:ascii="黑体" w:hAnsi="黑体" w:cs="黑体" w:eastAsia="黑体" w:hint="default"/>
                <w:w w:val="95"/>
                <w:sz w:val="20"/>
                <w:szCs w:val="20"/>
              </w:rPr>
              <w:t>收入</w:t>
            </w:r>
            <w:r>
              <w:rPr>
                <w:rFonts w:ascii="黑体" w:hAnsi="黑体" w:cs="黑体" w:eastAsia="黑体" w:hint="default"/>
                <w:sz w:val="20"/>
                <w:szCs w:val="20"/>
              </w:rPr>
            </w:r>
          </w:p>
        </w:tc>
        <w:tc>
          <w:tcPr>
            <w:tcW w:w="1273" w:type="dxa"/>
            <w:tcBorders>
              <w:top w:val="single" w:sz="4" w:space="0" w:color="000000"/>
              <w:left w:val="nil" w:sz="6" w:space="0" w:color="auto"/>
              <w:bottom w:val="nil" w:sz="6" w:space="0" w:color="auto"/>
              <w:right w:val="nil" w:sz="6" w:space="0" w:color="auto"/>
            </w:tcBorders>
          </w:tcPr>
          <w:p>
            <w:pPr>
              <w:pStyle w:val="TableParagraph"/>
              <w:spacing w:line="251" w:lineRule="exact"/>
              <w:ind w:right="5"/>
              <w:jc w:val="right"/>
              <w:rPr>
                <w:rFonts w:ascii="黑体" w:hAnsi="黑体" w:cs="黑体" w:eastAsia="黑体" w:hint="default"/>
                <w:sz w:val="20"/>
                <w:szCs w:val="20"/>
              </w:rPr>
            </w:pPr>
            <w:r>
              <w:rPr>
                <w:rFonts w:ascii="黑体" w:hAnsi="黑体" w:cs="黑体" w:eastAsia="黑体" w:hint="default"/>
                <w:w w:val="95"/>
                <w:sz w:val="20"/>
                <w:szCs w:val="20"/>
              </w:rPr>
              <w:t>成本</w:t>
            </w:r>
            <w:r>
              <w:rPr>
                <w:rFonts w:ascii="黑体" w:hAnsi="黑体" w:cs="黑体" w:eastAsia="黑体" w:hint="default"/>
                <w:sz w:val="20"/>
                <w:szCs w:val="20"/>
              </w:rPr>
            </w:r>
          </w:p>
        </w:tc>
      </w:tr>
      <w:tr>
        <w:trPr>
          <w:trHeight w:val="469" w:hRule="exact"/>
        </w:trPr>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200" w:right="0"/>
              <w:jc w:val="left"/>
              <w:rPr>
                <w:rFonts w:ascii="黑体" w:hAnsi="黑体" w:cs="黑体" w:eastAsia="黑体" w:hint="default"/>
                <w:sz w:val="20"/>
                <w:szCs w:val="20"/>
              </w:rPr>
            </w:pPr>
            <w:r>
              <w:rPr>
                <w:rFonts w:ascii="黑体" w:hAnsi="黑体" w:cs="黑体" w:eastAsia="黑体" w:hint="default"/>
                <w:sz w:val="20"/>
                <w:szCs w:val="20"/>
              </w:rPr>
              <w:t>中国境内</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14"/>
                <w:szCs w:val="14"/>
              </w:rPr>
            </w:pPr>
          </w:p>
          <w:p>
            <w:pPr>
              <w:pStyle w:val="TableParagraph"/>
              <w:spacing w:line="240" w:lineRule="auto"/>
              <w:ind w:left="273" w:right="0"/>
              <w:jc w:val="left"/>
              <w:rPr>
                <w:rFonts w:ascii="Arial" w:hAnsi="Arial" w:cs="Arial" w:eastAsia="Arial" w:hint="default"/>
                <w:sz w:val="20"/>
                <w:szCs w:val="20"/>
              </w:rPr>
            </w:pPr>
            <w:r>
              <w:rPr>
                <w:rFonts w:ascii="Arial"/>
                <w:sz w:val="20"/>
              </w:rPr>
              <w:t>4,162,306,929</w:t>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14"/>
                <w:szCs w:val="14"/>
              </w:rPr>
            </w:pPr>
          </w:p>
          <w:p>
            <w:pPr>
              <w:pStyle w:val="TableParagraph"/>
              <w:spacing w:line="240" w:lineRule="auto"/>
              <w:ind w:right="10"/>
              <w:jc w:val="right"/>
              <w:rPr>
                <w:rFonts w:ascii="Arial" w:hAnsi="Arial" w:cs="Arial" w:eastAsia="Arial" w:hint="default"/>
                <w:sz w:val="20"/>
                <w:szCs w:val="20"/>
              </w:rPr>
            </w:pPr>
            <w:r>
              <w:rPr>
                <w:rFonts w:ascii="Arial"/>
                <w:spacing w:val="-1"/>
                <w:sz w:val="20"/>
              </w:rPr>
              <w:t>663,406,946</w:t>
            </w:r>
            <w:r>
              <w:rPr>
                <w:rFonts w:ascii="Arial"/>
                <w:sz w:val="20"/>
              </w:rPr>
            </w:r>
          </w:p>
        </w:tc>
        <w:tc>
          <w:tcPr>
            <w:tcW w:w="235" w:type="dxa"/>
            <w:tcBorders>
              <w:top w:val="nil" w:sz="6" w:space="0" w:color="auto"/>
              <w:left w:val="nil" w:sz="6" w:space="0" w:color="auto"/>
              <w:bottom w:val="nil" w:sz="6" w:space="0" w:color="auto"/>
              <w:right w:val="nil" w:sz="6" w:space="0" w:color="auto"/>
            </w:tcBorders>
          </w:tcPr>
          <w:p>
            <w:pP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14"/>
                <w:szCs w:val="14"/>
              </w:rPr>
            </w:pPr>
          </w:p>
          <w:p>
            <w:pPr>
              <w:pStyle w:val="TableParagraph"/>
              <w:spacing w:line="240" w:lineRule="auto"/>
              <w:ind w:right="155"/>
              <w:jc w:val="right"/>
              <w:rPr>
                <w:rFonts w:ascii="Arial" w:hAnsi="Arial" w:cs="Arial" w:eastAsia="Arial" w:hint="default"/>
                <w:sz w:val="20"/>
                <w:szCs w:val="20"/>
              </w:rPr>
            </w:pPr>
            <w:r>
              <w:rPr>
                <w:rFonts w:ascii="Arial"/>
                <w:spacing w:val="-1"/>
                <w:sz w:val="20"/>
              </w:rPr>
              <w:t>4,077,907,114</w:t>
            </w:r>
            <w:r>
              <w:rPr>
                <w:rFonts w:ascii="Arial"/>
                <w:sz w:val="20"/>
              </w:rPr>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14"/>
                <w:szCs w:val="14"/>
              </w:rPr>
            </w:pPr>
          </w:p>
          <w:p>
            <w:pPr>
              <w:pStyle w:val="TableParagraph"/>
              <w:spacing w:line="240" w:lineRule="auto"/>
              <w:ind w:right="5"/>
              <w:jc w:val="right"/>
              <w:rPr>
                <w:rFonts w:ascii="Arial" w:hAnsi="Arial" w:cs="Arial" w:eastAsia="Arial" w:hint="default"/>
                <w:sz w:val="20"/>
                <w:szCs w:val="20"/>
              </w:rPr>
            </w:pPr>
            <w:r>
              <w:rPr>
                <w:rFonts w:ascii="Arial"/>
                <w:spacing w:val="-1"/>
                <w:sz w:val="20"/>
              </w:rPr>
              <w:t>618,966,720</w:t>
            </w:r>
            <w:r>
              <w:rPr>
                <w:rFonts w:ascii="Arial"/>
                <w:sz w:val="20"/>
              </w:rPr>
            </w:r>
          </w:p>
        </w:tc>
      </w:tr>
      <w:tr>
        <w:trPr>
          <w:trHeight w:val="469" w:hRule="exact"/>
        </w:trPr>
        <w:tc>
          <w:tcPr>
            <w:tcW w:w="1906"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黑体" w:hAnsi="黑体" w:cs="黑体" w:eastAsia="黑体" w:hint="default"/>
                <w:sz w:val="20"/>
                <w:szCs w:val="20"/>
              </w:rPr>
            </w:pPr>
            <w:r>
              <w:rPr>
                <w:rFonts w:ascii="黑体" w:hAnsi="黑体" w:cs="黑体" w:eastAsia="黑体" w:hint="default"/>
                <w:sz w:val="20"/>
                <w:szCs w:val="20"/>
              </w:rPr>
              <w:t>中国境外</w:t>
            </w:r>
          </w:p>
        </w:tc>
        <w:tc>
          <w:tcPr>
            <w:tcW w:w="1831" w:type="dxa"/>
            <w:tcBorders>
              <w:top w:val="nil" w:sz="6" w:space="0" w:color="auto"/>
              <w:left w:val="nil" w:sz="6" w:space="0" w:color="auto"/>
              <w:bottom w:val="nil" w:sz="6" w:space="0" w:color="auto"/>
              <w:right w:val="nil" w:sz="6" w:space="0" w:color="auto"/>
            </w:tcBorders>
          </w:tcPr>
          <w:p>
            <w:pPr>
              <w:pStyle w:val="TableParagraph"/>
              <w:tabs>
                <w:tab w:pos="554" w:val="left" w:leader="none"/>
              </w:tabs>
              <w:spacing w:line="240" w:lineRule="auto" w:before="31"/>
              <w:ind w:left="251" w:right="0"/>
              <w:jc w:val="lef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t>48,040,976</w:t>
            </w:r>
            <w:r>
              <w:rPr>
                <w:rFonts w:ascii="Arial"/>
                <w:sz w:val="20"/>
              </w:rPr>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0"/>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sz w:val="20"/>
                <w:u w:val="single" w:color="000000"/>
              </w:rPr>
              <w:t>10,025,973</w:t>
            </w:r>
            <w:r>
              <w:rPr>
                <w:rFonts w:ascii="Arial"/>
                <w:spacing w:val="-1"/>
                <w:sz w:val="20"/>
              </w:rPr>
            </w:r>
          </w:p>
        </w:tc>
        <w:tc>
          <w:tcPr>
            <w:tcW w:w="235" w:type="dxa"/>
            <w:tcBorders>
              <w:top w:val="nil" w:sz="6" w:space="0" w:color="auto"/>
              <w:left w:val="nil" w:sz="6" w:space="0" w:color="auto"/>
              <w:bottom w:val="nil" w:sz="6" w:space="0" w:color="auto"/>
              <w:right w:val="nil" w:sz="6" w:space="0" w:color="auto"/>
            </w:tcBorders>
          </w:tcPr>
          <w:p>
            <w:pPr/>
          </w:p>
        </w:tc>
        <w:tc>
          <w:tcPr>
            <w:tcW w:w="1703" w:type="dxa"/>
            <w:tcBorders>
              <w:top w:val="nil" w:sz="6" w:space="0" w:color="auto"/>
              <w:left w:val="nil" w:sz="6" w:space="0" w:color="auto"/>
              <w:bottom w:val="nil" w:sz="6" w:space="0" w:color="auto"/>
              <w:right w:val="nil" w:sz="6" w:space="0" w:color="auto"/>
            </w:tcBorders>
          </w:tcPr>
          <w:p>
            <w:pPr>
              <w:pStyle w:val="TableParagraph"/>
              <w:tabs>
                <w:tab w:pos="266" w:val="left" w:leader="none"/>
              </w:tabs>
              <w:spacing w:line="240" w:lineRule="auto" w:before="31"/>
              <w:ind w:right="155"/>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sz w:val="20"/>
                <w:u w:val="single" w:color="000000"/>
              </w:rPr>
              <w:t>29,288,637</w:t>
            </w:r>
            <w:r>
              <w:rPr>
                <w:rFonts w:ascii="Arial"/>
                <w:spacing w:val="-1"/>
                <w:sz w:val="20"/>
              </w:rPr>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1"/>
                <w:sz w:val="20"/>
                <w:u w:val="single" w:color="000000"/>
              </w:rPr>
              <w:t> </w:t>
            </w:r>
            <w:r>
              <w:rPr>
                <w:rFonts w:ascii="Arial"/>
                <w:spacing w:val="-1"/>
                <w:w w:val="95"/>
                <w:sz w:val="20"/>
                <w:u w:val="single" w:color="000000"/>
              </w:rPr>
              <w:t>2,790,674</w:t>
            </w:r>
            <w:r>
              <w:rPr>
                <w:rFonts w:ascii="Arial"/>
                <w:spacing w:val="-1"/>
                <w:w w:val="95"/>
                <w:sz w:val="20"/>
              </w:rPr>
            </w:r>
            <w:r>
              <w:rPr>
                <w:rFonts w:ascii="Arial"/>
                <w:sz w:val="20"/>
              </w:rPr>
            </w:r>
          </w:p>
        </w:tc>
      </w:tr>
      <w:tr>
        <w:trPr>
          <w:trHeight w:val="421" w:hRule="exact"/>
        </w:trPr>
        <w:tc>
          <w:tcPr>
            <w:tcW w:w="1906" w:type="dxa"/>
            <w:tcBorders>
              <w:top w:val="nil" w:sz="6" w:space="0" w:color="auto"/>
              <w:left w:val="nil" w:sz="6" w:space="0" w:color="auto"/>
              <w:bottom w:val="nil" w:sz="6" w:space="0" w:color="auto"/>
              <w:right w:val="nil" w:sz="6" w:space="0" w:color="auto"/>
            </w:tcBorders>
          </w:tcPr>
          <w:p>
            <w:pP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sz w:val="14"/>
                <w:szCs w:val="14"/>
              </w:rPr>
            </w:pPr>
          </w:p>
          <w:p>
            <w:pPr>
              <w:pStyle w:val="TableParagraph"/>
              <w:spacing w:line="240" w:lineRule="auto"/>
              <w:ind w:left="280" w:right="0"/>
              <w:jc w:val="left"/>
              <w:rPr>
                <w:rFonts w:ascii="Arial" w:hAnsi="Arial" w:cs="Arial" w:eastAsia="Arial" w:hint="default"/>
                <w:sz w:val="20"/>
                <w:szCs w:val="20"/>
              </w:rPr>
            </w:pPr>
            <w:r>
              <w:rPr>
                <w:rFonts w:ascii="Arial"/>
                <w:w w:val="99"/>
                <w:sz w:val="20"/>
              </w:rPr>
            </w:r>
            <w:r>
              <w:rPr>
                <w:rFonts w:ascii="Arial"/>
                <w:sz w:val="20"/>
                <w:u w:val="thick" w:color="000000"/>
              </w:rPr>
              <w:t>4,210,347,905</w:t>
            </w:r>
            <w:r>
              <w:rPr>
                <w:rFonts w:ascii="Arial"/>
                <w:sz w:val="20"/>
              </w:rPr>
            </w:r>
          </w:p>
        </w:tc>
        <w:tc>
          <w:tcPr>
            <w:tcW w:w="114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sz w:val="14"/>
                <w:szCs w:val="14"/>
              </w:rPr>
            </w:pPr>
          </w:p>
          <w:p>
            <w:pPr>
              <w:pStyle w:val="TableParagraph"/>
              <w:spacing w:line="240" w:lineRule="auto"/>
              <w:ind w:right="3"/>
              <w:jc w:val="right"/>
              <w:rPr>
                <w:rFonts w:ascii="Arial" w:hAnsi="Arial" w:cs="Arial" w:eastAsia="Arial" w:hint="default"/>
                <w:sz w:val="20"/>
                <w:szCs w:val="20"/>
              </w:rPr>
            </w:pPr>
            <w:r>
              <w:rPr>
                <w:rFonts w:ascii="Arial"/>
                <w:w w:val="99"/>
                <w:sz w:val="20"/>
              </w:rPr>
            </w:r>
            <w:r>
              <w:rPr>
                <w:rFonts w:ascii="Arial"/>
                <w:spacing w:val="-1"/>
                <w:sz w:val="20"/>
                <w:u w:val="double" w:color="000000"/>
              </w:rPr>
              <w:t>673,432,919</w:t>
            </w:r>
            <w:r>
              <w:rPr>
                <w:rFonts w:ascii="Arial"/>
                <w:spacing w:val="-1"/>
                <w:sz w:val="20"/>
              </w:rPr>
            </w:r>
            <w:r>
              <w:rPr>
                <w:rFonts w:ascii="Arial"/>
                <w:sz w:val="20"/>
              </w:rPr>
            </w:r>
          </w:p>
        </w:tc>
        <w:tc>
          <w:tcPr>
            <w:tcW w:w="235" w:type="dxa"/>
            <w:tcBorders>
              <w:top w:val="nil" w:sz="6" w:space="0" w:color="auto"/>
              <w:left w:val="nil" w:sz="6" w:space="0" w:color="auto"/>
              <w:bottom w:val="nil" w:sz="6" w:space="0" w:color="auto"/>
              <w:right w:val="nil" w:sz="6" w:space="0" w:color="auto"/>
            </w:tcBorders>
          </w:tcPr>
          <w:p>
            <w:pP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4"/>
                <w:szCs w:val="14"/>
              </w:rPr>
            </w:pPr>
          </w:p>
          <w:p>
            <w:pPr>
              <w:pStyle w:val="TableParagraph"/>
              <w:spacing w:line="240" w:lineRule="auto"/>
              <w:ind w:right="155"/>
              <w:jc w:val="right"/>
              <w:rPr>
                <w:rFonts w:ascii="Arial" w:hAnsi="Arial" w:cs="Arial" w:eastAsia="Arial" w:hint="default"/>
                <w:sz w:val="20"/>
                <w:szCs w:val="20"/>
              </w:rPr>
            </w:pPr>
            <w:r>
              <w:rPr>
                <w:rFonts w:ascii="Arial"/>
                <w:w w:val="99"/>
                <w:sz w:val="20"/>
              </w:rPr>
            </w:r>
            <w:r>
              <w:rPr>
                <w:rFonts w:ascii="Arial"/>
                <w:spacing w:val="-1"/>
                <w:sz w:val="20"/>
                <w:u w:val="double" w:color="000000"/>
              </w:rPr>
              <w:t>4,107,195,751</w:t>
            </w:r>
            <w:r>
              <w:rPr>
                <w:rFonts w:ascii="Arial"/>
                <w:spacing w:val="-1"/>
                <w:sz w:val="20"/>
              </w:rPr>
            </w:r>
            <w:r>
              <w:rPr>
                <w:rFonts w:ascii="Arial"/>
                <w:sz w:val="20"/>
              </w:rPr>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4"/>
                <w:szCs w:val="14"/>
              </w:rPr>
            </w:pPr>
          </w:p>
          <w:p>
            <w:pPr>
              <w:pStyle w:val="TableParagraph"/>
              <w:spacing w:line="240" w:lineRule="auto"/>
              <w:ind w:right="5"/>
              <w:jc w:val="right"/>
              <w:rPr>
                <w:rFonts w:ascii="Arial" w:hAnsi="Arial" w:cs="Arial" w:eastAsia="Arial" w:hint="default"/>
                <w:sz w:val="20"/>
                <w:szCs w:val="20"/>
              </w:rPr>
            </w:pPr>
            <w:r>
              <w:rPr>
                <w:rFonts w:ascii="Arial"/>
                <w:w w:val="99"/>
                <w:sz w:val="20"/>
              </w:rPr>
            </w:r>
            <w:r>
              <w:rPr>
                <w:rFonts w:ascii="Arial"/>
                <w:spacing w:val="-1"/>
                <w:sz w:val="20"/>
                <w:u w:val="double" w:color="000000"/>
              </w:rPr>
              <w:t>621,757,394</w:t>
            </w:r>
            <w:r>
              <w:rPr>
                <w:rFonts w:ascii="Arial"/>
                <w:spacing w:val="-1"/>
                <w:sz w:val="20"/>
              </w:rPr>
            </w:r>
            <w:r>
              <w:rPr>
                <w:rFonts w:ascii="Arial"/>
                <w:sz w:val="20"/>
              </w:rPr>
            </w:r>
          </w:p>
        </w:tc>
      </w:tr>
    </w:tbl>
    <w:p>
      <w:pPr>
        <w:spacing w:after="0" w:line="240" w:lineRule="auto"/>
        <w:jc w:val="right"/>
        <w:rPr>
          <w:rFonts w:ascii="Arial" w:hAnsi="Arial" w:cs="Arial" w:eastAsia="Arial" w:hint="default"/>
          <w:sz w:val="20"/>
          <w:szCs w:val="20"/>
        </w:rPr>
        <w:sectPr>
          <w:footerReference w:type="default" r:id="rId65"/>
          <w:pgSz w:w="11910" w:h="16840"/>
          <w:pgMar w:footer="473" w:header="825" w:top="2420" w:bottom="660" w:left="1600" w:right="1280"/>
        </w:sectPr>
      </w:pPr>
    </w:p>
    <w:p>
      <w:pPr>
        <w:spacing w:line="240" w:lineRule="auto" w:before="11"/>
        <w:rPr>
          <w:rFonts w:ascii="黑体" w:hAnsi="黑体" w:cs="黑体" w:eastAsia="黑体" w:hint="default"/>
          <w:sz w:val="21"/>
          <w:szCs w:val="21"/>
        </w:rPr>
      </w:pPr>
    </w:p>
    <w:p>
      <w:pPr>
        <w:pStyle w:val="Heading6"/>
        <w:tabs>
          <w:tab w:pos="804" w:val="left" w:leader="none"/>
        </w:tabs>
        <w:spacing w:line="240" w:lineRule="auto"/>
        <w:ind w:right="0"/>
        <w:jc w:val="left"/>
        <w:rPr>
          <w:b w:val="0"/>
          <w:bCs w:val="0"/>
        </w:rPr>
      </w:pPr>
      <w:r>
        <w:rPr>
          <w:w w:val="95"/>
        </w:rPr>
        <w:t>五、</w:t>
        <w:tab/>
      </w:r>
      <w:r>
        <w:rPr/>
        <w:t>合并财务报表主要项目注释（续）</w:t>
      </w:r>
      <w:r>
        <w:rPr>
          <w:b w:val="0"/>
          <w:bCs w:val="0"/>
        </w:rPr>
      </w:r>
    </w:p>
    <w:p>
      <w:pPr>
        <w:spacing w:line="240" w:lineRule="auto" w:before="8"/>
        <w:rPr>
          <w:rFonts w:ascii="黑体" w:hAnsi="黑体" w:cs="黑体" w:eastAsia="黑体" w:hint="default"/>
          <w:b/>
          <w:bCs/>
          <w:sz w:val="19"/>
          <w:szCs w:val="19"/>
        </w:rPr>
      </w:pPr>
    </w:p>
    <w:p>
      <w:pPr>
        <w:pStyle w:val="Heading6"/>
        <w:tabs>
          <w:tab w:pos="826" w:val="left" w:leader="none"/>
        </w:tabs>
        <w:spacing w:line="240" w:lineRule="auto" w:before="0"/>
        <w:ind w:right="0"/>
        <w:jc w:val="left"/>
        <w:rPr>
          <w:b w:val="0"/>
          <w:bCs w:val="0"/>
        </w:rPr>
      </w:pPr>
      <w:r>
        <w:rPr>
          <w:rFonts w:ascii="Arial" w:hAnsi="Arial" w:cs="Arial" w:eastAsia="Arial" w:hint="default"/>
          <w:spacing w:val="-1"/>
          <w:w w:val="95"/>
        </w:rPr>
        <w:t>35</w:t>
      </w:r>
      <w:r>
        <w:rPr>
          <w:spacing w:val="-1"/>
          <w:w w:val="95"/>
        </w:rPr>
        <w:t>．</w:t>
        <w:tab/>
      </w:r>
      <w:r>
        <w:rPr>
          <w:spacing w:val="1"/>
        </w:rPr>
        <w:t>营业收入及成本（续）</w:t>
      </w:r>
      <w:r>
        <w:rPr>
          <w:b w:val="0"/>
          <w:bCs w:val="0"/>
        </w:rPr>
      </w:r>
    </w:p>
    <w:p>
      <w:pPr>
        <w:spacing w:line="240" w:lineRule="auto" w:before="3"/>
        <w:rPr>
          <w:rFonts w:ascii="黑体" w:hAnsi="黑体" w:cs="黑体" w:eastAsia="黑体" w:hint="default"/>
          <w:b/>
          <w:bCs/>
          <w:sz w:val="22"/>
          <w:szCs w:val="22"/>
        </w:rPr>
      </w:pPr>
    </w:p>
    <w:p>
      <w:pPr>
        <w:pStyle w:val="BodyText"/>
        <w:spacing w:line="240" w:lineRule="auto"/>
        <w:ind w:right="0"/>
        <w:jc w:val="left"/>
      </w:pPr>
      <w:r>
        <w:rPr>
          <w:rFonts w:ascii="Arial" w:hAnsi="Arial" w:cs="Arial" w:eastAsia="Arial" w:hint="default"/>
        </w:rPr>
        <w:t>2012</w:t>
      </w:r>
      <w:r>
        <w:rPr/>
        <w:t>年，前五名客户的营业收入如下：</w:t>
      </w:r>
    </w:p>
    <w:p>
      <w:pPr>
        <w:spacing w:line="240" w:lineRule="auto" w:before="12"/>
        <w:rPr>
          <w:rFonts w:ascii="黑体" w:hAnsi="黑体" w:cs="黑体" w:eastAsia="黑体" w:hint="default"/>
          <w:sz w:val="29"/>
          <w:szCs w:val="29"/>
        </w:rPr>
      </w:pPr>
    </w:p>
    <w:tbl>
      <w:tblPr>
        <w:tblW w:w="0" w:type="auto"/>
        <w:jc w:val="left"/>
        <w:tblInd w:w="604" w:type="dxa"/>
        <w:tblLayout w:type="fixed"/>
        <w:tblCellMar>
          <w:top w:w="0" w:type="dxa"/>
          <w:left w:w="0" w:type="dxa"/>
          <w:bottom w:w="0" w:type="dxa"/>
          <w:right w:w="0" w:type="dxa"/>
        </w:tblCellMar>
        <w:tblLook w:val="01E0"/>
      </w:tblPr>
      <w:tblGrid>
        <w:gridCol w:w="2856"/>
        <w:gridCol w:w="3284"/>
        <w:gridCol w:w="2053"/>
      </w:tblGrid>
      <w:tr>
        <w:trPr>
          <w:trHeight w:val="260" w:hRule="exact"/>
        </w:trPr>
        <w:tc>
          <w:tcPr>
            <w:tcW w:w="2856" w:type="dxa"/>
            <w:tcBorders>
              <w:top w:val="nil" w:sz="6" w:space="0" w:color="auto"/>
              <w:left w:val="nil" w:sz="6" w:space="0" w:color="auto"/>
              <w:bottom w:val="nil" w:sz="6" w:space="0" w:color="auto"/>
              <w:right w:val="nil" w:sz="6" w:space="0" w:color="auto"/>
            </w:tcBorders>
          </w:tcPr>
          <w:p>
            <w:pPr/>
          </w:p>
        </w:tc>
        <w:tc>
          <w:tcPr>
            <w:tcW w:w="3284" w:type="dxa"/>
            <w:tcBorders>
              <w:top w:val="nil" w:sz="6" w:space="0" w:color="auto"/>
              <w:left w:val="nil" w:sz="6" w:space="0" w:color="auto"/>
              <w:bottom w:val="nil" w:sz="6" w:space="0" w:color="auto"/>
              <w:right w:val="nil" w:sz="6" w:space="0" w:color="auto"/>
            </w:tcBorders>
          </w:tcPr>
          <w:p>
            <w:pPr>
              <w:pStyle w:val="TableParagraph"/>
              <w:spacing w:line="199" w:lineRule="exact"/>
              <w:ind w:right="137"/>
              <w:jc w:val="right"/>
              <w:rPr>
                <w:rFonts w:ascii="黑体" w:hAnsi="黑体" w:cs="黑体" w:eastAsia="黑体" w:hint="default"/>
                <w:sz w:val="20"/>
                <w:szCs w:val="20"/>
              </w:rPr>
            </w:pPr>
            <w:r>
              <w:rPr>
                <w:rFonts w:ascii="黑体" w:hAnsi="黑体" w:cs="黑体" w:eastAsia="黑体" w:hint="default"/>
                <w:w w:val="95"/>
                <w:sz w:val="20"/>
                <w:szCs w:val="20"/>
              </w:rPr>
              <w:t>金额</w:t>
            </w:r>
            <w:r>
              <w:rPr>
                <w:rFonts w:ascii="黑体" w:hAnsi="黑体" w:cs="黑体" w:eastAsia="黑体" w:hint="default"/>
                <w:sz w:val="20"/>
                <w:szCs w:val="20"/>
              </w:rPr>
            </w:r>
          </w:p>
        </w:tc>
        <w:tc>
          <w:tcPr>
            <w:tcW w:w="2053" w:type="dxa"/>
            <w:tcBorders>
              <w:top w:val="nil" w:sz="6" w:space="0" w:color="auto"/>
              <w:left w:val="nil" w:sz="6" w:space="0" w:color="auto"/>
              <w:bottom w:val="nil" w:sz="6" w:space="0" w:color="auto"/>
              <w:right w:val="nil" w:sz="6" w:space="0" w:color="auto"/>
            </w:tcBorders>
          </w:tcPr>
          <w:p>
            <w:pPr>
              <w:pStyle w:val="TableParagraph"/>
              <w:spacing w:line="214" w:lineRule="exact"/>
              <w:ind w:right="204"/>
              <w:jc w:val="right"/>
              <w:rPr>
                <w:rFonts w:ascii="Arial" w:hAnsi="Arial" w:cs="Arial" w:eastAsia="Arial" w:hint="default"/>
                <w:sz w:val="20"/>
                <w:szCs w:val="20"/>
              </w:rPr>
            </w:pPr>
            <w:r>
              <w:rPr>
                <w:rFonts w:ascii="黑体" w:hAnsi="黑体" w:cs="黑体" w:eastAsia="黑体" w:hint="default"/>
                <w:w w:val="95"/>
                <w:sz w:val="20"/>
                <w:szCs w:val="20"/>
              </w:rPr>
              <w:t>占营业收入比例</w:t>
            </w:r>
            <w:r>
              <w:rPr>
                <w:rFonts w:ascii="Arial" w:hAnsi="Arial" w:cs="Arial" w:eastAsia="Arial" w:hint="default"/>
                <w:w w:val="95"/>
                <w:sz w:val="20"/>
                <w:szCs w:val="20"/>
              </w:rPr>
              <w:t>(%)</w:t>
            </w:r>
            <w:r>
              <w:rPr>
                <w:rFonts w:ascii="Arial" w:hAnsi="Arial" w:cs="Arial" w:eastAsia="Arial" w:hint="default"/>
                <w:sz w:val="20"/>
                <w:szCs w:val="20"/>
              </w:rPr>
            </w:r>
          </w:p>
        </w:tc>
      </w:tr>
      <w:tr>
        <w:trPr>
          <w:trHeight w:val="312" w:hRule="exact"/>
        </w:trPr>
        <w:tc>
          <w:tcPr>
            <w:tcW w:w="2856" w:type="dxa"/>
            <w:tcBorders>
              <w:top w:val="nil" w:sz="6" w:space="0" w:color="auto"/>
              <w:left w:val="nil" w:sz="6" w:space="0" w:color="auto"/>
              <w:bottom w:val="nil" w:sz="6" w:space="0" w:color="auto"/>
              <w:right w:val="nil" w:sz="6" w:space="0" w:color="auto"/>
            </w:tcBorders>
          </w:tcPr>
          <w:p>
            <w:pPr>
              <w:pStyle w:val="TableParagraph"/>
              <w:spacing w:line="265" w:lineRule="exact"/>
              <w:ind w:left="200" w:right="0"/>
              <w:jc w:val="left"/>
              <w:rPr>
                <w:rFonts w:ascii="Arial" w:hAnsi="Arial" w:cs="Arial" w:eastAsia="Arial" w:hint="default"/>
                <w:sz w:val="20"/>
                <w:szCs w:val="20"/>
              </w:rPr>
            </w:pPr>
            <w:r>
              <w:rPr>
                <w:rFonts w:ascii="黑体" w:hAnsi="黑体" w:cs="黑体" w:eastAsia="黑体" w:hint="default"/>
                <w:sz w:val="20"/>
                <w:szCs w:val="20"/>
              </w:rPr>
              <w:t>单位</w:t>
            </w:r>
            <w:r>
              <w:rPr>
                <w:rFonts w:ascii="Arial" w:hAnsi="Arial" w:cs="Arial" w:eastAsia="Arial" w:hint="default"/>
                <w:sz w:val="20"/>
                <w:szCs w:val="20"/>
              </w:rPr>
              <w:t>1</w:t>
            </w:r>
          </w:p>
        </w:tc>
        <w:tc>
          <w:tcPr>
            <w:tcW w:w="328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7"/>
              <w:jc w:val="right"/>
              <w:rPr>
                <w:rFonts w:ascii="Arial" w:hAnsi="Arial" w:cs="Arial" w:eastAsia="Arial" w:hint="default"/>
                <w:sz w:val="20"/>
                <w:szCs w:val="20"/>
              </w:rPr>
            </w:pPr>
            <w:r>
              <w:rPr>
                <w:rFonts w:ascii="Arial"/>
                <w:spacing w:val="-1"/>
                <w:sz w:val="20"/>
              </w:rPr>
              <w:t>44,559,400</w:t>
            </w:r>
            <w:r>
              <w:rPr>
                <w:rFonts w:ascii="Arial"/>
                <w:sz w:val="20"/>
              </w:rPr>
            </w:r>
          </w:p>
        </w:tc>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0"/>
              <w:jc w:val="right"/>
              <w:rPr>
                <w:rFonts w:ascii="Arial" w:hAnsi="Arial" w:cs="Arial" w:eastAsia="Arial" w:hint="default"/>
                <w:sz w:val="20"/>
                <w:szCs w:val="20"/>
              </w:rPr>
            </w:pPr>
            <w:r>
              <w:rPr>
                <w:rFonts w:ascii="Arial"/>
                <w:w w:val="99"/>
                <w:sz w:val="20"/>
              </w:rPr>
              <w:t>1</w:t>
            </w:r>
            <w:r>
              <w:rPr>
                <w:rFonts w:ascii="Arial"/>
                <w:sz w:val="20"/>
              </w:rPr>
            </w:r>
          </w:p>
        </w:tc>
      </w:tr>
      <w:tr>
        <w:trPr>
          <w:trHeight w:val="312" w:hRule="exact"/>
        </w:trPr>
        <w:tc>
          <w:tcPr>
            <w:tcW w:w="2856" w:type="dxa"/>
            <w:tcBorders>
              <w:top w:val="nil" w:sz="6" w:space="0" w:color="auto"/>
              <w:left w:val="nil" w:sz="6" w:space="0" w:color="auto"/>
              <w:bottom w:val="nil" w:sz="6" w:space="0" w:color="auto"/>
              <w:right w:val="nil" w:sz="6" w:space="0" w:color="auto"/>
            </w:tcBorders>
          </w:tcPr>
          <w:p>
            <w:pPr>
              <w:pStyle w:val="TableParagraph"/>
              <w:spacing w:line="265" w:lineRule="exact"/>
              <w:ind w:left="200" w:right="0"/>
              <w:jc w:val="left"/>
              <w:rPr>
                <w:rFonts w:ascii="Arial" w:hAnsi="Arial" w:cs="Arial" w:eastAsia="Arial" w:hint="default"/>
                <w:sz w:val="20"/>
                <w:szCs w:val="20"/>
              </w:rPr>
            </w:pPr>
            <w:r>
              <w:rPr>
                <w:rFonts w:ascii="黑体" w:hAnsi="黑体" w:cs="黑体" w:eastAsia="黑体" w:hint="default"/>
                <w:sz w:val="20"/>
                <w:szCs w:val="20"/>
              </w:rPr>
              <w:t>单位</w:t>
            </w:r>
            <w:r>
              <w:rPr>
                <w:rFonts w:ascii="Arial" w:hAnsi="Arial" w:cs="Arial" w:eastAsia="Arial" w:hint="default"/>
                <w:sz w:val="20"/>
                <w:szCs w:val="20"/>
              </w:rPr>
              <w:t>2</w:t>
            </w:r>
          </w:p>
        </w:tc>
        <w:tc>
          <w:tcPr>
            <w:tcW w:w="328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7"/>
              <w:jc w:val="right"/>
              <w:rPr>
                <w:rFonts w:ascii="Arial" w:hAnsi="Arial" w:cs="Arial" w:eastAsia="Arial" w:hint="default"/>
                <w:sz w:val="20"/>
                <w:szCs w:val="20"/>
              </w:rPr>
            </w:pPr>
            <w:r>
              <w:rPr>
                <w:rFonts w:ascii="Arial"/>
                <w:spacing w:val="-1"/>
                <w:sz w:val="20"/>
              </w:rPr>
              <w:t>31,749,943</w:t>
            </w:r>
            <w:r>
              <w:rPr>
                <w:rFonts w:ascii="Arial"/>
                <w:sz w:val="20"/>
              </w:rPr>
            </w:r>
          </w:p>
        </w:tc>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0"/>
              <w:jc w:val="right"/>
              <w:rPr>
                <w:rFonts w:ascii="Arial" w:hAnsi="Arial" w:cs="Arial" w:eastAsia="Arial" w:hint="default"/>
                <w:sz w:val="20"/>
                <w:szCs w:val="20"/>
              </w:rPr>
            </w:pPr>
            <w:r>
              <w:rPr>
                <w:rFonts w:ascii="Arial"/>
                <w:w w:val="99"/>
                <w:sz w:val="20"/>
              </w:rPr>
              <w:t>1</w:t>
            </w:r>
            <w:r>
              <w:rPr>
                <w:rFonts w:ascii="Arial"/>
                <w:sz w:val="20"/>
              </w:rPr>
            </w:r>
          </w:p>
        </w:tc>
      </w:tr>
      <w:tr>
        <w:trPr>
          <w:trHeight w:val="312" w:hRule="exact"/>
        </w:trPr>
        <w:tc>
          <w:tcPr>
            <w:tcW w:w="2856" w:type="dxa"/>
            <w:tcBorders>
              <w:top w:val="nil" w:sz="6" w:space="0" w:color="auto"/>
              <w:left w:val="nil" w:sz="6" w:space="0" w:color="auto"/>
              <w:bottom w:val="nil" w:sz="6" w:space="0" w:color="auto"/>
              <w:right w:val="nil" w:sz="6" w:space="0" w:color="auto"/>
            </w:tcBorders>
          </w:tcPr>
          <w:p>
            <w:pPr>
              <w:pStyle w:val="TableParagraph"/>
              <w:spacing w:line="265" w:lineRule="exact"/>
              <w:ind w:left="200" w:right="0"/>
              <w:jc w:val="left"/>
              <w:rPr>
                <w:rFonts w:ascii="Arial" w:hAnsi="Arial" w:cs="Arial" w:eastAsia="Arial" w:hint="default"/>
                <w:sz w:val="20"/>
                <w:szCs w:val="20"/>
              </w:rPr>
            </w:pPr>
            <w:r>
              <w:rPr>
                <w:rFonts w:ascii="黑体" w:hAnsi="黑体" w:cs="黑体" w:eastAsia="黑体" w:hint="default"/>
                <w:sz w:val="20"/>
                <w:szCs w:val="20"/>
              </w:rPr>
              <w:t>单位</w:t>
            </w:r>
            <w:r>
              <w:rPr>
                <w:rFonts w:ascii="Arial" w:hAnsi="Arial" w:cs="Arial" w:eastAsia="Arial" w:hint="default"/>
                <w:sz w:val="20"/>
                <w:szCs w:val="20"/>
              </w:rPr>
              <w:t>3</w:t>
            </w:r>
          </w:p>
        </w:tc>
        <w:tc>
          <w:tcPr>
            <w:tcW w:w="328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7"/>
              <w:jc w:val="right"/>
              <w:rPr>
                <w:rFonts w:ascii="Arial" w:hAnsi="Arial" w:cs="Arial" w:eastAsia="Arial" w:hint="default"/>
                <w:sz w:val="20"/>
                <w:szCs w:val="20"/>
              </w:rPr>
            </w:pPr>
            <w:r>
              <w:rPr>
                <w:rFonts w:ascii="Arial"/>
                <w:spacing w:val="-1"/>
                <w:sz w:val="20"/>
              </w:rPr>
              <w:t>23,617,262</w:t>
            </w:r>
            <w:r>
              <w:rPr>
                <w:rFonts w:ascii="Arial"/>
                <w:sz w:val="20"/>
              </w:rPr>
            </w:r>
          </w:p>
        </w:tc>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0"/>
              <w:jc w:val="right"/>
              <w:rPr>
                <w:rFonts w:ascii="Arial" w:hAnsi="Arial" w:cs="Arial" w:eastAsia="Arial" w:hint="default"/>
                <w:sz w:val="20"/>
                <w:szCs w:val="20"/>
              </w:rPr>
            </w:pPr>
            <w:r>
              <w:rPr>
                <w:rFonts w:ascii="Arial"/>
                <w:w w:val="99"/>
                <w:sz w:val="20"/>
              </w:rPr>
              <w:t>1</w:t>
            </w:r>
            <w:r>
              <w:rPr>
                <w:rFonts w:ascii="Arial"/>
                <w:sz w:val="20"/>
              </w:rPr>
            </w:r>
          </w:p>
        </w:tc>
      </w:tr>
      <w:tr>
        <w:trPr>
          <w:trHeight w:val="312" w:hRule="exact"/>
        </w:trPr>
        <w:tc>
          <w:tcPr>
            <w:tcW w:w="2856" w:type="dxa"/>
            <w:tcBorders>
              <w:top w:val="nil" w:sz="6" w:space="0" w:color="auto"/>
              <w:left w:val="nil" w:sz="6" w:space="0" w:color="auto"/>
              <w:bottom w:val="nil" w:sz="6" w:space="0" w:color="auto"/>
              <w:right w:val="nil" w:sz="6" w:space="0" w:color="auto"/>
            </w:tcBorders>
          </w:tcPr>
          <w:p>
            <w:pPr>
              <w:pStyle w:val="TableParagraph"/>
              <w:spacing w:line="265" w:lineRule="exact"/>
              <w:ind w:left="200" w:right="0"/>
              <w:jc w:val="left"/>
              <w:rPr>
                <w:rFonts w:ascii="Arial" w:hAnsi="Arial" w:cs="Arial" w:eastAsia="Arial" w:hint="default"/>
                <w:sz w:val="20"/>
                <w:szCs w:val="20"/>
              </w:rPr>
            </w:pPr>
            <w:r>
              <w:rPr>
                <w:rFonts w:ascii="黑体" w:hAnsi="黑体" w:cs="黑体" w:eastAsia="黑体" w:hint="default"/>
                <w:sz w:val="20"/>
                <w:szCs w:val="20"/>
              </w:rPr>
              <w:t>单位</w:t>
            </w:r>
            <w:r>
              <w:rPr>
                <w:rFonts w:ascii="Arial" w:hAnsi="Arial" w:cs="Arial" w:eastAsia="Arial" w:hint="default"/>
                <w:sz w:val="20"/>
                <w:szCs w:val="20"/>
              </w:rPr>
              <w:t>4</w:t>
            </w:r>
          </w:p>
        </w:tc>
        <w:tc>
          <w:tcPr>
            <w:tcW w:w="328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7"/>
              <w:jc w:val="right"/>
              <w:rPr>
                <w:rFonts w:ascii="Arial" w:hAnsi="Arial" w:cs="Arial" w:eastAsia="Arial" w:hint="default"/>
                <w:sz w:val="20"/>
                <w:szCs w:val="20"/>
              </w:rPr>
            </w:pPr>
            <w:r>
              <w:rPr>
                <w:rFonts w:ascii="Arial"/>
                <w:spacing w:val="-1"/>
                <w:sz w:val="20"/>
              </w:rPr>
              <w:t>13,615,385</w:t>
            </w:r>
            <w:r>
              <w:rPr>
                <w:rFonts w:ascii="Arial"/>
                <w:sz w:val="20"/>
              </w:rPr>
            </w:r>
          </w:p>
        </w:tc>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4"/>
              <w:jc w:val="right"/>
              <w:rPr>
                <w:rFonts w:ascii="Arial" w:hAnsi="Arial" w:cs="Arial" w:eastAsia="Arial" w:hint="default"/>
                <w:sz w:val="20"/>
                <w:szCs w:val="20"/>
              </w:rPr>
            </w:pPr>
            <w:r>
              <w:rPr>
                <w:rFonts w:ascii="Arial"/>
                <w:spacing w:val="-2"/>
                <w:w w:val="95"/>
                <w:sz w:val="20"/>
              </w:rPr>
              <w:t>&lt;1</w:t>
            </w:r>
            <w:r>
              <w:rPr>
                <w:rFonts w:ascii="Arial"/>
                <w:sz w:val="20"/>
              </w:rPr>
            </w:r>
          </w:p>
        </w:tc>
      </w:tr>
      <w:tr>
        <w:trPr>
          <w:trHeight w:val="469" w:hRule="exact"/>
        </w:trPr>
        <w:tc>
          <w:tcPr>
            <w:tcW w:w="2856" w:type="dxa"/>
            <w:tcBorders>
              <w:top w:val="nil" w:sz="6" w:space="0" w:color="auto"/>
              <w:left w:val="nil" w:sz="6" w:space="0" w:color="auto"/>
              <w:bottom w:val="nil" w:sz="6" w:space="0" w:color="auto"/>
              <w:right w:val="nil" w:sz="6" w:space="0" w:color="auto"/>
            </w:tcBorders>
          </w:tcPr>
          <w:p>
            <w:pPr>
              <w:pStyle w:val="TableParagraph"/>
              <w:spacing w:line="265" w:lineRule="exact"/>
              <w:ind w:left="200" w:right="0"/>
              <w:jc w:val="left"/>
              <w:rPr>
                <w:rFonts w:ascii="Arial" w:hAnsi="Arial" w:cs="Arial" w:eastAsia="Arial" w:hint="default"/>
                <w:sz w:val="20"/>
                <w:szCs w:val="20"/>
              </w:rPr>
            </w:pPr>
            <w:r>
              <w:rPr>
                <w:rFonts w:ascii="黑体" w:hAnsi="黑体" w:cs="黑体" w:eastAsia="黑体" w:hint="default"/>
                <w:sz w:val="20"/>
                <w:szCs w:val="20"/>
              </w:rPr>
              <w:t>单位</w:t>
            </w:r>
            <w:r>
              <w:rPr>
                <w:rFonts w:ascii="Arial" w:hAnsi="Arial" w:cs="Arial" w:eastAsia="Arial" w:hint="default"/>
                <w:sz w:val="20"/>
                <w:szCs w:val="20"/>
              </w:rPr>
              <w:t>5</w:t>
            </w:r>
          </w:p>
        </w:tc>
        <w:tc>
          <w:tcPr>
            <w:tcW w:w="328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7"/>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sz w:val="20"/>
                <w:u w:val="single" w:color="000000"/>
              </w:rPr>
              <w:t>12,922,747</w:t>
            </w:r>
            <w:r>
              <w:rPr>
                <w:rFonts w:ascii="Arial"/>
                <w:spacing w:val="-1"/>
                <w:sz w:val="20"/>
              </w:rPr>
            </w:r>
          </w:p>
        </w:tc>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4"/>
              <w:jc w:val="right"/>
              <w:rPr>
                <w:rFonts w:ascii="Arial" w:hAnsi="Arial" w:cs="Arial" w:eastAsia="Arial" w:hint="default"/>
                <w:sz w:val="20"/>
                <w:szCs w:val="20"/>
              </w:rPr>
            </w:pPr>
            <w:r>
              <w:rPr>
                <w:rFonts w:ascii="Arial"/>
                <w:w w:val="99"/>
                <w:sz w:val="20"/>
              </w:rPr>
            </w:r>
            <w:r>
              <w:rPr>
                <w:rFonts w:ascii="Arial"/>
                <w:spacing w:val="-2"/>
                <w:w w:val="95"/>
                <w:sz w:val="20"/>
                <w:u w:val="single" w:color="000000"/>
              </w:rPr>
              <w:t>&lt;1</w:t>
            </w:r>
            <w:r>
              <w:rPr>
                <w:rFonts w:ascii="Arial"/>
                <w:spacing w:val="-2"/>
                <w:w w:val="95"/>
                <w:sz w:val="20"/>
              </w:rPr>
            </w:r>
            <w:r>
              <w:rPr>
                <w:rFonts w:ascii="Arial"/>
                <w:sz w:val="20"/>
              </w:rPr>
            </w:r>
          </w:p>
        </w:tc>
      </w:tr>
      <w:tr>
        <w:trPr>
          <w:trHeight w:val="408" w:hRule="exact"/>
        </w:trPr>
        <w:tc>
          <w:tcPr>
            <w:tcW w:w="2856" w:type="dxa"/>
            <w:tcBorders>
              <w:top w:val="nil" w:sz="6" w:space="0" w:color="auto"/>
              <w:left w:val="nil" w:sz="6" w:space="0" w:color="auto"/>
              <w:bottom w:val="nil" w:sz="6" w:space="0" w:color="auto"/>
              <w:right w:val="nil" w:sz="6" w:space="0" w:color="auto"/>
            </w:tcBorders>
          </w:tcPr>
          <w:p>
            <w:pPr/>
          </w:p>
        </w:tc>
        <w:tc>
          <w:tcPr>
            <w:tcW w:w="32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right="137"/>
              <w:jc w:val="right"/>
              <w:rPr>
                <w:rFonts w:ascii="Arial" w:hAnsi="Arial" w:cs="Arial" w:eastAsia="Arial" w:hint="default"/>
                <w:sz w:val="20"/>
                <w:szCs w:val="20"/>
              </w:rPr>
            </w:pPr>
            <w:r>
              <w:rPr>
                <w:rFonts w:ascii="Arial"/>
                <w:w w:val="99"/>
                <w:sz w:val="20"/>
              </w:rPr>
            </w:r>
            <w:r>
              <w:rPr>
                <w:rFonts w:ascii="Arial"/>
                <w:spacing w:val="-1"/>
                <w:sz w:val="20"/>
                <w:u w:val="thick" w:color="000000"/>
              </w:rPr>
              <w:t>126,464,737</w:t>
            </w:r>
            <w:r>
              <w:rPr>
                <w:rFonts w:ascii="Arial"/>
                <w:spacing w:val="-1"/>
                <w:sz w:val="20"/>
              </w:rPr>
            </w:r>
            <w:r>
              <w:rPr>
                <w:rFonts w:ascii="Arial"/>
                <w:sz w:val="20"/>
              </w:rPr>
            </w:r>
          </w:p>
        </w:tc>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right="198"/>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 </w:t>
            </w:r>
            <w:r>
              <w:rPr>
                <w:rFonts w:ascii="Arial"/>
                <w:spacing w:val="-4"/>
                <w:sz w:val="20"/>
                <w:u w:val="thick" w:color="000000"/>
              </w:rPr>
              <w:t> </w:t>
            </w:r>
            <w:r>
              <w:rPr>
                <w:rFonts w:ascii="Arial"/>
                <w:w w:val="95"/>
                <w:sz w:val="20"/>
                <w:u w:val="thick" w:color="000000"/>
              </w:rPr>
              <w:t>3</w:t>
            </w:r>
            <w:r>
              <w:rPr>
                <w:rFonts w:ascii="Arial"/>
                <w:w w:val="95"/>
                <w:sz w:val="20"/>
              </w:rPr>
            </w:r>
            <w:r>
              <w:rPr>
                <w:rFonts w:ascii="Arial"/>
                <w:sz w:val="20"/>
              </w:rPr>
            </w:r>
          </w:p>
        </w:tc>
      </w:tr>
    </w:tbl>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27"/>
          <w:szCs w:val="27"/>
        </w:rPr>
      </w:pPr>
    </w:p>
    <w:p>
      <w:pPr>
        <w:pStyle w:val="BodyText"/>
        <w:spacing w:line="240" w:lineRule="auto" w:before="37"/>
        <w:ind w:right="0"/>
        <w:jc w:val="left"/>
      </w:pPr>
      <w:r>
        <w:rPr>
          <w:rFonts w:ascii="Arial" w:hAnsi="Arial" w:cs="Arial" w:eastAsia="Arial" w:hint="default"/>
        </w:rPr>
        <w:t>2011</w:t>
      </w:r>
      <w:r>
        <w:rPr/>
        <w:t>年，前五名客户的营业收入如下：</w:t>
      </w:r>
    </w:p>
    <w:p>
      <w:pPr>
        <w:spacing w:line="240" w:lineRule="auto" w:before="12"/>
        <w:rPr>
          <w:rFonts w:ascii="黑体" w:hAnsi="黑体" w:cs="黑体" w:eastAsia="黑体" w:hint="default"/>
          <w:sz w:val="29"/>
          <w:szCs w:val="29"/>
        </w:rPr>
      </w:pPr>
    </w:p>
    <w:tbl>
      <w:tblPr>
        <w:tblW w:w="0" w:type="auto"/>
        <w:jc w:val="left"/>
        <w:tblInd w:w="604" w:type="dxa"/>
        <w:tblLayout w:type="fixed"/>
        <w:tblCellMar>
          <w:top w:w="0" w:type="dxa"/>
          <w:left w:w="0" w:type="dxa"/>
          <w:bottom w:w="0" w:type="dxa"/>
          <w:right w:w="0" w:type="dxa"/>
        </w:tblCellMar>
        <w:tblLook w:val="01E0"/>
      </w:tblPr>
      <w:tblGrid>
        <w:gridCol w:w="2856"/>
        <w:gridCol w:w="3284"/>
        <w:gridCol w:w="2053"/>
      </w:tblGrid>
      <w:tr>
        <w:trPr>
          <w:trHeight w:val="416" w:hRule="exact"/>
        </w:trPr>
        <w:tc>
          <w:tcPr>
            <w:tcW w:w="2856" w:type="dxa"/>
            <w:tcBorders>
              <w:top w:val="nil" w:sz="6" w:space="0" w:color="auto"/>
              <w:left w:val="nil" w:sz="6" w:space="0" w:color="auto"/>
              <w:bottom w:val="nil" w:sz="6" w:space="0" w:color="auto"/>
              <w:right w:val="nil" w:sz="6" w:space="0" w:color="auto"/>
            </w:tcBorders>
          </w:tcPr>
          <w:p>
            <w:pPr/>
          </w:p>
        </w:tc>
        <w:tc>
          <w:tcPr>
            <w:tcW w:w="3284" w:type="dxa"/>
            <w:tcBorders>
              <w:top w:val="nil" w:sz="6" w:space="0" w:color="auto"/>
              <w:left w:val="nil" w:sz="6" w:space="0" w:color="auto"/>
              <w:bottom w:val="nil" w:sz="6" w:space="0" w:color="auto"/>
              <w:right w:val="nil" w:sz="6" w:space="0" w:color="auto"/>
            </w:tcBorders>
          </w:tcPr>
          <w:p>
            <w:pPr>
              <w:pStyle w:val="TableParagraph"/>
              <w:spacing w:line="199" w:lineRule="exact"/>
              <w:ind w:right="137"/>
              <w:jc w:val="right"/>
              <w:rPr>
                <w:rFonts w:ascii="黑体" w:hAnsi="黑体" w:cs="黑体" w:eastAsia="黑体" w:hint="default"/>
                <w:sz w:val="20"/>
                <w:szCs w:val="20"/>
              </w:rPr>
            </w:pPr>
            <w:r>
              <w:rPr>
                <w:rFonts w:ascii="黑体" w:hAnsi="黑体" w:cs="黑体" w:eastAsia="黑体" w:hint="default"/>
                <w:w w:val="95"/>
                <w:sz w:val="20"/>
                <w:szCs w:val="20"/>
              </w:rPr>
              <w:t>金额</w:t>
            </w:r>
            <w:r>
              <w:rPr>
                <w:rFonts w:ascii="黑体" w:hAnsi="黑体" w:cs="黑体" w:eastAsia="黑体" w:hint="default"/>
                <w:sz w:val="20"/>
                <w:szCs w:val="20"/>
              </w:rPr>
            </w:r>
          </w:p>
        </w:tc>
        <w:tc>
          <w:tcPr>
            <w:tcW w:w="2053" w:type="dxa"/>
            <w:tcBorders>
              <w:top w:val="nil" w:sz="6" w:space="0" w:color="auto"/>
              <w:left w:val="nil" w:sz="6" w:space="0" w:color="auto"/>
              <w:bottom w:val="nil" w:sz="6" w:space="0" w:color="auto"/>
              <w:right w:val="nil" w:sz="6" w:space="0" w:color="auto"/>
            </w:tcBorders>
          </w:tcPr>
          <w:p>
            <w:pPr>
              <w:pStyle w:val="TableParagraph"/>
              <w:spacing w:line="214" w:lineRule="exact"/>
              <w:ind w:right="204"/>
              <w:jc w:val="right"/>
              <w:rPr>
                <w:rFonts w:ascii="Arial" w:hAnsi="Arial" w:cs="Arial" w:eastAsia="Arial" w:hint="default"/>
                <w:sz w:val="20"/>
                <w:szCs w:val="20"/>
              </w:rPr>
            </w:pPr>
            <w:r>
              <w:rPr>
                <w:rFonts w:ascii="黑体" w:hAnsi="黑体" w:cs="黑体" w:eastAsia="黑体" w:hint="default"/>
                <w:w w:val="95"/>
                <w:sz w:val="20"/>
                <w:szCs w:val="20"/>
              </w:rPr>
              <w:t>占营业收入比例</w:t>
            </w:r>
            <w:r>
              <w:rPr>
                <w:rFonts w:ascii="Arial" w:hAnsi="Arial" w:cs="Arial" w:eastAsia="Arial" w:hint="default"/>
                <w:w w:val="95"/>
                <w:sz w:val="20"/>
                <w:szCs w:val="20"/>
              </w:rPr>
              <w:t>(%)</w:t>
            </w:r>
            <w:r>
              <w:rPr>
                <w:rFonts w:ascii="Arial" w:hAnsi="Arial" w:cs="Arial" w:eastAsia="Arial" w:hint="default"/>
                <w:sz w:val="20"/>
                <w:szCs w:val="20"/>
              </w:rPr>
            </w:r>
          </w:p>
        </w:tc>
      </w:tr>
      <w:tr>
        <w:trPr>
          <w:trHeight w:val="468" w:hRule="exact"/>
        </w:trPr>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200" w:right="0"/>
              <w:jc w:val="left"/>
              <w:rPr>
                <w:rFonts w:ascii="Arial" w:hAnsi="Arial" w:cs="Arial" w:eastAsia="Arial" w:hint="default"/>
                <w:sz w:val="20"/>
                <w:szCs w:val="20"/>
              </w:rPr>
            </w:pPr>
            <w:r>
              <w:rPr>
                <w:rFonts w:ascii="黑体" w:hAnsi="黑体" w:cs="黑体" w:eastAsia="黑体" w:hint="default"/>
                <w:sz w:val="20"/>
                <w:szCs w:val="20"/>
              </w:rPr>
              <w:t>单位</w:t>
            </w:r>
            <w:r>
              <w:rPr>
                <w:rFonts w:ascii="Arial" w:hAnsi="Arial" w:cs="Arial" w:eastAsia="Arial" w:hint="default"/>
                <w:sz w:val="20"/>
                <w:szCs w:val="20"/>
              </w:rPr>
              <w:t>1</w:t>
            </w:r>
          </w:p>
        </w:tc>
        <w:tc>
          <w:tcPr>
            <w:tcW w:w="328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4"/>
                <w:szCs w:val="14"/>
              </w:rPr>
            </w:pPr>
          </w:p>
          <w:p>
            <w:pPr>
              <w:pStyle w:val="TableParagraph"/>
              <w:spacing w:line="240" w:lineRule="auto"/>
              <w:ind w:right="137"/>
              <w:jc w:val="right"/>
              <w:rPr>
                <w:rFonts w:ascii="Arial" w:hAnsi="Arial" w:cs="Arial" w:eastAsia="Arial" w:hint="default"/>
                <w:sz w:val="20"/>
                <w:szCs w:val="20"/>
              </w:rPr>
            </w:pPr>
            <w:r>
              <w:rPr>
                <w:rFonts w:ascii="Arial"/>
                <w:spacing w:val="-1"/>
                <w:sz w:val="20"/>
              </w:rPr>
              <w:t>24,774,000</w:t>
            </w:r>
            <w:r>
              <w:rPr>
                <w:rFonts w:ascii="Arial"/>
                <w:sz w:val="20"/>
              </w:rPr>
            </w:r>
          </w:p>
        </w:tc>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4"/>
                <w:szCs w:val="14"/>
              </w:rPr>
            </w:pPr>
          </w:p>
          <w:p>
            <w:pPr>
              <w:pStyle w:val="TableParagraph"/>
              <w:spacing w:line="240" w:lineRule="auto"/>
              <w:ind w:right="200"/>
              <w:jc w:val="right"/>
              <w:rPr>
                <w:rFonts w:ascii="Arial" w:hAnsi="Arial" w:cs="Arial" w:eastAsia="Arial" w:hint="default"/>
                <w:sz w:val="20"/>
                <w:szCs w:val="20"/>
              </w:rPr>
            </w:pPr>
            <w:r>
              <w:rPr>
                <w:rFonts w:ascii="Arial"/>
                <w:w w:val="99"/>
                <w:sz w:val="20"/>
              </w:rPr>
              <w:t>1</w:t>
            </w:r>
            <w:r>
              <w:rPr>
                <w:rFonts w:ascii="Arial"/>
                <w:sz w:val="20"/>
              </w:rPr>
            </w:r>
          </w:p>
        </w:tc>
      </w:tr>
      <w:tr>
        <w:trPr>
          <w:trHeight w:val="312" w:hRule="exact"/>
        </w:trPr>
        <w:tc>
          <w:tcPr>
            <w:tcW w:w="2856" w:type="dxa"/>
            <w:tcBorders>
              <w:top w:val="nil" w:sz="6" w:space="0" w:color="auto"/>
              <w:left w:val="nil" w:sz="6" w:space="0" w:color="auto"/>
              <w:bottom w:val="nil" w:sz="6" w:space="0" w:color="auto"/>
              <w:right w:val="nil" w:sz="6" w:space="0" w:color="auto"/>
            </w:tcBorders>
          </w:tcPr>
          <w:p>
            <w:pPr>
              <w:pStyle w:val="TableParagraph"/>
              <w:spacing w:line="265" w:lineRule="exact"/>
              <w:ind w:left="200" w:right="0"/>
              <w:jc w:val="left"/>
              <w:rPr>
                <w:rFonts w:ascii="Arial" w:hAnsi="Arial" w:cs="Arial" w:eastAsia="Arial" w:hint="default"/>
                <w:sz w:val="20"/>
                <w:szCs w:val="20"/>
              </w:rPr>
            </w:pPr>
            <w:r>
              <w:rPr>
                <w:rFonts w:ascii="黑体" w:hAnsi="黑体" w:cs="黑体" w:eastAsia="黑体" w:hint="default"/>
                <w:sz w:val="20"/>
                <w:szCs w:val="20"/>
              </w:rPr>
              <w:t>单位</w:t>
            </w:r>
            <w:r>
              <w:rPr>
                <w:rFonts w:ascii="Arial" w:hAnsi="Arial" w:cs="Arial" w:eastAsia="Arial" w:hint="default"/>
                <w:sz w:val="20"/>
                <w:szCs w:val="20"/>
              </w:rPr>
              <w:t>2</w:t>
            </w:r>
          </w:p>
        </w:tc>
        <w:tc>
          <w:tcPr>
            <w:tcW w:w="328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7"/>
              <w:jc w:val="right"/>
              <w:rPr>
                <w:rFonts w:ascii="Arial" w:hAnsi="Arial" w:cs="Arial" w:eastAsia="Arial" w:hint="default"/>
                <w:sz w:val="20"/>
                <w:szCs w:val="20"/>
              </w:rPr>
            </w:pPr>
            <w:r>
              <w:rPr>
                <w:rFonts w:ascii="Arial"/>
                <w:spacing w:val="-1"/>
                <w:sz w:val="20"/>
              </w:rPr>
              <w:t>13,208,778</w:t>
            </w:r>
            <w:r>
              <w:rPr>
                <w:rFonts w:ascii="Arial"/>
                <w:sz w:val="20"/>
              </w:rPr>
            </w:r>
          </w:p>
        </w:tc>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4"/>
              <w:jc w:val="right"/>
              <w:rPr>
                <w:rFonts w:ascii="Arial" w:hAnsi="Arial" w:cs="Arial" w:eastAsia="Arial" w:hint="default"/>
                <w:sz w:val="20"/>
                <w:szCs w:val="20"/>
              </w:rPr>
            </w:pPr>
            <w:r>
              <w:rPr>
                <w:rFonts w:ascii="Arial"/>
                <w:spacing w:val="-2"/>
                <w:w w:val="95"/>
                <w:sz w:val="20"/>
              </w:rPr>
              <w:t>&lt;1</w:t>
            </w:r>
            <w:r>
              <w:rPr>
                <w:rFonts w:ascii="Arial"/>
                <w:sz w:val="20"/>
              </w:rPr>
            </w:r>
          </w:p>
        </w:tc>
      </w:tr>
      <w:tr>
        <w:trPr>
          <w:trHeight w:val="312" w:hRule="exact"/>
        </w:trPr>
        <w:tc>
          <w:tcPr>
            <w:tcW w:w="2856" w:type="dxa"/>
            <w:tcBorders>
              <w:top w:val="nil" w:sz="6" w:space="0" w:color="auto"/>
              <w:left w:val="nil" w:sz="6" w:space="0" w:color="auto"/>
              <w:bottom w:val="nil" w:sz="6" w:space="0" w:color="auto"/>
              <w:right w:val="nil" w:sz="6" w:space="0" w:color="auto"/>
            </w:tcBorders>
          </w:tcPr>
          <w:p>
            <w:pPr>
              <w:pStyle w:val="TableParagraph"/>
              <w:spacing w:line="265" w:lineRule="exact"/>
              <w:ind w:left="200" w:right="0"/>
              <w:jc w:val="left"/>
              <w:rPr>
                <w:rFonts w:ascii="Arial" w:hAnsi="Arial" w:cs="Arial" w:eastAsia="Arial" w:hint="default"/>
                <w:sz w:val="20"/>
                <w:szCs w:val="20"/>
              </w:rPr>
            </w:pPr>
            <w:r>
              <w:rPr>
                <w:rFonts w:ascii="黑体" w:hAnsi="黑体" w:cs="黑体" w:eastAsia="黑体" w:hint="default"/>
                <w:sz w:val="20"/>
                <w:szCs w:val="20"/>
              </w:rPr>
              <w:t>单位</w:t>
            </w:r>
            <w:r>
              <w:rPr>
                <w:rFonts w:ascii="Arial" w:hAnsi="Arial" w:cs="Arial" w:eastAsia="Arial" w:hint="default"/>
                <w:sz w:val="20"/>
                <w:szCs w:val="20"/>
              </w:rPr>
              <w:t>3</w:t>
            </w:r>
          </w:p>
        </w:tc>
        <w:tc>
          <w:tcPr>
            <w:tcW w:w="328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7"/>
              <w:jc w:val="right"/>
              <w:rPr>
                <w:rFonts w:ascii="Arial" w:hAnsi="Arial" w:cs="Arial" w:eastAsia="Arial" w:hint="default"/>
                <w:sz w:val="20"/>
                <w:szCs w:val="20"/>
              </w:rPr>
            </w:pPr>
            <w:r>
              <w:rPr>
                <w:rFonts w:ascii="Arial"/>
                <w:spacing w:val="-1"/>
                <w:sz w:val="20"/>
              </w:rPr>
              <w:t>12,275,000</w:t>
            </w:r>
            <w:r>
              <w:rPr>
                <w:rFonts w:ascii="Arial"/>
                <w:sz w:val="20"/>
              </w:rPr>
            </w:r>
          </w:p>
        </w:tc>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4"/>
              <w:jc w:val="right"/>
              <w:rPr>
                <w:rFonts w:ascii="Arial" w:hAnsi="Arial" w:cs="Arial" w:eastAsia="Arial" w:hint="default"/>
                <w:sz w:val="20"/>
                <w:szCs w:val="20"/>
              </w:rPr>
            </w:pPr>
            <w:r>
              <w:rPr>
                <w:rFonts w:ascii="Arial"/>
                <w:spacing w:val="-2"/>
                <w:w w:val="95"/>
                <w:sz w:val="20"/>
              </w:rPr>
              <w:t>&lt;1</w:t>
            </w:r>
            <w:r>
              <w:rPr>
                <w:rFonts w:ascii="Arial"/>
                <w:sz w:val="20"/>
              </w:rPr>
            </w:r>
          </w:p>
        </w:tc>
      </w:tr>
      <w:tr>
        <w:trPr>
          <w:trHeight w:val="312" w:hRule="exact"/>
        </w:trPr>
        <w:tc>
          <w:tcPr>
            <w:tcW w:w="2856" w:type="dxa"/>
            <w:tcBorders>
              <w:top w:val="nil" w:sz="6" w:space="0" w:color="auto"/>
              <w:left w:val="nil" w:sz="6" w:space="0" w:color="auto"/>
              <w:bottom w:val="nil" w:sz="6" w:space="0" w:color="auto"/>
              <w:right w:val="nil" w:sz="6" w:space="0" w:color="auto"/>
            </w:tcBorders>
          </w:tcPr>
          <w:p>
            <w:pPr>
              <w:pStyle w:val="TableParagraph"/>
              <w:spacing w:line="265" w:lineRule="exact"/>
              <w:ind w:left="200" w:right="0"/>
              <w:jc w:val="left"/>
              <w:rPr>
                <w:rFonts w:ascii="Arial" w:hAnsi="Arial" w:cs="Arial" w:eastAsia="Arial" w:hint="default"/>
                <w:sz w:val="20"/>
                <w:szCs w:val="20"/>
              </w:rPr>
            </w:pPr>
            <w:r>
              <w:rPr>
                <w:rFonts w:ascii="黑体" w:hAnsi="黑体" w:cs="黑体" w:eastAsia="黑体" w:hint="default"/>
                <w:sz w:val="20"/>
                <w:szCs w:val="20"/>
              </w:rPr>
              <w:t>单位</w:t>
            </w:r>
            <w:r>
              <w:rPr>
                <w:rFonts w:ascii="Arial" w:hAnsi="Arial" w:cs="Arial" w:eastAsia="Arial" w:hint="default"/>
                <w:sz w:val="20"/>
                <w:szCs w:val="20"/>
              </w:rPr>
              <w:t>4</w:t>
            </w:r>
          </w:p>
        </w:tc>
        <w:tc>
          <w:tcPr>
            <w:tcW w:w="328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7"/>
              <w:jc w:val="right"/>
              <w:rPr>
                <w:rFonts w:ascii="Arial" w:hAnsi="Arial" w:cs="Arial" w:eastAsia="Arial" w:hint="default"/>
                <w:sz w:val="20"/>
                <w:szCs w:val="20"/>
              </w:rPr>
            </w:pPr>
            <w:r>
              <w:rPr>
                <w:rFonts w:ascii="Arial"/>
                <w:spacing w:val="-1"/>
                <w:sz w:val="20"/>
              </w:rPr>
              <w:t>11,340,000</w:t>
            </w:r>
            <w:r>
              <w:rPr>
                <w:rFonts w:ascii="Arial"/>
                <w:sz w:val="20"/>
              </w:rPr>
            </w:r>
          </w:p>
        </w:tc>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4"/>
              <w:jc w:val="right"/>
              <w:rPr>
                <w:rFonts w:ascii="Arial" w:hAnsi="Arial" w:cs="Arial" w:eastAsia="Arial" w:hint="default"/>
                <w:sz w:val="20"/>
                <w:szCs w:val="20"/>
              </w:rPr>
            </w:pPr>
            <w:r>
              <w:rPr>
                <w:rFonts w:ascii="Arial"/>
                <w:spacing w:val="-2"/>
                <w:w w:val="95"/>
                <w:sz w:val="20"/>
              </w:rPr>
              <w:t>&lt;1</w:t>
            </w:r>
            <w:r>
              <w:rPr>
                <w:rFonts w:ascii="Arial"/>
                <w:sz w:val="20"/>
              </w:rPr>
            </w:r>
          </w:p>
        </w:tc>
      </w:tr>
      <w:tr>
        <w:trPr>
          <w:trHeight w:val="469" w:hRule="exact"/>
        </w:trPr>
        <w:tc>
          <w:tcPr>
            <w:tcW w:w="2856" w:type="dxa"/>
            <w:tcBorders>
              <w:top w:val="nil" w:sz="6" w:space="0" w:color="auto"/>
              <w:left w:val="nil" w:sz="6" w:space="0" w:color="auto"/>
              <w:bottom w:val="nil" w:sz="6" w:space="0" w:color="auto"/>
              <w:right w:val="nil" w:sz="6" w:space="0" w:color="auto"/>
            </w:tcBorders>
          </w:tcPr>
          <w:p>
            <w:pPr>
              <w:pStyle w:val="TableParagraph"/>
              <w:spacing w:line="265" w:lineRule="exact"/>
              <w:ind w:left="200" w:right="0"/>
              <w:jc w:val="left"/>
              <w:rPr>
                <w:rFonts w:ascii="Arial" w:hAnsi="Arial" w:cs="Arial" w:eastAsia="Arial" w:hint="default"/>
                <w:sz w:val="20"/>
                <w:szCs w:val="20"/>
              </w:rPr>
            </w:pPr>
            <w:r>
              <w:rPr>
                <w:rFonts w:ascii="黑体" w:hAnsi="黑体" w:cs="黑体" w:eastAsia="黑体" w:hint="default"/>
                <w:sz w:val="20"/>
                <w:szCs w:val="20"/>
              </w:rPr>
              <w:t>单位</w:t>
            </w:r>
            <w:r>
              <w:rPr>
                <w:rFonts w:ascii="Arial" w:hAnsi="Arial" w:cs="Arial" w:eastAsia="Arial" w:hint="default"/>
                <w:sz w:val="20"/>
                <w:szCs w:val="20"/>
              </w:rPr>
              <w:t>5</w:t>
            </w:r>
          </w:p>
        </w:tc>
        <w:tc>
          <w:tcPr>
            <w:tcW w:w="328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7"/>
              <w:jc w:val="right"/>
              <w:rPr>
                <w:rFonts w:ascii="Arial" w:hAnsi="Arial" w:cs="Arial" w:eastAsia="Arial" w:hint="default"/>
                <w:sz w:val="20"/>
                <w:szCs w:val="20"/>
              </w:rPr>
            </w:pPr>
            <w:r>
              <w:rPr>
                <w:rFonts w:ascii="Arial"/>
                <w:w w:val="99"/>
                <w:sz w:val="20"/>
              </w:rPr>
            </w:r>
            <w:r>
              <w:rPr>
                <w:rFonts w:ascii="Arial"/>
                <w:spacing w:val="-1"/>
                <w:sz w:val="20"/>
                <w:u w:val="single" w:color="000000"/>
              </w:rPr>
              <w:t>10,632,479</w:t>
            </w:r>
            <w:r>
              <w:rPr>
                <w:rFonts w:ascii="Arial"/>
                <w:spacing w:val="-1"/>
                <w:sz w:val="20"/>
              </w:rPr>
            </w:r>
            <w:r>
              <w:rPr>
                <w:rFonts w:ascii="Arial"/>
                <w:sz w:val="20"/>
              </w:rPr>
            </w:r>
          </w:p>
        </w:tc>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4"/>
              <w:jc w:val="right"/>
              <w:rPr>
                <w:rFonts w:ascii="Arial" w:hAnsi="Arial" w:cs="Arial" w:eastAsia="Arial" w:hint="default"/>
                <w:sz w:val="20"/>
                <w:szCs w:val="20"/>
              </w:rPr>
            </w:pPr>
            <w:r>
              <w:rPr>
                <w:rFonts w:ascii="Arial"/>
                <w:w w:val="99"/>
                <w:sz w:val="20"/>
              </w:rPr>
            </w:r>
            <w:r>
              <w:rPr>
                <w:rFonts w:ascii="Arial"/>
                <w:spacing w:val="-2"/>
                <w:w w:val="95"/>
                <w:sz w:val="20"/>
                <w:u w:val="single" w:color="000000"/>
              </w:rPr>
              <w:t>&lt;1</w:t>
            </w:r>
            <w:r>
              <w:rPr>
                <w:rFonts w:ascii="Arial"/>
                <w:spacing w:val="-2"/>
                <w:w w:val="95"/>
                <w:sz w:val="20"/>
              </w:rPr>
            </w:r>
            <w:r>
              <w:rPr>
                <w:rFonts w:ascii="Arial"/>
                <w:sz w:val="20"/>
              </w:rPr>
            </w:r>
          </w:p>
        </w:tc>
      </w:tr>
      <w:tr>
        <w:trPr>
          <w:trHeight w:val="408" w:hRule="exact"/>
        </w:trPr>
        <w:tc>
          <w:tcPr>
            <w:tcW w:w="2856" w:type="dxa"/>
            <w:tcBorders>
              <w:top w:val="nil" w:sz="6" w:space="0" w:color="auto"/>
              <w:left w:val="nil" w:sz="6" w:space="0" w:color="auto"/>
              <w:bottom w:val="nil" w:sz="6" w:space="0" w:color="auto"/>
              <w:right w:val="nil" w:sz="6" w:space="0" w:color="auto"/>
            </w:tcBorders>
          </w:tcPr>
          <w:p>
            <w:pPr/>
          </w:p>
        </w:tc>
        <w:tc>
          <w:tcPr>
            <w:tcW w:w="32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right="137"/>
              <w:jc w:val="right"/>
              <w:rPr>
                <w:rFonts w:ascii="Arial" w:hAnsi="Arial" w:cs="Arial" w:eastAsia="Arial" w:hint="default"/>
                <w:sz w:val="20"/>
                <w:szCs w:val="20"/>
              </w:rPr>
            </w:pPr>
            <w:r>
              <w:rPr>
                <w:rFonts w:ascii="Arial"/>
                <w:w w:val="99"/>
                <w:sz w:val="20"/>
              </w:rPr>
            </w:r>
            <w:r>
              <w:rPr>
                <w:rFonts w:ascii="Arial"/>
                <w:spacing w:val="-1"/>
                <w:sz w:val="20"/>
                <w:u w:val="thick" w:color="000000"/>
              </w:rPr>
              <w:t>72,230,257</w:t>
            </w:r>
            <w:r>
              <w:rPr>
                <w:rFonts w:ascii="Arial"/>
                <w:spacing w:val="-1"/>
                <w:sz w:val="20"/>
              </w:rPr>
            </w:r>
            <w:r>
              <w:rPr>
                <w:rFonts w:ascii="Arial"/>
                <w:sz w:val="20"/>
              </w:rPr>
            </w:r>
          </w:p>
        </w:tc>
        <w:tc>
          <w:tcPr>
            <w:tcW w:w="205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3"/>
                <w:szCs w:val="13"/>
              </w:rPr>
            </w:pPr>
          </w:p>
          <w:p>
            <w:pPr>
              <w:pStyle w:val="TableParagraph"/>
              <w:spacing w:line="240" w:lineRule="auto"/>
              <w:ind w:right="198"/>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 </w:t>
            </w:r>
            <w:r>
              <w:rPr>
                <w:rFonts w:ascii="Arial"/>
                <w:spacing w:val="-4"/>
                <w:sz w:val="20"/>
                <w:u w:val="thick" w:color="000000"/>
              </w:rPr>
              <w:t> </w:t>
            </w:r>
            <w:r>
              <w:rPr>
                <w:rFonts w:ascii="Arial"/>
                <w:w w:val="95"/>
                <w:sz w:val="20"/>
                <w:u w:val="thick" w:color="000000"/>
              </w:rPr>
              <w:t>2</w:t>
            </w:r>
            <w:r>
              <w:rPr>
                <w:rFonts w:ascii="Arial"/>
                <w:w w:val="95"/>
                <w:sz w:val="20"/>
              </w:rPr>
            </w:r>
            <w:r>
              <w:rPr>
                <w:rFonts w:ascii="Arial"/>
                <w:sz w:val="20"/>
              </w:rPr>
            </w:r>
          </w:p>
        </w:tc>
      </w:tr>
    </w:tbl>
    <w:p>
      <w:pPr>
        <w:spacing w:line="240" w:lineRule="auto" w:before="8"/>
        <w:rPr>
          <w:rFonts w:ascii="黑体" w:hAnsi="黑体" w:cs="黑体" w:eastAsia="黑体" w:hint="default"/>
          <w:sz w:val="20"/>
          <w:szCs w:val="20"/>
        </w:rPr>
      </w:pPr>
    </w:p>
    <w:p>
      <w:pPr>
        <w:pStyle w:val="Heading6"/>
        <w:tabs>
          <w:tab w:pos="823" w:val="left" w:leader="none"/>
        </w:tabs>
        <w:spacing w:line="240" w:lineRule="auto"/>
        <w:ind w:right="0"/>
        <w:jc w:val="left"/>
        <w:rPr>
          <w:b w:val="0"/>
          <w:bCs w:val="0"/>
        </w:rPr>
      </w:pPr>
      <w:r>
        <w:rPr>
          <w:rFonts w:ascii="Arial" w:hAnsi="Arial" w:cs="Arial" w:eastAsia="Arial" w:hint="default"/>
          <w:spacing w:val="-1"/>
          <w:w w:val="95"/>
        </w:rPr>
        <w:t>36.</w:t>
        <w:tab/>
      </w:r>
      <w:r>
        <w:rPr>
          <w:spacing w:val="1"/>
        </w:rPr>
        <w:t>营业税金及附加</w:t>
      </w:r>
      <w:r>
        <w:rPr>
          <w:b w:val="0"/>
          <w:bCs w:val="0"/>
        </w:rPr>
      </w:r>
    </w:p>
    <w:p>
      <w:pPr>
        <w:spacing w:line="240" w:lineRule="auto" w:before="12"/>
        <w:rPr>
          <w:rFonts w:ascii="黑体" w:hAnsi="黑体" w:cs="黑体" w:eastAsia="黑体" w:hint="default"/>
          <w:b/>
          <w:bCs/>
          <w:sz w:val="29"/>
          <w:szCs w:val="29"/>
        </w:rPr>
      </w:pPr>
    </w:p>
    <w:tbl>
      <w:tblPr>
        <w:tblW w:w="0" w:type="auto"/>
        <w:jc w:val="left"/>
        <w:tblInd w:w="638" w:type="dxa"/>
        <w:tblLayout w:type="fixed"/>
        <w:tblCellMar>
          <w:top w:w="0" w:type="dxa"/>
          <w:left w:w="0" w:type="dxa"/>
          <w:bottom w:w="0" w:type="dxa"/>
          <w:right w:w="0" w:type="dxa"/>
        </w:tblCellMar>
        <w:tblLook w:val="01E0"/>
      </w:tblPr>
      <w:tblGrid>
        <w:gridCol w:w="3277"/>
        <w:gridCol w:w="3126"/>
        <w:gridCol w:w="1756"/>
      </w:tblGrid>
      <w:tr>
        <w:trPr>
          <w:trHeight w:val="376" w:hRule="exact"/>
        </w:trPr>
        <w:tc>
          <w:tcPr>
            <w:tcW w:w="3277" w:type="dxa"/>
            <w:tcBorders>
              <w:top w:val="nil" w:sz="6" w:space="0" w:color="auto"/>
              <w:left w:val="nil" w:sz="6" w:space="0" w:color="auto"/>
              <w:bottom w:val="nil" w:sz="6" w:space="0" w:color="auto"/>
              <w:right w:val="nil" w:sz="6" w:space="0" w:color="auto"/>
            </w:tcBorders>
          </w:tcPr>
          <w:p>
            <w:pPr/>
          </w:p>
        </w:tc>
        <w:tc>
          <w:tcPr>
            <w:tcW w:w="3126" w:type="dxa"/>
            <w:tcBorders>
              <w:top w:val="nil" w:sz="6" w:space="0" w:color="auto"/>
              <w:left w:val="nil" w:sz="6" w:space="0" w:color="auto"/>
              <w:bottom w:val="nil" w:sz="6" w:space="0" w:color="auto"/>
              <w:right w:val="nil" w:sz="6" w:space="0" w:color="auto"/>
            </w:tcBorders>
          </w:tcPr>
          <w:p>
            <w:pPr>
              <w:pStyle w:val="TableParagraph"/>
              <w:spacing w:line="214" w:lineRule="exact"/>
              <w:ind w:right="445"/>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1756" w:type="dxa"/>
            <w:tcBorders>
              <w:top w:val="nil" w:sz="6" w:space="0" w:color="auto"/>
              <w:left w:val="nil" w:sz="6" w:space="0" w:color="auto"/>
              <w:bottom w:val="nil" w:sz="6" w:space="0" w:color="auto"/>
              <w:right w:val="nil" w:sz="6" w:space="0" w:color="auto"/>
            </w:tcBorders>
          </w:tcPr>
          <w:p>
            <w:pPr>
              <w:pStyle w:val="TableParagraph"/>
              <w:spacing w:line="214" w:lineRule="exact"/>
              <w:ind w:right="198"/>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r>
      <w:tr>
        <w:trPr>
          <w:trHeight w:val="424" w:hRule="exact"/>
        </w:trPr>
        <w:tc>
          <w:tcPr>
            <w:tcW w:w="3277"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00" w:right="0"/>
              <w:jc w:val="left"/>
              <w:rPr>
                <w:rFonts w:ascii="黑体" w:hAnsi="黑体" w:cs="黑体" w:eastAsia="黑体" w:hint="default"/>
                <w:sz w:val="20"/>
                <w:szCs w:val="20"/>
              </w:rPr>
            </w:pPr>
            <w:r>
              <w:rPr>
                <w:rFonts w:ascii="黑体" w:hAnsi="黑体" w:cs="黑体" w:eastAsia="黑体" w:hint="default"/>
                <w:sz w:val="20"/>
                <w:szCs w:val="20"/>
              </w:rPr>
              <w:t>营业税</w:t>
            </w:r>
          </w:p>
        </w:tc>
        <w:tc>
          <w:tcPr>
            <w:tcW w:w="3126"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446"/>
              <w:jc w:val="right"/>
              <w:rPr>
                <w:rFonts w:ascii="Arial" w:hAnsi="Arial" w:cs="Arial" w:eastAsia="Arial" w:hint="default"/>
                <w:sz w:val="20"/>
                <w:szCs w:val="20"/>
              </w:rPr>
            </w:pPr>
            <w:r>
              <w:rPr>
                <w:rFonts w:ascii="Arial"/>
                <w:spacing w:val="-1"/>
                <w:sz w:val="20"/>
              </w:rPr>
              <w:t>47,046,153</w:t>
            </w:r>
            <w:r>
              <w:rPr>
                <w:rFonts w:ascii="Arial"/>
                <w:sz w:val="20"/>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98"/>
              <w:jc w:val="right"/>
              <w:rPr>
                <w:rFonts w:ascii="Arial" w:hAnsi="Arial" w:cs="Arial" w:eastAsia="Arial" w:hint="default"/>
                <w:sz w:val="20"/>
                <w:szCs w:val="20"/>
              </w:rPr>
            </w:pPr>
            <w:r>
              <w:rPr>
                <w:rFonts w:ascii="Arial"/>
                <w:spacing w:val="-1"/>
                <w:sz w:val="20"/>
              </w:rPr>
              <w:t>78,157,073</w:t>
            </w:r>
            <w:r>
              <w:rPr>
                <w:rFonts w:ascii="Arial"/>
                <w:sz w:val="20"/>
              </w:rPr>
            </w:r>
          </w:p>
        </w:tc>
      </w:tr>
      <w:tr>
        <w:trPr>
          <w:trHeight w:val="312" w:hRule="exact"/>
        </w:trPr>
        <w:tc>
          <w:tcPr>
            <w:tcW w:w="3277"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黑体" w:hAnsi="黑体" w:cs="黑体" w:eastAsia="黑体" w:hint="default"/>
                <w:sz w:val="20"/>
                <w:szCs w:val="20"/>
              </w:rPr>
            </w:pPr>
            <w:r>
              <w:rPr>
                <w:rFonts w:ascii="黑体" w:hAnsi="黑体" w:cs="黑体" w:eastAsia="黑体" w:hint="default"/>
                <w:sz w:val="20"/>
                <w:szCs w:val="20"/>
              </w:rPr>
              <w:t>城巿维护建设税</w:t>
            </w:r>
          </w:p>
        </w:tc>
        <w:tc>
          <w:tcPr>
            <w:tcW w:w="312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46"/>
              <w:jc w:val="right"/>
              <w:rPr>
                <w:rFonts w:ascii="Arial" w:hAnsi="Arial" w:cs="Arial" w:eastAsia="Arial" w:hint="default"/>
                <w:sz w:val="20"/>
                <w:szCs w:val="20"/>
              </w:rPr>
            </w:pPr>
            <w:r>
              <w:rPr>
                <w:rFonts w:ascii="Arial"/>
                <w:spacing w:val="-1"/>
                <w:sz w:val="20"/>
              </w:rPr>
              <w:t>18,893,049</w:t>
            </w:r>
            <w:r>
              <w:rPr>
                <w:rFonts w:ascii="Arial"/>
                <w:sz w:val="20"/>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98"/>
              <w:jc w:val="right"/>
              <w:rPr>
                <w:rFonts w:ascii="Arial" w:hAnsi="Arial" w:cs="Arial" w:eastAsia="Arial" w:hint="default"/>
                <w:sz w:val="20"/>
                <w:szCs w:val="20"/>
              </w:rPr>
            </w:pPr>
            <w:r>
              <w:rPr>
                <w:rFonts w:ascii="Arial"/>
                <w:spacing w:val="-1"/>
                <w:sz w:val="20"/>
              </w:rPr>
              <w:t>43,398,647</w:t>
            </w:r>
            <w:r>
              <w:rPr>
                <w:rFonts w:ascii="Arial"/>
                <w:sz w:val="20"/>
              </w:rPr>
            </w:r>
          </w:p>
        </w:tc>
      </w:tr>
      <w:tr>
        <w:trPr>
          <w:trHeight w:val="312" w:hRule="exact"/>
        </w:trPr>
        <w:tc>
          <w:tcPr>
            <w:tcW w:w="3277"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黑体" w:hAnsi="黑体" w:cs="黑体" w:eastAsia="黑体" w:hint="default"/>
                <w:sz w:val="20"/>
                <w:szCs w:val="20"/>
              </w:rPr>
            </w:pPr>
            <w:r>
              <w:rPr>
                <w:rFonts w:ascii="黑体" w:hAnsi="黑体" w:cs="黑体" w:eastAsia="黑体" w:hint="default"/>
                <w:sz w:val="20"/>
                <w:szCs w:val="20"/>
              </w:rPr>
              <w:t>教育费附加</w:t>
            </w:r>
          </w:p>
        </w:tc>
        <w:tc>
          <w:tcPr>
            <w:tcW w:w="312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46"/>
              <w:jc w:val="right"/>
              <w:rPr>
                <w:rFonts w:ascii="Arial" w:hAnsi="Arial" w:cs="Arial" w:eastAsia="Arial" w:hint="default"/>
                <w:sz w:val="20"/>
                <w:szCs w:val="20"/>
              </w:rPr>
            </w:pPr>
            <w:r>
              <w:rPr>
                <w:rFonts w:ascii="Arial"/>
                <w:spacing w:val="-1"/>
                <w:sz w:val="20"/>
              </w:rPr>
              <w:t>11,781,040</w:t>
            </w:r>
            <w:r>
              <w:rPr>
                <w:rFonts w:ascii="Arial"/>
                <w:sz w:val="20"/>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98"/>
              <w:jc w:val="right"/>
              <w:rPr>
                <w:rFonts w:ascii="Arial" w:hAnsi="Arial" w:cs="Arial" w:eastAsia="Arial" w:hint="default"/>
                <w:sz w:val="20"/>
                <w:szCs w:val="20"/>
              </w:rPr>
            </w:pPr>
            <w:r>
              <w:rPr>
                <w:rFonts w:ascii="Arial"/>
                <w:spacing w:val="-1"/>
                <w:sz w:val="20"/>
              </w:rPr>
              <w:t>13,017,229</w:t>
            </w:r>
            <w:r>
              <w:rPr>
                <w:rFonts w:ascii="Arial"/>
                <w:sz w:val="20"/>
              </w:rPr>
            </w:r>
          </w:p>
        </w:tc>
      </w:tr>
      <w:tr>
        <w:trPr>
          <w:trHeight w:val="469" w:hRule="exact"/>
        </w:trPr>
        <w:tc>
          <w:tcPr>
            <w:tcW w:w="3277"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312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45"/>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w w:val="95"/>
                <w:sz w:val="20"/>
                <w:u w:val="single" w:color="000000"/>
              </w:rPr>
              <w:t>2,009,681</w:t>
            </w:r>
            <w:r>
              <w:rPr>
                <w:rFonts w:ascii="Arial"/>
                <w:spacing w:val="-1"/>
                <w:w w:val="95"/>
                <w:sz w:val="20"/>
              </w:rPr>
            </w:r>
            <w:r>
              <w:rPr>
                <w:rFonts w:ascii="Arial"/>
                <w:sz w:val="20"/>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9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1"/>
                <w:sz w:val="20"/>
                <w:u w:val="single" w:color="000000"/>
              </w:rPr>
              <w:t> </w:t>
            </w:r>
            <w:r>
              <w:rPr>
                <w:rFonts w:ascii="Arial"/>
                <w:spacing w:val="-1"/>
                <w:w w:val="95"/>
                <w:sz w:val="20"/>
                <w:u w:val="single" w:color="000000"/>
              </w:rPr>
              <w:t>4,603,756</w:t>
            </w:r>
            <w:r>
              <w:rPr>
                <w:rFonts w:ascii="Arial"/>
                <w:spacing w:val="-1"/>
                <w:w w:val="95"/>
                <w:sz w:val="20"/>
              </w:rPr>
            </w:r>
            <w:r>
              <w:rPr>
                <w:rFonts w:ascii="Arial"/>
                <w:sz w:val="20"/>
              </w:rPr>
            </w:r>
          </w:p>
        </w:tc>
      </w:tr>
      <w:tr>
        <w:trPr>
          <w:trHeight w:val="412" w:hRule="exact"/>
        </w:trPr>
        <w:tc>
          <w:tcPr>
            <w:tcW w:w="3277" w:type="dxa"/>
            <w:tcBorders>
              <w:top w:val="nil" w:sz="6" w:space="0" w:color="auto"/>
              <w:left w:val="nil" w:sz="6" w:space="0" w:color="auto"/>
              <w:bottom w:val="nil" w:sz="6" w:space="0" w:color="auto"/>
              <w:right w:val="nil" w:sz="6" w:space="0" w:color="auto"/>
            </w:tcBorders>
          </w:tcPr>
          <w:p>
            <w:pPr/>
          </w:p>
        </w:tc>
        <w:tc>
          <w:tcPr>
            <w:tcW w:w="312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b/>
                <w:bCs/>
                <w:sz w:val="14"/>
                <w:szCs w:val="14"/>
              </w:rPr>
            </w:pPr>
          </w:p>
          <w:p>
            <w:pPr>
              <w:pStyle w:val="TableParagraph"/>
              <w:spacing w:line="240" w:lineRule="auto"/>
              <w:ind w:right="446"/>
              <w:jc w:val="right"/>
              <w:rPr>
                <w:rFonts w:ascii="Arial" w:hAnsi="Arial" w:cs="Arial" w:eastAsia="Arial" w:hint="default"/>
                <w:sz w:val="20"/>
                <w:szCs w:val="20"/>
              </w:rPr>
            </w:pPr>
            <w:r>
              <w:rPr>
                <w:rFonts w:ascii="Arial"/>
                <w:w w:val="99"/>
                <w:sz w:val="20"/>
              </w:rPr>
            </w:r>
            <w:r>
              <w:rPr>
                <w:rFonts w:ascii="Arial"/>
                <w:spacing w:val="-1"/>
                <w:sz w:val="20"/>
                <w:u w:val="thick" w:color="000000"/>
              </w:rPr>
              <w:t>79,729,923</w:t>
            </w:r>
            <w:r>
              <w:rPr>
                <w:rFonts w:ascii="Arial"/>
                <w:spacing w:val="-1"/>
                <w:sz w:val="20"/>
              </w:rPr>
            </w:r>
            <w:r>
              <w:rPr>
                <w:rFonts w:ascii="Arial"/>
                <w:sz w:val="20"/>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b/>
                <w:bCs/>
                <w:sz w:val="14"/>
                <w:szCs w:val="14"/>
              </w:rPr>
            </w:pPr>
          </w:p>
          <w:p>
            <w:pPr>
              <w:pStyle w:val="TableParagraph"/>
              <w:spacing w:line="240" w:lineRule="auto"/>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139,176,705</w:t>
            </w:r>
            <w:r>
              <w:rPr>
                <w:rFonts w:ascii="Arial"/>
                <w:spacing w:val="-1"/>
                <w:sz w:val="20"/>
              </w:rPr>
            </w:r>
            <w:r>
              <w:rPr>
                <w:rFonts w:ascii="Arial"/>
                <w:sz w:val="20"/>
              </w:rPr>
            </w:r>
          </w:p>
        </w:tc>
      </w:tr>
    </w:tbl>
    <w:p>
      <w:pPr>
        <w:spacing w:line="240" w:lineRule="auto" w:before="8"/>
        <w:rPr>
          <w:rFonts w:ascii="黑体" w:hAnsi="黑体" w:cs="黑体" w:eastAsia="黑体" w:hint="default"/>
          <w:b/>
          <w:bCs/>
          <w:sz w:val="24"/>
          <w:szCs w:val="24"/>
        </w:rPr>
      </w:pPr>
    </w:p>
    <w:p>
      <w:pPr>
        <w:pStyle w:val="BodyText"/>
        <w:spacing w:line="240" w:lineRule="auto" w:before="37"/>
        <w:ind w:left="924" w:right="0"/>
        <w:jc w:val="left"/>
      </w:pPr>
      <w:r>
        <w:rPr/>
        <w:t>计缴标准参见附注三、税项。</w:t>
      </w:r>
    </w:p>
    <w:p>
      <w:pPr>
        <w:spacing w:after="0" w:line="240" w:lineRule="auto"/>
        <w:jc w:val="left"/>
        <w:sectPr>
          <w:footerReference w:type="default" r:id="rId66"/>
          <w:pgSz w:w="11910" w:h="16840"/>
          <w:pgMar w:footer="473" w:header="825" w:top="2420" w:bottom="660" w:left="1600" w:right="1280"/>
          <w:pgNumType w:start="101"/>
        </w:sectPr>
      </w:pPr>
    </w:p>
    <w:p>
      <w:pPr>
        <w:spacing w:line="240" w:lineRule="auto" w:before="9"/>
        <w:rPr>
          <w:rFonts w:ascii="黑体" w:hAnsi="黑体" w:cs="黑体" w:eastAsia="黑体" w:hint="default"/>
          <w:sz w:val="21"/>
          <w:szCs w:val="21"/>
        </w:rPr>
      </w:pPr>
    </w:p>
    <w:p>
      <w:pPr>
        <w:pStyle w:val="Heading6"/>
        <w:tabs>
          <w:tab w:pos="804" w:val="left" w:leader="none"/>
        </w:tabs>
        <w:spacing w:line="240" w:lineRule="auto"/>
        <w:ind w:right="0"/>
        <w:jc w:val="left"/>
        <w:rPr>
          <w:b w:val="0"/>
          <w:bCs w:val="0"/>
        </w:rPr>
      </w:pPr>
      <w:r>
        <w:rPr>
          <w:w w:val="95"/>
        </w:rPr>
        <w:t>五、</w:t>
        <w:tab/>
      </w:r>
      <w:r>
        <w:rPr/>
        <w:t>合并财务报表主要项目注释（续）</w:t>
      </w:r>
      <w:r>
        <w:rPr>
          <w:b w:val="0"/>
          <w:bCs w:val="0"/>
        </w:rPr>
      </w:r>
    </w:p>
    <w:p>
      <w:pPr>
        <w:spacing w:line="240" w:lineRule="auto" w:before="9"/>
        <w:rPr>
          <w:rFonts w:ascii="黑体" w:hAnsi="黑体" w:cs="黑体" w:eastAsia="黑体" w:hint="default"/>
          <w:b/>
          <w:bCs/>
          <w:sz w:val="27"/>
          <w:szCs w:val="27"/>
        </w:rPr>
      </w:pPr>
    </w:p>
    <w:p>
      <w:pPr>
        <w:pStyle w:val="Heading6"/>
        <w:tabs>
          <w:tab w:pos="809" w:val="left" w:leader="none"/>
        </w:tabs>
        <w:spacing w:line="240" w:lineRule="auto" w:before="0"/>
        <w:ind w:right="0"/>
        <w:jc w:val="left"/>
        <w:rPr>
          <w:b w:val="0"/>
          <w:bCs w:val="0"/>
        </w:rPr>
      </w:pPr>
      <w:r>
        <w:rPr>
          <w:rFonts w:ascii="Arial" w:hAnsi="Arial" w:cs="Arial" w:eastAsia="Arial" w:hint="default"/>
          <w:spacing w:val="-1"/>
          <w:w w:val="95"/>
        </w:rPr>
        <w:t>37.</w:t>
        <w:tab/>
      </w:r>
      <w:r>
        <w:rPr>
          <w:spacing w:val="2"/>
        </w:rPr>
        <w:t>销售费用</w:t>
      </w:r>
      <w:r>
        <w:rPr>
          <w:b w:val="0"/>
          <w:bCs w:val="0"/>
        </w:rPr>
      </w:r>
    </w:p>
    <w:p>
      <w:pPr>
        <w:spacing w:line="240" w:lineRule="auto" w:before="0"/>
        <w:rPr>
          <w:rFonts w:ascii="黑体" w:hAnsi="黑体" w:cs="黑体" w:eastAsia="黑体" w:hint="default"/>
          <w:b/>
          <w:bCs/>
          <w:sz w:val="20"/>
          <w:szCs w:val="20"/>
        </w:rPr>
      </w:pPr>
    </w:p>
    <w:p>
      <w:pPr>
        <w:spacing w:line="240" w:lineRule="auto" w:before="5"/>
        <w:rPr>
          <w:rFonts w:ascii="黑体" w:hAnsi="黑体" w:cs="黑体" w:eastAsia="黑体" w:hint="default"/>
          <w:b/>
          <w:bCs/>
          <w:sz w:val="11"/>
          <w:szCs w:val="11"/>
        </w:rPr>
      </w:pPr>
    </w:p>
    <w:tbl>
      <w:tblPr>
        <w:tblW w:w="0" w:type="auto"/>
        <w:jc w:val="left"/>
        <w:tblInd w:w="739" w:type="dxa"/>
        <w:tblLayout w:type="fixed"/>
        <w:tblCellMar>
          <w:top w:w="0" w:type="dxa"/>
          <w:left w:w="0" w:type="dxa"/>
          <w:bottom w:w="0" w:type="dxa"/>
          <w:right w:w="0" w:type="dxa"/>
        </w:tblCellMar>
        <w:tblLook w:val="01E0"/>
      </w:tblPr>
      <w:tblGrid>
        <w:gridCol w:w="3144"/>
        <w:gridCol w:w="2849"/>
        <w:gridCol w:w="1903"/>
      </w:tblGrid>
      <w:tr>
        <w:trPr>
          <w:trHeight w:val="415" w:hRule="exact"/>
        </w:trPr>
        <w:tc>
          <w:tcPr>
            <w:tcW w:w="3144" w:type="dxa"/>
            <w:tcBorders>
              <w:top w:val="nil" w:sz="6" w:space="0" w:color="auto"/>
              <w:left w:val="nil" w:sz="6" w:space="0" w:color="auto"/>
              <w:bottom w:val="nil" w:sz="6" w:space="0" w:color="auto"/>
              <w:right w:val="nil" w:sz="6" w:space="0" w:color="auto"/>
            </w:tcBorders>
          </w:tcPr>
          <w:p>
            <w:pPr/>
          </w:p>
        </w:tc>
        <w:tc>
          <w:tcPr>
            <w:tcW w:w="2849" w:type="dxa"/>
            <w:tcBorders>
              <w:top w:val="nil" w:sz="6" w:space="0" w:color="auto"/>
              <w:left w:val="nil" w:sz="6" w:space="0" w:color="auto"/>
              <w:bottom w:val="nil" w:sz="6" w:space="0" w:color="auto"/>
              <w:right w:val="nil" w:sz="6" w:space="0" w:color="auto"/>
            </w:tcBorders>
          </w:tcPr>
          <w:p>
            <w:pPr>
              <w:pStyle w:val="TableParagraph"/>
              <w:spacing w:line="214" w:lineRule="exact"/>
              <w:ind w:right="424"/>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1903" w:type="dxa"/>
            <w:tcBorders>
              <w:top w:val="nil" w:sz="6" w:space="0" w:color="auto"/>
              <w:left w:val="nil" w:sz="6" w:space="0" w:color="auto"/>
              <w:bottom w:val="nil" w:sz="6" w:space="0" w:color="auto"/>
              <w:right w:val="nil" w:sz="6" w:space="0" w:color="auto"/>
            </w:tcBorders>
          </w:tcPr>
          <w:p>
            <w:pPr>
              <w:pStyle w:val="TableParagraph"/>
              <w:spacing w:line="214" w:lineRule="exact"/>
              <w:ind w:right="198"/>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r>
      <w:tr>
        <w:trPr>
          <w:trHeight w:val="498"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40" w:lineRule="auto" w:before="144"/>
              <w:ind w:left="200" w:right="0"/>
              <w:jc w:val="left"/>
              <w:rPr>
                <w:rFonts w:ascii="黑体" w:hAnsi="黑体" w:cs="黑体" w:eastAsia="黑体" w:hint="default"/>
                <w:sz w:val="20"/>
                <w:szCs w:val="20"/>
              </w:rPr>
            </w:pPr>
            <w:r>
              <w:rPr>
                <w:rFonts w:ascii="黑体" w:hAnsi="黑体" w:cs="黑体" w:eastAsia="黑体" w:hint="default"/>
                <w:sz w:val="20"/>
                <w:szCs w:val="20"/>
              </w:rPr>
              <w:t>职工薪酬及福利</w:t>
            </w:r>
          </w:p>
        </w:tc>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b/>
                <w:bCs/>
                <w:sz w:val="15"/>
                <w:szCs w:val="15"/>
              </w:rPr>
            </w:pPr>
          </w:p>
          <w:p>
            <w:pPr>
              <w:pStyle w:val="TableParagraph"/>
              <w:spacing w:line="240" w:lineRule="auto"/>
              <w:ind w:right="424"/>
              <w:jc w:val="right"/>
              <w:rPr>
                <w:rFonts w:ascii="Arial" w:hAnsi="Arial" w:cs="Arial" w:eastAsia="Arial" w:hint="default"/>
                <w:sz w:val="20"/>
                <w:szCs w:val="20"/>
              </w:rPr>
            </w:pPr>
            <w:r>
              <w:rPr>
                <w:rFonts w:ascii="Arial"/>
                <w:spacing w:val="-1"/>
                <w:sz w:val="20"/>
              </w:rPr>
              <w:t>1,384,688,075</w:t>
            </w:r>
            <w:r>
              <w:rPr>
                <w:rFonts w:ascii="Arial"/>
                <w:sz w:val="20"/>
              </w:rPr>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b/>
                <w:bCs/>
                <w:sz w:val="15"/>
                <w:szCs w:val="15"/>
              </w:rPr>
            </w:pPr>
          </w:p>
          <w:p>
            <w:pPr>
              <w:pStyle w:val="TableParagraph"/>
              <w:spacing w:line="240" w:lineRule="auto"/>
              <w:ind w:right="198"/>
              <w:jc w:val="right"/>
              <w:rPr>
                <w:rFonts w:ascii="Arial" w:hAnsi="Arial" w:cs="Arial" w:eastAsia="Arial" w:hint="default"/>
                <w:sz w:val="20"/>
                <w:szCs w:val="20"/>
              </w:rPr>
            </w:pPr>
            <w:r>
              <w:rPr>
                <w:rFonts w:ascii="Arial"/>
                <w:spacing w:val="-1"/>
                <w:sz w:val="20"/>
              </w:rPr>
              <w:t>1,269,845,141</w:t>
            </w:r>
            <w:r>
              <w:rPr>
                <w:rFonts w:ascii="Arial"/>
                <w:sz w:val="20"/>
              </w:rPr>
            </w:r>
          </w:p>
        </w:tc>
      </w:tr>
      <w:tr>
        <w:trPr>
          <w:trHeight w:val="360"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40" w:lineRule="auto" w:before="6"/>
              <w:ind w:left="200" w:right="0"/>
              <w:jc w:val="left"/>
              <w:rPr>
                <w:rFonts w:ascii="黑体" w:hAnsi="黑体" w:cs="黑体" w:eastAsia="黑体" w:hint="default"/>
                <w:sz w:val="20"/>
                <w:szCs w:val="20"/>
              </w:rPr>
            </w:pPr>
            <w:r>
              <w:rPr>
                <w:rFonts w:ascii="黑体" w:hAnsi="黑体" w:cs="黑体" w:eastAsia="黑体" w:hint="default"/>
                <w:sz w:val="20"/>
                <w:szCs w:val="20"/>
              </w:rPr>
              <w:t>业务宣传费</w:t>
            </w:r>
          </w:p>
        </w:tc>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424"/>
              <w:jc w:val="right"/>
              <w:rPr>
                <w:rFonts w:ascii="Arial" w:hAnsi="Arial" w:cs="Arial" w:eastAsia="Arial" w:hint="default"/>
                <w:sz w:val="20"/>
                <w:szCs w:val="20"/>
              </w:rPr>
            </w:pPr>
            <w:r>
              <w:rPr>
                <w:rFonts w:ascii="Arial"/>
                <w:spacing w:val="-1"/>
                <w:sz w:val="20"/>
              </w:rPr>
              <w:t>115,946,237</w:t>
            </w:r>
            <w:r>
              <w:rPr>
                <w:rFonts w:ascii="Arial"/>
                <w:sz w:val="20"/>
              </w:rPr>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98"/>
              <w:jc w:val="right"/>
              <w:rPr>
                <w:rFonts w:ascii="Arial" w:hAnsi="Arial" w:cs="Arial" w:eastAsia="Arial" w:hint="default"/>
                <w:sz w:val="20"/>
                <w:szCs w:val="20"/>
              </w:rPr>
            </w:pPr>
            <w:r>
              <w:rPr>
                <w:rFonts w:ascii="Arial"/>
                <w:spacing w:val="-1"/>
                <w:sz w:val="20"/>
              </w:rPr>
              <w:t>111,491,790</w:t>
            </w:r>
            <w:r>
              <w:rPr>
                <w:rFonts w:ascii="Arial"/>
                <w:sz w:val="20"/>
              </w:rPr>
            </w:r>
          </w:p>
        </w:tc>
      </w:tr>
      <w:tr>
        <w:trPr>
          <w:trHeight w:val="360"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40" w:lineRule="auto" w:before="6"/>
              <w:ind w:left="200" w:right="0"/>
              <w:jc w:val="left"/>
              <w:rPr>
                <w:rFonts w:ascii="黑体" w:hAnsi="黑体" w:cs="黑体" w:eastAsia="黑体" w:hint="default"/>
                <w:sz w:val="20"/>
                <w:szCs w:val="20"/>
              </w:rPr>
            </w:pPr>
            <w:r>
              <w:rPr>
                <w:rFonts w:ascii="黑体" w:hAnsi="黑体" w:cs="黑体" w:eastAsia="黑体" w:hint="default"/>
                <w:sz w:val="20"/>
                <w:szCs w:val="20"/>
              </w:rPr>
              <w:t>业务招待费</w:t>
            </w:r>
          </w:p>
        </w:tc>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424"/>
              <w:jc w:val="right"/>
              <w:rPr>
                <w:rFonts w:ascii="Arial" w:hAnsi="Arial" w:cs="Arial" w:eastAsia="Arial" w:hint="default"/>
                <w:sz w:val="20"/>
                <w:szCs w:val="20"/>
              </w:rPr>
            </w:pPr>
            <w:r>
              <w:rPr>
                <w:rFonts w:ascii="Arial"/>
                <w:spacing w:val="-1"/>
                <w:sz w:val="20"/>
              </w:rPr>
              <w:t>105,202,777</w:t>
            </w:r>
            <w:r>
              <w:rPr>
                <w:rFonts w:ascii="Arial"/>
                <w:sz w:val="20"/>
              </w:rPr>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98"/>
              <w:jc w:val="right"/>
              <w:rPr>
                <w:rFonts w:ascii="Arial" w:hAnsi="Arial" w:cs="Arial" w:eastAsia="Arial" w:hint="default"/>
                <w:sz w:val="20"/>
                <w:szCs w:val="20"/>
              </w:rPr>
            </w:pPr>
            <w:r>
              <w:rPr>
                <w:rFonts w:ascii="Arial"/>
                <w:spacing w:val="-1"/>
                <w:sz w:val="20"/>
              </w:rPr>
              <w:t>96,554,255</w:t>
            </w:r>
            <w:r>
              <w:rPr>
                <w:rFonts w:ascii="Arial"/>
                <w:sz w:val="20"/>
              </w:rPr>
            </w:r>
          </w:p>
        </w:tc>
      </w:tr>
      <w:tr>
        <w:trPr>
          <w:trHeight w:val="360"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40" w:lineRule="auto" w:before="6"/>
              <w:ind w:left="200" w:right="0"/>
              <w:jc w:val="left"/>
              <w:rPr>
                <w:rFonts w:ascii="黑体" w:hAnsi="黑体" w:cs="黑体" w:eastAsia="黑体" w:hint="default"/>
                <w:sz w:val="20"/>
                <w:szCs w:val="20"/>
              </w:rPr>
            </w:pPr>
            <w:r>
              <w:rPr>
                <w:rFonts w:ascii="黑体" w:hAnsi="黑体" w:cs="黑体" w:eastAsia="黑体" w:hint="default"/>
                <w:sz w:val="20"/>
                <w:szCs w:val="20"/>
              </w:rPr>
              <w:t>差旅费</w:t>
            </w:r>
          </w:p>
        </w:tc>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424"/>
              <w:jc w:val="right"/>
              <w:rPr>
                <w:rFonts w:ascii="Arial" w:hAnsi="Arial" w:cs="Arial" w:eastAsia="Arial" w:hint="default"/>
                <w:sz w:val="20"/>
                <w:szCs w:val="20"/>
              </w:rPr>
            </w:pPr>
            <w:r>
              <w:rPr>
                <w:rFonts w:ascii="Arial"/>
                <w:spacing w:val="-1"/>
                <w:sz w:val="20"/>
              </w:rPr>
              <w:t>194,150,369</w:t>
            </w:r>
            <w:r>
              <w:rPr>
                <w:rFonts w:ascii="Arial"/>
                <w:sz w:val="20"/>
              </w:rPr>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98"/>
              <w:jc w:val="right"/>
              <w:rPr>
                <w:rFonts w:ascii="Arial" w:hAnsi="Arial" w:cs="Arial" w:eastAsia="Arial" w:hint="default"/>
                <w:sz w:val="20"/>
                <w:szCs w:val="20"/>
              </w:rPr>
            </w:pPr>
            <w:r>
              <w:rPr>
                <w:rFonts w:ascii="Arial"/>
                <w:spacing w:val="-1"/>
                <w:sz w:val="20"/>
              </w:rPr>
              <w:t>194,037,006</w:t>
            </w:r>
            <w:r>
              <w:rPr>
                <w:rFonts w:ascii="Arial"/>
                <w:sz w:val="20"/>
              </w:rPr>
            </w:r>
          </w:p>
        </w:tc>
      </w:tr>
      <w:tr>
        <w:trPr>
          <w:trHeight w:val="360"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40" w:lineRule="auto" w:before="6"/>
              <w:ind w:left="200" w:right="0"/>
              <w:jc w:val="left"/>
              <w:rPr>
                <w:rFonts w:ascii="黑体" w:hAnsi="黑体" w:cs="黑体" w:eastAsia="黑体" w:hint="default"/>
                <w:sz w:val="20"/>
                <w:szCs w:val="20"/>
              </w:rPr>
            </w:pPr>
            <w:r>
              <w:rPr>
                <w:rFonts w:ascii="黑体" w:hAnsi="黑体" w:cs="黑体" w:eastAsia="黑体" w:hint="default"/>
                <w:sz w:val="20"/>
                <w:szCs w:val="20"/>
              </w:rPr>
              <w:t>咨询服务费</w:t>
            </w:r>
          </w:p>
        </w:tc>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424"/>
              <w:jc w:val="right"/>
              <w:rPr>
                <w:rFonts w:ascii="Arial" w:hAnsi="Arial" w:cs="Arial" w:eastAsia="Arial" w:hint="default"/>
                <w:sz w:val="20"/>
                <w:szCs w:val="20"/>
              </w:rPr>
            </w:pPr>
            <w:r>
              <w:rPr>
                <w:rFonts w:ascii="Arial"/>
                <w:spacing w:val="-1"/>
                <w:sz w:val="20"/>
              </w:rPr>
              <w:t>65,632,880</w:t>
            </w:r>
            <w:r>
              <w:rPr>
                <w:rFonts w:ascii="Arial"/>
                <w:sz w:val="20"/>
              </w:rPr>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98"/>
              <w:jc w:val="right"/>
              <w:rPr>
                <w:rFonts w:ascii="Arial" w:hAnsi="Arial" w:cs="Arial" w:eastAsia="Arial" w:hint="default"/>
                <w:sz w:val="20"/>
                <w:szCs w:val="20"/>
              </w:rPr>
            </w:pPr>
            <w:r>
              <w:rPr>
                <w:rFonts w:ascii="Arial"/>
                <w:spacing w:val="-1"/>
                <w:sz w:val="20"/>
              </w:rPr>
              <w:t>68,366,658</w:t>
            </w:r>
            <w:r>
              <w:rPr>
                <w:rFonts w:ascii="Arial"/>
                <w:sz w:val="20"/>
              </w:rPr>
            </w:r>
          </w:p>
        </w:tc>
      </w:tr>
      <w:tr>
        <w:trPr>
          <w:trHeight w:val="360"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40" w:lineRule="auto" w:before="6"/>
              <w:ind w:left="200" w:right="0"/>
              <w:jc w:val="left"/>
              <w:rPr>
                <w:rFonts w:ascii="黑体" w:hAnsi="黑体" w:cs="黑体" w:eastAsia="黑体" w:hint="default"/>
                <w:sz w:val="20"/>
                <w:szCs w:val="20"/>
              </w:rPr>
            </w:pPr>
            <w:r>
              <w:rPr>
                <w:rFonts w:ascii="黑体" w:hAnsi="黑体" w:cs="黑体" w:eastAsia="黑体" w:hint="default"/>
                <w:sz w:val="20"/>
                <w:szCs w:val="20"/>
              </w:rPr>
              <w:t>办公费</w:t>
            </w:r>
          </w:p>
        </w:tc>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424"/>
              <w:jc w:val="right"/>
              <w:rPr>
                <w:rFonts w:ascii="Arial" w:hAnsi="Arial" w:cs="Arial" w:eastAsia="Arial" w:hint="default"/>
                <w:sz w:val="20"/>
                <w:szCs w:val="20"/>
              </w:rPr>
            </w:pPr>
            <w:r>
              <w:rPr>
                <w:rFonts w:ascii="Arial"/>
                <w:spacing w:val="-1"/>
                <w:sz w:val="20"/>
              </w:rPr>
              <w:t>37,673,296</w:t>
            </w:r>
            <w:r>
              <w:rPr>
                <w:rFonts w:ascii="Arial"/>
                <w:sz w:val="20"/>
              </w:rPr>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98"/>
              <w:jc w:val="right"/>
              <w:rPr>
                <w:rFonts w:ascii="Arial" w:hAnsi="Arial" w:cs="Arial" w:eastAsia="Arial" w:hint="default"/>
                <w:sz w:val="20"/>
                <w:szCs w:val="20"/>
              </w:rPr>
            </w:pPr>
            <w:r>
              <w:rPr>
                <w:rFonts w:ascii="Arial"/>
                <w:spacing w:val="-1"/>
                <w:sz w:val="20"/>
              </w:rPr>
              <w:t>44,897,973</w:t>
            </w:r>
            <w:r>
              <w:rPr>
                <w:rFonts w:ascii="Arial"/>
                <w:sz w:val="20"/>
              </w:rPr>
            </w:r>
          </w:p>
        </w:tc>
      </w:tr>
      <w:tr>
        <w:trPr>
          <w:trHeight w:val="360"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40" w:lineRule="auto" w:before="6"/>
              <w:ind w:left="200" w:right="0"/>
              <w:jc w:val="left"/>
              <w:rPr>
                <w:rFonts w:ascii="黑体" w:hAnsi="黑体" w:cs="黑体" w:eastAsia="黑体" w:hint="default"/>
                <w:sz w:val="20"/>
                <w:szCs w:val="20"/>
              </w:rPr>
            </w:pPr>
            <w:r>
              <w:rPr>
                <w:rFonts w:ascii="黑体" w:hAnsi="黑体" w:cs="黑体" w:eastAsia="黑体" w:hint="default"/>
                <w:sz w:val="20"/>
                <w:szCs w:val="20"/>
              </w:rPr>
              <w:t>折旧及摊销</w:t>
            </w:r>
          </w:p>
        </w:tc>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423"/>
              <w:jc w:val="right"/>
              <w:rPr>
                <w:rFonts w:ascii="Arial" w:hAnsi="Arial" w:cs="Arial" w:eastAsia="Arial" w:hint="default"/>
                <w:sz w:val="20"/>
                <w:szCs w:val="20"/>
              </w:rPr>
            </w:pPr>
            <w:r>
              <w:rPr>
                <w:rFonts w:ascii="Arial"/>
                <w:spacing w:val="-1"/>
                <w:sz w:val="20"/>
              </w:rPr>
              <w:t>13,555,982</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98"/>
              <w:jc w:val="right"/>
              <w:rPr>
                <w:rFonts w:ascii="Arial" w:hAnsi="Arial" w:cs="Arial" w:eastAsia="Arial" w:hint="default"/>
                <w:sz w:val="20"/>
                <w:szCs w:val="20"/>
              </w:rPr>
            </w:pPr>
            <w:r>
              <w:rPr>
                <w:rFonts w:ascii="Arial"/>
                <w:spacing w:val="-1"/>
                <w:sz w:val="20"/>
              </w:rPr>
              <w:t>14,486,370</w:t>
            </w:r>
            <w:r>
              <w:rPr>
                <w:rFonts w:ascii="Arial"/>
                <w:sz w:val="20"/>
              </w:rPr>
            </w:r>
          </w:p>
        </w:tc>
      </w:tr>
      <w:tr>
        <w:trPr>
          <w:trHeight w:val="360"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40" w:lineRule="auto" w:before="6"/>
              <w:ind w:left="200" w:right="0"/>
              <w:jc w:val="left"/>
              <w:rPr>
                <w:rFonts w:ascii="黑体" w:hAnsi="黑体" w:cs="黑体" w:eastAsia="黑体" w:hint="default"/>
                <w:sz w:val="20"/>
                <w:szCs w:val="20"/>
              </w:rPr>
            </w:pPr>
            <w:r>
              <w:rPr>
                <w:rFonts w:ascii="黑体" w:hAnsi="黑体" w:cs="黑体" w:eastAsia="黑体" w:hint="default"/>
                <w:sz w:val="20"/>
                <w:szCs w:val="20"/>
              </w:rPr>
              <w:t>租赁费及物业管理费</w:t>
            </w:r>
          </w:p>
        </w:tc>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424"/>
              <w:jc w:val="right"/>
              <w:rPr>
                <w:rFonts w:ascii="Arial" w:hAnsi="Arial" w:cs="Arial" w:eastAsia="Arial" w:hint="default"/>
                <w:sz w:val="20"/>
                <w:szCs w:val="20"/>
              </w:rPr>
            </w:pPr>
            <w:r>
              <w:rPr>
                <w:rFonts w:ascii="Arial"/>
                <w:spacing w:val="-1"/>
                <w:sz w:val="20"/>
              </w:rPr>
              <w:t>9,346,027</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99"/>
              <w:jc w:val="right"/>
              <w:rPr>
                <w:rFonts w:ascii="Arial" w:hAnsi="Arial" w:cs="Arial" w:eastAsia="Arial" w:hint="default"/>
                <w:sz w:val="20"/>
                <w:szCs w:val="20"/>
              </w:rPr>
            </w:pPr>
            <w:r>
              <w:rPr>
                <w:rFonts w:ascii="Arial"/>
                <w:spacing w:val="-1"/>
                <w:sz w:val="20"/>
              </w:rPr>
              <w:t>6,093,365</w:t>
            </w:r>
          </w:p>
        </w:tc>
      </w:tr>
      <w:tr>
        <w:trPr>
          <w:trHeight w:val="487" w:hRule="exact"/>
        </w:trPr>
        <w:tc>
          <w:tcPr>
            <w:tcW w:w="3144" w:type="dxa"/>
            <w:tcBorders>
              <w:top w:val="nil" w:sz="6" w:space="0" w:color="auto"/>
              <w:left w:val="nil" w:sz="6" w:space="0" w:color="auto"/>
              <w:bottom w:val="nil" w:sz="6" w:space="0" w:color="auto"/>
              <w:right w:val="nil" w:sz="6" w:space="0" w:color="auto"/>
            </w:tcBorders>
          </w:tcPr>
          <w:p>
            <w:pPr>
              <w:pStyle w:val="TableParagraph"/>
              <w:spacing w:line="240" w:lineRule="auto" w:before="6"/>
              <w:ind w:left="200"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2849"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66"/>
              <w:ind w:right="423"/>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11,382,475</w:t>
            </w:r>
            <w:r>
              <w:rPr>
                <w:rFonts w:ascii="Arial"/>
                <w:spacing w:val="-1"/>
                <w:w w:val="95"/>
                <w:sz w:val="20"/>
              </w:rPr>
            </w:r>
            <w:r>
              <w:rPr>
                <w:rFonts w:ascii="Arial"/>
                <w:spacing w:val="-1"/>
                <w:sz w:val="20"/>
              </w:rPr>
            </w:r>
          </w:p>
        </w:tc>
        <w:tc>
          <w:tcPr>
            <w:tcW w:w="1903" w:type="dxa"/>
            <w:tcBorders>
              <w:top w:val="nil" w:sz="6" w:space="0" w:color="auto"/>
              <w:left w:val="nil" w:sz="6" w:space="0" w:color="auto"/>
              <w:bottom w:val="nil" w:sz="6" w:space="0" w:color="auto"/>
              <w:right w:val="nil" w:sz="6" w:space="0" w:color="auto"/>
            </w:tcBorders>
          </w:tcPr>
          <w:p>
            <w:pPr>
              <w:pStyle w:val="TableParagraph"/>
              <w:tabs>
                <w:tab w:pos="403" w:val="left" w:leader="none"/>
              </w:tabs>
              <w:spacing w:line="240" w:lineRule="auto" w:before="66"/>
              <w:ind w:right="19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9,854,979</w:t>
            </w:r>
            <w:r>
              <w:rPr>
                <w:rFonts w:ascii="Arial"/>
                <w:spacing w:val="-1"/>
                <w:w w:val="95"/>
                <w:sz w:val="20"/>
              </w:rPr>
            </w:r>
            <w:r>
              <w:rPr>
                <w:rFonts w:ascii="Arial"/>
                <w:sz w:val="20"/>
              </w:rPr>
            </w:r>
          </w:p>
        </w:tc>
      </w:tr>
      <w:tr>
        <w:trPr>
          <w:trHeight w:val="395" w:hRule="exact"/>
        </w:trPr>
        <w:tc>
          <w:tcPr>
            <w:tcW w:w="3144" w:type="dxa"/>
            <w:tcBorders>
              <w:top w:val="nil" w:sz="6" w:space="0" w:color="auto"/>
              <w:left w:val="nil" w:sz="6" w:space="0" w:color="auto"/>
              <w:bottom w:val="nil" w:sz="6" w:space="0" w:color="auto"/>
              <w:right w:val="nil" w:sz="6" w:space="0" w:color="auto"/>
            </w:tcBorders>
          </w:tcPr>
          <w:p>
            <w:pPr/>
          </w:p>
        </w:tc>
        <w:tc>
          <w:tcPr>
            <w:tcW w:w="2849"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424"/>
              <w:jc w:val="right"/>
              <w:rPr>
                <w:rFonts w:ascii="Arial" w:hAnsi="Arial" w:cs="Arial" w:eastAsia="Arial" w:hint="default"/>
                <w:sz w:val="20"/>
                <w:szCs w:val="20"/>
              </w:rPr>
            </w:pPr>
            <w:r>
              <w:rPr>
                <w:rFonts w:ascii="Arial"/>
                <w:w w:val="99"/>
                <w:sz w:val="20"/>
              </w:rPr>
            </w:r>
            <w:r>
              <w:rPr>
                <w:rFonts w:ascii="Arial"/>
                <w:spacing w:val="-1"/>
                <w:sz w:val="20"/>
                <w:u w:val="thick" w:color="000000"/>
              </w:rPr>
              <w:t>1,937,578,118</w:t>
            </w:r>
            <w:r>
              <w:rPr>
                <w:rFonts w:ascii="Arial"/>
                <w:spacing w:val="-1"/>
                <w:sz w:val="20"/>
              </w:rPr>
            </w:r>
            <w:r>
              <w:rPr>
                <w:rFonts w:ascii="Arial"/>
                <w:sz w:val="20"/>
              </w:rPr>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1,815,627,537</w:t>
            </w:r>
            <w:r>
              <w:rPr>
                <w:rFonts w:ascii="Arial"/>
                <w:spacing w:val="-1"/>
                <w:sz w:val="20"/>
              </w:rPr>
            </w:r>
            <w:r>
              <w:rPr>
                <w:rFonts w:ascii="Arial"/>
                <w:sz w:val="20"/>
              </w:rPr>
            </w:r>
          </w:p>
        </w:tc>
      </w:tr>
    </w:tbl>
    <w:p>
      <w:pPr>
        <w:spacing w:line="240" w:lineRule="auto" w:before="0"/>
        <w:rPr>
          <w:rFonts w:ascii="黑体" w:hAnsi="黑体" w:cs="黑体" w:eastAsia="黑体" w:hint="default"/>
          <w:b/>
          <w:bCs/>
          <w:sz w:val="20"/>
          <w:szCs w:val="20"/>
        </w:rPr>
      </w:pPr>
    </w:p>
    <w:p>
      <w:pPr>
        <w:spacing w:line="240" w:lineRule="auto" w:before="12"/>
        <w:rPr>
          <w:rFonts w:ascii="黑体" w:hAnsi="黑体" w:cs="黑体" w:eastAsia="黑体" w:hint="default"/>
          <w:b/>
          <w:bCs/>
          <w:sz w:val="14"/>
          <w:szCs w:val="14"/>
        </w:rPr>
      </w:pPr>
    </w:p>
    <w:p>
      <w:pPr>
        <w:pStyle w:val="Heading6"/>
        <w:tabs>
          <w:tab w:pos="823" w:val="left" w:leader="none"/>
        </w:tabs>
        <w:spacing w:line="240" w:lineRule="auto"/>
        <w:ind w:right="0"/>
        <w:jc w:val="left"/>
        <w:rPr>
          <w:b w:val="0"/>
          <w:bCs w:val="0"/>
        </w:rPr>
      </w:pPr>
      <w:r>
        <w:rPr>
          <w:rFonts w:ascii="Arial" w:hAnsi="Arial" w:cs="Arial" w:eastAsia="Arial" w:hint="default"/>
          <w:spacing w:val="-1"/>
          <w:w w:val="95"/>
        </w:rPr>
        <w:t>38.</w:t>
        <w:tab/>
      </w:r>
      <w:r>
        <w:rPr>
          <w:spacing w:val="1"/>
        </w:rPr>
        <w:t>管理费用</w:t>
      </w:r>
      <w:r>
        <w:rPr>
          <w:b w:val="0"/>
          <w:bCs w:val="0"/>
        </w:rPr>
      </w:r>
    </w:p>
    <w:p>
      <w:pPr>
        <w:spacing w:line="240" w:lineRule="auto" w:before="12"/>
        <w:rPr>
          <w:rFonts w:ascii="黑体" w:hAnsi="黑体" w:cs="黑体" w:eastAsia="黑体" w:hint="default"/>
          <w:b/>
          <w:bCs/>
          <w:sz w:val="29"/>
          <w:szCs w:val="29"/>
        </w:rPr>
      </w:pPr>
    </w:p>
    <w:tbl>
      <w:tblPr>
        <w:tblW w:w="0" w:type="auto"/>
        <w:jc w:val="left"/>
        <w:tblInd w:w="739" w:type="dxa"/>
        <w:tblLayout w:type="fixed"/>
        <w:tblCellMar>
          <w:top w:w="0" w:type="dxa"/>
          <w:left w:w="0" w:type="dxa"/>
          <w:bottom w:w="0" w:type="dxa"/>
          <w:right w:w="0" w:type="dxa"/>
        </w:tblCellMar>
        <w:tblLook w:val="01E0"/>
      </w:tblPr>
      <w:tblGrid>
        <w:gridCol w:w="3228"/>
        <w:gridCol w:w="2788"/>
        <w:gridCol w:w="1926"/>
      </w:tblGrid>
      <w:tr>
        <w:trPr>
          <w:trHeight w:val="414" w:hRule="exact"/>
        </w:trPr>
        <w:tc>
          <w:tcPr>
            <w:tcW w:w="3228" w:type="dxa"/>
            <w:tcBorders>
              <w:top w:val="nil" w:sz="6" w:space="0" w:color="auto"/>
              <w:left w:val="nil" w:sz="6" w:space="0" w:color="auto"/>
              <w:bottom w:val="nil" w:sz="6" w:space="0" w:color="auto"/>
              <w:right w:val="nil" w:sz="6" w:space="0" w:color="auto"/>
            </w:tcBorders>
          </w:tcPr>
          <w:p>
            <w:pPr/>
          </w:p>
        </w:tc>
        <w:tc>
          <w:tcPr>
            <w:tcW w:w="2788" w:type="dxa"/>
            <w:tcBorders>
              <w:top w:val="nil" w:sz="6" w:space="0" w:color="auto"/>
              <w:left w:val="nil" w:sz="6" w:space="0" w:color="auto"/>
              <w:bottom w:val="nil" w:sz="6" w:space="0" w:color="auto"/>
              <w:right w:val="nil" w:sz="6" w:space="0" w:color="auto"/>
            </w:tcBorders>
          </w:tcPr>
          <w:p>
            <w:pPr>
              <w:pStyle w:val="TableParagraph"/>
              <w:spacing w:line="214" w:lineRule="exact"/>
              <w:ind w:right="446"/>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1926" w:type="dxa"/>
            <w:tcBorders>
              <w:top w:val="nil" w:sz="6" w:space="0" w:color="auto"/>
              <w:left w:val="nil" w:sz="6" w:space="0" w:color="auto"/>
              <w:bottom w:val="nil" w:sz="6" w:space="0" w:color="auto"/>
              <w:right w:val="nil" w:sz="6" w:space="0" w:color="auto"/>
            </w:tcBorders>
          </w:tcPr>
          <w:p>
            <w:pPr>
              <w:pStyle w:val="TableParagraph"/>
              <w:spacing w:line="214" w:lineRule="exact"/>
              <w:ind w:right="198"/>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r>
      <w:tr>
        <w:trPr>
          <w:trHeight w:val="497" w:hRule="exact"/>
        </w:trPr>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00" w:right="0"/>
              <w:jc w:val="left"/>
              <w:rPr>
                <w:rFonts w:ascii="黑体" w:hAnsi="黑体" w:cs="黑体" w:eastAsia="黑体" w:hint="default"/>
                <w:sz w:val="20"/>
                <w:szCs w:val="20"/>
              </w:rPr>
            </w:pPr>
            <w:r>
              <w:rPr>
                <w:rFonts w:ascii="黑体" w:hAnsi="黑体" w:cs="黑体" w:eastAsia="黑体" w:hint="default"/>
                <w:sz w:val="20"/>
                <w:szCs w:val="20"/>
              </w:rPr>
              <w:t>职工薪酬及福利</w:t>
            </w:r>
          </w:p>
        </w:tc>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b/>
                <w:bCs/>
                <w:sz w:val="15"/>
                <w:szCs w:val="15"/>
              </w:rPr>
            </w:pPr>
          </w:p>
          <w:p>
            <w:pPr>
              <w:pStyle w:val="TableParagraph"/>
              <w:spacing w:line="240" w:lineRule="auto"/>
              <w:ind w:right="447"/>
              <w:jc w:val="right"/>
              <w:rPr>
                <w:rFonts w:ascii="Arial" w:hAnsi="Arial" w:cs="Arial" w:eastAsia="Arial" w:hint="default"/>
                <w:sz w:val="20"/>
                <w:szCs w:val="20"/>
              </w:rPr>
            </w:pPr>
            <w:r>
              <w:rPr>
                <w:rFonts w:ascii="Arial"/>
                <w:spacing w:val="-1"/>
                <w:sz w:val="20"/>
              </w:rPr>
              <w:t>814,165,773</w:t>
            </w:r>
            <w:r>
              <w:rPr>
                <w:rFonts w:ascii="Arial"/>
                <w:sz w:val="20"/>
              </w:rPr>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黑体" w:hAnsi="黑体" w:cs="黑体" w:eastAsia="黑体" w:hint="default"/>
                <w:b/>
                <w:bCs/>
                <w:sz w:val="15"/>
                <w:szCs w:val="15"/>
              </w:rPr>
            </w:pPr>
          </w:p>
          <w:p>
            <w:pPr>
              <w:pStyle w:val="TableParagraph"/>
              <w:spacing w:line="240" w:lineRule="auto"/>
              <w:ind w:right="198"/>
              <w:jc w:val="right"/>
              <w:rPr>
                <w:rFonts w:ascii="Arial" w:hAnsi="Arial" w:cs="Arial" w:eastAsia="Arial" w:hint="default"/>
                <w:sz w:val="20"/>
                <w:szCs w:val="20"/>
              </w:rPr>
            </w:pPr>
            <w:r>
              <w:rPr>
                <w:rFonts w:ascii="Arial"/>
                <w:spacing w:val="-1"/>
                <w:sz w:val="20"/>
              </w:rPr>
              <w:t>735,338,312</w:t>
            </w:r>
            <w:r>
              <w:rPr>
                <w:rFonts w:ascii="Arial"/>
                <w:sz w:val="20"/>
              </w:rPr>
            </w:r>
          </w:p>
        </w:tc>
      </w:tr>
      <w:tr>
        <w:trPr>
          <w:trHeight w:val="360" w:hRule="exact"/>
        </w:trPr>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6"/>
              <w:ind w:left="200" w:right="0"/>
              <w:jc w:val="left"/>
              <w:rPr>
                <w:rFonts w:ascii="黑体" w:hAnsi="黑体" w:cs="黑体" w:eastAsia="黑体" w:hint="default"/>
                <w:sz w:val="20"/>
                <w:szCs w:val="20"/>
              </w:rPr>
            </w:pPr>
            <w:r>
              <w:rPr>
                <w:rFonts w:ascii="黑体" w:hAnsi="黑体" w:cs="黑体" w:eastAsia="黑体" w:hint="default"/>
                <w:sz w:val="20"/>
                <w:szCs w:val="20"/>
              </w:rPr>
              <w:t>业务宣传费</w:t>
            </w:r>
          </w:p>
        </w:tc>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447"/>
              <w:jc w:val="right"/>
              <w:rPr>
                <w:rFonts w:ascii="Arial" w:hAnsi="Arial" w:cs="Arial" w:eastAsia="Arial" w:hint="default"/>
                <w:sz w:val="20"/>
                <w:szCs w:val="20"/>
              </w:rPr>
            </w:pPr>
            <w:r>
              <w:rPr>
                <w:rFonts w:ascii="Arial"/>
                <w:spacing w:val="-1"/>
                <w:sz w:val="20"/>
              </w:rPr>
              <w:t>11,504,669</w:t>
            </w:r>
            <w:r>
              <w:rPr>
                <w:rFonts w:ascii="Arial"/>
                <w:sz w:val="20"/>
              </w:rPr>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98"/>
              <w:jc w:val="right"/>
              <w:rPr>
                <w:rFonts w:ascii="Arial" w:hAnsi="Arial" w:cs="Arial" w:eastAsia="Arial" w:hint="default"/>
                <w:sz w:val="20"/>
                <w:szCs w:val="20"/>
              </w:rPr>
            </w:pPr>
            <w:r>
              <w:rPr>
                <w:rFonts w:ascii="Arial"/>
                <w:spacing w:val="-1"/>
                <w:sz w:val="20"/>
              </w:rPr>
              <w:t>10,440,689</w:t>
            </w:r>
            <w:r>
              <w:rPr>
                <w:rFonts w:ascii="Arial"/>
                <w:sz w:val="20"/>
              </w:rPr>
            </w:r>
          </w:p>
        </w:tc>
      </w:tr>
      <w:tr>
        <w:trPr>
          <w:trHeight w:val="360" w:hRule="exact"/>
        </w:trPr>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6"/>
              <w:ind w:left="200" w:right="0"/>
              <w:jc w:val="left"/>
              <w:rPr>
                <w:rFonts w:ascii="黑体" w:hAnsi="黑体" w:cs="黑体" w:eastAsia="黑体" w:hint="default"/>
                <w:sz w:val="20"/>
                <w:szCs w:val="20"/>
              </w:rPr>
            </w:pPr>
            <w:r>
              <w:rPr>
                <w:rFonts w:ascii="黑体" w:hAnsi="黑体" w:cs="黑体" w:eastAsia="黑体" w:hint="default"/>
                <w:sz w:val="20"/>
                <w:szCs w:val="20"/>
              </w:rPr>
              <w:t>差旅交通费</w:t>
            </w:r>
          </w:p>
        </w:tc>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447"/>
              <w:jc w:val="right"/>
              <w:rPr>
                <w:rFonts w:ascii="Arial" w:hAnsi="Arial" w:cs="Arial" w:eastAsia="Arial" w:hint="default"/>
                <w:sz w:val="20"/>
                <w:szCs w:val="20"/>
              </w:rPr>
            </w:pPr>
            <w:r>
              <w:rPr>
                <w:rFonts w:ascii="Arial"/>
                <w:spacing w:val="-1"/>
                <w:sz w:val="20"/>
              </w:rPr>
              <w:t>64,596,203</w:t>
            </w:r>
            <w:r>
              <w:rPr>
                <w:rFonts w:ascii="Arial"/>
                <w:sz w:val="20"/>
              </w:rPr>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98"/>
              <w:jc w:val="right"/>
              <w:rPr>
                <w:rFonts w:ascii="Arial" w:hAnsi="Arial" w:cs="Arial" w:eastAsia="Arial" w:hint="default"/>
                <w:sz w:val="20"/>
                <w:szCs w:val="20"/>
              </w:rPr>
            </w:pPr>
            <w:r>
              <w:rPr>
                <w:rFonts w:ascii="Arial"/>
                <w:spacing w:val="-1"/>
                <w:sz w:val="20"/>
              </w:rPr>
              <w:t>64,558,456</w:t>
            </w:r>
            <w:r>
              <w:rPr>
                <w:rFonts w:ascii="Arial"/>
                <w:sz w:val="20"/>
              </w:rPr>
            </w:r>
          </w:p>
        </w:tc>
      </w:tr>
      <w:tr>
        <w:trPr>
          <w:trHeight w:val="360" w:hRule="exact"/>
        </w:trPr>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6"/>
              <w:ind w:left="200" w:right="0"/>
              <w:jc w:val="left"/>
              <w:rPr>
                <w:rFonts w:ascii="黑体" w:hAnsi="黑体" w:cs="黑体" w:eastAsia="黑体" w:hint="default"/>
                <w:sz w:val="20"/>
                <w:szCs w:val="20"/>
              </w:rPr>
            </w:pPr>
            <w:r>
              <w:rPr>
                <w:rFonts w:ascii="黑体" w:hAnsi="黑体" w:cs="黑体" w:eastAsia="黑体" w:hint="default"/>
                <w:sz w:val="20"/>
                <w:szCs w:val="20"/>
              </w:rPr>
              <w:t>咨询服务费</w:t>
            </w:r>
          </w:p>
        </w:tc>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447"/>
              <w:jc w:val="right"/>
              <w:rPr>
                <w:rFonts w:ascii="Arial" w:hAnsi="Arial" w:cs="Arial" w:eastAsia="Arial" w:hint="default"/>
                <w:sz w:val="20"/>
                <w:szCs w:val="20"/>
              </w:rPr>
            </w:pPr>
            <w:r>
              <w:rPr>
                <w:rFonts w:ascii="Arial"/>
                <w:spacing w:val="-1"/>
                <w:sz w:val="20"/>
              </w:rPr>
              <w:t>68,661,167</w:t>
            </w:r>
            <w:r>
              <w:rPr>
                <w:rFonts w:ascii="Arial"/>
                <w:sz w:val="20"/>
              </w:rPr>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98"/>
              <w:jc w:val="right"/>
              <w:rPr>
                <w:rFonts w:ascii="Arial" w:hAnsi="Arial" w:cs="Arial" w:eastAsia="Arial" w:hint="default"/>
                <w:sz w:val="20"/>
                <w:szCs w:val="20"/>
              </w:rPr>
            </w:pPr>
            <w:r>
              <w:rPr>
                <w:rFonts w:ascii="Arial"/>
                <w:spacing w:val="-1"/>
                <w:sz w:val="20"/>
              </w:rPr>
              <w:t>66,612,429</w:t>
            </w:r>
            <w:r>
              <w:rPr>
                <w:rFonts w:ascii="Arial"/>
                <w:sz w:val="20"/>
              </w:rPr>
            </w:r>
          </w:p>
        </w:tc>
      </w:tr>
      <w:tr>
        <w:trPr>
          <w:trHeight w:val="360" w:hRule="exact"/>
        </w:trPr>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6"/>
              <w:ind w:left="200" w:right="0"/>
              <w:jc w:val="left"/>
              <w:rPr>
                <w:rFonts w:ascii="黑体" w:hAnsi="黑体" w:cs="黑体" w:eastAsia="黑体" w:hint="default"/>
                <w:sz w:val="20"/>
                <w:szCs w:val="20"/>
              </w:rPr>
            </w:pPr>
            <w:r>
              <w:rPr>
                <w:rFonts w:ascii="黑体" w:hAnsi="黑体" w:cs="黑体" w:eastAsia="黑体" w:hint="default"/>
                <w:sz w:val="20"/>
                <w:szCs w:val="20"/>
              </w:rPr>
              <w:t>办公费</w:t>
            </w:r>
          </w:p>
        </w:tc>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447"/>
              <w:jc w:val="right"/>
              <w:rPr>
                <w:rFonts w:ascii="Arial" w:hAnsi="Arial" w:cs="Arial" w:eastAsia="Arial" w:hint="default"/>
                <w:sz w:val="20"/>
                <w:szCs w:val="20"/>
              </w:rPr>
            </w:pPr>
            <w:r>
              <w:rPr>
                <w:rFonts w:ascii="Arial"/>
                <w:spacing w:val="-1"/>
                <w:sz w:val="20"/>
              </w:rPr>
              <w:t>43,928,052</w:t>
            </w:r>
            <w:r>
              <w:rPr>
                <w:rFonts w:ascii="Arial"/>
                <w:sz w:val="20"/>
              </w:rPr>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98"/>
              <w:jc w:val="right"/>
              <w:rPr>
                <w:rFonts w:ascii="Arial" w:hAnsi="Arial" w:cs="Arial" w:eastAsia="Arial" w:hint="default"/>
                <w:sz w:val="20"/>
                <w:szCs w:val="20"/>
              </w:rPr>
            </w:pPr>
            <w:r>
              <w:rPr>
                <w:rFonts w:ascii="Arial"/>
                <w:spacing w:val="-1"/>
                <w:sz w:val="20"/>
              </w:rPr>
              <w:t>43,714,252</w:t>
            </w:r>
            <w:r>
              <w:rPr>
                <w:rFonts w:ascii="Arial"/>
                <w:sz w:val="20"/>
              </w:rPr>
            </w:r>
          </w:p>
        </w:tc>
      </w:tr>
      <w:tr>
        <w:trPr>
          <w:trHeight w:val="360" w:hRule="exact"/>
        </w:trPr>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6"/>
              <w:ind w:left="200" w:right="0"/>
              <w:jc w:val="left"/>
              <w:rPr>
                <w:rFonts w:ascii="黑体" w:hAnsi="黑体" w:cs="黑体" w:eastAsia="黑体" w:hint="default"/>
                <w:sz w:val="20"/>
                <w:szCs w:val="20"/>
              </w:rPr>
            </w:pPr>
            <w:r>
              <w:rPr>
                <w:rFonts w:ascii="黑体" w:hAnsi="黑体" w:cs="黑体" w:eastAsia="黑体" w:hint="default"/>
                <w:sz w:val="20"/>
                <w:szCs w:val="20"/>
              </w:rPr>
              <w:t>业务招待费</w:t>
            </w:r>
          </w:p>
        </w:tc>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447"/>
              <w:jc w:val="right"/>
              <w:rPr>
                <w:rFonts w:ascii="Arial" w:hAnsi="Arial" w:cs="Arial" w:eastAsia="Arial" w:hint="default"/>
                <w:sz w:val="20"/>
                <w:szCs w:val="20"/>
              </w:rPr>
            </w:pPr>
            <w:r>
              <w:rPr>
                <w:rFonts w:ascii="Arial"/>
                <w:spacing w:val="-1"/>
                <w:sz w:val="20"/>
              </w:rPr>
              <w:t>25,918,605</w:t>
            </w:r>
            <w:r>
              <w:rPr>
                <w:rFonts w:ascii="Arial"/>
                <w:sz w:val="20"/>
              </w:rPr>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98"/>
              <w:jc w:val="right"/>
              <w:rPr>
                <w:rFonts w:ascii="Arial" w:hAnsi="Arial" w:cs="Arial" w:eastAsia="Arial" w:hint="default"/>
                <w:sz w:val="20"/>
                <w:szCs w:val="20"/>
              </w:rPr>
            </w:pPr>
            <w:r>
              <w:rPr>
                <w:rFonts w:ascii="Arial"/>
                <w:spacing w:val="-1"/>
                <w:sz w:val="20"/>
              </w:rPr>
              <w:t>23,790,559</w:t>
            </w:r>
            <w:r>
              <w:rPr>
                <w:rFonts w:ascii="Arial"/>
                <w:sz w:val="20"/>
              </w:rPr>
            </w:r>
          </w:p>
        </w:tc>
      </w:tr>
      <w:tr>
        <w:trPr>
          <w:trHeight w:val="360" w:hRule="exact"/>
        </w:trPr>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6"/>
              <w:ind w:left="200" w:right="0"/>
              <w:jc w:val="left"/>
              <w:rPr>
                <w:rFonts w:ascii="黑体" w:hAnsi="黑体" w:cs="黑体" w:eastAsia="黑体" w:hint="default"/>
                <w:sz w:val="20"/>
                <w:szCs w:val="20"/>
              </w:rPr>
            </w:pPr>
            <w:r>
              <w:rPr>
                <w:rFonts w:ascii="黑体" w:hAnsi="黑体" w:cs="黑体" w:eastAsia="黑体" w:hint="default"/>
                <w:sz w:val="20"/>
                <w:szCs w:val="20"/>
              </w:rPr>
              <w:t>租赁费及物业管理费</w:t>
            </w:r>
          </w:p>
        </w:tc>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446"/>
              <w:jc w:val="right"/>
              <w:rPr>
                <w:rFonts w:ascii="Arial" w:hAnsi="Arial" w:cs="Arial" w:eastAsia="Arial" w:hint="default"/>
                <w:sz w:val="20"/>
                <w:szCs w:val="20"/>
              </w:rPr>
            </w:pPr>
            <w:r>
              <w:rPr>
                <w:rFonts w:ascii="Arial"/>
                <w:spacing w:val="-1"/>
                <w:sz w:val="20"/>
              </w:rPr>
              <w:t>110,888,335</w:t>
            </w:r>
            <w:r>
              <w:rPr>
                <w:rFonts w:ascii="Arial"/>
                <w:sz w:val="20"/>
              </w:rPr>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98"/>
              <w:jc w:val="right"/>
              <w:rPr>
                <w:rFonts w:ascii="Arial" w:hAnsi="Arial" w:cs="Arial" w:eastAsia="Arial" w:hint="default"/>
                <w:sz w:val="20"/>
                <w:szCs w:val="20"/>
              </w:rPr>
            </w:pPr>
            <w:r>
              <w:rPr>
                <w:rFonts w:ascii="Arial"/>
                <w:spacing w:val="-1"/>
                <w:sz w:val="20"/>
              </w:rPr>
              <w:t>107,763,409</w:t>
            </w:r>
            <w:r>
              <w:rPr>
                <w:rFonts w:ascii="Arial"/>
                <w:sz w:val="20"/>
              </w:rPr>
            </w:r>
          </w:p>
        </w:tc>
      </w:tr>
      <w:tr>
        <w:trPr>
          <w:trHeight w:val="360" w:hRule="exact"/>
        </w:trPr>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6"/>
              <w:ind w:left="200" w:right="0"/>
              <w:jc w:val="left"/>
              <w:rPr>
                <w:rFonts w:ascii="黑体" w:hAnsi="黑体" w:cs="黑体" w:eastAsia="黑体" w:hint="default"/>
                <w:sz w:val="20"/>
                <w:szCs w:val="20"/>
              </w:rPr>
            </w:pPr>
            <w:r>
              <w:rPr>
                <w:rFonts w:ascii="黑体" w:hAnsi="黑体" w:cs="黑体" w:eastAsia="黑体" w:hint="default"/>
                <w:sz w:val="20"/>
                <w:szCs w:val="20"/>
              </w:rPr>
              <w:t>折旧及摊销</w:t>
            </w:r>
          </w:p>
        </w:tc>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446"/>
              <w:jc w:val="right"/>
              <w:rPr>
                <w:rFonts w:ascii="Arial" w:hAnsi="Arial" w:cs="Arial" w:eastAsia="Arial" w:hint="default"/>
                <w:sz w:val="20"/>
                <w:szCs w:val="20"/>
              </w:rPr>
            </w:pPr>
            <w:r>
              <w:rPr>
                <w:rFonts w:ascii="Arial"/>
                <w:spacing w:val="-1"/>
                <w:sz w:val="20"/>
              </w:rPr>
              <w:t>103,153,854</w:t>
            </w:r>
            <w:r>
              <w:rPr>
                <w:rFonts w:ascii="Arial"/>
                <w:sz w:val="20"/>
              </w:rPr>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98"/>
              <w:jc w:val="right"/>
              <w:rPr>
                <w:rFonts w:ascii="Arial" w:hAnsi="Arial" w:cs="Arial" w:eastAsia="Arial" w:hint="default"/>
                <w:sz w:val="20"/>
                <w:szCs w:val="20"/>
              </w:rPr>
            </w:pPr>
            <w:r>
              <w:rPr>
                <w:rFonts w:ascii="Arial"/>
                <w:spacing w:val="-1"/>
                <w:sz w:val="20"/>
              </w:rPr>
              <w:t>94,696,282</w:t>
            </w:r>
            <w:r>
              <w:rPr>
                <w:rFonts w:ascii="Arial"/>
                <w:sz w:val="20"/>
              </w:rPr>
            </w:r>
          </w:p>
        </w:tc>
      </w:tr>
      <w:tr>
        <w:trPr>
          <w:trHeight w:val="487" w:hRule="exact"/>
        </w:trPr>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6"/>
              <w:ind w:left="200"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2788"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66"/>
              <w:ind w:right="446"/>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32,095,057</w:t>
            </w:r>
            <w:r>
              <w:rPr>
                <w:rFonts w:ascii="Arial"/>
                <w:spacing w:val="-1"/>
                <w:w w:val="95"/>
                <w:sz w:val="20"/>
              </w:rPr>
            </w:r>
            <w:r>
              <w:rPr>
                <w:rFonts w:ascii="Arial"/>
                <w:sz w:val="20"/>
              </w:rPr>
            </w:r>
          </w:p>
        </w:tc>
        <w:tc>
          <w:tcPr>
            <w:tcW w:w="1926"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66"/>
              <w:ind w:right="19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24,635,714</w:t>
            </w:r>
            <w:r>
              <w:rPr>
                <w:rFonts w:ascii="Arial"/>
                <w:spacing w:val="-1"/>
                <w:w w:val="95"/>
                <w:sz w:val="20"/>
              </w:rPr>
            </w:r>
            <w:r>
              <w:rPr>
                <w:rFonts w:ascii="Arial"/>
                <w:sz w:val="20"/>
              </w:rPr>
            </w:r>
          </w:p>
        </w:tc>
      </w:tr>
      <w:tr>
        <w:trPr>
          <w:trHeight w:val="395" w:hRule="exact"/>
        </w:trPr>
        <w:tc>
          <w:tcPr>
            <w:tcW w:w="3228" w:type="dxa"/>
            <w:tcBorders>
              <w:top w:val="nil" w:sz="6" w:space="0" w:color="auto"/>
              <w:left w:val="nil" w:sz="6" w:space="0" w:color="auto"/>
              <w:bottom w:val="nil" w:sz="6" w:space="0" w:color="auto"/>
              <w:right w:val="nil" w:sz="6" w:space="0" w:color="auto"/>
            </w:tcBorders>
          </w:tcPr>
          <w:p>
            <w:pPr/>
          </w:p>
        </w:tc>
        <w:tc>
          <w:tcPr>
            <w:tcW w:w="2788"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447"/>
              <w:jc w:val="right"/>
              <w:rPr>
                <w:rFonts w:ascii="Arial" w:hAnsi="Arial" w:cs="Arial" w:eastAsia="Arial" w:hint="default"/>
                <w:sz w:val="20"/>
                <w:szCs w:val="20"/>
              </w:rPr>
            </w:pPr>
            <w:r>
              <w:rPr>
                <w:rFonts w:ascii="Arial"/>
                <w:w w:val="99"/>
                <w:sz w:val="20"/>
              </w:rPr>
            </w:r>
            <w:r>
              <w:rPr>
                <w:rFonts w:ascii="Arial"/>
                <w:spacing w:val="-1"/>
                <w:sz w:val="20"/>
                <w:u w:val="thick" w:color="000000"/>
              </w:rPr>
              <w:t>1,274,911,715</w:t>
            </w:r>
            <w:r>
              <w:rPr>
                <w:rFonts w:ascii="Arial"/>
                <w:spacing w:val="-1"/>
                <w:sz w:val="20"/>
              </w:rPr>
            </w:r>
            <w:r>
              <w:rPr>
                <w:rFonts w:ascii="Arial"/>
                <w:sz w:val="20"/>
              </w:rPr>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1,171,550,102</w:t>
            </w:r>
            <w:r>
              <w:rPr>
                <w:rFonts w:ascii="Arial"/>
                <w:spacing w:val="-1"/>
                <w:sz w:val="20"/>
              </w:rPr>
            </w:r>
            <w:r>
              <w:rPr>
                <w:rFonts w:ascii="Arial"/>
                <w:sz w:val="20"/>
              </w:rPr>
            </w:r>
          </w:p>
        </w:tc>
      </w:tr>
    </w:tbl>
    <w:p>
      <w:pPr>
        <w:spacing w:after="0" w:line="240" w:lineRule="auto"/>
        <w:jc w:val="right"/>
        <w:rPr>
          <w:rFonts w:ascii="Arial" w:hAnsi="Arial" w:cs="Arial" w:eastAsia="Arial" w:hint="default"/>
          <w:sz w:val="20"/>
          <w:szCs w:val="20"/>
        </w:rPr>
        <w:sectPr>
          <w:pgSz w:w="11910" w:h="16840"/>
          <w:pgMar w:header="825" w:footer="473" w:top="2420" w:bottom="660" w:left="1600" w:right="1280"/>
        </w:sectPr>
      </w:pPr>
    </w:p>
    <w:p>
      <w:pPr>
        <w:spacing w:line="240" w:lineRule="auto" w:before="8"/>
        <w:rPr>
          <w:rFonts w:ascii="黑体" w:hAnsi="黑体" w:cs="黑体" w:eastAsia="黑体" w:hint="default"/>
          <w:b/>
          <w:bCs/>
          <w:sz w:val="17"/>
          <w:szCs w:val="17"/>
        </w:rPr>
      </w:pPr>
    </w:p>
    <w:p>
      <w:pPr>
        <w:pStyle w:val="Heading6"/>
        <w:tabs>
          <w:tab w:pos="804" w:val="left" w:leader="none"/>
        </w:tabs>
        <w:spacing w:line="240" w:lineRule="auto"/>
        <w:ind w:right="0"/>
        <w:jc w:val="left"/>
        <w:rPr>
          <w:b w:val="0"/>
          <w:bCs w:val="0"/>
        </w:rPr>
      </w:pPr>
      <w:r>
        <w:rPr>
          <w:w w:val="95"/>
        </w:rPr>
        <w:t>五、</w:t>
        <w:tab/>
      </w:r>
      <w:bookmarkStart w:name="五、   合并财务报表主要项目注释（续）" w:id="136"/>
      <w:bookmarkEnd w:id="136"/>
      <w:r>
        <w:rPr/>
        <w:t>合并</w:t>
      </w:r>
      <w:r>
        <w:rPr/>
        <w:t>财务报表主要项目注释（续）</w:t>
      </w:r>
      <w:r>
        <w:rPr>
          <w:b w:val="0"/>
          <w:bCs w:val="0"/>
        </w:rPr>
      </w:r>
    </w:p>
    <w:p>
      <w:pPr>
        <w:spacing w:line="240" w:lineRule="auto" w:before="3"/>
        <w:rPr>
          <w:rFonts w:ascii="黑体" w:hAnsi="黑体" w:cs="黑体" w:eastAsia="黑体" w:hint="default"/>
          <w:b/>
          <w:bCs/>
          <w:sz w:val="26"/>
          <w:szCs w:val="26"/>
        </w:rPr>
      </w:pPr>
    </w:p>
    <w:p>
      <w:pPr>
        <w:pStyle w:val="Heading6"/>
        <w:tabs>
          <w:tab w:pos="823" w:val="left" w:leader="none"/>
        </w:tabs>
        <w:spacing w:line="240" w:lineRule="auto" w:before="0"/>
        <w:ind w:right="0"/>
        <w:jc w:val="left"/>
        <w:rPr>
          <w:b w:val="0"/>
          <w:bCs w:val="0"/>
        </w:rPr>
      </w:pPr>
      <w:r>
        <w:rPr>
          <w:rFonts w:ascii="Arial" w:hAnsi="Arial" w:cs="Arial" w:eastAsia="Arial" w:hint="default"/>
          <w:spacing w:val="-1"/>
          <w:w w:val="95"/>
        </w:rPr>
        <w:t>39.</w:t>
        <w:tab/>
      </w:r>
      <w:r>
        <w:rPr>
          <w:spacing w:val="1"/>
        </w:rPr>
        <w:t>财务费用</w:t>
      </w:r>
      <w:r>
        <w:rPr>
          <w:b w:val="0"/>
          <w:bCs w:val="0"/>
        </w:rPr>
      </w:r>
    </w:p>
    <w:p>
      <w:pPr>
        <w:spacing w:line="240" w:lineRule="auto" w:before="0"/>
        <w:rPr>
          <w:rFonts w:ascii="黑体" w:hAnsi="黑体" w:cs="黑体" w:eastAsia="黑体" w:hint="default"/>
          <w:b/>
          <w:bCs/>
          <w:sz w:val="20"/>
          <w:szCs w:val="20"/>
        </w:rPr>
      </w:pPr>
    </w:p>
    <w:p>
      <w:pPr>
        <w:spacing w:line="240" w:lineRule="auto" w:before="5"/>
        <w:rPr>
          <w:rFonts w:ascii="黑体" w:hAnsi="黑体" w:cs="黑体" w:eastAsia="黑体" w:hint="default"/>
          <w:b/>
          <w:bCs/>
          <w:sz w:val="11"/>
          <w:szCs w:val="11"/>
        </w:rPr>
      </w:pPr>
    </w:p>
    <w:tbl>
      <w:tblPr>
        <w:tblW w:w="0" w:type="auto"/>
        <w:jc w:val="left"/>
        <w:tblInd w:w="638" w:type="dxa"/>
        <w:tblLayout w:type="fixed"/>
        <w:tblCellMar>
          <w:top w:w="0" w:type="dxa"/>
          <w:left w:w="0" w:type="dxa"/>
          <w:bottom w:w="0" w:type="dxa"/>
          <w:right w:w="0" w:type="dxa"/>
        </w:tblCellMar>
        <w:tblLook w:val="01E0"/>
      </w:tblPr>
      <w:tblGrid>
        <w:gridCol w:w="3490"/>
        <w:gridCol w:w="2983"/>
        <w:gridCol w:w="1692"/>
      </w:tblGrid>
      <w:tr>
        <w:trPr>
          <w:trHeight w:val="376" w:hRule="exact"/>
        </w:trPr>
        <w:tc>
          <w:tcPr>
            <w:tcW w:w="3490" w:type="dxa"/>
            <w:tcBorders>
              <w:top w:val="nil" w:sz="6" w:space="0" w:color="auto"/>
              <w:left w:val="nil" w:sz="6" w:space="0" w:color="auto"/>
              <w:bottom w:val="nil" w:sz="6" w:space="0" w:color="auto"/>
              <w:right w:val="nil" w:sz="6" w:space="0" w:color="auto"/>
            </w:tcBorders>
          </w:tcPr>
          <w:p>
            <w:pPr/>
          </w:p>
        </w:tc>
        <w:tc>
          <w:tcPr>
            <w:tcW w:w="2983" w:type="dxa"/>
            <w:tcBorders>
              <w:top w:val="nil" w:sz="6" w:space="0" w:color="auto"/>
              <w:left w:val="nil" w:sz="6" w:space="0" w:color="auto"/>
              <w:bottom w:val="nil" w:sz="6" w:space="0" w:color="auto"/>
              <w:right w:val="nil" w:sz="6" w:space="0" w:color="auto"/>
            </w:tcBorders>
          </w:tcPr>
          <w:p>
            <w:pPr>
              <w:pStyle w:val="TableParagraph"/>
              <w:spacing w:line="214" w:lineRule="exact"/>
              <w:ind w:right="516"/>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1692" w:type="dxa"/>
            <w:tcBorders>
              <w:top w:val="nil" w:sz="6" w:space="0" w:color="auto"/>
              <w:left w:val="nil" w:sz="6" w:space="0" w:color="auto"/>
              <w:bottom w:val="nil" w:sz="6" w:space="0" w:color="auto"/>
              <w:right w:val="nil" w:sz="6" w:space="0" w:color="auto"/>
            </w:tcBorders>
          </w:tcPr>
          <w:p>
            <w:pPr>
              <w:pStyle w:val="TableParagraph"/>
              <w:spacing w:line="214" w:lineRule="exact"/>
              <w:ind w:right="226"/>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r>
      <w:tr>
        <w:trPr>
          <w:trHeight w:val="424" w:hRule="exact"/>
        </w:trPr>
        <w:tc>
          <w:tcPr>
            <w:tcW w:w="349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00" w:right="0"/>
              <w:jc w:val="left"/>
              <w:rPr>
                <w:rFonts w:ascii="黑体" w:hAnsi="黑体" w:cs="黑体" w:eastAsia="黑体" w:hint="default"/>
                <w:sz w:val="20"/>
                <w:szCs w:val="20"/>
              </w:rPr>
            </w:pPr>
            <w:r>
              <w:rPr>
                <w:rFonts w:ascii="黑体" w:hAnsi="黑体" w:cs="黑体" w:eastAsia="黑体" w:hint="default"/>
                <w:sz w:val="20"/>
                <w:szCs w:val="20"/>
              </w:rPr>
              <w:t>利息支出</w:t>
            </w:r>
          </w:p>
        </w:tc>
        <w:tc>
          <w:tcPr>
            <w:tcW w:w="2983"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490"/>
              <w:jc w:val="right"/>
              <w:rPr>
                <w:rFonts w:ascii="Arial" w:hAnsi="Arial" w:cs="Arial" w:eastAsia="Arial" w:hint="default"/>
                <w:sz w:val="20"/>
                <w:szCs w:val="20"/>
              </w:rPr>
            </w:pPr>
            <w:r>
              <w:rPr>
                <w:rFonts w:ascii="Arial"/>
                <w:spacing w:val="-1"/>
                <w:sz w:val="20"/>
              </w:rPr>
              <w:t>66,639,136</w:t>
            </w:r>
            <w:r>
              <w:rPr>
                <w:rFonts w:ascii="Arial"/>
                <w:sz w:val="20"/>
              </w:rPr>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98"/>
              <w:jc w:val="right"/>
              <w:rPr>
                <w:rFonts w:ascii="Arial" w:hAnsi="Arial" w:cs="Arial" w:eastAsia="Arial" w:hint="default"/>
                <w:sz w:val="20"/>
                <w:szCs w:val="20"/>
              </w:rPr>
            </w:pPr>
            <w:r>
              <w:rPr>
                <w:rFonts w:ascii="Arial"/>
                <w:spacing w:val="-1"/>
                <w:sz w:val="20"/>
              </w:rPr>
              <w:t>42,869,592</w:t>
            </w:r>
            <w:r>
              <w:rPr>
                <w:rFonts w:ascii="Arial"/>
                <w:sz w:val="20"/>
              </w:rPr>
            </w:r>
          </w:p>
        </w:tc>
      </w:tr>
      <w:tr>
        <w:trPr>
          <w:trHeight w:val="312" w:hRule="exact"/>
        </w:trPr>
        <w:tc>
          <w:tcPr>
            <w:tcW w:w="3490"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黑体" w:hAnsi="黑体" w:cs="黑体" w:eastAsia="黑体" w:hint="default"/>
                <w:sz w:val="20"/>
                <w:szCs w:val="20"/>
              </w:rPr>
            </w:pPr>
            <w:r>
              <w:rPr>
                <w:rFonts w:ascii="黑体" w:hAnsi="黑体" w:cs="黑体" w:eastAsia="黑体" w:hint="default"/>
                <w:sz w:val="20"/>
                <w:szCs w:val="20"/>
              </w:rPr>
              <w:t>减：利息收入</w:t>
            </w:r>
          </w:p>
        </w:tc>
        <w:tc>
          <w:tcPr>
            <w:tcW w:w="298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92"/>
              <w:jc w:val="right"/>
              <w:rPr>
                <w:rFonts w:ascii="Arial" w:hAnsi="Arial" w:cs="Arial" w:eastAsia="Arial" w:hint="default"/>
                <w:sz w:val="20"/>
                <w:szCs w:val="20"/>
              </w:rPr>
            </w:pPr>
            <w:r>
              <w:rPr>
                <w:rFonts w:ascii="Arial"/>
                <w:spacing w:val="-1"/>
                <w:sz w:val="20"/>
              </w:rPr>
              <w:t>8,201,931</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00"/>
              <w:jc w:val="right"/>
              <w:rPr>
                <w:rFonts w:ascii="Arial" w:hAnsi="Arial" w:cs="Arial" w:eastAsia="Arial" w:hint="default"/>
                <w:sz w:val="20"/>
                <w:szCs w:val="20"/>
              </w:rPr>
            </w:pPr>
            <w:r>
              <w:rPr>
                <w:rFonts w:ascii="Arial"/>
                <w:spacing w:val="-1"/>
                <w:sz w:val="20"/>
              </w:rPr>
              <w:t>10,445,308</w:t>
            </w:r>
          </w:p>
        </w:tc>
      </w:tr>
      <w:tr>
        <w:trPr>
          <w:trHeight w:val="312" w:hRule="exact"/>
        </w:trPr>
        <w:tc>
          <w:tcPr>
            <w:tcW w:w="3490"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黑体" w:hAnsi="黑体" w:cs="黑体" w:eastAsia="黑体" w:hint="default"/>
                <w:sz w:val="20"/>
                <w:szCs w:val="20"/>
              </w:rPr>
            </w:pPr>
            <w:r>
              <w:rPr>
                <w:rFonts w:ascii="黑体" w:hAnsi="黑体" w:cs="黑体" w:eastAsia="黑体" w:hint="default"/>
                <w:sz w:val="20"/>
                <w:szCs w:val="20"/>
              </w:rPr>
              <w:t>减：利息资本化金额</w:t>
            </w:r>
          </w:p>
        </w:tc>
        <w:tc>
          <w:tcPr>
            <w:tcW w:w="298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92"/>
              <w:jc w:val="right"/>
              <w:rPr>
                <w:rFonts w:ascii="Arial" w:hAnsi="Arial" w:cs="Arial" w:eastAsia="Arial" w:hint="default"/>
                <w:sz w:val="20"/>
                <w:szCs w:val="20"/>
              </w:rPr>
            </w:pPr>
            <w:r>
              <w:rPr>
                <w:rFonts w:ascii="Arial"/>
                <w:spacing w:val="-1"/>
                <w:sz w:val="20"/>
              </w:rPr>
              <w:t>5,450,254</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00"/>
              <w:jc w:val="right"/>
              <w:rPr>
                <w:rFonts w:ascii="Arial" w:hAnsi="Arial" w:cs="Arial" w:eastAsia="Arial" w:hint="default"/>
                <w:sz w:val="20"/>
                <w:szCs w:val="20"/>
              </w:rPr>
            </w:pPr>
            <w:r>
              <w:rPr>
                <w:rFonts w:ascii="Arial"/>
                <w:spacing w:val="-1"/>
                <w:sz w:val="20"/>
              </w:rPr>
              <w:t>1,718,889</w:t>
            </w:r>
          </w:p>
        </w:tc>
      </w:tr>
      <w:tr>
        <w:trPr>
          <w:trHeight w:val="312" w:hRule="exact"/>
        </w:trPr>
        <w:tc>
          <w:tcPr>
            <w:tcW w:w="3490"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黑体" w:hAnsi="黑体" w:cs="黑体" w:eastAsia="黑体" w:hint="default"/>
                <w:sz w:val="20"/>
                <w:szCs w:val="20"/>
              </w:rPr>
            </w:pPr>
            <w:r>
              <w:rPr>
                <w:rFonts w:ascii="黑体" w:hAnsi="黑体" w:cs="黑体" w:eastAsia="黑体" w:hint="default"/>
                <w:sz w:val="20"/>
                <w:szCs w:val="20"/>
              </w:rPr>
              <w:t>汇兑损失</w:t>
            </w:r>
          </w:p>
        </w:tc>
        <w:tc>
          <w:tcPr>
            <w:tcW w:w="298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91"/>
              <w:jc w:val="right"/>
              <w:rPr>
                <w:rFonts w:ascii="Arial" w:hAnsi="Arial" w:cs="Arial" w:eastAsia="Arial" w:hint="default"/>
                <w:sz w:val="20"/>
                <w:szCs w:val="20"/>
              </w:rPr>
            </w:pPr>
            <w:r>
              <w:rPr>
                <w:rFonts w:ascii="Arial"/>
                <w:spacing w:val="-1"/>
                <w:sz w:val="20"/>
              </w:rPr>
              <w:t>2,010,064</w:t>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98"/>
              <w:jc w:val="right"/>
              <w:rPr>
                <w:rFonts w:ascii="Arial" w:hAnsi="Arial" w:cs="Arial" w:eastAsia="Arial" w:hint="default"/>
                <w:sz w:val="20"/>
                <w:szCs w:val="20"/>
              </w:rPr>
            </w:pPr>
            <w:r>
              <w:rPr>
                <w:rFonts w:ascii="Arial"/>
                <w:spacing w:val="-1"/>
                <w:w w:val="95"/>
                <w:sz w:val="20"/>
              </w:rPr>
              <w:t>165,633</w:t>
            </w:r>
            <w:r>
              <w:rPr>
                <w:rFonts w:ascii="Arial"/>
                <w:sz w:val="20"/>
              </w:rPr>
            </w:r>
          </w:p>
        </w:tc>
      </w:tr>
      <w:tr>
        <w:trPr>
          <w:trHeight w:val="469" w:hRule="exact"/>
        </w:trPr>
        <w:tc>
          <w:tcPr>
            <w:tcW w:w="3490"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2983"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90"/>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w w:val="95"/>
                <w:sz w:val="20"/>
                <w:u w:val="single" w:color="000000"/>
              </w:rPr>
              <w:t>1,551,234</w:t>
            </w:r>
            <w:r>
              <w:rPr>
                <w:rFonts w:ascii="Arial"/>
                <w:spacing w:val="-1"/>
                <w:w w:val="95"/>
                <w:sz w:val="20"/>
              </w:rPr>
            </w:r>
            <w:r>
              <w:rPr>
                <w:rFonts w:ascii="Arial"/>
                <w:sz w:val="20"/>
              </w:rPr>
            </w:r>
          </w:p>
        </w:tc>
        <w:tc>
          <w:tcPr>
            <w:tcW w:w="1692"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31"/>
              <w:ind w:right="19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957,317</w:t>
            </w:r>
            <w:r>
              <w:rPr>
                <w:rFonts w:ascii="Arial"/>
                <w:spacing w:val="-1"/>
                <w:w w:val="95"/>
                <w:sz w:val="20"/>
              </w:rPr>
            </w:r>
            <w:r>
              <w:rPr>
                <w:rFonts w:ascii="Arial"/>
                <w:sz w:val="20"/>
              </w:rPr>
            </w:r>
          </w:p>
        </w:tc>
      </w:tr>
      <w:tr>
        <w:trPr>
          <w:trHeight w:val="412" w:hRule="exact"/>
        </w:trPr>
        <w:tc>
          <w:tcPr>
            <w:tcW w:w="3490" w:type="dxa"/>
            <w:tcBorders>
              <w:top w:val="nil" w:sz="6" w:space="0" w:color="auto"/>
              <w:left w:val="nil" w:sz="6" w:space="0" w:color="auto"/>
              <w:bottom w:val="nil" w:sz="6" w:space="0" w:color="auto"/>
              <w:right w:val="nil" w:sz="6" w:space="0" w:color="auto"/>
            </w:tcBorders>
          </w:tcPr>
          <w:p>
            <w:pPr/>
          </w:p>
        </w:tc>
        <w:tc>
          <w:tcPr>
            <w:tcW w:w="298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b/>
                <w:bCs/>
                <w:sz w:val="14"/>
                <w:szCs w:val="14"/>
              </w:rPr>
            </w:pPr>
          </w:p>
          <w:p>
            <w:pPr>
              <w:pStyle w:val="TableParagraph"/>
              <w:spacing w:line="240" w:lineRule="auto"/>
              <w:ind w:right="492"/>
              <w:jc w:val="right"/>
              <w:rPr>
                <w:rFonts w:ascii="Arial" w:hAnsi="Arial" w:cs="Arial" w:eastAsia="Arial" w:hint="default"/>
                <w:sz w:val="20"/>
                <w:szCs w:val="20"/>
              </w:rPr>
            </w:pPr>
            <w:r>
              <w:rPr>
                <w:rFonts w:ascii="Arial"/>
                <w:w w:val="99"/>
                <w:sz w:val="20"/>
              </w:rPr>
            </w:r>
            <w:r>
              <w:rPr>
                <w:rFonts w:ascii="Arial"/>
                <w:spacing w:val="-1"/>
                <w:sz w:val="20"/>
                <w:u w:val="thick" w:color="000000"/>
              </w:rPr>
              <w:t>56,548,249</w:t>
            </w:r>
            <w:r>
              <w:rPr>
                <w:rFonts w:ascii="Arial"/>
                <w:spacing w:val="-1"/>
                <w:sz w:val="20"/>
              </w:rPr>
            </w:r>
            <w:r>
              <w:rPr>
                <w:rFonts w:ascii="Arial"/>
                <w:sz w:val="20"/>
              </w:rPr>
            </w:r>
          </w:p>
        </w:tc>
        <w:tc>
          <w:tcPr>
            <w:tcW w:w="169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b/>
                <w:bCs/>
                <w:sz w:val="14"/>
                <w:szCs w:val="14"/>
              </w:rPr>
            </w:pPr>
          </w:p>
          <w:p>
            <w:pPr>
              <w:pStyle w:val="TableParagraph"/>
              <w:spacing w:line="240" w:lineRule="auto"/>
              <w:ind w:right="200"/>
              <w:jc w:val="right"/>
              <w:rPr>
                <w:rFonts w:ascii="Arial" w:hAnsi="Arial" w:cs="Arial" w:eastAsia="Arial" w:hint="default"/>
                <w:sz w:val="20"/>
                <w:szCs w:val="20"/>
              </w:rPr>
            </w:pPr>
            <w:r>
              <w:rPr>
                <w:rFonts w:ascii="Arial"/>
                <w:w w:val="99"/>
                <w:sz w:val="20"/>
              </w:rPr>
            </w:r>
            <w:r>
              <w:rPr>
                <w:rFonts w:ascii="Arial"/>
                <w:spacing w:val="-1"/>
                <w:sz w:val="20"/>
                <w:u w:val="thick" w:color="000000"/>
              </w:rPr>
              <w:t>31,828,345</w:t>
            </w:r>
            <w:r>
              <w:rPr>
                <w:rFonts w:ascii="Arial"/>
                <w:spacing w:val="-1"/>
                <w:sz w:val="20"/>
              </w:rPr>
            </w:r>
            <w:r>
              <w:rPr>
                <w:rFonts w:ascii="Arial"/>
                <w:sz w:val="20"/>
              </w:rPr>
            </w:r>
          </w:p>
        </w:tc>
      </w:tr>
    </w:tbl>
    <w:p>
      <w:pPr>
        <w:spacing w:line="240" w:lineRule="auto" w:before="8"/>
        <w:rPr>
          <w:rFonts w:ascii="黑体" w:hAnsi="黑体" w:cs="黑体" w:eastAsia="黑体" w:hint="default"/>
          <w:b/>
          <w:bCs/>
          <w:sz w:val="24"/>
          <w:szCs w:val="24"/>
        </w:rPr>
      </w:pPr>
    </w:p>
    <w:p>
      <w:pPr>
        <w:pStyle w:val="BodyText"/>
        <w:spacing w:line="240" w:lineRule="auto" w:before="37"/>
        <w:ind w:left="802" w:right="0"/>
        <w:jc w:val="left"/>
      </w:pPr>
      <w:r>
        <w:rPr/>
        <w:t>借款费用资本化金额已计入在建工程。参见附注五、</w:t>
      </w:r>
      <w:r>
        <w:rPr>
          <w:rFonts w:ascii="Arial" w:hAnsi="Arial" w:cs="Arial" w:eastAsia="Arial" w:hint="default"/>
        </w:rPr>
        <w:t>11</w:t>
      </w:r>
      <w:r>
        <w:rPr/>
        <w:t>。</w:t>
      </w:r>
    </w:p>
    <w:p>
      <w:pPr>
        <w:spacing w:line="240" w:lineRule="auto" w:before="8"/>
        <w:rPr>
          <w:rFonts w:ascii="黑体" w:hAnsi="黑体" w:cs="黑体" w:eastAsia="黑体" w:hint="default"/>
          <w:sz w:val="26"/>
          <w:szCs w:val="26"/>
        </w:rPr>
      </w:pPr>
    </w:p>
    <w:p>
      <w:pPr>
        <w:pStyle w:val="Heading6"/>
        <w:tabs>
          <w:tab w:pos="811" w:val="left" w:leader="none"/>
        </w:tabs>
        <w:spacing w:line="240" w:lineRule="auto" w:before="0"/>
        <w:ind w:right="0"/>
        <w:jc w:val="left"/>
        <w:rPr>
          <w:b w:val="0"/>
          <w:bCs w:val="0"/>
        </w:rPr>
      </w:pPr>
      <w:r>
        <w:rPr>
          <w:rFonts w:ascii="Arial" w:hAnsi="Arial" w:cs="Arial" w:eastAsia="Arial" w:hint="default"/>
          <w:spacing w:val="-1"/>
          <w:w w:val="95"/>
        </w:rPr>
        <w:t>40.</w:t>
        <w:tab/>
      </w:r>
      <w:r>
        <w:rPr>
          <w:spacing w:val="1"/>
        </w:rPr>
        <w:t>资产减值损失</w:t>
      </w:r>
      <w:r>
        <w:rPr>
          <w:b w:val="0"/>
          <w:bCs w:val="0"/>
        </w:rPr>
      </w:r>
    </w:p>
    <w:p>
      <w:pPr>
        <w:spacing w:line="240" w:lineRule="auto" w:before="0"/>
        <w:rPr>
          <w:rFonts w:ascii="黑体" w:hAnsi="黑体" w:cs="黑体" w:eastAsia="黑体" w:hint="default"/>
          <w:b/>
          <w:bCs/>
          <w:sz w:val="20"/>
          <w:szCs w:val="20"/>
        </w:rPr>
      </w:pPr>
    </w:p>
    <w:p>
      <w:pPr>
        <w:spacing w:line="240" w:lineRule="auto" w:before="5"/>
        <w:rPr>
          <w:rFonts w:ascii="黑体" w:hAnsi="黑体" w:cs="黑体" w:eastAsia="黑体" w:hint="default"/>
          <w:b/>
          <w:bCs/>
          <w:sz w:val="11"/>
          <w:szCs w:val="11"/>
        </w:rPr>
      </w:pPr>
    </w:p>
    <w:tbl>
      <w:tblPr>
        <w:tblW w:w="0" w:type="auto"/>
        <w:jc w:val="left"/>
        <w:tblInd w:w="619" w:type="dxa"/>
        <w:tblLayout w:type="fixed"/>
        <w:tblCellMar>
          <w:top w:w="0" w:type="dxa"/>
          <w:left w:w="0" w:type="dxa"/>
          <w:bottom w:w="0" w:type="dxa"/>
          <w:right w:w="0" w:type="dxa"/>
        </w:tblCellMar>
        <w:tblLook w:val="01E0"/>
      </w:tblPr>
      <w:tblGrid>
        <w:gridCol w:w="2995"/>
        <w:gridCol w:w="3488"/>
        <w:gridCol w:w="1690"/>
      </w:tblGrid>
      <w:tr>
        <w:trPr>
          <w:trHeight w:val="416" w:hRule="exact"/>
        </w:trPr>
        <w:tc>
          <w:tcPr>
            <w:tcW w:w="2995" w:type="dxa"/>
            <w:tcBorders>
              <w:top w:val="nil" w:sz="6" w:space="0" w:color="auto"/>
              <w:left w:val="nil" w:sz="6" w:space="0" w:color="auto"/>
              <w:bottom w:val="nil" w:sz="6" w:space="0" w:color="auto"/>
              <w:right w:val="nil" w:sz="6" w:space="0" w:color="auto"/>
            </w:tcBorders>
          </w:tcPr>
          <w:p>
            <w:pPr/>
          </w:p>
        </w:tc>
        <w:tc>
          <w:tcPr>
            <w:tcW w:w="3488" w:type="dxa"/>
            <w:tcBorders>
              <w:top w:val="nil" w:sz="6" w:space="0" w:color="auto"/>
              <w:left w:val="nil" w:sz="6" w:space="0" w:color="auto"/>
              <w:bottom w:val="nil" w:sz="6" w:space="0" w:color="auto"/>
              <w:right w:val="nil" w:sz="6" w:space="0" w:color="auto"/>
            </w:tcBorders>
          </w:tcPr>
          <w:p>
            <w:pPr>
              <w:pStyle w:val="TableParagraph"/>
              <w:spacing w:line="214" w:lineRule="exact"/>
              <w:ind w:right="491"/>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1690" w:type="dxa"/>
            <w:tcBorders>
              <w:top w:val="nil" w:sz="6" w:space="0" w:color="auto"/>
              <w:left w:val="nil" w:sz="6" w:space="0" w:color="auto"/>
              <w:bottom w:val="nil" w:sz="6" w:space="0" w:color="auto"/>
              <w:right w:val="nil" w:sz="6" w:space="0" w:color="auto"/>
            </w:tcBorders>
          </w:tcPr>
          <w:p>
            <w:pPr>
              <w:pStyle w:val="TableParagraph"/>
              <w:spacing w:line="214" w:lineRule="exact"/>
              <w:ind w:right="198"/>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r>
      <w:tr>
        <w:trPr>
          <w:trHeight w:val="409"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200" w:right="0"/>
              <w:jc w:val="left"/>
              <w:rPr>
                <w:rFonts w:ascii="黑体" w:hAnsi="黑体" w:cs="黑体" w:eastAsia="黑体" w:hint="default"/>
                <w:sz w:val="20"/>
                <w:szCs w:val="20"/>
              </w:rPr>
            </w:pPr>
            <w:r>
              <w:rPr>
                <w:rFonts w:ascii="黑体" w:hAnsi="黑体" w:cs="黑体" w:eastAsia="黑体" w:hint="default"/>
                <w:sz w:val="20"/>
                <w:szCs w:val="20"/>
              </w:rPr>
              <w:t>坏账损失</w:t>
            </w:r>
          </w:p>
        </w:tc>
        <w:tc>
          <w:tcPr>
            <w:tcW w:w="348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b/>
                <w:bCs/>
                <w:sz w:val="14"/>
                <w:szCs w:val="14"/>
              </w:rPr>
            </w:pPr>
          </w:p>
          <w:p>
            <w:pPr>
              <w:pStyle w:val="TableParagraph"/>
              <w:spacing w:line="240" w:lineRule="auto"/>
              <w:ind w:right="490"/>
              <w:jc w:val="right"/>
              <w:rPr>
                <w:rFonts w:ascii="Arial" w:hAnsi="Arial" w:cs="Arial" w:eastAsia="Arial" w:hint="default"/>
                <w:sz w:val="20"/>
                <w:szCs w:val="20"/>
              </w:rPr>
            </w:pPr>
            <w:r>
              <w:rPr>
                <w:rFonts w:ascii="Arial"/>
                <w:w w:val="99"/>
                <w:sz w:val="20"/>
              </w:rPr>
            </w:r>
            <w:r>
              <w:rPr>
                <w:rFonts w:ascii="Arial"/>
                <w:spacing w:val="-1"/>
                <w:sz w:val="20"/>
                <w:u w:val="thick" w:color="000000"/>
              </w:rPr>
              <w:t>60,601,445</w:t>
            </w:r>
            <w:r>
              <w:rPr>
                <w:rFonts w:ascii="Arial"/>
                <w:spacing w:val="-1"/>
                <w:sz w:val="20"/>
              </w:rPr>
            </w:r>
            <w:r>
              <w:rPr>
                <w:rFonts w:ascii="Arial"/>
                <w:sz w:val="20"/>
              </w:rPr>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b/>
                <w:bCs/>
                <w:sz w:val="14"/>
                <w:szCs w:val="14"/>
              </w:rPr>
            </w:pPr>
          </w:p>
          <w:p>
            <w:pPr>
              <w:pStyle w:val="TableParagraph"/>
              <w:spacing w:line="240" w:lineRule="auto"/>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37,985,116</w:t>
            </w:r>
            <w:r>
              <w:rPr>
                <w:rFonts w:ascii="Arial"/>
                <w:spacing w:val="-1"/>
                <w:sz w:val="20"/>
              </w:rPr>
            </w:r>
            <w:r>
              <w:rPr>
                <w:rFonts w:ascii="Arial"/>
                <w:sz w:val="20"/>
              </w:rPr>
            </w:r>
          </w:p>
        </w:tc>
      </w:tr>
    </w:tbl>
    <w:p>
      <w:pPr>
        <w:spacing w:after="0" w:line="240" w:lineRule="auto"/>
        <w:jc w:val="right"/>
        <w:rPr>
          <w:rFonts w:ascii="Arial" w:hAnsi="Arial" w:cs="Arial" w:eastAsia="Arial" w:hint="default"/>
          <w:sz w:val="20"/>
          <w:szCs w:val="20"/>
        </w:rPr>
        <w:sectPr>
          <w:pgSz w:w="11910" w:h="16840"/>
          <w:pgMar w:header="825" w:footer="473" w:top="2420" w:bottom="660" w:left="1600" w:right="1280"/>
        </w:sectPr>
      </w:pPr>
    </w:p>
    <w:p>
      <w:pPr>
        <w:spacing w:line="240" w:lineRule="auto" w:before="6"/>
        <w:rPr>
          <w:rFonts w:ascii="黑体" w:hAnsi="黑体" w:cs="黑体" w:eastAsia="黑体" w:hint="default"/>
          <w:b/>
          <w:bCs/>
          <w:sz w:val="26"/>
          <w:szCs w:val="26"/>
        </w:rPr>
      </w:pPr>
    </w:p>
    <w:p>
      <w:pPr>
        <w:pStyle w:val="Heading6"/>
        <w:tabs>
          <w:tab w:pos="824" w:val="left" w:leader="none"/>
        </w:tabs>
        <w:spacing w:line="240" w:lineRule="auto"/>
        <w:ind w:left="121" w:right="94"/>
        <w:jc w:val="left"/>
        <w:rPr>
          <w:b w:val="0"/>
          <w:bCs w:val="0"/>
        </w:rPr>
      </w:pPr>
      <w:r>
        <w:rPr>
          <w:w w:val="95"/>
        </w:rPr>
        <w:t>五、</w:t>
        <w:tab/>
      </w:r>
      <w:r>
        <w:rPr/>
        <w:t>合并财务报表主要项目注释（续）</w:t>
      </w:r>
      <w:r>
        <w:rPr>
          <w:b w:val="0"/>
          <w:bCs w:val="0"/>
        </w:rPr>
      </w:r>
    </w:p>
    <w:p>
      <w:pPr>
        <w:spacing w:line="240" w:lineRule="auto" w:before="12"/>
        <w:rPr>
          <w:rFonts w:ascii="黑体" w:hAnsi="黑体" w:cs="黑体" w:eastAsia="黑体" w:hint="default"/>
          <w:b/>
          <w:bCs/>
          <w:sz w:val="24"/>
          <w:szCs w:val="24"/>
        </w:rPr>
      </w:pPr>
    </w:p>
    <w:p>
      <w:pPr>
        <w:pStyle w:val="Heading6"/>
        <w:tabs>
          <w:tab w:pos="846" w:val="left" w:leader="none"/>
        </w:tabs>
        <w:spacing w:line="240" w:lineRule="auto" w:before="0"/>
        <w:ind w:left="121" w:right="94"/>
        <w:jc w:val="left"/>
        <w:rPr>
          <w:b w:val="0"/>
          <w:bCs w:val="0"/>
        </w:rPr>
      </w:pPr>
      <w:r>
        <w:rPr>
          <w:rFonts w:ascii="Arial" w:hAnsi="Arial" w:cs="Arial" w:eastAsia="Arial" w:hint="default"/>
          <w:spacing w:val="-1"/>
          <w:w w:val="95"/>
        </w:rPr>
        <w:t>41</w:t>
      </w:r>
      <w:r>
        <w:rPr>
          <w:spacing w:val="-1"/>
          <w:w w:val="95"/>
        </w:rPr>
        <w:t>．</w:t>
        <w:tab/>
      </w:r>
      <w:r>
        <w:rPr>
          <w:spacing w:val="2"/>
        </w:rPr>
        <w:t>投资收益</w:t>
      </w:r>
      <w:r>
        <w:rPr>
          <w:b w:val="0"/>
          <w:bCs w:val="0"/>
        </w:rPr>
      </w:r>
    </w:p>
    <w:p>
      <w:pPr>
        <w:spacing w:line="240" w:lineRule="auto" w:before="5"/>
        <w:rPr>
          <w:rFonts w:ascii="黑体" w:hAnsi="黑体" w:cs="黑体" w:eastAsia="黑体" w:hint="default"/>
          <w:b/>
          <w:bCs/>
          <w:sz w:val="26"/>
          <w:szCs w:val="26"/>
        </w:rPr>
      </w:pPr>
    </w:p>
    <w:tbl>
      <w:tblPr>
        <w:tblW w:w="0" w:type="auto"/>
        <w:jc w:val="left"/>
        <w:tblInd w:w="622" w:type="dxa"/>
        <w:tblLayout w:type="fixed"/>
        <w:tblCellMar>
          <w:top w:w="0" w:type="dxa"/>
          <w:left w:w="0" w:type="dxa"/>
          <w:bottom w:w="0" w:type="dxa"/>
          <w:right w:w="0" w:type="dxa"/>
        </w:tblCellMar>
        <w:tblLook w:val="01E0"/>
      </w:tblPr>
      <w:tblGrid>
        <w:gridCol w:w="4714"/>
        <w:gridCol w:w="1906"/>
        <w:gridCol w:w="1578"/>
      </w:tblGrid>
      <w:tr>
        <w:trPr>
          <w:trHeight w:val="385" w:hRule="exact"/>
        </w:trPr>
        <w:tc>
          <w:tcPr>
            <w:tcW w:w="4714"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Style w:val="TableParagraph"/>
              <w:spacing w:line="214" w:lineRule="exact"/>
              <w:ind w:right="487"/>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1578" w:type="dxa"/>
            <w:tcBorders>
              <w:top w:val="nil" w:sz="6" w:space="0" w:color="auto"/>
              <w:left w:val="nil" w:sz="6" w:space="0" w:color="auto"/>
              <w:bottom w:val="nil" w:sz="6" w:space="0" w:color="auto"/>
              <w:right w:val="nil" w:sz="6" w:space="0" w:color="auto"/>
            </w:tcBorders>
          </w:tcPr>
          <w:p>
            <w:pPr>
              <w:pStyle w:val="TableParagraph"/>
              <w:spacing w:line="214" w:lineRule="exact"/>
              <w:ind w:right="224"/>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r>
      <w:tr>
        <w:trPr>
          <w:trHeight w:val="431" w:hRule="exact"/>
        </w:trPr>
        <w:tc>
          <w:tcPr>
            <w:tcW w:w="4714"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200" w:right="0"/>
              <w:jc w:val="left"/>
              <w:rPr>
                <w:rFonts w:ascii="Arial" w:hAnsi="Arial" w:cs="Arial" w:eastAsia="Arial" w:hint="default"/>
                <w:sz w:val="20"/>
                <w:szCs w:val="20"/>
              </w:rPr>
            </w:pPr>
            <w:r>
              <w:rPr>
                <w:rFonts w:ascii="黑体" w:hAnsi="黑体" w:cs="黑体" w:eastAsia="黑体" w:hint="default"/>
                <w:sz w:val="20"/>
                <w:szCs w:val="20"/>
              </w:rPr>
              <w:t>权益法核算的长期股权投资收益</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1)</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b/>
                <w:bCs/>
                <w:sz w:val="13"/>
                <w:szCs w:val="13"/>
              </w:rPr>
            </w:pPr>
          </w:p>
          <w:p>
            <w:pPr>
              <w:pStyle w:val="TableParagraph"/>
              <w:spacing w:line="240" w:lineRule="auto"/>
              <w:ind w:right="487"/>
              <w:jc w:val="right"/>
              <w:rPr>
                <w:rFonts w:ascii="Arial" w:hAnsi="Arial" w:cs="Arial" w:eastAsia="Arial" w:hint="default"/>
                <w:sz w:val="20"/>
                <w:szCs w:val="20"/>
              </w:rPr>
            </w:pPr>
            <w:r>
              <w:rPr>
                <w:rFonts w:ascii="Arial"/>
                <w:spacing w:val="-1"/>
                <w:sz w:val="20"/>
              </w:rPr>
              <w:t>3,681,734</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b/>
                <w:bCs/>
                <w:sz w:val="13"/>
                <w:szCs w:val="13"/>
              </w:rPr>
            </w:pPr>
          </w:p>
          <w:p>
            <w:pPr>
              <w:pStyle w:val="TableParagraph"/>
              <w:spacing w:line="240" w:lineRule="auto"/>
              <w:ind w:right="224"/>
              <w:jc w:val="right"/>
              <w:rPr>
                <w:rFonts w:ascii="Arial" w:hAnsi="Arial" w:cs="Arial" w:eastAsia="Arial" w:hint="default"/>
                <w:sz w:val="20"/>
                <w:szCs w:val="20"/>
              </w:rPr>
            </w:pPr>
            <w:r>
              <w:rPr>
                <w:rFonts w:ascii="Arial"/>
                <w:spacing w:val="-1"/>
                <w:sz w:val="20"/>
              </w:rPr>
              <w:t>6,168,930</w:t>
            </w:r>
          </w:p>
        </w:tc>
      </w:tr>
      <w:tr>
        <w:trPr>
          <w:trHeight w:val="280" w:hRule="exact"/>
        </w:trPr>
        <w:tc>
          <w:tcPr>
            <w:tcW w:w="4714" w:type="dxa"/>
            <w:tcBorders>
              <w:top w:val="nil" w:sz="6" w:space="0" w:color="auto"/>
              <w:left w:val="nil" w:sz="6" w:space="0" w:color="auto"/>
              <w:bottom w:val="nil" w:sz="6" w:space="0" w:color="auto"/>
              <w:right w:val="nil" w:sz="6" w:space="0" w:color="auto"/>
            </w:tcBorders>
          </w:tcPr>
          <w:p>
            <w:pPr>
              <w:pStyle w:val="TableParagraph"/>
              <w:spacing w:line="223" w:lineRule="exact"/>
              <w:ind w:left="401" w:right="0"/>
              <w:jc w:val="left"/>
              <w:rPr>
                <w:rFonts w:ascii="黑体" w:hAnsi="黑体" w:cs="黑体" w:eastAsia="黑体" w:hint="default"/>
                <w:sz w:val="20"/>
                <w:szCs w:val="20"/>
              </w:rPr>
            </w:pPr>
            <w:r>
              <w:rPr>
                <w:rFonts w:ascii="黑体" w:hAnsi="黑体" w:cs="黑体" w:eastAsia="黑体" w:hint="default"/>
                <w:sz w:val="20"/>
                <w:szCs w:val="20"/>
              </w:rPr>
              <w:t>其中：联营企业投资收益</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87"/>
              <w:jc w:val="right"/>
              <w:rPr>
                <w:rFonts w:ascii="Arial" w:hAnsi="Arial" w:cs="Arial" w:eastAsia="Arial" w:hint="default"/>
                <w:sz w:val="20"/>
                <w:szCs w:val="20"/>
              </w:rPr>
            </w:pPr>
            <w:r>
              <w:rPr>
                <w:rFonts w:ascii="Arial"/>
                <w:spacing w:val="-1"/>
                <w:sz w:val="20"/>
              </w:rPr>
              <w:t>3,681,734</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24"/>
              <w:jc w:val="right"/>
              <w:rPr>
                <w:rFonts w:ascii="Arial" w:hAnsi="Arial" w:cs="Arial" w:eastAsia="Arial" w:hint="default"/>
                <w:sz w:val="20"/>
                <w:szCs w:val="20"/>
              </w:rPr>
            </w:pPr>
            <w:r>
              <w:rPr>
                <w:rFonts w:ascii="Arial"/>
                <w:spacing w:val="-1"/>
                <w:sz w:val="20"/>
              </w:rPr>
              <w:t>6,168,930</w:t>
            </w:r>
          </w:p>
        </w:tc>
      </w:tr>
      <w:tr>
        <w:trPr>
          <w:trHeight w:val="281" w:hRule="exact"/>
        </w:trPr>
        <w:tc>
          <w:tcPr>
            <w:tcW w:w="4714"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Arial" w:hAnsi="Arial" w:cs="Arial" w:eastAsia="Arial" w:hint="default"/>
                <w:sz w:val="20"/>
                <w:szCs w:val="20"/>
              </w:rPr>
            </w:pPr>
            <w:r>
              <w:rPr>
                <w:rFonts w:ascii="黑体" w:hAnsi="黑体" w:cs="黑体" w:eastAsia="黑体" w:hint="default"/>
                <w:sz w:val="20"/>
                <w:szCs w:val="20"/>
              </w:rPr>
              <w:t>处置其他长期股权投资产生的投资收益</w:t>
            </w:r>
            <w:r>
              <w:rPr>
                <w:rFonts w:ascii="Arial" w:hAnsi="Arial" w:cs="Arial" w:eastAsia="Arial" w:hint="default"/>
                <w:sz w:val="20"/>
                <w:szCs w:val="20"/>
              </w:rPr>
              <w:t>/(</w:t>
            </w:r>
            <w:r>
              <w:rPr>
                <w:rFonts w:ascii="黑体" w:hAnsi="黑体" w:cs="黑体" w:eastAsia="黑体" w:hint="default"/>
                <w:sz w:val="20"/>
                <w:szCs w:val="20"/>
              </w:rPr>
              <w:t>损失</w:t>
            </w:r>
            <w:r>
              <w:rPr>
                <w:rFonts w:ascii="Arial" w:hAnsi="Arial" w:cs="Arial" w:eastAsia="Arial" w:hint="default"/>
                <w:sz w:val="20"/>
                <w:szCs w:val="20"/>
              </w:rPr>
              <w:t>)</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486"/>
              <w:jc w:val="right"/>
              <w:rPr>
                <w:rFonts w:ascii="Arial" w:hAnsi="Arial" w:cs="Arial" w:eastAsia="Arial" w:hint="default"/>
                <w:sz w:val="20"/>
                <w:szCs w:val="20"/>
              </w:rPr>
            </w:pPr>
            <w:r>
              <w:rPr>
                <w:rFonts w:ascii="Arial"/>
                <w:w w:val="99"/>
                <w:sz w:val="20"/>
              </w:rPr>
              <w:t>-</w:t>
            </w:r>
            <w:r>
              <w:rPr>
                <w:rFonts w:ascii="Arial"/>
                <w:sz w:val="20"/>
              </w:rPr>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24"/>
              <w:jc w:val="right"/>
              <w:rPr>
                <w:rFonts w:ascii="Arial" w:hAnsi="Arial" w:cs="Arial" w:eastAsia="Arial" w:hint="default"/>
                <w:sz w:val="20"/>
                <w:szCs w:val="20"/>
              </w:rPr>
            </w:pPr>
            <w:r>
              <w:rPr>
                <w:rFonts w:ascii="Arial"/>
                <w:spacing w:val="-1"/>
                <w:w w:val="95"/>
                <w:sz w:val="20"/>
              </w:rPr>
              <w:t>550,000</w:t>
            </w:r>
            <w:r>
              <w:rPr>
                <w:rFonts w:ascii="Arial"/>
                <w:sz w:val="20"/>
              </w:rPr>
            </w:r>
          </w:p>
        </w:tc>
      </w:tr>
      <w:tr>
        <w:trPr>
          <w:trHeight w:val="280" w:hRule="exact"/>
        </w:trPr>
        <w:tc>
          <w:tcPr>
            <w:tcW w:w="4714" w:type="dxa"/>
            <w:tcBorders>
              <w:top w:val="nil" w:sz="6" w:space="0" w:color="auto"/>
              <w:left w:val="nil" w:sz="6" w:space="0" w:color="auto"/>
              <w:bottom w:val="nil" w:sz="6" w:space="0" w:color="auto"/>
              <w:right w:val="nil" w:sz="6" w:space="0" w:color="auto"/>
            </w:tcBorders>
          </w:tcPr>
          <w:p>
            <w:pPr>
              <w:pStyle w:val="TableParagraph"/>
              <w:spacing w:line="239" w:lineRule="exact"/>
              <w:ind w:left="207" w:right="0"/>
              <w:jc w:val="left"/>
              <w:rPr>
                <w:rFonts w:ascii="Arial" w:hAnsi="Arial" w:cs="Arial" w:eastAsia="Arial" w:hint="default"/>
                <w:sz w:val="20"/>
                <w:szCs w:val="20"/>
              </w:rPr>
            </w:pPr>
            <w:r>
              <w:rPr>
                <w:rFonts w:ascii="黑体" w:hAnsi="黑体" w:cs="黑体" w:eastAsia="黑体" w:hint="default"/>
                <w:sz w:val="20"/>
                <w:szCs w:val="20"/>
              </w:rPr>
              <w:t>成本法核算的长期股权投资收益</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2)</w:t>
            </w: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487"/>
              <w:jc w:val="right"/>
              <w:rPr>
                <w:rFonts w:ascii="Arial" w:hAnsi="Arial" w:cs="Arial" w:eastAsia="Arial" w:hint="default"/>
                <w:sz w:val="20"/>
                <w:szCs w:val="20"/>
              </w:rPr>
            </w:pPr>
            <w:r>
              <w:rPr>
                <w:rFonts w:ascii="Arial"/>
                <w:spacing w:val="-1"/>
                <w:sz w:val="20"/>
              </w:rPr>
              <w:t>1,848,463</w:t>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24"/>
              <w:jc w:val="right"/>
              <w:rPr>
                <w:rFonts w:ascii="Arial" w:hAnsi="Arial" w:cs="Arial" w:eastAsia="Arial" w:hint="default"/>
                <w:sz w:val="20"/>
                <w:szCs w:val="20"/>
              </w:rPr>
            </w:pPr>
            <w:r>
              <w:rPr>
                <w:rFonts w:ascii="Arial"/>
                <w:spacing w:val="-1"/>
                <w:sz w:val="20"/>
              </w:rPr>
              <w:t>959,167</w:t>
            </w:r>
          </w:p>
        </w:tc>
      </w:tr>
      <w:tr>
        <w:trPr>
          <w:trHeight w:val="425" w:hRule="exact"/>
        </w:trPr>
        <w:tc>
          <w:tcPr>
            <w:tcW w:w="4714" w:type="dxa"/>
            <w:tcBorders>
              <w:top w:val="nil" w:sz="6" w:space="0" w:color="auto"/>
              <w:left w:val="nil" w:sz="6" w:space="0" w:color="auto"/>
              <w:bottom w:val="nil" w:sz="6" w:space="0" w:color="auto"/>
              <w:right w:val="nil" w:sz="6" w:space="0" w:color="auto"/>
            </w:tcBorders>
          </w:tcPr>
          <w:p>
            <w:pPr>
              <w:pStyle w:val="TableParagraph"/>
              <w:spacing w:line="223" w:lineRule="exact"/>
              <w:ind w:left="200"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906" w:type="dxa"/>
            <w:tcBorders>
              <w:top w:val="nil" w:sz="6" w:space="0" w:color="auto"/>
              <w:left w:val="nil" w:sz="6" w:space="0" w:color="auto"/>
              <w:bottom w:val="nil" w:sz="6" w:space="0" w:color="auto"/>
              <w:right w:val="nil" w:sz="6" w:space="0" w:color="auto"/>
            </w:tcBorders>
          </w:tcPr>
          <w:p>
            <w:pPr>
              <w:pStyle w:val="TableParagraph"/>
              <w:tabs>
                <w:tab w:pos="273" w:val="left" w:leader="none"/>
              </w:tabs>
              <w:spacing w:line="240" w:lineRule="auto" w:before="29"/>
              <w:ind w:right="485"/>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73,901</w:t>
            </w:r>
            <w:r>
              <w:rPr>
                <w:rFonts w:ascii="Arial"/>
                <w:spacing w:val="-1"/>
                <w:w w:val="95"/>
                <w:sz w:val="20"/>
              </w:rPr>
            </w:r>
            <w:r>
              <w:rPr>
                <w:rFonts w:ascii="Arial"/>
                <w:sz w:val="20"/>
              </w:rPr>
            </w:r>
          </w:p>
        </w:tc>
        <w:tc>
          <w:tcPr>
            <w:tcW w:w="1578" w:type="dxa"/>
            <w:tcBorders>
              <w:top w:val="nil" w:sz="6" w:space="0" w:color="auto"/>
              <w:left w:val="nil" w:sz="6" w:space="0" w:color="auto"/>
              <w:bottom w:val="nil" w:sz="6" w:space="0" w:color="auto"/>
              <w:right w:val="nil" w:sz="6" w:space="0" w:color="auto"/>
            </w:tcBorders>
          </w:tcPr>
          <w:p>
            <w:pPr>
              <w:pStyle w:val="TableParagraph"/>
              <w:tabs>
                <w:tab w:pos="801" w:val="left" w:leader="none"/>
              </w:tabs>
              <w:spacing w:line="240" w:lineRule="auto" w:before="29"/>
              <w:ind w:right="220"/>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r>
      <w:tr>
        <w:trPr>
          <w:trHeight w:val="370" w:hRule="exact"/>
        </w:trPr>
        <w:tc>
          <w:tcPr>
            <w:tcW w:w="4714" w:type="dxa"/>
            <w:tcBorders>
              <w:top w:val="nil" w:sz="6" w:space="0" w:color="auto"/>
              <w:left w:val="nil" w:sz="6" w:space="0" w:color="auto"/>
              <w:bottom w:val="nil" w:sz="6" w:space="0" w:color="auto"/>
              <w:right w:val="nil" w:sz="6" w:space="0" w:color="auto"/>
            </w:tcBorders>
          </w:tcPr>
          <w:p>
            <w:pPr/>
          </w:p>
        </w:tc>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461"/>
              <w:jc w:val="right"/>
              <w:rPr>
                <w:rFonts w:ascii="Arial" w:hAnsi="Arial" w:cs="Arial" w:eastAsia="Arial" w:hint="default"/>
                <w:sz w:val="20"/>
                <w:szCs w:val="20"/>
              </w:rPr>
            </w:pPr>
            <w:r>
              <w:rPr>
                <w:rFonts w:ascii="Arial"/>
                <w:w w:val="99"/>
                <w:sz w:val="20"/>
              </w:rPr>
            </w:r>
            <w:r>
              <w:rPr>
                <w:rFonts w:ascii="Arial"/>
                <w:spacing w:val="-1"/>
                <w:sz w:val="20"/>
                <w:u w:val="thick" w:color="000000"/>
              </w:rPr>
              <w:t>5,604,098</w:t>
            </w:r>
            <w:r>
              <w:rPr>
                <w:rFonts w:ascii="Arial"/>
                <w:spacing w:val="-1"/>
                <w:sz w:val="20"/>
              </w:rPr>
            </w: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7,678,097</w:t>
            </w:r>
            <w:r>
              <w:rPr>
                <w:rFonts w:ascii="Arial"/>
                <w:spacing w:val="-1"/>
                <w:sz w:val="20"/>
              </w:rPr>
            </w:r>
          </w:p>
        </w:tc>
      </w:tr>
    </w:tbl>
    <w:p>
      <w:pPr>
        <w:spacing w:line="240" w:lineRule="auto" w:before="8"/>
        <w:rPr>
          <w:rFonts w:ascii="黑体" w:hAnsi="黑体" w:cs="黑体" w:eastAsia="黑体" w:hint="default"/>
          <w:b/>
          <w:bCs/>
          <w:sz w:val="13"/>
          <w:szCs w:val="13"/>
        </w:rPr>
      </w:pPr>
    </w:p>
    <w:p>
      <w:pPr>
        <w:pStyle w:val="BodyText"/>
        <w:spacing w:line="240" w:lineRule="exact" w:before="79"/>
        <w:ind w:left="1398" w:right="94" w:hanging="569"/>
        <w:jc w:val="left"/>
      </w:pPr>
      <w:r>
        <w:rPr/>
        <w:t>注</w:t>
      </w:r>
      <w:r>
        <w:rPr>
          <w:rFonts w:ascii="Arial" w:hAnsi="Arial" w:cs="Arial" w:eastAsia="Arial" w:hint="default"/>
        </w:rPr>
        <w:t>1</w:t>
      </w:r>
      <w:r>
        <w:rPr/>
        <w:t>．</w:t>
      </w:r>
      <w:r>
        <w:rPr>
          <w:spacing w:val="-77"/>
        </w:rPr>
        <w:t> </w:t>
      </w:r>
      <w:r>
        <w:rPr/>
        <w:t>权益法核算的长期股权投资收益中，无投资收益占利润总额</w:t>
      </w:r>
      <w:r>
        <w:rPr>
          <w:rFonts w:ascii="Arial" w:hAnsi="Arial" w:cs="Arial" w:eastAsia="Arial" w:hint="default"/>
        </w:rPr>
        <w:t>5%</w:t>
      </w:r>
      <w:r>
        <w:rPr/>
        <w:t>以上的投资单位，具体被</w:t>
      </w:r>
      <w:r>
        <w:rPr>
          <w:w w:val="99"/>
        </w:rPr>
        <w:t> </w:t>
      </w:r>
      <w:r>
        <w:rPr/>
        <w:t>投资单位及所获投资收益明细如下：</w:t>
      </w:r>
    </w:p>
    <w:p>
      <w:pPr>
        <w:spacing w:line="240" w:lineRule="auto" w:before="3"/>
        <w:rPr>
          <w:rFonts w:ascii="黑体" w:hAnsi="黑体" w:cs="黑体" w:eastAsia="黑体" w:hint="default"/>
          <w:sz w:val="21"/>
          <w:szCs w:val="21"/>
        </w:rPr>
      </w:pPr>
    </w:p>
    <w:tbl>
      <w:tblPr>
        <w:tblW w:w="0" w:type="auto"/>
        <w:jc w:val="left"/>
        <w:tblInd w:w="632" w:type="dxa"/>
        <w:tblLayout w:type="fixed"/>
        <w:tblCellMar>
          <w:top w:w="0" w:type="dxa"/>
          <w:left w:w="0" w:type="dxa"/>
          <w:bottom w:w="0" w:type="dxa"/>
          <w:right w:w="0" w:type="dxa"/>
        </w:tblCellMar>
        <w:tblLook w:val="01E0"/>
      </w:tblPr>
      <w:tblGrid>
        <w:gridCol w:w="2202"/>
        <w:gridCol w:w="1816"/>
        <w:gridCol w:w="513"/>
        <w:gridCol w:w="1261"/>
        <w:gridCol w:w="2401"/>
      </w:tblGrid>
      <w:tr>
        <w:trPr>
          <w:trHeight w:val="359" w:hRule="exact"/>
        </w:trPr>
        <w:tc>
          <w:tcPr>
            <w:tcW w:w="2202" w:type="dxa"/>
            <w:tcBorders>
              <w:top w:val="nil" w:sz="6" w:space="0" w:color="auto"/>
              <w:left w:val="nil" w:sz="6" w:space="0" w:color="auto"/>
              <w:bottom w:val="nil" w:sz="6" w:space="0" w:color="auto"/>
              <w:right w:val="nil" w:sz="6" w:space="0" w:color="auto"/>
            </w:tcBorders>
          </w:tcPr>
          <w:p>
            <w:pPr>
              <w:pStyle w:val="TableParagraph"/>
              <w:spacing w:line="199" w:lineRule="exact"/>
              <w:ind w:left="200" w:right="0"/>
              <w:jc w:val="left"/>
              <w:rPr>
                <w:rFonts w:ascii="黑体" w:hAnsi="黑体" w:cs="黑体" w:eastAsia="黑体" w:hint="default"/>
                <w:sz w:val="20"/>
                <w:szCs w:val="20"/>
              </w:rPr>
            </w:pPr>
            <w:r>
              <w:rPr>
                <w:rFonts w:ascii="黑体" w:hAnsi="黑体" w:cs="黑体" w:eastAsia="黑体" w:hint="default"/>
                <w:sz w:val="20"/>
                <w:szCs w:val="20"/>
              </w:rPr>
              <w:t>被投资单位</w:t>
            </w:r>
          </w:p>
        </w:tc>
        <w:tc>
          <w:tcPr>
            <w:tcW w:w="1816" w:type="dxa"/>
            <w:tcBorders>
              <w:top w:val="nil" w:sz="6" w:space="0" w:color="auto"/>
              <w:left w:val="nil" w:sz="6" w:space="0" w:color="auto"/>
              <w:bottom w:val="nil" w:sz="6" w:space="0" w:color="auto"/>
              <w:right w:val="nil" w:sz="6" w:space="0" w:color="auto"/>
            </w:tcBorders>
          </w:tcPr>
          <w:p>
            <w:pPr>
              <w:pStyle w:val="TableParagraph"/>
              <w:spacing w:line="214" w:lineRule="exact"/>
              <w:ind w:right="1"/>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513"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14" w:lineRule="exact"/>
              <w:ind w:right="206"/>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c>
          <w:tcPr>
            <w:tcW w:w="2401" w:type="dxa"/>
            <w:tcBorders>
              <w:top w:val="nil" w:sz="6" w:space="0" w:color="auto"/>
              <w:left w:val="nil" w:sz="6" w:space="0" w:color="auto"/>
              <w:bottom w:val="nil" w:sz="6" w:space="0" w:color="auto"/>
              <w:right w:val="nil" w:sz="6" w:space="0" w:color="auto"/>
            </w:tcBorders>
          </w:tcPr>
          <w:p>
            <w:pPr>
              <w:pStyle w:val="TableParagraph"/>
              <w:spacing w:line="199" w:lineRule="exact"/>
              <w:ind w:right="198"/>
              <w:jc w:val="right"/>
              <w:rPr>
                <w:rFonts w:ascii="黑体" w:hAnsi="黑体" w:cs="黑体" w:eastAsia="黑体" w:hint="default"/>
                <w:sz w:val="20"/>
                <w:szCs w:val="20"/>
              </w:rPr>
            </w:pPr>
            <w:r>
              <w:rPr>
                <w:rFonts w:ascii="黑体" w:hAnsi="黑体" w:cs="黑体" w:eastAsia="黑体" w:hint="default"/>
                <w:w w:val="95"/>
                <w:sz w:val="20"/>
                <w:szCs w:val="20"/>
              </w:rPr>
              <w:t>增减变动原因</w:t>
            </w:r>
            <w:r>
              <w:rPr>
                <w:rFonts w:ascii="黑体" w:hAnsi="黑体" w:cs="黑体" w:eastAsia="黑体" w:hint="default"/>
                <w:sz w:val="20"/>
                <w:szCs w:val="20"/>
              </w:rPr>
            </w:r>
          </w:p>
        </w:tc>
      </w:tr>
      <w:tr>
        <w:trPr>
          <w:trHeight w:val="382" w:hRule="exact"/>
        </w:trPr>
        <w:tc>
          <w:tcPr>
            <w:tcW w:w="220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0" w:right="0"/>
              <w:jc w:val="left"/>
              <w:rPr>
                <w:rFonts w:ascii="黑体" w:hAnsi="黑体" w:cs="黑体" w:eastAsia="黑体" w:hint="default"/>
                <w:sz w:val="20"/>
                <w:szCs w:val="20"/>
              </w:rPr>
            </w:pPr>
            <w:r>
              <w:rPr>
                <w:rFonts w:ascii="黑体" w:hAnsi="黑体" w:cs="黑体" w:eastAsia="黑体" w:hint="default"/>
                <w:sz w:val="20"/>
                <w:szCs w:val="20"/>
              </w:rPr>
              <w:t>致远协创</w:t>
            </w: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
              <w:jc w:val="right"/>
              <w:rPr>
                <w:rFonts w:ascii="Arial" w:hAnsi="Arial" w:cs="Arial" w:eastAsia="Arial" w:hint="default"/>
                <w:sz w:val="20"/>
                <w:szCs w:val="20"/>
              </w:rPr>
            </w:pPr>
            <w:r>
              <w:rPr>
                <w:rFonts w:ascii="Arial"/>
                <w:spacing w:val="-1"/>
                <w:sz w:val="20"/>
              </w:rPr>
              <w:t>6,622,027</w:t>
            </w:r>
          </w:p>
        </w:tc>
        <w:tc>
          <w:tcPr>
            <w:tcW w:w="513"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206"/>
              <w:jc w:val="right"/>
              <w:rPr>
                <w:rFonts w:ascii="Arial" w:hAnsi="Arial" w:cs="Arial" w:eastAsia="Arial" w:hint="default"/>
                <w:sz w:val="20"/>
                <w:szCs w:val="20"/>
              </w:rPr>
            </w:pPr>
            <w:r>
              <w:rPr>
                <w:rFonts w:ascii="Arial"/>
                <w:spacing w:val="-1"/>
                <w:sz w:val="20"/>
              </w:rPr>
              <w:t>5,118,385</w:t>
            </w:r>
          </w:p>
        </w:tc>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8"/>
              <w:jc w:val="right"/>
              <w:rPr>
                <w:rFonts w:ascii="黑体" w:hAnsi="黑体" w:cs="黑体" w:eastAsia="黑体" w:hint="default"/>
                <w:sz w:val="20"/>
                <w:szCs w:val="20"/>
              </w:rPr>
            </w:pPr>
            <w:r>
              <w:rPr>
                <w:rFonts w:ascii="黑体" w:hAnsi="黑体" w:cs="黑体" w:eastAsia="黑体" w:hint="default"/>
                <w:w w:val="95"/>
                <w:sz w:val="20"/>
                <w:szCs w:val="20"/>
              </w:rPr>
              <w:t>本年度分享之利润增加</w:t>
            </w:r>
            <w:r>
              <w:rPr>
                <w:rFonts w:ascii="黑体" w:hAnsi="黑体" w:cs="黑体" w:eastAsia="黑体" w:hint="default"/>
                <w:sz w:val="20"/>
                <w:szCs w:val="20"/>
              </w:rPr>
            </w:r>
          </w:p>
        </w:tc>
      </w:tr>
      <w:tr>
        <w:trPr>
          <w:trHeight w:val="256" w:hRule="exact"/>
        </w:trPr>
        <w:tc>
          <w:tcPr>
            <w:tcW w:w="2202"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z w:val="20"/>
                <w:szCs w:val="20"/>
              </w:rPr>
              <w:t>西玛商用表单</w:t>
            </w: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
              <w:jc w:val="right"/>
              <w:rPr>
                <w:rFonts w:ascii="Arial" w:hAnsi="Arial" w:cs="Arial" w:eastAsia="Arial" w:hint="default"/>
                <w:sz w:val="20"/>
                <w:szCs w:val="20"/>
              </w:rPr>
            </w:pPr>
            <w:r>
              <w:rPr>
                <w:rFonts w:ascii="Arial"/>
                <w:spacing w:val="-1"/>
                <w:sz w:val="20"/>
              </w:rPr>
              <w:t>2,134,463</w:t>
            </w:r>
          </w:p>
        </w:tc>
        <w:tc>
          <w:tcPr>
            <w:tcW w:w="513"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06"/>
              <w:jc w:val="right"/>
              <w:rPr>
                <w:rFonts w:ascii="Arial" w:hAnsi="Arial" w:cs="Arial" w:eastAsia="Arial" w:hint="default"/>
                <w:sz w:val="20"/>
                <w:szCs w:val="20"/>
              </w:rPr>
            </w:pPr>
            <w:r>
              <w:rPr>
                <w:rFonts w:ascii="Arial"/>
                <w:spacing w:val="-1"/>
                <w:sz w:val="20"/>
              </w:rPr>
              <w:t>1,004,777</w:t>
            </w:r>
          </w:p>
        </w:tc>
        <w:tc>
          <w:tcPr>
            <w:tcW w:w="2401" w:type="dxa"/>
            <w:tcBorders>
              <w:top w:val="nil" w:sz="6" w:space="0" w:color="auto"/>
              <w:left w:val="nil" w:sz="6" w:space="0" w:color="auto"/>
              <w:bottom w:val="nil" w:sz="6" w:space="0" w:color="auto"/>
              <w:right w:val="nil" w:sz="6" w:space="0" w:color="auto"/>
            </w:tcBorders>
          </w:tcPr>
          <w:p>
            <w:pPr>
              <w:pStyle w:val="TableParagraph"/>
              <w:spacing w:line="222" w:lineRule="exact"/>
              <w:ind w:right="198"/>
              <w:jc w:val="right"/>
              <w:rPr>
                <w:rFonts w:ascii="黑体" w:hAnsi="黑体" w:cs="黑体" w:eastAsia="黑体" w:hint="default"/>
                <w:sz w:val="20"/>
                <w:szCs w:val="20"/>
              </w:rPr>
            </w:pPr>
            <w:r>
              <w:rPr>
                <w:rFonts w:ascii="黑体" w:hAnsi="黑体" w:cs="黑体" w:eastAsia="黑体" w:hint="default"/>
                <w:w w:val="95"/>
                <w:sz w:val="20"/>
                <w:szCs w:val="20"/>
              </w:rPr>
              <w:t>本年度分享之利润增加</w:t>
            </w:r>
            <w:r>
              <w:rPr>
                <w:rFonts w:ascii="黑体" w:hAnsi="黑体" w:cs="黑体" w:eastAsia="黑体" w:hint="default"/>
                <w:sz w:val="20"/>
                <w:szCs w:val="20"/>
              </w:rPr>
            </w:r>
          </w:p>
        </w:tc>
      </w:tr>
      <w:tr>
        <w:trPr>
          <w:trHeight w:val="256" w:hRule="exact"/>
        </w:trPr>
        <w:tc>
          <w:tcPr>
            <w:tcW w:w="2202" w:type="dxa"/>
            <w:tcBorders>
              <w:top w:val="nil" w:sz="6" w:space="0" w:color="auto"/>
              <w:left w:val="nil" w:sz="6" w:space="0" w:color="auto"/>
              <w:bottom w:val="nil" w:sz="6" w:space="0" w:color="auto"/>
              <w:right w:val="nil" w:sz="6" w:space="0" w:color="auto"/>
            </w:tcBorders>
          </w:tcPr>
          <w:p>
            <w:pPr>
              <w:pStyle w:val="TableParagraph"/>
              <w:spacing w:line="223" w:lineRule="exact"/>
              <w:ind w:left="200" w:right="0"/>
              <w:jc w:val="left"/>
              <w:rPr>
                <w:rFonts w:ascii="黑体" w:hAnsi="黑体" w:cs="黑体" w:eastAsia="黑体" w:hint="default"/>
                <w:sz w:val="20"/>
                <w:szCs w:val="20"/>
              </w:rPr>
            </w:pPr>
            <w:r>
              <w:rPr>
                <w:rFonts w:ascii="黑体" w:hAnsi="黑体" w:cs="黑体" w:eastAsia="黑体" w:hint="default"/>
                <w:sz w:val="20"/>
                <w:szCs w:val="20"/>
              </w:rPr>
              <w:t>西玛永泰</w:t>
            </w:r>
          </w:p>
        </w:tc>
        <w:tc>
          <w:tcPr>
            <w:tcW w:w="1816" w:type="dxa"/>
            <w:tcBorders>
              <w:top w:val="nil" w:sz="6" w:space="0" w:color="auto"/>
              <w:left w:val="nil" w:sz="6" w:space="0" w:color="auto"/>
              <w:bottom w:val="nil" w:sz="6" w:space="0" w:color="auto"/>
              <w:right w:val="nil" w:sz="6" w:space="0" w:color="auto"/>
            </w:tcBorders>
          </w:tcPr>
          <w:p>
            <w:pPr>
              <w:pStyle w:val="TableParagraph"/>
              <w:tabs>
                <w:tab w:pos="388" w:val="left" w:leader="none"/>
              </w:tabs>
              <w:spacing w:line="240" w:lineRule="auto" w:before="7"/>
              <w:ind w:right="1"/>
              <w:jc w:val="right"/>
              <w:rPr>
                <w:rFonts w:ascii="Arial" w:hAnsi="Arial" w:cs="Arial" w:eastAsia="Arial" w:hint="default"/>
                <w:sz w:val="20"/>
                <w:szCs w:val="20"/>
              </w:rPr>
            </w:pPr>
            <w:r>
              <w:rPr>
                <w:rFonts w:ascii="Arial"/>
                <w:w w:val="95"/>
                <w:sz w:val="20"/>
              </w:rPr>
              <w:t>(</w:t>
              <w:tab/>
            </w:r>
            <w:r>
              <w:rPr>
                <w:rFonts w:ascii="Arial"/>
                <w:spacing w:val="-1"/>
                <w:w w:val="95"/>
                <w:sz w:val="20"/>
              </w:rPr>
              <w:t>12,376</w:t>
            </w:r>
            <w:r>
              <w:rPr>
                <w:rFonts w:ascii="Arial"/>
                <w:sz w:val="20"/>
              </w:rPr>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 w:right="0"/>
              <w:jc w:val="left"/>
              <w:rPr>
                <w:rFonts w:ascii="Arial" w:hAnsi="Arial" w:cs="Arial" w:eastAsia="Arial" w:hint="default"/>
                <w:sz w:val="20"/>
                <w:szCs w:val="20"/>
              </w:rPr>
            </w:pPr>
            <w:r>
              <w:rPr>
                <w:rFonts w:ascii="Arial"/>
                <w:w w:val="99"/>
                <w:sz w:val="20"/>
              </w:rPr>
              <w:t>)</w:t>
            </w:r>
            <w:r>
              <w:rPr>
                <w:rFonts w:ascii="Arial"/>
                <w:sz w:val="20"/>
              </w:rPr>
            </w: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6"/>
              <w:jc w:val="right"/>
              <w:rPr>
                <w:rFonts w:ascii="Arial" w:hAnsi="Arial" w:cs="Arial" w:eastAsia="Arial" w:hint="default"/>
                <w:sz w:val="20"/>
                <w:szCs w:val="20"/>
              </w:rPr>
            </w:pPr>
            <w:r>
              <w:rPr>
                <w:rFonts w:ascii="Arial"/>
                <w:spacing w:val="-1"/>
                <w:w w:val="95"/>
                <w:sz w:val="20"/>
              </w:rPr>
              <w:t>45,768</w:t>
            </w:r>
            <w:r>
              <w:rPr>
                <w:rFonts w:ascii="Arial"/>
                <w:sz w:val="20"/>
              </w:rPr>
            </w:r>
          </w:p>
        </w:tc>
        <w:tc>
          <w:tcPr>
            <w:tcW w:w="2401" w:type="dxa"/>
            <w:tcBorders>
              <w:top w:val="nil" w:sz="6" w:space="0" w:color="auto"/>
              <w:left w:val="nil" w:sz="6" w:space="0" w:color="auto"/>
              <w:bottom w:val="nil" w:sz="6" w:space="0" w:color="auto"/>
              <w:right w:val="nil" w:sz="6" w:space="0" w:color="auto"/>
            </w:tcBorders>
          </w:tcPr>
          <w:p>
            <w:pPr>
              <w:pStyle w:val="TableParagraph"/>
              <w:spacing w:line="223" w:lineRule="exact"/>
              <w:ind w:right="198"/>
              <w:jc w:val="right"/>
              <w:rPr>
                <w:rFonts w:ascii="黑体" w:hAnsi="黑体" w:cs="黑体" w:eastAsia="黑体" w:hint="default"/>
                <w:sz w:val="20"/>
                <w:szCs w:val="20"/>
              </w:rPr>
            </w:pPr>
            <w:r>
              <w:rPr>
                <w:rFonts w:ascii="黑体" w:hAnsi="黑体" w:cs="黑体" w:eastAsia="黑体" w:hint="default"/>
                <w:w w:val="95"/>
                <w:sz w:val="20"/>
                <w:szCs w:val="20"/>
              </w:rPr>
              <w:t>本年度分享之亏损</w:t>
            </w:r>
            <w:r>
              <w:rPr>
                <w:rFonts w:ascii="黑体" w:hAnsi="黑体" w:cs="黑体" w:eastAsia="黑体" w:hint="default"/>
                <w:sz w:val="20"/>
                <w:szCs w:val="20"/>
              </w:rPr>
            </w:r>
          </w:p>
        </w:tc>
      </w:tr>
      <w:tr>
        <w:trPr>
          <w:trHeight w:val="386" w:hRule="exact"/>
        </w:trPr>
        <w:tc>
          <w:tcPr>
            <w:tcW w:w="2202"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00" w:right="0"/>
              <w:jc w:val="left"/>
              <w:rPr>
                <w:rFonts w:ascii="Arial" w:hAnsi="Arial" w:cs="Arial" w:eastAsia="Arial" w:hint="default"/>
                <w:sz w:val="18"/>
                <w:szCs w:val="18"/>
              </w:rPr>
            </w:pPr>
            <w:r>
              <w:rPr>
                <w:rFonts w:ascii="Arial"/>
                <w:sz w:val="18"/>
              </w:rPr>
              <w:t>YUNANO</w:t>
            </w: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
              <w:jc w:val="right"/>
              <w:rPr>
                <w:rFonts w:ascii="Arial" w:hAnsi="Arial" w:cs="Arial" w:eastAsia="Arial" w:hint="default"/>
                <w:sz w:val="20"/>
                <w:szCs w:val="20"/>
              </w:rPr>
            </w:pPr>
            <w:r>
              <w:rPr>
                <w:rFonts w:ascii="Arial"/>
                <w:sz w:val="20"/>
              </w:rPr>
              <w:t>(</w:t>
            </w:r>
            <w:r>
              <w:rPr>
                <w:rFonts w:ascii="Arial"/>
                <w:spacing w:val="-6"/>
                <w:sz w:val="20"/>
              </w:rPr>
              <w:t> </w:t>
            </w:r>
            <w:r>
              <w:rPr>
                <w:rFonts w:ascii="Arial"/>
                <w:sz w:val="20"/>
                <w:u w:val="single" w:color="000000"/>
              </w:rPr>
              <w:t>5,062,380</w:t>
            </w:r>
            <w:r>
              <w:rPr>
                <w:rFonts w:ascii="Arial"/>
                <w:sz w:val="20"/>
              </w:rPr>
            </w:r>
          </w:p>
        </w:tc>
        <w:tc>
          <w:tcPr>
            <w:tcW w:w="513" w:type="dxa"/>
            <w:tcBorders>
              <w:top w:val="nil" w:sz="6" w:space="0" w:color="auto"/>
              <w:left w:val="nil" w:sz="6" w:space="0" w:color="auto"/>
              <w:bottom w:val="nil" w:sz="6" w:space="0" w:color="auto"/>
              <w:right w:val="nil" w:sz="6" w:space="0" w:color="auto"/>
            </w:tcBorders>
          </w:tcPr>
          <w:p>
            <w:pPr>
              <w:pStyle w:val="TableParagraph"/>
              <w:spacing w:line="240" w:lineRule="auto" w:before="6"/>
              <w:ind w:left="1" w:right="0"/>
              <w:jc w:val="left"/>
              <w:rPr>
                <w:rFonts w:ascii="Arial" w:hAnsi="Arial" w:cs="Arial" w:eastAsia="Arial" w:hint="default"/>
                <w:sz w:val="20"/>
                <w:szCs w:val="20"/>
              </w:rPr>
            </w:pPr>
            <w:r>
              <w:rPr>
                <w:rFonts w:ascii="Arial"/>
                <w:w w:val="99"/>
                <w:sz w:val="20"/>
              </w:rPr>
              <w:t>)</w:t>
            </w:r>
            <w:r>
              <w:rPr>
                <w:rFonts w:ascii="Arial"/>
                <w:sz w:val="20"/>
              </w:rPr>
            </w:r>
          </w:p>
        </w:tc>
        <w:tc>
          <w:tcPr>
            <w:tcW w:w="1261" w:type="dxa"/>
            <w:tcBorders>
              <w:top w:val="nil" w:sz="6" w:space="0" w:color="auto"/>
              <w:left w:val="nil" w:sz="6" w:space="0" w:color="auto"/>
              <w:bottom w:val="nil" w:sz="6" w:space="0" w:color="auto"/>
              <w:right w:val="nil" w:sz="6" w:space="0" w:color="auto"/>
            </w:tcBorders>
          </w:tcPr>
          <w:p>
            <w:pPr>
              <w:pStyle w:val="TableParagraph"/>
              <w:tabs>
                <w:tab w:pos="902" w:val="left" w:leader="none"/>
              </w:tabs>
              <w:spacing w:line="240" w:lineRule="auto" w:before="6"/>
              <w:ind w:right="202"/>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2401" w:type="dxa"/>
            <w:tcBorders>
              <w:top w:val="nil" w:sz="6" w:space="0" w:color="auto"/>
              <w:left w:val="nil" w:sz="6" w:space="0" w:color="auto"/>
              <w:bottom w:val="nil" w:sz="6" w:space="0" w:color="auto"/>
              <w:right w:val="nil" w:sz="6" w:space="0" w:color="auto"/>
            </w:tcBorders>
          </w:tcPr>
          <w:p>
            <w:pPr>
              <w:pStyle w:val="TableParagraph"/>
              <w:spacing w:line="222" w:lineRule="exact"/>
              <w:ind w:right="198"/>
              <w:jc w:val="right"/>
              <w:rPr>
                <w:rFonts w:ascii="黑体" w:hAnsi="黑体" w:cs="黑体" w:eastAsia="黑体" w:hint="default"/>
                <w:sz w:val="20"/>
                <w:szCs w:val="20"/>
              </w:rPr>
            </w:pPr>
            <w:r>
              <w:rPr>
                <w:rFonts w:ascii="黑体" w:hAnsi="黑体" w:cs="黑体" w:eastAsia="黑体" w:hint="default"/>
                <w:w w:val="95"/>
                <w:sz w:val="20"/>
                <w:szCs w:val="20"/>
              </w:rPr>
              <w:t>本年度分享之亏损</w:t>
            </w:r>
            <w:r>
              <w:rPr>
                <w:rFonts w:ascii="黑体" w:hAnsi="黑体" w:cs="黑体" w:eastAsia="黑体" w:hint="default"/>
                <w:sz w:val="20"/>
                <w:szCs w:val="20"/>
              </w:rPr>
            </w:r>
          </w:p>
        </w:tc>
      </w:tr>
      <w:tr>
        <w:trPr>
          <w:trHeight w:val="354" w:hRule="exact"/>
        </w:trPr>
        <w:tc>
          <w:tcPr>
            <w:tcW w:w="2202" w:type="dxa"/>
            <w:tcBorders>
              <w:top w:val="nil" w:sz="6" w:space="0" w:color="auto"/>
              <w:left w:val="nil" w:sz="6" w:space="0" w:color="auto"/>
              <w:bottom w:val="nil" w:sz="6" w:space="0" w:color="auto"/>
              <w:right w:val="nil" w:sz="6" w:space="0" w:color="auto"/>
            </w:tcBorders>
          </w:tcPr>
          <w:p>
            <w:pP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
              <w:jc w:val="right"/>
              <w:rPr>
                <w:rFonts w:ascii="Arial" w:hAnsi="Arial" w:cs="Arial" w:eastAsia="Arial" w:hint="default"/>
                <w:sz w:val="20"/>
                <w:szCs w:val="20"/>
              </w:rPr>
            </w:pPr>
            <w:r>
              <w:rPr>
                <w:rFonts w:ascii="Arial"/>
                <w:w w:val="99"/>
                <w:sz w:val="20"/>
              </w:rPr>
            </w:r>
            <w:r>
              <w:rPr>
                <w:rFonts w:ascii="Arial"/>
                <w:spacing w:val="-1"/>
                <w:sz w:val="20"/>
                <w:u w:val="thick" w:color="000000"/>
              </w:rPr>
              <w:t>3,681,734</w:t>
            </w:r>
            <w:r>
              <w:rPr>
                <w:rFonts w:ascii="Arial"/>
                <w:spacing w:val="-1"/>
                <w:sz w:val="20"/>
              </w:rPr>
            </w:r>
          </w:p>
        </w:tc>
        <w:tc>
          <w:tcPr>
            <w:tcW w:w="513"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06"/>
              <w:jc w:val="right"/>
              <w:rPr>
                <w:rFonts w:ascii="Arial" w:hAnsi="Arial" w:cs="Arial" w:eastAsia="Arial" w:hint="default"/>
                <w:sz w:val="20"/>
                <w:szCs w:val="20"/>
              </w:rPr>
            </w:pPr>
            <w:r>
              <w:rPr>
                <w:rFonts w:ascii="Arial"/>
                <w:w w:val="99"/>
                <w:sz w:val="20"/>
              </w:rPr>
            </w:r>
            <w:r>
              <w:rPr>
                <w:rFonts w:ascii="Arial"/>
                <w:spacing w:val="-1"/>
                <w:sz w:val="20"/>
                <w:u w:val="thick" w:color="000000"/>
              </w:rPr>
              <w:t>6,168,930</w:t>
            </w:r>
            <w:r>
              <w:rPr>
                <w:rFonts w:ascii="Arial"/>
                <w:spacing w:val="-1"/>
                <w:sz w:val="20"/>
              </w:rPr>
            </w:r>
          </w:p>
        </w:tc>
        <w:tc>
          <w:tcPr>
            <w:tcW w:w="2401" w:type="dxa"/>
            <w:tcBorders>
              <w:top w:val="nil" w:sz="6" w:space="0" w:color="auto"/>
              <w:left w:val="nil" w:sz="6" w:space="0" w:color="auto"/>
              <w:bottom w:val="nil" w:sz="6" w:space="0" w:color="auto"/>
              <w:right w:val="nil" w:sz="6" w:space="0" w:color="auto"/>
            </w:tcBorders>
          </w:tcPr>
          <w:p>
            <w:pPr/>
          </w:p>
        </w:tc>
      </w:tr>
    </w:tbl>
    <w:p>
      <w:pPr>
        <w:spacing w:line="240" w:lineRule="auto" w:before="7"/>
        <w:rPr>
          <w:rFonts w:ascii="黑体" w:hAnsi="黑体" w:cs="黑体" w:eastAsia="黑体" w:hint="default"/>
          <w:sz w:val="18"/>
          <w:szCs w:val="18"/>
        </w:rPr>
      </w:pPr>
    </w:p>
    <w:p>
      <w:pPr>
        <w:pStyle w:val="BodyText"/>
        <w:spacing w:line="240" w:lineRule="exact" w:before="79"/>
        <w:ind w:left="1398" w:right="112" w:hanging="591"/>
        <w:jc w:val="both"/>
      </w:pPr>
      <w:r>
        <w:rPr/>
        <w:t>注</w:t>
      </w:r>
      <w:r>
        <w:rPr>
          <w:rFonts w:ascii="Arial" w:hAnsi="Arial" w:cs="Arial" w:eastAsia="Arial" w:hint="default"/>
        </w:rPr>
        <w:t>2.</w:t>
      </w:r>
      <w:r>
        <w:rPr>
          <w:rFonts w:ascii="Arial" w:hAnsi="Arial" w:cs="Arial" w:eastAsia="Arial" w:hint="default"/>
          <w:spacing w:val="12"/>
        </w:rPr>
        <w:t> </w:t>
      </w:r>
      <w:r>
        <w:rPr>
          <w:spacing w:val="2"/>
        </w:rPr>
        <w:t>成本法核算的长期股权投资收益为本公司收到的中科方德软件有限公司于本年分派的现</w:t>
      </w:r>
      <w:r>
        <w:rPr>
          <w:w w:val="99"/>
        </w:rPr>
        <w:t> </w:t>
      </w:r>
      <w:r>
        <w:rPr>
          <w:spacing w:val="-1"/>
        </w:rPr>
        <w:t>金股利人民币</w:t>
      </w:r>
      <w:r>
        <w:rPr>
          <w:rFonts w:ascii="Arial" w:hAnsi="Arial" w:cs="Arial" w:eastAsia="Arial" w:hint="default"/>
          <w:spacing w:val="-1"/>
        </w:rPr>
        <w:t>1,170,000</w:t>
      </w:r>
      <w:r>
        <w:rPr>
          <w:spacing w:val="-1"/>
        </w:rPr>
        <w:t>元，创新投资收到的北京盛景网联科技有限公司于本年分派的现</w:t>
      </w:r>
      <w:r>
        <w:rPr>
          <w:w w:val="99"/>
        </w:rPr>
        <w:t> </w:t>
      </w:r>
      <w:r>
        <w:rPr/>
        <w:t>金股利人民币</w:t>
      </w:r>
      <w:r>
        <w:rPr>
          <w:rFonts w:ascii="Arial" w:hAnsi="Arial" w:cs="Arial" w:eastAsia="Arial" w:hint="default"/>
        </w:rPr>
        <w:t>678,463</w:t>
      </w:r>
      <w:r>
        <w:rPr/>
        <w:t>元。</w:t>
      </w:r>
    </w:p>
    <w:p>
      <w:pPr>
        <w:spacing w:line="240" w:lineRule="auto" w:before="2"/>
        <w:rPr>
          <w:rFonts w:ascii="黑体" w:hAnsi="黑体" w:cs="黑体" w:eastAsia="黑体" w:hint="default"/>
          <w:sz w:val="15"/>
          <w:szCs w:val="15"/>
        </w:rPr>
      </w:pPr>
    </w:p>
    <w:p>
      <w:pPr>
        <w:pStyle w:val="BodyText"/>
        <w:spacing w:line="240" w:lineRule="auto"/>
        <w:ind w:left="849" w:right="94"/>
        <w:jc w:val="left"/>
      </w:pP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日，本集团的投资收益的汇回均无重大限制。</w:t>
      </w:r>
    </w:p>
    <w:p>
      <w:pPr>
        <w:spacing w:line="240" w:lineRule="auto" w:before="8"/>
        <w:rPr>
          <w:rFonts w:ascii="黑体" w:hAnsi="黑体" w:cs="黑体" w:eastAsia="黑体" w:hint="default"/>
          <w:sz w:val="15"/>
          <w:szCs w:val="15"/>
        </w:rPr>
      </w:pPr>
    </w:p>
    <w:p>
      <w:pPr>
        <w:pStyle w:val="Heading6"/>
        <w:tabs>
          <w:tab w:pos="899" w:val="left" w:leader="none"/>
        </w:tabs>
        <w:spacing w:line="240" w:lineRule="auto" w:before="0"/>
        <w:ind w:left="119" w:right="94"/>
        <w:jc w:val="left"/>
        <w:rPr>
          <w:b w:val="0"/>
          <w:bCs w:val="0"/>
        </w:rPr>
      </w:pPr>
      <w:r>
        <w:rPr>
          <w:rFonts w:ascii="Arial" w:hAnsi="Arial" w:cs="Arial" w:eastAsia="Arial" w:hint="default"/>
          <w:spacing w:val="-1"/>
          <w:w w:val="95"/>
        </w:rPr>
        <w:t>42.</w:t>
        <w:tab/>
      </w:r>
      <w:r>
        <w:rPr>
          <w:spacing w:val="1"/>
        </w:rPr>
        <w:t>营业外收入</w:t>
      </w:r>
      <w:r>
        <w:rPr>
          <w:b w:val="0"/>
          <w:bCs w:val="0"/>
          <w:spacing w:val="1"/>
        </w:rPr>
      </w:r>
    </w:p>
    <w:p>
      <w:pPr>
        <w:spacing w:line="240" w:lineRule="auto" w:before="11"/>
        <w:rPr>
          <w:rFonts w:ascii="黑体" w:hAnsi="黑体" w:cs="黑体" w:eastAsia="黑体" w:hint="default"/>
          <w:b/>
          <w:bCs/>
          <w:sz w:val="25"/>
          <w:szCs w:val="25"/>
        </w:rPr>
      </w:pPr>
    </w:p>
    <w:tbl>
      <w:tblPr>
        <w:tblW w:w="0" w:type="auto"/>
        <w:jc w:val="left"/>
        <w:tblInd w:w="622" w:type="dxa"/>
        <w:tblLayout w:type="fixed"/>
        <w:tblCellMar>
          <w:top w:w="0" w:type="dxa"/>
          <w:left w:w="0" w:type="dxa"/>
          <w:bottom w:w="0" w:type="dxa"/>
          <w:right w:w="0" w:type="dxa"/>
        </w:tblCellMar>
        <w:tblLook w:val="01E0"/>
      </w:tblPr>
      <w:tblGrid>
        <w:gridCol w:w="3484"/>
        <w:gridCol w:w="3101"/>
        <w:gridCol w:w="1617"/>
      </w:tblGrid>
      <w:tr>
        <w:trPr>
          <w:trHeight w:val="384" w:hRule="exact"/>
        </w:trPr>
        <w:tc>
          <w:tcPr>
            <w:tcW w:w="3484" w:type="dxa"/>
            <w:tcBorders>
              <w:top w:val="nil" w:sz="6" w:space="0" w:color="auto"/>
              <w:left w:val="nil" w:sz="6" w:space="0" w:color="auto"/>
              <w:bottom w:val="nil" w:sz="6" w:space="0" w:color="auto"/>
              <w:right w:val="nil" w:sz="6" w:space="0" w:color="auto"/>
            </w:tcBorders>
          </w:tcPr>
          <w:p>
            <w:pPr/>
          </w:p>
        </w:tc>
        <w:tc>
          <w:tcPr>
            <w:tcW w:w="3101" w:type="dxa"/>
            <w:tcBorders>
              <w:top w:val="nil" w:sz="6" w:space="0" w:color="auto"/>
              <w:left w:val="nil" w:sz="6" w:space="0" w:color="auto"/>
              <w:bottom w:val="nil" w:sz="6" w:space="0" w:color="auto"/>
              <w:right w:val="nil" w:sz="6" w:space="0" w:color="auto"/>
            </w:tcBorders>
          </w:tcPr>
          <w:p>
            <w:pPr>
              <w:pStyle w:val="TableParagraph"/>
              <w:spacing w:line="214" w:lineRule="exact"/>
              <w:ind w:right="284"/>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1617" w:type="dxa"/>
            <w:tcBorders>
              <w:top w:val="nil" w:sz="6" w:space="0" w:color="auto"/>
              <w:left w:val="nil" w:sz="6" w:space="0" w:color="auto"/>
              <w:bottom w:val="nil" w:sz="6" w:space="0" w:color="auto"/>
              <w:right w:val="nil" w:sz="6" w:space="0" w:color="auto"/>
            </w:tcBorders>
          </w:tcPr>
          <w:p>
            <w:pPr>
              <w:pStyle w:val="TableParagraph"/>
              <w:spacing w:line="214" w:lineRule="exact"/>
              <w:ind w:right="198"/>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r>
      <w:tr>
        <w:trPr>
          <w:trHeight w:val="420" w:hRule="exact"/>
        </w:trPr>
        <w:tc>
          <w:tcPr>
            <w:tcW w:w="3484"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200" w:right="0"/>
              <w:jc w:val="left"/>
              <w:rPr>
                <w:rFonts w:ascii="黑体" w:hAnsi="黑体" w:cs="黑体" w:eastAsia="黑体" w:hint="default"/>
                <w:sz w:val="20"/>
                <w:szCs w:val="20"/>
              </w:rPr>
            </w:pPr>
            <w:r>
              <w:rPr>
                <w:rFonts w:ascii="黑体" w:hAnsi="黑体" w:cs="黑体" w:eastAsia="黑体" w:hint="default"/>
                <w:sz w:val="20"/>
                <w:szCs w:val="20"/>
              </w:rPr>
              <w:t>增值税退税返还</w:t>
            </w:r>
          </w:p>
        </w:tc>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304"/>
              <w:jc w:val="right"/>
              <w:rPr>
                <w:rFonts w:ascii="Arial" w:hAnsi="Arial" w:cs="Arial" w:eastAsia="Arial" w:hint="default"/>
                <w:sz w:val="20"/>
                <w:szCs w:val="20"/>
              </w:rPr>
            </w:pPr>
            <w:r>
              <w:rPr>
                <w:rFonts w:ascii="Arial"/>
                <w:spacing w:val="-1"/>
                <w:sz w:val="20"/>
              </w:rPr>
              <w:t>248,405,953</w:t>
            </w:r>
            <w:r>
              <w:rPr>
                <w:rFonts w:ascii="Arial"/>
                <w:sz w:val="20"/>
              </w:rPr>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220"/>
              <w:jc w:val="right"/>
              <w:rPr>
                <w:rFonts w:ascii="Arial" w:hAnsi="Arial" w:cs="Arial" w:eastAsia="Arial" w:hint="default"/>
                <w:sz w:val="20"/>
                <w:szCs w:val="20"/>
              </w:rPr>
            </w:pPr>
            <w:r>
              <w:rPr>
                <w:rFonts w:ascii="Arial"/>
                <w:spacing w:val="-1"/>
                <w:sz w:val="20"/>
              </w:rPr>
              <w:t>246,160,626</w:t>
            </w:r>
            <w:r>
              <w:rPr>
                <w:rFonts w:ascii="Arial"/>
                <w:sz w:val="20"/>
              </w:rPr>
            </w:r>
          </w:p>
        </w:tc>
      </w:tr>
      <w:tr>
        <w:trPr>
          <w:trHeight w:val="281" w:hRule="exact"/>
        </w:trPr>
        <w:tc>
          <w:tcPr>
            <w:tcW w:w="3484"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黑体" w:hAnsi="黑体" w:cs="黑体" w:eastAsia="黑体" w:hint="default"/>
                <w:sz w:val="20"/>
                <w:szCs w:val="20"/>
              </w:rPr>
            </w:pPr>
            <w:r>
              <w:rPr>
                <w:rFonts w:ascii="黑体" w:hAnsi="黑体" w:cs="黑体" w:eastAsia="黑体" w:hint="default"/>
                <w:sz w:val="20"/>
                <w:szCs w:val="20"/>
              </w:rPr>
              <w:t>政府补助</w:t>
            </w:r>
          </w:p>
        </w:tc>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04"/>
              <w:jc w:val="right"/>
              <w:rPr>
                <w:rFonts w:ascii="Arial" w:hAnsi="Arial" w:cs="Arial" w:eastAsia="Arial" w:hint="default"/>
                <w:sz w:val="20"/>
                <w:szCs w:val="20"/>
              </w:rPr>
            </w:pPr>
            <w:r>
              <w:rPr>
                <w:rFonts w:ascii="Arial"/>
                <w:spacing w:val="-1"/>
                <w:sz w:val="20"/>
              </w:rPr>
              <w:t>35,693,305</w:t>
            </w:r>
            <w:r>
              <w:rPr>
                <w:rFonts w:ascii="Arial"/>
                <w:sz w:val="20"/>
              </w:rPr>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20"/>
              <w:jc w:val="right"/>
              <w:rPr>
                <w:rFonts w:ascii="Arial" w:hAnsi="Arial" w:cs="Arial" w:eastAsia="Arial" w:hint="default"/>
                <w:sz w:val="20"/>
                <w:szCs w:val="20"/>
              </w:rPr>
            </w:pPr>
            <w:r>
              <w:rPr>
                <w:rFonts w:ascii="Arial"/>
                <w:spacing w:val="-1"/>
                <w:sz w:val="20"/>
              </w:rPr>
              <w:t>48,162,007</w:t>
            </w:r>
            <w:r>
              <w:rPr>
                <w:rFonts w:ascii="Arial"/>
                <w:sz w:val="20"/>
              </w:rPr>
            </w:r>
          </w:p>
        </w:tc>
      </w:tr>
      <w:tr>
        <w:trPr>
          <w:trHeight w:val="280" w:hRule="exact"/>
        </w:trPr>
        <w:tc>
          <w:tcPr>
            <w:tcW w:w="3484"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黑体" w:hAnsi="黑体" w:cs="黑体" w:eastAsia="黑体" w:hint="default"/>
                <w:sz w:val="20"/>
                <w:szCs w:val="20"/>
              </w:rPr>
            </w:pPr>
            <w:r>
              <w:rPr>
                <w:rFonts w:ascii="黑体" w:hAnsi="黑体" w:cs="黑体" w:eastAsia="黑体" w:hint="default"/>
                <w:sz w:val="20"/>
                <w:szCs w:val="20"/>
              </w:rPr>
              <w:t>固定资产清理收入</w:t>
            </w:r>
          </w:p>
        </w:tc>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04"/>
              <w:jc w:val="right"/>
              <w:rPr>
                <w:rFonts w:ascii="Arial" w:hAnsi="Arial" w:cs="Arial" w:eastAsia="Arial" w:hint="default"/>
                <w:sz w:val="20"/>
                <w:szCs w:val="20"/>
              </w:rPr>
            </w:pPr>
            <w:r>
              <w:rPr>
                <w:rFonts w:ascii="Arial"/>
                <w:spacing w:val="-1"/>
                <w:w w:val="95"/>
                <w:sz w:val="20"/>
              </w:rPr>
              <w:t>424,566</w:t>
            </w:r>
            <w:r>
              <w:rPr>
                <w:rFonts w:ascii="Arial"/>
                <w:sz w:val="20"/>
              </w:rPr>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19"/>
              <w:jc w:val="right"/>
              <w:rPr>
                <w:rFonts w:ascii="Arial" w:hAnsi="Arial" w:cs="Arial" w:eastAsia="Arial" w:hint="default"/>
                <w:sz w:val="20"/>
                <w:szCs w:val="20"/>
              </w:rPr>
            </w:pPr>
            <w:r>
              <w:rPr>
                <w:rFonts w:ascii="Arial"/>
                <w:spacing w:val="-1"/>
                <w:w w:val="95"/>
                <w:sz w:val="20"/>
              </w:rPr>
              <w:t>484,775</w:t>
            </w:r>
            <w:r>
              <w:rPr>
                <w:rFonts w:ascii="Arial"/>
                <w:sz w:val="20"/>
              </w:rPr>
            </w:r>
          </w:p>
        </w:tc>
      </w:tr>
      <w:tr>
        <w:trPr>
          <w:trHeight w:val="280" w:hRule="exact"/>
        </w:trPr>
        <w:tc>
          <w:tcPr>
            <w:tcW w:w="3484" w:type="dxa"/>
            <w:tcBorders>
              <w:top w:val="nil" w:sz="6" w:space="0" w:color="auto"/>
              <w:left w:val="nil" w:sz="6" w:space="0" w:color="auto"/>
              <w:bottom w:val="nil" w:sz="6" w:space="0" w:color="auto"/>
              <w:right w:val="nil" w:sz="6" w:space="0" w:color="auto"/>
            </w:tcBorders>
          </w:tcPr>
          <w:p>
            <w:pPr>
              <w:pStyle w:val="TableParagraph"/>
              <w:spacing w:line="234" w:lineRule="exact"/>
              <w:ind w:left="200" w:right="0"/>
              <w:jc w:val="left"/>
              <w:rPr>
                <w:rFonts w:ascii="黑体" w:hAnsi="黑体" w:cs="黑体" w:eastAsia="黑体" w:hint="default"/>
                <w:sz w:val="20"/>
                <w:szCs w:val="20"/>
              </w:rPr>
            </w:pPr>
            <w:r>
              <w:rPr>
                <w:rFonts w:ascii="黑体" w:hAnsi="黑体" w:cs="黑体" w:eastAsia="黑体" w:hint="default"/>
                <w:sz w:val="20"/>
                <w:szCs w:val="20"/>
              </w:rPr>
              <w:t>罚款净收入</w:t>
            </w:r>
          </w:p>
        </w:tc>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04"/>
              <w:jc w:val="right"/>
              <w:rPr>
                <w:rFonts w:ascii="Arial" w:hAnsi="Arial" w:cs="Arial" w:eastAsia="Arial" w:hint="default"/>
                <w:sz w:val="20"/>
                <w:szCs w:val="20"/>
              </w:rPr>
            </w:pPr>
            <w:r>
              <w:rPr>
                <w:rFonts w:ascii="Arial"/>
                <w:spacing w:val="-1"/>
                <w:sz w:val="20"/>
              </w:rPr>
              <w:t>50,900</w:t>
            </w:r>
            <w:r>
              <w:rPr>
                <w:rFonts w:ascii="Arial"/>
                <w:sz w:val="20"/>
              </w:rPr>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19"/>
              <w:jc w:val="right"/>
              <w:rPr>
                <w:rFonts w:ascii="Arial" w:hAnsi="Arial" w:cs="Arial" w:eastAsia="Arial" w:hint="default"/>
                <w:sz w:val="20"/>
                <w:szCs w:val="20"/>
              </w:rPr>
            </w:pPr>
            <w:r>
              <w:rPr>
                <w:rFonts w:ascii="Arial"/>
                <w:spacing w:val="-1"/>
                <w:sz w:val="20"/>
              </w:rPr>
              <w:t>55,788</w:t>
            </w:r>
            <w:r>
              <w:rPr>
                <w:rFonts w:ascii="Arial"/>
                <w:sz w:val="20"/>
              </w:rPr>
            </w:r>
          </w:p>
        </w:tc>
      </w:tr>
      <w:tr>
        <w:trPr>
          <w:trHeight w:val="449" w:hRule="exact"/>
        </w:trPr>
        <w:tc>
          <w:tcPr>
            <w:tcW w:w="3484"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04"/>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1"/>
                <w:sz w:val="20"/>
                <w:u w:val="single" w:color="000000"/>
              </w:rPr>
              <w:t> </w:t>
            </w:r>
            <w:r>
              <w:rPr>
                <w:rFonts w:ascii="Arial"/>
                <w:spacing w:val="-1"/>
                <w:w w:val="95"/>
                <w:sz w:val="20"/>
                <w:u w:val="single" w:color="000000"/>
              </w:rPr>
              <w:t>2,432,927</w:t>
            </w:r>
            <w:r>
              <w:rPr>
                <w:rFonts w:ascii="Arial"/>
                <w:spacing w:val="-1"/>
                <w:w w:val="95"/>
                <w:sz w:val="20"/>
              </w:rPr>
            </w:r>
            <w:r>
              <w:rPr>
                <w:rFonts w:ascii="Arial"/>
                <w:sz w:val="20"/>
              </w:rPr>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21"/>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1"/>
                <w:sz w:val="20"/>
                <w:u w:val="single" w:color="000000"/>
              </w:rPr>
              <w:t> </w:t>
            </w:r>
            <w:r>
              <w:rPr>
                <w:rFonts w:ascii="Arial"/>
                <w:spacing w:val="-1"/>
                <w:w w:val="95"/>
                <w:sz w:val="20"/>
                <w:u w:val="single" w:color="000000"/>
              </w:rPr>
              <w:t>2,203,048</w:t>
            </w:r>
            <w:r>
              <w:rPr>
                <w:rFonts w:ascii="Arial"/>
                <w:spacing w:val="-1"/>
                <w:w w:val="95"/>
                <w:sz w:val="20"/>
              </w:rPr>
            </w:r>
            <w:r>
              <w:rPr>
                <w:rFonts w:ascii="Arial"/>
                <w:sz w:val="20"/>
              </w:rPr>
            </w:r>
          </w:p>
        </w:tc>
      </w:tr>
      <w:tr>
        <w:trPr>
          <w:trHeight w:val="403" w:hRule="exact"/>
        </w:trPr>
        <w:tc>
          <w:tcPr>
            <w:tcW w:w="3484" w:type="dxa"/>
            <w:tcBorders>
              <w:top w:val="nil" w:sz="6" w:space="0" w:color="auto"/>
              <w:left w:val="nil" w:sz="6" w:space="0" w:color="auto"/>
              <w:bottom w:val="nil" w:sz="6" w:space="0" w:color="auto"/>
              <w:right w:val="nil" w:sz="6" w:space="0" w:color="auto"/>
            </w:tcBorders>
          </w:tcPr>
          <w:p>
            <w:pPr/>
          </w:p>
        </w:tc>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178"/>
              <w:ind w:right="304"/>
              <w:jc w:val="right"/>
              <w:rPr>
                <w:rFonts w:ascii="Arial" w:hAnsi="Arial" w:cs="Arial" w:eastAsia="Arial" w:hint="default"/>
                <w:sz w:val="20"/>
                <w:szCs w:val="20"/>
              </w:rPr>
            </w:pPr>
            <w:r>
              <w:rPr>
                <w:rFonts w:ascii="Arial"/>
                <w:w w:val="99"/>
                <w:sz w:val="20"/>
              </w:rPr>
            </w:r>
            <w:r>
              <w:rPr>
                <w:rFonts w:ascii="Arial"/>
                <w:spacing w:val="-1"/>
                <w:sz w:val="20"/>
                <w:u w:val="thick" w:color="000000"/>
              </w:rPr>
              <w:t>287,007,651</w:t>
            </w:r>
            <w:r>
              <w:rPr>
                <w:rFonts w:ascii="Arial"/>
                <w:spacing w:val="-1"/>
                <w:sz w:val="20"/>
              </w:rPr>
            </w:r>
            <w:r>
              <w:rPr>
                <w:rFonts w:ascii="Arial"/>
                <w:sz w:val="20"/>
              </w:rPr>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178"/>
              <w:ind w:right="220"/>
              <w:jc w:val="right"/>
              <w:rPr>
                <w:rFonts w:ascii="Arial" w:hAnsi="Arial" w:cs="Arial" w:eastAsia="Arial" w:hint="default"/>
                <w:sz w:val="20"/>
                <w:szCs w:val="20"/>
              </w:rPr>
            </w:pPr>
            <w:r>
              <w:rPr>
                <w:rFonts w:ascii="Arial"/>
                <w:w w:val="99"/>
                <w:sz w:val="20"/>
              </w:rPr>
            </w:r>
            <w:r>
              <w:rPr>
                <w:rFonts w:ascii="Arial"/>
                <w:spacing w:val="-1"/>
                <w:sz w:val="20"/>
                <w:u w:val="thick" w:color="000000"/>
              </w:rPr>
              <w:t>297,066,244</w:t>
            </w:r>
            <w:r>
              <w:rPr>
                <w:rFonts w:ascii="Arial"/>
                <w:spacing w:val="-1"/>
                <w:sz w:val="20"/>
              </w:rPr>
            </w:r>
            <w:r>
              <w:rPr>
                <w:rFonts w:ascii="Arial"/>
                <w:sz w:val="20"/>
              </w:rPr>
            </w:r>
          </w:p>
        </w:tc>
      </w:tr>
    </w:tbl>
    <w:p>
      <w:pPr>
        <w:spacing w:after="0" w:line="240" w:lineRule="auto"/>
        <w:jc w:val="right"/>
        <w:rPr>
          <w:rFonts w:ascii="Arial" w:hAnsi="Arial" w:cs="Arial" w:eastAsia="Arial" w:hint="default"/>
          <w:sz w:val="20"/>
          <w:szCs w:val="20"/>
        </w:rPr>
        <w:sectPr>
          <w:pgSz w:w="11910" w:h="16840"/>
          <w:pgMar w:header="825" w:footer="473" w:top="2420" w:bottom="660" w:left="1580" w:right="1160"/>
        </w:sectPr>
      </w:pPr>
    </w:p>
    <w:p>
      <w:pPr>
        <w:spacing w:line="240" w:lineRule="auto" w:before="8"/>
        <w:rPr>
          <w:rFonts w:ascii="黑体" w:hAnsi="黑体" w:cs="黑体" w:eastAsia="黑体" w:hint="default"/>
          <w:b/>
          <w:bCs/>
          <w:sz w:val="17"/>
          <w:szCs w:val="17"/>
        </w:rPr>
      </w:pPr>
    </w:p>
    <w:p>
      <w:pPr>
        <w:pStyle w:val="Heading6"/>
        <w:tabs>
          <w:tab w:pos="804" w:val="left" w:leader="none"/>
        </w:tabs>
        <w:spacing w:line="240" w:lineRule="auto"/>
        <w:ind w:right="328"/>
        <w:jc w:val="left"/>
        <w:rPr>
          <w:b w:val="0"/>
          <w:bCs w:val="0"/>
        </w:rPr>
      </w:pPr>
      <w:r>
        <w:rPr>
          <w:w w:val="95"/>
        </w:rPr>
        <w:t>五、</w:t>
        <w:tab/>
      </w:r>
      <w:r>
        <w:rPr/>
        <w:t>合并财务报表主要项目注释（续）</w:t>
      </w:r>
      <w:r>
        <w:rPr>
          <w:b w:val="0"/>
          <w:bCs w:val="0"/>
        </w:rPr>
      </w:r>
    </w:p>
    <w:p>
      <w:pPr>
        <w:spacing w:line="240" w:lineRule="auto" w:before="5"/>
        <w:rPr>
          <w:rFonts w:ascii="黑体" w:hAnsi="黑体" w:cs="黑体" w:eastAsia="黑体" w:hint="default"/>
          <w:b/>
          <w:bCs/>
          <w:sz w:val="20"/>
          <w:szCs w:val="20"/>
        </w:rPr>
      </w:pPr>
    </w:p>
    <w:p>
      <w:pPr>
        <w:pStyle w:val="Heading6"/>
        <w:tabs>
          <w:tab w:pos="814" w:val="left" w:leader="none"/>
        </w:tabs>
        <w:spacing w:line="240" w:lineRule="auto" w:before="0"/>
        <w:ind w:right="328"/>
        <w:jc w:val="left"/>
        <w:rPr>
          <w:b w:val="0"/>
          <w:bCs w:val="0"/>
        </w:rPr>
      </w:pPr>
      <w:r>
        <w:rPr>
          <w:rFonts w:ascii="Arial" w:hAnsi="Arial" w:cs="Arial" w:eastAsia="Arial" w:hint="default"/>
          <w:spacing w:val="-1"/>
          <w:w w:val="95"/>
        </w:rPr>
        <w:t>42.</w:t>
        <w:tab/>
      </w:r>
      <w:r>
        <w:rPr>
          <w:spacing w:val="1"/>
        </w:rPr>
        <w:t>营业外收入（续）</w:t>
      </w:r>
      <w:r>
        <w:rPr>
          <w:b w:val="0"/>
          <w:bCs w:val="0"/>
          <w:spacing w:val="1"/>
        </w:rPr>
      </w:r>
    </w:p>
    <w:p>
      <w:pPr>
        <w:spacing w:line="240" w:lineRule="auto" w:before="6"/>
        <w:rPr>
          <w:rFonts w:ascii="黑体" w:hAnsi="黑体" w:cs="黑体" w:eastAsia="黑体" w:hint="default"/>
          <w:b/>
          <w:bCs/>
          <w:sz w:val="19"/>
          <w:szCs w:val="19"/>
        </w:rPr>
      </w:pPr>
    </w:p>
    <w:p>
      <w:pPr>
        <w:pStyle w:val="BodyText"/>
        <w:spacing w:line="240" w:lineRule="auto"/>
        <w:ind w:right="328"/>
        <w:jc w:val="left"/>
      </w:pPr>
      <w:r>
        <w:rPr/>
        <w:t>计入当期损益的政府补助如下：</w:t>
      </w:r>
    </w:p>
    <w:p>
      <w:pPr>
        <w:spacing w:line="240" w:lineRule="auto" w:before="8"/>
        <w:rPr>
          <w:rFonts w:ascii="黑体" w:hAnsi="黑体" w:cs="黑体" w:eastAsia="黑体" w:hint="default"/>
          <w:sz w:val="23"/>
          <w:szCs w:val="23"/>
        </w:rPr>
      </w:pPr>
    </w:p>
    <w:tbl>
      <w:tblPr>
        <w:tblW w:w="0" w:type="auto"/>
        <w:jc w:val="left"/>
        <w:tblInd w:w="587" w:type="dxa"/>
        <w:tblLayout w:type="fixed"/>
        <w:tblCellMar>
          <w:top w:w="0" w:type="dxa"/>
          <w:left w:w="0" w:type="dxa"/>
          <w:bottom w:w="0" w:type="dxa"/>
          <w:right w:w="0" w:type="dxa"/>
        </w:tblCellMar>
        <w:tblLook w:val="01E0"/>
      </w:tblPr>
      <w:tblGrid>
        <w:gridCol w:w="6012"/>
        <w:gridCol w:w="1282"/>
        <w:gridCol w:w="1337"/>
      </w:tblGrid>
      <w:tr>
        <w:trPr>
          <w:trHeight w:val="403" w:hRule="exact"/>
        </w:trPr>
        <w:tc>
          <w:tcPr>
            <w:tcW w:w="6012"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spacing w:line="214" w:lineRule="exact"/>
              <w:ind w:right="136"/>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1337" w:type="dxa"/>
            <w:tcBorders>
              <w:top w:val="nil" w:sz="6" w:space="0" w:color="auto"/>
              <w:left w:val="nil" w:sz="6" w:space="0" w:color="auto"/>
              <w:bottom w:val="nil" w:sz="6" w:space="0" w:color="auto"/>
              <w:right w:val="nil" w:sz="6" w:space="0" w:color="auto"/>
            </w:tcBorders>
          </w:tcPr>
          <w:p>
            <w:pPr>
              <w:pStyle w:val="TableParagraph"/>
              <w:spacing w:line="214" w:lineRule="exact"/>
              <w:ind w:right="199"/>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r>
      <w:tr>
        <w:trPr>
          <w:trHeight w:val="456" w:hRule="exact"/>
        </w:trPr>
        <w:tc>
          <w:tcPr>
            <w:tcW w:w="6012"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233" w:right="0"/>
              <w:jc w:val="left"/>
              <w:rPr>
                <w:rFonts w:ascii="黑体" w:hAnsi="黑体" w:cs="黑体" w:eastAsia="黑体" w:hint="default"/>
                <w:sz w:val="20"/>
                <w:szCs w:val="20"/>
              </w:rPr>
            </w:pPr>
            <w:r>
              <w:rPr>
                <w:rFonts w:ascii="黑体" w:hAnsi="黑体" w:cs="黑体" w:eastAsia="黑体" w:hint="default"/>
                <w:sz w:val="20"/>
                <w:szCs w:val="20"/>
              </w:rPr>
              <w:t>北京财政可再生能源补贴</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3"/>
                <w:szCs w:val="13"/>
              </w:rPr>
            </w:pPr>
          </w:p>
          <w:p>
            <w:pPr>
              <w:pStyle w:val="TableParagraph"/>
              <w:spacing w:line="240" w:lineRule="auto"/>
              <w:ind w:right="136"/>
              <w:jc w:val="right"/>
              <w:rPr>
                <w:rFonts w:ascii="Arial" w:hAnsi="Arial" w:cs="Arial" w:eastAsia="Arial" w:hint="default"/>
                <w:sz w:val="20"/>
                <w:szCs w:val="20"/>
              </w:rPr>
            </w:pPr>
            <w:r>
              <w:rPr>
                <w:rFonts w:ascii="Arial"/>
                <w:spacing w:val="-1"/>
                <w:sz w:val="20"/>
              </w:rPr>
              <w:t>5,680,000</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3"/>
                <w:szCs w:val="13"/>
              </w:rPr>
            </w:pPr>
          </w:p>
          <w:p>
            <w:pPr>
              <w:pStyle w:val="TableParagraph"/>
              <w:spacing w:line="240" w:lineRule="auto"/>
              <w:ind w:right="198"/>
              <w:jc w:val="right"/>
              <w:rPr>
                <w:rFonts w:ascii="Arial" w:hAnsi="Arial" w:cs="Arial" w:eastAsia="Arial" w:hint="default"/>
                <w:sz w:val="20"/>
                <w:szCs w:val="20"/>
              </w:rPr>
            </w:pPr>
            <w:r>
              <w:rPr>
                <w:rFonts w:ascii="Arial"/>
                <w:w w:val="99"/>
                <w:sz w:val="20"/>
              </w:rPr>
              <w:t>-</w:t>
            </w:r>
            <w:r>
              <w:rPr>
                <w:rFonts w:ascii="Arial"/>
                <w:sz w:val="20"/>
              </w:rPr>
            </w:r>
          </w:p>
        </w:tc>
      </w:tr>
      <w:tr>
        <w:trPr>
          <w:trHeight w:val="312" w:hRule="exact"/>
        </w:trPr>
        <w:tc>
          <w:tcPr>
            <w:tcW w:w="6012" w:type="dxa"/>
            <w:tcBorders>
              <w:top w:val="nil" w:sz="6" w:space="0" w:color="auto"/>
              <w:left w:val="nil" w:sz="6" w:space="0" w:color="auto"/>
              <w:bottom w:val="nil" w:sz="6" w:space="0" w:color="auto"/>
              <w:right w:val="nil" w:sz="6" w:space="0" w:color="auto"/>
            </w:tcBorders>
          </w:tcPr>
          <w:p>
            <w:pPr>
              <w:pStyle w:val="TableParagraph"/>
              <w:spacing w:line="250" w:lineRule="exact"/>
              <w:ind w:left="233" w:right="0"/>
              <w:jc w:val="left"/>
              <w:rPr>
                <w:rFonts w:ascii="黑体" w:hAnsi="黑体" w:cs="黑体" w:eastAsia="黑体" w:hint="default"/>
                <w:sz w:val="20"/>
                <w:szCs w:val="20"/>
              </w:rPr>
            </w:pPr>
            <w:r>
              <w:rPr>
                <w:rFonts w:ascii="黑体" w:hAnsi="黑体" w:cs="黑体" w:eastAsia="黑体" w:hint="default"/>
                <w:sz w:val="20"/>
                <w:szCs w:val="20"/>
              </w:rPr>
              <w:t>北京市高新技术成果转化项目基金</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6"/>
              <w:jc w:val="right"/>
              <w:rPr>
                <w:rFonts w:ascii="Arial" w:hAnsi="Arial" w:cs="Arial" w:eastAsia="Arial" w:hint="default"/>
                <w:sz w:val="20"/>
                <w:szCs w:val="20"/>
              </w:rPr>
            </w:pPr>
            <w:r>
              <w:rPr>
                <w:rFonts w:ascii="Arial"/>
                <w:spacing w:val="-1"/>
                <w:sz w:val="20"/>
              </w:rPr>
              <w:t>5,000,000</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9"/>
              <w:jc w:val="right"/>
              <w:rPr>
                <w:rFonts w:ascii="Arial" w:hAnsi="Arial" w:cs="Arial" w:eastAsia="Arial" w:hint="default"/>
                <w:sz w:val="20"/>
                <w:szCs w:val="20"/>
              </w:rPr>
            </w:pPr>
            <w:r>
              <w:rPr>
                <w:rFonts w:ascii="Arial"/>
                <w:spacing w:val="-1"/>
                <w:sz w:val="20"/>
              </w:rPr>
              <w:t>10,091,200</w:t>
            </w:r>
            <w:r>
              <w:rPr>
                <w:rFonts w:ascii="Arial"/>
                <w:sz w:val="20"/>
              </w:rPr>
            </w:r>
          </w:p>
        </w:tc>
      </w:tr>
      <w:tr>
        <w:trPr>
          <w:trHeight w:val="312" w:hRule="exact"/>
        </w:trPr>
        <w:tc>
          <w:tcPr>
            <w:tcW w:w="6012" w:type="dxa"/>
            <w:tcBorders>
              <w:top w:val="nil" w:sz="6" w:space="0" w:color="auto"/>
              <w:left w:val="nil" w:sz="6" w:space="0" w:color="auto"/>
              <w:bottom w:val="nil" w:sz="6" w:space="0" w:color="auto"/>
              <w:right w:val="nil" w:sz="6" w:space="0" w:color="auto"/>
            </w:tcBorders>
          </w:tcPr>
          <w:p>
            <w:pPr>
              <w:pStyle w:val="TableParagraph"/>
              <w:spacing w:line="250" w:lineRule="exact"/>
              <w:ind w:left="233" w:right="0"/>
              <w:jc w:val="left"/>
              <w:rPr>
                <w:rFonts w:ascii="黑体" w:hAnsi="黑体" w:cs="黑体" w:eastAsia="黑体" w:hint="default"/>
                <w:sz w:val="20"/>
                <w:szCs w:val="20"/>
              </w:rPr>
            </w:pPr>
            <w:r>
              <w:rPr>
                <w:rFonts w:ascii="黑体" w:hAnsi="黑体" w:cs="黑体" w:eastAsia="黑体" w:hint="default"/>
                <w:sz w:val="20"/>
                <w:szCs w:val="20"/>
              </w:rPr>
              <w:t>产业发展专项资金重大项目补贴</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6"/>
              <w:jc w:val="right"/>
              <w:rPr>
                <w:rFonts w:ascii="Arial" w:hAnsi="Arial" w:cs="Arial" w:eastAsia="Arial" w:hint="default"/>
                <w:sz w:val="20"/>
                <w:szCs w:val="20"/>
              </w:rPr>
            </w:pPr>
            <w:r>
              <w:rPr>
                <w:rFonts w:ascii="Arial"/>
                <w:spacing w:val="-1"/>
                <w:sz w:val="20"/>
              </w:rPr>
              <w:t>4,450,000</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9"/>
              <w:jc w:val="right"/>
              <w:rPr>
                <w:rFonts w:ascii="Arial" w:hAnsi="Arial" w:cs="Arial" w:eastAsia="Arial" w:hint="default"/>
                <w:sz w:val="20"/>
                <w:szCs w:val="20"/>
              </w:rPr>
            </w:pPr>
            <w:r>
              <w:rPr>
                <w:rFonts w:ascii="Arial"/>
                <w:spacing w:val="-1"/>
                <w:sz w:val="20"/>
              </w:rPr>
              <w:t>2,100,000</w:t>
            </w:r>
          </w:p>
        </w:tc>
      </w:tr>
      <w:tr>
        <w:trPr>
          <w:trHeight w:val="312" w:hRule="exact"/>
        </w:trPr>
        <w:tc>
          <w:tcPr>
            <w:tcW w:w="6012" w:type="dxa"/>
            <w:tcBorders>
              <w:top w:val="nil" w:sz="6" w:space="0" w:color="auto"/>
              <w:left w:val="nil" w:sz="6" w:space="0" w:color="auto"/>
              <w:bottom w:val="nil" w:sz="6" w:space="0" w:color="auto"/>
              <w:right w:val="nil" w:sz="6" w:space="0" w:color="auto"/>
            </w:tcBorders>
          </w:tcPr>
          <w:p>
            <w:pPr>
              <w:pStyle w:val="TableParagraph"/>
              <w:spacing w:line="250" w:lineRule="exact"/>
              <w:ind w:left="233" w:right="0"/>
              <w:jc w:val="left"/>
              <w:rPr>
                <w:rFonts w:ascii="黑体" w:hAnsi="黑体" w:cs="黑体" w:eastAsia="黑体" w:hint="default"/>
                <w:sz w:val="20"/>
                <w:szCs w:val="20"/>
              </w:rPr>
            </w:pPr>
            <w:r>
              <w:rPr>
                <w:rFonts w:ascii="黑体" w:hAnsi="黑体" w:cs="黑体" w:eastAsia="黑体" w:hint="default"/>
                <w:sz w:val="20"/>
                <w:szCs w:val="20"/>
              </w:rPr>
              <w:t>地方财政补贴</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6"/>
              <w:jc w:val="right"/>
              <w:rPr>
                <w:rFonts w:ascii="Arial" w:hAnsi="Arial" w:cs="Arial" w:eastAsia="Arial" w:hint="default"/>
                <w:sz w:val="20"/>
                <w:szCs w:val="20"/>
              </w:rPr>
            </w:pPr>
            <w:r>
              <w:rPr>
                <w:rFonts w:ascii="Arial"/>
                <w:spacing w:val="-1"/>
                <w:sz w:val="20"/>
              </w:rPr>
              <w:t>4,151,000</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9"/>
              <w:jc w:val="right"/>
              <w:rPr>
                <w:rFonts w:ascii="Arial" w:hAnsi="Arial" w:cs="Arial" w:eastAsia="Arial" w:hint="default"/>
                <w:sz w:val="20"/>
                <w:szCs w:val="20"/>
              </w:rPr>
            </w:pPr>
            <w:r>
              <w:rPr>
                <w:rFonts w:ascii="Arial"/>
                <w:spacing w:val="-1"/>
                <w:sz w:val="20"/>
              </w:rPr>
              <w:t>2,656,758</w:t>
            </w:r>
          </w:p>
        </w:tc>
      </w:tr>
      <w:tr>
        <w:trPr>
          <w:trHeight w:val="312" w:hRule="exact"/>
        </w:trPr>
        <w:tc>
          <w:tcPr>
            <w:tcW w:w="6012" w:type="dxa"/>
            <w:tcBorders>
              <w:top w:val="nil" w:sz="6" w:space="0" w:color="auto"/>
              <w:left w:val="nil" w:sz="6" w:space="0" w:color="auto"/>
              <w:bottom w:val="nil" w:sz="6" w:space="0" w:color="auto"/>
              <w:right w:val="nil" w:sz="6" w:space="0" w:color="auto"/>
            </w:tcBorders>
          </w:tcPr>
          <w:p>
            <w:pPr>
              <w:pStyle w:val="TableParagraph"/>
              <w:spacing w:line="250" w:lineRule="exact"/>
              <w:ind w:left="233" w:right="0"/>
              <w:jc w:val="left"/>
              <w:rPr>
                <w:rFonts w:ascii="黑体" w:hAnsi="黑体" w:cs="黑体" w:eastAsia="黑体" w:hint="default"/>
                <w:sz w:val="20"/>
                <w:szCs w:val="20"/>
              </w:rPr>
            </w:pPr>
            <w:r>
              <w:rPr>
                <w:rFonts w:ascii="黑体" w:hAnsi="黑体" w:cs="黑体" w:eastAsia="黑体" w:hint="default"/>
                <w:sz w:val="20"/>
                <w:szCs w:val="20"/>
              </w:rPr>
              <w:t>重大科技成果转化奖励</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6"/>
              <w:jc w:val="right"/>
              <w:rPr>
                <w:rFonts w:ascii="Arial" w:hAnsi="Arial" w:cs="Arial" w:eastAsia="Arial" w:hint="default"/>
                <w:sz w:val="20"/>
                <w:szCs w:val="20"/>
              </w:rPr>
            </w:pPr>
            <w:r>
              <w:rPr>
                <w:rFonts w:ascii="Arial"/>
                <w:spacing w:val="-1"/>
                <w:sz w:val="20"/>
              </w:rPr>
              <w:t>3,000,000</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20"/>
                <w:szCs w:val="20"/>
              </w:rPr>
            </w:pPr>
            <w:r>
              <w:rPr>
                <w:rFonts w:ascii="Arial"/>
                <w:w w:val="99"/>
                <w:sz w:val="20"/>
              </w:rPr>
              <w:t>-</w:t>
            </w:r>
            <w:r>
              <w:rPr>
                <w:rFonts w:ascii="Arial"/>
                <w:sz w:val="20"/>
              </w:rPr>
            </w:r>
          </w:p>
        </w:tc>
      </w:tr>
      <w:tr>
        <w:trPr>
          <w:trHeight w:val="312" w:hRule="exact"/>
        </w:trPr>
        <w:tc>
          <w:tcPr>
            <w:tcW w:w="6012" w:type="dxa"/>
            <w:tcBorders>
              <w:top w:val="nil" w:sz="6" w:space="0" w:color="auto"/>
              <w:left w:val="nil" w:sz="6" w:space="0" w:color="auto"/>
              <w:bottom w:val="nil" w:sz="6" w:space="0" w:color="auto"/>
              <w:right w:val="nil" w:sz="6" w:space="0" w:color="auto"/>
            </w:tcBorders>
          </w:tcPr>
          <w:p>
            <w:pPr>
              <w:pStyle w:val="TableParagraph"/>
              <w:spacing w:line="264" w:lineRule="exact"/>
              <w:ind w:left="233"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年海淀区企业研发中心补贴专项新获批企业研发中心补贴</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6"/>
              <w:jc w:val="right"/>
              <w:rPr>
                <w:rFonts w:ascii="Arial" w:hAnsi="Arial" w:cs="Arial" w:eastAsia="Arial" w:hint="default"/>
                <w:sz w:val="20"/>
                <w:szCs w:val="20"/>
              </w:rPr>
            </w:pPr>
            <w:r>
              <w:rPr>
                <w:rFonts w:ascii="Arial"/>
                <w:spacing w:val="-1"/>
                <w:sz w:val="20"/>
              </w:rPr>
              <w:t>1,717,400</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9"/>
              <w:jc w:val="right"/>
              <w:rPr>
                <w:rFonts w:ascii="Arial" w:hAnsi="Arial" w:cs="Arial" w:eastAsia="Arial" w:hint="default"/>
                <w:sz w:val="20"/>
                <w:szCs w:val="20"/>
              </w:rPr>
            </w:pPr>
            <w:r>
              <w:rPr>
                <w:rFonts w:ascii="Arial"/>
                <w:spacing w:val="-1"/>
                <w:w w:val="95"/>
                <w:sz w:val="20"/>
              </w:rPr>
              <w:t>500,000</w:t>
            </w:r>
            <w:r>
              <w:rPr>
                <w:rFonts w:ascii="Arial"/>
                <w:sz w:val="20"/>
              </w:rPr>
            </w:r>
          </w:p>
        </w:tc>
      </w:tr>
      <w:tr>
        <w:trPr>
          <w:trHeight w:val="312" w:hRule="exact"/>
        </w:trPr>
        <w:tc>
          <w:tcPr>
            <w:tcW w:w="6012" w:type="dxa"/>
            <w:tcBorders>
              <w:top w:val="nil" w:sz="6" w:space="0" w:color="auto"/>
              <w:left w:val="nil" w:sz="6" w:space="0" w:color="auto"/>
              <w:bottom w:val="nil" w:sz="6" w:space="0" w:color="auto"/>
              <w:right w:val="nil" w:sz="6" w:space="0" w:color="auto"/>
            </w:tcBorders>
          </w:tcPr>
          <w:p>
            <w:pPr>
              <w:pStyle w:val="TableParagraph"/>
              <w:spacing w:line="250" w:lineRule="exact"/>
              <w:ind w:left="233" w:right="0"/>
              <w:jc w:val="left"/>
              <w:rPr>
                <w:rFonts w:ascii="黑体" w:hAnsi="黑体" w:cs="黑体" w:eastAsia="黑体" w:hint="default"/>
                <w:sz w:val="20"/>
                <w:szCs w:val="20"/>
              </w:rPr>
            </w:pPr>
            <w:r>
              <w:rPr>
                <w:rFonts w:ascii="黑体" w:hAnsi="黑体" w:cs="黑体" w:eastAsia="黑体" w:hint="default"/>
                <w:sz w:val="20"/>
                <w:szCs w:val="20"/>
              </w:rPr>
              <w:t>广州市发展改革委员会服务业专项资金</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6"/>
              <w:jc w:val="right"/>
              <w:rPr>
                <w:rFonts w:ascii="Arial" w:hAnsi="Arial" w:cs="Arial" w:eastAsia="Arial" w:hint="default"/>
                <w:sz w:val="20"/>
                <w:szCs w:val="20"/>
              </w:rPr>
            </w:pPr>
            <w:r>
              <w:rPr>
                <w:rFonts w:ascii="Arial"/>
                <w:spacing w:val="-1"/>
                <w:sz w:val="20"/>
              </w:rPr>
              <w:t>1,474,250</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20"/>
                <w:szCs w:val="20"/>
              </w:rPr>
            </w:pPr>
            <w:r>
              <w:rPr>
                <w:rFonts w:ascii="Arial"/>
                <w:w w:val="99"/>
                <w:sz w:val="20"/>
              </w:rPr>
              <w:t>-</w:t>
            </w:r>
            <w:r>
              <w:rPr>
                <w:rFonts w:ascii="Arial"/>
                <w:sz w:val="20"/>
              </w:rPr>
            </w:r>
          </w:p>
        </w:tc>
      </w:tr>
      <w:tr>
        <w:trPr>
          <w:trHeight w:val="624" w:hRule="exact"/>
        </w:trPr>
        <w:tc>
          <w:tcPr>
            <w:tcW w:w="6012" w:type="dxa"/>
            <w:tcBorders>
              <w:top w:val="nil" w:sz="6" w:space="0" w:color="auto"/>
              <w:left w:val="nil" w:sz="6" w:space="0" w:color="auto"/>
              <w:bottom w:val="nil" w:sz="6" w:space="0" w:color="auto"/>
              <w:right w:val="nil" w:sz="6" w:space="0" w:color="auto"/>
            </w:tcBorders>
          </w:tcPr>
          <w:p>
            <w:pPr>
              <w:pStyle w:val="TableParagraph"/>
              <w:spacing w:line="271" w:lineRule="auto"/>
              <w:ind w:left="437" w:right="253" w:hanging="204"/>
              <w:jc w:val="left"/>
              <w:rPr>
                <w:rFonts w:ascii="黑体" w:hAnsi="黑体" w:cs="黑体" w:eastAsia="黑体" w:hint="default"/>
                <w:sz w:val="20"/>
                <w:szCs w:val="20"/>
              </w:rPr>
            </w:pPr>
            <w:r>
              <w:rPr>
                <w:rFonts w:ascii="黑体" w:hAnsi="黑体" w:cs="黑体" w:eastAsia="黑体" w:hint="default"/>
                <w:spacing w:val="-3"/>
                <w:w w:val="99"/>
                <w:sz w:val="20"/>
                <w:szCs w:val="20"/>
              </w:rPr>
              <w:t>北京市发展与改革委员会“基于</w:t>
            </w:r>
            <w:r>
              <w:rPr>
                <w:rFonts w:ascii="Arial" w:hAnsi="Arial" w:cs="Arial" w:eastAsia="Arial" w:hint="default"/>
                <w:spacing w:val="-3"/>
                <w:w w:val="99"/>
                <w:sz w:val="20"/>
                <w:szCs w:val="20"/>
              </w:rPr>
              <w:t>SOA</w:t>
            </w:r>
            <w:r>
              <w:rPr>
                <w:rFonts w:ascii="黑体" w:hAnsi="黑体" w:cs="黑体" w:eastAsia="黑体" w:hint="default"/>
                <w:spacing w:val="-3"/>
                <w:w w:val="99"/>
                <w:sz w:val="20"/>
                <w:szCs w:val="20"/>
              </w:rPr>
              <w:t>架构的新一代企业管理应用</w:t>
            </w:r>
            <w:r>
              <w:rPr>
                <w:rFonts w:ascii="黑体" w:hAnsi="黑体" w:cs="黑体" w:eastAsia="黑体" w:hint="default"/>
                <w:spacing w:val="-94"/>
                <w:w w:val="99"/>
                <w:sz w:val="20"/>
                <w:szCs w:val="20"/>
              </w:rPr>
              <w:t> </w:t>
            </w:r>
            <w:r>
              <w:rPr>
                <w:rFonts w:ascii="黑体" w:hAnsi="黑体" w:cs="黑体" w:eastAsia="黑体" w:hint="default"/>
                <w:spacing w:val="-94"/>
                <w:w w:val="99"/>
                <w:sz w:val="20"/>
                <w:szCs w:val="20"/>
              </w:rPr>
            </w:r>
            <w:r>
              <w:rPr>
                <w:rFonts w:ascii="黑体" w:hAnsi="黑体" w:cs="黑体" w:eastAsia="黑体" w:hint="default"/>
                <w:sz w:val="20"/>
                <w:szCs w:val="20"/>
              </w:rPr>
              <w:t>系统</w:t>
            </w:r>
            <w:r>
              <w:rPr>
                <w:rFonts w:ascii="Arial" w:hAnsi="Arial" w:cs="Arial" w:eastAsia="Arial" w:hint="default"/>
                <w:sz w:val="20"/>
                <w:szCs w:val="20"/>
              </w:rPr>
              <w:t>(U9)</w:t>
            </w:r>
            <w:r>
              <w:rPr>
                <w:rFonts w:ascii="黑体" w:hAnsi="黑体" w:cs="黑体" w:eastAsia="黑体" w:hint="default"/>
                <w:sz w:val="20"/>
                <w:szCs w:val="20"/>
              </w:rPr>
              <w:t>研发及产业化”</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26"/>
                <w:szCs w:val="26"/>
              </w:rPr>
            </w:pPr>
          </w:p>
          <w:p>
            <w:pPr>
              <w:pStyle w:val="TableParagraph"/>
              <w:spacing w:line="240" w:lineRule="auto"/>
              <w:ind w:right="136"/>
              <w:jc w:val="right"/>
              <w:rPr>
                <w:rFonts w:ascii="Arial" w:hAnsi="Arial" w:cs="Arial" w:eastAsia="Arial" w:hint="default"/>
                <w:sz w:val="20"/>
                <w:szCs w:val="20"/>
              </w:rPr>
            </w:pPr>
            <w:r>
              <w:rPr>
                <w:rFonts w:ascii="Arial"/>
                <w:spacing w:val="-1"/>
                <w:sz w:val="20"/>
              </w:rPr>
              <w:t>1,000,000</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sz w:val="26"/>
                <w:szCs w:val="26"/>
              </w:rPr>
            </w:pPr>
          </w:p>
          <w:p>
            <w:pPr>
              <w:pStyle w:val="TableParagraph"/>
              <w:spacing w:line="240" w:lineRule="auto"/>
              <w:ind w:right="199"/>
              <w:jc w:val="right"/>
              <w:rPr>
                <w:rFonts w:ascii="Arial" w:hAnsi="Arial" w:cs="Arial" w:eastAsia="Arial" w:hint="default"/>
                <w:sz w:val="20"/>
                <w:szCs w:val="20"/>
              </w:rPr>
            </w:pPr>
            <w:r>
              <w:rPr>
                <w:rFonts w:ascii="Arial"/>
                <w:spacing w:val="-1"/>
                <w:sz w:val="20"/>
              </w:rPr>
              <w:t>4,000,000</w:t>
            </w:r>
          </w:p>
        </w:tc>
      </w:tr>
      <w:tr>
        <w:trPr>
          <w:trHeight w:val="312" w:hRule="exact"/>
        </w:trPr>
        <w:tc>
          <w:tcPr>
            <w:tcW w:w="6012" w:type="dxa"/>
            <w:tcBorders>
              <w:top w:val="nil" w:sz="6" w:space="0" w:color="auto"/>
              <w:left w:val="nil" w:sz="6" w:space="0" w:color="auto"/>
              <w:bottom w:val="nil" w:sz="6" w:space="0" w:color="auto"/>
              <w:right w:val="nil" w:sz="6" w:space="0" w:color="auto"/>
            </w:tcBorders>
          </w:tcPr>
          <w:p>
            <w:pPr>
              <w:pStyle w:val="TableParagraph"/>
              <w:spacing w:line="250" w:lineRule="exact"/>
              <w:ind w:left="233" w:right="0"/>
              <w:jc w:val="left"/>
              <w:rPr>
                <w:rFonts w:ascii="黑体" w:hAnsi="黑体" w:cs="黑体" w:eastAsia="黑体" w:hint="default"/>
                <w:sz w:val="20"/>
                <w:szCs w:val="20"/>
              </w:rPr>
            </w:pPr>
            <w:r>
              <w:rPr>
                <w:rFonts w:ascii="黑体" w:hAnsi="黑体" w:cs="黑体" w:eastAsia="黑体" w:hint="default"/>
                <w:sz w:val="20"/>
                <w:szCs w:val="20"/>
              </w:rPr>
              <w:t>中关村国家自主创新示范区产业技术联盟专项基金</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6"/>
              <w:jc w:val="right"/>
              <w:rPr>
                <w:rFonts w:ascii="Arial" w:hAnsi="Arial" w:cs="Arial" w:eastAsia="Arial" w:hint="default"/>
                <w:sz w:val="20"/>
                <w:szCs w:val="20"/>
              </w:rPr>
            </w:pPr>
            <w:r>
              <w:rPr>
                <w:rFonts w:ascii="Arial"/>
                <w:spacing w:val="-1"/>
                <w:sz w:val="20"/>
              </w:rPr>
              <w:t>1,000,000</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20"/>
                <w:szCs w:val="20"/>
              </w:rPr>
            </w:pPr>
            <w:r>
              <w:rPr>
                <w:rFonts w:ascii="Arial"/>
                <w:w w:val="99"/>
                <w:sz w:val="20"/>
              </w:rPr>
              <w:t>-</w:t>
            </w:r>
            <w:r>
              <w:rPr>
                <w:rFonts w:ascii="Arial"/>
                <w:sz w:val="20"/>
              </w:rPr>
            </w:r>
          </w:p>
        </w:tc>
      </w:tr>
      <w:tr>
        <w:trPr>
          <w:trHeight w:val="312" w:hRule="exact"/>
        </w:trPr>
        <w:tc>
          <w:tcPr>
            <w:tcW w:w="6012" w:type="dxa"/>
            <w:tcBorders>
              <w:top w:val="nil" w:sz="6" w:space="0" w:color="auto"/>
              <w:left w:val="nil" w:sz="6" w:space="0" w:color="auto"/>
              <w:bottom w:val="nil" w:sz="6" w:space="0" w:color="auto"/>
              <w:right w:val="nil" w:sz="6" w:space="0" w:color="auto"/>
            </w:tcBorders>
          </w:tcPr>
          <w:p>
            <w:pPr>
              <w:pStyle w:val="TableParagraph"/>
              <w:spacing w:line="264" w:lineRule="exact"/>
              <w:ind w:left="233" w:right="0"/>
              <w:jc w:val="left"/>
              <w:rPr>
                <w:rFonts w:ascii="黑体" w:hAnsi="黑体" w:cs="黑体" w:eastAsia="黑体" w:hint="default"/>
                <w:sz w:val="20"/>
                <w:szCs w:val="20"/>
              </w:rPr>
            </w:pPr>
            <w:r>
              <w:rPr>
                <w:rFonts w:ascii="Arial" w:hAnsi="Arial" w:cs="Arial" w:eastAsia="Arial" w:hint="default"/>
                <w:sz w:val="20"/>
                <w:szCs w:val="20"/>
              </w:rPr>
              <w:t>2012</w:t>
            </w:r>
            <w:r>
              <w:rPr>
                <w:rFonts w:ascii="黑体" w:hAnsi="黑体" w:cs="黑体" w:eastAsia="黑体" w:hint="default"/>
                <w:sz w:val="20"/>
                <w:szCs w:val="20"/>
              </w:rPr>
              <w:t>年度北京市高新技术成果转化项目财政专项资金</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6"/>
              <w:jc w:val="right"/>
              <w:rPr>
                <w:rFonts w:ascii="Arial" w:hAnsi="Arial" w:cs="Arial" w:eastAsia="Arial" w:hint="default"/>
                <w:sz w:val="20"/>
                <w:szCs w:val="20"/>
              </w:rPr>
            </w:pPr>
            <w:r>
              <w:rPr>
                <w:rFonts w:ascii="Arial"/>
                <w:spacing w:val="-1"/>
                <w:sz w:val="20"/>
              </w:rPr>
              <w:t>1,000,000</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20"/>
                <w:szCs w:val="20"/>
              </w:rPr>
            </w:pPr>
            <w:r>
              <w:rPr>
                <w:rFonts w:ascii="Arial"/>
                <w:w w:val="99"/>
                <w:sz w:val="20"/>
              </w:rPr>
              <w:t>-</w:t>
            </w:r>
            <w:r>
              <w:rPr>
                <w:rFonts w:ascii="Arial"/>
                <w:sz w:val="20"/>
              </w:rPr>
            </w:r>
          </w:p>
        </w:tc>
      </w:tr>
      <w:tr>
        <w:trPr>
          <w:trHeight w:val="312" w:hRule="exact"/>
        </w:trPr>
        <w:tc>
          <w:tcPr>
            <w:tcW w:w="6012" w:type="dxa"/>
            <w:tcBorders>
              <w:top w:val="nil" w:sz="6" w:space="0" w:color="auto"/>
              <w:left w:val="nil" w:sz="6" w:space="0" w:color="auto"/>
              <w:bottom w:val="nil" w:sz="6" w:space="0" w:color="auto"/>
              <w:right w:val="nil" w:sz="6" w:space="0" w:color="auto"/>
            </w:tcBorders>
          </w:tcPr>
          <w:p>
            <w:pPr>
              <w:pStyle w:val="TableParagraph"/>
              <w:spacing w:line="250" w:lineRule="exact"/>
              <w:ind w:left="233" w:right="0"/>
              <w:jc w:val="left"/>
              <w:rPr>
                <w:rFonts w:ascii="黑体" w:hAnsi="黑体" w:cs="黑体" w:eastAsia="黑体" w:hint="default"/>
                <w:sz w:val="20"/>
                <w:szCs w:val="20"/>
              </w:rPr>
            </w:pPr>
            <w:r>
              <w:rPr>
                <w:rFonts w:ascii="黑体" w:hAnsi="黑体" w:cs="黑体" w:eastAsia="黑体" w:hint="default"/>
                <w:sz w:val="20"/>
                <w:szCs w:val="20"/>
              </w:rPr>
              <w:t>厦门市思明区优惠政策资金</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7"/>
              <w:jc w:val="right"/>
              <w:rPr>
                <w:rFonts w:ascii="Arial" w:hAnsi="Arial" w:cs="Arial" w:eastAsia="Arial" w:hint="default"/>
                <w:sz w:val="20"/>
                <w:szCs w:val="20"/>
              </w:rPr>
            </w:pPr>
            <w:r>
              <w:rPr>
                <w:rFonts w:ascii="Arial"/>
                <w:spacing w:val="-1"/>
                <w:w w:val="95"/>
                <w:sz w:val="20"/>
              </w:rPr>
              <w:t>869,630</w:t>
            </w:r>
            <w:r>
              <w:rPr>
                <w:rFonts w:ascii="Arial"/>
                <w:sz w:val="20"/>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20"/>
                <w:szCs w:val="20"/>
              </w:rPr>
            </w:pPr>
            <w:r>
              <w:rPr>
                <w:rFonts w:ascii="Arial"/>
                <w:w w:val="99"/>
                <w:sz w:val="20"/>
              </w:rPr>
              <w:t>-</w:t>
            </w:r>
            <w:r>
              <w:rPr>
                <w:rFonts w:ascii="Arial"/>
                <w:sz w:val="20"/>
              </w:rPr>
            </w:r>
          </w:p>
        </w:tc>
      </w:tr>
      <w:tr>
        <w:trPr>
          <w:trHeight w:val="312" w:hRule="exact"/>
        </w:trPr>
        <w:tc>
          <w:tcPr>
            <w:tcW w:w="6012" w:type="dxa"/>
            <w:tcBorders>
              <w:top w:val="nil" w:sz="6" w:space="0" w:color="auto"/>
              <w:left w:val="nil" w:sz="6" w:space="0" w:color="auto"/>
              <w:bottom w:val="nil" w:sz="6" w:space="0" w:color="auto"/>
              <w:right w:val="nil" w:sz="6" w:space="0" w:color="auto"/>
            </w:tcBorders>
          </w:tcPr>
          <w:p>
            <w:pPr>
              <w:pStyle w:val="TableParagraph"/>
              <w:spacing w:line="250" w:lineRule="exact"/>
              <w:ind w:left="233" w:right="0"/>
              <w:jc w:val="left"/>
              <w:rPr>
                <w:rFonts w:ascii="黑体" w:hAnsi="黑体" w:cs="黑体" w:eastAsia="黑体" w:hint="default"/>
                <w:sz w:val="20"/>
                <w:szCs w:val="20"/>
              </w:rPr>
            </w:pPr>
            <w:r>
              <w:rPr>
                <w:rFonts w:ascii="黑体" w:hAnsi="黑体" w:cs="黑体" w:eastAsia="黑体" w:hint="default"/>
                <w:sz w:val="20"/>
                <w:szCs w:val="20"/>
              </w:rPr>
              <w:t>厦门市财政局专项资金</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7"/>
              <w:jc w:val="right"/>
              <w:rPr>
                <w:rFonts w:ascii="Arial" w:hAnsi="Arial" w:cs="Arial" w:eastAsia="Arial" w:hint="default"/>
                <w:sz w:val="20"/>
                <w:szCs w:val="20"/>
              </w:rPr>
            </w:pPr>
            <w:r>
              <w:rPr>
                <w:rFonts w:ascii="Arial"/>
                <w:spacing w:val="-1"/>
                <w:w w:val="95"/>
                <w:sz w:val="20"/>
              </w:rPr>
              <w:t>500,000</w:t>
            </w:r>
            <w:r>
              <w:rPr>
                <w:rFonts w:ascii="Arial"/>
                <w:sz w:val="20"/>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20"/>
                <w:szCs w:val="20"/>
              </w:rPr>
            </w:pPr>
            <w:r>
              <w:rPr>
                <w:rFonts w:ascii="Arial"/>
                <w:w w:val="99"/>
                <w:sz w:val="20"/>
              </w:rPr>
              <w:t>-</w:t>
            </w:r>
            <w:r>
              <w:rPr>
                <w:rFonts w:ascii="Arial"/>
                <w:sz w:val="20"/>
              </w:rPr>
            </w:r>
          </w:p>
        </w:tc>
      </w:tr>
      <w:tr>
        <w:trPr>
          <w:trHeight w:val="312" w:hRule="exact"/>
        </w:trPr>
        <w:tc>
          <w:tcPr>
            <w:tcW w:w="6012" w:type="dxa"/>
            <w:tcBorders>
              <w:top w:val="nil" w:sz="6" w:space="0" w:color="auto"/>
              <w:left w:val="nil" w:sz="6" w:space="0" w:color="auto"/>
              <w:bottom w:val="nil" w:sz="6" w:space="0" w:color="auto"/>
              <w:right w:val="nil" w:sz="6" w:space="0" w:color="auto"/>
            </w:tcBorders>
          </w:tcPr>
          <w:p>
            <w:pPr>
              <w:pStyle w:val="TableParagraph"/>
              <w:spacing w:line="250" w:lineRule="exact"/>
              <w:ind w:left="233" w:right="0"/>
              <w:jc w:val="left"/>
              <w:rPr>
                <w:rFonts w:ascii="黑体" w:hAnsi="黑体" w:cs="黑体" w:eastAsia="黑体" w:hint="default"/>
                <w:sz w:val="20"/>
                <w:szCs w:val="20"/>
              </w:rPr>
            </w:pPr>
            <w:r>
              <w:rPr>
                <w:rFonts w:ascii="黑体" w:hAnsi="黑体" w:cs="黑体" w:eastAsia="黑体" w:hint="default"/>
                <w:sz w:val="20"/>
                <w:szCs w:val="20"/>
              </w:rPr>
              <w:t>厦门市思明区鼓励软件产业发展资金</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7"/>
              <w:jc w:val="right"/>
              <w:rPr>
                <w:rFonts w:ascii="Arial" w:hAnsi="Arial" w:cs="Arial" w:eastAsia="Arial" w:hint="default"/>
                <w:sz w:val="20"/>
                <w:szCs w:val="20"/>
              </w:rPr>
            </w:pPr>
            <w:r>
              <w:rPr>
                <w:rFonts w:ascii="Arial"/>
                <w:spacing w:val="-1"/>
                <w:w w:val="95"/>
                <w:sz w:val="20"/>
              </w:rPr>
              <w:t>500,000</w:t>
            </w:r>
            <w:r>
              <w:rPr>
                <w:rFonts w:ascii="Arial"/>
                <w:sz w:val="20"/>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20"/>
                <w:szCs w:val="20"/>
              </w:rPr>
            </w:pPr>
            <w:r>
              <w:rPr>
                <w:rFonts w:ascii="Arial"/>
                <w:w w:val="99"/>
                <w:sz w:val="20"/>
              </w:rPr>
              <w:t>-</w:t>
            </w:r>
            <w:r>
              <w:rPr>
                <w:rFonts w:ascii="Arial"/>
                <w:sz w:val="20"/>
              </w:rPr>
            </w:r>
          </w:p>
        </w:tc>
      </w:tr>
      <w:tr>
        <w:trPr>
          <w:trHeight w:val="312" w:hRule="exact"/>
        </w:trPr>
        <w:tc>
          <w:tcPr>
            <w:tcW w:w="6012" w:type="dxa"/>
            <w:tcBorders>
              <w:top w:val="nil" w:sz="6" w:space="0" w:color="auto"/>
              <w:left w:val="nil" w:sz="6" w:space="0" w:color="auto"/>
              <w:bottom w:val="nil" w:sz="6" w:space="0" w:color="auto"/>
              <w:right w:val="nil" w:sz="6" w:space="0" w:color="auto"/>
            </w:tcBorders>
          </w:tcPr>
          <w:p>
            <w:pPr>
              <w:pStyle w:val="TableParagraph"/>
              <w:spacing w:line="250" w:lineRule="exact"/>
              <w:ind w:left="233" w:right="0"/>
              <w:jc w:val="left"/>
              <w:rPr>
                <w:rFonts w:ascii="黑体" w:hAnsi="黑体" w:cs="黑体" w:eastAsia="黑体" w:hint="default"/>
                <w:sz w:val="20"/>
                <w:szCs w:val="20"/>
              </w:rPr>
            </w:pPr>
            <w:r>
              <w:rPr>
                <w:rFonts w:ascii="黑体" w:hAnsi="黑体" w:cs="黑体" w:eastAsia="黑体" w:hint="default"/>
                <w:sz w:val="20"/>
                <w:szCs w:val="20"/>
              </w:rPr>
              <w:t>国家知识产权局北京代办处专利资助金</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7"/>
              <w:jc w:val="right"/>
              <w:rPr>
                <w:rFonts w:ascii="Arial" w:hAnsi="Arial" w:cs="Arial" w:eastAsia="Arial" w:hint="default"/>
                <w:sz w:val="20"/>
                <w:szCs w:val="20"/>
              </w:rPr>
            </w:pPr>
            <w:r>
              <w:rPr>
                <w:rFonts w:ascii="Arial"/>
                <w:spacing w:val="-1"/>
                <w:w w:val="95"/>
                <w:sz w:val="20"/>
              </w:rPr>
              <w:t>499,350</w:t>
            </w:r>
            <w:r>
              <w:rPr>
                <w:rFonts w:ascii="Arial"/>
                <w:sz w:val="20"/>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20"/>
                <w:szCs w:val="20"/>
              </w:rPr>
            </w:pPr>
            <w:r>
              <w:rPr>
                <w:rFonts w:ascii="Arial"/>
                <w:w w:val="99"/>
                <w:sz w:val="20"/>
              </w:rPr>
              <w:t>-</w:t>
            </w:r>
            <w:r>
              <w:rPr>
                <w:rFonts w:ascii="Arial"/>
                <w:sz w:val="20"/>
              </w:rPr>
            </w:r>
          </w:p>
        </w:tc>
      </w:tr>
      <w:tr>
        <w:trPr>
          <w:trHeight w:val="312" w:hRule="exact"/>
        </w:trPr>
        <w:tc>
          <w:tcPr>
            <w:tcW w:w="6012" w:type="dxa"/>
            <w:tcBorders>
              <w:top w:val="nil" w:sz="6" w:space="0" w:color="auto"/>
              <w:left w:val="nil" w:sz="6" w:space="0" w:color="auto"/>
              <w:bottom w:val="nil" w:sz="6" w:space="0" w:color="auto"/>
              <w:right w:val="nil" w:sz="6" w:space="0" w:color="auto"/>
            </w:tcBorders>
          </w:tcPr>
          <w:p>
            <w:pPr>
              <w:pStyle w:val="TableParagraph"/>
              <w:spacing w:line="250" w:lineRule="exact"/>
              <w:ind w:left="233" w:right="0"/>
              <w:jc w:val="left"/>
              <w:rPr>
                <w:rFonts w:ascii="黑体" w:hAnsi="黑体" w:cs="黑体" w:eastAsia="黑体" w:hint="default"/>
                <w:sz w:val="20"/>
                <w:szCs w:val="20"/>
              </w:rPr>
            </w:pPr>
            <w:r>
              <w:rPr>
                <w:rFonts w:ascii="黑体" w:hAnsi="黑体" w:cs="黑体" w:eastAsia="黑体" w:hint="default"/>
                <w:sz w:val="20"/>
                <w:szCs w:val="20"/>
              </w:rPr>
              <w:t>福建省软件产业发展专项扶持资金</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7"/>
              <w:jc w:val="right"/>
              <w:rPr>
                <w:rFonts w:ascii="Arial" w:hAnsi="Arial" w:cs="Arial" w:eastAsia="Arial" w:hint="default"/>
                <w:sz w:val="20"/>
                <w:szCs w:val="20"/>
              </w:rPr>
            </w:pPr>
            <w:r>
              <w:rPr>
                <w:rFonts w:ascii="Arial"/>
                <w:spacing w:val="-1"/>
                <w:w w:val="95"/>
                <w:sz w:val="20"/>
              </w:rPr>
              <w:t>400,000</w:t>
            </w:r>
            <w:r>
              <w:rPr>
                <w:rFonts w:ascii="Arial"/>
                <w:sz w:val="20"/>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20"/>
                <w:szCs w:val="20"/>
              </w:rPr>
            </w:pPr>
            <w:r>
              <w:rPr>
                <w:rFonts w:ascii="Arial"/>
                <w:w w:val="99"/>
                <w:sz w:val="20"/>
              </w:rPr>
              <w:t>-</w:t>
            </w:r>
            <w:r>
              <w:rPr>
                <w:rFonts w:ascii="Arial"/>
                <w:sz w:val="20"/>
              </w:rPr>
            </w:r>
          </w:p>
        </w:tc>
      </w:tr>
      <w:tr>
        <w:trPr>
          <w:trHeight w:val="312" w:hRule="exact"/>
        </w:trPr>
        <w:tc>
          <w:tcPr>
            <w:tcW w:w="6012" w:type="dxa"/>
            <w:tcBorders>
              <w:top w:val="nil" w:sz="6" w:space="0" w:color="auto"/>
              <w:left w:val="nil" w:sz="6" w:space="0" w:color="auto"/>
              <w:bottom w:val="nil" w:sz="6" w:space="0" w:color="auto"/>
              <w:right w:val="nil" w:sz="6" w:space="0" w:color="auto"/>
            </w:tcBorders>
          </w:tcPr>
          <w:p>
            <w:pPr>
              <w:pStyle w:val="TableParagraph"/>
              <w:spacing w:line="250" w:lineRule="exact"/>
              <w:ind w:left="233" w:right="0"/>
              <w:jc w:val="left"/>
              <w:rPr>
                <w:rFonts w:ascii="黑体" w:hAnsi="黑体" w:cs="黑体" w:eastAsia="黑体" w:hint="default"/>
                <w:sz w:val="20"/>
                <w:szCs w:val="20"/>
              </w:rPr>
            </w:pPr>
            <w:r>
              <w:rPr>
                <w:rFonts w:ascii="黑体" w:hAnsi="黑体" w:cs="黑体" w:eastAsia="黑体" w:hint="default"/>
                <w:sz w:val="20"/>
                <w:szCs w:val="20"/>
              </w:rPr>
              <w:t>恒兴项目补贴</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7"/>
              <w:jc w:val="right"/>
              <w:rPr>
                <w:rFonts w:ascii="Arial" w:hAnsi="Arial" w:cs="Arial" w:eastAsia="Arial" w:hint="default"/>
                <w:sz w:val="20"/>
                <w:szCs w:val="20"/>
              </w:rPr>
            </w:pPr>
            <w:r>
              <w:rPr>
                <w:rFonts w:ascii="Arial"/>
                <w:spacing w:val="-1"/>
                <w:w w:val="95"/>
                <w:sz w:val="20"/>
              </w:rPr>
              <w:t>360,000</w:t>
            </w:r>
            <w:r>
              <w:rPr>
                <w:rFonts w:ascii="Arial"/>
                <w:sz w:val="20"/>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20"/>
                <w:szCs w:val="20"/>
              </w:rPr>
            </w:pPr>
            <w:r>
              <w:rPr>
                <w:rFonts w:ascii="Arial"/>
                <w:w w:val="99"/>
                <w:sz w:val="20"/>
              </w:rPr>
              <w:t>-</w:t>
            </w:r>
            <w:r>
              <w:rPr>
                <w:rFonts w:ascii="Arial"/>
                <w:sz w:val="20"/>
              </w:rPr>
            </w:r>
          </w:p>
        </w:tc>
      </w:tr>
      <w:tr>
        <w:trPr>
          <w:trHeight w:val="312" w:hRule="exact"/>
        </w:trPr>
        <w:tc>
          <w:tcPr>
            <w:tcW w:w="6012" w:type="dxa"/>
            <w:tcBorders>
              <w:top w:val="nil" w:sz="6" w:space="0" w:color="auto"/>
              <w:left w:val="nil" w:sz="6" w:space="0" w:color="auto"/>
              <w:bottom w:val="nil" w:sz="6" w:space="0" w:color="auto"/>
              <w:right w:val="nil" w:sz="6" w:space="0" w:color="auto"/>
            </w:tcBorders>
          </w:tcPr>
          <w:p>
            <w:pPr>
              <w:pStyle w:val="TableParagraph"/>
              <w:spacing w:line="264" w:lineRule="exact"/>
              <w:ind w:left="200" w:right="0"/>
              <w:jc w:val="left"/>
              <w:rPr>
                <w:rFonts w:ascii="黑体" w:hAnsi="黑体" w:cs="黑体" w:eastAsia="黑体" w:hint="default"/>
                <w:sz w:val="20"/>
                <w:szCs w:val="20"/>
              </w:rPr>
            </w:pPr>
            <w:r>
              <w:rPr>
                <w:rFonts w:ascii="黑体" w:hAnsi="黑体" w:cs="黑体" w:eastAsia="黑体" w:hint="default"/>
                <w:sz w:val="20"/>
                <w:szCs w:val="20"/>
              </w:rPr>
              <w:t>科研课题补助款——</w:t>
            </w:r>
            <w:r>
              <w:rPr>
                <w:rFonts w:ascii="Arial" w:hAnsi="Arial" w:cs="Arial" w:eastAsia="Arial" w:hint="default"/>
                <w:sz w:val="20"/>
                <w:szCs w:val="20"/>
              </w:rPr>
              <w:t>OTD</w:t>
            </w:r>
            <w:r>
              <w:rPr>
                <w:rFonts w:ascii="黑体" w:hAnsi="黑体" w:cs="黑体" w:eastAsia="黑体" w:hint="default"/>
                <w:sz w:val="20"/>
                <w:szCs w:val="20"/>
              </w:rPr>
              <w:t>项目</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7"/>
              <w:jc w:val="right"/>
              <w:rPr>
                <w:rFonts w:ascii="Arial" w:hAnsi="Arial" w:cs="Arial" w:eastAsia="Arial" w:hint="default"/>
                <w:sz w:val="20"/>
                <w:szCs w:val="20"/>
              </w:rPr>
            </w:pPr>
            <w:r>
              <w:rPr>
                <w:rFonts w:ascii="Arial"/>
                <w:spacing w:val="-1"/>
                <w:w w:val="95"/>
                <w:sz w:val="20"/>
              </w:rPr>
              <w:t>350,000</w:t>
            </w:r>
            <w:r>
              <w:rPr>
                <w:rFonts w:ascii="Arial"/>
                <w:sz w:val="20"/>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20"/>
                <w:szCs w:val="20"/>
              </w:rPr>
            </w:pPr>
            <w:r>
              <w:rPr>
                <w:rFonts w:ascii="Arial"/>
                <w:w w:val="99"/>
                <w:sz w:val="20"/>
              </w:rPr>
              <w:t>-</w:t>
            </w:r>
            <w:r>
              <w:rPr>
                <w:rFonts w:ascii="Arial"/>
                <w:sz w:val="20"/>
              </w:rPr>
            </w:r>
          </w:p>
        </w:tc>
      </w:tr>
      <w:tr>
        <w:trPr>
          <w:trHeight w:val="312" w:hRule="exact"/>
        </w:trPr>
        <w:tc>
          <w:tcPr>
            <w:tcW w:w="6012" w:type="dxa"/>
            <w:tcBorders>
              <w:top w:val="nil" w:sz="6" w:space="0" w:color="auto"/>
              <w:left w:val="nil" w:sz="6" w:space="0" w:color="auto"/>
              <w:bottom w:val="nil" w:sz="6" w:space="0" w:color="auto"/>
              <w:right w:val="nil" w:sz="6" w:space="0" w:color="auto"/>
            </w:tcBorders>
          </w:tcPr>
          <w:p>
            <w:pPr>
              <w:pStyle w:val="TableParagraph"/>
              <w:spacing w:line="250" w:lineRule="exact"/>
              <w:ind w:left="200" w:right="0"/>
              <w:jc w:val="left"/>
              <w:rPr>
                <w:rFonts w:ascii="黑体" w:hAnsi="黑体" w:cs="黑体" w:eastAsia="黑体" w:hint="default"/>
                <w:sz w:val="20"/>
                <w:szCs w:val="20"/>
              </w:rPr>
            </w:pPr>
            <w:r>
              <w:rPr>
                <w:rFonts w:ascii="黑体" w:hAnsi="黑体" w:cs="黑体" w:eastAsia="黑体" w:hint="default"/>
                <w:sz w:val="20"/>
                <w:szCs w:val="20"/>
              </w:rPr>
              <w:t>企业信息化补助</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7"/>
              <w:jc w:val="right"/>
              <w:rPr>
                <w:rFonts w:ascii="Arial" w:hAnsi="Arial" w:cs="Arial" w:eastAsia="Arial" w:hint="default"/>
                <w:sz w:val="20"/>
                <w:szCs w:val="20"/>
              </w:rPr>
            </w:pPr>
            <w:r>
              <w:rPr>
                <w:rFonts w:ascii="Arial"/>
                <w:spacing w:val="-1"/>
                <w:w w:val="95"/>
                <w:sz w:val="20"/>
              </w:rPr>
              <w:t>270,000</w:t>
            </w:r>
            <w:r>
              <w:rPr>
                <w:rFonts w:ascii="Arial"/>
                <w:sz w:val="20"/>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9"/>
              <w:jc w:val="right"/>
              <w:rPr>
                <w:rFonts w:ascii="Arial" w:hAnsi="Arial" w:cs="Arial" w:eastAsia="Arial" w:hint="default"/>
                <w:sz w:val="20"/>
                <w:szCs w:val="20"/>
              </w:rPr>
            </w:pPr>
            <w:r>
              <w:rPr>
                <w:rFonts w:ascii="Arial"/>
                <w:spacing w:val="-1"/>
                <w:w w:val="95"/>
                <w:sz w:val="20"/>
              </w:rPr>
              <w:t>830,000</w:t>
            </w:r>
            <w:r>
              <w:rPr>
                <w:rFonts w:ascii="Arial"/>
                <w:sz w:val="20"/>
              </w:rPr>
            </w:r>
          </w:p>
        </w:tc>
      </w:tr>
      <w:tr>
        <w:trPr>
          <w:trHeight w:val="312" w:hRule="exact"/>
        </w:trPr>
        <w:tc>
          <w:tcPr>
            <w:tcW w:w="6012" w:type="dxa"/>
            <w:tcBorders>
              <w:top w:val="nil" w:sz="6" w:space="0" w:color="auto"/>
              <w:left w:val="nil" w:sz="6" w:space="0" w:color="auto"/>
              <w:bottom w:val="nil" w:sz="6" w:space="0" w:color="auto"/>
              <w:right w:val="nil" w:sz="6" w:space="0" w:color="auto"/>
            </w:tcBorders>
          </w:tcPr>
          <w:p>
            <w:pPr>
              <w:pStyle w:val="TableParagraph"/>
              <w:spacing w:line="250" w:lineRule="exact"/>
              <w:ind w:left="233" w:right="0"/>
              <w:jc w:val="left"/>
              <w:rPr>
                <w:rFonts w:ascii="黑体" w:hAnsi="黑体" w:cs="黑体" w:eastAsia="黑体" w:hint="default"/>
                <w:sz w:val="20"/>
                <w:szCs w:val="20"/>
              </w:rPr>
            </w:pPr>
            <w:r>
              <w:rPr>
                <w:rFonts w:ascii="黑体" w:hAnsi="黑体" w:cs="黑体" w:eastAsia="黑体" w:hint="default"/>
                <w:sz w:val="20"/>
                <w:szCs w:val="20"/>
              </w:rPr>
              <w:t>优秀骨干人才承担的产业化项目扶持资金</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7"/>
              <w:jc w:val="right"/>
              <w:rPr>
                <w:rFonts w:ascii="Arial" w:hAnsi="Arial" w:cs="Arial" w:eastAsia="Arial" w:hint="default"/>
                <w:sz w:val="20"/>
                <w:szCs w:val="20"/>
              </w:rPr>
            </w:pPr>
            <w:r>
              <w:rPr>
                <w:rFonts w:ascii="Arial"/>
                <w:spacing w:val="-1"/>
                <w:w w:val="95"/>
                <w:sz w:val="20"/>
              </w:rPr>
              <w:t>100,000</w:t>
            </w:r>
            <w:r>
              <w:rPr>
                <w:rFonts w:ascii="Arial"/>
                <w:sz w:val="20"/>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20"/>
                <w:szCs w:val="20"/>
              </w:rPr>
            </w:pPr>
            <w:r>
              <w:rPr>
                <w:rFonts w:ascii="Arial"/>
                <w:w w:val="99"/>
                <w:sz w:val="20"/>
              </w:rPr>
              <w:t>-</w:t>
            </w:r>
            <w:r>
              <w:rPr>
                <w:rFonts w:ascii="Arial"/>
                <w:sz w:val="20"/>
              </w:rPr>
            </w:r>
          </w:p>
        </w:tc>
      </w:tr>
      <w:tr>
        <w:trPr>
          <w:trHeight w:val="312" w:hRule="exact"/>
        </w:trPr>
        <w:tc>
          <w:tcPr>
            <w:tcW w:w="6012" w:type="dxa"/>
            <w:tcBorders>
              <w:top w:val="nil" w:sz="6" w:space="0" w:color="auto"/>
              <w:left w:val="nil" w:sz="6" w:space="0" w:color="auto"/>
              <w:bottom w:val="nil" w:sz="6" w:space="0" w:color="auto"/>
              <w:right w:val="nil" w:sz="6" w:space="0" w:color="auto"/>
            </w:tcBorders>
          </w:tcPr>
          <w:p>
            <w:pPr>
              <w:pStyle w:val="TableParagraph"/>
              <w:spacing w:line="250" w:lineRule="exact"/>
              <w:ind w:left="233" w:right="0"/>
              <w:jc w:val="left"/>
              <w:rPr>
                <w:rFonts w:ascii="黑体" w:hAnsi="黑体" w:cs="黑体" w:eastAsia="黑体" w:hint="default"/>
                <w:sz w:val="20"/>
                <w:szCs w:val="20"/>
              </w:rPr>
            </w:pPr>
            <w:r>
              <w:rPr>
                <w:rFonts w:ascii="黑体" w:hAnsi="黑体" w:cs="黑体" w:eastAsia="黑体" w:hint="default"/>
                <w:sz w:val="20"/>
                <w:szCs w:val="20"/>
              </w:rPr>
              <w:t>用友集团管理软件技术改造项目</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5"/>
              <w:jc w:val="right"/>
              <w:rPr>
                <w:rFonts w:ascii="Arial" w:hAnsi="Arial" w:cs="Arial" w:eastAsia="Arial" w:hint="default"/>
                <w:sz w:val="20"/>
                <w:szCs w:val="20"/>
              </w:rPr>
            </w:pPr>
            <w:r>
              <w:rPr>
                <w:rFonts w:ascii="Arial"/>
                <w:w w:val="99"/>
                <w:sz w:val="20"/>
              </w:rPr>
              <w:t>-</w:t>
            </w:r>
            <w:r>
              <w:rPr>
                <w:rFonts w:ascii="Arial"/>
                <w:sz w:val="20"/>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9"/>
              <w:jc w:val="right"/>
              <w:rPr>
                <w:rFonts w:ascii="Arial" w:hAnsi="Arial" w:cs="Arial" w:eastAsia="Arial" w:hint="default"/>
                <w:sz w:val="20"/>
                <w:szCs w:val="20"/>
              </w:rPr>
            </w:pPr>
            <w:r>
              <w:rPr>
                <w:rFonts w:ascii="Arial"/>
                <w:spacing w:val="-1"/>
                <w:sz w:val="20"/>
              </w:rPr>
              <w:t>16,200,000</w:t>
            </w:r>
            <w:r>
              <w:rPr>
                <w:rFonts w:ascii="Arial"/>
                <w:sz w:val="20"/>
              </w:rPr>
            </w:r>
          </w:p>
        </w:tc>
      </w:tr>
      <w:tr>
        <w:trPr>
          <w:trHeight w:val="312" w:hRule="exact"/>
        </w:trPr>
        <w:tc>
          <w:tcPr>
            <w:tcW w:w="6012" w:type="dxa"/>
            <w:tcBorders>
              <w:top w:val="nil" w:sz="6" w:space="0" w:color="auto"/>
              <w:left w:val="nil" w:sz="6" w:space="0" w:color="auto"/>
              <w:bottom w:val="nil" w:sz="6" w:space="0" w:color="auto"/>
              <w:right w:val="nil" w:sz="6" w:space="0" w:color="auto"/>
            </w:tcBorders>
          </w:tcPr>
          <w:p>
            <w:pPr>
              <w:pStyle w:val="TableParagraph"/>
              <w:spacing w:line="250" w:lineRule="exact"/>
              <w:ind w:left="233" w:right="0"/>
              <w:jc w:val="left"/>
              <w:rPr>
                <w:rFonts w:ascii="黑体" w:hAnsi="黑体" w:cs="黑体" w:eastAsia="黑体" w:hint="default"/>
                <w:sz w:val="20"/>
                <w:szCs w:val="20"/>
              </w:rPr>
            </w:pPr>
            <w:r>
              <w:rPr>
                <w:rFonts w:ascii="黑体" w:hAnsi="黑体" w:cs="黑体" w:eastAsia="黑体" w:hint="default"/>
                <w:sz w:val="20"/>
                <w:szCs w:val="20"/>
              </w:rPr>
              <w:t>业务驱动的多企业资源协同管理系统成果转化和产业化</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5"/>
              <w:jc w:val="right"/>
              <w:rPr>
                <w:rFonts w:ascii="Arial" w:hAnsi="Arial" w:cs="Arial" w:eastAsia="Arial" w:hint="default"/>
                <w:sz w:val="20"/>
                <w:szCs w:val="20"/>
              </w:rPr>
            </w:pPr>
            <w:r>
              <w:rPr>
                <w:rFonts w:ascii="Arial"/>
                <w:w w:val="99"/>
                <w:sz w:val="20"/>
              </w:rPr>
              <w:t>-</w:t>
            </w:r>
            <w:r>
              <w:rPr>
                <w:rFonts w:ascii="Arial"/>
                <w:sz w:val="20"/>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9"/>
              <w:jc w:val="right"/>
              <w:rPr>
                <w:rFonts w:ascii="Arial" w:hAnsi="Arial" w:cs="Arial" w:eastAsia="Arial" w:hint="default"/>
                <w:sz w:val="20"/>
                <w:szCs w:val="20"/>
              </w:rPr>
            </w:pPr>
            <w:r>
              <w:rPr>
                <w:rFonts w:ascii="Arial"/>
                <w:spacing w:val="-1"/>
                <w:sz w:val="20"/>
              </w:rPr>
              <w:t>3,000,000</w:t>
            </w:r>
          </w:p>
        </w:tc>
      </w:tr>
      <w:tr>
        <w:trPr>
          <w:trHeight w:val="312" w:hRule="exact"/>
        </w:trPr>
        <w:tc>
          <w:tcPr>
            <w:tcW w:w="6012" w:type="dxa"/>
            <w:tcBorders>
              <w:top w:val="nil" w:sz="6" w:space="0" w:color="auto"/>
              <w:left w:val="nil" w:sz="6" w:space="0" w:color="auto"/>
              <w:bottom w:val="nil" w:sz="6" w:space="0" w:color="auto"/>
              <w:right w:val="nil" w:sz="6" w:space="0" w:color="auto"/>
            </w:tcBorders>
          </w:tcPr>
          <w:p>
            <w:pPr>
              <w:pStyle w:val="TableParagraph"/>
              <w:spacing w:line="250" w:lineRule="exact"/>
              <w:ind w:left="233" w:right="0"/>
              <w:jc w:val="left"/>
              <w:rPr>
                <w:rFonts w:ascii="黑体" w:hAnsi="黑体" w:cs="黑体" w:eastAsia="黑体" w:hint="default"/>
                <w:sz w:val="20"/>
                <w:szCs w:val="20"/>
              </w:rPr>
            </w:pPr>
            <w:r>
              <w:rPr>
                <w:rFonts w:ascii="黑体" w:hAnsi="黑体" w:cs="黑体" w:eastAsia="黑体" w:hint="default"/>
                <w:sz w:val="20"/>
                <w:szCs w:val="20"/>
              </w:rPr>
              <w:t>二商集团经营分析与决策支持系统研究开发及应用</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5"/>
              <w:jc w:val="right"/>
              <w:rPr>
                <w:rFonts w:ascii="Arial" w:hAnsi="Arial" w:cs="Arial" w:eastAsia="Arial" w:hint="default"/>
                <w:sz w:val="20"/>
                <w:szCs w:val="20"/>
              </w:rPr>
            </w:pPr>
            <w:r>
              <w:rPr>
                <w:rFonts w:ascii="Arial"/>
                <w:w w:val="99"/>
                <w:sz w:val="20"/>
              </w:rPr>
              <w:t>-</w:t>
            </w:r>
            <w:r>
              <w:rPr>
                <w:rFonts w:ascii="Arial"/>
                <w:sz w:val="20"/>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9"/>
              <w:jc w:val="right"/>
              <w:rPr>
                <w:rFonts w:ascii="Arial" w:hAnsi="Arial" w:cs="Arial" w:eastAsia="Arial" w:hint="default"/>
                <w:sz w:val="20"/>
                <w:szCs w:val="20"/>
              </w:rPr>
            </w:pPr>
            <w:r>
              <w:rPr>
                <w:rFonts w:ascii="Arial"/>
                <w:spacing w:val="-1"/>
                <w:sz w:val="20"/>
              </w:rPr>
              <w:t>2,500,000</w:t>
            </w:r>
          </w:p>
        </w:tc>
      </w:tr>
      <w:tr>
        <w:trPr>
          <w:trHeight w:val="312" w:hRule="exact"/>
        </w:trPr>
        <w:tc>
          <w:tcPr>
            <w:tcW w:w="6012" w:type="dxa"/>
            <w:tcBorders>
              <w:top w:val="nil" w:sz="6" w:space="0" w:color="auto"/>
              <w:left w:val="nil" w:sz="6" w:space="0" w:color="auto"/>
              <w:bottom w:val="nil" w:sz="6" w:space="0" w:color="auto"/>
              <w:right w:val="nil" w:sz="6" w:space="0" w:color="auto"/>
            </w:tcBorders>
          </w:tcPr>
          <w:p>
            <w:pPr>
              <w:pStyle w:val="TableParagraph"/>
              <w:spacing w:line="264" w:lineRule="exact"/>
              <w:ind w:left="233"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年第一批杭州市重点产业发展资金</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5"/>
              <w:jc w:val="right"/>
              <w:rPr>
                <w:rFonts w:ascii="Arial" w:hAnsi="Arial" w:cs="Arial" w:eastAsia="Arial" w:hint="default"/>
                <w:sz w:val="20"/>
                <w:szCs w:val="20"/>
              </w:rPr>
            </w:pPr>
            <w:r>
              <w:rPr>
                <w:rFonts w:ascii="Arial"/>
                <w:w w:val="99"/>
                <w:sz w:val="20"/>
              </w:rPr>
              <w:t>-</w:t>
            </w:r>
            <w:r>
              <w:rPr>
                <w:rFonts w:ascii="Arial"/>
                <w:sz w:val="20"/>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9"/>
              <w:jc w:val="right"/>
              <w:rPr>
                <w:rFonts w:ascii="Arial" w:hAnsi="Arial" w:cs="Arial" w:eastAsia="Arial" w:hint="default"/>
                <w:sz w:val="20"/>
                <w:szCs w:val="20"/>
              </w:rPr>
            </w:pPr>
            <w:r>
              <w:rPr>
                <w:rFonts w:ascii="Arial"/>
                <w:spacing w:val="-1"/>
                <w:w w:val="95"/>
                <w:sz w:val="20"/>
              </w:rPr>
              <w:t>830,000</w:t>
            </w:r>
            <w:r>
              <w:rPr>
                <w:rFonts w:ascii="Arial"/>
                <w:sz w:val="20"/>
              </w:rPr>
            </w:r>
          </w:p>
        </w:tc>
      </w:tr>
      <w:tr>
        <w:trPr>
          <w:trHeight w:val="312" w:hRule="exact"/>
        </w:trPr>
        <w:tc>
          <w:tcPr>
            <w:tcW w:w="6012" w:type="dxa"/>
            <w:tcBorders>
              <w:top w:val="nil" w:sz="6" w:space="0" w:color="auto"/>
              <w:left w:val="nil" w:sz="6" w:space="0" w:color="auto"/>
              <w:bottom w:val="nil" w:sz="6" w:space="0" w:color="auto"/>
              <w:right w:val="nil" w:sz="6" w:space="0" w:color="auto"/>
            </w:tcBorders>
          </w:tcPr>
          <w:p>
            <w:pPr>
              <w:pStyle w:val="TableParagraph"/>
              <w:spacing w:line="250" w:lineRule="exact"/>
              <w:ind w:left="233" w:right="0"/>
              <w:jc w:val="left"/>
              <w:rPr>
                <w:rFonts w:ascii="黑体" w:hAnsi="黑体" w:cs="黑体" w:eastAsia="黑体" w:hint="default"/>
                <w:sz w:val="20"/>
                <w:szCs w:val="20"/>
              </w:rPr>
            </w:pPr>
            <w:r>
              <w:rPr>
                <w:rFonts w:ascii="黑体" w:hAnsi="黑体" w:cs="黑体" w:eastAsia="黑体" w:hint="default"/>
                <w:sz w:val="20"/>
                <w:szCs w:val="20"/>
              </w:rPr>
              <w:t>科技计划项目扶持资金</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5"/>
              <w:jc w:val="right"/>
              <w:rPr>
                <w:rFonts w:ascii="Arial" w:hAnsi="Arial" w:cs="Arial" w:eastAsia="Arial" w:hint="default"/>
                <w:sz w:val="20"/>
                <w:szCs w:val="20"/>
              </w:rPr>
            </w:pPr>
            <w:r>
              <w:rPr>
                <w:rFonts w:ascii="Arial"/>
                <w:w w:val="99"/>
                <w:sz w:val="20"/>
              </w:rPr>
              <w:t>-</w:t>
            </w:r>
            <w:r>
              <w:rPr>
                <w:rFonts w:ascii="Arial"/>
                <w:sz w:val="20"/>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9"/>
              <w:jc w:val="right"/>
              <w:rPr>
                <w:rFonts w:ascii="Arial" w:hAnsi="Arial" w:cs="Arial" w:eastAsia="Arial" w:hint="default"/>
                <w:sz w:val="20"/>
                <w:szCs w:val="20"/>
              </w:rPr>
            </w:pPr>
            <w:r>
              <w:rPr>
                <w:rFonts w:ascii="Arial"/>
                <w:spacing w:val="-1"/>
                <w:w w:val="95"/>
                <w:sz w:val="20"/>
              </w:rPr>
              <w:t>700,000</w:t>
            </w:r>
            <w:r>
              <w:rPr>
                <w:rFonts w:ascii="Arial"/>
                <w:sz w:val="20"/>
              </w:rPr>
            </w:r>
          </w:p>
        </w:tc>
      </w:tr>
      <w:tr>
        <w:trPr>
          <w:trHeight w:val="312" w:hRule="exact"/>
        </w:trPr>
        <w:tc>
          <w:tcPr>
            <w:tcW w:w="6012" w:type="dxa"/>
            <w:tcBorders>
              <w:top w:val="nil" w:sz="6" w:space="0" w:color="auto"/>
              <w:left w:val="nil" w:sz="6" w:space="0" w:color="auto"/>
              <w:bottom w:val="nil" w:sz="6" w:space="0" w:color="auto"/>
              <w:right w:val="nil" w:sz="6" w:space="0" w:color="auto"/>
            </w:tcBorders>
          </w:tcPr>
          <w:p>
            <w:pPr>
              <w:pStyle w:val="TableParagraph"/>
              <w:spacing w:line="250" w:lineRule="exact"/>
              <w:ind w:left="233" w:right="0"/>
              <w:jc w:val="left"/>
              <w:rPr>
                <w:rFonts w:ascii="黑体" w:hAnsi="黑体" w:cs="黑体" w:eastAsia="黑体" w:hint="default"/>
                <w:sz w:val="20"/>
                <w:szCs w:val="20"/>
              </w:rPr>
            </w:pPr>
            <w:r>
              <w:rPr>
                <w:rFonts w:ascii="黑体" w:hAnsi="黑体" w:cs="黑体" w:eastAsia="黑体" w:hint="default"/>
                <w:sz w:val="20"/>
                <w:szCs w:val="20"/>
              </w:rPr>
              <w:t>中小企业补贴</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5"/>
              <w:jc w:val="right"/>
              <w:rPr>
                <w:rFonts w:ascii="Arial" w:hAnsi="Arial" w:cs="Arial" w:eastAsia="Arial" w:hint="default"/>
                <w:sz w:val="20"/>
                <w:szCs w:val="20"/>
              </w:rPr>
            </w:pPr>
            <w:r>
              <w:rPr>
                <w:rFonts w:ascii="Arial"/>
                <w:w w:val="99"/>
                <w:sz w:val="20"/>
              </w:rPr>
              <w:t>-</w:t>
            </w:r>
            <w:r>
              <w:rPr>
                <w:rFonts w:ascii="Arial"/>
                <w:sz w:val="20"/>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9"/>
              <w:jc w:val="right"/>
              <w:rPr>
                <w:rFonts w:ascii="Arial" w:hAnsi="Arial" w:cs="Arial" w:eastAsia="Arial" w:hint="default"/>
                <w:sz w:val="20"/>
                <w:szCs w:val="20"/>
              </w:rPr>
            </w:pPr>
            <w:r>
              <w:rPr>
                <w:rFonts w:ascii="Arial"/>
                <w:spacing w:val="-1"/>
                <w:w w:val="95"/>
                <w:sz w:val="20"/>
              </w:rPr>
              <w:t>660,000</w:t>
            </w:r>
            <w:r>
              <w:rPr>
                <w:rFonts w:ascii="Arial"/>
                <w:sz w:val="20"/>
              </w:rPr>
            </w:r>
          </w:p>
        </w:tc>
      </w:tr>
      <w:tr>
        <w:trPr>
          <w:trHeight w:val="312" w:hRule="exact"/>
        </w:trPr>
        <w:tc>
          <w:tcPr>
            <w:tcW w:w="6012" w:type="dxa"/>
            <w:tcBorders>
              <w:top w:val="nil" w:sz="6" w:space="0" w:color="auto"/>
              <w:left w:val="nil" w:sz="6" w:space="0" w:color="auto"/>
              <w:bottom w:val="nil" w:sz="6" w:space="0" w:color="auto"/>
              <w:right w:val="nil" w:sz="6" w:space="0" w:color="auto"/>
            </w:tcBorders>
          </w:tcPr>
          <w:p>
            <w:pPr>
              <w:pStyle w:val="TableParagraph"/>
              <w:spacing w:line="250" w:lineRule="exact"/>
              <w:ind w:left="233" w:right="0"/>
              <w:jc w:val="left"/>
              <w:rPr>
                <w:rFonts w:ascii="黑体" w:hAnsi="黑体" w:cs="黑体" w:eastAsia="黑体" w:hint="default"/>
                <w:sz w:val="20"/>
                <w:szCs w:val="20"/>
              </w:rPr>
            </w:pPr>
            <w:r>
              <w:rPr>
                <w:rFonts w:ascii="黑体" w:hAnsi="黑体" w:cs="黑体" w:eastAsia="黑体" w:hint="default"/>
                <w:sz w:val="20"/>
                <w:szCs w:val="20"/>
              </w:rPr>
              <w:t>信息服务业发展专项资助项目资金</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5"/>
              <w:jc w:val="right"/>
              <w:rPr>
                <w:rFonts w:ascii="Arial" w:hAnsi="Arial" w:cs="Arial" w:eastAsia="Arial" w:hint="default"/>
                <w:sz w:val="20"/>
                <w:szCs w:val="20"/>
              </w:rPr>
            </w:pPr>
            <w:r>
              <w:rPr>
                <w:rFonts w:ascii="Arial"/>
                <w:w w:val="99"/>
                <w:sz w:val="20"/>
              </w:rPr>
              <w:t>-</w:t>
            </w:r>
            <w:r>
              <w:rPr>
                <w:rFonts w:ascii="Arial"/>
                <w:sz w:val="20"/>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9"/>
              <w:jc w:val="right"/>
              <w:rPr>
                <w:rFonts w:ascii="Arial" w:hAnsi="Arial" w:cs="Arial" w:eastAsia="Arial" w:hint="default"/>
                <w:sz w:val="20"/>
                <w:szCs w:val="20"/>
              </w:rPr>
            </w:pPr>
            <w:r>
              <w:rPr>
                <w:rFonts w:ascii="Arial"/>
                <w:spacing w:val="-1"/>
                <w:w w:val="95"/>
                <w:sz w:val="20"/>
              </w:rPr>
              <w:t>549,000</w:t>
            </w:r>
            <w:r>
              <w:rPr>
                <w:rFonts w:ascii="Arial"/>
                <w:sz w:val="20"/>
              </w:rPr>
            </w:r>
          </w:p>
        </w:tc>
      </w:tr>
      <w:tr>
        <w:trPr>
          <w:trHeight w:val="312" w:hRule="exact"/>
        </w:trPr>
        <w:tc>
          <w:tcPr>
            <w:tcW w:w="6012" w:type="dxa"/>
            <w:tcBorders>
              <w:top w:val="nil" w:sz="6" w:space="0" w:color="auto"/>
              <w:left w:val="nil" w:sz="6" w:space="0" w:color="auto"/>
              <w:bottom w:val="nil" w:sz="6" w:space="0" w:color="auto"/>
              <w:right w:val="nil" w:sz="6" w:space="0" w:color="auto"/>
            </w:tcBorders>
          </w:tcPr>
          <w:p>
            <w:pPr>
              <w:pStyle w:val="TableParagraph"/>
              <w:spacing w:line="250" w:lineRule="exact"/>
              <w:ind w:left="233" w:right="0"/>
              <w:jc w:val="left"/>
              <w:rPr>
                <w:rFonts w:ascii="黑体" w:hAnsi="黑体" w:cs="黑体" w:eastAsia="黑体" w:hint="default"/>
                <w:sz w:val="20"/>
                <w:szCs w:val="20"/>
              </w:rPr>
            </w:pPr>
            <w:r>
              <w:rPr>
                <w:rFonts w:ascii="黑体" w:hAnsi="黑体" w:cs="黑体" w:eastAsia="黑体" w:hint="default"/>
                <w:sz w:val="20"/>
                <w:szCs w:val="20"/>
              </w:rPr>
              <w:t>用友二期工程资金补贴</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5"/>
              <w:jc w:val="right"/>
              <w:rPr>
                <w:rFonts w:ascii="Arial" w:hAnsi="Arial" w:cs="Arial" w:eastAsia="Arial" w:hint="default"/>
                <w:sz w:val="20"/>
                <w:szCs w:val="20"/>
              </w:rPr>
            </w:pPr>
            <w:r>
              <w:rPr>
                <w:rFonts w:ascii="Arial"/>
                <w:w w:val="99"/>
                <w:sz w:val="20"/>
              </w:rPr>
              <w:t>-</w:t>
            </w:r>
            <w:r>
              <w:rPr>
                <w:rFonts w:ascii="Arial"/>
                <w:sz w:val="20"/>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9"/>
              <w:jc w:val="right"/>
              <w:rPr>
                <w:rFonts w:ascii="Arial" w:hAnsi="Arial" w:cs="Arial" w:eastAsia="Arial" w:hint="default"/>
                <w:sz w:val="20"/>
                <w:szCs w:val="20"/>
              </w:rPr>
            </w:pPr>
            <w:r>
              <w:rPr>
                <w:rFonts w:ascii="Arial"/>
                <w:spacing w:val="-1"/>
                <w:w w:val="95"/>
                <w:sz w:val="20"/>
              </w:rPr>
              <w:t>450,000</w:t>
            </w:r>
            <w:r>
              <w:rPr>
                <w:rFonts w:ascii="Arial"/>
                <w:sz w:val="20"/>
              </w:rPr>
            </w:r>
          </w:p>
        </w:tc>
      </w:tr>
      <w:tr>
        <w:trPr>
          <w:trHeight w:val="312" w:hRule="exact"/>
        </w:trPr>
        <w:tc>
          <w:tcPr>
            <w:tcW w:w="6012" w:type="dxa"/>
            <w:tcBorders>
              <w:top w:val="nil" w:sz="6" w:space="0" w:color="auto"/>
              <w:left w:val="nil" w:sz="6" w:space="0" w:color="auto"/>
              <w:bottom w:val="nil" w:sz="6" w:space="0" w:color="auto"/>
              <w:right w:val="nil" w:sz="6" w:space="0" w:color="auto"/>
            </w:tcBorders>
          </w:tcPr>
          <w:p>
            <w:pPr>
              <w:pStyle w:val="TableParagraph"/>
              <w:spacing w:line="264" w:lineRule="exact"/>
              <w:ind w:left="233" w:right="0"/>
              <w:jc w:val="left"/>
              <w:rPr>
                <w:rFonts w:ascii="黑体" w:hAnsi="黑体" w:cs="黑体" w:eastAsia="黑体" w:hint="default"/>
                <w:sz w:val="20"/>
                <w:szCs w:val="20"/>
              </w:rPr>
            </w:pPr>
            <w:r>
              <w:rPr>
                <w:rFonts w:ascii="Arial" w:hAnsi="Arial" w:cs="Arial" w:eastAsia="Arial" w:hint="default"/>
                <w:sz w:val="20"/>
                <w:szCs w:val="20"/>
              </w:rPr>
              <w:t>“</w:t>
            </w:r>
            <w:r>
              <w:rPr>
                <w:rFonts w:ascii="黑体" w:hAnsi="黑体" w:cs="黑体" w:eastAsia="黑体" w:hint="default"/>
                <w:sz w:val="20"/>
                <w:szCs w:val="20"/>
              </w:rPr>
              <w:t>两化融合信息化示范平台</w:t>
            </w:r>
            <w:r>
              <w:rPr>
                <w:rFonts w:ascii="Arial" w:hAnsi="Arial" w:cs="Arial" w:eastAsia="Arial" w:hint="default"/>
                <w:sz w:val="20"/>
                <w:szCs w:val="20"/>
              </w:rPr>
              <w:t>”</w:t>
            </w:r>
            <w:r>
              <w:rPr>
                <w:rFonts w:ascii="黑体" w:hAnsi="黑体" w:cs="黑体" w:eastAsia="黑体" w:hint="default"/>
                <w:sz w:val="20"/>
                <w:szCs w:val="20"/>
              </w:rPr>
              <w:t>优秀奖励</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5"/>
              <w:jc w:val="right"/>
              <w:rPr>
                <w:rFonts w:ascii="Arial" w:hAnsi="Arial" w:cs="Arial" w:eastAsia="Arial" w:hint="default"/>
                <w:sz w:val="20"/>
                <w:szCs w:val="20"/>
              </w:rPr>
            </w:pPr>
            <w:r>
              <w:rPr>
                <w:rFonts w:ascii="Arial"/>
                <w:w w:val="99"/>
                <w:sz w:val="20"/>
              </w:rPr>
              <w:t>-</w:t>
            </w:r>
            <w:r>
              <w:rPr>
                <w:rFonts w:ascii="Arial"/>
                <w:sz w:val="20"/>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9"/>
              <w:jc w:val="right"/>
              <w:rPr>
                <w:rFonts w:ascii="Arial" w:hAnsi="Arial" w:cs="Arial" w:eastAsia="Arial" w:hint="default"/>
                <w:sz w:val="20"/>
                <w:szCs w:val="20"/>
              </w:rPr>
            </w:pPr>
            <w:r>
              <w:rPr>
                <w:rFonts w:ascii="Arial"/>
                <w:spacing w:val="-1"/>
                <w:w w:val="95"/>
                <w:sz w:val="20"/>
              </w:rPr>
              <w:t>300,000</w:t>
            </w:r>
            <w:r>
              <w:rPr>
                <w:rFonts w:ascii="Arial"/>
                <w:sz w:val="20"/>
              </w:rPr>
            </w:r>
          </w:p>
        </w:tc>
      </w:tr>
      <w:tr>
        <w:trPr>
          <w:trHeight w:val="312" w:hRule="exact"/>
        </w:trPr>
        <w:tc>
          <w:tcPr>
            <w:tcW w:w="6012" w:type="dxa"/>
            <w:tcBorders>
              <w:top w:val="nil" w:sz="6" w:space="0" w:color="auto"/>
              <w:left w:val="nil" w:sz="6" w:space="0" w:color="auto"/>
              <w:bottom w:val="nil" w:sz="6" w:space="0" w:color="auto"/>
              <w:right w:val="nil" w:sz="6" w:space="0" w:color="auto"/>
            </w:tcBorders>
          </w:tcPr>
          <w:p>
            <w:pPr>
              <w:pStyle w:val="TableParagraph"/>
              <w:spacing w:line="250" w:lineRule="exact"/>
              <w:ind w:left="233" w:right="0"/>
              <w:jc w:val="left"/>
              <w:rPr>
                <w:rFonts w:ascii="黑体" w:hAnsi="黑体" w:cs="黑体" w:eastAsia="黑体" w:hint="default"/>
                <w:sz w:val="20"/>
                <w:szCs w:val="20"/>
              </w:rPr>
            </w:pPr>
            <w:r>
              <w:rPr>
                <w:rFonts w:ascii="黑体" w:hAnsi="黑体" w:cs="黑体" w:eastAsia="黑体" w:hint="default"/>
                <w:sz w:val="20"/>
                <w:szCs w:val="20"/>
              </w:rPr>
              <w:t>小巨人奖励资金</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5"/>
              <w:jc w:val="right"/>
              <w:rPr>
                <w:rFonts w:ascii="Arial" w:hAnsi="Arial" w:cs="Arial" w:eastAsia="Arial" w:hint="default"/>
                <w:sz w:val="20"/>
                <w:szCs w:val="20"/>
              </w:rPr>
            </w:pPr>
            <w:r>
              <w:rPr>
                <w:rFonts w:ascii="Arial"/>
                <w:w w:val="99"/>
                <w:sz w:val="20"/>
              </w:rPr>
              <w:t>-</w:t>
            </w:r>
            <w:r>
              <w:rPr>
                <w:rFonts w:ascii="Arial"/>
                <w:sz w:val="20"/>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9"/>
              <w:jc w:val="right"/>
              <w:rPr>
                <w:rFonts w:ascii="Arial" w:hAnsi="Arial" w:cs="Arial" w:eastAsia="Arial" w:hint="default"/>
                <w:sz w:val="20"/>
                <w:szCs w:val="20"/>
              </w:rPr>
            </w:pPr>
            <w:r>
              <w:rPr>
                <w:rFonts w:ascii="Arial"/>
                <w:spacing w:val="-1"/>
                <w:w w:val="95"/>
                <w:sz w:val="20"/>
              </w:rPr>
              <w:t>200,000</w:t>
            </w:r>
            <w:r>
              <w:rPr>
                <w:rFonts w:ascii="Arial"/>
                <w:sz w:val="20"/>
              </w:rPr>
            </w:r>
          </w:p>
        </w:tc>
      </w:tr>
      <w:tr>
        <w:trPr>
          <w:trHeight w:val="474" w:hRule="exact"/>
        </w:trPr>
        <w:tc>
          <w:tcPr>
            <w:tcW w:w="6012" w:type="dxa"/>
            <w:tcBorders>
              <w:top w:val="nil" w:sz="6" w:space="0" w:color="auto"/>
              <w:left w:val="nil" w:sz="6" w:space="0" w:color="auto"/>
              <w:bottom w:val="nil" w:sz="6" w:space="0" w:color="auto"/>
              <w:right w:val="nil" w:sz="6" w:space="0" w:color="auto"/>
            </w:tcBorders>
          </w:tcPr>
          <w:p>
            <w:pPr>
              <w:pStyle w:val="TableParagraph"/>
              <w:spacing w:line="250" w:lineRule="exact"/>
              <w:ind w:left="233"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7"/>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w w:val="95"/>
                <w:sz w:val="20"/>
                <w:u w:val="single" w:color="000000"/>
              </w:rPr>
              <w:t>3,371,675</w:t>
            </w:r>
            <w:r>
              <w:rPr>
                <w:rFonts w:ascii="Arial"/>
                <w:spacing w:val="-1"/>
                <w:w w:val="95"/>
                <w:sz w:val="20"/>
              </w:rPr>
            </w:r>
            <w:r>
              <w:rPr>
                <w:rFonts w:ascii="Arial"/>
                <w:sz w:val="20"/>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9"/>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9"/>
                <w:sz w:val="20"/>
                <w:u w:val="single" w:color="000000"/>
              </w:rPr>
              <w:t> </w:t>
            </w:r>
            <w:r>
              <w:rPr>
                <w:rFonts w:ascii="Arial"/>
                <w:spacing w:val="-1"/>
                <w:sz w:val="20"/>
                <w:u w:val="single" w:color="000000"/>
              </w:rPr>
              <w:t>2,595,049</w:t>
            </w:r>
            <w:r>
              <w:rPr>
                <w:rFonts w:ascii="Arial"/>
                <w:spacing w:val="-1"/>
                <w:sz w:val="20"/>
              </w:rPr>
            </w:r>
          </w:p>
        </w:tc>
      </w:tr>
      <w:tr>
        <w:trPr>
          <w:trHeight w:val="412" w:hRule="exact"/>
        </w:trPr>
        <w:tc>
          <w:tcPr>
            <w:tcW w:w="6012"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4"/>
                <w:szCs w:val="14"/>
              </w:rPr>
            </w:pPr>
          </w:p>
          <w:p>
            <w:pPr>
              <w:pStyle w:val="TableParagraph"/>
              <w:spacing w:line="240" w:lineRule="auto"/>
              <w:ind w:right="137"/>
              <w:jc w:val="right"/>
              <w:rPr>
                <w:rFonts w:ascii="Arial" w:hAnsi="Arial" w:cs="Arial" w:eastAsia="Arial" w:hint="default"/>
                <w:sz w:val="20"/>
                <w:szCs w:val="20"/>
              </w:rPr>
            </w:pPr>
            <w:r>
              <w:rPr>
                <w:rFonts w:ascii="Arial"/>
                <w:w w:val="99"/>
                <w:sz w:val="20"/>
              </w:rPr>
            </w:r>
            <w:r>
              <w:rPr>
                <w:rFonts w:ascii="Arial"/>
                <w:spacing w:val="-1"/>
                <w:sz w:val="20"/>
                <w:u w:val="thick" w:color="000000"/>
              </w:rPr>
              <w:t>35,693,305</w:t>
            </w:r>
            <w:r>
              <w:rPr>
                <w:rFonts w:ascii="Arial"/>
                <w:spacing w:val="-1"/>
                <w:sz w:val="20"/>
              </w:rPr>
            </w:r>
            <w:r>
              <w:rPr>
                <w:rFonts w:ascii="Arial"/>
                <w:sz w:val="20"/>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4"/>
                <w:szCs w:val="14"/>
              </w:rPr>
            </w:pPr>
          </w:p>
          <w:p>
            <w:pPr>
              <w:pStyle w:val="TableParagraph"/>
              <w:spacing w:line="240" w:lineRule="auto"/>
              <w:ind w:right="199"/>
              <w:jc w:val="right"/>
              <w:rPr>
                <w:rFonts w:ascii="Arial" w:hAnsi="Arial" w:cs="Arial" w:eastAsia="Arial" w:hint="default"/>
                <w:sz w:val="20"/>
                <w:szCs w:val="20"/>
              </w:rPr>
            </w:pPr>
            <w:r>
              <w:rPr>
                <w:rFonts w:ascii="Arial"/>
                <w:w w:val="99"/>
                <w:sz w:val="20"/>
              </w:rPr>
            </w:r>
            <w:r>
              <w:rPr>
                <w:rFonts w:ascii="Arial"/>
                <w:spacing w:val="-1"/>
                <w:sz w:val="20"/>
                <w:u w:val="thick" w:color="000000"/>
              </w:rPr>
              <w:t>48,162,007</w:t>
            </w:r>
            <w:r>
              <w:rPr>
                <w:rFonts w:ascii="Arial"/>
                <w:spacing w:val="-1"/>
                <w:sz w:val="20"/>
              </w:rPr>
            </w:r>
            <w:r>
              <w:rPr>
                <w:rFonts w:ascii="Arial"/>
                <w:sz w:val="20"/>
              </w:rPr>
            </w:r>
          </w:p>
        </w:tc>
      </w:tr>
    </w:tbl>
    <w:p>
      <w:pPr>
        <w:spacing w:after="0" w:line="240" w:lineRule="auto"/>
        <w:jc w:val="right"/>
        <w:rPr>
          <w:rFonts w:ascii="Arial" w:hAnsi="Arial" w:cs="Arial" w:eastAsia="Arial" w:hint="default"/>
          <w:sz w:val="20"/>
          <w:szCs w:val="20"/>
        </w:rPr>
        <w:sectPr>
          <w:pgSz w:w="11910" w:h="16840"/>
          <w:pgMar w:header="825" w:footer="473" w:top="2420" w:bottom="660" w:left="1600" w:right="980"/>
        </w:sectPr>
      </w:pPr>
    </w:p>
    <w:p>
      <w:pPr>
        <w:spacing w:line="240" w:lineRule="auto" w:before="11"/>
        <w:rPr>
          <w:rFonts w:ascii="黑体" w:hAnsi="黑体" w:cs="黑体" w:eastAsia="黑体" w:hint="default"/>
          <w:sz w:val="21"/>
          <w:szCs w:val="21"/>
        </w:rPr>
      </w:pPr>
    </w:p>
    <w:p>
      <w:pPr>
        <w:pStyle w:val="Heading6"/>
        <w:tabs>
          <w:tab w:pos="804" w:val="left" w:leader="none"/>
        </w:tabs>
        <w:spacing w:line="240" w:lineRule="auto"/>
        <w:ind w:right="0"/>
        <w:jc w:val="left"/>
        <w:rPr>
          <w:b w:val="0"/>
          <w:bCs w:val="0"/>
        </w:rPr>
      </w:pPr>
      <w:r>
        <w:rPr>
          <w:w w:val="95"/>
        </w:rPr>
        <w:t>五、</w:t>
        <w:tab/>
      </w:r>
      <w:bookmarkStart w:name="五、   合并财务报表主要项目注释（续）" w:id="137"/>
      <w:bookmarkEnd w:id="137"/>
      <w:r>
        <w:rPr/>
        <w:t>合并</w:t>
      </w:r>
      <w:r>
        <w:rPr/>
        <w:t>财务报表主要项目注释（续）</w:t>
      </w:r>
      <w:r>
        <w:rPr>
          <w:b w:val="0"/>
          <w:bCs w:val="0"/>
        </w:rPr>
      </w:r>
    </w:p>
    <w:p>
      <w:pPr>
        <w:spacing w:line="240" w:lineRule="auto" w:before="12"/>
        <w:rPr>
          <w:rFonts w:ascii="黑体" w:hAnsi="黑体" w:cs="黑体" w:eastAsia="黑体" w:hint="default"/>
          <w:b/>
          <w:bCs/>
          <w:sz w:val="18"/>
          <w:szCs w:val="18"/>
        </w:rPr>
      </w:pPr>
    </w:p>
    <w:p>
      <w:pPr>
        <w:pStyle w:val="Heading6"/>
        <w:tabs>
          <w:tab w:pos="819" w:val="left" w:leader="none"/>
        </w:tabs>
        <w:spacing w:line="240" w:lineRule="auto" w:before="0"/>
        <w:ind w:right="0"/>
        <w:jc w:val="left"/>
        <w:rPr>
          <w:b w:val="0"/>
          <w:bCs w:val="0"/>
        </w:rPr>
      </w:pPr>
      <w:r>
        <w:rPr>
          <w:rFonts w:ascii="Arial" w:hAnsi="Arial" w:cs="Arial" w:eastAsia="Arial" w:hint="default"/>
          <w:spacing w:val="-1"/>
          <w:w w:val="95"/>
        </w:rPr>
        <w:t>43.</w:t>
        <w:tab/>
      </w:r>
      <w:r>
        <w:rPr>
          <w:spacing w:val="2"/>
        </w:rPr>
        <w:t>营业外支出</w:t>
      </w:r>
      <w:r>
        <w:rPr>
          <w:b w:val="0"/>
          <w:bCs w:val="0"/>
        </w:rPr>
      </w:r>
    </w:p>
    <w:p>
      <w:pPr>
        <w:spacing w:line="240" w:lineRule="auto" w:before="0"/>
        <w:rPr>
          <w:rFonts w:ascii="黑体" w:hAnsi="黑体" w:cs="黑体" w:eastAsia="黑体" w:hint="default"/>
          <w:b/>
          <w:bCs/>
          <w:sz w:val="20"/>
          <w:szCs w:val="20"/>
        </w:rPr>
      </w:pPr>
    </w:p>
    <w:p>
      <w:pPr>
        <w:spacing w:line="240" w:lineRule="auto" w:before="5"/>
        <w:rPr>
          <w:rFonts w:ascii="黑体" w:hAnsi="黑体" w:cs="黑体" w:eastAsia="黑体" w:hint="default"/>
          <w:b/>
          <w:bCs/>
          <w:sz w:val="11"/>
          <w:szCs w:val="11"/>
        </w:rPr>
      </w:pPr>
    </w:p>
    <w:tbl>
      <w:tblPr>
        <w:tblW w:w="0" w:type="auto"/>
        <w:jc w:val="left"/>
        <w:tblInd w:w="638" w:type="dxa"/>
        <w:tblLayout w:type="fixed"/>
        <w:tblCellMar>
          <w:top w:w="0" w:type="dxa"/>
          <w:left w:w="0" w:type="dxa"/>
          <w:bottom w:w="0" w:type="dxa"/>
          <w:right w:w="0" w:type="dxa"/>
        </w:tblCellMar>
        <w:tblLook w:val="01E0"/>
      </w:tblPr>
      <w:tblGrid>
        <w:gridCol w:w="3732"/>
        <w:gridCol w:w="2768"/>
        <w:gridCol w:w="1635"/>
      </w:tblGrid>
      <w:tr>
        <w:trPr>
          <w:trHeight w:val="416" w:hRule="exact"/>
        </w:trPr>
        <w:tc>
          <w:tcPr>
            <w:tcW w:w="3732" w:type="dxa"/>
            <w:tcBorders>
              <w:top w:val="nil" w:sz="6" w:space="0" w:color="auto"/>
              <w:left w:val="nil" w:sz="6" w:space="0" w:color="auto"/>
              <w:bottom w:val="nil" w:sz="6" w:space="0" w:color="auto"/>
              <w:right w:val="nil" w:sz="6" w:space="0" w:color="auto"/>
            </w:tcBorders>
          </w:tcPr>
          <w:p>
            <w:pPr/>
          </w:p>
        </w:tc>
        <w:tc>
          <w:tcPr>
            <w:tcW w:w="2768" w:type="dxa"/>
            <w:tcBorders>
              <w:top w:val="nil" w:sz="6" w:space="0" w:color="auto"/>
              <w:left w:val="nil" w:sz="6" w:space="0" w:color="auto"/>
              <w:bottom w:val="nil" w:sz="6" w:space="0" w:color="auto"/>
              <w:right w:val="nil" w:sz="6" w:space="0" w:color="auto"/>
            </w:tcBorders>
          </w:tcPr>
          <w:p>
            <w:pPr>
              <w:pStyle w:val="TableParagraph"/>
              <w:spacing w:line="214" w:lineRule="exact"/>
              <w:ind w:right="545"/>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1635" w:type="dxa"/>
            <w:tcBorders>
              <w:top w:val="nil" w:sz="6" w:space="0" w:color="auto"/>
              <w:left w:val="nil" w:sz="6" w:space="0" w:color="auto"/>
              <w:bottom w:val="nil" w:sz="6" w:space="0" w:color="auto"/>
              <w:right w:val="nil" w:sz="6" w:space="0" w:color="auto"/>
            </w:tcBorders>
          </w:tcPr>
          <w:p>
            <w:pPr>
              <w:pStyle w:val="TableParagraph"/>
              <w:spacing w:line="214" w:lineRule="exact"/>
              <w:ind w:right="198"/>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r>
      <w:tr>
        <w:trPr>
          <w:trHeight w:val="464" w:hRule="exact"/>
        </w:trPr>
        <w:tc>
          <w:tcPr>
            <w:tcW w:w="3732"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200" w:right="0"/>
              <w:jc w:val="left"/>
              <w:rPr>
                <w:rFonts w:ascii="黑体" w:hAnsi="黑体" w:cs="黑体" w:eastAsia="黑体" w:hint="default"/>
                <w:sz w:val="20"/>
                <w:szCs w:val="20"/>
              </w:rPr>
            </w:pPr>
            <w:r>
              <w:rPr>
                <w:rFonts w:ascii="黑体" w:hAnsi="黑体" w:cs="黑体" w:eastAsia="黑体" w:hint="default"/>
                <w:sz w:val="20"/>
                <w:szCs w:val="20"/>
              </w:rPr>
              <w:t>非流动资产处置损失</w:t>
            </w:r>
          </w:p>
        </w:tc>
        <w:tc>
          <w:tcPr>
            <w:tcW w:w="276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b/>
                <w:bCs/>
                <w:sz w:val="14"/>
                <w:szCs w:val="14"/>
              </w:rPr>
            </w:pPr>
          </w:p>
          <w:p>
            <w:pPr>
              <w:pStyle w:val="TableParagraph"/>
              <w:spacing w:line="240" w:lineRule="auto"/>
              <w:ind w:right="545"/>
              <w:jc w:val="right"/>
              <w:rPr>
                <w:rFonts w:ascii="Arial" w:hAnsi="Arial" w:cs="Arial" w:eastAsia="Arial" w:hint="default"/>
                <w:sz w:val="20"/>
                <w:szCs w:val="20"/>
              </w:rPr>
            </w:pPr>
            <w:r>
              <w:rPr>
                <w:rFonts w:ascii="Arial"/>
                <w:spacing w:val="-1"/>
                <w:w w:val="95"/>
                <w:sz w:val="20"/>
              </w:rPr>
              <w:t>790,567</w:t>
            </w:r>
            <w:r>
              <w:rPr>
                <w:rFonts w:ascii="Arial"/>
                <w:sz w:val="20"/>
              </w:rPr>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b/>
                <w:bCs/>
                <w:sz w:val="14"/>
                <w:szCs w:val="14"/>
              </w:rPr>
            </w:pPr>
          </w:p>
          <w:p>
            <w:pPr>
              <w:pStyle w:val="TableParagraph"/>
              <w:spacing w:line="240" w:lineRule="auto"/>
              <w:ind w:right="198"/>
              <w:jc w:val="right"/>
              <w:rPr>
                <w:rFonts w:ascii="Arial" w:hAnsi="Arial" w:cs="Arial" w:eastAsia="Arial" w:hint="default"/>
                <w:sz w:val="20"/>
                <w:szCs w:val="20"/>
              </w:rPr>
            </w:pPr>
            <w:r>
              <w:rPr>
                <w:rFonts w:ascii="Arial"/>
                <w:spacing w:val="-1"/>
                <w:w w:val="95"/>
                <w:sz w:val="20"/>
              </w:rPr>
              <w:t>572,248</w:t>
            </w:r>
            <w:r>
              <w:rPr>
                <w:rFonts w:ascii="Arial"/>
                <w:sz w:val="20"/>
              </w:rPr>
            </w:r>
          </w:p>
        </w:tc>
      </w:tr>
      <w:tr>
        <w:trPr>
          <w:trHeight w:val="312" w:hRule="exact"/>
        </w:trPr>
        <w:tc>
          <w:tcPr>
            <w:tcW w:w="3732"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黑体" w:hAnsi="黑体" w:cs="黑体" w:eastAsia="黑体" w:hint="default"/>
                <w:sz w:val="20"/>
                <w:szCs w:val="20"/>
              </w:rPr>
            </w:pPr>
            <w:r>
              <w:rPr>
                <w:rFonts w:ascii="黑体" w:hAnsi="黑体" w:cs="黑体" w:eastAsia="黑体" w:hint="default"/>
                <w:sz w:val="20"/>
                <w:szCs w:val="20"/>
              </w:rPr>
              <w:t>其中：固定资产处置损失</w:t>
            </w:r>
          </w:p>
        </w:tc>
        <w:tc>
          <w:tcPr>
            <w:tcW w:w="276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45"/>
              <w:jc w:val="right"/>
              <w:rPr>
                <w:rFonts w:ascii="Arial" w:hAnsi="Arial" w:cs="Arial" w:eastAsia="Arial" w:hint="default"/>
                <w:sz w:val="20"/>
                <w:szCs w:val="20"/>
              </w:rPr>
            </w:pPr>
            <w:r>
              <w:rPr>
                <w:rFonts w:ascii="Arial"/>
                <w:spacing w:val="-1"/>
                <w:w w:val="95"/>
                <w:sz w:val="20"/>
              </w:rPr>
              <w:t>790,567</w:t>
            </w:r>
            <w:r>
              <w:rPr>
                <w:rFonts w:ascii="Arial"/>
                <w:sz w:val="20"/>
              </w:rPr>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98"/>
              <w:jc w:val="right"/>
              <w:rPr>
                <w:rFonts w:ascii="Arial" w:hAnsi="Arial" w:cs="Arial" w:eastAsia="Arial" w:hint="default"/>
                <w:sz w:val="20"/>
                <w:szCs w:val="20"/>
              </w:rPr>
            </w:pPr>
            <w:r>
              <w:rPr>
                <w:rFonts w:ascii="Arial"/>
                <w:spacing w:val="-1"/>
                <w:w w:val="95"/>
                <w:sz w:val="20"/>
              </w:rPr>
              <w:t>572,248</w:t>
            </w:r>
            <w:r>
              <w:rPr>
                <w:rFonts w:ascii="Arial"/>
                <w:sz w:val="20"/>
              </w:rPr>
            </w:r>
          </w:p>
        </w:tc>
      </w:tr>
      <w:tr>
        <w:trPr>
          <w:trHeight w:val="312" w:hRule="exact"/>
        </w:trPr>
        <w:tc>
          <w:tcPr>
            <w:tcW w:w="3732"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黑体" w:hAnsi="黑体" w:cs="黑体" w:eastAsia="黑体" w:hint="default"/>
                <w:sz w:val="20"/>
                <w:szCs w:val="20"/>
              </w:rPr>
            </w:pPr>
            <w:r>
              <w:rPr>
                <w:rFonts w:ascii="黑体" w:hAnsi="黑体" w:cs="黑体" w:eastAsia="黑体" w:hint="default"/>
                <w:sz w:val="20"/>
                <w:szCs w:val="20"/>
              </w:rPr>
              <w:t>罚款支出</w:t>
            </w:r>
          </w:p>
        </w:tc>
        <w:tc>
          <w:tcPr>
            <w:tcW w:w="276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45"/>
              <w:jc w:val="right"/>
              <w:rPr>
                <w:rFonts w:ascii="Arial" w:hAnsi="Arial" w:cs="Arial" w:eastAsia="Arial" w:hint="default"/>
                <w:sz w:val="20"/>
                <w:szCs w:val="20"/>
              </w:rPr>
            </w:pPr>
            <w:r>
              <w:rPr>
                <w:rFonts w:ascii="Arial"/>
                <w:spacing w:val="-1"/>
                <w:w w:val="95"/>
                <w:sz w:val="20"/>
              </w:rPr>
              <w:t>637,174</w:t>
            </w:r>
            <w:r>
              <w:rPr>
                <w:rFonts w:ascii="Arial"/>
                <w:sz w:val="20"/>
              </w:rPr>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98"/>
              <w:jc w:val="right"/>
              <w:rPr>
                <w:rFonts w:ascii="Arial" w:hAnsi="Arial" w:cs="Arial" w:eastAsia="Arial" w:hint="default"/>
                <w:sz w:val="20"/>
                <w:szCs w:val="20"/>
              </w:rPr>
            </w:pPr>
            <w:r>
              <w:rPr>
                <w:rFonts w:ascii="Arial"/>
                <w:spacing w:val="-1"/>
                <w:sz w:val="20"/>
              </w:rPr>
              <w:t>58,542</w:t>
            </w:r>
            <w:r>
              <w:rPr>
                <w:rFonts w:ascii="Arial"/>
                <w:sz w:val="20"/>
              </w:rPr>
            </w:r>
          </w:p>
        </w:tc>
      </w:tr>
      <w:tr>
        <w:trPr>
          <w:trHeight w:val="312" w:hRule="exact"/>
        </w:trPr>
        <w:tc>
          <w:tcPr>
            <w:tcW w:w="3732"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黑体" w:hAnsi="黑体" w:cs="黑体" w:eastAsia="黑体" w:hint="default"/>
                <w:sz w:val="20"/>
                <w:szCs w:val="20"/>
              </w:rPr>
            </w:pPr>
            <w:r>
              <w:rPr>
                <w:rFonts w:ascii="黑体" w:hAnsi="黑体" w:cs="黑体" w:eastAsia="黑体" w:hint="default"/>
                <w:sz w:val="20"/>
                <w:szCs w:val="20"/>
              </w:rPr>
              <w:t>对外捐赠</w:t>
            </w:r>
          </w:p>
        </w:tc>
        <w:tc>
          <w:tcPr>
            <w:tcW w:w="276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45"/>
              <w:jc w:val="right"/>
              <w:rPr>
                <w:rFonts w:ascii="Arial" w:hAnsi="Arial" w:cs="Arial" w:eastAsia="Arial" w:hint="default"/>
                <w:sz w:val="20"/>
                <w:szCs w:val="20"/>
              </w:rPr>
            </w:pPr>
            <w:r>
              <w:rPr>
                <w:rFonts w:ascii="Arial"/>
                <w:spacing w:val="-1"/>
                <w:sz w:val="20"/>
              </w:rPr>
              <w:t>30,517</w:t>
            </w:r>
            <w:r>
              <w:rPr>
                <w:rFonts w:ascii="Arial"/>
                <w:sz w:val="20"/>
              </w:rPr>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98"/>
              <w:jc w:val="right"/>
              <w:rPr>
                <w:rFonts w:ascii="Arial" w:hAnsi="Arial" w:cs="Arial" w:eastAsia="Arial" w:hint="default"/>
                <w:sz w:val="20"/>
                <w:szCs w:val="20"/>
              </w:rPr>
            </w:pPr>
            <w:r>
              <w:rPr>
                <w:rFonts w:ascii="Arial"/>
                <w:spacing w:val="-1"/>
                <w:w w:val="95"/>
                <w:sz w:val="20"/>
              </w:rPr>
              <w:t>490,755</w:t>
            </w:r>
            <w:r>
              <w:rPr>
                <w:rFonts w:ascii="Arial"/>
                <w:sz w:val="20"/>
              </w:rPr>
            </w:r>
          </w:p>
        </w:tc>
      </w:tr>
      <w:tr>
        <w:trPr>
          <w:trHeight w:val="313" w:hRule="exact"/>
        </w:trPr>
        <w:tc>
          <w:tcPr>
            <w:tcW w:w="3732"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276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45"/>
              <w:jc w:val="right"/>
              <w:rPr>
                <w:rFonts w:ascii="Arial" w:hAnsi="Arial" w:cs="Arial" w:eastAsia="Arial" w:hint="default"/>
                <w:sz w:val="20"/>
                <w:szCs w:val="20"/>
              </w:rPr>
            </w:pPr>
            <w:r>
              <w:rPr>
                <w:rFonts w:ascii="Arial"/>
                <w:w w:val="99"/>
                <w:sz w:val="20"/>
              </w:rPr>
            </w:r>
            <w:r>
              <w:rPr>
                <w:rFonts w:ascii="Arial"/>
                <w:spacing w:val="-1"/>
                <w:sz w:val="20"/>
                <w:u w:val="single" w:color="000000"/>
              </w:rPr>
              <w:t>1,075,225</w:t>
            </w:r>
            <w:r>
              <w:rPr>
                <w:rFonts w:ascii="Arial"/>
                <w:spacing w:val="-1"/>
                <w:sz w:val="20"/>
              </w:rPr>
            </w:r>
          </w:p>
        </w:tc>
        <w:tc>
          <w:tcPr>
            <w:tcW w:w="1635"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31"/>
              <w:ind w:right="19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94,255</w:t>
            </w:r>
            <w:r>
              <w:rPr>
                <w:rFonts w:ascii="Arial"/>
                <w:spacing w:val="-1"/>
                <w:w w:val="95"/>
                <w:sz w:val="20"/>
              </w:rPr>
            </w:r>
            <w:r>
              <w:rPr>
                <w:rFonts w:ascii="Arial"/>
                <w:sz w:val="20"/>
              </w:rPr>
            </w:r>
          </w:p>
        </w:tc>
      </w:tr>
      <w:tr>
        <w:trPr>
          <w:trHeight w:val="256" w:hRule="exact"/>
        </w:trPr>
        <w:tc>
          <w:tcPr>
            <w:tcW w:w="3732" w:type="dxa"/>
            <w:tcBorders>
              <w:top w:val="nil" w:sz="6" w:space="0" w:color="auto"/>
              <w:left w:val="nil" w:sz="6" w:space="0" w:color="auto"/>
              <w:bottom w:val="nil" w:sz="6" w:space="0" w:color="auto"/>
              <w:right w:val="nil" w:sz="6" w:space="0" w:color="auto"/>
            </w:tcBorders>
          </w:tcPr>
          <w:p>
            <w:pPr/>
          </w:p>
        </w:tc>
        <w:tc>
          <w:tcPr>
            <w:tcW w:w="276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545"/>
              <w:jc w:val="right"/>
              <w:rPr>
                <w:rFonts w:ascii="Arial" w:hAnsi="Arial" w:cs="Arial" w:eastAsia="Arial" w:hint="default"/>
                <w:sz w:val="20"/>
                <w:szCs w:val="20"/>
              </w:rPr>
            </w:pPr>
            <w:r>
              <w:rPr>
                <w:rFonts w:ascii="Arial"/>
                <w:w w:val="99"/>
                <w:sz w:val="20"/>
              </w:rPr>
            </w:r>
            <w:r>
              <w:rPr>
                <w:rFonts w:ascii="Arial"/>
                <w:spacing w:val="-1"/>
                <w:sz w:val="20"/>
                <w:u w:val="thick" w:color="000000"/>
              </w:rPr>
              <w:t>2,533,483</w:t>
            </w:r>
            <w:r>
              <w:rPr>
                <w:rFonts w:ascii="Arial"/>
                <w:spacing w:val="-1"/>
                <w:sz w:val="20"/>
              </w:rPr>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1,215,800</w:t>
            </w:r>
            <w:r>
              <w:rPr>
                <w:rFonts w:ascii="Arial"/>
                <w:spacing w:val="-1"/>
                <w:sz w:val="20"/>
              </w:rPr>
            </w:r>
          </w:p>
        </w:tc>
      </w:tr>
    </w:tbl>
    <w:p>
      <w:pPr>
        <w:spacing w:line="240" w:lineRule="auto" w:before="11"/>
        <w:rPr>
          <w:rFonts w:ascii="黑体" w:hAnsi="黑体" w:cs="黑体" w:eastAsia="黑体" w:hint="default"/>
          <w:b/>
          <w:bCs/>
          <w:sz w:val="24"/>
          <w:szCs w:val="24"/>
        </w:rPr>
      </w:pPr>
    </w:p>
    <w:p>
      <w:pPr>
        <w:pStyle w:val="Heading6"/>
        <w:tabs>
          <w:tab w:pos="819" w:val="left" w:leader="none"/>
        </w:tabs>
        <w:spacing w:line="240" w:lineRule="auto"/>
        <w:ind w:right="0"/>
        <w:jc w:val="left"/>
        <w:rPr>
          <w:b w:val="0"/>
          <w:bCs w:val="0"/>
        </w:rPr>
      </w:pPr>
      <w:r>
        <w:rPr>
          <w:rFonts w:ascii="Arial" w:hAnsi="Arial" w:cs="Arial" w:eastAsia="Arial" w:hint="default"/>
          <w:spacing w:val="-1"/>
          <w:w w:val="95"/>
        </w:rPr>
        <w:t>44.</w:t>
        <w:tab/>
      </w:r>
      <w:r>
        <w:rPr>
          <w:spacing w:val="2"/>
        </w:rPr>
        <w:t>所得税费用</w:t>
      </w:r>
      <w:r>
        <w:rPr>
          <w:b w:val="0"/>
          <w:bCs w:val="0"/>
        </w:rPr>
      </w:r>
    </w:p>
    <w:p>
      <w:pPr>
        <w:spacing w:line="240" w:lineRule="auto" w:before="0"/>
        <w:rPr>
          <w:rFonts w:ascii="黑体" w:hAnsi="黑体" w:cs="黑体" w:eastAsia="黑体" w:hint="default"/>
          <w:b/>
          <w:bCs/>
          <w:sz w:val="20"/>
          <w:szCs w:val="20"/>
        </w:rPr>
      </w:pPr>
    </w:p>
    <w:p>
      <w:pPr>
        <w:spacing w:line="240" w:lineRule="auto" w:before="2"/>
        <w:rPr>
          <w:rFonts w:ascii="黑体" w:hAnsi="黑体" w:cs="黑体" w:eastAsia="黑体" w:hint="default"/>
          <w:b/>
          <w:bCs/>
          <w:sz w:val="11"/>
          <w:szCs w:val="11"/>
        </w:rPr>
      </w:pPr>
    </w:p>
    <w:tbl>
      <w:tblPr>
        <w:tblW w:w="0" w:type="auto"/>
        <w:jc w:val="left"/>
        <w:tblInd w:w="609" w:type="dxa"/>
        <w:tblLayout w:type="fixed"/>
        <w:tblCellMar>
          <w:top w:w="0" w:type="dxa"/>
          <w:left w:w="0" w:type="dxa"/>
          <w:bottom w:w="0" w:type="dxa"/>
          <w:right w:w="0" w:type="dxa"/>
        </w:tblCellMar>
        <w:tblLook w:val="01E0"/>
      </w:tblPr>
      <w:tblGrid>
        <w:gridCol w:w="3217"/>
        <w:gridCol w:w="2809"/>
        <w:gridCol w:w="492"/>
        <w:gridCol w:w="1491"/>
        <w:gridCol w:w="280"/>
      </w:tblGrid>
      <w:tr>
        <w:trPr>
          <w:trHeight w:val="416" w:hRule="exact"/>
        </w:trPr>
        <w:tc>
          <w:tcPr>
            <w:tcW w:w="3217" w:type="dxa"/>
            <w:tcBorders>
              <w:top w:val="nil" w:sz="6" w:space="0" w:color="auto"/>
              <w:left w:val="nil" w:sz="6" w:space="0" w:color="auto"/>
              <w:bottom w:val="nil" w:sz="6" w:space="0" w:color="auto"/>
              <w:right w:val="nil" w:sz="6" w:space="0" w:color="auto"/>
            </w:tcBorders>
          </w:tcPr>
          <w:p>
            <w:pPr/>
          </w:p>
        </w:tc>
        <w:tc>
          <w:tcPr>
            <w:tcW w:w="2809" w:type="dxa"/>
            <w:tcBorders>
              <w:top w:val="nil" w:sz="6" w:space="0" w:color="auto"/>
              <w:left w:val="nil" w:sz="6" w:space="0" w:color="auto"/>
              <w:bottom w:val="nil" w:sz="6" w:space="0" w:color="auto"/>
              <w:right w:val="nil" w:sz="6" w:space="0" w:color="auto"/>
            </w:tcBorders>
          </w:tcPr>
          <w:p>
            <w:pPr>
              <w:pStyle w:val="TableParagraph"/>
              <w:spacing w:line="214" w:lineRule="exact"/>
              <w:ind w:right="13"/>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492"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Style w:val="TableParagraph"/>
              <w:spacing w:line="214" w:lineRule="exact"/>
              <w:ind w:right="10"/>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c>
          <w:tcPr>
            <w:tcW w:w="280" w:type="dxa"/>
            <w:tcBorders>
              <w:top w:val="nil" w:sz="6" w:space="0" w:color="auto"/>
              <w:left w:val="nil" w:sz="6" w:space="0" w:color="auto"/>
              <w:bottom w:val="nil" w:sz="6" w:space="0" w:color="auto"/>
              <w:right w:val="nil" w:sz="6" w:space="0" w:color="auto"/>
            </w:tcBorders>
          </w:tcPr>
          <w:p>
            <w:pPr/>
          </w:p>
        </w:tc>
      </w:tr>
      <w:tr>
        <w:trPr>
          <w:trHeight w:val="464" w:hRule="exact"/>
        </w:trPr>
        <w:tc>
          <w:tcPr>
            <w:tcW w:w="3217"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200" w:right="0"/>
              <w:jc w:val="left"/>
              <w:rPr>
                <w:rFonts w:ascii="黑体" w:hAnsi="黑体" w:cs="黑体" w:eastAsia="黑体" w:hint="default"/>
                <w:sz w:val="20"/>
                <w:szCs w:val="20"/>
              </w:rPr>
            </w:pPr>
            <w:r>
              <w:rPr>
                <w:rFonts w:ascii="黑体" w:hAnsi="黑体" w:cs="黑体" w:eastAsia="黑体" w:hint="default"/>
                <w:sz w:val="20"/>
                <w:szCs w:val="20"/>
              </w:rPr>
              <w:t>当期所得税费用</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b/>
                <w:bCs/>
                <w:sz w:val="14"/>
                <w:szCs w:val="14"/>
              </w:rPr>
            </w:pPr>
          </w:p>
          <w:p>
            <w:pPr>
              <w:pStyle w:val="TableParagraph"/>
              <w:spacing w:line="240" w:lineRule="auto"/>
              <w:ind w:right="14"/>
              <w:jc w:val="right"/>
              <w:rPr>
                <w:rFonts w:ascii="Arial" w:hAnsi="Arial" w:cs="Arial" w:eastAsia="Arial" w:hint="default"/>
                <w:sz w:val="20"/>
                <w:szCs w:val="20"/>
              </w:rPr>
            </w:pPr>
            <w:r>
              <w:rPr>
                <w:rFonts w:ascii="Arial"/>
                <w:spacing w:val="-1"/>
                <w:sz w:val="20"/>
              </w:rPr>
              <w:t>58,348,857</w:t>
            </w:r>
            <w:r>
              <w:rPr>
                <w:rFonts w:ascii="Arial"/>
                <w:sz w:val="20"/>
              </w:rPr>
            </w:r>
          </w:p>
        </w:tc>
        <w:tc>
          <w:tcPr>
            <w:tcW w:w="492"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b/>
                <w:bCs/>
                <w:sz w:val="14"/>
                <w:szCs w:val="14"/>
              </w:rPr>
            </w:pPr>
          </w:p>
          <w:p>
            <w:pPr>
              <w:pStyle w:val="TableParagraph"/>
              <w:spacing w:line="240" w:lineRule="auto"/>
              <w:ind w:right="11"/>
              <w:jc w:val="right"/>
              <w:rPr>
                <w:rFonts w:ascii="Arial" w:hAnsi="Arial" w:cs="Arial" w:eastAsia="Arial" w:hint="default"/>
                <w:sz w:val="20"/>
                <w:szCs w:val="20"/>
              </w:rPr>
            </w:pPr>
            <w:r>
              <w:rPr>
                <w:rFonts w:ascii="Arial"/>
                <w:spacing w:val="-1"/>
                <w:sz w:val="20"/>
              </w:rPr>
              <w:t>74,416,875</w:t>
            </w:r>
            <w:r>
              <w:rPr>
                <w:rFonts w:ascii="Arial"/>
                <w:sz w:val="20"/>
              </w:rPr>
            </w:r>
          </w:p>
        </w:tc>
        <w:tc>
          <w:tcPr>
            <w:tcW w:w="280" w:type="dxa"/>
            <w:tcBorders>
              <w:top w:val="nil" w:sz="6" w:space="0" w:color="auto"/>
              <w:left w:val="nil" w:sz="6" w:space="0" w:color="auto"/>
              <w:bottom w:val="nil" w:sz="6" w:space="0" w:color="auto"/>
              <w:right w:val="nil" w:sz="6" w:space="0" w:color="auto"/>
            </w:tcBorders>
          </w:tcPr>
          <w:p>
            <w:pPr/>
          </w:p>
        </w:tc>
      </w:tr>
      <w:tr>
        <w:trPr>
          <w:trHeight w:val="313" w:hRule="exact"/>
        </w:trPr>
        <w:tc>
          <w:tcPr>
            <w:tcW w:w="3217"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黑体" w:hAnsi="黑体" w:cs="黑体" w:eastAsia="黑体" w:hint="default"/>
                <w:sz w:val="20"/>
                <w:szCs w:val="20"/>
              </w:rPr>
            </w:pPr>
            <w:r>
              <w:rPr>
                <w:rFonts w:ascii="黑体" w:hAnsi="黑体" w:cs="黑体" w:eastAsia="黑体" w:hint="default"/>
                <w:sz w:val="20"/>
                <w:szCs w:val="20"/>
              </w:rPr>
              <w:t>递延所得税费用</w:t>
            </w: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3"/>
              <w:jc w:val="right"/>
              <w:rPr>
                <w:rFonts w:ascii="Arial" w:hAnsi="Arial" w:cs="Arial" w:eastAsia="Arial" w:hint="default"/>
                <w:sz w:val="20"/>
                <w:szCs w:val="20"/>
              </w:rPr>
            </w:pPr>
            <w:r>
              <w:rPr>
                <w:rFonts w:ascii="Arial"/>
                <w:sz w:val="20"/>
              </w:rPr>
              <w:t>(  </w:t>
            </w:r>
            <w:r>
              <w:rPr>
                <w:rFonts w:ascii="Arial"/>
                <w:spacing w:val="43"/>
                <w:sz w:val="20"/>
              </w:rPr>
              <w:t> </w:t>
            </w:r>
            <w:r>
              <w:rPr>
                <w:rFonts w:ascii="Arial"/>
                <w:spacing w:val="43"/>
                <w:sz w:val="20"/>
                <w:u w:val="single" w:color="000000"/>
              </w:rPr>
              <w:t> </w:t>
            </w:r>
            <w:r>
              <w:rPr>
                <w:rFonts w:ascii="Arial"/>
                <w:sz w:val="20"/>
                <w:u w:val="single" w:color="000000"/>
              </w:rPr>
              <w:t>4,468,826</w:t>
            </w:r>
            <w:r>
              <w:rPr>
                <w:rFonts w:ascii="Arial"/>
                <w:sz w:val="20"/>
              </w:rPr>
            </w:r>
          </w:p>
        </w:tc>
        <w:tc>
          <w:tcPr>
            <w:tcW w:w="492"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3" w:right="0"/>
              <w:jc w:val="left"/>
              <w:rPr>
                <w:rFonts w:ascii="Arial" w:hAnsi="Arial" w:cs="Arial" w:eastAsia="Arial" w:hint="default"/>
                <w:sz w:val="20"/>
                <w:szCs w:val="20"/>
              </w:rPr>
            </w:pPr>
            <w:r>
              <w:rPr>
                <w:rFonts w:ascii="Arial"/>
                <w:w w:val="99"/>
                <w:sz w:val="20"/>
              </w:rPr>
              <w:t>)</w:t>
            </w:r>
            <w:r>
              <w:rPr>
                <w:rFonts w:ascii="Arial"/>
                <w:sz w:val="20"/>
              </w:rPr>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1"/>
              <w:jc w:val="right"/>
              <w:rPr>
                <w:rFonts w:ascii="Arial" w:hAnsi="Arial" w:cs="Arial" w:eastAsia="Arial" w:hint="default"/>
                <w:sz w:val="20"/>
                <w:szCs w:val="20"/>
              </w:rPr>
            </w:pPr>
            <w:r>
              <w:rPr>
                <w:rFonts w:ascii="Arial"/>
                <w:spacing w:val="-1"/>
                <w:sz w:val="20"/>
              </w:rPr>
              <w:t>(</w:t>
            </w:r>
            <w:r>
              <w:rPr>
                <w:rFonts w:ascii="Arial"/>
                <w:spacing w:val="-1"/>
                <w:sz w:val="20"/>
                <w:u w:val="single" w:color="000000"/>
              </w:rPr>
              <w:t>19,356,985</w:t>
            </w:r>
            <w:r>
              <w:rPr>
                <w:rFonts w:ascii="Arial"/>
                <w:spacing w:val="-1"/>
                <w:sz w:val="20"/>
              </w:rPr>
            </w:r>
            <w:r>
              <w:rPr>
                <w:rFonts w:ascii="Arial"/>
                <w:sz w:val="20"/>
              </w:rPr>
            </w:r>
          </w:p>
        </w:tc>
        <w:tc>
          <w:tcPr>
            <w:tcW w:w="28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13" w:right="0"/>
              <w:jc w:val="left"/>
              <w:rPr>
                <w:rFonts w:ascii="Arial" w:hAnsi="Arial" w:cs="Arial" w:eastAsia="Arial" w:hint="default"/>
                <w:sz w:val="20"/>
                <w:szCs w:val="20"/>
              </w:rPr>
            </w:pPr>
            <w:r>
              <w:rPr>
                <w:rFonts w:ascii="Arial"/>
                <w:w w:val="99"/>
                <w:sz w:val="20"/>
              </w:rPr>
              <w:t>)</w:t>
            </w:r>
            <w:r>
              <w:rPr>
                <w:rFonts w:ascii="Arial"/>
                <w:sz w:val="20"/>
              </w:rPr>
            </w:r>
          </w:p>
        </w:tc>
      </w:tr>
      <w:tr>
        <w:trPr>
          <w:trHeight w:val="256" w:hRule="exact"/>
        </w:trPr>
        <w:tc>
          <w:tcPr>
            <w:tcW w:w="3217" w:type="dxa"/>
            <w:tcBorders>
              <w:top w:val="nil" w:sz="6" w:space="0" w:color="auto"/>
              <w:left w:val="nil" w:sz="6" w:space="0" w:color="auto"/>
              <w:bottom w:val="nil" w:sz="6" w:space="0" w:color="auto"/>
              <w:right w:val="nil" w:sz="6" w:space="0" w:color="auto"/>
            </w:tcBorders>
          </w:tcPr>
          <w:p>
            <w:pPr/>
          </w:p>
        </w:tc>
        <w:tc>
          <w:tcPr>
            <w:tcW w:w="280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1"/>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pacing w:val="-11"/>
                <w:sz w:val="20"/>
                <w:u w:val="thick" w:color="000000"/>
              </w:rPr>
              <w:t> </w:t>
            </w:r>
            <w:r>
              <w:rPr>
                <w:rFonts w:ascii="Arial"/>
                <w:spacing w:val="-1"/>
                <w:sz w:val="20"/>
                <w:u w:val="thick" w:color="000000"/>
              </w:rPr>
              <w:t>53,880,031</w:t>
            </w:r>
            <w:r>
              <w:rPr>
                <w:rFonts w:ascii="Arial"/>
                <w:spacing w:val="-1"/>
                <w:sz w:val="20"/>
              </w:rPr>
            </w:r>
          </w:p>
        </w:tc>
        <w:tc>
          <w:tcPr>
            <w:tcW w:w="492" w:type="dxa"/>
            <w:tcBorders>
              <w:top w:val="nil" w:sz="6" w:space="0" w:color="auto"/>
              <w:left w:val="nil" w:sz="6" w:space="0" w:color="auto"/>
              <w:bottom w:val="nil" w:sz="6" w:space="0" w:color="auto"/>
              <w:right w:val="nil" w:sz="6" w:space="0" w:color="auto"/>
            </w:tcBorders>
          </w:tcPr>
          <w:p>
            <w:pP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1"/>
              <w:jc w:val="right"/>
              <w:rPr>
                <w:rFonts w:ascii="Arial" w:hAnsi="Arial" w:cs="Arial" w:eastAsia="Arial" w:hint="default"/>
                <w:sz w:val="20"/>
                <w:szCs w:val="20"/>
              </w:rPr>
            </w:pPr>
            <w:r>
              <w:rPr>
                <w:rFonts w:ascii="Arial"/>
                <w:w w:val="99"/>
                <w:sz w:val="20"/>
              </w:rPr>
            </w:r>
            <w:r>
              <w:rPr>
                <w:rFonts w:ascii="Arial"/>
                <w:spacing w:val="-1"/>
                <w:sz w:val="20"/>
                <w:u w:val="thick" w:color="000000"/>
              </w:rPr>
              <w:t>55,059,890</w:t>
            </w:r>
            <w:r>
              <w:rPr>
                <w:rFonts w:ascii="Arial"/>
                <w:spacing w:val="-1"/>
                <w:sz w:val="20"/>
              </w:rPr>
            </w:r>
            <w:r>
              <w:rPr>
                <w:rFonts w:ascii="Arial"/>
                <w:sz w:val="20"/>
              </w:rPr>
            </w:r>
          </w:p>
        </w:tc>
        <w:tc>
          <w:tcPr>
            <w:tcW w:w="280" w:type="dxa"/>
            <w:tcBorders>
              <w:top w:val="nil" w:sz="6" w:space="0" w:color="auto"/>
              <w:left w:val="nil" w:sz="6" w:space="0" w:color="auto"/>
              <w:bottom w:val="nil" w:sz="6" w:space="0" w:color="auto"/>
              <w:right w:val="nil" w:sz="6" w:space="0" w:color="auto"/>
            </w:tcBorders>
          </w:tcPr>
          <w:p>
            <w:pPr/>
          </w:p>
        </w:tc>
      </w:tr>
    </w:tbl>
    <w:p>
      <w:pPr>
        <w:spacing w:line="240" w:lineRule="auto" w:before="4"/>
        <w:rPr>
          <w:rFonts w:ascii="黑体" w:hAnsi="黑体" w:cs="黑体" w:eastAsia="黑体" w:hint="default"/>
          <w:b/>
          <w:bCs/>
          <w:sz w:val="23"/>
          <w:szCs w:val="23"/>
        </w:rPr>
      </w:pPr>
    </w:p>
    <w:p>
      <w:pPr>
        <w:pStyle w:val="BodyText"/>
        <w:spacing w:line="240" w:lineRule="auto" w:before="37"/>
        <w:ind w:right="0"/>
        <w:jc w:val="left"/>
      </w:pPr>
      <w:r>
        <w:rPr/>
        <w:t>所得税费用与利润总额的关系列示如下：</w:t>
      </w: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10"/>
          <w:szCs w:val="10"/>
        </w:rPr>
      </w:pPr>
    </w:p>
    <w:tbl>
      <w:tblPr>
        <w:tblW w:w="0" w:type="auto"/>
        <w:jc w:val="left"/>
        <w:tblInd w:w="609" w:type="dxa"/>
        <w:tblLayout w:type="fixed"/>
        <w:tblCellMar>
          <w:top w:w="0" w:type="dxa"/>
          <w:left w:w="0" w:type="dxa"/>
          <w:bottom w:w="0" w:type="dxa"/>
          <w:right w:w="0" w:type="dxa"/>
        </w:tblCellMar>
        <w:tblLook w:val="01E0"/>
      </w:tblPr>
      <w:tblGrid>
        <w:gridCol w:w="4176"/>
        <w:gridCol w:w="1831"/>
        <w:gridCol w:w="480"/>
        <w:gridCol w:w="1502"/>
        <w:gridCol w:w="274"/>
      </w:tblGrid>
      <w:tr>
        <w:trPr>
          <w:trHeight w:val="416" w:hRule="exact"/>
        </w:trPr>
        <w:tc>
          <w:tcPr>
            <w:tcW w:w="4176" w:type="dxa"/>
            <w:tcBorders>
              <w:top w:val="nil" w:sz="6" w:space="0" w:color="auto"/>
              <w:left w:val="nil" w:sz="6" w:space="0" w:color="auto"/>
              <w:bottom w:val="nil" w:sz="6" w:space="0" w:color="auto"/>
              <w:right w:val="nil" w:sz="6" w:space="0" w:color="auto"/>
            </w:tcBorders>
          </w:tcPr>
          <w:p>
            <w:pPr/>
          </w:p>
        </w:tc>
        <w:tc>
          <w:tcPr>
            <w:tcW w:w="1831" w:type="dxa"/>
            <w:tcBorders>
              <w:top w:val="nil" w:sz="6" w:space="0" w:color="auto"/>
              <w:left w:val="nil" w:sz="6" w:space="0" w:color="auto"/>
              <w:bottom w:val="nil" w:sz="6" w:space="0" w:color="auto"/>
              <w:right w:val="nil" w:sz="6" w:space="0" w:color="auto"/>
            </w:tcBorders>
          </w:tcPr>
          <w:p>
            <w:pPr>
              <w:pStyle w:val="TableParagraph"/>
              <w:spacing w:line="214" w:lineRule="exact"/>
              <w:ind w:right="6"/>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480"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14" w:lineRule="exact"/>
              <w:ind w:right="5"/>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c>
          <w:tcPr>
            <w:tcW w:w="274" w:type="dxa"/>
            <w:tcBorders>
              <w:top w:val="nil" w:sz="6" w:space="0" w:color="auto"/>
              <w:left w:val="nil" w:sz="6" w:space="0" w:color="auto"/>
              <w:bottom w:val="nil" w:sz="6" w:space="0" w:color="auto"/>
              <w:right w:val="nil" w:sz="6" w:space="0" w:color="auto"/>
            </w:tcBorders>
          </w:tcPr>
          <w:p>
            <w:pPr/>
          </w:p>
        </w:tc>
      </w:tr>
      <w:tr>
        <w:trPr>
          <w:trHeight w:val="620" w:hRule="exact"/>
        </w:trPr>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200" w:right="0"/>
              <w:jc w:val="left"/>
              <w:rPr>
                <w:rFonts w:ascii="黑体" w:hAnsi="黑体" w:cs="黑体" w:eastAsia="黑体" w:hint="default"/>
                <w:sz w:val="20"/>
                <w:szCs w:val="20"/>
              </w:rPr>
            </w:pPr>
            <w:r>
              <w:rPr>
                <w:rFonts w:ascii="黑体" w:hAnsi="黑体" w:cs="黑体" w:eastAsia="黑体" w:hint="default"/>
                <w:sz w:val="20"/>
                <w:szCs w:val="20"/>
              </w:rPr>
              <w:t>利润总额</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4"/>
                <w:szCs w:val="14"/>
              </w:rPr>
            </w:pPr>
          </w:p>
          <w:p>
            <w:pPr>
              <w:pStyle w:val="TableParagraph"/>
              <w:spacing w:line="240" w:lineRule="auto"/>
              <w:ind w:right="4"/>
              <w:jc w:val="right"/>
              <w:rPr>
                <w:rFonts w:ascii="Arial" w:hAnsi="Arial" w:cs="Arial" w:eastAsia="Arial" w:hint="default"/>
                <w:sz w:val="20"/>
                <w:szCs w:val="20"/>
              </w:rPr>
            </w:pPr>
            <w:r>
              <w:rPr>
                <w:rFonts w:ascii="Arial"/>
                <w:spacing w:val="-1"/>
                <w:sz w:val="20"/>
              </w:rPr>
              <w:t>441,034,267</w:t>
            </w:r>
            <w:r>
              <w:rPr>
                <w:rFonts w:ascii="Arial"/>
                <w:sz w:val="20"/>
              </w:rPr>
            </w:r>
          </w:p>
        </w:tc>
        <w:tc>
          <w:tcPr>
            <w:tcW w:w="480"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4"/>
                <w:szCs w:val="14"/>
              </w:rPr>
            </w:pPr>
          </w:p>
          <w:p>
            <w:pPr>
              <w:pStyle w:val="TableParagraph"/>
              <w:spacing w:line="240" w:lineRule="auto"/>
              <w:ind w:right="5"/>
              <w:jc w:val="right"/>
              <w:rPr>
                <w:rFonts w:ascii="Arial" w:hAnsi="Arial" w:cs="Arial" w:eastAsia="Arial" w:hint="default"/>
                <w:sz w:val="20"/>
                <w:szCs w:val="20"/>
              </w:rPr>
            </w:pPr>
            <w:r>
              <w:rPr>
                <w:rFonts w:ascii="Arial"/>
                <w:spacing w:val="-1"/>
                <w:sz w:val="20"/>
              </w:rPr>
              <w:t>605,905,956</w:t>
            </w:r>
            <w:r>
              <w:rPr>
                <w:rFonts w:ascii="Arial"/>
                <w:sz w:val="20"/>
              </w:rPr>
            </w:r>
          </w:p>
        </w:tc>
        <w:tc>
          <w:tcPr>
            <w:tcW w:w="274" w:type="dxa"/>
            <w:tcBorders>
              <w:top w:val="nil" w:sz="6" w:space="0" w:color="auto"/>
              <w:left w:val="nil" w:sz="6" w:space="0" w:color="auto"/>
              <w:bottom w:val="nil" w:sz="6" w:space="0" w:color="auto"/>
              <w:right w:val="nil" w:sz="6" w:space="0" w:color="auto"/>
            </w:tcBorders>
          </w:tcPr>
          <w:p>
            <w:pPr/>
          </w:p>
        </w:tc>
      </w:tr>
      <w:tr>
        <w:trPr>
          <w:trHeight w:val="472" w:hRule="exact"/>
        </w:trPr>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200" w:right="0"/>
              <w:jc w:val="left"/>
              <w:rPr>
                <w:rFonts w:ascii="Arial" w:hAnsi="Arial" w:cs="Arial" w:eastAsia="Arial" w:hint="default"/>
                <w:sz w:val="20"/>
                <w:szCs w:val="20"/>
              </w:rPr>
            </w:pPr>
            <w:r>
              <w:rPr>
                <w:rFonts w:ascii="黑体" w:hAnsi="黑体" w:cs="黑体" w:eastAsia="黑体" w:hint="default"/>
                <w:sz w:val="20"/>
                <w:szCs w:val="20"/>
              </w:rPr>
              <w:t>按适用的税率计算的税项</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1)</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right="4"/>
              <w:jc w:val="right"/>
              <w:rPr>
                <w:rFonts w:ascii="Arial" w:hAnsi="Arial" w:cs="Arial" w:eastAsia="Arial" w:hint="default"/>
                <w:sz w:val="20"/>
                <w:szCs w:val="20"/>
              </w:rPr>
            </w:pPr>
            <w:r>
              <w:rPr>
                <w:rFonts w:ascii="Arial"/>
                <w:spacing w:val="-1"/>
                <w:w w:val="95"/>
                <w:sz w:val="20"/>
              </w:rPr>
              <w:t>44,103,427</w:t>
            </w:r>
            <w:r>
              <w:rPr>
                <w:rFonts w:ascii="Arial"/>
                <w:sz w:val="20"/>
              </w:rPr>
            </w:r>
          </w:p>
        </w:tc>
        <w:tc>
          <w:tcPr>
            <w:tcW w:w="480"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14"/>
                <w:szCs w:val="14"/>
              </w:rPr>
            </w:pPr>
          </w:p>
          <w:p>
            <w:pPr>
              <w:pStyle w:val="TableParagraph"/>
              <w:spacing w:line="240" w:lineRule="auto"/>
              <w:ind w:right="5"/>
              <w:jc w:val="right"/>
              <w:rPr>
                <w:rFonts w:ascii="Arial" w:hAnsi="Arial" w:cs="Arial" w:eastAsia="Arial" w:hint="default"/>
                <w:sz w:val="20"/>
                <w:szCs w:val="20"/>
              </w:rPr>
            </w:pPr>
            <w:r>
              <w:rPr>
                <w:rFonts w:ascii="Arial"/>
                <w:spacing w:val="-1"/>
                <w:sz w:val="20"/>
              </w:rPr>
              <w:t>60,590,596</w:t>
            </w:r>
            <w:r>
              <w:rPr>
                <w:rFonts w:ascii="Arial"/>
                <w:sz w:val="20"/>
              </w:rPr>
            </w:r>
          </w:p>
        </w:tc>
        <w:tc>
          <w:tcPr>
            <w:tcW w:w="274" w:type="dxa"/>
            <w:tcBorders>
              <w:top w:val="nil" w:sz="6" w:space="0" w:color="auto"/>
              <w:left w:val="nil" w:sz="6" w:space="0" w:color="auto"/>
              <w:bottom w:val="nil" w:sz="6" w:space="0" w:color="auto"/>
              <w:right w:val="nil" w:sz="6" w:space="0" w:color="auto"/>
            </w:tcBorders>
          </w:tcPr>
          <w:p>
            <w:pPr/>
          </w:p>
        </w:tc>
      </w:tr>
      <w:tr>
        <w:trPr>
          <w:trHeight w:val="312" w:hRule="exact"/>
        </w:trPr>
        <w:tc>
          <w:tcPr>
            <w:tcW w:w="4176" w:type="dxa"/>
            <w:tcBorders>
              <w:top w:val="nil" w:sz="6" w:space="0" w:color="auto"/>
              <w:left w:val="nil" w:sz="6" w:space="0" w:color="auto"/>
              <w:bottom w:val="nil" w:sz="6" w:space="0" w:color="auto"/>
              <w:right w:val="nil" w:sz="6" w:space="0" w:color="auto"/>
            </w:tcBorders>
          </w:tcPr>
          <w:p>
            <w:pPr>
              <w:pStyle w:val="TableParagraph"/>
              <w:spacing w:line="265" w:lineRule="exact"/>
              <w:ind w:left="200" w:right="0"/>
              <w:jc w:val="left"/>
              <w:rPr>
                <w:rFonts w:ascii="Arial" w:hAnsi="Arial" w:cs="Arial" w:eastAsia="Arial" w:hint="default"/>
                <w:sz w:val="20"/>
                <w:szCs w:val="20"/>
              </w:rPr>
            </w:pPr>
            <w:r>
              <w:rPr>
                <w:rFonts w:ascii="黑体" w:hAnsi="黑体" w:cs="黑体" w:eastAsia="黑体" w:hint="default"/>
                <w:sz w:val="20"/>
                <w:szCs w:val="20"/>
              </w:rPr>
              <w:t>某些分子公司适用不同税率的影响</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2)</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6"/>
              <w:jc w:val="right"/>
              <w:rPr>
                <w:rFonts w:ascii="Arial" w:hAnsi="Arial" w:cs="Arial" w:eastAsia="Arial" w:hint="default"/>
                <w:sz w:val="20"/>
                <w:szCs w:val="20"/>
              </w:rPr>
            </w:pPr>
            <w:r>
              <w:rPr>
                <w:rFonts w:ascii="Arial"/>
                <w:spacing w:val="-1"/>
                <w:sz w:val="20"/>
              </w:rPr>
              <w:t>8,270,590</w:t>
            </w:r>
          </w:p>
        </w:tc>
        <w:tc>
          <w:tcPr>
            <w:tcW w:w="480"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
              <w:jc w:val="right"/>
              <w:rPr>
                <w:rFonts w:ascii="Arial" w:hAnsi="Arial" w:cs="Arial" w:eastAsia="Arial" w:hint="default"/>
                <w:sz w:val="20"/>
                <w:szCs w:val="20"/>
              </w:rPr>
            </w:pPr>
            <w:r>
              <w:rPr>
                <w:rFonts w:ascii="Arial"/>
                <w:sz w:val="20"/>
              </w:rPr>
              <w:t>( </w:t>
            </w:r>
            <w:r>
              <w:rPr>
                <w:rFonts w:ascii="Arial"/>
                <w:spacing w:val="13"/>
                <w:sz w:val="20"/>
              </w:rPr>
              <w:t> </w:t>
            </w:r>
            <w:r>
              <w:rPr>
                <w:rFonts w:ascii="Arial"/>
                <w:sz w:val="20"/>
              </w:rPr>
              <w:t>5,769,585</w:t>
            </w:r>
          </w:p>
        </w:tc>
        <w:tc>
          <w:tcPr>
            <w:tcW w:w="27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7" w:right="0"/>
              <w:jc w:val="left"/>
              <w:rPr>
                <w:rFonts w:ascii="Arial" w:hAnsi="Arial" w:cs="Arial" w:eastAsia="Arial" w:hint="default"/>
                <w:sz w:val="20"/>
                <w:szCs w:val="20"/>
              </w:rPr>
            </w:pPr>
            <w:r>
              <w:rPr>
                <w:rFonts w:ascii="Arial"/>
                <w:w w:val="99"/>
                <w:sz w:val="20"/>
              </w:rPr>
              <w:t>)</w:t>
            </w:r>
            <w:r>
              <w:rPr>
                <w:rFonts w:ascii="Arial"/>
                <w:sz w:val="20"/>
              </w:rPr>
            </w:r>
          </w:p>
        </w:tc>
      </w:tr>
      <w:tr>
        <w:trPr>
          <w:trHeight w:val="308" w:hRule="exact"/>
        </w:trPr>
        <w:tc>
          <w:tcPr>
            <w:tcW w:w="4176" w:type="dxa"/>
            <w:tcBorders>
              <w:top w:val="nil" w:sz="6" w:space="0" w:color="auto"/>
              <w:left w:val="nil" w:sz="6" w:space="0" w:color="auto"/>
              <w:bottom w:val="nil" w:sz="6" w:space="0" w:color="auto"/>
              <w:right w:val="nil" w:sz="6" w:space="0" w:color="auto"/>
            </w:tcBorders>
          </w:tcPr>
          <w:p>
            <w:pPr>
              <w:pStyle w:val="TableParagraph"/>
              <w:spacing w:line="251" w:lineRule="exact"/>
              <w:ind w:left="200" w:right="0"/>
              <w:jc w:val="left"/>
              <w:rPr>
                <w:rFonts w:ascii="黑体" w:hAnsi="黑体" w:cs="黑体" w:eastAsia="黑体" w:hint="default"/>
                <w:sz w:val="20"/>
                <w:szCs w:val="20"/>
              </w:rPr>
            </w:pPr>
            <w:r>
              <w:rPr>
                <w:rFonts w:ascii="黑体" w:hAnsi="黑体" w:cs="黑体" w:eastAsia="黑体" w:hint="default"/>
                <w:sz w:val="20"/>
                <w:szCs w:val="20"/>
              </w:rPr>
              <w:t>未确认的税务亏损的影响</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
              <w:jc w:val="right"/>
              <w:rPr>
                <w:rFonts w:ascii="Arial" w:hAnsi="Arial" w:cs="Arial" w:eastAsia="Arial" w:hint="default"/>
                <w:sz w:val="20"/>
                <w:szCs w:val="20"/>
              </w:rPr>
            </w:pPr>
            <w:r>
              <w:rPr>
                <w:rFonts w:ascii="Arial"/>
                <w:spacing w:val="-1"/>
                <w:w w:val="95"/>
                <w:sz w:val="20"/>
              </w:rPr>
              <w:t>13,407,087</w:t>
            </w:r>
            <w:r>
              <w:rPr>
                <w:rFonts w:ascii="Arial"/>
                <w:sz w:val="20"/>
              </w:rPr>
            </w:r>
          </w:p>
        </w:tc>
        <w:tc>
          <w:tcPr>
            <w:tcW w:w="480"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
              <w:jc w:val="right"/>
              <w:rPr>
                <w:rFonts w:ascii="Arial" w:hAnsi="Arial" w:cs="Arial" w:eastAsia="Arial" w:hint="default"/>
                <w:sz w:val="20"/>
                <w:szCs w:val="20"/>
              </w:rPr>
            </w:pPr>
            <w:r>
              <w:rPr>
                <w:rFonts w:ascii="Arial"/>
                <w:spacing w:val="-1"/>
                <w:sz w:val="20"/>
              </w:rPr>
              <w:t>11,043,573</w:t>
            </w:r>
            <w:r>
              <w:rPr>
                <w:rFonts w:ascii="Arial"/>
                <w:sz w:val="20"/>
              </w:rPr>
            </w:r>
          </w:p>
        </w:tc>
        <w:tc>
          <w:tcPr>
            <w:tcW w:w="274" w:type="dxa"/>
            <w:tcBorders>
              <w:top w:val="nil" w:sz="6" w:space="0" w:color="auto"/>
              <w:left w:val="nil" w:sz="6" w:space="0" w:color="auto"/>
              <w:bottom w:val="nil" w:sz="6" w:space="0" w:color="auto"/>
              <w:right w:val="nil" w:sz="6" w:space="0" w:color="auto"/>
            </w:tcBorders>
          </w:tcPr>
          <w:p>
            <w:pPr/>
          </w:p>
        </w:tc>
      </w:tr>
      <w:tr>
        <w:trPr>
          <w:trHeight w:val="312" w:hRule="exact"/>
        </w:trPr>
        <w:tc>
          <w:tcPr>
            <w:tcW w:w="4176"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黑体" w:hAnsi="黑体" w:cs="黑体" w:eastAsia="黑体" w:hint="default"/>
                <w:sz w:val="20"/>
                <w:szCs w:val="20"/>
              </w:rPr>
            </w:pPr>
            <w:r>
              <w:rPr>
                <w:rFonts w:ascii="黑体" w:hAnsi="黑体" w:cs="黑体" w:eastAsia="黑体" w:hint="default"/>
                <w:sz w:val="20"/>
                <w:szCs w:val="20"/>
              </w:rPr>
              <w:t>归属于联营企业的损益的影响</w:t>
            </w:r>
          </w:p>
        </w:tc>
        <w:tc>
          <w:tcPr>
            <w:tcW w:w="1831" w:type="dxa"/>
            <w:tcBorders>
              <w:top w:val="nil" w:sz="6" w:space="0" w:color="auto"/>
              <w:left w:val="nil" w:sz="6" w:space="0" w:color="auto"/>
              <w:bottom w:val="nil" w:sz="6" w:space="0" w:color="auto"/>
              <w:right w:val="nil" w:sz="6" w:space="0" w:color="auto"/>
            </w:tcBorders>
          </w:tcPr>
          <w:p>
            <w:pPr>
              <w:pStyle w:val="TableParagraph"/>
              <w:tabs>
                <w:tab w:pos="542" w:val="left" w:leader="none"/>
              </w:tabs>
              <w:spacing w:line="240" w:lineRule="auto" w:before="31"/>
              <w:ind w:right="3"/>
              <w:jc w:val="right"/>
              <w:rPr>
                <w:rFonts w:ascii="Arial" w:hAnsi="Arial" w:cs="Arial" w:eastAsia="Arial" w:hint="default"/>
                <w:sz w:val="20"/>
                <w:szCs w:val="20"/>
              </w:rPr>
            </w:pPr>
            <w:r>
              <w:rPr>
                <w:rFonts w:ascii="Arial"/>
                <w:w w:val="95"/>
                <w:sz w:val="20"/>
              </w:rPr>
              <w:t>(</w:t>
              <w:tab/>
            </w:r>
            <w:r>
              <w:rPr>
                <w:rFonts w:ascii="Arial"/>
                <w:spacing w:val="-1"/>
                <w:sz w:val="20"/>
              </w:rPr>
              <w:t>368,173</w:t>
            </w:r>
          </w:p>
        </w:tc>
        <w:tc>
          <w:tcPr>
            <w:tcW w:w="48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5" w:right="0"/>
              <w:jc w:val="left"/>
              <w:rPr>
                <w:rFonts w:ascii="Arial" w:hAnsi="Arial" w:cs="Arial" w:eastAsia="Arial" w:hint="default"/>
                <w:sz w:val="20"/>
                <w:szCs w:val="20"/>
              </w:rPr>
            </w:pPr>
            <w:r>
              <w:rPr>
                <w:rFonts w:ascii="Arial"/>
                <w:w w:val="99"/>
                <w:sz w:val="20"/>
              </w:rPr>
              <w:t>)</w:t>
            </w:r>
            <w:r>
              <w:rPr>
                <w:rFonts w:ascii="Arial"/>
                <w:sz w:val="20"/>
              </w:rPr>
            </w:r>
          </w:p>
        </w:tc>
        <w:tc>
          <w:tcPr>
            <w:tcW w:w="1502" w:type="dxa"/>
            <w:tcBorders>
              <w:top w:val="nil" w:sz="6" w:space="0" w:color="auto"/>
              <w:left w:val="nil" w:sz="6" w:space="0" w:color="auto"/>
              <w:bottom w:val="nil" w:sz="6" w:space="0" w:color="auto"/>
              <w:right w:val="nil" w:sz="6" w:space="0" w:color="auto"/>
            </w:tcBorders>
          </w:tcPr>
          <w:p>
            <w:pPr>
              <w:pStyle w:val="TableParagraph"/>
              <w:tabs>
                <w:tab w:pos="369" w:val="left" w:leader="none"/>
              </w:tabs>
              <w:spacing w:line="240" w:lineRule="auto" w:before="31"/>
              <w:ind w:right="5"/>
              <w:jc w:val="right"/>
              <w:rPr>
                <w:rFonts w:ascii="Arial" w:hAnsi="Arial" w:cs="Arial" w:eastAsia="Arial" w:hint="default"/>
                <w:sz w:val="20"/>
                <w:szCs w:val="20"/>
              </w:rPr>
            </w:pPr>
            <w:r>
              <w:rPr>
                <w:rFonts w:ascii="Arial"/>
                <w:w w:val="95"/>
                <w:sz w:val="20"/>
              </w:rPr>
              <w:t>(</w:t>
              <w:tab/>
            </w:r>
            <w:r>
              <w:rPr>
                <w:rFonts w:ascii="Arial"/>
                <w:spacing w:val="-1"/>
                <w:w w:val="95"/>
                <w:sz w:val="20"/>
              </w:rPr>
              <w:t>616,893</w:t>
            </w:r>
            <w:r>
              <w:rPr>
                <w:rFonts w:ascii="Arial"/>
                <w:sz w:val="20"/>
              </w:rPr>
            </w:r>
          </w:p>
        </w:tc>
        <w:tc>
          <w:tcPr>
            <w:tcW w:w="27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7" w:right="0"/>
              <w:jc w:val="left"/>
              <w:rPr>
                <w:rFonts w:ascii="Arial" w:hAnsi="Arial" w:cs="Arial" w:eastAsia="Arial" w:hint="default"/>
                <w:sz w:val="20"/>
                <w:szCs w:val="20"/>
              </w:rPr>
            </w:pPr>
            <w:r>
              <w:rPr>
                <w:rFonts w:ascii="Arial"/>
                <w:w w:val="99"/>
                <w:sz w:val="20"/>
              </w:rPr>
              <w:t>)</w:t>
            </w:r>
            <w:r>
              <w:rPr>
                <w:rFonts w:ascii="Arial"/>
                <w:sz w:val="20"/>
              </w:rPr>
            </w:r>
          </w:p>
        </w:tc>
      </w:tr>
      <w:tr>
        <w:trPr>
          <w:trHeight w:val="316" w:hRule="exact"/>
        </w:trPr>
        <w:tc>
          <w:tcPr>
            <w:tcW w:w="4176" w:type="dxa"/>
            <w:tcBorders>
              <w:top w:val="nil" w:sz="6" w:space="0" w:color="auto"/>
              <w:left w:val="nil" w:sz="6" w:space="0" w:color="auto"/>
              <w:bottom w:val="nil" w:sz="6" w:space="0" w:color="auto"/>
              <w:right w:val="nil" w:sz="6" w:space="0" w:color="auto"/>
            </w:tcBorders>
          </w:tcPr>
          <w:p>
            <w:pPr>
              <w:pStyle w:val="TableParagraph"/>
              <w:spacing w:line="269" w:lineRule="exact"/>
              <w:ind w:left="200" w:right="0"/>
              <w:jc w:val="left"/>
              <w:rPr>
                <w:rFonts w:ascii="Arial" w:hAnsi="Arial" w:cs="Arial" w:eastAsia="Arial" w:hint="default"/>
                <w:sz w:val="20"/>
                <w:szCs w:val="20"/>
              </w:rPr>
            </w:pPr>
            <w:r>
              <w:rPr>
                <w:rFonts w:ascii="黑体" w:hAnsi="黑体" w:cs="黑体" w:eastAsia="黑体" w:hint="default"/>
                <w:sz w:val="20"/>
                <w:szCs w:val="20"/>
              </w:rPr>
              <w:t>无需纳税的收入的影响</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3)</w:t>
            </w:r>
          </w:p>
        </w:tc>
        <w:tc>
          <w:tcPr>
            <w:tcW w:w="1831" w:type="dxa"/>
            <w:tcBorders>
              <w:top w:val="nil" w:sz="6" w:space="0" w:color="auto"/>
              <w:left w:val="nil" w:sz="6" w:space="0" w:color="auto"/>
              <w:bottom w:val="nil" w:sz="6" w:space="0" w:color="auto"/>
              <w:right w:val="nil" w:sz="6" w:space="0" w:color="auto"/>
            </w:tcBorders>
          </w:tcPr>
          <w:p>
            <w:pPr>
              <w:pStyle w:val="TableParagraph"/>
              <w:tabs>
                <w:tab w:pos="287" w:val="left" w:leader="none"/>
              </w:tabs>
              <w:spacing w:line="240" w:lineRule="auto" w:before="31"/>
              <w:ind w:right="6"/>
              <w:jc w:val="right"/>
              <w:rPr>
                <w:rFonts w:ascii="Arial" w:hAnsi="Arial" w:cs="Arial" w:eastAsia="Arial" w:hint="default"/>
                <w:sz w:val="20"/>
                <w:szCs w:val="20"/>
              </w:rPr>
            </w:pPr>
            <w:r>
              <w:rPr>
                <w:rFonts w:ascii="Arial"/>
                <w:w w:val="95"/>
                <w:sz w:val="20"/>
              </w:rPr>
              <w:t>(</w:t>
              <w:tab/>
            </w:r>
            <w:r>
              <w:rPr>
                <w:rFonts w:ascii="Arial"/>
                <w:spacing w:val="-1"/>
                <w:sz w:val="20"/>
              </w:rPr>
              <w:t>28,517,553</w:t>
            </w:r>
          </w:p>
        </w:tc>
        <w:tc>
          <w:tcPr>
            <w:tcW w:w="480" w:type="dxa"/>
            <w:tcBorders>
              <w:top w:val="nil" w:sz="6" w:space="0" w:color="auto"/>
              <w:left w:val="nil" w:sz="6" w:space="0" w:color="auto"/>
              <w:bottom w:val="nil" w:sz="6" w:space="0" w:color="auto"/>
              <w:right w:val="nil" w:sz="6" w:space="0" w:color="auto"/>
            </w:tcBorders>
          </w:tcPr>
          <w:p>
            <w:pPr>
              <w:pStyle w:val="TableParagraph"/>
              <w:spacing w:line="240" w:lineRule="auto" w:before="31"/>
              <w:ind w:left="5" w:right="0"/>
              <w:jc w:val="left"/>
              <w:rPr>
                <w:rFonts w:ascii="Arial" w:hAnsi="Arial" w:cs="Arial" w:eastAsia="Arial" w:hint="default"/>
                <w:sz w:val="20"/>
                <w:szCs w:val="20"/>
              </w:rPr>
            </w:pPr>
            <w:r>
              <w:rPr>
                <w:rFonts w:ascii="Arial"/>
                <w:w w:val="99"/>
                <w:sz w:val="20"/>
              </w:rPr>
              <w:t>)</w:t>
            </w:r>
            <w:r>
              <w:rPr>
                <w:rFonts w:ascii="Arial"/>
                <w:sz w:val="20"/>
              </w:rPr>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
              <w:jc w:val="right"/>
              <w:rPr>
                <w:rFonts w:ascii="Arial" w:hAnsi="Arial" w:cs="Arial" w:eastAsia="Arial" w:hint="default"/>
                <w:sz w:val="20"/>
                <w:szCs w:val="20"/>
              </w:rPr>
            </w:pPr>
            <w:r>
              <w:rPr>
                <w:rFonts w:ascii="Arial"/>
                <w:spacing w:val="-1"/>
                <w:sz w:val="20"/>
              </w:rPr>
              <w:t>(31,734,623</w:t>
            </w:r>
            <w:r>
              <w:rPr>
                <w:rFonts w:ascii="Arial"/>
                <w:sz w:val="20"/>
              </w:rPr>
            </w:r>
          </w:p>
        </w:tc>
        <w:tc>
          <w:tcPr>
            <w:tcW w:w="27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7" w:right="0"/>
              <w:jc w:val="left"/>
              <w:rPr>
                <w:rFonts w:ascii="Arial" w:hAnsi="Arial" w:cs="Arial" w:eastAsia="Arial" w:hint="default"/>
                <w:sz w:val="20"/>
                <w:szCs w:val="20"/>
              </w:rPr>
            </w:pPr>
            <w:r>
              <w:rPr>
                <w:rFonts w:ascii="Arial"/>
                <w:w w:val="99"/>
                <w:sz w:val="20"/>
              </w:rPr>
              <w:t>)</w:t>
            </w:r>
            <w:r>
              <w:rPr>
                <w:rFonts w:ascii="Arial"/>
                <w:sz w:val="20"/>
              </w:rPr>
            </w:r>
          </w:p>
        </w:tc>
      </w:tr>
      <w:tr>
        <w:trPr>
          <w:trHeight w:val="312" w:hRule="exact"/>
        </w:trPr>
        <w:tc>
          <w:tcPr>
            <w:tcW w:w="4176" w:type="dxa"/>
            <w:tcBorders>
              <w:top w:val="nil" w:sz="6" w:space="0" w:color="auto"/>
              <w:left w:val="nil" w:sz="6" w:space="0" w:color="auto"/>
              <w:bottom w:val="nil" w:sz="6" w:space="0" w:color="auto"/>
              <w:right w:val="nil" w:sz="6" w:space="0" w:color="auto"/>
            </w:tcBorders>
          </w:tcPr>
          <w:p>
            <w:pPr>
              <w:pStyle w:val="TableParagraph"/>
              <w:spacing w:line="265" w:lineRule="exact"/>
              <w:ind w:left="200" w:right="0"/>
              <w:jc w:val="left"/>
              <w:rPr>
                <w:rFonts w:ascii="Arial" w:hAnsi="Arial" w:cs="Arial" w:eastAsia="Arial" w:hint="default"/>
                <w:sz w:val="20"/>
                <w:szCs w:val="20"/>
              </w:rPr>
            </w:pPr>
            <w:r>
              <w:rPr>
                <w:rFonts w:ascii="黑体" w:hAnsi="黑体" w:cs="黑体" w:eastAsia="黑体" w:hint="default"/>
                <w:sz w:val="20"/>
                <w:szCs w:val="20"/>
              </w:rPr>
              <w:t>当年研发费</w:t>
            </w:r>
            <w:r>
              <w:rPr>
                <w:rFonts w:ascii="Arial" w:hAnsi="Arial" w:cs="Arial" w:eastAsia="Arial" w:hint="default"/>
                <w:sz w:val="20"/>
                <w:szCs w:val="20"/>
              </w:rPr>
              <w:t>50%</w:t>
            </w:r>
            <w:r>
              <w:rPr>
                <w:rFonts w:ascii="黑体" w:hAnsi="黑体" w:cs="黑体" w:eastAsia="黑体" w:hint="default"/>
                <w:sz w:val="20"/>
                <w:szCs w:val="20"/>
              </w:rPr>
              <w:t>加计扣除的影响</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4)</w:t>
            </w:r>
          </w:p>
        </w:tc>
        <w:tc>
          <w:tcPr>
            <w:tcW w:w="1831" w:type="dxa"/>
            <w:tcBorders>
              <w:top w:val="nil" w:sz="6" w:space="0" w:color="auto"/>
              <w:left w:val="nil" w:sz="6" w:space="0" w:color="auto"/>
              <w:bottom w:val="nil" w:sz="6" w:space="0" w:color="auto"/>
              <w:right w:val="nil" w:sz="6" w:space="0" w:color="auto"/>
            </w:tcBorders>
          </w:tcPr>
          <w:p>
            <w:pPr>
              <w:pStyle w:val="TableParagraph"/>
              <w:tabs>
                <w:tab w:pos="278" w:val="left" w:leader="none"/>
              </w:tabs>
              <w:spacing w:line="240" w:lineRule="auto" w:before="28"/>
              <w:ind w:right="6"/>
              <w:jc w:val="right"/>
              <w:rPr>
                <w:rFonts w:ascii="Arial" w:hAnsi="Arial" w:cs="Arial" w:eastAsia="Arial" w:hint="default"/>
                <w:sz w:val="20"/>
                <w:szCs w:val="20"/>
              </w:rPr>
            </w:pPr>
            <w:r>
              <w:rPr>
                <w:rFonts w:ascii="Arial"/>
                <w:w w:val="95"/>
                <w:sz w:val="20"/>
              </w:rPr>
              <w:t>(</w:t>
              <w:tab/>
            </w:r>
            <w:r>
              <w:rPr>
                <w:rFonts w:ascii="Arial"/>
                <w:spacing w:val="-1"/>
                <w:w w:val="95"/>
                <w:sz w:val="20"/>
              </w:rPr>
              <w:t>16,461,692</w:t>
            </w:r>
            <w:r>
              <w:rPr>
                <w:rFonts w:ascii="Arial"/>
                <w:sz w:val="20"/>
              </w:rPr>
            </w:r>
          </w:p>
        </w:tc>
        <w:tc>
          <w:tcPr>
            <w:tcW w:w="48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5" w:right="0"/>
              <w:jc w:val="left"/>
              <w:rPr>
                <w:rFonts w:ascii="Arial" w:hAnsi="Arial" w:cs="Arial" w:eastAsia="Arial" w:hint="default"/>
                <w:sz w:val="20"/>
                <w:szCs w:val="20"/>
              </w:rPr>
            </w:pPr>
            <w:r>
              <w:rPr>
                <w:rFonts w:ascii="Arial"/>
                <w:w w:val="99"/>
                <w:sz w:val="20"/>
              </w:rPr>
              <w:t>)</w:t>
            </w:r>
            <w:r>
              <w:rPr>
                <w:rFonts w:ascii="Arial"/>
                <w:sz w:val="20"/>
              </w:rPr>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
              <w:jc w:val="right"/>
              <w:rPr>
                <w:rFonts w:ascii="Arial" w:hAnsi="Arial" w:cs="Arial" w:eastAsia="Arial" w:hint="default"/>
                <w:sz w:val="20"/>
                <w:szCs w:val="20"/>
              </w:rPr>
            </w:pPr>
            <w:r>
              <w:rPr>
                <w:rFonts w:ascii="Arial"/>
                <w:sz w:val="20"/>
              </w:rPr>
              <w:t>( </w:t>
            </w:r>
            <w:r>
              <w:rPr>
                <w:rFonts w:ascii="Arial"/>
                <w:spacing w:val="3"/>
                <w:sz w:val="20"/>
              </w:rPr>
              <w:t> </w:t>
            </w:r>
            <w:r>
              <w:rPr>
                <w:rFonts w:ascii="Arial"/>
                <w:sz w:val="20"/>
              </w:rPr>
              <w:t>8,426,580</w:t>
            </w:r>
          </w:p>
        </w:tc>
        <w:tc>
          <w:tcPr>
            <w:tcW w:w="27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7" w:right="0"/>
              <w:jc w:val="left"/>
              <w:rPr>
                <w:rFonts w:ascii="Arial" w:hAnsi="Arial" w:cs="Arial" w:eastAsia="Arial" w:hint="default"/>
                <w:sz w:val="20"/>
                <w:szCs w:val="20"/>
              </w:rPr>
            </w:pPr>
            <w:r>
              <w:rPr>
                <w:rFonts w:ascii="Arial"/>
                <w:w w:val="99"/>
                <w:sz w:val="20"/>
              </w:rPr>
              <w:t>)</w:t>
            </w:r>
            <w:r>
              <w:rPr>
                <w:rFonts w:ascii="Arial"/>
                <w:sz w:val="20"/>
              </w:rPr>
            </w:r>
          </w:p>
        </w:tc>
      </w:tr>
      <w:tr>
        <w:trPr>
          <w:trHeight w:val="308" w:hRule="exact"/>
        </w:trPr>
        <w:tc>
          <w:tcPr>
            <w:tcW w:w="4176" w:type="dxa"/>
            <w:tcBorders>
              <w:top w:val="nil" w:sz="6" w:space="0" w:color="auto"/>
              <w:left w:val="nil" w:sz="6" w:space="0" w:color="auto"/>
              <w:bottom w:val="nil" w:sz="6" w:space="0" w:color="auto"/>
              <w:right w:val="nil" w:sz="6" w:space="0" w:color="auto"/>
            </w:tcBorders>
          </w:tcPr>
          <w:p>
            <w:pPr>
              <w:pStyle w:val="TableParagraph"/>
              <w:spacing w:line="251" w:lineRule="exact"/>
              <w:ind w:left="200" w:right="0"/>
              <w:jc w:val="left"/>
              <w:rPr>
                <w:rFonts w:ascii="黑体" w:hAnsi="黑体" w:cs="黑体" w:eastAsia="黑体" w:hint="default"/>
                <w:sz w:val="20"/>
                <w:szCs w:val="20"/>
              </w:rPr>
            </w:pPr>
            <w:r>
              <w:rPr>
                <w:rFonts w:ascii="黑体" w:hAnsi="黑体" w:cs="黑体" w:eastAsia="黑体" w:hint="default"/>
                <w:sz w:val="20"/>
                <w:szCs w:val="20"/>
              </w:rPr>
              <w:t>汇算清缴差异</w:t>
            </w:r>
          </w:p>
        </w:tc>
        <w:tc>
          <w:tcPr>
            <w:tcW w:w="1831" w:type="dxa"/>
            <w:tcBorders>
              <w:top w:val="nil" w:sz="6" w:space="0" w:color="auto"/>
              <w:left w:val="nil" w:sz="6" w:space="0" w:color="auto"/>
              <w:bottom w:val="nil" w:sz="6" w:space="0" w:color="auto"/>
              <w:right w:val="nil" w:sz="6" w:space="0" w:color="auto"/>
            </w:tcBorders>
          </w:tcPr>
          <w:p>
            <w:pPr>
              <w:pStyle w:val="TableParagraph"/>
              <w:tabs>
                <w:tab w:pos="369" w:val="left" w:leader="none"/>
              </w:tabs>
              <w:spacing w:line="240" w:lineRule="auto" w:before="28"/>
              <w:ind w:right="6"/>
              <w:jc w:val="right"/>
              <w:rPr>
                <w:rFonts w:ascii="Arial" w:hAnsi="Arial" w:cs="Arial" w:eastAsia="Arial" w:hint="default"/>
                <w:sz w:val="20"/>
                <w:szCs w:val="20"/>
              </w:rPr>
            </w:pPr>
            <w:r>
              <w:rPr>
                <w:rFonts w:ascii="Arial"/>
                <w:w w:val="95"/>
                <w:sz w:val="20"/>
              </w:rPr>
              <w:t>(</w:t>
              <w:tab/>
            </w:r>
            <w:r>
              <w:rPr>
                <w:rFonts w:ascii="Arial"/>
                <w:spacing w:val="-1"/>
                <w:sz w:val="20"/>
              </w:rPr>
              <w:t>8,115,030</w:t>
            </w:r>
          </w:p>
        </w:tc>
        <w:tc>
          <w:tcPr>
            <w:tcW w:w="480" w:type="dxa"/>
            <w:tcBorders>
              <w:top w:val="nil" w:sz="6" w:space="0" w:color="auto"/>
              <w:left w:val="nil" w:sz="6" w:space="0" w:color="auto"/>
              <w:bottom w:val="nil" w:sz="6" w:space="0" w:color="auto"/>
              <w:right w:val="nil" w:sz="6" w:space="0" w:color="auto"/>
            </w:tcBorders>
          </w:tcPr>
          <w:p>
            <w:pPr>
              <w:pStyle w:val="TableParagraph"/>
              <w:spacing w:line="240" w:lineRule="auto" w:before="28"/>
              <w:ind w:left="5" w:right="0"/>
              <w:jc w:val="left"/>
              <w:rPr>
                <w:rFonts w:ascii="Arial" w:hAnsi="Arial" w:cs="Arial" w:eastAsia="Arial" w:hint="default"/>
                <w:sz w:val="20"/>
                <w:szCs w:val="20"/>
              </w:rPr>
            </w:pPr>
            <w:r>
              <w:rPr>
                <w:rFonts w:ascii="Arial"/>
                <w:w w:val="99"/>
                <w:sz w:val="20"/>
              </w:rPr>
              <w:t>)</w:t>
            </w:r>
            <w:r>
              <w:rPr>
                <w:rFonts w:ascii="Arial"/>
                <w:sz w:val="20"/>
              </w:rPr>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
              <w:jc w:val="right"/>
              <w:rPr>
                <w:rFonts w:ascii="Arial" w:hAnsi="Arial" w:cs="Arial" w:eastAsia="Arial" w:hint="default"/>
                <w:sz w:val="20"/>
                <w:szCs w:val="20"/>
              </w:rPr>
            </w:pPr>
            <w:r>
              <w:rPr>
                <w:rFonts w:ascii="Arial"/>
                <w:spacing w:val="-1"/>
                <w:sz w:val="20"/>
              </w:rPr>
              <w:t>(14,394,098</w:t>
            </w:r>
            <w:r>
              <w:rPr>
                <w:rFonts w:ascii="Arial"/>
                <w:sz w:val="20"/>
              </w:rPr>
            </w:r>
          </w:p>
        </w:tc>
        <w:tc>
          <w:tcPr>
            <w:tcW w:w="27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7" w:right="0"/>
              <w:jc w:val="left"/>
              <w:rPr>
                <w:rFonts w:ascii="Arial" w:hAnsi="Arial" w:cs="Arial" w:eastAsia="Arial" w:hint="default"/>
                <w:sz w:val="20"/>
                <w:szCs w:val="20"/>
              </w:rPr>
            </w:pPr>
            <w:r>
              <w:rPr>
                <w:rFonts w:ascii="Arial"/>
                <w:w w:val="99"/>
                <w:sz w:val="20"/>
              </w:rPr>
              <w:t>)</w:t>
            </w:r>
            <w:r>
              <w:rPr>
                <w:rFonts w:ascii="Arial"/>
                <w:sz w:val="20"/>
              </w:rPr>
            </w:r>
          </w:p>
        </w:tc>
      </w:tr>
      <w:tr>
        <w:trPr>
          <w:trHeight w:val="472" w:hRule="exact"/>
        </w:trPr>
        <w:tc>
          <w:tcPr>
            <w:tcW w:w="4176" w:type="dxa"/>
            <w:tcBorders>
              <w:top w:val="nil" w:sz="6" w:space="0" w:color="auto"/>
              <w:left w:val="nil" w:sz="6" w:space="0" w:color="auto"/>
              <w:bottom w:val="nil" w:sz="6" w:space="0" w:color="auto"/>
              <w:right w:val="nil" w:sz="6" w:space="0" w:color="auto"/>
            </w:tcBorders>
          </w:tcPr>
          <w:p>
            <w:pPr>
              <w:pStyle w:val="TableParagraph"/>
              <w:spacing w:line="269" w:lineRule="exact"/>
              <w:ind w:left="200" w:right="0"/>
              <w:jc w:val="left"/>
              <w:rPr>
                <w:rFonts w:ascii="Arial" w:hAnsi="Arial" w:cs="Arial" w:eastAsia="Arial" w:hint="default"/>
                <w:sz w:val="20"/>
                <w:szCs w:val="20"/>
              </w:rPr>
            </w:pPr>
            <w:r>
              <w:rPr>
                <w:rFonts w:ascii="黑体" w:hAnsi="黑体" w:cs="黑体" w:eastAsia="黑体" w:hint="default"/>
                <w:sz w:val="20"/>
                <w:szCs w:val="20"/>
              </w:rPr>
              <w:t>不可抵扣的税项费用的影响</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5)</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6"/>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1"/>
                <w:sz w:val="20"/>
                <w:u w:val="single" w:color="000000"/>
              </w:rPr>
              <w:t> </w:t>
            </w:r>
            <w:r>
              <w:rPr>
                <w:rFonts w:ascii="Arial"/>
                <w:spacing w:val="-1"/>
                <w:w w:val="95"/>
                <w:sz w:val="20"/>
                <w:u w:val="single" w:color="000000"/>
              </w:rPr>
              <w:t>41,561,375</w:t>
            </w:r>
            <w:r>
              <w:rPr>
                <w:rFonts w:ascii="Arial"/>
                <w:spacing w:val="-1"/>
                <w:w w:val="95"/>
                <w:sz w:val="20"/>
              </w:rPr>
            </w:r>
            <w:r>
              <w:rPr>
                <w:rFonts w:ascii="Arial"/>
                <w:sz w:val="20"/>
              </w:rPr>
            </w:r>
          </w:p>
        </w:tc>
        <w:tc>
          <w:tcPr>
            <w:tcW w:w="480"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
              <w:jc w:val="right"/>
              <w:rPr>
                <w:rFonts w:ascii="Arial" w:hAnsi="Arial" w:cs="Arial" w:eastAsia="Arial" w:hint="default"/>
                <w:sz w:val="20"/>
                <w:szCs w:val="20"/>
              </w:rPr>
            </w:pPr>
            <w:r>
              <w:rPr>
                <w:rFonts w:ascii="Arial"/>
                <w:w w:val="99"/>
                <w:sz w:val="20"/>
              </w:rPr>
            </w:r>
            <w:r>
              <w:rPr>
                <w:rFonts w:ascii="Arial"/>
                <w:spacing w:val="-1"/>
                <w:sz w:val="20"/>
                <w:u w:val="single" w:color="000000"/>
              </w:rPr>
              <w:t>44,367,500</w:t>
            </w:r>
            <w:r>
              <w:rPr>
                <w:rFonts w:ascii="Arial"/>
                <w:spacing w:val="-1"/>
                <w:sz w:val="20"/>
              </w:rPr>
            </w:r>
            <w:r>
              <w:rPr>
                <w:rFonts w:ascii="Arial"/>
                <w:sz w:val="20"/>
              </w:rPr>
            </w:r>
          </w:p>
        </w:tc>
        <w:tc>
          <w:tcPr>
            <w:tcW w:w="274" w:type="dxa"/>
            <w:tcBorders>
              <w:top w:val="nil" w:sz="6" w:space="0" w:color="auto"/>
              <w:left w:val="nil" w:sz="6" w:space="0" w:color="auto"/>
              <w:bottom w:val="nil" w:sz="6" w:space="0" w:color="auto"/>
              <w:right w:val="nil" w:sz="6" w:space="0" w:color="auto"/>
            </w:tcBorders>
          </w:tcPr>
          <w:p>
            <w:pPr/>
          </w:p>
        </w:tc>
      </w:tr>
      <w:tr>
        <w:trPr>
          <w:trHeight w:val="409" w:hRule="exact"/>
        </w:trPr>
        <w:tc>
          <w:tcPr>
            <w:tcW w:w="4176"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200" w:right="0"/>
              <w:jc w:val="left"/>
              <w:rPr>
                <w:rFonts w:ascii="黑体" w:hAnsi="黑体" w:cs="黑体" w:eastAsia="黑体" w:hint="default"/>
                <w:sz w:val="20"/>
                <w:szCs w:val="20"/>
              </w:rPr>
            </w:pPr>
            <w:r>
              <w:rPr>
                <w:rFonts w:ascii="黑体" w:hAnsi="黑体" w:cs="黑体" w:eastAsia="黑体" w:hint="default"/>
                <w:sz w:val="20"/>
                <w:szCs w:val="20"/>
              </w:rPr>
              <w:t>按本集团实际税率计算的税项费用</w:t>
            </w:r>
          </w:p>
        </w:tc>
        <w:tc>
          <w:tcPr>
            <w:tcW w:w="183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4"/>
                <w:szCs w:val="14"/>
              </w:rPr>
            </w:pPr>
          </w:p>
          <w:p>
            <w:pPr>
              <w:pStyle w:val="TableParagraph"/>
              <w:spacing w:line="240" w:lineRule="auto"/>
              <w:ind w:right="6"/>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  </w:t>
            </w:r>
            <w:r>
              <w:rPr>
                <w:rFonts w:ascii="Arial"/>
                <w:spacing w:val="-21"/>
                <w:sz w:val="20"/>
                <w:u w:val="thick" w:color="000000"/>
              </w:rPr>
              <w:t> </w:t>
            </w:r>
            <w:r>
              <w:rPr>
                <w:rFonts w:ascii="Arial"/>
                <w:spacing w:val="-1"/>
                <w:w w:val="95"/>
                <w:sz w:val="20"/>
                <w:u w:val="thick" w:color="000000"/>
              </w:rPr>
              <w:t>53,880,031</w:t>
            </w:r>
            <w:r>
              <w:rPr>
                <w:rFonts w:ascii="Arial"/>
                <w:spacing w:val="-1"/>
                <w:w w:val="95"/>
                <w:sz w:val="20"/>
              </w:rPr>
            </w:r>
            <w:r>
              <w:rPr>
                <w:rFonts w:ascii="Arial"/>
                <w:sz w:val="20"/>
              </w:rPr>
            </w:r>
          </w:p>
        </w:tc>
        <w:tc>
          <w:tcPr>
            <w:tcW w:w="480"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4"/>
                <w:szCs w:val="14"/>
              </w:rPr>
            </w:pPr>
          </w:p>
          <w:p>
            <w:pPr>
              <w:pStyle w:val="TableParagraph"/>
              <w:spacing w:line="240" w:lineRule="auto"/>
              <w:ind w:right="5"/>
              <w:jc w:val="right"/>
              <w:rPr>
                <w:rFonts w:ascii="Arial" w:hAnsi="Arial" w:cs="Arial" w:eastAsia="Arial" w:hint="default"/>
                <w:sz w:val="20"/>
                <w:szCs w:val="20"/>
              </w:rPr>
            </w:pPr>
            <w:r>
              <w:rPr>
                <w:rFonts w:ascii="Arial"/>
                <w:w w:val="99"/>
                <w:sz w:val="20"/>
              </w:rPr>
            </w:r>
            <w:r>
              <w:rPr>
                <w:rFonts w:ascii="Arial"/>
                <w:spacing w:val="-1"/>
                <w:sz w:val="20"/>
                <w:u w:val="thick" w:color="000000"/>
              </w:rPr>
              <w:t>55,059,890</w:t>
            </w:r>
            <w:r>
              <w:rPr>
                <w:rFonts w:ascii="Arial"/>
                <w:spacing w:val="-1"/>
                <w:sz w:val="20"/>
              </w:rPr>
            </w:r>
            <w:r>
              <w:rPr>
                <w:rFonts w:ascii="Arial"/>
                <w:sz w:val="20"/>
              </w:rPr>
            </w:r>
          </w:p>
        </w:tc>
        <w:tc>
          <w:tcPr>
            <w:tcW w:w="274"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25" w:footer="473" w:top="2420" w:bottom="660" w:left="1600" w:right="1280"/>
        </w:sectPr>
      </w:pPr>
    </w:p>
    <w:p>
      <w:pPr>
        <w:spacing w:line="240" w:lineRule="auto" w:before="12"/>
        <w:rPr>
          <w:rFonts w:ascii="黑体" w:hAnsi="黑体" w:cs="黑体" w:eastAsia="黑体" w:hint="default"/>
          <w:sz w:val="14"/>
          <w:szCs w:val="14"/>
        </w:rPr>
      </w:pPr>
    </w:p>
    <w:p>
      <w:pPr>
        <w:pStyle w:val="Heading6"/>
        <w:tabs>
          <w:tab w:pos="804" w:val="left" w:leader="none"/>
        </w:tabs>
        <w:spacing w:line="240" w:lineRule="auto"/>
        <w:ind w:right="0"/>
        <w:jc w:val="left"/>
        <w:rPr>
          <w:b w:val="0"/>
          <w:bCs w:val="0"/>
        </w:rPr>
      </w:pPr>
      <w:r>
        <w:rPr>
          <w:w w:val="95"/>
        </w:rPr>
        <w:t>五、</w:t>
        <w:tab/>
      </w:r>
      <w:bookmarkStart w:name="五、   合并财务报表主要项目注释（续）" w:id="138"/>
      <w:bookmarkEnd w:id="138"/>
      <w:r>
        <w:rPr/>
        <w:t>合并</w:t>
      </w:r>
      <w:r>
        <w:rPr/>
        <w:t>财务报表主要项目注释（续）</w:t>
      </w:r>
      <w:r>
        <w:rPr>
          <w:b w:val="0"/>
          <w:bCs w:val="0"/>
        </w:rPr>
      </w:r>
    </w:p>
    <w:p>
      <w:pPr>
        <w:spacing w:line="240" w:lineRule="auto" w:before="12"/>
        <w:rPr>
          <w:rFonts w:ascii="黑体" w:hAnsi="黑体" w:cs="黑体" w:eastAsia="黑体" w:hint="default"/>
          <w:b/>
          <w:bCs/>
          <w:sz w:val="18"/>
          <w:szCs w:val="18"/>
        </w:rPr>
      </w:pPr>
    </w:p>
    <w:p>
      <w:pPr>
        <w:pStyle w:val="Heading6"/>
        <w:tabs>
          <w:tab w:pos="845" w:val="left" w:leader="none"/>
        </w:tabs>
        <w:spacing w:line="240" w:lineRule="auto" w:before="0"/>
        <w:ind w:right="0"/>
        <w:jc w:val="left"/>
        <w:rPr>
          <w:b w:val="0"/>
          <w:bCs w:val="0"/>
        </w:rPr>
      </w:pPr>
      <w:r>
        <w:rPr>
          <w:rFonts w:ascii="Arial" w:hAnsi="Arial" w:cs="Arial" w:eastAsia="Arial" w:hint="default"/>
          <w:spacing w:val="-1"/>
          <w:w w:val="95"/>
        </w:rPr>
        <w:t>44</w:t>
      </w:r>
      <w:r>
        <w:rPr>
          <w:spacing w:val="-1"/>
          <w:w w:val="95"/>
        </w:rPr>
        <w:t>．</w:t>
        <w:tab/>
      </w:r>
      <w:r>
        <w:rPr>
          <w:spacing w:val="1"/>
        </w:rPr>
        <w:t>所得税费用（续）</w:t>
      </w:r>
      <w:r>
        <w:rPr>
          <w:b w:val="0"/>
          <w:bCs w:val="0"/>
        </w:rPr>
      </w:r>
    </w:p>
    <w:p>
      <w:pPr>
        <w:spacing w:line="240" w:lineRule="auto" w:before="4"/>
        <w:rPr>
          <w:rFonts w:ascii="黑体" w:hAnsi="黑体" w:cs="黑体" w:eastAsia="黑体" w:hint="default"/>
          <w:b/>
          <w:bCs/>
          <w:sz w:val="25"/>
          <w:szCs w:val="25"/>
        </w:rPr>
      </w:pPr>
    </w:p>
    <w:p>
      <w:pPr>
        <w:pStyle w:val="BodyText"/>
        <w:spacing w:line="268" w:lineRule="auto"/>
        <w:ind w:left="1378" w:right="213" w:hanging="569"/>
        <w:jc w:val="both"/>
      </w:pPr>
      <w:r>
        <w:rPr>
          <w:w w:val="95"/>
        </w:rPr>
        <w:t>注</w:t>
      </w:r>
      <w:r>
        <w:rPr>
          <w:rFonts w:ascii="Arial" w:hAnsi="Arial" w:cs="Arial" w:eastAsia="Arial" w:hint="default"/>
          <w:w w:val="95"/>
        </w:rPr>
        <w:t>1</w:t>
      </w:r>
      <w:r>
        <w:rPr>
          <w:w w:val="95"/>
        </w:rPr>
        <w:t>．本集团所得税按在中国境内取得的估计应纳税所得额及适用税率计提。源于其他地区应</w:t>
      </w:r>
      <w:r>
        <w:rPr>
          <w:spacing w:val="80"/>
          <w:w w:val="95"/>
        </w:rPr>
        <w:t> </w:t>
      </w:r>
      <w:r>
        <w:rPr>
          <w:spacing w:val="80"/>
          <w:w w:val="95"/>
        </w:rPr>
      </w:r>
      <w:r>
        <w:rPr>
          <w:spacing w:val="-2"/>
          <w:w w:val="95"/>
        </w:rPr>
        <w:t>纳税所得的税项根据本集团经营所在国家的现行法律、解释公告和惯例，按照适用税率</w:t>
      </w:r>
      <w:r>
        <w:rPr>
          <w:w w:val="99"/>
        </w:rPr>
        <w:t> </w:t>
      </w:r>
      <w:r>
        <w:rPr/>
        <w:t>计算。</w:t>
      </w:r>
    </w:p>
    <w:p>
      <w:pPr>
        <w:spacing w:line="240" w:lineRule="auto" w:before="0"/>
        <w:rPr>
          <w:rFonts w:ascii="黑体" w:hAnsi="黑体" w:cs="黑体" w:eastAsia="黑体" w:hint="default"/>
          <w:sz w:val="24"/>
          <w:szCs w:val="24"/>
        </w:rPr>
      </w:pPr>
    </w:p>
    <w:p>
      <w:pPr>
        <w:pStyle w:val="BodyText"/>
        <w:spacing w:line="261" w:lineRule="auto"/>
        <w:ind w:left="1378" w:right="213"/>
        <w:jc w:val="both"/>
      </w:pPr>
      <w:r>
        <w:rPr>
          <w:spacing w:val="-2"/>
        </w:rPr>
        <w:t>根据</w:t>
      </w:r>
      <w:r>
        <w:rPr>
          <w:rFonts w:ascii="Arial" w:hAnsi="Arial" w:cs="Arial" w:eastAsia="Arial" w:hint="default"/>
          <w:spacing w:val="-2"/>
        </w:rPr>
        <w:t>2013</w:t>
      </w:r>
      <w:r>
        <w:rPr>
          <w:spacing w:val="-2"/>
        </w:rPr>
        <w:t>年</w:t>
      </w:r>
      <w:r>
        <w:rPr>
          <w:rFonts w:ascii="Arial" w:hAnsi="Arial" w:cs="Arial" w:eastAsia="Arial" w:hint="default"/>
          <w:spacing w:val="-2"/>
        </w:rPr>
        <w:t>2</w:t>
      </w:r>
      <w:r>
        <w:rPr>
          <w:spacing w:val="-2"/>
        </w:rPr>
        <w:t>月</w:t>
      </w:r>
      <w:r>
        <w:rPr>
          <w:rFonts w:ascii="Arial" w:hAnsi="Arial" w:cs="Arial" w:eastAsia="Arial" w:hint="default"/>
          <w:spacing w:val="-2"/>
        </w:rPr>
        <w:t>17</w:t>
      </w:r>
      <w:r>
        <w:rPr>
          <w:spacing w:val="-2"/>
        </w:rPr>
        <w:t>日国家发展和改革委员会、工业和信息化部、财政部、商务部和国家</w:t>
      </w:r>
      <w:r>
        <w:rPr>
          <w:spacing w:val="-94"/>
        </w:rPr>
        <w:t> </w:t>
      </w:r>
      <w:r>
        <w:rPr>
          <w:spacing w:val="-94"/>
        </w:rPr>
      </w:r>
      <w:r>
        <w:rPr>
          <w:spacing w:val="-1"/>
          <w:w w:val="95"/>
        </w:rPr>
        <w:t>税务总局联合发布的《关于认定</w:t>
      </w:r>
      <w:r>
        <w:rPr>
          <w:rFonts w:ascii="Arial" w:hAnsi="Arial" w:cs="Arial" w:eastAsia="Arial" w:hint="default"/>
          <w:spacing w:val="-1"/>
          <w:w w:val="95"/>
        </w:rPr>
        <w:t>2011-2012</w:t>
      </w:r>
      <w:r>
        <w:rPr>
          <w:spacing w:val="-1"/>
          <w:w w:val="95"/>
        </w:rPr>
        <w:t>年度国家规划布局内重点软件企业和集成电</w:t>
      </w:r>
      <w:r>
        <w:rPr>
          <w:spacing w:val="82"/>
          <w:w w:val="95"/>
        </w:rPr>
        <w:t> </w:t>
      </w:r>
      <w:r>
        <w:rPr>
          <w:spacing w:val="82"/>
          <w:w w:val="95"/>
        </w:rPr>
      </w:r>
      <w:r>
        <w:rPr/>
        <w:t>路设计企业的通知》（发改高技</w:t>
      </w:r>
      <w:r>
        <w:rPr>
          <w:rFonts w:ascii="Arial" w:hAnsi="Arial" w:cs="Arial" w:eastAsia="Arial" w:hint="default"/>
        </w:rPr>
        <w:t>[2013]234</w:t>
      </w:r>
      <w:r>
        <w:rPr/>
        <w:t>号），本公司被列于</w:t>
      </w:r>
      <w:r>
        <w:rPr>
          <w:rFonts w:ascii="Arial" w:hAnsi="Arial" w:cs="Arial" w:eastAsia="Arial" w:hint="default"/>
        </w:rPr>
        <w:t>2011-2012</w:t>
      </w:r>
      <w:r>
        <w:rPr/>
        <w:t>年度国家规</w:t>
      </w:r>
      <w:r>
        <w:rPr>
          <w:spacing w:val="-57"/>
        </w:rPr>
        <w:t> </w:t>
      </w:r>
      <w:r>
        <w:rPr>
          <w:spacing w:val="-57"/>
        </w:rPr>
      </w:r>
      <w:r>
        <w:rPr/>
        <w:t>划布局内重点软件企业和集成电路设计企业名单中，因此于</w:t>
      </w:r>
      <w:r>
        <w:rPr>
          <w:rFonts w:ascii="Arial" w:hAnsi="Arial" w:cs="Arial" w:eastAsia="Arial" w:hint="default"/>
        </w:rPr>
        <w:t>2011</w:t>
      </w:r>
      <w:r>
        <w:rPr/>
        <w:t>年度和</w:t>
      </w:r>
      <w:r>
        <w:rPr>
          <w:rFonts w:ascii="Arial" w:hAnsi="Arial" w:cs="Arial" w:eastAsia="Arial" w:hint="default"/>
        </w:rPr>
        <w:t>2012</w:t>
      </w:r>
      <w:r>
        <w:rPr/>
        <w:t>年度可享</w:t>
      </w:r>
      <w:r>
        <w:rPr>
          <w:spacing w:val="-91"/>
        </w:rPr>
        <w:t> </w:t>
      </w:r>
      <w:r>
        <w:rPr>
          <w:spacing w:val="-91"/>
        </w:rPr>
      </w:r>
      <w:r>
        <w:rPr/>
        <w:t>受</w:t>
      </w:r>
      <w:r>
        <w:rPr>
          <w:rFonts w:ascii="Arial" w:hAnsi="Arial" w:cs="Arial" w:eastAsia="Arial" w:hint="default"/>
        </w:rPr>
        <w:t>10%</w:t>
      </w:r>
      <w:r>
        <w:rPr/>
        <w:t>的企业所得税优惠税率。</w:t>
      </w:r>
    </w:p>
    <w:p>
      <w:pPr>
        <w:spacing w:line="240" w:lineRule="auto" w:before="1"/>
        <w:rPr>
          <w:rFonts w:ascii="黑体" w:hAnsi="黑体" w:cs="黑体" w:eastAsia="黑体" w:hint="default"/>
          <w:sz w:val="20"/>
          <w:szCs w:val="20"/>
        </w:rPr>
      </w:pPr>
    </w:p>
    <w:p>
      <w:pPr>
        <w:pStyle w:val="BodyText"/>
        <w:spacing w:line="268" w:lineRule="auto"/>
        <w:ind w:left="1361" w:right="0" w:hanging="552"/>
        <w:jc w:val="left"/>
      </w:pPr>
      <w:r>
        <w:rPr/>
        <w:t>注</w:t>
      </w:r>
      <w:r>
        <w:rPr>
          <w:rFonts w:ascii="Arial" w:hAnsi="Arial" w:cs="Arial" w:eastAsia="Arial" w:hint="default"/>
        </w:rPr>
        <w:t>2</w:t>
      </w:r>
      <w:r>
        <w:rPr/>
        <w:t>． 根据《中华人民共和国企业所得税法》和国税发</w:t>
      </w:r>
      <w:r>
        <w:rPr>
          <w:rFonts w:ascii="Arial" w:hAnsi="Arial" w:cs="Arial" w:eastAsia="Arial" w:hint="default"/>
        </w:rPr>
        <w:t>2008[28]</w:t>
      </w:r>
      <w:r>
        <w:rPr/>
        <w:t>号文的要求，本公司于</w:t>
      </w:r>
      <w:r>
        <w:rPr>
          <w:rFonts w:ascii="Arial" w:hAnsi="Arial" w:cs="Arial" w:eastAsia="Arial" w:hint="default"/>
        </w:rPr>
        <w:t>2012</w:t>
      </w:r>
      <w:r>
        <w:rPr>
          <w:rFonts w:ascii="Arial" w:hAnsi="Arial" w:cs="Arial" w:eastAsia="Arial" w:hint="default"/>
          <w:spacing w:val="-32"/>
        </w:rPr>
        <w:t> </w:t>
      </w:r>
      <w:r>
        <w:rPr>
          <w:rFonts w:ascii="Arial" w:hAnsi="Arial" w:cs="Arial" w:eastAsia="Arial" w:hint="default"/>
          <w:spacing w:val="-32"/>
        </w:rPr>
      </w:r>
      <w:r>
        <w:rPr>
          <w:spacing w:val="-2"/>
          <w:w w:val="99"/>
        </w:rPr>
        <w:t>年对所有的分支机构合并缴纳企业所得税。即按合并季度报表的应纳税所得额乘以</w:t>
      </w:r>
      <w:r>
        <w:rPr>
          <w:rFonts w:ascii="Arial" w:hAnsi="Arial" w:cs="Arial" w:eastAsia="Arial" w:hint="default"/>
          <w:spacing w:val="-2"/>
          <w:w w:val="99"/>
        </w:rPr>
        <w:t>15%</w:t>
      </w:r>
      <w:r>
        <w:rPr>
          <w:rFonts w:ascii="Arial" w:hAnsi="Arial" w:cs="Arial" w:eastAsia="Arial" w:hint="default"/>
          <w:spacing w:val="-1"/>
          <w:w w:val="99"/>
        </w:rPr>
        <w:t> </w:t>
      </w:r>
      <w:r>
        <w:rPr>
          <w:w w:val="95"/>
        </w:rPr>
        <w:t>的企业所得税税率，预缴本年度应纳所得税额。待年度汇算清缴时，以年度合并税前利</w:t>
      </w:r>
      <w:r>
        <w:rPr>
          <w:w w:val="99"/>
        </w:rPr>
        <w:t> </w:t>
      </w:r>
      <w:r>
        <w:rPr/>
        <w:t>润计算的应纳税所得额为基础，按照税务机构备案的比例在总分支机构之间进行分配，</w:t>
      </w:r>
      <w:r>
        <w:rPr>
          <w:w w:val="99"/>
        </w:rPr>
        <w:t> </w:t>
      </w:r>
      <w:r>
        <w:rPr>
          <w:spacing w:val="3"/>
        </w:rPr>
        <w:t>然后总分支机构以分配到的应纳税所得额乘以各自适用的税率计算得到实际应纳所得</w:t>
      </w:r>
      <w:r>
        <w:rPr>
          <w:spacing w:val="4"/>
          <w:w w:val="99"/>
        </w:rPr>
        <w:t> </w:t>
      </w:r>
      <w:r>
        <w:rPr/>
        <w:t>税费用，根据其与预缴的所得税额之差额进行补缴或退税。</w:t>
      </w:r>
    </w:p>
    <w:p>
      <w:pPr>
        <w:spacing w:line="240" w:lineRule="auto" w:before="0"/>
        <w:rPr>
          <w:rFonts w:ascii="黑体" w:hAnsi="黑体" w:cs="黑体" w:eastAsia="黑体" w:hint="default"/>
          <w:sz w:val="24"/>
          <w:szCs w:val="24"/>
        </w:rPr>
      </w:pPr>
    </w:p>
    <w:p>
      <w:pPr>
        <w:pStyle w:val="BodyText"/>
        <w:spacing w:line="264" w:lineRule="auto"/>
        <w:ind w:left="1378" w:right="209" w:hanging="17"/>
        <w:jc w:val="both"/>
      </w:pPr>
      <w:r>
        <w:rPr>
          <w:spacing w:val="-1"/>
          <w:w w:val="95"/>
        </w:rPr>
        <w:t>根据国家税务总局于</w:t>
      </w:r>
      <w:r>
        <w:rPr>
          <w:rFonts w:ascii="Arial" w:hAnsi="Arial" w:cs="Arial" w:eastAsia="Arial" w:hint="default"/>
          <w:spacing w:val="-1"/>
          <w:w w:val="95"/>
        </w:rPr>
        <w:t>2009</w:t>
      </w:r>
      <w:r>
        <w:rPr>
          <w:spacing w:val="-1"/>
          <w:w w:val="95"/>
        </w:rPr>
        <w:t>年</w:t>
      </w:r>
      <w:r>
        <w:rPr>
          <w:rFonts w:ascii="Arial" w:hAnsi="Arial" w:cs="Arial" w:eastAsia="Arial" w:hint="default"/>
          <w:spacing w:val="-1"/>
          <w:w w:val="95"/>
        </w:rPr>
        <w:t>4</w:t>
      </w:r>
      <w:r>
        <w:rPr>
          <w:spacing w:val="-1"/>
          <w:w w:val="95"/>
        </w:rPr>
        <w:t>月</w:t>
      </w:r>
      <w:r>
        <w:rPr>
          <w:rFonts w:ascii="Arial" w:hAnsi="Arial" w:cs="Arial" w:eastAsia="Arial" w:hint="default"/>
          <w:spacing w:val="-1"/>
          <w:w w:val="95"/>
        </w:rPr>
        <w:t>29</w:t>
      </w:r>
      <w:r>
        <w:rPr>
          <w:spacing w:val="-1"/>
          <w:w w:val="95"/>
        </w:rPr>
        <w:t>日颁布的《国家税务总局关于跨地区经营汇总纳税企</w:t>
      </w:r>
      <w:r>
        <w:rPr>
          <w:spacing w:val="77"/>
          <w:w w:val="95"/>
        </w:rPr>
        <w:t> </w:t>
      </w:r>
      <w:r>
        <w:rPr>
          <w:spacing w:val="77"/>
          <w:w w:val="95"/>
        </w:rPr>
      </w:r>
      <w:r>
        <w:rPr/>
        <w:t>业所得税征收管理若干问题的通知》（国税函</w:t>
      </w:r>
      <w:r>
        <w:rPr>
          <w:rFonts w:ascii="Arial" w:hAnsi="Arial" w:cs="Arial" w:eastAsia="Arial" w:hint="default"/>
        </w:rPr>
        <w:t>[2009]221</w:t>
      </w:r>
      <w:r>
        <w:rPr/>
        <w:t>号）文件的要求，本公司属于</w:t>
      </w:r>
      <w:r>
        <w:rPr>
          <w:w w:val="99"/>
        </w:rPr>
        <w:t> </w:t>
      </w:r>
      <w:r>
        <w:rPr>
          <w:spacing w:val="-2"/>
          <w:w w:val="95"/>
        </w:rPr>
        <w:t>跨地区经营汇总纳税企业，应按照企业适用统一的税率计算并缴纳企业所得税。本公司</w:t>
      </w:r>
      <w:r>
        <w:rPr>
          <w:spacing w:val="60"/>
          <w:w w:val="95"/>
        </w:rPr>
        <w:t> </w:t>
      </w:r>
      <w:r>
        <w:rPr>
          <w:spacing w:val="60"/>
          <w:w w:val="95"/>
        </w:rPr>
      </w:r>
      <w:r>
        <w:rPr>
          <w:spacing w:val="2"/>
          <w:w w:val="95"/>
        </w:rPr>
        <w:t>于</w:t>
      </w:r>
      <w:r>
        <w:rPr>
          <w:rFonts w:ascii="Arial" w:hAnsi="Arial" w:cs="Arial" w:eastAsia="Arial" w:hint="default"/>
          <w:spacing w:val="2"/>
          <w:w w:val="95"/>
        </w:rPr>
        <w:t>2012</w:t>
      </w:r>
      <w:r>
        <w:rPr>
          <w:spacing w:val="2"/>
          <w:w w:val="95"/>
        </w:rPr>
        <w:t>年度计算企业所得税时已经按照总机构统一的税率即</w:t>
      </w:r>
      <w:r>
        <w:rPr>
          <w:rFonts w:ascii="Arial" w:hAnsi="Arial" w:cs="Arial" w:eastAsia="Arial" w:hint="default"/>
          <w:spacing w:val="2"/>
          <w:w w:val="95"/>
        </w:rPr>
        <w:t>10%</w:t>
      </w:r>
      <w:r>
        <w:rPr>
          <w:spacing w:val="2"/>
          <w:w w:val="95"/>
        </w:rPr>
        <w:t>计算并交纳企业所得</w:t>
      </w:r>
      <w:r>
        <w:rPr>
          <w:spacing w:val="35"/>
          <w:w w:val="95"/>
        </w:rPr>
        <w:t> </w:t>
      </w:r>
      <w:r>
        <w:rPr>
          <w:spacing w:val="35"/>
          <w:w w:val="95"/>
        </w:rPr>
      </w:r>
      <w:r>
        <w:rPr>
          <w:spacing w:val="2"/>
          <w:w w:val="95"/>
        </w:rPr>
        <w:t>税，因此于</w:t>
      </w:r>
      <w:r>
        <w:rPr>
          <w:rFonts w:ascii="Arial" w:hAnsi="Arial" w:cs="Arial" w:eastAsia="Arial" w:hint="default"/>
          <w:spacing w:val="2"/>
          <w:w w:val="95"/>
        </w:rPr>
        <w:t>2012</w:t>
      </w:r>
      <w:r>
        <w:rPr>
          <w:spacing w:val="2"/>
          <w:w w:val="95"/>
        </w:rPr>
        <w:t>年度，除适用不同税率的子公司外，本公司无分公司适用不同税率的</w:t>
      </w:r>
      <w:r>
        <w:rPr>
          <w:spacing w:val="42"/>
          <w:w w:val="95"/>
        </w:rPr>
        <w:t> </w:t>
      </w:r>
      <w:r>
        <w:rPr>
          <w:spacing w:val="42"/>
          <w:w w:val="95"/>
        </w:rPr>
      </w:r>
      <w:r>
        <w:rPr/>
        <w:t>影响。</w:t>
      </w:r>
    </w:p>
    <w:p>
      <w:pPr>
        <w:pStyle w:val="BodyText"/>
        <w:spacing w:line="600" w:lineRule="exact" w:before="72"/>
        <w:ind w:right="0" w:hanging="5"/>
        <w:jc w:val="left"/>
      </w:pPr>
      <w:r>
        <w:rPr/>
        <w:t>注</w:t>
      </w:r>
      <w:r>
        <w:rPr>
          <w:rFonts w:ascii="Arial" w:hAnsi="Arial" w:cs="Arial" w:eastAsia="Arial" w:hint="default"/>
        </w:rPr>
        <w:t>3</w:t>
      </w:r>
      <w:r>
        <w:rPr/>
        <w:t>． 主要为增值税退税的政府补助无需纳税。参见附注三、</w:t>
      </w:r>
      <w:r>
        <w:rPr>
          <w:rFonts w:ascii="Arial" w:hAnsi="Arial" w:cs="Arial" w:eastAsia="Arial" w:hint="default"/>
        </w:rPr>
        <w:t>1</w:t>
      </w:r>
      <w:r>
        <w:rPr/>
        <w:t>及附注五、</w:t>
      </w:r>
      <w:r>
        <w:rPr>
          <w:rFonts w:ascii="Arial" w:hAnsi="Arial" w:cs="Arial" w:eastAsia="Arial" w:hint="default"/>
        </w:rPr>
        <w:t>42</w:t>
      </w:r>
      <w:r>
        <w:rPr/>
        <w:t>。</w:t>
      </w:r>
      <w:r>
        <w:rPr>
          <w:spacing w:val="-53"/>
        </w:rPr>
        <w:t> </w:t>
      </w:r>
      <w:r>
        <w:rPr/>
        <w:t>注</w:t>
      </w:r>
      <w:r>
        <w:rPr>
          <w:rFonts w:ascii="Arial" w:hAnsi="Arial" w:cs="Arial" w:eastAsia="Arial" w:hint="default"/>
        </w:rPr>
        <w:t>4</w:t>
      </w:r>
      <w:r>
        <w:rPr/>
        <w:t>．</w:t>
      </w:r>
      <w:r>
        <w:rPr>
          <w:spacing w:val="-79"/>
        </w:rPr>
        <w:t> </w:t>
      </w:r>
      <w:r>
        <w:rPr/>
        <w:t>根据《财政部国家税务总局关于促进企业技术进步有关财务税收问题的通知》（财工字</w:t>
      </w:r>
    </w:p>
    <w:p>
      <w:pPr>
        <w:pStyle w:val="BodyText"/>
        <w:spacing w:line="222" w:lineRule="exact"/>
        <w:ind w:left="1378" w:right="0"/>
        <w:jc w:val="both"/>
      </w:pPr>
      <w:r>
        <w:rPr>
          <w:rFonts w:ascii="Arial" w:hAnsi="Arial" w:cs="Arial" w:eastAsia="Arial" w:hint="default"/>
        </w:rPr>
        <w:t>[1996]41</w:t>
      </w:r>
      <w:r>
        <w:rPr/>
        <w:t>号）和《国家税务局关于促进企业技术进步有关税收问题的补充通知》（国税</w:t>
      </w:r>
    </w:p>
    <w:p>
      <w:pPr>
        <w:pStyle w:val="BodyText"/>
        <w:spacing w:line="261" w:lineRule="auto" w:before="24"/>
        <w:ind w:left="1378" w:right="214"/>
        <w:jc w:val="both"/>
      </w:pPr>
      <w:r>
        <w:rPr>
          <w:spacing w:val="-4"/>
          <w:w w:val="95"/>
        </w:rPr>
        <w:t>发</w:t>
      </w:r>
      <w:r>
        <w:rPr>
          <w:rFonts w:ascii="Arial" w:hAnsi="Arial" w:cs="Arial" w:eastAsia="Arial" w:hint="default"/>
          <w:spacing w:val="-4"/>
          <w:w w:val="95"/>
        </w:rPr>
        <w:t>[1996]152</w:t>
      </w:r>
      <w:r>
        <w:rPr>
          <w:spacing w:val="-4"/>
          <w:w w:val="95"/>
        </w:rPr>
        <w:t>号）规定，盈利企业研究开发新产品、新技术、新工艺所发生的各项费用，</w:t>
      </w:r>
      <w:r>
        <w:rPr>
          <w:spacing w:val="-2"/>
          <w:w w:val="95"/>
        </w:rPr>
        <w:t> </w:t>
      </w:r>
      <w:r>
        <w:rPr>
          <w:spacing w:val="-2"/>
          <w:w w:val="95"/>
        </w:rPr>
        <w:t>比上年实际发生额增长达到</w:t>
      </w:r>
      <w:r>
        <w:rPr>
          <w:rFonts w:ascii="Arial" w:hAnsi="Arial" w:cs="Arial" w:eastAsia="Arial" w:hint="default"/>
          <w:spacing w:val="-2"/>
          <w:w w:val="95"/>
        </w:rPr>
        <w:t>10%</w:t>
      </w:r>
      <w:r>
        <w:rPr>
          <w:spacing w:val="-2"/>
          <w:w w:val="95"/>
        </w:rPr>
        <w:t>以上（含</w:t>
      </w:r>
      <w:r>
        <w:rPr>
          <w:rFonts w:ascii="Arial" w:hAnsi="Arial" w:cs="Arial" w:eastAsia="Arial" w:hint="default"/>
          <w:spacing w:val="-2"/>
          <w:w w:val="95"/>
        </w:rPr>
        <w:t>10%</w:t>
      </w:r>
      <w:r>
        <w:rPr>
          <w:spacing w:val="-2"/>
          <w:w w:val="95"/>
        </w:rPr>
        <w:t>），其当年实际发生的费用除按规定据实</w:t>
      </w:r>
      <w:r>
        <w:rPr>
          <w:spacing w:val="78"/>
          <w:w w:val="95"/>
        </w:rPr>
        <w:t> </w:t>
      </w:r>
      <w:r>
        <w:rPr>
          <w:spacing w:val="78"/>
          <w:w w:val="95"/>
        </w:rPr>
      </w:r>
      <w:r>
        <w:rPr>
          <w:spacing w:val="-2"/>
          <w:w w:val="95"/>
        </w:rPr>
        <w:t>列支外，年终经由主管税务机关审核批准后，可再按其实际发生额的</w:t>
      </w:r>
      <w:r>
        <w:rPr>
          <w:rFonts w:ascii="Arial" w:hAnsi="Arial" w:cs="Arial" w:eastAsia="Arial" w:hint="default"/>
          <w:spacing w:val="-2"/>
          <w:w w:val="95"/>
        </w:rPr>
        <w:t>50%</w:t>
      </w:r>
      <w:r>
        <w:rPr>
          <w:spacing w:val="-2"/>
          <w:w w:val="95"/>
        </w:rPr>
        <w:t>，直接抵扣当</w:t>
      </w:r>
      <w:r>
        <w:rPr>
          <w:spacing w:val="78"/>
          <w:w w:val="95"/>
        </w:rPr>
        <w:t> </w:t>
      </w:r>
      <w:r>
        <w:rPr>
          <w:spacing w:val="78"/>
          <w:w w:val="95"/>
        </w:rPr>
      </w:r>
      <w:r>
        <w:rPr>
          <w:w w:val="95"/>
        </w:rPr>
        <w:t>年应纳税所得额（以下简称</w:t>
      </w:r>
      <w:r>
        <w:rPr>
          <w:rFonts w:ascii="Arial" w:hAnsi="Arial" w:cs="Arial" w:eastAsia="Arial" w:hint="default"/>
          <w:w w:val="95"/>
        </w:rPr>
        <w:t>“</w:t>
      </w:r>
      <w:r>
        <w:rPr>
          <w:w w:val="95"/>
        </w:rPr>
        <w:t>加计扣除</w:t>
      </w:r>
      <w:r>
        <w:rPr>
          <w:rFonts w:ascii="Arial" w:hAnsi="Arial" w:cs="Arial" w:eastAsia="Arial" w:hint="default"/>
          <w:w w:val="95"/>
        </w:rPr>
        <w:t>”</w:t>
      </w:r>
      <w:r>
        <w:rPr>
          <w:w w:val="95"/>
        </w:rPr>
        <w:t>）。本公司已于以前年度获得主管税务机关批准</w:t>
      </w:r>
      <w:r>
        <w:rPr>
          <w:spacing w:val="63"/>
          <w:w w:val="95"/>
        </w:rPr>
        <w:t> </w:t>
      </w:r>
      <w:r>
        <w:rPr>
          <w:spacing w:val="63"/>
          <w:w w:val="95"/>
        </w:rPr>
      </w:r>
      <w:r>
        <w:rPr>
          <w:spacing w:val="2"/>
          <w:w w:val="95"/>
        </w:rPr>
        <w:t>就本公司的研究及开发费用在税前按实际发生额的</w:t>
      </w:r>
      <w:r>
        <w:rPr>
          <w:rFonts w:ascii="Arial" w:hAnsi="Arial" w:cs="Arial" w:eastAsia="Arial" w:hint="default"/>
          <w:spacing w:val="2"/>
          <w:w w:val="95"/>
        </w:rPr>
        <w:t>50%</w:t>
      </w:r>
      <w:r>
        <w:rPr>
          <w:spacing w:val="2"/>
          <w:w w:val="95"/>
        </w:rPr>
        <w:t>加计扣除。本公司预计</w:t>
      </w:r>
      <w:r>
        <w:rPr>
          <w:rFonts w:ascii="Arial" w:hAnsi="Arial" w:cs="Arial" w:eastAsia="Arial" w:hint="default"/>
          <w:spacing w:val="2"/>
          <w:w w:val="95"/>
        </w:rPr>
        <w:t>2012</w:t>
      </w:r>
      <w:r>
        <w:rPr>
          <w:spacing w:val="2"/>
          <w:w w:val="95"/>
        </w:rPr>
        <w:t>年</w:t>
      </w:r>
      <w:r>
        <w:rPr>
          <w:spacing w:val="52"/>
          <w:w w:val="95"/>
        </w:rPr>
        <w:t> </w:t>
      </w:r>
      <w:r>
        <w:rPr>
          <w:spacing w:val="-2"/>
          <w:w w:val="99"/>
        </w:rPr>
        <w:t>度的加计扣除仍可获得其主管税务机关的批准。故本年度仍扣除与研究开发费用的</w:t>
      </w:r>
      <w:r>
        <w:rPr>
          <w:rFonts w:ascii="Arial" w:hAnsi="Arial" w:cs="Arial" w:eastAsia="Arial" w:hint="default"/>
          <w:spacing w:val="-2"/>
          <w:w w:val="99"/>
        </w:rPr>
        <w:t>50%</w:t>
      </w:r>
      <w:r>
        <w:rPr>
          <w:rFonts w:ascii="Arial" w:hAnsi="Arial" w:cs="Arial" w:eastAsia="Arial" w:hint="default"/>
          <w:spacing w:val="-44"/>
          <w:w w:val="99"/>
        </w:rPr>
        <w:t> </w:t>
      </w:r>
      <w:r>
        <w:rPr/>
        <w:t>有关的所得税。</w:t>
      </w:r>
    </w:p>
    <w:p>
      <w:pPr>
        <w:spacing w:after="0" w:line="261" w:lineRule="auto"/>
        <w:jc w:val="both"/>
        <w:sectPr>
          <w:pgSz w:w="11910" w:h="16840"/>
          <w:pgMar w:header="825" w:footer="473" w:top="2420" w:bottom="660" w:left="1600" w:right="1200"/>
        </w:sectPr>
      </w:pPr>
    </w:p>
    <w:p>
      <w:pPr>
        <w:spacing w:line="240" w:lineRule="auto" w:before="12"/>
        <w:rPr>
          <w:rFonts w:ascii="黑体" w:hAnsi="黑体" w:cs="黑体" w:eastAsia="黑体" w:hint="default"/>
          <w:sz w:val="20"/>
          <w:szCs w:val="20"/>
        </w:rPr>
      </w:pPr>
    </w:p>
    <w:p>
      <w:pPr>
        <w:pStyle w:val="Heading6"/>
        <w:tabs>
          <w:tab w:pos="804" w:val="left" w:leader="none"/>
        </w:tabs>
        <w:spacing w:line="240" w:lineRule="auto"/>
        <w:ind w:right="0"/>
        <w:jc w:val="left"/>
        <w:rPr>
          <w:b w:val="0"/>
          <w:bCs w:val="0"/>
        </w:rPr>
      </w:pPr>
      <w:r>
        <w:rPr>
          <w:w w:val="95"/>
        </w:rPr>
        <w:t>五、</w:t>
        <w:tab/>
      </w:r>
      <w:bookmarkStart w:name="五、   合并财务报表主要项目注释（续）" w:id="139"/>
      <w:bookmarkEnd w:id="139"/>
      <w:r>
        <w:rPr/>
        <w:t>合并</w:t>
      </w:r>
      <w:r>
        <w:rPr/>
        <w:t>财务报表主要项目注释（续）</w:t>
      </w:r>
      <w:r>
        <w:rPr>
          <w:b w:val="0"/>
          <w:bCs w:val="0"/>
        </w:rPr>
      </w:r>
    </w:p>
    <w:p>
      <w:pPr>
        <w:spacing w:line="240" w:lineRule="auto" w:before="12"/>
        <w:rPr>
          <w:rFonts w:ascii="黑体" w:hAnsi="黑体" w:cs="黑体" w:eastAsia="黑体" w:hint="default"/>
          <w:b/>
          <w:bCs/>
          <w:sz w:val="18"/>
          <w:szCs w:val="18"/>
        </w:rPr>
      </w:pPr>
    </w:p>
    <w:p>
      <w:pPr>
        <w:pStyle w:val="Heading6"/>
        <w:tabs>
          <w:tab w:pos="845" w:val="left" w:leader="none"/>
        </w:tabs>
        <w:spacing w:line="240" w:lineRule="auto" w:before="0"/>
        <w:ind w:right="0"/>
        <w:jc w:val="left"/>
        <w:rPr>
          <w:b w:val="0"/>
          <w:bCs w:val="0"/>
        </w:rPr>
      </w:pPr>
      <w:r>
        <w:rPr>
          <w:rFonts w:ascii="Arial" w:hAnsi="Arial" w:cs="Arial" w:eastAsia="Arial" w:hint="default"/>
          <w:spacing w:val="-1"/>
          <w:w w:val="95"/>
        </w:rPr>
        <w:t>44</w:t>
      </w:r>
      <w:r>
        <w:rPr>
          <w:spacing w:val="-1"/>
          <w:w w:val="95"/>
        </w:rPr>
        <w:t>．</w:t>
        <w:tab/>
      </w:r>
      <w:r>
        <w:rPr>
          <w:spacing w:val="1"/>
        </w:rPr>
        <w:t>所得税费用（续）</w:t>
      </w:r>
      <w:r>
        <w:rPr>
          <w:b w:val="0"/>
          <w:bCs w:val="0"/>
        </w:rPr>
      </w:r>
    </w:p>
    <w:p>
      <w:pPr>
        <w:spacing w:line="240" w:lineRule="auto" w:before="4"/>
        <w:rPr>
          <w:rFonts w:ascii="黑体" w:hAnsi="黑体" w:cs="黑体" w:eastAsia="黑体" w:hint="default"/>
          <w:b/>
          <w:bCs/>
          <w:sz w:val="25"/>
          <w:szCs w:val="25"/>
        </w:rPr>
      </w:pPr>
    </w:p>
    <w:p>
      <w:pPr>
        <w:pStyle w:val="BodyText"/>
        <w:spacing w:line="261" w:lineRule="auto"/>
        <w:ind w:left="1275" w:right="0" w:hanging="468"/>
        <w:jc w:val="left"/>
      </w:pPr>
      <w:r>
        <w:rPr>
          <w:w w:val="95"/>
        </w:rPr>
        <w:t>注</w:t>
      </w:r>
      <w:r>
        <w:rPr>
          <w:rFonts w:ascii="Arial" w:hAnsi="Arial" w:cs="Arial" w:eastAsia="Arial" w:hint="default"/>
          <w:w w:val="95"/>
        </w:rPr>
        <w:t>5</w:t>
      </w:r>
      <w:r>
        <w:rPr>
          <w:w w:val="95"/>
        </w:rPr>
        <w:t>．主要为超出按税法规定的可在税前列支标准的业务招待费、折旧及坏账准备对所得税费</w:t>
      </w:r>
      <w:r>
        <w:rPr>
          <w:spacing w:val="82"/>
          <w:w w:val="95"/>
        </w:rPr>
        <w:t> </w:t>
      </w:r>
      <w:r>
        <w:rPr>
          <w:spacing w:val="82"/>
          <w:w w:val="95"/>
        </w:rPr>
      </w:r>
      <w:r>
        <w:rPr/>
        <w:t>用的影响。</w:t>
      </w:r>
    </w:p>
    <w:p>
      <w:pPr>
        <w:spacing w:line="240" w:lineRule="auto" w:before="1"/>
        <w:rPr>
          <w:rFonts w:ascii="黑体" w:hAnsi="黑体" w:cs="黑体" w:eastAsia="黑体" w:hint="default"/>
          <w:sz w:val="16"/>
          <w:szCs w:val="16"/>
        </w:rPr>
      </w:pPr>
    </w:p>
    <w:p>
      <w:pPr>
        <w:pStyle w:val="Heading6"/>
        <w:tabs>
          <w:tab w:pos="826" w:val="left" w:leader="none"/>
        </w:tabs>
        <w:spacing w:line="240" w:lineRule="auto" w:before="0"/>
        <w:ind w:right="0"/>
        <w:jc w:val="left"/>
        <w:rPr>
          <w:b w:val="0"/>
          <w:bCs w:val="0"/>
        </w:rPr>
      </w:pPr>
      <w:r>
        <w:rPr>
          <w:rFonts w:ascii="Arial" w:hAnsi="Arial" w:cs="Arial" w:eastAsia="Arial" w:hint="default"/>
          <w:spacing w:val="-1"/>
          <w:w w:val="95"/>
        </w:rPr>
        <w:t>45</w:t>
      </w:r>
      <w:r>
        <w:rPr>
          <w:spacing w:val="-1"/>
          <w:w w:val="95"/>
        </w:rPr>
        <w:t>．</w:t>
        <w:tab/>
      </w:r>
      <w:r>
        <w:rPr>
          <w:spacing w:val="2"/>
        </w:rPr>
        <w:t>每股收益</w:t>
      </w:r>
      <w:r>
        <w:rPr>
          <w:b w:val="0"/>
          <w:bCs w:val="0"/>
        </w:rPr>
      </w:r>
    </w:p>
    <w:p>
      <w:pPr>
        <w:spacing w:line="240" w:lineRule="auto" w:before="1"/>
        <w:rPr>
          <w:rFonts w:ascii="黑体" w:hAnsi="黑体" w:cs="黑体" w:eastAsia="黑体" w:hint="default"/>
          <w:b/>
          <w:bCs/>
          <w:sz w:val="21"/>
          <w:szCs w:val="21"/>
        </w:rPr>
      </w:pPr>
    </w:p>
    <w:p>
      <w:pPr>
        <w:pStyle w:val="BodyText"/>
        <w:spacing w:line="276" w:lineRule="auto"/>
        <w:ind w:right="132"/>
        <w:jc w:val="both"/>
      </w:pPr>
      <w:r>
        <w:rPr>
          <w:spacing w:val="2"/>
          <w:w w:val="95"/>
        </w:rPr>
        <w:t>基本每股收益按照归属于本公司普通股股东的当期净利润，除以发行在外普通股的加权平均</w:t>
      </w:r>
      <w:r>
        <w:rPr>
          <w:spacing w:val="90"/>
          <w:w w:val="95"/>
        </w:rPr>
        <w:t> </w:t>
      </w:r>
      <w:r>
        <w:rPr>
          <w:spacing w:val="90"/>
          <w:w w:val="95"/>
        </w:rPr>
      </w:r>
      <w:r>
        <w:rPr>
          <w:spacing w:val="2"/>
          <w:w w:val="95"/>
        </w:rPr>
        <w:t>数计算。新发行普通股股数，根据发行合同的具体条款，从应收对价之日（一般为股票发行</w:t>
      </w:r>
      <w:r>
        <w:rPr>
          <w:spacing w:val="90"/>
          <w:w w:val="95"/>
        </w:rPr>
        <w:t> </w:t>
      </w:r>
      <w:r>
        <w:rPr>
          <w:spacing w:val="90"/>
          <w:w w:val="95"/>
        </w:rPr>
      </w:r>
      <w:r>
        <w:rPr/>
        <w:t>日）起计算确定。</w:t>
      </w:r>
    </w:p>
    <w:p>
      <w:pPr>
        <w:spacing w:line="240" w:lineRule="auto" w:before="7"/>
        <w:rPr>
          <w:rFonts w:ascii="黑体" w:hAnsi="黑体" w:cs="黑体" w:eastAsia="黑体" w:hint="default"/>
          <w:sz w:val="23"/>
          <w:szCs w:val="23"/>
        </w:rPr>
      </w:pPr>
    </w:p>
    <w:p>
      <w:pPr>
        <w:pStyle w:val="BodyText"/>
        <w:spacing w:line="240" w:lineRule="auto"/>
        <w:ind w:right="0"/>
        <w:jc w:val="both"/>
      </w:pPr>
      <w:r>
        <w:rPr/>
        <w:t>基本每股收益与稀释每股收益的具体计算如下：</w:t>
      </w:r>
    </w:p>
    <w:p>
      <w:pPr>
        <w:spacing w:line="240" w:lineRule="auto" w:before="13"/>
        <w:rPr>
          <w:rFonts w:ascii="黑体" w:hAnsi="黑体" w:cs="黑体" w:eastAsia="黑体" w:hint="default"/>
          <w:sz w:val="28"/>
          <w:szCs w:val="28"/>
        </w:rPr>
      </w:pPr>
    </w:p>
    <w:tbl>
      <w:tblPr>
        <w:tblW w:w="0" w:type="auto"/>
        <w:jc w:val="left"/>
        <w:tblInd w:w="619" w:type="dxa"/>
        <w:tblLayout w:type="fixed"/>
        <w:tblCellMar>
          <w:top w:w="0" w:type="dxa"/>
          <w:left w:w="0" w:type="dxa"/>
          <w:bottom w:w="0" w:type="dxa"/>
          <w:right w:w="0" w:type="dxa"/>
        </w:tblCellMar>
        <w:tblLook w:val="01E0"/>
      </w:tblPr>
      <w:tblGrid>
        <w:gridCol w:w="4515"/>
        <w:gridCol w:w="1867"/>
        <w:gridCol w:w="1659"/>
      </w:tblGrid>
      <w:tr>
        <w:trPr>
          <w:trHeight w:val="349" w:hRule="exact"/>
        </w:trPr>
        <w:tc>
          <w:tcPr>
            <w:tcW w:w="4515" w:type="dxa"/>
            <w:tcBorders>
              <w:top w:val="nil" w:sz="6" w:space="0" w:color="auto"/>
              <w:left w:val="nil" w:sz="6" w:space="0" w:color="auto"/>
              <w:bottom w:val="nil" w:sz="6" w:space="0" w:color="auto"/>
              <w:right w:val="nil" w:sz="6" w:space="0" w:color="auto"/>
            </w:tcBorders>
          </w:tcPr>
          <w:p>
            <w:pPr/>
          </w:p>
        </w:tc>
        <w:tc>
          <w:tcPr>
            <w:tcW w:w="1867" w:type="dxa"/>
            <w:tcBorders>
              <w:top w:val="nil" w:sz="6" w:space="0" w:color="auto"/>
              <w:left w:val="nil" w:sz="6" w:space="0" w:color="auto"/>
              <w:bottom w:val="nil" w:sz="6" w:space="0" w:color="auto"/>
              <w:right w:val="nil" w:sz="6" w:space="0" w:color="auto"/>
            </w:tcBorders>
          </w:tcPr>
          <w:p>
            <w:pPr>
              <w:pStyle w:val="TableParagraph"/>
              <w:spacing w:line="214" w:lineRule="exact"/>
              <w:ind w:right="348"/>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1659" w:type="dxa"/>
            <w:tcBorders>
              <w:top w:val="nil" w:sz="6" w:space="0" w:color="auto"/>
              <w:left w:val="nil" w:sz="6" w:space="0" w:color="auto"/>
              <w:bottom w:val="nil" w:sz="6" w:space="0" w:color="auto"/>
              <w:right w:val="nil" w:sz="6" w:space="0" w:color="auto"/>
            </w:tcBorders>
          </w:tcPr>
          <w:p>
            <w:pPr>
              <w:pStyle w:val="TableParagraph"/>
              <w:spacing w:line="214" w:lineRule="exact"/>
              <w:ind w:right="198"/>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r>
      <w:tr>
        <w:trPr>
          <w:trHeight w:val="370" w:hRule="exact"/>
        </w:trPr>
        <w:tc>
          <w:tcPr>
            <w:tcW w:w="451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00" w:right="0"/>
              <w:jc w:val="left"/>
              <w:rPr>
                <w:rFonts w:ascii="黑体" w:hAnsi="黑体" w:cs="黑体" w:eastAsia="黑体" w:hint="default"/>
                <w:sz w:val="20"/>
                <w:szCs w:val="20"/>
              </w:rPr>
            </w:pPr>
            <w:r>
              <w:rPr>
                <w:rFonts w:ascii="黑体" w:hAnsi="黑体" w:cs="黑体" w:eastAsia="黑体" w:hint="default"/>
                <w:sz w:val="20"/>
                <w:szCs w:val="20"/>
              </w:rPr>
              <w:t>收益</w:t>
            </w:r>
          </w:p>
        </w:tc>
        <w:tc>
          <w:tcPr>
            <w:tcW w:w="1867"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
        </w:tc>
      </w:tr>
      <w:tr>
        <w:trPr>
          <w:trHeight w:val="259" w:hRule="exact"/>
        </w:trPr>
        <w:tc>
          <w:tcPr>
            <w:tcW w:w="4515" w:type="dxa"/>
            <w:tcBorders>
              <w:top w:val="nil" w:sz="6" w:space="0" w:color="auto"/>
              <w:left w:val="nil" w:sz="6" w:space="0" w:color="auto"/>
              <w:bottom w:val="nil" w:sz="6" w:space="0" w:color="auto"/>
              <w:right w:val="nil" w:sz="6" w:space="0" w:color="auto"/>
            </w:tcBorders>
          </w:tcPr>
          <w:p>
            <w:pPr>
              <w:pStyle w:val="TableParagraph"/>
              <w:spacing w:line="229" w:lineRule="exact"/>
              <w:ind w:left="200" w:right="0"/>
              <w:jc w:val="left"/>
              <w:rPr>
                <w:rFonts w:ascii="黑体" w:hAnsi="黑体" w:cs="黑体" w:eastAsia="黑体" w:hint="default"/>
                <w:sz w:val="20"/>
                <w:szCs w:val="20"/>
              </w:rPr>
            </w:pPr>
            <w:r>
              <w:rPr>
                <w:rFonts w:ascii="黑体" w:hAnsi="黑体" w:cs="黑体" w:eastAsia="黑体" w:hint="default"/>
                <w:sz w:val="20"/>
                <w:szCs w:val="20"/>
              </w:rPr>
              <w:t>归属于本公司普通股股东的当期净利润</w:t>
            </w:r>
          </w:p>
        </w:tc>
        <w:tc>
          <w:tcPr>
            <w:tcW w:w="1867"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
        </w:tc>
      </w:tr>
      <w:tr>
        <w:trPr>
          <w:trHeight w:val="378" w:hRule="exact"/>
        </w:trPr>
        <w:tc>
          <w:tcPr>
            <w:tcW w:w="4515" w:type="dxa"/>
            <w:tcBorders>
              <w:top w:val="nil" w:sz="6" w:space="0" w:color="auto"/>
              <w:left w:val="nil" w:sz="6" w:space="0" w:color="auto"/>
              <w:bottom w:val="nil" w:sz="6" w:space="0" w:color="auto"/>
              <w:right w:val="nil" w:sz="6" w:space="0" w:color="auto"/>
            </w:tcBorders>
          </w:tcPr>
          <w:p>
            <w:pPr>
              <w:pStyle w:val="TableParagraph"/>
              <w:spacing w:line="229" w:lineRule="exact"/>
              <w:ind w:left="200" w:right="0"/>
              <w:jc w:val="left"/>
              <w:rPr>
                <w:rFonts w:ascii="黑体" w:hAnsi="黑体" w:cs="黑体" w:eastAsia="黑体" w:hint="default"/>
                <w:sz w:val="20"/>
                <w:szCs w:val="20"/>
              </w:rPr>
            </w:pPr>
            <w:r>
              <w:rPr>
                <w:rFonts w:ascii="黑体" w:hAnsi="黑体" w:cs="黑体" w:eastAsia="黑体" w:hint="default"/>
                <w:sz w:val="20"/>
                <w:szCs w:val="20"/>
              </w:rPr>
              <w:t>持续经营</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48"/>
              <w:jc w:val="right"/>
              <w:rPr>
                <w:rFonts w:ascii="Arial" w:hAnsi="Arial" w:cs="Arial" w:eastAsia="Arial" w:hint="default"/>
                <w:sz w:val="20"/>
                <w:szCs w:val="20"/>
              </w:rPr>
            </w:pPr>
            <w:r>
              <w:rPr>
                <w:rFonts w:ascii="Arial"/>
                <w:w w:val="99"/>
                <w:sz w:val="20"/>
              </w:rPr>
            </w:r>
            <w:r>
              <w:rPr>
                <w:rFonts w:ascii="Arial"/>
                <w:spacing w:val="-1"/>
                <w:sz w:val="20"/>
                <w:u w:val="thick" w:color="000000"/>
              </w:rPr>
              <w:t>379,601,971</w:t>
            </w:r>
            <w:r>
              <w:rPr>
                <w:rFonts w:ascii="Arial"/>
                <w:spacing w:val="-1"/>
                <w:sz w:val="20"/>
              </w:rPr>
            </w:r>
            <w:r>
              <w:rPr>
                <w:rFonts w:ascii="Arial"/>
                <w:sz w:val="20"/>
              </w:rPr>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536,784,549</w:t>
            </w:r>
            <w:r>
              <w:rPr>
                <w:rFonts w:ascii="Arial"/>
                <w:spacing w:val="-1"/>
                <w:sz w:val="20"/>
              </w:rPr>
            </w:r>
            <w:r>
              <w:rPr>
                <w:rFonts w:ascii="Arial"/>
                <w:sz w:val="20"/>
              </w:rPr>
            </w:r>
          </w:p>
        </w:tc>
      </w:tr>
      <w:tr>
        <w:trPr>
          <w:trHeight w:val="371" w:hRule="exact"/>
        </w:trPr>
        <w:tc>
          <w:tcPr>
            <w:tcW w:w="4515"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00" w:right="0"/>
              <w:jc w:val="left"/>
              <w:rPr>
                <w:rFonts w:ascii="黑体" w:hAnsi="黑体" w:cs="黑体" w:eastAsia="黑体" w:hint="default"/>
                <w:sz w:val="20"/>
                <w:szCs w:val="20"/>
              </w:rPr>
            </w:pPr>
            <w:r>
              <w:rPr>
                <w:rFonts w:ascii="黑体" w:hAnsi="黑体" w:cs="黑体" w:eastAsia="黑体" w:hint="default"/>
                <w:sz w:val="20"/>
                <w:szCs w:val="20"/>
              </w:rPr>
              <w:t>股份</w:t>
            </w:r>
          </w:p>
        </w:tc>
        <w:tc>
          <w:tcPr>
            <w:tcW w:w="1867"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nil" w:sz="6" w:space="0" w:color="auto"/>
              <w:right w:val="nil" w:sz="6" w:space="0" w:color="auto"/>
            </w:tcBorders>
          </w:tcPr>
          <w:p>
            <w:pPr/>
          </w:p>
        </w:tc>
      </w:tr>
      <w:tr>
        <w:trPr>
          <w:trHeight w:val="239" w:hRule="exact"/>
        </w:trPr>
        <w:tc>
          <w:tcPr>
            <w:tcW w:w="4515" w:type="dxa"/>
            <w:tcBorders>
              <w:top w:val="nil" w:sz="6" w:space="0" w:color="auto"/>
              <w:left w:val="nil" w:sz="6" w:space="0" w:color="auto"/>
              <w:bottom w:val="nil" w:sz="6" w:space="0" w:color="auto"/>
              <w:right w:val="nil" w:sz="6" w:space="0" w:color="auto"/>
            </w:tcBorders>
          </w:tcPr>
          <w:p>
            <w:pPr>
              <w:pStyle w:val="TableParagraph"/>
              <w:spacing w:line="244" w:lineRule="exact"/>
              <w:ind w:left="200" w:right="0"/>
              <w:jc w:val="left"/>
              <w:rPr>
                <w:rFonts w:ascii="黑体" w:hAnsi="黑体" w:cs="黑体" w:eastAsia="黑体" w:hint="default"/>
                <w:sz w:val="20"/>
                <w:szCs w:val="20"/>
              </w:rPr>
            </w:pPr>
            <w:r>
              <w:rPr>
                <w:rFonts w:ascii="黑体" w:hAnsi="黑体" w:cs="黑体" w:eastAsia="黑体" w:hint="default"/>
                <w:sz w:val="20"/>
                <w:szCs w:val="20"/>
              </w:rPr>
              <w:t>本公司发行在外普通股的加权平均数（注</w:t>
            </w:r>
            <w:r>
              <w:rPr>
                <w:rFonts w:ascii="Arial" w:hAnsi="Arial" w:cs="Arial" w:eastAsia="Arial" w:hint="default"/>
                <w:sz w:val="20"/>
                <w:szCs w:val="20"/>
              </w:rPr>
              <w:t>1</w:t>
            </w:r>
            <w:r>
              <w:rPr>
                <w:rFonts w:ascii="黑体" w:hAnsi="黑体" w:cs="黑体" w:eastAsia="黑体" w:hint="default"/>
                <w:sz w:val="20"/>
                <w:szCs w:val="20"/>
              </w:rPr>
              <w:t>）</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48"/>
              <w:jc w:val="right"/>
              <w:rPr>
                <w:rFonts w:ascii="Arial" w:hAnsi="Arial" w:cs="Arial" w:eastAsia="Arial" w:hint="default"/>
                <w:sz w:val="20"/>
                <w:szCs w:val="20"/>
              </w:rPr>
            </w:pPr>
            <w:r>
              <w:rPr>
                <w:rFonts w:ascii="Arial"/>
                <w:w w:val="99"/>
                <w:sz w:val="20"/>
              </w:rPr>
            </w:r>
            <w:r>
              <w:rPr>
                <w:rFonts w:ascii="Arial"/>
                <w:spacing w:val="-1"/>
                <w:sz w:val="20"/>
                <w:u w:val="thick" w:color="000000"/>
              </w:rPr>
              <w:t>979,084,040</w:t>
            </w:r>
            <w:r>
              <w:rPr>
                <w:rFonts w:ascii="Arial"/>
                <w:spacing w:val="-1"/>
                <w:sz w:val="20"/>
              </w:rPr>
            </w:r>
            <w:r>
              <w:rPr>
                <w:rFonts w:ascii="Arial"/>
                <w:sz w:val="20"/>
              </w:rPr>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979,226,437</w:t>
            </w:r>
            <w:r>
              <w:rPr>
                <w:rFonts w:ascii="Arial"/>
                <w:spacing w:val="-1"/>
                <w:sz w:val="20"/>
              </w:rPr>
            </w:r>
            <w:r>
              <w:rPr>
                <w:rFonts w:ascii="Arial"/>
                <w:sz w:val="20"/>
              </w:rPr>
            </w:r>
          </w:p>
        </w:tc>
      </w:tr>
    </w:tbl>
    <w:p>
      <w:pPr>
        <w:spacing w:line="240" w:lineRule="auto" w:before="10"/>
        <w:rPr>
          <w:rFonts w:ascii="黑体" w:hAnsi="黑体" w:cs="黑体" w:eastAsia="黑体" w:hint="default"/>
          <w:sz w:val="20"/>
          <w:szCs w:val="20"/>
        </w:rPr>
      </w:pPr>
    </w:p>
    <w:p>
      <w:pPr>
        <w:pStyle w:val="BodyText"/>
        <w:spacing w:line="240" w:lineRule="auto" w:before="37"/>
        <w:ind w:right="0"/>
        <w:jc w:val="left"/>
      </w:pPr>
      <w:r>
        <w:rPr/>
        <w:t>本公司无稀释性潜在普通股。稀释每股收益等同于基本每股收益。</w:t>
      </w:r>
    </w:p>
    <w:p>
      <w:pPr>
        <w:spacing w:line="240" w:lineRule="auto" w:before="11"/>
        <w:rPr>
          <w:rFonts w:ascii="黑体" w:hAnsi="黑体" w:cs="黑体" w:eastAsia="黑体" w:hint="default"/>
          <w:sz w:val="25"/>
          <w:szCs w:val="25"/>
        </w:rPr>
      </w:pPr>
    </w:p>
    <w:p>
      <w:pPr>
        <w:pStyle w:val="BodyText"/>
        <w:spacing w:line="261" w:lineRule="auto"/>
        <w:ind w:left="1277" w:right="0" w:hanging="468"/>
        <w:jc w:val="left"/>
      </w:pPr>
      <w:r>
        <w:rPr>
          <w:w w:val="95"/>
        </w:rPr>
        <w:t>注</w:t>
      </w:r>
      <w:r>
        <w:rPr>
          <w:rFonts w:ascii="Arial" w:hAnsi="Arial" w:cs="Arial" w:eastAsia="Arial" w:hint="default"/>
          <w:w w:val="95"/>
        </w:rPr>
        <w:t>1. </w:t>
      </w:r>
      <w:r>
        <w:rPr>
          <w:w w:val="95"/>
        </w:rPr>
        <w:t>如附注五、</w:t>
      </w:r>
      <w:r>
        <w:rPr>
          <w:rFonts w:ascii="Arial" w:hAnsi="Arial" w:cs="Arial" w:eastAsia="Arial" w:hint="default"/>
          <w:w w:val="95"/>
        </w:rPr>
        <w:t>32</w:t>
      </w:r>
      <w:r>
        <w:rPr>
          <w:w w:val="95"/>
        </w:rPr>
        <w:t>和附注十、</w:t>
      </w:r>
      <w:r>
        <w:rPr>
          <w:rFonts w:ascii="Arial" w:hAnsi="Arial" w:cs="Arial" w:eastAsia="Arial" w:hint="default"/>
          <w:w w:val="95"/>
        </w:rPr>
        <w:t>2</w:t>
      </w:r>
      <w:r>
        <w:rPr>
          <w:w w:val="95"/>
        </w:rPr>
        <w:t>所述，于</w:t>
      </w:r>
      <w:r>
        <w:rPr>
          <w:rFonts w:ascii="Arial" w:hAnsi="Arial" w:cs="Arial" w:eastAsia="Arial" w:hint="default"/>
          <w:w w:val="95"/>
        </w:rPr>
        <w:t>2013</w:t>
      </w:r>
      <w:r>
        <w:rPr>
          <w:w w:val="95"/>
        </w:rPr>
        <w:t>年</w:t>
      </w:r>
      <w:r>
        <w:rPr>
          <w:rFonts w:ascii="Arial" w:hAnsi="Arial" w:cs="Arial" w:eastAsia="Arial" w:hint="default"/>
          <w:w w:val="95"/>
        </w:rPr>
        <w:t>1</w:t>
      </w:r>
      <w:r>
        <w:rPr>
          <w:w w:val="95"/>
        </w:rPr>
        <w:t>月，本公司回购股份</w:t>
      </w:r>
      <w:r>
        <w:rPr>
          <w:rFonts w:ascii="Arial" w:hAnsi="Arial" w:cs="Arial" w:eastAsia="Arial" w:hint="default"/>
          <w:w w:val="95"/>
        </w:rPr>
        <w:t>17,813,603</w:t>
      </w:r>
      <w:r>
        <w:rPr>
          <w:w w:val="95"/>
        </w:rPr>
        <w:t>股，回购后</w:t>
      </w:r>
      <w:r>
        <w:rPr>
          <w:spacing w:val="-59"/>
          <w:w w:val="95"/>
        </w:rPr>
        <w:t> </w:t>
      </w:r>
      <w:r>
        <w:rPr>
          <w:spacing w:val="-59"/>
          <w:w w:val="95"/>
        </w:rPr>
      </w:r>
      <w:r>
        <w:rPr/>
        <w:t>的发行在外普通股股数为</w:t>
      </w:r>
      <w:r>
        <w:rPr>
          <w:rFonts w:ascii="Arial" w:hAnsi="Arial" w:cs="Arial" w:eastAsia="Arial" w:hint="default"/>
        </w:rPr>
        <w:t>959,246,238</w:t>
      </w:r>
      <w:r>
        <w:rPr/>
        <w:t>股。</w:t>
      </w:r>
    </w:p>
    <w:p>
      <w:pPr>
        <w:spacing w:after="0" w:line="261" w:lineRule="auto"/>
        <w:jc w:val="left"/>
        <w:sectPr>
          <w:pgSz w:w="11910" w:h="16840"/>
          <w:pgMar w:header="825" w:footer="473" w:top="2420" w:bottom="660" w:left="1600" w:right="1280"/>
        </w:sectPr>
      </w:pPr>
    </w:p>
    <w:p>
      <w:pPr>
        <w:spacing w:line="240" w:lineRule="auto" w:before="12"/>
        <w:rPr>
          <w:rFonts w:ascii="黑体" w:hAnsi="黑体" w:cs="黑体" w:eastAsia="黑体" w:hint="default"/>
          <w:sz w:val="20"/>
          <w:szCs w:val="20"/>
        </w:rPr>
      </w:pPr>
    </w:p>
    <w:p>
      <w:pPr>
        <w:pStyle w:val="Heading6"/>
        <w:tabs>
          <w:tab w:pos="804" w:val="left" w:leader="none"/>
        </w:tabs>
        <w:spacing w:line="240" w:lineRule="auto"/>
        <w:ind w:right="3779"/>
        <w:jc w:val="left"/>
        <w:rPr>
          <w:b w:val="0"/>
          <w:bCs w:val="0"/>
        </w:rPr>
      </w:pPr>
      <w:r>
        <w:rPr>
          <w:w w:val="95"/>
        </w:rPr>
        <w:t>五、</w:t>
        <w:tab/>
      </w:r>
      <w:bookmarkStart w:name="五、   合并财务报表主要项目注释（续）" w:id="140"/>
      <w:bookmarkEnd w:id="140"/>
      <w:r>
        <w:rPr/>
        <w:t>合并</w:t>
      </w:r>
      <w:r>
        <w:rPr/>
        <w:t>财务报表主要项目注释（续）</w:t>
      </w:r>
      <w:r>
        <w:rPr>
          <w:b w:val="0"/>
          <w:bCs w:val="0"/>
        </w:rPr>
      </w:r>
    </w:p>
    <w:p>
      <w:pPr>
        <w:spacing w:line="240" w:lineRule="auto" w:before="5"/>
        <w:rPr>
          <w:rFonts w:ascii="黑体" w:hAnsi="黑体" w:cs="黑体" w:eastAsia="黑体" w:hint="default"/>
          <w:b/>
          <w:bCs/>
          <w:sz w:val="22"/>
          <w:szCs w:val="22"/>
        </w:rPr>
      </w:pPr>
    </w:p>
    <w:p>
      <w:pPr>
        <w:pStyle w:val="Heading6"/>
        <w:tabs>
          <w:tab w:pos="780" w:val="left" w:leader="none"/>
        </w:tabs>
        <w:spacing w:line="240" w:lineRule="auto" w:before="0"/>
        <w:ind w:right="3779"/>
        <w:jc w:val="left"/>
        <w:rPr>
          <w:b w:val="0"/>
          <w:bCs w:val="0"/>
        </w:rPr>
      </w:pPr>
      <w:r>
        <w:rPr>
          <w:rFonts w:ascii="Arial" w:hAnsi="Arial" w:cs="Arial" w:eastAsia="Arial" w:hint="default"/>
          <w:spacing w:val="-1"/>
          <w:w w:val="95"/>
        </w:rPr>
        <w:t>46.</w:t>
        <w:tab/>
      </w:r>
      <w:r>
        <w:rPr>
          <w:spacing w:val="1"/>
        </w:rPr>
        <w:t>其他综合收益</w:t>
      </w:r>
      <w:r>
        <w:rPr>
          <w:b w:val="0"/>
          <w:bCs w:val="0"/>
          <w:spacing w:val="1"/>
        </w:rPr>
      </w:r>
    </w:p>
    <w:p>
      <w:pPr>
        <w:spacing w:line="240" w:lineRule="auto" w:before="0"/>
        <w:rPr>
          <w:rFonts w:ascii="黑体" w:hAnsi="黑体" w:cs="黑体" w:eastAsia="黑体" w:hint="default"/>
          <w:b/>
          <w:bCs/>
          <w:sz w:val="20"/>
          <w:szCs w:val="20"/>
        </w:rPr>
      </w:pPr>
    </w:p>
    <w:p>
      <w:pPr>
        <w:spacing w:line="240" w:lineRule="auto" w:before="10"/>
        <w:rPr>
          <w:rFonts w:ascii="黑体" w:hAnsi="黑体" w:cs="黑体" w:eastAsia="黑体" w:hint="default"/>
          <w:b/>
          <w:bCs/>
          <w:sz w:val="11"/>
          <w:szCs w:val="11"/>
        </w:rPr>
      </w:pPr>
    </w:p>
    <w:tbl>
      <w:tblPr>
        <w:tblW w:w="0" w:type="auto"/>
        <w:jc w:val="left"/>
        <w:tblInd w:w="619" w:type="dxa"/>
        <w:tblLayout w:type="fixed"/>
        <w:tblCellMar>
          <w:top w:w="0" w:type="dxa"/>
          <w:left w:w="0" w:type="dxa"/>
          <w:bottom w:w="0" w:type="dxa"/>
          <w:right w:w="0" w:type="dxa"/>
        </w:tblCellMar>
        <w:tblLook w:val="01E0"/>
      </w:tblPr>
      <w:tblGrid>
        <w:gridCol w:w="3484"/>
        <w:gridCol w:w="3216"/>
        <w:gridCol w:w="1435"/>
        <w:gridCol w:w="273"/>
      </w:tblGrid>
      <w:tr>
        <w:trPr>
          <w:trHeight w:val="361" w:hRule="exact"/>
        </w:trPr>
        <w:tc>
          <w:tcPr>
            <w:tcW w:w="3484" w:type="dxa"/>
            <w:tcBorders>
              <w:top w:val="nil" w:sz="6" w:space="0" w:color="auto"/>
              <w:left w:val="nil" w:sz="6" w:space="0" w:color="auto"/>
              <w:bottom w:val="nil" w:sz="6" w:space="0" w:color="auto"/>
              <w:right w:val="nil" w:sz="6" w:space="0" w:color="auto"/>
            </w:tcBorders>
          </w:tcPr>
          <w:p>
            <w:pPr/>
          </w:p>
        </w:tc>
        <w:tc>
          <w:tcPr>
            <w:tcW w:w="3216" w:type="dxa"/>
            <w:tcBorders>
              <w:top w:val="nil" w:sz="6" w:space="0" w:color="auto"/>
              <w:left w:val="nil" w:sz="6" w:space="0" w:color="auto"/>
              <w:bottom w:val="nil" w:sz="6" w:space="0" w:color="auto"/>
              <w:right w:val="nil" w:sz="6" w:space="0" w:color="auto"/>
            </w:tcBorders>
          </w:tcPr>
          <w:p>
            <w:pPr>
              <w:pStyle w:val="TableParagraph"/>
              <w:spacing w:line="214" w:lineRule="exact"/>
              <w:ind w:right="640"/>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1435" w:type="dxa"/>
            <w:tcBorders>
              <w:top w:val="nil" w:sz="6" w:space="0" w:color="auto"/>
              <w:left w:val="nil" w:sz="6" w:space="0" w:color="auto"/>
              <w:bottom w:val="nil" w:sz="6" w:space="0" w:color="auto"/>
              <w:right w:val="nil" w:sz="6" w:space="0" w:color="auto"/>
            </w:tcBorders>
          </w:tcPr>
          <w:p>
            <w:pPr>
              <w:pStyle w:val="TableParagraph"/>
              <w:spacing w:line="214" w:lineRule="exact"/>
              <w:ind w:right="3"/>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c>
          <w:tcPr>
            <w:tcW w:w="273" w:type="dxa"/>
            <w:tcBorders>
              <w:top w:val="nil" w:sz="6" w:space="0" w:color="auto"/>
              <w:left w:val="nil" w:sz="6" w:space="0" w:color="auto"/>
              <w:bottom w:val="nil" w:sz="6" w:space="0" w:color="auto"/>
              <w:right w:val="nil" w:sz="6" w:space="0" w:color="auto"/>
            </w:tcBorders>
          </w:tcPr>
          <w:p>
            <w:pPr/>
          </w:p>
        </w:tc>
      </w:tr>
      <w:tr>
        <w:trPr>
          <w:trHeight w:val="361" w:hRule="exact"/>
        </w:trPr>
        <w:tc>
          <w:tcPr>
            <w:tcW w:w="3484"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00" w:right="0"/>
              <w:jc w:val="left"/>
              <w:rPr>
                <w:rFonts w:ascii="黑体" w:hAnsi="黑体" w:cs="黑体" w:eastAsia="黑体" w:hint="default"/>
                <w:sz w:val="20"/>
                <w:szCs w:val="20"/>
              </w:rPr>
            </w:pPr>
            <w:r>
              <w:rPr>
                <w:rFonts w:ascii="黑体" w:hAnsi="黑体" w:cs="黑体" w:eastAsia="黑体" w:hint="default"/>
                <w:sz w:val="20"/>
                <w:szCs w:val="20"/>
              </w:rPr>
              <w:t>外币报表折算差额</w:t>
            </w:r>
          </w:p>
        </w:tc>
        <w:tc>
          <w:tcPr>
            <w:tcW w:w="3216"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641"/>
              <w:jc w:val="right"/>
              <w:rPr>
                <w:rFonts w:ascii="Arial" w:hAnsi="Arial" w:cs="Arial" w:eastAsia="Arial" w:hint="default"/>
                <w:sz w:val="20"/>
                <w:szCs w:val="20"/>
              </w:rPr>
            </w:pPr>
            <w:r>
              <w:rPr>
                <w:rFonts w:ascii="Arial"/>
                <w:w w:val="99"/>
                <w:sz w:val="20"/>
              </w:rPr>
            </w:r>
            <w:r>
              <w:rPr>
                <w:rFonts w:ascii="Arial"/>
                <w:spacing w:val="-1"/>
                <w:sz w:val="20"/>
                <w:u w:val="thick" w:color="000000"/>
              </w:rPr>
              <w:t>1,391,504</w:t>
            </w:r>
            <w:r>
              <w:rPr>
                <w:rFonts w:ascii="Arial"/>
                <w:spacing w:val="-1"/>
                <w:sz w:val="20"/>
              </w:rPr>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4"/>
              <w:jc w:val="right"/>
              <w:rPr>
                <w:rFonts w:ascii="Arial" w:hAnsi="Arial" w:cs="Arial" w:eastAsia="Arial" w:hint="default"/>
                <w:sz w:val="20"/>
                <w:szCs w:val="20"/>
              </w:rPr>
            </w:pPr>
            <w:r>
              <w:rPr>
                <w:rFonts w:ascii="Arial"/>
                <w:spacing w:val="-1"/>
                <w:sz w:val="20"/>
              </w:rPr>
              <w:t>(</w:t>
            </w:r>
            <w:r>
              <w:rPr>
                <w:rFonts w:ascii="Arial"/>
                <w:spacing w:val="-1"/>
                <w:sz w:val="20"/>
                <w:u w:val="thick" w:color="000000"/>
              </w:rPr>
              <w:t>930,451</w:t>
            </w:r>
            <w:r>
              <w:rPr>
                <w:rFonts w:ascii="Arial"/>
                <w:spacing w:val="-1"/>
                <w:sz w:val="20"/>
              </w:rPr>
            </w:r>
            <w:r>
              <w:rPr>
                <w:rFonts w:ascii="Arial"/>
                <w:sz w:val="20"/>
              </w:rPr>
            </w:r>
          </w:p>
        </w:tc>
        <w:tc>
          <w:tcPr>
            <w:tcW w:w="273"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6" w:right="0"/>
              <w:jc w:val="left"/>
              <w:rPr>
                <w:rFonts w:ascii="Arial" w:hAnsi="Arial" w:cs="Arial" w:eastAsia="Arial" w:hint="default"/>
                <w:sz w:val="20"/>
                <w:szCs w:val="20"/>
              </w:rPr>
            </w:pPr>
            <w:r>
              <w:rPr>
                <w:rFonts w:ascii="Arial"/>
                <w:w w:val="99"/>
                <w:sz w:val="20"/>
              </w:rPr>
              <w:t>)</w:t>
            </w:r>
            <w:r>
              <w:rPr>
                <w:rFonts w:ascii="Arial"/>
                <w:sz w:val="20"/>
              </w:rPr>
            </w:r>
          </w:p>
        </w:tc>
      </w:tr>
    </w:tbl>
    <w:p>
      <w:pPr>
        <w:spacing w:line="240" w:lineRule="auto" w:before="0"/>
        <w:rPr>
          <w:rFonts w:ascii="黑体" w:hAnsi="黑体" w:cs="黑体" w:eastAsia="黑体" w:hint="default"/>
          <w:b/>
          <w:bCs/>
          <w:sz w:val="20"/>
          <w:szCs w:val="20"/>
        </w:rPr>
      </w:pPr>
    </w:p>
    <w:p>
      <w:pPr>
        <w:spacing w:line="240" w:lineRule="auto" w:before="8"/>
        <w:rPr>
          <w:rFonts w:ascii="黑体" w:hAnsi="黑体" w:cs="黑体" w:eastAsia="黑体" w:hint="default"/>
          <w:b/>
          <w:bCs/>
          <w:sz w:val="14"/>
          <w:szCs w:val="14"/>
        </w:rPr>
      </w:pPr>
    </w:p>
    <w:p>
      <w:pPr>
        <w:tabs>
          <w:tab w:pos="792" w:val="left" w:leader="none"/>
        </w:tabs>
        <w:spacing w:line="422" w:lineRule="auto" w:before="0"/>
        <w:ind w:left="814" w:right="4475" w:hanging="713"/>
        <w:jc w:val="left"/>
        <w:rPr>
          <w:rFonts w:ascii="Arial" w:hAnsi="Arial" w:cs="Arial" w:eastAsia="Arial" w:hint="default"/>
          <w:sz w:val="20"/>
          <w:szCs w:val="20"/>
        </w:rPr>
      </w:pPr>
      <w:r>
        <w:rPr>
          <w:rFonts w:ascii="Arial" w:hAnsi="Arial" w:cs="Arial" w:eastAsia="Arial" w:hint="default"/>
          <w:b/>
          <w:bCs/>
          <w:spacing w:val="-1"/>
          <w:w w:val="95"/>
          <w:sz w:val="20"/>
          <w:szCs w:val="20"/>
        </w:rPr>
        <w:t>47.</w:t>
        <w:tab/>
      </w:r>
      <w:r>
        <w:rPr>
          <w:rFonts w:ascii="黑体" w:hAnsi="黑体" w:cs="黑体" w:eastAsia="黑体" w:hint="default"/>
          <w:b/>
          <w:bCs/>
          <w:spacing w:val="1"/>
          <w:sz w:val="20"/>
          <w:szCs w:val="20"/>
        </w:rPr>
        <w:t>现金流量表项目注释：</w:t>
      </w:r>
      <w:r>
        <w:rPr>
          <w:rFonts w:ascii="黑体" w:hAnsi="黑体" w:cs="黑体" w:eastAsia="黑体" w:hint="default"/>
          <w:b/>
          <w:bCs/>
          <w:spacing w:val="2"/>
          <w:w w:val="99"/>
          <w:sz w:val="20"/>
          <w:szCs w:val="20"/>
        </w:rPr>
        <w:t> </w:t>
      </w:r>
      <w:r>
        <w:rPr>
          <w:rFonts w:ascii="黑体" w:hAnsi="黑体" w:cs="黑体" w:eastAsia="黑体" w:hint="default"/>
          <w:sz w:val="20"/>
          <w:szCs w:val="20"/>
        </w:rPr>
        <w:t>支付的其他与经营活动有关的现金主要包括</w:t>
      </w:r>
      <w:r>
        <w:rPr>
          <w:rFonts w:ascii="Arial" w:hAnsi="Arial" w:cs="Arial" w:eastAsia="Arial" w:hint="default"/>
          <w:sz w:val="20"/>
          <w:szCs w:val="20"/>
        </w:rPr>
        <w:t>:</w:t>
      </w:r>
    </w:p>
    <w:p>
      <w:pPr>
        <w:spacing w:line="240" w:lineRule="auto" w:before="2"/>
        <w:rPr>
          <w:rFonts w:ascii="Arial" w:hAnsi="Arial" w:cs="Arial" w:eastAsia="Arial" w:hint="default"/>
          <w:sz w:val="12"/>
          <w:szCs w:val="12"/>
        </w:rPr>
      </w:pPr>
    </w:p>
    <w:tbl>
      <w:tblPr>
        <w:tblW w:w="0" w:type="auto"/>
        <w:jc w:val="left"/>
        <w:tblInd w:w="638" w:type="dxa"/>
        <w:tblLayout w:type="fixed"/>
        <w:tblCellMar>
          <w:top w:w="0" w:type="dxa"/>
          <w:left w:w="0" w:type="dxa"/>
          <w:bottom w:w="0" w:type="dxa"/>
          <w:right w:w="0" w:type="dxa"/>
        </w:tblCellMar>
        <w:tblLook w:val="01E0"/>
      </w:tblPr>
      <w:tblGrid>
        <w:gridCol w:w="3444"/>
        <w:gridCol w:w="3043"/>
        <w:gridCol w:w="1821"/>
      </w:tblGrid>
      <w:tr>
        <w:trPr>
          <w:trHeight w:val="400" w:hRule="exact"/>
        </w:trPr>
        <w:tc>
          <w:tcPr>
            <w:tcW w:w="3444" w:type="dxa"/>
            <w:tcBorders>
              <w:top w:val="nil" w:sz="6" w:space="0" w:color="auto"/>
              <w:left w:val="nil" w:sz="6" w:space="0" w:color="auto"/>
              <w:bottom w:val="nil" w:sz="6" w:space="0" w:color="auto"/>
              <w:right w:val="nil" w:sz="6" w:space="0" w:color="auto"/>
            </w:tcBorders>
          </w:tcPr>
          <w:p>
            <w:pPr/>
          </w:p>
        </w:tc>
        <w:tc>
          <w:tcPr>
            <w:tcW w:w="3043" w:type="dxa"/>
            <w:tcBorders>
              <w:top w:val="nil" w:sz="6" w:space="0" w:color="auto"/>
              <w:left w:val="nil" w:sz="6" w:space="0" w:color="auto"/>
              <w:bottom w:val="nil" w:sz="6" w:space="0" w:color="auto"/>
              <w:right w:val="nil" w:sz="6" w:space="0" w:color="auto"/>
            </w:tcBorders>
          </w:tcPr>
          <w:p>
            <w:pPr>
              <w:pStyle w:val="TableParagraph"/>
              <w:spacing w:line="214" w:lineRule="exact"/>
              <w:ind w:right="486"/>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1821" w:type="dxa"/>
            <w:tcBorders>
              <w:top w:val="nil" w:sz="6" w:space="0" w:color="auto"/>
              <w:left w:val="nil" w:sz="6" w:space="0" w:color="auto"/>
              <w:bottom w:val="nil" w:sz="6" w:space="0" w:color="auto"/>
              <w:right w:val="nil" w:sz="6" w:space="0" w:color="auto"/>
            </w:tcBorders>
          </w:tcPr>
          <w:p>
            <w:pPr>
              <w:pStyle w:val="TableParagraph"/>
              <w:spacing w:line="214" w:lineRule="exact"/>
              <w:ind w:right="198"/>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r>
      <w:tr>
        <w:trPr>
          <w:trHeight w:val="437" w:hRule="exact"/>
        </w:trPr>
        <w:tc>
          <w:tcPr>
            <w:tcW w:w="3444"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00" w:right="0"/>
              <w:jc w:val="left"/>
              <w:rPr>
                <w:rFonts w:ascii="黑体" w:hAnsi="黑体" w:cs="黑体" w:eastAsia="黑体" w:hint="default"/>
                <w:sz w:val="20"/>
                <w:szCs w:val="20"/>
              </w:rPr>
            </w:pPr>
            <w:r>
              <w:rPr>
                <w:rFonts w:ascii="黑体" w:hAnsi="黑体" w:cs="黑体" w:eastAsia="黑体" w:hint="default"/>
                <w:sz w:val="20"/>
                <w:szCs w:val="20"/>
              </w:rPr>
              <w:t>差旅交通费</w:t>
            </w:r>
          </w:p>
        </w:tc>
        <w:tc>
          <w:tcPr>
            <w:tcW w:w="3043"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486"/>
              <w:jc w:val="right"/>
              <w:rPr>
                <w:rFonts w:ascii="Arial" w:hAnsi="Arial" w:cs="Arial" w:eastAsia="Arial" w:hint="default"/>
                <w:sz w:val="20"/>
                <w:szCs w:val="20"/>
              </w:rPr>
            </w:pPr>
            <w:r>
              <w:rPr>
                <w:rFonts w:ascii="Arial"/>
                <w:spacing w:val="-1"/>
                <w:sz w:val="20"/>
              </w:rPr>
              <w:t>258,746,572</w:t>
            </w:r>
            <w:r>
              <w:rPr>
                <w:rFonts w:ascii="Arial"/>
                <w:sz w:val="20"/>
              </w:rPr>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222"/>
              <w:jc w:val="right"/>
              <w:rPr>
                <w:rFonts w:ascii="Arial" w:hAnsi="Arial" w:cs="Arial" w:eastAsia="Arial" w:hint="default"/>
                <w:sz w:val="20"/>
                <w:szCs w:val="20"/>
              </w:rPr>
            </w:pPr>
            <w:r>
              <w:rPr>
                <w:rFonts w:ascii="Arial"/>
                <w:spacing w:val="-1"/>
                <w:sz w:val="20"/>
              </w:rPr>
              <w:t>258,595,462</w:t>
            </w:r>
            <w:r>
              <w:rPr>
                <w:rFonts w:ascii="Arial"/>
                <w:sz w:val="20"/>
              </w:rPr>
            </w:r>
          </w:p>
        </w:tc>
      </w:tr>
      <w:tr>
        <w:trPr>
          <w:trHeight w:val="283" w:hRule="exact"/>
        </w:trPr>
        <w:tc>
          <w:tcPr>
            <w:tcW w:w="3444" w:type="dxa"/>
            <w:tcBorders>
              <w:top w:val="nil" w:sz="6" w:space="0" w:color="auto"/>
              <w:left w:val="nil" w:sz="6" w:space="0" w:color="auto"/>
              <w:bottom w:val="nil" w:sz="6" w:space="0" w:color="auto"/>
              <w:right w:val="nil" w:sz="6" w:space="0" w:color="auto"/>
            </w:tcBorders>
          </w:tcPr>
          <w:p>
            <w:pPr>
              <w:pStyle w:val="TableParagraph"/>
              <w:spacing w:line="236" w:lineRule="exact"/>
              <w:ind w:left="200" w:right="0"/>
              <w:jc w:val="left"/>
              <w:rPr>
                <w:rFonts w:ascii="黑体" w:hAnsi="黑体" w:cs="黑体" w:eastAsia="黑体" w:hint="default"/>
                <w:sz w:val="20"/>
                <w:szCs w:val="20"/>
              </w:rPr>
            </w:pPr>
            <w:r>
              <w:rPr>
                <w:rFonts w:ascii="黑体" w:hAnsi="黑体" w:cs="黑体" w:eastAsia="黑体" w:hint="default"/>
                <w:sz w:val="20"/>
                <w:szCs w:val="20"/>
              </w:rPr>
              <w:t>业务宣传费</w:t>
            </w:r>
          </w:p>
        </w:tc>
        <w:tc>
          <w:tcPr>
            <w:tcW w:w="304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86"/>
              <w:jc w:val="right"/>
              <w:rPr>
                <w:rFonts w:ascii="Arial" w:hAnsi="Arial" w:cs="Arial" w:eastAsia="Arial" w:hint="default"/>
                <w:sz w:val="20"/>
                <w:szCs w:val="20"/>
              </w:rPr>
            </w:pPr>
            <w:r>
              <w:rPr>
                <w:rFonts w:ascii="Arial"/>
                <w:spacing w:val="-1"/>
                <w:sz w:val="20"/>
              </w:rPr>
              <w:t>127,450,906</w:t>
            </w:r>
            <w:r>
              <w:rPr>
                <w:rFonts w:ascii="Arial"/>
                <w:sz w:val="20"/>
              </w:rPr>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22"/>
              <w:jc w:val="right"/>
              <w:rPr>
                <w:rFonts w:ascii="Arial" w:hAnsi="Arial" w:cs="Arial" w:eastAsia="Arial" w:hint="default"/>
                <w:sz w:val="20"/>
                <w:szCs w:val="20"/>
              </w:rPr>
            </w:pPr>
            <w:r>
              <w:rPr>
                <w:rFonts w:ascii="Arial"/>
                <w:spacing w:val="-1"/>
                <w:sz w:val="20"/>
              </w:rPr>
              <w:t>121,932,479</w:t>
            </w:r>
            <w:r>
              <w:rPr>
                <w:rFonts w:ascii="Arial"/>
                <w:sz w:val="20"/>
              </w:rPr>
            </w:r>
          </w:p>
        </w:tc>
      </w:tr>
      <w:tr>
        <w:trPr>
          <w:trHeight w:val="286" w:hRule="exact"/>
        </w:trPr>
        <w:tc>
          <w:tcPr>
            <w:tcW w:w="3444" w:type="dxa"/>
            <w:tcBorders>
              <w:top w:val="nil" w:sz="6" w:space="0" w:color="auto"/>
              <w:left w:val="nil" w:sz="6" w:space="0" w:color="auto"/>
              <w:bottom w:val="nil" w:sz="6" w:space="0" w:color="auto"/>
              <w:right w:val="nil" w:sz="6" w:space="0" w:color="auto"/>
            </w:tcBorders>
          </w:tcPr>
          <w:p>
            <w:pPr>
              <w:pStyle w:val="TableParagraph"/>
              <w:spacing w:line="236" w:lineRule="exact"/>
              <w:ind w:left="200" w:right="0"/>
              <w:jc w:val="left"/>
              <w:rPr>
                <w:rFonts w:ascii="黑体" w:hAnsi="黑体" w:cs="黑体" w:eastAsia="黑体" w:hint="default"/>
                <w:sz w:val="20"/>
                <w:szCs w:val="20"/>
              </w:rPr>
            </w:pPr>
            <w:r>
              <w:rPr>
                <w:rFonts w:ascii="黑体" w:hAnsi="黑体" w:cs="黑体" w:eastAsia="黑体" w:hint="default"/>
                <w:sz w:val="20"/>
                <w:szCs w:val="20"/>
              </w:rPr>
              <w:t>租赁费及物业管理费</w:t>
            </w:r>
          </w:p>
        </w:tc>
        <w:tc>
          <w:tcPr>
            <w:tcW w:w="304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86"/>
              <w:jc w:val="right"/>
              <w:rPr>
                <w:rFonts w:ascii="Arial" w:hAnsi="Arial" w:cs="Arial" w:eastAsia="Arial" w:hint="default"/>
                <w:sz w:val="20"/>
                <w:szCs w:val="20"/>
              </w:rPr>
            </w:pPr>
            <w:r>
              <w:rPr>
                <w:rFonts w:ascii="Arial"/>
                <w:spacing w:val="-1"/>
                <w:sz w:val="20"/>
              </w:rPr>
              <w:t>120,234,362</w:t>
            </w:r>
            <w:r>
              <w:rPr>
                <w:rFonts w:ascii="Arial"/>
                <w:sz w:val="20"/>
              </w:rPr>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22"/>
              <w:jc w:val="right"/>
              <w:rPr>
                <w:rFonts w:ascii="Arial" w:hAnsi="Arial" w:cs="Arial" w:eastAsia="Arial" w:hint="default"/>
                <w:sz w:val="20"/>
                <w:szCs w:val="20"/>
              </w:rPr>
            </w:pPr>
            <w:r>
              <w:rPr>
                <w:rFonts w:ascii="Arial"/>
                <w:spacing w:val="-1"/>
                <w:sz w:val="20"/>
              </w:rPr>
              <w:t>113,856,774</w:t>
            </w:r>
            <w:r>
              <w:rPr>
                <w:rFonts w:ascii="Arial"/>
                <w:sz w:val="20"/>
              </w:rPr>
            </w:r>
          </w:p>
        </w:tc>
      </w:tr>
      <w:tr>
        <w:trPr>
          <w:trHeight w:val="286" w:hRule="exact"/>
        </w:trPr>
        <w:tc>
          <w:tcPr>
            <w:tcW w:w="3444"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黑体" w:hAnsi="黑体" w:cs="黑体" w:eastAsia="黑体" w:hint="default"/>
                <w:sz w:val="20"/>
                <w:szCs w:val="20"/>
              </w:rPr>
            </w:pPr>
            <w:r>
              <w:rPr>
                <w:rFonts w:ascii="黑体" w:hAnsi="黑体" w:cs="黑体" w:eastAsia="黑体" w:hint="default"/>
                <w:sz w:val="20"/>
                <w:szCs w:val="20"/>
              </w:rPr>
              <w:t>业务招待费</w:t>
            </w:r>
          </w:p>
        </w:tc>
        <w:tc>
          <w:tcPr>
            <w:tcW w:w="304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86"/>
              <w:jc w:val="right"/>
              <w:rPr>
                <w:rFonts w:ascii="Arial" w:hAnsi="Arial" w:cs="Arial" w:eastAsia="Arial" w:hint="default"/>
                <w:sz w:val="20"/>
                <w:szCs w:val="20"/>
              </w:rPr>
            </w:pPr>
            <w:r>
              <w:rPr>
                <w:rFonts w:ascii="Arial"/>
                <w:spacing w:val="-1"/>
                <w:sz w:val="20"/>
              </w:rPr>
              <w:t>131,121,382</w:t>
            </w:r>
            <w:r>
              <w:rPr>
                <w:rFonts w:ascii="Arial"/>
                <w:sz w:val="20"/>
              </w:rPr>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22"/>
              <w:jc w:val="right"/>
              <w:rPr>
                <w:rFonts w:ascii="Arial" w:hAnsi="Arial" w:cs="Arial" w:eastAsia="Arial" w:hint="default"/>
                <w:sz w:val="20"/>
                <w:szCs w:val="20"/>
              </w:rPr>
            </w:pPr>
            <w:r>
              <w:rPr>
                <w:rFonts w:ascii="Arial"/>
                <w:spacing w:val="-1"/>
                <w:sz w:val="20"/>
              </w:rPr>
              <w:t>120,344,814</w:t>
            </w:r>
            <w:r>
              <w:rPr>
                <w:rFonts w:ascii="Arial"/>
                <w:sz w:val="20"/>
              </w:rPr>
            </w:r>
          </w:p>
        </w:tc>
      </w:tr>
      <w:tr>
        <w:trPr>
          <w:trHeight w:val="246" w:hRule="exact"/>
        </w:trPr>
        <w:tc>
          <w:tcPr>
            <w:tcW w:w="3444" w:type="dxa"/>
            <w:tcBorders>
              <w:top w:val="nil" w:sz="6" w:space="0" w:color="auto"/>
              <w:left w:val="nil" w:sz="6" w:space="0" w:color="auto"/>
              <w:bottom w:val="nil" w:sz="6" w:space="0" w:color="auto"/>
              <w:right w:val="nil" w:sz="6" w:space="0" w:color="auto"/>
            </w:tcBorders>
          </w:tcPr>
          <w:p>
            <w:pPr>
              <w:pStyle w:val="TableParagraph"/>
              <w:spacing w:line="236" w:lineRule="exact"/>
              <w:ind w:left="200" w:right="0"/>
              <w:jc w:val="left"/>
              <w:rPr>
                <w:rFonts w:ascii="黑体" w:hAnsi="黑体" w:cs="黑体" w:eastAsia="黑体" w:hint="default"/>
                <w:sz w:val="20"/>
                <w:szCs w:val="20"/>
              </w:rPr>
            </w:pPr>
            <w:r>
              <w:rPr>
                <w:rFonts w:ascii="黑体" w:hAnsi="黑体" w:cs="黑体" w:eastAsia="黑体" w:hint="default"/>
                <w:sz w:val="20"/>
                <w:szCs w:val="20"/>
              </w:rPr>
              <w:t>办公费</w:t>
            </w:r>
          </w:p>
        </w:tc>
        <w:tc>
          <w:tcPr>
            <w:tcW w:w="304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86"/>
              <w:jc w:val="right"/>
              <w:rPr>
                <w:rFonts w:ascii="Arial" w:hAnsi="Arial" w:cs="Arial" w:eastAsia="Arial" w:hint="default"/>
                <w:sz w:val="20"/>
                <w:szCs w:val="20"/>
              </w:rPr>
            </w:pPr>
            <w:r>
              <w:rPr>
                <w:rFonts w:ascii="Arial"/>
                <w:spacing w:val="-1"/>
                <w:sz w:val="20"/>
              </w:rPr>
              <w:t>81,601,348</w:t>
            </w:r>
            <w:r>
              <w:rPr>
                <w:rFonts w:ascii="Arial"/>
                <w:sz w:val="20"/>
              </w:rPr>
            </w:r>
          </w:p>
        </w:tc>
        <w:tc>
          <w:tcPr>
            <w:tcW w:w="182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22"/>
              <w:jc w:val="right"/>
              <w:rPr>
                <w:rFonts w:ascii="Arial" w:hAnsi="Arial" w:cs="Arial" w:eastAsia="Arial" w:hint="default"/>
                <w:sz w:val="20"/>
                <w:szCs w:val="20"/>
              </w:rPr>
            </w:pPr>
            <w:r>
              <w:rPr>
                <w:rFonts w:ascii="Arial"/>
                <w:spacing w:val="-1"/>
                <w:sz w:val="20"/>
              </w:rPr>
              <w:t>88,612,225</w:t>
            </w:r>
            <w:r>
              <w:rPr>
                <w:rFonts w:ascii="Arial"/>
                <w:sz w:val="20"/>
              </w:rPr>
            </w:r>
          </w:p>
        </w:tc>
      </w:tr>
    </w:tbl>
    <w:p>
      <w:pPr>
        <w:spacing w:after="0" w:line="240" w:lineRule="auto"/>
        <w:jc w:val="right"/>
        <w:rPr>
          <w:rFonts w:ascii="Arial" w:hAnsi="Arial" w:cs="Arial" w:eastAsia="Arial" w:hint="default"/>
          <w:sz w:val="20"/>
          <w:szCs w:val="20"/>
        </w:rPr>
        <w:sectPr>
          <w:pgSz w:w="11910" w:h="16840"/>
          <w:pgMar w:header="825" w:footer="473" w:top="2420" w:bottom="660" w:left="1600" w:right="1160"/>
        </w:sectPr>
      </w:pPr>
    </w:p>
    <w:p>
      <w:pPr>
        <w:spacing w:line="240" w:lineRule="auto" w:before="2"/>
        <w:rPr>
          <w:rFonts w:ascii="Arial" w:hAnsi="Arial" w:cs="Arial" w:eastAsia="Arial" w:hint="default"/>
          <w:sz w:val="23"/>
          <w:szCs w:val="23"/>
        </w:rPr>
      </w:pPr>
    </w:p>
    <w:p>
      <w:pPr>
        <w:pStyle w:val="Heading6"/>
        <w:tabs>
          <w:tab w:pos="804" w:val="left" w:leader="none"/>
        </w:tabs>
        <w:spacing w:line="240" w:lineRule="auto"/>
        <w:ind w:right="0"/>
        <w:jc w:val="left"/>
        <w:rPr>
          <w:b w:val="0"/>
          <w:bCs w:val="0"/>
        </w:rPr>
      </w:pPr>
      <w:r>
        <w:rPr>
          <w:w w:val="95"/>
        </w:rPr>
        <w:t>五、</w:t>
        <w:tab/>
      </w:r>
      <w:r>
        <w:rPr/>
        <w:t>合并财务报表主要项目注释（续）</w:t>
      </w:r>
      <w:r>
        <w:rPr>
          <w:b w:val="0"/>
          <w:bCs w:val="0"/>
        </w:rPr>
      </w:r>
    </w:p>
    <w:p>
      <w:pPr>
        <w:spacing w:line="240" w:lineRule="auto" w:before="3"/>
        <w:rPr>
          <w:rFonts w:ascii="黑体" w:hAnsi="黑体" w:cs="黑体" w:eastAsia="黑体" w:hint="default"/>
          <w:b/>
          <w:bCs/>
          <w:sz w:val="19"/>
          <w:szCs w:val="19"/>
        </w:rPr>
      </w:pPr>
    </w:p>
    <w:p>
      <w:pPr>
        <w:pStyle w:val="Heading6"/>
        <w:tabs>
          <w:tab w:pos="821" w:val="left" w:leader="none"/>
        </w:tabs>
        <w:spacing w:line="240" w:lineRule="auto" w:before="0"/>
        <w:ind w:right="0"/>
        <w:jc w:val="left"/>
        <w:rPr>
          <w:b w:val="0"/>
          <w:bCs w:val="0"/>
        </w:rPr>
      </w:pPr>
      <w:r>
        <w:rPr>
          <w:rFonts w:ascii="Arial" w:hAnsi="Arial" w:cs="Arial" w:eastAsia="Arial" w:hint="default"/>
          <w:spacing w:val="-1"/>
          <w:w w:val="95"/>
        </w:rPr>
        <w:t>48.</w:t>
        <w:tab/>
      </w:r>
      <w:r>
        <w:rPr>
          <w:spacing w:val="1"/>
        </w:rPr>
        <w:t>现金流量表补充资料</w:t>
      </w:r>
      <w:r>
        <w:rPr>
          <w:b w:val="0"/>
          <w:bCs w:val="0"/>
          <w:spacing w:val="1"/>
        </w:rPr>
      </w:r>
    </w:p>
    <w:p>
      <w:pPr>
        <w:spacing w:line="240" w:lineRule="auto" w:before="12"/>
        <w:rPr>
          <w:rFonts w:ascii="黑体" w:hAnsi="黑体" w:cs="黑体" w:eastAsia="黑体" w:hint="default"/>
          <w:b/>
          <w:bCs/>
          <w:sz w:val="20"/>
          <w:szCs w:val="20"/>
        </w:rPr>
      </w:pPr>
    </w:p>
    <w:p>
      <w:pPr>
        <w:pStyle w:val="BodyText"/>
        <w:tabs>
          <w:tab w:pos="547" w:val="left" w:leader="none"/>
        </w:tabs>
        <w:spacing w:line="240" w:lineRule="auto"/>
        <w:ind w:left="0" w:right="5050"/>
        <w:jc w:val="center"/>
      </w:pPr>
      <w:r>
        <w:rPr>
          <w:rFonts w:ascii="Arial" w:hAnsi="Arial" w:cs="Arial" w:eastAsia="Arial" w:hint="default"/>
          <w:spacing w:val="-1"/>
        </w:rPr>
        <w:t>(1)</w:t>
        <w:tab/>
      </w:r>
      <w:r>
        <w:rPr/>
        <w:t>现金流量表补充资料</w:t>
      </w:r>
    </w:p>
    <w:p>
      <w:pPr>
        <w:spacing w:line="240" w:lineRule="auto" w:before="12"/>
        <w:rPr>
          <w:rFonts w:ascii="黑体" w:hAnsi="黑体" w:cs="黑体" w:eastAsia="黑体" w:hint="default"/>
          <w:sz w:val="24"/>
          <w:szCs w:val="24"/>
        </w:rPr>
      </w:pPr>
    </w:p>
    <w:tbl>
      <w:tblPr>
        <w:tblW w:w="0" w:type="auto"/>
        <w:jc w:val="left"/>
        <w:tblInd w:w="638" w:type="dxa"/>
        <w:tblLayout w:type="fixed"/>
        <w:tblCellMar>
          <w:top w:w="0" w:type="dxa"/>
          <w:left w:w="0" w:type="dxa"/>
          <w:bottom w:w="0" w:type="dxa"/>
          <w:right w:w="0" w:type="dxa"/>
        </w:tblCellMar>
        <w:tblLook w:val="01E0"/>
      </w:tblPr>
      <w:tblGrid>
        <w:gridCol w:w="3403"/>
        <w:gridCol w:w="1321"/>
        <w:gridCol w:w="1542"/>
        <w:gridCol w:w="288"/>
        <w:gridCol w:w="1412"/>
        <w:gridCol w:w="296"/>
      </w:tblGrid>
      <w:tr>
        <w:trPr>
          <w:trHeight w:val="234" w:hRule="exact"/>
        </w:trPr>
        <w:tc>
          <w:tcPr>
            <w:tcW w:w="3403"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Style w:val="TableParagraph"/>
              <w:spacing w:line="199" w:lineRule="exact"/>
              <w:ind w:left="85" w:right="0"/>
              <w:jc w:val="center"/>
              <w:rPr>
                <w:rFonts w:ascii="黑体" w:hAnsi="黑体" w:cs="黑体" w:eastAsia="黑体" w:hint="default"/>
                <w:sz w:val="20"/>
                <w:szCs w:val="20"/>
              </w:rPr>
            </w:pPr>
            <w:r>
              <w:rPr>
                <w:rFonts w:ascii="黑体" w:hAnsi="黑体" w:cs="黑体" w:eastAsia="黑体" w:hint="default"/>
                <w:sz w:val="20"/>
                <w:szCs w:val="20"/>
              </w:rPr>
              <w:t>附注五</w:t>
            </w:r>
          </w:p>
        </w:tc>
        <w:tc>
          <w:tcPr>
            <w:tcW w:w="1542" w:type="dxa"/>
            <w:tcBorders>
              <w:top w:val="nil" w:sz="6" w:space="0" w:color="auto"/>
              <w:left w:val="nil" w:sz="6" w:space="0" w:color="auto"/>
              <w:bottom w:val="nil" w:sz="6" w:space="0" w:color="auto"/>
              <w:right w:val="nil" w:sz="6" w:space="0" w:color="auto"/>
            </w:tcBorders>
          </w:tcPr>
          <w:p>
            <w:pPr>
              <w:pStyle w:val="TableParagraph"/>
              <w:spacing w:line="214" w:lineRule="exact"/>
              <w:ind w:right="27"/>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288"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Style w:val="TableParagraph"/>
              <w:spacing w:line="214" w:lineRule="exact"/>
              <w:ind w:right="29"/>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c>
          <w:tcPr>
            <w:tcW w:w="296" w:type="dxa"/>
            <w:tcBorders>
              <w:top w:val="nil" w:sz="6" w:space="0" w:color="auto"/>
              <w:left w:val="nil" w:sz="6" w:space="0" w:color="auto"/>
              <w:bottom w:val="nil" w:sz="6" w:space="0" w:color="auto"/>
              <w:right w:val="nil" w:sz="6" w:space="0" w:color="auto"/>
            </w:tcBorders>
          </w:tcPr>
          <w:p>
            <w:pPr/>
          </w:p>
        </w:tc>
      </w:tr>
      <w:tr>
        <w:trPr>
          <w:trHeight w:val="372" w:hRule="exact"/>
        </w:trPr>
        <w:tc>
          <w:tcPr>
            <w:tcW w:w="8262" w:type="dxa"/>
            <w:gridSpan w:val="6"/>
            <w:tcBorders>
              <w:top w:val="nil" w:sz="6" w:space="0" w:color="auto"/>
              <w:left w:val="nil" w:sz="6" w:space="0" w:color="auto"/>
              <w:bottom w:val="nil" w:sz="6" w:space="0" w:color="auto"/>
              <w:right w:val="nil" w:sz="6" w:space="0" w:color="auto"/>
            </w:tcBorders>
          </w:tcPr>
          <w:p>
            <w:pPr>
              <w:pStyle w:val="TableParagraph"/>
              <w:spacing w:line="224" w:lineRule="exact"/>
              <w:ind w:left="200" w:right="0"/>
              <w:jc w:val="left"/>
              <w:rPr>
                <w:rFonts w:ascii="黑体" w:hAnsi="黑体" w:cs="黑体" w:eastAsia="黑体" w:hint="default"/>
                <w:sz w:val="20"/>
                <w:szCs w:val="20"/>
              </w:rPr>
            </w:pPr>
            <w:r>
              <w:rPr>
                <w:rFonts w:ascii="黑体" w:hAnsi="黑体" w:cs="黑体" w:eastAsia="黑体" w:hint="default"/>
                <w:sz w:val="20"/>
                <w:szCs w:val="20"/>
              </w:rPr>
              <w:t>将净利润调节为经营活动的现金流量：</w:t>
            </w:r>
          </w:p>
        </w:tc>
      </w:tr>
      <w:tr>
        <w:trPr>
          <w:trHeight w:val="503" w:hRule="exact"/>
        </w:trPr>
        <w:tc>
          <w:tcPr>
            <w:tcW w:w="3403" w:type="dxa"/>
            <w:tcBorders>
              <w:top w:val="nil" w:sz="6" w:space="0" w:color="auto"/>
              <w:left w:val="nil" w:sz="6" w:space="0" w:color="auto"/>
              <w:bottom w:val="nil" w:sz="6" w:space="0" w:color="auto"/>
              <w:right w:val="nil" w:sz="6" w:space="0" w:color="auto"/>
            </w:tcBorders>
          </w:tcPr>
          <w:p>
            <w:pPr>
              <w:pStyle w:val="TableParagraph"/>
              <w:spacing w:line="240" w:lineRule="auto" w:before="85"/>
              <w:ind w:left="200" w:right="0"/>
              <w:jc w:val="left"/>
              <w:rPr>
                <w:rFonts w:ascii="黑体" w:hAnsi="黑体" w:cs="黑体" w:eastAsia="黑体" w:hint="default"/>
                <w:sz w:val="20"/>
                <w:szCs w:val="20"/>
              </w:rPr>
            </w:pPr>
            <w:r>
              <w:rPr>
                <w:rFonts w:ascii="黑体" w:hAnsi="黑体" w:cs="黑体" w:eastAsia="黑体" w:hint="default"/>
                <w:sz w:val="20"/>
                <w:szCs w:val="20"/>
              </w:rPr>
              <w:t>净利润</w:t>
            </w:r>
          </w:p>
        </w:tc>
        <w:tc>
          <w:tcPr>
            <w:tcW w:w="1321"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25"/>
              <w:jc w:val="right"/>
              <w:rPr>
                <w:rFonts w:ascii="Arial" w:hAnsi="Arial" w:cs="Arial" w:eastAsia="Arial" w:hint="default"/>
                <w:sz w:val="20"/>
                <w:szCs w:val="20"/>
              </w:rPr>
            </w:pPr>
            <w:r>
              <w:rPr>
                <w:rFonts w:ascii="Arial"/>
                <w:spacing w:val="-1"/>
                <w:sz w:val="20"/>
              </w:rPr>
              <w:t>387,154,236</w:t>
            </w:r>
            <w:r>
              <w:rPr>
                <w:rFonts w:ascii="Arial"/>
                <w:sz w:val="20"/>
              </w:rPr>
            </w:r>
          </w:p>
        </w:tc>
        <w:tc>
          <w:tcPr>
            <w:tcW w:w="288"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28"/>
              <w:jc w:val="right"/>
              <w:rPr>
                <w:rFonts w:ascii="Arial" w:hAnsi="Arial" w:cs="Arial" w:eastAsia="Arial" w:hint="default"/>
                <w:sz w:val="20"/>
                <w:szCs w:val="20"/>
              </w:rPr>
            </w:pPr>
            <w:r>
              <w:rPr>
                <w:rFonts w:ascii="Arial"/>
                <w:spacing w:val="-1"/>
                <w:sz w:val="20"/>
              </w:rPr>
              <w:t>550,846,066</w:t>
            </w:r>
            <w:r>
              <w:rPr>
                <w:rFonts w:ascii="Arial"/>
                <w:sz w:val="20"/>
              </w:rPr>
            </w:r>
          </w:p>
        </w:tc>
        <w:tc>
          <w:tcPr>
            <w:tcW w:w="296" w:type="dxa"/>
            <w:tcBorders>
              <w:top w:val="nil" w:sz="6" w:space="0" w:color="auto"/>
              <w:left w:val="nil" w:sz="6" w:space="0" w:color="auto"/>
              <w:bottom w:val="nil" w:sz="6" w:space="0" w:color="auto"/>
              <w:right w:val="nil" w:sz="6" w:space="0" w:color="auto"/>
            </w:tcBorders>
          </w:tcPr>
          <w:p>
            <w:pPr/>
          </w:p>
        </w:tc>
      </w:tr>
      <w:tr>
        <w:trPr>
          <w:trHeight w:val="374" w:hRule="exact"/>
        </w:trPr>
        <w:tc>
          <w:tcPr>
            <w:tcW w:w="3403" w:type="dxa"/>
            <w:tcBorders>
              <w:top w:val="nil" w:sz="6" w:space="0" w:color="auto"/>
              <w:left w:val="nil" w:sz="6" w:space="0" w:color="auto"/>
              <w:bottom w:val="nil" w:sz="6" w:space="0" w:color="auto"/>
              <w:right w:val="nil" w:sz="6" w:space="0" w:color="auto"/>
            </w:tcBorders>
          </w:tcPr>
          <w:p>
            <w:pPr>
              <w:pStyle w:val="TableParagraph"/>
              <w:spacing w:line="240" w:lineRule="auto" w:before="72"/>
              <w:ind w:left="200" w:right="0"/>
              <w:jc w:val="left"/>
              <w:rPr>
                <w:rFonts w:ascii="黑体" w:hAnsi="黑体" w:cs="黑体" w:eastAsia="黑体" w:hint="default"/>
                <w:sz w:val="20"/>
                <w:szCs w:val="20"/>
              </w:rPr>
            </w:pPr>
            <w:r>
              <w:rPr>
                <w:rFonts w:ascii="黑体" w:hAnsi="黑体" w:cs="黑体" w:eastAsia="黑体" w:hint="default"/>
                <w:sz w:val="20"/>
                <w:szCs w:val="20"/>
              </w:rPr>
              <w:t>加：资产减值损失</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82" w:right="0"/>
              <w:jc w:val="center"/>
              <w:rPr>
                <w:rFonts w:ascii="Arial" w:hAnsi="Arial" w:cs="Arial" w:eastAsia="Arial" w:hint="default"/>
                <w:sz w:val="20"/>
                <w:szCs w:val="20"/>
              </w:rPr>
            </w:pPr>
            <w:r>
              <w:rPr>
                <w:rFonts w:ascii="Arial"/>
                <w:sz w:val="20"/>
              </w:rPr>
              <w:t>40</w:t>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5"/>
              <w:jc w:val="right"/>
              <w:rPr>
                <w:rFonts w:ascii="Arial" w:hAnsi="Arial" w:cs="Arial" w:eastAsia="Arial" w:hint="default"/>
                <w:sz w:val="20"/>
                <w:szCs w:val="20"/>
              </w:rPr>
            </w:pPr>
            <w:r>
              <w:rPr>
                <w:rFonts w:ascii="Arial"/>
                <w:spacing w:val="-1"/>
                <w:sz w:val="20"/>
              </w:rPr>
              <w:t>60,601,445</w:t>
            </w:r>
            <w:r>
              <w:rPr>
                <w:rFonts w:ascii="Arial"/>
                <w:sz w:val="20"/>
              </w:rPr>
            </w:r>
          </w:p>
        </w:tc>
        <w:tc>
          <w:tcPr>
            <w:tcW w:w="288"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8"/>
              <w:jc w:val="right"/>
              <w:rPr>
                <w:rFonts w:ascii="Arial" w:hAnsi="Arial" w:cs="Arial" w:eastAsia="Arial" w:hint="default"/>
                <w:sz w:val="20"/>
                <w:szCs w:val="20"/>
              </w:rPr>
            </w:pPr>
            <w:r>
              <w:rPr>
                <w:rFonts w:ascii="Arial"/>
                <w:spacing w:val="-1"/>
                <w:sz w:val="20"/>
              </w:rPr>
              <w:t>37,985,116</w:t>
            </w:r>
            <w:r>
              <w:rPr>
                <w:rFonts w:ascii="Arial"/>
                <w:sz w:val="20"/>
              </w:rPr>
            </w:r>
          </w:p>
        </w:tc>
        <w:tc>
          <w:tcPr>
            <w:tcW w:w="296" w:type="dxa"/>
            <w:tcBorders>
              <w:top w:val="nil" w:sz="6" w:space="0" w:color="auto"/>
              <w:left w:val="nil" w:sz="6" w:space="0" w:color="auto"/>
              <w:bottom w:val="nil" w:sz="6" w:space="0" w:color="auto"/>
              <w:right w:val="nil" w:sz="6" w:space="0" w:color="auto"/>
            </w:tcBorders>
          </w:tcPr>
          <w:p>
            <w:pPr/>
          </w:p>
        </w:tc>
      </w:tr>
      <w:tr>
        <w:trPr>
          <w:trHeight w:val="259" w:hRule="exact"/>
        </w:trPr>
        <w:tc>
          <w:tcPr>
            <w:tcW w:w="3403" w:type="dxa"/>
            <w:tcBorders>
              <w:top w:val="nil" w:sz="6" w:space="0" w:color="auto"/>
              <w:left w:val="nil" w:sz="6" w:space="0" w:color="auto"/>
              <w:bottom w:val="nil" w:sz="6" w:space="0" w:color="auto"/>
              <w:right w:val="nil" w:sz="6" w:space="0" w:color="auto"/>
            </w:tcBorders>
          </w:tcPr>
          <w:p>
            <w:pPr>
              <w:pStyle w:val="TableParagraph"/>
              <w:spacing w:line="218" w:lineRule="exact"/>
              <w:ind w:left="200" w:right="0"/>
              <w:jc w:val="left"/>
              <w:rPr>
                <w:rFonts w:ascii="黑体" w:hAnsi="黑体" w:cs="黑体" w:eastAsia="黑体" w:hint="default"/>
                <w:sz w:val="20"/>
                <w:szCs w:val="20"/>
              </w:rPr>
            </w:pPr>
            <w:r>
              <w:rPr>
                <w:rFonts w:ascii="黑体" w:hAnsi="黑体" w:cs="黑体" w:eastAsia="黑体" w:hint="default"/>
                <w:sz w:val="20"/>
                <w:szCs w:val="20"/>
              </w:rPr>
              <w:t>固定资产折旧</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83" w:right="0"/>
              <w:jc w:val="center"/>
              <w:rPr>
                <w:rFonts w:ascii="Arial" w:hAnsi="Arial" w:cs="Arial" w:eastAsia="Arial" w:hint="default"/>
                <w:sz w:val="20"/>
                <w:szCs w:val="20"/>
              </w:rPr>
            </w:pPr>
            <w:r>
              <w:rPr>
                <w:rFonts w:ascii="Arial"/>
                <w:sz w:val="20"/>
              </w:rPr>
              <w:t>10</w:t>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Arial" w:hAnsi="Arial" w:cs="Arial" w:eastAsia="Arial" w:hint="default"/>
                <w:sz w:val="20"/>
                <w:szCs w:val="20"/>
              </w:rPr>
            </w:pPr>
            <w:r>
              <w:rPr>
                <w:rFonts w:ascii="Arial"/>
                <w:spacing w:val="-1"/>
                <w:sz w:val="20"/>
              </w:rPr>
              <w:t>74,667,351</w:t>
            </w:r>
            <w:r>
              <w:rPr>
                <w:rFonts w:ascii="Arial"/>
                <w:sz w:val="20"/>
              </w:rPr>
            </w:r>
          </w:p>
        </w:tc>
        <w:tc>
          <w:tcPr>
            <w:tcW w:w="288"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
              <w:jc w:val="right"/>
              <w:rPr>
                <w:rFonts w:ascii="Arial" w:hAnsi="Arial" w:cs="Arial" w:eastAsia="Arial" w:hint="default"/>
                <w:sz w:val="20"/>
                <w:szCs w:val="20"/>
              </w:rPr>
            </w:pPr>
            <w:r>
              <w:rPr>
                <w:rFonts w:ascii="Arial"/>
                <w:spacing w:val="-1"/>
                <w:sz w:val="20"/>
              </w:rPr>
              <w:t>69,106,387</w:t>
            </w:r>
            <w:r>
              <w:rPr>
                <w:rFonts w:ascii="Arial"/>
                <w:sz w:val="20"/>
              </w:rPr>
            </w:r>
          </w:p>
        </w:tc>
        <w:tc>
          <w:tcPr>
            <w:tcW w:w="296" w:type="dxa"/>
            <w:tcBorders>
              <w:top w:val="nil" w:sz="6" w:space="0" w:color="auto"/>
              <w:left w:val="nil" w:sz="6" w:space="0" w:color="auto"/>
              <w:bottom w:val="nil" w:sz="6" w:space="0" w:color="auto"/>
              <w:right w:val="nil" w:sz="6" w:space="0" w:color="auto"/>
            </w:tcBorders>
          </w:tcPr>
          <w:p>
            <w:pPr/>
          </w:p>
        </w:tc>
      </w:tr>
      <w:tr>
        <w:trPr>
          <w:trHeight w:val="259" w:hRule="exact"/>
        </w:trPr>
        <w:tc>
          <w:tcPr>
            <w:tcW w:w="3403" w:type="dxa"/>
            <w:tcBorders>
              <w:top w:val="nil" w:sz="6" w:space="0" w:color="auto"/>
              <w:left w:val="nil" w:sz="6" w:space="0" w:color="auto"/>
              <w:bottom w:val="nil" w:sz="6" w:space="0" w:color="auto"/>
              <w:right w:val="nil" w:sz="6" w:space="0" w:color="auto"/>
            </w:tcBorders>
          </w:tcPr>
          <w:p>
            <w:pPr>
              <w:pStyle w:val="TableParagraph"/>
              <w:spacing w:line="218" w:lineRule="exact"/>
              <w:ind w:left="200" w:right="0"/>
              <w:jc w:val="left"/>
              <w:rPr>
                <w:rFonts w:ascii="黑体" w:hAnsi="黑体" w:cs="黑体" w:eastAsia="黑体" w:hint="default"/>
                <w:sz w:val="20"/>
                <w:szCs w:val="20"/>
              </w:rPr>
            </w:pPr>
            <w:r>
              <w:rPr>
                <w:rFonts w:ascii="黑体" w:hAnsi="黑体" w:cs="黑体" w:eastAsia="黑体" w:hint="default"/>
                <w:sz w:val="20"/>
                <w:szCs w:val="20"/>
              </w:rPr>
              <w:t>无形资产摊销</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83" w:right="0"/>
              <w:jc w:val="center"/>
              <w:rPr>
                <w:rFonts w:ascii="Arial" w:hAnsi="Arial" w:cs="Arial" w:eastAsia="Arial" w:hint="default"/>
                <w:sz w:val="20"/>
                <w:szCs w:val="20"/>
              </w:rPr>
            </w:pPr>
            <w:r>
              <w:rPr>
                <w:rFonts w:ascii="Arial"/>
                <w:sz w:val="20"/>
              </w:rPr>
              <w:t>12</w:t>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Arial" w:hAnsi="Arial" w:cs="Arial" w:eastAsia="Arial" w:hint="default"/>
                <w:sz w:val="20"/>
                <w:szCs w:val="20"/>
              </w:rPr>
            </w:pPr>
            <w:r>
              <w:rPr>
                <w:rFonts w:ascii="Arial"/>
                <w:spacing w:val="-1"/>
                <w:sz w:val="20"/>
              </w:rPr>
              <w:t>25,970,054</w:t>
            </w:r>
            <w:r>
              <w:rPr>
                <w:rFonts w:ascii="Arial"/>
                <w:sz w:val="20"/>
              </w:rPr>
            </w:r>
          </w:p>
        </w:tc>
        <w:tc>
          <w:tcPr>
            <w:tcW w:w="288"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
              <w:jc w:val="right"/>
              <w:rPr>
                <w:rFonts w:ascii="Arial" w:hAnsi="Arial" w:cs="Arial" w:eastAsia="Arial" w:hint="default"/>
                <w:sz w:val="20"/>
                <w:szCs w:val="20"/>
              </w:rPr>
            </w:pPr>
            <w:r>
              <w:rPr>
                <w:rFonts w:ascii="Arial"/>
                <w:spacing w:val="-1"/>
                <w:sz w:val="20"/>
              </w:rPr>
              <w:t>25,174,471</w:t>
            </w:r>
            <w:r>
              <w:rPr>
                <w:rFonts w:ascii="Arial"/>
                <w:sz w:val="20"/>
              </w:rPr>
            </w:r>
          </w:p>
        </w:tc>
        <w:tc>
          <w:tcPr>
            <w:tcW w:w="296" w:type="dxa"/>
            <w:tcBorders>
              <w:top w:val="nil" w:sz="6" w:space="0" w:color="auto"/>
              <w:left w:val="nil" w:sz="6" w:space="0" w:color="auto"/>
              <w:bottom w:val="nil" w:sz="6" w:space="0" w:color="auto"/>
              <w:right w:val="nil" w:sz="6" w:space="0" w:color="auto"/>
            </w:tcBorders>
          </w:tcPr>
          <w:p>
            <w:pPr/>
          </w:p>
        </w:tc>
      </w:tr>
      <w:tr>
        <w:trPr>
          <w:trHeight w:val="259" w:hRule="exact"/>
        </w:trPr>
        <w:tc>
          <w:tcPr>
            <w:tcW w:w="3403" w:type="dxa"/>
            <w:tcBorders>
              <w:top w:val="nil" w:sz="6" w:space="0" w:color="auto"/>
              <w:left w:val="nil" w:sz="6" w:space="0" w:color="auto"/>
              <w:bottom w:val="nil" w:sz="6" w:space="0" w:color="auto"/>
              <w:right w:val="nil" w:sz="6" w:space="0" w:color="auto"/>
            </w:tcBorders>
          </w:tcPr>
          <w:p>
            <w:pPr>
              <w:pStyle w:val="TableParagraph"/>
              <w:spacing w:line="218" w:lineRule="exact"/>
              <w:ind w:left="200" w:right="0"/>
              <w:jc w:val="left"/>
              <w:rPr>
                <w:rFonts w:ascii="黑体" w:hAnsi="黑体" w:cs="黑体" w:eastAsia="黑体" w:hint="default"/>
                <w:sz w:val="20"/>
                <w:szCs w:val="20"/>
              </w:rPr>
            </w:pPr>
            <w:r>
              <w:rPr>
                <w:rFonts w:ascii="黑体" w:hAnsi="黑体" w:cs="黑体" w:eastAsia="黑体" w:hint="default"/>
                <w:sz w:val="20"/>
                <w:szCs w:val="20"/>
              </w:rPr>
              <w:t>长期待摊费用摊销</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83" w:right="0"/>
              <w:jc w:val="center"/>
              <w:rPr>
                <w:rFonts w:ascii="Arial" w:hAnsi="Arial" w:cs="Arial" w:eastAsia="Arial" w:hint="default"/>
                <w:sz w:val="20"/>
                <w:szCs w:val="20"/>
              </w:rPr>
            </w:pPr>
            <w:r>
              <w:rPr>
                <w:rFonts w:ascii="Arial"/>
                <w:sz w:val="20"/>
              </w:rPr>
              <w:t>15</w:t>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Arial" w:hAnsi="Arial" w:cs="Arial" w:eastAsia="Arial" w:hint="default"/>
                <w:sz w:val="20"/>
                <w:szCs w:val="20"/>
              </w:rPr>
            </w:pPr>
            <w:r>
              <w:rPr>
                <w:rFonts w:ascii="Arial"/>
                <w:spacing w:val="-1"/>
                <w:sz w:val="20"/>
              </w:rPr>
              <w:t>16,072,431</w:t>
            </w:r>
            <w:r>
              <w:rPr>
                <w:rFonts w:ascii="Arial"/>
                <w:sz w:val="20"/>
              </w:rPr>
            </w:r>
          </w:p>
        </w:tc>
        <w:tc>
          <w:tcPr>
            <w:tcW w:w="288"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
              <w:jc w:val="right"/>
              <w:rPr>
                <w:rFonts w:ascii="Arial" w:hAnsi="Arial" w:cs="Arial" w:eastAsia="Arial" w:hint="default"/>
                <w:sz w:val="20"/>
                <w:szCs w:val="20"/>
              </w:rPr>
            </w:pPr>
            <w:r>
              <w:rPr>
                <w:rFonts w:ascii="Arial"/>
                <w:spacing w:val="-1"/>
                <w:sz w:val="20"/>
              </w:rPr>
              <w:t>14,901,794</w:t>
            </w:r>
            <w:r>
              <w:rPr>
                <w:rFonts w:ascii="Arial"/>
                <w:sz w:val="20"/>
              </w:rPr>
            </w:r>
          </w:p>
        </w:tc>
        <w:tc>
          <w:tcPr>
            <w:tcW w:w="296" w:type="dxa"/>
            <w:tcBorders>
              <w:top w:val="nil" w:sz="6" w:space="0" w:color="auto"/>
              <w:left w:val="nil" w:sz="6" w:space="0" w:color="auto"/>
              <w:bottom w:val="nil" w:sz="6" w:space="0" w:color="auto"/>
              <w:right w:val="nil" w:sz="6" w:space="0" w:color="auto"/>
            </w:tcBorders>
          </w:tcPr>
          <w:p>
            <w:pPr/>
          </w:p>
        </w:tc>
      </w:tr>
      <w:tr>
        <w:trPr>
          <w:trHeight w:val="259" w:hRule="exact"/>
        </w:trPr>
        <w:tc>
          <w:tcPr>
            <w:tcW w:w="3403" w:type="dxa"/>
            <w:tcBorders>
              <w:top w:val="nil" w:sz="6" w:space="0" w:color="auto"/>
              <w:left w:val="nil" w:sz="6" w:space="0" w:color="auto"/>
              <w:bottom w:val="nil" w:sz="6" w:space="0" w:color="auto"/>
              <w:right w:val="nil" w:sz="6" w:space="0" w:color="auto"/>
            </w:tcBorders>
          </w:tcPr>
          <w:p>
            <w:pPr>
              <w:pStyle w:val="TableParagraph"/>
              <w:spacing w:line="218" w:lineRule="exact"/>
              <w:ind w:left="200" w:right="0"/>
              <w:jc w:val="left"/>
              <w:rPr>
                <w:rFonts w:ascii="黑体" w:hAnsi="黑体" w:cs="黑体" w:eastAsia="黑体" w:hint="default"/>
                <w:sz w:val="20"/>
                <w:szCs w:val="20"/>
              </w:rPr>
            </w:pPr>
            <w:r>
              <w:rPr>
                <w:rFonts w:ascii="黑体" w:hAnsi="黑体" w:cs="黑体" w:eastAsia="黑体" w:hint="default"/>
                <w:sz w:val="20"/>
                <w:szCs w:val="20"/>
              </w:rPr>
              <w:t>固定资产及无形资产处置损失</w:t>
            </w:r>
          </w:p>
        </w:tc>
        <w:tc>
          <w:tcPr>
            <w:tcW w:w="1321"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Arial" w:hAnsi="Arial" w:cs="Arial" w:eastAsia="Arial" w:hint="default"/>
                <w:sz w:val="20"/>
                <w:szCs w:val="20"/>
              </w:rPr>
            </w:pPr>
            <w:r>
              <w:rPr>
                <w:rFonts w:ascii="Arial"/>
                <w:spacing w:val="-1"/>
                <w:w w:val="95"/>
                <w:sz w:val="20"/>
              </w:rPr>
              <w:t>366,001</w:t>
            </w:r>
            <w:r>
              <w:rPr>
                <w:rFonts w:ascii="Arial"/>
                <w:sz w:val="20"/>
              </w:rPr>
            </w:r>
          </w:p>
        </w:tc>
        <w:tc>
          <w:tcPr>
            <w:tcW w:w="288"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
              <w:jc w:val="right"/>
              <w:rPr>
                <w:rFonts w:ascii="Arial" w:hAnsi="Arial" w:cs="Arial" w:eastAsia="Arial" w:hint="default"/>
                <w:sz w:val="20"/>
                <w:szCs w:val="20"/>
              </w:rPr>
            </w:pPr>
            <w:r>
              <w:rPr>
                <w:rFonts w:ascii="Arial"/>
                <w:spacing w:val="-1"/>
                <w:sz w:val="20"/>
              </w:rPr>
              <w:t>87,473</w:t>
            </w:r>
            <w:r>
              <w:rPr>
                <w:rFonts w:ascii="Arial"/>
                <w:sz w:val="20"/>
              </w:rPr>
            </w:r>
          </w:p>
        </w:tc>
        <w:tc>
          <w:tcPr>
            <w:tcW w:w="296" w:type="dxa"/>
            <w:tcBorders>
              <w:top w:val="nil" w:sz="6" w:space="0" w:color="auto"/>
              <w:left w:val="nil" w:sz="6" w:space="0" w:color="auto"/>
              <w:bottom w:val="nil" w:sz="6" w:space="0" w:color="auto"/>
              <w:right w:val="nil" w:sz="6" w:space="0" w:color="auto"/>
            </w:tcBorders>
          </w:tcPr>
          <w:p>
            <w:pPr/>
          </w:p>
        </w:tc>
      </w:tr>
      <w:tr>
        <w:trPr>
          <w:trHeight w:val="259" w:hRule="exact"/>
        </w:trPr>
        <w:tc>
          <w:tcPr>
            <w:tcW w:w="3403" w:type="dxa"/>
            <w:tcBorders>
              <w:top w:val="nil" w:sz="6" w:space="0" w:color="auto"/>
              <w:left w:val="nil" w:sz="6" w:space="0" w:color="auto"/>
              <w:bottom w:val="nil" w:sz="6" w:space="0" w:color="auto"/>
              <w:right w:val="nil" w:sz="6" w:space="0" w:color="auto"/>
            </w:tcBorders>
          </w:tcPr>
          <w:p>
            <w:pPr>
              <w:pStyle w:val="TableParagraph"/>
              <w:spacing w:line="233" w:lineRule="exact"/>
              <w:ind w:left="200" w:right="0"/>
              <w:jc w:val="left"/>
              <w:rPr>
                <w:rFonts w:ascii="黑体" w:hAnsi="黑体" w:cs="黑体" w:eastAsia="黑体" w:hint="default"/>
                <w:sz w:val="20"/>
                <w:szCs w:val="20"/>
              </w:rPr>
            </w:pPr>
            <w:r>
              <w:rPr>
                <w:rFonts w:ascii="黑体" w:hAnsi="黑体" w:cs="黑体" w:eastAsia="黑体" w:hint="default"/>
                <w:sz w:val="20"/>
                <w:szCs w:val="20"/>
              </w:rPr>
              <w:t>管理费用</w:t>
            </w:r>
            <w:r>
              <w:rPr>
                <w:rFonts w:ascii="Arial" w:hAnsi="Arial" w:cs="Arial" w:eastAsia="Arial" w:hint="default"/>
                <w:sz w:val="20"/>
                <w:szCs w:val="20"/>
              </w:rPr>
              <w:t>-</w:t>
            </w:r>
            <w:r>
              <w:rPr>
                <w:rFonts w:ascii="黑体" w:hAnsi="黑体" w:cs="黑体" w:eastAsia="黑体" w:hint="default"/>
                <w:sz w:val="20"/>
                <w:szCs w:val="20"/>
              </w:rPr>
              <w:t>股权激励成本</w:t>
            </w:r>
          </w:p>
        </w:tc>
        <w:tc>
          <w:tcPr>
            <w:tcW w:w="1321" w:type="dxa"/>
            <w:tcBorders>
              <w:top w:val="nil" w:sz="6" w:space="0" w:color="auto"/>
              <w:left w:val="nil" w:sz="6" w:space="0" w:color="auto"/>
              <w:bottom w:val="nil" w:sz="6" w:space="0" w:color="auto"/>
              <w:right w:val="nil" w:sz="6" w:space="0" w:color="auto"/>
            </w:tcBorders>
          </w:tcPr>
          <w:p>
            <w:pPr>
              <w:pStyle w:val="TableParagraph"/>
              <w:spacing w:line="218" w:lineRule="exact"/>
              <w:ind w:left="85" w:right="0"/>
              <w:jc w:val="center"/>
              <w:rPr>
                <w:rFonts w:ascii="黑体" w:hAnsi="黑体" w:cs="黑体" w:eastAsia="黑体" w:hint="default"/>
                <w:sz w:val="20"/>
                <w:szCs w:val="20"/>
              </w:rPr>
            </w:pPr>
            <w:r>
              <w:rPr>
                <w:rFonts w:ascii="黑体" w:hAnsi="黑体" w:cs="黑体" w:eastAsia="黑体" w:hint="default"/>
                <w:sz w:val="20"/>
                <w:szCs w:val="20"/>
              </w:rPr>
              <w:t>附注七</w:t>
            </w:r>
          </w:p>
        </w:tc>
        <w:tc>
          <w:tcPr>
            <w:tcW w:w="1542" w:type="dxa"/>
            <w:tcBorders>
              <w:top w:val="nil" w:sz="6" w:space="0" w:color="auto"/>
              <w:left w:val="nil" w:sz="6" w:space="0" w:color="auto"/>
              <w:bottom w:val="nil" w:sz="6" w:space="0" w:color="auto"/>
              <w:right w:val="nil" w:sz="6" w:space="0" w:color="auto"/>
            </w:tcBorders>
          </w:tcPr>
          <w:p>
            <w:pPr>
              <w:pStyle w:val="TableParagraph"/>
              <w:tabs>
                <w:tab w:pos="307" w:val="left" w:leader="none"/>
              </w:tabs>
              <w:spacing w:line="240" w:lineRule="auto" w:before="14"/>
              <w:ind w:right="28"/>
              <w:jc w:val="right"/>
              <w:rPr>
                <w:rFonts w:ascii="Arial" w:hAnsi="Arial" w:cs="Arial" w:eastAsia="Arial" w:hint="default"/>
                <w:sz w:val="20"/>
                <w:szCs w:val="20"/>
              </w:rPr>
            </w:pPr>
            <w:r>
              <w:rPr>
                <w:rFonts w:ascii="Arial"/>
                <w:w w:val="95"/>
                <w:sz w:val="20"/>
              </w:rPr>
              <w:t>(</w:t>
              <w:tab/>
            </w:r>
            <w:r>
              <w:rPr>
                <w:rFonts w:ascii="Arial"/>
                <w:spacing w:val="-1"/>
                <w:w w:val="95"/>
                <w:sz w:val="20"/>
              </w:rPr>
              <w:t>8,877,629</w:t>
            </w:r>
            <w:r>
              <w:rPr>
                <w:rFonts w:ascii="Arial"/>
                <w:sz w:val="20"/>
              </w:rPr>
            </w:r>
          </w:p>
        </w:tc>
        <w:tc>
          <w:tcPr>
            <w:tcW w:w="28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7" w:right="0"/>
              <w:jc w:val="left"/>
              <w:rPr>
                <w:rFonts w:ascii="Arial" w:hAnsi="Arial" w:cs="Arial" w:eastAsia="Arial" w:hint="default"/>
                <w:sz w:val="20"/>
                <w:szCs w:val="20"/>
              </w:rPr>
            </w:pPr>
            <w:r>
              <w:rPr>
                <w:rFonts w:ascii="Arial"/>
                <w:w w:val="99"/>
                <w:sz w:val="20"/>
              </w:rPr>
              <w:t>)</w:t>
            </w:r>
            <w:r>
              <w:rPr>
                <w:rFonts w:ascii="Arial"/>
                <w:sz w:val="20"/>
              </w:rPr>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
              <w:jc w:val="right"/>
              <w:rPr>
                <w:rFonts w:ascii="Arial" w:hAnsi="Arial" w:cs="Arial" w:eastAsia="Arial" w:hint="default"/>
                <w:sz w:val="20"/>
                <w:szCs w:val="20"/>
              </w:rPr>
            </w:pPr>
            <w:r>
              <w:rPr>
                <w:rFonts w:ascii="Arial"/>
                <w:spacing w:val="-1"/>
                <w:sz w:val="20"/>
              </w:rPr>
              <w:t>30,999,687</w:t>
            </w:r>
            <w:r>
              <w:rPr>
                <w:rFonts w:ascii="Arial"/>
                <w:sz w:val="20"/>
              </w:rPr>
            </w:r>
          </w:p>
        </w:tc>
        <w:tc>
          <w:tcPr>
            <w:tcW w:w="296" w:type="dxa"/>
            <w:tcBorders>
              <w:top w:val="nil" w:sz="6" w:space="0" w:color="auto"/>
              <w:left w:val="nil" w:sz="6" w:space="0" w:color="auto"/>
              <w:bottom w:val="nil" w:sz="6" w:space="0" w:color="auto"/>
              <w:right w:val="nil" w:sz="6" w:space="0" w:color="auto"/>
            </w:tcBorders>
          </w:tcPr>
          <w:p>
            <w:pPr/>
          </w:p>
        </w:tc>
      </w:tr>
      <w:tr>
        <w:trPr>
          <w:trHeight w:val="259" w:hRule="exact"/>
        </w:trPr>
        <w:tc>
          <w:tcPr>
            <w:tcW w:w="3403" w:type="dxa"/>
            <w:tcBorders>
              <w:top w:val="nil" w:sz="6" w:space="0" w:color="auto"/>
              <w:left w:val="nil" w:sz="6" w:space="0" w:color="auto"/>
              <w:bottom w:val="nil" w:sz="6" w:space="0" w:color="auto"/>
              <w:right w:val="nil" w:sz="6" w:space="0" w:color="auto"/>
            </w:tcBorders>
          </w:tcPr>
          <w:p>
            <w:pPr>
              <w:pStyle w:val="TableParagraph"/>
              <w:spacing w:line="218" w:lineRule="exact"/>
              <w:ind w:left="200" w:right="0"/>
              <w:jc w:val="left"/>
              <w:rPr>
                <w:rFonts w:ascii="黑体" w:hAnsi="黑体" w:cs="黑体" w:eastAsia="黑体" w:hint="default"/>
                <w:sz w:val="20"/>
                <w:szCs w:val="20"/>
              </w:rPr>
            </w:pPr>
            <w:r>
              <w:rPr>
                <w:rFonts w:ascii="黑体" w:hAnsi="黑体" w:cs="黑体" w:eastAsia="黑体" w:hint="default"/>
                <w:sz w:val="20"/>
                <w:szCs w:val="20"/>
              </w:rPr>
              <w:t>财务费用</w:t>
            </w:r>
          </w:p>
        </w:tc>
        <w:tc>
          <w:tcPr>
            <w:tcW w:w="1321"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Arial" w:hAnsi="Arial" w:cs="Arial" w:eastAsia="Arial" w:hint="default"/>
                <w:sz w:val="20"/>
                <w:szCs w:val="20"/>
              </w:rPr>
            </w:pPr>
            <w:r>
              <w:rPr>
                <w:rFonts w:ascii="Arial"/>
                <w:spacing w:val="-1"/>
                <w:sz w:val="20"/>
              </w:rPr>
              <w:t>54,997,015</w:t>
            </w:r>
            <w:r>
              <w:rPr>
                <w:rFonts w:ascii="Arial"/>
                <w:sz w:val="20"/>
              </w:rPr>
            </w:r>
          </w:p>
        </w:tc>
        <w:tc>
          <w:tcPr>
            <w:tcW w:w="288"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
              <w:jc w:val="right"/>
              <w:rPr>
                <w:rFonts w:ascii="Arial" w:hAnsi="Arial" w:cs="Arial" w:eastAsia="Arial" w:hint="default"/>
                <w:sz w:val="20"/>
                <w:szCs w:val="20"/>
              </w:rPr>
            </w:pPr>
            <w:r>
              <w:rPr>
                <w:rFonts w:ascii="Arial"/>
                <w:spacing w:val="-1"/>
                <w:sz w:val="20"/>
              </w:rPr>
              <w:t>30,871,028</w:t>
            </w:r>
            <w:r>
              <w:rPr>
                <w:rFonts w:ascii="Arial"/>
                <w:sz w:val="20"/>
              </w:rPr>
            </w:r>
          </w:p>
        </w:tc>
        <w:tc>
          <w:tcPr>
            <w:tcW w:w="296" w:type="dxa"/>
            <w:tcBorders>
              <w:top w:val="nil" w:sz="6" w:space="0" w:color="auto"/>
              <w:left w:val="nil" w:sz="6" w:space="0" w:color="auto"/>
              <w:bottom w:val="nil" w:sz="6" w:space="0" w:color="auto"/>
              <w:right w:val="nil" w:sz="6" w:space="0" w:color="auto"/>
            </w:tcBorders>
          </w:tcPr>
          <w:p>
            <w:pPr/>
          </w:p>
        </w:tc>
      </w:tr>
      <w:tr>
        <w:trPr>
          <w:trHeight w:val="259" w:hRule="exact"/>
        </w:trPr>
        <w:tc>
          <w:tcPr>
            <w:tcW w:w="3403" w:type="dxa"/>
            <w:tcBorders>
              <w:top w:val="nil" w:sz="6" w:space="0" w:color="auto"/>
              <w:left w:val="nil" w:sz="6" w:space="0" w:color="auto"/>
              <w:bottom w:val="nil" w:sz="6" w:space="0" w:color="auto"/>
              <w:right w:val="nil" w:sz="6" w:space="0" w:color="auto"/>
            </w:tcBorders>
          </w:tcPr>
          <w:p>
            <w:pPr>
              <w:pStyle w:val="TableParagraph"/>
              <w:spacing w:line="218" w:lineRule="exact"/>
              <w:ind w:left="200" w:right="0"/>
              <w:jc w:val="left"/>
              <w:rPr>
                <w:rFonts w:ascii="黑体" w:hAnsi="黑体" w:cs="黑体" w:eastAsia="黑体" w:hint="default"/>
                <w:sz w:val="20"/>
                <w:szCs w:val="20"/>
              </w:rPr>
            </w:pPr>
            <w:r>
              <w:rPr>
                <w:rFonts w:ascii="黑体" w:hAnsi="黑体" w:cs="黑体" w:eastAsia="黑体" w:hint="default"/>
                <w:sz w:val="20"/>
                <w:szCs w:val="20"/>
              </w:rPr>
              <w:t>投资收益</w:t>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82" w:right="0"/>
              <w:jc w:val="center"/>
              <w:rPr>
                <w:rFonts w:ascii="Arial" w:hAnsi="Arial" w:cs="Arial" w:eastAsia="Arial" w:hint="default"/>
                <w:sz w:val="20"/>
                <w:szCs w:val="20"/>
              </w:rPr>
            </w:pPr>
            <w:r>
              <w:rPr>
                <w:rFonts w:ascii="Arial"/>
                <w:sz w:val="20"/>
              </w:rPr>
              <w:t>41</w:t>
            </w:r>
          </w:p>
        </w:tc>
        <w:tc>
          <w:tcPr>
            <w:tcW w:w="1542" w:type="dxa"/>
            <w:tcBorders>
              <w:top w:val="nil" w:sz="6" w:space="0" w:color="auto"/>
              <w:left w:val="nil" w:sz="6" w:space="0" w:color="auto"/>
              <w:bottom w:val="nil" w:sz="6" w:space="0" w:color="auto"/>
              <w:right w:val="nil" w:sz="6" w:space="0" w:color="auto"/>
            </w:tcBorders>
          </w:tcPr>
          <w:p>
            <w:pPr>
              <w:pStyle w:val="TableParagraph"/>
              <w:tabs>
                <w:tab w:pos="307" w:val="left" w:leader="none"/>
              </w:tabs>
              <w:spacing w:line="240" w:lineRule="auto" w:before="14"/>
              <w:ind w:right="28"/>
              <w:jc w:val="right"/>
              <w:rPr>
                <w:rFonts w:ascii="Arial" w:hAnsi="Arial" w:cs="Arial" w:eastAsia="Arial" w:hint="default"/>
                <w:sz w:val="20"/>
                <w:szCs w:val="20"/>
              </w:rPr>
            </w:pPr>
            <w:r>
              <w:rPr>
                <w:rFonts w:ascii="Arial"/>
                <w:w w:val="95"/>
                <w:sz w:val="20"/>
              </w:rPr>
              <w:t>(</w:t>
              <w:tab/>
            </w:r>
            <w:r>
              <w:rPr>
                <w:rFonts w:ascii="Arial"/>
                <w:spacing w:val="-1"/>
                <w:w w:val="95"/>
                <w:sz w:val="20"/>
              </w:rPr>
              <w:t>5,604,098</w:t>
            </w:r>
            <w:r>
              <w:rPr>
                <w:rFonts w:ascii="Arial"/>
                <w:sz w:val="20"/>
              </w:rPr>
            </w:r>
          </w:p>
        </w:tc>
        <w:tc>
          <w:tcPr>
            <w:tcW w:w="28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7" w:right="0"/>
              <w:jc w:val="left"/>
              <w:rPr>
                <w:rFonts w:ascii="Arial" w:hAnsi="Arial" w:cs="Arial" w:eastAsia="Arial" w:hint="default"/>
                <w:sz w:val="20"/>
                <w:szCs w:val="20"/>
              </w:rPr>
            </w:pPr>
            <w:r>
              <w:rPr>
                <w:rFonts w:ascii="Arial"/>
                <w:w w:val="99"/>
                <w:sz w:val="20"/>
              </w:rPr>
              <w:t>)</w:t>
            </w:r>
            <w:r>
              <w:rPr>
                <w:rFonts w:ascii="Arial"/>
                <w:sz w:val="20"/>
              </w:rPr>
            </w:r>
          </w:p>
        </w:tc>
        <w:tc>
          <w:tcPr>
            <w:tcW w:w="1412" w:type="dxa"/>
            <w:tcBorders>
              <w:top w:val="nil" w:sz="6" w:space="0" w:color="auto"/>
              <w:left w:val="nil" w:sz="6" w:space="0" w:color="auto"/>
              <w:bottom w:val="nil" w:sz="6" w:space="0" w:color="auto"/>
              <w:right w:val="nil" w:sz="6" w:space="0" w:color="auto"/>
            </w:tcBorders>
          </w:tcPr>
          <w:p>
            <w:pPr>
              <w:pStyle w:val="TableParagraph"/>
              <w:tabs>
                <w:tab w:pos="268" w:val="left" w:leader="none"/>
              </w:tabs>
              <w:spacing w:line="240" w:lineRule="auto" w:before="14"/>
              <w:ind w:right="28"/>
              <w:jc w:val="right"/>
              <w:rPr>
                <w:rFonts w:ascii="Arial" w:hAnsi="Arial" w:cs="Arial" w:eastAsia="Arial" w:hint="default"/>
                <w:sz w:val="20"/>
                <w:szCs w:val="20"/>
              </w:rPr>
            </w:pPr>
            <w:r>
              <w:rPr>
                <w:rFonts w:ascii="Arial"/>
                <w:w w:val="95"/>
                <w:sz w:val="20"/>
              </w:rPr>
              <w:t>(</w:t>
              <w:tab/>
            </w:r>
            <w:r>
              <w:rPr>
                <w:rFonts w:ascii="Arial"/>
                <w:spacing w:val="-1"/>
                <w:sz w:val="20"/>
              </w:rPr>
              <w:t>7,678,097</w:t>
            </w:r>
          </w:p>
        </w:tc>
        <w:tc>
          <w:tcPr>
            <w:tcW w:w="29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9" w:right="0"/>
              <w:jc w:val="left"/>
              <w:rPr>
                <w:rFonts w:ascii="Arial" w:hAnsi="Arial" w:cs="Arial" w:eastAsia="Arial" w:hint="default"/>
                <w:sz w:val="20"/>
                <w:szCs w:val="20"/>
              </w:rPr>
            </w:pPr>
            <w:r>
              <w:rPr>
                <w:rFonts w:ascii="Arial"/>
                <w:w w:val="99"/>
                <w:sz w:val="20"/>
              </w:rPr>
              <w:t>)</w:t>
            </w:r>
            <w:r>
              <w:rPr>
                <w:rFonts w:ascii="Arial"/>
                <w:sz w:val="20"/>
              </w:rPr>
            </w:r>
          </w:p>
        </w:tc>
      </w:tr>
      <w:tr>
        <w:trPr>
          <w:trHeight w:val="259" w:hRule="exact"/>
        </w:trPr>
        <w:tc>
          <w:tcPr>
            <w:tcW w:w="3403" w:type="dxa"/>
            <w:tcBorders>
              <w:top w:val="nil" w:sz="6" w:space="0" w:color="auto"/>
              <w:left w:val="nil" w:sz="6" w:space="0" w:color="auto"/>
              <w:bottom w:val="nil" w:sz="6" w:space="0" w:color="auto"/>
              <w:right w:val="nil" w:sz="6" w:space="0" w:color="auto"/>
            </w:tcBorders>
          </w:tcPr>
          <w:p>
            <w:pPr>
              <w:pStyle w:val="TableParagraph"/>
              <w:spacing w:line="218" w:lineRule="exact"/>
              <w:ind w:left="200" w:right="0"/>
              <w:jc w:val="left"/>
              <w:rPr>
                <w:rFonts w:ascii="黑体" w:hAnsi="黑体" w:cs="黑体" w:eastAsia="黑体" w:hint="default"/>
                <w:sz w:val="20"/>
                <w:szCs w:val="20"/>
              </w:rPr>
            </w:pPr>
            <w:r>
              <w:rPr>
                <w:rFonts w:ascii="黑体" w:hAnsi="黑体" w:cs="黑体" w:eastAsia="黑体" w:hint="default"/>
                <w:sz w:val="20"/>
                <w:szCs w:val="20"/>
              </w:rPr>
              <w:t>递延所得税资产的减少（增加）</w:t>
            </w:r>
          </w:p>
        </w:tc>
        <w:tc>
          <w:tcPr>
            <w:tcW w:w="1321"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Style w:val="TableParagraph"/>
              <w:tabs>
                <w:tab w:pos="316" w:val="left" w:leader="none"/>
              </w:tabs>
              <w:spacing w:line="240" w:lineRule="auto" w:before="14"/>
              <w:ind w:right="28"/>
              <w:jc w:val="right"/>
              <w:rPr>
                <w:rFonts w:ascii="Arial" w:hAnsi="Arial" w:cs="Arial" w:eastAsia="Arial" w:hint="default"/>
                <w:sz w:val="20"/>
                <w:szCs w:val="20"/>
              </w:rPr>
            </w:pPr>
            <w:r>
              <w:rPr>
                <w:rFonts w:ascii="Arial"/>
                <w:w w:val="95"/>
                <w:sz w:val="20"/>
              </w:rPr>
              <w:t>(</w:t>
              <w:tab/>
            </w:r>
            <w:r>
              <w:rPr>
                <w:rFonts w:ascii="Arial"/>
                <w:spacing w:val="-1"/>
                <w:w w:val="95"/>
                <w:sz w:val="20"/>
              </w:rPr>
              <w:t>3,988,945</w:t>
            </w:r>
            <w:r>
              <w:rPr>
                <w:rFonts w:ascii="Arial"/>
                <w:sz w:val="20"/>
              </w:rPr>
            </w:r>
          </w:p>
        </w:tc>
        <w:tc>
          <w:tcPr>
            <w:tcW w:w="28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7" w:right="0"/>
              <w:jc w:val="left"/>
              <w:rPr>
                <w:rFonts w:ascii="Arial" w:hAnsi="Arial" w:cs="Arial" w:eastAsia="Arial" w:hint="default"/>
                <w:sz w:val="20"/>
                <w:szCs w:val="20"/>
              </w:rPr>
            </w:pPr>
            <w:r>
              <w:rPr>
                <w:rFonts w:ascii="Arial"/>
                <w:w w:val="99"/>
                <w:sz w:val="20"/>
              </w:rPr>
              <w:t>)</w:t>
            </w:r>
            <w:r>
              <w:rPr>
                <w:rFonts w:ascii="Arial"/>
                <w:sz w:val="20"/>
              </w:rPr>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
              <w:jc w:val="right"/>
              <w:rPr>
                <w:rFonts w:ascii="Arial" w:hAnsi="Arial" w:cs="Arial" w:eastAsia="Arial" w:hint="default"/>
                <w:sz w:val="20"/>
                <w:szCs w:val="20"/>
              </w:rPr>
            </w:pPr>
            <w:r>
              <w:rPr>
                <w:rFonts w:ascii="Arial"/>
                <w:sz w:val="20"/>
              </w:rPr>
              <w:t>(</w:t>
            </w:r>
            <w:r>
              <w:rPr>
                <w:rFonts w:ascii="Arial"/>
                <w:spacing w:val="48"/>
                <w:sz w:val="20"/>
              </w:rPr>
              <w:t> </w:t>
            </w:r>
            <w:r>
              <w:rPr>
                <w:rFonts w:ascii="Arial"/>
                <w:sz w:val="20"/>
              </w:rPr>
              <w:t>18,831,939</w:t>
            </w:r>
          </w:p>
        </w:tc>
        <w:tc>
          <w:tcPr>
            <w:tcW w:w="29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9" w:right="0"/>
              <w:jc w:val="left"/>
              <w:rPr>
                <w:rFonts w:ascii="Arial" w:hAnsi="Arial" w:cs="Arial" w:eastAsia="Arial" w:hint="default"/>
                <w:sz w:val="20"/>
                <w:szCs w:val="20"/>
              </w:rPr>
            </w:pPr>
            <w:r>
              <w:rPr>
                <w:rFonts w:ascii="Arial"/>
                <w:w w:val="99"/>
                <w:sz w:val="20"/>
              </w:rPr>
              <w:t>)</w:t>
            </w:r>
            <w:r>
              <w:rPr>
                <w:rFonts w:ascii="Arial"/>
                <w:sz w:val="20"/>
              </w:rPr>
            </w:r>
          </w:p>
        </w:tc>
      </w:tr>
      <w:tr>
        <w:trPr>
          <w:trHeight w:val="259" w:hRule="exact"/>
        </w:trPr>
        <w:tc>
          <w:tcPr>
            <w:tcW w:w="3403" w:type="dxa"/>
            <w:tcBorders>
              <w:top w:val="nil" w:sz="6" w:space="0" w:color="auto"/>
              <w:left w:val="nil" w:sz="6" w:space="0" w:color="auto"/>
              <w:bottom w:val="nil" w:sz="6" w:space="0" w:color="auto"/>
              <w:right w:val="nil" w:sz="6" w:space="0" w:color="auto"/>
            </w:tcBorders>
          </w:tcPr>
          <w:p>
            <w:pPr>
              <w:pStyle w:val="TableParagraph"/>
              <w:spacing w:line="218" w:lineRule="exact"/>
              <w:ind w:left="200" w:right="0"/>
              <w:jc w:val="left"/>
              <w:rPr>
                <w:rFonts w:ascii="黑体" w:hAnsi="黑体" w:cs="黑体" w:eastAsia="黑体" w:hint="default"/>
                <w:sz w:val="20"/>
                <w:szCs w:val="20"/>
              </w:rPr>
            </w:pPr>
            <w:r>
              <w:rPr>
                <w:rFonts w:ascii="黑体" w:hAnsi="黑体" w:cs="黑体" w:eastAsia="黑体" w:hint="default"/>
                <w:sz w:val="20"/>
                <w:szCs w:val="20"/>
              </w:rPr>
              <w:t>递延所得税负债的增加（减少）</w:t>
            </w:r>
          </w:p>
        </w:tc>
        <w:tc>
          <w:tcPr>
            <w:tcW w:w="1321"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Style w:val="TableParagraph"/>
              <w:tabs>
                <w:tab w:pos="487" w:val="left" w:leader="none"/>
              </w:tabs>
              <w:spacing w:line="240" w:lineRule="auto" w:before="14"/>
              <w:ind w:right="27"/>
              <w:jc w:val="right"/>
              <w:rPr>
                <w:rFonts w:ascii="Arial" w:hAnsi="Arial" w:cs="Arial" w:eastAsia="Arial" w:hint="default"/>
                <w:sz w:val="20"/>
                <w:szCs w:val="20"/>
              </w:rPr>
            </w:pPr>
            <w:r>
              <w:rPr>
                <w:rFonts w:ascii="Arial"/>
                <w:w w:val="95"/>
                <w:sz w:val="20"/>
              </w:rPr>
              <w:t>(</w:t>
              <w:tab/>
            </w:r>
            <w:r>
              <w:rPr>
                <w:rFonts w:ascii="Arial"/>
                <w:spacing w:val="-1"/>
                <w:sz w:val="20"/>
              </w:rPr>
              <w:t>479,881</w:t>
            </w:r>
          </w:p>
        </w:tc>
        <w:tc>
          <w:tcPr>
            <w:tcW w:w="28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7" w:right="0"/>
              <w:jc w:val="left"/>
              <w:rPr>
                <w:rFonts w:ascii="Arial" w:hAnsi="Arial" w:cs="Arial" w:eastAsia="Arial" w:hint="default"/>
                <w:sz w:val="20"/>
                <w:szCs w:val="20"/>
              </w:rPr>
            </w:pPr>
            <w:r>
              <w:rPr>
                <w:rFonts w:ascii="Arial"/>
                <w:w w:val="99"/>
                <w:sz w:val="20"/>
              </w:rPr>
              <w:t>)</w:t>
            </w:r>
            <w:r>
              <w:rPr>
                <w:rFonts w:ascii="Arial"/>
                <w:sz w:val="20"/>
              </w:rPr>
            </w:r>
          </w:p>
        </w:tc>
        <w:tc>
          <w:tcPr>
            <w:tcW w:w="1412" w:type="dxa"/>
            <w:tcBorders>
              <w:top w:val="nil" w:sz="6" w:space="0" w:color="auto"/>
              <w:left w:val="nil" w:sz="6" w:space="0" w:color="auto"/>
              <w:bottom w:val="nil" w:sz="6" w:space="0" w:color="auto"/>
              <w:right w:val="nil" w:sz="6" w:space="0" w:color="auto"/>
            </w:tcBorders>
          </w:tcPr>
          <w:p>
            <w:pPr>
              <w:pStyle w:val="TableParagraph"/>
              <w:tabs>
                <w:tab w:pos="467" w:val="left" w:leader="none"/>
              </w:tabs>
              <w:spacing w:line="240" w:lineRule="auto" w:before="14"/>
              <w:ind w:right="29"/>
              <w:jc w:val="right"/>
              <w:rPr>
                <w:rFonts w:ascii="Arial" w:hAnsi="Arial" w:cs="Arial" w:eastAsia="Arial" w:hint="default"/>
                <w:sz w:val="20"/>
                <w:szCs w:val="20"/>
              </w:rPr>
            </w:pPr>
            <w:r>
              <w:rPr>
                <w:rFonts w:ascii="Arial"/>
                <w:w w:val="95"/>
                <w:sz w:val="20"/>
              </w:rPr>
              <w:t>(</w:t>
              <w:tab/>
            </w:r>
            <w:r>
              <w:rPr>
                <w:rFonts w:ascii="Arial"/>
                <w:spacing w:val="-1"/>
                <w:sz w:val="20"/>
              </w:rPr>
              <w:t>525,046</w:t>
            </w:r>
          </w:p>
        </w:tc>
        <w:tc>
          <w:tcPr>
            <w:tcW w:w="29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9" w:right="0"/>
              <w:jc w:val="left"/>
              <w:rPr>
                <w:rFonts w:ascii="Arial" w:hAnsi="Arial" w:cs="Arial" w:eastAsia="Arial" w:hint="default"/>
                <w:sz w:val="20"/>
                <w:szCs w:val="20"/>
              </w:rPr>
            </w:pPr>
            <w:r>
              <w:rPr>
                <w:rFonts w:ascii="Arial"/>
                <w:w w:val="99"/>
                <w:sz w:val="20"/>
              </w:rPr>
              <w:t>)</w:t>
            </w:r>
            <w:r>
              <w:rPr>
                <w:rFonts w:ascii="Arial"/>
                <w:sz w:val="20"/>
              </w:rPr>
            </w:r>
          </w:p>
        </w:tc>
      </w:tr>
      <w:tr>
        <w:trPr>
          <w:trHeight w:val="260" w:hRule="exact"/>
        </w:trPr>
        <w:tc>
          <w:tcPr>
            <w:tcW w:w="3403" w:type="dxa"/>
            <w:tcBorders>
              <w:top w:val="nil" w:sz="6" w:space="0" w:color="auto"/>
              <w:left w:val="nil" w:sz="6" w:space="0" w:color="auto"/>
              <w:bottom w:val="nil" w:sz="6" w:space="0" w:color="auto"/>
              <w:right w:val="nil" w:sz="6" w:space="0" w:color="auto"/>
            </w:tcBorders>
          </w:tcPr>
          <w:p>
            <w:pPr>
              <w:pStyle w:val="TableParagraph"/>
              <w:spacing w:line="218" w:lineRule="exact"/>
              <w:ind w:left="200" w:right="0"/>
              <w:jc w:val="left"/>
              <w:rPr>
                <w:rFonts w:ascii="黑体" w:hAnsi="黑体" w:cs="黑体" w:eastAsia="黑体" w:hint="default"/>
                <w:sz w:val="20"/>
                <w:szCs w:val="20"/>
              </w:rPr>
            </w:pPr>
            <w:r>
              <w:rPr>
                <w:rFonts w:ascii="黑体" w:hAnsi="黑体" w:cs="黑体" w:eastAsia="黑体" w:hint="default"/>
                <w:sz w:val="20"/>
                <w:szCs w:val="20"/>
              </w:rPr>
              <w:t>存货的减少（增加）</w:t>
            </w:r>
          </w:p>
        </w:tc>
        <w:tc>
          <w:tcPr>
            <w:tcW w:w="1321"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7"/>
              <w:jc w:val="right"/>
              <w:rPr>
                <w:rFonts w:ascii="Arial" w:hAnsi="Arial" w:cs="Arial" w:eastAsia="Arial" w:hint="default"/>
                <w:sz w:val="20"/>
                <w:szCs w:val="20"/>
              </w:rPr>
            </w:pPr>
            <w:r>
              <w:rPr>
                <w:rFonts w:ascii="Arial"/>
                <w:spacing w:val="-1"/>
                <w:sz w:val="20"/>
              </w:rPr>
              <w:t>3,092,421</w:t>
            </w:r>
          </w:p>
        </w:tc>
        <w:tc>
          <w:tcPr>
            <w:tcW w:w="288"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Style w:val="TableParagraph"/>
              <w:tabs>
                <w:tab w:pos="287" w:val="left" w:leader="none"/>
              </w:tabs>
              <w:spacing w:line="240" w:lineRule="auto" w:before="17"/>
              <w:ind w:right="28"/>
              <w:jc w:val="right"/>
              <w:rPr>
                <w:rFonts w:ascii="Arial" w:hAnsi="Arial" w:cs="Arial" w:eastAsia="Arial" w:hint="default"/>
                <w:sz w:val="20"/>
                <w:szCs w:val="20"/>
              </w:rPr>
            </w:pPr>
            <w:r>
              <w:rPr>
                <w:rFonts w:ascii="Arial"/>
                <w:w w:val="95"/>
                <w:sz w:val="20"/>
              </w:rPr>
              <w:t>(</w:t>
              <w:tab/>
            </w:r>
            <w:r>
              <w:rPr>
                <w:rFonts w:ascii="Arial"/>
                <w:spacing w:val="-1"/>
                <w:w w:val="95"/>
                <w:sz w:val="20"/>
              </w:rPr>
              <w:t>3,429,273</w:t>
            </w:r>
            <w:r>
              <w:rPr>
                <w:rFonts w:ascii="Arial"/>
                <w:sz w:val="20"/>
              </w:rPr>
            </w:r>
          </w:p>
        </w:tc>
        <w:tc>
          <w:tcPr>
            <w:tcW w:w="296"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9" w:right="0"/>
              <w:jc w:val="left"/>
              <w:rPr>
                <w:rFonts w:ascii="Arial" w:hAnsi="Arial" w:cs="Arial" w:eastAsia="Arial" w:hint="default"/>
                <w:sz w:val="20"/>
                <w:szCs w:val="20"/>
              </w:rPr>
            </w:pPr>
            <w:r>
              <w:rPr>
                <w:rFonts w:ascii="Arial"/>
                <w:w w:val="99"/>
                <w:sz w:val="20"/>
              </w:rPr>
              <w:t>)</w:t>
            </w:r>
            <w:r>
              <w:rPr>
                <w:rFonts w:ascii="Arial"/>
                <w:sz w:val="20"/>
              </w:rPr>
            </w:r>
          </w:p>
        </w:tc>
      </w:tr>
      <w:tr>
        <w:trPr>
          <w:trHeight w:val="259" w:hRule="exact"/>
        </w:trPr>
        <w:tc>
          <w:tcPr>
            <w:tcW w:w="3403" w:type="dxa"/>
            <w:tcBorders>
              <w:top w:val="nil" w:sz="6" w:space="0" w:color="auto"/>
              <w:left w:val="nil" w:sz="6" w:space="0" w:color="auto"/>
              <w:bottom w:val="nil" w:sz="6" w:space="0" w:color="auto"/>
              <w:right w:val="nil" w:sz="6" w:space="0" w:color="auto"/>
            </w:tcBorders>
          </w:tcPr>
          <w:p>
            <w:pPr>
              <w:pStyle w:val="TableParagraph"/>
              <w:spacing w:line="217" w:lineRule="exact"/>
              <w:ind w:left="200" w:right="0"/>
              <w:jc w:val="left"/>
              <w:rPr>
                <w:rFonts w:ascii="黑体" w:hAnsi="黑体" w:cs="黑体" w:eastAsia="黑体" w:hint="default"/>
                <w:sz w:val="20"/>
                <w:szCs w:val="20"/>
              </w:rPr>
            </w:pPr>
            <w:r>
              <w:rPr>
                <w:rFonts w:ascii="黑体" w:hAnsi="黑体" w:cs="黑体" w:eastAsia="黑体" w:hint="default"/>
                <w:sz w:val="20"/>
                <w:szCs w:val="20"/>
              </w:rPr>
              <w:t>经营性应收项目的减少（增加）</w:t>
            </w:r>
          </w:p>
        </w:tc>
        <w:tc>
          <w:tcPr>
            <w:tcW w:w="1321"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7"/>
              <w:jc w:val="right"/>
              <w:rPr>
                <w:rFonts w:ascii="Arial" w:hAnsi="Arial" w:cs="Arial" w:eastAsia="Arial" w:hint="default"/>
                <w:sz w:val="20"/>
                <w:szCs w:val="20"/>
              </w:rPr>
            </w:pPr>
            <w:r>
              <w:rPr>
                <w:rFonts w:ascii="Arial"/>
                <w:spacing w:val="-1"/>
                <w:sz w:val="20"/>
              </w:rPr>
              <w:t>(195,753,933</w:t>
            </w:r>
          </w:p>
        </w:tc>
        <w:tc>
          <w:tcPr>
            <w:tcW w:w="28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7" w:right="0"/>
              <w:jc w:val="left"/>
              <w:rPr>
                <w:rFonts w:ascii="Arial" w:hAnsi="Arial" w:cs="Arial" w:eastAsia="Arial" w:hint="default"/>
                <w:sz w:val="20"/>
                <w:szCs w:val="20"/>
              </w:rPr>
            </w:pPr>
            <w:r>
              <w:rPr>
                <w:rFonts w:ascii="Arial"/>
                <w:w w:val="99"/>
                <w:sz w:val="20"/>
              </w:rPr>
              <w:t>)</w:t>
            </w:r>
            <w:r>
              <w:rPr>
                <w:rFonts w:ascii="Arial"/>
                <w:sz w:val="20"/>
              </w:rPr>
            </w: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8"/>
              <w:jc w:val="right"/>
              <w:rPr>
                <w:rFonts w:ascii="Arial" w:hAnsi="Arial" w:cs="Arial" w:eastAsia="Arial" w:hint="default"/>
                <w:sz w:val="20"/>
                <w:szCs w:val="20"/>
              </w:rPr>
            </w:pPr>
            <w:r>
              <w:rPr>
                <w:rFonts w:ascii="Arial"/>
                <w:spacing w:val="-1"/>
                <w:sz w:val="20"/>
              </w:rPr>
              <w:t>(445,783,153</w:t>
            </w:r>
            <w:r>
              <w:rPr>
                <w:rFonts w:ascii="Arial"/>
                <w:sz w:val="20"/>
              </w:rPr>
            </w:r>
          </w:p>
        </w:tc>
        <w:tc>
          <w:tcPr>
            <w:tcW w:w="29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9" w:right="0"/>
              <w:jc w:val="left"/>
              <w:rPr>
                <w:rFonts w:ascii="Arial" w:hAnsi="Arial" w:cs="Arial" w:eastAsia="Arial" w:hint="default"/>
                <w:sz w:val="20"/>
                <w:szCs w:val="20"/>
              </w:rPr>
            </w:pPr>
            <w:r>
              <w:rPr>
                <w:rFonts w:ascii="Arial"/>
                <w:w w:val="99"/>
                <w:sz w:val="20"/>
              </w:rPr>
              <w:t>)</w:t>
            </w:r>
            <w:r>
              <w:rPr>
                <w:rFonts w:ascii="Arial"/>
                <w:sz w:val="20"/>
              </w:rPr>
            </w:r>
          </w:p>
        </w:tc>
      </w:tr>
      <w:tr>
        <w:trPr>
          <w:trHeight w:val="374" w:hRule="exact"/>
        </w:trPr>
        <w:tc>
          <w:tcPr>
            <w:tcW w:w="3403" w:type="dxa"/>
            <w:tcBorders>
              <w:top w:val="nil" w:sz="6" w:space="0" w:color="auto"/>
              <w:left w:val="nil" w:sz="6" w:space="0" w:color="auto"/>
              <w:bottom w:val="nil" w:sz="6" w:space="0" w:color="auto"/>
              <w:right w:val="nil" w:sz="6" w:space="0" w:color="auto"/>
            </w:tcBorders>
          </w:tcPr>
          <w:p>
            <w:pPr>
              <w:pStyle w:val="TableParagraph"/>
              <w:spacing w:line="217" w:lineRule="exact"/>
              <w:ind w:left="200" w:right="0"/>
              <w:jc w:val="left"/>
              <w:rPr>
                <w:rFonts w:ascii="黑体" w:hAnsi="黑体" w:cs="黑体" w:eastAsia="黑体" w:hint="default"/>
                <w:sz w:val="20"/>
                <w:szCs w:val="20"/>
              </w:rPr>
            </w:pPr>
            <w:r>
              <w:rPr>
                <w:rFonts w:ascii="黑体" w:hAnsi="黑体" w:cs="黑体" w:eastAsia="黑体" w:hint="default"/>
                <w:sz w:val="20"/>
                <w:szCs w:val="20"/>
              </w:rPr>
              <w:t>经营性应付项目的增加（减少）</w:t>
            </w:r>
          </w:p>
        </w:tc>
        <w:tc>
          <w:tcPr>
            <w:tcW w:w="1321"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9"/>
                <w:sz w:val="20"/>
                <w:u w:val="single" w:color="000000"/>
              </w:rPr>
              <w:t> </w:t>
            </w:r>
            <w:r>
              <w:rPr>
                <w:rFonts w:ascii="Arial"/>
                <w:spacing w:val="-1"/>
                <w:sz w:val="20"/>
                <w:u w:val="single" w:color="000000"/>
              </w:rPr>
              <w:t>90,435,445</w:t>
            </w:r>
            <w:r>
              <w:rPr>
                <w:rFonts w:ascii="Arial"/>
                <w:spacing w:val="-1"/>
                <w:sz w:val="20"/>
              </w:rPr>
            </w:r>
            <w:r>
              <w:rPr>
                <w:rFonts w:ascii="Arial"/>
                <w:sz w:val="20"/>
              </w:rPr>
            </w:r>
          </w:p>
        </w:tc>
        <w:tc>
          <w:tcPr>
            <w:tcW w:w="288"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8"/>
              <w:jc w:val="right"/>
              <w:rPr>
                <w:rFonts w:ascii="Arial" w:hAnsi="Arial" w:cs="Arial" w:eastAsia="Arial" w:hint="default"/>
                <w:sz w:val="20"/>
                <w:szCs w:val="20"/>
              </w:rPr>
            </w:pPr>
            <w:r>
              <w:rPr>
                <w:rFonts w:ascii="Arial"/>
                <w:w w:val="99"/>
                <w:sz w:val="20"/>
              </w:rPr>
            </w:r>
            <w:r>
              <w:rPr>
                <w:rFonts w:ascii="Arial"/>
                <w:spacing w:val="-1"/>
                <w:sz w:val="20"/>
                <w:u w:val="single" w:color="000000"/>
              </w:rPr>
              <w:t>187,897,315</w:t>
            </w:r>
            <w:r>
              <w:rPr>
                <w:rFonts w:ascii="Arial"/>
                <w:spacing w:val="-1"/>
                <w:sz w:val="20"/>
              </w:rPr>
            </w:r>
            <w:r>
              <w:rPr>
                <w:rFonts w:ascii="Arial"/>
                <w:sz w:val="20"/>
              </w:rPr>
            </w:r>
          </w:p>
        </w:tc>
        <w:tc>
          <w:tcPr>
            <w:tcW w:w="296" w:type="dxa"/>
            <w:tcBorders>
              <w:top w:val="nil" w:sz="6" w:space="0" w:color="auto"/>
              <w:left w:val="nil" w:sz="6" w:space="0" w:color="auto"/>
              <w:bottom w:val="nil" w:sz="6" w:space="0" w:color="auto"/>
              <w:right w:val="nil" w:sz="6" w:space="0" w:color="auto"/>
            </w:tcBorders>
          </w:tcPr>
          <w:p>
            <w:pPr/>
          </w:p>
        </w:tc>
      </w:tr>
      <w:tr>
        <w:trPr>
          <w:trHeight w:val="356" w:hRule="exact"/>
        </w:trPr>
        <w:tc>
          <w:tcPr>
            <w:tcW w:w="3403"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00" w:right="0"/>
              <w:jc w:val="left"/>
              <w:rPr>
                <w:rFonts w:ascii="黑体" w:hAnsi="黑体" w:cs="黑体" w:eastAsia="黑体" w:hint="default"/>
                <w:sz w:val="20"/>
                <w:szCs w:val="20"/>
              </w:rPr>
            </w:pPr>
            <w:r>
              <w:rPr>
                <w:rFonts w:ascii="黑体" w:hAnsi="黑体" w:cs="黑体" w:eastAsia="黑体" w:hint="default"/>
                <w:sz w:val="20"/>
                <w:szCs w:val="20"/>
              </w:rPr>
              <w:t>经营活动产生的现金流量净额</w:t>
            </w:r>
          </w:p>
        </w:tc>
        <w:tc>
          <w:tcPr>
            <w:tcW w:w="1321"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8"/>
              <w:jc w:val="right"/>
              <w:rPr>
                <w:rFonts w:ascii="Arial" w:hAnsi="Arial" w:cs="Arial" w:eastAsia="Arial" w:hint="default"/>
                <w:sz w:val="20"/>
                <w:szCs w:val="20"/>
              </w:rPr>
            </w:pPr>
            <w:r>
              <w:rPr>
                <w:rFonts w:ascii="Arial"/>
                <w:w w:val="99"/>
                <w:sz w:val="20"/>
              </w:rPr>
            </w:r>
            <w:r>
              <w:rPr>
                <w:rFonts w:ascii="Arial"/>
                <w:spacing w:val="-1"/>
                <w:sz w:val="20"/>
                <w:u w:val="thick" w:color="000000"/>
              </w:rPr>
              <w:t>498,651,913</w:t>
            </w:r>
            <w:r>
              <w:rPr>
                <w:rFonts w:ascii="Arial"/>
                <w:spacing w:val="-1"/>
                <w:sz w:val="20"/>
              </w:rPr>
            </w:r>
            <w:r>
              <w:rPr>
                <w:rFonts w:ascii="Arial"/>
                <w:sz w:val="20"/>
              </w:rPr>
            </w:r>
          </w:p>
        </w:tc>
        <w:tc>
          <w:tcPr>
            <w:tcW w:w="288"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28"/>
              <w:jc w:val="right"/>
              <w:rPr>
                <w:rFonts w:ascii="Arial" w:hAnsi="Arial" w:cs="Arial" w:eastAsia="Arial" w:hint="default"/>
                <w:sz w:val="20"/>
                <w:szCs w:val="20"/>
              </w:rPr>
            </w:pPr>
            <w:r>
              <w:rPr>
                <w:rFonts w:ascii="Arial"/>
                <w:w w:val="99"/>
                <w:sz w:val="20"/>
              </w:rPr>
            </w:r>
            <w:r>
              <w:rPr>
                <w:rFonts w:ascii="Arial"/>
                <w:spacing w:val="-1"/>
                <w:sz w:val="20"/>
                <w:u w:val="thick" w:color="000000"/>
              </w:rPr>
              <w:t>471,621,829</w:t>
            </w:r>
            <w:r>
              <w:rPr>
                <w:rFonts w:ascii="Arial"/>
                <w:spacing w:val="-1"/>
                <w:sz w:val="20"/>
              </w:rPr>
            </w:r>
            <w:r>
              <w:rPr>
                <w:rFonts w:ascii="Arial"/>
                <w:sz w:val="20"/>
              </w:rPr>
            </w:r>
          </w:p>
        </w:tc>
        <w:tc>
          <w:tcPr>
            <w:tcW w:w="296"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黑体" w:hAnsi="黑体" w:cs="黑体" w:eastAsia="黑体" w:hint="default"/>
          <w:sz w:val="20"/>
          <w:szCs w:val="20"/>
        </w:rPr>
      </w:pPr>
    </w:p>
    <w:p>
      <w:pPr>
        <w:spacing w:line="240" w:lineRule="auto" w:before="4"/>
        <w:rPr>
          <w:rFonts w:ascii="黑体" w:hAnsi="黑体" w:cs="黑体" w:eastAsia="黑体" w:hint="default"/>
          <w:sz w:val="25"/>
          <w:szCs w:val="25"/>
        </w:rPr>
      </w:pPr>
    </w:p>
    <w:tbl>
      <w:tblPr>
        <w:tblW w:w="0" w:type="auto"/>
        <w:jc w:val="left"/>
        <w:tblInd w:w="604" w:type="dxa"/>
        <w:tblLayout w:type="fixed"/>
        <w:tblCellMar>
          <w:top w:w="0" w:type="dxa"/>
          <w:left w:w="0" w:type="dxa"/>
          <w:bottom w:w="0" w:type="dxa"/>
          <w:right w:w="0" w:type="dxa"/>
        </w:tblCellMar>
        <w:tblLook w:val="01E0"/>
      </w:tblPr>
      <w:tblGrid>
        <w:gridCol w:w="3795"/>
        <w:gridCol w:w="2707"/>
        <w:gridCol w:w="1513"/>
        <w:gridCol w:w="268"/>
      </w:tblGrid>
      <w:tr>
        <w:trPr>
          <w:trHeight w:val="241" w:hRule="exact"/>
        </w:trPr>
        <w:tc>
          <w:tcPr>
            <w:tcW w:w="3795" w:type="dxa"/>
            <w:tcBorders>
              <w:top w:val="nil" w:sz="6" w:space="0" w:color="auto"/>
              <w:left w:val="nil" w:sz="6" w:space="0" w:color="auto"/>
              <w:bottom w:val="nil" w:sz="6" w:space="0" w:color="auto"/>
              <w:right w:val="nil" w:sz="6" w:space="0" w:color="auto"/>
            </w:tcBorders>
          </w:tcPr>
          <w:p>
            <w:pPr/>
          </w:p>
        </w:tc>
        <w:tc>
          <w:tcPr>
            <w:tcW w:w="2707" w:type="dxa"/>
            <w:tcBorders>
              <w:top w:val="nil" w:sz="6" w:space="0" w:color="auto"/>
              <w:left w:val="nil" w:sz="6" w:space="0" w:color="auto"/>
              <w:bottom w:val="nil" w:sz="6" w:space="0" w:color="auto"/>
              <w:right w:val="nil" w:sz="6" w:space="0" w:color="auto"/>
            </w:tcBorders>
          </w:tcPr>
          <w:p>
            <w:pPr>
              <w:pStyle w:val="TableParagraph"/>
              <w:spacing w:line="214" w:lineRule="exact"/>
              <w:ind w:right="230"/>
              <w:jc w:val="right"/>
              <w:rPr>
                <w:rFonts w:ascii="黑体" w:hAnsi="黑体" w:cs="黑体" w:eastAsia="黑体" w:hint="default"/>
                <w:sz w:val="20"/>
                <w:szCs w:val="20"/>
              </w:rPr>
            </w:pPr>
            <w:r>
              <w:rPr>
                <w:rFonts w:ascii="Arial" w:hAnsi="Arial" w:cs="Arial" w:eastAsia="Arial" w:hint="default"/>
                <w:sz w:val="20"/>
                <w:szCs w:val="20"/>
              </w:rPr>
              <w:t>2012</w:t>
            </w:r>
            <w:r>
              <w:rPr>
                <w:rFonts w:ascii="Arial" w:hAnsi="Arial" w:cs="Arial" w:eastAsia="Arial" w:hint="default"/>
                <w:spacing w:val="-9"/>
                <w:sz w:val="20"/>
                <w:szCs w:val="20"/>
              </w:rPr>
              <w:t> </w:t>
            </w:r>
            <w:r>
              <w:rPr>
                <w:rFonts w:ascii="黑体" w:hAnsi="黑体" w:cs="黑体" w:eastAsia="黑体" w:hint="default"/>
                <w:sz w:val="20"/>
                <w:szCs w:val="20"/>
              </w:rPr>
              <w:t>年</w:t>
            </w:r>
          </w:p>
        </w:tc>
        <w:tc>
          <w:tcPr>
            <w:tcW w:w="1513" w:type="dxa"/>
            <w:tcBorders>
              <w:top w:val="nil" w:sz="6" w:space="0" w:color="auto"/>
              <w:left w:val="nil" w:sz="6" w:space="0" w:color="auto"/>
              <w:bottom w:val="nil" w:sz="6" w:space="0" w:color="auto"/>
              <w:right w:val="nil" w:sz="6" w:space="0" w:color="auto"/>
            </w:tcBorders>
          </w:tcPr>
          <w:p>
            <w:pPr>
              <w:pStyle w:val="TableParagraph"/>
              <w:spacing w:line="214" w:lineRule="exact"/>
              <w:ind w:right="1"/>
              <w:jc w:val="right"/>
              <w:rPr>
                <w:rFonts w:ascii="黑体" w:hAnsi="黑体" w:cs="黑体" w:eastAsia="黑体" w:hint="default"/>
                <w:sz w:val="20"/>
                <w:szCs w:val="20"/>
              </w:rPr>
            </w:pPr>
            <w:r>
              <w:rPr>
                <w:rFonts w:ascii="Arial" w:hAnsi="Arial" w:cs="Arial" w:eastAsia="Arial" w:hint="default"/>
                <w:sz w:val="20"/>
                <w:szCs w:val="20"/>
              </w:rPr>
              <w:t>2011</w:t>
            </w:r>
            <w:r>
              <w:rPr>
                <w:rFonts w:ascii="Arial" w:hAnsi="Arial" w:cs="Arial" w:eastAsia="Arial" w:hint="default"/>
                <w:spacing w:val="-9"/>
                <w:sz w:val="20"/>
                <w:szCs w:val="20"/>
              </w:rPr>
              <w:t> </w:t>
            </w:r>
            <w:r>
              <w:rPr>
                <w:rFonts w:ascii="黑体" w:hAnsi="黑体" w:cs="黑体" w:eastAsia="黑体" w:hint="default"/>
                <w:sz w:val="20"/>
                <w:szCs w:val="20"/>
              </w:rPr>
              <w:t>年</w:t>
            </w:r>
          </w:p>
        </w:tc>
        <w:tc>
          <w:tcPr>
            <w:tcW w:w="268" w:type="dxa"/>
            <w:tcBorders>
              <w:top w:val="nil" w:sz="6" w:space="0" w:color="auto"/>
              <w:left w:val="nil" w:sz="6" w:space="0" w:color="auto"/>
              <w:bottom w:val="nil" w:sz="6" w:space="0" w:color="auto"/>
              <w:right w:val="nil" w:sz="6" w:space="0" w:color="auto"/>
            </w:tcBorders>
          </w:tcPr>
          <w:p>
            <w:pPr/>
          </w:p>
        </w:tc>
      </w:tr>
      <w:tr>
        <w:trPr>
          <w:trHeight w:val="444" w:hRule="exact"/>
        </w:trPr>
        <w:tc>
          <w:tcPr>
            <w:tcW w:w="3795" w:type="dxa"/>
            <w:tcBorders>
              <w:top w:val="nil" w:sz="6" w:space="0" w:color="auto"/>
              <w:left w:val="nil" w:sz="6" w:space="0" w:color="auto"/>
              <w:bottom w:val="nil" w:sz="6" w:space="0" w:color="auto"/>
              <w:right w:val="nil" w:sz="6" w:space="0" w:color="auto"/>
            </w:tcBorders>
          </w:tcPr>
          <w:p>
            <w:pPr>
              <w:pStyle w:val="TableParagraph"/>
              <w:spacing w:line="232" w:lineRule="exact"/>
              <w:ind w:left="200" w:right="0"/>
              <w:jc w:val="left"/>
              <w:rPr>
                <w:rFonts w:ascii="黑体" w:hAnsi="黑体" w:cs="黑体" w:eastAsia="黑体" w:hint="default"/>
                <w:sz w:val="20"/>
                <w:szCs w:val="20"/>
              </w:rPr>
            </w:pPr>
            <w:r>
              <w:rPr>
                <w:rFonts w:ascii="黑体" w:hAnsi="黑体" w:cs="黑体" w:eastAsia="黑体" w:hint="default"/>
                <w:sz w:val="20"/>
                <w:szCs w:val="20"/>
              </w:rPr>
              <w:t>现金及现金等价物净变动：</w:t>
            </w:r>
          </w:p>
        </w:tc>
        <w:tc>
          <w:tcPr>
            <w:tcW w:w="2707"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
        </w:tc>
        <w:tc>
          <w:tcPr>
            <w:tcW w:w="268" w:type="dxa"/>
            <w:tcBorders>
              <w:top w:val="nil" w:sz="6" w:space="0" w:color="auto"/>
              <w:left w:val="nil" w:sz="6" w:space="0" w:color="auto"/>
              <w:bottom w:val="nil" w:sz="6" w:space="0" w:color="auto"/>
              <w:right w:val="nil" w:sz="6" w:space="0" w:color="auto"/>
            </w:tcBorders>
          </w:tcPr>
          <w:p>
            <w:pPr/>
          </w:p>
        </w:tc>
      </w:tr>
      <w:tr>
        <w:trPr>
          <w:trHeight w:val="492" w:hRule="exact"/>
        </w:trPr>
        <w:tc>
          <w:tcPr>
            <w:tcW w:w="3795"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200" w:right="0"/>
              <w:jc w:val="left"/>
              <w:rPr>
                <w:rFonts w:ascii="黑体" w:hAnsi="黑体" w:cs="黑体" w:eastAsia="黑体" w:hint="default"/>
                <w:sz w:val="20"/>
                <w:szCs w:val="20"/>
              </w:rPr>
            </w:pPr>
            <w:r>
              <w:rPr>
                <w:rFonts w:ascii="黑体" w:hAnsi="黑体" w:cs="黑体" w:eastAsia="黑体" w:hint="default"/>
                <w:sz w:val="20"/>
                <w:szCs w:val="20"/>
              </w:rPr>
              <w:t>现金的年末余额</w:t>
            </w:r>
          </w:p>
        </w:tc>
        <w:tc>
          <w:tcPr>
            <w:tcW w:w="270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7"/>
                <w:szCs w:val="17"/>
              </w:rPr>
            </w:pPr>
          </w:p>
          <w:p>
            <w:pPr>
              <w:pStyle w:val="TableParagraph"/>
              <w:spacing w:line="240" w:lineRule="auto"/>
              <w:ind w:right="231"/>
              <w:jc w:val="right"/>
              <w:rPr>
                <w:rFonts w:ascii="Arial" w:hAnsi="Arial" w:cs="Arial" w:eastAsia="Arial" w:hint="default"/>
                <w:sz w:val="20"/>
                <w:szCs w:val="20"/>
              </w:rPr>
            </w:pPr>
            <w:r>
              <w:rPr>
                <w:rFonts w:ascii="Arial"/>
                <w:spacing w:val="-1"/>
                <w:sz w:val="20"/>
              </w:rPr>
              <w:t>1,679,570,661</w:t>
            </w:r>
            <w:r>
              <w:rPr>
                <w:rFonts w:ascii="Arial"/>
                <w:sz w:val="20"/>
              </w:rPr>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7"/>
                <w:szCs w:val="17"/>
              </w:rPr>
            </w:pPr>
          </w:p>
          <w:p>
            <w:pPr>
              <w:pStyle w:val="TableParagraph"/>
              <w:spacing w:line="240" w:lineRule="auto"/>
              <w:ind w:right="1"/>
              <w:jc w:val="right"/>
              <w:rPr>
                <w:rFonts w:ascii="Arial" w:hAnsi="Arial" w:cs="Arial" w:eastAsia="Arial" w:hint="default"/>
                <w:sz w:val="20"/>
                <w:szCs w:val="20"/>
              </w:rPr>
            </w:pPr>
            <w:r>
              <w:rPr>
                <w:rFonts w:ascii="Arial"/>
                <w:spacing w:val="-1"/>
                <w:sz w:val="20"/>
              </w:rPr>
              <w:t>1,390,141,191</w:t>
            </w:r>
            <w:r>
              <w:rPr>
                <w:rFonts w:ascii="Arial"/>
                <w:sz w:val="20"/>
              </w:rPr>
            </w:r>
          </w:p>
        </w:tc>
        <w:tc>
          <w:tcPr>
            <w:tcW w:w="268" w:type="dxa"/>
            <w:tcBorders>
              <w:top w:val="nil" w:sz="6" w:space="0" w:color="auto"/>
              <w:left w:val="nil" w:sz="6" w:space="0" w:color="auto"/>
              <w:bottom w:val="nil" w:sz="6" w:space="0" w:color="auto"/>
              <w:right w:val="nil" w:sz="6" w:space="0" w:color="auto"/>
            </w:tcBorders>
          </w:tcPr>
          <w:p>
            <w:pPr/>
          </w:p>
        </w:tc>
      </w:tr>
      <w:tr>
        <w:trPr>
          <w:trHeight w:val="468" w:hRule="exact"/>
        </w:trPr>
        <w:tc>
          <w:tcPr>
            <w:tcW w:w="3795" w:type="dxa"/>
            <w:tcBorders>
              <w:top w:val="nil" w:sz="6" w:space="0" w:color="auto"/>
              <w:left w:val="nil" w:sz="6" w:space="0" w:color="auto"/>
              <w:bottom w:val="nil" w:sz="6" w:space="0" w:color="auto"/>
              <w:right w:val="nil" w:sz="6" w:space="0" w:color="auto"/>
            </w:tcBorders>
          </w:tcPr>
          <w:p>
            <w:pPr>
              <w:pStyle w:val="TableParagraph"/>
              <w:spacing w:line="232" w:lineRule="exact"/>
              <w:ind w:left="200" w:right="0"/>
              <w:jc w:val="left"/>
              <w:rPr>
                <w:rFonts w:ascii="黑体" w:hAnsi="黑体" w:cs="黑体" w:eastAsia="黑体" w:hint="default"/>
                <w:sz w:val="20"/>
                <w:szCs w:val="20"/>
              </w:rPr>
            </w:pPr>
            <w:r>
              <w:rPr>
                <w:rFonts w:ascii="黑体" w:hAnsi="黑体" w:cs="黑体" w:eastAsia="黑体" w:hint="default"/>
                <w:sz w:val="20"/>
                <w:szCs w:val="20"/>
              </w:rPr>
              <w:t>减：现金的年初余额</w:t>
            </w:r>
          </w:p>
        </w:tc>
        <w:tc>
          <w:tcPr>
            <w:tcW w:w="270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31"/>
              <w:jc w:val="right"/>
              <w:rPr>
                <w:rFonts w:ascii="Arial" w:hAnsi="Arial" w:cs="Arial" w:eastAsia="Arial" w:hint="default"/>
                <w:sz w:val="20"/>
                <w:szCs w:val="20"/>
              </w:rPr>
            </w:pPr>
            <w:r>
              <w:rPr>
                <w:rFonts w:ascii="Arial"/>
                <w:w w:val="99"/>
                <w:sz w:val="20"/>
              </w:rPr>
            </w:r>
            <w:r>
              <w:rPr>
                <w:rFonts w:ascii="Arial"/>
                <w:spacing w:val="-1"/>
                <w:w w:val="99"/>
                <w:sz w:val="20"/>
                <w:u w:val="single" w:color="000000"/>
              </w:rPr>
              <w:t> </w:t>
            </w:r>
            <w:r>
              <w:rPr>
                <w:rFonts w:ascii="Arial"/>
                <w:spacing w:val="-1"/>
                <w:sz w:val="20"/>
                <w:u w:val="single" w:color="000000"/>
              </w:rPr>
              <w:t>1,390,141,191</w:t>
            </w:r>
            <w:r>
              <w:rPr>
                <w:rFonts w:ascii="Arial"/>
                <w:spacing w:val="-1"/>
                <w:sz w:val="20"/>
              </w:rPr>
            </w:r>
            <w:r>
              <w:rPr>
                <w:rFonts w:ascii="Arial"/>
                <w:sz w:val="20"/>
              </w:rPr>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
              <w:jc w:val="right"/>
              <w:rPr>
                <w:rFonts w:ascii="Arial" w:hAnsi="Arial" w:cs="Arial" w:eastAsia="Arial" w:hint="default"/>
                <w:sz w:val="20"/>
                <w:szCs w:val="20"/>
              </w:rPr>
            </w:pPr>
            <w:r>
              <w:rPr>
                <w:rFonts w:ascii="Arial"/>
                <w:w w:val="99"/>
                <w:sz w:val="20"/>
              </w:rPr>
            </w:r>
            <w:r>
              <w:rPr>
                <w:rFonts w:ascii="Arial"/>
                <w:spacing w:val="-1"/>
                <w:sz w:val="20"/>
                <w:u w:val="single" w:color="000000"/>
              </w:rPr>
              <w:t>1,391,758,890</w:t>
            </w:r>
            <w:r>
              <w:rPr>
                <w:rFonts w:ascii="Arial"/>
                <w:spacing w:val="-1"/>
                <w:sz w:val="20"/>
              </w:rPr>
            </w:r>
            <w:r>
              <w:rPr>
                <w:rFonts w:ascii="Arial"/>
                <w:sz w:val="20"/>
              </w:rPr>
            </w:r>
          </w:p>
        </w:tc>
        <w:tc>
          <w:tcPr>
            <w:tcW w:w="268" w:type="dxa"/>
            <w:tcBorders>
              <w:top w:val="nil" w:sz="6" w:space="0" w:color="auto"/>
              <w:left w:val="nil" w:sz="6" w:space="0" w:color="auto"/>
              <w:bottom w:val="nil" w:sz="6" w:space="0" w:color="auto"/>
              <w:right w:val="nil" w:sz="6" w:space="0" w:color="auto"/>
            </w:tcBorders>
          </w:tcPr>
          <w:p>
            <w:pPr/>
          </w:p>
        </w:tc>
      </w:tr>
      <w:tr>
        <w:trPr>
          <w:trHeight w:val="436" w:hRule="exact"/>
        </w:trPr>
        <w:tc>
          <w:tcPr>
            <w:tcW w:w="3795"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200" w:right="0"/>
              <w:jc w:val="left"/>
              <w:rPr>
                <w:rFonts w:ascii="黑体" w:hAnsi="黑体" w:cs="黑体" w:eastAsia="黑体" w:hint="default"/>
                <w:sz w:val="20"/>
                <w:szCs w:val="20"/>
              </w:rPr>
            </w:pPr>
            <w:r>
              <w:rPr>
                <w:rFonts w:ascii="黑体" w:hAnsi="黑体" w:cs="黑体" w:eastAsia="黑体" w:hint="default"/>
                <w:sz w:val="20"/>
                <w:szCs w:val="20"/>
              </w:rPr>
              <w:t>现金及现金等价物净增加额</w:t>
            </w:r>
          </w:p>
        </w:tc>
        <w:tc>
          <w:tcPr>
            <w:tcW w:w="270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6"/>
                <w:szCs w:val="16"/>
              </w:rPr>
            </w:pPr>
          </w:p>
          <w:p>
            <w:pPr>
              <w:pStyle w:val="TableParagraph"/>
              <w:spacing w:line="240" w:lineRule="auto"/>
              <w:ind w:right="231"/>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 </w:t>
            </w:r>
            <w:r>
              <w:rPr>
                <w:rFonts w:ascii="Arial"/>
                <w:spacing w:val="-4"/>
                <w:sz w:val="20"/>
                <w:u w:val="thick" w:color="000000"/>
              </w:rPr>
              <w:t> </w:t>
            </w:r>
            <w:r>
              <w:rPr>
                <w:rFonts w:ascii="Arial"/>
                <w:spacing w:val="-1"/>
                <w:w w:val="95"/>
                <w:sz w:val="20"/>
                <w:u w:val="thick" w:color="000000"/>
              </w:rPr>
              <w:t>289,429,470</w:t>
            </w:r>
            <w:r>
              <w:rPr>
                <w:rFonts w:ascii="Arial"/>
                <w:spacing w:val="-1"/>
                <w:w w:val="95"/>
                <w:sz w:val="20"/>
              </w:rPr>
            </w:r>
            <w:r>
              <w:rPr>
                <w:rFonts w:ascii="Arial"/>
                <w:sz w:val="20"/>
              </w:rPr>
            </w:r>
          </w:p>
        </w:tc>
        <w:tc>
          <w:tcPr>
            <w:tcW w:w="15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6"/>
                <w:szCs w:val="16"/>
              </w:rPr>
            </w:pPr>
          </w:p>
          <w:p>
            <w:pPr>
              <w:pStyle w:val="TableParagraph"/>
              <w:tabs>
                <w:tab w:pos="391" w:val="left" w:leader="none"/>
              </w:tabs>
              <w:spacing w:line="240" w:lineRule="auto"/>
              <w:ind w:right="1"/>
              <w:jc w:val="right"/>
              <w:rPr>
                <w:rFonts w:ascii="Arial" w:hAnsi="Arial" w:cs="Arial" w:eastAsia="Arial" w:hint="default"/>
                <w:sz w:val="20"/>
                <w:szCs w:val="20"/>
              </w:rPr>
            </w:pPr>
            <w:r>
              <w:rPr>
                <w:rFonts w:ascii="Arial"/>
                <w:w w:val="95"/>
                <w:sz w:val="20"/>
              </w:rPr>
              <w:t>(</w:t>
            </w:r>
            <w:r>
              <w:rPr>
                <w:rFonts w:ascii="Arial"/>
                <w:w w:val="95"/>
                <w:sz w:val="20"/>
                <w:u w:val="thick" w:color="000000"/>
              </w:rPr>
              <w:t> </w:t>
              <w:tab/>
            </w:r>
            <w:r>
              <w:rPr>
                <w:rFonts w:ascii="Arial"/>
                <w:spacing w:val="-1"/>
                <w:sz w:val="20"/>
                <w:u w:val="thick" w:color="000000"/>
              </w:rPr>
              <w:t>1,617,699</w:t>
            </w:r>
            <w:r>
              <w:rPr>
                <w:rFonts w:ascii="Arial"/>
                <w:spacing w:val="-1"/>
                <w:sz w:val="20"/>
              </w:rPr>
            </w:r>
            <w:r>
              <w:rPr>
                <w:rFonts w:ascii="Arial"/>
                <w:sz w:val="20"/>
              </w:rPr>
            </w:r>
          </w:p>
        </w:tc>
        <w:tc>
          <w:tcPr>
            <w:tcW w:w="26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6"/>
                <w:szCs w:val="16"/>
              </w:rPr>
            </w:pPr>
          </w:p>
          <w:p>
            <w:pPr>
              <w:pStyle w:val="TableParagraph"/>
              <w:spacing w:line="240" w:lineRule="auto"/>
              <w:ind w:left="1" w:right="0"/>
              <w:jc w:val="left"/>
              <w:rPr>
                <w:rFonts w:ascii="Arial" w:hAnsi="Arial" w:cs="Arial" w:eastAsia="Arial" w:hint="default"/>
                <w:sz w:val="20"/>
                <w:szCs w:val="20"/>
              </w:rPr>
            </w:pPr>
            <w:r>
              <w:rPr>
                <w:rFonts w:ascii="Arial"/>
                <w:w w:val="99"/>
                <w:sz w:val="20"/>
              </w:rPr>
              <w:t>)</w:t>
            </w:r>
            <w:r>
              <w:rPr>
                <w:rFonts w:ascii="Arial"/>
                <w:sz w:val="20"/>
              </w:rPr>
            </w:r>
          </w:p>
        </w:tc>
      </w:tr>
    </w:tbl>
    <w:p>
      <w:pPr>
        <w:spacing w:line="240" w:lineRule="auto" w:before="7"/>
        <w:rPr>
          <w:rFonts w:ascii="黑体" w:hAnsi="黑体" w:cs="黑体" w:eastAsia="黑体" w:hint="default"/>
          <w:sz w:val="16"/>
          <w:szCs w:val="16"/>
        </w:rPr>
      </w:pPr>
    </w:p>
    <w:p>
      <w:pPr>
        <w:pStyle w:val="BodyText"/>
        <w:tabs>
          <w:tab w:pos="1308" w:val="left" w:leader="none"/>
        </w:tabs>
        <w:spacing w:line="240" w:lineRule="auto" w:before="37"/>
        <w:ind w:left="761" w:right="0"/>
        <w:jc w:val="left"/>
      </w:pPr>
      <w:r>
        <w:rPr>
          <w:rFonts w:ascii="Arial" w:hAnsi="Arial" w:cs="Arial" w:eastAsia="Arial" w:hint="default"/>
          <w:spacing w:val="-1"/>
        </w:rPr>
        <w:t>(2)</w:t>
        <w:tab/>
      </w:r>
      <w:r>
        <w:rPr/>
        <w:t>现金及现金等价物</w:t>
      </w:r>
    </w:p>
    <w:p>
      <w:pPr>
        <w:spacing w:line="240" w:lineRule="auto" w:before="6"/>
        <w:rPr>
          <w:rFonts w:ascii="黑体" w:hAnsi="黑体" w:cs="黑体" w:eastAsia="黑体" w:hint="default"/>
          <w:sz w:val="25"/>
          <w:szCs w:val="25"/>
        </w:rPr>
      </w:pPr>
    </w:p>
    <w:tbl>
      <w:tblPr>
        <w:tblW w:w="0" w:type="auto"/>
        <w:jc w:val="left"/>
        <w:tblInd w:w="604" w:type="dxa"/>
        <w:tblLayout w:type="fixed"/>
        <w:tblCellMar>
          <w:top w:w="0" w:type="dxa"/>
          <w:left w:w="0" w:type="dxa"/>
          <w:bottom w:w="0" w:type="dxa"/>
          <w:right w:w="0" w:type="dxa"/>
        </w:tblCellMar>
        <w:tblLook w:val="01E0"/>
      </w:tblPr>
      <w:tblGrid>
        <w:gridCol w:w="4190"/>
        <w:gridCol w:w="2294"/>
        <w:gridCol w:w="1696"/>
      </w:tblGrid>
      <w:tr>
        <w:trPr>
          <w:trHeight w:val="235" w:hRule="exact"/>
        </w:trPr>
        <w:tc>
          <w:tcPr>
            <w:tcW w:w="4190" w:type="dxa"/>
            <w:tcBorders>
              <w:top w:val="nil" w:sz="6" w:space="0" w:color="auto"/>
              <w:left w:val="nil" w:sz="6" w:space="0" w:color="auto"/>
              <w:bottom w:val="nil" w:sz="6" w:space="0" w:color="auto"/>
              <w:right w:val="nil" w:sz="6" w:space="0" w:color="auto"/>
            </w:tcBorders>
          </w:tcPr>
          <w:p>
            <w:pPr/>
          </w:p>
        </w:tc>
        <w:tc>
          <w:tcPr>
            <w:tcW w:w="2294" w:type="dxa"/>
            <w:tcBorders>
              <w:top w:val="nil" w:sz="6" w:space="0" w:color="auto"/>
              <w:left w:val="nil" w:sz="6" w:space="0" w:color="auto"/>
              <w:bottom w:val="nil" w:sz="6" w:space="0" w:color="auto"/>
              <w:right w:val="nil" w:sz="6" w:space="0" w:color="auto"/>
            </w:tcBorders>
          </w:tcPr>
          <w:p>
            <w:pPr>
              <w:pStyle w:val="TableParagraph"/>
              <w:spacing w:line="214" w:lineRule="exact"/>
              <w:ind w:right="217"/>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1696" w:type="dxa"/>
            <w:tcBorders>
              <w:top w:val="nil" w:sz="6" w:space="0" w:color="auto"/>
              <w:left w:val="nil" w:sz="6" w:space="0" w:color="auto"/>
              <w:bottom w:val="nil" w:sz="6" w:space="0" w:color="auto"/>
              <w:right w:val="nil" w:sz="6" w:space="0" w:color="auto"/>
            </w:tcBorders>
          </w:tcPr>
          <w:p>
            <w:pPr>
              <w:pStyle w:val="TableParagraph"/>
              <w:spacing w:line="214" w:lineRule="exact"/>
              <w:ind w:right="198"/>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r>
      <w:tr>
        <w:trPr>
          <w:trHeight w:val="390" w:hRule="exact"/>
        </w:trPr>
        <w:tc>
          <w:tcPr>
            <w:tcW w:w="4190" w:type="dxa"/>
            <w:tcBorders>
              <w:top w:val="nil" w:sz="6" w:space="0" w:color="auto"/>
              <w:left w:val="nil" w:sz="6" w:space="0" w:color="auto"/>
              <w:bottom w:val="nil" w:sz="6" w:space="0" w:color="auto"/>
              <w:right w:val="nil" w:sz="6" w:space="0" w:color="auto"/>
            </w:tcBorders>
          </w:tcPr>
          <w:p>
            <w:pPr/>
          </w:p>
        </w:tc>
        <w:tc>
          <w:tcPr>
            <w:tcW w:w="2294" w:type="dxa"/>
            <w:tcBorders>
              <w:top w:val="nil" w:sz="6" w:space="0" w:color="auto"/>
              <w:left w:val="nil" w:sz="6" w:space="0" w:color="auto"/>
              <w:bottom w:val="nil" w:sz="6" w:space="0" w:color="auto"/>
              <w:right w:val="nil" w:sz="6" w:space="0" w:color="auto"/>
            </w:tcBorders>
          </w:tcPr>
          <w:p>
            <w:pPr>
              <w:pStyle w:val="TableParagraph"/>
              <w:spacing w:line="240" w:lineRule="exact"/>
              <w:ind w:right="217"/>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exact"/>
              <w:ind w:right="198"/>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r>
      <w:tr>
        <w:trPr>
          <w:trHeight w:val="390" w:hRule="exact"/>
        </w:trPr>
        <w:tc>
          <w:tcPr>
            <w:tcW w:w="4190"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00" w:right="0"/>
              <w:jc w:val="left"/>
              <w:rPr>
                <w:rFonts w:ascii="黑体" w:hAnsi="黑体" w:cs="黑体" w:eastAsia="黑体" w:hint="default"/>
                <w:sz w:val="20"/>
                <w:szCs w:val="20"/>
              </w:rPr>
            </w:pPr>
            <w:r>
              <w:rPr>
                <w:rFonts w:ascii="黑体" w:hAnsi="黑体" w:cs="黑体" w:eastAsia="黑体" w:hint="default"/>
                <w:sz w:val="20"/>
                <w:szCs w:val="20"/>
              </w:rPr>
              <w:t>现金</w:t>
            </w:r>
          </w:p>
        </w:tc>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218"/>
              <w:jc w:val="right"/>
              <w:rPr>
                <w:rFonts w:ascii="Arial" w:hAnsi="Arial" w:cs="Arial" w:eastAsia="Arial" w:hint="default"/>
                <w:sz w:val="20"/>
                <w:szCs w:val="20"/>
              </w:rPr>
            </w:pPr>
            <w:r>
              <w:rPr>
                <w:rFonts w:ascii="Arial"/>
                <w:spacing w:val="-1"/>
                <w:sz w:val="20"/>
              </w:rPr>
              <w:t>1,679,570,661</w:t>
            </w:r>
            <w:r>
              <w:rPr>
                <w:rFonts w:ascii="Arial"/>
                <w:sz w:val="20"/>
              </w:rPr>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98"/>
              <w:jc w:val="right"/>
              <w:rPr>
                <w:rFonts w:ascii="Arial" w:hAnsi="Arial" w:cs="Arial" w:eastAsia="Arial" w:hint="default"/>
                <w:sz w:val="20"/>
                <w:szCs w:val="20"/>
              </w:rPr>
            </w:pPr>
            <w:r>
              <w:rPr>
                <w:rFonts w:ascii="Arial"/>
                <w:spacing w:val="-1"/>
                <w:sz w:val="20"/>
              </w:rPr>
              <w:t>1,390,141,191</w:t>
            </w:r>
            <w:r>
              <w:rPr>
                <w:rFonts w:ascii="Arial"/>
                <w:sz w:val="20"/>
              </w:rPr>
            </w:r>
          </w:p>
        </w:tc>
      </w:tr>
      <w:tr>
        <w:trPr>
          <w:trHeight w:val="260" w:hRule="exact"/>
        </w:trPr>
        <w:tc>
          <w:tcPr>
            <w:tcW w:w="4190" w:type="dxa"/>
            <w:tcBorders>
              <w:top w:val="nil" w:sz="6" w:space="0" w:color="auto"/>
              <w:left w:val="nil" w:sz="6" w:space="0" w:color="auto"/>
              <w:bottom w:val="nil" w:sz="6" w:space="0" w:color="auto"/>
              <w:right w:val="nil" w:sz="6" w:space="0" w:color="auto"/>
            </w:tcBorders>
          </w:tcPr>
          <w:p>
            <w:pPr>
              <w:pStyle w:val="TableParagraph"/>
              <w:spacing w:line="226" w:lineRule="exact"/>
              <w:ind w:left="420" w:right="0"/>
              <w:jc w:val="left"/>
              <w:rPr>
                <w:rFonts w:ascii="黑体" w:hAnsi="黑体" w:cs="黑体" w:eastAsia="黑体" w:hint="default"/>
                <w:sz w:val="20"/>
                <w:szCs w:val="20"/>
              </w:rPr>
            </w:pPr>
            <w:r>
              <w:rPr>
                <w:rFonts w:ascii="黑体" w:hAnsi="黑体" w:cs="黑体" w:eastAsia="黑体" w:hint="default"/>
                <w:sz w:val="20"/>
                <w:szCs w:val="20"/>
              </w:rPr>
              <w:t>其中：库存现金</w:t>
            </w:r>
          </w:p>
        </w:tc>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17"/>
              <w:jc w:val="right"/>
              <w:rPr>
                <w:rFonts w:ascii="Arial" w:hAnsi="Arial" w:cs="Arial" w:eastAsia="Arial" w:hint="default"/>
                <w:sz w:val="20"/>
                <w:szCs w:val="20"/>
              </w:rPr>
            </w:pPr>
            <w:r>
              <w:rPr>
                <w:rFonts w:ascii="Arial"/>
                <w:spacing w:val="-1"/>
                <w:sz w:val="20"/>
              </w:rPr>
              <w:t>3,253,652</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8"/>
              <w:jc w:val="right"/>
              <w:rPr>
                <w:rFonts w:ascii="Arial" w:hAnsi="Arial" w:cs="Arial" w:eastAsia="Arial" w:hint="default"/>
                <w:sz w:val="20"/>
                <w:szCs w:val="20"/>
              </w:rPr>
            </w:pPr>
            <w:r>
              <w:rPr>
                <w:rFonts w:ascii="Arial"/>
                <w:spacing w:val="-1"/>
                <w:sz w:val="20"/>
              </w:rPr>
              <w:t>2,458,970</w:t>
            </w:r>
          </w:p>
        </w:tc>
      </w:tr>
      <w:tr>
        <w:trPr>
          <w:trHeight w:val="439" w:hRule="exact"/>
        </w:trPr>
        <w:tc>
          <w:tcPr>
            <w:tcW w:w="4190" w:type="dxa"/>
            <w:tcBorders>
              <w:top w:val="nil" w:sz="6" w:space="0" w:color="auto"/>
              <w:left w:val="nil" w:sz="6" w:space="0" w:color="auto"/>
              <w:bottom w:val="nil" w:sz="6" w:space="0" w:color="auto"/>
              <w:right w:val="nil" w:sz="6" w:space="0" w:color="auto"/>
            </w:tcBorders>
          </w:tcPr>
          <w:p>
            <w:pPr>
              <w:pStyle w:val="TableParagraph"/>
              <w:spacing w:line="224" w:lineRule="exact"/>
              <w:ind w:left="994" w:right="0"/>
              <w:jc w:val="left"/>
              <w:rPr>
                <w:rFonts w:ascii="黑体" w:hAnsi="黑体" w:cs="黑体" w:eastAsia="黑体" w:hint="default"/>
                <w:sz w:val="20"/>
                <w:szCs w:val="20"/>
              </w:rPr>
            </w:pPr>
            <w:r>
              <w:rPr>
                <w:rFonts w:ascii="黑体" w:hAnsi="黑体" w:cs="黑体" w:eastAsia="黑体" w:hint="default"/>
                <w:sz w:val="20"/>
                <w:szCs w:val="20"/>
              </w:rPr>
              <w:t>可随时用于支付的银行存款</w:t>
            </w:r>
          </w:p>
        </w:tc>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8"/>
              <w:jc w:val="right"/>
              <w:rPr>
                <w:rFonts w:ascii="Arial" w:hAnsi="Arial" w:cs="Arial" w:eastAsia="Arial" w:hint="default"/>
                <w:sz w:val="20"/>
                <w:szCs w:val="20"/>
              </w:rPr>
            </w:pPr>
            <w:r>
              <w:rPr>
                <w:rFonts w:ascii="Arial"/>
                <w:w w:val="99"/>
                <w:sz w:val="20"/>
              </w:rPr>
            </w:r>
            <w:r>
              <w:rPr>
                <w:rFonts w:ascii="Arial"/>
                <w:spacing w:val="-1"/>
                <w:sz w:val="20"/>
                <w:u w:val="thick" w:color="000000"/>
              </w:rPr>
              <w:t>1,676,317,009</w:t>
            </w:r>
            <w:r>
              <w:rPr>
                <w:rFonts w:ascii="Arial"/>
                <w:spacing w:val="-1"/>
                <w:sz w:val="20"/>
              </w:rPr>
            </w:r>
            <w:r>
              <w:rPr>
                <w:rFonts w:ascii="Arial"/>
                <w:sz w:val="20"/>
              </w:rPr>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1,387,682,221</w:t>
            </w:r>
            <w:r>
              <w:rPr>
                <w:rFonts w:ascii="Arial"/>
                <w:spacing w:val="-1"/>
                <w:sz w:val="20"/>
              </w:rPr>
            </w:r>
            <w:r>
              <w:rPr>
                <w:rFonts w:ascii="Arial"/>
                <w:sz w:val="20"/>
              </w:rPr>
            </w:r>
          </w:p>
        </w:tc>
      </w:tr>
      <w:tr>
        <w:trPr>
          <w:trHeight w:val="414" w:hRule="exact"/>
        </w:trPr>
        <w:tc>
          <w:tcPr>
            <w:tcW w:w="4190"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200" w:right="0"/>
              <w:jc w:val="left"/>
              <w:rPr>
                <w:rFonts w:ascii="黑体" w:hAnsi="黑体" w:cs="黑体" w:eastAsia="黑体" w:hint="default"/>
                <w:sz w:val="20"/>
                <w:szCs w:val="20"/>
              </w:rPr>
            </w:pPr>
            <w:r>
              <w:rPr>
                <w:rFonts w:ascii="黑体" w:hAnsi="黑体" w:cs="黑体" w:eastAsia="黑体" w:hint="default"/>
                <w:sz w:val="20"/>
                <w:szCs w:val="20"/>
              </w:rPr>
              <w:t>年末现金及现金等价物余额</w:t>
            </w:r>
          </w:p>
        </w:tc>
        <w:tc>
          <w:tcPr>
            <w:tcW w:w="22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14"/>
                <w:szCs w:val="14"/>
              </w:rPr>
            </w:pPr>
          </w:p>
          <w:p>
            <w:pPr>
              <w:pStyle w:val="TableParagraph"/>
              <w:spacing w:line="240" w:lineRule="auto"/>
              <w:ind w:right="218"/>
              <w:jc w:val="right"/>
              <w:rPr>
                <w:rFonts w:ascii="Arial" w:hAnsi="Arial" w:cs="Arial" w:eastAsia="Arial" w:hint="default"/>
                <w:sz w:val="20"/>
                <w:szCs w:val="20"/>
              </w:rPr>
            </w:pPr>
            <w:r>
              <w:rPr>
                <w:rFonts w:ascii="Arial"/>
                <w:w w:val="99"/>
                <w:sz w:val="20"/>
              </w:rPr>
            </w:r>
            <w:r>
              <w:rPr>
                <w:rFonts w:ascii="Arial"/>
                <w:spacing w:val="-1"/>
                <w:sz w:val="20"/>
                <w:u w:val="thick" w:color="000000"/>
              </w:rPr>
              <w:t>1,679,570,661</w:t>
            </w:r>
            <w:r>
              <w:rPr>
                <w:rFonts w:ascii="Arial"/>
                <w:spacing w:val="-1"/>
                <w:sz w:val="20"/>
              </w:rPr>
            </w:r>
            <w:r>
              <w:rPr>
                <w:rFonts w:ascii="Arial"/>
                <w:sz w:val="20"/>
              </w:rPr>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14"/>
                <w:szCs w:val="14"/>
              </w:rPr>
            </w:pPr>
          </w:p>
          <w:p>
            <w:pPr>
              <w:pStyle w:val="TableParagraph"/>
              <w:spacing w:line="240" w:lineRule="auto"/>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1,390,141,191</w:t>
            </w:r>
            <w:r>
              <w:rPr>
                <w:rFonts w:ascii="Arial"/>
                <w:spacing w:val="-1"/>
                <w:sz w:val="20"/>
              </w:rPr>
            </w:r>
            <w:r>
              <w:rPr>
                <w:rFonts w:ascii="Arial"/>
                <w:sz w:val="20"/>
              </w:rPr>
            </w:r>
          </w:p>
        </w:tc>
      </w:tr>
    </w:tbl>
    <w:p>
      <w:pPr>
        <w:spacing w:after="0" w:line="240" w:lineRule="auto"/>
        <w:jc w:val="right"/>
        <w:rPr>
          <w:rFonts w:ascii="Arial" w:hAnsi="Arial" w:cs="Arial" w:eastAsia="Arial" w:hint="default"/>
          <w:sz w:val="20"/>
          <w:szCs w:val="20"/>
        </w:rPr>
        <w:sectPr>
          <w:pgSz w:w="11910" w:h="16840"/>
          <w:pgMar w:header="825" w:footer="473" w:top="2420" w:bottom="660" w:left="1600" w:right="1280"/>
        </w:sectPr>
      </w:pPr>
    </w:p>
    <w:p>
      <w:pPr>
        <w:spacing w:line="240" w:lineRule="auto" w:before="7"/>
        <w:rPr>
          <w:rFonts w:ascii="黑体" w:hAnsi="黑体" w:cs="黑体" w:eastAsia="黑体" w:hint="default"/>
          <w:sz w:val="23"/>
          <w:szCs w:val="23"/>
        </w:rPr>
      </w:pPr>
    </w:p>
    <w:p>
      <w:pPr>
        <w:pStyle w:val="Heading6"/>
        <w:tabs>
          <w:tab w:pos="706" w:val="left" w:leader="none"/>
        </w:tabs>
        <w:spacing w:line="240" w:lineRule="auto"/>
        <w:ind w:right="0"/>
        <w:jc w:val="left"/>
        <w:rPr>
          <w:b w:val="0"/>
          <w:bCs w:val="0"/>
        </w:rPr>
      </w:pPr>
      <w:r>
        <w:rPr>
          <w:w w:val="95"/>
        </w:rPr>
        <w:t>六、</w:t>
        <w:tab/>
      </w:r>
      <w:r>
        <w:rPr/>
        <w:t>关联方关系及其交易</w:t>
      </w:r>
      <w:r>
        <w:rPr>
          <w:b w:val="0"/>
          <w:bCs w:val="0"/>
        </w:rPr>
      </w:r>
    </w:p>
    <w:p>
      <w:pPr>
        <w:pStyle w:val="Heading6"/>
        <w:tabs>
          <w:tab w:pos="742" w:val="left" w:leader="none"/>
        </w:tabs>
        <w:spacing w:line="240" w:lineRule="auto" w:before="172"/>
        <w:ind w:right="0"/>
        <w:jc w:val="left"/>
        <w:rPr>
          <w:b w:val="0"/>
          <w:bCs w:val="0"/>
        </w:rPr>
      </w:pPr>
      <w:r>
        <w:rPr>
          <w:rFonts w:ascii="Arial" w:hAnsi="Arial" w:cs="Arial" w:eastAsia="Arial" w:hint="default"/>
          <w:spacing w:val="-1"/>
        </w:rPr>
        <w:t>1.</w:t>
        <w:tab/>
      </w:r>
      <w:r>
        <w:rPr>
          <w:spacing w:val="1"/>
        </w:rPr>
        <w:t>主要股东</w:t>
      </w:r>
      <w:r>
        <w:rPr>
          <w:b w:val="0"/>
          <w:bCs w:val="0"/>
          <w:spacing w:val="1"/>
        </w:rPr>
      </w:r>
    </w:p>
    <w:p>
      <w:pPr>
        <w:spacing w:line="240" w:lineRule="auto" w:before="3"/>
        <w:rPr>
          <w:rFonts w:ascii="黑体" w:hAnsi="黑体" w:cs="黑体" w:eastAsia="黑体" w:hint="default"/>
          <w:b/>
          <w:bCs/>
          <w:sz w:val="23"/>
          <w:szCs w:val="23"/>
        </w:rPr>
      </w:pPr>
    </w:p>
    <w:tbl>
      <w:tblPr>
        <w:tblW w:w="0" w:type="auto"/>
        <w:jc w:val="left"/>
        <w:tblInd w:w="518" w:type="dxa"/>
        <w:tblLayout w:type="fixed"/>
        <w:tblCellMar>
          <w:top w:w="0" w:type="dxa"/>
          <w:left w:w="0" w:type="dxa"/>
          <w:bottom w:w="0" w:type="dxa"/>
          <w:right w:w="0" w:type="dxa"/>
        </w:tblCellMar>
        <w:tblLook w:val="01E0"/>
      </w:tblPr>
      <w:tblGrid>
        <w:gridCol w:w="1060"/>
        <w:gridCol w:w="1126"/>
        <w:gridCol w:w="508"/>
        <w:gridCol w:w="714"/>
        <w:gridCol w:w="1930"/>
        <w:gridCol w:w="869"/>
        <w:gridCol w:w="726"/>
        <w:gridCol w:w="848"/>
        <w:gridCol w:w="1077"/>
      </w:tblGrid>
      <w:tr>
        <w:trPr>
          <w:trHeight w:val="440" w:hRule="exact"/>
        </w:trPr>
        <w:tc>
          <w:tcPr>
            <w:tcW w:w="1060" w:type="dxa"/>
            <w:tcBorders>
              <w:top w:val="nil" w:sz="6" w:space="0" w:color="auto"/>
              <w:left w:val="nil" w:sz="6" w:space="0" w:color="auto"/>
              <w:bottom w:val="nil" w:sz="6" w:space="0" w:color="auto"/>
              <w:right w:val="nil" w:sz="6" w:space="0" w:color="auto"/>
            </w:tcBorders>
          </w:tcPr>
          <w:p>
            <w:pPr>
              <w:pStyle w:val="TableParagraph"/>
              <w:spacing w:line="161" w:lineRule="exact"/>
              <w:ind w:left="204" w:right="0"/>
              <w:jc w:val="left"/>
              <w:rPr>
                <w:rFonts w:ascii="黑体" w:hAnsi="黑体" w:cs="黑体" w:eastAsia="黑体" w:hint="default"/>
                <w:sz w:val="16"/>
                <w:szCs w:val="16"/>
              </w:rPr>
            </w:pPr>
            <w:r>
              <w:rPr>
                <w:rFonts w:ascii="黑体" w:hAnsi="黑体" w:cs="黑体" w:eastAsia="黑体" w:hint="default"/>
                <w:sz w:val="16"/>
                <w:szCs w:val="16"/>
              </w:rPr>
              <w:t>主要股东</w:t>
            </w:r>
          </w:p>
          <w:p>
            <w:pPr>
              <w:pStyle w:val="TableParagraph"/>
              <w:spacing w:line="240" w:lineRule="auto" w:before="30"/>
              <w:ind w:left="204" w:right="0"/>
              <w:jc w:val="left"/>
              <w:rPr>
                <w:rFonts w:ascii="黑体" w:hAnsi="黑体" w:cs="黑体" w:eastAsia="黑体" w:hint="default"/>
                <w:sz w:val="16"/>
                <w:szCs w:val="16"/>
              </w:rPr>
            </w:pPr>
            <w:r>
              <w:rPr>
                <w:rFonts w:ascii="黑体" w:hAnsi="黑体" w:cs="黑体" w:eastAsia="黑体" w:hint="default"/>
                <w:sz w:val="16"/>
                <w:szCs w:val="16"/>
              </w:rPr>
              <w:t>名称</w:t>
            </w:r>
          </w:p>
        </w:tc>
        <w:tc>
          <w:tcPr>
            <w:tcW w:w="1126" w:type="dxa"/>
            <w:tcBorders>
              <w:top w:val="nil" w:sz="6" w:space="0" w:color="auto"/>
              <w:left w:val="nil" w:sz="6" w:space="0" w:color="auto"/>
              <w:bottom w:val="nil" w:sz="6" w:space="0" w:color="auto"/>
              <w:right w:val="nil" w:sz="6" w:space="0" w:color="auto"/>
            </w:tcBorders>
          </w:tcPr>
          <w:p>
            <w:pPr>
              <w:pStyle w:val="TableParagraph"/>
              <w:spacing w:line="161" w:lineRule="exact"/>
              <w:ind w:left="54" w:right="0"/>
              <w:jc w:val="left"/>
              <w:rPr>
                <w:rFonts w:ascii="黑体" w:hAnsi="黑体" w:cs="黑体" w:eastAsia="黑体" w:hint="default"/>
                <w:sz w:val="16"/>
                <w:szCs w:val="16"/>
              </w:rPr>
            </w:pPr>
            <w:r>
              <w:rPr>
                <w:rFonts w:ascii="黑体" w:hAnsi="黑体" w:cs="黑体" w:eastAsia="黑体" w:hint="default"/>
                <w:sz w:val="16"/>
                <w:szCs w:val="16"/>
              </w:rPr>
              <w:t>企业类型</w:t>
            </w:r>
          </w:p>
        </w:tc>
        <w:tc>
          <w:tcPr>
            <w:tcW w:w="508" w:type="dxa"/>
            <w:tcBorders>
              <w:top w:val="nil" w:sz="6" w:space="0" w:color="auto"/>
              <w:left w:val="nil" w:sz="6" w:space="0" w:color="auto"/>
              <w:bottom w:val="nil" w:sz="6" w:space="0" w:color="auto"/>
              <w:right w:val="nil" w:sz="6" w:space="0" w:color="auto"/>
            </w:tcBorders>
          </w:tcPr>
          <w:p>
            <w:pPr>
              <w:pStyle w:val="TableParagraph"/>
              <w:spacing w:line="161" w:lineRule="exact"/>
              <w:ind w:left="-6" w:right="0"/>
              <w:jc w:val="left"/>
              <w:rPr>
                <w:rFonts w:ascii="黑体" w:hAnsi="黑体" w:cs="黑体" w:eastAsia="黑体" w:hint="default"/>
                <w:sz w:val="16"/>
                <w:szCs w:val="16"/>
              </w:rPr>
            </w:pPr>
            <w:r>
              <w:rPr>
                <w:rFonts w:ascii="黑体" w:hAnsi="黑体" w:cs="黑体" w:eastAsia="黑体" w:hint="default"/>
                <w:sz w:val="16"/>
                <w:szCs w:val="16"/>
              </w:rPr>
              <w:t>注册地</w:t>
            </w:r>
          </w:p>
        </w:tc>
        <w:tc>
          <w:tcPr>
            <w:tcW w:w="714" w:type="dxa"/>
            <w:tcBorders>
              <w:top w:val="nil" w:sz="6" w:space="0" w:color="auto"/>
              <w:left w:val="nil" w:sz="6" w:space="0" w:color="auto"/>
              <w:bottom w:val="nil" w:sz="6" w:space="0" w:color="auto"/>
              <w:right w:val="nil" w:sz="6" w:space="0" w:color="auto"/>
            </w:tcBorders>
          </w:tcPr>
          <w:p>
            <w:pPr>
              <w:pStyle w:val="TableParagraph"/>
              <w:spacing w:line="161" w:lineRule="exact"/>
              <w:ind w:left="31" w:right="0"/>
              <w:jc w:val="left"/>
              <w:rPr>
                <w:rFonts w:ascii="黑体" w:hAnsi="黑体" w:cs="黑体" w:eastAsia="黑体" w:hint="default"/>
                <w:sz w:val="16"/>
                <w:szCs w:val="16"/>
              </w:rPr>
            </w:pPr>
            <w:r>
              <w:rPr>
                <w:rFonts w:ascii="黑体" w:hAnsi="黑体" w:cs="黑体" w:eastAsia="黑体" w:hint="default"/>
                <w:sz w:val="16"/>
                <w:szCs w:val="16"/>
              </w:rPr>
              <w:t>法人代表</w:t>
            </w:r>
          </w:p>
        </w:tc>
        <w:tc>
          <w:tcPr>
            <w:tcW w:w="1930" w:type="dxa"/>
            <w:tcBorders>
              <w:top w:val="nil" w:sz="6" w:space="0" w:color="auto"/>
              <w:left w:val="nil" w:sz="6" w:space="0" w:color="auto"/>
              <w:bottom w:val="nil" w:sz="6" w:space="0" w:color="auto"/>
              <w:right w:val="nil" w:sz="6" w:space="0" w:color="auto"/>
            </w:tcBorders>
          </w:tcPr>
          <w:p>
            <w:pPr>
              <w:pStyle w:val="TableParagraph"/>
              <w:spacing w:line="161" w:lineRule="exact"/>
              <w:ind w:left="606" w:right="0"/>
              <w:jc w:val="left"/>
              <w:rPr>
                <w:rFonts w:ascii="黑体" w:hAnsi="黑体" w:cs="黑体" w:eastAsia="黑体" w:hint="default"/>
                <w:sz w:val="16"/>
                <w:szCs w:val="16"/>
              </w:rPr>
            </w:pPr>
            <w:r>
              <w:rPr>
                <w:rFonts w:ascii="黑体" w:hAnsi="黑体" w:cs="黑体" w:eastAsia="黑体" w:hint="default"/>
                <w:sz w:val="16"/>
                <w:szCs w:val="16"/>
              </w:rPr>
              <w:t>业务性质</w:t>
            </w:r>
          </w:p>
        </w:tc>
        <w:tc>
          <w:tcPr>
            <w:tcW w:w="869" w:type="dxa"/>
            <w:tcBorders>
              <w:top w:val="nil" w:sz="6" w:space="0" w:color="auto"/>
              <w:left w:val="nil" w:sz="6" w:space="0" w:color="auto"/>
              <w:bottom w:val="nil" w:sz="6" w:space="0" w:color="auto"/>
              <w:right w:val="nil" w:sz="6" w:space="0" w:color="auto"/>
            </w:tcBorders>
          </w:tcPr>
          <w:p>
            <w:pPr>
              <w:pStyle w:val="TableParagraph"/>
              <w:spacing w:line="161" w:lineRule="exact"/>
              <w:ind w:right="54"/>
              <w:jc w:val="right"/>
              <w:rPr>
                <w:rFonts w:ascii="黑体" w:hAnsi="黑体" w:cs="黑体" w:eastAsia="黑体" w:hint="default"/>
                <w:sz w:val="16"/>
                <w:szCs w:val="16"/>
              </w:rPr>
            </w:pPr>
            <w:r>
              <w:rPr>
                <w:rFonts w:ascii="黑体" w:hAnsi="黑体" w:cs="黑体" w:eastAsia="黑体" w:hint="default"/>
                <w:sz w:val="16"/>
                <w:szCs w:val="16"/>
              </w:rPr>
              <w:t>注册资本</w:t>
            </w:r>
          </w:p>
        </w:tc>
        <w:tc>
          <w:tcPr>
            <w:tcW w:w="726" w:type="dxa"/>
            <w:tcBorders>
              <w:top w:val="nil" w:sz="6" w:space="0" w:color="auto"/>
              <w:left w:val="nil" w:sz="6" w:space="0" w:color="auto"/>
              <w:bottom w:val="nil" w:sz="6" w:space="0" w:color="auto"/>
              <w:right w:val="nil" w:sz="6" w:space="0" w:color="auto"/>
            </w:tcBorders>
          </w:tcPr>
          <w:p>
            <w:pPr>
              <w:pStyle w:val="TableParagraph"/>
              <w:spacing w:line="161" w:lineRule="exact"/>
              <w:ind w:left="56" w:right="0"/>
              <w:jc w:val="left"/>
              <w:rPr>
                <w:rFonts w:ascii="黑体" w:hAnsi="黑体" w:cs="黑体" w:eastAsia="黑体" w:hint="default"/>
                <w:sz w:val="16"/>
                <w:szCs w:val="16"/>
              </w:rPr>
            </w:pPr>
            <w:r>
              <w:rPr>
                <w:rFonts w:ascii="黑体" w:hAnsi="黑体" w:cs="黑体" w:eastAsia="黑体" w:hint="default"/>
                <w:sz w:val="16"/>
                <w:szCs w:val="16"/>
              </w:rPr>
              <w:t>对本公司</w:t>
            </w:r>
          </w:p>
          <w:p>
            <w:pPr>
              <w:pStyle w:val="TableParagraph"/>
              <w:spacing w:line="240" w:lineRule="auto" w:before="30"/>
              <w:ind w:left="56" w:right="0"/>
              <w:jc w:val="left"/>
              <w:rPr>
                <w:rFonts w:ascii="黑体" w:hAnsi="黑体" w:cs="黑体" w:eastAsia="黑体" w:hint="default"/>
                <w:sz w:val="16"/>
                <w:szCs w:val="16"/>
              </w:rPr>
            </w:pPr>
            <w:r>
              <w:rPr>
                <w:rFonts w:ascii="黑体" w:hAnsi="黑体" w:cs="黑体" w:eastAsia="黑体" w:hint="default"/>
                <w:sz w:val="16"/>
                <w:szCs w:val="16"/>
              </w:rPr>
              <w:t>持股比例</w:t>
            </w:r>
          </w:p>
        </w:tc>
        <w:tc>
          <w:tcPr>
            <w:tcW w:w="848" w:type="dxa"/>
            <w:tcBorders>
              <w:top w:val="nil" w:sz="6" w:space="0" w:color="auto"/>
              <w:left w:val="nil" w:sz="6" w:space="0" w:color="auto"/>
              <w:bottom w:val="nil" w:sz="6" w:space="0" w:color="auto"/>
              <w:right w:val="nil" w:sz="6" w:space="0" w:color="auto"/>
            </w:tcBorders>
          </w:tcPr>
          <w:p>
            <w:pPr>
              <w:pStyle w:val="TableParagraph"/>
              <w:spacing w:line="161" w:lineRule="exact"/>
              <w:ind w:left="184" w:right="0" w:hanging="159"/>
              <w:jc w:val="left"/>
              <w:rPr>
                <w:rFonts w:ascii="黑体" w:hAnsi="黑体" w:cs="黑体" w:eastAsia="黑体" w:hint="default"/>
                <w:sz w:val="16"/>
                <w:szCs w:val="16"/>
              </w:rPr>
            </w:pPr>
            <w:r>
              <w:rPr>
                <w:rFonts w:ascii="黑体" w:hAnsi="黑体" w:cs="黑体" w:eastAsia="黑体" w:hint="default"/>
                <w:sz w:val="16"/>
                <w:szCs w:val="16"/>
              </w:rPr>
              <w:t>对本公司表</w:t>
            </w:r>
          </w:p>
          <w:p>
            <w:pPr>
              <w:pStyle w:val="TableParagraph"/>
              <w:spacing w:line="240" w:lineRule="auto" w:before="30"/>
              <w:ind w:left="184" w:right="0"/>
              <w:jc w:val="left"/>
              <w:rPr>
                <w:rFonts w:ascii="黑体" w:hAnsi="黑体" w:cs="黑体" w:eastAsia="黑体" w:hint="default"/>
                <w:sz w:val="16"/>
                <w:szCs w:val="16"/>
              </w:rPr>
            </w:pPr>
            <w:r>
              <w:rPr>
                <w:rFonts w:ascii="黑体" w:hAnsi="黑体" w:cs="黑体" w:eastAsia="黑体" w:hint="default"/>
                <w:sz w:val="16"/>
                <w:szCs w:val="16"/>
              </w:rPr>
              <w:t>决权比例</w:t>
            </w:r>
          </w:p>
        </w:tc>
        <w:tc>
          <w:tcPr>
            <w:tcW w:w="1077" w:type="dxa"/>
            <w:tcBorders>
              <w:top w:val="nil" w:sz="6" w:space="0" w:color="auto"/>
              <w:left w:val="nil" w:sz="6" w:space="0" w:color="auto"/>
              <w:bottom w:val="nil" w:sz="6" w:space="0" w:color="auto"/>
              <w:right w:val="nil" w:sz="6" w:space="0" w:color="auto"/>
            </w:tcBorders>
          </w:tcPr>
          <w:p>
            <w:pPr>
              <w:pStyle w:val="TableParagraph"/>
              <w:spacing w:line="161" w:lineRule="exact"/>
              <w:ind w:left="233" w:right="0"/>
              <w:jc w:val="left"/>
              <w:rPr>
                <w:rFonts w:ascii="黑体" w:hAnsi="黑体" w:cs="黑体" w:eastAsia="黑体" w:hint="default"/>
                <w:sz w:val="16"/>
                <w:szCs w:val="16"/>
              </w:rPr>
            </w:pPr>
            <w:r>
              <w:rPr>
                <w:rFonts w:ascii="黑体" w:hAnsi="黑体" w:cs="黑体" w:eastAsia="黑体" w:hint="default"/>
                <w:sz w:val="16"/>
                <w:szCs w:val="16"/>
              </w:rPr>
              <w:t>组织机构</w:t>
            </w:r>
          </w:p>
          <w:p>
            <w:pPr>
              <w:pStyle w:val="TableParagraph"/>
              <w:spacing w:line="240" w:lineRule="auto" w:before="30"/>
              <w:ind w:left="555" w:right="0"/>
              <w:jc w:val="left"/>
              <w:rPr>
                <w:rFonts w:ascii="黑体" w:hAnsi="黑体" w:cs="黑体" w:eastAsia="黑体" w:hint="default"/>
                <w:sz w:val="16"/>
                <w:szCs w:val="16"/>
              </w:rPr>
            </w:pPr>
            <w:r>
              <w:rPr>
                <w:rFonts w:ascii="黑体" w:hAnsi="黑体" w:cs="黑体" w:eastAsia="黑体" w:hint="default"/>
                <w:sz w:val="16"/>
                <w:szCs w:val="16"/>
              </w:rPr>
              <w:t>代码</w:t>
            </w:r>
          </w:p>
        </w:tc>
      </w:tr>
      <w:tr>
        <w:trPr>
          <w:trHeight w:val="1080" w:hRule="exact"/>
        </w:trPr>
        <w:tc>
          <w:tcPr>
            <w:tcW w:w="1060" w:type="dxa"/>
            <w:tcBorders>
              <w:top w:val="nil" w:sz="6" w:space="0" w:color="auto"/>
              <w:left w:val="nil" w:sz="6" w:space="0" w:color="auto"/>
              <w:bottom w:val="nil" w:sz="6" w:space="0" w:color="auto"/>
              <w:right w:val="nil" w:sz="6" w:space="0" w:color="auto"/>
            </w:tcBorders>
          </w:tcPr>
          <w:p>
            <w:pPr>
              <w:pStyle w:val="TableParagraph"/>
              <w:spacing w:line="200" w:lineRule="exact"/>
              <w:ind w:left="204" w:right="0"/>
              <w:jc w:val="left"/>
              <w:rPr>
                <w:rFonts w:ascii="黑体" w:hAnsi="黑体" w:cs="黑体" w:eastAsia="黑体" w:hint="default"/>
                <w:sz w:val="16"/>
                <w:szCs w:val="16"/>
              </w:rPr>
            </w:pPr>
            <w:r>
              <w:rPr>
                <w:rFonts w:ascii="黑体" w:hAnsi="黑体" w:cs="黑体" w:eastAsia="黑体" w:hint="default"/>
                <w:sz w:val="16"/>
                <w:szCs w:val="16"/>
              </w:rPr>
              <w:t>用友科技</w:t>
            </w:r>
          </w:p>
        </w:tc>
        <w:tc>
          <w:tcPr>
            <w:tcW w:w="1126" w:type="dxa"/>
            <w:tcBorders>
              <w:top w:val="nil" w:sz="6" w:space="0" w:color="auto"/>
              <w:left w:val="nil" w:sz="6" w:space="0" w:color="auto"/>
              <w:bottom w:val="nil" w:sz="6" w:space="0" w:color="auto"/>
              <w:right w:val="nil" w:sz="6" w:space="0" w:color="auto"/>
            </w:tcBorders>
          </w:tcPr>
          <w:p>
            <w:pPr>
              <w:pStyle w:val="TableParagraph"/>
              <w:spacing w:line="200" w:lineRule="exact"/>
              <w:ind w:right="53"/>
              <w:jc w:val="center"/>
              <w:rPr>
                <w:rFonts w:ascii="黑体" w:hAnsi="黑体" w:cs="黑体" w:eastAsia="黑体" w:hint="default"/>
                <w:sz w:val="16"/>
                <w:szCs w:val="16"/>
              </w:rPr>
            </w:pPr>
            <w:r>
              <w:rPr>
                <w:rFonts w:ascii="黑体" w:hAnsi="黑体" w:cs="黑体" w:eastAsia="黑体" w:hint="default"/>
                <w:sz w:val="16"/>
                <w:szCs w:val="16"/>
              </w:rPr>
              <w:t>有限责任公司</w:t>
            </w:r>
          </w:p>
          <w:p>
            <w:pPr>
              <w:pStyle w:val="TableParagraph"/>
              <w:spacing w:line="276" w:lineRule="auto" w:before="30"/>
              <w:ind w:left="169" w:right="152"/>
              <w:jc w:val="center"/>
              <w:rPr>
                <w:rFonts w:ascii="黑体" w:hAnsi="黑体" w:cs="黑体" w:eastAsia="黑体" w:hint="default"/>
                <w:sz w:val="16"/>
                <w:szCs w:val="16"/>
              </w:rPr>
            </w:pPr>
            <w:r>
              <w:rPr>
                <w:rFonts w:ascii="黑体" w:hAnsi="黑体" w:cs="黑体" w:eastAsia="黑体" w:hint="default"/>
                <w:spacing w:val="-1"/>
                <w:sz w:val="16"/>
                <w:szCs w:val="16"/>
              </w:rPr>
              <w:t>（自然人投</w:t>
            </w:r>
            <w:r>
              <w:rPr>
                <w:rFonts w:ascii="黑体" w:hAnsi="黑体" w:cs="黑体" w:eastAsia="黑体" w:hint="default"/>
                <w:spacing w:val="-76"/>
                <w:sz w:val="16"/>
                <w:szCs w:val="16"/>
              </w:rPr>
              <w:t> </w:t>
            </w:r>
            <w:r>
              <w:rPr>
                <w:rFonts w:ascii="黑体" w:hAnsi="黑体" w:cs="黑体" w:eastAsia="黑体" w:hint="default"/>
                <w:spacing w:val="-76"/>
                <w:sz w:val="16"/>
                <w:szCs w:val="16"/>
              </w:rPr>
            </w:r>
            <w:r>
              <w:rPr>
                <w:rFonts w:ascii="黑体" w:hAnsi="黑体" w:cs="黑体" w:eastAsia="黑体" w:hint="default"/>
                <w:spacing w:val="-1"/>
                <w:sz w:val="16"/>
                <w:szCs w:val="16"/>
              </w:rPr>
              <w:t>资或控股）</w:t>
            </w:r>
          </w:p>
        </w:tc>
        <w:tc>
          <w:tcPr>
            <w:tcW w:w="508" w:type="dxa"/>
            <w:tcBorders>
              <w:top w:val="nil" w:sz="6" w:space="0" w:color="auto"/>
              <w:left w:val="nil" w:sz="6" w:space="0" w:color="auto"/>
              <w:bottom w:val="nil" w:sz="6" w:space="0" w:color="auto"/>
              <w:right w:val="nil" w:sz="6" w:space="0" w:color="auto"/>
            </w:tcBorders>
          </w:tcPr>
          <w:p>
            <w:pPr>
              <w:pStyle w:val="TableParagraph"/>
              <w:spacing w:line="200" w:lineRule="exact"/>
              <w:ind w:left="-6" w:right="0"/>
              <w:jc w:val="left"/>
              <w:rPr>
                <w:rFonts w:ascii="黑体" w:hAnsi="黑体" w:cs="黑体" w:eastAsia="黑体" w:hint="default"/>
                <w:sz w:val="16"/>
                <w:szCs w:val="16"/>
              </w:rPr>
            </w:pPr>
            <w:r>
              <w:rPr>
                <w:rFonts w:ascii="黑体" w:hAnsi="黑体" w:cs="黑体" w:eastAsia="黑体" w:hint="default"/>
                <w:sz w:val="16"/>
                <w:szCs w:val="16"/>
              </w:rPr>
              <w:t>北京</w:t>
            </w:r>
          </w:p>
        </w:tc>
        <w:tc>
          <w:tcPr>
            <w:tcW w:w="714" w:type="dxa"/>
            <w:tcBorders>
              <w:top w:val="nil" w:sz="6" w:space="0" w:color="auto"/>
              <w:left w:val="nil" w:sz="6" w:space="0" w:color="auto"/>
              <w:bottom w:val="nil" w:sz="6" w:space="0" w:color="auto"/>
              <w:right w:val="nil" w:sz="6" w:space="0" w:color="auto"/>
            </w:tcBorders>
          </w:tcPr>
          <w:p>
            <w:pPr>
              <w:pStyle w:val="TableParagraph"/>
              <w:spacing w:line="200" w:lineRule="exact"/>
              <w:ind w:left="31" w:right="0"/>
              <w:jc w:val="left"/>
              <w:rPr>
                <w:rFonts w:ascii="黑体" w:hAnsi="黑体" w:cs="黑体" w:eastAsia="黑体" w:hint="default"/>
                <w:sz w:val="16"/>
                <w:szCs w:val="16"/>
              </w:rPr>
            </w:pPr>
            <w:r>
              <w:rPr>
                <w:rFonts w:ascii="黑体" w:hAnsi="黑体" w:cs="黑体" w:eastAsia="黑体" w:hint="default"/>
                <w:sz w:val="16"/>
                <w:szCs w:val="16"/>
              </w:rPr>
              <w:t>王文京</w:t>
            </w:r>
          </w:p>
        </w:tc>
        <w:tc>
          <w:tcPr>
            <w:tcW w:w="1930" w:type="dxa"/>
            <w:tcBorders>
              <w:top w:val="nil" w:sz="6" w:space="0" w:color="auto"/>
              <w:left w:val="nil" w:sz="6" w:space="0" w:color="auto"/>
              <w:bottom w:val="nil" w:sz="6" w:space="0" w:color="auto"/>
              <w:right w:val="nil" w:sz="6" w:space="0" w:color="auto"/>
            </w:tcBorders>
          </w:tcPr>
          <w:p>
            <w:pPr>
              <w:pStyle w:val="TableParagraph"/>
              <w:spacing w:line="271" w:lineRule="auto"/>
              <w:ind w:left="39" w:right="85"/>
              <w:jc w:val="both"/>
              <w:rPr>
                <w:rFonts w:ascii="黑体" w:hAnsi="黑体" w:cs="黑体" w:eastAsia="黑体" w:hint="default"/>
                <w:sz w:val="16"/>
                <w:szCs w:val="16"/>
              </w:rPr>
            </w:pPr>
            <w:r>
              <w:rPr>
                <w:rFonts w:ascii="黑体" w:hAnsi="黑体" w:cs="黑体" w:eastAsia="黑体" w:hint="default"/>
                <w:spacing w:val="2"/>
                <w:sz w:val="16"/>
                <w:szCs w:val="16"/>
              </w:rPr>
              <w:t>技术开发、技术转让、技</w:t>
            </w:r>
            <w:r>
              <w:rPr>
                <w:rFonts w:ascii="黑体" w:hAnsi="黑体" w:cs="黑体" w:eastAsia="黑体" w:hint="default"/>
                <w:spacing w:val="-66"/>
                <w:sz w:val="16"/>
                <w:szCs w:val="16"/>
              </w:rPr>
              <w:t> </w:t>
            </w:r>
            <w:r>
              <w:rPr>
                <w:rFonts w:ascii="黑体" w:hAnsi="黑体" w:cs="黑体" w:eastAsia="黑体" w:hint="default"/>
                <w:spacing w:val="-66"/>
                <w:sz w:val="16"/>
                <w:szCs w:val="16"/>
              </w:rPr>
            </w:r>
            <w:r>
              <w:rPr>
                <w:rFonts w:ascii="黑体" w:hAnsi="黑体" w:cs="黑体" w:eastAsia="黑体" w:hint="default"/>
                <w:spacing w:val="-2"/>
                <w:sz w:val="16"/>
                <w:szCs w:val="16"/>
              </w:rPr>
              <w:t>术咨询、技术服务</w:t>
            </w:r>
            <w:r>
              <w:rPr>
                <w:rFonts w:ascii="Arial" w:hAnsi="Arial" w:cs="Arial" w:eastAsia="Arial" w:hint="default"/>
                <w:spacing w:val="-2"/>
                <w:sz w:val="16"/>
                <w:szCs w:val="16"/>
              </w:rPr>
              <w:t>:</w:t>
            </w:r>
            <w:r>
              <w:rPr>
                <w:rFonts w:ascii="黑体" w:hAnsi="黑体" w:cs="黑体" w:eastAsia="黑体" w:hint="default"/>
                <w:spacing w:val="-2"/>
                <w:sz w:val="16"/>
                <w:szCs w:val="16"/>
              </w:rPr>
              <w:t>企业管</w:t>
            </w:r>
            <w:r>
              <w:rPr>
                <w:rFonts w:ascii="黑体" w:hAnsi="黑体" w:cs="黑体" w:eastAsia="黑体" w:hint="default"/>
                <w:spacing w:val="-61"/>
                <w:sz w:val="16"/>
                <w:szCs w:val="16"/>
              </w:rPr>
              <w:t> </w:t>
            </w:r>
            <w:r>
              <w:rPr>
                <w:rFonts w:ascii="黑体" w:hAnsi="黑体" w:cs="黑体" w:eastAsia="黑体" w:hint="default"/>
                <w:spacing w:val="-61"/>
                <w:sz w:val="16"/>
                <w:szCs w:val="16"/>
              </w:rPr>
            </w:r>
            <w:r>
              <w:rPr>
                <w:rFonts w:ascii="黑体" w:hAnsi="黑体" w:cs="黑体" w:eastAsia="黑体" w:hint="default"/>
                <w:spacing w:val="2"/>
                <w:sz w:val="16"/>
                <w:szCs w:val="16"/>
              </w:rPr>
              <w:t>理咨询、经济信息咨询、</w:t>
            </w:r>
            <w:r>
              <w:rPr>
                <w:rFonts w:ascii="黑体" w:hAnsi="黑体" w:cs="黑体" w:eastAsia="黑体" w:hint="default"/>
                <w:spacing w:val="-66"/>
                <w:sz w:val="16"/>
                <w:szCs w:val="16"/>
              </w:rPr>
              <w:t> </w:t>
            </w:r>
            <w:r>
              <w:rPr>
                <w:rFonts w:ascii="黑体" w:hAnsi="黑体" w:cs="黑体" w:eastAsia="黑体" w:hint="default"/>
                <w:spacing w:val="-66"/>
                <w:sz w:val="16"/>
                <w:szCs w:val="16"/>
              </w:rPr>
            </w:r>
            <w:r>
              <w:rPr>
                <w:rFonts w:ascii="黑体" w:hAnsi="黑体" w:cs="黑体" w:eastAsia="黑体" w:hint="default"/>
                <w:sz w:val="16"/>
                <w:szCs w:val="16"/>
              </w:rPr>
              <w:t>项目投资、投资管理</w:t>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7"/>
              <w:jc w:val="right"/>
              <w:rPr>
                <w:rFonts w:ascii="Arial" w:hAnsi="Arial" w:cs="Arial" w:eastAsia="Arial" w:hint="default"/>
                <w:sz w:val="16"/>
                <w:szCs w:val="16"/>
              </w:rPr>
            </w:pPr>
            <w:r>
              <w:rPr>
                <w:rFonts w:ascii="Arial"/>
                <w:spacing w:val="-1"/>
                <w:sz w:val="16"/>
              </w:rPr>
              <w:t>85,000,000</w:t>
            </w:r>
            <w:r>
              <w:rPr>
                <w:rFonts w:ascii="Arial"/>
                <w:sz w:val="16"/>
              </w:rPr>
            </w:r>
          </w:p>
        </w:tc>
        <w:tc>
          <w:tcPr>
            <w:tcW w:w="72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6"/>
              <w:jc w:val="right"/>
              <w:rPr>
                <w:rFonts w:ascii="Arial" w:hAnsi="Arial" w:cs="Arial" w:eastAsia="Arial" w:hint="default"/>
                <w:sz w:val="16"/>
                <w:szCs w:val="16"/>
              </w:rPr>
            </w:pPr>
            <w:r>
              <w:rPr>
                <w:rFonts w:ascii="Arial"/>
                <w:spacing w:val="-1"/>
                <w:sz w:val="16"/>
              </w:rPr>
              <w:t>29.310%</w:t>
            </w:r>
            <w:r>
              <w:rPr>
                <w:rFonts w:ascii="Arial"/>
                <w:sz w:val="16"/>
              </w:rPr>
            </w: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0"/>
              <w:jc w:val="right"/>
              <w:rPr>
                <w:rFonts w:ascii="Arial" w:hAnsi="Arial" w:cs="Arial" w:eastAsia="Arial" w:hint="default"/>
                <w:sz w:val="16"/>
                <w:szCs w:val="16"/>
              </w:rPr>
            </w:pPr>
            <w:r>
              <w:rPr>
                <w:rFonts w:ascii="Arial"/>
                <w:spacing w:val="-1"/>
                <w:sz w:val="16"/>
              </w:rPr>
              <w:t>29.310%</w:t>
            </w:r>
            <w:r>
              <w:rPr>
                <w:rFonts w:ascii="Arial"/>
                <w:sz w:val="16"/>
              </w:rPr>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0" w:right="0"/>
              <w:jc w:val="left"/>
              <w:rPr>
                <w:rFonts w:ascii="Arial" w:hAnsi="Arial" w:cs="Arial" w:eastAsia="Arial" w:hint="default"/>
                <w:sz w:val="16"/>
                <w:szCs w:val="16"/>
              </w:rPr>
            </w:pPr>
            <w:r>
              <w:rPr>
                <w:rFonts w:ascii="Arial"/>
                <w:sz w:val="16"/>
              </w:rPr>
              <w:t>70022107-4</w:t>
            </w:r>
          </w:p>
        </w:tc>
      </w:tr>
      <w:tr>
        <w:trPr>
          <w:trHeight w:val="1320" w:hRule="exact"/>
        </w:trPr>
        <w:tc>
          <w:tcPr>
            <w:tcW w:w="1060" w:type="dxa"/>
            <w:tcBorders>
              <w:top w:val="nil" w:sz="6" w:space="0" w:color="auto"/>
              <w:left w:val="nil" w:sz="6" w:space="0" w:color="auto"/>
              <w:bottom w:val="nil" w:sz="6" w:space="0" w:color="auto"/>
              <w:right w:val="nil" w:sz="6" w:space="0" w:color="auto"/>
            </w:tcBorders>
          </w:tcPr>
          <w:p>
            <w:pPr>
              <w:pStyle w:val="TableParagraph"/>
              <w:spacing w:line="276" w:lineRule="auto" w:before="111"/>
              <w:ind w:left="360" w:right="56" w:hanging="161"/>
              <w:jc w:val="left"/>
              <w:rPr>
                <w:rFonts w:ascii="黑体" w:hAnsi="黑体" w:cs="黑体" w:eastAsia="黑体" w:hint="default"/>
                <w:sz w:val="16"/>
                <w:szCs w:val="16"/>
              </w:rPr>
            </w:pPr>
            <w:r>
              <w:rPr>
                <w:rFonts w:ascii="黑体" w:hAnsi="黑体" w:cs="黑体" w:eastAsia="黑体" w:hint="default"/>
                <w:spacing w:val="-1"/>
                <w:sz w:val="16"/>
                <w:szCs w:val="16"/>
              </w:rPr>
              <w:t>上海用友科</w:t>
            </w:r>
            <w:r>
              <w:rPr>
                <w:rFonts w:ascii="黑体" w:hAnsi="黑体" w:cs="黑体" w:eastAsia="黑体" w:hint="default"/>
                <w:spacing w:val="-74"/>
                <w:sz w:val="16"/>
                <w:szCs w:val="16"/>
              </w:rPr>
              <w:t> </w:t>
            </w:r>
            <w:r>
              <w:rPr>
                <w:rFonts w:ascii="黑体" w:hAnsi="黑体" w:cs="黑体" w:eastAsia="黑体" w:hint="default"/>
                <w:spacing w:val="-74"/>
                <w:sz w:val="16"/>
                <w:szCs w:val="16"/>
              </w:rPr>
            </w:r>
            <w:r>
              <w:rPr>
                <w:rFonts w:ascii="黑体" w:hAnsi="黑体" w:cs="黑体" w:eastAsia="黑体" w:hint="default"/>
                <w:sz w:val="16"/>
                <w:szCs w:val="16"/>
              </w:rPr>
              <w:t>技咨询</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54" w:right="0"/>
              <w:jc w:val="left"/>
              <w:rPr>
                <w:rFonts w:ascii="黑体" w:hAnsi="黑体" w:cs="黑体" w:eastAsia="黑体" w:hint="default"/>
                <w:sz w:val="16"/>
                <w:szCs w:val="16"/>
              </w:rPr>
            </w:pPr>
            <w:r>
              <w:rPr>
                <w:rFonts w:ascii="黑体" w:hAnsi="黑体" w:cs="黑体" w:eastAsia="黑体" w:hint="default"/>
                <w:sz w:val="16"/>
                <w:szCs w:val="16"/>
              </w:rPr>
              <w:t>有限责任公司</w:t>
            </w:r>
          </w:p>
          <w:p>
            <w:pPr>
              <w:pStyle w:val="TableParagraph"/>
              <w:spacing w:line="240" w:lineRule="auto" w:before="30"/>
              <w:ind w:left="169" w:right="-6"/>
              <w:jc w:val="left"/>
              <w:rPr>
                <w:rFonts w:ascii="黑体" w:hAnsi="黑体" w:cs="黑体" w:eastAsia="黑体" w:hint="default"/>
                <w:sz w:val="16"/>
                <w:szCs w:val="16"/>
              </w:rPr>
            </w:pPr>
            <w:r>
              <w:rPr>
                <w:rFonts w:ascii="黑体" w:hAnsi="黑体" w:cs="黑体" w:eastAsia="黑体" w:hint="default"/>
                <w:spacing w:val="-1"/>
                <w:sz w:val="16"/>
                <w:szCs w:val="16"/>
              </w:rPr>
              <w:t>（国内合资）</w:t>
            </w:r>
          </w:p>
        </w:tc>
        <w:tc>
          <w:tcPr>
            <w:tcW w:w="508"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6" w:right="0"/>
              <w:jc w:val="left"/>
              <w:rPr>
                <w:rFonts w:ascii="黑体" w:hAnsi="黑体" w:cs="黑体" w:eastAsia="黑体" w:hint="default"/>
                <w:sz w:val="16"/>
                <w:szCs w:val="16"/>
              </w:rPr>
            </w:pPr>
            <w:r>
              <w:rPr>
                <w:rFonts w:ascii="黑体" w:hAnsi="黑体" w:cs="黑体" w:eastAsia="黑体" w:hint="default"/>
                <w:sz w:val="16"/>
                <w:szCs w:val="16"/>
              </w:rPr>
              <w:t>上海</w:t>
            </w:r>
          </w:p>
        </w:tc>
        <w:tc>
          <w:tcPr>
            <w:tcW w:w="714"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1" w:right="0"/>
              <w:jc w:val="left"/>
              <w:rPr>
                <w:rFonts w:ascii="黑体" w:hAnsi="黑体" w:cs="黑体" w:eastAsia="黑体" w:hint="default"/>
                <w:sz w:val="16"/>
                <w:szCs w:val="16"/>
              </w:rPr>
            </w:pPr>
            <w:r>
              <w:rPr>
                <w:rFonts w:ascii="黑体" w:hAnsi="黑体" w:cs="黑体" w:eastAsia="黑体" w:hint="default"/>
                <w:sz w:val="16"/>
                <w:szCs w:val="16"/>
              </w:rPr>
              <w:t>王文京</w:t>
            </w:r>
          </w:p>
        </w:tc>
        <w:tc>
          <w:tcPr>
            <w:tcW w:w="1930" w:type="dxa"/>
            <w:tcBorders>
              <w:top w:val="nil" w:sz="6" w:space="0" w:color="auto"/>
              <w:left w:val="nil" w:sz="6" w:space="0" w:color="auto"/>
              <w:bottom w:val="nil" w:sz="6" w:space="0" w:color="auto"/>
              <w:right w:val="nil" w:sz="6" w:space="0" w:color="auto"/>
            </w:tcBorders>
          </w:tcPr>
          <w:p>
            <w:pPr>
              <w:pStyle w:val="TableParagraph"/>
              <w:spacing w:line="276" w:lineRule="auto" w:before="111"/>
              <w:ind w:left="39" w:right="6"/>
              <w:jc w:val="left"/>
              <w:rPr>
                <w:rFonts w:ascii="黑体" w:hAnsi="黑体" w:cs="黑体" w:eastAsia="黑体" w:hint="default"/>
                <w:sz w:val="16"/>
                <w:szCs w:val="16"/>
              </w:rPr>
            </w:pPr>
            <w:r>
              <w:rPr>
                <w:rFonts w:ascii="黑体" w:hAnsi="黑体" w:cs="黑体" w:eastAsia="黑体" w:hint="default"/>
                <w:spacing w:val="18"/>
                <w:sz w:val="16"/>
                <w:szCs w:val="16"/>
              </w:rPr>
              <w:t>计算机软硬件的技术开</w:t>
            </w:r>
            <w:r>
              <w:rPr>
                <w:rFonts w:ascii="黑体" w:hAnsi="黑体" w:cs="黑体" w:eastAsia="黑体" w:hint="default"/>
                <w:spacing w:val="-64"/>
                <w:sz w:val="16"/>
                <w:szCs w:val="16"/>
              </w:rPr>
              <w:t> </w:t>
            </w:r>
            <w:r>
              <w:rPr>
                <w:rFonts w:ascii="黑体" w:hAnsi="黑体" w:cs="黑体" w:eastAsia="黑体" w:hint="default"/>
                <w:spacing w:val="-5"/>
                <w:sz w:val="16"/>
                <w:szCs w:val="16"/>
              </w:rPr>
              <w:t>发、技术转让、技术咨询、</w:t>
            </w:r>
            <w:r>
              <w:rPr>
                <w:rFonts w:ascii="黑体" w:hAnsi="黑体" w:cs="黑体" w:eastAsia="黑体" w:hint="default"/>
                <w:spacing w:val="-63"/>
                <w:sz w:val="16"/>
                <w:szCs w:val="16"/>
              </w:rPr>
              <w:t> </w:t>
            </w:r>
            <w:r>
              <w:rPr>
                <w:rFonts w:ascii="黑体" w:hAnsi="黑体" w:cs="黑体" w:eastAsia="黑体" w:hint="default"/>
                <w:spacing w:val="-63"/>
                <w:sz w:val="16"/>
                <w:szCs w:val="16"/>
              </w:rPr>
            </w:r>
            <w:r>
              <w:rPr>
                <w:rFonts w:ascii="黑体" w:hAnsi="黑体" w:cs="黑体" w:eastAsia="黑体" w:hint="default"/>
                <w:spacing w:val="-5"/>
                <w:sz w:val="16"/>
                <w:szCs w:val="16"/>
              </w:rPr>
              <w:t>技术服务，企业管理咨询，</w:t>
            </w:r>
            <w:r>
              <w:rPr>
                <w:rFonts w:ascii="黑体" w:hAnsi="黑体" w:cs="黑体" w:eastAsia="黑体" w:hint="default"/>
                <w:spacing w:val="-61"/>
                <w:sz w:val="16"/>
                <w:szCs w:val="16"/>
              </w:rPr>
              <w:t> </w:t>
            </w:r>
            <w:r>
              <w:rPr>
                <w:rFonts w:ascii="黑体" w:hAnsi="黑体" w:cs="黑体" w:eastAsia="黑体" w:hint="default"/>
                <w:spacing w:val="-61"/>
                <w:sz w:val="16"/>
                <w:szCs w:val="16"/>
              </w:rPr>
            </w:r>
            <w:r>
              <w:rPr>
                <w:rFonts w:ascii="黑体" w:hAnsi="黑体" w:cs="黑体" w:eastAsia="黑体" w:hint="default"/>
                <w:spacing w:val="2"/>
                <w:sz w:val="16"/>
                <w:szCs w:val="16"/>
              </w:rPr>
              <w:t>投资管理、实业投资，计</w:t>
            </w:r>
            <w:r>
              <w:rPr>
                <w:rFonts w:ascii="黑体" w:hAnsi="黑体" w:cs="黑体" w:eastAsia="黑体" w:hint="default"/>
                <w:spacing w:val="-66"/>
                <w:sz w:val="16"/>
                <w:szCs w:val="16"/>
              </w:rPr>
              <w:t> </w:t>
            </w:r>
            <w:r>
              <w:rPr>
                <w:rFonts w:ascii="黑体" w:hAnsi="黑体" w:cs="黑体" w:eastAsia="黑体" w:hint="default"/>
                <w:spacing w:val="-66"/>
                <w:sz w:val="16"/>
                <w:szCs w:val="16"/>
              </w:rPr>
            </w:r>
            <w:r>
              <w:rPr>
                <w:rFonts w:ascii="黑体" w:hAnsi="黑体" w:cs="黑体" w:eastAsia="黑体" w:hint="default"/>
                <w:sz w:val="16"/>
                <w:szCs w:val="16"/>
              </w:rPr>
              <w:t>算机软硬件的销售</w:t>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b/>
                <w:bCs/>
                <w:sz w:val="11"/>
                <w:szCs w:val="11"/>
              </w:rPr>
            </w:pPr>
          </w:p>
          <w:p>
            <w:pPr>
              <w:pStyle w:val="TableParagraph"/>
              <w:spacing w:line="240" w:lineRule="auto"/>
              <w:ind w:right="57"/>
              <w:jc w:val="right"/>
              <w:rPr>
                <w:rFonts w:ascii="Arial" w:hAnsi="Arial" w:cs="Arial" w:eastAsia="Arial" w:hint="default"/>
                <w:sz w:val="16"/>
                <w:szCs w:val="16"/>
              </w:rPr>
            </w:pPr>
            <w:r>
              <w:rPr>
                <w:rFonts w:ascii="Arial"/>
                <w:spacing w:val="-1"/>
                <w:sz w:val="16"/>
              </w:rPr>
              <w:t>25,000,000</w:t>
            </w:r>
            <w:r>
              <w:rPr>
                <w:rFonts w:ascii="Arial"/>
                <w:sz w:val="16"/>
              </w:rPr>
            </w:r>
          </w:p>
        </w:tc>
        <w:tc>
          <w:tcPr>
            <w:tcW w:w="72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b/>
                <w:bCs/>
                <w:sz w:val="11"/>
                <w:szCs w:val="11"/>
              </w:rPr>
            </w:pPr>
          </w:p>
          <w:p>
            <w:pPr>
              <w:pStyle w:val="TableParagraph"/>
              <w:spacing w:line="240" w:lineRule="auto"/>
              <w:ind w:right="26"/>
              <w:jc w:val="right"/>
              <w:rPr>
                <w:rFonts w:ascii="Arial" w:hAnsi="Arial" w:cs="Arial" w:eastAsia="Arial" w:hint="default"/>
                <w:sz w:val="16"/>
                <w:szCs w:val="16"/>
              </w:rPr>
            </w:pPr>
            <w:r>
              <w:rPr>
                <w:rFonts w:ascii="Arial"/>
                <w:spacing w:val="-1"/>
                <w:sz w:val="16"/>
              </w:rPr>
              <w:t>13.390%</w:t>
            </w:r>
            <w:r>
              <w:rPr>
                <w:rFonts w:ascii="Arial"/>
                <w:sz w:val="16"/>
              </w:rPr>
            </w: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b/>
                <w:bCs/>
                <w:sz w:val="11"/>
                <w:szCs w:val="11"/>
              </w:rPr>
            </w:pPr>
          </w:p>
          <w:p>
            <w:pPr>
              <w:pStyle w:val="TableParagraph"/>
              <w:spacing w:line="240" w:lineRule="auto"/>
              <w:ind w:right="20"/>
              <w:jc w:val="right"/>
              <w:rPr>
                <w:rFonts w:ascii="Arial" w:hAnsi="Arial" w:cs="Arial" w:eastAsia="Arial" w:hint="default"/>
                <w:sz w:val="16"/>
                <w:szCs w:val="16"/>
              </w:rPr>
            </w:pPr>
            <w:r>
              <w:rPr>
                <w:rFonts w:ascii="Arial"/>
                <w:spacing w:val="-1"/>
                <w:sz w:val="16"/>
              </w:rPr>
              <w:t>13.390%</w:t>
            </w:r>
            <w:r>
              <w:rPr>
                <w:rFonts w:ascii="Arial"/>
                <w:sz w:val="16"/>
              </w:rPr>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b/>
                <w:bCs/>
                <w:sz w:val="11"/>
                <w:szCs w:val="11"/>
              </w:rPr>
            </w:pPr>
          </w:p>
          <w:p>
            <w:pPr>
              <w:pStyle w:val="TableParagraph"/>
              <w:spacing w:line="240" w:lineRule="auto"/>
              <w:ind w:left="20" w:right="0"/>
              <w:jc w:val="left"/>
              <w:rPr>
                <w:rFonts w:ascii="Arial" w:hAnsi="Arial" w:cs="Arial" w:eastAsia="Arial" w:hint="default"/>
                <w:sz w:val="16"/>
                <w:szCs w:val="16"/>
              </w:rPr>
            </w:pPr>
            <w:r>
              <w:rPr>
                <w:rFonts w:ascii="Arial"/>
                <w:sz w:val="16"/>
              </w:rPr>
              <w:t>60772100-7</w:t>
            </w:r>
          </w:p>
        </w:tc>
      </w:tr>
      <w:tr>
        <w:trPr>
          <w:trHeight w:val="2360" w:hRule="exact"/>
        </w:trPr>
        <w:tc>
          <w:tcPr>
            <w:tcW w:w="1060" w:type="dxa"/>
            <w:tcBorders>
              <w:top w:val="nil" w:sz="6" w:space="0" w:color="auto"/>
              <w:left w:val="nil" w:sz="6" w:space="0" w:color="auto"/>
              <w:bottom w:val="nil" w:sz="6" w:space="0" w:color="auto"/>
              <w:right w:val="nil" w:sz="6" w:space="0" w:color="auto"/>
            </w:tcBorders>
          </w:tcPr>
          <w:p>
            <w:pPr>
              <w:pStyle w:val="TableParagraph"/>
              <w:spacing w:line="200" w:lineRule="exact"/>
              <w:ind w:left="204" w:right="0"/>
              <w:jc w:val="left"/>
              <w:rPr>
                <w:rFonts w:ascii="黑体" w:hAnsi="黑体" w:cs="黑体" w:eastAsia="黑体" w:hint="default"/>
                <w:sz w:val="16"/>
                <w:szCs w:val="16"/>
              </w:rPr>
            </w:pPr>
            <w:r>
              <w:rPr>
                <w:rFonts w:ascii="黑体" w:hAnsi="黑体" w:cs="黑体" w:eastAsia="黑体" w:hint="default"/>
                <w:sz w:val="16"/>
                <w:szCs w:val="16"/>
              </w:rPr>
              <w:t>用友研究所</w:t>
            </w:r>
          </w:p>
        </w:tc>
        <w:tc>
          <w:tcPr>
            <w:tcW w:w="1126" w:type="dxa"/>
            <w:tcBorders>
              <w:top w:val="nil" w:sz="6" w:space="0" w:color="auto"/>
              <w:left w:val="nil" w:sz="6" w:space="0" w:color="auto"/>
              <w:bottom w:val="nil" w:sz="6" w:space="0" w:color="auto"/>
              <w:right w:val="nil" w:sz="6" w:space="0" w:color="auto"/>
            </w:tcBorders>
          </w:tcPr>
          <w:p>
            <w:pPr>
              <w:pStyle w:val="TableParagraph"/>
              <w:spacing w:line="200" w:lineRule="exact"/>
              <w:ind w:left="54" w:right="0"/>
              <w:jc w:val="left"/>
              <w:rPr>
                <w:rFonts w:ascii="黑体" w:hAnsi="黑体" w:cs="黑体" w:eastAsia="黑体" w:hint="default"/>
                <w:sz w:val="16"/>
                <w:szCs w:val="16"/>
              </w:rPr>
            </w:pPr>
            <w:r>
              <w:rPr>
                <w:rFonts w:ascii="黑体" w:hAnsi="黑体" w:cs="黑体" w:eastAsia="黑体" w:hint="default"/>
                <w:sz w:val="16"/>
                <w:szCs w:val="16"/>
              </w:rPr>
              <w:t>有限责任公司</w:t>
            </w:r>
          </w:p>
        </w:tc>
        <w:tc>
          <w:tcPr>
            <w:tcW w:w="508" w:type="dxa"/>
            <w:tcBorders>
              <w:top w:val="nil" w:sz="6" w:space="0" w:color="auto"/>
              <w:left w:val="nil" w:sz="6" w:space="0" w:color="auto"/>
              <w:bottom w:val="nil" w:sz="6" w:space="0" w:color="auto"/>
              <w:right w:val="nil" w:sz="6" w:space="0" w:color="auto"/>
            </w:tcBorders>
          </w:tcPr>
          <w:p>
            <w:pPr>
              <w:pStyle w:val="TableParagraph"/>
              <w:spacing w:line="200" w:lineRule="exact"/>
              <w:ind w:left="-6" w:right="0"/>
              <w:jc w:val="left"/>
              <w:rPr>
                <w:rFonts w:ascii="黑体" w:hAnsi="黑体" w:cs="黑体" w:eastAsia="黑体" w:hint="default"/>
                <w:sz w:val="16"/>
                <w:szCs w:val="16"/>
              </w:rPr>
            </w:pPr>
            <w:r>
              <w:rPr>
                <w:rFonts w:ascii="黑体" w:hAnsi="黑体" w:cs="黑体" w:eastAsia="黑体" w:hint="default"/>
                <w:sz w:val="16"/>
                <w:szCs w:val="16"/>
              </w:rPr>
              <w:t>北京</w:t>
            </w:r>
          </w:p>
        </w:tc>
        <w:tc>
          <w:tcPr>
            <w:tcW w:w="714" w:type="dxa"/>
            <w:tcBorders>
              <w:top w:val="nil" w:sz="6" w:space="0" w:color="auto"/>
              <w:left w:val="nil" w:sz="6" w:space="0" w:color="auto"/>
              <w:bottom w:val="nil" w:sz="6" w:space="0" w:color="auto"/>
              <w:right w:val="nil" w:sz="6" w:space="0" w:color="auto"/>
            </w:tcBorders>
          </w:tcPr>
          <w:p>
            <w:pPr>
              <w:pStyle w:val="TableParagraph"/>
              <w:spacing w:line="200" w:lineRule="exact"/>
              <w:ind w:left="31" w:right="0"/>
              <w:jc w:val="left"/>
              <w:rPr>
                <w:rFonts w:ascii="黑体" w:hAnsi="黑体" w:cs="黑体" w:eastAsia="黑体" w:hint="default"/>
                <w:sz w:val="16"/>
                <w:szCs w:val="16"/>
              </w:rPr>
            </w:pPr>
            <w:r>
              <w:rPr>
                <w:rFonts w:ascii="黑体" w:hAnsi="黑体" w:cs="黑体" w:eastAsia="黑体" w:hint="default"/>
                <w:sz w:val="16"/>
                <w:szCs w:val="16"/>
              </w:rPr>
              <w:t>王文京</w:t>
            </w:r>
          </w:p>
        </w:tc>
        <w:tc>
          <w:tcPr>
            <w:tcW w:w="1930" w:type="dxa"/>
            <w:tcBorders>
              <w:top w:val="nil" w:sz="6" w:space="0" w:color="auto"/>
              <w:left w:val="nil" w:sz="6" w:space="0" w:color="auto"/>
              <w:bottom w:val="nil" w:sz="6" w:space="0" w:color="auto"/>
              <w:right w:val="nil" w:sz="6" w:space="0" w:color="auto"/>
            </w:tcBorders>
          </w:tcPr>
          <w:p>
            <w:pPr>
              <w:pStyle w:val="TableParagraph"/>
              <w:spacing w:line="276" w:lineRule="auto"/>
              <w:ind w:left="39" w:right="6"/>
              <w:jc w:val="left"/>
              <w:rPr>
                <w:rFonts w:ascii="黑体" w:hAnsi="黑体" w:cs="黑体" w:eastAsia="黑体" w:hint="default"/>
                <w:sz w:val="16"/>
                <w:szCs w:val="16"/>
              </w:rPr>
            </w:pPr>
            <w:r>
              <w:rPr>
                <w:rFonts w:ascii="黑体" w:hAnsi="黑体" w:cs="黑体" w:eastAsia="黑体" w:hint="default"/>
                <w:spacing w:val="2"/>
                <w:sz w:val="16"/>
                <w:szCs w:val="16"/>
              </w:rPr>
              <w:t>法律、行政法规、国务院</w:t>
            </w:r>
            <w:r>
              <w:rPr>
                <w:rFonts w:ascii="黑体" w:hAnsi="黑体" w:cs="黑体" w:eastAsia="黑体" w:hint="default"/>
                <w:spacing w:val="-66"/>
                <w:sz w:val="16"/>
                <w:szCs w:val="16"/>
              </w:rPr>
              <w:t> </w:t>
            </w:r>
            <w:r>
              <w:rPr>
                <w:rFonts w:ascii="黑体" w:hAnsi="黑体" w:cs="黑体" w:eastAsia="黑体" w:hint="default"/>
                <w:spacing w:val="-66"/>
                <w:sz w:val="16"/>
                <w:szCs w:val="16"/>
              </w:rPr>
            </w:r>
            <w:r>
              <w:rPr>
                <w:rFonts w:ascii="黑体" w:hAnsi="黑体" w:cs="黑体" w:eastAsia="黑体" w:hint="default"/>
                <w:spacing w:val="2"/>
                <w:sz w:val="16"/>
                <w:szCs w:val="16"/>
              </w:rPr>
              <w:t>决定禁止的，不得经营；</w:t>
            </w:r>
            <w:r>
              <w:rPr>
                <w:rFonts w:ascii="黑体" w:hAnsi="黑体" w:cs="黑体" w:eastAsia="黑体" w:hint="default"/>
                <w:spacing w:val="-66"/>
                <w:sz w:val="16"/>
                <w:szCs w:val="16"/>
              </w:rPr>
              <w:t> </w:t>
            </w:r>
            <w:r>
              <w:rPr>
                <w:rFonts w:ascii="黑体" w:hAnsi="黑体" w:cs="黑体" w:eastAsia="黑体" w:hint="default"/>
                <w:spacing w:val="-66"/>
                <w:sz w:val="16"/>
                <w:szCs w:val="16"/>
              </w:rPr>
            </w:r>
            <w:r>
              <w:rPr>
                <w:rFonts w:ascii="黑体" w:hAnsi="黑体" w:cs="黑体" w:eastAsia="黑体" w:hint="default"/>
                <w:spacing w:val="2"/>
                <w:sz w:val="16"/>
                <w:szCs w:val="16"/>
              </w:rPr>
              <w:t>法律、行政法规、国务院</w:t>
            </w:r>
            <w:r>
              <w:rPr>
                <w:rFonts w:ascii="黑体" w:hAnsi="黑体" w:cs="黑体" w:eastAsia="黑体" w:hint="default"/>
                <w:spacing w:val="-66"/>
                <w:sz w:val="16"/>
                <w:szCs w:val="16"/>
              </w:rPr>
              <w:t> </w:t>
            </w:r>
            <w:r>
              <w:rPr>
                <w:rFonts w:ascii="黑体" w:hAnsi="黑体" w:cs="黑体" w:eastAsia="黑体" w:hint="default"/>
                <w:spacing w:val="-66"/>
                <w:sz w:val="16"/>
                <w:szCs w:val="16"/>
              </w:rPr>
            </w:r>
            <w:r>
              <w:rPr>
                <w:rFonts w:ascii="黑体" w:hAnsi="黑体" w:cs="黑体" w:eastAsia="黑体" w:hint="default"/>
                <w:spacing w:val="2"/>
                <w:sz w:val="16"/>
                <w:szCs w:val="16"/>
              </w:rPr>
              <w:t>决定规定应该许可的，经</w:t>
            </w:r>
            <w:r>
              <w:rPr>
                <w:rFonts w:ascii="黑体" w:hAnsi="黑体" w:cs="黑体" w:eastAsia="黑体" w:hint="default"/>
                <w:spacing w:val="-66"/>
                <w:sz w:val="16"/>
                <w:szCs w:val="16"/>
              </w:rPr>
              <w:t> </w:t>
            </w:r>
            <w:r>
              <w:rPr>
                <w:rFonts w:ascii="黑体" w:hAnsi="黑体" w:cs="黑体" w:eastAsia="黑体" w:hint="default"/>
                <w:spacing w:val="-66"/>
                <w:sz w:val="16"/>
                <w:szCs w:val="16"/>
              </w:rPr>
            </w:r>
            <w:r>
              <w:rPr>
                <w:rFonts w:ascii="黑体" w:hAnsi="黑体" w:cs="黑体" w:eastAsia="黑体" w:hint="default"/>
                <w:spacing w:val="2"/>
                <w:sz w:val="16"/>
                <w:szCs w:val="16"/>
              </w:rPr>
              <w:t>审批机关批准并经工商行</w:t>
            </w:r>
            <w:r>
              <w:rPr>
                <w:rFonts w:ascii="黑体" w:hAnsi="黑体" w:cs="黑体" w:eastAsia="黑体" w:hint="default"/>
                <w:spacing w:val="-66"/>
                <w:sz w:val="16"/>
                <w:szCs w:val="16"/>
              </w:rPr>
              <w:t> </w:t>
            </w:r>
            <w:r>
              <w:rPr>
                <w:rFonts w:ascii="黑体" w:hAnsi="黑体" w:cs="黑体" w:eastAsia="黑体" w:hint="default"/>
                <w:spacing w:val="-66"/>
                <w:sz w:val="16"/>
                <w:szCs w:val="16"/>
              </w:rPr>
            </w:r>
            <w:r>
              <w:rPr>
                <w:rFonts w:ascii="黑体" w:hAnsi="黑体" w:cs="黑体" w:eastAsia="黑体" w:hint="default"/>
                <w:spacing w:val="2"/>
                <w:sz w:val="16"/>
                <w:szCs w:val="16"/>
              </w:rPr>
              <w:t>政管理机关登记注册后方</w:t>
            </w:r>
            <w:r>
              <w:rPr>
                <w:rFonts w:ascii="黑体" w:hAnsi="黑体" w:cs="黑体" w:eastAsia="黑体" w:hint="default"/>
                <w:spacing w:val="-66"/>
                <w:sz w:val="16"/>
                <w:szCs w:val="16"/>
              </w:rPr>
              <w:t> </w:t>
            </w:r>
            <w:r>
              <w:rPr>
                <w:rFonts w:ascii="黑体" w:hAnsi="黑体" w:cs="黑体" w:eastAsia="黑体" w:hint="default"/>
                <w:spacing w:val="-66"/>
                <w:sz w:val="16"/>
                <w:szCs w:val="16"/>
              </w:rPr>
            </w:r>
            <w:r>
              <w:rPr>
                <w:rFonts w:ascii="黑体" w:hAnsi="黑体" w:cs="黑体" w:eastAsia="黑体" w:hint="default"/>
                <w:spacing w:val="-5"/>
                <w:sz w:val="16"/>
                <w:szCs w:val="16"/>
              </w:rPr>
              <w:t>可经营；法律、行政法规、</w:t>
            </w:r>
            <w:r>
              <w:rPr>
                <w:rFonts w:ascii="黑体" w:hAnsi="黑体" w:cs="黑体" w:eastAsia="黑体" w:hint="default"/>
                <w:spacing w:val="-63"/>
                <w:sz w:val="16"/>
                <w:szCs w:val="16"/>
              </w:rPr>
              <w:t> </w:t>
            </w:r>
            <w:r>
              <w:rPr>
                <w:rFonts w:ascii="黑体" w:hAnsi="黑体" w:cs="黑体" w:eastAsia="黑体" w:hint="default"/>
                <w:spacing w:val="-63"/>
                <w:sz w:val="16"/>
                <w:szCs w:val="16"/>
              </w:rPr>
            </w:r>
            <w:r>
              <w:rPr>
                <w:rFonts w:ascii="黑体" w:hAnsi="黑体" w:cs="黑体" w:eastAsia="黑体" w:hint="default"/>
                <w:spacing w:val="13"/>
                <w:sz w:val="16"/>
                <w:szCs w:val="16"/>
              </w:rPr>
              <w:t>国务院</w:t>
            </w:r>
            <w:r>
              <w:rPr>
                <w:rFonts w:ascii="黑体" w:hAnsi="黑体" w:cs="黑体" w:eastAsia="黑体" w:hint="default"/>
                <w:spacing w:val="-57"/>
                <w:sz w:val="16"/>
                <w:szCs w:val="16"/>
              </w:rPr>
              <w:t> </w:t>
            </w:r>
            <w:r>
              <w:rPr>
                <w:rFonts w:ascii="黑体" w:hAnsi="黑体" w:cs="黑体" w:eastAsia="黑体" w:hint="default"/>
                <w:spacing w:val="10"/>
                <w:sz w:val="16"/>
                <w:szCs w:val="16"/>
              </w:rPr>
              <w:t>决定</w:t>
            </w:r>
            <w:r>
              <w:rPr>
                <w:rFonts w:ascii="黑体" w:hAnsi="黑体" w:cs="黑体" w:eastAsia="黑体" w:hint="default"/>
                <w:spacing w:val="-57"/>
                <w:sz w:val="16"/>
                <w:szCs w:val="16"/>
              </w:rPr>
              <w:t> </w:t>
            </w:r>
            <w:r>
              <w:rPr>
                <w:rFonts w:ascii="黑体" w:hAnsi="黑体" w:cs="黑体" w:eastAsia="黑体" w:hint="default"/>
                <w:spacing w:val="16"/>
                <w:sz w:val="16"/>
                <w:szCs w:val="16"/>
              </w:rPr>
              <w:t>未规定许可</w:t>
            </w:r>
            <w:r>
              <w:rPr>
                <w:rFonts w:ascii="黑体" w:hAnsi="黑体" w:cs="黑体" w:eastAsia="黑体" w:hint="default"/>
                <w:spacing w:val="-70"/>
                <w:sz w:val="16"/>
                <w:szCs w:val="16"/>
              </w:rPr>
              <w:t> </w:t>
            </w:r>
            <w:r>
              <w:rPr>
                <w:rFonts w:ascii="黑体" w:hAnsi="黑体" w:cs="黑体" w:eastAsia="黑体" w:hint="default"/>
                <w:spacing w:val="2"/>
                <w:sz w:val="16"/>
                <w:szCs w:val="16"/>
              </w:rPr>
              <w:t>的，自主选择经营项目开</w:t>
            </w:r>
            <w:r>
              <w:rPr>
                <w:rFonts w:ascii="黑体" w:hAnsi="黑体" w:cs="黑体" w:eastAsia="黑体" w:hint="default"/>
                <w:spacing w:val="-66"/>
                <w:sz w:val="16"/>
                <w:szCs w:val="16"/>
              </w:rPr>
              <w:t> </w:t>
            </w:r>
            <w:r>
              <w:rPr>
                <w:rFonts w:ascii="黑体" w:hAnsi="黑体" w:cs="黑体" w:eastAsia="黑体" w:hint="default"/>
                <w:spacing w:val="-66"/>
                <w:sz w:val="16"/>
                <w:szCs w:val="16"/>
              </w:rPr>
            </w:r>
            <w:r>
              <w:rPr>
                <w:rFonts w:ascii="黑体" w:hAnsi="黑体" w:cs="黑体" w:eastAsia="黑体" w:hint="default"/>
                <w:sz w:val="16"/>
                <w:szCs w:val="16"/>
              </w:rPr>
              <w:t>展经营活动</w:t>
            </w: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7"/>
              <w:jc w:val="right"/>
              <w:rPr>
                <w:rFonts w:ascii="Arial" w:hAnsi="Arial" w:cs="Arial" w:eastAsia="Arial" w:hint="default"/>
                <w:sz w:val="16"/>
                <w:szCs w:val="16"/>
              </w:rPr>
            </w:pPr>
            <w:r>
              <w:rPr>
                <w:rFonts w:ascii="Arial"/>
                <w:spacing w:val="-1"/>
                <w:sz w:val="16"/>
              </w:rPr>
              <w:t>25,000,000</w:t>
            </w:r>
            <w:r>
              <w:rPr>
                <w:rFonts w:ascii="Arial"/>
                <w:sz w:val="16"/>
              </w:rPr>
            </w:r>
          </w:p>
        </w:tc>
        <w:tc>
          <w:tcPr>
            <w:tcW w:w="726"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6"/>
              <w:jc w:val="right"/>
              <w:rPr>
                <w:rFonts w:ascii="Arial" w:hAnsi="Arial" w:cs="Arial" w:eastAsia="Arial" w:hint="default"/>
                <w:sz w:val="16"/>
                <w:szCs w:val="16"/>
              </w:rPr>
            </w:pPr>
            <w:r>
              <w:rPr>
                <w:rFonts w:ascii="Arial"/>
                <w:spacing w:val="-1"/>
                <w:sz w:val="16"/>
              </w:rPr>
              <w:t>5.089%</w:t>
            </w:r>
            <w:r>
              <w:rPr>
                <w:rFonts w:ascii="Arial"/>
                <w:sz w:val="16"/>
              </w:rPr>
            </w: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0"/>
              <w:jc w:val="right"/>
              <w:rPr>
                <w:rFonts w:ascii="Arial" w:hAnsi="Arial" w:cs="Arial" w:eastAsia="Arial" w:hint="default"/>
                <w:sz w:val="16"/>
                <w:szCs w:val="16"/>
              </w:rPr>
            </w:pPr>
            <w:r>
              <w:rPr>
                <w:rFonts w:ascii="Arial"/>
                <w:spacing w:val="-1"/>
                <w:sz w:val="16"/>
              </w:rPr>
              <w:t>5.089%</w:t>
            </w:r>
            <w:r>
              <w:rPr>
                <w:rFonts w:ascii="Arial"/>
                <w:sz w:val="16"/>
              </w:rPr>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27"/>
              <w:ind w:left="20" w:right="0"/>
              <w:jc w:val="left"/>
              <w:rPr>
                <w:rFonts w:ascii="Arial" w:hAnsi="Arial" w:cs="Arial" w:eastAsia="Arial" w:hint="default"/>
                <w:sz w:val="16"/>
                <w:szCs w:val="16"/>
              </w:rPr>
            </w:pPr>
            <w:r>
              <w:rPr>
                <w:rFonts w:ascii="Arial"/>
                <w:sz w:val="16"/>
              </w:rPr>
              <w:t>70003802-6</w:t>
            </w:r>
          </w:p>
        </w:tc>
      </w:tr>
    </w:tbl>
    <w:p>
      <w:pPr>
        <w:spacing w:line="240" w:lineRule="auto" w:before="11"/>
        <w:rPr>
          <w:rFonts w:ascii="黑体" w:hAnsi="黑体" w:cs="黑体" w:eastAsia="黑体" w:hint="default"/>
          <w:b/>
          <w:bCs/>
          <w:sz w:val="13"/>
          <w:szCs w:val="13"/>
        </w:rPr>
      </w:pPr>
    </w:p>
    <w:p>
      <w:pPr>
        <w:pStyle w:val="BodyText"/>
        <w:spacing w:line="240" w:lineRule="auto" w:before="37"/>
        <w:ind w:right="0"/>
        <w:jc w:val="left"/>
      </w:pPr>
      <w:r>
        <w:rPr/>
        <w:t>上述三家主要股东的最终控制方为王文京。</w:t>
      </w:r>
    </w:p>
    <w:p>
      <w:pPr>
        <w:spacing w:line="240" w:lineRule="auto" w:before="2"/>
        <w:rPr>
          <w:rFonts w:ascii="黑体" w:hAnsi="黑体" w:cs="黑体" w:eastAsia="黑体" w:hint="default"/>
          <w:sz w:val="22"/>
          <w:szCs w:val="22"/>
        </w:rPr>
      </w:pPr>
    </w:p>
    <w:p>
      <w:pPr>
        <w:tabs>
          <w:tab w:pos="742" w:val="left" w:leader="none"/>
        </w:tabs>
        <w:spacing w:line="487" w:lineRule="auto" w:before="0"/>
        <w:ind w:left="814" w:right="4472" w:hanging="713"/>
        <w:jc w:val="left"/>
        <w:rPr>
          <w:rFonts w:ascii="黑体" w:hAnsi="黑体" w:cs="黑体" w:eastAsia="黑体" w:hint="default"/>
          <w:sz w:val="20"/>
          <w:szCs w:val="20"/>
        </w:rPr>
      </w:pPr>
      <w:r>
        <w:rPr>
          <w:rFonts w:ascii="Arial" w:hAnsi="Arial" w:cs="Arial" w:eastAsia="Arial" w:hint="default"/>
          <w:b/>
          <w:bCs/>
          <w:spacing w:val="-1"/>
          <w:sz w:val="20"/>
          <w:szCs w:val="20"/>
        </w:rPr>
        <w:t>2.</w:t>
        <w:tab/>
      </w:r>
      <w:r>
        <w:rPr>
          <w:rFonts w:ascii="黑体" w:hAnsi="黑体" w:cs="黑体" w:eastAsia="黑体" w:hint="default"/>
          <w:b/>
          <w:bCs/>
          <w:spacing w:val="2"/>
          <w:sz w:val="20"/>
          <w:szCs w:val="20"/>
        </w:rPr>
        <w:t>子公司</w:t>
      </w:r>
      <w:r>
        <w:rPr>
          <w:rFonts w:ascii="黑体" w:hAnsi="黑体" w:cs="黑体" w:eastAsia="黑体" w:hint="default"/>
          <w:b/>
          <w:bCs/>
          <w:spacing w:val="2"/>
          <w:w w:val="99"/>
          <w:sz w:val="20"/>
          <w:szCs w:val="20"/>
        </w:rPr>
        <w:t> </w:t>
      </w:r>
      <w:r>
        <w:rPr>
          <w:rFonts w:ascii="黑体" w:hAnsi="黑体" w:cs="黑体" w:eastAsia="黑体" w:hint="default"/>
          <w:sz w:val="20"/>
          <w:szCs w:val="20"/>
        </w:rPr>
        <w:t>子公司详见附注四、合并财务报表的合并范围。</w:t>
      </w:r>
    </w:p>
    <w:p>
      <w:pPr>
        <w:tabs>
          <w:tab w:pos="742" w:val="left" w:leader="none"/>
        </w:tabs>
        <w:spacing w:line="487" w:lineRule="auto" w:before="93"/>
        <w:ind w:left="814" w:right="5360" w:hanging="713"/>
        <w:jc w:val="left"/>
        <w:rPr>
          <w:rFonts w:ascii="黑体" w:hAnsi="黑体" w:cs="黑体" w:eastAsia="黑体" w:hint="default"/>
          <w:sz w:val="20"/>
          <w:szCs w:val="20"/>
        </w:rPr>
      </w:pPr>
      <w:r>
        <w:rPr>
          <w:rFonts w:ascii="Arial" w:hAnsi="Arial" w:cs="Arial" w:eastAsia="Arial" w:hint="default"/>
          <w:b/>
          <w:bCs/>
          <w:spacing w:val="-1"/>
          <w:sz w:val="20"/>
          <w:szCs w:val="20"/>
        </w:rPr>
        <w:t>3.</w:t>
        <w:tab/>
      </w:r>
      <w:r>
        <w:rPr>
          <w:rFonts w:ascii="黑体" w:hAnsi="黑体" w:cs="黑体" w:eastAsia="黑体" w:hint="default"/>
          <w:b/>
          <w:bCs/>
          <w:spacing w:val="1"/>
          <w:sz w:val="20"/>
          <w:szCs w:val="20"/>
        </w:rPr>
        <w:t>合营企业和联营企业</w:t>
      </w:r>
      <w:r>
        <w:rPr>
          <w:rFonts w:ascii="黑体" w:hAnsi="黑体" w:cs="黑体" w:eastAsia="黑体" w:hint="default"/>
          <w:b/>
          <w:bCs/>
          <w:spacing w:val="2"/>
          <w:w w:val="99"/>
          <w:sz w:val="20"/>
          <w:szCs w:val="20"/>
        </w:rPr>
        <w:t> </w:t>
      </w:r>
      <w:r>
        <w:rPr>
          <w:rFonts w:ascii="黑体" w:hAnsi="黑体" w:cs="黑体" w:eastAsia="黑体" w:hint="default"/>
          <w:sz w:val="20"/>
          <w:szCs w:val="20"/>
        </w:rPr>
        <w:t>合营企业和联营企业详见附注五、</w:t>
      </w:r>
      <w:r>
        <w:rPr>
          <w:rFonts w:ascii="Arial" w:hAnsi="Arial" w:cs="Arial" w:eastAsia="Arial" w:hint="default"/>
          <w:sz w:val="20"/>
          <w:szCs w:val="20"/>
        </w:rPr>
        <w:t>8</w:t>
      </w:r>
      <w:r>
        <w:rPr>
          <w:rFonts w:ascii="黑体" w:hAnsi="黑体" w:cs="黑体" w:eastAsia="黑体" w:hint="default"/>
          <w:sz w:val="20"/>
          <w:szCs w:val="20"/>
        </w:rPr>
        <w:t>。</w:t>
      </w:r>
    </w:p>
    <w:p>
      <w:pPr>
        <w:pStyle w:val="Heading6"/>
        <w:tabs>
          <w:tab w:pos="742" w:val="left" w:leader="none"/>
        </w:tabs>
        <w:spacing w:line="269" w:lineRule="exact" w:before="0"/>
        <w:ind w:right="0"/>
        <w:jc w:val="left"/>
        <w:rPr>
          <w:b w:val="0"/>
          <w:bCs w:val="0"/>
        </w:rPr>
      </w:pPr>
      <w:r>
        <w:rPr>
          <w:rFonts w:ascii="Arial" w:hAnsi="Arial" w:cs="Arial" w:eastAsia="Arial" w:hint="default"/>
          <w:spacing w:val="-1"/>
        </w:rPr>
        <w:t>4.</w:t>
        <w:tab/>
      </w:r>
      <w:r>
        <w:rPr>
          <w:spacing w:val="1"/>
        </w:rPr>
        <w:t>其他关联方</w:t>
      </w:r>
      <w:r>
        <w:rPr>
          <w:b w:val="0"/>
          <w:bCs w:val="0"/>
        </w:rPr>
      </w:r>
    </w:p>
    <w:p>
      <w:pPr>
        <w:spacing w:line="240" w:lineRule="auto" w:before="6"/>
        <w:rPr>
          <w:rFonts w:ascii="黑体" w:hAnsi="黑体" w:cs="黑体" w:eastAsia="黑体" w:hint="default"/>
          <w:b/>
          <w:bCs/>
          <w:sz w:val="21"/>
          <w:szCs w:val="21"/>
        </w:rPr>
      </w:pPr>
    </w:p>
    <w:tbl>
      <w:tblPr>
        <w:tblW w:w="0" w:type="auto"/>
        <w:jc w:val="left"/>
        <w:tblInd w:w="602" w:type="dxa"/>
        <w:tblLayout w:type="fixed"/>
        <w:tblCellMar>
          <w:top w:w="0" w:type="dxa"/>
          <w:left w:w="0" w:type="dxa"/>
          <w:bottom w:w="0" w:type="dxa"/>
          <w:right w:w="0" w:type="dxa"/>
        </w:tblCellMar>
        <w:tblLook w:val="01E0"/>
      </w:tblPr>
      <w:tblGrid>
        <w:gridCol w:w="3244"/>
        <w:gridCol w:w="3298"/>
        <w:gridCol w:w="1651"/>
      </w:tblGrid>
      <w:tr>
        <w:trPr>
          <w:trHeight w:val="346" w:hRule="exact"/>
        </w:trPr>
        <w:tc>
          <w:tcPr>
            <w:tcW w:w="3244" w:type="dxa"/>
            <w:tcBorders>
              <w:top w:val="nil" w:sz="6" w:space="0" w:color="auto"/>
              <w:left w:val="nil" w:sz="6" w:space="0" w:color="auto"/>
              <w:bottom w:val="nil" w:sz="6" w:space="0" w:color="auto"/>
              <w:right w:val="nil" w:sz="6" w:space="0" w:color="auto"/>
            </w:tcBorders>
          </w:tcPr>
          <w:p>
            <w:pPr/>
          </w:p>
        </w:tc>
        <w:tc>
          <w:tcPr>
            <w:tcW w:w="3298" w:type="dxa"/>
            <w:tcBorders>
              <w:top w:val="nil" w:sz="6" w:space="0" w:color="auto"/>
              <w:left w:val="nil" w:sz="6" w:space="0" w:color="auto"/>
              <w:bottom w:val="nil" w:sz="6" w:space="0" w:color="auto"/>
              <w:right w:val="nil" w:sz="6" w:space="0" w:color="auto"/>
            </w:tcBorders>
          </w:tcPr>
          <w:p>
            <w:pPr>
              <w:pStyle w:val="TableParagraph"/>
              <w:spacing w:line="199" w:lineRule="exact"/>
              <w:ind w:right="251"/>
              <w:jc w:val="right"/>
              <w:rPr>
                <w:rFonts w:ascii="黑体" w:hAnsi="黑体" w:cs="黑体" w:eastAsia="黑体" w:hint="default"/>
                <w:sz w:val="20"/>
                <w:szCs w:val="20"/>
              </w:rPr>
            </w:pPr>
            <w:r>
              <w:rPr>
                <w:rFonts w:ascii="黑体" w:hAnsi="黑体" w:cs="黑体" w:eastAsia="黑体" w:hint="default"/>
                <w:w w:val="95"/>
                <w:sz w:val="20"/>
                <w:szCs w:val="20"/>
              </w:rPr>
              <w:t>关联方关系</w:t>
            </w:r>
            <w:r>
              <w:rPr>
                <w:rFonts w:ascii="黑体" w:hAnsi="黑体" w:cs="黑体" w:eastAsia="黑体" w:hint="default"/>
                <w:sz w:val="20"/>
                <w:szCs w:val="20"/>
              </w:rPr>
            </w:r>
          </w:p>
        </w:tc>
        <w:tc>
          <w:tcPr>
            <w:tcW w:w="1651" w:type="dxa"/>
            <w:tcBorders>
              <w:top w:val="nil" w:sz="6" w:space="0" w:color="auto"/>
              <w:left w:val="nil" w:sz="6" w:space="0" w:color="auto"/>
              <w:bottom w:val="nil" w:sz="6" w:space="0" w:color="auto"/>
              <w:right w:val="nil" w:sz="6" w:space="0" w:color="auto"/>
            </w:tcBorders>
          </w:tcPr>
          <w:p>
            <w:pPr>
              <w:pStyle w:val="TableParagraph"/>
              <w:spacing w:line="199" w:lineRule="exact"/>
              <w:ind w:right="198"/>
              <w:jc w:val="right"/>
              <w:rPr>
                <w:rFonts w:ascii="黑体" w:hAnsi="黑体" w:cs="黑体" w:eastAsia="黑体" w:hint="default"/>
                <w:sz w:val="20"/>
                <w:szCs w:val="20"/>
              </w:rPr>
            </w:pPr>
            <w:r>
              <w:rPr>
                <w:rFonts w:ascii="黑体" w:hAnsi="黑体" w:cs="黑体" w:eastAsia="黑体" w:hint="default"/>
                <w:w w:val="95"/>
                <w:sz w:val="20"/>
                <w:szCs w:val="20"/>
              </w:rPr>
              <w:t>组织机构代码</w:t>
            </w:r>
            <w:r>
              <w:rPr>
                <w:rFonts w:ascii="黑体" w:hAnsi="黑体" w:cs="黑体" w:eastAsia="黑体" w:hint="default"/>
                <w:sz w:val="20"/>
                <w:szCs w:val="20"/>
              </w:rPr>
            </w:r>
          </w:p>
        </w:tc>
      </w:tr>
      <w:tr>
        <w:trPr>
          <w:trHeight w:val="388" w:hRule="exact"/>
        </w:trPr>
        <w:tc>
          <w:tcPr>
            <w:tcW w:w="324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黑体" w:hAnsi="黑体" w:cs="黑体" w:eastAsia="黑体" w:hint="default"/>
                <w:sz w:val="20"/>
                <w:szCs w:val="20"/>
              </w:rPr>
            </w:pPr>
            <w:r>
              <w:rPr>
                <w:rFonts w:ascii="黑体" w:hAnsi="黑体" w:cs="黑体" w:eastAsia="黑体" w:hint="default"/>
                <w:sz w:val="20"/>
                <w:szCs w:val="20"/>
              </w:rPr>
              <w:t>上海益倍</w:t>
            </w:r>
          </w:p>
        </w:tc>
        <w:tc>
          <w:tcPr>
            <w:tcW w:w="3298"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51"/>
              <w:jc w:val="right"/>
              <w:rPr>
                <w:rFonts w:ascii="黑体" w:hAnsi="黑体" w:cs="黑体" w:eastAsia="黑体" w:hint="default"/>
                <w:sz w:val="20"/>
                <w:szCs w:val="20"/>
              </w:rPr>
            </w:pPr>
            <w:r>
              <w:rPr>
                <w:rFonts w:ascii="黑体" w:hAnsi="黑体" w:cs="黑体" w:eastAsia="黑体" w:hint="default"/>
                <w:w w:val="95"/>
                <w:sz w:val="20"/>
                <w:szCs w:val="20"/>
              </w:rPr>
              <w:t>本公司关键管理人员控制的公司</w:t>
            </w:r>
            <w:r>
              <w:rPr>
                <w:rFonts w:ascii="黑体" w:hAnsi="黑体" w:cs="黑体" w:eastAsia="黑体" w:hint="default"/>
                <w:sz w:val="20"/>
                <w:szCs w:val="20"/>
              </w:rPr>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98"/>
              <w:jc w:val="right"/>
              <w:rPr>
                <w:rFonts w:ascii="Arial" w:hAnsi="Arial" w:cs="Arial" w:eastAsia="Arial" w:hint="default"/>
                <w:sz w:val="20"/>
                <w:szCs w:val="20"/>
              </w:rPr>
            </w:pPr>
            <w:r>
              <w:rPr>
                <w:rFonts w:ascii="Arial"/>
                <w:spacing w:val="-1"/>
                <w:sz w:val="20"/>
              </w:rPr>
              <w:t>72952116-9</w:t>
            </w:r>
          </w:p>
        </w:tc>
      </w:tr>
      <w:tr>
        <w:trPr>
          <w:trHeight w:val="246" w:hRule="exact"/>
        </w:trPr>
        <w:tc>
          <w:tcPr>
            <w:tcW w:w="3244" w:type="dxa"/>
            <w:tcBorders>
              <w:top w:val="nil" w:sz="6" w:space="0" w:color="auto"/>
              <w:left w:val="nil" w:sz="6" w:space="0" w:color="auto"/>
              <w:bottom w:val="nil" w:sz="6" w:space="0" w:color="auto"/>
              <w:right w:val="nil" w:sz="6" w:space="0" w:color="auto"/>
            </w:tcBorders>
          </w:tcPr>
          <w:p>
            <w:pPr>
              <w:pStyle w:val="TableParagraph"/>
              <w:spacing w:line="212" w:lineRule="exact"/>
              <w:ind w:left="200" w:right="0"/>
              <w:jc w:val="left"/>
              <w:rPr>
                <w:rFonts w:ascii="黑体" w:hAnsi="黑体" w:cs="黑体" w:eastAsia="黑体" w:hint="default"/>
                <w:sz w:val="20"/>
                <w:szCs w:val="20"/>
              </w:rPr>
            </w:pPr>
            <w:r>
              <w:rPr>
                <w:rFonts w:ascii="黑体" w:hAnsi="黑体" w:cs="黑体" w:eastAsia="黑体" w:hint="default"/>
                <w:sz w:val="20"/>
                <w:szCs w:val="20"/>
              </w:rPr>
              <w:t>上海优富</w:t>
            </w:r>
          </w:p>
        </w:tc>
        <w:tc>
          <w:tcPr>
            <w:tcW w:w="3298" w:type="dxa"/>
            <w:tcBorders>
              <w:top w:val="nil" w:sz="6" w:space="0" w:color="auto"/>
              <w:left w:val="nil" w:sz="6" w:space="0" w:color="auto"/>
              <w:bottom w:val="nil" w:sz="6" w:space="0" w:color="auto"/>
              <w:right w:val="nil" w:sz="6" w:space="0" w:color="auto"/>
            </w:tcBorders>
          </w:tcPr>
          <w:p>
            <w:pPr>
              <w:pStyle w:val="TableParagraph"/>
              <w:spacing w:line="232" w:lineRule="exact"/>
              <w:ind w:right="251"/>
              <w:jc w:val="right"/>
              <w:rPr>
                <w:rFonts w:ascii="黑体" w:hAnsi="黑体" w:cs="黑体" w:eastAsia="黑体" w:hint="default"/>
                <w:sz w:val="20"/>
                <w:szCs w:val="20"/>
              </w:rPr>
            </w:pPr>
            <w:r>
              <w:rPr>
                <w:rFonts w:ascii="黑体" w:hAnsi="黑体" w:cs="黑体" w:eastAsia="黑体" w:hint="default"/>
                <w:w w:val="95"/>
                <w:sz w:val="20"/>
                <w:szCs w:val="20"/>
              </w:rPr>
              <w:t>本公司关键管理人员控制的公司</w:t>
            </w:r>
            <w:r>
              <w:rPr>
                <w:rFonts w:ascii="黑体" w:hAnsi="黑体" w:cs="黑体" w:eastAsia="黑体" w:hint="default"/>
                <w:sz w:val="20"/>
                <w:szCs w:val="20"/>
              </w:rPr>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98"/>
              <w:jc w:val="right"/>
              <w:rPr>
                <w:rFonts w:ascii="Arial" w:hAnsi="Arial" w:cs="Arial" w:eastAsia="Arial" w:hint="default"/>
                <w:sz w:val="20"/>
                <w:szCs w:val="20"/>
              </w:rPr>
            </w:pPr>
            <w:r>
              <w:rPr>
                <w:rFonts w:ascii="Arial"/>
                <w:spacing w:val="-1"/>
                <w:sz w:val="20"/>
              </w:rPr>
              <w:t>72952115-0</w:t>
            </w:r>
          </w:p>
        </w:tc>
      </w:tr>
      <w:tr>
        <w:trPr>
          <w:trHeight w:val="440" w:hRule="exact"/>
        </w:trPr>
        <w:tc>
          <w:tcPr>
            <w:tcW w:w="3244" w:type="dxa"/>
            <w:tcBorders>
              <w:top w:val="nil" w:sz="6" w:space="0" w:color="auto"/>
              <w:left w:val="nil" w:sz="6" w:space="0" w:color="auto"/>
              <w:bottom w:val="nil" w:sz="6" w:space="0" w:color="auto"/>
              <w:right w:val="nil" w:sz="6" w:space="0" w:color="auto"/>
            </w:tcBorders>
          </w:tcPr>
          <w:p>
            <w:pPr>
              <w:pStyle w:val="TableParagraph"/>
              <w:spacing w:line="184" w:lineRule="exact"/>
              <w:ind w:right="44"/>
              <w:jc w:val="center"/>
              <w:rPr>
                <w:rFonts w:ascii="黑体" w:hAnsi="黑体" w:cs="黑体" w:eastAsia="黑体" w:hint="default"/>
                <w:sz w:val="20"/>
                <w:szCs w:val="20"/>
              </w:rPr>
            </w:pPr>
            <w:r>
              <w:rPr>
                <w:rFonts w:ascii="黑体" w:hAnsi="黑体" w:cs="黑体" w:eastAsia="黑体" w:hint="default"/>
                <w:sz w:val="20"/>
                <w:szCs w:val="20"/>
              </w:rPr>
              <w:t>北京伟库电子商务科技有限公司</w:t>
            </w:r>
          </w:p>
          <w:p>
            <w:pPr>
              <w:pStyle w:val="TableParagraph"/>
              <w:spacing w:line="241" w:lineRule="exact"/>
              <w:ind w:right="147"/>
              <w:jc w:val="center"/>
              <w:rPr>
                <w:rFonts w:ascii="黑体" w:hAnsi="黑体" w:cs="黑体" w:eastAsia="黑体" w:hint="default"/>
                <w:sz w:val="20"/>
                <w:szCs w:val="20"/>
              </w:rPr>
            </w:pPr>
            <w:r>
              <w:rPr>
                <w:rFonts w:ascii="黑体" w:hAnsi="黑体" w:cs="黑体" w:eastAsia="黑体" w:hint="default"/>
                <w:sz w:val="20"/>
                <w:szCs w:val="20"/>
              </w:rPr>
              <w:t>（以下简称“北京伟库”）</w:t>
            </w:r>
          </w:p>
        </w:tc>
        <w:tc>
          <w:tcPr>
            <w:tcW w:w="3298"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251"/>
              <w:jc w:val="right"/>
              <w:rPr>
                <w:rFonts w:ascii="黑体" w:hAnsi="黑体" w:cs="黑体" w:eastAsia="黑体" w:hint="default"/>
                <w:sz w:val="20"/>
                <w:szCs w:val="20"/>
              </w:rPr>
            </w:pPr>
            <w:r>
              <w:rPr>
                <w:rFonts w:ascii="黑体" w:hAnsi="黑体" w:cs="黑体" w:eastAsia="黑体" w:hint="default"/>
                <w:w w:val="95"/>
                <w:sz w:val="20"/>
                <w:szCs w:val="20"/>
              </w:rPr>
              <w:t>受用友研究所控制</w:t>
            </w:r>
            <w:r>
              <w:rPr>
                <w:rFonts w:ascii="黑体" w:hAnsi="黑体" w:cs="黑体" w:eastAsia="黑体" w:hint="default"/>
                <w:sz w:val="20"/>
                <w:szCs w:val="20"/>
              </w:rPr>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b/>
                <w:bCs/>
                <w:sz w:val="15"/>
                <w:szCs w:val="15"/>
              </w:rPr>
            </w:pPr>
          </w:p>
          <w:p>
            <w:pPr>
              <w:pStyle w:val="TableParagraph"/>
              <w:spacing w:line="240" w:lineRule="auto"/>
              <w:ind w:right="198"/>
              <w:jc w:val="right"/>
              <w:rPr>
                <w:rFonts w:ascii="Arial" w:hAnsi="Arial" w:cs="Arial" w:eastAsia="Arial" w:hint="default"/>
                <w:sz w:val="20"/>
                <w:szCs w:val="20"/>
              </w:rPr>
            </w:pPr>
            <w:r>
              <w:rPr>
                <w:rFonts w:ascii="Arial"/>
                <w:spacing w:val="-1"/>
                <w:sz w:val="20"/>
              </w:rPr>
              <w:t>79344909-3</w:t>
            </w:r>
          </w:p>
        </w:tc>
      </w:tr>
      <w:tr>
        <w:trPr>
          <w:trHeight w:val="433" w:hRule="exact"/>
        </w:trPr>
        <w:tc>
          <w:tcPr>
            <w:tcW w:w="3244" w:type="dxa"/>
            <w:tcBorders>
              <w:top w:val="nil" w:sz="6" w:space="0" w:color="auto"/>
              <w:left w:val="nil" w:sz="6" w:space="0" w:color="auto"/>
              <w:bottom w:val="nil" w:sz="6" w:space="0" w:color="auto"/>
              <w:right w:val="nil" w:sz="6" w:space="0" w:color="auto"/>
            </w:tcBorders>
          </w:tcPr>
          <w:p>
            <w:pPr>
              <w:pStyle w:val="TableParagraph"/>
              <w:spacing w:line="218" w:lineRule="exact" w:before="2"/>
              <w:ind w:left="423" w:right="622" w:hanging="216"/>
              <w:jc w:val="left"/>
              <w:rPr>
                <w:rFonts w:ascii="黑体" w:hAnsi="黑体" w:cs="黑体" w:eastAsia="黑体" w:hint="default"/>
                <w:sz w:val="20"/>
                <w:szCs w:val="20"/>
              </w:rPr>
            </w:pPr>
            <w:r>
              <w:rPr>
                <w:rFonts w:ascii="黑体" w:hAnsi="黑体" w:cs="黑体" w:eastAsia="黑体" w:hint="default"/>
                <w:sz w:val="20"/>
                <w:szCs w:val="20"/>
              </w:rPr>
              <w:t>北京用友教育投资有限公司</w:t>
            </w:r>
            <w:r>
              <w:rPr>
                <w:rFonts w:ascii="黑体" w:hAnsi="黑体" w:cs="黑体" w:eastAsia="黑体" w:hint="default"/>
                <w:w w:val="99"/>
                <w:sz w:val="20"/>
                <w:szCs w:val="20"/>
              </w:rPr>
              <w:t> </w:t>
            </w:r>
            <w:r>
              <w:rPr>
                <w:rFonts w:ascii="黑体" w:hAnsi="黑体" w:cs="黑体" w:eastAsia="黑体" w:hint="default"/>
                <w:w w:val="95"/>
                <w:sz w:val="20"/>
                <w:szCs w:val="20"/>
              </w:rPr>
              <w:t>(以下简称“用友教育”)</w:t>
            </w:r>
            <w:r>
              <w:rPr>
                <w:rFonts w:ascii="黑体" w:hAnsi="黑体" w:cs="黑体" w:eastAsia="黑体" w:hint="default"/>
                <w:sz w:val="20"/>
                <w:szCs w:val="20"/>
              </w:rPr>
            </w:r>
          </w:p>
        </w:tc>
        <w:tc>
          <w:tcPr>
            <w:tcW w:w="3298"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251"/>
              <w:jc w:val="right"/>
              <w:rPr>
                <w:rFonts w:ascii="黑体" w:hAnsi="黑体" w:cs="黑体" w:eastAsia="黑体" w:hint="default"/>
                <w:sz w:val="20"/>
                <w:szCs w:val="20"/>
              </w:rPr>
            </w:pPr>
            <w:r>
              <w:rPr>
                <w:rFonts w:ascii="黑体" w:hAnsi="黑体" w:cs="黑体" w:eastAsia="黑体" w:hint="default"/>
                <w:w w:val="95"/>
                <w:sz w:val="20"/>
                <w:szCs w:val="20"/>
              </w:rPr>
              <w:t>受用友研究所控制</w:t>
            </w:r>
            <w:r>
              <w:rPr>
                <w:rFonts w:ascii="黑体" w:hAnsi="黑体" w:cs="黑体" w:eastAsia="黑体" w:hint="default"/>
                <w:sz w:val="20"/>
                <w:szCs w:val="20"/>
              </w:rPr>
            </w:r>
          </w:p>
        </w:tc>
        <w:tc>
          <w:tcPr>
            <w:tcW w:w="16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b/>
                <w:bCs/>
                <w:sz w:val="15"/>
                <w:szCs w:val="15"/>
              </w:rPr>
            </w:pPr>
          </w:p>
          <w:p>
            <w:pPr>
              <w:pStyle w:val="TableParagraph"/>
              <w:spacing w:line="240" w:lineRule="auto"/>
              <w:ind w:right="198"/>
              <w:jc w:val="right"/>
              <w:rPr>
                <w:rFonts w:ascii="Arial" w:hAnsi="Arial" w:cs="Arial" w:eastAsia="Arial" w:hint="default"/>
                <w:sz w:val="20"/>
                <w:szCs w:val="20"/>
              </w:rPr>
            </w:pPr>
            <w:r>
              <w:rPr>
                <w:rFonts w:ascii="Arial"/>
                <w:spacing w:val="-1"/>
                <w:sz w:val="20"/>
              </w:rPr>
              <w:t>68047729-0</w:t>
            </w:r>
          </w:p>
        </w:tc>
      </w:tr>
    </w:tbl>
    <w:p>
      <w:pPr>
        <w:spacing w:after="0" w:line="240" w:lineRule="auto"/>
        <w:jc w:val="right"/>
        <w:rPr>
          <w:rFonts w:ascii="Arial" w:hAnsi="Arial" w:cs="Arial" w:eastAsia="Arial" w:hint="default"/>
          <w:sz w:val="20"/>
          <w:szCs w:val="20"/>
        </w:rPr>
        <w:sectPr>
          <w:pgSz w:w="11910" w:h="16840"/>
          <w:pgMar w:header="825" w:footer="473" w:top="2420" w:bottom="660" w:left="1600" w:right="820"/>
        </w:sectPr>
      </w:pPr>
    </w:p>
    <w:p>
      <w:pPr>
        <w:spacing w:line="240" w:lineRule="auto" w:before="7"/>
        <w:rPr>
          <w:rFonts w:ascii="黑体" w:hAnsi="黑体" w:cs="黑体" w:eastAsia="黑体" w:hint="default"/>
          <w:b/>
          <w:bCs/>
          <w:sz w:val="23"/>
          <w:szCs w:val="23"/>
        </w:rPr>
      </w:pPr>
    </w:p>
    <w:p>
      <w:pPr>
        <w:pStyle w:val="Heading6"/>
        <w:tabs>
          <w:tab w:pos="706" w:val="left" w:leader="none"/>
        </w:tabs>
        <w:spacing w:line="240" w:lineRule="auto"/>
        <w:ind w:right="0"/>
        <w:jc w:val="left"/>
        <w:rPr>
          <w:b w:val="0"/>
          <w:bCs w:val="0"/>
        </w:rPr>
      </w:pPr>
      <w:r>
        <w:rPr>
          <w:w w:val="95"/>
        </w:rPr>
        <w:t>六、</w:t>
        <w:tab/>
      </w:r>
      <w:r>
        <w:rPr/>
        <w:t>关联方关系及其交易（续）</w:t>
      </w:r>
      <w:r>
        <w:rPr>
          <w:b w:val="0"/>
          <w:bCs w:val="0"/>
        </w:rPr>
      </w:r>
    </w:p>
    <w:p>
      <w:pPr>
        <w:spacing w:line="240" w:lineRule="auto" w:before="8"/>
        <w:rPr>
          <w:rFonts w:ascii="黑体" w:hAnsi="黑体" w:cs="黑体" w:eastAsia="黑体" w:hint="default"/>
          <w:b/>
          <w:bCs/>
          <w:sz w:val="19"/>
          <w:szCs w:val="19"/>
        </w:rPr>
      </w:pPr>
    </w:p>
    <w:p>
      <w:pPr>
        <w:pStyle w:val="Heading6"/>
        <w:tabs>
          <w:tab w:pos="823" w:val="left" w:leader="none"/>
        </w:tabs>
        <w:spacing w:line="240" w:lineRule="auto" w:before="0"/>
        <w:ind w:left="130" w:right="0"/>
        <w:jc w:val="left"/>
        <w:rPr>
          <w:b w:val="0"/>
          <w:bCs w:val="0"/>
        </w:rPr>
      </w:pPr>
      <w:r>
        <w:rPr>
          <w:rFonts w:ascii="Arial" w:hAnsi="Arial" w:cs="Arial" w:eastAsia="Arial" w:hint="default"/>
          <w:spacing w:val="-1"/>
        </w:rPr>
        <w:t>5.</w:t>
        <w:tab/>
      </w:r>
      <w:r>
        <w:rPr>
          <w:spacing w:val="1"/>
        </w:rPr>
        <w:t>本集团与关联方的主要交易</w:t>
      </w:r>
      <w:r>
        <w:rPr>
          <w:b w:val="0"/>
          <w:bCs w:val="0"/>
          <w:spacing w:val="1"/>
        </w:rPr>
      </w:r>
    </w:p>
    <w:p>
      <w:pPr>
        <w:spacing w:line="240" w:lineRule="auto" w:before="12"/>
        <w:rPr>
          <w:rFonts w:ascii="黑体" w:hAnsi="黑体" w:cs="黑体" w:eastAsia="黑体" w:hint="default"/>
          <w:b/>
          <w:bCs/>
          <w:sz w:val="22"/>
          <w:szCs w:val="22"/>
        </w:rPr>
      </w:pPr>
    </w:p>
    <w:p>
      <w:pPr>
        <w:pStyle w:val="BodyText"/>
        <w:tabs>
          <w:tab w:pos="1260" w:val="left" w:leader="none"/>
        </w:tabs>
        <w:spacing w:line="520" w:lineRule="auto"/>
        <w:ind w:right="5610"/>
        <w:jc w:val="left"/>
      </w:pPr>
      <w:r>
        <w:rPr/>
        <w:pict>
          <v:shape style="position:absolute;margin-left:110.120003pt;margin-top:48.840523pt;width:409.45pt;height:121.7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36"/>
                    <w:gridCol w:w="2379"/>
                    <w:gridCol w:w="945"/>
                    <w:gridCol w:w="1201"/>
                    <w:gridCol w:w="1027"/>
                  </w:tblGrid>
                  <w:tr>
                    <w:trPr>
                      <w:trHeight w:val="244" w:hRule="exact"/>
                    </w:trPr>
                    <w:tc>
                      <w:tcPr>
                        <w:tcW w:w="2636" w:type="dxa"/>
                        <w:tcBorders>
                          <w:top w:val="nil" w:sz="6" w:space="0" w:color="auto"/>
                          <w:left w:val="nil" w:sz="6" w:space="0" w:color="auto"/>
                          <w:bottom w:val="nil" w:sz="6" w:space="0" w:color="auto"/>
                          <w:right w:val="nil" w:sz="6" w:space="0" w:color="auto"/>
                        </w:tcBorders>
                      </w:tcPr>
                      <w:p>
                        <w:pPr/>
                      </w:p>
                    </w:tc>
                    <w:tc>
                      <w:tcPr>
                        <w:tcW w:w="2379" w:type="dxa"/>
                        <w:tcBorders>
                          <w:top w:val="nil" w:sz="6" w:space="0" w:color="auto"/>
                          <w:left w:val="nil" w:sz="6" w:space="0" w:color="auto"/>
                          <w:bottom w:val="nil" w:sz="6" w:space="0" w:color="auto"/>
                          <w:right w:val="nil" w:sz="6" w:space="0" w:color="auto"/>
                        </w:tcBorders>
                      </w:tcPr>
                      <w:p>
                        <w:pPr/>
                      </w:p>
                    </w:tc>
                    <w:tc>
                      <w:tcPr>
                        <w:tcW w:w="945" w:type="dxa"/>
                        <w:tcBorders>
                          <w:top w:val="nil" w:sz="6" w:space="0" w:color="auto"/>
                          <w:left w:val="nil" w:sz="6" w:space="0" w:color="auto"/>
                          <w:bottom w:val="nil" w:sz="6" w:space="0" w:color="auto"/>
                          <w:right w:val="nil" w:sz="6" w:space="0" w:color="auto"/>
                        </w:tcBorders>
                      </w:tcPr>
                      <w:p>
                        <w:pPr>
                          <w:pStyle w:val="TableParagraph"/>
                          <w:spacing w:line="214" w:lineRule="exact"/>
                          <w:ind w:right="84"/>
                          <w:jc w:val="right"/>
                          <w:rPr>
                            <w:rFonts w:ascii="黑体" w:hAnsi="黑体" w:cs="黑体" w:eastAsia="黑体" w:hint="default"/>
                            <w:sz w:val="20"/>
                            <w:szCs w:val="20"/>
                          </w:rPr>
                        </w:pPr>
                        <w:r>
                          <w:rPr>
                            <w:rFonts w:ascii="Arial" w:hAnsi="Arial" w:cs="Arial" w:eastAsia="Arial" w:hint="default"/>
                            <w:sz w:val="20"/>
                            <w:szCs w:val="20"/>
                          </w:rPr>
                          <w:t>2012</w:t>
                        </w:r>
                        <w:r>
                          <w:rPr>
                            <w:rFonts w:ascii="Arial" w:hAnsi="Arial" w:cs="Arial" w:eastAsia="Arial" w:hint="default"/>
                            <w:spacing w:val="-12"/>
                            <w:sz w:val="20"/>
                            <w:szCs w:val="20"/>
                          </w:rPr>
                          <w:t> </w:t>
                        </w:r>
                        <w:r>
                          <w:rPr>
                            <w:rFonts w:ascii="黑体" w:hAnsi="黑体" w:cs="黑体" w:eastAsia="黑体" w:hint="default"/>
                            <w:sz w:val="20"/>
                            <w:szCs w:val="20"/>
                          </w:rPr>
                          <w:t>年</w:t>
                        </w:r>
                      </w:p>
                    </w:tc>
                    <w:tc>
                      <w:tcPr>
                        <w:tcW w:w="1201"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Style w:val="TableParagraph"/>
                          <w:spacing w:line="214" w:lineRule="exact"/>
                          <w:ind w:right="265"/>
                          <w:jc w:val="right"/>
                          <w:rPr>
                            <w:rFonts w:ascii="黑体" w:hAnsi="黑体" w:cs="黑体" w:eastAsia="黑体" w:hint="default"/>
                            <w:sz w:val="20"/>
                            <w:szCs w:val="20"/>
                          </w:rPr>
                        </w:pPr>
                        <w:r>
                          <w:rPr>
                            <w:rFonts w:ascii="Arial" w:hAnsi="Arial" w:cs="Arial" w:eastAsia="Arial" w:hint="default"/>
                            <w:sz w:val="20"/>
                            <w:szCs w:val="20"/>
                          </w:rPr>
                          <w:t>2011</w:t>
                        </w:r>
                        <w:r>
                          <w:rPr>
                            <w:rFonts w:ascii="Arial" w:hAnsi="Arial" w:cs="Arial" w:eastAsia="Arial" w:hint="default"/>
                            <w:spacing w:val="-12"/>
                            <w:sz w:val="20"/>
                            <w:szCs w:val="20"/>
                          </w:rPr>
                          <w:t> </w:t>
                        </w:r>
                        <w:r>
                          <w:rPr>
                            <w:rFonts w:ascii="黑体" w:hAnsi="黑体" w:cs="黑体" w:eastAsia="黑体" w:hint="default"/>
                            <w:sz w:val="20"/>
                            <w:szCs w:val="20"/>
                          </w:rPr>
                          <w:t>年</w:t>
                        </w:r>
                      </w:p>
                    </w:tc>
                  </w:tr>
                  <w:tr>
                    <w:trPr>
                      <w:trHeight w:val="418" w:hRule="exact"/>
                    </w:trPr>
                    <w:tc>
                      <w:tcPr>
                        <w:tcW w:w="2636" w:type="dxa"/>
                        <w:tcBorders>
                          <w:top w:val="nil" w:sz="6" w:space="0" w:color="auto"/>
                          <w:left w:val="nil" w:sz="6" w:space="0" w:color="auto"/>
                          <w:bottom w:val="nil" w:sz="6" w:space="0" w:color="auto"/>
                          <w:right w:val="nil" w:sz="6" w:space="0" w:color="auto"/>
                        </w:tcBorders>
                      </w:tcPr>
                      <w:p>
                        <w:pPr/>
                      </w:p>
                    </w:tc>
                    <w:tc>
                      <w:tcPr>
                        <w:tcW w:w="2379" w:type="dxa"/>
                        <w:tcBorders>
                          <w:top w:val="nil" w:sz="6" w:space="0" w:color="auto"/>
                          <w:left w:val="nil" w:sz="6" w:space="0" w:color="auto"/>
                          <w:bottom w:val="nil" w:sz="6" w:space="0" w:color="auto"/>
                          <w:right w:val="nil" w:sz="6" w:space="0" w:color="auto"/>
                        </w:tcBorders>
                      </w:tcPr>
                      <w:p>
                        <w:pPr>
                          <w:pStyle w:val="TableParagraph"/>
                          <w:spacing w:line="234" w:lineRule="exact"/>
                          <w:ind w:right="140"/>
                          <w:jc w:val="right"/>
                          <w:rPr>
                            <w:rFonts w:ascii="黑体" w:hAnsi="黑体" w:cs="黑体" w:eastAsia="黑体" w:hint="default"/>
                            <w:sz w:val="20"/>
                            <w:szCs w:val="20"/>
                          </w:rPr>
                        </w:pPr>
                        <w:r>
                          <w:rPr>
                            <w:rFonts w:ascii="黑体" w:hAnsi="黑体" w:cs="黑体" w:eastAsia="黑体" w:hint="default"/>
                            <w:w w:val="95"/>
                            <w:sz w:val="20"/>
                            <w:szCs w:val="20"/>
                          </w:rPr>
                          <w:t>金额</w:t>
                        </w:r>
                        <w:r>
                          <w:rPr>
                            <w:rFonts w:ascii="黑体" w:hAnsi="黑体" w:cs="黑体" w:eastAsia="黑体" w:hint="default"/>
                            <w:sz w:val="20"/>
                            <w:szCs w:val="20"/>
                          </w:rPr>
                        </w:r>
                      </w:p>
                    </w:tc>
                    <w:tc>
                      <w:tcPr>
                        <w:tcW w:w="945" w:type="dxa"/>
                        <w:tcBorders>
                          <w:top w:val="nil" w:sz="6" w:space="0" w:color="auto"/>
                          <w:left w:val="nil" w:sz="6" w:space="0" w:color="auto"/>
                          <w:bottom w:val="nil" w:sz="6" w:space="0" w:color="auto"/>
                          <w:right w:val="nil" w:sz="6" w:space="0" w:color="auto"/>
                        </w:tcBorders>
                      </w:tcPr>
                      <w:p>
                        <w:pPr>
                          <w:pStyle w:val="TableParagraph"/>
                          <w:spacing w:line="248" w:lineRule="exact"/>
                          <w:ind w:right="92"/>
                          <w:jc w:val="right"/>
                          <w:rPr>
                            <w:rFonts w:ascii="Arial" w:hAnsi="Arial" w:cs="Arial" w:eastAsia="Arial" w:hint="default"/>
                            <w:sz w:val="20"/>
                            <w:szCs w:val="20"/>
                          </w:rPr>
                        </w:pPr>
                        <w:r>
                          <w:rPr>
                            <w:rFonts w:ascii="黑体" w:hAnsi="黑体" w:cs="黑体" w:eastAsia="黑体" w:hint="default"/>
                            <w:w w:val="95"/>
                            <w:sz w:val="20"/>
                            <w:szCs w:val="20"/>
                          </w:rPr>
                          <w:t>比例</w:t>
                        </w:r>
                        <w:r>
                          <w:rPr>
                            <w:rFonts w:ascii="Arial" w:hAnsi="Arial" w:cs="Arial" w:eastAsia="Arial" w:hint="default"/>
                            <w:w w:val="95"/>
                            <w:sz w:val="20"/>
                            <w:szCs w:val="20"/>
                          </w:rPr>
                          <w:t>(%)</w:t>
                        </w:r>
                        <w:r>
                          <w:rPr>
                            <w:rFonts w:ascii="Arial" w:hAnsi="Arial" w:cs="Arial" w:eastAsia="Arial" w:hint="default"/>
                            <w:sz w:val="20"/>
                            <w:szCs w:val="20"/>
                          </w:rPr>
                        </w:r>
                      </w:p>
                    </w:tc>
                    <w:tc>
                      <w:tcPr>
                        <w:tcW w:w="1201" w:type="dxa"/>
                        <w:tcBorders>
                          <w:top w:val="nil" w:sz="6" w:space="0" w:color="auto"/>
                          <w:left w:val="nil" w:sz="6" w:space="0" w:color="auto"/>
                          <w:bottom w:val="nil" w:sz="6" w:space="0" w:color="auto"/>
                          <w:right w:val="nil" w:sz="6" w:space="0" w:color="auto"/>
                        </w:tcBorders>
                      </w:tcPr>
                      <w:p>
                        <w:pPr>
                          <w:pStyle w:val="TableParagraph"/>
                          <w:spacing w:line="234" w:lineRule="exact"/>
                          <w:ind w:right="114"/>
                          <w:jc w:val="right"/>
                          <w:rPr>
                            <w:rFonts w:ascii="黑体" w:hAnsi="黑体" w:cs="黑体" w:eastAsia="黑体" w:hint="default"/>
                            <w:sz w:val="20"/>
                            <w:szCs w:val="20"/>
                          </w:rPr>
                        </w:pPr>
                        <w:r>
                          <w:rPr>
                            <w:rFonts w:ascii="黑体" w:hAnsi="黑体" w:cs="黑体" w:eastAsia="黑体" w:hint="default"/>
                            <w:w w:val="95"/>
                            <w:sz w:val="20"/>
                            <w:szCs w:val="20"/>
                          </w:rPr>
                          <w:t>金额</w:t>
                        </w:r>
                        <w:r>
                          <w:rPr>
                            <w:rFonts w:ascii="黑体" w:hAnsi="黑体" w:cs="黑体" w:eastAsia="黑体" w:hint="default"/>
                            <w:sz w:val="20"/>
                            <w:szCs w:val="20"/>
                          </w:rPr>
                        </w:r>
                      </w:p>
                    </w:tc>
                    <w:tc>
                      <w:tcPr>
                        <w:tcW w:w="1027" w:type="dxa"/>
                        <w:tcBorders>
                          <w:top w:val="nil" w:sz="6" w:space="0" w:color="auto"/>
                          <w:left w:val="nil" w:sz="6" w:space="0" w:color="auto"/>
                          <w:bottom w:val="nil" w:sz="6" w:space="0" w:color="auto"/>
                          <w:right w:val="nil" w:sz="6" w:space="0" w:color="auto"/>
                        </w:tcBorders>
                      </w:tcPr>
                      <w:p>
                        <w:pPr>
                          <w:pStyle w:val="TableParagraph"/>
                          <w:spacing w:line="248" w:lineRule="exact"/>
                          <w:ind w:right="199"/>
                          <w:jc w:val="right"/>
                          <w:rPr>
                            <w:rFonts w:ascii="Arial" w:hAnsi="Arial" w:cs="Arial" w:eastAsia="Arial" w:hint="default"/>
                            <w:sz w:val="20"/>
                            <w:szCs w:val="20"/>
                          </w:rPr>
                        </w:pPr>
                        <w:r>
                          <w:rPr>
                            <w:rFonts w:ascii="黑体" w:hAnsi="黑体" w:cs="黑体" w:eastAsia="黑体" w:hint="default"/>
                            <w:w w:val="95"/>
                            <w:sz w:val="20"/>
                            <w:szCs w:val="20"/>
                          </w:rPr>
                          <w:t>比例</w:t>
                        </w:r>
                        <w:r>
                          <w:rPr>
                            <w:rFonts w:ascii="Arial" w:hAnsi="Arial" w:cs="Arial" w:eastAsia="Arial" w:hint="default"/>
                            <w:w w:val="95"/>
                            <w:sz w:val="20"/>
                            <w:szCs w:val="20"/>
                          </w:rPr>
                          <w:t>(%)</w:t>
                        </w:r>
                        <w:r>
                          <w:rPr>
                            <w:rFonts w:ascii="Arial" w:hAnsi="Arial" w:cs="Arial" w:eastAsia="Arial" w:hint="default"/>
                            <w:sz w:val="20"/>
                            <w:szCs w:val="20"/>
                          </w:rPr>
                        </w:r>
                      </w:p>
                    </w:tc>
                  </w:tr>
                  <w:tr>
                    <w:trPr>
                      <w:trHeight w:val="418"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00" w:right="0"/>
                          <w:jc w:val="left"/>
                          <w:rPr>
                            <w:rFonts w:ascii="黑体" w:hAnsi="黑体" w:cs="黑体" w:eastAsia="黑体" w:hint="default"/>
                            <w:sz w:val="20"/>
                            <w:szCs w:val="20"/>
                          </w:rPr>
                        </w:pPr>
                        <w:r>
                          <w:rPr>
                            <w:rFonts w:ascii="黑体" w:hAnsi="黑体" w:cs="黑体" w:eastAsia="黑体" w:hint="default"/>
                            <w:sz w:val="20"/>
                            <w:szCs w:val="20"/>
                          </w:rPr>
                          <w:t>致远协创</w:t>
                        </w:r>
                      </w:p>
                    </w:tc>
                    <w:tc>
                      <w:tcPr>
                        <w:tcW w:w="2379"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40"/>
                          <w:jc w:val="right"/>
                          <w:rPr>
                            <w:rFonts w:ascii="Arial" w:hAnsi="Arial" w:cs="Arial" w:eastAsia="Arial" w:hint="default"/>
                            <w:sz w:val="20"/>
                            <w:szCs w:val="20"/>
                          </w:rPr>
                        </w:pPr>
                        <w:r>
                          <w:rPr>
                            <w:rFonts w:ascii="Arial"/>
                            <w:spacing w:val="-1"/>
                            <w:sz w:val="20"/>
                          </w:rPr>
                          <w:t>23,080,747</w:t>
                        </w:r>
                        <w:r>
                          <w:rPr>
                            <w:rFonts w:ascii="Arial"/>
                            <w:sz w:val="20"/>
                          </w:rPr>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94"/>
                          <w:jc w:val="right"/>
                          <w:rPr>
                            <w:rFonts w:ascii="Arial" w:hAnsi="Arial" w:cs="Arial" w:eastAsia="Arial" w:hint="default"/>
                            <w:sz w:val="20"/>
                            <w:szCs w:val="20"/>
                          </w:rPr>
                        </w:pPr>
                        <w:r>
                          <w:rPr>
                            <w:rFonts w:ascii="Arial"/>
                            <w:spacing w:val="-1"/>
                            <w:w w:val="95"/>
                            <w:sz w:val="20"/>
                          </w:rPr>
                          <w:t>95</w:t>
                        </w:r>
                        <w:r>
                          <w:rPr>
                            <w:rFonts w:ascii="Arial"/>
                            <w:sz w:val="20"/>
                          </w:rPr>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14"/>
                          <w:jc w:val="right"/>
                          <w:rPr>
                            <w:rFonts w:ascii="Arial" w:hAnsi="Arial" w:cs="Arial" w:eastAsia="Arial" w:hint="default"/>
                            <w:sz w:val="20"/>
                            <w:szCs w:val="20"/>
                          </w:rPr>
                        </w:pPr>
                        <w:r>
                          <w:rPr>
                            <w:rFonts w:ascii="Arial"/>
                            <w:spacing w:val="-1"/>
                            <w:sz w:val="20"/>
                          </w:rPr>
                          <w:t>17,193,598</w:t>
                        </w:r>
                        <w:r>
                          <w:rPr>
                            <w:rFonts w:ascii="Arial"/>
                            <w:sz w:val="20"/>
                          </w:rPr>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200"/>
                          <w:jc w:val="right"/>
                          <w:rPr>
                            <w:rFonts w:ascii="Arial" w:hAnsi="Arial" w:cs="Arial" w:eastAsia="Arial" w:hint="default"/>
                            <w:sz w:val="20"/>
                            <w:szCs w:val="20"/>
                          </w:rPr>
                        </w:pPr>
                        <w:r>
                          <w:rPr>
                            <w:rFonts w:ascii="Arial"/>
                            <w:spacing w:val="-1"/>
                            <w:w w:val="95"/>
                            <w:sz w:val="20"/>
                          </w:rPr>
                          <w:t>82</w:t>
                        </w:r>
                        <w:r>
                          <w:rPr>
                            <w:rFonts w:ascii="Arial"/>
                            <w:sz w:val="20"/>
                          </w:rPr>
                        </w:r>
                      </w:p>
                    </w:tc>
                  </w:tr>
                  <w:tr>
                    <w:trPr>
                      <w:trHeight w:val="277"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34" w:lineRule="exact"/>
                          <w:ind w:left="200" w:right="0"/>
                          <w:jc w:val="left"/>
                          <w:rPr>
                            <w:rFonts w:ascii="黑体" w:hAnsi="黑体" w:cs="黑体" w:eastAsia="黑体" w:hint="default"/>
                            <w:sz w:val="20"/>
                            <w:szCs w:val="20"/>
                          </w:rPr>
                        </w:pPr>
                        <w:r>
                          <w:rPr>
                            <w:rFonts w:ascii="黑体" w:hAnsi="黑体" w:cs="黑体" w:eastAsia="黑体" w:hint="default"/>
                            <w:sz w:val="20"/>
                            <w:szCs w:val="20"/>
                          </w:rPr>
                          <w:t>西玛商用表单</w:t>
                        </w:r>
                      </w:p>
                    </w:tc>
                    <w:tc>
                      <w:tcPr>
                        <w:tcW w:w="237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0"/>
                          <w:jc w:val="right"/>
                          <w:rPr>
                            <w:rFonts w:ascii="Arial" w:hAnsi="Arial" w:cs="Arial" w:eastAsia="Arial" w:hint="default"/>
                            <w:sz w:val="20"/>
                            <w:szCs w:val="20"/>
                          </w:rPr>
                        </w:pPr>
                        <w:r>
                          <w:rPr>
                            <w:rFonts w:ascii="Arial"/>
                            <w:spacing w:val="-1"/>
                            <w:sz w:val="20"/>
                          </w:rPr>
                          <w:t>1,051,348</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1"/>
                          <w:jc w:val="right"/>
                          <w:rPr>
                            <w:rFonts w:ascii="Arial" w:hAnsi="Arial" w:cs="Arial" w:eastAsia="Arial" w:hint="default"/>
                            <w:sz w:val="20"/>
                            <w:szCs w:val="20"/>
                          </w:rPr>
                        </w:pPr>
                        <w:r>
                          <w:rPr>
                            <w:rFonts w:ascii="Arial"/>
                            <w:w w:val="99"/>
                            <w:sz w:val="20"/>
                          </w:rPr>
                          <w:t>4</w:t>
                        </w:r>
                        <w:r>
                          <w:rPr>
                            <w:rFonts w:ascii="Arial"/>
                            <w:sz w:val="20"/>
                          </w:rPr>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4"/>
                          <w:jc w:val="right"/>
                          <w:rPr>
                            <w:rFonts w:ascii="Arial" w:hAnsi="Arial" w:cs="Arial" w:eastAsia="Arial" w:hint="default"/>
                            <w:sz w:val="20"/>
                            <w:szCs w:val="20"/>
                          </w:rPr>
                        </w:pPr>
                        <w:r>
                          <w:rPr>
                            <w:rFonts w:ascii="Arial"/>
                            <w:spacing w:val="-1"/>
                            <w:sz w:val="20"/>
                          </w:rPr>
                          <w:t>2,303,321</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00"/>
                          <w:jc w:val="right"/>
                          <w:rPr>
                            <w:rFonts w:ascii="Arial" w:hAnsi="Arial" w:cs="Arial" w:eastAsia="Arial" w:hint="default"/>
                            <w:sz w:val="20"/>
                            <w:szCs w:val="20"/>
                          </w:rPr>
                        </w:pPr>
                        <w:r>
                          <w:rPr>
                            <w:rFonts w:ascii="Arial"/>
                            <w:spacing w:val="-1"/>
                            <w:w w:val="95"/>
                            <w:sz w:val="20"/>
                          </w:rPr>
                          <w:t>11</w:t>
                        </w:r>
                        <w:r>
                          <w:rPr>
                            <w:rFonts w:ascii="Arial"/>
                            <w:sz w:val="20"/>
                          </w:rPr>
                        </w:r>
                      </w:p>
                    </w:tc>
                  </w:tr>
                  <w:tr>
                    <w:trPr>
                      <w:trHeight w:val="277"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33" w:lineRule="exact"/>
                          <w:ind w:left="200" w:right="0"/>
                          <w:jc w:val="left"/>
                          <w:rPr>
                            <w:rFonts w:ascii="黑体" w:hAnsi="黑体" w:cs="黑体" w:eastAsia="黑体" w:hint="default"/>
                            <w:sz w:val="20"/>
                            <w:szCs w:val="20"/>
                          </w:rPr>
                        </w:pPr>
                        <w:r>
                          <w:rPr>
                            <w:rFonts w:ascii="黑体" w:hAnsi="黑体" w:cs="黑体" w:eastAsia="黑体" w:hint="default"/>
                            <w:sz w:val="20"/>
                            <w:szCs w:val="20"/>
                          </w:rPr>
                          <w:t>北京伟库</w:t>
                        </w:r>
                      </w:p>
                    </w:tc>
                    <w:tc>
                      <w:tcPr>
                        <w:tcW w:w="237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8"/>
                          <w:jc w:val="right"/>
                          <w:rPr>
                            <w:rFonts w:ascii="Arial" w:hAnsi="Arial" w:cs="Arial" w:eastAsia="Arial" w:hint="default"/>
                            <w:sz w:val="20"/>
                            <w:szCs w:val="20"/>
                          </w:rPr>
                        </w:pPr>
                        <w:r>
                          <w:rPr>
                            <w:rFonts w:ascii="Arial"/>
                            <w:w w:val="99"/>
                            <w:sz w:val="20"/>
                          </w:rPr>
                          <w:t>-</w:t>
                        </w:r>
                        <w:r>
                          <w:rPr>
                            <w:rFonts w:ascii="Arial"/>
                            <w:sz w:val="20"/>
                          </w:rPr>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2"/>
                          <w:jc w:val="right"/>
                          <w:rPr>
                            <w:rFonts w:ascii="Arial" w:hAnsi="Arial" w:cs="Arial" w:eastAsia="Arial" w:hint="default"/>
                            <w:sz w:val="20"/>
                            <w:szCs w:val="20"/>
                          </w:rPr>
                        </w:pPr>
                        <w:r>
                          <w:rPr>
                            <w:rFonts w:ascii="Arial"/>
                            <w:w w:val="99"/>
                            <w:sz w:val="20"/>
                          </w:rPr>
                          <w:t>-</w:t>
                        </w:r>
                        <w:r>
                          <w:rPr>
                            <w:rFonts w:ascii="Arial"/>
                            <w:sz w:val="20"/>
                          </w:rPr>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4"/>
                          <w:jc w:val="right"/>
                          <w:rPr>
                            <w:rFonts w:ascii="Arial" w:hAnsi="Arial" w:cs="Arial" w:eastAsia="Arial" w:hint="default"/>
                            <w:sz w:val="20"/>
                            <w:szCs w:val="20"/>
                          </w:rPr>
                        </w:pPr>
                        <w:r>
                          <w:rPr>
                            <w:rFonts w:ascii="Arial"/>
                            <w:spacing w:val="-1"/>
                            <w:sz w:val="20"/>
                          </w:rPr>
                          <w:t>1,321,165</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98"/>
                          <w:jc w:val="right"/>
                          <w:rPr>
                            <w:rFonts w:ascii="Arial" w:hAnsi="Arial" w:cs="Arial" w:eastAsia="Arial" w:hint="default"/>
                            <w:sz w:val="20"/>
                            <w:szCs w:val="20"/>
                          </w:rPr>
                        </w:pPr>
                        <w:r>
                          <w:rPr>
                            <w:rFonts w:ascii="Arial"/>
                            <w:w w:val="99"/>
                            <w:sz w:val="20"/>
                          </w:rPr>
                          <w:t>6</w:t>
                        </w:r>
                        <w:r>
                          <w:rPr>
                            <w:rFonts w:ascii="Arial"/>
                            <w:sz w:val="20"/>
                          </w:rPr>
                        </w:r>
                      </w:p>
                    </w:tc>
                  </w:tr>
                  <w:tr>
                    <w:trPr>
                      <w:trHeight w:val="422"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34" w:lineRule="exact"/>
                          <w:ind w:left="200" w:right="0"/>
                          <w:jc w:val="left"/>
                          <w:rPr>
                            <w:rFonts w:ascii="黑体" w:hAnsi="黑体" w:cs="黑体" w:eastAsia="黑体" w:hint="default"/>
                            <w:sz w:val="20"/>
                            <w:szCs w:val="20"/>
                          </w:rPr>
                        </w:pPr>
                        <w:r>
                          <w:rPr>
                            <w:rFonts w:ascii="黑体" w:hAnsi="黑体" w:cs="黑体" w:eastAsia="黑体" w:hint="default"/>
                            <w:sz w:val="20"/>
                            <w:szCs w:val="20"/>
                          </w:rPr>
                          <w:t>西玛永泰</w:t>
                        </w:r>
                      </w:p>
                    </w:tc>
                    <w:tc>
                      <w:tcPr>
                        <w:tcW w:w="2379"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8"/>
                          <w:ind w:right="140"/>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198,119</w:t>
                        </w:r>
                        <w:r>
                          <w:rPr>
                            <w:rFonts w:ascii="Arial"/>
                            <w:spacing w:val="-1"/>
                            <w:w w:val="95"/>
                            <w:sz w:val="20"/>
                          </w:rPr>
                        </w:r>
                        <w:r>
                          <w:rPr>
                            <w:rFonts w:ascii="Arial"/>
                            <w:sz w:val="20"/>
                          </w:rPr>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1"/>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1"/>
                            <w:sz w:val="20"/>
                            <w:u w:val="single" w:color="000000"/>
                          </w:rPr>
                          <w:t> </w:t>
                        </w:r>
                        <w:r>
                          <w:rPr>
                            <w:rFonts w:ascii="Arial"/>
                            <w:w w:val="95"/>
                            <w:sz w:val="20"/>
                            <w:u w:val="single" w:color="000000"/>
                          </w:rPr>
                          <w:t>1</w:t>
                        </w:r>
                        <w:r>
                          <w:rPr>
                            <w:rFonts w:ascii="Arial"/>
                            <w:w w:val="95"/>
                            <w:sz w:val="20"/>
                          </w:rPr>
                        </w:r>
                        <w:r>
                          <w:rPr>
                            <w:rFonts w:ascii="Arial"/>
                            <w:sz w:val="20"/>
                          </w:rPr>
                        </w:r>
                      </w:p>
                    </w:tc>
                    <w:tc>
                      <w:tcPr>
                        <w:tcW w:w="1201" w:type="dxa"/>
                        <w:tcBorders>
                          <w:top w:val="nil" w:sz="6" w:space="0" w:color="auto"/>
                          <w:left w:val="nil" w:sz="6" w:space="0" w:color="auto"/>
                          <w:bottom w:val="nil" w:sz="6" w:space="0" w:color="auto"/>
                          <w:right w:val="nil" w:sz="6" w:space="0" w:color="auto"/>
                        </w:tcBorders>
                      </w:tcPr>
                      <w:p>
                        <w:pPr>
                          <w:pStyle w:val="TableParagraph"/>
                          <w:tabs>
                            <w:tab w:pos="261" w:val="left" w:leader="none"/>
                          </w:tabs>
                          <w:spacing w:line="240" w:lineRule="auto" w:before="18"/>
                          <w:ind w:right="114"/>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sz w:val="20"/>
                            <w:u w:val="single" w:color="000000"/>
                          </w:rPr>
                          <w:t>126,867</w:t>
                        </w:r>
                        <w:r>
                          <w:rPr>
                            <w:rFonts w:ascii="Arial"/>
                            <w:spacing w:val="-1"/>
                            <w:sz w:val="20"/>
                          </w:rPr>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1"/>
                            <w:sz w:val="20"/>
                            <w:u w:val="single" w:color="000000"/>
                          </w:rPr>
                          <w:t> </w:t>
                        </w:r>
                        <w:r>
                          <w:rPr>
                            <w:rFonts w:ascii="Arial"/>
                            <w:w w:val="95"/>
                            <w:sz w:val="20"/>
                            <w:u w:val="single" w:color="000000"/>
                          </w:rPr>
                          <w:t>1</w:t>
                        </w:r>
                        <w:r>
                          <w:rPr>
                            <w:rFonts w:ascii="Arial"/>
                            <w:w w:val="95"/>
                            <w:sz w:val="20"/>
                          </w:rPr>
                        </w:r>
                        <w:r>
                          <w:rPr>
                            <w:rFonts w:ascii="Arial"/>
                            <w:sz w:val="20"/>
                          </w:rPr>
                        </w:r>
                      </w:p>
                    </w:tc>
                  </w:tr>
                  <w:tr>
                    <w:trPr>
                      <w:trHeight w:val="378" w:hRule="exact"/>
                    </w:trPr>
                    <w:tc>
                      <w:tcPr>
                        <w:tcW w:w="2636" w:type="dxa"/>
                        <w:tcBorders>
                          <w:top w:val="nil" w:sz="6" w:space="0" w:color="auto"/>
                          <w:left w:val="nil" w:sz="6" w:space="0" w:color="auto"/>
                          <w:bottom w:val="nil" w:sz="6" w:space="0" w:color="auto"/>
                          <w:right w:val="nil" w:sz="6" w:space="0" w:color="auto"/>
                        </w:tcBorders>
                      </w:tcPr>
                      <w:p>
                        <w:pPr/>
                      </w:p>
                    </w:tc>
                    <w:tc>
                      <w:tcPr>
                        <w:tcW w:w="2379"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140"/>
                          <w:jc w:val="right"/>
                          <w:rPr>
                            <w:rFonts w:ascii="Arial" w:hAnsi="Arial" w:cs="Arial" w:eastAsia="Arial" w:hint="default"/>
                            <w:sz w:val="20"/>
                            <w:szCs w:val="20"/>
                          </w:rPr>
                        </w:pPr>
                        <w:r>
                          <w:rPr>
                            <w:rFonts w:ascii="Arial"/>
                            <w:w w:val="99"/>
                            <w:sz w:val="20"/>
                          </w:rPr>
                        </w:r>
                        <w:r>
                          <w:rPr>
                            <w:rFonts w:ascii="Arial"/>
                            <w:spacing w:val="-1"/>
                            <w:sz w:val="20"/>
                            <w:u w:val="thick" w:color="000000"/>
                          </w:rPr>
                          <w:t>24,330,214</w:t>
                        </w:r>
                        <w:r>
                          <w:rPr>
                            <w:rFonts w:ascii="Arial"/>
                            <w:spacing w:val="-1"/>
                            <w:sz w:val="20"/>
                          </w:rPr>
                        </w:r>
                        <w:r>
                          <w:rPr>
                            <w:rFonts w:ascii="Arial"/>
                            <w:sz w:val="20"/>
                          </w:rPr>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94"/>
                          <w:jc w:val="right"/>
                          <w:rPr>
                            <w:rFonts w:ascii="Arial" w:hAnsi="Arial" w:cs="Arial" w:eastAsia="Arial" w:hint="default"/>
                            <w:sz w:val="20"/>
                            <w:szCs w:val="20"/>
                          </w:rPr>
                        </w:pPr>
                        <w:r>
                          <w:rPr>
                            <w:rFonts w:ascii="Arial"/>
                            <w:w w:val="99"/>
                            <w:sz w:val="20"/>
                          </w:rPr>
                        </w:r>
                        <w:r>
                          <w:rPr>
                            <w:rFonts w:ascii="Arial"/>
                            <w:spacing w:val="-1"/>
                            <w:w w:val="95"/>
                            <w:sz w:val="20"/>
                            <w:u w:val="thick" w:color="000000"/>
                          </w:rPr>
                          <w:t>100</w:t>
                        </w:r>
                        <w:r>
                          <w:rPr>
                            <w:rFonts w:ascii="Arial"/>
                            <w:spacing w:val="-1"/>
                            <w:w w:val="95"/>
                            <w:sz w:val="20"/>
                          </w:rPr>
                        </w:r>
                        <w:r>
                          <w:rPr>
                            <w:rFonts w:ascii="Arial"/>
                            <w:sz w:val="20"/>
                          </w:rPr>
                        </w:r>
                      </w:p>
                    </w:tc>
                    <w:tc>
                      <w:tcPr>
                        <w:tcW w:w="1201"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114"/>
                          <w:jc w:val="right"/>
                          <w:rPr>
                            <w:rFonts w:ascii="Arial" w:hAnsi="Arial" w:cs="Arial" w:eastAsia="Arial" w:hint="default"/>
                            <w:sz w:val="20"/>
                            <w:szCs w:val="20"/>
                          </w:rPr>
                        </w:pPr>
                        <w:r>
                          <w:rPr>
                            <w:rFonts w:ascii="Arial"/>
                            <w:w w:val="99"/>
                            <w:sz w:val="20"/>
                          </w:rPr>
                        </w:r>
                        <w:r>
                          <w:rPr>
                            <w:rFonts w:ascii="Arial"/>
                            <w:spacing w:val="-1"/>
                            <w:sz w:val="20"/>
                            <w:u w:val="thick" w:color="000000"/>
                          </w:rPr>
                          <w:t>20,944,951</w:t>
                        </w:r>
                        <w:r>
                          <w:rPr>
                            <w:rFonts w:ascii="Arial"/>
                            <w:spacing w:val="-1"/>
                            <w:sz w:val="20"/>
                          </w:rPr>
                        </w:r>
                        <w:r>
                          <w:rPr>
                            <w:rFonts w:ascii="Arial"/>
                            <w:sz w:val="20"/>
                          </w:rPr>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200"/>
                          <w:jc w:val="right"/>
                          <w:rPr>
                            <w:rFonts w:ascii="Arial" w:hAnsi="Arial" w:cs="Arial" w:eastAsia="Arial" w:hint="default"/>
                            <w:sz w:val="20"/>
                            <w:szCs w:val="20"/>
                          </w:rPr>
                        </w:pPr>
                        <w:r>
                          <w:rPr>
                            <w:rFonts w:ascii="Arial"/>
                            <w:w w:val="99"/>
                            <w:sz w:val="20"/>
                          </w:rPr>
                        </w:r>
                        <w:r>
                          <w:rPr>
                            <w:rFonts w:ascii="Arial"/>
                            <w:spacing w:val="-1"/>
                            <w:w w:val="95"/>
                            <w:sz w:val="20"/>
                            <w:u w:val="thick" w:color="000000"/>
                          </w:rPr>
                          <w:t>100</w:t>
                        </w:r>
                        <w:r>
                          <w:rPr>
                            <w:rFonts w:ascii="Arial"/>
                            <w:spacing w:val="-1"/>
                            <w:w w:val="95"/>
                            <w:sz w:val="20"/>
                          </w:rPr>
                        </w:r>
                        <w:r>
                          <w:rPr>
                            <w:rFonts w:ascii="Arial"/>
                            <w:sz w:val="20"/>
                          </w:rPr>
                        </w:r>
                      </w:p>
                    </w:tc>
                  </w:tr>
                </w:tbl>
                <w:p>
                  <w:pPr/>
                </w:p>
              </w:txbxContent>
            </v:textbox>
            <w10:wrap type="none"/>
          </v:shape>
        </w:pict>
      </w:r>
      <w:r>
        <w:rPr>
          <w:rFonts w:ascii="Arial" w:hAnsi="Arial" w:cs="Arial" w:eastAsia="Arial" w:hint="default"/>
          <w:spacing w:val="-1"/>
        </w:rPr>
        <w:t>(1)</w:t>
        <w:tab/>
      </w:r>
      <w:r>
        <w:rPr/>
        <w:t>关联方商品和劳务交易</w:t>
      </w:r>
      <w:r>
        <w:rPr>
          <w:w w:val="99"/>
        </w:rPr>
        <w:t> </w:t>
      </w:r>
      <w:r>
        <w:rPr/>
        <w:t>自关联方购买商品和接受劳务</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5"/>
        <w:rPr>
          <w:rFonts w:ascii="黑体" w:hAnsi="黑体" w:cs="黑体" w:eastAsia="黑体" w:hint="default"/>
          <w:sz w:val="16"/>
          <w:szCs w:val="16"/>
        </w:rPr>
      </w:pPr>
    </w:p>
    <w:p>
      <w:pPr>
        <w:pStyle w:val="BodyText"/>
        <w:spacing w:line="240" w:lineRule="auto" w:before="37"/>
        <w:ind w:right="0"/>
        <w:jc w:val="left"/>
      </w:pPr>
      <w:r>
        <w:rPr/>
        <w:t>向关联方销售商品和提供劳务</w:t>
      </w:r>
    </w:p>
    <w:p>
      <w:pPr>
        <w:spacing w:line="240" w:lineRule="auto" w:before="13"/>
        <w:rPr>
          <w:rFonts w:ascii="黑体" w:hAnsi="黑体" w:cs="黑体" w:eastAsia="黑体" w:hint="default"/>
          <w:sz w:val="8"/>
          <w:szCs w:val="8"/>
        </w:rPr>
      </w:pPr>
    </w:p>
    <w:tbl>
      <w:tblPr>
        <w:tblW w:w="0" w:type="auto"/>
        <w:jc w:val="left"/>
        <w:tblInd w:w="602" w:type="dxa"/>
        <w:tblLayout w:type="fixed"/>
        <w:tblCellMar>
          <w:top w:w="0" w:type="dxa"/>
          <w:left w:w="0" w:type="dxa"/>
          <w:bottom w:w="0" w:type="dxa"/>
          <w:right w:w="0" w:type="dxa"/>
        </w:tblCellMar>
        <w:tblLook w:val="01E0"/>
      </w:tblPr>
      <w:tblGrid>
        <w:gridCol w:w="2516"/>
        <w:gridCol w:w="2504"/>
        <w:gridCol w:w="1208"/>
        <w:gridCol w:w="922"/>
        <w:gridCol w:w="1054"/>
      </w:tblGrid>
      <w:tr>
        <w:trPr>
          <w:trHeight w:val="246" w:hRule="exact"/>
        </w:trPr>
        <w:tc>
          <w:tcPr>
            <w:tcW w:w="2516" w:type="dxa"/>
            <w:tcBorders>
              <w:top w:val="nil" w:sz="6" w:space="0" w:color="auto"/>
              <w:left w:val="nil" w:sz="6" w:space="0" w:color="auto"/>
              <w:bottom w:val="nil" w:sz="6" w:space="0" w:color="auto"/>
              <w:right w:val="nil" w:sz="6" w:space="0" w:color="auto"/>
            </w:tcBorders>
          </w:tcPr>
          <w:p>
            <w:pPr/>
          </w:p>
        </w:tc>
        <w:tc>
          <w:tcPr>
            <w:tcW w:w="2504"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Style w:val="TableParagraph"/>
              <w:spacing w:line="214" w:lineRule="exact"/>
              <w:ind w:right="332"/>
              <w:jc w:val="right"/>
              <w:rPr>
                <w:rFonts w:ascii="黑体" w:hAnsi="黑体" w:cs="黑体" w:eastAsia="黑体" w:hint="default"/>
                <w:sz w:val="20"/>
                <w:szCs w:val="20"/>
              </w:rPr>
            </w:pPr>
            <w:r>
              <w:rPr>
                <w:rFonts w:ascii="Arial" w:hAnsi="Arial" w:cs="Arial" w:eastAsia="Arial" w:hint="default"/>
                <w:sz w:val="20"/>
                <w:szCs w:val="20"/>
              </w:rPr>
              <w:t>2012</w:t>
            </w:r>
            <w:r>
              <w:rPr>
                <w:rFonts w:ascii="Arial" w:hAnsi="Arial" w:cs="Arial" w:eastAsia="Arial" w:hint="default"/>
                <w:spacing w:val="-12"/>
                <w:sz w:val="20"/>
                <w:szCs w:val="20"/>
              </w:rPr>
              <w:t> </w:t>
            </w:r>
            <w:r>
              <w:rPr>
                <w:rFonts w:ascii="黑体" w:hAnsi="黑体" w:cs="黑体" w:eastAsia="黑体" w:hint="default"/>
                <w:sz w:val="20"/>
                <w:szCs w:val="20"/>
              </w:rPr>
              <w:t>年</w:t>
            </w:r>
          </w:p>
        </w:tc>
        <w:tc>
          <w:tcPr>
            <w:tcW w:w="922"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14" w:lineRule="exact"/>
              <w:ind w:left="94" w:right="0"/>
              <w:jc w:val="left"/>
              <w:rPr>
                <w:rFonts w:ascii="黑体" w:hAnsi="黑体" w:cs="黑体" w:eastAsia="黑体" w:hint="default"/>
                <w:sz w:val="20"/>
                <w:szCs w:val="20"/>
              </w:rPr>
            </w:pPr>
            <w:r>
              <w:rPr>
                <w:rFonts w:ascii="Arial" w:hAnsi="Arial" w:cs="Arial" w:eastAsia="Arial" w:hint="default"/>
                <w:sz w:val="20"/>
                <w:szCs w:val="20"/>
              </w:rPr>
              <w:t>2011</w:t>
            </w:r>
            <w:r>
              <w:rPr>
                <w:rFonts w:ascii="Arial" w:hAnsi="Arial" w:cs="Arial" w:eastAsia="Arial" w:hint="default"/>
                <w:spacing w:val="-12"/>
                <w:sz w:val="20"/>
                <w:szCs w:val="20"/>
              </w:rPr>
              <w:t> </w:t>
            </w:r>
            <w:r>
              <w:rPr>
                <w:rFonts w:ascii="黑体" w:hAnsi="黑体" w:cs="黑体" w:eastAsia="黑体" w:hint="default"/>
                <w:sz w:val="20"/>
                <w:szCs w:val="20"/>
              </w:rPr>
              <w:t>年</w:t>
            </w:r>
          </w:p>
        </w:tc>
      </w:tr>
      <w:tr>
        <w:trPr>
          <w:trHeight w:val="424" w:hRule="exact"/>
        </w:trPr>
        <w:tc>
          <w:tcPr>
            <w:tcW w:w="2516" w:type="dxa"/>
            <w:tcBorders>
              <w:top w:val="nil" w:sz="6" w:space="0" w:color="auto"/>
              <w:left w:val="nil" w:sz="6" w:space="0" w:color="auto"/>
              <w:bottom w:val="nil" w:sz="6" w:space="0" w:color="auto"/>
              <w:right w:val="nil" w:sz="6" w:space="0" w:color="auto"/>
            </w:tcBorders>
          </w:tcPr>
          <w:p>
            <w:pPr/>
          </w:p>
        </w:tc>
        <w:tc>
          <w:tcPr>
            <w:tcW w:w="2504" w:type="dxa"/>
            <w:tcBorders>
              <w:top w:val="nil" w:sz="6" w:space="0" w:color="auto"/>
              <w:left w:val="nil" w:sz="6" w:space="0" w:color="auto"/>
              <w:bottom w:val="nil" w:sz="6" w:space="0" w:color="auto"/>
              <w:right w:val="nil" w:sz="6" w:space="0" w:color="auto"/>
            </w:tcBorders>
          </w:tcPr>
          <w:p>
            <w:pPr>
              <w:pStyle w:val="TableParagraph"/>
              <w:spacing w:line="236" w:lineRule="exact"/>
              <w:ind w:right="154"/>
              <w:jc w:val="right"/>
              <w:rPr>
                <w:rFonts w:ascii="黑体" w:hAnsi="黑体" w:cs="黑体" w:eastAsia="黑体" w:hint="default"/>
                <w:sz w:val="20"/>
                <w:szCs w:val="20"/>
              </w:rPr>
            </w:pPr>
            <w:r>
              <w:rPr>
                <w:rFonts w:ascii="黑体" w:hAnsi="黑体" w:cs="黑体" w:eastAsia="黑体" w:hint="default"/>
                <w:w w:val="95"/>
                <w:sz w:val="20"/>
                <w:szCs w:val="20"/>
              </w:rPr>
              <w:t>金额</w:t>
            </w:r>
            <w:r>
              <w:rPr>
                <w:rFonts w:ascii="黑体" w:hAnsi="黑体" w:cs="黑体" w:eastAsia="黑体" w:hint="default"/>
                <w:sz w:val="20"/>
                <w:szCs w:val="20"/>
              </w:rPr>
            </w:r>
          </w:p>
        </w:tc>
        <w:tc>
          <w:tcPr>
            <w:tcW w:w="1208" w:type="dxa"/>
            <w:tcBorders>
              <w:top w:val="nil" w:sz="6" w:space="0" w:color="auto"/>
              <w:left w:val="nil" w:sz="6" w:space="0" w:color="auto"/>
              <w:bottom w:val="nil" w:sz="6" w:space="0" w:color="auto"/>
              <w:right w:val="nil" w:sz="6" w:space="0" w:color="auto"/>
            </w:tcBorders>
          </w:tcPr>
          <w:p>
            <w:pPr>
              <w:pStyle w:val="TableParagraph"/>
              <w:spacing w:line="251" w:lineRule="exact"/>
              <w:ind w:right="340"/>
              <w:jc w:val="right"/>
              <w:rPr>
                <w:rFonts w:ascii="Arial" w:hAnsi="Arial" w:cs="Arial" w:eastAsia="Arial" w:hint="default"/>
                <w:sz w:val="20"/>
                <w:szCs w:val="20"/>
              </w:rPr>
            </w:pPr>
            <w:r>
              <w:rPr>
                <w:rFonts w:ascii="黑体" w:hAnsi="黑体" w:cs="黑体" w:eastAsia="黑体" w:hint="default"/>
                <w:w w:val="95"/>
                <w:sz w:val="20"/>
                <w:szCs w:val="20"/>
              </w:rPr>
              <w:t>比例</w:t>
            </w:r>
            <w:r>
              <w:rPr>
                <w:rFonts w:ascii="Arial" w:hAnsi="Arial" w:cs="Arial" w:eastAsia="Arial" w:hint="default"/>
                <w:w w:val="95"/>
                <w:sz w:val="20"/>
                <w:szCs w:val="20"/>
              </w:rPr>
              <w:t>(%)</w:t>
            </w:r>
            <w:r>
              <w:rPr>
                <w:rFonts w:ascii="Arial" w:hAnsi="Arial" w:cs="Arial" w:eastAsia="Arial" w:hint="default"/>
                <w:sz w:val="20"/>
                <w:szCs w:val="20"/>
              </w:rPr>
            </w:r>
          </w:p>
        </w:tc>
        <w:tc>
          <w:tcPr>
            <w:tcW w:w="922" w:type="dxa"/>
            <w:tcBorders>
              <w:top w:val="nil" w:sz="6" w:space="0" w:color="auto"/>
              <w:left w:val="nil" w:sz="6" w:space="0" w:color="auto"/>
              <w:bottom w:val="nil" w:sz="6" w:space="0" w:color="auto"/>
              <w:right w:val="nil" w:sz="6" w:space="0" w:color="auto"/>
            </w:tcBorders>
          </w:tcPr>
          <w:p>
            <w:pPr>
              <w:pStyle w:val="TableParagraph"/>
              <w:spacing w:line="236" w:lineRule="exact"/>
              <w:ind w:right="143"/>
              <w:jc w:val="right"/>
              <w:rPr>
                <w:rFonts w:ascii="黑体" w:hAnsi="黑体" w:cs="黑体" w:eastAsia="黑体" w:hint="default"/>
                <w:sz w:val="20"/>
                <w:szCs w:val="20"/>
              </w:rPr>
            </w:pPr>
            <w:r>
              <w:rPr>
                <w:rFonts w:ascii="黑体" w:hAnsi="黑体" w:cs="黑体" w:eastAsia="黑体" w:hint="default"/>
                <w:w w:val="95"/>
                <w:sz w:val="20"/>
                <w:szCs w:val="20"/>
              </w:rPr>
              <w:t>金额</w:t>
            </w:r>
            <w:r>
              <w:rPr>
                <w:rFonts w:ascii="黑体" w:hAnsi="黑体" w:cs="黑体" w:eastAsia="黑体" w:hint="default"/>
                <w:sz w:val="20"/>
                <w:szCs w:val="20"/>
              </w:rPr>
            </w:r>
          </w:p>
        </w:tc>
        <w:tc>
          <w:tcPr>
            <w:tcW w:w="1054" w:type="dxa"/>
            <w:tcBorders>
              <w:top w:val="nil" w:sz="6" w:space="0" w:color="auto"/>
              <w:left w:val="nil" w:sz="6" w:space="0" w:color="auto"/>
              <w:bottom w:val="nil" w:sz="6" w:space="0" w:color="auto"/>
              <w:right w:val="nil" w:sz="6" w:space="0" w:color="auto"/>
            </w:tcBorders>
          </w:tcPr>
          <w:p>
            <w:pPr>
              <w:pStyle w:val="TableParagraph"/>
              <w:spacing w:line="251" w:lineRule="exact"/>
              <w:ind w:left="142" w:right="0"/>
              <w:jc w:val="left"/>
              <w:rPr>
                <w:rFonts w:ascii="Arial" w:hAnsi="Arial" w:cs="Arial" w:eastAsia="Arial" w:hint="default"/>
                <w:sz w:val="20"/>
                <w:szCs w:val="20"/>
              </w:rPr>
            </w:pPr>
            <w:r>
              <w:rPr>
                <w:rFonts w:ascii="黑体" w:hAnsi="黑体" w:cs="黑体" w:eastAsia="黑体" w:hint="default"/>
                <w:sz w:val="20"/>
                <w:szCs w:val="20"/>
              </w:rPr>
              <w:t>比例</w:t>
            </w:r>
            <w:r>
              <w:rPr>
                <w:rFonts w:ascii="Arial" w:hAnsi="Arial" w:cs="Arial" w:eastAsia="Arial" w:hint="default"/>
                <w:sz w:val="20"/>
                <w:szCs w:val="20"/>
              </w:rPr>
              <w:t>(%)</w:t>
            </w:r>
          </w:p>
        </w:tc>
      </w:tr>
      <w:tr>
        <w:trPr>
          <w:trHeight w:val="427" w:hRule="exact"/>
        </w:trPr>
        <w:tc>
          <w:tcPr>
            <w:tcW w:w="2516"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200" w:right="0"/>
              <w:jc w:val="left"/>
              <w:rPr>
                <w:rFonts w:ascii="黑体" w:hAnsi="黑体" w:cs="黑体" w:eastAsia="黑体" w:hint="default"/>
                <w:sz w:val="20"/>
                <w:szCs w:val="20"/>
              </w:rPr>
            </w:pPr>
            <w:r>
              <w:rPr>
                <w:rFonts w:ascii="黑体" w:hAnsi="黑体" w:cs="黑体" w:eastAsia="黑体" w:hint="default"/>
                <w:sz w:val="20"/>
                <w:szCs w:val="20"/>
              </w:rPr>
              <w:t>致远协创</w:t>
            </w:r>
          </w:p>
        </w:tc>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53"/>
              <w:jc w:val="right"/>
              <w:rPr>
                <w:rFonts w:ascii="Arial" w:hAnsi="Arial" w:cs="Arial" w:eastAsia="Arial" w:hint="default"/>
                <w:sz w:val="20"/>
                <w:szCs w:val="20"/>
              </w:rPr>
            </w:pPr>
            <w:r>
              <w:rPr>
                <w:rFonts w:ascii="Arial"/>
                <w:w w:val="99"/>
                <w:sz w:val="20"/>
              </w:rPr>
              <w:t>-</w:t>
            </w:r>
            <w:r>
              <w:rPr>
                <w:rFonts w:ascii="Arial"/>
                <w:sz w:val="20"/>
              </w:rPr>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340"/>
              <w:jc w:val="right"/>
              <w:rPr>
                <w:rFonts w:ascii="Arial" w:hAnsi="Arial" w:cs="Arial" w:eastAsia="Arial" w:hint="default"/>
                <w:sz w:val="20"/>
                <w:szCs w:val="20"/>
              </w:rPr>
            </w:pPr>
            <w:r>
              <w:rPr>
                <w:rFonts w:ascii="Arial"/>
                <w:w w:val="99"/>
                <w:sz w:val="20"/>
              </w:rPr>
              <w:t>-</w:t>
            </w:r>
            <w:r>
              <w:rPr>
                <w:rFonts w:ascii="Arial"/>
                <w:sz w:val="20"/>
              </w:rPr>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44"/>
              <w:jc w:val="right"/>
              <w:rPr>
                <w:rFonts w:ascii="Arial" w:hAnsi="Arial" w:cs="Arial" w:eastAsia="Arial" w:hint="default"/>
                <w:sz w:val="20"/>
                <w:szCs w:val="20"/>
              </w:rPr>
            </w:pPr>
            <w:r>
              <w:rPr>
                <w:rFonts w:ascii="Arial"/>
                <w:spacing w:val="-1"/>
                <w:w w:val="95"/>
                <w:sz w:val="20"/>
              </w:rPr>
              <w:t>8700</w:t>
            </w:r>
            <w:r>
              <w:rPr>
                <w:rFonts w:ascii="Arial"/>
                <w:sz w:val="20"/>
              </w:rPr>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02"/>
              <w:jc w:val="right"/>
              <w:rPr>
                <w:rFonts w:ascii="Arial" w:hAnsi="Arial" w:cs="Arial" w:eastAsia="Arial" w:hint="default"/>
                <w:sz w:val="20"/>
                <w:szCs w:val="20"/>
              </w:rPr>
            </w:pPr>
            <w:r>
              <w:rPr>
                <w:rFonts w:ascii="Arial"/>
                <w:spacing w:val="-1"/>
                <w:w w:val="95"/>
                <w:sz w:val="20"/>
              </w:rPr>
              <w:t>100</w:t>
            </w:r>
            <w:r>
              <w:rPr>
                <w:rFonts w:ascii="Arial"/>
                <w:sz w:val="20"/>
              </w:rPr>
            </w:r>
          </w:p>
        </w:tc>
      </w:tr>
      <w:tr>
        <w:trPr>
          <w:trHeight w:val="422" w:hRule="exact"/>
        </w:trPr>
        <w:tc>
          <w:tcPr>
            <w:tcW w:w="251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00" w:right="0"/>
              <w:jc w:val="left"/>
              <w:rPr>
                <w:rFonts w:ascii="Arial" w:hAnsi="Arial" w:cs="Arial" w:eastAsia="Arial" w:hint="default"/>
                <w:sz w:val="20"/>
                <w:szCs w:val="20"/>
              </w:rPr>
            </w:pPr>
            <w:r>
              <w:rPr>
                <w:rFonts w:ascii="Arial"/>
                <w:sz w:val="20"/>
              </w:rPr>
              <w:t>YUNANO</w:t>
            </w:r>
          </w:p>
        </w:tc>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5"/>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w w:val="95"/>
                <w:sz w:val="20"/>
                <w:u w:val="single" w:color="000000"/>
              </w:rPr>
              <w:t>6,979,059</w:t>
            </w:r>
            <w:r>
              <w:rPr>
                <w:rFonts w:ascii="Arial"/>
                <w:spacing w:val="-1"/>
                <w:w w:val="95"/>
                <w:sz w:val="20"/>
              </w:rPr>
            </w:r>
            <w:r>
              <w:rPr>
                <w:rFonts w:ascii="Arial"/>
                <w:sz w:val="20"/>
              </w:rPr>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2"/>
              <w:jc w:val="right"/>
              <w:rPr>
                <w:rFonts w:ascii="Arial" w:hAnsi="Arial" w:cs="Arial" w:eastAsia="Arial" w:hint="default"/>
                <w:sz w:val="20"/>
                <w:szCs w:val="20"/>
              </w:rPr>
            </w:pPr>
            <w:r>
              <w:rPr>
                <w:rFonts w:ascii="Arial"/>
                <w:w w:val="99"/>
                <w:sz w:val="20"/>
              </w:rPr>
            </w:r>
            <w:r>
              <w:rPr>
                <w:rFonts w:ascii="Arial"/>
                <w:spacing w:val="-1"/>
                <w:w w:val="95"/>
                <w:sz w:val="20"/>
                <w:u w:val="single" w:color="000000"/>
              </w:rPr>
              <w:t>100</w:t>
            </w:r>
            <w:r>
              <w:rPr>
                <w:rFonts w:ascii="Arial"/>
                <w:spacing w:val="-1"/>
                <w:w w:val="95"/>
                <w:sz w:val="20"/>
              </w:rPr>
            </w:r>
            <w:r>
              <w:rPr>
                <w:rFonts w:ascii="Arial"/>
                <w:sz w:val="20"/>
              </w:rPr>
            </w:r>
          </w:p>
        </w:tc>
        <w:tc>
          <w:tcPr>
            <w:tcW w:w="922"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14"/>
              <w:ind w:right="140"/>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054" w:type="dxa"/>
            <w:tcBorders>
              <w:top w:val="nil" w:sz="6" w:space="0" w:color="auto"/>
              <w:left w:val="nil" w:sz="6" w:space="0" w:color="auto"/>
              <w:bottom w:val="nil" w:sz="6" w:space="0" w:color="auto"/>
              <w:right w:val="nil" w:sz="6" w:space="0" w:color="auto"/>
            </w:tcBorders>
          </w:tcPr>
          <w:p>
            <w:pPr>
              <w:pStyle w:val="TableParagraph"/>
              <w:tabs>
                <w:tab w:pos="261" w:val="left" w:leader="none"/>
              </w:tabs>
              <w:spacing w:line="240" w:lineRule="auto" w:before="14"/>
              <w:ind w:right="19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r>
      <w:tr>
        <w:trPr>
          <w:trHeight w:val="382" w:hRule="exact"/>
        </w:trPr>
        <w:tc>
          <w:tcPr>
            <w:tcW w:w="2516" w:type="dxa"/>
            <w:tcBorders>
              <w:top w:val="nil" w:sz="6" w:space="0" w:color="auto"/>
              <w:left w:val="nil" w:sz="6" w:space="0" w:color="auto"/>
              <w:bottom w:val="nil" w:sz="6" w:space="0" w:color="auto"/>
              <w:right w:val="nil" w:sz="6" w:space="0" w:color="auto"/>
            </w:tcBorders>
          </w:tcPr>
          <w:p>
            <w:pPr/>
          </w:p>
        </w:tc>
        <w:tc>
          <w:tcPr>
            <w:tcW w:w="2504"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55"/>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pacing w:val="-11"/>
                <w:sz w:val="20"/>
                <w:u w:val="thick" w:color="000000"/>
              </w:rPr>
              <w:t> </w:t>
            </w:r>
            <w:r>
              <w:rPr>
                <w:rFonts w:ascii="Arial"/>
                <w:spacing w:val="-1"/>
                <w:w w:val="95"/>
                <w:sz w:val="20"/>
                <w:u w:val="thick" w:color="000000"/>
              </w:rPr>
              <w:t>6,979,059</w:t>
            </w:r>
            <w:r>
              <w:rPr>
                <w:rFonts w:ascii="Arial"/>
                <w:spacing w:val="-1"/>
                <w:w w:val="95"/>
                <w:sz w:val="20"/>
              </w:rPr>
            </w:r>
            <w:r>
              <w:rPr>
                <w:rFonts w:ascii="Arial"/>
                <w:sz w:val="20"/>
              </w:rPr>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342"/>
              <w:jc w:val="right"/>
              <w:rPr>
                <w:rFonts w:ascii="Arial" w:hAnsi="Arial" w:cs="Arial" w:eastAsia="Arial" w:hint="default"/>
                <w:sz w:val="20"/>
                <w:szCs w:val="20"/>
              </w:rPr>
            </w:pPr>
            <w:r>
              <w:rPr>
                <w:rFonts w:ascii="Arial"/>
                <w:w w:val="99"/>
                <w:sz w:val="20"/>
              </w:rPr>
            </w:r>
            <w:r>
              <w:rPr>
                <w:rFonts w:ascii="Arial"/>
                <w:spacing w:val="-1"/>
                <w:w w:val="95"/>
                <w:sz w:val="20"/>
                <w:u w:val="thick" w:color="000000"/>
              </w:rPr>
              <w:t>100</w:t>
            </w:r>
            <w:r>
              <w:rPr>
                <w:rFonts w:ascii="Arial"/>
                <w:spacing w:val="-1"/>
                <w:w w:val="95"/>
                <w:sz w:val="20"/>
              </w:rPr>
            </w:r>
            <w:r>
              <w:rPr>
                <w:rFonts w:ascii="Arial"/>
                <w:sz w:val="20"/>
              </w:rPr>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44"/>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  </w:t>
            </w:r>
            <w:r>
              <w:rPr>
                <w:rFonts w:ascii="Arial"/>
                <w:spacing w:val="-21"/>
                <w:sz w:val="20"/>
                <w:u w:val="thick" w:color="000000"/>
              </w:rPr>
              <w:t> </w:t>
            </w:r>
            <w:r>
              <w:rPr>
                <w:rFonts w:ascii="Arial"/>
                <w:spacing w:val="-1"/>
                <w:w w:val="95"/>
                <w:sz w:val="20"/>
                <w:u w:val="thick" w:color="000000"/>
              </w:rPr>
              <w:t>8700</w:t>
            </w:r>
            <w:r>
              <w:rPr>
                <w:rFonts w:ascii="Arial"/>
                <w:spacing w:val="-1"/>
                <w:w w:val="95"/>
                <w:sz w:val="20"/>
              </w:rPr>
            </w:r>
            <w:r>
              <w:rPr>
                <w:rFonts w:ascii="Arial"/>
                <w:sz w:val="20"/>
              </w:rPr>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202"/>
              <w:jc w:val="right"/>
              <w:rPr>
                <w:rFonts w:ascii="Arial" w:hAnsi="Arial" w:cs="Arial" w:eastAsia="Arial" w:hint="default"/>
                <w:sz w:val="20"/>
                <w:szCs w:val="20"/>
              </w:rPr>
            </w:pPr>
            <w:r>
              <w:rPr>
                <w:rFonts w:ascii="Arial"/>
                <w:w w:val="99"/>
                <w:sz w:val="20"/>
              </w:rPr>
            </w:r>
            <w:r>
              <w:rPr>
                <w:rFonts w:ascii="Arial"/>
                <w:spacing w:val="-1"/>
                <w:w w:val="95"/>
                <w:sz w:val="20"/>
                <w:u w:val="thick" w:color="000000"/>
              </w:rPr>
              <w:t>100</w:t>
            </w:r>
            <w:r>
              <w:rPr>
                <w:rFonts w:ascii="Arial"/>
                <w:spacing w:val="-1"/>
                <w:w w:val="95"/>
                <w:sz w:val="20"/>
              </w:rPr>
            </w:r>
            <w:r>
              <w:rPr>
                <w:rFonts w:ascii="Arial"/>
                <w:sz w:val="20"/>
              </w:rPr>
            </w:r>
          </w:p>
        </w:tc>
      </w:tr>
    </w:tbl>
    <w:p>
      <w:pPr>
        <w:pStyle w:val="BodyText"/>
        <w:tabs>
          <w:tab w:pos="1178" w:val="left" w:leader="none"/>
        </w:tabs>
        <w:spacing w:line="420" w:lineRule="auto"/>
        <w:ind w:left="732" w:right="6693"/>
        <w:jc w:val="left"/>
      </w:pPr>
      <w:r>
        <w:rPr/>
        <w:pict>
          <v:shape style="position:absolute;margin-left:105.559998pt;margin-top:65.400322pt;width:413.85pt;height:65.55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57"/>
                    <w:gridCol w:w="2478"/>
                    <w:gridCol w:w="1456"/>
                    <w:gridCol w:w="1517"/>
                    <w:gridCol w:w="1269"/>
                  </w:tblGrid>
                  <w:tr>
                    <w:trPr>
                      <w:trHeight w:val="242" w:hRule="exact"/>
                    </w:trPr>
                    <w:tc>
                      <w:tcPr>
                        <w:tcW w:w="1557" w:type="dxa"/>
                        <w:tcBorders>
                          <w:top w:val="nil" w:sz="6" w:space="0" w:color="auto"/>
                          <w:left w:val="nil" w:sz="6" w:space="0" w:color="auto"/>
                          <w:bottom w:val="nil" w:sz="6" w:space="0" w:color="auto"/>
                          <w:right w:val="nil" w:sz="6" w:space="0" w:color="auto"/>
                        </w:tcBorders>
                      </w:tcPr>
                      <w:p>
                        <w:pPr/>
                      </w:p>
                    </w:tc>
                    <w:tc>
                      <w:tcPr>
                        <w:tcW w:w="2478" w:type="dxa"/>
                        <w:tcBorders>
                          <w:top w:val="nil" w:sz="6" w:space="0" w:color="auto"/>
                          <w:left w:val="nil" w:sz="6" w:space="0" w:color="auto"/>
                          <w:bottom w:val="nil" w:sz="6" w:space="0" w:color="auto"/>
                          <w:right w:val="nil" w:sz="6" w:space="0" w:color="auto"/>
                        </w:tcBorders>
                      </w:tcPr>
                      <w:p>
                        <w:pPr>
                          <w:pStyle w:val="TableParagraph"/>
                          <w:spacing w:line="199" w:lineRule="exact"/>
                          <w:ind w:right="119"/>
                          <w:jc w:val="right"/>
                          <w:rPr>
                            <w:rFonts w:ascii="黑体" w:hAnsi="黑体" w:cs="黑体" w:eastAsia="黑体" w:hint="default"/>
                            <w:sz w:val="20"/>
                            <w:szCs w:val="20"/>
                          </w:rPr>
                        </w:pPr>
                        <w:r>
                          <w:rPr>
                            <w:rFonts w:ascii="黑体" w:hAnsi="黑体" w:cs="黑体" w:eastAsia="黑体" w:hint="default"/>
                            <w:w w:val="95"/>
                            <w:sz w:val="20"/>
                            <w:szCs w:val="20"/>
                          </w:rPr>
                          <w:t>租赁资产</w:t>
                        </w:r>
                        <w:r>
                          <w:rPr>
                            <w:rFonts w:ascii="黑体" w:hAnsi="黑体" w:cs="黑体" w:eastAsia="黑体" w:hint="default"/>
                            <w:sz w:val="20"/>
                            <w:szCs w:val="20"/>
                          </w:rPr>
                        </w:r>
                      </w:p>
                    </w:tc>
                    <w:tc>
                      <w:tcPr>
                        <w:tcW w:w="1456" w:type="dxa"/>
                        <w:tcBorders>
                          <w:top w:val="nil" w:sz="6" w:space="0" w:color="auto"/>
                          <w:left w:val="nil" w:sz="6" w:space="0" w:color="auto"/>
                          <w:bottom w:val="nil" w:sz="6" w:space="0" w:color="auto"/>
                          <w:right w:val="nil" w:sz="6" w:space="0" w:color="auto"/>
                        </w:tcBorders>
                      </w:tcPr>
                      <w:p>
                        <w:pPr>
                          <w:pStyle w:val="TableParagraph"/>
                          <w:spacing w:line="199" w:lineRule="exact"/>
                          <w:ind w:right="90"/>
                          <w:jc w:val="right"/>
                          <w:rPr>
                            <w:rFonts w:ascii="黑体" w:hAnsi="黑体" w:cs="黑体" w:eastAsia="黑体" w:hint="default"/>
                            <w:sz w:val="20"/>
                            <w:szCs w:val="20"/>
                          </w:rPr>
                        </w:pPr>
                        <w:r>
                          <w:rPr>
                            <w:rFonts w:ascii="黑体" w:hAnsi="黑体" w:cs="黑体" w:eastAsia="黑体" w:hint="default"/>
                            <w:w w:val="95"/>
                            <w:sz w:val="20"/>
                            <w:szCs w:val="20"/>
                          </w:rPr>
                          <w:t>租赁</w:t>
                        </w:r>
                        <w:r>
                          <w:rPr>
                            <w:rFonts w:ascii="黑体" w:hAnsi="黑体" w:cs="黑体" w:eastAsia="黑体" w:hint="default"/>
                            <w:sz w:val="20"/>
                            <w:szCs w:val="20"/>
                          </w:rPr>
                        </w:r>
                      </w:p>
                    </w:tc>
                    <w:tc>
                      <w:tcPr>
                        <w:tcW w:w="1517" w:type="dxa"/>
                        <w:tcBorders>
                          <w:top w:val="nil" w:sz="6" w:space="0" w:color="auto"/>
                          <w:left w:val="nil" w:sz="6" w:space="0" w:color="auto"/>
                          <w:bottom w:val="nil" w:sz="6" w:space="0" w:color="auto"/>
                          <w:right w:val="nil" w:sz="6" w:space="0" w:color="auto"/>
                        </w:tcBorders>
                      </w:tcPr>
                      <w:p>
                        <w:pPr>
                          <w:pStyle w:val="TableParagraph"/>
                          <w:spacing w:line="199" w:lineRule="exact"/>
                          <w:ind w:right="87"/>
                          <w:jc w:val="right"/>
                          <w:rPr>
                            <w:rFonts w:ascii="黑体" w:hAnsi="黑体" w:cs="黑体" w:eastAsia="黑体" w:hint="default"/>
                            <w:sz w:val="20"/>
                            <w:szCs w:val="20"/>
                          </w:rPr>
                        </w:pPr>
                        <w:r>
                          <w:rPr>
                            <w:rFonts w:ascii="黑体" w:hAnsi="黑体" w:cs="黑体" w:eastAsia="黑体" w:hint="default"/>
                            <w:w w:val="95"/>
                            <w:sz w:val="20"/>
                            <w:szCs w:val="20"/>
                          </w:rPr>
                          <w:t>租赁</w:t>
                        </w:r>
                        <w:r>
                          <w:rPr>
                            <w:rFonts w:ascii="黑体" w:hAnsi="黑体" w:cs="黑体" w:eastAsia="黑体" w:hint="default"/>
                            <w:sz w:val="20"/>
                            <w:szCs w:val="20"/>
                          </w:rPr>
                        </w:r>
                      </w:p>
                    </w:tc>
                    <w:tc>
                      <w:tcPr>
                        <w:tcW w:w="1269" w:type="dxa"/>
                        <w:tcBorders>
                          <w:top w:val="nil" w:sz="6" w:space="0" w:color="auto"/>
                          <w:left w:val="nil" w:sz="6" w:space="0" w:color="auto"/>
                          <w:bottom w:val="nil" w:sz="6" w:space="0" w:color="auto"/>
                          <w:right w:val="nil" w:sz="6" w:space="0" w:color="auto"/>
                        </w:tcBorders>
                      </w:tcPr>
                      <w:p>
                        <w:pPr>
                          <w:pStyle w:val="TableParagraph"/>
                          <w:spacing w:line="199" w:lineRule="exact"/>
                          <w:ind w:right="198"/>
                          <w:jc w:val="right"/>
                          <w:rPr>
                            <w:rFonts w:ascii="黑体" w:hAnsi="黑体" w:cs="黑体" w:eastAsia="黑体" w:hint="default"/>
                            <w:sz w:val="20"/>
                            <w:szCs w:val="20"/>
                          </w:rPr>
                        </w:pPr>
                        <w:r>
                          <w:rPr>
                            <w:rFonts w:ascii="黑体" w:hAnsi="黑体" w:cs="黑体" w:eastAsia="黑体" w:hint="default"/>
                            <w:w w:val="95"/>
                            <w:sz w:val="20"/>
                            <w:szCs w:val="20"/>
                          </w:rPr>
                          <w:t>年度确认的</w:t>
                        </w:r>
                        <w:r>
                          <w:rPr>
                            <w:rFonts w:ascii="黑体" w:hAnsi="黑体" w:cs="黑体" w:eastAsia="黑体" w:hint="default"/>
                            <w:sz w:val="20"/>
                            <w:szCs w:val="20"/>
                          </w:rPr>
                        </w:r>
                      </w:p>
                    </w:tc>
                  </w:tr>
                  <w:tr>
                    <w:trPr>
                      <w:trHeight w:val="421" w:hRule="exact"/>
                    </w:trPr>
                    <w:tc>
                      <w:tcPr>
                        <w:tcW w:w="1557" w:type="dxa"/>
                        <w:tcBorders>
                          <w:top w:val="nil" w:sz="6" w:space="0" w:color="auto"/>
                          <w:left w:val="nil" w:sz="6" w:space="0" w:color="auto"/>
                          <w:bottom w:val="nil" w:sz="6" w:space="0" w:color="auto"/>
                          <w:right w:val="nil" w:sz="6" w:space="0" w:color="auto"/>
                        </w:tcBorders>
                      </w:tcPr>
                      <w:p>
                        <w:pPr/>
                      </w:p>
                    </w:tc>
                    <w:tc>
                      <w:tcPr>
                        <w:tcW w:w="2478" w:type="dxa"/>
                        <w:tcBorders>
                          <w:top w:val="nil" w:sz="6" w:space="0" w:color="auto"/>
                          <w:left w:val="nil" w:sz="6" w:space="0" w:color="auto"/>
                          <w:bottom w:val="nil" w:sz="6" w:space="0" w:color="auto"/>
                          <w:right w:val="nil" w:sz="6" w:space="0" w:color="auto"/>
                        </w:tcBorders>
                      </w:tcPr>
                      <w:p>
                        <w:pPr>
                          <w:pStyle w:val="TableParagraph"/>
                          <w:spacing w:line="243" w:lineRule="exact"/>
                          <w:ind w:right="118"/>
                          <w:jc w:val="right"/>
                          <w:rPr>
                            <w:rFonts w:ascii="黑体" w:hAnsi="黑体" w:cs="黑体" w:eastAsia="黑体" w:hint="default"/>
                            <w:sz w:val="20"/>
                            <w:szCs w:val="20"/>
                          </w:rPr>
                        </w:pPr>
                        <w:r>
                          <w:rPr>
                            <w:rFonts w:ascii="黑体" w:hAnsi="黑体" w:cs="黑体" w:eastAsia="黑体" w:hint="default"/>
                            <w:w w:val="95"/>
                            <w:sz w:val="20"/>
                            <w:szCs w:val="20"/>
                          </w:rPr>
                          <w:t>类型</w:t>
                        </w:r>
                        <w:r>
                          <w:rPr>
                            <w:rFonts w:ascii="黑体" w:hAnsi="黑体" w:cs="黑体" w:eastAsia="黑体" w:hint="default"/>
                            <w:sz w:val="20"/>
                            <w:szCs w:val="20"/>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3" w:lineRule="exact"/>
                          <w:ind w:right="90"/>
                          <w:jc w:val="right"/>
                          <w:rPr>
                            <w:rFonts w:ascii="黑体" w:hAnsi="黑体" w:cs="黑体" w:eastAsia="黑体" w:hint="default"/>
                            <w:sz w:val="20"/>
                            <w:szCs w:val="20"/>
                          </w:rPr>
                        </w:pPr>
                        <w:r>
                          <w:rPr>
                            <w:rFonts w:ascii="黑体" w:hAnsi="黑体" w:cs="黑体" w:eastAsia="黑体" w:hint="default"/>
                            <w:w w:val="95"/>
                            <w:sz w:val="20"/>
                            <w:szCs w:val="20"/>
                          </w:rPr>
                          <w:t>起始日</w:t>
                        </w:r>
                        <w:r>
                          <w:rPr>
                            <w:rFonts w:ascii="黑体" w:hAnsi="黑体" w:cs="黑体" w:eastAsia="黑体" w:hint="default"/>
                            <w:sz w:val="20"/>
                            <w:szCs w:val="20"/>
                          </w:rPr>
                        </w:r>
                      </w:p>
                    </w:tc>
                    <w:tc>
                      <w:tcPr>
                        <w:tcW w:w="1517" w:type="dxa"/>
                        <w:tcBorders>
                          <w:top w:val="nil" w:sz="6" w:space="0" w:color="auto"/>
                          <w:left w:val="nil" w:sz="6" w:space="0" w:color="auto"/>
                          <w:bottom w:val="nil" w:sz="6" w:space="0" w:color="auto"/>
                          <w:right w:val="nil" w:sz="6" w:space="0" w:color="auto"/>
                        </w:tcBorders>
                      </w:tcPr>
                      <w:p>
                        <w:pPr>
                          <w:pStyle w:val="TableParagraph"/>
                          <w:spacing w:line="243" w:lineRule="exact"/>
                          <w:ind w:right="87"/>
                          <w:jc w:val="right"/>
                          <w:rPr>
                            <w:rFonts w:ascii="黑体" w:hAnsi="黑体" w:cs="黑体" w:eastAsia="黑体" w:hint="default"/>
                            <w:sz w:val="20"/>
                            <w:szCs w:val="20"/>
                          </w:rPr>
                        </w:pPr>
                        <w:r>
                          <w:rPr>
                            <w:rFonts w:ascii="黑体" w:hAnsi="黑体" w:cs="黑体" w:eastAsia="黑体" w:hint="default"/>
                            <w:w w:val="95"/>
                            <w:sz w:val="20"/>
                            <w:szCs w:val="20"/>
                          </w:rPr>
                          <w:t>终止日</w:t>
                        </w:r>
                        <w:r>
                          <w:rPr>
                            <w:rFonts w:ascii="黑体" w:hAnsi="黑体" w:cs="黑体" w:eastAsia="黑体" w:hint="default"/>
                            <w:sz w:val="20"/>
                            <w:szCs w:val="20"/>
                          </w:rPr>
                        </w:r>
                      </w:p>
                    </w:tc>
                    <w:tc>
                      <w:tcPr>
                        <w:tcW w:w="1269" w:type="dxa"/>
                        <w:tcBorders>
                          <w:top w:val="nil" w:sz="6" w:space="0" w:color="auto"/>
                          <w:left w:val="nil" w:sz="6" w:space="0" w:color="auto"/>
                          <w:bottom w:val="nil" w:sz="6" w:space="0" w:color="auto"/>
                          <w:right w:val="nil" w:sz="6" w:space="0" w:color="auto"/>
                        </w:tcBorders>
                      </w:tcPr>
                      <w:p>
                        <w:pPr>
                          <w:pStyle w:val="TableParagraph"/>
                          <w:spacing w:line="243" w:lineRule="exact"/>
                          <w:ind w:right="198"/>
                          <w:jc w:val="right"/>
                          <w:rPr>
                            <w:rFonts w:ascii="黑体" w:hAnsi="黑体" w:cs="黑体" w:eastAsia="黑体" w:hint="default"/>
                            <w:sz w:val="20"/>
                            <w:szCs w:val="20"/>
                          </w:rPr>
                        </w:pPr>
                        <w:r>
                          <w:rPr>
                            <w:rFonts w:ascii="黑体" w:hAnsi="黑体" w:cs="黑体" w:eastAsia="黑体" w:hint="default"/>
                            <w:w w:val="95"/>
                            <w:sz w:val="20"/>
                            <w:szCs w:val="20"/>
                          </w:rPr>
                          <w:t>租赁收益</w:t>
                        </w:r>
                        <w:r>
                          <w:rPr>
                            <w:rFonts w:ascii="黑体" w:hAnsi="黑体" w:cs="黑体" w:eastAsia="黑体" w:hint="default"/>
                            <w:sz w:val="20"/>
                            <w:szCs w:val="20"/>
                          </w:rPr>
                        </w:r>
                      </w:p>
                    </w:tc>
                  </w:tr>
                  <w:tr>
                    <w:trPr>
                      <w:trHeight w:val="409" w:hRule="exact"/>
                    </w:trPr>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200" w:right="0"/>
                          <w:jc w:val="left"/>
                          <w:rPr>
                            <w:rFonts w:ascii="黑体" w:hAnsi="黑体" w:cs="黑体" w:eastAsia="黑体" w:hint="default"/>
                            <w:sz w:val="20"/>
                            <w:szCs w:val="20"/>
                          </w:rPr>
                        </w:pPr>
                        <w:r>
                          <w:rPr>
                            <w:rFonts w:ascii="黑体" w:hAnsi="黑体" w:cs="黑体" w:eastAsia="黑体" w:hint="default"/>
                            <w:sz w:val="20"/>
                            <w:szCs w:val="20"/>
                          </w:rPr>
                          <w:t>北京伟库</w:t>
                        </w:r>
                      </w:p>
                    </w:tc>
                    <w:tc>
                      <w:tcPr>
                        <w:tcW w:w="247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18"/>
                          <w:jc w:val="right"/>
                          <w:rPr>
                            <w:rFonts w:ascii="黑体" w:hAnsi="黑体" w:cs="黑体" w:eastAsia="黑体" w:hint="default"/>
                            <w:sz w:val="20"/>
                            <w:szCs w:val="20"/>
                          </w:rPr>
                        </w:pPr>
                        <w:r>
                          <w:rPr>
                            <w:rFonts w:ascii="黑体" w:hAnsi="黑体" w:cs="黑体" w:eastAsia="黑体" w:hint="default"/>
                            <w:w w:val="95"/>
                            <w:sz w:val="20"/>
                            <w:szCs w:val="20"/>
                          </w:rPr>
                          <w:t>用友软件园办公用房</w:t>
                        </w:r>
                        <w:r>
                          <w:rPr>
                            <w:rFonts w:ascii="黑体" w:hAnsi="黑体" w:cs="黑体" w:eastAsia="黑体" w:hint="default"/>
                            <w:sz w:val="20"/>
                            <w:szCs w:val="20"/>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68"/>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r>
                          <w:rPr>
                            <w:rFonts w:ascii="Arial" w:hAnsi="Arial" w:cs="Arial" w:eastAsia="Arial" w:hint="default"/>
                            <w:spacing w:val="-1"/>
                            <w:sz w:val="20"/>
                            <w:szCs w:val="20"/>
                          </w:rPr>
                          <w:t>4</w:t>
                        </w:r>
                        <w:r>
                          <w:rPr>
                            <w:rFonts w:ascii="黑体" w:hAnsi="黑体" w:cs="黑体" w:eastAsia="黑体" w:hint="default"/>
                            <w:spacing w:val="-1"/>
                            <w:sz w:val="20"/>
                            <w:szCs w:val="20"/>
                          </w:rPr>
                          <w:t>月</w:t>
                        </w:r>
                        <w:r>
                          <w:rPr>
                            <w:rFonts w:ascii="Arial" w:hAnsi="Arial" w:cs="Arial" w:eastAsia="Arial" w:hint="default"/>
                            <w:spacing w:val="-1"/>
                            <w:sz w:val="20"/>
                            <w:szCs w:val="20"/>
                          </w:rPr>
                          <w:t>1</w:t>
                        </w:r>
                        <w:r>
                          <w:rPr>
                            <w:rFonts w:ascii="黑体" w:hAnsi="黑体" w:cs="黑体" w:eastAsia="黑体" w:hint="default"/>
                            <w:spacing w:val="-1"/>
                            <w:sz w:val="20"/>
                            <w:szCs w:val="20"/>
                          </w:rPr>
                          <w:t>日</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68"/>
                          <w:jc w:val="right"/>
                          <w:rPr>
                            <w:rFonts w:ascii="黑体" w:hAnsi="黑体" w:cs="黑体" w:eastAsia="黑体" w:hint="default"/>
                            <w:sz w:val="20"/>
                            <w:szCs w:val="20"/>
                          </w:rPr>
                        </w:pPr>
                        <w:r>
                          <w:rPr>
                            <w:rFonts w:ascii="Arial" w:hAnsi="Arial" w:cs="Arial" w:eastAsia="Arial" w:hint="default"/>
                            <w:spacing w:val="-1"/>
                            <w:sz w:val="20"/>
                            <w:szCs w:val="20"/>
                          </w:rPr>
                          <w:t>2013</w:t>
                        </w:r>
                        <w:r>
                          <w:rPr>
                            <w:rFonts w:ascii="黑体" w:hAnsi="黑体" w:cs="黑体" w:eastAsia="黑体" w:hint="default"/>
                            <w:spacing w:val="-1"/>
                            <w:sz w:val="20"/>
                            <w:szCs w:val="20"/>
                          </w:rPr>
                          <w:t>年</w:t>
                        </w:r>
                        <w:r>
                          <w:rPr>
                            <w:rFonts w:ascii="Arial" w:hAnsi="Arial" w:cs="Arial" w:eastAsia="Arial" w:hint="default"/>
                            <w:spacing w:val="-1"/>
                            <w:sz w:val="20"/>
                            <w:szCs w:val="20"/>
                          </w:rPr>
                          <w:t>3</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15"/>
                          <w:jc w:val="right"/>
                          <w:rPr>
                            <w:rFonts w:ascii="Arial" w:hAnsi="Arial" w:cs="Arial" w:eastAsia="Arial" w:hint="default"/>
                            <w:sz w:val="20"/>
                            <w:szCs w:val="20"/>
                          </w:rPr>
                        </w:pPr>
                        <w:r>
                          <w:rPr>
                            <w:rFonts w:ascii="Arial"/>
                            <w:w w:val="99"/>
                            <w:sz w:val="20"/>
                          </w:rPr>
                        </w:r>
                        <w:r>
                          <w:rPr>
                            <w:rFonts w:ascii="Arial"/>
                            <w:spacing w:val="-1"/>
                            <w:w w:val="95"/>
                            <w:sz w:val="20"/>
                            <w:u w:val="thick" w:color="000000"/>
                          </w:rPr>
                          <w:t>646,023</w:t>
                        </w:r>
                        <w:r>
                          <w:rPr>
                            <w:rFonts w:ascii="Arial"/>
                            <w:spacing w:val="-1"/>
                            <w:w w:val="95"/>
                            <w:sz w:val="20"/>
                          </w:rPr>
                        </w:r>
                        <w:r>
                          <w:rPr>
                            <w:rFonts w:ascii="Arial"/>
                            <w:sz w:val="20"/>
                          </w:rPr>
                        </w:r>
                      </w:p>
                    </w:tc>
                  </w:tr>
                  <w:tr>
                    <w:trPr>
                      <w:trHeight w:val="238" w:hRule="exact"/>
                    </w:trPr>
                    <w:tc>
                      <w:tcPr>
                        <w:tcW w:w="1557" w:type="dxa"/>
                        <w:tcBorders>
                          <w:top w:val="nil" w:sz="6" w:space="0" w:color="auto"/>
                          <w:left w:val="nil" w:sz="6" w:space="0" w:color="auto"/>
                          <w:bottom w:val="nil" w:sz="6" w:space="0" w:color="auto"/>
                          <w:right w:val="nil" w:sz="6" w:space="0" w:color="auto"/>
                        </w:tcBorders>
                      </w:tcPr>
                      <w:p>
                        <w:pPr>
                          <w:pStyle w:val="TableParagraph"/>
                          <w:spacing w:line="228" w:lineRule="exact"/>
                          <w:ind w:left="200" w:right="0"/>
                          <w:jc w:val="left"/>
                          <w:rPr>
                            <w:rFonts w:ascii="黑体" w:hAnsi="黑体" w:cs="黑体" w:eastAsia="黑体" w:hint="default"/>
                            <w:sz w:val="20"/>
                            <w:szCs w:val="20"/>
                          </w:rPr>
                        </w:pPr>
                        <w:r>
                          <w:rPr>
                            <w:rFonts w:ascii="黑体" w:hAnsi="黑体" w:cs="黑体" w:eastAsia="黑体" w:hint="default"/>
                            <w:sz w:val="20"/>
                            <w:szCs w:val="20"/>
                          </w:rPr>
                          <w:t>用友教育</w:t>
                        </w:r>
                      </w:p>
                    </w:tc>
                    <w:tc>
                      <w:tcPr>
                        <w:tcW w:w="2478" w:type="dxa"/>
                        <w:tcBorders>
                          <w:top w:val="nil" w:sz="6" w:space="0" w:color="auto"/>
                          <w:left w:val="nil" w:sz="6" w:space="0" w:color="auto"/>
                          <w:bottom w:val="nil" w:sz="6" w:space="0" w:color="auto"/>
                          <w:right w:val="nil" w:sz="6" w:space="0" w:color="auto"/>
                        </w:tcBorders>
                      </w:tcPr>
                      <w:p>
                        <w:pPr>
                          <w:pStyle w:val="TableParagraph"/>
                          <w:spacing w:line="228" w:lineRule="exact"/>
                          <w:ind w:right="118"/>
                          <w:jc w:val="right"/>
                          <w:rPr>
                            <w:rFonts w:ascii="黑体" w:hAnsi="黑体" w:cs="黑体" w:eastAsia="黑体" w:hint="default"/>
                            <w:sz w:val="20"/>
                            <w:szCs w:val="20"/>
                          </w:rPr>
                        </w:pPr>
                        <w:r>
                          <w:rPr>
                            <w:rFonts w:ascii="黑体" w:hAnsi="黑体" w:cs="黑体" w:eastAsia="黑体" w:hint="default"/>
                            <w:w w:val="95"/>
                            <w:sz w:val="20"/>
                            <w:szCs w:val="20"/>
                          </w:rPr>
                          <w:t>用友软件园办公用房</w:t>
                        </w:r>
                        <w:r>
                          <w:rPr>
                            <w:rFonts w:ascii="黑体" w:hAnsi="黑体" w:cs="黑体" w:eastAsia="黑体" w:hint="default"/>
                            <w:sz w:val="20"/>
                            <w:szCs w:val="20"/>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2" w:lineRule="exact"/>
                          <w:ind w:right="68"/>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r>
                          <w:rPr>
                            <w:rFonts w:ascii="Arial" w:hAnsi="Arial" w:cs="Arial" w:eastAsia="Arial" w:hint="default"/>
                            <w:spacing w:val="-1"/>
                            <w:sz w:val="20"/>
                            <w:szCs w:val="20"/>
                          </w:rPr>
                          <w:t>5</w:t>
                        </w:r>
                        <w:r>
                          <w:rPr>
                            <w:rFonts w:ascii="黑体" w:hAnsi="黑体" w:cs="黑体" w:eastAsia="黑体" w:hint="default"/>
                            <w:spacing w:val="-1"/>
                            <w:sz w:val="20"/>
                            <w:szCs w:val="20"/>
                          </w:rPr>
                          <w:t>月</w:t>
                        </w:r>
                        <w:r>
                          <w:rPr>
                            <w:rFonts w:ascii="Arial" w:hAnsi="Arial" w:cs="Arial" w:eastAsia="Arial" w:hint="default"/>
                            <w:spacing w:val="-1"/>
                            <w:sz w:val="20"/>
                            <w:szCs w:val="20"/>
                          </w:rPr>
                          <w:t>1</w:t>
                        </w:r>
                        <w:r>
                          <w:rPr>
                            <w:rFonts w:ascii="黑体" w:hAnsi="黑体" w:cs="黑体" w:eastAsia="黑体" w:hint="default"/>
                            <w:spacing w:val="-1"/>
                            <w:sz w:val="20"/>
                            <w:szCs w:val="20"/>
                          </w:rPr>
                          <w:t>日</w:t>
                        </w:r>
                      </w:p>
                    </w:tc>
                    <w:tc>
                      <w:tcPr>
                        <w:tcW w:w="1517" w:type="dxa"/>
                        <w:tcBorders>
                          <w:top w:val="nil" w:sz="6" w:space="0" w:color="auto"/>
                          <w:left w:val="nil" w:sz="6" w:space="0" w:color="auto"/>
                          <w:bottom w:val="nil" w:sz="6" w:space="0" w:color="auto"/>
                          <w:right w:val="nil" w:sz="6" w:space="0" w:color="auto"/>
                        </w:tcBorders>
                      </w:tcPr>
                      <w:p>
                        <w:pPr>
                          <w:pStyle w:val="TableParagraph"/>
                          <w:spacing w:line="242" w:lineRule="exact"/>
                          <w:ind w:right="68"/>
                          <w:jc w:val="right"/>
                          <w:rPr>
                            <w:rFonts w:ascii="黑体" w:hAnsi="黑体" w:cs="黑体" w:eastAsia="黑体" w:hint="default"/>
                            <w:sz w:val="20"/>
                            <w:szCs w:val="20"/>
                          </w:rPr>
                        </w:pPr>
                        <w:r>
                          <w:rPr>
                            <w:rFonts w:ascii="Arial" w:hAnsi="Arial" w:cs="Arial" w:eastAsia="Arial" w:hint="default"/>
                            <w:spacing w:val="-1"/>
                            <w:sz w:val="20"/>
                            <w:szCs w:val="20"/>
                          </w:rPr>
                          <w:t>2015</w:t>
                        </w:r>
                        <w:r>
                          <w:rPr>
                            <w:rFonts w:ascii="黑体" w:hAnsi="黑体" w:cs="黑体" w:eastAsia="黑体" w:hint="default"/>
                            <w:spacing w:val="-1"/>
                            <w:sz w:val="20"/>
                            <w:szCs w:val="20"/>
                          </w:rPr>
                          <w:t>年</w:t>
                        </w:r>
                        <w:r>
                          <w:rPr>
                            <w:rFonts w:ascii="Arial" w:hAnsi="Arial" w:cs="Arial" w:eastAsia="Arial" w:hint="default"/>
                            <w:spacing w:val="-1"/>
                            <w:sz w:val="20"/>
                            <w:szCs w:val="20"/>
                          </w:rPr>
                          <w:t>4</w:t>
                        </w:r>
                        <w:r>
                          <w:rPr>
                            <w:rFonts w:ascii="黑体" w:hAnsi="黑体" w:cs="黑体" w:eastAsia="黑体" w:hint="default"/>
                            <w:spacing w:val="-1"/>
                            <w:sz w:val="20"/>
                            <w:szCs w:val="20"/>
                          </w:rPr>
                          <w:t>月</w:t>
                        </w:r>
                        <w:r>
                          <w:rPr>
                            <w:rFonts w:ascii="Arial" w:hAnsi="Arial" w:cs="Arial" w:eastAsia="Arial" w:hint="default"/>
                            <w:spacing w:val="-1"/>
                            <w:sz w:val="20"/>
                            <w:szCs w:val="20"/>
                          </w:rPr>
                          <w:t>30</w:t>
                        </w:r>
                        <w:r>
                          <w:rPr>
                            <w:rFonts w:ascii="黑体" w:hAnsi="黑体" w:cs="黑体" w:eastAsia="黑体" w:hint="default"/>
                            <w:spacing w:val="-1"/>
                            <w:sz w:val="20"/>
                            <w:szCs w:val="20"/>
                          </w:rPr>
                          <w:t>日</w:t>
                        </w:r>
                      </w:p>
                    </w:tc>
                    <w:tc>
                      <w:tcPr>
                        <w:tcW w:w="1269" w:type="dxa"/>
                        <w:tcBorders>
                          <w:top w:val="nil" w:sz="6" w:space="0" w:color="auto"/>
                          <w:left w:val="nil" w:sz="6" w:space="0" w:color="auto"/>
                          <w:bottom w:val="nil" w:sz="6" w:space="0" w:color="auto"/>
                          <w:right w:val="nil" w:sz="6" w:space="0" w:color="auto"/>
                        </w:tcBorders>
                      </w:tcPr>
                      <w:p>
                        <w:pPr>
                          <w:pStyle w:val="TableParagraph"/>
                          <w:spacing w:line="225" w:lineRule="exact"/>
                          <w:ind w:right="215"/>
                          <w:jc w:val="right"/>
                          <w:rPr>
                            <w:rFonts w:ascii="Arial" w:hAnsi="Arial" w:cs="Arial" w:eastAsia="Arial" w:hint="default"/>
                            <w:sz w:val="20"/>
                            <w:szCs w:val="20"/>
                          </w:rPr>
                        </w:pPr>
                        <w:r>
                          <w:rPr>
                            <w:rFonts w:ascii="Arial"/>
                            <w:w w:val="99"/>
                            <w:sz w:val="20"/>
                          </w:rPr>
                        </w:r>
                        <w:r>
                          <w:rPr>
                            <w:rFonts w:ascii="Arial"/>
                            <w:spacing w:val="-1"/>
                            <w:w w:val="95"/>
                            <w:sz w:val="20"/>
                            <w:u w:val="thick" w:color="000000"/>
                          </w:rPr>
                          <w:t>853,600</w:t>
                        </w:r>
                        <w:r>
                          <w:rPr>
                            <w:rFonts w:ascii="Arial"/>
                            <w:spacing w:val="-1"/>
                            <w:w w:val="95"/>
                            <w:sz w:val="20"/>
                          </w:rPr>
                        </w:r>
                        <w:r>
                          <w:rPr>
                            <w:rFonts w:ascii="Arial"/>
                            <w:sz w:val="20"/>
                          </w:rPr>
                        </w:r>
                      </w:p>
                    </w:tc>
                  </w:tr>
                </w:tbl>
                <w:p>
                  <w:pPr/>
                </w:p>
              </w:txbxContent>
            </v:textbox>
            <w10:wrap type="none"/>
          </v:shape>
        </w:pict>
      </w:r>
      <w:r>
        <w:rPr>
          <w:rFonts w:ascii="Arial" w:hAnsi="Arial" w:cs="Arial" w:eastAsia="Arial" w:hint="default"/>
          <w:spacing w:val="-1"/>
        </w:rPr>
        <w:t>(2)</w:t>
        <w:tab/>
      </w:r>
      <w:r>
        <w:rPr/>
        <w:t>关联方租赁</w:t>
      </w:r>
      <w:r>
        <w:rPr>
          <w:w w:val="99"/>
        </w:rPr>
        <w:t> </w:t>
      </w:r>
      <w:r>
        <w:rPr/>
        <w:t>向关联方出租资产</w:t>
      </w:r>
      <w:r>
        <w:rPr>
          <w:w w:val="99"/>
        </w:rPr>
        <w:t> </w:t>
      </w:r>
      <w:r>
        <w:rPr>
          <w:rFonts w:ascii="Arial" w:hAnsi="Arial" w:cs="Arial" w:eastAsia="Arial" w:hint="default"/>
        </w:rPr>
        <w:t>2012</w:t>
      </w:r>
      <w:r>
        <w:rPr/>
        <w:t>年</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15"/>
          <w:szCs w:val="15"/>
        </w:rPr>
      </w:pPr>
    </w:p>
    <w:p>
      <w:pPr>
        <w:pStyle w:val="BodyText"/>
        <w:spacing w:line="240" w:lineRule="auto" w:before="37"/>
        <w:ind w:left="732" w:right="0"/>
        <w:jc w:val="left"/>
      </w:pPr>
      <w:r>
        <w:rPr>
          <w:rFonts w:ascii="Arial" w:hAnsi="Arial" w:cs="Arial" w:eastAsia="Arial" w:hint="default"/>
        </w:rPr>
        <w:t>2011</w:t>
      </w:r>
      <w:r>
        <w:rPr/>
        <w:t>年</w:t>
      </w:r>
    </w:p>
    <w:p>
      <w:pPr>
        <w:spacing w:line="240" w:lineRule="auto" w:before="13"/>
        <w:rPr>
          <w:rFonts w:ascii="黑体" w:hAnsi="黑体" w:cs="黑体" w:eastAsia="黑体" w:hint="default"/>
          <w:sz w:val="28"/>
          <w:szCs w:val="28"/>
        </w:rPr>
      </w:pPr>
    </w:p>
    <w:tbl>
      <w:tblPr>
        <w:tblW w:w="0" w:type="auto"/>
        <w:jc w:val="left"/>
        <w:tblInd w:w="499" w:type="dxa"/>
        <w:tblLayout w:type="fixed"/>
        <w:tblCellMar>
          <w:top w:w="0" w:type="dxa"/>
          <w:left w:w="0" w:type="dxa"/>
          <w:bottom w:w="0" w:type="dxa"/>
          <w:right w:w="0" w:type="dxa"/>
        </w:tblCellMar>
        <w:tblLook w:val="01E0"/>
      </w:tblPr>
      <w:tblGrid>
        <w:gridCol w:w="1598"/>
        <w:gridCol w:w="2520"/>
        <w:gridCol w:w="1457"/>
        <w:gridCol w:w="1505"/>
        <w:gridCol w:w="1257"/>
      </w:tblGrid>
      <w:tr>
        <w:trPr>
          <w:trHeight w:val="236" w:hRule="exact"/>
        </w:trPr>
        <w:tc>
          <w:tcPr>
            <w:tcW w:w="1598"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nil" w:sz="6" w:space="0" w:color="auto"/>
              <w:right w:val="nil" w:sz="6" w:space="0" w:color="auto"/>
            </w:tcBorders>
          </w:tcPr>
          <w:p>
            <w:pPr>
              <w:pStyle w:val="TableParagraph"/>
              <w:spacing w:line="199" w:lineRule="exact"/>
              <w:ind w:right="119"/>
              <w:jc w:val="right"/>
              <w:rPr>
                <w:rFonts w:ascii="黑体" w:hAnsi="黑体" w:cs="黑体" w:eastAsia="黑体" w:hint="default"/>
                <w:sz w:val="20"/>
                <w:szCs w:val="20"/>
              </w:rPr>
            </w:pPr>
            <w:r>
              <w:rPr>
                <w:rFonts w:ascii="黑体" w:hAnsi="黑体" w:cs="黑体" w:eastAsia="黑体" w:hint="default"/>
                <w:w w:val="95"/>
                <w:sz w:val="20"/>
                <w:szCs w:val="20"/>
              </w:rPr>
              <w:t>租赁资产</w:t>
            </w:r>
            <w:r>
              <w:rPr>
                <w:rFonts w:ascii="黑体" w:hAnsi="黑体" w:cs="黑体" w:eastAsia="黑体" w:hint="default"/>
                <w:sz w:val="20"/>
                <w:szCs w:val="20"/>
              </w:rPr>
            </w:r>
          </w:p>
        </w:tc>
        <w:tc>
          <w:tcPr>
            <w:tcW w:w="1457" w:type="dxa"/>
            <w:tcBorders>
              <w:top w:val="nil" w:sz="6" w:space="0" w:color="auto"/>
              <w:left w:val="nil" w:sz="6" w:space="0" w:color="auto"/>
              <w:bottom w:val="nil" w:sz="6" w:space="0" w:color="auto"/>
              <w:right w:val="nil" w:sz="6" w:space="0" w:color="auto"/>
            </w:tcBorders>
          </w:tcPr>
          <w:p>
            <w:pPr>
              <w:pStyle w:val="TableParagraph"/>
              <w:spacing w:line="199" w:lineRule="exact"/>
              <w:ind w:right="90"/>
              <w:jc w:val="right"/>
              <w:rPr>
                <w:rFonts w:ascii="黑体" w:hAnsi="黑体" w:cs="黑体" w:eastAsia="黑体" w:hint="default"/>
                <w:sz w:val="20"/>
                <w:szCs w:val="20"/>
              </w:rPr>
            </w:pPr>
            <w:r>
              <w:rPr>
                <w:rFonts w:ascii="黑体" w:hAnsi="黑体" w:cs="黑体" w:eastAsia="黑体" w:hint="default"/>
                <w:w w:val="95"/>
                <w:sz w:val="20"/>
                <w:szCs w:val="20"/>
              </w:rPr>
              <w:t>租赁</w:t>
            </w:r>
            <w:r>
              <w:rPr>
                <w:rFonts w:ascii="黑体" w:hAnsi="黑体" w:cs="黑体" w:eastAsia="黑体" w:hint="default"/>
                <w:sz w:val="20"/>
                <w:szCs w:val="20"/>
              </w:rPr>
            </w:r>
          </w:p>
        </w:tc>
        <w:tc>
          <w:tcPr>
            <w:tcW w:w="1505" w:type="dxa"/>
            <w:tcBorders>
              <w:top w:val="nil" w:sz="6" w:space="0" w:color="auto"/>
              <w:left w:val="nil" w:sz="6" w:space="0" w:color="auto"/>
              <w:bottom w:val="nil" w:sz="6" w:space="0" w:color="auto"/>
              <w:right w:val="nil" w:sz="6" w:space="0" w:color="auto"/>
            </w:tcBorders>
          </w:tcPr>
          <w:p>
            <w:pPr>
              <w:pStyle w:val="TableParagraph"/>
              <w:spacing w:line="199" w:lineRule="exact"/>
              <w:ind w:right="75"/>
              <w:jc w:val="right"/>
              <w:rPr>
                <w:rFonts w:ascii="黑体" w:hAnsi="黑体" w:cs="黑体" w:eastAsia="黑体" w:hint="default"/>
                <w:sz w:val="20"/>
                <w:szCs w:val="20"/>
              </w:rPr>
            </w:pPr>
            <w:r>
              <w:rPr>
                <w:rFonts w:ascii="黑体" w:hAnsi="黑体" w:cs="黑体" w:eastAsia="黑体" w:hint="default"/>
                <w:w w:val="95"/>
                <w:sz w:val="20"/>
                <w:szCs w:val="20"/>
              </w:rPr>
              <w:t>租赁</w:t>
            </w:r>
            <w:r>
              <w:rPr>
                <w:rFonts w:ascii="黑体" w:hAnsi="黑体" w:cs="黑体" w:eastAsia="黑体" w:hint="default"/>
                <w:sz w:val="20"/>
                <w:szCs w:val="20"/>
              </w:rPr>
            </w:r>
          </w:p>
        </w:tc>
        <w:tc>
          <w:tcPr>
            <w:tcW w:w="1257" w:type="dxa"/>
            <w:tcBorders>
              <w:top w:val="nil" w:sz="6" w:space="0" w:color="auto"/>
              <w:left w:val="nil" w:sz="6" w:space="0" w:color="auto"/>
              <w:bottom w:val="nil" w:sz="6" w:space="0" w:color="auto"/>
              <w:right w:val="nil" w:sz="6" w:space="0" w:color="auto"/>
            </w:tcBorders>
          </w:tcPr>
          <w:p>
            <w:pPr>
              <w:pStyle w:val="TableParagraph"/>
              <w:spacing w:line="199" w:lineRule="exact"/>
              <w:ind w:right="198"/>
              <w:jc w:val="right"/>
              <w:rPr>
                <w:rFonts w:ascii="黑体" w:hAnsi="黑体" w:cs="黑体" w:eastAsia="黑体" w:hint="default"/>
                <w:sz w:val="20"/>
                <w:szCs w:val="20"/>
              </w:rPr>
            </w:pPr>
            <w:r>
              <w:rPr>
                <w:rFonts w:ascii="黑体" w:hAnsi="黑体" w:cs="黑体" w:eastAsia="黑体" w:hint="default"/>
                <w:w w:val="95"/>
                <w:sz w:val="20"/>
                <w:szCs w:val="20"/>
              </w:rPr>
              <w:t>年度确认的</w:t>
            </w:r>
            <w:r>
              <w:rPr>
                <w:rFonts w:ascii="黑体" w:hAnsi="黑体" w:cs="黑体" w:eastAsia="黑体" w:hint="default"/>
                <w:sz w:val="20"/>
                <w:szCs w:val="20"/>
              </w:rPr>
            </w:r>
          </w:p>
        </w:tc>
      </w:tr>
      <w:tr>
        <w:trPr>
          <w:trHeight w:val="409" w:hRule="exact"/>
        </w:trPr>
        <w:tc>
          <w:tcPr>
            <w:tcW w:w="1598" w:type="dxa"/>
            <w:tcBorders>
              <w:top w:val="nil" w:sz="6" w:space="0" w:color="auto"/>
              <w:left w:val="nil" w:sz="6" w:space="0" w:color="auto"/>
              <w:bottom w:val="nil" w:sz="6" w:space="0" w:color="auto"/>
              <w:right w:val="nil" w:sz="6" w:space="0" w:color="auto"/>
            </w:tcBorders>
          </w:tcPr>
          <w:p>
            <w:pPr/>
          </w:p>
        </w:tc>
        <w:tc>
          <w:tcPr>
            <w:tcW w:w="2520" w:type="dxa"/>
            <w:tcBorders>
              <w:top w:val="nil" w:sz="6" w:space="0" w:color="auto"/>
              <w:left w:val="nil" w:sz="6" w:space="0" w:color="auto"/>
              <w:bottom w:val="nil" w:sz="6" w:space="0" w:color="auto"/>
              <w:right w:val="nil" w:sz="6" w:space="0" w:color="auto"/>
            </w:tcBorders>
          </w:tcPr>
          <w:p>
            <w:pPr>
              <w:pStyle w:val="TableParagraph"/>
              <w:spacing w:line="237" w:lineRule="exact"/>
              <w:ind w:right="119"/>
              <w:jc w:val="right"/>
              <w:rPr>
                <w:rFonts w:ascii="黑体" w:hAnsi="黑体" w:cs="黑体" w:eastAsia="黑体" w:hint="default"/>
                <w:sz w:val="20"/>
                <w:szCs w:val="20"/>
              </w:rPr>
            </w:pPr>
            <w:r>
              <w:rPr>
                <w:rFonts w:ascii="黑体" w:hAnsi="黑体" w:cs="黑体" w:eastAsia="黑体" w:hint="default"/>
                <w:w w:val="95"/>
                <w:sz w:val="20"/>
                <w:szCs w:val="20"/>
              </w:rPr>
              <w:t>类型</w:t>
            </w:r>
            <w:r>
              <w:rPr>
                <w:rFonts w:ascii="黑体" w:hAnsi="黑体" w:cs="黑体" w:eastAsia="黑体" w:hint="default"/>
                <w:sz w:val="20"/>
                <w:szCs w:val="20"/>
              </w:rPr>
            </w:r>
          </w:p>
        </w:tc>
        <w:tc>
          <w:tcPr>
            <w:tcW w:w="1457" w:type="dxa"/>
            <w:tcBorders>
              <w:top w:val="nil" w:sz="6" w:space="0" w:color="auto"/>
              <w:left w:val="nil" w:sz="6" w:space="0" w:color="auto"/>
              <w:bottom w:val="nil" w:sz="6" w:space="0" w:color="auto"/>
              <w:right w:val="nil" w:sz="6" w:space="0" w:color="auto"/>
            </w:tcBorders>
          </w:tcPr>
          <w:p>
            <w:pPr>
              <w:pStyle w:val="TableParagraph"/>
              <w:spacing w:line="237" w:lineRule="exact"/>
              <w:ind w:right="90"/>
              <w:jc w:val="right"/>
              <w:rPr>
                <w:rFonts w:ascii="黑体" w:hAnsi="黑体" w:cs="黑体" w:eastAsia="黑体" w:hint="default"/>
                <w:sz w:val="20"/>
                <w:szCs w:val="20"/>
              </w:rPr>
            </w:pPr>
            <w:r>
              <w:rPr>
                <w:rFonts w:ascii="黑体" w:hAnsi="黑体" w:cs="黑体" w:eastAsia="黑体" w:hint="default"/>
                <w:w w:val="95"/>
                <w:sz w:val="20"/>
                <w:szCs w:val="20"/>
              </w:rPr>
              <w:t>起始日</w:t>
            </w:r>
            <w:r>
              <w:rPr>
                <w:rFonts w:ascii="黑体" w:hAnsi="黑体" w:cs="黑体" w:eastAsia="黑体" w:hint="default"/>
                <w:sz w:val="20"/>
                <w:szCs w:val="20"/>
              </w:rPr>
            </w:r>
          </w:p>
        </w:tc>
        <w:tc>
          <w:tcPr>
            <w:tcW w:w="1505" w:type="dxa"/>
            <w:tcBorders>
              <w:top w:val="nil" w:sz="6" w:space="0" w:color="auto"/>
              <w:left w:val="nil" w:sz="6" w:space="0" w:color="auto"/>
              <w:bottom w:val="nil" w:sz="6" w:space="0" w:color="auto"/>
              <w:right w:val="nil" w:sz="6" w:space="0" w:color="auto"/>
            </w:tcBorders>
          </w:tcPr>
          <w:p>
            <w:pPr>
              <w:pStyle w:val="TableParagraph"/>
              <w:spacing w:line="237" w:lineRule="exact"/>
              <w:ind w:right="75"/>
              <w:jc w:val="right"/>
              <w:rPr>
                <w:rFonts w:ascii="黑体" w:hAnsi="黑体" w:cs="黑体" w:eastAsia="黑体" w:hint="default"/>
                <w:sz w:val="20"/>
                <w:szCs w:val="20"/>
              </w:rPr>
            </w:pPr>
            <w:r>
              <w:rPr>
                <w:rFonts w:ascii="黑体" w:hAnsi="黑体" w:cs="黑体" w:eastAsia="黑体" w:hint="default"/>
                <w:w w:val="95"/>
                <w:sz w:val="20"/>
                <w:szCs w:val="20"/>
              </w:rPr>
              <w:t>终止日</w:t>
            </w:r>
            <w:r>
              <w:rPr>
                <w:rFonts w:ascii="黑体" w:hAnsi="黑体" w:cs="黑体" w:eastAsia="黑体" w:hint="default"/>
                <w:sz w:val="20"/>
                <w:szCs w:val="20"/>
              </w:rPr>
            </w:r>
          </w:p>
        </w:tc>
        <w:tc>
          <w:tcPr>
            <w:tcW w:w="1257" w:type="dxa"/>
            <w:tcBorders>
              <w:top w:val="nil" w:sz="6" w:space="0" w:color="auto"/>
              <w:left w:val="nil" w:sz="6" w:space="0" w:color="auto"/>
              <w:bottom w:val="nil" w:sz="6" w:space="0" w:color="auto"/>
              <w:right w:val="nil" w:sz="6" w:space="0" w:color="auto"/>
            </w:tcBorders>
          </w:tcPr>
          <w:p>
            <w:pPr>
              <w:pStyle w:val="TableParagraph"/>
              <w:spacing w:line="237" w:lineRule="exact"/>
              <w:ind w:right="198"/>
              <w:jc w:val="right"/>
              <w:rPr>
                <w:rFonts w:ascii="黑体" w:hAnsi="黑体" w:cs="黑体" w:eastAsia="黑体" w:hint="default"/>
                <w:sz w:val="20"/>
                <w:szCs w:val="20"/>
              </w:rPr>
            </w:pPr>
            <w:r>
              <w:rPr>
                <w:rFonts w:ascii="黑体" w:hAnsi="黑体" w:cs="黑体" w:eastAsia="黑体" w:hint="default"/>
                <w:w w:val="95"/>
                <w:sz w:val="20"/>
                <w:szCs w:val="20"/>
              </w:rPr>
              <w:t>租赁收益</w:t>
            </w:r>
            <w:r>
              <w:rPr>
                <w:rFonts w:ascii="黑体" w:hAnsi="黑体" w:cs="黑体" w:eastAsia="黑体" w:hint="default"/>
                <w:sz w:val="20"/>
                <w:szCs w:val="20"/>
              </w:rPr>
            </w:r>
          </w:p>
        </w:tc>
      </w:tr>
      <w:tr>
        <w:trPr>
          <w:trHeight w:val="414" w:hRule="exact"/>
        </w:trPr>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200" w:right="0"/>
              <w:jc w:val="left"/>
              <w:rPr>
                <w:rFonts w:ascii="黑体" w:hAnsi="黑体" w:cs="黑体" w:eastAsia="黑体" w:hint="default"/>
                <w:sz w:val="20"/>
                <w:szCs w:val="20"/>
              </w:rPr>
            </w:pPr>
            <w:r>
              <w:rPr>
                <w:rFonts w:ascii="黑体" w:hAnsi="黑体" w:cs="黑体" w:eastAsia="黑体" w:hint="default"/>
                <w:sz w:val="20"/>
                <w:szCs w:val="20"/>
              </w:rPr>
              <w:t>北京伟库</w:t>
            </w:r>
          </w:p>
        </w:tc>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19"/>
              <w:jc w:val="right"/>
              <w:rPr>
                <w:rFonts w:ascii="黑体" w:hAnsi="黑体" w:cs="黑体" w:eastAsia="黑体" w:hint="default"/>
                <w:sz w:val="20"/>
                <w:szCs w:val="20"/>
              </w:rPr>
            </w:pPr>
            <w:r>
              <w:rPr>
                <w:rFonts w:ascii="黑体" w:hAnsi="黑体" w:cs="黑体" w:eastAsia="黑体" w:hint="default"/>
                <w:w w:val="95"/>
                <w:sz w:val="20"/>
                <w:szCs w:val="20"/>
              </w:rPr>
              <w:t>用友软件园办公用房</w:t>
            </w:r>
            <w:r>
              <w:rPr>
                <w:rFonts w:ascii="黑体" w:hAnsi="黑体" w:cs="黑体" w:eastAsia="黑体" w:hint="default"/>
                <w:sz w:val="20"/>
                <w:szCs w:val="20"/>
              </w:rPr>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68"/>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r>
              <w:rPr>
                <w:rFonts w:ascii="Arial" w:hAnsi="Arial" w:cs="Arial" w:eastAsia="Arial" w:hint="default"/>
                <w:spacing w:val="-1"/>
                <w:sz w:val="20"/>
                <w:szCs w:val="20"/>
              </w:rPr>
              <w:t>1</w:t>
            </w:r>
            <w:r>
              <w:rPr>
                <w:rFonts w:ascii="黑体" w:hAnsi="黑体" w:cs="黑体" w:eastAsia="黑体" w:hint="default"/>
                <w:spacing w:val="-1"/>
                <w:sz w:val="20"/>
                <w:szCs w:val="20"/>
              </w:rPr>
              <w:t>月</w:t>
            </w:r>
            <w:r>
              <w:rPr>
                <w:rFonts w:ascii="Arial" w:hAnsi="Arial" w:cs="Arial" w:eastAsia="Arial" w:hint="default"/>
                <w:spacing w:val="-1"/>
                <w:sz w:val="20"/>
                <w:szCs w:val="20"/>
              </w:rPr>
              <w:t>1</w:t>
            </w:r>
            <w:r>
              <w:rPr>
                <w:rFonts w:ascii="黑体" w:hAnsi="黑体" w:cs="黑体" w:eastAsia="黑体" w:hint="default"/>
                <w:spacing w:val="-1"/>
                <w:sz w:val="20"/>
                <w:szCs w:val="20"/>
              </w:rPr>
              <w:t>日</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56"/>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r>
              <w:rPr>
                <w:rFonts w:ascii="Arial" w:hAnsi="Arial" w:cs="Arial" w:eastAsia="Arial" w:hint="default"/>
                <w:spacing w:val="-1"/>
                <w:sz w:val="20"/>
                <w:szCs w:val="20"/>
              </w:rPr>
              <w:t>3</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214"/>
              <w:jc w:val="right"/>
              <w:rPr>
                <w:rFonts w:ascii="Arial" w:hAnsi="Arial" w:cs="Arial" w:eastAsia="Arial" w:hint="default"/>
                <w:sz w:val="20"/>
                <w:szCs w:val="20"/>
              </w:rPr>
            </w:pPr>
            <w:r>
              <w:rPr>
                <w:rFonts w:ascii="Arial"/>
                <w:w w:val="99"/>
                <w:sz w:val="20"/>
              </w:rPr>
            </w:r>
            <w:r>
              <w:rPr>
                <w:rFonts w:ascii="Arial"/>
                <w:spacing w:val="-1"/>
                <w:sz w:val="20"/>
                <w:u w:val="thick" w:color="000000"/>
              </w:rPr>
              <w:t>1,450,813</w:t>
            </w:r>
            <w:r>
              <w:rPr>
                <w:rFonts w:ascii="Arial"/>
                <w:spacing w:val="-1"/>
                <w:sz w:val="20"/>
              </w:rPr>
            </w:r>
          </w:p>
        </w:tc>
      </w:tr>
      <w:tr>
        <w:trPr>
          <w:trHeight w:val="241" w:hRule="exact"/>
        </w:trPr>
        <w:tc>
          <w:tcPr>
            <w:tcW w:w="1598" w:type="dxa"/>
            <w:tcBorders>
              <w:top w:val="nil" w:sz="6" w:space="0" w:color="auto"/>
              <w:left w:val="nil" w:sz="6" w:space="0" w:color="auto"/>
              <w:bottom w:val="nil" w:sz="6" w:space="0" w:color="auto"/>
              <w:right w:val="nil" w:sz="6" w:space="0" w:color="auto"/>
            </w:tcBorders>
          </w:tcPr>
          <w:p>
            <w:pPr>
              <w:pStyle w:val="TableParagraph"/>
              <w:spacing w:line="232" w:lineRule="exact"/>
              <w:ind w:left="200" w:right="0"/>
              <w:jc w:val="left"/>
              <w:rPr>
                <w:rFonts w:ascii="黑体" w:hAnsi="黑体" w:cs="黑体" w:eastAsia="黑体" w:hint="default"/>
                <w:sz w:val="20"/>
                <w:szCs w:val="20"/>
              </w:rPr>
            </w:pPr>
            <w:r>
              <w:rPr>
                <w:rFonts w:ascii="黑体" w:hAnsi="黑体" w:cs="黑体" w:eastAsia="黑体" w:hint="default"/>
                <w:sz w:val="20"/>
                <w:szCs w:val="20"/>
              </w:rPr>
              <w:t>用友教育</w:t>
            </w:r>
          </w:p>
        </w:tc>
        <w:tc>
          <w:tcPr>
            <w:tcW w:w="2520" w:type="dxa"/>
            <w:tcBorders>
              <w:top w:val="nil" w:sz="6" w:space="0" w:color="auto"/>
              <w:left w:val="nil" w:sz="6" w:space="0" w:color="auto"/>
              <w:bottom w:val="nil" w:sz="6" w:space="0" w:color="auto"/>
              <w:right w:val="nil" w:sz="6" w:space="0" w:color="auto"/>
            </w:tcBorders>
          </w:tcPr>
          <w:p>
            <w:pPr>
              <w:pStyle w:val="TableParagraph"/>
              <w:spacing w:line="232" w:lineRule="exact"/>
              <w:ind w:right="119"/>
              <w:jc w:val="right"/>
              <w:rPr>
                <w:rFonts w:ascii="黑体" w:hAnsi="黑体" w:cs="黑体" w:eastAsia="黑体" w:hint="default"/>
                <w:sz w:val="20"/>
                <w:szCs w:val="20"/>
              </w:rPr>
            </w:pPr>
            <w:r>
              <w:rPr>
                <w:rFonts w:ascii="黑体" w:hAnsi="黑体" w:cs="黑体" w:eastAsia="黑体" w:hint="default"/>
                <w:w w:val="95"/>
                <w:sz w:val="20"/>
                <w:szCs w:val="20"/>
              </w:rPr>
              <w:t>用友软件园办公用房</w:t>
            </w:r>
            <w:r>
              <w:rPr>
                <w:rFonts w:ascii="黑体" w:hAnsi="黑体" w:cs="黑体" w:eastAsia="黑体" w:hint="default"/>
                <w:sz w:val="20"/>
                <w:szCs w:val="20"/>
              </w:rPr>
            </w:r>
          </w:p>
        </w:tc>
        <w:tc>
          <w:tcPr>
            <w:tcW w:w="1457" w:type="dxa"/>
            <w:tcBorders>
              <w:top w:val="nil" w:sz="6" w:space="0" w:color="auto"/>
              <w:left w:val="nil" w:sz="6" w:space="0" w:color="auto"/>
              <w:bottom w:val="nil" w:sz="6" w:space="0" w:color="auto"/>
              <w:right w:val="nil" w:sz="6" w:space="0" w:color="auto"/>
            </w:tcBorders>
          </w:tcPr>
          <w:p>
            <w:pPr>
              <w:pStyle w:val="TableParagraph"/>
              <w:spacing w:line="246" w:lineRule="exact"/>
              <w:ind w:right="68"/>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r>
              <w:rPr>
                <w:rFonts w:ascii="Arial" w:hAnsi="Arial" w:cs="Arial" w:eastAsia="Arial" w:hint="default"/>
                <w:spacing w:val="-1"/>
                <w:sz w:val="20"/>
                <w:szCs w:val="20"/>
              </w:rPr>
              <w:t>1</w:t>
            </w:r>
            <w:r>
              <w:rPr>
                <w:rFonts w:ascii="黑体" w:hAnsi="黑体" w:cs="黑体" w:eastAsia="黑体" w:hint="default"/>
                <w:spacing w:val="-1"/>
                <w:sz w:val="20"/>
                <w:szCs w:val="20"/>
              </w:rPr>
              <w:t>月</w:t>
            </w:r>
            <w:r>
              <w:rPr>
                <w:rFonts w:ascii="Arial" w:hAnsi="Arial" w:cs="Arial" w:eastAsia="Arial" w:hint="default"/>
                <w:spacing w:val="-1"/>
                <w:sz w:val="20"/>
                <w:szCs w:val="20"/>
              </w:rPr>
              <w:t>1</w:t>
            </w:r>
            <w:r>
              <w:rPr>
                <w:rFonts w:ascii="黑体" w:hAnsi="黑体" w:cs="黑体" w:eastAsia="黑体" w:hint="default"/>
                <w:spacing w:val="-1"/>
                <w:sz w:val="20"/>
                <w:szCs w:val="20"/>
              </w:rPr>
              <w:t>日</w:t>
            </w:r>
          </w:p>
        </w:tc>
        <w:tc>
          <w:tcPr>
            <w:tcW w:w="1505" w:type="dxa"/>
            <w:tcBorders>
              <w:top w:val="nil" w:sz="6" w:space="0" w:color="auto"/>
              <w:left w:val="nil" w:sz="6" w:space="0" w:color="auto"/>
              <w:bottom w:val="nil" w:sz="6" w:space="0" w:color="auto"/>
              <w:right w:val="nil" w:sz="6" w:space="0" w:color="auto"/>
            </w:tcBorders>
          </w:tcPr>
          <w:p>
            <w:pPr>
              <w:pStyle w:val="TableParagraph"/>
              <w:spacing w:line="246" w:lineRule="exact"/>
              <w:ind w:right="56"/>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r>
              <w:rPr>
                <w:rFonts w:ascii="Arial" w:hAnsi="Arial" w:cs="Arial" w:eastAsia="Arial" w:hint="default"/>
                <w:spacing w:val="-1"/>
                <w:sz w:val="20"/>
                <w:szCs w:val="20"/>
              </w:rPr>
              <w:t>4</w:t>
            </w:r>
            <w:r>
              <w:rPr>
                <w:rFonts w:ascii="黑体" w:hAnsi="黑体" w:cs="黑体" w:eastAsia="黑体" w:hint="default"/>
                <w:spacing w:val="-1"/>
                <w:sz w:val="20"/>
                <w:szCs w:val="20"/>
              </w:rPr>
              <w:t>月</w:t>
            </w:r>
            <w:r>
              <w:rPr>
                <w:rFonts w:ascii="Arial" w:hAnsi="Arial" w:cs="Arial" w:eastAsia="Arial" w:hint="default"/>
                <w:spacing w:val="-1"/>
                <w:sz w:val="20"/>
                <w:szCs w:val="20"/>
              </w:rPr>
              <w:t>30</w:t>
            </w:r>
            <w:r>
              <w:rPr>
                <w:rFonts w:ascii="黑体" w:hAnsi="黑体" w:cs="黑体" w:eastAsia="黑体" w:hint="default"/>
                <w:spacing w:val="-1"/>
                <w:sz w:val="20"/>
                <w:szCs w:val="20"/>
              </w:rPr>
              <w:t>日</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15"/>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 </w:t>
            </w:r>
            <w:r>
              <w:rPr>
                <w:rFonts w:ascii="Arial"/>
                <w:spacing w:val="-4"/>
                <w:sz w:val="20"/>
                <w:u w:val="thick" w:color="000000"/>
              </w:rPr>
              <w:t> </w:t>
            </w:r>
            <w:r>
              <w:rPr>
                <w:rFonts w:ascii="Arial"/>
                <w:spacing w:val="-1"/>
                <w:w w:val="95"/>
                <w:sz w:val="20"/>
                <w:u w:val="thick" w:color="000000"/>
              </w:rPr>
              <w:t>643,907</w:t>
            </w:r>
            <w:r>
              <w:rPr>
                <w:rFonts w:ascii="Arial"/>
                <w:spacing w:val="-1"/>
                <w:w w:val="95"/>
                <w:sz w:val="20"/>
              </w:rPr>
            </w:r>
            <w:r>
              <w:rPr>
                <w:rFonts w:ascii="Arial"/>
                <w:sz w:val="20"/>
              </w:rPr>
            </w:r>
          </w:p>
        </w:tc>
      </w:tr>
    </w:tbl>
    <w:p>
      <w:pPr>
        <w:spacing w:after="0" w:line="240" w:lineRule="auto"/>
        <w:jc w:val="right"/>
        <w:rPr>
          <w:rFonts w:ascii="Arial" w:hAnsi="Arial" w:cs="Arial" w:eastAsia="Arial" w:hint="default"/>
          <w:sz w:val="20"/>
          <w:szCs w:val="20"/>
        </w:rPr>
        <w:sectPr>
          <w:pgSz w:w="11910" w:h="16840"/>
          <w:pgMar w:header="825" w:footer="473" w:top="2420" w:bottom="660" w:left="1600" w:right="1280"/>
        </w:sectPr>
      </w:pPr>
    </w:p>
    <w:p>
      <w:pPr>
        <w:spacing w:line="240" w:lineRule="auto" w:before="13"/>
        <w:rPr>
          <w:rFonts w:ascii="黑体" w:hAnsi="黑体" w:cs="黑体" w:eastAsia="黑体" w:hint="default"/>
          <w:sz w:val="17"/>
          <w:szCs w:val="17"/>
        </w:rPr>
      </w:pPr>
    </w:p>
    <w:p>
      <w:pPr>
        <w:pStyle w:val="Heading6"/>
        <w:tabs>
          <w:tab w:pos="706" w:val="left" w:leader="none"/>
        </w:tabs>
        <w:spacing w:line="240" w:lineRule="auto"/>
        <w:ind w:right="0"/>
        <w:jc w:val="left"/>
        <w:rPr>
          <w:b w:val="0"/>
          <w:bCs w:val="0"/>
        </w:rPr>
      </w:pPr>
      <w:bookmarkStart w:name="(5)   其他关联方交易" w:id="141"/>
      <w:bookmarkEnd w:id="141"/>
      <w:r>
        <w:rPr>
          <w:b w:val="0"/>
          <w:bCs w:val="0"/>
        </w:rPr>
      </w:r>
      <w:r>
        <w:rPr>
          <w:w w:val="95"/>
        </w:rPr>
        <w:t>六、</w:t>
        <w:tab/>
      </w:r>
      <w:r>
        <w:rPr/>
        <w:t>关</w:t>
      </w:r>
      <w:bookmarkStart w:name="六、  关联方关系及其交易（续）" w:id="142"/>
      <w:bookmarkEnd w:id="142"/>
      <w:r>
        <w:rPr/>
        <w:t>联方</w:t>
      </w:r>
      <w:r>
        <w:rPr/>
        <w:t>关系及其交易（续）</w:t>
      </w:r>
      <w:r>
        <w:rPr>
          <w:b w:val="0"/>
          <w:bCs w:val="0"/>
        </w:rPr>
      </w:r>
    </w:p>
    <w:p>
      <w:pPr>
        <w:pStyle w:val="Heading6"/>
        <w:tabs>
          <w:tab w:pos="703" w:val="left" w:leader="none"/>
        </w:tabs>
        <w:spacing w:line="240" w:lineRule="auto" w:before="177"/>
        <w:ind w:right="0"/>
        <w:jc w:val="left"/>
        <w:rPr>
          <w:b w:val="0"/>
          <w:bCs w:val="0"/>
        </w:rPr>
      </w:pPr>
      <w:r>
        <w:rPr>
          <w:rFonts w:ascii="Arial" w:hAnsi="Arial" w:cs="Arial" w:eastAsia="Arial" w:hint="default"/>
          <w:spacing w:val="-1"/>
        </w:rPr>
        <w:t>5.</w:t>
        <w:tab/>
      </w:r>
      <w:r>
        <w:rPr>
          <w:spacing w:val="1"/>
        </w:rPr>
        <w:t>本集</w:t>
      </w:r>
      <w:bookmarkStart w:name="5.  本集团与关联方的主要交易（续）" w:id="143"/>
      <w:bookmarkEnd w:id="143"/>
      <w:r>
        <w:rPr>
          <w:spacing w:val="1"/>
        </w:rPr>
        <w:t>团与</w:t>
      </w:r>
      <w:r>
        <w:rPr>
          <w:spacing w:val="1"/>
        </w:rPr>
        <w:t>关联方的主要交易（续）</w:t>
      </w:r>
      <w:r>
        <w:rPr>
          <w:b w:val="0"/>
          <w:bCs w:val="0"/>
        </w:rPr>
      </w:r>
    </w:p>
    <w:p>
      <w:pPr>
        <w:pStyle w:val="BodyText"/>
        <w:tabs>
          <w:tab w:pos="446" w:val="left" w:leader="none"/>
        </w:tabs>
        <w:spacing w:line="240" w:lineRule="auto" w:before="144"/>
        <w:ind w:left="0" w:right="5744"/>
        <w:jc w:val="center"/>
      </w:pPr>
      <w:r>
        <w:rPr>
          <w:rFonts w:ascii="Arial" w:hAnsi="Arial" w:cs="Arial" w:eastAsia="Arial" w:hint="default"/>
          <w:spacing w:val="-1"/>
        </w:rPr>
        <w:t>(3)</w:t>
        <w:tab/>
      </w:r>
      <w:r>
        <w:rPr/>
        <w:t>关联方资产收购</w:t>
      </w:r>
    </w:p>
    <w:p>
      <w:pPr>
        <w:spacing w:line="240" w:lineRule="auto" w:before="12"/>
        <w:rPr>
          <w:rFonts w:ascii="黑体" w:hAnsi="黑体" w:cs="黑体" w:eastAsia="黑体" w:hint="default"/>
          <w:sz w:val="22"/>
          <w:szCs w:val="22"/>
        </w:rPr>
      </w:pPr>
    </w:p>
    <w:tbl>
      <w:tblPr>
        <w:tblW w:w="0" w:type="auto"/>
        <w:jc w:val="left"/>
        <w:tblInd w:w="525" w:type="dxa"/>
        <w:tblLayout w:type="fixed"/>
        <w:tblCellMar>
          <w:top w:w="0" w:type="dxa"/>
          <w:left w:w="0" w:type="dxa"/>
          <w:bottom w:w="0" w:type="dxa"/>
          <w:right w:w="0" w:type="dxa"/>
        </w:tblCellMar>
        <w:tblLook w:val="01E0"/>
      </w:tblPr>
      <w:tblGrid>
        <w:gridCol w:w="1454"/>
        <w:gridCol w:w="2048"/>
        <w:gridCol w:w="1128"/>
        <w:gridCol w:w="1081"/>
        <w:gridCol w:w="1500"/>
        <w:gridCol w:w="1084"/>
      </w:tblGrid>
      <w:tr>
        <w:trPr>
          <w:trHeight w:val="220" w:hRule="exact"/>
        </w:trPr>
        <w:tc>
          <w:tcPr>
            <w:tcW w:w="1454" w:type="dxa"/>
            <w:tcBorders>
              <w:top w:val="nil" w:sz="6" w:space="0" w:color="auto"/>
              <w:left w:val="nil" w:sz="6" w:space="0" w:color="auto"/>
              <w:bottom w:val="nil" w:sz="6" w:space="0" w:color="auto"/>
              <w:right w:val="nil" w:sz="6" w:space="0" w:color="auto"/>
            </w:tcBorders>
          </w:tcPr>
          <w:p>
            <w:pPr/>
          </w:p>
        </w:tc>
        <w:tc>
          <w:tcPr>
            <w:tcW w:w="2048" w:type="dxa"/>
            <w:tcBorders>
              <w:top w:val="nil" w:sz="6" w:space="0" w:color="auto"/>
              <w:left w:val="nil" w:sz="6" w:space="0" w:color="auto"/>
              <w:bottom w:val="nil" w:sz="6" w:space="0" w:color="auto"/>
              <w:right w:val="nil" w:sz="6" w:space="0" w:color="auto"/>
            </w:tcBorders>
          </w:tcPr>
          <w:p>
            <w:pPr>
              <w:pStyle w:val="TableParagraph"/>
              <w:tabs>
                <w:tab w:pos="2441" w:val="left" w:leader="none"/>
              </w:tabs>
              <w:spacing w:line="199" w:lineRule="exact"/>
              <w:ind w:left="857" w:right="-394"/>
              <w:jc w:val="center"/>
              <w:rPr>
                <w:rFonts w:ascii="Arial" w:hAnsi="Arial" w:cs="Arial" w:eastAsia="Arial" w:hint="default"/>
                <w:sz w:val="20"/>
                <w:szCs w:val="20"/>
              </w:rPr>
            </w:pPr>
            <w:r>
              <w:rPr>
                <w:rFonts w:ascii="黑体" w:hAnsi="黑体" w:cs="黑体" w:eastAsia="黑体" w:hint="default"/>
                <w:spacing w:val="3"/>
                <w:sz w:val="20"/>
                <w:szCs w:val="20"/>
              </w:rPr>
              <w:t>交易类型</w:t>
            </w:r>
            <w:r>
              <w:rPr>
                <w:rFonts w:ascii="Arial" w:hAnsi="Arial" w:cs="Arial" w:eastAsia="Arial" w:hint="default"/>
                <w:spacing w:val="3"/>
                <w:w w:val="99"/>
                <w:sz w:val="20"/>
                <w:szCs w:val="20"/>
              </w:rPr>
            </w:r>
            <w:r>
              <w:rPr>
                <w:rFonts w:ascii="Arial" w:hAnsi="Arial" w:cs="Arial" w:eastAsia="Arial" w:hint="default"/>
                <w:w w:val="99"/>
                <w:sz w:val="20"/>
                <w:szCs w:val="20"/>
                <w:u w:val="single" w:color="000000"/>
              </w:rPr>
              <w:t> </w:t>
            </w:r>
            <w:r>
              <w:rPr>
                <w:rFonts w:ascii="Arial" w:hAnsi="Arial" w:cs="Arial" w:eastAsia="Arial" w:hint="default"/>
                <w:sz w:val="20"/>
                <w:szCs w:val="20"/>
                <w:u w:val="single" w:color="000000"/>
              </w:rPr>
              <w:tab/>
            </w:r>
            <w:r>
              <w:rPr>
                <w:rFonts w:ascii="Arial" w:hAnsi="Arial" w:cs="Arial" w:eastAsia="Arial" w:hint="default"/>
                <w:sz w:val="20"/>
                <w:szCs w:val="20"/>
              </w:rPr>
            </w:r>
          </w:p>
        </w:tc>
        <w:tc>
          <w:tcPr>
            <w:tcW w:w="1128" w:type="dxa"/>
            <w:tcBorders>
              <w:top w:val="nil" w:sz="6" w:space="0" w:color="auto"/>
              <w:left w:val="nil" w:sz="6" w:space="0" w:color="auto"/>
              <w:bottom w:val="nil" w:sz="6" w:space="0" w:color="auto"/>
              <w:right w:val="nil" w:sz="6" w:space="0" w:color="auto"/>
            </w:tcBorders>
          </w:tcPr>
          <w:p>
            <w:pPr>
              <w:pStyle w:val="TableParagraph"/>
              <w:tabs>
                <w:tab w:pos="1888" w:val="left" w:leader="none"/>
              </w:tabs>
              <w:spacing w:line="214" w:lineRule="exact"/>
              <w:ind w:left="393" w:right="-761"/>
              <w:jc w:val="left"/>
              <w:rPr>
                <w:rFonts w:ascii="黑体" w:hAnsi="黑体" w:cs="黑体" w:eastAsia="黑体" w:hint="default"/>
                <w:sz w:val="20"/>
                <w:szCs w:val="20"/>
              </w:rPr>
            </w:pPr>
            <w:r>
              <w:rPr>
                <w:rFonts w:ascii="Arial" w:hAnsi="Arial" w:cs="Arial" w:eastAsia="Arial" w:hint="default"/>
                <w:w w:val="99"/>
                <w:sz w:val="20"/>
                <w:szCs w:val="20"/>
              </w:rPr>
            </w:r>
            <w:r>
              <w:rPr>
                <w:rFonts w:ascii="Arial" w:hAnsi="Arial" w:cs="Arial" w:eastAsia="Arial" w:hint="default"/>
                <w:sz w:val="20"/>
                <w:szCs w:val="20"/>
                <w:u w:val="single" w:color="000000"/>
              </w:rPr>
              <w:t>2012</w:t>
            </w:r>
            <w:r>
              <w:rPr>
                <w:rFonts w:ascii="Arial" w:hAnsi="Arial" w:cs="Arial" w:eastAsia="Arial" w:hint="default"/>
                <w:spacing w:val="-9"/>
                <w:sz w:val="20"/>
                <w:szCs w:val="20"/>
                <w:u w:val="single" w:color="000000"/>
              </w:rPr>
              <w:t> </w:t>
            </w:r>
            <w:r>
              <w:rPr>
                <w:rFonts w:ascii="黑体" w:hAnsi="黑体" w:cs="黑体" w:eastAsia="黑体" w:hint="default"/>
                <w:sz w:val="20"/>
                <w:szCs w:val="20"/>
                <w:u w:val="single" w:color="000000"/>
              </w:rPr>
              <w:t>年</w:t>
              <w:tab/>
            </w:r>
            <w:r>
              <w:rPr>
                <w:rFonts w:ascii="黑体" w:hAnsi="黑体" w:cs="黑体" w:eastAsia="黑体" w:hint="default"/>
                <w:sz w:val="20"/>
                <w:szCs w:val="20"/>
              </w:rPr>
            </w:r>
          </w:p>
        </w:tc>
        <w:tc>
          <w:tcPr>
            <w:tcW w:w="1081" w:type="dxa"/>
            <w:tcBorders>
              <w:top w:val="nil" w:sz="6" w:space="0" w:color="auto"/>
              <w:left w:val="nil" w:sz="6" w:space="0" w:color="auto"/>
              <w:bottom w:val="nil" w:sz="6" w:space="0" w:color="auto"/>
              <w:right w:val="nil" w:sz="6" w:space="0" w:color="auto"/>
            </w:tcBorders>
          </w:tcPr>
          <w:p>
            <w:pPr/>
          </w:p>
        </w:tc>
        <w:tc>
          <w:tcPr>
            <w:tcW w:w="2585" w:type="dxa"/>
            <w:gridSpan w:val="2"/>
            <w:tcBorders>
              <w:top w:val="nil" w:sz="6" w:space="0" w:color="auto"/>
              <w:left w:val="nil" w:sz="6" w:space="0" w:color="auto"/>
              <w:bottom w:val="nil" w:sz="6" w:space="0" w:color="auto"/>
              <w:right w:val="nil" w:sz="6" w:space="0" w:color="auto"/>
            </w:tcBorders>
          </w:tcPr>
          <w:p>
            <w:pPr>
              <w:pStyle w:val="TableParagraph"/>
              <w:tabs>
                <w:tab w:pos="899" w:val="left" w:leader="none"/>
                <w:tab w:pos="2396" w:val="left" w:leader="none"/>
              </w:tabs>
              <w:spacing w:line="214" w:lineRule="exact"/>
              <w:ind w:left="116" w:right="0"/>
              <w:jc w:val="left"/>
              <w:rPr>
                <w:rFonts w:ascii="黑体" w:hAnsi="黑体" w:cs="黑体" w:eastAsia="黑体" w:hint="default"/>
                <w:sz w:val="20"/>
                <w:szCs w:val="20"/>
              </w:rPr>
            </w:pPr>
            <w:r>
              <w:rPr>
                <w:rFonts w:ascii="Arial" w:hAnsi="Arial" w:cs="Arial" w:eastAsia="Arial" w:hint="default"/>
                <w:w w:val="99"/>
                <w:sz w:val="20"/>
                <w:szCs w:val="20"/>
              </w:rPr>
            </w:r>
            <w:r>
              <w:rPr>
                <w:rFonts w:ascii="Arial" w:hAnsi="Arial" w:cs="Arial" w:eastAsia="Arial" w:hint="default"/>
                <w:w w:val="99"/>
                <w:sz w:val="20"/>
                <w:szCs w:val="20"/>
                <w:u w:val="single" w:color="000000"/>
              </w:rPr>
              <w:t> </w:t>
            </w:r>
            <w:r>
              <w:rPr>
                <w:rFonts w:ascii="Arial" w:hAnsi="Arial" w:cs="Arial" w:eastAsia="Arial" w:hint="default"/>
                <w:sz w:val="20"/>
                <w:szCs w:val="20"/>
                <w:u w:val="single" w:color="000000"/>
              </w:rPr>
              <w:tab/>
              <w:t>2011</w:t>
            </w:r>
            <w:r>
              <w:rPr>
                <w:rFonts w:ascii="Arial" w:hAnsi="Arial" w:cs="Arial" w:eastAsia="Arial" w:hint="default"/>
                <w:spacing w:val="-9"/>
                <w:sz w:val="20"/>
                <w:szCs w:val="20"/>
                <w:u w:val="single" w:color="000000"/>
              </w:rPr>
              <w:t> </w:t>
            </w:r>
            <w:r>
              <w:rPr>
                <w:rFonts w:ascii="黑体" w:hAnsi="黑体" w:cs="黑体" w:eastAsia="黑体" w:hint="default"/>
                <w:sz w:val="20"/>
                <w:szCs w:val="20"/>
                <w:u w:val="single" w:color="000000"/>
              </w:rPr>
              <w:t>年</w:t>
              <w:tab/>
            </w:r>
            <w:r>
              <w:rPr>
                <w:rFonts w:ascii="黑体" w:hAnsi="黑体" w:cs="黑体" w:eastAsia="黑体" w:hint="default"/>
                <w:sz w:val="20"/>
                <w:szCs w:val="20"/>
              </w:rPr>
            </w:r>
          </w:p>
        </w:tc>
      </w:tr>
      <w:tr>
        <w:trPr>
          <w:trHeight w:val="424" w:hRule="exact"/>
        </w:trPr>
        <w:tc>
          <w:tcPr>
            <w:tcW w:w="1454" w:type="dxa"/>
            <w:tcBorders>
              <w:top w:val="nil" w:sz="6" w:space="0" w:color="auto"/>
              <w:left w:val="nil" w:sz="6" w:space="0" w:color="auto"/>
              <w:bottom w:val="nil" w:sz="6" w:space="0" w:color="auto"/>
              <w:right w:val="nil" w:sz="6" w:space="0" w:color="auto"/>
            </w:tcBorders>
          </w:tcPr>
          <w:p>
            <w:pPr/>
          </w:p>
        </w:tc>
        <w:tc>
          <w:tcPr>
            <w:tcW w:w="3176" w:type="dxa"/>
            <w:gridSpan w:val="2"/>
            <w:tcBorders>
              <w:top w:val="nil" w:sz="6" w:space="0" w:color="auto"/>
              <w:left w:val="nil" w:sz="6" w:space="0" w:color="auto"/>
              <w:bottom w:val="nil" w:sz="6" w:space="0" w:color="auto"/>
              <w:right w:val="nil" w:sz="6" w:space="0" w:color="auto"/>
            </w:tcBorders>
          </w:tcPr>
          <w:p>
            <w:pPr>
              <w:pStyle w:val="TableParagraph"/>
              <w:spacing w:line="210" w:lineRule="exact"/>
              <w:ind w:right="185"/>
              <w:jc w:val="right"/>
              <w:rPr>
                <w:rFonts w:ascii="黑体" w:hAnsi="黑体" w:cs="黑体" w:eastAsia="黑体" w:hint="default"/>
                <w:sz w:val="20"/>
                <w:szCs w:val="20"/>
              </w:rPr>
            </w:pPr>
            <w:r>
              <w:rPr>
                <w:rFonts w:ascii="黑体" w:hAnsi="黑体" w:cs="黑体" w:eastAsia="黑体" w:hint="default"/>
                <w:w w:val="95"/>
                <w:sz w:val="20"/>
                <w:szCs w:val="20"/>
              </w:rPr>
              <w:t>金额</w:t>
            </w:r>
            <w:r>
              <w:rPr>
                <w:rFonts w:ascii="黑体" w:hAnsi="黑体" w:cs="黑体" w:eastAsia="黑体" w:hint="default"/>
                <w:sz w:val="20"/>
                <w:szCs w:val="20"/>
              </w:rPr>
            </w:r>
          </w:p>
        </w:tc>
        <w:tc>
          <w:tcPr>
            <w:tcW w:w="1081" w:type="dxa"/>
            <w:tcBorders>
              <w:top w:val="nil" w:sz="6" w:space="0" w:color="auto"/>
              <w:left w:val="nil" w:sz="6" w:space="0" w:color="auto"/>
              <w:bottom w:val="nil" w:sz="6" w:space="0" w:color="auto"/>
              <w:right w:val="nil" w:sz="6" w:space="0" w:color="auto"/>
            </w:tcBorders>
          </w:tcPr>
          <w:p>
            <w:pPr>
              <w:pStyle w:val="TableParagraph"/>
              <w:spacing w:line="224" w:lineRule="exact"/>
              <w:ind w:right="328"/>
              <w:jc w:val="right"/>
              <w:rPr>
                <w:rFonts w:ascii="Arial" w:hAnsi="Arial" w:cs="Arial" w:eastAsia="Arial" w:hint="default"/>
                <w:sz w:val="20"/>
                <w:szCs w:val="20"/>
              </w:rPr>
            </w:pPr>
            <w:r>
              <w:rPr>
                <w:rFonts w:ascii="黑体" w:hAnsi="黑体" w:cs="黑体" w:eastAsia="黑体" w:hint="default"/>
                <w:w w:val="95"/>
                <w:sz w:val="20"/>
                <w:szCs w:val="20"/>
              </w:rPr>
              <w:t>比例</w:t>
            </w:r>
            <w:r>
              <w:rPr>
                <w:rFonts w:ascii="Arial" w:hAnsi="Arial" w:cs="Arial" w:eastAsia="Arial" w:hint="default"/>
                <w:w w:val="95"/>
                <w:sz w:val="20"/>
                <w:szCs w:val="20"/>
              </w:rPr>
              <w:t>(%)</w:t>
            </w:r>
            <w:r>
              <w:rPr>
                <w:rFonts w:ascii="Arial" w:hAnsi="Arial" w:cs="Arial" w:eastAsia="Arial" w:hint="default"/>
                <w:sz w:val="20"/>
                <w:szCs w:val="20"/>
              </w:rPr>
            </w:r>
          </w:p>
        </w:tc>
        <w:tc>
          <w:tcPr>
            <w:tcW w:w="1500" w:type="dxa"/>
            <w:tcBorders>
              <w:top w:val="nil" w:sz="6" w:space="0" w:color="auto"/>
              <w:left w:val="nil" w:sz="6" w:space="0" w:color="auto"/>
              <w:bottom w:val="nil" w:sz="6" w:space="0" w:color="auto"/>
              <w:right w:val="nil" w:sz="6" w:space="0" w:color="auto"/>
            </w:tcBorders>
          </w:tcPr>
          <w:p>
            <w:pPr>
              <w:pStyle w:val="TableParagraph"/>
              <w:spacing w:line="210" w:lineRule="exact"/>
              <w:ind w:right="173"/>
              <w:jc w:val="right"/>
              <w:rPr>
                <w:rFonts w:ascii="黑体" w:hAnsi="黑体" w:cs="黑体" w:eastAsia="黑体" w:hint="default"/>
                <w:sz w:val="20"/>
                <w:szCs w:val="20"/>
              </w:rPr>
            </w:pPr>
            <w:r>
              <w:rPr>
                <w:rFonts w:ascii="黑体" w:hAnsi="黑体" w:cs="黑体" w:eastAsia="黑体" w:hint="default"/>
                <w:w w:val="95"/>
                <w:sz w:val="20"/>
                <w:szCs w:val="20"/>
              </w:rPr>
              <w:t>金额</w:t>
            </w:r>
            <w:r>
              <w:rPr>
                <w:rFonts w:ascii="黑体" w:hAnsi="黑体" w:cs="黑体" w:eastAsia="黑体" w:hint="default"/>
                <w:sz w:val="20"/>
                <w:szCs w:val="20"/>
              </w:rPr>
            </w:r>
          </w:p>
        </w:tc>
        <w:tc>
          <w:tcPr>
            <w:tcW w:w="1084" w:type="dxa"/>
            <w:tcBorders>
              <w:top w:val="nil" w:sz="6" w:space="0" w:color="auto"/>
              <w:left w:val="nil" w:sz="6" w:space="0" w:color="auto"/>
              <w:bottom w:val="nil" w:sz="6" w:space="0" w:color="auto"/>
              <w:right w:val="nil" w:sz="6" w:space="0" w:color="auto"/>
            </w:tcBorders>
          </w:tcPr>
          <w:p>
            <w:pPr>
              <w:pStyle w:val="TableParagraph"/>
              <w:spacing w:line="224" w:lineRule="exact"/>
              <w:ind w:right="24"/>
              <w:jc w:val="center"/>
              <w:rPr>
                <w:rFonts w:ascii="Arial" w:hAnsi="Arial" w:cs="Arial" w:eastAsia="Arial" w:hint="default"/>
                <w:sz w:val="20"/>
                <w:szCs w:val="20"/>
              </w:rPr>
            </w:pPr>
            <w:r>
              <w:rPr>
                <w:rFonts w:ascii="黑体" w:hAnsi="黑体" w:cs="黑体" w:eastAsia="黑体" w:hint="default"/>
                <w:sz w:val="20"/>
                <w:szCs w:val="20"/>
              </w:rPr>
              <w:t>比例</w:t>
            </w:r>
            <w:r>
              <w:rPr>
                <w:rFonts w:ascii="Arial" w:hAnsi="Arial" w:cs="Arial" w:eastAsia="Arial" w:hint="default"/>
                <w:sz w:val="20"/>
                <w:szCs w:val="20"/>
              </w:rPr>
              <w:t>(%)</w:t>
            </w:r>
          </w:p>
        </w:tc>
      </w:tr>
      <w:tr>
        <w:trPr>
          <w:trHeight w:val="434" w:hRule="exact"/>
        </w:trPr>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0" w:right="0"/>
              <w:jc w:val="left"/>
              <w:rPr>
                <w:rFonts w:ascii="黑体" w:hAnsi="黑体" w:cs="黑体" w:eastAsia="黑体" w:hint="default"/>
                <w:sz w:val="20"/>
                <w:szCs w:val="20"/>
              </w:rPr>
            </w:pPr>
            <w:r>
              <w:rPr>
                <w:rFonts w:ascii="黑体" w:hAnsi="黑体" w:cs="黑体" w:eastAsia="黑体" w:hint="default"/>
                <w:sz w:val="20"/>
                <w:szCs w:val="20"/>
              </w:rPr>
              <w:t>北京伟库</w:t>
            </w:r>
          </w:p>
        </w:tc>
        <w:tc>
          <w:tcPr>
            <w:tcW w:w="2048" w:type="dxa"/>
            <w:tcBorders>
              <w:top w:val="nil" w:sz="6" w:space="0" w:color="auto"/>
              <w:left w:val="nil" w:sz="6" w:space="0" w:color="auto"/>
              <w:bottom w:val="nil" w:sz="6" w:space="0" w:color="auto"/>
              <w:right w:val="nil" w:sz="6" w:space="0" w:color="auto"/>
            </w:tcBorders>
          </w:tcPr>
          <w:p>
            <w:pPr>
              <w:pStyle w:val="TableParagraph"/>
              <w:tabs>
                <w:tab w:pos="1925" w:val="left" w:leader="none"/>
                <w:tab w:pos="2926" w:val="left" w:leader="none"/>
              </w:tabs>
              <w:spacing w:line="240" w:lineRule="auto" w:before="163"/>
              <w:ind w:left="457" w:right="-879"/>
              <w:jc w:val="center"/>
              <w:rPr>
                <w:rFonts w:ascii="Arial" w:hAnsi="Arial" w:cs="Arial" w:eastAsia="Arial" w:hint="default"/>
                <w:sz w:val="20"/>
                <w:szCs w:val="20"/>
              </w:rPr>
            </w:pPr>
            <w:r>
              <w:rPr>
                <w:rFonts w:ascii="黑体" w:hAnsi="黑体" w:cs="黑体" w:eastAsia="黑体" w:hint="default"/>
                <w:sz w:val="20"/>
                <w:szCs w:val="20"/>
              </w:rPr>
              <w:t>收购资产业务</w:t>
              <w:tab/>
            </w:r>
            <w:r>
              <w:rPr>
                <w:rFonts w:ascii="Arial" w:hAnsi="Arial" w:cs="Arial" w:eastAsia="Arial" w:hint="default"/>
                <w:w w:val="99"/>
                <w:sz w:val="20"/>
                <w:szCs w:val="20"/>
              </w:rPr>
            </w:r>
            <w:r>
              <w:rPr>
                <w:rFonts w:ascii="Arial" w:hAnsi="Arial" w:cs="Arial" w:eastAsia="Arial" w:hint="default"/>
                <w:w w:val="99"/>
                <w:sz w:val="20"/>
                <w:szCs w:val="20"/>
                <w:u w:val="thick" w:color="000000"/>
              </w:rPr>
              <w:t> </w:t>
            </w:r>
            <w:r>
              <w:rPr>
                <w:rFonts w:ascii="Arial" w:hAnsi="Arial" w:cs="Arial" w:eastAsia="Arial" w:hint="default"/>
                <w:sz w:val="20"/>
                <w:szCs w:val="20"/>
                <w:u w:val="thick" w:color="000000"/>
              </w:rPr>
              <w:tab/>
            </w:r>
            <w:r>
              <w:rPr>
                <w:rFonts w:ascii="Arial" w:hAnsi="Arial" w:cs="Arial" w:eastAsia="Arial" w:hint="default"/>
                <w:sz w:val="20"/>
                <w:szCs w:val="20"/>
              </w:rPr>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sz w:val="15"/>
                <w:szCs w:val="15"/>
              </w:rPr>
            </w:pPr>
          </w:p>
          <w:p>
            <w:pPr>
              <w:pStyle w:val="TableParagraph"/>
              <w:spacing w:line="240" w:lineRule="auto"/>
              <w:ind w:right="181"/>
              <w:jc w:val="right"/>
              <w:rPr>
                <w:rFonts w:ascii="Arial" w:hAnsi="Arial" w:cs="Arial" w:eastAsia="Arial" w:hint="default"/>
                <w:sz w:val="20"/>
                <w:szCs w:val="20"/>
              </w:rPr>
            </w:pPr>
            <w:r>
              <w:rPr>
                <w:rFonts w:ascii="Arial"/>
                <w:w w:val="99"/>
                <w:sz w:val="20"/>
              </w:rPr>
            </w:r>
            <w:r>
              <w:rPr>
                <w:rFonts w:ascii="Arial"/>
                <w:w w:val="99"/>
                <w:sz w:val="20"/>
                <w:u w:val="thick" w:color="000000"/>
              </w:rPr>
              <w:t>-</w:t>
            </w:r>
            <w:r>
              <w:rPr>
                <w:rFonts w:ascii="Arial"/>
                <w:w w:val="99"/>
                <w:sz w:val="20"/>
              </w:rPr>
            </w:r>
            <w:r>
              <w:rPr>
                <w:rFonts w:ascii="Arial"/>
                <w:sz w:val="20"/>
              </w:rPr>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sz w:val="15"/>
                <w:szCs w:val="15"/>
              </w:rPr>
            </w:pPr>
          </w:p>
          <w:p>
            <w:pPr>
              <w:pStyle w:val="TableParagraph"/>
              <w:tabs>
                <w:tab w:pos="602" w:val="left" w:leader="none"/>
              </w:tabs>
              <w:spacing w:line="240" w:lineRule="auto"/>
              <w:ind w:right="326"/>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w w:val="95"/>
                <w:sz w:val="20"/>
                <w:u w:val="thick" w:color="000000"/>
              </w:rPr>
              <w:t>-</w:t>
            </w:r>
            <w:r>
              <w:rPr>
                <w:rFonts w:ascii="Arial"/>
                <w:w w:val="95"/>
                <w:sz w:val="20"/>
              </w:rPr>
            </w:r>
            <w:r>
              <w:rPr>
                <w:rFonts w:ascii="Arial"/>
                <w:sz w:val="20"/>
              </w:rPr>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sz w:val="15"/>
                <w:szCs w:val="15"/>
              </w:rPr>
            </w:pPr>
          </w:p>
          <w:p>
            <w:pPr>
              <w:pStyle w:val="TableParagraph"/>
              <w:spacing w:line="240" w:lineRule="auto"/>
              <w:ind w:right="172"/>
              <w:jc w:val="right"/>
              <w:rPr>
                <w:rFonts w:ascii="Arial" w:hAnsi="Arial" w:cs="Arial" w:eastAsia="Arial" w:hint="default"/>
                <w:sz w:val="20"/>
                <w:szCs w:val="20"/>
              </w:rPr>
            </w:pPr>
            <w:r>
              <w:rPr>
                <w:rFonts w:ascii="Arial"/>
                <w:w w:val="99"/>
                <w:sz w:val="20"/>
              </w:rPr>
            </w:r>
            <w:r>
              <w:rPr>
                <w:rFonts w:ascii="Arial"/>
                <w:spacing w:val="-1"/>
                <w:sz w:val="20"/>
                <w:u w:val="thick" w:color="000000"/>
              </w:rPr>
              <w:t>23,964,600</w:t>
            </w:r>
            <w:r>
              <w:rPr>
                <w:rFonts w:ascii="Arial"/>
                <w:spacing w:val="-1"/>
                <w:sz w:val="20"/>
              </w:rPr>
            </w:r>
            <w:r>
              <w:rPr>
                <w:rFonts w:ascii="Arial"/>
                <w:sz w:val="20"/>
              </w:rPr>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sz w:val="15"/>
                <w:szCs w:val="15"/>
              </w:rPr>
            </w:pPr>
          </w:p>
          <w:p>
            <w:pPr>
              <w:pStyle w:val="TableParagraph"/>
              <w:tabs>
                <w:tab w:pos="353" w:val="left" w:leader="none"/>
              </w:tabs>
              <w:spacing w:line="240" w:lineRule="auto"/>
              <w:ind w:left="50" w:right="0"/>
              <w:jc w:val="center"/>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t>100</w:t>
            </w:r>
            <w:r>
              <w:rPr>
                <w:rFonts w:ascii="Arial"/>
                <w:sz w:val="20"/>
              </w:rPr>
            </w:r>
          </w:p>
        </w:tc>
      </w:tr>
    </w:tbl>
    <w:p>
      <w:pPr>
        <w:spacing w:line="240" w:lineRule="auto" w:before="4"/>
        <w:rPr>
          <w:rFonts w:ascii="黑体" w:hAnsi="黑体" w:cs="黑体" w:eastAsia="黑体" w:hint="default"/>
          <w:sz w:val="8"/>
          <w:szCs w:val="8"/>
        </w:rPr>
      </w:pPr>
    </w:p>
    <w:p>
      <w:pPr>
        <w:pStyle w:val="BodyText"/>
        <w:spacing w:line="393" w:lineRule="auto" w:before="37"/>
        <w:ind w:left="732" w:right="6849"/>
        <w:jc w:val="both"/>
      </w:pPr>
      <w:r>
        <w:rPr/>
        <w:pict>
          <v:shape style="position:absolute;margin-left:105.559998pt;margin-top:63.289837pt;width:416.15pt;height:67.45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29"/>
                    <w:gridCol w:w="1321"/>
                    <w:gridCol w:w="1363"/>
                    <w:gridCol w:w="1526"/>
                    <w:gridCol w:w="1547"/>
                    <w:gridCol w:w="1036"/>
                  </w:tblGrid>
                  <w:tr>
                    <w:trPr>
                      <w:trHeight w:val="242" w:hRule="exact"/>
                    </w:trPr>
                    <w:tc>
                      <w:tcPr>
                        <w:tcW w:w="1529"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Style w:val="TableParagraph"/>
                          <w:spacing w:line="199" w:lineRule="exact"/>
                          <w:ind w:right="122"/>
                          <w:jc w:val="right"/>
                          <w:rPr>
                            <w:rFonts w:ascii="黑体" w:hAnsi="黑体" w:cs="黑体" w:eastAsia="黑体" w:hint="default"/>
                            <w:sz w:val="20"/>
                            <w:szCs w:val="20"/>
                          </w:rPr>
                        </w:pPr>
                        <w:r>
                          <w:rPr>
                            <w:rFonts w:ascii="黑体" w:hAnsi="黑体" w:cs="黑体" w:eastAsia="黑体" w:hint="default"/>
                            <w:w w:val="95"/>
                            <w:sz w:val="20"/>
                            <w:szCs w:val="20"/>
                          </w:rPr>
                          <w:t>担保额度</w:t>
                        </w:r>
                        <w:r>
                          <w:rPr>
                            <w:rFonts w:ascii="黑体" w:hAnsi="黑体" w:cs="黑体" w:eastAsia="黑体" w:hint="default"/>
                            <w:sz w:val="20"/>
                            <w:szCs w:val="20"/>
                          </w:rPr>
                        </w:r>
                      </w:p>
                    </w:tc>
                    <w:tc>
                      <w:tcPr>
                        <w:tcW w:w="1363" w:type="dxa"/>
                        <w:tcBorders>
                          <w:top w:val="nil" w:sz="6" w:space="0" w:color="auto"/>
                          <w:left w:val="nil" w:sz="6" w:space="0" w:color="auto"/>
                          <w:bottom w:val="nil" w:sz="6" w:space="0" w:color="auto"/>
                          <w:right w:val="nil" w:sz="6" w:space="0" w:color="auto"/>
                        </w:tcBorders>
                      </w:tcPr>
                      <w:p>
                        <w:pPr>
                          <w:pStyle w:val="TableParagraph"/>
                          <w:spacing w:line="199" w:lineRule="exact"/>
                          <w:ind w:right="127"/>
                          <w:jc w:val="right"/>
                          <w:rPr>
                            <w:rFonts w:ascii="黑体" w:hAnsi="黑体" w:cs="黑体" w:eastAsia="黑体" w:hint="default"/>
                            <w:sz w:val="20"/>
                            <w:szCs w:val="20"/>
                          </w:rPr>
                        </w:pPr>
                        <w:r>
                          <w:rPr>
                            <w:rFonts w:ascii="黑体" w:hAnsi="黑体" w:cs="黑体" w:eastAsia="黑体" w:hint="default"/>
                            <w:w w:val="95"/>
                            <w:sz w:val="20"/>
                            <w:szCs w:val="20"/>
                          </w:rPr>
                          <w:t>担保金额</w:t>
                        </w:r>
                        <w:r>
                          <w:rPr>
                            <w:rFonts w:ascii="黑体" w:hAnsi="黑体" w:cs="黑体" w:eastAsia="黑体" w:hint="default"/>
                            <w:sz w:val="20"/>
                            <w:szCs w:val="20"/>
                          </w:rPr>
                        </w:r>
                      </w:p>
                    </w:tc>
                    <w:tc>
                      <w:tcPr>
                        <w:tcW w:w="1526" w:type="dxa"/>
                        <w:tcBorders>
                          <w:top w:val="nil" w:sz="6" w:space="0" w:color="auto"/>
                          <w:left w:val="nil" w:sz="6" w:space="0" w:color="auto"/>
                          <w:bottom w:val="nil" w:sz="6" w:space="0" w:color="auto"/>
                          <w:right w:val="nil" w:sz="6" w:space="0" w:color="auto"/>
                        </w:tcBorders>
                      </w:tcPr>
                      <w:p>
                        <w:pPr>
                          <w:pStyle w:val="TableParagraph"/>
                          <w:spacing w:line="199" w:lineRule="exact"/>
                          <w:ind w:right="149"/>
                          <w:jc w:val="right"/>
                          <w:rPr>
                            <w:rFonts w:ascii="黑体" w:hAnsi="黑体" w:cs="黑体" w:eastAsia="黑体" w:hint="default"/>
                            <w:sz w:val="20"/>
                            <w:szCs w:val="20"/>
                          </w:rPr>
                        </w:pPr>
                        <w:r>
                          <w:rPr>
                            <w:rFonts w:ascii="黑体" w:hAnsi="黑体" w:cs="黑体" w:eastAsia="黑体" w:hint="default"/>
                            <w:w w:val="95"/>
                            <w:sz w:val="20"/>
                            <w:szCs w:val="20"/>
                          </w:rPr>
                          <w:t>担保</w:t>
                        </w:r>
                        <w:r>
                          <w:rPr>
                            <w:rFonts w:ascii="黑体" w:hAnsi="黑体" w:cs="黑体" w:eastAsia="黑体" w:hint="default"/>
                            <w:sz w:val="20"/>
                            <w:szCs w:val="20"/>
                          </w:rPr>
                        </w:r>
                      </w:p>
                    </w:tc>
                    <w:tc>
                      <w:tcPr>
                        <w:tcW w:w="1547" w:type="dxa"/>
                        <w:tcBorders>
                          <w:top w:val="nil" w:sz="6" w:space="0" w:color="auto"/>
                          <w:left w:val="nil" w:sz="6" w:space="0" w:color="auto"/>
                          <w:bottom w:val="nil" w:sz="6" w:space="0" w:color="auto"/>
                          <w:right w:val="nil" w:sz="6" w:space="0" w:color="auto"/>
                        </w:tcBorders>
                      </w:tcPr>
                      <w:p>
                        <w:pPr>
                          <w:pStyle w:val="TableParagraph"/>
                          <w:spacing w:line="199" w:lineRule="exact"/>
                          <w:ind w:right="59"/>
                          <w:jc w:val="right"/>
                          <w:rPr>
                            <w:rFonts w:ascii="黑体" w:hAnsi="黑体" w:cs="黑体" w:eastAsia="黑体" w:hint="default"/>
                            <w:sz w:val="20"/>
                            <w:szCs w:val="20"/>
                          </w:rPr>
                        </w:pPr>
                        <w:r>
                          <w:rPr>
                            <w:rFonts w:ascii="黑体" w:hAnsi="黑体" w:cs="黑体" w:eastAsia="黑体" w:hint="default"/>
                            <w:w w:val="95"/>
                            <w:sz w:val="20"/>
                            <w:szCs w:val="20"/>
                          </w:rPr>
                          <w:t>担保</w:t>
                        </w:r>
                        <w:r>
                          <w:rPr>
                            <w:rFonts w:ascii="黑体" w:hAnsi="黑体" w:cs="黑体" w:eastAsia="黑体" w:hint="default"/>
                            <w:sz w:val="20"/>
                            <w:szCs w:val="20"/>
                          </w:rPr>
                        </w:r>
                      </w:p>
                    </w:tc>
                    <w:tc>
                      <w:tcPr>
                        <w:tcW w:w="1036" w:type="dxa"/>
                        <w:tcBorders>
                          <w:top w:val="nil" w:sz="6" w:space="0" w:color="auto"/>
                          <w:left w:val="nil" w:sz="6" w:space="0" w:color="auto"/>
                          <w:bottom w:val="nil" w:sz="6" w:space="0" w:color="auto"/>
                          <w:right w:val="nil" w:sz="6" w:space="0" w:color="auto"/>
                        </w:tcBorders>
                      </w:tcPr>
                      <w:p>
                        <w:pPr>
                          <w:pStyle w:val="TableParagraph"/>
                          <w:spacing w:line="199" w:lineRule="exact"/>
                          <w:ind w:right="198"/>
                          <w:jc w:val="right"/>
                          <w:rPr>
                            <w:rFonts w:ascii="黑体" w:hAnsi="黑体" w:cs="黑体" w:eastAsia="黑体" w:hint="default"/>
                            <w:sz w:val="20"/>
                            <w:szCs w:val="20"/>
                          </w:rPr>
                        </w:pPr>
                        <w:r>
                          <w:rPr>
                            <w:rFonts w:ascii="黑体" w:hAnsi="黑体" w:cs="黑体" w:eastAsia="黑体" w:hint="default"/>
                            <w:w w:val="95"/>
                            <w:sz w:val="20"/>
                            <w:szCs w:val="20"/>
                          </w:rPr>
                          <w:t>担保是否</w:t>
                        </w:r>
                        <w:r>
                          <w:rPr>
                            <w:rFonts w:ascii="黑体" w:hAnsi="黑体" w:cs="黑体" w:eastAsia="黑体" w:hint="default"/>
                            <w:sz w:val="20"/>
                            <w:szCs w:val="20"/>
                          </w:rPr>
                        </w:r>
                      </w:p>
                    </w:tc>
                  </w:tr>
                  <w:tr>
                    <w:trPr>
                      <w:trHeight w:val="427" w:hRule="exact"/>
                    </w:trPr>
                    <w:tc>
                      <w:tcPr>
                        <w:tcW w:w="1529" w:type="dxa"/>
                        <w:tcBorders>
                          <w:top w:val="nil" w:sz="6" w:space="0" w:color="auto"/>
                          <w:left w:val="nil" w:sz="6" w:space="0" w:color="auto"/>
                          <w:bottom w:val="nil" w:sz="6" w:space="0" w:color="auto"/>
                          <w:right w:val="nil" w:sz="6" w:space="0" w:color="auto"/>
                        </w:tcBorders>
                      </w:tcPr>
                      <w:p>
                        <w:pPr/>
                      </w:p>
                    </w:tc>
                    <w:tc>
                      <w:tcPr>
                        <w:tcW w:w="1321" w:type="dxa"/>
                        <w:tcBorders>
                          <w:top w:val="nil" w:sz="6" w:space="0" w:color="auto"/>
                          <w:left w:val="nil" w:sz="6" w:space="0" w:color="auto"/>
                          <w:bottom w:val="nil" w:sz="6" w:space="0" w:color="auto"/>
                          <w:right w:val="nil" w:sz="6" w:space="0" w:color="auto"/>
                        </w:tcBorders>
                      </w:tcPr>
                      <w:p>
                        <w:pPr/>
                      </w:p>
                    </w:tc>
                    <w:tc>
                      <w:tcPr>
                        <w:tcW w:w="1363" w:type="dxa"/>
                        <w:tcBorders>
                          <w:top w:val="nil" w:sz="6" w:space="0" w:color="auto"/>
                          <w:left w:val="nil" w:sz="6" w:space="0" w:color="auto"/>
                          <w:bottom w:val="nil" w:sz="6" w:space="0" w:color="auto"/>
                          <w:right w:val="nil" w:sz="6" w:space="0" w:color="auto"/>
                        </w:tcBorders>
                      </w:tcPr>
                      <w:p>
                        <w:pPr/>
                      </w:p>
                    </w:tc>
                    <w:tc>
                      <w:tcPr>
                        <w:tcW w:w="1526" w:type="dxa"/>
                        <w:tcBorders>
                          <w:top w:val="nil" w:sz="6" w:space="0" w:color="auto"/>
                          <w:left w:val="nil" w:sz="6" w:space="0" w:color="auto"/>
                          <w:bottom w:val="nil" w:sz="6" w:space="0" w:color="auto"/>
                          <w:right w:val="nil" w:sz="6" w:space="0" w:color="auto"/>
                        </w:tcBorders>
                      </w:tcPr>
                      <w:p>
                        <w:pPr>
                          <w:pStyle w:val="TableParagraph"/>
                          <w:spacing w:line="243" w:lineRule="exact"/>
                          <w:ind w:right="149"/>
                          <w:jc w:val="right"/>
                          <w:rPr>
                            <w:rFonts w:ascii="黑体" w:hAnsi="黑体" w:cs="黑体" w:eastAsia="黑体" w:hint="default"/>
                            <w:sz w:val="20"/>
                            <w:szCs w:val="20"/>
                          </w:rPr>
                        </w:pPr>
                        <w:r>
                          <w:rPr>
                            <w:rFonts w:ascii="黑体" w:hAnsi="黑体" w:cs="黑体" w:eastAsia="黑体" w:hint="default"/>
                            <w:w w:val="95"/>
                            <w:sz w:val="20"/>
                            <w:szCs w:val="20"/>
                          </w:rPr>
                          <w:t>起始日</w:t>
                        </w:r>
                        <w:r>
                          <w:rPr>
                            <w:rFonts w:ascii="黑体" w:hAnsi="黑体" w:cs="黑体" w:eastAsia="黑体" w:hint="default"/>
                            <w:sz w:val="20"/>
                            <w:szCs w:val="20"/>
                          </w:rPr>
                        </w:r>
                      </w:p>
                    </w:tc>
                    <w:tc>
                      <w:tcPr>
                        <w:tcW w:w="1547" w:type="dxa"/>
                        <w:tcBorders>
                          <w:top w:val="nil" w:sz="6" w:space="0" w:color="auto"/>
                          <w:left w:val="nil" w:sz="6" w:space="0" w:color="auto"/>
                          <w:bottom w:val="nil" w:sz="6" w:space="0" w:color="auto"/>
                          <w:right w:val="nil" w:sz="6" w:space="0" w:color="auto"/>
                        </w:tcBorders>
                      </w:tcPr>
                      <w:p>
                        <w:pPr>
                          <w:pStyle w:val="TableParagraph"/>
                          <w:spacing w:line="243" w:lineRule="exact"/>
                          <w:ind w:right="59"/>
                          <w:jc w:val="right"/>
                          <w:rPr>
                            <w:rFonts w:ascii="黑体" w:hAnsi="黑体" w:cs="黑体" w:eastAsia="黑体" w:hint="default"/>
                            <w:sz w:val="20"/>
                            <w:szCs w:val="20"/>
                          </w:rPr>
                        </w:pPr>
                        <w:r>
                          <w:rPr>
                            <w:rFonts w:ascii="黑体" w:hAnsi="黑体" w:cs="黑体" w:eastAsia="黑体" w:hint="default"/>
                            <w:w w:val="95"/>
                            <w:sz w:val="20"/>
                            <w:szCs w:val="20"/>
                          </w:rPr>
                          <w:t>到期日</w:t>
                        </w:r>
                        <w:r>
                          <w:rPr>
                            <w:rFonts w:ascii="黑体" w:hAnsi="黑体" w:cs="黑体" w:eastAsia="黑体" w:hint="default"/>
                            <w:sz w:val="20"/>
                            <w:szCs w:val="20"/>
                          </w:rPr>
                        </w:r>
                      </w:p>
                    </w:tc>
                    <w:tc>
                      <w:tcPr>
                        <w:tcW w:w="1036" w:type="dxa"/>
                        <w:tcBorders>
                          <w:top w:val="nil" w:sz="6" w:space="0" w:color="auto"/>
                          <w:left w:val="nil" w:sz="6" w:space="0" w:color="auto"/>
                          <w:bottom w:val="nil" w:sz="6" w:space="0" w:color="auto"/>
                          <w:right w:val="nil" w:sz="6" w:space="0" w:color="auto"/>
                        </w:tcBorders>
                      </w:tcPr>
                      <w:p>
                        <w:pPr>
                          <w:pStyle w:val="TableParagraph"/>
                          <w:spacing w:line="243" w:lineRule="exact"/>
                          <w:ind w:right="198"/>
                          <w:jc w:val="right"/>
                          <w:rPr>
                            <w:rFonts w:ascii="黑体" w:hAnsi="黑体" w:cs="黑体" w:eastAsia="黑体" w:hint="default"/>
                            <w:sz w:val="20"/>
                            <w:szCs w:val="20"/>
                          </w:rPr>
                        </w:pPr>
                        <w:r>
                          <w:rPr>
                            <w:rFonts w:ascii="黑体" w:hAnsi="黑体" w:cs="黑体" w:eastAsia="黑体" w:hint="default"/>
                            <w:w w:val="95"/>
                            <w:sz w:val="20"/>
                            <w:szCs w:val="20"/>
                          </w:rPr>
                          <w:t>履行完毕</w:t>
                        </w:r>
                        <w:r>
                          <w:rPr>
                            <w:rFonts w:ascii="黑体" w:hAnsi="黑体" w:cs="黑体" w:eastAsia="黑体" w:hint="default"/>
                            <w:sz w:val="20"/>
                            <w:szCs w:val="20"/>
                          </w:rPr>
                        </w:r>
                      </w:p>
                    </w:tc>
                  </w:tr>
                  <w:tr>
                    <w:trPr>
                      <w:trHeight w:val="432" w:hRule="exact"/>
                    </w:trPr>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85"/>
                          <w:jc w:val="right"/>
                          <w:rPr>
                            <w:rFonts w:ascii="Arial" w:hAnsi="Arial" w:cs="Arial" w:eastAsia="Arial" w:hint="default"/>
                            <w:sz w:val="20"/>
                            <w:szCs w:val="20"/>
                          </w:rPr>
                        </w:pPr>
                        <w:r>
                          <w:rPr>
                            <w:rFonts w:ascii="黑体" w:hAnsi="黑体" w:cs="黑体" w:eastAsia="黑体" w:hint="default"/>
                            <w:w w:val="95"/>
                            <w:sz w:val="20"/>
                            <w:szCs w:val="20"/>
                          </w:rPr>
                          <w:t>用友科技</w:t>
                        </w:r>
                        <w:r>
                          <w:rPr>
                            <w:rFonts w:ascii="Arial" w:hAnsi="Arial" w:cs="Arial" w:eastAsia="Arial" w:hint="default"/>
                            <w:w w:val="95"/>
                            <w:sz w:val="20"/>
                            <w:szCs w:val="20"/>
                          </w:rPr>
                          <w:t>(</w:t>
                        </w:r>
                        <w:r>
                          <w:rPr>
                            <w:rFonts w:ascii="黑体" w:hAnsi="黑体" w:cs="黑体" w:eastAsia="黑体" w:hint="default"/>
                            <w:w w:val="95"/>
                            <w:sz w:val="20"/>
                            <w:szCs w:val="20"/>
                          </w:rPr>
                          <w:t>注</w:t>
                        </w:r>
                        <w:r>
                          <w:rPr>
                            <w:rFonts w:ascii="Arial" w:hAnsi="Arial" w:cs="Arial" w:eastAsia="Arial" w:hint="default"/>
                            <w:w w:val="95"/>
                            <w:sz w:val="20"/>
                            <w:szCs w:val="20"/>
                          </w:rPr>
                          <w:t>1)</w:t>
                        </w:r>
                        <w:r>
                          <w:rPr>
                            <w:rFonts w:ascii="Arial" w:hAnsi="Arial" w:cs="Arial" w:eastAsia="Arial" w:hint="default"/>
                            <w:sz w:val="20"/>
                            <w:szCs w:val="20"/>
                          </w:rPr>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123"/>
                          <w:jc w:val="right"/>
                          <w:rPr>
                            <w:rFonts w:ascii="Arial" w:hAnsi="Arial" w:cs="Arial" w:eastAsia="Arial" w:hint="default"/>
                            <w:sz w:val="20"/>
                            <w:szCs w:val="20"/>
                          </w:rPr>
                        </w:pPr>
                        <w:r>
                          <w:rPr>
                            <w:rFonts w:ascii="Arial"/>
                            <w:spacing w:val="-1"/>
                            <w:sz w:val="20"/>
                          </w:rPr>
                          <w:t>500,000,000</w:t>
                        </w:r>
                        <w:r>
                          <w:rPr>
                            <w:rFonts w:ascii="Arial"/>
                            <w:sz w:val="20"/>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168"/>
                          <w:ind w:right="128"/>
                          <w:jc w:val="right"/>
                          <w:rPr>
                            <w:rFonts w:ascii="Arial" w:hAnsi="Arial" w:cs="Arial" w:eastAsia="Arial" w:hint="default"/>
                            <w:sz w:val="20"/>
                            <w:szCs w:val="20"/>
                          </w:rPr>
                        </w:pPr>
                        <w:r>
                          <w:rPr>
                            <w:rFonts w:ascii="Arial"/>
                            <w:spacing w:val="-1"/>
                            <w:sz w:val="20"/>
                          </w:rPr>
                          <w:t>100,000,000</w:t>
                        </w:r>
                        <w:r>
                          <w:rPr>
                            <w:rFonts w:ascii="Arial"/>
                            <w:sz w:val="20"/>
                          </w:rPr>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30"/>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r>
                          <w:rPr>
                            <w:rFonts w:ascii="Arial" w:hAnsi="Arial" w:cs="Arial" w:eastAsia="Arial" w:hint="default"/>
                            <w:spacing w:val="-1"/>
                            <w:sz w:val="20"/>
                            <w:szCs w:val="20"/>
                          </w:rPr>
                          <w:t>8</w:t>
                        </w:r>
                        <w:r>
                          <w:rPr>
                            <w:rFonts w:ascii="黑体" w:hAnsi="黑体" w:cs="黑体" w:eastAsia="黑体" w:hint="default"/>
                            <w:spacing w:val="-1"/>
                            <w:sz w:val="20"/>
                            <w:szCs w:val="20"/>
                          </w:rPr>
                          <w:t>月</w:t>
                        </w:r>
                        <w:r>
                          <w:rPr>
                            <w:rFonts w:ascii="Arial" w:hAnsi="Arial" w:cs="Arial" w:eastAsia="Arial" w:hint="default"/>
                            <w:spacing w:val="-1"/>
                            <w:sz w:val="20"/>
                            <w:szCs w:val="20"/>
                          </w:rPr>
                          <w:t>3</w:t>
                        </w:r>
                        <w:r>
                          <w:rPr>
                            <w:rFonts w:ascii="黑体" w:hAnsi="黑体" w:cs="黑体" w:eastAsia="黑体" w:hint="default"/>
                            <w:spacing w:val="-1"/>
                            <w:sz w:val="20"/>
                            <w:szCs w:val="20"/>
                          </w:rPr>
                          <w:t>日</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7"/>
                          <w:jc w:val="right"/>
                          <w:rPr>
                            <w:rFonts w:ascii="黑体" w:hAnsi="黑体" w:cs="黑体" w:eastAsia="黑体" w:hint="default"/>
                            <w:sz w:val="20"/>
                            <w:szCs w:val="20"/>
                          </w:rPr>
                        </w:pPr>
                        <w:r>
                          <w:rPr>
                            <w:rFonts w:ascii="Arial" w:hAnsi="Arial" w:cs="Arial" w:eastAsia="Arial" w:hint="default"/>
                            <w:spacing w:val="-1"/>
                            <w:sz w:val="20"/>
                            <w:szCs w:val="20"/>
                          </w:rPr>
                          <w:t>2013</w:t>
                        </w:r>
                        <w:r>
                          <w:rPr>
                            <w:rFonts w:ascii="黑体" w:hAnsi="黑体" w:cs="黑体" w:eastAsia="黑体" w:hint="default"/>
                            <w:spacing w:val="-1"/>
                            <w:sz w:val="20"/>
                            <w:szCs w:val="20"/>
                          </w:rPr>
                          <w:t>年</w:t>
                        </w:r>
                        <w:r>
                          <w:rPr>
                            <w:rFonts w:ascii="Arial" w:hAnsi="Arial" w:cs="Arial" w:eastAsia="Arial" w:hint="default"/>
                            <w:spacing w:val="-1"/>
                            <w:sz w:val="20"/>
                            <w:szCs w:val="20"/>
                          </w:rPr>
                          <w:t>7</w:t>
                        </w:r>
                        <w:r>
                          <w:rPr>
                            <w:rFonts w:ascii="黑体" w:hAnsi="黑体" w:cs="黑体" w:eastAsia="黑体" w:hint="default"/>
                            <w:spacing w:val="-1"/>
                            <w:sz w:val="20"/>
                            <w:szCs w:val="20"/>
                          </w:rPr>
                          <w:t>月</w:t>
                        </w:r>
                        <w:r>
                          <w:rPr>
                            <w:rFonts w:ascii="Arial" w:hAnsi="Arial" w:cs="Arial" w:eastAsia="Arial" w:hint="default"/>
                            <w:spacing w:val="-1"/>
                            <w:sz w:val="20"/>
                            <w:szCs w:val="20"/>
                          </w:rPr>
                          <w:t>26</w:t>
                        </w:r>
                        <w:r>
                          <w:rPr>
                            <w:rFonts w:ascii="黑体" w:hAnsi="黑体" w:cs="黑体" w:eastAsia="黑体" w:hint="default"/>
                            <w:spacing w:val="-1"/>
                            <w:sz w:val="20"/>
                            <w:szCs w:val="20"/>
                          </w:rPr>
                          <w:t>日</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12"/>
                          <w:jc w:val="right"/>
                          <w:rPr>
                            <w:rFonts w:ascii="黑体" w:hAnsi="黑体" w:cs="黑体" w:eastAsia="黑体" w:hint="default"/>
                            <w:sz w:val="20"/>
                            <w:szCs w:val="20"/>
                          </w:rPr>
                        </w:pPr>
                        <w:r>
                          <w:rPr>
                            <w:rFonts w:ascii="黑体" w:hAnsi="黑体" w:cs="黑体" w:eastAsia="黑体" w:hint="default"/>
                            <w:w w:val="99"/>
                            <w:sz w:val="20"/>
                            <w:szCs w:val="20"/>
                          </w:rPr>
                          <w:t>否</w:t>
                        </w:r>
                        <w:r>
                          <w:rPr>
                            <w:rFonts w:ascii="黑体" w:hAnsi="黑体" w:cs="黑体" w:eastAsia="黑体" w:hint="default"/>
                            <w:sz w:val="20"/>
                            <w:szCs w:val="20"/>
                          </w:rPr>
                        </w:r>
                      </w:p>
                    </w:tc>
                  </w:tr>
                  <w:tr>
                    <w:trPr>
                      <w:trHeight w:val="247" w:hRule="exact"/>
                    </w:trPr>
                    <w:tc>
                      <w:tcPr>
                        <w:tcW w:w="1529" w:type="dxa"/>
                        <w:tcBorders>
                          <w:top w:val="nil" w:sz="6" w:space="0" w:color="auto"/>
                          <w:left w:val="nil" w:sz="6" w:space="0" w:color="auto"/>
                          <w:bottom w:val="nil" w:sz="6" w:space="0" w:color="auto"/>
                          <w:right w:val="nil" w:sz="6" w:space="0" w:color="auto"/>
                        </w:tcBorders>
                      </w:tcPr>
                      <w:p>
                        <w:pPr>
                          <w:pStyle w:val="TableParagraph"/>
                          <w:spacing w:line="252" w:lineRule="exact"/>
                          <w:ind w:right="85"/>
                          <w:jc w:val="right"/>
                          <w:rPr>
                            <w:rFonts w:ascii="Arial" w:hAnsi="Arial" w:cs="Arial" w:eastAsia="Arial" w:hint="default"/>
                            <w:sz w:val="20"/>
                            <w:szCs w:val="20"/>
                          </w:rPr>
                        </w:pPr>
                        <w:r>
                          <w:rPr>
                            <w:rFonts w:ascii="黑体" w:hAnsi="黑体" w:cs="黑体" w:eastAsia="黑体" w:hint="default"/>
                            <w:w w:val="95"/>
                            <w:sz w:val="20"/>
                            <w:szCs w:val="20"/>
                          </w:rPr>
                          <w:t>用友科技</w:t>
                        </w:r>
                        <w:r>
                          <w:rPr>
                            <w:rFonts w:ascii="Arial" w:hAnsi="Arial" w:cs="Arial" w:eastAsia="Arial" w:hint="default"/>
                            <w:w w:val="95"/>
                            <w:sz w:val="20"/>
                            <w:szCs w:val="20"/>
                          </w:rPr>
                          <w:t>(</w:t>
                        </w:r>
                        <w:r>
                          <w:rPr>
                            <w:rFonts w:ascii="黑体" w:hAnsi="黑体" w:cs="黑体" w:eastAsia="黑体" w:hint="default"/>
                            <w:w w:val="95"/>
                            <w:sz w:val="20"/>
                            <w:szCs w:val="20"/>
                          </w:rPr>
                          <w:t>注</w:t>
                        </w:r>
                        <w:r>
                          <w:rPr>
                            <w:rFonts w:ascii="Arial" w:hAnsi="Arial" w:cs="Arial" w:eastAsia="Arial" w:hint="default"/>
                            <w:w w:val="95"/>
                            <w:sz w:val="20"/>
                            <w:szCs w:val="20"/>
                          </w:rPr>
                          <w:t>2)</w:t>
                        </w:r>
                        <w:r>
                          <w:rPr>
                            <w:rFonts w:ascii="Arial" w:hAnsi="Arial" w:cs="Arial" w:eastAsia="Arial" w:hint="default"/>
                            <w:sz w:val="20"/>
                            <w:szCs w:val="20"/>
                          </w:rPr>
                        </w:r>
                      </w:p>
                    </w:tc>
                    <w:tc>
                      <w:tcPr>
                        <w:tcW w:w="132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23"/>
                          <w:jc w:val="right"/>
                          <w:rPr>
                            <w:rFonts w:ascii="Arial" w:hAnsi="Arial" w:cs="Arial" w:eastAsia="Arial" w:hint="default"/>
                            <w:sz w:val="20"/>
                            <w:szCs w:val="20"/>
                          </w:rPr>
                        </w:pPr>
                        <w:r>
                          <w:rPr>
                            <w:rFonts w:ascii="Arial"/>
                            <w:spacing w:val="-1"/>
                            <w:sz w:val="20"/>
                          </w:rPr>
                          <w:t>150,000,000</w:t>
                        </w:r>
                        <w:r>
                          <w:rPr>
                            <w:rFonts w:ascii="Arial"/>
                            <w:sz w:val="20"/>
                          </w:rPr>
                        </w:r>
                      </w:p>
                    </w:tc>
                    <w:tc>
                      <w:tcPr>
                        <w:tcW w:w="136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28"/>
                          <w:jc w:val="right"/>
                          <w:rPr>
                            <w:rFonts w:ascii="Arial" w:hAnsi="Arial" w:cs="Arial" w:eastAsia="Arial" w:hint="default"/>
                            <w:sz w:val="20"/>
                            <w:szCs w:val="20"/>
                          </w:rPr>
                        </w:pPr>
                        <w:r>
                          <w:rPr>
                            <w:rFonts w:ascii="Arial"/>
                            <w:spacing w:val="-1"/>
                            <w:sz w:val="20"/>
                          </w:rPr>
                          <w:t>100,000,000</w:t>
                        </w:r>
                        <w:r>
                          <w:rPr>
                            <w:rFonts w:ascii="Arial"/>
                            <w:sz w:val="20"/>
                          </w:rPr>
                        </w:r>
                      </w:p>
                    </w:tc>
                    <w:tc>
                      <w:tcPr>
                        <w:tcW w:w="1526" w:type="dxa"/>
                        <w:tcBorders>
                          <w:top w:val="nil" w:sz="6" w:space="0" w:color="auto"/>
                          <w:left w:val="nil" w:sz="6" w:space="0" w:color="auto"/>
                          <w:bottom w:val="nil" w:sz="6" w:space="0" w:color="auto"/>
                          <w:right w:val="nil" w:sz="6" w:space="0" w:color="auto"/>
                        </w:tcBorders>
                      </w:tcPr>
                      <w:p>
                        <w:pPr>
                          <w:pStyle w:val="TableParagraph"/>
                          <w:spacing w:line="252" w:lineRule="exact"/>
                          <w:ind w:right="130"/>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r>
                          <w:rPr>
                            <w:rFonts w:ascii="Arial" w:hAnsi="Arial" w:cs="Arial" w:eastAsia="Arial" w:hint="default"/>
                            <w:spacing w:val="-1"/>
                            <w:sz w:val="20"/>
                            <w:szCs w:val="20"/>
                          </w:rPr>
                          <w:t>9</w:t>
                        </w:r>
                        <w:r>
                          <w:rPr>
                            <w:rFonts w:ascii="黑体" w:hAnsi="黑体" w:cs="黑体" w:eastAsia="黑体" w:hint="default"/>
                            <w:spacing w:val="-1"/>
                            <w:sz w:val="20"/>
                            <w:szCs w:val="20"/>
                          </w:rPr>
                          <w:t>月</w:t>
                        </w:r>
                        <w:r>
                          <w:rPr>
                            <w:rFonts w:ascii="Arial" w:hAnsi="Arial" w:cs="Arial" w:eastAsia="Arial" w:hint="default"/>
                            <w:spacing w:val="-1"/>
                            <w:sz w:val="20"/>
                            <w:szCs w:val="20"/>
                          </w:rPr>
                          <w:t>6</w:t>
                        </w:r>
                        <w:r>
                          <w:rPr>
                            <w:rFonts w:ascii="黑体" w:hAnsi="黑体" w:cs="黑体" w:eastAsia="黑体" w:hint="default"/>
                            <w:spacing w:val="-1"/>
                            <w:sz w:val="20"/>
                            <w:szCs w:val="20"/>
                          </w:rPr>
                          <w:t>日</w:t>
                        </w:r>
                      </w:p>
                    </w:tc>
                    <w:tc>
                      <w:tcPr>
                        <w:tcW w:w="1547" w:type="dxa"/>
                        <w:tcBorders>
                          <w:top w:val="nil" w:sz="6" w:space="0" w:color="auto"/>
                          <w:left w:val="nil" w:sz="6" w:space="0" w:color="auto"/>
                          <w:bottom w:val="nil" w:sz="6" w:space="0" w:color="auto"/>
                          <w:right w:val="nil" w:sz="6" w:space="0" w:color="auto"/>
                        </w:tcBorders>
                      </w:tcPr>
                      <w:p>
                        <w:pPr>
                          <w:pStyle w:val="TableParagraph"/>
                          <w:spacing w:line="252" w:lineRule="exact"/>
                          <w:ind w:right="37"/>
                          <w:jc w:val="right"/>
                          <w:rPr>
                            <w:rFonts w:ascii="黑体" w:hAnsi="黑体" w:cs="黑体" w:eastAsia="黑体" w:hint="default"/>
                            <w:sz w:val="20"/>
                            <w:szCs w:val="20"/>
                          </w:rPr>
                        </w:pPr>
                        <w:r>
                          <w:rPr>
                            <w:rFonts w:ascii="Arial" w:hAnsi="Arial" w:cs="Arial" w:eastAsia="Arial" w:hint="default"/>
                            <w:spacing w:val="-1"/>
                            <w:sz w:val="20"/>
                            <w:szCs w:val="20"/>
                          </w:rPr>
                          <w:t>2013</w:t>
                        </w:r>
                        <w:r>
                          <w:rPr>
                            <w:rFonts w:ascii="黑体" w:hAnsi="黑体" w:cs="黑体" w:eastAsia="黑体" w:hint="default"/>
                            <w:spacing w:val="-1"/>
                            <w:sz w:val="20"/>
                            <w:szCs w:val="20"/>
                          </w:rPr>
                          <w:t>年</w:t>
                        </w:r>
                        <w:r>
                          <w:rPr>
                            <w:rFonts w:ascii="Arial" w:hAnsi="Arial" w:cs="Arial" w:eastAsia="Arial" w:hint="default"/>
                            <w:spacing w:val="-1"/>
                            <w:sz w:val="20"/>
                            <w:szCs w:val="20"/>
                          </w:rPr>
                          <w:t>9</w:t>
                        </w:r>
                        <w:r>
                          <w:rPr>
                            <w:rFonts w:ascii="黑体" w:hAnsi="黑体" w:cs="黑体" w:eastAsia="黑体" w:hint="default"/>
                            <w:spacing w:val="-1"/>
                            <w:sz w:val="20"/>
                            <w:szCs w:val="20"/>
                          </w:rPr>
                          <w:t>月</w:t>
                        </w:r>
                        <w:r>
                          <w:rPr>
                            <w:rFonts w:ascii="Arial" w:hAnsi="Arial" w:cs="Arial" w:eastAsia="Arial" w:hint="default"/>
                            <w:spacing w:val="-1"/>
                            <w:sz w:val="20"/>
                            <w:szCs w:val="20"/>
                          </w:rPr>
                          <w:t>6</w:t>
                        </w:r>
                        <w:r>
                          <w:rPr>
                            <w:rFonts w:ascii="黑体" w:hAnsi="黑体" w:cs="黑体" w:eastAsia="黑体" w:hint="default"/>
                            <w:spacing w:val="-1"/>
                            <w:sz w:val="20"/>
                            <w:szCs w:val="20"/>
                          </w:rPr>
                          <w:t>日</w:t>
                        </w:r>
                      </w:p>
                    </w:tc>
                    <w:tc>
                      <w:tcPr>
                        <w:tcW w:w="1036" w:type="dxa"/>
                        <w:tcBorders>
                          <w:top w:val="nil" w:sz="6" w:space="0" w:color="auto"/>
                          <w:left w:val="nil" w:sz="6" w:space="0" w:color="auto"/>
                          <w:bottom w:val="nil" w:sz="6" w:space="0" w:color="auto"/>
                          <w:right w:val="nil" w:sz="6" w:space="0" w:color="auto"/>
                        </w:tcBorders>
                      </w:tcPr>
                      <w:p>
                        <w:pPr>
                          <w:pStyle w:val="TableParagraph"/>
                          <w:spacing w:line="238" w:lineRule="exact"/>
                          <w:ind w:right="212"/>
                          <w:jc w:val="right"/>
                          <w:rPr>
                            <w:rFonts w:ascii="黑体" w:hAnsi="黑体" w:cs="黑体" w:eastAsia="黑体" w:hint="default"/>
                            <w:sz w:val="20"/>
                            <w:szCs w:val="20"/>
                          </w:rPr>
                        </w:pPr>
                        <w:r>
                          <w:rPr>
                            <w:rFonts w:ascii="黑体" w:hAnsi="黑体" w:cs="黑体" w:eastAsia="黑体" w:hint="default"/>
                            <w:w w:val="99"/>
                            <w:sz w:val="20"/>
                            <w:szCs w:val="20"/>
                          </w:rPr>
                          <w:t>否</w:t>
                        </w:r>
                        <w:r>
                          <w:rPr>
                            <w:rFonts w:ascii="黑体" w:hAnsi="黑体" w:cs="黑体" w:eastAsia="黑体" w:hint="default"/>
                            <w:sz w:val="20"/>
                            <w:szCs w:val="20"/>
                          </w:rPr>
                        </w:r>
                      </w:p>
                    </w:tc>
                  </w:tr>
                </w:tbl>
                <w:p>
                  <w:pPr/>
                </w:p>
              </w:txbxContent>
            </v:textbox>
            <w10:wrap type="none"/>
          </v:shape>
        </w:pict>
      </w:r>
      <w:r>
        <w:rPr>
          <w:rFonts w:ascii="Arial" w:hAnsi="Arial" w:cs="Arial" w:eastAsia="Arial" w:hint="default"/>
        </w:rPr>
        <w:t>(4)</w:t>
      </w:r>
      <w:r>
        <w:rPr>
          <w:rFonts w:ascii="Arial" w:hAnsi="Arial" w:cs="Arial" w:eastAsia="Arial" w:hint="default"/>
          <w:spacing w:val="29"/>
        </w:rPr>
        <w:t> </w:t>
      </w:r>
      <w:r>
        <w:rPr/>
        <w:t>关联方担保</w:t>
      </w:r>
      <w:r>
        <w:rPr>
          <w:w w:val="99"/>
        </w:rPr>
        <w:t> </w:t>
      </w:r>
      <w:r>
        <w:rPr/>
        <w:t>接受关联方担保</w:t>
      </w:r>
      <w:r>
        <w:rPr>
          <w:w w:val="99"/>
        </w:rPr>
        <w:t> </w:t>
      </w:r>
      <w:r>
        <w:rPr>
          <w:rFonts w:ascii="Arial" w:hAnsi="Arial" w:cs="Arial" w:eastAsia="Arial" w:hint="default"/>
        </w:rPr>
        <w:t>2012</w:t>
      </w:r>
      <w:r>
        <w:rPr/>
        <w:t>年</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6"/>
        <w:rPr>
          <w:rFonts w:ascii="黑体" w:hAnsi="黑体" w:cs="黑体" w:eastAsia="黑体" w:hint="default"/>
          <w:sz w:val="29"/>
          <w:szCs w:val="29"/>
        </w:rPr>
      </w:pPr>
    </w:p>
    <w:p>
      <w:pPr>
        <w:pStyle w:val="BodyText"/>
        <w:spacing w:line="248" w:lineRule="exact" w:before="37"/>
        <w:ind w:right="0"/>
        <w:jc w:val="left"/>
      </w:pPr>
      <w:r>
        <w:rPr/>
        <w:t>注</w:t>
      </w:r>
      <w:r>
        <w:rPr>
          <w:spacing w:val="-81"/>
        </w:rPr>
        <w:t> </w:t>
      </w:r>
      <w:r>
        <w:rPr>
          <w:rFonts w:ascii="Arial" w:hAnsi="Arial" w:cs="Arial" w:eastAsia="Arial" w:hint="default"/>
        </w:rPr>
        <w:t>1. </w:t>
      </w:r>
      <w:r>
        <w:rPr>
          <w:rFonts w:ascii="Arial" w:hAnsi="Arial" w:cs="Arial" w:eastAsia="Arial" w:hint="default"/>
          <w:spacing w:val="4"/>
        </w:rPr>
        <w:t> </w:t>
      </w:r>
      <w:r>
        <w:rPr>
          <w:spacing w:val="21"/>
        </w:rPr>
        <w:t>该项担保为用友科技为本集团北京银行展览路支行的短期贷款担保计人民币</w:t>
      </w:r>
    </w:p>
    <w:p>
      <w:pPr>
        <w:pStyle w:val="BodyText"/>
        <w:spacing w:line="220" w:lineRule="exact"/>
        <w:ind w:left="1378" w:right="0"/>
        <w:jc w:val="left"/>
      </w:pPr>
      <w:r>
        <w:rPr>
          <w:rFonts w:ascii="Arial" w:hAnsi="Arial" w:cs="Arial" w:eastAsia="Arial" w:hint="default"/>
        </w:rPr>
        <w:t>500,000,000</w:t>
      </w:r>
      <w:r>
        <w:rPr/>
        <w:t>元。</w:t>
      </w:r>
    </w:p>
    <w:p>
      <w:pPr>
        <w:pStyle w:val="BodyText"/>
        <w:spacing w:line="220" w:lineRule="exact"/>
        <w:ind w:right="0"/>
        <w:jc w:val="left"/>
      </w:pPr>
      <w:r>
        <w:rPr>
          <w:spacing w:val="5"/>
        </w:rPr>
        <w:t>注</w:t>
      </w:r>
      <w:r>
        <w:rPr>
          <w:rFonts w:ascii="Arial" w:hAnsi="Arial" w:cs="Arial" w:eastAsia="Arial" w:hint="default"/>
          <w:spacing w:val="5"/>
        </w:rPr>
        <w:t>2.</w:t>
      </w:r>
      <w:r>
        <w:rPr>
          <w:rFonts w:ascii="Arial" w:hAnsi="Arial" w:cs="Arial" w:eastAsia="Arial" w:hint="default"/>
          <w:spacing w:val="33"/>
        </w:rPr>
        <w:t> </w:t>
      </w:r>
      <w:r>
        <w:rPr>
          <w:spacing w:val="16"/>
        </w:rPr>
        <w:t>该担保为用友科技为本集团北京银行展览路支行一年内到期的长期借款人民币</w:t>
      </w:r>
      <w:r>
        <w:rPr/>
      </w:r>
    </w:p>
    <w:p>
      <w:pPr>
        <w:pStyle w:val="BodyText"/>
        <w:spacing w:line="248" w:lineRule="exact"/>
        <w:ind w:left="1378" w:right="0"/>
        <w:jc w:val="left"/>
      </w:pPr>
      <w:r>
        <w:rPr>
          <w:rFonts w:ascii="Arial" w:hAnsi="Arial" w:cs="Arial" w:eastAsia="Arial" w:hint="default"/>
        </w:rPr>
        <w:t>100,000,000</w:t>
      </w:r>
      <w:r>
        <w:rPr/>
        <w:t>元提供的信用担保。</w:t>
      </w:r>
    </w:p>
    <w:p>
      <w:pPr>
        <w:pStyle w:val="BodyText"/>
        <w:spacing w:line="240" w:lineRule="auto" w:before="163"/>
        <w:ind w:left="744" w:right="0"/>
        <w:jc w:val="left"/>
      </w:pPr>
      <w:r>
        <w:rPr>
          <w:rFonts w:ascii="Arial" w:hAnsi="Arial" w:cs="Arial" w:eastAsia="Arial" w:hint="default"/>
        </w:rPr>
        <w:t>2011</w:t>
      </w:r>
      <w:r>
        <w:rPr/>
        <w:t>年</w:t>
      </w:r>
    </w:p>
    <w:p>
      <w:pPr>
        <w:spacing w:line="240" w:lineRule="auto" w:before="7"/>
        <w:rPr>
          <w:rFonts w:ascii="黑体" w:hAnsi="黑体" w:cs="黑体" w:eastAsia="黑体" w:hint="default"/>
          <w:sz w:val="5"/>
          <w:szCs w:val="5"/>
        </w:rPr>
      </w:pPr>
    </w:p>
    <w:tbl>
      <w:tblPr>
        <w:tblW w:w="0" w:type="auto"/>
        <w:jc w:val="left"/>
        <w:tblInd w:w="511" w:type="dxa"/>
        <w:tblLayout w:type="fixed"/>
        <w:tblCellMar>
          <w:top w:w="0" w:type="dxa"/>
          <w:left w:w="0" w:type="dxa"/>
          <w:bottom w:w="0" w:type="dxa"/>
          <w:right w:w="0" w:type="dxa"/>
        </w:tblCellMar>
        <w:tblLook w:val="01E0"/>
      </w:tblPr>
      <w:tblGrid>
        <w:gridCol w:w="1293"/>
        <w:gridCol w:w="1565"/>
        <w:gridCol w:w="1304"/>
        <w:gridCol w:w="1553"/>
        <w:gridCol w:w="1570"/>
        <w:gridCol w:w="1050"/>
      </w:tblGrid>
      <w:tr>
        <w:trPr>
          <w:trHeight w:val="242" w:hRule="exact"/>
        </w:trPr>
        <w:tc>
          <w:tcPr>
            <w:tcW w:w="129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199" w:lineRule="exact"/>
              <w:ind w:right="157"/>
              <w:jc w:val="right"/>
              <w:rPr>
                <w:rFonts w:ascii="黑体" w:hAnsi="黑体" w:cs="黑体" w:eastAsia="黑体" w:hint="default"/>
                <w:sz w:val="20"/>
                <w:szCs w:val="20"/>
              </w:rPr>
            </w:pPr>
            <w:r>
              <w:rPr>
                <w:rFonts w:ascii="黑体" w:hAnsi="黑体" w:cs="黑体" w:eastAsia="黑体" w:hint="default"/>
                <w:w w:val="95"/>
                <w:sz w:val="20"/>
                <w:szCs w:val="20"/>
              </w:rPr>
              <w:t>担保额度</w:t>
            </w:r>
            <w:r>
              <w:rPr>
                <w:rFonts w:ascii="黑体" w:hAnsi="黑体" w:cs="黑体" w:eastAsia="黑体" w:hint="default"/>
                <w:sz w:val="20"/>
                <w:szCs w:val="20"/>
              </w:rPr>
            </w:r>
          </w:p>
        </w:tc>
        <w:tc>
          <w:tcPr>
            <w:tcW w:w="1304" w:type="dxa"/>
            <w:tcBorders>
              <w:top w:val="nil" w:sz="6" w:space="0" w:color="auto"/>
              <w:left w:val="nil" w:sz="6" w:space="0" w:color="auto"/>
              <w:bottom w:val="nil" w:sz="6" w:space="0" w:color="auto"/>
              <w:right w:val="nil" w:sz="6" w:space="0" w:color="auto"/>
            </w:tcBorders>
          </w:tcPr>
          <w:p>
            <w:pPr>
              <w:pStyle w:val="TableParagraph"/>
              <w:spacing w:line="199" w:lineRule="exact"/>
              <w:ind w:right="35"/>
              <w:jc w:val="right"/>
              <w:rPr>
                <w:rFonts w:ascii="黑体" w:hAnsi="黑体" w:cs="黑体" w:eastAsia="黑体" w:hint="default"/>
                <w:sz w:val="20"/>
                <w:szCs w:val="20"/>
              </w:rPr>
            </w:pPr>
            <w:r>
              <w:rPr>
                <w:rFonts w:ascii="黑体" w:hAnsi="黑体" w:cs="黑体" w:eastAsia="黑体" w:hint="default"/>
                <w:w w:val="95"/>
                <w:sz w:val="20"/>
                <w:szCs w:val="20"/>
              </w:rPr>
              <w:t>担保金额</w:t>
            </w:r>
            <w:r>
              <w:rPr>
                <w:rFonts w:ascii="黑体" w:hAnsi="黑体" w:cs="黑体" w:eastAsia="黑体" w:hint="default"/>
                <w:sz w:val="20"/>
                <w:szCs w:val="20"/>
              </w:rPr>
            </w:r>
          </w:p>
        </w:tc>
        <w:tc>
          <w:tcPr>
            <w:tcW w:w="1553" w:type="dxa"/>
            <w:tcBorders>
              <w:top w:val="nil" w:sz="6" w:space="0" w:color="auto"/>
              <w:left w:val="nil" w:sz="6" w:space="0" w:color="auto"/>
              <w:bottom w:val="nil" w:sz="6" w:space="0" w:color="auto"/>
              <w:right w:val="nil" w:sz="6" w:space="0" w:color="auto"/>
            </w:tcBorders>
          </w:tcPr>
          <w:p>
            <w:pPr>
              <w:pStyle w:val="TableParagraph"/>
              <w:spacing w:line="199" w:lineRule="exact"/>
              <w:ind w:right="48"/>
              <w:jc w:val="right"/>
              <w:rPr>
                <w:rFonts w:ascii="黑体" w:hAnsi="黑体" w:cs="黑体" w:eastAsia="黑体" w:hint="default"/>
                <w:sz w:val="20"/>
                <w:szCs w:val="20"/>
              </w:rPr>
            </w:pPr>
            <w:r>
              <w:rPr>
                <w:rFonts w:ascii="黑体" w:hAnsi="黑体" w:cs="黑体" w:eastAsia="黑体" w:hint="default"/>
                <w:w w:val="95"/>
                <w:sz w:val="20"/>
                <w:szCs w:val="20"/>
              </w:rPr>
              <w:t>担保</w:t>
            </w:r>
            <w:r>
              <w:rPr>
                <w:rFonts w:ascii="黑体" w:hAnsi="黑体" w:cs="黑体" w:eastAsia="黑体" w:hint="default"/>
                <w:sz w:val="20"/>
                <w:szCs w:val="20"/>
              </w:rPr>
            </w:r>
          </w:p>
        </w:tc>
        <w:tc>
          <w:tcPr>
            <w:tcW w:w="1570" w:type="dxa"/>
            <w:tcBorders>
              <w:top w:val="nil" w:sz="6" w:space="0" w:color="auto"/>
              <w:left w:val="nil" w:sz="6" w:space="0" w:color="auto"/>
              <w:bottom w:val="nil" w:sz="6" w:space="0" w:color="auto"/>
              <w:right w:val="nil" w:sz="6" w:space="0" w:color="auto"/>
            </w:tcBorders>
          </w:tcPr>
          <w:p>
            <w:pPr>
              <w:pStyle w:val="TableParagraph"/>
              <w:spacing w:line="199" w:lineRule="exact"/>
              <w:ind w:right="69"/>
              <w:jc w:val="right"/>
              <w:rPr>
                <w:rFonts w:ascii="黑体" w:hAnsi="黑体" w:cs="黑体" w:eastAsia="黑体" w:hint="default"/>
                <w:sz w:val="20"/>
                <w:szCs w:val="20"/>
              </w:rPr>
            </w:pPr>
            <w:r>
              <w:rPr>
                <w:rFonts w:ascii="黑体" w:hAnsi="黑体" w:cs="黑体" w:eastAsia="黑体" w:hint="default"/>
                <w:w w:val="95"/>
                <w:sz w:val="20"/>
                <w:szCs w:val="20"/>
              </w:rPr>
              <w:t>担保</w:t>
            </w:r>
            <w:r>
              <w:rPr>
                <w:rFonts w:ascii="黑体" w:hAnsi="黑体" w:cs="黑体" w:eastAsia="黑体" w:hint="default"/>
                <w:sz w:val="20"/>
                <w:szCs w:val="20"/>
              </w:rPr>
            </w:r>
          </w:p>
        </w:tc>
        <w:tc>
          <w:tcPr>
            <w:tcW w:w="1050" w:type="dxa"/>
            <w:tcBorders>
              <w:top w:val="nil" w:sz="6" w:space="0" w:color="auto"/>
              <w:left w:val="nil" w:sz="6" w:space="0" w:color="auto"/>
              <w:bottom w:val="nil" w:sz="6" w:space="0" w:color="auto"/>
              <w:right w:val="nil" w:sz="6" w:space="0" w:color="auto"/>
            </w:tcBorders>
          </w:tcPr>
          <w:p>
            <w:pPr>
              <w:pStyle w:val="TableParagraph"/>
              <w:spacing w:line="199" w:lineRule="exact"/>
              <w:ind w:right="198"/>
              <w:jc w:val="right"/>
              <w:rPr>
                <w:rFonts w:ascii="黑体" w:hAnsi="黑体" w:cs="黑体" w:eastAsia="黑体" w:hint="default"/>
                <w:sz w:val="20"/>
                <w:szCs w:val="20"/>
              </w:rPr>
            </w:pPr>
            <w:r>
              <w:rPr>
                <w:rFonts w:ascii="黑体" w:hAnsi="黑体" w:cs="黑体" w:eastAsia="黑体" w:hint="default"/>
                <w:w w:val="95"/>
                <w:sz w:val="20"/>
                <w:szCs w:val="20"/>
              </w:rPr>
              <w:t>担保是否</w:t>
            </w:r>
            <w:r>
              <w:rPr>
                <w:rFonts w:ascii="黑体" w:hAnsi="黑体" w:cs="黑体" w:eastAsia="黑体" w:hint="default"/>
                <w:sz w:val="20"/>
                <w:szCs w:val="20"/>
              </w:rPr>
            </w:r>
          </w:p>
        </w:tc>
      </w:tr>
      <w:tr>
        <w:trPr>
          <w:trHeight w:val="286" w:hRule="exact"/>
        </w:trPr>
        <w:tc>
          <w:tcPr>
            <w:tcW w:w="129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c>
          <w:tcPr>
            <w:tcW w:w="1304"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3" w:lineRule="exact"/>
              <w:ind w:right="48"/>
              <w:jc w:val="right"/>
              <w:rPr>
                <w:rFonts w:ascii="黑体" w:hAnsi="黑体" w:cs="黑体" w:eastAsia="黑体" w:hint="default"/>
                <w:sz w:val="20"/>
                <w:szCs w:val="20"/>
              </w:rPr>
            </w:pPr>
            <w:r>
              <w:rPr>
                <w:rFonts w:ascii="黑体" w:hAnsi="黑体" w:cs="黑体" w:eastAsia="黑体" w:hint="default"/>
                <w:w w:val="95"/>
                <w:sz w:val="20"/>
                <w:szCs w:val="20"/>
              </w:rPr>
              <w:t>起始日</w:t>
            </w:r>
            <w:r>
              <w:rPr>
                <w:rFonts w:ascii="黑体" w:hAnsi="黑体" w:cs="黑体" w:eastAsia="黑体" w:hint="default"/>
                <w:sz w:val="20"/>
                <w:szCs w:val="20"/>
              </w:rPr>
            </w:r>
          </w:p>
        </w:tc>
        <w:tc>
          <w:tcPr>
            <w:tcW w:w="1570" w:type="dxa"/>
            <w:tcBorders>
              <w:top w:val="nil" w:sz="6" w:space="0" w:color="auto"/>
              <w:left w:val="nil" w:sz="6" w:space="0" w:color="auto"/>
              <w:bottom w:val="nil" w:sz="6" w:space="0" w:color="auto"/>
              <w:right w:val="nil" w:sz="6" w:space="0" w:color="auto"/>
            </w:tcBorders>
          </w:tcPr>
          <w:p>
            <w:pPr>
              <w:pStyle w:val="TableParagraph"/>
              <w:spacing w:line="243" w:lineRule="exact"/>
              <w:ind w:right="69"/>
              <w:jc w:val="right"/>
              <w:rPr>
                <w:rFonts w:ascii="黑体" w:hAnsi="黑体" w:cs="黑体" w:eastAsia="黑体" w:hint="default"/>
                <w:sz w:val="20"/>
                <w:szCs w:val="20"/>
              </w:rPr>
            </w:pPr>
            <w:r>
              <w:rPr>
                <w:rFonts w:ascii="黑体" w:hAnsi="黑体" w:cs="黑体" w:eastAsia="黑体" w:hint="default"/>
                <w:w w:val="95"/>
                <w:sz w:val="20"/>
                <w:szCs w:val="20"/>
              </w:rPr>
              <w:t>到期日</w:t>
            </w:r>
            <w:r>
              <w:rPr>
                <w:rFonts w:ascii="黑体" w:hAnsi="黑体" w:cs="黑体" w:eastAsia="黑体" w:hint="default"/>
                <w:sz w:val="20"/>
                <w:szCs w:val="20"/>
              </w:rPr>
            </w:r>
          </w:p>
        </w:tc>
        <w:tc>
          <w:tcPr>
            <w:tcW w:w="1050" w:type="dxa"/>
            <w:tcBorders>
              <w:top w:val="nil" w:sz="6" w:space="0" w:color="auto"/>
              <w:left w:val="nil" w:sz="6" w:space="0" w:color="auto"/>
              <w:bottom w:val="nil" w:sz="6" w:space="0" w:color="auto"/>
              <w:right w:val="nil" w:sz="6" w:space="0" w:color="auto"/>
            </w:tcBorders>
          </w:tcPr>
          <w:p>
            <w:pPr>
              <w:pStyle w:val="TableParagraph"/>
              <w:spacing w:line="243" w:lineRule="exact"/>
              <w:ind w:right="198"/>
              <w:jc w:val="right"/>
              <w:rPr>
                <w:rFonts w:ascii="黑体" w:hAnsi="黑体" w:cs="黑体" w:eastAsia="黑体" w:hint="default"/>
                <w:sz w:val="20"/>
                <w:szCs w:val="20"/>
              </w:rPr>
            </w:pPr>
            <w:r>
              <w:rPr>
                <w:rFonts w:ascii="黑体" w:hAnsi="黑体" w:cs="黑体" w:eastAsia="黑体" w:hint="default"/>
                <w:w w:val="95"/>
                <w:sz w:val="20"/>
                <w:szCs w:val="20"/>
              </w:rPr>
              <w:t>履行完毕</w:t>
            </w:r>
            <w:r>
              <w:rPr>
                <w:rFonts w:ascii="黑体" w:hAnsi="黑体" w:cs="黑体" w:eastAsia="黑体" w:hint="default"/>
                <w:sz w:val="20"/>
                <w:szCs w:val="20"/>
              </w:rPr>
            </w:r>
          </w:p>
        </w:tc>
      </w:tr>
      <w:tr>
        <w:trPr>
          <w:trHeight w:val="289" w:hRule="exact"/>
        </w:trPr>
        <w:tc>
          <w:tcPr>
            <w:tcW w:w="1293" w:type="dxa"/>
            <w:tcBorders>
              <w:top w:val="nil" w:sz="6" w:space="0" w:color="auto"/>
              <w:left w:val="nil" w:sz="6" w:space="0" w:color="auto"/>
              <w:bottom w:val="nil" w:sz="6" w:space="0" w:color="auto"/>
              <w:right w:val="nil" w:sz="6" w:space="0" w:color="auto"/>
            </w:tcBorders>
          </w:tcPr>
          <w:p>
            <w:pPr>
              <w:pStyle w:val="TableParagraph"/>
              <w:spacing w:line="243" w:lineRule="exact"/>
              <w:ind w:left="200" w:right="0"/>
              <w:jc w:val="left"/>
              <w:rPr>
                <w:rFonts w:ascii="黑体" w:hAnsi="黑体" w:cs="黑体" w:eastAsia="黑体" w:hint="default"/>
                <w:sz w:val="20"/>
                <w:szCs w:val="20"/>
              </w:rPr>
            </w:pPr>
            <w:r>
              <w:rPr>
                <w:rFonts w:ascii="黑体" w:hAnsi="黑体" w:cs="黑体" w:eastAsia="黑体" w:hint="default"/>
                <w:sz w:val="20"/>
                <w:szCs w:val="20"/>
              </w:rPr>
              <w:t>用友科技</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58"/>
              <w:jc w:val="right"/>
              <w:rPr>
                <w:rFonts w:ascii="Arial" w:hAnsi="Arial" w:cs="Arial" w:eastAsia="Arial" w:hint="default"/>
                <w:sz w:val="20"/>
                <w:szCs w:val="20"/>
              </w:rPr>
            </w:pPr>
            <w:r>
              <w:rPr>
                <w:rFonts w:ascii="Arial"/>
                <w:spacing w:val="-1"/>
                <w:sz w:val="20"/>
              </w:rPr>
              <w:t>500,000,000</w:t>
            </w:r>
            <w:r>
              <w:rPr>
                <w:rFonts w:ascii="Arial"/>
                <w:sz w:val="20"/>
              </w:rPr>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4"/>
              <w:jc w:val="right"/>
              <w:rPr>
                <w:rFonts w:ascii="Arial" w:hAnsi="Arial" w:cs="Arial" w:eastAsia="Arial" w:hint="default"/>
                <w:sz w:val="20"/>
                <w:szCs w:val="20"/>
              </w:rPr>
            </w:pPr>
            <w:r>
              <w:rPr>
                <w:rFonts w:ascii="Arial"/>
                <w:spacing w:val="-1"/>
                <w:sz w:val="20"/>
              </w:rPr>
              <w:t>90,000,000</w:t>
            </w:r>
            <w:r>
              <w:rPr>
                <w:rFonts w:ascii="Arial"/>
                <w:sz w:val="20"/>
              </w:rPr>
            </w:r>
          </w:p>
        </w:tc>
        <w:tc>
          <w:tcPr>
            <w:tcW w:w="1553" w:type="dxa"/>
            <w:tcBorders>
              <w:top w:val="nil" w:sz="6" w:space="0" w:color="auto"/>
              <w:left w:val="nil" w:sz="6" w:space="0" w:color="auto"/>
              <w:bottom w:val="nil" w:sz="6" w:space="0" w:color="auto"/>
              <w:right w:val="nil" w:sz="6" w:space="0" w:color="auto"/>
            </w:tcBorders>
          </w:tcPr>
          <w:p>
            <w:pPr>
              <w:pStyle w:val="TableParagraph"/>
              <w:spacing w:line="257" w:lineRule="exact"/>
              <w:ind w:right="26"/>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r>
              <w:rPr>
                <w:rFonts w:ascii="Arial" w:hAnsi="Arial" w:cs="Arial" w:eastAsia="Arial" w:hint="default"/>
                <w:spacing w:val="-1"/>
                <w:sz w:val="20"/>
                <w:szCs w:val="20"/>
              </w:rPr>
              <w:t>8</w:t>
            </w:r>
            <w:r>
              <w:rPr>
                <w:rFonts w:ascii="黑体" w:hAnsi="黑体" w:cs="黑体" w:eastAsia="黑体" w:hint="default"/>
                <w:spacing w:val="-1"/>
                <w:sz w:val="20"/>
                <w:szCs w:val="20"/>
              </w:rPr>
              <w:t>月</w:t>
            </w:r>
            <w:r>
              <w:rPr>
                <w:rFonts w:ascii="Arial" w:hAnsi="Arial" w:cs="Arial" w:eastAsia="Arial" w:hint="default"/>
                <w:spacing w:val="-1"/>
                <w:sz w:val="20"/>
                <w:szCs w:val="20"/>
              </w:rPr>
              <w:t>3</w:t>
            </w:r>
            <w:r>
              <w:rPr>
                <w:rFonts w:ascii="黑体" w:hAnsi="黑体" w:cs="黑体" w:eastAsia="黑体" w:hint="default"/>
                <w:spacing w:val="-1"/>
                <w:sz w:val="20"/>
                <w:szCs w:val="20"/>
              </w:rPr>
              <w:t>日</w:t>
            </w:r>
          </w:p>
        </w:tc>
        <w:tc>
          <w:tcPr>
            <w:tcW w:w="1570" w:type="dxa"/>
            <w:tcBorders>
              <w:top w:val="nil" w:sz="6" w:space="0" w:color="auto"/>
              <w:left w:val="nil" w:sz="6" w:space="0" w:color="auto"/>
              <w:bottom w:val="nil" w:sz="6" w:space="0" w:color="auto"/>
              <w:right w:val="nil" w:sz="6" w:space="0" w:color="auto"/>
            </w:tcBorders>
          </w:tcPr>
          <w:p>
            <w:pPr>
              <w:pStyle w:val="TableParagraph"/>
              <w:spacing w:line="257" w:lineRule="exact"/>
              <w:ind w:right="50"/>
              <w:jc w:val="right"/>
              <w:rPr>
                <w:rFonts w:ascii="黑体" w:hAnsi="黑体" w:cs="黑体" w:eastAsia="黑体" w:hint="default"/>
                <w:sz w:val="20"/>
                <w:szCs w:val="20"/>
              </w:rPr>
            </w:pPr>
            <w:r>
              <w:rPr>
                <w:rFonts w:ascii="Arial" w:hAnsi="Arial" w:cs="Arial" w:eastAsia="Arial" w:hint="default"/>
                <w:spacing w:val="-1"/>
                <w:sz w:val="20"/>
                <w:szCs w:val="20"/>
              </w:rPr>
              <w:t>2013</w:t>
            </w:r>
            <w:r>
              <w:rPr>
                <w:rFonts w:ascii="黑体" w:hAnsi="黑体" w:cs="黑体" w:eastAsia="黑体" w:hint="default"/>
                <w:spacing w:val="-1"/>
                <w:sz w:val="20"/>
                <w:szCs w:val="20"/>
              </w:rPr>
              <w:t>年</w:t>
            </w:r>
            <w:r>
              <w:rPr>
                <w:rFonts w:ascii="Arial" w:hAnsi="Arial" w:cs="Arial" w:eastAsia="Arial" w:hint="default"/>
                <w:spacing w:val="-1"/>
                <w:sz w:val="20"/>
                <w:szCs w:val="20"/>
              </w:rPr>
              <w:t>7</w:t>
            </w:r>
            <w:r>
              <w:rPr>
                <w:rFonts w:ascii="黑体" w:hAnsi="黑体" w:cs="黑体" w:eastAsia="黑体" w:hint="default"/>
                <w:spacing w:val="-1"/>
                <w:sz w:val="20"/>
                <w:szCs w:val="20"/>
              </w:rPr>
              <w:t>月</w:t>
            </w:r>
            <w:r>
              <w:rPr>
                <w:rFonts w:ascii="Arial" w:hAnsi="Arial" w:cs="Arial" w:eastAsia="Arial" w:hint="default"/>
                <w:spacing w:val="-1"/>
                <w:sz w:val="20"/>
                <w:szCs w:val="20"/>
              </w:rPr>
              <w:t>26</w:t>
            </w:r>
            <w:r>
              <w:rPr>
                <w:rFonts w:ascii="黑体" w:hAnsi="黑体" w:cs="黑体" w:eastAsia="黑体" w:hint="default"/>
                <w:spacing w:val="-1"/>
                <w:sz w:val="20"/>
                <w:szCs w:val="20"/>
              </w:rPr>
              <w:t>日</w:t>
            </w:r>
          </w:p>
        </w:tc>
        <w:tc>
          <w:tcPr>
            <w:tcW w:w="1050" w:type="dxa"/>
            <w:tcBorders>
              <w:top w:val="nil" w:sz="6" w:space="0" w:color="auto"/>
              <w:left w:val="nil" w:sz="6" w:space="0" w:color="auto"/>
              <w:bottom w:val="nil" w:sz="6" w:space="0" w:color="auto"/>
              <w:right w:val="nil" w:sz="6" w:space="0" w:color="auto"/>
            </w:tcBorders>
          </w:tcPr>
          <w:p>
            <w:pPr>
              <w:pStyle w:val="TableParagraph"/>
              <w:spacing w:line="243" w:lineRule="exact"/>
              <w:ind w:right="212"/>
              <w:jc w:val="right"/>
              <w:rPr>
                <w:rFonts w:ascii="黑体" w:hAnsi="黑体" w:cs="黑体" w:eastAsia="黑体" w:hint="default"/>
                <w:sz w:val="20"/>
                <w:szCs w:val="20"/>
              </w:rPr>
            </w:pPr>
            <w:r>
              <w:rPr>
                <w:rFonts w:ascii="黑体" w:hAnsi="黑体" w:cs="黑体" w:eastAsia="黑体" w:hint="default"/>
                <w:w w:val="99"/>
                <w:sz w:val="20"/>
                <w:szCs w:val="20"/>
              </w:rPr>
              <w:t>否</w:t>
            </w:r>
            <w:r>
              <w:rPr>
                <w:rFonts w:ascii="黑体" w:hAnsi="黑体" w:cs="黑体" w:eastAsia="黑体" w:hint="default"/>
                <w:sz w:val="20"/>
                <w:szCs w:val="20"/>
              </w:rPr>
            </w:r>
          </w:p>
        </w:tc>
      </w:tr>
      <w:tr>
        <w:trPr>
          <w:trHeight w:val="284" w:hRule="exact"/>
        </w:trPr>
        <w:tc>
          <w:tcPr>
            <w:tcW w:w="1293" w:type="dxa"/>
            <w:tcBorders>
              <w:top w:val="nil" w:sz="6" w:space="0" w:color="auto"/>
              <w:left w:val="nil" w:sz="6" w:space="0" w:color="auto"/>
              <w:bottom w:val="nil" w:sz="6" w:space="0" w:color="auto"/>
              <w:right w:val="nil" w:sz="6" w:space="0" w:color="auto"/>
            </w:tcBorders>
          </w:tcPr>
          <w:p>
            <w:pPr>
              <w:pStyle w:val="TableParagraph"/>
              <w:spacing w:line="236" w:lineRule="exact"/>
              <w:ind w:left="200" w:right="0"/>
              <w:jc w:val="left"/>
              <w:rPr>
                <w:rFonts w:ascii="黑体" w:hAnsi="黑体" w:cs="黑体" w:eastAsia="黑体" w:hint="default"/>
                <w:sz w:val="20"/>
                <w:szCs w:val="20"/>
              </w:rPr>
            </w:pPr>
            <w:r>
              <w:rPr>
                <w:rFonts w:ascii="黑体" w:hAnsi="黑体" w:cs="黑体" w:eastAsia="黑体" w:hint="default"/>
                <w:sz w:val="20"/>
                <w:szCs w:val="20"/>
              </w:rPr>
              <w:t>用友科技</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58"/>
              <w:jc w:val="right"/>
              <w:rPr>
                <w:rFonts w:ascii="Arial" w:hAnsi="Arial" w:cs="Arial" w:eastAsia="Arial" w:hint="default"/>
                <w:sz w:val="20"/>
                <w:szCs w:val="20"/>
              </w:rPr>
            </w:pPr>
            <w:r>
              <w:rPr>
                <w:rFonts w:ascii="Arial"/>
                <w:spacing w:val="-1"/>
                <w:sz w:val="20"/>
              </w:rPr>
              <w:t>150,000,000</w:t>
            </w:r>
            <w:r>
              <w:rPr>
                <w:rFonts w:ascii="Arial"/>
                <w:sz w:val="20"/>
              </w:rPr>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4"/>
              <w:jc w:val="right"/>
              <w:rPr>
                <w:rFonts w:ascii="Arial" w:hAnsi="Arial" w:cs="Arial" w:eastAsia="Arial" w:hint="default"/>
                <w:sz w:val="20"/>
                <w:szCs w:val="20"/>
              </w:rPr>
            </w:pPr>
            <w:r>
              <w:rPr>
                <w:rFonts w:ascii="Arial"/>
                <w:spacing w:val="-1"/>
                <w:sz w:val="20"/>
              </w:rPr>
              <w:t>130,000,000</w:t>
            </w:r>
            <w:r>
              <w:rPr>
                <w:rFonts w:ascii="Arial"/>
                <w:sz w:val="20"/>
              </w:rPr>
            </w:r>
          </w:p>
        </w:tc>
        <w:tc>
          <w:tcPr>
            <w:tcW w:w="1553" w:type="dxa"/>
            <w:tcBorders>
              <w:top w:val="nil" w:sz="6" w:space="0" w:color="auto"/>
              <w:left w:val="nil" w:sz="6" w:space="0" w:color="auto"/>
              <w:bottom w:val="nil" w:sz="6" w:space="0" w:color="auto"/>
              <w:right w:val="nil" w:sz="6" w:space="0" w:color="auto"/>
            </w:tcBorders>
          </w:tcPr>
          <w:p>
            <w:pPr>
              <w:pStyle w:val="TableParagraph"/>
              <w:spacing w:line="251" w:lineRule="exact"/>
              <w:ind w:right="26"/>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r>
              <w:rPr>
                <w:rFonts w:ascii="Arial" w:hAnsi="Arial" w:cs="Arial" w:eastAsia="Arial" w:hint="default"/>
                <w:spacing w:val="-1"/>
                <w:sz w:val="20"/>
                <w:szCs w:val="20"/>
              </w:rPr>
              <w:t>9</w:t>
            </w:r>
            <w:r>
              <w:rPr>
                <w:rFonts w:ascii="黑体" w:hAnsi="黑体" w:cs="黑体" w:eastAsia="黑体" w:hint="default"/>
                <w:spacing w:val="-1"/>
                <w:sz w:val="20"/>
                <w:szCs w:val="20"/>
              </w:rPr>
              <w:t>月</w:t>
            </w:r>
            <w:r>
              <w:rPr>
                <w:rFonts w:ascii="Arial" w:hAnsi="Arial" w:cs="Arial" w:eastAsia="Arial" w:hint="default"/>
                <w:spacing w:val="-1"/>
                <w:sz w:val="20"/>
                <w:szCs w:val="20"/>
              </w:rPr>
              <w:t>6</w:t>
            </w:r>
            <w:r>
              <w:rPr>
                <w:rFonts w:ascii="黑体" w:hAnsi="黑体" w:cs="黑体" w:eastAsia="黑体" w:hint="default"/>
                <w:spacing w:val="-1"/>
                <w:sz w:val="20"/>
                <w:szCs w:val="20"/>
              </w:rPr>
              <w:t>日</w:t>
            </w:r>
          </w:p>
        </w:tc>
        <w:tc>
          <w:tcPr>
            <w:tcW w:w="1570" w:type="dxa"/>
            <w:tcBorders>
              <w:top w:val="nil" w:sz="6" w:space="0" w:color="auto"/>
              <w:left w:val="nil" w:sz="6" w:space="0" w:color="auto"/>
              <w:bottom w:val="nil" w:sz="6" w:space="0" w:color="auto"/>
              <w:right w:val="nil" w:sz="6" w:space="0" w:color="auto"/>
            </w:tcBorders>
          </w:tcPr>
          <w:p>
            <w:pPr>
              <w:pStyle w:val="TableParagraph"/>
              <w:spacing w:line="251" w:lineRule="exact"/>
              <w:ind w:right="50"/>
              <w:jc w:val="right"/>
              <w:rPr>
                <w:rFonts w:ascii="黑体" w:hAnsi="黑体" w:cs="黑体" w:eastAsia="黑体" w:hint="default"/>
                <w:sz w:val="20"/>
                <w:szCs w:val="20"/>
              </w:rPr>
            </w:pPr>
            <w:r>
              <w:rPr>
                <w:rFonts w:ascii="Arial" w:hAnsi="Arial" w:cs="Arial" w:eastAsia="Arial" w:hint="default"/>
                <w:spacing w:val="-1"/>
                <w:sz w:val="20"/>
                <w:szCs w:val="20"/>
              </w:rPr>
              <w:t>2013</w:t>
            </w:r>
            <w:r>
              <w:rPr>
                <w:rFonts w:ascii="黑体" w:hAnsi="黑体" w:cs="黑体" w:eastAsia="黑体" w:hint="default"/>
                <w:spacing w:val="-1"/>
                <w:sz w:val="20"/>
                <w:szCs w:val="20"/>
              </w:rPr>
              <w:t>年</w:t>
            </w:r>
            <w:r>
              <w:rPr>
                <w:rFonts w:ascii="Arial" w:hAnsi="Arial" w:cs="Arial" w:eastAsia="Arial" w:hint="default"/>
                <w:spacing w:val="-1"/>
                <w:sz w:val="20"/>
                <w:szCs w:val="20"/>
              </w:rPr>
              <w:t>9</w:t>
            </w:r>
            <w:r>
              <w:rPr>
                <w:rFonts w:ascii="黑体" w:hAnsi="黑体" w:cs="黑体" w:eastAsia="黑体" w:hint="default"/>
                <w:spacing w:val="-1"/>
                <w:sz w:val="20"/>
                <w:szCs w:val="20"/>
              </w:rPr>
              <w:t>月</w:t>
            </w:r>
            <w:r>
              <w:rPr>
                <w:rFonts w:ascii="Arial" w:hAnsi="Arial" w:cs="Arial" w:eastAsia="Arial" w:hint="default"/>
                <w:spacing w:val="-1"/>
                <w:sz w:val="20"/>
                <w:szCs w:val="20"/>
              </w:rPr>
              <w:t>6</w:t>
            </w:r>
            <w:r>
              <w:rPr>
                <w:rFonts w:ascii="黑体" w:hAnsi="黑体" w:cs="黑体" w:eastAsia="黑体" w:hint="default"/>
                <w:spacing w:val="-1"/>
                <w:sz w:val="20"/>
                <w:szCs w:val="20"/>
              </w:rPr>
              <w:t>日</w:t>
            </w:r>
          </w:p>
        </w:tc>
        <w:tc>
          <w:tcPr>
            <w:tcW w:w="1050" w:type="dxa"/>
            <w:tcBorders>
              <w:top w:val="nil" w:sz="6" w:space="0" w:color="auto"/>
              <w:left w:val="nil" w:sz="6" w:space="0" w:color="auto"/>
              <w:bottom w:val="nil" w:sz="6" w:space="0" w:color="auto"/>
              <w:right w:val="nil" w:sz="6" w:space="0" w:color="auto"/>
            </w:tcBorders>
          </w:tcPr>
          <w:p>
            <w:pPr>
              <w:pStyle w:val="TableParagraph"/>
              <w:spacing w:line="236" w:lineRule="exact"/>
              <w:ind w:right="212"/>
              <w:jc w:val="right"/>
              <w:rPr>
                <w:rFonts w:ascii="黑体" w:hAnsi="黑体" w:cs="黑体" w:eastAsia="黑体" w:hint="default"/>
                <w:sz w:val="20"/>
                <w:szCs w:val="20"/>
              </w:rPr>
            </w:pPr>
            <w:r>
              <w:rPr>
                <w:rFonts w:ascii="黑体" w:hAnsi="黑体" w:cs="黑体" w:eastAsia="黑体" w:hint="default"/>
                <w:w w:val="99"/>
                <w:sz w:val="20"/>
                <w:szCs w:val="20"/>
              </w:rPr>
              <w:t>否</w:t>
            </w:r>
            <w:r>
              <w:rPr>
                <w:rFonts w:ascii="黑体" w:hAnsi="黑体" w:cs="黑体" w:eastAsia="黑体" w:hint="default"/>
                <w:sz w:val="20"/>
                <w:szCs w:val="20"/>
              </w:rPr>
            </w:r>
          </w:p>
        </w:tc>
      </w:tr>
      <w:tr>
        <w:trPr>
          <w:trHeight w:val="247" w:hRule="exact"/>
        </w:trPr>
        <w:tc>
          <w:tcPr>
            <w:tcW w:w="1293"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黑体" w:hAnsi="黑体" w:cs="黑体" w:eastAsia="黑体" w:hint="default"/>
                <w:sz w:val="20"/>
                <w:szCs w:val="20"/>
              </w:rPr>
            </w:pPr>
            <w:r>
              <w:rPr>
                <w:rFonts w:ascii="黑体" w:hAnsi="黑体" w:cs="黑体" w:eastAsia="黑体" w:hint="default"/>
                <w:sz w:val="20"/>
                <w:szCs w:val="20"/>
              </w:rPr>
              <w:t>用友科技</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8"/>
              <w:jc w:val="right"/>
              <w:rPr>
                <w:rFonts w:ascii="Arial" w:hAnsi="Arial" w:cs="Arial" w:eastAsia="Arial" w:hint="default"/>
                <w:sz w:val="20"/>
                <w:szCs w:val="20"/>
              </w:rPr>
            </w:pPr>
            <w:r>
              <w:rPr>
                <w:rFonts w:ascii="Arial"/>
                <w:spacing w:val="-1"/>
                <w:sz w:val="20"/>
              </w:rPr>
              <w:t>50,000,000</w:t>
            </w:r>
            <w:r>
              <w:rPr>
                <w:rFonts w:ascii="Arial"/>
                <w:sz w:val="20"/>
              </w:rPr>
            </w:r>
          </w:p>
        </w:tc>
        <w:tc>
          <w:tcPr>
            <w:tcW w:w="130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4"/>
              <w:jc w:val="right"/>
              <w:rPr>
                <w:rFonts w:ascii="Arial" w:hAnsi="Arial" w:cs="Arial" w:eastAsia="Arial" w:hint="default"/>
                <w:sz w:val="20"/>
                <w:szCs w:val="20"/>
              </w:rPr>
            </w:pPr>
            <w:r>
              <w:rPr>
                <w:rFonts w:ascii="Arial"/>
                <w:spacing w:val="-1"/>
                <w:sz w:val="20"/>
              </w:rPr>
              <w:t>50,000,000</w:t>
            </w:r>
            <w:r>
              <w:rPr>
                <w:rFonts w:ascii="Arial"/>
                <w:sz w:val="20"/>
              </w:rPr>
            </w:r>
          </w:p>
        </w:tc>
        <w:tc>
          <w:tcPr>
            <w:tcW w:w="1553" w:type="dxa"/>
            <w:tcBorders>
              <w:top w:val="nil" w:sz="6" w:space="0" w:color="auto"/>
              <w:left w:val="nil" w:sz="6" w:space="0" w:color="auto"/>
              <w:bottom w:val="nil" w:sz="6" w:space="0" w:color="auto"/>
              <w:right w:val="nil" w:sz="6" w:space="0" w:color="auto"/>
            </w:tcBorders>
          </w:tcPr>
          <w:p>
            <w:pPr>
              <w:pStyle w:val="TableParagraph"/>
              <w:spacing w:line="252" w:lineRule="exact"/>
              <w:ind w:right="26"/>
              <w:jc w:val="right"/>
              <w:rPr>
                <w:rFonts w:ascii="黑体" w:hAnsi="黑体" w:cs="黑体" w:eastAsia="黑体" w:hint="default"/>
                <w:sz w:val="20"/>
                <w:szCs w:val="20"/>
              </w:rPr>
            </w:pPr>
            <w:r>
              <w:rPr>
                <w:rFonts w:ascii="Arial" w:hAnsi="Arial" w:cs="Arial" w:eastAsia="Arial" w:hint="default"/>
                <w:w w:val="95"/>
                <w:sz w:val="20"/>
                <w:szCs w:val="20"/>
              </w:rPr>
              <w:t>2011</w:t>
            </w:r>
            <w:r>
              <w:rPr>
                <w:rFonts w:ascii="黑体" w:hAnsi="黑体" w:cs="黑体" w:eastAsia="黑体" w:hint="default"/>
                <w:w w:val="95"/>
                <w:sz w:val="20"/>
                <w:szCs w:val="20"/>
              </w:rPr>
              <w:t>年</w:t>
            </w:r>
            <w:r>
              <w:rPr>
                <w:rFonts w:ascii="Arial" w:hAnsi="Arial" w:cs="Arial" w:eastAsia="Arial" w:hint="default"/>
                <w:w w:val="95"/>
                <w:sz w:val="20"/>
                <w:szCs w:val="20"/>
              </w:rPr>
              <w:t>10</w:t>
            </w:r>
            <w:r>
              <w:rPr>
                <w:rFonts w:ascii="黑体" w:hAnsi="黑体" w:cs="黑体" w:eastAsia="黑体" w:hint="default"/>
                <w:w w:val="95"/>
                <w:sz w:val="20"/>
                <w:szCs w:val="20"/>
              </w:rPr>
              <w:t>月</w:t>
            </w:r>
            <w:r>
              <w:rPr>
                <w:rFonts w:ascii="Arial" w:hAnsi="Arial" w:cs="Arial" w:eastAsia="Arial" w:hint="default"/>
                <w:w w:val="95"/>
                <w:sz w:val="20"/>
                <w:szCs w:val="20"/>
              </w:rPr>
              <w:t>19</w:t>
            </w:r>
            <w:r>
              <w:rPr>
                <w:rFonts w:ascii="黑体" w:hAnsi="黑体" w:cs="黑体" w:eastAsia="黑体" w:hint="default"/>
                <w:w w:val="95"/>
                <w:sz w:val="20"/>
                <w:szCs w:val="20"/>
              </w:rPr>
              <w:t>日</w:t>
            </w:r>
            <w:r>
              <w:rPr>
                <w:rFonts w:ascii="黑体" w:hAnsi="黑体" w:cs="黑体" w:eastAsia="黑体" w:hint="default"/>
                <w:sz w:val="20"/>
                <w:szCs w:val="20"/>
              </w:rPr>
            </w:r>
          </w:p>
        </w:tc>
        <w:tc>
          <w:tcPr>
            <w:tcW w:w="1570" w:type="dxa"/>
            <w:tcBorders>
              <w:top w:val="nil" w:sz="6" w:space="0" w:color="auto"/>
              <w:left w:val="nil" w:sz="6" w:space="0" w:color="auto"/>
              <w:bottom w:val="nil" w:sz="6" w:space="0" w:color="auto"/>
              <w:right w:val="nil" w:sz="6" w:space="0" w:color="auto"/>
            </w:tcBorders>
          </w:tcPr>
          <w:p>
            <w:pPr>
              <w:pStyle w:val="TableParagraph"/>
              <w:spacing w:line="252" w:lineRule="exact"/>
              <w:ind w:right="50"/>
              <w:jc w:val="right"/>
              <w:rPr>
                <w:rFonts w:ascii="黑体" w:hAnsi="黑体" w:cs="黑体" w:eastAsia="黑体" w:hint="default"/>
                <w:sz w:val="20"/>
                <w:szCs w:val="20"/>
              </w:rPr>
            </w:pPr>
            <w:r>
              <w:rPr>
                <w:rFonts w:ascii="Arial" w:hAnsi="Arial" w:cs="Arial" w:eastAsia="Arial" w:hint="default"/>
                <w:w w:val="95"/>
                <w:sz w:val="20"/>
                <w:szCs w:val="20"/>
              </w:rPr>
              <w:t>2013</w:t>
            </w:r>
            <w:r>
              <w:rPr>
                <w:rFonts w:ascii="黑体" w:hAnsi="黑体" w:cs="黑体" w:eastAsia="黑体" w:hint="default"/>
                <w:w w:val="95"/>
                <w:sz w:val="20"/>
                <w:szCs w:val="20"/>
              </w:rPr>
              <w:t>年</w:t>
            </w:r>
            <w:r>
              <w:rPr>
                <w:rFonts w:ascii="Arial" w:hAnsi="Arial" w:cs="Arial" w:eastAsia="Arial" w:hint="default"/>
                <w:w w:val="95"/>
                <w:sz w:val="20"/>
                <w:szCs w:val="20"/>
              </w:rPr>
              <w:t>11</w:t>
            </w:r>
            <w:r>
              <w:rPr>
                <w:rFonts w:ascii="黑体" w:hAnsi="黑体" w:cs="黑体" w:eastAsia="黑体" w:hint="default"/>
                <w:w w:val="95"/>
                <w:sz w:val="20"/>
                <w:szCs w:val="20"/>
              </w:rPr>
              <w:t>月</w:t>
            </w:r>
            <w:r>
              <w:rPr>
                <w:rFonts w:ascii="Arial" w:hAnsi="Arial" w:cs="Arial" w:eastAsia="Arial" w:hint="default"/>
                <w:w w:val="95"/>
                <w:sz w:val="20"/>
                <w:szCs w:val="20"/>
              </w:rPr>
              <w:t>14</w:t>
            </w:r>
            <w:r>
              <w:rPr>
                <w:rFonts w:ascii="黑体" w:hAnsi="黑体" w:cs="黑体" w:eastAsia="黑体" w:hint="default"/>
                <w:w w:val="95"/>
                <w:sz w:val="20"/>
                <w:szCs w:val="20"/>
              </w:rPr>
              <w:t>日</w:t>
            </w:r>
            <w:r>
              <w:rPr>
                <w:rFonts w:ascii="黑体" w:hAnsi="黑体" w:cs="黑体" w:eastAsia="黑体" w:hint="default"/>
                <w:sz w:val="20"/>
                <w:szCs w:val="20"/>
              </w:rPr>
            </w:r>
          </w:p>
        </w:tc>
        <w:tc>
          <w:tcPr>
            <w:tcW w:w="1050" w:type="dxa"/>
            <w:tcBorders>
              <w:top w:val="nil" w:sz="6" w:space="0" w:color="auto"/>
              <w:left w:val="nil" w:sz="6" w:space="0" w:color="auto"/>
              <w:bottom w:val="nil" w:sz="6" w:space="0" w:color="auto"/>
              <w:right w:val="nil" w:sz="6" w:space="0" w:color="auto"/>
            </w:tcBorders>
          </w:tcPr>
          <w:p>
            <w:pPr>
              <w:pStyle w:val="TableParagraph"/>
              <w:spacing w:line="238" w:lineRule="exact"/>
              <w:ind w:right="212"/>
              <w:jc w:val="right"/>
              <w:rPr>
                <w:rFonts w:ascii="黑体" w:hAnsi="黑体" w:cs="黑体" w:eastAsia="黑体" w:hint="default"/>
                <w:sz w:val="20"/>
                <w:szCs w:val="20"/>
              </w:rPr>
            </w:pPr>
            <w:r>
              <w:rPr>
                <w:rFonts w:ascii="黑体" w:hAnsi="黑体" w:cs="黑体" w:eastAsia="黑体" w:hint="default"/>
                <w:w w:val="99"/>
                <w:sz w:val="20"/>
                <w:szCs w:val="20"/>
              </w:rPr>
              <w:t>是</w:t>
            </w:r>
            <w:r>
              <w:rPr>
                <w:rFonts w:ascii="黑体" w:hAnsi="黑体" w:cs="黑体" w:eastAsia="黑体" w:hint="default"/>
                <w:sz w:val="20"/>
                <w:szCs w:val="20"/>
              </w:rPr>
            </w:r>
          </w:p>
        </w:tc>
      </w:tr>
    </w:tbl>
    <w:p>
      <w:pPr>
        <w:spacing w:line="240" w:lineRule="auto" w:before="8"/>
        <w:rPr>
          <w:rFonts w:ascii="黑体" w:hAnsi="黑体" w:cs="黑体" w:eastAsia="黑体" w:hint="default"/>
          <w:sz w:val="11"/>
          <w:szCs w:val="11"/>
        </w:rPr>
      </w:pPr>
    </w:p>
    <w:p>
      <w:pPr>
        <w:pStyle w:val="BodyText"/>
        <w:tabs>
          <w:tab w:pos="1279" w:val="left" w:leader="none"/>
        </w:tabs>
        <w:spacing w:line="240" w:lineRule="auto" w:before="37"/>
        <w:ind w:left="735" w:right="0"/>
        <w:jc w:val="left"/>
      </w:pPr>
      <w:r>
        <w:rPr>
          <w:rFonts w:ascii="Arial" w:hAnsi="Arial" w:cs="Arial" w:eastAsia="Arial" w:hint="default"/>
          <w:spacing w:val="-1"/>
        </w:rPr>
        <w:t>(5)</w:t>
        <w:tab/>
      </w:r>
      <w:r>
        <w:rPr/>
        <w:t>其他关联方交易</w:t>
      </w:r>
    </w:p>
    <w:p>
      <w:pPr>
        <w:spacing w:line="240" w:lineRule="auto" w:before="3"/>
        <w:rPr>
          <w:rFonts w:ascii="黑体" w:hAnsi="黑体" w:cs="黑体" w:eastAsia="黑体" w:hint="default"/>
          <w:sz w:val="22"/>
          <w:szCs w:val="22"/>
        </w:rPr>
      </w:pPr>
    </w:p>
    <w:tbl>
      <w:tblPr>
        <w:tblW w:w="0" w:type="auto"/>
        <w:jc w:val="left"/>
        <w:tblInd w:w="585" w:type="dxa"/>
        <w:tblLayout w:type="fixed"/>
        <w:tblCellMar>
          <w:top w:w="0" w:type="dxa"/>
          <w:left w:w="0" w:type="dxa"/>
          <w:bottom w:w="0" w:type="dxa"/>
          <w:right w:w="0" w:type="dxa"/>
        </w:tblCellMar>
        <w:tblLook w:val="01E0"/>
      </w:tblPr>
      <w:tblGrid>
        <w:gridCol w:w="2973"/>
        <w:gridCol w:w="1454"/>
        <w:gridCol w:w="1029"/>
        <w:gridCol w:w="1600"/>
        <w:gridCol w:w="1230"/>
      </w:tblGrid>
      <w:tr>
        <w:trPr>
          <w:trHeight w:val="251" w:hRule="exact"/>
        </w:trPr>
        <w:tc>
          <w:tcPr>
            <w:tcW w:w="4426" w:type="dxa"/>
            <w:gridSpan w:val="2"/>
            <w:tcBorders>
              <w:top w:val="nil" w:sz="6" w:space="0" w:color="auto"/>
              <w:left w:val="nil" w:sz="6" w:space="0" w:color="auto"/>
              <w:bottom w:val="nil" w:sz="6" w:space="0" w:color="auto"/>
              <w:right w:val="nil" w:sz="6" w:space="0" w:color="auto"/>
            </w:tcBorders>
          </w:tcPr>
          <w:p>
            <w:pPr>
              <w:pStyle w:val="TableParagraph"/>
              <w:tabs>
                <w:tab w:pos="3694" w:val="left" w:leader="none"/>
                <w:tab w:pos="5187" w:val="left" w:leader="none"/>
              </w:tabs>
              <w:spacing w:line="214" w:lineRule="exact"/>
              <w:ind w:left="2919" w:right="-761"/>
              <w:jc w:val="left"/>
              <w:rPr>
                <w:rFonts w:ascii="黑体" w:hAnsi="黑体" w:cs="黑体" w:eastAsia="黑体" w:hint="default"/>
                <w:sz w:val="20"/>
                <w:szCs w:val="20"/>
              </w:rPr>
            </w:pPr>
            <w:r>
              <w:rPr>
                <w:rFonts w:ascii="Arial" w:hAnsi="Arial" w:cs="Arial" w:eastAsia="Arial" w:hint="default"/>
                <w:w w:val="99"/>
                <w:sz w:val="20"/>
                <w:szCs w:val="20"/>
              </w:rPr>
            </w:r>
            <w:r>
              <w:rPr>
                <w:rFonts w:ascii="Arial" w:hAnsi="Arial" w:cs="Arial" w:eastAsia="Arial" w:hint="default"/>
                <w:w w:val="99"/>
                <w:sz w:val="20"/>
                <w:szCs w:val="20"/>
                <w:u w:val="single" w:color="000000"/>
              </w:rPr>
              <w:t> </w:t>
            </w:r>
            <w:r>
              <w:rPr>
                <w:rFonts w:ascii="Arial" w:hAnsi="Arial" w:cs="Arial" w:eastAsia="Arial" w:hint="default"/>
                <w:sz w:val="20"/>
                <w:szCs w:val="20"/>
                <w:u w:val="single" w:color="000000"/>
              </w:rPr>
              <w:tab/>
              <w:t>2012</w:t>
            </w:r>
            <w:r>
              <w:rPr>
                <w:rFonts w:ascii="Arial" w:hAnsi="Arial" w:cs="Arial" w:eastAsia="Arial" w:hint="default"/>
                <w:spacing w:val="-9"/>
                <w:sz w:val="20"/>
                <w:szCs w:val="20"/>
                <w:u w:val="single" w:color="000000"/>
              </w:rPr>
              <w:t> </w:t>
            </w:r>
            <w:r>
              <w:rPr>
                <w:rFonts w:ascii="黑体" w:hAnsi="黑体" w:cs="黑体" w:eastAsia="黑体" w:hint="default"/>
                <w:sz w:val="20"/>
                <w:szCs w:val="20"/>
                <w:u w:val="single" w:color="000000"/>
              </w:rPr>
              <w:t>年</w:t>
              <w:tab/>
            </w:r>
            <w:r>
              <w:rPr>
                <w:rFonts w:ascii="黑体" w:hAnsi="黑体" w:cs="黑体" w:eastAsia="黑体" w:hint="default"/>
                <w:sz w:val="20"/>
                <w:szCs w:val="20"/>
              </w:rPr>
            </w:r>
          </w:p>
        </w:tc>
        <w:tc>
          <w:tcPr>
            <w:tcW w:w="1029" w:type="dxa"/>
            <w:tcBorders>
              <w:top w:val="nil" w:sz="6" w:space="0" w:color="auto"/>
              <w:left w:val="nil" w:sz="6" w:space="0" w:color="auto"/>
              <w:bottom w:val="nil" w:sz="6" w:space="0" w:color="auto"/>
              <w:right w:val="nil" w:sz="6" w:space="0" w:color="auto"/>
            </w:tcBorders>
          </w:tcPr>
          <w:p>
            <w:pPr/>
          </w:p>
        </w:tc>
        <w:tc>
          <w:tcPr>
            <w:tcW w:w="2830" w:type="dxa"/>
            <w:gridSpan w:val="2"/>
            <w:tcBorders>
              <w:top w:val="nil" w:sz="6" w:space="0" w:color="auto"/>
              <w:left w:val="nil" w:sz="6" w:space="0" w:color="auto"/>
              <w:bottom w:val="nil" w:sz="6" w:space="0" w:color="auto"/>
              <w:right w:val="nil" w:sz="6" w:space="0" w:color="auto"/>
            </w:tcBorders>
          </w:tcPr>
          <w:p>
            <w:pPr>
              <w:pStyle w:val="TableParagraph"/>
              <w:tabs>
                <w:tab w:pos="1046" w:val="left" w:leader="none"/>
                <w:tab w:pos="2640" w:val="left" w:leader="none"/>
              </w:tabs>
              <w:spacing w:line="214" w:lineRule="exact"/>
              <w:ind w:left="168" w:right="0"/>
              <w:jc w:val="left"/>
              <w:rPr>
                <w:rFonts w:ascii="黑体" w:hAnsi="黑体" w:cs="黑体" w:eastAsia="黑体" w:hint="default"/>
                <w:sz w:val="20"/>
                <w:szCs w:val="20"/>
              </w:rPr>
            </w:pPr>
            <w:r>
              <w:rPr>
                <w:rFonts w:ascii="Arial" w:hAnsi="Arial" w:cs="Arial" w:eastAsia="Arial" w:hint="default"/>
                <w:w w:val="99"/>
                <w:sz w:val="20"/>
                <w:szCs w:val="20"/>
              </w:rPr>
            </w:r>
            <w:r>
              <w:rPr>
                <w:rFonts w:ascii="Arial" w:hAnsi="Arial" w:cs="Arial" w:eastAsia="Arial" w:hint="default"/>
                <w:w w:val="99"/>
                <w:sz w:val="20"/>
                <w:szCs w:val="20"/>
                <w:u w:val="single" w:color="000000"/>
              </w:rPr>
              <w:t> </w:t>
            </w:r>
            <w:r>
              <w:rPr>
                <w:rFonts w:ascii="Arial" w:hAnsi="Arial" w:cs="Arial" w:eastAsia="Arial" w:hint="default"/>
                <w:sz w:val="20"/>
                <w:szCs w:val="20"/>
                <w:u w:val="single" w:color="000000"/>
              </w:rPr>
              <w:tab/>
              <w:t>2011</w:t>
            </w:r>
            <w:r>
              <w:rPr>
                <w:rFonts w:ascii="Arial" w:hAnsi="Arial" w:cs="Arial" w:eastAsia="Arial" w:hint="default"/>
                <w:spacing w:val="-9"/>
                <w:sz w:val="20"/>
                <w:szCs w:val="20"/>
                <w:u w:val="single" w:color="000000"/>
              </w:rPr>
              <w:t> </w:t>
            </w:r>
            <w:r>
              <w:rPr>
                <w:rFonts w:ascii="黑体" w:hAnsi="黑体" w:cs="黑体" w:eastAsia="黑体" w:hint="default"/>
                <w:sz w:val="20"/>
                <w:szCs w:val="20"/>
                <w:u w:val="single" w:color="000000"/>
              </w:rPr>
              <w:t>年</w:t>
              <w:tab/>
            </w:r>
            <w:r>
              <w:rPr>
                <w:rFonts w:ascii="黑体" w:hAnsi="黑体" w:cs="黑体" w:eastAsia="黑体" w:hint="default"/>
                <w:sz w:val="20"/>
                <w:szCs w:val="20"/>
              </w:rPr>
            </w:r>
          </w:p>
        </w:tc>
      </w:tr>
      <w:tr>
        <w:trPr>
          <w:trHeight w:val="398" w:hRule="exact"/>
        </w:trPr>
        <w:tc>
          <w:tcPr>
            <w:tcW w:w="4426" w:type="dxa"/>
            <w:gridSpan w:val="2"/>
            <w:tcBorders>
              <w:top w:val="nil" w:sz="6" w:space="0" w:color="auto"/>
              <w:left w:val="nil" w:sz="6" w:space="0" w:color="auto"/>
              <w:bottom w:val="nil" w:sz="6" w:space="0" w:color="auto"/>
              <w:right w:val="nil" w:sz="6" w:space="0" w:color="auto"/>
            </w:tcBorders>
          </w:tcPr>
          <w:p>
            <w:pPr>
              <w:pStyle w:val="TableParagraph"/>
              <w:spacing w:line="241" w:lineRule="exact"/>
              <w:ind w:right="386"/>
              <w:jc w:val="right"/>
              <w:rPr>
                <w:rFonts w:ascii="黑体" w:hAnsi="黑体" w:cs="黑体" w:eastAsia="黑体" w:hint="default"/>
                <w:sz w:val="20"/>
                <w:szCs w:val="20"/>
              </w:rPr>
            </w:pPr>
            <w:r>
              <w:rPr>
                <w:rFonts w:ascii="黑体" w:hAnsi="黑体" w:cs="黑体" w:eastAsia="黑体" w:hint="default"/>
                <w:w w:val="95"/>
                <w:sz w:val="20"/>
                <w:szCs w:val="20"/>
              </w:rPr>
              <w:t>金额</w:t>
            </w:r>
            <w:r>
              <w:rPr>
                <w:rFonts w:ascii="黑体" w:hAnsi="黑体" w:cs="黑体" w:eastAsia="黑体" w:hint="default"/>
                <w:sz w:val="20"/>
                <w:szCs w:val="20"/>
              </w:rPr>
            </w:r>
          </w:p>
        </w:tc>
        <w:tc>
          <w:tcPr>
            <w:tcW w:w="1029" w:type="dxa"/>
            <w:tcBorders>
              <w:top w:val="nil" w:sz="6" w:space="0" w:color="auto"/>
              <w:left w:val="nil" w:sz="6" w:space="0" w:color="auto"/>
              <w:bottom w:val="nil" w:sz="6" w:space="0" w:color="auto"/>
              <w:right w:val="nil" w:sz="6" w:space="0" w:color="auto"/>
            </w:tcBorders>
          </w:tcPr>
          <w:p>
            <w:pPr>
              <w:pStyle w:val="TableParagraph"/>
              <w:spacing w:line="255" w:lineRule="exact"/>
              <w:ind w:right="279"/>
              <w:jc w:val="right"/>
              <w:rPr>
                <w:rFonts w:ascii="Arial" w:hAnsi="Arial" w:cs="Arial" w:eastAsia="Arial" w:hint="default"/>
                <w:sz w:val="20"/>
                <w:szCs w:val="20"/>
              </w:rPr>
            </w:pPr>
            <w:r>
              <w:rPr>
                <w:rFonts w:ascii="黑体" w:hAnsi="黑体" w:cs="黑体" w:eastAsia="黑体" w:hint="default"/>
                <w:w w:val="95"/>
                <w:sz w:val="20"/>
                <w:szCs w:val="20"/>
              </w:rPr>
              <w:t>比例</w:t>
            </w:r>
            <w:r>
              <w:rPr>
                <w:rFonts w:ascii="Arial" w:hAnsi="Arial" w:cs="Arial" w:eastAsia="Arial" w:hint="default"/>
                <w:w w:val="95"/>
                <w:sz w:val="20"/>
                <w:szCs w:val="20"/>
              </w:rPr>
              <w:t>(%)</w:t>
            </w:r>
            <w:r>
              <w:rPr>
                <w:rFonts w:ascii="Arial" w:hAnsi="Arial" w:cs="Arial" w:eastAsia="Arial" w:hint="default"/>
                <w:sz w:val="20"/>
                <w:szCs w:val="20"/>
              </w:rPr>
            </w:r>
          </w:p>
        </w:tc>
        <w:tc>
          <w:tcPr>
            <w:tcW w:w="1600" w:type="dxa"/>
            <w:tcBorders>
              <w:top w:val="nil" w:sz="6" w:space="0" w:color="auto"/>
              <w:left w:val="nil" w:sz="6" w:space="0" w:color="auto"/>
              <w:bottom w:val="nil" w:sz="6" w:space="0" w:color="auto"/>
              <w:right w:val="nil" w:sz="6" w:space="0" w:color="auto"/>
            </w:tcBorders>
          </w:tcPr>
          <w:p>
            <w:pPr>
              <w:pStyle w:val="TableParagraph"/>
              <w:spacing w:line="241" w:lineRule="exact"/>
              <w:ind w:right="320"/>
              <w:jc w:val="right"/>
              <w:rPr>
                <w:rFonts w:ascii="黑体" w:hAnsi="黑体" w:cs="黑体" w:eastAsia="黑体" w:hint="default"/>
                <w:sz w:val="20"/>
                <w:szCs w:val="20"/>
              </w:rPr>
            </w:pPr>
            <w:r>
              <w:rPr>
                <w:rFonts w:ascii="黑体" w:hAnsi="黑体" w:cs="黑体" w:eastAsia="黑体" w:hint="default"/>
                <w:w w:val="95"/>
                <w:sz w:val="20"/>
                <w:szCs w:val="20"/>
              </w:rPr>
              <w:t>金额</w:t>
            </w:r>
            <w:r>
              <w:rPr>
                <w:rFonts w:ascii="黑体" w:hAnsi="黑体" w:cs="黑体" w:eastAsia="黑体" w:hint="default"/>
                <w:sz w:val="20"/>
                <w:szCs w:val="20"/>
              </w:rPr>
            </w:r>
          </w:p>
        </w:tc>
        <w:tc>
          <w:tcPr>
            <w:tcW w:w="1230" w:type="dxa"/>
            <w:tcBorders>
              <w:top w:val="nil" w:sz="6" w:space="0" w:color="auto"/>
              <w:left w:val="nil" w:sz="6" w:space="0" w:color="auto"/>
              <w:bottom w:val="nil" w:sz="6" w:space="0" w:color="auto"/>
              <w:right w:val="nil" w:sz="6" w:space="0" w:color="auto"/>
            </w:tcBorders>
          </w:tcPr>
          <w:p>
            <w:pPr>
              <w:pStyle w:val="TableParagraph"/>
              <w:spacing w:line="255" w:lineRule="exact"/>
              <w:ind w:right="198"/>
              <w:jc w:val="right"/>
              <w:rPr>
                <w:rFonts w:ascii="Arial" w:hAnsi="Arial" w:cs="Arial" w:eastAsia="Arial" w:hint="default"/>
                <w:sz w:val="20"/>
                <w:szCs w:val="20"/>
              </w:rPr>
            </w:pPr>
            <w:r>
              <w:rPr>
                <w:rFonts w:ascii="黑体" w:hAnsi="黑体" w:cs="黑体" w:eastAsia="黑体" w:hint="default"/>
                <w:w w:val="95"/>
                <w:sz w:val="20"/>
                <w:szCs w:val="20"/>
              </w:rPr>
              <w:t>比例</w:t>
            </w:r>
            <w:r>
              <w:rPr>
                <w:rFonts w:ascii="Arial" w:hAnsi="Arial" w:cs="Arial" w:eastAsia="Arial" w:hint="default"/>
                <w:w w:val="95"/>
                <w:sz w:val="20"/>
                <w:szCs w:val="20"/>
              </w:rPr>
              <w:t>(%)</w:t>
            </w:r>
            <w:r>
              <w:rPr>
                <w:rFonts w:ascii="Arial" w:hAnsi="Arial" w:cs="Arial" w:eastAsia="Arial" w:hint="default"/>
                <w:sz w:val="20"/>
                <w:szCs w:val="20"/>
              </w:rPr>
            </w:r>
          </w:p>
        </w:tc>
      </w:tr>
      <w:tr>
        <w:trPr>
          <w:trHeight w:val="581" w:hRule="exact"/>
        </w:trPr>
        <w:tc>
          <w:tcPr>
            <w:tcW w:w="2973" w:type="dxa"/>
            <w:tcBorders>
              <w:top w:val="nil" w:sz="6" w:space="0" w:color="auto"/>
              <w:left w:val="nil" w:sz="6" w:space="0" w:color="auto"/>
              <w:bottom w:val="nil" w:sz="6" w:space="0" w:color="auto"/>
              <w:right w:val="nil" w:sz="6" w:space="0" w:color="auto"/>
            </w:tcBorders>
          </w:tcPr>
          <w:p>
            <w:pPr>
              <w:pStyle w:val="TableParagraph"/>
              <w:spacing w:line="218" w:lineRule="exact" w:before="144"/>
              <w:ind w:left="396" w:right="66" w:hanging="197"/>
              <w:jc w:val="left"/>
              <w:rPr>
                <w:rFonts w:ascii="黑体" w:hAnsi="黑体" w:cs="黑体" w:eastAsia="黑体" w:hint="default"/>
                <w:sz w:val="20"/>
                <w:szCs w:val="20"/>
              </w:rPr>
            </w:pPr>
            <w:r>
              <w:rPr>
                <w:rFonts w:ascii="黑体" w:hAnsi="黑体" w:cs="黑体" w:eastAsia="黑体" w:hint="default"/>
                <w:spacing w:val="-7"/>
                <w:w w:val="99"/>
                <w:sz w:val="20"/>
                <w:szCs w:val="20"/>
              </w:rPr>
              <w:t>董事、监事及关键管理人员薪酬</w:t>
            </w:r>
            <w:r>
              <w:rPr>
                <w:rFonts w:ascii="黑体" w:hAnsi="黑体" w:cs="黑体" w:eastAsia="黑体" w:hint="default"/>
                <w:spacing w:val="-88"/>
                <w:w w:val="99"/>
                <w:sz w:val="20"/>
                <w:szCs w:val="20"/>
              </w:rPr>
              <w:t> </w:t>
            </w:r>
            <w:r>
              <w:rPr>
                <w:rFonts w:ascii="黑体" w:hAnsi="黑体" w:cs="黑体" w:eastAsia="黑体" w:hint="default"/>
                <w:spacing w:val="-88"/>
                <w:w w:val="99"/>
                <w:sz w:val="20"/>
                <w:szCs w:val="20"/>
              </w:rPr>
            </w:r>
            <w:r>
              <w:rPr>
                <w:rFonts w:ascii="黑体" w:hAnsi="黑体" w:cs="黑体" w:eastAsia="黑体" w:hint="default"/>
                <w:sz w:val="20"/>
                <w:szCs w:val="20"/>
              </w:rPr>
              <w:t>支出金额</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26"/>
                <w:szCs w:val="26"/>
              </w:rPr>
            </w:pPr>
          </w:p>
          <w:p>
            <w:pPr>
              <w:pStyle w:val="TableParagraph"/>
              <w:spacing w:line="240" w:lineRule="auto"/>
              <w:ind w:left="66" w:right="0"/>
              <w:jc w:val="left"/>
              <w:rPr>
                <w:rFonts w:ascii="Arial" w:hAnsi="Arial" w:cs="Arial" w:eastAsia="Arial" w:hint="default"/>
                <w:sz w:val="20"/>
                <w:szCs w:val="20"/>
              </w:rPr>
            </w:pPr>
            <w:r>
              <w:rPr>
                <w:rFonts w:ascii="Arial"/>
                <w:w w:val="99"/>
                <w:sz w:val="20"/>
              </w:rPr>
            </w:r>
            <w:r>
              <w:rPr>
                <w:rFonts w:ascii="Arial"/>
                <w:sz w:val="20"/>
                <w:u w:val="thick" w:color="000000"/>
              </w:rPr>
              <w:t>52,474,964</w:t>
            </w:r>
            <w:r>
              <w:rPr>
                <w:rFonts w:ascii="Arial"/>
                <w:sz w:val="20"/>
              </w:rPr>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26"/>
                <w:szCs w:val="26"/>
              </w:rPr>
            </w:pPr>
          </w:p>
          <w:p>
            <w:pPr>
              <w:pStyle w:val="TableParagraph"/>
              <w:spacing w:line="240" w:lineRule="auto"/>
              <w:ind w:right="280"/>
              <w:jc w:val="right"/>
              <w:rPr>
                <w:rFonts w:ascii="Arial" w:hAnsi="Arial" w:cs="Arial" w:eastAsia="Arial" w:hint="default"/>
                <w:sz w:val="20"/>
                <w:szCs w:val="20"/>
              </w:rPr>
            </w:pPr>
            <w:r>
              <w:rPr>
                <w:rFonts w:ascii="Arial"/>
                <w:w w:val="99"/>
                <w:sz w:val="20"/>
              </w:rPr>
            </w:r>
            <w:r>
              <w:rPr>
                <w:rFonts w:ascii="Arial"/>
                <w:spacing w:val="-1"/>
                <w:w w:val="95"/>
                <w:sz w:val="20"/>
                <w:u w:val="thick" w:color="000000"/>
              </w:rPr>
              <w:t>100</w:t>
            </w:r>
            <w:r>
              <w:rPr>
                <w:rFonts w:ascii="Arial"/>
                <w:spacing w:val="-1"/>
                <w:w w:val="95"/>
                <w:sz w:val="20"/>
              </w:rPr>
            </w:r>
            <w:r>
              <w:rPr>
                <w:rFonts w:ascii="Arial"/>
                <w:sz w:val="20"/>
              </w:rPr>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26"/>
                <w:szCs w:val="26"/>
              </w:rPr>
            </w:pPr>
          </w:p>
          <w:p>
            <w:pPr>
              <w:pStyle w:val="TableParagraph"/>
              <w:spacing w:line="240" w:lineRule="auto"/>
              <w:ind w:right="321"/>
              <w:jc w:val="right"/>
              <w:rPr>
                <w:rFonts w:ascii="Arial" w:hAnsi="Arial" w:cs="Arial" w:eastAsia="Arial" w:hint="default"/>
                <w:sz w:val="20"/>
                <w:szCs w:val="20"/>
              </w:rPr>
            </w:pPr>
            <w:r>
              <w:rPr>
                <w:rFonts w:ascii="Arial"/>
                <w:w w:val="99"/>
                <w:sz w:val="20"/>
              </w:rPr>
            </w:r>
            <w:r>
              <w:rPr>
                <w:rFonts w:ascii="Arial"/>
                <w:spacing w:val="-1"/>
                <w:sz w:val="20"/>
                <w:u w:val="thick" w:color="000000"/>
              </w:rPr>
              <w:t>38,777,060</w:t>
            </w:r>
            <w:r>
              <w:rPr>
                <w:rFonts w:ascii="Arial"/>
                <w:spacing w:val="-1"/>
                <w:sz w:val="20"/>
              </w:rPr>
            </w:r>
            <w:r>
              <w:rPr>
                <w:rFonts w:ascii="Arial"/>
                <w:sz w:val="20"/>
              </w:rPr>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26"/>
                <w:szCs w:val="26"/>
              </w:rPr>
            </w:pPr>
          </w:p>
          <w:p>
            <w:pPr>
              <w:pStyle w:val="TableParagraph"/>
              <w:spacing w:line="240" w:lineRule="auto"/>
              <w:ind w:right="199"/>
              <w:jc w:val="right"/>
              <w:rPr>
                <w:rFonts w:ascii="Arial" w:hAnsi="Arial" w:cs="Arial" w:eastAsia="Arial" w:hint="default"/>
                <w:sz w:val="20"/>
                <w:szCs w:val="20"/>
              </w:rPr>
            </w:pPr>
            <w:r>
              <w:rPr>
                <w:rFonts w:ascii="Arial"/>
                <w:w w:val="99"/>
                <w:sz w:val="20"/>
              </w:rPr>
            </w:r>
            <w:r>
              <w:rPr>
                <w:rFonts w:ascii="Arial"/>
                <w:spacing w:val="-1"/>
                <w:w w:val="99"/>
                <w:sz w:val="20"/>
                <w:u w:val="thick" w:color="000000"/>
              </w:rPr>
              <w:t> </w:t>
            </w:r>
            <w:r>
              <w:rPr>
                <w:rFonts w:ascii="Arial"/>
                <w:spacing w:val="-1"/>
                <w:w w:val="95"/>
                <w:sz w:val="20"/>
                <w:u w:val="thick" w:color="000000"/>
              </w:rPr>
              <w:t>100</w:t>
            </w:r>
            <w:r>
              <w:rPr>
                <w:rFonts w:ascii="Arial"/>
                <w:spacing w:val="-1"/>
                <w:w w:val="95"/>
                <w:sz w:val="20"/>
              </w:rPr>
            </w:r>
            <w:r>
              <w:rPr>
                <w:rFonts w:ascii="Arial"/>
                <w:sz w:val="20"/>
              </w:rPr>
            </w:r>
          </w:p>
        </w:tc>
      </w:tr>
      <w:tr>
        <w:trPr>
          <w:trHeight w:val="436" w:hRule="exact"/>
        </w:trPr>
        <w:tc>
          <w:tcPr>
            <w:tcW w:w="2973" w:type="dxa"/>
            <w:tcBorders>
              <w:top w:val="nil" w:sz="6" w:space="0" w:color="auto"/>
              <w:left w:val="nil" w:sz="6" w:space="0" w:color="auto"/>
              <w:bottom w:val="nil" w:sz="6" w:space="0" w:color="auto"/>
              <w:right w:val="nil" w:sz="6" w:space="0" w:color="auto"/>
            </w:tcBorders>
          </w:tcPr>
          <w:p>
            <w:pPr>
              <w:pStyle w:val="TableParagraph"/>
              <w:spacing w:line="220" w:lineRule="exact" w:before="1"/>
              <w:ind w:left="440" w:right="64" w:hanging="240"/>
              <w:jc w:val="left"/>
              <w:rPr>
                <w:rFonts w:ascii="Arial" w:hAnsi="Arial" w:cs="Arial" w:eastAsia="Arial" w:hint="default"/>
                <w:sz w:val="20"/>
                <w:szCs w:val="20"/>
              </w:rPr>
            </w:pPr>
            <w:r>
              <w:rPr>
                <w:rFonts w:ascii="黑体" w:hAnsi="黑体" w:cs="黑体" w:eastAsia="黑体" w:hint="default"/>
                <w:sz w:val="20"/>
                <w:szCs w:val="20"/>
              </w:rPr>
              <w:t>董事、监事及关键管理人员</w:t>
            </w:r>
            <w:r>
              <w:rPr>
                <w:rFonts w:ascii="黑体" w:hAnsi="黑体" w:cs="黑体" w:eastAsia="黑体" w:hint="default"/>
                <w:w w:val="99"/>
                <w:sz w:val="20"/>
                <w:szCs w:val="20"/>
              </w:rPr>
              <w:t> </w:t>
            </w:r>
            <w:r>
              <w:rPr>
                <w:rFonts w:ascii="黑体" w:hAnsi="黑体" w:cs="黑体" w:eastAsia="黑体" w:hint="default"/>
                <w:sz w:val="20"/>
                <w:szCs w:val="20"/>
              </w:rPr>
              <w:t>获授股票期权</w:t>
            </w:r>
            <w:r>
              <w:rPr>
                <w:rFonts w:ascii="Arial" w:hAnsi="Arial" w:cs="Arial" w:eastAsia="Arial" w:hint="default"/>
                <w:sz w:val="20"/>
                <w:szCs w:val="20"/>
              </w:rPr>
              <w:t>(2,150,000</w:t>
            </w:r>
            <w:r>
              <w:rPr>
                <w:rFonts w:ascii="Arial" w:hAnsi="Arial" w:cs="Arial" w:eastAsia="Arial" w:hint="default"/>
                <w:spacing w:val="-18"/>
                <w:sz w:val="20"/>
                <w:szCs w:val="20"/>
              </w:rPr>
              <w:t> </w:t>
            </w:r>
            <w:r>
              <w:rPr>
                <w:rFonts w:ascii="黑体" w:hAnsi="黑体" w:cs="黑体" w:eastAsia="黑体" w:hint="default"/>
                <w:sz w:val="20"/>
                <w:szCs w:val="20"/>
              </w:rPr>
              <w:t>股</w:t>
            </w:r>
            <w:r>
              <w:rPr>
                <w:rFonts w:ascii="Arial" w:hAnsi="Arial" w:cs="Arial" w:eastAsia="Arial" w:hint="default"/>
                <w:sz w:val="20"/>
                <w:szCs w:val="20"/>
              </w:rPr>
              <w:t>)</w:t>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6"/>
                <w:szCs w:val="16"/>
              </w:rPr>
            </w:pPr>
          </w:p>
          <w:p>
            <w:pPr>
              <w:pStyle w:val="TableParagraph"/>
              <w:tabs>
                <w:tab w:pos="1002" w:val="left" w:leader="none"/>
              </w:tabs>
              <w:spacing w:line="240" w:lineRule="auto"/>
              <w:ind w:left="100" w:right="0"/>
              <w:jc w:val="lef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t>-</w:t>
            </w:r>
            <w:r>
              <w:rPr>
                <w:rFonts w:ascii="Arial"/>
                <w:sz w:val="20"/>
              </w:rPr>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6"/>
                <w:szCs w:val="16"/>
              </w:rPr>
            </w:pPr>
          </w:p>
          <w:p>
            <w:pPr>
              <w:pStyle w:val="TableParagraph"/>
              <w:tabs>
                <w:tab w:pos="302" w:val="left" w:leader="none"/>
              </w:tabs>
              <w:spacing w:line="240" w:lineRule="auto"/>
              <w:ind w:right="276"/>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w w:val="95"/>
                <w:sz w:val="20"/>
                <w:u w:val="thick" w:color="000000"/>
              </w:rPr>
              <w:t>-</w:t>
            </w:r>
            <w:r>
              <w:rPr>
                <w:rFonts w:ascii="Arial"/>
                <w:w w:val="95"/>
                <w:sz w:val="20"/>
              </w:rPr>
            </w:r>
            <w:r>
              <w:rPr>
                <w:rFonts w:ascii="Arial"/>
                <w:sz w:val="20"/>
              </w:rPr>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6"/>
                <w:szCs w:val="16"/>
              </w:rPr>
            </w:pPr>
          </w:p>
          <w:p>
            <w:pPr>
              <w:pStyle w:val="TableParagraph"/>
              <w:spacing w:line="240" w:lineRule="auto"/>
              <w:ind w:right="318"/>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pacing w:val="-11"/>
                <w:sz w:val="20"/>
                <w:u w:val="thick" w:color="000000"/>
              </w:rPr>
              <w:t> </w:t>
            </w:r>
            <w:r>
              <w:rPr>
                <w:rFonts w:ascii="Arial"/>
                <w:spacing w:val="-1"/>
                <w:w w:val="95"/>
                <w:sz w:val="20"/>
                <w:u w:val="thick" w:color="000000"/>
              </w:rPr>
              <w:t>6,493,000</w:t>
            </w:r>
            <w:r>
              <w:rPr>
                <w:rFonts w:ascii="Arial"/>
                <w:spacing w:val="-1"/>
                <w:w w:val="95"/>
                <w:sz w:val="20"/>
              </w:rPr>
            </w:r>
            <w:r>
              <w:rPr>
                <w:rFonts w:ascii="Arial"/>
                <w:sz w:val="20"/>
              </w:rPr>
            </w: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6"/>
                <w:szCs w:val="16"/>
              </w:rPr>
            </w:pPr>
          </w:p>
          <w:p>
            <w:pPr>
              <w:pStyle w:val="TableParagraph"/>
              <w:spacing w:line="240" w:lineRule="auto"/>
              <w:ind w:right="199"/>
              <w:jc w:val="right"/>
              <w:rPr>
                <w:rFonts w:ascii="Arial" w:hAnsi="Arial" w:cs="Arial" w:eastAsia="Arial" w:hint="default"/>
                <w:sz w:val="20"/>
                <w:szCs w:val="20"/>
              </w:rPr>
            </w:pPr>
            <w:r>
              <w:rPr>
                <w:rFonts w:ascii="Arial"/>
                <w:w w:val="99"/>
                <w:sz w:val="20"/>
              </w:rPr>
            </w:r>
            <w:r>
              <w:rPr>
                <w:rFonts w:ascii="Arial"/>
                <w:spacing w:val="-1"/>
                <w:w w:val="95"/>
                <w:sz w:val="20"/>
                <w:u w:val="thick" w:color="000000"/>
              </w:rPr>
              <w:t>9.76</w:t>
            </w:r>
            <w:r>
              <w:rPr>
                <w:rFonts w:ascii="Arial"/>
                <w:spacing w:val="-1"/>
                <w:w w:val="95"/>
                <w:sz w:val="20"/>
              </w:rPr>
            </w:r>
            <w:r>
              <w:rPr>
                <w:rFonts w:ascii="Arial"/>
                <w:sz w:val="20"/>
              </w:rPr>
            </w:r>
          </w:p>
        </w:tc>
      </w:tr>
    </w:tbl>
    <w:p>
      <w:pPr>
        <w:spacing w:line="240" w:lineRule="auto" w:before="4"/>
        <w:rPr>
          <w:rFonts w:ascii="黑体" w:hAnsi="黑体" w:cs="黑体" w:eastAsia="黑体" w:hint="default"/>
          <w:sz w:val="8"/>
          <w:szCs w:val="8"/>
        </w:rPr>
      </w:pPr>
    </w:p>
    <w:p>
      <w:pPr>
        <w:pStyle w:val="BodyText"/>
        <w:spacing w:line="220" w:lineRule="exact" w:before="95"/>
        <w:ind w:right="0"/>
        <w:jc w:val="left"/>
      </w:pPr>
      <w:r>
        <w:rPr/>
        <w:t>董事、监事及关键管理人员的年度报酬总额包括基本工资、奖金，各项补贴及股权激励所</w:t>
      </w:r>
      <w:r>
        <w:rPr>
          <w:spacing w:val="-60"/>
        </w:rPr>
        <w:t> </w:t>
      </w:r>
      <w:r>
        <w:rPr>
          <w:spacing w:val="-60"/>
        </w:rPr>
      </w:r>
      <w:r>
        <w:rPr/>
        <w:t>授予的股票期权的公允价值。该报酬总额包括本集团为其代扣代缴的个人所得税。</w:t>
      </w:r>
    </w:p>
    <w:p>
      <w:pPr>
        <w:spacing w:after="0" w:line="220" w:lineRule="exact"/>
        <w:jc w:val="left"/>
        <w:sectPr>
          <w:pgSz w:w="11910" w:h="16840"/>
          <w:pgMar w:header="825" w:footer="473" w:top="2420" w:bottom="660" w:left="1600" w:right="1280"/>
        </w:sectPr>
      </w:pPr>
    </w:p>
    <w:p>
      <w:pPr>
        <w:spacing w:line="240" w:lineRule="auto" w:before="7"/>
        <w:rPr>
          <w:rFonts w:ascii="黑体" w:hAnsi="黑体" w:cs="黑体" w:eastAsia="黑体" w:hint="default"/>
          <w:sz w:val="16"/>
          <w:szCs w:val="16"/>
        </w:rPr>
      </w:pPr>
    </w:p>
    <w:p>
      <w:pPr>
        <w:pStyle w:val="Heading6"/>
        <w:tabs>
          <w:tab w:pos="706" w:val="left" w:leader="none"/>
        </w:tabs>
        <w:spacing w:line="240" w:lineRule="auto"/>
        <w:ind w:right="0"/>
        <w:jc w:val="left"/>
        <w:rPr>
          <w:b w:val="0"/>
          <w:bCs w:val="0"/>
        </w:rPr>
      </w:pPr>
      <w:r>
        <w:rPr>
          <w:w w:val="95"/>
        </w:rPr>
        <w:t>六、</w:t>
        <w:tab/>
      </w:r>
      <w:r>
        <w:rPr/>
        <w:t>关</w:t>
      </w:r>
      <w:bookmarkStart w:name="六、  关联方关系及其交易（续）" w:id="144"/>
      <w:bookmarkEnd w:id="144"/>
      <w:r>
        <w:rPr/>
        <w:t>联方</w:t>
      </w:r>
      <w:r>
        <w:rPr/>
        <w:t>关系及其交易（续）</w:t>
      </w:r>
      <w:r>
        <w:rPr>
          <w:b w:val="0"/>
          <w:bCs w:val="0"/>
        </w:rPr>
      </w:r>
    </w:p>
    <w:p>
      <w:pPr>
        <w:spacing w:line="240" w:lineRule="auto" w:before="0"/>
        <w:rPr>
          <w:rFonts w:ascii="黑体" w:hAnsi="黑体" w:cs="黑体" w:eastAsia="黑体" w:hint="default"/>
          <w:b/>
          <w:bCs/>
          <w:sz w:val="24"/>
          <w:szCs w:val="24"/>
        </w:rPr>
      </w:pPr>
    </w:p>
    <w:p>
      <w:pPr>
        <w:pStyle w:val="Heading6"/>
        <w:tabs>
          <w:tab w:pos="807" w:val="left" w:leader="none"/>
        </w:tabs>
        <w:spacing w:line="240" w:lineRule="auto" w:before="0"/>
        <w:ind w:right="0"/>
        <w:jc w:val="left"/>
        <w:rPr>
          <w:b w:val="0"/>
          <w:bCs w:val="0"/>
        </w:rPr>
      </w:pPr>
      <w:r>
        <w:rPr>
          <w:rFonts w:ascii="Arial" w:hAnsi="Arial" w:cs="Arial" w:eastAsia="Arial" w:hint="default"/>
          <w:spacing w:val="-1"/>
        </w:rPr>
        <w:t>6.</w:t>
        <w:tab/>
      </w:r>
      <w:r>
        <w:rPr>
          <w:spacing w:val="1"/>
        </w:rPr>
        <w:t>关联方</w:t>
      </w:r>
      <w:bookmarkStart w:name="6.   关联方应收应付款项余额" w:id="145"/>
      <w:bookmarkEnd w:id="145"/>
      <w:r>
        <w:rPr>
          <w:spacing w:val="1"/>
        </w:rPr>
        <w:t>应收</w:t>
      </w:r>
      <w:r>
        <w:rPr>
          <w:spacing w:val="1"/>
        </w:rPr>
        <w:t>应付款项余额</w:t>
      </w:r>
      <w:r>
        <w:rPr>
          <w:b w:val="0"/>
          <w:bCs w:val="0"/>
        </w:rPr>
      </w:r>
    </w:p>
    <w:p>
      <w:pPr>
        <w:spacing w:line="240" w:lineRule="auto" w:before="2"/>
        <w:rPr>
          <w:rFonts w:ascii="黑体" w:hAnsi="黑体" w:cs="黑体" w:eastAsia="黑体" w:hint="default"/>
          <w:b/>
          <w:bCs/>
          <w:sz w:val="29"/>
          <w:szCs w:val="29"/>
        </w:rPr>
      </w:pPr>
    </w:p>
    <w:tbl>
      <w:tblPr>
        <w:tblW w:w="0" w:type="auto"/>
        <w:jc w:val="left"/>
        <w:tblInd w:w="607" w:type="dxa"/>
        <w:tblLayout w:type="fixed"/>
        <w:tblCellMar>
          <w:top w:w="0" w:type="dxa"/>
          <w:left w:w="0" w:type="dxa"/>
          <w:bottom w:w="0" w:type="dxa"/>
          <w:right w:w="0" w:type="dxa"/>
        </w:tblCellMar>
        <w:tblLook w:val="01E0"/>
      </w:tblPr>
      <w:tblGrid>
        <w:gridCol w:w="2048"/>
        <w:gridCol w:w="1430"/>
        <w:gridCol w:w="1410"/>
        <w:gridCol w:w="1421"/>
        <w:gridCol w:w="1180"/>
      </w:tblGrid>
      <w:tr>
        <w:trPr>
          <w:trHeight w:val="220" w:hRule="exact"/>
        </w:trPr>
        <w:tc>
          <w:tcPr>
            <w:tcW w:w="4888" w:type="dxa"/>
            <w:gridSpan w:val="3"/>
            <w:tcBorders>
              <w:top w:val="nil" w:sz="6" w:space="0" w:color="auto"/>
              <w:left w:val="nil" w:sz="6" w:space="0" w:color="auto"/>
              <w:bottom w:val="nil" w:sz="6" w:space="0" w:color="auto"/>
              <w:right w:val="nil" w:sz="6" w:space="0" w:color="auto"/>
            </w:tcBorders>
          </w:tcPr>
          <w:p>
            <w:pPr>
              <w:pStyle w:val="TableParagraph"/>
              <w:tabs>
                <w:tab w:pos="3007" w:val="left" w:leader="none"/>
                <w:tab w:pos="4457" w:val="left" w:leader="none"/>
              </w:tabs>
              <w:spacing w:line="214" w:lineRule="exact"/>
              <w:ind w:left="2189" w:right="0"/>
              <w:jc w:val="left"/>
              <w:rPr>
                <w:rFonts w:ascii="黑体" w:hAnsi="黑体" w:cs="黑体" w:eastAsia="黑体" w:hint="default"/>
                <w:sz w:val="20"/>
                <w:szCs w:val="20"/>
              </w:rPr>
            </w:pPr>
            <w:r>
              <w:rPr>
                <w:rFonts w:ascii="Arial" w:hAnsi="Arial" w:cs="Arial" w:eastAsia="Arial" w:hint="default"/>
                <w:w w:val="99"/>
                <w:sz w:val="20"/>
                <w:szCs w:val="20"/>
              </w:rPr>
            </w:r>
            <w:r>
              <w:rPr>
                <w:rFonts w:ascii="Arial" w:hAnsi="Arial" w:cs="Arial" w:eastAsia="Arial" w:hint="default"/>
                <w:w w:val="99"/>
                <w:sz w:val="20"/>
                <w:szCs w:val="20"/>
                <w:u w:val="single" w:color="000000"/>
              </w:rPr>
              <w:t> </w:t>
            </w:r>
            <w:r>
              <w:rPr>
                <w:rFonts w:ascii="Arial" w:hAnsi="Arial" w:cs="Arial" w:eastAsia="Arial" w:hint="default"/>
                <w:sz w:val="20"/>
                <w:szCs w:val="20"/>
                <w:u w:val="single" w:color="000000"/>
              </w:rPr>
              <w:tab/>
              <w:t>2012</w:t>
            </w:r>
            <w:r>
              <w:rPr>
                <w:rFonts w:ascii="Arial" w:hAnsi="Arial" w:cs="Arial" w:eastAsia="Arial" w:hint="default"/>
                <w:spacing w:val="-9"/>
                <w:sz w:val="20"/>
                <w:szCs w:val="20"/>
                <w:u w:val="single" w:color="000000"/>
              </w:rPr>
              <w:t> </w:t>
            </w:r>
            <w:r>
              <w:rPr>
                <w:rFonts w:ascii="黑体" w:hAnsi="黑体" w:cs="黑体" w:eastAsia="黑体" w:hint="default"/>
                <w:sz w:val="20"/>
                <w:szCs w:val="20"/>
                <w:u w:val="single" w:color="000000"/>
              </w:rPr>
              <w:t>年</w:t>
              <w:tab/>
            </w:r>
            <w:r>
              <w:rPr>
                <w:rFonts w:ascii="黑体" w:hAnsi="黑体" w:cs="黑体" w:eastAsia="黑体" w:hint="default"/>
                <w:sz w:val="20"/>
                <w:szCs w:val="20"/>
              </w:rPr>
            </w:r>
          </w:p>
        </w:tc>
        <w:tc>
          <w:tcPr>
            <w:tcW w:w="2601" w:type="dxa"/>
            <w:gridSpan w:val="2"/>
            <w:tcBorders>
              <w:top w:val="nil" w:sz="6" w:space="0" w:color="auto"/>
              <w:left w:val="nil" w:sz="6" w:space="0" w:color="auto"/>
              <w:bottom w:val="nil" w:sz="6" w:space="0" w:color="auto"/>
              <w:right w:val="nil" w:sz="6" w:space="0" w:color="auto"/>
            </w:tcBorders>
          </w:tcPr>
          <w:p>
            <w:pPr>
              <w:pStyle w:val="TableParagraph"/>
              <w:tabs>
                <w:tab w:pos="956" w:val="left" w:leader="none"/>
                <w:tab w:pos="2411" w:val="left" w:leader="none"/>
              </w:tabs>
              <w:spacing w:line="214" w:lineRule="exact"/>
              <w:ind w:left="136" w:right="0"/>
              <w:jc w:val="left"/>
              <w:rPr>
                <w:rFonts w:ascii="黑体" w:hAnsi="黑体" w:cs="黑体" w:eastAsia="黑体" w:hint="default"/>
                <w:sz w:val="20"/>
                <w:szCs w:val="20"/>
              </w:rPr>
            </w:pPr>
            <w:r>
              <w:rPr>
                <w:rFonts w:ascii="Arial" w:hAnsi="Arial" w:cs="Arial" w:eastAsia="Arial" w:hint="default"/>
                <w:w w:val="99"/>
                <w:sz w:val="20"/>
                <w:szCs w:val="20"/>
              </w:rPr>
            </w:r>
            <w:r>
              <w:rPr>
                <w:rFonts w:ascii="Arial" w:hAnsi="Arial" w:cs="Arial" w:eastAsia="Arial" w:hint="default"/>
                <w:w w:val="99"/>
                <w:sz w:val="20"/>
                <w:szCs w:val="20"/>
                <w:u w:val="single" w:color="000000"/>
              </w:rPr>
              <w:t> </w:t>
            </w:r>
            <w:r>
              <w:rPr>
                <w:rFonts w:ascii="Arial" w:hAnsi="Arial" w:cs="Arial" w:eastAsia="Arial" w:hint="default"/>
                <w:sz w:val="20"/>
                <w:szCs w:val="20"/>
                <w:u w:val="single" w:color="000000"/>
              </w:rPr>
              <w:tab/>
              <w:t>2011</w:t>
            </w:r>
            <w:r>
              <w:rPr>
                <w:rFonts w:ascii="Arial" w:hAnsi="Arial" w:cs="Arial" w:eastAsia="Arial" w:hint="default"/>
                <w:spacing w:val="-9"/>
                <w:sz w:val="20"/>
                <w:szCs w:val="20"/>
                <w:u w:val="single" w:color="000000"/>
              </w:rPr>
              <w:t> </w:t>
            </w:r>
            <w:r>
              <w:rPr>
                <w:rFonts w:ascii="黑体" w:hAnsi="黑体" w:cs="黑体" w:eastAsia="黑体" w:hint="default"/>
                <w:sz w:val="20"/>
                <w:szCs w:val="20"/>
                <w:u w:val="single" w:color="000000"/>
              </w:rPr>
              <w:t>年</w:t>
              <w:tab/>
            </w:r>
            <w:r>
              <w:rPr>
                <w:rFonts w:ascii="黑体" w:hAnsi="黑体" w:cs="黑体" w:eastAsia="黑体" w:hint="default"/>
                <w:sz w:val="20"/>
                <w:szCs w:val="20"/>
              </w:rPr>
            </w:r>
          </w:p>
        </w:tc>
      </w:tr>
      <w:tr>
        <w:trPr>
          <w:trHeight w:val="330" w:hRule="exact"/>
        </w:trPr>
        <w:tc>
          <w:tcPr>
            <w:tcW w:w="2048"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10" w:lineRule="exact"/>
              <w:ind w:right="168"/>
              <w:jc w:val="right"/>
              <w:rPr>
                <w:rFonts w:ascii="黑体" w:hAnsi="黑体" w:cs="黑体" w:eastAsia="黑体" w:hint="default"/>
                <w:sz w:val="20"/>
                <w:szCs w:val="20"/>
              </w:rPr>
            </w:pPr>
            <w:r>
              <w:rPr>
                <w:rFonts w:ascii="黑体" w:hAnsi="黑体" w:cs="黑体" w:eastAsia="黑体" w:hint="default"/>
                <w:w w:val="95"/>
                <w:sz w:val="20"/>
                <w:szCs w:val="20"/>
              </w:rPr>
              <w:t>账面余额</w:t>
            </w:r>
            <w:r>
              <w:rPr>
                <w:rFonts w:ascii="黑体" w:hAnsi="黑体" w:cs="黑体" w:eastAsia="黑体" w:hint="default"/>
                <w:sz w:val="20"/>
                <w:szCs w:val="20"/>
              </w:rPr>
            </w:r>
          </w:p>
        </w:tc>
        <w:tc>
          <w:tcPr>
            <w:tcW w:w="1410" w:type="dxa"/>
            <w:tcBorders>
              <w:top w:val="nil" w:sz="6" w:space="0" w:color="auto"/>
              <w:left w:val="nil" w:sz="6" w:space="0" w:color="auto"/>
              <w:bottom w:val="nil" w:sz="6" w:space="0" w:color="auto"/>
              <w:right w:val="nil" w:sz="6" w:space="0" w:color="auto"/>
            </w:tcBorders>
          </w:tcPr>
          <w:p>
            <w:pPr>
              <w:pStyle w:val="TableParagraph"/>
              <w:spacing w:line="210" w:lineRule="exact"/>
              <w:ind w:right="442"/>
              <w:jc w:val="right"/>
              <w:rPr>
                <w:rFonts w:ascii="黑体" w:hAnsi="黑体" w:cs="黑体" w:eastAsia="黑体" w:hint="default"/>
                <w:sz w:val="20"/>
                <w:szCs w:val="20"/>
              </w:rPr>
            </w:pPr>
            <w:r>
              <w:rPr>
                <w:rFonts w:ascii="黑体" w:hAnsi="黑体" w:cs="黑体" w:eastAsia="黑体" w:hint="default"/>
                <w:w w:val="95"/>
                <w:sz w:val="20"/>
                <w:szCs w:val="20"/>
              </w:rPr>
              <w:t>坏账准备</w:t>
            </w:r>
            <w:r>
              <w:rPr>
                <w:rFonts w:ascii="黑体" w:hAnsi="黑体" w:cs="黑体" w:eastAsia="黑体" w:hint="default"/>
                <w:sz w:val="20"/>
                <w:szCs w:val="20"/>
              </w:rPr>
            </w:r>
          </w:p>
        </w:tc>
        <w:tc>
          <w:tcPr>
            <w:tcW w:w="1421" w:type="dxa"/>
            <w:tcBorders>
              <w:top w:val="nil" w:sz="6" w:space="0" w:color="auto"/>
              <w:left w:val="nil" w:sz="6" w:space="0" w:color="auto"/>
              <w:bottom w:val="nil" w:sz="6" w:space="0" w:color="auto"/>
              <w:right w:val="nil" w:sz="6" w:space="0" w:color="auto"/>
            </w:tcBorders>
          </w:tcPr>
          <w:p>
            <w:pPr>
              <w:pStyle w:val="TableParagraph"/>
              <w:spacing w:line="210" w:lineRule="exact"/>
              <w:ind w:right="181"/>
              <w:jc w:val="right"/>
              <w:rPr>
                <w:rFonts w:ascii="黑体" w:hAnsi="黑体" w:cs="黑体" w:eastAsia="黑体" w:hint="default"/>
                <w:sz w:val="20"/>
                <w:szCs w:val="20"/>
              </w:rPr>
            </w:pPr>
            <w:r>
              <w:rPr>
                <w:rFonts w:ascii="黑体" w:hAnsi="黑体" w:cs="黑体" w:eastAsia="黑体" w:hint="default"/>
                <w:w w:val="95"/>
                <w:sz w:val="20"/>
                <w:szCs w:val="20"/>
              </w:rPr>
              <w:t>账面余额</w:t>
            </w:r>
            <w:r>
              <w:rPr>
                <w:rFonts w:ascii="黑体" w:hAnsi="黑体" w:cs="黑体" w:eastAsia="黑体" w:hint="default"/>
                <w:sz w:val="20"/>
                <w:szCs w:val="20"/>
              </w:rPr>
            </w:r>
          </w:p>
        </w:tc>
        <w:tc>
          <w:tcPr>
            <w:tcW w:w="1180" w:type="dxa"/>
            <w:tcBorders>
              <w:top w:val="nil" w:sz="6" w:space="0" w:color="auto"/>
              <w:left w:val="nil" w:sz="6" w:space="0" w:color="auto"/>
              <w:bottom w:val="nil" w:sz="6" w:space="0" w:color="auto"/>
              <w:right w:val="nil" w:sz="6" w:space="0" w:color="auto"/>
            </w:tcBorders>
          </w:tcPr>
          <w:p>
            <w:pPr>
              <w:pStyle w:val="TableParagraph"/>
              <w:spacing w:line="210" w:lineRule="exact"/>
              <w:ind w:right="201"/>
              <w:jc w:val="right"/>
              <w:rPr>
                <w:rFonts w:ascii="黑体" w:hAnsi="黑体" w:cs="黑体" w:eastAsia="黑体" w:hint="default"/>
                <w:sz w:val="20"/>
                <w:szCs w:val="20"/>
              </w:rPr>
            </w:pPr>
            <w:r>
              <w:rPr>
                <w:rFonts w:ascii="黑体" w:hAnsi="黑体" w:cs="黑体" w:eastAsia="黑体" w:hint="default"/>
                <w:w w:val="95"/>
                <w:sz w:val="20"/>
                <w:szCs w:val="20"/>
              </w:rPr>
              <w:t>坏账准备</w:t>
            </w:r>
            <w:r>
              <w:rPr>
                <w:rFonts w:ascii="黑体" w:hAnsi="黑体" w:cs="黑体" w:eastAsia="黑体" w:hint="default"/>
                <w:sz w:val="20"/>
                <w:szCs w:val="20"/>
              </w:rPr>
            </w:r>
          </w:p>
        </w:tc>
      </w:tr>
      <w:tr>
        <w:trPr>
          <w:trHeight w:val="330" w:hRule="exact"/>
        </w:trPr>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00" w:right="0"/>
              <w:jc w:val="left"/>
              <w:rPr>
                <w:rFonts w:ascii="黑体" w:hAnsi="黑体" w:cs="黑体" w:eastAsia="黑体" w:hint="default"/>
                <w:sz w:val="20"/>
                <w:szCs w:val="20"/>
              </w:rPr>
            </w:pPr>
            <w:r>
              <w:rPr>
                <w:rFonts w:ascii="黑体" w:hAnsi="黑体" w:cs="黑体" w:eastAsia="黑体" w:hint="default"/>
                <w:sz w:val="20"/>
                <w:szCs w:val="20"/>
              </w:rPr>
              <w:t>应收账款</w:t>
            </w:r>
          </w:p>
        </w:tc>
        <w:tc>
          <w:tcPr>
            <w:tcW w:w="1430"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r>
      <w:tr>
        <w:trPr>
          <w:trHeight w:val="229" w:hRule="exact"/>
        </w:trPr>
        <w:tc>
          <w:tcPr>
            <w:tcW w:w="2048" w:type="dxa"/>
            <w:tcBorders>
              <w:top w:val="nil" w:sz="6" w:space="0" w:color="auto"/>
              <w:left w:val="nil" w:sz="6" w:space="0" w:color="auto"/>
              <w:bottom w:val="nil" w:sz="6" w:space="0" w:color="auto"/>
              <w:right w:val="nil" w:sz="6" w:space="0" w:color="auto"/>
            </w:tcBorders>
          </w:tcPr>
          <w:p>
            <w:pPr>
              <w:pStyle w:val="TableParagraph"/>
              <w:spacing w:line="210" w:lineRule="exact"/>
              <w:ind w:left="200" w:right="0"/>
              <w:jc w:val="left"/>
              <w:rPr>
                <w:rFonts w:ascii="黑体" w:hAnsi="黑体" w:cs="黑体" w:eastAsia="黑体" w:hint="default"/>
                <w:sz w:val="20"/>
                <w:szCs w:val="20"/>
              </w:rPr>
            </w:pPr>
            <w:r>
              <w:rPr>
                <w:rFonts w:ascii="黑体" w:hAnsi="黑体" w:cs="黑体" w:eastAsia="黑体" w:hint="default"/>
                <w:sz w:val="20"/>
                <w:szCs w:val="20"/>
              </w:rPr>
              <w:t>致远协创</w:t>
            </w:r>
          </w:p>
        </w:tc>
        <w:tc>
          <w:tcPr>
            <w:tcW w:w="1430" w:type="dxa"/>
            <w:tcBorders>
              <w:top w:val="nil" w:sz="6" w:space="0" w:color="auto"/>
              <w:left w:val="nil" w:sz="6" w:space="0" w:color="auto"/>
              <w:bottom w:val="nil" w:sz="6" w:space="0" w:color="auto"/>
              <w:right w:val="nil" w:sz="6" w:space="0" w:color="auto"/>
            </w:tcBorders>
          </w:tcPr>
          <w:p>
            <w:pPr>
              <w:pStyle w:val="TableParagraph"/>
              <w:spacing w:line="224" w:lineRule="exact"/>
              <w:ind w:right="168"/>
              <w:jc w:val="right"/>
              <w:rPr>
                <w:rFonts w:ascii="Arial" w:hAnsi="Arial" w:cs="Arial" w:eastAsia="Arial" w:hint="default"/>
                <w:sz w:val="20"/>
                <w:szCs w:val="20"/>
              </w:rPr>
            </w:pPr>
            <w:r>
              <w:rPr>
                <w:rFonts w:ascii="Arial"/>
                <w:w w:val="99"/>
                <w:sz w:val="20"/>
              </w:rPr>
            </w:r>
            <w:r>
              <w:rPr>
                <w:rFonts w:ascii="Arial"/>
                <w:spacing w:val="-1"/>
                <w:sz w:val="20"/>
                <w:u w:val="single" w:color="000000"/>
              </w:rPr>
              <w:t>95,000</w:t>
            </w:r>
            <w:r>
              <w:rPr>
                <w:rFonts w:ascii="Arial"/>
                <w:spacing w:val="-1"/>
                <w:sz w:val="20"/>
              </w:rPr>
            </w:r>
            <w:r>
              <w:rPr>
                <w:rFonts w:ascii="Arial"/>
                <w:sz w:val="20"/>
              </w:rPr>
            </w:r>
          </w:p>
        </w:tc>
        <w:tc>
          <w:tcPr>
            <w:tcW w:w="1410"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24" w:lineRule="exact"/>
              <w:ind w:right="43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421" w:type="dxa"/>
            <w:tcBorders>
              <w:top w:val="nil" w:sz="6" w:space="0" w:color="auto"/>
              <w:left w:val="nil" w:sz="6" w:space="0" w:color="auto"/>
              <w:bottom w:val="nil" w:sz="6" w:space="0" w:color="auto"/>
              <w:right w:val="nil" w:sz="6" w:space="0" w:color="auto"/>
            </w:tcBorders>
          </w:tcPr>
          <w:p>
            <w:pPr>
              <w:pStyle w:val="TableParagraph"/>
              <w:spacing w:line="224" w:lineRule="exact"/>
              <w:ind w:right="181"/>
              <w:jc w:val="right"/>
              <w:rPr>
                <w:rFonts w:ascii="Arial" w:hAnsi="Arial" w:cs="Arial" w:eastAsia="Arial" w:hint="default"/>
                <w:sz w:val="20"/>
                <w:szCs w:val="20"/>
              </w:rPr>
            </w:pPr>
            <w:r>
              <w:rPr>
                <w:rFonts w:ascii="Arial"/>
                <w:w w:val="99"/>
                <w:sz w:val="20"/>
              </w:rPr>
            </w:r>
            <w:r>
              <w:rPr>
                <w:rFonts w:ascii="Arial"/>
                <w:spacing w:val="-1"/>
                <w:w w:val="95"/>
                <w:sz w:val="20"/>
                <w:u w:val="single" w:color="000000"/>
              </w:rPr>
              <w:t>104,920</w:t>
            </w:r>
            <w:r>
              <w:rPr>
                <w:rFonts w:ascii="Arial"/>
                <w:spacing w:val="-1"/>
                <w:w w:val="95"/>
                <w:sz w:val="20"/>
              </w:rPr>
            </w:r>
            <w:r>
              <w:rPr>
                <w:rFonts w:ascii="Arial"/>
                <w:sz w:val="20"/>
              </w:rPr>
            </w:r>
          </w:p>
        </w:tc>
        <w:tc>
          <w:tcPr>
            <w:tcW w:w="1180"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24" w:lineRule="exact"/>
              <w:ind w:right="19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r>
      <w:tr>
        <w:trPr>
          <w:trHeight w:val="325" w:hRule="exact"/>
        </w:trPr>
        <w:tc>
          <w:tcPr>
            <w:tcW w:w="2048"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13" w:lineRule="exact"/>
              <w:ind w:right="168"/>
              <w:jc w:val="right"/>
              <w:rPr>
                <w:rFonts w:ascii="Arial" w:hAnsi="Arial" w:cs="Arial" w:eastAsia="Arial" w:hint="default"/>
                <w:sz w:val="20"/>
                <w:szCs w:val="20"/>
              </w:rPr>
            </w:pPr>
            <w:r>
              <w:rPr>
                <w:rFonts w:ascii="Arial"/>
                <w:w w:val="99"/>
                <w:sz w:val="20"/>
              </w:rPr>
            </w:r>
            <w:r>
              <w:rPr>
                <w:rFonts w:ascii="Arial"/>
                <w:spacing w:val="-1"/>
                <w:sz w:val="20"/>
                <w:u w:val="thick" w:color="000000"/>
              </w:rPr>
              <w:t>95,000</w:t>
            </w:r>
            <w:r>
              <w:rPr>
                <w:rFonts w:ascii="Arial"/>
                <w:spacing w:val="-1"/>
                <w:sz w:val="20"/>
              </w:rPr>
            </w:r>
            <w:r>
              <w:rPr>
                <w:rFonts w:ascii="Arial"/>
                <w:sz w:val="20"/>
              </w:rPr>
            </w:r>
          </w:p>
        </w:tc>
        <w:tc>
          <w:tcPr>
            <w:tcW w:w="1410"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13" w:lineRule="exact"/>
              <w:ind w:right="438"/>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w w:val="95"/>
                <w:sz w:val="20"/>
                <w:u w:val="thick" w:color="000000"/>
              </w:rPr>
              <w:t>-</w:t>
            </w:r>
            <w:r>
              <w:rPr>
                <w:rFonts w:ascii="Arial"/>
                <w:w w:val="95"/>
                <w:sz w:val="20"/>
              </w:rPr>
            </w:r>
            <w:r>
              <w:rPr>
                <w:rFonts w:ascii="Arial"/>
                <w:sz w:val="20"/>
              </w:rPr>
            </w:r>
          </w:p>
        </w:tc>
        <w:tc>
          <w:tcPr>
            <w:tcW w:w="1421" w:type="dxa"/>
            <w:tcBorders>
              <w:top w:val="nil" w:sz="6" w:space="0" w:color="auto"/>
              <w:left w:val="nil" w:sz="6" w:space="0" w:color="auto"/>
              <w:bottom w:val="nil" w:sz="6" w:space="0" w:color="auto"/>
              <w:right w:val="nil" w:sz="6" w:space="0" w:color="auto"/>
            </w:tcBorders>
          </w:tcPr>
          <w:p>
            <w:pPr>
              <w:pStyle w:val="TableParagraph"/>
              <w:spacing w:line="213" w:lineRule="exact"/>
              <w:ind w:right="181"/>
              <w:jc w:val="right"/>
              <w:rPr>
                <w:rFonts w:ascii="Arial" w:hAnsi="Arial" w:cs="Arial" w:eastAsia="Arial" w:hint="default"/>
                <w:sz w:val="20"/>
                <w:szCs w:val="20"/>
              </w:rPr>
            </w:pPr>
            <w:r>
              <w:rPr>
                <w:rFonts w:ascii="Arial"/>
                <w:w w:val="99"/>
                <w:sz w:val="20"/>
              </w:rPr>
            </w:r>
            <w:r>
              <w:rPr>
                <w:rFonts w:ascii="Arial"/>
                <w:spacing w:val="-1"/>
                <w:w w:val="95"/>
                <w:sz w:val="20"/>
                <w:u w:val="thick" w:color="000000"/>
              </w:rPr>
              <w:t>104,920</w:t>
            </w:r>
            <w:r>
              <w:rPr>
                <w:rFonts w:ascii="Arial"/>
                <w:spacing w:val="-1"/>
                <w:w w:val="95"/>
                <w:sz w:val="20"/>
              </w:rPr>
            </w:r>
            <w:r>
              <w:rPr>
                <w:rFonts w:ascii="Arial"/>
                <w:sz w:val="20"/>
              </w:rPr>
            </w:r>
          </w:p>
        </w:tc>
        <w:tc>
          <w:tcPr>
            <w:tcW w:w="1180"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13" w:lineRule="exact"/>
              <w:ind w:right="198"/>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w w:val="95"/>
                <w:sz w:val="20"/>
                <w:u w:val="thick" w:color="000000"/>
              </w:rPr>
              <w:t>-</w:t>
            </w:r>
            <w:r>
              <w:rPr>
                <w:rFonts w:ascii="Arial"/>
                <w:w w:val="95"/>
                <w:sz w:val="20"/>
              </w:rPr>
            </w:r>
            <w:r>
              <w:rPr>
                <w:rFonts w:ascii="Arial"/>
                <w:sz w:val="20"/>
              </w:rPr>
            </w:r>
          </w:p>
        </w:tc>
      </w:tr>
      <w:tr>
        <w:trPr>
          <w:trHeight w:val="325" w:hRule="exact"/>
        </w:trPr>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00" w:right="0"/>
              <w:jc w:val="left"/>
              <w:rPr>
                <w:rFonts w:ascii="黑体" w:hAnsi="黑体" w:cs="黑体" w:eastAsia="黑体" w:hint="default"/>
                <w:sz w:val="20"/>
                <w:szCs w:val="20"/>
              </w:rPr>
            </w:pPr>
            <w:r>
              <w:rPr>
                <w:rFonts w:ascii="黑体" w:hAnsi="黑体" w:cs="黑体" w:eastAsia="黑体" w:hint="default"/>
                <w:sz w:val="20"/>
                <w:szCs w:val="20"/>
              </w:rPr>
              <w:t>其他应收款</w:t>
            </w:r>
          </w:p>
        </w:tc>
        <w:tc>
          <w:tcPr>
            <w:tcW w:w="1430"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r>
      <w:tr>
        <w:trPr>
          <w:trHeight w:val="224" w:hRule="exact"/>
        </w:trPr>
        <w:tc>
          <w:tcPr>
            <w:tcW w:w="2048" w:type="dxa"/>
            <w:tcBorders>
              <w:top w:val="nil" w:sz="6" w:space="0" w:color="auto"/>
              <w:left w:val="nil" w:sz="6" w:space="0" w:color="auto"/>
              <w:bottom w:val="nil" w:sz="6" w:space="0" w:color="auto"/>
              <w:right w:val="nil" w:sz="6" w:space="0" w:color="auto"/>
            </w:tcBorders>
          </w:tcPr>
          <w:p>
            <w:pPr>
              <w:pStyle w:val="TableParagraph"/>
              <w:spacing w:line="209" w:lineRule="exact"/>
              <w:ind w:left="200" w:right="0"/>
              <w:jc w:val="left"/>
              <w:rPr>
                <w:rFonts w:ascii="黑体" w:hAnsi="黑体" w:cs="黑体" w:eastAsia="黑体" w:hint="default"/>
                <w:sz w:val="20"/>
                <w:szCs w:val="20"/>
              </w:rPr>
            </w:pPr>
            <w:r>
              <w:rPr>
                <w:rFonts w:ascii="黑体" w:hAnsi="黑体" w:cs="黑体" w:eastAsia="黑体" w:hint="default"/>
                <w:sz w:val="20"/>
                <w:szCs w:val="20"/>
              </w:rPr>
              <w:t>北京伟库</w:t>
            </w:r>
          </w:p>
        </w:tc>
        <w:tc>
          <w:tcPr>
            <w:tcW w:w="1430" w:type="dxa"/>
            <w:tcBorders>
              <w:top w:val="nil" w:sz="6" w:space="0" w:color="auto"/>
              <w:left w:val="nil" w:sz="6" w:space="0" w:color="auto"/>
              <w:bottom w:val="nil" w:sz="6" w:space="0" w:color="auto"/>
              <w:right w:val="nil" w:sz="6" w:space="0" w:color="auto"/>
            </w:tcBorders>
          </w:tcPr>
          <w:p>
            <w:pPr>
              <w:pStyle w:val="TableParagraph"/>
              <w:spacing w:line="223" w:lineRule="exact"/>
              <w:ind w:right="166"/>
              <w:jc w:val="right"/>
              <w:rPr>
                <w:rFonts w:ascii="Arial" w:hAnsi="Arial" w:cs="Arial" w:eastAsia="Arial" w:hint="default"/>
                <w:sz w:val="20"/>
                <w:szCs w:val="20"/>
              </w:rPr>
            </w:pPr>
            <w:r>
              <w:rPr>
                <w:rFonts w:ascii="Arial"/>
                <w:w w:val="99"/>
                <w:sz w:val="20"/>
              </w:rPr>
              <w:t>-</w:t>
            </w:r>
            <w:r>
              <w:rPr>
                <w:rFonts w:ascii="Arial"/>
                <w:sz w:val="20"/>
              </w:rPr>
            </w:r>
          </w:p>
        </w:tc>
        <w:tc>
          <w:tcPr>
            <w:tcW w:w="1410" w:type="dxa"/>
            <w:tcBorders>
              <w:top w:val="nil" w:sz="6" w:space="0" w:color="auto"/>
              <w:left w:val="nil" w:sz="6" w:space="0" w:color="auto"/>
              <w:bottom w:val="nil" w:sz="6" w:space="0" w:color="auto"/>
              <w:right w:val="nil" w:sz="6" w:space="0" w:color="auto"/>
            </w:tcBorders>
          </w:tcPr>
          <w:p>
            <w:pPr>
              <w:pStyle w:val="TableParagraph"/>
              <w:spacing w:line="223" w:lineRule="exact"/>
              <w:ind w:right="441"/>
              <w:jc w:val="right"/>
              <w:rPr>
                <w:rFonts w:ascii="Arial" w:hAnsi="Arial" w:cs="Arial" w:eastAsia="Arial" w:hint="default"/>
                <w:sz w:val="20"/>
                <w:szCs w:val="20"/>
              </w:rPr>
            </w:pPr>
            <w:r>
              <w:rPr>
                <w:rFonts w:ascii="Arial"/>
                <w:w w:val="99"/>
                <w:sz w:val="20"/>
              </w:rPr>
              <w:t>-</w:t>
            </w:r>
            <w:r>
              <w:rPr>
                <w:rFonts w:ascii="Arial"/>
                <w:sz w:val="20"/>
              </w:rPr>
            </w:r>
          </w:p>
        </w:tc>
        <w:tc>
          <w:tcPr>
            <w:tcW w:w="1421" w:type="dxa"/>
            <w:tcBorders>
              <w:top w:val="nil" w:sz="6" w:space="0" w:color="auto"/>
              <w:left w:val="nil" w:sz="6" w:space="0" w:color="auto"/>
              <w:bottom w:val="nil" w:sz="6" w:space="0" w:color="auto"/>
              <w:right w:val="nil" w:sz="6" w:space="0" w:color="auto"/>
            </w:tcBorders>
          </w:tcPr>
          <w:p>
            <w:pPr>
              <w:pStyle w:val="TableParagraph"/>
              <w:spacing w:line="223" w:lineRule="exact"/>
              <w:ind w:right="181"/>
              <w:jc w:val="right"/>
              <w:rPr>
                <w:rFonts w:ascii="Arial" w:hAnsi="Arial" w:cs="Arial" w:eastAsia="Arial" w:hint="default"/>
                <w:sz w:val="20"/>
                <w:szCs w:val="20"/>
              </w:rPr>
            </w:pPr>
            <w:r>
              <w:rPr>
                <w:rFonts w:ascii="Arial"/>
                <w:spacing w:val="-1"/>
                <w:w w:val="95"/>
                <w:sz w:val="20"/>
              </w:rPr>
              <w:t>642,360</w:t>
            </w:r>
            <w:r>
              <w:rPr>
                <w:rFonts w:ascii="Arial"/>
                <w:sz w:val="20"/>
              </w:rPr>
            </w:r>
          </w:p>
        </w:tc>
        <w:tc>
          <w:tcPr>
            <w:tcW w:w="1180" w:type="dxa"/>
            <w:tcBorders>
              <w:top w:val="nil" w:sz="6" w:space="0" w:color="auto"/>
              <w:left w:val="nil" w:sz="6" w:space="0" w:color="auto"/>
              <w:bottom w:val="nil" w:sz="6" w:space="0" w:color="auto"/>
              <w:right w:val="nil" w:sz="6" w:space="0" w:color="auto"/>
            </w:tcBorders>
          </w:tcPr>
          <w:p>
            <w:pPr>
              <w:pStyle w:val="TableParagraph"/>
              <w:spacing w:line="223" w:lineRule="exact"/>
              <w:ind w:right="200"/>
              <w:jc w:val="right"/>
              <w:rPr>
                <w:rFonts w:ascii="Arial" w:hAnsi="Arial" w:cs="Arial" w:eastAsia="Arial" w:hint="default"/>
                <w:sz w:val="20"/>
                <w:szCs w:val="20"/>
              </w:rPr>
            </w:pPr>
            <w:r>
              <w:rPr>
                <w:rFonts w:ascii="Arial"/>
                <w:w w:val="99"/>
                <w:sz w:val="20"/>
              </w:rPr>
              <w:t>-</w:t>
            </w:r>
            <w:r>
              <w:rPr>
                <w:rFonts w:ascii="Arial"/>
                <w:sz w:val="20"/>
              </w:rPr>
            </w:r>
          </w:p>
        </w:tc>
      </w:tr>
      <w:tr>
        <w:trPr>
          <w:trHeight w:val="221" w:hRule="exact"/>
        </w:trPr>
        <w:tc>
          <w:tcPr>
            <w:tcW w:w="2048" w:type="dxa"/>
            <w:tcBorders>
              <w:top w:val="nil" w:sz="6" w:space="0" w:color="auto"/>
              <w:left w:val="nil" w:sz="6" w:space="0" w:color="auto"/>
              <w:bottom w:val="nil" w:sz="6" w:space="0" w:color="auto"/>
              <w:right w:val="nil" w:sz="6" w:space="0" w:color="auto"/>
            </w:tcBorders>
          </w:tcPr>
          <w:p>
            <w:pPr>
              <w:pStyle w:val="TableParagraph"/>
              <w:spacing w:line="205" w:lineRule="exact"/>
              <w:ind w:left="200" w:right="0"/>
              <w:jc w:val="left"/>
              <w:rPr>
                <w:rFonts w:ascii="黑体" w:hAnsi="黑体" w:cs="黑体" w:eastAsia="黑体" w:hint="default"/>
                <w:sz w:val="20"/>
                <w:szCs w:val="20"/>
              </w:rPr>
            </w:pPr>
            <w:r>
              <w:rPr>
                <w:rFonts w:ascii="黑体" w:hAnsi="黑体" w:cs="黑体" w:eastAsia="黑体" w:hint="default"/>
                <w:sz w:val="20"/>
                <w:szCs w:val="20"/>
              </w:rPr>
              <w:t>致远协创</w:t>
            </w:r>
          </w:p>
        </w:tc>
        <w:tc>
          <w:tcPr>
            <w:tcW w:w="1430" w:type="dxa"/>
            <w:tcBorders>
              <w:top w:val="nil" w:sz="6" w:space="0" w:color="auto"/>
              <w:left w:val="nil" w:sz="6" w:space="0" w:color="auto"/>
              <w:bottom w:val="nil" w:sz="6" w:space="0" w:color="auto"/>
              <w:right w:val="nil" w:sz="6" w:space="0" w:color="auto"/>
            </w:tcBorders>
          </w:tcPr>
          <w:p>
            <w:pPr>
              <w:pStyle w:val="TableParagraph"/>
              <w:spacing w:line="219" w:lineRule="exact"/>
              <w:ind w:right="168"/>
              <w:jc w:val="right"/>
              <w:rPr>
                <w:rFonts w:ascii="Arial" w:hAnsi="Arial" w:cs="Arial" w:eastAsia="Arial" w:hint="default"/>
                <w:sz w:val="20"/>
                <w:szCs w:val="20"/>
              </w:rPr>
            </w:pPr>
            <w:r>
              <w:rPr>
                <w:rFonts w:ascii="Arial"/>
                <w:spacing w:val="-1"/>
                <w:sz w:val="20"/>
              </w:rPr>
              <w:t>13,000</w:t>
            </w:r>
            <w:r>
              <w:rPr>
                <w:rFonts w:ascii="Arial"/>
                <w:sz w:val="20"/>
              </w:rPr>
            </w:r>
          </w:p>
        </w:tc>
        <w:tc>
          <w:tcPr>
            <w:tcW w:w="1410" w:type="dxa"/>
            <w:tcBorders>
              <w:top w:val="nil" w:sz="6" w:space="0" w:color="auto"/>
              <w:left w:val="nil" w:sz="6" w:space="0" w:color="auto"/>
              <w:bottom w:val="nil" w:sz="6" w:space="0" w:color="auto"/>
              <w:right w:val="nil" w:sz="6" w:space="0" w:color="auto"/>
            </w:tcBorders>
          </w:tcPr>
          <w:p>
            <w:pPr>
              <w:pStyle w:val="TableParagraph"/>
              <w:spacing w:line="219" w:lineRule="exact"/>
              <w:ind w:right="441"/>
              <w:jc w:val="right"/>
              <w:rPr>
                <w:rFonts w:ascii="Arial" w:hAnsi="Arial" w:cs="Arial" w:eastAsia="Arial" w:hint="default"/>
                <w:sz w:val="20"/>
                <w:szCs w:val="20"/>
              </w:rPr>
            </w:pPr>
            <w:r>
              <w:rPr>
                <w:rFonts w:ascii="Arial"/>
                <w:w w:val="99"/>
                <w:sz w:val="20"/>
              </w:rPr>
              <w:t>-</w:t>
            </w:r>
            <w:r>
              <w:rPr>
                <w:rFonts w:ascii="Arial"/>
                <w:sz w:val="20"/>
              </w:rPr>
            </w:r>
          </w:p>
        </w:tc>
        <w:tc>
          <w:tcPr>
            <w:tcW w:w="1421" w:type="dxa"/>
            <w:tcBorders>
              <w:top w:val="nil" w:sz="6" w:space="0" w:color="auto"/>
              <w:left w:val="nil" w:sz="6" w:space="0" w:color="auto"/>
              <w:bottom w:val="nil" w:sz="6" w:space="0" w:color="auto"/>
              <w:right w:val="nil" w:sz="6" w:space="0" w:color="auto"/>
            </w:tcBorders>
          </w:tcPr>
          <w:p>
            <w:pPr>
              <w:pStyle w:val="TableParagraph"/>
              <w:spacing w:line="219" w:lineRule="exact"/>
              <w:ind w:right="181"/>
              <w:jc w:val="right"/>
              <w:rPr>
                <w:rFonts w:ascii="Arial" w:hAnsi="Arial" w:cs="Arial" w:eastAsia="Arial" w:hint="default"/>
                <w:sz w:val="20"/>
                <w:szCs w:val="20"/>
              </w:rPr>
            </w:pPr>
            <w:r>
              <w:rPr>
                <w:rFonts w:ascii="Arial"/>
                <w:spacing w:val="-1"/>
                <w:sz w:val="20"/>
              </w:rPr>
              <w:t>23,000</w:t>
            </w:r>
            <w:r>
              <w:rPr>
                <w:rFonts w:ascii="Arial"/>
                <w:sz w:val="20"/>
              </w:rPr>
            </w:r>
          </w:p>
        </w:tc>
        <w:tc>
          <w:tcPr>
            <w:tcW w:w="1180" w:type="dxa"/>
            <w:tcBorders>
              <w:top w:val="nil" w:sz="6" w:space="0" w:color="auto"/>
              <w:left w:val="nil" w:sz="6" w:space="0" w:color="auto"/>
              <w:bottom w:val="nil" w:sz="6" w:space="0" w:color="auto"/>
              <w:right w:val="nil" w:sz="6" w:space="0" w:color="auto"/>
            </w:tcBorders>
          </w:tcPr>
          <w:p>
            <w:pPr>
              <w:pStyle w:val="TableParagraph"/>
              <w:spacing w:line="219" w:lineRule="exact"/>
              <w:ind w:right="200"/>
              <w:jc w:val="right"/>
              <w:rPr>
                <w:rFonts w:ascii="Arial" w:hAnsi="Arial" w:cs="Arial" w:eastAsia="Arial" w:hint="default"/>
                <w:sz w:val="20"/>
                <w:szCs w:val="20"/>
              </w:rPr>
            </w:pPr>
            <w:r>
              <w:rPr>
                <w:rFonts w:ascii="Arial"/>
                <w:w w:val="99"/>
                <w:sz w:val="20"/>
              </w:rPr>
              <w:t>-</w:t>
            </w:r>
            <w:r>
              <w:rPr>
                <w:rFonts w:ascii="Arial"/>
                <w:sz w:val="20"/>
              </w:rPr>
            </w:r>
          </w:p>
        </w:tc>
      </w:tr>
      <w:tr>
        <w:trPr>
          <w:trHeight w:val="224" w:hRule="exact"/>
        </w:trPr>
        <w:tc>
          <w:tcPr>
            <w:tcW w:w="2048" w:type="dxa"/>
            <w:tcBorders>
              <w:top w:val="nil" w:sz="6" w:space="0" w:color="auto"/>
              <w:left w:val="nil" w:sz="6" w:space="0" w:color="auto"/>
              <w:bottom w:val="nil" w:sz="6" w:space="0" w:color="auto"/>
              <w:right w:val="nil" w:sz="6" w:space="0" w:color="auto"/>
            </w:tcBorders>
          </w:tcPr>
          <w:p>
            <w:pPr>
              <w:pStyle w:val="TableParagraph"/>
              <w:spacing w:line="205" w:lineRule="exact"/>
              <w:ind w:left="200" w:right="0"/>
              <w:jc w:val="left"/>
              <w:rPr>
                <w:rFonts w:ascii="黑体" w:hAnsi="黑体" w:cs="黑体" w:eastAsia="黑体" w:hint="default"/>
                <w:sz w:val="20"/>
                <w:szCs w:val="20"/>
              </w:rPr>
            </w:pPr>
            <w:r>
              <w:rPr>
                <w:rFonts w:ascii="黑体" w:hAnsi="黑体" w:cs="黑体" w:eastAsia="黑体" w:hint="default"/>
                <w:sz w:val="20"/>
                <w:szCs w:val="20"/>
              </w:rPr>
              <w:t>西玛商用表单</w:t>
            </w:r>
          </w:p>
        </w:tc>
        <w:tc>
          <w:tcPr>
            <w:tcW w:w="1430"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19" w:lineRule="exact"/>
              <w:ind w:right="166"/>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423</w:t>
            </w:r>
            <w:r>
              <w:rPr>
                <w:rFonts w:ascii="Arial"/>
                <w:spacing w:val="-1"/>
                <w:w w:val="95"/>
                <w:sz w:val="20"/>
              </w:rPr>
            </w:r>
            <w:r>
              <w:rPr>
                <w:rFonts w:ascii="Arial"/>
                <w:sz w:val="20"/>
              </w:rPr>
            </w:r>
          </w:p>
        </w:tc>
        <w:tc>
          <w:tcPr>
            <w:tcW w:w="1410"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19" w:lineRule="exact"/>
              <w:ind w:right="43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421" w:type="dxa"/>
            <w:tcBorders>
              <w:top w:val="nil" w:sz="6" w:space="0" w:color="auto"/>
              <w:left w:val="nil" w:sz="6" w:space="0" w:color="auto"/>
              <w:bottom w:val="nil" w:sz="6" w:space="0" w:color="auto"/>
              <w:right w:val="nil" w:sz="6" w:space="0" w:color="auto"/>
            </w:tcBorders>
          </w:tcPr>
          <w:p>
            <w:pPr>
              <w:pStyle w:val="TableParagraph"/>
              <w:tabs>
                <w:tab w:pos="631" w:val="left" w:leader="none"/>
              </w:tabs>
              <w:spacing w:line="219" w:lineRule="exact"/>
              <w:ind w:right="177"/>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180"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19" w:lineRule="exact"/>
              <w:ind w:right="19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r>
      <w:tr>
        <w:trPr>
          <w:trHeight w:val="325" w:hRule="exact"/>
        </w:trPr>
        <w:tc>
          <w:tcPr>
            <w:tcW w:w="2048"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13" w:lineRule="exact"/>
              <w:ind w:right="168"/>
              <w:jc w:val="right"/>
              <w:rPr>
                <w:rFonts w:ascii="Arial" w:hAnsi="Arial" w:cs="Arial" w:eastAsia="Arial" w:hint="default"/>
                <w:sz w:val="20"/>
                <w:szCs w:val="20"/>
              </w:rPr>
            </w:pPr>
            <w:r>
              <w:rPr>
                <w:rFonts w:ascii="Arial"/>
                <w:w w:val="99"/>
                <w:sz w:val="20"/>
              </w:rPr>
            </w:r>
            <w:r>
              <w:rPr>
                <w:rFonts w:ascii="Arial"/>
                <w:spacing w:val="-1"/>
                <w:sz w:val="20"/>
                <w:u w:val="thick" w:color="000000"/>
              </w:rPr>
              <w:t>13,423</w:t>
            </w:r>
            <w:r>
              <w:rPr>
                <w:rFonts w:ascii="Arial"/>
                <w:spacing w:val="-1"/>
                <w:sz w:val="20"/>
              </w:rPr>
            </w:r>
            <w:r>
              <w:rPr>
                <w:rFonts w:ascii="Arial"/>
                <w:sz w:val="20"/>
              </w:rPr>
            </w:r>
          </w:p>
        </w:tc>
        <w:tc>
          <w:tcPr>
            <w:tcW w:w="1410"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13" w:lineRule="exact"/>
              <w:ind w:right="438"/>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w w:val="95"/>
                <w:sz w:val="20"/>
                <w:u w:val="thick" w:color="000000"/>
              </w:rPr>
              <w:t>-</w:t>
            </w:r>
            <w:r>
              <w:rPr>
                <w:rFonts w:ascii="Arial"/>
                <w:w w:val="95"/>
                <w:sz w:val="20"/>
              </w:rPr>
            </w:r>
            <w:r>
              <w:rPr>
                <w:rFonts w:ascii="Arial"/>
                <w:sz w:val="20"/>
              </w:rPr>
            </w:r>
          </w:p>
        </w:tc>
        <w:tc>
          <w:tcPr>
            <w:tcW w:w="1421" w:type="dxa"/>
            <w:tcBorders>
              <w:top w:val="nil" w:sz="6" w:space="0" w:color="auto"/>
              <w:left w:val="nil" w:sz="6" w:space="0" w:color="auto"/>
              <w:bottom w:val="nil" w:sz="6" w:space="0" w:color="auto"/>
              <w:right w:val="nil" w:sz="6" w:space="0" w:color="auto"/>
            </w:tcBorders>
          </w:tcPr>
          <w:p>
            <w:pPr>
              <w:pStyle w:val="TableParagraph"/>
              <w:spacing w:line="213" w:lineRule="exact"/>
              <w:ind w:right="181"/>
              <w:jc w:val="right"/>
              <w:rPr>
                <w:rFonts w:ascii="Arial" w:hAnsi="Arial" w:cs="Arial" w:eastAsia="Arial" w:hint="default"/>
                <w:sz w:val="20"/>
                <w:szCs w:val="20"/>
              </w:rPr>
            </w:pPr>
            <w:r>
              <w:rPr>
                <w:rFonts w:ascii="Arial"/>
                <w:w w:val="99"/>
                <w:sz w:val="20"/>
              </w:rPr>
            </w:r>
            <w:r>
              <w:rPr>
                <w:rFonts w:ascii="Arial"/>
                <w:spacing w:val="-1"/>
                <w:w w:val="95"/>
                <w:sz w:val="20"/>
                <w:u w:val="thick" w:color="000000"/>
              </w:rPr>
              <w:t>665,360</w:t>
            </w:r>
            <w:r>
              <w:rPr>
                <w:rFonts w:ascii="Arial"/>
                <w:spacing w:val="-1"/>
                <w:w w:val="95"/>
                <w:sz w:val="20"/>
              </w:rPr>
            </w:r>
            <w:r>
              <w:rPr>
                <w:rFonts w:ascii="Arial"/>
                <w:sz w:val="20"/>
              </w:rPr>
            </w:r>
          </w:p>
        </w:tc>
        <w:tc>
          <w:tcPr>
            <w:tcW w:w="1180"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13" w:lineRule="exact"/>
              <w:ind w:right="198"/>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w w:val="95"/>
                <w:sz w:val="20"/>
                <w:u w:val="thick" w:color="000000"/>
              </w:rPr>
              <w:t>-</w:t>
            </w:r>
            <w:r>
              <w:rPr>
                <w:rFonts w:ascii="Arial"/>
                <w:w w:val="95"/>
                <w:sz w:val="20"/>
              </w:rPr>
            </w:r>
            <w:r>
              <w:rPr>
                <w:rFonts w:ascii="Arial"/>
                <w:sz w:val="20"/>
              </w:rPr>
            </w:r>
          </w:p>
        </w:tc>
      </w:tr>
      <w:tr>
        <w:trPr>
          <w:trHeight w:val="325" w:hRule="exact"/>
        </w:trPr>
        <w:tc>
          <w:tcPr>
            <w:tcW w:w="204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00" w:right="0"/>
              <w:jc w:val="left"/>
              <w:rPr>
                <w:rFonts w:ascii="黑体" w:hAnsi="黑体" w:cs="黑体" w:eastAsia="黑体" w:hint="default"/>
                <w:sz w:val="20"/>
                <w:szCs w:val="20"/>
              </w:rPr>
            </w:pPr>
            <w:r>
              <w:rPr>
                <w:rFonts w:ascii="黑体" w:hAnsi="黑体" w:cs="黑体" w:eastAsia="黑体" w:hint="default"/>
                <w:sz w:val="20"/>
                <w:szCs w:val="20"/>
              </w:rPr>
              <w:t>预付账款</w:t>
            </w:r>
          </w:p>
        </w:tc>
        <w:tc>
          <w:tcPr>
            <w:tcW w:w="1430"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r>
      <w:tr>
        <w:trPr>
          <w:trHeight w:val="224" w:hRule="exact"/>
        </w:trPr>
        <w:tc>
          <w:tcPr>
            <w:tcW w:w="2048" w:type="dxa"/>
            <w:tcBorders>
              <w:top w:val="nil" w:sz="6" w:space="0" w:color="auto"/>
              <w:left w:val="nil" w:sz="6" w:space="0" w:color="auto"/>
              <w:bottom w:val="nil" w:sz="6" w:space="0" w:color="auto"/>
              <w:right w:val="nil" w:sz="6" w:space="0" w:color="auto"/>
            </w:tcBorders>
          </w:tcPr>
          <w:p>
            <w:pPr>
              <w:pStyle w:val="TableParagraph"/>
              <w:spacing w:line="209" w:lineRule="exact"/>
              <w:ind w:left="200" w:right="0"/>
              <w:jc w:val="left"/>
              <w:rPr>
                <w:rFonts w:ascii="黑体" w:hAnsi="黑体" w:cs="黑体" w:eastAsia="黑体" w:hint="default"/>
                <w:sz w:val="20"/>
                <w:szCs w:val="20"/>
              </w:rPr>
            </w:pPr>
            <w:r>
              <w:rPr>
                <w:rFonts w:ascii="黑体" w:hAnsi="黑体" w:cs="黑体" w:eastAsia="黑体" w:hint="default"/>
                <w:sz w:val="20"/>
                <w:szCs w:val="20"/>
              </w:rPr>
              <w:t>西玛商用表单</w:t>
            </w:r>
          </w:p>
        </w:tc>
        <w:tc>
          <w:tcPr>
            <w:tcW w:w="1430" w:type="dxa"/>
            <w:tcBorders>
              <w:top w:val="nil" w:sz="6" w:space="0" w:color="auto"/>
              <w:left w:val="nil" w:sz="6" w:space="0" w:color="auto"/>
              <w:bottom w:val="nil" w:sz="6" w:space="0" w:color="auto"/>
              <w:right w:val="nil" w:sz="6" w:space="0" w:color="auto"/>
            </w:tcBorders>
          </w:tcPr>
          <w:p>
            <w:pPr>
              <w:pStyle w:val="TableParagraph"/>
              <w:spacing w:line="223" w:lineRule="exact"/>
              <w:ind w:right="168"/>
              <w:jc w:val="right"/>
              <w:rPr>
                <w:rFonts w:ascii="Arial" w:hAnsi="Arial" w:cs="Arial" w:eastAsia="Arial" w:hint="default"/>
                <w:sz w:val="20"/>
                <w:szCs w:val="20"/>
              </w:rPr>
            </w:pPr>
            <w:r>
              <w:rPr>
                <w:rFonts w:ascii="Arial"/>
                <w:spacing w:val="-1"/>
                <w:sz w:val="20"/>
              </w:rPr>
              <w:t>24,596</w:t>
            </w:r>
            <w:r>
              <w:rPr>
                <w:rFonts w:ascii="Arial"/>
                <w:sz w:val="20"/>
              </w:rPr>
            </w:r>
          </w:p>
        </w:tc>
        <w:tc>
          <w:tcPr>
            <w:tcW w:w="1410" w:type="dxa"/>
            <w:tcBorders>
              <w:top w:val="nil" w:sz="6" w:space="0" w:color="auto"/>
              <w:left w:val="nil" w:sz="6" w:space="0" w:color="auto"/>
              <w:bottom w:val="nil" w:sz="6" w:space="0" w:color="auto"/>
              <w:right w:val="nil" w:sz="6" w:space="0" w:color="auto"/>
            </w:tcBorders>
          </w:tcPr>
          <w:p>
            <w:pPr>
              <w:pStyle w:val="TableParagraph"/>
              <w:spacing w:line="223" w:lineRule="exact"/>
              <w:ind w:right="441"/>
              <w:jc w:val="right"/>
              <w:rPr>
                <w:rFonts w:ascii="Arial" w:hAnsi="Arial" w:cs="Arial" w:eastAsia="Arial" w:hint="default"/>
                <w:sz w:val="20"/>
                <w:szCs w:val="20"/>
              </w:rPr>
            </w:pPr>
            <w:r>
              <w:rPr>
                <w:rFonts w:ascii="Arial"/>
                <w:w w:val="99"/>
                <w:sz w:val="20"/>
              </w:rPr>
              <w:t>-</w:t>
            </w:r>
            <w:r>
              <w:rPr>
                <w:rFonts w:ascii="Arial"/>
                <w:sz w:val="20"/>
              </w:rPr>
            </w:r>
          </w:p>
        </w:tc>
        <w:tc>
          <w:tcPr>
            <w:tcW w:w="1421" w:type="dxa"/>
            <w:tcBorders>
              <w:top w:val="nil" w:sz="6" w:space="0" w:color="auto"/>
              <w:left w:val="nil" w:sz="6" w:space="0" w:color="auto"/>
              <w:bottom w:val="nil" w:sz="6" w:space="0" w:color="auto"/>
              <w:right w:val="nil" w:sz="6" w:space="0" w:color="auto"/>
            </w:tcBorders>
          </w:tcPr>
          <w:p>
            <w:pPr>
              <w:pStyle w:val="TableParagraph"/>
              <w:spacing w:line="223" w:lineRule="exact"/>
              <w:ind w:right="181"/>
              <w:jc w:val="right"/>
              <w:rPr>
                <w:rFonts w:ascii="Arial" w:hAnsi="Arial" w:cs="Arial" w:eastAsia="Arial" w:hint="default"/>
                <w:sz w:val="20"/>
                <w:szCs w:val="20"/>
              </w:rPr>
            </w:pPr>
            <w:r>
              <w:rPr>
                <w:rFonts w:ascii="Arial"/>
                <w:spacing w:val="-1"/>
                <w:w w:val="95"/>
                <w:sz w:val="20"/>
              </w:rPr>
              <w:t>71</w:t>
            </w:r>
            <w:r>
              <w:rPr>
                <w:rFonts w:ascii="Arial"/>
                <w:sz w:val="20"/>
              </w:rPr>
            </w:r>
          </w:p>
        </w:tc>
        <w:tc>
          <w:tcPr>
            <w:tcW w:w="1180" w:type="dxa"/>
            <w:tcBorders>
              <w:top w:val="nil" w:sz="6" w:space="0" w:color="auto"/>
              <w:left w:val="nil" w:sz="6" w:space="0" w:color="auto"/>
              <w:bottom w:val="nil" w:sz="6" w:space="0" w:color="auto"/>
              <w:right w:val="nil" w:sz="6" w:space="0" w:color="auto"/>
            </w:tcBorders>
          </w:tcPr>
          <w:p>
            <w:pPr>
              <w:pStyle w:val="TableParagraph"/>
              <w:spacing w:line="223" w:lineRule="exact"/>
              <w:ind w:right="200"/>
              <w:jc w:val="right"/>
              <w:rPr>
                <w:rFonts w:ascii="Arial" w:hAnsi="Arial" w:cs="Arial" w:eastAsia="Arial" w:hint="default"/>
                <w:sz w:val="20"/>
                <w:szCs w:val="20"/>
              </w:rPr>
            </w:pPr>
            <w:r>
              <w:rPr>
                <w:rFonts w:ascii="Arial"/>
                <w:w w:val="99"/>
                <w:sz w:val="20"/>
              </w:rPr>
              <w:t>-</w:t>
            </w:r>
            <w:r>
              <w:rPr>
                <w:rFonts w:ascii="Arial"/>
                <w:sz w:val="20"/>
              </w:rPr>
            </w:r>
          </w:p>
        </w:tc>
      </w:tr>
      <w:tr>
        <w:trPr>
          <w:trHeight w:val="221" w:hRule="exact"/>
        </w:trPr>
        <w:tc>
          <w:tcPr>
            <w:tcW w:w="2048" w:type="dxa"/>
            <w:tcBorders>
              <w:top w:val="nil" w:sz="6" w:space="0" w:color="auto"/>
              <w:left w:val="nil" w:sz="6" w:space="0" w:color="auto"/>
              <w:bottom w:val="nil" w:sz="6" w:space="0" w:color="auto"/>
              <w:right w:val="nil" w:sz="6" w:space="0" w:color="auto"/>
            </w:tcBorders>
          </w:tcPr>
          <w:p>
            <w:pPr>
              <w:pStyle w:val="TableParagraph"/>
              <w:spacing w:line="205" w:lineRule="exact"/>
              <w:ind w:left="200" w:right="0"/>
              <w:jc w:val="left"/>
              <w:rPr>
                <w:rFonts w:ascii="黑体" w:hAnsi="黑体" w:cs="黑体" w:eastAsia="黑体" w:hint="default"/>
                <w:sz w:val="20"/>
                <w:szCs w:val="20"/>
              </w:rPr>
            </w:pPr>
            <w:r>
              <w:rPr>
                <w:rFonts w:ascii="黑体" w:hAnsi="黑体" w:cs="黑体" w:eastAsia="黑体" w:hint="default"/>
                <w:sz w:val="20"/>
                <w:szCs w:val="20"/>
              </w:rPr>
              <w:t>致远协创</w:t>
            </w:r>
          </w:p>
        </w:tc>
        <w:tc>
          <w:tcPr>
            <w:tcW w:w="1430" w:type="dxa"/>
            <w:tcBorders>
              <w:top w:val="nil" w:sz="6" w:space="0" w:color="auto"/>
              <w:left w:val="nil" w:sz="6" w:space="0" w:color="auto"/>
              <w:bottom w:val="nil" w:sz="6" w:space="0" w:color="auto"/>
              <w:right w:val="nil" w:sz="6" w:space="0" w:color="auto"/>
            </w:tcBorders>
          </w:tcPr>
          <w:p>
            <w:pPr>
              <w:pStyle w:val="TableParagraph"/>
              <w:spacing w:line="219" w:lineRule="exact"/>
              <w:ind w:right="168"/>
              <w:jc w:val="right"/>
              <w:rPr>
                <w:rFonts w:ascii="Arial" w:hAnsi="Arial" w:cs="Arial" w:eastAsia="Arial" w:hint="default"/>
                <w:sz w:val="20"/>
                <w:szCs w:val="20"/>
              </w:rPr>
            </w:pPr>
            <w:r>
              <w:rPr>
                <w:rFonts w:ascii="Arial"/>
                <w:spacing w:val="-1"/>
                <w:sz w:val="20"/>
              </w:rPr>
              <w:t>54,500</w:t>
            </w:r>
            <w:r>
              <w:rPr>
                <w:rFonts w:ascii="Arial"/>
                <w:sz w:val="20"/>
              </w:rPr>
            </w:r>
          </w:p>
        </w:tc>
        <w:tc>
          <w:tcPr>
            <w:tcW w:w="1410" w:type="dxa"/>
            <w:tcBorders>
              <w:top w:val="nil" w:sz="6" w:space="0" w:color="auto"/>
              <w:left w:val="nil" w:sz="6" w:space="0" w:color="auto"/>
              <w:bottom w:val="nil" w:sz="6" w:space="0" w:color="auto"/>
              <w:right w:val="nil" w:sz="6" w:space="0" w:color="auto"/>
            </w:tcBorders>
          </w:tcPr>
          <w:p>
            <w:pPr>
              <w:pStyle w:val="TableParagraph"/>
              <w:spacing w:line="219" w:lineRule="exact"/>
              <w:ind w:right="441"/>
              <w:jc w:val="right"/>
              <w:rPr>
                <w:rFonts w:ascii="Arial" w:hAnsi="Arial" w:cs="Arial" w:eastAsia="Arial" w:hint="default"/>
                <w:sz w:val="20"/>
                <w:szCs w:val="20"/>
              </w:rPr>
            </w:pPr>
            <w:r>
              <w:rPr>
                <w:rFonts w:ascii="Arial"/>
                <w:w w:val="99"/>
                <w:sz w:val="20"/>
              </w:rPr>
              <w:t>-</w:t>
            </w:r>
            <w:r>
              <w:rPr>
                <w:rFonts w:ascii="Arial"/>
                <w:sz w:val="20"/>
              </w:rPr>
            </w:r>
          </w:p>
        </w:tc>
        <w:tc>
          <w:tcPr>
            <w:tcW w:w="1421" w:type="dxa"/>
            <w:tcBorders>
              <w:top w:val="nil" w:sz="6" w:space="0" w:color="auto"/>
              <w:left w:val="nil" w:sz="6" w:space="0" w:color="auto"/>
              <w:bottom w:val="nil" w:sz="6" w:space="0" w:color="auto"/>
              <w:right w:val="nil" w:sz="6" w:space="0" w:color="auto"/>
            </w:tcBorders>
          </w:tcPr>
          <w:p>
            <w:pPr>
              <w:pStyle w:val="TableParagraph"/>
              <w:spacing w:line="219" w:lineRule="exact"/>
              <w:ind w:right="181"/>
              <w:jc w:val="right"/>
              <w:rPr>
                <w:rFonts w:ascii="Arial" w:hAnsi="Arial" w:cs="Arial" w:eastAsia="Arial" w:hint="default"/>
                <w:sz w:val="20"/>
                <w:szCs w:val="20"/>
              </w:rPr>
            </w:pPr>
            <w:r>
              <w:rPr>
                <w:rFonts w:ascii="Arial"/>
                <w:spacing w:val="-1"/>
                <w:sz w:val="20"/>
              </w:rPr>
              <w:t>54,500</w:t>
            </w:r>
            <w:r>
              <w:rPr>
                <w:rFonts w:ascii="Arial"/>
                <w:sz w:val="20"/>
              </w:rPr>
            </w:r>
          </w:p>
        </w:tc>
        <w:tc>
          <w:tcPr>
            <w:tcW w:w="1180" w:type="dxa"/>
            <w:tcBorders>
              <w:top w:val="nil" w:sz="6" w:space="0" w:color="auto"/>
              <w:left w:val="nil" w:sz="6" w:space="0" w:color="auto"/>
              <w:bottom w:val="nil" w:sz="6" w:space="0" w:color="auto"/>
              <w:right w:val="nil" w:sz="6" w:space="0" w:color="auto"/>
            </w:tcBorders>
          </w:tcPr>
          <w:p>
            <w:pPr>
              <w:pStyle w:val="TableParagraph"/>
              <w:spacing w:line="219" w:lineRule="exact"/>
              <w:ind w:right="198"/>
              <w:jc w:val="right"/>
              <w:rPr>
                <w:rFonts w:ascii="Arial" w:hAnsi="Arial" w:cs="Arial" w:eastAsia="Arial" w:hint="default"/>
                <w:sz w:val="20"/>
                <w:szCs w:val="20"/>
              </w:rPr>
            </w:pPr>
            <w:r>
              <w:rPr>
                <w:rFonts w:ascii="Arial"/>
                <w:w w:val="99"/>
                <w:sz w:val="20"/>
              </w:rPr>
              <w:t>-</w:t>
            </w:r>
            <w:r>
              <w:rPr>
                <w:rFonts w:ascii="Arial"/>
                <w:sz w:val="20"/>
              </w:rPr>
            </w:r>
          </w:p>
        </w:tc>
      </w:tr>
      <w:tr>
        <w:trPr>
          <w:trHeight w:val="224" w:hRule="exact"/>
        </w:trPr>
        <w:tc>
          <w:tcPr>
            <w:tcW w:w="2048" w:type="dxa"/>
            <w:tcBorders>
              <w:top w:val="nil" w:sz="6" w:space="0" w:color="auto"/>
              <w:left w:val="nil" w:sz="6" w:space="0" w:color="auto"/>
              <w:bottom w:val="nil" w:sz="6" w:space="0" w:color="auto"/>
              <w:right w:val="nil" w:sz="6" w:space="0" w:color="auto"/>
            </w:tcBorders>
          </w:tcPr>
          <w:p>
            <w:pPr>
              <w:pStyle w:val="TableParagraph"/>
              <w:spacing w:line="205" w:lineRule="exact"/>
              <w:ind w:left="200" w:right="0"/>
              <w:jc w:val="left"/>
              <w:rPr>
                <w:rFonts w:ascii="黑体" w:hAnsi="黑体" w:cs="黑体" w:eastAsia="黑体" w:hint="default"/>
                <w:sz w:val="20"/>
                <w:szCs w:val="20"/>
              </w:rPr>
            </w:pPr>
            <w:r>
              <w:rPr>
                <w:rFonts w:ascii="黑体" w:hAnsi="黑体" w:cs="黑体" w:eastAsia="黑体" w:hint="default"/>
                <w:sz w:val="20"/>
                <w:szCs w:val="20"/>
              </w:rPr>
              <w:t>西玛永泰</w:t>
            </w:r>
          </w:p>
        </w:tc>
        <w:tc>
          <w:tcPr>
            <w:tcW w:w="1430" w:type="dxa"/>
            <w:tcBorders>
              <w:top w:val="nil" w:sz="6" w:space="0" w:color="auto"/>
              <w:left w:val="nil" w:sz="6" w:space="0" w:color="auto"/>
              <w:bottom w:val="nil" w:sz="6" w:space="0" w:color="auto"/>
              <w:right w:val="nil" w:sz="6" w:space="0" w:color="auto"/>
            </w:tcBorders>
          </w:tcPr>
          <w:p>
            <w:pPr>
              <w:pStyle w:val="TableParagraph"/>
              <w:spacing w:line="219" w:lineRule="exact"/>
              <w:ind w:right="16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w w:val="95"/>
                <w:sz w:val="20"/>
                <w:u w:val="single" w:color="000000"/>
              </w:rPr>
              <w:t>9,648</w:t>
            </w:r>
            <w:r>
              <w:rPr>
                <w:rFonts w:ascii="Arial"/>
                <w:spacing w:val="-1"/>
                <w:w w:val="95"/>
                <w:sz w:val="20"/>
              </w:rPr>
            </w:r>
            <w:r>
              <w:rPr>
                <w:rFonts w:ascii="Arial"/>
                <w:sz w:val="20"/>
              </w:rPr>
            </w:r>
          </w:p>
        </w:tc>
        <w:tc>
          <w:tcPr>
            <w:tcW w:w="1410"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19" w:lineRule="exact"/>
              <w:ind w:right="43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421" w:type="dxa"/>
            <w:tcBorders>
              <w:top w:val="nil" w:sz="6" w:space="0" w:color="auto"/>
              <w:left w:val="nil" w:sz="6" w:space="0" w:color="auto"/>
              <w:bottom w:val="nil" w:sz="6" w:space="0" w:color="auto"/>
              <w:right w:val="nil" w:sz="6" w:space="0" w:color="auto"/>
            </w:tcBorders>
          </w:tcPr>
          <w:p>
            <w:pPr>
              <w:pStyle w:val="TableParagraph"/>
              <w:tabs>
                <w:tab w:pos="657" w:val="left" w:leader="none"/>
              </w:tabs>
              <w:spacing w:line="219" w:lineRule="exact"/>
              <w:ind w:right="177"/>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180"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19" w:lineRule="exact"/>
              <w:ind w:right="19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r>
      <w:tr>
        <w:trPr>
          <w:trHeight w:val="209" w:hRule="exact"/>
        </w:trPr>
        <w:tc>
          <w:tcPr>
            <w:tcW w:w="2048" w:type="dxa"/>
            <w:tcBorders>
              <w:top w:val="nil" w:sz="6" w:space="0" w:color="auto"/>
              <w:left w:val="nil" w:sz="6" w:space="0" w:color="auto"/>
              <w:bottom w:val="nil" w:sz="6" w:space="0" w:color="auto"/>
              <w:right w:val="nil" w:sz="6" w:space="0" w:color="auto"/>
            </w:tcBorders>
          </w:tcPr>
          <w:p>
            <w:pPr/>
          </w:p>
        </w:tc>
        <w:tc>
          <w:tcPr>
            <w:tcW w:w="1430" w:type="dxa"/>
            <w:tcBorders>
              <w:top w:val="nil" w:sz="6" w:space="0" w:color="auto"/>
              <w:left w:val="nil" w:sz="6" w:space="0" w:color="auto"/>
              <w:bottom w:val="nil" w:sz="6" w:space="0" w:color="auto"/>
              <w:right w:val="nil" w:sz="6" w:space="0" w:color="auto"/>
            </w:tcBorders>
          </w:tcPr>
          <w:p>
            <w:pPr>
              <w:pStyle w:val="TableParagraph"/>
              <w:spacing w:line="213" w:lineRule="exact"/>
              <w:ind w:right="168"/>
              <w:jc w:val="right"/>
              <w:rPr>
                <w:rFonts w:ascii="Arial" w:hAnsi="Arial" w:cs="Arial" w:eastAsia="Arial" w:hint="default"/>
                <w:sz w:val="20"/>
                <w:szCs w:val="20"/>
              </w:rPr>
            </w:pPr>
            <w:r>
              <w:rPr>
                <w:rFonts w:ascii="Arial"/>
                <w:w w:val="99"/>
                <w:sz w:val="20"/>
              </w:rPr>
            </w:r>
            <w:r>
              <w:rPr>
                <w:rFonts w:ascii="Arial"/>
                <w:spacing w:val="-1"/>
                <w:sz w:val="20"/>
                <w:u w:val="thick" w:color="000000"/>
              </w:rPr>
              <w:t>88,744</w:t>
            </w:r>
            <w:r>
              <w:rPr>
                <w:rFonts w:ascii="Arial"/>
                <w:spacing w:val="-1"/>
                <w:sz w:val="20"/>
              </w:rPr>
            </w:r>
            <w:r>
              <w:rPr>
                <w:rFonts w:ascii="Arial"/>
                <w:sz w:val="20"/>
              </w:rPr>
            </w:r>
          </w:p>
        </w:tc>
        <w:tc>
          <w:tcPr>
            <w:tcW w:w="1410"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13" w:lineRule="exact"/>
              <w:ind w:right="438"/>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w w:val="95"/>
                <w:sz w:val="20"/>
                <w:u w:val="thick" w:color="000000"/>
              </w:rPr>
              <w:t>-</w:t>
            </w:r>
            <w:r>
              <w:rPr>
                <w:rFonts w:ascii="Arial"/>
                <w:w w:val="95"/>
                <w:sz w:val="20"/>
              </w:rPr>
            </w:r>
            <w:r>
              <w:rPr>
                <w:rFonts w:ascii="Arial"/>
                <w:sz w:val="20"/>
              </w:rPr>
            </w:r>
          </w:p>
        </w:tc>
        <w:tc>
          <w:tcPr>
            <w:tcW w:w="1421" w:type="dxa"/>
            <w:tcBorders>
              <w:top w:val="nil" w:sz="6" w:space="0" w:color="auto"/>
              <w:left w:val="nil" w:sz="6" w:space="0" w:color="auto"/>
              <w:bottom w:val="nil" w:sz="6" w:space="0" w:color="auto"/>
              <w:right w:val="nil" w:sz="6" w:space="0" w:color="auto"/>
            </w:tcBorders>
          </w:tcPr>
          <w:p>
            <w:pPr>
              <w:pStyle w:val="TableParagraph"/>
              <w:spacing w:line="213" w:lineRule="exact"/>
              <w:ind w:right="181"/>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pacing w:val="-11"/>
                <w:sz w:val="20"/>
                <w:u w:val="thick" w:color="000000"/>
              </w:rPr>
              <w:t> </w:t>
            </w:r>
            <w:r>
              <w:rPr>
                <w:rFonts w:ascii="Arial"/>
                <w:spacing w:val="-1"/>
                <w:sz w:val="20"/>
                <w:u w:val="thick" w:color="000000"/>
              </w:rPr>
              <w:t>54,571</w:t>
            </w:r>
            <w:r>
              <w:rPr>
                <w:rFonts w:ascii="Arial"/>
                <w:spacing w:val="-1"/>
                <w:sz w:val="20"/>
              </w:rPr>
            </w:r>
          </w:p>
        </w:tc>
        <w:tc>
          <w:tcPr>
            <w:tcW w:w="1180"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13" w:lineRule="exact"/>
              <w:ind w:right="198"/>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w w:val="95"/>
                <w:sz w:val="20"/>
                <w:u w:val="thick" w:color="000000"/>
              </w:rPr>
              <w:t>-</w:t>
            </w:r>
            <w:r>
              <w:rPr>
                <w:rFonts w:ascii="Arial"/>
                <w:w w:val="95"/>
                <w:sz w:val="20"/>
              </w:rPr>
            </w:r>
            <w:r>
              <w:rPr>
                <w:rFonts w:ascii="Arial"/>
                <w:sz w:val="20"/>
              </w:rPr>
            </w:r>
          </w:p>
        </w:tc>
      </w:tr>
    </w:tbl>
    <w:p>
      <w:pPr>
        <w:spacing w:line="240" w:lineRule="auto" w:before="5"/>
        <w:rPr>
          <w:rFonts w:ascii="黑体" w:hAnsi="黑体" w:cs="黑体" w:eastAsia="黑体" w:hint="default"/>
          <w:b/>
          <w:bCs/>
          <w:sz w:val="28"/>
          <w:szCs w:val="28"/>
        </w:rPr>
      </w:pPr>
    </w:p>
    <w:tbl>
      <w:tblPr>
        <w:tblW w:w="0" w:type="auto"/>
        <w:jc w:val="left"/>
        <w:tblInd w:w="597" w:type="dxa"/>
        <w:tblLayout w:type="fixed"/>
        <w:tblCellMar>
          <w:top w:w="0" w:type="dxa"/>
          <w:left w:w="0" w:type="dxa"/>
          <w:bottom w:w="0" w:type="dxa"/>
          <w:right w:w="0" w:type="dxa"/>
        </w:tblCellMar>
        <w:tblLook w:val="01E0"/>
      </w:tblPr>
      <w:tblGrid>
        <w:gridCol w:w="2565"/>
        <w:gridCol w:w="2907"/>
        <w:gridCol w:w="2019"/>
      </w:tblGrid>
      <w:tr>
        <w:trPr>
          <w:trHeight w:val="215" w:hRule="exact"/>
        </w:trPr>
        <w:tc>
          <w:tcPr>
            <w:tcW w:w="2565" w:type="dxa"/>
            <w:tcBorders>
              <w:top w:val="nil" w:sz="6" w:space="0" w:color="auto"/>
              <w:left w:val="nil" w:sz="6" w:space="0" w:color="auto"/>
              <w:bottom w:val="nil" w:sz="6" w:space="0" w:color="auto"/>
              <w:right w:val="nil" w:sz="6" w:space="0" w:color="auto"/>
            </w:tcBorders>
          </w:tcPr>
          <w:p>
            <w:pPr/>
          </w:p>
        </w:tc>
        <w:tc>
          <w:tcPr>
            <w:tcW w:w="2907" w:type="dxa"/>
            <w:tcBorders>
              <w:top w:val="nil" w:sz="6" w:space="0" w:color="auto"/>
              <w:left w:val="nil" w:sz="6" w:space="0" w:color="auto"/>
              <w:bottom w:val="nil" w:sz="6" w:space="0" w:color="auto"/>
              <w:right w:val="nil" w:sz="6" w:space="0" w:color="auto"/>
            </w:tcBorders>
          </w:tcPr>
          <w:p>
            <w:pPr>
              <w:pStyle w:val="TableParagraph"/>
              <w:spacing w:line="214" w:lineRule="exact"/>
              <w:ind w:right="1016"/>
              <w:jc w:val="right"/>
              <w:rPr>
                <w:rFonts w:ascii="黑体" w:hAnsi="黑体" w:cs="黑体" w:eastAsia="黑体" w:hint="default"/>
                <w:sz w:val="20"/>
                <w:szCs w:val="20"/>
              </w:rPr>
            </w:pPr>
            <w:r>
              <w:rPr>
                <w:rFonts w:ascii="Arial" w:hAnsi="Arial" w:cs="Arial" w:eastAsia="Arial" w:hint="default"/>
                <w:sz w:val="20"/>
                <w:szCs w:val="20"/>
              </w:rPr>
              <w:t>2012</w:t>
            </w:r>
            <w:r>
              <w:rPr>
                <w:rFonts w:ascii="Arial" w:hAnsi="Arial" w:cs="Arial" w:eastAsia="Arial" w:hint="default"/>
                <w:spacing w:val="-9"/>
                <w:sz w:val="20"/>
                <w:szCs w:val="20"/>
              </w:rPr>
              <w:t> </w:t>
            </w:r>
            <w:r>
              <w:rPr>
                <w:rFonts w:ascii="黑体" w:hAnsi="黑体" w:cs="黑体" w:eastAsia="黑体" w:hint="default"/>
                <w:sz w:val="20"/>
                <w:szCs w:val="20"/>
              </w:rPr>
              <w:t>年</w:t>
            </w:r>
          </w:p>
        </w:tc>
        <w:tc>
          <w:tcPr>
            <w:tcW w:w="2019" w:type="dxa"/>
            <w:tcBorders>
              <w:top w:val="nil" w:sz="6" w:space="0" w:color="auto"/>
              <w:left w:val="nil" w:sz="6" w:space="0" w:color="auto"/>
              <w:bottom w:val="nil" w:sz="6" w:space="0" w:color="auto"/>
              <w:right w:val="nil" w:sz="6" w:space="0" w:color="auto"/>
            </w:tcBorders>
          </w:tcPr>
          <w:p>
            <w:pPr>
              <w:pStyle w:val="TableParagraph"/>
              <w:spacing w:line="214" w:lineRule="exact"/>
              <w:ind w:right="201"/>
              <w:jc w:val="right"/>
              <w:rPr>
                <w:rFonts w:ascii="黑体" w:hAnsi="黑体" w:cs="黑体" w:eastAsia="黑体" w:hint="default"/>
                <w:sz w:val="20"/>
                <w:szCs w:val="20"/>
              </w:rPr>
            </w:pPr>
            <w:r>
              <w:rPr>
                <w:rFonts w:ascii="Arial" w:hAnsi="Arial" w:cs="Arial" w:eastAsia="Arial" w:hint="default"/>
                <w:sz w:val="20"/>
                <w:szCs w:val="20"/>
              </w:rPr>
              <w:t>2011</w:t>
            </w:r>
            <w:r>
              <w:rPr>
                <w:rFonts w:ascii="Arial" w:hAnsi="Arial" w:cs="Arial" w:eastAsia="Arial" w:hint="default"/>
                <w:spacing w:val="-9"/>
                <w:sz w:val="20"/>
                <w:szCs w:val="20"/>
              </w:rPr>
              <w:t> </w:t>
            </w:r>
            <w:r>
              <w:rPr>
                <w:rFonts w:ascii="黑体" w:hAnsi="黑体" w:cs="黑体" w:eastAsia="黑体" w:hint="default"/>
                <w:sz w:val="20"/>
                <w:szCs w:val="20"/>
              </w:rPr>
              <w:t>年</w:t>
            </w:r>
          </w:p>
        </w:tc>
      </w:tr>
      <w:tr>
        <w:trPr>
          <w:trHeight w:val="325" w:hRule="exact"/>
        </w:trPr>
        <w:tc>
          <w:tcPr>
            <w:tcW w:w="2565" w:type="dxa"/>
            <w:tcBorders>
              <w:top w:val="nil" w:sz="6" w:space="0" w:color="auto"/>
              <w:left w:val="nil" w:sz="6" w:space="0" w:color="auto"/>
              <w:bottom w:val="nil" w:sz="6" w:space="0" w:color="auto"/>
              <w:right w:val="nil" w:sz="6" w:space="0" w:color="auto"/>
            </w:tcBorders>
          </w:tcPr>
          <w:p>
            <w:pPr/>
          </w:p>
        </w:tc>
        <w:tc>
          <w:tcPr>
            <w:tcW w:w="2907" w:type="dxa"/>
            <w:tcBorders>
              <w:top w:val="nil" w:sz="6" w:space="0" w:color="auto"/>
              <w:left w:val="nil" w:sz="6" w:space="0" w:color="auto"/>
              <w:bottom w:val="nil" w:sz="6" w:space="0" w:color="auto"/>
              <w:right w:val="nil" w:sz="6" w:space="0" w:color="auto"/>
            </w:tcBorders>
          </w:tcPr>
          <w:p>
            <w:pPr>
              <w:pStyle w:val="TableParagraph"/>
              <w:spacing w:line="205" w:lineRule="exact"/>
              <w:ind w:right="1016"/>
              <w:jc w:val="right"/>
              <w:rPr>
                <w:rFonts w:ascii="黑体" w:hAnsi="黑体" w:cs="黑体" w:eastAsia="黑体" w:hint="default"/>
                <w:sz w:val="20"/>
                <w:szCs w:val="20"/>
              </w:rPr>
            </w:pPr>
            <w:r>
              <w:rPr>
                <w:rFonts w:ascii="黑体" w:hAnsi="黑体" w:cs="黑体" w:eastAsia="黑体" w:hint="default"/>
                <w:w w:val="95"/>
                <w:sz w:val="20"/>
                <w:szCs w:val="20"/>
              </w:rPr>
              <w:t>账面余额</w:t>
            </w:r>
            <w:r>
              <w:rPr>
                <w:rFonts w:ascii="黑体" w:hAnsi="黑体" w:cs="黑体" w:eastAsia="黑体" w:hint="default"/>
                <w:sz w:val="20"/>
                <w:szCs w:val="20"/>
              </w:rPr>
            </w:r>
          </w:p>
        </w:tc>
        <w:tc>
          <w:tcPr>
            <w:tcW w:w="2019" w:type="dxa"/>
            <w:tcBorders>
              <w:top w:val="nil" w:sz="6" w:space="0" w:color="auto"/>
              <w:left w:val="nil" w:sz="6" w:space="0" w:color="auto"/>
              <w:bottom w:val="nil" w:sz="6" w:space="0" w:color="auto"/>
              <w:right w:val="nil" w:sz="6" w:space="0" w:color="auto"/>
            </w:tcBorders>
          </w:tcPr>
          <w:p>
            <w:pPr>
              <w:pStyle w:val="TableParagraph"/>
              <w:spacing w:line="205" w:lineRule="exact"/>
              <w:ind w:right="201"/>
              <w:jc w:val="right"/>
              <w:rPr>
                <w:rFonts w:ascii="黑体" w:hAnsi="黑体" w:cs="黑体" w:eastAsia="黑体" w:hint="default"/>
                <w:sz w:val="20"/>
                <w:szCs w:val="20"/>
              </w:rPr>
            </w:pPr>
            <w:r>
              <w:rPr>
                <w:rFonts w:ascii="黑体" w:hAnsi="黑体" w:cs="黑体" w:eastAsia="黑体" w:hint="default"/>
                <w:w w:val="95"/>
                <w:sz w:val="20"/>
                <w:szCs w:val="20"/>
              </w:rPr>
              <w:t>账面余额</w:t>
            </w:r>
            <w:r>
              <w:rPr>
                <w:rFonts w:ascii="黑体" w:hAnsi="黑体" w:cs="黑体" w:eastAsia="黑体" w:hint="default"/>
                <w:sz w:val="20"/>
                <w:szCs w:val="20"/>
              </w:rPr>
            </w:r>
          </w:p>
        </w:tc>
      </w:tr>
      <w:tr>
        <w:trPr>
          <w:trHeight w:val="330" w:hRule="exact"/>
        </w:trPr>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00" w:right="0"/>
              <w:jc w:val="left"/>
              <w:rPr>
                <w:rFonts w:ascii="黑体" w:hAnsi="黑体" w:cs="黑体" w:eastAsia="黑体" w:hint="default"/>
                <w:sz w:val="20"/>
                <w:szCs w:val="20"/>
              </w:rPr>
            </w:pPr>
            <w:r>
              <w:rPr>
                <w:rFonts w:ascii="黑体" w:hAnsi="黑体" w:cs="黑体" w:eastAsia="黑体" w:hint="default"/>
                <w:sz w:val="20"/>
                <w:szCs w:val="20"/>
              </w:rPr>
              <w:t>应付账款</w:t>
            </w:r>
          </w:p>
        </w:tc>
        <w:tc>
          <w:tcPr>
            <w:tcW w:w="2907" w:type="dxa"/>
            <w:tcBorders>
              <w:top w:val="nil" w:sz="6" w:space="0" w:color="auto"/>
              <w:left w:val="nil" w:sz="6" w:space="0" w:color="auto"/>
              <w:bottom w:val="nil" w:sz="6" w:space="0" w:color="auto"/>
              <w:right w:val="nil" w:sz="6" w:space="0" w:color="auto"/>
            </w:tcBorders>
          </w:tcPr>
          <w:p>
            <w:pPr/>
          </w:p>
        </w:tc>
        <w:tc>
          <w:tcPr>
            <w:tcW w:w="2019" w:type="dxa"/>
            <w:tcBorders>
              <w:top w:val="nil" w:sz="6" w:space="0" w:color="auto"/>
              <w:left w:val="nil" w:sz="6" w:space="0" w:color="auto"/>
              <w:bottom w:val="nil" w:sz="6" w:space="0" w:color="auto"/>
              <w:right w:val="nil" w:sz="6" w:space="0" w:color="auto"/>
            </w:tcBorders>
          </w:tcPr>
          <w:p>
            <w:pPr/>
          </w:p>
        </w:tc>
      </w:tr>
      <w:tr>
        <w:trPr>
          <w:trHeight w:val="224" w:hRule="exact"/>
        </w:trPr>
        <w:tc>
          <w:tcPr>
            <w:tcW w:w="2565" w:type="dxa"/>
            <w:tcBorders>
              <w:top w:val="nil" w:sz="6" w:space="0" w:color="auto"/>
              <w:left w:val="nil" w:sz="6" w:space="0" w:color="auto"/>
              <w:bottom w:val="nil" w:sz="6" w:space="0" w:color="auto"/>
              <w:right w:val="nil" w:sz="6" w:space="0" w:color="auto"/>
            </w:tcBorders>
          </w:tcPr>
          <w:p>
            <w:pPr>
              <w:pStyle w:val="TableParagraph"/>
              <w:spacing w:line="210" w:lineRule="exact"/>
              <w:ind w:left="200" w:right="0"/>
              <w:jc w:val="left"/>
              <w:rPr>
                <w:rFonts w:ascii="黑体" w:hAnsi="黑体" w:cs="黑体" w:eastAsia="黑体" w:hint="default"/>
                <w:sz w:val="20"/>
                <w:szCs w:val="20"/>
              </w:rPr>
            </w:pPr>
            <w:r>
              <w:rPr>
                <w:rFonts w:ascii="黑体" w:hAnsi="黑体" w:cs="黑体" w:eastAsia="黑体" w:hint="default"/>
                <w:sz w:val="20"/>
                <w:szCs w:val="20"/>
              </w:rPr>
              <w:t>致远协创</w:t>
            </w:r>
          </w:p>
        </w:tc>
        <w:tc>
          <w:tcPr>
            <w:tcW w:w="2907" w:type="dxa"/>
            <w:tcBorders>
              <w:top w:val="nil" w:sz="6" w:space="0" w:color="auto"/>
              <w:left w:val="nil" w:sz="6" w:space="0" w:color="auto"/>
              <w:bottom w:val="nil" w:sz="6" w:space="0" w:color="auto"/>
              <w:right w:val="nil" w:sz="6" w:space="0" w:color="auto"/>
            </w:tcBorders>
          </w:tcPr>
          <w:p>
            <w:pPr>
              <w:pStyle w:val="TableParagraph"/>
              <w:spacing w:line="224" w:lineRule="exact"/>
              <w:ind w:right="1017"/>
              <w:jc w:val="right"/>
              <w:rPr>
                <w:rFonts w:ascii="Arial" w:hAnsi="Arial" w:cs="Arial" w:eastAsia="Arial" w:hint="default"/>
                <w:sz w:val="20"/>
                <w:szCs w:val="20"/>
              </w:rPr>
            </w:pPr>
            <w:r>
              <w:rPr>
                <w:rFonts w:ascii="Arial"/>
                <w:spacing w:val="-1"/>
                <w:w w:val="95"/>
                <w:sz w:val="20"/>
              </w:rPr>
              <w:t>144,585</w:t>
            </w:r>
            <w:r>
              <w:rPr>
                <w:rFonts w:ascii="Arial"/>
                <w:sz w:val="20"/>
              </w:rPr>
            </w:r>
          </w:p>
        </w:tc>
        <w:tc>
          <w:tcPr>
            <w:tcW w:w="2019" w:type="dxa"/>
            <w:tcBorders>
              <w:top w:val="nil" w:sz="6" w:space="0" w:color="auto"/>
              <w:left w:val="nil" w:sz="6" w:space="0" w:color="auto"/>
              <w:bottom w:val="nil" w:sz="6" w:space="0" w:color="auto"/>
              <w:right w:val="nil" w:sz="6" w:space="0" w:color="auto"/>
            </w:tcBorders>
          </w:tcPr>
          <w:p>
            <w:pPr>
              <w:pStyle w:val="TableParagraph"/>
              <w:spacing w:line="224" w:lineRule="exact"/>
              <w:ind w:right="202"/>
              <w:jc w:val="right"/>
              <w:rPr>
                <w:rFonts w:ascii="Arial" w:hAnsi="Arial" w:cs="Arial" w:eastAsia="Arial" w:hint="default"/>
                <w:sz w:val="20"/>
                <w:szCs w:val="20"/>
              </w:rPr>
            </w:pPr>
            <w:r>
              <w:rPr>
                <w:rFonts w:ascii="Arial"/>
                <w:spacing w:val="-1"/>
                <w:w w:val="95"/>
                <w:sz w:val="20"/>
              </w:rPr>
              <w:t>102,564</w:t>
            </w:r>
            <w:r>
              <w:rPr>
                <w:rFonts w:ascii="Arial"/>
                <w:sz w:val="20"/>
              </w:rPr>
            </w:r>
          </w:p>
        </w:tc>
      </w:tr>
      <w:tr>
        <w:trPr>
          <w:trHeight w:val="220" w:hRule="exact"/>
        </w:trPr>
        <w:tc>
          <w:tcPr>
            <w:tcW w:w="2565" w:type="dxa"/>
            <w:tcBorders>
              <w:top w:val="nil" w:sz="6" w:space="0" w:color="auto"/>
              <w:left w:val="nil" w:sz="6" w:space="0" w:color="auto"/>
              <w:bottom w:val="nil" w:sz="6" w:space="0" w:color="auto"/>
              <w:right w:val="nil" w:sz="6" w:space="0" w:color="auto"/>
            </w:tcBorders>
          </w:tcPr>
          <w:p>
            <w:pPr>
              <w:pStyle w:val="TableParagraph"/>
              <w:spacing w:line="204" w:lineRule="exact"/>
              <w:ind w:left="200" w:right="0"/>
              <w:jc w:val="left"/>
              <w:rPr>
                <w:rFonts w:ascii="黑体" w:hAnsi="黑体" w:cs="黑体" w:eastAsia="黑体" w:hint="default"/>
                <w:sz w:val="20"/>
                <w:szCs w:val="20"/>
              </w:rPr>
            </w:pPr>
            <w:r>
              <w:rPr>
                <w:rFonts w:ascii="黑体" w:hAnsi="黑体" w:cs="黑体" w:eastAsia="黑体" w:hint="default"/>
                <w:sz w:val="20"/>
                <w:szCs w:val="20"/>
              </w:rPr>
              <w:t>北京伟库</w:t>
            </w:r>
          </w:p>
        </w:tc>
        <w:tc>
          <w:tcPr>
            <w:tcW w:w="2907" w:type="dxa"/>
            <w:tcBorders>
              <w:top w:val="nil" w:sz="6" w:space="0" w:color="auto"/>
              <w:left w:val="nil" w:sz="6" w:space="0" w:color="auto"/>
              <w:bottom w:val="nil" w:sz="6" w:space="0" w:color="auto"/>
              <w:right w:val="nil" w:sz="6" w:space="0" w:color="auto"/>
            </w:tcBorders>
          </w:tcPr>
          <w:p>
            <w:pPr>
              <w:pStyle w:val="TableParagraph"/>
              <w:spacing w:line="218" w:lineRule="exact"/>
              <w:ind w:right="1016"/>
              <w:jc w:val="right"/>
              <w:rPr>
                <w:rFonts w:ascii="Arial" w:hAnsi="Arial" w:cs="Arial" w:eastAsia="Arial" w:hint="default"/>
                <w:sz w:val="20"/>
                <w:szCs w:val="20"/>
              </w:rPr>
            </w:pPr>
            <w:r>
              <w:rPr>
                <w:rFonts w:ascii="Arial"/>
                <w:spacing w:val="-1"/>
                <w:sz w:val="20"/>
              </w:rPr>
              <w:t>2,000</w:t>
            </w:r>
          </w:p>
        </w:tc>
        <w:tc>
          <w:tcPr>
            <w:tcW w:w="2019" w:type="dxa"/>
            <w:tcBorders>
              <w:top w:val="nil" w:sz="6" w:space="0" w:color="auto"/>
              <w:left w:val="nil" w:sz="6" w:space="0" w:color="auto"/>
              <w:bottom w:val="nil" w:sz="6" w:space="0" w:color="auto"/>
              <w:right w:val="nil" w:sz="6" w:space="0" w:color="auto"/>
            </w:tcBorders>
          </w:tcPr>
          <w:p>
            <w:pPr>
              <w:pStyle w:val="TableParagraph"/>
              <w:spacing w:line="218" w:lineRule="exact"/>
              <w:ind w:right="201"/>
              <w:jc w:val="right"/>
              <w:rPr>
                <w:rFonts w:ascii="Arial" w:hAnsi="Arial" w:cs="Arial" w:eastAsia="Arial" w:hint="default"/>
                <w:sz w:val="20"/>
                <w:szCs w:val="20"/>
              </w:rPr>
            </w:pPr>
            <w:r>
              <w:rPr>
                <w:rFonts w:ascii="Arial"/>
                <w:spacing w:val="-1"/>
                <w:sz w:val="20"/>
              </w:rPr>
              <w:t>2,000</w:t>
            </w:r>
          </w:p>
        </w:tc>
      </w:tr>
      <w:tr>
        <w:trPr>
          <w:trHeight w:val="226" w:hRule="exact"/>
        </w:trPr>
        <w:tc>
          <w:tcPr>
            <w:tcW w:w="2565" w:type="dxa"/>
            <w:tcBorders>
              <w:top w:val="nil" w:sz="6" w:space="0" w:color="auto"/>
              <w:left w:val="nil" w:sz="6" w:space="0" w:color="auto"/>
              <w:bottom w:val="nil" w:sz="6" w:space="0" w:color="auto"/>
              <w:right w:val="nil" w:sz="6" w:space="0" w:color="auto"/>
            </w:tcBorders>
          </w:tcPr>
          <w:p>
            <w:pPr>
              <w:pStyle w:val="TableParagraph"/>
              <w:spacing w:line="205" w:lineRule="exact"/>
              <w:ind w:left="200" w:right="0"/>
              <w:jc w:val="left"/>
              <w:rPr>
                <w:rFonts w:ascii="黑体" w:hAnsi="黑体" w:cs="黑体" w:eastAsia="黑体" w:hint="default"/>
                <w:sz w:val="20"/>
                <w:szCs w:val="20"/>
              </w:rPr>
            </w:pPr>
            <w:r>
              <w:rPr>
                <w:rFonts w:ascii="黑体" w:hAnsi="黑体" w:cs="黑体" w:eastAsia="黑体" w:hint="default"/>
                <w:sz w:val="20"/>
                <w:szCs w:val="20"/>
              </w:rPr>
              <w:t>西玛商用表单</w:t>
            </w:r>
          </w:p>
        </w:tc>
        <w:tc>
          <w:tcPr>
            <w:tcW w:w="2907" w:type="dxa"/>
            <w:tcBorders>
              <w:top w:val="nil" w:sz="6" w:space="0" w:color="auto"/>
              <w:left w:val="nil" w:sz="6" w:space="0" w:color="auto"/>
              <w:bottom w:val="nil" w:sz="6" w:space="0" w:color="auto"/>
              <w:right w:val="nil" w:sz="6" w:space="0" w:color="auto"/>
            </w:tcBorders>
          </w:tcPr>
          <w:p>
            <w:pPr>
              <w:pStyle w:val="TableParagraph"/>
              <w:spacing w:line="219" w:lineRule="exact"/>
              <w:ind w:right="1017"/>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1"/>
                <w:sz w:val="20"/>
                <w:u w:val="single" w:color="000000"/>
              </w:rPr>
              <w:t> </w:t>
            </w:r>
            <w:r>
              <w:rPr>
                <w:rFonts w:ascii="Arial"/>
                <w:spacing w:val="-1"/>
                <w:w w:val="95"/>
                <w:sz w:val="20"/>
                <w:u w:val="single" w:color="000000"/>
              </w:rPr>
              <w:t>6,372</w:t>
            </w:r>
            <w:r>
              <w:rPr>
                <w:rFonts w:ascii="Arial"/>
                <w:spacing w:val="-1"/>
                <w:w w:val="95"/>
                <w:sz w:val="20"/>
              </w:rPr>
            </w:r>
            <w:r>
              <w:rPr>
                <w:rFonts w:ascii="Arial"/>
                <w:sz w:val="20"/>
              </w:rPr>
            </w:r>
          </w:p>
        </w:tc>
        <w:tc>
          <w:tcPr>
            <w:tcW w:w="2019" w:type="dxa"/>
            <w:tcBorders>
              <w:top w:val="nil" w:sz="6" w:space="0" w:color="auto"/>
              <w:left w:val="nil" w:sz="6" w:space="0" w:color="auto"/>
              <w:bottom w:val="nil" w:sz="6" w:space="0" w:color="auto"/>
              <w:right w:val="nil" w:sz="6" w:space="0" w:color="auto"/>
            </w:tcBorders>
          </w:tcPr>
          <w:p>
            <w:pPr>
              <w:pStyle w:val="TableParagraph"/>
              <w:spacing w:line="219" w:lineRule="exact"/>
              <w:ind w:right="202"/>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
                <w:sz w:val="20"/>
                <w:u w:val="single" w:color="000000"/>
              </w:rPr>
              <w:t> </w:t>
            </w:r>
            <w:r>
              <w:rPr>
                <w:rFonts w:ascii="Arial"/>
                <w:spacing w:val="-1"/>
                <w:w w:val="95"/>
                <w:sz w:val="20"/>
                <w:u w:val="single" w:color="000000"/>
              </w:rPr>
              <w:t>7,152</w:t>
            </w:r>
            <w:r>
              <w:rPr>
                <w:rFonts w:ascii="Arial"/>
                <w:spacing w:val="-1"/>
                <w:w w:val="95"/>
                <w:sz w:val="20"/>
              </w:rPr>
            </w:r>
            <w:r>
              <w:rPr>
                <w:rFonts w:ascii="Arial"/>
                <w:sz w:val="20"/>
              </w:rPr>
            </w:r>
          </w:p>
        </w:tc>
      </w:tr>
      <w:tr>
        <w:trPr>
          <w:trHeight w:val="325" w:hRule="exact"/>
        </w:trPr>
        <w:tc>
          <w:tcPr>
            <w:tcW w:w="2565" w:type="dxa"/>
            <w:tcBorders>
              <w:top w:val="nil" w:sz="6" w:space="0" w:color="auto"/>
              <w:left w:val="nil" w:sz="6" w:space="0" w:color="auto"/>
              <w:bottom w:val="nil" w:sz="6" w:space="0" w:color="auto"/>
              <w:right w:val="nil" w:sz="6" w:space="0" w:color="auto"/>
            </w:tcBorders>
          </w:tcPr>
          <w:p>
            <w:pPr/>
          </w:p>
        </w:tc>
        <w:tc>
          <w:tcPr>
            <w:tcW w:w="2907" w:type="dxa"/>
            <w:tcBorders>
              <w:top w:val="nil" w:sz="6" w:space="0" w:color="auto"/>
              <w:left w:val="nil" w:sz="6" w:space="0" w:color="auto"/>
              <w:bottom w:val="nil" w:sz="6" w:space="0" w:color="auto"/>
              <w:right w:val="nil" w:sz="6" w:space="0" w:color="auto"/>
            </w:tcBorders>
          </w:tcPr>
          <w:p>
            <w:pPr>
              <w:pStyle w:val="TableParagraph"/>
              <w:spacing w:line="215" w:lineRule="exact"/>
              <w:ind w:right="1017"/>
              <w:jc w:val="right"/>
              <w:rPr>
                <w:rFonts w:ascii="Arial" w:hAnsi="Arial" w:cs="Arial" w:eastAsia="Arial" w:hint="default"/>
                <w:sz w:val="20"/>
                <w:szCs w:val="20"/>
              </w:rPr>
            </w:pPr>
            <w:r>
              <w:rPr>
                <w:rFonts w:ascii="Arial"/>
                <w:w w:val="99"/>
                <w:sz w:val="20"/>
              </w:rPr>
            </w:r>
            <w:r>
              <w:rPr>
                <w:rFonts w:ascii="Arial"/>
                <w:spacing w:val="-1"/>
                <w:w w:val="95"/>
                <w:sz w:val="20"/>
                <w:u w:val="thick" w:color="000000"/>
              </w:rPr>
              <w:t>152,957</w:t>
            </w:r>
            <w:r>
              <w:rPr>
                <w:rFonts w:ascii="Arial"/>
                <w:spacing w:val="-1"/>
                <w:w w:val="95"/>
                <w:sz w:val="20"/>
              </w:rPr>
            </w:r>
            <w:r>
              <w:rPr>
                <w:rFonts w:ascii="Arial"/>
                <w:sz w:val="20"/>
              </w:rPr>
            </w:r>
          </w:p>
        </w:tc>
        <w:tc>
          <w:tcPr>
            <w:tcW w:w="2019" w:type="dxa"/>
            <w:tcBorders>
              <w:top w:val="nil" w:sz="6" w:space="0" w:color="auto"/>
              <w:left w:val="nil" w:sz="6" w:space="0" w:color="auto"/>
              <w:bottom w:val="nil" w:sz="6" w:space="0" w:color="auto"/>
              <w:right w:val="nil" w:sz="6" w:space="0" w:color="auto"/>
            </w:tcBorders>
          </w:tcPr>
          <w:p>
            <w:pPr>
              <w:pStyle w:val="TableParagraph"/>
              <w:spacing w:line="215" w:lineRule="exact"/>
              <w:ind w:right="202"/>
              <w:jc w:val="right"/>
              <w:rPr>
                <w:rFonts w:ascii="Arial" w:hAnsi="Arial" w:cs="Arial" w:eastAsia="Arial" w:hint="default"/>
                <w:sz w:val="20"/>
                <w:szCs w:val="20"/>
              </w:rPr>
            </w:pPr>
            <w:r>
              <w:rPr>
                <w:rFonts w:ascii="Arial"/>
                <w:w w:val="99"/>
                <w:sz w:val="20"/>
              </w:rPr>
            </w:r>
            <w:r>
              <w:rPr>
                <w:rFonts w:ascii="Arial"/>
                <w:spacing w:val="-1"/>
                <w:w w:val="95"/>
                <w:sz w:val="20"/>
                <w:u w:val="thick" w:color="000000"/>
              </w:rPr>
              <w:t>111,716</w:t>
            </w:r>
            <w:r>
              <w:rPr>
                <w:rFonts w:ascii="Arial"/>
                <w:spacing w:val="-1"/>
                <w:w w:val="95"/>
                <w:sz w:val="20"/>
              </w:rPr>
            </w:r>
            <w:r>
              <w:rPr>
                <w:rFonts w:ascii="Arial"/>
                <w:sz w:val="20"/>
              </w:rPr>
            </w:r>
          </w:p>
        </w:tc>
      </w:tr>
      <w:tr>
        <w:trPr>
          <w:trHeight w:val="325" w:hRule="exact"/>
        </w:trPr>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00" w:right="0"/>
              <w:jc w:val="left"/>
              <w:rPr>
                <w:rFonts w:ascii="黑体" w:hAnsi="黑体" w:cs="黑体" w:eastAsia="黑体" w:hint="default"/>
                <w:sz w:val="20"/>
                <w:szCs w:val="20"/>
              </w:rPr>
            </w:pPr>
            <w:r>
              <w:rPr>
                <w:rFonts w:ascii="黑体" w:hAnsi="黑体" w:cs="黑体" w:eastAsia="黑体" w:hint="default"/>
                <w:sz w:val="20"/>
                <w:szCs w:val="20"/>
              </w:rPr>
              <w:t>其他应付款</w:t>
            </w:r>
          </w:p>
        </w:tc>
        <w:tc>
          <w:tcPr>
            <w:tcW w:w="2907" w:type="dxa"/>
            <w:tcBorders>
              <w:top w:val="nil" w:sz="6" w:space="0" w:color="auto"/>
              <w:left w:val="nil" w:sz="6" w:space="0" w:color="auto"/>
              <w:bottom w:val="nil" w:sz="6" w:space="0" w:color="auto"/>
              <w:right w:val="nil" w:sz="6" w:space="0" w:color="auto"/>
            </w:tcBorders>
          </w:tcPr>
          <w:p>
            <w:pPr/>
          </w:p>
        </w:tc>
        <w:tc>
          <w:tcPr>
            <w:tcW w:w="2019" w:type="dxa"/>
            <w:tcBorders>
              <w:top w:val="nil" w:sz="6" w:space="0" w:color="auto"/>
              <w:left w:val="nil" w:sz="6" w:space="0" w:color="auto"/>
              <w:bottom w:val="nil" w:sz="6" w:space="0" w:color="auto"/>
              <w:right w:val="nil" w:sz="6" w:space="0" w:color="auto"/>
            </w:tcBorders>
          </w:tcPr>
          <w:p>
            <w:pPr/>
          </w:p>
        </w:tc>
      </w:tr>
      <w:tr>
        <w:trPr>
          <w:trHeight w:val="224" w:hRule="exact"/>
        </w:trPr>
        <w:tc>
          <w:tcPr>
            <w:tcW w:w="2565" w:type="dxa"/>
            <w:tcBorders>
              <w:top w:val="nil" w:sz="6" w:space="0" w:color="auto"/>
              <w:left w:val="nil" w:sz="6" w:space="0" w:color="auto"/>
              <w:bottom w:val="nil" w:sz="6" w:space="0" w:color="auto"/>
              <w:right w:val="nil" w:sz="6" w:space="0" w:color="auto"/>
            </w:tcBorders>
          </w:tcPr>
          <w:p>
            <w:pPr>
              <w:pStyle w:val="TableParagraph"/>
              <w:spacing w:line="210" w:lineRule="exact"/>
              <w:ind w:left="200" w:right="0"/>
              <w:jc w:val="left"/>
              <w:rPr>
                <w:rFonts w:ascii="黑体" w:hAnsi="黑体" w:cs="黑体" w:eastAsia="黑体" w:hint="default"/>
                <w:sz w:val="20"/>
                <w:szCs w:val="20"/>
              </w:rPr>
            </w:pPr>
            <w:r>
              <w:rPr>
                <w:rFonts w:ascii="黑体" w:hAnsi="黑体" w:cs="黑体" w:eastAsia="黑体" w:hint="default"/>
                <w:sz w:val="20"/>
                <w:szCs w:val="20"/>
              </w:rPr>
              <w:t>致远协创</w:t>
            </w:r>
          </w:p>
        </w:tc>
        <w:tc>
          <w:tcPr>
            <w:tcW w:w="2907" w:type="dxa"/>
            <w:tcBorders>
              <w:top w:val="nil" w:sz="6" w:space="0" w:color="auto"/>
              <w:left w:val="nil" w:sz="6" w:space="0" w:color="auto"/>
              <w:bottom w:val="nil" w:sz="6" w:space="0" w:color="auto"/>
              <w:right w:val="nil" w:sz="6" w:space="0" w:color="auto"/>
            </w:tcBorders>
          </w:tcPr>
          <w:p>
            <w:pPr>
              <w:pStyle w:val="TableParagraph"/>
              <w:spacing w:line="224" w:lineRule="exact"/>
              <w:ind w:right="1017"/>
              <w:jc w:val="right"/>
              <w:rPr>
                <w:rFonts w:ascii="Arial" w:hAnsi="Arial" w:cs="Arial" w:eastAsia="Arial" w:hint="default"/>
                <w:sz w:val="20"/>
                <w:szCs w:val="20"/>
              </w:rPr>
            </w:pPr>
            <w:r>
              <w:rPr>
                <w:rFonts w:ascii="Arial"/>
                <w:spacing w:val="-1"/>
                <w:w w:val="95"/>
                <w:sz w:val="20"/>
              </w:rPr>
              <w:t>232,000</w:t>
            </w:r>
            <w:r>
              <w:rPr>
                <w:rFonts w:ascii="Arial"/>
                <w:sz w:val="20"/>
              </w:rPr>
            </w:r>
          </w:p>
        </w:tc>
        <w:tc>
          <w:tcPr>
            <w:tcW w:w="2019" w:type="dxa"/>
            <w:tcBorders>
              <w:top w:val="nil" w:sz="6" w:space="0" w:color="auto"/>
              <w:left w:val="nil" w:sz="6" w:space="0" w:color="auto"/>
              <w:bottom w:val="nil" w:sz="6" w:space="0" w:color="auto"/>
              <w:right w:val="nil" w:sz="6" w:space="0" w:color="auto"/>
            </w:tcBorders>
          </w:tcPr>
          <w:p>
            <w:pPr>
              <w:pStyle w:val="TableParagraph"/>
              <w:spacing w:line="224" w:lineRule="exact"/>
              <w:ind w:right="202"/>
              <w:jc w:val="right"/>
              <w:rPr>
                <w:rFonts w:ascii="Arial" w:hAnsi="Arial" w:cs="Arial" w:eastAsia="Arial" w:hint="default"/>
                <w:sz w:val="20"/>
                <w:szCs w:val="20"/>
              </w:rPr>
            </w:pPr>
            <w:r>
              <w:rPr>
                <w:rFonts w:ascii="Arial"/>
                <w:spacing w:val="-1"/>
                <w:sz w:val="20"/>
              </w:rPr>
              <w:t>22,000</w:t>
            </w:r>
            <w:r>
              <w:rPr>
                <w:rFonts w:ascii="Arial"/>
                <w:sz w:val="20"/>
              </w:rPr>
            </w:r>
          </w:p>
        </w:tc>
      </w:tr>
      <w:tr>
        <w:trPr>
          <w:trHeight w:val="220" w:hRule="exact"/>
        </w:trPr>
        <w:tc>
          <w:tcPr>
            <w:tcW w:w="2565" w:type="dxa"/>
            <w:tcBorders>
              <w:top w:val="nil" w:sz="6" w:space="0" w:color="auto"/>
              <w:left w:val="nil" w:sz="6" w:space="0" w:color="auto"/>
              <w:bottom w:val="nil" w:sz="6" w:space="0" w:color="auto"/>
              <w:right w:val="nil" w:sz="6" w:space="0" w:color="auto"/>
            </w:tcBorders>
          </w:tcPr>
          <w:p>
            <w:pPr>
              <w:pStyle w:val="TableParagraph"/>
              <w:spacing w:line="204" w:lineRule="exact"/>
              <w:ind w:left="200" w:right="0"/>
              <w:jc w:val="left"/>
              <w:rPr>
                <w:rFonts w:ascii="黑体" w:hAnsi="黑体" w:cs="黑体" w:eastAsia="黑体" w:hint="default"/>
                <w:sz w:val="20"/>
                <w:szCs w:val="20"/>
              </w:rPr>
            </w:pPr>
            <w:r>
              <w:rPr>
                <w:rFonts w:ascii="黑体" w:hAnsi="黑体" w:cs="黑体" w:eastAsia="黑体" w:hint="default"/>
                <w:sz w:val="20"/>
                <w:szCs w:val="20"/>
              </w:rPr>
              <w:t>西玛商用表单</w:t>
            </w:r>
          </w:p>
        </w:tc>
        <w:tc>
          <w:tcPr>
            <w:tcW w:w="2907" w:type="dxa"/>
            <w:tcBorders>
              <w:top w:val="nil" w:sz="6" w:space="0" w:color="auto"/>
              <w:left w:val="nil" w:sz="6" w:space="0" w:color="auto"/>
              <w:bottom w:val="nil" w:sz="6" w:space="0" w:color="auto"/>
              <w:right w:val="nil" w:sz="6" w:space="0" w:color="auto"/>
            </w:tcBorders>
          </w:tcPr>
          <w:p>
            <w:pPr>
              <w:pStyle w:val="TableParagraph"/>
              <w:spacing w:line="218" w:lineRule="exact"/>
              <w:ind w:right="1017"/>
              <w:jc w:val="right"/>
              <w:rPr>
                <w:rFonts w:ascii="Arial" w:hAnsi="Arial" w:cs="Arial" w:eastAsia="Arial" w:hint="default"/>
                <w:sz w:val="20"/>
                <w:szCs w:val="20"/>
              </w:rPr>
            </w:pPr>
            <w:r>
              <w:rPr>
                <w:rFonts w:ascii="Arial"/>
                <w:spacing w:val="-1"/>
                <w:sz w:val="20"/>
              </w:rPr>
              <w:t>31,280</w:t>
            </w:r>
            <w:r>
              <w:rPr>
                <w:rFonts w:ascii="Arial"/>
                <w:sz w:val="20"/>
              </w:rPr>
            </w:r>
          </w:p>
        </w:tc>
        <w:tc>
          <w:tcPr>
            <w:tcW w:w="2019" w:type="dxa"/>
            <w:tcBorders>
              <w:top w:val="nil" w:sz="6" w:space="0" w:color="auto"/>
              <w:left w:val="nil" w:sz="6" w:space="0" w:color="auto"/>
              <w:bottom w:val="nil" w:sz="6" w:space="0" w:color="auto"/>
              <w:right w:val="nil" w:sz="6" w:space="0" w:color="auto"/>
            </w:tcBorders>
          </w:tcPr>
          <w:p>
            <w:pPr>
              <w:pStyle w:val="TableParagraph"/>
              <w:spacing w:line="218" w:lineRule="exact"/>
              <w:ind w:right="202"/>
              <w:jc w:val="right"/>
              <w:rPr>
                <w:rFonts w:ascii="Arial" w:hAnsi="Arial" w:cs="Arial" w:eastAsia="Arial" w:hint="default"/>
                <w:sz w:val="20"/>
                <w:szCs w:val="20"/>
              </w:rPr>
            </w:pPr>
            <w:r>
              <w:rPr>
                <w:rFonts w:ascii="Arial"/>
                <w:spacing w:val="-1"/>
                <w:w w:val="95"/>
                <w:sz w:val="20"/>
              </w:rPr>
              <w:t>2,993</w:t>
            </w:r>
            <w:r>
              <w:rPr>
                <w:rFonts w:ascii="Arial"/>
                <w:sz w:val="20"/>
              </w:rPr>
            </w:r>
          </w:p>
        </w:tc>
      </w:tr>
      <w:tr>
        <w:trPr>
          <w:trHeight w:val="226" w:hRule="exact"/>
        </w:trPr>
        <w:tc>
          <w:tcPr>
            <w:tcW w:w="2565" w:type="dxa"/>
            <w:tcBorders>
              <w:top w:val="nil" w:sz="6" w:space="0" w:color="auto"/>
              <w:left w:val="nil" w:sz="6" w:space="0" w:color="auto"/>
              <w:bottom w:val="nil" w:sz="6" w:space="0" w:color="auto"/>
              <w:right w:val="nil" w:sz="6" w:space="0" w:color="auto"/>
            </w:tcBorders>
          </w:tcPr>
          <w:p>
            <w:pPr>
              <w:pStyle w:val="TableParagraph"/>
              <w:spacing w:line="205" w:lineRule="exact"/>
              <w:ind w:left="224" w:right="0"/>
              <w:jc w:val="left"/>
              <w:rPr>
                <w:rFonts w:ascii="黑体" w:hAnsi="黑体" w:cs="黑体" w:eastAsia="黑体" w:hint="default"/>
                <w:sz w:val="20"/>
                <w:szCs w:val="20"/>
              </w:rPr>
            </w:pPr>
            <w:r>
              <w:rPr>
                <w:rFonts w:ascii="黑体" w:hAnsi="黑体" w:cs="黑体" w:eastAsia="黑体" w:hint="default"/>
                <w:sz w:val="20"/>
                <w:szCs w:val="20"/>
              </w:rPr>
              <w:t>北京伟库</w:t>
            </w:r>
          </w:p>
        </w:tc>
        <w:tc>
          <w:tcPr>
            <w:tcW w:w="2907" w:type="dxa"/>
            <w:tcBorders>
              <w:top w:val="nil" w:sz="6" w:space="0" w:color="auto"/>
              <w:left w:val="nil" w:sz="6" w:space="0" w:color="auto"/>
              <w:bottom w:val="nil" w:sz="6" w:space="0" w:color="auto"/>
              <w:right w:val="nil" w:sz="6" w:space="0" w:color="auto"/>
            </w:tcBorders>
          </w:tcPr>
          <w:p>
            <w:pPr>
              <w:pStyle w:val="TableParagraph"/>
              <w:spacing w:line="219" w:lineRule="exact"/>
              <w:ind w:right="1016"/>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sz w:val="20"/>
                <w:u w:val="single" w:color="000000"/>
              </w:rPr>
              <w:t>17,000</w:t>
            </w:r>
            <w:r>
              <w:rPr>
                <w:rFonts w:ascii="Arial"/>
                <w:spacing w:val="-1"/>
                <w:sz w:val="20"/>
              </w:rPr>
            </w:r>
          </w:p>
        </w:tc>
        <w:tc>
          <w:tcPr>
            <w:tcW w:w="2019" w:type="dxa"/>
            <w:tcBorders>
              <w:top w:val="nil" w:sz="6" w:space="0" w:color="auto"/>
              <w:left w:val="nil" w:sz="6" w:space="0" w:color="auto"/>
              <w:bottom w:val="nil" w:sz="6" w:space="0" w:color="auto"/>
              <w:right w:val="nil" w:sz="6" w:space="0" w:color="auto"/>
            </w:tcBorders>
          </w:tcPr>
          <w:p>
            <w:pPr>
              <w:pStyle w:val="TableParagraph"/>
              <w:tabs>
                <w:tab w:pos="631" w:val="left" w:leader="none"/>
              </w:tabs>
              <w:spacing w:line="219" w:lineRule="exact"/>
              <w:ind w:right="19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r>
      <w:tr>
        <w:trPr>
          <w:trHeight w:val="210" w:hRule="exact"/>
        </w:trPr>
        <w:tc>
          <w:tcPr>
            <w:tcW w:w="2565" w:type="dxa"/>
            <w:tcBorders>
              <w:top w:val="nil" w:sz="6" w:space="0" w:color="auto"/>
              <w:left w:val="nil" w:sz="6" w:space="0" w:color="auto"/>
              <w:bottom w:val="nil" w:sz="6" w:space="0" w:color="auto"/>
              <w:right w:val="nil" w:sz="6" w:space="0" w:color="auto"/>
            </w:tcBorders>
          </w:tcPr>
          <w:p>
            <w:pPr/>
          </w:p>
        </w:tc>
        <w:tc>
          <w:tcPr>
            <w:tcW w:w="2907" w:type="dxa"/>
            <w:tcBorders>
              <w:top w:val="nil" w:sz="6" w:space="0" w:color="auto"/>
              <w:left w:val="nil" w:sz="6" w:space="0" w:color="auto"/>
              <w:bottom w:val="nil" w:sz="6" w:space="0" w:color="auto"/>
              <w:right w:val="nil" w:sz="6" w:space="0" w:color="auto"/>
            </w:tcBorders>
          </w:tcPr>
          <w:p>
            <w:pPr>
              <w:pStyle w:val="TableParagraph"/>
              <w:spacing w:line="215" w:lineRule="exact"/>
              <w:ind w:right="1017"/>
              <w:jc w:val="right"/>
              <w:rPr>
                <w:rFonts w:ascii="Arial" w:hAnsi="Arial" w:cs="Arial" w:eastAsia="Arial" w:hint="default"/>
                <w:sz w:val="20"/>
                <w:szCs w:val="20"/>
              </w:rPr>
            </w:pPr>
            <w:r>
              <w:rPr>
                <w:rFonts w:ascii="Arial"/>
                <w:w w:val="99"/>
                <w:sz w:val="20"/>
              </w:rPr>
            </w:r>
            <w:r>
              <w:rPr>
                <w:rFonts w:ascii="Arial"/>
                <w:spacing w:val="-1"/>
                <w:w w:val="95"/>
                <w:sz w:val="20"/>
                <w:u w:val="thick" w:color="000000"/>
              </w:rPr>
              <w:t>280,280</w:t>
            </w:r>
            <w:r>
              <w:rPr>
                <w:rFonts w:ascii="Arial"/>
                <w:spacing w:val="-1"/>
                <w:w w:val="95"/>
                <w:sz w:val="20"/>
              </w:rPr>
            </w:r>
            <w:r>
              <w:rPr>
                <w:rFonts w:ascii="Arial"/>
                <w:sz w:val="20"/>
              </w:rPr>
            </w:r>
          </w:p>
        </w:tc>
        <w:tc>
          <w:tcPr>
            <w:tcW w:w="2019" w:type="dxa"/>
            <w:tcBorders>
              <w:top w:val="nil" w:sz="6" w:space="0" w:color="auto"/>
              <w:left w:val="nil" w:sz="6" w:space="0" w:color="auto"/>
              <w:bottom w:val="nil" w:sz="6" w:space="0" w:color="auto"/>
              <w:right w:val="nil" w:sz="6" w:space="0" w:color="auto"/>
            </w:tcBorders>
          </w:tcPr>
          <w:p>
            <w:pPr>
              <w:pStyle w:val="TableParagraph"/>
              <w:spacing w:line="215" w:lineRule="exact"/>
              <w:ind w:right="201"/>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pacing w:val="-11"/>
                <w:sz w:val="20"/>
                <w:u w:val="thick" w:color="000000"/>
              </w:rPr>
              <w:t> </w:t>
            </w:r>
            <w:r>
              <w:rPr>
                <w:rFonts w:ascii="Arial"/>
                <w:spacing w:val="-1"/>
                <w:sz w:val="20"/>
                <w:u w:val="thick" w:color="000000"/>
              </w:rPr>
              <w:t>24,993</w:t>
            </w:r>
            <w:r>
              <w:rPr>
                <w:rFonts w:ascii="Arial"/>
                <w:spacing w:val="-1"/>
                <w:sz w:val="20"/>
              </w:rPr>
            </w:r>
          </w:p>
        </w:tc>
      </w:tr>
    </w:tbl>
    <w:p>
      <w:pPr>
        <w:spacing w:line="240" w:lineRule="auto" w:before="7"/>
        <w:rPr>
          <w:rFonts w:ascii="黑体" w:hAnsi="黑体" w:cs="黑体" w:eastAsia="黑体" w:hint="default"/>
          <w:b/>
          <w:bCs/>
          <w:sz w:val="16"/>
          <w:szCs w:val="16"/>
        </w:rPr>
      </w:pPr>
    </w:p>
    <w:p>
      <w:pPr>
        <w:pStyle w:val="BodyText"/>
        <w:spacing w:line="240" w:lineRule="auto" w:before="37"/>
        <w:ind w:left="821" w:right="0"/>
        <w:jc w:val="left"/>
      </w:pPr>
      <w:r>
        <w:rPr/>
        <w:t>应收及应付关联方款项均不计利息、无抵押、且无固定还款期。</w:t>
      </w:r>
    </w:p>
    <w:p>
      <w:pPr>
        <w:spacing w:after="0" w:line="240" w:lineRule="auto"/>
        <w:jc w:val="left"/>
        <w:sectPr>
          <w:pgSz w:w="11910" w:h="16840"/>
          <w:pgMar w:header="825" w:footer="473" w:top="2420" w:bottom="660" w:left="1600" w:right="1280"/>
        </w:sectPr>
      </w:pPr>
    </w:p>
    <w:p>
      <w:pPr>
        <w:spacing w:line="240" w:lineRule="auto" w:before="5"/>
        <w:rPr>
          <w:rFonts w:ascii="黑体" w:hAnsi="黑体" w:cs="黑体" w:eastAsia="黑体" w:hint="default"/>
          <w:sz w:val="20"/>
          <w:szCs w:val="20"/>
        </w:rPr>
      </w:pPr>
    </w:p>
    <w:p>
      <w:pPr>
        <w:pStyle w:val="Heading6"/>
        <w:tabs>
          <w:tab w:pos="804" w:val="left" w:leader="none"/>
        </w:tabs>
        <w:spacing w:line="240" w:lineRule="auto"/>
        <w:ind w:right="0"/>
        <w:jc w:val="left"/>
        <w:rPr>
          <w:b w:val="0"/>
          <w:bCs w:val="0"/>
        </w:rPr>
      </w:pPr>
      <w:r>
        <w:rPr>
          <w:w w:val="95"/>
        </w:rPr>
        <w:t>七、</w:t>
        <w:tab/>
      </w:r>
      <w:r>
        <w:rPr/>
        <w:t>股份支付</w:t>
      </w:r>
      <w:r>
        <w:rPr>
          <w:b w:val="0"/>
          <w:bCs w:val="0"/>
        </w:rPr>
      </w:r>
    </w:p>
    <w:p>
      <w:pPr>
        <w:spacing w:line="240" w:lineRule="auto" w:before="12"/>
        <w:rPr>
          <w:rFonts w:ascii="黑体" w:hAnsi="黑体" w:cs="黑体" w:eastAsia="黑体" w:hint="default"/>
          <w:b/>
          <w:bCs/>
          <w:sz w:val="22"/>
          <w:szCs w:val="22"/>
        </w:rPr>
      </w:pPr>
    </w:p>
    <w:p>
      <w:pPr>
        <w:pStyle w:val="BodyText"/>
        <w:tabs>
          <w:tab w:pos="823" w:val="left" w:leader="none"/>
        </w:tabs>
        <w:spacing w:line="240" w:lineRule="auto"/>
        <w:ind w:left="101" w:right="0"/>
        <w:jc w:val="left"/>
      </w:pPr>
      <w:r>
        <w:rPr>
          <w:rFonts w:ascii="Arial" w:hAnsi="Arial" w:cs="Arial" w:eastAsia="Arial" w:hint="default"/>
          <w:spacing w:val="-1"/>
        </w:rPr>
        <w:t>1.</w:t>
        <w:tab/>
      </w:r>
      <w:r>
        <w:rPr/>
        <w:t>概况</w:t>
      </w:r>
    </w:p>
    <w:p>
      <w:pPr>
        <w:spacing w:line="240" w:lineRule="auto" w:before="12"/>
        <w:rPr>
          <w:rFonts w:ascii="黑体" w:hAnsi="黑体" w:cs="黑体" w:eastAsia="黑体" w:hint="default"/>
          <w:sz w:val="27"/>
          <w:szCs w:val="27"/>
        </w:rPr>
      </w:pPr>
    </w:p>
    <w:tbl>
      <w:tblPr>
        <w:tblW w:w="0" w:type="auto"/>
        <w:jc w:val="left"/>
        <w:tblInd w:w="609" w:type="dxa"/>
        <w:tblLayout w:type="fixed"/>
        <w:tblCellMar>
          <w:top w:w="0" w:type="dxa"/>
          <w:left w:w="0" w:type="dxa"/>
          <w:bottom w:w="0" w:type="dxa"/>
          <w:right w:w="0" w:type="dxa"/>
        </w:tblCellMar>
        <w:tblLook w:val="01E0"/>
      </w:tblPr>
      <w:tblGrid>
        <w:gridCol w:w="4864"/>
        <w:gridCol w:w="1995"/>
        <w:gridCol w:w="1620"/>
      </w:tblGrid>
      <w:tr>
        <w:trPr>
          <w:trHeight w:val="383" w:hRule="exact"/>
        </w:trPr>
        <w:tc>
          <w:tcPr>
            <w:tcW w:w="4864" w:type="dxa"/>
            <w:tcBorders>
              <w:top w:val="nil" w:sz="6" w:space="0" w:color="auto"/>
              <w:left w:val="nil" w:sz="6" w:space="0" w:color="auto"/>
              <w:bottom w:val="nil" w:sz="6" w:space="0" w:color="auto"/>
              <w:right w:val="nil" w:sz="6" w:space="0" w:color="auto"/>
            </w:tcBorders>
          </w:tcPr>
          <w:p>
            <w:pPr/>
          </w:p>
        </w:tc>
        <w:tc>
          <w:tcPr>
            <w:tcW w:w="1995" w:type="dxa"/>
            <w:tcBorders>
              <w:top w:val="nil" w:sz="6" w:space="0" w:color="auto"/>
              <w:left w:val="nil" w:sz="6" w:space="0" w:color="auto"/>
              <w:bottom w:val="nil" w:sz="6" w:space="0" w:color="auto"/>
              <w:right w:val="nil" w:sz="6" w:space="0" w:color="auto"/>
            </w:tcBorders>
          </w:tcPr>
          <w:p>
            <w:pPr>
              <w:pStyle w:val="TableParagraph"/>
              <w:spacing w:line="214" w:lineRule="exact"/>
              <w:ind w:right="421"/>
              <w:jc w:val="right"/>
              <w:rPr>
                <w:rFonts w:ascii="黑体" w:hAnsi="黑体" w:cs="黑体" w:eastAsia="黑体" w:hint="default"/>
                <w:sz w:val="20"/>
                <w:szCs w:val="20"/>
              </w:rPr>
            </w:pPr>
            <w:bookmarkStart w:name="1.    概况" w:id="146"/>
            <w:bookmarkEnd w:id="146"/>
            <w:r>
              <w:rPr/>
            </w:r>
            <w:r>
              <w:rPr>
                <w:rFonts w:ascii="Arial" w:hAnsi="Arial" w:cs="Arial" w:eastAsia="Arial" w:hint="default"/>
                <w:sz w:val="20"/>
                <w:szCs w:val="20"/>
              </w:rPr>
              <w:t>2012</w:t>
            </w:r>
            <w:r>
              <w:rPr>
                <w:rFonts w:ascii="Arial" w:hAnsi="Arial" w:cs="Arial" w:eastAsia="Arial" w:hint="default"/>
                <w:spacing w:val="-9"/>
                <w:sz w:val="20"/>
                <w:szCs w:val="20"/>
              </w:rPr>
              <w:t> </w:t>
            </w:r>
            <w:r>
              <w:rPr>
                <w:rFonts w:ascii="黑体" w:hAnsi="黑体" w:cs="黑体" w:eastAsia="黑体" w:hint="default"/>
                <w:sz w:val="20"/>
                <w:szCs w:val="20"/>
              </w:rPr>
              <w:t>年</w:t>
            </w:r>
          </w:p>
        </w:tc>
        <w:tc>
          <w:tcPr>
            <w:tcW w:w="1620" w:type="dxa"/>
            <w:tcBorders>
              <w:top w:val="nil" w:sz="6" w:space="0" w:color="auto"/>
              <w:left w:val="nil" w:sz="6" w:space="0" w:color="auto"/>
              <w:bottom w:val="nil" w:sz="6" w:space="0" w:color="auto"/>
              <w:right w:val="nil" w:sz="6" w:space="0" w:color="auto"/>
            </w:tcBorders>
          </w:tcPr>
          <w:p>
            <w:pPr>
              <w:pStyle w:val="TableParagraph"/>
              <w:spacing w:line="250" w:lineRule="exact"/>
              <w:ind w:right="198"/>
              <w:jc w:val="right"/>
              <w:rPr>
                <w:rFonts w:ascii="黑体" w:hAnsi="黑体" w:cs="黑体" w:eastAsia="黑体" w:hint="default"/>
                <w:sz w:val="20"/>
                <w:szCs w:val="20"/>
              </w:rPr>
            </w:pPr>
            <w:r>
              <w:rPr>
                <w:rFonts w:ascii="Arial" w:hAnsi="Arial" w:cs="Arial" w:eastAsia="Arial" w:hint="default"/>
                <w:sz w:val="20"/>
                <w:szCs w:val="20"/>
              </w:rPr>
              <w:t>2011</w:t>
            </w:r>
            <w:r>
              <w:rPr>
                <w:rFonts w:ascii="Arial" w:hAnsi="Arial" w:cs="Arial" w:eastAsia="Arial" w:hint="default"/>
                <w:spacing w:val="-9"/>
                <w:sz w:val="20"/>
                <w:szCs w:val="20"/>
              </w:rPr>
              <w:t> </w:t>
            </w:r>
            <w:r>
              <w:rPr>
                <w:rFonts w:ascii="黑体" w:hAnsi="黑体" w:cs="黑体" w:eastAsia="黑体" w:hint="default"/>
                <w:sz w:val="20"/>
                <w:szCs w:val="20"/>
              </w:rPr>
              <w:t>年</w:t>
            </w:r>
          </w:p>
        </w:tc>
      </w:tr>
      <w:tr>
        <w:trPr>
          <w:trHeight w:val="377" w:hRule="exact"/>
        </w:trPr>
        <w:tc>
          <w:tcPr>
            <w:tcW w:w="4864"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00" w:right="0"/>
              <w:jc w:val="left"/>
              <w:rPr>
                <w:rFonts w:ascii="黑体" w:hAnsi="黑体" w:cs="黑体" w:eastAsia="黑体" w:hint="default"/>
                <w:sz w:val="20"/>
                <w:szCs w:val="20"/>
              </w:rPr>
            </w:pPr>
            <w:r>
              <w:rPr>
                <w:rFonts w:ascii="黑体" w:hAnsi="黑体" w:cs="黑体" w:eastAsia="黑体" w:hint="default"/>
                <w:sz w:val="20"/>
                <w:szCs w:val="20"/>
              </w:rPr>
              <w:t>授予的各项权益工具总额</w:t>
            </w:r>
          </w:p>
        </w:tc>
        <w:tc>
          <w:tcPr>
            <w:tcW w:w="1995"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19"/>
              <w:jc w:val="right"/>
              <w:rPr>
                <w:rFonts w:ascii="Arial" w:hAnsi="Arial" w:cs="Arial" w:eastAsia="Arial" w:hint="default"/>
                <w:sz w:val="20"/>
                <w:szCs w:val="20"/>
              </w:rPr>
            </w:pPr>
            <w:r>
              <w:rPr>
                <w:rFonts w:ascii="Arial"/>
                <w:w w:val="99"/>
                <w:sz w:val="20"/>
              </w:rPr>
              <w:t>-</w:t>
            </w:r>
            <w:r>
              <w:rPr>
                <w:rFonts w:ascii="Arial"/>
                <w:sz w:val="20"/>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8"/>
              <w:jc w:val="right"/>
              <w:rPr>
                <w:rFonts w:ascii="Arial" w:hAnsi="Arial" w:cs="Arial" w:eastAsia="Arial" w:hint="default"/>
                <w:sz w:val="20"/>
                <w:szCs w:val="20"/>
              </w:rPr>
            </w:pPr>
            <w:r>
              <w:rPr>
                <w:rFonts w:ascii="Arial"/>
                <w:spacing w:val="-1"/>
                <w:sz w:val="20"/>
              </w:rPr>
              <w:t>22,035,561</w:t>
            </w:r>
            <w:r>
              <w:rPr>
                <w:rFonts w:ascii="Arial"/>
                <w:sz w:val="20"/>
              </w:rPr>
            </w:r>
          </w:p>
        </w:tc>
      </w:tr>
      <w:tr>
        <w:trPr>
          <w:trHeight w:val="256" w:hRule="exact"/>
        </w:trPr>
        <w:tc>
          <w:tcPr>
            <w:tcW w:w="4864" w:type="dxa"/>
            <w:tcBorders>
              <w:top w:val="nil" w:sz="6" w:space="0" w:color="auto"/>
              <w:left w:val="nil" w:sz="6" w:space="0" w:color="auto"/>
              <w:bottom w:val="nil" w:sz="6" w:space="0" w:color="auto"/>
              <w:right w:val="nil" w:sz="6" w:space="0" w:color="auto"/>
            </w:tcBorders>
          </w:tcPr>
          <w:p>
            <w:pPr>
              <w:pStyle w:val="TableParagraph"/>
              <w:spacing w:line="241" w:lineRule="exact"/>
              <w:ind w:left="200" w:right="0"/>
              <w:jc w:val="left"/>
              <w:rPr>
                <w:rFonts w:ascii="黑体" w:hAnsi="黑体" w:cs="黑体" w:eastAsia="黑体" w:hint="default"/>
                <w:sz w:val="20"/>
                <w:szCs w:val="20"/>
              </w:rPr>
            </w:pPr>
            <w:r>
              <w:rPr>
                <w:rFonts w:ascii="黑体" w:hAnsi="黑体" w:cs="黑体" w:eastAsia="黑体" w:hint="default"/>
                <w:sz w:val="20"/>
                <w:szCs w:val="20"/>
              </w:rPr>
              <w:t>行权的各项权益工具总额</w:t>
            </w:r>
          </w:p>
        </w:tc>
        <w:tc>
          <w:tcPr>
            <w:tcW w:w="1995" w:type="dxa"/>
            <w:tcBorders>
              <w:top w:val="nil" w:sz="6" w:space="0" w:color="auto"/>
              <w:left w:val="nil" w:sz="6" w:space="0" w:color="auto"/>
              <w:bottom w:val="nil" w:sz="6" w:space="0" w:color="auto"/>
              <w:right w:val="nil" w:sz="6" w:space="0" w:color="auto"/>
            </w:tcBorders>
          </w:tcPr>
          <w:p>
            <w:pPr>
              <w:pStyle w:val="TableParagraph"/>
              <w:spacing w:line="219" w:lineRule="exact"/>
              <w:ind w:right="419"/>
              <w:jc w:val="right"/>
              <w:rPr>
                <w:rFonts w:ascii="Arial" w:hAnsi="Arial" w:cs="Arial" w:eastAsia="Arial" w:hint="default"/>
                <w:sz w:val="20"/>
                <w:szCs w:val="20"/>
              </w:rPr>
            </w:pPr>
            <w:r>
              <w:rPr>
                <w:rFonts w:ascii="Arial"/>
                <w:w w:val="99"/>
                <w:sz w:val="20"/>
              </w:rPr>
              <w:t>-</w:t>
            </w:r>
            <w:r>
              <w:rPr>
                <w:rFonts w:ascii="Arial"/>
                <w:sz w:val="20"/>
              </w:rPr>
            </w:r>
          </w:p>
        </w:tc>
        <w:tc>
          <w:tcPr>
            <w:tcW w:w="1620" w:type="dxa"/>
            <w:tcBorders>
              <w:top w:val="nil" w:sz="6" w:space="0" w:color="auto"/>
              <w:left w:val="nil" w:sz="6" w:space="0" w:color="auto"/>
              <w:bottom w:val="nil" w:sz="6" w:space="0" w:color="auto"/>
              <w:right w:val="nil" w:sz="6" w:space="0" w:color="auto"/>
            </w:tcBorders>
          </w:tcPr>
          <w:p>
            <w:pPr>
              <w:pStyle w:val="TableParagraph"/>
              <w:spacing w:line="219" w:lineRule="exact"/>
              <w:ind w:right="198"/>
              <w:jc w:val="right"/>
              <w:rPr>
                <w:rFonts w:ascii="Arial" w:hAnsi="Arial" w:cs="Arial" w:eastAsia="Arial" w:hint="default"/>
                <w:sz w:val="20"/>
                <w:szCs w:val="20"/>
              </w:rPr>
            </w:pPr>
            <w:r>
              <w:rPr>
                <w:rFonts w:ascii="Arial"/>
                <w:spacing w:val="-1"/>
                <w:sz w:val="20"/>
              </w:rPr>
              <w:t>10,765,811</w:t>
            </w:r>
            <w:r>
              <w:rPr>
                <w:rFonts w:ascii="Arial"/>
                <w:sz w:val="20"/>
              </w:rPr>
            </w:r>
          </w:p>
        </w:tc>
      </w:tr>
      <w:tr>
        <w:trPr>
          <w:trHeight w:val="256" w:hRule="exact"/>
        </w:trPr>
        <w:tc>
          <w:tcPr>
            <w:tcW w:w="4864"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Arial" w:hAnsi="Arial" w:cs="Arial" w:eastAsia="Arial" w:hint="default"/>
                <w:sz w:val="20"/>
                <w:szCs w:val="20"/>
              </w:rPr>
            </w:pPr>
            <w:r>
              <w:rPr>
                <w:rFonts w:ascii="黑体" w:hAnsi="黑体" w:cs="黑体" w:eastAsia="黑体" w:hint="default"/>
                <w:sz w:val="20"/>
                <w:szCs w:val="20"/>
              </w:rPr>
              <w:t>失效的各项权益工具总额</w:t>
            </w:r>
            <w:r>
              <w:rPr>
                <w:rFonts w:ascii="Arial" w:hAnsi="Arial" w:cs="Arial" w:eastAsia="Arial" w:hint="default"/>
                <w:sz w:val="20"/>
                <w:szCs w:val="20"/>
              </w:rPr>
              <w:t>(</w:t>
            </w:r>
            <w:r>
              <w:rPr>
                <w:rFonts w:ascii="黑体" w:hAnsi="黑体" w:cs="黑体" w:eastAsia="黑体" w:hint="default"/>
                <w:sz w:val="20"/>
                <w:szCs w:val="20"/>
              </w:rPr>
              <w:t>注</w:t>
            </w:r>
            <w:r>
              <w:rPr>
                <w:rFonts w:ascii="黑体" w:hAnsi="黑体" w:cs="黑体" w:eastAsia="黑体" w:hint="default"/>
                <w:spacing w:val="-57"/>
                <w:sz w:val="20"/>
                <w:szCs w:val="20"/>
              </w:rPr>
              <w:t> </w:t>
            </w:r>
            <w:r>
              <w:rPr>
                <w:rFonts w:ascii="Arial" w:hAnsi="Arial" w:cs="Arial" w:eastAsia="Arial" w:hint="default"/>
                <w:sz w:val="20"/>
                <w:szCs w:val="20"/>
              </w:rPr>
              <w:t>1)</w:t>
            </w:r>
          </w:p>
        </w:tc>
        <w:tc>
          <w:tcPr>
            <w:tcW w:w="1995" w:type="dxa"/>
            <w:tcBorders>
              <w:top w:val="nil" w:sz="6" w:space="0" w:color="auto"/>
              <w:left w:val="nil" w:sz="6" w:space="0" w:color="auto"/>
              <w:bottom w:val="nil" w:sz="6" w:space="0" w:color="auto"/>
              <w:right w:val="nil" w:sz="6" w:space="0" w:color="auto"/>
            </w:tcBorders>
          </w:tcPr>
          <w:p>
            <w:pPr>
              <w:pStyle w:val="TableParagraph"/>
              <w:spacing w:line="218" w:lineRule="exact"/>
              <w:ind w:right="421"/>
              <w:jc w:val="right"/>
              <w:rPr>
                <w:rFonts w:ascii="Arial" w:hAnsi="Arial" w:cs="Arial" w:eastAsia="Arial" w:hint="default"/>
                <w:sz w:val="20"/>
                <w:szCs w:val="20"/>
              </w:rPr>
            </w:pPr>
            <w:r>
              <w:rPr>
                <w:rFonts w:ascii="Arial"/>
                <w:spacing w:val="-1"/>
                <w:sz w:val="20"/>
              </w:rPr>
              <w:t>19,856,595</w:t>
            </w:r>
            <w:r>
              <w:rPr>
                <w:rFonts w:ascii="Arial"/>
                <w:sz w:val="20"/>
              </w:rPr>
            </w:r>
          </w:p>
        </w:tc>
        <w:tc>
          <w:tcPr>
            <w:tcW w:w="1620" w:type="dxa"/>
            <w:tcBorders>
              <w:top w:val="nil" w:sz="6" w:space="0" w:color="auto"/>
              <w:left w:val="nil" w:sz="6" w:space="0" w:color="auto"/>
              <w:bottom w:val="nil" w:sz="6" w:space="0" w:color="auto"/>
              <w:right w:val="nil" w:sz="6" w:space="0" w:color="auto"/>
            </w:tcBorders>
          </w:tcPr>
          <w:p>
            <w:pPr>
              <w:pStyle w:val="TableParagraph"/>
              <w:spacing w:line="218" w:lineRule="exact"/>
              <w:ind w:right="198"/>
              <w:jc w:val="right"/>
              <w:rPr>
                <w:rFonts w:ascii="Arial" w:hAnsi="Arial" w:cs="Arial" w:eastAsia="Arial" w:hint="default"/>
                <w:sz w:val="20"/>
                <w:szCs w:val="20"/>
              </w:rPr>
            </w:pPr>
            <w:r>
              <w:rPr>
                <w:rFonts w:ascii="Arial"/>
                <w:spacing w:val="-1"/>
                <w:sz w:val="20"/>
              </w:rPr>
              <w:t>1,668,240</w:t>
            </w:r>
          </w:p>
        </w:tc>
      </w:tr>
      <w:tr>
        <w:trPr>
          <w:trHeight w:val="254" w:hRule="exact"/>
        </w:trPr>
        <w:tc>
          <w:tcPr>
            <w:tcW w:w="4864" w:type="dxa"/>
            <w:tcBorders>
              <w:top w:val="nil" w:sz="6" w:space="0" w:color="auto"/>
              <w:left w:val="nil" w:sz="6" w:space="0" w:color="auto"/>
              <w:bottom w:val="nil" w:sz="6" w:space="0" w:color="auto"/>
              <w:right w:val="nil" w:sz="6" w:space="0" w:color="auto"/>
            </w:tcBorders>
          </w:tcPr>
          <w:p>
            <w:pPr>
              <w:pStyle w:val="TableParagraph"/>
              <w:spacing w:line="253" w:lineRule="exact"/>
              <w:ind w:left="200" w:right="0"/>
              <w:jc w:val="left"/>
              <w:rPr>
                <w:rFonts w:ascii="Arial" w:hAnsi="Arial" w:cs="Arial" w:eastAsia="Arial" w:hint="default"/>
                <w:sz w:val="20"/>
                <w:szCs w:val="20"/>
              </w:rPr>
            </w:pPr>
            <w:r>
              <w:rPr>
                <w:rFonts w:ascii="黑体" w:hAnsi="黑体" w:cs="黑体" w:eastAsia="黑体" w:hint="default"/>
                <w:sz w:val="20"/>
                <w:szCs w:val="20"/>
              </w:rPr>
              <w:t>年末发行在外的股份期权行权价格的范围</w:t>
            </w:r>
            <w:r>
              <w:rPr>
                <w:rFonts w:ascii="Arial" w:hAnsi="Arial" w:cs="Arial" w:eastAsia="Arial" w:hint="default"/>
                <w:sz w:val="20"/>
                <w:szCs w:val="20"/>
              </w:rPr>
              <w:t>(</w:t>
            </w:r>
            <w:r>
              <w:rPr>
                <w:rFonts w:ascii="黑体" w:hAnsi="黑体" w:cs="黑体" w:eastAsia="黑体" w:hint="default"/>
                <w:sz w:val="20"/>
                <w:szCs w:val="20"/>
              </w:rPr>
              <w:t>注</w:t>
            </w:r>
            <w:r>
              <w:rPr>
                <w:rFonts w:ascii="黑体" w:hAnsi="黑体" w:cs="黑体" w:eastAsia="黑体" w:hint="default"/>
                <w:spacing w:val="-59"/>
                <w:sz w:val="20"/>
                <w:szCs w:val="20"/>
              </w:rPr>
              <w:t> </w:t>
            </w:r>
            <w:r>
              <w:rPr>
                <w:rFonts w:ascii="Arial" w:hAnsi="Arial" w:cs="Arial" w:eastAsia="Arial" w:hint="default"/>
                <w:sz w:val="20"/>
                <w:szCs w:val="20"/>
              </w:rPr>
              <w:t>2)</w:t>
            </w:r>
          </w:p>
        </w:tc>
        <w:tc>
          <w:tcPr>
            <w:tcW w:w="1995" w:type="dxa"/>
            <w:tcBorders>
              <w:top w:val="nil" w:sz="6" w:space="0" w:color="auto"/>
              <w:left w:val="nil" w:sz="6" w:space="0" w:color="auto"/>
              <w:bottom w:val="nil" w:sz="6" w:space="0" w:color="auto"/>
              <w:right w:val="nil" w:sz="6" w:space="0" w:color="auto"/>
            </w:tcBorders>
          </w:tcPr>
          <w:p>
            <w:pPr>
              <w:pStyle w:val="TableParagraph"/>
              <w:spacing w:line="219" w:lineRule="exact"/>
              <w:ind w:right="420"/>
              <w:jc w:val="right"/>
              <w:rPr>
                <w:rFonts w:ascii="Arial" w:hAnsi="Arial" w:cs="Arial" w:eastAsia="Arial" w:hint="default"/>
                <w:sz w:val="20"/>
                <w:szCs w:val="20"/>
              </w:rPr>
            </w:pPr>
            <w:r>
              <w:rPr>
                <w:rFonts w:ascii="Arial"/>
                <w:spacing w:val="-1"/>
                <w:sz w:val="20"/>
              </w:rPr>
              <w:t>20.45</w:t>
            </w:r>
          </w:p>
        </w:tc>
        <w:tc>
          <w:tcPr>
            <w:tcW w:w="1620" w:type="dxa"/>
            <w:tcBorders>
              <w:top w:val="nil" w:sz="6" w:space="0" w:color="auto"/>
              <w:left w:val="nil" w:sz="6" w:space="0" w:color="auto"/>
              <w:bottom w:val="nil" w:sz="6" w:space="0" w:color="auto"/>
              <w:right w:val="nil" w:sz="6" w:space="0" w:color="auto"/>
            </w:tcBorders>
          </w:tcPr>
          <w:p>
            <w:pPr>
              <w:pStyle w:val="TableParagraph"/>
              <w:spacing w:line="219" w:lineRule="exact"/>
              <w:ind w:right="198"/>
              <w:jc w:val="right"/>
              <w:rPr>
                <w:rFonts w:ascii="黑体" w:hAnsi="黑体" w:cs="黑体" w:eastAsia="黑体" w:hint="default"/>
                <w:sz w:val="20"/>
                <w:szCs w:val="20"/>
              </w:rPr>
            </w:pPr>
            <w:r>
              <w:rPr>
                <w:rFonts w:ascii="Arial" w:hAnsi="Arial" w:cs="Arial" w:eastAsia="Arial" w:hint="default"/>
                <w:sz w:val="20"/>
                <w:szCs w:val="20"/>
              </w:rPr>
              <w:t>25.16</w:t>
            </w:r>
            <w:r>
              <w:rPr>
                <w:rFonts w:ascii="Arial" w:hAnsi="Arial" w:cs="Arial" w:eastAsia="Arial" w:hint="default"/>
                <w:spacing w:val="-10"/>
                <w:sz w:val="20"/>
                <w:szCs w:val="20"/>
              </w:rPr>
              <w:t> </w:t>
            </w:r>
            <w:r>
              <w:rPr>
                <w:rFonts w:ascii="黑体" w:hAnsi="黑体" w:cs="黑体" w:eastAsia="黑体" w:hint="default"/>
                <w:sz w:val="20"/>
                <w:szCs w:val="20"/>
              </w:rPr>
              <w:t>元</w:t>
            </w:r>
          </w:p>
        </w:tc>
      </w:tr>
      <w:tr>
        <w:trPr>
          <w:trHeight w:val="239" w:hRule="exact"/>
        </w:trPr>
        <w:tc>
          <w:tcPr>
            <w:tcW w:w="4864"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黑体" w:hAnsi="黑体" w:cs="黑体" w:eastAsia="黑体" w:hint="default"/>
                <w:sz w:val="20"/>
                <w:szCs w:val="20"/>
              </w:rPr>
            </w:pPr>
            <w:r>
              <w:rPr>
                <w:rFonts w:ascii="黑体" w:hAnsi="黑体" w:cs="黑体" w:eastAsia="黑体" w:hint="default"/>
                <w:sz w:val="20"/>
                <w:szCs w:val="20"/>
              </w:rPr>
              <w:t>年末发行在外的股份期权的合同剩余期限</w:t>
            </w:r>
          </w:p>
        </w:tc>
        <w:tc>
          <w:tcPr>
            <w:tcW w:w="1995" w:type="dxa"/>
            <w:tcBorders>
              <w:top w:val="nil" w:sz="6" w:space="0" w:color="auto"/>
              <w:left w:val="nil" w:sz="6" w:space="0" w:color="auto"/>
              <w:bottom w:val="nil" w:sz="6" w:space="0" w:color="auto"/>
              <w:right w:val="nil" w:sz="6" w:space="0" w:color="auto"/>
            </w:tcBorders>
          </w:tcPr>
          <w:p>
            <w:pPr>
              <w:pStyle w:val="TableParagraph"/>
              <w:spacing w:line="219" w:lineRule="exact"/>
              <w:ind w:right="421"/>
              <w:jc w:val="right"/>
              <w:rPr>
                <w:rFonts w:ascii="黑体" w:hAnsi="黑体" w:cs="黑体" w:eastAsia="黑体" w:hint="default"/>
                <w:sz w:val="20"/>
                <w:szCs w:val="20"/>
              </w:rPr>
            </w:pPr>
            <w:r>
              <w:rPr>
                <w:rFonts w:ascii="Arial" w:hAnsi="Arial" w:cs="Arial" w:eastAsia="Arial" w:hint="default"/>
                <w:sz w:val="20"/>
                <w:szCs w:val="20"/>
              </w:rPr>
              <w:t>0.33</w:t>
            </w:r>
            <w:r>
              <w:rPr>
                <w:rFonts w:ascii="Arial" w:hAnsi="Arial" w:cs="Arial" w:eastAsia="Arial" w:hint="default"/>
                <w:spacing w:val="-12"/>
                <w:sz w:val="20"/>
                <w:szCs w:val="20"/>
              </w:rPr>
              <w:t> </w:t>
            </w:r>
            <w:r>
              <w:rPr>
                <w:rFonts w:ascii="黑体" w:hAnsi="黑体" w:cs="黑体" w:eastAsia="黑体" w:hint="default"/>
                <w:sz w:val="20"/>
                <w:szCs w:val="20"/>
              </w:rPr>
              <w:t>年</w:t>
            </w:r>
          </w:p>
        </w:tc>
        <w:tc>
          <w:tcPr>
            <w:tcW w:w="1620" w:type="dxa"/>
            <w:tcBorders>
              <w:top w:val="nil" w:sz="6" w:space="0" w:color="auto"/>
              <w:left w:val="nil" w:sz="6" w:space="0" w:color="auto"/>
              <w:bottom w:val="nil" w:sz="6" w:space="0" w:color="auto"/>
              <w:right w:val="nil" w:sz="6" w:space="0" w:color="auto"/>
            </w:tcBorders>
          </w:tcPr>
          <w:p>
            <w:pPr>
              <w:pStyle w:val="TableParagraph"/>
              <w:spacing w:line="219" w:lineRule="exact"/>
              <w:ind w:right="198"/>
              <w:jc w:val="right"/>
              <w:rPr>
                <w:rFonts w:ascii="黑体" w:hAnsi="黑体" w:cs="黑体" w:eastAsia="黑体" w:hint="default"/>
                <w:sz w:val="20"/>
                <w:szCs w:val="20"/>
              </w:rPr>
            </w:pPr>
            <w:r>
              <w:rPr>
                <w:rFonts w:ascii="Arial" w:hAnsi="Arial" w:cs="Arial" w:eastAsia="Arial" w:hint="default"/>
                <w:sz w:val="20"/>
                <w:szCs w:val="20"/>
              </w:rPr>
              <w:t>2.33</w:t>
            </w:r>
            <w:r>
              <w:rPr>
                <w:rFonts w:ascii="Arial" w:hAnsi="Arial" w:cs="Arial" w:eastAsia="Arial" w:hint="default"/>
                <w:spacing w:val="-12"/>
                <w:sz w:val="20"/>
                <w:szCs w:val="20"/>
              </w:rPr>
              <w:t> </w:t>
            </w:r>
            <w:r>
              <w:rPr>
                <w:rFonts w:ascii="黑体" w:hAnsi="黑体" w:cs="黑体" w:eastAsia="黑体" w:hint="default"/>
                <w:sz w:val="20"/>
                <w:szCs w:val="20"/>
              </w:rPr>
              <w:t>年</w:t>
            </w:r>
          </w:p>
        </w:tc>
      </w:tr>
    </w:tbl>
    <w:p>
      <w:pPr>
        <w:spacing w:line="240" w:lineRule="auto" w:before="4"/>
        <w:rPr>
          <w:rFonts w:ascii="黑体" w:hAnsi="黑体" w:cs="黑体" w:eastAsia="黑体" w:hint="default"/>
          <w:sz w:val="17"/>
          <w:szCs w:val="17"/>
        </w:rPr>
      </w:pPr>
    </w:p>
    <w:p>
      <w:pPr>
        <w:pStyle w:val="BodyText"/>
        <w:spacing w:line="271" w:lineRule="auto" w:before="37"/>
        <w:ind w:left="1291" w:right="314" w:hanging="483"/>
        <w:jc w:val="both"/>
      </w:pPr>
      <w:r>
        <w:rPr>
          <w:w w:val="95"/>
        </w:rPr>
        <w:t>注</w:t>
      </w:r>
      <w:r>
        <w:rPr>
          <w:rFonts w:ascii="Arial" w:hAnsi="Arial" w:cs="Arial" w:eastAsia="Arial" w:hint="default"/>
          <w:w w:val="95"/>
        </w:rPr>
        <w:t>1</w:t>
      </w:r>
      <w:r>
        <w:rPr>
          <w:w w:val="95"/>
        </w:rPr>
        <w:t>．本年失效的各项权益工具总额包括本公司本年因员工离职等原因而失效的股票期权数量</w:t>
      </w:r>
      <w:r>
        <w:rPr>
          <w:spacing w:val="80"/>
          <w:w w:val="95"/>
        </w:rPr>
        <w:t> </w:t>
      </w:r>
      <w:r>
        <w:rPr>
          <w:spacing w:val="80"/>
          <w:w w:val="95"/>
        </w:rPr>
      </w:r>
      <w:r>
        <w:rPr>
          <w:w w:val="95"/>
        </w:rPr>
        <w:t>为</w:t>
      </w:r>
      <w:r>
        <w:rPr>
          <w:rFonts w:ascii="Arial" w:hAnsi="Arial" w:cs="Arial" w:eastAsia="Arial" w:hint="default"/>
          <w:w w:val="95"/>
        </w:rPr>
        <w:t>4,489,080</w:t>
      </w:r>
      <w:r>
        <w:rPr>
          <w:w w:val="95"/>
        </w:rPr>
        <w:t>股和本公司本年因不符合《股票期权激励计划</w:t>
      </w:r>
      <w:r>
        <w:rPr>
          <w:rFonts w:ascii="Arial" w:hAnsi="Arial" w:cs="Arial" w:eastAsia="Arial" w:hint="default"/>
          <w:w w:val="95"/>
        </w:rPr>
        <w:t>(</w:t>
      </w:r>
      <w:r>
        <w:rPr>
          <w:w w:val="95"/>
        </w:rPr>
        <w:t>修订稿</w:t>
      </w:r>
      <w:r>
        <w:rPr>
          <w:rFonts w:ascii="Arial" w:hAnsi="Arial" w:cs="Arial" w:eastAsia="Arial" w:hint="default"/>
          <w:w w:val="95"/>
        </w:rPr>
        <w:t>)</w:t>
      </w:r>
      <w:r>
        <w:rPr>
          <w:w w:val="95"/>
        </w:rPr>
        <w:t>》约定的首次授予股</w:t>
      </w:r>
      <w:r>
        <w:rPr>
          <w:w w:val="99"/>
        </w:rPr>
        <w:t> </w:t>
      </w:r>
      <w:r>
        <w:rPr>
          <w:w w:val="95"/>
        </w:rPr>
        <w:t>票期权第二个行权期的业绩条件而失效的股票期权数量</w:t>
      </w:r>
      <w:r>
        <w:rPr>
          <w:rFonts w:ascii="Arial" w:hAnsi="Arial" w:cs="Arial" w:eastAsia="Arial" w:hint="default"/>
          <w:w w:val="95"/>
        </w:rPr>
        <w:t>15,367,515</w:t>
      </w:r>
      <w:r>
        <w:rPr>
          <w:w w:val="95"/>
        </w:rPr>
        <w:t>股（以上股票期权数</w:t>
      </w:r>
      <w:r>
        <w:rPr>
          <w:w w:val="99"/>
        </w:rPr>
        <w:t> </w:t>
      </w:r>
      <w:r>
        <w:rPr/>
        <w:t>量均已考虑</w:t>
      </w:r>
      <w:r>
        <w:rPr>
          <w:rFonts w:ascii="Arial" w:hAnsi="Arial" w:cs="Arial" w:eastAsia="Arial" w:hint="default"/>
        </w:rPr>
        <w:t>2011</w:t>
      </w:r>
      <w:r>
        <w:rPr/>
        <w:t>年度资本公积转增股本的影响，参见附注七、</w:t>
      </w:r>
      <w:r>
        <w:rPr>
          <w:rFonts w:ascii="Arial" w:hAnsi="Arial" w:cs="Arial" w:eastAsia="Arial" w:hint="default"/>
        </w:rPr>
        <w:t>2</w:t>
      </w:r>
      <w:r>
        <w:rPr/>
        <w:t>）。</w:t>
      </w:r>
    </w:p>
    <w:p>
      <w:pPr>
        <w:pStyle w:val="BodyText"/>
        <w:spacing w:line="240" w:lineRule="auto" w:before="79"/>
        <w:ind w:left="809" w:right="0"/>
        <w:jc w:val="left"/>
      </w:pPr>
      <w:r>
        <w:rPr/>
        <w:t>注</w:t>
      </w:r>
      <w:r>
        <w:rPr>
          <w:rFonts w:ascii="Arial" w:hAnsi="Arial" w:cs="Arial" w:eastAsia="Arial" w:hint="default"/>
        </w:rPr>
        <w:t>2</w:t>
      </w:r>
      <w:r>
        <w:rPr/>
        <w:t>．行权价格的变动参见附注七、</w:t>
      </w:r>
      <w:r>
        <w:rPr>
          <w:rFonts w:ascii="Arial" w:hAnsi="Arial" w:cs="Arial" w:eastAsia="Arial" w:hint="default"/>
        </w:rPr>
        <w:t>2</w:t>
      </w:r>
      <w:r>
        <w:rPr/>
        <w:t>。</w:t>
      </w:r>
    </w:p>
    <w:p>
      <w:pPr>
        <w:spacing w:line="240" w:lineRule="auto" w:before="10"/>
        <w:rPr>
          <w:rFonts w:ascii="黑体" w:hAnsi="黑体" w:cs="黑体" w:eastAsia="黑体" w:hint="default"/>
          <w:sz w:val="24"/>
          <w:szCs w:val="24"/>
        </w:rPr>
      </w:pPr>
    </w:p>
    <w:p>
      <w:pPr>
        <w:pStyle w:val="BodyText"/>
        <w:spacing w:line="321" w:lineRule="auto"/>
        <w:ind w:left="820" w:right="0" w:hanging="19"/>
        <w:jc w:val="left"/>
      </w:pPr>
      <w:r>
        <w:rPr/>
        <w:t>股份支付情况说明：</w:t>
      </w:r>
      <w:r>
        <w:rPr>
          <w:w w:val="99"/>
        </w:rPr>
        <w:t> </w:t>
      </w:r>
      <w:r>
        <w:rPr>
          <w:spacing w:val="3"/>
          <w:w w:val="95"/>
        </w:rPr>
        <w:t>本公司的股份支付安排包括</w:t>
      </w:r>
      <w:r>
        <w:rPr>
          <w:rFonts w:ascii="Arial" w:hAnsi="Arial" w:cs="Arial" w:eastAsia="Arial" w:hint="default"/>
          <w:spacing w:val="3"/>
          <w:w w:val="95"/>
        </w:rPr>
        <w:t>2007</w:t>
      </w:r>
      <w:r>
        <w:rPr>
          <w:spacing w:val="3"/>
          <w:w w:val="95"/>
        </w:rPr>
        <w:t>年度至</w:t>
      </w:r>
      <w:r>
        <w:rPr>
          <w:rFonts w:ascii="Arial" w:hAnsi="Arial" w:cs="Arial" w:eastAsia="Arial" w:hint="default"/>
          <w:spacing w:val="3"/>
          <w:w w:val="95"/>
        </w:rPr>
        <w:t>2009</w:t>
      </w:r>
      <w:r>
        <w:rPr>
          <w:spacing w:val="3"/>
          <w:w w:val="95"/>
        </w:rPr>
        <w:t>年度向员工授予的限制性股票和</w:t>
      </w:r>
      <w:r>
        <w:rPr>
          <w:rFonts w:ascii="Arial" w:hAnsi="Arial" w:cs="Arial" w:eastAsia="Arial" w:hint="default"/>
          <w:spacing w:val="3"/>
          <w:w w:val="95"/>
        </w:rPr>
        <w:t>2011</w:t>
      </w:r>
      <w:r>
        <w:rPr>
          <w:spacing w:val="3"/>
          <w:w w:val="95"/>
        </w:rPr>
        <w:t>年度向员</w:t>
      </w:r>
      <w:r>
        <w:rPr>
          <w:spacing w:val="58"/>
          <w:w w:val="95"/>
        </w:rPr>
        <w:t> </w:t>
      </w:r>
      <w:r>
        <w:rPr/>
        <w:t>工授予的股票期权计划。具体内容参见附注七、</w:t>
      </w:r>
      <w:r>
        <w:rPr>
          <w:rFonts w:ascii="Arial" w:hAnsi="Arial" w:cs="Arial" w:eastAsia="Arial" w:hint="default"/>
        </w:rPr>
        <w:t>2</w:t>
      </w:r>
      <w:r>
        <w:rPr/>
        <w:t>。</w:t>
      </w:r>
    </w:p>
    <w:p>
      <w:pPr>
        <w:spacing w:line="240" w:lineRule="auto" w:before="7"/>
        <w:rPr>
          <w:rFonts w:ascii="黑体" w:hAnsi="黑体" w:cs="黑体" w:eastAsia="黑体" w:hint="default"/>
          <w:sz w:val="23"/>
          <w:szCs w:val="23"/>
        </w:rPr>
      </w:pPr>
    </w:p>
    <w:tbl>
      <w:tblPr>
        <w:tblW w:w="0" w:type="auto"/>
        <w:jc w:val="left"/>
        <w:tblInd w:w="609" w:type="dxa"/>
        <w:tblLayout w:type="fixed"/>
        <w:tblCellMar>
          <w:top w:w="0" w:type="dxa"/>
          <w:left w:w="0" w:type="dxa"/>
          <w:bottom w:w="0" w:type="dxa"/>
          <w:right w:w="0" w:type="dxa"/>
        </w:tblCellMar>
        <w:tblLook w:val="01E0"/>
      </w:tblPr>
      <w:tblGrid>
        <w:gridCol w:w="4141"/>
        <w:gridCol w:w="2154"/>
        <w:gridCol w:w="526"/>
        <w:gridCol w:w="1657"/>
      </w:tblGrid>
      <w:tr>
        <w:trPr>
          <w:trHeight w:val="395" w:hRule="exact"/>
        </w:trPr>
        <w:tc>
          <w:tcPr>
            <w:tcW w:w="4141" w:type="dxa"/>
            <w:tcBorders>
              <w:top w:val="nil" w:sz="6" w:space="0" w:color="auto"/>
              <w:left w:val="nil" w:sz="6" w:space="0" w:color="auto"/>
              <w:bottom w:val="nil" w:sz="6" w:space="0" w:color="auto"/>
              <w:right w:val="nil" w:sz="6" w:space="0" w:color="auto"/>
            </w:tcBorders>
          </w:tcPr>
          <w:p>
            <w:pPr/>
          </w:p>
        </w:tc>
        <w:tc>
          <w:tcPr>
            <w:tcW w:w="2154" w:type="dxa"/>
            <w:tcBorders>
              <w:top w:val="nil" w:sz="6" w:space="0" w:color="auto"/>
              <w:left w:val="nil" w:sz="6" w:space="0" w:color="auto"/>
              <w:bottom w:val="nil" w:sz="6" w:space="0" w:color="auto"/>
              <w:right w:val="nil" w:sz="6" w:space="0" w:color="auto"/>
            </w:tcBorders>
          </w:tcPr>
          <w:p>
            <w:pPr>
              <w:pStyle w:val="TableParagraph"/>
              <w:spacing w:line="214" w:lineRule="exact"/>
              <w:ind w:right="1"/>
              <w:jc w:val="right"/>
              <w:rPr>
                <w:rFonts w:ascii="黑体" w:hAnsi="黑体" w:cs="黑体" w:eastAsia="黑体" w:hint="default"/>
                <w:sz w:val="20"/>
                <w:szCs w:val="20"/>
              </w:rPr>
            </w:pPr>
            <w:r>
              <w:rPr>
                <w:rFonts w:ascii="Arial" w:hAnsi="Arial" w:cs="Arial" w:eastAsia="Arial" w:hint="default"/>
                <w:sz w:val="20"/>
                <w:szCs w:val="20"/>
              </w:rPr>
              <w:t>2012</w:t>
            </w:r>
            <w:r>
              <w:rPr>
                <w:rFonts w:ascii="Arial" w:hAnsi="Arial" w:cs="Arial" w:eastAsia="Arial" w:hint="default"/>
                <w:spacing w:val="-9"/>
                <w:sz w:val="20"/>
                <w:szCs w:val="20"/>
              </w:rPr>
              <w:t> </w:t>
            </w:r>
            <w:r>
              <w:rPr>
                <w:rFonts w:ascii="黑体" w:hAnsi="黑体" w:cs="黑体" w:eastAsia="黑体" w:hint="default"/>
                <w:sz w:val="20"/>
                <w:szCs w:val="20"/>
              </w:rPr>
              <w:t>年</w:t>
            </w:r>
          </w:p>
        </w:tc>
        <w:tc>
          <w:tcPr>
            <w:tcW w:w="526"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nil" w:sz="6" w:space="0" w:color="auto"/>
            </w:tcBorders>
          </w:tcPr>
          <w:p>
            <w:pPr>
              <w:pStyle w:val="TableParagraph"/>
              <w:spacing w:line="250" w:lineRule="exact"/>
              <w:ind w:right="198"/>
              <w:jc w:val="right"/>
              <w:rPr>
                <w:rFonts w:ascii="黑体" w:hAnsi="黑体" w:cs="黑体" w:eastAsia="黑体" w:hint="default"/>
                <w:sz w:val="20"/>
                <w:szCs w:val="20"/>
              </w:rPr>
            </w:pPr>
            <w:r>
              <w:rPr>
                <w:rFonts w:ascii="Arial" w:hAnsi="Arial" w:cs="Arial" w:eastAsia="Arial" w:hint="default"/>
                <w:sz w:val="20"/>
                <w:szCs w:val="20"/>
              </w:rPr>
              <w:t>2011</w:t>
            </w:r>
            <w:r>
              <w:rPr>
                <w:rFonts w:ascii="Arial" w:hAnsi="Arial" w:cs="Arial" w:eastAsia="Arial" w:hint="default"/>
                <w:spacing w:val="-9"/>
                <w:sz w:val="20"/>
                <w:szCs w:val="20"/>
              </w:rPr>
              <w:t> </w:t>
            </w:r>
            <w:r>
              <w:rPr>
                <w:rFonts w:ascii="黑体" w:hAnsi="黑体" w:cs="黑体" w:eastAsia="黑体" w:hint="default"/>
                <w:sz w:val="20"/>
                <w:szCs w:val="20"/>
              </w:rPr>
              <w:t>年</w:t>
            </w:r>
          </w:p>
        </w:tc>
      </w:tr>
      <w:tr>
        <w:trPr>
          <w:trHeight w:val="359" w:hRule="exact"/>
        </w:trPr>
        <w:tc>
          <w:tcPr>
            <w:tcW w:w="414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0" w:right="0"/>
              <w:jc w:val="left"/>
              <w:rPr>
                <w:rFonts w:ascii="黑体" w:hAnsi="黑体" w:cs="黑体" w:eastAsia="黑体" w:hint="default"/>
                <w:sz w:val="20"/>
                <w:szCs w:val="20"/>
              </w:rPr>
            </w:pPr>
            <w:r>
              <w:rPr>
                <w:rFonts w:ascii="黑体" w:hAnsi="黑体" w:cs="黑体" w:eastAsia="黑体" w:hint="default"/>
                <w:sz w:val="20"/>
                <w:szCs w:val="20"/>
              </w:rPr>
              <w:t>以股份支付换取的职工服务总额</w:t>
            </w:r>
          </w:p>
        </w:tc>
        <w:tc>
          <w:tcPr>
            <w:tcW w:w="2154"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
              <w:jc w:val="right"/>
              <w:rPr>
                <w:rFonts w:ascii="Arial" w:hAnsi="Arial" w:cs="Arial" w:eastAsia="Arial" w:hint="default"/>
                <w:sz w:val="20"/>
                <w:szCs w:val="20"/>
              </w:rPr>
            </w:pPr>
            <w:r>
              <w:rPr>
                <w:rFonts w:ascii="Arial"/>
                <w:sz w:val="20"/>
              </w:rPr>
              <w:t>(</w:t>
            </w:r>
            <w:r>
              <w:rPr>
                <w:rFonts w:ascii="Arial"/>
                <w:spacing w:val="-6"/>
                <w:sz w:val="20"/>
              </w:rPr>
              <w:t> </w:t>
            </w:r>
            <w:r>
              <w:rPr>
                <w:rFonts w:ascii="Arial"/>
                <w:sz w:val="20"/>
              </w:rPr>
              <w:t>8,877,629</w:t>
            </w:r>
          </w:p>
        </w:tc>
        <w:tc>
          <w:tcPr>
            <w:tcW w:w="526"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1" w:right="0"/>
              <w:jc w:val="left"/>
              <w:rPr>
                <w:rFonts w:ascii="Arial" w:hAnsi="Arial" w:cs="Arial" w:eastAsia="Arial" w:hint="default"/>
                <w:sz w:val="20"/>
                <w:szCs w:val="20"/>
              </w:rPr>
            </w:pPr>
            <w:r>
              <w:rPr>
                <w:rFonts w:ascii="Arial"/>
                <w:w w:val="99"/>
                <w:sz w:val="20"/>
              </w:rPr>
              <w:t>)</w:t>
            </w:r>
            <w:r>
              <w:rPr>
                <w:rFonts w:ascii="Arial"/>
                <w:sz w:val="20"/>
              </w:rPr>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98"/>
              <w:jc w:val="right"/>
              <w:rPr>
                <w:rFonts w:ascii="Arial" w:hAnsi="Arial" w:cs="Arial" w:eastAsia="Arial" w:hint="default"/>
                <w:sz w:val="20"/>
                <w:szCs w:val="20"/>
              </w:rPr>
            </w:pPr>
            <w:r>
              <w:rPr>
                <w:rFonts w:ascii="Arial"/>
                <w:spacing w:val="-1"/>
                <w:sz w:val="20"/>
              </w:rPr>
              <w:t>30,999,687</w:t>
            </w:r>
            <w:r>
              <w:rPr>
                <w:rFonts w:ascii="Arial"/>
                <w:sz w:val="20"/>
              </w:rPr>
            </w:r>
          </w:p>
        </w:tc>
      </w:tr>
    </w:tbl>
    <w:p>
      <w:pPr>
        <w:spacing w:line="240" w:lineRule="auto" w:before="0"/>
        <w:rPr>
          <w:rFonts w:ascii="黑体" w:hAnsi="黑体" w:cs="黑体" w:eastAsia="黑体" w:hint="default"/>
          <w:sz w:val="20"/>
          <w:szCs w:val="20"/>
        </w:rPr>
      </w:pPr>
    </w:p>
    <w:p>
      <w:pPr>
        <w:spacing w:line="240" w:lineRule="auto" w:before="7"/>
        <w:rPr>
          <w:rFonts w:ascii="黑体" w:hAnsi="黑体" w:cs="黑体" w:eastAsia="黑体" w:hint="default"/>
          <w:sz w:val="29"/>
          <w:szCs w:val="29"/>
        </w:rPr>
      </w:pPr>
    </w:p>
    <w:p>
      <w:pPr>
        <w:pStyle w:val="BodyText"/>
        <w:spacing w:line="240" w:lineRule="auto" w:before="37"/>
        <w:ind w:left="821" w:right="0"/>
        <w:jc w:val="left"/>
      </w:pPr>
      <w:r>
        <w:rPr/>
        <w:t>其中，以权益结算的股份支付如下：</w:t>
      </w:r>
    </w:p>
    <w:p>
      <w:pPr>
        <w:spacing w:line="240" w:lineRule="auto" w:before="12"/>
        <w:rPr>
          <w:rFonts w:ascii="黑体" w:hAnsi="黑体" w:cs="黑体" w:eastAsia="黑体" w:hint="default"/>
          <w:sz w:val="2"/>
          <w:szCs w:val="2"/>
        </w:rPr>
      </w:pPr>
    </w:p>
    <w:tbl>
      <w:tblPr>
        <w:tblW w:w="0" w:type="auto"/>
        <w:jc w:val="left"/>
        <w:tblInd w:w="609" w:type="dxa"/>
        <w:tblLayout w:type="fixed"/>
        <w:tblCellMar>
          <w:top w:w="0" w:type="dxa"/>
          <w:left w:w="0" w:type="dxa"/>
          <w:bottom w:w="0" w:type="dxa"/>
          <w:right w:w="0" w:type="dxa"/>
        </w:tblCellMar>
        <w:tblLook w:val="01E0"/>
      </w:tblPr>
      <w:tblGrid>
        <w:gridCol w:w="4741"/>
        <w:gridCol w:w="1554"/>
        <w:gridCol w:w="526"/>
        <w:gridCol w:w="1657"/>
      </w:tblGrid>
      <w:tr>
        <w:trPr>
          <w:trHeight w:val="395" w:hRule="exact"/>
        </w:trPr>
        <w:tc>
          <w:tcPr>
            <w:tcW w:w="4741"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14" w:lineRule="exact"/>
              <w:ind w:right="1"/>
              <w:jc w:val="right"/>
              <w:rPr>
                <w:rFonts w:ascii="黑体" w:hAnsi="黑体" w:cs="黑体" w:eastAsia="黑体" w:hint="default"/>
                <w:sz w:val="20"/>
                <w:szCs w:val="20"/>
              </w:rPr>
            </w:pPr>
            <w:r>
              <w:rPr>
                <w:rFonts w:ascii="Arial" w:hAnsi="Arial" w:cs="Arial" w:eastAsia="Arial" w:hint="default"/>
                <w:sz w:val="20"/>
                <w:szCs w:val="20"/>
              </w:rPr>
              <w:t>2012</w:t>
            </w:r>
            <w:r>
              <w:rPr>
                <w:rFonts w:ascii="Arial" w:hAnsi="Arial" w:cs="Arial" w:eastAsia="Arial" w:hint="default"/>
                <w:spacing w:val="-9"/>
                <w:sz w:val="20"/>
                <w:szCs w:val="20"/>
              </w:rPr>
              <w:t> </w:t>
            </w:r>
            <w:r>
              <w:rPr>
                <w:rFonts w:ascii="黑体" w:hAnsi="黑体" w:cs="黑体" w:eastAsia="黑体" w:hint="default"/>
                <w:sz w:val="20"/>
                <w:szCs w:val="20"/>
              </w:rPr>
              <w:t>年</w:t>
            </w:r>
          </w:p>
        </w:tc>
        <w:tc>
          <w:tcPr>
            <w:tcW w:w="526"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nil" w:sz="6" w:space="0" w:color="auto"/>
            </w:tcBorders>
          </w:tcPr>
          <w:p>
            <w:pPr>
              <w:pStyle w:val="TableParagraph"/>
              <w:spacing w:line="250" w:lineRule="exact"/>
              <w:ind w:right="198"/>
              <w:jc w:val="right"/>
              <w:rPr>
                <w:rFonts w:ascii="黑体" w:hAnsi="黑体" w:cs="黑体" w:eastAsia="黑体" w:hint="default"/>
                <w:sz w:val="20"/>
                <w:szCs w:val="20"/>
              </w:rPr>
            </w:pPr>
            <w:r>
              <w:rPr>
                <w:rFonts w:ascii="Arial" w:hAnsi="Arial" w:cs="Arial" w:eastAsia="Arial" w:hint="default"/>
                <w:sz w:val="20"/>
                <w:szCs w:val="20"/>
              </w:rPr>
              <w:t>2011</w:t>
            </w:r>
            <w:r>
              <w:rPr>
                <w:rFonts w:ascii="Arial" w:hAnsi="Arial" w:cs="Arial" w:eastAsia="Arial" w:hint="default"/>
                <w:spacing w:val="-9"/>
                <w:sz w:val="20"/>
                <w:szCs w:val="20"/>
              </w:rPr>
              <w:t> </w:t>
            </w:r>
            <w:r>
              <w:rPr>
                <w:rFonts w:ascii="黑体" w:hAnsi="黑体" w:cs="黑体" w:eastAsia="黑体" w:hint="default"/>
                <w:sz w:val="20"/>
                <w:szCs w:val="20"/>
              </w:rPr>
              <w:t>年</w:t>
            </w:r>
          </w:p>
        </w:tc>
      </w:tr>
      <w:tr>
        <w:trPr>
          <w:trHeight w:val="383" w:hRule="exact"/>
        </w:trPr>
        <w:tc>
          <w:tcPr>
            <w:tcW w:w="4741"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0" w:right="0"/>
              <w:jc w:val="left"/>
              <w:rPr>
                <w:rFonts w:ascii="黑体" w:hAnsi="黑体" w:cs="黑体" w:eastAsia="黑体" w:hint="default"/>
                <w:sz w:val="20"/>
                <w:szCs w:val="20"/>
              </w:rPr>
            </w:pPr>
            <w:r>
              <w:rPr>
                <w:rFonts w:ascii="黑体" w:hAnsi="黑体" w:cs="黑体" w:eastAsia="黑体" w:hint="default"/>
                <w:sz w:val="20"/>
                <w:szCs w:val="20"/>
              </w:rPr>
              <w:t>资本公积中以权益结算的股份支付的累计金额</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
              <w:jc w:val="right"/>
              <w:rPr>
                <w:rFonts w:ascii="Arial" w:hAnsi="Arial" w:cs="Arial" w:eastAsia="Arial" w:hint="default"/>
                <w:sz w:val="20"/>
                <w:szCs w:val="20"/>
              </w:rPr>
            </w:pPr>
            <w:r>
              <w:rPr>
                <w:rFonts w:ascii="Arial"/>
                <w:spacing w:val="-1"/>
                <w:sz w:val="20"/>
              </w:rPr>
              <w:t>85,981,981</w:t>
            </w:r>
            <w:r>
              <w:rPr>
                <w:rFonts w:ascii="Arial"/>
                <w:sz w:val="20"/>
              </w:rPr>
            </w:r>
          </w:p>
        </w:tc>
        <w:tc>
          <w:tcPr>
            <w:tcW w:w="526"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98"/>
              <w:jc w:val="right"/>
              <w:rPr>
                <w:rFonts w:ascii="Arial" w:hAnsi="Arial" w:cs="Arial" w:eastAsia="Arial" w:hint="default"/>
                <w:sz w:val="20"/>
                <w:szCs w:val="20"/>
              </w:rPr>
            </w:pPr>
            <w:r>
              <w:rPr>
                <w:rFonts w:ascii="Arial"/>
                <w:spacing w:val="-1"/>
                <w:sz w:val="20"/>
              </w:rPr>
              <w:t>94,859,610</w:t>
            </w:r>
            <w:r>
              <w:rPr>
                <w:rFonts w:ascii="Arial"/>
                <w:sz w:val="20"/>
              </w:rPr>
            </w:r>
          </w:p>
        </w:tc>
      </w:tr>
      <w:tr>
        <w:trPr>
          <w:trHeight w:val="233" w:hRule="exact"/>
        </w:trPr>
        <w:tc>
          <w:tcPr>
            <w:tcW w:w="4741" w:type="dxa"/>
            <w:tcBorders>
              <w:top w:val="nil" w:sz="6" w:space="0" w:color="auto"/>
              <w:left w:val="nil" w:sz="6" w:space="0" w:color="auto"/>
              <w:bottom w:val="nil" w:sz="6" w:space="0" w:color="auto"/>
              <w:right w:val="nil" w:sz="6" w:space="0" w:color="auto"/>
            </w:tcBorders>
          </w:tcPr>
          <w:p>
            <w:pPr>
              <w:pStyle w:val="TableParagraph"/>
              <w:spacing w:line="223" w:lineRule="exact"/>
              <w:ind w:left="200" w:right="0"/>
              <w:jc w:val="left"/>
              <w:rPr>
                <w:rFonts w:ascii="黑体" w:hAnsi="黑体" w:cs="黑体" w:eastAsia="黑体" w:hint="default"/>
                <w:sz w:val="20"/>
                <w:szCs w:val="20"/>
              </w:rPr>
            </w:pPr>
            <w:r>
              <w:rPr>
                <w:rFonts w:ascii="黑体" w:hAnsi="黑体" w:cs="黑体" w:eastAsia="黑体" w:hint="default"/>
                <w:sz w:val="20"/>
                <w:szCs w:val="20"/>
              </w:rPr>
              <w:t>以权益结算的股份支付确认的费用总额</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
              <w:jc w:val="right"/>
              <w:rPr>
                <w:rFonts w:ascii="Arial" w:hAnsi="Arial" w:cs="Arial" w:eastAsia="Arial" w:hint="default"/>
                <w:sz w:val="20"/>
                <w:szCs w:val="20"/>
              </w:rPr>
            </w:pPr>
            <w:r>
              <w:rPr>
                <w:rFonts w:ascii="Arial"/>
                <w:sz w:val="20"/>
              </w:rPr>
              <w:t>(</w:t>
            </w:r>
            <w:r>
              <w:rPr>
                <w:rFonts w:ascii="Arial"/>
                <w:spacing w:val="-6"/>
                <w:sz w:val="20"/>
              </w:rPr>
              <w:t> </w:t>
            </w:r>
            <w:r>
              <w:rPr>
                <w:rFonts w:ascii="Arial"/>
                <w:sz w:val="20"/>
              </w:rPr>
              <w:t>8,877,629</w:t>
            </w:r>
          </w:p>
        </w:tc>
        <w:tc>
          <w:tcPr>
            <w:tcW w:w="526" w:type="dxa"/>
            <w:tcBorders>
              <w:top w:val="nil" w:sz="6" w:space="0" w:color="auto"/>
              <w:left w:val="nil" w:sz="6" w:space="0" w:color="auto"/>
              <w:bottom w:val="nil" w:sz="6" w:space="0" w:color="auto"/>
              <w:right w:val="nil" w:sz="6" w:space="0" w:color="auto"/>
            </w:tcBorders>
          </w:tcPr>
          <w:p>
            <w:pPr>
              <w:pStyle w:val="TableParagraph"/>
              <w:spacing w:line="240" w:lineRule="auto" w:before="7"/>
              <w:ind w:left="1" w:right="0"/>
              <w:jc w:val="left"/>
              <w:rPr>
                <w:rFonts w:ascii="Arial" w:hAnsi="Arial" w:cs="Arial" w:eastAsia="Arial" w:hint="default"/>
                <w:sz w:val="20"/>
                <w:szCs w:val="20"/>
              </w:rPr>
            </w:pPr>
            <w:r>
              <w:rPr>
                <w:rFonts w:ascii="Arial"/>
                <w:w w:val="99"/>
                <w:sz w:val="20"/>
              </w:rPr>
              <w:t>)</w:t>
            </w:r>
            <w:r>
              <w:rPr>
                <w:rFonts w:ascii="Arial"/>
                <w:sz w:val="20"/>
              </w:rPr>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spacing w:val="-1"/>
                <w:sz w:val="20"/>
              </w:rPr>
              <w:t>30,999,687</w:t>
            </w:r>
            <w:r>
              <w:rPr>
                <w:rFonts w:ascii="Arial"/>
                <w:sz w:val="20"/>
              </w:rPr>
            </w:r>
          </w:p>
        </w:tc>
      </w:tr>
    </w:tbl>
    <w:p>
      <w:pPr>
        <w:spacing w:line="240" w:lineRule="auto" w:before="4"/>
        <w:rPr>
          <w:rFonts w:ascii="黑体" w:hAnsi="黑体" w:cs="黑体" w:eastAsia="黑体" w:hint="default"/>
          <w:sz w:val="19"/>
          <w:szCs w:val="19"/>
        </w:rPr>
      </w:pPr>
    </w:p>
    <w:p>
      <w:pPr>
        <w:pStyle w:val="BodyText"/>
        <w:tabs>
          <w:tab w:pos="814" w:val="left" w:leader="none"/>
        </w:tabs>
        <w:spacing w:line="240" w:lineRule="auto" w:before="37"/>
        <w:ind w:left="101" w:right="0"/>
        <w:jc w:val="left"/>
      </w:pPr>
      <w:r>
        <w:rPr>
          <w:rFonts w:ascii="Arial" w:hAnsi="Arial" w:cs="Arial" w:eastAsia="Arial" w:hint="default"/>
          <w:spacing w:val="-1"/>
          <w:w w:val="95"/>
        </w:rPr>
        <w:t>2</w:t>
      </w:r>
      <w:r>
        <w:rPr>
          <w:spacing w:val="-1"/>
          <w:w w:val="95"/>
        </w:rPr>
        <w:t>．</w:t>
        <w:tab/>
      </w:r>
      <w:r>
        <w:rPr/>
        <w:t>股份支付计划</w:t>
      </w:r>
    </w:p>
    <w:p>
      <w:pPr>
        <w:spacing w:line="240" w:lineRule="auto" w:before="10"/>
        <w:rPr>
          <w:rFonts w:ascii="黑体" w:hAnsi="黑体" w:cs="黑体" w:eastAsia="黑体" w:hint="default"/>
          <w:sz w:val="24"/>
          <w:szCs w:val="24"/>
        </w:rPr>
      </w:pPr>
    </w:p>
    <w:p>
      <w:pPr>
        <w:pStyle w:val="BodyText"/>
        <w:tabs>
          <w:tab w:pos="821" w:val="left" w:leader="none"/>
        </w:tabs>
        <w:spacing w:line="240" w:lineRule="auto"/>
        <w:ind w:left="101" w:right="0"/>
        <w:jc w:val="left"/>
      </w:pPr>
      <w:r>
        <w:rPr>
          <w:spacing w:val="-1"/>
          <w:w w:val="95"/>
        </w:rPr>
        <w:t>（</w:t>
      </w:r>
      <w:r>
        <w:rPr>
          <w:rFonts w:ascii="Arial" w:hAnsi="Arial" w:cs="Arial" w:eastAsia="Arial" w:hint="default"/>
          <w:spacing w:val="-1"/>
          <w:w w:val="95"/>
        </w:rPr>
        <w:t>1</w:t>
      </w:r>
      <w:r>
        <w:rPr>
          <w:spacing w:val="-1"/>
          <w:w w:val="95"/>
        </w:rPr>
        <w:t>）</w:t>
        <w:tab/>
      </w:r>
      <w:r>
        <w:rPr/>
        <w:t>限制性股票激励计划</w:t>
      </w:r>
    </w:p>
    <w:p>
      <w:pPr>
        <w:spacing w:line="240" w:lineRule="auto" w:before="10"/>
        <w:rPr>
          <w:rFonts w:ascii="黑体" w:hAnsi="黑体" w:cs="黑体" w:eastAsia="黑体" w:hint="default"/>
          <w:sz w:val="24"/>
          <w:szCs w:val="24"/>
        </w:rPr>
      </w:pPr>
    </w:p>
    <w:p>
      <w:pPr>
        <w:pStyle w:val="BodyText"/>
        <w:spacing w:line="266" w:lineRule="auto"/>
        <w:ind w:right="311"/>
        <w:jc w:val="both"/>
      </w:pPr>
      <w:r>
        <w:rPr/>
        <w:t>本公司于</w:t>
      </w:r>
      <w:r>
        <w:rPr>
          <w:rFonts w:ascii="Arial" w:hAnsi="Arial" w:cs="Arial" w:eastAsia="Arial" w:hint="default"/>
        </w:rPr>
        <w:t>2007</w:t>
      </w:r>
      <w:r>
        <w:rPr/>
        <w:t>年度、</w:t>
      </w:r>
      <w:r>
        <w:rPr>
          <w:rFonts w:ascii="Arial" w:hAnsi="Arial" w:cs="Arial" w:eastAsia="Arial" w:hint="default"/>
        </w:rPr>
        <w:t>2008</w:t>
      </w:r>
      <w:r>
        <w:rPr/>
        <w:t>年度和</w:t>
      </w:r>
      <w:r>
        <w:rPr>
          <w:rFonts w:ascii="Arial" w:hAnsi="Arial" w:cs="Arial" w:eastAsia="Arial" w:hint="default"/>
        </w:rPr>
        <w:t>2009</w:t>
      </w:r>
      <w:r>
        <w:rPr/>
        <w:t>年度按公司股本总额的</w:t>
      </w:r>
      <w:r>
        <w:rPr>
          <w:rFonts w:ascii="Arial" w:hAnsi="Arial" w:cs="Arial" w:eastAsia="Arial" w:hint="default"/>
        </w:rPr>
        <w:t>3%</w:t>
      </w:r>
      <w:r>
        <w:rPr/>
        <w:t>、</w:t>
      </w:r>
      <w:r>
        <w:rPr>
          <w:rFonts w:ascii="Arial" w:hAnsi="Arial" w:cs="Arial" w:eastAsia="Arial" w:hint="default"/>
        </w:rPr>
        <w:t>1%</w:t>
      </w:r>
      <w:r>
        <w:rPr/>
        <w:t>、</w:t>
      </w:r>
      <w:r>
        <w:rPr>
          <w:rFonts w:ascii="Arial" w:hAnsi="Arial" w:cs="Arial" w:eastAsia="Arial" w:hint="default"/>
        </w:rPr>
        <w:t>1%</w:t>
      </w:r>
      <w:r>
        <w:rPr/>
        <w:t>以授予标的股票</w:t>
      </w:r>
      <w:r>
        <w:rPr>
          <w:spacing w:val="-49"/>
        </w:rPr>
        <w:t> </w:t>
      </w:r>
      <w:r>
        <w:rPr>
          <w:spacing w:val="-49"/>
        </w:rPr>
      </w:r>
      <w:r>
        <w:rPr>
          <w:spacing w:val="2"/>
          <w:w w:val="95"/>
        </w:rPr>
        <w:t>方式实施股权激励计划，藉此奖励对本集团业务有贡献的员工。该股权激励计划的激励对象</w:t>
      </w:r>
      <w:r>
        <w:rPr>
          <w:spacing w:val="90"/>
          <w:w w:val="95"/>
        </w:rPr>
        <w:t> </w:t>
      </w:r>
      <w:r>
        <w:rPr>
          <w:spacing w:val="90"/>
          <w:w w:val="95"/>
        </w:rPr>
      </w:r>
      <w:r>
        <w:rPr>
          <w:spacing w:val="-3"/>
        </w:rPr>
        <w:t>为本公司监事、高级管理人员和其他核心员工。除已经授出但未能解锁而作废的标的股票外，</w:t>
      </w:r>
      <w:r>
        <w:rPr>
          <w:w w:val="99"/>
        </w:rPr>
        <w:t> </w:t>
      </w:r>
      <w:r>
        <w:rPr/>
        <w:t>上述股权激励计划所授予的有效标的股票总额</w:t>
      </w:r>
      <w:r>
        <w:rPr>
          <w:rFonts w:ascii="Arial" w:hAnsi="Arial" w:cs="Arial" w:eastAsia="Arial" w:hint="default"/>
        </w:rPr>
        <w:t>56,620,167</w:t>
      </w:r>
      <w:r>
        <w:rPr/>
        <w:t>股已经于</w:t>
      </w:r>
      <w:r>
        <w:rPr>
          <w:rFonts w:ascii="Arial" w:hAnsi="Arial" w:cs="Arial" w:eastAsia="Arial" w:hint="default"/>
        </w:rPr>
        <w:t>2011</w:t>
      </w:r>
      <w:r>
        <w:rPr/>
        <w:t>年全部解禁，本公司</w:t>
      </w:r>
      <w:r>
        <w:rPr>
          <w:spacing w:val="-89"/>
        </w:rPr>
        <w:t> </w:t>
      </w:r>
      <w:r>
        <w:rPr>
          <w:spacing w:val="-89"/>
        </w:rPr>
      </w:r>
      <w:r>
        <w:rPr>
          <w:spacing w:val="6"/>
        </w:rPr>
        <w:t>以上述股份支付所换取的职工服务于</w:t>
      </w:r>
      <w:r>
        <w:rPr>
          <w:rFonts w:ascii="Arial" w:hAnsi="Arial" w:cs="Arial" w:eastAsia="Arial" w:hint="default"/>
          <w:spacing w:val="6"/>
        </w:rPr>
        <w:t>2012</w:t>
      </w:r>
      <w:r>
        <w:rPr>
          <w:spacing w:val="6"/>
        </w:rPr>
        <w:t>年确认的费用总额为人民币零元</w:t>
      </w:r>
      <w:r>
        <w:rPr>
          <w:rFonts w:ascii="Arial" w:hAnsi="Arial" w:cs="Arial" w:eastAsia="Arial" w:hint="default"/>
          <w:spacing w:val="6"/>
        </w:rPr>
        <w:t>(2011</w:t>
      </w:r>
      <w:r>
        <w:rPr>
          <w:spacing w:val="6"/>
        </w:rPr>
        <w:t>年</w:t>
      </w:r>
      <w:r>
        <w:rPr>
          <w:rFonts w:ascii="Arial" w:hAnsi="Arial" w:cs="Arial" w:eastAsia="Arial" w:hint="default"/>
          <w:spacing w:val="6"/>
        </w:rPr>
        <w:t>:</w:t>
      </w:r>
      <w:r>
        <w:rPr>
          <w:spacing w:val="6"/>
        </w:rPr>
        <w:t>人民币</w:t>
      </w:r>
      <w:r>
        <w:rPr>
          <w:spacing w:val="7"/>
          <w:w w:val="99"/>
        </w:rPr>
        <w:t> </w:t>
      </w:r>
      <w:r>
        <w:rPr>
          <w:rFonts w:ascii="Arial" w:hAnsi="Arial" w:cs="Arial" w:eastAsia="Arial" w:hint="default"/>
        </w:rPr>
        <w:t>2,147,394</w:t>
      </w:r>
      <w:r>
        <w:rPr/>
        <w:t>元</w:t>
      </w:r>
      <w:r>
        <w:rPr>
          <w:rFonts w:ascii="Arial" w:hAnsi="Arial" w:cs="Arial" w:eastAsia="Arial" w:hint="default"/>
        </w:rPr>
        <w:t>)</w:t>
      </w:r>
      <w:r>
        <w:rPr/>
        <w:t>。</w:t>
      </w:r>
    </w:p>
    <w:p>
      <w:pPr>
        <w:spacing w:after="0" w:line="266" w:lineRule="auto"/>
        <w:jc w:val="both"/>
        <w:sectPr>
          <w:pgSz w:w="11910" w:h="16840"/>
          <w:pgMar w:header="825" w:footer="473" w:top="2420" w:bottom="660" w:left="1600" w:right="1100"/>
        </w:sectPr>
      </w:pPr>
    </w:p>
    <w:p>
      <w:pPr>
        <w:spacing w:line="240" w:lineRule="auto" w:before="13"/>
        <w:rPr>
          <w:rFonts w:ascii="黑体" w:hAnsi="黑体" w:cs="黑体" w:eastAsia="黑体" w:hint="default"/>
          <w:sz w:val="24"/>
          <w:szCs w:val="24"/>
        </w:rPr>
      </w:pPr>
    </w:p>
    <w:p>
      <w:pPr>
        <w:pStyle w:val="Heading6"/>
        <w:tabs>
          <w:tab w:pos="706" w:val="left" w:leader="none"/>
        </w:tabs>
        <w:spacing w:line="240" w:lineRule="auto"/>
        <w:ind w:right="0"/>
        <w:jc w:val="left"/>
        <w:rPr>
          <w:b w:val="0"/>
          <w:bCs w:val="0"/>
        </w:rPr>
      </w:pPr>
      <w:r>
        <w:rPr>
          <w:w w:val="95"/>
        </w:rPr>
        <w:t>七、</w:t>
        <w:tab/>
      </w:r>
      <w:r>
        <w:rPr/>
        <w:t>股份支付（续）</w:t>
      </w:r>
      <w:r>
        <w:rPr>
          <w:b w:val="0"/>
          <w:bCs w:val="0"/>
        </w:rPr>
      </w:r>
    </w:p>
    <w:p>
      <w:pPr>
        <w:spacing w:line="240" w:lineRule="auto" w:before="7"/>
        <w:rPr>
          <w:rFonts w:ascii="黑体" w:hAnsi="黑体" w:cs="黑体" w:eastAsia="黑体" w:hint="default"/>
          <w:b/>
          <w:bCs/>
          <w:sz w:val="24"/>
          <w:szCs w:val="24"/>
        </w:rPr>
      </w:pPr>
    </w:p>
    <w:p>
      <w:pPr>
        <w:pStyle w:val="BodyText"/>
        <w:tabs>
          <w:tab w:pos="713" w:val="left" w:leader="none"/>
        </w:tabs>
        <w:spacing w:line="240" w:lineRule="auto"/>
        <w:ind w:left="101" w:right="0"/>
        <w:jc w:val="left"/>
      </w:pPr>
      <w:r>
        <w:rPr>
          <w:rFonts w:ascii="Arial" w:hAnsi="Arial" w:cs="Arial" w:eastAsia="Arial" w:hint="default"/>
          <w:spacing w:val="-1"/>
          <w:w w:val="95"/>
        </w:rPr>
        <w:t>2</w:t>
      </w:r>
      <w:r>
        <w:rPr>
          <w:spacing w:val="-1"/>
          <w:w w:val="95"/>
        </w:rPr>
        <w:t>．</w:t>
        <w:tab/>
      </w:r>
      <w:r>
        <w:rPr/>
        <w:t>股份支付计划（续）</w:t>
      </w:r>
    </w:p>
    <w:p>
      <w:pPr>
        <w:spacing w:line="240" w:lineRule="auto" w:before="10"/>
        <w:rPr>
          <w:rFonts w:ascii="黑体" w:hAnsi="黑体" w:cs="黑体" w:eastAsia="黑体" w:hint="default"/>
          <w:sz w:val="24"/>
          <w:szCs w:val="24"/>
        </w:rPr>
      </w:pPr>
    </w:p>
    <w:p>
      <w:pPr>
        <w:pStyle w:val="BodyText"/>
        <w:spacing w:line="240" w:lineRule="auto"/>
        <w:ind w:left="101" w:right="0"/>
        <w:jc w:val="left"/>
      </w:pPr>
      <w:r>
        <w:rPr/>
        <w:t>（</w:t>
      </w:r>
      <w:r>
        <w:rPr>
          <w:rFonts w:ascii="Arial" w:hAnsi="Arial" w:cs="Arial" w:eastAsia="Arial" w:hint="default"/>
        </w:rPr>
        <w:t>2</w:t>
      </w:r>
      <w:r>
        <w:rPr/>
        <w:t>）</w:t>
      </w:r>
      <w:r>
        <w:rPr>
          <w:spacing w:val="-4"/>
        </w:rPr>
        <w:t> </w:t>
      </w:r>
      <w:r>
        <w:rPr/>
        <w:t>股票期权激励计划（续）</w:t>
      </w:r>
    </w:p>
    <w:p>
      <w:pPr>
        <w:spacing w:line="240" w:lineRule="auto" w:before="10"/>
        <w:rPr>
          <w:rFonts w:ascii="黑体" w:hAnsi="黑体" w:cs="黑体" w:eastAsia="黑体" w:hint="default"/>
          <w:sz w:val="24"/>
          <w:szCs w:val="24"/>
        </w:rPr>
      </w:pPr>
    </w:p>
    <w:p>
      <w:pPr>
        <w:pStyle w:val="BodyText"/>
        <w:spacing w:line="261" w:lineRule="auto"/>
        <w:ind w:left="667" w:right="116"/>
        <w:jc w:val="both"/>
      </w:pPr>
      <w:r>
        <w:rPr/>
        <w:t>本公司董事会于</w:t>
      </w:r>
      <w:r>
        <w:rPr>
          <w:rFonts w:ascii="Arial" w:hAnsi="Arial" w:cs="Arial" w:eastAsia="Arial" w:hint="default"/>
        </w:rPr>
        <w:t>2010</w:t>
      </w:r>
      <w:r>
        <w:rPr/>
        <w:t>年</w:t>
      </w:r>
      <w:r>
        <w:rPr>
          <w:rFonts w:ascii="Arial" w:hAnsi="Arial" w:cs="Arial" w:eastAsia="Arial" w:hint="default"/>
        </w:rPr>
        <w:t>11</w:t>
      </w:r>
      <w:r>
        <w:rPr/>
        <w:t>月</w:t>
      </w:r>
      <w:r>
        <w:rPr>
          <w:rFonts w:ascii="Arial" w:hAnsi="Arial" w:cs="Arial" w:eastAsia="Arial" w:hint="default"/>
        </w:rPr>
        <w:t>29</w:t>
      </w:r>
      <w:r>
        <w:rPr/>
        <w:t>日审议通过了《用友软件股票期权激励计划</w:t>
      </w:r>
      <w:r>
        <w:rPr>
          <w:rFonts w:ascii="Arial" w:hAnsi="Arial" w:cs="Arial" w:eastAsia="Arial" w:hint="default"/>
        </w:rPr>
        <w:t>(</w:t>
      </w:r>
      <w:r>
        <w:rPr/>
        <w:t>草案</w:t>
      </w:r>
      <w:r>
        <w:rPr>
          <w:rFonts w:ascii="Arial" w:hAnsi="Arial" w:cs="Arial" w:eastAsia="Arial" w:hint="default"/>
        </w:rPr>
        <w:t>)</w:t>
      </w:r>
      <w:r>
        <w:rPr/>
        <w:t>》，拟向激励</w:t>
      </w:r>
      <w:r>
        <w:rPr>
          <w:w w:val="99"/>
        </w:rPr>
        <w:t> </w:t>
      </w:r>
      <w:r>
        <w:rPr/>
        <w:t>对象授予</w:t>
      </w:r>
      <w:r>
        <w:rPr>
          <w:rFonts w:ascii="Arial" w:hAnsi="Arial" w:cs="Arial" w:eastAsia="Arial" w:hint="default"/>
        </w:rPr>
        <w:t>24,483,956</w:t>
      </w:r>
      <w:r>
        <w:rPr/>
        <w:t>份股票期权，占本公司股本总额的 </w:t>
      </w:r>
      <w:r>
        <w:rPr>
          <w:rFonts w:ascii="Arial" w:hAnsi="Arial" w:cs="Arial" w:eastAsia="Arial" w:hint="default"/>
        </w:rPr>
        <w:t>3%</w:t>
      </w:r>
      <w:r>
        <w:rPr/>
        <w:t>，其中首次授予</w:t>
      </w:r>
      <w:r>
        <w:rPr>
          <w:rFonts w:ascii="Arial" w:hAnsi="Arial" w:cs="Arial" w:eastAsia="Arial" w:hint="default"/>
        </w:rPr>
        <w:t>22,035,561</w:t>
      </w:r>
      <w:r>
        <w:rPr/>
        <w:t>份股票</w:t>
      </w:r>
      <w:r>
        <w:rPr>
          <w:spacing w:val="-87"/>
        </w:rPr>
        <w:t> </w:t>
      </w:r>
      <w:r>
        <w:rPr>
          <w:spacing w:val="-87"/>
        </w:rPr>
      </w:r>
      <w:r>
        <w:rPr>
          <w:spacing w:val="-2"/>
          <w:w w:val="99"/>
        </w:rPr>
        <w:t>期权数量占本公司股本总额的</w:t>
      </w:r>
      <w:r>
        <w:rPr>
          <w:rFonts w:ascii="Arial" w:hAnsi="Arial" w:cs="Arial" w:eastAsia="Arial" w:hint="default"/>
          <w:spacing w:val="-2"/>
          <w:w w:val="99"/>
        </w:rPr>
        <w:t>2.7%</w:t>
      </w:r>
      <w:r>
        <w:rPr>
          <w:spacing w:val="-2"/>
          <w:w w:val="99"/>
        </w:rPr>
        <w:t>，预留</w:t>
      </w:r>
      <w:r>
        <w:rPr>
          <w:rFonts w:ascii="Arial" w:hAnsi="Arial" w:cs="Arial" w:eastAsia="Arial" w:hint="default"/>
          <w:spacing w:val="-2"/>
          <w:w w:val="99"/>
        </w:rPr>
        <w:t>2,448,395</w:t>
      </w:r>
      <w:r>
        <w:rPr>
          <w:spacing w:val="-2"/>
          <w:w w:val="99"/>
        </w:rPr>
        <w:t>份股票期权数量占本公司股本总额的</w:t>
      </w:r>
      <w:r>
        <w:rPr>
          <w:rFonts w:ascii="Arial" w:hAnsi="Arial" w:cs="Arial" w:eastAsia="Arial" w:hint="default"/>
          <w:spacing w:val="-2"/>
          <w:w w:val="99"/>
        </w:rPr>
        <w:t>0.3%</w:t>
      </w:r>
      <w:r>
        <w:rPr>
          <w:spacing w:val="-2"/>
          <w:w w:val="99"/>
        </w:rPr>
        <w:t>。</w:t>
      </w:r>
      <w:r>
        <w:rPr>
          <w:spacing w:val="-2"/>
        </w:rPr>
      </w:r>
    </w:p>
    <w:p>
      <w:pPr>
        <w:spacing w:line="240" w:lineRule="auto" w:before="10"/>
        <w:rPr>
          <w:rFonts w:ascii="黑体" w:hAnsi="黑体" w:cs="黑体" w:eastAsia="黑体" w:hint="default"/>
          <w:sz w:val="21"/>
          <w:szCs w:val="21"/>
        </w:rPr>
      </w:pPr>
    </w:p>
    <w:p>
      <w:pPr>
        <w:pStyle w:val="BodyText"/>
        <w:spacing w:line="261" w:lineRule="auto"/>
        <w:ind w:left="667" w:right="212"/>
        <w:jc w:val="both"/>
      </w:pPr>
      <w:r>
        <w:rPr>
          <w:spacing w:val="2"/>
        </w:rPr>
        <w:t>根据中国证监会的反馈意见，本公司修订了公司《股票期权激励计划</w:t>
      </w:r>
      <w:r>
        <w:rPr>
          <w:rFonts w:ascii="Arial" w:hAnsi="Arial" w:cs="Arial" w:eastAsia="Arial" w:hint="default"/>
          <w:spacing w:val="2"/>
        </w:rPr>
        <w:t>(</w:t>
      </w:r>
      <w:r>
        <w:rPr>
          <w:spacing w:val="2"/>
        </w:rPr>
        <w:t>草案</w:t>
      </w:r>
      <w:r>
        <w:rPr>
          <w:rFonts w:ascii="Arial" w:hAnsi="Arial" w:cs="Arial" w:eastAsia="Arial" w:hint="default"/>
          <w:spacing w:val="2"/>
        </w:rPr>
        <w:t>)</w:t>
      </w:r>
      <w:r>
        <w:rPr>
          <w:spacing w:val="2"/>
        </w:rPr>
        <w:t>》，形成了《股票</w:t>
      </w:r>
      <w:r>
        <w:rPr>
          <w:spacing w:val="2"/>
          <w:w w:val="99"/>
        </w:rPr>
        <w:t> </w:t>
      </w:r>
      <w:r>
        <w:rPr/>
        <w:t>期权激励计划</w:t>
      </w:r>
      <w:r>
        <w:rPr>
          <w:rFonts w:ascii="Arial" w:hAnsi="Arial" w:cs="Arial" w:eastAsia="Arial" w:hint="default"/>
        </w:rPr>
        <w:t>(</w:t>
      </w:r>
      <w:r>
        <w:rPr/>
        <w:t>修订稿</w:t>
      </w:r>
      <w:r>
        <w:rPr>
          <w:rFonts w:ascii="Arial" w:hAnsi="Arial" w:cs="Arial" w:eastAsia="Arial" w:hint="default"/>
        </w:rPr>
        <w:t>)</w:t>
      </w:r>
      <w:r>
        <w:rPr/>
        <w:t>》，并报中国证监会备案无异议。于</w:t>
      </w:r>
      <w:r>
        <w:rPr>
          <w:rFonts w:ascii="Arial" w:hAnsi="Arial" w:cs="Arial" w:eastAsia="Arial" w:hint="default"/>
        </w:rPr>
        <w:t>2011</w:t>
      </w:r>
      <w:r>
        <w:rPr/>
        <w:t>年</w:t>
      </w:r>
      <w:r>
        <w:rPr>
          <w:rFonts w:ascii="Arial" w:hAnsi="Arial" w:cs="Arial" w:eastAsia="Arial" w:hint="default"/>
        </w:rPr>
        <w:t>4</w:t>
      </w:r>
      <w:r>
        <w:rPr/>
        <w:t>月</w:t>
      </w:r>
      <w:r>
        <w:rPr>
          <w:rFonts w:ascii="Arial" w:hAnsi="Arial" w:cs="Arial" w:eastAsia="Arial" w:hint="default"/>
        </w:rPr>
        <w:t>26</w:t>
      </w:r>
      <w:r>
        <w:rPr/>
        <w:t>日，本公司</w:t>
      </w:r>
      <w:r>
        <w:rPr>
          <w:rFonts w:ascii="Arial" w:hAnsi="Arial" w:cs="Arial" w:eastAsia="Arial" w:hint="default"/>
        </w:rPr>
        <w:t>2010</w:t>
      </w:r>
      <w:r>
        <w:rPr/>
        <w:t>年年</w:t>
      </w:r>
      <w:r>
        <w:rPr>
          <w:spacing w:val="-53"/>
        </w:rPr>
        <w:t> </w:t>
      </w:r>
      <w:r>
        <w:rPr/>
        <w:t>度股东大会审议通过了《股票期权激励计划</w:t>
      </w:r>
      <w:r>
        <w:rPr>
          <w:rFonts w:ascii="Arial" w:hAnsi="Arial" w:cs="Arial" w:eastAsia="Arial" w:hint="default"/>
        </w:rPr>
        <w:t>(</w:t>
      </w:r>
      <w:r>
        <w:rPr/>
        <w:t>修订稿</w:t>
      </w:r>
      <w:r>
        <w:rPr>
          <w:rFonts w:ascii="Arial" w:hAnsi="Arial" w:cs="Arial" w:eastAsia="Arial" w:hint="default"/>
        </w:rPr>
        <w:t>)</w:t>
      </w:r>
      <w:r>
        <w:rPr/>
        <w:t>》。</w:t>
      </w:r>
    </w:p>
    <w:p>
      <w:pPr>
        <w:spacing w:line="240" w:lineRule="auto" w:before="9"/>
        <w:rPr>
          <w:rFonts w:ascii="黑体" w:hAnsi="黑体" w:cs="黑体" w:eastAsia="黑体" w:hint="default"/>
          <w:sz w:val="24"/>
          <w:szCs w:val="24"/>
        </w:rPr>
      </w:pPr>
    </w:p>
    <w:p>
      <w:pPr>
        <w:pStyle w:val="BodyText"/>
        <w:spacing w:line="240" w:lineRule="auto"/>
        <w:ind w:left="667" w:right="0"/>
        <w:jc w:val="both"/>
      </w:pPr>
      <w:r>
        <w:rPr/>
        <w:t>本公司将首次授予激励对象股票期权的授予日定为</w:t>
      </w:r>
      <w:r>
        <w:rPr>
          <w:rFonts w:ascii="Arial" w:hAnsi="Arial" w:cs="Arial" w:eastAsia="Arial" w:hint="default"/>
        </w:rPr>
        <w:t>2011</w:t>
      </w:r>
      <w:r>
        <w:rPr/>
        <w:t>年</w:t>
      </w:r>
      <w:r>
        <w:rPr>
          <w:rFonts w:ascii="Arial" w:hAnsi="Arial" w:cs="Arial" w:eastAsia="Arial" w:hint="default"/>
        </w:rPr>
        <w:t>5</w:t>
      </w:r>
      <w:r>
        <w:rPr/>
        <w:t>月</w:t>
      </w:r>
      <w:r>
        <w:rPr>
          <w:rFonts w:ascii="Arial" w:hAnsi="Arial" w:cs="Arial" w:eastAsia="Arial" w:hint="default"/>
        </w:rPr>
        <w:t>4</w:t>
      </w:r>
      <w:r>
        <w:rPr/>
        <w:t>日。</w:t>
      </w:r>
    </w:p>
    <w:p>
      <w:pPr>
        <w:spacing w:line="240" w:lineRule="auto" w:before="0"/>
        <w:rPr>
          <w:rFonts w:ascii="黑体" w:hAnsi="黑体" w:cs="黑体" w:eastAsia="黑体" w:hint="default"/>
          <w:sz w:val="20"/>
          <w:szCs w:val="20"/>
        </w:rPr>
      </w:pPr>
    </w:p>
    <w:p>
      <w:pPr>
        <w:pStyle w:val="BodyText"/>
        <w:spacing w:line="271" w:lineRule="auto" w:before="146"/>
        <w:ind w:left="667" w:right="217"/>
        <w:jc w:val="both"/>
      </w:pPr>
      <w:r>
        <w:rPr>
          <w:spacing w:val="2"/>
        </w:rPr>
        <w:t>本公司实行的上述股票期权激励计划</w:t>
      </w:r>
      <w:r>
        <w:rPr>
          <w:rFonts w:ascii="Arial" w:hAnsi="Arial" w:cs="Arial" w:eastAsia="Arial" w:hint="default"/>
          <w:spacing w:val="2"/>
        </w:rPr>
        <w:t>(</w:t>
      </w:r>
      <w:r>
        <w:rPr>
          <w:spacing w:val="2"/>
        </w:rPr>
        <w:t>以下简称“本计划”</w:t>
      </w:r>
      <w:r>
        <w:rPr>
          <w:rFonts w:ascii="Arial" w:hAnsi="Arial" w:cs="Arial" w:eastAsia="Arial" w:hint="default"/>
          <w:spacing w:val="2"/>
        </w:rPr>
        <w:t>)</w:t>
      </w:r>
      <w:r>
        <w:rPr>
          <w:spacing w:val="2"/>
        </w:rPr>
        <w:t>的激励对象包括本公司的高级管理</w:t>
      </w:r>
      <w:r>
        <w:rPr>
          <w:w w:val="99"/>
        </w:rPr>
        <w:t> </w:t>
      </w:r>
      <w:r>
        <w:rPr/>
        <w:t>人员及经认定的本公司及其子公司的核心员工。</w:t>
      </w: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14"/>
          <w:szCs w:val="14"/>
        </w:rPr>
      </w:pPr>
    </w:p>
    <w:p>
      <w:pPr>
        <w:pStyle w:val="BodyText"/>
        <w:spacing w:line="278" w:lineRule="auto"/>
        <w:ind w:left="667" w:right="212"/>
        <w:jc w:val="both"/>
      </w:pPr>
      <w:r>
        <w:rPr>
          <w:spacing w:val="-2"/>
        </w:rPr>
        <w:t>本计划首次授予的股票期权行权价格为人民币</w:t>
      </w:r>
      <w:r>
        <w:rPr>
          <w:rFonts w:ascii="Arial" w:hAnsi="Arial" w:cs="Arial" w:eastAsia="Arial" w:hint="default"/>
          <w:spacing w:val="-2"/>
        </w:rPr>
        <w:t>25.16</w:t>
      </w:r>
      <w:r>
        <w:rPr>
          <w:spacing w:val="-2"/>
        </w:rPr>
        <w:t>元，预留股票期权的行权价在该股票期权授</w:t>
      </w:r>
      <w:r>
        <w:rPr>
          <w:w w:val="99"/>
        </w:rPr>
        <w:t> </w:t>
      </w:r>
      <w:r>
        <w:rPr/>
        <w:t>予时由本公司董事会按照本计划的有关规定确定。首次授予的股票期权的行权价格取下列两个</w:t>
      </w:r>
      <w:r>
        <w:rPr>
          <w:spacing w:val="-85"/>
        </w:rPr>
        <w:t> </w:t>
      </w:r>
      <w:r>
        <w:rPr>
          <w:spacing w:val="-85"/>
        </w:rPr>
      </w:r>
      <w:r>
        <w:rPr/>
        <w:t>价格中的较高者：</w:t>
      </w:r>
    </w:p>
    <w:p>
      <w:pPr>
        <w:pStyle w:val="BodyText"/>
        <w:spacing w:line="240" w:lineRule="auto" w:before="18"/>
        <w:ind w:left="580" w:right="0"/>
        <w:jc w:val="both"/>
      </w:pPr>
      <w:r>
        <w:rPr/>
        <w:t>（一）本计划草案摘要公布前</w:t>
      </w:r>
      <w:r>
        <w:rPr>
          <w:rFonts w:ascii="Arial" w:hAnsi="Arial" w:cs="Arial" w:eastAsia="Arial" w:hint="default"/>
        </w:rPr>
        <w:t>1</w:t>
      </w:r>
      <w:r>
        <w:rPr/>
        <w:t>个交易日的公司</w:t>
      </w:r>
      <w:r>
        <w:rPr>
          <w:rFonts w:ascii="Arial" w:hAnsi="Arial" w:cs="Arial" w:eastAsia="Arial" w:hint="default"/>
        </w:rPr>
        <w:t>A</w:t>
      </w:r>
      <w:r>
        <w:rPr/>
        <w:t>股股票收盘价人民币</w:t>
      </w:r>
      <w:r>
        <w:rPr>
          <w:rFonts w:ascii="Arial" w:hAnsi="Arial" w:cs="Arial" w:eastAsia="Arial" w:hint="default"/>
        </w:rPr>
        <w:t>25.16</w:t>
      </w:r>
      <w:r>
        <w:rPr/>
        <w:t>元；</w:t>
      </w:r>
    </w:p>
    <w:p>
      <w:pPr>
        <w:pStyle w:val="BodyText"/>
        <w:spacing w:line="240" w:lineRule="auto" w:before="36"/>
        <w:ind w:left="580" w:right="0"/>
        <w:jc w:val="both"/>
      </w:pPr>
      <w:r>
        <w:rPr/>
        <w:t>（二）本计划草案摘要公布前</w:t>
      </w:r>
      <w:r>
        <w:rPr>
          <w:rFonts w:ascii="Arial" w:hAnsi="Arial" w:cs="Arial" w:eastAsia="Arial" w:hint="default"/>
        </w:rPr>
        <w:t>30</w:t>
      </w:r>
      <w:r>
        <w:rPr/>
        <w:t>个交易日内的公司</w:t>
      </w:r>
      <w:r>
        <w:rPr>
          <w:rFonts w:ascii="Arial" w:hAnsi="Arial" w:cs="Arial" w:eastAsia="Arial" w:hint="default"/>
        </w:rPr>
        <w:t>A</w:t>
      </w:r>
      <w:r>
        <w:rPr/>
        <w:t>股股票平均收盘价人民币</w:t>
      </w:r>
      <w:r>
        <w:rPr>
          <w:rFonts w:ascii="Arial" w:hAnsi="Arial" w:cs="Arial" w:eastAsia="Arial" w:hint="default"/>
        </w:rPr>
        <w:t>24.07</w:t>
      </w:r>
      <w:r>
        <w:rPr/>
        <w:t>元。</w:t>
      </w:r>
    </w:p>
    <w:p>
      <w:pPr>
        <w:spacing w:line="240" w:lineRule="auto" w:before="0"/>
        <w:rPr>
          <w:rFonts w:ascii="黑体" w:hAnsi="黑体" w:cs="黑体" w:eastAsia="黑体" w:hint="default"/>
          <w:sz w:val="20"/>
          <w:szCs w:val="20"/>
        </w:rPr>
      </w:pPr>
    </w:p>
    <w:p>
      <w:pPr>
        <w:pStyle w:val="BodyText"/>
        <w:spacing w:line="285" w:lineRule="auto" w:before="146"/>
        <w:ind w:left="666" w:right="212"/>
        <w:jc w:val="both"/>
      </w:pPr>
      <w:r>
        <w:rPr/>
        <w:t>本股票期权激励计划有效期为自股票期权首次授权日起四年。本计划有效期结束后，已获授但</w:t>
      </w:r>
      <w:r>
        <w:rPr>
          <w:spacing w:val="-85"/>
        </w:rPr>
        <w:t> </w:t>
      </w:r>
      <w:r>
        <w:rPr>
          <w:spacing w:val="-85"/>
        </w:rPr>
      </w:r>
      <w:r>
        <w:rPr/>
        <w:t>尚未行权的股票期权不得行权。</w:t>
      </w:r>
    </w:p>
    <w:p>
      <w:pPr>
        <w:spacing w:after="0" w:line="285" w:lineRule="auto"/>
        <w:jc w:val="both"/>
        <w:sectPr>
          <w:pgSz w:w="11910" w:h="16840"/>
          <w:pgMar w:header="825" w:footer="473" w:top="2420" w:bottom="660" w:left="1600" w:right="1200"/>
        </w:sectPr>
      </w:pPr>
    </w:p>
    <w:p>
      <w:pPr>
        <w:spacing w:line="240" w:lineRule="auto" w:before="11"/>
        <w:rPr>
          <w:rFonts w:ascii="黑体" w:hAnsi="黑体" w:cs="黑体" w:eastAsia="黑体" w:hint="default"/>
          <w:sz w:val="17"/>
          <w:szCs w:val="17"/>
        </w:rPr>
      </w:pPr>
    </w:p>
    <w:p>
      <w:pPr>
        <w:pStyle w:val="Heading6"/>
        <w:tabs>
          <w:tab w:pos="706" w:val="left" w:leader="none"/>
        </w:tabs>
        <w:spacing w:line="240" w:lineRule="auto"/>
        <w:ind w:right="0"/>
        <w:jc w:val="left"/>
        <w:rPr>
          <w:b w:val="0"/>
          <w:bCs w:val="0"/>
        </w:rPr>
      </w:pPr>
      <w:bookmarkStart w:name="公允价值未考虑所授予股份期权的其他特征。" w:id="147"/>
      <w:bookmarkEnd w:id="147"/>
      <w:r>
        <w:rPr>
          <w:b w:val="0"/>
          <w:bCs w:val="0"/>
        </w:rPr>
      </w:r>
      <w:r>
        <w:rPr>
          <w:w w:val="95"/>
        </w:rPr>
        <w:t>七、</w:t>
        <w:tab/>
      </w:r>
      <w:r>
        <w:rPr/>
        <w:t>股份支付（续）</w:t>
      </w:r>
      <w:r>
        <w:rPr>
          <w:b w:val="0"/>
          <w:bCs w:val="0"/>
        </w:rPr>
      </w:r>
    </w:p>
    <w:p>
      <w:pPr>
        <w:spacing w:line="240" w:lineRule="auto" w:before="9"/>
        <w:rPr>
          <w:rFonts w:ascii="黑体" w:hAnsi="黑体" w:cs="黑体" w:eastAsia="黑体" w:hint="default"/>
          <w:b/>
          <w:bCs/>
          <w:sz w:val="16"/>
          <w:szCs w:val="16"/>
        </w:rPr>
      </w:pPr>
    </w:p>
    <w:p>
      <w:pPr>
        <w:pStyle w:val="BodyText"/>
        <w:tabs>
          <w:tab w:pos="641" w:val="left" w:leader="none"/>
        </w:tabs>
        <w:spacing w:line="417" w:lineRule="auto"/>
        <w:ind w:left="667" w:right="3338" w:hanging="538"/>
        <w:jc w:val="left"/>
      </w:pPr>
      <w:r>
        <w:rPr>
          <w:rFonts w:ascii="Arial" w:hAnsi="Arial" w:cs="Arial" w:eastAsia="Arial" w:hint="default"/>
          <w:spacing w:val="-1"/>
          <w:w w:val="95"/>
        </w:rPr>
        <w:t>2</w:t>
      </w:r>
      <w:r>
        <w:rPr>
          <w:spacing w:val="-1"/>
          <w:w w:val="95"/>
        </w:rPr>
        <w:t>．</w:t>
        <w:tab/>
      </w:r>
      <w:r>
        <w:rPr/>
        <w:t>股票期权</w:t>
      </w:r>
      <w:bookmarkStart w:name="2．  股票期权激励计划（续）" w:id="148"/>
      <w:bookmarkEnd w:id="148"/>
      <w:r>
        <w:rPr/>
        <w:t>激励</w:t>
      </w:r>
      <w:r>
        <w:rPr/>
        <w:t>计划（续）</w:t>
      </w:r>
      <w:r>
        <w:rPr>
          <w:w w:val="99"/>
        </w:rPr>
        <w:t> </w:t>
      </w:r>
      <w:r>
        <w:rPr/>
        <w:t>首次授予股票期权行权期及各期行权时间安排如下表所示：</w:t>
      </w:r>
    </w:p>
    <w:p>
      <w:pPr>
        <w:spacing w:line="240" w:lineRule="auto" w:before="2"/>
        <w:rPr>
          <w:rFonts w:ascii="黑体" w:hAnsi="黑体" w:cs="黑体" w:eastAsia="黑体" w:hint="default"/>
          <w:sz w:val="10"/>
          <w:szCs w:val="10"/>
        </w:rPr>
      </w:pPr>
    </w:p>
    <w:tbl>
      <w:tblPr>
        <w:tblW w:w="0" w:type="auto"/>
        <w:jc w:val="left"/>
        <w:tblInd w:w="1144" w:type="dxa"/>
        <w:tblLayout w:type="fixed"/>
        <w:tblCellMar>
          <w:top w:w="0" w:type="dxa"/>
          <w:left w:w="0" w:type="dxa"/>
          <w:bottom w:w="0" w:type="dxa"/>
          <w:right w:w="0" w:type="dxa"/>
        </w:tblCellMar>
        <w:tblLook w:val="01E0"/>
      </w:tblPr>
      <w:tblGrid>
        <w:gridCol w:w="1790"/>
        <w:gridCol w:w="3990"/>
        <w:gridCol w:w="2175"/>
      </w:tblGrid>
      <w:tr>
        <w:trPr>
          <w:trHeight w:val="619" w:hRule="exact"/>
        </w:trPr>
        <w:tc>
          <w:tcPr>
            <w:tcW w:w="1790" w:type="dxa"/>
            <w:tcBorders>
              <w:top w:val="nil" w:sz="6" w:space="0" w:color="auto"/>
              <w:left w:val="nil" w:sz="6" w:space="0" w:color="auto"/>
              <w:bottom w:val="nil" w:sz="6" w:space="0" w:color="auto"/>
              <w:right w:val="nil" w:sz="6" w:space="0" w:color="auto"/>
            </w:tcBorders>
          </w:tcPr>
          <w:p>
            <w:pPr>
              <w:pStyle w:val="TableParagraph"/>
              <w:spacing w:line="199" w:lineRule="exact"/>
              <w:ind w:right="190"/>
              <w:jc w:val="center"/>
              <w:rPr>
                <w:rFonts w:ascii="黑体" w:hAnsi="黑体" w:cs="黑体" w:eastAsia="黑体" w:hint="default"/>
                <w:sz w:val="20"/>
                <w:szCs w:val="20"/>
              </w:rPr>
            </w:pPr>
            <w:r>
              <w:rPr>
                <w:rFonts w:ascii="黑体" w:hAnsi="黑体" w:cs="黑体" w:eastAsia="黑体" w:hint="default"/>
                <w:sz w:val="20"/>
                <w:szCs w:val="20"/>
              </w:rPr>
              <w:t>行权期</w:t>
            </w:r>
          </w:p>
        </w:tc>
        <w:tc>
          <w:tcPr>
            <w:tcW w:w="3990" w:type="dxa"/>
            <w:tcBorders>
              <w:top w:val="nil" w:sz="6" w:space="0" w:color="auto"/>
              <w:left w:val="nil" w:sz="6" w:space="0" w:color="auto"/>
              <w:bottom w:val="nil" w:sz="6" w:space="0" w:color="auto"/>
              <w:right w:val="nil" w:sz="6" w:space="0" w:color="auto"/>
            </w:tcBorders>
          </w:tcPr>
          <w:p>
            <w:pPr>
              <w:pStyle w:val="TableParagraph"/>
              <w:spacing w:line="199" w:lineRule="exact"/>
              <w:ind w:left="332" w:right="0"/>
              <w:jc w:val="center"/>
              <w:rPr>
                <w:rFonts w:ascii="黑体" w:hAnsi="黑体" w:cs="黑体" w:eastAsia="黑体" w:hint="default"/>
                <w:sz w:val="20"/>
                <w:szCs w:val="20"/>
              </w:rPr>
            </w:pPr>
            <w:r>
              <w:rPr>
                <w:rFonts w:ascii="黑体" w:hAnsi="黑体" w:cs="黑体" w:eastAsia="黑体" w:hint="default"/>
                <w:sz w:val="20"/>
                <w:szCs w:val="20"/>
              </w:rPr>
              <w:t>行权时间</w:t>
            </w:r>
          </w:p>
        </w:tc>
        <w:tc>
          <w:tcPr>
            <w:tcW w:w="2175" w:type="dxa"/>
            <w:tcBorders>
              <w:top w:val="nil" w:sz="6" w:space="0" w:color="auto"/>
              <w:left w:val="nil" w:sz="6" w:space="0" w:color="auto"/>
              <w:bottom w:val="nil" w:sz="6" w:space="0" w:color="auto"/>
              <w:right w:val="nil" w:sz="6" w:space="0" w:color="auto"/>
            </w:tcBorders>
          </w:tcPr>
          <w:p>
            <w:pPr>
              <w:pStyle w:val="TableParagraph"/>
              <w:spacing w:line="188" w:lineRule="exact"/>
              <w:ind w:right="20"/>
              <w:jc w:val="center"/>
              <w:rPr>
                <w:rFonts w:ascii="黑体" w:hAnsi="黑体" w:cs="黑体" w:eastAsia="黑体" w:hint="default"/>
                <w:sz w:val="20"/>
                <w:szCs w:val="20"/>
              </w:rPr>
            </w:pPr>
            <w:r>
              <w:rPr>
                <w:rFonts w:ascii="黑体" w:hAnsi="黑体" w:cs="黑体" w:eastAsia="黑体" w:hint="default"/>
                <w:sz w:val="20"/>
                <w:szCs w:val="20"/>
              </w:rPr>
              <w:t>可行权数量占获授期</w:t>
            </w:r>
          </w:p>
          <w:p>
            <w:pPr>
              <w:pStyle w:val="TableParagraph"/>
              <w:spacing w:line="251" w:lineRule="exact"/>
              <w:ind w:right="19"/>
              <w:jc w:val="center"/>
              <w:rPr>
                <w:rFonts w:ascii="黑体" w:hAnsi="黑体" w:cs="黑体" w:eastAsia="黑体" w:hint="default"/>
                <w:sz w:val="20"/>
                <w:szCs w:val="20"/>
              </w:rPr>
            </w:pPr>
            <w:r>
              <w:rPr>
                <w:rFonts w:ascii="黑体" w:hAnsi="黑体" w:cs="黑体" w:eastAsia="黑体" w:hint="default"/>
                <w:sz w:val="20"/>
                <w:szCs w:val="20"/>
              </w:rPr>
              <w:t>权数量比例</w:t>
            </w:r>
          </w:p>
        </w:tc>
      </w:tr>
      <w:tr>
        <w:trPr>
          <w:trHeight w:val="664" w:hRule="exact"/>
        </w:trPr>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90"/>
              <w:jc w:val="center"/>
              <w:rPr>
                <w:rFonts w:ascii="黑体" w:hAnsi="黑体" w:cs="黑体" w:eastAsia="黑体" w:hint="default"/>
                <w:sz w:val="20"/>
                <w:szCs w:val="20"/>
              </w:rPr>
            </w:pPr>
            <w:r>
              <w:rPr>
                <w:rFonts w:ascii="黑体" w:hAnsi="黑体" w:cs="黑体" w:eastAsia="黑体" w:hint="default"/>
                <w:sz w:val="20"/>
                <w:szCs w:val="20"/>
              </w:rPr>
              <w:t>第一个行权期</w:t>
            </w:r>
          </w:p>
        </w:tc>
        <w:tc>
          <w:tcPr>
            <w:tcW w:w="3990" w:type="dxa"/>
            <w:tcBorders>
              <w:top w:val="nil" w:sz="6" w:space="0" w:color="auto"/>
              <w:left w:val="nil" w:sz="6" w:space="0" w:color="auto"/>
              <w:bottom w:val="nil" w:sz="6" w:space="0" w:color="auto"/>
              <w:right w:val="nil" w:sz="6" w:space="0" w:color="auto"/>
            </w:tcBorders>
          </w:tcPr>
          <w:p>
            <w:pPr>
              <w:pStyle w:val="TableParagraph"/>
              <w:spacing w:line="240" w:lineRule="exact" w:before="159"/>
              <w:ind w:left="392" w:right="175"/>
              <w:jc w:val="left"/>
              <w:rPr>
                <w:rFonts w:ascii="黑体" w:hAnsi="黑体" w:cs="黑体" w:eastAsia="黑体" w:hint="default"/>
                <w:sz w:val="20"/>
                <w:szCs w:val="20"/>
              </w:rPr>
            </w:pPr>
            <w:r>
              <w:rPr>
                <w:rFonts w:ascii="黑体" w:hAnsi="黑体" w:cs="黑体" w:eastAsia="黑体" w:hint="default"/>
                <w:w w:val="95"/>
                <w:sz w:val="20"/>
                <w:szCs w:val="20"/>
              </w:rPr>
              <w:t>自授权日起</w:t>
            </w:r>
            <w:r>
              <w:rPr>
                <w:rFonts w:ascii="Arial" w:hAnsi="Arial" w:cs="Arial" w:eastAsia="Arial" w:hint="default"/>
                <w:w w:val="95"/>
                <w:sz w:val="20"/>
                <w:szCs w:val="20"/>
              </w:rPr>
              <w:t>12</w:t>
            </w:r>
            <w:r>
              <w:rPr>
                <w:rFonts w:ascii="黑体" w:hAnsi="黑体" w:cs="黑体" w:eastAsia="黑体" w:hint="default"/>
                <w:w w:val="95"/>
                <w:sz w:val="20"/>
                <w:szCs w:val="20"/>
              </w:rPr>
              <w:t>个月后的首个交易日起至</w:t>
            </w:r>
            <w:r>
              <w:rPr>
                <w:rFonts w:ascii="黑体" w:hAnsi="黑体" w:cs="黑体" w:eastAsia="黑体" w:hint="default"/>
                <w:spacing w:val="71"/>
                <w:w w:val="95"/>
                <w:sz w:val="20"/>
                <w:szCs w:val="20"/>
              </w:rPr>
              <w:t> </w:t>
            </w:r>
            <w:r>
              <w:rPr>
                <w:rFonts w:ascii="黑体" w:hAnsi="黑体" w:cs="黑体" w:eastAsia="黑体" w:hint="default"/>
                <w:spacing w:val="71"/>
                <w:w w:val="95"/>
                <w:sz w:val="20"/>
                <w:szCs w:val="20"/>
              </w:rPr>
            </w:r>
            <w:r>
              <w:rPr>
                <w:rFonts w:ascii="黑体" w:hAnsi="黑体" w:cs="黑体" w:eastAsia="黑体" w:hint="default"/>
                <w:w w:val="95"/>
                <w:sz w:val="20"/>
                <w:szCs w:val="20"/>
              </w:rPr>
              <w:t>自授权日起</w:t>
            </w:r>
            <w:r>
              <w:rPr>
                <w:rFonts w:ascii="Arial" w:hAnsi="Arial" w:cs="Arial" w:eastAsia="Arial" w:hint="default"/>
                <w:w w:val="95"/>
                <w:sz w:val="20"/>
                <w:szCs w:val="20"/>
              </w:rPr>
              <w:t>24</w:t>
            </w:r>
            <w:r>
              <w:rPr>
                <w:rFonts w:ascii="黑体" w:hAnsi="黑体" w:cs="黑体" w:eastAsia="黑体" w:hint="default"/>
                <w:w w:val="95"/>
                <w:sz w:val="20"/>
                <w:szCs w:val="20"/>
              </w:rPr>
              <w:t>个月内的最后一交易日止</w:t>
            </w:r>
            <w:r>
              <w:rPr>
                <w:rFonts w:ascii="黑体" w:hAnsi="黑体" w:cs="黑体" w:eastAsia="黑体" w:hint="default"/>
                <w:sz w:val="20"/>
                <w:szCs w:val="20"/>
              </w:rPr>
            </w:r>
          </w:p>
        </w:tc>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18"/>
              <w:jc w:val="center"/>
              <w:rPr>
                <w:rFonts w:ascii="Arial" w:hAnsi="Arial" w:cs="Arial" w:eastAsia="Arial" w:hint="default"/>
                <w:sz w:val="20"/>
                <w:szCs w:val="20"/>
              </w:rPr>
            </w:pPr>
            <w:r>
              <w:rPr>
                <w:rFonts w:ascii="Arial"/>
                <w:sz w:val="20"/>
              </w:rPr>
              <w:t>30%</w:t>
            </w:r>
          </w:p>
        </w:tc>
      </w:tr>
      <w:tr>
        <w:trPr>
          <w:trHeight w:val="484" w:hRule="exact"/>
        </w:trPr>
        <w:tc>
          <w:tcPr>
            <w:tcW w:w="1790" w:type="dxa"/>
            <w:tcBorders>
              <w:top w:val="nil" w:sz="6" w:space="0" w:color="auto"/>
              <w:left w:val="nil" w:sz="6" w:space="0" w:color="auto"/>
              <w:bottom w:val="nil" w:sz="6" w:space="0" w:color="auto"/>
              <w:right w:val="nil" w:sz="6" w:space="0" w:color="auto"/>
            </w:tcBorders>
          </w:tcPr>
          <w:p>
            <w:pPr>
              <w:pStyle w:val="TableParagraph"/>
              <w:spacing w:line="234" w:lineRule="exact"/>
              <w:ind w:right="190"/>
              <w:jc w:val="center"/>
              <w:rPr>
                <w:rFonts w:ascii="黑体" w:hAnsi="黑体" w:cs="黑体" w:eastAsia="黑体" w:hint="default"/>
                <w:sz w:val="20"/>
                <w:szCs w:val="20"/>
              </w:rPr>
            </w:pPr>
            <w:r>
              <w:rPr>
                <w:rFonts w:ascii="黑体" w:hAnsi="黑体" w:cs="黑体" w:eastAsia="黑体" w:hint="default"/>
                <w:sz w:val="20"/>
                <w:szCs w:val="20"/>
              </w:rPr>
              <w:t>第二个行权期</w:t>
            </w:r>
          </w:p>
        </w:tc>
        <w:tc>
          <w:tcPr>
            <w:tcW w:w="3990" w:type="dxa"/>
            <w:tcBorders>
              <w:top w:val="nil" w:sz="6" w:space="0" w:color="auto"/>
              <w:left w:val="nil" w:sz="6" w:space="0" w:color="auto"/>
              <w:bottom w:val="nil" w:sz="6" w:space="0" w:color="auto"/>
              <w:right w:val="nil" w:sz="6" w:space="0" w:color="auto"/>
            </w:tcBorders>
          </w:tcPr>
          <w:p>
            <w:pPr>
              <w:pStyle w:val="TableParagraph"/>
              <w:spacing w:line="240" w:lineRule="exact" w:before="14"/>
              <w:ind w:left="392" w:right="175"/>
              <w:jc w:val="left"/>
              <w:rPr>
                <w:rFonts w:ascii="黑体" w:hAnsi="黑体" w:cs="黑体" w:eastAsia="黑体" w:hint="default"/>
                <w:sz w:val="20"/>
                <w:szCs w:val="20"/>
              </w:rPr>
            </w:pPr>
            <w:r>
              <w:rPr>
                <w:rFonts w:ascii="黑体" w:hAnsi="黑体" w:cs="黑体" w:eastAsia="黑体" w:hint="default"/>
                <w:w w:val="95"/>
                <w:sz w:val="20"/>
                <w:szCs w:val="20"/>
              </w:rPr>
              <w:t>自授权日起</w:t>
            </w:r>
            <w:r>
              <w:rPr>
                <w:rFonts w:ascii="Arial" w:hAnsi="Arial" w:cs="Arial" w:eastAsia="Arial" w:hint="default"/>
                <w:w w:val="95"/>
                <w:sz w:val="20"/>
                <w:szCs w:val="20"/>
              </w:rPr>
              <w:t>24</w:t>
            </w:r>
            <w:r>
              <w:rPr>
                <w:rFonts w:ascii="黑体" w:hAnsi="黑体" w:cs="黑体" w:eastAsia="黑体" w:hint="default"/>
                <w:w w:val="95"/>
                <w:sz w:val="20"/>
                <w:szCs w:val="20"/>
              </w:rPr>
              <w:t>个月后的首个交易日起至</w:t>
            </w:r>
            <w:r>
              <w:rPr>
                <w:rFonts w:ascii="黑体" w:hAnsi="黑体" w:cs="黑体" w:eastAsia="黑体" w:hint="default"/>
                <w:spacing w:val="71"/>
                <w:w w:val="95"/>
                <w:sz w:val="20"/>
                <w:szCs w:val="20"/>
              </w:rPr>
              <w:t> </w:t>
            </w:r>
            <w:r>
              <w:rPr>
                <w:rFonts w:ascii="黑体" w:hAnsi="黑体" w:cs="黑体" w:eastAsia="黑体" w:hint="default"/>
                <w:spacing w:val="71"/>
                <w:w w:val="95"/>
                <w:sz w:val="20"/>
                <w:szCs w:val="20"/>
              </w:rPr>
            </w:r>
            <w:r>
              <w:rPr>
                <w:rFonts w:ascii="黑体" w:hAnsi="黑体" w:cs="黑体" w:eastAsia="黑体" w:hint="default"/>
                <w:w w:val="95"/>
                <w:sz w:val="20"/>
                <w:szCs w:val="20"/>
              </w:rPr>
              <w:t>自授权日起</w:t>
            </w:r>
            <w:r>
              <w:rPr>
                <w:rFonts w:ascii="Arial" w:hAnsi="Arial" w:cs="Arial" w:eastAsia="Arial" w:hint="default"/>
                <w:w w:val="95"/>
                <w:sz w:val="20"/>
                <w:szCs w:val="20"/>
              </w:rPr>
              <w:t>36</w:t>
            </w:r>
            <w:r>
              <w:rPr>
                <w:rFonts w:ascii="黑体" w:hAnsi="黑体" w:cs="黑体" w:eastAsia="黑体" w:hint="default"/>
                <w:w w:val="95"/>
                <w:sz w:val="20"/>
                <w:szCs w:val="20"/>
              </w:rPr>
              <w:t>个月内的最后一交易日止</w:t>
            </w:r>
            <w:r>
              <w:rPr>
                <w:rFonts w:ascii="黑体" w:hAnsi="黑体" w:cs="黑体" w:eastAsia="黑体" w:hint="default"/>
                <w:sz w:val="20"/>
                <w:szCs w:val="20"/>
              </w:rPr>
            </w:r>
          </w:p>
        </w:tc>
        <w:tc>
          <w:tcPr>
            <w:tcW w:w="217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8"/>
              <w:jc w:val="center"/>
              <w:rPr>
                <w:rFonts w:ascii="Arial" w:hAnsi="Arial" w:cs="Arial" w:eastAsia="Arial" w:hint="default"/>
                <w:sz w:val="20"/>
                <w:szCs w:val="20"/>
              </w:rPr>
            </w:pPr>
            <w:r>
              <w:rPr>
                <w:rFonts w:ascii="Arial"/>
                <w:sz w:val="20"/>
              </w:rPr>
              <w:t>70%</w:t>
            </w:r>
          </w:p>
        </w:tc>
      </w:tr>
    </w:tbl>
    <w:p>
      <w:pPr>
        <w:spacing w:line="240" w:lineRule="auto" w:before="0"/>
        <w:rPr>
          <w:rFonts w:ascii="黑体" w:hAnsi="黑体" w:cs="黑体" w:eastAsia="黑体" w:hint="default"/>
          <w:sz w:val="16"/>
          <w:szCs w:val="16"/>
        </w:rPr>
      </w:pPr>
    </w:p>
    <w:p>
      <w:pPr>
        <w:pStyle w:val="BodyText"/>
        <w:spacing w:line="240" w:lineRule="exact" w:before="79"/>
        <w:ind w:left="668" w:right="316"/>
        <w:jc w:val="both"/>
      </w:pPr>
      <w:r>
        <w:rPr/>
        <w:t>在行权期内，如达到相应的行权期规定的行权条件，则激励对象可以在该行权期内行权；如未</w:t>
      </w:r>
      <w:r>
        <w:rPr>
          <w:w w:val="99"/>
        </w:rPr>
        <w:t> </w:t>
      </w:r>
      <w:r>
        <w:rPr/>
        <w:t>达到行权条件或激励对象在行权期内未行权，该部分股票期权由本公司注销。</w:t>
      </w:r>
    </w:p>
    <w:p>
      <w:pPr>
        <w:spacing w:line="240" w:lineRule="auto" w:before="2"/>
        <w:rPr>
          <w:rFonts w:ascii="黑体" w:hAnsi="黑体" w:cs="黑体" w:eastAsia="黑体" w:hint="default"/>
          <w:sz w:val="15"/>
          <w:szCs w:val="15"/>
        </w:rPr>
      </w:pPr>
    </w:p>
    <w:p>
      <w:pPr>
        <w:pStyle w:val="BodyText"/>
        <w:spacing w:line="258" w:lineRule="exact"/>
        <w:ind w:left="668" w:right="0"/>
        <w:jc w:val="both"/>
      </w:pPr>
      <w:r>
        <w:rPr>
          <w:rFonts w:ascii="Arial" w:hAnsi="Arial" w:cs="Arial" w:eastAsia="Arial" w:hint="default"/>
        </w:rPr>
        <w:t>2011</w:t>
      </w:r>
      <w:r>
        <w:rPr/>
        <w:t>年授予的股票期权的公允价值为人民币</w:t>
      </w:r>
      <w:r>
        <w:rPr>
          <w:rFonts w:ascii="Arial" w:hAnsi="Arial" w:cs="Arial" w:eastAsia="Arial" w:hint="default"/>
        </w:rPr>
        <w:t>66,582,226</w:t>
      </w:r>
      <w:r>
        <w:rPr/>
        <w:t>元（人民币</w:t>
      </w:r>
      <w:r>
        <w:rPr>
          <w:rFonts w:ascii="Arial" w:hAnsi="Arial" w:cs="Arial" w:eastAsia="Arial" w:hint="default"/>
        </w:rPr>
        <w:t>3.02</w:t>
      </w:r>
      <w:r>
        <w:rPr/>
        <w:t>元</w:t>
      </w:r>
      <w:r>
        <w:rPr>
          <w:rFonts w:ascii="Arial" w:hAnsi="Arial" w:cs="Arial" w:eastAsia="Arial" w:hint="default"/>
        </w:rPr>
        <w:t>/</w:t>
      </w:r>
      <w:r>
        <w:rPr/>
        <w:t>股），其中本集团于</w:t>
      </w:r>
    </w:p>
    <w:p>
      <w:pPr>
        <w:pStyle w:val="BodyText"/>
        <w:spacing w:line="240" w:lineRule="exact" w:before="23"/>
        <w:ind w:left="668" w:right="301"/>
        <w:jc w:val="both"/>
      </w:pPr>
      <w:r>
        <w:rPr>
          <w:rFonts w:ascii="Arial" w:hAnsi="Arial" w:cs="Arial" w:eastAsia="Arial" w:hint="default"/>
          <w:spacing w:val="-2"/>
        </w:rPr>
        <w:t>2012</w:t>
      </w:r>
      <w:r>
        <w:rPr>
          <w:spacing w:val="-2"/>
        </w:rPr>
        <w:t>年确认的股票期权费用为人民币</w:t>
      </w:r>
      <w:r>
        <w:rPr>
          <w:rFonts w:ascii="Arial" w:hAnsi="Arial" w:cs="Arial" w:eastAsia="Arial" w:hint="default"/>
          <w:spacing w:val="-2"/>
        </w:rPr>
        <w:t>29,961,997</w:t>
      </w:r>
      <w:r>
        <w:rPr>
          <w:spacing w:val="-2"/>
        </w:rPr>
        <w:t>元，本公司因不符合《股票期权激励计划</w:t>
      </w:r>
      <w:r>
        <w:rPr>
          <w:rFonts w:ascii="Arial" w:hAnsi="Arial" w:cs="Arial" w:eastAsia="Arial" w:hint="default"/>
          <w:spacing w:val="-2"/>
        </w:rPr>
        <w:t>(</w:t>
      </w:r>
      <w:r>
        <w:rPr>
          <w:spacing w:val="-2"/>
        </w:rPr>
        <w:t>修订</w:t>
      </w:r>
      <w:r>
        <w:rPr>
          <w:w w:val="99"/>
        </w:rPr>
        <w:t> </w:t>
      </w:r>
      <w:r>
        <w:rPr>
          <w:spacing w:val="14"/>
        </w:rPr>
        <w:t>稿</w:t>
      </w:r>
      <w:r>
        <w:rPr>
          <w:rFonts w:ascii="Arial" w:hAnsi="Arial" w:cs="Arial" w:eastAsia="Arial" w:hint="default"/>
          <w:spacing w:val="14"/>
        </w:rPr>
        <w:t>)</w:t>
      </w:r>
      <w:r>
        <w:rPr>
          <w:spacing w:val="14"/>
        </w:rPr>
        <w:t>》约定的首次授予股票期权第二个行权期的业绩条件而冲减的股票期权费用为人民币</w:t>
      </w:r>
      <w:r>
        <w:rPr>
          <w:spacing w:val="14"/>
          <w:w w:val="99"/>
        </w:rPr>
        <w:t> </w:t>
      </w:r>
      <w:r>
        <w:rPr>
          <w:rFonts w:ascii="Arial" w:hAnsi="Arial" w:cs="Arial" w:eastAsia="Arial" w:hint="default"/>
        </w:rPr>
        <w:t>38,839,626</w:t>
      </w:r>
      <w:r>
        <w:rPr/>
        <w:t>元，合计为冲减股票期权费用人民币</w:t>
      </w:r>
      <w:r>
        <w:rPr>
          <w:rFonts w:ascii="Arial" w:hAnsi="Arial" w:cs="Arial" w:eastAsia="Arial" w:hint="default"/>
        </w:rPr>
        <w:t>8,877,629</w:t>
      </w:r>
      <w:r>
        <w:rPr/>
        <w:t>元（</w:t>
      </w:r>
      <w:r>
        <w:rPr>
          <w:rFonts w:ascii="Arial" w:hAnsi="Arial" w:cs="Arial" w:eastAsia="Arial" w:hint="default"/>
        </w:rPr>
        <w:t>2011</w:t>
      </w:r>
      <w:r>
        <w:rPr/>
        <w:t>年：确认股票期权费用人</w:t>
      </w:r>
      <w:r>
        <w:rPr>
          <w:spacing w:val="-43"/>
        </w:rPr>
        <w:t> </w:t>
      </w:r>
      <w:r>
        <w:rPr>
          <w:spacing w:val="-43"/>
        </w:rPr>
      </w:r>
      <w:r>
        <w:rPr/>
        <w:t>民币</w:t>
      </w:r>
      <w:r>
        <w:rPr>
          <w:rFonts w:ascii="Arial" w:hAnsi="Arial" w:cs="Arial" w:eastAsia="Arial" w:hint="default"/>
        </w:rPr>
        <w:t>28,852,293</w:t>
      </w:r>
      <w:r>
        <w:rPr/>
        <w:t>元）。</w:t>
      </w:r>
    </w:p>
    <w:p>
      <w:pPr>
        <w:spacing w:line="240" w:lineRule="auto" w:before="9"/>
        <w:rPr>
          <w:rFonts w:ascii="黑体" w:hAnsi="黑体" w:cs="黑体" w:eastAsia="黑体" w:hint="default"/>
          <w:sz w:val="16"/>
          <w:szCs w:val="16"/>
        </w:rPr>
      </w:pPr>
    </w:p>
    <w:p>
      <w:pPr>
        <w:pStyle w:val="BodyText"/>
        <w:spacing w:line="240" w:lineRule="exact"/>
        <w:ind w:left="668" w:right="313" w:hanging="5"/>
        <w:jc w:val="both"/>
      </w:pPr>
      <w:r>
        <w:rPr>
          <w:spacing w:val="-1"/>
        </w:rPr>
        <w:t>授予的以权益结算的股份支付于授予日的公允价值，采用布莱克</w:t>
      </w:r>
      <w:r>
        <w:rPr>
          <w:rFonts w:ascii="Arial" w:hAnsi="Arial" w:cs="Arial" w:eastAsia="Arial" w:hint="default"/>
          <w:spacing w:val="-1"/>
        </w:rPr>
        <w:t>-</w:t>
      </w:r>
      <w:r>
        <w:rPr>
          <w:spacing w:val="-1"/>
        </w:rPr>
        <w:t>斯科尔斯模型，结合授予股份</w:t>
      </w:r>
      <w:r>
        <w:rPr>
          <w:w w:val="99"/>
        </w:rPr>
        <w:t> </w:t>
      </w:r>
      <w:r>
        <w:rPr/>
        <w:t>的条款和条件，作出估计。下表列示了所用模型的输入变量：</w:t>
      </w:r>
    </w:p>
    <w:p>
      <w:pPr>
        <w:spacing w:line="240" w:lineRule="auto" w:before="9"/>
        <w:rPr>
          <w:rFonts w:ascii="黑体" w:hAnsi="黑体" w:cs="黑体" w:eastAsia="黑体" w:hint="default"/>
          <w:sz w:val="22"/>
          <w:szCs w:val="22"/>
        </w:rPr>
      </w:pPr>
    </w:p>
    <w:tbl>
      <w:tblPr>
        <w:tblW w:w="0" w:type="auto"/>
        <w:jc w:val="left"/>
        <w:tblInd w:w="609" w:type="dxa"/>
        <w:tblLayout w:type="fixed"/>
        <w:tblCellMar>
          <w:top w:w="0" w:type="dxa"/>
          <w:left w:w="0" w:type="dxa"/>
          <w:bottom w:w="0" w:type="dxa"/>
          <w:right w:w="0" w:type="dxa"/>
        </w:tblCellMar>
        <w:tblLook w:val="01E0"/>
      </w:tblPr>
      <w:tblGrid>
        <w:gridCol w:w="4989"/>
        <w:gridCol w:w="3493"/>
      </w:tblGrid>
      <w:tr>
        <w:trPr>
          <w:trHeight w:val="360" w:hRule="exact"/>
        </w:trPr>
        <w:tc>
          <w:tcPr>
            <w:tcW w:w="4989" w:type="dxa"/>
            <w:tcBorders>
              <w:top w:val="nil" w:sz="6" w:space="0" w:color="auto"/>
              <w:left w:val="nil" w:sz="6" w:space="0" w:color="auto"/>
              <w:bottom w:val="nil" w:sz="6" w:space="0" w:color="auto"/>
              <w:right w:val="nil" w:sz="6" w:space="0" w:color="auto"/>
            </w:tcBorders>
          </w:tcPr>
          <w:p>
            <w:pPr/>
          </w:p>
        </w:tc>
        <w:tc>
          <w:tcPr>
            <w:tcW w:w="3493" w:type="dxa"/>
            <w:tcBorders>
              <w:top w:val="nil" w:sz="6" w:space="0" w:color="auto"/>
              <w:left w:val="nil" w:sz="6" w:space="0" w:color="auto"/>
              <w:bottom w:val="nil" w:sz="6" w:space="0" w:color="auto"/>
              <w:right w:val="nil" w:sz="6" w:space="0" w:color="auto"/>
            </w:tcBorders>
          </w:tcPr>
          <w:p>
            <w:pPr>
              <w:pStyle w:val="TableParagraph"/>
              <w:spacing w:line="214" w:lineRule="exact"/>
              <w:ind w:right="200"/>
              <w:jc w:val="right"/>
              <w:rPr>
                <w:rFonts w:ascii="黑体" w:hAnsi="黑体" w:cs="黑体" w:eastAsia="黑体" w:hint="default"/>
                <w:sz w:val="20"/>
                <w:szCs w:val="20"/>
              </w:rPr>
            </w:pPr>
            <w:r>
              <w:rPr>
                <w:rFonts w:ascii="Arial" w:hAnsi="Arial" w:cs="Arial" w:eastAsia="Arial" w:hint="default"/>
                <w:sz w:val="20"/>
                <w:szCs w:val="20"/>
              </w:rPr>
              <w:t>2011</w:t>
            </w:r>
            <w:r>
              <w:rPr>
                <w:rFonts w:ascii="Arial" w:hAnsi="Arial" w:cs="Arial" w:eastAsia="Arial" w:hint="default"/>
                <w:spacing w:val="-9"/>
                <w:sz w:val="20"/>
                <w:szCs w:val="20"/>
              </w:rPr>
              <w:t> </w:t>
            </w:r>
            <w:r>
              <w:rPr>
                <w:rFonts w:ascii="黑体" w:hAnsi="黑体" w:cs="黑体" w:eastAsia="黑体" w:hint="default"/>
                <w:sz w:val="20"/>
                <w:szCs w:val="20"/>
              </w:rPr>
              <w:t>年</w:t>
            </w:r>
          </w:p>
        </w:tc>
      </w:tr>
      <w:tr>
        <w:trPr>
          <w:trHeight w:val="383" w:hRule="exact"/>
        </w:trPr>
        <w:tc>
          <w:tcPr>
            <w:tcW w:w="498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00" w:right="0"/>
              <w:jc w:val="left"/>
              <w:rPr>
                <w:rFonts w:ascii="Arial" w:hAnsi="Arial" w:cs="Arial" w:eastAsia="Arial" w:hint="default"/>
                <w:sz w:val="20"/>
                <w:szCs w:val="20"/>
              </w:rPr>
            </w:pPr>
            <w:r>
              <w:rPr>
                <w:rFonts w:ascii="黑体" w:hAnsi="黑体" w:cs="黑体" w:eastAsia="黑体" w:hint="default"/>
                <w:sz w:val="20"/>
                <w:szCs w:val="20"/>
              </w:rPr>
              <w:t>股利率</w:t>
            </w:r>
            <w:r>
              <w:rPr>
                <w:rFonts w:ascii="Arial" w:hAnsi="Arial" w:cs="Arial" w:eastAsia="Arial" w:hint="default"/>
                <w:sz w:val="20"/>
                <w:szCs w:val="20"/>
              </w:rPr>
              <w:t>(%)</w:t>
            </w:r>
          </w:p>
        </w:tc>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98"/>
              <w:jc w:val="right"/>
              <w:rPr>
                <w:rFonts w:ascii="Arial" w:hAnsi="Arial" w:cs="Arial" w:eastAsia="Arial" w:hint="default"/>
                <w:sz w:val="20"/>
                <w:szCs w:val="20"/>
              </w:rPr>
            </w:pPr>
            <w:r>
              <w:rPr>
                <w:rFonts w:ascii="Arial"/>
                <w:w w:val="99"/>
                <w:sz w:val="20"/>
              </w:rPr>
              <w:t>2</w:t>
            </w:r>
            <w:r>
              <w:rPr>
                <w:rFonts w:ascii="Arial"/>
                <w:sz w:val="20"/>
              </w:rPr>
            </w:r>
          </w:p>
        </w:tc>
      </w:tr>
      <w:tr>
        <w:trPr>
          <w:trHeight w:val="254" w:hRule="exact"/>
        </w:trPr>
        <w:tc>
          <w:tcPr>
            <w:tcW w:w="4989" w:type="dxa"/>
            <w:tcBorders>
              <w:top w:val="nil" w:sz="6" w:space="0" w:color="auto"/>
              <w:left w:val="nil" w:sz="6" w:space="0" w:color="auto"/>
              <w:bottom w:val="nil" w:sz="6" w:space="0" w:color="auto"/>
              <w:right w:val="nil" w:sz="6" w:space="0" w:color="auto"/>
            </w:tcBorders>
          </w:tcPr>
          <w:p>
            <w:pPr>
              <w:pStyle w:val="TableParagraph"/>
              <w:spacing w:line="236" w:lineRule="exact"/>
              <w:ind w:left="200" w:right="0"/>
              <w:jc w:val="left"/>
              <w:rPr>
                <w:rFonts w:ascii="Arial" w:hAnsi="Arial" w:cs="Arial" w:eastAsia="Arial" w:hint="default"/>
                <w:sz w:val="20"/>
                <w:szCs w:val="20"/>
              </w:rPr>
            </w:pPr>
            <w:r>
              <w:rPr>
                <w:rFonts w:ascii="黑体" w:hAnsi="黑体" w:cs="黑体" w:eastAsia="黑体" w:hint="default"/>
                <w:sz w:val="20"/>
                <w:szCs w:val="20"/>
              </w:rPr>
              <w:t>预计波动率</w:t>
            </w:r>
            <w:r>
              <w:rPr>
                <w:rFonts w:ascii="Arial" w:hAnsi="Arial" w:cs="Arial" w:eastAsia="Arial" w:hint="default"/>
                <w:sz w:val="20"/>
                <w:szCs w:val="20"/>
              </w:rPr>
              <w:t>(%)</w:t>
            </w:r>
          </w:p>
        </w:tc>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00"/>
              <w:jc w:val="right"/>
              <w:rPr>
                <w:rFonts w:ascii="Arial" w:hAnsi="Arial" w:cs="Arial" w:eastAsia="Arial" w:hint="default"/>
                <w:sz w:val="20"/>
                <w:szCs w:val="20"/>
              </w:rPr>
            </w:pPr>
            <w:r>
              <w:rPr>
                <w:rFonts w:ascii="Arial"/>
                <w:spacing w:val="-1"/>
                <w:sz w:val="20"/>
              </w:rPr>
              <w:t>37.48</w:t>
            </w:r>
          </w:p>
        </w:tc>
      </w:tr>
      <w:tr>
        <w:trPr>
          <w:trHeight w:val="256" w:hRule="exact"/>
        </w:trPr>
        <w:tc>
          <w:tcPr>
            <w:tcW w:w="4989" w:type="dxa"/>
            <w:tcBorders>
              <w:top w:val="nil" w:sz="6" w:space="0" w:color="auto"/>
              <w:left w:val="nil" w:sz="6" w:space="0" w:color="auto"/>
              <w:bottom w:val="nil" w:sz="6" w:space="0" w:color="auto"/>
              <w:right w:val="nil" w:sz="6" w:space="0" w:color="auto"/>
            </w:tcBorders>
          </w:tcPr>
          <w:p>
            <w:pPr>
              <w:pStyle w:val="TableParagraph"/>
              <w:spacing w:line="236" w:lineRule="exact"/>
              <w:ind w:left="200" w:right="0"/>
              <w:jc w:val="left"/>
              <w:rPr>
                <w:rFonts w:ascii="Arial" w:hAnsi="Arial" w:cs="Arial" w:eastAsia="Arial" w:hint="default"/>
                <w:sz w:val="20"/>
                <w:szCs w:val="20"/>
              </w:rPr>
            </w:pPr>
            <w:r>
              <w:rPr>
                <w:rFonts w:ascii="黑体" w:hAnsi="黑体" w:cs="黑体" w:eastAsia="黑体" w:hint="default"/>
                <w:sz w:val="20"/>
                <w:szCs w:val="20"/>
              </w:rPr>
              <w:t>历史波动率</w:t>
            </w:r>
            <w:r>
              <w:rPr>
                <w:rFonts w:ascii="Arial" w:hAnsi="Arial" w:cs="Arial" w:eastAsia="Arial" w:hint="default"/>
                <w:sz w:val="20"/>
                <w:szCs w:val="20"/>
              </w:rPr>
              <w:t>(%)</w:t>
            </w:r>
          </w:p>
        </w:tc>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00"/>
              <w:jc w:val="right"/>
              <w:rPr>
                <w:rFonts w:ascii="Arial" w:hAnsi="Arial" w:cs="Arial" w:eastAsia="Arial" w:hint="default"/>
                <w:sz w:val="20"/>
                <w:szCs w:val="20"/>
              </w:rPr>
            </w:pPr>
            <w:r>
              <w:rPr>
                <w:rFonts w:ascii="Arial"/>
                <w:spacing w:val="-1"/>
                <w:sz w:val="20"/>
              </w:rPr>
              <w:t>37.48</w:t>
            </w:r>
          </w:p>
        </w:tc>
      </w:tr>
      <w:tr>
        <w:trPr>
          <w:trHeight w:val="256" w:hRule="exact"/>
        </w:trPr>
        <w:tc>
          <w:tcPr>
            <w:tcW w:w="4989" w:type="dxa"/>
            <w:tcBorders>
              <w:top w:val="nil" w:sz="6" w:space="0" w:color="auto"/>
              <w:left w:val="nil" w:sz="6" w:space="0" w:color="auto"/>
              <w:bottom w:val="nil" w:sz="6" w:space="0" w:color="auto"/>
              <w:right w:val="nil" w:sz="6" w:space="0" w:color="auto"/>
            </w:tcBorders>
          </w:tcPr>
          <w:p>
            <w:pPr>
              <w:pStyle w:val="TableParagraph"/>
              <w:spacing w:line="237" w:lineRule="exact"/>
              <w:ind w:left="200" w:right="0"/>
              <w:jc w:val="left"/>
              <w:rPr>
                <w:rFonts w:ascii="Arial" w:hAnsi="Arial" w:cs="Arial" w:eastAsia="Arial" w:hint="default"/>
                <w:sz w:val="20"/>
                <w:szCs w:val="20"/>
              </w:rPr>
            </w:pPr>
            <w:r>
              <w:rPr>
                <w:rFonts w:ascii="黑体" w:hAnsi="黑体" w:cs="黑体" w:eastAsia="黑体" w:hint="default"/>
                <w:sz w:val="20"/>
                <w:szCs w:val="20"/>
              </w:rPr>
              <w:t>无风险利率</w:t>
            </w:r>
            <w:r>
              <w:rPr>
                <w:rFonts w:ascii="Arial" w:hAnsi="Arial" w:cs="Arial" w:eastAsia="Arial" w:hint="default"/>
                <w:sz w:val="20"/>
                <w:szCs w:val="20"/>
              </w:rPr>
              <w:t>(%)</w:t>
            </w:r>
          </w:p>
        </w:tc>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0"/>
              <w:jc w:val="right"/>
              <w:rPr>
                <w:rFonts w:ascii="Arial" w:hAnsi="Arial" w:cs="Arial" w:eastAsia="Arial" w:hint="default"/>
                <w:sz w:val="20"/>
                <w:szCs w:val="20"/>
              </w:rPr>
            </w:pPr>
            <w:r>
              <w:rPr>
                <w:rFonts w:ascii="Arial"/>
                <w:spacing w:val="-1"/>
                <w:sz w:val="20"/>
              </w:rPr>
              <w:t>3.048</w:t>
            </w:r>
          </w:p>
        </w:tc>
      </w:tr>
      <w:tr>
        <w:trPr>
          <w:trHeight w:val="254" w:hRule="exact"/>
        </w:trPr>
        <w:tc>
          <w:tcPr>
            <w:tcW w:w="4989"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z w:val="20"/>
                <w:szCs w:val="20"/>
              </w:rPr>
              <w:t>股份期权预计期限(年)</w:t>
            </w:r>
          </w:p>
        </w:tc>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8"/>
              <w:jc w:val="right"/>
              <w:rPr>
                <w:rFonts w:ascii="Arial" w:hAnsi="Arial" w:cs="Arial" w:eastAsia="Arial" w:hint="default"/>
                <w:sz w:val="20"/>
                <w:szCs w:val="20"/>
              </w:rPr>
            </w:pPr>
            <w:r>
              <w:rPr>
                <w:rFonts w:ascii="Arial"/>
                <w:spacing w:val="-1"/>
                <w:w w:val="95"/>
                <w:sz w:val="20"/>
              </w:rPr>
              <w:t>2.7</w:t>
            </w:r>
            <w:r>
              <w:rPr>
                <w:rFonts w:ascii="Arial"/>
                <w:spacing w:val="-1"/>
                <w:sz w:val="20"/>
              </w:rPr>
            </w:r>
          </w:p>
        </w:tc>
      </w:tr>
      <w:tr>
        <w:trPr>
          <w:trHeight w:val="232" w:hRule="exact"/>
        </w:trPr>
        <w:tc>
          <w:tcPr>
            <w:tcW w:w="4989"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z w:val="20"/>
                <w:szCs w:val="20"/>
              </w:rPr>
              <w:t>授予日股价（元）</w:t>
            </w:r>
          </w:p>
        </w:tc>
        <w:tc>
          <w:tcPr>
            <w:tcW w:w="349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00"/>
              <w:jc w:val="right"/>
              <w:rPr>
                <w:rFonts w:ascii="Arial" w:hAnsi="Arial" w:cs="Arial" w:eastAsia="Arial" w:hint="default"/>
                <w:sz w:val="20"/>
                <w:szCs w:val="20"/>
              </w:rPr>
            </w:pPr>
            <w:r>
              <w:rPr>
                <w:rFonts w:ascii="Arial"/>
                <w:spacing w:val="-1"/>
                <w:sz w:val="20"/>
              </w:rPr>
              <w:t>19.52</w:t>
            </w:r>
          </w:p>
        </w:tc>
      </w:tr>
    </w:tbl>
    <w:p>
      <w:pPr>
        <w:spacing w:line="240" w:lineRule="auto" w:before="5"/>
        <w:rPr>
          <w:rFonts w:ascii="黑体" w:hAnsi="黑体" w:cs="黑体" w:eastAsia="黑体" w:hint="default"/>
          <w:sz w:val="11"/>
          <w:szCs w:val="11"/>
        </w:rPr>
      </w:pPr>
    </w:p>
    <w:p>
      <w:pPr>
        <w:pStyle w:val="BodyText"/>
        <w:spacing w:line="240" w:lineRule="exact" w:before="79"/>
        <w:ind w:left="668" w:right="311"/>
        <w:jc w:val="both"/>
      </w:pPr>
      <w:r>
        <w:rPr/>
        <w:t>股份期权的预计期限是根据对未来股票价格波动所可能引致的员工行权时间为基础确定的，其</w:t>
      </w:r>
      <w:r>
        <w:rPr>
          <w:spacing w:val="-85"/>
        </w:rPr>
        <w:t> </w:t>
      </w:r>
      <w:r>
        <w:rPr>
          <w:spacing w:val="-85"/>
        </w:rPr>
      </w:r>
      <w:r>
        <w:rPr/>
        <w:t>反映的行权模式并不一定是未来可能出现的行权模式。预计波动率是基于历史波动率能反映出</w:t>
      </w:r>
      <w:r>
        <w:rPr>
          <w:spacing w:val="-85"/>
        </w:rPr>
        <w:t> </w:t>
      </w:r>
      <w:r>
        <w:rPr>
          <w:spacing w:val="-85"/>
        </w:rPr>
      </w:r>
      <w:r>
        <w:rPr/>
        <w:t>未来趋势的假设，但并不一定是实际的结果。</w:t>
      </w:r>
    </w:p>
    <w:p>
      <w:pPr>
        <w:spacing w:line="240" w:lineRule="auto" w:before="11"/>
        <w:rPr>
          <w:rFonts w:ascii="黑体" w:hAnsi="黑体" w:cs="黑体" w:eastAsia="黑体" w:hint="default"/>
          <w:sz w:val="16"/>
          <w:szCs w:val="16"/>
        </w:rPr>
      </w:pPr>
    </w:p>
    <w:p>
      <w:pPr>
        <w:pStyle w:val="BodyText"/>
        <w:spacing w:line="240" w:lineRule="auto"/>
        <w:ind w:left="701" w:right="0"/>
        <w:jc w:val="both"/>
      </w:pPr>
      <w:r>
        <w:rPr/>
        <w:t>公允价值未考虑所授予股份期权的其他特征。</w:t>
      </w:r>
    </w:p>
    <w:p>
      <w:pPr>
        <w:spacing w:after="0" w:line="240" w:lineRule="auto"/>
        <w:jc w:val="both"/>
        <w:sectPr>
          <w:pgSz w:w="11910" w:h="16840"/>
          <w:pgMar w:header="825" w:footer="473" w:top="2420" w:bottom="660" w:left="1600" w:right="1100"/>
        </w:sectPr>
      </w:pPr>
    </w:p>
    <w:p>
      <w:pPr>
        <w:spacing w:line="240" w:lineRule="auto" w:before="1"/>
        <w:rPr>
          <w:rFonts w:ascii="黑体" w:hAnsi="黑体" w:cs="黑体" w:eastAsia="黑体" w:hint="default"/>
          <w:sz w:val="12"/>
          <w:szCs w:val="12"/>
        </w:rPr>
      </w:pPr>
    </w:p>
    <w:p>
      <w:pPr>
        <w:spacing w:line="20" w:lineRule="exact"/>
        <w:ind w:left="102" w:right="0" w:firstLine="0"/>
        <w:rPr>
          <w:rFonts w:ascii="黑体" w:hAnsi="黑体" w:cs="黑体" w:eastAsia="黑体" w:hint="default"/>
          <w:sz w:val="2"/>
          <w:szCs w:val="2"/>
        </w:rPr>
      </w:pPr>
      <w:r>
        <w:rPr>
          <w:rFonts w:ascii="黑体" w:hAnsi="黑体" w:cs="黑体" w:eastAsia="黑体" w:hint="default"/>
          <w:sz w:val="2"/>
          <w:szCs w:val="2"/>
        </w:rPr>
        <w:pict>
          <v:group style="width:440.3pt;height:.75pt;mso-position-horizontal-relative:char;mso-position-vertical-relative:line" coordorigin="0,0" coordsize="8806,15">
            <v:group style="position:absolute;left:8;top:8;width:8791;height:2" coordorigin="8,8" coordsize="8791,2">
              <v:shape style="position:absolute;left:8;top:8;width:8791;height:2" coordorigin="8,8" coordsize="8791,0" path="m8,8l8799,8e" filled="false" stroked="true" strokeweight=".75pt" strokecolor="#000000">
                <v:path arrowok="t"/>
              </v:shape>
            </v:group>
          </v:group>
        </w:pict>
      </w:r>
      <w:r>
        <w:rPr>
          <w:rFonts w:ascii="黑体" w:hAnsi="黑体" w:cs="黑体" w:eastAsia="黑体" w:hint="default"/>
          <w:sz w:val="2"/>
          <w:szCs w:val="2"/>
        </w:rPr>
      </w:r>
    </w:p>
    <w:p>
      <w:pPr>
        <w:spacing w:line="240" w:lineRule="auto" w:before="9"/>
        <w:rPr>
          <w:rFonts w:ascii="黑体" w:hAnsi="黑体" w:cs="黑体" w:eastAsia="黑体" w:hint="default"/>
          <w:sz w:val="18"/>
          <w:szCs w:val="18"/>
        </w:rPr>
      </w:pPr>
    </w:p>
    <w:p>
      <w:pPr>
        <w:pStyle w:val="Heading6"/>
        <w:tabs>
          <w:tab w:pos="706" w:val="left" w:leader="none"/>
        </w:tabs>
        <w:spacing w:line="240" w:lineRule="auto"/>
        <w:ind w:right="0"/>
        <w:jc w:val="left"/>
        <w:rPr>
          <w:b w:val="0"/>
          <w:bCs w:val="0"/>
        </w:rPr>
      </w:pPr>
      <w:r>
        <w:rPr>
          <w:w w:val="95"/>
        </w:rPr>
        <w:t>七、</w:t>
        <w:tab/>
      </w:r>
      <w:r>
        <w:rPr/>
        <w:t>股份支付（续）</w:t>
      </w:r>
      <w:r>
        <w:rPr>
          <w:b w:val="0"/>
          <w:bCs w:val="0"/>
        </w:rPr>
      </w:r>
    </w:p>
    <w:p>
      <w:pPr>
        <w:spacing w:line="240" w:lineRule="auto" w:before="8"/>
        <w:rPr>
          <w:rFonts w:ascii="黑体" w:hAnsi="黑体" w:cs="黑体" w:eastAsia="黑体" w:hint="default"/>
          <w:b/>
          <w:bCs/>
          <w:sz w:val="19"/>
          <w:szCs w:val="19"/>
        </w:rPr>
      </w:pPr>
    </w:p>
    <w:p>
      <w:pPr>
        <w:pStyle w:val="BodyText"/>
        <w:tabs>
          <w:tab w:pos="742" w:val="left" w:leader="none"/>
        </w:tabs>
        <w:spacing w:line="434" w:lineRule="auto"/>
        <w:ind w:left="701" w:right="4725" w:hanging="572"/>
        <w:jc w:val="left"/>
      </w:pPr>
      <w:r>
        <w:rPr>
          <w:rFonts w:ascii="Arial" w:hAnsi="Arial" w:cs="Arial" w:eastAsia="Arial" w:hint="default"/>
          <w:spacing w:val="-1"/>
          <w:w w:val="95"/>
        </w:rPr>
        <w:t>2</w:t>
      </w:r>
      <w:r>
        <w:rPr>
          <w:spacing w:val="-1"/>
          <w:w w:val="95"/>
        </w:rPr>
        <w:t>．</w:t>
        <w:tab/>
        <w:tab/>
      </w:r>
      <w:bookmarkStart w:name="2．   股票期权激励计划（续）" w:id="149"/>
      <w:bookmarkEnd w:id="149"/>
      <w:r>
        <w:rPr/>
        <w:t>股票期权</w:t>
      </w:r>
      <w:r>
        <w:rPr/>
        <w:t>激励计划（续）</w:t>
      </w:r>
      <w:r>
        <w:rPr>
          <w:w w:val="99"/>
        </w:rPr>
        <w:t> </w:t>
      </w:r>
      <w:r>
        <w:rPr/>
        <w:t>按照本计划，发行在外的股份期权如下：</w:t>
      </w:r>
    </w:p>
    <w:p>
      <w:pPr>
        <w:spacing w:line="240" w:lineRule="auto" w:before="11"/>
        <w:rPr>
          <w:rFonts w:ascii="黑体" w:hAnsi="黑体" w:cs="黑体" w:eastAsia="黑体" w:hint="default"/>
          <w:sz w:val="13"/>
          <w:szCs w:val="13"/>
        </w:rPr>
      </w:pPr>
    </w:p>
    <w:tbl>
      <w:tblPr>
        <w:tblW w:w="0" w:type="auto"/>
        <w:jc w:val="left"/>
        <w:tblInd w:w="575" w:type="dxa"/>
        <w:tblLayout w:type="fixed"/>
        <w:tblCellMar>
          <w:top w:w="0" w:type="dxa"/>
          <w:left w:w="0" w:type="dxa"/>
          <w:bottom w:w="0" w:type="dxa"/>
          <w:right w:w="0" w:type="dxa"/>
        </w:tblCellMar>
        <w:tblLook w:val="01E0"/>
      </w:tblPr>
      <w:tblGrid>
        <w:gridCol w:w="1657"/>
        <w:gridCol w:w="1605"/>
        <w:gridCol w:w="1654"/>
        <w:gridCol w:w="1751"/>
        <w:gridCol w:w="1600"/>
      </w:tblGrid>
      <w:tr>
        <w:trPr>
          <w:trHeight w:val="488" w:hRule="exact"/>
        </w:trPr>
        <w:tc>
          <w:tcPr>
            <w:tcW w:w="3262" w:type="dxa"/>
            <w:gridSpan w:val="2"/>
            <w:tcBorders>
              <w:top w:val="nil" w:sz="6" w:space="0" w:color="auto"/>
              <w:left w:val="nil" w:sz="6" w:space="0" w:color="auto"/>
              <w:bottom w:val="nil" w:sz="6" w:space="0" w:color="auto"/>
              <w:right w:val="nil" w:sz="6" w:space="0" w:color="auto"/>
            </w:tcBorders>
          </w:tcPr>
          <w:p>
            <w:pPr>
              <w:pStyle w:val="TableParagraph"/>
              <w:spacing w:line="205" w:lineRule="exact"/>
              <w:ind w:left="1477" w:right="0"/>
              <w:jc w:val="left"/>
              <w:rPr>
                <w:rFonts w:ascii="黑体" w:hAnsi="黑体" w:cs="黑体" w:eastAsia="黑体" w:hint="default"/>
                <w:sz w:val="20"/>
                <w:szCs w:val="20"/>
              </w:rPr>
            </w:pPr>
            <w:r>
              <w:rPr>
                <w:rFonts w:ascii="Arial" w:hAnsi="Arial" w:cs="Arial" w:eastAsia="Arial" w:hint="default"/>
                <w:sz w:val="20"/>
                <w:szCs w:val="20"/>
              </w:rPr>
              <w:t>2012</w:t>
            </w:r>
            <w:r>
              <w:rPr>
                <w:rFonts w:ascii="黑体" w:hAnsi="黑体" w:cs="黑体" w:eastAsia="黑体" w:hint="default"/>
                <w:sz w:val="20"/>
                <w:szCs w:val="20"/>
              </w:rPr>
              <w:t>年加权平均</w:t>
            </w:r>
          </w:p>
          <w:p>
            <w:pPr>
              <w:pStyle w:val="TableParagraph"/>
              <w:spacing w:line="253" w:lineRule="exact"/>
              <w:ind w:left="2123" w:right="0"/>
              <w:jc w:val="left"/>
              <w:rPr>
                <w:rFonts w:ascii="黑体" w:hAnsi="黑体" w:cs="黑体" w:eastAsia="黑体" w:hint="default"/>
                <w:sz w:val="20"/>
                <w:szCs w:val="20"/>
              </w:rPr>
            </w:pPr>
            <w:r>
              <w:rPr>
                <w:rFonts w:ascii="黑体" w:hAnsi="黑体" w:cs="黑体" w:eastAsia="黑体" w:hint="default"/>
                <w:sz w:val="20"/>
                <w:szCs w:val="20"/>
              </w:rPr>
              <w:t>行权价格</w:t>
            </w:r>
          </w:p>
        </w:tc>
        <w:tc>
          <w:tcPr>
            <w:tcW w:w="1654" w:type="dxa"/>
            <w:tcBorders>
              <w:top w:val="nil" w:sz="6" w:space="0" w:color="auto"/>
              <w:left w:val="nil" w:sz="6" w:space="0" w:color="auto"/>
              <w:bottom w:val="nil" w:sz="6" w:space="0" w:color="auto"/>
              <w:right w:val="nil" w:sz="6" w:space="0" w:color="auto"/>
            </w:tcBorders>
          </w:tcPr>
          <w:p>
            <w:pPr>
              <w:pStyle w:val="TableParagraph"/>
              <w:spacing w:line="199" w:lineRule="exact"/>
              <w:ind w:right="112"/>
              <w:jc w:val="right"/>
              <w:rPr>
                <w:rFonts w:ascii="黑体" w:hAnsi="黑体" w:cs="黑体" w:eastAsia="黑体" w:hint="default"/>
                <w:sz w:val="20"/>
                <w:szCs w:val="20"/>
              </w:rPr>
            </w:pPr>
            <w:r>
              <w:rPr>
                <w:rFonts w:ascii="黑体" w:hAnsi="黑体" w:cs="黑体" w:eastAsia="黑体" w:hint="default"/>
                <w:w w:val="95"/>
                <w:sz w:val="20"/>
                <w:szCs w:val="20"/>
              </w:rPr>
              <w:t>股份期权数量</w:t>
            </w:r>
            <w:r>
              <w:rPr>
                <w:rFonts w:ascii="黑体" w:hAnsi="黑体" w:cs="黑体" w:eastAsia="黑体" w:hint="default"/>
                <w:sz w:val="20"/>
                <w:szCs w:val="20"/>
              </w:rPr>
            </w:r>
          </w:p>
        </w:tc>
        <w:tc>
          <w:tcPr>
            <w:tcW w:w="1751" w:type="dxa"/>
            <w:tcBorders>
              <w:top w:val="nil" w:sz="6" w:space="0" w:color="auto"/>
              <w:left w:val="nil" w:sz="6" w:space="0" w:color="auto"/>
              <w:bottom w:val="nil" w:sz="6" w:space="0" w:color="auto"/>
              <w:right w:val="nil" w:sz="6" w:space="0" w:color="auto"/>
            </w:tcBorders>
          </w:tcPr>
          <w:p>
            <w:pPr>
              <w:pStyle w:val="TableParagraph"/>
              <w:spacing w:line="205" w:lineRule="exact"/>
              <w:ind w:left="110"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年加权平均</w:t>
            </w:r>
          </w:p>
          <w:p>
            <w:pPr>
              <w:pStyle w:val="TableParagraph"/>
              <w:spacing w:line="253" w:lineRule="exact"/>
              <w:ind w:left="756" w:right="0"/>
              <w:jc w:val="left"/>
              <w:rPr>
                <w:rFonts w:ascii="黑体" w:hAnsi="黑体" w:cs="黑体" w:eastAsia="黑体" w:hint="default"/>
                <w:sz w:val="20"/>
                <w:szCs w:val="20"/>
              </w:rPr>
            </w:pPr>
            <w:r>
              <w:rPr>
                <w:rFonts w:ascii="黑体" w:hAnsi="黑体" w:cs="黑体" w:eastAsia="黑体" w:hint="default"/>
                <w:sz w:val="20"/>
                <w:szCs w:val="20"/>
              </w:rPr>
              <w:t>行权价格</w:t>
            </w:r>
          </w:p>
        </w:tc>
        <w:tc>
          <w:tcPr>
            <w:tcW w:w="1600" w:type="dxa"/>
            <w:tcBorders>
              <w:top w:val="nil" w:sz="6" w:space="0" w:color="auto"/>
              <w:left w:val="nil" w:sz="6" w:space="0" w:color="auto"/>
              <w:bottom w:val="nil" w:sz="6" w:space="0" w:color="auto"/>
              <w:right w:val="nil" w:sz="6" w:space="0" w:color="auto"/>
            </w:tcBorders>
          </w:tcPr>
          <w:p>
            <w:pPr>
              <w:pStyle w:val="TableParagraph"/>
              <w:spacing w:line="199" w:lineRule="exact"/>
              <w:ind w:right="201"/>
              <w:jc w:val="right"/>
              <w:rPr>
                <w:rFonts w:ascii="黑体" w:hAnsi="黑体" w:cs="黑体" w:eastAsia="黑体" w:hint="default"/>
                <w:sz w:val="20"/>
                <w:szCs w:val="20"/>
              </w:rPr>
            </w:pPr>
            <w:r>
              <w:rPr>
                <w:rFonts w:ascii="黑体" w:hAnsi="黑体" w:cs="黑体" w:eastAsia="黑体" w:hint="default"/>
                <w:w w:val="95"/>
                <w:sz w:val="20"/>
                <w:szCs w:val="20"/>
              </w:rPr>
              <w:t>股份期权数量</w:t>
            </w:r>
            <w:r>
              <w:rPr>
                <w:rFonts w:ascii="黑体" w:hAnsi="黑体" w:cs="黑体" w:eastAsia="黑体" w:hint="default"/>
                <w:sz w:val="20"/>
                <w:szCs w:val="20"/>
              </w:rPr>
            </w:r>
          </w:p>
        </w:tc>
      </w:tr>
      <w:tr>
        <w:trPr>
          <w:trHeight w:val="454" w:hRule="exact"/>
        </w:trPr>
        <w:tc>
          <w:tcPr>
            <w:tcW w:w="1657" w:type="dxa"/>
            <w:tcBorders>
              <w:top w:val="nil" w:sz="6" w:space="0" w:color="auto"/>
              <w:left w:val="nil" w:sz="6" w:space="0" w:color="auto"/>
              <w:bottom w:val="nil" w:sz="6" w:space="0" w:color="auto"/>
              <w:right w:val="nil" w:sz="6" w:space="0" w:color="auto"/>
            </w:tcBorders>
          </w:tcPr>
          <w:p>
            <w:pPr/>
          </w:p>
        </w:tc>
        <w:tc>
          <w:tcPr>
            <w:tcW w:w="1605" w:type="dxa"/>
            <w:tcBorders>
              <w:top w:val="nil" w:sz="6" w:space="0" w:color="auto"/>
              <w:left w:val="nil" w:sz="6" w:space="0" w:color="auto"/>
              <w:bottom w:val="nil" w:sz="6" w:space="0" w:color="auto"/>
              <w:right w:val="nil" w:sz="6" w:space="0" w:color="auto"/>
            </w:tcBorders>
          </w:tcPr>
          <w:p>
            <w:pPr>
              <w:pStyle w:val="TableParagraph"/>
              <w:spacing w:line="244" w:lineRule="exact"/>
              <w:ind w:left="209" w:right="0"/>
              <w:jc w:val="left"/>
              <w:rPr>
                <w:rFonts w:ascii="黑体" w:hAnsi="黑体" w:cs="黑体" w:eastAsia="黑体" w:hint="default"/>
                <w:sz w:val="20"/>
                <w:szCs w:val="20"/>
              </w:rPr>
            </w:pPr>
            <w:r>
              <w:rPr>
                <w:rFonts w:ascii="黑体" w:hAnsi="黑体" w:cs="黑体" w:eastAsia="黑体" w:hint="default"/>
                <w:sz w:val="20"/>
                <w:szCs w:val="20"/>
              </w:rPr>
              <w:t>人民币元</w:t>
            </w:r>
            <w:r>
              <w:rPr>
                <w:rFonts w:ascii="Arial" w:hAnsi="Arial" w:cs="Arial" w:eastAsia="Arial" w:hint="default"/>
                <w:sz w:val="20"/>
                <w:szCs w:val="20"/>
              </w:rPr>
              <w:t>/</w:t>
            </w:r>
            <w:r>
              <w:rPr>
                <w:rFonts w:ascii="黑体" w:hAnsi="黑体" w:cs="黑体" w:eastAsia="黑体" w:hint="default"/>
                <w:sz w:val="20"/>
                <w:szCs w:val="20"/>
              </w:rPr>
              <w:t>股</w:t>
            </w:r>
          </w:p>
        </w:tc>
        <w:tc>
          <w:tcPr>
            <w:tcW w:w="1654" w:type="dxa"/>
            <w:tcBorders>
              <w:top w:val="nil" w:sz="6" w:space="0" w:color="auto"/>
              <w:left w:val="nil" w:sz="6" w:space="0" w:color="auto"/>
              <w:bottom w:val="nil" w:sz="6" w:space="0" w:color="auto"/>
              <w:right w:val="nil" w:sz="6" w:space="0" w:color="auto"/>
            </w:tcBorders>
          </w:tcPr>
          <w:p>
            <w:pPr>
              <w:pStyle w:val="TableParagraph"/>
              <w:spacing w:line="229" w:lineRule="exact"/>
              <w:ind w:right="110"/>
              <w:jc w:val="right"/>
              <w:rPr>
                <w:rFonts w:ascii="黑体" w:hAnsi="黑体" w:cs="黑体" w:eastAsia="黑体" w:hint="default"/>
                <w:sz w:val="20"/>
                <w:szCs w:val="20"/>
              </w:rPr>
            </w:pPr>
            <w:r>
              <w:rPr>
                <w:rFonts w:ascii="黑体" w:hAnsi="黑体" w:cs="黑体" w:eastAsia="黑体" w:hint="default"/>
                <w:w w:val="99"/>
                <w:sz w:val="20"/>
                <w:szCs w:val="20"/>
              </w:rPr>
              <w:t>份</w:t>
            </w:r>
            <w:r>
              <w:rPr>
                <w:rFonts w:ascii="黑体" w:hAnsi="黑体" w:cs="黑体" w:eastAsia="黑体" w:hint="default"/>
                <w:sz w:val="20"/>
                <w:szCs w:val="20"/>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4" w:lineRule="exact"/>
              <w:ind w:right="196"/>
              <w:jc w:val="right"/>
              <w:rPr>
                <w:rFonts w:ascii="黑体" w:hAnsi="黑体" w:cs="黑体" w:eastAsia="黑体" w:hint="default"/>
                <w:sz w:val="20"/>
                <w:szCs w:val="20"/>
              </w:rPr>
            </w:pPr>
            <w:r>
              <w:rPr>
                <w:rFonts w:ascii="黑体" w:hAnsi="黑体" w:cs="黑体" w:eastAsia="黑体" w:hint="default"/>
                <w:w w:val="95"/>
                <w:sz w:val="20"/>
                <w:szCs w:val="20"/>
              </w:rPr>
              <w:t>人民币元</w:t>
            </w:r>
            <w:r>
              <w:rPr>
                <w:rFonts w:ascii="Arial" w:hAnsi="Arial" w:cs="Arial" w:eastAsia="Arial" w:hint="default"/>
                <w:w w:val="95"/>
                <w:sz w:val="20"/>
                <w:szCs w:val="20"/>
              </w:rPr>
              <w:t>/</w:t>
            </w:r>
            <w:r>
              <w:rPr>
                <w:rFonts w:ascii="黑体" w:hAnsi="黑体" w:cs="黑体" w:eastAsia="黑体" w:hint="default"/>
                <w:w w:val="95"/>
                <w:sz w:val="20"/>
                <w:szCs w:val="20"/>
              </w:rPr>
              <w:t>股</w:t>
            </w:r>
            <w:r>
              <w:rPr>
                <w:rFonts w:ascii="黑体" w:hAnsi="黑体" w:cs="黑体" w:eastAsia="黑体" w:hint="default"/>
                <w:sz w:val="20"/>
                <w:szCs w:val="20"/>
              </w:rPr>
            </w:r>
          </w:p>
        </w:tc>
        <w:tc>
          <w:tcPr>
            <w:tcW w:w="1600" w:type="dxa"/>
            <w:tcBorders>
              <w:top w:val="nil" w:sz="6" w:space="0" w:color="auto"/>
              <w:left w:val="nil" w:sz="6" w:space="0" w:color="auto"/>
              <w:bottom w:val="nil" w:sz="6" w:space="0" w:color="auto"/>
              <w:right w:val="nil" w:sz="6" w:space="0" w:color="auto"/>
            </w:tcBorders>
          </w:tcPr>
          <w:p>
            <w:pPr>
              <w:pStyle w:val="TableParagraph"/>
              <w:spacing w:line="229" w:lineRule="exact"/>
              <w:ind w:right="199"/>
              <w:jc w:val="right"/>
              <w:rPr>
                <w:rFonts w:ascii="黑体" w:hAnsi="黑体" w:cs="黑体" w:eastAsia="黑体" w:hint="default"/>
                <w:sz w:val="20"/>
                <w:szCs w:val="20"/>
              </w:rPr>
            </w:pPr>
            <w:r>
              <w:rPr>
                <w:rFonts w:ascii="黑体" w:hAnsi="黑体" w:cs="黑体" w:eastAsia="黑体" w:hint="default"/>
                <w:w w:val="99"/>
                <w:sz w:val="20"/>
                <w:szCs w:val="20"/>
              </w:rPr>
              <w:t>份</w:t>
            </w:r>
            <w:r>
              <w:rPr>
                <w:rFonts w:ascii="黑体" w:hAnsi="黑体" w:cs="黑体" w:eastAsia="黑体" w:hint="default"/>
                <w:sz w:val="20"/>
                <w:szCs w:val="20"/>
              </w:rPr>
            </w:r>
          </w:p>
        </w:tc>
      </w:tr>
      <w:tr>
        <w:trPr>
          <w:trHeight w:val="479" w:hRule="exact"/>
        </w:trPr>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52"/>
              <w:ind w:left="200" w:right="0"/>
              <w:jc w:val="left"/>
              <w:rPr>
                <w:rFonts w:ascii="黑体" w:hAnsi="黑体" w:cs="黑体" w:eastAsia="黑体" w:hint="default"/>
                <w:sz w:val="20"/>
                <w:szCs w:val="20"/>
              </w:rPr>
            </w:pPr>
            <w:r>
              <w:rPr>
                <w:rFonts w:ascii="黑体" w:hAnsi="黑体" w:cs="黑体" w:eastAsia="黑体" w:hint="default"/>
                <w:sz w:val="20"/>
                <w:szCs w:val="20"/>
              </w:rPr>
              <w:t>年初数</w:t>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left="655" w:right="0"/>
              <w:jc w:val="left"/>
              <w:rPr>
                <w:rFonts w:ascii="Arial" w:hAnsi="Arial" w:cs="Arial" w:eastAsia="Arial" w:hint="default"/>
                <w:sz w:val="20"/>
                <w:szCs w:val="20"/>
              </w:rPr>
            </w:pPr>
            <w:r>
              <w:rPr>
                <w:rFonts w:ascii="Arial"/>
                <w:sz w:val="20"/>
              </w:rPr>
              <w:t>25.16</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113"/>
              <w:jc w:val="right"/>
              <w:rPr>
                <w:rFonts w:ascii="Arial" w:hAnsi="Arial" w:cs="Arial" w:eastAsia="Arial" w:hint="default"/>
                <w:sz w:val="20"/>
                <w:szCs w:val="20"/>
              </w:rPr>
            </w:pPr>
            <w:r>
              <w:rPr>
                <w:rFonts w:ascii="Arial"/>
                <w:spacing w:val="-1"/>
                <w:sz w:val="20"/>
              </w:rPr>
              <w:t>22,035,561</w:t>
            </w:r>
            <w:r>
              <w:rPr>
                <w:rFonts w:ascii="Arial"/>
                <w:sz w:val="20"/>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302"/>
              <w:jc w:val="right"/>
              <w:rPr>
                <w:rFonts w:ascii="Arial" w:hAnsi="Arial" w:cs="Arial" w:eastAsia="Arial" w:hint="default"/>
                <w:sz w:val="20"/>
                <w:szCs w:val="20"/>
              </w:rPr>
            </w:pPr>
            <w:r>
              <w:rPr>
                <w:rFonts w:ascii="Arial"/>
                <w:w w:val="99"/>
                <w:sz w:val="20"/>
              </w:rPr>
              <w:t>-</w:t>
            </w:r>
            <w:r>
              <w:rPr>
                <w:rFonts w:ascii="Arial"/>
                <w:sz w:val="20"/>
              </w:rPr>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200"/>
              <w:jc w:val="right"/>
              <w:rPr>
                <w:rFonts w:ascii="Arial" w:hAnsi="Arial" w:cs="Arial" w:eastAsia="Arial" w:hint="default"/>
                <w:sz w:val="20"/>
                <w:szCs w:val="20"/>
              </w:rPr>
            </w:pPr>
            <w:r>
              <w:rPr>
                <w:rFonts w:ascii="Arial"/>
                <w:w w:val="99"/>
                <w:sz w:val="20"/>
              </w:rPr>
              <w:t>-</w:t>
            </w:r>
            <w:r>
              <w:rPr>
                <w:rFonts w:ascii="Arial"/>
                <w:sz w:val="20"/>
              </w:rPr>
            </w:r>
          </w:p>
        </w:tc>
      </w:tr>
      <w:tr>
        <w:trPr>
          <w:trHeight w:val="550" w:hRule="exact"/>
        </w:trPr>
        <w:tc>
          <w:tcPr>
            <w:tcW w:w="1657" w:type="dxa"/>
            <w:tcBorders>
              <w:top w:val="nil" w:sz="6" w:space="0" w:color="auto"/>
              <w:left w:val="nil" w:sz="6" w:space="0" w:color="auto"/>
              <w:bottom w:val="nil" w:sz="6" w:space="0" w:color="auto"/>
              <w:right w:val="nil" w:sz="6" w:space="0" w:color="auto"/>
            </w:tcBorders>
          </w:tcPr>
          <w:p>
            <w:pPr>
              <w:pStyle w:val="TableParagraph"/>
              <w:spacing w:line="253" w:lineRule="exact"/>
              <w:ind w:left="200" w:right="0"/>
              <w:jc w:val="left"/>
              <w:rPr>
                <w:rFonts w:ascii="黑体" w:hAnsi="黑体" w:cs="黑体" w:eastAsia="黑体" w:hint="default"/>
                <w:sz w:val="20"/>
                <w:szCs w:val="20"/>
              </w:rPr>
            </w:pPr>
            <w:r>
              <w:rPr>
                <w:rFonts w:ascii="黑体" w:hAnsi="黑体" w:cs="黑体" w:eastAsia="黑体" w:hint="default"/>
                <w:sz w:val="20"/>
                <w:szCs w:val="20"/>
              </w:rPr>
              <w:t>调整增加</w:t>
            </w:r>
          </w:p>
          <w:p>
            <w:pPr>
              <w:pStyle w:val="TableParagraph"/>
              <w:spacing w:line="275" w:lineRule="exact"/>
              <w:ind w:left="200" w:right="0"/>
              <w:jc w:val="left"/>
              <w:rPr>
                <w:rFonts w:ascii="Arial" w:hAnsi="Arial" w:cs="Arial" w:eastAsia="Arial" w:hint="default"/>
                <w:sz w:val="20"/>
                <w:szCs w:val="20"/>
              </w:rPr>
            </w:pPr>
            <w:r>
              <w:rPr>
                <w:rFonts w:ascii="黑体" w:hAnsi="黑体" w:cs="黑体" w:eastAsia="黑体" w:hint="default"/>
                <w:sz w:val="20"/>
                <w:szCs w:val="20"/>
              </w:rPr>
              <w:t>（减少）</w:t>
            </w:r>
            <w:r>
              <w:rPr>
                <w:rFonts w:ascii="Arial" w:hAnsi="Arial" w:cs="Arial" w:eastAsia="Arial" w:hint="default"/>
                <w:sz w:val="20"/>
                <w:szCs w:val="20"/>
              </w:rPr>
              <w:t>*</w:t>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22"/>
                <w:szCs w:val="22"/>
              </w:rPr>
            </w:pPr>
          </w:p>
          <w:p>
            <w:pPr>
              <w:pStyle w:val="TableParagraph"/>
              <w:spacing w:line="240" w:lineRule="auto"/>
              <w:ind w:left="579" w:right="0"/>
              <w:jc w:val="left"/>
              <w:rPr>
                <w:rFonts w:ascii="Arial" w:hAnsi="Arial" w:cs="Arial" w:eastAsia="Arial" w:hint="default"/>
                <w:sz w:val="20"/>
                <w:szCs w:val="20"/>
              </w:rPr>
            </w:pPr>
            <w:r>
              <w:rPr>
                <w:rFonts w:ascii="Arial"/>
                <w:sz w:val="20"/>
              </w:rPr>
              <w:t>(</w:t>
            </w:r>
            <w:r>
              <w:rPr>
                <w:rFonts w:ascii="Arial"/>
                <w:spacing w:val="-8"/>
                <w:sz w:val="20"/>
              </w:rPr>
              <w:t> </w:t>
            </w:r>
            <w:r>
              <w:rPr>
                <w:rFonts w:ascii="Arial"/>
                <w:sz w:val="20"/>
              </w:rPr>
              <w:t>4.71)</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22"/>
                <w:szCs w:val="22"/>
              </w:rPr>
            </w:pPr>
          </w:p>
          <w:p>
            <w:pPr>
              <w:pStyle w:val="TableParagraph"/>
              <w:spacing w:line="240" w:lineRule="auto"/>
              <w:ind w:right="113"/>
              <w:jc w:val="right"/>
              <w:rPr>
                <w:rFonts w:ascii="Arial" w:hAnsi="Arial" w:cs="Arial" w:eastAsia="Arial" w:hint="default"/>
                <w:sz w:val="20"/>
                <w:szCs w:val="20"/>
              </w:rPr>
            </w:pPr>
            <w:r>
              <w:rPr>
                <w:rFonts w:ascii="Arial"/>
                <w:spacing w:val="-1"/>
                <w:w w:val="95"/>
                <w:sz w:val="20"/>
              </w:rPr>
              <w:t>4,407,112</w:t>
            </w:r>
            <w:r>
              <w:rPr>
                <w:rFonts w:ascii="Arial"/>
                <w:sz w:val="20"/>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22"/>
                <w:szCs w:val="22"/>
              </w:rPr>
            </w:pPr>
          </w:p>
          <w:p>
            <w:pPr>
              <w:pStyle w:val="TableParagraph"/>
              <w:spacing w:line="240" w:lineRule="auto"/>
              <w:ind w:right="302"/>
              <w:jc w:val="right"/>
              <w:rPr>
                <w:rFonts w:ascii="Arial" w:hAnsi="Arial" w:cs="Arial" w:eastAsia="Arial" w:hint="default"/>
                <w:sz w:val="20"/>
                <w:szCs w:val="20"/>
              </w:rPr>
            </w:pPr>
            <w:r>
              <w:rPr>
                <w:rFonts w:ascii="Arial"/>
                <w:w w:val="99"/>
                <w:sz w:val="20"/>
              </w:rPr>
              <w:t>-</w:t>
            </w:r>
            <w:r>
              <w:rPr>
                <w:rFonts w:ascii="Arial"/>
                <w:sz w:val="20"/>
              </w:rPr>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22"/>
                <w:szCs w:val="22"/>
              </w:rPr>
            </w:pPr>
          </w:p>
          <w:p>
            <w:pPr>
              <w:pStyle w:val="TableParagraph"/>
              <w:spacing w:line="240" w:lineRule="auto"/>
              <w:ind w:right="198"/>
              <w:jc w:val="right"/>
              <w:rPr>
                <w:rFonts w:ascii="Arial" w:hAnsi="Arial" w:cs="Arial" w:eastAsia="Arial" w:hint="default"/>
                <w:sz w:val="20"/>
                <w:szCs w:val="20"/>
              </w:rPr>
            </w:pPr>
            <w:r>
              <w:rPr>
                <w:rFonts w:ascii="Arial"/>
                <w:w w:val="99"/>
                <w:sz w:val="20"/>
              </w:rPr>
              <w:t>-</w:t>
            </w:r>
            <w:r>
              <w:rPr>
                <w:rFonts w:ascii="Arial"/>
                <w:sz w:val="20"/>
              </w:rPr>
            </w:r>
          </w:p>
        </w:tc>
      </w:tr>
      <w:tr>
        <w:trPr>
          <w:trHeight w:val="290" w:hRule="exact"/>
        </w:trPr>
        <w:tc>
          <w:tcPr>
            <w:tcW w:w="1657"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授予</w:t>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46"/>
              <w:jc w:val="right"/>
              <w:rPr>
                <w:rFonts w:ascii="Arial" w:hAnsi="Arial" w:cs="Arial" w:eastAsia="Arial" w:hint="default"/>
                <w:sz w:val="20"/>
                <w:szCs w:val="20"/>
              </w:rPr>
            </w:pPr>
            <w:r>
              <w:rPr>
                <w:rFonts w:ascii="Arial"/>
                <w:w w:val="99"/>
                <w:sz w:val="20"/>
              </w:rPr>
              <w:t>-</w:t>
            </w:r>
            <w:r>
              <w:rPr>
                <w:rFonts w:ascii="Arial"/>
                <w:sz w:val="20"/>
              </w:rPr>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1"/>
              <w:jc w:val="right"/>
              <w:rPr>
                <w:rFonts w:ascii="Arial" w:hAnsi="Arial" w:cs="Arial" w:eastAsia="Arial" w:hint="default"/>
                <w:sz w:val="20"/>
                <w:szCs w:val="20"/>
              </w:rPr>
            </w:pPr>
            <w:r>
              <w:rPr>
                <w:rFonts w:ascii="Arial"/>
                <w:w w:val="99"/>
                <w:sz w:val="20"/>
              </w:rPr>
              <w:t>-</w:t>
            </w:r>
            <w:r>
              <w:rPr>
                <w:rFonts w:ascii="Arial"/>
                <w:sz w:val="20"/>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03"/>
              <w:jc w:val="right"/>
              <w:rPr>
                <w:rFonts w:ascii="Arial" w:hAnsi="Arial" w:cs="Arial" w:eastAsia="Arial" w:hint="default"/>
                <w:sz w:val="20"/>
                <w:szCs w:val="20"/>
              </w:rPr>
            </w:pPr>
            <w:r>
              <w:rPr>
                <w:rFonts w:ascii="Arial"/>
                <w:spacing w:val="-1"/>
                <w:sz w:val="20"/>
              </w:rPr>
              <w:t>25.16</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2"/>
              <w:jc w:val="right"/>
              <w:rPr>
                <w:rFonts w:ascii="Arial" w:hAnsi="Arial" w:cs="Arial" w:eastAsia="Arial" w:hint="default"/>
                <w:sz w:val="20"/>
                <w:szCs w:val="20"/>
              </w:rPr>
            </w:pPr>
            <w:r>
              <w:rPr>
                <w:rFonts w:ascii="Arial"/>
                <w:spacing w:val="-1"/>
                <w:sz w:val="20"/>
              </w:rPr>
              <w:t>22,035,561</w:t>
            </w:r>
            <w:r>
              <w:rPr>
                <w:rFonts w:ascii="Arial"/>
                <w:sz w:val="20"/>
              </w:rPr>
            </w:r>
          </w:p>
        </w:tc>
      </w:tr>
      <w:tr>
        <w:trPr>
          <w:trHeight w:val="319" w:hRule="exact"/>
        </w:trPr>
        <w:tc>
          <w:tcPr>
            <w:tcW w:w="1657"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黑体" w:hAnsi="黑体" w:cs="黑体" w:eastAsia="黑体" w:hint="default"/>
                <w:sz w:val="20"/>
                <w:szCs w:val="20"/>
              </w:rPr>
            </w:pPr>
            <w:r>
              <w:rPr>
                <w:rFonts w:ascii="黑体" w:hAnsi="黑体" w:cs="黑体" w:eastAsia="黑体" w:hint="default"/>
                <w:sz w:val="20"/>
                <w:szCs w:val="20"/>
              </w:rPr>
              <w:t>失效</w:t>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46"/>
              <w:jc w:val="right"/>
              <w:rPr>
                <w:rFonts w:ascii="Arial" w:hAnsi="Arial" w:cs="Arial" w:eastAsia="Arial" w:hint="default"/>
                <w:sz w:val="20"/>
                <w:szCs w:val="20"/>
              </w:rPr>
            </w:pPr>
            <w:r>
              <w:rPr>
                <w:rFonts w:ascii="Arial"/>
                <w:w w:val="99"/>
                <w:sz w:val="20"/>
              </w:rPr>
              <w:t>-</w:t>
            </w:r>
            <w:r>
              <w:rPr>
                <w:rFonts w:ascii="Arial"/>
                <w:sz w:val="20"/>
              </w:rPr>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3"/>
              <w:jc w:val="right"/>
              <w:rPr>
                <w:rFonts w:ascii="Arial" w:hAnsi="Arial" w:cs="Arial" w:eastAsia="Arial" w:hint="default"/>
                <w:sz w:val="20"/>
                <w:szCs w:val="20"/>
              </w:rPr>
            </w:pPr>
            <w:r>
              <w:rPr>
                <w:rFonts w:ascii="Arial"/>
                <w:spacing w:val="-1"/>
                <w:sz w:val="20"/>
              </w:rPr>
              <w:t>19,856,595</w:t>
            </w:r>
            <w:r>
              <w:rPr>
                <w:rFonts w:ascii="Arial"/>
                <w:sz w:val="20"/>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02"/>
              <w:jc w:val="right"/>
              <w:rPr>
                <w:rFonts w:ascii="Arial" w:hAnsi="Arial" w:cs="Arial" w:eastAsia="Arial" w:hint="default"/>
                <w:sz w:val="20"/>
                <w:szCs w:val="20"/>
              </w:rPr>
            </w:pPr>
            <w:r>
              <w:rPr>
                <w:rFonts w:ascii="Arial"/>
                <w:w w:val="99"/>
                <w:sz w:val="20"/>
              </w:rPr>
              <w:t>-</w:t>
            </w:r>
            <w:r>
              <w:rPr>
                <w:rFonts w:ascii="Arial"/>
                <w:sz w:val="20"/>
              </w:rPr>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00"/>
              <w:jc w:val="right"/>
              <w:rPr>
                <w:rFonts w:ascii="Arial" w:hAnsi="Arial" w:cs="Arial" w:eastAsia="Arial" w:hint="default"/>
                <w:sz w:val="20"/>
                <w:szCs w:val="20"/>
              </w:rPr>
            </w:pPr>
            <w:r>
              <w:rPr>
                <w:rFonts w:ascii="Arial"/>
                <w:w w:val="99"/>
                <w:sz w:val="20"/>
              </w:rPr>
              <w:t>-</w:t>
            </w:r>
            <w:r>
              <w:rPr>
                <w:rFonts w:ascii="Arial"/>
                <w:sz w:val="20"/>
              </w:rPr>
            </w:r>
          </w:p>
        </w:tc>
      </w:tr>
      <w:tr>
        <w:trPr>
          <w:trHeight w:val="318" w:hRule="exact"/>
        </w:trPr>
        <w:tc>
          <w:tcPr>
            <w:tcW w:w="1657" w:type="dxa"/>
            <w:tcBorders>
              <w:top w:val="nil" w:sz="6" w:space="0" w:color="auto"/>
              <w:left w:val="nil" w:sz="6" w:space="0" w:color="auto"/>
              <w:bottom w:val="nil" w:sz="6" w:space="0" w:color="auto"/>
              <w:right w:val="nil" w:sz="6" w:space="0" w:color="auto"/>
            </w:tcBorders>
          </w:tcPr>
          <w:p>
            <w:pPr>
              <w:pStyle w:val="TableParagraph"/>
              <w:spacing w:line="254" w:lineRule="exact"/>
              <w:ind w:left="200" w:right="0"/>
              <w:jc w:val="left"/>
              <w:rPr>
                <w:rFonts w:ascii="黑体" w:hAnsi="黑体" w:cs="黑体" w:eastAsia="黑体" w:hint="default"/>
                <w:sz w:val="20"/>
                <w:szCs w:val="20"/>
              </w:rPr>
            </w:pPr>
            <w:r>
              <w:rPr>
                <w:rFonts w:ascii="黑体" w:hAnsi="黑体" w:cs="黑体" w:eastAsia="黑体" w:hint="default"/>
                <w:sz w:val="20"/>
                <w:szCs w:val="20"/>
              </w:rPr>
              <w:t>行权</w:t>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46"/>
              <w:jc w:val="right"/>
              <w:rPr>
                <w:rFonts w:ascii="Arial" w:hAnsi="Arial" w:cs="Arial" w:eastAsia="Arial" w:hint="default"/>
                <w:sz w:val="20"/>
                <w:szCs w:val="20"/>
              </w:rPr>
            </w:pPr>
            <w:r>
              <w:rPr>
                <w:rFonts w:ascii="Arial"/>
                <w:w w:val="99"/>
                <w:sz w:val="20"/>
              </w:rPr>
              <w:t>-</w:t>
            </w:r>
            <w:r>
              <w:rPr>
                <w:rFonts w:ascii="Arial"/>
                <w:sz w:val="20"/>
              </w:rPr>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1"/>
              <w:jc w:val="right"/>
              <w:rPr>
                <w:rFonts w:ascii="Arial" w:hAnsi="Arial" w:cs="Arial" w:eastAsia="Arial" w:hint="default"/>
                <w:sz w:val="20"/>
                <w:szCs w:val="20"/>
              </w:rPr>
            </w:pPr>
            <w:r>
              <w:rPr>
                <w:rFonts w:ascii="Arial"/>
                <w:w w:val="99"/>
                <w:sz w:val="20"/>
              </w:rPr>
              <w:t>-</w:t>
            </w:r>
            <w:r>
              <w:rPr>
                <w:rFonts w:ascii="Arial"/>
                <w:sz w:val="20"/>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02"/>
              <w:jc w:val="right"/>
              <w:rPr>
                <w:rFonts w:ascii="Arial" w:hAnsi="Arial" w:cs="Arial" w:eastAsia="Arial" w:hint="default"/>
                <w:sz w:val="20"/>
                <w:szCs w:val="20"/>
              </w:rPr>
            </w:pPr>
            <w:r>
              <w:rPr>
                <w:rFonts w:ascii="Arial"/>
                <w:w w:val="99"/>
                <w:sz w:val="20"/>
              </w:rPr>
              <w:t>-</w:t>
            </w:r>
            <w:r>
              <w:rPr>
                <w:rFonts w:ascii="Arial"/>
                <w:sz w:val="20"/>
              </w:rPr>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00"/>
              <w:jc w:val="right"/>
              <w:rPr>
                <w:rFonts w:ascii="Arial" w:hAnsi="Arial" w:cs="Arial" w:eastAsia="Arial" w:hint="default"/>
                <w:sz w:val="20"/>
                <w:szCs w:val="20"/>
              </w:rPr>
            </w:pPr>
            <w:r>
              <w:rPr>
                <w:rFonts w:ascii="Arial"/>
                <w:w w:val="99"/>
                <w:sz w:val="20"/>
              </w:rPr>
              <w:t>-</w:t>
            </w:r>
            <w:r>
              <w:rPr>
                <w:rFonts w:ascii="Arial"/>
                <w:sz w:val="20"/>
              </w:rPr>
            </w:r>
          </w:p>
        </w:tc>
      </w:tr>
      <w:tr>
        <w:trPr>
          <w:trHeight w:val="478" w:hRule="exact"/>
        </w:trPr>
        <w:tc>
          <w:tcPr>
            <w:tcW w:w="1657" w:type="dxa"/>
            <w:tcBorders>
              <w:top w:val="nil" w:sz="6" w:space="0" w:color="auto"/>
              <w:left w:val="nil" w:sz="6" w:space="0" w:color="auto"/>
              <w:bottom w:val="nil" w:sz="6" w:space="0" w:color="auto"/>
              <w:right w:val="nil" w:sz="6" w:space="0" w:color="auto"/>
            </w:tcBorders>
          </w:tcPr>
          <w:p>
            <w:pPr>
              <w:pStyle w:val="TableParagraph"/>
              <w:spacing w:line="253" w:lineRule="exact"/>
              <w:ind w:left="200" w:right="0"/>
              <w:jc w:val="left"/>
              <w:rPr>
                <w:rFonts w:ascii="黑体" w:hAnsi="黑体" w:cs="黑体" w:eastAsia="黑体" w:hint="default"/>
                <w:sz w:val="20"/>
                <w:szCs w:val="20"/>
              </w:rPr>
            </w:pPr>
            <w:r>
              <w:rPr>
                <w:rFonts w:ascii="黑体" w:hAnsi="黑体" w:cs="黑体" w:eastAsia="黑体" w:hint="default"/>
                <w:sz w:val="20"/>
                <w:szCs w:val="20"/>
              </w:rPr>
              <w:t>到期</w:t>
            </w:r>
          </w:p>
        </w:tc>
        <w:tc>
          <w:tcPr>
            <w:tcW w:w="1605" w:type="dxa"/>
            <w:tcBorders>
              <w:top w:val="nil" w:sz="6" w:space="0" w:color="auto"/>
              <w:left w:val="nil" w:sz="6" w:space="0" w:color="auto"/>
              <w:bottom w:val="nil" w:sz="6" w:space="0" w:color="auto"/>
              <w:right w:val="nil" w:sz="6" w:space="0" w:color="auto"/>
            </w:tcBorders>
          </w:tcPr>
          <w:p>
            <w:pPr>
              <w:pStyle w:val="TableParagraph"/>
              <w:tabs>
                <w:tab w:pos="1092" w:val="left" w:leader="none"/>
              </w:tabs>
              <w:spacing w:line="240" w:lineRule="auto" w:before="37"/>
              <w:ind w:left="692" w:right="0"/>
              <w:jc w:val="lef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t>-</w:t>
            </w:r>
            <w:r>
              <w:rPr>
                <w:rFonts w:ascii="Arial"/>
                <w:sz w:val="20"/>
              </w:rPr>
            </w:r>
          </w:p>
        </w:tc>
        <w:tc>
          <w:tcPr>
            <w:tcW w:w="1654" w:type="dxa"/>
            <w:tcBorders>
              <w:top w:val="nil" w:sz="6" w:space="0" w:color="auto"/>
              <w:left w:val="nil" w:sz="6" w:space="0" w:color="auto"/>
              <w:bottom w:val="nil" w:sz="6" w:space="0" w:color="auto"/>
              <w:right w:val="nil" w:sz="6" w:space="0" w:color="auto"/>
            </w:tcBorders>
          </w:tcPr>
          <w:p>
            <w:pPr>
              <w:pStyle w:val="TableParagraph"/>
              <w:tabs>
                <w:tab w:pos="902" w:val="left" w:leader="none"/>
              </w:tabs>
              <w:spacing w:line="240" w:lineRule="auto" w:before="37"/>
              <w:ind w:right="10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751" w:type="dxa"/>
            <w:tcBorders>
              <w:top w:val="nil" w:sz="6" w:space="0" w:color="auto"/>
              <w:left w:val="nil" w:sz="6" w:space="0" w:color="auto"/>
              <w:bottom w:val="nil" w:sz="6" w:space="0" w:color="auto"/>
              <w:right w:val="nil" w:sz="6" w:space="0" w:color="auto"/>
            </w:tcBorders>
          </w:tcPr>
          <w:p>
            <w:pPr>
              <w:pStyle w:val="TableParagraph"/>
              <w:tabs>
                <w:tab w:pos="400" w:val="left" w:leader="none"/>
              </w:tabs>
              <w:spacing w:line="240" w:lineRule="auto" w:before="37"/>
              <w:ind w:right="300"/>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600" w:type="dxa"/>
            <w:tcBorders>
              <w:top w:val="nil" w:sz="6" w:space="0" w:color="auto"/>
              <w:left w:val="nil" w:sz="6" w:space="0" w:color="auto"/>
              <w:bottom w:val="nil" w:sz="6" w:space="0" w:color="auto"/>
              <w:right w:val="nil" w:sz="6" w:space="0" w:color="auto"/>
            </w:tcBorders>
          </w:tcPr>
          <w:p>
            <w:pPr>
              <w:pStyle w:val="TableParagraph"/>
              <w:tabs>
                <w:tab w:pos="899" w:val="left" w:leader="none"/>
              </w:tabs>
              <w:spacing w:line="240" w:lineRule="auto" w:before="37"/>
              <w:ind w:right="19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r>
      <w:tr>
        <w:trPr>
          <w:trHeight w:val="424" w:hRule="exact"/>
        </w:trPr>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52"/>
              <w:ind w:left="200" w:right="0"/>
              <w:jc w:val="left"/>
              <w:rPr>
                <w:rFonts w:ascii="黑体" w:hAnsi="黑体" w:cs="黑体" w:eastAsia="黑体" w:hint="default"/>
                <w:sz w:val="20"/>
                <w:szCs w:val="20"/>
              </w:rPr>
            </w:pPr>
            <w:r>
              <w:rPr>
                <w:rFonts w:ascii="黑体" w:hAnsi="黑体" w:cs="黑体" w:eastAsia="黑体" w:hint="default"/>
                <w:sz w:val="20"/>
                <w:szCs w:val="20"/>
              </w:rPr>
              <w:t>年末数</w:t>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left="656" w:right="0"/>
              <w:jc w:val="left"/>
              <w:rPr>
                <w:rFonts w:ascii="Arial" w:hAnsi="Arial" w:cs="Arial" w:eastAsia="Arial" w:hint="default"/>
                <w:sz w:val="20"/>
                <w:szCs w:val="20"/>
              </w:rPr>
            </w:pPr>
            <w:r>
              <w:rPr>
                <w:rFonts w:ascii="Arial"/>
                <w:w w:val="99"/>
                <w:sz w:val="20"/>
              </w:rPr>
            </w:r>
            <w:r>
              <w:rPr>
                <w:rFonts w:ascii="Arial"/>
                <w:sz w:val="20"/>
                <w:u w:val="thick" w:color="000000"/>
              </w:rPr>
              <w:t>20.45</w:t>
            </w:r>
            <w:r>
              <w:rPr>
                <w:rFonts w:ascii="Arial"/>
                <w:sz w:val="20"/>
              </w:rPr>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113"/>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pacing w:val="-11"/>
                <w:sz w:val="20"/>
                <w:u w:val="thick" w:color="000000"/>
              </w:rPr>
              <w:t> </w:t>
            </w:r>
            <w:r>
              <w:rPr>
                <w:rFonts w:ascii="Arial"/>
                <w:spacing w:val="-1"/>
                <w:w w:val="95"/>
                <w:sz w:val="20"/>
                <w:u w:val="thick" w:color="000000"/>
              </w:rPr>
              <w:t>6,586,078</w:t>
            </w:r>
            <w:r>
              <w:rPr>
                <w:rFonts w:ascii="Arial"/>
                <w:spacing w:val="-1"/>
                <w:w w:val="95"/>
                <w:sz w:val="20"/>
              </w:rPr>
            </w:r>
            <w:r>
              <w:rPr>
                <w:rFonts w:ascii="Arial"/>
                <w:sz w:val="20"/>
              </w:rPr>
            </w:r>
          </w:p>
        </w:tc>
        <w:tc>
          <w:tcPr>
            <w:tcW w:w="175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303"/>
              <w:jc w:val="right"/>
              <w:rPr>
                <w:rFonts w:ascii="Arial" w:hAnsi="Arial" w:cs="Arial" w:eastAsia="Arial" w:hint="default"/>
                <w:sz w:val="20"/>
                <w:szCs w:val="20"/>
              </w:rPr>
            </w:pPr>
            <w:r>
              <w:rPr>
                <w:rFonts w:ascii="Arial"/>
                <w:w w:val="99"/>
                <w:sz w:val="20"/>
              </w:rPr>
            </w:r>
            <w:r>
              <w:rPr>
                <w:rFonts w:ascii="Arial"/>
                <w:spacing w:val="-1"/>
                <w:sz w:val="20"/>
                <w:u w:val="thick" w:color="000000"/>
              </w:rPr>
              <w:t>25.16</w:t>
            </w:r>
            <w:r>
              <w:rPr>
                <w:rFonts w:ascii="Arial"/>
                <w:spacing w:val="-1"/>
                <w:sz w:val="20"/>
              </w:rPr>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202"/>
              <w:jc w:val="right"/>
              <w:rPr>
                <w:rFonts w:ascii="Arial" w:hAnsi="Arial" w:cs="Arial" w:eastAsia="Arial" w:hint="default"/>
                <w:sz w:val="20"/>
                <w:szCs w:val="20"/>
              </w:rPr>
            </w:pPr>
            <w:r>
              <w:rPr>
                <w:rFonts w:ascii="Arial"/>
                <w:w w:val="99"/>
                <w:sz w:val="20"/>
              </w:rPr>
            </w:r>
            <w:r>
              <w:rPr>
                <w:rFonts w:ascii="Arial"/>
                <w:spacing w:val="-1"/>
                <w:sz w:val="20"/>
                <w:u w:val="thick" w:color="000000"/>
              </w:rPr>
              <w:t>22,035,561</w:t>
            </w:r>
            <w:r>
              <w:rPr>
                <w:rFonts w:ascii="Arial"/>
                <w:spacing w:val="-1"/>
                <w:sz w:val="20"/>
              </w:rPr>
            </w:r>
            <w:r>
              <w:rPr>
                <w:rFonts w:ascii="Arial"/>
                <w:sz w:val="20"/>
              </w:rPr>
            </w:r>
          </w:p>
        </w:tc>
      </w:tr>
    </w:tbl>
    <w:p>
      <w:pPr>
        <w:spacing w:line="240" w:lineRule="auto" w:before="3"/>
        <w:rPr>
          <w:rFonts w:ascii="黑体" w:hAnsi="黑体" w:cs="黑体" w:eastAsia="黑体" w:hint="default"/>
          <w:sz w:val="21"/>
          <w:szCs w:val="21"/>
        </w:rPr>
      </w:pPr>
    </w:p>
    <w:p>
      <w:pPr>
        <w:pStyle w:val="BodyText"/>
        <w:spacing w:line="266" w:lineRule="auto" w:before="61"/>
        <w:ind w:left="809" w:right="0"/>
        <w:jc w:val="left"/>
      </w:pPr>
      <w:r>
        <w:rPr>
          <w:rFonts w:ascii="Arial" w:hAnsi="Arial" w:cs="Arial" w:eastAsia="Arial" w:hint="default"/>
          <w:spacing w:val="2"/>
          <w:w w:val="95"/>
          <w:sz w:val="24"/>
          <w:szCs w:val="24"/>
        </w:rPr>
        <w:t>*</w:t>
      </w:r>
      <w:r>
        <w:rPr>
          <w:rFonts w:ascii="Arial" w:hAnsi="Arial" w:cs="Arial" w:eastAsia="Arial" w:hint="default"/>
          <w:spacing w:val="2"/>
          <w:w w:val="95"/>
        </w:rPr>
        <w:t>2011</w:t>
      </w:r>
      <w:r>
        <w:rPr>
          <w:spacing w:val="2"/>
          <w:w w:val="95"/>
        </w:rPr>
        <w:t>年首次授予的股票期权行权价格为人民币</w:t>
      </w:r>
      <w:r>
        <w:rPr>
          <w:rFonts w:ascii="Arial" w:hAnsi="Arial" w:cs="Arial" w:eastAsia="Arial" w:hint="default"/>
          <w:spacing w:val="2"/>
          <w:w w:val="95"/>
        </w:rPr>
        <w:t>25.16</w:t>
      </w:r>
      <w:r>
        <w:rPr>
          <w:spacing w:val="2"/>
          <w:w w:val="95"/>
        </w:rPr>
        <w:t>元，股份期权数量为</w:t>
      </w:r>
      <w:r>
        <w:rPr>
          <w:rFonts w:ascii="Arial" w:hAnsi="Arial" w:cs="Arial" w:eastAsia="Arial" w:hint="default"/>
          <w:spacing w:val="2"/>
          <w:w w:val="95"/>
        </w:rPr>
        <w:t>22,035,561</w:t>
      </w:r>
      <w:r>
        <w:rPr>
          <w:spacing w:val="2"/>
          <w:w w:val="95"/>
        </w:rPr>
        <w:t>份，</w:t>
      </w:r>
      <w:r>
        <w:rPr>
          <w:spacing w:val="71"/>
          <w:w w:val="95"/>
        </w:rPr>
        <w:t> </w:t>
      </w:r>
      <w:r>
        <w:rPr>
          <w:spacing w:val="71"/>
          <w:w w:val="95"/>
        </w:rPr>
      </w:r>
      <w:r>
        <w:rPr/>
        <w:t>经</w:t>
      </w:r>
      <w:r>
        <w:rPr>
          <w:rFonts w:ascii="Arial" w:hAnsi="Arial" w:cs="Arial" w:eastAsia="Arial" w:hint="default"/>
        </w:rPr>
        <w:t>2010</w:t>
      </w:r>
      <w:r>
        <w:rPr/>
        <w:t>年度现金分红（每</w:t>
      </w:r>
      <w:r>
        <w:rPr>
          <w:rFonts w:ascii="Arial" w:hAnsi="Arial" w:cs="Arial" w:eastAsia="Arial" w:hint="default"/>
        </w:rPr>
        <w:t>10</w:t>
      </w:r>
      <w:r>
        <w:rPr/>
        <w:t>股派发人民币</w:t>
      </w:r>
      <w:r>
        <w:rPr>
          <w:rFonts w:ascii="Arial" w:hAnsi="Arial" w:cs="Arial" w:eastAsia="Arial" w:hint="default"/>
        </w:rPr>
        <w:t>2.2</w:t>
      </w:r>
      <w:r>
        <w:rPr/>
        <w:t>元）、</w:t>
      </w:r>
      <w:r>
        <w:rPr>
          <w:rFonts w:ascii="Arial" w:hAnsi="Arial" w:cs="Arial" w:eastAsia="Arial" w:hint="default"/>
        </w:rPr>
        <w:t>2011</w:t>
      </w:r>
      <w:r>
        <w:rPr/>
        <w:t>年度现金分红（每</w:t>
      </w:r>
      <w:r>
        <w:rPr>
          <w:rFonts w:ascii="Arial" w:hAnsi="Arial" w:cs="Arial" w:eastAsia="Arial" w:hint="default"/>
        </w:rPr>
        <w:t>10</w:t>
      </w:r>
      <w:r>
        <w:rPr/>
        <w:t>股派发人民</w:t>
      </w:r>
      <w:r>
        <w:rPr>
          <w:w w:val="99"/>
        </w:rPr>
        <w:t> </w:t>
      </w:r>
      <w:r>
        <w:rPr>
          <w:spacing w:val="2"/>
        </w:rPr>
        <w:t>币4元）及资本公积转增股本（每</w:t>
      </w:r>
      <w:r>
        <w:rPr>
          <w:rFonts w:ascii="Arial" w:hAnsi="Arial" w:cs="Arial" w:eastAsia="Arial" w:hint="default"/>
          <w:spacing w:val="2"/>
        </w:rPr>
        <w:t>10</w:t>
      </w:r>
      <w:r>
        <w:rPr>
          <w:spacing w:val="2"/>
        </w:rPr>
        <w:t>股转增</w:t>
      </w:r>
      <w:r>
        <w:rPr>
          <w:rFonts w:ascii="Arial" w:hAnsi="Arial" w:cs="Arial" w:eastAsia="Arial" w:hint="default"/>
          <w:spacing w:val="2"/>
        </w:rPr>
        <w:t>2</w:t>
      </w:r>
      <w:r>
        <w:rPr>
          <w:spacing w:val="2"/>
        </w:rPr>
        <w:t>股）后，行权价格调整为人民币</w:t>
      </w:r>
      <w:r>
        <w:rPr>
          <w:rFonts w:ascii="Arial" w:hAnsi="Arial" w:cs="Arial" w:eastAsia="Arial" w:hint="default"/>
          <w:spacing w:val="2"/>
        </w:rPr>
        <w:t>20.45</w:t>
      </w:r>
      <w:r>
        <w:rPr>
          <w:spacing w:val="2"/>
        </w:rPr>
        <w:t>元，股</w:t>
      </w:r>
      <w:r>
        <w:rPr>
          <w:w w:val="99"/>
        </w:rPr>
        <w:t> </w:t>
      </w:r>
      <w:r>
        <w:rPr/>
        <w:t>份期权数量调整为</w:t>
      </w:r>
      <w:r>
        <w:rPr>
          <w:rFonts w:ascii="Arial" w:hAnsi="Arial" w:cs="Arial" w:eastAsia="Arial" w:hint="default"/>
        </w:rPr>
        <w:t>26,442,673</w:t>
      </w:r>
      <w:r>
        <w:rPr/>
        <w:t>份。上述调整尚需经本公司董事会审批。</w:t>
      </w:r>
    </w:p>
    <w:p>
      <w:pPr>
        <w:spacing w:line="240" w:lineRule="auto" w:before="5"/>
        <w:rPr>
          <w:rFonts w:ascii="黑体" w:hAnsi="黑体" w:cs="黑体" w:eastAsia="黑体" w:hint="default"/>
          <w:sz w:val="19"/>
          <w:szCs w:val="19"/>
        </w:rPr>
      </w:pPr>
    </w:p>
    <w:p>
      <w:pPr>
        <w:pStyle w:val="BodyText"/>
        <w:spacing w:line="463" w:lineRule="auto"/>
        <w:ind w:left="819" w:right="1787"/>
        <w:jc w:val="left"/>
      </w:pPr>
      <w:r>
        <w:rPr>
          <w:rFonts w:ascii="Arial" w:hAnsi="Arial" w:cs="Arial" w:eastAsia="Arial" w:hint="default"/>
        </w:rPr>
        <w:t>2012</w:t>
      </w:r>
      <w:r>
        <w:rPr/>
        <w:t>年无期权行权（</w:t>
      </w:r>
      <w:r>
        <w:rPr>
          <w:rFonts w:ascii="Arial" w:hAnsi="Arial" w:cs="Arial" w:eastAsia="Arial" w:hint="default"/>
        </w:rPr>
        <w:t>2011</w:t>
      </w:r>
      <w:r>
        <w:rPr/>
        <w:t>年：无）。</w:t>
      </w:r>
      <w:r>
        <w:rPr>
          <w:w w:val="99"/>
        </w:rPr>
        <w:t> </w:t>
      </w:r>
      <w:r>
        <w:rPr/>
        <w:t>截至资产负债表日，发行在外的股份期权的行权价格和行权有效期如下：</w:t>
      </w:r>
      <w:r>
        <w:rPr>
          <w:w w:val="99"/>
        </w:rPr>
        <w:t> </w:t>
      </w:r>
      <w:r>
        <w:rPr>
          <w:rFonts w:ascii="Arial" w:hAnsi="Arial" w:cs="Arial" w:eastAsia="Arial" w:hint="default"/>
        </w:rPr>
        <w:t>2012</w:t>
      </w:r>
      <w:r>
        <w:rPr/>
        <w:t>年</w:t>
      </w:r>
    </w:p>
    <w:p>
      <w:pPr>
        <w:spacing w:line="240" w:lineRule="auto" w:before="8"/>
        <w:rPr>
          <w:rFonts w:ascii="黑体" w:hAnsi="黑体" w:cs="黑体" w:eastAsia="黑体" w:hint="default"/>
          <w:sz w:val="7"/>
          <w:szCs w:val="7"/>
        </w:rPr>
      </w:pPr>
    </w:p>
    <w:tbl>
      <w:tblPr>
        <w:tblW w:w="0" w:type="auto"/>
        <w:jc w:val="left"/>
        <w:tblInd w:w="1427" w:type="dxa"/>
        <w:tblLayout w:type="fixed"/>
        <w:tblCellMar>
          <w:top w:w="0" w:type="dxa"/>
          <w:left w:w="0" w:type="dxa"/>
          <w:bottom w:w="0" w:type="dxa"/>
          <w:right w:w="0" w:type="dxa"/>
        </w:tblCellMar>
        <w:tblLook w:val="01E0"/>
      </w:tblPr>
      <w:tblGrid>
        <w:gridCol w:w="1581"/>
        <w:gridCol w:w="2032"/>
        <w:gridCol w:w="3730"/>
      </w:tblGrid>
      <w:tr>
        <w:trPr>
          <w:trHeight w:val="264"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199" w:lineRule="exact"/>
              <w:ind w:right="181"/>
              <w:jc w:val="right"/>
              <w:rPr>
                <w:rFonts w:ascii="黑体" w:hAnsi="黑体" w:cs="黑体" w:eastAsia="黑体" w:hint="default"/>
                <w:sz w:val="20"/>
                <w:szCs w:val="20"/>
              </w:rPr>
            </w:pPr>
            <w:r>
              <w:rPr>
                <w:rFonts w:ascii="黑体" w:hAnsi="黑体" w:cs="黑体" w:eastAsia="黑体" w:hint="default"/>
                <w:w w:val="95"/>
                <w:sz w:val="20"/>
                <w:szCs w:val="20"/>
              </w:rPr>
              <w:t>股份期权数量</w:t>
            </w:r>
            <w:r>
              <w:rPr>
                <w:rFonts w:ascii="黑体" w:hAnsi="黑体" w:cs="黑体" w:eastAsia="黑体" w:hint="default"/>
                <w:sz w:val="20"/>
                <w:szCs w:val="20"/>
              </w:rPr>
            </w:r>
          </w:p>
        </w:tc>
        <w:tc>
          <w:tcPr>
            <w:tcW w:w="2032" w:type="dxa"/>
            <w:tcBorders>
              <w:top w:val="nil" w:sz="6" w:space="0" w:color="auto"/>
              <w:left w:val="nil" w:sz="6" w:space="0" w:color="auto"/>
              <w:bottom w:val="nil" w:sz="6" w:space="0" w:color="auto"/>
              <w:right w:val="nil" w:sz="6" w:space="0" w:color="auto"/>
            </w:tcBorders>
          </w:tcPr>
          <w:p>
            <w:pPr>
              <w:pStyle w:val="TableParagraph"/>
              <w:spacing w:line="214" w:lineRule="exact"/>
              <w:ind w:right="794"/>
              <w:jc w:val="right"/>
              <w:rPr>
                <w:rFonts w:ascii="Arial" w:hAnsi="Arial" w:cs="Arial" w:eastAsia="Arial" w:hint="default"/>
                <w:sz w:val="20"/>
                <w:szCs w:val="20"/>
              </w:rPr>
            </w:pPr>
            <w:r>
              <w:rPr>
                <w:rFonts w:ascii="黑体" w:hAnsi="黑体" w:cs="黑体" w:eastAsia="黑体" w:hint="default"/>
                <w:sz w:val="20"/>
                <w:szCs w:val="20"/>
              </w:rPr>
              <w:t>行权价格</w:t>
            </w:r>
            <w:r>
              <w:rPr>
                <w:rFonts w:ascii="黑体" w:hAnsi="黑体" w:cs="黑体" w:eastAsia="黑体" w:hint="default"/>
                <w:spacing w:val="-4"/>
                <w:sz w:val="20"/>
                <w:szCs w:val="20"/>
              </w:rPr>
              <w:t> </w:t>
            </w:r>
            <w:r>
              <w:rPr>
                <w:rFonts w:ascii="Arial" w:hAnsi="Arial" w:cs="Arial" w:eastAsia="Arial" w:hint="default"/>
                <w:sz w:val="20"/>
                <w:szCs w:val="20"/>
              </w:rPr>
              <w:t>*</w:t>
            </w:r>
          </w:p>
        </w:tc>
        <w:tc>
          <w:tcPr>
            <w:tcW w:w="3730" w:type="dxa"/>
            <w:tcBorders>
              <w:top w:val="nil" w:sz="6" w:space="0" w:color="auto"/>
              <w:left w:val="nil" w:sz="6" w:space="0" w:color="auto"/>
              <w:bottom w:val="nil" w:sz="6" w:space="0" w:color="auto"/>
              <w:right w:val="nil" w:sz="6" w:space="0" w:color="auto"/>
            </w:tcBorders>
          </w:tcPr>
          <w:p>
            <w:pPr>
              <w:pStyle w:val="TableParagraph"/>
              <w:spacing w:line="199" w:lineRule="exact"/>
              <w:ind w:right="198"/>
              <w:jc w:val="right"/>
              <w:rPr>
                <w:rFonts w:ascii="黑体" w:hAnsi="黑体" w:cs="黑体" w:eastAsia="黑体" w:hint="default"/>
                <w:sz w:val="20"/>
                <w:szCs w:val="20"/>
              </w:rPr>
            </w:pPr>
            <w:r>
              <w:rPr>
                <w:rFonts w:ascii="黑体" w:hAnsi="黑体" w:cs="黑体" w:eastAsia="黑体" w:hint="default"/>
                <w:w w:val="95"/>
                <w:sz w:val="20"/>
                <w:szCs w:val="20"/>
              </w:rPr>
              <w:t>行权有效期</w:t>
            </w:r>
            <w:r>
              <w:rPr>
                <w:rFonts w:ascii="黑体" w:hAnsi="黑体" w:cs="黑体" w:eastAsia="黑体" w:hint="default"/>
                <w:sz w:val="20"/>
                <w:szCs w:val="20"/>
              </w:rPr>
            </w:r>
          </w:p>
        </w:tc>
      </w:tr>
      <w:tr>
        <w:trPr>
          <w:trHeight w:val="443"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254" w:lineRule="exact"/>
              <w:ind w:right="179"/>
              <w:jc w:val="right"/>
              <w:rPr>
                <w:rFonts w:ascii="黑体" w:hAnsi="黑体" w:cs="黑体" w:eastAsia="黑体" w:hint="default"/>
                <w:sz w:val="20"/>
                <w:szCs w:val="20"/>
              </w:rPr>
            </w:pPr>
            <w:r>
              <w:rPr>
                <w:rFonts w:ascii="黑体" w:hAnsi="黑体" w:cs="黑体" w:eastAsia="黑体" w:hint="default"/>
                <w:w w:val="99"/>
                <w:sz w:val="20"/>
                <w:szCs w:val="20"/>
              </w:rPr>
              <w:t>份</w:t>
            </w:r>
            <w:r>
              <w:rPr>
                <w:rFonts w:ascii="黑体" w:hAnsi="黑体" w:cs="黑体" w:eastAsia="黑体" w:hint="default"/>
                <w:sz w:val="20"/>
                <w:szCs w:val="20"/>
              </w:rPr>
            </w:r>
          </w:p>
        </w:tc>
        <w:tc>
          <w:tcPr>
            <w:tcW w:w="2032" w:type="dxa"/>
            <w:tcBorders>
              <w:top w:val="nil" w:sz="6" w:space="0" w:color="auto"/>
              <w:left w:val="nil" w:sz="6" w:space="0" w:color="auto"/>
              <w:bottom w:val="nil" w:sz="6" w:space="0" w:color="auto"/>
              <w:right w:val="nil" w:sz="6" w:space="0" w:color="auto"/>
            </w:tcBorders>
          </w:tcPr>
          <w:p>
            <w:pPr>
              <w:pStyle w:val="TableParagraph"/>
              <w:spacing w:line="269" w:lineRule="exact"/>
              <w:ind w:right="795"/>
              <w:jc w:val="right"/>
              <w:rPr>
                <w:rFonts w:ascii="黑体" w:hAnsi="黑体" w:cs="黑体" w:eastAsia="黑体" w:hint="default"/>
                <w:sz w:val="20"/>
                <w:szCs w:val="20"/>
              </w:rPr>
            </w:pPr>
            <w:r>
              <w:rPr>
                <w:rFonts w:ascii="黑体" w:hAnsi="黑体" w:cs="黑体" w:eastAsia="黑体" w:hint="default"/>
                <w:w w:val="95"/>
                <w:sz w:val="20"/>
                <w:szCs w:val="20"/>
              </w:rPr>
              <w:t>人民币元</w:t>
            </w:r>
            <w:r>
              <w:rPr>
                <w:rFonts w:ascii="Arial" w:hAnsi="Arial" w:cs="Arial" w:eastAsia="Arial" w:hint="default"/>
                <w:w w:val="95"/>
                <w:sz w:val="20"/>
                <w:szCs w:val="20"/>
              </w:rPr>
              <w:t>/</w:t>
            </w:r>
            <w:r>
              <w:rPr>
                <w:rFonts w:ascii="黑体" w:hAnsi="黑体" w:cs="黑体" w:eastAsia="黑体" w:hint="default"/>
                <w:w w:val="95"/>
                <w:sz w:val="20"/>
                <w:szCs w:val="20"/>
              </w:rPr>
              <w:t>股</w:t>
            </w:r>
            <w:r>
              <w:rPr>
                <w:rFonts w:ascii="黑体" w:hAnsi="黑体" w:cs="黑体" w:eastAsia="黑体" w:hint="default"/>
                <w:sz w:val="20"/>
                <w:szCs w:val="20"/>
              </w:rPr>
            </w:r>
          </w:p>
        </w:tc>
        <w:tc>
          <w:tcPr>
            <w:tcW w:w="3730" w:type="dxa"/>
            <w:tcBorders>
              <w:top w:val="nil" w:sz="6" w:space="0" w:color="auto"/>
              <w:left w:val="nil" w:sz="6" w:space="0" w:color="auto"/>
              <w:bottom w:val="nil" w:sz="6" w:space="0" w:color="auto"/>
              <w:right w:val="nil" w:sz="6" w:space="0" w:color="auto"/>
            </w:tcBorders>
          </w:tcPr>
          <w:p>
            <w:pPr/>
          </w:p>
        </w:tc>
      </w:tr>
      <w:tr>
        <w:trPr>
          <w:trHeight w:val="388" w:hRule="exact"/>
        </w:trPr>
        <w:tc>
          <w:tcPr>
            <w:tcW w:w="1581"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181"/>
              <w:jc w:val="right"/>
              <w:rPr>
                <w:rFonts w:ascii="Arial" w:hAnsi="Arial" w:cs="Arial" w:eastAsia="Arial" w:hint="default"/>
                <w:sz w:val="20"/>
                <w:szCs w:val="20"/>
              </w:rPr>
            </w:pPr>
            <w:r>
              <w:rPr>
                <w:rFonts w:ascii="Arial"/>
                <w:spacing w:val="-1"/>
                <w:sz w:val="20"/>
              </w:rPr>
              <w:t>6,586,078</w:t>
            </w: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794"/>
              <w:jc w:val="right"/>
              <w:rPr>
                <w:rFonts w:ascii="Arial" w:hAnsi="Arial" w:cs="Arial" w:eastAsia="Arial" w:hint="default"/>
                <w:sz w:val="20"/>
                <w:szCs w:val="20"/>
              </w:rPr>
            </w:pPr>
            <w:r>
              <w:rPr>
                <w:rFonts w:ascii="Arial"/>
                <w:spacing w:val="-1"/>
                <w:sz w:val="20"/>
              </w:rPr>
              <w:t>20.45</w:t>
            </w:r>
          </w:p>
        </w:tc>
        <w:tc>
          <w:tcPr>
            <w:tcW w:w="373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98"/>
              <w:jc w:val="right"/>
              <w:rPr>
                <w:rFonts w:ascii="黑体" w:hAnsi="黑体" w:cs="黑体" w:eastAsia="黑体" w:hint="default"/>
                <w:sz w:val="20"/>
                <w:szCs w:val="20"/>
              </w:rPr>
            </w:pPr>
            <w:r>
              <w:rPr>
                <w:rFonts w:ascii="Arial" w:hAnsi="Arial" w:cs="Arial" w:eastAsia="Arial" w:hint="default"/>
                <w:w w:val="95"/>
                <w:sz w:val="20"/>
                <w:szCs w:val="20"/>
              </w:rPr>
              <w:t>2012</w:t>
            </w:r>
            <w:r>
              <w:rPr>
                <w:rFonts w:ascii="黑体" w:hAnsi="黑体" w:cs="黑体" w:eastAsia="黑体" w:hint="default"/>
                <w:w w:val="95"/>
                <w:sz w:val="20"/>
                <w:szCs w:val="20"/>
              </w:rPr>
              <w:t>年</w:t>
            </w:r>
            <w:r>
              <w:rPr>
                <w:rFonts w:ascii="Arial" w:hAnsi="Arial" w:cs="Arial" w:eastAsia="Arial" w:hint="default"/>
                <w:w w:val="95"/>
                <w:sz w:val="20"/>
                <w:szCs w:val="20"/>
              </w:rPr>
              <w:t>5</w:t>
            </w:r>
            <w:r>
              <w:rPr>
                <w:rFonts w:ascii="黑体" w:hAnsi="黑体" w:cs="黑体" w:eastAsia="黑体" w:hint="default"/>
                <w:w w:val="95"/>
                <w:sz w:val="20"/>
                <w:szCs w:val="20"/>
              </w:rPr>
              <w:t>月</w:t>
            </w:r>
            <w:r>
              <w:rPr>
                <w:rFonts w:ascii="Arial" w:hAnsi="Arial" w:cs="Arial" w:eastAsia="Arial" w:hint="default"/>
                <w:w w:val="95"/>
                <w:sz w:val="20"/>
                <w:szCs w:val="20"/>
              </w:rPr>
              <w:t>5</w:t>
            </w:r>
            <w:r>
              <w:rPr>
                <w:rFonts w:ascii="黑体" w:hAnsi="黑体" w:cs="黑体" w:eastAsia="黑体" w:hint="default"/>
                <w:w w:val="95"/>
                <w:sz w:val="20"/>
                <w:szCs w:val="20"/>
              </w:rPr>
              <w:t>日至</w:t>
            </w:r>
            <w:r>
              <w:rPr>
                <w:rFonts w:ascii="Arial" w:hAnsi="Arial" w:cs="Arial" w:eastAsia="Arial" w:hint="default"/>
                <w:w w:val="95"/>
                <w:sz w:val="20"/>
                <w:szCs w:val="20"/>
              </w:rPr>
              <w:t>2013</w:t>
            </w:r>
            <w:r>
              <w:rPr>
                <w:rFonts w:ascii="黑体" w:hAnsi="黑体" w:cs="黑体" w:eastAsia="黑体" w:hint="default"/>
                <w:w w:val="95"/>
                <w:sz w:val="20"/>
                <w:szCs w:val="20"/>
              </w:rPr>
              <w:t>年</w:t>
            </w:r>
            <w:r>
              <w:rPr>
                <w:rFonts w:ascii="Arial" w:hAnsi="Arial" w:cs="Arial" w:eastAsia="Arial" w:hint="default"/>
                <w:w w:val="95"/>
                <w:sz w:val="20"/>
                <w:szCs w:val="20"/>
              </w:rPr>
              <w:t>5</w:t>
            </w:r>
            <w:r>
              <w:rPr>
                <w:rFonts w:ascii="黑体" w:hAnsi="黑体" w:cs="黑体" w:eastAsia="黑体" w:hint="default"/>
                <w:w w:val="95"/>
                <w:sz w:val="20"/>
                <w:szCs w:val="20"/>
              </w:rPr>
              <w:t>月</w:t>
            </w:r>
            <w:r>
              <w:rPr>
                <w:rFonts w:ascii="Arial" w:hAnsi="Arial" w:cs="Arial" w:eastAsia="Arial" w:hint="default"/>
                <w:w w:val="95"/>
                <w:sz w:val="20"/>
                <w:szCs w:val="20"/>
              </w:rPr>
              <w:t>4</w:t>
            </w:r>
            <w:r>
              <w:rPr>
                <w:rFonts w:ascii="黑体" w:hAnsi="黑体" w:cs="黑体" w:eastAsia="黑体" w:hint="default"/>
                <w:w w:val="95"/>
                <w:sz w:val="20"/>
                <w:szCs w:val="20"/>
              </w:rPr>
              <w:t>日</w:t>
            </w:r>
            <w:r>
              <w:rPr>
                <w:rFonts w:ascii="黑体" w:hAnsi="黑体" w:cs="黑体" w:eastAsia="黑体" w:hint="default"/>
                <w:sz w:val="20"/>
                <w:szCs w:val="20"/>
              </w:rPr>
            </w:r>
          </w:p>
        </w:tc>
      </w:tr>
    </w:tbl>
    <w:p>
      <w:pPr>
        <w:spacing w:line="240" w:lineRule="auto" w:before="2"/>
        <w:rPr>
          <w:rFonts w:ascii="黑体" w:hAnsi="黑体" w:cs="黑体" w:eastAsia="黑体" w:hint="default"/>
          <w:sz w:val="19"/>
          <w:szCs w:val="19"/>
        </w:rPr>
      </w:pPr>
    </w:p>
    <w:p>
      <w:pPr>
        <w:pStyle w:val="BodyText"/>
        <w:spacing w:line="240" w:lineRule="auto" w:before="37"/>
        <w:ind w:left="667" w:right="0" w:firstLine="21"/>
        <w:jc w:val="both"/>
      </w:pPr>
      <w:r>
        <w:rPr>
          <w:rFonts w:ascii="Arial" w:hAnsi="Arial" w:cs="Arial" w:eastAsia="Arial" w:hint="default"/>
        </w:rPr>
        <w:t>*</w:t>
      </w:r>
      <w:r>
        <w:rPr>
          <w:rFonts w:ascii="Arial" w:hAnsi="Arial" w:cs="Arial" w:eastAsia="Arial" w:hint="default"/>
          <w:spacing w:val="-5"/>
        </w:rPr>
        <w:t> </w:t>
      </w:r>
      <w:r>
        <w:rPr>
          <w:spacing w:val="-3"/>
        </w:rPr>
        <w:t>股份期权的行权价格可根据配股、派发股票股利，或本公司股本的其他类似变化予以调整。</w:t>
      </w:r>
    </w:p>
    <w:p>
      <w:pPr>
        <w:spacing w:line="240" w:lineRule="auto" w:before="0"/>
        <w:rPr>
          <w:rFonts w:ascii="黑体" w:hAnsi="黑体" w:cs="黑体" w:eastAsia="黑体" w:hint="default"/>
          <w:sz w:val="19"/>
          <w:szCs w:val="19"/>
        </w:rPr>
      </w:pPr>
    </w:p>
    <w:p>
      <w:pPr>
        <w:pStyle w:val="BodyText"/>
        <w:spacing w:line="260" w:lineRule="exact"/>
        <w:ind w:left="667" w:right="415"/>
        <w:jc w:val="both"/>
      </w:pPr>
      <w:r>
        <w:rPr>
          <w:spacing w:val="-1"/>
        </w:rPr>
        <w:t>于</w:t>
      </w:r>
      <w:r>
        <w:rPr>
          <w:rFonts w:ascii="Arial" w:hAnsi="Arial" w:cs="Arial" w:eastAsia="Arial" w:hint="default"/>
          <w:spacing w:val="-1"/>
        </w:rPr>
        <w:t>2012</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日，本公司在本计划下发行在外的股份期权为</w:t>
      </w:r>
      <w:r>
        <w:rPr>
          <w:rFonts w:ascii="Arial" w:hAnsi="Arial" w:cs="Arial" w:eastAsia="Arial" w:hint="default"/>
          <w:spacing w:val="-1"/>
        </w:rPr>
        <w:t>6,586,078</w:t>
      </w:r>
      <w:r>
        <w:rPr>
          <w:spacing w:val="-1"/>
        </w:rPr>
        <w:t>份。根据本公司资</w:t>
      </w:r>
      <w:r>
        <w:rPr>
          <w:w w:val="99"/>
        </w:rPr>
        <w:t> </w:t>
      </w:r>
      <w:r>
        <w:rPr/>
        <w:t>本结构，如果发行在外的股份期权全部行权，将发行</w:t>
      </w:r>
      <w:r>
        <w:rPr>
          <w:rFonts w:ascii="Arial" w:hAnsi="Arial" w:cs="Arial" w:eastAsia="Arial" w:hint="default"/>
        </w:rPr>
        <w:t>6,586,078</w:t>
      </w:r>
      <w:r>
        <w:rPr/>
        <w:t>股额外本公司普通股，增加</w:t>
      </w:r>
      <w:r>
        <w:rPr>
          <w:spacing w:val="-67"/>
        </w:rPr>
        <w:t> </w:t>
      </w:r>
      <w:r>
        <w:rPr/>
        <w:t>本公司股本人民币</w:t>
      </w:r>
      <w:r>
        <w:rPr>
          <w:rFonts w:ascii="Arial" w:hAnsi="Arial" w:cs="Arial" w:eastAsia="Arial" w:hint="default"/>
        </w:rPr>
        <w:t>6,586,078</w:t>
      </w:r>
      <w:r>
        <w:rPr/>
        <w:t>元和股本溢价人民币</w:t>
      </w:r>
      <w:r>
        <w:rPr>
          <w:rFonts w:ascii="Arial" w:hAnsi="Arial" w:cs="Arial" w:eastAsia="Arial" w:hint="default"/>
        </w:rPr>
        <w:t>128,099,217</w:t>
      </w:r>
      <w:r>
        <w:rPr/>
        <w:t>元</w:t>
      </w:r>
      <w:r>
        <w:rPr>
          <w:rFonts w:ascii="Arial" w:hAnsi="Arial" w:cs="Arial" w:eastAsia="Arial" w:hint="default"/>
        </w:rPr>
        <w:t>(</w:t>
      </w:r>
      <w:r>
        <w:rPr/>
        <w:t>扣除发行费用前</w:t>
      </w:r>
      <w:r>
        <w:rPr>
          <w:rFonts w:ascii="Arial" w:hAnsi="Arial" w:cs="Arial" w:eastAsia="Arial" w:hint="default"/>
        </w:rPr>
        <w:t>)</w:t>
      </w:r>
      <w:r>
        <w:rPr/>
        <w:t>。</w:t>
      </w:r>
    </w:p>
    <w:p>
      <w:pPr>
        <w:spacing w:line="240" w:lineRule="auto" w:before="12"/>
        <w:rPr>
          <w:rFonts w:ascii="黑体" w:hAnsi="黑体" w:cs="黑体" w:eastAsia="黑体" w:hint="default"/>
          <w:sz w:val="19"/>
          <w:szCs w:val="19"/>
        </w:rPr>
      </w:pPr>
    </w:p>
    <w:p>
      <w:pPr>
        <w:pStyle w:val="BodyText"/>
        <w:spacing w:line="260" w:lineRule="exact"/>
        <w:ind w:left="667" w:right="415"/>
        <w:jc w:val="both"/>
      </w:pPr>
      <w:r>
        <w:rPr/>
        <w:t>于本财务报表批准日，本公司在本计划下发行在外的股份期权为</w:t>
      </w:r>
      <w:r>
        <w:rPr>
          <w:rFonts w:ascii="Arial" w:hAnsi="Arial" w:cs="Arial" w:eastAsia="Arial" w:hint="default"/>
        </w:rPr>
        <w:t>6,586,078</w:t>
      </w:r>
      <w:r>
        <w:rPr/>
        <w:t>份，约为本公司</w:t>
      </w:r>
      <w:r>
        <w:rPr>
          <w:spacing w:val="-67"/>
        </w:rPr>
        <w:t> </w:t>
      </w:r>
      <w:r>
        <w:rPr>
          <w:spacing w:val="-67"/>
        </w:rPr>
      </w:r>
      <w:r>
        <w:rPr/>
        <w:t>当日发行在外股份的</w:t>
      </w:r>
      <w:r>
        <w:rPr>
          <w:rFonts w:ascii="Arial" w:hAnsi="Arial" w:cs="Arial" w:eastAsia="Arial" w:hint="default"/>
        </w:rPr>
        <w:t>0.7%</w:t>
      </w:r>
      <w:r>
        <w:rPr/>
        <w:t>。</w:t>
      </w:r>
    </w:p>
    <w:p>
      <w:pPr>
        <w:spacing w:after="0" w:line="260" w:lineRule="exact"/>
        <w:jc w:val="both"/>
        <w:sectPr>
          <w:headerReference w:type="default" r:id="rId67"/>
          <w:pgSz w:w="11910" w:h="16840"/>
          <w:pgMar w:header="825" w:footer="473" w:top="2240" w:bottom="660" w:left="1600" w:right="1280"/>
        </w:sectPr>
      </w:pPr>
    </w:p>
    <w:p>
      <w:pPr>
        <w:spacing w:line="240" w:lineRule="auto" w:before="4"/>
        <w:rPr>
          <w:rFonts w:ascii="黑体" w:hAnsi="黑体" w:cs="黑体" w:eastAsia="黑体" w:hint="default"/>
          <w:sz w:val="23"/>
          <w:szCs w:val="23"/>
        </w:rPr>
      </w:pPr>
    </w:p>
    <w:p>
      <w:pPr>
        <w:spacing w:line="20" w:lineRule="exact"/>
        <w:ind w:left="117" w:right="0" w:firstLine="0"/>
        <w:rPr>
          <w:rFonts w:ascii="黑体" w:hAnsi="黑体" w:cs="黑体" w:eastAsia="黑体" w:hint="default"/>
          <w:sz w:val="2"/>
          <w:szCs w:val="2"/>
        </w:rPr>
      </w:pPr>
      <w:r>
        <w:rPr>
          <w:rFonts w:ascii="黑体" w:hAnsi="黑体" w:cs="黑体" w:eastAsia="黑体" w:hint="default"/>
          <w:sz w:val="2"/>
          <w:szCs w:val="2"/>
        </w:rPr>
        <w:pict>
          <v:group style="width:427.5pt;height:.75pt;mso-position-horizontal-relative:char;mso-position-vertical-relative:line" coordorigin="0,0" coordsize="8550,15">
            <v:group style="position:absolute;left:8;top:8;width:8535;height:2" coordorigin="8,8" coordsize="8535,2">
              <v:shape style="position:absolute;left:8;top:8;width:8535;height:2" coordorigin="8,8" coordsize="8535,0" path="m8,8l8543,8e" filled="false" stroked="true" strokeweight=".75pt" strokecolor="#000000">
                <v:path arrowok="t"/>
              </v:shape>
            </v:group>
          </v:group>
        </w:pict>
      </w:r>
      <w:r>
        <w:rPr>
          <w:rFonts w:ascii="黑体" w:hAnsi="黑体" w:cs="黑体" w:eastAsia="黑体" w:hint="default"/>
          <w:sz w:val="2"/>
          <w:szCs w:val="2"/>
        </w:rPr>
      </w:r>
    </w:p>
    <w:p>
      <w:pPr>
        <w:spacing w:line="240" w:lineRule="auto" w:before="7"/>
        <w:rPr>
          <w:rFonts w:ascii="黑体" w:hAnsi="黑体" w:cs="黑体" w:eastAsia="黑体" w:hint="default"/>
          <w:sz w:val="15"/>
          <w:szCs w:val="15"/>
        </w:rPr>
      </w:pPr>
    </w:p>
    <w:p>
      <w:pPr>
        <w:pStyle w:val="Heading6"/>
        <w:tabs>
          <w:tab w:pos="804" w:val="left" w:leader="none"/>
        </w:tabs>
        <w:spacing w:line="240" w:lineRule="auto"/>
        <w:ind w:right="3627"/>
        <w:jc w:val="left"/>
        <w:rPr>
          <w:b w:val="0"/>
          <w:bCs w:val="0"/>
        </w:rPr>
      </w:pPr>
      <w:r>
        <w:rPr>
          <w:w w:val="95"/>
        </w:rPr>
        <w:t>八、</w:t>
        <w:tab/>
      </w:r>
      <w:r>
        <w:rPr/>
        <w:t>或有事项</w:t>
      </w:r>
      <w:r>
        <w:rPr>
          <w:b w:val="0"/>
          <w:bCs w:val="0"/>
        </w:rPr>
      </w:r>
    </w:p>
    <w:p>
      <w:pPr>
        <w:spacing w:line="240" w:lineRule="auto" w:before="10"/>
        <w:rPr>
          <w:rFonts w:ascii="黑体" w:hAnsi="黑体" w:cs="黑体" w:eastAsia="黑体" w:hint="default"/>
          <w:b/>
          <w:bCs/>
          <w:sz w:val="19"/>
          <w:szCs w:val="19"/>
        </w:rPr>
      </w:pPr>
    </w:p>
    <w:p>
      <w:pPr>
        <w:tabs>
          <w:tab w:pos="804" w:val="left" w:leader="none"/>
        </w:tabs>
        <w:spacing w:line="477" w:lineRule="auto" w:before="0"/>
        <w:ind w:left="101" w:right="3503" w:firstLine="700"/>
        <w:jc w:val="left"/>
        <w:rPr>
          <w:rFonts w:ascii="黑体" w:hAnsi="黑体" w:cs="黑体" w:eastAsia="黑体" w:hint="default"/>
          <w:sz w:val="20"/>
          <w:szCs w:val="20"/>
        </w:rPr>
      </w:pPr>
      <w:r>
        <w:rPr>
          <w:rFonts w:ascii="黑体" w:hAnsi="黑体" w:cs="黑体" w:eastAsia="黑体" w:hint="default"/>
          <w:sz w:val="20"/>
          <w:szCs w:val="20"/>
        </w:rPr>
        <w:t>截至资产负债表日，本集团并无应披露的或有事项。</w:t>
      </w:r>
      <w:r>
        <w:rPr>
          <w:rFonts w:ascii="黑体" w:hAnsi="黑体" w:cs="黑体" w:eastAsia="黑体" w:hint="default"/>
          <w:w w:val="99"/>
          <w:sz w:val="20"/>
          <w:szCs w:val="20"/>
        </w:rPr>
        <w:t> </w:t>
      </w:r>
      <w:r>
        <w:rPr>
          <w:rFonts w:ascii="黑体" w:hAnsi="黑体" w:cs="黑体" w:eastAsia="黑体" w:hint="default"/>
          <w:b/>
          <w:bCs/>
          <w:w w:val="95"/>
          <w:sz w:val="20"/>
          <w:szCs w:val="20"/>
        </w:rPr>
        <w:t>九、</w:t>
        <w:tab/>
      </w:r>
      <w:r>
        <w:rPr>
          <w:rFonts w:ascii="黑体" w:hAnsi="黑体" w:cs="黑体" w:eastAsia="黑体" w:hint="default"/>
          <w:b/>
          <w:bCs/>
          <w:sz w:val="20"/>
          <w:szCs w:val="20"/>
        </w:rPr>
        <w:t>承诺事项</w:t>
      </w:r>
      <w:r>
        <w:rPr>
          <w:rFonts w:ascii="黑体" w:hAnsi="黑体" w:cs="黑体" w:eastAsia="黑体" w:hint="default"/>
          <w:sz w:val="20"/>
          <w:szCs w:val="20"/>
        </w:rPr>
      </w:r>
    </w:p>
    <w:p>
      <w:pPr>
        <w:spacing w:line="240" w:lineRule="auto" w:before="3"/>
        <w:rPr>
          <w:rFonts w:ascii="黑体" w:hAnsi="黑体" w:cs="黑体" w:eastAsia="黑体" w:hint="default"/>
          <w:b/>
          <w:bCs/>
          <w:sz w:val="9"/>
          <w:szCs w:val="9"/>
        </w:rPr>
      </w:pPr>
    </w:p>
    <w:tbl>
      <w:tblPr>
        <w:tblW w:w="0" w:type="auto"/>
        <w:jc w:val="left"/>
        <w:tblInd w:w="609" w:type="dxa"/>
        <w:tblLayout w:type="fixed"/>
        <w:tblCellMar>
          <w:top w:w="0" w:type="dxa"/>
          <w:left w:w="0" w:type="dxa"/>
          <w:bottom w:w="0" w:type="dxa"/>
          <w:right w:w="0" w:type="dxa"/>
        </w:tblCellMar>
        <w:tblLook w:val="01E0"/>
      </w:tblPr>
      <w:tblGrid>
        <w:gridCol w:w="3601"/>
        <w:gridCol w:w="2775"/>
        <w:gridCol w:w="1795"/>
      </w:tblGrid>
      <w:tr>
        <w:trPr>
          <w:trHeight w:val="235" w:hRule="exact"/>
        </w:trPr>
        <w:tc>
          <w:tcPr>
            <w:tcW w:w="3601" w:type="dxa"/>
            <w:tcBorders>
              <w:top w:val="nil" w:sz="6" w:space="0" w:color="auto"/>
              <w:left w:val="nil" w:sz="6" w:space="0" w:color="auto"/>
              <w:bottom w:val="nil" w:sz="6" w:space="0" w:color="auto"/>
              <w:right w:val="nil" w:sz="6" w:space="0" w:color="auto"/>
            </w:tcBorders>
          </w:tcPr>
          <w:p>
            <w:pPr/>
          </w:p>
        </w:tc>
        <w:tc>
          <w:tcPr>
            <w:tcW w:w="2775" w:type="dxa"/>
            <w:tcBorders>
              <w:top w:val="nil" w:sz="6" w:space="0" w:color="auto"/>
              <w:left w:val="nil" w:sz="6" w:space="0" w:color="auto"/>
              <w:bottom w:val="nil" w:sz="6" w:space="0" w:color="auto"/>
              <w:right w:val="nil" w:sz="6" w:space="0" w:color="auto"/>
            </w:tcBorders>
          </w:tcPr>
          <w:p>
            <w:pPr>
              <w:pStyle w:val="TableParagraph"/>
              <w:spacing w:line="214" w:lineRule="exact"/>
              <w:ind w:right="104"/>
              <w:jc w:val="right"/>
              <w:rPr>
                <w:rFonts w:ascii="黑体" w:hAnsi="黑体" w:cs="黑体" w:eastAsia="黑体" w:hint="default"/>
                <w:sz w:val="20"/>
                <w:szCs w:val="20"/>
              </w:rPr>
            </w:pPr>
            <w:r>
              <w:rPr>
                <w:rFonts w:ascii="Arial" w:hAnsi="Arial" w:cs="Arial" w:eastAsia="Arial" w:hint="default"/>
                <w:w w:val="95"/>
                <w:sz w:val="20"/>
                <w:szCs w:val="20"/>
              </w:rPr>
              <w:t>2012</w:t>
            </w:r>
            <w:r>
              <w:rPr>
                <w:rFonts w:ascii="黑体" w:hAnsi="黑体" w:cs="黑体" w:eastAsia="黑体" w:hint="default"/>
                <w:w w:val="95"/>
                <w:sz w:val="20"/>
                <w:szCs w:val="20"/>
              </w:rPr>
              <w:t>年</w:t>
            </w:r>
            <w:r>
              <w:rPr>
                <w:rFonts w:ascii="Arial" w:hAnsi="Arial" w:cs="Arial" w:eastAsia="Arial" w:hint="default"/>
                <w:w w:val="95"/>
                <w:sz w:val="20"/>
                <w:szCs w:val="20"/>
              </w:rPr>
              <w:t>12</w:t>
            </w:r>
            <w:r>
              <w:rPr>
                <w:rFonts w:ascii="黑体" w:hAnsi="黑体" w:cs="黑体" w:eastAsia="黑体" w:hint="default"/>
                <w:w w:val="95"/>
                <w:sz w:val="20"/>
                <w:szCs w:val="20"/>
              </w:rPr>
              <w:t>月</w:t>
            </w:r>
            <w:r>
              <w:rPr>
                <w:rFonts w:ascii="Arial" w:hAnsi="Arial" w:cs="Arial" w:eastAsia="Arial" w:hint="default"/>
                <w:w w:val="95"/>
                <w:sz w:val="20"/>
                <w:szCs w:val="20"/>
              </w:rPr>
              <w:t>31</w:t>
            </w:r>
            <w:r>
              <w:rPr>
                <w:rFonts w:ascii="黑体" w:hAnsi="黑体" w:cs="黑体" w:eastAsia="黑体" w:hint="default"/>
                <w:w w:val="95"/>
                <w:sz w:val="20"/>
                <w:szCs w:val="20"/>
              </w:rPr>
              <w:t>日</w:t>
            </w:r>
            <w:r>
              <w:rPr>
                <w:rFonts w:ascii="黑体" w:hAnsi="黑体" w:cs="黑体" w:eastAsia="黑体" w:hint="default"/>
                <w:sz w:val="20"/>
                <w:szCs w:val="20"/>
              </w:rPr>
            </w:r>
          </w:p>
        </w:tc>
        <w:tc>
          <w:tcPr>
            <w:tcW w:w="1795" w:type="dxa"/>
            <w:tcBorders>
              <w:top w:val="nil" w:sz="6" w:space="0" w:color="auto"/>
              <w:left w:val="nil" w:sz="6" w:space="0" w:color="auto"/>
              <w:bottom w:val="nil" w:sz="6" w:space="0" w:color="auto"/>
              <w:right w:val="nil" w:sz="6" w:space="0" w:color="auto"/>
            </w:tcBorders>
          </w:tcPr>
          <w:p>
            <w:pPr>
              <w:pStyle w:val="TableParagraph"/>
              <w:spacing w:line="214" w:lineRule="exact"/>
              <w:ind w:right="198"/>
              <w:jc w:val="right"/>
              <w:rPr>
                <w:rFonts w:ascii="黑体" w:hAnsi="黑体" w:cs="黑体" w:eastAsia="黑体" w:hint="default"/>
                <w:sz w:val="20"/>
                <w:szCs w:val="20"/>
              </w:rPr>
            </w:pPr>
            <w:r>
              <w:rPr>
                <w:rFonts w:ascii="Arial" w:hAnsi="Arial" w:cs="Arial" w:eastAsia="Arial" w:hint="default"/>
                <w:w w:val="95"/>
                <w:sz w:val="20"/>
                <w:szCs w:val="20"/>
              </w:rPr>
              <w:t>2011</w:t>
            </w:r>
            <w:r>
              <w:rPr>
                <w:rFonts w:ascii="黑体" w:hAnsi="黑体" w:cs="黑体" w:eastAsia="黑体" w:hint="default"/>
                <w:w w:val="95"/>
                <w:sz w:val="20"/>
                <w:szCs w:val="20"/>
              </w:rPr>
              <w:t>年</w:t>
            </w:r>
            <w:r>
              <w:rPr>
                <w:rFonts w:ascii="Arial" w:hAnsi="Arial" w:cs="Arial" w:eastAsia="Arial" w:hint="default"/>
                <w:w w:val="95"/>
                <w:sz w:val="20"/>
                <w:szCs w:val="20"/>
              </w:rPr>
              <w:t>12</w:t>
            </w:r>
            <w:r>
              <w:rPr>
                <w:rFonts w:ascii="黑体" w:hAnsi="黑体" w:cs="黑体" w:eastAsia="黑体" w:hint="default"/>
                <w:w w:val="95"/>
                <w:sz w:val="20"/>
                <w:szCs w:val="20"/>
              </w:rPr>
              <w:t>月</w:t>
            </w:r>
            <w:r>
              <w:rPr>
                <w:rFonts w:ascii="Arial" w:hAnsi="Arial" w:cs="Arial" w:eastAsia="Arial" w:hint="default"/>
                <w:w w:val="95"/>
                <w:sz w:val="20"/>
                <w:szCs w:val="20"/>
              </w:rPr>
              <w:t>31</w:t>
            </w:r>
            <w:r>
              <w:rPr>
                <w:rFonts w:ascii="黑体" w:hAnsi="黑体" w:cs="黑体" w:eastAsia="黑体" w:hint="default"/>
                <w:w w:val="95"/>
                <w:sz w:val="20"/>
                <w:szCs w:val="20"/>
              </w:rPr>
              <w:t>日</w:t>
            </w:r>
            <w:r>
              <w:rPr>
                <w:rFonts w:ascii="黑体" w:hAnsi="黑体" w:cs="黑体" w:eastAsia="黑体" w:hint="default"/>
                <w:sz w:val="20"/>
                <w:szCs w:val="20"/>
              </w:rPr>
            </w:r>
          </w:p>
        </w:tc>
      </w:tr>
      <w:tr>
        <w:trPr>
          <w:trHeight w:val="385" w:hRule="exact"/>
        </w:trPr>
        <w:tc>
          <w:tcPr>
            <w:tcW w:w="3601" w:type="dxa"/>
            <w:tcBorders>
              <w:top w:val="nil" w:sz="6" w:space="0" w:color="auto"/>
              <w:left w:val="nil" w:sz="6" w:space="0" w:color="auto"/>
              <w:bottom w:val="nil" w:sz="6" w:space="0" w:color="auto"/>
              <w:right w:val="nil" w:sz="6" w:space="0" w:color="auto"/>
            </w:tcBorders>
          </w:tcPr>
          <w:p>
            <w:pPr>
              <w:pStyle w:val="TableParagraph"/>
              <w:spacing w:line="226" w:lineRule="exact"/>
              <w:ind w:left="209" w:right="0"/>
              <w:jc w:val="left"/>
              <w:rPr>
                <w:rFonts w:ascii="黑体" w:hAnsi="黑体" w:cs="黑体" w:eastAsia="黑体" w:hint="default"/>
                <w:sz w:val="20"/>
                <w:szCs w:val="20"/>
              </w:rPr>
            </w:pPr>
            <w:r>
              <w:rPr>
                <w:rFonts w:ascii="黑体" w:hAnsi="黑体" w:cs="黑体" w:eastAsia="黑体" w:hint="default"/>
                <w:sz w:val="20"/>
                <w:szCs w:val="20"/>
              </w:rPr>
              <w:t>资本承诺</w:t>
            </w:r>
          </w:p>
        </w:tc>
        <w:tc>
          <w:tcPr>
            <w:tcW w:w="2775" w:type="dxa"/>
            <w:tcBorders>
              <w:top w:val="nil" w:sz="6" w:space="0" w:color="auto"/>
              <w:left w:val="nil" w:sz="6" w:space="0" w:color="auto"/>
              <w:bottom w:val="nil" w:sz="6" w:space="0" w:color="auto"/>
              <w:right w:val="nil" w:sz="6" w:space="0" w:color="auto"/>
            </w:tcBorders>
          </w:tcPr>
          <w:p>
            <w:pPr/>
          </w:p>
        </w:tc>
        <w:tc>
          <w:tcPr>
            <w:tcW w:w="1795" w:type="dxa"/>
            <w:tcBorders>
              <w:top w:val="nil" w:sz="6" w:space="0" w:color="auto"/>
              <w:left w:val="nil" w:sz="6" w:space="0" w:color="auto"/>
              <w:bottom w:val="nil" w:sz="6" w:space="0" w:color="auto"/>
              <w:right w:val="nil" w:sz="6" w:space="0" w:color="auto"/>
            </w:tcBorders>
          </w:tcPr>
          <w:p>
            <w:pPr/>
          </w:p>
        </w:tc>
      </w:tr>
      <w:tr>
        <w:trPr>
          <w:trHeight w:val="369" w:hRule="exact"/>
        </w:trPr>
        <w:tc>
          <w:tcPr>
            <w:tcW w:w="360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00" w:right="0"/>
              <w:jc w:val="left"/>
              <w:rPr>
                <w:rFonts w:ascii="Arial" w:hAnsi="Arial" w:cs="Arial" w:eastAsia="Arial" w:hint="default"/>
                <w:sz w:val="20"/>
                <w:szCs w:val="20"/>
              </w:rPr>
            </w:pPr>
            <w:r>
              <w:rPr>
                <w:rFonts w:ascii="黑体" w:hAnsi="黑体" w:cs="黑体" w:eastAsia="黑体" w:hint="default"/>
                <w:sz w:val="20"/>
                <w:szCs w:val="20"/>
              </w:rPr>
              <w:t>已签约但未拨备</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1)</w:t>
            </w:r>
          </w:p>
        </w:tc>
        <w:tc>
          <w:tcPr>
            <w:tcW w:w="2775"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05"/>
              <w:jc w:val="right"/>
              <w:rPr>
                <w:rFonts w:ascii="Arial" w:hAnsi="Arial" w:cs="Arial" w:eastAsia="Arial" w:hint="default"/>
                <w:sz w:val="20"/>
                <w:szCs w:val="20"/>
              </w:rPr>
            </w:pPr>
            <w:r>
              <w:rPr>
                <w:rFonts w:ascii="Arial"/>
                <w:w w:val="99"/>
                <w:sz w:val="20"/>
              </w:rPr>
            </w:r>
            <w:r>
              <w:rPr>
                <w:rFonts w:ascii="Arial"/>
                <w:spacing w:val="-1"/>
                <w:sz w:val="20"/>
                <w:u w:val="thick" w:color="000000"/>
              </w:rPr>
              <w:t>234,572,357</w:t>
            </w:r>
            <w:r>
              <w:rPr>
                <w:rFonts w:ascii="Arial"/>
                <w:spacing w:val="-1"/>
                <w:sz w:val="20"/>
              </w:rPr>
            </w:r>
            <w:r>
              <w:rPr>
                <w:rFonts w:ascii="Arial"/>
                <w:sz w:val="20"/>
              </w:rPr>
            </w:r>
          </w:p>
        </w:tc>
        <w:tc>
          <w:tcPr>
            <w:tcW w:w="1795"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371,867,818</w:t>
            </w:r>
            <w:r>
              <w:rPr>
                <w:rFonts w:ascii="Arial"/>
                <w:spacing w:val="-1"/>
                <w:sz w:val="20"/>
              </w:rPr>
            </w:r>
            <w:r>
              <w:rPr>
                <w:rFonts w:ascii="Arial"/>
                <w:sz w:val="20"/>
              </w:rPr>
            </w:r>
          </w:p>
        </w:tc>
      </w:tr>
    </w:tbl>
    <w:p>
      <w:pPr>
        <w:spacing w:line="240" w:lineRule="auto" w:before="2"/>
        <w:rPr>
          <w:rFonts w:ascii="黑体" w:hAnsi="黑体" w:cs="黑体" w:eastAsia="黑体" w:hint="default"/>
          <w:b/>
          <w:bCs/>
          <w:sz w:val="16"/>
          <w:szCs w:val="16"/>
        </w:rPr>
      </w:pPr>
    </w:p>
    <w:p>
      <w:pPr>
        <w:pStyle w:val="BodyText"/>
        <w:spacing w:line="225" w:lineRule="auto" w:before="51"/>
        <w:ind w:left="1529" w:right="300" w:hanging="720"/>
        <w:jc w:val="both"/>
      </w:pPr>
      <w:r>
        <w:rPr/>
        <w:t>注</w:t>
      </w:r>
      <w:r>
        <w:rPr>
          <w:rFonts w:ascii="Arial" w:hAnsi="Arial" w:cs="Arial" w:eastAsia="Arial" w:hint="default"/>
        </w:rPr>
        <w:t>1</w:t>
      </w:r>
      <w:r>
        <w:rPr/>
        <w:t>．</w:t>
      </w:r>
      <w:r>
        <w:rPr>
          <w:spacing w:val="97"/>
        </w:rPr>
        <w:t> </w:t>
      </w:r>
      <w:r>
        <w:rPr>
          <w:spacing w:val="2"/>
        </w:rPr>
        <w:t>本公司与北京华清地热开发有限公司，中国建筑第五局有限公司、泛华建设集团</w:t>
      </w:r>
      <w:r>
        <w:rPr>
          <w:spacing w:val="2"/>
          <w:w w:val="99"/>
        </w:rPr>
        <w:t> </w:t>
      </w:r>
      <w:r>
        <w:rPr>
          <w:spacing w:val="-1"/>
          <w:w w:val="95"/>
        </w:rPr>
        <w:t>有限公司、铭基电子技术</w:t>
      </w:r>
      <w:r>
        <w:rPr>
          <w:rFonts w:ascii="Arial" w:hAnsi="Arial" w:cs="Arial" w:eastAsia="Arial" w:hint="default"/>
          <w:spacing w:val="-1"/>
          <w:w w:val="95"/>
        </w:rPr>
        <w:t>(</w:t>
      </w:r>
      <w:r>
        <w:rPr>
          <w:spacing w:val="-1"/>
          <w:w w:val="95"/>
        </w:rPr>
        <w:t>北京</w:t>
      </w:r>
      <w:r>
        <w:rPr>
          <w:rFonts w:ascii="Arial" w:hAnsi="Arial" w:cs="Arial" w:eastAsia="Arial" w:hint="default"/>
          <w:spacing w:val="-1"/>
          <w:w w:val="95"/>
        </w:rPr>
        <w:t>)</w:t>
      </w:r>
      <w:r>
        <w:rPr>
          <w:spacing w:val="-1"/>
          <w:w w:val="95"/>
        </w:rPr>
        <w:t>有限公司等签订的用友软件园工程施工、工程设计</w:t>
      </w:r>
      <w:r>
        <w:rPr>
          <w:w w:val="99"/>
        </w:rPr>
        <w:t> </w:t>
      </w:r>
      <w:r>
        <w:rPr>
          <w:spacing w:val="-3"/>
        </w:rPr>
        <w:t>等软件园建设合同，总金额为人民币</w:t>
      </w:r>
      <w:r>
        <w:rPr>
          <w:rFonts w:ascii="Arial" w:hAnsi="Arial" w:cs="Arial" w:eastAsia="Arial" w:hint="default"/>
          <w:spacing w:val="-3"/>
        </w:rPr>
        <w:t>1,507,372,163</w:t>
      </w:r>
      <w:r>
        <w:rPr>
          <w:spacing w:val="-3"/>
        </w:rPr>
        <w:t>元。截至</w:t>
      </w:r>
      <w:r>
        <w:rPr>
          <w:rFonts w:ascii="Arial" w:hAnsi="Arial" w:cs="Arial" w:eastAsia="Arial" w:hint="default"/>
          <w:spacing w:val="-3"/>
        </w:rPr>
        <w:t>2012</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r>
        <w:rPr>
          <w:spacing w:val="-3"/>
        </w:rPr>
        <w:t>日，本</w:t>
      </w:r>
      <w:r>
        <w:rPr>
          <w:spacing w:val="-32"/>
          <w:w w:val="99"/>
        </w:rPr>
        <w:t> </w:t>
      </w:r>
      <w:r>
        <w:rPr>
          <w:spacing w:val="-2"/>
        </w:rPr>
        <w:t>公司已支付人民币</w:t>
      </w:r>
      <w:r>
        <w:rPr>
          <w:rFonts w:ascii="Arial" w:hAnsi="Arial" w:cs="Arial" w:eastAsia="Arial" w:hint="default"/>
          <w:spacing w:val="-2"/>
        </w:rPr>
        <w:t>1,272,799,806</w:t>
      </w:r>
      <w:r>
        <w:rPr>
          <w:spacing w:val="-2"/>
        </w:rPr>
        <w:t>元，因此</w:t>
      </w:r>
      <w:r>
        <w:rPr>
          <w:rFonts w:ascii="Arial" w:hAnsi="Arial" w:cs="Arial" w:eastAsia="Arial" w:hint="default"/>
          <w:spacing w:val="-2"/>
        </w:rPr>
        <w:t>,</w:t>
      </w:r>
      <w:r>
        <w:rPr>
          <w:spacing w:val="-2"/>
        </w:rPr>
        <w:t>就上述用友软件园的工程开发建设方面</w:t>
      </w:r>
      <w:r>
        <w:rPr>
          <w:w w:val="99"/>
        </w:rPr>
        <w:t> </w:t>
      </w:r>
      <w:r>
        <w:rPr/>
        <w:t>的资本承诺为人民币</w:t>
      </w:r>
      <w:r>
        <w:rPr>
          <w:rFonts w:ascii="Arial" w:hAnsi="Arial" w:cs="Arial" w:eastAsia="Arial" w:hint="default"/>
        </w:rPr>
        <w:t>234,572,357</w:t>
      </w:r>
      <w:r>
        <w:rPr/>
        <w:t>元。</w:t>
      </w:r>
    </w:p>
    <w:p>
      <w:pPr>
        <w:spacing w:line="240" w:lineRule="auto" w:before="12"/>
        <w:rPr>
          <w:rFonts w:ascii="黑体" w:hAnsi="黑体" w:cs="黑体" w:eastAsia="黑体" w:hint="default"/>
          <w:sz w:val="18"/>
          <w:szCs w:val="18"/>
        </w:rPr>
      </w:pPr>
    </w:p>
    <w:p>
      <w:pPr>
        <w:pStyle w:val="BodyText"/>
        <w:spacing w:line="477" w:lineRule="auto"/>
        <w:ind w:right="2272"/>
        <w:jc w:val="left"/>
      </w:pPr>
      <w:r>
        <w:rPr/>
        <w:t>租赁承诺</w:t>
      </w:r>
      <w:r>
        <w:rPr>
          <w:w w:val="99"/>
        </w:rPr>
        <w:t> </w:t>
      </w:r>
      <w:r>
        <w:rPr/>
        <w:t>本集团于下列期间有如下最少不可撤销之楼房租赁租金支出承诺：</w:t>
      </w:r>
    </w:p>
    <w:p>
      <w:pPr>
        <w:spacing w:line="240" w:lineRule="auto" w:before="6"/>
        <w:rPr>
          <w:rFonts w:ascii="黑体" w:hAnsi="黑体" w:cs="黑体" w:eastAsia="黑体" w:hint="default"/>
          <w:sz w:val="9"/>
          <w:szCs w:val="9"/>
        </w:rPr>
      </w:pPr>
    </w:p>
    <w:tbl>
      <w:tblPr>
        <w:tblW w:w="0" w:type="auto"/>
        <w:jc w:val="left"/>
        <w:tblInd w:w="604" w:type="dxa"/>
        <w:tblLayout w:type="fixed"/>
        <w:tblCellMar>
          <w:top w:w="0" w:type="dxa"/>
          <w:left w:w="0" w:type="dxa"/>
          <w:bottom w:w="0" w:type="dxa"/>
          <w:right w:w="0" w:type="dxa"/>
        </w:tblCellMar>
        <w:tblLook w:val="01E0"/>
      </w:tblPr>
      <w:tblGrid>
        <w:gridCol w:w="3232"/>
        <w:gridCol w:w="3155"/>
        <w:gridCol w:w="1810"/>
      </w:tblGrid>
      <w:tr>
        <w:trPr>
          <w:trHeight w:val="364" w:hRule="exact"/>
        </w:trPr>
        <w:tc>
          <w:tcPr>
            <w:tcW w:w="3232" w:type="dxa"/>
            <w:tcBorders>
              <w:top w:val="nil" w:sz="6" w:space="0" w:color="auto"/>
              <w:left w:val="nil" w:sz="6" w:space="0" w:color="auto"/>
              <w:bottom w:val="nil" w:sz="6" w:space="0" w:color="auto"/>
              <w:right w:val="nil" w:sz="6" w:space="0" w:color="auto"/>
            </w:tcBorders>
          </w:tcPr>
          <w:p>
            <w:pPr/>
          </w:p>
        </w:tc>
        <w:tc>
          <w:tcPr>
            <w:tcW w:w="3155" w:type="dxa"/>
            <w:tcBorders>
              <w:top w:val="nil" w:sz="6" w:space="0" w:color="auto"/>
              <w:left w:val="nil" w:sz="6" w:space="0" w:color="auto"/>
              <w:bottom w:val="nil" w:sz="6" w:space="0" w:color="auto"/>
              <w:right w:val="nil" w:sz="6" w:space="0" w:color="auto"/>
            </w:tcBorders>
          </w:tcPr>
          <w:p>
            <w:pPr>
              <w:pStyle w:val="TableParagraph"/>
              <w:spacing w:line="214" w:lineRule="exact"/>
              <w:ind w:right="122"/>
              <w:jc w:val="right"/>
              <w:rPr>
                <w:rFonts w:ascii="黑体" w:hAnsi="黑体" w:cs="黑体" w:eastAsia="黑体" w:hint="default"/>
                <w:sz w:val="20"/>
                <w:szCs w:val="20"/>
              </w:rPr>
            </w:pPr>
            <w:r>
              <w:rPr>
                <w:rFonts w:ascii="Arial" w:hAnsi="Arial" w:cs="Arial" w:eastAsia="Arial" w:hint="default"/>
                <w:w w:val="95"/>
                <w:sz w:val="20"/>
                <w:szCs w:val="20"/>
              </w:rPr>
              <w:t>2012</w:t>
            </w:r>
            <w:r>
              <w:rPr>
                <w:rFonts w:ascii="黑体" w:hAnsi="黑体" w:cs="黑体" w:eastAsia="黑体" w:hint="default"/>
                <w:w w:val="95"/>
                <w:sz w:val="20"/>
                <w:szCs w:val="20"/>
              </w:rPr>
              <w:t>年</w:t>
            </w:r>
            <w:r>
              <w:rPr>
                <w:rFonts w:ascii="Arial" w:hAnsi="Arial" w:cs="Arial" w:eastAsia="Arial" w:hint="default"/>
                <w:w w:val="95"/>
                <w:sz w:val="20"/>
                <w:szCs w:val="20"/>
              </w:rPr>
              <w:t>12</w:t>
            </w:r>
            <w:r>
              <w:rPr>
                <w:rFonts w:ascii="黑体" w:hAnsi="黑体" w:cs="黑体" w:eastAsia="黑体" w:hint="default"/>
                <w:w w:val="95"/>
                <w:sz w:val="20"/>
                <w:szCs w:val="20"/>
              </w:rPr>
              <w:t>月</w:t>
            </w:r>
            <w:r>
              <w:rPr>
                <w:rFonts w:ascii="Arial" w:hAnsi="Arial" w:cs="Arial" w:eastAsia="Arial" w:hint="default"/>
                <w:w w:val="95"/>
                <w:sz w:val="20"/>
                <w:szCs w:val="20"/>
              </w:rPr>
              <w:t>31</w:t>
            </w:r>
            <w:r>
              <w:rPr>
                <w:rFonts w:ascii="黑体" w:hAnsi="黑体" w:cs="黑体" w:eastAsia="黑体" w:hint="default"/>
                <w:w w:val="95"/>
                <w:sz w:val="20"/>
                <w:szCs w:val="20"/>
              </w:rPr>
              <w:t>日</w:t>
            </w:r>
            <w:r>
              <w:rPr>
                <w:rFonts w:ascii="黑体" w:hAnsi="黑体" w:cs="黑体" w:eastAsia="黑体" w:hint="default"/>
                <w:sz w:val="20"/>
                <w:szCs w:val="20"/>
              </w:rPr>
            </w:r>
          </w:p>
        </w:tc>
        <w:tc>
          <w:tcPr>
            <w:tcW w:w="1810" w:type="dxa"/>
            <w:tcBorders>
              <w:top w:val="nil" w:sz="6" w:space="0" w:color="auto"/>
              <w:left w:val="nil" w:sz="6" w:space="0" w:color="auto"/>
              <w:bottom w:val="nil" w:sz="6" w:space="0" w:color="auto"/>
              <w:right w:val="nil" w:sz="6" w:space="0" w:color="auto"/>
            </w:tcBorders>
          </w:tcPr>
          <w:p>
            <w:pPr>
              <w:pStyle w:val="TableParagraph"/>
              <w:spacing w:line="214" w:lineRule="exact"/>
              <w:ind w:right="198"/>
              <w:jc w:val="right"/>
              <w:rPr>
                <w:rFonts w:ascii="黑体" w:hAnsi="黑体" w:cs="黑体" w:eastAsia="黑体" w:hint="default"/>
                <w:sz w:val="20"/>
                <w:szCs w:val="20"/>
              </w:rPr>
            </w:pPr>
            <w:r>
              <w:rPr>
                <w:rFonts w:ascii="Arial" w:hAnsi="Arial" w:cs="Arial" w:eastAsia="Arial" w:hint="default"/>
                <w:w w:val="95"/>
                <w:sz w:val="20"/>
                <w:szCs w:val="20"/>
              </w:rPr>
              <w:t>2011</w:t>
            </w:r>
            <w:r>
              <w:rPr>
                <w:rFonts w:ascii="黑体" w:hAnsi="黑体" w:cs="黑体" w:eastAsia="黑体" w:hint="default"/>
                <w:w w:val="95"/>
                <w:sz w:val="20"/>
                <w:szCs w:val="20"/>
              </w:rPr>
              <w:t>年</w:t>
            </w:r>
            <w:r>
              <w:rPr>
                <w:rFonts w:ascii="Arial" w:hAnsi="Arial" w:cs="Arial" w:eastAsia="Arial" w:hint="default"/>
                <w:w w:val="95"/>
                <w:sz w:val="20"/>
                <w:szCs w:val="20"/>
              </w:rPr>
              <w:t>12</w:t>
            </w:r>
            <w:r>
              <w:rPr>
                <w:rFonts w:ascii="黑体" w:hAnsi="黑体" w:cs="黑体" w:eastAsia="黑体" w:hint="default"/>
                <w:w w:val="95"/>
                <w:sz w:val="20"/>
                <w:szCs w:val="20"/>
              </w:rPr>
              <w:t>月</w:t>
            </w:r>
            <w:r>
              <w:rPr>
                <w:rFonts w:ascii="Arial" w:hAnsi="Arial" w:cs="Arial" w:eastAsia="Arial" w:hint="default"/>
                <w:w w:val="95"/>
                <w:sz w:val="20"/>
                <w:szCs w:val="20"/>
              </w:rPr>
              <w:t>31</w:t>
            </w:r>
            <w:r>
              <w:rPr>
                <w:rFonts w:ascii="黑体" w:hAnsi="黑体" w:cs="黑体" w:eastAsia="黑体" w:hint="default"/>
                <w:w w:val="95"/>
                <w:sz w:val="20"/>
                <w:szCs w:val="20"/>
              </w:rPr>
              <w:t>日</w:t>
            </w:r>
            <w:r>
              <w:rPr>
                <w:rFonts w:ascii="黑体" w:hAnsi="黑体" w:cs="黑体" w:eastAsia="黑体" w:hint="default"/>
                <w:sz w:val="20"/>
                <w:szCs w:val="20"/>
              </w:rPr>
            </w:r>
          </w:p>
        </w:tc>
      </w:tr>
      <w:tr>
        <w:trPr>
          <w:trHeight w:val="390" w:hRule="exact"/>
        </w:trPr>
        <w:tc>
          <w:tcPr>
            <w:tcW w:w="3232"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00" w:right="0"/>
              <w:jc w:val="left"/>
              <w:rPr>
                <w:rFonts w:ascii="黑体" w:hAnsi="黑体" w:cs="黑体" w:eastAsia="黑体" w:hint="default"/>
                <w:sz w:val="20"/>
                <w:szCs w:val="20"/>
              </w:rPr>
            </w:pPr>
            <w:r>
              <w:rPr>
                <w:rFonts w:ascii="黑体" w:hAnsi="黑体" w:cs="黑体" w:eastAsia="黑体" w:hint="default"/>
                <w:sz w:val="20"/>
                <w:szCs w:val="20"/>
              </w:rPr>
              <w:t>一年内</w:t>
            </w:r>
          </w:p>
        </w:tc>
        <w:tc>
          <w:tcPr>
            <w:tcW w:w="3155"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23"/>
              <w:jc w:val="right"/>
              <w:rPr>
                <w:rFonts w:ascii="Arial" w:hAnsi="Arial" w:cs="Arial" w:eastAsia="Arial" w:hint="default"/>
                <w:sz w:val="20"/>
                <w:szCs w:val="20"/>
              </w:rPr>
            </w:pPr>
            <w:r>
              <w:rPr>
                <w:rFonts w:ascii="Arial"/>
                <w:spacing w:val="-1"/>
                <w:w w:val="95"/>
                <w:sz w:val="20"/>
              </w:rPr>
              <w:t>38,136,550</w:t>
            </w:r>
            <w:r>
              <w:rPr>
                <w:rFonts w:ascii="Arial"/>
                <w:sz w:val="20"/>
              </w:rPr>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98"/>
              <w:jc w:val="right"/>
              <w:rPr>
                <w:rFonts w:ascii="Arial" w:hAnsi="Arial" w:cs="Arial" w:eastAsia="Arial" w:hint="default"/>
                <w:sz w:val="20"/>
                <w:szCs w:val="20"/>
              </w:rPr>
            </w:pPr>
            <w:r>
              <w:rPr>
                <w:rFonts w:ascii="Arial"/>
                <w:spacing w:val="-1"/>
                <w:sz w:val="20"/>
              </w:rPr>
              <w:t>44,842,227</w:t>
            </w:r>
            <w:r>
              <w:rPr>
                <w:rFonts w:ascii="Arial"/>
                <w:sz w:val="20"/>
              </w:rPr>
            </w:r>
          </w:p>
        </w:tc>
      </w:tr>
      <w:tr>
        <w:trPr>
          <w:trHeight w:val="260" w:hRule="exact"/>
        </w:trPr>
        <w:tc>
          <w:tcPr>
            <w:tcW w:w="3232"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一至二年内</w:t>
            </w:r>
          </w:p>
        </w:tc>
        <w:tc>
          <w:tcPr>
            <w:tcW w:w="315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20"/>
              <w:jc w:val="right"/>
              <w:rPr>
                <w:rFonts w:ascii="Arial" w:hAnsi="Arial" w:cs="Arial" w:eastAsia="Arial" w:hint="default"/>
                <w:sz w:val="20"/>
                <w:szCs w:val="20"/>
              </w:rPr>
            </w:pPr>
            <w:r>
              <w:rPr>
                <w:rFonts w:ascii="Arial"/>
                <w:spacing w:val="-1"/>
                <w:w w:val="95"/>
                <w:sz w:val="20"/>
              </w:rPr>
              <w:t>21,796,164</w:t>
            </w:r>
            <w:r>
              <w:rPr>
                <w:rFonts w:ascii="Arial"/>
                <w:spacing w:val="-1"/>
                <w:sz w:val="20"/>
              </w:rPr>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8"/>
              <w:jc w:val="right"/>
              <w:rPr>
                <w:rFonts w:ascii="Arial" w:hAnsi="Arial" w:cs="Arial" w:eastAsia="Arial" w:hint="default"/>
                <w:sz w:val="20"/>
                <w:szCs w:val="20"/>
              </w:rPr>
            </w:pPr>
            <w:r>
              <w:rPr>
                <w:rFonts w:ascii="Arial"/>
                <w:spacing w:val="-1"/>
                <w:sz w:val="20"/>
              </w:rPr>
              <w:t>34,153,140</w:t>
            </w:r>
            <w:r>
              <w:rPr>
                <w:rFonts w:ascii="Arial"/>
                <w:sz w:val="20"/>
              </w:rPr>
            </w:r>
          </w:p>
        </w:tc>
      </w:tr>
      <w:tr>
        <w:trPr>
          <w:trHeight w:val="259" w:hRule="exact"/>
        </w:trPr>
        <w:tc>
          <w:tcPr>
            <w:tcW w:w="3232" w:type="dxa"/>
            <w:tcBorders>
              <w:top w:val="nil" w:sz="6" w:space="0" w:color="auto"/>
              <w:left w:val="nil" w:sz="6" w:space="0" w:color="auto"/>
              <w:bottom w:val="nil" w:sz="6" w:space="0" w:color="auto"/>
              <w:right w:val="nil" w:sz="6" w:space="0" w:color="auto"/>
            </w:tcBorders>
          </w:tcPr>
          <w:p>
            <w:pPr>
              <w:pStyle w:val="TableParagraph"/>
              <w:spacing w:line="224" w:lineRule="exact"/>
              <w:ind w:left="200" w:right="0"/>
              <w:jc w:val="left"/>
              <w:rPr>
                <w:rFonts w:ascii="黑体" w:hAnsi="黑体" w:cs="黑体" w:eastAsia="黑体" w:hint="default"/>
                <w:sz w:val="20"/>
                <w:szCs w:val="20"/>
              </w:rPr>
            </w:pPr>
            <w:r>
              <w:rPr>
                <w:rFonts w:ascii="黑体" w:hAnsi="黑体" w:cs="黑体" w:eastAsia="黑体" w:hint="default"/>
                <w:sz w:val="20"/>
                <w:szCs w:val="20"/>
              </w:rPr>
              <w:t>二至三年内</w:t>
            </w:r>
          </w:p>
        </w:tc>
        <w:tc>
          <w:tcPr>
            <w:tcW w:w="315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0"/>
              <w:jc w:val="right"/>
              <w:rPr>
                <w:rFonts w:ascii="Arial" w:hAnsi="Arial" w:cs="Arial" w:eastAsia="Arial" w:hint="default"/>
                <w:sz w:val="20"/>
                <w:szCs w:val="20"/>
              </w:rPr>
            </w:pPr>
            <w:r>
              <w:rPr>
                <w:rFonts w:ascii="Arial"/>
                <w:spacing w:val="-1"/>
                <w:w w:val="95"/>
                <w:sz w:val="20"/>
              </w:rPr>
              <w:t>12,934,285</w:t>
            </w:r>
            <w:r>
              <w:rPr>
                <w:rFonts w:ascii="Arial"/>
                <w:spacing w:val="-1"/>
                <w:sz w:val="20"/>
              </w:rPr>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8"/>
              <w:jc w:val="right"/>
              <w:rPr>
                <w:rFonts w:ascii="Arial" w:hAnsi="Arial" w:cs="Arial" w:eastAsia="Arial" w:hint="default"/>
                <w:sz w:val="20"/>
                <w:szCs w:val="20"/>
              </w:rPr>
            </w:pPr>
            <w:r>
              <w:rPr>
                <w:rFonts w:ascii="Arial"/>
                <w:spacing w:val="-1"/>
                <w:sz w:val="20"/>
              </w:rPr>
              <w:t>20,379,957</w:t>
            </w:r>
            <w:r>
              <w:rPr>
                <w:rFonts w:ascii="Arial"/>
                <w:sz w:val="20"/>
              </w:rPr>
            </w:r>
          </w:p>
        </w:tc>
      </w:tr>
      <w:tr>
        <w:trPr>
          <w:trHeight w:val="395" w:hRule="exact"/>
        </w:trPr>
        <w:tc>
          <w:tcPr>
            <w:tcW w:w="3232" w:type="dxa"/>
            <w:tcBorders>
              <w:top w:val="nil" w:sz="6" w:space="0" w:color="auto"/>
              <w:left w:val="nil" w:sz="6" w:space="0" w:color="auto"/>
              <w:bottom w:val="nil" w:sz="6" w:space="0" w:color="auto"/>
              <w:right w:val="nil" w:sz="6" w:space="0" w:color="auto"/>
            </w:tcBorders>
          </w:tcPr>
          <w:p>
            <w:pPr>
              <w:pStyle w:val="TableParagraph"/>
              <w:spacing w:line="224" w:lineRule="exact"/>
              <w:ind w:left="200" w:right="0"/>
              <w:jc w:val="left"/>
              <w:rPr>
                <w:rFonts w:ascii="黑体" w:hAnsi="黑体" w:cs="黑体" w:eastAsia="黑体" w:hint="default"/>
                <w:sz w:val="20"/>
                <w:szCs w:val="20"/>
              </w:rPr>
            </w:pPr>
            <w:r>
              <w:rPr>
                <w:rFonts w:ascii="黑体" w:hAnsi="黑体" w:cs="黑体" w:eastAsia="黑体" w:hint="default"/>
                <w:sz w:val="20"/>
                <w:szCs w:val="20"/>
              </w:rPr>
              <w:t>三年以上</w:t>
            </w:r>
          </w:p>
        </w:tc>
        <w:tc>
          <w:tcPr>
            <w:tcW w:w="315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0"/>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1"/>
                <w:sz w:val="20"/>
                <w:u w:val="single" w:color="000000"/>
              </w:rPr>
              <w:t> </w:t>
            </w:r>
            <w:r>
              <w:rPr>
                <w:rFonts w:ascii="Arial"/>
                <w:spacing w:val="-1"/>
                <w:w w:val="95"/>
                <w:sz w:val="20"/>
                <w:u w:val="single" w:color="000000"/>
              </w:rPr>
              <w:t>9,198,539</w:t>
            </w:r>
            <w:r>
              <w:rPr>
                <w:rFonts w:ascii="Arial"/>
                <w:spacing w:val="-1"/>
                <w:w w:val="95"/>
                <w:sz w:val="20"/>
              </w:rPr>
            </w:r>
            <w:r>
              <w:rPr>
                <w:rFonts w:ascii="Arial"/>
                <w:spacing w:val="-1"/>
                <w:sz w:val="20"/>
              </w:rPr>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sz w:val="20"/>
                <w:u w:val="single" w:color="000000"/>
              </w:rPr>
              <w:t>16,618,430</w:t>
            </w:r>
            <w:r>
              <w:rPr>
                <w:rFonts w:ascii="Arial"/>
                <w:spacing w:val="-1"/>
                <w:sz w:val="20"/>
              </w:rPr>
            </w:r>
          </w:p>
        </w:tc>
      </w:tr>
      <w:tr>
        <w:trPr>
          <w:trHeight w:val="360" w:hRule="exact"/>
        </w:trPr>
        <w:tc>
          <w:tcPr>
            <w:tcW w:w="3232" w:type="dxa"/>
            <w:tcBorders>
              <w:top w:val="nil" w:sz="6" w:space="0" w:color="auto"/>
              <w:left w:val="nil" w:sz="6" w:space="0" w:color="auto"/>
              <w:bottom w:val="nil" w:sz="6" w:space="0" w:color="auto"/>
              <w:right w:val="nil" w:sz="6" w:space="0" w:color="auto"/>
            </w:tcBorders>
          </w:tcPr>
          <w:p>
            <w:pPr/>
          </w:p>
        </w:tc>
        <w:tc>
          <w:tcPr>
            <w:tcW w:w="3155"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20"/>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pacing w:val="-11"/>
                <w:sz w:val="20"/>
                <w:u w:val="thick" w:color="000000"/>
              </w:rPr>
              <w:t> </w:t>
            </w:r>
            <w:r>
              <w:rPr>
                <w:rFonts w:ascii="Arial"/>
                <w:spacing w:val="-1"/>
                <w:w w:val="95"/>
                <w:sz w:val="20"/>
                <w:u w:val="thick" w:color="000000"/>
              </w:rPr>
              <w:t>82,065,538</w:t>
            </w:r>
            <w:r>
              <w:rPr>
                <w:rFonts w:ascii="Arial"/>
                <w:spacing w:val="-1"/>
                <w:w w:val="95"/>
                <w:sz w:val="20"/>
              </w:rPr>
            </w:r>
            <w:r>
              <w:rPr>
                <w:rFonts w:ascii="Arial"/>
                <w:spacing w:val="-1"/>
                <w:sz w:val="20"/>
              </w:rPr>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115,993,754</w:t>
            </w:r>
            <w:r>
              <w:rPr>
                <w:rFonts w:ascii="Arial"/>
                <w:spacing w:val="-1"/>
                <w:sz w:val="20"/>
              </w:rPr>
            </w:r>
            <w:r>
              <w:rPr>
                <w:rFonts w:ascii="Arial"/>
                <w:sz w:val="20"/>
              </w:rPr>
            </w:r>
          </w:p>
        </w:tc>
      </w:tr>
    </w:tbl>
    <w:p>
      <w:pPr>
        <w:spacing w:line="240" w:lineRule="auto" w:before="8"/>
        <w:rPr>
          <w:rFonts w:ascii="黑体" w:hAnsi="黑体" w:cs="黑体" w:eastAsia="黑体" w:hint="default"/>
          <w:sz w:val="20"/>
          <w:szCs w:val="20"/>
        </w:rPr>
      </w:pPr>
    </w:p>
    <w:p>
      <w:pPr>
        <w:pStyle w:val="BodyText"/>
        <w:spacing w:line="262" w:lineRule="exact"/>
        <w:ind w:left="802" w:right="194" w:firstLine="7"/>
        <w:jc w:val="left"/>
      </w:pPr>
      <w:r>
        <w:rPr>
          <w:spacing w:val="-2"/>
          <w:w w:val="95"/>
        </w:rPr>
        <w:t>于</w:t>
      </w:r>
      <w:r>
        <w:rPr>
          <w:rFonts w:ascii="Arial" w:hAnsi="Arial" w:cs="Arial" w:eastAsia="Arial" w:hint="default"/>
          <w:spacing w:val="-2"/>
          <w:w w:val="95"/>
        </w:rPr>
        <w:t>2012</w:t>
      </w:r>
      <w:r>
        <w:rPr>
          <w:spacing w:val="-2"/>
          <w:w w:val="95"/>
        </w:rPr>
        <w:t>年</w:t>
      </w:r>
      <w:r>
        <w:rPr>
          <w:rFonts w:ascii="Arial" w:hAnsi="Arial" w:cs="Arial" w:eastAsia="Arial" w:hint="default"/>
          <w:spacing w:val="-2"/>
          <w:w w:val="95"/>
        </w:rPr>
        <w:t>12</w:t>
      </w:r>
      <w:r>
        <w:rPr>
          <w:spacing w:val="-2"/>
          <w:w w:val="95"/>
        </w:rPr>
        <w:t>月</w:t>
      </w:r>
      <w:r>
        <w:rPr>
          <w:rFonts w:ascii="Arial" w:hAnsi="Arial" w:cs="Arial" w:eastAsia="Arial" w:hint="default"/>
          <w:spacing w:val="-2"/>
          <w:w w:val="95"/>
        </w:rPr>
        <w:t>31</w:t>
      </w:r>
      <w:r>
        <w:rPr>
          <w:spacing w:val="-2"/>
          <w:w w:val="95"/>
        </w:rPr>
        <w:t>日，除上述已披露的事项外，本集团和本公司无其他需作披露的重大承诺</w:t>
      </w:r>
      <w:r>
        <w:rPr>
          <w:spacing w:val="85"/>
          <w:w w:val="95"/>
        </w:rPr>
        <w:t> </w:t>
      </w:r>
      <w:r>
        <w:rPr>
          <w:spacing w:val="85"/>
          <w:w w:val="95"/>
        </w:rPr>
      </w:r>
      <w:r>
        <w:rPr/>
        <w:t>事项</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w:t>
      </w:r>
    </w:p>
    <w:p>
      <w:pPr>
        <w:spacing w:after="0" w:line="262" w:lineRule="exact"/>
        <w:jc w:val="left"/>
        <w:sectPr>
          <w:footerReference w:type="default" r:id="rId68"/>
          <w:pgSz w:w="11910" w:h="16850"/>
          <w:pgMar w:footer="689" w:header="825" w:top="2240" w:bottom="880" w:left="1600" w:right="1400"/>
          <w:pgNumType w:start="119"/>
        </w:sectPr>
      </w:pPr>
    </w:p>
    <w:p>
      <w:pPr>
        <w:spacing w:line="240" w:lineRule="auto" w:before="10"/>
        <w:rPr>
          <w:rFonts w:ascii="黑体" w:hAnsi="黑体" w:cs="黑体" w:eastAsia="黑体" w:hint="default"/>
          <w:sz w:val="15"/>
          <w:szCs w:val="15"/>
        </w:rPr>
      </w:pPr>
    </w:p>
    <w:p>
      <w:pPr>
        <w:pStyle w:val="Heading6"/>
        <w:tabs>
          <w:tab w:pos="804" w:val="left" w:leader="none"/>
        </w:tabs>
        <w:spacing w:line="240" w:lineRule="auto"/>
        <w:ind w:right="902"/>
        <w:jc w:val="left"/>
        <w:rPr>
          <w:b w:val="0"/>
          <w:bCs w:val="0"/>
        </w:rPr>
      </w:pPr>
      <w:r>
        <w:rPr>
          <w:w w:val="95"/>
        </w:rPr>
        <w:t>十、</w:t>
        <w:tab/>
      </w:r>
      <w:r>
        <w:rPr/>
        <w:t>资产负债表日后事项</w:t>
      </w:r>
      <w:r>
        <w:rPr>
          <w:b w:val="0"/>
          <w:bCs w:val="0"/>
        </w:rPr>
      </w:r>
    </w:p>
    <w:p>
      <w:pPr>
        <w:spacing w:line="240" w:lineRule="auto" w:before="4"/>
        <w:rPr>
          <w:rFonts w:ascii="黑体" w:hAnsi="黑体" w:cs="黑体" w:eastAsia="黑体" w:hint="default"/>
          <w:b/>
          <w:bCs/>
          <w:sz w:val="18"/>
          <w:szCs w:val="18"/>
        </w:rPr>
      </w:pPr>
    </w:p>
    <w:p>
      <w:pPr>
        <w:pStyle w:val="BodyText"/>
        <w:spacing w:line="258" w:lineRule="exact"/>
        <w:ind w:left="809" w:right="0"/>
        <w:jc w:val="both"/>
      </w:pPr>
      <w:r>
        <w:rPr>
          <w:rFonts w:ascii="Arial" w:hAnsi="Arial" w:cs="Arial" w:eastAsia="Arial" w:hint="default"/>
        </w:rPr>
        <w:t>1</w:t>
      </w:r>
      <w:r>
        <w:rPr/>
        <w:t>、</w:t>
      </w:r>
      <w:r>
        <w:rPr>
          <w:rFonts w:ascii="Arial" w:hAnsi="Arial" w:cs="Arial" w:eastAsia="Arial" w:hint="default"/>
        </w:rPr>
        <w:t>2012</w:t>
      </w:r>
      <w:r>
        <w:rPr>
          <w:rFonts w:ascii="Arial" w:hAnsi="Arial" w:cs="Arial" w:eastAsia="Arial" w:hint="default"/>
          <w:spacing w:val="-5"/>
        </w:rPr>
        <w:t> </w:t>
      </w:r>
      <w:r>
        <w:rPr/>
        <w:t>年度本公司实现净利润人民币</w:t>
      </w:r>
      <w:r>
        <w:rPr>
          <w:spacing w:val="-47"/>
        </w:rPr>
        <w:t> </w:t>
      </w:r>
      <w:r>
        <w:rPr>
          <w:rFonts w:ascii="Arial" w:hAnsi="Arial" w:cs="Arial" w:eastAsia="Arial" w:hint="default"/>
        </w:rPr>
        <w:t>426,571,801</w:t>
      </w:r>
      <w:r>
        <w:rPr>
          <w:rFonts w:ascii="Arial" w:hAnsi="Arial" w:cs="Arial" w:eastAsia="Arial" w:hint="default"/>
          <w:spacing w:val="-2"/>
        </w:rPr>
        <w:t> </w:t>
      </w:r>
      <w:r>
        <w:rPr/>
        <w:t>元。本公司以</w:t>
      </w:r>
      <w:r>
        <w:rPr>
          <w:spacing w:val="-47"/>
        </w:rPr>
        <w:t> </w:t>
      </w:r>
      <w:r>
        <w:rPr>
          <w:rFonts w:ascii="Arial" w:hAnsi="Arial" w:cs="Arial" w:eastAsia="Arial" w:hint="default"/>
        </w:rPr>
        <w:t>2012</w:t>
      </w:r>
      <w:r>
        <w:rPr>
          <w:rFonts w:ascii="Arial" w:hAnsi="Arial" w:cs="Arial" w:eastAsia="Arial" w:hint="default"/>
          <w:spacing w:val="-2"/>
        </w:rPr>
        <w:t> </w:t>
      </w:r>
      <w:r>
        <w:rPr/>
        <w:t>年度净利润人民</w:t>
      </w:r>
    </w:p>
    <w:p>
      <w:pPr>
        <w:pStyle w:val="BodyText"/>
        <w:spacing w:line="240" w:lineRule="exact"/>
        <w:ind w:left="809" w:right="0"/>
        <w:jc w:val="both"/>
        <w:rPr>
          <w:rFonts w:ascii="Arial" w:hAnsi="Arial" w:cs="Arial" w:eastAsia="Arial" w:hint="default"/>
        </w:rPr>
      </w:pPr>
      <w:r>
        <w:rPr/>
        <w:t>币</w:t>
      </w:r>
      <w:r>
        <w:rPr>
          <w:spacing w:val="-39"/>
        </w:rPr>
        <w:t> </w:t>
      </w:r>
      <w:r>
        <w:rPr>
          <w:rFonts w:ascii="Arial" w:hAnsi="Arial" w:cs="Arial" w:eastAsia="Arial" w:hint="default"/>
        </w:rPr>
        <w:t>426,571,801</w:t>
      </w:r>
      <w:r>
        <w:rPr>
          <w:rFonts w:ascii="Arial" w:hAnsi="Arial" w:cs="Arial" w:eastAsia="Arial" w:hint="default"/>
          <w:spacing w:val="8"/>
        </w:rPr>
        <w:t> </w:t>
      </w:r>
      <w:r>
        <w:rPr/>
        <w:t>元为基数，提取</w:t>
      </w:r>
      <w:r>
        <w:rPr>
          <w:spacing w:val="-39"/>
        </w:rPr>
        <w:t> </w:t>
      </w:r>
      <w:r>
        <w:rPr>
          <w:rFonts w:ascii="Arial" w:hAnsi="Arial" w:cs="Arial" w:eastAsia="Arial" w:hint="default"/>
        </w:rPr>
        <w:t>10%</w:t>
      </w:r>
      <w:r>
        <w:rPr/>
        <w:t>的法定盈余公积金人民币</w:t>
      </w:r>
      <w:r>
        <w:rPr>
          <w:spacing w:val="-39"/>
        </w:rPr>
        <w:t> </w:t>
      </w:r>
      <w:r>
        <w:rPr>
          <w:rFonts w:ascii="Arial" w:hAnsi="Arial" w:cs="Arial" w:eastAsia="Arial" w:hint="default"/>
        </w:rPr>
        <w:t>42,657,180</w:t>
      </w:r>
      <w:r>
        <w:rPr>
          <w:rFonts w:ascii="Arial" w:hAnsi="Arial" w:cs="Arial" w:eastAsia="Arial" w:hint="default"/>
          <w:spacing w:val="6"/>
        </w:rPr>
        <w:t> </w:t>
      </w:r>
      <w:r>
        <w:rPr/>
        <w:t>元，提取</w:t>
      </w:r>
      <w:r>
        <w:rPr>
          <w:spacing w:val="-39"/>
        </w:rPr>
        <w:t> </w:t>
      </w:r>
      <w:r>
        <w:rPr>
          <w:rFonts w:ascii="Arial" w:hAnsi="Arial" w:cs="Arial" w:eastAsia="Arial" w:hint="default"/>
        </w:rPr>
        <w:t>5%</w:t>
      </w:r>
    </w:p>
    <w:p>
      <w:pPr>
        <w:pStyle w:val="BodyText"/>
        <w:spacing w:line="240" w:lineRule="exact" w:before="23"/>
        <w:ind w:left="808" w:right="180"/>
        <w:jc w:val="both"/>
      </w:pPr>
      <w:r>
        <w:rPr>
          <w:w w:val="99"/>
        </w:rPr>
        <w:t>任意盈余公积金人民币</w:t>
      </w:r>
      <w:r>
        <w:rPr>
          <w:spacing w:val="-50"/>
          <w:w w:val="99"/>
        </w:rPr>
        <w:t> </w:t>
      </w:r>
      <w:r>
        <w:rPr>
          <w:rFonts w:ascii="Arial" w:hAnsi="Arial" w:cs="Arial" w:eastAsia="Arial" w:hint="default"/>
          <w:w w:val="99"/>
        </w:rPr>
        <w:t>21,328,590</w:t>
      </w:r>
      <w:r>
        <w:rPr>
          <w:rFonts w:ascii="Arial" w:hAnsi="Arial" w:cs="Arial" w:eastAsia="Arial" w:hint="default"/>
          <w:spacing w:val="-8"/>
          <w:w w:val="99"/>
        </w:rPr>
        <w:t> </w:t>
      </w:r>
      <w:r>
        <w:rPr>
          <w:spacing w:val="-6"/>
          <w:w w:val="99"/>
        </w:rPr>
        <w:t>元，加往年累积的未分配利润人民币</w:t>
      </w:r>
      <w:r>
        <w:rPr>
          <w:spacing w:val="-50"/>
          <w:w w:val="99"/>
        </w:rPr>
        <w:t> </w:t>
      </w:r>
      <w:r>
        <w:rPr>
          <w:rFonts w:ascii="Arial" w:hAnsi="Arial" w:cs="Arial" w:eastAsia="Arial" w:hint="default"/>
          <w:w w:val="99"/>
        </w:rPr>
        <w:t>608,244,632</w:t>
      </w:r>
      <w:r>
        <w:rPr>
          <w:rFonts w:ascii="Arial" w:hAnsi="Arial" w:cs="Arial" w:eastAsia="Arial" w:hint="default"/>
          <w:spacing w:val="-8"/>
          <w:w w:val="99"/>
        </w:rPr>
        <w:t> </w:t>
      </w:r>
      <w:r>
        <w:rPr>
          <w:w w:val="99"/>
        </w:rPr>
        <w:t>元， </w:t>
      </w:r>
      <w:r>
        <w:rPr>
          <w:spacing w:val="19"/>
        </w:rPr>
        <w:t>本次实际可供分</w:t>
      </w:r>
      <w:r>
        <w:rPr>
          <w:spacing w:val="-75"/>
        </w:rPr>
        <w:t> </w:t>
      </w:r>
      <w:r>
        <w:rPr>
          <w:spacing w:val="15"/>
        </w:rPr>
        <w:t>配的利</w:t>
      </w:r>
      <w:r>
        <w:rPr>
          <w:spacing w:val="-75"/>
        </w:rPr>
        <w:t> </w:t>
      </w:r>
      <w:r>
        <w:rPr>
          <w:spacing w:val="18"/>
        </w:rPr>
        <w:t>润为人民币</w:t>
      </w:r>
      <w:r>
        <w:rPr>
          <w:spacing w:val="22"/>
        </w:rPr>
        <w:t> </w:t>
      </w:r>
      <w:r>
        <w:rPr>
          <w:rFonts w:ascii="Arial" w:hAnsi="Arial" w:cs="Arial" w:eastAsia="Arial" w:hint="default"/>
        </w:rPr>
        <w:t>970,830,663</w:t>
      </w:r>
      <w:r>
        <w:rPr>
          <w:rFonts w:ascii="Arial" w:hAnsi="Arial" w:cs="Arial" w:eastAsia="Arial" w:hint="default"/>
          <w:spacing w:val="12"/>
        </w:rPr>
        <w:t> </w:t>
      </w:r>
      <w:r>
        <w:rPr>
          <w:spacing w:val="11"/>
        </w:rPr>
        <w:t>元；</w:t>
      </w:r>
      <w:r>
        <w:rPr>
          <w:spacing w:val="-77"/>
        </w:rPr>
        <w:t> </w:t>
      </w:r>
      <w:r>
        <w:rPr>
          <w:spacing w:val="17"/>
        </w:rPr>
        <w:t>本公司以</w:t>
      </w:r>
      <w:r>
        <w:rPr>
          <w:spacing w:val="20"/>
        </w:rPr>
        <w:t> </w:t>
      </w:r>
      <w:r>
        <w:rPr>
          <w:rFonts w:ascii="Arial" w:hAnsi="Arial" w:cs="Arial" w:eastAsia="Arial" w:hint="default"/>
        </w:rPr>
        <w:t>2012</w:t>
      </w:r>
      <w:r>
        <w:rPr>
          <w:rFonts w:ascii="Arial" w:hAnsi="Arial" w:cs="Arial" w:eastAsia="Arial" w:hint="default"/>
          <w:spacing w:val="9"/>
        </w:rPr>
        <w:t> </w:t>
      </w:r>
      <w:r>
        <w:rPr/>
        <w:t>年</w:t>
      </w:r>
      <w:r>
        <w:rPr>
          <w:spacing w:val="-75"/>
        </w:rPr>
        <w:t> </w:t>
      </w:r>
      <w:r>
        <w:rPr>
          <w:spacing w:val="17"/>
        </w:rPr>
        <w:t>末总股本</w:t>
      </w:r>
      <w:r>
        <w:rPr>
          <w:w w:val="99"/>
        </w:rPr>
        <w:t> </w:t>
      </w:r>
      <w:r>
        <w:rPr>
          <w:rFonts w:ascii="Arial" w:hAnsi="Arial" w:cs="Arial" w:eastAsia="Arial" w:hint="default"/>
        </w:rPr>
        <w:t>979,084,040 </w:t>
      </w:r>
      <w:r>
        <w:rPr/>
        <w:t>股扣除已于 </w:t>
      </w:r>
      <w:r>
        <w:rPr>
          <w:rFonts w:ascii="Arial" w:hAnsi="Arial" w:cs="Arial" w:eastAsia="Arial" w:hint="default"/>
        </w:rPr>
        <w:t>2013 </w:t>
      </w:r>
      <w:r>
        <w:rPr/>
        <w:t>年 </w:t>
      </w:r>
      <w:r>
        <w:rPr>
          <w:rFonts w:ascii="Arial" w:hAnsi="Arial" w:cs="Arial" w:eastAsia="Arial" w:hint="default"/>
        </w:rPr>
        <w:t>1 </w:t>
      </w:r>
      <w:r>
        <w:rPr/>
        <w:t>月 </w:t>
      </w:r>
      <w:r>
        <w:rPr>
          <w:rFonts w:ascii="Arial" w:hAnsi="Arial" w:cs="Arial" w:eastAsia="Arial" w:hint="default"/>
        </w:rPr>
        <w:t>11 </w:t>
      </w:r>
      <w:r>
        <w:rPr/>
        <w:t>日注销的回购股份 </w:t>
      </w:r>
      <w:r>
        <w:rPr>
          <w:rFonts w:ascii="Arial" w:hAnsi="Arial" w:cs="Arial" w:eastAsia="Arial" w:hint="default"/>
        </w:rPr>
        <w:t>19,837,802</w:t>
      </w:r>
      <w:r>
        <w:rPr>
          <w:rFonts w:ascii="Arial" w:hAnsi="Arial" w:cs="Arial" w:eastAsia="Arial" w:hint="default"/>
          <w:spacing w:val="6"/>
        </w:rPr>
        <w:t> </w:t>
      </w:r>
      <w:r>
        <w:rPr/>
        <w:t>股后的总股本</w:t>
      </w:r>
    </w:p>
    <w:p>
      <w:pPr>
        <w:pStyle w:val="BodyText"/>
        <w:spacing w:line="216" w:lineRule="exact"/>
        <w:ind w:left="808" w:right="0"/>
        <w:jc w:val="both"/>
      </w:pPr>
      <w:r>
        <w:rPr>
          <w:rFonts w:ascii="Arial" w:hAnsi="Arial" w:cs="Arial" w:eastAsia="Arial" w:hint="default"/>
        </w:rPr>
        <w:t>959,246,238</w:t>
      </w:r>
      <w:r>
        <w:rPr>
          <w:rFonts w:ascii="Arial" w:hAnsi="Arial" w:cs="Arial" w:eastAsia="Arial" w:hint="default"/>
          <w:spacing w:val="-15"/>
        </w:rPr>
        <w:t> </w:t>
      </w:r>
      <w:r>
        <w:rPr/>
        <w:t>股为基数，拟向全体股东每</w:t>
      </w:r>
      <w:r>
        <w:rPr>
          <w:spacing w:val="-61"/>
        </w:rPr>
        <w:t> </w:t>
      </w:r>
      <w:r>
        <w:rPr>
          <w:rFonts w:ascii="Arial" w:hAnsi="Arial" w:cs="Arial" w:eastAsia="Arial" w:hint="default"/>
        </w:rPr>
        <w:t>10</w:t>
      </w:r>
      <w:r>
        <w:rPr>
          <w:rFonts w:ascii="Arial" w:hAnsi="Arial" w:cs="Arial" w:eastAsia="Arial" w:hint="default"/>
          <w:spacing w:val="-15"/>
        </w:rPr>
        <w:t> </w:t>
      </w:r>
      <w:r>
        <w:rPr/>
        <w:t>股派发现金股利人民币</w:t>
      </w:r>
      <w:r>
        <w:rPr>
          <w:spacing w:val="-61"/>
        </w:rPr>
        <w:t> </w:t>
      </w:r>
      <w:r>
        <w:rPr>
          <w:rFonts w:ascii="Arial" w:hAnsi="Arial" w:cs="Arial" w:eastAsia="Arial" w:hint="default"/>
        </w:rPr>
        <w:t>2</w:t>
      </w:r>
      <w:r>
        <w:rPr>
          <w:rFonts w:ascii="Arial" w:hAnsi="Arial" w:cs="Arial" w:eastAsia="Arial" w:hint="default"/>
          <w:spacing w:val="-17"/>
        </w:rPr>
        <w:t> </w:t>
      </w:r>
      <w:r>
        <w:rPr/>
        <w:t>元</w:t>
      </w:r>
      <w:r>
        <w:rPr>
          <w:rFonts w:ascii="Arial" w:hAnsi="Arial" w:cs="Arial" w:eastAsia="Arial" w:hint="default"/>
        </w:rPr>
        <w:t>(</w:t>
      </w:r>
      <w:r>
        <w:rPr/>
        <w:t>含税</w:t>
      </w:r>
      <w:r>
        <w:rPr>
          <w:rFonts w:ascii="Arial" w:hAnsi="Arial" w:cs="Arial" w:eastAsia="Arial" w:hint="default"/>
        </w:rPr>
        <w:t>)</w:t>
      </w:r>
      <w:r>
        <w:rPr/>
        <w:t>，共计派发</w:t>
      </w:r>
    </w:p>
    <w:p>
      <w:pPr>
        <w:pStyle w:val="BodyText"/>
        <w:spacing w:line="240" w:lineRule="exact"/>
        <w:ind w:left="808" w:right="0"/>
        <w:jc w:val="both"/>
      </w:pPr>
      <w:r>
        <w:rPr>
          <w:spacing w:val="8"/>
        </w:rPr>
        <w:t>现金股利人民币 </w:t>
      </w:r>
      <w:r>
        <w:rPr>
          <w:rFonts w:ascii="Arial" w:hAnsi="Arial" w:cs="Arial" w:eastAsia="Arial" w:hint="default"/>
        </w:rPr>
        <w:t>191,849,248</w:t>
      </w:r>
      <w:r>
        <w:rPr>
          <w:rFonts w:ascii="Arial" w:hAnsi="Arial" w:cs="Arial" w:eastAsia="Arial" w:hint="default"/>
          <w:spacing w:val="36"/>
        </w:rPr>
        <w:t> </w:t>
      </w:r>
      <w:r>
        <w:rPr>
          <w:spacing w:val="9"/>
        </w:rPr>
        <w:t>元，派发现金股利后，本公司未分配利润余额为人民币</w:t>
      </w:r>
      <w:r>
        <w:rPr/>
      </w:r>
    </w:p>
    <w:p>
      <w:pPr>
        <w:pStyle w:val="BodyText"/>
        <w:spacing w:line="258" w:lineRule="exact"/>
        <w:ind w:left="808" w:right="0"/>
        <w:jc w:val="both"/>
      </w:pPr>
      <w:r>
        <w:rPr>
          <w:rFonts w:ascii="Arial" w:hAnsi="Arial" w:cs="Arial" w:eastAsia="Arial" w:hint="default"/>
        </w:rPr>
        <w:t>778,981,415</w:t>
      </w:r>
      <w:r>
        <w:rPr>
          <w:rFonts w:ascii="Arial" w:hAnsi="Arial" w:cs="Arial" w:eastAsia="Arial" w:hint="default"/>
          <w:spacing w:val="-14"/>
        </w:rPr>
        <w:t> </w:t>
      </w:r>
      <w:r>
        <w:rPr/>
        <w:t>元。</w:t>
      </w:r>
    </w:p>
    <w:p>
      <w:pPr>
        <w:spacing w:line="240" w:lineRule="auto" w:before="10"/>
        <w:rPr>
          <w:rFonts w:ascii="黑体" w:hAnsi="黑体" w:cs="黑体" w:eastAsia="黑体" w:hint="default"/>
          <w:sz w:val="18"/>
          <w:szCs w:val="18"/>
        </w:rPr>
      </w:pPr>
    </w:p>
    <w:p>
      <w:pPr>
        <w:pStyle w:val="BodyText"/>
        <w:spacing w:line="240" w:lineRule="exact"/>
        <w:ind w:left="808" w:right="180"/>
        <w:jc w:val="both"/>
      </w:pPr>
      <w:r>
        <w:rPr>
          <w:rFonts w:ascii="Arial" w:hAnsi="Arial" w:cs="Arial" w:eastAsia="Arial" w:hint="default"/>
        </w:rPr>
        <w:t>2</w:t>
      </w:r>
      <w:r>
        <w:rPr/>
        <w:t>、如附注五、</w:t>
      </w:r>
      <w:r>
        <w:rPr>
          <w:rFonts w:ascii="Arial" w:hAnsi="Arial" w:cs="Arial" w:eastAsia="Arial" w:hint="default"/>
        </w:rPr>
        <w:t>32 </w:t>
      </w:r>
      <w:r>
        <w:rPr/>
        <w:t>所述，本公司经 </w:t>
      </w:r>
      <w:r>
        <w:rPr>
          <w:rFonts w:ascii="Arial" w:hAnsi="Arial" w:cs="Arial" w:eastAsia="Arial" w:hint="default"/>
        </w:rPr>
        <w:t>2012</w:t>
      </w:r>
      <w:r>
        <w:rPr>
          <w:rFonts w:ascii="Arial" w:hAnsi="Arial" w:cs="Arial" w:eastAsia="Arial" w:hint="default"/>
          <w:spacing w:val="-2"/>
        </w:rPr>
        <w:t> </w:t>
      </w:r>
      <w:r>
        <w:rPr/>
        <w:t>年第二次临时股东大会审议通过，拟以不超过每</w:t>
      </w:r>
      <w:r>
        <w:rPr>
          <w:w w:val="99"/>
        </w:rPr>
        <w:t> </w:t>
      </w:r>
      <w:r>
        <w:rPr/>
        <w:t>股人民币</w:t>
      </w:r>
      <w:r>
        <w:rPr>
          <w:spacing w:val="-51"/>
        </w:rPr>
        <w:t> </w:t>
      </w:r>
      <w:r>
        <w:rPr>
          <w:rFonts w:ascii="Arial" w:hAnsi="Arial" w:cs="Arial" w:eastAsia="Arial" w:hint="default"/>
        </w:rPr>
        <w:t>11.18</w:t>
      </w:r>
      <w:r>
        <w:rPr>
          <w:rFonts w:ascii="Arial" w:hAnsi="Arial" w:cs="Arial" w:eastAsia="Arial" w:hint="default"/>
          <w:spacing w:val="-9"/>
        </w:rPr>
        <w:t> </w:t>
      </w:r>
      <w:r>
        <w:rPr/>
        <w:t>元的价格回购本公司股份，回购总金额最高不超过人民币</w:t>
      </w:r>
      <w:r>
        <w:rPr>
          <w:spacing w:val="-53"/>
        </w:rPr>
        <w:t> </w:t>
      </w:r>
      <w:r>
        <w:rPr>
          <w:rFonts w:ascii="Arial" w:hAnsi="Arial" w:cs="Arial" w:eastAsia="Arial" w:hint="default"/>
        </w:rPr>
        <w:t>2</w:t>
      </w:r>
      <w:r>
        <w:rPr>
          <w:rFonts w:ascii="Arial" w:hAnsi="Arial" w:cs="Arial" w:eastAsia="Arial" w:hint="default"/>
          <w:spacing w:val="-9"/>
        </w:rPr>
        <w:t> </w:t>
      </w:r>
      <w:r>
        <w:rPr/>
        <w:t>亿元。</w:t>
      </w:r>
    </w:p>
    <w:p>
      <w:pPr>
        <w:spacing w:line="240" w:lineRule="auto" w:before="2"/>
        <w:rPr>
          <w:rFonts w:ascii="黑体" w:hAnsi="黑体" w:cs="黑体" w:eastAsia="黑体" w:hint="default"/>
          <w:sz w:val="15"/>
          <w:szCs w:val="15"/>
        </w:rPr>
      </w:pPr>
    </w:p>
    <w:p>
      <w:pPr>
        <w:pStyle w:val="BodyText"/>
        <w:spacing w:line="258" w:lineRule="exact"/>
        <w:ind w:left="808" w:right="0"/>
        <w:jc w:val="both"/>
      </w:pPr>
      <w:r>
        <w:rPr/>
        <w:t>截至</w:t>
      </w:r>
      <w:r>
        <w:rPr>
          <w:spacing w:val="-52"/>
        </w:rPr>
        <w:t> </w:t>
      </w:r>
      <w:r>
        <w:rPr>
          <w:rFonts w:ascii="Arial" w:hAnsi="Arial" w:cs="Arial" w:eastAsia="Arial" w:hint="default"/>
        </w:rPr>
        <w:t>2013</w:t>
      </w:r>
      <w:r>
        <w:rPr>
          <w:rFonts w:ascii="Arial" w:hAnsi="Arial" w:cs="Arial" w:eastAsia="Arial" w:hint="default"/>
          <w:spacing w:val="-8"/>
        </w:rPr>
        <w:t> </w:t>
      </w:r>
      <w:r>
        <w:rPr/>
        <w:t>年</w:t>
      </w:r>
      <w:r>
        <w:rPr>
          <w:spacing w:val="-52"/>
        </w:rPr>
        <w:t> </w:t>
      </w:r>
      <w:r>
        <w:rPr>
          <w:rFonts w:ascii="Arial" w:hAnsi="Arial" w:cs="Arial" w:eastAsia="Arial" w:hint="default"/>
        </w:rPr>
        <w:t>1</w:t>
      </w:r>
      <w:r>
        <w:rPr>
          <w:rFonts w:ascii="Arial" w:hAnsi="Arial" w:cs="Arial" w:eastAsia="Arial" w:hint="default"/>
          <w:spacing w:val="-8"/>
        </w:rPr>
        <w:t> </w:t>
      </w:r>
      <w:r>
        <w:rPr/>
        <w:t>月</w:t>
      </w:r>
      <w:r>
        <w:rPr>
          <w:spacing w:val="-52"/>
        </w:rPr>
        <w:t> </w:t>
      </w:r>
      <w:r>
        <w:rPr>
          <w:rFonts w:ascii="Arial" w:hAnsi="Arial" w:cs="Arial" w:eastAsia="Arial" w:hint="default"/>
        </w:rPr>
        <w:t>8</w:t>
      </w:r>
      <w:r>
        <w:rPr>
          <w:rFonts w:ascii="Arial" w:hAnsi="Arial" w:cs="Arial" w:eastAsia="Arial" w:hint="default"/>
          <w:spacing w:val="-6"/>
        </w:rPr>
        <w:t> </w:t>
      </w:r>
      <w:r>
        <w:rPr>
          <w:spacing w:val="-3"/>
        </w:rPr>
        <w:t>日，本公司回购股份数量为</w:t>
      </w:r>
      <w:r>
        <w:rPr>
          <w:spacing w:val="-52"/>
        </w:rPr>
        <w:t> </w:t>
      </w:r>
      <w:r>
        <w:rPr>
          <w:rFonts w:ascii="Arial" w:hAnsi="Arial" w:cs="Arial" w:eastAsia="Arial" w:hint="default"/>
        </w:rPr>
        <w:t>19,837,802</w:t>
      </w:r>
      <w:r>
        <w:rPr>
          <w:rFonts w:ascii="Arial" w:hAnsi="Arial" w:cs="Arial" w:eastAsia="Arial" w:hint="default"/>
          <w:spacing w:val="-5"/>
        </w:rPr>
        <w:t> </w:t>
      </w:r>
      <w:r>
        <w:rPr>
          <w:spacing w:val="-3"/>
        </w:rPr>
        <w:t>股，占本公司总股本的比例为</w:t>
      </w:r>
    </w:p>
    <w:p>
      <w:pPr>
        <w:pStyle w:val="BodyText"/>
        <w:spacing w:line="240" w:lineRule="exact" w:before="23"/>
        <w:ind w:left="807" w:right="181"/>
        <w:jc w:val="both"/>
      </w:pPr>
      <w:r>
        <w:rPr>
          <w:rFonts w:ascii="Arial" w:hAnsi="Arial" w:cs="Arial" w:eastAsia="Arial" w:hint="default"/>
        </w:rPr>
        <w:t>2.03%</w:t>
      </w:r>
      <w:r>
        <w:rPr/>
        <w:t>，支付总金额约为人民币</w:t>
      </w:r>
      <w:r>
        <w:rPr>
          <w:spacing w:val="-46"/>
        </w:rPr>
        <w:t> </w:t>
      </w:r>
      <w:r>
        <w:rPr>
          <w:rFonts w:ascii="Arial" w:hAnsi="Arial" w:cs="Arial" w:eastAsia="Arial" w:hint="default"/>
        </w:rPr>
        <w:t>2</w:t>
      </w:r>
      <w:r>
        <w:rPr>
          <w:rFonts w:ascii="Arial" w:hAnsi="Arial" w:cs="Arial" w:eastAsia="Arial" w:hint="default"/>
          <w:spacing w:val="-1"/>
        </w:rPr>
        <w:t> </w:t>
      </w:r>
      <w:r>
        <w:rPr/>
        <w:t>亿元，已达到本次回购股份总金额上限，本公司回购部</w:t>
      </w:r>
      <w:r>
        <w:rPr>
          <w:w w:val="99"/>
        </w:rPr>
        <w:t> </w:t>
      </w:r>
      <w:r>
        <w:rPr>
          <w:w w:val="95"/>
        </w:rPr>
        <w:t>分社会公众股份方案实施完毕。本公司已向上海证券交易所和中国证券登记结算有限公司</w:t>
      </w:r>
      <w:r>
        <w:rPr>
          <w:spacing w:val="94"/>
          <w:w w:val="95"/>
        </w:rPr>
        <w:t> </w:t>
      </w:r>
      <w:r>
        <w:rPr>
          <w:spacing w:val="94"/>
          <w:w w:val="95"/>
        </w:rPr>
      </w:r>
      <w:r>
        <w:rPr>
          <w:w w:val="99"/>
        </w:rPr>
        <w:t>上海分公司申请注销上述回购股份共计</w:t>
      </w:r>
      <w:r>
        <w:rPr>
          <w:spacing w:val="-55"/>
          <w:w w:val="99"/>
        </w:rPr>
        <w:t> </w:t>
      </w:r>
      <w:r>
        <w:rPr>
          <w:rFonts w:ascii="Arial" w:hAnsi="Arial" w:cs="Arial" w:eastAsia="Arial" w:hint="default"/>
          <w:spacing w:val="-1"/>
          <w:w w:val="99"/>
        </w:rPr>
        <w:t>19,837,802</w:t>
      </w:r>
      <w:r>
        <w:rPr>
          <w:rFonts w:ascii="Arial" w:hAnsi="Arial" w:cs="Arial" w:eastAsia="Arial" w:hint="default"/>
          <w:spacing w:val="-13"/>
          <w:w w:val="99"/>
        </w:rPr>
        <w:t> </w:t>
      </w:r>
      <w:r>
        <w:rPr>
          <w:spacing w:val="-12"/>
          <w:w w:val="99"/>
        </w:rPr>
        <w:t>股，股票注销日为</w:t>
      </w:r>
      <w:r>
        <w:rPr>
          <w:spacing w:val="-58"/>
          <w:w w:val="99"/>
        </w:rPr>
        <w:t> </w:t>
      </w:r>
      <w:r>
        <w:rPr>
          <w:rFonts w:ascii="Arial" w:hAnsi="Arial" w:cs="Arial" w:eastAsia="Arial" w:hint="default"/>
          <w:w w:val="99"/>
        </w:rPr>
        <w:t>2013</w:t>
      </w:r>
      <w:r>
        <w:rPr>
          <w:rFonts w:ascii="Arial" w:hAnsi="Arial" w:cs="Arial" w:eastAsia="Arial" w:hint="default"/>
          <w:spacing w:val="-13"/>
          <w:w w:val="99"/>
        </w:rPr>
        <w:t> </w:t>
      </w:r>
      <w:r>
        <w:rPr>
          <w:w w:val="99"/>
        </w:rPr>
        <w:t>年</w:t>
      </w:r>
      <w:r>
        <w:rPr>
          <w:spacing w:val="-58"/>
          <w:w w:val="99"/>
        </w:rPr>
        <w:t> </w:t>
      </w:r>
      <w:r>
        <w:rPr>
          <w:rFonts w:ascii="Arial" w:hAnsi="Arial" w:cs="Arial" w:eastAsia="Arial" w:hint="default"/>
          <w:w w:val="99"/>
        </w:rPr>
        <w:t>1</w:t>
      </w:r>
      <w:r>
        <w:rPr>
          <w:rFonts w:ascii="Arial" w:hAnsi="Arial" w:cs="Arial" w:eastAsia="Arial" w:hint="default"/>
          <w:spacing w:val="-14"/>
          <w:w w:val="99"/>
        </w:rPr>
        <w:t> </w:t>
      </w:r>
      <w:r>
        <w:rPr>
          <w:w w:val="99"/>
        </w:rPr>
        <w:t>月</w:t>
      </w:r>
      <w:r>
        <w:rPr>
          <w:spacing w:val="-58"/>
          <w:w w:val="99"/>
        </w:rPr>
        <w:t> </w:t>
      </w:r>
      <w:r>
        <w:rPr>
          <w:rFonts w:ascii="Arial" w:hAnsi="Arial" w:cs="Arial" w:eastAsia="Arial" w:hint="default"/>
          <w:spacing w:val="-1"/>
          <w:w w:val="99"/>
        </w:rPr>
        <w:t>11</w:t>
      </w:r>
      <w:r>
        <w:rPr>
          <w:rFonts w:ascii="Arial" w:hAnsi="Arial" w:cs="Arial" w:eastAsia="Arial" w:hint="default"/>
          <w:spacing w:val="-14"/>
          <w:w w:val="99"/>
        </w:rPr>
        <w:t> </w:t>
      </w:r>
      <w:r>
        <w:rPr>
          <w:w w:val="99"/>
        </w:rPr>
        <w:t>日。</w:t>
      </w:r>
      <w:r>
        <w:rPr/>
      </w:r>
    </w:p>
    <w:p>
      <w:pPr>
        <w:pStyle w:val="BodyText"/>
        <w:spacing w:line="240" w:lineRule="exact"/>
        <w:ind w:left="807" w:right="183"/>
        <w:jc w:val="both"/>
      </w:pPr>
      <w:r>
        <w:rPr/>
        <w:t>本次回购股份完成后，本公司总股本从</w:t>
      </w:r>
      <w:r>
        <w:rPr>
          <w:spacing w:val="-58"/>
        </w:rPr>
        <w:t> </w:t>
      </w:r>
      <w:r>
        <w:rPr>
          <w:rFonts w:ascii="Arial" w:hAnsi="Arial" w:cs="Arial" w:eastAsia="Arial" w:hint="default"/>
        </w:rPr>
        <w:t>979,084,040</w:t>
      </w:r>
      <w:r>
        <w:rPr>
          <w:rFonts w:ascii="Arial" w:hAnsi="Arial" w:cs="Arial" w:eastAsia="Arial" w:hint="default"/>
          <w:spacing w:val="-14"/>
        </w:rPr>
        <w:t> </w:t>
      </w:r>
      <w:r>
        <w:rPr/>
        <w:t>股减少至</w:t>
      </w:r>
      <w:r>
        <w:rPr>
          <w:spacing w:val="-58"/>
        </w:rPr>
        <w:t> </w:t>
      </w:r>
      <w:r>
        <w:rPr>
          <w:rFonts w:ascii="Arial" w:hAnsi="Arial" w:cs="Arial" w:eastAsia="Arial" w:hint="default"/>
        </w:rPr>
        <w:t>959,246,238</w:t>
      </w:r>
      <w:r>
        <w:rPr>
          <w:rFonts w:ascii="Arial" w:hAnsi="Arial" w:cs="Arial" w:eastAsia="Arial" w:hint="default"/>
          <w:spacing w:val="-14"/>
        </w:rPr>
        <w:t> </w:t>
      </w:r>
      <w:r>
        <w:rPr>
          <w:spacing w:val="-2"/>
        </w:rPr>
        <w:t>股。截止本财</w:t>
      </w:r>
      <w:r>
        <w:rPr>
          <w:w w:val="99"/>
        </w:rPr>
        <w:t> </w:t>
      </w:r>
      <w:r>
        <w:rPr/>
        <w:t>务报表批准日，工商变更登记手续等相关事宜尚未办理完毕。</w:t>
      </w:r>
    </w:p>
    <w:p>
      <w:pPr>
        <w:spacing w:line="240" w:lineRule="auto" w:before="2"/>
        <w:rPr>
          <w:rFonts w:ascii="黑体" w:hAnsi="黑体" w:cs="黑体" w:eastAsia="黑体" w:hint="default"/>
          <w:sz w:val="15"/>
          <w:szCs w:val="15"/>
        </w:rPr>
      </w:pPr>
    </w:p>
    <w:p>
      <w:pPr>
        <w:pStyle w:val="Heading6"/>
        <w:spacing w:line="240" w:lineRule="auto" w:before="0"/>
        <w:ind w:right="902"/>
        <w:jc w:val="left"/>
        <w:rPr>
          <w:b w:val="0"/>
          <w:bCs w:val="0"/>
        </w:rPr>
      </w:pPr>
      <w:r>
        <w:rPr/>
        <w:t>十一、</w:t>
      </w:r>
      <w:r>
        <w:rPr>
          <w:spacing w:val="-1"/>
        </w:rPr>
        <w:t> </w:t>
      </w:r>
      <w:r>
        <w:rPr/>
        <w:t>其他重要事项</w:t>
      </w:r>
      <w:r>
        <w:rPr>
          <w:b w:val="0"/>
          <w:bCs w:val="0"/>
        </w:rPr>
      </w:r>
    </w:p>
    <w:p>
      <w:pPr>
        <w:spacing w:line="240" w:lineRule="auto" w:before="0"/>
        <w:rPr>
          <w:rFonts w:ascii="黑体" w:hAnsi="黑体" w:cs="黑体" w:eastAsia="黑体" w:hint="default"/>
          <w:b/>
          <w:bCs/>
          <w:sz w:val="15"/>
          <w:szCs w:val="15"/>
        </w:rPr>
      </w:pPr>
    </w:p>
    <w:p>
      <w:pPr>
        <w:pStyle w:val="BodyText"/>
        <w:spacing w:line="417" w:lineRule="auto"/>
        <w:ind w:right="6952"/>
        <w:jc w:val="left"/>
      </w:pPr>
      <w:r>
        <w:rPr>
          <w:rFonts w:ascii="Arial" w:hAnsi="Arial" w:cs="Arial" w:eastAsia="Arial" w:hint="default"/>
        </w:rPr>
        <w:t>1</w:t>
      </w:r>
      <w:r>
        <w:rPr/>
        <w:t>、</w:t>
      </w:r>
      <w:r>
        <w:rPr>
          <w:spacing w:val="-51"/>
        </w:rPr>
        <w:t> </w:t>
      </w:r>
      <w:r>
        <w:rPr/>
        <w:t>租赁</w:t>
      </w:r>
      <w:r>
        <w:rPr>
          <w:w w:val="99"/>
        </w:rPr>
        <w:t> </w:t>
      </w:r>
      <w:r>
        <w:rPr/>
        <w:t>作为出租人</w:t>
      </w:r>
    </w:p>
    <w:p>
      <w:pPr>
        <w:pStyle w:val="BodyText"/>
        <w:spacing w:line="240" w:lineRule="auto" w:before="70"/>
        <w:ind w:right="0"/>
        <w:jc w:val="both"/>
      </w:pPr>
      <w:r>
        <w:rPr/>
        <w:t>经营租赁的固定资产，参见附注六、</w:t>
      </w:r>
      <w:r>
        <w:rPr>
          <w:rFonts w:ascii="Arial" w:hAnsi="Arial" w:cs="Arial" w:eastAsia="Arial" w:hint="default"/>
        </w:rPr>
        <w:t>5</w:t>
      </w:r>
      <w:r>
        <w:rPr/>
        <w:t>、</w:t>
      </w:r>
      <w:r>
        <w:rPr>
          <w:rFonts w:ascii="Arial" w:hAnsi="Arial" w:cs="Arial" w:eastAsia="Arial" w:hint="default"/>
        </w:rPr>
        <w:t>(2)</w:t>
      </w:r>
      <w:r>
        <w:rPr/>
        <w:t>。</w:t>
      </w:r>
    </w:p>
    <w:p>
      <w:pPr>
        <w:spacing w:line="240" w:lineRule="auto" w:before="8"/>
        <w:rPr>
          <w:rFonts w:ascii="黑体" w:hAnsi="黑体" w:cs="黑体" w:eastAsia="黑体" w:hint="default"/>
          <w:sz w:val="15"/>
          <w:szCs w:val="15"/>
        </w:rPr>
      </w:pPr>
    </w:p>
    <w:p>
      <w:pPr>
        <w:pStyle w:val="BodyText"/>
        <w:spacing w:line="240" w:lineRule="auto"/>
        <w:ind w:right="0"/>
        <w:jc w:val="both"/>
      </w:pPr>
      <w:r>
        <w:rPr>
          <w:rFonts w:ascii="Arial" w:hAnsi="Arial" w:cs="Arial" w:eastAsia="Arial" w:hint="default"/>
        </w:rPr>
        <w:t>2</w:t>
      </w:r>
      <w:r>
        <w:rPr/>
        <w:t>、</w:t>
      </w:r>
      <w:r>
        <w:rPr>
          <w:spacing w:val="-56"/>
        </w:rPr>
        <w:t> </w:t>
      </w:r>
      <w:r>
        <w:rPr/>
        <w:t>分部报告</w:t>
      </w:r>
    </w:p>
    <w:p>
      <w:pPr>
        <w:spacing w:line="240" w:lineRule="auto" w:before="10"/>
        <w:rPr>
          <w:rFonts w:ascii="黑体" w:hAnsi="黑体" w:cs="黑体" w:eastAsia="黑体" w:hint="default"/>
          <w:sz w:val="18"/>
          <w:szCs w:val="18"/>
        </w:rPr>
      </w:pPr>
    </w:p>
    <w:p>
      <w:pPr>
        <w:pStyle w:val="BodyText"/>
        <w:spacing w:line="240" w:lineRule="exact"/>
        <w:ind w:right="182"/>
        <w:jc w:val="both"/>
      </w:pPr>
      <w:r>
        <w:rPr>
          <w:w w:val="95"/>
        </w:rPr>
        <w:t>由于本集团收入逾</w:t>
      </w:r>
      <w:r>
        <w:rPr>
          <w:rFonts w:ascii="Arial" w:hAnsi="Arial" w:cs="Arial" w:eastAsia="Arial" w:hint="default"/>
          <w:w w:val="95"/>
        </w:rPr>
        <w:t>90%</w:t>
      </w:r>
      <w:r>
        <w:rPr>
          <w:w w:val="95"/>
        </w:rPr>
        <w:t>来自于中国境内的客户，而且本集团资产逾</w:t>
      </w:r>
      <w:r>
        <w:rPr>
          <w:rFonts w:ascii="Arial" w:hAnsi="Arial" w:cs="Arial" w:eastAsia="Arial" w:hint="default"/>
          <w:w w:val="95"/>
        </w:rPr>
        <w:t>90%</w:t>
      </w:r>
      <w:r>
        <w:rPr>
          <w:w w:val="95"/>
        </w:rPr>
        <w:t>位于中国境内，所</w:t>
      </w:r>
      <w:r>
        <w:rPr>
          <w:spacing w:val="85"/>
          <w:w w:val="95"/>
        </w:rPr>
        <w:t> </w:t>
      </w:r>
      <w:r>
        <w:rPr>
          <w:spacing w:val="85"/>
          <w:w w:val="95"/>
        </w:rPr>
      </w:r>
      <w:r>
        <w:rPr/>
        <w:t>以无须列报更详细的地区分部信息。</w:t>
      </w:r>
    </w:p>
    <w:p>
      <w:pPr>
        <w:spacing w:line="240" w:lineRule="auto" w:before="5"/>
        <w:rPr>
          <w:rFonts w:ascii="黑体" w:hAnsi="黑体" w:cs="黑体" w:eastAsia="黑体" w:hint="default"/>
          <w:sz w:val="18"/>
          <w:szCs w:val="18"/>
        </w:rPr>
      </w:pPr>
    </w:p>
    <w:p>
      <w:pPr>
        <w:pStyle w:val="BodyText"/>
        <w:spacing w:line="240" w:lineRule="exact"/>
        <w:ind w:right="182"/>
        <w:jc w:val="both"/>
      </w:pPr>
      <w:r>
        <w:rPr>
          <w:w w:val="95"/>
        </w:rPr>
        <w:t>由于本集团的收入和资产逾</w:t>
      </w:r>
      <w:r>
        <w:rPr>
          <w:rFonts w:ascii="Arial" w:hAnsi="Arial" w:cs="Arial" w:eastAsia="Arial" w:hint="default"/>
          <w:w w:val="95"/>
        </w:rPr>
        <w:t>90%</w:t>
      </w:r>
      <w:r>
        <w:rPr>
          <w:w w:val="95"/>
        </w:rPr>
        <w:t>与软件销售及相关技术服务有关，所以无须列报更详细的</w:t>
      </w:r>
      <w:r>
        <w:rPr>
          <w:spacing w:val="85"/>
          <w:w w:val="95"/>
        </w:rPr>
        <w:t> </w:t>
      </w:r>
      <w:r>
        <w:rPr>
          <w:spacing w:val="85"/>
          <w:w w:val="95"/>
        </w:rPr>
      </w:r>
      <w:r>
        <w:rPr/>
        <w:t>业务分部信息。</w:t>
      </w:r>
    </w:p>
    <w:p>
      <w:pPr>
        <w:spacing w:line="240" w:lineRule="auto" w:before="2"/>
        <w:rPr>
          <w:rFonts w:ascii="黑体" w:hAnsi="黑体" w:cs="黑体" w:eastAsia="黑体" w:hint="default"/>
          <w:sz w:val="15"/>
          <w:szCs w:val="15"/>
        </w:rPr>
      </w:pPr>
    </w:p>
    <w:p>
      <w:pPr>
        <w:pStyle w:val="BodyText"/>
        <w:spacing w:line="240" w:lineRule="auto"/>
        <w:ind w:right="0"/>
        <w:jc w:val="both"/>
      </w:pPr>
      <w:r>
        <w:rPr>
          <w:rFonts w:ascii="Arial" w:hAnsi="Arial" w:cs="Arial" w:eastAsia="Arial" w:hint="default"/>
        </w:rPr>
        <w:t>3</w:t>
      </w:r>
      <w:r>
        <w:rPr/>
        <w:t>、</w:t>
      </w:r>
      <w:r>
        <w:rPr>
          <w:spacing w:val="-56"/>
        </w:rPr>
        <w:t> </w:t>
      </w:r>
      <w:r>
        <w:rPr/>
        <w:t>非公开发行股票</w:t>
      </w:r>
    </w:p>
    <w:p>
      <w:pPr>
        <w:spacing w:line="240" w:lineRule="auto" w:before="10"/>
        <w:rPr>
          <w:rFonts w:ascii="黑体" w:hAnsi="黑体" w:cs="黑体" w:eastAsia="黑体" w:hint="default"/>
          <w:sz w:val="18"/>
          <w:szCs w:val="18"/>
        </w:rPr>
      </w:pPr>
    </w:p>
    <w:p>
      <w:pPr>
        <w:pStyle w:val="BodyText"/>
        <w:spacing w:line="240" w:lineRule="exact"/>
        <w:ind w:left="813" w:right="175"/>
        <w:jc w:val="both"/>
      </w:pPr>
      <w:r>
        <w:rPr>
          <w:w w:val="95"/>
        </w:rPr>
        <w:t>本公司于</w:t>
      </w:r>
      <w:r>
        <w:rPr>
          <w:rFonts w:ascii="Arial" w:hAnsi="Arial" w:cs="Arial" w:eastAsia="Arial" w:hint="default"/>
          <w:w w:val="95"/>
        </w:rPr>
        <w:t>2012</w:t>
      </w:r>
      <w:r>
        <w:rPr>
          <w:w w:val="95"/>
        </w:rPr>
        <w:t>年</w:t>
      </w:r>
      <w:r>
        <w:rPr>
          <w:rFonts w:ascii="Arial" w:hAnsi="Arial" w:cs="Arial" w:eastAsia="Arial" w:hint="default"/>
          <w:w w:val="95"/>
        </w:rPr>
        <w:t>3</w:t>
      </w:r>
      <w:r>
        <w:rPr>
          <w:w w:val="95"/>
        </w:rPr>
        <w:t>月</w:t>
      </w:r>
      <w:r>
        <w:rPr>
          <w:rFonts w:ascii="Arial" w:hAnsi="Arial" w:cs="Arial" w:eastAsia="Arial" w:hint="default"/>
          <w:w w:val="95"/>
        </w:rPr>
        <w:t>30</w:t>
      </w:r>
      <w:r>
        <w:rPr>
          <w:w w:val="95"/>
        </w:rPr>
        <w:t>日召开</w:t>
      </w:r>
      <w:r>
        <w:rPr>
          <w:rFonts w:ascii="Arial" w:hAnsi="Arial" w:cs="Arial" w:eastAsia="Arial" w:hint="default"/>
          <w:w w:val="95"/>
        </w:rPr>
        <w:t>2011</w:t>
      </w:r>
      <w:r>
        <w:rPr>
          <w:w w:val="95"/>
        </w:rPr>
        <w:t>年年度股东大会审议通过《用友软件股份有限公司非公</w:t>
      </w:r>
      <w:r>
        <w:rPr>
          <w:spacing w:val="63"/>
          <w:w w:val="95"/>
        </w:rPr>
        <w:t> </w:t>
      </w:r>
      <w:r>
        <w:rPr>
          <w:spacing w:val="63"/>
          <w:w w:val="95"/>
        </w:rPr>
      </w:r>
      <w:r>
        <w:rPr>
          <w:w w:val="95"/>
        </w:rPr>
        <w:t>开发行股票预案》，于</w:t>
      </w:r>
      <w:r>
        <w:rPr>
          <w:rFonts w:ascii="Arial" w:hAnsi="Arial" w:cs="Arial" w:eastAsia="Arial" w:hint="default"/>
          <w:w w:val="95"/>
        </w:rPr>
        <w:t>2012</w:t>
      </w:r>
      <w:r>
        <w:rPr>
          <w:w w:val="95"/>
        </w:rPr>
        <w:t>年</w:t>
      </w:r>
      <w:r>
        <w:rPr>
          <w:rFonts w:ascii="Arial" w:hAnsi="Arial" w:cs="Arial" w:eastAsia="Arial" w:hint="default"/>
          <w:w w:val="95"/>
        </w:rPr>
        <w:t>7</w:t>
      </w:r>
      <w:r>
        <w:rPr>
          <w:w w:val="95"/>
        </w:rPr>
        <w:t>月</w:t>
      </w:r>
      <w:r>
        <w:rPr>
          <w:rFonts w:ascii="Arial" w:hAnsi="Arial" w:cs="Arial" w:eastAsia="Arial" w:hint="default"/>
          <w:w w:val="95"/>
        </w:rPr>
        <w:t>16</w:t>
      </w:r>
      <w:r>
        <w:rPr>
          <w:w w:val="95"/>
        </w:rPr>
        <w:t>日召开</w:t>
      </w:r>
      <w:r>
        <w:rPr>
          <w:rFonts w:ascii="Arial" w:hAnsi="Arial" w:cs="Arial" w:eastAsia="Arial" w:hint="default"/>
          <w:w w:val="95"/>
        </w:rPr>
        <w:t>2012</w:t>
      </w:r>
      <w:r>
        <w:rPr>
          <w:w w:val="95"/>
        </w:rPr>
        <w:t>年第一次临时股东大会审议通过《用友软</w:t>
      </w:r>
      <w:r>
        <w:rPr>
          <w:spacing w:val="63"/>
          <w:w w:val="95"/>
        </w:rPr>
        <w:t> </w:t>
      </w:r>
      <w:r>
        <w:rPr>
          <w:spacing w:val="63"/>
          <w:w w:val="95"/>
        </w:rPr>
      </w:r>
      <w:r>
        <w:rPr>
          <w:spacing w:val="2"/>
        </w:rPr>
        <w:t>件股份有限公司非公开发行股票预案（修订稿）》</w:t>
      </w:r>
      <w:r>
        <w:rPr>
          <w:spacing w:val="-4"/>
        </w:rPr>
        <w:t> </w:t>
      </w:r>
      <w:r>
        <w:rPr>
          <w:spacing w:val="2"/>
        </w:rPr>
        <w:t>，本次非公开发行的发行对象为符合</w:t>
      </w:r>
      <w:r>
        <w:rPr>
          <w:spacing w:val="2"/>
          <w:w w:val="99"/>
        </w:rPr>
        <w:t> </w:t>
      </w:r>
      <w:r>
        <w:rPr>
          <w:spacing w:val="2"/>
        </w:rPr>
        <w:t>法律、法规和中国证监会规定的不超过十名的特定投资者。发行价格不低于人民币</w:t>
      </w:r>
      <w:r>
        <w:rPr>
          <w:rFonts w:ascii="Arial" w:hAnsi="Arial" w:cs="Arial" w:eastAsia="Arial" w:hint="default"/>
          <w:spacing w:val="2"/>
        </w:rPr>
        <w:t>13.58</w:t>
      </w:r>
      <w:r>
        <w:rPr>
          <w:rFonts w:ascii="Arial" w:hAnsi="Arial" w:cs="Arial" w:eastAsia="Arial" w:hint="default"/>
          <w:w w:val="99"/>
        </w:rPr>
        <w:t> </w:t>
      </w:r>
      <w:r>
        <w:rPr>
          <w:spacing w:val="-6"/>
          <w:w w:val="95"/>
        </w:rPr>
        <w:t>元</w:t>
      </w:r>
      <w:r>
        <w:rPr>
          <w:rFonts w:ascii="Arial" w:hAnsi="Arial" w:cs="Arial" w:eastAsia="Arial" w:hint="default"/>
          <w:spacing w:val="-6"/>
          <w:w w:val="95"/>
        </w:rPr>
        <w:t>/</w:t>
      </w:r>
      <w:r>
        <w:rPr>
          <w:spacing w:val="-6"/>
          <w:w w:val="95"/>
        </w:rPr>
        <w:t>股。发行股份数量不超过</w:t>
      </w:r>
      <w:r>
        <w:rPr>
          <w:rFonts w:ascii="Arial" w:hAnsi="Arial" w:cs="Arial" w:eastAsia="Arial" w:hint="default"/>
          <w:spacing w:val="-6"/>
          <w:w w:val="95"/>
        </w:rPr>
        <w:t>13,833</w:t>
      </w:r>
      <w:r>
        <w:rPr>
          <w:spacing w:val="-6"/>
          <w:w w:val="95"/>
        </w:rPr>
        <w:t>万股（含</w:t>
      </w:r>
      <w:r>
        <w:rPr>
          <w:rFonts w:ascii="Arial" w:hAnsi="Arial" w:cs="Arial" w:eastAsia="Arial" w:hint="default"/>
          <w:spacing w:val="-6"/>
          <w:w w:val="95"/>
        </w:rPr>
        <w:t>13,833</w:t>
      </w:r>
      <w:r>
        <w:rPr>
          <w:spacing w:val="-6"/>
          <w:w w:val="95"/>
        </w:rPr>
        <w:t>万股）。拟募集资金总额（含发行费用）</w:t>
      </w:r>
      <w:r>
        <w:rPr>
          <w:spacing w:val="19"/>
          <w:w w:val="95"/>
        </w:rPr>
        <w:t> </w:t>
      </w:r>
      <w:r>
        <w:rPr>
          <w:spacing w:val="19"/>
          <w:w w:val="95"/>
        </w:rPr>
      </w:r>
      <w:r>
        <w:rPr>
          <w:w w:val="95"/>
        </w:rPr>
        <w:t>不超过人民币</w:t>
      </w:r>
      <w:r>
        <w:rPr>
          <w:rFonts w:ascii="Arial" w:hAnsi="Arial" w:cs="Arial" w:eastAsia="Arial" w:hint="default"/>
          <w:w w:val="95"/>
        </w:rPr>
        <w:t>187,857.54</w:t>
      </w:r>
      <w:r>
        <w:rPr>
          <w:w w:val="95"/>
        </w:rPr>
        <w:t>万元，扣除发行费用后，募集资金将用于用友下一代企业与政府</w:t>
      </w:r>
      <w:r>
        <w:rPr>
          <w:spacing w:val="82"/>
          <w:w w:val="95"/>
        </w:rPr>
        <w:t> </w:t>
      </w:r>
      <w:r>
        <w:rPr>
          <w:spacing w:val="82"/>
          <w:w w:val="95"/>
        </w:rPr>
      </w:r>
      <w:r>
        <w:rPr>
          <w:w w:val="95"/>
        </w:rPr>
        <w:t>应用系统、用友云服务（北京）中心、用友业务外包服务（南昌）中心项目建设。本次非</w:t>
      </w:r>
      <w:r>
        <w:rPr>
          <w:spacing w:val="85"/>
          <w:w w:val="95"/>
        </w:rPr>
        <w:t> </w:t>
      </w:r>
      <w:r>
        <w:rPr>
          <w:spacing w:val="85"/>
          <w:w w:val="95"/>
        </w:rPr>
      </w:r>
      <w:r>
        <w:rPr>
          <w:spacing w:val="-1"/>
          <w:w w:val="95"/>
        </w:rPr>
        <w:t>公开发行方案已于</w:t>
      </w:r>
      <w:r>
        <w:rPr>
          <w:rFonts w:ascii="Arial" w:hAnsi="Arial" w:cs="Arial" w:eastAsia="Arial" w:hint="default"/>
          <w:spacing w:val="-1"/>
          <w:w w:val="95"/>
        </w:rPr>
        <w:t>2012</w:t>
      </w:r>
      <w:r>
        <w:rPr>
          <w:spacing w:val="-1"/>
          <w:w w:val="95"/>
        </w:rPr>
        <w:t>年</w:t>
      </w:r>
      <w:r>
        <w:rPr>
          <w:rFonts w:ascii="Arial" w:hAnsi="Arial" w:cs="Arial" w:eastAsia="Arial" w:hint="default"/>
          <w:spacing w:val="-1"/>
          <w:w w:val="95"/>
        </w:rPr>
        <w:t>8</w:t>
      </w:r>
      <w:r>
        <w:rPr>
          <w:spacing w:val="-1"/>
          <w:w w:val="95"/>
        </w:rPr>
        <w:t>月</w:t>
      </w:r>
      <w:r>
        <w:rPr>
          <w:rFonts w:ascii="Arial" w:hAnsi="Arial" w:cs="Arial" w:eastAsia="Arial" w:hint="default"/>
          <w:spacing w:val="-1"/>
          <w:w w:val="95"/>
        </w:rPr>
        <w:t>29</w:t>
      </w:r>
      <w:r>
        <w:rPr>
          <w:spacing w:val="-1"/>
          <w:w w:val="95"/>
        </w:rPr>
        <w:t>日中国证券监督管理委员会的核准。本公司于</w:t>
      </w:r>
      <w:r>
        <w:rPr>
          <w:rFonts w:ascii="Arial" w:hAnsi="Arial" w:cs="Arial" w:eastAsia="Arial" w:hint="default"/>
          <w:spacing w:val="-1"/>
          <w:w w:val="95"/>
        </w:rPr>
        <w:t>2012</w:t>
      </w:r>
      <w:r>
        <w:rPr>
          <w:spacing w:val="-1"/>
          <w:w w:val="95"/>
        </w:rPr>
        <w:t>年</w:t>
      </w:r>
      <w:r>
        <w:rPr>
          <w:rFonts w:ascii="Arial" w:hAnsi="Arial" w:cs="Arial" w:eastAsia="Arial" w:hint="default"/>
          <w:spacing w:val="-1"/>
          <w:w w:val="95"/>
        </w:rPr>
        <w:t>10</w:t>
      </w:r>
      <w:r>
        <w:rPr>
          <w:spacing w:val="-1"/>
          <w:w w:val="95"/>
        </w:rPr>
        <w:t>月</w:t>
      </w:r>
      <w:r>
        <w:rPr>
          <w:spacing w:val="83"/>
          <w:w w:val="95"/>
        </w:rPr>
        <w:t> </w:t>
      </w:r>
      <w:r>
        <w:rPr>
          <w:rFonts w:ascii="Arial" w:hAnsi="Arial" w:cs="Arial" w:eastAsia="Arial" w:hint="default"/>
          <w:w w:val="95"/>
        </w:rPr>
        <w:t>15</w:t>
      </w:r>
      <w:r>
        <w:rPr>
          <w:w w:val="95"/>
        </w:rPr>
        <w:t>日收到中国证券监督管理委员会《关于核准用友软件股份有限公司非公开发行股票的批</w:t>
      </w:r>
      <w:r>
        <w:rPr>
          <w:spacing w:val="64"/>
          <w:w w:val="95"/>
        </w:rPr>
        <w:t> </w:t>
      </w:r>
      <w:r>
        <w:rPr>
          <w:spacing w:val="64"/>
          <w:w w:val="95"/>
        </w:rPr>
      </w:r>
      <w:r>
        <w:rPr>
          <w:w w:val="95"/>
        </w:rPr>
        <w:t>复》（证监许可</w:t>
      </w:r>
      <w:r>
        <w:rPr>
          <w:rFonts w:ascii="Arial" w:hAnsi="Arial" w:cs="Arial" w:eastAsia="Arial" w:hint="default"/>
          <w:w w:val="95"/>
        </w:rPr>
        <w:t>[2012]1348</w:t>
      </w:r>
      <w:r>
        <w:rPr>
          <w:w w:val="95"/>
        </w:rPr>
        <w:t>号），核准公司非公开发行不超过</w:t>
      </w:r>
      <w:r>
        <w:rPr>
          <w:rFonts w:ascii="Arial" w:hAnsi="Arial" w:cs="Arial" w:eastAsia="Arial" w:hint="default"/>
          <w:w w:val="95"/>
        </w:rPr>
        <w:t>13,833</w:t>
      </w:r>
      <w:r>
        <w:rPr>
          <w:w w:val="95"/>
        </w:rPr>
        <w:t>万股新股。批复自核</w:t>
      </w:r>
      <w:r>
        <w:rPr>
          <w:spacing w:val="69"/>
          <w:w w:val="95"/>
        </w:rPr>
        <w:t> </w:t>
      </w:r>
      <w:r>
        <w:rPr>
          <w:spacing w:val="69"/>
          <w:w w:val="95"/>
        </w:rPr>
      </w:r>
      <w:r>
        <w:rPr>
          <w:spacing w:val="2"/>
        </w:rPr>
        <w:t>准发行之日起</w:t>
      </w:r>
      <w:r>
        <w:rPr>
          <w:rFonts w:ascii="Arial" w:hAnsi="Arial" w:cs="Arial" w:eastAsia="Arial" w:hint="default"/>
          <w:spacing w:val="2"/>
        </w:rPr>
        <w:t>6</w:t>
      </w:r>
      <w:r>
        <w:rPr>
          <w:spacing w:val="2"/>
        </w:rPr>
        <w:t>个月内有效。截止本财务报表批准日，本公司正在推进本次非公开发行股</w:t>
      </w:r>
      <w:r>
        <w:rPr>
          <w:spacing w:val="2"/>
          <w:w w:val="99"/>
        </w:rPr>
        <w:t> </w:t>
      </w:r>
      <w:r>
        <w:rPr/>
        <w:t>票的实施工作。</w:t>
      </w:r>
    </w:p>
    <w:p>
      <w:pPr>
        <w:spacing w:after="0" w:line="240" w:lineRule="exact"/>
        <w:jc w:val="both"/>
        <w:sectPr>
          <w:headerReference w:type="default" r:id="rId69"/>
          <w:pgSz w:w="11910" w:h="16850"/>
          <w:pgMar w:header="957" w:footer="689" w:top="2560" w:bottom="880" w:left="1600" w:right="1520"/>
        </w:sectPr>
      </w:pPr>
    </w:p>
    <w:p>
      <w:pPr>
        <w:spacing w:line="240" w:lineRule="auto" w:before="0"/>
        <w:rPr>
          <w:rFonts w:ascii="黑体" w:hAnsi="黑体" w:cs="黑体" w:eastAsia="黑体" w:hint="default"/>
          <w:sz w:val="17"/>
          <w:szCs w:val="17"/>
        </w:rPr>
      </w:pPr>
    </w:p>
    <w:p>
      <w:pPr>
        <w:pStyle w:val="Heading6"/>
        <w:spacing w:line="240" w:lineRule="auto"/>
        <w:ind w:right="902"/>
        <w:jc w:val="left"/>
        <w:rPr>
          <w:b w:val="0"/>
          <w:bCs w:val="0"/>
        </w:rPr>
      </w:pPr>
      <w:r>
        <w:rPr/>
        <w:t>十二、</w:t>
      </w:r>
      <w:r>
        <w:rPr>
          <w:spacing w:val="-3"/>
        </w:rPr>
        <w:t> </w:t>
      </w:r>
      <w:r>
        <w:rPr/>
        <w:t>金融工具及其风险分析</w:t>
      </w:r>
      <w:r>
        <w:rPr>
          <w:b w:val="0"/>
          <w:bCs w:val="0"/>
        </w:rPr>
      </w:r>
    </w:p>
    <w:p>
      <w:pPr>
        <w:spacing w:line="240" w:lineRule="auto" w:before="13"/>
        <w:rPr>
          <w:rFonts w:ascii="黑体" w:hAnsi="黑体" w:cs="黑体" w:eastAsia="黑体" w:hint="default"/>
          <w:b/>
          <w:bCs/>
          <w:sz w:val="19"/>
          <w:szCs w:val="19"/>
        </w:rPr>
      </w:pPr>
    </w:p>
    <w:p>
      <w:pPr>
        <w:pStyle w:val="BodyText"/>
        <w:spacing w:line="237" w:lineRule="auto"/>
        <w:ind w:right="182"/>
        <w:jc w:val="both"/>
      </w:pPr>
      <w:r>
        <w:rPr>
          <w:w w:val="95"/>
        </w:rPr>
        <w:t>本集团的主要金融工具包括货币资金、短期借款及长期借款等。这些金融工具的主要目的</w:t>
      </w:r>
      <w:r>
        <w:rPr>
          <w:spacing w:val="87"/>
          <w:w w:val="95"/>
        </w:rPr>
        <w:t> </w:t>
      </w:r>
      <w:r>
        <w:rPr>
          <w:spacing w:val="87"/>
          <w:w w:val="95"/>
        </w:rPr>
      </w:r>
      <w:r>
        <w:rPr>
          <w:w w:val="95"/>
        </w:rPr>
        <w:t>在于为本集团的运营融资。本集团具有多种因经营而直接产生的其他金融资产和负债，如</w:t>
      </w:r>
      <w:r>
        <w:rPr>
          <w:spacing w:val="87"/>
          <w:w w:val="95"/>
        </w:rPr>
        <w:t> </w:t>
      </w:r>
      <w:r>
        <w:rPr>
          <w:spacing w:val="87"/>
          <w:w w:val="95"/>
        </w:rPr>
      </w:r>
      <w:r>
        <w:rPr/>
        <w:t>应收账款、应付账款、应收票据、其他应收款、应付票据和其他应付款等。</w:t>
      </w:r>
    </w:p>
    <w:p>
      <w:pPr>
        <w:spacing w:line="240" w:lineRule="auto" w:before="8"/>
        <w:rPr>
          <w:rFonts w:ascii="黑体" w:hAnsi="黑体" w:cs="黑体" w:eastAsia="黑体" w:hint="default"/>
          <w:sz w:val="19"/>
          <w:szCs w:val="19"/>
        </w:rPr>
      </w:pPr>
    </w:p>
    <w:p>
      <w:pPr>
        <w:pStyle w:val="BodyText"/>
        <w:spacing w:line="477" w:lineRule="auto"/>
        <w:ind w:right="902"/>
        <w:jc w:val="left"/>
      </w:pPr>
      <w:r>
        <w:rPr>
          <w:w w:val="95"/>
        </w:rPr>
        <w:t>本集团的金融工具导致的主要风险是信用风险、流动风险及市场风险。</w:t>
      </w:r>
      <w:r>
        <w:rPr>
          <w:spacing w:val="18"/>
          <w:w w:val="95"/>
        </w:rPr>
        <w:t> </w:t>
      </w:r>
      <w:r>
        <w:rPr>
          <w:spacing w:val="18"/>
          <w:w w:val="95"/>
        </w:rPr>
      </w:r>
      <w:r>
        <w:rPr/>
        <w:t>金融工具分类</w:t>
      </w:r>
    </w:p>
    <w:p>
      <w:pPr>
        <w:pStyle w:val="BodyText"/>
        <w:spacing w:line="240" w:lineRule="auto" w:before="61"/>
        <w:ind w:right="0"/>
        <w:jc w:val="both"/>
      </w:pPr>
      <w:r>
        <w:rPr/>
        <w:t>资产负债表日的各类金融工具的账面价值如下：</w:t>
      </w:r>
    </w:p>
    <w:p>
      <w:pPr>
        <w:spacing w:line="240" w:lineRule="auto" w:before="8"/>
        <w:rPr>
          <w:rFonts w:ascii="黑体" w:hAnsi="黑体" w:cs="黑体" w:eastAsia="黑体" w:hint="default"/>
          <w:sz w:val="19"/>
          <w:szCs w:val="19"/>
        </w:rPr>
      </w:pPr>
    </w:p>
    <w:p>
      <w:pPr>
        <w:pStyle w:val="BodyText"/>
        <w:spacing w:line="240" w:lineRule="auto"/>
        <w:ind w:right="0"/>
        <w:jc w:val="both"/>
      </w:pPr>
      <w:r>
        <w:rPr>
          <w:rFonts w:ascii="Arial" w:hAnsi="Arial" w:cs="Arial" w:eastAsia="Arial" w:hint="default"/>
        </w:rPr>
        <w:t>2012</w:t>
      </w:r>
      <w:r>
        <w:rPr/>
        <w:t>年</w:t>
      </w:r>
    </w:p>
    <w:p>
      <w:pPr>
        <w:spacing w:line="240" w:lineRule="auto" w:before="9"/>
        <w:rPr>
          <w:rFonts w:ascii="黑体" w:hAnsi="黑体" w:cs="黑体" w:eastAsia="黑体" w:hint="default"/>
          <w:sz w:val="18"/>
          <w:szCs w:val="18"/>
        </w:rPr>
      </w:pPr>
    </w:p>
    <w:p>
      <w:pPr>
        <w:pStyle w:val="BodyText"/>
        <w:spacing w:line="240" w:lineRule="auto"/>
        <w:ind w:right="0"/>
        <w:jc w:val="both"/>
      </w:pPr>
      <w:r>
        <w:rPr/>
        <w:t>金融资产 —</w:t>
      </w:r>
      <w:r>
        <w:rPr>
          <w:spacing w:val="-4"/>
        </w:rPr>
        <w:t> </w:t>
      </w:r>
      <w:r>
        <w:rPr/>
        <w:t>贷款和应收款项</w:t>
      </w:r>
    </w:p>
    <w:p>
      <w:pPr>
        <w:spacing w:line="240" w:lineRule="auto" w:before="8"/>
        <w:rPr>
          <w:rFonts w:ascii="黑体" w:hAnsi="黑体" w:cs="黑体" w:eastAsia="黑体" w:hint="default"/>
          <w:sz w:val="24"/>
          <w:szCs w:val="24"/>
        </w:rPr>
      </w:pPr>
    </w:p>
    <w:tbl>
      <w:tblPr>
        <w:tblW w:w="0" w:type="auto"/>
        <w:jc w:val="left"/>
        <w:tblInd w:w="614" w:type="dxa"/>
        <w:tblLayout w:type="fixed"/>
        <w:tblCellMar>
          <w:top w:w="0" w:type="dxa"/>
          <w:left w:w="0" w:type="dxa"/>
          <w:bottom w:w="0" w:type="dxa"/>
          <w:right w:w="0" w:type="dxa"/>
        </w:tblCellMar>
        <w:tblLook w:val="01E0"/>
      </w:tblPr>
      <w:tblGrid>
        <w:gridCol w:w="2607"/>
        <w:gridCol w:w="3218"/>
        <w:gridCol w:w="2221"/>
      </w:tblGrid>
      <w:tr>
        <w:trPr>
          <w:trHeight w:val="364" w:hRule="exact"/>
        </w:trPr>
        <w:tc>
          <w:tcPr>
            <w:tcW w:w="2607" w:type="dxa"/>
            <w:tcBorders>
              <w:top w:val="nil" w:sz="6" w:space="0" w:color="auto"/>
              <w:left w:val="nil" w:sz="6" w:space="0" w:color="auto"/>
              <w:bottom w:val="nil" w:sz="6" w:space="0" w:color="auto"/>
              <w:right w:val="nil" w:sz="6" w:space="0" w:color="auto"/>
            </w:tcBorders>
          </w:tcPr>
          <w:p>
            <w:pPr/>
          </w:p>
        </w:tc>
        <w:tc>
          <w:tcPr>
            <w:tcW w:w="3218" w:type="dxa"/>
            <w:tcBorders>
              <w:top w:val="nil" w:sz="6" w:space="0" w:color="auto"/>
              <w:left w:val="nil" w:sz="6" w:space="0" w:color="auto"/>
              <w:bottom w:val="nil" w:sz="6" w:space="0" w:color="auto"/>
              <w:right w:val="nil" w:sz="6" w:space="0" w:color="auto"/>
            </w:tcBorders>
          </w:tcPr>
          <w:p>
            <w:pPr>
              <w:pStyle w:val="TableParagraph"/>
              <w:spacing w:line="214" w:lineRule="exact"/>
              <w:ind w:right="530"/>
              <w:jc w:val="right"/>
              <w:rPr>
                <w:rFonts w:ascii="黑体" w:hAnsi="黑体" w:cs="黑体" w:eastAsia="黑体" w:hint="default"/>
                <w:sz w:val="20"/>
                <w:szCs w:val="20"/>
              </w:rPr>
            </w:pPr>
            <w:r>
              <w:rPr>
                <w:rFonts w:ascii="Arial" w:hAnsi="Arial" w:cs="Arial" w:eastAsia="Arial" w:hint="default"/>
                <w:w w:val="95"/>
                <w:sz w:val="20"/>
                <w:szCs w:val="20"/>
              </w:rPr>
              <w:t>2012</w:t>
            </w:r>
            <w:r>
              <w:rPr>
                <w:rFonts w:ascii="黑体" w:hAnsi="黑体" w:cs="黑体" w:eastAsia="黑体" w:hint="default"/>
                <w:w w:val="95"/>
                <w:sz w:val="20"/>
                <w:szCs w:val="20"/>
              </w:rPr>
              <w:t>年</w:t>
            </w:r>
            <w:r>
              <w:rPr>
                <w:rFonts w:ascii="Arial" w:hAnsi="Arial" w:cs="Arial" w:eastAsia="Arial" w:hint="default"/>
                <w:w w:val="95"/>
                <w:sz w:val="20"/>
                <w:szCs w:val="20"/>
              </w:rPr>
              <w:t>12</w:t>
            </w:r>
            <w:r>
              <w:rPr>
                <w:rFonts w:ascii="黑体" w:hAnsi="黑体" w:cs="黑体" w:eastAsia="黑体" w:hint="default"/>
                <w:w w:val="95"/>
                <w:sz w:val="20"/>
                <w:szCs w:val="20"/>
              </w:rPr>
              <w:t>月</w:t>
            </w:r>
            <w:r>
              <w:rPr>
                <w:rFonts w:ascii="Arial" w:hAnsi="Arial" w:cs="Arial" w:eastAsia="Arial" w:hint="default"/>
                <w:w w:val="95"/>
                <w:sz w:val="20"/>
                <w:szCs w:val="20"/>
              </w:rPr>
              <w:t>31</w:t>
            </w:r>
            <w:r>
              <w:rPr>
                <w:rFonts w:ascii="黑体" w:hAnsi="黑体" w:cs="黑体" w:eastAsia="黑体" w:hint="default"/>
                <w:w w:val="95"/>
                <w:sz w:val="20"/>
                <w:szCs w:val="20"/>
              </w:rPr>
              <w:t>日</w:t>
            </w:r>
            <w:r>
              <w:rPr>
                <w:rFonts w:ascii="黑体" w:hAnsi="黑体" w:cs="黑体" w:eastAsia="黑体" w:hint="default"/>
                <w:sz w:val="20"/>
                <w:szCs w:val="20"/>
              </w:rPr>
            </w:r>
          </w:p>
        </w:tc>
        <w:tc>
          <w:tcPr>
            <w:tcW w:w="2221" w:type="dxa"/>
            <w:tcBorders>
              <w:top w:val="nil" w:sz="6" w:space="0" w:color="auto"/>
              <w:left w:val="nil" w:sz="6" w:space="0" w:color="auto"/>
              <w:bottom w:val="nil" w:sz="6" w:space="0" w:color="auto"/>
              <w:right w:val="nil" w:sz="6" w:space="0" w:color="auto"/>
            </w:tcBorders>
          </w:tcPr>
          <w:p>
            <w:pPr>
              <w:pStyle w:val="TableParagraph"/>
              <w:spacing w:line="214" w:lineRule="exact"/>
              <w:ind w:right="198"/>
              <w:jc w:val="right"/>
              <w:rPr>
                <w:rFonts w:ascii="黑体" w:hAnsi="黑体" w:cs="黑体" w:eastAsia="黑体" w:hint="default"/>
                <w:sz w:val="20"/>
                <w:szCs w:val="20"/>
              </w:rPr>
            </w:pPr>
            <w:r>
              <w:rPr>
                <w:rFonts w:ascii="Arial" w:hAnsi="Arial" w:cs="Arial" w:eastAsia="Arial" w:hint="default"/>
                <w:w w:val="95"/>
                <w:sz w:val="20"/>
                <w:szCs w:val="20"/>
              </w:rPr>
              <w:t>2011</w:t>
            </w:r>
            <w:r>
              <w:rPr>
                <w:rFonts w:ascii="黑体" w:hAnsi="黑体" w:cs="黑体" w:eastAsia="黑体" w:hint="default"/>
                <w:w w:val="95"/>
                <w:sz w:val="20"/>
                <w:szCs w:val="20"/>
              </w:rPr>
              <w:t>年</w:t>
            </w:r>
            <w:r>
              <w:rPr>
                <w:rFonts w:ascii="Arial" w:hAnsi="Arial" w:cs="Arial" w:eastAsia="Arial" w:hint="default"/>
                <w:w w:val="95"/>
                <w:sz w:val="20"/>
                <w:szCs w:val="20"/>
              </w:rPr>
              <w:t>12</w:t>
            </w:r>
            <w:r>
              <w:rPr>
                <w:rFonts w:ascii="黑体" w:hAnsi="黑体" w:cs="黑体" w:eastAsia="黑体" w:hint="default"/>
                <w:w w:val="95"/>
                <w:sz w:val="20"/>
                <w:szCs w:val="20"/>
              </w:rPr>
              <w:t>月</w:t>
            </w:r>
            <w:r>
              <w:rPr>
                <w:rFonts w:ascii="Arial" w:hAnsi="Arial" w:cs="Arial" w:eastAsia="Arial" w:hint="default"/>
                <w:w w:val="95"/>
                <w:sz w:val="20"/>
                <w:szCs w:val="20"/>
              </w:rPr>
              <w:t>31</w:t>
            </w:r>
            <w:r>
              <w:rPr>
                <w:rFonts w:ascii="黑体" w:hAnsi="黑体" w:cs="黑体" w:eastAsia="黑体" w:hint="default"/>
                <w:w w:val="95"/>
                <w:sz w:val="20"/>
                <w:szCs w:val="20"/>
              </w:rPr>
              <w:t>日</w:t>
            </w:r>
            <w:r>
              <w:rPr>
                <w:rFonts w:ascii="黑体" w:hAnsi="黑体" w:cs="黑体" w:eastAsia="黑体" w:hint="default"/>
                <w:sz w:val="20"/>
                <w:szCs w:val="20"/>
              </w:rPr>
            </w:r>
          </w:p>
        </w:tc>
      </w:tr>
      <w:tr>
        <w:trPr>
          <w:trHeight w:val="390" w:hRule="exact"/>
        </w:trPr>
        <w:tc>
          <w:tcPr>
            <w:tcW w:w="2607"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00" w:right="0"/>
              <w:jc w:val="left"/>
              <w:rPr>
                <w:rFonts w:ascii="黑体" w:hAnsi="黑体" w:cs="黑体" w:eastAsia="黑体" w:hint="default"/>
                <w:sz w:val="20"/>
                <w:szCs w:val="20"/>
              </w:rPr>
            </w:pPr>
            <w:r>
              <w:rPr>
                <w:rFonts w:ascii="黑体" w:hAnsi="黑体" w:cs="黑体" w:eastAsia="黑体" w:hint="default"/>
                <w:sz w:val="20"/>
                <w:szCs w:val="20"/>
              </w:rPr>
              <w:t>货币资金</w:t>
            </w:r>
          </w:p>
        </w:tc>
        <w:tc>
          <w:tcPr>
            <w:tcW w:w="3218"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531"/>
              <w:jc w:val="right"/>
              <w:rPr>
                <w:rFonts w:ascii="Arial" w:hAnsi="Arial" w:cs="Arial" w:eastAsia="Arial" w:hint="default"/>
                <w:sz w:val="20"/>
                <w:szCs w:val="20"/>
              </w:rPr>
            </w:pPr>
            <w:r>
              <w:rPr>
                <w:rFonts w:ascii="Arial"/>
                <w:spacing w:val="-1"/>
                <w:sz w:val="20"/>
              </w:rPr>
              <w:t>1,697,036,209</w:t>
            </w:r>
            <w:r>
              <w:rPr>
                <w:rFonts w:ascii="Arial"/>
                <w:sz w:val="20"/>
              </w:rPr>
            </w:r>
          </w:p>
        </w:tc>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98"/>
              <w:jc w:val="right"/>
              <w:rPr>
                <w:rFonts w:ascii="Arial" w:hAnsi="Arial" w:cs="Arial" w:eastAsia="Arial" w:hint="default"/>
                <w:sz w:val="20"/>
                <w:szCs w:val="20"/>
              </w:rPr>
            </w:pPr>
            <w:r>
              <w:rPr>
                <w:rFonts w:ascii="Arial"/>
                <w:spacing w:val="-1"/>
                <w:sz w:val="20"/>
              </w:rPr>
              <w:t>1,397,118,426</w:t>
            </w:r>
            <w:r>
              <w:rPr>
                <w:rFonts w:ascii="Arial"/>
                <w:sz w:val="20"/>
              </w:rPr>
            </w:r>
          </w:p>
        </w:tc>
      </w:tr>
      <w:tr>
        <w:trPr>
          <w:trHeight w:val="260" w:hRule="exact"/>
        </w:trPr>
        <w:tc>
          <w:tcPr>
            <w:tcW w:w="2607"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应收票据</w:t>
            </w:r>
          </w:p>
        </w:tc>
        <w:tc>
          <w:tcPr>
            <w:tcW w:w="321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31"/>
              <w:jc w:val="right"/>
              <w:rPr>
                <w:rFonts w:ascii="Arial" w:hAnsi="Arial" w:cs="Arial" w:eastAsia="Arial" w:hint="default"/>
                <w:sz w:val="20"/>
                <w:szCs w:val="20"/>
              </w:rPr>
            </w:pPr>
            <w:r>
              <w:rPr>
                <w:rFonts w:ascii="Arial"/>
                <w:spacing w:val="-1"/>
                <w:sz w:val="20"/>
              </w:rPr>
              <w:t>53,428,161</w:t>
            </w:r>
            <w:r>
              <w:rPr>
                <w:rFonts w:ascii="Arial"/>
                <w:sz w:val="20"/>
              </w:rPr>
            </w:r>
          </w:p>
        </w:tc>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8"/>
              <w:jc w:val="right"/>
              <w:rPr>
                <w:rFonts w:ascii="Arial" w:hAnsi="Arial" w:cs="Arial" w:eastAsia="Arial" w:hint="default"/>
                <w:sz w:val="20"/>
                <w:szCs w:val="20"/>
              </w:rPr>
            </w:pPr>
            <w:r>
              <w:rPr>
                <w:rFonts w:ascii="Arial"/>
                <w:spacing w:val="-1"/>
                <w:sz w:val="20"/>
              </w:rPr>
              <w:t>13,254,381</w:t>
            </w:r>
            <w:r>
              <w:rPr>
                <w:rFonts w:ascii="Arial"/>
                <w:sz w:val="20"/>
              </w:rPr>
            </w:r>
          </w:p>
        </w:tc>
      </w:tr>
      <w:tr>
        <w:trPr>
          <w:trHeight w:val="259" w:hRule="exact"/>
        </w:trPr>
        <w:tc>
          <w:tcPr>
            <w:tcW w:w="2607" w:type="dxa"/>
            <w:tcBorders>
              <w:top w:val="nil" w:sz="6" w:space="0" w:color="auto"/>
              <w:left w:val="nil" w:sz="6" w:space="0" w:color="auto"/>
              <w:bottom w:val="nil" w:sz="6" w:space="0" w:color="auto"/>
              <w:right w:val="nil" w:sz="6" w:space="0" w:color="auto"/>
            </w:tcBorders>
          </w:tcPr>
          <w:p>
            <w:pPr>
              <w:pStyle w:val="TableParagraph"/>
              <w:spacing w:line="224" w:lineRule="exact"/>
              <w:ind w:left="200" w:right="0"/>
              <w:jc w:val="left"/>
              <w:rPr>
                <w:rFonts w:ascii="黑体" w:hAnsi="黑体" w:cs="黑体" w:eastAsia="黑体" w:hint="default"/>
                <w:sz w:val="20"/>
                <w:szCs w:val="20"/>
              </w:rPr>
            </w:pPr>
            <w:r>
              <w:rPr>
                <w:rFonts w:ascii="黑体" w:hAnsi="黑体" w:cs="黑体" w:eastAsia="黑体" w:hint="default"/>
                <w:sz w:val="20"/>
                <w:szCs w:val="20"/>
              </w:rPr>
              <w:t>应收账款</w:t>
            </w:r>
          </w:p>
        </w:tc>
        <w:tc>
          <w:tcPr>
            <w:tcW w:w="32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31"/>
              <w:jc w:val="right"/>
              <w:rPr>
                <w:rFonts w:ascii="Arial" w:hAnsi="Arial" w:cs="Arial" w:eastAsia="Arial" w:hint="default"/>
                <w:sz w:val="20"/>
                <w:szCs w:val="20"/>
              </w:rPr>
            </w:pPr>
            <w:r>
              <w:rPr>
                <w:rFonts w:ascii="Arial"/>
                <w:spacing w:val="-1"/>
                <w:sz w:val="20"/>
              </w:rPr>
              <w:t>1,306,428,847</w:t>
            </w:r>
            <w:r>
              <w:rPr>
                <w:rFonts w:ascii="Arial"/>
                <w:sz w:val="20"/>
              </w:rPr>
            </w:r>
          </w:p>
        </w:tc>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8"/>
              <w:jc w:val="right"/>
              <w:rPr>
                <w:rFonts w:ascii="Arial" w:hAnsi="Arial" w:cs="Arial" w:eastAsia="Arial" w:hint="default"/>
                <w:sz w:val="20"/>
                <w:szCs w:val="20"/>
              </w:rPr>
            </w:pPr>
            <w:r>
              <w:rPr>
                <w:rFonts w:ascii="Arial"/>
                <w:spacing w:val="-1"/>
                <w:sz w:val="20"/>
              </w:rPr>
              <w:t>1,266,411,804</w:t>
            </w:r>
            <w:r>
              <w:rPr>
                <w:rFonts w:ascii="Arial"/>
                <w:sz w:val="20"/>
              </w:rPr>
            </w:r>
          </w:p>
        </w:tc>
      </w:tr>
      <w:tr>
        <w:trPr>
          <w:trHeight w:val="395" w:hRule="exact"/>
        </w:trPr>
        <w:tc>
          <w:tcPr>
            <w:tcW w:w="2607" w:type="dxa"/>
            <w:tcBorders>
              <w:top w:val="nil" w:sz="6" w:space="0" w:color="auto"/>
              <w:left w:val="nil" w:sz="6" w:space="0" w:color="auto"/>
              <w:bottom w:val="nil" w:sz="6" w:space="0" w:color="auto"/>
              <w:right w:val="nil" w:sz="6" w:space="0" w:color="auto"/>
            </w:tcBorders>
          </w:tcPr>
          <w:p>
            <w:pPr>
              <w:pStyle w:val="TableParagraph"/>
              <w:spacing w:line="224" w:lineRule="exact"/>
              <w:ind w:left="200" w:right="0"/>
              <w:jc w:val="left"/>
              <w:rPr>
                <w:rFonts w:ascii="黑体" w:hAnsi="黑体" w:cs="黑体" w:eastAsia="黑体" w:hint="default"/>
                <w:sz w:val="20"/>
                <w:szCs w:val="20"/>
              </w:rPr>
            </w:pPr>
            <w:r>
              <w:rPr>
                <w:rFonts w:ascii="黑体" w:hAnsi="黑体" w:cs="黑体" w:eastAsia="黑体" w:hint="default"/>
                <w:sz w:val="20"/>
                <w:szCs w:val="20"/>
              </w:rPr>
              <w:t>其他应收款</w:t>
            </w:r>
          </w:p>
        </w:tc>
        <w:tc>
          <w:tcPr>
            <w:tcW w:w="3218"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8"/>
              <w:ind w:right="531"/>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86,933,586</w:t>
            </w:r>
            <w:r>
              <w:rPr>
                <w:rFonts w:ascii="Arial"/>
                <w:spacing w:val="-1"/>
                <w:w w:val="95"/>
                <w:sz w:val="20"/>
              </w:rPr>
            </w:r>
            <w:r>
              <w:rPr>
                <w:rFonts w:ascii="Arial"/>
                <w:sz w:val="20"/>
              </w:rPr>
            </w:r>
          </w:p>
        </w:tc>
        <w:tc>
          <w:tcPr>
            <w:tcW w:w="2221"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8"/>
              <w:ind w:right="19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81,057,244</w:t>
            </w:r>
            <w:r>
              <w:rPr>
                <w:rFonts w:ascii="Arial"/>
                <w:spacing w:val="-1"/>
                <w:w w:val="95"/>
                <w:sz w:val="20"/>
              </w:rPr>
            </w:r>
            <w:r>
              <w:rPr>
                <w:rFonts w:ascii="Arial"/>
                <w:sz w:val="20"/>
              </w:rPr>
            </w:r>
          </w:p>
        </w:tc>
      </w:tr>
      <w:tr>
        <w:trPr>
          <w:trHeight w:val="360" w:hRule="exact"/>
        </w:trPr>
        <w:tc>
          <w:tcPr>
            <w:tcW w:w="2607" w:type="dxa"/>
            <w:tcBorders>
              <w:top w:val="nil" w:sz="6" w:space="0" w:color="auto"/>
              <w:left w:val="nil" w:sz="6" w:space="0" w:color="auto"/>
              <w:bottom w:val="nil" w:sz="6" w:space="0" w:color="auto"/>
              <w:right w:val="nil" w:sz="6" w:space="0" w:color="auto"/>
            </w:tcBorders>
          </w:tcPr>
          <w:p>
            <w:pPr/>
          </w:p>
        </w:tc>
        <w:tc>
          <w:tcPr>
            <w:tcW w:w="321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531"/>
              <w:jc w:val="right"/>
              <w:rPr>
                <w:rFonts w:ascii="Arial" w:hAnsi="Arial" w:cs="Arial" w:eastAsia="Arial" w:hint="default"/>
                <w:sz w:val="20"/>
                <w:szCs w:val="20"/>
              </w:rPr>
            </w:pPr>
            <w:r>
              <w:rPr>
                <w:rFonts w:ascii="Arial"/>
                <w:w w:val="99"/>
                <w:sz w:val="20"/>
              </w:rPr>
            </w:r>
            <w:r>
              <w:rPr>
                <w:rFonts w:ascii="Arial"/>
                <w:spacing w:val="-1"/>
                <w:sz w:val="20"/>
                <w:u w:val="thick" w:color="000000"/>
              </w:rPr>
              <w:t>3,143,826,803</w:t>
            </w:r>
            <w:r>
              <w:rPr>
                <w:rFonts w:ascii="Arial"/>
                <w:spacing w:val="-1"/>
                <w:sz w:val="20"/>
              </w:rPr>
            </w:r>
            <w:r>
              <w:rPr>
                <w:rFonts w:ascii="Arial"/>
                <w:sz w:val="20"/>
              </w:rPr>
            </w:r>
          </w:p>
        </w:tc>
        <w:tc>
          <w:tcPr>
            <w:tcW w:w="2221"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2,757,841,855</w:t>
            </w:r>
            <w:r>
              <w:rPr>
                <w:rFonts w:ascii="Arial"/>
                <w:spacing w:val="-1"/>
                <w:sz w:val="20"/>
              </w:rPr>
            </w:r>
            <w:r>
              <w:rPr>
                <w:rFonts w:ascii="Arial"/>
                <w:sz w:val="20"/>
              </w:rPr>
            </w:r>
          </w:p>
        </w:tc>
      </w:tr>
    </w:tbl>
    <w:p>
      <w:pPr>
        <w:spacing w:line="240" w:lineRule="auto" w:before="2"/>
        <w:rPr>
          <w:rFonts w:ascii="黑体" w:hAnsi="黑体" w:cs="黑体" w:eastAsia="黑体" w:hint="default"/>
          <w:sz w:val="16"/>
          <w:szCs w:val="16"/>
        </w:rPr>
      </w:pPr>
    </w:p>
    <w:p>
      <w:pPr>
        <w:pStyle w:val="BodyText"/>
        <w:spacing w:line="240" w:lineRule="auto" w:before="37"/>
        <w:ind w:right="902"/>
        <w:jc w:val="left"/>
      </w:pPr>
      <w:r>
        <w:rPr/>
        <w:t>金融负债 —</w:t>
      </w:r>
      <w:r>
        <w:rPr>
          <w:spacing w:val="-5"/>
        </w:rPr>
        <w:t> </w:t>
      </w:r>
      <w:r>
        <w:rPr/>
        <w:t>其它金融负债</w:t>
      </w:r>
    </w:p>
    <w:p>
      <w:pPr>
        <w:spacing w:line="240" w:lineRule="auto" w:before="5"/>
        <w:rPr>
          <w:rFonts w:ascii="黑体" w:hAnsi="黑体" w:cs="黑体" w:eastAsia="黑体" w:hint="default"/>
          <w:sz w:val="24"/>
          <w:szCs w:val="24"/>
        </w:rPr>
      </w:pPr>
    </w:p>
    <w:tbl>
      <w:tblPr>
        <w:tblW w:w="0" w:type="auto"/>
        <w:jc w:val="left"/>
        <w:tblInd w:w="614" w:type="dxa"/>
        <w:tblLayout w:type="fixed"/>
        <w:tblCellMar>
          <w:top w:w="0" w:type="dxa"/>
          <w:left w:w="0" w:type="dxa"/>
          <w:bottom w:w="0" w:type="dxa"/>
          <w:right w:w="0" w:type="dxa"/>
        </w:tblCellMar>
        <w:tblLook w:val="01E0"/>
      </w:tblPr>
      <w:tblGrid>
        <w:gridCol w:w="3106"/>
        <w:gridCol w:w="2725"/>
        <w:gridCol w:w="2222"/>
      </w:tblGrid>
      <w:tr>
        <w:trPr>
          <w:trHeight w:val="365" w:hRule="exact"/>
        </w:trPr>
        <w:tc>
          <w:tcPr>
            <w:tcW w:w="3106" w:type="dxa"/>
            <w:tcBorders>
              <w:top w:val="nil" w:sz="6" w:space="0" w:color="auto"/>
              <w:left w:val="nil" w:sz="6" w:space="0" w:color="auto"/>
              <w:bottom w:val="nil" w:sz="6" w:space="0" w:color="auto"/>
              <w:right w:val="nil" w:sz="6" w:space="0" w:color="auto"/>
            </w:tcBorders>
          </w:tcPr>
          <w:p>
            <w:pPr/>
          </w:p>
        </w:tc>
        <w:tc>
          <w:tcPr>
            <w:tcW w:w="2725" w:type="dxa"/>
            <w:tcBorders>
              <w:top w:val="nil" w:sz="6" w:space="0" w:color="auto"/>
              <w:left w:val="nil" w:sz="6" w:space="0" w:color="auto"/>
              <w:bottom w:val="nil" w:sz="6" w:space="0" w:color="auto"/>
              <w:right w:val="nil" w:sz="6" w:space="0" w:color="auto"/>
            </w:tcBorders>
          </w:tcPr>
          <w:p>
            <w:pPr>
              <w:pStyle w:val="TableParagraph"/>
              <w:spacing w:line="214" w:lineRule="exact"/>
              <w:ind w:right="536"/>
              <w:jc w:val="right"/>
              <w:rPr>
                <w:rFonts w:ascii="黑体" w:hAnsi="黑体" w:cs="黑体" w:eastAsia="黑体" w:hint="default"/>
                <w:sz w:val="20"/>
                <w:szCs w:val="20"/>
              </w:rPr>
            </w:pPr>
            <w:r>
              <w:rPr>
                <w:rFonts w:ascii="Arial" w:hAnsi="Arial" w:cs="Arial" w:eastAsia="Arial" w:hint="default"/>
                <w:w w:val="95"/>
                <w:sz w:val="20"/>
                <w:szCs w:val="20"/>
              </w:rPr>
              <w:t>2012</w:t>
            </w:r>
            <w:r>
              <w:rPr>
                <w:rFonts w:ascii="黑体" w:hAnsi="黑体" w:cs="黑体" w:eastAsia="黑体" w:hint="default"/>
                <w:w w:val="95"/>
                <w:sz w:val="20"/>
                <w:szCs w:val="20"/>
              </w:rPr>
              <w:t>年</w:t>
            </w:r>
            <w:r>
              <w:rPr>
                <w:rFonts w:ascii="Arial" w:hAnsi="Arial" w:cs="Arial" w:eastAsia="Arial" w:hint="default"/>
                <w:w w:val="95"/>
                <w:sz w:val="20"/>
                <w:szCs w:val="20"/>
              </w:rPr>
              <w:t>12</w:t>
            </w:r>
            <w:r>
              <w:rPr>
                <w:rFonts w:ascii="黑体" w:hAnsi="黑体" w:cs="黑体" w:eastAsia="黑体" w:hint="default"/>
                <w:w w:val="95"/>
                <w:sz w:val="20"/>
                <w:szCs w:val="20"/>
              </w:rPr>
              <w:t>月</w:t>
            </w:r>
            <w:r>
              <w:rPr>
                <w:rFonts w:ascii="Arial" w:hAnsi="Arial" w:cs="Arial" w:eastAsia="Arial" w:hint="default"/>
                <w:w w:val="95"/>
                <w:sz w:val="20"/>
                <w:szCs w:val="20"/>
              </w:rPr>
              <w:t>31</w:t>
            </w:r>
            <w:r>
              <w:rPr>
                <w:rFonts w:ascii="黑体" w:hAnsi="黑体" w:cs="黑体" w:eastAsia="黑体" w:hint="default"/>
                <w:w w:val="95"/>
                <w:sz w:val="20"/>
                <w:szCs w:val="20"/>
              </w:rPr>
              <w:t>日</w:t>
            </w:r>
            <w:r>
              <w:rPr>
                <w:rFonts w:ascii="黑体" w:hAnsi="黑体" w:cs="黑体" w:eastAsia="黑体" w:hint="default"/>
                <w:sz w:val="20"/>
                <w:szCs w:val="20"/>
              </w:rPr>
            </w:r>
          </w:p>
        </w:tc>
        <w:tc>
          <w:tcPr>
            <w:tcW w:w="2222" w:type="dxa"/>
            <w:tcBorders>
              <w:top w:val="nil" w:sz="6" w:space="0" w:color="auto"/>
              <w:left w:val="nil" w:sz="6" w:space="0" w:color="auto"/>
              <w:bottom w:val="nil" w:sz="6" w:space="0" w:color="auto"/>
              <w:right w:val="nil" w:sz="6" w:space="0" w:color="auto"/>
            </w:tcBorders>
          </w:tcPr>
          <w:p>
            <w:pPr>
              <w:pStyle w:val="TableParagraph"/>
              <w:spacing w:line="214" w:lineRule="exact"/>
              <w:ind w:right="198"/>
              <w:jc w:val="right"/>
              <w:rPr>
                <w:rFonts w:ascii="黑体" w:hAnsi="黑体" w:cs="黑体" w:eastAsia="黑体" w:hint="default"/>
                <w:sz w:val="20"/>
                <w:szCs w:val="20"/>
              </w:rPr>
            </w:pPr>
            <w:r>
              <w:rPr>
                <w:rFonts w:ascii="Arial" w:hAnsi="Arial" w:cs="Arial" w:eastAsia="Arial" w:hint="default"/>
                <w:w w:val="95"/>
                <w:sz w:val="20"/>
                <w:szCs w:val="20"/>
              </w:rPr>
              <w:t>2011</w:t>
            </w:r>
            <w:r>
              <w:rPr>
                <w:rFonts w:ascii="黑体" w:hAnsi="黑体" w:cs="黑体" w:eastAsia="黑体" w:hint="default"/>
                <w:w w:val="95"/>
                <w:sz w:val="20"/>
                <w:szCs w:val="20"/>
              </w:rPr>
              <w:t>年</w:t>
            </w:r>
            <w:r>
              <w:rPr>
                <w:rFonts w:ascii="Arial" w:hAnsi="Arial" w:cs="Arial" w:eastAsia="Arial" w:hint="default"/>
                <w:w w:val="95"/>
                <w:sz w:val="20"/>
                <w:szCs w:val="20"/>
              </w:rPr>
              <w:t>12</w:t>
            </w:r>
            <w:r>
              <w:rPr>
                <w:rFonts w:ascii="黑体" w:hAnsi="黑体" w:cs="黑体" w:eastAsia="黑体" w:hint="default"/>
                <w:w w:val="95"/>
                <w:sz w:val="20"/>
                <w:szCs w:val="20"/>
              </w:rPr>
              <w:t>月</w:t>
            </w:r>
            <w:r>
              <w:rPr>
                <w:rFonts w:ascii="Arial" w:hAnsi="Arial" w:cs="Arial" w:eastAsia="Arial" w:hint="default"/>
                <w:w w:val="95"/>
                <w:sz w:val="20"/>
                <w:szCs w:val="20"/>
              </w:rPr>
              <w:t>31</w:t>
            </w:r>
            <w:r>
              <w:rPr>
                <w:rFonts w:ascii="黑体" w:hAnsi="黑体" w:cs="黑体" w:eastAsia="黑体" w:hint="default"/>
                <w:w w:val="95"/>
                <w:sz w:val="20"/>
                <w:szCs w:val="20"/>
              </w:rPr>
              <w:t>日</w:t>
            </w:r>
            <w:r>
              <w:rPr>
                <w:rFonts w:ascii="黑体" w:hAnsi="黑体" w:cs="黑体" w:eastAsia="黑体" w:hint="default"/>
                <w:sz w:val="20"/>
                <w:szCs w:val="20"/>
              </w:rPr>
            </w:r>
          </w:p>
        </w:tc>
      </w:tr>
      <w:tr>
        <w:trPr>
          <w:trHeight w:val="390"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00" w:right="0"/>
              <w:jc w:val="left"/>
              <w:rPr>
                <w:rFonts w:ascii="黑体" w:hAnsi="黑体" w:cs="黑体" w:eastAsia="黑体" w:hint="default"/>
                <w:sz w:val="20"/>
                <w:szCs w:val="20"/>
              </w:rPr>
            </w:pPr>
            <w:r>
              <w:rPr>
                <w:rFonts w:ascii="黑体" w:hAnsi="黑体" w:cs="黑体" w:eastAsia="黑体" w:hint="default"/>
                <w:sz w:val="20"/>
                <w:szCs w:val="20"/>
              </w:rPr>
              <w:t>短期借款</w:t>
            </w:r>
          </w:p>
        </w:tc>
        <w:tc>
          <w:tcPr>
            <w:tcW w:w="2725"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537"/>
              <w:jc w:val="right"/>
              <w:rPr>
                <w:rFonts w:ascii="Arial" w:hAnsi="Arial" w:cs="Arial" w:eastAsia="Arial" w:hint="default"/>
                <w:sz w:val="20"/>
                <w:szCs w:val="20"/>
              </w:rPr>
            </w:pPr>
            <w:r>
              <w:rPr>
                <w:rFonts w:ascii="Arial"/>
                <w:spacing w:val="-1"/>
                <w:sz w:val="20"/>
              </w:rPr>
              <w:t>1,010,000,000</w:t>
            </w:r>
            <w:r>
              <w:rPr>
                <w:rFonts w:ascii="Arial"/>
                <w:sz w:val="20"/>
              </w:rPr>
            </w:r>
          </w:p>
        </w:tc>
        <w:tc>
          <w:tcPr>
            <w:tcW w:w="2222"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98"/>
              <w:jc w:val="right"/>
              <w:rPr>
                <w:rFonts w:ascii="Arial" w:hAnsi="Arial" w:cs="Arial" w:eastAsia="Arial" w:hint="default"/>
                <w:sz w:val="20"/>
                <w:szCs w:val="20"/>
              </w:rPr>
            </w:pPr>
            <w:r>
              <w:rPr>
                <w:rFonts w:ascii="Arial"/>
                <w:spacing w:val="-1"/>
                <w:sz w:val="20"/>
              </w:rPr>
              <w:t>490,000,000</w:t>
            </w:r>
            <w:r>
              <w:rPr>
                <w:rFonts w:ascii="Arial"/>
                <w:sz w:val="20"/>
              </w:rPr>
            </w:r>
          </w:p>
        </w:tc>
      </w:tr>
      <w:tr>
        <w:trPr>
          <w:trHeight w:val="260"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24" w:lineRule="exact"/>
              <w:ind w:left="200" w:right="0"/>
              <w:jc w:val="left"/>
              <w:rPr>
                <w:rFonts w:ascii="黑体" w:hAnsi="黑体" w:cs="黑体" w:eastAsia="黑体" w:hint="default"/>
                <w:sz w:val="20"/>
                <w:szCs w:val="20"/>
              </w:rPr>
            </w:pPr>
            <w:r>
              <w:rPr>
                <w:rFonts w:ascii="黑体" w:hAnsi="黑体" w:cs="黑体" w:eastAsia="黑体" w:hint="default"/>
                <w:sz w:val="20"/>
                <w:szCs w:val="20"/>
              </w:rPr>
              <w:t>应付账款</w:t>
            </w:r>
          </w:p>
        </w:tc>
        <w:tc>
          <w:tcPr>
            <w:tcW w:w="27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37"/>
              <w:jc w:val="right"/>
              <w:rPr>
                <w:rFonts w:ascii="Arial" w:hAnsi="Arial" w:cs="Arial" w:eastAsia="Arial" w:hint="default"/>
                <w:sz w:val="20"/>
                <w:szCs w:val="20"/>
              </w:rPr>
            </w:pPr>
            <w:r>
              <w:rPr>
                <w:rFonts w:ascii="Arial"/>
                <w:spacing w:val="-1"/>
                <w:sz w:val="20"/>
              </w:rPr>
              <w:t>289,175,529</w:t>
            </w:r>
            <w:r>
              <w:rPr>
                <w:rFonts w:ascii="Arial"/>
                <w:sz w:val="20"/>
              </w:rPr>
            </w:r>
          </w:p>
        </w:tc>
        <w:tc>
          <w:tcPr>
            <w:tcW w:w="22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8"/>
              <w:jc w:val="right"/>
              <w:rPr>
                <w:rFonts w:ascii="Arial" w:hAnsi="Arial" w:cs="Arial" w:eastAsia="Arial" w:hint="default"/>
                <w:sz w:val="20"/>
                <w:szCs w:val="20"/>
              </w:rPr>
            </w:pPr>
            <w:r>
              <w:rPr>
                <w:rFonts w:ascii="Arial"/>
                <w:spacing w:val="-1"/>
                <w:sz w:val="20"/>
              </w:rPr>
              <w:t>227,014,672</w:t>
            </w:r>
            <w:r>
              <w:rPr>
                <w:rFonts w:ascii="Arial"/>
                <w:sz w:val="20"/>
              </w:rPr>
            </w:r>
          </w:p>
        </w:tc>
      </w:tr>
      <w:tr>
        <w:trPr>
          <w:trHeight w:val="260"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其他应付款</w:t>
            </w:r>
          </w:p>
        </w:tc>
        <w:tc>
          <w:tcPr>
            <w:tcW w:w="27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37"/>
              <w:jc w:val="right"/>
              <w:rPr>
                <w:rFonts w:ascii="Arial" w:hAnsi="Arial" w:cs="Arial" w:eastAsia="Arial" w:hint="default"/>
                <w:sz w:val="20"/>
                <w:szCs w:val="20"/>
              </w:rPr>
            </w:pPr>
            <w:r>
              <w:rPr>
                <w:rFonts w:ascii="Arial"/>
                <w:spacing w:val="-1"/>
                <w:sz w:val="20"/>
              </w:rPr>
              <w:t>202,230,359</w:t>
            </w:r>
            <w:r>
              <w:rPr>
                <w:rFonts w:ascii="Arial"/>
                <w:sz w:val="20"/>
              </w:rPr>
            </w:r>
          </w:p>
        </w:tc>
        <w:tc>
          <w:tcPr>
            <w:tcW w:w="222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8"/>
              <w:jc w:val="right"/>
              <w:rPr>
                <w:rFonts w:ascii="Arial" w:hAnsi="Arial" w:cs="Arial" w:eastAsia="Arial" w:hint="default"/>
                <w:sz w:val="20"/>
                <w:szCs w:val="20"/>
              </w:rPr>
            </w:pPr>
            <w:r>
              <w:rPr>
                <w:rFonts w:ascii="Arial"/>
                <w:spacing w:val="-1"/>
                <w:sz w:val="20"/>
              </w:rPr>
              <w:t>258,500,441</w:t>
            </w:r>
            <w:r>
              <w:rPr>
                <w:rFonts w:ascii="Arial"/>
                <w:sz w:val="20"/>
              </w:rPr>
            </w:r>
          </w:p>
        </w:tc>
      </w:tr>
      <w:tr>
        <w:trPr>
          <w:trHeight w:val="259"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24" w:lineRule="exact"/>
              <w:ind w:left="200" w:right="0"/>
              <w:jc w:val="left"/>
              <w:rPr>
                <w:rFonts w:ascii="黑体" w:hAnsi="黑体" w:cs="黑体" w:eastAsia="黑体" w:hint="default"/>
                <w:sz w:val="20"/>
                <w:szCs w:val="20"/>
              </w:rPr>
            </w:pPr>
            <w:r>
              <w:rPr>
                <w:rFonts w:ascii="黑体" w:hAnsi="黑体" w:cs="黑体" w:eastAsia="黑体" w:hint="default"/>
                <w:sz w:val="20"/>
                <w:szCs w:val="20"/>
              </w:rPr>
              <w:t>一年内到期的长期借款</w:t>
            </w:r>
          </w:p>
        </w:tc>
        <w:tc>
          <w:tcPr>
            <w:tcW w:w="27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32"/>
              <w:jc w:val="right"/>
              <w:rPr>
                <w:rFonts w:ascii="Arial" w:hAnsi="Arial" w:cs="Arial" w:eastAsia="Arial" w:hint="default"/>
                <w:sz w:val="20"/>
                <w:szCs w:val="20"/>
              </w:rPr>
            </w:pPr>
            <w:r>
              <w:rPr>
                <w:rFonts w:ascii="Arial"/>
                <w:spacing w:val="-1"/>
                <w:sz w:val="20"/>
              </w:rPr>
              <w:t>100,000,000</w:t>
            </w:r>
            <w:r>
              <w:rPr>
                <w:rFonts w:ascii="Arial"/>
                <w:sz w:val="20"/>
              </w:rPr>
            </w:r>
          </w:p>
        </w:tc>
        <w:tc>
          <w:tcPr>
            <w:tcW w:w="22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1"/>
              <w:jc w:val="right"/>
              <w:rPr>
                <w:rFonts w:ascii="Arial" w:hAnsi="Arial" w:cs="Arial" w:eastAsia="Arial" w:hint="default"/>
                <w:sz w:val="20"/>
                <w:szCs w:val="20"/>
              </w:rPr>
            </w:pPr>
            <w:r>
              <w:rPr>
                <w:rFonts w:ascii="Arial"/>
                <w:w w:val="99"/>
                <w:sz w:val="20"/>
              </w:rPr>
              <w:t>-</w:t>
            </w:r>
            <w:r>
              <w:rPr>
                <w:rFonts w:ascii="Arial"/>
                <w:sz w:val="20"/>
              </w:rPr>
            </w:r>
          </w:p>
        </w:tc>
      </w:tr>
      <w:tr>
        <w:trPr>
          <w:trHeight w:val="395" w:hRule="exact"/>
        </w:trPr>
        <w:tc>
          <w:tcPr>
            <w:tcW w:w="3106" w:type="dxa"/>
            <w:tcBorders>
              <w:top w:val="nil" w:sz="6" w:space="0" w:color="auto"/>
              <w:left w:val="nil" w:sz="6" w:space="0" w:color="auto"/>
              <w:bottom w:val="nil" w:sz="6" w:space="0" w:color="auto"/>
              <w:right w:val="nil" w:sz="6" w:space="0" w:color="auto"/>
            </w:tcBorders>
          </w:tcPr>
          <w:p>
            <w:pPr>
              <w:pStyle w:val="TableParagraph"/>
              <w:spacing w:line="224" w:lineRule="exact"/>
              <w:ind w:left="200" w:right="0"/>
              <w:jc w:val="left"/>
              <w:rPr>
                <w:rFonts w:ascii="黑体" w:hAnsi="黑体" w:cs="黑体" w:eastAsia="黑体" w:hint="default"/>
                <w:sz w:val="20"/>
                <w:szCs w:val="20"/>
              </w:rPr>
            </w:pPr>
            <w:r>
              <w:rPr>
                <w:rFonts w:ascii="黑体" w:hAnsi="黑体" w:cs="黑体" w:eastAsia="黑体" w:hint="default"/>
                <w:sz w:val="20"/>
                <w:szCs w:val="20"/>
              </w:rPr>
              <w:t>长期借款</w:t>
            </w:r>
          </w:p>
        </w:tc>
        <w:tc>
          <w:tcPr>
            <w:tcW w:w="27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37"/>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3"/>
                <w:sz w:val="20"/>
                <w:u w:val="single" w:color="000000"/>
              </w:rPr>
              <w:t> </w:t>
            </w:r>
            <w:r>
              <w:rPr>
                <w:rFonts w:ascii="Arial"/>
                <w:spacing w:val="-1"/>
                <w:sz w:val="20"/>
                <w:u w:val="single" w:color="000000"/>
              </w:rPr>
              <w:t>158,763,319</w:t>
            </w:r>
            <w:r>
              <w:rPr>
                <w:rFonts w:ascii="Arial"/>
                <w:spacing w:val="-1"/>
                <w:sz w:val="20"/>
              </w:rPr>
            </w:r>
            <w:r>
              <w:rPr>
                <w:rFonts w:ascii="Arial"/>
                <w:sz w:val="20"/>
              </w:rPr>
            </w:r>
          </w:p>
        </w:tc>
        <w:tc>
          <w:tcPr>
            <w:tcW w:w="22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1"/>
                <w:sz w:val="20"/>
                <w:u w:val="single" w:color="000000"/>
              </w:rPr>
              <w:t> </w:t>
            </w:r>
            <w:r>
              <w:rPr>
                <w:rFonts w:ascii="Arial"/>
                <w:spacing w:val="-1"/>
                <w:sz w:val="20"/>
                <w:u w:val="single" w:color="000000"/>
              </w:rPr>
              <w:t>180,000,000</w:t>
            </w:r>
            <w:r>
              <w:rPr>
                <w:rFonts w:ascii="Arial"/>
                <w:spacing w:val="-1"/>
                <w:sz w:val="20"/>
              </w:rPr>
            </w:r>
          </w:p>
        </w:tc>
      </w:tr>
      <w:tr>
        <w:trPr>
          <w:trHeight w:val="360" w:hRule="exact"/>
        </w:trPr>
        <w:tc>
          <w:tcPr>
            <w:tcW w:w="3106" w:type="dxa"/>
            <w:tcBorders>
              <w:top w:val="nil" w:sz="6" w:space="0" w:color="auto"/>
              <w:left w:val="nil" w:sz="6" w:space="0" w:color="auto"/>
              <w:bottom w:val="nil" w:sz="6" w:space="0" w:color="auto"/>
              <w:right w:val="nil" w:sz="6" w:space="0" w:color="auto"/>
            </w:tcBorders>
          </w:tcPr>
          <w:p>
            <w:pPr/>
          </w:p>
        </w:tc>
        <w:tc>
          <w:tcPr>
            <w:tcW w:w="2725"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537"/>
              <w:jc w:val="right"/>
              <w:rPr>
                <w:rFonts w:ascii="Arial" w:hAnsi="Arial" w:cs="Arial" w:eastAsia="Arial" w:hint="default"/>
                <w:sz w:val="20"/>
                <w:szCs w:val="20"/>
              </w:rPr>
            </w:pPr>
            <w:r>
              <w:rPr>
                <w:rFonts w:ascii="Arial"/>
                <w:w w:val="99"/>
                <w:sz w:val="20"/>
              </w:rPr>
            </w:r>
            <w:r>
              <w:rPr>
                <w:rFonts w:ascii="Arial"/>
                <w:spacing w:val="-1"/>
                <w:sz w:val="20"/>
                <w:u w:val="thick" w:color="000000"/>
              </w:rPr>
              <w:t>1,760,169,207</w:t>
            </w:r>
            <w:r>
              <w:rPr>
                <w:rFonts w:ascii="Arial"/>
                <w:spacing w:val="-1"/>
                <w:sz w:val="20"/>
              </w:rPr>
            </w:r>
            <w:r>
              <w:rPr>
                <w:rFonts w:ascii="Arial"/>
                <w:sz w:val="20"/>
              </w:rPr>
            </w:r>
          </w:p>
        </w:tc>
        <w:tc>
          <w:tcPr>
            <w:tcW w:w="2222"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1,155,515,113</w:t>
            </w:r>
            <w:r>
              <w:rPr>
                <w:rFonts w:ascii="Arial"/>
                <w:spacing w:val="-1"/>
                <w:sz w:val="20"/>
              </w:rPr>
            </w:r>
            <w:r>
              <w:rPr>
                <w:rFonts w:ascii="Arial"/>
                <w:sz w:val="20"/>
              </w:rPr>
            </w:r>
          </w:p>
        </w:tc>
      </w:tr>
    </w:tbl>
    <w:p>
      <w:pPr>
        <w:spacing w:after="0" w:line="240" w:lineRule="auto"/>
        <w:jc w:val="right"/>
        <w:rPr>
          <w:rFonts w:ascii="Arial" w:hAnsi="Arial" w:cs="Arial" w:eastAsia="Arial" w:hint="default"/>
          <w:sz w:val="20"/>
          <w:szCs w:val="20"/>
        </w:rPr>
        <w:sectPr>
          <w:pgSz w:w="11910" w:h="16850"/>
          <w:pgMar w:header="957" w:footer="689" w:top="2560" w:bottom="880" w:left="1600" w:right="1520"/>
        </w:sectPr>
      </w:pPr>
    </w:p>
    <w:p>
      <w:pPr>
        <w:spacing w:line="240" w:lineRule="auto" w:before="0"/>
        <w:rPr>
          <w:rFonts w:ascii="黑体" w:hAnsi="黑体" w:cs="黑体" w:eastAsia="黑体" w:hint="default"/>
          <w:sz w:val="17"/>
          <w:szCs w:val="17"/>
        </w:rPr>
      </w:pPr>
    </w:p>
    <w:p>
      <w:pPr>
        <w:pStyle w:val="Heading6"/>
        <w:spacing w:line="240" w:lineRule="auto"/>
        <w:ind w:right="902"/>
        <w:jc w:val="left"/>
        <w:rPr>
          <w:b w:val="0"/>
          <w:bCs w:val="0"/>
        </w:rPr>
      </w:pPr>
      <w:r>
        <w:rPr/>
        <w:t>十二、</w:t>
      </w:r>
      <w:r>
        <w:rPr>
          <w:spacing w:val="-6"/>
        </w:rPr>
        <w:t> </w:t>
      </w:r>
      <w:r>
        <w:rPr/>
        <w:t>金融工具及其风险分析（续）</w:t>
      </w:r>
      <w:r>
        <w:rPr>
          <w:b w:val="0"/>
          <w:bCs w:val="0"/>
        </w:rPr>
      </w:r>
    </w:p>
    <w:p>
      <w:pPr>
        <w:spacing w:line="240" w:lineRule="auto" w:before="10"/>
        <w:rPr>
          <w:rFonts w:ascii="黑体" w:hAnsi="黑体" w:cs="黑体" w:eastAsia="黑体" w:hint="default"/>
          <w:b/>
          <w:bCs/>
          <w:sz w:val="19"/>
          <w:szCs w:val="19"/>
        </w:rPr>
      </w:pPr>
    </w:p>
    <w:p>
      <w:pPr>
        <w:pStyle w:val="BodyText"/>
        <w:tabs>
          <w:tab w:pos="809" w:val="left" w:leader="none"/>
        </w:tabs>
        <w:spacing w:line="453" w:lineRule="auto"/>
        <w:ind w:right="1372" w:hanging="713"/>
        <w:jc w:val="left"/>
      </w:pPr>
      <w:r>
        <w:rPr>
          <w:rFonts w:ascii="Arial" w:hAnsi="Arial" w:cs="Arial" w:eastAsia="Arial" w:hint="default"/>
          <w:b/>
          <w:bCs/>
          <w:spacing w:val="-1"/>
        </w:rPr>
        <w:t>1.</w:t>
        <w:tab/>
      </w:r>
      <w:r>
        <w:rPr>
          <w:rFonts w:ascii="黑体" w:hAnsi="黑体" w:cs="黑体" w:eastAsia="黑体" w:hint="default"/>
          <w:b/>
          <w:bCs/>
          <w:spacing w:val="2"/>
        </w:rPr>
        <w:t>信用风险</w:t>
      </w:r>
      <w:r>
        <w:rPr>
          <w:rFonts w:ascii="黑体" w:hAnsi="黑体" w:cs="黑体" w:eastAsia="黑体" w:hint="default"/>
          <w:b/>
          <w:bCs/>
          <w:spacing w:val="2"/>
          <w:w w:val="99"/>
        </w:rPr>
        <w:t> </w:t>
      </w:r>
      <w:r>
        <w:rPr/>
        <w:t>信用风险是指金融工具的一方因未能履行其义务而引起另一方损失的风险。</w:t>
      </w:r>
    </w:p>
    <w:p>
      <w:pPr>
        <w:pStyle w:val="BodyText"/>
        <w:spacing w:line="237" w:lineRule="auto" w:before="81"/>
        <w:ind w:right="179"/>
        <w:jc w:val="both"/>
      </w:pPr>
      <w:r>
        <w:rPr>
          <w:w w:val="95"/>
        </w:rPr>
        <w:t>本集团仅与经认可的、信誉良好的第三方进行交易。按照本集团的政策，需对所有要求采</w:t>
      </w:r>
      <w:r>
        <w:rPr>
          <w:spacing w:val="90"/>
          <w:w w:val="95"/>
        </w:rPr>
        <w:t> </w:t>
      </w:r>
      <w:r>
        <w:rPr>
          <w:spacing w:val="90"/>
          <w:w w:val="95"/>
        </w:rPr>
      </w:r>
      <w:r>
        <w:rPr>
          <w:w w:val="95"/>
        </w:rPr>
        <w:t>用信用方式进行交易的客户进行信用审核。另外，本集团对应收账款及其他应收款余额进</w:t>
      </w:r>
      <w:r>
        <w:rPr>
          <w:spacing w:val="87"/>
          <w:w w:val="95"/>
        </w:rPr>
        <w:t> </w:t>
      </w:r>
      <w:r>
        <w:rPr>
          <w:spacing w:val="87"/>
          <w:w w:val="95"/>
        </w:rPr>
      </w:r>
      <w:r>
        <w:rPr>
          <w:w w:val="95"/>
        </w:rPr>
        <w:t>行持续监控，以确保本集团不致面临重大坏账风险。对于未采用相关经营单位的记账本位</w:t>
      </w:r>
      <w:r>
        <w:rPr>
          <w:spacing w:val="87"/>
          <w:w w:val="95"/>
        </w:rPr>
        <w:t> </w:t>
      </w:r>
      <w:r>
        <w:rPr>
          <w:spacing w:val="87"/>
          <w:w w:val="95"/>
        </w:rPr>
      </w:r>
      <w:r>
        <w:rPr/>
        <w:t>币结算的交易，除非本集团信用控制部门特别批准，否则本集团不提供信用交易条件。</w:t>
      </w:r>
    </w:p>
    <w:p>
      <w:pPr>
        <w:spacing w:line="240" w:lineRule="auto" w:before="10"/>
        <w:rPr>
          <w:rFonts w:ascii="黑体" w:hAnsi="黑体" w:cs="黑体" w:eastAsia="黑体" w:hint="default"/>
          <w:sz w:val="21"/>
          <w:szCs w:val="21"/>
        </w:rPr>
      </w:pPr>
    </w:p>
    <w:p>
      <w:pPr>
        <w:pStyle w:val="BodyText"/>
        <w:spacing w:line="260" w:lineRule="exact"/>
        <w:ind w:right="182"/>
        <w:jc w:val="both"/>
      </w:pPr>
      <w:r>
        <w:rPr>
          <w:w w:val="95"/>
        </w:rPr>
        <w:t>本集团其他金融资产包括货币资金及其他应收款等，这些金融资产的信用风险源自交易对</w:t>
      </w:r>
      <w:r>
        <w:rPr>
          <w:spacing w:val="87"/>
          <w:w w:val="95"/>
        </w:rPr>
        <w:t> </w:t>
      </w:r>
      <w:r>
        <w:rPr>
          <w:spacing w:val="87"/>
          <w:w w:val="95"/>
        </w:rPr>
      </w:r>
      <w:r>
        <w:rPr/>
        <w:t>手违约，最大风险敞口等于这些工具的账面金额。</w:t>
      </w:r>
    </w:p>
    <w:p>
      <w:pPr>
        <w:spacing w:line="240" w:lineRule="auto" w:before="2"/>
        <w:rPr>
          <w:rFonts w:ascii="黑体" w:hAnsi="黑体" w:cs="黑体" w:eastAsia="黑体" w:hint="default"/>
          <w:sz w:val="18"/>
          <w:szCs w:val="18"/>
        </w:rPr>
      </w:pPr>
    </w:p>
    <w:p>
      <w:pPr>
        <w:pStyle w:val="BodyText"/>
        <w:spacing w:line="237" w:lineRule="auto"/>
        <w:ind w:right="182"/>
        <w:jc w:val="both"/>
      </w:pPr>
      <w:r>
        <w:rPr>
          <w:w w:val="95"/>
        </w:rPr>
        <w:t>由于本集团仅与经认可的且信誉良好的第三方进行交易，所以无需担保物。信用风险集中</w:t>
      </w:r>
      <w:r>
        <w:rPr>
          <w:spacing w:val="87"/>
          <w:w w:val="95"/>
        </w:rPr>
        <w:t> </w:t>
      </w:r>
      <w:r>
        <w:rPr>
          <w:spacing w:val="87"/>
          <w:w w:val="95"/>
        </w:rPr>
      </w:r>
      <w:r>
        <w:rPr>
          <w:w w:val="95"/>
        </w:rPr>
        <w:t>按照客户、地理区域和行业进行管理。由于本集团的应收账款客户群广泛地分散于不同的</w:t>
      </w:r>
      <w:r>
        <w:rPr>
          <w:spacing w:val="87"/>
          <w:w w:val="95"/>
        </w:rPr>
        <w:t> </w:t>
      </w:r>
      <w:r>
        <w:rPr>
          <w:spacing w:val="87"/>
          <w:w w:val="95"/>
        </w:rPr>
      </w:r>
      <w:r>
        <w:rPr>
          <w:w w:val="95"/>
        </w:rPr>
        <w:t>部门和行业中，因此在本集团内部不存在重大信用风险集中。本集团对应收账款余额未持</w:t>
      </w:r>
      <w:r>
        <w:rPr>
          <w:spacing w:val="87"/>
          <w:w w:val="95"/>
        </w:rPr>
        <w:t> </w:t>
      </w:r>
      <w:r>
        <w:rPr>
          <w:spacing w:val="87"/>
          <w:w w:val="95"/>
        </w:rPr>
      </w:r>
      <w:r>
        <w:rPr/>
        <w:t>有任何担保物或其他信用增级。</w:t>
      </w:r>
    </w:p>
    <w:p>
      <w:pPr>
        <w:spacing w:line="240" w:lineRule="auto" w:before="7"/>
        <w:rPr>
          <w:rFonts w:ascii="黑体" w:hAnsi="黑体" w:cs="黑体" w:eastAsia="黑体" w:hint="default"/>
          <w:sz w:val="20"/>
          <w:szCs w:val="20"/>
        </w:rPr>
      </w:pPr>
    </w:p>
    <w:p>
      <w:pPr>
        <w:pStyle w:val="BodyText"/>
        <w:spacing w:line="230" w:lineRule="auto"/>
        <w:ind w:left="813" w:right="180"/>
        <w:jc w:val="both"/>
      </w:pPr>
      <w:r>
        <w:rPr>
          <w:spacing w:val="-2"/>
          <w:w w:val="95"/>
        </w:rPr>
        <w:t>于</w:t>
      </w:r>
      <w:r>
        <w:rPr>
          <w:rFonts w:ascii="Arial" w:hAnsi="Arial" w:cs="Arial" w:eastAsia="Arial" w:hint="default"/>
          <w:spacing w:val="-2"/>
          <w:w w:val="95"/>
        </w:rPr>
        <w:t>2012</w:t>
      </w:r>
      <w:r>
        <w:rPr>
          <w:spacing w:val="-2"/>
          <w:w w:val="95"/>
        </w:rPr>
        <w:t>年</w:t>
      </w:r>
      <w:r>
        <w:rPr>
          <w:rFonts w:ascii="Arial" w:hAnsi="Arial" w:cs="Arial" w:eastAsia="Arial" w:hint="default"/>
          <w:spacing w:val="-2"/>
          <w:w w:val="95"/>
        </w:rPr>
        <w:t>12</w:t>
      </w:r>
      <w:r>
        <w:rPr>
          <w:spacing w:val="-2"/>
          <w:w w:val="95"/>
        </w:rPr>
        <w:t>月</w:t>
      </w:r>
      <w:r>
        <w:rPr>
          <w:rFonts w:ascii="Arial" w:hAnsi="Arial" w:cs="Arial" w:eastAsia="Arial" w:hint="default"/>
          <w:spacing w:val="-2"/>
          <w:w w:val="95"/>
        </w:rPr>
        <w:t>31</w:t>
      </w:r>
      <w:r>
        <w:rPr>
          <w:spacing w:val="-2"/>
          <w:w w:val="95"/>
        </w:rPr>
        <w:t>日，本公司认为本集团金融资产中无尚未逾期但已发生减值的金额。本集</w:t>
      </w:r>
      <w:r>
        <w:rPr>
          <w:spacing w:val="84"/>
          <w:w w:val="95"/>
        </w:rPr>
        <w:t> </w:t>
      </w:r>
      <w:r>
        <w:rPr>
          <w:spacing w:val="84"/>
          <w:w w:val="95"/>
        </w:rPr>
      </w:r>
      <w:r>
        <w:rPr>
          <w:w w:val="95"/>
        </w:rPr>
        <w:t>团因应收账款和其他应收款产生的信用风险敞口的量化数据，参见附注五、</w:t>
      </w:r>
      <w:r>
        <w:rPr>
          <w:rFonts w:ascii="Arial" w:hAnsi="Arial" w:cs="Arial" w:eastAsia="Arial" w:hint="default"/>
          <w:w w:val="95"/>
        </w:rPr>
        <w:t>3</w:t>
      </w:r>
      <w:r>
        <w:rPr>
          <w:w w:val="95"/>
        </w:rPr>
        <w:t>和</w:t>
      </w:r>
      <w:r>
        <w:rPr>
          <w:rFonts w:ascii="Arial" w:hAnsi="Arial" w:cs="Arial" w:eastAsia="Arial" w:hint="default"/>
          <w:w w:val="95"/>
        </w:rPr>
        <w:t>5</w:t>
      </w:r>
      <w:r>
        <w:rPr>
          <w:w w:val="95"/>
        </w:rPr>
        <w:t>中。本公</w:t>
      </w:r>
      <w:r>
        <w:rPr>
          <w:spacing w:val="67"/>
          <w:w w:val="95"/>
        </w:rPr>
        <w:t> </w:t>
      </w:r>
      <w:r>
        <w:rPr>
          <w:spacing w:val="67"/>
          <w:w w:val="95"/>
        </w:rPr>
      </w:r>
      <w:r>
        <w:rPr>
          <w:w w:val="95"/>
        </w:rPr>
        <w:t>司认为本集团不存在已逾期已减值但未计提减值准备的重大金融资产。本集团未逾期未减</w:t>
      </w:r>
      <w:r>
        <w:rPr>
          <w:spacing w:val="87"/>
          <w:w w:val="95"/>
        </w:rPr>
        <w:t> </w:t>
      </w:r>
      <w:r>
        <w:rPr>
          <w:spacing w:val="87"/>
          <w:w w:val="95"/>
        </w:rPr>
      </w:r>
      <w:r>
        <w:rPr/>
        <w:t>值及已逾期未减值的金融资产均为账龄为</w:t>
      </w:r>
      <w:r>
        <w:rPr>
          <w:rFonts w:ascii="Arial" w:hAnsi="Arial" w:cs="Arial" w:eastAsia="Arial" w:hint="default"/>
        </w:rPr>
        <w:t>1</w:t>
      </w:r>
      <w:r>
        <w:rPr/>
        <w:t>年以内的应收账款及其它应收款。</w:t>
      </w:r>
    </w:p>
    <w:p>
      <w:pPr>
        <w:spacing w:line="240" w:lineRule="auto" w:before="6"/>
        <w:rPr>
          <w:rFonts w:ascii="黑体" w:hAnsi="黑体" w:cs="黑体" w:eastAsia="黑体" w:hint="default"/>
          <w:sz w:val="20"/>
          <w:szCs w:val="20"/>
        </w:rPr>
      </w:pPr>
    </w:p>
    <w:p>
      <w:pPr>
        <w:pStyle w:val="BodyText"/>
        <w:spacing w:line="262" w:lineRule="exact"/>
        <w:ind w:left="813" w:right="183"/>
        <w:jc w:val="both"/>
      </w:pPr>
      <w:r>
        <w:rPr>
          <w:spacing w:val="-2"/>
          <w:w w:val="99"/>
        </w:rPr>
        <w:t>于</w:t>
      </w:r>
      <w:r>
        <w:rPr>
          <w:rFonts w:ascii="Arial" w:hAnsi="Arial" w:cs="Arial" w:eastAsia="Arial" w:hint="default"/>
          <w:spacing w:val="-2"/>
          <w:w w:val="99"/>
        </w:rPr>
        <w:t>2012</w:t>
      </w:r>
      <w:r>
        <w:rPr>
          <w:spacing w:val="-2"/>
          <w:w w:val="99"/>
        </w:rPr>
        <w:t>年</w:t>
      </w:r>
      <w:r>
        <w:rPr>
          <w:rFonts w:ascii="Arial" w:hAnsi="Arial" w:cs="Arial" w:eastAsia="Arial" w:hint="default"/>
          <w:spacing w:val="-2"/>
          <w:w w:val="99"/>
        </w:rPr>
        <w:t>12</w:t>
      </w:r>
      <w:r>
        <w:rPr>
          <w:spacing w:val="-2"/>
          <w:w w:val="99"/>
        </w:rPr>
        <w:t>月</w:t>
      </w:r>
      <w:r>
        <w:rPr>
          <w:rFonts w:ascii="Arial" w:hAnsi="Arial" w:cs="Arial" w:eastAsia="Arial" w:hint="default"/>
          <w:spacing w:val="-2"/>
          <w:w w:val="99"/>
        </w:rPr>
        <w:t>31</w:t>
      </w:r>
      <w:r>
        <w:rPr>
          <w:spacing w:val="-2"/>
          <w:w w:val="99"/>
        </w:rPr>
        <w:t>日，尚未逾期和发生减值的应收账款与大量的近期无违约记录的分散化的</w:t>
      </w:r>
      <w:r>
        <w:rPr>
          <w:spacing w:val="-91"/>
          <w:w w:val="99"/>
        </w:rPr>
        <w:t> </w:t>
      </w:r>
      <w:r>
        <w:rPr>
          <w:spacing w:val="-91"/>
          <w:w w:val="99"/>
        </w:rPr>
      </w:r>
      <w:r>
        <w:rPr/>
        <w:t>客户有关。</w:t>
      </w:r>
    </w:p>
    <w:p>
      <w:pPr>
        <w:spacing w:line="240" w:lineRule="auto" w:before="4"/>
        <w:rPr>
          <w:rFonts w:ascii="黑体" w:hAnsi="黑体" w:cs="黑体" w:eastAsia="黑体" w:hint="default"/>
          <w:sz w:val="18"/>
          <w:szCs w:val="18"/>
        </w:rPr>
      </w:pPr>
    </w:p>
    <w:p>
      <w:pPr>
        <w:pStyle w:val="BodyText"/>
        <w:spacing w:line="232" w:lineRule="auto"/>
        <w:ind w:left="813" w:right="181"/>
        <w:jc w:val="both"/>
      </w:pPr>
      <w:r>
        <w:rPr>
          <w:spacing w:val="-2"/>
          <w:w w:val="99"/>
        </w:rPr>
        <w:t>于</w:t>
      </w:r>
      <w:r>
        <w:rPr>
          <w:rFonts w:ascii="Arial" w:hAnsi="Arial" w:cs="Arial" w:eastAsia="Arial" w:hint="default"/>
          <w:spacing w:val="-2"/>
          <w:w w:val="99"/>
        </w:rPr>
        <w:t>2012</w:t>
      </w:r>
      <w:r>
        <w:rPr>
          <w:spacing w:val="-2"/>
          <w:w w:val="99"/>
        </w:rPr>
        <w:t>年</w:t>
      </w:r>
      <w:r>
        <w:rPr>
          <w:rFonts w:ascii="Arial" w:hAnsi="Arial" w:cs="Arial" w:eastAsia="Arial" w:hint="default"/>
          <w:spacing w:val="-2"/>
          <w:w w:val="99"/>
        </w:rPr>
        <w:t>12</w:t>
      </w:r>
      <w:r>
        <w:rPr>
          <w:spacing w:val="-2"/>
          <w:w w:val="99"/>
        </w:rPr>
        <w:t>月</w:t>
      </w:r>
      <w:r>
        <w:rPr>
          <w:rFonts w:ascii="Arial" w:hAnsi="Arial" w:cs="Arial" w:eastAsia="Arial" w:hint="default"/>
          <w:spacing w:val="-2"/>
          <w:w w:val="99"/>
        </w:rPr>
        <w:t>31</w:t>
      </w:r>
      <w:r>
        <w:rPr>
          <w:spacing w:val="-2"/>
          <w:w w:val="99"/>
        </w:rPr>
        <w:t>日，已逾期但未减值的应收账款与大量的和本集团有良好交易记录的独立</w:t>
      </w:r>
      <w:r>
        <w:rPr>
          <w:spacing w:val="-91"/>
          <w:w w:val="99"/>
        </w:rPr>
        <w:t> </w:t>
      </w:r>
      <w:r>
        <w:rPr>
          <w:spacing w:val="-91"/>
          <w:w w:val="99"/>
        </w:rPr>
      </w:r>
      <w:r>
        <w:rPr>
          <w:w w:val="95"/>
        </w:rPr>
        <w:t>客户有关。根据以往经验，由于信用质量未发生重大变化且仍被认为可全额收回，本集团</w:t>
      </w:r>
      <w:r>
        <w:rPr>
          <w:spacing w:val="91"/>
          <w:w w:val="95"/>
        </w:rPr>
        <w:t> </w:t>
      </w:r>
      <w:r>
        <w:rPr>
          <w:spacing w:val="91"/>
          <w:w w:val="95"/>
        </w:rPr>
      </w:r>
      <w:r>
        <w:rPr/>
        <w:t>认为无需对其计提减值准备。</w:t>
      </w:r>
    </w:p>
    <w:p>
      <w:pPr>
        <w:spacing w:after="0" w:line="232" w:lineRule="auto"/>
        <w:jc w:val="both"/>
        <w:sectPr>
          <w:pgSz w:w="11910" w:h="16850"/>
          <w:pgMar w:header="957" w:footer="689" w:top="2560" w:bottom="880" w:left="1600" w:right="1520"/>
        </w:sectPr>
      </w:pPr>
    </w:p>
    <w:p>
      <w:pPr>
        <w:spacing w:line="240" w:lineRule="auto" w:before="2"/>
        <w:rPr>
          <w:rFonts w:ascii="黑体" w:hAnsi="黑体" w:cs="黑体" w:eastAsia="黑体" w:hint="default"/>
          <w:sz w:val="16"/>
          <w:szCs w:val="16"/>
        </w:rPr>
      </w:pPr>
    </w:p>
    <w:p>
      <w:pPr>
        <w:pStyle w:val="Heading6"/>
        <w:spacing w:line="240" w:lineRule="auto"/>
        <w:ind w:right="0"/>
        <w:jc w:val="left"/>
        <w:rPr>
          <w:b w:val="0"/>
          <w:bCs w:val="0"/>
        </w:rPr>
      </w:pPr>
      <w:r>
        <w:rPr/>
        <w:t>十二、</w:t>
      </w:r>
      <w:r>
        <w:rPr>
          <w:spacing w:val="-6"/>
        </w:rPr>
        <w:t> </w:t>
      </w:r>
      <w:r>
        <w:rPr/>
        <w:t>金融工具及其风险分析（续）</w:t>
      </w:r>
      <w:r>
        <w:rPr>
          <w:b w:val="0"/>
          <w:bCs w:val="0"/>
        </w:rPr>
      </w:r>
    </w:p>
    <w:p>
      <w:pPr>
        <w:spacing w:line="240" w:lineRule="auto" w:before="13"/>
        <w:rPr>
          <w:rFonts w:ascii="黑体" w:hAnsi="黑体" w:cs="黑体" w:eastAsia="黑体" w:hint="default"/>
          <w:b/>
          <w:bCs/>
          <w:sz w:val="19"/>
          <w:szCs w:val="19"/>
        </w:rPr>
      </w:pPr>
    </w:p>
    <w:p>
      <w:pPr>
        <w:tabs>
          <w:tab w:pos="833" w:val="left" w:leader="none"/>
        </w:tabs>
        <w:spacing w:line="489" w:lineRule="auto" w:before="0"/>
        <w:ind w:left="814" w:right="2072" w:hanging="713"/>
        <w:jc w:val="left"/>
        <w:rPr>
          <w:rFonts w:ascii="黑体" w:hAnsi="黑体" w:cs="黑体" w:eastAsia="黑体" w:hint="default"/>
          <w:sz w:val="20"/>
          <w:szCs w:val="20"/>
        </w:rPr>
      </w:pPr>
      <w:r>
        <w:rPr>
          <w:rFonts w:ascii="Arial" w:hAnsi="Arial" w:cs="Arial" w:eastAsia="Arial" w:hint="default"/>
          <w:b/>
          <w:bCs/>
          <w:spacing w:val="-1"/>
          <w:sz w:val="20"/>
          <w:szCs w:val="20"/>
        </w:rPr>
        <w:t>2.</w:t>
        <w:tab/>
        <w:tab/>
      </w:r>
      <w:r>
        <w:rPr>
          <w:rFonts w:ascii="黑体" w:hAnsi="黑体" w:cs="黑体" w:eastAsia="黑体" w:hint="default"/>
          <w:b/>
          <w:bCs/>
          <w:spacing w:val="1"/>
          <w:sz w:val="20"/>
          <w:szCs w:val="20"/>
        </w:rPr>
        <w:t>流动风险</w:t>
      </w:r>
      <w:r>
        <w:rPr>
          <w:rFonts w:ascii="黑体" w:hAnsi="黑体" w:cs="黑体" w:eastAsia="黑体" w:hint="default"/>
          <w:b/>
          <w:bCs/>
          <w:w w:val="99"/>
          <w:sz w:val="20"/>
          <w:szCs w:val="20"/>
        </w:rPr>
        <w:t> </w:t>
      </w:r>
      <w:r>
        <w:rPr>
          <w:rFonts w:ascii="黑体" w:hAnsi="黑体" w:cs="黑体" w:eastAsia="黑体" w:hint="default"/>
          <w:sz w:val="20"/>
          <w:szCs w:val="20"/>
        </w:rPr>
        <w:t>流动风险，是指企业在履行与金融负债有关的义务时遇到资金短缺的风险。</w:t>
      </w:r>
    </w:p>
    <w:p>
      <w:pPr>
        <w:pStyle w:val="BodyText"/>
        <w:spacing w:line="256" w:lineRule="auto" w:before="89"/>
        <w:ind w:right="774"/>
        <w:jc w:val="left"/>
      </w:pPr>
      <w:r>
        <w:rPr>
          <w:spacing w:val="2"/>
        </w:rPr>
        <w:t>本集团采用循环流动性计划工具管理资金短缺风险。该工具既考虑其金融工具的到期日，</w:t>
      </w:r>
      <w:r>
        <w:rPr>
          <w:spacing w:val="2"/>
          <w:w w:val="99"/>
        </w:rPr>
        <w:t> </w:t>
      </w:r>
      <w:r>
        <w:rPr/>
        <w:t>也考虑本集团运营产生的预计现金流量。</w:t>
      </w:r>
    </w:p>
    <w:p>
      <w:pPr>
        <w:spacing w:line="240" w:lineRule="auto" w:before="9"/>
        <w:rPr>
          <w:rFonts w:ascii="黑体" w:hAnsi="黑体" w:cs="黑体" w:eastAsia="黑体" w:hint="default"/>
          <w:sz w:val="21"/>
          <w:szCs w:val="21"/>
        </w:rPr>
      </w:pPr>
    </w:p>
    <w:p>
      <w:pPr>
        <w:pStyle w:val="BodyText"/>
        <w:spacing w:line="256" w:lineRule="auto"/>
        <w:ind w:right="808"/>
        <w:jc w:val="left"/>
      </w:pPr>
      <w:r>
        <w:rPr>
          <w:w w:val="95"/>
        </w:rPr>
        <w:t>本集团的目标是运用银行借款、增发股本等多种融资手段以保持融资的持续性与灵活性的</w:t>
      </w:r>
      <w:r>
        <w:rPr>
          <w:spacing w:val="87"/>
          <w:w w:val="95"/>
        </w:rPr>
        <w:t> </w:t>
      </w:r>
      <w:r>
        <w:rPr>
          <w:spacing w:val="87"/>
          <w:w w:val="95"/>
        </w:rPr>
      </w:r>
      <w:r>
        <w:rPr/>
        <w:t>平衡。</w:t>
      </w:r>
    </w:p>
    <w:p>
      <w:pPr>
        <w:spacing w:line="240" w:lineRule="auto" w:before="9"/>
        <w:rPr>
          <w:rFonts w:ascii="黑体" w:hAnsi="黑体" w:cs="黑体" w:eastAsia="黑体" w:hint="default"/>
          <w:sz w:val="21"/>
          <w:szCs w:val="21"/>
        </w:rPr>
      </w:pPr>
    </w:p>
    <w:p>
      <w:pPr>
        <w:pStyle w:val="BodyText"/>
        <w:spacing w:line="240" w:lineRule="auto"/>
        <w:ind w:right="0"/>
        <w:jc w:val="left"/>
      </w:pPr>
      <w:r>
        <w:rPr/>
        <w:t>下表概括了金融资产和金融负债按未折现的合同现金流量所作的到期期限分析：</w:t>
      </w:r>
    </w:p>
    <w:p>
      <w:pPr>
        <w:spacing w:line="240" w:lineRule="auto" w:before="10"/>
        <w:rPr>
          <w:rFonts w:ascii="黑体" w:hAnsi="黑体" w:cs="黑体" w:eastAsia="黑体" w:hint="default"/>
          <w:sz w:val="29"/>
          <w:szCs w:val="29"/>
        </w:rPr>
      </w:pPr>
    </w:p>
    <w:tbl>
      <w:tblPr>
        <w:tblW w:w="0" w:type="auto"/>
        <w:jc w:val="left"/>
        <w:tblInd w:w="652" w:type="dxa"/>
        <w:tblLayout w:type="fixed"/>
        <w:tblCellMar>
          <w:top w:w="0" w:type="dxa"/>
          <w:left w:w="0" w:type="dxa"/>
          <w:bottom w:w="0" w:type="dxa"/>
          <w:right w:w="0" w:type="dxa"/>
        </w:tblCellMar>
        <w:tblLook w:val="01E0"/>
      </w:tblPr>
      <w:tblGrid>
        <w:gridCol w:w="1352"/>
        <w:gridCol w:w="1337"/>
        <w:gridCol w:w="1134"/>
        <w:gridCol w:w="1180"/>
        <w:gridCol w:w="1093"/>
        <w:gridCol w:w="1204"/>
        <w:gridCol w:w="1421"/>
      </w:tblGrid>
      <w:tr>
        <w:trPr>
          <w:trHeight w:val="206" w:hRule="exact"/>
        </w:trPr>
        <w:tc>
          <w:tcPr>
            <w:tcW w:w="1352" w:type="dxa"/>
            <w:tcBorders>
              <w:top w:val="nil" w:sz="6" w:space="0" w:color="auto"/>
              <w:left w:val="nil" w:sz="6" w:space="0" w:color="auto"/>
              <w:bottom w:val="nil" w:sz="6" w:space="0" w:color="auto"/>
              <w:right w:val="nil" w:sz="6" w:space="0" w:color="auto"/>
            </w:tcBorders>
          </w:tcPr>
          <w:p>
            <w:pPr>
              <w:pStyle w:val="TableParagraph"/>
              <w:spacing w:line="172" w:lineRule="exact"/>
              <w:ind w:left="200" w:right="0"/>
              <w:jc w:val="left"/>
              <w:rPr>
                <w:rFonts w:ascii="黑体" w:hAnsi="黑体" w:cs="黑体" w:eastAsia="黑体" w:hint="default"/>
                <w:sz w:val="16"/>
                <w:szCs w:val="16"/>
              </w:rPr>
            </w:pPr>
            <w:r>
              <w:rPr>
                <w:rFonts w:ascii="Arial" w:hAnsi="Arial" w:cs="Arial" w:eastAsia="Arial" w:hint="default"/>
                <w:sz w:val="16"/>
                <w:szCs w:val="16"/>
              </w:rPr>
              <w:t>2012</w:t>
            </w:r>
            <w:r>
              <w:rPr>
                <w:rFonts w:ascii="Arial" w:hAnsi="Arial" w:cs="Arial" w:eastAsia="Arial" w:hint="default"/>
                <w:spacing w:val="-6"/>
                <w:sz w:val="16"/>
                <w:szCs w:val="16"/>
              </w:rPr>
              <w:t> </w:t>
            </w:r>
            <w:r>
              <w:rPr>
                <w:rFonts w:ascii="黑体" w:hAnsi="黑体" w:cs="黑体" w:eastAsia="黑体" w:hint="default"/>
                <w:sz w:val="16"/>
                <w:szCs w:val="16"/>
              </w:rPr>
              <w:t>年</w:t>
            </w:r>
          </w:p>
        </w:tc>
        <w:tc>
          <w:tcPr>
            <w:tcW w:w="1337"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c>
          <w:tcPr>
            <w:tcW w:w="1093"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r>
      <w:tr>
        <w:trPr>
          <w:trHeight w:val="237" w:hRule="exact"/>
        </w:trPr>
        <w:tc>
          <w:tcPr>
            <w:tcW w:w="1352" w:type="dxa"/>
            <w:tcBorders>
              <w:top w:val="nil" w:sz="6" w:space="0" w:color="auto"/>
              <w:left w:val="nil" w:sz="6" w:space="0" w:color="auto"/>
              <w:bottom w:val="nil" w:sz="6" w:space="0" w:color="auto"/>
              <w:right w:val="nil" w:sz="6" w:space="0" w:color="auto"/>
            </w:tcBorders>
          </w:tcPr>
          <w:p>
            <w:pPr>
              <w:pStyle w:val="TableParagraph"/>
              <w:spacing w:line="198" w:lineRule="exact"/>
              <w:ind w:left="200" w:right="0"/>
              <w:jc w:val="left"/>
              <w:rPr>
                <w:rFonts w:ascii="黑体" w:hAnsi="黑体" w:cs="黑体" w:eastAsia="黑体" w:hint="default"/>
                <w:sz w:val="16"/>
                <w:szCs w:val="16"/>
              </w:rPr>
            </w:pPr>
            <w:r>
              <w:rPr>
                <w:rFonts w:ascii="黑体" w:hAnsi="黑体" w:cs="黑体" w:eastAsia="黑体" w:hint="default"/>
                <w:sz w:val="16"/>
                <w:szCs w:val="16"/>
              </w:rPr>
              <w:t>金融资产</w:t>
            </w:r>
          </w:p>
        </w:tc>
        <w:tc>
          <w:tcPr>
            <w:tcW w:w="1337"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c>
          <w:tcPr>
            <w:tcW w:w="1093"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r>
      <w:tr>
        <w:trPr>
          <w:trHeight w:val="518" w:hRule="exact"/>
        </w:trPr>
        <w:tc>
          <w:tcPr>
            <w:tcW w:w="1352"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9"/>
                <w:szCs w:val="19"/>
              </w:rPr>
            </w:pPr>
          </w:p>
          <w:p>
            <w:pPr>
              <w:pStyle w:val="TableParagraph"/>
              <w:spacing w:line="240" w:lineRule="auto"/>
              <w:ind w:right="119"/>
              <w:jc w:val="right"/>
              <w:rPr>
                <w:rFonts w:ascii="黑体" w:hAnsi="黑体" w:cs="黑体" w:eastAsia="黑体" w:hint="default"/>
                <w:sz w:val="16"/>
                <w:szCs w:val="16"/>
              </w:rPr>
            </w:pPr>
            <w:r>
              <w:rPr>
                <w:rFonts w:ascii="Arial" w:hAnsi="Arial" w:cs="Arial" w:eastAsia="Arial" w:hint="default"/>
                <w:spacing w:val="-1"/>
                <w:sz w:val="16"/>
                <w:szCs w:val="16"/>
              </w:rPr>
              <w:t>1</w:t>
            </w:r>
            <w:r>
              <w:rPr>
                <w:rFonts w:ascii="黑体" w:hAnsi="黑体" w:cs="黑体" w:eastAsia="黑体" w:hint="default"/>
                <w:spacing w:val="-1"/>
                <w:sz w:val="16"/>
                <w:szCs w:val="16"/>
              </w:rPr>
              <w:t>个月以内</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9"/>
                <w:szCs w:val="19"/>
              </w:rPr>
            </w:pPr>
          </w:p>
          <w:p>
            <w:pPr>
              <w:pStyle w:val="TableParagraph"/>
              <w:spacing w:line="240" w:lineRule="auto"/>
              <w:ind w:right="119"/>
              <w:jc w:val="right"/>
              <w:rPr>
                <w:rFonts w:ascii="黑体" w:hAnsi="黑体" w:cs="黑体" w:eastAsia="黑体" w:hint="default"/>
                <w:sz w:val="16"/>
                <w:szCs w:val="16"/>
              </w:rPr>
            </w:pPr>
            <w:r>
              <w:rPr>
                <w:rFonts w:ascii="Arial" w:hAnsi="Arial" w:cs="Arial" w:eastAsia="Arial" w:hint="default"/>
                <w:spacing w:val="-1"/>
                <w:sz w:val="16"/>
                <w:szCs w:val="16"/>
              </w:rPr>
              <w:t>1</w:t>
            </w:r>
            <w:r>
              <w:rPr>
                <w:rFonts w:ascii="黑体" w:hAnsi="黑体" w:cs="黑体" w:eastAsia="黑体" w:hint="default"/>
                <w:spacing w:val="-1"/>
                <w:sz w:val="16"/>
                <w:szCs w:val="16"/>
              </w:rPr>
              <w:t>至</w:t>
            </w:r>
            <w:r>
              <w:rPr>
                <w:rFonts w:ascii="Arial" w:hAnsi="Arial" w:cs="Arial" w:eastAsia="Arial" w:hint="default"/>
                <w:spacing w:val="-1"/>
                <w:sz w:val="16"/>
                <w:szCs w:val="16"/>
              </w:rPr>
              <w:t>3</w:t>
            </w:r>
            <w:r>
              <w:rPr>
                <w:rFonts w:ascii="黑体" w:hAnsi="黑体" w:cs="黑体" w:eastAsia="黑体" w:hint="default"/>
                <w:spacing w:val="-1"/>
                <w:sz w:val="16"/>
                <w:szCs w:val="16"/>
              </w:rPr>
              <w:t>个月</w:t>
            </w:r>
          </w:p>
        </w:tc>
        <w:tc>
          <w:tcPr>
            <w:tcW w:w="1180" w:type="dxa"/>
            <w:tcBorders>
              <w:top w:val="nil" w:sz="6" w:space="0" w:color="auto"/>
              <w:left w:val="nil" w:sz="6" w:space="0" w:color="auto"/>
              <w:bottom w:val="nil" w:sz="6" w:space="0" w:color="auto"/>
              <w:right w:val="nil" w:sz="6" w:space="0" w:color="auto"/>
            </w:tcBorders>
          </w:tcPr>
          <w:p>
            <w:pPr>
              <w:pStyle w:val="TableParagraph"/>
              <w:spacing w:line="212" w:lineRule="exact"/>
              <w:ind w:left="281" w:right="0"/>
              <w:jc w:val="left"/>
              <w:rPr>
                <w:rFonts w:ascii="黑体" w:hAnsi="黑体" w:cs="黑体" w:eastAsia="黑体" w:hint="default"/>
                <w:sz w:val="16"/>
                <w:szCs w:val="16"/>
              </w:rPr>
            </w:pPr>
            <w:r>
              <w:rPr>
                <w:rFonts w:ascii="Arial" w:hAnsi="Arial" w:cs="Arial" w:eastAsia="Arial" w:hint="default"/>
                <w:sz w:val="16"/>
                <w:szCs w:val="16"/>
              </w:rPr>
              <w:t>3</w:t>
            </w:r>
            <w:r>
              <w:rPr>
                <w:rFonts w:ascii="黑体" w:hAnsi="黑体" w:cs="黑体" w:eastAsia="黑体" w:hint="default"/>
                <w:sz w:val="16"/>
                <w:szCs w:val="16"/>
              </w:rPr>
              <w:t>个月以上</w:t>
            </w:r>
          </w:p>
          <w:p>
            <w:pPr>
              <w:pStyle w:val="TableParagraph"/>
              <w:spacing w:line="240" w:lineRule="auto" w:before="38"/>
              <w:ind w:left="603" w:right="0"/>
              <w:jc w:val="left"/>
              <w:rPr>
                <w:rFonts w:ascii="黑体" w:hAnsi="黑体" w:cs="黑体" w:eastAsia="黑体" w:hint="default"/>
                <w:sz w:val="16"/>
                <w:szCs w:val="16"/>
              </w:rPr>
            </w:pPr>
            <w:r>
              <w:rPr>
                <w:rFonts w:ascii="黑体" w:hAnsi="黑体" w:cs="黑体" w:eastAsia="黑体" w:hint="default"/>
                <w:sz w:val="16"/>
                <w:szCs w:val="16"/>
              </w:rPr>
              <w:t>至</w:t>
            </w:r>
            <w:r>
              <w:rPr>
                <w:rFonts w:ascii="Arial" w:hAnsi="Arial" w:cs="Arial" w:eastAsia="Arial" w:hint="default"/>
                <w:sz w:val="16"/>
                <w:szCs w:val="16"/>
              </w:rPr>
              <w:t>1</w:t>
            </w:r>
            <w:r>
              <w:rPr>
                <w:rFonts w:ascii="黑体" w:hAnsi="黑体" w:cs="黑体" w:eastAsia="黑体" w:hint="default"/>
                <w:sz w:val="16"/>
                <w:szCs w:val="16"/>
              </w:rPr>
              <w:t>年</w:t>
            </w:r>
          </w:p>
        </w:tc>
        <w:tc>
          <w:tcPr>
            <w:tcW w:w="1093" w:type="dxa"/>
            <w:tcBorders>
              <w:top w:val="nil" w:sz="6" w:space="0" w:color="auto"/>
              <w:left w:val="nil" w:sz="6" w:space="0" w:color="auto"/>
              <w:bottom w:val="nil" w:sz="6" w:space="0" w:color="auto"/>
              <w:right w:val="nil" w:sz="6" w:space="0" w:color="auto"/>
            </w:tcBorders>
          </w:tcPr>
          <w:p>
            <w:pPr>
              <w:pStyle w:val="TableParagraph"/>
              <w:spacing w:line="280" w:lineRule="auto"/>
              <w:ind w:left="556" w:right="123" w:hanging="161"/>
              <w:jc w:val="left"/>
              <w:rPr>
                <w:rFonts w:ascii="黑体" w:hAnsi="黑体" w:cs="黑体" w:eastAsia="黑体" w:hint="default"/>
                <w:sz w:val="16"/>
                <w:szCs w:val="16"/>
              </w:rPr>
            </w:pPr>
            <w:r>
              <w:rPr>
                <w:rFonts w:ascii="Arial" w:hAnsi="Arial" w:cs="Arial" w:eastAsia="Arial" w:hint="default"/>
                <w:sz w:val="16"/>
                <w:szCs w:val="16"/>
              </w:rPr>
              <w:t>1</w:t>
            </w:r>
            <w:r>
              <w:rPr>
                <w:rFonts w:ascii="黑体" w:hAnsi="黑体" w:cs="黑体" w:eastAsia="黑体" w:hint="default"/>
                <w:sz w:val="16"/>
                <w:szCs w:val="16"/>
              </w:rPr>
              <w:t>年以上</w:t>
            </w:r>
            <w:r>
              <w:rPr>
                <w:rFonts w:ascii="黑体" w:hAnsi="黑体" w:cs="黑体" w:eastAsia="黑体" w:hint="default"/>
                <w:w w:val="100"/>
                <w:sz w:val="16"/>
                <w:szCs w:val="16"/>
              </w:rPr>
              <w:t> </w:t>
            </w:r>
            <w:r>
              <w:rPr>
                <w:rFonts w:ascii="黑体" w:hAnsi="黑体" w:cs="黑体" w:eastAsia="黑体" w:hint="default"/>
                <w:sz w:val="16"/>
                <w:szCs w:val="16"/>
              </w:rPr>
              <w:t>至</w:t>
            </w:r>
            <w:r>
              <w:rPr>
                <w:rFonts w:ascii="Arial" w:hAnsi="Arial" w:cs="Arial" w:eastAsia="Arial" w:hint="default"/>
                <w:sz w:val="16"/>
                <w:szCs w:val="16"/>
              </w:rPr>
              <w:t>5</w:t>
            </w:r>
            <w:r>
              <w:rPr>
                <w:rFonts w:ascii="黑体" w:hAnsi="黑体" w:cs="黑体" w:eastAsia="黑体" w:hint="default"/>
                <w:sz w:val="16"/>
                <w:szCs w:val="16"/>
              </w:rPr>
              <w:t>年</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9"/>
                <w:szCs w:val="19"/>
              </w:rPr>
            </w:pPr>
          </w:p>
          <w:p>
            <w:pPr>
              <w:pStyle w:val="TableParagraph"/>
              <w:spacing w:line="240" w:lineRule="auto"/>
              <w:ind w:right="192"/>
              <w:jc w:val="right"/>
              <w:rPr>
                <w:rFonts w:ascii="黑体" w:hAnsi="黑体" w:cs="黑体" w:eastAsia="黑体" w:hint="default"/>
                <w:sz w:val="16"/>
                <w:szCs w:val="16"/>
              </w:rPr>
            </w:pPr>
            <w:r>
              <w:rPr>
                <w:rFonts w:ascii="Arial" w:hAnsi="Arial" w:cs="Arial" w:eastAsia="Arial" w:hint="default"/>
                <w:spacing w:val="-1"/>
                <w:sz w:val="16"/>
                <w:szCs w:val="16"/>
              </w:rPr>
              <w:t>5</w:t>
            </w:r>
            <w:r>
              <w:rPr>
                <w:rFonts w:ascii="黑体" w:hAnsi="黑体" w:cs="黑体" w:eastAsia="黑体" w:hint="default"/>
                <w:spacing w:val="-1"/>
                <w:sz w:val="16"/>
                <w:szCs w:val="16"/>
              </w:rPr>
              <w:t>年以上</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9"/>
                <w:szCs w:val="19"/>
              </w:rPr>
            </w:pPr>
          </w:p>
          <w:p>
            <w:pPr>
              <w:pStyle w:val="TableParagraph"/>
              <w:spacing w:line="240" w:lineRule="auto"/>
              <w:ind w:right="198"/>
              <w:jc w:val="right"/>
              <w:rPr>
                <w:rFonts w:ascii="黑体" w:hAnsi="黑体" w:cs="黑体" w:eastAsia="黑体" w:hint="default"/>
                <w:sz w:val="16"/>
                <w:szCs w:val="16"/>
              </w:rPr>
            </w:pPr>
            <w:r>
              <w:rPr>
                <w:rFonts w:ascii="黑体" w:hAnsi="黑体" w:cs="黑体" w:eastAsia="黑体" w:hint="default"/>
                <w:sz w:val="16"/>
                <w:szCs w:val="16"/>
              </w:rPr>
              <w:t>合计</w:t>
            </w:r>
          </w:p>
        </w:tc>
      </w:tr>
      <w:tr>
        <w:trPr>
          <w:trHeight w:val="266" w:hRule="exact"/>
        </w:trPr>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00" w:right="0"/>
              <w:jc w:val="left"/>
              <w:rPr>
                <w:rFonts w:ascii="黑体" w:hAnsi="黑体" w:cs="黑体" w:eastAsia="黑体" w:hint="default"/>
                <w:sz w:val="16"/>
                <w:szCs w:val="16"/>
              </w:rPr>
            </w:pPr>
            <w:r>
              <w:rPr>
                <w:rFonts w:ascii="黑体" w:hAnsi="黑体" w:cs="黑体" w:eastAsia="黑体" w:hint="default"/>
                <w:sz w:val="16"/>
                <w:szCs w:val="16"/>
              </w:rPr>
              <w:t>货币资金</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18"/>
              <w:jc w:val="right"/>
              <w:rPr>
                <w:rFonts w:ascii="Arial" w:hAnsi="Arial" w:cs="Arial" w:eastAsia="Arial" w:hint="default"/>
                <w:sz w:val="16"/>
                <w:szCs w:val="16"/>
              </w:rPr>
            </w:pPr>
            <w:r>
              <w:rPr>
                <w:rFonts w:ascii="Arial"/>
                <w:spacing w:val="-1"/>
                <w:sz w:val="16"/>
              </w:rPr>
              <w:t>1,679,957,745</w:t>
            </w:r>
            <w:r>
              <w:rPr>
                <w:rFonts w:ascii="Arial"/>
                <w:sz w:val="16"/>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19"/>
              <w:jc w:val="right"/>
              <w:rPr>
                <w:rFonts w:ascii="Arial" w:hAnsi="Arial" w:cs="Arial" w:eastAsia="Arial" w:hint="default"/>
                <w:sz w:val="16"/>
                <w:szCs w:val="16"/>
              </w:rPr>
            </w:pPr>
            <w:r>
              <w:rPr>
                <w:rFonts w:ascii="Arial"/>
                <w:spacing w:val="-1"/>
                <w:sz w:val="16"/>
              </w:rPr>
              <w:t>4,605,297</w:t>
            </w:r>
            <w:r>
              <w:rPr>
                <w:rFonts w:ascii="Arial"/>
                <w:sz w:val="16"/>
              </w:rPr>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66"/>
              <w:jc w:val="right"/>
              <w:rPr>
                <w:rFonts w:ascii="Arial" w:hAnsi="Arial" w:cs="Arial" w:eastAsia="Arial" w:hint="default"/>
                <w:sz w:val="16"/>
                <w:szCs w:val="16"/>
              </w:rPr>
            </w:pPr>
            <w:r>
              <w:rPr>
                <w:rFonts w:ascii="Arial"/>
                <w:spacing w:val="-1"/>
                <w:sz w:val="16"/>
              </w:rPr>
              <w:t>9,953,418</w:t>
            </w:r>
            <w:r>
              <w:rPr>
                <w:rFonts w:ascii="Arial"/>
                <w:sz w:val="16"/>
              </w:rPr>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26"/>
              <w:jc w:val="right"/>
              <w:rPr>
                <w:rFonts w:ascii="Arial" w:hAnsi="Arial" w:cs="Arial" w:eastAsia="Arial" w:hint="default"/>
                <w:sz w:val="16"/>
                <w:szCs w:val="16"/>
              </w:rPr>
            </w:pPr>
            <w:r>
              <w:rPr>
                <w:rFonts w:ascii="Arial"/>
                <w:spacing w:val="-2"/>
                <w:sz w:val="16"/>
              </w:rPr>
              <w:t>2,520,716</w:t>
            </w:r>
            <w:r>
              <w:rPr>
                <w:rFonts w:ascii="Arial"/>
                <w:sz w:val="16"/>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94"/>
              <w:jc w:val="right"/>
              <w:rPr>
                <w:rFonts w:ascii="Arial" w:hAnsi="Arial" w:cs="Arial" w:eastAsia="Arial" w:hint="default"/>
                <w:sz w:val="16"/>
                <w:szCs w:val="16"/>
              </w:rPr>
            </w:pPr>
            <w:r>
              <w:rPr>
                <w:rFonts w:ascii="Arial"/>
                <w:w w:val="100"/>
                <w:sz w:val="16"/>
              </w:rPr>
              <w:t>-</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00"/>
              <w:jc w:val="right"/>
              <w:rPr>
                <w:rFonts w:ascii="Arial" w:hAnsi="Arial" w:cs="Arial" w:eastAsia="Arial" w:hint="default"/>
                <w:sz w:val="16"/>
                <w:szCs w:val="16"/>
              </w:rPr>
            </w:pPr>
            <w:r>
              <w:rPr>
                <w:rFonts w:ascii="Arial"/>
                <w:spacing w:val="-1"/>
                <w:sz w:val="16"/>
              </w:rPr>
              <w:t>1,697,037,176</w:t>
            </w:r>
            <w:r>
              <w:rPr>
                <w:rFonts w:ascii="Arial"/>
                <w:sz w:val="16"/>
              </w:rPr>
            </w:r>
          </w:p>
        </w:tc>
      </w:tr>
      <w:tr>
        <w:trPr>
          <w:trHeight w:val="260" w:hRule="exact"/>
        </w:trPr>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8"/>
              <w:ind w:left="200" w:right="0"/>
              <w:jc w:val="left"/>
              <w:rPr>
                <w:rFonts w:ascii="黑体" w:hAnsi="黑体" w:cs="黑体" w:eastAsia="黑体" w:hint="default"/>
                <w:sz w:val="16"/>
                <w:szCs w:val="16"/>
              </w:rPr>
            </w:pPr>
            <w:r>
              <w:rPr>
                <w:rFonts w:ascii="黑体" w:hAnsi="黑体" w:cs="黑体" w:eastAsia="黑体" w:hint="default"/>
                <w:sz w:val="16"/>
                <w:szCs w:val="16"/>
              </w:rPr>
              <w:t>应收票据</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18"/>
              <w:jc w:val="right"/>
              <w:rPr>
                <w:rFonts w:ascii="Arial" w:hAnsi="Arial" w:cs="Arial" w:eastAsia="Arial" w:hint="default"/>
                <w:sz w:val="16"/>
                <w:szCs w:val="16"/>
              </w:rPr>
            </w:pPr>
            <w:r>
              <w:rPr>
                <w:rFonts w:ascii="Arial"/>
                <w:spacing w:val="-1"/>
                <w:sz w:val="16"/>
              </w:rPr>
              <w:t>150,000</w:t>
            </w:r>
            <w:r>
              <w:rPr>
                <w:rFonts w:ascii="Arial"/>
                <w:sz w:val="16"/>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22"/>
              <w:jc w:val="right"/>
              <w:rPr>
                <w:rFonts w:ascii="Arial" w:hAnsi="Arial" w:cs="Arial" w:eastAsia="Arial" w:hint="default"/>
                <w:sz w:val="16"/>
                <w:szCs w:val="16"/>
              </w:rPr>
            </w:pPr>
            <w:r>
              <w:rPr>
                <w:rFonts w:ascii="Arial"/>
                <w:spacing w:val="-2"/>
                <w:sz w:val="16"/>
              </w:rPr>
              <w:t>19,902,495</w:t>
            </w:r>
            <w:r>
              <w:rPr>
                <w:rFonts w:ascii="Arial"/>
                <w:sz w:val="16"/>
              </w:rPr>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64"/>
              <w:jc w:val="right"/>
              <w:rPr>
                <w:rFonts w:ascii="Arial" w:hAnsi="Arial" w:cs="Arial" w:eastAsia="Arial" w:hint="default"/>
                <w:sz w:val="16"/>
                <w:szCs w:val="16"/>
              </w:rPr>
            </w:pPr>
            <w:r>
              <w:rPr>
                <w:rFonts w:ascii="Arial"/>
                <w:spacing w:val="-1"/>
                <w:sz w:val="16"/>
              </w:rPr>
              <w:t>33,375,666</w:t>
            </w:r>
            <w:r>
              <w:rPr>
                <w:rFonts w:ascii="Arial"/>
                <w:sz w:val="16"/>
              </w:rPr>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25"/>
              <w:jc w:val="right"/>
              <w:rPr>
                <w:rFonts w:ascii="Arial" w:hAnsi="Arial" w:cs="Arial" w:eastAsia="Arial" w:hint="default"/>
                <w:sz w:val="16"/>
                <w:szCs w:val="16"/>
              </w:rPr>
            </w:pPr>
            <w:r>
              <w:rPr>
                <w:rFonts w:ascii="Arial"/>
                <w:w w:val="100"/>
                <w:sz w:val="16"/>
              </w:rPr>
              <w:t>-</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94"/>
              <w:jc w:val="right"/>
              <w:rPr>
                <w:rFonts w:ascii="Arial" w:hAnsi="Arial" w:cs="Arial" w:eastAsia="Arial" w:hint="default"/>
                <w:sz w:val="16"/>
                <w:szCs w:val="16"/>
              </w:rPr>
            </w:pPr>
            <w:r>
              <w:rPr>
                <w:rFonts w:ascii="Arial"/>
                <w:w w:val="100"/>
                <w:sz w:val="16"/>
              </w:rPr>
              <w:t>-</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00"/>
              <w:jc w:val="right"/>
              <w:rPr>
                <w:rFonts w:ascii="Arial" w:hAnsi="Arial" w:cs="Arial" w:eastAsia="Arial" w:hint="default"/>
                <w:sz w:val="16"/>
                <w:szCs w:val="16"/>
              </w:rPr>
            </w:pPr>
            <w:r>
              <w:rPr>
                <w:rFonts w:ascii="Arial"/>
                <w:spacing w:val="-1"/>
                <w:sz w:val="16"/>
              </w:rPr>
              <w:t>53,428,161</w:t>
            </w:r>
            <w:r>
              <w:rPr>
                <w:rFonts w:ascii="Arial"/>
                <w:sz w:val="16"/>
              </w:rPr>
            </w:r>
          </w:p>
        </w:tc>
      </w:tr>
      <w:tr>
        <w:trPr>
          <w:trHeight w:val="260" w:hRule="exact"/>
        </w:trPr>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00" w:right="0"/>
              <w:jc w:val="left"/>
              <w:rPr>
                <w:rFonts w:ascii="黑体" w:hAnsi="黑体" w:cs="黑体" w:eastAsia="黑体" w:hint="default"/>
                <w:sz w:val="16"/>
                <w:szCs w:val="16"/>
              </w:rPr>
            </w:pPr>
            <w:r>
              <w:rPr>
                <w:rFonts w:ascii="黑体" w:hAnsi="黑体" w:cs="黑体" w:eastAsia="黑体" w:hint="default"/>
                <w:sz w:val="16"/>
                <w:szCs w:val="16"/>
              </w:rPr>
              <w:t>应收账款</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20"/>
              <w:jc w:val="right"/>
              <w:rPr>
                <w:rFonts w:ascii="Arial" w:hAnsi="Arial" w:cs="Arial" w:eastAsia="Arial" w:hint="default"/>
                <w:sz w:val="16"/>
                <w:szCs w:val="16"/>
              </w:rPr>
            </w:pPr>
            <w:r>
              <w:rPr>
                <w:rFonts w:ascii="Arial"/>
                <w:spacing w:val="-1"/>
                <w:sz w:val="16"/>
              </w:rPr>
              <w:t>1,306,428,847</w:t>
            </w:r>
            <w:r>
              <w:rPr>
                <w:rFonts w:ascii="Arial"/>
                <w:sz w:val="16"/>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21"/>
              <w:jc w:val="right"/>
              <w:rPr>
                <w:rFonts w:ascii="Arial" w:hAnsi="Arial" w:cs="Arial" w:eastAsia="Arial" w:hint="default"/>
                <w:sz w:val="16"/>
                <w:szCs w:val="16"/>
              </w:rPr>
            </w:pPr>
            <w:r>
              <w:rPr>
                <w:rFonts w:ascii="Arial"/>
                <w:w w:val="100"/>
                <w:sz w:val="16"/>
              </w:rPr>
              <w:t>-</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65"/>
              <w:jc w:val="right"/>
              <w:rPr>
                <w:rFonts w:ascii="Arial" w:hAnsi="Arial" w:cs="Arial" w:eastAsia="Arial" w:hint="default"/>
                <w:sz w:val="16"/>
                <w:szCs w:val="16"/>
              </w:rPr>
            </w:pPr>
            <w:r>
              <w:rPr>
                <w:rFonts w:ascii="Arial"/>
                <w:w w:val="100"/>
                <w:sz w:val="16"/>
              </w:rPr>
              <w:t>-</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25"/>
              <w:jc w:val="right"/>
              <w:rPr>
                <w:rFonts w:ascii="Arial" w:hAnsi="Arial" w:cs="Arial" w:eastAsia="Arial" w:hint="default"/>
                <w:sz w:val="16"/>
                <w:szCs w:val="16"/>
              </w:rPr>
            </w:pPr>
            <w:r>
              <w:rPr>
                <w:rFonts w:ascii="Arial"/>
                <w:w w:val="100"/>
                <w:sz w:val="16"/>
              </w:rPr>
              <w:t>-</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2"/>
              <w:jc w:val="right"/>
              <w:rPr>
                <w:rFonts w:ascii="Arial" w:hAnsi="Arial" w:cs="Arial" w:eastAsia="Arial" w:hint="default"/>
                <w:sz w:val="16"/>
                <w:szCs w:val="16"/>
              </w:rPr>
            </w:pPr>
            <w:r>
              <w:rPr>
                <w:rFonts w:ascii="Arial"/>
                <w:w w:val="100"/>
                <w:sz w:val="16"/>
              </w:rPr>
              <w:t>-</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8"/>
              <w:jc w:val="right"/>
              <w:rPr>
                <w:rFonts w:ascii="Arial" w:hAnsi="Arial" w:cs="Arial" w:eastAsia="Arial" w:hint="default"/>
                <w:sz w:val="16"/>
                <w:szCs w:val="16"/>
              </w:rPr>
            </w:pPr>
            <w:r>
              <w:rPr>
                <w:rFonts w:ascii="Arial"/>
                <w:spacing w:val="-1"/>
                <w:sz w:val="16"/>
              </w:rPr>
              <w:t>1,306,428,847</w:t>
            </w:r>
            <w:r>
              <w:rPr>
                <w:rFonts w:ascii="Arial"/>
                <w:sz w:val="16"/>
              </w:rPr>
            </w:r>
          </w:p>
        </w:tc>
      </w:tr>
      <w:tr>
        <w:trPr>
          <w:trHeight w:val="259" w:hRule="exact"/>
        </w:trPr>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6"/>
              <w:ind w:left="200" w:right="0"/>
              <w:jc w:val="left"/>
              <w:rPr>
                <w:rFonts w:ascii="黑体" w:hAnsi="黑体" w:cs="黑体" w:eastAsia="黑体" w:hint="default"/>
                <w:sz w:val="16"/>
                <w:szCs w:val="16"/>
              </w:rPr>
            </w:pPr>
            <w:r>
              <w:rPr>
                <w:rFonts w:ascii="黑体" w:hAnsi="黑体" w:cs="黑体" w:eastAsia="黑体" w:hint="default"/>
                <w:sz w:val="16"/>
                <w:szCs w:val="16"/>
              </w:rPr>
              <w:t>其他应收款</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20"/>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   </w:t>
            </w:r>
            <w:r>
              <w:rPr>
                <w:rFonts w:ascii="Arial"/>
                <w:spacing w:val="19"/>
                <w:sz w:val="16"/>
                <w:u w:val="single" w:color="000000"/>
              </w:rPr>
              <w:t> </w:t>
            </w:r>
            <w:r>
              <w:rPr>
                <w:rFonts w:ascii="Arial"/>
                <w:spacing w:val="-2"/>
                <w:sz w:val="16"/>
                <w:u w:val="single" w:color="000000"/>
              </w:rPr>
              <w:t>86,933,586</w:t>
            </w:r>
            <w:r>
              <w:rPr>
                <w:rFonts w:ascii="Arial"/>
                <w:spacing w:val="-2"/>
                <w:sz w:val="16"/>
              </w:rPr>
            </w:r>
            <w:r>
              <w:rPr>
                <w:rFonts w:ascii="Arial"/>
                <w:sz w:val="16"/>
              </w:rPr>
            </w:r>
          </w:p>
        </w:tc>
        <w:tc>
          <w:tcPr>
            <w:tcW w:w="1134" w:type="dxa"/>
            <w:tcBorders>
              <w:top w:val="nil" w:sz="6" w:space="0" w:color="auto"/>
              <w:left w:val="nil" w:sz="6" w:space="0" w:color="auto"/>
              <w:bottom w:val="nil" w:sz="6" w:space="0" w:color="auto"/>
              <w:right w:val="nil" w:sz="6" w:space="0" w:color="auto"/>
            </w:tcBorders>
          </w:tcPr>
          <w:p>
            <w:pPr>
              <w:pStyle w:val="TableParagraph"/>
              <w:tabs>
                <w:tab w:pos="883" w:val="left" w:leader="none"/>
              </w:tabs>
              <w:spacing w:line="240" w:lineRule="auto" w:before="23"/>
              <w:ind w:right="118"/>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w:t>
            </w:r>
            <w:r>
              <w:rPr>
                <w:rFonts w:ascii="Arial"/>
                <w:sz w:val="16"/>
              </w:rPr>
            </w:r>
          </w:p>
        </w:tc>
        <w:tc>
          <w:tcPr>
            <w:tcW w:w="1180" w:type="dxa"/>
            <w:tcBorders>
              <w:top w:val="nil" w:sz="6" w:space="0" w:color="auto"/>
              <w:left w:val="nil" w:sz="6" w:space="0" w:color="auto"/>
              <w:bottom w:val="nil" w:sz="6" w:space="0" w:color="auto"/>
              <w:right w:val="nil" w:sz="6" w:space="0" w:color="auto"/>
            </w:tcBorders>
          </w:tcPr>
          <w:p>
            <w:pPr>
              <w:pStyle w:val="TableParagraph"/>
              <w:tabs>
                <w:tab w:pos="933" w:val="left" w:leader="none"/>
              </w:tabs>
              <w:spacing w:line="240" w:lineRule="auto" w:before="23"/>
              <w:ind w:right="163"/>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w:t>
            </w:r>
            <w:r>
              <w:rPr>
                <w:rFonts w:ascii="Arial"/>
                <w:sz w:val="16"/>
              </w:rPr>
            </w:r>
          </w:p>
        </w:tc>
        <w:tc>
          <w:tcPr>
            <w:tcW w:w="1093" w:type="dxa"/>
            <w:tcBorders>
              <w:top w:val="nil" w:sz="6" w:space="0" w:color="auto"/>
              <w:left w:val="nil" w:sz="6" w:space="0" w:color="auto"/>
              <w:bottom w:val="nil" w:sz="6" w:space="0" w:color="auto"/>
              <w:right w:val="nil" w:sz="6" w:space="0" w:color="auto"/>
            </w:tcBorders>
          </w:tcPr>
          <w:p>
            <w:pPr>
              <w:pStyle w:val="TableParagraph"/>
              <w:tabs>
                <w:tab w:pos="842" w:val="left" w:leader="none"/>
              </w:tabs>
              <w:spacing w:line="240" w:lineRule="auto" w:before="23"/>
              <w:ind w:right="125"/>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w:t>
            </w:r>
            <w:r>
              <w:rPr>
                <w:rFonts w:ascii="Arial"/>
                <w:sz w:val="16"/>
              </w:rPr>
            </w:r>
          </w:p>
        </w:tc>
        <w:tc>
          <w:tcPr>
            <w:tcW w:w="1204" w:type="dxa"/>
            <w:tcBorders>
              <w:top w:val="nil" w:sz="6" w:space="0" w:color="auto"/>
              <w:left w:val="nil" w:sz="6" w:space="0" w:color="auto"/>
              <w:bottom w:val="nil" w:sz="6" w:space="0" w:color="auto"/>
              <w:right w:val="nil" w:sz="6" w:space="0" w:color="auto"/>
            </w:tcBorders>
          </w:tcPr>
          <w:p>
            <w:pPr>
              <w:pStyle w:val="TableParagraph"/>
              <w:tabs>
                <w:tab w:pos="801" w:val="left" w:leader="none"/>
              </w:tabs>
              <w:spacing w:line="240" w:lineRule="auto" w:before="23"/>
              <w:ind w:right="194"/>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w:t>
            </w:r>
            <w:r>
              <w:rPr>
                <w:rFonts w:ascii="Arial"/>
                <w:sz w:val="16"/>
              </w:rPr>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00"/>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   </w:t>
            </w:r>
            <w:r>
              <w:rPr>
                <w:rFonts w:ascii="Arial"/>
                <w:spacing w:val="19"/>
                <w:sz w:val="16"/>
                <w:u w:val="single" w:color="000000"/>
              </w:rPr>
              <w:t> </w:t>
            </w:r>
            <w:r>
              <w:rPr>
                <w:rFonts w:ascii="Arial"/>
                <w:spacing w:val="-2"/>
                <w:sz w:val="16"/>
                <w:u w:val="single" w:color="000000"/>
              </w:rPr>
              <w:t>86,933,586</w:t>
            </w:r>
            <w:r>
              <w:rPr>
                <w:rFonts w:ascii="Arial"/>
                <w:spacing w:val="-2"/>
                <w:sz w:val="16"/>
              </w:rPr>
            </w:r>
            <w:r>
              <w:rPr>
                <w:rFonts w:ascii="Arial"/>
                <w:sz w:val="16"/>
              </w:rPr>
            </w:r>
          </w:p>
        </w:tc>
      </w:tr>
      <w:tr>
        <w:trPr>
          <w:trHeight w:val="382" w:hRule="exact"/>
        </w:trPr>
        <w:tc>
          <w:tcPr>
            <w:tcW w:w="1352"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20"/>
              <w:jc w:val="right"/>
              <w:rPr>
                <w:rFonts w:ascii="Arial" w:hAnsi="Arial" w:cs="Arial" w:eastAsia="Arial" w:hint="default"/>
                <w:sz w:val="16"/>
                <w:szCs w:val="16"/>
              </w:rPr>
            </w:pPr>
            <w:r>
              <w:rPr>
                <w:rFonts w:ascii="Arial"/>
                <w:w w:val="100"/>
                <w:sz w:val="16"/>
              </w:rPr>
            </w:r>
            <w:r>
              <w:rPr>
                <w:rFonts w:ascii="Arial"/>
                <w:spacing w:val="-1"/>
                <w:sz w:val="16"/>
                <w:u w:val="thick" w:color="000000"/>
              </w:rPr>
              <w:t>3,073,470,178</w:t>
            </w:r>
            <w:r>
              <w:rPr>
                <w:rFonts w:ascii="Arial"/>
                <w:spacing w:val="-1"/>
                <w:sz w:val="16"/>
              </w:rPr>
            </w:r>
            <w:r>
              <w:rPr>
                <w:rFonts w:ascii="Arial"/>
                <w:sz w:val="16"/>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19"/>
              <w:jc w:val="right"/>
              <w:rPr>
                <w:rFonts w:ascii="Arial" w:hAnsi="Arial" w:cs="Arial" w:eastAsia="Arial" w:hint="default"/>
                <w:sz w:val="16"/>
                <w:szCs w:val="16"/>
              </w:rPr>
            </w:pPr>
            <w:r>
              <w:rPr>
                <w:rFonts w:ascii="Arial"/>
                <w:w w:val="100"/>
                <w:sz w:val="16"/>
              </w:rPr>
            </w:r>
            <w:r>
              <w:rPr>
                <w:rFonts w:ascii="Arial"/>
                <w:w w:val="100"/>
                <w:sz w:val="16"/>
                <w:u w:val="thick" w:color="000000"/>
              </w:rPr>
              <w:t> </w:t>
            </w:r>
            <w:r>
              <w:rPr>
                <w:rFonts w:ascii="Arial"/>
                <w:spacing w:val="-8"/>
                <w:sz w:val="16"/>
                <w:u w:val="thick" w:color="000000"/>
              </w:rPr>
              <w:t> </w:t>
            </w:r>
            <w:r>
              <w:rPr>
                <w:rFonts w:ascii="Arial"/>
                <w:spacing w:val="-1"/>
                <w:sz w:val="16"/>
                <w:u w:val="thick" w:color="000000"/>
              </w:rPr>
              <w:t>24,507,792</w:t>
            </w:r>
            <w:r>
              <w:rPr>
                <w:rFonts w:ascii="Arial"/>
                <w:spacing w:val="-1"/>
                <w:sz w:val="16"/>
              </w:rPr>
            </w:r>
            <w:r>
              <w:rPr>
                <w:rFonts w:ascii="Arial"/>
                <w:sz w:val="16"/>
              </w:rPr>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66"/>
              <w:jc w:val="right"/>
              <w:rPr>
                <w:rFonts w:ascii="Arial" w:hAnsi="Arial" w:cs="Arial" w:eastAsia="Arial" w:hint="default"/>
                <w:sz w:val="16"/>
                <w:szCs w:val="16"/>
              </w:rPr>
            </w:pPr>
            <w:r>
              <w:rPr>
                <w:rFonts w:ascii="Arial"/>
                <w:w w:val="100"/>
                <w:sz w:val="16"/>
              </w:rPr>
            </w:r>
            <w:r>
              <w:rPr>
                <w:rFonts w:ascii="Arial"/>
                <w:w w:val="100"/>
                <w:sz w:val="16"/>
                <w:u w:val="thick" w:color="000000"/>
              </w:rPr>
              <w:t> </w:t>
            </w:r>
            <w:r>
              <w:rPr>
                <w:rFonts w:ascii="Arial"/>
                <w:sz w:val="16"/>
                <w:u w:val="thick" w:color="000000"/>
              </w:rPr>
              <w:t>  </w:t>
            </w:r>
            <w:r>
              <w:rPr>
                <w:rFonts w:ascii="Arial"/>
                <w:spacing w:val="-15"/>
                <w:sz w:val="16"/>
                <w:u w:val="thick" w:color="000000"/>
              </w:rPr>
              <w:t> </w:t>
            </w:r>
            <w:r>
              <w:rPr>
                <w:rFonts w:ascii="Arial"/>
                <w:spacing w:val="-2"/>
                <w:sz w:val="16"/>
                <w:u w:val="thick" w:color="000000"/>
              </w:rPr>
              <w:t>43,329,084</w:t>
            </w:r>
            <w:r>
              <w:rPr>
                <w:rFonts w:ascii="Arial"/>
                <w:spacing w:val="-2"/>
                <w:sz w:val="16"/>
              </w:rPr>
            </w:r>
            <w:r>
              <w:rPr>
                <w:rFonts w:ascii="Arial"/>
                <w:sz w:val="16"/>
              </w:rPr>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26"/>
              <w:jc w:val="right"/>
              <w:rPr>
                <w:rFonts w:ascii="Arial" w:hAnsi="Arial" w:cs="Arial" w:eastAsia="Arial" w:hint="default"/>
                <w:sz w:val="16"/>
                <w:szCs w:val="16"/>
              </w:rPr>
            </w:pPr>
            <w:r>
              <w:rPr>
                <w:rFonts w:ascii="Arial"/>
                <w:w w:val="100"/>
                <w:sz w:val="16"/>
              </w:rPr>
            </w:r>
            <w:r>
              <w:rPr>
                <w:rFonts w:ascii="Arial"/>
                <w:w w:val="100"/>
                <w:sz w:val="16"/>
                <w:u w:val="thick" w:color="000000"/>
              </w:rPr>
              <w:t> </w:t>
            </w:r>
            <w:r>
              <w:rPr>
                <w:rFonts w:ascii="Arial"/>
                <w:sz w:val="16"/>
                <w:u w:val="thick" w:color="000000"/>
              </w:rPr>
              <w:t>  </w:t>
            </w:r>
            <w:r>
              <w:rPr>
                <w:rFonts w:ascii="Arial"/>
                <w:spacing w:val="-15"/>
                <w:sz w:val="16"/>
                <w:u w:val="thick" w:color="000000"/>
              </w:rPr>
              <w:t> </w:t>
            </w:r>
            <w:r>
              <w:rPr>
                <w:rFonts w:ascii="Arial"/>
                <w:spacing w:val="-2"/>
                <w:sz w:val="16"/>
                <w:u w:val="thick" w:color="000000"/>
              </w:rPr>
              <w:t>2,520,716</w:t>
            </w:r>
            <w:r>
              <w:rPr>
                <w:rFonts w:ascii="Arial"/>
                <w:spacing w:val="-2"/>
                <w:sz w:val="16"/>
              </w:rPr>
            </w:r>
            <w:r>
              <w:rPr>
                <w:rFonts w:ascii="Arial"/>
                <w:sz w:val="16"/>
              </w:rPr>
            </w:r>
          </w:p>
        </w:tc>
        <w:tc>
          <w:tcPr>
            <w:tcW w:w="1204" w:type="dxa"/>
            <w:tcBorders>
              <w:top w:val="nil" w:sz="6" w:space="0" w:color="auto"/>
              <w:left w:val="nil" w:sz="6" w:space="0" w:color="auto"/>
              <w:bottom w:val="nil" w:sz="6" w:space="0" w:color="auto"/>
              <w:right w:val="nil" w:sz="6" w:space="0" w:color="auto"/>
            </w:tcBorders>
          </w:tcPr>
          <w:p>
            <w:pPr>
              <w:pStyle w:val="TableParagraph"/>
              <w:tabs>
                <w:tab w:pos="801" w:val="left" w:leader="none"/>
              </w:tabs>
              <w:spacing w:line="240" w:lineRule="auto" w:before="23"/>
              <w:ind w:right="194"/>
              <w:jc w:val="right"/>
              <w:rPr>
                <w:rFonts w:ascii="Arial" w:hAnsi="Arial" w:cs="Arial" w:eastAsia="Arial" w:hint="default"/>
                <w:sz w:val="16"/>
                <w:szCs w:val="16"/>
              </w:rPr>
            </w:pPr>
            <w:r>
              <w:rPr>
                <w:rFonts w:ascii="Arial"/>
                <w:w w:val="100"/>
                <w:sz w:val="16"/>
              </w:rPr>
            </w:r>
            <w:r>
              <w:rPr>
                <w:rFonts w:ascii="Arial"/>
                <w:w w:val="100"/>
                <w:sz w:val="16"/>
                <w:u w:val="thick" w:color="000000"/>
              </w:rPr>
              <w:t> </w:t>
            </w:r>
            <w:r>
              <w:rPr>
                <w:rFonts w:ascii="Arial"/>
                <w:sz w:val="16"/>
                <w:u w:val="thick" w:color="000000"/>
              </w:rPr>
              <w:tab/>
              <w:t>-</w:t>
            </w:r>
            <w:r>
              <w:rPr>
                <w:rFonts w:ascii="Arial"/>
                <w:sz w:val="16"/>
              </w:rPr>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00"/>
              <w:jc w:val="right"/>
              <w:rPr>
                <w:rFonts w:ascii="Arial" w:hAnsi="Arial" w:cs="Arial" w:eastAsia="Arial" w:hint="default"/>
                <w:sz w:val="16"/>
                <w:szCs w:val="16"/>
              </w:rPr>
            </w:pPr>
            <w:r>
              <w:rPr>
                <w:rFonts w:ascii="Arial"/>
                <w:w w:val="100"/>
                <w:sz w:val="16"/>
              </w:rPr>
            </w:r>
            <w:r>
              <w:rPr>
                <w:rFonts w:ascii="Arial"/>
                <w:spacing w:val="-1"/>
                <w:sz w:val="16"/>
                <w:u w:val="thick" w:color="000000"/>
              </w:rPr>
              <w:t>3,143,827,770</w:t>
            </w:r>
            <w:r>
              <w:rPr>
                <w:rFonts w:ascii="Arial"/>
                <w:spacing w:val="-1"/>
                <w:sz w:val="16"/>
              </w:rPr>
            </w:r>
            <w:r>
              <w:rPr>
                <w:rFonts w:ascii="Arial"/>
                <w:sz w:val="16"/>
              </w:rPr>
            </w:r>
          </w:p>
        </w:tc>
      </w:tr>
      <w:tr>
        <w:trPr>
          <w:trHeight w:val="380" w:hRule="exact"/>
        </w:trPr>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00" w:right="0"/>
              <w:jc w:val="left"/>
              <w:rPr>
                <w:rFonts w:ascii="黑体" w:hAnsi="黑体" w:cs="黑体" w:eastAsia="黑体" w:hint="default"/>
                <w:sz w:val="16"/>
                <w:szCs w:val="16"/>
              </w:rPr>
            </w:pPr>
            <w:r>
              <w:rPr>
                <w:rFonts w:ascii="黑体" w:hAnsi="黑体" w:cs="黑体" w:eastAsia="黑体" w:hint="default"/>
                <w:sz w:val="16"/>
                <w:szCs w:val="16"/>
              </w:rPr>
              <w:t>金融负债</w:t>
            </w:r>
          </w:p>
        </w:tc>
        <w:tc>
          <w:tcPr>
            <w:tcW w:w="1337"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180" w:type="dxa"/>
            <w:tcBorders>
              <w:top w:val="nil" w:sz="6" w:space="0" w:color="auto"/>
              <w:left w:val="nil" w:sz="6" w:space="0" w:color="auto"/>
              <w:bottom w:val="nil" w:sz="6" w:space="0" w:color="auto"/>
              <w:right w:val="nil" w:sz="6" w:space="0" w:color="auto"/>
            </w:tcBorders>
          </w:tcPr>
          <w:p>
            <w:pPr/>
          </w:p>
        </w:tc>
        <w:tc>
          <w:tcPr>
            <w:tcW w:w="1093" w:type="dxa"/>
            <w:tcBorders>
              <w:top w:val="nil" w:sz="6" w:space="0" w:color="auto"/>
              <w:left w:val="nil" w:sz="6" w:space="0" w:color="auto"/>
              <w:bottom w:val="nil" w:sz="6" w:space="0" w:color="auto"/>
              <w:right w:val="nil" w:sz="6" w:space="0" w:color="auto"/>
            </w:tcBorders>
          </w:tcPr>
          <w:p>
            <w:pPr/>
          </w:p>
        </w:tc>
        <w:tc>
          <w:tcPr>
            <w:tcW w:w="1204" w:type="dxa"/>
            <w:tcBorders>
              <w:top w:val="nil" w:sz="6" w:space="0" w:color="auto"/>
              <w:left w:val="nil" w:sz="6" w:space="0" w:color="auto"/>
              <w:bottom w:val="nil" w:sz="6" w:space="0" w:color="auto"/>
              <w:right w:val="nil" w:sz="6" w:space="0" w:color="auto"/>
            </w:tcBorders>
          </w:tcPr>
          <w:p>
            <w:pPr/>
          </w:p>
        </w:tc>
        <w:tc>
          <w:tcPr>
            <w:tcW w:w="1421" w:type="dxa"/>
            <w:tcBorders>
              <w:top w:val="nil" w:sz="6" w:space="0" w:color="auto"/>
              <w:left w:val="nil" w:sz="6" w:space="0" w:color="auto"/>
              <w:bottom w:val="nil" w:sz="6" w:space="0" w:color="auto"/>
              <w:right w:val="nil" w:sz="6" w:space="0" w:color="auto"/>
            </w:tcBorders>
          </w:tcPr>
          <w:p>
            <w:pPr/>
          </w:p>
        </w:tc>
      </w:tr>
      <w:tr>
        <w:trPr>
          <w:trHeight w:val="260" w:hRule="exact"/>
        </w:trPr>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00" w:right="0"/>
              <w:jc w:val="left"/>
              <w:rPr>
                <w:rFonts w:ascii="黑体" w:hAnsi="黑体" w:cs="黑体" w:eastAsia="黑体" w:hint="default"/>
                <w:sz w:val="16"/>
                <w:szCs w:val="16"/>
              </w:rPr>
            </w:pPr>
            <w:r>
              <w:rPr>
                <w:rFonts w:ascii="黑体" w:hAnsi="黑体" w:cs="黑体" w:eastAsia="黑体" w:hint="default"/>
                <w:sz w:val="16"/>
                <w:szCs w:val="16"/>
              </w:rPr>
              <w:t>短期借款</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9"/>
              <w:jc w:val="right"/>
              <w:rPr>
                <w:rFonts w:ascii="Arial" w:hAnsi="Arial" w:cs="Arial" w:eastAsia="Arial" w:hint="default"/>
                <w:sz w:val="16"/>
                <w:szCs w:val="16"/>
              </w:rPr>
            </w:pPr>
            <w:r>
              <w:rPr>
                <w:rFonts w:ascii="Arial"/>
                <w:w w:val="100"/>
                <w:sz w:val="16"/>
              </w:rPr>
              <w:t>-</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9"/>
              <w:jc w:val="right"/>
              <w:rPr>
                <w:rFonts w:ascii="Arial" w:hAnsi="Arial" w:cs="Arial" w:eastAsia="Arial" w:hint="default"/>
                <w:sz w:val="16"/>
                <w:szCs w:val="16"/>
              </w:rPr>
            </w:pPr>
            <w:r>
              <w:rPr>
                <w:rFonts w:ascii="Arial"/>
                <w:spacing w:val="-1"/>
                <w:sz w:val="16"/>
              </w:rPr>
              <w:t>250,000,000</w:t>
            </w:r>
            <w:r>
              <w:rPr>
                <w:rFonts w:ascii="Arial"/>
                <w:sz w:val="16"/>
              </w:rPr>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66"/>
              <w:jc w:val="right"/>
              <w:rPr>
                <w:rFonts w:ascii="Arial" w:hAnsi="Arial" w:cs="Arial" w:eastAsia="Arial" w:hint="default"/>
                <w:sz w:val="16"/>
                <w:szCs w:val="16"/>
              </w:rPr>
            </w:pPr>
            <w:r>
              <w:rPr>
                <w:rFonts w:ascii="Arial"/>
                <w:spacing w:val="-1"/>
                <w:sz w:val="16"/>
              </w:rPr>
              <w:t>760,000,000</w:t>
            </w:r>
            <w:r>
              <w:rPr>
                <w:rFonts w:ascii="Arial"/>
                <w:sz w:val="16"/>
              </w:rPr>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25"/>
              <w:jc w:val="right"/>
              <w:rPr>
                <w:rFonts w:ascii="Arial" w:hAnsi="Arial" w:cs="Arial" w:eastAsia="Arial" w:hint="default"/>
                <w:sz w:val="16"/>
                <w:szCs w:val="16"/>
              </w:rPr>
            </w:pPr>
            <w:r>
              <w:rPr>
                <w:rFonts w:ascii="Arial"/>
                <w:w w:val="100"/>
                <w:sz w:val="16"/>
              </w:rPr>
              <w:t>-</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4"/>
              <w:jc w:val="right"/>
              <w:rPr>
                <w:rFonts w:ascii="Arial" w:hAnsi="Arial" w:cs="Arial" w:eastAsia="Arial" w:hint="default"/>
                <w:sz w:val="16"/>
                <w:szCs w:val="16"/>
              </w:rPr>
            </w:pPr>
            <w:r>
              <w:rPr>
                <w:rFonts w:ascii="Arial"/>
                <w:w w:val="100"/>
                <w:sz w:val="16"/>
              </w:rPr>
              <w:t>-</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8"/>
              <w:jc w:val="right"/>
              <w:rPr>
                <w:rFonts w:ascii="Arial" w:hAnsi="Arial" w:cs="Arial" w:eastAsia="Arial" w:hint="default"/>
                <w:sz w:val="16"/>
                <w:szCs w:val="16"/>
              </w:rPr>
            </w:pPr>
            <w:r>
              <w:rPr>
                <w:rFonts w:ascii="Arial"/>
                <w:spacing w:val="-1"/>
                <w:sz w:val="16"/>
              </w:rPr>
              <w:t>1,010,000,000</w:t>
            </w:r>
            <w:r>
              <w:rPr>
                <w:rFonts w:ascii="Arial"/>
                <w:sz w:val="16"/>
              </w:rPr>
            </w:r>
          </w:p>
        </w:tc>
      </w:tr>
      <w:tr>
        <w:trPr>
          <w:trHeight w:val="260" w:hRule="exact"/>
        </w:trPr>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8"/>
              <w:ind w:left="200" w:right="0"/>
              <w:jc w:val="left"/>
              <w:rPr>
                <w:rFonts w:ascii="黑体" w:hAnsi="黑体" w:cs="黑体" w:eastAsia="黑体" w:hint="default"/>
                <w:sz w:val="16"/>
                <w:szCs w:val="16"/>
              </w:rPr>
            </w:pPr>
            <w:r>
              <w:rPr>
                <w:rFonts w:ascii="黑体" w:hAnsi="黑体" w:cs="黑体" w:eastAsia="黑体" w:hint="default"/>
                <w:sz w:val="16"/>
                <w:szCs w:val="16"/>
              </w:rPr>
              <w:t>应付账款</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18"/>
              <w:jc w:val="right"/>
              <w:rPr>
                <w:rFonts w:ascii="Arial" w:hAnsi="Arial" w:cs="Arial" w:eastAsia="Arial" w:hint="default"/>
                <w:sz w:val="16"/>
                <w:szCs w:val="16"/>
              </w:rPr>
            </w:pPr>
            <w:r>
              <w:rPr>
                <w:rFonts w:ascii="Arial"/>
                <w:spacing w:val="-1"/>
                <w:sz w:val="16"/>
              </w:rPr>
              <w:t>237,603,399</w:t>
            </w:r>
            <w:r>
              <w:rPr>
                <w:rFonts w:ascii="Arial"/>
                <w:sz w:val="16"/>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22"/>
              <w:jc w:val="right"/>
              <w:rPr>
                <w:rFonts w:ascii="Arial" w:hAnsi="Arial" w:cs="Arial" w:eastAsia="Arial" w:hint="default"/>
                <w:sz w:val="16"/>
                <w:szCs w:val="16"/>
              </w:rPr>
            </w:pPr>
            <w:r>
              <w:rPr>
                <w:rFonts w:ascii="Arial"/>
                <w:spacing w:val="-1"/>
                <w:sz w:val="16"/>
              </w:rPr>
              <w:t>51,572,130</w:t>
            </w:r>
            <w:r>
              <w:rPr>
                <w:rFonts w:ascii="Arial"/>
                <w:sz w:val="16"/>
              </w:rPr>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65"/>
              <w:jc w:val="right"/>
              <w:rPr>
                <w:rFonts w:ascii="Arial" w:hAnsi="Arial" w:cs="Arial" w:eastAsia="Arial" w:hint="default"/>
                <w:sz w:val="16"/>
                <w:szCs w:val="16"/>
              </w:rPr>
            </w:pPr>
            <w:r>
              <w:rPr>
                <w:rFonts w:ascii="Arial"/>
                <w:w w:val="100"/>
                <w:sz w:val="16"/>
              </w:rPr>
              <w:t>-</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25"/>
              <w:jc w:val="right"/>
              <w:rPr>
                <w:rFonts w:ascii="Arial" w:hAnsi="Arial" w:cs="Arial" w:eastAsia="Arial" w:hint="default"/>
                <w:sz w:val="16"/>
                <w:szCs w:val="16"/>
              </w:rPr>
            </w:pPr>
            <w:r>
              <w:rPr>
                <w:rFonts w:ascii="Arial"/>
                <w:w w:val="100"/>
                <w:sz w:val="16"/>
              </w:rPr>
              <w:t>-</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94"/>
              <w:jc w:val="right"/>
              <w:rPr>
                <w:rFonts w:ascii="Arial" w:hAnsi="Arial" w:cs="Arial" w:eastAsia="Arial" w:hint="default"/>
                <w:sz w:val="16"/>
                <w:szCs w:val="16"/>
              </w:rPr>
            </w:pPr>
            <w:r>
              <w:rPr>
                <w:rFonts w:ascii="Arial"/>
                <w:w w:val="100"/>
                <w:sz w:val="16"/>
              </w:rPr>
              <w:t>-</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00"/>
              <w:jc w:val="right"/>
              <w:rPr>
                <w:rFonts w:ascii="Arial" w:hAnsi="Arial" w:cs="Arial" w:eastAsia="Arial" w:hint="default"/>
                <w:sz w:val="16"/>
                <w:szCs w:val="16"/>
              </w:rPr>
            </w:pPr>
            <w:r>
              <w:rPr>
                <w:rFonts w:ascii="Arial"/>
                <w:spacing w:val="-1"/>
                <w:sz w:val="16"/>
              </w:rPr>
              <w:t>289,175,529</w:t>
            </w:r>
            <w:r>
              <w:rPr>
                <w:rFonts w:ascii="Arial"/>
                <w:sz w:val="16"/>
              </w:rPr>
            </w:r>
          </w:p>
        </w:tc>
      </w:tr>
      <w:tr>
        <w:trPr>
          <w:trHeight w:val="240" w:hRule="exact"/>
        </w:trPr>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00" w:right="0"/>
              <w:jc w:val="left"/>
              <w:rPr>
                <w:rFonts w:ascii="黑体" w:hAnsi="黑体" w:cs="黑体" w:eastAsia="黑体" w:hint="default"/>
                <w:sz w:val="16"/>
                <w:szCs w:val="16"/>
              </w:rPr>
            </w:pPr>
            <w:r>
              <w:rPr>
                <w:rFonts w:ascii="黑体" w:hAnsi="黑体" w:cs="黑体" w:eastAsia="黑体" w:hint="default"/>
                <w:sz w:val="16"/>
                <w:szCs w:val="16"/>
              </w:rPr>
              <w:t>其他应付款</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8"/>
              <w:jc w:val="right"/>
              <w:rPr>
                <w:rFonts w:ascii="Arial" w:hAnsi="Arial" w:cs="Arial" w:eastAsia="Arial" w:hint="default"/>
                <w:sz w:val="16"/>
                <w:szCs w:val="16"/>
              </w:rPr>
            </w:pPr>
            <w:r>
              <w:rPr>
                <w:rFonts w:ascii="Arial"/>
                <w:spacing w:val="-1"/>
                <w:sz w:val="16"/>
              </w:rPr>
              <w:t>202,230,359</w:t>
            </w:r>
            <w:r>
              <w:rPr>
                <w:rFonts w:ascii="Arial"/>
                <w:sz w:val="16"/>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8"/>
              <w:jc w:val="right"/>
              <w:rPr>
                <w:rFonts w:ascii="Arial" w:hAnsi="Arial" w:cs="Arial" w:eastAsia="Arial" w:hint="default"/>
                <w:sz w:val="16"/>
                <w:szCs w:val="16"/>
              </w:rPr>
            </w:pPr>
            <w:r>
              <w:rPr>
                <w:rFonts w:ascii="Arial"/>
                <w:w w:val="100"/>
                <w:sz w:val="16"/>
              </w:rPr>
              <w:t>-</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65"/>
              <w:jc w:val="right"/>
              <w:rPr>
                <w:rFonts w:ascii="Arial" w:hAnsi="Arial" w:cs="Arial" w:eastAsia="Arial" w:hint="default"/>
                <w:sz w:val="16"/>
                <w:szCs w:val="16"/>
              </w:rPr>
            </w:pPr>
            <w:r>
              <w:rPr>
                <w:rFonts w:ascii="Arial"/>
                <w:w w:val="100"/>
                <w:sz w:val="16"/>
              </w:rPr>
              <w:t>-</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25"/>
              <w:jc w:val="right"/>
              <w:rPr>
                <w:rFonts w:ascii="Arial" w:hAnsi="Arial" w:cs="Arial" w:eastAsia="Arial" w:hint="default"/>
                <w:sz w:val="16"/>
                <w:szCs w:val="16"/>
              </w:rPr>
            </w:pPr>
            <w:r>
              <w:rPr>
                <w:rFonts w:ascii="Arial"/>
                <w:w w:val="100"/>
                <w:sz w:val="16"/>
              </w:rPr>
              <w:t>-</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2"/>
              <w:jc w:val="right"/>
              <w:rPr>
                <w:rFonts w:ascii="Arial" w:hAnsi="Arial" w:cs="Arial" w:eastAsia="Arial" w:hint="default"/>
                <w:sz w:val="16"/>
                <w:szCs w:val="16"/>
              </w:rPr>
            </w:pPr>
            <w:r>
              <w:rPr>
                <w:rFonts w:ascii="Arial"/>
                <w:w w:val="100"/>
                <w:sz w:val="16"/>
              </w:rPr>
              <w:t>-</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00"/>
              <w:jc w:val="right"/>
              <w:rPr>
                <w:rFonts w:ascii="Arial" w:hAnsi="Arial" w:cs="Arial" w:eastAsia="Arial" w:hint="default"/>
                <w:sz w:val="16"/>
                <w:szCs w:val="16"/>
              </w:rPr>
            </w:pPr>
            <w:r>
              <w:rPr>
                <w:rFonts w:ascii="Arial"/>
                <w:spacing w:val="-1"/>
                <w:sz w:val="16"/>
              </w:rPr>
              <w:t>202,230,359</w:t>
            </w:r>
            <w:r>
              <w:rPr>
                <w:rFonts w:ascii="Arial"/>
                <w:sz w:val="16"/>
              </w:rPr>
            </w:r>
          </w:p>
        </w:tc>
      </w:tr>
      <w:tr>
        <w:trPr>
          <w:trHeight w:val="435" w:hRule="exact"/>
        </w:trPr>
        <w:tc>
          <w:tcPr>
            <w:tcW w:w="1352" w:type="dxa"/>
            <w:tcBorders>
              <w:top w:val="nil" w:sz="6" w:space="0" w:color="auto"/>
              <w:left w:val="nil" w:sz="6" w:space="0" w:color="auto"/>
              <w:bottom w:val="nil" w:sz="6" w:space="0" w:color="auto"/>
              <w:right w:val="nil" w:sz="6" w:space="0" w:color="auto"/>
            </w:tcBorders>
          </w:tcPr>
          <w:p>
            <w:pPr>
              <w:pStyle w:val="TableParagraph"/>
              <w:spacing w:line="183" w:lineRule="exact"/>
              <w:ind w:left="10" w:right="0"/>
              <w:jc w:val="center"/>
              <w:rPr>
                <w:rFonts w:ascii="黑体" w:hAnsi="黑体" w:cs="黑体" w:eastAsia="黑体" w:hint="default"/>
                <w:sz w:val="16"/>
                <w:szCs w:val="16"/>
              </w:rPr>
            </w:pPr>
            <w:r>
              <w:rPr>
                <w:rFonts w:ascii="黑体" w:hAnsi="黑体" w:cs="黑体" w:eastAsia="黑体" w:hint="default"/>
                <w:sz w:val="16"/>
                <w:szCs w:val="16"/>
              </w:rPr>
              <w:t>一年内到期的</w:t>
            </w:r>
          </w:p>
          <w:p>
            <w:pPr>
              <w:pStyle w:val="TableParagraph"/>
              <w:spacing w:line="209" w:lineRule="exact"/>
              <w:ind w:left="7" w:right="0"/>
              <w:jc w:val="center"/>
              <w:rPr>
                <w:rFonts w:ascii="黑体" w:hAnsi="黑体" w:cs="黑体" w:eastAsia="黑体" w:hint="default"/>
                <w:sz w:val="16"/>
                <w:szCs w:val="16"/>
              </w:rPr>
            </w:pPr>
            <w:r>
              <w:rPr>
                <w:rFonts w:ascii="黑体" w:hAnsi="黑体" w:cs="黑体" w:eastAsia="黑体" w:hint="default"/>
                <w:sz w:val="16"/>
                <w:szCs w:val="16"/>
              </w:rPr>
              <w:t>长期借款</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119"/>
              <w:jc w:val="right"/>
              <w:rPr>
                <w:rFonts w:ascii="Arial" w:hAnsi="Arial" w:cs="Arial" w:eastAsia="Arial" w:hint="default"/>
                <w:sz w:val="16"/>
                <w:szCs w:val="16"/>
              </w:rPr>
            </w:pPr>
            <w:r>
              <w:rPr>
                <w:rFonts w:ascii="Arial"/>
                <w:w w:val="100"/>
                <w:sz w:val="16"/>
              </w:rPr>
              <w:t>-</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118"/>
              <w:jc w:val="right"/>
              <w:rPr>
                <w:rFonts w:ascii="Arial" w:hAnsi="Arial" w:cs="Arial" w:eastAsia="Arial" w:hint="default"/>
                <w:sz w:val="16"/>
                <w:szCs w:val="16"/>
              </w:rPr>
            </w:pPr>
            <w:r>
              <w:rPr>
                <w:rFonts w:ascii="Arial"/>
                <w:w w:val="100"/>
                <w:sz w:val="16"/>
              </w:rPr>
              <w:t>-</w:t>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166"/>
              <w:jc w:val="right"/>
              <w:rPr>
                <w:rFonts w:ascii="Arial" w:hAnsi="Arial" w:cs="Arial" w:eastAsia="Arial" w:hint="default"/>
                <w:sz w:val="16"/>
                <w:szCs w:val="16"/>
              </w:rPr>
            </w:pPr>
            <w:r>
              <w:rPr>
                <w:rFonts w:ascii="Arial"/>
                <w:spacing w:val="-1"/>
                <w:sz w:val="16"/>
              </w:rPr>
              <w:t>104,577,920</w:t>
            </w:r>
            <w:r>
              <w:rPr>
                <w:rFonts w:ascii="Arial"/>
                <w:sz w:val="16"/>
              </w:rPr>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125"/>
              <w:jc w:val="right"/>
              <w:rPr>
                <w:rFonts w:ascii="Arial" w:hAnsi="Arial" w:cs="Arial" w:eastAsia="Arial" w:hint="default"/>
                <w:sz w:val="16"/>
                <w:szCs w:val="16"/>
              </w:rPr>
            </w:pPr>
            <w:r>
              <w:rPr>
                <w:rFonts w:ascii="Arial"/>
                <w:w w:val="100"/>
                <w:sz w:val="16"/>
              </w:rPr>
              <w:t>-</w:t>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192"/>
              <w:jc w:val="right"/>
              <w:rPr>
                <w:rFonts w:ascii="Arial" w:hAnsi="Arial" w:cs="Arial" w:eastAsia="Arial" w:hint="default"/>
                <w:sz w:val="16"/>
                <w:szCs w:val="16"/>
              </w:rPr>
            </w:pPr>
            <w:r>
              <w:rPr>
                <w:rFonts w:ascii="Arial"/>
                <w:w w:val="100"/>
                <w:sz w:val="16"/>
              </w:rPr>
              <w:t>-</w:t>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right="200"/>
              <w:jc w:val="right"/>
              <w:rPr>
                <w:rFonts w:ascii="Arial" w:hAnsi="Arial" w:cs="Arial" w:eastAsia="Arial" w:hint="default"/>
                <w:sz w:val="16"/>
                <w:szCs w:val="16"/>
              </w:rPr>
            </w:pPr>
            <w:r>
              <w:rPr>
                <w:rFonts w:ascii="Arial"/>
                <w:spacing w:val="-1"/>
                <w:sz w:val="16"/>
              </w:rPr>
              <w:t>104,577,920</w:t>
            </w:r>
            <w:r>
              <w:rPr>
                <w:rFonts w:ascii="Arial"/>
                <w:sz w:val="16"/>
              </w:rPr>
            </w:r>
          </w:p>
        </w:tc>
      </w:tr>
      <w:tr>
        <w:trPr>
          <w:trHeight w:val="260" w:hRule="exact"/>
        </w:trPr>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7"/>
              <w:ind w:left="200" w:right="0"/>
              <w:jc w:val="left"/>
              <w:rPr>
                <w:rFonts w:ascii="黑体" w:hAnsi="黑体" w:cs="黑体" w:eastAsia="黑体" w:hint="default"/>
                <w:sz w:val="16"/>
                <w:szCs w:val="16"/>
              </w:rPr>
            </w:pPr>
            <w:r>
              <w:rPr>
                <w:rFonts w:ascii="黑体" w:hAnsi="黑体" w:cs="黑体" w:eastAsia="黑体" w:hint="default"/>
                <w:sz w:val="16"/>
                <w:szCs w:val="16"/>
              </w:rPr>
              <w:t>长期借款</w:t>
            </w:r>
          </w:p>
        </w:tc>
        <w:tc>
          <w:tcPr>
            <w:tcW w:w="1337" w:type="dxa"/>
            <w:tcBorders>
              <w:top w:val="nil" w:sz="6" w:space="0" w:color="auto"/>
              <w:left w:val="nil" w:sz="6" w:space="0" w:color="auto"/>
              <w:bottom w:val="nil" w:sz="6" w:space="0" w:color="auto"/>
              <w:right w:val="nil" w:sz="6" w:space="0" w:color="auto"/>
            </w:tcBorders>
          </w:tcPr>
          <w:p>
            <w:pPr>
              <w:pStyle w:val="TableParagraph"/>
              <w:tabs>
                <w:tab w:pos="921" w:val="left" w:leader="none"/>
              </w:tabs>
              <w:spacing w:line="240" w:lineRule="auto" w:before="22"/>
              <w:ind w:right="119"/>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w:t>
            </w:r>
            <w:r>
              <w:rPr>
                <w:rFonts w:ascii="Arial"/>
                <w:sz w:val="16"/>
              </w:rPr>
            </w:r>
          </w:p>
        </w:tc>
        <w:tc>
          <w:tcPr>
            <w:tcW w:w="1134" w:type="dxa"/>
            <w:tcBorders>
              <w:top w:val="nil" w:sz="6" w:space="0" w:color="auto"/>
              <w:left w:val="nil" w:sz="6" w:space="0" w:color="auto"/>
              <w:bottom w:val="nil" w:sz="6" w:space="0" w:color="auto"/>
              <w:right w:val="nil" w:sz="6" w:space="0" w:color="auto"/>
            </w:tcBorders>
          </w:tcPr>
          <w:p>
            <w:pPr>
              <w:pStyle w:val="TableParagraph"/>
              <w:tabs>
                <w:tab w:pos="883" w:val="left" w:leader="none"/>
              </w:tabs>
              <w:spacing w:line="240" w:lineRule="auto" w:before="22"/>
              <w:ind w:right="118"/>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w:t>
            </w:r>
            <w:r>
              <w:rPr>
                <w:rFonts w:ascii="Arial"/>
                <w:sz w:val="16"/>
              </w:rPr>
            </w:r>
          </w:p>
        </w:tc>
        <w:tc>
          <w:tcPr>
            <w:tcW w:w="1180" w:type="dxa"/>
            <w:tcBorders>
              <w:top w:val="nil" w:sz="6" w:space="0" w:color="auto"/>
              <w:left w:val="nil" w:sz="6" w:space="0" w:color="auto"/>
              <w:bottom w:val="nil" w:sz="6" w:space="0" w:color="auto"/>
              <w:right w:val="nil" w:sz="6" w:space="0" w:color="auto"/>
            </w:tcBorders>
          </w:tcPr>
          <w:p>
            <w:pPr>
              <w:pStyle w:val="TableParagraph"/>
              <w:tabs>
                <w:tab w:pos="883" w:val="left" w:leader="none"/>
              </w:tabs>
              <w:spacing w:line="240" w:lineRule="auto" w:before="22"/>
              <w:ind w:right="163"/>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w:t>
            </w:r>
            <w:r>
              <w:rPr>
                <w:rFonts w:ascii="Arial"/>
                <w:sz w:val="16"/>
              </w:rPr>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24"/>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pacing w:val="-8"/>
                <w:sz w:val="16"/>
                <w:u w:val="single" w:color="000000"/>
              </w:rPr>
              <w:t> </w:t>
            </w:r>
            <w:r>
              <w:rPr>
                <w:rFonts w:ascii="Arial"/>
                <w:spacing w:val="-1"/>
                <w:sz w:val="16"/>
                <w:u w:val="single" w:color="000000"/>
              </w:rPr>
              <w:t>51,994,987</w:t>
            </w:r>
            <w:r>
              <w:rPr>
                <w:rFonts w:ascii="Arial"/>
                <w:spacing w:val="-1"/>
                <w:sz w:val="16"/>
              </w:rPr>
            </w:r>
            <w:r>
              <w:rPr>
                <w:rFonts w:ascii="Arial"/>
                <w:sz w:val="16"/>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5"/>
              <w:jc w:val="right"/>
              <w:rPr>
                <w:rFonts w:ascii="Arial" w:hAnsi="Arial" w:cs="Arial" w:eastAsia="Arial" w:hint="default"/>
                <w:sz w:val="16"/>
                <w:szCs w:val="16"/>
              </w:rPr>
            </w:pPr>
            <w:r>
              <w:rPr>
                <w:rFonts w:ascii="Arial"/>
                <w:w w:val="100"/>
                <w:sz w:val="16"/>
              </w:rPr>
            </w:r>
            <w:r>
              <w:rPr>
                <w:rFonts w:ascii="Arial"/>
                <w:spacing w:val="-1"/>
                <w:sz w:val="16"/>
                <w:u w:val="single" w:color="000000"/>
              </w:rPr>
              <w:t>179,561,314</w:t>
            </w:r>
            <w:r>
              <w:rPr>
                <w:rFonts w:ascii="Arial"/>
                <w:spacing w:val="-1"/>
                <w:sz w:val="16"/>
              </w:rPr>
            </w:r>
            <w:r>
              <w:rPr>
                <w:rFonts w:ascii="Arial"/>
                <w:sz w:val="16"/>
              </w:rPr>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8"/>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  </w:t>
            </w:r>
            <w:r>
              <w:rPr>
                <w:rFonts w:ascii="Arial"/>
                <w:spacing w:val="-15"/>
                <w:sz w:val="16"/>
                <w:u w:val="single" w:color="000000"/>
              </w:rPr>
              <w:t> </w:t>
            </w:r>
            <w:r>
              <w:rPr>
                <w:rFonts w:ascii="Arial"/>
                <w:spacing w:val="-2"/>
                <w:sz w:val="16"/>
                <w:u w:val="single" w:color="000000"/>
              </w:rPr>
              <w:t>231,556,301</w:t>
            </w:r>
            <w:r>
              <w:rPr>
                <w:rFonts w:ascii="Arial"/>
                <w:spacing w:val="-2"/>
                <w:sz w:val="16"/>
              </w:rPr>
            </w:r>
            <w:r>
              <w:rPr>
                <w:rFonts w:ascii="Arial"/>
                <w:sz w:val="16"/>
              </w:rPr>
            </w:r>
          </w:p>
        </w:tc>
      </w:tr>
      <w:tr>
        <w:trPr>
          <w:trHeight w:val="204" w:hRule="exact"/>
        </w:trPr>
        <w:tc>
          <w:tcPr>
            <w:tcW w:w="1352"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18"/>
              <w:jc w:val="right"/>
              <w:rPr>
                <w:rFonts w:ascii="Arial" w:hAnsi="Arial" w:cs="Arial" w:eastAsia="Arial" w:hint="default"/>
                <w:sz w:val="16"/>
                <w:szCs w:val="16"/>
              </w:rPr>
            </w:pPr>
            <w:r>
              <w:rPr>
                <w:rFonts w:ascii="Arial"/>
                <w:w w:val="100"/>
                <w:sz w:val="16"/>
              </w:rPr>
            </w:r>
            <w:r>
              <w:rPr>
                <w:rFonts w:ascii="Arial"/>
                <w:w w:val="100"/>
                <w:sz w:val="16"/>
                <w:u w:val="thick" w:color="000000"/>
              </w:rPr>
              <w:t> </w:t>
            </w:r>
            <w:r>
              <w:rPr>
                <w:rFonts w:ascii="Arial"/>
                <w:spacing w:val="-8"/>
                <w:sz w:val="16"/>
                <w:u w:val="thick" w:color="000000"/>
              </w:rPr>
              <w:t> </w:t>
            </w:r>
            <w:r>
              <w:rPr>
                <w:rFonts w:ascii="Arial"/>
                <w:spacing w:val="-1"/>
                <w:sz w:val="16"/>
                <w:u w:val="thick" w:color="000000"/>
              </w:rPr>
              <w:t>439,833,758</w:t>
            </w:r>
            <w:r>
              <w:rPr>
                <w:rFonts w:ascii="Arial"/>
                <w:spacing w:val="-1"/>
                <w:sz w:val="16"/>
              </w:rPr>
            </w:r>
            <w:r>
              <w:rPr>
                <w:rFonts w:ascii="Arial"/>
                <w:sz w:val="16"/>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22"/>
              <w:jc w:val="right"/>
              <w:rPr>
                <w:rFonts w:ascii="Arial" w:hAnsi="Arial" w:cs="Arial" w:eastAsia="Arial" w:hint="default"/>
                <w:sz w:val="16"/>
                <w:szCs w:val="16"/>
              </w:rPr>
            </w:pPr>
            <w:r>
              <w:rPr>
                <w:rFonts w:ascii="Arial"/>
                <w:w w:val="100"/>
                <w:sz w:val="16"/>
              </w:rPr>
            </w:r>
            <w:r>
              <w:rPr>
                <w:rFonts w:ascii="Arial"/>
                <w:spacing w:val="-1"/>
                <w:sz w:val="16"/>
                <w:u w:val="thick" w:color="000000"/>
              </w:rPr>
              <w:t>301,572,130</w:t>
            </w:r>
            <w:r>
              <w:rPr>
                <w:rFonts w:ascii="Arial"/>
                <w:spacing w:val="-1"/>
                <w:sz w:val="16"/>
              </w:rPr>
            </w:r>
            <w:r>
              <w:rPr>
                <w:rFonts w:ascii="Arial"/>
                <w:sz w:val="16"/>
              </w:rPr>
            </w:r>
          </w:p>
        </w:tc>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66"/>
              <w:jc w:val="right"/>
              <w:rPr>
                <w:rFonts w:ascii="Arial" w:hAnsi="Arial" w:cs="Arial" w:eastAsia="Arial" w:hint="default"/>
                <w:sz w:val="16"/>
                <w:szCs w:val="16"/>
              </w:rPr>
            </w:pPr>
            <w:r>
              <w:rPr>
                <w:rFonts w:ascii="Arial"/>
                <w:w w:val="100"/>
                <w:sz w:val="16"/>
              </w:rPr>
            </w:r>
            <w:r>
              <w:rPr>
                <w:rFonts w:ascii="Arial"/>
                <w:spacing w:val="-1"/>
                <w:sz w:val="16"/>
                <w:u w:val="thick" w:color="000000"/>
              </w:rPr>
              <w:t>864,577,920</w:t>
            </w:r>
            <w:r>
              <w:rPr>
                <w:rFonts w:ascii="Arial"/>
                <w:spacing w:val="-1"/>
                <w:sz w:val="16"/>
              </w:rPr>
            </w:r>
            <w:r>
              <w:rPr>
                <w:rFonts w:ascii="Arial"/>
                <w:sz w:val="16"/>
              </w:rPr>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14"/>
              <w:jc w:val="right"/>
              <w:rPr>
                <w:rFonts w:ascii="Arial" w:hAnsi="Arial" w:cs="Arial" w:eastAsia="Arial" w:hint="default"/>
                <w:sz w:val="16"/>
                <w:szCs w:val="16"/>
              </w:rPr>
            </w:pPr>
            <w:r>
              <w:rPr>
                <w:rFonts w:ascii="Arial"/>
                <w:w w:val="100"/>
                <w:sz w:val="16"/>
              </w:rPr>
            </w:r>
            <w:r>
              <w:rPr>
                <w:rFonts w:ascii="Arial"/>
                <w:w w:val="100"/>
                <w:sz w:val="16"/>
                <w:u w:val="thick" w:color="000000"/>
              </w:rPr>
              <w:t> </w:t>
            </w:r>
            <w:r>
              <w:rPr>
                <w:rFonts w:ascii="Arial"/>
                <w:spacing w:val="-8"/>
                <w:sz w:val="16"/>
                <w:u w:val="thick" w:color="000000"/>
              </w:rPr>
              <w:t> </w:t>
            </w:r>
            <w:r>
              <w:rPr>
                <w:rFonts w:ascii="Arial"/>
                <w:spacing w:val="-1"/>
                <w:sz w:val="16"/>
                <w:u w:val="thick" w:color="000000"/>
              </w:rPr>
              <w:t>51,994,987</w:t>
            </w:r>
            <w:r>
              <w:rPr>
                <w:rFonts w:ascii="Arial"/>
                <w:spacing w:val="-1"/>
                <w:sz w:val="16"/>
              </w:rPr>
            </w:r>
            <w:r>
              <w:rPr>
                <w:rFonts w:ascii="Arial"/>
                <w:sz w:val="16"/>
              </w:rPr>
            </w:r>
          </w:p>
        </w:tc>
        <w:tc>
          <w:tcPr>
            <w:tcW w:w="120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95"/>
              <w:jc w:val="right"/>
              <w:rPr>
                <w:rFonts w:ascii="Arial" w:hAnsi="Arial" w:cs="Arial" w:eastAsia="Arial" w:hint="default"/>
                <w:sz w:val="16"/>
                <w:szCs w:val="16"/>
              </w:rPr>
            </w:pPr>
            <w:r>
              <w:rPr>
                <w:rFonts w:ascii="Arial"/>
                <w:w w:val="100"/>
                <w:sz w:val="16"/>
              </w:rPr>
            </w:r>
            <w:r>
              <w:rPr>
                <w:rFonts w:ascii="Arial"/>
                <w:spacing w:val="-1"/>
                <w:sz w:val="16"/>
                <w:u w:val="thick" w:color="000000"/>
              </w:rPr>
              <w:t>179,561,314</w:t>
            </w:r>
            <w:r>
              <w:rPr>
                <w:rFonts w:ascii="Arial"/>
                <w:spacing w:val="-1"/>
                <w:sz w:val="16"/>
              </w:rPr>
            </w:r>
            <w:r>
              <w:rPr>
                <w:rFonts w:ascii="Arial"/>
                <w:sz w:val="16"/>
              </w:rPr>
            </w:r>
          </w:p>
        </w:tc>
        <w:tc>
          <w:tcPr>
            <w:tcW w:w="142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00"/>
              <w:jc w:val="right"/>
              <w:rPr>
                <w:rFonts w:ascii="Arial" w:hAnsi="Arial" w:cs="Arial" w:eastAsia="Arial" w:hint="default"/>
                <w:sz w:val="16"/>
                <w:szCs w:val="16"/>
              </w:rPr>
            </w:pPr>
            <w:r>
              <w:rPr>
                <w:rFonts w:ascii="Arial"/>
                <w:w w:val="100"/>
                <w:sz w:val="16"/>
              </w:rPr>
            </w:r>
            <w:r>
              <w:rPr>
                <w:rFonts w:ascii="Arial"/>
                <w:spacing w:val="-1"/>
                <w:sz w:val="16"/>
                <w:u w:val="thick" w:color="000000"/>
              </w:rPr>
              <w:t>1,837,540,109</w:t>
            </w:r>
            <w:r>
              <w:rPr>
                <w:rFonts w:ascii="Arial"/>
                <w:spacing w:val="-1"/>
                <w:sz w:val="16"/>
              </w:rPr>
            </w:r>
            <w:r>
              <w:rPr>
                <w:rFonts w:ascii="Arial"/>
                <w:sz w:val="16"/>
              </w:rPr>
            </w:r>
          </w:p>
        </w:tc>
      </w:tr>
    </w:tbl>
    <w:p>
      <w:pPr>
        <w:spacing w:line="240" w:lineRule="auto" w:before="10"/>
        <w:rPr>
          <w:rFonts w:ascii="黑体" w:hAnsi="黑体" w:cs="黑体" w:eastAsia="黑体" w:hint="default"/>
          <w:sz w:val="28"/>
          <w:szCs w:val="28"/>
        </w:rPr>
      </w:pPr>
    </w:p>
    <w:tbl>
      <w:tblPr>
        <w:tblW w:w="0" w:type="auto"/>
        <w:jc w:val="left"/>
        <w:tblInd w:w="652" w:type="dxa"/>
        <w:tblLayout w:type="fixed"/>
        <w:tblCellMar>
          <w:top w:w="0" w:type="dxa"/>
          <w:left w:w="0" w:type="dxa"/>
          <w:bottom w:w="0" w:type="dxa"/>
          <w:right w:w="0" w:type="dxa"/>
        </w:tblCellMar>
        <w:tblLook w:val="01E0"/>
      </w:tblPr>
      <w:tblGrid>
        <w:gridCol w:w="1258"/>
        <w:gridCol w:w="1417"/>
        <w:gridCol w:w="1148"/>
        <w:gridCol w:w="1134"/>
        <w:gridCol w:w="1182"/>
        <w:gridCol w:w="1164"/>
        <w:gridCol w:w="1418"/>
      </w:tblGrid>
      <w:tr>
        <w:trPr>
          <w:trHeight w:val="207" w:hRule="exact"/>
        </w:trPr>
        <w:tc>
          <w:tcPr>
            <w:tcW w:w="1258" w:type="dxa"/>
            <w:tcBorders>
              <w:top w:val="nil" w:sz="6" w:space="0" w:color="auto"/>
              <w:left w:val="nil" w:sz="6" w:space="0" w:color="auto"/>
              <w:bottom w:val="nil" w:sz="6" w:space="0" w:color="auto"/>
              <w:right w:val="nil" w:sz="6" w:space="0" w:color="auto"/>
            </w:tcBorders>
          </w:tcPr>
          <w:p>
            <w:pPr>
              <w:pStyle w:val="TableParagraph"/>
              <w:spacing w:line="172" w:lineRule="exact"/>
              <w:ind w:left="200" w:right="0"/>
              <w:jc w:val="left"/>
              <w:rPr>
                <w:rFonts w:ascii="黑体" w:hAnsi="黑体" w:cs="黑体" w:eastAsia="黑体" w:hint="default"/>
                <w:sz w:val="16"/>
                <w:szCs w:val="16"/>
              </w:rPr>
            </w:pPr>
            <w:r>
              <w:rPr>
                <w:rFonts w:ascii="Arial" w:hAnsi="Arial" w:cs="Arial" w:eastAsia="Arial" w:hint="default"/>
                <w:sz w:val="16"/>
                <w:szCs w:val="16"/>
              </w:rPr>
              <w:t>2011</w:t>
            </w:r>
            <w:r>
              <w:rPr>
                <w:rFonts w:ascii="Arial" w:hAnsi="Arial" w:cs="Arial" w:eastAsia="Arial" w:hint="default"/>
                <w:spacing w:val="-6"/>
                <w:sz w:val="16"/>
                <w:szCs w:val="16"/>
              </w:rPr>
              <w:t> </w:t>
            </w:r>
            <w:r>
              <w:rPr>
                <w:rFonts w:ascii="黑体" w:hAnsi="黑体" w:cs="黑体" w:eastAsia="黑体" w:hint="default"/>
                <w:sz w:val="16"/>
                <w:szCs w:val="16"/>
              </w:rPr>
              <w:t>年</w:t>
            </w:r>
          </w:p>
        </w:tc>
        <w:tc>
          <w:tcPr>
            <w:tcW w:w="1417"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r>
      <w:tr>
        <w:trPr>
          <w:trHeight w:val="237" w:hRule="exact"/>
        </w:trPr>
        <w:tc>
          <w:tcPr>
            <w:tcW w:w="1258" w:type="dxa"/>
            <w:tcBorders>
              <w:top w:val="nil" w:sz="6" w:space="0" w:color="auto"/>
              <w:left w:val="nil" w:sz="6" w:space="0" w:color="auto"/>
              <w:bottom w:val="nil" w:sz="6" w:space="0" w:color="auto"/>
              <w:right w:val="nil" w:sz="6" w:space="0" w:color="auto"/>
            </w:tcBorders>
          </w:tcPr>
          <w:p>
            <w:pPr>
              <w:pStyle w:val="TableParagraph"/>
              <w:spacing w:line="199" w:lineRule="exact"/>
              <w:ind w:left="200" w:right="0"/>
              <w:jc w:val="left"/>
              <w:rPr>
                <w:rFonts w:ascii="黑体" w:hAnsi="黑体" w:cs="黑体" w:eastAsia="黑体" w:hint="default"/>
                <w:sz w:val="16"/>
                <w:szCs w:val="16"/>
              </w:rPr>
            </w:pPr>
            <w:r>
              <w:rPr>
                <w:rFonts w:ascii="黑体" w:hAnsi="黑体" w:cs="黑体" w:eastAsia="黑体" w:hint="default"/>
                <w:sz w:val="16"/>
                <w:szCs w:val="16"/>
              </w:rPr>
              <w:t>金融资产</w:t>
            </w:r>
          </w:p>
        </w:tc>
        <w:tc>
          <w:tcPr>
            <w:tcW w:w="1417"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r>
      <w:tr>
        <w:trPr>
          <w:trHeight w:val="517" w:hRule="exact"/>
        </w:trPr>
        <w:tc>
          <w:tcPr>
            <w:tcW w:w="1258"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黑体" w:hAnsi="黑体" w:cs="黑体" w:eastAsia="黑体" w:hint="default"/>
                <w:sz w:val="19"/>
                <w:szCs w:val="19"/>
              </w:rPr>
            </w:pPr>
          </w:p>
          <w:p>
            <w:pPr>
              <w:pStyle w:val="TableParagraph"/>
              <w:spacing w:line="240" w:lineRule="auto"/>
              <w:ind w:right="131"/>
              <w:jc w:val="right"/>
              <w:rPr>
                <w:rFonts w:ascii="黑体" w:hAnsi="黑体" w:cs="黑体" w:eastAsia="黑体" w:hint="default"/>
                <w:sz w:val="16"/>
                <w:szCs w:val="16"/>
              </w:rPr>
            </w:pPr>
            <w:r>
              <w:rPr>
                <w:rFonts w:ascii="Arial" w:hAnsi="Arial" w:cs="Arial" w:eastAsia="Arial" w:hint="default"/>
                <w:spacing w:val="-1"/>
                <w:sz w:val="16"/>
                <w:szCs w:val="16"/>
              </w:rPr>
              <w:t>1</w:t>
            </w:r>
            <w:r>
              <w:rPr>
                <w:rFonts w:ascii="黑体" w:hAnsi="黑体" w:cs="黑体" w:eastAsia="黑体" w:hint="default"/>
                <w:spacing w:val="-1"/>
                <w:sz w:val="16"/>
                <w:szCs w:val="16"/>
              </w:rPr>
              <w:t>个月以内</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黑体" w:hAnsi="黑体" w:cs="黑体" w:eastAsia="黑体" w:hint="default"/>
                <w:sz w:val="19"/>
                <w:szCs w:val="19"/>
              </w:rPr>
            </w:pPr>
          </w:p>
          <w:p>
            <w:pPr>
              <w:pStyle w:val="TableParagraph"/>
              <w:spacing w:line="240" w:lineRule="auto"/>
              <w:ind w:right="119"/>
              <w:jc w:val="right"/>
              <w:rPr>
                <w:rFonts w:ascii="黑体" w:hAnsi="黑体" w:cs="黑体" w:eastAsia="黑体" w:hint="default"/>
                <w:sz w:val="16"/>
                <w:szCs w:val="16"/>
              </w:rPr>
            </w:pPr>
            <w:r>
              <w:rPr>
                <w:rFonts w:ascii="Arial" w:hAnsi="Arial" w:cs="Arial" w:eastAsia="Arial" w:hint="default"/>
                <w:spacing w:val="-1"/>
                <w:sz w:val="16"/>
                <w:szCs w:val="16"/>
              </w:rPr>
              <w:t>1</w:t>
            </w:r>
            <w:r>
              <w:rPr>
                <w:rFonts w:ascii="黑体" w:hAnsi="黑体" w:cs="黑体" w:eastAsia="黑体" w:hint="default"/>
                <w:spacing w:val="-1"/>
                <w:sz w:val="16"/>
                <w:szCs w:val="16"/>
              </w:rPr>
              <w:t>至</w:t>
            </w:r>
            <w:r>
              <w:rPr>
                <w:rFonts w:ascii="Arial" w:hAnsi="Arial" w:cs="Arial" w:eastAsia="Arial" w:hint="default"/>
                <w:spacing w:val="-1"/>
                <w:sz w:val="16"/>
                <w:szCs w:val="16"/>
              </w:rPr>
              <w:t>3</w:t>
            </w:r>
            <w:r>
              <w:rPr>
                <w:rFonts w:ascii="黑体" w:hAnsi="黑体" w:cs="黑体" w:eastAsia="黑体" w:hint="default"/>
                <w:spacing w:val="-1"/>
                <w:sz w:val="16"/>
                <w:szCs w:val="16"/>
              </w:rPr>
              <w:t>个月</w:t>
            </w:r>
          </w:p>
        </w:tc>
        <w:tc>
          <w:tcPr>
            <w:tcW w:w="1134" w:type="dxa"/>
            <w:tcBorders>
              <w:top w:val="nil" w:sz="6" w:space="0" w:color="auto"/>
              <w:left w:val="nil" w:sz="6" w:space="0" w:color="auto"/>
              <w:bottom w:val="nil" w:sz="6" w:space="0" w:color="auto"/>
              <w:right w:val="nil" w:sz="6" w:space="0" w:color="auto"/>
            </w:tcBorders>
          </w:tcPr>
          <w:p>
            <w:pPr>
              <w:pStyle w:val="TableParagraph"/>
              <w:spacing w:line="210" w:lineRule="exact"/>
              <w:ind w:left="281" w:right="0"/>
              <w:jc w:val="left"/>
              <w:rPr>
                <w:rFonts w:ascii="黑体" w:hAnsi="黑体" w:cs="黑体" w:eastAsia="黑体" w:hint="default"/>
                <w:sz w:val="16"/>
                <w:szCs w:val="16"/>
              </w:rPr>
            </w:pPr>
            <w:r>
              <w:rPr>
                <w:rFonts w:ascii="Arial" w:hAnsi="Arial" w:cs="Arial" w:eastAsia="Arial" w:hint="default"/>
                <w:sz w:val="16"/>
                <w:szCs w:val="16"/>
              </w:rPr>
              <w:t>3</w:t>
            </w:r>
            <w:r>
              <w:rPr>
                <w:rFonts w:ascii="黑体" w:hAnsi="黑体" w:cs="黑体" w:eastAsia="黑体" w:hint="default"/>
                <w:sz w:val="16"/>
                <w:szCs w:val="16"/>
              </w:rPr>
              <w:t>个月以上</w:t>
            </w:r>
          </w:p>
          <w:p>
            <w:pPr>
              <w:pStyle w:val="TableParagraph"/>
              <w:spacing w:line="240" w:lineRule="auto" w:before="38"/>
              <w:ind w:left="603" w:right="0"/>
              <w:jc w:val="left"/>
              <w:rPr>
                <w:rFonts w:ascii="黑体" w:hAnsi="黑体" w:cs="黑体" w:eastAsia="黑体" w:hint="default"/>
                <w:sz w:val="16"/>
                <w:szCs w:val="16"/>
              </w:rPr>
            </w:pPr>
            <w:r>
              <w:rPr>
                <w:rFonts w:ascii="黑体" w:hAnsi="黑体" w:cs="黑体" w:eastAsia="黑体" w:hint="default"/>
                <w:sz w:val="16"/>
                <w:szCs w:val="16"/>
              </w:rPr>
              <w:t>至</w:t>
            </w:r>
            <w:r>
              <w:rPr>
                <w:rFonts w:ascii="Arial" w:hAnsi="Arial" w:cs="Arial" w:eastAsia="Arial" w:hint="default"/>
                <w:sz w:val="16"/>
                <w:szCs w:val="16"/>
              </w:rPr>
              <w:t>1</w:t>
            </w:r>
            <w:r>
              <w:rPr>
                <w:rFonts w:ascii="黑体" w:hAnsi="黑体" w:cs="黑体" w:eastAsia="黑体" w:hint="default"/>
                <w:sz w:val="16"/>
                <w:szCs w:val="16"/>
              </w:rPr>
              <w:t>年</w:t>
            </w:r>
          </w:p>
        </w:tc>
        <w:tc>
          <w:tcPr>
            <w:tcW w:w="1182" w:type="dxa"/>
            <w:tcBorders>
              <w:top w:val="nil" w:sz="6" w:space="0" w:color="auto"/>
              <w:left w:val="nil" w:sz="6" w:space="0" w:color="auto"/>
              <w:bottom w:val="nil" w:sz="6" w:space="0" w:color="auto"/>
              <w:right w:val="nil" w:sz="6" w:space="0" w:color="auto"/>
            </w:tcBorders>
          </w:tcPr>
          <w:p>
            <w:pPr>
              <w:pStyle w:val="TableParagraph"/>
              <w:spacing w:line="210" w:lineRule="exact"/>
              <w:ind w:left="601" w:right="0" w:hanging="161"/>
              <w:jc w:val="left"/>
              <w:rPr>
                <w:rFonts w:ascii="黑体" w:hAnsi="黑体" w:cs="黑体" w:eastAsia="黑体" w:hint="default"/>
                <w:sz w:val="16"/>
                <w:szCs w:val="16"/>
              </w:rPr>
            </w:pPr>
            <w:r>
              <w:rPr>
                <w:rFonts w:ascii="Arial" w:hAnsi="Arial" w:cs="Arial" w:eastAsia="Arial" w:hint="default"/>
                <w:sz w:val="16"/>
                <w:szCs w:val="16"/>
              </w:rPr>
              <w:t>1</w:t>
            </w:r>
            <w:r>
              <w:rPr>
                <w:rFonts w:ascii="黑体" w:hAnsi="黑体" w:cs="黑体" w:eastAsia="黑体" w:hint="default"/>
                <w:sz w:val="16"/>
                <w:szCs w:val="16"/>
              </w:rPr>
              <w:t>年以上</w:t>
            </w:r>
          </w:p>
          <w:p>
            <w:pPr>
              <w:pStyle w:val="TableParagraph"/>
              <w:spacing w:line="240" w:lineRule="auto" w:before="38"/>
              <w:ind w:left="601" w:right="0"/>
              <w:jc w:val="left"/>
              <w:rPr>
                <w:rFonts w:ascii="黑体" w:hAnsi="黑体" w:cs="黑体" w:eastAsia="黑体" w:hint="default"/>
                <w:sz w:val="16"/>
                <w:szCs w:val="16"/>
              </w:rPr>
            </w:pPr>
            <w:r>
              <w:rPr>
                <w:rFonts w:ascii="黑体" w:hAnsi="黑体" w:cs="黑体" w:eastAsia="黑体" w:hint="default"/>
                <w:sz w:val="16"/>
                <w:szCs w:val="16"/>
              </w:rPr>
              <w:t>至</w:t>
            </w:r>
            <w:r>
              <w:rPr>
                <w:rFonts w:ascii="Arial" w:hAnsi="Arial" w:cs="Arial" w:eastAsia="Arial" w:hint="default"/>
                <w:sz w:val="16"/>
                <w:szCs w:val="16"/>
              </w:rPr>
              <w:t>5</w:t>
            </w:r>
            <w:r>
              <w:rPr>
                <w:rFonts w:ascii="黑体" w:hAnsi="黑体" w:cs="黑体" w:eastAsia="黑体" w:hint="default"/>
                <w:sz w:val="16"/>
                <w:szCs w:val="16"/>
              </w:rPr>
              <w:t>年</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黑体" w:hAnsi="黑体" w:cs="黑体" w:eastAsia="黑体" w:hint="default"/>
                <w:sz w:val="19"/>
                <w:szCs w:val="19"/>
              </w:rPr>
            </w:pPr>
          </w:p>
          <w:p>
            <w:pPr>
              <w:pStyle w:val="TableParagraph"/>
              <w:spacing w:line="240" w:lineRule="auto"/>
              <w:ind w:right="189"/>
              <w:jc w:val="right"/>
              <w:rPr>
                <w:rFonts w:ascii="黑体" w:hAnsi="黑体" w:cs="黑体" w:eastAsia="黑体" w:hint="default"/>
                <w:sz w:val="16"/>
                <w:szCs w:val="16"/>
              </w:rPr>
            </w:pPr>
            <w:r>
              <w:rPr>
                <w:rFonts w:ascii="Arial" w:hAnsi="Arial" w:cs="Arial" w:eastAsia="Arial" w:hint="default"/>
                <w:spacing w:val="-1"/>
                <w:sz w:val="16"/>
                <w:szCs w:val="16"/>
              </w:rPr>
              <w:t>5</w:t>
            </w:r>
            <w:r>
              <w:rPr>
                <w:rFonts w:ascii="黑体" w:hAnsi="黑体" w:cs="黑体" w:eastAsia="黑体" w:hint="default"/>
                <w:spacing w:val="-1"/>
                <w:sz w:val="16"/>
                <w:szCs w:val="16"/>
              </w:rPr>
              <w:t>年以上</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黑体" w:hAnsi="黑体" w:cs="黑体" w:eastAsia="黑体" w:hint="default"/>
                <w:sz w:val="19"/>
                <w:szCs w:val="19"/>
              </w:rPr>
            </w:pPr>
          </w:p>
          <w:p>
            <w:pPr>
              <w:pStyle w:val="TableParagraph"/>
              <w:spacing w:line="240" w:lineRule="auto"/>
              <w:ind w:right="198"/>
              <w:jc w:val="right"/>
              <w:rPr>
                <w:rFonts w:ascii="黑体" w:hAnsi="黑体" w:cs="黑体" w:eastAsia="黑体" w:hint="default"/>
                <w:sz w:val="16"/>
                <w:szCs w:val="16"/>
              </w:rPr>
            </w:pPr>
            <w:r>
              <w:rPr>
                <w:rFonts w:ascii="黑体" w:hAnsi="黑体" w:cs="黑体" w:eastAsia="黑体" w:hint="default"/>
                <w:sz w:val="16"/>
                <w:szCs w:val="16"/>
              </w:rPr>
              <w:t>合计</w:t>
            </w:r>
          </w:p>
        </w:tc>
      </w:tr>
      <w:tr>
        <w:trPr>
          <w:trHeight w:val="267" w:hRule="exact"/>
        </w:trPr>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00" w:right="0"/>
              <w:jc w:val="left"/>
              <w:rPr>
                <w:rFonts w:ascii="黑体" w:hAnsi="黑体" w:cs="黑体" w:eastAsia="黑体" w:hint="default"/>
                <w:sz w:val="16"/>
                <w:szCs w:val="16"/>
              </w:rPr>
            </w:pPr>
            <w:r>
              <w:rPr>
                <w:rFonts w:ascii="黑体" w:hAnsi="黑体" w:cs="黑体" w:eastAsia="黑体" w:hint="default"/>
                <w:sz w:val="16"/>
                <w:szCs w:val="16"/>
              </w:rPr>
              <w:t>货币资金</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31"/>
              <w:jc w:val="right"/>
              <w:rPr>
                <w:rFonts w:ascii="Arial" w:hAnsi="Arial" w:cs="Arial" w:eastAsia="Arial" w:hint="default"/>
                <w:sz w:val="16"/>
                <w:szCs w:val="16"/>
              </w:rPr>
            </w:pPr>
            <w:r>
              <w:rPr>
                <w:rFonts w:ascii="Arial"/>
                <w:spacing w:val="-1"/>
                <w:sz w:val="16"/>
              </w:rPr>
              <w:t>1,391,967,132</w:t>
            </w:r>
            <w:r>
              <w:rPr>
                <w:rFonts w:ascii="Arial"/>
                <w:sz w:val="16"/>
              </w:rPr>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19"/>
              <w:jc w:val="right"/>
              <w:rPr>
                <w:rFonts w:ascii="Arial" w:hAnsi="Arial" w:cs="Arial" w:eastAsia="Arial" w:hint="default"/>
                <w:sz w:val="16"/>
                <w:szCs w:val="16"/>
              </w:rPr>
            </w:pPr>
            <w:r>
              <w:rPr>
                <w:rFonts w:ascii="Arial"/>
                <w:spacing w:val="-1"/>
                <w:sz w:val="16"/>
              </w:rPr>
              <w:t>869,291</w:t>
            </w:r>
            <w:r>
              <w:rPr>
                <w:rFonts w:ascii="Arial"/>
                <w:sz w:val="16"/>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18"/>
              <w:jc w:val="right"/>
              <w:rPr>
                <w:rFonts w:ascii="Arial" w:hAnsi="Arial" w:cs="Arial" w:eastAsia="Arial" w:hint="default"/>
                <w:sz w:val="16"/>
                <w:szCs w:val="16"/>
              </w:rPr>
            </w:pPr>
            <w:r>
              <w:rPr>
                <w:rFonts w:ascii="Arial"/>
                <w:spacing w:val="-1"/>
                <w:sz w:val="16"/>
              </w:rPr>
              <w:t>2,754,571</w:t>
            </w:r>
            <w:r>
              <w:rPr>
                <w:rFonts w:ascii="Arial"/>
                <w:sz w:val="16"/>
              </w:rPr>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70"/>
              <w:jc w:val="right"/>
              <w:rPr>
                <w:rFonts w:ascii="Arial" w:hAnsi="Arial" w:cs="Arial" w:eastAsia="Arial" w:hint="default"/>
                <w:sz w:val="16"/>
                <w:szCs w:val="16"/>
              </w:rPr>
            </w:pPr>
            <w:r>
              <w:rPr>
                <w:rFonts w:ascii="Arial"/>
                <w:spacing w:val="-2"/>
                <w:sz w:val="16"/>
              </w:rPr>
              <w:t>1,537,857</w:t>
            </w:r>
            <w:r>
              <w:rPr>
                <w:rFonts w:ascii="Arial"/>
                <w:sz w:val="16"/>
              </w:rPr>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90"/>
              <w:jc w:val="right"/>
              <w:rPr>
                <w:rFonts w:ascii="Arial" w:hAnsi="Arial" w:cs="Arial" w:eastAsia="Arial" w:hint="default"/>
                <w:sz w:val="16"/>
                <w:szCs w:val="16"/>
              </w:rPr>
            </w:pPr>
            <w:r>
              <w:rPr>
                <w:rFonts w:ascii="Arial"/>
                <w:w w:val="100"/>
                <w:sz w:val="16"/>
              </w:rPr>
              <w:t>-</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00"/>
              <w:jc w:val="right"/>
              <w:rPr>
                <w:rFonts w:ascii="Arial" w:hAnsi="Arial" w:cs="Arial" w:eastAsia="Arial" w:hint="default"/>
                <w:sz w:val="16"/>
                <w:szCs w:val="16"/>
              </w:rPr>
            </w:pPr>
            <w:r>
              <w:rPr>
                <w:rFonts w:ascii="Arial"/>
                <w:spacing w:val="-1"/>
                <w:sz w:val="16"/>
              </w:rPr>
              <w:t>1,397,128,851</w:t>
            </w:r>
            <w:r>
              <w:rPr>
                <w:rFonts w:ascii="Arial"/>
                <w:sz w:val="16"/>
              </w:rPr>
            </w:r>
          </w:p>
        </w:tc>
      </w:tr>
      <w:tr>
        <w:trPr>
          <w:trHeight w:val="259" w:hRule="exact"/>
        </w:trPr>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7"/>
              <w:ind w:left="200" w:right="0"/>
              <w:jc w:val="left"/>
              <w:rPr>
                <w:rFonts w:ascii="黑体" w:hAnsi="黑体" w:cs="黑体" w:eastAsia="黑体" w:hint="default"/>
                <w:sz w:val="16"/>
                <w:szCs w:val="16"/>
              </w:rPr>
            </w:pPr>
            <w:r>
              <w:rPr>
                <w:rFonts w:ascii="黑体" w:hAnsi="黑体" w:cs="黑体" w:eastAsia="黑体" w:hint="default"/>
                <w:sz w:val="16"/>
                <w:szCs w:val="16"/>
              </w:rPr>
              <w:t>应收票据</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33"/>
              <w:jc w:val="right"/>
              <w:rPr>
                <w:rFonts w:ascii="Arial" w:hAnsi="Arial" w:cs="Arial" w:eastAsia="Arial" w:hint="default"/>
                <w:sz w:val="16"/>
                <w:szCs w:val="16"/>
              </w:rPr>
            </w:pPr>
            <w:r>
              <w:rPr>
                <w:rFonts w:ascii="Arial"/>
                <w:spacing w:val="-2"/>
                <w:sz w:val="16"/>
              </w:rPr>
              <w:t>1,970,000</w:t>
            </w:r>
            <w:r>
              <w:rPr>
                <w:rFonts w:ascii="Arial"/>
                <w:sz w:val="16"/>
              </w:rPr>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9"/>
              <w:jc w:val="right"/>
              <w:rPr>
                <w:rFonts w:ascii="Arial" w:hAnsi="Arial" w:cs="Arial" w:eastAsia="Arial" w:hint="default"/>
                <w:sz w:val="16"/>
                <w:szCs w:val="16"/>
              </w:rPr>
            </w:pPr>
            <w:r>
              <w:rPr>
                <w:rFonts w:ascii="Arial"/>
                <w:spacing w:val="-1"/>
                <w:sz w:val="16"/>
              </w:rPr>
              <w:t>4,314,519</w:t>
            </w:r>
            <w:r>
              <w:rPr>
                <w:rFonts w:ascii="Arial"/>
                <w:sz w:val="16"/>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20"/>
              <w:jc w:val="right"/>
              <w:rPr>
                <w:rFonts w:ascii="Arial" w:hAnsi="Arial" w:cs="Arial" w:eastAsia="Arial" w:hint="default"/>
                <w:sz w:val="16"/>
                <w:szCs w:val="16"/>
              </w:rPr>
            </w:pPr>
            <w:r>
              <w:rPr>
                <w:rFonts w:ascii="Arial"/>
                <w:spacing w:val="-2"/>
                <w:sz w:val="16"/>
              </w:rPr>
              <w:t>6,969,862</w:t>
            </w:r>
            <w:r>
              <w:rPr>
                <w:rFonts w:ascii="Arial"/>
                <w:sz w:val="16"/>
              </w:rPr>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69"/>
              <w:jc w:val="right"/>
              <w:rPr>
                <w:rFonts w:ascii="Arial" w:hAnsi="Arial" w:cs="Arial" w:eastAsia="Arial" w:hint="default"/>
                <w:sz w:val="16"/>
                <w:szCs w:val="16"/>
              </w:rPr>
            </w:pPr>
            <w:r>
              <w:rPr>
                <w:rFonts w:ascii="Arial"/>
                <w:w w:val="100"/>
                <w:sz w:val="16"/>
              </w:rPr>
              <w:t>-</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0"/>
              <w:jc w:val="right"/>
              <w:rPr>
                <w:rFonts w:ascii="Arial" w:hAnsi="Arial" w:cs="Arial" w:eastAsia="Arial" w:hint="default"/>
                <w:sz w:val="16"/>
                <w:szCs w:val="16"/>
              </w:rPr>
            </w:pPr>
            <w:r>
              <w:rPr>
                <w:rFonts w:ascii="Arial"/>
                <w:w w:val="100"/>
                <w:sz w:val="16"/>
              </w:rPr>
              <w:t>-</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8"/>
              <w:jc w:val="right"/>
              <w:rPr>
                <w:rFonts w:ascii="Arial" w:hAnsi="Arial" w:cs="Arial" w:eastAsia="Arial" w:hint="default"/>
                <w:sz w:val="16"/>
                <w:szCs w:val="16"/>
              </w:rPr>
            </w:pPr>
            <w:r>
              <w:rPr>
                <w:rFonts w:ascii="Arial"/>
                <w:spacing w:val="-1"/>
                <w:sz w:val="16"/>
              </w:rPr>
              <w:t>13,254,381</w:t>
            </w:r>
            <w:r>
              <w:rPr>
                <w:rFonts w:ascii="Arial"/>
                <w:sz w:val="16"/>
              </w:rPr>
            </w:r>
          </w:p>
        </w:tc>
      </w:tr>
      <w:tr>
        <w:trPr>
          <w:trHeight w:val="260" w:hRule="exact"/>
        </w:trPr>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7"/>
              <w:ind w:left="200" w:right="0"/>
              <w:jc w:val="left"/>
              <w:rPr>
                <w:rFonts w:ascii="黑体" w:hAnsi="黑体" w:cs="黑体" w:eastAsia="黑体" w:hint="default"/>
                <w:sz w:val="16"/>
                <w:szCs w:val="16"/>
              </w:rPr>
            </w:pPr>
            <w:r>
              <w:rPr>
                <w:rFonts w:ascii="黑体" w:hAnsi="黑体" w:cs="黑体" w:eastAsia="黑体" w:hint="default"/>
                <w:sz w:val="16"/>
                <w:szCs w:val="16"/>
              </w:rPr>
              <w:t>应收账款</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33"/>
              <w:jc w:val="right"/>
              <w:rPr>
                <w:rFonts w:ascii="Arial" w:hAnsi="Arial" w:cs="Arial" w:eastAsia="Arial" w:hint="default"/>
                <w:sz w:val="16"/>
                <w:szCs w:val="16"/>
              </w:rPr>
            </w:pPr>
            <w:r>
              <w:rPr>
                <w:rFonts w:ascii="Arial"/>
                <w:spacing w:val="-1"/>
                <w:sz w:val="16"/>
              </w:rPr>
              <w:t>1,266,411,804</w:t>
            </w:r>
            <w:r>
              <w:rPr>
                <w:rFonts w:ascii="Arial"/>
                <w:sz w:val="16"/>
              </w:rPr>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21"/>
              <w:jc w:val="right"/>
              <w:rPr>
                <w:rFonts w:ascii="Arial" w:hAnsi="Arial" w:cs="Arial" w:eastAsia="Arial" w:hint="default"/>
                <w:sz w:val="16"/>
                <w:szCs w:val="16"/>
              </w:rPr>
            </w:pPr>
            <w:r>
              <w:rPr>
                <w:rFonts w:ascii="Arial"/>
                <w:w w:val="100"/>
                <w:sz w:val="16"/>
              </w:rPr>
              <w:t>-</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20"/>
              <w:jc w:val="right"/>
              <w:rPr>
                <w:rFonts w:ascii="Arial" w:hAnsi="Arial" w:cs="Arial" w:eastAsia="Arial" w:hint="default"/>
                <w:sz w:val="16"/>
                <w:szCs w:val="16"/>
              </w:rPr>
            </w:pPr>
            <w:r>
              <w:rPr>
                <w:rFonts w:ascii="Arial"/>
                <w:w w:val="100"/>
                <w:sz w:val="16"/>
              </w:rPr>
              <w:t>-</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69"/>
              <w:jc w:val="right"/>
              <w:rPr>
                <w:rFonts w:ascii="Arial" w:hAnsi="Arial" w:cs="Arial" w:eastAsia="Arial" w:hint="default"/>
                <w:sz w:val="16"/>
                <w:szCs w:val="16"/>
              </w:rPr>
            </w:pPr>
            <w:r>
              <w:rPr>
                <w:rFonts w:ascii="Arial"/>
                <w:w w:val="100"/>
                <w:sz w:val="16"/>
              </w:rPr>
              <w:t>-</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88"/>
              <w:jc w:val="right"/>
              <w:rPr>
                <w:rFonts w:ascii="Arial" w:hAnsi="Arial" w:cs="Arial" w:eastAsia="Arial" w:hint="default"/>
                <w:sz w:val="16"/>
                <w:szCs w:val="16"/>
              </w:rPr>
            </w:pPr>
            <w:r>
              <w:rPr>
                <w:rFonts w:ascii="Arial"/>
                <w:w w:val="100"/>
                <w:sz w:val="16"/>
              </w:rPr>
              <w:t>-</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00"/>
              <w:jc w:val="right"/>
              <w:rPr>
                <w:rFonts w:ascii="Arial" w:hAnsi="Arial" w:cs="Arial" w:eastAsia="Arial" w:hint="default"/>
                <w:sz w:val="16"/>
                <w:szCs w:val="16"/>
              </w:rPr>
            </w:pPr>
            <w:r>
              <w:rPr>
                <w:rFonts w:ascii="Arial"/>
                <w:spacing w:val="-1"/>
                <w:sz w:val="16"/>
              </w:rPr>
              <w:t>1,266,411,804</w:t>
            </w:r>
            <w:r>
              <w:rPr>
                <w:rFonts w:ascii="Arial"/>
                <w:sz w:val="16"/>
              </w:rPr>
            </w:r>
          </w:p>
        </w:tc>
      </w:tr>
      <w:tr>
        <w:trPr>
          <w:trHeight w:val="260" w:hRule="exact"/>
        </w:trPr>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8"/>
              <w:ind w:left="200" w:right="0"/>
              <w:jc w:val="left"/>
              <w:rPr>
                <w:rFonts w:ascii="黑体" w:hAnsi="黑体" w:cs="黑体" w:eastAsia="黑体" w:hint="default"/>
                <w:sz w:val="16"/>
                <w:szCs w:val="16"/>
              </w:rPr>
            </w:pPr>
            <w:r>
              <w:rPr>
                <w:rFonts w:ascii="黑体" w:hAnsi="黑体" w:cs="黑体" w:eastAsia="黑体" w:hint="default"/>
                <w:sz w:val="16"/>
                <w:szCs w:val="16"/>
              </w:rPr>
              <w:t>其他应收款</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33"/>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   </w:t>
            </w:r>
            <w:r>
              <w:rPr>
                <w:rFonts w:ascii="Arial"/>
                <w:spacing w:val="19"/>
                <w:sz w:val="16"/>
                <w:u w:val="single" w:color="000000"/>
              </w:rPr>
              <w:t> </w:t>
            </w:r>
            <w:r>
              <w:rPr>
                <w:rFonts w:ascii="Arial"/>
                <w:spacing w:val="-2"/>
                <w:sz w:val="16"/>
                <w:u w:val="single" w:color="000000"/>
              </w:rPr>
              <w:t>81,057,244</w:t>
            </w:r>
            <w:r>
              <w:rPr>
                <w:rFonts w:ascii="Arial"/>
                <w:spacing w:val="-2"/>
                <w:sz w:val="16"/>
              </w:rPr>
            </w:r>
            <w:r>
              <w:rPr>
                <w:rFonts w:ascii="Arial"/>
                <w:sz w:val="16"/>
              </w:rPr>
            </w:r>
          </w:p>
        </w:tc>
        <w:tc>
          <w:tcPr>
            <w:tcW w:w="1148" w:type="dxa"/>
            <w:tcBorders>
              <w:top w:val="nil" w:sz="6" w:space="0" w:color="auto"/>
              <w:left w:val="nil" w:sz="6" w:space="0" w:color="auto"/>
              <w:bottom w:val="nil" w:sz="6" w:space="0" w:color="auto"/>
              <w:right w:val="nil" w:sz="6" w:space="0" w:color="auto"/>
            </w:tcBorders>
          </w:tcPr>
          <w:p>
            <w:pPr>
              <w:pStyle w:val="TableParagraph"/>
              <w:tabs>
                <w:tab w:pos="823" w:val="left" w:leader="none"/>
              </w:tabs>
              <w:spacing w:line="240" w:lineRule="auto" w:before="23"/>
              <w:ind w:right="118"/>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w:t>
            </w:r>
            <w:r>
              <w:rPr>
                <w:rFonts w:ascii="Arial"/>
                <w:sz w:val="16"/>
              </w:rPr>
            </w:r>
          </w:p>
        </w:tc>
        <w:tc>
          <w:tcPr>
            <w:tcW w:w="1134" w:type="dxa"/>
            <w:tcBorders>
              <w:top w:val="nil" w:sz="6" w:space="0" w:color="auto"/>
              <w:left w:val="nil" w:sz="6" w:space="0" w:color="auto"/>
              <w:bottom w:val="nil" w:sz="6" w:space="0" w:color="auto"/>
              <w:right w:val="nil" w:sz="6" w:space="0" w:color="auto"/>
            </w:tcBorders>
          </w:tcPr>
          <w:p>
            <w:pPr>
              <w:pStyle w:val="TableParagraph"/>
              <w:tabs>
                <w:tab w:pos="837" w:val="left" w:leader="none"/>
              </w:tabs>
              <w:spacing w:line="240" w:lineRule="auto" w:before="23"/>
              <w:ind w:right="117"/>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w:t>
            </w:r>
            <w:r>
              <w:rPr>
                <w:rFonts w:ascii="Arial"/>
                <w:sz w:val="16"/>
              </w:rPr>
            </w:r>
          </w:p>
        </w:tc>
        <w:tc>
          <w:tcPr>
            <w:tcW w:w="1182" w:type="dxa"/>
            <w:tcBorders>
              <w:top w:val="nil" w:sz="6" w:space="0" w:color="auto"/>
              <w:left w:val="nil" w:sz="6" w:space="0" w:color="auto"/>
              <w:bottom w:val="nil" w:sz="6" w:space="0" w:color="auto"/>
              <w:right w:val="nil" w:sz="6" w:space="0" w:color="auto"/>
            </w:tcBorders>
          </w:tcPr>
          <w:p>
            <w:pPr>
              <w:pStyle w:val="TableParagraph"/>
              <w:tabs>
                <w:tab w:pos="823" w:val="left" w:leader="none"/>
              </w:tabs>
              <w:spacing w:line="240" w:lineRule="auto" w:before="23"/>
              <w:ind w:right="166"/>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w:t>
            </w:r>
            <w:r>
              <w:rPr>
                <w:rFonts w:ascii="Arial"/>
                <w:sz w:val="16"/>
              </w:rPr>
            </w:r>
          </w:p>
        </w:tc>
        <w:tc>
          <w:tcPr>
            <w:tcW w:w="1164" w:type="dxa"/>
            <w:tcBorders>
              <w:top w:val="nil" w:sz="6" w:space="0" w:color="auto"/>
              <w:left w:val="nil" w:sz="6" w:space="0" w:color="auto"/>
              <w:bottom w:val="nil" w:sz="6" w:space="0" w:color="auto"/>
              <w:right w:val="nil" w:sz="6" w:space="0" w:color="auto"/>
            </w:tcBorders>
          </w:tcPr>
          <w:p>
            <w:pPr>
              <w:pStyle w:val="TableParagraph"/>
              <w:tabs>
                <w:tab w:pos="722" w:val="left" w:leader="none"/>
              </w:tabs>
              <w:spacing w:line="240" w:lineRule="auto" w:before="23"/>
              <w:ind w:right="190"/>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w:t>
            </w:r>
            <w:r>
              <w:rPr>
                <w:rFonts w:ascii="Arial"/>
                <w:sz w:val="16"/>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00"/>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   </w:t>
            </w:r>
            <w:r>
              <w:rPr>
                <w:rFonts w:ascii="Arial"/>
                <w:spacing w:val="19"/>
                <w:sz w:val="16"/>
                <w:u w:val="single" w:color="000000"/>
              </w:rPr>
              <w:t> </w:t>
            </w:r>
            <w:r>
              <w:rPr>
                <w:rFonts w:ascii="Arial"/>
                <w:spacing w:val="-2"/>
                <w:sz w:val="16"/>
                <w:u w:val="single" w:color="000000"/>
              </w:rPr>
              <w:t>81,057,244</w:t>
            </w:r>
            <w:r>
              <w:rPr>
                <w:rFonts w:ascii="Arial"/>
                <w:spacing w:val="-2"/>
                <w:sz w:val="16"/>
              </w:rPr>
            </w:r>
            <w:r>
              <w:rPr>
                <w:rFonts w:ascii="Arial"/>
                <w:sz w:val="16"/>
              </w:rPr>
            </w:r>
          </w:p>
        </w:tc>
      </w:tr>
      <w:tr>
        <w:trPr>
          <w:trHeight w:val="389" w:hRule="exact"/>
        </w:trPr>
        <w:tc>
          <w:tcPr>
            <w:tcW w:w="1258"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33"/>
              <w:jc w:val="right"/>
              <w:rPr>
                <w:rFonts w:ascii="Arial" w:hAnsi="Arial" w:cs="Arial" w:eastAsia="Arial" w:hint="default"/>
                <w:sz w:val="16"/>
                <w:szCs w:val="16"/>
              </w:rPr>
            </w:pPr>
            <w:r>
              <w:rPr>
                <w:rFonts w:ascii="Arial"/>
                <w:w w:val="100"/>
                <w:sz w:val="16"/>
              </w:rPr>
            </w:r>
            <w:r>
              <w:rPr>
                <w:rFonts w:ascii="Arial"/>
                <w:spacing w:val="-1"/>
                <w:sz w:val="16"/>
                <w:u w:val="thick" w:color="000000"/>
              </w:rPr>
              <w:t>2,741,406,180</w:t>
            </w:r>
            <w:r>
              <w:rPr>
                <w:rFonts w:ascii="Arial"/>
                <w:spacing w:val="-1"/>
                <w:sz w:val="16"/>
              </w:rPr>
            </w:r>
            <w:r>
              <w:rPr>
                <w:rFonts w:ascii="Arial"/>
                <w:sz w:val="16"/>
              </w:rPr>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22"/>
              <w:jc w:val="right"/>
              <w:rPr>
                <w:rFonts w:ascii="Arial" w:hAnsi="Arial" w:cs="Arial" w:eastAsia="Arial" w:hint="default"/>
                <w:sz w:val="16"/>
                <w:szCs w:val="16"/>
              </w:rPr>
            </w:pPr>
            <w:r>
              <w:rPr>
                <w:rFonts w:ascii="Arial"/>
                <w:w w:val="100"/>
                <w:sz w:val="16"/>
              </w:rPr>
            </w:r>
            <w:r>
              <w:rPr>
                <w:rFonts w:ascii="Arial"/>
                <w:w w:val="100"/>
                <w:sz w:val="16"/>
                <w:u w:val="thick" w:color="000000"/>
              </w:rPr>
              <w:t> </w:t>
            </w:r>
            <w:r>
              <w:rPr>
                <w:rFonts w:ascii="Arial"/>
                <w:sz w:val="16"/>
                <w:u w:val="thick" w:color="000000"/>
              </w:rPr>
              <w:t>  </w:t>
            </w:r>
            <w:r>
              <w:rPr>
                <w:rFonts w:ascii="Arial"/>
                <w:spacing w:val="-15"/>
                <w:sz w:val="16"/>
                <w:u w:val="thick" w:color="000000"/>
              </w:rPr>
              <w:t> </w:t>
            </w:r>
            <w:r>
              <w:rPr>
                <w:rFonts w:ascii="Arial"/>
                <w:spacing w:val="-2"/>
                <w:sz w:val="16"/>
                <w:u w:val="thick" w:color="000000"/>
              </w:rPr>
              <w:t>5,183,810</w:t>
            </w:r>
            <w:r>
              <w:rPr>
                <w:rFonts w:ascii="Arial"/>
                <w:spacing w:val="-2"/>
                <w:sz w:val="16"/>
              </w:rPr>
            </w:r>
            <w:r>
              <w:rPr>
                <w:rFonts w:ascii="Arial"/>
                <w:sz w:val="16"/>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20"/>
              <w:jc w:val="right"/>
              <w:rPr>
                <w:rFonts w:ascii="Arial" w:hAnsi="Arial" w:cs="Arial" w:eastAsia="Arial" w:hint="default"/>
                <w:sz w:val="16"/>
                <w:szCs w:val="16"/>
              </w:rPr>
            </w:pPr>
            <w:r>
              <w:rPr>
                <w:rFonts w:ascii="Arial"/>
                <w:w w:val="100"/>
                <w:sz w:val="16"/>
              </w:rPr>
            </w:r>
            <w:r>
              <w:rPr>
                <w:rFonts w:ascii="Arial"/>
                <w:w w:val="100"/>
                <w:sz w:val="16"/>
                <w:u w:val="thick" w:color="000000"/>
              </w:rPr>
              <w:t> </w:t>
            </w:r>
            <w:r>
              <w:rPr>
                <w:rFonts w:ascii="Arial"/>
                <w:sz w:val="16"/>
                <w:u w:val="thick" w:color="000000"/>
              </w:rPr>
              <w:t>  </w:t>
            </w:r>
            <w:r>
              <w:rPr>
                <w:rFonts w:ascii="Arial"/>
                <w:spacing w:val="-15"/>
                <w:sz w:val="16"/>
                <w:u w:val="thick" w:color="000000"/>
              </w:rPr>
              <w:t> </w:t>
            </w:r>
            <w:r>
              <w:rPr>
                <w:rFonts w:ascii="Arial"/>
                <w:spacing w:val="-2"/>
                <w:sz w:val="16"/>
                <w:u w:val="thick" w:color="000000"/>
              </w:rPr>
              <w:t>9,724,433</w:t>
            </w:r>
            <w:r>
              <w:rPr>
                <w:rFonts w:ascii="Arial"/>
                <w:spacing w:val="-2"/>
                <w:sz w:val="16"/>
              </w:rPr>
            </w:r>
            <w:r>
              <w:rPr>
                <w:rFonts w:ascii="Arial"/>
                <w:sz w:val="16"/>
              </w:rPr>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70"/>
              <w:jc w:val="right"/>
              <w:rPr>
                <w:rFonts w:ascii="Arial" w:hAnsi="Arial" w:cs="Arial" w:eastAsia="Arial" w:hint="default"/>
                <w:sz w:val="16"/>
                <w:szCs w:val="16"/>
              </w:rPr>
            </w:pPr>
            <w:r>
              <w:rPr>
                <w:rFonts w:ascii="Arial"/>
                <w:w w:val="100"/>
                <w:sz w:val="16"/>
              </w:rPr>
            </w:r>
            <w:r>
              <w:rPr>
                <w:rFonts w:ascii="Arial"/>
                <w:w w:val="100"/>
                <w:sz w:val="16"/>
                <w:u w:val="thick" w:color="000000"/>
              </w:rPr>
              <w:t> </w:t>
            </w:r>
            <w:r>
              <w:rPr>
                <w:rFonts w:ascii="Arial"/>
                <w:sz w:val="16"/>
                <w:u w:val="thick" w:color="000000"/>
              </w:rPr>
              <w:t>  </w:t>
            </w:r>
            <w:r>
              <w:rPr>
                <w:rFonts w:ascii="Arial"/>
                <w:spacing w:val="-15"/>
                <w:sz w:val="16"/>
                <w:u w:val="thick" w:color="000000"/>
              </w:rPr>
              <w:t> </w:t>
            </w:r>
            <w:r>
              <w:rPr>
                <w:rFonts w:ascii="Arial"/>
                <w:spacing w:val="-2"/>
                <w:sz w:val="16"/>
                <w:u w:val="thick" w:color="000000"/>
              </w:rPr>
              <w:t>1,537,857</w:t>
            </w:r>
            <w:r>
              <w:rPr>
                <w:rFonts w:ascii="Arial"/>
                <w:spacing w:val="-2"/>
                <w:sz w:val="16"/>
              </w:rPr>
            </w:r>
            <w:r>
              <w:rPr>
                <w:rFonts w:ascii="Arial"/>
                <w:sz w:val="16"/>
              </w:rPr>
            </w:r>
          </w:p>
        </w:tc>
        <w:tc>
          <w:tcPr>
            <w:tcW w:w="1164" w:type="dxa"/>
            <w:tcBorders>
              <w:top w:val="nil" w:sz="6" w:space="0" w:color="auto"/>
              <w:left w:val="nil" w:sz="6" w:space="0" w:color="auto"/>
              <w:bottom w:val="nil" w:sz="6" w:space="0" w:color="auto"/>
              <w:right w:val="nil" w:sz="6" w:space="0" w:color="auto"/>
            </w:tcBorders>
          </w:tcPr>
          <w:p>
            <w:pPr>
              <w:pStyle w:val="TableParagraph"/>
              <w:tabs>
                <w:tab w:pos="722" w:val="left" w:leader="none"/>
              </w:tabs>
              <w:spacing w:line="240" w:lineRule="auto" w:before="22"/>
              <w:ind w:right="190"/>
              <w:jc w:val="right"/>
              <w:rPr>
                <w:rFonts w:ascii="Arial" w:hAnsi="Arial" w:cs="Arial" w:eastAsia="Arial" w:hint="default"/>
                <w:sz w:val="16"/>
                <w:szCs w:val="16"/>
              </w:rPr>
            </w:pPr>
            <w:r>
              <w:rPr>
                <w:rFonts w:ascii="Arial"/>
                <w:w w:val="100"/>
                <w:sz w:val="16"/>
              </w:rPr>
            </w:r>
            <w:r>
              <w:rPr>
                <w:rFonts w:ascii="Arial"/>
                <w:w w:val="100"/>
                <w:sz w:val="16"/>
                <w:u w:val="thick" w:color="000000"/>
              </w:rPr>
              <w:t> </w:t>
            </w:r>
            <w:r>
              <w:rPr>
                <w:rFonts w:ascii="Arial"/>
                <w:sz w:val="16"/>
                <w:u w:val="thick" w:color="000000"/>
              </w:rPr>
              <w:tab/>
              <w:t>-</w:t>
            </w:r>
            <w:r>
              <w:rPr>
                <w:rFonts w:ascii="Arial"/>
                <w:sz w:val="16"/>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00"/>
              <w:jc w:val="right"/>
              <w:rPr>
                <w:rFonts w:ascii="Arial" w:hAnsi="Arial" w:cs="Arial" w:eastAsia="Arial" w:hint="default"/>
                <w:sz w:val="16"/>
                <w:szCs w:val="16"/>
              </w:rPr>
            </w:pPr>
            <w:r>
              <w:rPr>
                <w:rFonts w:ascii="Arial"/>
                <w:w w:val="100"/>
                <w:sz w:val="16"/>
              </w:rPr>
            </w:r>
            <w:r>
              <w:rPr>
                <w:rFonts w:ascii="Arial"/>
                <w:spacing w:val="-1"/>
                <w:sz w:val="16"/>
                <w:u w:val="thick" w:color="000000"/>
              </w:rPr>
              <w:t>2,757,852,280</w:t>
            </w:r>
            <w:r>
              <w:rPr>
                <w:rFonts w:ascii="Arial"/>
                <w:spacing w:val="-1"/>
                <w:sz w:val="16"/>
              </w:rPr>
            </w:r>
            <w:r>
              <w:rPr>
                <w:rFonts w:ascii="Arial"/>
                <w:sz w:val="16"/>
              </w:rPr>
            </w:r>
          </w:p>
        </w:tc>
      </w:tr>
      <w:tr>
        <w:trPr>
          <w:trHeight w:val="389" w:hRule="exact"/>
        </w:trPr>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200" w:right="0"/>
              <w:jc w:val="left"/>
              <w:rPr>
                <w:rFonts w:ascii="黑体" w:hAnsi="黑体" w:cs="黑体" w:eastAsia="黑体" w:hint="default"/>
                <w:sz w:val="16"/>
                <w:szCs w:val="16"/>
              </w:rPr>
            </w:pPr>
            <w:r>
              <w:rPr>
                <w:rFonts w:ascii="黑体" w:hAnsi="黑体" w:cs="黑体" w:eastAsia="黑体" w:hint="default"/>
                <w:sz w:val="16"/>
                <w:szCs w:val="16"/>
              </w:rPr>
              <w:t>金融负债</w:t>
            </w:r>
          </w:p>
        </w:tc>
        <w:tc>
          <w:tcPr>
            <w:tcW w:w="1417"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r>
      <w:tr>
        <w:trPr>
          <w:trHeight w:val="259" w:hRule="exact"/>
        </w:trPr>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7"/>
              <w:ind w:left="200" w:right="0"/>
              <w:jc w:val="left"/>
              <w:rPr>
                <w:rFonts w:ascii="黑体" w:hAnsi="黑体" w:cs="黑体" w:eastAsia="黑体" w:hint="default"/>
                <w:sz w:val="16"/>
                <w:szCs w:val="16"/>
              </w:rPr>
            </w:pPr>
            <w:r>
              <w:rPr>
                <w:rFonts w:ascii="黑体" w:hAnsi="黑体" w:cs="黑体" w:eastAsia="黑体" w:hint="default"/>
                <w:sz w:val="16"/>
                <w:szCs w:val="16"/>
              </w:rPr>
              <w:t>短期借款</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32"/>
              <w:jc w:val="right"/>
              <w:rPr>
                <w:rFonts w:ascii="Arial" w:hAnsi="Arial" w:cs="Arial" w:eastAsia="Arial" w:hint="default"/>
                <w:sz w:val="16"/>
                <w:szCs w:val="16"/>
              </w:rPr>
            </w:pPr>
            <w:r>
              <w:rPr>
                <w:rFonts w:ascii="Arial"/>
                <w:w w:val="100"/>
                <w:sz w:val="16"/>
              </w:rPr>
              <w:t>-</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9"/>
              <w:jc w:val="right"/>
              <w:rPr>
                <w:rFonts w:ascii="Arial" w:hAnsi="Arial" w:cs="Arial" w:eastAsia="Arial" w:hint="default"/>
                <w:sz w:val="16"/>
                <w:szCs w:val="16"/>
              </w:rPr>
            </w:pPr>
            <w:r>
              <w:rPr>
                <w:rFonts w:ascii="Arial"/>
                <w:spacing w:val="-1"/>
                <w:sz w:val="16"/>
              </w:rPr>
              <w:t>50,000,000</w:t>
            </w:r>
            <w:r>
              <w:rPr>
                <w:rFonts w:ascii="Arial"/>
                <w:sz w:val="16"/>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21"/>
              <w:jc w:val="right"/>
              <w:rPr>
                <w:rFonts w:ascii="Arial" w:hAnsi="Arial" w:cs="Arial" w:eastAsia="Arial" w:hint="default"/>
                <w:sz w:val="16"/>
                <w:szCs w:val="16"/>
              </w:rPr>
            </w:pPr>
            <w:r>
              <w:rPr>
                <w:rFonts w:ascii="Arial"/>
                <w:spacing w:val="-1"/>
                <w:sz w:val="16"/>
              </w:rPr>
              <w:t>440,000,000</w:t>
            </w:r>
            <w:r>
              <w:rPr>
                <w:rFonts w:ascii="Arial"/>
                <w:sz w:val="16"/>
              </w:rPr>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69"/>
              <w:jc w:val="right"/>
              <w:rPr>
                <w:rFonts w:ascii="Arial" w:hAnsi="Arial" w:cs="Arial" w:eastAsia="Arial" w:hint="default"/>
                <w:sz w:val="16"/>
                <w:szCs w:val="16"/>
              </w:rPr>
            </w:pPr>
            <w:r>
              <w:rPr>
                <w:rFonts w:ascii="Arial"/>
                <w:w w:val="100"/>
                <w:sz w:val="16"/>
              </w:rPr>
              <w:t>-</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0"/>
              <w:jc w:val="right"/>
              <w:rPr>
                <w:rFonts w:ascii="Arial" w:hAnsi="Arial" w:cs="Arial" w:eastAsia="Arial" w:hint="default"/>
                <w:sz w:val="16"/>
                <w:szCs w:val="16"/>
              </w:rPr>
            </w:pPr>
            <w:r>
              <w:rPr>
                <w:rFonts w:ascii="Arial"/>
                <w:w w:val="100"/>
                <w:sz w:val="16"/>
              </w:rPr>
              <w:t>-</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8"/>
              <w:jc w:val="right"/>
              <w:rPr>
                <w:rFonts w:ascii="Arial" w:hAnsi="Arial" w:cs="Arial" w:eastAsia="Arial" w:hint="default"/>
                <w:sz w:val="16"/>
                <w:szCs w:val="16"/>
              </w:rPr>
            </w:pPr>
            <w:r>
              <w:rPr>
                <w:rFonts w:ascii="Arial"/>
                <w:spacing w:val="-1"/>
                <w:sz w:val="16"/>
              </w:rPr>
              <w:t>490,000,000</w:t>
            </w:r>
            <w:r>
              <w:rPr>
                <w:rFonts w:ascii="Arial"/>
                <w:sz w:val="16"/>
              </w:rPr>
            </w:r>
          </w:p>
        </w:tc>
      </w:tr>
      <w:tr>
        <w:trPr>
          <w:trHeight w:val="260" w:hRule="exact"/>
        </w:trPr>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7"/>
              <w:ind w:left="200" w:right="0"/>
              <w:jc w:val="left"/>
              <w:rPr>
                <w:rFonts w:ascii="黑体" w:hAnsi="黑体" w:cs="黑体" w:eastAsia="黑体" w:hint="default"/>
                <w:sz w:val="16"/>
                <w:szCs w:val="16"/>
              </w:rPr>
            </w:pPr>
            <w:r>
              <w:rPr>
                <w:rFonts w:ascii="黑体" w:hAnsi="黑体" w:cs="黑体" w:eastAsia="黑体" w:hint="default"/>
                <w:sz w:val="16"/>
                <w:szCs w:val="16"/>
              </w:rPr>
              <w:t>应付账款</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33"/>
              <w:jc w:val="right"/>
              <w:rPr>
                <w:rFonts w:ascii="Arial" w:hAnsi="Arial" w:cs="Arial" w:eastAsia="Arial" w:hint="default"/>
                <w:sz w:val="16"/>
                <w:szCs w:val="16"/>
              </w:rPr>
            </w:pPr>
            <w:r>
              <w:rPr>
                <w:rFonts w:ascii="Arial"/>
                <w:spacing w:val="-2"/>
                <w:sz w:val="16"/>
              </w:rPr>
              <w:t>79,957,028</w:t>
            </w:r>
            <w:r>
              <w:rPr>
                <w:rFonts w:ascii="Arial"/>
                <w:sz w:val="16"/>
              </w:rPr>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22"/>
              <w:jc w:val="right"/>
              <w:rPr>
                <w:rFonts w:ascii="Arial" w:hAnsi="Arial" w:cs="Arial" w:eastAsia="Arial" w:hint="default"/>
                <w:sz w:val="16"/>
                <w:szCs w:val="16"/>
              </w:rPr>
            </w:pPr>
            <w:r>
              <w:rPr>
                <w:rFonts w:ascii="Arial"/>
                <w:spacing w:val="-1"/>
                <w:sz w:val="16"/>
              </w:rPr>
              <w:t>147,057,644</w:t>
            </w:r>
            <w:r>
              <w:rPr>
                <w:rFonts w:ascii="Arial"/>
                <w:sz w:val="16"/>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20"/>
              <w:jc w:val="right"/>
              <w:rPr>
                <w:rFonts w:ascii="Arial" w:hAnsi="Arial" w:cs="Arial" w:eastAsia="Arial" w:hint="default"/>
                <w:sz w:val="16"/>
                <w:szCs w:val="16"/>
              </w:rPr>
            </w:pPr>
            <w:r>
              <w:rPr>
                <w:rFonts w:ascii="Arial"/>
                <w:w w:val="100"/>
                <w:sz w:val="16"/>
              </w:rPr>
              <w:t>-</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69"/>
              <w:jc w:val="right"/>
              <w:rPr>
                <w:rFonts w:ascii="Arial" w:hAnsi="Arial" w:cs="Arial" w:eastAsia="Arial" w:hint="default"/>
                <w:sz w:val="16"/>
                <w:szCs w:val="16"/>
              </w:rPr>
            </w:pPr>
            <w:r>
              <w:rPr>
                <w:rFonts w:ascii="Arial"/>
                <w:w w:val="100"/>
                <w:sz w:val="16"/>
              </w:rPr>
              <w:t>-</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0"/>
              <w:jc w:val="right"/>
              <w:rPr>
                <w:rFonts w:ascii="Arial" w:hAnsi="Arial" w:cs="Arial" w:eastAsia="Arial" w:hint="default"/>
                <w:sz w:val="16"/>
                <w:szCs w:val="16"/>
              </w:rPr>
            </w:pPr>
            <w:r>
              <w:rPr>
                <w:rFonts w:ascii="Arial"/>
                <w:w w:val="100"/>
                <w:sz w:val="16"/>
              </w:rPr>
              <w:t>-</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8"/>
              <w:jc w:val="right"/>
              <w:rPr>
                <w:rFonts w:ascii="Arial" w:hAnsi="Arial" w:cs="Arial" w:eastAsia="Arial" w:hint="default"/>
                <w:sz w:val="16"/>
                <w:szCs w:val="16"/>
              </w:rPr>
            </w:pPr>
            <w:r>
              <w:rPr>
                <w:rFonts w:ascii="Arial"/>
                <w:spacing w:val="-1"/>
                <w:sz w:val="16"/>
              </w:rPr>
              <w:t>227,014,672</w:t>
            </w:r>
            <w:r>
              <w:rPr>
                <w:rFonts w:ascii="Arial"/>
                <w:sz w:val="16"/>
              </w:rPr>
            </w:r>
          </w:p>
        </w:tc>
      </w:tr>
      <w:tr>
        <w:trPr>
          <w:trHeight w:val="260" w:hRule="exact"/>
        </w:trPr>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8"/>
              <w:ind w:left="200" w:right="0"/>
              <w:jc w:val="left"/>
              <w:rPr>
                <w:rFonts w:ascii="黑体" w:hAnsi="黑体" w:cs="黑体" w:eastAsia="黑体" w:hint="default"/>
                <w:sz w:val="16"/>
                <w:szCs w:val="16"/>
              </w:rPr>
            </w:pPr>
            <w:r>
              <w:rPr>
                <w:rFonts w:ascii="黑体" w:hAnsi="黑体" w:cs="黑体" w:eastAsia="黑体" w:hint="default"/>
                <w:sz w:val="16"/>
                <w:szCs w:val="16"/>
              </w:rPr>
              <w:t>其他应付款</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31"/>
              <w:jc w:val="right"/>
              <w:rPr>
                <w:rFonts w:ascii="Arial" w:hAnsi="Arial" w:cs="Arial" w:eastAsia="Arial" w:hint="default"/>
                <w:sz w:val="16"/>
                <w:szCs w:val="16"/>
              </w:rPr>
            </w:pPr>
            <w:r>
              <w:rPr>
                <w:rFonts w:ascii="Arial"/>
                <w:spacing w:val="-1"/>
                <w:sz w:val="16"/>
              </w:rPr>
              <w:t>258,500,441</w:t>
            </w:r>
            <w:r>
              <w:rPr>
                <w:rFonts w:ascii="Arial"/>
                <w:sz w:val="16"/>
              </w:rPr>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18"/>
              <w:jc w:val="right"/>
              <w:rPr>
                <w:rFonts w:ascii="Arial" w:hAnsi="Arial" w:cs="Arial" w:eastAsia="Arial" w:hint="default"/>
                <w:sz w:val="16"/>
                <w:szCs w:val="16"/>
              </w:rPr>
            </w:pPr>
            <w:r>
              <w:rPr>
                <w:rFonts w:ascii="Arial"/>
                <w:w w:val="100"/>
                <w:sz w:val="16"/>
              </w:rPr>
              <w:t>-</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20"/>
              <w:jc w:val="right"/>
              <w:rPr>
                <w:rFonts w:ascii="Arial" w:hAnsi="Arial" w:cs="Arial" w:eastAsia="Arial" w:hint="default"/>
                <w:sz w:val="16"/>
                <w:szCs w:val="16"/>
              </w:rPr>
            </w:pPr>
            <w:r>
              <w:rPr>
                <w:rFonts w:ascii="Arial"/>
                <w:w w:val="100"/>
                <w:sz w:val="16"/>
              </w:rPr>
              <w:t>-</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69"/>
              <w:jc w:val="right"/>
              <w:rPr>
                <w:rFonts w:ascii="Arial" w:hAnsi="Arial" w:cs="Arial" w:eastAsia="Arial" w:hint="default"/>
                <w:sz w:val="16"/>
                <w:szCs w:val="16"/>
              </w:rPr>
            </w:pPr>
            <w:r>
              <w:rPr>
                <w:rFonts w:ascii="Arial"/>
                <w:w w:val="100"/>
                <w:sz w:val="16"/>
              </w:rPr>
              <w:t>-</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88"/>
              <w:jc w:val="right"/>
              <w:rPr>
                <w:rFonts w:ascii="Arial" w:hAnsi="Arial" w:cs="Arial" w:eastAsia="Arial" w:hint="default"/>
                <w:sz w:val="16"/>
                <w:szCs w:val="16"/>
              </w:rPr>
            </w:pPr>
            <w:r>
              <w:rPr>
                <w:rFonts w:ascii="Arial"/>
                <w:w w:val="100"/>
                <w:sz w:val="16"/>
              </w:rPr>
              <w:t>-</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98"/>
              <w:jc w:val="right"/>
              <w:rPr>
                <w:rFonts w:ascii="Arial" w:hAnsi="Arial" w:cs="Arial" w:eastAsia="Arial" w:hint="default"/>
                <w:sz w:val="16"/>
                <w:szCs w:val="16"/>
              </w:rPr>
            </w:pPr>
            <w:r>
              <w:rPr>
                <w:rFonts w:ascii="Arial"/>
                <w:spacing w:val="-1"/>
                <w:sz w:val="16"/>
              </w:rPr>
              <w:t>258,500,441</w:t>
            </w:r>
            <w:r>
              <w:rPr>
                <w:rFonts w:ascii="Arial"/>
                <w:sz w:val="16"/>
              </w:rPr>
            </w:r>
          </w:p>
        </w:tc>
      </w:tr>
      <w:tr>
        <w:trPr>
          <w:trHeight w:val="259" w:hRule="exact"/>
        </w:trPr>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7"/>
              <w:ind w:left="200" w:right="0"/>
              <w:jc w:val="left"/>
              <w:rPr>
                <w:rFonts w:ascii="黑体" w:hAnsi="黑体" w:cs="黑体" w:eastAsia="黑体" w:hint="default"/>
                <w:sz w:val="16"/>
                <w:szCs w:val="16"/>
              </w:rPr>
            </w:pPr>
            <w:r>
              <w:rPr>
                <w:rFonts w:ascii="黑体" w:hAnsi="黑体" w:cs="黑体" w:eastAsia="黑体" w:hint="default"/>
                <w:sz w:val="16"/>
                <w:szCs w:val="16"/>
              </w:rPr>
              <w:t>长期借款</w:t>
            </w:r>
          </w:p>
        </w:tc>
        <w:tc>
          <w:tcPr>
            <w:tcW w:w="1417" w:type="dxa"/>
            <w:tcBorders>
              <w:top w:val="nil" w:sz="6" w:space="0" w:color="auto"/>
              <w:left w:val="nil" w:sz="6" w:space="0" w:color="auto"/>
              <w:bottom w:val="nil" w:sz="6" w:space="0" w:color="auto"/>
              <w:right w:val="nil" w:sz="6" w:space="0" w:color="auto"/>
            </w:tcBorders>
          </w:tcPr>
          <w:p>
            <w:pPr>
              <w:pStyle w:val="TableParagraph"/>
              <w:tabs>
                <w:tab w:pos="921" w:val="left" w:leader="none"/>
              </w:tabs>
              <w:spacing w:line="240" w:lineRule="auto" w:before="22"/>
              <w:ind w:right="132"/>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w:t>
            </w:r>
            <w:r>
              <w:rPr>
                <w:rFonts w:ascii="Arial"/>
                <w:sz w:val="16"/>
              </w:rPr>
            </w:r>
          </w:p>
        </w:tc>
        <w:tc>
          <w:tcPr>
            <w:tcW w:w="1148" w:type="dxa"/>
            <w:tcBorders>
              <w:top w:val="nil" w:sz="6" w:space="0" w:color="auto"/>
              <w:left w:val="nil" w:sz="6" w:space="0" w:color="auto"/>
              <w:bottom w:val="nil" w:sz="6" w:space="0" w:color="auto"/>
              <w:right w:val="nil" w:sz="6" w:space="0" w:color="auto"/>
            </w:tcBorders>
          </w:tcPr>
          <w:p>
            <w:pPr>
              <w:pStyle w:val="TableParagraph"/>
              <w:tabs>
                <w:tab w:pos="883" w:val="left" w:leader="none"/>
              </w:tabs>
              <w:spacing w:line="240" w:lineRule="auto" w:before="22"/>
              <w:ind w:right="118"/>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w:t>
            </w:r>
            <w:r>
              <w:rPr>
                <w:rFonts w:ascii="Arial"/>
                <w:sz w:val="16"/>
              </w:rPr>
            </w:r>
          </w:p>
        </w:tc>
        <w:tc>
          <w:tcPr>
            <w:tcW w:w="1134" w:type="dxa"/>
            <w:tcBorders>
              <w:top w:val="nil" w:sz="6" w:space="0" w:color="auto"/>
              <w:left w:val="nil" w:sz="6" w:space="0" w:color="auto"/>
              <w:bottom w:val="nil" w:sz="6" w:space="0" w:color="auto"/>
              <w:right w:val="nil" w:sz="6" w:space="0" w:color="auto"/>
            </w:tcBorders>
          </w:tcPr>
          <w:p>
            <w:pPr>
              <w:pStyle w:val="TableParagraph"/>
              <w:tabs>
                <w:tab w:pos="883" w:val="left" w:leader="none"/>
              </w:tabs>
              <w:spacing w:line="240" w:lineRule="auto" w:before="22"/>
              <w:ind w:right="117"/>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ab/>
              <w:t>-</w:t>
            </w:r>
            <w:r>
              <w:rPr>
                <w:rFonts w:ascii="Arial"/>
                <w:sz w:val="16"/>
              </w:rPr>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70"/>
              <w:jc w:val="right"/>
              <w:rPr>
                <w:rFonts w:ascii="Arial" w:hAnsi="Arial" w:cs="Arial" w:eastAsia="Arial" w:hint="default"/>
                <w:sz w:val="16"/>
                <w:szCs w:val="16"/>
              </w:rPr>
            </w:pPr>
            <w:r>
              <w:rPr>
                <w:rFonts w:ascii="Arial"/>
                <w:w w:val="100"/>
                <w:sz w:val="16"/>
              </w:rPr>
            </w:r>
            <w:r>
              <w:rPr>
                <w:rFonts w:ascii="Arial"/>
                <w:spacing w:val="-1"/>
                <w:sz w:val="16"/>
                <w:u w:val="single" w:color="000000"/>
              </w:rPr>
              <w:t>142,080,833</w:t>
            </w:r>
            <w:r>
              <w:rPr>
                <w:rFonts w:ascii="Arial"/>
                <w:spacing w:val="-1"/>
                <w:sz w:val="16"/>
              </w:rPr>
            </w:r>
            <w:r>
              <w:rPr>
                <w:rFonts w:ascii="Arial"/>
                <w:sz w:val="16"/>
              </w:rPr>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1"/>
              <w:jc w:val="right"/>
              <w:rPr>
                <w:rFonts w:ascii="Arial" w:hAnsi="Arial" w:cs="Arial" w:eastAsia="Arial" w:hint="default"/>
                <w:sz w:val="16"/>
                <w:szCs w:val="16"/>
              </w:rPr>
            </w:pPr>
            <w:r>
              <w:rPr>
                <w:rFonts w:ascii="Arial"/>
                <w:w w:val="100"/>
                <w:sz w:val="16"/>
              </w:rPr>
            </w:r>
            <w:r>
              <w:rPr>
                <w:rFonts w:ascii="Arial"/>
                <w:spacing w:val="-1"/>
                <w:sz w:val="16"/>
                <w:u w:val="single" w:color="000000"/>
              </w:rPr>
              <w:t>64,317,500</w:t>
            </w:r>
            <w:r>
              <w:rPr>
                <w:rFonts w:ascii="Arial"/>
                <w:spacing w:val="-1"/>
                <w:sz w:val="16"/>
              </w:rPr>
            </w:r>
            <w:r>
              <w:rPr>
                <w:rFonts w:ascii="Arial"/>
                <w:sz w:val="16"/>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00"/>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  </w:t>
            </w:r>
            <w:r>
              <w:rPr>
                <w:rFonts w:ascii="Arial"/>
                <w:spacing w:val="-15"/>
                <w:sz w:val="16"/>
                <w:u w:val="single" w:color="000000"/>
              </w:rPr>
              <w:t> </w:t>
            </w:r>
            <w:r>
              <w:rPr>
                <w:rFonts w:ascii="Arial"/>
                <w:spacing w:val="-2"/>
                <w:sz w:val="16"/>
                <w:u w:val="single" w:color="000000"/>
              </w:rPr>
              <w:t>206,398,333</w:t>
            </w:r>
            <w:r>
              <w:rPr>
                <w:rFonts w:ascii="Arial"/>
                <w:spacing w:val="-2"/>
                <w:sz w:val="16"/>
              </w:rPr>
            </w:r>
            <w:r>
              <w:rPr>
                <w:rFonts w:ascii="Arial"/>
                <w:sz w:val="16"/>
              </w:rPr>
            </w:r>
          </w:p>
        </w:tc>
      </w:tr>
      <w:tr>
        <w:trPr>
          <w:trHeight w:val="203" w:hRule="exact"/>
        </w:trPr>
        <w:tc>
          <w:tcPr>
            <w:tcW w:w="1258"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31"/>
              <w:jc w:val="right"/>
              <w:rPr>
                <w:rFonts w:ascii="Arial" w:hAnsi="Arial" w:cs="Arial" w:eastAsia="Arial" w:hint="default"/>
                <w:sz w:val="16"/>
                <w:szCs w:val="16"/>
              </w:rPr>
            </w:pPr>
            <w:r>
              <w:rPr>
                <w:rFonts w:ascii="Arial"/>
                <w:w w:val="100"/>
                <w:sz w:val="16"/>
              </w:rPr>
            </w:r>
            <w:r>
              <w:rPr>
                <w:rFonts w:ascii="Arial"/>
                <w:w w:val="100"/>
                <w:sz w:val="16"/>
                <w:u w:val="thick" w:color="000000"/>
              </w:rPr>
              <w:t> </w:t>
            </w:r>
            <w:r>
              <w:rPr>
                <w:rFonts w:ascii="Arial"/>
                <w:spacing w:val="-8"/>
                <w:sz w:val="16"/>
                <w:u w:val="thick" w:color="000000"/>
              </w:rPr>
              <w:t> </w:t>
            </w:r>
            <w:r>
              <w:rPr>
                <w:rFonts w:ascii="Arial"/>
                <w:spacing w:val="-1"/>
                <w:sz w:val="16"/>
                <w:u w:val="thick" w:color="000000"/>
              </w:rPr>
              <w:t>338,457,469</w:t>
            </w:r>
            <w:r>
              <w:rPr>
                <w:rFonts w:ascii="Arial"/>
                <w:spacing w:val="-1"/>
                <w:sz w:val="16"/>
              </w:rPr>
            </w:r>
            <w:r>
              <w:rPr>
                <w:rFonts w:ascii="Arial"/>
                <w:sz w:val="16"/>
              </w:rPr>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22"/>
              <w:jc w:val="right"/>
              <w:rPr>
                <w:rFonts w:ascii="Arial" w:hAnsi="Arial" w:cs="Arial" w:eastAsia="Arial" w:hint="default"/>
                <w:sz w:val="16"/>
                <w:szCs w:val="16"/>
              </w:rPr>
            </w:pPr>
            <w:r>
              <w:rPr>
                <w:rFonts w:ascii="Arial"/>
                <w:w w:val="100"/>
                <w:sz w:val="16"/>
              </w:rPr>
            </w:r>
            <w:r>
              <w:rPr>
                <w:rFonts w:ascii="Arial"/>
                <w:spacing w:val="-1"/>
                <w:sz w:val="16"/>
                <w:u w:val="thick" w:color="000000"/>
              </w:rPr>
              <w:t>197,057,644</w:t>
            </w:r>
            <w:r>
              <w:rPr>
                <w:rFonts w:ascii="Arial"/>
                <w:spacing w:val="-1"/>
                <w:sz w:val="16"/>
              </w:rPr>
            </w:r>
            <w:r>
              <w:rPr>
                <w:rFonts w:ascii="Arial"/>
                <w:sz w:val="16"/>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21"/>
              <w:jc w:val="right"/>
              <w:rPr>
                <w:rFonts w:ascii="Arial" w:hAnsi="Arial" w:cs="Arial" w:eastAsia="Arial" w:hint="default"/>
                <w:sz w:val="16"/>
                <w:szCs w:val="16"/>
              </w:rPr>
            </w:pPr>
            <w:r>
              <w:rPr>
                <w:rFonts w:ascii="Arial"/>
                <w:w w:val="100"/>
                <w:sz w:val="16"/>
              </w:rPr>
            </w:r>
            <w:r>
              <w:rPr>
                <w:rFonts w:ascii="Arial"/>
                <w:spacing w:val="-1"/>
                <w:sz w:val="16"/>
                <w:u w:val="thick" w:color="000000"/>
              </w:rPr>
              <w:t>440,000,000</w:t>
            </w:r>
            <w:r>
              <w:rPr>
                <w:rFonts w:ascii="Arial"/>
                <w:spacing w:val="-1"/>
                <w:sz w:val="16"/>
              </w:rPr>
            </w:r>
            <w:r>
              <w:rPr>
                <w:rFonts w:ascii="Arial"/>
                <w:sz w:val="16"/>
              </w:rPr>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70"/>
              <w:jc w:val="right"/>
              <w:rPr>
                <w:rFonts w:ascii="Arial" w:hAnsi="Arial" w:cs="Arial" w:eastAsia="Arial" w:hint="default"/>
                <w:sz w:val="16"/>
                <w:szCs w:val="16"/>
              </w:rPr>
            </w:pPr>
            <w:r>
              <w:rPr>
                <w:rFonts w:ascii="Arial"/>
                <w:w w:val="100"/>
                <w:sz w:val="16"/>
              </w:rPr>
            </w:r>
            <w:r>
              <w:rPr>
                <w:rFonts w:ascii="Arial"/>
                <w:spacing w:val="-1"/>
                <w:sz w:val="16"/>
                <w:u w:val="thick" w:color="000000"/>
              </w:rPr>
              <w:t>142,080,833</w:t>
            </w:r>
            <w:r>
              <w:rPr>
                <w:rFonts w:ascii="Arial"/>
                <w:spacing w:val="-1"/>
                <w:sz w:val="16"/>
              </w:rPr>
            </w:r>
            <w:r>
              <w:rPr>
                <w:rFonts w:ascii="Arial"/>
                <w:sz w:val="16"/>
              </w:rPr>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91"/>
              <w:jc w:val="right"/>
              <w:rPr>
                <w:rFonts w:ascii="Arial" w:hAnsi="Arial" w:cs="Arial" w:eastAsia="Arial" w:hint="default"/>
                <w:sz w:val="16"/>
                <w:szCs w:val="16"/>
              </w:rPr>
            </w:pPr>
            <w:r>
              <w:rPr>
                <w:rFonts w:ascii="Arial"/>
                <w:w w:val="100"/>
                <w:sz w:val="16"/>
              </w:rPr>
            </w:r>
            <w:r>
              <w:rPr>
                <w:rFonts w:ascii="Arial"/>
                <w:spacing w:val="-1"/>
                <w:sz w:val="16"/>
                <w:u w:val="thick" w:color="000000"/>
              </w:rPr>
              <w:t>64,317,500</w:t>
            </w:r>
            <w:r>
              <w:rPr>
                <w:rFonts w:ascii="Arial"/>
                <w:spacing w:val="-1"/>
                <w:sz w:val="16"/>
              </w:rPr>
            </w:r>
            <w:r>
              <w:rPr>
                <w:rFonts w:ascii="Arial"/>
                <w:sz w:val="16"/>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00"/>
              <w:jc w:val="right"/>
              <w:rPr>
                <w:rFonts w:ascii="Arial" w:hAnsi="Arial" w:cs="Arial" w:eastAsia="Arial" w:hint="default"/>
                <w:sz w:val="16"/>
                <w:szCs w:val="16"/>
              </w:rPr>
            </w:pPr>
            <w:r>
              <w:rPr>
                <w:rFonts w:ascii="Arial"/>
                <w:w w:val="100"/>
                <w:sz w:val="16"/>
              </w:rPr>
            </w:r>
            <w:r>
              <w:rPr>
                <w:rFonts w:ascii="Arial"/>
                <w:spacing w:val="-1"/>
                <w:sz w:val="16"/>
                <w:u w:val="thick" w:color="000000"/>
              </w:rPr>
              <w:t>1,181,913,446</w:t>
            </w:r>
            <w:r>
              <w:rPr>
                <w:rFonts w:ascii="Arial"/>
                <w:spacing w:val="-1"/>
                <w:sz w:val="16"/>
              </w:rPr>
            </w:r>
            <w:r>
              <w:rPr>
                <w:rFonts w:ascii="Arial"/>
                <w:sz w:val="16"/>
              </w:rPr>
            </w:r>
          </w:p>
        </w:tc>
      </w:tr>
    </w:tbl>
    <w:p>
      <w:pPr>
        <w:spacing w:after="0" w:line="240" w:lineRule="auto"/>
        <w:jc w:val="right"/>
        <w:rPr>
          <w:rFonts w:ascii="Arial" w:hAnsi="Arial" w:cs="Arial" w:eastAsia="Arial" w:hint="default"/>
          <w:sz w:val="16"/>
          <w:szCs w:val="16"/>
        </w:rPr>
        <w:sectPr>
          <w:pgSz w:w="11910" w:h="16850"/>
          <w:pgMar w:header="957" w:footer="689" w:top="2560" w:bottom="880" w:left="1600" w:right="820"/>
        </w:sectPr>
      </w:pPr>
    </w:p>
    <w:p>
      <w:pPr>
        <w:spacing w:line="240" w:lineRule="auto" w:before="11"/>
        <w:rPr>
          <w:rFonts w:ascii="黑体" w:hAnsi="黑体" w:cs="黑体" w:eastAsia="黑体" w:hint="default"/>
          <w:sz w:val="18"/>
          <w:szCs w:val="18"/>
        </w:rPr>
      </w:pPr>
    </w:p>
    <w:p>
      <w:pPr>
        <w:pStyle w:val="Heading6"/>
        <w:spacing w:line="240" w:lineRule="auto"/>
        <w:ind w:right="154"/>
        <w:jc w:val="left"/>
        <w:rPr>
          <w:b w:val="0"/>
          <w:bCs w:val="0"/>
        </w:rPr>
      </w:pPr>
      <w:r>
        <w:rPr/>
        <w:t>十二、</w:t>
      </w:r>
      <w:r>
        <w:rPr>
          <w:spacing w:val="-6"/>
        </w:rPr>
        <w:t> </w:t>
      </w:r>
      <w:r>
        <w:rPr/>
        <w:t>金融工具及其风险分析（续）</w:t>
      </w:r>
      <w:r>
        <w:rPr>
          <w:b w:val="0"/>
          <w:bCs w:val="0"/>
        </w:rPr>
      </w:r>
    </w:p>
    <w:p>
      <w:pPr>
        <w:spacing w:line="240" w:lineRule="auto" w:before="3"/>
        <w:rPr>
          <w:rFonts w:ascii="黑体" w:hAnsi="黑体" w:cs="黑体" w:eastAsia="黑体" w:hint="default"/>
          <w:b/>
          <w:bCs/>
          <w:sz w:val="21"/>
          <w:szCs w:val="21"/>
        </w:rPr>
      </w:pPr>
    </w:p>
    <w:p>
      <w:pPr>
        <w:pStyle w:val="Heading6"/>
        <w:tabs>
          <w:tab w:pos="809" w:val="left" w:leader="none"/>
        </w:tabs>
        <w:spacing w:line="240" w:lineRule="auto" w:before="0"/>
        <w:ind w:right="154"/>
        <w:jc w:val="left"/>
        <w:rPr>
          <w:b w:val="0"/>
          <w:bCs w:val="0"/>
        </w:rPr>
      </w:pPr>
      <w:r>
        <w:rPr>
          <w:rFonts w:ascii="Arial" w:hAnsi="Arial" w:cs="Arial" w:eastAsia="Arial" w:hint="default"/>
          <w:spacing w:val="-1"/>
        </w:rPr>
        <w:t>3.</w:t>
        <w:tab/>
      </w:r>
      <w:r>
        <w:rPr>
          <w:spacing w:val="2"/>
        </w:rPr>
        <w:t>市场风险</w:t>
      </w:r>
      <w:r>
        <w:rPr>
          <w:b w:val="0"/>
          <w:bCs w:val="0"/>
        </w:rPr>
      </w:r>
    </w:p>
    <w:p>
      <w:pPr>
        <w:spacing w:line="240" w:lineRule="auto" w:before="9"/>
        <w:rPr>
          <w:rFonts w:ascii="黑体" w:hAnsi="黑体" w:cs="黑体" w:eastAsia="黑体" w:hint="default"/>
          <w:b/>
          <w:bCs/>
          <w:sz w:val="21"/>
          <w:szCs w:val="21"/>
        </w:rPr>
      </w:pPr>
    </w:p>
    <w:p>
      <w:pPr>
        <w:pStyle w:val="BodyText"/>
        <w:spacing w:line="256" w:lineRule="auto"/>
        <w:ind w:right="154"/>
        <w:jc w:val="left"/>
      </w:pPr>
      <w:r>
        <w:rPr>
          <w:spacing w:val="2"/>
        </w:rPr>
        <w:t>市场风险，是指金融工具的公允价值或未来现金流量因市场价格变动而发生波动的风险。</w:t>
      </w:r>
      <w:r>
        <w:rPr>
          <w:spacing w:val="2"/>
          <w:w w:val="99"/>
        </w:rPr>
        <w:t> </w:t>
      </w:r>
      <w:r>
        <w:rPr/>
        <w:t>市场风险主要包括利率风险和外汇风险。</w:t>
      </w:r>
    </w:p>
    <w:p>
      <w:pPr>
        <w:spacing w:line="240" w:lineRule="auto" w:before="9"/>
        <w:rPr>
          <w:rFonts w:ascii="黑体" w:hAnsi="黑体" w:cs="黑体" w:eastAsia="黑体" w:hint="default"/>
          <w:sz w:val="21"/>
          <w:szCs w:val="21"/>
        </w:rPr>
      </w:pPr>
    </w:p>
    <w:p>
      <w:pPr>
        <w:pStyle w:val="BodyText"/>
        <w:spacing w:line="240" w:lineRule="auto"/>
        <w:ind w:right="154"/>
        <w:jc w:val="left"/>
      </w:pPr>
      <w:r>
        <w:rPr>
          <w:w w:val="99"/>
        </w:rPr>
      </w:r>
      <w:r>
        <w:rPr>
          <w:u w:val="single" w:color="000000"/>
        </w:rPr>
        <w:t>利率风险</w:t>
      </w:r>
      <w:r>
        <w:rPr/>
      </w:r>
    </w:p>
    <w:p>
      <w:pPr>
        <w:spacing w:line="240" w:lineRule="auto" w:before="1"/>
        <w:rPr>
          <w:rFonts w:ascii="黑体" w:hAnsi="黑体" w:cs="黑体" w:eastAsia="黑体" w:hint="default"/>
          <w:sz w:val="20"/>
          <w:szCs w:val="20"/>
        </w:rPr>
      </w:pPr>
    </w:p>
    <w:p>
      <w:pPr>
        <w:pStyle w:val="BodyText"/>
        <w:spacing w:line="254" w:lineRule="auto" w:before="37"/>
        <w:ind w:right="154"/>
        <w:jc w:val="left"/>
      </w:pPr>
      <w:r>
        <w:rPr>
          <w:spacing w:val="2"/>
        </w:rPr>
        <w:t>利率风险，是指金融工具的公允价值或未来现金流量因市场利率变动而发生波动的风险。</w:t>
      </w:r>
      <w:r>
        <w:rPr>
          <w:spacing w:val="2"/>
          <w:w w:val="99"/>
        </w:rPr>
        <w:t> </w:t>
      </w:r>
      <w:r>
        <w:rPr/>
        <w:t>本集团面临的市场利率变动的风险主要与本集团以浮动利率计息的长期负债有关。</w:t>
      </w:r>
    </w:p>
    <w:p>
      <w:pPr>
        <w:spacing w:line="240" w:lineRule="auto" w:before="13"/>
        <w:rPr>
          <w:rFonts w:ascii="黑体" w:hAnsi="黑体" w:cs="黑体" w:eastAsia="黑体" w:hint="default"/>
          <w:sz w:val="21"/>
          <w:szCs w:val="21"/>
        </w:rPr>
      </w:pPr>
    </w:p>
    <w:p>
      <w:pPr>
        <w:pStyle w:val="BodyText"/>
        <w:spacing w:line="254" w:lineRule="auto"/>
        <w:ind w:left="821" w:right="154"/>
        <w:jc w:val="left"/>
      </w:pPr>
      <w:r>
        <w:rPr>
          <w:w w:val="95"/>
        </w:rPr>
        <w:t>下表为利率风险的敏感性分析，反映了在其他变量不变的假设下，利率发生合理、可能的</w:t>
      </w:r>
      <w:r>
        <w:rPr>
          <w:spacing w:val="82"/>
          <w:w w:val="95"/>
        </w:rPr>
        <w:t> </w:t>
      </w:r>
      <w:r>
        <w:rPr>
          <w:spacing w:val="82"/>
          <w:w w:val="95"/>
        </w:rPr>
      </w:r>
      <w:r>
        <w:rPr/>
        <w:t>变动时，将对净利润</w:t>
      </w:r>
      <w:r>
        <w:rPr>
          <w:spacing w:val="-11"/>
        </w:rPr>
        <w:t> </w:t>
      </w:r>
      <w:r>
        <w:rPr>
          <w:rFonts w:ascii="Arial" w:hAnsi="Arial" w:cs="Arial" w:eastAsia="Arial" w:hint="default"/>
        </w:rPr>
        <w:t>(</w:t>
      </w:r>
      <w:r>
        <w:rPr/>
        <w:t>通过对浮动利率借款的影响</w:t>
      </w:r>
      <w:r>
        <w:rPr>
          <w:rFonts w:ascii="Arial" w:hAnsi="Arial" w:cs="Arial" w:eastAsia="Arial" w:hint="default"/>
        </w:rPr>
        <w:t>)</w:t>
      </w:r>
      <w:r>
        <w:rPr/>
        <w:t>和股东权益产生的影响。</w:t>
      </w:r>
    </w:p>
    <w:p>
      <w:pPr>
        <w:spacing w:line="240" w:lineRule="auto" w:before="3"/>
        <w:rPr>
          <w:rFonts w:ascii="黑体" w:hAnsi="黑体" w:cs="黑体" w:eastAsia="黑体" w:hint="default"/>
          <w:sz w:val="27"/>
          <w:szCs w:val="27"/>
        </w:rPr>
      </w:pPr>
    </w:p>
    <w:tbl>
      <w:tblPr>
        <w:tblW w:w="0" w:type="auto"/>
        <w:jc w:val="left"/>
        <w:tblInd w:w="662" w:type="dxa"/>
        <w:tblLayout w:type="fixed"/>
        <w:tblCellMar>
          <w:top w:w="0" w:type="dxa"/>
          <w:left w:w="0" w:type="dxa"/>
          <w:bottom w:w="0" w:type="dxa"/>
          <w:right w:w="0" w:type="dxa"/>
        </w:tblCellMar>
        <w:tblLook w:val="01E0"/>
      </w:tblPr>
      <w:tblGrid>
        <w:gridCol w:w="1927"/>
        <w:gridCol w:w="1628"/>
        <w:gridCol w:w="662"/>
        <w:gridCol w:w="1485"/>
        <w:gridCol w:w="574"/>
        <w:gridCol w:w="1462"/>
        <w:gridCol w:w="276"/>
      </w:tblGrid>
      <w:tr>
        <w:trPr>
          <w:trHeight w:val="239" w:hRule="exact"/>
        </w:trPr>
        <w:tc>
          <w:tcPr>
            <w:tcW w:w="1927"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199" w:lineRule="exact"/>
              <w:ind w:right="21"/>
              <w:jc w:val="right"/>
              <w:rPr>
                <w:rFonts w:ascii="黑体" w:hAnsi="黑体" w:cs="黑体" w:eastAsia="黑体" w:hint="default"/>
                <w:sz w:val="20"/>
                <w:szCs w:val="20"/>
              </w:rPr>
            </w:pPr>
            <w:r>
              <w:rPr>
                <w:rFonts w:ascii="黑体" w:hAnsi="黑体" w:cs="黑体" w:eastAsia="黑体" w:hint="default"/>
                <w:w w:val="95"/>
                <w:sz w:val="20"/>
                <w:szCs w:val="20"/>
              </w:rPr>
              <w:t>基准点</w:t>
            </w:r>
            <w:r>
              <w:rPr>
                <w:rFonts w:ascii="黑体" w:hAnsi="黑体" w:cs="黑体" w:eastAsia="黑体" w:hint="default"/>
                <w:sz w:val="20"/>
                <w:szCs w:val="20"/>
              </w:rPr>
            </w:r>
          </w:p>
        </w:tc>
        <w:tc>
          <w:tcPr>
            <w:tcW w:w="662"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Style w:val="TableParagraph"/>
              <w:spacing w:line="199" w:lineRule="exact"/>
              <w:ind w:right="20"/>
              <w:jc w:val="right"/>
              <w:rPr>
                <w:rFonts w:ascii="黑体" w:hAnsi="黑体" w:cs="黑体" w:eastAsia="黑体" w:hint="default"/>
                <w:sz w:val="20"/>
                <w:szCs w:val="20"/>
              </w:rPr>
            </w:pPr>
            <w:r>
              <w:rPr>
                <w:rFonts w:ascii="黑体" w:hAnsi="黑体" w:cs="黑体" w:eastAsia="黑体" w:hint="default"/>
                <w:w w:val="95"/>
                <w:sz w:val="20"/>
                <w:szCs w:val="20"/>
              </w:rPr>
              <w:t>净利润</w:t>
            </w:r>
            <w:r>
              <w:rPr>
                <w:rFonts w:ascii="黑体" w:hAnsi="黑体" w:cs="黑体" w:eastAsia="黑体" w:hint="default"/>
                <w:sz w:val="20"/>
                <w:szCs w:val="20"/>
              </w:rPr>
            </w:r>
          </w:p>
        </w:tc>
        <w:tc>
          <w:tcPr>
            <w:tcW w:w="574"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Style w:val="TableParagraph"/>
              <w:spacing w:line="199" w:lineRule="exact"/>
              <w:ind w:right="23"/>
              <w:jc w:val="right"/>
              <w:rPr>
                <w:rFonts w:ascii="黑体" w:hAnsi="黑体" w:cs="黑体" w:eastAsia="黑体" w:hint="default"/>
                <w:sz w:val="20"/>
                <w:szCs w:val="20"/>
              </w:rPr>
            </w:pPr>
            <w:r>
              <w:rPr>
                <w:rFonts w:ascii="黑体" w:hAnsi="黑体" w:cs="黑体" w:eastAsia="黑体" w:hint="default"/>
                <w:w w:val="95"/>
                <w:sz w:val="20"/>
                <w:szCs w:val="20"/>
              </w:rPr>
              <w:t>股东权益</w:t>
            </w:r>
            <w:r>
              <w:rPr>
                <w:rFonts w:ascii="黑体" w:hAnsi="黑体" w:cs="黑体" w:eastAsia="黑体" w:hint="default"/>
                <w:sz w:val="20"/>
                <w:szCs w:val="20"/>
              </w:rPr>
            </w:r>
          </w:p>
        </w:tc>
        <w:tc>
          <w:tcPr>
            <w:tcW w:w="276" w:type="dxa"/>
            <w:tcBorders>
              <w:top w:val="nil" w:sz="6" w:space="0" w:color="auto"/>
              <w:left w:val="nil" w:sz="6" w:space="0" w:color="auto"/>
              <w:bottom w:val="nil" w:sz="6" w:space="0" w:color="auto"/>
              <w:right w:val="nil" w:sz="6" w:space="0" w:color="auto"/>
            </w:tcBorders>
          </w:tcPr>
          <w:p>
            <w:pPr/>
          </w:p>
        </w:tc>
      </w:tr>
      <w:tr>
        <w:trPr>
          <w:trHeight w:val="284" w:hRule="exact"/>
        </w:trPr>
        <w:tc>
          <w:tcPr>
            <w:tcW w:w="1927" w:type="dxa"/>
            <w:tcBorders>
              <w:top w:val="nil" w:sz="6" w:space="0" w:color="auto"/>
              <w:left w:val="nil" w:sz="6" w:space="0" w:color="auto"/>
              <w:bottom w:val="nil" w:sz="6" w:space="0" w:color="auto"/>
              <w:right w:val="nil" w:sz="6" w:space="0" w:color="auto"/>
            </w:tcBorders>
          </w:tcPr>
          <w:p>
            <w:pPr/>
          </w:p>
        </w:tc>
        <w:tc>
          <w:tcPr>
            <w:tcW w:w="1628" w:type="dxa"/>
            <w:tcBorders>
              <w:top w:val="nil" w:sz="6" w:space="0" w:color="auto"/>
              <w:left w:val="nil" w:sz="6" w:space="0" w:color="auto"/>
              <w:bottom w:val="nil" w:sz="6" w:space="0" w:color="auto"/>
              <w:right w:val="nil" w:sz="6" w:space="0" w:color="auto"/>
            </w:tcBorders>
          </w:tcPr>
          <w:p>
            <w:pPr>
              <w:pStyle w:val="TableParagraph"/>
              <w:spacing w:line="253" w:lineRule="exact"/>
              <w:ind w:right="10"/>
              <w:jc w:val="right"/>
              <w:rPr>
                <w:rFonts w:ascii="Arial" w:hAnsi="Arial" w:cs="Arial" w:eastAsia="Arial" w:hint="default"/>
                <w:sz w:val="20"/>
                <w:szCs w:val="20"/>
              </w:rPr>
            </w:pPr>
            <w:r>
              <w:rPr>
                <w:rFonts w:ascii="黑体" w:hAnsi="黑体" w:cs="黑体" w:eastAsia="黑体" w:hint="default"/>
                <w:spacing w:val="-1"/>
                <w:sz w:val="20"/>
                <w:szCs w:val="20"/>
              </w:rPr>
              <w:t>增加</w:t>
            </w:r>
            <w:r>
              <w:rPr>
                <w:rFonts w:ascii="Arial" w:hAnsi="Arial" w:cs="Arial" w:eastAsia="Arial" w:hint="default"/>
                <w:spacing w:val="-1"/>
                <w:sz w:val="20"/>
                <w:szCs w:val="20"/>
              </w:rPr>
              <w:t>/(</w:t>
            </w:r>
            <w:r>
              <w:rPr>
                <w:rFonts w:ascii="黑体" w:hAnsi="黑体" w:cs="黑体" w:eastAsia="黑体" w:hint="default"/>
                <w:spacing w:val="-1"/>
                <w:sz w:val="20"/>
                <w:szCs w:val="20"/>
              </w:rPr>
              <w:t>减少</w:t>
            </w:r>
            <w:r>
              <w:rPr>
                <w:rFonts w:ascii="Arial" w:hAnsi="Arial" w:cs="Arial" w:eastAsia="Arial" w:hint="default"/>
                <w:spacing w:val="-1"/>
                <w:sz w:val="20"/>
                <w:szCs w:val="20"/>
              </w:rPr>
              <w:t>)</w:t>
            </w:r>
          </w:p>
        </w:tc>
        <w:tc>
          <w:tcPr>
            <w:tcW w:w="662"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Style w:val="TableParagraph"/>
              <w:spacing w:line="253" w:lineRule="exact"/>
              <w:ind w:right="9"/>
              <w:jc w:val="right"/>
              <w:rPr>
                <w:rFonts w:ascii="Arial" w:hAnsi="Arial" w:cs="Arial" w:eastAsia="Arial" w:hint="default"/>
                <w:sz w:val="20"/>
                <w:szCs w:val="20"/>
              </w:rPr>
            </w:pPr>
            <w:r>
              <w:rPr>
                <w:rFonts w:ascii="黑体" w:hAnsi="黑体" w:cs="黑体" w:eastAsia="黑体" w:hint="default"/>
                <w:spacing w:val="-1"/>
                <w:sz w:val="20"/>
                <w:szCs w:val="20"/>
              </w:rPr>
              <w:t>增加</w:t>
            </w:r>
            <w:r>
              <w:rPr>
                <w:rFonts w:ascii="Arial" w:hAnsi="Arial" w:cs="Arial" w:eastAsia="Arial" w:hint="default"/>
                <w:spacing w:val="-1"/>
                <w:sz w:val="20"/>
                <w:szCs w:val="20"/>
              </w:rPr>
              <w:t>/(</w:t>
            </w:r>
            <w:r>
              <w:rPr>
                <w:rFonts w:ascii="黑体" w:hAnsi="黑体" w:cs="黑体" w:eastAsia="黑体" w:hint="default"/>
                <w:spacing w:val="-1"/>
                <w:sz w:val="20"/>
                <w:szCs w:val="20"/>
              </w:rPr>
              <w:t>减少</w:t>
            </w:r>
            <w:r>
              <w:rPr>
                <w:rFonts w:ascii="Arial" w:hAnsi="Arial" w:cs="Arial" w:eastAsia="Arial" w:hint="default"/>
                <w:spacing w:val="-1"/>
                <w:sz w:val="20"/>
                <w:szCs w:val="20"/>
              </w:rPr>
              <w:t>)</w:t>
            </w:r>
          </w:p>
        </w:tc>
        <w:tc>
          <w:tcPr>
            <w:tcW w:w="574"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Style w:val="TableParagraph"/>
              <w:spacing w:line="253" w:lineRule="exact"/>
              <w:ind w:right="6"/>
              <w:jc w:val="right"/>
              <w:rPr>
                <w:rFonts w:ascii="Arial" w:hAnsi="Arial" w:cs="Arial" w:eastAsia="Arial" w:hint="default"/>
                <w:sz w:val="20"/>
                <w:szCs w:val="20"/>
              </w:rPr>
            </w:pPr>
            <w:r>
              <w:rPr>
                <w:rFonts w:ascii="黑体" w:hAnsi="黑体" w:cs="黑体" w:eastAsia="黑体" w:hint="default"/>
                <w:spacing w:val="-1"/>
                <w:sz w:val="20"/>
                <w:szCs w:val="20"/>
              </w:rPr>
              <w:t>增加</w:t>
            </w:r>
            <w:r>
              <w:rPr>
                <w:rFonts w:ascii="Arial" w:hAnsi="Arial" w:cs="Arial" w:eastAsia="Arial" w:hint="default"/>
                <w:spacing w:val="-1"/>
                <w:sz w:val="20"/>
                <w:szCs w:val="20"/>
              </w:rPr>
              <w:t>/(</w:t>
            </w:r>
            <w:r>
              <w:rPr>
                <w:rFonts w:ascii="黑体" w:hAnsi="黑体" w:cs="黑体" w:eastAsia="黑体" w:hint="default"/>
                <w:spacing w:val="-1"/>
                <w:sz w:val="20"/>
                <w:szCs w:val="20"/>
              </w:rPr>
              <w:t>减少</w:t>
            </w:r>
            <w:r>
              <w:rPr>
                <w:rFonts w:ascii="Arial" w:hAnsi="Arial" w:cs="Arial" w:eastAsia="Arial" w:hint="default"/>
                <w:spacing w:val="-1"/>
                <w:sz w:val="20"/>
                <w:szCs w:val="20"/>
              </w:rPr>
              <w:t>)*</w:t>
            </w:r>
          </w:p>
        </w:tc>
        <w:tc>
          <w:tcPr>
            <w:tcW w:w="276" w:type="dxa"/>
            <w:tcBorders>
              <w:top w:val="nil" w:sz="6" w:space="0" w:color="auto"/>
              <w:left w:val="nil" w:sz="6" w:space="0" w:color="auto"/>
              <w:bottom w:val="nil" w:sz="6" w:space="0" w:color="auto"/>
              <w:right w:val="nil" w:sz="6" w:space="0" w:color="auto"/>
            </w:tcBorders>
          </w:tcPr>
          <w:p>
            <w:pPr/>
          </w:p>
        </w:tc>
      </w:tr>
      <w:tr>
        <w:trPr>
          <w:trHeight w:val="420" w:hRule="exact"/>
        </w:trPr>
        <w:tc>
          <w:tcPr>
            <w:tcW w:w="1927" w:type="dxa"/>
            <w:tcBorders>
              <w:top w:val="nil" w:sz="6" w:space="0" w:color="auto"/>
              <w:left w:val="nil" w:sz="6" w:space="0" w:color="auto"/>
              <w:bottom w:val="nil" w:sz="6" w:space="0" w:color="auto"/>
              <w:right w:val="nil" w:sz="6" w:space="0" w:color="auto"/>
            </w:tcBorders>
          </w:tcPr>
          <w:p>
            <w:pPr>
              <w:pStyle w:val="TableParagraph"/>
              <w:spacing w:line="249" w:lineRule="exact"/>
              <w:ind w:left="200" w:right="0"/>
              <w:jc w:val="left"/>
              <w:rPr>
                <w:rFonts w:ascii="黑体" w:hAnsi="黑体" w:cs="黑体" w:eastAsia="黑体" w:hint="default"/>
                <w:sz w:val="20"/>
                <w:szCs w:val="20"/>
              </w:rPr>
            </w:pPr>
            <w:r>
              <w:rPr>
                <w:rFonts w:ascii="Arial" w:hAnsi="Arial" w:cs="Arial" w:eastAsia="Arial" w:hint="default"/>
                <w:sz w:val="20"/>
                <w:szCs w:val="20"/>
              </w:rPr>
              <w:t>2012</w:t>
            </w:r>
            <w:r>
              <w:rPr>
                <w:rFonts w:ascii="Arial" w:hAnsi="Arial" w:cs="Arial" w:eastAsia="Arial" w:hint="default"/>
                <w:spacing w:val="-9"/>
                <w:sz w:val="20"/>
                <w:szCs w:val="20"/>
              </w:rPr>
              <w:t> </w:t>
            </w:r>
            <w:r>
              <w:rPr>
                <w:rFonts w:ascii="黑体" w:hAnsi="黑体" w:cs="黑体" w:eastAsia="黑体" w:hint="default"/>
                <w:sz w:val="20"/>
                <w:szCs w:val="20"/>
              </w:rPr>
              <w:t>年</w:t>
            </w:r>
          </w:p>
        </w:tc>
        <w:tc>
          <w:tcPr>
            <w:tcW w:w="1628" w:type="dxa"/>
            <w:tcBorders>
              <w:top w:val="nil" w:sz="6" w:space="0" w:color="auto"/>
              <w:left w:val="nil" w:sz="6" w:space="0" w:color="auto"/>
              <w:bottom w:val="nil" w:sz="6" w:space="0" w:color="auto"/>
              <w:right w:val="nil" w:sz="6" w:space="0" w:color="auto"/>
            </w:tcBorders>
          </w:tcPr>
          <w:p>
            <w:pPr/>
          </w:p>
        </w:tc>
        <w:tc>
          <w:tcPr>
            <w:tcW w:w="662"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
        </w:tc>
        <w:tc>
          <w:tcPr>
            <w:tcW w:w="574"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r>
      <w:tr>
        <w:trPr>
          <w:trHeight w:val="420" w:hRule="exact"/>
        </w:trPr>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200" w:right="0"/>
              <w:jc w:val="left"/>
              <w:rPr>
                <w:rFonts w:ascii="黑体" w:hAnsi="黑体" w:cs="黑体" w:eastAsia="黑体" w:hint="default"/>
                <w:sz w:val="20"/>
                <w:szCs w:val="20"/>
              </w:rPr>
            </w:pPr>
            <w:r>
              <w:rPr>
                <w:rFonts w:ascii="黑体" w:hAnsi="黑体" w:cs="黑体" w:eastAsia="黑体" w:hint="default"/>
                <w:sz w:val="20"/>
                <w:szCs w:val="20"/>
              </w:rPr>
              <w:t>人民币</w:t>
            </w:r>
          </w:p>
        </w:tc>
        <w:tc>
          <w:tcPr>
            <w:tcW w:w="1628"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0"/>
              <w:jc w:val="right"/>
              <w:rPr>
                <w:rFonts w:ascii="Arial" w:hAnsi="Arial" w:cs="Arial" w:eastAsia="Arial" w:hint="default"/>
                <w:sz w:val="20"/>
                <w:szCs w:val="20"/>
              </w:rPr>
            </w:pPr>
            <w:r>
              <w:rPr>
                <w:rFonts w:ascii="Arial"/>
                <w:spacing w:val="-1"/>
                <w:w w:val="95"/>
                <w:sz w:val="20"/>
              </w:rPr>
              <w:t>50</w:t>
            </w:r>
            <w:r>
              <w:rPr>
                <w:rFonts w:ascii="Arial"/>
                <w:sz w:val="20"/>
              </w:rPr>
            </w:r>
          </w:p>
        </w:tc>
        <w:tc>
          <w:tcPr>
            <w:tcW w:w="662" w:type="dxa"/>
            <w:tcBorders>
              <w:top w:val="nil" w:sz="6" w:space="0" w:color="auto"/>
              <w:left w:val="nil" w:sz="6" w:space="0" w:color="auto"/>
              <w:bottom w:val="nil" w:sz="6" w:space="0" w:color="auto"/>
              <w:right w:val="nil" w:sz="6" w:space="0" w:color="auto"/>
            </w:tcBorders>
          </w:tcPr>
          <w:p>
            <w:pP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8"/>
              <w:jc w:val="right"/>
              <w:rPr>
                <w:rFonts w:ascii="Arial" w:hAnsi="Arial" w:cs="Arial" w:eastAsia="Arial" w:hint="default"/>
                <w:sz w:val="20"/>
                <w:szCs w:val="20"/>
              </w:rPr>
            </w:pPr>
            <w:r>
              <w:rPr>
                <w:rFonts w:ascii="Arial"/>
                <w:spacing w:val="-1"/>
                <w:sz w:val="20"/>
              </w:rPr>
              <w:t>(5,925,313</w:t>
            </w:r>
          </w:p>
        </w:tc>
        <w:tc>
          <w:tcPr>
            <w:tcW w:w="574" w:type="dxa"/>
            <w:tcBorders>
              <w:top w:val="nil" w:sz="6" w:space="0" w:color="auto"/>
              <w:left w:val="nil" w:sz="6" w:space="0" w:color="auto"/>
              <w:bottom w:val="nil" w:sz="6" w:space="0" w:color="auto"/>
              <w:right w:val="nil" w:sz="6" w:space="0" w:color="auto"/>
            </w:tcBorders>
          </w:tcPr>
          <w:p>
            <w:pPr>
              <w:pStyle w:val="TableParagraph"/>
              <w:spacing w:line="240" w:lineRule="auto" w:before="158"/>
              <w:ind w:left="10" w:right="0"/>
              <w:jc w:val="left"/>
              <w:rPr>
                <w:rFonts w:ascii="Arial" w:hAnsi="Arial" w:cs="Arial" w:eastAsia="Arial" w:hint="default"/>
                <w:sz w:val="20"/>
                <w:szCs w:val="20"/>
              </w:rPr>
            </w:pPr>
            <w:r>
              <w:rPr>
                <w:rFonts w:ascii="Arial"/>
                <w:w w:val="99"/>
                <w:sz w:val="20"/>
              </w:rPr>
              <w:t>)</w:t>
            </w:r>
            <w:r>
              <w:rPr>
                <w:rFonts w:ascii="Arial"/>
                <w:sz w:val="20"/>
              </w:rPr>
            </w: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7"/>
              <w:jc w:val="right"/>
              <w:rPr>
                <w:rFonts w:ascii="Arial" w:hAnsi="Arial" w:cs="Arial" w:eastAsia="Arial" w:hint="default"/>
                <w:sz w:val="20"/>
                <w:szCs w:val="20"/>
              </w:rPr>
            </w:pPr>
            <w:r>
              <w:rPr>
                <w:rFonts w:ascii="Arial"/>
                <w:spacing w:val="-1"/>
                <w:sz w:val="20"/>
              </w:rPr>
              <w:t>(5,925,313</w:t>
            </w:r>
          </w:p>
        </w:tc>
        <w:tc>
          <w:tcPr>
            <w:tcW w:w="276" w:type="dxa"/>
            <w:tcBorders>
              <w:top w:val="nil" w:sz="6" w:space="0" w:color="auto"/>
              <w:left w:val="nil" w:sz="6" w:space="0" w:color="auto"/>
              <w:bottom w:val="nil" w:sz="6" w:space="0" w:color="auto"/>
              <w:right w:val="nil" w:sz="6" w:space="0" w:color="auto"/>
            </w:tcBorders>
          </w:tcPr>
          <w:p>
            <w:pPr>
              <w:pStyle w:val="TableParagraph"/>
              <w:spacing w:line="240" w:lineRule="auto" w:before="158"/>
              <w:ind w:left="9" w:right="0"/>
              <w:jc w:val="left"/>
              <w:rPr>
                <w:rFonts w:ascii="Arial" w:hAnsi="Arial" w:cs="Arial" w:eastAsia="Arial" w:hint="default"/>
                <w:sz w:val="20"/>
                <w:szCs w:val="20"/>
              </w:rPr>
            </w:pPr>
            <w:r>
              <w:rPr>
                <w:rFonts w:ascii="Arial"/>
                <w:w w:val="99"/>
                <w:sz w:val="20"/>
              </w:rPr>
              <w:t>)</w:t>
            </w:r>
            <w:r>
              <w:rPr>
                <w:rFonts w:ascii="Arial"/>
                <w:sz w:val="20"/>
              </w:rPr>
            </w:r>
          </w:p>
        </w:tc>
      </w:tr>
      <w:tr>
        <w:trPr>
          <w:trHeight w:val="245" w:hRule="exact"/>
        </w:trPr>
        <w:tc>
          <w:tcPr>
            <w:tcW w:w="1927"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黑体" w:hAnsi="黑体" w:cs="黑体" w:eastAsia="黑体" w:hint="default"/>
                <w:sz w:val="20"/>
                <w:szCs w:val="20"/>
              </w:rPr>
            </w:pPr>
            <w:r>
              <w:rPr>
                <w:rFonts w:ascii="黑体" w:hAnsi="黑体" w:cs="黑体" w:eastAsia="黑体" w:hint="default"/>
                <w:sz w:val="20"/>
                <w:szCs w:val="20"/>
              </w:rPr>
              <w:t>人民币</w:t>
            </w:r>
          </w:p>
        </w:tc>
        <w:tc>
          <w:tcPr>
            <w:tcW w:w="1628" w:type="dxa"/>
            <w:tcBorders>
              <w:top w:val="nil" w:sz="6" w:space="0" w:color="auto"/>
              <w:left w:val="nil" w:sz="6" w:space="0" w:color="auto"/>
              <w:bottom w:val="nil" w:sz="6" w:space="0" w:color="auto"/>
              <w:right w:val="nil" w:sz="6" w:space="0" w:color="auto"/>
            </w:tcBorders>
          </w:tcPr>
          <w:p>
            <w:pPr>
              <w:pStyle w:val="TableParagraph"/>
              <w:tabs>
                <w:tab w:pos="268" w:val="left" w:leader="none"/>
              </w:tabs>
              <w:spacing w:line="240" w:lineRule="auto" w:before="19"/>
              <w:ind w:right="7"/>
              <w:jc w:val="right"/>
              <w:rPr>
                <w:rFonts w:ascii="Arial" w:hAnsi="Arial" w:cs="Arial" w:eastAsia="Arial" w:hint="default"/>
                <w:sz w:val="20"/>
                <w:szCs w:val="20"/>
              </w:rPr>
            </w:pPr>
            <w:r>
              <w:rPr>
                <w:rFonts w:ascii="Arial"/>
                <w:w w:val="95"/>
                <w:sz w:val="20"/>
              </w:rPr>
              <w:t>(</w:t>
              <w:tab/>
            </w:r>
            <w:r>
              <w:rPr>
                <w:rFonts w:ascii="Arial"/>
                <w:spacing w:val="-1"/>
                <w:w w:val="95"/>
                <w:sz w:val="20"/>
              </w:rPr>
              <w:t>50</w:t>
            </w:r>
            <w:r>
              <w:rPr>
                <w:rFonts w:ascii="Arial"/>
                <w:sz w:val="20"/>
              </w:rPr>
            </w:r>
          </w:p>
        </w:tc>
        <w:tc>
          <w:tcPr>
            <w:tcW w:w="66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9" w:right="0"/>
              <w:jc w:val="left"/>
              <w:rPr>
                <w:rFonts w:ascii="Arial" w:hAnsi="Arial" w:cs="Arial" w:eastAsia="Arial" w:hint="default"/>
                <w:sz w:val="20"/>
                <w:szCs w:val="20"/>
              </w:rPr>
            </w:pPr>
            <w:r>
              <w:rPr>
                <w:rFonts w:ascii="Arial"/>
                <w:w w:val="99"/>
                <w:sz w:val="20"/>
              </w:rPr>
              <w:t>)</w:t>
            </w:r>
            <w:r>
              <w:rPr>
                <w:rFonts w:ascii="Arial"/>
                <w:sz w:val="20"/>
              </w:rPr>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8"/>
              <w:jc w:val="right"/>
              <w:rPr>
                <w:rFonts w:ascii="Arial" w:hAnsi="Arial" w:cs="Arial" w:eastAsia="Arial" w:hint="default"/>
                <w:sz w:val="20"/>
                <w:szCs w:val="20"/>
              </w:rPr>
            </w:pPr>
            <w:r>
              <w:rPr>
                <w:rFonts w:ascii="Arial"/>
                <w:spacing w:val="-1"/>
                <w:sz w:val="20"/>
              </w:rPr>
              <w:t>5,925,313</w:t>
            </w:r>
          </w:p>
        </w:tc>
        <w:tc>
          <w:tcPr>
            <w:tcW w:w="574"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
              <w:jc w:val="right"/>
              <w:rPr>
                <w:rFonts w:ascii="Arial" w:hAnsi="Arial" w:cs="Arial" w:eastAsia="Arial" w:hint="default"/>
                <w:sz w:val="20"/>
                <w:szCs w:val="20"/>
              </w:rPr>
            </w:pPr>
            <w:r>
              <w:rPr>
                <w:rFonts w:ascii="Arial"/>
                <w:spacing w:val="-1"/>
                <w:sz w:val="20"/>
              </w:rPr>
              <w:t>5,925,313</w:t>
            </w:r>
          </w:p>
        </w:tc>
        <w:tc>
          <w:tcPr>
            <w:tcW w:w="276"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黑体" w:hAnsi="黑体" w:cs="黑体" w:eastAsia="黑体" w:hint="default"/>
          <w:sz w:val="26"/>
          <w:szCs w:val="26"/>
        </w:rPr>
      </w:pPr>
    </w:p>
    <w:tbl>
      <w:tblPr>
        <w:tblW w:w="0" w:type="auto"/>
        <w:jc w:val="left"/>
        <w:tblInd w:w="662" w:type="dxa"/>
        <w:tblLayout w:type="fixed"/>
        <w:tblCellMar>
          <w:top w:w="0" w:type="dxa"/>
          <w:left w:w="0" w:type="dxa"/>
          <w:bottom w:w="0" w:type="dxa"/>
          <w:right w:w="0" w:type="dxa"/>
        </w:tblCellMar>
        <w:tblLook w:val="01E0"/>
      </w:tblPr>
      <w:tblGrid>
        <w:gridCol w:w="1927"/>
        <w:gridCol w:w="1627"/>
        <w:gridCol w:w="669"/>
        <w:gridCol w:w="1492"/>
        <w:gridCol w:w="584"/>
        <w:gridCol w:w="1473"/>
        <w:gridCol w:w="276"/>
      </w:tblGrid>
      <w:tr>
        <w:trPr>
          <w:trHeight w:val="240" w:hRule="exact"/>
        </w:trPr>
        <w:tc>
          <w:tcPr>
            <w:tcW w:w="1927"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Style w:val="TableParagraph"/>
              <w:spacing w:line="199" w:lineRule="exact"/>
              <w:ind w:right="23"/>
              <w:jc w:val="right"/>
              <w:rPr>
                <w:rFonts w:ascii="黑体" w:hAnsi="黑体" w:cs="黑体" w:eastAsia="黑体" w:hint="default"/>
                <w:sz w:val="20"/>
                <w:szCs w:val="20"/>
              </w:rPr>
            </w:pPr>
            <w:r>
              <w:rPr>
                <w:rFonts w:ascii="黑体" w:hAnsi="黑体" w:cs="黑体" w:eastAsia="黑体" w:hint="default"/>
                <w:w w:val="95"/>
                <w:sz w:val="20"/>
                <w:szCs w:val="20"/>
              </w:rPr>
              <w:t>基准点</w:t>
            </w:r>
            <w:r>
              <w:rPr>
                <w:rFonts w:ascii="黑体" w:hAnsi="黑体" w:cs="黑体" w:eastAsia="黑体" w:hint="default"/>
                <w:sz w:val="20"/>
                <w:szCs w:val="20"/>
              </w:rPr>
            </w:r>
          </w:p>
        </w:tc>
        <w:tc>
          <w:tcPr>
            <w:tcW w:w="669"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Style w:val="TableParagraph"/>
              <w:spacing w:line="199" w:lineRule="exact"/>
              <w:ind w:right="22"/>
              <w:jc w:val="right"/>
              <w:rPr>
                <w:rFonts w:ascii="黑体" w:hAnsi="黑体" w:cs="黑体" w:eastAsia="黑体" w:hint="default"/>
                <w:sz w:val="20"/>
                <w:szCs w:val="20"/>
              </w:rPr>
            </w:pPr>
            <w:r>
              <w:rPr>
                <w:rFonts w:ascii="黑体" w:hAnsi="黑体" w:cs="黑体" w:eastAsia="黑体" w:hint="default"/>
                <w:w w:val="95"/>
                <w:sz w:val="20"/>
                <w:szCs w:val="20"/>
              </w:rPr>
              <w:t>净利润</w:t>
            </w:r>
            <w:r>
              <w:rPr>
                <w:rFonts w:ascii="黑体" w:hAnsi="黑体" w:cs="黑体" w:eastAsia="黑体" w:hint="default"/>
                <w:sz w:val="20"/>
                <w:szCs w:val="20"/>
              </w:rPr>
            </w:r>
          </w:p>
        </w:tc>
        <w:tc>
          <w:tcPr>
            <w:tcW w:w="584"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Style w:val="TableParagraph"/>
              <w:spacing w:line="199" w:lineRule="exact"/>
              <w:ind w:right="23"/>
              <w:jc w:val="right"/>
              <w:rPr>
                <w:rFonts w:ascii="黑体" w:hAnsi="黑体" w:cs="黑体" w:eastAsia="黑体" w:hint="default"/>
                <w:sz w:val="20"/>
                <w:szCs w:val="20"/>
              </w:rPr>
            </w:pPr>
            <w:r>
              <w:rPr>
                <w:rFonts w:ascii="黑体" w:hAnsi="黑体" w:cs="黑体" w:eastAsia="黑体" w:hint="default"/>
                <w:w w:val="95"/>
                <w:sz w:val="20"/>
                <w:szCs w:val="20"/>
              </w:rPr>
              <w:t>股东权益</w:t>
            </w:r>
            <w:r>
              <w:rPr>
                <w:rFonts w:ascii="黑体" w:hAnsi="黑体" w:cs="黑体" w:eastAsia="黑体" w:hint="default"/>
                <w:sz w:val="20"/>
                <w:szCs w:val="20"/>
              </w:rPr>
            </w:r>
          </w:p>
        </w:tc>
        <w:tc>
          <w:tcPr>
            <w:tcW w:w="276" w:type="dxa"/>
            <w:tcBorders>
              <w:top w:val="nil" w:sz="6" w:space="0" w:color="auto"/>
              <w:left w:val="nil" w:sz="6" w:space="0" w:color="auto"/>
              <w:bottom w:val="nil" w:sz="6" w:space="0" w:color="auto"/>
              <w:right w:val="nil" w:sz="6" w:space="0" w:color="auto"/>
            </w:tcBorders>
          </w:tcPr>
          <w:p>
            <w:pPr/>
          </w:p>
        </w:tc>
      </w:tr>
      <w:tr>
        <w:trPr>
          <w:trHeight w:val="286" w:hRule="exact"/>
        </w:trPr>
        <w:tc>
          <w:tcPr>
            <w:tcW w:w="1927" w:type="dxa"/>
            <w:tcBorders>
              <w:top w:val="nil" w:sz="6" w:space="0" w:color="auto"/>
              <w:left w:val="nil" w:sz="6" w:space="0" w:color="auto"/>
              <w:bottom w:val="nil" w:sz="6" w:space="0" w:color="auto"/>
              <w:right w:val="nil" w:sz="6" w:space="0" w:color="auto"/>
            </w:tcBorders>
          </w:tcPr>
          <w:p>
            <w:pPr/>
          </w:p>
        </w:tc>
        <w:tc>
          <w:tcPr>
            <w:tcW w:w="1627" w:type="dxa"/>
            <w:tcBorders>
              <w:top w:val="nil" w:sz="6" w:space="0" w:color="auto"/>
              <w:left w:val="nil" w:sz="6" w:space="0" w:color="auto"/>
              <w:bottom w:val="nil" w:sz="6" w:space="0" w:color="auto"/>
              <w:right w:val="nil" w:sz="6" w:space="0" w:color="auto"/>
            </w:tcBorders>
          </w:tcPr>
          <w:p>
            <w:pPr>
              <w:pStyle w:val="TableParagraph"/>
              <w:spacing w:line="254" w:lineRule="exact"/>
              <w:ind w:right="9"/>
              <w:jc w:val="right"/>
              <w:rPr>
                <w:rFonts w:ascii="Arial" w:hAnsi="Arial" w:cs="Arial" w:eastAsia="Arial" w:hint="default"/>
                <w:sz w:val="20"/>
                <w:szCs w:val="20"/>
              </w:rPr>
            </w:pPr>
            <w:r>
              <w:rPr>
                <w:rFonts w:ascii="黑体" w:hAnsi="黑体" w:cs="黑体" w:eastAsia="黑体" w:hint="default"/>
                <w:spacing w:val="-1"/>
                <w:sz w:val="20"/>
                <w:szCs w:val="20"/>
              </w:rPr>
              <w:t>增加</w:t>
            </w:r>
            <w:r>
              <w:rPr>
                <w:rFonts w:ascii="Arial" w:hAnsi="Arial" w:cs="Arial" w:eastAsia="Arial" w:hint="default"/>
                <w:spacing w:val="-1"/>
                <w:sz w:val="20"/>
                <w:szCs w:val="20"/>
              </w:rPr>
              <w:t>/(</w:t>
            </w:r>
            <w:r>
              <w:rPr>
                <w:rFonts w:ascii="黑体" w:hAnsi="黑体" w:cs="黑体" w:eastAsia="黑体" w:hint="default"/>
                <w:spacing w:val="-1"/>
                <w:sz w:val="20"/>
                <w:szCs w:val="20"/>
              </w:rPr>
              <w:t>减少</w:t>
            </w:r>
            <w:r>
              <w:rPr>
                <w:rFonts w:ascii="Arial" w:hAnsi="Arial" w:cs="Arial" w:eastAsia="Arial" w:hint="default"/>
                <w:spacing w:val="-1"/>
                <w:sz w:val="20"/>
                <w:szCs w:val="20"/>
              </w:rPr>
              <w:t>)</w:t>
            </w:r>
          </w:p>
        </w:tc>
        <w:tc>
          <w:tcPr>
            <w:tcW w:w="669"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Style w:val="TableParagraph"/>
              <w:spacing w:line="254" w:lineRule="exact"/>
              <w:ind w:right="8"/>
              <w:jc w:val="right"/>
              <w:rPr>
                <w:rFonts w:ascii="Arial" w:hAnsi="Arial" w:cs="Arial" w:eastAsia="Arial" w:hint="default"/>
                <w:sz w:val="20"/>
                <w:szCs w:val="20"/>
              </w:rPr>
            </w:pPr>
            <w:r>
              <w:rPr>
                <w:rFonts w:ascii="黑体" w:hAnsi="黑体" w:cs="黑体" w:eastAsia="黑体" w:hint="default"/>
                <w:spacing w:val="-1"/>
                <w:sz w:val="20"/>
                <w:szCs w:val="20"/>
              </w:rPr>
              <w:t>增加</w:t>
            </w:r>
            <w:r>
              <w:rPr>
                <w:rFonts w:ascii="Arial" w:hAnsi="Arial" w:cs="Arial" w:eastAsia="Arial" w:hint="default"/>
                <w:spacing w:val="-1"/>
                <w:sz w:val="20"/>
                <w:szCs w:val="20"/>
              </w:rPr>
              <w:t>/(</w:t>
            </w:r>
            <w:r>
              <w:rPr>
                <w:rFonts w:ascii="黑体" w:hAnsi="黑体" w:cs="黑体" w:eastAsia="黑体" w:hint="default"/>
                <w:spacing w:val="-1"/>
                <w:sz w:val="20"/>
                <w:szCs w:val="20"/>
              </w:rPr>
              <w:t>减少</w:t>
            </w:r>
            <w:r>
              <w:rPr>
                <w:rFonts w:ascii="Arial" w:hAnsi="Arial" w:cs="Arial" w:eastAsia="Arial" w:hint="default"/>
                <w:spacing w:val="-1"/>
                <w:sz w:val="20"/>
                <w:szCs w:val="20"/>
              </w:rPr>
              <w:t>)</w:t>
            </w:r>
          </w:p>
        </w:tc>
        <w:tc>
          <w:tcPr>
            <w:tcW w:w="584"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Style w:val="TableParagraph"/>
              <w:spacing w:line="254" w:lineRule="exact"/>
              <w:ind w:right="6"/>
              <w:jc w:val="right"/>
              <w:rPr>
                <w:rFonts w:ascii="Arial" w:hAnsi="Arial" w:cs="Arial" w:eastAsia="Arial" w:hint="default"/>
                <w:sz w:val="20"/>
                <w:szCs w:val="20"/>
              </w:rPr>
            </w:pPr>
            <w:r>
              <w:rPr>
                <w:rFonts w:ascii="黑体" w:hAnsi="黑体" w:cs="黑体" w:eastAsia="黑体" w:hint="default"/>
                <w:spacing w:val="-1"/>
                <w:sz w:val="20"/>
                <w:szCs w:val="20"/>
              </w:rPr>
              <w:t>增加</w:t>
            </w:r>
            <w:r>
              <w:rPr>
                <w:rFonts w:ascii="Arial" w:hAnsi="Arial" w:cs="Arial" w:eastAsia="Arial" w:hint="default"/>
                <w:spacing w:val="-1"/>
                <w:sz w:val="20"/>
                <w:szCs w:val="20"/>
              </w:rPr>
              <w:t>/(</w:t>
            </w:r>
            <w:r>
              <w:rPr>
                <w:rFonts w:ascii="黑体" w:hAnsi="黑体" w:cs="黑体" w:eastAsia="黑体" w:hint="default"/>
                <w:spacing w:val="-1"/>
                <w:sz w:val="20"/>
                <w:szCs w:val="20"/>
              </w:rPr>
              <w:t>减少</w:t>
            </w:r>
            <w:r>
              <w:rPr>
                <w:rFonts w:ascii="Arial" w:hAnsi="Arial" w:cs="Arial" w:eastAsia="Arial" w:hint="default"/>
                <w:spacing w:val="-1"/>
                <w:sz w:val="20"/>
                <w:szCs w:val="20"/>
              </w:rPr>
              <w:t>)*</w:t>
            </w:r>
          </w:p>
        </w:tc>
        <w:tc>
          <w:tcPr>
            <w:tcW w:w="276" w:type="dxa"/>
            <w:tcBorders>
              <w:top w:val="nil" w:sz="6" w:space="0" w:color="auto"/>
              <w:left w:val="nil" w:sz="6" w:space="0" w:color="auto"/>
              <w:bottom w:val="nil" w:sz="6" w:space="0" w:color="auto"/>
              <w:right w:val="nil" w:sz="6" w:space="0" w:color="auto"/>
            </w:tcBorders>
          </w:tcPr>
          <w:p>
            <w:pPr/>
          </w:p>
        </w:tc>
      </w:tr>
      <w:tr>
        <w:trPr>
          <w:trHeight w:val="420" w:hRule="exact"/>
        </w:trPr>
        <w:tc>
          <w:tcPr>
            <w:tcW w:w="1927" w:type="dxa"/>
            <w:tcBorders>
              <w:top w:val="nil" w:sz="6" w:space="0" w:color="auto"/>
              <w:left w:val="nil" w:sz="6" w:space="0" w:color="auto"/>
              <w:bottom w:val="nil" w:sz="6" w:space="0" w:color="auto"/>
              <w:right w:val="nil" w:sz="6" w:space="0" w:color="auto"/>
            </w:tcBorders>
          </w:tcPr>
          <w:p>
            <w:pPr>
              <w:pStyle w:val="TableParagraph"/>
              <w:spacing w:line="249" w:lineRule="exact"/>
              <w:ind w:left="200" w:right="0"/>
              <w:jc w:val="left"/>
              <w:rPr>
                <w:rFonts w:ascii="黑体" w:hAnsi="黑体" w:cs="黑体" w:eastAsia="黑体" w:hint="default"/>
                <w:sz w:val="20"/>
                <w:szCs w:val="20"/>
              </w:rPr>
            </w:pPr>
            <w:r>
              <w:rPr>
                <w:rFonts w:ascii="Arial" w:hAnsi="Arial" w:cs="Arial" w:eastAsia="Arial" w:hint="default"/>
                <w:sz w:val="20"/>
                <w:szCs w:val="20"/>
              </w:rPr>
              <w:t>2011</w:t>
            </w:r>
            <w:r>
              <w:rPr>
                <w:rFonts w:ascii="Arial" w:hAnsi="Arial" w:cs="Arial" w:eastAsia="Arial" w:hint="default"/>
                <w:spacing w:val="-9"/>
                <w:sz w:val="20"/>
                <w:szCs w:val="20"/>
              </w:rPr>
              <w:t> </w:t>
            </w:r>
            <w:r>
              <w:rPr>
                <w:rFonts w:ascii="黑体" w:hAnsi="黑体" w:cs="黑体" w:eastAsia="黑体" w:hint="default"/>
                <w:sz w:val="20"/>
                <w:szCs w:val="20"/>
              </w:rPr>
              <w:t>年</w:t>
            </w:r>
          </w:p>
        </w:tc>
        <w:tc>
          <w:tcPr>
            <w:tcW w:w="1627" w:type="dxa"/>
            <w:tcBorders>
              <w:top w:val="nil" w:sz="6" w:space="0" w:color="auto"/>
              <w:left w:val="nil" w:sz="6" w:space="0" w:color="auto"/>
              <w:bottom w:val="nil" w:sz="6" w:space="0" w:color="auto"/>
              <w:right w:val="nil" w:sz="6" w:space="0" w:color="auto"/>
            </w:tcBorders>
          </w:tcPr>
          <w:p>
            <w:pPr/>
          </w:p>
        </w:tc>
        <w:tc>
          <w:tcPr>
            <w:tcW w:w="669"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
        </w:tc>
        <w:tc>
          <w:tcPr>
            <w:tcW w:w="584"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r>
      <w:tr>
        <w:trPr>
          <w:trHeight w:val="420" w:hRule="exact"/>
        </w:trPr>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200" w:right="0"/>
              <w:jc w:val="left"/>
              <w:rPr>
                <w:rFonts w:ascii="黑体" w:hAnsi="黑体" w:cs="黑体" w:eastAsia="黑体" w:hint="default"/>
                <w:sz w:val="20"/>
                <w:szCs w:val="20"/>
              </w:rPr>
            </w:pPr>
            <w:r>
              <w:rPr>
                <w:rFonts w:ascii="黑体" w:hAnsi="黑体" w:cs="黑体" w:eastAsia="黑体" w:hint="default"/>
                <w:sz w:val="20"/>
                <w:szCs w:val="20"/>
              </w:rPr>
              <w:t>人民币</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8"/>
              <w:jc w:val="right"/>
              <w:rPr>
                <w:rFonts w:ascii="Arial" w:hAnsi="Arial" w:cs="Arial" w:eastAsia="Arial" w:hint="default"/>
                <w:sz w:val="20"/>
                <w:szCs w:val="20"/>
              </w:rPr>
            </w:pPr>
            <w:r>
              <w:rPr>
                <w:rFonts w:ascii="Arial"/>
                <w:spacing w:val="-1"/>
                <w:w w:val="95"/>
                <w:sz w:val="20"/>
              </w:rPr>
              <w:t>50</w:t>
            </w:r>
            <w:r>
              <w:rPr>
                <w:rFonts w:ascii="Arial"/>
                <w:sz w:val="20"/>
              </w:rPr>
            </w:r>
          </w:p>
        </w:tc>
        <w:tc>
          <w:tcPr>
            <w:tcW w:w="669"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7"/>
              <w:jc w:val="right"/>
              <w:rPr>
                <w:rFonts w:ascii="Arial" w:hAnsi="Arial" w:cs="Arial" w:eastAsia="Arial" w:hint="default"/>
                <w:sz w:val="20"/>
                <w:szCs w:val="20"/>
              </w:rPr>
            </w:pPr>
            <w:r>
              <w:rPr>
                <w:rFonts w:ascii="Arial"/>
                <w:spacing w:val="-1"/>
                <w:sz w:val="20"/>
              </w:rPr>
              <w:t>(2,022,041</w:t>
            </w:r>
          </w:p>
        </w:tc>
        <w:tc>
          <w:tcPr>
            <w:tcW w:w="584" w:type="dxa"/>
            <w:tcBorders>
              <w:top w:val="nil" w:sz="6" w:space="0" w:color="auto"/>
              <w:left w:val="nil" w:sz="6" w:space="0" w:color="auto"/>
              <w:bottom w:val="nil" w:sz="6" w:space="0" w:color="auto"/>
              <w:right w:val="nil" w:sz="6" w:space="0" w:color="auto"/>
            </w:tcBorders>
          </w:tcPr>
          <w:p>
            <w:pPr>
              <w:pStyle w:val="TableParagraph"/>
              <w:spacing w:line="240" w:lineRule="auto" w:before="158"/>
              <w:ind w:left="9" w:right="0"/>
              <w:jc w:val="left"/>
              <w:rPr>
                <w:rFonts w:ascii="Arial" w:hAnsi="Arial" w:cs="Arial" w:eastAsia="Arial" w:hint="default"/>
                <w:sz w:val="20"/>
                <w:szCs w:val="20"/>
              </w:rPr>
            </w:pPr>
            <w:r>
              <w:rPr>
                <w:rFonts w:ascii="Arial"/>
                <w:w w:val="99"/>
                <w:sz w:val="20"/>
              </w:rPr>
              <w:t>)</w:t>
            </w:r>
            <w:r>
              <w:rPr>
                <w:rFonts w:ascii="Arial"/>
                <w:sz w:val="20"/>
              </w:rPr>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7"/>
              <w:jc w:val="right"/>
              <w:rPr>
                <w:rFonts w:ascii="Arial" w:hAnsi="Arial" w:cs="Arial" w:eastAsia="Arial" w:hint="default"/>
                <w:sz w:val="20"/>
                <w:szCs w:val="20"/>
              </w:rPr>
            </w:pPr>
            <w:r>
              <w:rPr>
                <w:rFonts w:ascii="Arial"/>
                <w:spacing w:val="-1"/>
                <w:sz w:val="20"/>
              </w:rPr>
              <w:t>(2,022,041</w:t>
            </w:r>
          </w:p>
        </w:tc>
        <w:tc>
          <w:tcPr>
            <w:tcW w:w="276" w:type="dxa"/>
            <w:tcBorders>
              <w:top w:val="nil" w:sz="6" w:space="0" w:color="auto"/>
              <w:left w:val="nil" w:sz="6" w:space="0" w:color="auto"/>
              <w:bottom w:val="nil" w:sz="6" w:space="0" w:color="auto"/>
              <w:right w:val="nil" w:sz="6" w:space="0" w:color="auto"/>
            </w:tcBorders>
          </w:tcPr>
          <w:p>
            <w:pPr>
              <w:pStyle w:val="TableParagraph"/>
              <w:spacing w:line="240" w:lineRule="auto" w:before="158"/>
              <w:ind w:left="9" w:right="0"/>
              <w:jc w:val="left"/>
              <w:rPr>
                <w:rFonts w:ascii="Arial" w:hAnsi="Arial" w:cs="Arial" w:eastAsia="Arial" w:hint="default"/>
                <w:sz w:val="20"/>
                <w:szCs w:val="20"/>
              </w:rPr>
            </w:pPr>
            <w:r>
              <w:rPr>
                <w:rFonts w:ascii="Arial"/>
                <w:w w:val="99"/>
                <w:sz w:val="20"/>
              </w:rPr>
              <w:t>)</w:t>
            </w:r>
            <w:r>
              <w:rPr>
                <w:rFonts w:ascii="Arial"/>
                <w:sz w:val="20"/>
              </w:rPr>
            </w:r>
          </w:p>
        </w:tc>
      </w:tr>
      <w:tr>
        <w:trPr>
          <w:trHeight w:val="280" w:hRule="exact"/>
        </w:trPr>
        <w:tc>
          <w:tcPr>
            <w:tcW w:w="1927"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黑体" w:hAnsi="黑体" w:cs="黑体" w:eastAsia="黑体" w:hint="default"/>
                <w:sz w:val="20"/>
                <w:szCs w:val="20"/>
              </w:rPr>
            </w:pPr>
            <w:r>
              <w:rPr>
                <w:rFonts w:ascii="黑体" w:hAnsi="黑体" w:cs="黑体" w:eastAsia="黑体" w:hint="default"/>
                <w:sz w:val="20"/>
                <w:szCs w:val="20"/>
              </w:rPr>
              <w:t>人民币</w:t>
            </w:r>
          </w:p>
        </w:tc>
        <w:tc>
          <w:tcPr>
            <w:tcW w:w="1627" w:type="dxa"/>
            <w:tcBorders>
              <w:top w:val="nil" w:sz="6" w:space="0" w:color="auto"/>
              <w:left w:val="nil" w:sz="6" w:space="0" w:color="auto"/>
              <w:bottom w:val="nil" w:sz="6" w:space="0" w:color="auto"/>
              <w:right w:val="nil" w:sz="6" w:space="0" w:color="auto"/>
            </w:tcBorders>
          </w:tcPr>
          <w:p>
            <w:pPr>
              <w:pStyle w:val="TableParagraph"/>
              <w:tabs>
                <w:tab w:pos="268" w:val="left" w:leader="none"/>
              </w:tabs>
              <w:spacing w:line="240" w:lineRule="auto" w:before="19"/>
              <w:ind w:right="6"/>
              <w:jc w:val="right"/>
              <w:rPr>
                <w:rFonts w:ascii="Arial" w:hAnsi="Arial" w:cs="Arial" w:eastAsia="Arial" w:hint="default"/>
                <w:sz w:val="20"/>
                <w:szCs w:val="20"/>
              </w:rPr>
            </w:pPr>
            <w:r>
              <w:rPr>
                <w:rFonts w:ascii="Arial"/>
                <w:w w:val="95"/>
                <w:sz w:val="20"/>
              </w:rPr>
              <w:t>(</w:t>
              <w:tab/>
            </w:r>
            <w:r>
              <w:rPr>
                <w:rFonts w:ascii="Arial"/>
                <w:spacing w:val="-1"/>
                <w:w w:val="95"/>
                <w:sz w:val="20"/>
              </w:rPr>
              <w:t>50</w:t>
            </w:r>
            <w:r>
              <w:rPr>
                <w:rFonts w:ascii="Arial"/>
                <w:sz w:val="20"/>
              </w:rPr>
            </w:r>
          </w:p>
        </w:tc>
        <w:tc>
          <w:tcPr>
            <w:tcW w:w="66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8" w:right="0"/>
              <w:jc w:val="left"/>
              <w:rPr>
                <w:rFonts w:ascii="Arial" w:hAnsi="Arial" w:cs="Arial" w:eastAsia="Arial" w:hint="default"/>
                <w:sz w:val="20"/>
                <w:szCs w:val="20"/>
              </w:rPr>
            </w:pPr>
            <w:r>
              <w:rPr>
                <w:rFonts w:ascii="Arial"/>
                <w:w w:val="99"/>
                <w:sz w:val="20"/>
              </w:rPr>
              <w:t>)</w:t>
            </w:r>
            <w:r>
              <w:rPr>
                <w:rFonts w:ascii="Arial"/>
                <w:sz w:val="20"/>
              </w:rPr>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
              <w:jc w:val="right"/>
              <w:rPr>
                <w:rFonts w:ascii="Arial" w:hAnsi="Arial" w:cs="Arial" w:eastAsia="Arial" w:hint="default"/>
                <w:sz w:val="20"/>
                <w:szCs w:val="20"/>
              </w:rPr>
            </w:pPr>
            <w:r>
              <w:rPr>
                <w:rFonts w:ascii="Arial"/>
                <w:spacing w:val="-1"/>
                <w:sz w:val="20"/>
              </w:rPr>
              <w:t>2,022,041</w:t>
            </w:r>
          </w:p>
        </w:tc>
        <w:tc>
          <w:tcPr>
            <w:tcW w:w="584"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
              <w:jc w:val="right"/>
              <w:rPr>
                <w:rFonts w:ascii="Arial" w:hAnsi="Arial" w:cs="Arial" w:eastAsia="Arial" w:hint="default"/>
                <w:sz w:val="20"/>
                <w:szCs w:val="20"/>
              </w:rPr>
            </w:pPr>
            <w:r>
              <w:rPr>
                <w:rFonts w:ascii="Arial"/>
                <w:spacing w:val="-1"/>
                <w:sz w:val="20"/>
              </w:rPr>
              <w:t>2,022,041</w:t>
            </w:r>
          </w:p>
        </w:tc>
        <w:tc>
          <w:tcPr>
            <w:tcW w:w="276" w:type="dxa"/>
            <w:tcBorders>
              <w:top w:val="nil" w:sz="6" w:space="0" w:color="auto"/>
              <w:left w:val="nil" w:sz="6" w:space="0" w:color="auto"/>
              <w:bottom w:val="nil" w:sz="6" w:space="0" w:color="auto"/>
              <w:right w:val="nil" w:sz="6" w:space="0" w:color="auto"/>
            </w:tcBorders>
          </w:tcPr>
          <w:p>
            <w:pPr/>
          </w:p>
        </w:tc>
      </w:tr>
      <w:tr>
        <w:trPr>
          <w:trHeight w:val="244" w:hRule="exact"/>
        </w:trPr>
        <w:tc>
          <w:tcPr>
            <w:tcW w:w="1927" w:type="dxa"/>
            <w:tcBorders>
              <w:top w:val="nil" w:sz="6" w:space="0" w:color="auto"/>
              <w:left w:val="nil" w:sz="6" w:space="0" w:color="auto"/>
              <w:bottom w:val="nil" w:sz="6" w:space="0" w:color="auto"/>
              <w:right w:val="nil" w:sz="6" w:space="0" w:color="auto"/>
            </w:tcBorders>
          </w:tcPr>
          <w:p>
            <w:pPr>
              <w:pStyle w:val="TableParagraph"/>
              <w:spacing w:line="248" w:lineRule="exact"/>
              <w:ind w:left="200" w:right="0"/>
              <w:jc w:val="left"/>
              <w:rPr>
                <w:rFonts w:ascii="黑体" w:hAnsi="黑体" w:cs="黑体" w:eastAsia="黑体" w:hint="default"/>
                <w:sz w:val="20"/>
                <w:szCs w:val="20"/>
              </w:rPr>
            </w:pPr>
            <w:r>
              <w:rPr>
                <w:rFonts w:ascii="Arial" w:hAnsi="Arial" w:cs="Arial" w:eastAsia="Arial" w:hint="default"/>
                <w:sz w:val="20"/>
                <w:szCs w:val="20"/>
              </w:rPr>
              <w:t>*</w:t>
            </w:r>
            <w:r>
              <w:rPr>
                <w:rFonts w:ascii="黑体" w:hAnsi="黑体" w:cs="黑体" w:eastAsia="黑体" w:hint="default"/>
                <w:sz w:val="20"/>
                <w:szCs w:val="20"/>
              </w:rPr>
              <w:t>不包括留存收益</w:t>
            </w:r>
          </w:p>
        </w:tc>
        <w:tc>
          <w:tcPr>
            <w:tcW w:w="1627" w:type="dxa"/>
            <w:tcBorders>
              <w:top w:val="nil" w:sz="6" w:space="0" w:color="auto"/>
              <w:left w:val="nil" w:sz="6" w:space="0" w:color="auto"/>
              <w:bottom w:val="nil" w:sz="6" w:space="0" w:color="auto"/>
              <w:right w:val="nil" w:sz="6" w:space="0" w:color="auto"/>
            </w:tcBorders>
          </w:tcPr>
          <w:p>
            <w:pPr/>
          </w:p>
        </w:tc>
        <w:tc>
          <w:tcPr>
            <w:tcW w:w="669"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
        </w:tc>
        <w:tc>
          <w:tcPr>
            <w:tcW w:w="584" w:type="dxa"/>
            <w:tcBorders>
              <w:top w:val="nil" w:sz="6" w:space="0" w:color="auto"/>
              <w:left w:val="nil" w:sz="6" w:space="0" w:color="auto"/>
              <w:bottom w:val="nil" w:sz="6" w:space="0" w:color="auto"/>
              <w:right w:val="nil" w:sz="6" w:space="0" w:color="auto"/>
            </w:tcBorders>
          </w:tcPr>
          <w:p>
            <w:pPr/>
          </w:p>
        </w:tc>
        <w:tc>
          <w:tcPr>
            <w:tcW w:w="1473" w:type="dxa"/>
            <w:tcBorders>
              <w:top w:val="nil" w:sz="6" w:space="0" w:color="auto"/>
              <w:left w:val="nil" w:sz="6" w:space="0" w:color="auto"/>
              <w:bottom w:val="nil" w:sz="6" w:space="0" w:color="auto"/>
              <w:right w:val="nil" w:sz="6" w:space="0" w:color="auto"/>
            </w:tcBorders>
          </w:tcPr>
          <w:p>
            <w:pPr/>
          </w:p>
        </w:tc>
        <w:tc>
          <w:tcPr>
            <w:tcW w:w="276" w:type="dxa"/>
            <w:tcBorders>
              <w:top w:val="nil" w:sz="6" w:space="0" w:color="auto"/>
              <w:left w:val="nil" w:sz="6" w:space="0" w:color="auto"/>
              <w:bottom w:val="nil" w:sz="6" w:space="0" w:color="auto"/>
              <w:right w:val="nil" w:sz="6" w:space="0" w:color="auto"/>
            </w:tcBorders>
          </w:tcPr>
          <w:p>
            <w:pPr/>
          </w:p>
        </w:tc>
      </w:tr>
    </w:tbl>
    <w:p>
      <w:pPr>
        <w:spacing w:line="240" w:lineRule="auto" w:before="9"/>
        <w:rPr>
          <w:rFonts w:ascii="黑体" w:hAnsi="黑体" w:cs="黑体" w:eastAsia="黑体" w:hint="default"/>
          <w:sz w:val="17"/>
          <w:szCs w:val="17"/>
        </w:rPr>
      </w:pPr>
    </w:p>
    <w:p>
      <w:pPr>
        <w:pStyle w:val="BodyText"/>
        <w:spacing w:line="240" w:lineRule="auto" w:before="37"/>
        <w:ind w:left="809" w:right="154"/>
        <w:jc w:val="left"/>
      </w:pPr>
      <w:r>
        <w:rPr>
          <w:w w:val="99"/>
        </w:rPr>
      </w:r>
      <w:r>
        <w:rPr>
          <w:u w:val="single" w:color="000000"/>
        </w:rPr>
        <w:t>外汇风险</w:t>
      </w:r>
      <w:r>
        <w:rPr/>
      </w:r>
    </w:p>
    <w:p>
      <w:pPr>
        <w:spacing w:line="240" w:lineRule="auto" w:before="11"/>
        <w:rPr>
          <w:rFonts w:ascii="黑体" w:hAnsi="黑体" w:cs="黑体" w:eastAsia="黑体" w:hint="default"/>
          <w:sz w:val="19"/>
          <w:szCs w:val="19"/>
        </w:rPr>
      </w:pPr>
    </w:p>
    <w:p>
      <w:pPr>
        <w:pStyle w:val="BodyText"/>
        <w:spacing w:line="256" w:lineRule="auto" w:before="37"/>
        <w:ind w:right="99"/>
        <w:jc w:val="both"/>
      </w:pPr>
      <w:r>
        <w:rPr/>
        <w:t>外汇风险，是指金融工具的公允价值或未来现金流量因外汇汇率变动而发生波动的风险。</w:t>
      </w:r>
      <w:r>
        <w:rPr>
          <w:spacing w:val="-60"/>
        </w:rPr>
        <w:t> </w:t>
      </w:r>
      <w:r>
        <w:rPr>
          <w:spacing w:val="-60"/>
        </w:rPr>
      </w:r>
      <w:r>
        <w:rPr/>
        <w:t>本集团面临的外汇变动风险主要与本集团的经营活动（当收支以不同于本集团记账本位币</w:t>
      </w:r>
      <w:r>
        <w:rPr>
          <w:spacing w:val="-60"/>
        </w:rPr>
        <w:t> </w:t>
      </w:r>
      <w:r>
        <w:rPr>
          <w:spacing w:val="-60"/>
        </w:rPr>
      </w:r>
      <w:r>
        <w:rPr/>
        <w:t>的外币结算时）及其于境外子公司的净投资有关。</w:t>
      </w:r>
    </w:p>
    <w:p>
      <w:pPr>
        <w:spacing w:line="240" w:lineRule="auto" w:before="11"/>
        <w:rPr>
          <w:rFonts w:ascii="黑体" w:hAnsi="黑体" w:cs="黑体" w:eastAsia="黑体" w:hint="default"/>
          <w:sz w:val="21"/>
          <w:szCs w:val="21"/>
        </w:rPr>
      </w:pPr>
    </w:p>
    <w:p>
      <w:pPr>
        <w:pStyle w:val="BodyText"/>
        <w:spacing w:line="242" w:lineRule="auto"/>
        <w:ind w:left="813" w:right="0"/>
        <w:jc w:val="left"/>
      </w:pPr>
      <w:r>
        <w:rPr/>
        <w:t>本集团的业务主要位于中国，绝大部分交易均以人民币为本位货币，于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w:t>
      </w:r>
      <w:r>
        <w:rPr>
          <w:spacing w:val="-58"/>
        </w:rPr>
        <w:t> </w:t>
      </w:r>
      <w:r>
        <w:rPr>
          <w:w w:val="95"/>
        </w:rPr>
        <w:t>本集团的资产及负债当中，除了人民币</w:t>
      </w:r>
      <w:r>
        <w:rPr>
          <w:rFonts w:ascii="Arial" w:hAnsi="Arial" w:cs="Arial" w:eastAsia="Arial" w:hint="default"/>
          <w:w w:val="95"/>
        </w:rPr>
        <w:t>8,221,346</w:t>
      </w:r>
      <w:r>
        <w:rPr>
          <w:w w:val="95"/>
        </w:rPr>
        <w:t>元（</w:t>
      </w:r>
      <w:r>
        <w:rPr>
          <w:rFonts w:ascii="Arial" w:hAnsi="Arial" w:cs="Arial" w:eastAsia="Arial" w:hint="default"/>
          <w:w w:val="95"/>
        </w:rPr>
        <w:t>2011</w:t>
      </w:r>
      <w:r>
        <w:rPr>
          <w:w w:val="95"/>
        </w:rPr>
        <w:t>年：人民币</w:t>
      </w:r>
      <w:r>
        <w:rPr>
          <w:rFonts w:ascii="Arial" w:hAnsi="Arial" w:cs="Arial" w:eastAsia="Arial" w:hint="default"/>
          <w:w w:val="95"/>
        </w:rPr>
        <w:t>10,258,173</w:t>
      </w:r>
      <w:r>
        <w:rPr>
          <w:w w:val="95"/>
        </w:rPr>
        <w:t>元）及人</w:t>
      </w:r>
      <w:r>
        <w:rPr>
          <w:spacing w:val="10"/>
          <w:w w:val="95"/>
        </w:rPr>
        <w:t> </w:t>
      </w:r>
      <w:r>
        <w:rPr>
          <w:spacing w:val="10"/>
          <w:w w:val="95"/>
        </w:rPr>
      </w:r>
      <w:r>
        <w:rPr/>
        <w:t>民币</w:t>
      </w:r>
      <w:r>
        <w:rPr>
          <w:rFonts w:ascii="Arial" w:hAnsi="Arial" w:cs="Arial" w:eastAsia="Arial" w:hint="default"/>
        </w:rPr>
        <w:t>22,661,483</w:t>
      </w:r>
      <w:r>
        <w:rPr/>
        <w:t>元（</w:t>
      </w:r>
      <w:r>
        <w:rPr>
          <w:rFonts w:ascii="Arial" w:hAnsi="Arial" w:cs="Arial" w:eastAsia="Arial" w:hint="default"/>
        </w:rPr>
        <w:t>2011</w:t>
      </w:r>
      <w:r>
        <w:rPr/>
        <w:t>年：人民币</w:t>
      </w:r>
      <w:r>
        <w:rPr>
          <w:rFonts w:ascii="Arial" w:hAnsi="Arial" w:cs="Arial" w:eastAsia="Arial" w:hint="default"/>
        </w:rPr>
        <w:t>14,219,348</w:t>
      </w:r>
      <w:r>
        <w:rPr/>
        <w:t>元）的现金及现金等价物分别为美元及其</w:t>
      </w:r>
      <w:r>
        <w:rPr>
          <w:w w:val="99"/>
        </w:rPr>
        <w:t> </w:t>
      </w:r>
      <w:r>
        <w:rPr/>
        <w:t>他外币为单位以外，均以人民币为单位。</w:t>
      </w:r>
    </w:p>
    <w:p>
      <w:pPr>
        <w:spacing w:line="240" w:lineRule="auto" w:before="8"/>
        <w:rPr>
          <w:rFonts w:ascii="黑体" w:hAnsi="黑体" w:cs="黑体" w:eastAsia="黑体" w:hint="default"/>
          <w:sz w:val="22"/>
          <w:szCs w:val="22"/>
        </w:rPr>
      </w:pPr>
    </w:p>
    <w:p>
      <w:pPr>
        <w:pStyle w:val="BodyText"/>
        <w:spacing w:line="240" w:lineRule="auto"/>
        <w:ind w:right="154"/>
        <w:jc w:val="left"/>
      </w:pPr>
      <w:r>
        <w:rPr/>
        <w:t>本集团管理层认为汇率变动不会对本集团的净利润及股东权益产生重大影响。</w:t>
      </w:r>
    </w:p>
    <w:p>
      <w:pPr>
        <w:spacing w:after="0" w:line="240" w:lineRule="auto"/>
        <w:jc w:val="left"/>
        <w:sectPr>
          <w:pgSz w:w="11910" w:h="16850"/>
          <w:pgMar w:header="957" w:footer="689" w:top="2560" w:bottom="880" w:left="1600" w:right="1440"/>
        </w:sectPr>
      </w:pPr>
    </w:p>
    <w:p>
      <w:pPr>
        <w:spacing w:line="240" w:lineRule="auto" w:before="5"/>
        <w:rPr>
          <w:rFonts w:ascii="黑体" w:hAnsi="黑体" w:cs="黑体" w:eastAsia="黑体" w:hint="default"/>
          <w:sz w:val="13"/>
          <w:szCs w:val="13"/>
        </w:rPr>
      </w:pPr>
    </w:p>
    <w:p>
      <w:pPr>
        <w:pStyle w:val="Heading6"/>
        <w:spacing w:line="240" w:lineRule="auto"/>
        <w:ind w:right="4838"/>
        <w:jc w:val="left"/>
        <w:rPr>
          <w:b w:val="0"/>
          <w:bCs w:val="0"/>
        </w:rPr>
      </w:pPr>
      <w:r>
        <w:rPr/>
        <w:t>十二、</w:t>
      </w:r>
      <w:r>
        <w:rPr>
          <w:spacing w:val="-6"/>
        </w:rPr>
        <w:t> </w:t>
      </w:r>
      <w:r>
        <w:rPr/>
        <w:t>金融工具及其风险分析（续）</w:t>
      </w:r>
      <w:r>
        <w:rPr>
          <w:b w:val="0"/>
          <w:bCs w:val="0"/>
        </w:rPr>
      </w:r>
    </w:p>
    <w:p>
      <w:pPr>
        <w:spacing w:line="240" w:lineRule="auto" w:before="11"/>
        <w:rPr>
          <w:rFonts w:ascii="黑体" w:hAnsi="黑体" w:cs="黑体" w:eastAsia="黑体" w:hint="default"/>
          <w:b/>
          <w:bCs/>
          <w:sz w:val="23"/>
          <w:szCs w:val="23"/>
        </w:rPr>
      </w:pPr>
    </w:p>
    <w:p>
      <w:pPr>
        <w:pStyle w:val="Heading6"/>
        <w:tabs>
          <w:tab w:pos="809" w:val="left" w:leader="none"/>
        </w:tabs>
        <w:spacing w:line="240" w:lineRule="auto" w:before="0"/>
        <w:ind w:right="4838"/>
        <w:jc w:val="left"/>
        <w:rPr>
          <w:b w:val="0"/>
          <w:bCs w:val="0"/>
        </w:rPr>
      </w:pPr>
      <w:r>
        <w:rPr>
          <w:rFonts w:ascii="Arial" w:hAnsi="Arial" w:cs="Arial" w:eastAsia="Arial" w:hint="default"/>
          <w:spacing w:val="-1"/>
        </w:rPr>
        <w:t>4.</w:t>
        <w:tab/>
      </w:r>
      <w:r>
        <w:rPr>
          <w:spacing w:val="2"/>
        </w:rPr>
        <w:t>公允价值</w:t>
      </w:r>
      <w:r>
        <w:rPr>
          <w:b w:val="0"/>
          <w:bCs w:val="0"/>
        </w:rPr>
      </w:r>
    </w:p>
    <w:p>
      <w:pPr>
        <w:spacing w:line="240" w:lineRule="auto" w:before="12"/>
        <w:rPr>
          <w:rFonts w:ascii="黑体" w:hAnsi="黑体" w:cs="黑体" w:eastAsia="黑体" w:hint="default"/>
          <w:b/>
          <w:bCs/>
          <w:sz w:val="22"/>
          <w:szCs w:val="22"/>
        </w:rPr>
      </w:pPr>
    </w:p>
    <w:p>
      <w:pPr>
        <w:pStyle w:val="BodyText"/>
        <w:spacing w:line="276" w:lineRule="auto"/>
        <w:ind w:right="0"/>
        <w:jc w:val="left"/>
      </w:pPr>
      <w:r>
        <w:rPr>
          <w:w w:val="95"/>
        </w:rPr>
        <w:t>公允价值，是指在公平交易中，熟悉情况的交易双方自愿进行资产交换或者债务清偿的金</w:t>
      </w:r>
      <w:r>
        <w:rPr>
          <w:spacing w:val="87"/>
          <w:w w:val="95"/>
        </w:rPr>
        <w:t> </w:t>
      </w:r>
      <w:r>
        <w:rPr>
          <w:spacing w:val="87"/>
          <w:w w:val="95"/>
        </w:rPr>
      </w:r>
      <w:r>
        <w:rPr/>
        <w:t>额。以下方法和假设用于估计公允价值。</w:t>
      </w:r>
    </w:p>
    <w:p>
      <w:pPr>
        <w:spacing w:line="240" w:lineRule="auto" w:before="7"/>
        <w:rPr>
          <w:rFonts w:ascii="黑体" w:hAnsi="黑体" w:cs="黑体" w:eastAsia="黑体" w:hint="default"/>
          <w:sz w:val="23"/>
          <w:szCs w:val="23"/>
        </w:rPr>
      </w:pPr>
    </w:p>
    <w:p>
      <w:pPr>
        <w:pStyle w:val="BodyText"/>
        <w:spacing w:line="276" w:lineRule="auto"/>
        <w:ind w:right="0"/>
        <w:jc w:val="left"/>
      </w:pPr>
      <w:r>
        <w:rPr>
          <w:w w:val="95"/>
        </w:rPr>
        <w:t>货币资金、应收票据、应收账款、其他应收款、应付账款、其他应付款等，因剩余期限不</w:t>
      </w:r>
      <w:r>
        <w:rPr>
          <w:spacing w:val="86"/>
          <w:w w:val="95"/>
        </w:rPr>
        <w:t> </w:t>
      </w:r>
      <w:r>
        <w:rPr>
          <w:spacing w:val="86"/>
          <w:w w:val="95"/>
        </w:rPr>
      </w:r>
      <w:r>
        <w:rPr/>
        <w:t>长，公允价值与账面价值相若。</w:t>
      </w:r>
    </w:p>
    <w:p>
      <w:pPr>
        <w:spacing w:line="240" w:lineRule="auto" w:before="7"/>
        <w:rPr>
          <w:rFonts w:ascii="黑体" w:hAnsi="黑体" w:cs="黑体" w:eastAsia="黑体" w:hint="default"/>
          <w:sz w:val="23"/>
          <w:szCs w:val="23"/>
        </w:rPr>
      </w:pPr>
    </w:p>
    <w:p>
      <w:pPr>
        <w:pStyle w:val="BodyText"/>
        <w:spacing w:line="276" w:lineRule="auto"/>
        <w:ind w:right="0"/>
        <w:jc w:val="left"/>
      </w:pPr>
      <w:r>
        <w:rPr>
          <w:w w:val="95"/>
        </w:rPr>
        <w:t>长短期借款采用未来现金流量折现法确定公允价值，以合同条款和特征在实质上相同的其</w:t>
      </w:r>
      <w:r>
        <w:rPr>
          <w:spacing w:val="87"/>
          <w:w w:val="95"/>
        </w:rPr>
        <w:t> </w:t>
      </w:r>
      <w:r>
        <w:rPr>
          <w:spacing w:val="87"/>
          <w:w w:val="95"/>
        </w:rPr>
      </w:r>
      <w:r>
        <w:rPr/>
        <w:t>他金融工具的市场收益率作为折现率。</w:t>
      </w:r>
    </w:p>
    <w:p>
      <w:pPr>
        <w:spacing w:line="240" w:lineRule="auto" w:before="7"/>
        <w:rPr>
          <w:rFonts w:ascii="黑体" w:hAnsi="黑体" w:cs="黑体" w:eastAsia="黑体" w:hint="default"/>
          <w:sz w:val="23"/>
          <w:szCs w:val="23"/>
        </w:rPr>
      </w:pPr>
    </w:p>
    <w:p>
      <w:pPr>
        <w:pStyle w:val="BodyText"/>
        <w:spacing w:line="240" w:lineRule="auto"/>
        <w:ind w:right="0"/>
        <w:jc w:val="left"/>
      </w:pPr>
      <w:r>
        <w:rPr/>
        <w:t>以下是本集团各类金融工具的账面价值与公允价值：</w:t>
      </w:r>
    </w:p>
    <w:p>
      <w:pPr>
        <w:spacing w:line="240" w:lineRule="auto" w:before="4"/>
        <w:rPr>
          <w:rFonts w:ascii="黑体" w:hAnsi="黑体" w:cs="黑体" w:eastAsia="黑体" w:hint="default"/>
          <w:sz w:val="29"/>
          <w:szCs w:val="29"/>
        </w:rPr>
      </w:pPr>
    </w:p>
    <w:tbl>
      <w:tblPr>
        <w:tblW w:w="0" w:type="auto"/>
        <w:jc w:val="left"/>
        <w:tblInd w:w="609" w:type="dxa"/>
        <w:tblLayout w:type="fixed"/>
        <w:tblCellMar>
          <w:top w:w="0" w:type="dxa"/>
          <w:left w:w="0" w:type="dxa"/>
          <w:bottom w:w="0" w:type="dxa"/>
          <w:right w:w="0" w:type="dxa"/>
        </w:tblCellMar>
        <w:tblLook w:val="01E0"/>
      </w:tblPr>
      <w:tblGrid>
        <w:gridCol w:w="1621"/>
        <w:gridCol w:w="1593"/>
        <w:gridCol w:w="1699"/>
        <w:gridCol w:w="1695"/>
        <w:gridCol w:w="1522"/>
      </w:tblGrid>
      <w:tr>
        <w:trPr>
          <w:trHeight w:val="234" w:hRule="exact"/>
        </w:trPr>
        <w:tc>
          <w:tcPr>
            <w:tcW w:w="4913" w:type="dxa"/>
            <w:gridSpan w:val="3"/>
            <w:tcBorders>
              <w:top w:val="nil" w:sz="6" w:space="0" w:color="auto"/>
              <w:left w:val="nil" w:sz="6" w:space="0" w:color="auto"/>
              <w:bottom w:val="nil" w:sz="6" w:space="0" w:color="auto"/>
              <w:right w:val="nil" w:sz="6" w:space="0" w:color="auto"/>
            </w:tcBorders>
          </w:tcPr>
          <w:p>
            <w:pPr>
              <w:pStyle w:val="TableParagraph"/>
              <w:spacing w:line="199" w:lineRule="exact"/>
              <w:ind w:left="3132" w:right="0"/>
              <w:jc w:val="left"/>
              <w:rPr>
                <w:rFonts w:ascii="黑体" w:hAnsi="黑体" w:cs="黑体" w:eastAsia="黑体" w:hint="default"/>
                <w:sz w:val="20"/>
                <w:szCs w:val="20"/>
              </w:rPr>
            </w:pPr>
            <w:r>
              <w:rPr>
                <w:rFonts w:ascii="黑体" w:hAnsi="黑体" w:cs="黑体" w:eastAsia="黑体" w:hint="default"/>
                <w:sz w:val="20"/>
                <w:szCs w:val="20"/>
              </w:rPr>
              <w:t>账面价值</w:t>
            </w:r>
          </w:p>
        </w:tc>
        <w:tc>
          <w:tcPr>
            <w:tcW w:w="3216" w:type="dxa"/>
            <w:gridSpan w:val="2"/>
            <w:tcBorders>
              <w:top w:val="nil" w:sz="6" w:space="0" w:color="auto"/>
              <w:left w:val="nil" w:sz="6" w:space="0" w:color="auto"/>
              <w:bottom w:val="single" w:sz="4" w:space="0" w:color="000000"/>
              <w:right w:val="nil" w:sz="6" w:space="0" w:color="auto"/>
            </w:tcBorders>
          </w:tcPr>
          <w:p>
            <w:pPr>
              <w:pStyle w:val="TableParagraph"/>
              <w:spacing w:line="199" w:lineRule="exact"/>
              <w:ind w:left="1541" w:right="0"/>
              <w:jc w:val="left"/>
              <w:rPr>
                <w:rFonts w:ascii="黑体" w:hAnsi="黑体" w:cs="黑体" w:eastAsia="黑体" w:hint="default"/>
                <w:sz w:val="20"/>
                <w:szCs w:val="20"/>
              </w:rPr>
            </w:pPr>
            <w:r>
              <w:rPr>
                <w:rFonts w:ascii="黑体" w:hAnsi="黑体" w:cs="黑体" w:eastAsia="黑体" w:hint="default"/>
                <w:sz w:val="20"/>
                <w:szCs w:val="20"/>
              </w:rPr>
              <w:t>公允价值</w:t>
            </w:r>
          </w:p>
        </w:tc>
      </w:tr>
      <w:tr>
        <w:trPr>
          <w:trHeight w:val="398" w:hRule="exact"/>
        </w:trPr>
        <w:tc>
          <w:tcPr>
            <w:tcW w:w="1621" w:type="dxa"/>
            <w:tcBorders>
              <w:top w:val="nil" w:sz="6" w:space="0" w:color="auto"/>
              <w:left w:val="nil" w:sz="6" w:space="0" w:color="auto"/>
              <w:bottom w:val="nil" w:sz="6" w:space="0" w:color="auto"/>
              <w:right w:val="nil" w:sz="6" w:space="0" w:color="auto"/>
            </w:tcBorders>
          </w:tcPr>
          <w:p>
            <w:pPr/>
          </w:p>
        </w:tc>
        <w:tc>
          <w:tcPr>
            <w:tcW w:w="1593" w:type="dxa"/>
            <w:tcBorders>
              <w:top w:val="single" w:sz="4" w:space="0" w:color="000000"/>
              <w:left w:val="nil" w:sz="6" w:space="0" w:color="auto"/>
              <w:bottom w:val="nil" w:sz="6" w:space="0" w:color="auto"/>
              <w:right w:val="nil" w:sz="6" w:space="0" w:color="auto"/>
            </w:tcBorders>
          </w:tcPr>
          <w:p>
            <w:pPr>
              <w:pStyle w:val="TableParagraph"/>
              <w:spacing w:line="244" w:lineRule="exact"/>
              <w:ind w:right="141"/>
              <w:jc w:val="right"/>
              <w:rPr>
                <w:rFonts w:ascii="黑体" w:hAnsi="黑体" w:cs="黑体" w:eastAsia="黑体" w:hint="default"/>
                <w:sz w:val="20"/>
                <w:szCs w:val="20"/>
              </w:rPr>
            </w:pPr>
            <w:r>
              <w:rPr>
                <w:rFonts w:ascii="Arial" w:hAnsi="Arial" w:cs="Arial" w:eastAsia="Arial" w:hint="default"/>
                <w:sz w:val="20"/>
                <w:szCs w:val="20"/>
              </w:rPr>
              <w:t>2012</w:t>
            </w:r>
            <w:r>
              <w:rPr>
                <w:rFonts w:ascii="Arial" w:hAnsi="Arial" w:cs="Arial" w:eastAsia="Arial" w:hint="default"/>
                <w:spacing w:val="-9"/>
                <w:sz w:val="20"/>
                <w:szCs w:val="20"/>
              </w:rPr>
              <w:t> </w:t>
            </w:r>
            <w:r>
              <w:rPr>
                <w:rFonts w:ascii="黑体" w:hAnsi="黑体" w:cs="黑体" w:eastAsia="黑体" w:hint="default"/>
                <w:sz w:val="20"/>
                <w:szCs w:val="20"/>
              </w:rPr>
              <w:t>年</w:t>
            </w:r>
          </w:p>
        </w:tc>
        <w:tc>
          <w:tcPr>
            <w:tcW w:w="1699" w:type="dxa"/>
            <w:tcBorders>
              <w:top w:val="single" w:sz="4" w:space="0" w:color="000000"/>
              <w:left w:val="nil" w:sz="6" w:space="0" w:color="auto"/>
              <w:bottom w:val="nil" w:sz="6" w:space="0" w:color="auto"/>
              <w:right w:val="nil" w:sz="6" w:space="0" w:color="auto"/>
            </w:tcBorders>
          </w:tcPr>
          <w:p>
            <w:pPr>
              <w:pStyle w:val="TableParagraph"/>
              <w:spacing w:line="244" w:lineRule="exact"/>
              <w:ind w:right="281"/>
              <w:jc w:val="right"/>
              <w:rPr>
                <w:rFonts w:ascii="黑体" w:hAnsi="黑体" w:cs="黑体" w:eastAsia="黑体" w:hint="default"/>
                <w:sz w:val="20"/>
                <w:szCs w:val="20"/>
              </w:rPr>
            </w:pPr>
            <w:r>
              <w:rPr>
                <w:rFonts w:ascii="Arial" w:hAnsi="Arial" w:cs="Arial" w:eastAsia="Arial" w:hint="default"/>
                <w:sz w:val="20"/>
                <w:szCs w:val="20"/>
              </w:rPr>
              <w:t>2011</w:t>
            </w:r>
            <w:r>
              <w:rPr>
                <w:rFonts w:ascii="Arial" w:hAnsi="Arial" w:cs="Arial" w:eastAsia="Arial" w:hint="default"/>
                <w:spacing w:val="-9"/>
                <w:sz w:val="20"/>
                <w:szCs w:val="20"/>
              </w:rPr>
              <w:t> </w:t>
            </w:r>
            <w:r>
              <w:rPr>
                <w:rFonts w:ascii="黑体" w:hAnsi="黑体" w:cs="黑体" w:eastAsia="黑体" w:hint="default"/>
                <w:sz w:val="20"/>
                <w:szCs w:val="20"/>
              </w:rPr>
              <w:t>年</w:t>
            </w:r>
          </w:p>
        </w:tc>
        <w:tc>
          <w:tcPr>
            <w:tcW w:w="1695" w:type="dxa"/>
            <w:tcBorders>
              <w:top w:val="single" w:sz="4" w:space="0" w:color="000000"/>
              <w:left w:val="nil" w:sz="6" w:space="0" w:color="auto"/>
              <w:bottom w:val="nil" w:sz="6" w:space="0" w:color="auto"/>
              <w:right w:val="nil" w:sz="6" w:space="0" w:color="auto"/>
            </w:tcBorders>
          </w:tcPr>
          <w:p>
            <w:pPr>
              <w:pStyle w:val="TableParagraph"/>
              <w:spacing w:line="244" w:lineRule="exact"/>
              <w:ind w:right="134"/>
              <w:jc w:val="right"/>
              <w:rPr>
                <w:rFonts w:ascii="黑体" w:hAnsi="黑体" w:cs="黑体" w:eastAsia="黑体" w:hint="default"/>
                <w:sz w:val="20"/>
                <w:szCs w:val="20"/>
              </w:rPr>
            </w:pPr>
            <w:r>
              <w:rPr>
                <w:rFonts w:ascii="Arial" w:hAnsi="Arial" w:cs="Arial" w:eastAsia="Arial" w:hint="default"/>
                <w:sz w:val="20"/>
                <w:szCs w:val="20"/>
              </w:rPr>
              <w:t>2012</w:t>
            </w:r>
            <w:r>
              <w:rPr>
                <w:rFonts w:ascii="Arial" w:hAnsi="Arial" w:cs="Arial" w:eastAsia="Arial" w:hint="default"/>
                <w:spacing w:val="-9"/>
                <w:sz w:val="20"/>
                <w:szCs w:val="20"/>
              </w:rPr>
              <w:t> </w:t>
            </w:r>
            <w:r>
              <w:rPr>
                <w:rFonts w:ascii="黑体" w:hAnsi="黑体" w:cs="黑体" w:eastAsia="黑体" w:hint="default"/>
                <w:sz w:val="20"/>
                <w:szCs w:val="20"/>
              </w:rPr>
              <w:t>年</w:t>
            </w:r>
          </w:p>
        </w:tc>
        <w:tc>
          <w:tcPr>
            <w:tcW w:w="1522" w:type="dxa"/>
            <w:tcBorders>
              <w:top w:val="single" w:sz="4" w:space="0" w:color="000000"/>
              <w:left w:val="nil" w:sz="6" w:space="0" w:color="auto"/>
              <w:bottom w:val="nil" w:sz="6" w:space="0" w:color="auto"/>
              <w:right w:val="nil" w:sz="6" w:space="0" w:color="auto"/>
            </w:tcBorders>
          </w:tcPr>
          <w:p>
            <w:pPr>
              <w:pStyle w:val="TableParagraph"/>
              <w:spacing w:line="244" w:lineRule="exact"/>
              <w:ind w:right="108"/>
              <w:jc w:val="right"/>
              <w:rPr>
                <w:rFonts w:ascii="黑体" w:hAnsi="黑体" w:cs="黑体" w:eastAsia="黑体" w:hint="default"/>
                <w:sz w:val="20"/>
                <w:szCs w:val="20"/>
              </w:rPr>
            </w:pPr>
            <w:r>
              <w:rPr>
                <w:rFonts w:ascii="Arial" w:hAnsi="Arial" w:cs="Arial" w:eastAsia="Arial" w:hint="default"/>
                <w:sz w:val="20"/>
                <w:szCs w:val="20"/>
              </w:rPr>
              <w:t>2011</w:t>
            </w:r>
            <w:r>
              <w:rPr>
                <w:rFonts w:ascii="Arial" w:hAnsi="Arial" w:cs="Arial" w:eastAsia="Arial" w:hint="default"/>
                <w:spacing w:val="-9"/>
                <w:sz w:val="20"/>
                <w:szCs w:val="20"/>
              </w:rPr>
              <w:t> </w:t>
            </w:r>
            <w:r>
              <w:rPr>
                <w:rFonts w:ascii="黑体" w:hAnsi="黑体" w:cs="黑体" w:eastAsia="黑体" w:hint="default"/>
                <w:sz w:val="20"/>
                <w:szCs w:val="20"/>
              </w:rPr>
              <w:t>年</w:t>
            </w:r>
          </w:p>
        </w:tc>
      </w:tr>
      <w:tr>
        <w:trPr>
          <w:trHeight w:val="379" w:hRule="exact"/>
        </w:trPr>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00" w:right="0"/>
              <w:jc w:val="left"/>
              <w:rPr>
                <w:rFonts w:ascii="黑体" w:hAnsi="黑体" w:cs="黑体" w:eastAsia="黑体" w:hint="default"/>
                <w:sz w:val="20"/>
                <w:szCs w:val="20"/>
              </w:rPr>
            </w:pPr>
            <w:r>
              <w:rPr>
                <w:rFonts w:ascii="黑体" w:hAnsi="黑体" w:cs="黑体" w:eastAsia="黑体" w:hint="default"/>
                <w:sz w:val="20"/>
                <w:szCs w:val="20"/>
              </w:rPr>
              <w:t>金融资产</w:t>
            </w:r>
          </w:p>
        </w:tc>
        <w:tc>
          <w:tcPr>
            <w:tcW w:w="1593"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
        </w:tc>
      </w:tr>
      <w:tr>
        <w:trPr>
          <w:trHeight w:val="270" w:hRule="exact"/>
        </w:trPr>
        <w:tc>
          <w:tcPr>
            <w:tcW w:w="1621" w:type="dxa"/>
            <w:tcBorders>
              <w:top w:val="nil" w:sz="6" w:space="0" w:color="auto"/>
              <w:left w:val="nil" w:sz="6" w:space="0" w:color="auto"/>
              <w:bottom w:val="nil" w:sz="6" w:space="0" w:color="auto"/>
              <w:right w:val="nil" w:sz="6" w:space="0" w:color="auto"/>
            </w:tcBorders>
          </w:tcPr>
          <w:p>
            <w:pPr>
              <w:pStyle w:val="TableParagraph"/>
              <w:spacing w:line="233" w:lineRule="exact"/>
              <w:ind w:left="200" w:right="0"/>
              <w:jc w:val="left"/>
              <w:rPr>
                <w:rFonts w:ascii="黑体" w:hAnsi="黑体" w:cs="黑体" w:eastAsia="黑体" w:hint="default"/>
                <w:sz w:val="20"/>
                <w:szCs w:val="20"/>
              </w:rPr>
            </w:pPr>
            <w:r>
              <w:rPr>
                <w:rFonts w:ascii="黑体" w:hAnsi="黑体" w:cs="黑体" w:eastAsia="黑体" w:hint="default"/>
                <w:sz w:val="20"/>
                <w:szCs w:val="20"/>
              </w:rPr>
              <w:t>货币资金</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ind w:right="142"/>
              <w:jc w:val="right"/>
              <w:rPr>
                <w:rFonts w:ascii="Arial" w:hAnsi="Arial" w:cs="Arial" w:eastAsia="Arial" w:hint="default"/>
                <w:sz w:val="20"/>
                <w:szCs w:val="20"/>
              </w:rPr>
            </w:pPr>
            <w:r>
              <w:rPr>
                <w:rFonts w:ascii="Arial"/>
                <w:spacing w:val="-1"/>
                <w:sz w:val="20"/>
              </w:rPr>
              <w:t>1,697,036,209</w:t>
            </w:r>
            <w:r>
              <w:rPr>
                <w:rFonts w:ascii="Arial"/>
                <w:sz w:val="20"/>
              </w:rPr>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79"/>
              <w:jc w:val="right"/>
              <w:rPr>
                <w:rFonts w:ascii="Arial" w:hAnsi="Arial" w:cs="Arial" w:eastAsia="Arial" w:hint="default"/>
                <w:sz w:val="20"/>
                <w:szCs w:val="20"/>
              </w:rPr>
            </w:pPr>
            <w:r>
              <w:rPr>
                <w:rFonts w:ascii="Arial"/>
                <w:spacing w:val="-1"/>
                <w:sz w:val="20"/>
              </w:rPr>
              <w:t>1,397,118,426</w:t>
            </w:r>
            <w:r>
              <w:rPr>
                <w:rFonts w:ascii="Arial"/>
                <w:sz w:val="20"/>
              </w:rPr>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ind w:right="135"/>
              <w:jc w:val="right"/>
              <w:rPr>
                <w:rFonts w:ascii="Arial" w:hAnsi="Arial" w:cs="Arial" w:eastAsia="Arial" w:hint="default"/>
                <w:sz w:val="20"/>
                <w:szCs w:val="20"/>
              </w:rPr>
            </w:pPr>
            <w:r>
              <w:rPr>
                <w:rFonts w:ascii="Arial"/>
                <w:spacing w:val="-1"/>
                <w:sz w:val="20"/>
              </w:rPr>
              <w:t>1,697,036,209</w:t>
            </w:r>
            <w:r>
              <w:rPr>
                <w:rFonts w:ascii="Arial"/>
                <w:sz w:val="20"/>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6"/>
              <w:jc w:val="right"/>
              <w:rPr>
                <w:rFonts w:ascii="Arial" w:hAnsi="Arial" w:cs="Arial" w:eastAsia="Arial" w:hint="default"/>
                <w:sz w:val="20"/>
                <w:szCs w:val="20"/>
              </w:rPr>
            </w:pPr>
            <w:r>
              <w:rPr>
                <w:rFonts w:ascii="Arial"/>
                <w:spacing w:val="-1"/>
                <w:sz w:val="20"/>
              </w:rPr>
              <w:t>1,397,118,426</w:t>
            </w:r>
            <w:r>
              <w:rPr>
                <w:rFonts w:ascii="Arial"/>
                <w:sz w:val="20"/>
              </w:rPr>
            </w:r>
          </w:p>
        </w:tc>
      </w:tr>
      <w:tr>
        <w:trPr>
          <w:trHeight w:val="259" w:hRule="exact"/>
        </w:trPr>
        <w:tc>
          <w:tcPr>
            <w:tcW w:w="1621"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z w:val="20"/>
                <w:szCs w:val="20"/>
              </w:rPr>
              <w:t>应收票据</w:t>
            </w:r>
          </w:p>
        </w:tc>
        <w:tc>
          <w:tcPr>
            <w:tcW w:w="1593" w:type="dxa"/>
            <w:tcBorders>
              <w:top w:val="nil" w:sz="6" w:space="0" w:color="auto"/>
              <w:left w:val="nil" w:sz="6" w:space="0" w:color="auto"/>
              <w:bottom w:val="nil" w:sz="6" w:space="0" w:color="auto"/>
              <w:right w:val="nil" w:sz="6" w:space="0" w:color="auto"/>
            </w:tcBorders>
          </w:tcPr>
          <w:p>
            <w:pPr>
              <w:pStyle w:val="TableParagraph"/>
              <w:spacing w:line="219" w:lineRule="exact"/>
              <w:ind w:right="142"/>
              <w:jc w:val="right"/>
              <w:rPr>
                <w:rFonts w:ascii="Arial" w:hAnsi="Arial" w:cs="Arial" w:eastAsia="Arial" w:hint="default"/>
                <w:sz w:val="20"/>
                <w:szCs w:val="20"/>
              </w:rPr>
            </w:pPr>
            <w:r>
              <w:rPr>
                <w:rFonts w:ascii="Arial"/>
                <w:spacing w:val="-1"/>
                <w:sz w:val="20"/>
              </w:rPr>
              <w:t>53,428,161</w:t>
            </w:r>
            <w:r>
              <w:rPr>
                <w:rFonts w:ascii="Arial"/>
                <w:sz w:val="20"/>
              </w:rPr>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81"/>
              <w:jc w:val="right"/>
              <w:rPr>
                <w:rFonts w:ascii="Arial" w:hAnsi="Arial" w:cs="Arial" w:eastAsia="Arial" w:hint="default"/>
                <w:sz w:val="20"/>
                <w:szCs w:val="20"/>
              </w:rPr>
            </w:pPr>
            <w:r>
              <w:rPr>
                <w:rFonts w:ascii="Arial"/>
                <w:spacing w:val="-1"/>
                <w:sz w:val="20"/>
              </w:rPr>
              <w:t>13,254,381</w:t>
            </w:r>
            <w:r>
              <w:rPr>
                <w:rFonts w:ascii="Arial"/>
                <w:sz w:val="20"/>
              </w:rPr>
            </w:r>
          </w:p>
        </w:tc>
        <w:tc>
          <w:tcPr>
            <w:tcW w:w="1695" w:type="dxa"/>
            <w:tcBorders>
              <w:top w:val="nil" w:sz="6" w:space="0" w:color="auto"/>
              <w:left w:val="nil" w:sz="6" w:space="0" w:color="auto"/>
              <w:bottom w:val="nil" w:sz="6" w:space="0" w:color="auto"/>
              <w:right w:val="nil" w:sz="6" w:space="0" w:color="auto"/>
            </w:tcBorders>
          </w:tcPr>
          <w:p>
            <w:pPr>
              <w:pStyle w:val="TableParagraph"/>
              <w:spacing w:line="219" w:lineRule="exact"/>
              <w:ind w:right="135"/>
              <w:jc w:val="right"/>
              <w:rPr>
                <w:rFonts w:ascii="Arial" w:hAnsi="Arial" w:cs="Arial" w:eastAsia="Arial" w:hint="default"/>
                <w:sz w:val="20"/>
                <w:szCs w:val="20"/>
              </w:rPr>
            </w:pPr>
            <w:r>
              <w:rPr>
                <w:rFonts w:ascii="Arial"/>
                <w:spacing w:val="-1"/>
                <w:sz w:val="20"/>
              </w:rPr>
              <w:t>53,428,161</w:t>
            </w:r>
            <w:r>
              <w:rPr>
                <w:rFonts w:ascii="Arial"/>
                <w:sz w:val="20"/>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8"/>
              <w:jc w:val="right"/>
              <w:rPr>
                <w:rFonts w:ascii="Arial" w:hAnsi="Arial" w:cs="Arial" w:eastAsia="Arial" w:hint="default"/>
                <w:sz w:val="20"/>
                <w:szCs w:val="20"/>
              </w:rPr>
            </w:pPr>
            <w:r>
              <w:rPr>
                <w:rFonts w:ascii="Arial"/>
                <w:spacing w:val="-1"/>
                <w:sz w:val="20"/>
              </w:rPr>
              <w:t>13,254,381</w:t>
            </w:r>
            <w:r>
              <w:rPr>
                <w:rFonts w:ascii="Arial"/>
                <w:sz w:val="20"/>
              </w:rPr>
            </w:r>
          </w:p>
        </w:tc>
      </w:tr>
      <w:tr>
        <w:trPr>
          <w:trHeight w:val="259" w:hRule="exact"/>
        </w:trPr>
        <w:tc>
          <w:tcPr>
            <w:tcW w:w="1621"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z w:val="20"/>
                <w:szCs w:val="20"/>
              </w:rPr>
              <w:t>应收账款</w:t>
            </w:r>
          </w:p>
        </w:tc>
        <w:tc>
          <w:tcPr>
            <w:tcW w:w="1593" w:type="dxa"/>
            <w:tcBorders>
              <w:top w:val="nil" w:sz="6" w:space="0" w:color="auto"/>
              <w:left w:val="nil" w:sz="6" w:space="0" w:color="auto"/>
              <w:bottom w:val="nil" w:sz="6" w:space="0" w:color="auto"/>
              <w:right w:val="nil" w:sz="6" w:space="0" w:color="auto"/>
            </w:tcBorders>
          </w:tcPr>
          <w:p>
            <w:pPr>
              <w:pStyle w:val="TableParagraph"/>
              <w:spacing w:line="219" w:lineRule="exact"/>
              <w:ind w:right="142"/>
              <w:jc w:val="right"/>
              <w:rPr>
                <w:rFonts w:ascii="Arial" w:hAnsi="Arial" w:cs="Arial" w:eastAsia="Arial" w:hint="default"/>
                <w:sz w:val="20"/>
                <w:szCs w:val="20"/>
              </w:rPr>
            </w:pPr>
            <w:r>
              <w:rPr>
                <w:rFonts w:ascii="Arial"/>
                <w:spacing w:val="-1"/>
                <w:sz w:val="20"/>
              </w:rPr>
              <w:t>1,306,428,847</w:t>
            </w:r>
            <w:r>
              <w:rPr>
                <w:rFonts w:ascii="Arial"/>
                <w:sz w:val="20"/>
              </w:rPr>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81"/>
              <w:jc w:val="right"/>
              <w:rPr>
                <w:rFonts w:ascii="Arial" w:hAnsi="Arial" w:cs="Arial" w:eastAsia="Arial" w:hint="default"/>
                <w:sz w:val="20"/>
                <w:szCs w:val="20"/>
              </w:rPr>
            </w:pPr>
            <w:r>
              <w:rPr>
                <w:rFonts w:ascii="Arial"/>
                <w:spacing w:val="-1"/>
                <w:sz w:val="20"/>
              </w:rPr>
              <w:t>1,266,411,804</w:t>
            </w:r>
            <w:r>
              <w:rPr>
                <w:rFonts w:ascii="Arial"/>
                <w:sz w:val="20"/>
              </w:rPr>
            </w:r>
          </w:p>
        </w:tc>
        <w:tc>
          <w:tcPr>
            <w:tcW w:w="1695" w:type="dxa"/>
            <w:tcBorders>
              <w:top w:val="nil" w:sz="6" w:space="0" w:color="auto"/>
              <w:left w:val="nil" w:sz="6" w:space="0" w:color="auto"/>
              <w:bottom w:val="nil" w:sz="6" w:space="0" w:color="auto"/>
              <w:right w:val="nil" w:sz="6" w:space="0" w:color="auto"/>
            </w:tcBorders>
          </w:tcPr>
          <w:p>
            <w:pPr>
              <w:pStyle w:val="TableParagraph"/>
              <w:spacing w:line="219" w:lineRule="exact"/>
              <w:ind w:right="135"/>
              <w:jc w:val="right"/>
              <w:rPr>
                <w:rFonts w:ascii="Arial" w:hAnsi="Arial" w:cs="Arial" w:eastAsia="Arial" w:hint="default"/>
                <w:sz w:val="20"/>
                <w:szCs w:val="20"/>
              </w:rPr>
            </w:pPr>
            <w:r>
              <w:rPr>
                <w:rFonts w:ascii="Arial"/>
                <w:spacing w:val="-1"/>
                <w:sz w:val="20"/>
              </w:rPr>
              <w:t>1,306,428,847</w:t>
            </w:r>
            <w:r>
              <w:rPr>
                <w:rFonts w:ascii="Arial"/>
                <w:sz w:val="20"/>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6"/>
              <w:jc w:val="right"/>
              <w:rPr>
                <w:rFonts w:ascii="Arial" w:hAnsi="Arial" w:cs="Arial" w:eastAsia="Arial" w:hint="default"/>
                <w:sz w:val="20"/>
                <w:szCs w:val="20"/>
              </w:rPr>
            </w:pPr>
            <w:r>
              <w:rPr>
                <w:rFonts w:ascii="Arial"/>
                <w:spacing w:val="-1"/>
                <w:sz w:val="20"/>
              </w:rPr>
              <w:t>1,266,411,804</w:t>
            </w:r>
            <w:r>
              <w:rPr>
                <w:rFonts w:ascii="Arial"/>
                <w:sz w:val="20"/>
              </w:rPr>
            </w:r>
          </w:p>
        </w:tc>
      </w:tr>
      <w:tr>
        <w:trPr>
          <w:trHeight w:val="390" w:hRule="exact"/>
        </w:trPr>
        <w:tc>
          <w:tcPr>
            <w:tcW w:w="1621"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z w:val="20"/>
                <w:szCs w:val="20"/>
              </w:rPr>
              <w:t>其他应收款</w:t>
            </w:r>
          </w:p>
        </w:tc>
        <w:tc>
          <w:tcPr>
            <w:tcW w:w="1593" w:type="dxa"/>
            <w:tcBorders>
              <w:top w:val="nil" w:sz="6" w:space="0" w:color="auto"/>
              <w:left w:val="nil" w:sz="6" w:space="0" w:color="auto"/>
              <w:bottom w:val="nil" w:sz="6" w:space="0" w:color="auto"/>
              <w:right w:val="nil" w:sz="6" w:space="0" w:color="auto"/>
            </w:tcBorders>
          </w:tcPr>
          <w:p>
            <w:pPr>
              <w:pStyle w:val="TableParagraph"/>
              <w:spacing w:line="219" w:lineRule="exact"/>
              <w:ind w:right="137"/>
              <w:jc w:val="right"/>
              <w:rPr>
                <w:rFonts w:ascii="Arial" w:hAnsi="Arial" w:cs="Arial" w:eastAsia="Arial" w:hint="default"/>
                <w:sz w:val="20"/>
                <w:szCs w:val="20"/>
              </w:rPr>
            </w:pPr>
            <w:r>
              <w:rPr>
                <w:rFonts w:ascii="Arial"/>
                <w:spacing w:val="-1"/>
                <w:sz w:val="20"/>
              </w:rPr>
              <w:t>86,933,586</w:t>
            </w:r>
            <w:r>
              <w:rPr>
                <w:rFonts w:ascii="Arial"/>
                <w:sz w:val="20"/>
              </w:rPr>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81"/>
              <w:jc w:val="right"/>
              <w:rPr>
                <w:rFonts w:ascii="Arial" w:hAnsi="Arial" w:cs="Arial" w:eastAsia="Arial" w:hint="default"/>
                <w:sz w:val="20"/>
                <w:szCs w:val="20"/>
              </w:rPr>
            </w:pPr>
            <w:r>
              <w:rPr>
                <w:rFonts w:ascii="Arial"/>
                <w:spacing w:val="-1"/>
                <w:sz w:val="20"/>
              </w:rPr>
              <w:t>81,057,244</w:t>
            </w:r>
            <w:r>
              <w:rPr>
                <w:rFonts w:ascii="Arial"/>
                <w:sz w:val="20"/>
              </w:rPr>
            </w:r>
          </w:p>
        </w:tc>
        <w:tc>
          <w:tcPr>
            <w:tcW w:w="1695" w:type="dxa"/>
            <w:tcBorders>
              <w:top w:val="nil" w:sz="6" w:space="0" w:color="auto"/>
              <w:left w:val="nil" w:sz="6" w:space="0" w:color="auto"/>
              <w:bottom w:val="nil" w:sz="6" w:space="0" w:color="auto"/>
              <w:right w:val="nil" w:sz="6" w:space="0" w:color="auto"/>
            </w:tcBorders>
          </w:tcPr>
          <w:p>
            <w:pPr>
              <w:pStyle w:val="TableParagraph"/>
              <w:spacing w:line="219" w:lineRule="exact"/>
              <w:ind w:right="135"/>
              <w:jc w:val="right"/>
              <w:rPr>
                <w:rFonts w:ascii="Arial" w:hAnsi="Arial" w:cs="Arial" w:eastAsia="Arial" w:hint="default"/>
                <w:sz w:val="20"/>
                <w:szCs w:val="20"/>
              </w:rPr>
            </w:pPr>
            <w:r>
              <w:rPr>
                <w:rFonts w:ascii="Arial"/>
                <w:spacing w:val="-1"/>
                <w:sz w:val="20"/>
              </w:rPr>
              <w:t>86,933,586</w:t>
            </w:r>
            <w:r>
              <w:rPr>
                <w:rFonts w:ascii="Arial"/>
                <w:sz w:val="20"/>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8"/>
              <w:jc w:val="right"/>
              <w:rPr>
                <w:rFonts w:ascii="Arial" w:hAnsi="Arial" w:cs="Arial" w:eastAsia="Arial" w:hint="default"/>
                <w:sz w:val="20"/>
                <w:szCs w:val="20"/>
              </w:rPr>
            </w:pPr>
            <w:r>
              <w:rPr>
                <w:rFonts w:ascii="Arial"/>
                <w:spacing w:val="-1"/>
                <w:sz w:val="20"/>
              </w:rPr>
              <w:t>81,057,244</w:t>
            </w:r>
            <w:r>
              <w:rPr>
                <w:rFonts w:ascii="Arial"/>
                <w:sz w:val="20"/>
              </w:rPr>
            </w:r>
          </w:p>
        </w:tc>
      </w:tr>
      <w:tr>
        <w:trPr>
          <w:trHeight w:val="376" w:hRule="exact"/>
        </w:trPr>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黑体" w:hAnsi="黑体" w:cs="黑体" w:eastAsia="黑体" w:hint="default"/>
                <w:sz w:val="20"/>
                <w:szCs w:val="20"/>
              </w:rPr>
            </w:pPr>
            <w:r>
              <w:rPr>
                <w:rFonts w:ascii="黑体" w:hAnsi="黑体" w:cs="黑体" w:eastAsia="黑体" w:hint="default"/>
                <w:sz w:val="20"/>
                <w:szCs w:val="20"/>
              </w:rPr>
              <w:t>金融负债</w:t>
            </w:r>
          </w:p>
        </w:tc>
        <w:tc>
          <w:tcPr>
            <w:tcW w:w="1593"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
        </w:tc>
        <w:tc>
          <w:tcPr>
            <w:tcW w:w="1522" w:type="dxa"/>
            <w:tcBorders>
              <w:top w:val="nil" w:sz="6" w:space="0" w:color="auto"/>
              <w:left w:val="nil" w:sz="6" w:space="0" w:color="auto"/>
              <w:bottom w:val="nil" w:sz="6" w:space="0" w:color="auto"/>
              <w:right w:val="nil" w:sz="6" w:space="0" w:color="auto"/>
            </w:tcBorders>
          </w:tcPr>
          <w:p>
            <w:pPr/>
          </w:p>
        </w:tc>
      </w:tr>
      <w:tr>
        <w:trPr>
          <w:trHeight w:val="271" w:hRule="exact"/>
        </w:trPr>
        <w:tc>
          <w:tcPr>
            <w:tcW w:w="1621" w:type="dxa"/>
            <w:tcBorders>
              <w:top w:val="nil" w:sz="6" w:space="0" w:color="auto"/>
              <w:left w:val="nil" w:sz="6" w:space="0" w:color="auto"/>
              <w:bottom w:val="nil" w:sz="6" w:space="0" w:color="auto"/>
              <w:right w:val="nil" w:sz="6" w:space="0" w:color="auto"/>
            </w:tcBorders>
          </w:tcPr>
          <w:p>
            <w:pPr>
              <w:pStyle w:val="TableParagraph"/>
              <w:spacing w:line="229" w:lineRule="exact"/>
              <w:ind w:left="200" w:right="0"/>
              <w:jc w:val="left"/>
              <w:rPr>
                <w:rFonts w:ascii="黑体" w:hAnsi="黑体" w:cs="黑体" w:eastAsia="黑体" w:hint="default"/>
                <w:sz w:val="20"/>
                <w:szCs w:val="20"/>
              </w:rPr>
            </w:pPr>
            <w:r>
              <w:rPr>
                <w:rFonts w:ascii="黑体" w:hAnsi="黑体" w:cs="黑体" w:eastAsia="黑体" w:hint="default"/>
                <w:sz w:val="20"/>
                <w:szCs w:val="20"/>
              </w:rPr>
              <w:t>短期借款</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2"/>
              <w:jc w:val="right"/>
              <w:rPr>
                <w:rFonts w:ascii="Arial" w:hAnsi="Arial" w:cs="Arial" w:eastAsia="Arial" w:hint="default"/>
                <w:sz w:val="20"/>
                <w:szCs w:val="20"/>
              </w:rPr>
            </w:pPr>
            <w:r>
              <w:rPr>
                <w:rFonts w:ascii="Arial"/>
                <w:spacing w:val="-1"/>
                <w:sz w:val="20"/>
              </w:rPr>
              <w:t>1,010,000,000</w:t>
            </w:r>
            <w:r>
              <w:rPr>
                <w:rFonts w:ascii="Arial"/>
                <w:sz w:val="20"/>
              </w:rPr>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79"/>
              <w:jc w:val="right"/>
              <w:rPr>
                <w:rFonts w:ascii="Arial" w:hAnsi="Arial" w:cs="Arial" w:eastAsia="Arial" w:hint="default"/>
                <w:sz w:val="20"/>
                <w:szCs w:val="20"/>
              </w:rPr>
            </w:pPr>
            <w:r>
              <w:rPr>
                <w:rFonts w:ascii="Arial"/>
                <w:spacing w:val="-1"/>
                <w:sz w:val="20"/>
              </w:rPr>
              <w:t>490,000,000</w:t>
            </w:r>
            <w:r>
              <w:rPr>
                <w:rFonts w:ascii="Arial"/>
                <w:sz w:val="20"/>
              </w:rPr>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5"/>
              <w:jc w:val="right"/>
              <w:rPr>
                <w:rFonts w:ascii="Arial" w:hAnsi="Arial" w:cs="Arial" w:eastAsia="Arial" w:hint="default"/>
                <w:sz w:val="20"/>
                <w:szCs w:val="20"/>
              </w:rPr>
            </w:pPr>
            <w:r>
              <w:rPr>
                <w:rFonts w:ascii="Arial"/>
                <w:spacing w:val="-1"/>
                <w:sz w:val="20"/>
              </w:rPr>
              <w:t>1,010,000,000</w:t>
            </w:r>
            <w:r>
              <w:rPr>
                <w:rFonts w:ascii="Arial"/>
                <w:sz w:val="20"/>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Arial" w:hAnsi="Arial" w:cs="Arial" w:eastAsia="Arial" w:hint="default"/>
                <w:sz w:val="20"/>
                <w:szCs w:val="20"/>
              </w:rPr>
            </w:pPr>
            <w:r>
              <w:rPr>
                <w:rFonts w:ascii="Arial"/>
                <w:spacing w:val="-1"/>
                <w:sz w:val="20"/>
              </w:rPr>
              <w:t>490,000,000</w:t>
            </w:r>
            <w:r>
              <w:rPr>
                <w:rFonts w:ascii="Arial"/>
                <w:sz w:val="20"/>
              </w:rPr>
            </w:r>
          </w:p>
        </w:tc>
      </w:tr>
      <w:tr>
        <w:trPr>
          <w:trHeight w:val="260" w:hRule="exact"/>
        </w:trPr>
        <w:tc>
          <w:tcPr>
            <w:tcW w:w="1621" w:type="dxa"/>
            <w:tcBorders>
              <w:top w:val="nil" w:sz="6" w:space="0" w:color="auto"/>
              <w:left w:val="nil" w:sz="6" w:space="0" w:color="auto"/>
              <w:bottom w:val="nil" w:sz="6" w:space="0" w:color="auto"/>
              <w:right w:val="nil" w:sz="6" w:space="0" w:color="auto"/>
            </w:tcBorders>
          </w:tcPr>
          <w:p>
            <w:pPr>
              <w:pStyle w:val="TableParagraph"/>
              <w:spacing w:line="217" w:lineRule="exact"/>
              <w:ind w:left="202" w:right="0"/>
              <w:jc w:val="left"/>
              <w:rPr>
                <w:rFonts w:ascii="黑体" w:hAnsi="黑体" w:cs="黑体" w:eastAsia="黑体" w:hint="default"/>
                <w:sz w:val="20"/>
                <w:szCs w:val="20"/>
              </w:rPr>
            </w:pPr>
            <w:r>
              <w:rPr>
                <w:rFonts w:ascii="黑体" w:hAnsi="黑体" w:cs="黑体" w:eastAsia="黑体" w:hint="default"/>
                <w:sz w:val="20"/>
                <w:szCs w:val="20"/>
              </w:rPr>
              <w:t>应付账款</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42"/>
              <w:jc w:val="right"/>
              <w:rPr>
                <w:rFonts w:ascii="Arial" w:hAnsi="Arial" w:cs="Arial" w:eastAsia="Arial" w:hint="default"/>
                <w:sz w:val="20"/>
                <w:szCs w:val="20"/>
              </w:rPr>
            </w:pPr>
            <w:r>
              <w:rPr>
                <w:rFonts w:ascii="Arial"/>
                <w:spacing w:val="-1"/>
                <w:sz w:val="20"/>
              </w:rPr>
              <w:t>289,175,529</w:t>
            </w:r>
            <w:r>
              <w:rPr>
                <w:rFonts w:ascii="Arial"/>
                <w:sz w:val="20"/>
              </w:rPr>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81"/>
              <w:jc w:val="right"/>
              <w:rPr>
                <w:rFonts w:ascii="Arial" w:hAnsi="Arial" w:cs="Arial" w:eastAsia="Arial" w:hint="default"/>
                <w:sz w:val="20"/>
                <w:szCs w:val="20"/>
              </w:rPr>
            </w:pPr>
            <w:r>
              <w:rPr>
                <w:rFonts w:ascii="Arial"/>
                <w:spacing w:val="-1"/>
                <w:sz w:val="20"/>
              </w:rPr>
              <w:t>227,014,672</w:t>
            </w:r>
            <w:r>
              <w:rPr>
                <w:rFonts w:ascii="Arial"/>
                <w:sz w:val="20"/>
              </w:rPr>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5"/>
              <w:jc w:val="right"/>
              <w:rPr>
                <w:rFonts w:ascii="Arial" w:hAnsi="Arial" w:cs="Arial" w:eastAsia="Arial" w:hint="default"/>
                <w:sz w:val="20"/>
                <w:szCs w:val="20"/>
              </w:rPr>
            </w:pPr>
            <w:r>
              <w:rPr>
                <w:rFonts w:ascii="Arial"/>
                <w:spacing w:val="-1"/>
                <w:sz w:val="20"/>
              </w:rPr>
              <w:t>289,175,529</w:t>
            </w:r>
            <w:r>
              <w:rPr>
                <w:rFonts w:ascii="Arial"/>
                <w:sz w:val="20"/>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6"/>
              <w:jc w:val="right"/>
              <w:rPr>
                <w:rFonts w:ascii="Arial" w:hAnsi="Arial" w:cs="Arial" w:eastAsia="Arial" w:hint="default"/>
                <w:sz w:val="20"/>
                <w:szCs w:val="20"/>
              </w:rPr>
            </w:pPr>
            <w:r>
              <w:rPr>
                <w:rFonts w:ascii="Arial"/>
                <w:spacing w:val="-1"/>
                <w:sz w:val="20"/>
              </w:rPr>
              <w:t>227,014,672</w:t>
            </w:r>
            <w:r>
              <w:rPr>
                <w:rFonts w:ascii="Arial"/>
                <w:sz w:val="20"/>
              </w:rPr>
            </w:r>
          </w:p>
        </w:tc>
      </w:tr>
      <w:tr>
        <w:trPr>
          <w:trHeight w:val="259" w:hRule="exact"/>
        </w:trPr>
        <w:tc>
          <w:tcPr>
            <w:tcW w:w="1621" w:type="dxa"/>
            <w:tcBorders>
              <w:top w:val="nil" w:sz="6" w:space="0" w:color="auto"/>
              <w:left w:val="nil" w:sz="6" w:space="0" w:color="auto"/>
              <w:bottom w:val="nil" w:sz="6" w:space="0" w:color="auto"/>
              <w:right w:val="nil" w:sz="6" w:space="0" w:color="auto"/>
            </w:tcBorders>
          </w:tcPr>
          <w:p>
            <w:pPr>
              <w:pStyle w:val="TableParagraph"/>
              <w:spacing w:line="218" w:lineRule="exact"/>
              <w:ind w:left="202" w:right="0"/>
              <w:jc w:val="left"/>
              <w:rPr>
                <w:rFonts w:ascii="黑体" w:hAnsi="黑体" w:cs="黑体" w:eastAsia="黑体" w:hint="default"/>
                <w:sz w:val="20"/>
                <w:szCs w:val="20"/>
              </w:rPr>
            </w:pPr>
            <w:r>
              <w:rPr>
                <w:rFonts w:ascii="黑体" w:hAnsi="黑体" w:cs="黑体" w:eastAsia="黑体" w:hint="default"/>
                <w:sz w:val="20"/>
                <w:szCs w:val="20"/>
              </w:rPr>
              <w:t>其他应付款</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2"/>
              <w:jc w:val="right"/>
              <w:rPr>
                <w:rFonts w:ascii="Arial" w:hAnsi="Arial" w:cs="Arial" w:eastAsia="Arial" w:hint="default"/>
                <w:sz w:val="20"/>
                <w:szCs w:val="20"/>
              </w:rPr>
            </w:pPr>
            <w:r>
              <w:rPr>
                <w:rFonts w:ascii="Arial"/>
                <w:spacing w:val="-1"/>
                <w:sz w:val="20"/>
              </w:rPr>
              <w:t>202,230,359</w:t>
            </w:r>
            <w:r>
              <w:rPr>
                <w:rFonts w:ascii="Arial"/>
                <w:sz w:val="20"/>
              </w:rPr>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1"/>
              <w:jc w:val="right"/>
              <w:rPr>
                <w:rFonts w:ascii="Arial" w:hAnsi="Arial" w:cs="Arial" w:eastAsia="Arial" w:hint="default"/>
                <w:sz w:val="20"/>
                <w:szCs w:val="20"/>
              </w:rPr>
            </w:pPr>
            <w:r>
              <w:rPr>
                <w:rFonts w:ascii="Arial"/>
                <w:spacing w:val="-1"/>
                <w:sz w:val="20"/>
              </w:rPr>
              <w:t>258,500,441</w:t>
            </w:r>
            <w:r>
              <w:rPr>
                <w:rFonts w:ascii="Arial"/>
                <w:sz w:val="20"/>
              </w:rPr>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5"/>
              <w:jc w:val="right"/>
              <w:rPr>
                <w:rFonts w:ascii="Arial" w:hAnsi="Arial" w:cs="Arial" w:eastAsia="Arial" w:hint="default"/>
                <w:sz w:val="20"/>
                <w:szCs w:val="20"/>
              </w:rPr>
            </w:pPr>
            <w:r>
              <w:rPr>
                <w:rFonts w:ascii="Arial"/>
                <w:spacing w:val="-1"/>
                <w:sz w:val="20"/>
              </w:rPr>
              <w:t>202,230,359</w:t>
            </w:r>
            <w:r>
              <w:rPr>
                <w:rFonts w:ascii="Arial"/>
                <w:sz w:val="20"/>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8"/>
              <w:jc w:val="right"/>
              <w:rPr>
                <w:rFonts w:ascii="Arial" w:hAnsi="Arial" w:cs="Arial" w:eastAsia="Arial" w:hint="default"/>
                <w:sz w:val="20"/>
                <w:szCs w:val="20"/>
              </w:rPr>
            </w:pPr>
            <w:r>
              <w:rPr>
                <w:rFonts w:ascii="Arial"/>
                <w:spacing w:val="-1"/>
                <w:sz w:val="20"/>
              </w:rPr>
              <w:t>258,500,441</w:t>
            </w:r>
            <w:r>
              <w:rPr>
                <w:rFonts w:ascii="Arial"/>
                <w:sz w:val="20"/>
              </w:rPr>
            </w:r>
          </w:p>
        </w:tc>
      </w:tr>
      <w:tr>
        <w:trPr>
          <w:trHeight w:val="518" w:hRule="exact"/>
        </w:trPr>
        <w:tc>
          <w:tcPr>
            <w:tcW w:w="1621" w:type="dxa"/>
            <w:tcBorders>
              <w:top w:val="nil" w:sz="6" w:space="0" w:color="auto"/>
              <w:left w:val="nil" w:sz="6" w:space="0" w:color="auto"/>
              <w:bottom w:val="nil" w:sz="6" w:space="0" w:color="auto"/>
              <w:right w:val="nil" w:sz="6" w:space="0" w:color="auto"/>
            </w:tcBorders>
          </w:tcPr>
          <w:p>
            <w:pPr>
              <w:pStyle w:val="TableParagraph"/>
              <w:spacing w:line="217" w:lineRule="exact"/>
              <w:ind w:right="16"/>
              <w:jc w:val="center"/>
              <w:rPr>
                <w:rFonts w:ascii="黑体" w:hAnsi="黑体" w:cs="黑体" w:eastAsia="黑体" w:hint="default"/>
                <w:sz w:val="20"/>
                <w:szCs w:val="20"/>
              </w:rPr>
            </w:pPr>
            <w:r>
              <w:rPr>
                <w:rFonts w:ascii="黑体" w:hAnsi="黑体" w:cs="黑体" w:eastAsia="黑体" w:hint="default"/>
                <w:sz w:val="20"/>
                <w:szCs w:val="20"/>
              </w:rPr>
              <w:t>一年内到期的</w:t>
            </w:r>
          </w:p>
          <w:p>
            <w:pPr>
              <w:pStyle w:val="TableParagraph"/>
              <w:spacing w:line="260" w:lineRule="exact"/>
              <w:ind w:right="18"/>
              <w:jc w:val="center"/>
              <w:rPr>
                <w:rFonts w:ascii="黑体" w:hAnsi="黑体" w:cs="黑体" w:eastAsia="黑体" w:hint="default"/>
                <w:sz w:val="20"/>
                <w:szCs w:val="20"/>
              </w:rPr>
            </w:pPr>
            <w:r>
              <w:rPr>
                <w:rFonts w:ascii="黑体" w:hAnsi="黑体" w:cs="黑体" w:eastAsia="黑体" w:hint="default"/>
                <w:sz w:val="20"/>
                <w:szCs w:val="20"/>
              </w:rPr>
              <w:t>长期借款</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20"/>
                <w:szCs w:val="20"/>
              </w:rPr>
            </w:pPr>
          </w:p>
          <w:p>
            <w:pPr>
              <w:pStyle w:val="TableParagraph"/>
              <w:spacing w:line="240" w:lineRule="auto"/>
              <w:ind w:right="142"/>
              <w:jc w:val="right"/>
              <w:rPr>
                <w:rFonts w:ascii="Arial" w:hAnsi="Arial" w:cs="Arial" w:eastAsia="Arial" w:hint="default"/>
                <w:sz w:val="20"/>
                <w:szCs w:val="20"/>
              </w:rPr>
            </w:pPr>
            <w:r>
              <w:rPr>
                <w:rFonts w:ascii="Arial"/>
                <w:spacing w:val="-1"/>
                <w:sz w:val="20"/>
              </w:rPr>
              <w:t>100,000,000</w:t>
            </w:r>
            <w:r>
              <w:rPr>
                <w:rFonts w:ascii="Arial"/>
                <w:sz w:val="20"/>
              </w:rPr>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20"/>
                <w:szCs w:val="20"/>
              </w:rPr>
            </w:pPr>
          </w:p>
          <w:p>
            <w:pPr>
              <w:pStyle w:val="TableParagraph"/>
              <w:spacing w:line="240" w:lineRule="auto"/>
              <w:ind w:right="279"/>
              <w:jc w:val="right"/>
              <w:rPr>
                <w:rFonts w:ascii="Arial" w:hAnsi="Arial" w:cs="Arial" w:eastAsia="Arial" w:hint="default"/>
                <w:sz w:val="20"/>
                <w:szCs w:val="20"/>
              </w:rPr>
            </w:pPr>
            <w:r>
              <w:rPr>
                <w:rFonts w:ascii="Arial"/>
                <w:w w:val="99"/>
                <w:sz w:val="20"/>
              </w:rPr>
              <w:t>-</w:t>
            </w:r>
            <w:r>
              <w:rPr>
                <w:rFonts w:ascii="Arial"/>
                <w:sz w:val="20"/>
              </w:rPr>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20"/>
                <w:szCs w:val="20"/>
              </w:rPr>
            </w:pPr>
          </w:p>
          <w:p>
            <w:pPr>
              <w:pStyle w:val="TableParagraph"/>
              <w:spacing w:line="240" w:lineRule="auto"/>
              <w:ind w:right="135"/>
              <w:jc w:val="right"/>
              <w:rPr>
                <w:rFonts w:ascii="Arial" w:hAnsi="Arial" w:cs="Arial" w:eastAsia="Arial" w:hint="default"/>
                <w:sz w:val="20"/>
                <w:szCs w:val="20"/>
              </w:rPr>
            </w:pPr>
            <w:r>
              <w:rPr>
                <w:rFonts w:ascii="Arial"/>
                <w:spacing w:val="-1"/>
                <w:sz w:val="20"/>
              </w:rPr>
              <w:t>100,000,000</w:t>
            </w:r>
            <w:r>
              <w:rPr>
                <w:rFonts w:ascii="Arial"/>
                <w:sz w:val="20"/>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20"/>
                <w:szCs w:val="20"/>
              </w:rPr>
            </w:pPr>
          </w:p>
          <w:p>
            <w:pPr>
              <w:pStyle w:val="TableParagraph"/>
              <w:spacing w:line="240" w:lineRule="auto"/>
              <w:ind w:right="106"/>
              <w:jc w:val="right"/>
              <w:rPr>
                <w:rFonts w:ascii="Arial" w:hAnsi="Arial" w:cs="Arial" w:eastAsia="Arial" w:hint="default"/>
                <w:sz w:val="20"/>
                <w:szCs w:val="20"/>
              </w:rPr>
            </w:pPr>
            <w:r>
              <w:rPr>
                <w:rFonts w:ascii="Arial"/>
                <w:w w:val="99"/>
                <w:sz w:val="20"/>
              </w:rPr>
              <w:t>-</w:t>
            </w:r>
            <w:r>
              <w:rPr>
                <w:rFonts w:ascii="Arial"/>
                <w:sz w:val="20"/>
              </w:rPr>
            </w:r>
          </w:p>
        </w:tc>
      </w:tr>
      <w:tr>
        <w:trPr>
          <w:trHeight w:val="240" w:hRule="exact"/>
        </w:trPr>
        <w:tc>
          <w:tcPr>
            <w:tcW w:w="1621" w:type="dxa"/>
            <w:tcBorders>
              <w:top w:val="nil" w:sz="6" w:space="0" w:color="auto"/>
              <w:left w:val="nil" w:sz="6" w:space="0" w:color="auto"/>
              <w:bottom w:val="nil" w:sz="6" w:space="0" w:color="auto"/>
              <w:right w:val="nil" w:sz="6" w:space="0" w:color="auto"/>
            </w:tcBorders>
          </w:tcPr>
          <w:p>
            <w:pPr>
              <w:pStyle w:val="TableParagraph"/>
              <w:spacing w:line="218" w:lineRule="exact"/>
              <w:ind w:left="200" w:right="0"/>
              <w:jc w:val="left"/>
              <w:rPr>
                <w:rFonts w:ascii="黑体" w:hAnsi="黑体" w:cs="黑体" w:eastAsia="黑体" w:hint="default"/>
                <w:sz w:val="20"/>
                <w:szCs w:val="20"/>
              </w:rPr>
            </w:pPr>
            <w:r>
              <w:rPr>
                <w:rFonts w:ascii="黑体" w:hAnsi="黑体" w:cs="黑体" w:eastAsia="黑体" w:hint="default"/>
                <w:sz w:val="20"/>
                <w:szCs w:val="20"/>
              </w:rPr>
              <w:t>长期借款</w:t>
            </w:r>
          </w:p>
        </w:tc>
        <w:tc>
          <w:tcPr>
            <w:tcW w:w="159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2"/>
              <w:jc w:val="right"/>
              <w:rPr>
                <w:rFonts w:ascii="Arial" w:hAnsi="Arial" w:cs="Arial" w:eastAsia="Arial" w:hint="default"/>
                <w:sz w:val="20"/>
                <w:szCs w:val="20"/>
              </w:rPr>
            </w:pPr>
            <w:r>
              <w:rPr>
                <w:rFonts w:ascii="Arial"/>
                <w:spacing w:val="-1"/>
                <w:sz w:val="20"/>
              </w:rPr>
              <w:t>158,763,319</w:t>
            </w:r>
            <w:r>
              <w:rPr>
                <w:rFonts w:ascii="Arial"/>
                <w:sz w:val="20"/>
              </w:rPr>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79"/>
              <w:jc w:val="right"/>
              <w:rPr>
                <w:rFonts w:ascii="Arial" w:hAnsi="Arial" w:cs="Arial" w:eastAsia="Arial" w:hint="default"/>
                <w:sz w:val="20"/>
                <w:szCs w:val="20"/>
              </w:rPr>
            </w:pPr>
            <w:r>
              <w:rPr>
                <w:rFonts w:ascii="Arial"/>
                <w:spacing w:val="-1"/>
                <w:sz w:val="20"/>
              </w:rPr>
              <w:t>180,000,000</w:t>
            </w:r>
            <w:r>
              <w:rPr>
                <w:rFonts w:ascii="Arial"/>
                <w:sz w:val="20"/>
              </w:rPr>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5"/>
              <w:jc w:val="right"/>
              <w:rPr>
                <w:rFonts w:ascii="Arial" w:hAnsi="Arial" w:cs="Arial" w:eastAsia="Arial" w:hint="default"/>
                <w:sz w:val="20"/>
                <w:szCs w:val="20"/>
              </w:rPr>
            </w:pPr>
            <w:r>
              <w:rPr>
                <w:rFonts w:ascii="Arial"/>
                <w:spacing w:val="-1"/>
                <w:sz w:val="20"/>
              </w:rPr>
              <w:t>158,763,319</w:t>
            </w:r>
            <w:r>
              <w:rPr>
                <w:rFonts w:ascii="Arial"/>
                <w:sz w:val="20"/>
              </w:rPr>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Arial" w:hAnsi="Arial" w:cs="Arial" w:eastAsia="Arial" w:hint="default"/>
                <w:sz w:val="20"/>
                <w:szCs w:val="20"/>
              </w:rPr>
            </w:pPr>
            <w:r>
              <w:rPr>
                <w:rFonts w:ascii="Arial"/>
                <w:spacing w:val="-1"/>
                <w:sz w:val="20"/>
              </w:rPr>
              <w:t>180,000,000</w:t>
            </w:r>
            <w:r>
              <w:rPr>
                <w:rFonts w:ascii="Arial"/>
                <w:sz w:val="20"/>
              </w:rPr>
            </w:r>
          </w:p>
        </w:tc>
      </w:tr>
    </w:tbl>
    <w:p>
      <w:pPr>
        <w:spacing w:after="0" w:line="240" w:lineRule="auto"/>
        <w:jc w:val="right"/>
        <w:rPr>
          <w:rFonts w:ascii="Arial" w:hAnsi="Arial" w:cs="Arial" w:eastAsia="Arial" w:hint="default"/>
          <w:sz w:val="20"/>
          <w:szCs w:val="20"/>
        </w:rPr>
        <w:sectPr>
          <w:pgSz w:w="11910" w:h="16850"/>
          <w:pgMar w:header="957" w:footer="689" w:top="2560" w:bottom="880" w:left="1600" w:right="1460"/>
        </w:sectPr>
      </w:pPr>
    </w:p>
    <w:p>
      <w:pPr>
        <w:spacing w:line="240" w:lineRule="auto" w:before="11"/>
        <w:rPr>
          <w:rFonts w:ascii="黑体" w:hAnsi="黑体" w:cs="黑体" w:eastAsia="黑体" w:hint="default"/>
          <w:sz w:val="14"/>
          <w:szCs w:val="14"/>
        </w:rPr>
      </w:pPr>
    </w:p>
    <w:p>
      <w:pPr>
        <w:pStyle w:val="Heading6"/>
        <w:spacing w:line="240" w:lineRule="auto"/>
        <w:ind w:right="3627"/>
        <w:jc w:val="left"/>
        <w:rPr>
          <w:b w:val="0"/>
          <w:bCs w:val="0"/>
        </w:rPr>
      </w:pPr>
      <w:r>
        <w:rPr/>
        <w:t>十三、</w:t>
      </w:r>
      <w:r>
        <w:rPr>
          <w:spacing w:val="-2"/>
        </w:rPr>
        <w:t> </w:t>
      </w:r>
      <w:r>
        <w:rPr/>
        <w:t>公司财务报表主要项目注释</w:t>
      </w:r>
      <w:r>
        <w:rPr>
          <w:b w:val="0"/>
          <w:bCs w:val="0"/>
        </w:rPr>
      </w:r>
    </w:p>
    <w:p>
      <w:pPr>
        <w:spacing w:line="240" w:lineRule="auto" w:before="5"/>
        <w:rPr>
          <w:rFonts w:ascii="黑体" w:hAnsi="黑体" w:cs="黑体" w:eastAsia="黑体" w:hint="default"/>
          <w:b/>
          <w:bCs/>
          <w:sz w:val="22"/>
          <w:szCs w:val="22"/>
        </w:rPr>
      </w:pPr>
    </w:p>
    <w:p>
      <w:pPr>
        <w:pStyle w:val="Heading6"/>
        <w:tabs>
          <w:tab w:pos="823" w:val="left" w:leader="none"/>
        </w:tabs>
        <w:spacing w:line="240" w:lineRule="auto" w:before="0"/>
        <w:ind w:right="3627"/>
        <w:jc w:val="left"/>
        <w:rPr>
          <w:b w:val="0"/>
          <w:bCs w:val="0"/>
        </w:rPr>
      </w:pPr>
      <w:r>
        <w:rPr>
          <w:rFonts w:ascii="Arial" w:hAnsi="Arial" w:cs="Arial" w:eastAsia="Arial" w:hint="default"/>
          <w:spacing w:val="-1"/>
          <w:w w:val="95"/>
        </w:rPr>
        <w:t>1</w:t>
      </w:r>
      <w:r>
        <w:rPr>
          <w:spacing w:val="-1"/>
          <w:w w:val="95"/>
        </w:rPr>
        <w:t>．</w:t>
        <w:tab/>
      </w:r>
      <w:r>
        <w:rPr>
          <w:spacing w:val="1"/>
        </w:rPr>
        <w:t>货币资金</w:t>
      </w:r>
      <w:r>
        <w:rPr>
          <w:b w:val="0"/>
          <w:bCs w:val="0"/>
        </w:rPr>
      </w:r>
    </w:p>
    <w:p>
      <w:pPr>
        <w:spacing w:line="240" w:lineRule="auto" w:before="0"/>
        <w:rPr>
          <w:rFonts w:ascii="黑体" w:hAnsi="黑体" w:cs="黑体" w:eastAsia="黑体" w:hint="default"/>
          <w:b/>
          <w:bCs/>
          <w:sz w:val="24"/>
          <w:szCs w:val="24"/>
        </w:rPr>
      </w:pPr>
    </w:p>
    <w:tbl>
      <w:tblPr>
        <w:tblW w:w="0" w:type="auto"/>
        <w:jc w:val="left"/>
        <w:tblInd w:w="638" w:type="dxa"/>
        <w:tblLayout w:type="fixed"/>
        <w:tblCellMar>
          <w:top w:w="0" w:type="dxa"/>
          <w:left w:w="0" w:type="dxa"/>
          <w:bottom w:w="0" w:type="dxa"/>
          <w:right w:w="0" w:type="dxa"/>
        </w:tblCellMar>
        <w:tblLook w:val="01E0"/>
      </w:tblPr>
      <w:tblGrid>
        <w:gridCol w:w="1338"/>
        <w:gridCol w:w="1171"/>
        <w:gridCol w:w="696"/>
        <w:gridCol w:w="1094"/>
        <w:gridCol w:w="439"/>
        <w:gridCol w:w="1386"/>
        <w:gridCol w:w="782"/>
        <w:gridCol w:w="1096"/>
      </w:tblGrid>
      <w:tr>
        <w:trPr>
          <w:trHeight w:val="219" w:hRule="exact"/>
        </w:trPr>
        <w:tc>
          <w:tcPr>
            <w:tcW w:w="4299" w:type="dxa"/>
            <w:gridSpan w:val="4"/>
            <w:tcBorders>
              <w:top w:val="nil" w:sz="6" w:space="0" w:color="auto"/>
              <w:left w:val="nil" w:sz="6" w:space="0" w:color="auto"/>
              <w:bottom w:val="nil" w:sz="6" w:space="0" w:color="auto"/>
              <w:right w:val="nil" w:sz="6" w:space="0" w:color="auto"/>
            </w:tcBorders>
          </w:tcPr>
          <w:p>
            <w:pPr>
              <w:pStyle w:val="TableParagraph"/>
              <w:spacing w:line="193" w:lineRule="exact"/>
              <w:ind w:left="2136" w:right="0"/>
              <w:jc w:val="left"/>
              <w:rPr>
                <w:rFonts w:ascii="黑体" w:hAnsi="黑体" w:cs="黑体" w:eastAsia="黑体" w:hint="default"/>
                <w:sz w:val="18"/>
                <w:szCs w:val="18"/>
              </w:rPr>
            </w:pPr>
            <w:r>
              <w:rPr>
                <w:rFonts w:ascii="Arial" w:hAnsi="Arial" w:cs="Arial" w:eastAsia="Arial" w:hint="default"/>
                <w:sz w:val="18"/>
                <w:szCs w:val="18"/>
              </w:rPr>
              <w:t>2012</w:t>
            </w:r>
            <w:r>
              <w:rPr>
                <w:rFonts w:ascii="黑体" w:hAnsi="黑体" w:cs="黑体" w:eastAsia="黑体" w:hint="default"/>
                <w:sz w:val="18"/>
                <w:szCs w:val="18"/>
              </w:rPr>
              <w:t>年</w:t>
            </w:r>
            <w:r>
              <w:rPr>
                <w:rFonts w:ascii="Arial" w:hAnsi="Arial" w:cs="Arial" w:eastAsia="Arial" w:hint="default"/>
                <w:sz w:val="18"/>
                <w:szCs w:val="18"/>
              </w:rPr>
              <w:t>12</w:t>
            </w:r>
            <w:r>
              <w:rPr>
                <w:rFonts w:ascii="黑体" w:hAnsi="黑体" w:cs="黑体" w:eastAsia="黑体" w:hint="default"/>
                <w:sz w:val="18"/>
                <w:szCs w:val="18"/>
              </w:rPr>
              <w:t>月</w:t>
            </w:r>
            <w:r>
              <w:rPr>
                <w:rFonts w:ascii="Arial" w:hAnsi="Arial" w:cs="Arial" w:eastAsia="Arial" w:hint="default"/>
                <w:sz w:val="18"/>
                <w:szCs w:val="18"/>
              </w:rPr>
              <w:t>31</w:t>
            </w:r>
            <w:r>
              <w:rPr>
                <w:rFonts w:ascii="黑体" w:hAnsi="黑体" w:cs="黑体" w:eastAsia="黑体" w:hint="default"/>
                <w:sz w:val="18"/>
                <w:szCs w:val="18"/>
              </w:rPr>
              <w:t>日</w:t>
            </w:r>
          </w:p>
        </w:tc>
        <w:tc>
          <w:tcPr>
            <w:tcW w:w="439" w:type="dxa"/>
            <w:tcBorders>
              <w:top w:val="nil" w:sz="6" w:space="0" w:color="auto"/>
              <w:left w:val="nil" w:sz="6" w:space="0" w:color="auto"/>
              <w:bottom w:val="nil" w:sz="6" w:space="0" w:color="auto"/>
              <w:right w:val="nil" w:sz="6" w:space="0" w:color="auto"/>
            </w:tcBorders>
          </w:tcPr>
          <w:p>
            <w:pPr/>
          </w:p>
        </w:tc>
        <w:tc>
          <w:tcPr>
            <w:tcW w:w="3264" w:type="dxa"/>
            <w:gridSpan w:val="3"/>
            <w:tcBorders>
              <w:top w:val="nil" w:sz="6" w:space="0" w:color="auto"/>
              <w:left w:val="nil" w:sz="6" w:space="0" w:color="auto"/>
              <w:bottom w:val="single" w:sz="4" w:space="0" w:color="000000"/>
              <w:right w:val="nil" w:sz="6" w:space="0" w:color="auto"/>
            </w:tcBorders>
          </w:tcPr>
          <w:p>
            <w:pPr>
              <w:pStyle w:val="TableParagraph"/>
              <w:spacing w:line="193" w:lineRule="exact"/>
              <w:ind w:left="957" w:right="0"/>
              <w:jc w:val="left"/>
              <w:rPr>
                <w:rFonts w:ascii="黑体" w:hAnsi="黑体" w:cs="黑体" w:eastAsia="黑体" w:hint="default"/>
                <w:sz w:val="18"/>
                <w:szCs w:val="18"/>
              </w:rPr>
            </w:pPr>
            <w:r>
              <w:rPr>
                <w:rFonts w:ascii="Arial" w:hAnsi="Arial" w:cs="Arial" w:eastAsia="Arial" w:hint="default"/>
                <w:sz w:val="18"/>
                <w:szCs w:val="18"/>
              </w:rPr>
              <w:t>2011</w:t>
            </w:r>
            <w:r>
              <w:rPr>
                <w:rFonts w:ascii="黑体" w:hAnsi="黑体" w:cs="黑体" w:eastAsia="黑体" w:hint="default"/>
                <w:sz w:val="18"/>
                <w:szCs w:val="18"/>
              </w:rPr>
              <w:t>年</w:t>
            </w:r>
            <w:r>
              <w:rPr>
                <w:rFonts w:ascii="Arial" w:hAnsi="Arial" w:cs="Arial" w:eastAsia="Arial" w:hint="default"/>
                <w:sz w:val="18"/>
                <w:szCs w:val="18"/>
              </w:rPr>
              <w:t>12</w:t>
            </w:r>
            <w:r>
              <w:rPr>
                <w:rFonts w:ascii="黑体" w:hAnsi="黑体" w:cs="黑体" w:eastAsia="黑体" w:hint="default"/>
                <w:sz w:val="18"/>
                <w:szCs w:val="18"/>
              </w:rPr>
              <w:t>月</w:t>
            </w:r>
            <w:r>
              <w:rPr>
                <w:rFonts w:ascii="Arial" w:hAnsi="Arial" w:cs="Arial" w:eastAsia="Arial" w:hint="default"/>
                <w:sz w:val="18"/>
                <w:szCs w:val="18"/>
              </w:rPr>
              <w:t>31</w:t>
            </w:r>
            <w:r>
              <w:rPr>
                <w:rFonts w:ascii="黑体" w:hAnsi="黑体" w:cs="黑体" w:eastAsia="黑体" w:hint="default"/>
                <w:sz w:val="18"/>
                <w:szCs w:val="18"/>
              </w:rPr>
              <w:t>日</w:t>
            </w:r>
          </w:p>
        </w:tc>
      </w:tr>
      <w:tr>
        <w:trPr>
          <w:trHeight w:val="263" w:hRule="exact"/>
        </w:trPr>
        <w:tc>
          <w:tcPr>
            <w:tcW w:w="1338" w:type="dxa"/>
            <w:tcBorders>
              <w:top w:val="nil" w:sz="6" w:space="0" w:color="auto"/>
              <w:left w:val="nil" w:sz="6" w:space="0" w:color="auto"/>
              <w:bottom w:val="nil" w:sz="6" w:space="0" w:color="auto"/>
              <w:right w:val="nil" w:sz="6" w:space="0" w:color="auto"/>
            </w:tcBorders>
          </w:tcPr>
          <w:p>
            <w:pPr/>
          </w:p>
        </w:tc>
        <w:tc>
          <w:tcPr>
            <w:tcW w:w="1171" w:type="dxa"/>
            <w:tcBorders>
              <w:top w:val="single" w:sz="4" w:space="0" w:color="000000"/>
              <w:left w:val="nil" w:sz="6" w:space="0" w:color="auto"/>
              <w:bottom w:val="nil" w:sz="6" w:space="0" w:color="auto"/>
              <w:right w:val="nil" w:sz="6" w:space="0" w:color="auto"/>
            </w:tcBorders>
          </w:tcPr>
          <w:p>
            <w:pPr>
              <w:pStyle w:val="TableParagraph"/>
              <w:spacing w:line="220" w:lineRule="exact"/>
              <w:ind w:right="67"/>
              <w:jc w:val="right"/>
              <w:rPr>
                <w:rFonts w:ascii="黑体" w:hAnsi="黑体" w:cs="黑体" w:eastAsia="黑体" w:hint="default"/>
                <w:sz w:val="18"/>
                <w:szCs w:val="18"/>
              </w:rPr>
            </w:pPr>
            <w:r>
              <w:rPr>
                <w:rFonts w:ascii="黑体" w:hAnsi="黑体" w:cs="黑体" w:eastAsia="黑体" w:hint="default"/>
                <w:sz w:val="18"/>
                <w:szCs w:val="18"/>
              </w:rPr>
              <w:t>原币</w:t>
            </w:r>
          </w:p>
        </w:tc>
        <w:tc>
          <w:tcPr>
            <w:tcW w:w="696" w:type="dxa"/>
            <w:tcBorders>
              <w:top w:val="single" w:sz="4" w:space="0" w:color="000000"/>
              <w:left w:val="nil" w:sz="6" w:space="0" w:color="auto"/>
              <w:bottom w:val="nil" w:sz="6" w:space="0" w:color="auto"/>
              <w:right w:val="nil" w:sz="6" w:space="0" w:color="auto"/>
            </w:tcBorders>
          </w:tcPr>
          <w:p>
            <w:pPr>
              <w:pStyle w:val="TableParagraph"/>
              <w:spacing w:line="220" w:lineRule="exact"/>
              <w:ind w:right="55"/>
              <w:jc w:val="right"/>
              <w:rPr>
                <w:rFonts w:ascii="黑体" w:hAnsi="黑体" w:cs="黑体" w:eastAsia="黑体" w:hint="default"/>
                <w:sz w:val="18"/>
                <w:szCs w:val="18"/>
              </w:rPr>
            </w:pPr>
            <w:r>
              <w:rPr>
                <w:rFonts w:ascii="黑体" w:hAnsi="黑体" w:cs="黑体" w:eastAsia="黑体" w:hint="default"/>
                <w:sz w:val="18"/>
                <w:szCs w:val="18"/>
              </w:rPr>
              <w:t>汇率</w:t>
            </w:r>
          </w:p>
        </w:tc>
        <w:tc>
          <w:tcPr>
            <w:tcW w:w="1094" w:type="dxa"/>
            <w:tcBorders>
              <w:top w:val="single" w:sz="4" w:space="0" w:color="000000"/>
              <w:left w:val="nil" w:sz="6" w:space="0" w:color="auto"/>
              <w:bottom w:val="nil" w:sz="6" w:space="0" w:color="auto"/>
              <w:right w:val="nil" w:sz="6" w:space="0" w:color="auto"/>
            </w:tcBorders>
          </w:tcPr>
          <w:p>
            <w:pPr>
              <w:pStyle w:val="TableParagraph"/>
              <w:spacing w:line="220" w:lineRule="exact"/>
              <w:ind w:right="14"/>
              <w:jc w:val="right"/>
              <w:rPr>
                <w:rFonts w:ascii="黑体" w:hAnsi="黑体" w:cs="黑体" w:eastAsia="黑体" w:hint="default"/>
                <w:sz w:val="18"/>
                <w:szCs w:val="18"/>
              </w:rPr>
            </w:pPr>
            <w:r>
              <w:rPr>
                <w:rFonts w:ascii="黑体" w:hAnsi="黑体" w:cs="黑体" w:eastAsia="黑体" w:hint="default"/>
                <w:sz w:val="18"/>
                <w:szCs w:val="18"/>
              </w:rPr>
              <w:t>折合人民币</w:t>
            </w:r>
          </w:p>
        </w:tc>
        <w:tc>
          <w:tcPr>
            <w:tcW w:w="439" w:type="dxa"/>
            <w:tcBorders>
              <w:top w:val="nil" w:sz="6" w:space="0" w:color="auto"/>
              <w:left w:val="nil" w:sz="6" w:space="0" w:color="auto"/>
              <w:bottom w:val="nil" w:sz="6" w:space="0" w:color="auto"/>
              <w:right w:val="nil" w:sz="6" w:space="0" w:color="auto"/>
            </w:tcBorders>
          </w:tcPr>
          <w:p>
            <w:pPr/>
          </w:p>
        </w:tc>
        <w:tc>
          <w:tcPr>
            <w:tcW w:w="1386" w:type="dxa"/>
            <w:tcBorders>
              <w:top w:val="single" w:sz="4" w:space="0" w:color="000000"/>
              <w:left w:val="nil" w:sz="6" w:space="0" w:color="auto"/>
              <w:bottom w:val="nil" w:sz="6" w:space="0" w:color="auto"/>
              <w:right w:val="nil" w:sz="6" w:space="0" w:color="auto"/>
            </w:tcBorders>
          </w:tcPr>
          <w:p>
            <w:pPr>
              <w:pStyle w:val="TableParagraph"/>
              <w:spacing w:line="220" w:lineRule="exact"/>
              <w:ind w:right="138"/>
              <w:jc w:val="right"/>
              <w:rPr>
                <w:rFonts w:ascii="黑体" w:hAnsi="黑体" w:cs="黑体" w:eastAsia="黑体" w:hint="default"/>
                <w:sz w:val="18"/>
                <w:szCs w:val="18"/>
              </w:rPr>
            </w:pPr>
            <w:r>
              <w:rPr>
                <w:rFonts w:ascii="黑体" w:hAnsi="黑体" w:cs="黑体" w:eastAsia="黑体" w:hint="default"/>
                <w:sz w:val="18"/>
                <w:szCs w:val="18"/>
              </w:rPr>
              <w:t>原币</w:t>
            </w:r>
          </w:p>
        </w:tc>
        <w:tc>
          <w:tcPr>
            <w:tcW w:w="782" w:type="dxa"/>
            <w:tcBorders>
              <w:top w:val="single" w:sz="4" w:space="0" w:color="000000"/>
              <w:left w:val="nil" w:sz="6" w:space="0" w:color="auto"/>
              <w:bottom w:val="nil" w:sz="6" w:space="0" w:color="auto"/>
              <w:right w:val="nil" w:sz="6" w:space="0" w:color="auto"/>
            </w:tcBorders>
          </w:tcPr>
          <w:p>
            <w:pPr>
              <w:pStyle w:val="TableParagraph"/>
              <w:spacing w:line="220" w:lineRule="exact"/>
              <w:ind w:right="71"/>
              <w:jc w:val="right"/>
              <w:rPr>
                <w:rFonts w:ascii="黑体" w:hAnsi="黑体" w:cs="黑体" w:eastAsia="黑体" w:hint="default"/>
                <w:sz w:val="18"/>
                <w:szCs w:val="18"/>
              </w:rPr>
            </w:pPr>
            <w:r>
              <w:rPr>
                <w:rFonts w:ascii="黑体" w:hAnsi="黑体" w:cs="黑体" w:eastAsia="黑体" w:hint="default"/>
                <w:sz w:val="18"/>
                <w:szCs w:val="18"/>
              </w:rPr>
              <w:t>汇率</w:t>
            </w:r>
          </w:p>
        </w:tc>
        <w:tc>
          <w:tcPr>
            <w:tcW w:w="1096" w:type="dxa"/>
            <w:tcBorders>
              <w:top w:val="single" w:sz="4" w:space="0" w:color="000000"/>
              <w:left w:val="nil" w:sz="6" w:space="0" w:color="auto"/>
              <w:bottom w:val="nil" w:sz="6" w:space="0" w:color="auto"/>
              <w:right w:val="nil" w:sz="6" w:space="0" w:color="auto"/>
            </w:tcBorders>
          </w:tcPr>
          <w:p>
            <w:pPr>
              <w:pStyle w:val="TableParagraph"/>
              <w:spacing w:line="220" w:lineRule="exact"/>
              <w:ind w:right="0"/>
              <w:jc w:val="right"/>
              <w:rPr>
                <w:rFonts w:ascii="黑体" w:hAnsi="黑体" w:cs="黑体" w:eastAsia="黑体" w:hint="default"/>
                <w:sz w:val="18"/>
                <w:szCs w:val="18"/>
              </w:rPr>
            </w:pPr>
            <w:r>
              <w:rPr>
                <w:rFonts w:ascii="黑体" w:hAnsi="黑体" w:cs="黑体" w:eastAsia="黑体" w:hint="default"/>
                <w:sz w:val="18"/>
                <w:szCs w:val="18"/>
              </w:rPr>
              <w:t>折合人民币</w:t>
            </w:r>
          </w:p>
        </w:tc>
      </w:tr>
      <w:tr>
        <w:trPr>
          <w:trHeight w:val="256" w:hRule="exact"/>
        </w:trPr>
        <w:tc>
          <w:tcPr>
            <w:tcW w:w="1338" w:type="dxa"/>
            <w:tcBorders>
              <w:top w:val="nil" w:sz="6" w:space="0" w:color="auto"/>
              <w:left w:val="nil" w:sz="6" w:space="0" w:color="auto"/>
              <w:bottom w:val="nil" w:sz="6" w:space="0" w:color="auto"/>
              <w:right w:val="nil" w:sz="6" w:space="0" w:color="auto"/>
            </w:tcBorders>
          </w:tcPr>
          <w:p>
            <w:pPr>
              <w:pStyle w:val="TableParagraph"/>
              <w:spacing w:line="218" w:lineRule="exact"/>
              <w:ind w:left="200" w:right="0"/>
              <w:jc w:val="left"/>
              <w:rPr>
                <w:rFonts w:ascii="黑体" w:hAnsi="黑体" w:cs="黑体" w:eastAsia="黑体" w:hint="default"/>
                <w:sz w:val="18"/>
                <w:szCs w:val="18"/>
              </w:rPr>
            </w:pPr>
            <w:r>
              <w:rPr>
                <w:rFonts w:ascii="黑体" w:hAnsi="黑体" w:cs="黑体" w:eastAsia="黑体" w:hint="default"/>
                <w:sz w:val="18"/>
                <w:szCs w:val="18"/>
              </w:rPr>
              <w:t>现金</w:t>
            </w:r>
          </w:p>
        </w:tc>
        <w:tc>
          <w:tcPr>
            <w:tcW w:w="1171" w:type="dxa"/>
            <w:tcBorders>
              <w:top w:val="nil" w:sz="6" w:space="0" w:color="auto"/>
              <w:left w:val="nil" w:sz="6" w:space="0" w:color="auto"/>
              <w:bottom w:val="nil" w:sz="6" w:space="0" w:color="auto"/>
              <w:right w:val="nil" w:sz="6" w:space="0" w:color="auto"/>
            </w:tcBorders>
          </w:tcPr>
          <w:p>
            <w:pPr/>
          </w:p>
        </w:tc>
        <w:tc>
          <w:tcPr>
            <w:tcW w:w="69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
        </w:tc>
        <w:tc>
          <w:tcPr>
            <w:tcW w:w="439"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
        </w:tc>
        <w:tc>
          <w:tcPr>
            <w:tcW w:w="782"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
        </w:tc>
      </w:tr>
      <w:tr>
        <w:trPr>
          <w:trHeight w:val="386" w:hRule="exact"/>
        </w:trPr>
        <w:tc>
          <w:tcPr>
            <w:tcW w:w="1338" w:type="dxa"/>
            <w:tcBorders>
              <w:top w:val="nil" w:sz="6" w:space="0" w:color="auto"/>
              <w:left w:val="nil" w:sz="6" w:space="0" w:color="auto"/>
              <w:bottom w:val="nil" w:sz="6" w:space="0" w:color="auto"/>
              <w:right w:val="nil" w:sz="6" w:space="0" w:color="auto"/>
            </w:tcBorders>
          </w:tcPr>
          <w:p>
            <w:pPr>
              <w:pStyle w:val="TableParagraph"/>
              <w:spacing w:line="230" w:lineRule="exact"/>
              <w:ind w:left="200"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人民币</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6"/>
              <w:jc w:val="right"/>
              <w:rPr>
                <w:rFonts w:ascii="Arial" w:hAnsi="Arial" w:cs="Arial" w:eastAsia="Arial" w:hint="default"/>
                <w:sz w:val="18"/>
                <w:szCs w:val="18"/>
              </w:rPr>
            </w:pPr>
            <w:r>
              <w:rPr>
                <w:rFonts w:ascii="Arial"/>
                <w:spacing w:val="-1"/>
                <w:sz w:val="18"/>
              </w:rPr>
              <w:t>2,594,376</w:t>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73"/>
              <w:jc w:val="right"/>
              <w:rPr>
                <w:rFonts w:ascii="Arial" w:hAnsi="Arial" w:cs="Arial" w:eastAsia="Arial" w:hint="default"/>
                <w:sz w:val="18"/>
                <w:szCs w:val="18"/>
              </w:rPr>
            </w:pPr>
            <w:r>
              <w:rPr>
                <w:rFonts w:ascii="Arial"/>
                <w:spacing w:val="-1"/>
                <w:sz w:val="18"/>
              </w:rPr>
              <w:t>1.0000</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1"/>
              <w:jc w:val="right"/>
              <w:rPr>
                <w:rFonts w:ascii="Arial" w:hAnsi="Arial" w:cs="Arial" w:eastAsia="Arial" w:hint="default"/>
                <w:sz w:val="18"/>
                <w:szCs w:val="18"/>
              </w:rPr>
            </w:pPr>
            <w:r>
              <w:rPr>
                <w:rFonts w:ascii="Arial"/>
                <w:spacing w:val="-1"/>
                <w:sz w:val="18"/>
              </w:rPr>
              <w:t>2,594,376</w:t>
            </w:r>
          </w:p>
        </w:tc>
        <w:tc>
          <w:tcPr>
            <w:tcW w:w="439"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57"/>
              <w:jc w:val="right"/>
              <w:rPr>
                <w:rFonts w:ascii="Arial" w:hAnsi="Arial" w:cs="Arial" w:eastAsia="Arial" w:hint="default"/>
                <w:sz w:val="18"/>
                <w:szCs w:val="18"/>
              </w:rPr>
            </w:pPr>
            <w:r>
              <w:rPr>
                <w:rFonts w:ascii="Arial"/>
                <w:spacing w:val="-1"/>
                <w:sz w:val="18"/>
              </w:rPr>
              <w:t>1,980,498</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8"/>
              <w:jc w:val="right"/>
              <w:rPr>
                <w:rFonts w:ascii="Arial" w:hAnsi="Arial" w:cs="Arial" w:eastAsia="Arial" w:hint="default"/>
                <w:sz w:val="18"/>
                <w:szCs w:val="18"/>
              </w:rPr>
            </w:pPr>
            <w:r>
              <w:rPr>
                <w:rFonts w:ascii="Arial"/>
                <w:spacing w:val="-1"/>
                <w:sz w:val="18"/>
              </w:rPr>
              <w:t>1.0000</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7"/>
              <w:jc w:val="right"/>
              <w:rPr>
                <w:rFonts w:ascii="Arial" w:hAnsi="Arial" w:cs="Arial" w:eastAsia="Arial" w:hint="default"/>
                <w:sz w:val="18"/>
                <w:szCs w:val="18"/>
              </w:rPr>
            </w:pPr>
            <w:r>
              <w:rPr>
                <w:rFonts w:ascii="Arial"/>
                <w:spacing w:val="-1"/>
                <w:sz w:val="18"/>
              </w:rPr>
              <w:t>1,980,498</w:t>
            </w:r>
          </w:p>
        </w:tc>
      </w:tr>
      <w:tr>
        <w:trPr>
          <w:trHeight w:val="378" w:hRule="exact"/>
        </w:trPr>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00" w:right="0"/>
              <w:jc w:val="left"/>
              <w:rPr>
                <w:rFonts w:ascii="黑体" w:hAnsi="黑体" w:cs="黑体" w:eastAsia="黑体" w:hint="default"/>
                <w:sz w:val="18"/>
                <w:szCs w:val="18"/>
              </w:rPr>
            </w:pPr>
            <w:r>
              <w:rPr>
                <w:rFonts w:ascii="黑体" w:hAnsi="黑体" w:cs="黑体" w:eastAsia="黑体" w:hint="default"/>
                <w:sz w:val="18"/>
                <w:szCs w:val="18"/>
              </w:rPr>
              <w:t>银行存款</w:t>
            </w:r>
          </w:p>
        </w:tc>
        <w:tc>
          <w:tcPr>
            <w:tcW w:w="1171" w:type="dxa"/>
            <w:tcBorders>
              <w:top w:val="nil" w:sz="6" w:space="0" w:color="auto"/>
              <w:left w:val="nil" w:sz="6" w:space="0" w:color="auto"/>
              <w:bottom w:val="nil" w:sz="6" w:space="0" w:color="auto"/>
              <w:right w:val="nil" w:sz="6" w:space="0" w:color="auto"/>
            </w:tcBorders>
          </w:tcPr>
          <w:p>
            <w:pPr/>
          </w:p>
        </w:tc>
        <w:tc>
          <w:tcPr>
            <w:tcW w:w="69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
        </w:tc>
        <w:tc>
          <w:tcPr>
            <w:tcW w:w="439"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
        </w:tc>
        <w:tc>
          <w:tcPr>
            <w:tcW w:w="782"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
        </w:tc>
      </w:tr>
      <w:tr>
        <w:trPr>
          <w:trHeight w:val="387" w:hRule="exact"/>
        </w:trPr>
        <w:tc>
          <w:tcPr>
            <w:tcW w:w="1338" w:type="dxa"/>
            <w:tcBorders>
              <w:top w:val="nil" w:sz="6" w:space="0" w:color="auto"/>
              <w:left w:val="nil" w:sz="6" w:space="0" w:color="auto"/>
              <w:bottom w:val="nil" w:sz="6" w:space="0" w:color="auto"/>
              <w:right w:val="nil" w:sz="6" w:space="0" w:color="auto"/>
            </w:tcBorders>
          </w:tcPr>
          <w:p>
            <w:pPr>
              <w:pStyle w:val="TableParagraph"/>
              <w:spacing w:line="231" w:lineRule="exact"/>
              <w:ind w:left="200"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人民币</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86"/>
              <w:jc w:val="right"/>
              <w:rPr>
                <w:rFonts w:ascii="Arial" w:hAnsi="Arial" w:cs="Arial" w:eastAsia="Arial" w:hint="default"/>
                <w:sz w:val="18"/>
                <w:szCs w:val="18"/>
              </w:rPr>
            </w:pPr>
            <w:r>
              <w:rPr>
                <w:rFonts w:ascii="Arial"/>
                <w:spacing w:val="-1"/>
                <w:sz w:val="18"/>
              </w:rPr>
              <w:t>581,375,204</w:t>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73"/>
              <w:jc w:val="right"/>
              <w:rPr>
                <w:rFonts w:ascii="Arial" w:hAnsi="Arial" w:cs="Arial" w:eastAsia="Arial" w:hint="default"/>
                <w:sz w:val="18"/>
                <w:szCs w:val="18"/>
              </w:rPr>
            </w:pPr>
            <w:r>
              <w:rPr>
                <w:rFonts w:ascii="Arial"/>
                <w:spacing w:val="-1"/>
                <w:sz w:val="18"/>
              </w:rPr>
              <w:t>1.0000</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31"/>
              <w:jc w:val="right"/>
              <w:rPr>
                <w:rFonts w:ascii="Arial" w:hAnsi="Arial" w:cs="Arial" w:eastAsia="Arial" w:hint="default"/>
                <w:sz w:val="18"/>
                <w:szCs w:val="18"/>
              </w:rPr>
            </w:pPr>
            <w:r>
              <w:rPr>
                <w:rFonts w:ascii="Arial"/>
                <w:spacing w:val="-1"/>
                <w:sz w:val="18"/>
              </w:rPr>
              <w:t>581,375,204</w:t>
            </w:r>
          </w:p>
        </w:tc>
        <w:tc>
          <w:tcPr>
            <w:tcW w:w="439"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57"/>
              <w:jc w:val="right"/>
              <w:rPr>
                <w:rFonts w:ascii="Arial" w:hAnsi="Arial" w:cs="Arial" w:eastAsia="Arial" w:hint="default"/>
                <w:sz w:val="18"/>
                <w:szCs w:val="18"/>
              </w:rPr>
            </w:pPr>
            <w:r>
              <w:rPr>
                <w:rFonts w:ascii="Arial"/>
                <w:spacing w:val="-1"/>
                <w:sz w:val="18"/>
              </w:rPr>
              <w:t>432,075,354</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88"/>
              <w:jc w:val="right"/>
              <w:rPr>
                <w:rFonts w:ascii="Arial" w:hAnsi="Arial" w:cs="Arial" w:eastAsia="Arial" w:hint="default"/>
                <w:sz w:val="18"/>
                <w:szCs w:val="18"/>
              </w:rPr>
            </w:pPr>
            <w:r>
              <w:rPr>
                <w:rFonts w:ascii="Arial"/>
                <w:spacing w:val="-1"/>
                <w:sz w:val="18"/>
              </w:rPr>
              <w:t>1.0000</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7"/>
              <w:jc w:val="right"/>
              <w:rPr>
                <w:rFonts w:ascii="Arial" w:hAnsi="Arial" w:cs="Arial" w:eastAsia="Arial" w:hint="default"/>
                <w:sz w:val="18"/>
                <w:szCs w:val="18"/>
              </w:rPr>
            </w:pPr>
            <w:r>
              <w:rPr>
                <w:rFonts w:ascii="Arial"/>
                <w:spacing w:val="-1"/>
                <w:sz w:val="18"/>
              </w:rPr>
              <w:t>432,075,354</w:t>
            </w:r>
          </w:p>
        </w:tc>
      </w:tr>
      <w:tr>
        <w:trPr>
          <w:trHeight w:val="377" w:hRule="exact"/>
        </w:trPr>
        <w:tc>
          <w:tcPr>
            <w:tcW w:w="8002"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104"/>
              <w:ind w:left="200" w:right="0"/>
              <w:jc w:val="left"/>
              <w:rPr>
                <w:rFonts w:ascii="黑体" w:hAnsi="黑体" w:cs="黑体" w:eastAsia="黑体" w:hint="default"/>
                <w:sz w:val="18"/>
                <w:szCs w:val="18"/>
              </w:rPr>
            </w:pPr>
            <w:r>
              <w:rPr>
                <w:rFonts w:ascii="黑体" w:hAnsi="黑体" w:cs="黑体" w:eastAsia="黑体" w:hint="default"/>
                <w:sz w:val="18"/>
                <w:szCs w:val="18"/>
              </w:rPr>
              <w:t>其他货币资金</w:t>
            </w:r>
          </w:p>
        </w:tc>
      </w:tr>
      <w:tr>
        <w:trPr>
          <w:trHeight w:val="392" w:hRule="exact"/>
        </w:trPr>
        <w:tc>
          <w:tcPr>
            <w:tcW w:w="1338" w:type="dxa"/>
            <w:tcBorders>
              <w:top w:val="nil" w:sz="6" w:space="0" w:color="auto"/>
              <w:left w:val="nil" w:sz="6" w:space="0" w:color="auto"/>
              <w:bottom w:val="nil" w:sz="6" w:space="0" w:color="auto"/>
              <w:right w:val="nil" w:sz="6" w:space="0" w:color="auto"/>
            </w:tcBorders>
          </w:tcPr>
          <w:p>
            <w:pPr>
              <w:pStyle w:val="TableParagraph"/>
              <w:spacing w:line="230" w:lineRule="exact"/>
              <w:ind w:left="200" w:right="0"/>
              <w:jc w:val="left"/>
              <w:rPr>
                <w:rFonts w:ascii="黑体" w:hAnsi="黑体" w:cs="黑体" w:eastAsia="黑体" w:hint="default"/>
                <w:sz w:val="18"/>
                <w:szCs w:val="18"/>
              </w:rPr>
            </w:pPr>
            <w:r>
              <w:rPr>
                <w:rFonts w:ascii="Arial" w:hAnsi="Arial" w:cs="Arial" w:eastAsia="Arial" w:hint="default"/>
                <w:sz w:val="18"/>
                <w:szCs w:val="18"/>
              </w:rPr>
              <w:t>—</w:t>
            </w:r>
            <w:r>
              <w:rPr>
                <w:rFonts w:ascii="黑体" w:hAnsi="黑体" w:cs="黑体" w:eastAsia="黑体" w:hint="default"/>
                <w:sz w:val="18"/>
                <w:szCs w:val="18"/>
              </w:rPr>
              <w:t>人民币</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7"/>
              <w:jc w:val="right"/>
              <w:rPr>
                <w:rFonts w:ascii="Arial" w:hAnsi="Arial" w:cs="Arial" w:eastAsia="Arial" w:hint="default"/>
                <w:sz w:val="18"/>
                <w:szCs w:val="18"/>
              </w:rPr>
            </w:pPr>
            <w:r>
              <w:rPr>
                <w:rFonts w:ascii="Arial"/>
                <w:spacing w:val="-1"/>
                <w:sz w:val="18"/>
              </w:rPr>
              <w:t>16,376,152</w:t>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73"/>
              <w:jc w:val="right"/>
              <w:rPr>
                <w:rFonts w:ascii="Arial" w:hAnsi="Arial" w:cs="Arial" w:eastAsia="Arial" w:hint="default"/>
                <w:sz w:val="18"/>
                <w:szCs w:val="18"/>
              </w:rPr>
            </w:pPr>
            <w:r>
              <w:rPr>
                <w:rFonts w:ascii="Arial"/>
                <w:spacing w:val="-1"/>
                <w:sz w:val="18"/>
              </w:rPr>
              <w:t>1.0000</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9"/>
                <w:sz w:val="18"/>
                <w:u w:val="single" w:color="000000"/>
              </w:rPr>
              <w:t> </w:t>
            </w:r>
            <w:r>
              <w:rPr>
                <w:rFonts w:ascii="Arial"/>
                <w:spacing w:val="-1"/>
                <w:sz w:val="18"/>
                <w:u w:val="single" w:color="000000"/>
              </w:rPr>
              <w:t>16,376,152</w:t>
            </w:r>
            <w:r>
              <w:rPr>
                <w:rFonts w:ascii="Arial"/>
                <w:spacing w:val="-1"/>
                <w:sz w:val="18"/>
              </w:rPr>
            </w:r>
          </w:p>
        </w:tc>
        <w:tc>
          <w:tcPr>
            <w:tcW w:w="439" w:type="dxa"/>
            <w:tcBorders>
              <w:top w:val="nil" w:sz="6" w:space="0" w:color="auto"/>
              <w:left w:val="nil" w:sz="6" w:space="0" w:color="auto"/>
              <w:bottom w:val="nil" w:sz="6" w:space="0" w:color="auto"/>
              <w:right w:val="nil" w:sz="6" w:space="0" w:color="auto"/>
            </w:tcBorders>
          </w:tcPr>
          <w:p>
            <w:pPr>
              <w:pStyle w:val="TableParagraph"/>
              <w:spacing w:line="230" w:lineRule="exact"/>
              <w:ind w:left="16" w:right="0"/>
              <w:jc w:val="left"/>
              <w:rPr>
                <w:rFonts w:ascii="Arial" w:hAnsi="Arial" w:cs="Arial" w:eastAsia="Arial" w:hint="default"/>
                <w:sz w:val="18"/>
                <w:szCs w:val="18"/>
              </w:rPr>
            </w:pPr>
            <w:r>
              <w:rPr>
                <w:rFonts w:ascii="Arial" w:hAnsi="Arial" w:cs="Arial" w:eastAsia="Arial" w:hint="default"/>
                <w:sz w:val="18"/>
                <w:szCs w:val="18"/>
              </w:rPr>
              <w:t>(</w:t>
            </w:r>
            <w:r>
              <w:rPr>
                <w:rFonts w:ascii="黑体" w:hAnsi="黑体" w:cs="黑体" w:eastAsia="黑体" w:hint="default"/>
                <w:sz w:val="18"/>
                <w:szCs w:val="18"/>
              </w:rPr>
              <w:t>注</w:t>
            </w:r>
            <w:r>
              <w:rPr>
                <w:rFonts w:ascii="Arial" w:hAnsi="Arial" w:cs="Arial" w:eastAsia="Arial" w:hint="default"/>
                <w:sz w:val="18"/>
                <w:szCs w:val="18"/>
              </w:rPr>
              <w:t>1)</w:t>
            </w:r>
          </w:p>
        </w:tc>
        <w:tc>
          <w:tcPr>
            <w:tcW w:w="138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57"/>
              <w:jc w:val="right"/>
              <w:rPr>
                <w:rFonts w:ascii="Arial" w:hAnsi="Arial" w:cs="Arial" w:eastAsia="Arial" w:hint="default"/>
                <w:sz w:val="18"/>
                <w:szCs w:val="18"/>
              </w:rPr>
            </w:pPr>
            <w:r>
              <w:rPr>
                <w:rFonts w:ascii="Arial"/>
                <w:spacing w:val="-1"/>
                <w:sz w:val="18"/>
              </w:rPr>
              <w:t>5,778,335</w:t>
            </w:r>
          </w:p>
        </w:tc>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8"/>
              <w:jc w:val="right"/>
              <w:rPr>
                <w:rFonts w:ascii="Arial" w:hAnsi="Arial" w:cs="Arial" w:eastAsia="Arial" w:hint="default"/>
                <w:sz w:val="18"/>
                <w:szCs w:val="18"/>
              </w:rPr>
            </w:pPr>
            <w:r>
              <w:rPr>
                <w:rFonts w:ascii="Arial"/>
                <w:spacing w:val="-1"/>
                <w:sz w:val="18"/>
              </w:rPr>
              <w:t>1.0000</w:t>
            </w: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0"/>
                <w:sz w:val="18"/>
                <w:u w:val="single" w:color="000000"/>
              </w:rPr>
              <w:t> </w:t>
            </w:r>
            <w:r>
              <w:rPr>
                <w:rFonts w:ascii="Arial"/>
                <w:spacing w:val="-1"/>
                <w:sz w:val="18"/>
                <w:u w:val="single" w:color="000000"/>
              </w:rPr>
              <w:t>5,778,335</w:t>
            </w:r>
            <w:r>
              <w:rPr>
                <w:rFonts w:ascii="Arial"/>
                <w:spacing w:val="-1"/>
                <w:sz w:val="18"/>
              </w:rPr>
            </w:r>
          </w:p>
        </w:tc>
      </w:tr>
      <w:tr>
        <w:trPr>
          <w:trHeight w:val="346" w:hRule="exact"/>
        </w:trPr>
        <w:tc>
          <w:tcPr>
            <w:tcW w:w="1338" w:type="dxa"/>
            <w:tcBorders>
              <w:top w:val="nil" w:sz="6" w:space="0" w:color="auto"/>
              <w:left w:val="nil" w:sz="6" w:space="0" w:color="auto"/>
              <w:bottom w:val="nil" w:sz="6" w:space="0" w:color="auto"/>
              <w:right w:val="nil" w:sz="6" w:space="0" w:color="auto"/>
            </w:tcBorders>
          </w:tcPr>
          <w:p>
            <w:pPr/>
          </w:p>
        </w:tc>
        <w:tc>
          <w:tcPr>
            <w:tcW w:w="1171" w:type="dxa"/>
            <w:tcBorders>
              <w:top w:val="nil" w:sz="6" w:space="0" w:color="auto"/>
              <w:left w:val="nil" w:sz="6" w:space="0" w:color="auto"/>
              <w:bottom w:val="nil" w:sz="6" w:space="0" w:color="auto"/>
              <w:right w:val="nil" w:sz="6" w:space="0" w:color="auto"/>
            </w:tcBorders>
          </w:tcPr>
          <w:p>
            <w:pPr/>
          </w:p>
        </w:tc>
        <w:tc>
          <w:tcPr>
            <w:tcW w:w="69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1"/>
              <w:jc w:val="right"/>
              <w:rPr>
                <w:rFonts w:ascii="Arial" w:hAnsi="Arial" w:cs="Arial" w:eastAsia="Arial" w:hint="default"/>
                <w:sz w:val="18"/>
                <w:szCs w:val="18"/>
              </w:rPr>
            </w:pPr>
            <w:r>
              <w:rPr>
                <w:rFonts w:ascii="Arial"/>
                <w:w w:val="99"/>
                <w:sz w:val="18"/>
              </w:rPr>
            </w:r>
            <w:r>
              <w:rPr>
                <w:rFonts w:ascii="Arial"/>
                <w:spacing w:val="-1"/>
                <w:sz w:val="18"/>
                <w:u w:val="thick" w:color="000000"/>
              </w:rPr>
              <w:t>600,345,732</w:t>
            </w:r>
            <w:r>
              <w:rPr>
                <w:rFonts w:ascii="Arial"/>
                <w:spacing w:val="-1"/>
                <w:sz w:val="18"/>
              </w:rPr>
            </w:r>
          </w:p>
        </w:tc>
        <w:tc>
          <w:tcPr>
            <w:tcW w:w="439" w:type="dxa"/>
            <w:tcBorders>
              <w:top w:val="nil" w:sz="6" w:space="0" w:color="auto"/>
              <w:left w:val="nil" w:sz="6" w:space="0" w:color="auto"/>
              <w:bottom w:val="nil" w:sz="6" w:space="0" w:color="auto"/>
              <w:right w:val="nil" w:sz="6" w:space="0" w:color="auto"/>
            </w:tcBorders>
          </w:tcPr>
          <w:p>
            <w:pPr/>
          </w:p>
        </w:tc>
        <w:tc>
          <w:tcPr>
            <w:tcW w:w="1386" w:type="dxa"/>
            <w:tcBorders>
              <w:top w:val="nil" w:sz="6" w:space="0" w:color="auto"/>
              <w:left w:val="nil" w:sz="6" w:space="0" w:color="auto"/>
              <w:bottom w:val="nil" w:sz="6" w:space="0" w:color="auto"/>
              <w:right w:val="nil" w:sz="6" w:space="0" w:color="auto"/>
            </w:tcBorders>
          </w:tcPr>
          <w:p>
            <w:pPr/>
          </w:p>
        </w:tc>
        <w:tc>
          <w:tcPr>
            <w:tcW w:w="782" w:type="dxa"/>
            <w:tcBorders>
              <w:top w:val="nil" w:sz="6" w:space="0" w:color="auto"/>
              <w:left w:val="nil" w:sz="6" w:space="0" w:color="auto"/>
              <w:bottom w:val="nil" w:sz="6" w:space="0" w:color="auto"/>
              <w:right w:val="nil" w:sz="6" w:space="0" w:color="auto"/>
            </w:tcBorders>
          </w:tcPr>
          <w:p>
            <w:pPr/>
          </w:p>
        </w:tc>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7"/>
              <w:jc w:val="right"/>
              <w:rPr>
                <w:rFonts w:ascii="Arial" w:hAnsi="Arial" w:cs="Arial" w:eastAsia="Arial" w:hint="default"/>
                <w:sz w:val="18"/>
                <w:szCs w:val="18"/>
              </w:rPr>
            </w:pPr>
            <w:r>
              <w:rPr>
                <w:rFonts w:ascii="Arial"/>
                <w:w w:val="99"/>
                <w:sz w:val="18"/>
              </w:rPr>
            </w:r>
            <w:r>
              <w:rPr>
                <w:rFonts w:ascii="Arial"/>
                <w:spacing w:val="-1"/>
                <w:sz w:val="18"/>
                <w:u w:val="thick" w:color="000000"/>
              </w:rPr>
              <w:t>439,834,187</w:t>
            </w:r>
            <w:r>
              <w:rPr>
                <w:rFonts w:ascii="Arial"/>
                <w:spacing w:val="-1"/>
                <w:sz w:val="18"/>
              </w:rPr>
            </w:r>
          </w:p>
        </w:tc>
      </w:tr>
    </w:tbl>
    <w:p>
      <w:pPr>
        <w:spacing w:line="240" w:lineRule="auto" w:before="11"/>
        <w:rPr>
          <w:rFonts w:ascii="黑体" w:hAnsi="黑体" w:cs="黑体" w:eastAsia="黑体" w:hint="default"/>
          <w:b/>
          <w:bCs/>
          <w:sz w:val="20"/>
          <w:szCs w:val="20"/>
        </w:rPr>
      </w:pPr>
    </w:p>
    <w:p>
      <w:pPr>
        <w:pStyle w:val="BodyText"/>
        <w:spacing w:line="261" w:lineRule="auto" w:before="37"/>
        <w:ind w:left="1378" w:right="284" w:hanging="564"/>
        <w:jc w:val="both"/>
      </w:pPr>
      <w:r>
        <w:rPr>
          <w:spacing w:val="13"/>
        </w:rPr>
        <w:t>注</w:t>
      </w:r>
      <w:r>
        <w:rPr>
          <w:rFonts w:ascii="Arial" w:hAnsi="Arial" w:cs="Arial" w:eastAsia="Arial" w:hint="default"/>
          <w:spacing w:val="13"/>
        </w:rPr>
        <w:t>1</w:t>
      </w:r>
      <w:r>
        <w:rPr>
          <w:spacing w:val="13"/>
        </w:rPr>
        <w:t>：本公司其他货币资金除为回购股票存放于第一创业证券有限责任公司的人民币</w:t>
      </w:r>
      <w:r>
        <w:rPr>
          <w:spacing w:val="14"/>
          <w:w w:val="99"/>
        </w:rPr>
        <w:t> </w:t>
      </w:r>
      <w:r>
        <w:rPr>
          <w:rFonts w:ascii="Arial" w:hAnsi="Arial" w:cs="Arial" w:eastAsia="Arial" w:hint="default"/>
        </w:rPr>
        <w:t>4,986,882</w:t>
      </w:r>
      <w:r>
        <w:rPr/>
        <w:t>元及存放于保证金账户尚未办妥保函手续的人民币</w:t>
      </w:r>
      <w:r>
        <w:rPr>
          <w:rFonts w:ascii="Arial" w:hAnsi="Arial" w:cs="Arial" w:eastAsia="Arial" w:hint="default"/>
        </w:rPr>
        <w:t>141,733</w:t>
      </w:r>
      <w:r>
        <w:rPr/>
        <w:t>元外，均为所</w:t>
      </w:r>
      <w:r>
        <w:rPr>
          <w:spacing w:val="2"/>
          <w:w w:val="99"/>
        </w:rPr>
        <w:t> </w:t>
      </w:r>
      <w:r>
        <w:rPr/>
        <w:t>有权受到限制的履约保函资金，共计人民币</w:t>
      </w:r>
      <w:r>
        <w:rPr>
          <w:rFonts w:ascii="Arial" w:hAnsi="Arial" w:cs="Arial" w:eastAsia="Arial" w:hint="default"/>
        </w:rPr>
        <w:t>11,247,537</w:t>
      </w:r>
      <w:r>
        <w:rPr/>
        <w:t>元。</w:t>
      </w:r>
    </w:p>
    <w:p>
      <w:pPr>
        <w:spacing w:line="240" w:lineRule="auto" w:before="3"/>
        <w:rPr>
          <w:rFonts w:ascii="黑体" w:hAnsi="黑体" w:cs="黑体" w:eastAsia="黑体" w:hint="default"/>
          <w:sz w:val="23"/>
          <w:szCs w:val="23"/>
        </w:rPr>
      </w:pPr>
    </w:p>
    <w:p>
      <w:pPr>
        <w:pStyle w:val="BodyText"/>
        <w:spacing w:line="240" w:lineRule="auto"/>
        <w:ind w:right="194"/>
        <w:jc w:val="left"/>
      </w:pP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w:t>
      </w:r>
      <w:r>
        <w:rPr>
          <w:rFonts w:ascii="Arial" w:hAnsi="Arial" w:cs="Arial" w:eastAsia="Arial" w:hint="default"/>
        </w:rPr>
        <w:t>,</w:t>
      </w:r>
      <w:r>
        <w:rPr/>
        <w:t>本公司无存放于境外的货币资金。</w:t>
      </w:r>
    </w:p>
    <w:p>
      <w:pPr>
        <w:spacing w:line="240" w:lineRule="auto" w:before="10"/>
        <w:rPr>
          <w:rFonts w:ascii="黑体" w:hAnsi="黑体" w:cs="黑体" w:eastAsia="黑体" w:hint="default"/>
          <w:sz w:val="24"/>
          <w:szCs w:val="24"/>
        </w:rPr>
      </w:pPr>
    </w:p>
    <w:p>
      <w:pPr>
        <w:pStyle w:val="BodyText"/>
        <w:spacing w:line="261" w:lineRule="auto"/>
        <w:ind w:right="283"/>
        <w:jc w:val="left"/>
      </w:pPr>
      <w:r>
        <w:rPr>
          <w:spacing w:val="2"/>
        </w:rPr>
        <w:t>银行活期存款按照银行活期存款利率取得利息收入。通知存款均为</w:t>
      </w:r>
      <w:r>
        <w:rPr>
          <w:rFonts w:ascii="Arial" w:hAnsi="Arial" w:cs="Arial" w:eastAsia="Arial" w:hint="default"/>
          <w:spacing w:val="2"/>
        </w:rPr>
        <w:t>7</w:t>
      </w:r>
      <w:r>
        <w:rPr>
          <w:spacing w:val="2"/>
        </w:rPr>
        <w:t>天通知存款，按照相</w:t>
      </w:r>
      <w:r>
        <w:rPr>
          <w:spacing w:val="2"/>
          <w:w w:val="99"/>
        </w:rPr>
        <w:t> </w:t>
      </w:r>
      <w:r>
        <w:rPr/>
        <w:t>应的银行通知存款利率取得利息收入。</w:t>
      </w:r>
    </w:p>
    <w:p>
      <w:pPr>
        <w:spacing w:line="240" w:lineRule="auto" w:before="3"/>
        <w:rPr>
          <w:rFonts w:ascii="黑体" w:hAnsi="黑体" w:cs="黑体" w:eastAsia="黑体" w:hint="default"/>
          <w:sz w:val="16"/>
          <w:szCs w:val="16"/>
        </w:rPr>
      </w:pPr>
    </w:p>
    <w:p>
      <w:pPr>
        <w:pStyle w:val="Heading6"/>
        <w:tabs>
          <w:tab w:pos="771" w:val="left" w:leader="none"/>
        </w:tabs>
        <w:spacing w:line="240" w:lineRule="auto" w:before="0"/>
        <w:ind w:right="3627"/>
        <w:jc w:val="left"/>
        <w:rPr>
          <w:b w:val="0"/>
          <w:bCs w:val="0"/>
        </w:rPr>
      </w:pPr>
      <w:r>
        <w:rPr>
          <w:rFonts w:ascii="Arial" w:hAnsi="Arial" w:cs="Arial" w:eastAsia="Arial" w:hint="default"/>
          <w:spacing w:val="-1"/>
        </w:rPr>
        <w:t>2.</w:t>
        <w:tab/>
      </w:r>
      <w:r>
        <w:rPr>
          <w:spacing w:val="1"/>
        </w:rPr>
        <w:t>应收票据</w:t>
      </w:r>
      <w:r>
        <w:rPr>
          <w:b w:val="0"/>
          <w:bCs w:val="0"/>
          <w:spacing w:val="1"/>
        </w:rPr>
      </w:r>
    </w:p>
    <w:p>
      <w:pPr>
        <w:spacing w:line="240" w:lineRule="auto" w:before="9"/>
        <w:rPr>
          <w:rFonts w:ascii="黑体" w:hAnsi="黑体" w:cs="黑体" w:eastAsia="黑体" w:hint="default"/>
          <w:b/>
          <w:bCs/>
          <w:sz w:val="27"/>
          <w:szCs w:val="27"/>
        </w:rPr>
      </w:pPr>
    </w:p>
    <w:tbl>
      <w:tblPr>
        <w:tblW w:w="0" w:type="auto"/>
        <w:jc w:val="left"/>
        <w:tblInd w:w="609" w:type="dxa"/>
        <w:tblLayout w:type="fixed"/>
        <w:tblCellMar>
          <w:top w:w="0" w:type="dxa"/>
          <w:left w:w="0" w:type="dxa"/>
          <w:bottom w:w="0" w:type="dxa"/>
          <w:right w:w="0" w:type="dxa"/>
        </w:tblCellMar>
        <w:tblLook w:val="01E0"/>
      </w:tblPr>
      <w:tblGrid>
        <w:gridCol w:w="3127"/>
        <w:gridCol w:w="3294"/>
        <w:gridCol w:w="1760"/>
      </w:tblGrid>
      <w:tr>
        <w:trPr>
          <w:trHeight w:val="233" w:hRule="exact"/>
        </w:trPr>
        <w:tc>
          <w:tcPr>
            <w:tcW w:w="3127" w:type="dxa"/>
            <w:tcBorders>
              <w:top w:val="nil" w:sz="6" w:space="0" w:color="auto"/>
              <w:left w:val="nil" w:sz="6" w:space="0" w:color="auto"/>
              <w:bottom w:val="nil" w:sz="6" w:space="0" w:color="auto"/>
              <w:right w:val="nil" w:sz="6" w:space="0" w:color="auto"/>
            </w:tcBorders>
          </w:tcPr>
          <w:p>
            <w:pPr/>
          </w:p>
        </w:tc>
        <w:tc>
          <w:tcPr>
            <w:tcW w:w="3294" w:type="dxa"/>
            <w:tcBorders>
              <w:top w:val="nil" w:sz="6" w:space="0" w:color="auto"/>
              <w:left w:val="nil" w:sz="6" w:space="0" w:color="auto"/>
              <w:bottom w:val="nil" w:sz="6" w:space="0" w:color="auto"/>
              <w:right w:val="nil" w:sz="6" w:space="0" w:color="auto"/>
            </w:tcBorders>
          </w:tcPr>
          <w:p>
            <w:pPr>
              <w:pStyle w:val="TableParagraph"/>
              <w:spacing w:line="214" w:lineRule="exact"/>
              <w:ind w:right="578"/>
              <w:jc w:val="right"/>
              <w:rPr>
                <w:rFonts w:ascii="黑体" w:hAnsi="黑体" w:cs="黑体" w:eastAsia="黑体" w:hint="default"/>
                <w:sz w:val="20"/>
                <w:szCs w:val="20"/>
              </w:rPr>
            </w:pPr>
            <w:r>
              <w:rPr>
                <w:rFonts w:ascii="Arial" w:hAnsi="Arial" w:cs="Arial" w:eastAsia="Arial" w:hint="default"/>
                <w:sz w:val="20"/>
                <w:szCs w:val="20"/>
              </w:rPr>
              <w:t>2012</w:t>
            </w:r>
            <w:r>
              <w:rPr>
                <w:rFonts w:ascii="Arial" w:hAnsi="Arial" w:cs="Arial" w:eastAsia="Arial" w:hint="default"/>
                <w:spacing w:val="-9"/>
                <w:sz w:val="20"/>
                <w:szCs w:val="20"/>
              </w:rPr>
              <w:t> </w:t>
            </w:r>
            <w:r>
              <w:rPr>
                <w:rFonts w:ascii="黑体" w:hAnsi="黑体" w:cs="黑体" w:eastAsia="黑体" w:hint="default"/>
                <w:sz w:val="20"/>
                <w:szCs w:val="20"/>
              </w:rPr>
              <w:t>年</w:t>
            </w:r>
          </w:p>
        </w:tc>
        <w:tc>
          <w:tcPr>
            <w:tcW w:w="1760" w:type="dxa"/>
            <w:tcBorders>
              <w:top w:val="nil" w:sz="6" w:space="0" w:color="auto"/>
              <w:left w:val="nil" w:sz="6" w:space="0" w:color="auto"/>
              <w:bottom w:val="nil" w:sz="6" w:space="0" w:color="auto"/>
              <w:right w:val="nil" w:sz="6" w:space="0" w:color="auto"/>
            </w:tcBorders>
          </w:tcPr>
          <w:p>
            <w:pPr>
              <w:pStyle w:val="TableParagraph"/>
              <w:spacing w:line="214" w:lineRule="exact"/>
              <w:ind w:right="212"/>
              <w:jc w:val="right"/>
              <w:rPr>
                <w:rFonts w:ascii="黑体" w:hAnsi="黑体" w:cs="黑体" w:eastAsia="黑体" w:hint="default"/>
                <w:sz w:val="20"/>
                <w:szCs w:val="20"/>
              </w:rPr>
            </w:pPr>
            <w:r>
              <w:rPr>
                <w:rFonts w:ascii="Arial" w:hAnsi="Arial" w:cs="Arial" w:eastAsia="Arial" w:hint="default"/>
                <w:sz w:val="20"/>
                <w:szCs w:val="20"/>
              </w:rPr>
              <w:t>2011</w:t>
            </w:r>
            <w:r>
              <w:rPr>
                <w:rFonts w:ascii="Arial" w:hAnsi="Arial" w:cs="Arial" w:eastAsia="Arial" w:hint="default"/>
                <w:spacing w:val="-9"/>
                <w:sz w:val="20"/>
                <w:szCs w:val="20"/>
              </w:rPr>
              <w:t> </w:t>
            </w:r>
            <w:r>
              <w:rPr>
                <w:rFonts w:ascii="黑体" w:hAnsi="黑体" w:cs="黑体" w:eastAsia="黑体" w:hint="default"/>
                <w:sz w:val="20"/>
                <w:szCs w:val="20"/>
              </w:rPr>
              <w:t>年</w:t>
            </w:r>
          </w:p>
        </w:tc>
      </w:tr>
      <w:tr>
        <w:trPr>
          <w:trHeight w:val="383" w:hRule="exact"/>
        </w:trPr>
        <w:tc>
          <w:tcPr>
            <w:tcW w:w="3127" w:type="dxa"/>
            <w:tcBorders>
              <w:top w:val="nil" w:sz="6" w:space="0" w:color="auto"/>
              <w:left w:val="nil" w:sz="6" w:space="0" w:color="auto"/>
              <w:bottom w:val="nil" w:sz="6" w:space="0" w:color="auto"/>
              <w:right w:val="nil" w:sz="6" w:space="0" w:color="auto"/>
            </w:tcBorders>
          </w:tcPr>
          <w:p>
            <w:pPr/>
          </w:p>
        </w:tc>
        <w:tc>
          <w:tcPr>
            <w:tcW w:w="3294" w:type="dxa"/>
            <w:tcBorders>
              <w:top w:val="nil" w:sz="6" w:space="0" w:color="auto"/>
              <w:left w:val="nil" w:sz="6" w:space="0" w:color="auto"/>
              <w:bottom w:val="nil" w:sz="6" w:space="0" w:color="auto"/>
              <w:right w:val="nil" w:sz="6" w:space="0" w:color="auto"/>
            </w:tcBorders>
          </w:tcPr>
          <w:p>
            <w:pPr>
              <w:pStyle w:val="TableParagraph"/>
              <w:spacing w:line="237" w:lineRule="exact"/>
              <w:ind w:right="564"/>
              <w:jc w:val="right"/>
              <w:rPr>
                <w:rFonts w:ascii="黑体" w:hAnsi="黑体" w:cs="黑体" w:eastAsia="黑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黑体" w:hAnsi="黑体" w:cs="黑体" w:eastAsia="黑体" w:hint="default"/>
                <w:sz w:val="20"/>
                <w:szCs w:val="20"/>
              </w:rPr>
              <w:t>月</w:t>
            </w:r>
            <w:r>
              <w:rPr>
                <w:rFonts w:ascii="黑体" w:hAnsi="黑体" w:cs="黑体" w:eastAsia="黑体" w:hint="default"/>
                <w:spacing w:val="-52"/>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黑体" w:hAnsi="黑体" w:cs="黑体" w:eastAsia="黑体" w:hint="default"/>
                <w:sz w:val="20"/>
                <w:szCs w:val="20"/>
              </w:rPr>
              <w:t>日</w:t>
            </w:r>
          </w:p>
        </w:tc>
        <w:tc>
          <w:tcPr>
            <w:tcW w:w="1760" w:type="dxa"/>
            <w:tcBorders>
              <w:top w:val="nil" w:sz="6" w:space="0" w:color="auto"/>
              <w:left w:val="nil" w:sz="6" w:space="0" w:color="auto"/>
              <w:bottom w:val="nil" w:sz="6" w:space="0" w:color="auto"/>
              <w:right w:val="nil" w:sz="6" w:space="0" w:color="auto"/>
            </w:tcBorders>
          </w:tcPr>
          <w:p>
            <w:pPr>
              <w:pStyle w:val="TableParagraph"/>
              <w:spacing w:line="237" w:lineRule="exact"/>
              <w:ind w:right="198"/>
              <w:jc w:val="right"/>
              <w:rPr>
                <w:rFonts w:ascii="黑体" w:hAnsi="黑体" w:cs="黑体" w:eastAsia="黑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黑体" w:hAnsi="黑体" w:cs="黑体" w:eastAsia="黑体" w:hint="default"/>
                <w:sz w:val="20"/>
                <w:szCs w:val="20"/>
              </w:rPr>
              <w:t>月</w:t>
            </w:r>
            <w:r>
              <w:rPr>
                <w:rFonts w:ascii="黑体" w:hAnsi="黑体" w:cs="黑体" w:eastAsia="黑体" w:hint="default"/>
                <w:spacing w:val="-52"/>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黑体" w:hAnsi="黑体" w:cs="黑体" w:eastAsia="黑体" w:hint="default"/>
                <w:sz w:val="20"/>
                <w:szCs w:val="20"/>
              </w:rPr>
              <w:t>日</w:t>
            </w:r>
          </w:p>
        </w:tc>
      </w:tr>
      <w:tr>
        <w:trPr>
          <w:trHeight w:val="359" w:hRule="exact"/>
        </w:trPr>
        <w:tc>
          <w:tcPr>
            <w:tcW w:w="312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0" w:right="0"/>
              <w:jc w:val="left"/>
              <w:rPr>
                <w:rFonts w:ascii="黑体" w:hAnsi="黑体" w:cs="黑体" w:eastAsia="黑体" w:hint="default"/>
                <w:sz w:val="20"/>
                <w:szCs w:val="20"/>
              </w:rPr>
            </w:pPr>
            <w:r>
              <w:rPr>
                <w:rFonts w:ascii="黑体" w:hAnsi="黑体" w:cs="黑体" w:eastAsia="黑体" w:hint="default"/>
                <w:sz w:val="20"/>
                <w:szCs w:val="20"/>
              </w:rPr>
              <w:t>银行承兑汇票</w:t>
            </w:r>
          </w:p>
        </w:tc>
        <w:tc>
          <w:tcPr>
            <w:tcW w:w="3294"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564"/>
              <w:jc w:val="right"/>
              <w:rPr>
                <w:rFonts w:ascii="Arial" w:hAnsi="Arial" w:cs="Arial" w:eastAsia="Arial" w:hint="default"/>
                <w:sz w:val="20"/>
                <w:szCs w:val="20"/>
              </w:rPr>
            </w:pPr>
            <w:r>
              <w:rPr>
                <w:rFonts w:ascii="Arial"/>
                <w:w w:val="99"/>
                <w:sz w:val="20"/>
              </w:rPr>
            </w:r>
            <w:r>
              <w:rPr>
                <w:rFonts w:ascii="Arial"/>
                <w:spacing w:val="-1"/>
                <w:sz w:val="20"/>
                <w:u w:val="thick" w:color="000000"/>
              </w:rPr>
              <w:t>42,348,626</w:t>
            </w:r>
            <w:r>
              <w:rPr>
                <w:rFonts w:ascii="Arial"/>
                <w:spacing w:val="-1"/>
                <w:sz w:val="20"/>
              </w:rPr>
            </w:r>
            <w:r>
              <w:rPr>
                <w:rFonts w:ascii="Arial"/>
                <w:sz w:val="20"/>
              </w:rPr>
            </w:r>
          </w:p>
        </w:tc>
        <w:tc>
          <w:tcPr>
            <w:tcW w:w="1760"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6,862,000</w:t>
            </w:r>
            <w:r>
              <w:rPr>
                <w:rFonts w:ascii="Arial"/>
                <w:spacing w:val="-1"/>
                <w:sz w:val="20"/>
              </w:rPr>
            </w:r>
          </w:p>
        </w:tc>
      </w:tr>
    </w:tbl>
    <w:p>
      <w:pPr>
        <w:spacing w:line="240" w:lineRule="auto" w:before="9"/>
        <w:rPr>
          <w:rFonts w:ascii="黑体" w:hAnsi="黑体" w:cs="黑体" w:eastAsia="黑体" w:hint="default"/>
          <w:b/>
          <w:bCs/>
          <w:sz w:val="19"/>
          <w:szCs w:val="19"/>
        </w:rPr>
      </w:pPr>
    </w:p>
    <w:p>
      <w:pPr>
        <w:pStyle w:val="BodyText"/>
        <w:spacing w:line="261" w:lineRule="auto" w:before="37"/>
        <w:ind w:right="194"/>
        <w:jc w:val="left"/>
      </w:pPr>
      <w:r>
        <w:rPr>
          <w:spacing w:val="-3"/>
        </w:rPr>
        <w:t>于</w:t>
      </w:r>
      <w:r>
        <w:rPr>
          <w:rFonts w:ascii="Arial" w:hAnsi="Arial" w:cs="Arial" w:eastAsia="Arial" w:hint="default"/>
          <w:spacing w:val="-3"/>
        </w:rPr>
        <w:t>2012</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r>
        <w:rPr>
          <w:spacing w:val="-3"/>
        </w:rPr>
        <w:t>日，本账户余额中无已贴现取得短期借款的票据</w:t>
      </w:r>
      <w:r>
        <w:rPr>
          <w:rFonts w:ascii="Arial" w:hAnsi="Arial" w:cs="Arial" w:eastAsia="Arial" w:hint="default"/>
          <w:spacing w:val="-3"/>
        </w:rPr>
        <w:t>(2011</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r>
        <w:rPr>
          <w:spacing w:val="-3"/>
        </w:rPr>
        <w:t>日：无</w:t>
      </w:r>
      <w:r>
        <w:rPr>
          <w:rFonts w:ascii="Arial" w:hAnsi="Arial" w:cs="Arial" w:eastAsia="Arial" w:hint="default"/>
          <w:spacing w:val="-3"/>
        </w:rPr>
        <w:t>)</w:t>
      </w:r>
      <w:r>
        <w:rPr>
          <w:spacing w:val="-3"/>
        </w:rPr>
        <w:t>；</w:t>
      </w:r>
      <w:r>
        <w:rPr>
          <w:spacing w:val="-90"/>
        </w:rPr>
        <w:t> </w:t>
      </w:r>
      <w:r>
        <w:rPr/>
        <w:t>亦无已质押的应收票据</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w:t>
      </w:r>
    </w:p>
    <w:p>
      <w:pPr>
        <w:spacing w:after="0" w:line="261" w:lineRule="auto"/>
        <w:jc w:val="left"/>
        <w:sectPr>
          <w:pgSz w:w="11910" w:h="16850"/>
          <w:pgMar w:header="957" w:footer="689" w:top="2560" w:bottom="880" w:left="1600" w:right="1400"/>
        </w:sectPr>
      </w:pPr>
    </w:p>
    <w:p>
      <w:pPr>
        <w:spacing w:line="240" w:lineRule="auto" w:before="5"/>
        <w:rPr>
          <w:rFonts w:ascii="黑体" w:hAnsi="黑体" w:cs="黑体" w:eastAsia="黑体" w:hint="default"/>
          <w:sz w:val="17"/>
          <w:szCs w:val="17"/>
        </w:rPr>
      </w:pPr>
    </w:p>
    <w:p>
      <w:pPr>
        <w:pStyle w:val="Heading6"/>
        <w:spacing w:line="240" w:lineRule="auto"/>
        <w:ind w:right="1150"/>
        <w:jc w:val="left"/>
        <w:rPr>
          <w:b w:val="0"/>
          <w:bCs w:val="0"/>
        </w:rPr>
      </w:pPr>
      <w:r>
        <w:rPr/>
        <w:t>十三、公司财务报表主要项目注释（续）</w:t>
      </w:r>
      <w:r>
        <w:rPr>
          <w:b w:val="0"/>
          <w:bCs w:val="0"/>
        </w:rPr>
      </w:r>
    </w:p>
    <w:p>
      <w:pPr>
        <w:spacing w:line="240" w:lineRule="auto" w:before="4"/>
        <w:rPr>
          <w:rFonts w:ascii="黑体" w:hAnsi="黑体" w:cs="黑体" w:eastAsia="黑体" w:hint="default"/>
          <w:b/>
          <w:bCs/>
          <w:sz w:val="23"/>
          <w:szCs w:val="23"/>
        </w:rPr>
      </w:pPr>
    </w:p>
    <w:p>
      <w:pPr>
        <w:pStyle w:val="BodyText"/>
        <w:tabs>
          <w:tab w:pos="843" w:val="left" w:leader="none"/>
        </w:tabs>
        <w:spacing w:line="513" w:lineRule="auto"/>
        <w:ind w:right="1150" w:hanging="713"/>
        <w:jc w:val="left"/>
      </w:pPr>
      <w:r>
        <w:rPr>
          <w:rFonts w:ascii="Arial" w:hAnsi="Arial" w:cs="Arial" w:eastAsia="Arial" w:hint="default"/>
          <w:b/>
          <w:bCs/>
          <w:spacing w:val="-1"/>
          <w:w w:val="95"/>
        </w:rPr>
        <w:t>3</w:t>
      </w:r>
      <w:r>
        <w:rPr>
          <w:rFonts w:ascii="黑体" w:hAnsi="黑体" w:cs="黑体" w:eastAsia="黑体" w:hint="default"/>
          <w:b/>
          <w:bCs/>
          <w:spacing w:val="-1"/>
          <w:w w:val="95"/>
        </w:rPr>
        <w:t>．</w:t>
        <w:tab/>
        <w:tab/>
      </w:r>
      <w:r>
        <w:rPr>
          <w:rFonts w:ascii="黑体" w:hAnsi="黑体" w:cs="黑体" w:eastAsia="黑体" w:hint="default"/>
          <w:b/>
          <w:bCs/>
          <w:spacing w:val="1"/>
        </w:rPr>
        <w:t>应收账款</w:t>
      </w:r>
      <w:r>
        <w:rPr>
          <w:rFonts w:ascii="黑体" w:hAnsi="黑体" w:cs="黑体" w:eastAsia="黑体" w:hint="default"/>
          <w:b/>
          <w:bCs/>
          <w:w w:val="99"/>
        </w:rPr>
        <w:t> </w:t>
      </w:r>
      <w:r>
        <w:rPr>
          <w:w w:val="95"/>
        </w:rPr>
        <w:t>应收账款</w:t>
      </w:r>
      <w:bookmarkStart w:name="3．   应收账款" w:id="150"/>
      <w:bookmarkEnd w:id="150"/>
      <w:r>
        <w:rPr>
          <w:w w:val="95"/>
        </w:rPr>
        <w:t>信用</w:t>
      </w:r>
      <w:r>
        <w:rPr>
          <w:w w:val="95"/>
        </w:rPr>
        <w:t>期通常为</w:t>
      </w:r>
      <w:r>
        <w:rPr>
          <w:rFonts w:ascii="Arial" w:hAnsi="Arial" w:cs="Arial" w:eastAsia="Arial" w:hint="default"/>
          <w:w w:val="95"/>
        </w:rPr>
        <w:t>1</w:t>
      </w:r>
      <w:r>
        <w:rPr>
          <w:w w:val="95"/>
        </w:rPr>
        <w:t>个月，主要客户可以延长至</w:t>
      </w:r>
      <w:r>
        <w:rPr>
          <w:rFonts w:ascii="Arial" w:hAnsi="Arial" w:cs="Arial" w:eastAsia="Arial" w:hint="default"/>
          <w:w w:val="95"/>
        </w:rPr>
        <w:t>3</w:t>
      </w:r>
      <w:r>
        <w:rPr>
          <w:w w:val="95"/>
        </w:rPr>
        <w:t>个月。应收账款并不计息。</w:t>
      </w:r>
      <w:r>
        <w:rPr>
          <w:w w:val="99"/>
        </w:rPr>
        <w:t> </w:t>
      </w:r>
      <w:r>
        <w:rPr/>
        <w:t>应收账款的账龄分析如下：</w:t>
      </w:r>
    </w:p>
    <w:p>
      <w:pPr>
        <w:spacing w:line="240" w:lineRule="auto" w:before="4"/>
        <w:rPr>
          <w:rFonts w:ascii="黑体" w:hAnsi="黑体" w:cs="黑体" w:eastAsia="黑体" w:hint="default"/>
          <w:sz w:val="12"/>
          <w:szCs w:val="12"/>
        </w:rPr>
      </w:pPr>
    </w:p>
    <w:tbl>
      <w:tblPr>
        <w:tblW w:w="0" w:type="auto"/>
        <w:jc w:val="left"/>
        <w:tblInd w:w="628" w:type="dxa"/>
        <w:tblLayout w:type="fixed"/>
        <w:tblCellMar>
          <w:top w:w="0" w:type="dxa"/>
          <w:left w:w="0" w:type="dxa"/>
          <w:bottom w:w="0" w:type="dxa"/>
          <w:right w:w="0" w:type="dxa"/>
        </w:tblCellMar>
        <w:tblLook w:val="01E0"/>
      </w:tblPr>
      <w:tblGrid>
        <w:gridCol w:w="3469"/>
        <w:gridCol w:w="2888"/>
        <w:gridCol w:w="1818"/>
      </w:tblGrid>
      <w:tr>
        <w:trPr>
          <w:trHeight w:val="232" w:hRule="exact"/>
        </w:trPr>
        <w:tc>
          <w:tcPr>
            <w:tcW w:w="3469" w:type="dxa"/>
            <w:tcBorders>
              <w:top w:val="nil" w:sz="6" w:space="0" w:color="auto"/>
              <w:left w:val="nil" w:sz="6" w:space="0" w:color="auto"/>
              <w:bottom w:val="nil" w:sz="6" w:space="0" w:color="auto"/>
              <w:right w:val="nil" w:sz="6" w:space="0" w:color="auto"/>
            </w:tcBorders>
          </w:tcPr>
          <w:p>
            <w:pPr/>
          </w:p>
        </w:tc>
        <w:tc>
          <w:tcPr>
            <w:tcW w:w="2888" w:type="dxa"/>
            <w:tcBorders>
              <w:top w:val="nil" w:sz="6" w:space="0" w:color="auto"/>
              <w:left w:val="nil" w:sz="6" w:space="0" w:color="auto"/>
              <w:bottom w:val="nil" w:sz="6" w:space="0" w:color="auto"/>
              <w:right w:val="nil" w:sz="6" w:space="0" w:color="auto"/>
            </w:tcBorders>
          </w:tcPr>
          <w:p>
            <w:pPr>
              <w:pStyle w:val="TableParagraph"/>
              <w:spacing w:line="214" w:lineRule="exact"/>
              <w:ind w:right="505"/>
              <w:jc w:val="right"/>
              <w:rPr>
                <w:rFonts w:ascii="黑体" w:hAnsi="黑体" w:cs="黑体" w:eastAsia="黑体" w:hint="default"/>
                <w:sz w:val="20"/>
                <w:szCs w:val="20"/>
              </w:rPr>
            </w:pPr>
            <w:r>
              <w:rPr>
                <w:rFonts w:ascii="Arial" w:hAnsi="Arial" w:cs="Arial" w:eastAsia="Arial" w:hint="default"/>
                <w:sz w:val="20"/>
                <w:szCs w:val="20"/>
              </w:rPr>
              <w:t>2012</w:t>
            </w:r>
            <w:r>
              <w:rPr>
                <w:rFonts w:ascii="Arial" w:hAnsi="Arial" w:cs="Arial" w:eastAsia="Arial" w:hint="default"/>
                <w:spacing w:val="-9"/>
                <w:sz w:val="20"/>
                <w:szCs w:val="20"/>
              </w:rPr>
              <w:t> </w:t>
            </w:r>
            <w:r>
              <w:rPr>
                <w:rFonts w:ascii="黑体" w:hAnsi="黑体" w:cs="黑体" w:eastAsia="黑体" w:hint="default"/>
                <w:sz w:val="20"/>
                <w:szCs w:val="20"/>
              </w:rPr>
              <w:t>年</w:t>
            </w:r>
          </w:p>
        </w:tc>
        <w:tc>
          <w:tcPr>
            <w:tcW w:w="1818" w:type="dxa"/>
            <w:tcBorders>
              <w:top w:val="nil" w:sz="6" w:space="0" w:color="auto"/>
              <w:left w:val="nil" w:sz="6" w:space="0" w:color="auto"/>
              <w:bottom w:val="nil" w:sz="6" w:space="0" w:color="auto"/>
              <w:right w:val="nil" w:sz="6" w:space="0" w:color="auto"/>
            </w:tcBorders>
          </w:tcPr>
          <w:p>
            <w:pPr>
              <w:pStyle w:val="TableParagraph"/>
              <w:spacing w:line="214" w:lineRule="exact"/>
              <w:ind w:right="199"/>
              <w:jc w:val="right"/>
              <w:rPr>
                <w:rFonts w:ascii="黑体" w:hAnsi="黑体" w:cs="黑体" w:eastAsia="黑体" w:hint="default"/>
                <w:sz w:val="20"/>
                <w:szCs w:val="20"/>
              </w:rPr>
            </w:pPr>
            <w:r>
              <w:rPr>
                <w:rFonts w:ascii="Arial" w:hAnsi="Arial" w:cs="Arial" w:eastAsia="Arial" w:hint="default"/>
                <w:sz w:val="20"/>
                <w:szCs w:val="20"/>
              </w:rPr>
              <w:t>2011</w:t>
            </w:r>
            <w:r>
              <w:rPr>
                <w:rFonts w:ascii="Arial" w:hAnsi="Arial" w:cs="Arial" w:eastAsia="Arial" w:hint="default"/>
                <w:spacing w:val="-9"/>
                <w:sz w:val="20"/>
                <w:szCs w:val="20"/>
              </w:rPr>
              <w:t> </w:t>
            </w:r>
            <w:r>
              <w:rPr>
                <w:rFonts w:ascii="黑体" w:hAnsi="黑体" w:cs="黑体" w:eastAsia="黑体" w:hint="default"/>
                <w:sz w:val="20"/>
                <w:szCs w:val="20"/>
              </w:rPr>
              <w:t>年</w:t>
            </w:r>
          </w:p>
        </w:tc>
      </w:tr>
      <w:tr>
        <w:trPr>
          <w:trHeight w:val="383" w:hRule="exact"/>
        </w:trPr>
        <w:tc>
          <w:tcPr>
            <w:tcW w:w="3469" w:type="dxa"/>
            <w:tcBorders>
              <w:top w:val="nil" w:sz="6" w:space="0" w:color="auto"/>
              <w:left w:val="nil" w:sz="6" w:space="0" w:color="auto"/>
              <w:bottom w:val="nil" w:sz="6" w:space="0" w:color="auto"/>
              <w:right w:val="nil" w:sz="6" w:space="0" w:color="auto"/>
            </w:tcBorders>
          </w:tcPr>
          <w:p>
            <w:pPr/>
          </w:p>
        </w:tc>
        <w:tc>
          <w:tcPr>
            <w:tcW w:w="2888" w:type="dxa"/>
            <w:tcBorders>
              <w:top w:val="nil" w:sz="6" w:space="0" w:color="auto"/>
              <w:left w:val="nil" w:sz="6" w:space="0" w:color="auto"/>
              <w:bottom w:val="nil" w:sz="6" w:space="0" w:color="auto"/>
              <w:right w:val="nil" w:sz="6" w:space="0" w:color="auto"/>
            </w:tcBorders>
          </w:tcPr>
          <w:p>
            <w:pPr>
              <w:pStyle w:val="TableParagraph"/>
              <w:spacing w:line="236" w:lineRule="exact"/>
              <w:ind w:right="505"/>
              <w:jc w:val="right"/>
              <w:rPr>
                <w:rFonts w:ascii="黑体" w:hAnsi="黑体" w:cs="黑体" w:eastAsia="黑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黑体" w:hAnsi="黑体" w:cs="黑体" w:eastAsia="黑体" w:hint="default"/>
                <w:sz w:val="20"/>
                <w:szCs w:val="20"/>
              </w:rPr>
              <w:t>月</w:t>
            </w:r>
            <w:r>
              <w:rPr>
                <w:rFonts w:ascii="黑体" w:hAnsi="黑体" w:cs="黑体" w:eastAsia="黑体" w:hint="default"/>
                <w:spacing w:val="-52"/>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黑体" w:hAnsi="黑体" w:cs="黑体" w:eastAsia="黑体" w:hint="default"/>
                <w:sz w:val="20"/>
                <w:szCs w:val="20"/>
              </w:rPr>
              <w:t>日</w:t>
            </w:r>
          </w:p>
        </w:tc>
        <w:tc>
          <w:tcPr>
            <w:tcW w:w="1818" w:type="dxa"/>
            <w:tcBorders>
              <w:top w:val="nil" w:sz="6" w:space="0" w:color="auto"/>
              <w:left w:val="nil" w:sz="6" w:space="0" w:color="auto"/>
              <w:bottom w:val="nil" w:sz="6" w:space="0" w:color="auto"/>
              <w:right w:val="nil" w:sz="6" w:space="0" w:color="auto"/>
            </w:tcBorders>
          </w:tcPr>
          <w:p>
            <w:pPr>
              <w:pStyle w:val="TableParagraph"/>
              <w:spacing w:line="236" w:lineRule="exact"/>
              <w:ind w:right="199"/>
              <w:jc w:val="right"/>
              <w:rPr>
                <w:rFonts w:ascii="黑体" w:hAnsi="黑体" w:cs="黑体" w:eastAsia="黑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黑体" w:hAnsi="黑体" w:cs="黑体" w:eastAsia="黑体" w:hint="default"/>
                <w:sz w:val="20"/>
                <w:szCs w:val="20"/>
              </w:rPr>
              <w:t>月</w:t>
            </w:r>
            <w:r>
              <w:rPr>
                <w:rFonts w:ascii="黑体" w:hAnsi="黑体" w:cs="黑体" w:eastAsia="黑体" w:hint="default"/>
                <w:spacing w:val="-52"/>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黑体" w:hAnsi="黑体" w:cs="黑体" w:eastAsia="黑体" w:hint="default"/>
                <w:sz w:val="20"/>
                <w:szCs w:val="20"/>
              </w:rPr>
              <w:t>日</w:t>
            </w:r>
          </w:p>
        </w:tc>
      </w:tr>
      <w:tr>
        <w:trPr>
          <w:trHeight w:val="383" w:hRule="exact"/>
        </w:trPr>
        <w:tc>
          <w:tcPr>
            <w:tcW w:w="346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00" w:right="0"/>
              <w:jc w:val="lef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9"/>
                <w:sz w:val="20"/>
                <w:szCs w:val="20"/>
              </w:rPr>
              <w:t> </w:t>
            </w:r>
            <w:r>
              <w:rPr>
                <w:rFonts w:ascii="黑体" w:hAnsi="黑体" w:cs="黑体" w:eastAsia="黑体" w:hint="default"/>
                <w:sz w:val="20"/>
                <w:szCs w:val="20"/>
              </w:rPr>
              <w:t>年以内</w:t>
            </w:r>
          </w:p>
        </w:tc>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508"/>
              <w:jc w:val="right"/>
              <w:rPr>
                <w:rFonts w:ascii="Arial" w:hAnsi="Arial" w:cs="Arial" w:eastAsia="Arial" w:hint="default"/>
                <w:sz w:val="20"/>
                <w:szCs w:val="20"/>
              </w:rPr>
            </w:pPr>
            <w:r>
              <w:rPr>
                <w:rFonts w:ascii="Arial"/>
                <w:spacing w:val="-1"/>
                <w:w w:val="95"/>
                <w:sz w:val="20"/>
              </w:rPr>
              <w:t>503,429,742</w:t>
            </w:r>
            <w:r>
              <w:rPr>
                <w:rFonts w:ascii="Arial"/>
                <w:sz w:val="20"/>
              </w:rPr>
            </w:r>
          </w:p>
        </w:tc>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00"/>
              <w:jc w:val="right"/>
              <w:rPr>
                <w:rFonts w:ascii="Arial" w:hAnsi="Arial" w:cs="Arial" w:eastAsia="Arial" w:hint="default"/>
                <w:sz w:val="20"/>
                <w:szCs w:val="20"/>
              </w:rPr>
            </w:pPr>
            <w:r>
              <w:rPr>
                <w:rFonts w:ascii="Arial"/>
                <w:spacing w:val="-1"/>
                <w:sz w:val="20"/>
              </w:rPr>
              <w:t>529,241,963</w:t>
            </w:r>
            <w:r>
              <w:rPr>
                <w:rFonts w:ascii="Arial"/>
                <w:sz w:val="20"/>
              </w:rPr>
            </w:r>
          </w:p>
        </w:tc>
      </w:tr>
      <w:tr>
        <w:trPr>
          <w:trHeight w:val="254" w:hRule="exact"/>
        </w:trPr>
        <w:tc>
          <w:tcPr>
            <w:tcW w:w="3469" w:type="dxa"/>
            <w:tcBorders>
              <w:top w:val="nil" w:sz="6" w:space="0" w:color="auto"/>
              <w:left w:val="nil" w:sz="6" w:space="0" w:color="auto"/>
              <w:bottom w:val="nil" w:sz="6" w:space="0" w:color="auto"/>
              <w:right w:val="nil" w:sz="6" w:space="0" w:color="auto"/>
            </w:tcBorders>
          </w:tcPr>
          <w:p>
            <w:pPr>
              <w:pStyle w:val="TableParagraph"/>
              <w:spacing w:line="236" w:lineRule="exact"/>
              <w:ind w:left="200" w:right="0"/>
              <w:jc w:val="lef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8"/>
                <w:sz w:val="20"/>
                <w:szCs w:val="20"/>
              </w:rPr>
              <w:t> </w:t>
            </w:r>
            <w:r>
              <w:rPr>
                <w:rFonts w:ascii="黑体" w:hAnsi="黑体" w:cs="黑体" w:eastAsia="黑体" w:hint="default"/>
                <w:sz w:val="20"/>
                <w:szCs w:val="20"/>
              </w:rPr>
              <w:t>年至</w:t>
            </w:r>
            <w:r>
              <w:rPr>
                <w:rFonts w:ascii="黑体" w:hAnsi="黑体" w:cs="黑体" w:eastAsia="黑体" w:hint="default"/>
                <w:spacing w:val="-52"/>
                <w:sz w:val="20"/>
                <w:szCs w:val="20"/>
              </w:rPr>
              <w:t> </w:t>
            </w:r>
            <w:r>
              <w:rPr>
                <w:rFonts w:ascii="Arial" w:hAnsi="Arial" w:cs="Arial" w:eastAsia="Arial" w:hint="default"/>
                <w:sz w:val="20"/>
                <w:szCs w:val="20"/>
              </w:rPr>
              <w:t>2</w:t>
            </w:r>
            <w:r>
              <w:rPr>
                <w:rFonts w:ascii="Arial" w:hAnsi="Arial" w:cs="Arial" w:eastAsia="Arial" w:hint="default"/>
                <w:spacing w:val="-8"/>
                <w:sz w:val="20"/>
                <w:szCs w:val="20"/>
              </w:rPr>
              <w:t> </w:t>
            </w:r>
            <w:r>
              <w:rPr>
                <w:rFonts w:ascii="黑体" w:hAnsi="黑体" w:cs="黑体" w:eastAsia="黑体" w:hint="default"/>
                <w:sz w:val="20"/>
                <w:szCs w:val="20"/>
              </w:rPr>
              <w:t>年</w:t>
            </w:r>
          </w:p>
        </w:tc>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05"/>
              <w:jc w:val="right"/>
              <w:rPr>
                <w:rFonts w:ascii="Arial" w:hAnsi="Arial" w:cs="Arial" w:eastAsia="Arial" w:hint="default"/>
                <w:sz w:val="20"/>
                <w:szCs w:val="20"/>
              </w:rPr>
            </w:pPr>
            <w:r>
              <w:rPr>
                <w:rFonts w:ascii="Arial"/>
                <w:spacing w:val="-1"/>
                <w:sz w:val="20"/>
              </w:rPr>
              <w:t>167,191,009</w:t>
            </w:r>
          </w:p>
        </w:tc>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00"/>
              <w:jc w:val="right"/>
              <w:rPr>
                <w:rFonts w:ascii="Arial" w:hAnsi="Arial" w:cs="Arial" w:eastAsia="Arial" w:hint="default"/>
                <w:sz w:val="20"/>
                <w:szCs w:val="20"/>
              </w:rPr>
            </w:pPr>
            <w:r>
              <w:rPr>
                <w:rFonts w:ascii="Arial"/>
                <w:spacing w:val="-1"/>
                <w:sz w:val="20"/>
              </w:rPr>
              <w:t>102,817,887</w:t>
            </w:r>
            <w:r>
              <w:rPr>
                <w:rFonts w:ascii="Arial"/>
                <w:sz w:val="20"/>
              </w:rPr>
            </w:r>
          </w:p>
        </w:tc>
      </w:tr>
      <w:tr>
        <w:trPr>
          <w:trHeight w:val="254" w:hRule="exact"/>
        </w:trPr>
        <w:tc>
          <w:tcPr>
            <w:tcW w:w="3469" w:type="dxa"/>
            <w:tcBorders>
              <w:top w:val="nil" w:sz="6" w:space="0" w:color="auto"/>
              <w:left w:val="nil" w:sz="6" w:space="0" w:color="auto"/>
              <w:bottom w:val="nil" w:sz="6" w:space="0" w:color="auto"/>
              <w:right w:val="nil" w:sz="6" w:space="0" w:color="auto"/>
            </w:tcBorders>
          </w:tcPr>
          <w:p>
            <w:pPr>
              <w:pStyle w:val="TableParagraph"/>
              <w:spacing w:line="236" w:lineRule="exact"/>
              <w:ind w:left="200" w:right="0"/>
              <w:jc w:val="left"/>
              <w:rPr>
                <w:rFonts w:ascii="黑体" w:hAnsi="黑体" w:cs="黑体" w:eastAsia="黑体" w:hint="default"/>
                <w:sz w:val="20"/>
                <w:szCs w:val="20"/>
              </w:rPr>
            </w:pPr>
            <w:r>
              <w:rPr>
                <w:rFonts w:ascii="Arial" w:hAnsi="Arial" w:cs="Arial" w:eastAsia="Arial" w:hint="default"/>
                <w:sz w:val="20"/>
                <w:szCs w:val="20"/>
              </w:rPr>
              <w:t>2</w:t>
            </w:r>
            <w:r>
              <w:rPr>
                <w:rFonts w:ascii="Arial" w:hAnsi="Arial" w:cs="Arial" w:eastAsia="Arial" w:hint="default"/>
                <w:spacing w:val="-8"/>
                <w:sz w:val="20"/>
                <w:szCs w:val="20"/>
              </w:rPr>
              <w:t> </w:t>
            </w:r>
            <w:r>
              <w:rPr>
                <w:rFonts w:ascii="黑体" w:hAnsi="黑体" w:cs="黑体" w:eastAsia="黑体" w:hint="default"/>
                <w:sz w:val="20"/>
                <w:szCs w:val="20"/>
              </w:rPr>
              <w:t>年至</w:t>
            </w:r>
            <w:r>
              <w:rPr>
                <w:rFonts w:ascii="黑体" w:hAnsi="黑体" w:cs="黑体" w:eastAsia="黑体" w:hint="default"/>
                <w:spacing w:val="-52"/>
                <w:sz w:val="20"/>
                <w:szCs w:val="20"/>
              </w:rPr>
              <w:t> </w:t>
            </w:r>
            <w:r>
              <w:rPr>
                <w:rFonts w:ascii="Arial" w:hAnsi="Arial" w:cs="Arial" w:eastAsia="Arial" w:hint="default"/>
                <w:sz w:val="20"/>
                <w:szCs w:val="20"/>
              </w:rPr>
              <w:t>3</w:t>
            </w:r>
            <w:r>
              <w:rPr>
                <w:rFonts w:ascii="Arial" w:hAnsi="Arial" w:cs="Arial" w:eastAsia="Arial" w:hint="default"/>
                <w:spacing w:val="-8"/>
                <w:sz w:val="20"/>
                <w:szCs w:val="20"/>
              </w:rPr>
              <w:t> </w:t>
            </w:r>
            <w:r>
              <w:rPr>
                <w:rFonts w:ascii="黑体" w:hAnsi="黑体" w:cs="黑体" w:eastAsia="黑体" w:hint="default"/>
                <w:sz w:val="20"/>
                <w:szCs w:val="20"/>
              </w:rPr>
              <w:t>年</w:t>
            </w:r>
          </w:p>
        </w:tc>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05"/>
              <w:jc w:val="right"/>
              <w:rPr>
                <w:rFonts w:ascii="Arial" w:hAnsi="Arial" w:cs="Arial" w:eastAsia="Arial" w:hint="default"/>
                <w:sz w:val="20"/>
                <w:szCs w:val="20"/>
              </w:rPr>
            </w:pPr>
            <w:r>
              <w:rPr>
                <w:rFonts w:ascii="Arial"/>
                <w:spacing w:val="-1"/>
                <w:w w:val="95"/>
                <w:sz w:val="20"/>
              </w:rPr>
              <w:t>62,787,531</w:t>
            </w:r>
            <w:r>
              <w:rPr>
                <w:rFonts w:ascii="Arial"/>
                <w:spacing w:val="-1"/>
                <w:sz w:val="20"/>
              </w:rPr>
            </w:r>
          </w:p>
        </w:tc>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00"/>
              <w:jc w:val="right"/>
              <w:rPr>
                <w:rFonts w:ascii="Arial" w:hAnsi="Arial" w:cs="Arial" w:eastAsia="Arial" w:hint="default"/>
                <w:sz w:val="20"/>
                <w:szCs w:val="20"/>
              </w:rPr>
            </w:pPr>
            <w:r>
              <w:rPr>
                <w:rFonts w:ascii="Arial"/>
                <w:spacing w:val="-1"/>
                <w:sz w:val="20"/>
              </w:rPr>
              <w:t>32,022,085</w:t>
            </w:r>
            <w:r>
              <w:rPr>
                <w:rFonts w:ascii="Arial"/>
                <w:sz w:val="20"/>
              </w:rPr>
            </w:r>
          </w:p>
        </w:tc>
      </w:tr>
      <w:tr>
        <w:trPr>
          <w:trHeight w:val="260" w:hRule="exact"/>
        </w:trPr>
        <w:tc>
          <w:tcPr>
            <w:tcW w:w="3469" w:type="dxa"/>
            <w:tcBorders>
              <w:top w:val="nil" w:sz="6" w:space="0" w:color="auto"/>
              <w:left w:val="nil" w:sz="6" w:space="0" w:color="auto"/>
              <w:bottom w:val="nil" w:sz="6" w:space="0" w:color="auto"/>
              <w:right w:val="nil" w:sz="6" w:space="0" w:color="auto"/>
            </w:tcBorders>
          </w:tcPr>
          <w:p>
            <w:pPr>
              <w:pStyle w:val="TableParagraph"/>
              <w:spacing w:line="236" w:lineRule="exact"/>
              <w:ind w:left="200" w:right="0"/>
              <w:jc w:val="left"/>
              <w:rPr>
                <w:rFonts w:ascii="黑体" w:hAnsi="黑体" w:cs="黑体" w:eastAsia="黑体" w:hint="default"/>
                <w:sz w:val="20"/>
                <w:szCs w:val="20"/>
              </w:rPr>
            </w:pPr>
            <w:r>
              <w:rPr>
                <w:rFonts w:ascii="Arial" w:hAnsi="Arial" w:cs="Arial" w:eastAsia="Arial" w:hint="default"/>
                <w:sz w:val="20"/>
                <w:szCs w:val="20"/>
              </w:rPr>
              <w:t>3</w:t>
            </w:r>
            <w:r>
              <w:rPr>
                <w:rFonts w:ascii="Arial" w:hAnsi="Arial" w:cs="Arial" w:eastAsia="Arial" w:hint="default"/>
                <w:spacing w:val="-9"/>
                <w:sz w:val="20"/>
                <w:szCs w:val="20"/>
              </w:rPr>
              <w:t> </w:t>
            </w:r>
            <w:r>
              <w:rPr>
                <w:rFonts w:ascii="黑体" w:hAnsi="黑体" w:cs="黑体" w:eastAsia="黑体" w:hint="default"/>
                <w:sz w:val="20"/>
                <w:szCs w:val="20"/>
              </w:rPr>
              <w:t>年以上</w:t>
            </w:r>
          </w:p>
        </w:tc>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05"/>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w w:val="95"/>
                <w:sz w:val="20"/>
                <w:u w:val="single" w:color="000000"/>
              </w:rPr>
              <w:t>43,260,912</w:t>
            </w:r>
            <w:r>
              <w:rPr>
                <w:rFonts w:ascii="Arial"/>
                <w:spacing w:val="-1"/>
                <w:w w:val="95"/>
                <w:sz w:val="20"/>
              </w:rPr>
            </w:r>
            <w:r>
              <w:rPr>
                <w:rFonts w:ascii="Arial"/>
                <w:spacing w:val="-1"/>
                <w:sz w:val="20"/>
              </w:rPr>
            </w:r>
          </w:p>
        </w:tc>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9"/>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sz w:val="20"/>
                <w:u w:val="single" w:color="000000"/>
              </w:rPr>
              <w:t>24,606,419</w:t>
            </w:r>
            <w:r>
              <w:rPr>
                <w:rFonts w:ascii="Arial"/>
                <w:spacing w:val="-1"/>
                <w:sz w:val="20"/>
              </w:rPr>
            </w:r>
          </w:p>
        </w:tc>
      </w:tr>
      <w:tr>
        <w:trPr>
          <w:trHeight w:val="378" w:hRule="exact"/>
        </w:trPr>
        <w:tc>
          <w:tcPr>
            <w:tcW w:w="3469" w:type="dxa"/>
            <w:tcBorders>
              <w:top w:val="nil" w:sz="6" w:space="0" w:color="auto"/>
              <w:left w:val="nil" w:sz="6" w:space="0" w:color="auto"/>
              <w:bottom w:val="nil" w:sz="6" w:space="0" w:color="auto"/>
              <w:right w:val="nil" w:sz="6" w:space="0" w:color="auto"/>
            </w:tcBorders>
          </w:tcPr>
          <w:p>
            <w:pPr/>
          </w:p>
        </w:tc>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506"/>
              <w:jc w:val="right"/>
              <w:rPr>
                <w:rFonts w:ascii="Arial" w:hAnsi="Arial" w:cs="Arial" w:eastAsia="Arial" w:hint="default"/>
                <w:sz w:val="20"/>
                <w:szCs w:val="20"/>
              </w:rPr>
            </w:pPr>
            <w:r>
              <w:rPr>
                <w:rFonts w:ascii="Arial"/>
                <w:spacing w:val="-1"/>
                <w:sz w:val="20"/>
              </w:rPr>
              <w:t>776,669,194</w:t>
            </w:r>
            <w:r>
              <w:rPr>
                <w:rFonts w:ascii="Arial"/>
                <w:sz w:val="20"/>
              </w:rPr>
            </w:r>
          </w:p>
        </w:tc>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98"/>
              <w:jc w:val="right"/>
              <w:rPr>
                <w:rFonts w:ascii="Arial" w:hAnsi="Arial" w:cs="Arial" w:eastAsia="Arial" w:hint="default"/>
                <w:sz w:val="20"/>
                <w:szCs w:val="20"/>
              </w:rPr>
            </w:pPr>
            <w:r>
              <w:rPr>
                <w:rFonts w:ascii="Arial"/>
                <w:spacing w:val="-1"/>
                <w:sz w:val="20"/>
              </w:rPr>
              <w:t>688,688,354</w:t>
            </w:r>
            <w:r>
              <w:rPr>
                <w:rFonts w:ascii="Arial"/>
                <w:sz w:val="20"/>
              </w:rPr>
            </w:r>
          </w:p>
        </w:tc>
      </w:tr>
      <w:tr>
        <w:trPr>
          <w:trHeight w:val="516" w:hRule="exact"/>
        </w:trPr>
        <w:tc>
          <w:tcPr>
            <w:tcW w:w="346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0" w:right="0"/>
              <w:jc w:val="left"/>
              <w:rPr>
                <w:rFonts w:ascii="黑体" w:hAnsi="黑体" w:cs="黑体" w:eastAsia="黑体" w:hint="default"/>
                <w:sz w:val="20"/>
                <w:szCs w:val="20"/>
              </w:rPr>
            </w:pPr>
            <w:r>
              <w:rPr>
                <w:rFonts w:ascii="黑体" w:hAnsi="黑体" w:cs="黑体" w:eastAsia="黑体" w:hint="default"/>
                <w:sz w:val="20"/>
                <w:szCs w:val="20"/>
              </w:rPr>
              <w:t>减：应收账款坏账准备</w:t>
            </w:r>
          </w:p>
        </w:tc>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50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
                <w:sz w:val="20"/>
                <w:u w:val="single" w:color="000000"/>
              </w:rPr>
              <w:t> 94,476,426</w:t>
            </w:r>
            <w:r>
              <w:rPr>
                <w:rFonts w:ascii="Arial"/>
                <w:spacing w:val="-1"/>
                <w:sz w:val="20"/>
              </w:rPr>
            </w:r>
            <w:r>
              <w:rPr>
                <w:rFonts w:ascii="Arial"/>
                <w:sz w:val="20"/>
              </w:rPr>
            </w:r>
          </w:p>
        </w:tc>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200"/>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3"/>
                <w:sz w:val="20"/>
                <w:u w:val="single" w:color="000000"/>
              </w:rPr>
              <w:t> </w:t>
            </w:r>
            <w:r>
              <w:rPr>
                <w:rFonts w:ascii="Arial"/>
                <w:spacing w:val="-1"/>
                <w:sz w:val="20"/>
                <w:u w:val="single" w:color="000000"/>
              </w:rPr>
              <w:t>48,808,090</w:t>
            </w:r>
            <w:r>
              <w:rPr>
                <w:rFonts w:ascii="Arial"/>
                <w:spacing w:val="-1"/>
                <w:sz w:val="20"/>
              </w:rPr>
            </w:r>
            <w:r>
              <w:rPr>
                <w:rFonts w:ascii="Arial"/>
                <w:sz w:val="20"/>
              </w:rPr>
            </w:r>
          </w:p>
        </w:tc>
      </w:tr>
      <w:tr>
        <w:trPr>
          <w:trHeight w:val="354" w:hRule="exact"/>
        </w:trPr>
        <w:tc>
          <w:tcPr>
            <w:tcW w:w="3469" w:type="dxa"/>
            <w:tcBorders>
              <w:top w:val="nil" w:sz="6" w:space="0" w:color="auto"/>
              <w:left w:val="nil" w:sz="6" w:space="0" w:color="auto"/>
              <w:bottom w:val="nil" w:sz="6" w:space="0" w:color="auto"/>
              <w:right w:val="nil" w:sz="6" w:space="0" w:color="auto"/>
            </w:tcBorders>
          </w:tcPr>
          <w:p>
            <w:pPr/>
          </w:p>
        </w:tc>
        <w:tc>
          <w:tcPr>
            <w:tcW w:w="2888"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08"/>
              <w:jc w:val="right"/>
              <w:rPr>
                <w:rFonts w:ascii="Arial" w:hAnsi="Arial" w:cs="Arial" w:eastAsia="Arial" w:hint="default"/>
                <w:sz w:val="20"/>
                <w:szCs w:val="20"/>
              </w:rPr>
            </w:pPr>
            <w:r>
              <w:rPr>
                <w:rFonts w:ascii="Arial"/>
                <w:w w:val="99"/>
                <w:sz w:val="20"/>
              </w:rPr>
            </w:r>
            <w:r>
              <w:rPr>
                <w:rFonts w:ascii="Arial"/>
                <w:spacing w:val="-1"/>
                <w:sz w:val="20"/>
                <w:u w:val="thick" w:color="000000"/>
              </w:rPr>
              <w:t>682,192,768</w:t>
            </w:r>
            <w:r>
              <w:rPr>
                <w:rFonts w:ascii="Arial"/>
                <w:spacing w:val="-1"/>
                <w:sz w:val="20"/>
              </w:rPr>
            </w:r>
            <w:r>
              <w:rPr>
                <w:rFonts w:ascii="Arial"/>
                <w:sz w:val="20"/>
              </w:rPr>
            </w:r>
          </w:p>
        </w:tc>
        <w:tc>
          <w:tcPr>
            <w:tcW w:w="1818"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00"/>
              <w:jc w:val="right"/>
              <w:rPr>
                <w:rFonts w:ascii="Arial" w:hAnsi="Arial" w:cs="Arial" w:eastAsia="Arial" w:hint="default"/>
                <w:sz w:val="20"/>
                <w:szCs w:val="20"/>
              </w:rPr>
            </w:pPr>
            <w:r>
              <w:rPr>
                <w:rFonts w:ascii="Arial"/>
                <w:w w:val="99"/>
                <w:sz w:val="20"/>
              </w:rPr>
            </w:r>
            <w:r>
              <w:rPr>
                <w:rFonts w:ascii="Arial"/>
                <w:spacing w:val="-1"/>
                <w:sz w:val="20"/>
                <w:u w:val="thick" w:color="000000"/>
              </w:rPr>
              <w:t>639,880,264</w:t>
            </w:r>
            <w:r>
              <w:rPr>
                <w:rFonts w:ascii="Arial"/>
                <w:spacing w:val="-1"/>
                <w:sz w:val="20"/>
              </w:rPr>
            </w:r>
            <w:r>
              <w:rPr>
                <w:rFonts w:ascii="Arial"/>
                <w:sz w:val="20"/>
              </w:rPr>
            </w:r>
          </w:p>
        </w:tc>
      </w:tr>
    </w:tbl>
    <w:p>
      <w:pPr>
        <w:spacing w:line="240" w:lineRule="auto" w:before="9"/>
        <w:rPr>
          <w:rFonts w:ascii="黑体" w:hAnsi="黑体" w:cs="黑体" w:eastAsia="黑体" w:hint="default"/>
          <w:sz w:val="19"/>
          <w:szCs w:val="19"/>
        </w:rPr>
      </w:pPr>
    </w:p>
    <w:p>
      <w:pPr>
        <w:pStyle w:val="BodyText"/>
        <w:spacing w:line="240" w:lineRule="auto" w:before="37"/>
        <w:ind w:right="1150"/>
        <w:jc w:val="left"/>
      </w:pPr>
      <w:r>
        <w:rPr/>
        <w:t>应收账款坏账准备的变动如下：</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6"/>
        <w:rPr>
          <w:rFonts w:ascii="黑体" w:hAnsi="黑体" w:cs="黑体" w:eastAsia="黑体" w:hint="default"/>
          <w:sz w:val="19"/>
          <w:szCs w:val="19"/>
        </w:rPr>
      </w:pPr>
    </w:p>
    <w:p>
      <w:pPr>
        <w:pStyle w:val="BodyText"/>
        <w:spacing w:line="240" w:lineRule="auto" w:before="83"/>
        <w:ind w:left="0" w:right="1714"/>
        <w:jc w:val="right"/>
        <w:rPr>
          <w:rFonts w:ascii="Arial" w:hAnsi="Arial" w:cs="Arial" w:eastAsia="Arial" w:hint="default"/>
        </w:rPr>
      </w:pPr>
      <w:r>
        <w:rPr/>
        <w:pict>
          <v:shape style="position:absolute;margin-left:111.440002pt;margin-top:-59.46949pt;width:412.8pt;height:74.9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27"/>
                    <w:gridCol w:w="1226"/>
                    <w:gridCol w:w="1364"/>
                    <w:gridCol w:w="1155"/>
                    <w:gridCol w:w="829"/>
                    <w:gridCol w:w="953"/>
                    <w:gridCol w:w="86"/>
                    <w:gridCol w:w="1614"/>
                  </w:tblGrid>
                  <w:tr>
                    <w:trPr>
                      <w:trHeight w:val="238" w:hRule="exact"/>
                    </w:trPr>
                    <w:tc>
                      <w:tcPr>
                        <w:tcW w:w="1027"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214" w:lineRule="exact"/>
                          <w:ind w:right="92"/>
                          <w:jc w:val="right"/>
                          <w:rPr>
                            <w:rFonts w:ascii="黑体" w:hAnsi="黑体" w:cs="黑体" w:eastAsia="黑体" w:hint="default"/>
                            <w:sz w:val="20"/>
                            <w:szCs w:val="20"/>
                          </w:rPr>
                        </w:pPr>
                        <w:r>
                          <w:rPr>
                            <w:rFonts w:ascii="黑体" w:hAnsi="黑体" w:cs="黑体" w:eastAsia="黑体" w:hint="default"/>
                            <w:w w:val="95"/>
                            <w:sz w:val="20"/>
                            <w:szCs w:val="20"/>
                          </w:rPr>
                          <w:t>年初数</w:t>
                        </w:r>
                        <w:r>
                          <w:rPr>
                            <w:rFonts w:ascii="黑体" w:hAnsi="黑体" w:cs="黑体" w:eastAsia="黑体" w:hint="default"/>
                            <w:sz w:val="20"/>
                            <w:szCs w:val="20"/>
                          </w:rPr>
                        </w:r>
                      </w:p>
                    </w:tc>
                    <w:tc>
                      <w:tcPr>
                        <w:tcW w:w="1364" w:type="dxa"/>
                        <w:tcBorders>
                          <w:top w:val="nil" w:sz="6" w:space="0" w:color="auto"/>
                          <w:left w:val="nil" w:sz="6" w:space="0" w:color="auto"/>
                          <w:bottom w:val="nil" w:sz="6" w:space="0" w:color="auto"/>
                          <w:right w:val="nil" w:sz="6" w:space="0" w:color="auto"/>
                        </w:tcBorders>
                      </w:tcPr>
                      <w:p>
                        <w:pPr>
                          <w:pStyle w:val="TableParagraph"/>
                          <w:spacing w:line="214" w:lineRule="exact"/>
                          <w:ind w:right="251"/>
                          <w:jc w:val="right"/>
                          <w:rPr>
                            <w:rFonts w:ascii="黑体" w:hAnsi="黑体" w:cs="黑体" w:eastAsia="黑体" w:hint="default"/>
                            <w:sz w:val="20"/>
                            <w:szCs w:val="20"/>
                          </w:rPr>
                        </w:pPr>
                        <w:r>
                          <w:rPr>
                            <w:rFonts w:ascii="黑体" w:hAnsi="黑体" w:cs="黑体" w:eastAsia="黑体" w:hint="default"/>
                            <w:w w:val="95"/>
                            <w:sz w:val="20"/>
                            <w:szCs w:val="20"/>
                          </w:rPr>
                          <w:t>本年计提</w:t>
                        </w:r>
                        <w:r>
                          <w:rPr>
                            <w:rFonts w:ascii="黑体" w:hAnsi="黑体" w:cs="黑体" w:eastAsia="黑体" w:hint="default"/>
                            <w:sz w:val="20"/>
                            <w:szCs w:val="20"/>
                          </w:rPr>
                        </w:r>
                      </w:p>
                    </w:tc>
                    <w:tc>
                      <w:tcPr>
                        <w:tcW w:w="1985" w:type="dxa"/>
                        <w:gridSpan w:val="2"/>
                        <w:tcBorders>
                          <w:top w:val="nil" w:sz="6" w:space="0" w:color="auto"/>
                          <w:left w:val="nil" w:sz="6" w:space="0" w:color="auto"/>
                          <w:bottom w:val="single" w:sz="4" w:space="0" w:color="000000"/>
                          <w:right w:val="nil" w:sz="6" w:space="0" w:color="auto"/>
                        </w:tcBorders>
                      </w:tcPr>
                      <w:p>
                        <w:pPr>
                          <w:pStyle w:val="TableParagraph"/>
                          <w:spacing w:line="199" w:lineRule="exact"/>
                          <w:ind w:left="1063" w:right="0"/>
                          <w:jc w:val="left"/>
                          <w:rPr>
                            <w:rFonts w:ascii="黑体" w:hAnsi="黑体" w:cs="黑体" w:eastAsia="黑体" w:hint="default"/>
                            <w:sz w:val="20"/>
                            <w:szCs w:val="20"/>
                          </w:rPr>
                        </w:pPr>
                        <w:r>
                          <w:rPr>
                            <w:rFonts w:ascii="黑体" w:hAnsi="黑体" w:cs="黑体" w:eastAsia="黑体" w:hint="default"/>
                            <w:sz w:val="20"/>
                            <w:szCs w:val="20"/>
                          </w:rPr>
                          <w:t>本年减少</w:t>
                        </w:r>
                      </w:p>
                    </w:tc>
                    <w:tc>
                      <w:tcPr>
                        <w:tcW w:w="953" w:type="dxa"/>
                        <w:tcBorders>
                          <w:top w:val="nil" w:sz="6" w:space="0" w:color="auto"/>
                          <w:left w:val="nil" w:sz="6" w:space="0" w:color="auto"/>
                          <w:bottom w:val="single" w:sz="4" w:space="0" w:color="000000"/>
                          <w:right w:val="nil" w:sz="6" w:space="0" w:color="auto"/>
                        </w:tcBorders>
                      </w:tcPr>
                      <w:p>
                        <w:pPr/>
                      </w:p>
                    </w:tc>
                    <w:tc>
                      <w:tcPr>
                        <w:tcW w:w="86"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14" w:lineRule="exact"/>
                          <w:ind w:right="198"/>
                          <w:jc w:val="right"/>
                          <w:rPr>
                            <w:rFonts w:ascii="黑体" w:hAnsi="黑体" w:cs="黑体" w:eastAsia="黑体" w:hint="default"/>
                            <w:sz w:val="20"/>
                            <w:szCs w:val="20"/>
                          </w:rPr>
                        </w:pPr>
                        <w:r>
                          <w:rPr>
                            <w:rFonts w:ascii="黑体" w:hAnsi="黑体" w:cs="黑体" w:eastAsia="黑体" w:hint="default"/>
                            <w:w w:val="95"/>
                            <w:sz w:val="20"/>
                            <w:szCs w:val="20"/>
                          </w:rPr>
                          <w:t>年末数</w:t>
                        </w:r>
                        <w:r>
                          <w:rPr>
                            <w:rFonts w:ascii="黑体" w:hAnsi="黑体" w:cs="黑体" w:eastAsia="黑体" w:hint="default"/>
                            <w:sz w:val="20"/>
                            <w:szCs w:val="20"/>
                          </w:rPr>
                        </w:r>
                      </w:p>
                    </w:tc>
                  </w:tr>
                  <w:tr>
                    <w:trPr>
                      <w:trHeight w:val="389" w:hRule="exact"/>
                    </w:trPr>
                    <w:tc>
                      <w:tcPr>
                        <w:tcW w:w="1027"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155" w:type="dxa"/>
                        <w:tcBorders>
                          <w:top w:val="single" w:sz="4" w:space="0" w:color="000000"/>
                          <w:left w:val="nil" w:sz="6" w:space="0" w:color="auto"/>
                          <w:bottom w:val="nil" w:sz="6" w:space="0" w:color="auto"/>
                          <w:right w:val="nil" w:sz="6" w:space="0" w:color="auto"/>
                        </w:tcBorders>
                      </w:tcPr>
                      <w:p>
                        <w:pPr>
                          <w:pStyle w:val="TableParagraph"/>
                          <w:spacing w:line="235" w:lineRule="exact"/>
                          <w:ind w:right="23"/>
                          <w:jc w:val="right"/>
                          <w:rPr>
                            <w:rFonts w:ascii="黑体" w:hAnsi="黑体" w:cs="黑体" w:eastAsia="黑体" w:hint="default"/>
                            <w:sz w:val="20"/>
                            <w:szCs w:val="20"/>
                          </w:rPr>
                        </w:pPr>
                        <w:r>
                          <w:rPr>
                            <w:rFonts w:ascii="黑体" w:hAnsi="黑体" w:cs="黑体" w:eastAsia="黑体" w:hint="default"/>
                            <w:w w:val="95"/>
                            <w:sz w:val="20"/>
                            <w:szCs w:val="20"/>
                          </w:rPr>
                          <w:t>本年转回</w:t>
                        </w:r>
                        <w:r>
                          <w:rPr>
                            <w:rFonts w:ascii="黑体" w:hAnsi="黑体" w:cs="黑体" w:eastAsia="黑体" w:hint="default"/>
                            <w:sz w:val="20"/>
                            <w:szCs w:val="20"/>
                          </w:rPr>
                        </w:r>
                      </w:p>
                    </w:tc>
                    <w:tc>
                      <w:tcPr>
                        <w:tcW w:w="829" w:type="dxa"/>
                        <w:tcBorders>
                          <w:top w:val="single" w:sz="4" w:space="0" w:color="000000"/>
                          <w:left w:val="nil" w:sz="6" w:space="0" w:color="auto"/>
                          <w:bottom w:val="nil" w:sz="6" w:space="0" w:color="auto"/>
                          <w:right w:val="nil" w:sz="6" w:space="0" w:color="auto"/>
                        </w:tcBorders>
                      </w:tcPr>
                      <w:p>
                        <w:pPr/>
                      </w:p>
                    </w:tc>
                    <w:tc>
                      <w:tcPr>
                        <w:tcW w:w="953" w:type="dxa"/>
                        <w:tcBorders>
                          <w:top w:val="single" w:sz="4" w:space="0" w:color="000000"/>
                          <w:left w:val="nil" w:sz="6" w:space="0" w:color="auto"/>
                          <w:bottom w:val="nil" w:sz="6" w:space="0" w:color="auto"/>
                          <w:right w:val="nil" w:sz="6" w:space="0" w:color="auto"/>
                        </w:tcBorders>
                      </w:tcPr>
                      <w:p>
                        <w:pPr>
                          <w:pStyle w:val="TableParagraph"/>
                          <w:spacing w:line="220" w:lineRule="exact"/>
                          <w:ind w:left="93" w:right="0"/>
                          <w:jc w:val="center"/>
                          <w:rPr>
                            <w:rFonts w:ascii="黑体" w:hAnsi="黑体" w:cs="黑体" w:eastAsia="黑体" w:hint="default"/>
                            <w:sz w:val="20"/>
                            <w:szCs w:val="20"/>
                          </w:rPr>
                        </w:pPr>
                        <w:r>
                          <w:rPr>
                            <w:rFonts w:ascii="黑体" w:hAnsi="黑体" w:cs="黑体" w:eastAsia="黑体" w:hint="default"/>
                            <w:sz w:val="20"/>
                            <w:szCs w:val="20"/>
                          </w:rPr>
                          <w:t>本年转销</w:t>
                        </w:r>
                      </w:p>
                    </w:tc>
                    <w:tc>
                      <w:tcPr>
                        <w:tcW w:w="86"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
                    </w:tc>
                  </w:tr>
                  <w:tr>
                    <w:trPr>
                      <w:trHeight w:val="510" w:hRule="exact"/>
                    </w:trPr>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87"/>
                          <w:ind w:left="66" w:right="0"/>
                          <w:jc w:val="center"/>
                          <w:rPr>
                            <w:rFonts w:ascii="黑体" w:hAnsi="黑体" w:cs="黑体" w:eastAsia="黑体" w:hint="default"/>
                            <w:sz w:val="20"/>
                            <w:szCs w:val="20"/>
                          </w:rPr>
                        </w:pPr>
                        <w:r>
                          <w:rPr>
                            <w:rFonts w:ascii="Arial" w:hAnsi="Arial" w:cs="Arial" w:eastAsia="Arial" w:hint="default"/>
                            <w:sz w:val="20"/>
                            <w:szCs w:val="20"/>
                          </w:rPr>
                          <w:t>2012</w:t>
                        </w:r>
                        <w:r>
                          <w:rPr>
                            <w:rFonts w:ascii="Arial" w:hAnsi="Arial" w:cs="Arial" w:eastAsia="Arial" w:hint="default"/>
                            <w:spacing w:val="-9"/>
                            <w:sz w:val="20"/>
                            <w:szCs w:val="20"/>
                          </w:rPr>
                          <w:t> </w:t>
                        </w:r>
                        <w:r>
                          <w:rPr>
                            <w:rFonts w:ascii="黑体" w:hAnsi="黑体" w:cs="黑体" w:eastAsia="黑体" w:hint="default"/>
                            <w:sz w:val="20"/>
                            <w:szCs w:val="20"/>
                          </w:rPr>
                          <w:t>年</w:t>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93"/>
                          <w:jc w:val="right"/>
                          <w:rPr>
                            <w:rFonts w:ascii="Arial" w:hAnsi="Arial" w:cs="Arial" w:eastAsia="Arial" w:hint="default"/>
                            <w:sz w:val="20"/>
                            <w:szCs w:val="20"/>
                          </w:rPr>
                        </w:pPr>
                        <w:r>
                          <w:rPr>
                            <w:rFonts w:ascii="Arial"/>
                            <w:w w:val="99"/>
                            <w:sz w:val="20"/>
                          </w:rPr>
                        </w:r>
                        <w:r>
                          <w:rPr>
                            <w:rFonts w:ascii="Arial"/>
                            <w:spacing w:val="-1"/>
                            <w:sz w:val="20"/>
                            <w:u w:val="thick" w:color="000000"/>
                          </w:rPr>
                          <w:t>48,808,090</w:t>
                        </w:r>
                        <w:r>
                          <w:rPr>
                            <w:rFonts w:ascii="Arial"/>
                            <w:spacing w:val="-1"/>
                            <w:sz w:val="20"/>
                          </w:rPr>
                        </w:r>
                        <w:r>
                          <w:rPr>
                            <w:rFonts w:ascii="Arial"/>
                            <w:sz w:val="20"/>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269"/>
                          <w:jc w:val="right"/>
                          <w:rPr>
                            <w:rFonts w:ascii="Arial" w:hAnsi="Arial" w:cs="Arial" w:eastAsia="Arial" w:hint="default"/>
                            <w:sz w:val="20"/>
                            <w:szCs w:val="20"/>
                          </w:rPr>
                        </w:pPr>
                        <w:r>
                          <w:rPr>
                            <w:rFonts w:ascii="Arial"/>
                            <w:w w:val="99"/>
                            <w:sz w:val="20"/>
                          </w:rPr>
                        </w:r>
                        <w:r>
                          <w:rPr>
                            <w:rFonts w:ascii="Arial"/>
                            <w:spacing w:val="-1"/>
                            <w:sz w:val="20"/>
                            <w:u w:val="thick" w:color="000000"/>
                          </w:rPr>
                          <w:t>45,668,336</w:t>
                        </w:r>
                        <w:r>
                          <w:rPr>
                            <w:rFonts w:ascii="Arial"/>
                            <w:spacing w:val="-1"/>
                            <w:sz w:val="20"/>
                          </w:rPr>
                        </w:r>
                        <w:r>
                          <w:rPr>
                            <w:rFonts w:ascii="Arial"/>
                            <w:sz w:val="20"/>
                          </w:rPr>
                        </w:r>
                      </w:p>
                    </w:tc>
                    <w:tc>
                      <w:tcPr>
                        <w:tcW w:w="1155" w:type="dxa"/>
                        <w:tcBorders>
                          <w:top w:val="nil" w:sz="6" w:space="0" w:color="auto"/>
                          <w:left w:val="nil" w:sz="6" w:space="0" w:color="auto"/>
                          <w:bottom w:val="nil" w:sz="6" w:space="0" w:color="auto"/>
                          <w:right w:val="nil" w:sz="6" w:space="0" w:color="auto"/>
                        </w:tcBorders>
                      </w:tcPr>
                      <w:p>
                        <w:pPr>
                          <w:pStyle w:val="TableParagraph"/>
                          <w:tabs>
                            <w:tab w:pos="671" w:val="left" w:leader="none"/>
                          </w:tabs>
                          <w:spacing w:line="240" w:lineRule="auto" w:before="133"/>
                          <w:ind w:right="19"/>
                          <w:jc w:val="right"/>
                          <w:rPr>
                            <w:rFonts w:ascii="Arial" w:hAnsi="Arial" w:cs="Arial" w:eastAsia="Arial" w:hint="default"/>
                            <w:sz w:val="20"/>
                            <w:szCs w:val="20"/>
                          </w:rPr>
                        </w:pPr>
                        <w:r>
                          <w:rPr>
                            <w:rFonts w:ascii="Arial"/>
                            <w:w w:val="99"/>
                            <w:sz w:val="20"/>
                          </w:rPr>
                        </w:r>
                        <w:r>
                          <w:rPr>
                            <w:rFonts w:ascii="Arial"/>
                            <w:w w:val="99"/>
                            <w:sz w:val="20"/>
                            <w:u w:val="double" w:color="000000"/>
                          </w:rPr>
                          <w:t> </w:t>
                        </w:r>
                        <w:r>
                          <w:rPr>
                            <w:rFonts w:ascii="Arial"/>
                            <w:sz w:val="20"/>
                            <w:u w:val="double" w:color="000000"/>
                          </w:rPr>
                          <w:tab/>
                        </w:r>
                        <w:r>
                          <w:rPr>
                            <w:rFonts w:ascii="Arial"/>
                            <w:w w:val="95"/>
                            <w:sz w:val="20"/>
                            <w:u w:val="double" w:color="000000"/>
                          </w:rPr>
                          <w:t>-</w:t>
                        </w:r>
                        <w:r>
                          <w:rPr>
                            <w:rFonts w:ascii="Arial"/>
                            <w:w w:val="95"/>
                            <w:sz w:val="20"/>
                          </w:rPr>
                        </w:r>
                        <w:r>
                          <w:rPr>
                            <w:rFonts w:ascii="Arial"/>
                            <w:sz w:val="20"/>
                          </w:rPr>
                        </w:r>
                      </w:p>
                    </w:tc>
                    <w:tc>
                      <w:tcPr>
                        <w:tcW w:w="829"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Style w:val="TableParagraph"/>
                          <w:tabs>
                            <w:tab w:pos="831" w:val="left" w:leader="none"/>
                          </w:tabs>
                          <w:spacing w:line="240" w:lineRule="auto" w:before="133"/>
                          <w:ind w:left="150" w:right="0"/>
                          <w:jc w:val="center"/>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t>-</w:t>
                        </w:r>
                        <w:r>
                          <w:rPr>
                            <w:rFonts w:ascii="Arial"/>
                            <w:sz w:val="20"/>
                          </w:rPr>
                        </w:r>
                      </w:p>
                    </w:tc>
                    <w:tc>
                      <w:tcPr>
                        <w:tcW w:w="86"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98"/>
                          <w:jc w:val="right"/>
                          <w:rPr>
                            <w:rFonts w:ascii="Arial" w:hAnsi="Arial" w:cs="Arial" w:eastAsia="Arial" w:hint="default"/>
                            <w:sz w:val="20"/>
                            <w:szCs w:val="20"/>
                          </w:rPr>
                        </w:pPr>
                        <w:r>
                          <w:rPr>
                            <w:rFonts w:ascii="Arial"/>
                            <w:w w:val="99"/>
                            <w:sz w:val="20"/>
                          </w:rPr>
                        </w:r>
                        <w:r>
                          <w:rPr>
                            <w:rFonts w:ascii="Arial"/>
                            <w:spacing w:val="-1"/>
                            <w:sz w:val="20"/>
                            <w:u w:val="double" w:color="000000"/>
                          </w:rPr>
                          <w:t>94,476,426</w:t>
                        </w:r>
                        <w:r>
                          <w:rPr>
                            <w:rFonts w:ascii="Arial"/>
                            <w:spacing w:val="-1"/>
                            <w:sz w:val="20"/>
                          </w:rPr>
                        </w:r>
                        <w:r>
                          <w:rPr>
                            <w:rFonts w:ascii="Arial"/>
                            <w:sz w:val="20"/>
                          </w:rPr>
                        </w:r>
                      </w:p>
                    </w:tc>
                  </w:tr>
                  <w:tr>
                    <w:trPr>
                      <w:trHeight w:val="360" w:hRule="exact"/>
                    </w:trPr>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88"/>
                          <w:ind w:left="66" w:right="0"/>
                          <w:jc w:val="center"/>
                          <w:rPr>
                            <w:rFonts w:ascii="黑体" w:hAnsi="黑体" w:cs="黑体" w:eastAsia="黑体" w:hint="default"/>
                            <w:sz w:val="20"/>
                            <w:szCs w:val="20"/>
                          </w:rPr>
                        </w:pPr>
                        <w:r>
                          <w:rPr>
                            <w:rFonts w:ascii="Arial" w:hAnsi="Arial" w:cs="Arial" w:eastAsia="Arial" w:hint="default"/>
                            <w:sz w:val="20"/>
                            <w:szCs w:val="20"/>
                          </w:rPr>
                          <w:t>2011</w:t>
                        </w:r>
                        <w:r>
                          <w:rPr>
                            <w:rFonts w:ascii="Arial" w:hAnsi="Arial" w:cs="Arial" w:eastAsia="Arial" w:hint="default"/>
                            <w:spacing w:val="-9"/>
                            <w:sz w:val="20"/>
                            <w:szCs w:val="20"/>
                          </w:rPr>
                          <w:t> </w:t>
                        </w:r>
                        <w:r>
                          <w:rPr>
                            <w:rFonts w:ascii="黑体" w:hAnsi="黑体" w:cs="黑体" w:eastAsia="黑体" w:hint="default"/>
                            <w:sz w:val="20"/>
                            <w:szCs w:val="20"/>
                          </w:rPr>
                          <w:t>年</w:t>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93"/>
                          <w:jc w:val="right"/>
                          <w:rPr>
                            <w:rFonts w:ascii="Arial" w:hAnsi="Arial" w:cs="Arial" w:eastAsia="Arial" w:hint="default"/>
                            <w:sz w:val="20"/>
                            <w:szCs w:val="20"/>
                          </w:rPr>
                        </w:pPr>
                        <w:r>
                          <w:rPr>
                            <w:rFonts w:ascii="Arial"/>
                            <w:w w:val="99"/>
                            <w:sz w:val="20"/>
                          </w:rPr>
                        </w:r>
                        <w:r>
                          <w:rPr>
                            <w:rFonts w:ascii="Arial"/>
                            <w:spacing w:val="-1"/>
                            <w:sz w:val="20"/>
                            <w:u w:val="thick" w:color="000000"/>
                          </w:rPr>
                          <w:t>30,176,820</w:t>
                        </w:r>
                        <w:r>
                          <w:rPr>
                            <w:rFonts w:ascii="Arial"/>
                            <w:spacing w:val="-1"/>
                            <w:sz w:val="20"/>
                          </w:rPr>
                        </w:r>
                        <w:r>
                          <w:rPr>
                            <w:rFonts w:ascii="Arial"/>
                            <w:sz w:val="20"/>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69"/>
                          <w:jc w:val="right"/>
                          <w:rPr>
                            <w:rFonts w:ascii="Arial" w:hAnsi="Arial" w:cs="Arial" w:eastAsia="Arial" w:hint="default"/>
                            <w:sz w:val="20"/>
                            <w:szCs w:val="20"/>
                          </w:rPr>
                        </w:pPr>
                        <w:r>
                          <w:rPr>
                            <w:rFonts w:ascii="Arial"/>
                            <w:w w:val="99"/>
                            <w:sz w:val="20"/>
                          </w:rPr>
                        </w:r>
                        <w:r>
                          <w:rPr>
                            <w:rFonts w:ascii="Arial"/>
                            <w:spacing w:val="-1"/>
                            <w:sz w:val="20"/>
                            <w:u w:val="thick" w:color="000000"/>
                          </w:rPr>
                          <w:t>19,432,246</w:t>
                        </w:r>
                        <w:r>
                          <w:rPr>
                            <w:rFonts w:ascii="Arial"/>
                            <w:spacing w:val="-1"/>
                            <w:sz w:val="20"/>
                          </w:rPr>
                        </w:r>
                        <w:r>
                          <w:rPr>
                            <w:rFonts w:ascii="Arial"/>
                            <w:sz w:val="20"/>
                          </w:rPr>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3"/>
                          <w:jc w:val="right"/>
                          <w:rPr>
                            <w:rFonts w:ascii="Arial" w:hAnsi="Arial" w:cs="Arial" w:eastAsia="Arial" w:hint="default"/>
                            <w:sz w:val="20"/>
                            <w:szCs w:val="20"/>
                          </w:rPr>
                        </w:pPr>
                        <w:r>
                          <w:rPr>
                            <w:rFonts w:ascii="Arial"/>
                            <w:spacing w:val="-1"/>
                            <w:sz w:val="20"/>
                          </w:rPr>
                          <w:t>(</w:t>
                        </w:r>
                        <w:r>
                          <w:rPr>
                            <w:rFonts w:ascii="Arial"/>
                            <w:spacing w:val="-1"/>
                            <w:sz w:val="20"/>
                            <w:u w:val="thick" w:color="000000"/>
                          </w:rPr>
                          <w:t>515,708</w:t>
                        </w:r>
                        <w:r>
                          <w:rPr>
                            <w:rFonts w:ascii="Arial"/>
                            <w:spacing w:val="-1"/>
                            <w:sz w:val="20"/>
                          </w:rPr>
                        </w:r>
                        <w:r>
                          <w:rPr>
                            <w:rFonts w:ascii="Arial"/>
                            <w:sz w:val="20"/>
                          </w:rPr>
                        </w:r>
                      </w:p>
                    </w:tc>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5" w:right="0"/>
                          <w:jc w:val="left"/>
                          <w:rPr>
                            <w:rFonts w:ascii="Arial" w:hAnsi="Arial" w:cs="Arial" w:eastAsia="Arial" w:hint="default"/>
                            <w:sz w:val="20"/>
                            <w:szCs w:val="20"/>
                          </w:rPr>
                        </w:pPr>
                        <w:r>
                          <w:rPr>
                            <w:rFonts w:ascii="Arial"/>
                            <w:w w:val="99"/>
                            <w:sz w:val="20"/>
                          </w:rPr>
                          <w:t>)</w:t>
                        </w:r>
                        <w:r>
                          <w:rPr>
                            <w:rFonts w:ascii="Arial"/>
                            <w:sz w:val="20"/>
                          </w:rPr>
                        </w: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102" w:right="0"/>
                          <w:jc w:val="center"/>
                          <w:rPr>
                            <w:rFonts w:ascii="Arial" w:hAnsi="Arial" w:cs="Arial" w:eastAsia="Arial" w:hint="default"/>
                            <w:sz w:val="20"/>
                            <w:szCs w:val="20"/>
                          </w:rPr>
                        </w:pPr>
                        <w:r>
                          <w:rPr>
                            <w:rFonts w:ascii="Arial"/>
                            <w:sz w:val="20"/>
                          </w:rPr>
                          <w:t>(</w:t>
                        </w:r>
                        <w:r>
                          <w:rPr>
                            <w:rFonts w:ascii="Arial"/>
                            <w:sz w:val="20"/>
                            <w:u w:val="thick" w:color="000000"/>
                          </w:rPr>
                          <w:t>285,268</w:t>
                        </w:r>
                        <w:r>
                          <w:rPr>
                            <w:rFonts w:ascii="Arial"/>
                            <w:sz w:val="20"/>
                          </w:rPr>
                        </w:r>
                      </w:p>
                    </w:tc>
                    <w:tc>
                      <w:tcPr>
                        <w:tcW w:w="86"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48,808,090</w:t>
                        </w:r>
                        <w:r>
                          <w:rPr>
                            <w:rFonts w:ascii="Arial"/>
                            <w:spacing w:val="-1"/>
                            <w:sz w:val="20"/>
                          </w:rPr>
                        </w:r>
                        <w:r>
                          <w:rPr>
                            <w:rFonts w:ascii="Arial"/>
                            <w:sz w:val="20"/>
                          </w:rPr>
                        </w:r>
                      </w:p>
                    </w:tc>
                  </w:tr>
                </w:tbl>
                <w:p>
                  <w:pPr/>
                </w:p>
              </w:txbxContent>
            </v:textbox>
            <w10:wrap type="none"/>
          </v:shape>
        </w:pict>
      </w:r>
      <w:r>
        <w:rPr>
          <w:rFonts w:ascii="Arial"/>
          <w:w w:val="99"/>
        </w:rPr>
        <w:t>)</w:t>
      </w:r>
      <w:r>
        <w:rPr>
          <w:rFonts w:ascii="Arial"/>
        </w:rPr>
      </w:r>
    </w:p>
    <w:p>
      <w:pPr>
        <w:spacing w:line="240" w:lineRule="auto" w:before="0"/>
        <w:rPr>
          <w:rFonts w:ascii="Arial" w:hAnsi="Arial" w:cs="Arial" w:eastAsia="Arial" w:hint="default"/>
          <w:sz w:val="20"/>
          <w:szCs w:val="20"/>
        </w:rPr>
      </w:pPr>
    </w:p>
    <w:p>
      <w:pPr>
        <w:spacing w:line="240" w:lineRule="auto" w:before="9"/>
        <w:rPr>
          <w:rFonts w:ascii="Arial" w:hAnsi="Arial" w:cs="Arial" w:eastAsia="Arial" w:hint="default"/>
          <w:sz w:val="23"/>
          <w:szCs w:val="23"/>
        </w:rPr>
      </w:pPr>
    </w:p>
    <w:tbl>
      <w:tblPr>
        <w:tblW w:w="0" w:type="auto"/>
        <w:jc w:val="left"/>
        <w:tblInd w:w="609" w:type="dxa"/>
        <w:tblLayout w:type="fixed"/>
        <w:tblCellMar>
          <w:top w:w="0" w:type="dxa"/>
          <w:left w:w="0" w:type="dxa"/>
          <w:bottom w:w="0" w:type="dxa"/>
          <w:right w:w="0" w:type="dxa"/>
        </w:tblCellMar>
        <w:tblLook w:val="01E0"/>
      </w:tblPr>
      <w:tblGrid>
        <w:gridCol w:w="1760"/>
        <w:gridCol w:w="1081"/>
        <w:gridCol w:w="422"/>
        <w:gridCol w:w="908"/>
        <w:gridCol w:w="656"/>
        <w:gridCol w:w="238"/>
        <w:gridCol w:w="1079"/>
        <w:gridCol w:w="402"/>
        <w:gridCol w:w="922"/>
        <w:gridCol w:w="678"/>
      </w:tblGrid>
      <w:tr>
        <w:trPr>
          <w:trHeight w:val="196" w:hRule="exact"/>
        </w:trPr>
        <w:tc>
          <w:tcPr>
            <w:tcW w:w="4171" w:type="dxa"/>
            <w:gridSpan w:val="4"/>
            <w:tcBorders>
              <w:top w:val="nil" w:sz="6" w:space="0" w:color="auto"/>
              <w:left w:val="nil" w:sz="6" w:space="0" w:color="auto"/>
              <w:bottom w:val="nil" w:sz="6" w:space="0" w:color="auto"/>
              <w:right w:val="nil" w:sz="6" w:space="0" w:color="auto"/>
            </w:tcBorders>
          </w:tcPr>
          <w:p>
            <w:pPr>
              <w:pStyle w:val="TableParagraph"/>
              <w:spacing w:line="172" w:lineRule="exact"/>
              <w:ind w:left="2684" w:right="0"/>
              <w:jc w:val="left"/>
              <w:rPr>
                <w:rFonts w:ascii="黑体" w:hAnsi="黑体" w:cs="黑体" w:eastAsia="黑体" w:hint="default"/>
                <w:sz w:val="16"/>
                <w:szCs w:val="16"/>
              </w:rPr>
            </w:pPr>
            <w:r>
              <w:rPr>
                <w:rFonts w:ascii="Arial" w:hAnsi="Arial" w:cs="Arial" w:eastAsia="Arial" w:hint="default"/>
                <w:sz w:val="16"/>
                <w:szCs w:val="16"/>
              </w:rPr>
              <w:t>2012</w:t>
            </w:r>
            <w:r>
              <w:rPr>
                <w:rFonts w:ascii="黑体" w:hAnsi="黑体" w:cs="黑体" w:eastAsia="黑体" w:hint="default"/>
                <w:sz w:val="16"/>
                <w:szCs w:val="16"/>
              </w:rPr>
              <w:t>年</w:t>
            </w:r>
            <w:r>
              <w:rPr>
                <w:rFonts w:ascii="Arial" w:hAnsi="Arial" w:cs="Arial" w:eastAsia="Arial" w:hint="default"/>
                <w:sz w:val="16"/>
                <w:szCs w:val="16"/>
              </w:rPr>
              <w:t>12</w:t>
            </w:r>
            <w:r>
              <w:rPr>
                <w:rFonts w:ascii="黑体" w:hAnsi="黑体" w:cs="黑体" w:eastAsia="黑体" w:hint="default"/>
                <w:sz w:val="16"/>
                <w:szCs w:val="16"/>
              </w:rPr>
              <w:t>月</w:t>
            </w:r>
            <w:r>
              <w:rPr>
                <w:rFonts w:ascii="Arial" w:hAnsi="Arial" w:cs="Arial" w:eastAsia="Arial" w:hint="default"/>
                <w:sz w:val="16"/>
                <w:szCs w:val="16"/>
              </w:rPr>
              <w:t>31</w:t>
            </w:r>
            <w:r>
              <w:rPr>
                <w:rFonts w:ascii="黑体" w:hAnsi="黑体" w:cs="黑体" w:eastAsia="黑体" w:hint="default"/>
                <w:sz w:val="16"/>
                <w:szCs w:val="16"/>
              </w:rPr>
              <w:t>日</w:t>
            </w:r>
          </w:p>
        </w:tc>
        <w:tc>
          <w:tcPr>
            <w:tcW w:w="656" w:type="dxa"/>
            <w:tcBorders>
              <w:top w:val="nil" w:sz="6" w:space="0" w:color="auto"/>
              <w:left w:val="nil" w:sz="6" w:space="0" w:color="auto"/>
              <w:bottom w:val="single" w:sz="4" w:space="0" w:color="000000"/>
              <w:right w:val="nil" w:sz="6" w:space="0" w:color="auto"/>
            </w:tcBorders>
          </w:tcPr>
          <w:p>
            <w:pPr/>
          </w:p>
        </w:tc>
        <w:tc>
          <w:tcPr>
            <w:tcW w:w="2641" w:type="dxa"/>
            <w:gridSpan w:val="4"/>
            <w:tcBorders>
              <w:top w:val="nil" w:sz="6" w:space="0" w:color="auto"/>
              <w:left w:val="nil" w:sz="6" w:space="0" w:color="auto"/>
              <w:bottom w:val="nil" w:sz="6" w:space="0" w:color="auto"/>
              <w:right w:val="nil" w:sz="6" w:space="0" w:color="auto"/>
            </w:tcBorders>
          </w:tcPr>
          <w:p>
            <w:pPr>
              <w:pStyle w:val="TableParagraph"/>
              <w:spacing w:line="172" w:lineRule="exact"/>
              <w:ind w:left="1166" w:right="0"/>
              <w:jc w:val="left"/>
              <w:rPr>
                <w:rFonts w:ascii="黑体" w:hAnsi="黑体" w:cs="黑体" w:eastAsia="黑体" w:hint="default"/>
                <w:sz w:val="16"/>
                <w:szCs w:val="16"/>
              </w:rPr>
            </w:pPr>
            <w:r>
              <w:rPr>
                <w:rFonts w:ascii="Arial" w:hAnsi="Arial" w:cs="Arial" w:eastAsia="Arial" w:hint="default"/>
                <w:sz w:val="16"/>
                <w:szCs w:val="16"/>
              </w:rPr>
              <w:t>2011</w:t>
            </w:r>
            <w:r>
              <w:rPr>
                <w:rFonts w:ascii="黑体" w:hAnsi="黑体" w:cs="黑体" w:eastAsia="黑体" w:hint="default"/>
                <w:sz w:val="16"/>
                <w:szCs w:val="16"/>
              </w:rPr>
              <w:t>年</w:t>
            </w:r>
            <w:r>
              <w:rPr>
                <w:rFonts w:ascii="Arial" w:hAnsi="Arial" w:cs="Arial" w:eastAsia="Arial" w:hint="default"/>
                <w:sz w:val="16"/>
                <w:szCs w:val="16"/>
              </w:rPr>
              <w:t>12</w:t>
            </w:r>
            <w:r>
              <w:rPr>
                <w:rFonts w:ascii="黑体" w:hAnsi="黑体" w:cs="黑体" w:eastAsia="黑体" w:hint="default"/>
                <w:sz w:val="16"/>
                <w:szCs w:val="16"/>
              </w:rPr>
              <w:t>月</w:t>
            </w:r>
            <w:r>
              <w:rPr>
                <w:rFonts w:ascii="Arial" w:hAnsi="Arial" w:cs="Arial" w:eastAsia="Arial" w:hint="default"/>
                <w:sz w:val="16"/>
                <w:szCs w:val="16"/>
              </w:rPr>
              <w:t>31</w:t>
            </w:r>
            <w:r>
              <w:rPr>
                <w:rFonts w:ascii="黑体" w:hAnsi="黑体" w:cs="黑体" w:eastAsia="黑体" w:hint="default"/>
                <w:sz w:val="16"/>
                <w:szCs w:val="16"/>
              </w:rPr>
              <w:t>日</w:t>
            </w:r>
          </w:p>
        </w:tc>
        <w:tc>
          <w:tcPr>
            <w:tcW w:w="678" w:type="dxa"/>
            <w:tcBorders>
              <w:top w:val="nil" w:sz="6" w:space="0" w:color="auto"/>
              <w:left w:val="nil" w:sz="6" w:space="0" w:color="auto"/>
              <w:bottom w:val="single" w:sz="4" w:space="0" w:color="000000"/>
              <w:right w:val="nil" w:sz="6" w:space="0" w:color="auto"/>
            </w:tcBorders>
          </w:tcPr>
          <w:p>
            <w:pPr/>
          </w:p>
        </w:tc>
      </w:tr>
      <w:tr>
        <w:trPr>
          <w:trHeight w:val="278" w:hRule="exact"/>
        </w:trPr>
        <w:tc>
          <w:tcPr>
            <w:tcW w:w="1760" w:type="dxa"/>
            <w:tcBorders>
              <w:top w:val="nil" w:sz="6" w:space="0" w:color="auto"/>
              <w:left w:val="nil" w:sz="6" w:space="0" w:color="auto"/>
              <w:bottom w:val="nil" w:sz="6" w:space="0" w:color="auto"/>
              <w:right w:val="nil" w:sz="6" w:space="0" w:color="auto"/>
            </w:tcBorders>
          </w:tcPr>
          <w:p>
            <w:pPr/>
          </w:p>
        </w:tc>
        <w:tc>
          <w:tcPr>
            <w:tcW w:w="1503"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7"/>
              <w:ind w:left="775" w:right="0"/>
              <w:jc w:val="left"/>
              <w:rPr>
                <w:rFonts w:ascii="黑体" w:hAnsi="黑体" w:cs="黑体" w:eastAsia="黑体" w:hint="default"/>
                <w:sz w:val="16"/>
                <w:szCs w:val="16"/>
              </w:rPr>
            </w:pPr>
            <w:r>
              <w:rPr>
                <w:rFonts w:ascii="黑体" w:hAnsi="黑体" w:cs="黑体" w:eastAsia="黑体" w:hint="default"/>
                <w:sz w:val="16"/>
                <w:szCs w:val="16"/>
              </w:rPr>
              <w:t>账面金额</w:t>
            </w:r>
          </w:p>
        </w:tc>
        <w:tc>
          <w:tcPr>
            <w:tcW w:w="908" w:type="dxa"/>
            <w:tcBorders>
              <w:top w:val="single" w:sz="4" w:space="0" w:color="000000"/>
              <w:left w:val="nil" w:sz="6" w:space="0" w:color="auto"/>
              <w:bottom w:val="nil" w:sz="6" w:space="0" w:color="auto"/>
              <w:right w:val="nil" w:sz="6" w:space="0" w:color="auto"/>
            </w:tcBorders>
          </w:tcPr>
          <w:p>
            <w:pPr/>
          </w:p>
        </w:tc>
        <w:tc>
          <w:tcPr>
            <w:tcW w:w="656"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right="5"/>
              <w:jc w:val="right"/>
              <w:rPr>
                <w:rFonts w:ascii="黑体" w:hAnsi="黑体" w:cs="黑体" w:eastAsia="黑体" w:hint="default"/>
                <w:sz w:val="16"/>
                <w:szCs w:val="16"/>
              </w:rPr>
            </w:pPr>
            <w:r>
              <w:rPr>
                <w:rFonts w:ascii="黑体" w:hAnsi="黑体" w:cs="黑体" w:eastAsia="黑体" w:hint="default"/>
                <w:sz w:val="16"/>
                <w:szCs w:val="16"/>
              </w:rPr>
              <w:t>坏账准备</w:t>
            </w:r>
          </w:p>
        </w:tc>
        <w:tc>
          <w:tcPr>
            <w:tcW w:w="171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2"/>
              <w:ind w:left="1000" w:right="0"/>
              <w:jc w:val="left"/>
              <w:rPr>
                <w:rFonts w:ascii="黑体" w:hAnsi="黑体" w:cs="黑体" w:eastAsia="黑体" w:hint="default"/>
                <w:sz w:val="16"/>
                <w:szCs w:val="16"/>
              </w:rPr>
            </w:pPr>
            <w:r>
              <w:rPr>
                <w:rFonts w:ascii="黑体" w:hAnsi="黑体" w:cs="黑体" w:eastAsia="黑体" w:hint="default"/>
                <w:sz w:val="16"/>
                <w:szCs w:val="16"/>
              </w:rPr>
              <w:t>账面金额</w:t>
            </w:r>
          </w:p>
        </w:tc>
        <w:tc>
          <w:tcPr>
            <w:tcW w:w="922" w:type="dxa"/>
            <w:tcBorders>
              <w:top w:val="single" w:sz="4" w:space="0" w:color="000000"/>
              <w:left w:val="nil" w:sz="6" w:space="0" w:color="auto"/>
              <w:bottom w:val="nil" w:sz="6" w:space="0" w:color="auto"/>
              <w:right w:val="nil" w:sz="6" w:space="0" w:color="auto"/>
            </w:tcBorders>
          </w:tcPr>
          <w:p>
            <w:pPr/>
          </w:p>
        </w:tc>
        <w:tc>
          <w:tcPr>
            <w:tcW w:w="678" w:type="dxa"/>
            <w:tcBorders>
              <w:top w:val="single" w:sz="4" w:space="0" w:color="000000"/>
              <w:left w:val="nil" w:sz="6" w:space="0" w:color="auto"/>
              <w:bottom w:val="nil" w:sz="6" w:space="0" w:color="auto"/>
              <w:right w:val="nil" w:sz="6" w:space="0" w:color="auto"/>
            </w:tcBorders>
          </w:tcPr>
          <w:p>
            <w:pPr>
              <w:pStyle w:val="TableParagraph"/>
              <w:spacing w:line="240" w:lineRule="auto" w:before="17"/>
              <w:ind w:right="7"/>
              <w:jc w:val="right"/>
              <w:rPr>
                <w:rFonts w:ascii="黑体" w:hAnsi="黑体" w:cs="黑体" w:eastAsia="黑体" w:hint="default"/>
                <w:sz w:val="16"/>
                <w:szCs w:val="16"/>
              </w:rPr>
            </w:pPr>
            <w:r>
              <w:rPr>
                <w:rFonts w:ascii="黑体" w:hAnsi="黑体" w:cs="黑体" w:eastAsia="黑体" w:hint="default"/>
                <w:sz w:val="16"/>
                <w:szCs w:val="16"/>
              </w:rPr>
              <w:t>坏账准备</w:t>
            </w:r>
          </w:p>
        </w:tc>
      </w:tr>
      <w:tr>
        <w:trPr>
          <w:trHeight w:val="258" w:hRule="exact"/>
        </w:trPr>
        <w:tc>
          <w:tcPr>
            <w:tcW w:w="1760"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Style w:val="TableParagraph"/>
              <w:spacing w:line="207" w:lineRule="exact"/>
              <w:ind w:right="25"/>
              <w:jc w:val="right"/>
              <w:rPr>
                <w:rFonts w:ascii="黑体" w:hAnsi="黑体" w:cs="黑体" w:eastAsia="黑体" w:hint="default"/>
                <w:sz w:val="16"/>
                <w:szCs w:val="16"/>
              </w:rPr>
            </w:pPr>
            <w:r>
              <w:rPr>
                <w:rFonts w:ascii="黑体" w:hAnsi="黑体" w:cs="黑体" w:eastAsia="黑体" w:hint="default"/>
                <w:sz w:val="16"/>
                <w:szCs w:val="16"/>
              </w:rPr>
              <w:t>金额</w:t>
            </w:r>
          </w:p>
        </w:tc>
        <w:tc>
          <w:tcPr>
            <w:tcW w:w="422" w:type="dxa"/>
            <w:tcBorders>
              <w:top w:val="nil" w:sz="6" w:space="0" w:color="auto"/>
              <w:left w:val="nil" w:sz="6" w:space="0" w:color="auto"/>
              <w:bottom w:val="nil" w:sz="6" w:space="0" w:color="auto"/>
              <w:right w:val="nil" w:sz="6" w:space="0" w:color="auto"/>
            </w:tcBorders>
          </w:tcPr>
          <w:p>
            <w:pPr>
              <w:pStyle w:val="TableParagraph"/>
              <w:spacing w:line="207" w:lineRule="exact"/>
              <w:ind w:right="82"/>
              <w:jc w:val="right"/>
              <w:rPr>
                <w:rFonts w:ascii="黑体" w:hAnsi="黑体" w:cs="黑体" w:eastAsia="黑体" w:hint="default"/>
                <w:sz w:val="16"/>
                <w:szCs w:val="16"/>
              </w:rPr>
            </w:pPr>
            <w:r>
              <w:rPr>
                <w:rFonts w:ascii="黑体" w:hAnsi="黑体" w:cs="黑体" w:eastAsia="黑体" w:hint="default"/>
                <w:sz w:val="16"/>
                <w:szCs w:val="16"/>
              </w:rPr>
              <w:t>比例</w:t>
            </w:r>
          </w:p>
        </w:tc>
        <w:tc>
          <w:tcPr>
            <w:tcW w:w="908" w:type="dxa"/>
            <w:tcBorders>
              <w:top w:val="nil" w:sz="6" w:space="0" w:color="auto"/>
              <w:left w:val="nil" w:sz="6" w:space="0" w:color="auto"/>
              <w:bottom w:val="nil" w:sz="6" w:space="0" w:color="auto"/>
              <w:right w:val="nil" w:sz="6" w:space="0" w:color="auto"/>
            </w:tcBorders>
          </w:tcPr>
          <w:p>
            <w:pPr>
              <w:pStyle w:val="TableParagraph"/>
              <w:spacing w:line="207" w:lineRule="exact"/>
              <w:ind w:right="11"/>
              <w:jc w:val="right"/>
              <w:rPr>
                <w:rFonts w:ascii="黑体" w:hAnsi="黑体" w:cs="黑体" w:eastAsia="黑体" w:hint="default"/>
                <w:sz w:val="16"/>
                <w:szCs w:val="16"/>
              </w:rPr>
            </w:pPr>
            <w:r>
              <w:rPr>
                <w:rFonts w:ascii="黑体" w:hAnsi="黑体" w:cs="黑体" w:eastAsia="黑体" w:hint="default"/>
                <w:sz w:val="16"/>
                <w:szCs w:val="16"/>
              </w:rPr>
              <w:t>金额</w:t>
            </w:r>
          </w:p>
        </w:tc>
        <w:tc>
          <w:tcPr>
            <w:tcW w:w="656" w:type="dxa"/>
            <w:tcBorders>
              <w:top w:val="nil" w:sz="6" w:space="0" w:color="auto"/>
              <w:left w:val="nil" w:sz="6" w:space="0" w:color="auto"/>
              <w:bottom w:val="nil" w:sz="6" w:space="0" w:color="auto"/>
              <w:right w:val="nil" w:sz="6" w:space="0" w:color="auto"/>
            </w:tcBorders>
          </w:tcPr>
          <w:p>
            <w:pPr>
              <w:pStyle w:val="TableParagraph"/>
              <w:spacing w:line="207" w:lineRule="exact"/>
              <w:ind w:right="7"/>
              <w:jc w:val="right"/>
              <w:rPr>
                <w:rFonts w:ascii="黑体" w:hAnsi="黑体" w:cs="黑体" w:eastAsia="黑体" w:hint="default"/>
                <w:sz w:val="16"/>
                <w:szCs w:val="16"/>
              </w:rPr>
            </w:pPr>
            <w:r>
              <w:rPr>
                <w:rFonts w:ascii="黑体" w:hAnsi="黑体" w:cs="黑体" w:eastAsia="黑体" w:hint="default"/>
                <w:sz w:val="16"/>
                <w:szCs w:val="16"/>
              </w:rPr>
              <w:t>计提比例</w:t>
            </w:r>
          </w:p>
        </w:tc>
        <w:tc>
          <w:tcPr>
            <w:tcW w:w="238"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Style w:val="TableParagraph"/>
              <w:spacing w:line="207" w:lineRule="exact"/>
              <w:ind w:right="11"/>
              <w:jc w:val="right"/>
              <w:rPr>
                <w:rFonts w:ascii="黑体" w:hAnsi="黑体" w:cs="黑体" w:eastAsia="黑体" w:hint="default"/>
                <w:sz w:val="16"/>
                <w:szCs w:val="16"/>
              </w:rPr>
            </w:pPr>
            <w:r>
              <w:rPr>
                <w:rFonts w:ascii="黑体" w:hAnsi="黑体" w:cs="黑体" w:eastAsia="黑体" w:hint="default"/>
                <w:sz w:val="16"/>
                <w:szCs w:val="16"/>
              </w:rPr>
              <w:t>金额</w:t>
            </w:r>
          </w:p>
        </w:tc>
        <w:tc>
          <w:tcPr>
            <w:tcW w:w="402" w:type="dxa"/>
            <w:tcBorders>
              <w:top w:val="nil" w:sz="6" w:space="0" w:color="auto"/>
              <w:left w:val="nil" w:sz="6" w:space="0" w:color="auto"/>
              <w:bottom w:val="nil" w:sz="6" w:space="0" w:color="auto"/>
              <w:right w:val="nil" w:sz="6" w:space="0" w:color="auto"/>
            </w:tcBorders>
          </w:tcPr>
          <w:p>
            <w:pPr>
              <w:pStyle w:val="TableParagraph"/>
              <w:spacing w:line="207" w:lineRule="exact"/>
              <w:ind w:right="72"/>
              <w:jc w:val="right"/>
              <w:rPr>
                <w:rFonts w:ascii="黑体" w:hAnsi="黑体" w:cs="黑体" w:eastAsia="黑体" w:hint="default"/>
                <w:sz w:val="16"/>
                <w:szCs w:val="16"/>
              </w:rPr>
            </w:pPr>
            <w:r>
              <w:rPr>
                <w:rFonts w:ascii="黑体" w:hAnsi="黑体" w:cs="黑体" w:eastAsia="黑体" w:hint="default"/>
                <w:sz w:val="16"/>
                <w:szCs w:val="16"/>
              </w:rPr>
              <w:t>比例</w:t>
            </w:r>
          </w:p>
        </w:tc>
        <w:tc>
          <w:tcPr>
            <w:tcW w:w="922" w:type="dxa"/>
            <w:tcBorders>
              <w:top w:val="nil" w:sz="6" w:space="0" w:color="auto"/>
              <w:left w:val="nil" w:sz="6" w:space="0" w:color="auto"/>
              <w:bottom w:val="nil" w:sz="6" w:space="0" w:color="auto"/>
              <w:right w:val="nil" w:sz="6" w:space="0" w:color="auto"/>
            </w:tcBorders>
          </w:tcPr>
          <w:p>
            <w:pPr>
              <w:pStyle w:val="TableParagraph"/>
              <w:spacing w:line="207" w:lineRule="exact"/>
              <w:ind w:right="32"/>
              <w:jc w:val="right"/>
              <w:rPr>
                <w:rFonts w:ascii="黑体" w:hAnsi="黑体" w:cs="黑体" w:eastAsia="黑体" w:hint="default"/>
                <w:sz w:val="16"/>
                <w:szCs w:val="16"/>
              </w:rPr>
            </w:pPr>
            <w:r>
              <w:rPr>
                <w:rFonts w:ascii="黑体" w:hAnsi="黑体" w:cs="黑体" w:eastAsia="黑体" w:hint="default"/>
                <w:sz w:val="16"/>
                <w:szCs w:val="16"/>
              </w:rPr>
              <w:t>金额</w:t>
            </w:r>
          </w:p>
        </w:tc>
        <w:tc>
          <w:tcPr>
            <w:tcW w:w="678" w:type="dxa"/>
            <w:tcBorders>
              <w:top w:val="nil" w:sz="6" w:space="0" w:color="auto"/>
              <w:left w:val="nil" w:sz="6" w:space="0" w:color="auto"/>
              <w:bottom w:val="nil" w:sz="6" w:space="0" w:color="auto"/>
              <w:right w:val="nil" w:sz="6" w:space="0" w:color="auto"/>
            </w:tcBorders>
          </w:tcPr>
          <w:p>
            <w:pPr>
              <w:pStyle w:val="TableParagraph"/>
              <w:spacing w:line="207" w:lineRule="exact"/>
              <w:ind w:right="7"/>
              <w:jc w:val="right"/>
              <w:rPr>
                <w:rFonts w:ascii="黑体" w:hAnsi="黑体" w:cs="黑体" w:eastAsia="黑体" w:hint="default"/>
                <w:sz w:val="16"/>
                <w:szCs w:val="16"/>
              </w:rPr>
            </w:pPr>
            <w:r>
              <w:rPr>
                <w:rFonts w:ascii="黑体" w:hAnsi="黑体" w:cs="黑体" w:eastAsia="黑体" w:hint="default"/>
                <w:sz w:val="16"/>
                <w:szCs w:val="16"/>
              </w:rPr>
              <w:t>计提比例</w:t>
            </w:r>
          </w:p>
        </w:tc>
      </w:tr>
      <w:tr>
        <w:trPr>
          <w:trHeight w:val="234" w:hRule="exact"/>
        </w:trPr>
        <w:tc>
          <w:tcPr>
            <w:tcW w:w="1760"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
        </w:tc>
        <w:tc>
          <w:tcPr>
            <w:tcW w:w="42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84"/>
              <w:jc w:val="right"/>
              <w:rPr>
                <w:rFonts w:ascii="Arial" w:hAnsi="Arial" w:cs="Arial" w:eastAsia="Arial" w:hint="default"/>
                <w:sz w:val="16"/>
                <w:szCs w:val="16"/>
              </w:rPr>
            </w:pPr>
            <w:r>
              <w:rPr>
                <w:rFonts w:ascii="Arial"/>
                <w:spacing w:val="-1"/>
                <w:sz w:val="16"/>
              </w:rPr>
              <w:t>(%)</w:t>
            </w:r>
          </w:p>
        </w:tc>
        <w:tc>
          <w:tcPr>
            <w:tcW w:w="908" w:type="dxa"/>
            <w:tcBorders>
              <w:top w:val="nil" w:sz="6" w:space="0" w:color="auto"/>
              <w:left w:val="nil" w:sz="6" w:space="0" w:color="auto"/>
              <w:bottom w:val="nil" w:sz="6" w:space="0" w:color="auto"/>
              <w:right w:val="nil" w:sz="6" w:space="0" w:color="auto"/>
            </w:tcBorders>
          </w:tcPr>
          <w:p>
            <w:pPr/>
          </w:p>
        </w:tc>
        <w:tc>
          <w:tcPr>
            <w:tcW w:w="65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
              <w:jc w:val="right"/>
              <w:rPr>
                <w:rFonts w:ascii="Arial" w:hAnsi="Arial" w:cs="Arial" w:eastAsia="Arial" w:hint="default"/>
                <w:sz w:val="16"/>
                <w:szCs w:val="16"/>
              </w:rPr>
            </w:pPr>
            <w:r>
              <w:rPr>
                <w:rFonts w:ascii="Arial"/>
                <w:spacing w:val="-1"/>
                <w:sz w:val="16"/>
              </w:rPr>
              <w:t>(%)</w:t>
            </w:r>
          </w:p>
        </w:tc>
        <w:tc>
          <w:tcPr>
            <w:tcW w:w="238"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
        </w:tc>
        <w:tc>
          <w:tcPr>
            <w:tcW w:w="40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74"/>
              <w:jc w:val="right"/>
              <w:rPr>
                <w:rFonts w:ascii="Arial" w:hAnsi="Arial" w:cs="Arial" w:eastAsia="Arial" w:hint="default"/>
                <w:sz w:val="16"/>
                <w:szCs w:val="16"/>
              </w:rPr>
            </w:pPr>
            <w:r>
              <w:rPr>
                <w:rFonts w:ascii="Arial"/>
                <w:spacing w:val="-1"/>
                <w:sz w:val="16"/>
              </w:rPr>
              <w:t>(%)</w:t>
            </w:r>
          </w:p>
        </w:tc>
        <w:tc>
          <w:tcPr>
            <w:tcW w:w="922" w:type="dxa"/>
            <w:tcBorders>
              <w:top w:val="nil" w:sz="6" w:space="0" w:color="auto"/>
              <w:left w:val="nil" w:sz="6" w:space="0" w:color="auto"/>
              <w:bottom w:val="nil" w:sz="6" w:space="0" w:color="auto"/>
              <w:right w:val="nil" w:sz="6" w:space="0" w:color="auto"/>
            </w:tcBorders>
          </w:tcPr>
          <w:p>
            <w:pPr/>
          </w:p>
        </w:tc>
        <w:tc>
          <w:tcPr>
            <w:tcW w:w="67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
              <w:jc w:val="right"/>
              <w:rPr>
                <w:rFonts w:ascii="Arial" w:hAnsi="Arial" w:cs="Arial" w:eastAsia="Arial" w:hint="default"/>
                <w:sz w:val="16"/>
                <w:szCs w:val="16"/>
              </w:rPr>
            </w:pPr>
            <w:r>
              <w:rPr>
                <w:rFonts w:ascii="Arial"/>
                <w:spacing w:val="-1"/>
                <w:sz w:val="16"/>
              </w:rPr>
              <w:t>(%)</w:t>
            </w:r>
          </w:p>
        </w:tc>
      </w:tr>
      <w:tr>
        <w:trPr>
          <w:trHeight w:val="448" w:hRule="exact"/>
        </w:trPr>
        <w:tc>
          <w:tcPr>
            <w:tcW w:w="1760" w:type="dxa"/>
            <w:tcBorders>
              <w:top w:val="nil" w:sz="6" w:space="0" w:color="auto"/>
              <w:left w:val="nil" w:sz="6" w:space="0" w:color="auto"/>
              <w:bottom w:val="nil" w:sz="6" w:space="0" w:color="auto"/>
              <w:right w:val="nil" w:sz="6" w:space="0" w:color="auto"/>
            </w:tcBorders>
          </w:tcPr>
          <w:p>
            <w:pPr>
              <w:pStyle w:val="TableParagraph"/>
              <w:spacing w:line="183" w:lineRule="exact"/>
              <w:ind w:left="200" w:right="0"/>
              <w:jc w:val="left"/>
              <w:rPr>
                <w:rFonts w:ascii="黑体" w:hAnsi="黑体" w:cs="黑体" w:eastAsia="黑体" w:hint="default"/>
                <w:sz w:val="16"/>
                <w:szCs w:val="16"/>
              </w:rPr>
            </w:pPr>
            <w:r>
              <w:rPr>
                <w:rFonts w:ascii="黑体" w:hAnsi="黑体" w:cs="黑体" w:eastAsia="黑体" w:hint="default"/>
                <w:sz w:val="16"/>
                <w:szCs w:val="16"/>
              </w:rPr>
              <w:t>单项金额重大并单项</w:t>
            </w:r>
          </w:p>
          <w:p>
            <w:pPr>
              <w:pStyle w:val="TableParagraph"/>
              <w:spacing w:line="209" w:lineRule="exact"/>
              <w:ind w:left="341" w:right="0"/>
              <w:jc w:val="left"/>
              <w:rPr>
                <w:rFonts w:ascii="黑体" w:hAnsi="黑体" w:cs="黑体" w:eastAsia="黑体" w:hint="default"/>
                <w:sz w:val="16"/>
                <w:szCs w:val="16"/>
              </w:rPr>
            </w:pPr>
            <w:r>
              <w:rPr>
                <w:rFonts w:ascii="黑体" w:hAnsi="黑体" w:cs="黑体" w:eastAsia="黑体" w:hint="default"/>
                <w:sz w:val="16"/>
                <w:szCs w:val="16"/>
              </w:rPr>
              <w:t>计提坏账准备</w:t>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Arial" w:hAnsi="Arial" w:cs="Arial" w:eastAsia="Arial" w:hint="default"/>
                <w:sz w:val="19"/>
                <w:szCs w:val="19"/>
              </w:rPr>
            </w:pPr>
          </w:p>
          <w:p>
            <w:pPr>
              <w:pStyle w:val="TableParagraph"/>
              <w:spacing w:line="240" w:lineRule="auto"/>
              <w:ind w:right="18"/>
              <w:jc w:val="right"/>
              <w:rPr>
                <w:rFonts w:ascii="Arial" w:hAnsi="Arial" w:cs="Arial" w:eastAsia="Arial" w:hint="default"/>
                <w:sz w:val="16"/>
                <w:szCs w:val="16"/>
              </w:rPr>
            </w:pPr>
            <w:r>
              <w:rPr>
                <w:rFonts w:ascii="Arial"/>
                <w:spacing w:val="-1"/>
                <w:sz w:val="16"/>
              </w:rPr>
              <w:t>255,272,048</w:t>
            </w:r>
            <w:r>
              <w:rPr>
                <w:rFonts w:ascii="Arial"/>
                <w:sz w:val="16"/>
              </w:rPr>
            </w:r>
          </w:p>
        </w:tc>
        <w:tc>
          <w:tcPr>
            <w:tcW w:w="4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Arial" w:hAnsi="Arial" w:cs="Arial" w:eastAsia="Arial" w:hint="default"/>
                <w:sz w:val="19"/>
                <w:szCs w:val="19"/>
              </w:rPr>
            </w:pPr>
          </w:p>
          <w:p>
            <w:pPr>
              <w:pStyle w:val="TableParagraph"/>
              <w:spacing w:line="240" w:lineRule="auto"/>
              <w:ind w:right="77"/>
              <w:jc w:val="right"/>
              <w:rPr>
                <w:rFonts w:ascii="Arial" w:hAnsi="Arial" w:cs="Arial" w:eastAsia="Arial" w:hint="default"/>
                <w:sz w:val="16"/>
                <w:szCs w:val="16"/>
              </w:rPr>
            </w:pPr>
            <w:r>
              <w:rPr>
                <w:rFonts w:ascii="Arial"/>
                <w:spacing w:val="-1"/>
                <w:sz w:val="16"/>
              </w:rPr>
              <w:t>33</w:t>
            </w:r>
            <w:r>
              <w:rPr>
                <w:rFonts w:ascii="Arial"/>
                <w:sz w:val="16"/>
              </w:rPr>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Arial" w:hAnsi="Arial" w:cs="Arial" w:eastAsia="Arial" w:hint="default"/>
                <w:sz w:val="19"/>
                <w:szCs w:val="19"/>
              </w:rPr>
            </w:pPr>
          </w:p>
          <w:p>
            <w:pPr>
              <w:pStyle w:val="TableParagraph"/>
              <w:spacing w:line="240" w:lineRule="auto"/>
              <w:ind w:right="4"/>
              <w:jc w:val="right"/>
              <w:rPr>
                <w:rFonts w:ascii="Arial" w:hAnsi="Arial" w:cs="Arial" w:eastAsia="Arial" w:hint="default"/>
                <w:sz w:val="16"/>
                <w:szCs w:val="16"/>
              </w:rPr>
            </w:pPr>
            <w:r>
              <w:rPr>
                <w:rFonts w:ascii="Arial"/>
                <w:spacing w:val="-1"/>
                <w:sz w:val="16"/>
              </w:rPr>
              <w:t>21,942,370</w:t>
            </w:r>
            <w:r>
              <w:rPr>
                <w:rFonts w:ascii="Arial"/>
                <w:sz w:val="16"/>
              </w:rPr>
            </w:r>
          </w:p>
        </w:tc>
        <w:tc>
          <w:tcPr>
            <w:tcW w:w="65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w:hAnsi="Arial" w:cs="Arial" w:eastAsia="Arial" w:hint="default"/>
                <w:sz w:val="19"/>
                <w:szCs w:val="19"/>
              </w:rPr>
            </w:pPr>
          </w:p>
          <w:p>
            <w:pPr>
              <w:pStyle w:val="TableParagraph"/>
              <w:spacing w:line="240" w:lineRule="auto"/>
              <w:ind w:right="26"/>
              <w:jc w:val="right"/>
              <w:rPr>
                <w:rFonts w:ascii="Arial" w:hAnsi="Arial" w:cs="Arial" w:eastAsia="Arial" w:hint="default"/>
                <w:sz w:val="16"/>
                <w:szCs w:val="16"/>
              </w:rPr>
            </w:pPr>
            <w:r>
              <w:rPr>
                <w:rFonts w:ascii="Arial"/>
                <w:w w:val="100"/>
                <w:sz w:val="16"/>
              </w:rPr>
              <w:t>9</w:t>
            </w:r>
          </w:p>
        </w:tc>
        <w:tc>
          <w:tcPr>
            <w:tcW w:w="238"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Arial" w:hAnsi="Arial" w:cs="Arial" w:eastAsia="Arial" w:hint="default"/>
                <w:sz w:val="19"/>
                <w:szCs w:val="19"/>
              </w:rPr>
            </w:pPr>
          </w:p>
          <w:p>
            <w:pPr>
              <w:pStyle w:val="TableParagraph"/>
              <w:spacing w:line="240" w:lineRule="auto"/>
              <w:ind w:right="4"/>
              <w:jc w:val="right"/>
              <w:rPr>
                <w:rFonts w:ascii="Arial" w:hAnsi="Arial" w:cs="Arial" w:eastAsia="Arial" w:hint="default"/>
                <w:sz w:val="16"/>
                <w:szCs w:val="16"/>
              </w:rPr>
            </w:pPr>
            <w:r>
              <w:rPr>
                <w:rFonts w:ascii="Arial"/>
                <w:spacing w:val="-1"/>
                <w:sz w:val="16"/>
              </w:rPr>
              <w:t>120,935,318</w:t>
            </w:r>
            <w:r>
              <w:rPr>
                <w:rFonts w:ascii="Arial"/>
                <w:sz w:val="16"/>
              </w:rPr>
            </w:r>
          </w:p>
        </w:tc>
        <w:tc>
          <w:tcPr>
            <w:tcW w:w="40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Arial" w:hAnsi="Arial" w:cs="Arial" w:eastAsia="Arial" w:hint="default"/>
                <w:sz w:val="19"/>
                <w:szCs w:val="19"/>
              </w:rPr>
            </w:pPr>
          </w:p>
          <w:p>
            <w:pPr>
              <w:pStyle w:val="TableParagraph"/>
              <w:spacing w:line="240" w:lineRule="auto"/>
              <w:ind w:right="67"/>
              <w:jc w:val="right"/>
              <w:rPr>
                <w:rFonts w:ascii="Arial" w:hAnsi="Arial" w:cs="Arial" w:eastAsia="Arial" w:hint="default"/>
                <w:sz w:val="16"/>
                <w:szCs w:val="16"/>
              </w:rPr>
            </w:pPr>
            <w:r>
              <w:rPr>
                <w:rFonts w:ascii="Arial"/>
                <w:spacing w:val="-1"/>
                <w:sz w:val="16"/>
              </w:rPr>
              <w:t>18</w:t>
            </w:r>
            <w:r>
              <w:rPr>
                <w:rFonts w:ascii="Arial"/>
                <w:sz w:val="16"/>
              </w:rPr>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Arial" w:hAnsi="Arial" w:cs="Arial" w:eastAsia="Arial" w:hint="default"/>
                <w:sz w:val="19"/>
                <w:szCs w:val="19"/>
              </w:rPr>
            </w:pPr>
          </w:p>
          <w:p>
            <w:pPr>
              <w:pStyle w:val="TableParagraph"/>
              <w:spacing w:line="240" w:lineRule="auto"/>
              <w:ind w:right="24"/>
              <w:jc w:val="right"/>
              <w:rPr>
                <w:rFonts w:ascii="Arial" w:hAnsi="Arial" w:cs="Arial" w:eastAsia="Arial" w:hint="default"/>
                <w:sz w:val="16"/>
                <w:szCs w:val="16"/>
              </w:rPr>
            </w:pPr>
            <w:r>
              <w:rPr>
                <w:rFonts w:ascii="Arial"/>
                <w:w w:val="100"/>
                <w:sz w:val="16"/>
              </w:rPr>
              <w:t>-</w:t>
            </w:r>
          </w:p>
        </w:tc>
        <w:tc>
          <w:tcPr>
            <w:tcW w:w="6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w:hAnsi="Arial" w:cs="Arial" w:eastAsia="Arial" w:hint="default"/>
                <w:sz w:val="19"/>
                <w:szCs w:val="19"/>
              </w:rPr>
            </w:pPr>
          </w:p>
          <w:p>
            <w:pPr>
              <w:pStyle w:val="TableParagraph"/>
              <w:spacing w:line="240" w:lineRule="auto"/>
              <w:ind w:right="26"/>
              <w:jc w:val="right"/>
              <w:rPr>
                <w:rFonts w:ascii="Arial" w:hAnsi="Arial" w:cs="Arial" w:eastAsia="Arial" w:hint="default"/>
                <w:sz w:val="16"/>
                <w:szCs w:val="16"/>
              </w:rPr>
            </w:pPr>
            <w:r>
              <w:rPr>
                <w:rFonts w:ascii="Arial"/>
                <w:w w:val="100"/>
                <w:sz w:val="16"/>
              </w:rPr>
              <w:t>-</w:t>
            </w:r>
          </w:p>
        </w:tc>
      </w:tr>
      <w:tr>
        <w:trPr>
          <w:trHeight w:val="254" w:hRule="exact"/>
        </w:trPr>
        <w:tc>
          <w:tcPr>
            <w:tcW w:w="1760" w:type="dxa"/>
            <w:tcBorders>
              <w:top w:val="nil" w:sz="6" w:space="0" w:color="auto"/>
              <w:left w:val="nil" w:sz="6" w:space="0" w:color="auto"/>
              <w:bottom w:val="nil" w:sz="6" w:space="0" w:color="auto"/>
              <w:right w:val="nil" w:sz="6" w:space="0" w:color="auto"/>
            </w:tcBorders>
          </w:tcPr>
          <w:p>
            <w:pPr>
              <w:pStyle w:val="TableParagraph"/>
              <w:spacing w:line="199" w:lineRule="exact"/>
              <w:ind w:left="200" w:right="0"/>
              <w:jc w:val="left"/>
              <w:rPr>
                <w:rFonts w:ascii="黑体" w:hAnsi="黑体" w:cs="黑体" w:eastAsia="黑体" w:hint="default"/>
                <w:sz w:val="16"/>
                <w:szCs w:val="16"/>
              </w:rPr>
            </w:pPr>
            <w:r>
              <w:rPr>
                <w:rFonts w:ascii="黑体" w:hAnsi="黑体" w:cs="黑体" w:eastAsia="黑体" w:hint="default"/>
                <w:sz w:val="16"/>
                <w:szCs w:val="16"/>
              </w:rPr>
              <w:t>组合计提坏账准备</w:t>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6"/>
              <w:jc w:val="right"/>
              <w:rPr>
                <w:rFonts w:ascii="Arial" w:hAnsi="Arial" w:cs="Arial" w:eastAsia="Arial" w:hint="default"/>
                <w:sz w:val="16"/>
                <w:szCs w:val="16"/>
              </w:rPr>
            </w:pPr>
            <w:r>
              <w:rPr>
                <w:rFonts w:ascii="Arial"/>
                <w:spacing w:val="-1"/>
                <w:sz w:val="16"/>
              </w:rPr>
              <w:t>463,990,715</w:t>
            </w:r>
            <w:r>
              <w:rPr>
                <w:rFonts w:ascii="Arial"/>
                <w:sz w:val="16"/>
              </w:rPr>
            </w:r>
          </w:p>
        </w:tc>
        <w:tc>
          <w:tcPr>
            <w:tcW w:w="42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7"/>
              <w:jc w:val="right"/>
              <w:rPr>
                <w:rFonts w:ascii="Arial" w:hAnsi="Arial" w:cs="Arial" w:eastAsia="Arial" w:hint="default"/>
                <w:sz w:val="16"/>
                <w:szCs w:val="16"/>
              </w:rPr>
            </w:pPr>
            <w:r>
              <w:rPr>
                <w:rFonts w:ascii="Arial"/>
                <w:spacing w:val="-1"/>
                <w:sz w:val="16"/>
              </w:rPr>
              <w:t>60</w:t>
            </w:r>
            <w:r>
              <w:rPr>
                <w:rFonts w:ascii="Arial"/>
                <w:sz w:val="16"/>
              </w:rPr>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
              <w:jc w:val="right"/>
              <w:rPr>
                <w:rFonts w:ascii="Arial" w:hAnsi="Arial" w:cs="Arial" w:eastAsia="Arial" w:hint="default"/>
                <w:sz w:val="16"/>
                <w:szCs w:val="16"/>
              </w:rPr>
            </w:pPr>
            <w:r>
              <w:rPr>
                <w:rFonts w:ascii="Arial"/>
                <w:spacing w:val="-1"/>
                <w:sz w:val="16"/>
              </w:rPr>
              <w:t>64,274,223</w:t>
            </w:r>
            <w:r>
              <w:rPr>
                <w:rFonts w:ascii="Arial"/>
                <w:sz w:val="16"/>
              </w:rPr>
            </w:r>
          </w:p>
        </w:tc>
        <w:tc>
          <w:tcPr>
            <w:tcW w:w="65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right"/>
              <w:rPr>
                <w:rFonts w:ascii="Arial" w:hAnsi="Arial" w:cs="Arial" w:eastAsia="Arial" w:hint="default"/>
                <w:sz w:val="16"/>
                <w:szCs w:val="16"/>
              </w:rPr>
            </w:pPr>
            <w:r>
              <w:rPr>
                <w:rFonts w:ascii="Arial"/>
                <w:spacing w:val="-1"/>
                <w:sz w:val="16"/>
              </w:rPr>
              <w:t>14</w:t>
            </w:r>
            <w:r>
              <w:rPr>
                <w:rFonts w:ascii="Arial"/>
                <w:sz w:val="16"/>
              </w:rPr>
            </w:r>
          </w:p>
        </w:tc>
        <w:tc>
          <w:tcPr>
            <w:tcW w:w="238"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
              <w:jc w:val="right"/>
              <w:rPr>
                <w:rFonts w:ascii="Arial" w:hAnsi="Arial" w:cs="Arial" w:eastAsia="Arial" w:hint="default"/>
                <w:sz w:val="16"/>
                <w:szCs w:val="16"/>
              </w:rPr>
            </w:pPr>
            <w:r>
              <w:rPr>
                <w:rFonts w:ascii="Arial"/>
                <w:spacing w:val="-1"/>
                <w:sz w:val="16"/>
              </w:rPr>
              <w:t>553,015,135</w:t>
            </w:r>
            <w:r>
              <w:rPr>
                <w:rFonts w:ascii="Arial"/>
                <w:sz w:val="16"/>
              </w:rPr>
            </w:r>
          </w:p>
        </w:tc>
        <w:tc>
          <w:tcPr>
            <w:tcW w:w="40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67"/>
              <w:jc w:val="right"/>
              <w:rPr>
                <w:rFonts w:ascii="Arial" w:hAnsi="Arial" w:cs="Arial" w:eastAsia="Arial" w:hint="default"/>
                <w:sz w:val="16"/>
                <w:szCs w:val="16"/>
              </w:rPr>
            </w:pPr>
            <w:r>
              <w:rPr>
                <w:rFonts w:ascii="Arial"/>
                <w:spacing w:val="-1"/>
                <w:sz w:val="16"/>
              </w:rPr>
              <w:t>80</w:t>
            </w:r>
            <w:r>
              <w:rPr>
                <w:rFonts w:ascii="Arial"/>
                <w:sz w:val="16"/>
              </w:rPr>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5"/>
              <w:jc w:val="right"/>
              <w:rPr>
                <w:rFonts w:ascii="Arial" w:hAnsi="Arial" w:cs="Arial" w:eastAsia="Arial" w:hint="default"/>
                <w:sz w:val="16"/>
                <w:szCs w:val="16"/>
              </w:rPr>
            </w:pPr>
            <w:r>
              <w:rPr>
                <w:rFonts w:ascii="Arial"/>
                <w:spacing w:val="-1"/>
                <w:sz w:val="16"/>
              </w:rPr>
              <w:t>44,693,955</w:t>
            </w:r>
            <w:r>
              <w:rPr>
                <w:rFonts w:ascii="Arial"/>
                <w:sz w:val="16"/>
              </w:rPr>
            </w:r>
          </w:p>
        </w:tc>
        <w:tc>
          <w:tcPr>
            <w:tcW w:w="67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
              <w:jc w:val="right"/>
              <w:rPr>
                <w:rFonts w:ascii="Arial" w:hAnsi="Arial" w:cs="Arial" w:eastAsia="Arial" w:hint="default"/>
                <w:sz w:val="16"/>
                <w:szCs w:val="16"/>
              </w:rPr>
            </w:pPr>
            <w:r>
              <w:rPr>
                <w:rFonts w:ascii="Arial"/>
                <w:w w:val="100"/>
                <w:sz w:val="16"/>
              </w:rPr>
              <w:t>8</w:t>
            </w:r>
          </w:p>
        </w:tc>
      </w:tr>
      <w:tr>
        <w:trPr>
          <w:trHeight w:val="254" w:hRule="exact"/>
        </w:trPr>
        <w:tc>
          <w:tcPr>
            <w:tcW w:w="1760" w:type="dxa"/>
            <w:tcBorders>
              <w:top w:val="nil" w:sz="6" w:space="0" w:color="auto"/>
              <w:left w:val="nil" w:sz="6" w:space="0" w:color="auto"/>
              <w:bottom w:val="nil" w:sz="6" w:space="0" w:color="auto"/>
              <w:right w:val="nil" w:sz="6" w:space="0" w:color="auto"/>
            </w:tcBorders>
          </w:tcPr>
          <w:p>
            <w:pPr>
              <w:pStyle w:val="TableParagraph"/>
              <w:spacing w:line="210" w:lineRule="exact"/>
              <w:ind w:left="358" w:right="0"/>
              <w:jc w:val="left"/>
              <w:rPr>
                <w:rFonts w:ascii="黑体" w:hAnsi="黑体" w:cs="黑体" w:eastAsia="黑体" w:hint="default"/>
                <w:sz w:val="16"/>
                <w:szCs w:val="16"/>
              </w:rPr>
            </w:pPr>
            <w:r>
              <w:rPr>
                <w:rFonts w:ascii="Arial" w:hAnsi="Arial" w:cs="Arial" w:eastAsia="Arial" w:hint="default"/>
                <w:sz w:val="16"/>
                <w:szCs w:val="16"/>
              </w:rPr>
              <w:t>1</w:t>
            </w:r>
            <w:r>
              <w:rPr>
                <w:rFonts w:ascii="Arial" w:hAnsi="Arial" w:cs="Arial" w:eastAsia="Arial" w:hint="default"/>
                <w:spacing w:val="-3"/>
                <w:sz w:val="16"/>
                <w:szCs w:val="16"/>
              </w:rPr>
              <w:t> </w:t>
            </w:r>
            <w:r>
              <w:rPr>
                <w:rFonts w:ascii="黑体" w:hAnsi="黑体" w:cs="黑体" w:eastAsia="黑体" w:hint="default"/>
                <w:sz w:val="16"/>
                <w:szCs w:val="16"/>
              </w:rPr>
              <w:t>年以内</w:t>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8"/>
              <w:jc w:val="right"/>
              <w:rPr>
                <w:rFonts w:ascii="Arial" w:hAnsi="Arial" w:cs="Arial" w:eastAsia="Arial" w:hint="default"/>
                <w:sz w:val="16"/>
                <w:szCs w:val="16"/>
              </w:rPr>
            </w:pPr>
            <w:r>
              <w:rPr>
                <w:rFonts w:ascii="Arial"/>
                <w:spacing w:val="-1"/>
                <w:sz w:val="16"/>
              </w:rPr>
              <w:t>289,199,499</w:t>
            </w:r>
            <w:r>
              <w:rPr>
                <w:rFonts w:ascii="Arial"/>
                <w:sz w:val="16"/>
              </w:rPr>
            </w:r>
          </w:p>
        </w:tc>
        <w:tc>
          <w:tcPr>
            <w:tcW w:w="42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7"/>
              <w:jc w:val="right"/>
              <w:rPr>
                <w:rFonts w:ascii="Arial" w:hAnsi="Arial" w:cs="Arial" w:eastAsia="Arial" w:hint="default"/>
                <w:sz w:val="16"/>
                <w:szCs w:val="16"/>
              </w:rPr>
            </w:pPr>
            <w:r>
              <w:rPr>
                <w:rFonts w:ascii="Arial"/>
                <w:spacing w:val="-1"/>
                <w:sz w:val="16"/>
              </w:rPr>
              <w:t>37</w:t>
            </w:r>
            <w:r>
              <w:rPr>
                <w:rFonts w:ascii="Arial"/>
                <w:sz w:val="16"/>
              </w:rPr>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
              <w:jc w:val="right"/>
              <w:rPr>
                <w:rFonts w:ascii="Arial" w:hAnsi="Arial" w:cs="Arial" w:eastAsia="Arial" w:hint="default"/>
                <w:sz w:val="16"/>
                <w:szCs w:val="16"/>
              </w:rPr>
            </w:pPr>
            <w:r>
              <w:rPr>
                <w:rFonts w:ascii="Arial"/>
                <w:w w:val="100"/>
                <w:sz w:val="16"/>
              </w:rPr>
              <w:t>-</w:t>
            </w:r>
          </w:p>
        </w:tc>
        <w:tc>
          <w:tcPr>
            <w:tcW w:w="65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
              <w:jc w:val="right"/>
              <w:rPr>
                <w:rFonts w:ascii="Arial" w:hAnsi="Arial" w:cs="Arial" w:eastAsia="Arial" w:hint="default"/>
                <w:sz w:val="16"/>
                <w:szCs w:val="16"/>
              </w:rPr>
            </w:pPr>
            <w:r>
              <w:rPr>
                <w:rFonts w:ascii="Arial"/>
                <w:w w:val="100"/>
                <w:sz w:val="16"/>
              </w:rPr>
              <w:t>-</w:t>
            </w:r>
          </w:p>
        </w:tc>
        <w:tc>
          <w:tcPr>
            <w:tcW w:w="238"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
              <w:jc w:val="right"/>
              <w:rPr>
                <w:rFonts w:ascii="Arial" w:hAnsi="Arial" w:cs="Arial" w:eastAsia="Arial" w:hint="default"/>
                <w:sz w:val="16"/>
                <w:szCs w:val="16"/>
              </w:rPr>
            </w:pPr>
            <w:r>
              <w:rPr>
                <w:rFonts w:ascii="Arial"/>
                <w:spacing w:val="-1"/>
                <w:sz w:val="16"/>
              </w:rPr>
              <w:t>435,966,988</w:t>
            </w:r>
            <w:r>
              <w:rPr>
                <w:rFonts w:ascii="Arial"/>
                <w:sz w:val="16"/>
              </w:rPr>
            </w:r>
          </w:p>
        </w:tc>
        <w:tc>
          <w:tcPr>
            <w:tcW w:w="40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67"/>
              <w:jc w:val="right"/>
              <w:rPr>
                <w:rFonts w:ascii="Arial" w:hAnsi="Arial" w:cs="Arial" w:eastAsia="Arial" w:hint="default"/>
                <w:sz w:val="16"/>
                <w:szCs w:val="16"/>
              </w:rPr>
            </w:pPr>
            <w:r>
              <w:rPr>
                <w:rFonts w:ascii="Arial"/>
                <w:spacing w:val="-1"/>
                <w:sz w:val="16"/>
              </w:rPr>
              <w:t>63</w:t>
            </w:r>
            <w:r>
              <w:rPr>
                <w:rFonts w:ascii="Arial"/>
                <w:sz w:val="16"/>
              </w:rPr>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4"/>
              <w:jc w:val="right"/>
              <w:rPr>
                <w:rFonts w:ascii="Arial" w:hAnsi="Arial" w:cs="Arial" w:eastAsia="Arial" w:hint="default"/>
                <w:sz w:val="16"/>
                <w:szCs w:val="16"/>
              </w:rPr>
            </w:pPr>
            <w:r>
              <w:rPr>
                <w:rFonts w:ascii="Arial"/>
                <w:w w:val="100"/>
                <w:sz w:val="16"/>
              </w:rPr>
              <w:t>-</w:t>
            </w:r>
          </w:p>
        </w:tc>
        <w:tc>
          <w:tcPr>
            <w:tcW w:w="67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
              <w:jc w:val="right"/>
              <w:rPr>
                <w:rFonts w:ascii="Arial" w:hAnsi="Arial" w:cs="Arial" w:eastAsia="Arial" w:hint="default"/>
                <w:sz w:val="16"/>
                <w:szCs w:val="16"/>
              </w:rPr>
            </w:pPr>
            <w:r>
              <w:rPr>
                <w:rFonts w:ascii="Arial"/>
                <w:w w:val="100"/>
                <w:sz w:val="16"/>
              </w:rPr>
              <w:t>-</w:t>
            </w:r>
          </w:p>
        </w:tc>
      </w:tr>
      <w:tr>
        <w:trPr>
          <w:trHeight w:val="256" w:hRule="exact"/>
        </w:trPr>
        <w:tc>
          <w:tcPr>
            <w:tcW w:w="1760" w:type="dxa"/>
            <w:tcBorders>
              <w:top w:val="nil" w:sz="6" w:space="0" w:color="auto"/>
              <w:left w:val="nil" w:sz="6" w:space="0" w:color="auto"/>
              <w:bottom w:val="nil" w:sz="6" w:space="0" w:color="auto"/>
              <w:right w:val="nil" w:sz="6" w:space="0" w:color="auto"/>
            </w:tcBorders>
          </w:tcPr>
          <w:p>
            <w:pPr>
              <w:pStyle w:val="TableParagraph"/>
              <w:spacing w:line="210" w:lineRule="exact"/>
              <w:ind w:left="358" w:right="0"/>
              <w:jc w:val="left"/>
              <w:rPr>
                <w:rFonts w:ascii="黑体" w:hAnsi="黑体" w:cs="黑体" w:eastAsia="黑体" w:hint="default"/>
                <w:sz w:val="16"/>
                <w:szCs w:val="16"/>
              </w:rPr>
            </w:pPr>
            <w:r>
              <w:rPr>
                <w:rFonts w:ascii="Arial" w:hAnsi="Arial" w:cs="Arial" w:eastAsia="Arial" w:hint="default"/>
                <w:sz w:val="16"/>
                <w:szCs w:val="16"/>
              </w:rPr>
              <w:t>1-2</w:t>
            </w:r>
            <w:r>
              <w:rPr>
                <w:rFonts w:ascii="Arial" w:hAnsi="Arial" w:cs="Arial" w:eastAsia="Arial" w:hint="default"/>
                <w:spacing w:val="-6"/>
                <w:sz w:val="16"/>
                <w:szCs w:val="16"/>
              </w:rPr>
              <w:t> </w:t>
            </w:r>
            <w:r>
              <w:rPr>
                <w:rFonts w:ascii="黑体" w:hAnsi="黑体" w:cs="黑体" w:eastAsia="黑体" w:hint="default"/>
                <w:sz w:val="16"/>
                <w:szCs w:val="16"/>
              </w:rPr>
              <w:t>年</w:t>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6"/>
              <w:jc w:val="right"/>
              <w:rPr>
                <w:rFonts w:ascii="Arial" w:hAnsi="Arial" w:cs="Arial" w:eastAsia="Arial" w:hint="default"/>
                <w:sz w:val="16"/>
                <w:szCs w:val="16"/>
              </w:rPr>
            </w:pPr>
            <w:r>
              <w:rPr>
                <w:rFonts w:ascii="Arial"/>
                <w:spacing w:val="-1"/>
                <w:sz w:val="16"/>
              </w:rPr>
              <w:t>111,106,713</w:t>
            </w:r>
            <w:r>
              <w:rPr>
                <w:rFonts w:ascii="Arial"/>
                <w:sz w:val="16"/>
              </w:rPr>
            </w:r>
          </w:p>
        </w:tc>
        <w:tc>
          <w:tcPr>
            <w:tcW w:w="42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7"/>
              <w:jc w:val="right"/>
              <w:rPr>
                <w:rFonts w:ascii="Arial" w:hAnsi="Arial" w:cs="Arial" w:eastAsia="Arial" w:hint="default"/>
                <w:sz w:val="16"/>
                <w:szCs w:val="16"/>
              </w:rPr>
            </w:pPr>
            <w:r>
              <w:rPr>
                <w:rFonts w:ascii="Arial"/>
                <w:spacing w:val="-1"/>
                <w:sz w:val="16"/>
              </w:rPr>
              <w:t>14</w:t>
            </w:r>
            <w:r>
              <w:rPr>
                <w:rFonts w:ascii="Arial"/>
                <w:sz w:val="16"/>
              </w:rPr>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
              <w:jc w:val="right"/>
              <w:rPr>
                <w:rFonts w:ascii="Arial" w:hAnsi="Arial" w:cs="Arial" w:eastAsia="Arial" w:hint="default"/>
                <w:sz w:val="16"/>
                <w:szCs w:val="16"/>
              </w:rPr>
            </w:pPr>
            <w:r>
              <w:rPr>
                <w:rFonts w:ascii="Arial"/>
                <w:spacing w:val="-1"/>
                <w:sz w:val="16"/>
              </w:rPr>
              <w:t>22,049,370</w:t>
            </w:r>
            <w:r>
              <w:rPr>
                <w:rFonts w:ascii="Arial"/>
                <w:sz w:val="16"/>
              </w:rPr>
            </w:r>
          </w:p>
        </w:tc>
        <w:tc>
          <w:tcPr>
            <w:tcW w:w="65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right"/>
              <w:rPr>
                <w:rFonts w:ascii="Arial" w:hAnsi="Arial" w:cs="Arial" w:eastAsia="Arial" w:hint="default"/>
                <w:sz w:val="16"/>
                <w:szCs w:val="16"/>
              </w:rPr>
            </w:pPr>
            <w:r>
              <w:rPr>
                <w:rFonts w:ascii="Arial"/>
                <w:spacing w:val="-1"/>
                <w:sz w:val="16"/>
              </w:rPr>
              <w:t>20</w:t>
            </w:r>
            <w:r>
              <w:rPr>
                <w:rFonts w:ascii="Arial"/>
                <w:sz w:val="16"/>
              </w:rPr>
            </w:r>
          </w:p>
        </w:tc>
        <w:tc>
          <w:tcPr>
            <w:tcW w:w="238"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
              <w:jc w:val="right"/>
              <w:rPr>
                <w:rFonts w:ascii="Arial" w:hAnsi="Arial" w:cs="Arial" w:eastAsia="Arial" w:hint="default"/>
                <w:sz w:val="16"/>
                <w:szCs w:val="16"/>
              </w:rPr>
            </w:pPr>
            <w:r>
              <w:rPr>
                <w:rFonts w:ascii="Arial"/>
                <w:spacing w:val="-1"/>
                <w:sz w:val="16"/>
              </w:rPr>
              <w:t>71,453,086</w:t>
            </w:r>
            <w:r>
              <w:rPr>
                <w:rFonts w:ascii="Arial"/>
                <w:sz w:val="16"/>
              </w:rPr>
            </w:r>
          </w:p>
        </w:tc>
        <w:tc>
          <w:tcPr>
            <w:tcW w:w="40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67"/>
              <w:jc w:val="right"/>
              <w:rPr>
                <w:rFonts w:ascii="Arial" w:hAnsi="Arial" w:cs="Arial" w:eastAsia="Arial" w:hint="default"/>
                <w:sz w:val="16"/>
                <w:szCs w:val="16"/>
              </w:rPr>
            </w:pPr>
            <w:r>
              <w:rPr>
                <w:rFonts w:ascii="Arial"/>
                <w:spacing w:val="-1"/>
                <w:sz w:val="16"/>
              </w:rPr>
              <w:t>10</w:t>
            </w:r>
            <w:r>
              <w:rPr>
                <w:rFonts w:ascii="Arial"/>
                <w:sz w:val="16"/>
              </w:rPr>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5"/>
              <w:jc w:val="right"/>
              <w:rPr>
                <w:rFonts w:ascii="Arial" w:hAnsi="Arial" w:cs="Arial" w:eastAsia="Arial" w:hint="default"/>
                <w:sz w:val="16"/>
                <w:szCs w:val="16"/>
              </w:rPr>
            </w:pPr>
            <w:r>
              <w:rPr>
                <w:rFonts w:ascii="Arial"/>
                <w:spacing w:val="-1"/>
                <w:sz w:val="16"/>
              </w:rPr>
              <w:t>14,290,617</w:t>
            </w:r>
            <w:r>
              <w:rPr>
                <w:rFonts w:ascii="Arial"/>
                <w:sz w:val="16"/>
              </w:rPr>
            </w:r>
          </w:p>
        </w:tc>
        <w:tc>
          <w:tcPr>
            <w:tcW w:w="67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right"/>
              <w:rPr>
                <w:rFonts w:ascii="Arial" w:hAnsi="Arial" w:cs="Arial" w:eastAsia="Arial" w:hint="default"/>
                <w:sz w:val="16"/>
                <w:szCs w:val="16"/>
              </w:rPr>
            </w:pPr>
            <w:r>
              <w:rPr>
                <w:rFonts w:ascii="Arial"/>
                <w:spacing w:val="-1"/>
                <w:sz w:val="16"/>
              </w:rPr>
              <w:t>20</w:t>
            </w:r>
            <w:r>
              <w:rPr>
                <w:rFonts w:ascii="Arial"/>
                <w:sz w:val="16"/>
              </w:rPr>
            </w:r>
          </w:p>
        </w:tc>
      </w:tr>
      <w:tr>
        <w:trPr>
          <w:trHeight w:val="254" w:hRule="exact"/>
        </w:trPr>
        <w:tc>
          <w:tcPr>
            <w:tcW w:w="1760" w:type="dxa"/>
            <w:tcBorders>
              <w:top w:val="nil" w:sz="6" w:space="0" w:color="auto"/>
              <w:left w:val="nil" w:sz="6" w:space="0" w:color="auto"/>
              <w:bottom w:val="nil" w:sz="6" w:space="0" w:color="auto"/>
              <w:right w:val="nil" w:sz="6" w:space="0" w:color="auto"/>
            </w:tcBorders>
          </w:tcPr>
          <w:p>
            <w:pPr>
              <w:pStyle w:val="TableParagraph"/>
              <w:spacing w:line="211" w:lineRule="exact"/>
              <w:ind w:left="358" w:right="0"/>
              <w:jc w:val="left"/>
              <w:rPr>
                <w:rFonts w:ascii="黑体" w:hAnsi="黑体" w:cs="黑体" w:eastAsia="黑体" w:hint="default"/>
                <w:sz w:val="16"/>
                <w:szCs w:val="16"/>
              </w:rPr>
            </w:pPr>
            <w:r>
              <w:rPr>
                <w:rFonts w:ascii="Arial" w:hAnsi="Arial" w:cs="Arial" w:eastAsia="Arial" w:hint="default"/>
                <w:sz w:val="16"/>
                <w:szCs w:val="16"/>
              </w:rPr>
              <w:t>2-3</w:t>
            </w:r>
            <w:r>
              <w:rPr>
                <w:rFonts w:ascii="Arial" w:hAnsi="Arial" w:cs="Arial" w:eastAsia="Arial" w:hint="default"/>
                <w:spacing w:val="-6"/>
                <w:sz w:val="16"/>
                <w:szCs w:val="16"/>
              </w:rPr>
              <w:t> </w:t>
            </w:r>
            <w:r>
              <w:rPr>
                <w:rFonts w:ascii="黑体" w:hAnsi="黑体" w:cs="黑体" w:eastAsia="黑体" w:hint="default"/>
                <w:sz w:val="16"/>
                <w:szCs w:val="16"/>
              </w:rPr>
              <w:t>年</w:t>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8"/>
              <w:jc w:val="right"/>
              <w:rPr>
                <w:rFonts w:ascii="Arial" w:hAnsi="Arial" w:cs="Arial" w:eastAsia="Arial" w:hint="default"/>
                <w:sz w:val="16"/>
                <w:szCs w:val="16"/>
              </w:rPr>
            </w:pPr>
            <w:r>
              <w:rPr>
                <w:rFonts w:ascii="Arial"/>
                <w:spacing w:val="-1"/>
                <w:sz w:val="16"/>
              </w:rPr>
              <w:t>35,766,084</w:t>
            </w:r>
            <w:r>
              <w:rPr>
                <w:rFonts w:ascii="Arial"/>
                <w:sz w:val="16"/>
              </w:rPr>
            </w:r>
          </w:p>
        </w:tc>
        <w:tc>
          <w:tcPr>
            <w:tcW w:w="42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6"/>
              <w:jc w:val="right"/>
              <w:rPr>
                <w:rFonts w:ascii="Arial" w:hAnsi="Arial" w:cs="Arial" w:eastAsia="Arial" w:hint="default"/>
                <w:sz w:val="16"/>
                <w:szCs w:val="16"/>
              </w:rPr>
            </w:pPr>
            <w:r>
              <w:rPr>
                <w:rFonts w:ascii="Arial"/>
                <w:w w:val="100"/>
                <w:sz w:val="16"/>
              </w:rPr>
              <w:t>5</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
              <w:jc w:val="right"/>
              <w:rPr>
                <w:rFonts w:ascii="Arial" w:hAnsi="Arial" w:cs="Arial" w:eastAsia="Arial" w:hint="default"/>
                <w:sz w:val="16"/>
                <w:szCs w:val="16"/>
              </w:rPr>
            </w:pPr>
            <w:r>
              <w:rPr>
                <w:rFonts w:ascii="Arial"/>
                <w:spacing w:val="-2"/>
                <w:sz w:val="16"/>
              </w:rPr>
              <w:t>14,306,434</w:t>
            </w:r>
            <w:r>
              <w:rPr>
                <w:rFonts w:ascii="Arial"/>
                <w:sz w:val="16"/>
              </w:rPr>
            </w:r>
          </w:p>
        </w:tc>
        <w:tc>
          <w:tcPr>
            <w:tcW w:w="65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0"/>
              <w:jc w:val="right"/>
              <w:rPr>
                <w:rFonts w:ascii="Arial" w:hAnsi="Arial" w:cs="Arial" w:eastAsia="Arial" w:hint="default"/>
                <w:sz w:val="16"/>
                <w:szCs w:val="16"/>
              </w:rPr>
            </w:pPr>
            <w:r>
              <w:rPr>
                <w:rFonts w:ascii="Arial"/>
                <w:spacing w:val="-1"/>
                <w:sz w:val="16"/>
              </w:rPr>
              <w:t>40</w:t>
            </w:r>
            <w:r>
              <w:rPr>
                <w:rFonts w:ascii="Arial"/>
                <w:sz w:val="16"/>
              </w:rPr>
            </w:r>
          </w:p>
        </w:tc>
        <w:tc>
          <w:tcPr>
            <w:tcW w:w="238"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
              <w:jc w:val="right"/>
              <w:rPr>
                <w:rFonts w:ascii="Arial" w:hAnsi="Arial" w:cs="Arial" w:eastAsia="Arial" w:hint="default"/>
                <w:sz w:val="16"/>
                <w:szCs w:val="16"/>
              </w:rPr>
            </w:pPr>
            <w:r>
              <w:rPr>
                <w:rFonts w:ascii="Arial"/>
                <w:spacing w:val="-1"/>
                <w:sz w:val="16"/>
              </w:rPr>
              <w:t>25,319,539</w:t>
            </w:r>
            <w:r>
              <w:rPr>
                <w:rFonts w:ascii="Arial"/>
                <w:sz w:val="16"/>
              </w:rPr>
            </w:r>
          </w:p>
        </w:tc>
        <w:tc>
          <w:tcPr>
            <w:tcW w:w="40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7"/>
              <w:jc w:val="right"/>
              <w:rPr>
                <w:rFonts w:ascii="Arial" w:hAnsi="Arial" w:cs="Arial" w:eastAsia="Arial" w:hint="default"/>
                <w:sz w:val="16"/>
                <w:szCs w:val="16"/>
              </w:rPr>
            </w:pPr>
            <w:r>
              <w:rPr>
                <w:rFonts w:ascii="Arial"/>
                <w:w w:val="100"/>
                <w:sz w:val="16"/>
              </w:rPr>
              <w:t>4</w:t>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5"/>
              <w:jc w:val="right"/>
              <w:rPr>
                <w:rFonts w:ascii="Arial" w:hAnsi="Arial" w:cs="Arial" w:eastAsia="Arial" w:hint="default"/>
                <w:sz w:val="16"/>
                <w:szCs w:val="16"/>
              </w:rPr>
            </w:pPr>
            <w:r>
              <w:rPr>
                <w:rFonts w:ascii="Arial"/>
                <w:spacing w:val="-1"/>
                <w:sz w:val="16"/>
              </w:rPr>
              <w:t>10,127,816</w:t>
            </w:r>
            <w:r>
              <w:rPr>
                <w:rFonts w:ascii="Arial"/>
                <w:sz w:val="16"/>
              </w:rPr>
            </w:r>
          </w:p>
        </w:tc>
        <w:tc>
          <w:tcPr>
            <w:tcW w:w="67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0"/>
              <w:jc w:val="right"/>
              <w:rPr>
                <w:rFonts w:ascii="Arial" w:hAnsi="Arial" w:cs="Arial" w:eastAsia="Arial" w:hint="default"/>
                <w:sz w:val="16"/>
                <w:szCs w:val="16"/>
              </w:rPr>
            </w:pPr>
            <w:r>
              <w:rPr>
                <w:rFonts w:ascii="Arial"/>
                <w:spacing w:val="-1"/>
                <w:sz w:val="16"/>
              </w:rPr>
              <w:t>40</w:t>
            </w:r>
            <w:r>
              <w:rPr>
                <w:rFonts w:ascii="Arial"/>
                <w:sz w:val="16"/>
              </w:rPr>
            </w:r>
          </w:p>
        </w:tc>
      </w:tr>
      <w:tr>
        <w:trPr>
          <w:trHeight w:val="264" w:hRule="exact"/>
        </w:trPr>
        <w:tc>
          <w:tcPr>
            <w:tcW w:w="1760" w:type="dxa"/>
            <w:tcBorders>
              <w:top w:val="nil" w:sz="6" w:space="0" w:color="auto"/>
              <w:left w:val="nil" w:sz="6" w:space="0" w:color="auto"/>
              <w:bottom w:val="nil" w:sz="6" w:space="0" w:color="auto"/>
              <w:right w:val="nil" w:sz="6" w:space="0" w:color="auto"/>
            </w:tcBorders>
          </w:tcPr>
          <w:p>
            <w:pPr>
              <w:pStyle w:val="TableParagraph"/>
              <w:spacing w:line="211" w:lineRule="exact"/>
              <w:ind w:left="358" w:right="0"/>
              <w:jc w:val="left"/>
              <w:rPr>
                <w:rFonts w:ascii="黑体" w:hAnsi="黑体" w:cs="黑体" w:eastAsia="黑体" w:hint="default"/>
                <w:sz w:val="16"/>
                <w:szCs w:val="16"/>
              </w:rPr>
            </w:pPr>
            <w:r>
              <w:rPr>
                <w:rFonts w:ascii="Arial" w:hAnsi="Arial" w:cs="Arial" w:eastAsia="Arial" w:hint="default"/>
                <w:sz w:val="16"/>
                <w:szCs w:val="16"/>
              </w:rPr>
              <w:t>3</w:t>
            </w:r>
            <w:r>
              <w:rPr>
                <w:rFonts w:ascii="Arial" w:hAnsi="Arial" w:cs="Arial" w:eastAsia="Arial" w:hint="default"/>
                <w:spacing w:val="-3"/>
                <w:sz w:val="16"/>
                <w:szCs w:val="16"/>
              </w:rPr>
              <w:t> </w:t>
            </w:r>
            <w:r>
              <w:rPr>
                <w:rFonts w:ascii="黑体" w:hAnsi="黑体" w:cs="黑体" w:eastAsia="黑体" w:hint="default"/>
                <w:sz w:val="16"/>
                <w:szCs w:val="16"/>
              </w:rPr>
              <w:t>年以上</w:t>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8"/>
              <w:jc w:val="right"/>
              <w:rPr>
                <w:rFonts w:ascii="Arial" w:hAnsi="Arial" w:cs="Arial" w:eastAsia="Arial" w:hint="default"/>
                <w:sz w:val="16"/>
                <w:szCs w:val="16"/>
              </w:rPr>
            </w:pPr>
            <w:r>
              <w:rPr>
                <w:rFonts w:ascii="Arial"/>
                <w:spacing w:val="-1"/>
                <w:sz w:val="16"/>
              </w:rPr>
              <w:t>27,918,419</w:t>
            </w:r>
            <w:r>
              <w:rPr>
                <w:rFonts w:ascii="Arial"/>
                <w:sz w:val="16"/>
              </w:rPr>
            </w:r>
          </w:p>
        </w:tc>
        <w:tc>
          <w:tcPr>
            <w:tcW w:w="42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76"/>
              <w:jc w:val="right"/>
              <w:rPr>
                <w:rFonts w:ascii="Arial" w:hAnsi="Arial" w:cs="Arial" w:eastAsia="Arial" w:hint="default"/>
                <w:sz w:val="16"/>
                <w:szCs w:val="16"/>
              </w:rPr>
            </w:pPr>
            <w:r>
              <w:rPr>
                <w:rFonts w:ascii="Arial"/>
                <w:w w:val="100"/>
                <w:sz w:val="16"/>
              </w:rPr>
              <w:t>4</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4"/>
              <w:jc w:val="right"/>
              <w:rPr>
                <w:rFonts w:ascii="Arial" w:hAnsi="Arial" w:cs="Arial" w:eastAsia="Arial" w:hint="default"/>
                <w:sz w:val="16"/>
                <w:szCs w:val="16"/>
              </w:rPr>
            </w:pPr>
            <w:r>
              <w:rPr>
                <w:rFonts w:ascii="Arial"/>
                <w:spacing w:val="-2"/>
                <w:sz w:val="16"/>
              </w:rPr>
              <w:t>27,918,419</w:t>
            </w:r>
            <w:r>
              <w:rPr>
                <w:rFonts w:ascii="Arial"/>
                <w:sz w:val="16"/>
              </w:rPr>
            </w:r>
          </w:p>
        </w:tc>
        <w:tc>
          <w:tcPr>
            <w:tcW w:w="65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0"/>
              <w:jc w:val="right"/>
              <w:rPr>
                <w:rFonts w:ascii="Arial" w:hAnsi="Arial" w:cs="Arial" w:eastAsia="Arial" w:hint="default"/>
                <w:sz w:val="16"/>
                <w:szCs w:val="16"/>
              </w:rPr>
            </w:pPr>
            <w:r>
              <w:rPr>
                <w:rFonts w:ascii="Arial"/>
                <w:spacing w:val="-1"/>
                <w:sz w:val="16"/>
              </w:rPr>
              <w:t>100</w:t>
            </w:r>
            <w:r>
              <w:rPr>
                <w:rFonts w:ascii="Arial"/>
                <w:sz w:val="16"/>
              </w:rPr>
            </w:r>
          </w:p>
        </w:tc>
        <w:tc>
          <w:tcPr>
            <w:tcW w:w="238"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4"/>
              <w:jc w:val="right"/>
              <w:rPr>
                <w:rFonts w:ascii="Arial" w:hAnsi="Arial" w:cs="Arial" w:eastAsia="Arial" w:hint="default"/>
                <w:sz w:val="16"/>
                <w:szCs w:val="16"/>
              </w:rPr>
            </w:pPr>
            <w:r>
              <w:rPr>
                <w:rFonts w:ascii="Arial"/>
                <w:spacing w:val="-1"/>
                <w:sz w:val="16"/>
              </w:rPr>
              <w:t>20,275,522</w:t>
            </w:r>
            <w:r>
              <w:rPr>
                <w:rFonts w:ascii="Arial"/>
                <w:sz w:val="16"/>
              </w:rPr>
            </w:r>
          </w:p>
        </w:tc>
        <w:tc>
          <w:tcPr>
            <w:tcW w:w="40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67"/>
              <w:jc w:val="right"/>
              <w:rPr>
                <w:rFonts w:ascii="Arial" w:hAnsi="Arial" w:cs="Arial" w:eastAsia="Arial" w:hint="default"/>
                <w:sz w:val="16"/>
                <w:szCs w:val="16"/>
              </w:rPr>
            </w:pPr>
            <w:r>
              <w:rPr>
                <w:rFonts w:ascii="Arial"/>
                <w:w w:val="100"/>
                <w:sz w:val="16"/>
              </w:rPr>
              <w:t>3</w:t>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5"/>
              <w:jc w:val="right"/>
              <w:rPr>
                <w:rFonts w:ascii="Arial" w:hAnsi="Arial" w:cs="Arial" w:eastAsia="Arial" w:hint="default"/>
                <w:sz w:val="16"/>
                <w:szCs w:val="16"/>
              </w:rPr>
            </w:pPr>
            <w:r>
              <w:rPr>
                <w:rFonts w:ascii="Arial"/>
                <w:spacing w:val="-1"/>
                <w:sz w:val="16"/>
              </w:rPr>
              <w:t>20,275,522</w:t>
            </w:r>
            <w:r>
              <w:rPr>
                <w:rFonts w:ascii="Arial"/>
                <w:sz w:val="16"/>
              </w:rPr>
            </w:r>
          </w:p>
        </w:tc>
        <w:tc>
          <w:tcPr>
            <w:tcW w:w="67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0"/>
              <w:jc w:val="right"/>
              <w:rPr>
                <w:rFonts w:ascii="Arial" w:hAnsi="Arial" w:cs="Arial" w:eastAsia="Arial" w:hint="default"/>
                <w:sz w:val="16"/>
                <w:szCs w:val="16"/>
              </w:rPr>
            </w:pPr>
            <w:r>
              <w:rPr>
                <w:rFonts w:ascii="Arial"/>
                <w:spacing w:val="-1"/>
                <w:sz w:val="16"/>
              </w:rPr>
              <w:t>100</w:t>
            </w:r>
            <w:r>
              <w:rPr>
                <w:rFonts w:ascii="Arial"/>
                <w:sz w:val="16"/>
              </w:rPr>
            </w:r>
          </w:p>
        </w:tc>
      </w:tr>
      <w:tr>
        <w:trPr>
          <w:trHeight w:val="574" w:hRule="exact"/>
        </w:trPr>
        <w:tc>
          <w:tcPr>
            <w:tcW w:w="1760" w:type="dxa"/>
            <w:tcBorders>
              <w:top w:val="nil" w:sz="6" w:space="0" w:color="auto"/>
              <w:left w:val="nil" w:sz="6" w:space="0" w:color="auto"/>
              <w:bottom w:val="nil" w:sz="6" w:space="0" w:color="auto"/>
              <w:right w:val="nil" w:sz="6" w:space="0" w:color="auto"/>
            </w:tcBorders>
          </w:tcPr>
          <w:p>
            <w:pPr>
              <w:pStyle w:val="TableParagraph"/>
              <w:spacing w:line="208" w:lineRule="exact" w:before="18"/>
              <w:ind w:left="387" w:right="89" w:hanging="188"/>
              <w:jc w:val="left"/>
              <w:rPr>
                <w:rFonts w:ascii="黑体" w:hAnsi="黑体" w:cs="黑体" w:eastAsia="黑体" w:hint="default"/>
                <w:sz w:val="16"/>
                <w:szCs w:val="16"/>
              </w:rPr>
            </w:pPr>
            <w:r>
              <w:rPr>
                <w:rFonts w:ascii="黑体" w:hAnsi="黑体" w:cs="黑体" w:eastAsia="黑体" w:hint="default"/>
                <w:sz w:val="16"/>
                <w:szCs w:val="16"/>
              </w:rPr>
              <w:t>单项金额虽不重大但</w:t>
            </w:r>
            <w:r>
              <w:rPr>
                <w:rFonts w:ascii="黑体" w:hAnsi="黑体" w:cs="黑体" w:eastAsia="黑体" w:hint="default"/>
                <w:w w:val="100"/>
                <w:sz w:val="16"/>
                <w:szCs w:val="16"/>
              </w:rPr>
              <w:t> </w:t>
            </w:r>
            <w:r>
              <w:rPr>
                <w:rFonts w:ascii="黑体" w:hAnsi="黑体" w:cs="黑体" w:eastAsia="黑体" w:hint="default"/>
                <w:spacing w:val="-1"/>
                <w:sz w:val="16"/>
                <w:szCs w:val="16"/>
              </w:rPr>
              <w:t>单项计提坏账准备</w:t>
            </w: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sz w:val="20"/>
                <w:szCs w:val="20"/>
              </w:rPr>
            </w:pPr>
          </w:p>
          <w:p>
            <w:pPr>
              <w:pStyle w:val="TableParagraph"/>
              <w:spacing w:line="240" w:lineRule="auto"/>
              <w:ind w:right="13"/>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pacing w:val="-8"/>
                <w:sz w:val="16"/>
                <w:u w:val="single" w:color="000000"/>
              </w:rPr>
              <w:t> </w:t>
            </w:r>
            <w:r>
              <w:rPr>
                <w:rFonts w:ascii="Arial"/>
                <w:spacing w:val="-1"/>
                <w:sz w:val="16"/>
                <w:u w:val="single" w:color="000000"/>
              </w:rPr>
              <w:t>57,406,431</w:t>
            </w:r>
            <w:r>
              <w:rPr>
                <w:rFonts w:ascii="Arial"/>
                <w:spacing w:val="-1"/>
                <w:sz w:val="16"/>
              </w:rPr>
            </w:r>
            <w:r>
              <w:rPr>
                <w:rFonts w:ascii="Arial"/>
                <w:sz w:val="16"/>
              </w:rPr>
            </w:r>
          </w:p>
        </w:tc>
        <w:tc>
          <w:tcPr>
            <w:tcW w:w="42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sz w:val="21"/>
                <w:szCs w:val="21"/>
              </w:rPr>
            </w:pPr>
          </w:p>
          <w:p>
            <w:pPr>
              <w:pStyle w:val="TableParagraph"/>
              <w:spacing w:line="240" w:lineRule="auto"/>
              <w:ind w:right="74"/>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  </w:t>
            </w:r>
            <w:r>
              <w:rPr>
                <w:rFonts w:ascii="Arial"/>
                <w:spacing w:val="-15"/>
                <w:sz w:val="16"/>
                <w:u w:val="single" w:color="000000"/>
              </w:rPr>
              <w:t> </w:t>
            </w:r>
            <w:r>
              <w:rPr>
                <w:rFonts w:ascii="Arial"/>
                <w:sz w:val="16"/>
                <w:u w:val="single" w:color="000000"/>
              </w:rPr>
              <w:t>7</w:t>
            </w:r>
            <w:r>
              <w:rPr>
                <w:rFonts w:ascii="Arial"/>
                <w:sz w:val="16"/>
              </w:rPr>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sz w:val="20"/>
                <w:szCs w:val="20"/>
              </w:rPr>
            </w:pPr>
          </w:p>
          <w:p>
            <w:pPr>
              <w:pStyle w:val="TableParagraph"/>
              <w:spacing w:line="240" w:lineRule="auto"/>
              <w:ind w:right="1"/>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  </w:t>
            </w:r>
            <w:r>
              <w:rPr>
                <w:rFonts w:ascii="Arial"/>
                <w:spacing w:val="-15"/>
                <w:sz w:val="16"/>
                <w:u w:val="single" w:color="000000"/>
              </w:rPr>
              <w:t> </w:t>
            </w:r>
            <w:r>
              <w:rPr>
                <w:rFonts w:ascii="Arial"/>
                <w:spacing w:val="-2"/>
                <w:sz w:val="16"/>
                <w:u w:val="single" w:color="000000"/>
              </w:rPr>
              <w:t>8,259,833</w:t>
            </w:r>
            <w:r>
              <w:rPr>
                <w:rFonts w:ascii="Arial"/>
                <w:spacing w:val="-2"/>
                <w:sz w:val="16"/>
              </w:rPr>
            </w:r>
            <w:r>
              <w:rPr>
                <w:rFonts w:ascii="Arial"/>
                <w:sz w:val="16"/>
              </w:rPr>
            </w:r>
          </w:p>
        </w:tc>
        <w:tc>
          <w:tcPr>
            <w:tcW w:w="65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sz w:val="21"/>
                <w:szCs w:val="21"/>
              </w:rPr>
            </w:pPr>
          </w:p>
          <w:p>
            <w:pPr>
              <w:pStyle w:val="TableParagraph"/>
              <w:spacing w:line="240" w:lineRule="auto"/>
              <w:ind w:right="24"/>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pacing w:val="-8"/>
                <w:sz w:val="16"/>
                <w:u w:val="single" w:color="000000"/>
              </w:rPr>
              <w:t> </w:t>
            </w:r>
            <w:r>
              <w:rPr>
                <w:rFonts w:ascii="Arial"/>
                <w:spacing w:val="-1"/>
                <w:sz w:val="16"/>
                <w:u w:val="single" w:color="000000"/>
              </w:rPr>
              <w:t>14</w:t>
            </w:r>
            <w:r>
              <w:rPr>
                <w:rFonts w:ascii="Arial"/>
                <w:spacing w:val="-1"/>
                <w:sz w:val="16"/>
              </w:rPr>
            </w:r>
            <w:r>
              <w:rPr>
                <w:rFonts w:ascii="Arial"/>
                <w:sz w:val="16"/>
              </w:rPr>
            </w:r>
          </w:p>
        </w:tc>
        <w:tc>
          <w:tcPr>
            <w:tcW w:w="238"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sz w:val="20"/>
                <w:szCs w:val="20"/>
              </w:rPr>
            </w:pPr>
          </w:p>
          <w:p>
            <w:pPr>
              <w:pStyle w:val="TableParagraph"/>
              <w:spacing w:line="240" w:lineRule="auto"/>
              <w:ind w:right="4"/>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pacing w:val="21"/>
                <w:sz w:val="16"/>
                <w:u w:val="single" w:color="000000"/>
              </w:rPr>
              <w:t> </w:t>
            </w:r>
            <w:r>
              <w:rPr>
                <w:rFonts w:ascii="Arial"/>
                <w:spacing w:val="-1"/>
                <w:sz w:val="16"/>
                <w:u w:val="single" w:color="000000"/>
              </w:rPr>
              <w:t>14,737,901</w:t>
            </w:r>
            <w:r>
              <w:rPr>
                <w:rFonts w:ascii="Arial"/>
                <w:spacing w:val="-1"/>
                <w:sz w:val="16"/>
              </w:rPr>
            </w:r>
            <w:r>
              <w:rPr>
                <w:rFonts w:ascii="Arial"/>
                <w:sz w:val="16"/>
              </w:rPr>
            </w:r>
          </w:p>
        </w:tc>
        <w:tc>
          <w:tcPr>
            <w:tcW w:w="40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sz w:val="21"/>
                <w:szCs w:val="21"/>
              </w:rPr>
            </w:pPr>
          </w:p>
          <w:p>
            <w:pPr>
              <w:pStyle w:val="TableParagraph"/>
              <w:spacing w:line="240" w:lineRule="auto"/>
              <w:ind w:right="64"/>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  </w:t>
            </w:r>
            <w:r>
              <w:rPr>
                <w:rFonts w:ascii="Arial"/>
                <w:spacing w:val="-15"/>
                <w:sz w:val="16"/>
                <w:u w:val="single" w:color="000000"/>
              </w:rPr>
              <w:t> </w:t>
            </w:r>
            <w:r>
              <w:rPr>
                <w:rFonts w:ascii="Arial"/>
                <w:sz w:val="16"/>
                <w:u w:val="single" w:color="000000"/>
              </w:rPr>
              <w:t>2</w:t>
            </w:r>
            <w:r>
              <w:rPr>
                <w:rFonts w:ascii="Arial"/>
                <w:sz w:val="16"/>
              </w:rPr>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sz w:val="20"/>
                <w:szCs w:val="20"/>
              </w:rPr>
            </w:pPr>
          </w:p>
          <w:p>
            <w:pPr>
              <w:pStyle w:val="TableParagraph"/>
              <w:spacing w:line="240" w:lineRule="auto"/>
              <w:ind w:right="23"/>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pacing w:val="-8"/>
                <w:sz w:val="16"/>
                <w:u w:val="single" w:color="000000"/>
              </w:rPr>
              <w:t> </w:t>
            </w:r>
            <w:r>
              <w:rPr>
                <w:rFonts w:ascii="Arial"/>
                <w:spacing w:val="-1"/>
                <w:sz w:val="16"/>
                <w:u w:val="single" w:color="000000"/>
              </w:rPr>
              <w:t>4,114,135</w:t>
            </w:r>
            <w:r>
              <w:rPr>
                <w:rFonts w:ascii="Arial"/>
                <w:spacing w:val="-1"/>
                <w:sz w:val="16"/>
              </w:rPr>
            </w:r>
            <w:r>
              <w:rPr>
                <w:rFonts w:ascii="Arial"/>
                <w:sz w:val="16"/>
              </w:rPr>
            </w:r>
          </w:p>
        </w:tc>
        <w:tc>
          <w:tcPr>
            <w:tcW w:w="6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sz w:val="21"/>
                <w:szCs w:val="21"/>
              </w:rPr>
            </w:pPr>
          </w:p>
          <w:p>
            <w:pPr>
              <w:pStyle w:val="TableParagraph"/>
              <w:spacing w:line="240" w:lineRule="auto"/>
              <w:ind w:right="24"/>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pacing w:val="-8"/>
                <w:sz w:val="16"/>
                <w:u w:val="single" w:color="000000"/>
              </w:rPr>
              <w:t> </w:t>
            </w:r>
            <w:r>
              <w:rPr>
                <w:rFonts w:ascii="Arial"/>
                <w:spacing w:val="-1"/>
                <w:sz w:val="16"/>
                <w:u w:val="single" w:color="000000"/>
              </w:rPr>
              <w:t>28</w:t>
            </w:r>
            <w:r>
              <w:rPr>
                <w:rFonts w:ascii="Arial"/>
                <w:spacing w:val="-1"/>
                <w:sz w:val="16"/>
              </w:rPr>
            </w:r>
            <w:r>
              <w:rPr>
                <w:rFonts w:ascii="Arial"/>
                <w:sz w:val="16"/>
              </w:rPr>
            </w:r>
          </w:p>
        </w:tc>
      </w:tr>
      <w:tr>
        <w:trPr>
          <w:trHeight w:val="311" w:hRule="exact"/>
        </w:trPr>
        <w:tc>
          <w:tcPr>
            <w:tcW w:w="1760"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6"/>
              <w:jc w:val="right"/>
              <w:rPr>
                <w:rFonts w:ascii="Arial" w:hAnsi="Arial" w:cs="Arial" w:eastAsia="Arial" w:hint="default"/>
                <w:sz w:val="16"/>
                <w:szCs w:val="16"/>
              </w:rPr>
            </w:pPr>
            <w:r>
              <w:rPr>
                <w:rFonts w:ascii="Arial"/>
                <w:w w:val="100"/>
                <w:sz w:val="16"/>
              </w:rPr>
            </w:r>
            <w:r>
              <w:rPr>
                <w:rFonts w:ascii="Arial"/>
                <w:spacing w:val="-1"/>
                <w:sz w:val="16"/>
                <w:u w:val="thick" w:color="000000"/>
              </w:rPr>
              <w:t>776,669,194</w:t>
            </w:r>
            <w:r>
              <w:rPr>
                <w:rFonts w:ascii="Arial"/>
                <w:spacing w:val="-1"/>
                <w:sz w:val="16"/>
              </w:rPr>
            </w:r>
            <w:r>
              <w:rPr>
                <w:rFonts w:ascii="Arial"/>
                <w:sz w:val="16"/>
              </w:rPr>
            </w:r>
          </w:p>
        </w:tc>
        <w:tc>
          <w:tcPr>
            <w:tcW w:w="42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77"/>
              <w:jc w:val="right"/>
              <w:rPr>
                <w:rFonts w:ascii="Arial" w:hAnsi="Arial" w:cs="Arial" w:eastAsia="Arial" w:hint="default"/>
                <w:sz w:val="16"/>
                <w:szCs w:val="16"/>
              </w:rPr>
            </w:pPr>
            <w:r>
              <w:rPr>
                <w:rFonts w:ascii="Arial"/>
                <w:w w:val="100"/>
                <w:sz w:val="16"/>
              </w:rPr>
            </w:r>
            <w:r>
              <w:rPr>
                <w:rFonts w:ascii="Arial"/>
                <w:spacing w:val="-1"/>
                <w:sz w:val="16"/>
                <w:u w:val="double" w:color="000000"/>
              </w:rPr>
              <w:t>100</w:t>
            </w:r>
            <w:r>
              <w:rPr>
                <w:rFonts w:ascii="Arial"/>
                <w:spacing w:val="-1"/>
                <w:sz w:val="16"/>
              </w:rPr>
            </w:r>
            <w:r>
              <w:rPr>
                <w:rFonts w:ascii="Arial"/>
                <w:sz w:val="16"/>
              </w:rPr>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8"/>
              <w:jc w:val="right"/>
              <w:rPr>
                <w:rFonts w:ascii="Arial" w:hAnsi="Arial" w:cs="Arial" w:eastAsia="Arial" w:hint="default"/>
                <w:sz w:val="16"/>
                <w:szCs w:val="16"/>
              </w:rPr>
            </w:pPr>
            <w:r>
              <w:rPr>
                <w:rFonts w:ascii="Arial"/>
                <w:w w:val="100"/>
                <w:sz w:val="16"/>
              </w:rPr>
            </w:r>
            <w:r>
              <w:rPr>
                <w:rFonts w:ascii="Arial"/>
                <w:spacing w:val="-1"/>
                <w:sz w:val="16"/>
                <w:u w:val="double" w:color="000000"/>
              </w:rPr>
              <w:t>94,476,426</w:t>
            </w:r>
            <w:r>
              <w:rPr>
                <w:rFonts w:ascii="Arial"/>
                <w:spacing w:val="-1"/>
                <w:sz w:val="16"/>
              </w:rPr>
            </w:r>
            <w:r>
              <w:rPr>
                <w:rFonts w:ascii="Arial"/>
                <w:sz w:val="16"/>
              </w:rPr>
            </w:r>
          </w:p>
        </w:tc>
        <w:tc>
          <w:tcPr>
            <w:tcW w:w="656"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107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30"/>
              <w:jc w:val="right"/>
              <w:rPr>
                <w:rFonts w:ascii="Arial" w:hAnsi="Arial" w:cs="Arial" w:eastAsia="Arial" w:hint="default"/>
                <w:sz w:val="16"/>
                <w:szCs w:val="16"/>
              </w:rPr>
            </w:pPr>
            <w:r>
              <w:rPr>
                <w:rFonts w:ascii="Arial"/>
                <w:w w:val="100"/>
                <w:sz w:val="16"/>
              </w:rPr>
            </w:r>
            <w:r>
              <w:rPr>
                <w:rFonts w:ascii="Arial"/>
                <w:spacing w:val="-1"/>
                <w:sz w:val="16"/>
                <w:u w:val="double" w:color="000000"/>
              </w:rPr>
              <w:t>688,688,354</w:t>
            </w:r>
            <w:r>
              <w:rPr>
                <w:rFonts w:ascii="Arial"/>
                <w:spacing w:val="-1"/>
                <w:sz w:val="16"/>
              </w:rPr>
            </w:r>
            <w:r>
              <w:rPr>
                <w:rFonts w:ascii="Arial"/>
                <w:sz w:val="16"/>
              </w:rPr>
            </w:r>
          </w:p>
        </w:tc>
        <w:tc>
          <w:tcPr>
            <w:tcW w:w="40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68"/>
              <w:jc w:val="right"/>
              <w:rPr>
                <w:rFonts w:ascii="Arial" w:hAnsi="Arial" w:cs="Arial" w:eastAsia="Arial" w:hint="default"/>
                <w:sz w:val="16"/>
                <w:szCs w:val="16"/>
              </w:rPr>
            </w:pPr>
            <w:r>
              <w:rPr>
                <w:rFonts w:ascii="Arial"/>
                <w:w w:val="100"/>
                <w:sz w:val="16"/>
              </w:rPr>
            </w:r>
            <w:r>
              <w:rPr>
                <w:rFonts w:ascii="Arial"/>
                <w:spacing w:val="-1"/>
                <w:sz w:val="16"/>
                <w:u w:val="thick" w:color="000000"/>
              </w:rPr>
              <w:t>100</w:t>
            </w:r>
            <w:r>
              <w:rPr>
                <w:rFonts w:ascii="Arial"/>
                <w:spacing w:val="-1"/>
                <w:sz w:val="16"/>
              </w:rPr>
            </w:r>
            <w:r>
              <w:rPr>
                <w:rFonts w:ascii="Arial"/>
                <w:sz w:val="16"/>
              </w:rPr>
            </w:r>
          </w:p>
        </w:tc>
        <w:tc>
          <w:tcPr>
            <w:tcW w:w="922"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52"/>
              <w:jc w:val="right"/>
              <w:rPr>
                <w:rFonts w:ascii="Arial" w:hAnsi="Arial" w:cs="Arial" w:eastAsia="Arial" w:hint="default"/>
                <w:sz w:val="16"/>
                <w:szCs w:val="16"/>
              </w:rPr>
            </w:pPr>
            <w:r>
              <w:rPr>
                <w:rFonts w:ascii="Arial"/>
                <w:w w:val="100"/>
                <w:sz w:val="16"/>
              </w:rPr>
            </w:r>
            <w:r>
              <w:rPr>
                <w:rFonts w:ascii="Arial"/>
                <w:spacing w:val="-1"/>
                <w:sz w:val="16"/>
                <w:u w:val="double" w:color="000000"/>
              </w:rPr>
              <w:t>48,808,090</w:t>
            </w:r>
            <w:r>
              <w:rPr>
                <w:rFonts w:ascii="Arial"/>
                <w:spacing w:val="-1"/>
                <w:sz w:val="16"/>
              </w:rPr>
            </w:r>
            <w:r>
              <w:rPr>
                <w:rFonts w:ascii="Arial"/>
                <w:sz w:val="16"/>
              </w:rPr>
            </w:r>
          </w:p>
        </w:tc>
        <w:tc>
          <w:tcPr>
            <w:tcW w:w="678" w:type="dxa"/>
            <w:tcBorders>
              <w:top w:val="nil" w:sz="6" w:space="0" w:color="auto"/>
              <w:left w:val="nil" w:sz="6" w:space="0" w:color="auto"/>
              <w:bottom w:val="nil" w:sz="6" w:space="0" w:color="auto"/>
              <w:right w:val="nil" w:sz="6" w:space="0" w:color="auto"/>
            </w:tcBorders>
          </w:tcPr>
          <w:p>
            <w:pPr/>
          </w:p>
        </w:tc>
      </w:tr>
    </w:tbl>
    <w:p>
      <w:pPr>
        <w:spacing w:after="0"/>
        <w:sectPr>
          <w:footerReference w:type="default" r:id="rId70"/>
          <w:pgSz w:w="11910" w:h="16850"/>
          <w:pgMar w:footer="384" w:header="957" w:top="2560" w:bottom="580" w:left="1600" w:right="1320"/>
          <w:pgNumType w:start="127"/>
        </w:sectPr>
      </w:pPr>
    </w:p>
    <w:p>
      <w:pPr>
        <w:spacing w:line="240" w:lineRule="auto" w:before="11"/>
        <w:rPr>
          <w:rFonts w:ascii="Arial" w:hAnsi="Arial" w:cs="Arial" w:eastAsia="Arial" w:hint="default"/>
          <w:sz w:val="18"/>
          <w:szCs w:val="18"/>
        </w:rPr>
      </w:pPr>
    </w:p>
    <w:p>
      <w:pPr>
        <w:pStyle w:val="Heading6"/>
        <w:spacing w:line="240" w:lineRule="auto"/>
        <w:ind w:right="0"/>
        <w:jc w:val="left"/>
        <w:rPr>
          <w:b w:val="0"/>
          <w:bCs w:val="0"/>
        </w:rPr>
      </w:pPr>
      <w:r>
        <w:rPr/>
        <w:t>十三、公司财务报表主要项目注释（续）</w:t>
      </w:r>
      <w:r>
        <w:rPr>
          <w:b w:val="0"/>
          <w:bCs w:val="0"/>
        </w:rPr>
      </w:r>
    </w:p>
    <w:p>
      <w:pPr>
        <w:spacing w:line="240" w:lineRule="auto" w:before="7"/>
        <w:rPr>
          <w:rFonts w:ascii="黑体" w:hAnsi="黑体" w:cs="黑体" w:eastAsia="黑体" w:hint="default"/>
          <w:b/>
          <w:bCs/>
          <w:sz w:val="22"/>
          <w:szCs w:val="22"/>
        </w:rPr>
      </w:pPr>
    </w:p>
    <w:p>
      <w:pPr>
        <w:pStyle w:val="Heading6"/>
        <w:tabs>
          <w:tab w:pos="641" w:val="left" w:leader="none"/>
        </w:tabs>
        <w:spacing w:line="240" w:lineRule="auto" w:before="0"/>
        <w:ind w:right="0"/>
        <w:jc w:val="left"/>
        <w:rPr>
          <w:b w:val="0"/>
          <w:bCs w:val="0"/>
        </w:rPr>
      </w:pPr>
      <w:r>
        <w:rPr>
          <w:rFonts w:ascii="Arial" w:hAnsi="Arial" w:cs="Arial" w:eastAsia="Arial" w:hint="default"/>
          <w:spacing w:val="-1"/>
          <w:w w:val="95"/>
        </w:rPr>
        <w:t>3</w:t>
      </w:r>
      <w:r>
        <w:rPr>
          <w:spacing w:val="-1"/>
          <w:w w:val="95"/>
        </w:rPr>
        <w:t>．</w:t>
        <w:tab/>
      </w:r>
      <w:r>
        <w:rPr>
          <w:spacing w:val="1"/>
        </w:rPr>
        <w:t>应收账款</w:t>
      </w:r>
      <w:bookmarkStart w:name="3． 应收账款（续）" w:id="151"/>
      <w:bookmarkEnd w:id="151"/>
      <w:r>
        <w:rPr>
          <w:spacing w:val="1"/>
        </w:rPr>
        <w:t>（续）</w:t>
      </w:r>
      <w:r>
        <w:rPr>
          <w:b w:val="0"/>
          <w:bCs w:val="0"/>
        </w:rPr>
      </w:r>
    </w:p>
    <w:p>
      <w:pPr>
        <w:spacing w:line="240" w:lineRule="auto" w:before="4"/>
        <w:rPr>
          <w:rFonts w:ascii="黑体" w:hAnsi="黑体" w:cs="黑体" w:eastAsia="黑体" w:hint="default"/>
          <w:b/>
          <w:bCs/>
          <w:sz w:val="16"/>
          <w:szCs w:val="16"/>
        </w:rPr>
      </w:pPr>
    </w:p>
    <w:p>
      <w:pPr>
        <w:pStyle w:val="BodyText"/>
        <w:spacing w:line="240" w:lineRule="auto"/>
        <w:ind w:left="802" w:right="0"/>
        <w:jc w:val="left"/>
      </w:pPr>
      <w:r>
        <w:rPr/>
        <w:t>本公司采用账龄</w:t>
      </w:r>
      <w:bookmarkStart w:name="本公司采用账龄分析法计提坏账准备的应收账款情况如下：" w:id="152"/>
      <w:bookmarkEnd w:id="152"/>
      <w:r>
        <w:rPr/>
        <w:t>分析</w:t>
      </w:r>
      <w:r>
        <w:rPr/>
        <w:t>法计提坏账准备的应收账款情况如下：</w:t>
      </w:r>
    </w:p>
    <w:p>
      <w:pPr>
        <w:spacing w:line="240" w:lineRule="auto" w:before="11"/>
        <w:rPr>
          <w:rFonts w:ascii="黑体" w:hAnsi="黑体" w:cs="黑体" w:eastAsia="黑体" w:hint="default"/>
          <w:sz w:val="18"/>
          <w:szCs w:val="18"/>
        </w:rPr>
      </w:pPr>
    </w:p>
    <w:p>
      <w:pPr>
        <w:tabs>
          <w:tab w:pos="3255" w:val="left" w:leader="none"/>
          <w:tab w:pos="4311" w:val="left" w:leader="none"/>
          <w:tab w:pos="4959" w:val="left" w:leader="none"/>
          <w:tab w:pos="5345" w:val="left" w:leader="none"/>
          <w:tab w:pos="5590" w:val="left" w:leader="none"/>
          <w:tab w:pos="6379" w:val="left" w:leader="none"/>
          <w:tab w:pos="6516" w:val="left" w:leader="none"/>
          <w:tab w:pos="6915" w:val="left" w:leader="none"/>
          <w:tab w:pos="7841" w:val="left" w:leader="none"/>
          <w:tab w:pos="8079" w:val="left" w:leader="none"/>
          <w:tab w:pos="8860" w:val="left" w:leader="none"/>
        </w:tabs>
        <w:spacing w:line="242" w:lineRule="auto" w:before="0"/>
        <w:ind w:left="2688" w:right="346" w:hanging="888"/>
        <w:jc w:val="right"/>
        <w:rPr>
          <w:rFonts w:ascii="黑体" w:hAnsi="黑体" w:cs="黑体" w:eastAsia="黑体" w:hint="default"/>
          <w:sz w:val="18"/>
          <w:szCs w:val="18"/>
        </w:rPr>
      </w:pP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tab/>
        <w:t>2012</w:t>
      </w:r>
      <w:r>
        <w:rPr>
          <w:rFonts w:ascii="Arial" w:hAnsi="Arial" w:cs="Arial" w:eastAsia="Arial" w:hint="default"/>
          <w:spacing w:val="-5"/>
          <w:sz w:val="18"/>
          <w:szCs w:val="18"/>
          <w:u w:val="single" w:color="000000"/>
        </w:rPr>
        <w:t> </w:t>
      </w:r>
      <w:r>
        <w:rPr>
          <w:rFonts w:ascii="黑体" w:hAnsi="黑体" w:cs="黑体" w:eastAsia="黑体" w:hint="default"/>
          <w:sz w:val="18"/>
          <w:szCs w:val="18"/>
          <w:u w:val="single" w:color="000000"/>
        </w:rPr>
        <w:t>年</w:t>
        <w:tab/>
        <w:tab/>
        <w:tab/>
      </w:r>
      <w:r>
        <w:rPr>
          <w:rFonts w:ascii="黑体" w:hAnsi="黑体" w:cs="黑体" w:eastAsia="黑体" w:hint="default"/>
          <w:sz w:val="18"/>
          <w:szCs w:val="18"/>
        </w:rPr>
        <w:tab/>
      </w:r>
      <w:r>
        <w:rPr>
          <w:rFonts w:ascii="Arial" w:hAnsi="Arial" w:cs="Arial" w:eastAsia="Arial" w:hint="default"/>
          <w:sz w:val="18"/>
          <w:szCs w:val="18"/>
        </w:rPr>
      </w:r>
      <w:r>
        <w:rPr>
          <w:rFonts w:ascii="Arial" w:hAnsi="Arial" w:cs="Arial" w:eastAsia="Arial" w:hint="default"/>
          <w:sz w:val="18"/>
          <w:szCs w:val="18"/>
          <w:u w:val="single" w:color="000000"/>
        </w:rPr>
        <w:t> </w:t>
        <w:tab/>
        <w:tab/>
        <w:t>2011</w:t>
      </w:r>
      <w:r>
        <w:rPr>
          <w:rFonts w:ascii="Arial" w:hAnsi="Arial" w:cs="Arial" w:eastAsia="Arial" w:hint="default"/>
          <w:spacing w:val="-5"/>
          <w:sz w:val="18"/>
          <w:szCs w:val="18"/>
          <w:u w:val="single" w:color="000000"/>
        </w:rPr>
        <w:t> </w:t>
      </w:r>
      <w:r>
        <w:rPr>
          <w:rFonts w:ascii="黑体" w:hAnsi="黑体" w:cs="黑体" w:eastAsia="黑体" w:hint="default"/>
          <w:sz w:val="18"/>
          <w:szCs w:val="18"/>
          <w:u w:val="single" w:color="000000"/>
        </w:rPr>
        <w:t>年</w:t>
        <w:tab/>
        <w:tab/>
        <w:tab/>
      </w:r>
      <w:r>
        <w:rPr>
          <w:rFonts w:ascii="黑体" w:hAnsi="黑体" w:cs="黑体" w:eastAsia="黑体" w:hint="default"/>
          <w:w w:val="19"/>
          <w:sz w:val="18"/>
          <w:szCs w:val="18"/>
          <w:u w:val="single" w:color="000000"/>
        </w:rPr>
        <w:t> </w:t>
      </w:r>
      <w:r>
        <w:rPr>
          <w:rFonts w:ascii="黑体" w:hAnsi="黑体" w:cs="黑体" w:eastAsia="黑体" w:hint="default"/>
          <w:sz w:val="18"/>
          <w:szCs w:val="18"/>
          <w:u w:val="single" w:color="000000"/>
        </w:rPr>
      </w:r>
      <w:r>
        <w:rPr>
          <w:rFonts w:ascii="黑体" w:hAnsi="黑体" w:cs="黑体" w:eastAsia="黑体" w:hint="default"/>
          <w:sz w:val="18"/>
          <w:szCs w:val="18"/>
        </w:rPr>
      </w:r>
      <w:r>
        <w:rPr>
          <w:rFonts w:ascii="黑体" w:hAnsi="黑体" w:cs="黑体" w:eastAsia="黑体" w:hint="default"/>
          <w:sz w:val="18"/>
          <w:szCs w:val="18"/>
        </w:rPr>
        <w:t> 账面余额</w:t>
        <w:tab/>
        <w:t>坏账准备</w:t>
        <w:tab/>
        <w:tab/>
        <w:tab/>
        <w:t>账面余额</w:t>
        <w:tab/>
        <w:t>坏账准备 金额</w:t>
        <w:tab/>
        <w:t>比例</w:t>
        <w:tab/>
        <w:t>金额</w:t>
        <w:tab/>
        <w:t>计提</w:t>
        <w:tab/>
        <w:tab/>
        <w:tab/>
        <w:tab/>
        <w:t>金额</w:t>
      </w:r>
      <w:r>
        <w:rPr>
          <w:rFonts w:ascii="黑体" w:hAnsi="黑体" w:cs="黑体" w:eastAsia="黑体" w:hint="default"/>
          <w:spacing w:val="-16"/>
          <w:sz w:val="18"/>
          <w:szCs w:val="18"/>
        </w:rPr>
        <w:t> </w:t>
      </w:r>
      <w:r>
        <w:rPr>
          <w:rFonts w:ascii="黑体" w:hAnsi="黑体" w:cs="黑体" w:eastAsia="黑体" w:hint="default"/>
          <w:sz w:val="18"/>
          <w:szCs w:val="18"/>
        </w:rPr>
        <w:t>比例</w:t>
        <w:tab/>
        <w:tab/>
        <w:t>金额</w:t>
      </w:r>
      <w:r>
        <w:rPr>
          <w:rFonts w:ascii="黑体" w:hAnsi="黑体" w:cs="黑体" w:eastAsia="黑体" w:hint="default"/>
          <w:spacing w:val="-40"/>
          <w:sz w:val="18"/>
          <w:szCs w:val="18"/>
        </w:rPr>
        <w:t> </w:t>
      </w:r>
      <w:r>
        <w:rPr>
          <w:rFonts w:ascii="黑体" w:hAnsi="黑体" w:cs="黑体" w:eastAsia="黑体" w:hint="default"/>
          <w:sz w:val="18"/>
          <w:szCs w:val="18"/>
        </w:rPr>
        <w:t>计提</w:t>
      </w:r>
      <w:r>
        <w:rPr>
          <w:rFonts w:ascii="黑体" w:hAnsi="黑体" w:cs="黑体" w:eastAsia="黑体" w:hint="default"/>
          <w:sz w:val="18"/>
          <w:szCs w:val="18"/>
        </w:rPr>
        <w:t> </w:t>
      </w:r>
      <w:r>
        <w:rPr>
          <w:rFonts w:ascii="Arial" w:hAnsi="Arial" w:cs="Arial" w:eastAsia="Arial" w:hint="default"/>
          <w:w w:val="95"/>
          <w:sz w:val="18"/>
          <w:szCs w:val="18"/>
        </w:rPr>
        <w:t>(%)</w:t>
        <w:tab/>
        <w:tab/>
      </w:r>
      <w:r>
        <w:rPr>
          <w:rFonts w:ascii="黑体" w:hAnsi="黑体" w:cs="黑体" w:eastAsia="黑体" w:hint="default"/>
          <w:sz w:val="18"/>
          <w:szCs w:val="18"/>
        </w:rPr>
        <w:t>比例</w:t>
        <w:tab/>
        <w:tab/>
        <w:tab/>
        <w:tab/>
      </w:r>
      <w:r>
        <w:rPr>
          <w:rFonts w:ascii="Arial" w:hAnsi="Arial" w:cs="Arial" w:eastAsia="Arial" w:hint="default"/>
          <w:w w:val="95"/>
          <w:sz w:val="18"/>
          <w:szCs w:val="18"/>
        </w:rPr>
        <w:t>(%)</w:t>
        <w:tab/>
        <w:tab/>
      </w:r>
      <w:r>
        <w:rPr>
          <w:rFonts w:ascii="黑体" w:hAnsi="黑体" w:cs="黑体" w:eastAsia="黑体" w:hint="default"/>
          <w:w w:val="95"/>
          <w:sz w:val="18"/>
          <w:szCs w:val="18"/>
        </w:rPr>
        <w:t>比例</w:t>
      </w:r>
      <w:r>
        <w:rPr>
          <w:rFonts w:ascii="黑体" w:hAnsi="黑体" w:cs="黑体" w:eastAsia="黑体" w:hint="default"/>
          <w:sz w:val="18"/>
          <w:szCs w:val="18"/>
        </w:rPr>
      </w:r>
    </w:p>
    <w:p>
      <w:pPr>
        <w:tabs>
          <w:tab w:pos="3530" w:val="left" w:leader="none"/>
        </w:tabs>
        <w:spacing w:before="86"/>
        <w:ind w:left="0" w:right="376" w:firstLine="0"/>
        <w:jc w:val="right"/>
        <w:rPr>
          <w:rFonts w:ascii="Arial" w:hAnsi="Arial" w:cs="Arial" w:eastAsia="Arial" w:hint="default"/>
          <w:sz w:val="18"/>
          <w:szCs w:val="18"/>
        </w:rPr>
      </w:pPr>
      <w:r>
        <w:rPr>
          <w:rFonts w:ascii="Arial"/>
          <w:w w:val="95"/>
          <w:sz w:val="18"/>
        </w:rPr>
        <w:t>(%)</w:t>
        <w:tab/>
        <w:t>(%)</w:t>
      </w:r>
      <w:r>
        <w:rPr>
          <w:rFonts w:ascii="Arial"/>
          <w:sz w:val="18"/>
        </w:rPr>
      </w:r>
    </w:p>
    <w:p>
      <w:pPr>
        <w:spacing w:line="240" w:lineRule="auto" w:before="3"/>
        <w:rPr>
          <w:rFonts w:ascii="Arial" w:hAnsi="Arial" w:cs="Arial" w:eastAsia="Arial" w:hint="default"/>
          <w:sz w:val="21"/>
          <w:szCs w:val="21"/>
        </w:rPr>
      </w:pPr>
    </w:p>
    <w:tbl>
      <w:tblPr>
        <w:tblW w:w="0" w:type="auto"/>
        <w:jc w:val="left"/>
        <w:tblInd w:w="793" w:type="dxa"/>
        <w:tblLayout w:type="fixed"/>
        <w:tblCellMar>
          <w:top w:w="0" w:type="dxa"/>
          <w:left w:w="0" w:type="dxa"/>
          <w:bottom w:w="0" w:type="dxa"/>
          <w:right w:w="0" w:type="dxa"/>
        </w:tblCellMar>
        <w:tblLook w:val="01E0"/>
      </w:tblPr>
      <w:tblGrid>
        <w:gridCol w:w="988"/>
        <w:gridCol w:w="1429"/>
        <w:gridCol w:w="538"/>
        <w:gridCol w:w="1148"/>
        <w:gridCol w:w="702"/>
        <w:gridCol w:w="1359"/>
        <w:gridCol w:w="468"/>
        <w:gridCol w:w="1082"/>
        <w:gridCol w:w="378"/>
      </w:tblGrid>
      <w:tr>
        <w:trPr>
          <w:trHeight w:val="319" w:hRule="exact"/>
        </w:trPr>
        <w:tc>
          <w:tcPr>
            <w:tcW w:w="98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黑体" w:hAnsi="黑体" w:cs="黑体" w:eastAsia="黑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黑体" w:hAnsi="黑体" w:cs="黑体" w:eastAsia="黑体" w:hint="default"/>
                <w:sz w:val="18"/>
                <w:szCs w:val="18"/>
              </w:rPr>
              <w:t>年以内</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33"/>
              <w:jc w:val="right"/>
              <w:rPr>
                <w:rFonts w:ascii="Arial" w:hAnsi="Arial" w:cs="Arial" w:eastAsia="Arial" w:hint="default"/>
                <w:sz w:val="18"/>
                <w:szCs w:val="18"/>
              </w:rPr>
            </w:pPr>
            <w:r>
              <w:rPr>
                <w:rFonts w:ascii="Arial"/>
                <w:spacing w:val="-1"/>
                <w:sz w:val="18"/>
              </w:rPr>
              <w:t>289,199,499</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1"/>
              <w:jc w:val="right"/>
              <w:rPr>
                <w:rFonts w:ascii="Arial" w:hAnsi="Arial" w:cs="Arial" w:eastAsia="Arial" w:hint="default"/>
                <w:sz w:val="18"/>
                <w:szCs w:val="18"/>
              </w:rPr>
            </w:pPr>
            <w:r>
              <w:rPr>
                <w:rFonts w:ascii="Arial"/>
                <w:w w:val="95"/>
                <w:sz w:val="18"/>
              </w:rPr>
              <w:t>62</w:t>
            </w:r>
            <w:r>
              <w:rPr>
                <w:rFonts w:ascii="Arial"/>
                <w:sz w:val="18"/>
              </w:rPr>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44"/>
              <w:jc w:val="right"/>
              <w:rPr>
                <w:rFonts w:ascii="Arial" w:hAnsi="Arial" w:cs="Arial" w:eastAsia="Arial" w:hint="default"/>
                <w:sz w:val="18"/>
                <w:szCs w:val="18"/>
              </w:rPr>
            </w:pPr>
            <w:r>
              <w:rPr>
                <w:rFonts w:ascii="Arial"/>
                <w:w w:val="99"/>
                <w:sz w:val="18"/>
              </w:rPr>
              <w:t>-</w:t>
            </w:r>
            <w:r>
              <w:rPr>
                <w:rFonts w:ascii="Arial"/>
                <w:sz w:val="18"/>
              </w:rPr>
            </w:r>
          </w:p>
        </w:tc>
        <w:tc>
          <w:tcPr>
            <w:tcW w:w="70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77"/>
              <w:jc w:val="right"/>
              <w:rPr>
                <w:rFonts w:ascii="Arial" w:hAnsi="Arial" w:cs="Arial" w:eastAsia="Arial" w:hint="default"/>
                <w:sz w:val="18"/>
                <w:szCs w:val="18"/>
              </w:rPr>
            </w:pPr>
            <w:r>
              <w:rPr>
                <w:rFonts w:ascii="Arial"/>
                <w:w w:val="99"/>
                <w:sz w:val="18"/>
              </w:rPr>
              <w:t>-</w:t>
            </w:r>
            <w:r>
              <w:rPr>
                <w:rFonts w:ascii="Arial"/>
                <w:sz w:val="18"/>
              </w:rPr>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52"/>
              <w:jc w:val="right"/>
              <w:rPr>
                <w:rFonts w:ascii="Arial" w:hAnsi="Arial" w:cs="Arial" w:eastAsia="Arial" w:hint="default"/>
                <w:sz w:val="18"/>
                <w:szCs w:val="18"/>
              </w:rPr>
            </w:pPr>
            <w:r>
              <w:rPr>
                <w:rFonts w:ascii="Arial"/>
                <w:spacing w:val="-1"/>
                <w:sz w:val="18"/>
              </w:rPr>
              <w:t>435,966,988</w:t>
            </w:r>
          </w:p>
        </w:tc>
        <w:tc>
          <w:tcPr>
            <w:tcW w:w="46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10"/>
              <w:jc w:val="right"/>
              <w:rPr>
                <w:rFonts w:ascii="Arial" w:hAnsi="Arial" w:cs="Arial" w:eastAsia="Arial" w:hint="default"/>
                <w:sz w:val="18"/>
                <w:szCs w:val="18"/>
              </w:rPr>
            </w:pPr>
            <w:r>
              <w:rPr>
                <w:rFonts w:ascii="Arial"/>
                <w:w w:val="95"/>
                <w:sz w:val="18"/>
              </w:rPr>
              <w:t>78</w:t>
            </w:r>
            <w:r>
              <w:rPr>
                <w:rFonts w:ascii="Arial"/>
                <w:sz w:val="18"/>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67"/>
              <w:jc w:val="right"/>
              <w:rPr>
                <w:rFonts w:ascii="Arial" w:hAnsi="Arial" w:cs="Arial" w:eastAsia="Arial" w:hint="default"/>
                <w:sz w:val="18"/>
                <w:szCs w:val="18"/>
              </w:rPr>
            </w:pPr>
            <w:r>
              <w:rPr>
                <w:rFonts w:ascii="Arial"/>
                <w:w w:val="99"/>
                <w:sz w:val="18"/>
              </w:rPr>
              <w:t>-</w:t>
            </w:r>
            <w:r>
              <w:rPr>
                <w:rFonts w:ascii="Arial"/>
                <w:sz w:val="18"/>
              </w:rPr>
            </w:r>
          </w:p>
        </w:tc>
        <w:tc>
          <w:tcPr>
            <w:tcW w:w="37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5"/>
              <w:jc w:val="right"/>
              <w:rPr>
                <w:rFonts w:ascii="Arial" w:hAnsi="Arial" w:cs="Arial" w:eastAsia="Arial" w:hint="default"/>
                <w:sz w:val="18"/>
                <w:szCs w:val="18"/>
              </w:rPr>
            </w:pPr>
            <w:r>
              <w:rPr>
                <w:rFonts w:ascii="Arial"/>
                <w:w w:val="99"/>
                <w:sz w:val="18"/>
              </w:rPr>
              <w:t>-</w:t>
            </w:r>
            <w:r>
              <w:rPr>
                <w:rFonts w:ascii="Arial"/>
                <w:sz w:val="18"/>
              </w:rPr>
            </w:r>
          </w:p>
        </w:tc>
      </w:tr>
      <w:tr>
        <w:trPr>
          <w:trHeight w:val="240" w:hRule="exact"/>
        </w:trPr>
        <w:tc>
          <w:tcPr>
            <w:tcW w:w="988" w:type="dxa"/>
            <w:tcBorders>
              <w:top w:val="nil" w:sz="6" w:space="0" w:color="auto"/>
              <w:left w:val="nil" w:sz="6" w:space="0" w:color="auto"/>
              <w:bottom w:val="nil" w:sz="6" w:space="0" w:color="auto"/>
              <w:right w:val="nil" w:sz="6" w:space="0" w:color="auto"/>
            </w:tcBorders>
          </w:tcPr>
          <w:p>
            <w:pPr>
              <w:pStyle w:val="TableParagraph"/>
              <w:spacing w:line="214" w:lineRule="exact"/>
              <w:ind w:left="35" w:right="0"/>
              <w:jc w:val="left"/>
              <w:rPr>
                <w:rFonts w:ascii="黑体" w:hAnsi="黑体" w:cs="黑体" w:eastAsia="黑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黑体" w:hAnsi="黑体" w:cs="黑体" w:eastAsia="黑体" w:hint="default"/>
                <w:sz w:val="18"/>
                <w:szCs w:val="18"/>
              </w:rPr>
              <w:t>年</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3"/>
              <w:jc w:val="right"/>
              <w:rPr>
                <w:rFonts w:ascii="Arial" w:hAnsi="Arial" w:cs="Arial" w:eastAsia="Arial" w:hint="default"/>
                <w:sz w:val="18"/>
                <w:szCs w:val="18"/>
              </w:rPr>
            </w:pPr>
            <w:r>
              <w:rPr>
                <w:rFonts w:ascii="Arial"/>
                <w:spacing w:val="-1"/>
                <w:sz w:val="18"/>
              </w:rPr>
              <w:t>111,106,713</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1"/>
              <w:jc w:val="right"/>
              <w:rPr>
                <w:rFonts w:ascii="Arial" w:hAnsi="Arial" w:cs="Arial" w:eastAsia="Arial" w:hint="default"/>
                <w:sz w:val="18"/>
                <w:szCs w:val="18"/>
              </w:rPr>
            </w:pPr>
            <w:r>
              <w:rPr>
                <w:rFonts w:ascii="Arial"/>
                <w:w w:val="95"/>
                <w:sz w:val="18"/>
              </w:rPr>
              <w:t>24</w:t>
            </w:r>
            <w:r>
              <w:rPr>
                <w:rFonts w:ascii="Arial"/>
                <w:sz w:val="18"/>
              </w:rPr>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0"/>
              <w:jc w:val="right"/>
              <w:rPr>
                <w:rFonts w:ascii="Arial" w:hAnsi="Arial" w:cs="Arial" w:eastAsia="Arial" w:hint="default"/>
                <w:sz w:val="18"/>
                <w:szCs w:val="18"/>
              </w:rPr>
            </w:pPr>
            <w:r>
              <w:rPr>
                <w:rFonts w:ascii="Arial"/>
                <w:spacing w:val="-1"/>
                <w:sz w:val="18"/>
              </w:rPr>
              <w:t>22,049,370</w:t>
            </w:r>
          </w:p>
        </w:tc>
        <w:tc>
          <w:tcPr>
            <w:tcW w:w="70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75"/>
              <w:jc w:val="right"/>
              <w:rPr>
                <w:rFonts w:ascii="Arial" w:hAnsi="Arial" w:cs="Arial" w:eastAsia="Arial" w:hint="default"/>
                <w:sz w:val="18"/>
                <w:szCs w:val="18"/>
              </w:rPr>
            </w:pPr>
            <w:r>
              <w:rPr>
                <w:rFonts w:ascii="Arial"/>
                <w:w w:val="95"/>
                <w:sz w:val="18"/>
              </w:rPr>
              <w:t>20</w:t>
            </w:r>
            <w:r>
              <w:rPr>
                <w:rFonts w:ascii="Arial"/>
                <w:sz w:val="18"/>
              </w:rPr>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3"/>
              <w:jc w:val="right"/>
              <w:rPr>
                <w:rFonts w:ascii="Arial" w:hAnsi="Arial" w:cs="Arial" w:eastAsia="Arial" w:hint="default"/>
                <w:sz w:val="18"/>
                <w:szCs w:val="18"/>
              </w:rPr>
            </w:pPr>
            <w:r>
              <w:rPr>
                <w:rFonts w:ascii="Arial"/>
                <w:spacing w:val="-1"/>
                <w:sz w:val="18"/>
              </w:rPr>
              <w:t>71,453,086</w:t>
            </w:r>
          </w:p>
        </w:tc>
        <w:tc>
          <w:tcPr>
            <w:tcW w:w="4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0"/>
              <w:jc w:val="right"/>
              <w:rPr>
                <w:rFonts w:ascii="Arial" w:hAnsi="Arial" w:cs="Arial" w:eastAsia="Arial" w:hint="default"/>
                <w:sz w:val="18"/>
                <w:szCs w:val="18"/>
              </w:rPr>
            </w:pPr>
            <w:r>
              <w:rPr>
                <w:rFonts w:ascii="Arial"/>
                <w:w w:val="95"/>
                <w:sz w:val="18"/>
              </w:rPr>
              <w:t>13</w:t>
            </w:r>
            <w:r>
              <w:rPr>
                <w:rFonts w:ascii="Arial"/>
                <w:sz w:val="18"/>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1"/>
              <w:jc w:val="right"/>
              <w:rPr>
                <w:rFonts w:ascii="Arial" w:hAnsi="Arial" w:cs="Arial" w:eastAsia="Arial" w:hint="default"/>
                <w:sz w:val="18"/>
                <w:szCs w:val="18"/>
              </w:rPr>
            </w:pPr>
            <w:r>
              <w:rPr>
                <w:rFonts w:ascii="Arial"/>
                <w:spacing w:val="-1"/>
                <w:sz w:val="18"/>
              </w:rPr>
              <w:t>14,290,617</w:t>
            </w:r>
          </w:p>
        </w:tc>
        <w:tc>
          <w:tcPr>
            <w:tcW w:w="37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8"/>
                <w:szCs w:val="18"/>
              </w:rPr>
            </w:pPr>
            <w:r>
              <w:rPr>
                <w:rFonts w:ascii="Arial"/>
                <w:w w:val="95"/>
                <w:sz w:val="18"/>
              </w:rPr>
              <w:t>20</w:t>
            </w:r>
            <w:r>
              <w:rPr>
                <w:rFonts w:ascii="Arial"/>
                <w:sz w:val="18"/>
              </w:rPr>
            </w:r>
          </w:p>
        </w:tc>
      </w:tr>
      <w:tr>
        <w:trPr>
          <w:trHeight w:val="240" w:hRule="exact"/>
        </w:trPr>
        <w:tc>
          <w:tcPr>
            <w:tcW w:w="988" w:type="dxa"/>
            <w:tcBorders>
              <w:top w:val="nil" w:sz="6" w:space="0" w:color="auto"/>
              <w:left w:val="nil" w:sz="6" w:space="0" w:color="auto"/>
              <w:bottom w:val="nil" w:sz="6" w:space="0" w:color="auto"/>
              <w:right w:val="nil" w:sz="6" w:space="0" w:color="auto"/>
            </w:tcBorders>
          </w:tcPr>
          <w:p>
            <w:pPr>
              <w:pStyle w:val="TableParagraph"/>
              <w:spacing w:line="214" w:lineRule="exact"/>
              <w:ind w:left="35" w:right="0"/>
              <w:jc w:val="left"/>
              <w:rPr>
                <w:rFonts w:ascii="黑体" w:hAnsi="黑体" w:cs="黑体" w:eastAsia="黑体" w:hint="default"/>
                <w:sz w:val="18"/>
                <w:szCs w:val="18"/>
              </w:rPr>
            </w:pPr>
            <w:r>
              <w:rPr>
                <w:rFonts w:ascii="Arial" w:hAnsi="Arial" w:cs="Arial" w:eastAsia="Arial" w:hint="default"/>
                <w:sz w:val="18"/>
                <w:szCs w:val="18"/>
              </w:rPr>
              <w:t>2-3</w:t>
            </w:r>
            <w:r>
              <w:rPr>
                <w:rFonts w:ascii="Arial" w:hAnsi="Arial" w:cs="Arial" w:eastAsia="Arial" w:hint="default"/>
                <w:spacing w:val="-5"/>
                <w:sz w:val="18"/>
                <w:szCs w:val="18"/>
              </w:rPr>
              <w:t> </w:t>
            </w:r>
            <w:r>
              <w:rPr>
                <w:rFonts w:ascii="黑体" w:hAnsi="黑体" w:cs="黑体" w:eastAsia="黑体" w:hint="default"/>
                <w:sz w:val="18"/>
                <w:szCs w:val="18"/>
              </w:rPr>
              <w:t>年</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3"/>
              <w:jc w:val="right"/>
              <w:rPr>
                <w:rFonts w:ascii="Arial" w:hAnsi="Arial" w:cs="Arial" w:eastAsia="Arial" w:hint="default"/>
                <w:sz w:val="18"/>
                <w:szCs w:val="18"/>
              </w:rPr>
            </w:pPr>
            <w:r>
              <w:rPr>
                <w:rFonts w:ascii="Arial"/>
                <w:spacing w:val="-1"/>
                <w:sz w:val="18"/>
              </w:rPr>
              <w:t>35,766,084</w:t>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3"/>
              <w:jc w:val="right"/>
              <w:rPr>
                <w:rFonts w:ascii="Arial" w:hAnsi="Arial" w:cs="Arial" w:eastAsia="Arial" w:hint="default"/>
                <w:sz w:val="18"/>
                <w:szCs w:val="18"/>
              </w:rPr>
            </w:pPr>
            <w:r>
              <w:rPr>
                <w:rFonts w:ascii="Arial"/>
                <w:w w:val="99"/>
                <w:sz w:val="18"/>
              </w:rPr>
              <w:t>8</w:t>
            </w:r>
            <w:r>
              <w:rPr>
                <w:rFonts w:ascii="Arial"/>
                <w:sz w:val="18"/>
              </w:rPr>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0"/>
              <w:jc w:val="right"/>
              <w:rPr>
                <w:rFonts w:ascii="Arial" w:hAnsi="Arial" w:cs="Arial" w:eastAsia="Arial" w:hint="default"/>
                <w:sz w:val="18"/>
                <w:szCs w:val="18"/>
              </w:rPr>
            </w:pPr>
            <w:r>
              <w:rPr>
                <w:rFonts w:ascii="Arial"/>
                <w:spacing w:val="-1"/>
                <w:sz w:val="18"/>
              </w:rPr>
              <w:t>14,306,434</w:t>
            </w:r>
          </w:p>
        </w:tc>
        <w:tc>
          <w:tcPr>
            <w:tcW w:w="70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75"/>
              <w:jc w:val="right"/>
              <w:rPr>
                <w:rFonts w:ascii="Arial" w:hAnsi="Arial" w:cs="Arial" w:eastAsia="Arial" w:hint="default"/>
                <w:sz w:val="18"/>
                <w:szCs w:val="18"/>
              </w:rPr>
            </w:pPr>
            <w:r>
              <w:rPr>
                <w:rFonts w:ascii="Arial"/>
                <w:w w:val="95"/>
                <w:sz w:val="18"/>
              </w:rPr>
              <w:t>40</w:t>
            </w:r>
            <w:r>
              <w:rPr>
                <w:rFonts w:ascii="Arial"/>
                <w:sz w:val="18"/>
              </w:rPr>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3"/>
              <w:jc w:val="right"/>
              <w:rPr>
                <w:rFonts w:ascii="Arial" w:hAnsi="Arial" w:cs="Arial" w:eastAsia="Arial" w:hint="default"/>
                <w:sz w:val="18"/>
                <w:szCs w:val="18"/>
              </w:rPr>
            </w:pPr>
            <w:r>
              <w:rPr>
                <w:rFonts w:ascii="Arial"/>
                <w:spacing w:val="-1"/>
                <w:sz w:val="18"/>
              </w:rPr>
              <w:t>25,319,539</w:t>
            </w:r>
          </w:p>
        </w:tc>
        <w:tc>
          <w:tcPr>
            <w:tcW w:w="4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3"/>
              <w:jc w:val="right"/>
              <w:rPr>
                <w:rFonts w:ascii="Arial" w:hAnsi="Arial" w:cs="Arial" w:eastAsia="Arial" w:hint="default"/>
                <w:sz w:val="18"/>
                <w:szCs w:val="18"/>
              </w:rPr>
            </w:pPr>
            <w:r>
              <w:rPr>
                <w:rFonts w:ascii="Arial"/>
                <w:w w:val="99"/>
                <w:sz w:val="18"/>
              </w:rPr>
              <w:t>5</w:t>
            </w:r>
            <w:r>
              <w:rPr>
                <w:rFonts w:ascii="Arial"/>
                <w:sz w:val="18"/>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1"/>
              <w:jc w:val="right"/>
              <w:rPr>
                <w:rFonts w:ascii="Arial" w:hAnsi="Arial" w:cs="Arial" w:eastAsia="Arial" w:hint="default"/>
                <w:sz w:val="18"/>
                <w:szCs w:val="18"/>
              </w:rPr>
            </w:pPr>
            <w:r>
              <w:rPr>
                <w:rFonts w:ascii="Arial"/>
                <w:spacing w:val="-1"/>
                <w:sz w:val="18"/>
              </w:rPr>
              <w:t>10,127,816</w:t>
            </w:r>
          </w:p>
        </w:tc>
        <w:tc>
          <w:tcPr>
            <w:tcW w:w="37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8"/>
                <w:szCs w:val="18"/>
              </w:rPr>
            </w:pPr>
            <w:r>
              <w:rPr>
                <w:rFonts w:ascii="Arial"/>
                <w:w w:val="95"/>
                <w:sz w:val="18"/>
              </w:rPr>
              <w:t>40</w:t>
            </w:r>
            <w:r>
              <w:rPr>
                <w:rFonts w:ascii="Arial"/>
                <w:sz w:val="18"/>
              </w:rPr>
            </w:r>
          </w:p>
        </w:tc>
      </w:tr>
      <w:tr>
        <w:trPr>
          <w:trHeight w:val="364" w:hRule="exact"/>
        </w:trPr>
        <w:tc>
          <w:tcPr>
            <w:tcW w:w="988" w:type="dxa"/>
            <w:tcBorders>
              <w:top w:val="nil" w:sz="6" w:space="0" w:color="auto"/>
              <w:left w:val="nil" w:sz="6" w:space="0" w:color="auto"/>
              <w:bottom w:val="nil" w:sz="6" w:space="0" w:color="auto"/>
              <w:right w:val="nil" w:sz="6" w:space="0" w:color="auto"/>
            </w:tcBorders>
          </w:tcPr>
          <w:p>
            <w:pPr>
              <w:pStyle w:val="TableParagraph"/>
              <w:spacing w:line="214" w:lineRule="exact"/>
              <w:ind w:left="35" w:right="0"/>
              <w:jc w:val="left"/>
              <w:rPr>
                <w:rFonts w:ascii="黑体" w:hAnsi="黑体" w:cs="黑体" w:eastAsia="黑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黑体" w:hAnsi="黑体" w:cs="黑体" w:eastAsia="黑体" w:hint="default"/>
                <w:sz w:val="18"/>
                <w:szCs w:val="18"/>
              </w:rPr>
              <w:t>年以上</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2"/>
                <w:sz w:val="18"/>
                <w:u w:val="single" w:color="000000"/>
              </w:rPr>
              <w:t> </w:t>
            </w:r>
            <w:r>
              <w:rPr>
                <w:rFonts w:ascii="Arial"/>
                <w:spacing w:val="-1"/>
                <w:sz w:val="18"/>
                <w:u w:val="single" w:color="000000"/>
              </w:rPr>
              <w:t>27,918,419</w:t>
            </w:r>
            <w:r>
              <w:rPr>
                <w:rFonts w:ascii="Arial"/>
                <w:spacing w:val="-1"/>
                <w:sz w:val="18"/>
              </w:rPr>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8"/>
                <w:sz w:val="18"/>
                <w:u w:val="single" w:color="000000"/>
              </w:rPr>
              <w:t> </w:t>
            </w:r>
            <w:r>
              <w:rPr>
                <w:rFonts w:ascii="Arial"/>
                <w:w w:val="95"/>
                <w:sz w:val="18"/>
                <w:u w:val="single" w:color="000000"/>
              </w:rPr>
              <w:t>6</w:t>
            </w:r>
            <w:r>
              <w:rPr>
                <w:rFonts w:ascii="Arial"/>
                <w:w w:val="95"/>
                <w:sz w:val="18"/>
              </w:rPr>
            </w:r>
            <w:r>
              <w:rPr>
                <w:rFonts w:ascii="Arial"/>
                <w:sz w:val="18"/>
              </w:rPr>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20"/>
              <w:jc w:val="right"/>
              <w:rPr>
                <w:rFonts w:ascii="Arial" w:hAnsi="Arial" w:cs="Arial" w:eastAsia="Arial" w:hint="default"/>
                <w:sz w:val="18"/>
                <w:szCs w:val="18"/>
              </w:rPr>
            </w:pPr>
            <w:r>
              <w:rPr>
                <w:rFonts w:ascii="Arial"/>
                <w:w w:val="99"/>
                <w:sz w:val="18"/>
              </w:rPr>
            </w:r>
            <w:r>
              <w:rPr>
                <w:rFonts w:ascii="Arial"/>
                <w:spacing w:val="-1"/>
                <w:sz w:val="18"/>
                <w:u w:val="single" w:color="000000"/>
              </w:rPr>
              <w:t>27,918,419</w:t>
            </w:r>
            <w:r>
              <w:rPr>
                <w:rFonts w:ascii="Arial"/>
                <w:spacing w:val="-1"/>
                <w:sz w:val="18"/>
              </w:rPr>
            </w:r>
          </w:p>
        </w:tc>
        <w:tc>
          <w:tcPr>
            <w:tcW w:w="70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75"/>
              <w:jc w:val="right"/>
              <w:rPr>
                <w:rFonts w:ascii="Arial" w:hAnsi="Arial" w:cs="Arial" w:eastAsia="Arial" w:hint="default"/>
                <w:sz w:val="18"/>
                <w:szCs w:val="18"/>
              </w:rPr>
            </w:pPr>
            <w:r>
              <w:rPr>
                <w:rFonts w:ascii="Arial"/>
                <w:w w:val="95"/>
                <w:sz w:val="18"/>
              </w:rPr>
              <w:t>100</w:t>
            </w:r>
            <w:r>
              <w:rPr>
                <w:rFonts w:ascii="Arial"/>
                <w:sz w:val="18"/>
              </w:rPr>
            </w: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9"/>
                <w:sz w:val="18"/>
                <w:u w:val="single" w:color="000000"/>
              </w:rPr>
              <w:t> </w:t>
            </w:r>
            <w:r>
              <w:rPr>
                <w:rFonts w:ascii="Arial"/>
                <w:spacing w:val="-1"/>
                <w:sz w:val="18"/>
                <w:u w:val="single" w:color="000000"/>
              </w:rPr>
              <w:t>20,275,522</w:t>
            </w:r>
            <w:r>
              <w:rPr>
                <w:rFonts w:ascii="Arial"/>
                <w:spacing w:val="-1"/>
                <w:sz w:val="18"/>
              </w:rPr>
            </w:r>
          </w:p>
        </w:tc>
        <w:tc>
          <w:tcPr>
            <w:tcW w:w="4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1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5"/>
                <w:sz w:val="18"/>
                <w:u w:val="single" w:color="000000"/>
              </w:rPr>
              <w:t> </w:t>
            </w:r>
            <w:r>
              <w:rPr>
                <w:rFonts w:ascii="Arial"/>
                <w:w w:val="95"/>
                <w:sz w:val="18"/>
                <w:u w:val="single" w:color="000000"/>
              </w:rPr>
              <w:t>4</w:t>
            </w:r>
            <w:r>
              <w:rPr>
                <w:rFonts w:ascii="Arial"/>
                <w:w w:val="95"/>
                <w:sz w:val="18"/>
              </w:rPr>
            </w:r>
            <w:r>
              <w:rPr>
                <w:rFonts w:ascii="Arial"/>
                <w:sz w:val="18"/>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9"/>
              <w:jc w:val="right"/>
              <w:rPr>
                <w:rFonts w:ascii="Arial" w:hAnsi="Arial" w:cs="Arial" w:eastAsia="Arial" w:hint="default"/>
                <w:sz w:val="18"/>
                <w:szCs w:val="18"/>
              </w:rPr>
            </w:pPr>
            <w:r>
              <w:rPr>
                <w:rFonts w:ascii="Arial"/>
                <w:w w:val="99"/>
                <w:sz w:val="18"/>
              </w:rPr>
            </w:r>
            <w:r>
              <w:rPr>
                <w:rFonts w:ascii="Arial"/>
                <w:spacing w:val="-1"/>
                <w:sz w:val="18"/>
                <w:u w:val="single" w:color="000000"/>
              </w:rPr>
              <w:t>20,275,522</w:t>
            </w:r>
            <w:r>
              <w:rPr>
                <w:rFonts w:ascii="Arial"/>
                <w:spacing w:val="-1"/>
                <w:sz w:val="18"/>
              </w:rPr>
            </w:r>
          </w:p>
        </w:tc>
        <w:tc>
          <w:tcPr>
            <w:tcW w:w="37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18"/>
                <w:szCs w:val="18"/>
              </w:rPr>
            </w:pPr>
            <w:r>
              <w:rPr>
                <w:rFonts w:ascii="Arial"/>
                <w:w w:val="95"/>
                <w:sz w:val="18"/>
              </w:rPr>
              <w:t>100</w:t>
            </w:r>
            <w:r>
              <w:rPr>
                <w:rFonts w:ascii="Arial"/>
                <w:sz w:val="18"/>
              </w:rPr>
            </w:r>
          </w:p>
        </w:tc>
      </w:tr>
      <w:tr>
        <w:trPr>
          <w:trHeight w:val="425" w:hRule="exact"/>
        </w:trPr>
        <w:tc>
          <w:tcPr>
            <w:tcW w:w="988"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57"/>
              <w:jc w:val="right"/>
              <w:rPr>
                <w:rFonts w:ascii="Arial" w:hAnsi="Arial" w:cs="Arial" w:eastAsia="Arial" w:hint="default"/>
                <w:sz w:val="18"/>
                <w:szCs w:val="18"/>
              </w:rPr>
            </w:pPr>
            <w:r>
              <w:rPr>
                <w:rFonts w:ascii="Arial"/>
                <w:w w:val="99"/>
                <w:sz w:val="18"/>
              </w:rPr>
            </w:r>
            <w:r>
              <w:rPr>
                <w:rFonts w:ascii="Arial"/>
                <w:spacing w:val="-1"/>
                <w:sz w:val="18"/>
                <w:u w:val="thick" w:color="000000"/>
              </w:rPr>
              <w:t>463,990,715</w:t>
            </w:r>
            <w:r>
              <w:rPr>
                <w:rFonts w:ascii="Arial"/>
                <w:spacing w:val="-1"/>
                <w:sz w:val="18"/>
              </w:rPr>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01"/>
              <w:jc w:val="right"/>
              <w:rPr>
                <w:rFonts w:ascii="Arial" w:hAnsi="Arial" w:cs="Arial" w:eastAsia="Arial" w:hint="default"/>
                <w:sz w:val="18"/>
                <w:szCs w:val="18"/>
              </w:rPr>
            </w:pPr>
            <w:r>
              <w:rPr>
                <w:rFonts w:ascii="Arial"/>
                <w:w w:val="99"/>
                <w:sz w:val="18"/>
              </w:rPr>
            </w:r>
            <w:r>
              <w:rPr>
                <w:rFonts w:ascii="Arial"/>
                <w:w w:val="95"/>
                <w:sz w:val="18"/>
                <w:u w:val="thick" w:color="000000"/>
              </w:rPr>
              <w:t>100</w:t>
            </w:r>
            <w:r>
              <w:rPr>
                <w:rFonts w:ascii="Arial"/>
                <w:w w:val="95"/>
                <w:sz w:val="18"/>
              </w:rPr>
            </w:r>
            <w:r>
              <w:rPr>
                <w:rFonts w:ascii="Arial"/>
                <w:sz w:val="18"/>
              </w:rPr>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42"/>
              <w:jc w:val="right"/>
              <w:rPr>
                <w:rFonts w:ascii="Arial" w:hAnsi="Arial" w:cs="Arial" w:eastAsia="Arial" w:hint="default"/>
                <w:sz w:val="18"/>
                <w:szCs w:val="18"/>
              </w:rPr>
            </w:pPr>
            <w:r>
              <w:rPr>
                <w:rFonts w:ascii="Arial"/>
                <w:w w:val="99"/>
                <w:sz w:val="18"/>
              </w:rPr>
            </w:r>
            <w:r>
              <w:rPr>
                <w:rFonts w:ascii="Arial"/>
                <w:spacing w:val="-1"/>
                <w:sz w:val="18"/>
                <w:u w:val="thick" w:color="000000"/>
              </w:rPr>
              <w:t>64,274,223</w:t>
            </w:r>
            <w:r>
              <w:rPr>
                <w:rFonts w:ascii="Arial"/>
                <w:spacing w:val="-1"/>
                <w:sz w:val="18"/>
              </w:rPr>
            </w:r>
          </w:p>
        </w:tc>
        <w:tc>
          <w:tcPr>
            <w:tcW w:w="702" w:type="dxa"/>
            <w:tcBorders>
              <w:top w:val="nil" w:sz="6" w:space="0" w:color="auto"/>
              <w:left w:val="nil" w:sz="6" w:space="0" w:color="auto"/>
              <w:bottom w:val="nil" w:sz="6" w:space="0" w:color="auto"/>
              <w:right w:val="nil" w:sz="6" w:space="0" w:color="auto"/>
            </w:tcBorders>
          </w:tcPr>
          <w:p>
            <w:pPr/>
          </w:p>
        </w:tc>
        <w:tc>
          <w:tcPr>
            <w:tcW w:w="135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76"/>
              <w:jc w:val="right"/>
              <w:rPr>
                <w:rFonts w:ascii="Arial" w:hAnsi="Arial" w:cs="Arial" w:eastAsia="Arial" w:hint="default"/>
                <w:sz w:val="18"/>
                <w:szCs w:val="18"/>
              </w:rPr>
            </w:pPr>
            <w:r>
              <w:rPr>
                <w:rFonts w:ascii="Arial"/>
                <w:w w:val="99"/>
                <w:sz w:val="18"/>
              </w:rPr>
            </w:r>
            <w:r>
              <w:rPr>
                <w:rFonts w:ascii="Arial"/>
                <w:spacing w:val="-1"/>
                <w:sz w:val="18"/>
                <w:u w:val="thick" w:color="000000"/>
              </w:rPr>
              <w:t>553,015,135</w:t>
            </w:r>
            <w:r>
              <w:rPr>
                <w:rFonts w:ascii="Arial"/>
                <w:spacing w:val="-1"/>
                <w:sz w:val="18"/>
              </w:rPr>
            </w:r>
          </w:p>
        </w:tc>
        <w:tc>
          <w:tcPr>
            <w:tcW w:w="468"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10"/>
              <w:jc w:val="right"/>
              <w:rPr>
                <w:rFonts w:ascii="Arial" w:hAnsi="Arial" w:cs="Arial" w:eastAsia="Arial" w:hint="default"/>
                <w:sz w:val="18"/>
                <w:szCs w:val="18"/>
              </w:rPr>
            </w:pPr>
            <w:r>
              <w:rPr>
                <w:rFonts w:ascii="Arial"/>
                <w:w w:val="99"/>
                <w:sz w:val="18"/>
              </w:rPr>
            </w:r>
            <w:r>
              <w:rPr>
                <w:rFonts w:ascii="Arial"/>
                <w:w w:val="95"/>
                <w:sz w:val="18"/>
                <w:u w:val="thick" w:color="000000"/>
              </w:rPr>
              <w:t>100</w:t>
            </w:r>
            <w:r>
              <w:rPr>
                <w:rFonts w:ascii="Arial"/>
                <w:w w:val="95"/>
                <w:sz w:val="18"/>
              </w:rPr>
            </w:r>
            <w:r>
              <w:rPr>
                <w:rFonts w:ascii="Arial"/>
                <w:sz w:val="18"/>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65"/>
              <w:jc w:val="right"/>
              <w:rPr>
                <w:rFonts w:ascii="Arial" w:hAnsi="Arial" w:cs="Arial" w:eastAsia="Arial" w:hint="default"/>
                <w:sz w:val="18"/>
                <w:szCs w:val="18"/>
              </w:rPr>
            </w:pPr>
            <w:r>
              <w:rPr>
                <w:rFonts w:ascii="Arial"/>
                <w:w w:val="99"/>
                <w:sz w:val="18"/>
              </w:rPr>
            </w:r>
            <w:r>
              <w:rPr>
                <w:rFonts w:ascii="Arial"/>
                <w:spacing w:val="-1"/>
                <w:sz w:val="18"/>
                <w:u w:val="thick" w:color="000000"/>
              </w:rPr>
              <w:t>44,693,955</w:t>
            </w:r>
            <w:r>
              <w:rPr>
                <w:rFonts w:ascii="Arial"/>
                <w:spacing w:val="-1"/>
                <w:sz w:val="18"/>
              </w:rPr>
            </w:r>
          </w:p>
        </w:tc>
        <w:tc>
          <w:tcPr>
            <w:tcW w:w="378" w:type="dxa"/>
            <w:tcBorders>
              <w:top w:val="nil" w:sz="6" w:space="0" w:color="auto"/>
              <w:left w:val="nil" w:sz="6" w:space="0" w:color="auto"/>
              <w:bottom w:val="nil" w:sz="6" w:space="0" w:color="auto"/>
              <w:right w:val="nil" w:sz="6" w:space="0" w:color="auto"/>
            </w:tcBorders>
          </w:tcPr>
          <w:p>
            <w:pPr/>
          </w:p>
        </w:tc>
      </w:tr>
    </w:tbl>
    <w:p>
      <w:pPr>
        <w:spacing w:line="240" w:lineRule="auto" w:before="11"/>
        <w:rPr>
          <w:rFonts w:ascii="Arial" w:hAnsi="Arial" w:cs="Arial" w:eastAsia="Arial" w:hint="default"/>
          <w:sz w:val="7"/>
          <w:szCs w:val="7"/>
        </w:rPr>
      </w:pPr>
    </w:p>
    <w:p>
      <w:pPr>
        <w:pStyle w:val="BodyText"/>
        <w:spacing w:line="240" w:lineRule="auto" w:before="37"/>
        <w:ind w:right="0"/>
        <w:jc w:val="left"/>
      </w:pP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日，单项金额虽不重大但单独计提坏账准备的应收账款情况如下：</w:t>
      </w:r>
    </w:p>
    <w:p>
      <w:pPr>
        <w:spacing w:line="240" w:lineRule="auto" w:before="8"/>
        <w:rPr>
          <w:rFonts w:ascii="黑体" w:hAnsi="黑体" w:cs="黑体" w:eastAsia="黑体" w:hint="default"/>
          <w:sz w:val="28"/>
          <w:szCs w:val="28"/>
        </w:rPr>
      </w:pPr>
    </w:p>
    <w:tbl>
      <w:tblPr>
        <w:tblW w:w="0" w:type="auto"/>
        <w:jc w:val="left"/>
        <w:tblInd w:w="628" w:type="dxa"/>
        <w:tblLayout w:type="fixed"/>
        <w:tblCellMar>
          <w:top w:w="0" w:type="dxa"/>
          <w:left w:w="0" w:type="dxa"/>
          <w:bottom w:w="0" w:type="dxa"/>
          <w:right w:w="0" w:type="dxa"/>
        </w:tblCellMar>
        <w:tblLook w:val="01E0"/>
      </w:tblPr>
      <w:tblGrid>
        <w:gridCol w:w="2989"/>
        <w:gridCol w:w="1398"/>
        <w:gridCol w:w="1065"/>
        <w:gridCol w:w="1206"/>
        <w:gridCol w:w="1833"/>
      </w:tblGrid>
      <w:tr>
        <w:trPr>
          <w:trHeight w:val="360" w:hRule="exact"/>
        </w:trPr>
        <w:tc>
          <w:tcPr>
            <w:tcW w:w="2989" w:type="dxa"/>
            <w:tcBorders>
              <w:top w:val="nil" w:sz="6" w:space="0" w:color="auto"/>
              <w:left w:val="nil" w:sz="6" w:space="0" w:color="auto"/>
              <w:bottom w:val="nil" w:sz="6" w:space="0" w:color="auto"/>
              <w:right w:val="nil" w:sz="6" w:space="0" w:color="auto"/>
            </w:tcBorders>
          </w:tcPr>
          <w:p>
            <w:pPr/>
          </w:p>
        </w:tc>
        <w:tc>
          <w:tcPr>
            <w:tcW w:w="1398" w:type="dxa"/>
            <w:tcBorders>
              <w:top w:val="nil" w:sz="6" w:space="0" w:color="auto"/>
              <w:left w:val="nil" w:sz="6" w:space="0" w:color="auto"/>
              <w:bottom w:val="nil" w:sz="6" w:space="0" w:color="auto"/>
              <w:right w:val="nil" w:sz="6" w:space="0" w:color="auto"/>
            </w:tcBorders>
          </w:tcPr>
          <w:p>
            <w:pPr>
              <w:pStyle w:val="TableParagraph"/>
              <w:spacing w:line="199" w:lineRule="exact"/>
              <w:ind w:right="121"/>
              <w:jc w:val="right"/>
              <w:rPr>
                <w:rFonts w:ascii="黑体" w:hAnsi="黑体" w:cs="黑体" w:eastAsia="黑体" w:hint="default"/>
                <w:sz w:val="20"/>
                <w:szCs w:val="20"/>
              </w:rPr>
            </w:pPr>
            <w:r>
              <w:rPr>
                <w:rFonts w:ascii="黑体" w:hAnsi="黑体" w:cs="黑体" w:eastAsia="黑体" w:hint="default"/>
                <w:w w:val="95"/>
                <w:sz w:val="20"/>
                <w:szCs w:val="20"/>
              </w:rPr>
              <w:t>账面余额</w:t>
            </w:r>
            <w:r>
              <w:rPr>
                <w:rFonts w:ascii="黑体" w:hAnsi="黑体" w:cs="黑体" w:eastAsia="黑体" w:hint="default"/>
                <w:sz w:val="20"/>
                <w:szCs w:val="20"/>
              </w:rPr>
            </w:r>
          </w:p>
        </w:tc>
        <w:tc>
          <w:tcPr>
            <w:tcW w:w="1065" w:type="dxa"/>
            <w:tcBorders>
              <w:top w:val="nil" w:sz="6" w:space="0" w:color="auto"/>
              <w:left w:val="nil" w:sz="6" w:space="0" w:color="auto"/>
              <w:bottom w:val="nil" w:sz="6" w:space="0" w:color="auto"/>
              <w:right w:val="nil" w:sz="6" w:space="0" w:color="auto"/>
            </w:tcBorders>
          </w:tcPr>
          <w:p>
            <w:pPr>
              <w:pStyle w:val="TableParagraph"/>
              <w:spacing w:line="199" w:lineRule="exact"/>
              <w:ind w:left="142" w:right="0"/>
              <w:jc w:val="center"/>
              <w:rPr>
                <w:rFonts w:ascii="黑体" w:hAnsi="黑体" w:cs="黑体" w:eastAsia="黑体" w:hint="default"/>
                <w:sz w:val="20"/>
                <w:szCs w:val="20"/>
              </w:rPr>
            </w:pPr>
            <w:r>
              <w:rPr>
                <w:rFonts w:ascii="黑体" w:hAnsi="黑体" w:cs="黑体" w:eastAsia="黑体" w:hint="default"/>
                <w:sz w:val="20"/>
                <w:szCs w:val="20"/>
              </w:rPr>
              <w:t>坏账准备</w:t>
            </w:r>
          </w:p>
        </w:tc>
        <w:tc>
          <w:tcPr>
            <w:tcW w:w="1206" w:type="dxa"/>
            <w:tcBorders>
              <w:top w:val="nil" w:sz="6" w:space="0" w:color="auto"/>
              <w:left w:val="nil" w:sz="6" w:space="0" w:color="auto"/>
              <w:bottom w:val="nil" w:sz="6" w:space="0" w:color="auto"/>
              <w:right w:val="nil" w:sz="6" w:space="0" w:color="auto"/>
            </w:tcBorders>
          </w:tcPr>
          <w:p>
            <w:pPr>
              <w:pStyle w:val="TableParagraph"/>
              <w:spacing w:line="214" w:lineRule="exact"/>
              <w:ind w:right="33"/>
              <w:jc w:val="right"/>
              <w:rPr>
                <w:rFonts w:ascii="Arial" w:hAnsi="Arial" w:cs="Arial" w:eastAsia="Arial" w:hint="default"/>
                <w:sz w:val="20"/>
                <w:szCs w:val="20"/>
              </w:rPr>
            </w:pPr>
            <w:r>
              <w:rPr>
                <w:rFonts w:ascii="黑体" w:hAnsi="黑体" w:cs="黑体" w:eastAsia="黑体" w:hint="default"/>
                <w:w w:val="95"/>
                <w:sz w:val="20"/>
                <w:szCs w:val="20"/>
              </w:rPr>
              <w:t>计提比例</w:t>
            </w:r>
            <w:r>
              <w:rPr>
                <w:rFonts w:ascii="Arial" w:hAnsi="Arial" w:cs="Arial" w:eastAsia="Arial" w:hint="default"/>
                <w:w w:val="95"/>
                <w:sz w:val="20"/>
                <w:szCs w:val="20"/>
              </w:rPr>
              <w:t>(%)</w:t>
            </w:r>
            <w:r>
              <w:rPr>
                <w:rFonts w:ascii="Arial" w:hAnsi="Arial" w:cs="Arial" w:eastAsia="Arial" w:hint="default"/>
                <w:sz w:val="20"/>
                <w:szCs w:val="20"/>
              </w:rPr>
            </w:r>
          </w:p>
        </w:tc>
        <w:tc>
          <w:tcPr>
            <w:tcW w:w="1833" w:type="dxa"/>
            <w:tcBorders>
              <w:top w:val="nil" w:sz="6" w:space="0" w:color="auto"/>
              <w:left w:val="nil" w:sz="6" w:space="0" w:color="auto"/>
              <w:bottom w:val="nil" w:sz="6" w:space="0" w:color="auto"/>
              <w:right w:val="nil" w:sz="6" w:space="0" w:color="auto"/>
            </w:tcBorders>
          </w:tcPr>
          <w:p>
            <w:pPr>
              <w:pStyle w:val="TableParagraph"/>
              <w:spacing w:line="199" w:lineRule="exact"/>
              <w:ind w:right="226"/>
              <w:jc w:val="right"/>
              <w:rPr>
                <w:rFonts w:ascii="黑体" w:hAnsi="黑体" w:cs="黑体" w:eastAsia="黑体" w:hint="default"/>
                <w:sz w:val="20"/>
                <w:szCs w:val="20"/>
              </w:rPr>
            </w:pPr>
            <w:r>
              <w:rPr>
                <w:rFonts w:ascii="黑体" w:hAnsi="黑体" w:cs="黑体" w:eastAsia="黑体" w:hint="default"/>
                <w:w w:val="95"/>
                <w:sz w:val="20"/>
                <w:szCs w:val="20"/>
              </w:rPr>
              <w:t>理由</w:t>
            </w:r>
            <w:r>
              <w:rPr>
                <w:rFonts w:ascii="黑体" w:hAnsi="黑体" w:cs="黑体" w:eastAsia="黑体" w:hint="default"/>
                <w:sz w:val="20"/>
                <w:szCs w:val="20"/>
              </w:rPr>
            </w:r>
          </w:p>
        </w:tc>
      </w:tr>
      <w:tr>
        <w:trPr>
          <w:trHeight w:val="383" w:hRule="exact"/>
        </w:trPr>
        <w:tc>
          <w:tcPr>
            <w:tcW w:w="298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00" w:right="0"/>
              <w:jc w:val="left"/>
              <w:rPr>
                <w:rFonts w:ascii="黑体" w:hAnsi="黑体" w:cs="黑体" w:eastAsia="黑体" w:hint="default"/>
                <w:sz w:val="20"/>
                <w:szCs w:val="20"/>
              </w:rPr>
            </w:pPr>
            <w:r>
              <w:rPr>
                <w:rFonts w:ascii="黑体" w:hAnsi="黑体" w:cs="黑体" w:eastAsia="黑体" w:hint="default"/>
                <w:sz w:val="20"/>
                <w:szCs w:val="20"/>
              </w:rPr>
              <w:t>中国机械工业集团公司</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21"/>
              <w:jc w:val="right"/>
              <w:rPr>
                <w:rFonts w:ascii="Arial" w:hAnsi="Arial" w:cs="Arial" w:eastAsia="Arial" w:hint="default"/>
                <w:sz w:val="20"/>
                <w:szCs w:val="20"/>
              </w:rPr>
            </w:pPr>
            <w:r>
              <w:rPr>
                <w:rFonts w:ascii="Arial"/>
                <w:spacing w:val="-1"/>
                <w:w w:val="95"/>
                <w:sz w:val="20"/>
              </w:rPr>
              <w:t>630,000</w:t>
            </w:r>
            <w:r>
              <w:rPr>
                <w:rFonts w:ascii="Arial"/>
                <w:sz w:val="20"/>
              </w:rPr>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19" w:right="0"/>
              <w:jc w:val="center"/>
              <w:rPr>
                <w:rFonts w:ascii="Arial" w:hAnsi="Arial" w:cs="Arial" w:eastAsia="Arial" w:hint="default"/>
                <w:sz w:val="20"/>
                <w:szCs w:val="20"/>
              </w:rPr>
            </w:pPr>
            <w:r>
              <w:rPr>
                <w:rFonts w:ascii="Arial"/>
                <w:sz w:val="20"/>
              </w:rPr>
              <w:t>630,000</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3"/>
              <w:jc w:val="right"/>
              <w:rPr>
                <w:rFonts w:ascii="Arial" w:hAnsi="Arial" w:cs="Arial" w:eastAsia="Arial" w:hint="default"/>
                <w:sz w:val="20"/>
                <w:szCs w:val="20"/>
              </w:rPr>
            </w:pPr>
            <w:r>
              <w:rPr>
                <w:rFonts w:ascii="Arial"/>
                <w:spacing w:val="-1"/>
                <w:w w:val="95"/>
                <w:sz w:val="20"/>
              </w:rPr>
              <w:t>100</w:t>
            </w:r>
            <w:r>
              <w:rPr>
                <w:rFonts w:ascii="Arial"/>
                <w:sz w:val="20"/>
              </w:rPr>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8"/>
              <w:jc w:val="right"/>
              <w:rPr>
                <w:rFonts w:ascii="黑体" w:hAnsi="黑体" w:cs="黑体" w:eastAsia="黑体" w:hint="default"/>
                <w:sz w:val="20"/>
                <w:szCs w:val="20"/>
              </w:rPr>
            </w:pPr>
            <w:r>
              <w:rPr>
                <w:rFonts w:ascii="黑体" w:hAnsi="黑体" w:cs="黑体" w:eastAsia="黑体" w:hint="default"/>
                <w:w w:val="95"/>
                <w:sz w:val="20"/>
                <w:szCs w:val="20"/>
              </w:rPr>
              <w:t>逾期尚未收回货款</w:t>
            </w:r>
            <w:r>
              <w:rPr>
                <w:rFonts w:ascii="黑体" w:hAnsi="黑体" w:cs="黑体" w:eastAsia="黑体" w:hint="default"/>
                <w:sz w:val="20"/>
                <w:szCs w:val="20"/>
              </w:rPr>
            </w:r>
          </w:p>
        </w:tc>
      </w:tr>
      <w:tr>
        <w:trPr>
          <w:trHeight w:val="254" w:hRule="exact"/>
        </w:trPr>
        <w:tc>
          <w:tcPr>
            <w:tcW w:w="2989"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z w:val="20"/>
                <w:szCs w:val="20"/>
              </w:rPr>
              <w:t>中国免税品集团有限公司</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21"/>
              <w:jc w:val="right"/>
              <w:rPr>
                <w:rFonts w:ascii="Arial" w:hAnsi="Arial" w:cs="Arial" w:eastAsia="Arial" w:hint="default"/>
                <w:sz w:val="20"/>
                <w:szCs w:val="20"/>
              </w:rPr>
            </w:pPr>
            <w:r>
              <w:rPr>
                <w:rFonts w:ascii="Arial"/>
                <w:spacing w:val="-1"/>
                <w:w w:val="95"/>
                <w:sz w:val="20"/>
              </w:rPr>
              <w:t>668,150</w:t>
            </w:r>
            <w:r>
              <w:rPr>
                <w:rFonts w:ascii="Arial"/>
                <w:sz w:val="20"/>
              </w:rPr>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6"/>
              <w:ind w:left="219" w:right="0"/>
              <w:jc w:val="center"/>
              <w:rPr>
                <w:rFonts w:ascii="Arial" w:hAnsi="Arial" w:cs="Arial" w:eastAsia="Arial" w:hint="default"/>
                <w:sz w:val="20"/>
                <w:szCs w:val="20"/>
              </w:rPr>
            </w:pPr>
            <w:r>
              <w:rPr>
                <w:rFonts w:ascii="Arial"/>
                <w:sz w:val="20"/>
              </w:rPr>
              <w:t>668,150</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20"/>
                <w:szCs w:val="20"/>
              </w:rPr>
            </w:pPr>
            <w:r>
              <w:rPr>
                <w:rFonts w:ascii="Arial"/>
                <w:spacing w:val="-1"/>
                <w:w w:val="95"/>
                <w:sz w:val="20"/>
              </w:rPr>
              <w:t>100</w:t>
            </w:r>
            <w:r>
              <w:rPr>
                <w:rFonts w:ascii="Arial"/>
                <w:sz w:val="20"/>
              </w:rPr>
            </w:r>
          </w:p>
        </w:tc>
        <w:tc>
          <w:tcPr>
            <w:tcW w:w="1833" w:type="dxa"/>
            <w:tcBorders>
              <w:top w:val="nil" w:sz="6" w:space="0" w:color="auto"/>
              <w:left w:val="nil" w:sz="6" w:space="0" w:color="auto"/>
              <w:bottom w:val="nil" w:sz="6" w:space="0" w:color="auto"/>
              <w:right w:val="nil" w:sz="6" w:space="0" w:color="auto"/>
            </w:tcBorders>
          </w:tcPr>
          <w:p>
            <w:pPr>
              <w:pStyle w:val="TableParagraph"/>
              <w:spacing w:line="222" w:lineRule="exact"/>
              <w:ind w:right="198"/>
              <w:jc w:val="right"/>
              <w:rPr>
                <w:rFonts w:ascii="黑体" w:hAnsi="黑体" w:cs="黑体" w:eastAsia="黑体" w:hint="default"/>
                <w:sz w:val="20"/>
                <w:szCs w:val="20"/>
              </w:rPr>
            </w:pPr>
            <w:r>
              <w:rPr>
                <w:rFonts w:ascii="黑体" w:hAnsi="黑体" w:cs="黑体" w:eastAsia="黑体" w:hint="default"/>
                <w:w w:val="95"/>
                <w:sz w:val="20"/>
                <w:szCs w:val="20"/>
              </w:rPr>
              <w:t>逾期尚未收回货款</w:t>
            </w:r>
            <w:r>
              <w:rPr>
                <w:rFonts w:ascii="黑体" w:hAnsi="黑体" w:cs="黑体" w:eastAsia="黑体" w:hint="default"/>
                <w:sz w:val="20"/>
                <w:szCs w:val="20"/>
              </w:rPr>
            </w:r>
          </w:p>
        </w:tc>
      </w:tr>
      <w:tr>
        <w:trPr>
          <w:trHeight w:val="256" w:hRule="exact"/>
        </w:trPr>
        <w:tc>
          <w:tcPr>
            <w:tcW w:w="2989"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pacing w:val="-7"/>
                <w:sz w:val="20"/>
                <w:szCs w:val="20"/>
              </w:rPr>
              <w:t>永泰房地产（集团）有限公司</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21"/>
              <w:jc w:val="right"/>
              <w:rPr>
                <w:rFonts w:ascii="Arial" w:hAnsi="Arial" w:cs="Arial" w:eastAsia="Arial" w:hint="default"/>
                <w:sz w:val="20"/>
                <w:szCs w:val="20"/>
              </w:rPr>
            </w:pPr>
            <w:r>
              <w:rPr>
                <w:rFonts w:ascii="Arial"/>
                <w:spacing w:val="-1"/>
                <w:w w:val="95"/>
                <w:sz w:val="20"/>
              </w:rPr>
              <w:t>536,500</w:t>
            </w:r>
            <w:r>
              <w:rPr>
                <w:rFonts w:ascii="Arial"/>
                <w:sz w:val="20"/>
              </w:rPr>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6"/>
              <w:ind w:left="219" w:right="0"/>
              <w:jc w:val="center"/>
              <w:rPr>
                <w:rFonts w:ascii="Arial" w:hAnsi="Arial" w:cs="Arial" w:eastAsia="Arial" w:hint="default"/>
                <w:sz w:val="20"/>
                <w:szCs w:val="20"/>
              </w:rPr>
            </w:pPr>
            <w:r>
              <w:rPr>
                <w:rFonts w:ascii="Arial"/>
                <w:sz w:val="20"/>
              </w:rPr>
              <w:t>536,500</w:t>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20"/>
                <w:szCs w:val="20"/>
              </w:rPr>
            </w:pPr>
            <w:r>
              <w:rPr>
                <w:rFonts w:ascii="Arial"/>
                <w:spacing w:val="-1"/>
                <w:w w:val="95"/>
                <w:sz w:val="20"/>
              </w:rPr>
              <w:t>100</w:t>
            </w:r>
            <w:r>
              <w:rPr>
                <w:rFonts w:ascii="Arial"/>
                <w:sz w:val="20"/>
              </w:rPr>
            </w:r>
          </w:p>
        </w:tc>
        <w:tc>
          <w:tcPr>
            <w:tcW w:w="1833" w:type="dxa"/>
            <w:tcBorders>
              <w:top w:val="nil" w:sz="6" w:space="0" w:color="auto"/>
              <w:left w:val="nil" w:sz="6" w:space="0" w:color="auto"/>
              <w:bottom w:val="nil" w:sz="6" w:space="0" w:color="auto"/>
              <w:right w:val="nil" w:sz="6" w:space="0" w:color="auto"/>
            </w:tcBorders>
          </w:tcPr>
          <w:p>
            <w:pPr>
              <w:pStyle w:val="TableParagraph"/>
              <w:spacing w:line="222" w:lineRule="exact"/>
              <w:ind w:right="198"/>
              <w:jc w:val="right"/>
              <w:rPr>
                <w:rFonts w:ascii="黑体" w:hAnsi="黑体" w:cs="黑体" w:eastAsia="黑体" w:hint="default"/>
                <w:sz w:val="20"/>
                <w:szCs w:val="20"/>
              </w:rPr>
            </w:pPr>
            <w:r>
              <w:rPr>
                <w:rFonts w:ascii="黑体" w:hAnsi="黑体" w:cs="黑体" w:eastAsia="黑体" w:hint="default"/>
                <w:w w:val="95"/>
                <w:sz w:val="20"/>
                <w:szCs w:val="20"/>
              </w:rPr>
              <w:t>逾期尚未收回货款</w:t>
            </w:r>
            <w:r>
              <w:rPr>
                <w:rFonts w:ascii="黑体" w:hAnsi="黑体" w:cs="黑体" w:eastAsia="黑体" w:hint="default"/>
                <w:sz w:val="20"/>
                <w:szCs w:val="20"/>
              </w:rPr>
            </w:r>
          </w:p>
        </w:tc>
      </w:tr>
      <w:tr>
        <w:trPr>
          <w:trHeight w:val="383" w:hRule="exact"/>
        </w:trPr>
        <w:tc>
          <w:tcPr>
            <w:tcW w:w="2989" w:type="dxa"/>
            <w:tcBorders>
              <w:top w:val="nil" w:sz="6" w:space="0" w:color="auto"/>
              <w:left w:val="nil" w:sz="6" w:space="0" w:color="auto"/>
              <w:bottom w:val="nil" w:sz="6" w:space="0" w:color="auto"/>
              <w:right w:val="nil" w:sz="6" w:space="0" w:color="auto"/>
            </w:tcBorders>
          </w:tcPr>
          <w:p>
            <w:pPr>
              <w:pStyle w:val="TableParagraph"/>
              <w:spacing w:line="223" w:lineRule="exact"/>
              <w:ind w:left="200"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2"/>
              <w:jc w:val="right"/>
              <w:rPr>
                <w:rFonts w:ascii="Arial" w:hAnsi="Arial" w:cs="Arial" w:eastAsia="Arial" w:hint="default"/>
                <w:sz w:val="20"/>
                <w:szCs w:val="20"/>
              </w:rPr>
            </w:pPr>
            <w:r>
              <w:rPr>
                <w:rFonts w:ascii="Arial"/>
                <w:w w:val="99"/>
                <w:sz w:val="20"/>
              </w:rPr>
            </w:r>
            <w:r>
              <w:rPr>
                <w:rFonts w:ascii="Arial"/>
                <w:spacing w:val="-1"/>
                <w:sz w:val="20"/>
                <w:u w:val="single" w:color="000000"/>
              </w:rPr>
              <w:t>55,571,781</w:t>
            </w:r>
            <w:r>
              <w:rPr>
                <w:rFonts w:ascii="Arial"/>
                <w:spacing w:val="-1"/>
                <w:sz w:val="20"/>
              </w:rPr>
            </w:r>
            <w:r>
              <w:rPr>
                <w:rFonts w:ascii="Arial"/>
                <w:sz w:val="20"/>
              </w:rPr>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7"/>
              <w:ind w:left="51" w:right="0"/>
              <w:jc w:val="center"/>
              <w:rPr>
                <w:rFonts w:ascii="Arial" w:hAnsi="Arial" w:cs="Arial" w:eastAsia="Arial" w:hint="default"/>
                <w:sz w:val="20"/>
                <w:szCs w:val="20"/>
              </w:rPr>
            </w:pPr>
            <w:r>
              <w:rPr>
                <w:rFonts w:ascii="Arial"/>
                <w:w w:val="99"/>
                <w:sz w:val="20"/>
              </w:rPr>
            </w:r>
            <w:r>
              <w:rPr>
                <w:rFonts w:ascii="Arial"/>
                <w:sz w:val="20"/>
                <w:u w:val="single" w:color="000000"/>
              </w:rPr>
              <w:t>6,425,183</w:t>
            </w:r>
            <w:r>
              <w:rPr>
                <w:rFonts w:ascii="Arial"/>
                <w:sz w:val="20"/>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2"/>
              <w:jc w:val="right"/>
              <w:rPr>
                <w:rFonts w:ascii="Arial" w:hAnsi="Arial" w:cs="Arial" w:eastAsia="Arial" w:hint="default"/>
                <w:sz w:val="20"/>
                <w:szCs w:val="20"/>
              </w:rPr>
            </w:pPr>
            <w:r>
              <w:rPr>
                <w:rFonts w:ascii="Arial"/>
                <w:spacing w:val="-1"/>
                <w:sz w:val="20"/>
              </w:rPr>
              <w:t>12</w:t>
            </w:r>
          </w:p>
        </w:tc>
        <w:tc>
          <w:tcPr>
            <w:tcW w:w="1833" w:type="dxa"/>
            <w:tcBorders>
              <w:top w:val="nil" w:sz="6" w:space="0" w:color="auto"/>
              <w:left w:val="nil" w:sz="6" w:space="0" w:color="auto"/>
              <w:bottom w:val="nil" w:sz="6" w:space="0" w:color="auto"/>
              <w:right w:val="nil" w:sz="6" w:space="0" w:color="auto"/>
            </w:tcBorders>
          </w:tcPr>
          <w:p>
            <w:pPr>
              <w:pStyle w:val="TableParagraph"/>
              <w:spacing w:line="223" w:lineRule="exact"/>
              <w:ind w:right="198"/>
              <w:jc w:val="right"/>
              <w:rPr>
                <w:rFonts w:ascii="黑体" w:hAnsi="黑体" w:cs="黑体" w:eastAsia="黑体" w:hint="default"/>
                <w:sz w:val="20"/>
                <w:szCs w:val="20"/>
              </w:rPr>
            </w:pPr>
            <w:r>
              <w:rPr>
                <w:rFonts w:ascii="黑体" w:hAnsi="黑体" w:cs="黑体" w:eastAsia="黑体" w:hint="default"/>
                <w:w w:val="95"/>
                <w:sz w:val="20"/>
                <w:szCs w:val="20"/>
              </w:rPr>
              <w:t>逾期尚未收回货款</w:t>
            </w:r>
            <w:r>
              <w:rPr>
                <w:rFonts w:ascii="黑体" w:hAnsi="黑体" w:cs="黑体" w:eastAsia="黑体" w:hint="default"/>
                <w:sz w:val="20"/>
                <w:szCs w:val="20"/>
              </w:rPr>
            </w:r>
          </w:p>
        </w:tc>
      </w:tr>
      <w:tr>
        <w:trPr>
          <w:trHeight w:val="359" w:hRule="exact"/>
        </w:trPr>
        <w:tc>
          <w:tcPr>
            <w:tcW w:w="298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0" w:right="0"/>
              <w:jc w:val="left"/>
              <w:rPr>
                <w:rFonts w:ascii="黑体" w:hAnsi="黑体" w:cs="黑体" w:eastAsia="黑体" w:hint="default"/>
                <w:sz w:val="20"/>
                <w:szCs w:val="20"/>
              </w:rPr>
            </w:pPr>
            <w:r>
              <w:rPr>
                <w:rFonts w:ascii="黑体" w:hAnsi="黑体" w:cs="黑体" w:eastAsia="黑体" w:hint="default"/>
                <w:sz w:val="20"/>
                <w:szCs w:val="20"/>
              </w:rPr>
              <w:t>合计</w:t>
            </w:r>
          </w:p>
        </w:tc>
        <w:tc>
          <w:tcPr>
            <w:tcW w:w="1398"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12"/>
              <w:jc w:val="right"/>
              <w:rPr>
                <w:rFonts w:ascii="Arial" w:hAnsi="Arial" w:cs="Arial" w:eastAsia="Arial" w:hint="default"/>
                <w:sz w:val="20"/>
                <w:szCs w:val="20"/>
              </w:rPr>
            </w:pPr>
            <w:r>
              <w:rPr>
                <w:rFonts w:ascii="Arial"/>
                <w:w w:val="99"/>
                <w:sz w:val="20"/>
              </w:rPr>
            </w:r>
            <w:r>
              <w:rPr>
                <w:rFonts w:ascii="Arial"/>
                <w:spacing w:val="-1"/>
                <w:sz w:val="20"/>
                <w:u w:val="thick" w:color="000000"/>
              </w:rPr>
              <w:t>57,406,431</w:t>
            </w:r>
            <w:r>
              <w:rPr>
                <w:rFonts w:ascii="Arial"/>
                <w:spacing w:val="-1"/>
                <w:sz w:val="20"/>
              </w:rPr>
            </w:r>
            <w:r>
              <w:rPr>
                <w:rFonts w:ascii="Arial"/>
                <w:sz w:val="20"/>
              </w:rPr>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51" w:right="0"/>
              <w:jc w:val="center"/>
              <w:rPr>
                <w:rFonts w:ascii="Arial" w:hAnsi="Arial" w:cs="Arial" w:eastAsia="Arial" w:hint="default"/>
                <w:sz w:val="20"/>
                <w:szCs w:val="20"/>
              </w:rPr>
            </w:pPr>
            <w:r>
              <w:rPr>
                <w:rFonts w:ascii="Arial"/>
                <w:w w:val="99"/>
                <w:sz w:val="20"/>
              </w:rPr>
            </w:r>
            <w:r>
              <w:rPr>
                <w:rFonts w:ascii="Arial"/>
                <w:sz w:val="20"/>
                <w:u w:val="thick" w:color="000000"/>
              </w:rPr>
              <w:t>8,259,833</w:t>
            </w:r>
            <w:r>
              <w:rPr>
                <w:rFonts w:ascii="Arial"/>
                <w:sz w:val="20"/>
              </w:rPr>
            </w:r>
          </w:p>
        </w:tc>
        <w:tc>
          <w:tcPr>
            <w:tcW w:w="1206"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3"/>
              <w:jc w:val="right"/>
              <w:rPr>
                <w:rFonts w:ascii="Arial" w:hAnsi="Arial" w:cs="Arial" w:eastAsia="Arial" w:hint="default"/>
                <w:sz w:val="20"/>
                <w:szCs w:val="20"/>
              </w:rPr>
            </w:pPr>
            <w:r>
              <w:rPr>
                <w:rFonts w:ascii="Arial"/>
                <w:spacing w:val="-1"/>
                <w:w w:val="95"/>
                <w:sz w:val="20"/>
              </w:rPr>
              <w:t>14</w:t>
            </w:r>
            <w:r>
              <w:rPr>
                <w:rFonts w:ascii="Arial"/>
                <w:sz w:val="20"/>
              </w:rPr>
            </w:r>
          </w:p>
        </w:tc>
        <w:tc>
          <w:tcPr>
            <w:tcW w:w="1833" w:type="dxa"/>
            <w:tcBorders>
              <w:top w:val="nil" w:sz="6" w:space="0" w:color="auto"/>
              <w:left w:val="nil" w:sz="6" w:space="0" w:color="auto"/>
              <w:bottom w:val="nil" w:sz="6" w:space="0" w:color="auto"/>
              <w:right w:val="nil" w:sz="6" w:space="0" w:color="auto"/>
            </w:tcBorders>
          </w:tcPr>
          <w:p>
            <w:pPr/>
          </w:p>
        </w:tc>
      </w:tr>
    </w:tbl>
    <w:p>
      <w:pPr>
        <w:spacing w:line="240" w:lineRule="auto" w:before="9"/>
        <w:rPr>
          <w:rFonts w:ascii="黑体" w:hAnsi="黑体" w:cs="黑体" w:eastAsia="黑体" w:hint="default"/>
          <w:sz w:val="19"/>
          <w:szCs w:val="19"/>
        </w:rPr>
      </w:pPr>
    </w:p>
    <w:p>
      <w:pPr>
        <w:pStyle w:val="BodyText"/>
        <w:spacing w:line="240" w:lineRule="auto" w:before="37"/>
        <w:ind w:right="0"/>
        <w:jc w:val="left"/>
      </w:pPr>
      <w:r>
        <w:rPr/>
        <w:t>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日，单项金额虽不重大但单独计提坏账准备的应收账款情况如下：</w:t>
      </w:r>
    </w:p>
    <w:p>
      <w:pPr>
        <w:spacing w:line="240" w:lineRule="auto" w:before="8"/>
        <w:rPr>
          <w:rFonts w:ascii="黑体" w:hAnsi="黑体" w:cs="黑体" w:eastAsia="黑体" w:hint="default"/>
          <w:sz w:val="28"/>
          <w:szCs w:val="28"/>
        </w:rPr>
      </w:pPr>
    </w:p>
    <w:tbl>
      <w:tblPr>
        <w:tblW w:w="0" w:type="auto"/>
        <w:jc w:val="left"/>
        <w:tblInd w:w="628" w:type="dxa"/>
        <w:tblLayout w:type="fixed"/>
        <w:tblCellMar>
          <w:top w:w="0" w:type="dxa"/>
          <w:left w:w="0" w:type="dxa"/>
          <w:bottom w:w="0" w:type="dxa"/>
          <w:right w:w="0" w:type="dxa"/>
        </w:tblCellMar>
        <w:tblLook w:val="01E0"/>
      </w:tblPr>
      <w:tblGrid>
        <w:gridCol w:w="2996"/>
        <w:gridCol w:w="1399"/>
        <w:gridCol w:w="1057"/>
        <w:gridCol w:w="1205"/>
        <w:gridCol w:w="1833"/>
      </w:tblGrid>
      <w:tr>
        <w:trPr>
          <w:trHeight w:val="360" w:hRule="exact"/>
        </w:trPr>
        <w:tc>
          <w:tcPr>
            <w:tcW w:w="2996"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199" w:lineRule="exact"/>
              <w:ind w:right="107"/>
              <w:jc w:val="right"/>
              <w:rPr>
                <w:rFonts w:ascii="黑体" w:hAnsi="黑体" w:cs="黑体" w:eastAsia="黑体" w:hint="default"/>
                <w:sz w:val="20"/>
                <w:szCs w:val="20"/>
              </w:rPr>
            </w:pPr>
            <w:r>
              <w:rPr>
                <w:rFonts w:ascii="黑体" w:hAnsi="黑体" w:cs="黑体" w:eastAsia="黑体" w:hint="default"/>
                <w:w w:val="95"/>
                <w:sz w:val="20"/>
                <w:szCs w:val="20"/>
              </w:rPr>
              <w:t>账面余额</w:t>
            </w:r>
            <w:r>
              <w:rPr>
                <w:rFonts w:ascii="黑体" w:hAnsi="黑体" w:cs="黑体" w:eastAsia="黑体" w:hint="default"/>
                <w:sz w:val="20"/>
                <w:szCs w:val="20"/>
              </w:rPr>
            </w:r>
          </w:p>
        </w:tc>
        <w:tc>
          <w:tcPr>
            <w:tcW w:w="1057" w:type="dxa"/>
            <w:tcBorders>
              <w:top w:val="nil" w:sz="6" w:space="0" w:color="auto"/>
              <w:left w:val="nil" w:sz="6" w:space="0" w:color="auto"/>
              <w:bottom w:val="nil" w:sz="6" w:space="0" w:color="auto"/>
              <w:right w:val="nil" w:sz="6" w:space="0" w:color="auto"/>
            </w:tcBorders>
          </w:tcPr>
          <w:p>
            <w:pPr>
              <w:pStyle w:val="TableParagraph"/>
              <w:spacing w:line="199" w:lineRule="exact"/>
              <w:ind w:left="137" w:right="0"/>
              <w:jc w:val="center"/>
              <w:rPr>
                <w:rFonts w:ascii="黑体" w:hAnsi="黑体" w:cs="黑体" w:eastAsia="黑体" w:hint="default"/>
                <w:sz w:val="20"/>
                <w:szCs w:val="20"/>
              </w:rPr>
            </w:pPr>
            <w:r>
              <w:rPr>
                <w:rFonts w:ascii="黑体" w:hAnsi="黑体" w:cs="黑体" w:eastAsia="黑体" w:hint="default"/>
                <w:sz w:val="20"/>
                <w:szCs w:val="20"/>
              </w:rPr>
              <w:t>坏账准备</w:t>
            </w:r>
          </w:p>
        </w:tc>
        <w:tc>
          <w:tcPr>
            <w:tcW w:w="1205" w:type="dxa"/>
            <w:tcBorders>
              <w:top w:val="nil" w:sz="6" w:space="0" w:color="auto"/>
              <w:left w:val="nil" w:sz="6" w:space="0" w:color="auto"/>
              <w:bottom w:val="nil" w:sz="6" w:space="0" w:color="auto"/>
              <w:right w:val="nil" w:sz="6" w:space="0" w:color="auto"/>
            </w:tcBorders>
          </w:tcPr>
          <w:p>
            <w:pPr>
              <w:pStyle w:val="TableParagraph"/>
              <w:spacing w:line="214" w:lineRule="exact"/>
              <w:ind w:right="33"/>
              <w:jc w:val="right"/>
              <w:rPr>
                <w:rFonts w:ascii="Arial" w:hAnsi="Arial" w:cs="Arial" w:eastAsia="Arial" w:hint="default"/>
                <w:sz w:val="20"/>
                <w:szCs w:val="20"/>
              </w:rPr>
            </w:pPr>
            <w:r>
              <w:rPr>
                <w:rFonts w:ascii="黑体" w:hAnsi="黑体" w:cs="黑体" w:eastAsia="黑体" w:hint="default"/>
                <w:w w:val="95"/>
                <w:sz w:val="20"/>
                <w:szCs w:val="20"/>
              </w:rPr>
              <w:t>计提比例</w:t>
            </w:r>
            <w:r>
              <w:rPr>
                <w:rFonts w:ascii="Arial" w:hAnsi="Arial" w:cs="Arial" w:eastAsia="Arial" w:hint="default"/>
                <w:w w:val="95"/>
                <w:sz w:val="20"/>
                <w:szCs w:val="20"/>
              </w:rPr>
              <w:t>(%)</w:t>
            </w:r>
            <w:r>
              <w:rPr>
                <w:rFonts w:ascii="Arial" w:hAnsi="Arial" w:cs="Arial" w:eastAsia="Arial" w:hint="default"/>
                <w:sz w:val="20"/>
                <w:szCs w:val="20"/>
              </w:rPr>
            </w:r>
          </w:p>
        </w:tc>
        <w:tc>
          <w:tcPr>
            <w:tcW w:w="1833" w:type="dxa"/>
            <w:tcBorders>
              <w:top w:val="nil" w:sz="6" w:space="0" w:color="auto"/>
              <w:left w:val="nil" w:sz="6" w:space="0" w:color="auto"/>
              <w:bottom w:val="nil" w:sz="6" w:space="0" w:color="auto"/>
              <w:right w:val="nil" w:sz="6" w:space="0" w:color="auto"/>
            </w:tcBorders>
          </w:tcPr>
          <w:p>
            <w:pPr>
              <w:pStyle w:val="TableParagraph"/>
              <w:spacing w:line="199" w:lineRule="exact"/>
              <w:ind w:right="198"/>
              <w:jc w:val="right"/>
              <w:rPr>
                <w:rFonts w:ascii="黑体" w:hAnsi="黑体" w:cs="黑体" w:eastAsia="黑体" w:hint="default"/>
                <w:sz w:val="20"/>
                <w:szCs w:val="20"/>
              </w:rPr>
            </w:pPr>
            <w:r>
              <w:rPr>
                <w:rFonts w:ascii="黑体" w:hAnsi="黑体" w:cs="黑体" w:eastAsia="黑体" w:hint="default"/>
                <w:w w:val="95"/>
                <w:sz w:val="20"/>
                <w:szCs w:val="20"/>
              </w:rPr>
              <w:t>理由</w:t>
            </w:r>
            <w:r>
              <w:rPr>
                <w:rFonts w:ascii="黑体" w:hAnsi="黑体" w:cs="黑体" w:eastAsia="黑体" w:hint="default"/>
                <w:sz w:val="20"/>
                <w:szCs w:val="20"/>
              </w:rPr>
            </w:r>
          </w:p>
        </w:tc>
      </w:tr>
      <w:tr>
        <w:trPr>
          <w:trHeight w:val="383"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00" w:right="0"/>
              <w:jc w:val="left"/>
              <w:rPr>
                <w:rFonts w:ascii="黑体" w:hAnsi="黑体" w:cs="黑体" w:eastAsia="黑体" w:hint="default"/>
                <w:sz w:val="20"/>
                <w:szCs w:val="20"/>
              </w:rPr>
            </w:pPr>
            <w:r>
              <w:rPr>
                <w:rFonts w:ascii="黑体" w:hAnsi="黑体" w:cs="黑体" w:eastAsia="黑体" w:hint="default"/>
                <w:sz w:val="20"/>
                <w:szCs w:val="20"/>
              </w:rPr>
              <w:t>中国机械工业集团公司</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06"/>
              <w:jc w:val="right"/>
              <w:rPr>
                <w:rFonts w:ascii="Arial" w:hAnsi="Arial" w:cs="Arial" w:eastAsia="Arial" w:hint="default"/>
                <w:sz w:val="20"/>
                <w:szCs w:val="20"/>
              </w:rPr>
            </w:pPr>
            <w:r>
              <w:rPr>
                <w:rFonts w:ascii="Arial"/>
                <w:spacing w:val="-1"/>
                <w:w w:val="95"/>
                <w:sz w:val="20"/>
              </w:rPr>
              <w:t>630,000</w:t>
            </w:r>
            <w:r>
              <w:rPr>
                <w:rFonts w:ascii="Arial"/>
                <w:sz w:val="20"/>
              </w:rPr>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14" w:right="0"/>
              <w:jc w:val="center"/>
              <w:rPr>
                <w:rFonts w:ascii="Arial" w:hAnsi="Arial" w:cs="Arial" w:eastAsia="Arial" w:hint="default"/>
                <w:sz w:val="20"/>
                <w:szCs w:val="20"/>
              </w:rPr>
            </w:pPr>
            <w:r>
              <w:rPr>
                <w:rFonts w:ascii="Arial"/>
                <w:sz w:val="20"/>
              </w:rPr>
              <w:t>630,000</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2"/>
              <w:jc w:val="right"/>
              <w:rPr>
                <w:rFonts w:ascii="Arial" w:hAnsi="Arial" w:cs="Arial" w:eastAsia="Arial" w:hint="default"/>
                <w:sz w:val="20"/>
                <w:szCs w:val="20"/>
              </w:rPr>
            </w:pPr>
            <w:r>
              <w:rPr>
                <w:rFonts w:ascii="Arial"/>
                <w:spacing w:val="-1"/>
                <w:w w:val="95"/>
                <w:sz w:val="20"/>
              </w:rPr>
              <w:t>100</w:t>
            </w:r>
            <w:r>
              <w:rPr>
                <w:rFonts w:ascii="Arial"/>
                <w:sz w:val="20"/>
              </w:rPr>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98"/>
              <w:jc w:val="right"/>
              <w:rPr>
                <w:rFonts w:ascii="黑体" w:hAnsi="黑体" w:cs="黑体" w:eastAsia="黑体" w:hint="default"/>
                <w:sz w:val="20"/>
                <w:szCs w:val="20"/>
              </w:rPr>
            </w:pPr>
            <w:r>
              <w:rPr>
                <w:rFonts w:ascii="黑体" w:hAnsi="黑体" w:cs="黑体" w:eastAsia="黑体" w:hint="default"/>
                <w:w w:val="95"/>
                <w:sz w:val="20"/>
                <w:szCs w:val="20"/>
              </w:rPr>
              <w:t>逾期尚未收回货款</w:t>
            </w:r>
            <w:r>
              <w:rPr>
                <w:rFonts w:ascii="黑体" w:hAnsi="黑体" w:cs="黑体" w:eastAsia="黑体" w:hint="default"/>
                <w:sz w:val="20"/>
                <w:szCs w:val="20"/>
              </w:rPr>
            </w:r>
          </w:p>
        </w:tc>
      </w:tr>
      <w:tr>
        <w:trPr>
          <w:trHeight w:val="254"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z w:val="20"/>
                <w:szCs w:val="20"/>
              </w:rPr>
              <w:t>中国免税品集团有限公司</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6"/>
              <w:jc w:val="right"/>
              <w:rPr>
                <w:rFonts w:ascii="Arial" w:hAnsi="Arial" w:cs="Arial" w:eastAsia="Arial" w:hint="default"/>
                <w:sz w:val="20"/>
                <w:szCs w:val="20"/>
              </w:rPr>
            </w:pPr>
            <w:r>
              <w:rPr>
                <w:rFonts w:ascii="Arial"/>
                <w:spacing w:val="-1"/>
                <w:w w:val="95"/>
                <w:sz w:val="20"/>
              </w:rPr>
              <w:t>668,150</w:t>
            </w:r>
            <w:r>
              <w:rPr>
                <w:rFonts w:ascii="Arial"/>
                <w:sz w:val="20"/>
              </w:rPr>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6"/>
              <w:ind w:left="214" w:right="0"/>
              <w:jc w:val="center"/>
              <w:rPr>
                <w:rFonts w:ascii="Arial" w:hAnsi="Arial" w:cs="Arial" w:eastAsia="Arial" w:hint="default"/>
                <w:sz w:val="20"/>
                <w:szCs w:val="20"/>
              </w:rPr>
            </w:pPr>
            <w:r>
              <w:rPr>
                <w:rFonts w:ascii="Arial"/>
                <w:sz w:val="20"/>
              </w:rPr>
              <w:t>668,150</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2"/>
              <w:jc w:val="right"/>
              <w:rPr>
                <w:rFonts w:ascii="Arial" w:hAnsi="Arial" w:cs="Arial" w:eastAsia="Arial" w:hint="default"/>
                <w:sz w:val="20"/>
                <w:szCs w:val="20"/>
              </w:rPr>
            </w:pPr>
            <w:r>
              <w:rPr>
                <w:rFonts w:ascii="Arial"/>
                <w:spacing w:val="-1"/>
                <w:w w:val="95"/>
                <w:sz w:val="20"/>
              </w:rPr>
              <w:t>100</w:t>
            </w:r>
            <w:r>
              <w:rPr>
                <w:rFonts w:ascii="Arial"/>
                <w:sz w:val="20"/>
              </w:rPr>
            </w:r>
          </w:p>
        </w:tc>
        <w:tc>
          <w:tcPr>
            <w:tcW w:w="1833" w:type="dxa"/>
            <w:tcBorders>
              <w:top w:val="nil" w:sz="6" w:space="0" w:color="auto"/>
              <w:left w:val="nil" w:sz="6" w:space="0" w:color="auto"/>
              <w:bottom w:val="nil" w:sz="6" w:space="0" w:color="auto"/>
              <w:right w:val="nil" w:sz="6" w:space="0" w:color="auto"/>
            </w:tcBorders>
          </w:tcPr>
          <w:p>
            <w:pPr>
              <w:pStyle w:val="TableParagraph"/>
              <w:spacing w:line="222" w:lineRule="exact"/>
              <w:ind w:right="198"/>
              <w:jc w:val="right"/>
              <w:rPr>
                <w:rFonts w:ascii="黑体" w:hAnsi="黑体" w:cs="黑体" w:eastAsia="黑体" w:hint="default"/>
                <w:sz w:val="20"/>
                <w:szCs w:val="20"/>
              </w:rPr>
            </w:pPr>
            <w:r>
              <w:rPr>
                <w:rFonts w:ascii="黑体" w:hAnsi="黑体" w:cs="黑体" w:eastAsia="黑体" w:hint="default"/>
                <w:w w:val="95"/>
                <w:sz w:val="20"/>
                <w:szCs w:val="20"/>
              </w:rPr>
              <w:t>逾期尚未收回货款</w:t>
            </w:r>
            <w:r>
              <w:rPr>
                <w:rFonts w:ascii="黑体" w:hAnsi="黑体" w:cs="黑体" w:eastAsia="黑体" w:hint="default"/>
                <w:sz w:val="20"/>
                <w:szCs w:val="20"/>
              </w:rPr>
            </w:r>
          </w:p>
        </w:tc>
      </w:tr>
      <w:tr>
        <w:trPr>
          <w:trHeight w:val="256"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pacing w:val="-7"/>
                <w:sz w:val="20"/>
                <w:szCs w:val="20"/>
              </w:rPr>
              <w:t>永泰房地产（集团）有限公司</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6"/>
              <w:jc w:val="right"/>
              <w:rPr>
                <w:rFonts w:ascii="Arial" w:hAnsi="Arial" w:cs="Arial" w:eastAsia="Arial" w:hint="default"/>
                <w:sz w:val="20"/>
                <w:szCs w:val="20"/>
              </w:rPr>
            </w:pPr>
            <w:r>
              <w:rPr>
                <w:rFonts w:ascii="Arial"/>
                <w:spacing w:val="-1"/>
                <w:w w:val="95"/>
                <w:sz w:val="20"/>
              </w:rPr>
              <w:t>536,500</w:t>
            </w:r>
            <w:r>
              <w:rPr>
                <w:rFonts w:ascii="Arial"/>
                <w:sz w:val="20"/>
              </w:rPr>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6"/>
              <w:ind w:left="214" w:right="0"/>
              <w:jc w:val="center"/>
              <w:rPr>
                <w:rFonts w:ascii="Arial" w:hAnsi="Arial" w:cs="Arial" w:eastAsia="Arial" w:hint="default"/>
                <w:sz w:val="20"/>
                <w:szCs w:val="20"/>
              </w:rPr>
            </w:pPr>
            <w:r>
              <w:rPr>
                <w:rFonts w:ascii="Arial"/>
                <w:sz w:val="20"/>
              </w:rPr>
              <w:t>536,500</w:t>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2"/>
              <w:jc w:val="right"/>
              <w:rPr>
                <w:rFonts w:ascii="Arial" w:hAnsi="Arial" w:cs="Arial" w:eastAsia="Arial" w:hint="default"/>
                <w:sz w:val="20"/>
                <w:szCs w:val="20"/>
              </w:rPr>
            </w:pPr>
            <w:r>
              <w:rPr>
                <w:rFonts w:ascii="Arial"/>
                <w:spacing w:val="-1"/>
                <w:w w:val="95"/>
                <w:sz w:val="20"/>
              </w:rPr>
              <w:t>100</w:t>
            </w:r>
            <w:r>
              <w:rPr>
                <w:rFonts w:ascii="Arial"/>
                <w:sz w:val="20"/>
              </w:rPr>
            </w:r>
          </w:p>
        </w:tc>
        <w:tc>
          <w:tcPr>
            <w:tcW w:w="1833" w:type="dxa"/>
            <w:tcBorders>
              <w:top w:val="nil" w:sz="6" w:space="0" w:color="auto"/>
              <w:left w:val="nil" w:sz="6" w:space="0" w:color="auto"/>
              <w:bottom w:val="nil" w:sz="6" w:space="0" w:color="auto"/>
              <w:right w:val="nil" w:sz="6" w:space="0" w:color="auto"/>
            </w:tcBorders>
          </w:tcPr>
          <w:p>
            <w:pPr>
              <w:pStyle w:val="TableParagraph"/>
              <w:spacing w:line="222" w:lineRule="exact"/>
              <w:ind w:right="198"/>
              <w:jc w:val="right"/>
              <w:rPr>
                <w:rFonts w:ascii="黑体" w:hAnsi="黑体" w:cs="黑体" w:eastAsia="黑体" w:hint="default"/>
                <w:sz w:val="20"/>
                <w:szCs w:val="20"/>
              </w:rPr>
            </w:pPr>
            <w:r>
              <w:rPr>
                <w:rFonts w:ascii="黑体" w:hAnsi="黑体" w:cs="黑体" w:eastAsia="黑体" w:hint="default"/>
                <w:w w:val="95"/>
                <w:sz w:val="20"/>
                <w:szCs w:val="20"/>
              </w:rPr>
              <w:t>逾期尚未收回货款</w:t>
            </w:r>
            <w:r>
              <w:rPr>
                <w:rFonts w:ascii="黑体" w:hAnsi="黑体" w:cs="黑体" w:eastAsia="黑体" w:hint="default"/>
                <w:sz w:val="20"/>
                <w:szCs w:val="20"/>
              </w:rPr>
            </w:r>
          </w:p>
        </w:tc>
      </w:tr>
      <w:tr>
        <w:trPr>
          <w:trHeight w:val="383"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23" w:lineRule="exact"/>
              <w:ind w:left="200"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6"/>
              <w:jc w:val="right"/>
              <w:rPr>
                <w:rFonts w:ascii="Arial" w:hAnsi="Arial" w:cs="Arial" w:eastAsia="Arial" w:hint="default"/>
                <w:sz w:val="20"/>
                <w:szCs w:val="20"/>
              </w:rPr>
            </w:pPr>
            <w:r>
              <w:rPr>
                <w:rFonts w:ascii="Arial"/>
                <w:w w:val="99"/>
                <w:sz w:val="20"/>
              </w:rPr>
            </w:r>
            <w:r>
              <w:rPr>
                <w:rFonts w:ascii="Arial"/>
                <w:spacing w:val="-1"/>
                <w:sz w:val="20"/>
                <w:u w:val="single" w:color="000000"/>
              </w:rPr>
              <w:t>12,903,251</w:t>
            </w:r>
            <w:r>
              <w:rPr>
                <w:rFonts w:ascii="Arial"/>
                <w:spacing w:val="-1"/>
                <w:sz w:val="20"/>
              </w:rPr>
            </w:r>
            <w:r>
              <w:rPr>
                <w:rFonts w:ascii="Arial"/>
                <w:sz w:val="20"/>
              </w:rPr>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7"/>
              <w:ind w:left="46" w:right="0"/>
              <w:jc w:val="center"/>
              <w:rPr>
                <w:rFonts w:ascii="Arial" w:hAnsi="Arial" w:cs="Arial" w:eastAsia="Arial" w:hint="default"/>
                <w:sz w:val="20"/>
                <w:szCs w:val="20"/>
              </w:rPr>
            </w:pPr>
            <w:r>
              <w:rPr>
                <w:rFonts w:ascii="Arial"/>
                <w:w w:val="99"/>
                <w:sz w:val="20"/>
              </w:rPr>
            </w:r>
            <w:r>
              <w:rPr>
                <w:rFonts w:ascii="Arial"/>
                <w:sz w:val="20"/>
                <w:u w:val="single" w:color="000000"/>
              </w:rPr>
              <w:t>2,279,485</w:t>
            </w:r>
            <w:r>
              <w:rPr>
                <w:rFonts w:ascii="Arial"/>
                <w:sz w:val="20"/>
              </w:rPr>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2"/>
              <w:jc w:val="right"/>
              <w:rPr>
                <w:rFonts w:ascii="Arial" w:hAnsi="Arial" w:cs="Arial" w:eastAsia="Arial" w:hint="default"/>
                <w:sz w:val="20"/>
                <w:szCs w:val="20"/>
              </w:rPr>
            </w:pPr>
            <w:r>
              <w:rPr>
                <w:rFonts w:ascii="Arial"/>
                <w:spacing w:val="-1"/>
                <w:w w:val="95"/>
                <w:sz w:val="20"/>
              </w:rPr>
              <w:t>18</w:t>
            </w:r>
            <w:r>
              <w:rPr>
                <w:rFonts w:ascii="Arial"/>
                <w:sz w:val="20"/>
              </w:rPr>
            </w:r>
          </w:p>
        </w:tc>
        <w:tc>
          <w:tcPr>
            <w:tcW w:w="1833" w:type="dxa"/>
            <w:tcBorders>
              <w:top w:val="nil" w:sz="6" w:space="0" w:color="auto"/>
              <w:left w:val="nil" w:sz="6" w:space="0" w:color="auto"/>
              <w:bottom w:val="nil" w:sz="6" w:space="0" w:color="auto"/>
              <w:right w:val="nil" w:sz="6" w:space="0" w:color="auto"/>
            </w:tcBorders>
          </w:tcPr>
          <w:p>
            <w:pPr>
              <w:pStyle w:val="TableParagraph"/>
              <w:spacing w:line="223" w:lineRule="exact"/>
              <w:ind w:right="198"/>
              <w:jc w:val="right"/>
              <w:rPr>
                <w:rFonts w:ascii="黑体" w:hAnsi="黑体" w:cs="黑体" w:eastAsia="黑体" w:hint="default"/>
                <w:sz w:val="20"/>
                <w:szCs w:val="20"/>
              </w:rPr>
            </w:pPr>
            <w:r>
              <w:rPr>
                <w:rFonts w:ascii="黑体" w:hAnsi="黑体" w:cs="黑体" w:eastAsia="黑体" w:hint="default"/>
                <w:w w:val="95"/>
                <w:sz w:val="20"/>
                <w:szCs w:val="20"/>
              </w:rPr>
              <w:t>逾期尚未收回货款</w:t>
            </w:r>
            <w:r>
              <w:rPr>
                <w:rFonts w:ascii="黑体" w:hAnsi="黑体" w:cs="黑体" w:eastAsia="黑体" w:hint="default"/>
                <w:sz w:val="20"/>
                <w:szCs w:val="20"/>
              </w:rPr>
            </w:r>
          </w:p>
        </w:tc>
      </w:tr>
      <w:tr>
        <w:trPr>
          <w:trHeight w:val="359" w:hRule="exact"/>
        </w:trPr>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0" w:right="0"/>
              <w:jc w:val="left"/>
              <w:rPr>
                <w:rFonts w:ascii="黑体" w:hAnsi="黑体" w:cs="黑体" w:eastAsia="黑体" w:hint="default"/>
                <w:sz w:val="20"/>
                <w:szCs w:val="20"/>
              </w:rPr>
            </w:pPr>
            <w:r>
              <w:rPr>
                <w:rFonts w:ascii="黑体" w:hAnsi="黑体" w:cs="黑体" w:eastAsia="黑体" w:hint="default"/>
                <w:sz w:val="20"/>
                <w:szCs w:val="20"/>
              </w:rPr>
              <w:t>合计</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06"/>
              <w:jc w:val="right"/>
              <w:rPr>
                <w:rFonts w:ascii="Arial" w:hAnsi="Arial" w:cs="Arial" w:eastAsia="Arial" w:hint="default"/>
                <w:sz w:val="20"/>
                <w:szCs w:val="20"/>
              </w:rPr>
            </w:pPr>
            <w:r>
              <w:rPr>
                <w:rFonts w:ascii="Arial"/>
                <w:w w:val="99"/>
                <w:sz w:val="20"/>
              </w:rPr>
            </w:r>
            <w:r>
              <w:rPr>
                <w:rFonts w:ascii="Arial"/>
                <w:spacing w:val="-1"/>
                <w:sz w:val="20"/>
                <w:u w:val="thick" w:color="000000"/>
              </w:rPr>
              <w:t>14,737,901</w:t>
            </w:r>
            <w:r>
              <w:rPr>
                <w:rFonts w:ascii="Arial"/>
                <w:spacing w:val="-1"/>
                <w:sz w:val="20"/>
              </w:rPr>
            </w:r>
            <w:r>
              <w:rPr>
                <w:rFonts w:ascii="Arial"/>
                <w:sz w:val="20"/>
              </w:rPr>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46" w:right="0"/>
              <w:jc w:val="center"/>
              <w:rPr>
                <w:rFonts w:ascii="Arial" w:hAnsi="Arial" w:cs="Arial" w:eastAsia="Arial" w:hint="default"/>
                <w:sz w:val="20"/>
                <w:szCs w:val="20"/>
              </w:rPr>
            </w:pPr>
            <w:r>
              <w:rPr>
                <w:rFonts w:ascii="Arial"/>
                <w:w w:val="99"/>
                <w:sz w:val="20"/>
              </w:rPr>
            </w:r>
            <w:r>
              <w:rPr>
                <w:rFonts w:ascii="Arial"/>
                <w:sz w:val="20"/>
                <w:u w:val="thick" w:color="000000"/>
              </w:rPr>
              <w:t>4,114,135</w:t>
            </w:r>
            <w:r>
              <w:rPr>
                <w:rFonts w:ascii="Arial"/>
                <w:sz w:val="20"/>
              </w:rPr>
            </w:r>
          </w:p>
        </w:tc>
        <w:tc>
          <w:tcPr>
            <w:tcW w:w="1205"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2"/>
              <w:jc w:val="right"/>
              <w:rPr>
                <w:rFonts w:ascii="Arial" w:hAnsi="Arial" w:cs="Arial" w:eastAsia="Arial" w:hint="default"/>
                <w:sz w:val="20"/>
                <w:szCs w:val="20"/>
              </w:rPr>
            </w:pPr>
            <w:r>
              <w:rPr>
                <w:rFonts w:ascii="Arial"/>
                <w:spacing w:val="-1"/>
                <w:w w:val="95"/>
                <w:sz w:val="20"/>
              </w:rPr>
              <w:t>28</w:t>
            </w:r>
            <w:r>
              <w:rPr>
                <w:rFonts w:ascii="Arial"/>
                <w:sz w:val="20"/>
              </w:rPr>
            </w:r>
          </w:p>
        </w:tc>
        <w:tc>
          <w:tcPr>
            <w:tcW w:w="1833" w:type="dxa"/>
            <w:tcBorders>
              <w:top w:val="nil" w:sz="6" w:space="0" w:color="auto"/>
              <w:left w:val="nil" w:sz="6" w:space="0" w:color="auto"/>
              <w:bottom w:val="nil" w:sz="6" w:space="0" w:color="auto"/>
              <w:right w:val="nil" w:sz="6" w:space="0" w:color="auto"/>
            </w:tcBorders>
          </w:tcPr>
          <w:p>
            <w:pPr/>
          </w:p>
        </w:tc>
      </w:tr>
    </w:tbl>
    <w:p>
      <w:pPr>
        <w:spacing w:line="240" w:lineRule="auto" w:before="1"/>
        <w:rPr>
          <w:rFonts w:ascii="黑体" w:hAnsi="黑体" w:cs="黑体" w:eastAsia="黑体" w:hint="default"/>
          <w:sz w:val="26"/>
          <w:szCs w:val="26"/>
        </w:rPr>
      </w:pPr>
    </w:p>
    <w:p>
      <w:pPr>
        <w:pStyle w:val="BodyText"/>
        <w:spacing w:line="268" w:lineRule="exact" w:before="37"/>
        <w:ind w:right="0"/>
        <w:jc w:val="left"/>
      </w:pP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日，本账户余额中无持有本公司</w:t>
      </w:r>
      <w:r>
        <w:rPr>
          <w:rFonts w:ascii="Arial" w:hAnsi="Arial" w:cs="Arial" w:eastAsia="Arial" w:hint="default"/>
        </w:rPr>
        <w:t>5%</w:t>
      </w:r>
      <w:r>
        <w:rPr/>
        <w:t>或以上表决权股份的股东单位的欠款</w:t>
      </w:r>
    </w:p>
    <w:p>
      <w:pPr>
        <w:pStyle w:val="BodyText"/>
        <w:spacing w:line="424" w:lineRule="auto"/>
        <w:ind w:left="813" w:right="5170"/>
        <w:jc w:val="left"/>
      </w:pPr>
      <w:r>
        <w:rPr/>
        <w:t>（</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日：无）。</w:t>
      </w:r>
      <w:r>
        <w:rPr>
          <w:w w:val="99"/>
        </w:rPr>
        <w:t> </w:t>
      </w:r>
      <w:r>
        <w:rPr/>
        <w:t>应收关联方款项详见附注十三、</w:t>
      </w:r>
      <w:r>
        <w:rPr>
          <w:rFonts w:ascii="Arial" w:hAnsi="Arial" w:cs="Arial" w:eastAsia="Arial" w:hint="default"/>
        </w:rPr>
        <w:t>42</w:t>
      </w:r>
      <w:r>
        <w:rPr/>
        <w:t>。</w:t>
      </w:r>
    </w:p>
    <w:p>
      <w:pPr>
        <w:spacing w:after="0" w:line="424" w:lineRule="auto"/>
        <w:jc w:val="left"/>
        <w:sectPr>
          <w:pgSz w:w="11910" w:h="16850"/>
          <w:pgMar w:header="957" w:footer="384" w:top="2560" w:bottom="580" w:left="1600" w:right="1080"/>
        </w:sectPr>
      </w:pPr>
    </w:p>
    <w:p>
      <w:pPr>
        <w:spacing w:line="240" w:lineRule="auto" w:before="11"/>
        <w:rPr>
          <w:rFonts w:ascii="黑体" w:hAnsi="黑体" w:cs="黑体" w:eastAsia="黑体" w:hint="default"/>
          <w:sz w:val="14"/>
          <w:szCs w:val="14"/>
        </w:rPr>
      </w:pPr>
    </w:p>
    <w:p>
      <w:pPr>
        <w:pStyle w:val="Heading6"/>
        <w:spacing w:line="240" w:lineRule="auto"/>
        <w:ind w:right="0"/>
        <w:jc w:val="left"/>
        <w:rPr>
          <w:b w:val="0"/>
          <w:bCs w:val="0"/>
        </w:rPr>
      </w:pPr>
      <w:r>
        <w:rPr/>
        <w:t>十三、公司财务报表主要项目注释（续）</w:t>
      </w:r>
      <w:r>
        <w:rPr>
          <w:b w:val="0"/>
          <w:bCs w:val="0"/>
        </w:rPr>
      </w:r>
    </w:p>
    <w:p>
      <w:pPr>
        <w:spacing w:line="240" w:lineRule="auto" w:before="1"/>
        <w:rPr>
          <w:rFonts w:ascii="黑体" w:hAnsi="黑体" w:cs="黑体" w:eastAsia="黑体" w:hint="default"/>
          <w:b/>
          <w:bCs/>
          <w:sz w:val="17"/>
          <w:szCs w:val="17"/>
        </w:rPr>
      </w:pPr>
    </w:p>
    <w:p>
      <w:pPr>
        <w:pStyle w:val="Heading6"/>
        <w:tabs>
          <w:tab w:pos="641" w:val="left" w:leader="none"/>
        </w:tabs>
        <w:spacing w:line="240" w:lineRule="auto" w:before="0"/>
        <w:ind w:right="0"/>
        <w:jc w:val="left"/>
        <w:rPr>
          <w:b w:val="0"/>
          <w:bCs w:val="0"/>
        </w:rPr>
      </w:pPr>
      <w:r>
        <w:rPr>
          <w:rFonts w:ascii="Arial" w:hAnsi="Arial" w:cs="Arial" w:eastAsia="Arial" w:hint="default"/>
          <w:spacing w:val="-1"/>
          <w:w w:val="95"/>
        </w:rPr>
        <w:t>4</w:t>
      </w:r>
      <w:r>
        <w:rPr>
          <w:spacing w:val="-1"/>
          <w:w w:val="95"/>
        </w:rPr>
        <w:t>．</w:t>
        <w:tab/>
      </w:r>
      <w:r>
        <w:rPr>
          <w:spacing w:val="2"/>
        </w:rPr>
        <w:t>预付款项</w:t>
      </w:r>
      <w:r>
        <w:rPr>
          <w:b w:val="0"/>
          <w:bCs w:val="0"/>
        </w:rPr>
      </w:r>
    </w:p>
    <w:p>
      <w:pPr>
        <w:spacing w:line="240" w:lineRule="auto" w:before="2"/>
        <w:rPr>
          <w:rFonts w:ascii="黑体" w:hAnsi="黑体" w:cs="黑体" w:eastAsia="黑体" w:hint="default"/>
          <w:b/>
          <w:bCs/>
          <w:sz w:val="14"/>
          <w:szCs w:val="14"/>
        </w:rPr>
      </w:pPr>
    </w:p>
    <w:p>
      <w:pPr>
        <w:pStyle w:val="BodyText"/>
        <w:spacing w:line="240" w:lineRule="auto"/>
        <w:ind w:right="0"/>
        <w:jc w:val="left"/>
      </w:pPr>
      <w:r>
        <w:rPr/>
        <w:t>预付款项的账龄分析如下：</w:t>
      </w:r>
    </w:p>
    <w:p>
      <w:pPr>
        <w:spacing w:line="240" w:lineRule="auto" w:before="12"/>
        <w:rPr>
          <w:rFonts w:ascii="黑体" w:hAnsi="黑体" w:cs="黑体" w:eastAsia="黑体" w:hint="default"/>
          <w:sz w:val="20"/>
          <w:szCs w:val="20"/>
        </w:rPr>
      </w:pPr>
    </w:p>
    <w:tbl>
      <w:tblPr>
        <w:tblW w:w="0" w:type="auto"/>
        <w:jc w:val="left"/>
        <w:tblInd w:w="628" w:type="dxa"/>
        <w:tblLayout w:type="fixed"/>
        <w:tblCellMar>
          <w:top w:w="0" w:type="dxa"/>
          <w:left w:w="0" w:type="dxa"/>
          <w:bottom w:w="0" w:type="dxa"/>
          <w:right w:w="0" w:type="dxa"/>
        </w:tblCellMar>
        <w:tblLook w:val="01E0"/>
      </w:tblPr>
      <w:tblGrid>
        <w:gridCol w:w="2337"/>
        <w:gridCol w:w="2356"/>
        <w:gridCol w:w="1040"/>
        <w:gridCol w:w="1591"/>
        <w:gridCol w:w="967"/>
      </w:tblGrid>
      <w:tr>
        <w:trPr>
          <w:trHeight w:val="238" w:hRule="exact"/>
        </w:trPr>
        <w:tc>
          <w:tcPr>
            <w:tcW w:w="5733" w:type="dxa"/>
            <w:gridSpan w:val="3"/>
            <w:tcBorders>
              <w:top w:val="nil" w:sz="6" w:space="0" w:color="auto"/>
              <w:left w:val="nil" w:sz="6" w:space="0" w:color="auto"/>
              <w:bottom w:val="nil" w:sz="6" w:space="0" w:color="auto"/>
              <w:right w:val="nil" w:sz="6" w:space="0" w:color="auto"/>
            </w:tcBorders>
          </w:tcPr>
          <w:p>
            <w:pPr>
              <w:pStyle w:val="TableParagraph"/>
              <w:spacing w:line="214" w:lineRule="exact"/>
              <w:ind w:left="3658" w:right="0"/>
              <w:jc w:val="left"/>
              <w:rPr>
                <w:rFonts w:ascii="黑体" w:hAnsi="黑体" w:cs="黑体" w:eastAsia="黑体" w:hint="default"/>
                <w:sz w:val="20"/>
                <w:szCs w:val="20"/>
              </w:rPr>
            </w:pPr>
            <w:r>
              <w:rPr>
                <w:rFonts w:ascii="Arial" w:hAnsi="Arial" w:cs="Arial" w:eastAsia="Arial" w:hint="default"/>
                <w:sz w:val="20"/>
                <w:szCs w:val="20"/>
              </w:rPr>
              <w:t>2012</w:t>
            </w:r>
            <w:r>
              <w:rPr>
                <w:rFonts w:ascii="Arial" w:hAnsi="Arial" w:cs="Arial" w:eastAsia="Arial" w:hint="default"/>
                <w:spacing w:val="-8"/>
                <w:sz w:val="20"/>
                <w:szCs w:val="20"/>
              </w:rPr>
              <w:t> </w:t>
            </w:r>
            <w:r>
              <w:rPr>
                <w:rFonts w:ascii="黑体" w:hAnsi="黑体" w:cs="黑体" w:eastAsia="黑体" w:hint="default"/>
                <w:sz w:val="20"/>
                <w:szCs w:val="20"/>
              </w:rPr>
              <w:t>年</w:t>
            </w:r>
            <w:r>
              <w:rPr>
                <w:rFonts w:ascii="黑体" w:hAnsi="黑体" w:cs="黑体" w:eastAsia="黑体" w:hint="default"/>
                <w:spacing w:val="-50"/>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黑体" w:hAnsi="黑体" w:cs="黑体" w:eastAsia="黑体" w:hint="default"/>
                <w:sz w:val="20"/>
                <w:szCs w:val="20"/>
              </w:rPr>
              <w:t>月</w:t>
            </w:r>
            <w:r>
              <w:rPr>
                <w:rFonts w:ascii="黑体" w:hAnsi="黑体" w:cs="黑体" w:eastAsia="黑体" w:hint="default"/>
                <w:spacing w:val="-52"/>
                <w:sz w:val="20"/>
                <w:szCs w:val="20"/>
              </w:rPr>
              <w:t> </w:t>
            </w:r>
            <w:r>
              <w:rPr>
                <w:rFonts w:ascii="Arial" w:hAnsi="Arial" w:cs="Arial" w:eastAsia="Arial" w:hint="default"/>
                <w:sz w:val="20"/>
                <w:szCs w:val="20"/>
              </w:rPr>
              <w:t>31</w:t>
            </w:r>
            <w:r>
              <w:rPr>
                <w:rFonts w:ascii="Arial" w:hAnsi="Arial" w:cs="Arial" w:eastAsia="Arial" w:hint="default"/>
                <w:spacing w:val="-8"/>
                <w:sz w:val="20"/>
                <w:szCs w:val="20"/>
              </w:rPr>
              <w:t> </w:t>
            </w:r>
            <w:r>
              <w:rPr>
                <w:rFonts w:ascii="黑体" w:hAnsi="黑体" w:cs="黑体" w:eastAsia="黑体" w:hint="default"/>
                <w:sz w:val="20"/>
                <w:szCs w:val="20"/>
              </w:rPr>
              <w:t>日</w:t>
            </w:r>
          </w:p>
        </w:tc>
        <w:tc>
          <w:tcPr>
            <w:tcW w:w="2559" w:type="dxa"/>
            <w:gridSpan w:val="2"/>
            <w:tcBorders>
              <w:top w:val="nil" w:sz="6" w:space="0" w:color="auto"/>
              <w:left w:val="nil" w:sz="6" w:space="0" w:color="auto"/>
              <w:bottom w:val="nil" w:sz="6" w:space="0" w:color="auto"/>
              <w:right w:val="nil" w:sz="6" w:space="0" w:color="auto"/>
            </w:tcBorders>
          </w:tcPr>
          <w:p>
            <w:pPr>
              <w:pStyle w:val="TableParagraph"/>
              <w:spacing w:line="214" w:lineRule="exact"/>
              <w:ind w:left="618" w:right="0"/>
              <w:jc w:val="left"/>
              <w:rPr>
                <w:rFonts w:ascii="黑体" w:hAnsi="黑体" w:cs="黑体" w:eastAsia="黑体" w:hint="default"/>
                <w:sz w:val="20"/>
                <w:szCs w:val="20"/>
              </w:rPr>
            </w:pPr>
            <w:r>
              <w:rPr>
                <w:rFonts w:ascii="Arial" w:hAnsi="Arial" w:cs="Arial" w:eastAsia="Arial" w:hint="default"/>
                <w:sz w:val="20"/>
                <w:szCs w:val="20"/>
              </w:rPr>
              <w:t>2011</w:t>
            </w:r>
            <w:r>
              <w:rPr>
                <w:rFonts w:ascii="Arial" w:hAnsi="Arial" w:cs="Arial" w:eastAsia="Arial" w:hint="default"/>
                <w:spacing w:val="-8"/>
                <w:sz w:val="20"/>
                <w:szCs w:val="20"/>
              </w:rPr>
              <w:t> </w:t>
            </w:r>
            <w:r>
              <w:rPr>
                <w:rFonts w:ascii="黑体" w:hAnsi="黑体" w:cs="黑体" w:eastAsia="黑体" w:hint="default"/>
                <w:sz w:val="20"/>
                <w:szCs w:val="20"/>
              </w:rPr>
              <w:t>年</w:t>
            </w:r>
            <w:r>
              <w:rPr>
                <w:rFonts w:ascii="黑体" w:hAnsi="黑体" w:cs="黑体" w:eastAsia="黑体" w:hint="default"/>
                <w:spacing w:val="-50"/>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黑体" w:hAnsi="黑体" w:cs="黑体" w:eastAsia="黑体" w:hint="default"/>
                <w:sz w:val="20"/>
                <w:szCs w:val="20"/>
              </w:rPr>
              <w:t>月</w:t>
            </w:r>
            <w:r>
              <w:rPr>
                <w:rFonts w:ascii="黑体" w:hAnsi="黑体" w:cs="黑体" w:eastAsia="黑体" w:hint="default"/>
                <w:spacing w:val="-52"/>
                <w:sz w:val="20"/>
                <w:szCs w:val="20"/>
              </w:rPr>
              <w:t> </w:t>
            </w:r>
            <w:r>
              <w:rPr>
                <w:rFonts w:ascii="Arial" w:hAnsi="Arial" w:cs="Arial" w:eastAsia="Arial" w:hint="default"/>
                <w:sz w:val="20"/>
                <w:szCs w:val="20"/>
              </w:rPr>
              <w:t>31</w:t>
            </w:r>
            <w:r>
              <w:rPr>
                <w:rFonts w:ascii="Arial" w:hAnsi="Arial" w:cs="Arial" w:eastAsia="Arial" w:hint="default"/>
                <w:spacing w:val="-8"/>
                <w:sz w:val="20"/>
                <w:szCs w:val="20"/>
              </w:rPr>
              <w:t> </w:t>
            </w:r>
            <w:r>
              <w:rPr>
                <w:rFonts w:ascii="黑体" w:hAnsi="黑体" w:cs="黑体" w:eastAsia="黑体" w:hint="default"/>
                <w:sz w:val="20"/>
                <w:szCs w:val="20"/>
              </w:rPr>
              <w:t>日</w:t>
            </w:r>
          </w:p>
        </w:tc>
      </w:tr>
      <w:tr>
        <w:trPr>
          <w:trHeight w:val="263" w:hRule="exact"/>
        </w:trPr>
        <w:tc>
          <w:tcPr>
            <w:tcW w:w="2337" w:type="dxa"/>
            <w:tcBorders>
              <w:top w:val="nil" w:sz="6" w:space="0" w:color="auto"/>
              <w:left w:val="nil" w:sz="6" w:space="0" w:color="auto"/>
              <w:bottom w:val="nil" w:sz="6" w:space="0" w:color="auto"/>
              <w:right w:val="nil" w:sz="6" w:space="0" w:color="auto"/>
            </w:tcBorders>
          </w:tcPr>
          <w:p>
            <w:pPr/>
          </w:p>
        </w:tc>
        <w:tc>
          <w:tcPr>
            <w:tcW w:w="2356" w:type="dxa"/>
            <w:tcBorders>
              <w:top w:val="nil" w:sz="6" w:space="0" w:color="auto"/>
              <w:left w:val="nil" w:sz="6" w:space="0" w:color="auto"/>
              <w:bottom w:val="nil" w:sz="6" w:space="0" w:color="auto"/>
              <w:right w:val="nil" w:sz="6" w:space="0" w:color="auto"/>
            </w:tcBorders>
          </w:tcPr>
          <w:p>
            <w:pPr>
              <w:pStyle w:val="TableParagraph"/>
              <w:spacing w:line="228" w:lineRule="exact"/>
              <w:ind w:right="305"/>
              <w:jc w:val="right"/>
              <w:rPr>
                <w:rFonts w:ascii="黑体" w:hAnsi="黑体" w:cs="黑体" w:eastAsia="黑体" w:hint="default"/>
                <w:sz w:val="20"/>
                <w:szCs w:val="20"/>
              </w:rPr>
            </w:pPr>
            <w:r>
              <w:rPr>
                <w:rFonts w:ascii="黑体" w:hAnsi="黑体" w:cs="黑体" w:eastAsia="黑体" w:hint="default"/>
                <w:w w:val="95"/>
                <w:sz w:val="20"/>
                <w:szCs w:val="20"/>
              </w:rPr>
              <w:t>账面</w:t>
            </w:r>
            <w:r>
              <w:rPr>
                <w:rFonts w:ascii="黑体" w:hAnsi="黑体" w:cs="黑体" w:eastAsia="黑体" w:hint="default"/>
                <w:sz w:val="20"/>
                <w:szCs w:val="20"/>
              </w:rPr>
            </w:r>
          </w:p>
        </w:tc>
        <w:tc>
          <w:tcPr>
            <w:tcW w:w="1040" w:type="dxa"/>
            <w:tcBorders>
              <w:top w:val="nil" w:sz="6" w:space="0" w:color="auto"/>
              <w:left w:val="nil" w:sz="6" w:space="0" w:color="auto"/>
              <w:bottom w:val="nil" w:sz="6" w:space="0" w:color="auto"/>
              <w:right w:val="nil" w:sz="6" w:space="0" w:color="auto"/>
            </w:tcBorders>
          </w:tcPr>
          <w:p>
            <w:pPr>
              <w:pStyle w:val="TableParagraph"/>
              <w:spacing w:line="228" w:lineRule="exact"/>
              <w:ind w:right="334"/>
              <w:jc w:val="right"/>
              <w:rPr>
                <w:rFonts w:ascii="黑体" w:hAnsi="黑体" w:cs="黑体" w:eastAsia="黑体" w:hint="default"/>
                <w:sz w:val="20"/>
                <w:szCs w:val="20"/>
              </w:rPr>
            </w:pPr>
            <w:r>
              <w:rPr>
                <w:rFonts w:ascii="黑体" w:hAnsi="黑体" w:cs="黑体" w:eastAsia="黑体" w:hint="default"/>
                <w:w w:val="95"/>
                <w:sz w:val="20"/>
                <w:szCs w:val="20"/>
              </w:rPr>
              <w:t>比例</w:t>
            </w:r>
            <w:r>
              <w:rPr>
                <w:rFonts w:ascii="黑体" w:hAnsi="黑体" w:cs="黑体" w:eastAsia="黑体" w:hint="default"/>
                <w:sz w:val="20"/>
                <w:szCs w:val="20"/>
              </w:rPr>
            </w:r>
          </w:p>
        </w:tc>
        <w:tc>
          <w:tcPr>
            <w:tcW w:w="1591" w:type="dxa"/>
            <w:tcBorders>
              <w:top w:val="nil" w:sz="6" w:space="0" w:color="auto"/>
              <w:left w:val="nil" w:sz="6" w:space="0" w:color="auto"/>
              <w:bottom w:val="nil" w:sz="6" w:space="0" w:color="auto"/>
              <w:right w:val="nil" w:sz="6" w:space="0" w:color="auto"/>
            </w:tcBorders>
          </w:tcPr>
          <w:p>
            <w:pPr>
              <w:pStyle w:val="TableParagraph"/>
              <w:spacing w:line="228" w:lineRule="exact"/>
              <w:ind w:right="366"/>
              <w:jc w:val="right"/>
              <w:rPr>
                <w:rFonts w:ascii="黑体" w:hAnsi="黑体" w:cs="黑体" w:eastAsia="黑体" w:hint="default"/>
                <w:sz w:val="20"/>
                <w:szCs w:val="20"/>
              </w:rPr>
            </w:pPr>
            <w:r>
              <w:rPr>
                <w:rFonts w:ascii="黑体" w:hAnsi="黑体" w:cs="黑体" w:eastAsia="黑体" w:hint="default"/>
                <w:w w:val="95"/>
                <w:sz w:val="20"/>
                <w:szCs w:val="20"/>
              </w:rPr>
              <w:t>账面</w:t>
            </w:r>
            <w:r>
              <w:rPr>
                <w:rFonts w:ascii="黑体" w:hAnsi="黑体" w:cs="黑体" w:eastAsia="黑体" w:hint="default"/>
                <w:sz w:val="20"/>
                <w:szCs w:val="20"/>
              </w:rPr>
            </w:r>
          </w:p>
        </w:tc>
        <w:tc>
          <w:tcPr>
            <w:tcW w:w="967" w:type="dxa"/>
            <w:tcBorders>
              <w:top w:val="nil" w:sz="6" w:space="0" w:color="auto"/>
              <w:left w:val="nil" w:sz="6" w:space="0" w:color="auto"/>
              <w:bottom w:val="nil" w:sz="6" w:space="0" w:color="auto"/>
              <w:right w:val="nil" w:sz="6" w:space="0" w:color="auto"/>
            </w:tcBorders>
          </w:tcPr>
          <w:p>
            <w:pPr>
              <w:pStyle w:val="TableParagraph"/>
              <w:spacing w:line="228" w:lineRule="exact"/>
              <w:ind w:right="200"/>
              <w:jc w:val="right"/>
              <w:rPr>
                <w:rFonts w:ascii="黑体" w:hAnsi="黑体" w:cs="黑体" w:eastAsia="黑体" w:hint="default"/>
                <w:sz w:val="20"/>
                <w:szCs w:val="20"/>
              </w:rPr>
            </w:pPr>
            <w:r>
              <w:rPr>
                <w:rFonts w:ascii="黑体" w:hAnsi="黑体" w:cs="黑体" w:eastAsia="黑体" w:hint="default"/>
                <w:w w:val="95"/>
                <w:sz w:val="20"/>
                <w:szCs w:val="20"/>
              </w:rPr>
              <w:t>比例</w:t>
            </w:r>
            <w:r>
              <w:rPr>
                <w:rFonts w:ascii="黑体" w:hAnsi="黑体" w:cs="黑体" w:eastAsia="黑体" w:hint="default"/>
                <w:sz w:val="20"/>
                <w:szCs w:val="20"/>
              </w:rPr>
            </w:r>
          </w:p>
        </w:tc>
      </w:tr>
      <w:tr>
        <w:trPr>
          <w:trHeight w:val="413" w:hRule="exact"/>
        </w:trPr>
        <w:tc>
          <w:tcPr>
            <w:tcW w:w="2337" w:type="dxa"/>
            <w:tcBorders>
              <w:top w:val="nil" w:sz="6" w:space="0" w:color="auto"/>
              <w:left w:val="nil" w:sz="6" w:space="0" w:color="auto"/>
              <w:bottom w:val="nil" w:sz="6" w:space="0" w:color="auto"/>
              <w:right w:val="nil" w:sz="6" w:space="0" w:color="auto"/>
            </w:tcBorders>
          </w:tcPr>
          <w:p>
            <w:pPr/>
          </w:p>
        </w:tc>
        <w:tc>
          <w:tcPr>
            <w:tcW w:w="2356" w:type="dxa"/>
            <w:tcBorders>
              <w:top w:val="nil" w:sz="6" w:space="0" w:color="auto"/>
              <w:left w:val="nil" w:sz="6" w:space="0" w:color="auto"/>
              <w:bottom w:val="nil" w:sz="6" w:space="0" w:color="auto"/>
              <w:right w:val="nil" w:sz="6" w:space="0" w:color="auto"/>
            </w:tcBorders>
          </w:tcPr>
          <w:p>
            <w:pPr>
              <w:pStyle w:val="TableParagraph"/>
              <w:spacing w:line="234" w:lineRule="exact"/>
              <w:ind w:right="305"/>
              <w:jc w:val="right"/>
              <w:rPr>
                <w:rFonts w:ascii="黑体" w:hAnsi="黑体" w:cs="黑体" w:eastAsia="黑体" w:hint="default"/>
                <w:sz w:val="20"/>
                <w:szCs w:val="20"/>
              </w:rPr>
            </w:pPr>
            <w:r>
              <w:rPr>
                <w:rFonts w:ascii="黑体" w:hAnsi="黑体" w:cs="黑体" w:eastAsia="黑体" w:hint="default"/>
                <w:w w:val="95"/>
                <w:sz w:val="20"/>
                <w:szCs w:val="20"/>
              </w:rPr>
              <w:t>余额</w:t>
            </w:r>
            <w:r>
              <w:rPr>
                <w:rFonts w:ascii="黑体" w:hAnsi="黑体" w:cs="黑体" w:eastAsia="黑体" w:hint="default"/>
                <w:sz w:val="20"/>
                <w:szCs w:val="20"/>
              </w:rPr>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3"/>
              <w:jc w:val="right"/>
              <w:rPr>
                <w:rFonts w:ascii="Arial" w:hAnsi="Arial" w:cs="Arial" w:eastAsia="Arial" w:hint="default"/>
                <w:sz w:val="20"/>
                <w:szCs w:val="20"/>
              </w:rPr>
            </w:pPr>
            <w:r>
              <w:rPr>
                <w:rFonts w:ascii="Arial"/>
                <w:w w:val="99"/>
                <w:sz w:val="20"/>
              </w:rPr>
              <w:t>%</w:t>
            </w:r>
            <w:r>
              <w:rPr>
                <w:rFonts w:ascii="Arial"/>
                <w:sz w:val="20"/>
              </w:rPr>
            </w:r>
          </w:p>
        </w:tc>
        <w:tc>
          <w:tcPr>
            <w:tcW w:w="1591" w:type="dxa"/>
            <w:tcBorders>
              <w:top w:val="nil" w:sz="6" w:space="0" w:color="auto"/>
              <w:left w:val="nil" w:sz="6" w:space="0" w:color="auto"/>
              <w:bottom w:val="nil" w:sz="6" w:space="0" w:color="auto"/>
              <w:right w:val="nil" w:sz="6" w:space="0" w:color="auto"/>
            </w:tcBorders>
          </w:tcPr>
          <w:p>
            <w:pPr>
              <w:pStyle w:val="TableParagraph"/>
              <w:spacing w:line="234" w:lineRule="exact"/>
              <w:ind w:right="366"/>
              <w:jc w:val="right"/>
              <w:rPr>
                <w:rFonts w:ascii="黑体" w:hAnsi="黑体" w:cs="黑体" w:eastAsia="黑体" w:hint="default"/>
                <w:sz w:val="20"/>
                <w:szCs w:val="20"/>
              </w:rPr>
            </w:pPr>
            <w:r>
              <w:rPr>
                <w:rFonts w:ascii="黑体" w:hAnsi="黑体" w:cs="黑体" w:eastAsia="黑体" w:hint="default"/>
                <w:w w:val="95"/>
                <w:sz w:val="20"/>
                <w:szCs w:val="20"/>
              </w:rPr>
              <w:t>余额</w:t>
            </w:r>
            <w:r>
              <w:rPr>
                <w:rFonts w:ascii="黑体" w:hAnsi="黑体" w:cs="黑体" w:eastAsia="黑体" w:hint="default"/>
                <w:sz w:val="20"/>
                <w:szCs w:val="20"/>
              </w:rPr>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98"/>
              <w:jc w:val="right"/>
              <w:rPr>
                <w:rFonts w:ascii="Arial" w:hAnsi="Arial" w:cs="Arial" w:eastAsia="Arial" w:hint="default"/>
                <w:sz w:val="20"/>
                <w:szCs w:val="20"/>
              </w:rPr>
            </w:pPr>
            <w:r>
              <w:rPr>
                <w:rFonts w:ascii="Arial"/>
                <w:w w:val="99"/>
                <w:sz w:val="20"/>
              </w:rPr>
              <w:t>%</w:t>
            </w:r>
            <w:r>
              <w:rPr>
                <w:rFonts w:ascii="Arial"/>
                <w:sz w:val="20"/>
              </w:rPr>
            </w:r>
          </w:p>
        </w:tc>
      </w:tr>
      <w:tr>
        <w:trPr>
          <w:trHeight w:val="403" w:hRule="exact"/>
        </w:trPr>
        <w:tc>
          <w:tcPr>
            <w:tcW w:w="233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0" w:right="0"/>
              <w:jc w:val="lef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9"/>
                <w:sz w:val="20"/>
                <w:szCs w:val="20"/>
              </w:rPr>
              <w:t> </w:t>
            </w:r>
            <w:r>
              <w:rPr>
                <w:rFonts w:ascii="黑体" w:hAnsi="黑体" w:cs="黑体" w:eastAsia="黑体" w:hint="default"/>
                <w:sz w:val="20"/>
                <w:szCs w:val="20"/>
              </w:rPr>
              <w:t>年以内</w:t>
            </w:r>
          </w:p>
        </w:tc>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303"/>
              <w:jc w:val="right"/>
              <w:rPr>
                <w:rFonts w:ascii="Arial" w:hAnsi="Arial" w:cs="Arial" w:eastAsia="Arial" w:hint="default"/>
                <w:sz w:val="20"/>
                <w:szCs w:val="20"/>
              </w:rPr>
            </w:pPr>
            <w:r>
              <w:rPr>
                <w:rFonts w:ascii="Arial"/>
                <w:spacing w:val="-1"/>
                <w:w w:val="95"/>
                <w:sz w:val="20"/>
              </w:rPr>
              <w:t>6,669,045</w:t>
            </w:r>
            <w:r>
              <w:rPr>
                <w:rFonts w:ascii="Arial"/>
                <w:sz w:val="20"/>
              </w:rPr>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335"/>
              <w:jc w:val="right"/>
              <w:rPr>
                <w:rFonts w:ascii="Arial" w:hAnsi="Arial" w:cs="Arial" w:eastAsia="Arial" w:hint="default"/>
                <w:sz w:val="20"/>
                <w:szCs w:val="20"/>
              </w:rPr>
            </w:pPr>
            <w:r>
              <w:rPr>
                <w:rFonts w:ascii="Arial"/>
                <w:spacing w:val="-1"/>
                <w:w w:val="95"/>
                <w:sz w:val="20"/>
              </w:rPr>
              <w:t>90</w:t>
            </w:r>
            <w:r>
              <w:rPr>
                <w:rFonts w:ascii="Arial"/>
                <w:sz w:val="20"/>
              </w:rPr>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366"/>
              <w:jc w:val="right"/>
              <w:rPr>
                <w:rFonts w:ascii="Arial" w:hAnsi="Arial" w:cs="Arial" w:eastAsia="Arial" w:hint="default"/>
                <w:sz w:val="20"/>
                <w:szCs w:val="20"/>
              </w:rPr>
            </w:pPr>
            <w:r>
              <w:rPr>
                <w:rFonts w:ascii="Arial"/>
                <w:spacing w:val="-1"/>
                <w:sz w:val="20"/>
              </w:rPr>
              <w:t>2,564,196</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200"/>
              <w:jc w:val="right"/>
              <w:rPr>
                <w:rFonts w:ascii="Arial" w:hAnsi="Arial" w:cs="Arial" w:eastAsia="Arial" w:hint="default"/>
                <w:sz w:val="20"/>
                <w:szCs w:val="20"/>
              </w:rPr>
            </w:pPr>
            <w:r>
              <w:rPr>
                <w:rFonts w:ascii="Arial"/>
                <w:spacing w:val="-1"/>
                <w:w w:val="95"/>
                <w:sz w:val="20"/>
              </w:rPr>
              <w:t>97</w:t>
            </w:r>
            <w:r>
              <w:rPr>
                <w:rFonts w:ascii="Arial"/>
                <w:sz w:val="20"/>
              </w:rPr>
            </w:r>
          </w:p>
        </w:tc>
      </w:tr>
      <w:tr>
        <w:trPr>
          <w:trHeight w:val="268" w:hRule="exact"/>
        </w:trPr>
        <w:tc>
          <w:tcPr>
            <w:tcW w:w="2337" w:type="dxa"/>
            <w:tcBorders>
              <w:top w:val="nil" w:sz="6" w:space="0" w:color="auto"/>
              <w:left w:val="nil" w:sz="6" w:space="0" w:color="auto"/>
              <w:bottom w:val="nil" w:sz="6" w:space="0" w:color="auto"/>
              <w:right w:val="nil" w:sz="6" w:space="0" w:color="auto"/>
            </w:tcBorders>
          </w:tcPr>
          <w:p>
            <w:pPr>
              <w:pStyle w:val="TableParagraph"/>
              <w:spacing w:line="236" w:lineRule="exact"/>
              <w:ind w:left="200" w:right="0"/>
              <w:jc w:val="lef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8"/>
                <w:sz w:val="20"/>
                <w:szCs w:val="20"/>
              </w:rPr>
              <w:t> </w:t>
            </w:r>
            <w:r>
              <w:rPr>
                <w:rFonts w:ascii="黑体" w:hAnsi="黑体" w:cs="黑体" w:eastAsia="黑体" w:hint="default"/>
                <w:sz w:val="20"/>
                <w:szCs w:val="20"/>
              </w:rPr>
              <w:t>年至</w:t>
            </w:r>
            <w:r>
              <w:rPr>
                <w:rFonts w:ascii="黑体" w:hAnsi="黑体" w:cs="黑体" w:eastAsia="黑体" w:hint="default"/>
                <w:spacing w:val="-52"/>
                <w:sz w:val="20"/>
                <w:szCs w:val="20"/>
              </w:rPr>
              <w:t> </w:t>
            </w:r>
            <w:r>
              <w:rPr>
                <w:rFonts w:ascii="Arial" w:hAnsi="Arial" w:cs="Arial" w:eastAsia="Arial" w:hint="default"/>
                <w:sz w:val="20"/>
                <w:szCs w:val="20"/>
              </w:rPr>
              <w:t>2</w:t>
            </w:r>
            <w:r>
              <w:rPr>
                <w:rFonts w:ascii="Arial" w:hAnsi="Arial" w:cs="Arial" w:eastAsia="Arial" w:hint="default"/>
                <w:spacing w:val="-8"/>
                <w:sz w:val="20"/>
                <w:szCs w:val="20"/>
              </w:rPr>
              <w:t> </w:t>
            </w:r>
            <w:r>
              <w:rPr>
                <w:rFonts w:ascii="黑体" w:hAnsi="黑体" w:cs="黑体" w:eastAsia="黑体" w:hint="default"/>
                <w:sz w:val="20"/>
                <w:szCs w:val="20"/>
              </w:rPr>
              <w:t>年</w:t>
            </w:r>
          </w:p>
        </w:tc>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04"/>
              <w:jc w:val="right"/>
              <w:rPr>
                <w:rFonts w:ascii="Arial" w:hAnsi="Arial" w:cs="Arial" w:eastAsia="Arial" w:hint="default"/>
                <w:sz w:val="20"/>
                <w:szCs w:val="20"/>
              </w:rPr>
            </w:pPr>
            <w:r>
              <w:rPr>
                <w:rFonts w:ascii="Arial"/>
                <w:spacing w:val="-1"/>
                <w:w w:val="95"/>
                <w:sz w:val="20"/>
              </w:rPr>
              <w:t>737,274</w:t>
            </w:r>
            <w:r>
              <w:rPr>
                <w:rFonts w:ascii="Arial"/>
                <w:sz w:val="20"/>
              </w:rPr>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5"/>
              <w:jc w:val="right"/>
              <w:rPr>
                <w:rFonts w:ascii="Arial" w:hAnsi="Arial" w:cs="Arial" w:eastAsia="Arial" w:hint="default"/>
                <w:sz w:val="20"/>
                <w:szCs w:val="20"/>
              </w:rPr>
            </w:pPr>
            <w:r>
              <w:rPr>
                <w:rFonts w:ascii="Arial"/>
                <w:spacing w:val="-1"/>
                <w:w w:val="95"/>
                <w:sz w:val="20"/>
              </w:rPr>
              <w:t>10</w:t>
            </w:r>
            <w:r>
              <w:rPr>
                <w:rFonts w:ascii="Arial"/>
                <w:sz w:val="20"/>
              </w:rPr>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66"/>
              <w:jc w:val="right"/>
              <w:rPr>
                <w:rFonts w:ascii="Arial" w:hAnsi="Arial" w:cs="Arial" w:eastAsia="Arial" w:hint="default"/>
                <w:sz w:val="20"/>
                <w:szCs w:val="20"/>
              </w:rPr>
            </w:pPr>
            <w:r>
              <w:rPr>
                <w:rFonts w:ascii="Arial"/>
                <w:spacing w:val="-1"/>
                <w:sz w:val="20"/>
              </w:rPr>
              <w:t>67,473</w:t>
            </w:r>
            <w:r>
              <w:rPr>
                <w:rFonts w:ascii="Arial"/>
                <w:sz w:val="20"/>
              </w:rPr>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0"/>
                <w:szCs w:val="20"/>
              </w:rPr>
            </w:pPr>
            <w:r>
              <w:rPr>
                <w:rFonts w:ascii="Arial"/>
                <w:w w:val="99"/>
                <w:sz w:val="20"/>
              </w:rPr>
              <w:t>3</w:t>
            </w:r>
            <w:r>
              <w:rPr>
                <w:rFonts w:ascii="Arial"/>
                <w:sz w:val="20"/>
              </w:rPr>
            </w:r>
          </w:p>
        </w:tc>
      </w:tr>
      <w:tr>
        <w:trPr>
          <w:trHeight w:val="268" w:hRule="exact"/>
        </w:trPr>
        <w:tc>
          <w:tcPr>
            <w:tcW w:w="2337" w:type="dxa"/>
            <w:tcBorders>
              <w:top w:val="nil" w:sz="6" w:space="0" w:color="auto"/>
              <w:left w:val="nil" w:sz="6" w:space="0" w:color="auto"/>
              <w:bottom w:val="nil" w:sz="6" w:space="0" w:color="auto"/>
              <w:right w:val="nil" w:sz="6" w:space="0" w:color="auto"/>
            </w:tcBorders>
          </w:tcPr>
          <w:p>
            <w:pPr>
              <w:pStyle w:val="TableParagraph"/>
              <w:spacing w:line="237" w:lineRule="exact"/>
              <w:ind w:left="200" w:right="0"/>
              <w:jc w:val="left"/>
              <w:rPr>
                <w:rFonts w:ascii="黑体" w:hAnsi="黑体" w:cs="黑体" w:eastAsia="黑体" w:hint="default"/>
                <w:sz w:val="20"/>
                <w:szCs w:val="20"/>
              </w:rPr>
            </w:pPr>
            <w:r>
              <w:rPr>
                <w:rFonts w:ascii="Arial" w:hAnsi="Arial" w:cs="Arial" w:eastAsia="Arial" w:hint="default"/>
                <w:sz w:val="20"/>
                <w:szCs w:val="20"/>
              </w:rPr>
              <w:t>2</w:t>
            </w:r>
            <w:r>
              <w:rPr>
                <w:rFonts w:ascii="Arial" w:hAnsi="Arial" w:cs="Arial" w:eastAsia="Arial" w:hint="default"/>
                <w:spacing w:val="-8"/>
                <w:sz w:val="20"/>
                <w:szCs w:val="20"/>
              </w:rPr>
              <w:t> </w:t>
            </w:r>
            <w:r>
              <w:rPr>
                <w:rFonts w:ascii="黑体" w:hAnsi="黑体" w:cs="黑体" w:eastAsia="黑体" w:hint="default"/>
                <w:sz w:val="20"/>
                <w:szCs w:val="20"/>
              </w:rPr>
              <w:t>年至</w:t>
            </w:r>
            <w:r>
              <w:rPr>
                <w:rFonts w:ascii="黑体" w:hAnsi="黑体" w:cs="黑体" w:eastAsia="黑体" w:hint="default"/>
                <w:spacing w:val="-52"/>
                <w:sz w:val="20"/>
                <w:szCs w:val="20"/>
              </w:rPr>
              <w:t> </w:t>
            </w:r>
            <w:r>
              <w:rPr>
                <w:rFonts w:ascii="Arial" w:hAnsi="Arial" w:cs="Arial" w:eastAsia="Arial" w:hint="default"/>
                <w:sz w:val="20"/>
                <w:szCs w:val="20"/>
              </w:rPr>
              <w:t>3</w:t>
            </w:r>
            <w:r>
              <w:rPr>
                <w:rFonts w:ascii="Arial" w:hAnsi="Arial" w:cs="Arial" w:eastAsia="Arial" w:hint="default"/>
                <w:spacing w:val="-8"/>
                <w:sz w:val="20"/>
                <w:szCs w:val="20"/>
              </w:rPr>
              <w:t> </w:t>
            </w:r>
            <w:r>
              <w:rPr>
                <w:rFonts w:ascii="黑体" w:hAnsi="黑体" w:cs="黑体" w:eastAsia="黑体" w:hint="default"/>
                <w:sz w:val="20"/>
                <w:szCs w:val="20"/>
              </w:rPr>
              <w:t>年</w:t>
            </w:r>
          </w:p>
        </w:tc>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04"/>
              <w:jc w:val="right"/>
              <w:rPr>
                <w:rFonts w:ascii="Arial" w:hAnsi="Arial" w:cs="Arial" w:eastAsia="Arial" w:hint="default"/>
                <w:sz w:val="20"/>
                <w:szCs w:val="20"/>
              </w:rPr>
            </w:pPr>
            <w:r>
              <w:rPr>
                <w:rFonts w:ascii="Arial"/>
                <w:spacing w:val="-1"/>
                <w:sz w:val="20"/>
              </w:rPr>
              <w:t>9,000</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5"/>
              <w:jc w:val="right"/>
              <w:rPr>
                <w:rFonts w:ascii="Arial" w:hAnsi="Arial" w:cs="Arial" w:eastAsia="Arial" w:hint="default"/>
                <w:sz w:val="20"/>
                <w:szCs w:val="20"/>
              </w:rPr>
            </w:pPr>
            <w:r>
              <w:rPr>
                <w:rFonts w:ascii="Arial"/>
                <w:spacing w:val="-2"/>
                <w:w w:val="95"/>
                <w:sz w:val="20"/>
              </w:rPr>
              <w:t>&lt;1</w:t>
            </w:r>
            <w:r>
              <w:rPr>
                <w:rFonts w:ascii="Arial"/>
                <w:sz w:val="20"/>
              </w:rPr>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64"/>
              <w:jc w:val="right"/>
              <w:rPr>
                <w:rFonts w:ascii="Arial" w:hAnsi="Arial" w:cs="Arial" w:eastAsia="Arial" w:hint="default"/>
                <w:sz w:val="20"/>
                <w:szCs w:val="20"/>
              </w:rPr>
            </w:pPr>
            <w:r>
              <w:rPr>
                <w:rFonts w:ascii="Arial"/>
                <w:w w:val="99"/>
                <w:sz w:val="20"/>
              </w:rPr>
              <w:t>-</w:t>
            </w:r>
            <w:r>
              <w:rPr>
                <w:rFonts w:ascii="Arial"/>
                <w:sz w:val="20"/>
              </w:rPr>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9"/>
              <w:jc w:val="right"/>
              <w:rPr>
                <w:rFonts w:ascii="Arial" w:hAnsi="Arial" w:cs="Arial" w:eastAsia="Arial" w:hint="default"/>
                <w:sz w:val="20"/>
                <w:szCs w:val="20"/>
              </w:rPr>
            </w:pPr>
            <w:r>
              <w:rPr>
                <w:rFonts w:ascii="Arial"/>
                <w:w w:val="99"/>
                <w:sz w:val="20"/>
              </w:rPr>
              <w:t>-</w:t>
            </w:r>
            <w:r>
              <w:rPr>
                <w:rFonts w:ascii="Arial"/>
                <w:sz w:val="20"/>
              </w:rPr>
            </w:r>
          </w:p>
        </w:tc>
      </w:tr>
      <w:tr>
        <w:trPr>
          <w:trHeight w:val="414" w:hRule="exact"/>
        </w:trPr>
        <w:tc>
          <w:tcPr>
            <w:tcW w:w="2337" w:type="dxa"/>
            <w:tcBorders>
              <w:top w:val="nil" w:sz="6" w:space="0" w:color="auto"/>
              <w:left w:val="nil" w:sz="6" w:space="0" w:color="auto"/>
              <w:bottom w:val="nil" w:sz="6" w:space="0" w:color="auto"/>
              <w:right w:val="nil" w:sz="6" w:space="0" w:color="auto"/>
            </w:tcBorders>
          </w:tcPr>
          <w:p>
            <w:pPr>
              <w:pStyle w:val="TableParagraph"/>
              <w:spacing w:line="236" w:lineRule="exact"/>
              <w:ind w:left="200" w:right="0"/>
              <w:jc w:val="left"/>
              <w:rPr>
                <w:rFonts w:ascii="黑体" w:hAnsi="黑体" w:cs="黑体" w:eastAsia="黑体" w:hint="default"/>
                <w:sz w:val="20"/>
                <w:szCs w:val="20"/>
              </w:rPr>
            </w:pPr>
            <w:r>
              <w:rPr>
                <w:rFonts w:ascii="Arial" w:hAnsi="Arial" w:cs="Arial" w:eastAsia="Arial" w:hint="default"/>
                <w:sz w:val="20"/>
                <w:szCs w:val="20"/>
              </w:rPr>
              <w:t>3</w:t>
            </w:r>
            <w:r>
              <w:rPr>
                <w:rFonts w:ascii="Arial" w:hAnsi="Arial" w:cs="Arial" w:eastAsia="Arial" w:hint="default"/>
                <w:spacing w:val="-9"/>
                <w:sz w:val="20"/>
                <w:szCs w:val="20"/>
              </w:rPr>
              <w:t> </w:t>
            </w:r>
            <w:r>
              <w:rPr>
                <w:rFonts w:ascii="黑体" w:hAnsi="黑体" w:cs="黑体" w:eastAsia="黑体" w:hint="default"/>
                <w:sz w:val="20"/>
                <w:szCs w:val="20"/>
              </w:rPr>
              <w:t>年以上</w:t>
            </w:r>
          </w:p>
        </w:tc>
        <w:tc>
          <w:tcPr>
            <w:tcW w:w="2356" w:type="dxa"/>
            <w:tcBorders>
              <w:top w:val="nil" w:sz="6" w:space="0" w:color="auto"/>
              <w:left w:val="nil" w:sz="6" w:space="0" w:color="auto"/>
              <w:bottom w:val="nil" w:sz="6" w:space="0" w:color="auto"/>
              <w:right w:val="nil" w:sz="6" w:space="0" w:color="auto"/>
            </w:tcBorders>
          </w:tcPr>
          <w:p>
            <w:pPr>
              <w:pStyle w:val="TableParagraph"/>
              <w:tabs>
                <w:tab w:pos="403" w:val="left" w:leader="none"/>
              </w:tabs>
              <w:spacing w:line="240" w:lineRule="auto" w:before="20"/>
              <w:ind w:right="302"/>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7,123</w:t>
            </w:r>
            <w:r>
              <w:rPr>
                <w:rFonts w:ascii="Arial"/>
                <w:spacing w:val="-1"/>
                <w:w w:val="95"/>
                <w:sz w:val="20"/>
              </w:rPr>
            </w:r>
            <w:r>
              <w:rPr>
                <w:rFonts w:ascii="Arial"/>
                <w:sz w:val="20"/>
              </w:rPr>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3"/>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30"/>
                <w:sz w:val="20"/>
                <w:u w:val="single" w:color="000000"/>
              </w:rPr>
              <w:t> </w:t>
            </w:r>
            <w:r>
              <w:rPr>
                <w:rFonts w:ascii="Arial"/>
                <w:spacing w:val="-2"/>
                <w:w w:val="95"/>
                <w:sz w:val="20"/>
                <w:u w:val="single" w:color="000000"/>
              </w:rPr>
              <w:t>&lt;1</w:t>
            </w:r>
            <w:r>
              <w:rPr>
                <w:rFonts w:ascii="Arial"/>
                <w:spacing w:val="-2"/>
                <w:w w:val="95"/>
                <w:sz w:val="20"/>
              </w:rPr>
            </w:r>
            <w:r>
              <w:rPr>
                <w:rFonts w:ascii="Arial"/>
                <w:sz w:val="20"/>
              </w:rPr>
            </w:r>
          </w:p>
        </w:tc>
        <w:tc>
          <w:tcPr>
            <w:tcW w:w="1591" w:type="dxa"/>
            <w:tcBorders>
              <w:top w:val="nil" w:sz="6" w:space="0" w:color="auto"/>
              <w:left w:val="nil" w:sz="6" w:space="0" w:color="auto"/>
              <w:bottom w:val="nil" w:sz="6" w:space="0" w:color="auto"/>
              <w:right w:val="nil" w:sz="6" w:space="0" w:color="auto"/>
            </w:tcBorders>
          </w:tcPr>
          <w:p>
            <w:pPr>
              <w:pStyle w:val="TableParagraph"/>
              <w:tabs>
                <w:tab w:pos="403" w:val="left" w:leader="none"/>
              </w:tabs>
              <w:spacing w:line="240" w:lineRule="auto" w:before="20"/>
              <w:ind w:right="364"/>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7,123</w:t>
            </w:r>
            <w:r>
              <w:rPr>
                <w:rFonts w:ascii="Arial"/>
                <w:spacing w:val="-1"/>
                <w:w w:val="95"/>
                <w:sz w:val="20"/>
              </w:rPr>
            </w:r>
            <w:r>
              <w:rPr>
                <w:rFonts w:ascii="Arial"/>
                <w:sz w:val="20"/>
              </w:rPr>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99"/>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30"/>
                <w:sz w:val="20"/>
                <w:u w:val="single" w:color="000000"/>
              </w:rPr>
              <w:t> </w:t>
            </w:r>
            <w:r>
              <w:rPr>
                <w:rFonts w:ascii="Arial"/>
                <w:spacing w:val="-2"/>
                <w:w w:val="95"/>
                <w:sz w:val="20"/>
                <w:u w:val="single" w:color="000000"/>
              </w:rPr>
              <w:t>&lt;1</w:t>
            </w:r>
            <w:r>
              <w:rPr>
                <w:rFonts w:ascii="Arial"/>
                <w:spacing w:val="-2"/>
                <w:w w:val="95"/>
                <w:sz w:val="20"/>
              </w:rPr>
            </w:r>
            <w:r>
              <w:rPr>
                <w:rFonts w:ascii="Arial"/>
                <w:sz w:val="20"/>
              </w:rPr>
            </w:r>
          </w:p>
        </w:tc>
      </w:tr>
      <w:tr>
        <w:trPr>
          <w:trHeight w:val="367" w:hRule="exact"/>
        </w:trPr>
        <w:tc>
          <w:tcPr>
            <w:tcW w:w="2337" w:type="dxa"/>
            <w:tcBorders>
              <w:top w:val="nil" w:sz="6" w:space="0" w:color="auto"/>
              <w:left w:val="nil" w:sz="6" w:space="0" w:color="auto"/>
              <w:bottom w:val="nil" w:sz="6" w:space="0" w:color="auto"/>
              <w:right w:val="nil" w:sz="6" w:space="0" w:color="auto"/>
            </w:tcBorders>
          </w:tcPr>
          <w:p>
            <w:pPr/>
          </w:p>
        </w:tc>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05"/>
              <w:jc w:val="right"/>
              <w:rPr>
                <w:rFonts w:ascii="Arial" w:hAnsi="Arial" w:cs="Arial" w:eastAsia="Arial" w:hint="default"/>
                <w:sz w:val="20"/>
                <w:szCs w:val="20"/>
              </w:rPr>
            </w:pPr>
            <w:r>
              <w:rPr>
                <w:rFonts w:ascii="Arial"/>
                <w:w w:val="99"/>
                <w:sz w:val="20"/>
              </w:rPr>
            </w:r>
            <w:r>
              <w:rPr>
                <w:rFonts w:ascii="Arial"/>
                <w:spacing w:val="-1"/>
                <w:sz w:val="20"/>
                <w:u w:val="thick" w:color="000000"/>
              </w:rPr>
              <w:t>7,422,442</w:t>
            </w:r>
            <w:r>
              <w:rPr>
                <w:rFonts w:ascii="Arial"/>
                <w:spacing w:val="-1"/>
                <w:sz w:val="20"/>
              </w:rPr>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35"/>
              <w:jc w:val="right"/>
              <w:rPr>
                <w:rFonts w:ascii="Arial" w:hAnsi="Arial" w:cs="Arial" w:eastAsia="Arial" w:hint="default"/>
                <w:sz w:val="20"/>
                <w:szCs w:val="20"/>
              </w:rPr>
            </w:pPr>
            <w:r>
              <w:rPr>
                <w:rFonts w:ascii="Arial"/>
                <w:w w:val="99"/>
                <w:sz w:val="20"/>
              </w:rPr>
            </w:r>
            <w:r>
              <w:rPr>
                <w:rFonts w:ascii="Arial"/>
                <w:spacing w:val="-1"/>
                <w:w w:val="95"/>
                <w:sz w:val="20"/>
                <w:u w:val="single" w:color="000000"/>
              </w:rPr>
              <w:t>100</w:t>
            </w:r>
            <w:r>
              <w:rPr>
                <w:rFonts w:ascii="Arial"/>
                <w:spacing w:val="-1"/>
                <w:w w:val="95"/>
                <w:sz w:val="20"/>
              </w:rPr>
            </w:r>
            <w:r>
              <w:rPr>
                <w:rFonts w:ascii="Arial"/>
                <w:sz w:val="20"/>
              </w:rPr>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366"/>
              <w:jc w:val="right"/>
              <w:rPr>
                <w:rFonts w:ascii="Arial" w:hAnsi="Arial" w:cs="Arial" w:eastAsia="Arial" w:hint="default"/>
                <w:sz w:val="20"/>
                <w:szCs w:val="20"/>
              </w:rPr>
            </w:pPr>
            <w:r>
              <w:rPr>
                <w:rFonts w:ascii="Arial"/>
                <w:w w:val="99"/>
                <w:sz w:val="20"/>
              </w:rPr>
            </w:r>
            <w:r>
              <w:rPr>
                <w:rFonts w:ascii="Arial"/>
                <w:spacing w:val="-1"/>
                <w:sz w:val="20"/>
                <w:u w:val="thick" w:color="000000"/>
              </w:rPr>
              <w:t>2,638,792</w:t>
            </w:r>
            <w:r>
              <w:rPr>
                <w:rFonts w:ascii="Arial"/>
                <w:spacing w:val="-1"/>
                <w:sz w:val="20"/>
              </w:rPr>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98"/>
              <w:jc w:val="right"/>
              <w:rPr>
                <w:rFonts w:ascii="Arial" w:hAnsi="Arial" w:cs="Arial" w:eastAsia="Arial" w:hint="default"/>
                <w:sz w:val="20"/>
                <w:szCs w:val="20"/>
              </w:rPr>
            </w:pPr>
            <w:r>
              <w:rPr>
                <w:rFonts w:ascii="Arial"/>
                <w:w w:val="99"/>
                <w:sz w:val="20"/>
              </w:rPr>
            </w:r>
            <w:r>
              <w:rPr>
                <w:rFonts w:ascii="Arial"/>
                <w:spacing w:val="-1"/>
                <w:w w:val="95"/>
                <w:sz w:val="20"/>
                <w:u w:val="thick" w:color="000000"/>
              </w:rPr>
              <w:t>100</w:t>
            </w:r>
            <w:r>
              <w:rPr>
                <w:rFonts w:ascii="Arial"/>
                <w:spacing w:val="-1"/>
                <w:w w:val="95"/>
                <w:sz w:val="20"/>
              </w:rPr>
            </w:r>
            <w:r>
              <w:rPr>
                <w:rFonts w:ascii="Arial"/>
                <w:sz w:val="20"/>
              </w:rPr>
            </w:r>
          </w:p>
        </w:tc>
      </w:tr>
    </w:tbl>
    <w:p>
      <w:pPr>
        <w:spacing w:line="240" w:lineRule="auto" w:before="2"/>
        <w:rPr>
          <w:rFonts w:ascii="黑体" w:hAnsi="黑体" w:cs="黑体" w:eastAsia="黑体" w:hint="default"/>
          <w:sz w:val="14"/>
          <w:szCs w:val="14"/>
        </w:rPr>
      </w:pPr>
    </w:p>
    <w:p>
      <w:pPr>
        <w:pStyle w:val="BodyText"/>
        <w:spacing w:line="240" w:lineRule="auto" w:before="37"/>
        <w:ind w:right="0"/>
        <w:jc w:val="left"/>
      </w:pP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日及</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日，本公司无重大预付款项金额。</w:t>
      </w:r>
    </w:p>
    <w:p>
      <w:pPr>
        <w:spacing w:line="240" w:lineRule="auto" w:before="2"/>
        <w:rPr>
          <w:rFonts w:ascii="黑体" w:hAnsi="黑体" w:cs="黑体" w:eastAsia="黑体" w:hint="default"/>
          <w:sz w:val="23"/>
          <w:szCs w:val="23"/>
        </w:rPr>
      </w:pPr>
    </w:p>
    <w:p>
      <w:pPr>
        <w:pStyle w:val="BodyText"/>
        <w:spacing w:line="268" w:lineRule="exact"/>
        <w:ind w:right="0"/>
        <w:jc w:val="left"/>
      </w:pPr>
      <w:r>
        <w:rPr>
          <w:spacing w:val="3"/>
        </w:rPr>
        <w:t>于</w:t>
      </w:r>
      <w:r>
        <w:rPr>
          <w:rFonts w:ascii="Arial" w:hAnsi="Arial" w:cs="Arial" w:eastAsia="Arial" w:hint="default"/>
          <w:spacing w:val="3"/>
        </w:rPr>
        <w:t>2012</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r>
        <w:rPr>
          <w:spacing w:val="3"/>
        </w:rPr>
        <w:t>日，本账户余额中无持有本公司</w:t>
      </w:r>
      <w:r>
        <w:rPr>
          <w:rFonts w:ascii="Arial" w:hAnsi="Arial" w:cs="Arial" w:eastAsia="Arial" w:hint="default"/>
          <w:spacing w:val="3"/>
        </w:rPr>
        <w:t>5%</w:t>
      </w:r>
      <w:r>
        <w:rPr>
          <w:spacing w:val="3"/>
        </w:rPr>
        <w:t>或以上表决权股份的股东单位的欠款</w:t>
      </w:r>
      <w:r>
        <w:rPr/>
      </w:r>
    </w:p>
    <w:p>
      <w:pPr>
        <w:pStyle w:val="BodyText"/>
        <w:spacing w:line="268" w:lineRule="exact"/>
        <w:ind w:right="0"/>
        <w:jc w:val="left"/>
      </w:pP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w:t>
      </w:r>
    </w:p>
    <w:p>
      <w:pPr>
        <w:spacing w:line="240" w:lineRule="auto" w:before="2"/>
        <w:rPr>
          <w:rFonts w:ascii="黑体" w:hAnsi="黑体" w:cs="黑体" w:eastAsia="黑体" w:hint="default"/>
          <w:sz w:val="16"/>
          <w:szCs w:val="16"/>
        </w:rPr>
      </w:pPr>
    </w:p>
    <w:p>
      <w:pPr>
        <w:tabs>
          <w:tab w:pos="641" w:val="left" w:leader="none"/>
        </w:tabs>
        <w:spacing w:line="424" w:lineRule="auto" w:before="0"/>
        <w:ind w:left="814" w:right="5630" w:hanging="713"/>
        <w:jc w:val="left"/>
        <w:rPr>
          <w:rFonts w:ascii="黑体" w:hAnsi="黑体" w:cs="黑体" w:eastAsia="黑体" w:hint="default"/>
          <w:sz w:val="20"/>
          <w:szCs w:val="20"/>
        </w:rPr>
      </w:pPr>
      <w:r>
        <w:rPr>
          <w:rFonts w:ascii="Arial" w:hAnsi="Arial" w:cs="Arial" w:eastAsia="Arial" w:hint="default"/>
          <w:b/>
          <w:bCs/>
          <w:spacing w:val="-1"/>
          <w:sz w:val="20"/>
          <w:szCs w:val="20"/>
        </w:rPr>
        <w:t>5.</w:t>
        <w:tab/>
      </w:r>
      <w:r>
        <w:rPr>
          <w:rFonts w:ascii="黑体" w:hAnsi="黑体" w:cs="黑体" w:eastAsia="黑体" w:hint="default"/>
          <w:b/>
          <w:bCs/>
          <w:spacing w:val="1"/>
          <w:sz w:val="20"/>
          <w:szCs w:val="20"/>
        </w:rPr>
        <w:t>其他应收款</w:t>
      </w:r>
      <w:r>
        <w:rPr>
          <w:rFonts w:ascii="黑体" w:hAnsi="黑体" w:cs="黑体" w:eastAsia="黑体" w:hint="default"/>
          <w:b/>
          <w:bCs/>
          <w:w w:val="99"/>
          <w:sz w:val="20"/>
          <w:szCs w:val="20"/>
        </w:rPr>
        <w:t> </w:t>
      </w:r>
      <w:r>
        <w:rPr>
          <w:rFonts w:ascii="黑体" w:hAnsi="黑体" w:cs="黑体" w:eastAsia="黑体" w:hint="default"/>
          <w:sz w:val="20"/>
          <w:szCs w:val="20"/>
        </w:rPr>
        <w:t>其他应收款的账龄分析如下：</w:t>
      </w:r>
    </w:p>
    <w:p>
      <w:pPr>
        <w:spacing w:line="240" w:lineRule="auto" w:before="10"/>
        <w:rPr>
          <w:rFonts w:ascii="黑体" w:hAnsi="黑体" w:cs="黑体" w:eastAsia="黑体" w:hint="default"/>
          <w:sz w:val="10"/>
          <w:szCs w:val="10"/>
        </w:rPr>
      </w:pPr>
    </w:p>
    <w:tbl>
      <w:tblPr>
        <w:tblW w:w="0" w:type="auto"/>
        <w:jc w:val="left"/>
        <w:tblInd w:w="628" w:type="dxa"/>
        <w:tblLayout w:type="fixed"/>
        <w:tblCellMar>
          <w:top w:w="0" w:type="dxa"/>
          <w:left w:w="0" w:type="dxa"/>
          <w:bottom w:w="0" w:type="dxa"/>
          <w:right w:w="0" w:type="dxa"/>
        </w:tblCellMar>
        <w:tblLook w:val="01E0"/>
      </w:tblPr>
      <w:tblGrid>
        <w:gridCol w:w="3658"/>
        <w:gridCol w:w="2856"/>
        <w:gridCol w:w="1796"/>
      </w:tblGrid>
      <w:tr>
        <w:trPr>
          <w:trHeight w:val="234" w:hRule="exact"/>
        </w:trPr>
        <w:tc>
          <w:tcPr>
            <w:tcW w:w="3658" w:type="dxa"/>
            <w:tcBorders>
              <w:top w:val="nil" w:sz="6" w:space="0" w:color="auto"/>
              <w:left w:val="nil" w:sz="6" w:space="0" w:color="auto"/>
              <w:bottom w:val="nil" w:sz="6" w:space="0" w:color="auto"/>
              <w:right w:val="nil" w:sz="6" w:space="0" w:color="auto"/>
            </w:tcBorders>
          </w:tcPr>
          <w:p>
            <w:pPr/>
          </w:p>
        </w:tc>
        <w:tc>
          <w:tcPr>
            <w:tcW w:w="2856" w:type="dxa"/>
            <w:tcBorders>
              <w:top w:val="nil" w:sz="6" w:space="0" w:color="auto"/>
              <w:left w:val="nil" w:sz="6" w:space="0" w:color="auto"/>
              <w:bottom w:val="nil" w:sz="6" w:space="0" w:color="auto"/>
              <w:right w:val="nil" w:sz="6" w:space="0" w:color="auto"/>
            </w:tcBorders>
          </w:tcPr>
          <w:p>
            <w:pPr>
              <w:pStyle w:val="TableParagraph"/>
              <w:spacing w:line="214" w:lineRule="exact"/>
              <w:ind w:right="485"/>
              <w:jc w:val="right"/>
              <w:rPr>
                <w:rFonts w:ascii="黑体" w:hAnsi="黑体" w:cs="黑体" w:eastAsia="黑体" w:hint="default"/>
                <w:sz w:val="20"/>
                <w:szCs w:val="20"/>
              </w:rPr>
            </w:pPr>
            <w:r>
              <w:rPr>
                <w:rFonts w:ascii="Arial" w:hAnsi="Arial" w:cs="Arial" w:eastAsia="Arial" w:hint="default"/>
                <w:sz w:val="20"/>
                <w:szCs w:val="20"/>
              </w:rPr>
              <w:t>2012</w:t>
            </w:r>
            <w:r>
              <w:rPr>
                <w:rFonts w:ascii="Arial" w:hAnsi="Arial" w:cs="Arial" w:eastAsia="Arial" w:hint="default"/>
                <w:spacing w:val="-9"/>
                <w:sz w:val="20"/>
                <w:szCs w:val="20"/>
              </w:rPr>
              <w:t> </w:t>
            </w:r>
            <w:r>
              <w:rPr>
                <w:rFonts w:ascii="黑体" w:hAnsi="黑体" w:cs="黑体" w:eastAsia="黑体" w:hint="default"/>
                <w:sz w:val="20"/>
                <w:szCs w:val="20"/>
              </w:rPr>
              <w:t>年</w:t>
            </w:r>
          </w:p>
        </w:tc>
        <w:tc>
          <w:tcPr>
            <w:tcW w:w="1796" w:type="dxa"/>
            <w:tcBorders>
              <w:top w:val="nil" w:sz="6" w:space="0" w:color="auto"/>
              <w:left w:val="nil" w:sz="6" w:space="0" w:color="auto"/>
              <w:bottom w:val="nil" w:sz="6" w:space="0" w:color="auto"/>
              <w:right w:val="nil" w:sz="6" w:space="0" w:color="auto"/>
            </w:tcBorders>
          </w:tcPr>
          <w:p>
            <w:pPr>
              <w:pStyle w:val="TableParagraph"/>
              <w:spacing w:line="214" w:lineRule="exact"/>
              <w:ind w:right="198"/>
              <w:jc w:val="right"/>
              <w:rPr>
                <w:rFonts w:ascii="黑体" w:hAnsi="黑体" w:cs="黑体" w:eastAsia="黑体" w:hint="default"/>
                <w:sz w:val="20"/>
                <w:szCs w:val="20"/>
              </w:rPr>
            </w:pPr>
            <w:r>
              <w:rPr>
                <w:rFonts w:ascii="Arial" w:hAnsi="Arial" w:cs="Arial" w:eastAsia="Arial" w:hint="default"/>
                <w:sz w:val="20"/>
                <w:szCs w:val="20"/>
              </w:rPr>
              <w:t>2011</w:t>
            </w:r>
            <w:r>
              <w:rPr>
                <w:rFonts w:ascii="Arial" w:hAnsi="Arial" w:cs="Arial" w:eastAsia="Arial" w:hint="default"/>
                <w:spacing w:val="-9"/>
                <w:sz w:val="20"/>
                <w:szCs w:val="20"/>
              </w:rPr>
              <w:t> </w:t>
            </w:r>
            <w:r>
              <w:rPr>
                <w:rFonts w:ascii="黑体" w:hAnsi="黑体" w:cs="黑体" w:eastAsia="黑体" w:hint="default"/>
                <w:sz w:val="20"/>
                <w:szCs w:val="20"/>
              </w:rPr>
              <w:t>年</w:t>
            </w:r>
          </w:p>
        </w:tc>
      </w:tr>
      <w:tr>
        <w:trPr>
          <w:trHeight w:val="388" w:hRule="exact"/>
        </w:trPr>
        <w:tc>
          <w:tcPr>
            <w:tcW w:w="3658" w:type="dxa"/>
            <w:tcBorders>
              <w:top w:val="nil" w:sz="6" w:space="0" w:color="auto"/>
              <w:left w:val="nil" w:sz="6" w:space="0" w:color="auto"/>
              <w:bottom w:val="nil" w:sz="6" w:space="0" w:color="auto"/>
              <w:right w:val="nil" w:sz="6" w:space="0" w:color="auto"/>
            </w:tcBorders>
          </w:tcPr>
          <w:p>
            <w:pPr/>
          </w:p>
        </w:tc>
        <w:tc>
          <w:tcPr>
            <w:tcW w:w="2856" w:type="dxa"/>
            <w:tcBorders>
              <w:top w:val="nil" w:sz="6" w:space="0" w:color="auto"/>
              <w:left w:val="nil" w:sz="6" w:space="0" w:color="auto"/>
              <w:bottom w:val="nil" w:sz="6" w:space="0" w:color="auto"/>
              <w:right w:val="nil" w:sz="6" w:space="0" w:color="auto"/>
            </w:tcBorders>
          </w:tcPr>
          <w:p>
            <w:pPr>
              <w:pStyle w:val="TableParagraph"/>
              <w:spacing w:line="239" w:lineRule="exact"/>
              <w:ind w:right="485"/>
              <w:jc w:val="right"/>
              <w:rPr>
                <w:rFonts w:ascii="黑体" w:hAnsi="黑体" w:cs="黑体" w:eastAsia="黑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黑体" w:hAnsi="黑体" w:cs="黑体" w:eastAsia="黑体" w:hint="default"/>
                <w:sz w:val="20"/>
                <w:szCs w:val="20"/>
              </w:rPr>
              <w:t>月</w:t>
            </w:r>
            <w:r>
              <w:rPr>
                <w:rFonts w:ascii="黑体" w:hAnsi="黑体" w:cs="黑体" w:eastAsia="黑体" w:hint="default"/>
                <w:spacing w:val="-52"/>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黑体" w:hAnsi="黑体" w:cs="黑体" w:eastAsia="黑体" w:hint="default"/>
                <w:sz w:val="20"/>
                <w:szCs w:val="20"/>
              </w:rPr>
              <w:t>日</w:t>
            </w:r>
          </w:p>
        </w:tc>
        <w:tc>
          <w:tcPr>
            <w:tcW w:w="1796" w:type="dxa"/>
            <w:tcBorders>
              <w:top w:val="nil" w:sz="6" w:space="0" w:color="auto"/>
              <w:left w:val="nil" w:sz="6" w:space="0" w:color="auto"/>
              <w:bottom w:val="nil" w:sz="6" w:space="0" w:color="auto"/>
              <w:right w:val="nil" w:sz="6" w:space="0" w:color="auto"/>
            </w:tcBorders>
          </w:tcPr>
          <w:p>
            <w:pPr>
              <w:pStyle w:val="TableParagraph"/>
              <w:spacing w:line="239" w:lineRule="exact"/>
              <w:ind w:right="198"/>
              <w:jc w:val="right"/>
              <w:rPr>
                <w:rFonts w:ascii="黑体" w:hAnsi="黑体" w:cs="黑体" w:eastAsia="黑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黑体" w:hAnsi="黑体" w:cs="黑体" w:eastAsia="黑体" w:hint="default"/>
                <w:sz w:val="20"/>
                <w:szCs w:val="20"/>
              </w:rPr>
              <w:t>月</w:t>
            </w:r>
            <w:r>
              <w:rPr>
                <w:rFonts w:ascii="黑体" w:hAnsi="黑体" w:cs="黑体" w:eastAsia="黑体" w:hint="default"/>
                <w:spacing w:val="-52"/>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黑体" w:hAnsi="黑体" w:cs="黑体" w:eastAsia="黑体" w:hint="default"/>
                <w:sz w:val="20"/>
                <w:szCs w:val="20"/>
              </w:rPr>
              <w:t>日</w:t>
            </w:r>
          </w:p>
        </w:tc>
      </w:tr>
      <w:tr>
        <w:trPr>
          <w:trHeight w:val="394" w:hRule="exact"/>
        </w:trPr>
        <w:tc>
          <w:tcPr>
            <w:tcW w:w="365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00" w:right="0"/>
              <w:jc w:val="lef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9"/>
                <w:sz w:val="20"/>
                <w:szCs w:val="20"/>
              </w:rPr>
              <w:t> </w:t>
            </w:r>
            <w:r>
              <w:rPr>
                <w:rFonts w:ascii="黑体" w:hAnsi="黑体" w:cs="黑体" w:eastAsia="黑体" w:hint="default"/>
                <w:sz w:val="20"/>
                <w:szCs w:val="20"/>
              </w:rPr>
              <w:t>年以内</w:t>
            </w:r>
          </w:p>
        </w:tc>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485"/>
              <w:jc w:val="right"/>
              <w:rPr>
                <w:rFonts w:ascii="Arial" w:hAnsi="Arial" w:cs="Arial" w:eastAsia="Arial" w:hint="default"/>
                <w:sz w:val="20"/>
                <w:szCs w:val="20"/>
              </w:rPr>
            </w:pPr>
            <w:r>
              <w:rPr>
                <w:rFonts w:ascii="Arial"/>
                <w:spacing w:val="-1"/>
                <w:sz w:val="20"/>
              </w:rPr>
              <w:t>459,372,819</w:t>
            </w:r>
            <w:r>
              <w:rPr>
                <w:rFonts w:ascii="Arial"/>
                <w:sz w:val="20"/>
              </w:rPr>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98"/>
              <w:jc w:val="right"/>
              <w:rPr>
                <w:rFonts w:ascii="Arial" w:hAnsi="Arial" w:cs="Arial" w:eastAsia="Arial" w:hint="default"/>
                <w:sz w:val="20"/>
                <w:szCs w:val="20"/>
              </w:rPr>
            </w:pPr>
            <w:r>
              <w:rPr>
                <w:rFonts w:ascii="Arial"/>
                <w:spacing w:val="-1"/>
                <w:sz w:val="20"/>
              </w:rPr>
              <w:t>285,650,471</w:t>
            </w:r>
            <w:r>
              <w:rPr>
                <w:rFonts w:ascii="Arial"/>
                <w:sz w:val="20"/>
              </w:rPr>
            </w:r>
          </w:p>
        </w:tc>
      </w:tr>
      <w:tr>
        <w:trPr>
          <w:trHeight w:val="259" w:hRule="exact"/>
        </w:trPr>
        <w:tc>
          <w:tcPr>
            <w:tcW w:w="3658" w:type="dxa"/>
            <w:tcBorders>
              <w:top w:val="nil" w:sz="6" w:space="0" w:color="auto"/>
              <w:left w:val="nil" w:sz="6" w:space="0" w:color="auto"/>
              <w:bottom w:val="nil" w:sz="6" w:space="0" w:color="auto"/>
              <w:right w:val="nil" w:sz="6" w:space="0" w:color="auto"/>
            </w:tcBorders>
          </w:tcPr>
          <w:p>
            <w:pPr>
              <w:pStyle w:val="TableParagraph"/>
              <w:spacing w:line="233" w:lineRule="exact"/>
              <w:ind w:left="200" w:right="0"/>
              <w:jc w:val="left"/>
              <w:rPr>
                <w:rFonts w:ascii="黑体" w:hAnsi="黑体" w:cs="黑体" w:eastAsia="黑体" w:hint="default"/>
                <w:sz w:val="20"/>
                <w:szCs w:val="20"/>
              </w:rPr>
            </w:pPr>
            <w:r>
              <w:rPr>
                <w:rFonts w:ascii="Arial" w:hAnsi="Arial" w:cs="Arial" w:eastAsia="Arial" w:hint="default"/>
                <w:sz w:val="20"/>
                <w:szCs w:val="20"/>
              </w:rPr>
              <w:t>1</w:t>
            </w:r>
            <w:r>
              <w:rPr>
                <w:rFonts w:ascii="Arial" w:hAnsi="Arial" w:cs="Arial" w:eastAsia="Arial" w:hint="default"/>
                <w:spacing w:val="-8"/>
                <w:sz w:val="20"/>
                <w:szCs w:val="20"/>
              </w:rPr>
              <w:t> </w:t>
            </w:r>
            <w:r>
              <w:rPr>
                <w:rFonts w:ascii="黑体" w:hAnsi="黑体" w:cs="黑体" w:eastAsia="黑体" w:hint="default"/>
                <w:sz w:val="20"/>
                <w:szCs w:val="20"/>
              </w:rPr>
              <w:t>年至</w:t>
            </w:r>
            <w:r>
              <w:rPr>
                <w:rFonts w:ascii="黑体" w:hAnsi="黑体" w:cs="黑体" w:eastAsia="黑体" w:hint="default"/>
                <w:spacing w:val="-52"/>
                <w:sz w:val="20"/>
                <w:szCs w:val="20"/>
              </w:rPr>
              <w:t> </w:t>
            </w:r>
            <w:r>
              <w:rPr>
                <w:rFonts w:ascii="Arial" w:hAnsi="Arial" w:cs="Arial" w:eastAsia="Arial" w:hint="default"/>
                <w:sz w:val="20"/>
                <w:szCs w:val="20"/>
              </w:rPr>
              <w:t>2</w:t>
            </w:r>
            <w:r>
              <w:rPr>
                <w:rFonts w:ascii="Arial" w:hAnsi="Arial" w:cs="Arial" w:eastAsia="Arial" w:hint="default"/>
                <w:spacing w:val="-8"/>
                <w:sz w:val="20"/>
                <w:szCs w:val="20"/>
              </w:rPr>
              <w:t> </w:t>
            </w:r>
            <w:r>
              <w:rPr>
                <w:rFonts w:ascii="黑体" w:hAnsi="黑体" w:cs="黑体" w:eastAsia="黑体" w:hint="default"/>
                <w:sz w:val="20"/>
                <w:szCs w:val="20"/>
              </w:rPr>
              <w:t>年</w:t>
            </w:r>
          </w:p>
        </w:tc>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85"/>
              <w:jc w:val="right"/>
              <w:rPr>
                <w:rFonts w:ascii="Arial" w:hAnsi="Arial" w:cs="Arial" w:eastAsia="Arial" w:hint="default"/>
                <w:sz w:val="20"/>
                <w:szCs w:val="20"/>
              </w:rPr>
            </w:pPr>
            <w:r>
              <w:rPr>
                <w:rFonts w:ascii="Arial"/>
                <w:spacing w:val="-1"/>
                <w:sz w:val="20"/>
              </w:rPr>
              <w:t>6,446,979</w:t>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8"/>
              <w:jc w:val="right"/>
              <w:rPr>
                <w:rFonts w:ascii="Arial" w:hAnsi="Arial" w:cs="Arial" w:eastAsia="Arial" w:hint="default"/>
                <w:sz w:val="20"/>
                <w:szCs w:val="20"/>
              </w:rPr>
            </w:pPr>
            <w:r>
              <w:rPr>
                <w:rFonts w:ascii="Arial"/>
                <w:spacing w:val="-1"/>
                <w:sz w:val="20"/>
              </w:rPr>
              <w:t>12,187,374</w:t>
            </w:r>
            <w:r>
              <w:rPr>
                <w:rFonts w:ascii="Arial"/>
                <w:sz w:val="20"/>
              </w:rPr>
            </w:r>
          </w:p>
        </w:tc>
      </w:tr>
      <w:tr>
        <w:trPr>
          <w:trHeight w:val="259" w:hRule="exact"/>
        </w:trPr>
        <w:tc>
          <w:tcPr>
            <w:tcW w:w="3658" w:type="dxa"/>
            <w:tcBorders>
              <w:top w:val="nil" w:sz="6" w:space="0" w:color="auto"/>
              <w:left w:val="nil" w:sz="6" w:space="0" w:color="auto"/>
              <w:bottom w:val="nil" w:sz="6" w:space="0" w:color="auto"/>
              <w:right w:val="nil" w:sz="6" w:space="0" w:color="auto"/>
            </w:tcBorders>
          </w:tcPr>
          <w:p>
            <w:pPr>
              <w:pStyle w:val="TableParagraph"/>
              <w:spacing w:line="233" w:lineRule="exact"/>
              <w:ind w:left="200" w:right="0"/>
              <w:jc w:val="left"/>
              <w:rPr>
                <w:rFonts w:ascii="黑体" w:hAnsi="黑体" w:cs="黑体" w:eastAsia="黑体" w:hint="default"/>
                <w:sz w:val="20"/>
                <w:szCs w:val="20"/>
              </w:rPr>
            </w:pPr>
            <w:r>
              <w:rPr>
                <w:rFonts w:ascii="Arial" w:hAnsi="Arial" w:cs="Arial" w:eastAsia="Arial" w:hint="default"/>
                <w:sz w:val="20"/>
                <w:szCs w:val="20"/>
              </w:rPr>
              <w:t>2</w:t>
            </w:r>
            <w:r>
              <w:rPr>
                <w:rFonts w:ascii="Arial" w:hAnsi="Arial" w:cs="Arial" w:eastAsia="Arial" w:hint="default"/>
                <w:spacing w:val="-8"/>
                <w:sz w:val="20"/>
                <w:szCs w:val="20"/>
              </w:rPr>
              <w:t> </w:t>
            </w:r>
            <w:r>
              <w:rPr>
                <w:rFonts w:ascii="黑体" w:hAnsi="黑体" w:cs="黑体" w:eastAsia="黑体" w:hint="default"/>
                <w:sz w:val="20"/>
                <w:szCs w:val="20"/>
              </w:rPr>
              <w:t>年至</w:t>
            </w:r>
            <w:r>
              <w:rPr>
                <w:rFonts w:ascii="黑体" w:hAnsi="黑体" w:cs="黑体" w:eastAsia="黑体" w:hint="default"/>
                <w:spacing w:val="-52"/>
                <w:sz w:val="20"/>
                <w:szCs w:val="20"/>
              </w:rPr>
              <w:t> </w:t>
            </w:r>
            <w:r>
              <w:rPr>
                <w:rFonts w:ascii="Arial" w:hAnsi="Arial" w:cs="Arial" w:eastAsia="Arial" w:hint="default"/>
                <w:sz w:val="20"/>
                <w:szCs w:val="20"/>
              </w:rPr>
              <w:t>3</w:t>
            </w:r>
            <w:r>
              <w:rPr>
                <w:rFonts w:ascii="Arial" w:hAnsi="Arial" w:cs="Arial" w:eastAsia="Arial" w:hint="default"/>
                <w:spacing w:val="-8"/>
                <w:sz w:val="20"/>
                <w:szCs w:val="20"/>
              </w:rPr>
              <w:t> </w:t>
            </w:r>
            <w:r>
              <w:rPr>
                <w:rFonts w:ascii="黑体" w:hAnsi="黑体" w:cs="黑体" w:eastAsia="黑体" w:hint="default"/>
                <w:sz w:val="20"/>
                <w:szCs w:val="20"/>
              </w:rPr>
              <w:t>年</w:t>
            </w:r>
          </w:p>
        </w:tc>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85"/>
              <w:jc w:val="right"/>
              <w:rPr>
                <w:rFonts w:ascii="Arial" w:hAnsi="Arial" w:cs="Arial" w:eastAsia="Arial" w:hint="default"/>
                <w:sz w:val="20"/>
                <w:szCs w:val="20"/>
              </w:rPr>
            </w:pPr>
            <w:r>
              <w:rPr>
                <w:rFonts w:ascii="Arial"/>
                <w:spacing w:val="-1"/>
                <w:sz w:val="20"/>
              </w:rPr>
              <w:t>9,270,675</w:t>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8"/>
              <w:jc w:val="right"/>
              <w:rPr>
                <w:rFonts w:ascii="Arial" w:hAnsi="Arial" w:cs="Arial" w:eastAsia="Arial" w:hint="default"/>
                <w:sz w:val="20"/>
                <w:szCs w:val="20"/>
              </w:rPr>
            </w:pPr>
            <w:r>
              <w:rPr>
                <w:rFonts w:ascii="Arial"/>
                <w:spacing w:val="-1"/>
                <w:sz w:val="20"/>
              </w:rPr>
              <w:t>5,713,397</w:t>
            </w:r>
          </w:p>
        </w:tc>
      </w:tr>
      <w:tr>
        <w:trPr>
          <w:trHeight w:val="268" w:hRule="exact"/>
        </w:trPr>
        <w:tc>
          <w:tcPr>
            <w:tcW w:w="3658" w:type="dxa"/>
            <w:tcBorders>
              <w:top w:val="nil" w:sz="6" w:space="0" w:color="auto"/>
              <w:left w:val="nil" w:sz="6" w:space="0" w:color="auto"/>
              <w:bottom w:val="nil" w:sz="6" w:space="0" w:color="auto"/>
              <w:right w:val="nil" w:sz="6" w:space="0" w:color="auto"/>
            </w:tcBorders>
          </w:tcPr>
          <w:p>
            <w:pPr>
              <w:pStyle w:val="TableParagraph"/>
              <w:spacing w:line="233" w:lineRule="exact"/>
              <w:ind w:left="200" w:right="0"/>
              <w:jc w:val="left"/>
              <w:rPr>
                <w:rFonts w:ascii="黑体" w:hAnsi="黑体" w:cs="黑体" w:eastAsia="黑体" w:hint="default"/>
                <w:sz w:val="20"/>
                <w:szCs w:val="20"/>
              </w:rPr>
            </w:pPr>
            <w:r>
              <w:rPr>
                <w:rFonts w:ascii="Arial" w:hAnsi="Arial" w:cs="Arial" w:eastAsia="Arial" w:hint="default"/>
                <w:sz w:val="20"/>
                <w:szCs w:val="20"/>
              </w:rPr>
              <w:t>3</w:t>
            </w:r>
            <w:r>
              <w:rPr>
                <w:rFonts w:ascii="Arial" w:hAnsi="Arial" w:cs="Arial" w:eastAsia="Arial" w:hint="default"/>
                <w:spacing w:val="-9"/>
                <w:sz w:val="20"/>
                <w:szCs w:val="20"/>
              </w:rPr>
              <w:t> </w:t>
            </w:r>
            <w:r>
              <w:rPr>
                <w:rFonts w:ascii="黑体" w:hAnsi="黑体" w:cs="黑体" w:eastAsia="黑体" w:hint="default"/>
                <w:sz w:val="20"/>
                <w:szCs w:val="20"/>
              </w:rPr>
              <w:t>年以上</w:t>
            </w:r>
          </w:p>
        </w:tc>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85"/>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
                <w:sz w:val="20"/>
                <w:u w:val="single" w:color="000000"/>
              </w:rPr>
              <w:t> </w:t>
            </w:r>
            <w:r>
              <w:rPr>
                <w:rFonts w:ascii="Arial"/>
                <w:spacing w:val="-1"/>
                <w:w w:val="95"/>
                <w:sz w:val="20"/>
                <w:u w:val="single" w:color="000000"/>
              </w:rPr>
              <w:t>5,808,376</w:t>
            </w:r>
            <w:r>
              <w:rPr>
                <w:rFonts w:ascii="Arial"/>
                <w:spacing w:val="-1"/>
                <w:w w:val="95"/>
                <w:sz w:val="20"/>
              </w:rPr>
            </w:r>
            <w:r>
              <w:rPr>
                <w:rFonts w:ascii="Arial"/>
                <w:sz w:val="20"/>
              </w:rPr>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1"/>
                <w:sz w:val="20"/>
                <w:u w:val="single" w:color="000000"/>
              </w:rPr>
              <w:t> </w:t>
            </w:r>
            <w:r>
              <w:rPr>
                <w:rFonts w:ascii="Arial"/>
                <w:spacing w:val="-1"/>
                <w:w w:val="95"/>
                <w:sz w:val="20"/>
                <w:u w:val="single" w:color="000000"/>
              </w:rPr>
              <w:t>4,502,258</w:t>
            </w:r>
            <w:r>
              <w:rPr>
                <w:rFonts w:ascii="Arial"/>
                <w:spacing w:val="-1"/>
                <w:w w:val="95"/>
                <w:sz w:val="20"/>
              </w:rPr>
            </w:r>
            <w:r>
              <w:rPr>
                <w:rFonts w:ascii="Arial"/>
                <w:sz w:val="20"/>
              </w:rPr>
            </w:r>
          </w:p>
        </w:tc>
      </w:tr>
      <w:tr>
        <w:trPr>
          <w:trHeight w:val="373" w:hRule="exact"/>
        </w:trPr>
        <w:tc>
          <w:tcPr>
            <w:tcW w:w="3658" w:type="dxa"/>
            <w:tcBorders>
              <w:top w:val="nil" w:sz="6" w:space="0" w:color="auto"/>
              <w:left w:val="nil" w:sz="6" w:space="0" w:color="auto"/>
              <w:bottom w:val="nil" w:sz="6" w:space="0" w:color="auto"/>
              <w:right w:val="nil" w:sz="6" w:space="0" w:color="auto"/>
            </w:tcBorders>
          </w:tcPr>
          <w:p>
            <w:pPr/>
          </w:p>
        </w:tc>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485"/>
              <w:jc w:val="right"/>
              <w:rPr>
                <w:rFonts w:ascii="Arial" w:hAnsi="Arial" w:cs="Arial" w:eastAsia="Arial" w:hint="default"/>
                <w:sz w:val="20"/>
                <w:szCs w:val="20"/>
              </w:rPr>
            </w:pPr>
            <w:r>
              <w:rPr>
                <w:rFonts w:ascii="Arial"/>
                <w:spacing w:val="-1"/>
                <w:sz w:val="20"/>
              </w:rPr>
              <w:t>480,898,849</w:t>
            </w:r>
            <w:r>
              <w:rPr>
                <w:rFonts w:ascii="Arial"/>
                <w:sz w:val="20"/>
              </w:rPr>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98"/>
              <w:jc w:val="right"/>
              <w:rPr>
                <w:rFonts w:ascii="Arial" w:hAnsi="Arial" w:cs="Arial" w:eastAsia="Arial" w:hint="default"/>
                <w:sz w:val="20"/>
                <w:szCs w:val="20"/>
              </w:rPr>
            </w:pPr>
            <w:r>
              <w:rPr>
                <w:rFonts w:ascii="Arial"/>
                <w:spacing w:val="-1"/>
                <w:sz w:val="20"/>
              </w:rPr>
              <w:t>308,053,500</w:t>
            </w:r>
            <w:r>
              <w:rPr>
                <w:rFonts w:ascii="Arial"/>
                <w:sz w:val="20"/>
              </w:rPr>
            </w:r>
          </w:p>
        </w:tc>
      </w:tr>
      <w:tr>
        <w:trPr>
          <w:trHeight w:val="524" w:hRule="exact"/>
        </w:trPr>
        <w:tc>
          <w:tcPr>
            <w:tcW w:w="3658"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黑体" w:hAnsi="黑体" w:cs="黑体" w:eastAsia="黑体" w:hint="default"/>
                <w:sz w:val="20"/>
                <w:szCs w:val="20"/>
              </w:rPr>
            </w:pPr>
            <w:r>
              <w:rPr>
                <w:rFonts w:ascii="黑体" w:hAnsi="黑体" w:cs="黑体" w:eastAsia="黑体" w:hint="default"/>
                <w:sz w:val="20"/>
                <w:szCs w:val="20"/>
              </w:rPr>
              <w:t>减：其他应收款坏账准备</w:t>
            </w:r>
          </w:p>
        </w:tc>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485"/>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17"/>
                <w:sz w:val="20"/>
                <w:u w:val="single" w:color="000000"/>
              </w:rPr>
              <w:t> </w:t>
            </w:r>
            <w:r>
              <w:rPr>
                <w:rFonts w:ascii="Arial"/>
                <w:spacing w:val="-1"/>
                <w:sz w:val="20"/>
                <w:u w:val="single" w:color="000000"/>
              </w:rPr>
              <w:t>2,591,441</w:t>
            </w:r>
            <w:r>
              <w:rPr>
                <w:rFonts w:ascii="Arial"/>
                <w:spacing w:val="-1"/>
                <w:sz w:val="20"/>
              </w:rPr>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19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3"/>
                <w:sz w:val="20"/>
                <w:u w:val="single" w:color="000000"/>
              </w:rPr>
              <w:t> </w:t>
            </w:r>
            <w:r>
              <w:rPr>
                <w:rFonts w:ascii="Arial"/>
                <w:spacing w:val="-1"/>
                <w:sz w:val="20"/>
                <w:u w:val="single" w:color="000000"/>
              </w:rPr>
              <w:t>2,714,265</w:t>
            </w:r>
            <w:r>
              <w:rPr>
                <w:rFonts w:ascii="Arial"/>
                <w:spacing w:val="-1"/>
                <w:sz w:val="20"/>
              </w:rPr>
            </w:r>
          </w:p>
        </w:tc>
      </w:tr>
      <w:tr>
        <w:trPr>
          <w:trHeight w:val="354" w:hRule="exact"/>
        </w:trPr>
        <w:tc>
          <w:tcPr>
            <w:tcW w:w="3658" w:type="dxa"/>
            <w:tcBorders>
              <w:top w:val="nil" w:sz="6" w:space="0" w:color="auto"/>
              <w:left w:val="nil" w:sz="6" w:space="0" w:color="auto"/>
              <w:bottom w:val="nil" w:sz="6" w:space="0" w:color="auto"/>
              <w:right w:val="nil" w:sz="6" w:space="0" w:color="auto"/>
            </w:tcBorders>
          </w:tcPr>
          <w:p>
            <w:pPr/>
          </w:p>
        </w:tc>
        <w:tc>
          <w:tcPr>
            <w:tcW w:w="2856"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485"/>
              <w:jc w:val="right"/>
              <w:rPr>
                <w:rFonts w:ascii="Arial" w:hAnsi="Arial" w:cs="Arial" w:eastAsia="Arial" w:hint="default"/>
                <w:sz w:val="20"/>
                <w:szCs w:val="20"/>
              </w:rPr>
            </w:pPr>
            <w:r>
              <w:rPr>
                <w:rFonts w:ascii="Arial"/>
                <w:w w:val="99"/>
                <w:sz w:val="20"/>
              </w:rPr>
            </w:r>
            <w:r>
              <w:rPr>
                <w:rFonts w:ascii="Arial"/>
                <w:spacing w:val="-1"/>
                <w:sz w:val="20"/>
                <w:u w:val="thick" w:color="000000"/>
              </w:rPr>
              <w:t>478,307,408</w:t>
            </w:r>
            <w:r>
              <w:rPr>
                <w:rFonts w:ascii="Arial"/>
                <w:spacing w:val="-1"/>
                <w:sz w:val="20"/>
              </w:rPr>
            </w:r>
            <w:r>
              <w:rPr>
                <w:rFonts w:ascii="Arial"/>
                <w:sz w:val="20"/>
              </w:rPr>
            </w:r>
          </w:p>
        </w:tc>
        <w:tc>
          <w:tcPr>
            <w:tcW w:w="1796"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305,339,235</w:t>
            </w:r>
            <w:r>
              <w:rPr>
                <w:rFonts w:ascii="Arial"/>
                <w:spacing w:val="-1"/>
                <w:sz w:val="20"/>
              </w:rPr>
            </w:r>
            <w:r>
              <w:rPr>
                <w:rFonts w:ascii="Arial"/>
                <w:sz w:val="20"/>
              </w:rPr>
            </w:r>
          </w:p>
        </w:tc>
      </w:tr>
    </w:tbl>
    <w:p>
      <w:pPr>
        <w:spacing w:after="0" w:line="240" w:lineRule="auto"/>
        <w:jc w:val="right"/>
        <w:rPr>
          <w:rFonts w:ascii="Arial" w:hAnsi="Arial" w:cs="Arial" w:eastAsia="Arial" w:hint="default"/>
          <w:sz w:val="20"/>
          <w:szCs w:val="20"/>
        </w:rPr>
        <w:sectPr>
          <w:pgSz w:w="11910" w:h="16850"/>
          <w:pgMar w:header="957" w:footer="384" w:top="2560" w:bottom="580" w:left="1600" w:right="1260"/>
        </w:sectPr>
      </w:pPr>
    </w:p>
    <w:p>
      <w:pPr>
        <w:spacing w:line="240" w:lineRule="auto" w:before="1"/>
        <w:rPr>
          <w:rFonts w:ascii="黑体" w:hAnsi="黑体" w:cs="黑体" w:eastAsia="黑体" w:hint="default"/>
          <w:sz w:val="19"/>
          <w:szCs w:val="19"/>
        </w:rPr>
      </w:pPr>
    </w:p>
    <w:p>
      <w:pPr>
        <w:pStyle w:val="Heading6"/>
        <w:spacing w:line="240" w:lineRule="auto"/>
        <w:ind w:right="232"/>
        <w:jc w:val="left"/>
        <w:rPr>
          <w:b w:val="0"/>
          <w:bCs w:val="0"/>
        </w:rPr>
      </w:pPr>
      <w:r>
        <w:rPr/>
        <w:t>十三、公司财务报表主要项目注释（续）</w:t>
      </w:r>
      <w:r>
        <w:rPr>
          <w:b w:val="0"/>
          <w:bCs w:val="0"/>
        </w:rPr>
      </w:r>
    </w:p>
    <w:p>
      <w:pPr>
        <w:spacing w:line="240" w:lineRule="auto" w:before="1"/>
        <w:rPr>
          <w:rFonts w:ascii="黑体" w:hAnsi="黑体" w:cs="黑体" w:eastAsia="黑体" w:hint="default"/>
          <w:b/>
          <w:bCs/>
          <w:sz w:val="17"/>
          <w:szCs w:val="17"/>
        </w:rPr>
      </w:pPr>
    </w:p>
    <w:p>
      <w:pPr>
        <w:tabs>
          <w:tab w:pos="641" w:val="left" w:leader="none"/>
        </w:tabs>
        <w:spacing w:line="424" w:lineRule="auto" w:before="0"/>
        <w:ind w:left="648" w:right="5418" w:hanging="548"/>
        <w:jc w:val="left"/>
        <w:rPr>
          <w:rFonts w:ascii="黑体" w:hAnsi="黑体" w:cs="黑体" w:eastAsia="黑体" w:hint="default"/>
          <w:sz w:val="20"/>
          <w:szCs w:val="20"/>
        </w:rPr>
      </w:pPr>
      <w:r>
        <w:rPr>
          <w:rFonts w:ascii="Arial" w:hAnsi="Arial" w:cs="Arial" w:eastAsia="Arial" w:hint="default"/>
          <w:b/>
          <w:bCs/>
          <w:spacing w:val="-1"/>
          <w:sz w:val="20"/>
          <w:szCs w:val="20"/>
        </w:rPr>
        <w:t>5.</w:t>
        <w:tab/>
      </w:r>
      <w:r>
        <w:rPr>
          <w:rFonts w:ascii="黑体" w:hAnsi="黑体" w:cs="黑体" w:eastAsia="黑体" w:hint="default"/>
          <w:b/>
          <w:bCs/>
          <w:spacing w:val="1"/>
          <w:sz w:val="20"/>
          <w:szCs w:val="20"/>
        </w:rPr>
        <w:t>其他应收款（续）</w:t>
      </w:r>
      <w:r>
        <w:rPr>
          <w:rFonts w:ascii="黑体" w:hAnsi="黑体" w:cs="黑体" w:eastAsia="黑体" w:hint="default"/>
          <w:b/>
          <w:bCs/>
          <w:w w:val="99"/>
          <w:sz w:val="20"/>
          <w:szCs w:val="20"/>
        </w:rPr>
        <w:t> </w:t>
      </w:r>
      <w:r>
        <w:rPr>
          <w:rFonts w:ascii="黑体" w:hAnsi="黑体" w:cs="黑体" w:eastAsia="黑体" w:hint="default"/>
          <w:sz w:val="20"/>
          <w:szCs w:val="20"/>
        </w:rPr>
        <w:t>其他应收款坏账准备的变动如下：</w:t>
      </w:r>
    </w:p>
    <w:p>
      <w:pPr>
        <w:spacing w:line="240" w:lineRule="auto" w:before="5"/>
        <w:rPr>
          <w:rFonts w:ascii="黑体" w:hAnsi="黑体" w:cs="黑体" w:eastAsia="黑体" w:hint="default"/>
          <w:sz w:val="10"/>
          <w:szCs w:val="10"/>
        </w:rPr>
      </w:pPr>
    </w:p>
    <w:tbl>
      <w:tblPr>
        <w:tblW w:w="0" w:type="auto"/>
        <w:jc w:val="left"/>
        <w:tblInd w:w="587" w:type="dxa"/>
        <w:tblLayout w:type="fixed"/>
        <w:tblCellMar>
          <w:top w:w="0" w:type="dxa"/>
          <w:left w:w="0" w:type="dxa"/>
          <w:bottom w:w="0" w:type="dxa"/>
          <w:right w:w="0" w:type="dxa"/>
        </w:tblCellMar>
        <w:tblLook w:val="01E0"/>
      </w:tblPr>
      <w:tblGrid>
        <w:gridCol w:w="1521"/>
        <w:gridCol w:w="2068"/>
        <w:gridCol w:w="1720"/>
        <w:gridCol w:w="1656"/>
        <w:gridCol w:w="1392"/>
      </w:tblGrid>
      <w:tr>
        <w:trPr>
          <w:trHeight w:val="358" w:hRule="exact"/>
        </w:trPr>
        <w:tc>
          <w:tcPr>
            <w:tcW w:w="1521" w:type="dxa"/>
            <w:tcBorders>
              <w:top w:val="nil" w:sz="6" w:space="0" w:color="auto"/>
              <w:left w:val="nil" w:sz="6" w:space="0" w:color="auto"/>
              <w:bottom w:val="nil" w:sz="6" w:space="0" w:color="auto"/>
              <w:right w:val="nil" w:sz="6" w:space="0" w:color="auto"/>
            </w:tcBorders>
          </w:tcPr>
          <w:p>
            <w:pPr/>
          </w:p>
        </w:tc>
        <w:tc>
          <w:tcPr>
            <w:tcW w:w="2068" w:type="dxa"/>
            <w:tcBorders>
              <w:top w:val="nil" w:sz="6" w:space="0" w:color="auto"/>
              <w:left w:val="nil" w:sz="6" w:space="0" w:color="auto"/>
              <w:bottom w:val="nil" w:sz="6" w:space="0" w:color="auto"/>
              <w:right w:val="nil" w:sz="6" w:space="0" w:color="auto"/>
            </w:tcBorders>
          </w:tcPr>
          <w:p>
            <w:pPr>
              <w:pStyle w:val="TableParagraph"/>
              <w:spacing w:line="199" w:lineRule="exact"/>
              <w:ind w:right="514"/>
              <w:jc w:val="right"/>
              <w:rPr>
                <w:rFonts w:ascii="黑体" w:hAnsi="黑体" w:cs="黑体" w:eastAsia="黑体" w:hint="default"/>
                <w:sz w:val="20"/>
                <w:szCs w:val="20"/>
              </w:rPr>
            </w:pPr>
            <w:r>
              <w:rPr>
                <w:rFonts w:ascii="黑体" w:hAnsi="黑体" w:cs="黑体" w:eastAsia="黑体" w:hint="default"/>
                <w:w w:val="95"/>
                <w:sz w:val="20"/>
                <w:szCs w:val="20"/>
              </w:rPr>
              <w:t>年初数</w:t>
            </w:r>
            <w:r>
              <w:rPr>
                <w:rFonts w:ascii="黑体" w:hAnsi="黑体" w:cs="黑体" w:eastAsia="黑体" w:hint="default"/>
                <w:sz w:val="20"/>
                <w:szCs w:val="20"/>
              </w:rPr>
            </w:r>
          </w:p>
        </w:tc>
        <w:tc>
          <w:tcPr>
            <w:tcW w:w="1720" w:type="dxa"/>
            <w:tcBorders>
              <w:top w:val="nil" w:sz="6" w:space="0" w:color="auto"/>
              <w:left w:val="nil" w:sz="6" w:space="0" w:color="auto"/>
              <w:bottom w:val="nil" w:sz="6" w:space="0" w:color="auto"/>
              <w:right w:val="nil" w:sz="6" w:space="0" w:color="auto"/>
            </w:tcBorders>
          </w:tcPr>
          <w:p>
            <w:pPr>
              <w:pStyle w:val="TableParagraph"/>
              <w:spacing w:line="199" w:lineRule="exact"/>
              <w:ind w:right="313"/>
              <w:jc w:val="right"/>
              <w:rPr>
                <w:rFonts w:ascii="黑体" w:hAnsi="黑体" w:cs="黑体" w:eastAsia="黑体" w:hint="default"/>
                <w:sz w:val="20"/>
                <w:szCs w:val="20"/>
              </w:rPr>
            </w:pPr>
            <w:r>
              <w:rPr>
                <w:rFonts w:ascii="黑体" w:hAnsi="黑体" w:cs="黑体" w:eastAsia="黑体" w:hint="default"/>
                <w:w w:val="95"/>
                <w:sz w:val="20"/>
                <w:szCs w:val="20"/>
              </w:rPr>
              <w:t>本年计提</w:t>
            </w:r>
            <w:r>
              <w:rPr>
                <w:rFonts w:ascii="黑体" w:hAnsi="黑体" w:cs="黑体" w:eastAsia="黑体" w:hint="default"/>
                <w:sz w:val="20"/>
                <w:szCs w:val="20"/>
              </w:rPr>
            </w:r>
          </w:p>
        </w:tc>
        <w:tc>
          <w:tcPr>
            <w:tcW w:w="1656" w:type="dxa"/>
            <w:tcBorders>
              <w:top w:val="nil" w:sz="6" w:space="0" w:color="auto"/>
              <w:left w:val="nil" w:sz="6" w:space="0" w:color="auto"/>
              <w:bottom w:val="nil" w:sz="6" w:space="0" w:color="auto"/>
              <w:right w:val="nil" w:sz="6" w:space="0" w:color="auto"/>
            </w:tcBorders>
          </w:tcPr>
          <w:p>
            <w:pPr>
              <w:pStyle w:val="TableParagraph"/>
              <w:spacing w:line="199" w:lineRule="exact"/>
              <w:ind w:right="303"/>
              <w:jc w:val="right"/>
              <w:rPr>
                <w:rFonts w:ascii="黑体" w:hAnsi="黑体" w:cs="黑体" w:eastAsia="黑体" w:hint="default"/>
                <w:sz w:val="20"/>
                <w:szCs w:val="20"/>
              </w:rPr>
            </w:pPr>
            <w:r>
              <w:rPr>
                <w:rFonts w:ascii="黑体" w:hAnsi="黑体" w:cs="黑体" w:eastAsia="黑体" w:hint="default"/>
                <w:w w:val="95"/>
                <w:sz w:val="20"/>
                <w:szCs w:val="20"/>
              </w:rPr>
              <w:t>本年转回</w:t>
            </w:r>
            <w:r>
              <w:rPr>
                <w:rFonts w:ascii="黑体" w:hAnsi="黑体" w:cs="黑体" w:eastAsia="黑体" w:hint="default"/>
                <w:sz w:val="20"/>
                <w:szCs w:val="20"/>
              </w:rPr>
            </w:r>
          </w:p>
        </w:tc>
        <w:tc>
          <w:tcPr>
            <w:tcW w:w="1392" w:type="dxa"/>
            <w:tcBorders>
              <w:top w:val="nil" w:sz="6" w:space="0" w:color="auto"/>
              <w:left w:val="nil" w:sz="6" w:space="0" w:color="auto"/>
              <w:bottom w:val="nil" w:sz="6" w:space="0" w:color="auto"/>
              <w:right w:val="nil" w:sz="6" w:space="0" w:color="auto"/>
            </w:tcBorders>
          </w:tcPr>
          <w:p>
            <w:pPr>
              <w:pStyle w:val="TableParagraph"/>
              <w:spacing w:line="199" w:lineRule="exact"/>
              <w:ind w:right="212"/>
              <w:jc w:val="right"/>
              <w:rPr>
                <w:rFonts w:ascii="黑体" w:hAnsi="黑体" w:cs="黑体" w:eastAsia="黑体" w:hint="default"/>
                <w:sz w:val="20"/>
                <w:szCs w:val="20"/>
              </w:rPr>
            </w:pPr>
            <w:r>
              <w:rPr>
                <w:rFonts w:ascii="黑体" w:hAnsi="黑体" w:cs="黑体" w:eastAsia="黑体" w:hint="default"/>
                <w:w w:val="95"/>
                <w:sz w:val="20"/>
                <w:szCs w:val="20"/>
              </w:rPr>
              <w:t>年末数</w:t>
            </w:r>
            <w:r>
              <w:rPr>
                <w:rFonts w:ascii="黑体" w:hAnsi="黑体" w:cs="黑体" w:eastAsia="黑体" w:hint="default"/>
                <w:sz w:val="20"/>
                <w:szCs w:val="20"/>
              </w:rPr>
            </w:r>
          </w:p>
        </w:tc>
      </w:tr>
      <w:tr>
        <w:trPr>
          <w:trHeight w:val="520" w:hRule="exact"/>
        </w:trPr>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96"/>
              <w:ind w:left="214" w:right="0"/>
              <w:jc w:val="left"/>
              <w:rPr>
                <w:rFonts w:ascii="黑体" w:hAnsi="黑体" w:cs="黑体" w:eastAsia="黑体" w:hint="default"/>
                <w:sz w:val="20"/>
                <w:szCs w:val="20"/>
              </w:rPr>
            </w:pPr>
            <w:r>
              <w:rPr>
                <w:rFonts w:ascii="Arial" w:hAnsi="Arial" w:cs="Arial" w:eastAsia="Arial" w:hint="default"/>
                <w:sz w:val="20"/>
                <w:szCs w:val="20"/>
              </w:rPr>
              <w:t>2012</w:t>
            </w:r>
            <w:r>
              <w:rPr>
                <w:rFonts w:ascii="黑体" w:hAnsi="黑体" w:cs="黑体" w:eastAsia="黑体" w:hint="default"/>
                <w:sz w:val="20"/>
                <w:szCs w:val="20"/>
              </w:rPr>
              <w:t>年</w:t>
            </w:r>
          </w:p>
        </w:tc>
        <w:tc>
          <w:tcPr>
            <w:tcW w:w="2068"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515"/>
              <w:jc w:val="right"/>
              <w:rPr>
                <w:rFonts w:ascii="Arial" w:hAnsi="Arial" w:cs="Arial" w:eastAsia="Arial" w:hint="default"/>
                <w:sz w:val="20"/>
                <w:szCs w:val="20"/>
              </w:rPr>
            </w:pPr>
            <w:r>
              <w:rPr>
                <w:rFonts w:ascii="Arial"/>
                <w:w w:val="99"/>
                <w:sz w:val="20"/>
              </w:rPr>
            </w:r>
            <w:r>
              <w:rPr>
                <w:rFonts w:ascii="Arial"/>
                <w:spacing w:val="-1"/>
                <w:sz w:val="20"/>
                <w:u w:val="thick" w:color="000000"/>
              </w:rPr>
              <w:t>2,714,265</w:t>
            </w:r>
            <w:r>
              <w:rPr>
                <w:rFonts w:ascii="Arial"/>
                <w:spacing w:val="-1"/>
                <w:sz w:val="20"/>
              </w:rPr>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313"/>
              <w:jc w:val="right"/>
              <w:rPr>
                <w:rFonts w:ascii="Arial" w:hAnsi="Arial" w:cs="Arial" w:eastAsia="Arial" w:hint="default"/>
                <w:sz w:val="20"/>
                <w:szCs w:val="20"/>
              </w:rPr>
            </w:pPr>
            <w:r>
              <w:rPr>
                <w:rFonts w:ascii="Arial"/>
                <w:w w:val="99"/>
                <w:sz w:val="20"/>
              </w:rPr>
            </w:r>
            <w:r>
              <w:rPr>
                <w:rFonts w:ascii="Arial"/>
                <w:spacing w:val="-1"/>
                <w:sz w:val="20"/>
                <w:u w:val="thick" w:color="000000"/>
              </w:rPr>
              <w:t>1,050,537</w:t>
            </w:r>
            <w:r>
              <w:rPr>
                <w:rFonts w:ascii="Arial"/>
                <w:spacing w:val="-1"/>
                <w:sz w:val="20"/>
              </w:rPr>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302"/>
              <w:jc w:val="right"/>
              <w:rPr>
                <w:rFonts w:ascii="Arial" w:hAnsi="Arial" w:cs="Arial" w:eastAsia="Arial" w:hint="default"/>
                <w:sz w:val="20"/>
                <w:szCs w:val="20"/>
              </w:rPr>
            </w:pPr>
            <w:r>
              <w:rPr>
                <w:rFonts w:ascii="Arial"/>
                <w:spacing w:val="-1"/>
                <w:sz w:val="20"/>
              </w:rPr>
              <w:t>(</w:t>
            </w:r>
            <w:r>
              <w:rPr>
                <w:rFonts w:ascii="Arial"/>
                <w:spacing w:val="-1"/>
                <w:sz w:val="20"/>
                <w:u w:val="thick" w:color="000000"/>
              </w:rPr>
              <w:t>1,173,361</w:t>
            </w:r>
            <w:r>
              <w:rPr>
                <w:rFonts w:ascii="Arial"/>
                <w:spacing w:val="-1"/>
                <w:sz w:val="20"/>
              </w:rPr>
              <w:t>)</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2,591,441</w:t>
            </w:r>
            <w:r>
              <w:rPr>
                <w:rFonts w:ascii="Arial"/>
                <w:spacing w:val="-1"/>
                <w:sz w:val="20"/>
              </w:rPr>
            </w:r>
          </w:p>
        </w:tc>
      </w:tr>
      <w:tr>
        <w:trPr>
          <w:trHeight w:val="361" w:hRule="exact"/>
        </w:trPr>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00"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p>
        </w:tc>
        <w:tc>
          <w:tcPr>
            <w:tcW w:w="2068"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515"/>
              <w:jc w:val="right"/>
              <w:rPr>
                <w:rFonts w:ascii="Arial" w:hAnsi="Arial" w:cs="Arial" w:eastAsia="Arial" w:hint="default"/>
                <w:sz w:val="20"/>
                <w:szCs w:val="20"/>
              </w:rPr>
            </w:pPr>
            <w:r>
              <w:rPr>
                <w:rFonts w:ascii="Arial"/>
                <w:w w:val="99"/>
                <w:sz w:val="20"/>
              </w:rPr>
            </w:r>
            <w:r>
              <w:rPr>
                <w:rFonts w:ascii="Arial"/>
                <w:spacing w:val="-1"/>
                <w:sz w:val="20"/>
                <w:u w:val="thick" w:color="000000"/>
              </w:rPr>
              <w:t>2,011,885</w:t>
            </w:r>
            <w:r>
              <w:rPr>
                <w:rFonts w:ascii="Arial"/>
                <w:spacing w:val="-1"/>
                <w:sz w:val="20"/>
              </w:rPr>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13"/>
              <w:jc w:val="right"/>
              <w:rPr>
                <w:rFonts w:ascii="Arial" w:hAnsi="Arial" w:cs="Arial" w:eastAsia="Arial" w:hint="default"/>
                <w:sz w:val="20"/>
                <w:szCs w:val="20"/>
              </w:rPr>
            </w:pPr>
            <w:r>
              <w:rPr>
                <w:rFonts w:ascii="Arial"/>
                <w:w w:val="99"/>
                <w:sz w:val="20"/>
              </w:rPr>
            </w:r>
            <w:r>
              <w:rPr>
                <w:rFonts w:ascii="Arial"/>
                <w:spacing w:val="-1"/>
                <w:sz w:val="20"/>
                <w:u w:val="thick" w:color="000000"/>
              </w:rPr>
              <w:t>1,234,546</w:t>
            </w:r>
            <w:r>
              <w:rPr>
                <w:rFonts w:ascii="Arial"/>
                <w:spacing w:val="-1"/>
                <w:sz w:val="20"/>
              </w:rPr>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04"/>
              <w:jc w:val="right"/>
              <w:rPr>
                <w:rFonts w:ascii="Arial" w:hAnsi="Arial" w:cs="Arial" w:eastAsia="Arial" w:hint="default"/>
                <w:sz w:val="20"/>
                <w:szCs w:val="20"/>
              </w:rPr>
            </w:pPr>
            <w:r>
              <w:rPr>
                <w:rFonts w:ascii="Arial"/>
                <w:sz w:val="20"/>
              </w:rPr>
              <w:t>(  </w:t>
            </w:r>
            <w:r>
              <w:rPr>
                <w:rFonts w:ascii="Arial"/>
                <w:spacing w:val="4"/>
                <w:sz w:val="20"/>
              </w:rPr>
              <w:t> </w:t>
            </w:r>
            <w:r>
              <w:rPr>
                <w:rFonts w:ascii="Arial"/>
                <w:spacing w:val="4"/>
                <w:sz w:val="20"/>
                <w:u w:val="thick" w:color="000000"/>
              </w:rPr>
              <w:t> </w:t>
            </w:r>
            <w:r>
              <w:rPr>
                <w:rFonts w:ascii="Arial"/>
                <w:sz w:val="20"/>
                <w:u w:val="thick" w:color="000000"/>
              </w:rPr>
              <w:t>532,166</w:t>
            </w:r>
            <w:r>
              <w:rPr>
                <w:rFonts w:ascii="Arial"/>
                <w:sz w:val="20"/>
              </w:rPr>
              <w:t>)</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2,714,265</w:t>
            </w:r>
            <w:r>
              <w:rPr>
                <w:rFonts w:ascii="Arial"/>
                <w:spacing w:val="-1"/>
                <w:sz w:val="20"/>
              </w:rPr>
            </w:r>
          </w:p>
        </w:tc>
      </w:tr>
    </w:tbl>
    <w:p>
      <w:pPr>
        <w:spacing w:line="240" w:lineRule="auto" w:before="4"/>
        <w:rPr>
          <w:rFonts w:ascii="黑体" w:hAnsi="黑体" w:cs="黑体" w:eastAsia="黑体" w:hint="default"/>
          <w:sz w:val="24"/>
          <w:szCs w:val="24"/>
        </w:rPr>
      </w:pPr>
    </w:p>
    <w:tbl>
      <w:tblPr>
        <w:tblW w:w="0" w:type="auto"/>
        <w:jc w:val="left"/>
        <w:tblInd w:w="609" w:type="dxa"/>
        <w:tblLayout w:type="fixed"/>
        <w:tblCellMar>
          <w:top w:w="0" w:type="dxa"/>
          <w:left w:w="0" w:type="dxa"/>
          <w:bottom w:w="0" w:type="dxa"/>
          <w:right w:w="0" w:type="dxa"/>
        </w:tblCellMar>
        <w:tblLook w:val="01E0"/>
      </w:tblPr>
      <w:tblGrid>
        <w:gridCol w:w="1713"/>
        <w:gridCol w:w="985"/>
        <w:gridCol w:w="456"/>
        <w:gridCol w:w="854"/>
        <w:gridCol w:w="679"/>
        <w:gridCol w:w="235"/>
        <w:gridCol w:w="1059"/>
        <w:gridCol w:w="476"/>
        <w:gridCol w:w="932"/>
        <w:gridCol w:w="748"/>
      </w:tblGrid>
      <w:tr>
        <w:trPr>
          <w:trHeight w:val="196" w:hRule="exact"/>
        </w:trPr>
        <w:tc>
          <w:tcPr>
            <w:tcW w:w="4009" w:type="dxa"/>
            <w:gridSpan w:val="4"/>
            <w:tcBorders>
              <w:top w:val="nil" w:sz="6" w:space="0" w:color="auto"/>
              <w:left w:val="nil" w:sz="6" w:space="0" w:color="auto"/>
              <w:bottom w:val="nil" w:sz="6" w:space="0" w:color="auto"/>
              <w:right w:val="nil" w:sz="6" w:space="0" w:color="auto"/>
            </w:tcBorders>
          </w:tcPr>
          <w:p>
            <w:pPr>
              <w:pStyle w:val="TableParagraph"/>
              <w:spacing w:line="172" w:lineRule="exact"/>
              <w:ind w:left="2542" w:right="0"/>
              <w:jc w:val="left"/>
              <w:rPr>
                <w:rFonts w:ascii="黑体" w:hAnsi="黑体" w:cs="黑体" w:eastAsia="黑体" w:hint="default"/>
                <w:sz w:val="16"/>
                <w:szCs w:val="16"/>
              </w:rPr>
            </w:pPr>
            <w:r>
              <w:rPr>
                <w:rFonts w:ascii="Arial" w:hAnsi="Arial" w:cs="Arial" w:eastAsia="Arial" w:hint="default"/>
                <w:sz w:val="16"/>
                <w:szCs w:val="16"/>
              </w:rPr>
              <w:t>2012</w:t>
            </w:r>
            <w:r>
              <w:rPr>
                <w:rFonts w:ascii="黑体" w:hAnsi="黑体" w:cs="黑体" w:eastAsia="黑体" w:hint="default"/>
                <w:sz w:val="16"/>
                <w:szCs w:val="16"/>
              </w:rPr>
              <w:t>年</w:t>
            </w:r>
            <w:r>
              <w:rPr>
                <w:rFonts w:ascii="Arial" w:hAnsi="Arial" w:cs="Arial" w:eastAsia="Arial" w:hint="default"/>
                <w:sz w:val="16"/>
                <w:szCs w:val="16"/>
              </w:rPr>
              <w:t>12</w:t>
            </w:r>
            <w:r>
              <w:rPr>
                <w:rFonts w:ascii="黑体" w:hAnsi="黑体" w:cs="黑体" w:eastAsia="黑体" w:hint="default"/>
                <w:sz w:val="16"/>
                <w:szCs w:val="16"/>
              </w:rPr>
              <w:t>月</w:t>
            </w:r>
            <w:r>
              <w:rPr>
                <w:rFonts w:ascii="Arial" w:hAnsi="Arial" w:cs="Arial" w:eastAsia="Arial" w:hint="default"/>
                <w:sz w:val="16"/>
                <w:szCs w:val="16"/>
              </w:rPr>
              <w:t>31</w:t>
            </w:r>
            <w:r>
              <w:rPr>
                <w:rFonts w:ascii="黑体" w:hAnsi="黑体" w:cs="黑体" w:eastAsia="黑体" w:hint="default"/>
                <w:sz w:val="16"/>
                <w:szCs w:val="16"/>
              </w:rPr>
              <w:t>日</w:t>
            </w:r>
          </w:p>
        </w:tc>
        <w:tc>
          <w:tcPr>
            <w:tcW w:w="679" w:type="dxa"/>
            <w:tcBorders>
              <w:top w:val="nil" w:sz="6" w:space="0" w:color="auto"/>
              <w:left w:val="nil" w:sz="6" w:space="0" w:color="auto"/>
              <w:bottom w:val="single" w:sz="4" w:space="0" w:color="000000"/>
              <w:right w:val="nil" w:sz="6" w:space="0" w:color="auto"/>
            </w:tcBorders>
          </w:tcPr>
          <w:p>
            <w:pPr/>
          </w:p>
        </w:tc>
        <w:tc>
          <w:tcPr>
            <w:tcW w:w="2703" w:type="dxa"/>
            <w:gridSpan w:val="4"/>
            <w:tcBorders>
              <w:top w:val="nil" w:sz="6" w:space="0" w:color="auto"/>
              <w:left w:val="nil" w:sz="6" w:space="0" w:color="auto"/>
              <w:bottom w:val="nil" w:sz="6" w:space="0" w:color="auto"/>
              <w:right w:val="nil" w:sz="6" w:space="0" w:color="auto"/>
            </w:tcBorders>
          </w:tcPr>
          <w:p>
            <w:pPr>
              <w:pStyle w:val="TableParagraph"/>
              <w:spacing w:line="172" w:lineRule="exact"/>
              <w:ind w:left="1231" w:right="0"/>
              <w:jc w:val="left"/>
              <w:rPr>
                <w:rFonts w:ascii="黑体" w:hAnsi="黑体" w:cs="黑体" w:eastAsia="黑体" w:hint="default"/>
                <w:sz w:val="16"/>
                <w:szCs w:val="16"/>
              </w:rPr>
            </w:pPr>
            <w:r>
              <w:rPr>
                <w:rFonts w:ascii="Arial" w:hAnsi="Arial" w:cs="Arial" w:eastAsia="Arial" w:hint="default"/>
                <w:sz w:val="16"/>
                <w:szCs w:val="16"/>
              </w:rPr>
              <w:t>2011</w:t>
            </w:r>
            <w:r>
              <w:rPr>
                <w:rFonts w:ascii="黑体" w:hAnsi="黑体" w:cs="黑体" w:eastAsia="黑体" w:hint="default"/>
                <w:sz w:val="16"/>
                <w:szCs w:val="16"/>
              </w:rPr>
              <w:t>年</w:t>
            </w:r>
            <w:r>
              <w:rPr>
                <w:rFonts w:ascii="Arial" w:hAnsi="Arial" w:cs="Arial" w:eastAsia="Arial" w:hint="default"/>
                <w:sz w:val="16"/>
                <w:szCs w:val="16"/>
              </w:rPr>
              <w:t>12</w:t>
            </w:r>
            <w:r>
              <w:rPr>
                <w:rFonts w:ascii="黑体" w:hAnsi="黑体" w:cs="黑体" w:eastAsia="黑体" w:hint="default"/>
                <w:sz w:val="16"/>
                <w:szCs w:val="16"/>
              </w:rPr>
              <w:t>月</w:t>
            </w:r>
            <w:r>
              <w:rPr>
                <w:rFonts w:ascii="Arial" w:hAnsi="Arial" w:cs="Arial" w:eastAsia="Arial" w:hint="default"/>
                <w:sz w:val="16"/>
                <w:szCs w:val="16"/>
              </w:rPr>
              <w:t>31</w:t>
            </w:r>
            <w:r>
              <w:rPr>
                <w:rFonts w:ascii="黑体" w:hAnsi="黑体" w:cs="黑体" w:eastAsia="黑体" w:hint="default"/>
                <w:sz w:val="16"/>
                <w:szCs w:val="16"/>
              </w:rPr>
              <w:t>日</w:t>
            </w:r>
          </w:p>
        </w:tc>
        <w:tc>
          <w:tcPr>
            <w:tcW w:w="748" w:type="dxa"/>
            <w:tcBorders>
              <w:top w:val="nil" w:sz="6" w:space="0" w:color="auto"/>
              <w:left w:val="nil" w:sz="6" w:space="0" w:color="auto"/>
              <w:bottom w:val="single" w:sz="4" w:space="0" w:color="000000"/>
              <w:right w:val="nil" w:sz="6" w:space="0" w:color="auto"/>
            </w:tcBorders>
          </w:tcPr>
          <w:p>
            <w:pPr/>
          </w:p>
        </w:tc>
      </w:tr>
      <w:tr>
        <w:trPr>
          <w:trHeight w:val="277" w:hRule="exact"/>
        </w:trPr>
        <w:tc>
          <w:tcPr>
            <w:tcW w:w="1713" w:type="dxa"/>
            <w:tcBorders>
              <w:top w:val="single" w:sz="4" w:space="0" w:color="000000"/>
              <w:left w:val="nil" w:sz="6" w:space="0" w:color="auto"/>
              <w:bottom w:val="nil" w:sz="6" w:space="0" w:color="auto"/>
              <w:right w:val="nil" w:sz="6" w:space="0" w:color="auto"/>
            </w:tcBorders>
          </w:tcPr>
          <w:p>
            <w:pPr/>
          </w:p>
        </w:tc>
        <w:tc>
          <w:tcPr>
            <w:tcW w:w="1441"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14"/>
              <w:ind w:left="680" w:right="0"/>
              <w:jc w:val="left"/>
              <w:rPr>
                <w:rFonts w:ascii="黑体" w:hAnsi="黑体" w:cs="黑体" w:eastAsia="黑体" w:hint="default"/>
                <w:sz w:val="16"/>
                <w:szCs w:val="16"/>
              </w:rPr>
            </w:pPr>
            <w:r>
              <w:rPr>
                <w:rFonts w:ascii="黑体" w:hAnsi="黑体" w:cs="黑体" w:eastAsia="黑体" w:hint="default"/>
                <w:sz w:val="16"/>
                <w:szCs w:val="16"/>
              </w:rPr>
              <w:t>账面金额</w:t>
            </w:r>
          </w:p>
        </w:tc>
        <w:tc>
          <w:tcPr>
            <w:tcW w:w="854" w:type="dxa"/>
            <w:tcBorders>
              <w:top w:val="single" w:sz="4" w:space="0" w:color="000000"/>
              <w:left w:val="nil" w:sz="6" w:space="0" w:color="auto"/>
              <w:bottom w:val="nil" w:sz="6" w:space="0" w:color="auto"/>
              <w:right w:val="nil" w:sz="6" w:space="0" w:color="auto"/>
            </w:tcBorders>
          </w:tcPr>
          <w:p>
            <w:pPr/>
          </w:p>
        </w:tc>
        <w:tc>
          <w:tcPr>
            <w:tcW w:w="679"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7"/>
              <w:jc w:val="right"/>
              <w:rPr>
                <w:rFonts w:ascii="黑体" w:hAnsi="黑体" w:cs="黑体" w:eastAsia="黑体" w:hint="default"/>
                <w:sz w:val="16"/>
                <w:szCs w:val="16"/>
              </w:rPr>
            </w:pPr>
            <w:r>
              <w:rPr>
                <w:rFonts w:ascii="黑体" w:hAnsi="黑体" w:cs="黑体" w:eastAsia="黑体" w:hint="default"/>
                <w:sz w:val="16"/>
                <w:szCs w:val="16"/>
              </w:rPr>
              <w:t>坏账准备</w:t>
            </w:r>
          </w:p>
        </w:tc>
        <w:tc>
          <w:tcPr>
            <w:tcW w:w="177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9"/>
              <w:ind w:left="1000" w:right="0"/>
              <w:jc w:val="left"/>
              <w:rPr>
                <w:rFonts w:ascii="黑体" w:hAnsi="黑体" w:cs="黑体" w:eastAsia="黑体" w:hint="default"/>
                <w:sz w:val="16"/>
                <w:szCs w:val="16"/>
              </w:rPr>
            </w:pPr>
            <w:r>
              <w:rPr>
                <w:rFonts w:ascii="黑体" w:hAnsi="黑体" w:cs="黑体" w:eastAsia="黑体" w:hint="default"/>
                <w:sz w:val="16"/>
                <w:szCs w:val="16"/>
              </w:rPr>
              <w:t>账面金额</w:t>
            </w:r>
          </w:p>
        </w:tc>
        <w:tc>
          <w:tcPr>
            <w:tcW w:w="932" w:type="dxa"/>
            <w:tcBorders>
              <w:top w:val="single" w:sz="4" w:space="0" w:color="000000"/>
              <w:left w:val="nil" w:sz="6" w:space="0" w:color="auto"/>
              <w:bottom w:val="nil" w:sz="6" w:space="0" w:color="auto"/>
              <w:right w:val="nil" w:sz="6" w:space="0" w:color="auto"/>
            </w:tcBorders>
          </w:tcPr>
          <w:p>
            <w:pPr/>
          </w:p>
        </w:tc>
        <w:tc>
          <w:tcPr>
            <w:tcW w:w="748" w:type="dxa"/>
            <w:tcBorders>
              <w:top w:val="single" w:sz="4" w:space="0" w:color="000000"/>
              <w:left w:val="nil" w:sz="6" w:space="0" w:color="auto"/>
              <w:bottom w:val="nil" w:sz="6" w:space="0" w:color="auto"/>
              <w:right w:val="nil" w:sz="6" w:space="0" w:color="auto"/>
            </w:tcBorders>
          </w:tcPr>
          <w:p>
            <w:pPr>
              <w:pStyle w:val="TableParagraph"/>
              <w:spacing w:line="240" w:lineRule="auto" w:before="14"/>
              <w:ind w:right="7"/>
              <w:jc w:val="right"/>
              <w:rPr>
                <w:rFonts w:ascii="黑体" w:hAnsi="黑体" w:cs="黑体" w:eastAsia="黑体" w:hint="default"/>
                <w:sz w:val="16"/>
                <w:szCs w:val="16"/>
              </w:rPr>
            </w:pPr>
            <w:r>
              <w:rPr>
                <w:rFonts w:ascii="黑体" w:hAnsi="黑体" w:cs="黑体" w:eastAsia="黑体" w:hint="default"/>
                <w:sz w:val="16"/>
                <w:szCs w:val="16"/>
              </w:rPr>
              <w:t>坏账准备</w:t>
            </w:r>
          </w:p>
        </w:tc>
      </w:tr>
      <w:tr>
        <w:trPr>
          <w:trHeight w:val="260" w:hRule="exact"/>
        </w:trPr>
        <w:tc>
          <w:tcPr>
            <w:tcW w:w="1713" w:type="dxa"/>
            <w:tcBorders>
              <w:top w:val="nil" w:sz="6" w:space="0" w:color="auto"/>
              <w:left w:val="nil" w:sz="6" w:space="0" w:color="auto"/>
              <w:bottom w:val="nil" w:sz="6" w:space="0" w:color="auto"/>
              <w:right w:val="nil" w:sz="6" w:space="0" w:color="auto"/>
            </w:tcBorders>
          </w:tcPr>
          <w:p>
            <w:pPr/>
          </w:p>
        </w:tc>
        <w:tc>
          <w:tcPr>
            <w:tcW w:w="985" w:type="dxa"/>
            <w:tcBorders>
              <w:top w:val="nil" w:sz="6" w:space="0" w:color="auto"/>
              <w:left w:val="nil" w:sz="6" w:space="0" w:color="auto"/>
              <w:bottom w:val="nil" w:sz="6" w:space="0" w:color="auto"/>
              <w:right w:val="nil" w:sz="6" w:space="0" w:color="auto"/>
            </w:tcBorders>
          </w:tcPr>
          <w:p>
            <w:pPr>
              <w:pStyle w:val="TableParagraph"/>
              <w:spacing w:line="209" w:lineRule="exact"/>
              <w:ind w:right="24"/>
              <w:jc w:val="right"/>
              <w:rPr>
                <w:rFonts w:ascii="黑体" w:hAnsi="黑体" w:cs="黑体" w:eastAsia="黑体" w:hint="default"/>
                <w:sz w:val="16"/>
                <w:szCs w:val="16"/>
              </w:rPr>
            </w:pPr>
            <w:r>
              <w:rPr>
                <w:rFonts w:ascii="黑体" w:hAnsi="黑体" w:cs="黑体" w:eastAsia="黑体" w:hint="default"/>
                <w:sz w:val="16"/>
                <w:szCs w:val="16"/>
              </w:rPr>
              <w:t>金额</w:t>
            </w:r>
          </w:p>
        </w:tc>
        <w:tc>
          <w:tcPr>
            <w:tcW w:w="456" w:type="dxa"/>
            <w:tcBorders>
              <w:top w:val="nil" w:sz="6" w:space="0" w:color="auto"/>
              <w:left w:val="nil" w:sz="6" w:space="0" w:color="auto"/>
              <w:bottom w:val="nil" w:sz="6" w:space="0" w:color="auto"/>
              <w:right w:val="nil" w:sz="6" w:space="0" w:color="auto"/>
            </w:tcBorders>
          </w:tcPr>
          <w:p>
            <w:pPr>
              <w:pStyle w:val="TableParagraph"/>
              <w:spacing w:line="209" w:lineRule="exact"/>
              <w:ind w:right="113"/>
              <w:jc w:val="right"/>
              <w:rPr>
                <w:rFonts w:ascii="黑体" w:hAnsi="黑体" w:cs="黑体" w:eastAsia="黑体" w:hint="default"/>
                <w:sz w:val="16"/>
                <w:szCs w:val="16"/>
              </w:rPr>
            </w:pPr>
            <w:r>
              <w:rPr>
                <w:rFonts w:ascii="黑体" w:hAnsi="黑体" w:cs="黑体" w:eastAsia="黑体" w:hint="default"/>
                <w:sz w:val="16"/>
                <w:szCs w:val="16"/>
              </w:rPr>
              <w:t>比例</w:t>
            </w:r>
          </w:p>
        </w:tc>
        <w:tc>
          <w:tcPr>
            <w:tcW w:w="854" w:type="dxa"/>
            <w:tcBorders>
              <w:top w:val="nil" w:sz="6" w:space="0" w:color="auto"/>
              <w:left w:val="nil" w:sz="6" w:space="0" w:color="auto"/>
              <w:bottom w:val="nil" w:sz="6" w:space="0" w:color="auto"/>
              <w:right w:val="nil" w:sz="6" w:space="0" w:color="auto"/>
            </w:tcBorders>
          </w:tcPr>
          <w:p>
            <w:pPr>
              <w:pStyle w:val="TableParagraph"/>
              <w:spacing w:line="209" w:lineRule="exact"/>
              <w:ind w:right="31"/>
              <w:jc w:val="right"/>
              <w:rPr>
                <w:rFonts w:ascii="黑体" w:hAnsi="黑体" w:cs="黑体" w:eastAsia="黑体" w:hint="default"/>
                <w:sz w:val="16"/>
                <w:szCs w:val="16"/>
              </w:rPr>
            </w:pPr>
            <w:r>
              <w:rPr>
                <w:rFonts w:ascii="黑体" w:hAnsi="黑体" w:cs="黑体" w:eastAsia="黑体" w:hint="default"/>
                <w:sz w:val="16"/>
                <w:szCs w:val="16"/>
              </w:rPr>
              <w:t>金额</w:t>
            </w:r>
          </w:p>
        </w:tc>
        <w:tc>
          <w:tcPr>
            <w:tcW w:w="679" w:type="dxa"/>
            <w:tcBorders>
              <w:top w:val="nil" w:sz="6" w:space="0" w:color="auto"/>
              <w:left w:val="nil" w:sz="6" w:space="0" w:color="auto"/>
              <w:bottom w:val="nil" w:sz="6" w:space="0" w:color="auto"/>
              <w:right w:val="nil" w:sz="6" w:space="0" w:color="auto"/>
            </w:tcBorders>
          </w:tcPr>
          <w:p>
            <w:pPr>
              <w:pStyle w:val="TableParagraph"/>
              <w:spacing w:line="209" w:lineRule="exact"/>
              <w:ind w:right="7"/>
              <w:jc w:val="right"/>
              <w:rPr>
                <w:rFonts w:ascii="黑体" w:hAnsi="黑体" w:cs="黑体" w:eastAsia="黑体" w:hint="default"/>
                <w:sz w:val="16"/>
                <w:szCs w:val="16"/>
              </w:rPr>
            </w:pPr>
            <w:r>
              <w:rPr>
                <w:rFonts w:ascii="黑体" w:hAnsi="黑体" w:cs="黑体" w:eastAsia="黑体" w:hint="default"/>
                <w:sz w:val="16"/>
                <w:szCs w:val="16"/>
              </w:rPr>
              <w:t>计提比例</w:t>
            </w:r>
          </w:p>
        </w:tc>
        <w:tc>
          <w:tcPr>
            <w:tcW w:w="235" w:type="dxa"/>
            <w:tcBorders>
              <w:top w:val="nil" w:sz="6" w:space="0" w:color="auto"/>
              <w:left w:val="nil" w:sz="6" w:space="0" w:color="auto"/>
              <w:bottom w:val="nil" w:sz="6" w:space="0" w:color="auto"/>
              <w:right w:val="nil" w:sz="6" w:space="0" w:color="auto"/>
            </w:tcBorders>
          </w:tcPr>
          <w:p>
            <w:pPr/>
          </w:p>
        </w:tc>
        <w:tc>
          <w:tcPr>
            <w:tcW w:w="1059" w:type="dxa"/>
            <w:tcBorders>
              <w:top w:val="nil" w:sz="6" w:space="0" w:color="auto"/>
              <w:left w:val="nil" w:sz="6" w:space="0" w:color="auto"/>
              <w:bottom w:val="nil" w:sz="6" w:space="0" w:color="auto"/>
              <w:right w:val="nil" w:sz="6" w:space="0" w:color="auto"/>
            </w:tcBorders>
          </w:tcPr>
          <w:p>
            <w:pPr>
              <w:pStyle w:val="TableParagraph"/>
              <w:spacing w:line="209" w:lineRule="exact"/>
              <w:ind w:right="30"/>
              <w:jc w:val="right"/>
              <w:rPr>
                <w:rFonts w:ascii="黑体" w:hAnsi="黑体" w:cs="黑体" w:eastAsia="黑体" w:hint="default"/>
                <w:sz w:val="16"/>
                <w:szCs w:val="16"/>
              </w:rPr>
            </w:pPr>
            <w:r>
              <w:rPr>
                <w:rFonts w:ascii="黑体" w:hAnsi="黑体" w:cs="黑体" w:eastAsia="黑体" w:hint="default"/>
                <w:sz w:val="16"/>
                <w:szCs w:val="16"/>
              </w:rPr>
              <w:t>金额</w:t>
            </w:r>
          </w:p>
        </w:tc>
        <w:tc>
          <w:tcPr>
            <w:tcW w:w="476" w:type="dxa"/>
            <w:tcBorders>
              <w:top w:val="nil" w:sz="6" w:space="0" w:color="auto"/>
              <w:left w:val="nil" w:sz="6" w:space="0" w:color="auto"/>
              <w:bottom w:val="nil" w:sz="6" w:space="0" w:color="auto"/>
              <w:right w:val="nil" w:sz="6" w:space="0" w:color="auto"/>
            </w:tcBorders>
          </w:tcPr>
          <w:p>
            <w:pPr>
              <w:pStyle w:val="TableParagraph"/>
              <w:spacing w:line="209" w:lineRule="exact"/>
              <w:ind w:right="125"/>
              <w:jc w:val="right"/>
              <w:rPr>
                <w:rFonts w:ascii="黑体" w:hAnsi="黑体" w:cs="黑体" w:eastAsia="黑体" w:hint="default"/>
                <w:sz w:val="16"/>
                <w:szCs w:val="16"/>
              </w:rPr>
            </w:pPr>
            <w:r>
              <w:rPr>
                <w:rFonts w:ascii="黑体" w:hAnsi="黑体" w:cs="黑体" w:eastAsia="黑体" w:hint="default"/>
                <w:sz w:val="16"/>
                <w:szCs w:val="16"/>
              </w:rPr>
              <w:t>比例</w:t>
            </w:r>
          </w:p>
        </w:tc>
        <w:tc>
          <w:tcPr>
            <w:tcW w:w="932" w:type="dxa"/>
            <w:tcBorders>
              <w:top w:val="nil" w:sz="6" w:space="0" w:color="auto"/>
              <w:left w:val="nil" w:sz="6" w:space="0" w:color="auto"/>
              <w:bottom w:val="nil" w:sz="6" w:space="0" w:color="auto"/>
              <w:right w:val="nil" w:sz="6" w:space="0" w:color="auto"/>
            </w:tcBorders>
          </w:tcPr>
          <w:p>
            <w:pPr>
              <w:pStyle w:val="TableParagraph"/>
              <w:spacing w:line="209" w:lineRule="exact"/>
              <w:ind w:right="96"/>
              <w:jc w:val="right"/>
              <w:rPr>
                <w:rFonts w:ascii="黑体" w:hAnsi="黑体" w:cs="黑体" w:eastAsia="黑体" w:hint="default"/>
                <w:sz w:val="16"/>
                <w:szCs w:val="16"/>
              </w:rPr>
            </w:pPr>
            <w:r>
              <w:rPr>
                <w:rFonts w:ascii="黑体" w:hAnsi="黑体" w:cs="黑体" w:eastAsia="黑体" w:hint="default"/>
                <w:sz w:val="16"/>
                <w:szCs w:val="16"/>
              </w:rPr>
              <w:t>金额</w:t>
            </w:r>
          </w:p>
        </w:tc>
        <w:tc>
          <w:tcPr>
            <w:tcW w:w="748" w:type="dxa"/>
            <w:tcBorders>
              <w:top w:val="nil" w:sz="6" w:space="0" w:color="auto"/>
              <w:left w:val="nil" w:sz="6" w:space="0" w:color="auto"/>
              <w:bottom w:val="nil" w:sz="6" w:space="0" w:color="auto"/>
              <w:right w:val="nil" w:sz="6" w:space="0" w:color="auto"/>
            </w:tcBorders>
          </w:tcPr>
          <w:p>
            <w:pPr>
              <w:pStyle w:val="TableParagraph"/>
              <w:spacing w:line="209" w:lineRule="exact"/>
              <w:ind w:right="7"/>
              <w:jc w:val="right"/>
              <w:rPr>
                <w:rFonts w:ascii="黑体" w:hAnsi="黑体" w:cs="黑体" w:eastAsia="黑体" w:hint="default"/>
                <w:sz w:val="16"/>
                <w:szCs w:val="16"/>
              </w:rPr>
            </w:pPr>
            <w:r>
              <w:rPr>
                <w:rFonts w:ascii="黑体" w:hAnsi="黑体" w:cs="黑体" w:eastAsia="黑体" w:hint="default"/>
                <w:sz w:val="16"/>
                <w:szCs w:val="16"/>
              </w:rPr>
              <w:t>计提比例</w:t>
            </w:r>
          </w:p>
        </w:tc>
      </w:tr>
      <w:tr>
        <w:trPr>
          <w:trHeight w:val="361" w:hRule="exact"/>
        </w:trPr>
        <w:tc>
          <w:tcPr>
            <w:tcW w:w="1713" w:type="dxa"/>
            <w:tcBorders>
              <w:top w:val="nil" w:sz="6" w:space="0" w:color="auto"/>
              <w:left w:val="nil" w:sz="6" w:space="0" w:color="auto"/>
              <w:bottom w:val="nil" w:sz="6" w:space="0" w:color="auto"/>
              <w:right w:val="nil" w:sz="6" w:space="0" w:color="auto"/>
            </w:tcBorders>
          </w:tcPr>
          <w:p>
            <w:pPr/>
          </w:p>
        </w:tc>
        <w:tc>
          <w:tcPr>
            <w:tcW w:w="985" w:type="dxa"/>
            <w:tcBorders>
              <w:top w:val="nil" w:sz="6" w:space="0" w:color="auto"/>
              <w:left w:val="nil" w:sz="6" w:space="0" w:color="auto"/>
              <w:bottom w:val="nil" w:sz="6" w:space="0" w:color="auto"/>
              <w:right w:val="nil" w:sz="6" w:space="0" w:color="auto"/>
            </w:tcBorders>
          </w:tcPr>
          <w:p>
            <w:pP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14"/>
              <w:jc w:val="right"/>
              <w:rPr>
                <w:rFonts w:ascii="Arial" w:hAnsi="Arial" w:cs="Arial" w:eastAsia="Arial" w:hint="default"/>
                <w:sz w:val="16"/>
                <w:szCs w:val="16"/>
              </w:rPr>
            </w:pPr>
            <w:r>
              <w:rPr>
                <w:rFonts w:ascii="Arial"/>
                <w:spacing w:val="-1"/>
                <w:sz w:val="16"/>
              </w:rPr>
              <w:t>(%)</w:t>
            </w:r>
          </w:p>
        </w:tc>
        <w:tc>
          <w:tcPr>
            <w:tcW w:w="854" w:type="dxa"/>
            <w:tcBorders>
              <w:top w:val="nil" w:sz="6" w:space="0" w:color="auto"/>
              <w:left w:val="nil" w:sz="6" w:space="0" w:color="auto"/>
              <w:bottom w:val="nil" w:sz="6" w:space="0" w:color="auto"/>
              <w:right w:val="nil" w:sz="6" w:space="0" w:color="auto"/>
            </w:tcBorders>
          </w:tcPr>
          <w:p>
            <w:pPr/>
          </w:p>
        </w:tc>
        <w:tc>
          <w:tcPr>
            <w:tcW w:w="679"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
              <w:jc w:val="right"/>
              <w:rPr>
                <w:rFonts w:ascii="Arial" w:hAnsi="Arial" w:cs="Arial" w:eastAsia="Arial" w:hint="default"/>
                <w:sz w:val="16"/>
                <w:szCs w:val="16"/>
              </w:rPr>
            </w:pPr>
            <w:r>
              <w:rPr>
                <w:rFonts w:ascii="Arial"/>
                <w:spacing w:val="-1"/>
                <w:sz w:val="16"/>
              </w:rPr>
              <w:t>(%)</w:t>
            </w:r>
          </w:p>
        </w:tc>
        <w:tc>
          <w:tcPr>
            <w:tcW w:w="235" w:type="dxa"/>
            <w:tcBorders>
              <w:top w:val="nil" w:sz="6" w:space="0" w:color="auto"/>
              <w:left w:val="nil" w:sz="6" w:space="0" w:color="auto"/>
              <w:bottom w:val="nil" w:sz="6" w:space="0" w:color="auto"/>
              <w:right w:val="nil" w:sz="6" w:space="0" w:color="auto"/>
            </w:tcBorders>
          </w:tcPr>
          <w:p>
            <w:pPr/>
          </w:p>
        </w:tc>
        <w:tc>
          <w:tcPr>
            <w:tcW w:w="1059" w:type="dxa"/>
            <w:tcBorders>
              <w:top w:val="nil" w:sz="6" w:space="0" w:color="auto"/>
              <w:left w:val="nil" w:sz="6" w:space="0" w:color="auto"/>
              <w:bottom w:val="nil" w:sz="6" w:space="0" w:color="auto"/>
              <w:right w:val="nil" w:sz="6" w:space="0" w:color="auto"/>
            </w:tcBorders>
          </w:tcPr>
          <w:p>
            <w:pPr/>
          </w:p>
        </w:tc>
        <w:tc>
          <w:tcPr>
            <w:tcW w:w="47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26"/>
              <w:jc w:val="right"/>
              <w:rPr>
                <w:rFonts w:ascii="Arial" w:hAnsi="Arial" w:cs="Arial" w:eastAsia="Arial" w:hint="default"/>
                <w:sz w:val="16"/>
                <w:szCs w:val="16"/>
              </w:rPr>
            </w:pPr>
            <w:r>
              <w:rPr>
                <w:rFonts w:ascii="Arial"/>
                <w:spacing w:val="-1"/>
                <w:sz w:val="16"/>
              </w:rPr>
              <w:t>(%)</w:t>
            </w:r>
          </w:p>
        </w:tc>
        <w:tc>
          <w:tcPr>
            <w:tcW w:w="932" w:type="dxa"/>
            <w:tcBorders>
              <w:top w:val="nil" w:sz="6" w:space="0" w:color="auto"/>
              <w:left w:val="nil" w:sz="6" w:space="0" w:color="auto"/>
              <w:bottom w:val="nil" w:sz="6" w:space="0" w:color="auto"/>
              <w:right w:val="nil" w:sz="6" w:space="0" w:color="auto"/>
            </w:tcBorders>
          </w:tcPr>
          <w:p>
            <w:pP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
              <w:jc w:val="right"/>
              <w:rPr>
                <w:rFonts w:ascii="Arial" w:hAnsi="Arial" w:cs="Arial" w:eastAsia="Arial" w:hint="default"/>
                <w:sz w:val="16"/>
                <w:szCs w:val="16"/>
              </w:rPr>
            </w:pPr>
            <w:r>
              <w:rPr>
                <w:rFonts w:ascii="Arial"/>
                <w:spacing w:val="-1"/>
                <w:sz w:val="16"/>
              </w:rPr>
              <w:t>(%)</w:t>
            </w:r>
          </w:p>
        </w:tc>
      </w:tr>
      <w:tr>
        <w:trPr>
          <w:trHeight w:val="575" w:hRule="exact"/>
        </w:trPr>
        <w:tc>
          <w:tcPr>
            <w:tcW w:w="1713" w:type="dxa"/>
            <w:tcBorders>
              <w:top w:val="nil" w:sz="6" w:space="0" w:color="auto"/>
              <w:left w:val="nil" w:sz="6" w:space="0" w:color="auto"/>
              <w:bottom w:val="nil" w:sz="6" w:space="0" w:color="auto"/>
              <w:right w:val="nil" w:sz="6" w:space="0" w:color="auto"/>
            </w:tcBorders>
          </w:tcPr>
          <w:p>
            <w:pPr>
              <w:pStyle w:val="TableParagraph"/>
              <w:spacing w:line="209" w:lineRule="exact" w:before="101"/>
              <w:ind w:left="200" w:right="0"/>
              <w:jc w:val="left"/>
              <w:rPr>
                <w:rFonts w:ascii="黑体" w:hAnsi="黑体" w:cs="黑体" w:eastAsia="黑体" w:hint="default"/>
                <w:sz w:val="16"/>
                <w:szCs w:val="16"/>
              </w:rPr>
            </w:pPr>
            <w:r>
              <w:rPr>
                <w:rFonts w:ascii="黑体" w:hAnsi="黑体" w:cs="黑体" w:eastAsia="黑体" w:hint="default"/>
                <w:sz w:val="16"/>
                <w:szCs w:val="16"/>
              </w:rPr>
              <w:t>单项金额重大并单项</w:t>
            </w:r>
          </w:p>
          <w:p>
            <w:pPr>
              <w:pStyle w:val="TableParagraph"/>
              <w:spacing w:line="209" w:lineRule="exact"/>
              <w:ind w:left="679" w:right="0"/>
              <w:jc w:val="left"/>
              <w:rPr>
                <w:rFonts w:ascii="黑体" w:hAnsi="黑体" w:cs="黑体" w:eastAsia="黑体" w:hint="default"/>
                <w:sz w:val="16"/>
                <w:szCs w:val="16"/>
              </w:rPr>
            </w:pPr>
            <w:r>
              <w:rPr>
                <w:rFonts w:ascii="黑体" w:hAnsi="黑体" w:cs="黑体" w:eastAsia="黑体" w:hint="default"/>
                <w:sz w:val="16"/>
                <w:szCs w:val="16"/>
              </w:rPr>
              <w:t>计提坏账准备</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3"/>
              <w:ind w:right="0"/>
              <w:jc w:val="left"/>
              <w:rPr>
                <w:rFonts w:ascii="黑体" w:hAnsi="黑体" w:cs="黑体" w:eastAsia="黑体" w:hint="default"/>
                <w:sz w:val="11"/>
                <w:szCs w:val="11"/>
              </w:rPr>
            </w:pPr>
          </w:p>
          <w:p>
            <w:pPr>
              <w:pStyle w:val="TableParagraph"/>
              <w:spacing w:line="240" w:lineRule="auto"/>
              <w:ind w:right="22"/>
              <w:jc w:val="right"/>
              <w:rPr>
                <w:rFonts w:ascii="Arial" w:hAnsi="Arial" w:cs="Arial" w:eastAsia="Arial" w:hint="default"/>
                <w:sz w:val="16"/>
                <w:szCs w:val="16"/>
              </w:rPr>
            </w:pPr>
            <w:r>
              <w:rPr>
                <w:rFonts w:ascii="Arial"/>
                <w:spacing w:val="-1"/>
                <w:sz w:val="16"/>
              </w:rPr>
              <w:t>12,481,008</w:t>
            </w:r>
            <w:r>
              <w:rPr>
                <w:rFonts w:ascii="Arial"/>
                <w:sz w:val="16"/>
              </w:rPr>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3"/>
              <w:ind w:right="0"/>
              <w:jc w:val="left"/>
              <w:rPr>
                <w:rFonts w:ascii="黑体" w:hAnsi="黑体" w:cs="黑体" w:eastAsia="黑体" w:hint="default"/>
                <w:sz w:val="11"/>
                <w:szCs w:val="11"/>
              </w:rPr>
            </w:pPr>
          </w:p>
          <w:p>
            <w:pPr>
              <w:pStyle w:val="TableParagraph"/>
              <w:spacing w:line="240" w:lineRule="auto"/>
              <w:ind w:right="110"/>
              <w:jc w:val="right"/>
              <w:rPr>
                <w:rFonts w:ascii="Arial" w:hAnsi="Arial" w:cs="Arial" w:eastAsia="Arial" w:hint="default"/>
                <w:sz w:val="16"/>
                <w:szCs w:val="16"/>
              </w:rPr>
            </w:pPr>
            <w:r>
              <w:rPr>
                <w:rFonts w:ascii="Arial"/>
                <w:w w:val="100"/>
                <w:sz w:val="16"/>
              </w:rPr>
              <w:t>3</w:t>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3"/>
              <w:ind w:right="0"/>
              <w:jc w:val="left"/>
              <w:rPr>
                <w:rFonts w:ascii="黑体" w:hAnsi="黑体" w:cs="黑体" w:eastAsia="黑体" w:hint="default"/>
                <w:sz w:val="11"/>
                <w:szCs w:val="11"/>
              </w:rPr>
            </w:pPr>
          </w:p>
          <w:p>
            <w:pPr>
              <w:pStyle w:val="TableParagraph"/>
              <w:spacing w:line="240" w:lineRule="auto"/>
              <w:ind w:right="28"/>
              <w:jc w:val="right"/>
              <w:rPr>
                <w:rFonts w:ascii="Arial" w:hAnsi="Arial" w:cs="Arial" w:eastAsia="Arial" w:hint="default"/>
                <w:sz w:val="16"/>
                <w:szCs w:val="16"/>
              </w:rPr>
            </w:pPr>
            <w:r>
              <w:rPr>
                <w:rFonts w:ascii="Arial"/>
                <w:w w:val="100"/>
                <w:sz w:val="16"/>
              </w:rPr>
              <w:t>-</w:t>
            </w:r>
          </w:p>
        </w:tc>
        <w:tc>
          <w:tcPr>
            <w:tcW w:w="6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3"/>
              <w:ind w:right="0"/>
              <w:jc w:val="left"/>
              <w:rPr>
                <w:rFonts w:ascii="黑体" w:hAnsi="黑体" w:cs="黑体" w:eastAsia="黑体" w:hint="default"/>
                <w:sz w:val="11"/>
                <w:szCs w:val="11"/>
              </w:rPr>
            </w:pPr>
          </w:p>
          <w:p>
            <w:pPr>
              <w:pStyle w:val="TableParagraph"/>
              <w:spacing w:line="240" w:lineRule="auto"/>
              <w:ind w:right="4"/>
              <w:jc w:val="right"/>
              <w:rPr>
                <w:rFonts w:ascii="Arial" w:hAnsi="Arial" w:cs="Arial" w:eastAsia="Arial" w:hint="default"/>
                <w:sz w:val="16"/>
                <w:szCs w:val="16"/>
              </w:rPr>
            </w:pPr>
            <w:r>
              <w:rPr>
                <w:rFonts w:ascii="Arial"/>
                <w:w w:val="100"/>
                <w:sz w:val="16"/>
              </w:rPr>
              <w:t>-</w:t>
            </w:r>
          </w:p>
        </w:tc>
        <w:tc>
          <w:tcPr>
            <w:tcW w:w="235" w:type="dxa"/>
            <w:tcBorders>
              <w:top w:val="nil" w:sz="6" w:space="0" w:color="auto"/>
              <w:left w:val="nil" w:sz="6" w:space="0" w:color="auto"/>
              <w:bottom w:val="nil" w:sz="6" w:space="0" w:color="auto"/>
              <w:right w:val="nil" w:sz="6" w:space="0" w:color="auto"/>
            </w:tcBorders>
          </w:tcPr>
          <w:p>
            <w:pP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3"/>
              <w:ind w:right="0"/>
              <w:jc w:val="left"/>
              <w:rPr>
                <w:rFonts w:ascii="黑体" w:hAnsi="黑体" w:cs="黑体" w:eastAsia="黑体" w:hint="default"/>
                <w:sz w:val="11"/>
                <w:szCs w:val="11"/>
              </w:rPr>
            </w:pPr>
          </w:p>
          <w:p>
            <w:pPr>
              <w:pStyle w:val="TableParagraph"/>
              <w:spacing w:line="240" w:lineRule="auto"/>
              <w:ind w:right="30"/>
              <w:jc w:val="right"/>
              <w:rPr>
                <w:rFonts w:ascii="Arial" w:hAnsi="Arial" w:cs="Arial" w:eastAsia="Arial" w:hint="default"/>
                <w:sz w:val="16"/>
                <w:szCs w:val="16"/>
              </w:rPr>
            </w:pPr>
            <w:r>
              <w:rPr>
                <w:rFonts w:ascii="Arial"/>
                <w:spacing w:val="-1"/>
                <w:sz w:val="16"/>
              </w:rPr>
              <w:t>23,232,568</w:t>
            </w:r>
            <w:r>
              <w:rPr>
                <w:rFonts w:ascii="Arial"/>
                <w:sz w:val="16"/>
              </w:rPr>
            </w:r>
          </w:p>
        </w:tc>
        <w:tc>
          <w:tcPr>
            <w:tcW w:w="4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3"/>
              <w:ind w:right="0"/>
              <w:jc w:val="left"/>
              <w:rPr>
                <w:rFonts w:ascii="黑体" w:hAnsi="黑体" w:cs="黑体" w:eastAsia="黑体" w:hint="default"/>
                <w:sz w:val="11"/>
                <w:szCs w:val="11"/>
              </w:rPr>
            </w:pPr>
          </w:p>
          <w:p>
            <w:pPr>
              <w:pStyle w:val="TableParagraph"/>
              <w:spacing w:line="240" w:lineRule="auto"/>
              <w:ind w:right="124"/>
              <w:jc w:val="right"/>
              <w:rPr>
                <w:rFonts w:ascii="Arial" w:hAnsi="Arial" w:cs="Arial" w:eastAsia="Arial" w:hint="default"/>
                <w:sz w:val="16"/>
                <w:szCs w:val="16"/>
              </w:rPr>
            </w:pPr>
            <w:r>
              <w:rPr>
                <w:rFonts w:ascii="Arial"/>
                <w:w w:val="100"/>
                <w:sz w:val="16"/>
              </w:rPr>
              <w:t>8</w:t>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3"/>
              <w:ind w:right="0"/>
              <w:jc w:val="left"/>
              <w:rPr>
                <w:rFonts w:ascii="黑体" w:hAnsi="黑体" w:cs="黑体" w:eastAsia="黑体" w:hint="default"/>
                <w:sz w:val="11"/>
                <w:szCs w:val="11"/>
              </w:rPr>
            </w:pPr>
          </w:p>
          <w:p>
            <w:pPr>
              <w:pStyle w:val="TableParagraph"/>
              <w:spacing w:line="240" w:lineRule="auto"/>
              <w:ind w:right="93"/>
              <w:jc w:val="right"/>
              <w:rPr>
                <w:rFonts w:ascii="Arial" w:hAnsi="Arial" w:cs="Arial" w:eastAsia="Arial" w:hint="default"/>
                <w:sz w:val="16"/>
                <w:szCs w:val="16"/>
              </w:rPr>
            </w:pPr>
            <w:r>
              <w:rPr>
                <w:rFonts w:ascii="Arial"/>
                <w:w w:val="100"/>
                <w:sz w:val="16"/>
              </w:rPr>
              <w:t>-</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3"/>
              <w:ind w:right="0"/>
              <w:jc w:val="left"/>
              <w:rPr>
                <w:rFonts w:ascii="黑体" w:hAnsi="黑体" w:cs="黑体" w:eastAsia="黑体" w:hint="default"/>
                <w:sz w:val="11"/>
                <w:szCs w:val="11"/>
              </w:rPr>
            </w:pPr>
          </w:p>
          <w:p>
            <w:pPr>
              <w:pStyle w:val="TableParagraph"/>
              <w:spacing w:line="240" w:lineRule="auto"/>
              <w:ind w:right="6"/>
              <w:jc w:val="right"/>
              <w:rPr>
                <w:rFonts w:ascii="Arial" w:hAnsi="Arial" w:cs="Arial" w:eastAsia="Arial" w:hint="default"/>
                <w:sz w:val="16"/>
                <w:szCs w:val="16"/>
              </w:rPr>
            </w:pPr>
            <w:r>
              <w:rPr>
                <w:rFonts w:ascii="Arial"/>
                <w:w w:val="100"/>
                <w:sz w:val="16"/>
              </w:rPr>
              <w:t>-</w:t>
            </w:r>
          </w:p>
        </w:tc>
      </w:tr>
      <w:tr>
        <w:trPr>
          <w:trHeight w:val="254" w:hRule="exact"/>
        </w:trPr>
        <w:tc>
          <w:tcPr>
            <w:tcW w:w="1713" w:type="dxa"/>
            <w:tcBorders>
              <w:top w:val="nil" w:sz="6" w:space="0" w:color="auto"/>
              <w:left w:val="nil" w:sz="6" w:space="0" w:color="auto"/>
              <w:bottom w:val="nil" w:sz="6" w:space="0" w:color="auto"/>
              <w:right w:val="nil" w:sz="6" w:space="0" w:color="auto"/>
            </w:tcBorders>
          </w:tcPr>
          <w:p>
            <w:pPr>
              <w:pStyle w:val="TableParagraph"/>
              <w:spacing w:line="199" w:lineRule="exact"/>
              <w:ind w:right="90"/>
              <w:jc w:val="right"/>
              <w:rPr>
                <w:rFonts w:ascii="黑体" w:hAnsi="黑体" w:cs="黑体" w:eastAsia="黑体" w:hint="default"/>
                <w:sz w:val="16"/>
                <w:szCs w:val="16"/>
              </w:rPr>
            </w:pPr>
            <w:r>
              <w:rPr>
                <w:rFonts w:ascii="黑体" w:hAnsi="黑体" w:cs="黑体" w:eastAsia="黑体" w:hint="default"/>
                <w:spacing w:val="-1"/>
                <w:sz w:val="16"/>
                <w:szCs w:val="16"/>
              </w:rPr>
              <w:t>组合计提坏账准备</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2"/>
              <w:jc w:val="right"/>
              <w:rPr>
                <w:rFonts w:ascii="Arial" w:hAnsi="Arial" w:cs="Arial" w:eastAsia="Arial" w:hint="default"/>
                <w:sz w:val="16"/>
                <w:szCs w:val="16"/>
              </w:rPr>
            </w:pPr>
            <w:r>
              <w:rPr>
                <w:rFonts w:ascii="Arial"/>
                <w:spacing w:val="-1"/>
                <w:sz w:val="16"/>
              </w:rPr>
              <w:t>7,864,416</w:t>
            </w:r>
            <w:r>
              <w:rPr>
                <w:rFonts w:ascii="Arial"/>
                <w:sz w:val="16"/>
              </w:rPr>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10"/>
              <w:jc w:val="right"/>
              <w:rPr>
                <w:rFonts w:ascii="Arial" w:hAnsi="Arial" w:cs="Arial" w:eastAsia="Arial" w:hint="default"/>
                <w:sz w:val="16"/>
                <w:szCs w:val="16"/>
              </w:rPr>
            </w:pPr>
            <w:r>
              <w:rPr>
                <w:rFonts w:ascii="Arial"/>
                <w:w w:val="100"/>
                <w:sz w:val="16"/>
              </w:rPr>
              <w:t>2</w:t>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9"/>
              <w:jc w:val="right"/>
              <w:rPr>
                <w:rFonts w:ascii="Arial" w:hAnsi="Arial" w:cs="Arial" w:eastAsia="Arial" w:hint="default"/>
                <w:sz w:val="16"/>
                <w:szCs w:val="16"/>
              </w:rPr>
            </w:pPr>
            <w:r>
              <w:rPr>
                <w:rFonts w:ascii="Arial"/>
                <w:spacing w:val="-1"/>
                <w:sz w:val="16"/>
              </w:rPr>
              <w:t>825,981</w:t>
            </w:r>
            <w:r>
              <w:rPr>
                <w:rFonts w:ascii="Arial"/>
                <w:sz w:val="16"/>
              </w:rPr>
            </w:r>
          </w:p>
        </w:tc>
        <w:tc>
          <w:tcPr>
            <w:tcW w:w="67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
              <w:jc w:val="right"/>
              <w:rPr>
                <w:rFonts w:ascii="Arial" w:hAnsi="Arial" w:cs="Arial" w:eastAsia="Arial" w:hint="default"/>
                <w:sz w:val="16"/>
                <w:szCs w:val="16"/>
              </w:rPr>
            </w:pPr>
            <w:r>
              <w:rPr>
                <w:rFonts w:ascii="Arial"/>
                <w:spacing w:val="-1"/>
                <w:sz w:val="16"/>
              </w:rPr>
              <w:t>11</w:t>
            </w:r>
            <w:r>
              <w:rPr>
                <w:rFonts w:ascii="Arial"/>
                <w:sz w:val="16"/>
              </w:rPr>
            </w:r>
          </w:p>
        </w:tc>
        <w:tc>
          <w:tcPr>
            <w:tcW w:w="235" w:type="dxa"/>
            <w:tcBorders>
              <w:top w:val="nil" w:sz="6" w:space="0" w:color="auto"/>
              <w:left w:val="nil" w:sz="6" w:space="0" w:color="auto"/>
              <w:bottom w:val="nil" w:sz="6" w:space="0" w:color="auto"/>
              <w:right w:val="nil" w:sz="6" w:space="0" w:color="auto"/>
            </w:tcBorders>
          </w:tcPr>
          <w:p>
            <w:pP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0"/>
              <w:jc w:val="right"/>
              <w:rPr>
                <w:rFonts w:ascii="Arial" w:hAnsi="Arial" w:cs="Arial" w:eastAsia="Arial" w:hint="default"/>
                <w:sz w:val="16"/>
                <w:szCs w:val="16"/>
              </w:rPr>
            </w:pPr>
            <w:r>
              <w:rPr>
                <w:rFonts w:ascii="Arial"/>
                <w:spacing w:val="-1"/>
                <w:sz w:val="16"/>
              </w:rPr>
              <w:t>5,157,963</w:t>
            </w:r>
            <w:r>
              <w:rPr>
                <w:rFonts w:ascii="Arial"/>
                <w:sz w:val="16"/>
              </w:rPr>
            </w:r>
          </w:p>
        </w:tc>
        <w:tc>
          <w:tcPr>
            <w:tcW w:w="47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24"/>
              <w:jc w:val="right"/>
              <w:rPr>
                <w:rFonts w:ascii="Arial" w:hAnsi="Arial" w:cs="Arial" w:eastAsia="Arial" w:hint="default"/>
                <w:sz w:val="16"/>
                <w:szCs w:val="16"/>
              </w:rPr>
            </w:pPr>
            <w:r>
              <w:rPr>
                <w:rFonts w:ascii="Arial"/>
                <w:w w:val="100"/>
                <w:sz w:val="16"/>
              </w:rPr>
              <w:t>2</w:t>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4"/>
              <w:jc w:val="right"/>
              <w:rPr>
                <w:rFonts w:ascii="Arial" w:hAnsi="Arial" w:cs="Arial" w:eastAsia="Arial" w:hint="default"/>
                <w:sz w:val="16"/>
                <w:szCs w:val="16"/>
              </w:rPr>
            </w:pPr>
            <w:r>
              <w:rPr>
                <w:rFonts w:ascii="Arial"/>
                <w:spacing w:val="-1"/>
                <w:sz w:val="16"/>
              </w:rPr>
              <w:t>1,183,352</w:t>
            </w:r>
            <w:r>
              <w:rPr>
                <w:rFonts w:ascii="Arial"/>
                <w:sz w:val="16"/>
              </w:rPr>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
              <w:jc w:val="right"/>
              <w:rPr>
                <w:rFonts w:ascii="Arial" w:hAnsi="Arial" w:cs="Arial" w:eastAsia="Arial" w:hint="default"/>
                <w:sz w:val="16"/>
                <w:szCs w:val="16"/>
              </w:rPr>
            </w:pPr>
            <w:r>
              <w:rPr>
                <w:rFonts w:ascii="Arial"/>
                <w:spacing w:val="-1"/>
                <w:sz w:val="16"/>
              </w:rPr>
              <w:t>23</w:t>
            </w:r>
            <w:r>
              <w:rPr>
                <w:rFonts w:ascii="Arial"/>
                <w:sz w:val="16"/>
              </w:rPr>
            </w:r>
          </w:p>
        </w:tc>
      </w:tr>
      <w:tr>
        <w:trPr>
          <w:trHeight w:val="256" w:hRule="exact"/>
        </w:trPr>
        <w:tc>
          <w:tcPr>
            <w:tcW w:w="1713" w:type="dxa"/>
            <w:tcBorders>
              <w:top w:val="nil" w:sz="6" w:space="0" w:color="auto"/>
              <w:left w:val="nil" w:sz="6" w:space="0" w:color="auto"/>
              <w:bottom w:val="nil" w:sz="6" w:space="0" w:color="auto"/>
              <w:right w:val="nil" w:sz="6" w:space="0" w:color="auto"/>
            </w:tcBorders>
          </w:tcPr>
          <w:p>
            <w:pPr>
              <w:pStyle w:val="TableParagraph"/>
              <w:spacing w:line="210" w:lineRule="exact"/>
              <w:ind w:right="90"/>
              <w:jc w:val="right"/>
              <w:rPr>
                <w:rFonts w:ascii="黑体" w:hAnsi="黑体" w:cs="黑体" w:eastAsia="黑体" w:hint="default"/>
                <w:sz w:val="16"/>
                <w:szCs w:val="16"/>
              </w:rPr>
            </w:pPr>
            <w:r>
              <w:rPr>
                <w:rFonts w:ascii="Arial" w:hAnsi="Arial" w:cs="Arial" w:eastAsia="Arial" w:hint="default"/>
                <w:sz w:val="16"/>
                <w:szCs w:val="16"/>
              </w:rPr>
              <w:t>1</w:t>
            </w:r>
            <w:r>
              <w:rPr>
                <w:rFonts w:ascii="Arial" w:hAnsi="Arial" w:cs="Arial" w:eastAsia="Arial" w:hint="default"/>
                <w:spacing w:val="-3"/>
                <w:sz w:val="16"/>
                <w:szCs w:val="16"/>
              </w:rPr>
              <w:t> </w:t>
            </w:r>
            <w:r>
              <w:rPr>
                <w:rFonts w:ascii="黑体" w:hAnsi="黑体" w:cs="黑体" w:eastAsia="黑体" w:hint="default"/>
                <w:sz w:val="16"/>
                <w:szCs w:val="16"/>
              </w:rPr>
              <w:t>年以内</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2"/>
              <w:jc w:val="right"/>
              <w:rPr>
                <w:rFonts w:ascii="Arial" w:hAnsi="Arial" w:cs="Arial" w:eastAsia="Arial" w:hint="default"/>
                <w:sz w:val="16"/>
                <w:szCs w:val="16"/>
              </w:rPr>
            </w:pPr>
            <w:r>
              <w:rPr>
                <w:rFonts w:ascii="Arial"/>
                <w:spacing w:val="-1"/>
                <w:sz w:val="16"/>
              </w:rPr>
              <w:t>5,995,748</w:t>
            </w:r>
            <w:r>
              <w:rPr>
                <w:rFonts w:ascii="Arial"/>
                <w:sz w:val="16"/>
              </w:rPr>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10"/>
              <w:jc w:val="right"/>
              <w:rPr>
                <w:rFonts w:ascii="Arial" w:hAnsi="Arial" w:cs="Arial" w:eastAsia="Arial" w:hint="default"/>
                <w:sz w:val="16"/>
                <w:szCs w:val="16"/>
              </w:rPr>
            </w:pPr>
            <w:r>
              <w:rPr>
                <w:rFonts w:ascii="Arial"/>
                <w:w w:val="100"/>
                <w:sz w:val="16"/>
              </w:rPr>
              <w:t>1</w:t>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8"/>
              <w:jc w:val="right"/>
              <w:rPr>
                <w:rFonts w:ascii="Arial" w:hAnsi="Arial" w:cs="Arial" w:eastAsia="Arial" w:hint="default"/>
                <w:sz w:val="16"/>
                <w:szCs w:val="16"/>
              </w:rPr>
            </w:pPr>
            <w:r>
              <w:rPr>
                <w:rFonts w:ascii="Arial"/>
                <w:w w:val="100"/>
                <w:sz w:val="16"/>
              </w:rPr>
              <w:t>-</w:t>
            </w:r>
          </w:p>
        </w:tc>
        <w:tc>
          <w:tcPr>
            <w:tcW w:w="67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
              <w:jc w:val="right"/>
              <w:rPr>
                <w:rFonts w:ascii="Arial" w:hAnsi="Arial" w:cs="Arial" w:eastAsia="Arial" w:hint="default"/>
                <w:sz w:val="16"/>
                <w:szCs w:val="16"/>
              </w:rPr>
            </w:pPr>
            <w:r>
              <w:rPr>
                <w:rFonts w:ascii="Arial"/>
                <w:w w:val="100"/>
                <w:sz w:val="16"/>
              </w:rPr>
              <w:t>-</w:t>
            </w:r>
          </w:p>
        </w:tc>
        <w:tc>
          <w:tcPr>
            <w:tcW w:w="235" w:type="dxa"/>
            <w:tcBorders>
              <w:top w:val="nil" w:sz="6" w:space="0" w:color="auto"/>
              <w:left w:val="nil" w:sz="6" w:space="0" w:color="auto"/>
              <w:bottom w:val="nil" w:sz="6" w:space="0" w:color="auto"/>
              <w:right w:val="nil" w:sz="6" w:space="0" w:color="auto"/>
            </w:tcBorders>
          </w:tcPr>
          <w:p>
            <w:pP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0"/>
              <w:jc w:val="right"/>
              <w:rPr>
                <w:rFonts w:ascii="Arial" w:hAnsi="Arial" w:cs="Arial" w:eastAsia="Arial" w:hint="default"/>
                <w:sz w:val="16"/>
                <w:szCs w:val="16"/>
              </w:rPr>
            </w:pPr>
            <w:r>
              <w:rPr>
                <w:rFonts w:ascii="Arial"/>
                <w:spacing w:val="-1"/>
                <w:sz w:val="16"/>
              </w:rPr>
              <w:t>2,470,902</w:t>
            </w:r>
            <w:r>
              <w:rPr>
                <w:rFonts w:ascii="Arial"/>
                <w:sz w:val="16"/>
              </w:rPr>
            </w:r>
          </w:p>
        </w:tc>
        <w:tc>
          <w:tcPr>
            <w:tcW w:w="47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24"/>
              <w:jc w:val="right"/>
              <w:rPr>
                <w:rFonts w:ascii="Arial" w:hAnsi="Arial" w:cs="Arial" w:eastAsia="Arial" w:hint="default"/>
                <w:sz w:val="16"/>
                <w:szCs w:val="16"/>
              </w:rPr>
            </w:pPr>
            <w:r>
              <w:rPr>
                <w:rFonts w:ascii="Arial"/>
                <w:w w:val="100"/>
                <w:sz w:val="16"/>
              </w:rPr>
              <w:t>1</w:t>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3"/>
              <w:jc w:val="right"/>
              <w:rPr>
                <w:rFonts w:ascii="Arial" w:hAnsi="Arial" w:cs="Arial" w:eastAsia="Arial" w:hint="default"/>
                <w:sz w:val="16"/>
                <w:szCs w:val="16"/>
              </w:rPr>
            </w:pPr>
            <w:r>
              <w:rPr>
                <w:rFonts w:ascii="Arial"/>
                <w:w w:val="100"/>
                <w:sz w:val="16"/>
              </w:rPr>
              <w:t>-</w:t>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6"/>
              <w:jc w:val="right"/>
              <w:rPr>
                <w:rFonts w:ascii="Arial" w:hAnsi="Arial" w:cs="Arial" w:eastAsia="Arial" w:hint="default"/>
                <w:sz w:val="16"/>
                <w:szCs w:val="16"/>
              </w:rPr>
            </w:pPr>
            <w:r>
              <w:rPr>
                <w:rFonts w:ascii="Arial"/>
                <w:w w:val="100"/>
                <w:sz w:val="16"/>
              </w:rPr>
              <w:t>-</w:t>
            </w:r>
          </w:p>
        </w:tc>
      </w:tr>
      <w:tr>
        <w:trPr>
          <w:trHeight w:val="254" w:hRule="exact"/>
        </w:trPr>
        <w:tc>
          <w:tcPr>
            <w:tcW w:w="1713" w:type="dxa"/>
            <w:tcBorders>
              <w:top w:val="nil" w:sz="6" w:space="0" w:color="auto"/>
              <w:left w:val="nil" w:sz="6" w:space="0" w:color="auto"/>
              <w:bottom w:val="nil" w:sz="6" w:space="0" w:color="auto"/>
              <w:right w:val="nil" w:sz="6" w:space="0" w:color="auto"/>
            </w:tcBorders>
          </w:tcPr>
          <w:p>
            <w:pPr>
              <w:pStyle w:val="TableParagraph"/>
              <w:spacing w:line="211" w:lineRule="exact"/>
              <w:ind w:right="92"/>
              <w:jc w:val="right"/>
              <w:rPr>
                <w:rFonts w:ascii="黑体" w:hAnsi="黑体" w:cs="黑体" w:eastAsia="黑体" w:hint="default"/>
                <w:sz w:val="16"/>
                <w:szCs w:val="16"/>
              </w:rPr>
            </w:pPr>
            <w:r>
              <w:rPr>
                <w:rFonts w:ascii="Arial" w:hAnsi="Arial" w:cs="Arial" w:eastAsia="Arial" w:hint="default"/>
                <w:sz w:val="16"/>
                <w:szCs w:val="16"/>
              </w:rPr>
              <w:t>1-2</w:t>
            </w:r>
            <w:r>
              <w:rPr>
                <w:rFonts w:ascii="Arial" w:hAnsi="Arial" w:cs="Arial" w:eastAsia="Arial" w:hint="default"/>
                <w:spacing w:val="-6"/>
                <w:sz w:val="16"/>
                <w:szCs w:val="16"/>
              </w:rPr>
              <w:t> </w:t>
            </w:r>
            <w:r>
              <w:rPr>
                <w:rFonts w:ascii="黑体" w:hAnsi="黑体" w:cs="黑体" w:eastAsia="黑体" w:hint="default"/>
                <w:sz w:val="16"/>
                <w:szCs w:val="16"/>
              </w:rPr>
              <w:t>年</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2"/>
              <w:jc w:val="right"/>
              <w:rPr>
                <w:rFonts w:ascii="Arial" w:hAnsi="Arial" w:cs="Arial" w:eastAsia="Arial" w:hint="default"/>
                <w:sz w:val="16"/>
                <w:szCs w:val="16"/>
              </w:rPr>
            </w:pPr>
            <w:r>
              <w:rPr>
                <w:rFonts w:ascii="Arial"/>
                <w:spacing w:val="-1"/>
                <w:sz w:val="16"/>
              </w:rPr>
              <w:t>1,245,601</w:t>
            </w:r>
            <w:r>
              <w:rPr>
                <w:rFonts w:ascii="Arial"/>
                <w:sz w:val="16"/>
              </w:rPr>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0"/>
              <w:jc w:val="right"/>
              <w:rPr>
                <w:rFonts w:ascii="Arial" w:hAnsi="Arial" w:cs="Arial" w:eastAsia="Arial" w:hint="default"/>
                <w:sz w:val="16"/>
                <w:szCs w:val="16"/>
              </w:rPr>
            </w:pPr>
            <w:r>
              <w:rPr>
                <w:rFonts w:ascii="Arial"/>
                <w:spacing w:val="-1"/>
                <w:sz w:val="16"/>
              </w:rPr>
              <w:t>&lt;1</w:t>
            </w:r>
            <w:r>
              <w:rPr>
                <w:rFonts w:ascii="Arial"/>
                <w:sz w:val="16"/>
              </w:rPr>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9"/>
              <w:jc w:val="right"/>
              <w:rPr>
                <w:rFonts w:ascii="Arial" w:hAnsi="Arial" w:cs="Arial" w:eastAsia="Arial" w:hint="default"/>
                <w:sz w:val="16"/>
                <w:szCs w:val="16"/>
              </w:rPr>
            </w:pPr>
            <w:r>
              <w:rPr>
                <w:rFonts w:ascii="Arial"/>
                <w:spacing w:val="-1"/>
                <w:sz w:val="16"/>
              </w:rPr>
              <w:t>249,120</w:t>
            </w:r>
            <w:r>
              <w:rPr>
                <w:rFonts w:ascii="Arial"/>
                <w:sz w:val="16"/>
              </w:rPr>
            </w:r>
          </w:p>
        </w:tc>
        <w:tc>
          <w:tcPr>
            <w:tcW w:w="67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
              <w:jc w:val="right"/>
              <w:rPr>
                <w:rFonts w:ascii="Arial" w:hAnsi="Arial" w:cs="Arial" w:eastAsia="Arial" w:hint="default"/>
                <w:sz w:val="16"/>
                <w:szCs w:val="16"/>
              </w:rPr>
            </w:pPr>
            <w:r>
              <w:rPr>
                <w:rFonts w:ascii="Arial"/>
                <w:spacing w:val="-1"/>
                <w:sz w:val="16"/>
              </w:rPr>
              <w:t>20</w:t>
            </w:r>
            <w:r>
              <w:rPr>
                <w:rFonts w:ascii="Arial"/>
                <w:sz w:val="16"/>
              </w:rPr>
            </w:r>
          </w:p>
        </w:tc>
        <w:tc>
          <w:tcPr>
            <w:tcW w:w="235" w:type="dxa"/>
            <w:tcBorders>
              <w:top w:val="nil" w:sz="6" w:space="0" w:color="auto"/>
              <w:left w:val="nil" w:sz="6" w:space="0" w:color="auto"/>
              <w:bottom w:val="nil" w:sz="6" w:space="0" w:color="auto"/>
              <w:right w:val="nil" w:sz="6" w:space="0" w:color="auto"/>
            </w:tcBorders>
          </w:tcPr>
          <w:p>
            <w:pP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0"/>
              <w:jc w:val="right"/>
              <w:rPr>
                <w:rFonts w:ascii="Arial" w:hAnsi="Arial" w:cs="Arial" w:eastAsia="Arial" w:hint="default"/>
                <w:sz w:val="16"/>
                <w:szCs w:val="16"/>
              </w:rPr>
            </w:pPr>
            <w:r>
              <w:rPr>
                <w:rFonts w:ascii="Arial"/>
                <w:spacing w:val="-1"/>
                <w:sz w:val="16"/>
              </w:rPr>
              <w:t>666,264</w:t>
            </w:r>
            <w:r>
              <w:rPr>
                <w:rFonts w:ascii="Arial"/>
                <w:sz w:val="16"/>
              </w:rPr>
            </w:r>
          </w:p>
        </w:tc>
        <w:tc>
          <w:tcPr>
            <w:tcW w:w="47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24"/>
              <w:jc w:val="right"/>
              <w:rPr>
                <w:rFonts w:ascii="Arial" w:hAnsi="Arial" w:cs="Arial" w:eastAsia="Arial" w:hint="default"/>
                <w:sz w:val="16"/>
                <w:szCs w:val="16"/>
              </w:rPr>
            </w:pPr>
            <w:r>
              <w:rPr>
                <w:rFonts w:ascii="Arial"/>
                <w:spacing w:val="-1"/>
                <w:sz w:val="16"/>
              </w:rPr>
              <w:t>&lt;1</w:t>
            </w:r>
            <w:r>
              <w:rPr>
                <w:rFonts w:ascii="Arial"/>
                <w:sz w:val="16"/>
              </w:rPr>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4"/>
              <w:jc w:val="right"/>
              <w:rPr>
                <w:rFonts w:ascii="Arial" w:hAnsi="Arial" w:cs="Arial" w:eastAsia="Arial" w:hint="default"/>
                <w:sz w:val="16"/>
                <w:szCs w:val="16"/>
              </w:rPr>
            </w:pPr>
            <w:r>
              <w:rPr>
                <w:rFonts w:ascii="Arial"/>
                <w:spacing w:val="-1"/>
                <w:sz w:val="16"/>
              </w:rPr>
              <w:t>133,253</w:t>
            </w:r>
            <w:r>
              <w:rPr>
                <w:rFonts w:ascii="Arial"/>
                <w:sz w:val="16"/>
              </w:rPr>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
              <w:jc w:val="right"/>
              <w:rPr>
                <w:rFonts w:ascii="Arial" w:hAnsi="Arial" w:cs="Arial" w:eastAsia="Arial" w:hint="default"/>
                <w:sz w:val="16"/>
                <w:szCs w:val="16"/>
              </w:rPr>
            </w:pPr>
            <w:r>
              <w:rPr>
                <w:rFonts w:ascii="Arial"/>
                <w:spacing w:val="-1"/>
                <w:sz w:val="16"/>
              </w:rPr>
              <w:t>20</w:t>
            </w:r>
            <w:r>
              <w:rPr>
                <w:rFonts w:ascii="Arial"/>
                <w:sz w:val="16"/>
              </w:rPr>
            </w:r>
          </w:p>
        </w:tc>
      </w:tr>
      <w:tr>
        <w:trPr>
          <w:trHeight w:val="256" w:hRule="exact"/>
        </w:trPr>
        <w:tc>
          <w:tcPr>
            <w:tcW w:w="1713" w:type="dxa"/>
            <w:tcBorders>
              <w:top w:val="nil" w:sz="6" w:space="0" w:color="auto"/>
              <w:left w:val="nil" w:sz="6" w:space="0" w:color="auto"/>
              <w:bottom w:val="nil" w:sz="6" w:space="0" w:color="auto"/>
              <w:right w:val="nil" w:sz="6" w:space="0" w:color="auto"/>
            </w:tcBorders>
          </w:tcPr>
          <w:p>
            <w:pPr>
              <w:pStyle w:val="TableParagraph"/>
              <w:spacing w:line="211" w:lineRule="exact"/>
              <w:ind w:right="92"/>
              <w:jc w:val="right"/>
              <w:rPr>
                <w:rFonts w:ascii="黑体" w:hAnsi="黑体" w:cs="黑体" w:eastAsia="黑体" w:hint="default"/>
                <w:sz w:val="16"/>
                <w:szCs w:val="16"/>
              </w:rPr>
            </w:pPr>
            <w:r>
              <w:rPr>
                <w:rFonts w:ascii="Arial" w:hAnsi="Arial" w:cs="Arial" w:eastAsia="Arial" w:hint="default"/>
                <w:sz w:val="16"/>
                <w:szCs w:val="16"/>
              </w:rPr>
              <w:t>2-3</w:t>
            </w:r>
            <w:r>
              <w:rPr>
                <w:rFonts w:ascii="Arial" w:hAnsi="Arial" w:cs="Arial" w:eastAsia="Arial" w:hint="default"/>
                <w:spacing w:val="-6"/>
                <w:sz w:val="16"/>
                <w:szCs w:val="16"/>
              </w:rPr>
              <w:t> </w:t>
            </w:r>
            <w:r>
              <w:rPr>
                <w:rFonts w:ascii="黑体" w:hAnsi="黑体" w:cs="黑体" w:eastAsia="黑体" w:hint="default"/>
                <w:sz w:val="16"/>
                <w:szCs w:val="16"/>
              </w:rPr>
              <w:t>年</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2"/>
              <w:jc w:val="right"/>
              <w:rPr>
                <w:rFonts w:ascii="Arial" w:hAnsi="Arial" w:cs="Arial" w:eastAsia="Arial" w:hint="default"/>
                <w:sz w:val="16"/>
                <w:szCs w:val="16"/>
              </w:rPr>
            </w:pPr>
            <w:r>
              <w:rPr>
                <w:rFonts w:ascii="Arial"/>
                <w:spacing w:val="-1"/>
                <w:sz w:val="16"/>
              </w:rPr>
              <w:t>77,010</w:t>
            </w:r>
            <w:r>
              <w:rPr>
                <w:rFonts w:ascii="Arial"/>
                <w:sz w:val="16"/>
              </w:rPr>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10"/>
              <w:jc w:val="right"/>
              <w:rPr>
                <w:rFonts w:ascii="Arial" w:hAnsi="Arial" w:cs="Arial" w:eastAsia="Arial" w:hint="default"/>
                <w:sz w:val="16"/>
                <w:szCs w:val="16"/>
              </w:rPr>
            </w:pPr>
            <w:r>
              <w:rPr>
                <w:rFonts w:ascii="Arial"/>
                <w:spacing w:val="-1"/>
                <w:sz w:val="16"/>
              </w:rPr>
              <w:t>&lt;1</w:t>
            </w:r>
            <w:r>
              <w:rPr>
                <w:rFonts w:ascii="Arial"/>
                <w:sz w:val="16"/>
              </w:rPr>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9"/>
              <w:jc w:val="right"/>
              <w:rPr>
                <w:rFonts w:ascii="Arial" w:hAnsi="Arial" w:cs="Arial" w:eastAsia="Arial" w:hint="default"/>
                <w:sz w:val="16"/>
                <w:szCs w:val="16"/>
              </w:rPr>
            </w:pPr>
            <w:r>
              <w:rPr>
                <w:rFonts w:ascii="Arial"/>
                <w:spacing w:val="-1"/>
                <w:sz w:val="16"/>
              </w:rPr>
              <w:t>30,804</w:t>
            </w:r>
            <w:r>
              <w:rPr>
                <w:rFonts w:ascii="Arial"/>
                <w:sz w:val="16"/>
              </w:rPr>
            </w:r>
          </w:p>
        </w:tc>
        <w:tc>
          <w:tcPr>
            <w:tcW w:w="67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5"/>
              <w:jc w:val="right"/>
              <w:rPr>
                <w:rFonts w:ascii="Arial" w:hAnsi="Arial" w:cs="Arial" w:eastAsia="Arial" w:hint="default"/>
                <w:sz w:val="16"/>
                <w:szCs w:val="16"/>
              </w:rPr>
            </w:pPr>
            <w:r>
              <w:rPr>
                <w:rFonts w:ascii="Arial"/>
                <w:spacing w:val="-1"/>
                <w:sz w:val="16"/>
              </w:rPr>
              <w:t>40</w:t>
            </w:r>
            <w:r>
              <w:rPr>
                <w:rFonts w:ascii="Arial"/>
                <w:sz w:val="16"/>
              </w:rPr>
            </w:r>
          </w:p>
        </w:tc>
        <w:tc>
          <w:tcPr>
            <w:tcW w:w="235" w:type="dxa"/>
            <w:tcBorders>
              <w:top w:val="nil" w:sz="6" w:space="0" w:color="auto"/>
              <w:left w:val="nil" w:sz="6" w:space="0" w:color="auto"/>
              <w:bottom w:val="nil" w:sz="6" w:space="0" w:color="auto"/>
              <w:right w:val="nil" w:sz="6" w:space="0" w:color="auto"/>
            </w:tcBorders>
          </w:tcPr>
          <w:p>
            <w:pP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0"/>
              <w:jc w:val="right"/>
              <w:rPr>
                <w:rFonts w:ascii="Arial" w:hAnsi="Arial" w:cs="Arial" w:eastAsia="Arial" w:hint="default"/>
                <w:sz w:val="16"/>
                <w:szCs w:val="16"/>
              </w:rPr>
            </w:pPr>
            <w:r>
              <w:rPr>
                <w:rFonts w:ascii="Arial"/>
                <w:spacing w:val="-1"/>
                <w:sz w:val="16"/>
              </w:rPr>
              <w:t>1,617,830</w:t>
            </w:r>
            <w:r>
              <w:rPr>
                <w:rFonts w:ascii="Arial"/>
                <w:sz w:val="16"/>
              </w:rPr>
            </w:r>
          </w:p>
        </w:tc>
        <w:tc>
          <w:tcPr>
            <w:tcW w:w="47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24"/>
              <w:jc w:val="right"/>
              <w:rPr>
                <w:rFonts w:ascii="Arial" w:hAnsi="Arial" w:cs="Arial" w:eastAsia="Arial" w:hint="default"/>
                <w:sz w:val="16"/>
                <w:szCs w:val="16"/>
              </w:rPr>
            </w:pPr>
            <w:r>
              <w:rPr>
                <w:rFonts w:ascii="Arial"/>
                <w:w w:val="100"/>
                <w:sz w:val="16"/>
              </w:rPr>
              <w:t>1</w:t>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4"/>
              <w:jc w:val="right"/>
              <w:rPr>
                <w:rFonts w:ascii="Arial" w:hAnsi="Arial" w:cs="Arial" w:eastAsia="Arial" w:hint="default"/>
                <w:sz w:val="16"/>
                <w:szCs w:val="16"/>
              </w:rPr>
            </w:pPr>
            <w:r>
              <w:rPr>
                <w:rFonts w:ascii="Arial"/>
                <w:spacing w:val="-1"/>
                <w:sz w:val="16"/>
              </w:rPr>
              <w:t>647,132</w:t>
            </w:r>
            <w:r>
              <w:rPr>
                <w:rFonts w:ascii="Arial"/>
                <w:sz w:val="16"/>
              </w:rPr>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7"/>
              <w:jc w:val="right"/>
              <w:rPr>
                <w:rFonts w:ascii="Arial" w:hAnsi="Arial" w:cs="Arial" w:eastAsia="Arial" w:hint="default"/>
                <w:sz w:val="16"/>
                <w:szCs w:val="16"/>
              </w:rPr>
            </w:pPr>
            <w:r>
              <w:rPr>
                <w:rFonts w:ascii="Arial"/>
                <w:spacing w:val="-1"/>
                <w:sz w:val="16"/>
              </w:rPr>
              <w:t>40</w:t>
            </w:r>
            <w:r>
              <w:rPr>
                <w:rFonts w:ascii="Arial"/>
                <w:sz w:val="16"/>
              </w:rPr>
            </w:r>
          </w:p>
        </w:tc>
      </w:tr>
      <w:tr>
        <w:trPr>
          <w:trHeight w:val="232" w:hRule="exact"/>
        </w:trPr>
        <w:tc>
          <w:tcPr>
            <w:tcW w:w="1713" w:type="dxa"/>
            <w:tcBorders>
              <w:top w:val="nil" w:sz="6" w:space="0" w:color="auto"/>
              <w:left w:val="nil" w:sz="6" w:space="0" w:color="auto"/>
              <w:bottom w:val="nil" w:sz="6" w:space="0" w:color="auto"/>
              <w:right w:val="nil" w:sz="6" w:space="0" w:color="auto"/>
            </w:tcBorders>
          </w:tcPr>
          <w:p>
            <w:pPr>
              <w:pStyle w:val="TableParagraph"/>
              <w:spacing w:line="210" w:lineRule="exact"/>
              <w:ind w:right="90"/>
              <w:jc w:val="right"/>
              <w:rPr>
                <w:rFonts w:ascii="黑体" w:hAnsi="黑体" w:cs="黑体" w:eastAsia="黑体" w:hint="default"/>
                <w:sz w:val="16"/>
                <w:szCs w:val="16"/>
              </w:rPr>
            </w:pPr>
            <w:r>
              <w:rPr>
                <w:rFonts w:ascii="Arial" w:hAnsi="Arial" w:cs="Arial" w:eastAsia="Arial" w:hint="default"/>
                <w:sz w:val="16"/>
                <w:szCs w:val="16"/>
              </w:rPr>
              <w:t>3</w:t>
            </w:r>
            <w:r>
              <w:rPr>
                <w:rFonts w:ascii="Arial" w:hAnsi="Arial" w:cs="Arial" w:eastAsia="Arial" w:hint="default"/>
                <w:spacing w:val="-3"/>
                <w:sz w:val="16"/>
                <w:szCs w:val="16"/>
              </w:rPr>
              <w:t> </w:t>
            </w:r>
            <w:r>
              <w:rPr>
                <w:rFonts w:ascii="黑体" w:hAnsi="黑体" w:cs="黑体" w:eastAsia="黑体" w:hint="default"/>
                <w:sz w:val="16"/>
                <w:szCs w:val="16"/>
              </w:rPr>
              <w:t>年以上</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2"/>
              <w:jc w:val="right"/>
              <w:rPr>
                <w:rFonts w:ascii="Arial" w:hAnsi="Arial" w:cs="Arial" w:eastAsia="Arial" w:hint="default"/>
                <w:sz w:val="16"/>
                <w:szCs w:val="16"/>
              </w:rPr>
            </w:pPr>
            <w:r>
              <w:rPr>
                <w:rFonts w:ascii="Arial"/>
                <w:spacing w:val="-1"/>
                <w:sz w:val="16"/>
              </w:rPr>
              <w:t>546,057</w:t>
            </w:r>
            <w:r>
              <w:rPr>
                <w:rFonts w:ascii="Arial"/>
                <w:sz w:val="16"/>
              </w:rPr>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10"/>
              <w:jc w:val="right"/>
              <w:rPr>
                <w:rFonts w:ascii="Arial" w:hAnsi="Arial" w:cs="Arial" w:eastAsia="Arial" w:hint="default"/>
                <w:sz w:val="16"/>
                <w:szCs w:val="16"/>
              </w:rPr>
            </w:pPr>
            <w:r>
              <w:rPr>
                <w:rFonts w:ascii="Arial"/>
                <w:spacing w:val="-1"/>
                <w:sz w:val="16"/>
              </w:rPr>
              <w:t>&lt;1</w:t>
            </w:r>
            <w:r>
              <w:rPr>
                <w:rFonts w:ascii="Arial"/>
                <w:sz w:val="16"/>
              </w:rPr>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9"/>
              <w:jc w:val="right"/>
              <w:rPr>
                <w:rFonts w:ascii="Arial" w:hAnsi="Arial" w:cs="Arial" w:eastAsia="Arial" w:hint="default"/>
                <w:sz w:val="16"/>
                <w:szCs w:val="16"/>
              </w:rPr>
            </w:pPr>
            <w:r>
              <w:rPr>
                <w:rFonts w:ascii="Arial"/>
                <w:spacing w:val="-1"/>
                <w:sz w:val="16"/>
              </w:rPr>
              <w:t>546,057</w:t>
            </w:r>
            <w:r>
              <w:rPr>
                <w:rFonts w:ascii="Arial"/>
                <w:sz w:val="16"/>
              </w:rPr>
            </w:r>
          </w:p>
        </w:tc>
        <w:tc>
          <w:tcPr>
            <w:tcW w:w="67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
              <w:jc w:val="right"/>
              <w:rPr>
                <w:rFonts w:ascii="Arial" w:hAnsi="Arial" w:cs="Arial" w:eastAsia="Arial" w:hint="default"/>
                <w:sz w:val="16"/>
                <w:szCs w:val="16"/>
              </w:rPr>
            </w:pPr>
            <w:r>
              <w:rPr>
                <w:rFonts w:ascii="Arial"/>
                <w:spacing w:val="-1"/>
                <w:sz w:val="16"/>
              </w:rPr>
              <w:t>100</w:t>
            </w:r>
            <w:r>
              <w:rPr>
                <w:rFonts w:ascii="Arial"/>
                <w:sz w:val="16"/>
              </w:rPr>
            </w:r>
          </w:p>
        </w:tc>
        <w:tc>
          <w:tcPr>
            <w:tcW w:w="235" w:type="dxa"/>
            <w:tcBorders>
              <w:top w:val="nil" w:sz="6" w:space="0" w:color="auto"/>
              <w:left w:val="nil" w:sz="6" w:space="0" w:color="auto"/>
              <w:bottom w:val="nil" w:sz="6" w:space="0" w:color="auto"/>
              <w:right w:val="nil" w:sz="6" w:space="0" w:color="auto"/>
            </w:tcBorders>
          </w:tcPr>
          <w:p>
            <w:pP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0"/>
              <w:jc w:val="right"/>
              <w:rPr>
                <w:rFonts w:ascii="Arial" w:hAnsi="Arial" w:cs="Arial" w:eastAsia="Arial" w:hint="default"/>
                <w:sz w:val="16"/>
                <w:szCs w:val="16"/>
              </w:rPr>
            </w:pPr>
            <w:r>
              <w:rPr>
                <w:rFonts w:ascii="Arial"/>
                <w:spacing w:val="-1"/>
                <w:sz w:val="16"/>
              </w:rPr>
              <w:t>402,967</w:t>
            </w:r>
            <w:r>
              <w:rPr>
                <w:rFonts w:ascii="Arial"/>
                <w:sz w:val="16"/>
              </w:rPr>
            </w:r>
          </w:p>
        </w:tc>
        <w:tc>
          <w:tcPr>
            <w:tcW w:w="47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24"/>
              <w:jc w:val="right"/>
              <w:rPr>
                <w:rFonts w:ascii="Arial" w:hAnsi="Arial" w:cs="Arial" w:eastAsia="Arial" w:hint="default"/>
                <w:sz w:val="16"/>
                <w:szCs w:val="16"/>
              </w:rPr>
            </w:pPr>
            <w:r>
              <w:rPr>
                <w:rFonts w:ascii="Arial"/>
                <w:spacing w:val="-1"/>
                <w:sz w:val="16"/>
              </w:rPr>
              <w:t>&lt;1</w:t>
            </w:r>
            <w:r>
              <w:rPr>
                <w:rFonts w:ascii="Arial"/>
                <w:sz w:val="16"/>
              </w:rPr>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4"/>
              <w:jc w:val="right"/>
              <w:rPr>
                <w:rFonts w:ascii="Arial" w:hAnsi="Arial" w:cs="Arial" w:eastAsia="Arial" w:hint="default"/>
                <w:sz w:val="16"/>
                <w:szCs w:val="16"/>
              </w:rPr>
            </w:pPr>
            <w:r>
              <w:rPr>
                <w:rFonts w:ascii="Arial"/>
                <w:spacing w:val="-1"/>
                <w:sz w:val="16"/>
              </w:rPr>
              <w:t>402,967</w:t>
            </w:r>
            <w:r>
              <w:rPr>
                <w:rFonts w:ascii="Arial"/>
                <w:sz w:val="16"/>
              </w:rPr>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7"/>
              <w:jc w:val="right"/>
              <w:rPr>
                <w:rFonts w:ascii="Arial" w:hAnsi="Arial" w:cs="Arial" w:eastAsia="Arial" w:hint="default"/>
                <w:sz w:val="16"/>
                <w:szCs w:val="16"/>
              </w:rPr>
            </w:pPr>
            <w:r>
              <w:rPr>
                <w:rFonts w:ascii="Arial"/>
                <w:spacing w:val="-1"/>
                <w:sz w:val="16"/>
              </w:rPr>
              <w:t>100</w:t>
            </w:r>
            <w:r>
              <w:rPr>
                <w:rFonts w:ascii="Arial"/>
                <w:sz w:val="16"/>
              </w:rPr>
            </w:r>
          </w:p>
        </w:tc>
      </w:tr>
      <w:tr>
        <w:trPr>
          <w:trHeight w:val="574" w:hRule="exact"/>
        </w:trPr>
        <w:tc>
          <w:tcPr>
            <w:tcW w:w="1713" w:type="dxa"/>
            <w:tcBorders>
              <w:top w:val="nil" w:sz="6" w:space="0" w:color="auto"/>
              <w:left w:val="nil" w:sz="6" w:space="0" w:color="auto"/>
              <w:bottom w:val="nil" w:sz="6" w:space="0" w:color="auto"/>
              <w:right w:val="nil" w:sz="6" w:space="0" w:color="auto"/>
            </w:tcBorders>
          </w:tcPr>
          <w:p>
            <w:pPr>
              <w:pStyle w:val="TableParagraph"/>
              <w:spacing w:line="174" w:lineRule="exact"/>
              <w:ind w:left="360" w:right="0" w:hanging="161"/>
              <w:jc w:val="left"/>
              <w:rPr>
                <w:rFonts w:ascii="黑体" w:hAnsi="黑体" w:cs="黑体" w:eastAsia="黑体" w:hint="default"/>
                <w:sz w:val="16"/>
                <w:szCs w:val="16"/>
              </w:rPr>
            </w:pPr>
            <w:r>
              <w:rPr>
                <w:rFonts w:ascii="黑体" w:hAnsi="黑体" w:cs="黑体" w:eastAsia="黑体" w:hint="default"/>
                <w:sz w:val="16"/>
                <w:szCs w:val="16"/>
              </w:rPr>
              <w:t>单项金额虽不重大但</w:t>
            </w:r>
          </w:p>
          <w:p>
            <w:pPr>
              <w:pStyle w:val="TableParagraph"/>
              <w:spacing w:line="208" w:lineRule="exact"/>
              <w:ind w:left="360" w:right="0"/>
              <w:jc w:val="left"/>
              <w:rPr>
                <w:rFonts w:ascii="黑体" w:hAnsi="黑体" w:cs="黑体" w:eastAsia="黑体" w:hint="default"/>
                <w:sz w:val="16"/>
                <w:szCs w:val="16"/>
              </w:rPr>
            </w:pPr>
            <w:r>
              <w:rPr>
                <w:rFonts w:ascii="黑体" w:hAnsi="黑体" w:cs="黑体" w:eastAsia="黑体" w:hint="default"/>
                <w:sz w:val="16"/>
                <w:szCs w:val="16"/>
              </w:rPr>
              <w:t>单项计提坏账准备</w:t>
            </w: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6"/>
                <w:szCs w:val="16"/>
              </w:rPr>
            </w:pPr>
          </w:p>
          <w:p>
            <w:pPr>
              <w:pStyle w:val="TableParagraph"/>
              <w:spacing w:line="240" w:lineRule="auto"/>
              <w:ind w:right="22"/>
              <w:jc w:val="right"/>
              <w:rPr>
                <w:rFonts w:ascii="Arial" w:hAnsi="Arial" w:cs="Arial" w:eastAsia="Arial" w:hint="default"/>
                <w:sz w:val="16"/>
                <w:szCs w:val="16"/>
              </w:rPr>
            </w:pPr>
            <w:r>
              <w:rPr>
                <w:rFonts w:ascii="Arial"/>
                <w:w w:val="100"/>
                <w:sz w:val="16"/>
              </w:rPr>
            </w:r>
            <w:r>
              <w:rPr>
                <w:rFonts w:ascii="Arial"/>
                <w:spacing w:val="-1"/>
                <w:sz w:val="16"/>
                <w:u w:val="single" w:color="000000"/>
              </w:rPr>
              <w:t>460,553,425</w:t>
            </w:r>
            <w:r>
              <w:rPr>
                <w:rFonts w:ascii="Arial"/>
                <w:spacing w:val="-1"/>
                <w:sz w:val="16"/>
              </w:rPr>
            </w:r>
            <w:r>
              <w:rPr>
                <w:rFonts w:ascii="Arial"/>
                <w:sz w:val="16"/>
              </w:rPr>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6"/>
                <w:szCs w:val="16"/>
              </w:rPr>
            </w:pPr>
          </w:p>
          <w:p>
            <w:pPr>
              <w:pStyle w:val="TableParagraph"/>
              <w:spacing w:line="240" w:lineRule="auto"/>
              <w:ind w:right="108"/>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pacing w:val="-8"/>
                <w:sz w:val="16"/>
                <w:u w:val="single" w:color="000000"/>
              </w:rPr>
              <w:t> </w:t>
            </w:r>
            <w:r>
              <w:rPr>
                <w:rFonts w:ascii="Arial"/>
                <w:spacing w:val="-1"/>
                <w:sz w:val="16"/>
                <w:u w:val="single" w:color="000000"/>
              </w:rPr>
              <w:t>95</w:t>
            </w:r>
            <w:r>
              <w:rPr>
                <w:rFonts w:ascii="Arial"/>
                <w:spacing w:val="-1"/>
                <w:sz w:val="16"/>
              </w:rPr>
            </w:r>
            <w:r>
              <w:rPr>
                <w:rFonts w:ascii="Arial"/>
                <w:sz w:val="16"/>
              </w:rPr>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6"/>
                <w:szCs w:val="16"/>
              </w:rPr>
            </w:pPr>
          </w:p>
          <w:p>
            <w:pPr>
              <w:pStyle w:val="TableParagraph"/>
              <w:spacing w:line="240" w:lineRule="auto"/>
              <w:ind w:right="29"/>
              <w:jc w:val="right"/>
              <w:rPr>
                <w:rFonts w:ascii="Arial" w:hAnsi="Arial" w:cs="Arial" w:eastAsia="Arial" w:hint="default"/>
                <w:sz w:val="16"/>
                <w:szCs w:val="16"/>
              </w:rPr>
            </w:pPr>
            <w:r>
              <w:rPr>
                <w:rFonts w:ascii="Arial"/>
                <w:w w:val="100"/>
                <w:sz w:val="16"/>
              </w:rPr>
            </w:r>
            <w:r>
              <w:rPr>
                <w:rFonts w:ascii="Arial"/>
                <w:spacing w:val="-1"/>
                <w:sz w:val="16"/>
                <w:u w:val="single" w:color="000000"/>
              </w:rPr>
              <w:t>1,765,460</w:t>
            </w:r>
            <w:r>
              <w:rPr>
                <w:rFonts w:ascii="Arial"/>
                <w:spacing w:val="-1"/>
                <w:sz w:val="16"/>
              </w:rPr>
            </w:r>
            <w:r>
              <w:rPr>
                <w:rFonts w:ascii="Arial"/>
                <w:sz w:val="16"/>
              </w:rPr>
            </w:r>
          </w:p>
        </w:tc>
        <w:tc>
          <w:tcPr>
            <w:tcW w:w="6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6"/>
                <w:szCs w:val="16"/>
              </w:rPr>
            </w:pPr>
          </w:p>
          <w:p>
            <w:pPr>
              <w:pStyle w:val="TableParagraph"/>
              <w:spacing w:line="240" w:lineRule="auto"/>
              <w:ind w:right="4"/>
              <w:jc w:val="right"/>
              <w:rPr>
                <w:rFonts w:ascii="Arial" w:hAnsi="Arial" w:cs="Arial" w:eastAsia="Arial" w:hint="default"/>
                <w:sz w:val="16"/>
                <w:szCs w:val="16"/>
              </w:rPr>
            </w:pPr>
            <w:r>
              <w:rPr>
                <w:rFonts w:ascii="Arial"/>
                <w:spacing w:val="-1"/>
                <w:sz w:val="16"/>
              </w:rPr>
              <w:t>&lt;1</w:t>
            </w:r>
            <w:r>
              <w:rPr>
                <w:rFonts w:ascii="Arial"/>
                <w:sz w:val="16"/>
              </w:rPr>
            </w:r>
          </w:p>
        </w:tc>
        <w:tc>
          <w:tcPr>
            <w:tcW w:w="235" w:type="dxa"/>
            <w:tcBorders>
              <w:top w:val="nil" w:sz="6" w:space="0" w:color="auto"/>
              <w:left w:val="nil" w:sz="6" w:space="0" w:color="auto"/>
              <w:bottom w:val="nil" w:sz="6" w:space="0" w:color="auto"/>
              <w:right w:val="nil" w:sz="6" w:space="0" w:color="auto"/>
            </w:tcBorders>
          </w:tcPr>
          <w:p>
            <w:pP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6"/>
                <w:szCs w:val="16"/>
              </w:rPr>
            </w:pPr>
          </w:p>
          <w:p>
            <w:pPr>
              <w:pStyle w:val="TableParagraph"/>
              <w:spacing w:line="240" w:lineRule="auto"/>
              <w:ind w:right="30"/>
              <w:jc w:val="right"/>
              <w:rPr>
                <w:rFonts w:ascii="Arial" w:hAnsi="Arial" w:cs="Arial" w:eastAsia="Arial" w:hint="default"/>
                <w:sz w:val="16"/>
                <w:szCs w:val="16"/>
              </w:rPr>
            </w:pPr>
            <w:r>
              <w:rPr>
                <w:rFonts w:ascii="Arial"/>
                <w:w w:val="100"/>
                <w:sz w:val="16"/>
              </w:rPr>
            </w:r>
            <w:r>
              <w:rPr>
                <w:rFonts w:ascii="Arial"/>
                <w:spacing w:val="-1"/>
                <w:sz w:val="16"/>
                <w:u w:val="single" w:color="000000"/>
              </w:rPr>
              <w:t>279,662,969</w:t>
            </w:r>
            <w:r>
              <w:rPr>
                <w:rFonts w:ascii="Arial"/>
                <w:spacing w:val="-1"/>
                <w:sz w:val="16"/>
              </w:rPr>
            </w:r>
            <w:r>
              <w:rPr>
                <w:rFonts w:ascii="Arial"/>
                <w:sz w:val="16"/>
              </w:rPr>
            </w:r>
          </w:p>
        </w:tc>
        <w:tc>
          <w:tcPr>
            <w:tcW w:w="47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6"/>
                <w:szCs w:val="16"/>
              </w:rPr>
            </w:pPr>
          </w:p>
          <w:p>
            <w:pPr>
              <w:pStyle w:val="TableParagraph"/>
              <w:spacing w:line="240" w:lineRule="auto"/>
              <w:ind w:right="122"/>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pacing w:val="-8"/>
                <w:sz w:val="16"/>
                <w:u w:val="single" w:color="000000"/>
              </w:rPr>
              <w:t> </w:t>
            </w:r>
            <w:r>
              <w:rPr>
                <w:rFonts w:ascii="Arial"/>
                <w:spacing w:val="-1"/>
                <w:sz w:val="16"/>
                <w:u w:val="single" w:color="000000"/>
              </w:rPr>
              <w:t>90</w:t>
            </w:r>
            <w:r>
              <w:rPr>
                <w:rFonts w:ascii="Arial"/>
                <w:spacing w:val="-1"/>
                <w:sz w:val="16"/>
              </w:rPr>
            </w:r>
            <w:r>
              <w:rPr>
                <w:rFonts w:ascii="Arial"/>
                <w:sz w:val="16"/>
              </w:rPr>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6"/>
                <w:szCs w:val="16"/>
              </w:rPr>
            </w:pPr>
          </w:p>
          <w:p>
            <w:pPr>
              <w:pStyle w:val="TableParagraph"/>
              <w:spacing w:line="240" w:lineRule="auto"/>
              <w:ind w:right="94"/>
              <w:jc w:val="right"/>
              <w:rPr>
                <w:rFonts w:ascii="Arial" w:hAnsi="Arial" w:cs="Arial" w:eastAsia="Arial" w:hint="default"/>
                <w:sz w:val="16"/>
                <w:szCs w:val="16"/>
              </w:rPr>
            </w:pPr>
            <w:r>
              <w:rPr>
                <w:rFonts w:ascii="Arial"/>
                <w:w w:val="100"/>
                <w:sz w:val="16"/>
              </w:rPr>
            </w:r>
            <w:r>
              <w:rPr>
                <w:rFonts w:ascii="Arial"/>
                <w:spacing w:val="-1"/>
                <w:sz w:val="16"/>
                <w:u w:val="single" w:color="000000"/>
              </w:rPr>
              <w:t>1,530,913</w:t>
            </w:r>
            <w:r>
              <w:rPr>
                <w:rFonts w:ascii="Arial"/>
                <w:spacing w:val="-1"/>
                <w:sz w:val="16"/>
              </w:rPr>
            </w:r>
            <w:r>
              <w:rPr>
                <w:rFonts w:ascii="Arial"/>
                <w:sz w:val="16"/>
              </w:rPr>
            </w:r>
          </w:p>
        </w:tc>
        <w:tc>
          <w:tcPr>
            <w:tcW w:w="74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6"/>
                <w:szCs w:val="16"/>
              </w:rPr>
            </w:pPr>
          </w:p>
          <w:p>
            <w:pPr>
              <w:pStyle w:val="TableParagraph"/>
              <w:spacing w:line="240" w:lineRule="auto"/>
              <w:ind w:right="4"/>
              <w:jc w:val="right"/>
              <w:rPr>
                <w:rFonts w:ascii="Arial" w:hAnsi="Arial" w:cs="Arial" w:eastAsia="Arial" w:hint="default"/>
                <w:sz w:val="16"/>
                <w:szCs w:val="16"/>
              </w:rPr>
            </w:pPr>
            <w:r>
              <w:rPr>
                <w:rFonts w:ascii="Arial"/>
                <w:w w:val="100"/>
                <w:sz w:val="16"/>
              </w:rPr>
              <w:t>1</w:t>
            </w:r>
          </w:p>
        </w:tc>
      </w:tr>
      <w:tr>
        <w:trPr>
          <w:trHeight w:val="335" w:hRule="exact"/>
        </w:trPr>
        <w:tc>
          <w:tcPr>
            <w:tcW w:w="1713" w:type="dxa"/>
            <w:tcBorders>
              <w:top w:val="nil" w:sz="6" w:space="0" w:color="auto"/>
              <w:left w:val="nil" w:sz="6" w:space="0" w:color="auto"/>
              <w:bottom w:val="nil" w:sz="6" w:space="0" w:color="auto"/>
              <w:right w:val="nil" w:sz="6" w:space="0" w:color="auto"/>
            </w:tcBorders>
          </w:tcPr>
          <w:p>
            <w:pPr/>
          </w:p>
        </w:tc>
        <w:tc>
          <w:tcPr>
            <w:tcW w:w="98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1"/>
                <w:szCs w:val="11"/>
              </w:rPr>
            </w:pPr>
          </w:p>
          <w:p>
            <w:pPr>
              <w:pStyle w:val="TableParagraph"/>
              <w:spacing w:line="240" w:lineRule="auto"/>
              <w:ind w:right="17"/>
              <w:jc w:val="right"/>
              <w:rPr>
                <w:rFonts w:ascii="Arial" w:hAnsi="Arial" w:cs="Arial" w:eastAsia="Arial" w:hint="default"/>
                <w:sz w:val="16"/>
                <w:szCs w:val="16"/>
              </w:rPr>
            </w:pPr>
            <w:r>
              <w:rPr>
                <w:rFonts w:ascii="Arial"/>
                <w:w w:val="100"/>
                <w:sz w:val="16"/>
              </w:rPr>
            </w:r>
            <w:r>
              <w:rPr>
                <w:rFonts w:ascii="Arial"/>
                <w:spacing w:val="-1"/>
                <w:sz w:val="16"/>
                <w:u w:val="thick" w:color="000000"/>
              </w:rPr>
              <w:t>480,898,849</w:t>
            </w:r>
            <w:r>
              <w:rPr>
                <w:rFonts w:ascii="Arial"/>
                <w:spacing w:val="-1"/>
                <w:sz w:val="16"/>
              </w:rPr>
            </w:r>
            <w:r>
              <w:rPr>
                <w:rFonts w:ascii="Arial"/>
                <w:sz w:val="16"/>
              </w:rPr>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1"/>
                <w:szCs w:val="11"/>
              </w:rPr>
            </w:pPr>
          </w:p>
          <w:p>
            <w:pPr>
              <w:pStyle w:val="TableParagraph"/>
              <w:spacing w:line="240" w:lineRule="auto"/>
              <w:ind w:right="108"/>
              <w:jc w:val="right"/>
              <w:rPr>
                <w:rFonts w:ascii="Arial" w:hAnsi="Arial" w:cs="Arial" w:eastAsia="Arial" w:hint="default"/>
                <w:sz w:val="16"/>
                <w:szCs w:val="16"/>
              </w:rPr>
            </w:pPr>
            <w:r>
              <w:rPr>
                <w:rFonts w:ascii="Arial"/>
                <w:w w:val="100"/>
                <w:sz w:val="16"/>
              </w:rPr>
            </w:r>
            <w:r>
              <w:rPr>
                <w:rFonts w:ascii="Arial"/>
                <w:spacing w:val="-1"/>
                <w:sz w:val="16"/>
                <w:u w:val="thick" w:color="000000"/>
              </w:rPr>
              <w:t>100</w:t>
            </w:r>
            <w:r>
              <w:rPr>
                <w:rFonts w:ascii="Arial"/>
                <w:spacing w:val="-1"/>
                <w:sz w:val="16"/>
              </w:rPr>
            </w:r>
            <w:r>
              <w:rPr>
                <w:rFonts w:ascii="Arial"/>
                <w:sz w:val="16"/>
              </w:rPr>
            </w:r>
          </w:p>
        </w:tc>
        <w:tc>
          <w:tcPr>
            <w:tcW w:w="85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1"/>
                <w:szCs w:val="11"/>
              </w:rPr>
            </w:pPr>
          </w:p>
          <w:p>
            <w:pPr>
              <w:pStyle w:val="TableParagraph"/>
              <w:spacing w:line="240" w:lineRule="auto"/>
              <w:ind w:right="24"/>
              <w:jc w:val="right"/>
              <w:rPr>
                <w:rFonts w:ascii="Arial" w:hAnsi="Arial" w:cs="Arial" w:eastAsia="Arial" w:hint="default"/>
                <w:sz w:val="16"/>
                <w:szCs w:val="16"/>
              </w:rPr>
            </w:pPr>
            <w:r>
              <w:rPr>
                <w:rFonts w:ascii="Arial"/>
                <w:w w:val="100"/>
                <w:sz w:val="16"/>
              </w:rPr>
            </w:r>
            <w:r>
              <w:rPr>
                <w:rFonts w:ascii="Arial"/>
                <w:spacing w:val="-1"/>
                <w:sz w:val="16"/>
                <w:u w:val="thick" w:color="000000"/>
              </w:rPr>
              <w:t>2,591,441</w:t>
            </w:r>
            <w:r>
              <w:rPr>
                <w:rFonts w:ascii="Arial"/>
                <w:spacing w:val="-1"/>
                <w:sz w:val="16"/>
              </w:rPr>
            </w:r>
            <w:r>
              <w:rPr>
                <w:rFonts w:ascii="Arial"/>
                <w:sz w:val="16"/>
              </w:rPr>
            </w:r>
          </w:p>
        </w:tc>
        <w:tc>
          <w:tcPr>
            <w:tcW w:w="67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1"/>
                <w:szCs w:val="11"/>
              </w:rPr>
            </w:pPr>
          </w:p>
          <w:p>
            <w:pPr>
              <w:pStyle w:val="TableParagraph"/>
              <w:spacing w:line="240" w:lineRule="auto"/>
              <w:ind w:right="25"/>
              <w:jc w:val="right"/>
              <w:rPr>
                <w:rFonts w:ascii="Arial" w:hAnsi="Arial" w:cs="Arial" w:eastAsia="Arial" w:hint="default"/>
                <w:sz w:val="16"/>
                <w:szCs w:val="16"/>
              </w:rPr>
            </w:pPr>
            <w:r>
              <w:rPr>
                <w:rFonts w:ascii="Arial"/>
                <w:w w:val="100"/>
                <w:sz w:val="16"/>
              </w:rPr>
            </w:r>
            <w:r>
              <w:rPr>
                <w:rFonts w:ascii="Arial"/>
                <w:spacing w:val="-1"/>
                <w:sz w:val="16"/>
                <w:u w:val="thick" w:color="000000"/>
              </w:rPr>
              <w:t>308,053,500</w:t>
            </w:r>
            <w:r>
              <w:rPr>
                <w:rFonts w:ascii="Arial"/>
                <w:spacing w:val="-1"/>
                <w:sz w:val="16"/>
              </w:rPr>
            </w:r>
            <w:r>
              <w:rPr>
                <w:rFonts w:ascii="Arial"/>
                <w:sz w:val="16"/>
              </w:rPr>
            </w:r>
          </w:p>
        </w:tc>
        <w:tc>
          <w:tcPr>
            <w:tcW w:w="47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1"/>
                <w:szCs w:val="11"/>
              </w:rPr>
            </w:pPr>
          </w:p>
          <w:p>
            <w:pPr>
              <w:pStyle w:val="TableParagraph"/>
              <w:spacing w:line="240" w:lineRule="auto"/>
              <w:ind w:right="120"/>
              <w:jc w:val="right"/>
              <w:rPr>
                <w:rFonts w:ascii="Arial" w:hAnsi="Arial" w:cs="Arial" w:eastAsia="Arial" w:hint="default"/>
                <w:sz w:val="16"/>
                <w:szCs w:val="16"/>
              </w:rPr>
            </w:pPr>
            <w:r>
              <w:rPr>
                <w:rFonts w:ascii="Arial"/>
                <w:w w:val="100"/>
                <w:sz w:val="16"/>
              </w:rPr>
            </w:r>
            <w:r>
              <w:rPr>
                <w:rFonts w:ascii="Arial"/>
                <w:spacing w:val="-1"/>
                <w:sz w:val="16"/>
                <w:u w:val="thick" w:color="000000"/>
              </w:rPr>
              <w:t>100</w:t>
            </w:r>
            <w:r>
              <w:rPr>
                <w:rFonts w:ascii="Arial"/>
                <w:spacing w:val="-1"/>
                <w:sz w:val="16"/>
              </w:rPr>
            </w:r>
            <w:r>
              <w:rPr>
                <w:rFonts w:ascii="Arial"/>
                <w:sz w:val="16"/>
              </w:rPr>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1"/>
                <w:szCs w:val="11"/>
              </w:rPr>
            </w:pPr>
          </w:p>
          <w:p>
            <w:pPr>
              <w:pStyle w:val="TableParagraph"/>
              <w:spacing w:line="240" w:lineRule="auto"/>
              <w:ind w:right="89"/>
              <w:jc w:val="right"/>
              <w:rPr>
                <w:rFonts w:ascii="Arial" w:hAnsi="Arial" w:cs="Arial" w:eastAsia="Arial" w:hint="default"/>
                <w:sz w:val="16"/>
                <w:szCs w:val="16"/>
              </w:rPr>
            </w:pPr>
            <w:r>
              <w:rPr>
                <w:rFonts w:ascii="Arial"/>
                <w:w w:val="100"/>
                <w:sz w:val="16"/>
              </w:rPr>
            </w:r>
            <w:r>
              <w:rPr>
                <w:rFonts w:ascii="Arial"/>
                <w:spacing w:val="-1"/>
                <w:sz w:val="16"/>
                <w:u w:val="thick" w:color="000000"/>
              </w:rPr>
              <w:t>2,714,265</w:t>
            </w:r>
            <w:r>
              <w:rPr>
                <w:rFonts w:ascii="Arial"/>
                <w:spacing w:val="-1"/>
                <w:sz w:val="16"/>
              </w:rPr>
            </w:r>
            <w:r>
              <w:rPr>
                <w:rFonts w:ascii="Arial"/>
                <w:sz w:val="16"/>
              </w:rPr>
            </w:r>
          </w:p>
        </w:tc>
        <w:tc>
          <w:tcPr>
            <w:tcW w:w="748"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黑体" w:hAnsi="黑体" w:cs="黑体" w:eastAsia="黑体" w:hint="default"/>
          <w:sz w:val="29"/>
          <w:szCs w:val="29"/>
        </w:rPr>
      </w:pPr>
    </w:p>
    <w:p>
      <w:pPr>
        <w:pStyle w:val="BodyText"/>
        <w:spacing w:line="261" w:lineRule="auto" w:before="37"/>
        <w:ind w:right="448"/>
        <w:jc w:val="left"/>
      </w:pPr>
      <w:r>
        <w:rPr>
          <w:spacing w:val="3"/>
        </w:rPr>
        <w:t>单项金额不重大但按信用风险特征组合后该组合的风险较大的其他应收款如下</w:t>
      </w:r>
      <w:r>
        <w:rPr>
          <w:rFonts w:ascii="Arial" w:hAnsi="Arial" w:cs="Arial" w:eastAsia="Arial" w:hint="default"/>
          <w:spacing w:val="3"/>
        </w:rPr>
        <w:t>(</w:t>
      </w:r>
      <w:r>
        <w:rPr>
          <w:spacing w:val="3"/>
        </w:rPr>
        <w:t>仅适用于</w:t>
      </w:r>
      <w:r>
        <w:rPr>
          <w:spacing w:val="4"/>
          <w:w w:val="99"/>
        </w:rPr>
        <w:t> </w:t>
      </w:r>
      <w:r>
        <w:rPr/>
        <w:t>信用风险特征组合确定为账龄的情况</w:t>
      </w:r>
      <w:r>
        <w:rPr>
          <w:rFonts w:ascii="Arial" w:hAnsi="Arial" w:cs="Arial" w:eastAsia="Arial" w:hint="default"/>
        </w:rPr>
        <w:t>)</w:t>
      </w:r>
      <w:r>
        <w:rPr/>
        <w:t>：</w:t>
      </w:r>
    </w:p>
    <w:p>
      <w:pPr>
        <w:spacing w:line="240" w:lineRule="auto" w:before="3"/>
        <w:rPr>
          <w:rFonts w:ascii="黑体" w:hAnsi="黑体" w:cs="黑体" w:eastAsia="黑体" w:hint="default"/>
          <w:sz w:val="27"/>
          <w:szCs w:val="27"/>
        </w:rPr>
      </w:pPr>
    </w:p>
    <w:tbl>
      <w:tblPr>
        <w:tblW w:w="0" w:type="auto"/>
        <w:jc w:val="left"/>
        <w:tblInd w:w="628" w:type="dxa"/>
        <w:tblLayout w:type="fixed"/>
        <w:tblCellMar>
          <w:top w:w="0" w:type="dxa"/>
          <w:left w:w="0" w:type="dxa"/>
          <w:bottom w:w="0" w:type="dxa"/>
          <w:right w:w="0" w:type="dxa"/>
        </w:tblCellMar>
        <w:tblLook w:val="01E0"/>
      </w:tblPr>
      <w:tblGrid>
        <w:gridCol w:w="1237"/>
        <w:gridCol w:w="1174"/>
        <w:gridCol w:w="898"/>
        <w:gridCol w:w="844"/>
        <w:gridCol w:w="694"/>
        <w:gridCol w:w="1048"/>
        <w:gridCol w:w="659"/>
        <w:gridCol w:w="1082"/>
        <w:gridCol w:w="687"/>
      </w:tblGrid>
      <w:tr>
        <w:trPr>
          <w:trHeight w:val="219" w:hRule="exact"/>
        </w:trPr>
        <w:tc>
          <w:tcPr>
            <w:tcW w:w="3308" w:type="dxa"/>
            <w:gridSpan w:val="3"/>
            <w:tcBorders>
              <w:top w:val="nil" w:sz="6" w:space="0" w:color="auto"/>
              <w:left w:val="nil" w:sz="6" w:space="0" w:color="auto"/>
              <w:bottom w:val="nil" w:sz="6" w:space="0" w:color="auto"/>
              <w:right w:val="nil" w:sz="6" w:space="0" w:color="auto"/>
            </w:tcBorders>
          </w:tcPr>
          <w:p>
            <w:pPr>
              <w:pStyle w:val="TableParagraph"/>
              <w:tabs>
                <w:tab w:pos="2470" w:val="left" w:leader="none"/>
                <w:tab w:pos="4563" w:val="left" w:leader="none"/>
              </w:tabs>
              <w:spacing w:line="193" w:lineRule="exact"/>
              <w:ind w:left="984" w:right="-1256"/>
              <w:jc w:val="left"/>
              <w:rPr>
                <w:rFonts w:ascii="黑体" w:hAnsi="黑体" w:cs="黑体" w:eastAsia="黑体" w:hint="default"/>
                <w:sz w:val="18"/>
                <w:szCs w:val="18"/>
              </w:rPr>
            </w:pP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t>2012</w:t>
            </w:r>
            <w:r>
              <w:rPr>
                <w:rFonts w:ascii="Arial" w:hAnsi="Arial" w:cs="Arial" w:eastAsia="Arial" w:hint="default"/>
                <w:spacing w:val="-5"/>
                <w:sz w:val="18"/>
                <w:szCs w:val="18"/>
                <w:u w:val="single" w:color="000000"/>
              </w:rPr>
              <w:t> </w:t>
            </w:r>
            <w:r>
              <w:rPr>
                <w:rFonts w:ascii="黑体" w:hAnsi="黑体" w:cs="黑体" w:eastAsia="黑体" w:hint="default"/>
                <w:sz w:val="18"/>
                <w:szCs w:val="18"/>
                <w:u w:val="single" w:color="000000"/>
              </w:rPr>
              <w:t>年</w:t>
              <w:tab/>
            </w:r>
            <w:r>
              <w:rPr>
                <w:rFonts w:ascii="黑体" w:hAnsi="黑体" w:cs="黑体" w:eastAsia="黑体" w:hint="default"/>
                <w:sz w:val="18"/>
                <w:szCs w:val="18"/>
              </w:rPr>
            </w:r>
          </w:p>
        </w:tc>
        <w:tc>
          <w:tcPr>
            <w:tcW w:w="844" w:type="dxa"/>
            <w:tcBorders>
              <w:top w:val="nil" w:sz="6" w:space="0" w:color="auto"/>
              <w:left w:val="nil" w:sz="6" w:space="0" w:color="auto"/>
              <w:bottom w:val="nil" w:sz="6" w:space="0" w:color="auto"/>
              <w:right w:val="nil" w:sz="6" w:space="0" w:color="auto"/>
            </w:tcBorders>
          </w:tcPr>
          <w:p>
            <w:pPr/>
          </w:p>
        </w:tc>
        <w:tc>
          <w:tcPr>
            <w:tcW w:w="3482" w:type="dxa"/>
            <w:gridSpan w:val="4"/>
            <w:tcBorders>
              <w:top w:val="nil" w:sz="6" w:space="0" w:color="auto"/>
              <w:left w:val="nil" w:sz="6" w:space="0" w:color="auto"/>
              <w:bottom w:val="nil" w:sz="6" w:space="0" w:color="auto"/>
              <w:right w:val="nil" w:sz="6" w:space="0" w:color="auto"/>
            </w:tcBorders>
          </w:tcPr>
          <w:p>
            <w:pPr>
              <w:pStyle w:val="TableParagraph"/>
              <w:tabs>
                <w:tab w:pos="2012" w:val="left" w:leader="none"/>
                <w:tab w:pos="3968" w:val="left" w:leader="none"/>
              </w:tabs>
              <w:spacing w:line="193" w:lineRule="exact"/>
              <w:ind w:left="670" w:right="-486"/>
              <w:jc w:val="left"/>
              <w:rPr>
                <w:rFonts w:ascii="黑体" w:hAnsi="黑体" w:cs="黑体" w:eastAsia="黑体" w:hint="default"/>
                <w:sz w:val="18"/>
                <w:szCs w:val="18"/>
              </w:rPr>
            </w:pP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t>2011</w:t>
            </w:r>
            <w:r>
              <w:rPr>
                <w:rFonts w:ascii="Arial" w:hAnsi="Arial" w:cs="Arial" w:eastAsia="Arial" w:hint="default"/>
                <w:spacing w:val="-5"/>
                <w:sz w:val="18"/>
                <w:szCs w:val="18"/>
                <w:u w:val="single" w:color="000000"/>
              </w:rPr>
              <w:t> </w:t>
            </w:r>
            <w:r>
              <w:rPr>
                <w:rFonts w:ascii="黑体" w:hAnsi="黑体" w:cs="黑体" w:eastAsia="黑体" w:hint="default"/>
                <w:sz w:val="18"/>
                <w:szCs w:val="18"/>
                <w:u w:val="single" w:color="000000"/>
              </w:rPr>
              <w:t>年</w:t>
              <w:tab/>
            </w:r>
            <w:r>
              <w:rPr>
                <w:rFonts w:ascii="黑体" w:hAnsi="黑体" w:cs="黑体" w:eastAsia="黑体" w:hint="default"/>
                <w:sz w:val="18"/>
                <w:szCs w:val="18"/>
              </w:rPr>
            </w:r>
          </w:p>
        </w:tc>
        <w:tc>
          <w:tcPr>
            <w:tcW w:w="687" w:type="dxa"/>
            <w:tcBorders>
              <w:top w:val="nil" w:sz="6" w:space="0" w:color="auto"/>
              <w:left w:val="nil" w:sz="6" w:space="0" w:color="auto"/>
              <w:bottom w:val="nil" w:sz="6" w:space="0" w:color="auto"/>
              <w:right w:val="nil" w:sz="6" w:space="0" w:color="auto"/>
            </w:tcBorders>
          </w:tcPr>
          <w:p>
            <w:pPr/>
          </w:p>
        </w:tc>
      </w:tr>
      <w:tr>
        <w:trPr>
          <w:trHeight w:val="240" w:hRule="exact"/>
        </w:trPr>
        <w:tc>
          <w:tcPr>
            <w:tcW w:w="3308" w:type="dxa"/>
            <w:gridSpan w:val="3"/>
            <w:tcBorders>
              <w:top w:val="nil" w:sz="6" w:space="0" w:color="auto"/>
              <w:left w:val="nil" w:sz="6" w:space="0" w:color="auto"/>
              <w:bottom w:val="nil" w:sz="6" w:space="0" w:color="auto"/>
              <w:right w:val="nil" w:sz="6" w:space="0" w:color="auto"/>
            </w:tcBorders>
          </w:tcPr>
          <w:p>
            <w:pPr>
              <w:pStyle w:val="TableParagraph"/>
              <w:spacing w:line="210" w:lineRule="exact"/>
              <w:ind w:left="2153" w:right="0"/>
              <w:jc w:val="left"/>
              <w:rPr>
                <w:rFonts w:ascii="黑体" w:hAnsi="黑体" w:cs="黑体" w:eastAsia="黑体" w:hint="default"/>
                <w:sz w:val="18"/>
                <w:szCs w:val="18"/>
              </w:rPr>
            </w:pPr>
            <w:r>
              <w:rPr>
                <w:rFonts w:ascii="黑体" w:hAnsi="黑体" w:cs="黑体" w:eastAsia="黑体" w:hint="default"/>
                <w:sz w:val="18"/>
                <w:szCs w:val="18"/>
              </w:rPr>
              <w:t>账面余额</w:t>
            </w:r>
          </w:p>
        </w:tc>
        <w:tc>
          <w:tcPr>
            <w:tcW w:w="1537" w:type="dxa"/>
            <w:gridSpan w:val="2"/>
            <w:tcBorders>
              <w:top w:val="nil" w:sz="6" w:space="0" w:color="auto"/>
              <w:left w:val="nil" w:sz="6" w:space="0" w:color="auto"/>
              <w:bottom w:val="nil" w:sz="6" w:space="0" w:color="auto"/>
              <w:right w:val="nil" w:sz="6" w:space="0" w:color="auto"/>
            </w:tcBorders>
          </w:tcPr>
          <w:p>
            <w:pPr>
              <w:pStyle w:val="TableParagraph"/>
              <w:spacing w:line="210" w:lineRule="exact"/>
              <w:ind w:left="535" w:right="0"/>
              <w:jc w:val="left"/>
              <w:rPr>
                <w:rFonts w:ascii="黑体" w:hAnsi="黑体" w:cs="黑体" w:eastAsia="黑体" w:hint="default"/>
                <w:sz w:val="18"/>
                <w:szCs w:val="18"/>
              </w:rPr>
            </w:pPr>
            <w:r>
              <w:rPr>
                <w:rFonts w:ascii="黑体" w:hAnsi="黑体" w:cs="黑体" w:eastAsia="黑体" w:hint="default"/>
                <w:sz w:val="18"/>
                <w:szCs w:val="18"/>
              </w:rPr>
              <w:t>坏账准备</w:t>
            </w:r>
          </w:p>
        </w:tc>
        <w:tc>
          <w:tcPr>
            <w:tcW w:w="1707" w:type="dxa"/>
            <w:gridSpan w:val="2"/>
            <w:tcBorders>
              <w:top w:val="nil" w:sz="6" w:space="0" w:color="auto"/>
              <w:left w:val="nil" w:sz="6" w:space="0" w:color="auto"/>
              <w:bottom w:val="nil" w:sz="6" w:space="0" w:color="auto"/>
              <w:right w:val="nil" w:sz="6" w:space="0" w:color="auto"/>
            </w:tcBorders>
          </w:tcPr>
          <w:p>
            <w:pPr>
              <w:pStyle w:val="TableParagraph"/>
              <w:spacing w:line="210" w:lineRule="exact"/>
              <w:ind w:left="740" w:right="0"/>
              <w:jc w:val="left"/>
              <w:rPr>
                <w:rFonts w:ascii="黑体" w:hAnsi="黑体" w:cs="黑体" w:eastAsia="黑体" w:hint="default"/>
                <w:sz w:val="18"/>
                <w:szCs w:val="18"/>
              </w:rPr>
            </w:pPr>
            <w:r>
              <w:rPr>
                <w:rFonts w:ascii="黑体" w:hAnsi="黑体" w:cs="黑体" w:eastAsia="黑体" w:hint="default"/>
                <w:sz w:val="18"/>
                <w:szCs w:val="18"/>
              </w:rPr>
              <w:t>账面余额</w:t>
            </w:r>
          </w:p>
        </w:tc>
        <w:tc>
          <w:tcPr>
            <w:tcW w:w="1769" w:type="dxa"/>
            <w:gridSpan w:val="2"/>
            <w:tcBorders>
              <w:top w:val="nil" w:sz="6" w:space="0" w:color="auto"/>
              <w:left w:val="nil" w:sz="6" w:space="0" w:color="auto"/>
              <w:bottom w:val="nil" w:sz="6" w:space="0" w:color="auto"/>
              <w:right w:val="nil" w:sz="6" w:space="0" w:color="auto"/>
            </w:tcBorders>
          </w:tcPr>
          <w:p>
            <w:pPr>
              <w:pStyle w:val="TableParagraph"/>
              <w:spacing w:line="210" w:lineRule="exact"/>
              <w:ind w:left="848" w:right="0"/>
              <w:jc w:val="left"/>
              <w:rPr>
                <w:rFonts w:ascii="黑体" w:hAnsi="黑体" w:cs="黑体" w:eastAsia="黑体" w:hint="default"/>
                <w:sz w:val="18"/>
                <w:szCs w:val="18"/>
              </w:rPr>
            </w:pPr>
            <w:r>
              <w:rPr>
                <w:rFonts w:ascii="黑体" w:hAnsi="黑体" w:cs="黑体" w:eastAsia="黑体" w:hint="default"/>
                <w:sz w:val="18"/>
                <w:szCs w:val="18"/>
              </w:rPr>
              <w:t>坏账准备</w:t>
            </w:r>
          </w:p>
        </w:tc>
      </w:tr>
      <w:tr>
        <w:trPr>
          <w:trHeight w:val="240" w:hRule="exact"/>
        </w:trPr>
        <w:tc>
          <w:tcPr>
            <w:tcW w:w="1237" w:type="dxa"/>
            <w:tcBorders>
              <w:top w:val="nil" w:sz="6" w:space="0" w:color="auto"/>
              <w:left w:val="nil" w:sz="6" w:space="0" w:color="auto"/>
              <w:bottom w:val="nil" w:sz="6" w:space="0" w:color="auto"/>
              <w:right w:val="nil" w:sz="6" w:space="0" w:color="auto"/>
            </w:tcBorders>
          </w:tcPr>
          <w:p>
            <w:pPr/>
          </w:p>
        </w:tc>
        <w:tc>
          <w:tcPr>
            <w:tcW w:w="1174" w:type="dxa"/>
            <w:tcBorders>
              <w:top w:val="nil" w:sz="6" w:space="0" w:color="auto"/>
              <w:left w:val="nil" w:sz="6" w:space="0" w:color="auto"/>
              <w:bottom w:val="nil" w:sz="6" w:space="0" w:color="auto"/>
              <w:right w:val="nil" w:sz="6" w:space="0" w:color="auto"/>
            </w:tcBorders>
          </w:tcPr>
          <w:p>
            <w:pPr>
              <w:pStyle w:val="TableParagraph"/>
              <w:spacing w:line="210" w:lineRule="exact"/>
              <w:ind w:right="101"/>
              <w:jc w:val="right"/>
              <w:rPr>
                <w:rFonts w:ascii="黑体" w:hAnsi="黑体" w:cs="黑体" w:eastAsia="黑体" w:hint="default"/>
                <w:sz w:val="18"/>
                <w:szCs w:val="18"/>
              </w:rPr>
            </w:pPr>
            <w:r>
              <w:rPr>
                <w:rFonts w:ascii="黑体" w:hAnsi="黑体" w:cs="黑体" w:eastAsia="黑体" w:hint="default"/>
                <w:sz w:val="18"/>
                <w:szCs w:val="18"/>
              </w:rPr>
              <w:t>金额</w:t>
            </w:r>
          </w:p>
        </w:tc>
        <w:tc>
          <w:tcPr>
            <w:tcW w:w="898" w:type="dxa"/>
            <w:tcBorders>
              <w:top w:val="nil" w:sz="6" w:space="0" w:color="auto"/>
              <w:left w:val="nil" w:sz="6" w:space="0" w:color="auto"/>
              <w:bottom w:val="nil" w:sz="6" w:space="0" w:color="auto"/>
              <w:right w:val="nil" w:sz="6" w:space="0" w:color="auto"/>
            </w:tcBorders>
          </w:tcPr>
          <w:p>
            <w:pPr>
              <w:pStyle w:val="TableParagraph"/>
              <w:spacing w:line="210" w:lineRule="exact"/>
              <w:ind w:right="432"/>
              <w:jc w:val="right"/>
              <w:rPr>
                <w:rFonts w:ascii="黑体" w:hAnsi="黑体" w:cs="黑体" w:eastAsia="黑体" w:hint="default"/>
                <w:sz w:val="18"/>
                <w:szCs w:val="18"/>
              </w:rPr>
            </w:pPr>
            <w:r>
              <w:rPr>
                <w:rFonts w:ascii="黑体" w:hAnsi="黑体" w:cs="黑体" w:eastAsia="黑体" w:hint="default"/>
                <w:sz w:val="18"/>
                <w:szCs w:val="18"/>
              </w:rPr>
              <w:t>比例</w:t>
            </w:r>
          </w:p>
        </w:tc>
        <w:tc>
          <w:tcPr>
            <w:tcW w:w="844" w:type="dxa"/>
            <w:tcBorders>
              <w:top w:val="nil" w:sz="6" w:space="0" w:color="auto"/>
              <w:left w:val="nil" w:sz="6" w:space="0" w:color="auto"/>
              <w:bottom w:val="nil" w:sz="6" w:space="0" w:color="auto"/>
              <w:right w:val="nil" w:sz="6" w:space="0" w:color="auto"/>
            </w:tcBorders>
          </w:tcPr>
          <w:p>
            <w:pPr>
              <w:pStyle w:val="TableParagraph"/>
              <w:spacing w:line="210" w:lineRule="exact"/>
              <w:ind w:right="49"/>
              <w:jc w:val="right"/>
              <w:rPr>
                <w:rFonts w:ascii="黑体" w:hAnsi="黑体" w:cs="黑体" w:eastAsia="黑体" w:hint="default"/>
                <w:sz w:val="18"/>
                <w:szCs w:val="18"/>
              </w:rPr>
            </w:pPr>
            <w:r>
              <w:rPr>
                <w:rFonts w:ascii="黑体" w:hAnsi="黑体" w:cs="黑体" w:eastAsia="黑体" w:hint="default"/>
                <w:sz w:val="18"/>
                <w:szCs w:val="18"/>
              </w:rPr>
              <w:t>金额</w:t>
            </w:r>
          </w:p>
        </w:tc>
        <w:tc>
          <w:tcPr>
            <w:tcW w:w="694" w:type="dxa"/>
            <w:tcBorders>
              <w:top w:val="nil" w:sz="6" w:space="0" w:color="auto"/>
              <w:left w:val="nil" w:sz="6" w:space="0" w:color="auto"/>
              <w:bottom w:val="nil" w:sz="6" w:space="0" w:color="auto"/>
              <w:right w:val="nil" w:sz="6" w:space="0" w:color="auto"/>
            </w:tcBorders>
          </w:tcPr>
          <w:p>
            <w:pPr>
              <w:pStyle w:val="TableParagraph"/>
              <w:spacing w:line="210" w:lineRule="exact"/>
              <w:ind w:right="280"/>
              <w:jc w:val="right"/>
              <w:rPr>
                <w:rFonts w:ascii="黑体" w:hAnsi="黑体" w:cs="黑体" w:eastAsia="黑体" w:hint="default"/>
                <w:sz w:val="18"/>
                <w:szCs w:val="18"/>
              </w:rPr>
            </w:pPr>
            <w:r>
              <w:rPr>
                <w:rFonts w:ascii="黑体" w:hAnsi="黑体" w:cs="黑体" w:eastAsia="黑体" w:hint="default"/>
                <w:sz w:val="18"/>
                <w:szCs w:val="18"/>
              </w:rPr>
              <w:t>计提</w:t>
            </w:r>
          </w:p>
        </w:tc>
        <w:tc>
          <w:tcPr>
            <w:tcW w:w="1048" w:type="dxa"/>
            <w:tcBorders>
              <w:top w:val="nil" w:sz="6" w:space="0" w:color="auto"/>
              <w:left w:val="nil" w:sz="6" w:space="0" w:color="auto"/>
              <w:bottom w:val="nil" w:sz="6" w:space="0" w:color="auto"/>
              <w:right w:val="nil" w:sz="6" w:space="0" w:color="auto"/>
            </w:tcBorders>
          </w:tcPr>
          <w:p>
            <w:pPr>
              <w:pStyle w:val="TableParagraph"/>
              <w:spacing w:line="210" w:lineRule="exact"/>
              <w:ind w:right="50"/>
              <w:jc w:val="right"/>
              <w:rPr>
                <w:rFonts w:ascii="黑体" w:hAnsi="黑体" w:cs="黑体" w:eastAsia="黑体" w:hint="default"/>
                <w:sz w:val="18"/>
                <w:szCs w:val="18"/>
              </w:rPr>
            </w:pPr>
            <w:r>
              <w:rPr>
                <w:rFonts w:ascii="黑体" w:hAnsi="黑体" w:cs="黑体" w:eastAsia="黑体" w:hint="default"/>
                <w:sz w:val="18"/>
                <w:szCs w:val="18"/>
              </w:rPr>
              <w:t>金额</w:t>
            </w:r>
          </w:p>
        </w:tc>
        <w:tc>
          <w:tcPr>
            <w:tcW w:w="659" w:type="dxa"/>
            <w:tcBorders>
              <w:top w:val="nil" w:sz="6" w:space="0" w:color="auto"/>
              <w:left w:val="nil" w:sz="6" w:space="0" w:color="auto"/>
              <w:bottom w:val="nil" w:sz="6" w:space="0" w:color="auto"/>
              <w:right w:val="nil" w:sz="6" w:space="0" w:color="auto"/>
            </w:tcBorders>
          </w:tcPr>
          <w:p>
            <w:pPr>
              <w:pStyle w:val="TableParagraph"/>
              <w:spacing w:line="210" w:lineRule="exact"/>
              <w:ind w:right="244"/>
              <w:jc w:val="right"/>
              <w:rPr>
                <w:rFonts w:ascii="黑体" w:hAnsi="黑体" w:cs="黑体" w:eastAsia="黑体" w:hint="default"/>
                <w:sz w:val="18"/>
                <w:szCs w:val="18"/>
              </w:rPr>
            </w:pPr>
            <w:r>
              <w:rPr>
                <w:rFonts w:ascii="黑体" w:hAnsi="黑体" w:cs="黑体" w:eastAsia="黑体" w:hint="default"/>
                <w:sz w:val="18"/>
                <w:szCs w:val="18"/>
              </w:rPr>
              <w:t>比例</w:t>
            </w:r>
          </w:p>
        </w:tc>
        <w:tc>
          <w:tcPr>
            <w:tcW w:w="1082" w:type="dxa"/>
            <w:tcBorders>
              <w:top w:val="nil" w:sz="6" w:space="0" w:color="auto"/>
              <w:left w:val="nil" w:sz="6" w:space="0" w:color="auto"/>
              <w:bottom w:val="nil" w:sz="6" w:space="0" w:color="auto"/>
              <w:right w:val="nil" w:sz="6" w:space="0" w:color="auto"/>
            </w:tcBorders>
          </w:tcPr>
          <w:p>
            <w:pPr>
              <w:pStyle w:val="TableParagraph"/>
              <w:spacing w:line="210" w:lineRule="exact"/>
              <w:ind w:right="125"/>
              <w:jc w:val="right"/>
              <w:rPr>
                <w:rFonts w:ascii="黑体" w:hAnsi="黑体" w:cs="黑体" w:eastAsia="黑体" w:hint="default"/>
                <w:sz w:val="18"/>
                <w:szCs w:val="18"/>
              </w:rPr>
            </w:pPr>
            <w:r>
              <w:rPr>
                <w:rFonts w:ascii="黑体" w:hAnsi="黑体" w:cs="黑体" w:eastAsia="黑体" w:hint="default"/>
                <w:sz w:val="18"/>
                <w:szCs w:val="18"/>
              </w:rPr>
              <w:t>金额</w:t>
            </w:r>
          </w:p>
        </w:tc>
        <w:tc>
          <w:tcPr>
            <w:tcW w:w="687" w:type="dxa"/>
            <w:tcBorders>
              <w:top w:val="nil" w:sz="6" w:space="0" w:color="auto"/>
              <w:left w:val="nil" w:sz="6" w:space="0" w:color="auto"/>
              <w:bottom w:val="nil" w:sz="6" w:space="0" w:color="auto"/>
              <w:right w:val="nil" w:sz="6" w:space="0" w:color="auto"/>
            </w:tcBorders>
          </w:tcPr>
          <w:p>
            <w:pPr>
              <w:pStyle w:val="TableParagraph"/>
              <w:spacing w:line="210" w:lineRule="exact"/>
              <w:ind w:right="198"/>
              <w:jc w:val="right"/>
              <w:rPr>
                <w:rFonts w:ascii="黑体" w:hAnsi="黑体" w:cs="黑体" w:eastAsia="黑体" w:hint="default"/>
                <w:sz w:val="18"/>
                <w:szCs w:val="18"/>
              </w:rPr>
            </w:pPr>
            <w:r>
              <w:rPr>
                <w:rFonts w:ascii="黑体" w:hAnsi="黑体" w:cs="黑体" w:eastAsia="黑体" w:hint="default"/>
                <w:sz w:val="18"/>
                <w:szCs w:val="18"/>
              </w:rPr>
              <w:t>计提</w:t>
            </w:r>
          </w:p>
        </w:tc>
      </w:tr>
      <w:tr>
        <w:trPr>
          <w:trHeight w:val="249" w:hRule="exact"/>
        </w:trPr>
        <w:tc>
          <w:tcPr>
            <w:tcW w:w="1237" w:type="dxa"/>
            <w:tcBorders>
              <w:top w:val="nil" w:sz="6" w:space="0" w:color="auto"/>
              <w:left w:val="nil" w:sz="6" w:space="0" w:color="auto"/>
              <w:bottom w:val="nil" w:sz="6" w:space="0" w:color="auto"/>
              <w:right w:val="nil" w:sz="6" w:space="0" w:color="auto"/>
            </w:tcBorders>
          </w:tcPr>
          <w:p>
            <w:pPr/>
          </w:p>
        </w:tc>
        <w:tc>
          <w:tcPr>
            <w:tcW w:w="1174"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432"/>
              <w:jc w:val="right"/>
              <w:rPr>
                <w:rFonts w:ascii="Arial" w:hAnsi="Arial" w:cs="Arial" w:eastAsia="Arial" w:hint="default"/>
                <w:sz w:val="18"/>
                <w:szCs w:val="18"/>
              </w:rPr>
            </w:pPr>
            <w:r>
              <w:rPr>
                <w:rFonts w:ascii="Arial"/>
                <w:w w:val="95"/>
                <w:sz w:val="18"/>
              </w:rPr>
              <w:t>(%)</w:t>
            </w:r>
            <w:r>
              <w:rPr>
                <w:rFonts w:ascii="Arial"/>
                <w:sz w:val="18"/>
              </w:rPr>
            </w:r>
          </w:p>
        </w:tc>
        <w:tc>
          <w:tcPr>
            <w:tcW w:w="844" w:type="dxa"/>
            <w:tcBorders>
              <w:top w:val="nil" w:sz="6" w:space="0" w:color="auto"/>
              <w:left w:val="nil" w:sz="6" w:space="0" w:color="auto"/>
              <w:bottom w:val="nil" w:sz="6" w:space="0" w:color="auto"/>
              <w:right w:val="nil" w:sz="6" w:space="0" w:color="auto"/>
            </w:tcBorders>
          </w:tcPr>
          <w:p>
            <w:pPr/>
          </w:p>
        </w:tc>
        <w:tc>
          <w:tcPr>
            <w:tcW w:w="694" w:type="dxa"/>
            <w:tcBorders>
              <w:top w:val="nil" w:sz="6" w:space="0" w:color="auto"/>
              <w:left w:val="nil" w:sz="6" w:space="0" w:color="auto"/>
              <w:bottom w:val="nil" w:sz="6" w:space="0" w:color="auto"/>
              <w:right w:val="nil" w:sz="6" w:space="0" w:color="auto"/>
            </w:tcBorders>
          </w:tcPr>
          <w:p>
            <w:pPr>
              <w:pStyle w:val="TableParagraph"/>
              <w:spacing w:line="210" w:lineRule="exact"/>
              <w:ind w:right="280"/>
              <w:jc w:val="right"/>
              <w:rPr>
                <w:rFonts w:ascii="黑体" w:hAnsi="黑体" w:cs="黑体" w:eastAsia="黑体" w:hint="default"/>
                <w:sz w:val="18"/>
                <w:szCs w:val="18"/>
              </w:rPr>
            </w:pPr>
            <w:r>
              <w:rPr>
                <w:rFonts w:ascii="黑体" w:hAnsi="黑体" w:cs="黑体" w:eastAsia="黑体" w:hint="default"/>
                <w:sz w:val="18"/>
                <w:szCs w:val="18"/>
              </w:rPr>
              <w:t>比例</w:t>
            </w:r>
          </w:p>
        </w:tc>
        <w:tc>
          <w:tcPr>
            <w:tcW w:w="1048" w:type="dxa"/>
            <w:tcBorders>
              <w:top w:val="nil" w:sz="6" w:space="0" w:color="auto"/>
              <w:left w:val="nil" w:sz="6" w:space="0" w:color="auto"/>
              <w:bottom w:val="nil" w:sz="6" w:space="0" w:color="auto"/>
              <w:right w:val="nil" w:sz="6" w:space="0" w:color="auto"/>
            </w:tcBorders>
          </w:tcPr>
          <w:p>
            <w:pPr/>
          </w:p>
        </w:tc>
        <w:tc>
          <w:tcPr>
            <w:tcW w:w="65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44"/>
              <w:jc w:val="right"/>
              <w:rPr>
                <w:rFonts w:ascii="Arial" w:hAnsi="Arial" w:cs="Arial" w:eastAsia="Arial" w:hint="default"/>
                <w:sz w:val="18"/>
                <w:szCs w:val="18"/>
              </w:rPr>
            </w:pPr>
            <w:r>
              <w:rPr>
                <w:rFonts w:ascii="Arial"/>
                <w:w w:val="95"/>
                <w:sz w:val="18"/>
              </w:rPr>
              <w:t>(%)</w:t>
            </w:r>
            <w:r>
              <w:rPr>
                <w:rFonts w:ascii="Arial"/>
                <w:sz w:val="18"/>
              </w:rPr>
            </w:r>
          </w:p>
        </w:tc>
        <w:tc>
          <w:tcPr>
            <w:tcW w:w="1082" w:type="dxa"/>
            <w:tcBorders>
              <w:top w:val="nil" w:sz="6" w:space="0" w:color="auto"/>
              <w:left w:val="nil" w:sz="6" w:space="0" w:color="auto"/>
              <w:bottom w:val="nil" w:sz="6" w:space="0" w:color="auto"/>
              <w:right w:val="nil" w:sz="6" w:space="0" w:color="auto"/>
            </w:tcBorders>
          </w:tcPr>
          <w:p>
            <w:pPr/>
          </w:p>
        </w:tc>
        <w:tc>
          <w:tcPr>
            <w:tcW w:w="687" w:type="dxa"/>
            <w:tcBorders>
              <w:top w:val="nil" w:sz="6" w:space="0" w:color="auto"/>
              <w:left w:val="nil" w:sz="6" w:space="0" w:color="auto"/>
              <w:bottom w:val="nil" w:sz="6" w:space="0" w:color="auto"/>
              <w:right w:val="nil" w:sz="6" w:space="0" w:color="auto"/>
            </w:tcBorders>
          </w:tcPr>
          <w:p>
            <w:pPr>
              <w:pStyle w:val="TableParagraph"/>
              <w:spacing w:line="210" w:lineRule="exact"/>
              <w:ind w:right="198"/>
              <w:jc w:val="right"/>
              <w:rPr>
                <w:rFonts w:ascii="黑体" w:hAnsi="黑体" w:cs="黑体" w:eastAsia="黑体" w:hint="default"/>
                <w:sz w:val="18"/>
                <w:szCs w:val="18"/>
              </w:rPr>
            </w:pPr>
            <w:r>
              <w:rPr>
                <w:rFonts w:ascii="黑体" w:hAnsi="黑体" w:cs="黑体" w:eastAsia="黑体" w:hint="default"/>
                <w:sz w:val="18"/>
                <w:szCs w:val="18"/>
              </w:rPr>
              <w:t>比例</w:t>
            </w:r>
          </w:p>
        </w:tc>
      </w:tr>
      <w:tr>
        <w:trPr>
          <w:trHeight w:val="236" w:hRule="exact"/>
        </w:trPr>
        <w:tc>
          <w:tcPr>
            <w:tcW w:w="1237" w:type="dxa"/>
            <w:tcBorders>
              <w:top w:val="nil" w:sz="6" w:space="0" w:color="auto"/>
              <w:left w:val="nil" w:sz="6" w:space="0" w:color="auto"/>
              <w:bottom w:val="nil" w:sz="6" w:space="0" w:color="auto"/>
              <w:right w:val="nil" w:sz="6" w:space="0" w:color="auto"/>
            </w:tcBorders>
          </w:tcPr>
          <w:p>
            <w:pPr/>
          </w:p>
        </w:tc>
        <w:tc>
          <w:tcPr>
            <w:tcW w:w="1174" w:type="dxa"/>
            <w:tcBorders>
              <w:top w:val="nil" w:sz="6" w:space="0" w:color="auto"/>
              <w:left w:val="nil" w:sz="6" w:space="0" w:color="auto"/>
              <w:bottom w:val="nil" w:sz="6" w:space="0" w:color="auto"/>
              <w:right w:val="nil" w:sz="6" w:space="0" w:color="auto"/>
            </w:tcBorders>
          </w:tcPr>
          <w:p>
            <w:pPr/>
          </w:p>
        </w:tc>
        <w:tc>
          <w:tcPr>
            <w:tcW w:w="898" w:type="dxa"/>
            <w:tcBorders>
              <w:top w:val="nil" w:sz="6" w:space="0" w:color="auto"/>
              <w:left w:val="nil" w:sz="6" w:space="0" w:color="auto"/>
              <w:bottom w:val="nil" w:sz="6" w:space="0" w:color="auto"/>
              <w:right w:val="nil" w:sz="6" w:space="0" w:color="auto"/>
            </w:tcBorders>
          </w:tcPr>
          <w:p>
            <w:pPr/>
          </w:p>
        </w:tc>
        <w:tc>
          <w:tcPr>
            <w:tcW w:w="844" w:type="dxa"/>
            <w:tcBorders>
              <w:top w:val="nil" w:sz="6" w:space="0" w:color="auto"/>
              <w:left w:val="nil" w:sz="6" w:space="0" w:color="auto"/>
              <w:bottom w:val="nil" w:sz="6" w:space="0" w:color="auto"/>
              <w:right w:val="nil" w:sz="6" w:space="0" w:color="auto"/>
            </w:tcBorders>
          </w:tcPr>
          <w:p>
            <w:pPr/>
          </w:p>
        </w:tc>
        <w:tc>
          <w:tcPr>
            <w:tcW w:w="6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80"/>
              <w:jc w:val="right"/>
              <w:rPr>
                <w:rFonts w:ascii="Arial" w:hAnsi="Arial" w:cs="Arial" w:eastAsia="Arial" w:hint="default"/>
                <w:sz w:val="18"/>
                <w:szCs w:val="18"/>
              </w:rPr>
            </w:pPr>
            <w:r>
              <w:rPr>
                <w:rFonts w:ascii="Arial"/>
                <w:w w:val="95"/>
                <w:sz w:val="18"/>
              </w:rPr>
              <w:t>(%)</w:t>
            </w:r>
            <w:r>
              <w:rPr>
                <w:rFonts w:ascii="Arial"/>
                <w:sz w:val="18"/>
              </w:rPr>
            </w:r>
          </w:p>
        </w:tc>
        <w:tc>
          <w:tcPr>
            <w:tcW w:w="1048" w:type="dxa"/>
            <w:tcBorders>
              <w:top w:val="nil" w:sz="6" w:space="0" w:color="auto"/>
              <w:left w:val="nil" w:sz="6" w:space="0" w:color="auto"/>
              <w:bottom w:val="nil" w:sz="6" w:space="0" w:color="auto"/>
              <w:right w:val="nil" w:sz="6" w:space="0" w:color="auto"/>
            </w:tcBorders>
          </w:tcPr>
          <w:p>
            <w:pPr/>
          </w:p>
        </w:tc>
        <w:tc>
          <w:tcPr>
            <w:tcW w:w="659" w:type="dxa"/>
            <w:tcBorders>
              <w:top w:val="nil" w:sz="6" w:space="0" w:color="auto"/>
              <w:left w:val="nil" w:sz="6" w:space="0" w:color="auto"/>
              <w:bottom w:val="nil" w:sz="6" w:space="0" w:color="auto"/>
              <w:right w:val="nil" w:sz="6" w:space="0" w:color="auto"/>
            </w:tcBorders>
          </w:tcPr>
          <w:p>
            <w:pPr/>
          </w:p>
        </w:tc>
        <w:tc>
          <w:tcPr>
            <w:tcW w:w="1082" w:type="dxa"/>
            <w:tcBorders>
              <w:top w:val="nil" w:sz="6" w:space="0" w:color="auto"/>
              <w:left w:val="nil" w:sz="6" w:space="0" w:color="auto"/>
              <w:bottom w:val="nil" w:sz="6" w:space="0" w:color="auto"/>
              <w:right w:val="nil" w:sz="6" w:space="0" w:color="auto"/>
            </w:tcBorders>
          </w:tcPr>
          <w:p>
            <w:pPr/>
          </w:p>
        </w:tc>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18"/>
                <w:szCs w:val="18"/>
              </w:rPr>
            </w:pPr>
            <w:r>
              <w:rPr>
                <w:rFonts w:ascii="Arial"/>
                <w:w w:val="95"/>
                <w:sz w:val="18"/>
              </w:rPr>
              <w:t>(%)</w:t>
            </w:r>
            <w:r>
              <w:rPr>
                <w:rFonts w:ascii="Arial"/>
                <w:sz w:val="18"/>
              </w:rPr>
            </w:r>
          </w:p>
        </w:tc>
      </w:tr>
      <w:tr>
        <w:trPr>
          <w:trHeight w:val="244" w:hRule="exact"/>
        </w:trPr>
        <w:tc>
          <w:tcPr>
            <w:tcW w:w="1237" w:type="dxa"/>
            <w:tcBorders>
              <w:top w:val="nil" w:sz="6" w:space="0" w:color="auto"/>
              <w:left w:val="nil" w:sz="6" w:space="0" w:color="auto"/>
              <w:bottom w:val="nil" w:sz="6" w:space="0" w:color="auto"/>
              <w:right w:val="nil" w:sz="6" w:space="0" w:color="auto"/>
            </w:tcBorders>
          </w:tcPr>
          <w:p>
            <w:pPr>
              <w:pStyle w:val="TableParagraph"/>
              <w:spacing w:line="218" w:lineRule="exact"/>
              <w:ind w:left="200" w:right="0"/>
              <w:jc w:val="left"/>
              <w:rPr>
                <w:rFonts w:ascii="黑体" w:hAnsi="黑体" w:cs="黑体" w:eastAsia="黑体" w:hint="default"/>
                <w:sz w:val="18"/>
                <w:szCs w:val="18"/>
              </w:rPr>
            </w:pPr>
            <w:r>
              <w:rPr>
                <w:rFonts w:ascii="Arial" w:hAnsi="Arial" w:cs="Arial" w:eastAsia="Arial" w:hint="default"/>
                <w:sz w:val="18"/>
                <w:szCs w:val="18"/>
              </w:rPr>
              <w:t>1</w:t>
            </w:r>
            <w:r>
              <w:rPr>
                <w:rFonts w:ascii="Arial" w:hAnsi="Arial" w:cs="Arial" w:eastAsia="Arial" w:hint="default"/>
                <w:spacing w:val="-4"/>
                <w:sz w:val="18"/>
                <w:szCs w:val="18"/>
              </w:rPr>
              <w:t> </w:t>
            </w:r>
            <w:r>
              <w:rPr>
                <w:rFonts w:ascii="黑体" w:hAnsi="黑体" w:cs="黑体" w:eastAsia="黑体" w:hint="default"/>
                <w:sz w:val="18"/>
                <w:szCs w:val="18"/>
              </w:rPr>
              <w:t>年以内</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8"/>
              <w:jc w:val="right"/>
              <w:rPr>
                <w:rFonts w:ascii="Arial" w:hAnsi="Arial" w:cs="Arial" w:eastAsia="Arial" w:hint="default"/>
                <w:sz w:val="16"/>
                <w:szCs w:val="16"/>
              </w:rPr>
            </w:pPr>
            <w:r>
              <w:rPr>
                <w:rFonts w:ascii="Arial"/>
                <w:spacing w:val="-1"/>
                <w:sz w:val="16"/>
              </w:rPr>
              <w:t>5,995,748</w:t>
            </w:r>
            <w:r>
              <w:rPr>
                <w:rFonts w:ascii="Arial"/>
                <w:sz w:val="16"/>
              </w:rPr>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439"/>
              <w:jc w:val="right"/>
              <w:rPr>
                <w:rFonts w:ascii="Arial" w:hAnsi="Arial" w:cs="Arial" w:eastAsia="Arial" w:hint="default"/>
                <w:sz w:val="16"/>
                <w:szCs w:val="16"/>
              </w:rPr>
            </w:pPr>
            <w:r>
              <w:rPr>
                <w:rFonts w:ascii="Arial"/>
                <w:spacing w:val="-1"/>
                <w:sz w:val="16"/>
              </w:rPr>
              <w:t>76</w:t>
            </w:r>
            <w:r>
              <w:rPr>
                <w:rFonts w:ascii="Arial"/>
                <w:sz w:val="16"/>
              </w:rPr>
            </w:r>
          </w:p>
        </w:tc>
        <w:tc>
          <w:tcPr>
            <w:tcW w:w="84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3"/>
              <w:jc w:val="right"/>
              <w:rPr>
                <w:rFonts w:ascii="Arial" w:hAnsi="Arial" w:cs="Arial" w:eastAsia="Arial" w:hint="default"/>
                <w:sz w:val="16"/>
                <w:szCs w:val="16"/>
              </w:rPr>
            </w:pPr>
            <w:r>
              <w:rPr>
                <w:rFonts w:ascii="Arial"/>
                <w:w w:val="100"/>
                <w:sz w:val="16"/>
              </w:rPr>
              <w:t>-</w:t>
            </w:r>
          </w:p>
        </w:tc>
        <w:tc>
          <w:tcPr>
            <w:tcW w:w="69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86"/>
              <w:jc w:val="right"/>
              <w:rPr>
                <w:rFonts w:ascii="Arial" w:hAnsi="Arial" w:cs="Arial" w:eastAsia="Arial" w:hint="default"/>
                <w:sz w:val="16"/>
                <w:szCs w:val="16"/>
              </w:rPr>
            </w:pPr>
            <w:r>
              <w:rPr>
                <w:rFonts w:ascii="Arial"/>
                <w:w w:val="100"/>
                <w:sz w:val="16"/>
              </w:rPr>
              <w:t>-</w:t>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50"/>
              <w:jc w:val="right"/>
              <w:rPr>
                <w:rFonts w:ascii="Arial" w:hAnsi="Arial" w:cs="Arial" w:eastAsia="Arial" w:hint="default"/>
                <w:sz w:val="16"/>
                <w:szCs w:val="16"/>
              </w:rPr>
            </w:pPr>
            <w:r>
              <w:rPr>
                <w:rFonts w:ascii="Arial"/>
                <w:spacing w:val="-1"/>
                <w:sz w:val="16"/>
              </w:rPr>
              <w:t>2,470,902</w:t>
            </w:r>
            <w:r>
              <w:rPr>
                <w:rFonts w:ascii="Arial"/>
                <w:sz w:val="16"/>
              </w:rPr>
            </w:r>
          </w:p>
        </w:tc>
        <w:tc>
          <w:tcPr>
            <w:tcW w:w="65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44"/>
              <w:jc w:val="right"/>
              <w:rPr>
                <w:rFonts w:ascii="Arial" w:hAnsi="Arial" w:cs="Arial" w:eastAsia="Arial" w:hint="default"/>
                <w:sz w:val="16"/>
                <w:szCs w:val="16"/>
              </w:rPr>
            </w:pPr>
            <w:r>
              <w:rPr>
                <w:rFonts w:ascii="Arial"/>
                <w:spacing w:val="-1"/>
                <w:sz w:val="16"/>
              </w:rPr>
              <w:t>48</w:t>
            </w:r>
            <w:r>
              <w:rPr>
                <w:rFonts w:ascii="Arial"/>
                <w:sz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23"/>
              <w:jc w:val="right"/>
              <w:rPr>
                <w:rFonts w:ascii="Arial" w:hAnsi="Arial" w:cs="Arial" w:eastAsia="Arial" w:hint="default"/>
                <w:sz w:val="16"/>
                <w:szCs w:val="16"/>
              </w:rPr>
            </w:pPr>
            <w:r>
              <w:rPr>
                <w:rFonts w:ascii="Arial"/>
                <w:w w:val="100"/>
                <w:sz w:val="16"/>
              </w:rPr>
              <w:t>-</w:t>
            </w:r>
          </w:p>
        </w:tc>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98"/>
              <w:jc w:val="right"/>
              <w:rPr>
                <w:rFonts w:ascii="Arial" w:hAnsi="Arial" w:cs="Arial" w:eastAsia="Arial" w:hint="default"/>
                <w:sz w:val="16"/>
                <w:szCs w:val="16"/>
              </w:rPr>
            </w:pPr>
            <w:r>
              <w:rPr>
                <w:rFonts w:ascii="Arial"/>
                <w:w w:val="100"/>
                <w:sz w:val="16"/>
              </w:rPr>
              <w:t>-</w:t>
            </w:r>
          </w:p>
        </w:tc>
      </w:tr>
      <w:tr>
        <w:trPr>
          <w:trHeight w:val="240" w:hRule="exact"/>
        </w:trPr>
        <w:tc>
          <w:tcPr>
            <w:tcW w:w="1237" w:type="dxa"/>
            <w:tcBorders>
              <w:top w:val="nil" w:sz="6" w:space="0" w:color="auto"/>
              <w:left w:val="nil" w:sz="6" w:space="0" w:color="auto"/>
              <w:bottom w:val="nil" w:sz="6" w:space="0" w:color="auto"/>
              <w:right w:val="nil" w:sz="6" w:space="0" w:color="auto"/>
            </w:tcBorders>
          </w:tcPr>
          <w:p>
            <w:pPr>
              <w:pStyle w:val="TableParagraph"/>
              <w:spacing w:line="214" w:lineRule="exact"/>
              <w:ind w:left="200" w:right="0"/>
              <w:jc w:val="left"/>
              <w:rPr>
                <w:rFonts w:ascii="黑体" w:hAnsi="黑体" w:cs="黑体" w:eastAsia="黑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黑体" w:hAnsi="黑体" w:cs="黑体" w:eastAsia="黑体" w:hint="default"/>
                <w:sz w:val="18"/>
                <w:szCs w:val="18"/>
              </w:rPr>
              <w:t>年</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8"/>
              <w:jc w:val="right"/>
              <w:rPr>
                <w:rFonts w:ascii="Arial" w:hAnsi="Arial" w:cs="Arial" w:eastAsia="Arial" w:hint="default"/>
                <w:sz w:val="16"/>
                <w:szCs w:val="16"/>
              </w:rPr>
            </w:pPr>
            <w:r>
              <w:rPr>
                <w:rFonts w:ascii="Arial"/>
                <w:spacing w:val="-1"/>
                <w:sz w:val="16"/>
              </w:rPr>
              <w:t>1,245,601</w:t>
            </w:r>
            <w:r>
              <w:rPr>
                <w:rFonts w:ascii="Arial"/>
                <w:sz w:val="16"/>
              </w:rPr>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39"/>
              <w:jc w:val="right"/>
              <w:rPr>
                <w:rFonts w:ascii="Arial" w:hAnsi="Arial" w:cs="Arial" w:eastAsia="Arial" w:hint="default"/>
                <w:sz w:val="16"/>
                <w:szCs w:val="16"/>
              </w:rPr>
            </w:pPr>
            <w:r>
              <w:rPr>
                <w:rFonts w:ascii="Arial"/>
                <w:spacing w:val="-1"/>
                <w:sz w:val="16"/>
              </w:rPr>
              <w:t>16</w:t>
            </w:r>
            <w:r>
              <w:rPr>
                <w:rFonts w:ascii="Arial"/>
                <w:sz w:val="16"/>
              </w:rPr>
            </w:r>
          </w:p>
        </w:tc>
        <w:tc>
          <w:tcPr>
            <w:tcW w:w="84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4"/>
              <w:jc w:val="right"/>
              <w:rPr>
                <w:rFonts w:ascii="Arial" w:hAnsi="Arial" w:cs="Arial" w:eastAsia="Arial" w:hint="default"/>
                <w:sz w:val="16"/>
                <w:szCs w:val="16"/>
              </w:rPr>
            </w:pPr>
            <w:r>
              <w:rPr>
                <w:rFonts w:ascii="Arial"/>
                <w:spacing w:val="-1"/>
                <w:sz w:val="16"/>
              </w:rPr>
              <w:t>249,120</w:t>
            </w:r>
            <w:r>
              <w:rPr>
                <w:rFonts w:ascii="Arial"/>
                <w:sz w:val="16"/>
              </w:rPr>
            </w:r>
          </w:p>
        </w:tc>
        <w:tc>
          <w:tcPr>
            <w:tcW w:w="69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87"/>
              <w:jc w:val="right"/>
              <w:rPr>
                <w:rFonts w:ascii="Arial" w:hAnsi="Arial" w:cs="Arial" w:eastAsia="Arial" w:hint="default"/>
                <w:sz w:val="16"/>
                <w:szCs w:val="16"/>
              </w:rPr>
            </w:pPr>
            <w:r>
              <w:rPr>
                <w:rFonts w:ascii="Arial"/>
                <w:spacing w:val="-1"/>
                <w:sz w:val="16"/>
              </w:rPr>
              <w:t>20</w:t>
            </w:r>
            <w:r>
              <w:rPr>
                <w:rFonts w:ascii="Arial"/>
                <w:sz w:val="16"/>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0"/>
              <w:jc w:val="right"/>
              <w:rPr>
                <w:rFonts w:ascii="Arial" w:hAnsi="Arial" w:cs="Arial" w:eastAsia="Arial" w:hint="default"/>
                <w:sz w:val="16"/>
                <w:szCs w:val="16"/>
              </w:rPr>
            </w:pPr>
            <w:r>
              <w:rPr>
                <w:rFonts w:ascii="Arial"/>
                <w:spacing w:val="-1"/>
                <w:sz w:val="16"/>
              </w:rPr>
              <w:t>666,264</w:t>
            </w:r>
            <w:r>
              <w:rPr>
                <w:rFonts w:ascii="Arial"/>
                <w:sz w:val="16"/>
              </w:rPr>
            </w:r>
          </w:p>
        </w:tc>
        <w:tc>
          <w:tcPr>
            <w:tcW w:w="65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44"/>
              <w:jc w:val="right"/>
              <w:rPr>
                <w:rFonts w:ascii="Arial" w:hAnsi="Arial" w:cs="Arial" w:eastAsia="Arial" w:hint="default"/>
                <w:sz w:val="16"/>
                <w:szCs w:val="16"/>
              </w:rPr>
            </w:pPr>
            <w:r>
              <w:rPr>
                <w:rFonts w:ascii="Arial"/>
                <w:spacing w:val="-1"/>
                <w:sz w:val="16"/>
              </w:rPr>
              <w:t>13</w:t>
            </w:r>
            <w:r>
              <w:rPr>
                <w:rFonts w:ascii="Arial"/>
                <w:sz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24"/>
              <w:jc w:val="right"/>
              <w:rPr>
                <w:rFonts w:ascii="Arial" w:hAnsi="Arial" w:cs="Arial" w:eastAsia="Arial" w:hint="default"/>
                <w:sz w:val="16"/>
                <w:szCs w:val="16"/>
              </w:rPr>
            </w:pPr>
            <w:r>
              <w:rPr>
                <w:rFonts w:ascii="Arial"/>
                <w:spacing w:val="-1"/>
                <w:sz w:val="16"/>
              </w:rPr>
              <w:t>133,253</w:t>
            </w:r>
            <w:r>
              <w:rPr>
                <w:rFonts w:ascii="Arial"/>
                <w:sz w:val="16"/>
              </w:rPr>
            </w:r>
          </w:p>
        </w:tc>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98"/>
              <w:jc w:val="right"/>
              <w:rPr>
                <w:rFonts w:ascii="Arial" w:hAnsi="Arial" w:cs="Arial" w:eastAsia="Arial" w:hint="default"/>
                <w:sz w:val="16"/>
                <w:szCs w:val="16"/>
              </w:rPr>
            </w:pPr>
            <w:r>
              <w:rPr>
                <w:rFonts w:ascii="Arial"/>
                <w:spacing w:val="-1"/>
                <w:sz w:val="16"/>
              </w:rPr>
              <w:t>20</w:t>
            </w:r>
            <w:r>
              <w:rPr>
                <w:rFonts w:ascii="Arial"/>
                <w:sz w:val="16"/>
              </w:rPr>
            </w:r>
          </w:p>
        </w:tc>
      </w:tr>
      <w:tr>
        <w:trPr>
          <w:trHeight w:val="240" w:hRule="exact"/>
        </w:trPr>
        <w:tc>
          <w:tcPr>
            <w:tcW w:w="1237" w:type="dxa"/>
            <w:tcBorders>
              <w:top w:val="nil" w:sz="6" w:space="0" w:color="auto"/>
              <w:left w:val="nil" w:sz="6" w:space="0" w:color="auto"/>
              <w:bottom w:val="nil" w:sz="6" w:space="0" w:color="auto"/>
              <w:right w:val="nil" w:sz="6" w:space="0" w:color="auto"/>
            </w:tcBorders>
          </w:tcPr>
          <w:p>
            <w:pPr>
              <w:pStyle w:val="TableParagraph"/>
              <w:spacing w:line="214" w:lineRule="exact"/>
              <w:ind w:left="200" w:right="0"/>
              <w:jc w:val="left"/>
              <w:rPr>
                <w:rFonts w:ascii="黑体" w:hAnsi="黑体" w:cs="黑体" w:eastAsia="黑体" w:hint="default"/>
                <w:sz w:val="18"/>
                <w:szCs w:val="18"/>
              </w:rPr>
            </w:pPr>
            <w:r>
              <w:rPr>
                <w:rFonts w:ascii="Arial" w:hAnsi="Arial" w:cs="Arial" w:eastAsia="Arial" w:hint="default"/>
                <w:sz w:val="18"/>
                <w:szCs w:val="18"/>
              </w:rPr>
              <w:t>2-3</w:t>
            </w:r>
            <w:r>
              <w:rPr>
                <w:rFonts w:ascii="Arial" w:hAnsi="Arial" w:cs="Arial" w:eastAsia="Arial" w:hint="default"/>
                <w:spacing w:val="-5"/>
                <w:sz w:val="18"/>
                <w:szCs w:val="18"/>
              </w:rPr>
              <w:t> </w:t>
            </w:r>
            <w:r>
              <w:rPr>
                <w:rFonts w:ascii="黑体" w:hAnsi="黑体" w:cs="黑体" w:eastAsia="黑体" w:hint="default"/>
                <w:sz w:val="18"/>
                <w:szCs w:val="18"/>
              </w:rPr>
              <w:t>年</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8"/>
              <w:jc w:val="right"/>
              <w:rPr>
                <w:rFonts w:ascii="Arial" w:hAnsi="Arial" w:cs="Arial" w:eastAsia="Arial" w:hint="default"/>
                <w:sz w:val="16"/>
                <w:szCs w:val="16"/>
              </w:rPr>
            </w:pPr>
            <w:r>
              <w:rPr>
                <w:rFonts w:ascii="Arial"/>
                <w:spacing w:val="-1"/>
                <w:sz w:val="16"/>
              </w:rPr>
              <w:t>77,010</w:t>
            </w:r>
            <w:r>
              <w:rPr>
                <w:rFonts w:ascii="Arial"/>
                <w:sz w:val="16"/>
              </w:rPr>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38"/>
              <w:jc w:val="right"/>
              <w:rPr>
                <w:rFonts w:ascii="Arial" w:hAnsi="Arial" w:cs="Arial" w:eastAsia="Arial" w:hint="default"/>
                <w:sz w:val="16"/>
                <w:szCs w:val="16"/>
              </w:rPr>
            </w:pPr>
            <w:r>
              <w:rPr>
                <w:rFonts w:ascii="Arial"/>
                <w:w w:val="100"/>
                <w:sz w:val="16"/>
              </w:rPr>
              <w:t>1</w:t>
            </w:r>
          </w:p>
        </w:tc>
        <w:tc>
          <w:tcPr>
            <w:tcW w:w="84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4"/>
              <w:jc w:val="right"/>
              <w:rPr>
                <w:rFonts w:ascii="Arial" w:hAnsi="Arial" w:cs="Arial" w:eastAsia="Arial" w:hint="default"/>
                <w:sz w:val="16"/>
                <w:szCs w:val="16"/>
              </w:rPr>
            </w:pPr>
            <w:r>
              <w:rPr>
                <w:rFonts w:ascii="Arial"/>
                <w:spacing w:val="-1"/>
                <w:sz w:val="16"/>
              </w:rPr>
              <w:t>30,804</w:t>
            </w:r>
            <w:r>
              <w:rPr>
                <w:rFonts w:ascii="Arial"/>
                <w:sz w:val="16"/>
              </w:rPr>
            </w:r>
          </w:p>
        </w:tc>
        <w:tc>
          <w:tcPr>
            <w:tcW w:w="69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87"/>
              <w:jc w:val="right"/>
              <w:rPr>
                <w:rFonts w:ascii="Arial" w:hAnsi="Arial" w:cs="Arial" w:eastAsia="Arial" w:hint="default"/>
                <w:sz w:val="16"/>
                <w:szCs w:val="16"/>
              </w:rPr>
            </w:pPr>
            <w:r>
              <w:rPr>
                <w:rFonts w:ascii="Arial"/>
                <w:spacing w:val="-1"/>
                <w:sz w:val="16"/>
              </w:rPr>
              <w:t>40</w:t>
            </w:r>
            <w:r>
              <w:rPr>
                <w:rFonts w:ascii="Arial"/>
                <w:sz w:val="16"/>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0"/>
              <w:jc w:val="right"/>
              <w:rPr>
                <w:rFonts w:ascii="Arial" w:hAnsi="Arial" w:cs="Arial" w:eastAsia="Arial" w:hint="default"/>
                <w:sz w:val="16"/>
                <w:szCs w:val="16"/>
              </w:rPr>
            </w:pPr>
            <w:r>
              <w:rPr>
                <w:rFonts w:ascii="Arial"/>
                <w:spacing w:val="-1"/>
                <w:sz w:val="16"/>
              </w:rPr>
              <w:t>1,617,830</w:t>
            </w:r>
            <w:r>
              <w:rPr>
                <w:rFonts w:ascii="Arial"/>
                <w:sz w:val="16"/>
              </w:rPr>
            </w:r>
          </w:p>
        </w:tc>
        <w:tc>
          <w:tcPr>
            <w:tcW w:w="65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44"/>
              <w:jc w:val="right"/>
              <w:rPr>
                <w:rFonts w:ascii="Arial" w:hAnsi="Arial" w:cs="Arial" w:eastAsia="Arial" w:hint="default"/>
                <w:sz w:val="16"/>
                <w:szCs w:val="16"/>
              </w:rPr>
            </w:pPr>
            <w:r>
              <w:rPr>
                <w:rFonts w:ascii="Arial"/>
                <w:spacing w:val="-1"/>
                <w:sz w:val="16"/>
              </w:rPr>
              <w:t>31</w:t>
            </w:r>
            <w:r>
              <w:rPr>
                <w:rFonts w:ascii="Arial"/>
                <w:sz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24"/>
              <w:jc w:val="right"/>
              <w:rPr>
                <w:rFonts w:ascii="Arial" w:hAnsi="Arial" w:cs="Arial" w:eastAsia="Arial" w:hint="default"/>
                <w:sz w:val="16"/>
                <w:szCs w:val="16"/>
              </w:rPr>
            </w:pPr>
            <w:r>
              <w:rPr>
                <w:rFonts w:ascii="Arial"/>
                <w:spacing w:val="-1"/>
                <w:sz w:val="16"/>
              </w:rPr>
              <w:t>647,132</w:t>
            </w:r>
            <w:r>
              <w:rPr>
                <w:rFonts w:ascii="Arial"/>
                <w:sz w:val="16"/>
              </w:rPr>
            </w:r>
          </w:p>
        </w:tc>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98"/>
              <w:jc w:val="right"/>
              <w:rPr>
                <w:rFonts w:ascii="Arial" w:hAnsi="Arial" w:cs="Arial" w:eastAsia="Arial" w:hint="default"/>
                <w:sz w:val="16"/>
                <w:szCs w:val="16"/>
              </w:rPr>
            </w:pPr>
            <w:r>
              <w:rPr>
                <w:rFonts w:ascii="Arial"/>
                <w:spacing w:val="-1"/>
                <w:sz w:val="16"/>
              </w:rPr>
              <w:t>40</w:t>
            </w:r>
            <w:r>
              <w:rPr>
                <w:rFonts w:ascii="Arial"/>
                <w:sz w:val="16"/>
              </w:rPr>
            </w:r>
          </w:p>
        </w:tc>
      </w:tr>
      <w:tr>
        <w:trPr>
          <w:trHeight w:val="364" w:hRule="exact"/>
        </w:trPr>
        <w:tc>
          <w:tcPr>
            <w:tcW w:w="1237" w:type="dxa"/>
            <w:tcBorders>
              <w:top w:val="nil" w:sz="6" w:space="0" w:color="auto"/>
              <w:left w:val="nil" w:sz="6" w:space="0" w:color="auto"/>
              <w:bottom w:val="nil" w:sz="6" w:space="0" w:color="auto"/>
              <w:right w:val="nil" w:sz="6" w:space="0" w:color="auto"/>
            </w:tcBorders>
          </w:tcPr>
          <w:p>
            <w:pPr>
              <w:pStyle w:val="TableParagraph"/>
              <w:spacing w:line="214" w:lineRule="exact"/>
              <w:ind w:left="200" w:right="0"/>
              <w:jc w:val="left"/>
              <w:rPr>
                <w:rFonts w:ascii="黑体" w:hAnsi="黑体" w:cs="黑体" w:eastAsia="黑体" w:hint="default"/>
                <w:sz w:val="18"/>
                <w:szCs w:val="18"/>
              </w:rPr>
            </w:pPr>
            <w:r>
              <w:rPr>
                <w:rFonts w:ascii="Arial" w:hAnsi="Arial" w:cs="Arial" w:eastAsia="Arial" w:hint="default"/>
                <w:sz w:val="18"/>
                <w:szCs w:val="18"/>
              </w:rPr>
              <w:t>3</w:t>
            </w:r>
            <w:r>
              <w:rPr>
                <w:rFonts w:ascii="Arial" w:hAnsi="Arial" w:cs="Arial" w:eastAsia="Arial" w:hint="default"/>
                <w:spacing w:val="-4"/>
                <w:sz w:val="18"/>
                <w:szCs w:val="18"/>
              </w:rPr>
              <w:t> </w:t>
            </w:r>
            <w:r>
              <w:rPr>
                <w:rFonts w:ascii="黑体" w:hAnsi="黑体" w:cs="黑体" w:eastAsia="黑体" w:hint="default"/>
                <w:sz w:val="18"/>
                <w:szCs w:val="18"/>
              </w:rPr>
              <w:t>年以上</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6"/>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 </w:t>
            </w:r>
            <w:r>
              <w:rPr>
                <w:rFonts w:ascii="Arial"/>
                <w:spacing w:val="8"/>
                <w:sz w:val="16"/>
                <w:u w:val="single" w:color="000000"/>
              </w:rPr>
              <w:t> </w:t>
            </w:r>
            <w:r>
              <w:rPr>
                <w:rFonts w:ascii="Arial"/>
                <w:spacing w:val="-1"/>
                <w:sz w:val="16"/>
                <w:u w:val="single" w:color="000000"/>
              </w:rPr>
              <w:t>546,057</w:t>
            </w:r>
            <w:r>
              <w:rPr>
                <w:rFonts w:ascii="Arial"/>
                <w:spacing w:val="-1"/>
                <w:sz w:val="16"/>
              </w:rPr>
            </w:r>
            <w:r>
              <w:rPr>
                <w:rFonts w:ascii="Arial"/>
                <w:sz w:val="16"/>
              </w:rPr>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29"/>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  </w:t>
            </w:r>
            <w:r>
              <w:rPr>
                <w:rFonts w:ascii="Arial"/>
                <w:spacing w:val="-15"/>
                <w:sz w:val="16"/>
                <w:u w:val="single" w:color="000000"/>
              </w:rPr>
              <w:t> </w:t>
            </w:r>
            <w:r>
              <w:rPr>
                <w:rFonts w:ascii="Arial"/>
                <w:sz w:val="16"/>
                <w:u w:val="single" w:color="000000"/>
              </w:rPr>
              <w:t>7</w:t>
            </w:r>
            <w:r>
              <w:rPr>
                <w:rFonts w:ascii="Arial"/>
                <w:sz w:val="16"/>
              </w:rPr>
            </w:r>
          </w:p>
        </w:tc>
        <w:tc>
          <w:tcPr>
            <w:tcW w:w="84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4"/>
              <w:jc w:val="right"/>
              <w:rPr>
                <w:rFonts w:ascii="Arial" w:hAnsi="Arial" w:cs="Arial" w:eastAsia="Arial" w:hint="default"/>
                <w:sz w:val="16"/>
                <w:szCs w:val="16"/>
              </w:rPr>
            </w:pPr>
            <w:r>
              <w:rPr>
                <w:rFonts w:ascii="Arial"/>
                <w:w w:val="100"/>
                <w:sz w:val="16"/>
              </w:rPr>
            </w:r>
            <w:r>
              <w:rPr>
                <w:rFonts w:ascii="Arial"/>
                <w:spacing w:val="-1"/>
                <w:sz w:val="16"/>
                <w:u w:val="single" w:color="000000"/>
              </w:rPr>
              <w:t>546,057</w:t>
            </w:r>
            <w:r>
              <w:rPr>
                <w:rFonts w:ascii="Arial"/>
                <w:spacing w:val="-1"/>
                <w:sz w:val="16"/>
              </w:rPr>
            </w:r>
            <w:r>
              <w:rPr>
                <w:rFonts w:ascii="Arial"/>
                <w:sz w:val="16"/>
              </w:rPr>
            </w:r>
          </w:p>
        </w:tc>
        <w:tc>
          <w:tcPr>
            <w:tcW w:w="69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87"/>
              <w:jc w:val="right"/>
              <w:rPr>
                <w:rFonts w:ascii="Arial" w:hAnsi="Arial" w:cs="Arial" w:eastAsia="Arial" w:hint="default"/>
                <w:sz w:val="16"/>
                <w:szCs w:val="16"/>
              </w:rPr>
            </w:pPr>
            <w:r>
              <w:rPr>
                <w:rFonts w:ascii="Arial"/>
                <w:spacing w:val="-1"/>
                <w:sz w:val="16"/>
              </w:rPr>
              <w:t>100</w:t>
            </w:r>
            <w:r>
              <w:rPr>
                <w:rFonts w:ascii="Arial"/>
                <w:sz w:val="16"/>
              </w:rPr>
            </w: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0"/>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  </w:t>
            </w:r>
            <w:r>
              <w:rPr>
                <w:rFonts w:ascii="Arial"/>
                <w:spacing w:val="-15"/>
                <w:sz w:val="16"/>
                <w:u w:val="single" w:color="000000"/>
              </w:rPr>
              <w:t> </w:t>
            </w:r>
            <w:r>
              <w:rPr>
                <w:rFonts w:ascii="Arial"/>
                <w:spacing w:val="-2"/>
                <w:sz w:val="16"/>
                <w:u w:val="single" w:color="000000"/>
              </w:rPr>
              <w:t>402,967</w:t>
            </w:r>
            <w:r>
              <w:rPr>
                <w:rFonts w:ascii="Arial"/>
                <w:spacing w:val="-2"/>
                <w:sz w:val="16"/>
              </w:rPr>
            </w:r>
            <w:r>
              <w:rPr>
                <w:rFonts w:ascii="Arial"/>
                <w:sz w:val="16"/>
              </w:rPr>
            </w:r>
          </w:p>
        </w:tc>
        <w:tc>
          <w:tcPr>
            <w:tcW w:w="65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41"/>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  </w:t>
            </w:r>
            <w:r>
              <w:rPr>
                <w:rFonts w:ascii="Arial"/>
                <w:spacing w:val="-15"/>
                <w:sz w:val="16"/>
                <w:u w:val="single" w:color="000000"/>
              </w:rPr>
              <w:t> </w:t>
            </w:r>
            <w:r>
              <w:rPr>
                <w:rFonts w:ascii="Arial"/>
                <w:sz w:val="16"/>
                <w:u w:val="single" w:color="000000"/>
              </w:rPr>
              <w:t>8</w:t>
            </w:r>
            <w:r>
              <w:rPr>
                <w:rFonts w:ascii="Arial"/>
                <w:sz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24"/>
              <w:jc w:val="right"/>
              <w:rPr>
                <w:rFonts w:ascii="Arial" w:hAnsi="Arial" w:cs="Arial" w:eastAsia="Arial" w:hint="default"/>
                <w:sz w:val="16"/>
                <w:szCs w:val="16"/>
              </w:rPr>
            </w:pPr>
            <w:r>
              <w:rPr>
                <w:rFonts w:ascii="Arial"/>
                <w:w w:val="100"/>
                <w:sz w:val="16"/>
              </w:rPr>
            </w:r>
            <w:r>
              <w:rPr>
                <w:rFonts w:ascii="Arial"/>
                <w:w w:val="100"/>
                <w:sz w:val="16"/>
                <w:u w:val="single" w:color="000000"/>
              </w:rPr>
              <w:t> </w:t>
            </w:r>
            <w:r>
              <w:rPr>
                <w:rFonts w:ascii="Arial"/>
                <w:sz w:val="16"/>
                <w:u w:val="single" w:color="000000"/>
              </w:rPr>
              <w:t>  </w:t>
            </w:r>
            <w:r>
              <w:rPr>
                <w:rFonts w:ascii="Arial"/>
                <w:spacing w:val="-15"/>
                <w:sz w:val="16"/>
                <w:u w:val="single" w:color="000000"/>
              </w:rPr>
              <w:t> </w:t>
            </w:r>
            <w:r>
              <w:rPr>
                <w:rFonts w:ascii="Arial"/>
                <w:spacing w:val="-2"/>
                <w:sz w:val="16"/>
                <w:u w:val="single" w:color="000000"/>
              </w:rPr>
              <w:t>402,967</w:t>
            </w:r>
            <w:r>
              <w:rPr>
                <w:rFonts w:ascii="Arial"/>
                <w:spacing w:val="-2"/>
                <w:sz w:val="16"/>
              </w:rPr>
            </w:r>
            <w:r>
              <w:rPr>
                <w:rFonts w:ascii="Arial"/>
                <w:sz w:val="16"/>
              </w:rPr>
            </w:r>
          </w:p>
        </w:tc>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98"/>
              <w:jc w:val="right"/>
              <w:rPr>
                <w:rFonts w:ascii="Arial" w:hAnsi="Arial" w:cs="Arial" w:eastAsia="Arial" w:hint="default"/>
                <w:sz w:val="16"/>
                <w:szCs w:val="16"/>
              </w:rPr>
            </w:pPr>
            <w:r>
              <w:rPr>
                <w:rFonts w:ascii="Arial"/>
                <w:spacing w:val="-1"/>
                <w:sz w:val="16"/>
              </w:rPr>
              <w:t>100</w:t>
            </w:r>
            <w:r>
              <w:rPr>
                <w:rFonts w:ascii="Arial"/>
                <w:sz w:val="16"/>
              </w:rPr>
            </w:r>
          </w:p>
        </w:tc>
      </w:tr>
      <w:tr>
        <w:trPr>
          <w:trHeight w:val="334" w:hRule="exact"/>
        </w:trPr>
        <w:tc>
          <w:tcPr>
            <w:tcW w:w="1237" w:type="dxa"/>
            <w:tcBorders>
              <w:top w:val="nil" w:sz="6" w:space="0" w:color="auto"/>
              <w:left w:val="nil" w:sz="6" w:space="0" w:color="auto"/>
              <w:bottom w:val="nil" w:sz="6" w:space="0" w:color="auto"/>
              <w:right w:val="nil" w:sz="6" w:space="0" w:color="auto"/>
            </w:tcBorders>
          </w:tcPr>
          <w:p>
            <w:pP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1"/>
                <w:szCs w:val="11"/>
              </w:rPr>
            </w:pPr>
          </w:p>
          <w:p>
            <w:pPr>
              <w:pStyle w:val="TableParagraph"/>
              <w:spacing w:line="240" w:lineRule="auto"/>
              <w:ind w:right="108"/>
              <w:jc w:val="right"/>
              <w:rPr>
                <w:rFonts w:ascii="Arial" w:hAnsi="Arial" w:cs="Arial" w:eastAsia="Arial" w:hint="default"/>
                <w:sz w:val="16"/>
                <w:szCs w:val="16"/>
              </w:rPr>
            </w:pPr>
            <w:r>
              <w:rPr>
                <w:rFonts w:ascii="Arial"/>
                <w:w w:val="100"/>
                <w:sz w:val="16"/>
              </w:rPr>
            </w:r>
            <w:r>
              <w:rPr>
                <w:rFonts w:ascii="Arial"/>
                <w:spacing w:val="-1"/>
                <w:sz w:val="16"/>
                <w:u w:val="double" w:color="000000"/>
              </w:rPr>
              <w:t>7,864,416</w:t>
            </w:r>
            <w:r>
              <w:rPr>
                <w:rFonts w:ascii="Arial"/>
                <w:spacing w:val="-1"/>
                <w:sz w:val="16"/>
              </w:rPr>
            </w:r>
            <w:r>
              <w:rPr>
                <w:rFonts w:ascii="Arial"/>
                <w:sz w:val="16"/>
              </w:rPr>
            </w:r>
          </w:p>
        </w:tc>
        <w:tc>
          <w:tcPr>
            <w:tcW w:w="898"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429"/>
              <w:jc w:val="right"/>
              <w:rPr>
                <w:rFonts w:ascii="Arial" w:hAnsi="Arial" w:cs="Arial" w:eastAsia="Arial" w:hint="default"/>
                <w:sz w:val="18"/>
                <w:szCs w:val="18"/>
              </w:rPr>
            </w:pPr>
            <w:r>
              <w:rPr>
                <w:rFonts w:ascii="Arial"/>
                <w:w w:val="99"/>
                <w:sz w:val="18"/>
              </w:rPr>
            </w:r>
            <w:r>
              <w:rPr>
                <w:rFonts w:ascii="Arial"/>
                <w:w w:val="95"/>
                <w:sz w:val="18"/>
                <w:u w:val="double" w:color="000000"/>
              </w:rPr>
              <w:t>100</w:t>
            </w:r>
            <w:r>
              <w:rPr>
                <w:rFonts w:ascii="Arial"/>
                <w:w w:val="95"/>
                <w:sz w:val="18"/>
              </w:rPr>
            </w:r>
            <w:r>
              <w:rPr>
                <w:rFonts w:ascii="Arial"/>
                <w:sz w:val="18"/>
              </w:rPr>
            </w:r>
          </w:p>
        </w:tc>
        <w:tc>
          <w:tcPr>
            <w:tcW w:w="844"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49"/>
              <w:jc w:val="right"/>
              <w:rPr>
                <w:rFonts w:ascii="Arial" w:hAnsi="Arial" w:cs="Arial" w:eastAsia="Arial" w:hint="default"/>
                <w:sz w:val="16"/>
                <w:szCs w:val="16"/>
              </w:rPr>
            </w:pPr>
            <w:r>
              <w:rPr>
                <w:rFonts w:ascii="Arial"/>
                <w:w w:val="100"/>
                <w:sz w:val="16"/>
              </w:rPr>
            </w:r>
            <w:r>
              <w:rPr>
                <w:rFonts w:ascii="Arial"/>
                <w:spacing w:val="-1"/>
                <w:sz w:val="16"/>
                <w:u w:val="double" w:color="000000"/>
              </w:rPr>
              <w:t>825,981</w:t>
            </w:r>
            <w:r>
              <w:rPr>
                <w:rFonts w:ascii="Arial"/>
                <w:spacing w:val="-1"/>
                <w:sz w:val="16"/>
              </w:rPr>
            </w:r>
            <w:r>
              <w:rPr>
                <w:rFonts w:ascii="Arial"/>
                <w:sz w:val="16"/>
              </w:rPr>
            </w:r>
          </w:p>
        </w:tc>
        <w:tc>
          <w:tcPr>
            <w:tcW w:w="694" w:type="dxa"/>
            <w:tcBorders>
              <w:top w:val="nil" w:sz="6" w:space="0" w:color="auto"/>
              <w:left w:val="nil" w:sz="6" w:space="0" w:color="auto"/>
              <w:bottom w:val="nil" w:sz="6" w:space="0" w:color="auto"/>
              <w:right w:val="nil" w:sz="6" w:space="0" w:color="auto"/>
            </w:tcBorders>
          </w:tcPr>
          <w:p>
            <w:pPr/>
          </w:p>
        </w:tc>
        <w:tc>
          <w:tcPr>
            <w:tcW w:w="1048"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50"/>
              <w:jc w:val="right"/>
              <w:rPr>
                <w:rFonts w:ascii="Arial" w:hAnsi="Arial" w:cs="Arial" w:eastAsia="Arial" w:hint="default"/>
                <w:sz w:val="16"/>
                <w:szCs w:val="16"/>
              </w:rPr>
            </w:pPr>
            <w:r>
              <w:rPr>
                <w:rFonts w:ascii="Arial"/>
                <w:w w:val="100"/>
                <w:sz w:val="16"/>
              </w:rPr>
            </w:r>
            <w:r>
              <w:rPr>
                <w:rFonts w:ascii="Arial"/>
                <w:spacing w:val="-1"/>
                <w:sz w:val="16"/>
                <w:u w:val="double" w:color="000000"/>
              </w:rPr>
              <w:t>5,157,963</w:t>
            </w:r>
            <w:r>
              <w:rPr>
                <w:rFonts w:ascii="Arial"/>
                <w:spacing w:val="-1"/>
                <w:sz w:val="16"/>
              </w:rPr>
            </w:r>
            <w:r>
              <w:rPr>
                <w:rFonts w:ascii="Arial"/>
                <w:sz w:val="16"/>
              </w:rPr>
            </w:r>
          </w:p>
        </w:tc>
        <w:tc>
          <w:tcPr>
            <w:tcW w:w="659"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44"/>
              <w:jc w:val="right"/>
              <w:rPr>
                <w:rFonts w:ascii="Arial" w:hAnsi="Arial" w:cs="Arial" w:eastAsia="Arial" w:hint="default"/>
                <w:sz w:val="16"/>
                <w:szCs w:val="16"/>
              </w:rPr>
            </w:pPr>
            <w:r>
              <w:rPr>
                <w:rFonts w:ascii="Arial"/>
                <w:w w:val="100"/>
                <w:sz w:val="16"/>
              </w:rPr>
            </w:r>
            <w:r>
              <w:rPr>
                <w:rFonts w:ascii="Arial"/>
                <w:spacing w:val="-1"/>
                <w:sz w:val="16"/>
                <w:u w:val="double" w:color="000000"/>
              </w:rPr>
              <w:t>100</w:t>
            </w:r>
            <w:r>
              <w:rPr>
                <w:rFonts w:ascii="Arial"/>
                <w:spacing w:val="-1"/>
                <w:sz w:val="16"/>
              </w:rPr>
            </w:r>
            <w:r>
              <w:rPr>
                <w:rFonts w:ascii="Arial"/>
                <w:sz w:val="16"/>
              </w:rPr>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124"/>
              <w:jc w:val="right"/>
              <w:rPr>
                <w:rFonts w:ascii="Arial" w:hAnsi="Arial" w:cs="Arial" w:eastAsia="Arial" w:hint="default"/>
                <w:sz w:val="16"/>
                <w:szCs w:val="16"/>
              </w:rPr>
            </w:pPr>
            <w:r>
              <w:rPr>
                <w:rFonts w:ascii="Arial"/>
                <w:w w:val="100"/>
                <w:sz w:val="16"/>
              </w:rPr>
            </w:r>
            <w:r>
              <w:rPr>
                <w:rFonts w:ascii="Arial"/>
                <w:spacing w:val="-1"/>
                <w:sz w:val="16"/>
                <w:u w:val="double" w:color="000000"/>
              </w:rPr>
              <w:t>1,183,352</w:t>
            </w:r>
            <w:r>
              <w:rPr>
                <w:rFonts w:ascii="Arial"/>
                <w:spacing w:val="-1"/>
                <w:sz w:val="16"/>
              </w:rPr>
            </w:r>
            <w:r>
              <w:rPr>
                <w:rFonts w:ascii="Arial"/>
                <w:sz w:val="16"/>
              </w:rPr>
            </w:r>
          </w:p>
        </w:tc>
        <w:tc>
          <w:tcPr>
            <w:tcW w:w="687" w:type="dxa"/>
            <w:tcBorders>
              <w:top w:val="nil" w:sz="6" w:space="0" w:color="auto"/>
              <w:left w:val="nil" w:sz="6" w:space="0" w:color="auto"/>
              <w:bottom w:val="nil" w:sz="6" w:space="0" w:color="auto"/>
              <w:right w:val="nil" w:sz="6" w:space="0" w:color="auto"/>
            </w:tcBorders>
          </w:tcPr>
          <w:p>
            <w:pPr/>
          </w:p>
        </w:tc>
      </w:tr>
    </w:tbl>
    <w:p>
      <w:pPr>
        <w:spacing w:after="0"/>
        <w:sectPr>
          <w:pgSz w:w="11910" w:h="16850"/>
          <w:pgMar w:header="957" w:footer="384" w:top="2560" w:bottom="580" w:left="1600" w:right="1240"/>
        </w:sectPr>
      </w:pPr>
    </w:p>
    <w:p>
      <w:pPr>
        <w:spacing w:line="240" w:lineRule="auto" w:before="9"/>
        <w:rPr>
          <w:rFonts w:ascii="黑体" w:hAnsi="黑体" w:cs="黑体" w:eastAsia="黑体" w:hint="default"/>
          <w:sz w:val="16"/>
          <w:szCs w:val="16"/>
        </w:rPr>
      </w:pPr>
    </w:p>
    <w:p>
      <w:pPr>
        <w:pStyle w:val="Heading6"/>
        <w:spacing w:line="240" w:lineRule="auto"/>
        <w:ind w:right="1038"/>
        <w:jc w:val="left"/>
        <w:rPr>
          <w:b w:val="0"/>
          <w:bCs w:val="0"/>
        </w:rPr>
      </w:pPr>
      <w:r>
        <w:rPr/>
        <w:t>十三、公司财务报表主要项目注释（续）</w:t>
      </w:r>
      <w:r>
        <w:rPr>
          <w:b w:val="0"/>
          <w:bCs w:val="0"/>
        </w:rPr>
      </w:r>
    </w:p>
    <w:p>
      <w:pPr>
        <w:spacing w:line="240" w:lineRule="auto" w:before="3"/>
        <w:rPr>
          <w:rFonts w:ascii="黑体" w:hAnsi="黑体" w:cs="黑体" w:eastAsia="黑体" w:hint="default"/>
          <w:b/>
          <w:bCs/>
          <w:sz w:val="17"/>
          <w:szCs w:val="17"/>
        </w:rPr>
      </w:pPr>
    </w:p>
    <w:p>
      <w:pPr>
        <w:tabs>
          <w:tab w:pos="723" w:val="left" w:leader="none"/>
        </w:tabs>
        <w:spacing w:line="424" w:lineRule="auto" w:before="0"/>
        <w:ind w:left="718" w:right="1038" w:hanging="617"/>
        <w:jc w:val="left"/>
        <w:rPr>
          <w:rFonts w:ascii="黑体" w:hAnsi="黑体" w:cs="黑体" w:eastAsia="黑体" w:hint="default"/>
          <w:sz w:val="20"/>
          <w:szCs w:val="20"/>
        </w:rPr>
      </w:pPr>
      <w:r>
        <w:rPr>
          <w:rFonts w:ascii="Arial" w:hAnsi="Arial" w:cs="Arial" w:eastAsia="Arial" w:hint="default"/>
          <w:b/>
          <w:bCs/>
          <w:spacing w:val="-1"/>
          <w:sz w:val="20"/>
          <w:szCs w:val="20"/>
        </w:rPr>
        <w:t>5.</w:t>
        <w:tab/>
        <w:tab/>
      </w:r>
      <w:r>
        <w:rPr>
          <w:rFonts w:ascii="黑体" w:hAnsi="黑体" w:cs="黑体" w:eastAsia="黑体" w:hint="default"/>
          <w:b/>
          <w:bCs/>
          <w:spacing w:val="1"/>
          <w:sz w:val="20"/>
          <w:szCs w:val="20"/>
        </w:rPr>
        <w:t>其他应收款（续）</w:t>
      </w:r>
      <w:r>
        <w:rPr>
          <w:rFonts w:ascii="黑体" w:hAnsi="黑体" w:cs="黑体" w:eastAsia="黑体" w:hint="default"/>
          <w:b/>
          <w:bCs/>
          <w:spacing w:val="2"/>
          <w:w w:val="99"/>
          <w:sz w:val="20"/>
          <w:szCs w:val="20"/>
        </w:rPr>
        <w:t> </w:t>
      </w:r>
      <w:r>
        <w:rPr>
          <w:rFonts w:ascii="黑体" w:hAnsi="黑体" w:cs="黑体" w:eastAsia="黑体" w:hint="default"/>
          <w:w w:val="95"/>
          <w:sz w:val="20"/>
          <w:szCs w:val="20"/>
        </w:rPr>
        <w:t>于</w:t>
      </w:r>
      <w:r>
        <w:rPr>
          <w:rFonts w:ascii="Arial" w:hAnsi="Arial" w:cs="Arial" w:eastAsia="Arial" w:hint="default"/>
          <w:w w:val="95"/>
          <w:sz w:val="20"/>
          <w:szCs w:val="20"/>
        </w:rPr>
        <w:t>2012</w:t>
      </w:r>
      <w:r>
        <w:rPr>
          <w:rFonts w:ascii="黑体" w:hAnsi="黑体" w:cs="黑体" w:eastAsia="黑体" w:hint="default"/>
          <w:w w:val="95"/>
          <w:sz w:val="20"/>
          <w:szCs w:val="20"/>
        </w:rPr>
        <w:t>年</w:t>
      </w:r>
      <w:r>
        <w:rPr>
          <w:rFonts w:ascii="Arial" w:hAnsi="Arial" w:cs="Arial" w:eastAsia="Arial" w:hint="default"/>
          <w:w w:val="95"/>
          <w:sz w:val="20"/>
          <w:szCs w:val="20"/>
        </w:rPr>
        <w:t>12</w:t>
      </w:r>
      <w:r>
        <w:rPr>
          <w:rFonts w:ascii="黑体" w:hAnsi="黑体" w:cs="黑体" w:eastAsia="黑体" w:hint="default"/>
          <w:w w:val="95"/>
          <w:sz w:val="20"/>
          <w:szCs w:val="20"/>
        </w:rPr>
        <w:t>月</w:t>
      </w:r>
      <w:r>
        <w:rPr>
          <w:rFonts w:ascii="Arial" w:hAnsi="Arial" w:cs="Arial" w:eastAsia="Arial" w:hint="default"/>
          <w:w w:val="95"/>
          <w:sz w:val="20"/>
          <w:szCs w:val="20"/>
        </w:rPr>
        <w:t>31</w:t>
      </w:r>
      <w:r>
        <w:rPr>
          <w:rFonts w:ascii="黑体" w:hAnsi="黑体" w:cs="黑体" w:eastAsia="黑体" w:hint="default"/>
          <w:w w:val="95"/>
          <w:sz w:val="20"/>
          <w:szCs w:val="20"/>
        </w:rPr>
        <w:t>日，单项金额虽不重大但单独计提坏账准备的其他应收款情况如下：</w:t>
      </w:r>
      <w:r>
        <w:rPr>
          <w:rFonts w:ascii="黑体" w:hAnsi="黑体" w:cs="黑体" w:eastAsia="黑体" w:hint="default"/>
          <w:sz w:val="20"/>
          <w:szCs w:val="20"/>
        </w:rPr>
      </w:r>
    </w:p>
    <w:p>
      <w:pPr>
        <w:spacing w:line="240" w:lineRule="auto" w:before="12"/>
        <w:rPr>
          <w:rFonts w:ascii="黑体" w:hAnsi="黑体" w:cs="黑体" w:eastAsia="黑体" w:hint="default"/>
          <w:sz w:val="7"/>
          <w:szCs w:val="7"/>
        </w:rPr>
      </w:pPr>
    </w:p>
    <w:tbl>
      <w:tblPr>
        <w:tblW w:w="0" w:type="auto"/>
        <w:jc w:val="left"/>
        <w:tblInd w:w="609" w:type="dxa"/>
        <w:tblLayout w:type="fixed"/>
        <w:tblCellMar>
          <w:top w:w="0" w:type="dxa"/>
          <w:left w:w="0" w:type="dxa"/>
          <w:bottom w:w="0" w:type="dxa"/>
          <w:right w:w="0" w:type="dxa"/>
        </w:tblCellMar>
        <w:tblLook w:val="01E0"/>
      </w:tblPr>
      <w:tblGrid>
        <w:gridCol w:w="2330"/>
        <w:gridCol w:w="1536"/>
        <w:gridCol w:w="1024"/>
        <w:gridCol w:w="1156"/>
        <w:gridCol w:w="2428"/>
      </w:tblGrid>
      <w:tr>
        <w:trPr>
          <w:trHeight w:val="350" w:hRule="exact"/>
        </w:trPr>
        <w:tc>
          <w:tcPr>
            <w:tcW w:w="2330"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199" w:lineRule="exact"/>
              <w:ind w:right="215"/>
              <w:jc w:val="right"/>
              <w:rPr>
                <w:rFonts w:ascii="黑体" w:hAnsi="黑体" w:cs="黑体" w:eastAsia="黑体" w:hint="default"/>
                <w:sz w:val="20"/>
                <w:szCs w:val="20"/>
              </w:rPr>
            </w:pPr>
            <w:r>
              <w:rPr>
                <w:rFonts w:ascii="黑体" w:hAnsi="黑体" w:cs="黑体" w:eastAsia="黑体" w:hint="default"/>
                <w:w w:val="95"/>
                <w:sz w:val="20"/>
                <w:szCs w:val="20"/>
              </w:rPr>
              <w:t>账面余额</w:t>
            </w:r>
            <w:r>
              <w:rPr>
                <w:rFonts w:ascii="黑体" w:hAnsi="黑体" w:cs="黑体" w:eastAsia="黑体" w:hint="default"/>
                <w:sz w:val="20"/>
                <w:szCs w:val="20"/>
              </w:rPr>
            </w:r>
          </w:p>
        </w:tc>
        <w:tc>
          <w:tcPr>
            <w:tcW w:w="1024" w:type="dxa"/>
            <w:tcBorders>
              <w:top w:val="nil" w:sz="6" w:space="0" w:color="auto"/>
              <w:left w:val="nil" w:sz="6" w:space="0" w:color="auto"/>
              <w:bottom w:val="nil" w:sz="6" w:space="0" w:color="auto"/>
              <w:right w:val="nil" w:sz="6" w:space="0" w:color="auto"/>
            </w:tcBorders>
          </w:tcPr>
          <w:p>
            <w:pPr>
              <w:pStyle w:val="TableParagraph"/>
              <w:spacing w:line="199" w:lineRule="exact"/>
              <w:ind w:right="22"/>
              <w:jc w:val="right"/>
              <w:rPr>
                <w:rFonts w:ascii="黑体" w:hAnsi="黑体" w:cs="黑体" w:eastAsia="黑体" w:hint="default"/>
                <w:sz w:val="20"/>
                <w:szCs w:val="20"/>
              </w:rPr>
            </w:pPr>
            <w:r>
              <w:rPr>
                <w:rFonts w:ascii="黑体" w:hAnsi="黑体" w:cs="黑体" w:eastAsia="黑体" w:hint="default"/>
                <w:w w:val="95"/>
                <w:sz w:val="20"/>
                <w:szCs w:val="20"/>
              </w:rPr>
              <w:t>坏账准备</w:t>
            </w:r>
            <w:r>
              <w:rPr>
                <w:rFonts w:ascii="黑体" w:hAnsi="黑体" w:cs="黑体" w:eastAsia="黑体" w:hint="default"/>
                <w:sz w:val="20"/>
                <w:szCs w:val="20"/>
              </w:rPr>
            </w:r>
          </w:p>
        </w:tc>
        <w:tc>
          <w:tcPr>
            <w:tcW w:w="1156" w:type="dxa"/>
            <w:tcBorders>
              <w:top w:val="nil" w:sz="6" w:space="0" w:color="auto"/>
              <w:left w:val="nil" w:sz="6" w:space="0" w:color="auto"/>
              <w:bottom w:val="nil" w:sz="6" w:space="0" w:color="auto"/>
              <w:right w:val="nil" w:sz="6" w:space="0" w:color="auto"/>
            </w:tcBorders>
          </w:tcPr>
          <w:p>
            <w:pPr>
              <w:pStyle w:val="TableParagraph"/>
              <w:spacing w:line="214" w:lineRule="exact"/>
              <w:ind w:right="37"/>
              <w:jc w:val="right"/>
              <w:rPr>
                <w:rFonts w:ascii="Arial" w:hAnsi="Arial" w:cs="Arial" w:eastAsia="Arial" w:hint="default"/>
                <w:sz w:val="20"/>
                <w:szCs w:val="20"/>
              </w:rPr>
            </w:pPr>
            <w:r>
              <w:rPr>
                <w:rFonts w:ascii="黑体" w:hAnsi="黑体" w:cs="黑体" w:eastAsia="黑体" w:hint="default"/>
                <w:w w:val="95"/>
                <w:sz w:val="20"/>
                <w:szCs w:val="20"/>
              </w:rPr>
              <w:t>计提比例</w:t>
            </w:r>
            <w:r>
              <w:rPr>
                <w:rFonts w:ascii="Arial" w:hAnsi="Arial" w:cs="Arial" w:eastAsia="Arial" w:hint="default"/>
                <w:w w:val="95"/>
                <w:sz w:val="20"/>
                <w:szCs w:val="20"/>
              </w:rPr>
              <w:t>(%)</w:t>
            </w:r>
            <w:r>
              <w:rPr>
                <w:rFonts w:ascii="Arial" w:hAnsi="Arial" w:cs="Arial" w:eastAsia="Arial" w:hint="default"/>
                <w:sz w:val="20"/>
                <w:szCs w:val="20"/>
              </w:rPr>
            </w:r>
          </w:p>
        </w:tc>
        <w:tc>
          <w:tcPr>
            <w:tcW w:w="2428" w:type="dxa"/>
            <w:tcBorders>
              <w:top w:val="nil" w:sz="6" w:space="0" w:color="auto"/>
              <w:left w:val="nil" w:sz="6" w:space="0" w:color="auto"/>
              <w:bottom w:val="nil" w:sz="6" w:space="0" w:color="auto"/>
              <w:right w:val="nil" w:sz="6" w:space="0" w:color="auto"/>
            </w:tcBorders>
          </w:tcPr>
          <w:p>
            <w:pPr>
              <w:pStyle w:val="TableParagraph"/>
              <w:spacing w:line="199" w:lineRule="exact"/>
              <w:ind w:right="205"/>
              <w:jc w:val="right"/>
              <w:rPr>
                <w:rFonts w:ascii="黑体" w:hAnsi="黑体" w:cs="黑体" w:eastAsia="黑体" w:hint="default"/>
                <w:sz w:val="20"/>
                <w:szCs w:val="20"/>
              </w:rPr>
            </w:pPr>
            <w:r>
              <w:rPr>
                <w:rFonts w:ascii="黑体" w:hAnsi="黑体" w:cs="黑体" w:eastAsia="黑体" w:hint="default"/>
                <w:w w:val="95"/>
                <w:sz w:val="20"/>
                <w:szCs w:val="20"/>
              </w:rPr>
              <w:t>理由</w:t>
            </w:r>
            <w:r>
              <w:rPr>
                <w:rFonts w:ascii="黑体" w:hAnsi="黑体" w:cs="黑体" w:eastAsia="黑体" w:hint="default"/>
                <w:sz w:val="20"/>
                <w:szCs w:val="20"/>
              </w:rPr>
            </w:r>
          </w:p>
        </w:tc>
      </w:tr>
      <w:tr>
        <w:trPr>
          <w:trHeight w:val="577" w:hRule="exact"/>
        </w:trPr>
        <w:tc>
          <w:tcPr>
            <w:tcW w:w="2330" w:type="dxa"/>
            <w:tcBorders>
              <w:top w:val="nil" w:sz="6" w:space="0" w:color="auto"/>
              <w:left w:val="nil" w:sz="6" w:space="0" w:color="auto"/>
              <w:bottom w:val="nil" w:sz="6" w:space="0" w:color="auto"/>
              <w:right w:val="nil" w:sz="6" w:space="0" w:color="auto"/>
            </w:tcBorders>
          </w:tcPr>
          <w:p>
            <w:pPr>
              <w:pStyle w:val="TableParagraph"/>
              <w:spacing w:line="230" w:lineRule="exact" w:before="112"/>
              <w:ind w:left="372" w:right="329" w:hanging="173"/>
              <w:jc w:val="left"/>
              <w:rPr>
                <w:rFonts w:ascii="黑体" w:hAnsi="黑体" w:cs="黑体" w:eastAsia="黑体" w:hint="default"/>
                <w:sz w:val="18"/>
                <w:szCs w:val="18"/>
              </w:rPr>
            </w:pPr>
            <w:r>
              <w:rPr>
                <w:rFonts w:ascii="黑体" w:hAnsi="黑体" w:cs="黑体" w:eastAsia="黑体" w:hint="default"/>
                <w:sz w:val="18"/>
                <w:szCs w:val="18"/>
              </w:rPr>
              <w:t>辽宁曙兴汽车集团股份 有限公司</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24"/>
                <w:szCs w:val="24"/>
              </w:rPr>
            </w:pPr>
          </w:p>
          <w:p>
            <w:pPr>
              <w:pStyle w:val="TableParagraph"/>
              <w:spacing w:line="240" w:lineRule="auto"/>
              <w:ind w:right="200"/>
              <w:jc w:val="right"/>
              <w:rPr>
                <w:rFonts w:ascii="Arial" w:hAnsi="Arial" w:cs="Arial" w:eastAsia="Arial" w:hint="default"/>
                <w:sz w:val="18"/>
                <w:szCs w:val="18"/>
              </w:rPr>
            </w:pPr>
            <w:r>
              <w:rPr>
                <w:rFonts w:ascii="Arial"/>
                <w:spacing w:val="-1"/>
                <w:sz w:val="18"/>
              </w:rPr>
              <w:t>189,600</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24"/>
                <w:szCs w:val="24"/>
              </w:rPr>
            </w:pPr>
          </w:p>
          <w:p>
            <w:pPr>
              <w:pStyle w:val="TableParagraph"/>
              <w:spacing w:line="240" w:lineRule="auto"/>
              <w:ind w:right="7"/>
              <w:jc w:val="right"/>
              <w:rPr>
                <w:rFonts w:ascii="Arial" w:hAnsi="Arial" w:cs="Arial" w:eastAsia="Arial" w:hint="default"/>
                <w:sz w:val="18"/>
                <w:szCs w:val="18"/>
              </w:rPr>
            </w:pPr>
            <w:r>
              <w:rPr>
                <w:rFonts w:ascii="Arial"/>
                <w:spacing w:val="-1"/>
                <w:sz w:val="18"/>
              </w:rPr>
              <w:t>189,600</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23"/>
                <w:szCs w:val="23"/>
              </w:rPr>
            </w:pPr>
          </w:p>
          <w:p>
            <w:pPr>
              <w:pStyle w:val="TableParagraph"/>
              <w:spacing w:line="240" w:lineRule="auto"/>
              <w:ind w:right="28"/>
              <w:jc w:val="right"/>
              <w:rPr>
                <w:rFonts w:ascii="Arial" w:hAnsi="Arial" w:cs="Arial" w:eastAsia="Arial" w:hint="default"/>
                <w:sz w:val="20"/>
                <w:szCs w:val="20"/>
              </w:rPr>
            </w:pPr>
            <w:r>
              <w:rPr>
                <w:rFonts w:ascii="Arial"/>
                <w:spacing w:val="-1"/>
                <w:w w:val="95"/>
                <w:sz w:val="20"/>
              </w:rPr>
              <w:t>100</w:t>
            </w:r>
            <w:r>
              <w:rPr>
                <w:rFonts w:ascii="Arial"/>
                <w:sz w:val="20"/>
              </w:rPr>
            </w:r>
          </w:p>
        </w:tc>
        <w:tc>
          <w:tcPr>
            <w:tcW w:w="242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19"/>
                <w:szCs w:val="19"/>
              </w:rPr>
            </w:pPr>
          </w:p>
          <w:p>
            <w:pPr>
              <w:pStyle w:val="TableParagraph"/>
              <w:spacing w:line="240" w:lineRule="auto"/>
              <w:ind w:right="198"/>
              <w:jc w:val="right"/>
              <w:rPr>
                <w:rFonts w:ascii="黑体" w:hAnsi="黑体" w:cs="黑体" w:eastAsia="黑体" w:hint="default"/>
                <w:sz w:val="20"/>
                <w:szCs w:val="20"/>
              </w:rPr>
            </w:pPr>
            <w:r>
              <w:rPr>
                <w:rFonts w:ascii="黑体" w:hAnsi="黑体" w:cs="黑体" w:eastAsia="黑体" w:hint="default"/>
                <w:w w:val="95"/>
                <w:sz w:val="20"/>
                <w:szCs w:val="20"/>
              </w:rPr>
              <w:t>项目终止，押金无法收回</w:t>
            </w:r>
            <w:r>
              <w:rPr>
                <w:rFonts w:ascii="黑体" w:hAnsi="黑体" w:cs="黑体" w:eastAsia="黑体" w:hint="default"/>
                <w:sz w:val="20"/>
                <w:szCs w:val="20"/>
              </w:rPr>
            </w:r>
          </w:p>
        </w:tc>
      </w:tr>
      <w:tr>
        <w:trPr>
          <w:trHeight w:val="461" w:hRule="exact"/>
        </w:trPr>
        <w:tc>
          <w:tcPr>
            <w:tcW w:w="2330" w:type="dxa"/>
            <w:tcBorders>
              <w:top w:val="nil" w:sz="6" w:space="0" w:color="auto"/>
              <w:left w:val="nil" w:sz="6" w:space="0" w:color="auto"/>
              <w:bottom w:val="nil" w:sz="6" w:space="0" w:color="auto"/>
              <w:right w:val="nil" w:sz="6" w:space="0" w:color="auto"/>
            </w:tcBorders>
          </w:tcPr>
          <w:p>
            <w:pPr>
              <w:pStyle w:val="TableParagraph"/>
              <w:spacing w:line="203" w:lineRule="exact"/>
              <w:ind w:left="200" w:right="0"/>
              <w:jc w:val="left"/>
              <w:rPr>
                <w:rFonts w:ascii="黑体" w:hAnsi="黑体" w:cs="黑体" w:eastAsia="黑体" w:hint="default"/>
                <w:sz w:val="18"/>
                <w:szCs w:val="18"/>
              </w:rPr>
            </w:pPr>
            <w:r>
              <w:rPr>
                <w:rFonts w:ascii="黑体" w:hAnsi="黑体" w:cs="黑体" w:eastAsia="黑体" w:hint="default"/>
                <w:sz w:val="18"/>
                <w:szCs w:val="18"/>
              </w:rPr>
              <w:t>大连万达集团股份有限</w:t>
            </w:r>
          </w:p>
          <w:p>
            <w:pPr>
              <w:pStyle w:val="TableParagraph"/>
              <w:spacing w:line="233" w:lineRule="exact"/>
              <w:ind w:left="387" w:right="0"/>
              <w:jc w:val="left"/>
              <w:rPr>
                <w:rFonts w:ascii="黑体" w:hAnsi="黑体" w:cs="黑体" w:eastAsia="黑体" w:hint="default"/>
                <w:sz w:val="18"/>
                <w:szCs w:val="18"/>
              </w:rPr>
            </w:pPr>
            <w:r>
              <w:rPr>
                <w:rFonts w:ascii="黑体" w:hAnsi="黑体" w:cs="黑体" w:eastAsia="黑体" w:hint="default"/>
                <w:sz w:val="18"/>
                <w:szCs w:val="18"/>
              </w:rPr>
              <w:t>公司</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6"/>
                <w:szCs w:val="16"/>
              </w:rPr>
            </w:pPr>
          </w:p>
          <w:p>
            <w:pPr>
              <w:pStyle w:val="TableParagraph"/>
              <w:spacing w:line="240" w:lineRule="auto"/>
              <w:ind w:right="200"/>
              <w:jc w:val="right"/>
              <w:rPr>
                <w:rFonts w:ascii="Arial" w:hAnsi="Arial" w:cs="Arial" w:eastAsia="Arial" w:hint="default"/>
                <w:sz w:val="18"/>
                <w:szCs w:val="18"/>
              </w:rPr>
            </w:pPr>
            <w:r>
              <w:rPr>
                <w:rFonts w:ascii="Arial"/>
                <w:spacing w:val="-1"/>
                <w:sz w:val="18"/>
              </w:rPr>
              <w:t>400,000</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6"/>
                <w:szCs w:val="16"/>
              </w:rPr>
            </w:pPr>
          </w:p>
          <w:p>
            <w:pPr>
              <w:pStyle w:val="TableParagraph"/>
              <w:spacing w:line="240" w:lineRule="auto"/>
              <w:ind w:right="7"/>
              <w:jc w:val="right"/>
              <w:rPr>
                <w:rFonts w:ascii="Arial" w:hAnsi="Arial" w:cs="Arial" w:eastAsia="Arial" w:hint="default"/>
                <w:sz w:val="18"/>
                <w:szCs w:val="18"/>
              </w:rPr>
            </w:pPr>
            <w:r>
              <w:rPr>
                <w:rFonts w:ascii="Arial"/>
                <w:spacing w:val="-1"/>
                <w:sz w:val="18"/>
              </w:rPr>
              <w:t>400,000</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14"/>
                <w:szCs w:val="14"/>
              </w:rPr>
            </w:pPr>
          </w:p>
          <w:p>
            <w:pPr>
              <w:pStyle w:val="TableParagraph"/>
              <w:spacing w:line="240" w:lineRule="auto"/>
              <w:ind w:right="28"/>
              <w:jc w:val="right"/>
              <w:rPr>
                <w:rFonts w:ascii="Arial" w:hAnsi="Arial" w:cs="Arial" w:eastAsia="Arial" w:hint="default"/>
                <w:sz w:val="20"/>
                <w:szCs w:val="20"/>
              </w:rPr>
            </w:pPr>
            <w:r>
              <w:rPr>
                <w:rFonts w:ascii="Arial"/>
                <w:spacing w:val="-1"/>
                <w:w w:val="95"/>
                <w:sz w:val="20"/>
              </w:rPr>
              <w:t>100</w:t>
            </w:r>
            <w:r>
              <w:rPr>
                <w:rFonts w:ascii="Arial"/>
                <w:sz w:val="20"/>
              </w:rPr>
            </w:r>
          </w:p>
        </w:tc>
        <w:tc>
          <w:tcPr>
            <w:tcW w:w="2428"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98"/>
              <w:jc w:val="right"/>
              <w:rPr>
                <w:rFonts w:ascii="黑体" w:hAnsi="黑体" w:cs="黑体" w:eastAsia="黑体" w:hint="default"/>
                <w:sz w:val="20"/>
                <w:szCs w:val="20"/>
              </w:rPr>
            </w:pPr>
            <w:r>
              <w:rPr>
                <w:rFonts w:ascii="黑体" w:hAnsi="黑体" w:cs="黑体" w:eastAsia="黑体" w:hint="default"/>
                <w:w w:val="95"/>
                <w:sz w:val="20"/>
                <w:szCs w:val="20"/>
              </w:rPr>
              <w:t>项目终止，押金无法收回</w:t>
            </w:r>
            <w:r>
              <w:rPr>
                <w:rFonts w:ascii="黑体" w:hAnsi="黑体" w:cs="黑体" w:eastAsia="黑体" w:hint="default"/>
                <w:sz w:val="20"/>
                <w:szCs w:val="20"/>
              </w:rPr>
            </w:r>
          </w:p>
        </w:tc>
      </w:tr>
      <w:tr>
        <w:trPr>
          <w:trHeight w:val="473" w:hRule="exact"/>
        </w:trPr>
        <w:tc>
          <w:tcPr>
            <w:tcW w:w="2330" w:type="dxa"/>
            <w:tcBorders>
              <w:top w:val="nil" w:sz="6" w:space="0" w:color="auto"/>
              <w:left w:val="nil" w:sz="6" w:space="0" w:color="auto"/>
              <w:bottom w:val="nil" w:sz="6" w:space="0" w:color="auto"/>
              <w:right w:val="nil" w:sz="6" w:space="0" w:color="auto"/>
            </w:tcBorders>
          </w:tcPr>
          <w:p>
            <w:pPr>
              <w:pStyle w:val="TableParagraph"/>
              <w:spacing w:line="201" w:lineRule="exact"/>
              <w:ind w:left="200" w:right="0"/>
              <w:jc w:val="left"/>
              <w:rPr>
                <w:rFonts w:ascii="黑体" w:hAnsi="黑体" w:cs="黑体" w:eastAsia="黑体" w:hint="default"/>
                <w:sz w:val="18"/>
                <w:szCs w:val="18"/>
              </w:rPr>
            </w:pPr>
            <w:r>
              <w:rPr>
                <w:rFonts w:ascii="黑体" w:hAnsi="黑体" w:cs="黑体" w:eastAsia="黑体" w:hint="default"/>
                <w:sz w:val="18"/>
                <w:szCs w:val="18"/>
              </w:rPr>
              <w:t>英腾协同科技（北京）</w:t>
            </w:r>
          </w:p>
          <w:p>
            <w:pPr>
              <w:pStyle w:val="TableParagraph"/>
              <w:spacing w:line="232" w:lineRule="exact"/>
              <w:ind w:left="341" w:right="0"/>
              <w:jc w:val="left"/>
              <w:rPr>
                <w:rFonts w:ascii="黑体" w:hAnsi="黑体" w:cs="黑体" w:eastAsia="黑体" w:hint="default"/>
                <w:sz w:val="18"/>
                <w:szCs w:val="18"/>
              </w:rPr>
            </w:pPr>
            <w:r>
              <w:rPr>
                <w:rFonts w:ascii="黑体" w:hAnsi="黑体" w:cs="黑体" w:eastAsia="黑体" w:hint="default"/>
                <w:sz w:val="18"/>
                <w:szCs w:val="18"/>
              </w:rPr>
              <w:t>有限公司</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5"/>
                <w:szCs w:val="15"/>
              </w:rPr>
            </w:pPr>
          </w:p>
          <w:p>
            <w:pPr>
              <w:pStyle w:val="TableParagraph"/>
              <w:spacing w:line="240" w:lineRule="auto"/>
              <w:ind w:right="201"/>
              <w:jc w:val="right"/>
              <w:rPr>
                <w:rFonts w:ascii="Arial" w:hAnsi="Arial" w:cs="Arial" w:eastAsia="Arial" w:hint="default"/>
                <w:sz w:val="18"/>
                <w:szCs w:val="18"/>
              </w:rPr>
            </w:pPr>
            <w:r>
              <w:rPr>
                <w:rFonts w:ascii="Arial"/>
                <w:spacing w:val="-1"/>
                <w:sz w:val="18"/>
              </w:rPr>
              <w:t>99,999</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5"/>
                <w:szCs w:val="15"/>
              </w:rPr>
            </w:pPr>
          </w:p>
          <w:p>
            <w:pPr>
              <w:pStyle w:val="TableParagraph"/>
              <w:spacing w:line="240" w:lineRule="auto"/>
              <w:ind w:right="8"/>
              <w:jc w:val="right"/>
              <w:rPr>
                <w:rFonts w:ascii="Arial" w:hAnsi="Arial" w:cs="Arial" w:eastAsia="Arial" w:hint="default"/>
                <w:sz w:val="18"/>
                <w:szCs w:val="18"/>
              </w:rPr>
            </w:pPr>
            <w:r>
              <w:rPr>
                <w:rFonts w:ascii="Arial"/>
                <w:spacing w:val="-1"/>
                <w:sz w:val="18"/>
              </w:rPr>
              <w:t>99,999</w:t>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4"/>
                <w:szCs w:val="14"/>
              </w:rPr>
            </w:pPr>
          </w:p>
          <w:p>
            <w:pPr>
              <w:pStyle w:val="TableParagraph"/>
              <w:spacing w:line="240" w:lineRule="auto"/>
              <w:ind w:right="28"/>
              <w:jc w:val="right"/>
              <w:rPr>
                <w:rFonts w:ascii="Arial" w:hAnsi="Arial" w:cs="Arial" w:eastAsia="Arial" w:hint="default"/>
                <w:sz w:val="20"/>
                <w:szCs w:val="20"/>
              </w:rPr>
            </w:pPr>
            <w:r>
              <w:rPr>
                <w:rFonts w:ascii="Arial"/>
                <w:spacing w:val="-1"/>
                <w:w w:val="95"/>
                <w:sz w:val="20"/>
              </w:rPr>
              <w:t>100</w:t>
            </w:r>
            <w:r>
              <w:rPr>
                <w:rFonts w:ascii="Arial"/>
                <w:sz w:val="20"/>
              </w:rPr>
            </w:r>
          </w:p>
        </w:tc>
        <w:tc>
          <w:tcPr>
            <w:tcW w:w="2428"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98"/>
              <w:jc w:val="right"/>
              <w:rPr>
                <w:rFonts w:ascii="黑体" w:hAnsi="黑体" w:cs="黑体" w:eastAsia="黑体" w:hint="default"/>
                <w:sz w:val="20"/>
                <w:szCs w:val="20"/>
              </w:rPr>
            </w:pPr>
            <w:r>
              <w:rPr>
                <w:rFonts w:ascii="黑体" w:hAnsi="黑体" w:cs="黑体" w:eastAsia="黑体" w:hint="default"/>
                <w:w w:val="95"/>
                <w:sz w:val="20"/>
                <w:szCs w:val="20"/>
              </w:rPr>
              <w:t>项目终止，押金无法收回</w:t>
            </w:r>
            <w:r>
              <w:rPr>
                <w:rFonts w:ascii="黑体" w:hAnsi="黑体" w:cs="黑体" w:eastAsia="黑体" w:hint="default"/>
                <w:sz w:val="20"/>
                <w:szCs w:val="20"/>
              </w:rPr>
            </w:r>
          </w:p>
        </w:tc>
      </w:tr>
      <w:tr>
        <w:trPr>
          <w:trHeight w:val="450" w:hRule="exact"/>
        </w:trPr>
        <w:tc>
          <w:tcPr>
            <w:tcW w:w="233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00" w:right="0"/>
              <w:jc w:val="left"/>
              <w:rPr>
                <w:rFonts w:ascii="黑体" w:hAnsi="黑体" w:cs="黑体" w:eastAsia="黑体" w:hint="default"/>
                <w:sz w:val="18"/>
                <w:szCs w:val="18"/>
              </w:rPr>
            </w:pPr>
            <w:r>
              <w:rPr>
                <w:rFonts w:ascii="黑体" w:hAnsi="黑体" w:cs="黑体" w:eastAsia="黑体" w:hint="default"/>
                <w:sz w:val="18"/>
                <w:szCs w:val="18"/>
              </w:rPr>
              <w:t>其他</w:t>
            </w: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00"/>
              <w:jc w:val="right"/>
              <w:rPr>
                <w:rFonts w:ascii="Arial" w:hAnsi="Arial" w:cs="Arial" w:eastAsia="Arial" w:hint="default"/>
                <w:sz w:val="18"/>
                <w:szCs w:val="18"/>
              </w:rPr>
            </w:pPr>
            <w:r>
              <w:rPr>
                <w:rFonts w:ascii="Arial"/>
                <w:w w:val="99"/>
                <w:sz w:val="18"/>
              </w:rPr>
            </w:r>
            <w:r>
              <w:rPr>
                <w:rFonts w:ascii="Arial"/>
                <w:spacing w:val="-1"/>
                <w:sz w:val="18"/>
                <w:u w:val="single" w:color="000000"/>
              </w:rPr>
              <w:t>459,863,826</w:t>
            </w:r>
            <w:r>
              <w:rPr>
                <w:rFonts w:ascii="Arial"/>
                <w:spacing w:val="-1"/>
                <w:sz w:val="18"/>
              </w:rPr>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
              <w:jc w:val="right"/>
              <w:rPr>
                <w:rFonts w:ascii="Arial" w:hAnsi="Arial" w:cs="Arial" w:eastAsia="Arial" w:hint="default"/>
                <w:sz w:val="18"/>
                <w:szCs w:val="18"/>
              </w:rPr>
            </w:pPr>
            <w:r>
              <w:rPr>
                <w:rFonts w:ascii="Arial"/>
                <w:w w:val="100"/>
                <w:sz w:val="18"/>
              </w:rPr>
            </w:r>
            <w:r>
              <w:rPr>
                <w:rFonts w:ascii="Arial"/>
                <w:spacing w:val="-1"/>
                <w:sz w:val="18"/>
                <w:u w:val="single" w:color="000000"/>
              </w:rPr>
              <w:t>1,075,861</w:t>
            </w:r>
            <w:r>
              <w:rPr>
                <w:rFonts w:ascii="Arial"/>
                <w:spacing w:val="-1"/>
                <w:sz w:val="18"/>
              </w:rPr>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8"/>
              <w:jc w:val="right"/>
              <w:rPr>
                <w:rFonts w:ascii="Arial" w:hAnsi="Arial" w:cs="Arial" w:eastAsia="Arial" w:hint="default"/>
                <w:sz w:val="20"/>
                <w:szCs w:val="20"/>
              </w:rPr>
            </w:pPr>
            <w:r>
              <w:rPr>
                <w:rFonts w:ascii="Arial"/>
                <w:spacing w:val="-2"/>
                <w:w w:val="95"/>
                <w:sz w:val="20"/>
              </w:rPr>
              <w:t>&lt;1</w:t>
            </w:r>
            <w:r>
              <w:rPr>
                <w:rFonts w:ascii="Arial"/>
                <w:sz w:val="20"/>
              </w:rPr>
            </w:r>
          </w:p>
        </w:tc>
        <w:tc>
          <w:tcPr>
            <w:tcW w:w="2428" w:type="dxa"/>
            <w:tcBorders>
              <w:top w:val="nil" w:sz="6" w:space="0" w:color="auto"/>
              <w:left w:val="nil" w:sz="6" w:space="0" w:color="auto"/>
              <w:bottom w:val="nil" w:sz="6" w:space="0" w:color="auto"/>
              <w:right w:val="nil" w:sz="6" w:space="0" w:color="auto"/>
            </w:tcBorders>
          </w:tcPr>
          <w:p>
            <w:pPr/>
          </w:p>
        </w:tc>
      </w:tr>
      <w:tr>
        <w:trPr>
          <w:trHeight w:val="389" w:hRule="exact"/>
        </w:trPr>
        <w:tc>
          <w:tcPr>
            <w:tcW w:w="2330" w:type="dxa"/>
            <w:tcBorders>
              <w:top w:val="nil" w:sz="6" w:space="0" w:color="auto"/>
              <w:left w:val="nil" w:sz="6" w:space="0" w:color="auto"/>
              <w:bottom w:val="nil" w:sz="6" w:space="0" w:color="auto"/>
              <w:right w:val="nil" w:sz="6" w:space="0" w:color="auto"/>
            </w:tcBorders>
          </w:tcPr>
          <w:p>
            <w:pPr/>
          </w:p>
        </w:tc>
        <w:tc>
          <w:tcPr>
            <w:tcW w:w="153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4"/>
                <w:szCs w:val="14"/>
              </w:rPr>
            </w:pPr>
          </w:p>
          <w:p>
            <w:pPr>
              <w:pStyle w:val="TableParagraph"/>
              <w:spacing w:line="240" w:lineRule="auto"/>
              <w:ind w:right="200"/>
              <w:jc w:val="right"/>
              <w:rPr>
                <w:rFonts w:ascii="Arial" w:hAnsi="Arial" w:cs="Arial" w:eastAsia="Arial" w:hint="default"/>
                <w:sz w:val="18"/>
                <w:szCs w:val="18"/>
              </w:rPr>
            </w:pPr>
            <w:r>
              <w:rPr>
                <w:rFonts w:ascii="Arial"/>
                <w:w w:val="99"/>
                <w:sz w:val="18"/>
              </w:rPr>
            </w:r>
            <w:r>
              <w:rPr>
                <w:rFonts w:ascii="Arial"/>
                <w:spacing w:val="-1"/>
                <w:sz w:val="18"/>
                <w:u w:val="thick" w:color="000000"/>
              </w:rPr>
              <w:t>460,553,425</w:t>
            </w:r>
            <w:r>
              <w:rPr>
                <w:rFonts w:ascii="Arial"/>
                <w:spacing w:val="-1"/>
                <w:sz w:val="18"/>
              </w:rPr>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4"/>
                <w:szCs w:val="14"/>
              </w:rPr>
            </w:pPr>
          </w:p>
          <w:p>
            <w:pPr>
              <w:pStyle w:val="TableParagraph"/>
              <w:spacing w:line="240" w:lineRule="auto"/>
              <w:ind w:right="7"/>
              <w:jc w:val="right"/>
              <w:rPr>
                <w:rFonts w:ascii="Arial" w:hAnsi="Arial" w:cs="Arial" w:eastAsia="Arial" w:hint="default"/>
                <w:sz w:val="18"/>
                <w:szCs w:val="18"/>
              </w:rPr>
            </w:pPr>
            <w:r>
              <w:rPr>
                <w:rFonts w:ascii="Arial"/>
                <w:w w:val="100"/>
                <w:sz w:val="18"/>
              </w:rPr>
            </w:r>
            <w:r>
              <w:rPr>
                <w:rFonts w:ascii="Arial"/>
                <w:spacing w:val="-1"/>
                <w:sz w:val="18"/>
                <w:u w:val="thick" w:color="000000"/>
              </w:rPr>
              <w:t>1,765,460</w:t>
            </w:r>
            <w:r>
              <w:rPr>
                <w:rFonts w:ascii="Arial"/>
                <w:spacing w:val="-1"/>
                <w:sz w:val="18"/>
              </w:rPr>
            </w:r>
          </w:p>
        </w:tc>
        <w:tc>
          <w:tcPr>
            <w:tcW w:w="1156"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28"/>
              <w:jc w:val="right"/>
              <w:rPr>
                <w:rFonts w:ascii="Arial" w:hAnsi="Arial" w:cs="Arial" w:eastAsia="Arial" w:hint="default"/>
                <w:sz w:val="20"/>
                <w:szCs w:val="20"/>
              </w:rPr>
            </w:pPr>
            <w:r>
              <w:rPr>
                <w:rFonts w:ascii="Arial"/>
                <w:spacing w:val="-2"/>
                <w:w w:val="95"/>
                <w:sz w:val="20"/>
              </w:rPr>
              <w:t>&lt;1</w:t>
            </w:r>
            <w:r>
              <w:rPr>
                <w:rFonts w:ascii="Arial"/>
                <w:sz w:val="20"/>
              </w:rPr>
            </w:r>
          </w:p>
        </w:tc>
        <w:tc>
          <w:tcPr>
            <w:tcW w:w="2428" w:type="dxa"/>
            <w:tcBorders>
              <w:top w:val="nil" w:sz="6" w:space="0" w:color="auto"/>
              <w:left w:val="nil" w:sz="6" w:space="0" w:color="auto"/>
              <w:bottom w:val="nil" w:sz="6" w:space="0" w:color="auto"/>
              <w:right w:val="nil" w:sz="6" w:space="0" w:color="auto"/>
            </w:tcBorders>
          </w:tcPr>
          <w:p>
            <w:pPr/>
          </w:p>
        </w:tc>
      </w:tr>
    </w:tbl>
    <w:p>
      <w:pPr>
        <w:spacing w:line="240" w:lineRule="auto" w:before="3"/>
        <w:rPr>
          <w:rFonts w:ascii="黑体" w:hAnsi="黑体" w:cs="黑体" w:eastAsia="黑体" w:hint="default"/>
          <w:sz w:val="15"/>
          <w:szCs w:val="15"/>
        </w:rPr>
      </w:pPr>
    </w:p>
    <w:p>
      <w:pPr>
        <w:pStyle w:val="BodyText"/>
        <w:spacing w:line="240" w:lineRule="auto" w:before="37"/>
        <w:ind w:right="0"/>
        <w:jc w:val="left"/>
      </w:pPr>
      <w:r>
        <w:rPr/>
        <w:t>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日，单项金额虽不重大但单独计提坏账准备的其他应收款情况如下：</w:t>
      </w:r>
    </w:p>
    <w:p>
      <w:pPr>
        <w:spacing w:line="240" w:lineRule="auto" w:before="1"/>
        <w:rPr>
          <w:rFonts w:ascii="黑体" w:hAnsi="黑体" w:cs="黑体" w:eastAsia="黑体" w:hint="default"/>
          <w:sz w:val="21"/>
          <w:szCs w:val="21"/>
        </w:rPr>
      </w:pPr>
    </w:p>
    <w:tbl>
      <w:tblPr>
        <w:tblW w:w="0" w:type="auto"/>
        <w:jc w:val="left"/>
        <w:tblInd w:w="621" w:type="dxa"/>
        <w:tblLayout w:type="fixed"/>
        <w:tblCellMar>
          <w:top w:w="0" w:type="dxa"/>
          <w:left w:w="0" w:type="dxa"/>
          <w:bottom w:w="0" w:type="dxa"/>
          <w:right w:w="0" w:type="dxa"/>
        </w:tblCellMar>
        <w:tblLook w:val="01E0"/>
      </w:tblPr>
      <w:tblGrid>
        <w:gridCol w:w="2304"/>
        <w:gridCol w:w="1528"/>
        <w:gridCol w:w="1057"/>
        <w:gridCol w:w="1187"/>
        <w:gridCol w:w="2432"/>
      </w:tblGrid>
      <w:tr>
        <w:trPr>
          <w:trHeight w:val="355" w:hRule="exact"/>
        </w:trPr>
        <w:tc>
          <w:tcPr>
            <w:tcW w:w="2304" w:type="dxa"/>
            <w:tcBorders>
              <w:top w:val="nil" w:sz="6" w:space="0" w:color="auto"/>
              <w:left w:val="nil" w:sz="6" w:space="0" w:color="auto"/>
              <w:bottom w:val="nil" w:sz="6" w:space="0" w:color="auto"/>
              <w:right w:val="nil" w:sz="6" w:space="0" w:color="auto"/>
            </w:tcBorders>
          </w:tcPr>
          <w:p>
            <w:pPr/>
          </w:p>
        </w:tc>
        <w:tc>
          <w:tcPr>
            <w:tcW w:w="1528" w:type="dxa"/>
            <w:tcBorders>
              <w:top w:val="nil" w:sz="6" w:space="0" w:color="auto"/>
              <w:left w:val="nil" w:sz="6" w:space="0" w:color="auto"/>
              <w:bottom w:val="nil" w:sz="6" w:space="0" w:color="auto"/>
              <w:right w:val="nil" w:sz="6" w:space="0" w:color="auto"/>
            </w:tcBorders>
          </w:tcPr>
          <w:p>
            <w:pPr>
              <w:pStyle w:val="TableParagraph"/>
              <w:spacing w:line="199" w:lineRule="exact"/>
              <w:ind w:right="233"/>
              <w:jc w:val="right"/>
              <w:rPr>
                <w:rFonts w:ascii="黑体" w:hAnsi="黑体" w:cs="黑体" w:eastAsia="黑体" w:hint="default"/>
                <w:sz w:val="20"/>
                <w:szCs w:val="20"/>
              </w:rPr>
            </w:pPr>
            <w:r>
              <w:rPr>
                <w:rFonts w:ascii="黑体" w:hAnsi="黑体" w:cs="黑体" w:eastAsia="黑体" w:hint="default"/>
                <w:w w:val="95"/>
                <w:sz w:val="20"/>
                <w:szCs w:val="20"/>
              </w:rPr>
              <w:t>账面余额</w:t>
            </w:r>
            <w:r>
              <w:rPr>
                <w:rFonts w:ascii="黑体" w:hAnsi="黑体" w:cs="黑体" w:eastAsia="黑体" w:hint="default"/>
                <w:sz w:val="20"/>
                <w:szCs w:val="20"/>
              </w:rPr>
            </w:r>
          </w:p>
        </w:tc>
        <w:tc>
          <w:tcPr>
            <w:tcW w:w="1057" w:type="dxa"/>
            <w:tcBorders>
              <w:top w:val="nil" w:sz="6" w:space="0" w:color="auto"/>
              <w:left w:val="nil" w:sz="6" w:space="0" w:color="auto"/>
              <w:bottom w:val="nil" w:sz="6" w:space="0" w:color="auto"/>
              <w:right w:val="nil" w:sz="6" w:space="0" w:color="auto"/>
            </w:tcBorders>
          </w:tcPr>
          <w:p>
            <w:pPr>
              <w:pStyle w:val="TableParagraph"/>
              <w:spacing w:line="199" w:lineRule="exact"/>
              <w:ind w:right="30"/>
              <w:jc w:val="right"/>
              <w:rPr>
                <w:rFonts w:ascii="黑体" w:hAnsi="黑体" w:cs="黑体" w:eastAsia="黑体" w:hint="default"/>
                <w:sz w:val="20"/>
                <w:szCs w:val="20"/>
              </w:rPr>
            </w:pPr>
            <w:r>
              <w:rPr>
                <w:rFonts w:ascii="黑体" w:hAnsi="黑体" w:cs="黑体" w:eastAsia="黑体" w:hint="default"/>
                <w:w w:val="95"/>
                <w:sz w:val="20"/>
                <w:szCs w:val="20"/>
              </w:rPr>
              <w:t>坏账准备</w:t>
            </w:r>
            <w:r>
              <w:rPr>
                <w:rFonts w:ascii="黑体" w:hAnsi="黑体" w:cs="黑体" w:eastAsia="黑体" w:hint="default"/>
                <w:sz w:val="20"/>
                <w:szCs w:val="20"/>
              </w:rPr>
            </w:r>
          </w:p>
        </w:tc>
        <w:tc>
          <w:tcPr>
            <w:tcW w:w="1187" w:type="dxa"/>
            <w:tcBorders>
              <w:top w:val="nil" w:sz="6" w:space="0" w:color="auto"/>
              <w:left w:val="nil" w:sz="6" w:space="0" w:color="auto"/>
              <w:bottom w:val="nil" w:sz="6" w:space="0" w:color="auto"/>
              <w:right w:val="nil" w:sz="6" w:space="0" w:color="auto"/>
            </w:tcBorders>
          </w:tcPr>
          <w:p>
            <w:pPr>
              <w:pStyle w:val="TableParagraph"/>
              <w:spacing w:line="214" w:lineRule="exact"/>
              <w:ind w:right="58"/>
              <w:jc w:val="right"/>
              <w:rPr>
                <w:rFonts w:ascii="Arial" w:hAnsi="Arial" w:cs="Arial" w:eastAsia="Arial" w:hint="default"/>
                <w:sz w:val="20"/>
                <w:szCs w:val="20"/>
              </w:rPr>
            </w:pPr>
            <w:r>
              <w:rPr>
                <w:rFonts w:ascii="黑体" w:hAnsi="黑体" w:cs="黑体" w:eastAsia="黑体" w:hint="default"/>
                <w:w w:val="95"/>
                <w:sz w:val="20"/>
                <w:szCs w:val="20"/>
              </w:rPr>
              <w:t>计提比例</w:t>
            </w:r>
            <w:r>
              <w:rPr>
                <w:rFonts w:ascii="Arial" w:hAnsi="Arial" w:cs="Arial" w:eastAsia="Arial" w:hint="default"/>
                <w:w w:val="95"/>
                <w:sz w:val="20"/>
                <w:szCs w:val="20"/>
              </w:rPr>
              <w:t>(%)</w:t>
            </w:r>
            <w:r>
              <w:rPr>
                <w:rFonts w:ascii="Arial" w:hAnsi="Arial" w:cs="Arial" w:eastAsia="Arial" w:hint="default"/>
                <w:sz w:val="20"/>
                <w:szCs w:val="20"/>
              </w:rPr>
            </w:r>
          </w:p>
        </w:tc>
        <w:tc>
          <w:tcPr>
            <w:tcW w:w="2432" w:type="dxa"/>
            <w:tcBorders>
              <w:top w:val="nil" w:sz="6" w:space="0" w:color="auto"/>
              <w:left w:val="nil" w:sz="6" w:space="0" w:color="auto"/>
              <w:bottom w:val="nil" w:sz="6" w:space="0" w:color="auto"/>
              <w:right w:val="nil" w:sz="6" w:space="0" w:color="auto"/>
            </w:tcBorders>
          </w:tcPr>
          <w:p>
            <w:pPr>
              <w:pStyle w:val="TableParagraph"/>
              <w:spacing w:line="199" w:lineRule="exact"/>
              <w:ind w:right="212"/>
              <w:jc w:val="right"/>
              <w:rPr>
                <w:rFonts w:ascii="黑体" w:hAnsi="黑体" w:cs="黑体" w:eastAsia="黑体" w:hint="default"/>
                <w:sz w:val="20"/>
                <w:szCs w:val="20"/>
              </w:rPr>
            </w:pPr>
            <w:r>
              <w:rPr>
                <w:rFonts w:ascii="黑体" w:hAnsi="黑体" w:cs="黑体" w:eastAsia="黑体" w:hint="default"/>
                <w:w w:val="95"/>
                <w:sz w:val="20"/>
                <w:szCs w:val="20"/>
              </w:rPr>
              <w:t>理由</w:t>
            </w:r>
            <w:r>
              <w:rPr>
                <w:rFonts w:ascii="黑体" w:hAnsi="黑体" w:cs="黑体" w:eastAsia="黑体" w:hint="default"/>
                <w:sz w:val="20"/>
                <w:szCs w:val="20"/>
              </w:rPr>
            </w:r>
          </w:p>
        </w:tc>
      </w:tr>
      <w:tr>
        <w:trPr>
          <w:trHeight w:val="601" w:hRule="exact"/>
        </w:trPr>
        <w:tc>
          <w:tcPr>
            <w:tcW w:w="2304" w:type="dxa"/>
            <w:tcBorders>
              <w:top w:val="nil" w:sz="6" w:space="0" w:color="auto"/>
              <w:left w:val="nil" w:sz="6" w:space="0" w:color="auto"/>
              <w:bottom w:val="nil" w:sz="6" w:space="0" w:color="auto"/>
              <w:right w:val="nil" w:sz="6" w:space="0" w:color="auto"/>
            </w:tcBorders>
          </w:tcPr>
          <w:p>
            <w:pPr>
              <w:pStyle w:val="TableParagraph"/>
              <w:spacing w:line="244" w:lineRule="auto" w:before="90"/>
              <w:ind w:left="375" w:right="301" w:hanging="176"/>
              <w:jc w:val="left"/>
              <w:rPr>
                <w:rFonts w:ascii="黑体" w:hAnsi="黑体" w:cs="黑体" w:eastAsia="黑体" w:hint="default"/>
                <w:sz w:val="18"/>
                <w:szCs w:val="18"/>
              </w:rPr>
            </w:pPr>
            <w:r>
              <w:rPr>
                <w:rFonts w:ascii="黑体" w:hAnsi="黑体" w:cs="黑体" w:eastAsia="黑体" w:hint="default"/>
                <w:sz w:val="18"/>
                <w:szCs w:val="18"/>
              </w:rPr>
              <w:t>英腾协同科技（北京） 有限公司</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36"/>
              <w:ind w:right="219"/>
              <w:jc w:val="right"/>
              <w:rPr>
                <w:rFonts w:ascii="Arial" w:hAnsi="Arial" w:cs="Arial" w:eastAsia="Arial" w:hint="default"/>
                <w:sz w:val="18"/>
                <w:szCs w:val="18"/>
              </w:rPr>
            </w:pPr>
            <w:r>
              <w:rPr>
                <w:rFonts w:ascii="Arial"/>
                <w:spacing w:val="-1"/>
                <w:sz w:val="18"/>
              </w:rPr>
              <w:t>99,999</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8"/>
                <w:szCs w:val="18"/>
              </w:rPr>
            </w:pPr>
          </w:p>
          <w:p>
            <w:pPr>
              <w:pStyle w:val="TableParagraph"/>
              <w:spacing w:line="240" w:lineRule="auto" w:before="136"/>
              <w:ind w:right="16"/>
              <w:jc w:val="right"/>
              <w:rPr>
                <w:rFonts w:ascii="Arial" w:hAnsi="Arial" w:cs="Arial" w:eastAsia="Arial" w:hint="default"/>
                <w:sz w:val="18"/>
                <w:szCs w:val="18"/>
              </w:rPr>
            </w:pPr>
            <w:r>
              <w:rPr>
                <w:rFonts w:ascii="Arial"/>
                <w:spacing w:val="-1"/>
                <w:sz w:val="18"/>
              </w:rPr>
              <w:t>99,999</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25"/>
                <w:szCs w:val="25"/>
              </w:rPr>
            </w:pPr>
          </w:p>
          <w:p>
            <w:pPr>
              <w:pStyle w:val="TableParagraph"/>
              <w:spacing w:line="240" w:lineRule="auto"/>
              <w:ind w:right="58"/>
              <w:jc w:val="right"/>
              <w:rPr>
                <w:rFonts w:ascii="Arial" w:hAnsi="Arial" w:cs="Arial" w:eastAsia="Arial" w:hint="default"/>
                <w:sz w:val="20"/>
                <w:szCs w:val="20"/>
              </w:rPr>
            </w:pPr>
            <w:r>
              <w:rPr>
                <w:rFonts w:ascii="Arial"/>
                <w:spacing w:val="-1"/>
                <w:w w:val="95"/>
                <w:sz w:val="20"/>
              </w:rPr>
              <w:t>100</w:t>
            </w:r>
            <w:r>
              <w:rPr>
                <w:rFonts w:ascii="Arial"/>
                <w:sz w:val="20"/>
              </w:rPr>
            </w:r>
          </w:p>
        </w:tc>
        <w:tc>
          <w:tcPr>
            <w:tcW w:w="24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22"/>
                <w:szCs w:val="22"/>
              </w:rPr>
            </w:pPr>
          </w:p>
          <w:p>
            <w:pPr>
              <w:pStyle w:val="TableParagraph"/>
              <w:spacing w:line="240" w:lineRule="auto"/>
              <w:ind w:right="198"/>
              <w:jc w:val="right"/>
              <w:rPr>
                <w:rFonts w:ascii="黑体" w:hAnsi="黑体" w:cs="黑体" w:eastAsia="黑体" w:hint="default"/>
                <w:sz w:val="20"/>
                <w:szCs w:val="20"/>
              </w:rPr>
            </w:pPr>
            <w:r>
              <w:rPr>
                <w:rFonts w:ascii="黑体" w:hAnsi="黑体" w:cs="黑体" w:eastAsia="黑体" w:hint="default"/>
                <w:spacing w:val="-2"/>
                <w:w w:val="95"/>
                <w:sz w:val="20"/>
                <w:szCs w:val="20"/>
              </w:rPr>
              <w:t>项目终止，押金无法收回</w:t>
            </w:r>
            <w:r>
              <w:rPr>
                <w:rFonts w:ascii="黑体" w:hAnsi="黑体" w:cs="黑体" w:eastAsia="黑体" w:hint="default"/>
                <w:spacing w:val="-2"/>
                <w:sz w:val="20"/>
                <w:szCs w:val="20"/>
              </w:rPr>
            </w:r>
          </w:p>
        </w:tc>
      </w:tr>
      <w:tr>
        <w:trPr>
          <w:trHeight w:val="480" w:hRule="exact"/>
        </w:trPr>
        <w:tc>
          <w:tcPr>
            <w:tcW w:w="2304" w:type="dxa"/>
            <w:tcBorders>
              <w:top w:val="nil" w:sz="6" w:space="0" w:color="auto"/>
              <w:left w:val="nil" w:sz="6" w:space="0" w:color="auto"/>
              <w:bottom w:val="nil" w:sz="6" w:space="0" w:color="auto"/>
              <w:right w:val="nil" w:sz="6" w:space="0" w:color="auto"/>
            </w:tcBorders>
          </w:tcPr>
          <w:p>
            <w:pPr>
              <w:pStyle w:val="TableParagraph"/>
              <w:spacing w:line="206" w:lineRule="exact"/>
              <w:ind w:left="200" w:right="0"/>
              <w:jc w:val="left"/>
              <w:rPr>
                <w:rFonts w:ascii="黑体" w:hAnsi="黑体" w:cs="黑体" w:eastAsia="黑体" w:hint="default"/>
                <w:sz w:val="18"/>
                <w:szCs w:val="18"/>
              </w:rPr>
            </w:pPr>
            <w:r>
              <w:rPr>
                <w:rFonts w:ascii="黑体" w:hAnsi="黑体" w:cs="黑体" w:eastAsia="黑体" w:hint="default"/>
                <w:sz w:val="18"/>
                <w:szCs w:val="18"/>
              </w:rPr>
              <w:t>东营科英激光电子有</w:t>
            </w:r>
          </w:p>
          <w:p>
            <w:pPr>
              <w:pStyle w:val="TableParagraph"/>
              <w:spacing w:line="240" w:lineRule="auto" w:before="4"/>
              <w:ind w:left="375" w:right="0"/>
              <w:jc w:val="left"/>
              <w:rPr>
                <w:rFonts w:ascii="黑体" w:hAnsi="黑体" w:cs="黑体" w:eastAsia="黑体" w:hint="default"/>
                <w:sz w:val="18"/>
                <w:szCs w:val="18"/>
              </w:rPr>
            </w:pPr>
            <w:r>
              <w:rPr>
                <w:rFonts w:ascii="黑体" w:hAnsi="黑体" w:cs="黑体" w:eastAsia="黑体" w:hint="default"/>
                <w:sz w:val="18"/>
                <w:szCs w:val="18"/>
              </w:rPr>
              <w:t>限公司</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9"/>
                <w:szCs w:val="19"/>
              </w:rPr>
            </w:pPr>
          </w:p>
          <w:p>
            <w:pPr>
              <w:pStyle w:val="TableParagraph"/>
              <w:spacing w:line="240" w:lineRule="auto"/>
              <w:ind w:right="219"/>
              <w:jc w:val="right"/>
              <w:rPr>
                <w:rFonts w:ascii="Arial" w:hAnsi="Arial" w:cs="Arial" w:eastAsia="Arial" w:hint="default"/>
                <w:sz w:val="18"/>
                <w:szCs w:val="18"/>
              </w:rPr>
            </w:pPr>
            <w:r>
              <w:rPr>
                <w:rFonts w:ascii="Arial"/>
                <w:spacing w:val="-1"/>
                <w:sz w:val="18"/>
              </w:rPr>
              <w:t>83,570</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9"/>
                <w:szCs w:val="19"/>
              </w:rPr>
            </w:pPr>
          </w:p>
          <w:p>
            <w:pPr>
              <w:pStyle w:val="TableParagraph"/>
              <w:spacing w:line="240" w:lineRule="auto"/>
              <w:ind w:right="16"/>
              <w:jc w:val="right"/>
              <w:rPr>
                <w:rFonts w:ascii="Arial" w:hAnsi="Arial" w:cs="Arial" w:eastAsia="Arial" w:hint="default"/>
                <w:sz w:val="18"/>
                <w:szCs w:val="18"/>
              </w:rPr>
            </w:pPr>
            <w:r>
              <w:rPr>
                <w:rFonts w:ascii="Arial"/>
                <w:spacing w:val="-1"/>
                <w:sz w:val="18"/>
              </w:rPr>
              <w:t>83,570</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16"/>
                <w:szCs w:val="16"/>
              </w:rPr>
            </w:pPr>
          </w:p>
          <w:p>
            <w:pPr>
              <w:pStyle w:val="TableParagraph"/>
              <w:spacing w:line="240" w:lineRule="auto"/>
              <w:ind w:right="58"/>
              <w:jc w:val="right"/>
              <w:rPr>
                <w:rFonts w:ascii="Arial" w:hAnsi="Arial" w:cs="Arial" w:eastAsia="Arial" w:hint="default"/>
                <w:sz w:val="20"/>
                <w:szCs w:val="20"/>
              </w:rPr>
            </w:pPr>
            <w:r>
              <w:rPr>
                <w:rFonts w:ascii="Arial"/>
                <w:spacing w:val="-1"/>
                <w:w w:val="95"/>
                <w:sz w:val="20"/>
              </w:rPr>
              <w:t>100</w:t>
            </w:r>
            <w:r>
              <w:rPr>
                <w:rFonts w:ascii="Arial"/>
                <w:sz w:val="20"/>
              </w:rPr>
            </w:r>
          </w:p>
        </w:tc>
        <w:tc>
          <w:tcPr>
            <w:tcW w:w="2432" w:type="dxa"/>
            <w:tcBorders>
              <w:top w:val="nil" w:sz="6" w:space="0" w:color="auto"/>
              <w:left w:val="nil" w:sz="6" w:space="0" w:color="auto"/>
              <w:bottom w:val="nil" w:sz="6" w:space="0" w:color="auto"/>
              <w:right w:val="nil" w:sz="6" w:space="0" w:color="auto"/>
            </w:tcBorders>
          </w:tcPr>
          <w:p>
            <w:pPr>
              <w:pStyle w:val="TableParagraph"/>
              <w:spacing w:line="240" w:lineRule="auto" w:before="177"/>
              <w:ind w:right="198"/>
              <w:jc w:val="right"/>
              <w:rPr>
                <w:rFonts w:ascii="黑体" w:hAnsi="黑体" w:cs="黑体" w:eastAsia="黑体" w:hint="default"/>
                <w:sz w:val="20"/>
                <w:szCs w:val="20"/>
              </w:rPr>
            </w:pPr>
            <w:r>
              <w:rPr>
                <w:rFonts w:ascii="黑体" w:hAnsi="黑体" w:cs="黑体" w:eastAsia="黑体" w:hint="default"/>
                <w:spacing w:val="-2"/>
                <w:w w:val="95"/>
                <w:sz w:val="20"/>
                <w:szCs w:val="20"/>
              </w:rPr>
              <w:t>公司重组，押金无法收回</w:t>
            </w:r>
            <w:r>
              <w:rPr>
                <w:rFonts w:ascii="黑体" w:hAnsi="黑体" w:cs="黑体" w:eastAsia="黑体" w:hint="default"/>
                <w:spacing w:val="-2"/>
                <w:sz w:val="20"/>
                <w:szCs w:val="20"/>
              </w:rPr>
            </w:r>
          </w:p>
        </w:tc>
      </w:tr>
      <w:tr>
        <w:trPr>
          <w:trHeight w:val="528" w:hRule="exact"/>
        </w:trPr>
        <w:tc>
          <w:tcPr>
            <w:tcW w:w="2304" w:type="dxa"/>
            <w:tcBorders>
              <w:top w:val="nil" w:sz="6" w:space="0" w:color="auto"/>
              <w:left w:val="nil" w:sz="6" w:space="0" w:color="auto"/>
              <w:bottom w:val="nil" w:sz="6" w:space="0" w:color="auto"/>
              <w:right w:val="nil" w:sz="6" w:space="0" w:color="auto"/>
            </w:tcBorders>
          </w:tcPr>
          <w:p>
            <w:pPr>
              <w:pStyle w:val="TableParagraph"/>
              <w:spacing w:line="206" w:lineRule="exact"/>
              <w:ind w:left="200" w:right="0"/>
              <w:jc w:val="left"/>
              <w:rPr>
                <w:rFonts w:ascii="黑体" w:hAnsi="黑体" w:cs="黑体" w:eastAsia="黑体" w:hint="default"/>
                <w:sz w:val="18"/>
                <w:szCs w:val="18"/>
              </w:rPr>
            </w:pPr>
            <w:r>
              <w:rPr>
                <w:rFonts w:ascii="黑体" w:hAnsi="黑体" w:cs="黑体" w:eastAsia="黑体" w:hint="default"/>
                <w:sz w:val="18"/>
                <w:szCs w:val="18"/>
              </w:rPr>
              <w:t>内蒙古草原兴发股份</w:t>
            </w:r>
          </w:p>
          <w:p>
            <w:pPr>
              <w:pStyle w:val="TableParagraph"/>
              <w:spacing w:line="240" w:lineRule="auto" w:before="4"/>
              <w:ind w:left="375" w:right="0"/>
              <w:jc w:val="left"/>
              <w:rPr>
                <w:rFonts w:ascii="黑体" w:hAnsi="黑体" w:cs="黑体" w:eastAsia="黑体" w:hint="default"/>
                <w:sz w:val="18"/>
                <w:szCs w:val="18"/>
              </w:rPr>
            </w:pPr>
            <w:r>
              <w:rPr>
                <w:rFonts w:ascii="黑体" w:hAnsi="黑体" w:cs="黑体" w:eastAsia="黑体" w:hint="default"/>
                <w:sz w:val="18"/>
                <w:szCs w:val="18"/>
              </w:rPr>
              <w:t>有限公司</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9"/>
                <w:szCs w:val="19"/>
              </w:rPr>
            </w:pPr>
          </w:p>
          <w:p>
            <w:pPr>
              <w:pStyle w:val="TableParagraph"/>
              <w:spacing w:line="240" w:lineRule="auto"/>
              <w:ind w:right="218"/>
              <w:jc w:val="right"/>
              <w:rPr>
                <w:rFonts w:ascii="Arial" w:hAnsi="Arial" w:cs="Arial" w:eastAsia="Arial" w:hint="default"/>
                <w:sz w:val="18"/>
                <w:szCs w:val="18"/>
              </w:rPr>
            </w:pPr>
            <w:r>
              <w:rPr>
                <w:rFonts w:ascii="Arial"/>
                <w:spacing w:val="-1"/>
                <w:sz w:val="18"/>
              </w:rPr>
              <w:t>80,000</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9"/>
                <w:szCs w:val="19"/>
              </w:rPr>
            </w:pPr>
          </w:p>
          <w:p>
            <w:pPr>
              <w:pStyle w:val="TableParagraph"/>
              <w:spacing w:line="240" w:lineRule="auto"/>
              <w:ind w:right="15"/>
              <w:jc w:val="right"/>
              <w:rPr>
                <w:rFonts w:ascii="Arial" w:hAnsi="Arial" w:cs="Arial" w:eastAsia="Arial" w:hint="default"/>
                <w:sz w:val="18"/>
                <w:szCs w:val="18"/>
              </w:rPr>
            </w:pPr>
            <w:r>
              <w:rPr>
                <w:rFonts w:ascii="Arial"/>
                <w:spacing w:val="-1"/>
                <w:sz w:val="18"/>
              </w:rPr>
              <w:t>80,000</w:t>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16"/>
                <w:szCs w:val="16"/>
              </w:rPr>
            </w:pPr>
          </w:p>
          <w:p>
            <w:pPr>
              <w:pStyle w:val="TableParagraph"/>
              <w:spacing w:line="240" w:lineRule="auto"/>
              <w:ind w:right="58"/>
              <w:jc w:val="right"/>
              <w:rPr>
                <w:rFonts w:ascii="Arial" w:hAnsi="Arial" w:cs="Arial" w:eastAsia="Arial" w:hint="default"/>
                <w:sz w:val="20"/>
                <w:szCs w:val="20"/>
              </w:rPr>
            </w:pPr>
            <w:r>
              <w:rPr>
                <w:rFonts w:ascii="Arial"/>
                <w:spacing w:val="-1"/>
                <w:w w:val="95"/>
                <w:sz w:val="20"/>
              </w:rPr>
              <w:t>100</w:t>
            </w:r>
            <w:r>
              <w:rPr>
                <w:rFonts w:ascii="Arial"/>
                <w:sz w:val="20"/>
              </w:rPr>
            </w:r>
          </w:p>
        </w:tc>
        <w:tc>
          <w:tcPr>
            <w:tcW w:w="2432" w:type="dxa"/>
            <w:tcBorders>
              <w:top w:val="nil" w:sz="6" w:space="0" w:color="auto"/>
              <w:left w:val="nil" w:sz="6" w:space="0" w:color="auto"/>
              <w:bottom w:val="nil" w:sz="6" w:space="0" w:color="auto"/>
              <w:right w:val="nil" w:sz="6" w:space="0" w:color="auto"/>
            </w:tcBorders>
          </w:tcPr>
          <w:p>
            <w:pPr>
              <w:pStyle w:val="TableParagraph"/>
              <w:spacing w:line="240" w:lineRule="auto" w:before="177"/>
              <w:ind w:right="198"/>
              <w:jc w:val="right"/>
              <w:rPr>
                <w:rFonts w:ascii="黑体" w:hAnsi="黑体" w:cs="黑体" w:eastAsia="黑体" w:hint="default"/>
                <w:sz w:val="20"/>
                <w:szCs w:val="20"/>
              </w:rPr>
            </w:pPr>
            <w:r>
              <w:rPr>
                <w:rFonts w:ascii="黑体" w:hAnsi="黑体" w:cs="黑体" w:eastAsia="黑体" w:hint="default"/>
                <w:spacing w:val="-2"/>
                <w:w w:val="95"/>
                <w:sz w:val="20"/>
                <w:szCs w:val="20"/>
              </w:rPr>
              <w:t>公司重组，押金无法收回</w:t>
            </w:r>
            <w:r>
              <w:rPr>
                <w:rFonts w:ascii="黑体" w:hAnsi="黑体" w:cs="黑体" w:eastAsia="黑体" w:hint="default"/>
                <w:spacing w:val="-2"/>
                <w:sz w:val="20"/>
                <w:szCs w:val="20"/>
              </w:rPr>
            </w:r>
          </w:p>
        </w:tc>
      </w:tr>
      <w:tr>
        <w:trPr>
          <w:trHeight w:val="490" w:hRule="exact"/>
        </w:trPr>
        <w:tc>
          <w:tcPr>
            <w:tcW w:w="2304" w:type="dxa"/>
            <w:tcBorders>
              <w:top w:val="nil" w:sz="6" w:space="0" w:color="auto"/>
              <w:left w:val="nil" w:sz="6" w:space="0" w:color="auto"/>
              <w:bottom w:val="nil" w:sz="6" w:space="0" w:color="auto"/>
              <w:right w:val="nil" w:sz="6" w:space="0" w:color="auto"/>
            </w:tcBorders>
          </w:tcPr>
          <w:p>
            <w:pPr>
              <w:pStyle w:val="TableParagraph"/>
              <w:spacing w:line="240" w:lineRule="auto" w:before="42"/>
              <w:ind w:left="200" w:right="0"/>
              <w:jc w:val="left"/>
              <w:rPr>
                <w:rFonts w:ascii="黑体" w:hAnsi="黑体" w:cs="黑体" w:eastAsia="黑体" w:hint="default"/>
                <w:sz w:val="18"/>
                <w:szCs w:val="18"/>
              </w:rPr>
            </w:pPr>
            <w:r>
              <w:rPr>
                <w:rFonts w:ascii="黑体" w:hAnsi="黑体" w:cs="黑体" w:eastAsia="黑体" w:hint="default"/>
                <w:sz w:val="18"/>
                <w:szCs w:val="18"/>
              </w:rPr>
              <w:t>其他</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18"/>
              <w:jc w:val="right"/>
              <w:rPr>
                <w:rFonts w:ascii="Arial" w:hAnsi="Arial" w:cs="Arial" w:eastAsia="Arial" w:hint="default"/>
                <w:sz w:val="18"/>
                <w:szCs w:val="18"/>
              </w:rPr>
            </w:pPr>
            <w:r>
              <w:rPr>
                <w:rFonts w:ascii="Arial"/>
                <w:w w:val="99"/>
                <w:sz w:val="18"/>
              </w:rPr>
            </w:r>
            <w:r>
              <w:rPr>
                <w:rFonts w:ascii="Arial"/>
                <w:spacing w:val="-1"/>
                <w:sz w:val="18"/>
                <w:u w:val="single" w:color="000000"/>
              </w:rPr>
              <w:t>279,399,400</w:t>
            </w:r>
            <w:r>
              <w:rPr>
                <w:rFonts w:ascii="Arial"/>
                <w:spacing w:val="-1"/>
                <w:sz w:val="18"/>
              </w:rPr>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0"/>
              <w:jc w:val="right"/>
              <w:rPr>
                <w:rFonts w:ascii="Arial" w:hAnsi="Arial" w:cs="Arial" w:eastAsia="Arial" w:hint="default"/>
                <w:sz w:val="18"/>
                <w:szCs w:val="18"/>
              </w:rPr>
            </w:pPr>
            <w:r>
              <w:rPr>
                <w:rFonts w:ascii="Arial"/>
                <w:w w:val="100"/>
                <w:sz w:val="18"/>
              </w:rPr>
            </w:r>
            <w:r>
              <w:rPr>
                <w:rFonts w:ascii="Arial"/>
                <w:spacing w:val="-1"/>
                <w:sz w:val="18"/>
                <w:u w:val="single" w:color="000000"/>
              </w:rPr>
              <w:t>1,267,344</w:t>
            </w:r>
            <w:r>
              <w:rPr>
                <w:rFonts w:ascii="Arial"/>
                <w:spacing w:val="-1"/>
                <w:sz w:val="18"/>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58"/>
              <w:jc w:val="right"/>
              <w:rPr>
                <w:rFonts w:ascii="Arial" w:hAnsi="Arial" w:cs="Arial" w:eastAsia="Arial" w:hint="default"/>
                <w:sz w:val="20"/>
                <w:szCs w:val="20"/>
              </w:rPr>
            </w:pPr>
            <w:r>
              <w:rPr>
                <w:rFonts w:ascii="Arial"/>
                <w:spacing w:val="-2"/>
                <w:w w:val="95"/>
                <w:sz w:val="20"/>
              </w:rPr>
              <w:t>&lt;1</w:t>
            </w:r>
            <w:r>
              <w:rPr>
                <w:rFonts w:ascii="Arial"/>
                <w:sz w:val="20"/>
              </w:rPr>
            </w:r>
          </w:p>
        </w:tc>
        <w:tc>
          <w:tcPr>
            <w:tcW w:w="2432" w:type="dxa"/>
            <w:tcBorders>
              <w:top w:val="nil" w:sz="6" w:space="0" w:color="auto"/>
              <w:left w:val="nil" w:sz="6" w:space="0" w:color="auto"/>
              <w:bottom w:val="nil" w:sz="6" w:space="0" w:color="auto"/>
              <w:right w:val="nil" w:sz="6" w:space="0" w:color="auto"/>
            </w:tcBorders>
          </w:tcPr>
          <w:p>
            <w:pPr/>
          </w:p>
        </w:tc>
      </w:tr>
      <w:tr>
        <w:trPr>
          <w:trHeight w:val="403" w:hRule="exact"/>
        </w:trPr>
        <w:tc>
          <w:tcPr>
            <w:tcW w:w="2304" w:type="dxa"/>
            <w:tcBorders>
              <w:top w:val="nil" w:sz="6" w:space="0" w:color="auto"/>
              <w:left w:val="nil" w:sz="6" w:space="0" w:color="auto"/>
              <w:bottom w:val="nil" w:sz="6" w:space="0" w:color="auto"/>
              <w:right w:val="nil" w:sz="6" w:space="0" w:color="auto"/>
            </w:tcBorders>
          </w:tcPr>
          <w:p>
            <w:pP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4"/>
                <w:szCs w:val="14"/>
              </w:rPr>
            </w:pPr>
          </w:p>
          <w:p>
            <w:pPr>
              <w:pStyle w:val="TableParagraph"/>
              <w:spacing w:line="240" w:lineRule="auto"/>
              <w:ind w:right="218"/>
              <w:jc w:val="right"/>
              <w:rPr>
                <w:rFonts w:ascii="Arial" w:hAnsi="Arial" w:cs="Arial" w:eastAsia="Arial" w:hint="default"/>
                <w:sz w:val="18"/>
                <w:szCs w:val="18"/>
              </w:rPr>
            </w:pPr>
            <w:r>
              <w:rPr>
                <w:rFonts w:ascii="Arial"/>
                <w:w w:val="99"/>
                <w:sz w:val="18"/>
              </w:rPr>
            </w:r>
            <w:r>
              <w:rPr>
                <w:rFonts w:ascii="Arial"/>
                <w:spacing w:val="-1"/>
                <w:sz w:val="18"/>
                <w:u w:val="thick" w:color="000000"/>
              </w:rPr>
              <w:t>279,662,969</w:t>
            </w:r>
            <w:r>
              <w:rPr>
                <w:rFonts w:ascii="Arial"/>
                <w:spacing w:val="-1"/>
                <w:sz w:val="18"/>
              </w:rPr>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黑体" w:hAnsi="黑体" w:cs="黑体" w:eastAsia="黑体" w:hint="default"/>
                <w:sz w:val="14"/>
                <w:szCs w:val="14"/>
              </w:rPr>
            </w:pPr>
          </w:p>
          <w:p>
            <w:pPr>
              <w:pStyle w:val="TableParagraph"/>
              <w:spacing w:line="240" w:lineRule="auto"/>
              <w:ind w:right="30"/>
              <w:jc w:val="right"/>
              <w:rPr>
                <w:rFonts w:ascii="Arial" w:hAnsi="Arial" w:cs="Arial" w:eastAsia="Arial" w:hint="default"/>
                <w:sz w:val="18"/>
                <w:szCs w:val="18"/>
              </w:rPr>
            </w:pPr>
            <w:r>
              <w:rPr>
                <w:rFonts w:ascii="Arial"/>
                <w:w w:val="100"/>
                <w:sz w:val="18"/>
              </w:rPr>
            </w:r>
            <w:r>
              <w:rPr>
                <w:rFonts w:ascii="Arial"/>
                <w:spacing w:val="-1"/>
                <w:sz w:val="18"/>
                <w:u w:val="thick" w:color="000000"/>
              </w:rPr>
              <w:t>1,530,913</w:t>
            </w:r>
            <w:r>
              <w:rPr>
                <w:rFonts w:ascii="Arial"/>
                <w:spacing w:val="-1"/>
                <w:sz w:val="18"/>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177"/>
              <w:ind w:right="55"/>
              <w:jc w:val="right"/>
              <w:rPr>
                <w:rFonts w:ascii="Arial" w:hAnsi="Arial" w:cs="Arial" w:eastAsia="Arial" w:hint="default"/>
                <w:sz w:val="20"/>
                <w:szCs w:val="20"/>
              </w:rPr>
            </w:pPr>
            <w:r>
              <w:rPr>
                <w:rFonts w:ascii="Arial"/>
                <w:w w:val="99"/>
                <w:sz w:val="20"/>
              </w:rPr>
              <w:t>1</w:t>
            </w:r>
            <w:r>
              <w:rPr>
                <w:rFonts w:ascii="Arial"/>
                <w:sz w:val="20"/>
              </w:rPr>
            </w:r>
          </w:p>
        </w:tc>
        <w:tc>
          <w:tcPr>
            <w:tcW w:w="2432" w:type="dxa"/>
            <w:tcBorders>
              <w:top w:val="nil" w:sz="6" w:space="0" w:color="auto"/>
              <w:left w:val="nil" w:sz="6" w:space="0" w:color="auto"/>
              <w:bottom w:val="nil" w:sz="6" w:space="0" w:color="auto"/>
              <w:right w:val="nil" w:sz="6" w:space="0" w:color="auto"/>
            </w:tcBorders>
          </w:tcPr>
          <w:p>
            <w:pPr/>
          </w:p>
        </w:tc>
      </w:tr>
    </w:tbl>
    <w:p>
      <w:pPr>
        <w:spacing w:line="240" w:lineRule="auto" w:before="7"/>
        <w:rPr>
          <w:rFonts w:ascii="黑体" w:hAnsi="黑体" w:cs="黑体" w:eastAsia="黑体" w:hint="default"/>
          <w:sz w:val="12"/>
          <w:szCs w:val="12"/>
        </w:rPr>
      </w:pPr>
    </w:p>
    <w:p>
      <w:pPr>
        <w:pStyle w:val="BodyText"/>
        <w:spacing w:line="268" w:lineRule="exact" w:before="37"/>
        <w:ind w:right="0"/>
        <w:jc w:val="left"/>
      </w:pP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日，本账户余额中无持有本公司</w:t>
      </w:r>
      <w:r>
        <w:rPr>
          <w:rFonts w:ascii="Arial" w:hAnsi="Arial" w:cs="Arial" w:eastAsia="Arial" w:hint="default"/>
        </w:rPr>
        <w:t>5%</w:t>
      </w:r>
      <w:r>
        <w:rPr/>
        <w:t>或以上表决权股份的股东单位的欠款</w:t>
      </w:r>
    </w:p>
    <w:p>
      <w:pPr>
        <w:pStyle w:val="BodyText"/>
        <w:spacing w:line="424" w:lineRule="auto"/>
        <w:ind w:left="809" w:right="2522" w:firstLine="4"/>
        <w:jc w:val="left"/>
      </w:pPr>
      <w:r>
        <w:rPr/>
        <w:t>（</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日：无）。</w:t>
      </w:r>
      <w:r>
        <w:rPr>
          <w:w w:val="99"/>
        </w:rPr>
        <w:t> </w:t>
      </w:r>
      <w:r>
        <w:rPr>
          <w:w w:val="95"/>
        </w:rPr>
        <w:t>其他应收关联方款项详见附注十三、</w:t>
      </w:r>
      <w:r>
        <w:rPr>
          <w:rFonts w:ascii="Arial" w:hAnsi="Arial" w:cs="Arial" w:eastAsia="Arial" w:hint="default"/>
          <w:w w:val="95"/>
        </w:rPr>
        <w:t>42</w:t>
      </w:r>
      <w:r>
        <w:rPr>
          <w:w w:val="95"/>
        </w:rPr>
        <w:t>。</w:t>
      </w:r>
      <w:r>
        <w:rPr/>
      </w:r>
    </w:p>
    <w:p>
      <w:pPr>
        <w:spacing w:after="0" w:line="424" w:lineRule="auto"/>
        <w:jc w:val="left"/>
        <w:sectPr>
          <w:pgSz w:w="11910" w:h="16850"/>
          <w:pgMar w:header="957" w:footer="384" w:top="2560" w:bottom="580" w:left="1600" w:right="1060"/>
        </w:sectPr>
      </w:pPr>
    </w:p>
    <w:p>
      <w:pPr>
        <w:spacing w:line="240" w:lineRule="auto" w:before="9"/>
        <w:rPr>
          <w:rFonts w:ascii="黑体" w:hAnsi="黑体" w:cs="黑体" w:eastAsia="黑体" w:hint="default"/>
          <w:sz w:val="14"/>
          <w:szCs w:val="14"/>
        </w:rPr>
      </w:pPr>
    </w:p>
    <w:p>
      <w:pPr>
        <w:pStyle w:val="Heading6"/>
        <w:spacing w:line="240" w:lineRule="auto"/>
        <w:ind w:right="3627"/>
        <w:jc w:val="left"/>
        <w:rPr>
          <w:b w:val="0"/>
          <w:bCs w:val="0"/>
        </w:rPr>
      </w:pPr>
      <w:r>
        <w:rPr/>
        <w:t>十三、公司财务报表主要项目注释（续）</w:t>
      </w:r>
      <w:r>
        <w:rPr>
          <w:b w:val="0"/>
          <w:bCs w:val="0"/>
        </w:rPr>
      </w:r>
    </w:p>
    <w:p>
      <w:pPr>
        <w:spacing w:line="240" w:lineRule="auto" w:before="9"/>
        <w:rPr>
          <w:rFonts w:ascii="黑体" w:hAnsi="黑体" w:cs="黑体" w:eastAsia="黑体" w:hint="default"/>
          <w:b/>
          <w:bCs/>
          <w:sz w:val="16"/>
          <w:szCs w:val="16"/>
        </w:rPr>
      </w:pPr>
    </w:p>
    <w:p>
      <w:pPr>
        <w:pStyle w:val="Heading6"/>
        <w:tabs>
          <w:tab w:pos="670" w:val="left" w:leader="none"/>
        </w:tabs>
        <w:spacing w:line="240" w:lineRule="auto" w:before="0"/>
        <w:ind w:right="3627"/>
        <w:jc w:val="left"/>
        <w:rPr>
          <w:b w:val="0"/>
          <w:bCs w:val="0"/>
        </w:rPr>
      </w:pPr>
      <w:r>
        <w:rPr>
          <w:rFonts w:ascii="Arial" w:hAnsi="Arial" w:cs="Arial" w:eastAsia="Arial" w:hint="default"/>
          <w:spacing w:val="-1"/>
        </w:rPr>
        <w:t>6.</w:t>
        <w:tab/>
      </w:r>
      <w:r>
        <w:rPr>
          <w:spacing w:val="2"/>
        </w:rPr>
        <w:t>存货</w:t>
      </w:r>
      <w:r>
        <w:rPr>
          <w:b w:val="0"/>
          <w:bCs w:val="0"/>
        </w:rPr>
      </w:r>
    </w:p>
    <w:p>
      <w:pPr>
        <w:spacing w:line="240" w:lineRule="auto" w:before="10"/>
        <w:rPr>
          <w:rFonts w:ascii="黑体" w:hAnsi="黑体" w:cs="黑体" w:eastAsia="黑体" w:hint="default"/>
          <w:b/>
          <w:bCs/>
          <w:sz w:val="18"/>
          <w:szCs w:val="18"/>
        </w:rPr>
      </w:pPr>
    </w:p>
    <w:p>
      <w:pPr>
        <w:pStyle w:val="BodyText"/>
        <w:spacing w:line="240" w:lineRule="exact"/>
        <w:ind w:left="672" w:right="194" w:firstLine="14"/>
        <w:jc w:val="left"/>
      </w:pPr>
      <w:r>
        <w:rPr/>
        <w:t>本公司于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日的存货中不存在因遭受毁损、全部或部分陈旧过时或销售价格低</w:t>
      </w:r>
      <w:r>
        <w:rPr>
          <w:spacing w:val="-97"/>
        </w:rPr>
        <w:t> </w:t>
      </w:r>
      <w:r>
        <w:rPr>
          <w:spacing w:val="-97"/>
        </w:rPr>
      </w:r>
      <w:r>
        <w:rPr/>
        <w:t>于成本等原因，而使存货成本高于其可变现净值的情况，故不需计提存货跌价准备。</w:t>
      </w:r>
    </w:p>
    <w:p>
      <w:pPr>
        <w:spacing w:line="240" w:lineRule="auto" w:before="0"/>
        <w:rPr>
          <w:rFonts w:ascii="黑体" w:hAnsi="黑体" w:cs="黑体" w:eastAsia="黑体" w:hint="default"/>
          <w:sz w:val="21"/>
          <w:szCs w:val="21"/>
        </w:rPr>
      </w:pPr>
    </w:p>
    <w:tbl>
      <w:tblPr>
        <w:tblW w:w="0" w:type="auto"/>
        <w:jc w:val="left"/>
        <w:tblInd w:w="628" w:type="dxa"/>
        <w:tblLayout w:type="fixed"/>
        <w:tblCellMar>
          <w:top w:w="0" w:type="dxa"/>
          <w:left w:w="0" w:type="dxa"/>
          <w:bottom w:w="0" w:type="dxa"/>
          <w:right w:w="0" w:type="dxa"/>
        </w:tblCellMar>
        <w:tblLook w:val="01E0"/>
      </w:tblPr>
      <w:tblGrid>
        <w:gridCol w:w="1316"/>
        <w:gridCol w:w="1074"/>
        <w:gridCol w:w="1040"/>
        <w:gridCol w:w="1169"/>
        <w:gridCol w:w="310"/>
        <w:gridCol w:w="1074"/>
        <w:gridCol w:w="981"/>
        <w:gridCol w:w="1014"/>
      </w:tblGrid>
      <w:tr>
        <w:trPr>
          <w:trHeight w:val="246" w:hRule="exact"/>
        </w:trPr>
        <w:tc>
          <w:tcPr>
            <w:tcW w:w="1316" w:type="dxa"/>
            <w:tcBorders>
              <w:top w:val="nil" w:sz="6" w:space="0" w:color="auto"/>
              <w:left w:val="nil" w:sz="6" w:space="0" w:color="auto"/>
              <w:bottom w:val="nil" w:sz="6" w:space="0" w:color="auto"/>
              <w:right w:val="nil" w:sz="6" w:space="0" w:color="auto"/>
            </w:tcBorders>
          </w:tcPr>
          <w:p>
            <w:pPr/>
          </w:p>
        </w:tc>
        <w:tc>
          <w:tcPr>
            <w:tcW w:w="1074" w:type="dxa"/>
            <w:tcBorders>
              <w:top w:val="nil" w:sz="6" w:space="0" w:color="auto"/>
              <w:left w:val="nil" w:sz="6" w:space="0" w:color="auto"/>
              <w:bottom w:val="single" w:sz="4" w:space="0" w:color="000000"/>
              <w:right w:val="nil" w:sz="6" w:space="0" w:color="auto"/>
            </w:tcBorders>
          </w:tcPr>
          <w:p>
            <w:pPr/>
          </w:p>
        </w:tc>
        <w:tc>
          <w:tcPr>
            <w:tcW w:w="1040" w:type="dxa"/>
            <w:tcBorders>
              <w:top w:val="nil" w:sz="6" w:space="0" w:color="auto"/>
              <w:left w:val="nil" w:sz="6" w:space="0" w:color="auto"/>
              <w:bottom w:val="single" w:sz="4" w:space="0" w:color="000000"/>
              <w:right w:val="nil" w:sz="6" w:space="0" w:color="auto"/>
            </w:tcBorders>
          </w:tcPr>
          <w:p>
            <w:pPr>
              <w:pStyle w:val="TableParagraph"/>
              <w:spacing w:line="214" w:lineRule="exact"/>
              <w:ind w:right="156"/>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1169" w:type="dxa"/>
            <w:tcBorders>
              <w:top w:val="nil" w:sz="6" w:space="0" w:color="auto"/>
              <w:left w:val="nil" w:sz="6" w:space="0" w:color="auto"/>
              <w:bottom w:val="single" w:sz="4" w:space="0" w:color="000000"/>
              <w:right w:val="nil" w:sz="6" w:space="0" w:color="auto"/>
            </w:tcBorders>
          </w:tcPr>
          <w:p>
            <w:pPr/>
          </w:p>
        </w:tc>
        <w:tc>
          <w:tcPr>
            <w:tcW w:w="310" w:type="dxa"/>
            <w:tcBorders>
              <w:top w:val="nil" w:sz="6" w:space="0" w:color="auto"/>
              <w:left w:val="nil" w:sz="6" w:space="0" w:color="auto"/>
              <w:bottom w:val="nil" w:sz="6" w:space="0" w:color="auto"/>
              <w:right w:val="nil" w:sz="6" w:space="0" w:color="auto"/>
            </w:tcBorders>
          </w:tcPr>
          <w:p>
            <w:pPr/>
          </w:p>
        </w:tc>
        <w:tc>
          <w:tcPr>
            <w:tcW w:w="1074" w:type="dxa"/>
            <w:tcBorders>
              <w:top w:val="nil" w:sz="6" w:space="0" w:color="auto"/>
              <w:left w:val="nil" w:sz="6" w:space="0" w:color="auto"/>
              <w:bottom w:val="single" w:sz="4" w:space="0" w:color="000000"/>
              <w:right w:val="nil" w:sz="6" w:space="0" w:color="auto"/>
            </w:tcBorders>
          </w:tcPr>
          <w:p>
            <w:pPr/>
          </w:p>
        </w:tc>
        <w:tc>
          <w:tcPr>
            <w:tcW w:w="981" w:type="dxa"/>
            <w:tcBorders>
              <w:top w:val="nil" w:sz="6" w:space="0" w:color="auto"/>
              <w:left w:val="nil" w:sz="6" w:space="0" w:color="auto"/>
              <w:bottom w:val="single" w:sz="4" w:space="0" w:color="000000"/>
              <w:right w:val="nil" w:sz="6" w:space="0" w:color="auto"/>
            </w:tcBorders>
          </w:tcPr>
          <w:p>
            <w:pPr>
              <w:pStyle w:val="TableParagraph"/>
              <w:spacing w:line="214" w:lineRule="exact"/>
              <w:ind w:left="133"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p>
        </w:tc>
        <w:tc>
          <w:tcPr>
            <w:tcW w:w="1014" w:type="dxa"/>
            <w:tcBorders>
              <w:top w:val="nil" w:sz="6" w:space="0" w:color="auto"/>
              <w:left w:val="nil" w:sz="6" w:space="0" w:color="auto"/>
              <w:bottom w:val="single" w:sz="4" w:space="0" w:color="000000"/>
              <w:right w:val="nil" w:sz="6" w:space="0" w:color="auto"/>
            </w:tcBorders>
          </w:tcPr>
          <w:p>
            <w:pPr/>
          </w:p>
        </w:tc>
      </w:tr>
      <w:tr>
        <w:trPr>
          <w:trHeight w:val="380" w:hRule="exact"/>
        </w:trPr>
        <w:tc>
          <w:tcPr>
            <w:tcW w:w="1316" w:type="dxa"/>
            <w:tcBorders>
              <w:top w:val="nil" w:sz="6" w:space="0" w:color="auto"/>
              <w:left w:val="nil" w:sz="6" w:space="0" w:color="auto"/>
              <w:bottom w:val="nil" w:sz="6" w:space="0" w:color="auto"/>
              <w:right w:val="nil" w:sz="6" w:space="0" w:color="auto"/>
            </w:tcBorders>
          </w:tcPr>
          <w:p>
            <w:pPr/>
          </w:p>
        </w:tc>
        <w:tc>
          <w:tcPr>
            <w:tcW w:w="1074" w:type="dxa"/>
            <w:tcBorders>
              <w:top w:val="single" w:sz="4" w:space="0" w:color="000000"/>
              <w:left w:val="nil" w:sz="6" w:space="0" w:color="auto"/>
              <w:bottom w:val="nil" w:sz="6" w:space="0" w:color="auto"/>
              <w:right w:val="nil" w:sz="6" w:space="0" w:color="auto"/>
            </w:tcBorders>
          </w:tcPr>
          <w:p>
            <w:pPr>
              <w:pStyle w:val="TableParagraph"/>
              <w:spacing w:line="215" w:lineRule="exact"/>
              <w:ind w:right="59"/>
              <w:jc w:val="right"/>
              <w:rPr>
                <w:rFonts w:ascii="黑体" w:hAnsi="黑体" w:cs="黑体" w:eastAsia="黑体" w:hint="default"/>
                <w:sz w:val="20"/>
                <w:szCs w:val="20"/>
              </w:rPr>
            </w:pPr>
            <w:r>
              <w:rPr>
                <w:rFonts w:ascii="黑体" w:hAnsi="黑体" w:cs="黑体" w:eastAsia="黑体" w:hint="default"/>
                <w:w w:val="95"/>
                <w:sz w:val="20"/>
                <w:szCs w:val="20"/>
              </w:rPr>
              <w:t>账面余额</w:t>
            </w:r>
            <w:r>
              <w:rPr>
                <w:rFonts w:ascii="黑体" w:hAnsi="黑体" w:cs="黑体" w:eastAsia="黑体" w:hint="default"/>
                <w:sz w:val="20"/>
                <w:szCs w:val="20"/>
              </w:rPr>
            </w:r>
          </w:p>
        </w:tc>
        <w:tc>
          <w:tcPr>
            <w:tcW w:w="1040" w:type="dxa"/>
            <w:tcBorders>
              <w:top w:val="single" w:sz="4" w:space="0" w:color="000000"/>
              <w:left w:val="nil" w:sz="6" w:space="0" w:color="auto"/>
              <w:bottom w:val="nil" w:sz="6" w:space="0" w:color="auto"/>
              <w:right w:val="nil" w:sz="6" w:space="0" w:color="auto"/>
            </w:tcBorders>
          </w:tcPr>
          <w:p>
            <w:pPr>
              <w:pStyle w:val="TableParagraph"/>
              <w:spacing w:line="215" w:lineRule="exact"/>
              <w:ind w:right="180"/>
              <w:jc w:val="right"/>
              <w:rPr>
                <w:rFonts w:ascii="黑体" w:hAnsi="黑体" w:cs="黑体" w:eastAsia="黑体" w:hint="default"/>
                <w:sz w:val="20"/>
                <w:szCs w:val="20"/>
              </w:rPr>
            </w:pPr>
            <w:r>
              <w:rPr>
                <w:rFonts w:ascii="黑体" w:hAnsi="黑体" w:cs="黑体" w:eastAsia="黑体" w:hint="default"/>
                <w:w w:val="95"/>
                <w:sz w:val="20"/>
                <w:szCs w:val="20"/>
              </w:rPr>
              <w:t>跌价准备</w:t>
            </w:r>
            <w:r>
              <w:rPr>
                <w:rFonts w:ascii="黑体" w:hAnsi="黑体" w:cs="黑体" w:eastAsia="黑体" w:hint="default"/>
                <w:sz w:val="20"/>
                <w:szCs w:val="20"/>
              </w:rPr>
            </w:r>
          </w:p>
        </w:tc>
        <w:tc>
          <w:tcPr>
            <w:tcW w:w="1169" w:type="dxa"/>
            <w:tcBorders>
              <w:top w:val="single" w:sz="4" w:space="0" w:color="000000"/>
              <w:left w:val="nil" w:sz="6" w:space="0" w:color="auto"/>
              <w:bottom w:val="nil" w:sz="6" w:space="0" w:color="auto"/>
              <w:right w:val="nil" w:sz="6" w:space="0" w:color="auto"/>
            </w:tcBorders>
          </w:tcPr>
          <w:p>
            <w:pPr>
              <w:pStyle w:val="TableParagraph"/>
              <w:spacing w:line="215" w:lineRule="exact"/>
              <w:ind w:right="11"/>
              <w:jc w:val="right"/>
              <w:rPr>
                <w:rFonts w:ascii="黑体" w:hAnsi="黑体" w:cs="黑体" w:eastAsia="黑体" w:hint="default"/>
                <w:sz w:val="20"/>
                <w:szCs w:val="20"/>
              </w:rPr>
            </w:pPr>
            <w:r>
              <w:rPr>
                <w:rFonts w:ascii="黑体" w:hAnsi="黑体" w:cs="黑体" w:eastAsia="黑体" w:hint="default"/>
                <w:w w:val="95"/>
                <w:sz w:val="20"/>
                <w:szCs w:val="20"/>
              </w:rPr>
              <w:t>账面价值</w:t>
            </w:r>
            <w:r>
              <w:rPr>
                <w:rFonts w:ascii="黑体" w:hAnsi="黑体" w:cs="黑体" w:eastAsia="黑体" w:hint="default"/>
                <w:sz w:val="20"/>
                <w:szCs w:val="20"/>
              </w:rPr>
            </w:r>
          </w:p>
        </w:tc>
        <w:tc>
          <w:tcPr>
            <w:tcW w:w="310" w:type="dxa"/>
            <w:tcBorders>
              <w:top w:val="nil" w:sz="6" w:space="0" w:color="auto"/>
              <w:left w:val="nil" w:sz="6" w:space="0" w:color="auto"/>
              <w:bottom w:val="nil" w:sz="6" w:space="0" w:color="auto"/>
              <w:right w:val="nil" w:sz="6" w:space="0" w:color="auto"/>
            </w:tcBorders>
          </w:tcPr>
          <w:p>
            <w:pPr/>
          </w:p>
        </w:tc>
        <w:tc>
          <w:tcPr>
            <w:tcW w:w="1074" w:type="dxa"/>
            <w:tcBorders>
              <w:top w:val="single" w:sz="4" w:space="0" w:color="000000"/>
              <w:left w:val="nil" w:sz="6" w:space="0" w:color="auto"/>
              <w:bottom w:val="nil" w:sz="6" w:space="0" w:color="auto"/>
              <w:right w:val="nil" w:sz="6" w:space="0" w:color="auto"/>
            </w:tcBorders>
          </w:tcPr>
          <w:p>
            <w:pPr>
              <w:pStyle w:val="TableParagraph"/>
              <w:spacing w:line="215" w:lineRule="exact"/>
              <w:ind w:right="66"/>
              <w:jc w:val="right"/>
              <w:rPr>
                <w:rFonts w:ascii="黑体" w:hAnsi="黑体" w:cs="黑体" w:eastAsia="黑体" w:hint="default"/>
                <w:sz w:val="20"/>
                <w:szCs w:val="20"/>
              </w:rPr>
            </w:pPr>
            <w:r>
              <w:rPr>
                <w:rFonts w:ascii="黑体" w:hAnsi="黑体" w:cs="黑体" w:eastAsia="黑体" w:hint="default"/>
                <w:w w:val="95"/>
                <w:sz w:val="20"/>
                <w:szCs w:val="20"/>
              </w:rPr>
              <w:t>账面余额</w:t>
            </w:r>
            <w:r>
              <w:rPr>
                <w:rFonts w:ascii="黑体" w:hAnsi="黑体" w:cs="黑体" w:eastAsia="黑体" w:hint="default"/>
                <w:sz w:val="20"/>
                <w:szCs w:val="20"/>
              </w:rPr>
            </w:r>
          </w:p>
        </w:tc>
        <w:tc>
          <w:tcPr>
            <w:tcW w:w="981" w:type="dxa"/>
            <w:tcBorders>
              <w:top w:val="single" w:sz="4" w:space="0" w:color="000000"/>
              <w:left w:val="nil" w:sz="6" w:space="0" w:color="auto"/>
              <w:bottom w:val="nil" w:sz="6" w:space="0" w:color="auto"/>
              <w:right w:val="nil" w:sz="6" w:space="0" w:color="auto"/>
            </w:tcBorders>
          </w:tcPr>
          <w:p>
            <w:pPr>
              <w:pStyle w:val="TableParagraph"/>
              <w:spacing w:line="215" w:lineRule="exact"/>
              <w:ind w:left="68" w:right="0"/>
              <w:jc w:val="left"/>
              <w:rPr>
                <w:rFonts w:ascii="黑体" w:hAnsi="黑体" w:cs="黑体" w:eastAsia="黑体" w:hint="default"/>
                <w:sz w:val="20"/>
                <w:szCs w:val="20"/>
              </w:rPr>
            </w:pPr>
            <w:r>
              <w:rPr>
                <w:rFonts w:ascii="黑体" w:hAnsi="黑体" w:cs="黑体" w:eastAsia="黑体" w:hint="default"/>
                <w:sz w:val="20"/>
                <w:szCs w:val="20"/>
              </w:rPr>
              <w:t>跌价准备</w:t>
            </w:r>
          </w:p>
        </w:tc>
        <w:tc>
          <w:tcPr>
            <w:tcW w:w="1014" w:type="dxa"/>
            <w:tcBorders>
              <w:top w:val="single" w:sz="4" w:space="0" w:color="000000"/>
              <w:left w:val="nil" w:sz="6" w:space="0" w:color="auto"/>
              <w:bottom w:val="nil" w:sz="6" w:space="0" w:color="auto"/>
              <w:right w:val="nil" w:sz="6" w:space="0" w:color="auto"/>
            </w:tcBorders>
          </w:tcPr>
          <w:p>
            <w:pPr>
              <w:pStyle w:val="TableParagraph"/>
              <w:spacing w:line="215" w:lineRule="exact"/>
              <w:ind w:left="188" w:right="0"/>
              <w:jc w:val="center"/>
              <w:rPr>
                <w:rFonts w:ascii="黑体" w:hAnsi="黑体" w:cs="黑体" w:eastAsia="黑体" w:hint="default"/>
                <w:sz w:val="20"/>
                <w:szCs w:val="20"/>
              </w:rPr>
            </w:pPr>
            <w:r>
              <w:rPr>
                <w:rFonts w:ascii="黑体" w:hAnsi="黑体" w:cs="黑体" w:eastAsia="黑体" w:hint="default"/>
                <w:sz w:val="20"/>
                <w:szCs w:val="20"/>
              </w:rPr>
              <w:t>账面价值</w:t>
            </w:r>
          </w:p>
        </w:tc>
      </w:tr>
      <w:tr>
        <w:trPr>
          <w:trHeight w:val="392" w:hRule="exact"/>
        </w:trPr>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00" w:right="0"/>
              <w:jc w:val="left"/>
              <w:rPr>
                <w:rFonts w:ascii="黑体" w:hAnsi="黑体" w:cs="黑体" w:eastAsia="黑体" w:hint="default"/>
                <w:sz w:val="20"/>
                <w:szCs w:val="20"/>
              </w:rPr>
            </w:pPr>
            <w:r>
              <w:rPr>
                <w:rFonts w:ascii="黑体" w:hAnsi="黑体" w:cs="黑体" w:eastAsia="黑体" w:hint="default"/>
                <w:sz w:val="20"/>
                <w:szCs w:val="20"/>
              </w:rPr>
              <w:t>原材料</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59"/>
              <w:jc w:val="right"/>
              <w:rPr>
                <w:rFonts w:ascii="Arial" w:hAnsi="Arial" w:cs="Arial" w:eastAsia="Arial" w:hint="default"/>
                <w:sz w:val="20"/>
                <w:szCs w:val="20"/>
              </w:rPr>
            </w:pPr>
            <w:r>
              <w:rPr>
                <w:rFonts w:ascii="Arial"/>
                <w:spacing w:val="-1"/>
                <w:w w:val="95"/>
                <w:sz w:val="20"/>
              </w:rPr>
              <w:t>369,591</w:t>
            </w:r>
            <w:r>
              <w:rPr>
                <w:rFonts w:ascii="Arial"/>
                <w:sz w:val="20"/>
              </w:rPr>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78"/>
              <w:jc w:val="right"/>
              <w:rPr>
                <w:rFonts w:ascii="Arial" w:hAnsi="Arial" w:cs="Arial" w:eastAsia="Arial" w:hint="default"/>
                <w:sz w:val="20"/>
                <w:szCs w:val="20"/>
              </w:rPr>
            </w:pPr>
            <w:r>
              <w:rPr>
                <w:rFonts w:ascii="Arial"/>
                <w:w w:val="99"/>
                <w:sz w:val="20"/>
              </w:rPr>
              <w:t>-</w:t>
            </w:r>
            <w:r>
              <w:rPr>
                <w:rFonts w:ascii="Arial"/>
                <w:sz w:val="20"/>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0"/>
              <w:jc w:val="right"/>
              <w:rPr>
                <w:rFonts w:ascii="Arial" w:hAnsi="Arial" w:cs="Arial" w:eastAsia="Arial" w:hint="default"/>
                <w:sz w:val="20"/>
                <w:szCs w:val="20"/>
              </w:rPr>
            </w:pPr>
            <w:r>
              <w:rPr>
                <w:rFonts w:ascii="Arial"/>
                <w:spacing w:val="-1"/>
                <w:w w:val="95"/>
                <w:sz w:val="20"/>
              </w:rPr>
              <w:t>369,591</w:t>
            </w:r>
            <w:r>
              <w:rPr>
                <w:rFonts w:ascii="Arial"/>
                <w:sz w:val="20"/>
              </w:rPr>
            </w:r>
          </w:p>
        </w:tc>
        <w:tc>
          <w:tcPr>
            <w:tcW w:w="310" w:type="dxa"/>
            <w:tcBorders>
              <w:top w:val="nil" w:sz="6" w:space="0" w:color="auto"/>
              <w:left w:val="nil" w:sz="6" w:space="0" w:color="auto"/>
              <w:bottom w:val="nil" w:sz="6" w:space="0" w:color="auto"/>
              <w:right w:val="nil" w:sz="6" w:space="0" w:color="auto"/>
            </w:tcBorders>
          </w:tcPr>
          <w:p>
            <w:pP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66"/>
              <w:jc w:val="right"/>
              <w:rPr>
                <w:rFonts w:ascii="Arial" w:hAnsi="Arial" w:cs="Arial" w:eastAsia="Arial" w:hint="default"/>
                <w:sz w:val="20"/>
                <w:szCs w:val="20"/>
              </w:rPr>
            </w:pPr>
            <w:r>
              <w:rPr>
                <w:rFonts w:ascii="Arial"/>
                <w:spacing w:val="-1"/>
                <w:sz w:val="20"/>
              </w:rPr>
              <w:t>1,473,293</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12"/>
              <w:jc w:val="right"/>
              <w:rPr>
                <w:rFonts w:ascii="Arial" w:hAnsi="Arial" w:cs="Arial" w:eastAsia="Arial" w:hint="default"/>
                <w:sz w:val="20"/>
                <w:szCs w:val="20"/>
              </w:rPr>
            </w:pPr>
            <w:r>
              <w:rPr>
                <w:rFonts w:ascii="Arial"/>
                <w:w w:val="99"/>
                <w:sz w:val="20"/>
              </w:rPr>
              <w:t>-</w:t>
            </w:r>
            <w:r>
              <w:rPr>
                <w:rFonts w:ascii="Arial"/>
                <w:sz w:val="20"/>
              </w:rPr>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97" w:right="0"/>
              <w:jc w:val="center"/>
              <w:rPr>
                <w:rFonts w:ascii="Arial" w:hAnsi="Arial" w:cs="Arial" w:eastAsia="Arial" w:hint="default"/>
                <w:sz w:val="20"/>
                <w:szCs w:val="20"/>
              </w:rPr>
            </w:pPr>
            <w:r>
              <w:rPr>
                <w:rFonts w:ascii="Arial"/>
                <w:sz w:val="20"/>
              </w:rPr>
              <w:t>1,473,293</w:t>
            </w:r>
          </w:p>
        </w:tc>
      </w:tr>
      <w:tr>
        <w:trPr>
          <w:trHeight w:val="367" w:hRule="exact"/>
        </w:trPr>
        <w:tc>
          <w:tcPr>
            <w:tcW w:w="1316" w:type="dxa"/>
            <w:tcBorders>
              <w:top w:val="nil" w:sz="6" w:space="0" w:color="auto"/>
              <w:left w:val="nil" w:sz="6" w:space="0" w:color="auto"/>
              <w:bottom w:val="nil" w:sz="6" w:space="0" w:color="auto"/>
              <w:right w:val="nil" w:sz="6" w:space="0" w:color="auto"/>
            </w:tcBorders>
          </w:tcPr>
          <w:p>
            <w:pPr>
              <w:pStyle w:val="TableParagraph"/>
              <w:spacing w:line="233" w:lineRule="exact"/>
              <w:ind w:left="200" w:right="0"/>
              <w:jc w:val="left"/>
              <w:rPr>
                <w:rFonts w:ascii="黑体" w:hAnsi="黑体" w:cs="黑体" w:eastAsia="黑体" w:hint="default"/>
                <w:sz w:val="20"/>
                <w:szCs w:val="20"/>
              </w:rPr>
            </w:pPr>
            <w:r>
              <w:rPr>
                <w:rFonts w:ascii="黑体" w:hAnsi="黑体" w:cs="黑体" w:eastAsia="黑体" w:hint="default"/>
                <w:sz w:val="20"/>
                <w:szCs w:val="20"/>
              </w:rPr>
              <w:t>库存商品</w:t>
            </w:r>
          </w:p>
        </w:tc>
        <w:tc>
          <w:tcPr>
            <w:tcW w:w="1074" w:type="dxa"/>
            <w:tcBorders>
              <w:top w:val="nil" w:sz="6" w:space="0" w:color="auto"/>
              <w:left w:val="nil" w:sz="6" w:space="0" w:color="auto"/>
              <w:bottom w:val="nil" w:sz="6" w:space="0" w:color="auto"/>
              <w:right w:val="nil" w:sz="6" w:space="0" w:color="auto"/>
            </w:tcBorders>
          </w:tcPr>
          <w:p>
            <w:pPr>
              <w:pStyle w:val="TableParagraph"/>
              <w:spacing w:line="225" w:lineRule="exact"/>
              <w:ind w:right="59"/>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w w:val="95"/>
                <w:sz w:val="20"/>
                <w:u w:val="single" w:color="000000"/>
              </w:rPr>
              <w:t>9,975,424</w:t>
            </w:r>
            <w:r>
              <w:rPr>
                <w:rFonts w:ascii="Arial"/>
                <w:spacing w:val="-1"/>
                <w:w w:val="95"/>
                <w:sz w:val="20"/>
              </w:rPr>
            </w:r>
            <w:r>
              <w:rPr>
                <w:rFonts w:ascii="Arial"/>
                <w:sz w:val="20"/>
              </w:rPr>
            </w:r>
          </w:p>
        </w:tc>
        <w:tc>
          <w:tcPr>
            <w:tcW w:w="1040" w:type="dxa"/>
            <w:tcBorders>
              <w:top w:val="nil" w:sz="6" w:space="0" w:color="auto"/>
              <w:left w:val="nil" w:sz="6" w:space="0" w:color="auto"/>
              <w:bottom w:val="nil" w:sz="6" w:space="0" w:color="auto"/>
              <w:right w:val="nil" w:sz="6" w:space="0" w:color="auto"/>
            </w:tcBorders>
          </w:tcPr>
          <w:p>
            <w:pPr>
              <w:pStyle w:val="TableParagraph"/>
              <w:tabs>
                <w:tab w:pos="700" w:val="left" w:leader="none"/>
              </w:tabs>
              <w:spacing w:line="225" w:lineRule="exact"/>
              <w:ind w:right="176"/>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169" w:type="dxa"/>
            <w:tcBorders>
              <w:top w:val="nil" w:sz="6" w:space="0" w:color="auto"/>
              <w:left w:val="nil" w:sz="6" w:space="0" w:color="auto"/>
              <w:bottom w:val="nil" w:sz="6" w:space="0" w:color="auto"/>
              <w:right w:val="nil" w:sz="6" w:space="0" w:color="auto"/>
            </w:tcBorders>
          </w:tcPr>
          <w:p>
            <w:pPr>
              <w:pStyle w:val="TableParagraph"/>
              <w:spacing w:line="225" w:lineRule="exact"/>
              <w:ind w:right="10"/>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w w:val="95"/>
                <w:sz w:val="20"/>
                <w:u w:val="single" w:color="000000"/>
              </w:rPr>
              <w:t>9,975,424</w:t>
            </w:r>
            <w:r>
              <w:rPr>
                <w:rFonts w:ascii="Arial"/>
                <w:spacing w:val="-1"/>
                <w:w w:val="95"/>
                <w:sz w:val="20"/>
              </w:rPr>
            </w:r>
            <w:r>
              <w:rPr>
                <w:rFonts w:ascii="Arial"/>
                <w:sz w:val="20"/>
              </w:rPr>
            </w:r>
          </w:p>
        </w:tc>
        <w:tc>
          <w:tcPr>
            <w:tcW w:w="310" w:type="dxa"/>
            <w:tcBorders>
              <w:top w:val="nil" w:sz="6" w:space="0" w:color="auto"/>
              <w:left w:val="nil" w:sz="6" w:space="0" w:color="auto"/>
              <w:bottom w:val="nil" w:sz="6" w:space="0" w:color="auto"/>
              <w:right w:val="nil" w:sz="6" w:space="0" w:color="auto"/>
            </w:tcBorders>
          </w:tcPr>
          <w:p>
            <w:pPr/>
          </w:p>
        </w:tc>
        <w:tc>
          <w:tcPr>
            <w:tcW w:w="1074" w:type="dxa"/>
            <w:tcBorders>
              <w:top w:val="nil" w:sz="6" w:space="0" w:color="auto"/>
              <w:left w:val="nil" w:sz="6" w:space="0" w:color="auto"/>
              <w:bottom w:val="nil" w:sz="6" w:space="0" w:color="auto"/>
              <w:right w:val="nil" w:sz="6" w:space="0" w:color="auto"/>
            </w:tcBorders>
          </w:tcPr>
          <w:p>
            <w:pPr>
              <w:pStyle w:val="TableParagraph"/>
              <w:spacing w:line="225" w:lineRule="exact"/>
              <w:ind w:right="66"/>
              <w:jc w:val="right"/>
              <w:rPr>
                <w:rFonts w:ascii="Arial" w:hAnsi="Arial" w:cs="Arial" w:eastAsia="Arial" w:hint="default"/>
                <w:sz w:val="20"/>
                <w:szCs w:val="20"/>
              </w:rPr>
            </w:pPr>
            <w:r>
              <w:rPr>
                <w:rFonts w:ascii="Arial"/>
                <w:w w:val="99"/>
                <w:sz w:val="20"/>
              </w:rPr>
            </w:r>
            <w:r>
              <w:rPr>
                <w:rFonts w:ascii="Arial"/>
                <w:spacing w:val="-1"/>
                <w:sz w:val="20"/>
                <w:u w:val="single" w:color="000000"/>
              </w:rPr>
              <w:t>6,257,565</w:t>
            </w:r>
            <w:r>
              <w:rPr>
                <w:rFonts w:ascii="Arial"/>
                <w:spacing w:val="-1"/>
                <w:sz w:val="20"/>
              </w:rPr>
            </w:r>
          </w:p>
        </w:tc>
        <w:tc>
          <w:tcPr>
            <w:tcW w:w="981" w:type="dxa"/>
            <w:tcBorders>
              <w:top w:val="nil" w:sz="6" w:space="0" w:color="auto"/>
              <w:left w:val="nil" w:sz="6" w:space="0" w:color="auto"/>
              <w:bottom w:val="nil" w:sz="6" w:space="0" w:color="auto"/>
              <w:right w:val="nil" w:sz="6" w:space="0" w:color="auto"/>
            </w:tcBorders>
          </w:tcPr>
          <w:p>
            <w:pPr>
              <w:pStyle w:val="TableParagraph"/>
              <w:tabs>
                <w:tab w:pos="802" w:val="left" w:leader="none"/>
              </w:tabs>
              <w:spacing w:line="225" w:lineRule="exact"/>
              <w:ind w:left="101" w:right="0"/>
              <w:jc w:val="lef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t>-</w:t>
            </w:r>
            <w:r>
              <w:rPr>
                <w:rFonts w:ascii="Arial"/>
                <w:sz w:val="20"/>
              </w:rPr>
            </w:r>
          </w:p>
        </w:tc>
        <w:tc>
          <w:tcPr>
            <w:tcW w:w="1014" w:type="dxa"/>
            <w:tcBorders>
              <w:top w:val="nil" w:sz="6" w:space="0" w:color="auto"/>
              <w:left w:val="nil" w:sz="6" w:space="0" w:color="auto"/>
              <w:bottom w:val="nil" w:sz="6" w:space="0" w:color="auto"/>
              <w:right w:val="nil" w:sz="6" w:space="0" w:color="auto"/>
            </w:tcBorders>
          </w:tcPr>
          <w:p>
            <w:pPr>
              <w:pStyle w:val="TableParagraph"/>
              <w:spacing w:line="225" w:lineRule="exact"/>
              <w:ind w:left="97" w:right="0"/>
              <w:jc w:val="center"/>
              <w:rPr>
                <w:rFonts w:ascii="Arial" w:hAnsi="Arial" w:cs="Arial" w:eastAsia="Arial" w:hint="default"/>
                <w:sz w:val="20"/>
                <w:szCs w:val="20"/>
              </w:rPr>
            </w:pPr>
            <w:r>
              <w:rPr>
                <w:rFonts w:ascii="Arial"/>
                <w:w w:val="99"/>
                <w:sz w:val="20"/>
              </w:rPr>
            </w:r>
            <w:r>
              <w:rPr>
                <w:rFonts w:ascii="Arial"/>
                <w:sz w:val="20"/>
                <w:u w:val="single" w:color="000000"/>
              </w:rPr>
              <w:t>6,257,565</w:t>
            </w:r>
            <w:r>
              <w:rPr>
                <w:rFonts w:ascii="Arial"/>
                <w:sz w:val="20"/>
              </w:rPr>
            </w:r>
          </w:p>
        </w:tc>
      </w:tr>
      <w:tr>
        <w:trPr>
          <w:trHeight w:val="346" w:hRule="exact"/>
        </w:trPr>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00" w:right="0"/>
              <w:jc w:val="left"/>
              <w:rPr>
                <w:rFonts w:ascii="黑体" w:hAnsi="黑体" w:cs="黑体" w:eastAsia="黑体" w:hint="default"/>
                <w:sz w:val="20"/>
                <w:szCs w:val="20"/>
              </w:rPr>
            </w:pPr>
            <w:r>
              <w:rPr>
                <w:rFonts w:ascii="黑体" w:hAnsi="黑体" w:cs="黑体" w:eastAsia="黑体" w:hint="default"/>
                <w:sz w:val="20"/>
                <w:szCs w:val="20"/>
              </w:rPr>
              <w:t>合计</w:t>
            </w: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59"/>
              <w:jc w:val="right"/>
              <w:rPr>
                <w:rFonts w:ascii="Arial" w:hAnsi="Arial" w:cs="Arial" w:eastAsia="Arial" w:hint="default"/>
                <w:sz w:val="20"/>
                <w:szCs w:val="20"/>
              </w:rPr>
            </w:pPr>
            <w:r>
              <w:rPr>
                <w:rFonts w:ascii="Arial"/>
                <w:w w:val="99"/>
                <w:sz w:val="20"/>
              </w:rPr>
            </w:r>
            <w:r>
              <w:rPr>
                <w:rFonts w:ascii="Arial"/>
                <w:spacing w:val="-1"/>
                <w:sz w:val="20"/>
                <w:u w:val="thick" w:color="000000"/>
              </w:rPr>
              <w:t>10,345,015</w:t>
            </w:r>
            <w:r>
              <w:rPr>
                <w:rFonts w:ascii="Arial"/>
                <w:spacing w:val="-1"/>
                <w:sz w:val="20"/>
              </w:rPr>
            </w:r>
            <w:r>
              <w:rPr>
                <w:rFonts w:ascii="Arial"/>
                <w:sz w:val="20"/>
              </w:rPr>
            </w:r>
          </w:p>
        </w:tc>
        <w:tc>
          <w:tcPr>
            <w:tcW w:w="1040" w:type="dxa"/>
            <w:tcBorders>
              <w:top w:val="nil" w:sz="6" w:space="0" w:color="auto"/>
              <w:left w:val="nil" w:sz="6" w:space="0" w:color="auto"/>
              <w:bottom w:val="nil" w:sz="6" w:space="0" w:color="auto"/>
              <w:right w:val="nil" w:sz="6" w:space="0" w:color="auto"/>
            </w:tcBorders>
          </w:tcPr>
          <w:p>
            <w:pPr>
              <w:pStyle w:val="TableParagraph"/>
              <w:tabs>
                <w:tab w:pos="700" w:val="left" w:leader="none"/>
              </w:tabs>
              <w:spacing w:line="240" w:lineRule="auto" w:before="108"/>
              <w:ind w:right="176"/>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w w:val="95"/>
                <w:sz w:val="20"/>
                <w:u w:val="thick" w:color="000000"/>
              </w:rPr>
              <w:t>-</w:t>
            </w:r>
            <w:r>
              <w:rPr>
                <w:rFonts w:ascii="Arial"/>
                <w:w w:val="95"/>
                <w:sz w:val="20"/>
              </w:rPr>
            </w:r>
            <w:r>
              <w:rPr>
                <w:rFonts w:ascii="Arial"/>
                <w:sz w:val="20"/>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0"/>
              <w:jc w:val="right"/>
              <w:rPr>
                <w:rFonts w:ascii="Arial" w:hAnsi="Arial" w:cs="Arial" w:eastAsia="Arial" w:hint="default"/>
                <w:sz w:val="20"/>
                <w:szCs w:val="20"/>
              </w:rPr>
            </w:pPr>
            <w:r>
              <w:rPr>
                <w:rFonts w:ascii="Arial"/>
                <w:w w:val="99"/>
                <w:sz w:val="20"/>
              </w:rPr>
            </w:r>
            <w:r>
              <w:rPr>
                <w:rFonts w:ascii="Arial"/>
                <w:spacing w:val="-1"/>
                <w:sz w:val="20"/>
                <w:u w:val="thick" w:color="000000"/>
              </w:rPr>
              <w:t>10,345,015</w:t>
            </w:r>
            <w:r>
              <w:rPr>
                <w:rFonts w:ascii="Arial"/>
                <w:spacing w:val="-1"/>
                <w:sz w:val="20"/>
              </w:rPr>
            </w:r>
            <w:r>
              <w:rPr>
                <w:rFonts w:ascii="Arial"/>
                <w:sz w:val="20"/>
              </w:rPr>
            </w:r>
          </w:p>
        </w:tc>
        <w:tc>
          <w:tcPr>
            <w:tcW w:w="310" w:type="dxa"/>
            <w:tcBorders>
              <w:top w:val="nil" w:sz="6" w:space="0" w:color="auto"/>
              <w:left w:val="nil" w:sz="6" w:space="0" w:color="auto"/>
              <w:bottom w:val="nil" w:sz="6" w:space="0" w:color="auto"/>
              <w:right w:val="nil" w:sz="6" w:space="0" w:color="auto"/>
            </w:tcBorders>
          </w:tcPr>
          <w:p>
            <w:pPr/>
          </w:p>
        </w:tc>
        <w:tc>
          <w:tcPr>
            <w:tcW w:w="1074"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66"/>
              <w:jc w:val="right"/>
              <w:rPr>
                <w:rFonts w:ascii="Arial" w:hAnsi="Arial" w:cs="Arial" w:eastAsia="Arial" w:hint="default"/>
                <w:sz w:val="20"/>
                <w:szCs w:val="20"/>
              </w:rPr>
            </w:pPr>
            <w:r>
              <w:rPr>
                <w:rFonts w:ascii="Arial"/>
                <w:w w:val="99"/>
                <w:sz w:val="20"/>
              </w:rPr>
            </w:r>
            <w:r>
              <w:rPr>
                <w:rFonts w:ascii="Arial"/>
                <w:spacing w:val="-1"/>
                <w:sz w:val="20"/>
                <w:u w:val="thick" w:color="000000"/>
              </w:rPr>
              <w:t>7,730,858</w:t>
            </w:r>
            <w:r>
              <w:rPr>
                <w:rFonts w:ascii="Arial"/>
                <w:spacing w:val="-1"/>
                <w:sz w:val="20"/>
              </w:rPr>
            </w:r>
          </w:p>
        </w:tc>
        <w:tc>
          <w:tcPr>
            <w:tcW w:w="981" w:type="dxa"/>
            <w:tcBorders>
              <w:top w:val="nil" w:sz="6" w:space="0" w:color="auto"/>
              <w:left w:val="nil" w:sz="6" w:space="0" w:color="auto"/>
              <w:bottom w:val="nil" w:sz="6" w:space="0" w:color="auto"/>
              <w:right w:val="nil" w:sz="6" w:space="0" w:color="auto"/>
            </w:tcBorders>
          </w:tcPr>
          <w:p>
            <w:pPr>
              <w:pStyle w:val="TableParagraph"/>
              <w:tabs>
                <w:tab w:pos="802" w:val="left" w:leader="none"/>
              </w:tabs>
              <w:spacing w:line="240" w:lineRule="auto" w:before="108"/>
              <w:ind w:left="101" w:right="0"/>
              <w:jc w:val="lef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t>-</w:t>
            </w:r>
            <w:r>
              <w:rPr>
                <w:rFonts w:ascii="Arial"/>
                <w:sz w:val="20"/>
              </w:rPr>
            </w:r>
          </w:p>
        </w:tc>
        <w:tc>
          <w:tcPr>
            <w:tcW w:w="1014"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97" w:right="0"/>
              <w:jc w:val="center"/>
              <w:rPr>
                <w:rFonts w:ascii="Arial" w:hAnsi="Arial" w:cs="Arial" w:eastAsia="Arial" w:hint="default"/>
                <w:sz w:val="20"/>
                <w:szCs w:val="20"/>
              </w:rPr>
            </w:pPr>
            <w:r>
              <w:rPr>
                <w:rFonts w:ascii="Arial"/>
                <w:w w:val="99"/>
                <w:sz w:val="20"/>
              </w:rPr>
            </w:r>
            <w:r>
              <w:rPr>
                <w:rFonts w:ascii="Arial"/>
                <w:sz w:val="20"/>
                <w:u w:val="thick" w:color="000000"/>
              </w:rPr>
              <w:t>7,730,858</w:t>
            </w:r>
            <w:r>
              <w:rPr>
                <w:rFonts w:ascii="Arial"/>
                <w:sz w:val="20"/>
              </w:rPr>
            </w:r>
          </w:p>
        </w:tc>
      </w:tr>
    </w:tbl>
    <w:p>
      <w:pPr>
        <w:spacing w:line="240" w:lineRule="auto" w:before="0"/>
        <w:rPr>
          <w:rFonts w:ascii="黑体" w:hAnsi="黑体" w:cs="黑体" w:eastAsia="黑体" w:hint="default"/>
          <w:sz w:val="20"/>
          <w:szCs w:val="20"/>
        </w:rPr>
      </w:pPr>
    </w:p>
    <w:p>
      <w:pPr>
        <w:pStyle w:val="BodyText"/>
        <w:spacing w:line="240" w:lineRule="auto" w:before="175"/>
        <w:ind w:left="809" w:right="194"/>
        <w:jc w:val="left"/>
      </w:pP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日无存货所有权受到限制（</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日：无）。</w:t>
      </w:r>
    </w:p>
    <w:p>
      <w:pPr>
        <w:spacing w:line="240" w:lineRule="auto" w:before="8"/>
        <w:rPr>
          <w:rFonts w:ascii="黑体" w:hAnsi="黑体" w:cs="黑体" w:eastAsia="黑体" w:hint="default"/>
          <w:sz w:val="15"/>
          <w:szCs w:val="15"/>
        </w:rPr>
      </w:pPr>
    </w:p>
    <w:p>
      <w:pPr>
        <w:pStyle w:val="Heading6"/>
        <w:tabs>
          <w:tab w:pos="641" w:val="left" w:leader="none"/>
        </w:tabs>
        <w:spacing w:line="240" w:lineRule="auto" w:before="0"/>
        <w:ind w:right="3627"/>
        <w:jc w:val="left"/>
        <w:rPr>
          <w:b w:val="0"/>
          <w:bCs w:val="0"/>
        </w:rPr>
      </w:pPr>
      <w:r>
        <w:rPr>
          <w:rFonts w:ascii="Arial" w:hAnsi="Arial" w:cs="Arial" w:eastAsia="Arial" w:hint="default"/>
          <w:spacing w:val="-1"/>
        </w:rPr>
        <w:t>7.</w:t>
        <w:tab/>
      </w:r>
      <w:r>
        <w:rPr>
          <w:spacing w:val="1"/>
        </w:rPr>
        <w:t>其他流动资产</w:t>
      </w:r>
      <w:r>
        <w:rPr>
          <w:b w:val="0"/>
          <w:bCs w:val="0"/>
        </w:rPr>
      </w:r>
    </w:p>
    <w:p>
      <w:pPr>
        <w:spacing w:line="240" w:lineRule="auto" w:before="12"/>
        <w:rPr>
          <w:rFonts w:ascii="黑体" w:hAnsi="黑体" w:cs="黑体" w:eastAsia="黑体" w:hint="default"/>
          <w:b/>
          <w:bCs/>
          <w:sz w:val="4"/>
          <w:szCs w:val="4"/>
        </w:rPr>
      </w:pPr>
    </w:p>
    <w:tbl>
      <w:tblPr>
        <w:tblW w:w="0" w:type="auto"/>
        <w:jc w:val="left"/>
        <w:tblInd w:w="624" w:type="dxa"/>
        <w:tblLayout w:type="fixed"/>
        <w:tblCellMar>
          <w:top w:w="0" w:type="dxa"/>
          <w:left w:w="0" w:type="dxa"/>
          <w:bottom w:w="0" w:type="dxa"/>
          <w:right w:w="0" w:type="dxa"/>
        </w:tblCellMar>
        <w:tblLook w:val="01E0"/>
      </w:tblPr>
      <w:tblGrid>
        <w:gridCol w:w="3212"/>
        <w:gridCol w:w="3239"/>
        <w:gridCol w:w="1730"/>
      </w:tblGrid>
      <w:tr>
        <w:trPr>
          <w:trHeight w:val="232" w:hRule="exact"/>
        </w:trPr>
        <w:tc>
          <w:tcPr>
            <w:tcW w:w="3212" w:type="dxa"/>
            <w:tcBorders>
              <w:top w:val="nil" w:sz="6" w:space="0" w:color="auto"/>
              <w:left w:val="nil" w:sz="6" w:space="0" w:color="auto"/>
              <w:bottom w:val="nil" w:sz="6" w:space="0" w:color="auto"/>
              <w:right w:val="nil" w:sz="6" w:space="0" w:color="auto"/>
            </w:tcBorders>
          </w:tcPr>
          <w:p>
            <w:pPr/>
          </w:p>
        </w:tc>
        <w:tc>
          <w:tcPr>
            <w:tcW w:w="3239" w:type="dxa"/>
            <w:tcBorders>
              <w:top w:val="nil" w:sz="6" w:space="0" w:color="auto"/>
              <w:left w:val="nil" w:sz="6" w:space="0" w:color="auto"/>
              <w:bottom w:val="nil" w:sz="6" w:space="0" w:color="auto"/>
              <w:right w:val="nil" w:sz="6" w:space="0" w:color="auto"/>
            </w:tcBorders>
          </w:tcPr>
          <w:p>
            <w:pPr>
              <w:pStyle w:val="TableParagraph"/>
              <w:spacing w:line="214" w:lineRule="exact"/>
              <w:ind w:right="534"/>
              <w:jc w:val="right"/>
              <w:rPr>
                <w:rFonts w:ascii="黑体" w:hAnsi="黑体" w:cs="黑体" w:eastAsia="黑体" w:hint="default"/>
                <w:sz w:val="20"/>
                <w:szCs w:val="20"/>
              </w:rPr>
            </w:pPr>
            <w:r>
              <w:rPr>
                <w:rFonts w:ascii="Arial" w:hAnsi="Arial" w:cs="Arial" w:eastAsia="Arial" w:hint="default"/>
                <w:sz w:val="20"/>
                <w:szCs w:val="20"/>
              </w:rPr>
              <w:t>2012</w:t>
            </w:r>
            <w:r>
              <w:rPr>
                <w:rFonts w:ascii="Arial" w:hAnsi="Arial" w:cs="Arial" w:eastAsia="Arial" w:hint="default"/>
                <w:spacing w:val="-9"/>
                <w:sz w:val="20"/>
                <w:szCs w:val="20"/>
              </w:rPr>
              <w:t> </w:t>
            </w:r>
            <w:r>
              <w:rPr>
                <w:rFonts w:ascii="黑体" w:hAnsi="黑体" w:cs="黑体" w:eastAsia="黑体" w:hint="default"/>
                <w:sz w:val="20"/>
                <w:szCs w:val="20"/>
              </w:rPr>
              <w:t>年</w:t>
            </w:r>
          </w:p>
        </w:tc>
        <w:tc>
          <w:tcPr>
            <w:tcW w:w="1730" w:type="dxa"/>
            <w:tcBorders>
              <w:top w:val="nil" w:sz="6" w:space="0" w:color="auto"/>
              <w:left w:val="nil" w:sz="6" w:space="0" w:color="auto"/>
              <w:bottom w:val="nil" w:sz="6" w:space="0" w:color="auto"/>
              <w:right w:val="nil" w:sz="6" w:space="0" w:color="auto"/>
            </w:tcBorders>
          </w:tcPr>
          <w:p>
            <w:pPr>
              <w:pStyle w:val="TableParagraph"/>
              <w:spacing w:line="214" w:lineRule="exact"/>
              <w:ind w:right="198"/>
              <w:jc w:val="right"/>
              <w:rPr>
                <w:rFonts w:ascii="黑体" w:hAnsi="黑体" w:cs="黑体" w:eastAsia="黑体" w:hint="default"/>
                <w:sz w:val="20"/>
                <w:szCs w:val="20"/>
              </w:rPr>
            </w:pPr>
            <w:r>
              <w:rPr>
                <w:rFonts w:ascii="Arial" w:hAnsi="Arial" w:cs="Arial" w:eastAsia="Arial" w:hint="default"/>
                <w:sz w:val="20"/>
                <w:szCs w:val="20"/>
              </w:rPr>
              <w:t>2011</w:t>
            </w:r>
            <w:r>
              <w:rPr>
                <w:rFonts w:ascii="Arial" w:hAnsi="Arial" w:cs="Arial" w:eastAsia="Arial" w:hint="default"/>
                <w:spacing w:val="-9"/>
                <w:sz w:val="20"/>
                <w:szCs w:val="20"/>
              </w:rPr>
              <w:t> </w:t>
            </w:r>
            <w:r>
              <w:rPr>
                <w:rFonts w:ascii="黑体" w:hAnsi="黑体" w:cs="黑体" w:eastAsia="黑体" w:hint="default"/>
                <w:sz w:val="20"/>
                <w:szCs w:val="20"/>
              </w:rPr>
              <w:t>年</w:t>
            </w:r>
          </w:p>
        </w:tc>
      </w:tr>
      <w:tr>
        <w:trPr>
          <w:trHeight w:val="382" w:hRule="exact"/>
        </w:trPr>
        <w:tc>
          <w:tcPr>
            <w:tcW w:w="3212" w:type="dxa"/>
            <w:tcBorders>
              <w:top w:val="nil" w:sz="6" w:space="0" w:color="auto"/>
              <w:left w:val="nil" w:sz="6" w:space="0" w:color="auto"/>
              <w:bottom w:val="nil" w:sz="6" w:space="0" w:color="auto"/>
              <w:right w:val="nil" w:sz="6" w:space="0" w:color="auto"/>
            </w:tcBorders>
          </w:tcPr>
          <w:p>
            <w:pPr/>
          </w:p>
        </w:tc>
        <w:tc>
          <w:tcPr>
            <w:tcW w:w="3239" w:type="dxa"/>
            <w:tcBorders>
              <w:top w:val="nil" w:sz="6" w:space="0" w:color="auto"/>
              <w:left w:val="nil" w:sz="6" w:space="0" w:color="auto"/>
              <w:bottom w:val="nil" w:sz="6" w:space="0" w:color="auto"/>
              <w:right w:val="nil" w:sz="6" w:space="0" w:color="auto"/>
            </w:tcBorders>
          </w:tcPr>
          <w:p>
            <w:pPr>
              <w:pStyle w:val="TableParagraph"/>
              <w:spacing w:line="236" w:lineRule="exact"/>
              <w:ind w:right="534"/>
              <w:jc w:val="right"/>
              <w:rPr>
                <w:rFonts w:ascii="黑体" w:hAnsi="黑体" w:cs="黑体" w:eastAsia="黑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黑体" w:hAnsi="黑体" w:cs="黑体" w:eastAsia="黑体" w:hint="default"/>
                <w:sz w:val="20"/>
                <w:szCs w:val="20"/>
              </w:rPr>
              <w:t>月</w:t>
            </w:r>
            <w:r>
              <w:rPr>
                <w:rFonts w:ascii="黑体" w:hAnsi="黑体" w:cs="黑体" w:eastAsia="黑体" w:hint="default"/>
                <w:spacing w:val="-52"/>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黑体" w:hAnsi="黑体" w:cs="黑体" w:eastAsia="黑体" w:hint="default"/>
                <w:sz w:val="20"/>
                <w:szCs w:val="20"/>
              </w:rPr>
              <w:t>日</w:t>
            </w:r>
          </w:p>
        </w:tc>
        <w:tc>
          <w:tcPr>
            <w:tcW w:w="1730" w:type="dxa"/>
            <w:tcBorders>
              <w:top w:val="nil" w:sz="6" w:space="0" w:color="auto"/>
              <w:left w:val="nil" w:sz="6" w:space="0" w:color="auto"/>
              <w:bottom w:val="nil" w:sz="6" w:space="0" w:color="auto"/>
              <w:right w:val="nil" w:sz="6" w:space="0" w:color="auto"/>
            </w:tcBorders>
          </w:tcPr>
          <w:p>
            <w:pPr>
              <w:pStyle w:val="TableParagraph"/>
              <w:spacing w:line="236" w:lineRule="exact"/>
              <w:ind w:right="198"/>
              <w:jc w:val="right"/>
              <w:rPr>
                <w:rFonts w:ascii="黑体" w:hAnsi="黑体" w:cs="黑体" w:eastAsia="黑体" w:hint="default"/>
                <w:sz w:val="20"/>
                <w:szCs w:val="20"/>
              </w:rPr>
            </w:pPr>
            <w:r>
              <w:rPr>
                <w:rFonts w:ascii="Arial" w:hAnsi="Arial" w:cs="Arial" w:eastAsia="Arial" w:hint="default"/>
                <w:sz w:val="20"/>
                <w:szCs w:val="20"/>
              </w:rPr>
              <w:t>12</w:t>
            </w:r>
            <w:r>
              <w:rPr>
                <w:rFonts w:ascii="Arial" w:hAnsi="Arial" w:cs="Arial" w:eastAsia="Arial" w:hint="default"/>
                <w:spacing w:val="-8"/>
                <w:sz w:val="20"/>
                <w:szCs w:val="20"/>
              </w:rPr>
              <w:t> </w:t>
            </w:r>
            <w:r>
              <w:rPr>
                <w:rFonts w:ascii="黑体" w:hAnsi="黑体" w:cs="黑体" w:eastAsia="黑体" w:hint="default"/>
                <w:sz w:val="20"/>
                <w:szCs w:val="20"/>
              </w:rPr>
              <w:t>月</w:t>
            </w:r>
            <w:r>
              <w:rPr>
                <w:rFonts w:ascii="黑体" w:hAnsi="黑体" w:cs="黑体" w:eastAsia="黑体" w:hint="default"/>
                <w:spacing w:val="-52"/>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黑体" w:hAnsi="黑体" w:cs="黑体" w:eastAsia="黑体" w:hint="default"/>
                <w:sz w:val="20"/>
                <w:szCs w:val="20"/>
              </w:rPr>
              <w:t>日</w:t>
            </w:r>
          </w:p>
        </w:tc>
      </w:tr>
      <w:tr>
        <w:trPr>
          <w:trHeight w:val="383" w:hRule="exact"/>
        </w:trPr>
        <w:tc>
          <w:tcPr>
            <w:tcW w:w="3212"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0" w:right="0"/>
              <w:jc w:val="left"/>
              <w:rPr>
                <w:rFonts w:ascii="黑体" w:hAnsi="黑体" w:cs="黑体" w:eastAsia="黑体" w:hint="default"/>
                <w:sz w:val="20"/>
                <w:szCs w:val="20"/>
              </w:rPr>
            </w:pPr>
            <w:r>
              <w:rPr>
                <w:rFonts w:ascii="黑体" w:hAnsi="黑体" w:cs="黑体" w:eastAsia="黑体" w:hint="default"/>
                <w:sz w:val="20"/>
                <w:szCs w:val="20"/>
              </w:rPr>
              <w:t>待摊房租费用</w:t>
            </w:r>
          </w:p>
        </w:tc>
        <w:tc>
          <w:tcPr>
            <w:tcW w:w="3239"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534"/>
              <w:jc w:val="right"/>
              <w:rPr>
                <w:rFonts w:ascii="Arial" w:hAnsi="Arial" w:cs="Arial" w:eastAsia="Arial" w:hint="default"/>
                <w:sz w:val="20"/>
                <w:szCs w:val="20"/>
              </w:rPr>
            </w:pPr>
            <w:r>
              <w:rPr>
                <w:rFonts w:ascii="Arial"/>
                <w:spacing w:val="-1"/>
                <w:sz w:val="20"/>
              </w:rPr>
              <w:t>2,018,807</w:t>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99"/>
              <w:jc w:val="right"/>
              <w:rPr>
                <w:rFonts w:ascii="Arial" w:hAnsi="Arial" w:cs="Arial" w:eastAsia="Arial" w:hint="default"/>
                <w:sz w:val="20"/>
                <w:szCs w:val="20"/>
              </w:rPr>
            </w:pPr>
            <w:r>
              <w:rPr>
                <w:rFonts w:ascii="Arial"/>
                <w:spacing w:val="-1"/>
                <w:sz w:val="20"/>
              </w:rPr>
              <w:t>1,477,786</w:t>
            </w:r>
          </w:p>
        </w:tc>
      </w:tr>
      <w:tr>
        <w:trPr>
          <w:trHeight w:val="388" w:hRule="exact"/>
        </w:trPr>
        <w:tc>
          <w:tcPr>
            <w:tcW w:w="3212" w:type="dxa"/>
            <w:tcBorders>
              <w:top w:val="nil" w:sz="6" w:space="0" w:color="auto"/>
              <w:left w:val="nil" w:sz="6" w:space="0" w:color="auto"/>
              <w:bottom w:val="nil" w:sz="6" w:space="0" w:color="auto"/>
              <w:right w:val="nil" w:sz="6" w:space="0" w:color="auto"/>
            </w:tcBorders>
          </w:tcPr>
          <w:p>
            <w:pPr>
              <w:pStyle w:val="TableParagraph"/>
              <w:spacing w:line="223" w:lineRule="exact"/>
              <w:ind w:left="200" w:right="0"/>
              <w:jc w:val="left"/>
              <w:rPr>
                <w:rFonts w:ascii="黑体" w:hAnsi="黑体" w:cs="黑体" w:eastAsia="黑体" w:hint="default"/>
                <w:sz w:val="20"/>
                <w:szCs w:val="20"/>
              </w:rPr>
            </w:pPr>
            <w:r>
              <w:rPr>
                <w:rFonts w:ascii="黑体" w:hAnsi="黑体" w:cs="黑体" w:eastAsia="黑体" w:hint="default"/>
                <w:sz w:val="20"/>
                <w:szCs w:val="20"/>
              </w:rPr>
              <w:t>其他待摊费用</w:t>
            </w:r>
          </w:p>
        </w:tc>
        <w:tc>
          <w:tcPr>
            <w:tcW w:w="323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34"/>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15"/>
                <w:sz w:val="20"/>
                <w:u w:val="single" w:color="000000"/>
              </w:rPr>
              <w:t> </w:t>
            </w:r>
            <w:r>
              <w:rPr>
                <w:rFonts w:ascii="Arial"/>
                <w:spacing w:val="-1"/>
                <w:w w:val="95"/>
                <w:sz w:val="20"/>
                <w:u w:val="single" w:color="000000"/>
              </w:rPr>
              <w:t>269,298</w:t>
            </w:r>
            <w:r>
              <w:rPr>
                <w:rFonts w:ascii="Arial"/>
                <w:spacing w:val="-1"/>
                <w:w w:val="95"/>
                <w:sz w:val="20"/>
              </w:rPr>
            </w:r>
            <w:r>
              <w:rPr>
                <w:rFonts w:ascii="Arial"/>
                <w:sz w:val="20"/>
              </w:rPr>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15"/>
                <w:sz w:val="20"/>
                <w:u w:val="single" w:color="000000"/>
              </w:rPr>
              <w:t> </w:t>
            </w:r>
            <w:r>
              <w:rPr>
                <w:rFonts w:ascii="Arial"/>
                <w:spacing w:val="-1"/>
                <w:w w:val="95"/>
                <w:sz w:val="20"/>
                <w:u w:val="single" w:color="000000"/>
              </w:rPr>
              <w:t>384,277</w:t>
            </w:r>
            <w:r>
              <w:rPr>
                <w:rFonts w:ascii="Arial"/>
                <w:spacing w:val="-1"/>
                <w:w w:val="95"/>
                <w:sz w:val="20"/>
              </w:rPr>
            </w:r>
            <w:r>
              <w:rPr>
                <w:rFonts w:ascii="Arial"/>
                <w:sz w:val="20"/>
              </w:rPr>
            </w:r>
          </w:p>
        </w:tc>
      </w:tr>
      <w:tr>
        <w:trPr>
          <w:trHeight w:val="354" w:hRule="exact"/>
        </w:trPr>
        <w:tc>
          <w:tcPr>
            <w:tcW w:w="3212" w:type="dxa"/>
            <w:tcBorders>
              <w:top w:val="nil" w:sz="6" w:space="0" w:color="auto"/>
              <w:left w:val="nil" w:sz="6" w:space="0" w:color="auto"/>
              <w:bottom w:val="nil" w:sz="6" w:space="0" w:color="auto"/>
              <w:right w:val="nil" w:sz="6" w:space="0" w:color="auto"/>
            </w:tcBorders>
          </w:tcPr>
          <w:p>
            <w:pPr/>
          </w:p>
        </w:tc>
        <w:tc>
          <w:tcPr>
            <w:tcW w:w="323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534"/>
              <w:jc w:val="right"/>
              <w:rPr>
                <w:rFonts w:ascii="Arial" w:hAnsi="Arial" w:cs="Arial" w:eastAsia="Arial" w:hint="default"/>
                <w:sz w:val="20"/>
                <w:szCs w:val="20"/>
              </w:rPr>
            </w:pPr>
            <w:r>
              <w:rPr>
                <w:rFonts w:ascii="Arial"/>
                <w:w w:val="99"/>
                <w:sz w:val="20"/>
              </w:rPr>
            </w:r>
            <w:r>
              <w:rPr>
                <w:rFonts w:ascii="Arial"/>
                <w:spacing w:val="-1"/>
                <w:sz w:val="20"/>
                <w:u w:val="thick" w:color="000000"/>
              </w:rPr>
              <w:t>2,288,105</w:t>
            </w:r>
            <w:r>
              <w:rPr>
                <w:rFonts w:ascii="Arial"/>
                <w:spacing w:val="-1"/>
                <w:sz w:val="20"/>
              </w:rPr>
            </w:r>
          </w:p>
        </w:tc>
        <w:tc>
          <w:tcPr>
            <w:tcW w:w="173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99"/>
              <w:jc w:val="right"/>
              <w:rPr>
                <w:rFonts w:ascii="Arial" w:hAnsi="Arial" w:cs="Arial" w:eastAsia="Arial" w:hint="default"/>
                <w:sz w:val="20"/>
                <w:szCs w:val="20"/>
              </w:rPr>
            </w:pPr>
            <w:r>
              <w:rPr>
                <w:rFonts w:ascii="Arial"/>
                <w:w w:val="99"/>
                <w:sz w:val="20"/>
              </w:rPr>
            </w:r>
            <w:r>
              <w:rPr>
                <w:rFonts w:ascii="Arial"/>
                <w:spacing w:val="-1"/>
                <w:sz w:val="20"/>
                <w:u w:val="thick" w:color="000000"/>
              </w:rPr>
              <w:t>1,862,063</w:t>
            </w:r>
            <w:r>
              <w:rPr>
                <w:rFonts w:ascii="Arial"/>
                <w:spacing w:val="-1"/>
                <w:sz w:val="20"/>
              </w:rPr>
            </w:r>
          </w:p>
        </w:tc>
      </w:tr>
    </w:tbl>
    <w:p>
      <w:pPr>
        <w:spacing w:after="0" w:line="240" w:lineRule="auto"/>
        <w:jc w:val="right"/>
        <w:rPr>
          <w:rFonts w:ascii="Arial" w:hAnsi="Arial" w:cs="Arial" w:eastAsia="Arial" w:hint="default"/>
          <w:sz w:val="20"/>
          <w:szCs w:val="20"/>
        </w:rPr>
        <w:sectPr>
          <w:pgSz w:w="11910" w:h="16850"/>
          <w:pgMar w:header="957" w:footer="384" w:top="2560" w:bottom="580" w:left="1600" w:right="1400"/>
        </w:sectPr>
      </w:pPr>
    </w:p>
    <w:p>
      <w:pPr>
        <w:spacing w:line="240" w:lineRule="auto" w:before="10"/>
        <w:rPr>
          <w:rFonts w:ascii="黑体" w:hAnsi="黑体" w:cs="黑体" w:eastAsia="黑体" w:hint="default"/>
          <w:b/>
          <w:bCs/>
          <w:sz w:val="22"/>
          <w:szCs w:val="22"/>
        </w:rPr>
      </w:pPr>
    </w:p>
    <w:p>
      <w:pPr>
        <w:spacing w:line="20" w:lineRule="exact"/>
        <w:ind w:left="145" w:right="0" w:firstLine="0"/>
        <w:rPr>
          <w:rFonts w:ascii="黑体" w:hAnsi="黑体" w:cs="黑体" w:eastAsia="黑体" w:hint="default"/>
          <w:sz w:val="2"/>
          <w:szCs w:val="2"/>
        </w:rPr>
      </w:pPr>
      <w:r>
        <w:rPr>
          <w:rFonts w:ascii="黑体" w:hAnsi="黑体" w:cs="黑体" w:eastAsia="黑体" w:hint="default"/>
          <w:sz w:val="2"/>
          <w:szCs w:val="2"/>
        </w:rPr>
        <w:pict>
          <v:group style="width:728.85pt;height:.75pt;mso-position-horizontal-relative:char;mso-position-vertical-relative:line" coordorigin="0,0" coordsize="14577,15">
            <v:group style="position:absolute;left:8;top:8;width:14562;height:2" coordorigin="8,8" coordsize="14562,2">
              <v:shape style="position:absolute;left:8;top:8;width:14562;height:2" coordorigin="8,8" coordsize="14562,0" path="m8,8l14570,8e" filled="false" stroked="true" strokeweight=".75pt" strokecolor="#000000">
                <v:path arrowok="t"/>
              </v:shape>
            </v:group>
          </v:group>
        </w:pict>
      </w:r>
      <w:r>
        <w:rPr>
          <w:rFonts w:ascii="黑体" w:hAnsi="黑体" w:cs="黑体" w:eastAsia="黑体" w:hint="default"/>
          <w:sz w:val="2"/>
          <w:szCs w:val="2"/>
        </w:rPr>
      </w:r>
    </w:p>
    <w:p>
      <w:pPr>
        <w:spacing w:line="240" w:lineRule="auto" w:before="5"/>
        <w:rPr>
          <w:rFonts w:ascii="黑体" w:hAnsi="黑体" w:cs="黑体" w:eastAsia="黑体" w:hint="default"/>
          <w:b/>
          <w:bCs/>
          <w:sz w:val="10"/>
          <w:szCs w:val="10"/>
        </w:rPr>
      </w:pPr>
    </w:p>
    <w:p>
      <w:pPr>
        <w:pStyle w:val="Heading6"/>
        <w:spacing w:line="240" w:lineRule="auto"/>
        <w:ind w:left="112" w:right="296"/>
        <w:jc w:val="left"/>
        <w:rPr>
          <w:b w:val="0"/>
          <w:bCs w:val="0"/>
        </w:rPr>
      </w:pPr>
      <w:r>
        <w:rPr/>
        <w:t>十三、公司财务报表主要项目注释（续）</w:t>
      </w:r>
      <w:r>
        <w:rPr>
          <w:b w:val="0"/>
          <w:bCs w:val="0"/>
        </w:rPr>
      </w:r>
    </w:p>
    <w:p>
      <w:pPr>
        <w:spacing w:line="240" w:lineRule="auto" w:before="3"/>
        <w:rPr>
          <w:rFonts w:ascii="黑体" w:hAnsi="黑体" w:cs="黑体" w:eastAsia="黑体" w:hint="default"/>
          <w:b/>
          <w:bCs/>
          <w:sz w:val="15"/>
          <w:szCs w:val="15"/>
        </w:rPr>
      </w:pPr>
    </w:p>
    <w:p>
      <w:pPr>
        <w:pStyle w:val="Heading6"/>
        <w:tabs>
          <w:tab w:pos="633" w:val="left" w:leader="none"/>
        </w:tabs>
        <w:spacing w:line="240" w:lineRule="auto" w:before="0"/>
        <w:ind w:left="112" w:right="296"/>
        <w:jc w:val="left"/>
        <w:rPr>
          <w:b w:val="0"/>
          <w:bCs w:val="0"/>
        </w:rPr>
      </w:pPr>
      <w:r>
        <w:rPr>
          <w:rFonts w:ascii="Arial" w:hAnsi="Arial" w:cs="Arial" w:eastAsia="Arial" w:hint="default"/>
          <w:spacing w:val="-1"/>
        </w:rPr>
        <w:t>8.</w:t>
        <w:tab/>
      </w:r>
      <w:r>
        <w:rPr>
          <w:spacing w:val="1"/>
        </w:rPr>
        <w:t>长期股权投资</w:t>
      </w:r>
      <w:r>
        <w:rPr>
          <w:b w:val="0"/>
          <w:bCs w:val="0"/>
        </w:rPr>
      </w:r>
    </w:p>
    <w:p>
      <w:pPr>
        <w:spacing w:line="240" w:lineRule="auto" w:before="4"/>
        <w:rPr>
          <w:rFonts w:ascii="黑体" w:hAnsi="黑体" w:cs="黑体" w:eastAsia="黑体" w:hint="default"/>
          <w:b/>
          <w:bCs/>
          <w:sz w:val="16"/>
          <w:szCs w:val="16"/>
        </w:rPr>
      </w:pPr>
    </w:p>
    <w:p>
      <w:pPr>
        <w:pStyle w:val="BodyText"/>
        <w:spacing w:line="240" w:lineRule="auto"/>
        <w:ind w:left="103" w:right="12936"/>
        <w:jc w:val="center"/>
      </w:pPr>
      <w:r>
        <w:rPr>
          <w:rFonts w:ascii="Arial" w:hAnsi="Arial" w:cs="Arial" w:eastAsia="Arial" w:hint="default"/>
        </w:rPr>
        <w:t>2012</w:t>
      </w:r>
      <w:r>
        <w:rPr/>
        <w:t>年</w:t>
      </w:r>
    </w:p>
    <w:p>
      <w:pPr>
        <w:spacing w:line="240" w:lineRule="auto" w:before="7"/>
        <w:rPr>
          <w:rFonts w:ascii="黑体" w:hAnsi="黑体" w:cs="黑体" w:eastAsia="黑体" w:hint="default"/>
          <w:sz w:val="4"/>
          <w:szCs w:val="4"/>
        </w:rPr>
      </w:pPr>
    </w:p>
    <w:tbl>
      <w:tblPr>
        <w:tblW w:w="0" w:type="auto"/>
        <w:jc w:val="left"/>
        <w:tblInd w:w="472" w:type="dxa"/>
        <w:tblLayout w:type="fixed"/>
        <w:tblCellMar>
          <w:top w:w="0" w:type="dxa"/>
          <w:left w:w="0" w:type="dxa"/>
          <w:bottom w:w="0" w:type="dxa"/>
          <w:right w:w="0" w:type="dxa"/>
        </w:tblCellMar>
        <w:tblLook w:val="01E0"/>
      </w:tblPr>
      <w:tblGrid>
        <w:gridCol w:w="3579"/>
        <w:gridCol w:w="1257"/>
        <w:gridCol w:w="1250"/>
        <w:gridCol w:w="1039"/>
        <w:gridCol w:w="362"/>
        <w:gridCol w:w="1387"/>
        <w:gridCol w:w="965"/>
        <w:gridCol w:w="1127"/>
        <w:gridCol w:w="1162"/>
        <w:gridCol w:w="1068"/>
        <w:gridCol w:w="1107"/>
      </w:tblGrid>
      <w:tr>
        <w:trPr>
          <w:trHeight w:val="218" w:hRule="exact"/>
        </w:trPr>
        <w:tc>
          <w:tcPr>
            <w:tcW w:w="3579" w:type="dxa"/>
            <w:tcBorders>
              <w:top w:val="nil" w:sz="6" w:space="0" w:color="auto"/>
              <w:left w:val="nil" w:sz="6" w:space="0" w:color="auto"/>
              <w:bottom w:val="nil" w:sz="6" w:space="0" w:color="auto"/>
              <w:right w:val="nil" w:sz="6" w:space="0" w:color="auto"/>
            </w:tcBorders>
          </w:tcPr>
          <w:p>
            <w:pPr/>
          </w:p>
        </w:tc>
        <w:tc>
          <w:tcPr>
            <w:tcW w:w="1257" w:type="dxa"/>
            <w:tcBorders>
              <w:top w:val="nil" w:sz="6" w:space="0" w:color="auto"/>
              <w:left w:val="nil" w:sz="6" w:space="0" w:color="auto"/>
              <w:bottom w:val="nil" w:sz="6" w:space="0" w:color="auto"/>
              <w:right w:val="nil" w:sz="6" w:space="0" w:color="auto"/>
            </w:tcBorders>
          </w:tcPr>
          <w:p>
            <w:pPr>
              <w:pStyle w:val="TableParagraph"/>
              <w:spacing w:line="180" w:lineRule="exact"/>
              <w:ind w:right="121"/>
              <w:jc w:val="right"/>
              <w:rPr>
                <w:rFonts w:ascii="黑体" w:hAnsi="黑体" w:cs="黑体" w:eastAsia="黑体" w:hint="default"/>
                <w:sz w:val="18"/>
                <w:szCs w:val="18"/>
              </w:rPr>
            </w:pPr>
            <w:r>
              <w:rPr>
                <w:rFonts w:ascii="黑体" w:hAnsi="黑体" w:cs="黑体" w:eastAsia="黑体" w:hint="default"/>
                <w:sz w:val="18"/>
                <w:szCs w:val="18"/>
              </w:rPr>
              <w:t>投资成本</w:t>
            </w:r>
          </w:p>
        </w:tc>
        <w:tc>
          <w:tcPr>
            <w:tcW w:w="1250" w:type="dxa"/>
            <w:tcBorders>
              <w:top w:val="nil" w:sz="6" w:space="0" w:color="auto"/>
              <w:left w:val="nil" w:sz="6" w:space="0" w:color="auto"/>
              <w:bottom w:val="nil" w:sz="6" w:space="0" w:color="auto"/>
              <w:right w:val="nil" w:sz="6" w:space="0" w:color="auto"/>
            </w:tcBorders>
          </w:tcPr>
          <w:p>
            <w:pPr>
              <w:pStyle w:val="TableParagraph"/>
              <w:spacing w:line="180" w:lineRule="exact"/>
              <w:ind w:right="227"/>
              <w:jc w:val="right"/>
              <w:rPr>
                <w:rFonts w:ascii="黑体" w:hAnsi="黑体" w:cs="黑体" w:eastAsia="黑体" w:hint="default"/>
                <w:sz w:val="18"/>
                <w:szCs w:val="18"/>
              </w:rPr>
            </w:pPr>
            <w:r>
              <w:rPr>
                <w:rFonts w:ascii="黑体" w:hAnsi="黑体" w:cs="黑体" w:eastAsia="黑体" w:hint="default"/>
                <w:sz w:val="18"/>
                <w:szCs w:val="18"/>
              </w:rPr>
              <w:t>年初数</w:t>
            </w:r>
          </w:p>
        </w:tc>
        <w:tc>
          <w:tcPr>
            <w:tcW w:w="1039" w:type="dxa"/>
            <w:tcBorders>
              <w:top w:val="nil" w:sz="6" w:space="0" w:color="auto"/>
              <w:left w:val="nil" w:sz="6" w:space="0" w:color="auto"/>
              <w:bottom w:val="nil" w:sz="6" w:space="0" w:color="auto"/>
              <w:right w:val="nil" w:sz="6" w:space="0" w:color="auto"/>
            </w:tcBorders>
          </w:tcPr>
          <w:p>
            <w:pPr>
              <w:pStyle w:val="TableParagraph"/>
              <w:spacing w:line="180" w:lineRule="exact"/>
              <w:ind w:right="11"/>
              <w:jc w:val="right"/>
              <w:rPr>
                <w:rFonts w:ascii="黑体" w:hAnsi="黑体" w:cs="黑体" w:eastAsia="黑体" w:hint="default"/>
                <w:sz w:val="18"/>
                <w:szCs w:val="18"/>
              </w:rPr>
            </w:pPr>
            <w:r>
              <w:rPr>
                <w:rFonts w:ascii="黑体" w:hAnsi="黑体" w:cs="黑体" w:eastAsia="黑体" w:hint="default"/>
                <w:sz w:val="18"/>
                <w:szCs w:val="18"/>
              </w:rPr>
              <w:t>本年增减</w:t>
            </w:r>
          </w:p>
        </w:tc>
        <w:tc>
          <w:tcPr>
            <w:tcW w:w="362"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180" w:lineRule="exact"/>
              <w:ind w:right="157"/>
              <w:jc w:val="right"/>
              <w:rPr>
                <w:rFonts w:ascii="黑体" w:hAnsi="黑体" w:cs="黑体" w:eastAsia="黑体" w:hint="default"/>
                <w:sz w:val="18"/>
                <w:szCs w:val="18"/>
              </w:rPr>
            </w:pPr>
            <w:r>
              <w:rPr>
                <w:rFonts w:ascii="黑体" w:hAnsi="黑体" w:cs="黑体" w:eastAsia="黑体" w:hint="default"/>
                <w:sz w:val="18"/>
                <w:szCs w:val="18"/>
              </w:rPr>
              <w:t>年末数</w:t>
            </w:r>
          </w:p>
        </w:tc>
        <w:tc>
          <w:tcPr>
            <w:tcW w:w="965" w:type="dxa"/>
            <w:tcBorders>
              <w:top w:val="nil" w:sz="6" w:space="0" w:color="auto"/>
              <w:left w:val="nil" w:sz="6" w:space="0" w:color="auto"/>
              <w:bottom w:val="nil" w:sz="6" w:space="0" w:color="auto"/>
              <w:right w:val="nil" w:sz="6" w:space="0" w:color="auto"/>
            </w:tcBorders>
          </w:tcPr>
          <w:p>
            <w:pPr>
              <w:pStyle w:val="TableParagraph"/>
              <w:spacing w:line="180" w:lineRule="exact"/>
              <w:ind w:right="85"/>
              <w:jc w:val="right"/>
              <w:rPr>
                <w:rFonts w:ascii="黑体" w:hAnsi="黑体" w:cs="黑体" w:eastAsia="黑体" w:hint="default"/>
                <w:sz w:val="18"/>
                <w:szCs w:val="18"/>
              </w:rPr>
            </w:pPr>
            <w:r>
              <w:rPr>
                <w:rFonts w:ascii="黑体" w:hAnsi="黑体" w:cs="黑体" w:eastAsia="黑体" w:hint="default"/>
                <w:sz w:val="18"/>
                <w:szCs w:val="18"/>
              </w:rPr>
              <w:t>持股比例</w:t>
            </w:r>
          </w:p>
        </w:tc>
        <w:tc>
          <w:tcPr>
            <w:tcW w:w="1127" w:type="dxa"/>
            <w:tcBorders>
              <w:top w:val="nil" w:sz="6" w:space="0" w:color="auto"/>
              <w:left w:val="nil" w:sz="6" w:space="0" w:color="auto"/>
              <w:bottom w:val="nil" w:sz="6" w:space="0" w:color="auto"/>
              <w:right w:val="nil" w:sz="6" w:space="0" w:color="auto"/>
            </w:tcBorders>
          </w:tcPr>
          <w:p>
            <w:pPr>
              <w:pStyle w:val="TableParagraph"/>
              <w:spacing w:line="180" w:lineRule="exact"/>
              <w:ind w:right="139"/>
              <w:jc w:val="right"/>
              <w:rPr>
                <w:rFonts w:ascii="黑体" w:hAnsi="黑体" w:cs="黑体" w:eastAsia="黑体" w:hint="default"/>
                <w:sz w:val="18"/>
                <w:szCs w:val="18"/>
              </w:rPr>
            </w:pPr>
            <w:r>
              <w:rPr>
                <w:rFonts w:ascii="黑体" w:hAnsi="黑体" w:cs="黑体" w:eastAsia="黑体" w:hint="default"/>
                <w:sz w:val="18"/>
                <w:szCs w:val="18"/>
              </w:rPr>
              <w:t>表决权比例</w:t>
            </w:r>
          </w:p>
        </w:tc>
        <w:tc>
          <w:tcPr>
            <w:tcW w:w="1162" w:type="dxa"/>
            <w:tcBorders>
              <w:top w:val="nil" w:sz="6" w:space="0" w:color="auto"/>
              <w:left w:val="nil" w:sz="6" w:space="0" w:color="auto"/>
              <w:bottom w:val="nil" w:sz="6" w:space="0" w:color="auto"/>
              <w:right w:val="nil" w:sz="6" w:space="0" w:color="auto"/>
            </w:tcBorders>
          </w:tcPr>
          <w:p>
            <w:pPr>
              <w:pStyle w:val="TableParagraph"/>
              <w:spacing w:line="180" w:lineRule="exact"/>
              <w:ind w:right="305"/>
              <w:jc w:val="right"/>
              <w:rPr>
                <w:rFonts w:ascii="黑体" w:hAnsi="黑体" w:cs="黑体" w:eastAsia="黑体" w:hint="default"/>
                <w:sz w:val="18"/>
                <w:szCs w:val="18"/>
              </w:rPr>
            </w:pPr>
            <w:r>
              <w:rPr>
                <w:rFonts w:ascii="黑体" w:hAnsi="黑体" w:cs="黑体" w:eastAsia="黑体" w:hint="default"/>
                <w:sz w:val="18"/>
                <w:szCs w:val="18"/>
              </w:rPr>
              <w:t>减值准备</w:t>
            </w:r>
          </w:p>
        </w:tc>
        <w:tc>
          <w:tcPr>
            <w:tcW w:w="1068" w:type="dxa"/>
            <w:tcBorders>
              <w:top w:val="nil" w:sz="6" w:space="0" w:color="auto"/>
              <w:left w:val="nil" w:sz="6" w:space="0" w:color="auto"/>
              <w:bottom w:val="nil" w:sz="6" w:space="0" w:color="auto"/>
              <w:right w:val="nil" w:sz="6" w:space="0" w:color="auto"/>
            </w:tcBorders>
          </w:tcPr>
          <w:p>
            <w:pPr>
              <w:pStyle w:val="TableParagraph"/>
              <w:spacing w:line="180" w:lineRule="exact"/>
              <w:ind w:right="41"/>
              <w:jc w:val="right"/>
              <w:rPr>
                <w:rFonts w:ascii="黑体" w:hAnsi="黑体" w:cs="黑体" w:eastAsia="黑体" w:hint="default"/>
                <w:sz w:val="18"/>
                <w:szCs w:val="18"/>
              </w:rPr>
            </w:pPr>
            <w:r>
              <w:rPr>
                <w:rFonts w:ascii="黑体" w:hAnsi="黑体" w:cs="黑体" w:eastAsia="黑体" w:hint="default"/>
                <w:sz w:val="18"/>
                <w:szCs w:val="18"/>
              </w:rPr>
              <w:t>本年计提</w:t>
            </w:r>
          </w:p>
        </w:tc>
        <w:tc>
          <w:tcPr>
            <w:tcW w:w="1107" w:type="dxa"/>
            <w:tcBorders>
              <w:top w:val="nil" w:sz="6" w:space="0" w:color="auto"/>
              <w:left w:val="nil" w:sz="6" w:space="0" w:color="auto"/>
              <w:bottom w:val="nil" w:sz="6" w:space="0" w:color="auto"/>
              <w:right w:val="nil" w:sz="6" w:space="0" w:color="auto"/>
            </w:tcBorders>
          </w:tcPr>
          <w:p>
            <w:pPr>
              <w:pStyle w:val="TableParagraph"/>
              <w:spacing w:line="180" w:lineRule="exact"/>
              <w:ind w:right="200"/>
              <w:jc w:val="right"/>
              <w:rPr>
                <w:rFonts w:ascii="黑体" w:hAnsi="黑体" w:cs="黑体" w:eastAsia="黑体" w:hint="default"/>
                <w:sz w:val="18"/>
                <w:szCs w:val="18"/>
              </w:rPr>
            </w:pPr>
            <w:r>
              <w:rPr>
                <w:rFonts w:ascii="黑体" w:hAnsi="黑体" w:cs="黑体" w:eastAsia="黑体" w:hint="default"/>
                <w:sz w:val="18"/>
                <w:szCs w:val="18"/>
              </w:rPr>
              <w:t>本年</w:t>
            </w:r>
          </w:p>
        </w:tc>
      </w:tr>
      <w:tr>
        <w:trPr>
          <w:trHeight w:val="260" w:hRule="exact"/>
        </w:trPr>
        <w:tc>
          <w:tcPr>
            <w:tcW w:w="3579" w:type="dxa"/>
            <w:tcBorders>
              <w:top w:val="nil" w:sz="6" w:space="0" w:color="auto"/>
              <w:left w:val="nil" w:sz="6" w:space="0" w:color="auto"/>
              <w:bottom w:val="nil" w:sz="6" w:space="0" w:color="auto"/>
              <w:right w:val="nil" w:sz="6" w:space="0" w:color="auto"/>
            </w:tcBorders>
          </w:tcPr>
          <w:p>
            <w:pPr/>
          </w:p>
        </w:tc>
        <w:tc>
          <w:tcPr>
            <w:tcW w:w="1257"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
        </w:tc>
        <w:tc>
          <w:tcPr>
            <w:tcW w:w="362"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85"/>
              <w:jc w:val="right"/>
              <w:rPr>
                <w:rFonts w:ascii="Arial" w:hAnsi="Arial" w:cs="Arial" w:eastAsia="Arial" w:hint="default"/>
                <w:sz w:val="18"/>
                <w:szCs w:val="18"/>
              </w:rPr>
            </w:pPr>
            <w:r>
              <w:rPr>
                <w:rFonts w:ascii="Arial"/>
                <w:w w:val="95"/>
                <w:sz w:val="18"/>
              </w:rPr>
              <w:t>(%)</w:t>
            </w:r>
            <w:r>
              <w:rPr>
                <w:rFonts w:ascii="Arial"/>
                <w:sz w:val="18"/>
              </w:rPr>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39"/>
              <w:jc w:val="right"/>
              <w:rPr>
                <w:rFonts w:ascii="Arial" w:hAnsi="Arial" w:cs="Arial" w:eastAsia="Arial" w:hint="default"/>
                <w:sz w:val="18"/>
                <w:szCs w:val="18"/>
              </w:rPr>
            </w:pPr>
            <w:r>
              <w:rPr>
                <w:rFonts w:ascii="Arial"/>
                <w:w w:val="95"/>
                <w:sz w:val="18"/>
              </w:rPr>
              <w:t>(%)</w:t>
            </w:r>
            <w:r>
              <w:rPr>
                <w:rFonts w:ascii="Arial"/>
                <w:sz w:val="18"/>
              </w:rPr>
            </w:r>
          </w:p>
        </w:tc>
        <w:tc>
          <w:tcPr>
            <w:tcW w:w="1162"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nil" w:sz="6" w:space="0" w:color="auto"/>
              <w:right w:val="nil" w:sz="6" w:space="0" w:color="auto"/>
            </w:tcBorders>
          </w:tcPr>
          <w:p>
            <w:pPr>
              <w:pStyle w:val="TableParagraph"/>
              <w:spacing w:line="218" w:lineRule="exact"/>
              <w:ind w:right="41"/>
              <w:jc w:val="right"/>
              <w:rPr>
                <w:rFonts w:ascii="黑体" w:hAnsi="黑体" w:cs="黑体" w:eastAsia="黑体" w:hint="default"/>
                <w:sz w:val="18"/>
                <w:szCs w:val="18"/>
              </w:rPr>
            </w:pPr>
            <w:r>
              <w:rPr>
                <w:rFonts w:ascii="黑体" w:hAnsi="黑体" w:cs="黑体" w:eastAsia="黑体" w:hint="default"/>
                <w:sz w:val="18"/>
                <w:szCs w:val="18"/>
              </w:rPr>
              <w:t>减值准备</w:t>
            </w:r>
          </w:p>
        </w:tc>
        <w:tc>
          <w:tcPr>
            <w:tcW w:w="1107" w:type="dxa"/>
            <w:tcBorders>
              <w:top w:val="nil" w:sz="6" w:space="0" w:color="auto"/>
              <w:left w:val="nil" w:sz="6" w:space="0" w:color="auto"/>
              <w:bottom w:val="nil" w:sz="6" w:space="0" w:color="auto"/>
              <w:right w:val="nil" w:sz="6" w:space="0" w:color="auto"/>
            </w:tcBorders>
          </w:tcPr>
          <w:p>
            <w:pPr>
              <w:pStyle w:val="TableParagraph"/>
              <w:spacing w:line="218" w:lineRule="exact"/>
              <w:ind w:right="200"/>
              <w:jc w:val="right"/>
              <w:rPr>
                <w:rFonts w:ascii="黑体" w:hAnsi="黑体" w:cs="黑体" w:eastAsia="黑体" w:hint="default"/>
                <w:sz w:val="18"/>
                <w:szCs w:val="18"/>
              </w:rPr>
            </w:pPr>
            <w:r>
              <w:rPr>
                <w:rFonts w:ascii="黑体" w:hAnsi="黑体" w:cs="黑体" w:eastAsia="黑体" w:hint="default"/>
                <w:sz w:val="18"/>
                <w:szCs w:val="18"/>
              </w:rPr>
              <w:t>现金红利</w:t>
            </w:r>
          </w:p>
        </w:tc>
      </w:tr>
      <w:tr>
        <w:trPr>
          <w:trHeight w:val="250" w:hRule="exact"/>
        </w:trPr>
        <w:tc>
          <w:tcPr>
            <w:tcW w:w="3579" w:type="dxa"/>
            <w:tcBorders>
              <w:top w:val="nil" w:sz="6" w:space="0" w:color="auto"/>
              <w:left w:val="nil" w:sz="6" w:space="0" w:color="auto"/>
              <w:bottom w:val="nil" w:sz="6" w:space="0" w:color="auto"/>
              <w:right w:val="nil" w:sz="6" w:space="0" w:color="auto"/>
            </w:tcBorders>
          </w:tcPr>
          <w:p>
            <w:pPr>
              <w:pStyle w:val="TableParagraph"/>
              <w:spacing w:line="213" w:lineRule="exact"/>
              <w:ind w:left="200" w:right="0"/>
              <w:jc w:val="left"/>
              <w:rPr>
                <w:rFonts w:ascii="黑体" w:hAnsi="黑体" w:cs="黑体" w:eastAsia="黑体" w:hint="default"/>
                <w:sz w:val="18"/>
                <w:szCs w:val="18"/>
              </w:rPr>
            </w:pPr>
            <w:r>
              <w:rPr>
                <w:rFonts w:ascii="黑体" w:hAnsi="黑体" w:cs="黑体" w:eastAsia="黑体" w:hint="default"/>
                <w:sz w:val="18"/>
                <w:szCs w:val="18"/>
              </w:rPr>
              <w:t>权益法：</w:t>
            </w:r>
          </w:p>
        </w:tc>
        <w:tc>
          <w:tcPr>
            <w:tcW w:w="1257"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
        </w:tc>
        <w:tc>
          <w:tcPr>
            <w:tcW w:w="362"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
        </w:tc>
        <w:tc>
          <w:tcPr>
            <w:tcW w:w="965"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nil" w:sz="6" w:space="0" w:color="auto"/>
              <w:right w:val="nil" w:sz="6" w:space="0" w:color="auto"/>
            </w:tcBorders>
          </w:tcPr>
          <w:p>
            <w:pPr/>
          </w:p>
        </w:tc>
        <w:tc>
          <w:tcPr>
            <w:tcW w:w="1107" w:type="dxa"/>
            <w:tcBorders>
              <w:top w:val="nil" w:sz="6" w:space="0" w:color="auto"/>
              <w:left w:val="nil" w:sz="6" w:space="0" w:color="auto"/>
              <w:bottom w:val="nil" w:sz="6" w:space="0" w:color="auto"/>
              <w:right w:val="nil" w:sz="6" w:space="0" w:color="auto"/>
            </w:tcBorders>
          </w:tcPr>
          <w:p>
            <w:pPr/>
          </w:p>
        </w:tc>
      </w:tr>
      <w:tr>
        <w:trPr>
          <w:trHeight w:val="254" w:hRule="exact"/>
        </w:trPr>
        <w:tc>
          <w:tcPr>
            <w:tcW w:w="3579" w:type="dxa"/>
            <w:tcBorders>
              <w:top w:val="nil" w:sz="6" w:space="0" w:color="auto"/>
              <w:left w:val="nil" w:sz="6" w:space="0" w:color="auto"/>
              <w:bottom w:val="nil" w:sz="6" w:space="0" w:color="auto"/>
              <w:right w:val="nil" w:sz="6" w:space="0" w:color="auto"/>
            </w:tcBorders>
          </w:tcPr>
          <w:p>
            <w:pPr>
              <w:pStyle w:val="TableParagraph"/>
              <w:spacing w:line="217" w:lineRule="exact"/>
              <w:ind w:left="389" w:right="0"/>
              <w:jc w:val="left"/>
              <w:rPr>
                <w:rFonts w:ascii="黑体" w:hAnsi="黑体" w:cs="黑体" w:eastAsia="黑体" w:hint="default"/>
                <w:sz w:val="18"/>
                <w:szCs w:val="18"/>
              </w:rPr>
            </w:pPr>
            <w:r>
              <w:rPr>
                <w:rFonts w:ascii="黑体" w:hAnsi="黑体" w:cs="黑体" w:eastAsia="黑体" w:hint="default"/>
                <w:sz w:val="18"/>
                <w:szCs w:val="18"/>
              </w:rPr>
              <w:t>联营企业</w:t>
            </w:r>
          </w:p>
        </w:tc>
        <w:tc>
          <w:tcPr>
            <w:tcW w:w="1257"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
        </w:tc>
        <w:tc>
          <w:tcPr>
            <w:tcW w:w="362"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
        </w:tc>
        <w:tc>
          <w:tcPr>
            <w:tcW w:w="965"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nil" w:sz="6" w:space="0" w:color="auto"/>
              <w:right w:val="nil" w:sz="6" w:space="0" w:color="auto"/>
            </w:tcBorders>
          </w:tcPr>
          <w:p>
            <w:pPr/>
          </w:p>
        </w:tc>
        <w:tc>
          <w:tcPr>
            <w:tcW w:w="1107" w:type="dxa"/>
            <w:tcBorders>
              <w:top w:val="nil" w:sz="6" w:space="0" w:color="auto"/>
              <w:left w:val="nil" w:sz="6" w:space="0" w:color="auto"/>
              <w:bottom w:val="nil" w:sz="6" w:space="0" w:color="auto"/>
              <w:right w:val="nil" w:sz="6" w:space="0" w:color="auto"/>
            </w:tcBorders>
          </w:tcPr>
          <w:p>
            <w:pPr/>
          </w:p>
        </w:tc>
      </w:tr>
      <w:tr>
        <w:trPr>
          <w:trHeight w:val="271" w:hRule="exact"/>
        </w:trPr>
        <w:tc>
          <w:tcPr>
            <w:tcW w:w="3579" w:type="dxa"/>
            <w:tcBorders>
              <w:top w:val="nil" w:sz="6" w:space="0" w:color="auto"/>
              <w:left w:val="nil" w:sz="6" w:space="0" w:color="auto"/>
              <w:bottom w:val="nil" w:sz="6" w:space="0" w:color="auto"/>
              <w:right w:val="nil" w:sz="6" w:space="0" w:color="auto"/>
            </w:tcBorders>
          </w:tcPr>
          <w:p>
            <w:pPr>
              <w:pStyle w:val="TableParagraph"/>
              <w:spacing w:line="217" w:lineRule="exact"/>
              <w:ind w:left="389" w:right="0"/>
              <w:jc w:val="left"/>
              <w:rPr>
                <w:rFonts w:ascii="黑体" w:hAnsi="黑体" w:cs="黑体" w:eastAsia="黑体" w:hint="default"/>
                <w:sz w:val="18"/>
                <w:szCs w:val="18"/>
              </w:rPr>
            </w:pPr>
            <w:r>
              <w:rPr>
                <w:rFonts w:ascii="黑体" w:hAnsi="黑体" w:cs="黑体" w:eastAsia="黑体" w:hint="default"/>
                <w:sz w:val="18"/>
                <w:szCs w:val="18"/>
              </w:rPr>
              <w:t>致远协创</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19"/>
              <w:jc w:val="right"/>
              <w:rPr>
                <w:rFonts w:ascii="Arial" w:hAnsi="Arial" w:cs="Arial" w:eastAsia="Arial" w:hint="default"/>
                <w:sz w:val="18"/>
                <w:szCs w:val="18"/>
              </w:rPr>
            </w:pPr>
            <w:r>
              <w:rPr>
                <w:rFonts w:ascii="Arial"/>
                <w:spacing w:val="-1"/>
                <w:sz w:val="18"/>
              </w:rPr>
              <w:t>13,925,126</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65"/>
              <w:jc w:val="right"/>
              <w:rPr>
                <w:rFonts w:ascii="Arial" w:hAnsi="Arial" w:cs="Arial" w:eastAsia="Arial" w:hint="default"/>
                <w:sz w:val="18"/>
                <w:szCs w:val="18"/>
              </w:rPr>
            </w:pPr>
            <w:r>
              <w:rPr>
                <w:rFonts w:ascii="Arial"/>
                <w:spacing w:val="-1"/>
                <w:sz w:val="18"/>
              </w:rPr>
              <w:t>37,987,872</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1"/>
              <w:jc w:val="right"/>
              <w:rPr>
                <w:rFonts w:ascii="Arial" w:hAnsi="Arial" w:cs="Arial" w:eastAsia="Arial" w:hint="default"/>
                <w:sz w:val="18"/>
                <w:szCs w:val="18"/>
              </w:rPr>
            </w:pPr>
            <w:r>
              <w:rPr>
                <w:rFonts w:ascii="Arial"/>
                <w:spacing w:val="-1"/>
                <w:sz w:val="18"/>
              </w:rPr>
              <w:t>4,872,027</w:t>
            </w:r>
          </w:p>
        </w:tc>
        <w:tc>
          <w:tcPr>
            <w:tcW w:w="362"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5"/>
              <w:jc w:val="right"/>
              <w:rPr>
                <w:rFonts w:ascii="Arial" w:hAnsi="Arial" w:cs="Arial" w:eastAsia="Arial" w:hint="default"/>
                <w:sz w:val="18"/>
                <w:szCs w:val="18"/>
              </w:rPr>
            </w:pPr>
            <w:r>
              <w:rPr>
                <w:rFonts w:ascii="Arial"/>
                <w:spacing w:val="-1"/>
                <w:sz w:val="18"/>
              </w:rPr>
              <w:t>42,859,899</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3"/>
              <w:jc w:val="right"/>
              <w:rPr>
                <w:rFonts w:ascii="Arial" w:hAnsi="Arial" w:cs="Arial" w:eastAsia="Arial" w:hint="default"/>
                <w:sz w:val="18"/>
                <w:szCs w:val="18"/>
              </w:rPr>
            </w:pPr>
            <w:r>
              <w:rPr>
                <w:rFonts w:ascii="Arial"/>
                <w:w w:val="95"/>
                <w:sz w:val="18"/>
              </w:rPr>
              <w:t>35</w:t>
            </w:r>
            <w:r>
              <w:rPr>
                <w:rFonts w:ascii="Arial"/>
                <w:sz w:val="18"/>
              </w:rPr>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37"/>
              <w:jc w:val="right"/>
              <w:rPr>
                <w:rFonts w:ascii="Arial" w:hAnsi="Arial" w:cs="Arial" w:eastAsia="Arial" w:hint="default"/>
                <w:sz w:val="18"/>
                <w:szCs w:val="18"/>
              </w:rPr>
            </w:pPr>
            <w:r>
              <w:rPr>
                <w:rFonts w:ascii="Arial"/>
                <w:w w:val="95"/>
                <w:sz w:val="18"/>
              </w:rPr>
              <w:t>35</w:t>
            </w:r>
            <w:r>
              <w:rPr>
                <w:rFonts w:ascii="Arial"/>
                <w:sz w:val="18"/>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05"/>
              <w:jc w:val="right"/>
              <w:rPr>
                <w:rFonts w:ascii="Arial" w:hAnsi="Arial" w:cs="Arial" w:eastAsia="Arial" w:hint="default"/>
                <w:sz w:val="18"/>
                <w:szCs w:val="18"/>
              </w:rPr>
            </w:pPr>
            <w:r>
              <w:rPr>
                <w:rFonts w:ascii="Arial"/>
                <w:w w:val="99"/>
                <w:sz w:val="18"/>
              </w:rPr>
              <w:t>-</w:t>
            </w:r>
            <w:r>
              <w:rPr>
                <w:rFonts w:ascii="Arial"/>
                <w:sz w:val="18"/>
              </w:rPr>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6"/>
              <w:jc w:val="right"/>
              <w:rPr>
                <w:rFonts w:ascii="Arial" w:hAnsi="Arial" w:cs="Arial" w:eastAsia="Arial" w:hint="default"/>
                <w:sz w:val="18"/>
                <w:szCs w:val="18"/>
              </w:rPr>
            </w:pPr>
            <w:r>
              <w:rPr>
                <w:rFonts w:ascii="Arial"/>
                <w:w w:val="99"/>
                <w:sz w:val="18"/>
              </w:rPr>
              <w:t>-</w:t>
            </w:r>
            <w:r>
              <w:rPr>
                <w:rFonts w:ascii="Arial"/>
                <w:sz w:val="18"/>
              </w:rPr>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98"/>
              <w:jc w:val="right"/>
              <w:rPr>
                <w:rFonts w:ascii="Arial" w:hAnsi="Arial" w:cs="Arial" w:eastAsia="Arial" w:hint="default"/>
                <w:sz w:val="18"/>
                <w:szCs w:val="18"/>
              </w:rPr>
            </w:pPr>
            <w:r>
              <w:rPr>
                <w:rFonts w:ascii="Arial"/>
                <w:spacing w:val="-1"/>
                <w:sz w:val="18"/>
              </w:rPr>
              <w:t>1,750,000</w:t>
            </w:r>
          </w:p>
        </w:tc>
      </w:tr>
      <w:tr>
        <w:trPr>
          <w:trHeight w:val="256" w:hRule="exact"/>
        </w:trPr>
        <w:tc>
          <w:tcPr>
            <w:tcW w:w="3579" w:type="dxa"/>
            <w:tcBorders>
              <w:top w:val="nil" w:sz="6" w:space="0" w:color="auto"/>
              <w:left w:val="nil" w:sz="6" w:space="0" w:color="auto"/>
              <w:bottom w:val="nil" w:sz="6" w:space="0" w:color="auto"/>
              <w:right w:val="nil" w:sz="6" w:space="0" w:color="auto"/>
            </w:tcBorders>
          </w:tcPr>
          <w:p>
            <w:pPr>
              <w:pStyle w:val="TableParagraph"/>
              <w:spacing w:line="203" w:lineRule="exact"/>
              <w:ind w:left="389" w:right="0"/>
              <w:jc w:val="left"/>
              <w:rPr>
                <w:rFonts w:ascii="黑体" w:hAnsi="黑体" w:cs="黑体" w:eastAsia="黑体" w:hint="default"/>
                <w:sz w:val="18"/>
                <w:szCs w:val="18"/>
              </w:rPr>
            </w:pPr>
            <w:r>
              <w:rPr>
                <w:rFonts w:ascii="黑体" w:hAnsi="黑体" w:cs="黑体" w:eastAsia="黑体" w:hint="default"/>
                <w:sz w:val="18"/>
                <w:szCs w:val="18"/>
              </w:rPr>
              <w:t>西玛商用表单</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19"/>
              <w:jc w:val="right"/>
              <w:rPr>
                <w:rFonts w:ascii="Arial" w:hAnsi="Arial" w:cs="Arial" w:eastAsia="Arial" w:hint="default"/>
                <w:sz w:val="18"/>
                <w:szCs w:val="18"/>
              </w:rPr>
            </w:pPr>
            <w:r>
              <w:rPr>
                <w:rFonts w:ascii="Arial"/>
                <w:spacing w:val="-1"/>
                <w:sz w:val="18"/>
              </w:rPr>
              <w:t>150,000</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64"/>
              <w:jc w:val="right"/>
              <w:rPr>
                <w:rFonts w:ascii="Arial" w:hAnsi="Arial" w:cs="Arial" w:eastAsia="Arial" w:hint="default"/>
                <w:sz w:val="18"/>
                <w:szCs w:val="18"/>
              </w:rPr>
            </w:pPr>
            <w:r>
              <w:rPr>
                <w:rFonts w:ascii="Arial"/>
                <w:spacing w:val="-1"/>
                <w:sz w:val="18"/>
              </w:rPr>
              <w:t>3,827,575</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1"/>
              <w:jc w:val="right"/>
              <w:rPr>
                <w:rFonts w:ascii="Arial" w:hAnsi="Arial" w:cs="Arial" w:eastAsia="Arial" w:hint="default"/>
                <w:sz w:val="18"/>
                <w:szCs w:val="18"/>
              </w:rPr>
            </w:pPr>
            <w:r>
              <w:rPr>
                <w:rFonts w:ascii="Arial"/>
                <w:spacing w:val="-1"/>
                <w:sz w:val="18"/>
              </w:rPr>
              <w:t>1,205,646</w:t>
            </w:r>
          </w:p>
        </w:tc>
        <w:tc>
          <w:tcPr>
            <w:tcW w:w="362"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55"/>
              <w:jc w:val="right"/>
              <w:rPr>
                <w:rFonts w:ascii="Arial" w:hAnsi="Arial" w:cs="Arial" w:eastAsia="Arial" w:hint="default"/>
                <w:sz w:val="18"/>
                <w:szCs w:val="18"/>
              </w:rPr>
            </w:pPr>
            <w:r>
              <w:rPr>
                <w:rFonts w:ascii="Arial"/>
                <w:spacing w:val="-1"/>
                <w:sz w:val="18"/>
              </w:rPr>
              <w:t>5,033,221</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3"/>
              <w:jc w:val="right"/>
              <w:rPr>
                <w:rFonts w:ascii="Arial" w:hAnsi="Arial" w:cs="Arial" w:eastAsia="Arial" w:hint="default"/>
                <w:sz w:val="18"/>
                <w:szCs w:val="18"/>
              </w:rPr>
            </w:pPr>
            <w:r>
              <w:rPr>
                <w:rFonts w:ascii="Arial"/>
                <w:w w:val="95"/>
                <w:sz w:val="18"/>
              </w:rPr>
              <w:t>30</w:t>
            </w:r>
            <w:r>
              <w:rPr>
                <w:rFonts w:ascii="Arial"/>
                <w:sz w:val="18"/>
              </w:rPr>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37"/>
              <w:jc w:val="right"/>
              <w:rPr>
                <w:rFonts w:ascii="Arial" w:hAnsi="Arial" w:cs="Arial" w:eastAsia="Arial" w:hint="default"/>
                <w:sz w:val="18"/>
                <w:szCs w:val="18"/>
              </w:rPr>
            </w:pPr>
            <w:r>
              <w:rPr>
                <w:rFonts w:ascii="Arial"/>
                <w:w w:val="95"/>
                <w:sz w:val="18"/>
              </w:rPr>
              <w:t>30</w:t>
            </w:r>
            <w:r>
              <w:rPr>
                <w:rFonts w:ascii="Arial"/>
                <w:sz w:val="18"/>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05"/>
              <w:jc w:val="right"/>
              <w:rPr>
                <w:rFonts w:ascii="Arial" w:hAnsi="Arial" w:cs="Arial" w:eastAsia="Arial" w:hint="default"/>
                <w:sz w:val="18"/>
                <w:szCs w:val="18"/>
              </w:rPr>
            </w:pPr>
            <w:r>
              <w:rPr>
                <w:rFonts w:ascii="Arial"/>
                <w:w w:val="99"/>
                <w:sz w:val="18"/>
              </w:rPr>
              <w:t>-</w:t>
            </w:r>
            <w:r>
              <w:rPr>
                <w:rFonts w:ascii="Arial"/>
                <w:sz w:val="18"/>
              </w:rPr>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6"/>
              <w:jc w:val="right"/>
              <w:rPr>
                <w:rFonts w:ascii="Arial" w:hAnsi="Arial" w:cs="Arial" w:eastAsia="Arial" w:hint="default"/>
                <w:sz w:val="18"/>
                <w:szCs w:val="18"/>
              </w:rPr>
            </w:pPr>
            <w:r>
              <w:rPr>
                <w:rFonts w:ascii="Arial"/>
                <w:w w:val="99"/>
                <w:sz w:val="18"/>
              </w:rPr>
              <w:t>-</w:t>
            </w:r>
            <w:r>
              <w:rPr>
                <w:rFonts w:ascii="Arial"/>
                <w:sz w:val="18"/>
              </w:rPr>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98"/>
              <w:jc w:val="right"/>
              <w:rPr>
                <w:rFonts w:ascii="Arial" w:hAnsi="Arial" w:cs="Arial" w:eastAsia="Arial" w:hint="default"/>
                <w:sz w:val="18"/>
                <w:szCs w:val="18"/>
              </w:rPr>
            </w:pPr>
            <w:r>
              <w:rPr>
                <w:rFonts w:ascii="Arial"/>
                <w:spacing w:val="-1"/>
                <w:sz w:val="18"/>
              </w:rPr>
              <w:t>928,817</w:t>
            </w:r>
          </w:p>
        </w:tc>
      </w:tr>
      <w:tr>
        <w:trPr>
          <w:trHeight w:val="382" w:hRule="exact"/>
        </w:trPr>
        <w:tc>
          <w:tcPr>
            <w:tcW w:w="3579" w:type="dxa"/>
            <w:tcBorders>
              <w:top w:val="nil" w:sz="6" w:space="0" w:color="auto"/>
              <w:left w:val="nil" w:sz="6" w:space="0" w:color="auto"/>
              <w:bottom w:val="nil" w:sz="6" w:space="0" w:color="auto"/>
              <w:right w:val="nil" w:sz="6" w:space="0" w:color="auto"/>
            </w:tcBorders>
          </w:tcPr>
          <w:p>
            <w:pPr>
              <w:pStyle w:val="TableParagraph"/>
              <w:spacing w:line="202" w:lineRule="exact"/>
              <w:ind w:left="389" w:right="0"/>
              <w:jc w:val="left"/>
              <w:rPr>
                <w:rFonts w:ascii="黑体" w:hAnsi="黑体" w:cs="黑体" w:eastAsia="黑体" w:hint="default"/>
                <w:sz w:val="18"/>
                <w:szCs w:val="18"/>
              </w:rPr>
            </w:pPr>
            <w:r>
              <w:rPr>
                <w:rFonts w:ascii="黑体" w:hAnsi="黑体" w:cs="黑体" w:eastAsia="黑体" w:hint="default"/>
                <w:sz w:val="18"/>
                <w:szCs w:val="18"/>
              </w:rPr>
              <w:t>西玛永泰</w:t>
            </w:r>
          </w:p>
        </w:tc>
        <w:tc>
          <w:tcPr>
            <w:tcW w:w="1257" w:type="dxa"/>
            <w:tcBorders>
              <w:top w:val="nil" w:sz="6" w:space="0" w:color="auto"/>
              <w:left w:val="nil" w:sz="6" w:space="0" w:color="auto"/>
              <w:bottom w:val="nil" w:sz="6" w:space="0" w:color="auto"/>
              <w:right w:val="nil" w:sz="6" w:space="0" w:color="auto"/>
            </w:tcBorders>
          </w:tcPr>
          <w:p>
            <w:pPr>
              <w:pStyle w:val="TableParagraph"/>
              <w:tabs>
                <w:tab w:pos="271" w:val="left" w:leader="none"/>
              </w:tabs>
              <w:spacing w:line="240" w:lineRule="auto" w:before="8"/>
              <w:ind w:right="11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150,000</w:t>
            </w:r>
            <w:r>
              <w:rPr>
                <w:rFonts w:ascii="Arial"/>
                <w:spacing w:val="-1"/>
                <w:sz w:val="18"/>
              </w:rPr>
            </w:r>
          </w:p>
        </w:tc>
        <w:tc>
          <w:tcPr>
            <w:tcW w:w="1250" w:type="dxa"/>
            <w:tcBorders>
              <w:top w:val="nil" w:sz="6" w:space="0" w:color="auto"/>
              <w:left w:val="nil" w:sz="6" w:space="0" w:color="auto"/>
              <w:bottom w:val="nil" w:sz="6" w:space="0" w:color="auto"/>
              <w:right w:val="nil" w:sz="6" w:space="0" w:color="auto"/>
            </w:tcBorders>
          </w:tcPr>
          <w:p>
            <w:pPr>
              <w:pStyle w:val="TableParagraph"/>
              <w:tabs>
                <w:tab w:pos="271" w:val="left" w:leader="none"/>
              </w:tabs>
              <w:spacing w:line="240" w:lineRule="auto" w:before="8"/>
              <w:ind w:right="16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531,815</w:t>
            </w:r>
            <w:r>
              <w:rPr>
                <w:rFonts w:ascii="Arial"/>
                <w:spacing w:val="-1"/>
                <w:sz w:val="18"/>
              </w:rPr>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
              <w:jc w:val="right"/>
              <w:rPr>
                <w:rFonts w:ascii="Arial" w:hAnsi="Arial" w:cs="Arial" w:eastAsia="Arial" w:hint="default"/>
                <w:sz w:val="18"/>
                <w:szCs w:val="18"/>
              </w:rPr>
            </w:pPr>
            <w:r>
              <w:rPr>
                <w:rFonts w:ascii="Arial"/>
                <w:sz w:val="18"/>
              </w:rPr>
              <w:t>( </w:t>
            </w:r>
            <w:r>
              <w:rPr>
                <w:rFonts w:ascii="Arial"/>
                <w:spacing w:val="46"/>
                <w:sz w:val="18"/>
              </w:rPr>
              <w:t> </w:t>
            </w:r>
            <w:r>
              <w:rPr>
                <w:rFonts w:ascii="Arial"/>
                <w:spacing w:val="46"/>
                <w:sz w:val="18"/>
                <w:u w:val="single" w:color="000000"/>
              </w:rPr>
              <w:t> </w:t>
            </w:r>
            <w:r>
              <w:rPr>
                <w:rFonts w:ascii="Arial"/>
                <w:sz w:val="18"/>
                <w:u w:val="single" w:color="000000"/>
              </w:rPr>
              <w:t>101,192</w:t>
            </w:r>
            <w:r>
              <w:rPr>
                <w:rFonts w:ascii="Arial"/>
                <w:sz w:val="18"/>
              </w:rPr>
            </w:r>
          </w:p>
        </w:tc>
        <w:tc>
          <w:tcPr>
            <w:tcW w:w="362"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 w:right="0"/>
              <w:jc w:val="left"/>
              <w:rPr>
                <w:rFonts w:ascii="Arial" w:hAnsi="Arial" w:cs="Arial" w:eastAsia="Arial" w:hint="default"/>
                <w:sz w:val="18"/>
                <w:szCs w:val="18"/>
              </w:rPr>
            </w:pPr>
            <w:r>
              <w:rPr>
                <w:rFonts w:ascii="Arial"/>
                <w:w w:val="99"/>
                <w:sz w:val="18"/>
              </w:rPr>
              <w:t>)</w:t>
            </w:r>
            <w:r>
              <w:rPr>
                <w:rFonts w:ascii="Arial"/>
                <w:sz w:val="18"/>
              </w:rPr>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8"/>
                <w:sz w:val="18"/>
                <w:u w:val="single" w:color="000000"/>
              </w:rPr>
              <w:t> </w:t>
            </w:r>
            <w:r>
              <w:rPr>
                <w:rFonts w:ascii="Arial"/>
                <w:spacing w:val="-1"/>
                <w:sz w:val="18"/>
                <w:u w:val="single" w:color="000000"/>
              </w:rPr>
              <w:t>430,623</w:t>
            </w:r>
            <w:r>
              <w:rPr>
                <w:rFonts w:ascii="Arial"/>
                <w:spacing w:val="-1"/>
                <w:sz w:val="18"/>
              </w:rPr>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3"/>
              <w:jc w:val="right"/>
              <w:rPr>
                <w:rFonts w:ascii="Arial" w:hAnsi="Arial" w:cs="Arial" w:eastAsia="Arial" w:hint="default"/>
                <w:sz w:val="18"/>
                <w:szCs w:val="18"/>
              </w:rPr>
            </w:pPr>
            <w:r>
              <w:rPr>
                <w:rFonts w:ascii="Arial"/>
                <w:w w:val="95"/>
                <w:sz w:val="18"/>
              </w:rPr>
              <w:t>30</w:t>
            </w:r>
            <w:r>
              <w:rPr>
                <w:rFonts w:ascii="Arial"/>
                <w:sz w:val="18"/>
              </w:rPr>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7"/>
              <w:jc w:val="right"/>
              <w:rPr>
                <w:rFonts w:ascii="Arial" w:hAnsi="Arial" w:cs="Arial" w:eastAsia="Arial" w:hint="default"/>
                <w:sz w:val="18"/>
                <w:szCs w:val="18"/>
              </w:rPr>
            </w:pPr>
            <w:r>
              <w:rPr>
                <w:rFonts w:ascii="Arial"/>
                <w:w w:val="95"/>
                <w:sz w:val="18"/>
              </w:rPr>
              <w:t>30</w:t>
            </w:r>
            <w:r>
              <w:rPr>
                <w:rFonts w:ascii="Arial"/>
                <w:sz w:val="18"/>
              </w:rPr>
            </w:r>
          </w:p>
        </w:tc>
        <w:tc>
          <w:tcPr>
            <w:tcW w:w="1162" w:type="dxa"/>
            <w:tcBorders>
              <w:top w:val="nil" w:sz="6" w:space="0" w:color="auto"/>
              <w:left w:val="nil" w:sz="6" w:space="0" w:color="auto"/>
              <w:bottom w:val="nil" w:sz="6" w:space="0" w:color="auto"/>
              <w:right w:val="nil" w:sz="6" w:space="0" w:color="auto"/>
            </w:tcBorders>
          </w:tcPr>
          <w:p>
            <w:pPr>
              <w:pStyle w:val="TableParagraph"/>
              <w:tabs>
                <w:tab w:pos="722" w:val="left" w:leader="none"/>
              </w:tabs>
              <w:spacing w:line="240" w:lineRule="auto" w:before="8"/>
              <w:ind w:right="30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068" w:type="dxa"/>
            <w:tcBorders>
              <w:top w:val="nil" w:sz="6" w:space="0" w:color="auto"/>
              <w:left w:val="nil" w:sz="6" w:space="0" w:color="auto"/>
              <w:bottom w:val="nil" w:sz="6" w:space="0" w:color="auto"/>
              <w:right w:val="nil" w:sz="6" w:space="0" w:color="auto"/>
            </w:tcBorders>
          </w:tcPr>
          <w:p>
            <w:pPr>
              <w:pStyle w:val="TableParagraph"/>
              <w:tabs>
                <w:tab w:pos="921" w:val="left" w:leader="none"/>
              </w:tabs>
              <w:spacing w:line="240" w:lineRule="auto" w:before="8"/>
              <w:ind w:left="107"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07" w:type="dxa"/>
            <w:tcBorders>
              <w:top w:val="nil" w:sz="6" w:space="0" w:color="auto"/>
              <w:left w:val="nil" w:sz="6" w:space="0" w:color="auto"/>
              <w:bottom w:val="nil" w:sz="6" w:space="0" w:color="auto"/>
              <w:right w:val="nil" w:sz="6" w:space="0" w:color="auto"/>
            </w:tcBorders>
          </w:tcPr>
          <w:p>
            <w:pPr>
              <w:pStyle w:val="TableParagraph"/>
              <w:tabs>
                <w:tab w:pos="256" w:val="left" w:leader="none"/>
              </w:tabs>
              <w:spacing w:line="240" w:lineRule="auto" w:before="8"/>
              <w:ind w:right="19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88,816</w:t>
            </w:r>
            <w:r>
              <w:rPr>
                <w:rFonts w:ascii="Arial"/>
                <w:spacing w:val="-1"/>
                <w:sz w:val="18"/>
              </w:rPr>
            </w:r>
          </w:p>
        </w:tc>
      </w:tr>
      <w:tr>
        <w:trPr>
          <w:trHeight w:val="510" w:hRule="exact"/>
        </w:trPr>
        <w:tc>
          <w:tcPr>
            <w:tcW w:w="3579"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89" w:right="0"/>
              <w:jc w:val="left"/>
              <w:rPr>
                <w:rFonts w:ascii="黑体" w:hAnsi="黑体" w:cs="黑体" w:eastAsia="黑体" w:hint="default"/>
                <w:sz w:val="18"/>
                <w:szCs w:val="18"/>
              </w:rPr>
            </w:pPr>
            <w:r>
              <w:rPr>
                <w:rFonts w:ascii="黑体" w:hAnsi="黑体" w:cs="黑体" w:eastAsia="黑体" w:hint="default"/>
                <w:sz w:val="18"/>
                <w:szCs w:val="18"/>
              </w:rPr>
              <w:t>小计</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19"/>
              <w:jc w:val="right"/>
              <w:rPr>
                <w:rFonts w:ascii="Arial" w:hAnsi="Arial" w:cs="Arial" w:eastAsia="Arial" w:hint="default"/>
                <w:sz w:val="18"/>
                <w:szCs w:val="18"/>
              </w:rPr>
            </w:pPr>
            <w:r>
              <w:rPr>
                <w:rFonts w:ascii="Arial"/>
                <w:w w:val="99"/>
                <w:sz w:val="18"/>
              </w:rPr>
            </w:r>
            <w:r>
              <w:rPr>
                <w:rFonts w:ascii="Arial"/>
                <w:spacing w:val="-1"/>
                <w:sz w:val="18"/>
                <w:u w:val="single" w:color="000000"/>
              </w:rPr>
              <w:t>14,225,126</w:t>
            </w:r>
            <w:r>
              <w:rPr>
                <w:rFonts w:ascii="Arial"/>
                <w:spacing w:val="-1"/>
                <w:sz w:val="18"/>
              </w:rPr>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65"/>
              <w:jc w:val="right"/>
              <w:rPr>
                <w:rFonts w:ascii="Arial" w:hAnsi="Arial" w:cs="Arial" w:eastAsia="Arial" w:hint="default"/>
                <w:sz w:val="18"/>
                <w:szCs w:val="18"/>
              </w:rPr>
            </w:pPr>
            <w:r>
              <w:rPr>
                <w:rFonts w:ascii="Arial"/>
                <w:w w:val="99"/>
                <w:sz w:val="18"/>
              </w:rPr>
            </w:r>
            <w:r>
              <w:rPr>
                <w:rFonts w:ascii="Arial"/>
                <w:spacing w:val="-1"/>
                <w:sz w:val="18"/>
                <w:u w:val="single" w:color="000000"/>
              </w:rPr>
              <w:t>42,347,262</w:t>
            </w:r>
            <w:r>
              <w:rPr>
                <w:rFonts w:ascii="Arial"/>
                <w:spacing w:val="-1"/>
                <w:sz w:val="18"/>
              </w:rPr>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1"/>
              <w:jc w:val="right"/>
              <w:rPr>
                <w:rFonts w:ascii="Arial" w:hAnsi="Arial" w:cs="Arial" w:eastAsia="Arial" w:hint="default"/>
                <w:sz w:val="18"/>
                <w:szCs w:val="18"/>
              </w:rPr>
            </w:pPr>
            <w:r>
              <w:rPr>
                <w:rFonts w:ascii="Arial"/>
                <w:w w:val="100"/>
                <w:sz w:val="18"/>
              </w:rPr>
            </w:r>
            <w:r>
              <w:rPr>
                <w:rFonts w:ascii="Arial"/>
                <w:spacing w:val="-1"/>
                <w:sz w:val="18"/>
                <w:u w:val="single" w:color="000000"/>
              </w:rPr>
              <w:t>5,976,481</w:t>
            </w:r>
            <w:r>
              <w:rPr>
                <w:rFonts w:ascii="Arial"/>
                <w:spacing w:val="-1"/>
                <w:sz w:val="18"/>
              </w:rPr>
            </w:r>
          </w:p>
        </w:tc>
        <w:tc>
          <w:tcPr>
            <w:tcW w:w="362"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55"/>
              <w:jc w:val="right"/>
              <w:rPr>
                <w:rFonts w:ascii="Arial" w:hAnsi="Arial" w:cs="Arial" w:eastAsia="Arial" w:hint="default"/>
                <w:sz w:val="18"/>
                <w:szCs w:val="18"/>
              </w:rPr>
            </w:pPr>
            <w:r>
              <w:rPr>
                <w:rFonts w:ascii="Arial"/>
                <w:w w:val="99"/>
                <w:sz w:val="18"/>
              </w:rPr>
            </w:r>
            <w:r>
              <w:rPr>
                <w:rFonts w:ascii="Arial"/>
                <w:spacing w:val="-1"/>
                <w:sz w:val="18"/>
                <w:u w:val="single" w:color="000000"/>
              </w:rPr>
              <w:t>48,323,743</w:t>
            </w:r>
            <w:r>
              <w:rPr>
                <w:rFonts w:ascii="Arial"/>
                <w:spacing w:val="-1"/>
                <w:sz w:val="18"/>
              </w:rPr>
            </w:r>
          </w:p>
        </w:tc>
        <w:tc>
          <w:tcPr>
            <w:tcW w:w="965"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Style w:val="TableParagraph"/>
              <w:tabs>
                <w:tab w:pos="722" w:val="left" w:leader="none"/>
              </w:tabs>
              <w:spacing w:line="240" w:lineRule="auto" w:before="135"/>
              <w:ind w:right="30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068" w:type="dxa"/>
            <w:tcBorders>
              <w:top w:val="nil" w:sz="6" w:space="0" w:color="auto"/>
              <w:left w:val="nil" w:sz="6" w:space="0" w:color="auto"/>
              <w:bottom w:val="nil" w:sz="6" w:space="0" w:color="auto"/>
              <w:right w:val="nil" w:sz="6" w:space="0" w:color="auto"/>
            </w:tcBorders>
          </w:tcPr>
          <w:p>
            <w:pPr>
              <w:pStyle w:val="TableParagraph"/>
              <w:tabs>
                <w:tab w:pos="921" w:val="left" w:leader="none"/>
              </w:tabs>
              <w:spacing w:line="240" w:lineRule="auto" w:before="135"/>
              <w:ind w:left="107"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98"/>
              <w:jc w:val="right"/>
              <w:rPr>
                <w:rFonts w:ascii="Arial" w:hAnsi="Arial" w:cs="Arial" w:eastAsia="Arial" w:hint="default"/>
                <w:sz w:val="18"/>
                <w:szCs w:val="18"/>
              </w:rPr>
            </w:pPr>
            <w:r>
              <w:rPr>
                <w:rFonts w:ascii="Arial"/>
                <w:w w:val="100"/>
                <w:sz w:val="18"/>
              </w:rPr>
            </w:r>
            <w:r>
              <w:rPr>
                <w:rFonts w:ascii="Arial"/>
                <w:spacing w:val="-1"/>
                <w:sz w:val="18"/>
                <w:u w:val="single" w:color="000000"/>
              </w:rPr>
              <w:t>2,767,633</w:t>
            </w:r>
            <w:r>
              <w:rPr>
                <w:rFonts w:ascii="Arial"/>
                <w:spacing w:val="-1"/>
                <w:sz w:val="18"/>
              </w:rPr>
            </w:r>
          </w:p>
        </w:tc>
      </w:tr>
      <w:tr>
        <w:trPr>
          <w:trHeight w:val="368" w:hRule="exact"/>
        </w:trPr>
        <w:tc>
          <w:tcPr>
            <w:tcW w:w="357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200" w:right="0"/>
              <w:jc w:val="left"/>
              <w:rPr>
                <w:rFonts w:ascii="黑体" w:hAnsi="黑体" w:cs="黑体" w:eastAsia="黑体" w:hint="default"/>
                <w:sz w:val="18"/>
                <w:szCs w:val="18"/>
              </w:rPr>
            </w:pPr>
            <w:r>
              <w:rPr>
                <w:rFonts w:ascii="黑体" w:hAnsi="黑体" w:cs="黑体" w:eastAsia="黑体" w:hint="default"/>
                <w:sz w:val="18"/>
                <w:szCs w:val="18"/>
              </w:rPr>
              <w:t>成本法</w:t>
            </w:r>
          </w:p>
        </w:tc>
        <w:tc>
          <w:tcPr>
            <w:tcW w:w="1257"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
        </w:tc>
        <w:tc>
          <w:tcPr>
            <w:tcW w:w="1039" w:type="dxa"/>
            <w:tcBorders>
              <w:top w:val="nil" w:sz="6" w:space="0" w:color="auto"/>
              <w:left w:val="nil" w:sz="6" w:space="0" w:color="auto"/>
              <w:bottom w:val="nil" w:sz="6" w:space="0" w:color="auto"/>
              <w:right w:val="nil" w:sz="6" w:space="0" w:color="auto"/>
            </w:tcBorders>
          </w:tcPr>
          <w:p>
            <w:pPr/>
          </w:p>
        </w:tc>
        <w:tc>
          <w:tcPr>
            <w:tcW w:w="362"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
        </w:tc>
        <w:tc>
          <w:tcPr>
            <w:tcW w:w="965"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nil" w:sz="6" w:space="0" w:color="auto"/>
              <w:right w:val="nil" w:sz="6" w:space="0" w:color="auto"/>
            </w:tcBorders>
          </w:tcPr>
          <w:p>
            <w:pPr/>
          </w:p>
        </w:tc>
        <w:tc>
          <w:tcPr>
            <w:tcW w:w="1107" w:type="dxa"/>
            <w:tcBorders>
              <w:top w:val="nil" w:sz="6" w:space="0" w:color="auto"/>
              <w:left w:val="nil" w:sz="6" w:space="0" w:color="auto"/>
              <w:bottom w:val="nil" w:sz="6" w:space="0" w:color="auto"/>
              <w:right w:val="nil" w:sz="6" w:space="0" w:color="auto"/>
            </w:tcBorders>
          </w:tcPr>
          <w:p>
            <w:pPr/>
          </w:p>
        </w:tc>
      </w:tr>
      <w:tr>
        <w:trPr>
          <w:trHeight w:val="270" w:hRule="exact"/>
        </w:trPr>
        <w:tc>
          <w:tcPr>
            <w:tcW w:w="3579" w:type="dxa"/>
            <w:tcBorders>
              <w:top w:val="nil" w:sz="6" w:space="0" w:color="auto"/>
              <w:left w:val="nil" w:sz="6" w:space="0" w:color="auto"/>
              <w:bottom w:val="nil" w:sz="6" w:space="0" w:color="auto"/>
              <w:right w:val="nil" w:sz="6" w:space="0" w:color="auto"/>
            </w:tcBorders>
          </w:tcPr>
          <w:p>
            <w:pPr>
              <w:pStyle w:val="TableParagraph"/>
              <w:spacing w:line="217" w:lineRule="exact"/>
              <w:ind w:left="389" w:right="0"/>
              <w:jc w:val="left"/>
              <w:rPr>
                <w:rFonts w:ascii="黑体" w:hAnsi="黑体" w:cs="黑体" w:eastAsia="黑体" w:hint="default"/>
                <w:sz w:val="18"/>
                <w:szCs w:val="18"/>
              </w:rPr>
            </w:pPr>
            <w:r>
              <w:rPr>
                <w:rFonts w:ascii="黑体" w:hAnsi="黑体" w:cs="黑体" w:eastAsia="黑体" w:hint="default"/>
                <w:sz w:val="18"/>
                <w:szCs w:val="18"/>
              </w:rPr>
              <w:t>中投信用担保有限公司</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62"/>
              <w:jc w:val="right"/>
              <w:rPr>
                <w:rFonts w:ascii="Arial" w:hAnsi="Arial" w:cs="Arial" w:eastAsia="Arial" w:hint="default"/>
                <w:sz w:val="18"/>
                <w:szCs w:val="18"/>
              </w:rPr>
            </w:pPr>
            <w:r>
              <w:rPr>
                <w:rFonts w:ascii="Arial"/>
                <w:spacing w:val="-1"/>
                <w:sz w:val="18"/>
              </w:rPr>
              <w:t>5,000,000</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08"/>
              <w:jc w:val="right"/>
              <w:rPr>
                <w:rFonts w:ascii="Arial" w:hAnsi="Arial" w:cs="Arial" w:eastAsia="Arial" w:hint="default"/>
                <w:sz w:val="18"/>
                <w:szCs w:val="18"/>
              </w:rPr>
            </w:pPr>
            <w:r>
              <w:rPr>
                <w:rFonts w:ascii="Arial"/>
                <w:spacing w:val="-1"/>
                <w:sz w:val="18"/>
              </w:rPr>
              <w:t>5,000,000</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0"/>
              <w:jc w:val="right"/>
              <w:rPr>
                <w:rFonts w:ascii="Arial" w:hAnsi="Arial" w:cs="Arial" w:eastAsia="Arial" w:hint="default"/>
                <w:sz w:val="18"/>
                <w:szCs w:val="18"/>
              </w:rPr>
            </w:pPr>
            <w:r>
              <w:rPr>
                <w:rFonts w:ascii="Arial"/>
                <w:w w:val="99"/>
                <w:sz w:val="18"/>
              </w:rPr>
              <w:t>-</w:t>
            </w:r>
            <w:r>
              <w:rPr>
                <w:rFonts w:ascii="Arial"/>
                <w:sz w:val="18"/>
              </w:rPr>
            </w:r>
          </w:p>
        </w:tc>
        <w:tc>
          <w:tcPr>
            <w:tcW w:w="362"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5"/>
              <w:jc w:val="right"/>
              <w:rPr>
                <w:rFonts w:ascii="Arial" w:hAnsi="Arial" w:cs="Arial" w:eastAsia="Arial" w:hint="default"/>
                <w:sz w:val="18"/>
                <w:szCs w:val="18"/>
              </w:rPr>
            </w:pPr>
            <w:r>
              <w:rPr>
                <w:rFonts w:ascii="Arial"/>
                <w:spacing w:val="-1"/>
                <w:sz w:val="18"/>
              </w:rPr>
              <w:t>5,000,000</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26"/>
              <w:jc w:val="right"/>
              <w:rPr>
                <w:rFonts w:ascii="Arial" w:hAnsi="Arial" w:cs="Arial" w:eastAsia="Arial" w:hint="default"/>
                <w:sz w:val="18"/>
                <w:szCs w:val="18"/>
              </w:rPr>
            </w:pPr>
            <w:r>
              <w:rPr>
                <w:rFonts w:ascii="Arial"/>
                <w:w w:val="95"/>
                <w:sz w:val="18"/>
              </w:rPr>
              <w:t>0.50</w:t>
            </w:r>
            <w:r>
              <w:rPr>
                <w:rFonts w:ascii="Arial"/>
                <w:sz w:val="18"/>
              </w:rPr>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32"/>
              <w:jc w:val="right"/>
              <w:rPr>
                <w:rFonts w:ascii="Arial" w:hAnsi="Arial" w:cs="Arial" w:eastAsia="Arial" w:hint="default"/>
                <w:sz w:val="18"/>
                <w:szCs w:val="18"/>
              </w:rPr>
            </w:pPr>
            <w:r>
              <w:rPr>
                <w:rFonts w:ascii="Arial"/>
                <w:w w:val="95"/>
                <w:sz w:val="18"/>
              </w:rPr>
              <w:t>0.50</w:t>
            </w:r>
            <w:r>
              <w:rPr>
                <w:rFonts w:ascii="Arial"/>
                <w:sz w:val="18"/>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19"/>
              <w:jc w:val="right"/>
              <w:rPr>
                <w:rFonts w:ascii="Arial" w:hAnsi="Arial" w:cs="Arial" w:eastAsia="Arial" w:hint="default"/>
                <w:sz w:val="18"/>
                <w:szCs w:val="18"/>
              </w:rPr>
            </w:pPr>
            <w:r>
              <w:rPr>
                <w:rFonts w:ascii="Arial"/>
                <w:w w:val="99"/>
                <w:sz w:val="18"/>
              </w:rPr>
              <w:t>-</w:t>
            </w:r>
            <w:r>
              <w:rPr>
                <w:rFonts w:ascii="Arial"/>
                <w:sz w:val="18"/>
              </w:rPr>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4"/>
              <w:jc w:val="right"/>
              <w:rPr>
                <w:rFonts w:ascii="Arial" w:hAnsi="Arial" w:cs="Arial" w:eastAsia="Arial" w:hint="default"/>
                <w:sz w:val="18"/>
                <w:szCs w:val="18"/>
              </w:rPr>
            </w:pPr>
            <w:r>
              <w:rPr>
                <w:rFonts w:ascii="Arial"/>
                <w:w w:val="99"/>
                <w:sz w:val="18"/>
              </w:rPr>
              <w:t>-</w:t>
            </w:r>
            <w:r>
              <w:rPr>
                <w:rFonts w:ascii="Arial"/>
                <w:sz w:val="18"/>
              </w:rPr>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41"/>
              <w:jc w:val="right"/>
              <w:rPr>
                <w:rFonts w:ascii="Arial" w:hAnsi="Arial" w:cs="Arial" w:eastAsia="Arial" w:hint="default"/>
                <w:sz w:val="18"/>
                <w:szCs w:val="18"/>
              </w:rPr>
            </w:pPr>
            <w:r>
              <w:rPr>
                <w:rFonts w:ascii="Arial"/>
                <w:w w:val="99"/>
                <w:sz w:val="18"/>
              </w:rPr>
              <w:t>-</w:t>
            </w:r>
            <w:r>
              <w:rPr>
                <w:rFonts w:ascii="Arial"/>
                <w:sz w:val="18"/>
              </w:rPr>
            </w:r>
          </w:p>
        </w:tc>
      </w:tr>
      <w:tr>
        <w:trPr>
          <w:trHeight w:val="256" w:hRule="exact"/>
        </w:trPr>
        <w:tc>
          <w:tcPr>
            <w:tcW w:w="3579" w:type="dxa"/>
            <w:tcBorders>
              <w:top w:val="nil" w:sz="6" w:space="0" w:color="auto"/>
              <w:left w:val="nil" w:sz="6" w:space="0" w:color="auto"/>
              <w:bottom w:val="nil" w:sz="6" w:space="0" w:color="auto"/>
              <w:right w:val="nil" w:sz="6" w:space="0" w:color="auto"/>
            </w:tcBorders>
          </w:tcPr>
          <w:p>
            <w:pPr>
              <w:pStyle w:val="TableParagraph"/>
              <w:spacing w:line="202" w:lineRule="exact"/>
              <w:ind w:left="389" w:right="0"/>
              <w:jc w:val="left"/>
              <w:rPr>
                <w:rFonts w:ascii="黑体" w:hAnsi="黑体" w:cs="黑体" w:eastAsia="黑体" w:hint="default"/>
                <w:sz w:val="18"/>
                <w:szCs w:val="18"/>
              </w:rPr>
            </w:pPr>
            <w:r>
              <w:rPr>
                <w:rFonts w:ascii="黑体" w:hAnsi="黑体" w:cs="黑体" w:eastAsia="黑体" w:hint="default"/>
                <w:sz w:val="18"/>
                <w:szCs w:val="18"/>
              </w:rPr>
              <w:t>北京瑞友科技有限公司</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2"/>
              <w:jc w:val="right"/>
              <w:rPr>
                <w:rFonts w:ascii="Arial" w:hAnsi="Arial" w:cs="Arial" w:eastAsia="Arial" w:hint="default"/>
                <w:sz w:val="18"/>
                <w:szCs w:val="18"/>
              </w:rPr>
            </w:pPr>
            <w:r>
              <w:rPr>
                <w:rFonts w:ascii="Arial"/>
                <w:spacing w:val="-1"/>
                <w:sz w:val="18"/>
              </w:rPr>
              <w:t>4,615,766</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8"/>
              <w:jc w:val="right"/>
              <w:rPr>
                <w:rFonts w:ascii="Arial" w:hAnsi="Arial" w:cs="Arial" w:eastAsia="Arial" w:hint="default"/>
                <w:sz w:val="18"/>
                <w:szCs w:val="18"/>
              </w:rPr>
            </w:pPr>
            <w:r>
              <w:rPr>
                <w:rFonts w:ascii="Arial"/>
                <w:spacing w:val="-1"/>
                <w:sz w:val="18"/>
              </w:rPr>
              <w:t>4,615,766</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0"/>
              <w:jc w:val="right"/>
              <w:rPr>
                <w:rFonts w:ascii="Arial" w:hAnsi="Arial" w:cs="Arial" w:eastAsia="Arial" w:hint="default"/>
                <w:sz w:val="18"/>
                <w:szCs w:val="18"/>
              </w:rPr>
            </w:pPr>
            <w:r>
              <w:rPr>
                <w:rFonts w:ascii="Arial"/>
                <w:w w:val="99"/>
                <w:sz w:val="18"/>
              </w:rPr>
              <w:t>-</w:t>
            </w:r>
            <w:r>
              <w:rPr>
                <w:rFonts w:ascii="Arial"/>
                <w:sz w:val="18"/>
              </w:rPr>
            </w:r>
          </w:p>
        </w:tc>
        <w:tc>
          <w:tcPr>
            <w:tcW w:w="362"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5"/>
              <w:jc w:val="right"/>
              <w:rPr>
                <w:rFonts w:ascii="Arial" w:hAnsi="Arial" w:cs="Arial" w:eastAsia="Arial" w:hint="default"/>
                <w:sz w:val="18"/>
                <w:szCs w:val="18"/>
              </w:rPr>
            </w:pPr>
            <w:r>
              <w:rPr>
                <w:rFonts w:ascii="Arial"/>
                <w:spacing w:val="-1"/>
                <w:sz w:val="18"/>
              </w:rPr>
              <w:t>4,615,766</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6"/>
              <w:jc w:val="right"/>
              <w:rPr>
                <w:rFonts w:ascii="Arial" w:hAnsi="Arial" w:cs="Arial" w:eastAsia="Arial" w:hint="default"/>
                <w:sz w:val="18"/>
                <w:szCs w:val="18"/>
              </w:rPr>
            </w:pPr>
            <w:r>
              <w:rPr>
                <w:rFonts w:ascii="Arial"/>
                <w:w w:val="95"/>
                <w:sz w:val="18"/>
              </w:rPr>
              <w:t>18.73</w:t>
            </w:r>
            <w:r>
              <w:rPr>
                <w:rFonts w:ascii="Arial"/>
                <w:sz w:val="18"/>
              </w:rPr>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2"/>
              <w:jc w:val="right"/>
              <w:rPr>
                <w:rFonts w:ascii="Arial" w:hAnsi="Arial" w:cs="Arial" w:eastAsia="Arial" w:hint="default"/>
                <w:sz w:val="18"/>
                <w:szCs w:val="18"/>
              </w:rPr>
            </w:pPr>
            <w:r>
              <w:rPr>
                <w:rFonts w:ascii="Arial"/>
                <w:w w:val="95"/>
                <w:sz w:val="18"/>
              </w:rPr>
              <w:t>18.73</w:t>
            </w:r>
            <w:r>
              <w:rPr>
                <w:rFonts w:ascii="Arial"/>
                <w:sz w:val="18"/>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9"/>
              <w:jc w:val="right"/>
              <w:rPr>
                <w:rFonts w:ascii="Arial" w:hAnsi="Arial" w:cs="Arial" w:eastAsia="Arial" w:hint="default"/>
                <w:sz w:val="18"/>
                <w:szCs w:val="18"/>
              </w:rPr>
            </w:pPr>
            <w:r>
              <w:rPr>
                <w:rFonts w:ascii="Arial"/>
                <w:w w:val="99"/>
                <w:sz w:val="18"/>
              </w:rPr>
              <w:t>-</w:t>
            </w:r>
            <w:r>
              <w:rPr>
                <w:rFonts w:ascii="Arial"/>
                <w:sz w:val="18"/>
              </w:rPr>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4"/>
              <w:jc w:val="right"/>
              <w:rPr>
                <w:rFonts w:ascii="Arial" w:hAnsi="Arial" w:cs="Arial" w:eastAsia="Arial" w:hint="default"/>
                <w:sz w:val="18"/>
                <w:szCs w:val="18"/>
              </w:rPr>
            </w:pPr>
            <w:r>
              <w:rPr>
                <w:rFonts w:ascii="Arial"/>
                <w:w w:val="99"/>
                <w:sz w:val="18"/>
              </w:rPr>
              <w:t>-</w:t>
            </w:r>
            <w:r>
              <w:rPr>
                <w:rFonts w:ascii="Arial"/>
                <w:sz w:val="18"/>
              </w:rPr>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41"/>
              <w:jc w:val="right"/>
              <w:rPr>
                <w:rFonts w:ascii="Arial" w:hAnsi="Arial" w:cs="Arial" w:eastAsia="Arial" w:hint="default"/>
                <w:sz w:val="18"/>
                <w:szCs w:val="18"/>
              </w:rPr>
            </w:pPr>
            <w:r>
              <w:rPr>
                <w:rFonts w:ascii="Arial"/>
                <w:w w:val="99"/>
                <w:sz w:val="18"/>
              </w:rPr>
              <w:t>-</w:t>
            </w:r>
            <w:r>
              <w:rPr>
                <w:rFonts w:ascii="Arial"/>
                <w:sz w:val="18"/>
              </w:rPr>
            </w:r>
          </w:p>
        </w:tc>
      </w:tr>
      <w:tr>
        <w:trPr>
          <w:trHeight w:val="256" w:hRule="exact"/>
        </w:trPr>
        <w:tc>
          <w:tcPr>
            <w:tcW w:w="3579" w:type="dxa"/>
            <w:tcBorders>
              <w:top w:val="nil" w:sz="6" w:space="0" w:color="auto"/>
              <w:left w:val="nil" w:sz="6" w:space="0" w:color="auto"/>
              <w:bottom w:val="nil" w:sz="6" w:space="0" w:color="auto"/>
              <w:right w:val="nil" w:sz="6" w:space="0" w:color="auto"/>
            </w:tcBorders>
          </w:tcPr>
          <w:p>
            <w:pPr>
              <w:pStyle w:val="TableParagraph"/>
              <w:spacing w:line="216" w:lineRule="exact"/>
              <w:ind w:left="389" w:right="0"/>
              <w:jc w:val="left"/>
              <w:rPr>
                <w:rFonts w:ascii="黑体" w:hAnsi="黑体" w:cs="黑体" w:eastAsia="黑体" w:hint="default"/>
                <w:sz w:val="18"/>
                <w:szCs w:val="18"/>
              </w:rPr>
            </w:pPr>
            <w:r>
              <w:rPr>
                <w:rFonts w:ascii="黑体" w:hAnsi="黑体" w:cs="黑体" w:eastAsia="黑体" w:hint="default"/>
                <w:sz w:val="18"/>
                <w:szCs w:val="18"/>
              </w:rPr>
              <w:t>中企永联数据交换技术</w:t>
            </w:r>
            <w:r>
              <w:rPr>
                <w:rFonts w:ascii="Arial" w:hAnsi="Arial" w:cs="Arial" w:eastAsia="Arial" w:hint="default"/>
                <w:sz w:val="18"/>
                <w:szCs w:val="18"/>
              </w:rPr>
              <w:t>(</w:t>
            </w:r>
            <w:r>
              <w:rPr>
                <w:rFonts w:ascii="黑体" w:hAnsi="黑体" w:cs="黑体" w:eastAsia="黑体" w:hint="default"/>
                <w:sz w:val="18"/>
                <w:szCs w:val="18"/>
              </w:rPr>
              <w:t>北京</w:t>
            </w:r>
            <w:r>
              <w:rPr>
                <w:rFonts w:ascii="Arial" w:hAnsi="Arial" w:cs="Arial" w:eastAsia="Arial" w:hint="default"/>
                <w:sz w:val="18"/>
                <w:szCs w:val="18"/>
              </w:rPr>
              <w:t>)</w:t>
            </w:r>
            <w:r>
              <w:rPr>
                <w:rFonts w:ascii="黑体" w:hAnsi="黑体" w:cs="黑体" w:eastAsia="黑体" w:hint="default"/>
                <w:sz w:val="18"/>
                <w:szCs w:val="18"/>
              </w:rPr>
              <w:t>有限公司</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62"/>
              <w:jc w:val="right"/>
              <w:rPr>
                <w:rFonts w:ascii="Arial" w:hAnsi="Arial" w:cs="Arial" w:eastAsia="Arial" w:hint="default"/>
                <w:sz w:val="18"/>
                <w:szCs w:val="18"/>
              </w:rPr>
            </w:pPr>
            <w:r>
              <w:rPr>
                <w:rFonts w:ascii="Arial"/>
                <w:spacing w:val="-1"/>
                <w:sz w:val="18"/>
              </w:rPr>
              <w:t>2,500,000</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08"/>
              <w:jc w:val="right"/>
              <w:rPr>
                <w:rFonts w:ascii="Arial" w:hAnsi="Arial" w:cs="Arial" w:eastAsia="Arial" w:hint="default"/>
                <w:sz w:val="18"/>
                <w:szCs w:val="18"/>
              </w:rPr>
            </w:pPr>
            <w:r>
              <w:rPr>
                <w:rFonts w:ascii="Arial"/>
                <w:spacing w:val="-1"/>
                <w:sz w:val="18"/>
              </w:rPr>
              <w:t>2,500,000</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0"/>
              <w:jc w:val="right"/>
              <w:rPr>
                <w:rFonts w:ascii="Arial" w:hAnsi="Arial" w:cs="Arial" w:eastAsia="Arial" w:hint="default"/>
                <w:sz w:val="18"/>
                <w:szCs w:val="18"/>
              </w:rPr>
            </w:pPr>
            <w:r>
              <w:rPr>
                <w:rFonts w:ascii="Arial"/>
                <w:w w:val="99"/>
                <w:sz w:val="18"/>
              </w:rPr>
              <w:t>-</w:t>
            </w:r>
            <w:r>
              <w:rPr>
                <w:rFonts w:ascii="Arial"/>
                <w:sz w:val="18"/>
              </w:rPr>
            </w:r>
          </w:p>
        </w:tc>
        <w:tc>
          <w:tcPr>
            <w:tcW w:w="362"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55"/>
              <w:jc w:val="right"/>
              <w:rPr>
                <w:rFonts w:ascii="Arial" w:hAnsi="Arial" w:cs="Arial" w:eastAsia="Arial" w:hint="default"/>
                <w:sz w:val="18"/>
                <w:szCs w:val="18"/>
              </w:rPr>
            </w:pPr>
            <w:r>
              <w:rPr>
                <w:rFonts w:ascii="Arial"/>
                <w:spacing w:val="-1"/>
                <w:sz w:val="18"/>
              </w:rPr>
              <w:t>2,500,000</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26"/>
              <w:jc w:val="right"/>
              <w:rPr>
                <w:rFonts w:ascii="Arial" w:hAnsi="Arial" w:cs="Arial" w:eastAsia="Arial" w:hint="default"/>
                <w:sz w:val="18"/>
                <w:szCs w:val="18"/>
              </w:rPr>
            </w:pPr>
            <w:r>
              <w:rPr>
                <w:rFonts w:ascii="Arial"/>
                <w:w w:val="95"/>
                <w:sz w:val="18"/>
              </w:rPr>
              <w:t>19.81</w:t>
            </w:r>
            <w:r>
              <w:rPr>
                <w:rFonts w:ascii="Arial"/>
                <w:sz w:val="18"/>
              </w:rPr>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32"/>
              <w:jc w:val="right"/>
              <w:rPr>
                <w:rFonts w:ascii="Arial" w:hAnsi="Arial" w:cs="Arial" w:eastAsia="Arial" w:hint="default"/>
                <w:sz w:val="18"/>
                <w:szCs w:val="18"/>
              </w:rPr>
            </w:pPr>
            <w:r>
              <w:rPr>
                <w:rFonts w:ascii="Arial"/>
                <w:w w:val="95"/>
                <w:sz w:val="18"/>
              </w:rPr>
              <w:t>19.81</w:t>
            </w:r>
            <w:r>
              <w:rPr>
                <w:rFonts w:ascii="Arial"/>
                <w:sz w:val="18"/>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19"/>
              <w:jc w:val="right"/>
              <w:rPr>
                <w:rFonts w:ascii="Arial" w:hAnsi="Arial" w:cs="Arial" w:eastAsia="Arial" w:hint="default"/>
                <w:sz w:val="18"/>
                <w:szCs w:val="18"/>
              </w:rPr>
            </w:pPr>
            <w:r>
              <w:rPr>
                <w:rFonts w:ascii="Arial"/>
                <w:w w:val="99"/>
                <w:sz w:val="18"/>
              </w:rPr>
              <w:t>-</w:t>
            </w:r>
            <w:r>
              <w:rPr>
                <w:rFonts w:ascii="Arial"/>
                <w:sz w:val="18"/>
              </w:rPr>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4"/>
              <w:jc w:val="right"/>
              <w:rPr>
                <w:rFonts w:ascii="Arial" w:hAnsi="Arial" w:cs="Arial" w:eastAsia="Arial" w:hint="default"/>
                <w:sz w:val="18"/>
                <w:szCs w:val="18"/>
              </w:rPr>
            </w:pPr>
            <w:r>
              <w:rPr>
                <w:rFonts w:ascii="Arial"/>
                <w:w w:val="99"/>
                <w:sz w:val="18"/>
              </w:rPr>
              <w:t>-</w:t>
            </w:r>
            <w:r>
              <w:rPr>
                <w:rFonts w:ascii="Arial"/>
                <w:sz w:val="18"/>
              </w:rPr>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41"/>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3579" w:type="dxa"/>
            <w:tcBorders>
              <w:top w:val="nil" w:sz="6" w:space="0" w:color="auto"/>
              <w:left w:val="nil" w:sz="6" w:space="0" w:color="auto"/>
              <w:bottom w:val="nil" w:sz="6" w:space="0" w:color="auto"/>
              <w:right w:val="nil" w:sz="6" w:space="0" w:color="auto"/>
            </w:tcBorders>
          </w:tcPr>
          <w:p>
            <w:pPr>
              <w:pStyle w:val="TableParagraph"/>
              <w:spacing w:line="202" w:lineRule="exact"/>
              <w:ind w:left="389" w:right="0"/>
              <w:jc w:val="left"/>
              <w:rPr>
                <w:rFonts w:ascii="黑体" w:hAnsi="黑体" w:cs="黑体" w:eastAsia="黑体" w:hint="default"/>
                <w:sz w:val="18"/>
                <w:szCs w:val="18"/>
              </w:rPr>
            </w:pPr>
            <w:r>
              <w:rPr>
                <w:rFonts w:ascii="黑体" w:hAnsi="黑体" w:cs="黑体" w:eastAsia="黑体" w:hint="default"/>
                <w:sz w:val="18"/>
                <w:szCs w:val="18"/>
              </w:rPr>
              <w:t>中科方德软件有限公司</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3"/>
              <w:jc w:val="right"/>
              <w:rPr>
                <w:rFonts w:ascii="Arial" w:hAnsi="Arial" w:cs="Arial" w:eastAsia="Arial" w:hint="default"/>
                <w:sz w:val="18"/>
                <w:szCs w:val="18"/>
              </w:rPr>
            </w:pPr>
            <w:r>
              <w:rPr>
                <w:rFonts w:ascii="Arial"/>
                <w:spacing w:val="-1"/>
                <w:sz w:val="18"/>
              </w:rPr>
              <w:t>11,500,000</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8"/>
              <w:jc w:val="right"/>
              <w:rPr>
                <w:rFonts w:ascii="Arial" w:hAnsi="Arial" w:cs="Arial" w:eastAsia="Arial" w:hint="default"/>
                <w:sz w:val="18"/>
                <w:szCs w:val="18"/>
              </w:rPr>
            </w:pPr>
            <w:r>
              <w:rPr>
                <w:rFonts w:ascii="Arial"/>
                <w:spacing w:val="-1"/>
                <w:sz w:val="18"/>
              </w:rPr>
              <w:t>11,500,000</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0"/>
              <w:jc w:val="right"/>
              <w:rPr>
                <w:rFonts w:ascii="Arial" w:hAnsi="Arial" w:cs="Arial" w:eastAsia="Arial" w:hint="default"/>
                <w:sz w:val="18"/>
                <w:szCs w:val="18"/>
              </w:rPr>
            </w:pPr>
            <w:r>
              <w:rPr>
                <w:rFonts w:ascii="Arial"/>
                <w:w w:val="99"/>
                <w:sz w:val="18"/>
              </w:rPr>
              <w:t>-</w:t>
            </w:r>
            <w:r>
              <w:rPr>
                <w:rFonts w:ascii="Arial"/>
                <w:sz w:val="18"/>
              </w:rPr>
            </w:r>
          </w:p>
        </w:tc>
        <w:tc>
          <w:tcPr>
            <w:tcW w:w="362"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5"/>
              <w:jc w:val="right"/>
              <w:rPr>
                <w:rFonts w:ascii="Arial" w:hAnsi="Arial" w:cs="Arial" w:eastAsia="Arial" w:hint="default"/>
                <w:sz w:val="18"/>
                <w:szCs w:val="18"/>
              </w:rPr>
            </w:pPr>
            <w:r>
              <w:rPr>
                <w:rFonts w:ascii="Arial"/>
                <w:spacing w:val="-1"/>
                <w:sz w:val="18"/>
              </w:rPr>
              <w:t>11,500,000</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6"/>
              <w:jc w:val="right"/>
              <w:rPr>
                <w:rFonts w:ascii="Arial" w:hAnsi="Arial" w:cs="Arial" w:eastAsia="Arial" w:hint="default"/>
                <w:sz w:val="18"/>
                <w:szCs w:val="18"/>
              </w:rPr>
            </w:pPr>
            <w:r>
              <w:rPr>
                <w:rFonts w:ascii="Arial"/>
                <w:w w:val="95"/>
                <w:sz w:val="18"/>
              </w:rPr>
              <w:t>11.25</w:t>
            </w:r>
            <w:r>
              <w:rPr>
                <w:rFonts w:ascii="Arial"/>
                <w:sz w:val="18"/>
              </w:rPr>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2"/>
              <w:jc w:val="right"/>
              <w:rPr>
                <w:rFonts w:ascii="Arial" w:hAnsi="Arial" w:cs="Arial" w:eastAsia="Arial" w:hint="default"/>
                <w:sz w:val="18"/>
                <w:szCs w:val="18"/>
              </w:rPr>
            </w:pPr>
            <w:r>
              <w:rPr>
                <w:rFonts w:ascii="Arial"/>
                <w:w w:val="95"/>
                <w:sz w:val="18"/>
              </w:rPr>
              <w:t>11.25</w:t>
            </w:r>
            <w:r>
              <w:rPr>
                <w:rFonts w:ascii="Arial"/>
                <w:sz w:val="18"/>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9"/>
              <w:jc w:val="right"/>
              <w:rPr>
                <w:rFonts w:ascii="Arial" w:hAnsi="Arial" w:cs="Arial" w:eastAsia="Arial" w:hint="default"/>
                <w:sz w:val="18"/>
                <w:szCs w:val="18"/>
              </w:rPr>
            </w:pPr>
            <w:r>
              <w:rPr>
                <w:rFonts w:ascii="Arial"/>
                <w:w w:val="99"/>
                <w:sz w:val="18"/>
              </w:rPr>
              <w:t>-</w:t>
            </w:r>
            <w:r>
              <w:rPr>
                <w:rFonts w:ascii="Arial"/>
                <w:sz w:val="18"/>
              </w:rPr>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4"/>
              <w:jc w:val="right"/>
              <w:rPr>
                <w:rFonts w:ascii="Arial" w:hAnsi="Arial" w:cs="Arial" w:eastAsia="Arial" w:hint="default"/>
                <w:sz w:val="18"/>
                <w:szCs w:val="18"/>
              </w:rPr>
            </w:pPr>
            <w:r>
              <w:rPr>
                <w:rFonts w:ascii="Arial"/>
                <w:w w:val="99"/>
                <w:sz w:val="18"/>
              </w:rPr>
              <w:t>-</w:t>
            </w:r>
            <w:r>
              <w:rPr>
                <w:rFonts w:ascii="Arial"/>
                <w:sz w:val="18"/>
              </w:rPr>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8"/>
              <w:jc w:val="right"/>
              <w:rPr>
                <w:rFonts w:ascii="Arial" w:hAnsi="Arial" w:cs="Arial" w:eastAsia="Arial" w:hint="default"/>
                <w:sz w:val="18"/>
                <w:szCs w:val="18"/>
              </w:rPr>
            </w:pPr>
            <w:r>
              <w:rPr>
                <w:rFonts w:ascii="Arial"/>
                <w:spacing w:val="-1"/>
                <w:sz w:val="18"/>
              </w:rPr>
              <w:t>1,170,000</w:t>
            </w:r>
          </w:p>
        </w:tc>
      </w:tr>
      <w:tr>
        <w:trPr>
          <w:trHeight w:val="254" w:hRule="exact"/>
        </w:trPr>
        <w:tc>
          <w:tcPr>
            <w:tcW w:w="3579" w:type="dxa"/>
            <w:tcBorders>
              <w:top w:val="nil" w:sz="6" w:space="0" w:color="auto"/>
              <w:left w:val="nil" w:sz="6" w:space="0" w:color="auto"/>
              <w:bottom w:val="nil" w:sz="6" w:space="0" w:color="auto"/>
              <w:right w:val="nil" w:sz="6" w:space="0" w:color="auto"/>
            </w:tcBorders>
          </w:tcPr>
          <w:p>
            <w:pPr>
              <w:pStyle w:val="TableParagraph"/>
              <w:spacing w:line="202" w:lineRule="exact"/>
              <w:ind w:left="389" w:right="0"/>
              <w:jc w:val="left"/>
              <w:rPr>
                <w:rFonts w:ascii="黑体" w:hAnsi="黑体" w:cs="黑体" w:eastAsia="黑体" w:hint="default"/>
                <w:sz w:val="18"/>
                <w:szCs w:val="18"/>
              </w:rPr>
            </w:pPr>
            <w:r>
              <w:rPr>
                <w:rFonts w:ascii="黑体" w:hAnsi="黑体" w:cs="黑体" w:eastAsia="黑体" w:hint="default"/>
                <w:sz w:val="18"/>
                <w:szCs w:val="18"/>
              </w:rPr>
              <w:t>深圳市新希元软件技术有限公司</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2"/>
              <w:jc w:val="right"/>
              <w:rPr>
                <w:rFonts w:ascii="Arial" w:hAnsi="Arial" w:cs="Arial" w:eastAsia="Arial" w:hint="default"/>
                <w:sz w:val="18"/>
                <w:szCs w:val="18"/>
              </w:rPr>
            </w:pPr>
            <w:r>
              <w:rPr>
                <w:rFonts w:ascii="Arial"/>
                <w:spacing w:val="-1"/>
                <w:sz w:val="18"/>
              </w:rPr>
              <w:t>5,000,000</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8"/>
              <w:jc w:val="right"/>
              <w:rPr>
                <w:rFonts w:ascii="Arial" w:hAnsi="Arial" w:cs="Arial" w:eastAsia="Arial" w:hint="default"/>
                <w:sz w:val="18"/>
                <w:szCs w:val="18"/>
              </w:rPr>
            </w:pPr>
            <w:r>
              <w:rPr>
                <w:rFonts w:ascii="Arial"/>
                <w:spacing w:val="-1"/>
                <w:sz w:val="18"/>
              </w:rPr>
              <w:t>5,000,000</w:t>
            </w:r>
          </w:p>
        </w:tc>
        <w:tc>
          <w:tcPr>
            <w:tcW w:w="1039"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0"/>
              <w:jc w:val="right"/>
              <w:rPr>
                <w:rFonts w:ascii="Arial" w:hAnsi="Arial" w:cs="Arial" w:eastAsia="Arial" w:hint="default"/>
                <w:sz w:val="18"/>
                <w:szCs w:val="18"/>
              </w:rPr>
            </w:pPr>
            <w:r>
              <w:rPr>
                <w:rFonts w:ascii="Arial"/>
                <w:w w:val="99"/>
                <w:sz w:val="18"/>
              </w:rPr>
              <w:t>-</w:t>
            </w:r>
            <w:r>
              <w:rPr>
                <w:rFonts w:ascii="Arial"/>
                <w:sz w:val="18"/>
              </w:rPr>
            </w:r>
          </w:p>
        </w:tc>
        <w:tc>
          <w:tcPr>
            <w:tcW w:w="362"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5"/>
              <w:jc w:val="right"/>
              <w:rPr>
                <w:rFonts w:ascii="Arial" w:hAnsi="Arial" w:cs="Arial" w:eastAsia="Arial" w:hint="default"/>
                <w:sz w:val="18"/>
                <w:szCs w:val="18"/>
              </w:rPr>
            </w:pPr>
            <w:r>
              <w:rPr>
                <w:rFonts w:ascii="Arial"/>
                <w:spacing w:val="-1"/>
                <w:sz w:val="18"/>
              </w:rPr>
              <w:t>5,000,000</w:t>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6"/>
              <w:jc w:val="right"/>
              <w:rPr>
                <w:rFonts w:ascii="Arial" w:hAnsi="Arial" w:cs="Arial" w:eastAsia="Arial" w:hint="default"/>
                <w:sz w:val="18"/>
                <w:szCs w:val="18"/>
              </w:rPr>
            </w:pPr>
            <w:r>
              <w:rPr>
                <w:rFonts w:ascii="Arial"/>
                <w:w w:val="95"/>
                <w:sz w:val="18"/>
              </w:rPr>
              <w:t>19.80</w:t>
            </w:r>
            <w:r>
              <w:rPr>
                <w:rFonts w:ascii="Arial"/>
                <w:sz w:val="18"/>
              </w:rPr>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2"/>
              <w:jc w:val="right"/>
              <w:rPr>
                <w:rFonts w:ascii="Arial" w:hAnsi="Arial" w:cs="Arial" w:eastAsia="Arial" w:hint="default"/>
                <w:sz w:val="18"/>
                <w:szCs w:val="18"/>
              </w:rPr>
            </w:pPr>
            <w:r>
              <w:rPr>
                <w:rFonts w:ascii="Arial"/>
                <w:w w:val="95"/>
                <w:sz w:val="18"/>
              </w:rPr>
              <w:t>19.80</w:t>
            </w:r>
            <w:r>
              <w:rPr>
                <w:rFonts w:ascii="Arial"/>
                <w:sz w:val="18"/>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9"/>
              <w:jc w:val="right"/>
              <w:rPr>
                <w:rFonts w:ascii="Arial" w:hAnsi="Arial" w:cs="Arial" w:eastAsia="Arial" w:hint="default"/>
                <w:sz w:val="18"/>
                <w:szCs w:val="18"/>
              </w:rPr>
            </w:pPr>
            <w:r>
              <w:rPr>
                <w:rFonts w:ascii="Arial"/>
                <w:w w:val="99"/>
                <w:sz w:val="18"/>
              </w:rPr>
              <w:t>-</w:t>
            </w:r>
            <w:r>
              <w:rPr>
                <w:rFonts w:ascii="Arial"/>
                <w:sz w:val="18"/>
              </w:rPr>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4"/>
              <w:jc w:val="right"/>
              <w:rPr>
                <w:rFonts w:ascii="Arial" w:hAnsi="Arial" w:cs="Arial" w:eastAsia="Arial" w:hint="default"/>
                <w:sz w:val="18"/>
                <w:szCs w:val="18"/>
              </w:rPr>
            </w:pPr>
            <w:r>
              <w:rPr>
                <w:rFonts w:ascii="Arial"/>
                <w:w w:val="99"/>
                <w:sz w:val="18"/>
              </w:rPr>
              <w:t>-</w:t>
            </w:r>
            <w:r>
              <w:rPr>
                <w:rFonts w:ascii="Arial"/>
                <w:sz w:val="18"/>
              </w:rPr>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41"/>
              <w:jc w:val="right"/>
              <w:rPr>
                <w:rFonts w:ascii="Arial" w:hAnsi="Arial" w:cs="Arial" w:eastAsia="Arial" w:hint="default"/>
                <w:sz w:val="18"/>
                <w:szCs w:val="18"/>
              </w:rPr>
            </w:pPr>
            <w:r>
              <w:rPr>
                <w:rFonts w:ascii="Arial"/>
                <w:w w:val="99"/>
                <w:sz w:val="18"/>
              </w:rPr>
              <w:t>-</w:t>
            </w:r>
            <w:r>
              <w:rPr>
                <w:rFonts w:ascii="Arial"/>
                <w:sz w:val="18"/>
              </w:rPr>
            </w:r>
          </w:p>
        </w:tc>
      </w:tr>
      <w:tr>
        <w:trPr>
          <w:trHeight w:val="383" w:hRule="exact"/>
        </w:trPr>
        <w:tc>
          <w:tcPr>
            <w:tcW w:w="3579" w:type="dxa"/>
            <w:tcBorders>
              <w:top w:val="nil" w:sz="6" w:space="0" w:color="auto"/>
              <w:left w:val="nil" w:sz="6" w:space="0" w:color="auto"/>
              <w:bottom w:val="nil" w:sz="6" w:space="0" w:color="auto"/>
              <w:right w:val="nil" w:sz="6" w:space="0" w:color="auto"/>
            </w:tcBorders>
          </w:tcPr>
          <w:p>
            <w:pPr>
              <w:pStyle w:val="TableParagraph"/>
              <w:spacing w:line="202" w:lineRule="exact"/>
              <w:ind w:left="389" w:right="0"/>
              <w:jc w:val="left"/>
              <w:rPr>
                <w:rFonts w:ascii="黑体" w:hAnsi="黑体" w:cs="黑体" w:eastAsia="黑体" w:hint="default"/>
                <w:sz w:val="18"/>
                <w:szCs w:val="18"/>
              </w:rPr>
            </w:pPr>
            <w:r>
              <w:rPr>
                <w:rFonts w:ascii="黑体" w:hAnsi="黑体" w:cs="黑体" w:eastAsia="黑体" w:hint="default"/>
                <w:sz w:val="18"/>
                <w:szCs w:val="18"/>
              </w:rPr>
              <w:t>通联支付网络服务股份有限公司</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3"/>
              <w:jc w:val="right"/>
              <w:rPr>
                <w:rFonts w:ascii="Arial" w:hAnsi="Arial" w:cs="Arial" w:eastAsia="Arial" w:hint="default"/>
                <w:sz w:val="18"/>
                <w:szCs w:val="18"/>
              </w:rPr>
            </w:pPr>
            <w:r>
              <w:rPr>
                <w:rFonts w:ascii="Arial"/>
                <w:w w:val="99"/>
                <w:sz w:val="18"/>
              </w:rPr>
            </w:r>
            <w:r>
              <w:rPr>
                <w:rFonts w:ascii="Arial"/>
                <w:spacing w:val="-1"/>
                <w:sz w:val="18"/>
                <w:u w:val="single" w:color="000000"/>
              </w:rPr>
              <w:t>45,000,000</w:t>
            </w:r>
            <w:r>
              <w:rPr>
                <w:rFonts w:ascii="Arial"/>
                <w:spacing w:val="-1"/>
                <w:sz w:val="18"/>
              </w:rPr>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8"/>
              <w:jc w:val="right"/>
              <w:rPr>
                <w:rFonts w:ascii="Arial" w:hAnsi="Arial" w:cs="Arial" w:eastAsia="Arial" w:hint="default"/>
                <w:sz w:val="18"/>
                <w:szCs w:val="18"/>
              </w:rPr>
            </w:pPr>
            <w:r>
              <w:rPr>
                <w:rFonts w:ascii="Arial"/>
                <w:w w:val="99"/>
                <w:sz w:val="18"/>
              </w:rPr>
            </w:r>
            <w:r>
              <w:rPr>
                <w:rFonts w:ascii="Arial"/>
                <w:spacing w:val="-1"/>
                <w:sz w:val="18"/>
                <w:u w:val="single" w:color="000000"/>
              </w:rPr>
              <w:t>45,000,000</w:t>
            </w:r>
            <w:r>
              <w:rPr>
                <w:rFonts w:ascii="Arial"/>
                <w:spacing w:val="-1"/>
                <w:sz w:val="18"/>
              </w:rPr>
            </w:r>
          </w:p>
        </w:tc>
        <w:tc>
          <w:tcPr>
            <w:tcW w:w="1039" w:type="dxa"/>
            <w:tcBorders>
              <w:top w:val="nil" w:sz="6" w:space="0" w:color="auto"/>
              <w:left w:val="nil" w:sz="6" w:space="0" w:color="auto"/>
              <w:bottom w:val="nil" w:sz="6" w:space="0" w:color="auto"/>
              <w:right w:val="nil" w:sz="6" w:space="0" w:color="auto"/>
            </w:tcBorders>
          </w:tcPr>
          <w:p>
            <w:pPr>
              <w:pStyle w:val="TableParagraph"/>
              <w:tabs>
                <w:tab w:pos="722" w:val="left" w:leader="none"/>
              </w:tabs>
              <w:spacing w:line="240" w:lineRule="auto" w:before="29"/>
              <w:ind w:right="2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362"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55"/>
              <w:jc w:val="right"/>
              <w:rPr>
                <w:rFonts w:ascii="Arial" w:hAnsi="Arial" w:cs="Arial" w:eastAsia="Arial" w:hint="default"/>
                <w:sz w:val="18"/>
                <w:szCs w:val="18"/>
              </w:rPr>
            </w:pPr>
            <w:r>
              <w:rPr>
                <w:rFonts w:ascii="Arial"/>
                <w:w w:val="99"/>
                <w:sz w:val="18"/>
              </w:rPr>
            </w:r>
            <w:r>
              <w:rPr>
                <w:rFonts w:ascii="Arial"/>
                <w:spacing w:val="-1"/>
                <w:sz w:val="18"/>
                <w:u w:val="single" w:color="000000"/>
              </w:rPr>
              <w:t>45,000,000</w:t>
            </w:r>
            <w:r>
              <w:rPr>
                <w:rFonts w:ascii="Arial"/>
                <w:spacing w:val="-1"/>
                <w:sz w:val="18"/>
              </w:rPr>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6"/>
              <w:jc w:val="right"/>
              <w:rPr>
                <w:rFonts w:ascii="Arial" w:hAnsi="Arial" w:cs="Arial" w:eastAsia="Arial" w:hint="default"/>
                <w:sz w:val="18"/>
                <w:szCs w:val="18"/>
              </w:rPr>
            </w:pPr>
            <w:r>
              <w:rPr>
                <w:rFonts w:ascii="Arial"/>
                <w:w w:val="95"/>
                <w:sz w:val="18"/>
              </w:rPr>
              <w:t>2.05</w:t>
            </w:r>
            <w:r>
              <w:rPr>
                <w:rFonts w:ascii="Arial"/>
                <w:sz w:val="18"/>
              </w:rPr>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2"/>
              <w:jc w:val="right"/>
              <w:rPr>
                <w:rFonts w:ascii="Arial" w:hAnsi="Arial" w:cs="Arial" w:eastAsia="Arial" w:hint="default"/>
                <w:sz w:val="18"/>
                <w:szCs w:val="18"/>
              </w:rPr>
            </w:pPr>
            <w:r>
              <w:rPr>
                <w:rFonts w:ascii="Arial"/>
                <w:w w:val="95"/>
                <w:sz w:val="18"/>
              </w:rPr>
              <w:t>2.05</w:t>
            </w:r>
            <w:r>
              <w:rPr>
                <w:rFonts w:ascii="Arial"/>
                <w:sz w:val="18"/>
              </w:rPr>
            </w:r>
          </w:p>
        </w:tc>
        <w:tc>
          <w:tcPr>
            <w:tcW w:w="1162" w:type="dxa"/>
            <w:tcBorders>
              <w:top w:val="nil" w:sz="6" w:space="0" w:color="auto"/>
              <w:left w:val="nil" w:sz="6" w:space="0" w:color="auto"/>
              <w:bottom w:val="nil" w:sz="6" w:space="0" w:color="auto"/>
              <w:right w:val="nil" w:sz="6" w:space="0" w:color="auto"/>
            </w:tcBorders>
          </w:tcPr>
          <w:p>
            <w:pPr>
              <w:pStyle w:val="TableParagraph"/>
              <w:tabs>
                <w:tab w:pos="782" w:val="left" w:leader="none"/>
              </w:tabs>
              <w:spacing w:line="240" w:lineRule="auto" w:before="8"/>
              <w:ind w:left="-32" w:right="31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068" w:type="dxa"/>
            <w:tcBorders>
              <w:top w:val="nil" w:sz="6" w:space="0" w:color="auto"/>
              <w:left w:val="nil" w:sz="6" w:space="0" w:color="auto"/>
              <w:bottom w:val="nil" w:sz="6" w:space="0" w:color="auto"/>
              <w:right w:val="nil" w:sz="6" w:space="0" w:color="auto"/>
            </w:tcBorders>
          </w:tcPr>
          <w:p>
            <w:pPr>
              <w:pStyle w:val="TableParagraph"/>
              <w:tabs>
                <w:tab w:pos="924" w:val="left" w:leader="none"/>
              </w:tabs>
              <w:spacing w:line="240" w:lineRule="auto" w:before="8"/>
              <w:ind w:left="110"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07" w:type="dxa"/>
            <w:tcBorders>
              <w:top w:val="nil" w:sz="6" w:space="0" w:color="auto"/>
              <w:left w:val="nil" w:sz="6" w:space="0" w:color="auto"/>
              <w:bottom w:val="nil" w:sz="6" w:space="0" w:color="auto"/>
              <w:right w:val="nil" w:sz="6" w:space="0" w:color="auto"/>
            </w:tcBorders>
          </w:tcPr>
          <w:p>
            <w:pPr>
              <w:pStyle w:val="TableParagraph"/>
              <w:tabs>
                <w:tab w:pos="806" w:val="left" w:leader="none"/>
              </w:tabs>
              <w:spacing w:line="240" w:lineRule="auto" w:before="8"/>
              <w:ind w:left="-8" w:right="23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r>
      <w:tr>
        <w:trPr>
          <w:trHeight w:val="339" w:hRule="exact"/>
        </w:trPr>
        <w:tc>
          <w:tcPr>
            <w:tcW w:w="3579"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89" w:right="0"/>
              <w:jc w:val="left"/>
              <w:rPr>
                <w:rFonts w:ascii="黑体" w:hAnsi="黑体" w:cs="黑体" w:eastAsia="黑体" w:hint="default"/>
                <w:sz w:val="18"/>
                <w:szCs w:val="18"/>
              </w:rPr>
            </w:pPr>
            <w:r>
              <w:rPr>
                <w:rFonts w:ascii="黑体" w:hAnsi="黑体" w:cs="黑体" w:eastAsia="黑体" w:hint="default"/>
                <w:sz w:val="18"/>
                <w:szCs w:val="18"/>
              </w:rPr>
              <w:t>小计</w:t>
            </w: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63"/>
              <w:jc w:val="right"/>
              <w:rPr>
                <w:rFonts w:ascii="Arial" w:hAnsi="Arial" w:cs="Arial" w:eastAsia="Arial" w:hint="default"/>
                <w:sz w:val="18"/>
                <w:szCs w:val="18"/>
              </w:rPr>
            </w:pPr>
            <w:r>
              <w:rPr>
                <w:rFonts w:ascii="Arial"/>
                <w:w w:val="99"/>
                <w:sz w:val="18"/>
              </w:rPr>
            </w:r>
            <w:r>
              <w:rPr>
                <w:rFonts w:ascii="Arial"/>
                <w:spacing w:val="-1"/>
                <w:sz w:val="18"/>
                <w:u w:val="single" w:color="000000"/>
              </w:rPr>
              <w:t>73,615,766</w:t>
            </w:r>
            <w:r>
              <w:rPr>
                <w:rFonts w:ascii="Arial"/>
                <w:spacing w:val="-1"/>
                <w:sz w:val="18"/>
              </w:rPr>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225"/>
              <w:jc w:val="right"/>
              <w:rPr>
                <w:rFonts w:ascii="Arial" w:hAnsi="Arial" w:cs="Arial" w:eastAsia="Arial" w:hint="default"/>
                <w:sz w:val="18"/>
                <w:szCs w:val="18"/>
              </w:rPr>
            </w:pPr>
            <w:r>
              <w:rPr>
                <w:rFonts w:ascii="Arial"/>
                <w:w w:val="99"/>
                <w:sz w:val="18"/>
              </w:rPr>
            </w:r>
            <w:r>
              <w:rPr>
                <w:rFonts w:ascii="Arial"/>
                <w:spacing w:val="-1"/>
                <w:sz w:val="18"/>
                <w:u w:val="single" w:color="000000"/>
              </w:rPr>
              <w:t>73,615,766</w:t>
            </w:r>
            <w:r>
              <w:rPr>
                <w:rFonts w:ascii="Arial"/>
                <w:spacing w:val="-1"/>
                <w:sz w:val="18"/>
              </w:rPr>
            </w:r>
          </w:p>
        </w:tc>
        <w:tc>
          <w:tcPr>
            <w:tcW w:w="1039" w:type="dxa"/>
            <w:tcBorders>
              <w:top w:val="nil" w:sz="6" w:space="0" w:color="auto"/>
              <w:left w:val="nil" w:sz="6" w:space="0" w:color="auto"/>
              <w:bottom w:val="nil" w:sz="6" w:space="0" w:color="auto"/>
              <w:right w:val="nil" w:sz="6" w:space="0" w:color="auto"/>
            </w:tcBorders>
          </w:tcPr>
          <w:p>
            <w:pPr>
              <w:pStyle w:val="TableParagraph"/>
              <w:tabs>
                <w:tab w:pos="722" w:val="left" w:leader="none"/>
              </w:tabs>
              <w:spacing w:line="240" w:lineRule="auto" w:before="136"/>
              <w:ind w:right="2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362"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91"/>
              <w:jc w:val="right"/>
              <w:rPr>
                <w:rFonts w:ascii="Arial" w:hAnsi="Arial" w:cs="Arial" w:eastAsia="Arial" w:hint="default"/>
                <w:sz w:val="18"/>
                <w:szCs w:val="18"/>
              </w:rPr>
            </w:pPr>
            <w:r>
              <w:rPr>
                <w:rFonts w:ascii="Arial"/>
                <w:w w:val="99"/>
                <w:sz w:val="18"/>
              </w:rPr>
            </w:r>
            <w:r>
              <w:rPr>
                <w:rFonts w:ascii="Arial"/>
                <w:spacing w:val="-1"/>
                <w:sz w:val="18"/>
                <w:u w:val="single" w:color="000000"/>
              </w:rPr>
              <w:t>73,615,766</w:t>
            </w:r>
            <w:r>
              <w:rPr>
                <w:rFonts w:ascii="Arial"/>
                <w:spacing w:val="-1"/>
                <w:sz w:val="18"/>
              </w:rPr>
            </w:r>
          </w:p>
        </w:tc>
        <w:tc>
          <w:tcPr>
            <w:tcW w:w="965"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Style w:val="TableParagraph"/>
              <w:tabs>
                <w:tab w:pos="765" w:val="left" w:leader="none"/>
              </w:tabs>
              <w:spacing w:line="240" w:lineRule="auto" w:before="136"/>
              <w:ind w:left="-17" w:right="33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068" w:type="dxa"/>
            <w:tcBorders>
              <w:top w:val="nil" w:sz="6" w:space="0" w:color="auto"/>
              <w:left w:val="nil" w:sz="6" w:space="0" w:color="auto"/>
              <w:bottom w:val="nil" w:sz="6" w:space="0" w:color="auto"/>
              <w:right w:val="nil" w:sz="6" w:space="0" w:color="auto"/>
            </w:tcBorders>
          </w:tcPr>
          <w:p>
            <w:pPr>
              <w:pStyle w:val="TableParagraph"/>
              <w:tabs>
                <w:tab w:pos="907" w:val="left" w:leader="none"/>
              </w:tabs>
              <w:spacing w:line="240" w:lineRule="auto" w:before="136"/>
              <w:ind w:left="93"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258"/>
              <w:jc w:val="right"/>
              <w:rPr>
                <w:rFonts w:ascii="Arial" w:hAnsi="Arial" w:cs="Arial" w:eastAsia="Arial" w:hint="default"/>
                <w:sz w:val="18"/>
                <w:szCs w:val="18"/>
              </w:rPr>
            </w:pPr>
            <w:r>
              <w:rPr>
                <w:rFonts w:ascii="Arial"/>
                <w:w w:val="100"/>
                <w:sz w:val="18"/>
              </w:rPr>
            </w:r>
            <w:r>
              <w:rPr>
                <w:rFonts w:ascii="Arial"/>
                <w:spacing w:val="-1"/>
                <w:sz w:val="18"/>
                <w:u w:val="single" w:color="000000"/>
              </w:rPr>
              <w:t>1,170,000</w:t>
            </w:r>
            <w:r>
              <w:rPr>
                <w:rFonts w:ascii="Arial"/>
                <w:spacing w:val="-1"/>
                <w:sz w:val="18"/>
              </w:rPr>
            </w:r>
          </w:p>
        </w:tc>
      </w:tr>
    </w:tbl>
    <w:p>
      <w:pPr>
        <w:spacing w:after="0" w:line="240" w:lineRule="auto"/>
        <w:jc w:val="right"/>
        <w:rPr>
          <w:rFonts w:ascii="Arial" w:hAnsi="Arial" w:cs="Arial" w:eastAsia="Arial" w:hint="default"/>
          <w:sz w:val="18"/>
          <w:szCs w:val="18"/>
        </w:rPr>
        <w:sectPr>
          <w:headerReference w:type="default" r:id="rId71"/>
          <w:footerReference w:type="default" r:id="rId72"/>
          <w:pgSz w:w="16850" w:h="11910" w:orient="landscape"/>
          <w:pgMar w:header="957" w:footer="835" w:top="2240" w:bottom="1020" w:left="1020" w:right="940"/>
          <w:pgNumType w:start="133"/>
        </w:sectPr>
      </w:pPr>
    </w:p>
    <w:p>
      <w:pPr>
        <w:spacing w:line="240" w:lineRule="auto" w:before="7"/>
        <w:rPr>
          <w:rFonts w:ascii="黑体" w:hAnsi="黑体" w:cs="黑体" w:eastAsia="黑体" w:hint="default"/>
          <w:sz w:val="12"/>
          <w:szCs w:val="12"/>
        </w:rPr>
      </w:pPr>
    </w:p>
    <w:p>
      <w:pPr>
        <w:spacing w:line="20" w:lineRule="exact"/>
        <w:ind w:left="112" w:right="0" w:firstLine="0"/>
        <w:rPr>
          <w:rFonts w:ascii="黑体" w:hAnsi="黑体" w:cs="黑体" w:eastAsia="黑体" w:hint="default"/>
          <w:sz w:val="2"/>
          <w:szCs w:val="2"/>
        </w:rPr>
      </w:pPr>
      <w:r>
        <w:rPr>
          <w:rFonts w:ascii="黑体" w:hAnsi="黑体" w:cs="黑体" w:eastAsia="黑体" w:hint="default"/>
          <w:sz w:val="2"/>
          <w:szCs w:val="2"/>
        </w:rPr>
        <w:pict>
          <v:group style="width:728.85pt;height:.75pt;mso-position-horizontal-relative:char;mso-position-vertical-relative:line" coordorigin="0,0" coordsize="14577,15">
            <v:group style="position:absolute;left:8;top:8;width:14562;height:2" coordorigin="8,8" coordsize="14562,2">
              <v:shape style="position:absolute;left:8;top:8;width:14562;height:2" coordorigin="8,8" coordsize="14562,0" path="m8,8l14570,8e" filled="false" stroked="true" strokeweight=".75pt" strokecolor="#000000">
                <v:path arrowok="t"/>
              </v:shape>
            </v:group>
          </v:group>
        </w:pict>
      </w:r>
      <w:r>
        <w:rPr>
          <w:rFonts w:ascii="黑体" w:hAnsi="黑体" w:cs="黑体" w:eastAsia="黑体" w:hint="default"/>
          <w:sz w:val="2"/>
          <w:szCs w:val="2"/>
        </w:rPr>
      </w:r>
    </w:p>
    <w:p>
      <w:pPr>
        <w:spacing w:line="240" w:lineRule="auto" w:before="9"/>
        <w:rPr>
          <w:rFonts w:ascii="黑体" w:hAnsi="黑体" w:cs="黑体" w:eastAsia="黑体" w:hint="default"/>
          <w:sz w:val="10"/>
          <w:szCs w:val="10"/>
        </w:rPr>
      </w:pPr>
    </w:p>
    <w:p>
      <w:pPr>
        <w:pStyle w:val="Heading6"/>
        <w:spacing w:line="240" w:lineRule="auto"/>
        <w:ind w:left="172" w:right="0"/>
        <w:jc w:val="left"/>
        <w:rPr>
          <w:b w:val="0"/>
          <w:bCs w:val="0"/>
        </w:rPr>
      </w:pPr>
      <w:r>
        <w:rPr/>
        <w:t>十三、公司财务报表主要项目注释（续）</w:t>
      </w:r>
      <w:r>
        <w:rPr>
          <w:b w:val="0"/>
          <w:bCs w:val="0"/>
        </w:rPr>
      </w:r>
    </w:p>
    <w:p>
      <w:pPr>
        <w:spacing w:line="240" w:lineRule="auto" w:before="0"/>
        <w:rPr>
          <w:rFonts w:ascii="黑体" w:hAnsi="黑体" w:cs="黑体" w:eastAsia="黑体" w:hint="default"/>
          <w:b/>
          <w:bCs/>
          <w:sz w:val="15"/>
          <w:szCs w:val="15"/>
        </w:rPr>
      </w:pPr>
    </w:p>
    <w:p>
      <w:pPr>
        <w:pStyle w:val="Heading6"/>
        <w:tabs>
          <w:tab w:pos="693" w:val="left" w:leader="none"/>
        </w:tabs>
        <w:spacing w:line="240" w:lineRule="auto" w:before="0"/>
        <w:ind w:left="172" w:right="0"/>
        <w:jc w:val="left"/>
        <w:rPr>
          <w:b w:val="0"/>
          <w:bCs w:val="0"/>
        </w:rPr>
      </w:pPr>
      <w:r>
        <w:rPr>
          <w:rFonts w:ascii="Arial" w:hAnsi="Arial" w:cs="Arial" w:eastAsia="Arial" w:hint="default"/>
          <w:spacing w:val="-1"/>
        </w:rPr>
        <w:t>8.</w:t>
        <w:tab/>
      </w:r>
      <w:r>
        <w:rPr>
          <w:spacing w:val="1"/>
        </w:rPr>
        <w:t>长期股权投资（续）</w:t>
      </w:r>
      <w:r>
        <w:rPr>
          <w:b w:val="0"/>
          <w:bCs w:val="0"/>
        </w:rPr>
      </w:r>
    </w:p>
    <w:p>
      <w:pPr>
        <w:spacing w:line="240" w:lineRule="auto" w:before="4"/>
        <w:rPr>
          <w:rFonts w:ascii="黑体" w:hAnsi="黑体" w:cs="黑体" w:eastAsia="黑体" w:hint="default"/>
          <w:b/>
          <w:bCs/>
          <w:sz w:val="16"/>
          <w:szCs w:val="16"/>
        </w:rPr>
      </w:pPr>
    </w:p>
    <w:p>
      <w:pPr>
        <w:pStyle w:val="BodyText"/>
        <w:spacing w:line="240" w:lineRule="auto"/>
        <w:ind w:left="755" w:right="13327"/>
        <w:jc w:val="center"/>
        <w:rPr>
          <w:rFonts w:ascii="Arial" w:hAnsi="Arial" w:cs="Arial" w:eastAsia="Arial" w:hint="default"/>
        </w:rPr>
      </w:pPr>
      <w:r>
        <w:rPr>
          <w:rFonts w:ascii="Arial" w:hAnsi="Arial" w:cs="Arial" w:eastAsia="Arial" w:hint="default"/>
        </w:rPr>
        <w:t>2012</w:t>
      </w:r>
      <w:r>
        <w:rPr/>
        <w:t>年</w:t>
      </w:r>
      <w:r>
        <w:rPr>
          <w:rFonts w:ascii="Arial" w:hAnsi="Arial" w:cs="Arial" w:eastAsia="Arial" w:hint="default"/>
        </w:rPr>
        <w:t>(</w:t>
      </w:r>
      <w:r>
        <w:rPr/>
        <w:t>续</w:t>
      </w:r>
      <w:r>
        <w:rPr>
          <w:rFonts w:ascii="Arial" w:hAnsi="Arial" w:cs="Arial" w:eastAsia="Arial" w:hint="default"/>
        </w:rPr>
        <w:t>)</w:t>
      </w:r>
    </w:p>
    <w:p>
      <w:pPr>
        <w:spacing w:line="240" w:lineRule="auto" w:before="4"/>
        <w:rPr>
          <w:rFonts w:ascii="Arial" w:hAnsi="Arial" w:cs="Arial" w:eastAsia="Arial" w:hint="default"/>
          <w:sz w:val="3"/>
          <w:szCs w:val="3"/>
        </w:rPr>
      </w:pPr>
    </w:p>
    <w:tbl>
      <w:tblPr>
        <w:tblW w:w="0" w:type="auto"/>
        <w:jc w:val="left"/>
        <w:tblInd w:w="642" w:type="dxa"/>
        <w:tblLayout w:type="fixed"/>
        <w:tblCellMar>
          <w:top w:w="0" w:type="dxa"/>
          <w:left w:w="0" w:type="dxa"/>
          <w:bottom w:w="0" w:type="dxa"/>
          <w:right w:w="0" w:type="dxa"/>
        </w:tblCellMar>
        <w:tblLook w:val="01E0"/>
      </w:tblPr>
      <w:tblGrid>
        <w:gridCol w:w="3113"/>
        <w:gridCol w:w="1457"/>
        <w:gridCol w:w="1296"/>
        <w:gridCol w:w="1279"/>
        <w:gridCol w:w="1449"/>
        <w:gridCol w:w="995"/>
        <w:gridCol w:w="1069"/>
        <w:gridCol w:w="1245"/>
        <w:gridCol w:w="1259"/>
        <w:gridCol w:w="1184"/>
      </w:tblGrid>
      <w:tr>
        <w:trPr>
          <w:trHeight w:val="206" w:hRule="exact"/>
        </w:trPr>
        <w:tc>
          <w:tcPr>
            <w:tcW w:w="3113"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Style w:val="TableParagraph"/>
              <w:spacing w:line="180" w:lineRule="exact"/>
              <w:ind w:right="212"/>
              <w:jc w:val="right"/>
              <w:rPr>
                <w:rFonts w:ascii="黑体" w:hAnsi="黑体" w:cs="黑体" w:eastAsia="黑体" w:hint="default"/>
                <w:sz w:val="18"/>
                <w:szCs w:val="18"/>
              </w:rPr>
            </w:pPr>
            <w:r>
              <w:rPr>
                <w:rFonts w:ascii="黑体" w:hAnsi="黑体" w:cs="黑体" w:eastAsia="黑体" w:hint="default"/>
                <w:sz w:val="18"/>
                <w:szCs w:val="18"/>
              </w:rPr>
              <w:t>投资成本</w:t>
            </w:r>
          </w:p>
        </w:tc>
        <w:tc>
          <w:tcPr>
            <w:tcW w:w="1296" w:type="dxa"/>
            <w:tcBorders>
              <w:top w:val="nil" w:sz="6" w:space="0" w:color="auto"/>
              <w:left w:val="nil" w:sz="6" w:space="0" w:color="auto"/>
              <w:bottom w:val="nil" w:sz="6" w:space="0" w:color="auto"/>
              <w:right w:val="nil" w:sz="6" w:space="0" w:color="auto"/>
            </w:tcBorders>
          </w:tcPr>
          <w:p>
            <w:pPr>
              <w:pStyle w:val="TableParagraph"/>
              <w:spacing w:line="180" w:lineRule="exact"/>
              <w:ind w:right="80"/>
              <w:jc w:val="right"/>
              <w:rPr>
                <w:rFonts w:ascii="黑体" w:hAnsi="黑体" w:cs="黑体" w:eastAsia="黑体" w:hint="default"/>
                <w:sz w:val="18"/>
                <w:szCs w:val="18"/>
              </w:rPr>
            </w:pPr>
            <w:r>
              <w:rPr>
                <w:rFonts w:ascii="黑体" w:hAnsi="黑体" w:cs="黑体" w:eastAsia="黑体" w:hint="default"/>
                <w:sz w:val="18"/>
                <w:szCs w:val="18"/>
              </w:rPr>
              <w:t>年初数</w:t>
            </w:r>
          </w:p>
        </w:tc>
        <w:tc>
          <w:tcPr>
            <w:tcW w:w="1279" w:type="dxa"/>
            <w:tcBorders>
              <w:top w:val="nil" w:sz="6" w:space="0" w:color="auto"/>
              <w:left w:val="nil" w:sz="6" w:space="0" w:color="auto"/>
              <w:bottom w:val="nil" w:sz="6" w:space="0" w:color="auto"/>
              <w:right w:val="nil" w:sz="6" w:space="0" w:color="auto"/>
            </w:tcBorders>
          </w:tcPr>
          <w:p>
            <w:pPr>
              <w:pStyle w:val="TableParagraph"/>
              <w:spacing w:line="180" w:lineRule="exact"/>
              <w:ind w:right="296"/>
              <w:jc w:val="right"/>
              <w:rPr>
                <w:rFonts w:ascii="黑体" w:hAnsi="黑体" w:cs="黑体" w:eastAsia="黑体" w:hint="default"/>
                <w:sz w:val="18"/>
                <w:szCs w:val="18"/>
              </w:rPr>
            </w:pPr>
            <w:r>
              <w:rPr>
                <w:rFonts w:ascii="黑体" w:hAnsi="黑体" w:cs="黑体" w:eastAsia="黑体" w:hint="default"/>
                <w:sz w:val="18"/>
                <w:szCs w:val="18"/>
              </w:rPr>
              <w:t>本年增减</w:t>
            </w:r>
          </w:p>
        </w:tc>
        <w:tc>
          <w:tcPr>
            <w:tcW w:w="1449" w:type="dxa"/>
            <w:tcBorders>
              <w:top w:val="nil" w:sz="6" w:space="0" w:color="auto"/>
              <w:left w:val="nil" w:sz="6" w:space="0" w:color="auto"/>
              <w:bottom w:val="nil" w:sz="6" w:space="0" w:color="auto"/>
              <w:right w:val="nil" w:sz="6" w:space="0" w:color="auto"/>
            </w:tcBorders>
          </w:tcPr>
          <w:p>
            <w:pPr>
              <w:pStyle w:val="TableParagraph"/>
              <w:spacing w:line="180" w:lineRule="exact"/>
              <w:ind w:right="149"/>
              <w:jc w:val="right"/>
              <w:rPr>
                <w:rFonts w:ascii="黑体" w:hAnsi="黑体" w:cs="黑体" w:eastAsia="黑体" w:hint="default"/>
                <w:sz w:val="18"/>
                <w:szCs w:val="18"/>
              </w:rPr>
            </w:pPr>
            <w:r>
              <w:rPr>
                <w:rFonts w:ascii="黑体" w:hAnsi="黑体" w:cs="黑体" w:eastAsia="黑体" w:hint="default"/>
                <w:sz w:val="18"/>
                <w:szCs w:val="18"/>
              </w:rPr>
              <w:t>年末数</w:t>
            </w:r>
          </w:p>
        </w:tc>
        <w:tc>
          <w:tcPr>
            <w:tcW w:w="995" w:type="dxa"/>
            <w:tcBorders>
              <w:top w:val="nil" w:sz="6" w:space="0" w:color="auto"/>
              <w:left w:val="nil" w:sz="6" w:space="0" w:color="auto"/>
              <w:bottom w:val="nil" w:sz="6" w:space="0" w:color="auto"/>
              <w:right w:val="nil" w:sz="6" w:space="0" w:color="auto"/>
            </w:tcBorders>
          </w:tcPr>
          <w:p>
            <w:pPr>
              <w:pStyle w:val="TableParagraph"/>
              <w:spacing w:line="180" w:lineRule="exact"/>
              <w:ind w:right="123"/>
              <w:jc w:val="right"/>
              <w:rPr>
                <w:rFonts w:ascii="黑体" w:hAnsi="黑体" w:cs="黑体" w:eastAsia="黑体" w:hint="default"/>
                <w:sz w:val="18"/>
                <w:szCs w:val="18"/>
              </w:rPr>
            </w:pPr>
            <w:r>
              <w:rPr>
                <w:rFonts w:ascii="黑体" w:hAnsi="黑体" w:cs="黑体" w:eastAsia="黑体" w:hint="default"/>
                <w:sz w:val="18"/>
                <w:szCs w:val="18"/>
              </w:rPr>
              <w:t>持股比例</w:t>
            </w:r>
          </w:p>
        </w:tc>
        <w:tc>
          <w:tcPr>
            <w:tcW w:w="1069" w:type="dxa"/>
            <w:tcBorders>
              <w:top w:val="nil" w:sz="6" w:space="0" w:color="auto"/>
              <w:left w:val="nil" w:sz="6" w:space="0" w:color="auto"/>
              <w:bottom w:val="nil" w:sz="6" w:space="0" w:color="auto"/>
              <w:right w:val="nil" w:sz="6" w:space="0" w:color="auto"/>
            </w:tcBorders>
          </w:tcPr>
          <w:p>
            <w:pPr>
              <w:pStyle w:val="TableParagraph"/>
              <w:spacing w:line="180" w:lineRule="exact"/>
              <w:ind w:right="43"/>
              <w:jc w:val="right"/>
              <w:rPr>
                <w:rFonts w:ascii="黑体" w:hAnsi="黑体" w:cs="黑体" w:eastAsia="黑体" w:hint="default"/>
                <w:sz w:val="18"/>
                <w:szCs w:val="18"/>
              </w:rPr>
            </w:pPr>
            <w:r>
              <w:rPr>
                <w:rFonts w:ascii="黑体" w:hAnsi="黑体" w:cs="黑体" w:eastAsia="黑体" w:hint="default"/>
                <w:sz w:val="18"/>
                <w:szCs w:val="18"/>
              </w:rPr>
              <w:t>表决权比例</w:t>
            </w:r>
          </w:p>
        </w:tc>
        <w:tc>
          <w:tcPr>
            <w:tcW w:w="1245" w:type="dxa"/>
            <w:tcBorders>
              <w:top w:val="nil" w:sz="6" w:space="0" w:color="auto"/>
              <w:left w:val="nil" w:sz="6" w:space="0" w:color="auto"/>
              <w:bottom w:val="nil" w:sz="6" w:space="0" w:color="auto"/>
              <w:right w:val="nil" w:sz="6" w:space="0" w:color="auto"/>
            </w:tcBorders>
          </w:tcPr>
          <w:p>
            <w:pPr>
              <w:pStyle w:val="TableParagraph"/>
              <w:spacing w:line="180" w:lineRule="exact"/>
              <w:ind w:right="167"/>
              <w:jc w:val="right"/>
              <w:rPr>
                <w:rFonts w:ascii="黑体" w:hAnsi="黑体" w:cs="黑体" w:eastAsia="黑体" w:hint="default"/>
                <w:sz w:val="18"/>
                <w:szCs w:val="18"/>
              </w:rPr>
            </w:pPr>
            <w:r>
              <w:rPr>
                <w:rFonts w:ascii="黑体" w:hAnsi="黑体" w:cs="黑体" w:eastAsia="黑体" w:hint="default"/>
                <w:sz w:val="18"/>
                <w:szCs w:val="18"/>
              </w:rPr>
              <w:t>减值准备</w:t>
            </w:r>
          </w:p>
        </w:tc>
        <w:tc>
          <w:tcPr>
            <w:tcW w:w="1259" w:type="dxa"/>
            <w:tcBorders>
              <w:top w:val="nil" w:sz="6" w:space="0" w:color="auto"/>
              <w:left w:val="nil" w:sz="6" w:space="0" w:color="auto"/>
              <w:bottom w:val="nil" w:sz="6" w:space="0" w:color="auto"/>
              <w:right w:val="nil" w:sz="6" w:space="0" w:color="auto"/>
            </w:tcBorders>
          </w:tcPr>
          <w:p>
            <w:pPr>
              <w:pStyle w:val="TableParagraph"/>
              <w:spacing w:line="180" w:lineRule="exact"/>
              <w:ind w:right="70"/>
              <w:jc w:val="right"/>
              <w:rPr>
                <w:rFonts w:ascii="黑体" w:hAnsi="黑体" w:cs="黑体" w:eastAsia="黑体" w:hint="default"/>
                <w:sz w:val="18"/>
                <w:szCs w:val="18"/>
              </w:rPr>
            </w:pPr>
            <w:r>
              <w:rPr>
                <w:rFonts w:ascii="黑体" w:hAnsi="黑体" w:cs="黑体" w:eastAsia="黑体" w:hint="default"/>
                <w:sz w:val="18"/>
                <w:szCs w:val="18"/>
              </w:rPr>
              <w:t>本年计提</w:t>
            </w:r>
          </w:p>
        </w:tc>
        <w:tc>
          <w:tcPr>
            <w:tcW w:w="1184" w:type="dxa"/>
            <w:tcBorders>
              <w:top w:val="nil" w:sz="6" w:space="0" w:color="auto"/>
              <w:left w:val="nil" w:sz="6" w:space="0" w:color="auto"/>
              <w:bottom w:val="nil" w:sz="6" w:space="0" w:color="auto"/>
              <w:right w:val="nil" w:sz="6" w:space="0" w:color="auto"/>
            </w:tcBorders>
          </w:tcPr>
          <w:p>
            <w:pPr>
              <w:pStyle w:val="TableParagraph"/>
              <w:spacing w:line="180" w:lineRule="exact"/>
              <w:ind w:right="198"/>
              <w:jc w:val="right"/>
              <w:rPr>
                <w:rFonts w:ascii="黑体" w:hAnsi="黑体" w:cs="黑体" w:eastAsia="黑体" w:hint="default"/>
                <w:sz w:val="18"/>
                <w:szCs w:val="18"/>
              </w:rPr>
            </w:pPr>
            <w:r>
              <w:rPr>
                <w:rFonts w:ascii="黑体" w:hAnsi="黑体" w:cs="黑体" w:eastAsia="黑体" w:hint="default"/>
                <w:sz w:val="18"/>
                <w:szCs w:val="18"/>
              </w:rPr>
              <w:t>本年</w:t>
            </w:r>
          </w:p>
        </w:tc>
      </w:tr>
      <w:tr>
        <w:trPr>
          <w:trHeight w:val="238" w:hRule="exact"/>
        </w:trPr>
        <w:tc>
          <w:tcPr>
            <w:tcW w:w="3113" w:type="dxa"/>
            <w:tcBorders>
              <w:top w:val="nil" w:sz="6" w:space="0" w:color="auto"/>
              <w:left w:val="nil" w:sz="6" w:space="0" w:color="auto"/>
              <w:bottom w:val="nil" w:sz="6" w:space="0" w:color="auto"/>
              <w:right w:val="nil" w:sz="6" w:space="0" w:color="auto"/>
            </w:tcBorders>
          </w:tcPr>
          <w:p>
            <w:pPr/>
          </w:p>
        </w:tc>
        <w:tc>
          <w:tcPr>
            <w:tcW w:w="1457"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
        </w:tc>
        <w:tc>
          <w:tcPr>
            <w:tcW w:w="1449"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24"/>
              <w:jc w:val="right"/>
              <w:rPr>
                <w:rFonts w:ascii="Arial" w:hAnsi="Arial" w:cs="Arial" w:eastAsia="Arial" w:hint="default"/>
                <w:sz w:val="18"/>
                <w:szCs w:val="18"/>
              </w:rPr>
            </w:pPr>
            <w:r>
              <w:rPr>
                <w:rFonts w:ascii="Arial"/>
                <w:w w:val="95"/>
                <w:sz w:val="18"/>
              </w:rPr>
              <w:t>(%)</w:t>
            </w:r>
            <w:r>
              <w:rPr>
                <w:rFonts w:ascii="Arial"/>
                <w:sz w:val="18"/>
              </w:rPr>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3"/>
              <w:jc w:val="right"/>
              <w:rPr>
                <w:rFonts w:ascii="Arial" w:hAnsi="Arial" w:cs="Arial" w:eastAsia="Arial" w:hint="default"/>
                <w:sz w:val="18"/>
                <w:szCs w:val="18"/>
              </w:rPr>
            </w:pPr>
            <w:r>
              <w:rPr>
                <w:rFonts w:ascii="Arial"/>
                <w:w w:val="95"/>
                <w:sz w:val="18"/>
              </w:rPr>
              <w:t>(%)</w:t>
            </w:r>
            <w:r>
              <w:rPr>
                <w:rFonts w:ascii="Arial"/>
                <w:sz w:val="18"/>
              </w:rPr>
            </w:r>
          </w:p>
        </w:tc>
        <w:tc>
          <w:tcPr>
            <w:tcW w:w="1245"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nil" w:sz="6" w:space="0" w:color="auto"/>
              <w:right w:val="nil" w:sz="6" w:space="0" w:color="auto"/>
            </w:tcBorders>
          </w:tcPr>
          <w:p>
            <w:pPr>
              <w:pStyle w:val="TableParagraph"/>
              <w:spacing w:line="206" w:lineRule="exact"/>
              <w:ind w:right="70"/>
              <w:jc w:val="right"/>
              <w:rPr>
                <w:rFonts w:ascii="黑体" w:hAnsi="黑体" w:cs="黑体" w:eastAsia="黑体" w:hint="default"/>
                <w:sz w:val="18"/>
                <w:szCs w:val="18"/>
              </w:rPr>
            </w:pPr>
            <w:r>
              <w:rPr>
                <w:rFonts w:ascii="黑体" w:hAnsi="黑体" w:cs="黑体" w:eastAsia="黑体" w:hint="default"/>
                <w:sz w:val="18"/>
                <w:szCs w:val="18"/>
              </w:rPr>
              <w:t>减值准备</w:t>
            </w:r>
          </w:p>
        </w:tc>
        <w:tc>
          <w:tcPr>
            <w:tcW w:w="1184" w:type="dxa"/>
            <w:tcBorders>
              <w:top w:val="nil" w:sz="6" w:space="0" w:color="auto"/>
              <w:left w:val="nil" w:sz="6" w:space="0" w:color="auto"/>
              <w:bottom w:val="nil" w:sz="6" w:space="0" w:color="auto"/>
              <w:right w:val="nil" w:sz="6" w:space="0" w:color="auto"/>
            </w:tcBorders>
          </w:tcPr>
          <w:p>
            <w:pPr>
              <w:pStyle w:val="TableParagraph"/>
              <w:spacing w:line="206" w:lineRule="exact"/>
              <w:ind w:right="198"/>
              <w:jc w:val="right"/>
              <w:rPr>
                <w:rFonts w:ascii="黑体" w:hAnsi="黑体" w:cs="黑体" w:eastAsia="黑体" w:hint="default"/>
                <w:sz w:val="18"/>
                <w:szCs w:val="18"/>
              </w:rPr>
            </w:pPr>
            <w:r>
              <w:rPr>
                <w:rFonts w:ascii="黑体" w:hAnsi="黑体" w:cs="黑体" w:eastAsia="黑体" w:hint="default"/>
                <w:sz w:val="18"/>
                <w:szCs w:val="18"/>
              </w:rPr>
              <w:t>现金红利</w:t>
            </w:r>
          </w:p>
        </w:tc>
      </w:tr>
      <w:tr>
        <w:trPr>
          <w:trHeight w:val="230"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03" w:lineRule="exact"/>
              <w:ind w:left="200" w:right="0"/>
              <w:jc w:val="left"/>
              <w:rPr>
                <w:rFonts w:ascii="黑体" w:hAnsi="黑体" w:cs="黑体" w:eastAsia="黑体" w:hint="default"/>
                <w:sz w:val="18"/>
                <w:szCs w:val="18"/>
              </w:rPr>
            </w:pPr>
            <w:r>
              <w:rPr>
                <w:rFonts w:ascii="黑体" w:hAnsi="黑体" w:cs="黑体" w:eastAsia="黑体" w:hint="default"/>
                <w:sz w:val="18"/>
                <w:szCs w:val="18"/>
              </w:rPr>
              <w:t>子公司</w:t>
            </w:r>
          </w:p>
        </w:tc>
        <w:tc>
          <w:tcPr>
            <w:tcW w:w="1457" w:type="dxa"/>
            <w:tcBorders>
              <w:top w:val="nil" w:sz="6" w:space="0" w:color="auto"/>
              <w:left w:val="nil" w:sz="6" w:space="0" w:color="auto"/>
              <w:bottom w:val="nil" w:sz="6" w:space="0" w:color="auto"/>
              <w:right w:val="nil" w:sz="6" w:space="0" w:color="auto"/>
            </w:tcBorders>
          </w:tcPr>
          <w:p>
            <w:pPr/>
          </w:p>
        </w:tc>
        <w:tc>
          <w:tcPr>
            <w:tcW w:w="1296"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nil" w:sz="6" w:space="0" w:color="auto"/>
              <w:right w:val="nil" w:sz="6" w:space="0" w:color="auto"/>
            </w:tcBorders>
          </w:tcPr>
          <w:p>
            <w:pPr/>
          </w:p>
        </w:tc>
        <w:tc>
          <w:tcPr>
            <w:tcW w:w="1449" w:type="dxa"/>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
        </w:tc>
        <w:tc>
          <w:tcPr>
            <w:tcW w:w="1069" w:type="dxa"/>
            <w:tcBorders>
              <w:top w:val="nil" w:sz="6" w:space="0" w:color="auto"/>
              <w:left w:val="nil" w:sz="6" w:space="0" w:color="auto"/>
              <w:bottom w:val="nil" w:sz="6" w:space="0" w:color="auto"/>
              <w:right w:val="nil" w:sz="6" w:space="0" w:color="auto"/>
            </w:tcBorders>
          </w:tcPr>
          <w:p>
            <w:pPr/>
          </w:p>
        </w:tc>
        <w:tc>
          <w:tcPr>
            <w:tcW w:w="1245" w:type="dxa"/>
            <w:tcBorders>
              <w:top w:val="nil" w:sz="6" w:space="0" w:color="auto"/>
              <w:left w:val="nil" w:sz="6" w:space="0" w:color="auto"/>
              <w:bottom w:val="nil" w:sz="6" w:space="0" w:color="auto"/>
              <w:right w:val="nil" w:sz="6" w:space="0" w:color="auto"/>
            </w:tcBorders>
          </w:tcPr>
          <w:p>
            <w:pPr/>
          </w:p>
        </w:tc>
        <w:tc>
          <w:tcPr>
            <w:tcW w:w="1259"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r>
      <w:tr>
        <w:trPr>
          <w:trHeight w:val="237"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06" w:lineRule="exact"/>
              <w:ind w:left="200" w:right="0"/>
              <w:jc w:val="left"/>
              <w:rPr>
                <w:rFonts w:ascii="黑体" w:hAnsi="黑体" w:cs="黑体" w:eastAsia="黑体" w:hint="default"/>
                <w:sz w:val="18"/>
                <w:szCs w:val="18"/>
              </w:rPr>
            </w:pPr>
            <w:r>
              <w:rPr>
                <w:rFonts w:ascii="黑体" w:hAnsi="黑体" w:cs="黑体" w:eastAsia="黑体" w:hint="default"/>
                <w:sz w:val="18"/>
                <w:szCs w:val="18"/>
              </w:rPr>
              <w:t>重庆用友</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0"/>
              <w:jc w:val="right"/>
              <w:rPr>
                <w:rFonts w:ascii="Arial" w:hAnsi="Arial" w:cs="Arial" w:eastAsia="Arial" w:hint="default"/>
                <w:sz w:val="18"/>
                <w:szCs w:val="18"/>
              </w:rPr>
            </w:pPr>
            <w:r>
              <w:rPr>
                <w:rFonts w:ascii="Arial"/>
                <w:spacing w:val="-1"/>
                <w:sz w:val="18"/>
              </w:rPr>
              <w:t>675,000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8"/>
              <w:jc w:val="right"/>
              <w:rPr>
                <w:rFonts w:ascii="Arial" w:hAnsi="Arial" w:cs="Arial" w:eastAsia="Arial" w:hint="default"/>
                <w:sz w:val="18"/>
                <w:szCs w:val="18"/>
              </w:rPr>
            </w:pPr>
            <w:r>
              <w:rPr>
                <w:rFonts w:ascii="Arial"/>
                <w:spacing w:val="-1"/>
                <w:sz w:val="18"/>
              </w:rPr>
              <w:t>675,000</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96"/>
              <w:jc w:val="right"/>
              <w:rPr>
                <w:rFonts w:ascii="Arial" w:hAnsi="Arial" w:cs="Arial" w:eastAsia="Arial" w:hint="default"/>
                <w:sz w:val="18"/>
                <w:szCs w:val="18"/>
              </w:rPr>
            </w:pPr>
            <w:r>
              <w:rPr>
                <w:rFonts w:ascii="Arial"/>
                <w:w w:val="99"/>
                <w:sz w:val="18"/>
              </w:rPr>
              <w:t>-</w:t>
            </w:r>
            <w:r>
              <w:rPr>
                <w:rFonts w:ascii="Arial"/>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6"/>
              <w:jc w:val="right"/>
              <w:rPr>
                <w:rFonts w:ascii="Arial" w:hAnsi="Arial" w:cs="Arial" w:eastAsia="Arial" w:hint="default"/>
                <w:sz w:val="18"/>
                <w:szCs w:val="18"/>
              </w:rPr>
            </w:pPr>
            <w:r>
              <w:rPr>
                <w:rFonts w:ascii="Arial"/>
                <w:spacing w:val="-1"/>
                <w:sz w:val="18"/>
              </w:rPr>
              <w:t>675,000</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21"/>
              <w:jc w:val="right"/>
              <w:rPr>
                <w:rFonts w:ascii="Arial" w:hAnsi="Arial" w:cs="Arial" w:eastAsia="Arial" w:hint="default"/>
                <w:sz w:val="18"/>
                <w:szCs w:val="18"/>
              </w:rPr>
            </w:pPr>
            <w:r>
              <w:rPr>
                <w:rFonts w:ascii="Arial"/>
                <w:w w:val="95"/>
                <w:sz w:val="18"/>
              </w:rPr>
              <w:t>81.88</w:t>
            </w:r>
            <w:r>
              <w:rPr>
                <w:rFonts w:ascii="Arial"/>
                <w:sz w:val="18"/>
              </w:rPr>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1"/>
              <w:jc w:val="right"/>
              <w:rPr>
                <w:rFonts w:ascii="Arial" w:hAnsi="Arial" w:cs="Arial" w:eastAsia="Arial" w:hint="default"/>
                <w:sz w:val="18"/>
                <w:szCs w:val="18"/>
              </w:rPr>
            </w:pPr>
            <w:r>
              <w:rPr>
                <w:rFonts w:ascii="Arial"/>
                <w:w w:val="95"/>
                <w:sz w:val="18"/>
              </w:rPr>
              <w:t>81.88</w:t>
            </w:r>
            <w:r>
              <w:rPr>
                <w:rFonts w:ascii="Arial"/>
                <w:sz w:val="18"/>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67"/>
              <w:jc w:val="right"/>
              <w:rPr>
                <w:rFonts w:ascii="Arial" w:hAnsi="Arial" w:cs="Arial" w:eastAsia="Arial" w:hint="default"/>
                <w:sz w:val="18"/>
                <w:szCs w:val="18"/>
              </w:rPr>
            </w:pPr>
            <w:r>
              <w:rPr>
                <w:rFonts w:ascii="Arial"/>
                <w:w w:val="99"/>
                <w:sz w:val="18"/>
              </w:rPr>
              <w:t>-</w:t>
            </w:r>
            <w:r>
              <w:rPr>
                <w:rFonts w:ascii="Arial"/>
                <w:sz w:val="18"/>
              </w:rPr>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0"/>
              <w:jc w:val="right"/>
              <w:rPr>
                <w:rFonts w:ascii="Arial" w:hAnsi="Arial" w:cs="Arial" w:eastAsia="Arial" w:hint="default"/>
                <w:sz w:val="18"/>
                <w:szCs w:val="18"/>
              </w:rPr>
            </w:pPr>
            <w:r>
              <w:rPr>
                <w:rFonts w:ascii="Arial"/>
                <w:w w:val="99"/>
                <w:sz w:val="18"/>
              </w:rPr>
              <w:t>-</w:t>
            </w:r>
            <w:r>
              <w:rPr>
                <w:rFonts w:ascii="Arial"/>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02" w:lineRule="exact"/>
              <w:ind w:left="200" w:right="0"/>
              <w:jc w:val="left"/>
              <w:rPr>
                <w:rFonts w:ascii="黑体" w:hAnsi="黑体" w:cs="黑体" w:eastAsia="黑体" w:hint="default"/>
                <w:sz w:val="18"/>
                <w:szCs w:val="18"/>
              </w:rPr>
            </w:pPr>
            <w:r>
              <w:rPr>
                <w:rFonts w:ascii="黑体" w:hAnsi="黑体" w:cs="黑体" w:eastAsia="黑体" w:hint="default"/>
                <w:sz w:val="18"/>
                <w:szCs w:val="18"/>
              </w:rPr>
              <w:t>深圳灏麓梵</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0"/>
              <w:jc w:val="right"/>
              <w:rPr>
                <w:rFonts w:ascii="Arial" w:hAnsi="Arial" w:cs="Arial" w:eastAsia="Arial" w:hint="default"/>
                <w:sz w:val="18"/>
                <w:szCs w:val="18"/>
              </w:rPr>
            </w:pPr>
            <w:r>
              <w:rPr>
                <w:rFonts w:ascii="Arial"/>
                <w:spacing w:val="-1"/>
                <w:sz w:val="18"/>
              </w:rPr>
              <w:t>1,000,000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8"/>
              <w:jc w:val="right"/>
              <w:rPr>
                <w:rFonts w:ascii="Arial" w:hAnsi="Arial" w:cs="Arial" w:eastAsia="Arial" w:hint="default"/>
                <w:sz w:val="18"/>
                <w:szCs w:val="18"/>
              </w:rPr>
            </w:pPr>
            <w:r>
              <w:rPr>
                <w:rFonts w:ascii="Arial"/>
                <w:spacing w:val="-1"/>
                <w:sz w:val="18"/>
              </w:rPr>
              <w:t>1,000,000</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6"/>
              <w:jc w:val="right"/>
              <w:rPr>
                <w:rFonts w:ascii="Arial" w:hAnsi="Arial" w:cs="Arial" w:eastAsia="Arial" w:hint="default"/>
                <w:sz w:val="18"/>
                <w:szCs w:val="18"/>
              </w:rPr>
            </w:pPr>
            <w:r>
              <w:rPr>
                <w:rFonts w:ascii="Arial"/>
                <w:w w:val="99"/>
                <w:sz w:val="18"/>
              </w:rPr>
              <w:t>-</w:t>
            </w:r>
            <w:r>
              <w:rPr>
                <w:rFonts w:ascii="Arial"/>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6"/>
              <w:jc w:val="right"/>
              <w:rPr>
                <w:rFonts w:ascii="Arial" w:hAnsi="Arial" w:cs="Arial" w:eastAsia="Arial" w:hint="default"/>
                <w:sz w:val="18"/>
                <w:szCs w:val="18"/>
              </w:rPr>
            </w:pPr>
            <w:r>
              <w:rPr>
                <w:rFonts w:ascii="Arial"/>
                <w:spacing w:val="-1"/>
                <w:sz w:val="18"/>
              </w:rPr>
              <w:t>1,000,000</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1"/>
              <w:jc w:val="right"/>
              <w:rPr>
                <w:rFonts w:ascii="Arial" w:hAnsi="Arial" w:cs="Arial" w:eastAsia="Arial" w:hint="default"/>
                <w:sz w:val="18"/>
                <w:szCs w:val="18"/>
              </w:rPr>
            </w:pPr>
            <w:r>
              <w:rPr>
                <w:rFonts w:ascii="Arial"/>
                <w:w w:val="95"/>
                <w:sz w:val="18"/>
              </w:rPr>
              <w:t>100</w:t>
            </w:r>
            <w:r>
              <w:rPr>
                <w:rFonts w:ascii="Arial"/>
                <w:sz w:val="18"/>
              </w:rPr>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w w:val="95"/>
                <w:sz w:val="18"/>
              </w:rPr>
              <w:t>100</w:t>
            </w:r>
            <w:r>
              <w:rPr>
                <w:rFonts w:ascii="Arial"/>
                <w:sz w:val="18"/>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7"/>
              <w:jc w:val="right"/>
              <w:rPr>
                <w:rFonts w:ascii="Arial" w:hAnsi="Arial" w:cs="Arial" w:eastAsia="Arial" w:hint="default"/>
                <w:sz w:val="18"/>
                <w:szCs w:val="18"/>
              </w:rPr>
            </w:pPr>
            <w:r>
              <w:rPr>
                <w:rFonts w:ascii="Arial"/>
                <w:w w:val="99"/>
                <w:sz w:val="18"/>
              </w:rPr>
              <w:t>-</w:t>
            </w:r>
            <w:r>
              <w:rPr>
                <w:rFonts w:ascii="Arial"/>
                <w:sz w:val="18"/>
              </w:rPr>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0"/>
              <w:jc w:val="right"/>
              <w:rPr>
                <w:rFonts w:ascii="Arial" w:hAnsi="Arial" w:cs="Arial" w:eastAsia="Arial" w:hint="default"/>
                <w:sz w:val="18"/>
                <w:szCs w:val="18"/>
              </w:rPr>
            </w:pPr>
            <w:r>
              <w:rPr>
                <w:rFonts w:ascii="Arial"/>
                <w:w w:val="99"/>
                <w:sz w:val="18"/>
              </w:rPr>
              <w:t>-</w:t>
            </w:r>
            <w:r>
              <w:rPr>
                <w:rFonts w:ascii="Arial"/>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02" w:lineRule="exact"/>
              <w:ind w:left="200" w:right="0"/>
              <w:jc w:val="left"/>
              <w:rPr>
                <w:rFonts w:ascii="黑体" w:hAnsi="黑体" w:cs="黑体" w:eastAsia="黑体" w:hint="default"/>
                <w:sz w:val="18"/>
                <w:szCs w:val="18"/>
              </w:rPr>
            </w:pPr>
            <w:r>
              <w:rPr>
                <w:rFonts w:ascii="黑体" w:hAnsi="黑体" w:cs="黑体" w:eastAsia="黑体" w:hint="default"/>
                <w:sz w:val="18"/>
                <w:szCs w:val="18"/>
              </w:rPr>
              <w:t>武汉用友</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0"/>
              <w:jc w:val="right"/>
              <w:rPr>
                <w:rFonts w:ascii="Arial" w:hAnsi="Arial" w:cs="Arial" w:eastAsia="Arial" w:hint="default"/>
                <w:sz w:val="18"/>
                <w:szCs w:val="18"/>
              </w:rPr>
            </w:pPr>
            <w:r>
              <w:rPr>
                <w:rFonts w:ascii="Arial"/>
                <w:spacing w:val="-1"/>
                <w:sz w:val="18"/>
              </w:rPr>
              <w:t>1,470,000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8"/>
              <w:jc w:val="right"/>
              <w:rPr>
                <w:rFonts w:ascii="Arial" w:hAnsi="Arial" w:cs="Arial" w:eastAsia="Arial" w:hint="default"/>
                <w:sz w:val="18"/>
                <w:szCs w:val="18"/>
              </w:rPr>
            </w:pPr>
            <w:r>
              <w:rPr>
                <w:rFonts w:ascii="Arial"/>
                <w:spacing w:val="-1"/>
                <w:sz w:val="18"/>
              </w:rPr>
              <w:t>1,470,000</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6"/>
              <w:jc w:val="right"/>
              <w:rPr>
                <w:rFonts w:ascii="Arial" w:hAnsi="Arial" w:cs="Arial" w:eastAsia="Arial" w:hint="default"/>
                <w:sz w:val="18"/>
                <w:szCs w:val="18"/>
              </w:rPr>
            </w:pPr>
            <w:r>
              <w:rPr>
                <w:rFonts w:ascii="Arial"/>
                <w:w w:val="99"/>
                <w:sz w:val="18"/>
              </w:rPr>
              <w:t>-</w:t>
            </w:r>
            <w:r>
              <w:rPr>
                <w:rFonts w:ascii="Arial"/>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6"/>
              <w:jc w:val="right"/>
              <w:rPr>
                <w:rFonts w:ascii="Arial" w:hAnsi="Arial" w:cs="Arial" w:eastAsia="Arial" w:hint="default"/>
                <w:sz w:val="18"/>
                <w:szCs w:val="18"/>
              </w:rPr>
            </w:pPr>
            <w:r>
              <w:rPr>
                <w:rFonts w:ascii="Arial"/>
                <w:spacing w:val="-1"/>
                <w:sz w:val="18"/>
              </w:rPr>
              <w:t>1,470,000</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1"/>
              <w:jc w:val="right"/>
              <w:rPr>
                <w:rFonts w:ascii="Arial" w:hAnsi="Arial" w:cs="Arial" w:eastAsia="Arial" w:hint="default"/>
                <w:sz w:val="18"/>
                <w:szCs w:val="18"/>
              </w:rPr>
            </w:pPr>
            <w:r>
              <w:rPr>
                <w:rFonts w:ascii="Arial"/>
                <w:w w:val="95"/>
                <w:sz w:val="18"/>
              </w:rPr>
              <w:t>95</w:t>
            </w:r>
            <w:r>
              <w:rPr>
                <w:rFonts w:ascii="Arial"/>
                <w:sz w:val="18"/>
              </w:rPr>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w w:val="95"/>
                <w:sz w:val="18"/>
              </w:rPr>
              <w:t>95</w:t>
            </w:r>
            <w:r>
              <w:rPr>
                <w:rFonts w:ascii="Arial"/>
                <w:sz w:val="18"/>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7"/>
              <w:jc w:val="right"/>
              <w:rPr>
                <w:rFonts w:ascii="Arial" w:hAnsi="Arial" w:cs="Arial" w:eastAsia="Arial" w:hint="default"/>
                <w:sz w:val="18"/>
                <w:szCs w:val="18"/>
              </w:rPr>
            </w:pPr>
            <w:r>
              <w:rPr>
                <w:rFonts w:ascii="Arial"/>
                <w:w w:val="99"/>
                <w:sz w:val="18"/>
              </w:rPr>
              <w:t>-</w:t>
            </w:r>
            <w:r>
              <w:rPr>
                <w:rFonts w:ascii="Arial"/>
                <w:sz w:val="18"/>
              </w:rPr>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0"/>
              <w:jc w:val="right"/>
              <w:rPr>
                <w:rFonts w:ascii="Arial" w:hAnsi="Arial" w:cs="Arial" w:eastAsia="Arial" w:hint="default"/>
                <w:sz w:val="18"/>
                <w:szCs w:val="18"/>
              </w:rPr>
            </w:pPr>
            <w:r>
              <w:rPr>
                <w:rFonts w:ascii="Arial"/>
                <w:w w:val="99"/>
                <w:sz w:val="18"/>
              </w:rPr>
              <w:t>-</w:t>
            </w:r>
            <w:r>
              <w:rPr>
                <w:rFonts w:ascii="Arial"/>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03" w:lineRule="exact"/>
              <w:ind w:left="200" w:right="0"/>
              <w:jc w:val="left"/>
              <w:rPr>
                <w:rFonts w:ascii="黑体" w:hAnsi="黑体" w:cs="黑体" w:eastAsia="黑体" w:hint="default"/>
                <w:sz w:val="18"/>
                <w:szCs w:val="18"/>
              </w:rPr>
            </w:pPr>
            <w:r>
              <w:rPr>
                <w:rFonts w:ascii="黑体" w:hAnsi="黑体" w:cs="黑体" w:eastAsia="黑体" w:hint="default"/>
                <w:sz w:val="18"/>
                <w:szCs w:val="18"/>
              </w:rPr>
              <w:t>广东用友</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10"/>
              <w:jc w:val="right"/>
              <w:rPr>
                <w:rFonts w:ascii="Arial" w:hAnsi="Arial" w:cs="Arial" w:eastAsia="Arial" w:hint="default"/>
                <w:sz w:val="18"/>
                <w:szCs w:val="18"/>
              </w:rPr>
            </w:pPr>
            <w:r>
              <w:rPr>
                <w:rFonts w:ascii="Arial"/>
                <w:spacing w:val="-1"/>
                <w:sz w:val="18"/>
              </w:rPr>
              <w:t>7,890,000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8"/>
              <w:jc w:val="right"/>
              <w:rPr>
                <w:rFonts w:ascii="Arial" w:hAnsi="Arial" w:cs="Arial" w:eastAsia="Arial" w:hint="default"/>
                <w:sz w:val="18"/>
                <w:szCs w:val="18"/>
              </w:rPr>
            </w:pPr>
            <w:r>
              <w:rPr>
                <w:rFonts w:ascii="Arial"/>
                <w:spacing w:val="-1"/>
                <w:sz w:val="18"/>
              </w:rPr>
              <w:t>7,890,000</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96"/>
              <w:jc w:val="right"/>
              <w:rPr>
                <w:rFonts w:ascii="Arial" w:hAnsi="Arial" w:cs="Arial" w:eastAsia="Arial" w:hint="default"/>
                <w:sz w:val="18"/>
                <w:szCs w:val="18"/>
              </w:rPr>
            </w:pPr>
            <w:r>
              <w:rPr>
                <w:rFonts w:ascii="Arial"/>
                <w:w w:val="99"/>
                <w:sz w:val="18"/>
              </w:rPr>
              <w:t>-</w:t>
            </w:r>
            <w:r>
              <w:rPr>
                <w:rFonts w:ascii="Arial"/>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47"/>
              <w:jc w:val="right"/>
              <w:rPr>
                <w:rFonts w:ascii="Arial" w:hAnsi="Arial" w:cs="Arial" w:eastAsia="Arial" w:hint="default"/>
                <w:sz w:val="18"/>
                <w:szCs w:val="18"/>
              </w:rPr>
            </w:pPr>
            <w:r>
              <w:rPr>
                <w:rFonts w:ascii="Arial"/>
                <w:spacing w:val="-1"/>
                <w:sz w:val="18"/>
              </w:rPr>
              <w:t>7,890,000</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21"/>
              <w:jc w:val="right"/>
              <w:rPr>
                <w:rFonts w:ascii="Arial" w:hAnsi="Arial" w:cs="Arial" w:eastAsia="Arial" w:hint="default"/>
                <w:sz w:val="18"/>
                <w:szCs w:val="18"/>
              </w:rPr>
            </w:pPr>
            <w:r>
              <w:rPr>
                <w:rFonts w:ascii="Arial"/>
                <w:w w:val="95"/>
                <w:sz w:val="18"/>
              </w:rPr>
              <w:t>90</w:t>
            </w:r>
            <w:r>
              <w:rPr>
                <w:rFonts w:ascii="Arial"/>
                <w:sz w:val="18"/>
              </w:rPr>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1"/>
              <w:jc w:val="right"/>
              <w:rPr>
                <w:rFonts w:ascii="Arial" w:hAnsi="Arial" w:cs="Arial" w:eastAsia="Arial" w:hint="default"/>
                <w:sz w:val="18"/>
                <w:szCs w:val="18"/>
              </w:rPr>
            </w:pPr>
            <w:r>
              <w:rPr>
                <w:rFonts w:ascii="Arial"/>
                <w:w w:val="95"/>
                <w:sz w:val="18"/>
              </w:rPr>
              <w:t>90</w:t>
            </w:r>
            <w:r>
              <w:rPr>
                <w:rFonts w:ascii="Arial"/>
                <w:sz w:val="18"/>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67"/>
              <w:jc w:val="right"/>
              <w:rPr>
                <w:rFonts w:ascii="Arial" w:hAnsi="Arial" w:cs="Arial" w:eastAsia="Arial" w:hint="default"/>
                <w:sz w:val="18"/>
                <w:szCs w:val="18"/>
              </w:rPr>
            </w:pPr>
            <w:r>
              <w:rPr>
                <w:rFonts w:ascii="Arial"/>
                <w:w w:val="99"/>
                <w:sz w:val="18"/>
              </w:rPr>
              <w:t>-</w:t>
            </w:r>
            <w:r>
              <w:rPr>
                <w:rFonts w:ascii="Arial"/>
                <w:sz w:val="18"/>
              </w:rPr>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Arial" w:hAnsi="Arial" w:cs="Arial" w:eastAsia="Arial" w:hint="default"/>
                <w:sz w:val="18"/>
                <w:szCs w:val="18"/>
              </w:rPr>
            </w:pPr>
            <w:r>
              <w:rPr>
                <w:rFonts w:ascii="Arial"/>
                <w:w w:val="99"/>
                <w:sz w:val="18"/>
              </w:rPr>
              <w:t>-</w:t>
            </w:r>
            <w:r>
              <w:rPr>
                <w:rFonts w:ascii="Arial"/>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Arial" w:hAnsi="Arial" w:cs="Arial" w:eastAsia="Arial" w:hint="default"/>
                <w:sz w:val="18"/>
                <w:szCs w:val="18"/>
              </w:rPr>
            </w:pPr>
            <w:r>
              <w:rPr>
                <w:rFonts w:ascii="黑体" w:hAnsi="黑体" w:cs="黑体" w:eastAsia="黑体" w:hint="default"/>
                <w:sz w:val="18"/>
                <w:szCs w:val="18"/>
              </w:rPr>
              <w:t>天津用友</w:t>
            </w:r>
            <w:r>
              <w:rPr>
                <w:rFonts w:ascii="Arial" w:hAnsi="Arial" w:cs="Arial" w:eastAsia="Arial" w:hint="default"/>
                <w:sz w:val="18"/>
                <w:szCs w:val="18"/>
              </w:rPr>
              <w:t>(</w:t>
            </w:r>
            <w:r>
              <w:rPr>
                <w:rFonts w:ascii="黑体" w:hAnsi="黑体" w:cs="黑体" w:eastAsia="黑体" w:hint="default"/>
                <w:sz w:val="18"/>
                <w:szCs w:val="18"/>
              </w:rPr>
              <w:t>注</w:t>
            </w:r>
            <w:r>
              <w:rPr>
                <w:rFonts w:ascii="Arial" w:hAnsi="Arial" w:cs="Arial" w:eastAsia="Arial" w:hint="default"/>
                <w:sz w:val="18"/>
                <w:szCs w:val="18"/>
              </w:rPr>
              <w:t>1)</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0"/>
              <w:jc w:val="right"/>
              <w:rPr>
                <w:rFonts w:ascii="Arial" w:hAnsi="Arial" w:cs="Arial" w:eastAsia="Arial" w:hint="default"/>
                <w:sz w:val="18"/>
                <w:szCs w:val="18"/>
              </w:rPr>
            </w:pPr>
            <w:r>
              <w:rPr>
                <w:rFonts w:ascii="Arial"/>
                <w:spacing w:val="-1"/>
                <w:sz w:val="18"/>
              </w:rPr>
              <w:t>7,019,999</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8"/>
              <w:jc w:val="right"/>
              <w:rPr>
                <w:rFonts w:ascii="Arial" w:hAnsi="Arial" w:cs="Arial" w:eastAsia="Arial" w:hint="default"/>
                <w:sz w:val="18"/>
                <w:szCs w:val="18"/>
              </w:rPr>
            </w:pPr>
            <w:r>
              <w:rPr>
                <w:rFonts w:ascii="Arial"/>
                <w:spacing w:val="-1"/>
                <w:sz w:val="18"/>
              </w:rPr>
              <w:t>2,970,000</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4"/>
              <w:jc w:val="right"/>
              <w:rPr>
                <w:rFonts w:ascii="Arial" w:hAnsi="Arial" w:cs="Arial" w:eastAsia="Arial" w:hint="default"/>
                <w:sz w:val="18"/>
                <w:szCs w:val="18"/>
              </w:rPr>
            </w:pPr>
            <w:r>
              <w:rPr>
                <w:rFonts w:ascii="Arial"/>
                <w:spacing w:val="-1"/>
                <w:sz w:val="18"/>
              </w:rPr>
              <w:t>4,049,999</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7"/>
              <w:jc w:val="right"/>
              <w:rPr>
                <w:rFonts w:ascii="Arial" w:hAnsi="Arial" w:cs="Arial" w:eastAsia="Arial" w:hint="default"/>
                <w:sz w:val="18"/>
                <w:szCs w:val="18"/>
              </w:rPr>
            </w:pPr>
            <w:r>
              <w:rPr>
                <w:rFonts w:ascii="Arial"/>
                <w:spacing w:val="-1"/>
                <w:sz w:val="18"/>
              </w:rPr>
              <w:t>7,019,999</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1"/>
              <w:jc w:val="right"/>
              <w:rPr>
                <w:rFonts w:ascii="Arial" w:hAnsi="Arial" w:cs="Arial" w:eastAsia="Arial" w:hint="default"/>
                <w:sz w:val="18"/>
                <w:szCs w:val="18"/>
              </w:rPr>
            </w:pPr>
            <w:r>
              <w:rPr>
                <w:rFonts w:ascii="Arial"/>
                <w:w w:val="95"/>
                <w:sz w:val="18"/>
              </w:rPr>
              <w:t>90</w:t>
            </w:r>
            <w:r>
              <w:rPr>
                <w:rFonts w:ascii="Arial"/>
                <w:sz w:val="18"/>
              </w:rPr>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w w:val="95"/>
                <w:sz w:val="18"/>
              </w:rPr>
              <w:t>90</w:t>
            </w:r>
            <w:r>
              <w:rPr>
                <w:rFonts w:ascii="Arial"/>
                <w:sz w:val="18"/>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7"/>
              <w:jc w:val="right"/>
              <w:rPr>
                <w:rFonts w:ascii="Arial" w:hAnsi="Arial" w:cs="Arial" w:eastAsia="Arial" w:hint="default"/>
                <w:sz w:val="18"/>
                <w:szCs w:val="18"/>
              </w:rPr>
            </w:pPr>
            <w:r>
              <w:rPr>
                <w:rFonts w:ascii="Arial"/>
                <w:w w:val="99"/>
                <w:sz w:val="18"/>
              </w:rPr>
              <w:t>-</w:t>
            </w:r>
            <w:r>
              <w:rPr>
                <w:rFonts w:ascii="Arial"/>
                <w:sz w:val="18"/>
              </w:rPr>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0"/>
              <w:jc w:val="right"/>
              <w:rPr>
                <w:rFonts w:ascii="Arial" w:hAnsi="Arial" w:cs="Arial" w:eastAsia="Arial" w:hint="default"/>
                <w:sz w:val="18"/>
                <w:szCs w:val="18"/>
              </w:rPr>
            </w:pPr>
            <w:r>
              <w:rPr>
                <w:rFonts w:ascii="Arial"/>
                <w:w w:val="99"/>
                <w:sz w:val="18"/>
              </w:rPr>
              <w:t>-</w:t>
            </w:r>
            <w:r>
              <w:rPr>
                <w:rFonts w:ascii="Arial"/>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39"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02" w:lineRule="exact"/>
              <w:ind w:left="200" w:right="0"/>
              <w:jc w:val="left"/>
              <w:rPr>
                <w:rFonts w:ascii="黑体" w:hAnsi="黑体" w:cs="黑体" w:eastAsia="黑体" w:hint="default"/>
                <w:sz w:val="18"/>
                <w:szCs w:val="18"/>
              </w:rPr>
            </w:pPr>
            <w:r>
              <w:rPr>
                <w:rFonts w:ascii="黑体" w:hAnsi="黑体" w:cs="黑体" w:eastAsia="黑体" w:hint="default"/>
                <w:sz w:val="18"/>
                <w:szCs w:val="18"/>
              </w:rPr>
              <w:t>安徽用友</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0"/>
              <w:jc w:val="right"/>
              <w:rPr>
                <w:rFonts w:ascii="Arial" w:hAnsi="Arial" w:cs="Arial" w:eastAsia="Arial" w:hint="default"/>
                <w:sz w:val="18"/>
                <w:szCs w:val="18"/>
              </w:rPr>
            </w:pPr>
            <w:r>
              <w:rPr>
                <w:rFonts w:ascii="Arial"/>
                <w:spacing w:val="-1"/>
                <w:sz w:val="18"/>
              </w:rPr>
              <w:t>876,000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8"/>
              <w:jc w:val="right"/>
              <w:rPr>
                <w:rFonts w:ascii="Arial" w:hAnsi="Arial" w:cs="Arial" w:eastAsia="Arial" w:hint="default"/>
                <w:sz w:val="18"/>
                <w:szCs w:val="18"/>
              </w:rPr>
            </w:pPr>
            <w:r>
              <w:rPr>
                <w:rFonts w:ascii="Arial"/>
                <w:spacing w:val="-1"/>
                <w:sz w:val="18"/>
              </w:rPr>
              <w:t>876,000</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6"/>
              <w:jc w:val="right"/>
              <w:rPr>
                <w:rFonts w:ascii="Arial" w:hAnsi="Arial" w:cs="Arial" w:eastAsia="Arial" w:hint="default"/>
                <w:sz w:val="18"/>
                <w:szCs w:val="18"/>
              </w:rPr>
            </w:pPr>
            <w:r>
              <w:rPr>
                <w:rFonts w:ascii="Arial"/>
                <w:w w:val="99"/>
                <w:sz w:val="18"/>
              </w:rPr>
              <w:t>-</w:t>
            </w:r>
            <w:r>
              <w:rPr>
                <w:rFonts w:ascii="Arial"/>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6"/>
              <w:jc w:val="right"/>
              <w:rPr>
                <w:rFonts w:ascii="Arial" w:hAnsi="Arial" w:cs="Arial" w:eastAsia="Arial" w:hint="default"/>
                <w:sz w:val="18"/>
                <w:szCs w:val="18"/>
              </w:rPr>
            </w:pPr>
            <w:r>
              <w:rPr>
                <w:rFonts w:ascii="Arial"/>
                <w:spacing w:val="-1"/>
                <w:sz w:val="18"/>
              </w:rPr>
              <w:t>876,000</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1"/>
              <w:jc w:val="right"/>
              <w:rPr>
                <w:rFonts w:ascii="Arial" w:hAnsi="Arial" w:cs="Arial" w:eastAsia="Arial" w:hint="default"/>
                <w:sz w:val="18"/>
                <w:szCs w:val="18"/>
              </w:rPr>
            </w:pPr>
            <w:r>
              <w:rPr>
                <w:rFonts w:ascii="Arial"/>
                <w:w w:val="95"/>
                <w:sz w:val="18"/>
              </w:rPr>
              <w:t>82</w:t>
            </w:r>
            <w:r>
              <w:rPr>
                <w:rFonts w:ascii="Arial"/>
                <w:sz w:val="18"/>
              </w:rPr>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w w:val="95"/>
                <w:sz w:val="18"/>
              </w:rPr>
              <w:t>82</w:t>
            </w:r>
            <w:r>
              <w:rPr>
                <w:rFonts w:ascii="Arial"/>
                <w:sz w:val="18"/>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7"/>
              <w:jc w:val="right"/>
              <w:rPr>
                <w:rFonts w:ascii="Arial" w:hAnsi="Arial" w:cs="Arial" w:eastAsia="Arial" w:hint="default"/>
                <w:sz w:val="18"/>
                <w:szCs w:val="18"/>
              </w:rPr>
            </w:pPr>
            <w:r>
              <w:rPr>
                <w:rFonts w:ascii="Arial"/>
                <w:w w:val="99"/>
                <w:sz w:val="18"/>
              </w:rPr>
              <w:t>-</w:t>
            </w:r>
            <w:r>
              <w:rPr>
                <w:rFonts w:ascii="Arial"/>
                <w:sz w:val="18"/>
              </w:rPr>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0"/>
              <w:jc w:val="right"/>
              <w:rPr>
                <w:rFonts w:ascii="Arial" w:hAnsi="Arial" w:cs="Arial" w:eastAsia="Arial" w:hint="default"/>
                <w:sz w:val="18"/>
                <w:szCs w:val="18"/>
              </w:rPr>
            </w:pPr>
            <w:r>
              <w:rPr>
                <w:rFonts w:ascii="Arial"/>
                <w:w w:val="99"/>
                <w:sz w:val="18"/>
              </w:rPr>
              <w:t>-</w:t>
            </w:r>
            <w:r>
              <w:rPr>
                <w:rFonts w:ascii="Arial"/>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39"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21" w:lineRule="exact"/>
              <w:ind w:left="200" w:right="0"/>
              <w:jc w:val="left"/>
              <w:rPr>
                <w:rFonts w:ascii="Arial" w:hAnsi="Arial" w:cs="Arial" w:eastAsia="Arial" w:hint="default"/>
                <w:sz w:val="18"/>
                <w:szCs w:val="18"/>
              </w:rPr>
            </w:pPr>
            <w:r>
              <w:rPr>
                <w:rFonts w:ascii="Arial" w:hAnsi="Arial" w:cs="Arial" w:eastAsia="Arial" w:hint="default"/>
                <w:sz w:val="18"/>
                <w:szCs w:val="18"/>
              </w:rPr>
              <w:t>YONYOU</w:t>
            </w:r>
            <w:r>
              <w:rPr>
                <w:rFonts w:ascii="Arial" w:hAnsi="Arial" w:cs="Arial" w:eastAsia="Arial" w:hint="default"/>
                <w:spacing w:val="-8"/>
                <w:sz w:val="18"/>
                <w:szCs w:val="18"/>
              </w:rPr>
              <w:t> </w:t>
            </w:r>
            <w:r>
              <w:rPr>
                <w:rFonts w:ascii="Arial" w:hAnsi="Arial" w:cs="Arial" w:eastAsia="Arial" w:hint="default"/>
                <w:sz w:val="18"/>
                <w:szCs w:val="18"/>
              </w:rPr>
              <w:t>INTERNATIONAL(</w:t>
            </w:r>
            <w:r>
              <w:rPr>
                <w:rFonts w:ascii="黑体" w:hAnsi="黑体" w:cs="黑体" w:eastAsia="黑体" w:hint="default"/>
                <w:sz w:val="18"/>
                <w:szCs w:val="18"/>
              </w:rPr>
              <w:t>注</w:t>
            </w:r>
            <w:r>
              <w:rPr>
                <w:rFonts w:ascii="Arial" w:hAnsi="Arial" w:cs="Arial" w:eastAsia="Arial" w:hint="default"/>
                <w:sz w:val="18"/>
                <w:szCs w:val="18"/>
              </w:rPr>
              <w:t>2)</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11"/>
              <w:jc w:val="right"/>
              <w:rPr>
                <w:rFonts w:ascii="Arial" w:hAnsi="Arial" w:cs="Arial" w:eastAsia="Arial" w:hint="default"/>
                <w:sz w:val="18"/>
                <w:szCs w:val="18"/>
              </w:rPr>
            </w:pPr>
            <w:r>
              <w:rPr>
                <w:rFonts w:ascii="Arial"/>
                <w:spacing w:val="-1"/>
                <w:sz w:val="18"/>
              </w:rPr>
              <w:t>34,415,859</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9"/>
              <w:jc w:val="right"/>
              <w:rPr>
                <w:rFonts w:ascii="Arial" w:hAnsi="Arial" w:cs="Arial" w:eastAsia="Arial" w:hint="default"/>
                <w:sz w:val="18"/>
                <w:szCs w:val="18"/>
              </w:rPr>
            </w:pPr>
            <w:r>
              <w:rPr>
                <w:rFonts w:ascii="Arial"/>
                <w:spacing w:val="-1"/>
                <w:sz w:val="18"/>
              </w:rPr>
              <w:t>21,928,859</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94"/>
              <w:jc w:val="right"/>
              <w:rPr>
                <w:rFonts w:ascii="Arial" w:hAnsi="Arial" w:cs="Arial" w:eastAsia="Arial" w:hint="default"/>
                <w:sz w:val="18"/>
                <w:szCs w:val="18"/>
              </w:rPr>
            </w:pPr>
            <w:r>
              <w:rPr>
                <w:rFonts w:ascii="Arial"/>
                <w:spacing w:val="-1"/>
                <w:sz w:val="18"/>
              </w:rPr>
              <w:t>12,487,000</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7"/>
              <w:jc w:val="right"/>
              <w:rPr>
                <w:rFonts w:ascii="Arial" w:hAnsi="Arial" w:cs="Arial" w:eastAsia="Arial" w:hint="default"/>
                <w:sz w:val="18"/>
                <w:szCs w:val="18"/>
              </w:rPr>
            </w:pPr>
            <w:r>
              <w:rPr>
                <w:rFonts w:ascii="Arial"/>
                <w:spacing w:val="-1"/>
                <w:sz w:val="18"/>
              </w:rPr>
              <w:t>34,415,859</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21"/>
              <w:jc w:val="right"/>
              <w:rPr>
                <w:rFonts w:ascii="Arial" w:hAnsi="Arial" w:cs="Arial" w:eastAsia="Arial" w:hint="default"/>
                <w:sz w:val="18"/>
                <w:szCs w:val="18"/>
              </w:rPr>
            </w:pPr>
            <w:r>
              <w:rPr>
                <w:rFonts w:ascii="Arial"/>
                <w:w w:val="95"/>
                <w:sz w:val="18"/>
              </w:rPr>
              <w:t>100</w:t>
            </w:r>
            <w:r>
              <w:rPr>
                <w:rFonts w:ascii="Arial"/>
                <w:sz w:val="18"/>
              </w:rPr>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1"/>
              <w:jc w:val="right"/>
              <w:rPr>
                <w:rFonts w:ascii="Arial" w:hAnsi="Arial" w:cs="Arial" w:eastAsia="Arial" w:hint="default"/>
                <w:sz w:val="18"/>
                <w:szCs w:val="18"/>
              </w:rPr>
            </w:pPr>
            <w:r>
              <w:rPr>
                <w:rFonts w:ascii="Arial"/>
                <w:w w:val="95"/>
                <w:sz w:val="18"/>
              </w:rPr>
              <w:t>100</w:t>
            </w:r>
            <w:r>
              <w:rPr>
                <w:rFonts w:ascii="Arial"/>
                <w:sz w:val="18"/>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64"/>
              <w:jc w:val="right"/>
              <w:rPr>
                <w:rFonts w:ascii="Arial" w:hAnsi="Arial" w:cs="Arial" w:eastAsia="Arial" w:hint="default"/>
                <w:sz w:val="18"/>
                <w:szCs w:val="18"/>
              </w:rPr>
            </w:pPr>
            <w:r>
              <w:rPr>
                <w:rFonts w:ascii="Arial"/>
                <w:sz w:val="18"/>
              </w:rPr>
              <w:t>( </w:t>
            </w:r>
            <w:r>
              <w:rPr>
                <w:rFonts w:ascii="Arial"/>
                <w:spacing w:val="7"/>
                <w:sz w:val="18"/>
              </w:rPr>
              <w:t> </w:t>
            </w:r>
            <w:r>
              <w:rPr>
                <w:rFonts w:ascii="Arial"/>
                <w:sz w:val="18"/>
              </w:rPr>
              <w:t>6,300,755)</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0"/>
              <w:jc w:val="right"/>
              <w:rPr>
                <w:rFonts w:ascii="Arial" w:hAnsi="Arial" w:cs="Arial" w:eastAsia="Arial" w:hint="default"/>
                <w:sz w:val="18"/>
                <w:szCs w:val="18"/>
              </w:rPr>
            </w:pPr>
            <w:r>
              <w:rPr>
                <w:rFonts w:ascii="Arial"/>
                <w:w w:val="99"/>
                <w:sz w:val="18"/>
              </w:rPr>
              <w:t>-</w:t>
            </w:r>
            <w:r>
              <w:rPr>
                <w:rFonts w:ascii="Arial"/>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12"/>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02" w:lineRule="exact"/>
              <w:ind w:left="200" w:right="0"/>
              <w:jc w:val="left"/>
              <w:rPr>
                <w:rFonts w:ascii="黑体" w:hAnsi="黑体" w:cs="黑体" w:eastAsia="黑体" w:hint="default"/>
                <w:sz w:val="18"/>
                <w:szCs w:val="18"/>
              </w:rPr>
            </w:pPr>
            <w:r>
              <w:rPr>
                <w:rFonts w:ascii="黑体" w:hAnsi="黑体" w:cs="黑体" w:eastAsia="黑体" w:hint="default"/>
                <w:sz w:val="18"/>
                <w:szCs w:val="18"/>
              </w:rPr>
              <w:t>用友华表</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1"/>
              <w:jc w:val="right"/>
              <w:rPr>
                <w:rFonts w:ascii="Arial" w:hAnsi="Arial" w:cs="Arial" w:eastAsia="Arial" w:hint="default"/>
                <w:sz w:val="18"/>
                <w:szCs w:val="18"/>
              </w:rPr>
            </w:pPr>
            <w:r>
              <w:rPr>
                <w:rFonts w:ascii="Arial"/>
                <w:spacing w:val="-1"/>
                <w:sz w:val="18"/>
              </w:rPr>
              <w:t>46,170,128</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9"/>
              <w:jc w:val="right"/>
              <w:rPr>
                <w:rFonts w:ascii="Arial" w:hAnsi="Arial" w:cs="Arial" w:eastAsia="Arial" w:hint="default"/>
                <w:sz w:val="18"/>
                <w:szCs w:val="18"/>
              </w:rPr>
            </w:pPr>
            <w:r>
              <w:rPr>
                <w:rFonts w:ascii="Arial"/>
                <w:spacing w:val="-1"/>
                <w:sz w:val="18"/>
              </w:rPr>
              <w:t>46,170,128</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6"/>
              <w:jc w:val="right"/>
              <w:rPr>
                <w:rFonts w:ascii="Arial" w:hAnsi="Arial" w:cs="Arial" w:eastAsia="Arial" w:hint="default"/>
                <w:sz w:val="18"/>
                <w:szCs w:val="18"/>
              </w:rPr>
            </w:pPr>
            <w:r>
              <w:rPr>
                <w:rFonts w:ascii="Arial"/>
                <w:w w:val="99"/>
                <w:sz w:val="18"/>
              </w:rPr>
              <w:t>-</w:t>
            </w:r>
            <w:r>
              <w:rPr>
                <w:rFonts w:ascii="Arial"/>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7"/>
              <w:jc w:val="right"/>
              <w:rPr>
                <w:rFonts w:ascii="Arial" w:hAnsi="Arial" w:cs="Arial" w:eastAsia="Arial" w:hint="default"/>
                <w:sz w:val="18"/>
                <w:szCs w:val="18"/>
              </w:rPr>
            </w:pPr>
            <w:r>
              <w:rPr>
                <w:rFonts w:ascii="Arial"/>
                <w:spacing w:val="-1"/>
                <w:sz w:val="18"/>
              </w:rPr>
              <w:t>46,170,128</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1"/>
              <w:jc w:val="right"/>
              <w:rPr>
                <w:rFonts w:ascii="Arial" w:hAnsi="Arial" w:cs="Arial" w:eastAsia="Arial" w:hint="default"/>
                <w:sz w:val="18"/>
                <w:szCs w:val="18"/>
              </w:rPr>
            </w:pPr>
            <w:r>
              <w:rPr>
                <w:rFonts w:ascii="Arial"/>
                <w:w w:val="95"/>
                <w:sz w:val="18"/>
              </w:rPr>
              <w:t>99.43</w:t>
            </w:r>
            <w:r>
              <w:rPr>
                <w:rFonts w:ascii="Arial"/>
                <w:sz w:val="18"/>
              </w:rPr>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w w:val="95"/>
                <w:sz w:val="18"/>
              </w:rPr>
              <w:t>99.43</w:t>
            </w:r>
            <w:r>
              <w:rPr>
                <w:rFonts w:ascii="Arial"/>
                <w:sz w:val="18"/>
              </w:rPr>
            </w:r>
          </w:p>
        </w:tc>
        <w:tc>
          <w:tcPr>
            <w:tcW w:w="1245" w:type="dxa"/>
            <w:tcBorders>
              <w:top w:val="nil" w:sz="6" w:space="0" w:color="auto"/>
              <w:left w:val="nil" w:sz="6" w:space="0" w:color="auto"/>
              <w:bottom w:val="nil" w:sz="6" w:space="0" w:color="auto"/>
              <w:right w:val="nil" w:sz="6" w:space="0" w:color="auto"/>
            </w:tcBorders>
          </w:tcPr>
          <w:p>
            <w:pPr>
              <w:pStyle w:val="TableParagraph"/>
              <w:tabs>
                <w:tab w:pos="309" w:val="left" w:leader="none"/>
              </w:tabs>
              <w:spacing w:line="240" w:lineRule="auto" w:before="8"/>
              <w:ind w:right="164"/>
              <w:jc w:val="right"/>
              <w:rPr>
                <w:rFonts w:ascii="Arial" w:hAnsi="Arial" w:cs="Arial" w:eastAsia="Arial" w:hint="default"/>
                <w:sz w:val="18"/>
                <w:szCs w:val="18"/>
              </w:rPr>
            </w:pPr>
            <w:r>
              <w:rPr>
                <w:rFonts w:ascii="Arial"/>
                <w:sz w:val="18"/>
              </w:rPr>
              <w:t>(</w:t>
              <w:tab/>
            </w:r>
            <w:r>
              <w:rPr>
                <w:rFonts w:ascii="Arial"/>
                <w:spacing w:val="-1"/>
                <w:sz w:val="18"/>
              </w:rPr>
              <w:t>382,200)</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0"/>
              <w:jc w:val="right"/>
              <w:rPr>
                <w:rFonts w:ascii="Arial" w:hAnsi="Arial" w:cs="Arial" w:eastAsia="Arial" w:hint="default"/>
                <w:sz w:val="18"/>
                <w:szCs w:val="18"/>
              </w:rPr>
            </w:pPr>
            <w:r>
              <w:rPr>
                <w:rFonts w:ascii="Arial"/>
                <w:w w:val="99"/>
                <w:sz w:val="18"/>
              </w:rPr>
              <w:t>-</w:t>
            </w:r>
            <w:r>
              <w:rPr>
                <w:rFonts w:ascii="Arial"/>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2"/>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02" w:lineRule="exact"/>
              <w:ind w:left="200" w:right="0"/>
              <w:jc w:val="left"/>
              <w:rPr>
                <w:rFonts w:ascii="黑体" w:hAnsi="黑体" w:cs="黑体" w:eastAsia="黑体" w:hint="default"/>
                <w:sz w:val="18"/>
                <w:szCs w:val="18"/>
              </w:rPr>
            </w:pPr>
            <w:r>
              <w:rPr>
                <w:rFonts w:ascii="黑体" w:hAnsi="黑体" w:cs="黑体" w:eastAsia="黑体" w:hint="default"/>
                <w:sz w:val="18"/>
                <w:szCs w:val="18"/>
              </w:rPr>
              <w:t>用友艾福斯</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0"/>
              <w:jc w:val="right"/>
              <w:rPr>
                <w:rFonts w:ascii="Arial" w:hAnsi="Arial" w:cs="Arial" w:eastAsia="Arial" w:hint="default"/>
                <w:sz w:val="18"/>
                <w:szCs w:val="18"/>
              </w:rPr>
            </w:pPr>
            <w:r>
              <w:rPr>
                <w:rFonts w:ascii="Arial"/>
                <w:spacing w:val="-1"/>
                <w:sz w:val="18"/>
              </w:rPr>
              <w:t>8,392,716</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8"/>
              <w:jc w:val="right"/>
              <w:rPr>
                <w:rFonts w:ascii="Arial" w:hAnsi="Arial" w:cs="Arial" w:eastAsia="Arial" w:hint="default"/>
                <w:sz w:val="18"/>
                <w:szCs w:val="18"/>
              </w:rPr>
            </w:pPr>
            <w:r>
              <w:rPr>
                <w:rFonts w:ascii="Arial"/>
                <w:spacing w:val="-1"/>
                <w:sz w:val="18"/>
              </w:rPr>
              <w:t>8,392,716</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6"/>
              <w:jc w:val="right"/>
              <w:rPr>
                <w:rFonts w:ascii="Arial" w:hAnsi="Arial" w:cs="Arial" w:eastAsia="Arial" w:hint="default"/>
                <w:sz w:val="18"/>
                <w:szCs w:val="18"/>
              </w:rPr>
            </w:pPr>
            <w:r>
              <w:rPr>
                <w:rFonts w:ascii="Arial"/>
                <w:w w:val="99"/>
                <w:sz w:val="18"/>
              </w:rPr>
              <w:t>-</w:t>
            </w:r>
            <w:r>
              <w:rPr>
                <w:rFonts w:ascii="Arial"/>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7"/>
              <w:jc w:val="right"/>
              <w:rPr>
                <w:rFonts w:ascii="Arial" w:hAnsi="Arial" w:cs="Arial" w:eastAsia="Arial" w:hint="default"/>
                <w:sz w:val="18"/>
                <w:szCs w:val="18"/>
              </w:rPr>
            </w:pPr>
            <w:r>
              <w:rPr>
                <w:rFonts w:ascii="Arial"/>
                <w:spacing w:val="-1"/>
                <w:sz w:val="18"/>
              </w:rPr>
              <w:t>8,392,716</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1"/>
              <w:jc w:val="right"/>
              <w:rPr>
                <w:rFonts w:ascii="Arial" w:hAnsi="Arial" w:cs="Arial" w:eastAsia="Arial" w:hint="default"/>
                <w:sz w:val="18"/>
                <w:szCs w:val="18"/>
              </w:rPr>
            </w:pPr>
            <w:r>
              <w:rPr>
                <w:rFonts w:ascii="Arial"/>
                <w:w w:val="95"/>
                <w:sz w:val="18"/>
              </w:rPr>
              <w:t>100</w:t>
            </w:r>
            <w:r>
              <w:rPr>
                <w:rFonts w:ascii="Arial"/>
                <w:sz w:val="18"/>
              </w:rPr>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w w:val="95"/>
                <w:sz w:val="18"/>
              </w:rPr>
              <w:t>100</w:t>
            </w:r>
            <w:r>
              <w:rPr>
                <w:rFonts w:ascii="Arial"/>
                <w:sz w:val="18"/>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7"/>
              <w:jc w:val="right"/>
              <w:rPr>
                <w:rFonts w:ascii="Arial" w:hAnsi="Arial" w:cs="Arial" w:eastAsia="Arial" w:hint="default"/>
                <w:sz w:val="18"/>
                <w:szCs w:val="18"/>
              </w:rPr>
            </w:pPr>
            <w:r>
              <w:rPr>
                <w:rFonts w:ascii="Arial"/>
                <w:w w:val="99"/>
                <w:sz w:val="18"/>
              </w:rPr>
              <w:t>-</w:t>
            </w:r>
            <w:r>
              <w:rPr>
                <w:rFonts w:ascii="Arial"/>
                <w:sz w:val="18"/>
              </w:rPr>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0"/>
              <w:jc w:val="right"/>
              <w:rPr>
                <w:rFonts w:ascii="Arial" w:hAnsi="Arial" w:cs="Arial" w:eastAsia="Arial" w:hint="default"/>
                <w:sz w:val="18"/>
                <w:szCs w:val="18"/>
              </w:rPr>
            </w:pPr>
            <w:r>
              <w:rPr>
                <w:rFonts w:ascii="Arial"/>
                <w:w w:val="99"/>
                <w:sz w:val="18"/>
              </w:rPr>
              <w:t>-</w:t>
            </w:r>
            <w:r>
              <w:rPr>
                <w:rFonts w:ascii="Arial"/>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2"/>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03" w:lineRule="exact"/>
              <w:ind w:left="200" w:right="0"/>
              <w:jc w:val="left"/>
              <w:rPr>
                <w:rFonts w:ascii="黑体" w:hAnsi="黑体" w:cs="黑体" w:eastAsia="黑体" w:hint="default"/>
                <w:sz w:val="18"/>
                <w:szCs w:val="18"/>
              </w:rPr>
            </w:pPr>
            <w:r>
              <w:rPr>
                <w:rFonts w:ascii="黑体" w:hAnsi="黑体" w:cs="黑体" w:eastAsia="黑体" w:hint="default"/>
                <w:sz w:val="18"/>
                <w:szCs w:val="18"/>
              </w:rPr>
              <w:t>用友政务</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10"/>
              <w:jc w:val="right"/>
              <w:rPr>
                <w:rFonts w:ascii="Arial" w:hAnsi="Arial" w:cs="Arial" w:eastAsia="Arial" w:hint="default"/>
                <w:sz w:val="18"/>
                <w:szCs w:val="18"/>
              </w:rPr>
            </w:pPr>
            <w:r>
              <w:rPr>
                <w:rFonts w:ascii="Arial"/>
                <w:spacing w:val="-1"/>
                <w:sz w:val="18"/>
              </w:rPr>
              <w:t>496,252,992</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8"/>
              <w:jc w:val="right"/>
              <w:rPr>
                <w:rFonts w:ascii="Arial" w:hAnsi="Arial" w:cs="Arial" w:eastAsia="Arial" w:hint="default"/>
                <w:sz w:val="18"/>
                <w:szCs w:val="18"/>
              </w:rPr>
            </w:pPr>
            <w:r>
              <w:rPr>
                <w:rFonts w:ascii="Arial"/>
                <w:spacing w:val="-1"/>
                <w:sz w:val="18"/>
              </w:rPr>
              <w:t>496,252,992</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96"/>
              <w:jc w:val="right"/>
              <w:rPr>
                <w:rFonts w:ascii="Arial" w:hAnsi="Arial" w:cs="Arial" w:eastAsia="Arial" w:hint="default"/>
                <w:sz w:val="18"/>
                <w:szCs w:val="18"/>
              </w:rPr>
            </w:pPr>
            <w:r>
              <w:rPr>
                <w:rFonts w:ascii="Arial"/>
                <w:w w:val="99"/>
                <w:sz w:val="18"/>
              </w:rPr>
              <w:t>-</w:t>
            </w:r>
            <w:r>
              <w:rPr>
                <w:rFonts w:ascii="Arial"/>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46"/>
              <w:jc w:val="right"/>
              <w:rPr>
                <w:rFonts w:ascii="Arial" w:hAnsi="Arial" w:cs="Arial" w:eastAsia="Arial" w:hint="default"/>
                <w:sz w:val="18"/>
                <w:szCs w:val="18"/>
              </w:rPr>
            </w:pPr>
            <w:r>
              <w:rPr>
                <w:rFonts w:ascii="Arial"/>
                <w:spacing w:val="-1"/>
                <w:sz w:val="18"/>
              </w:rPr>
              <w:t>496,252,992</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21"/>
              <w:jc w:val="right"/>
              <w:rPr>
                <w:rFonts w:ascii="Arial" w:hAnsi="Arial" w:cs="Arial" w:eastAsia="Arial" w:hint="default"/>
                <w:sz w:val="18"/>
                <w:szCs w:val="18"/>
              </w:rPr>
            </w:pPr>
            <w:r>
              <w:rPr>
                <w:rFonts w:ascii="Arial"/>
                <w:w w:val="95"/>
                <w:sz w:val="18"/>
              </w:rPr>
              <w:t>94.50</w:t>
            </w:r>
            <w:r>
              <w:rPr>
                <w:rFonts w:ascii="Arial"/>
                <w:sz w:val="18"/>
              </w:rPr>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1"/>
              <w:jc w:val="right"/>
              <w:rPr>
                <w:rFonts w:ascii="Arial" w:hAnsi="Arial" w:cs="Arial" w:eastAsia="Arial" w:hint="default"/>
                <w:sz w:val="18"/>
                <w:szCs w:val="18"/>
              </w:rPr>
            </w:pPr>
            <w:r>
              <w:rPr>
                <w:rFonts w:ascii="Arial"/>
                <w:w w:val="95"/>
                <w:sz w:val="18"/>
              </w:rPr>
              <w:t>94.50</w:t>
            </w:r>
            <w:r>
              <w:rPr>
                <w:rFonts w:ascii="Arial"/>
                <w:sz w:val="18"/>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67"/>
              <w:jc w:val="right"/>
              <w:rPr>
                <w:rFonts w:ascii="Arial" w:hAnsi="Arial" w:cs="Arial" w:eastAsia="Arial" w:hint="default"/>
                <w:sz w:val="18"/>
                <w:szCs w:val="18"/>
              </w:rPr>
            </w:pPr>
            <w:r>
              <w:rPr>
                <w:rFonts w:ascii="Arial"/>
                <w:w w:val="99"/>
                <w:sz w:val="18"/>
              </w:rPr>
              <w:t>-</w:t>
            </w:r>
            <w:r>
              <w:rPr>
                <w:rFonts w:ascii="Arial"/>
                <w:sz w:val="18"/>
              </w:rPr>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Arial" w:hAnsi="Arial" w:cs="Arial" w:eastAsia="Arial" w:hint="default"/>
                <w:sz w:val="18"/>
                <w:szCs w:val="18"/>
              </w:rPr>
            </w:pPr>
            <w:r>
              <w:rPr>
                <w:rFonts w:ascii="Arial"/>
                <w:w w:val="99"/>
                <w:sz w:val="18"/>
              </w:rPr>
              <w:t>-</w:t>
            </w:r>
            <w:r>
              <w:rPr>
                <w:rFonts w:ascii="Arial"/>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10"/>
              <w:jc w:val="right"/>
              <w:rPr>
                <w:rFonts w:ascii="Arial" w:hAnsi="Arial" w:cs="Arial" w:eastAsia="Arial" w:hint="default"/>
                <w:sz w:val="18"/>
                <w:szCs w:val="18"/>
              </w:rPr>
            </w:pPr>
            <w:r>
              <w:rPr>
                <w:rFonts w:ascii="Arial"/>
                <w:spacing w:val="-1"/>
                <w:sz w:val="18"/>
              </w:rPr>
              <w:t>19,978,316</w:t>
            </w:r>
          </w:p>
        </w:tc>
      </w:tr>
      <w:tr>
        <w:trPr>
          <w:trHeight w:val="233"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Arial" w:hAnsi="Arial" w:cs="Arial" w:eastAsia="Arial" w:hint="default"/>
                <w:sz w:val="18"/>
                <w:szCs w:val="18"/>
              </w:rPr>
            </w:pPr>
            <w:r>
              <w:rPr>
                <w:rFonts w:ascii="黑体" w:hAnsi="黑体" w:cs="黑体" w:eastAsia="黑体" w:hint="default"/>
                <w:sz w:val="18"/>
                <w:szCs w:val="18"/>
              </w:rPr>
              <w:t>用友金融</w:t>
            </w:r>
            <w:r>
              <w:rPr>
                <w:rFonts w:ascii="Arial" w:hAnsi="Arial" w:cs="Arial" w:eastAsia="Arial" w:hint="default"/>
                <w:sz w:val="18"/>
                <w:szCs w:val="18"/>
              </w:rPr>
              <w:t>(</w:t>
            </w:r>
            <w:r>
              <w:rPr>
                <w:rFonts w:ascii="黑体" w:hAnsi="黑体" w:cs="黑体" w:eastAsia="黑体" w:hint="default"/>
                <w:sz w:val="18"/>
                <w:szCs w:val="18"/>
              </w:rPr>
              <w:t>注</w:t>
            </w:r>
            <w:r>
              <w:rPr>
                <w:rFonts w:ascii="Arial" w:hAnsi="Arial" w:cs="Arial" w:eastAsia="Arial" w:hint="default"/>
                <w:sz w:val="18"/>
                <w:szCs w:val="18"/>
              </w:rPr>
              <w:t>3)</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1"/>
              <w:jc w:val="right"/>
              <w:rPr>
                <w:rFonts w:ascii="Arial" w:hAnsi="Arial" w:cs="Arial" w:eastAsia="Arial" w:hint="default"/>
                <w:sz w:val="18"/>
                <w:szCs w:val="18"/>
              </w:rPr>
            </w:pPr>
            <w:r>
              <w:rPr>
                <w:rFonts w:ascii="Arial"/>
                <w:spacing w:val="-1"/>
                <w:sz w:val="18"/>
              </w:rPr>
              <w:t>50,000,000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9"/>
              <w:jc w:val="right"/>
              <w:rPr>
                <w:rFonts w:ascii="Arial" w:hAnsi="Arial" w:cs="Arial" w:eastAsia="Arial" w:hint="default"/>
                <w:sz w:val="18"/>
                <w:szCs w:val="18"/>
              </w:rPr>
            </w:pPr>
            <w:r>
              <w:rPr>
                <w:rFonts w:ascii="Arial"/>
                <w:spacing w:val="-1"/>
                <w:sz w:val="18"/>
              </w:rPr>
              <w:t>30,000,000</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4"/>
              <w:jc w:val="right"/>
              <w:rPr>
                <w:rFonts w:ascii="Arial" w:hAnsi="Arial" w:cs="Arial" w:eastAsia="Arial" w:hint="default"/>
                <w:sz w:val="18"/>
                <w:szCs w:val="18"/>
              </w:rPr>
            </w:pPr>
            <w:r>
              <w:rPr>
                <w:rFonts w:ascii="Arial"/>
                <w:spacing w:val="-1"/>
                <w:sz w:val="18"/>
              </w:rPr>
              <w:t>20,000,000</w:t>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7"/>
              <w:jc w:val="right"/>
              <w:rPr>
                <w:rFonts w:ascii="Arial" w:hAnsi="Arial" w:cs="Arial" w:eastAsia="Arial" w:hint="default"/>
                <w:sz w:val="18"/>
                <w:szCs w:val="18"/>
              </w:rPr>
            </w:pPr>
            <w:r>
              <w:rPr>
                <w:rFonts w:ascii="Arial"/>
                <w:spacing w:val="-1"/>
                <w:sz w:val="18"/>
              </w:rPr>
              <w:t>50,000,000</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1"/>
              <w:jc w:val="right"/>
              <w:rPr>
                <w:rFonts w:ascii="Arial" w:hAnsi="Arial" w:cs="Arial" w:eastAsia="Arial" w:hint="default"/>
                <w:sz w:val="18"/>
                <w:szCs w:val="18"/>
              </w:rPr>
            </w:pPr>
            <w:r>
              <w:rPr>
                <w:rFonts w:ascii="Arial"/>
                <w:w w:val="95"/>
                <w:sz w:val="18"/>
              </w:rPr>
              <w:t>100</w:t>
            </w:r>
            <w:r>
              <w:rPr>
                <w:rFonts w:ascii="Arial"/>
                <w:sz w:val="18"/>
              </w:rPr>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w w:val="95"/>
                <w:sz w:val="18"/>
              </w:rPr>
              <w:t>100</w:t>
            </w:r>
            <w:r>
              <w:rPr>
                <w:rFonts w:ascii="Arial"/>
                <w:sz w:val="18"/>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7"/>
              <w:jc w:val="right"/>
              <w:rPr>
                <w:rFonts w:ascii="Arial" w:hAnsi="Arial" w:cs="Arial" w:eastAsia="Arial" w:hint="default"/>
                <w:sz w:val="18"/>
                <w:szCs w:val="18"/>
              </w:rPr>
            </w:pPr>
            <w:r>
              <w:rPr>
                <w:rFonts w:ascii="Arial"/>
                <w:w w:val="99"/>
                <w:sz w:val="18"/>
              </w:rPr>
              <w:t>-</w:t>
            </w:r>
            <w:r>
              <w:rPr>
                <w:rFonts w:ascii="Arial"/>
                <w:sz w:val="18"/>
              </w:rPr>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0"/>
              <w:jc w:val="right"/>
              <w:rPr>
                <w:rFonts w:ascii="Arial" w:hAnsi="Arial" w:cs="Arial" w:eastAsia="Arial" w:hint="default"/>
                <w:sz w:val="18"/>
                <w:szCs w:val="18"/>
              </w:rPr>
            </w:pPr>
            <w:r>
              <w:rPr>
                <w:rFonts w:ascii="Arial"/>
                <w:w w:val="99"/>
                <w:sz w:val="18"/>
              </w:rPr>
              <w:t>-</w:t>
            </w:r>
            <w:r>
              <w:rPr>
                <w:rFonts w:ascii="Arial"/>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2"/>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02" w:lineRule="exact"/>
              <w:ind w:left="200" w:right="0"/>
              <w:jc w:val="left"/>
              <w:rPr>
                <w:rFonts w:ascii="黑体" w:hAnsi="黑体" w:cs="黑体" w:eastAsia="黑体" w:hint="default"/>
                <w:sz w:val="18"/>
                <w:szCs w:val="18"/>
              </w:rPr>
            </w:pPr>
            <w:r>
              <w:rPr>
                <w:rFonts w:ascii="黑体" w:hAnsi="黑体" w:cs="黑体" w:eastAsia="黑体" w:hint="default"/>
                <w:sz w:val="18"/>
                <w:szCs w:val="18"/>
              </w:rPr>
              <w:t>浙江用友</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0"/>
              <w:jc w:val="right"/>
              <w:rPr>
                <w:rFonts w:ascii="Arial" w:hAnsi="Arial" w:cs="Arial" w:eastAsia="Arial" w:hint="default"/>
                <w:sz w:val="18"/>
                <w:szCs w:val="18"/>
              </w:rPr>
            </w:pPr>
            <w:r>
              <w:rPr>
                <w:rFonts w:ascii="Arial"/>
                <w:spacing w:val="-1"/>
                <w:sz w:val="18"/>
              </w:rPr>
              <w:t>4,500,000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8"/>
              <w:jc w:val="right"/>
              <w:rPr>
                <w:rFonts w:ascii="Arial" w:hAnsi="Arial" w:cs="Arial" w:eastAsia="Arial" w:hint="default"/>
                <w:sz w:val="18"/>
                <w:szCs w:val="18"/>
              </w:rPr>
            </w:pPr>
            <w:r>
              <w:rPr>
                <w:rFonts w:ascii="Arial"/>
                <w:spacing w:val="-1"/>
                <w:sz w:val="18"/>
              </w:rPr>
              <w:t>4,500,000</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6"/>
              <w:jc w:val="right"/>
              <w:rPr>
                <w:rFonts w:ascii="Arial" w:hAnsi="Arial" w:cs="Arial" w:eastAsia="Arial" w:hint="default"/>
                <w:sz w:val="18"/>
                <w:szCs w:val="18"/>
              </w:rPr>
            </w:pPr>
            <w:r>
              <w:rPr>
                <w:rFonts w:ascii="Arial"/>
                <w:w w:val="99"/>
                <w:sz w:val="18"/>
              </w:rPr>
              <w:t>-</w:t>
            </w:r>
            <w:r>
              <w:rPr>
                <w:rFonts w:ascii="Arial"/>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7"/>
              <w:jc w:val="right"/>
              <w:rPr>
                <w:rFonts w:ascii="Arial" w:hAnsi="Arial" w:cs="Arial" w:eastAsia="Arial" w:hint="default"/>
                <w:sz w:val="18"/>
                <w:szCs w:val="18"/>
              </w:rPr>
            </w:pPr>
            <w:r>
              <w:rPr>
                <w:rFonts w:ascii="Arial"/>
                <w:spacing w:val="-1"/>
                <w:sz w:val="18"/>
              </w:rPr>
              <w:t>4,500,000</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1"/>
              <w:jc w:val="right"/>
              <w:rPr>
                <w:rFonts w:ascii="Arial" w:hAnsi="Arial" w:cs="Arial" w:eastAsia="Arial" w:hint="default"/>
                <w:sz w:val="18"/>
                <w:szCs w:val="18"/>
              </w:rPr>
            </w:pPr>
            <w:r>
              <w:rPr>
                <w:rFonts w:ascii="Arial"/>
                <w:w w:val="95"/>
                <w:sz w:val="18"/>
              </w:rPr>
              <w:t>90</w:t>
            </w:r>
            <w:r>
              <w:rPr>
                <w:rFonts w:ascii="Arial"/>
                <w:sz w:val="18"/>
              </w:rPr>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w w:val="95"/>
                <w:sz w:val="18"/>
              </w:rPr>
              <w:t>90</w:t>
            </w:r>
            <w:r>
              <w:rPr>
                <w:rFonts w:ascii="Arial"/>
                <w:sz w:val="18"/>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7"/>
              <w:jc w:val="right"/>
              <w:rPr>
                <w:rFonts w:ascii="Arial" w:hAnsi="Arial" w:cs="Arial" w:eastAsia="Arial" w:hint="default"/>
                <w:sz w:val="18"/>
                <w:szCs w:val="18"/>
              </w:rPr>
            </w:pPr>
            <w:r>
              <w:rPr>
                <w:rFonts w:ascii="Arial"/>
                <w:w w:val="99"/>
                <w:sz w:val="18"/>
              </w:rPr>
              <w:t>-</w:t>
            </w:r>
            <w:r>
              <w:rPr>
                <w:rFonts w:ascii="Arial"/>
                <w:sz w:val="18"/>
              </w:rPr>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0"/>
              <w:jc w:val="right"/>
              <w:rPr>
                <w:rFonts w:ascii="Arial" w:hAnsi="Arial" w:cs="Arial" w:eastAsia="Arial" w:hint="default"/>
                <w:sz w:val="18"/>
                <w:szCs w:val="18"/>
              </w:rPr>
            </w:pPr>
            <w:r>
              <w:rPr>
                <w:rFonts w:ascii="Arial"/>
                <w:w w:val="99"/>
                <w:sz w:val="18"/>
              </w:rPr>
              <w:t>-</w:t>
            </w:r>
            <w:r>
              <w:rPr>
                <w:rFonts w:ascii="Arial"/>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2"/>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02" w:lineRule="exact"/>
              <w:ind w:left="200" w:right="0"/>
              <w:jc w:val="left"/>
              <w:rPr>
                <w:rFonts w:ascii="黑体" w:hAnsi="黑体" w:cs="黑体" w:eastAsia="黑体" w:hint="default"/>
                <w:sz w:val="18"/>
                <w:szCs w:val="18"/>
              </w:rPr>
            </w:pPr>
            <w:r>
              <w:rPr>
                <w:rFonts w:ascii="黑体" w:hAnsi="黑体" w:cs="黑体" w:eastAsia="黑体" w:hint="default"/>
                <w:sz w:val="18"/>
                <w:szCs w:val="18"/>
              </w:rPr>
              <w:t>沈阳用友</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0"/>
              <w:jc w:val="right"/>
              <w:rPr>
                <w:rFonts w:ascii="Arial" w:hAnsi="Arial" w:cs="Arial" w:eastAsia="Arial" w:hint="default"/>
                <w:sz w:val="18"/>
                <w:szCs w:val="18"/>
              </w:rPr>
            </w:pPr>
            <w:r>
              <w:rPr>
                <w:rFonts w:ascii="Arial"/>
                <w:spacing w:val="-1"/>
                <w:sz w:val="18"/>
              </w:rPr>
              <w:t>2,700,000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8"/>
              <w:jc w:val="right"/>
              <w:rPr>
                <w:rFonts w:ascii="Arial" w:hAnsi="Arial" w:cs="Arial" w:eastAsia="Arial" w:hint="default"/>
                <w:sz w:val="18"/>
                <w:szCs w:val="18"/>
              </w:rPr>
            </w:pPr>
            <w:r>
              <w:rPr>
                <w:rFonts w:ascii="Arial"/>
                <w:spacing w:val="-1"/>
                <w:sz w:val="18"/>
              </w:rPr>
              <w:t>2,700,000</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6"/>
              <w:jc w:val="right"/>
              <w:rPr>
                <w:rFonts w:ascii="Arial" w:hAnsi="Arial" w:cs="Arial" w:eastAsia="Arial" w:hint="default"/>
                <w:sz w:val="18"/>
                <w:szCs w:val="18"/>
              </w:rPr>
            </w:pPr>
            <w:r>
              <w:rPr>
                <w:rFonts w:ascii="Arial"/>
                <w:w w:val="99"/>
                <w:sz w:val="18"/>
              </w:rPr>
              <w:t>-</w:t>
            </w:r>
            <w:r>
              <w:rPr>
                <w:rFonts w:ascii="Arial"/>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7"/>
              <w:jc w:val="right"/>
              <w:rPr>
                <w:rFonts w:ascii="Arial" w:hAnsi="Arial" w:cs="Arial" w:eastAsia="Arial" w:hint="default"/>
                <w:sz w:val="18"/>
                <w:szCs w:val="18"/>
              </w:rPr>
            </w:pPr>
            <w:r>
              <w:rPr>
                <w:rFonts w:ascii="Arial"/>
                <w:spacing w:val="-1"/>
                <w:sz w:val="18"/>
              </w:rPr>
              <w:t>2,700,000</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1"/>
              <w:jc w:val="right"/>
              <w:rPr>
                <w:rFonts w:ascii="Arial" w:hAnsi="Arial" w:cs="Arial" w:eastAsia="Arial" w:hint="default"/>
                <w:sz w:val="18"/>
                <w:szCs w:val="18"/>
              </w:rPr>
            </w:pPr>
            <w:r>
              <w:rPr>
                <w:rFonts w:ascii="Arial"/>
                <w:w w:val="95"/>
                <w:sz w:val="18"/>
              </w:rPr>
              <w:t>90</w:t>
            </w:r>
            <w:r>
              <w:rPr>
                <w:rFonts w:ascii="Arial"/>
                <w:sz w:val="18"/>
              </w:rPr>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w w:val="95"/>
                <w:sz w:val="18"/>
              </w:rPr>
              <w:t>90</w:t>
            </w:r>
            <w:r>
              <w:rPr>
                <w:rFonts w:ascii="Arial"/>
                <w:sz w:val="18"/>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7"/>
              <w:jc w:val="right"/>
              <w:rPr>
                <w:rFonts w:ascii="Arial" w:hAnsi="Arial" w:cs="Arial" w:eastAsia="Arial" w:hint="default"/>
                <w:sz w:val="18"/>
                <w:szCs w:val="18"/>
              </w:rPr>
            </w:pPr>
            <w:r>
              <w:rPr>
                <w:rFonts w:ascii="Arial"/>
                <w:w w:val="99"/>
                <w:sz w:val="18"/>
              </w:rPr>
              <w:t>-</w:t>
            </w:r>
            <w:r>
              <w:rPr>
                <w:rFonts w:ascii="Arial"/>
                <w:sz w:val="18"/>
              </w:rPr>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0"/>
              <w:jc w:val="right"/>
              <w:rPr>
                <w:rFonts w:ascii="Arial" w:hAnsi="Arial" w:cs="Arial" w:eastAsia="Arial" w:hint="default"/>
                <w:sz w:val="18"/>
                <w:szCs w:val="18"/>
              </w:rPr>
            </w:pPr>
            <w:r>
              <w:rPr>
                <w:rFonts w:ascii="Arial"/>
                <w:w w:val="99"/>
                <w:sz w:val="18"/>
              </w:rPr>
              <w:t>-</w:t>
            </w:r>
            <w:r>
              <w:rPr>
                <w:rFonts w:ascii="Arial"/>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2"/>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03" w:lineRule="exact"/>
              <w:ind w:left="200" w:right="0"/>
              <w:jc w:val="left"/>
              <w:rPr>
                <w:rFonts w:ascii="黑体" w:hAnsi="黑体" w:cs="黑体" w:eastAsia="黑体" w:hint="default"/>
                <w:sz w:val="18"/>
                <w:szCs w:val="18"/>
              </w:rPr>
            </w:pPr>
            <w:r>
              <w:rPr>
                <w:rFonts w:ascii="黑体" w:hAnsi="黑体" w:cs="黑体" w:eastAsia="黑体" w:hint="default"/>
                <w:sz w:val="18"/>
                <w:szCs w:val="18"/>
              </w:rPr>
              <w:t>大连用友</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10"/>
              <w:jc w:val="right"/>
              <w:rPr>
                <w:rFonts w:ascii="Arial" w:hAnsi="Arial" w:cs="Arial" w:eastAsia="Arial" w:hint="default"/>
                <w:sz w:val="18"/>
                <w:szCs w:val="18"/>
              </w:rPr>
            </w:pPr>
            <w:r>
              <w:rPr>
                <w:rFonts w:ascii="Arial"/>
                <w:spacing w:val="-1"/>
                <w:sz w:val="18"/>
              </w:rPr>
              <w:t>2,700,000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8"/>
              <w:jc w:val="right"/>
              <w:rPr>
                <w:rFonts w:ascii="Arial" w:hAnsi="Arial" w:cs="Arial" w:eastAsia="Arial" w:hint="default"/>
                <w:sz w:val="18"/>
                <w:szCs w:val="18"/>
              </w:rPr>
            </w:pPr>
            <w:r>
              <w:rPr>
                <w:rFonts w:ascii="Arial"/>
                <w:spacing w:val="-1"/>
                <w:sz w:val="18"/>
              </w:rPr>
              <w:t>2,700,000</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96"/>
              <w:jc w:val="right"/>
              <w:rPr>
                <w:rFonts w:ascii="Arial" w:hAnsi="Arial" w:cs="Arial" w:eastAsia="Arial" w:hint="default"/>
                <w:sz w:val="18"/>
                <w:szCs w:val="18"/>
              </w:rPr>
            </w:pPr>
            <w:r>
              <w:rPr>
                <w:rFonts w:ascii="Arial"/>
                <w:w w:val="99"/>
                <w:sz w:val="18"/>
              </w:rPr>
              <w:t>-</w:t>
            </w:r>
            <w:r>
              <w:rPr>
                <w:rFonts w:ascii="Arial"/>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46"/>
              <w:jc w:val="right"/>
              <w:rPr>
                <w:rFonts w:ascii="Arial" w:hAnsi="Arial" w:cs="Arial" w:eastAsia="Arial" w:hint="default"/>
                <w:sz w:val="18"/>
                <w:szCs w:val="18"/>
              </w:rPr>
            </w:pPr>
            <w:r>
              <w:rPr>
                <w:rFonts w:ascii="Arial"/>
                <w:spacing w:val="-1"/>
                <w:sz w:val="18"/>
              </w:rPr>
              <w:t>2,700,000</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21"/>
              <w:jc w:val="right"/>
              <w:rPr>
                <w:rFonts w:ascii="Arial" w:hAnsi="Arial" w:cs="Arial" w:eastAsia="Arial" w:hint="default"/>
                <w:sz w:val="18"/>
                <w:szCs w:val="18"/>
              </w:rPr>
            </w:pPr>
            <w:r>
              <w:rPr>
                <w:rFonts w:ascii="Arial"/>
                <w:w w:val="95"/>
                <w:sz w:val="18"/>
              </w:rPr>
              <w:t>90</w:t>
            </w:r>
            <w:r>
              <w:rPr>
                <w:rFonts w:ascii="Arial"/>
                <w:sz w:val="18"/>
              </w:rPr>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1"/>
              <w:jc w:val="right"/>
              <w:rPr>
                <w:rFonts w:ascii="Arial" w:hAnsi="Arial" w:cs="Arial" w:eastAsia="Arial" w:hint="default"/>
                <w:sz w:val="18"/>
                <w:szCs w:val="18"/>
              </w:rPr>
            </w:pPr>
            <w:r>
              <w:rPr>
                <w:rFonts w:ascii="Arial"/>
                <w:w w:val="95"/>
                <w:sz w:val="18"/>
              </w:rPr>
              <w:t>90</w:t>
            </w:r>
            <w:r>
              <w:rPr>
                <w:rFonts w:ascii="Arial"/>
                <w:sz w:val="18"/>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67"/>
              <w:jc w:val="right"/>
              <w:rPr>
                <w:rFonts w:ascii="Arial" w:hAnsi="Arial" w:cs="Arial" w:eastAsia="Arial" w:hint="default"/>
                <w:sz w:val="18"/>
                <w:szCs w:val="18"/>
              </w:rPr>
            </w:pPr>
            <w:r>
              <w:rPr>
                <w:rFonts w:ascii="Arial"/>
                <w:w w:val="99"/>
                <w:sz w:val="18"/>
              </w:rPr>
              <w:t>-</w:t>
            </w:r>
            <w:r>
              <w:rPr>
                <w:rFonts w:ascii="Arial"/>
                <w:sz w:val="18"/>
              </w:rPr>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Arial" w:hAnsi="Arial" w:cs="Arial" w:eastAsia="Arial" w:hint="default"/>
                <w:sz w:val="18"/>
                <w:szCs w:val="18"/>
              </w:rPr>
            </w:pPr>
            <w:r>
              <w:rPr>
                <w:rFonts w:ascii="Arial"/>
                <w:w w:val="99"/>
                <w:sz w:val="18"/>
              </w:rPr>
              <w:t>-</w:t>
            </w:r>
            <w:r>
              <w:rPr>
                <w:rFonts w:ascii="Arial"/>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12"/>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02" w:lineRule="exact"/>
              <w:ind w:left="200" w:right="0"/>
              <w:jc w:val="left"/>
              <w:rPr>
                <w:rFonts w:ascii="黑体" w:hAnsi="黑体" w:cs="黑体" w:eastAsia="黑体" w:hint="default"/>
                <w:sz w:val="18"/>
                <w:szCs w:val="18"/>
              </w:rPr>
            </w:pPr>
            <w:r>
              <w:rPr>
                <w:rFonts w:ascii="黑体" w:hAnsi="黑体" w:cs="黑体" w:eastAsia="黑体" w:hint="default"/>
                <w:sz w:val="18"/>
                <w:szCs w:val="18"/>
              </w:rPr>
              <w:t>广西用友</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0"/>
              <w:jc w:val="right"/>
              <w:rPr>
                <w:rFonts w:ascii="Arial" w:hAnsi="Arial" w:cs="Arial" w:eastAsia="Arial" w:hint="default"/>
                <w:sz w:val="18"/>
                <w:szCs w:val="18"/>
              </w:rPr>
            </w:pPr>
            <w:r>
              <w:rPr>
                <w:rFonts w:ascii="Arial"/>
                <w:spacing w:val="-1"/>
                <w:sz w:val="18"/>
              </w:rPr>
              <w:t>2,700,000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8"/>
              <w:jc w:val="right"/>
              <w:rPr>
                <w:rFonts w:ascii="Arial" w:hAnsi="Arial" w:cs="Arial" w:eastAsia="Arial" w:hint="default"/>
                <w:sz w:val="18"/>
                <w:szCs w:val="18"/>
              </w:rPr>
            </w:pPr>
            <w:r>
              <w:rPr>
                <w:rFonts w:ascii="Arial"/>
                <w:spacing w:val="-1"/>
                <w:sz w:val="18"/>
              </w:rPr>
              <w:t>2,700,000</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6"/>
              <w:jc w:val="right"/>
              <w:rPr>
                <w:rFonts w:ascii="Arial" w:hAnsi="Arial" w:cs="Arial" w:eastAsia="Arial" w:hint="default"/>
                <w:sz w:val="18"/>
                <w:szCs w:val="18"/>
              </w:rPr>
            </w:pPr>
            <w:r>
              <w:rPr>
                <w:rFonts w:ascii="Arial"/>
                <w:w w:val="99"/>
                <w:sz w:val="18"/>
              </w:rPr>
              <w:t>-</w:t>
            </w:r>
            <w:r>
              <w:rPr>
                <w:rFonts w:ascii="Arial"/>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7"/>
              <w:jc w:val="right"/>
              <w:rPr>
                <w:rFonts w:ascii="Arial" w:hAnsi="Arial" w:cs="Arial" w:eastAsia="Arial" w:hint="default"/>
                <w:sz w:val="18"/>
                <w:szCs w:val="18"/>
              </w:rPr>
            </w:pPr>
            <w:r>
              <w:rPr>
                <w:rFonts w:ascii="Arial"/>
                <w:spacing w:val="-1"/>
                <w:sz w:val="18"/>
              </w:rPr>
              <w:t>2,700,000</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1"/>
              <w:jc w:val="right"/>
              <w:rPr>
                <w:rFonts w:ascii="Arial" w:hAnsi="Arial" w:cs="Arial" w:eastAsia="Arial" w:hint="default"/>
                <w:sz w:val="18"/>
                <w:szCs w:val="18"/>
              </w:rPr>
            </w:pPr>
            <w:r>
              <w:rPr>
                <w:rFonts w:ascii="Arial"/>
                <w:w w:val="95"/>
                <w:sz w:val="18"/>
              </w:rPr>
              <w:t>90</w:t>
            </w:r>
            <w:r>
              <w:rPr>
                <w:rFonts w:ascii="Arial"/>
                <w:sz w:val="18"/>
              </w:rPr>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w w:val="95"/>
                <w:sz w:val="18"/>
              </w:rPr>
              <w:t>90</w:t>
            </w:r>
            <w:r>
              <w:rPr>
                <w:rFonts w:ascii="Arial"/>
                <w:sz w:val="18"/>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7"/>
              <w:jc w:val="right"/>
              <w:rPr>
                <w:rFonts w:ascii="Arial" w:hAnsi="Arial" w:cs="Arial" w:eastAsia="Arial" w:hint="default"/>
                <w:sz w:val="18"/>
                <w:szCs w:val="18"/>
              </w:rPr>
            </w:pPr>
            <w:r>
              <w:rPr>
                <w:rFonts w:ascii="Arial"/>
                <w:w w:val="99"/>
                <w:sz w:val="18"/>
              </w:rPr>
              <w:t>-</w:t>
            </w:r>
            <w:r>
              <w:rPr>
                <w:rFonts w:ascii="Arial"/>
                <w:sz w:val="18"/>
              </w:rPr>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0"/>
              <w:jc w:val="right"/>
              <w:rPr>
                <w:rFonts w:ascii="Arial" w:hAnsi="Arial" w:cs="Arial" w:eastAsia="Arial" w:hint="default"/>
                <w:sz w:val="18"/>
                <w:szCs w:val="18"/>
              </w:rPr>
            </w:pPr>
            <w:r>
              <w:rPr>
                <w:rFonts w:ascii="Arial"/>
                <w:w w:val="99"/>
                <w:sz w:val="18"/>
              </w:rPr>
              <w:t>-</w:t>
            </w:r>
            <w:r>
              <w:rPr>
                <w:rFonts w:ascii="Arial"/>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2"/>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02" w:lineRule="exact"/>
              <w:ind w:left="200" w:right="0"/>
              <w:jc w:val="left"/>
              <w:rPr>
                <w:rFonts w:ascii="黑体" w:hAnsi="黑体" w:cs="黑体" w:eastAsia="黑体" w:hint="default"/>
                <w:sz w:val="18"/>
                <w:szCs w:val="18"/>
              </w:rPr>
            </w:pPr>
            <w:r>
              <w:rPr>
                <w:rFonts w:ascii="黑体" w:hAnsi="黑体" w:cs="黑体" w:eastAsia="黑体" w:hint="default"/>
                <w:sz w:val="18"/>
                <w:szCs w:val="18"/>
              </w:rPr>
              <w:t>用友烟草</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1"/>
              <w:jc w:val="right"/>
              <w:rPr>
                <w:rFonts w:ascii="Arial" w:hAnsi="Arial" w:cs="Arial" w:eastAsia="Arial" w:hint="default"/>
                <w:sz w:val="18"/>
                <w:szCs w:val="18"/>
              </w:rPr>
            </w:pPr>
            <w:r>
              <w:rPr>
                <w:rFonts w:ascii="Arial"/>
                <w:spacing w:val="-1"/>
                <w:sz w:val="18"/>
              </w:rPr>
              <w:t>15,200,000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9"/>
              <w:jc w:val="right"/>
              <w:rPr>
                <w:rFonts w:ascii="Arial" w:hAnsi="Arial" w:cs="Arial" w:eastAsia="Arial" w:hint="default"/>
                <w:sz w:val="18"/>
                <w:szCs w:val="18"/>
              </w:rPr>
            </w:pPr>
            <w:r>
              <w:rPr>
                <w:rFonts w:ascii="Arial"/>
                <w:spacing w:val="-1"/>
                <w:sz w:val="18"/>
              </w:rPr>
              <w:t>15,200,000</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6"/>
              <w:jc w:val="right"/>
              <w:rPr>
                <w:rFonts w:ascii="Arial" w:hAnsi="Arial" w:cs="Arial" w:eastAsia="Arial" w:hint="default"/>
                <w:sz w:val="18"/>
                <w:szCs w:val="18"/>
              </w:rPr>
            </w:pPr>
            <w:r>
              <w:rPr>
                <w:rFonts w:ascii="Arial"/>
                <w:w w:val="99"/>
                <w:sz w:val="18"/>
              </w:rPr>
              <w:t>-</w:t>
            </w:r>
            <w:r>
              <w:rPr>
                <w:rFonts w:ascii="Arial"/>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7"/>
              <w:jc w:val="right"/>
              <w:rPr>
                <w:rFonts w:ascii="Arial" w:hAnsi="Arial" w:cs="Arial" w:eastAsia="Arial" w:hint="default"/>
                <w:sz w:val="18"/>
                <w:szCs w:val="18"/>
              </w:rPr>
            </w:pPr>
            <w:r>
              <w:rPr>
                <w:rFonts w:ascii="Arial"/>
                <w:spacing w:val="-1"/>
                <w:sz w:val="18"/>
              </w:rPr>
              <w:t>15,200,000</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1"/>
              <w:jc w:val="right"/>
              <w:rPr>
                <w:rFonts w:ascii="Arial" w:hAnsi="Arial" w:cs="Arial" w:eastAsia="Arial" w:hint="default"/>
                <w:sz w:val="18"/>
                <w:szCs w:val="18"/>
              </w:rPr>
            </w:pPr>
            <w:r>
              <w:rPr>
                <w:rFonts w:ascii="Arial"/>
                <w:w w:val="95"/>
                <w:sz w:val="18"/>
              </w:rPr>
              <w:t>76</w:t>
            </w:r>
            <w:r>
              <w:rPr>
                <w:rFonts w:ascii="Arial"/>
                <w:sz w:val="18"/>
              </w:rPr>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w w:val="95"/>
                <w:sz w:val="18"/>
              </w:rPr>
              <w:t>76</w:t>
            </w:r>
            <w:r>
              <w:rPr>
                <w:rFonts w:ascii="Arial"/>
                <w:sz w:val="18"/>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7"/>
              <w:jc w:val="right"/>
              <w:rPr>
                <w:rFonts w:ascii="Arial" w:hAnsi="Arial" w:cs="Arial" w:eastAsia="Arial" w:hint="default"/>
                <w:sz w:val="18"/>
                <w:szCs w:val="18"/>
              </w:rPr>
            </w:pPr>
            <w:r>
              <w:rPr>
                <w:rFonts w:ascii="Arial"/>
                <w:w w:val="99"/>
                <w:sz w:val="18"/>
              </w:rPr>
              <w:t>-</w:t>
            </w:r>
            <w:r>
              <w:rPr>
                <w:rFonts w:ascii="Arial"/>
                <w:sz w:val="18"/>
              </w:rPr>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0"/>
              <w:jc w:val="right"/>
              <w:rPr>
                <w:rFonts w:ascii="Arial" w:hAnsi="Arial" w:cs="Arial" w:eastAsia="Arial" w:hint="default"/>
                <w:sz w:val="18"/>
                <w:szCs w:val="18"/>
              </w:rPr>
            </w:pPr>
            <w:r>
              <w:rPr>
                <w:rFonts w:ascii="Arial"/>
                <w:w w:val="99"/>
                <w:sz w:val="18"/>
              </w:rPr>
              <w:t>-</w:t>
            </w:r>
            <w:r>
              <w:rPr>
                <w:rFonts w:ascii="Arial"/>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9"/>
              <w:jc w:val="right"/>
              <w:rPr>
                <w:rFonts w:ascii="Arial" w:hAnsi="Arial" w:cs="Arial" w:eastAsia="Arial" w:hint="default"/>
                <w:sz w:val="18"/>
                <w:szCs w:val="18"/>
              </w:rPr>
            </w:pPr>
            <w:r>
              <w:rPr>
                <w:rFonts w:ascii="Arial"/>
                <w:spacing w:val="-1"/>
                <w:sz w:val="18"/>
              </w:rPr>
              <w:t>3,179,172</w:t>
            </w:r>
          </w:p>
        </w:tc>
      </w:tr>
      <w:tr>
        <w:trPr>
          <w:trHeight w:val="234"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03" w:lineRule="exact"/>
              <w:ind w:left="200" w:right="0"/>
              <w:jc w:val="left"/>
              <w:rPr>
                <w:rFonts w:ascii="黑体" w:hAnsi="黑体" w:cs="黑体" w:eastAsia="黑体" w:hint="default"/>
                <w:sz w:val="18"/>
                <w:szCs w:val="18"/>
              </w:rPr>
            </w:pPr>
            <w:r>
              <w:rPr>
                <w:rFonts w:ascii="黑体" w:hAnsi="黑体" w:cs="黑体" w:eastAsia="黑体" w:hint="default"/>
                <w:sz w:val="18"/>
                <w:szCs w:val="18"/>
              </w:rPr>
              <w:t>深圳用友</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10"/>
              <w:jc w:val="right"/>
              <w:rPr>
                <w:rFonts w:ascii="Arial" w:hAnsi="Arial" w:cs="Arial" w:eastAsia="Arial" w:hint="default"/>
                <w:sz w:val="18"/>
                <w:szCs w:val="18"/>
              </w:rPr>
            </w:pPr>
            <w:r>
              <w:rPr>
                <w:rFonts w:ascii="Arial"/>
                <w:spacing w:val="-1"/>
                <w:sz w:val="18"/>
              </w:rPr>
              <w:t>9,000,000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8"/>
              <w:jc w:val="right"/>
              <w:rPr>
                <w:rFonts w:ascii="Arial" w:hAnsi="Arial" w:cs="Arial" w:eastAsia="Arial" w:hint="default"/>
                <w:sz w:val="18"/>
                <w:szCs w:val="18"/>
              </w:rPr>
            </w:pPr>
            <w:r>
              <w:rPr>
                <w:rFonts w:ascii="Arial"/>
                <w:spacing w:val="-1"/>
                <w:sz w:val="18"/>
              </w:rPr>
              <w:t>9,000,000</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96"/>
              <w:jc w:val="right"/>
              <w:rPr>
                <w:rFonts w:ascii="Arial" w:hAnsi="Arial" w:cs="Arial" w:eastAsia="Arial" w:hint="default"/>
                <w:sz w:val="18"/>
                <w:szCs w:val="18"/>
              </w:rPr>
            </w:pPr>
            <w:r>
              <w:rPr>
                <w:rFonts w:ascii="Arial"/>
                <w:w w:val="99"/>
                <w:sz w:val="18"/>
              </w:rPr>
              <w:t>-</w:t>
            </w:r>
            <w:r>
              <w:rPr>
                <w:rFonts w:ascii="Arial"/>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46"/>
              <w:jc w:val="right"/>
              <w:rPr>
                <w:rFonts w:ascii="Arial" w:hAnsi="Arial" w:cs="Arial" w:eastAsia="Arial" w:hint="default"/>
                <w:sz w:val="18"/>
                <w:szCs w:val="18"/>
              </w:rPr>
            </w:pPr>
            <w:r>
              <w:rPr>
                <w:rFonts w:ascii="Arial"/>
                <w:spacing w:val="-1"/>
                <w:sz w:val="18"/>
              </w:rPr>
              <w:t>9,000,000</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21"/>
              <w:jc w:val="right"/>
              <w:rPr>
                <w:rFonts w:ascii="Arial" w:hAnsi="Arial" w:cs="Arial" w:eastAsia="Arial" w:hint="default"/>
                <w:sz w:val="18"/>
                <w:szCs w:val="18"/>
              </w:rPr>
            </w:pPr>
            <w:r>
              <w:rPr>
                <w:rFonts w:ascii="Arial"/>
                <w:w w:val="95"/>
                <w:sz w:val="18"/>
              </w:rPr>
              <w:t>90</w:t>
            </w:r>
            <w:r>
              <w:rPr>
                <w:rFonts w:ascii="Arial"/>
                <w:sz w:val="18"/>
              </w:rPr>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1"/>
              <w:jc w:val="right"/>
              <w:rPr>
                <w:rFonts w:ascii="Arial" w:hAnsi="Arial" w:cs="Arial" w:eastAsia="Arial" w:hint="default"/>
                <w:sz w:val="18"/>
                <w:szCs w:val="18"/>
              </w:rPr>
            </w:pPr>
            <w:r>
              <w:rPr>
                <w:rFonts w:ascii="Arial"/>
                <w:w w:val="95"/>
                <w:sz w:val="18"/>
              </w:rPr>
              <w:t>90</w:t>
            </w:r>
            <w:r>
              <w:rPr>
                <w:rFonts w:ascii="Arial"/>
                <w:sz w:val="18"/>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67"/>
              <w:jc w:val="right"/>
              <w:rPr>
                <w:rFonts w:ascii="Arial" w:hAnsi="Arial" w:cs="Arial" w:eastAsia="Arial" w:hint="default"/>
                <w:sz w:val="18"/>
                <w:szCs w:val="18"/>
              </w:rPr>
            </w:pPr>
            <w:r>
              <w:rPr>
                <w:rFonts w:ascii="Arial"/>
                <w:w w:val="99"/>
                <w:sz w:val="18"/>
              </w:rPr>
              <w:t>-</w:t>
            </w:r>
            <w:r>
              <w:rPr>
                <w:rFonts w:ascii="Arial"/>
                <w:sz w:val="18"/>
              </w:rPr>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Arial" w:hAnsi="Arial" w:cs="Arial" w:eastAsia="Arial" w:hint="default"/>
                <w:sz w:val="18"/>
                <w:szCs w:val="18"/>
              </w:rPr>
            </w:pPr>
            <w:r>
              <w:rPr>
                <w:rFonts w:ascii="Arial"/>
                <w:w w:val="99"/>
                <w:sz w:val="18"/>
              </w:rPr>
              <w:t>-</w:t>
            </w:r>
            <w:r>
              <w:rPr>
                <w:rFonts w:ascii="Arial"/>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12"/>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02" w:lineRule="exact"/>
              <w:ind w:left="200" w:right="0"/>
              <w:jc w:val="left"/>
              <w:rPr>
                <w:rFonts w:ascii="黑体" w:hAnsi="黑体" w:cs="黑体" w:eastAsia="黑体" w:hint="default"/>
                <w:sz w:val="18"/>
                <w:szCs w:val="18"/>
              </w:rPr>
            </w:pPr>
            <w:r>
              <w:rPr>
                <w:rFonts w:ascii="黑体" w:hAnsi="黑体" w:cs="黑体" w:eastAsia="黑体" w:hint="default"/>
                <w:sz w:val="18"/>
                <w:szCs w:val="18"/>
              </w:rPr>
              <w:t>山东用友</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0"/>
              <w:jc w:val="right"/>
              <w:rPr>
                <w:rFonts w:ascii="Arial" w:hAnsi="Arial" w:cs="Arial" w:eastAsia="Arial" w:hint="default"/>
                <w:sz w:val="18"/>
                <w:szCs w:val="18"/>
              </w:rPr>
            </w:pPr>
            <w:r>
              <w:rPr>
                <w:rFonts w:ascii="Arial"/>
                <w:spacing w:val="-1"/>
                <w:sz w:val="18"/>
              </w:rPr>
              <w:t>4,500,000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8"/>
              <w:jc w:val="right"/>
              <w:rPr>
                <w:rFonts w:ascii="Arial" w:hAnsi="Arial" w:cs="Arial" w:eastAsia="Arial" w:hint="default"/>
                <w:sz w:val="18"/>
                <w:szCs w:val="18"/>
              </w:rPr>
            </w:pPr>
            <w:r>
              <w:rPr>
                <w:rFonts w:ascii="Arial"/>
                <w:spacing w:val="-1"/>
                <w:sz w:val="18"/>
              </w:rPr>
              <w:t>4,500,000</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6"/>
              <w:jc w:val="right"/>
              <w:rPr>
                <w:rFonts w:ascii="Arial" w:hAnsi="Arial" w:cs="Arial" w:eastAsia="Arial" w:hint="default"/>
                <w:sz w:val="18"/>
                <w:szCs w:val="18"/>
              </w:rPr>
            </w:pPr>
            <w:r>
              <w:rPr>
                <w:rFonts w:ascii="Arial"/>
                <w:w w:val="99"/>
                <w:sz w:val="18"/>
              </w:rPr>
              <w:t>-</w:t>
            </w:r>
            <w:r>
              <w:rPr>
                <w:rFonts w:ascii="Arial"/>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7"/>
              <w:jc w:val="right"/>
              <w:rPr>
                <w:rFonts w:ascii="Arial" w:hAnsi="Arial" w:cs="Arial" w:eastAsia="Arial" w:hint="default"/>
                <w:sz w:val="18"/>
                <w:szCs w:val="18"/>
              </w:rPr>
            </w:pPr>
            <w:r>
              <w:rPr>
                <w:rFonts w:ascii="Arial"/>
                <w:spacing w:val="-1"/>
                <w:sz w:val="18"/>
              </w:rPr>
              <w:t>4,500,000</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1"/>
              <w:jc w:val="right"/>
              <w:rPr>
                <w:rFonts w:ascii="Arial" w:hAnsi="Arial" w:cs="Arial" w:eastAsia="Arial" w:hint="default"/>
                <w:sz w:val="18"/>
                <w:szCs w:val="18"/>
              </w:rPr>
            </w:pPr>
            <w:r>
              <w:rPr>
                <w:rFonts w:ascii="Arial"/>
                <w:w w:val="95"/>
                <w:sz w:val="18"/>
              </w:rPr>
              <w:t>90</w:t>
            </w:r>
            <w:r>
              <w:rPr>
                <w:rFonts w:ascii="Arial"/>
                <w:sz w:val="18"/>
              </w:rPr>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w w:val="95"/>
                <w:sz w:val="18"/>
              </w:rPr>
              <w:t>90</w:t>
            </w:r>
            <w:r>
              <w:rPr>
                <w:rFonts w:ascii="Arial"/>
                <w:sz w:val="18"/>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7"/>
              <w:jc w:val="right"/>
              <w:rPr>
                <w:rFonts w:ascii="Arial" w:hAnsi="Arial" w:cs="Arial" w:eastAsia="Arial" w:hint="default"/>
                <w:sz w:val="18"/>
                <w:szCs w:val="18"/>
              </w:rPr>
            </w:pPr>
            <w:r>
              <w:rPr>
                <w:rFonts w:ascii="Arial"/>
                <w:w w:val="99"/>
                <w:sz w:val="18"/>
              </w:rPr>
              <w:t>-</w:t>
            </w:r>
            <w:r>
              <w:rPr>
                <w:rFonts w:ascii="Arial"/>
                <w:sz w:val="18"/>
              </w:rPr>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0"/>
              <w:jc w:val="right"/>
              <w:rPr>
                <w:rFonts w:ascii="Arial" w:hAnsi="Arial" w:cs="Arial" w:eastAsia="Arial" w:hint="default"/>
                <w:sz w:val="18"/>
                <w:szCs w:val="18"/>
              </w:rPr>
            </w:pPr>
            <w:r>
              <w:rPr>
                <w:rFonts w:ascii="Arial"/>
                <w:w w:val="99"/>
                <w:sz w:val="18"/>
              </w:rPr>
              <w:t>-</w:t>
            </w:r>
            <w:r>
              <w:rPr>
                <w:rFonts w:ascii="Arial"/>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2"/>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02" w:lineRule="exact"/>
              <w:ind w:left="200" w:right="0"/>
              <w:jc w:val="left"/>
              <w:rPr>
                <w:rFonts w:ascii="黑体" w:hAnsi="黑体" w:cs="黑体" w:eastAsia="黑体" w:hint="default"/>
                <w:sz w:val="18"/>
                <w:szCs w:val="18"/>
              </w:rPr>
            </w:pPr>
            <w:r>
              <w:rPr>
                <w:rFonts w:ascii="黑体" w:hAnsi="黑体" w:cs="黑体" w:eastAsia="黑体" w:hint="default"/>
                <w:sz w:val="18"/>
                <w:szCs w:val="18"/>
              </w:rPr>
              <w:t>江西用友</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1"/>
              <w:jc w:val="right"/>
              <w:rPr>
                <w:rFonts w:ascii="Arial" w:hAnsi="Arial" w:cs="Arial" w:eastAsia="Arial" w:hint="default"/>
                <w:sz w:val="18"/>
                <w:szCs w:val="18"/>
              </w:rPr>
            </w:pPr>
            <w:r>
              <w:rPr>
                <w:rFonts w:ascii="Arial"/>
                <w:spacing w:val="-1"/>
                <w:sz w:val="18"/>
              </w:rPr>
              <w:t>20,000,000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9"/>
              <w:jc w:val="right"/>
              <w:rPr>
                <w:rFonts w:ascii="Arial" w:hAnsi="Arial" w:cs="Arial" w:eastAsia="Arial" w:hint="default"/>
                <w:sz w:val="18"/>
                <w:szCs w:val="18"/>
              </w:rPr>
            </w:pPr>
            <w:r>
              <w:rPr>
                <w:rFonts w:ascii="Arial"/>
                <w:spacing w:val="-1"/>
                <w:sz w:val="18"/>
              </w:rPr>
              <w:t>20,000,000</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6"/>
              <w:jc w:val="right"/>
              <w:rPr>
                <w:rFonts w:ascii="Arial" w:hAnsi="Arial" w:cs="Arial" w:eastAsia="Arial" w:hint="default"/>
                <w:sz w:val="18"/>
                <w:szCs w:val="18"/>
              </w:rPr>
            </w:pPr>
            <w:r>
              <w:rPr>
                <w:rFonts w:ascii="Arial"/>
                <w:w w:val="99"/>
                <w:sz w:val="18"/>
              </w:rPr>
              <w:t>-</w:t>
            </w:r>
            <w:r>
              <w:rPr>
                <w:rFonts w:ascii="Arial"/>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7"/>
              <w:jc w:val="right"/>
              <w:rPr>
                <w:rFonts w:ascii="Arial" w:hAnsi="Arial" w:cs="Arial" w:eastAsia="Arial" w:hint="default"/>
                <w:sz w:val="18"/>
                <w:szCs w:val="18"/>
              </w:rPr>
            </w:pPr>
            <w:r>
              <w:rPr>
                <w:rFonts w:ascii="Arial"/>
                <w:spacing w:val="-1"/>
                <w:sz w:val="18"/>
              </w:rPr>
              <w:t>20,000,000</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1"/>
              <w:jc w:val="right"/>
              <w:rPr>
                <w:rFonts w:ascii="Arial" w:hAnsi="Arial" w:cs="Arial" w:eastAsia="Arial" w:hint="default"/>
                <w:sz w:val="18"/>
                <w:szCs w:val="18"/>
              </w:rPr>
            </w:pPr>
            <w:r>
              <w:rPr>
                <w:rFonts w:ascii="Arial"/>
                <w:w w:val="95"/>
                <w:sz w:val="18"/>
              </w:rPr>
              <w:t>100</w:t>
            </w:r>
            <w:r>
              <w:rPr>
                <w:rFonts w:ascii="Arial"/>
                <w:sz w:val="18"/>
              </w:rPr>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w w:val="95"/>
                <w:sz w:val="18"/>
              </w:rPr>
              <w:t>100</w:t>
            </w:r>
            <w:r>
              <w:rPr>
                <w:rFonts w:ascii="Arial"/>
                <w:sz w:val="18"/>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7"/>
              <w:jc w:val="right"/>
              <w:rPr>
                <w:rFonts w:ascii="Arial" w:hAnsi="Arial" w:cs="Arial" w:eastAsia="Arial" w:hint="default"/>
                <w:sz w:val="18"/>
                <w:szCs w:val="18"/>
              </w:rPr>
            </w:pPr>
            <w:r>
              <w:rPr>
                <w:rFonts w:ascii="Arial"/>
                <w:w w:val="99"/>
                <w:sz w:val="18"/>
              </w:rPr>
              <w:t>-</w:t>
            </w:r>
            <w:r>
              <w:rPr>
                <w:rFonts w:ascii="Arial"/>
                <w:sz w:val="18"/>
              </w:rPr>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0"/>
              <w:jc w:val="right"/>
              <w:rPr>
                <w:rFonts w:ascii="Arial" w:hAnsi="Arial" w:cs="Arial" w:eastAsia="Arial" w:hint="default"/>
                <w:sz w:val="18"/>
                <w:szCs w:val="18"/>
              </w:rPr>
            </w:pPr>
            <w:r>
              <w:rPr>
                <w:rFonts w:ascii="Arial"/>
                <w:w w:val="99"/>
                <w:sz w:val="18"/>
              </w:rPr>
              <w:t>-</w:t>
            </w:r>
            <w:r>
              <w:rPr>
                <w:rFonts w:ascii="Arial"/>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2"/>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02" w:lineRule="exact"/>
              <w:ind w:left="200" w:right="0"/>
              <w:jc w:val="left"/>
              <w:rPr>
                <w:rFonts w:ascii="黑体" w:hAnsi="黑体" w:cs="黑体" w:eastAsia="黑体" w:hint="default"/>
                <w:sz w:val="18"/>
                <w:szCs w:val="18"/>
              </w:rPr>
            </w:pPr>
            <w:r>
              <w:rPr>
                <w:rFonts w:ascii="黑体" w:hAnsi="黑体" w:cs="黑体" w:eastAsia="黑体" w:hint="default"/>
                <w:sz w:val="18"/>
                <w:szCs w:val="18"/>
              </w:rPr>
              <w:t>湖南用友</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0"/>
              <w:jc w:val="right"/>
              <w:rPr>
                <w:rFonts w:ascii="Arial" w:hAnsi="Arial" w:cs="Arial" w:eastAsia="Arial" w:hint="default"/>
                <w:sz w:val="18"/>
                <w:szCs w:val="18"/>
              </w:rPr>
            </w:pPr>
            <w:r>
              <w:rPr>
                <w:rFonts w:ascii="Arial"/>
                <w:spacing w:val="-1"/>
                <w:sz w:val="18"/>
              </w:rPr>
              <w:t>2,700,000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8"/>
              <w:jc w:val="right"/>
              <w:rPr>
                <w:rFonts w:ascii="Arial" w:hAnsi="Arial" w:cs="Arial" w:eastAsia="Arial" w:hint="default"/>
                <w:sz w:val="18"/>
                <w:szCs w:val="18"/>
              </w:rPr>
            </w:pPr>
            <w:r>
              <w:rPr>
                <w:rFonts w:ascii="Arial"/>
                <w:spacing w:val="-1"/>
                <w:sz w:val="18"/>
              </w:rPr>
              <w:t>2,700,000</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6"/>
              <w:jc w:val="right"/>
              <w:rPr>
                <w:rFonts w:ascii="Arial" w:hAnsi="Arial" w:cs="Arial" w:eastAsia="Arial" w:hint="default"/>
                <w:sz w:val="18"/>
                <w:szCs w:val="18"/>
              </w:rPr>
            </w:pPr>
            <w:r>
              <w:rPr>
                <w:rFonts w:ascii="Arial"/>
                <w:w w:val="99"/>
                <w:sz w:val="18"/>
              </w:rPr>
              <w:t>-</w:t>
            </w:r>
            <w:r>
              <w:rPr>
                <w:rFonts w:ascii="Arial"/>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6"/>
              <w:jc w:val="right"/>
              <w:rPr>
                <w:rFonts w:ascii="Arial" w:hAnsi="Arial" w:cs="Arial" w:eastAsia="Arial" w:hint="default"/>
                <w:sz w:val="18"/>
                <w:szCs w:val="18"/>
              </w:rPr>
            </w:pPr>
            <w:r>
              <w:rPr>
                <w:rFonts w:ascii="Arial"/>
                <w:spacing w:val="-1"/>
                <w:sz w:val="18"/>
              </w:rPr>
              <w:t>2,700,000</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1"/>
              <w:jc w:val="right"/>
              <w:rPr>
                <w:rFonts w:ascii="Arial" w:hAnsi="Arial" w:cs="Arial" w:eastAsia="Arial" w:hint="default"/>
                <w:sz w:val="18"/>
                <w:szCs w:val="18"/>
              </w:rPr>
            </w:pPr>
            <w:r>
              <w:rPr>
                <w:rFonts w:ascii="Arial"/>
                <w:w w:val="95"/>
                <w:sz w:val="18"/>
              </w:rPr>
              <w:t>90</w:t>
            </w:r>
            <w:r>
              <w:rPr>
                <w:rFonts w:ascii="Arial"/>
                <w:sz w:val="18"/>
              </w:rPr>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w w:val="95"/>
                <w:sz w:val="18"/>
              </w:rPr>
              <w:t>90</w:t>
            </w:r>
            <w:r>
              <w:rPr>
                <w:rFonts w:ascii="Arial"/>
                <w:sz w:val="18"/>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7"/>
              <w:jc w:val="right"/>
              <w:rPr>
                <w:rFonts w:ascii="Arial" w:hAnsi="Arial" w:cs="Arial" w:eastAsia="Arial" w:hint="default"/>
                <w:sz w:val="18"/>
                <w:szCs w:val="18"/>
              </w:rPr>
            </w:pPr>
            <w:r>
              <w:rPr>
                <w:rFonts w:ascii="Arial"/>
                <w:w w:val="99"/>
                <w:sz w:val="18"/>
              </w:rPr>
              <w:t>-</w:t>
            </w:r>
            <w:r>
              <w:rPr>
                <w:rFonts w:ascii="Arial"/>
                <w:sz w:val="18"/>
              </w:rPr>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0"/>
              <w:jc w:val="right"/>
              <w:rPr>
                <w:rFonts w:ascii="Arial" w:hAnsi="Arial" w:cs="Arial" w:eastAsia="Arial" w:hint="default"/>
                <w:sz w:val="18"/>
                <w:szCs w:val="18"/>
              </w:rPr>
            </w:pPr>
            <w:r>
              <w:rPr>
                <w:rFonts w:ascii="Arial"/>
                <w:w w:val="99"/>
                <w:sz w:val="18"/>
              </w:rPr>
              <w:t>-</w:t>
            </w:r>
            <w:r>
              <w:rPr>
                <w:rFonts w:ascii="Arial"/>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2"/>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03" w:lineRule="exact"/>
              <w:ind w:left="200" w:right="0"/>
              <w:jc w:val="left"/>
              <w:rPr>
                <w:rFonts w:ascii="黑体" w:hAnsi="黑体" w:cs="黑体" w:eastAsia="黑体" w:hint="default"/>
                <w:sz w:val="18"/>
                <w:szCs w:val="18"/>
              </w:rPr>
            </w:pPr>
            <w:r>
              <w:rPr>
                <w:rFonts w:ascii="黑体" w:hAnsi="黑体" w:cs="黑体" w:eastAsia="黑体" w:hint="default"/>
                <w:sz w:val="18"/>
                <w:szCs w:val="18"/>
              </w:rPr>
              <w:t>内蒙古用友</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10"/>
              <w:jc w:val="right"/>
              <w:rPr>
                <w:rFonts w:ascii="Arial" w:hAnsi="Arial" w:cs="Arial" w:eastAsia="Arial" w:hint="default"/>
                <w:sz w:val="18"/>
                <w:szCs w:val="18"/>
              </w:rPr>
            </w:pPr>
            <w:r>
              <w:rPr>
                <w:rFonts w:ascii="Arial"/>
                <w:spacing w:val="-1"/>
                <w:sz w:val="18"/>
              </w:rPr>
              <w:t>2,700,000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8"/>
              <w:jc w:val="right"/>
              <w:rPr>
                <w:rFonts w:ascii="Arial" w:hAnsi="Arial" w:cs="Arial" w:eastAsia="Arial" w:hint="default"/>
                <w:sz w:val="18"/>
                <w:szCs w:val="18"/>
              </w:rPr>
            </w:pPr>
            <w:r>
              <w:rPr>
                <w:rFonts w:ascii="Arial"/>
                <w:spacing w:val="-1"/>
                <w:sz w:val="18"/>
              </w:rPr>
              <w:t>2,700,000</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96"/>
              <w:jc w:val="right"/>
              <w:rPr>
                <w:rFonts w:ascii="Arial" w:hAnsi="Arial" w:cs="Arial" w:eastAsia="Arial" w:hint="default"/>
                <w:sz w:val="18"/>
                <w:szCs w:val="18"/>
              </w:rPr>
            </w:pPr>
            <w:r>
              <w:rPr>
                <w:rFonts w:ascii="Arial"/>
                <w:w w:val="99"/>
                <w:sz w:val="18"/>
              </w:rPr>
              <w:t>-</w:t>
            </w:r>
            <w:r>
              <w:rPr>
                <w:rFonts w:ascii="Arial"/>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47"/>
              <w:jc w:val="right"/>
              <w:rPr>
                <w:rFonts w:ascii="Arial" w:hAnsi="Arial" w:cs="Arial" w:eastAsia="Arial" w:hint="default"/>
                <w:sz w:val="18"/>
                <w:szCs w:val="18"/>
              </w:rPr>
            </w:pPr>
            <w:r>
              <w:rPr>
                <w:rFonts w:ascii="Arial"/>
                <w:spacing w:val="-1"/>
                <w:sz w:val="18"/>
              </w:rPr>
              <w:t>2,700,000</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21"/>
              <w:jc w:val="right"/>
              <w:rPr>
                <w:rFonts w:ascii="Arial" w:hAnsi="Arial" w:cs="Arial" w:eastAsia="Arial" w:hint="default"/>
                <w:sz w:val="18"/>
                <w:szCs w:val="18"/>
              </w:rPr>
            </w:pPr>
            <w:r>
              <w:rPr>
                <w:rFonts w:ascii="Arial"/>
                <w:w w:val="95"/>
                <w:sz w:val="18"/>
              </w:rPr>
              <w:t>90</w:t>
            </w:r>
            <w:r>
              <w:rPr>
                <w:rFonts w:ascii="Arial"/>
                <w:sz w:val="18"/>
              </w:rPr>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1"/>
              <w:jc w:val="right"/>
              <w:rPr>
                <w:rFonts w:ascii="Arial" w:hAnsi="Arial" w:cs="Arial" w:eastAsia="Arial" w:hint="default"/>
                <w:sz w:val="18"/>
                <w:szCs w:val="18"/>
              </w:rPr>
            </w:pPr>
            <w:r>
              <w:rPr>
                <w:rFonts w:ascii="Arial"/>
                <w:w w:val="95"/>
                <w:sz w:val="18"/>
              </w:rPr>
              <w:t>90</w:t>
            </w:r>
            <w:r>
              <w:rPr>
                <w:rFonts w:ascii="Arial"/>
                <w:sz w:val="18"/>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67"/>
              <w:jc w:val="right"/>
              <w:rPr>
                <w:rFonts w:ascii="Arial" w:hAnsi="Arial" w:cs="Arial" w:eastAsia="Arial" w:hint="default"/>
                <w:sz w:val="18"/>
                <w:szCs w:val="18"/>
              </w:rPr>
            </w:pPr>
            <w:r>
              <w:rPr>
                <w:rFonts w:ascii="Arial"/>
                <w:w w:val="99"/>
                <w:sz w:val="18"/>
              </w:rPr>
              <w:t>-</w:t>
            </w:r>
            <w:r>
              <w:rPr>
                <w:rFonts w:ascii="Arial"/>
                <w:sz w:val="18"/>
              </w:rPr>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Arial" w:hAnsi="Arial" w:cs="Arial" w:eastAsia="Arial" w:hint="default"/>
                <w:sz w:val="18"/>
                <w:szCs w:val="18"/>
              </w:rPr>
            </w:pPr>
            <w:r>
              <w:rPr>
                <w:rFonts w:ascii="Arial"/>
                <w:w w:val="99"/>
                <w:sz w:val="18"/>
              </w:rPr>
              <w:t>-</w:t>
            </w:r>
            <w:r>
              <w:rPr>
                <w:rFonts w:ascii="Arial"/>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12"/>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02" w:lineRule="exact"/>
              <w:ind w:left="200" w:right="0"/>
              <w:jc w:val="left"/>
              <w:rPr>
                <w:rFonts w:ascii="黑体" w:hAnsi="黑体" w:cs="黑体" w:eastAsia="黑体" w:hint="default"/>
                <w:sz w:val="18"/>
                <w:szCs w:val="18"/>
              </w:rPr>
            </w:pPr>
            <w:r>
              <w:rPr>
                <w:rFonts w:ascii="黑体" w:hAnsi="黑体" w:cs="黑体" w:eastAsia="黑体" w:hint="default"/>
                <w:sz w:val="18"/>
                <w:szCs w:val="18"/>
              </w:rPr>
              <w:t>用友审计</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1"/>
              <w:jc w:val="right"/>
              <w:rPr>
                <w:rFonts w:ascii="Arial" w:hAnsi="Arial" w:cs="Arial" w:eastAsia="Arial" w:hint="default"/>
                <w:sz w:val="18"/>
                <w:szCs w:val="18"/>
              </w:rPr>
            </w:pPr>
            <w:r>
              <w:rPr>
                <w:rFonts w:ascii="Arial"/>
                <w:spacing w:val="-1"/>
                <w:sz w:val="18"/>
              </w:rPr>
              <w:t>13,685,542</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9"/>
              <w:jc w:val="right"/>
              <w:rPr>
                <w:rFonts w:ascii="Arial" w:hAnsi="Arial" w:cs="Arial" w:eastAsia="Arial" w:hint="default"/>
                <w:sz w:val="18"/>
                <w:szCs w:val="18"/>
              </w:rPr>
            </w:pPr>
            <w:r>
              <w:rPr>
                <w:rFonts w:ascii="Arial"/>
                <w:spacing w:val="-1"/>
                <w:sz w:val="18"/>
              </w:rPr>
              <w:t>13,685,542</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6"/>
              <w:jc w:val="right"/>
              <w:rPr>
                <w:rFonts w:ascii="Arial" w:hAnsi="Arial" w:cs="Arial" w:eastAsia="Arial" w:hint="default"/>
                <w:sz w:val="18"/>
                <w:szCs w:val="18"/>
              </w:rPr>
            </w:pPr>
            <w:r>
              <w:rPr>
                <w:rFonts w:ascii="Arial"/>
                <w:w w:val="99"/>
                <w:sz w:val="18"/>
              </w:rPr>
              <w:t>-</w:t>
            </w:r>
            <w:r>
              <w:rPr>
                <w:rFonts w:ascii="Arial"/>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7"/>
              <w:jc w:val="right"/>
              <w:rPr>
                <w:rFonts w:ascii="Arial" w:hAnsi="Arial" w:cs="Arial" w:eastAsia="Arial" w:hint="default"/>
                <w:sz w:val="18"/>
                <w:szCs w:val="18"/>
              </w:rPr>
            </w:pPr>
            <w:r>
              <w:rPr>
                <w:rFonts w:ascii="Arial"/>
                <w:spacing w:val="-1"/>
                <w:sz w:val="18"/>
              </w:rPr>
              <w:t>13,685,542</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1"/>
              <w:jc w:val="right"/>
              <w:rPr>
                <w:rFonts w:ascii="Arial" w:hAnsi="Arial" w:cs="Arial" w:eastAsia="Arial" w:hint="default"/>
                <w:sz w:val="18"/>
                <w:szCs w:val="18"/>
              </w:rPr>
            </w:pPr>
            <w:r>
              <w:rPr>
                <w:rFonts w:ascii="Arial"/>
                <w:w w:val="95"/>
                <w:sz w:val="18"/>
              </w:rPr>
              <w:t>82</w:t>
            </w:r>
            <w:r>
              <w:rPr>
                <w:rFonts w:ascii="Arial"/>
                <w:sz w:val="18"/>
              </w:rPr>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w w:val="95"/>
                <w:sz w:val="18"/>
              </w:rPr>
              <w:t>82</w:t>
            </w:r>
            <w:r>
              <w:rPr>
                <w:rFonts w:ascii="Arial"/>
                <w:sz w:val="18"/>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7"/>
              <w:jc w:val="right"/>
              <w:rPr>
                <w:rFonts w:ascii="Arial" w:hAnsi="Arial" w:cs="Arial" w:eastAsia="Arial" w:hint="default"/>
                <w:sz w:val="18"/>
                <w:szCs w:val="18"/>
              </w:rPr>
            </w:pPr>
            <w:r>
              <w:rPr>
                <w:rFonts w:ascii="Arial"/>
                <w:w w:val="99"/>
                <w:sz w:val="18"/>
              </w:rPr>
              <w:t>-</w:t>
            </w:r>
            <w:r>
              <w:rPr>
                <w:rFonts w:ascii="Arial"/>
                <w:sz w:val="18"/>
              </w:rPr>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0"/>
              <w:jc w:val="right"/>
              <w:rPr>
                <w:rFonts w:ascii="Arial" w:hAnsi="Arial" w:cs="Arial" w:eastAsia="Arial" w:hint="default"/>
                <w:sz w:val="18"/>
                <w:szCs w:val="18"/>
              </w:rPr>
            </w:pPr>
            <w:r>
              <w:rPr>
                <w:rFonts w:ascii="Arial"/>
                <w:w w:val="99"/>
                <w:sz w:val="18"/>
              </w:rPr>
              <w:t>-</w:t>
            </w:r>
            <w:r>
              <w:rPr>
                <w:rFonts w:ascii="Arial"/>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2"/>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02" w:lineRule="exact"/>
              <w:ind w:left="200" w:right="0"/>
              <w:jc w:val="left"/>
              <w:rPr>
                <w:rFonts w:ascii="黑体" w:hAnsi="黑体" w:cs="黑体" w:eastAsia="黑体" w:hint="default"/>
                <w:sz w:val="18"/>
                <w:szCs w:val="18"/>
              </w:rPr>
            </w:pPr>
            <w:r>
              <w:rPr>
                <w:rFonts w:ascii="黑体" w:hAnsi="黑体" w:cs="黑体" w:eastAsia="黑体" w:hint="default"/>
                <w:sz w:val="18"/>
                <w:szCs w:val="18"/>
              </w:rPr>
              <w:t>用友医疗</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0"/>
              <w:jc w:val="right"/>
              <w:rPr>
                <w:rFonts w:ascii="Arial" w:hAnsi="Arial" w:cs="Arial" w:eastAsia="Arial" w:hint="default"/>
                <w:sz w:val="18"/>
                <w:szCs w:val="18"/>
              </w:rPr>
            </w:pPr>
            <w:r>
              <w:rPr>
                <w:rFonts w:ascii="Arial"/>
                <w:spacing w:val="-1"/>
                <w:sz w:val="18"/>
              </w:rPr>
              <w:t>100,000,000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8"/>
              <w:jc w:val="right"/>
              <w:rPr>
                <w:rFonts w:ascii="Arial" w:hAnsi="Arial" w:cs="Arial" w:eastAsia="Arial" w:hint="default"/>
                <w:sz w:val="18"/>
                <w:szCs w:val="18"/>
              </w:rPr>
            </w:pPr>
            <w:r>
              <w:rPr>
                <w:rFonts w:ascii="Arial"/>
                <w:spacing w:val="-1"/>
                <w:sz w:val="18"/>
              </w:rPr>
              <w:t>100,000,000</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6"/>
              <w:jc w:val="right"/>
              <w:rPr>
                <w:rFonts w:ascii="Arial" w:hAnsi="Arial" w:cs="Arial" w:eastAsia="Arial" w:hint="default"/>
                <w:sz w:val="18"/>
                <w:szCs w:val="18"/>
              </w:rPr>
            </w:pPr>
            <w:r>
              <w:rPr>
                <w:rFonts w:ascii="Arial"/>
                <w:w w:val="99"/>
                <w:sz w:val="18"/>
              </w:rPr>
              <w:t>-</w:t>
            </w:r>
            <w:r>
              <w:rPr>
                <w:rFonts w:ascii="Arial"/>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6"/>
              <w:jc w:val="right"/>
              <w:rPr>
                <w:rFonts w:ascii="Arial" w:hAnsi="Arial" w:cs="Arial" w:eastAsia="Arial" w:hint="default"/>
                <w:sz w:val="18"/>
                <w:szCs w:val="18"/>
              </w:rPr>
            </w:pPr>
            <w:r>
              <w:rPr>
                <w:rFonts w:ascii="Arial"/>
                <w:spacing w:val="-1"/>
                <w:sz w:val="18"/>
              </w:rPr>
              <w:t>100,000,000</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1"/>
              <w:jc w:val="right"/>
              <w:rPr>
                <w:rFonts w:ascii="Arial" w:hAnsi="Arial" w:cs="Arial" w:eastAsia="Arial" w:hint="default"/>
                <w:sz w:val="18"/>
                <w:szCs w:val="18"/>
              </w:rPr>
            </w:pPr>
            <w:r>
              <w:rPr>
                <w:rFonts w:ascii="Arial"/>
                <w:w w:val="95"/>
                <w:sz w:val="18"/>
              </w:rPr>
              <w:t>100</w:t>
            </w:r>
            <w:r>
              <w:rPr>
                <w:rFonts w:ascii="Arial"/>
                <w:sz w:val="18"/>
              </w:rPr>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w w:val="95"/>
                <w:sz w:val="18"/>
              </w:rPr>
              <w:t>100</w:t>
            </w:r>
            <w:r>
              <w:rPr>
                <w:rFonts w:ascii="Arial"/>
                <w:sz w:val="18"/>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4"/>
              <w:jc w:val="right"/>
              <w:rPr>
                <w:rFonts w:ascii="Arial" w:hAnsi="Arial" w:cs="Arial" w:eastAsia="Arial" w:hint="default"/>
                <w:sz w:val="18"/>
                <w:szCs w:val="18"/>
              </w:rPr>
            </w:pPr>
            <w:r>
              <w:rPr>
                <w:rFonts w:ascii="Arial"/>
                <w:spacing w:val="-1"/>
                <w:sz w:val="18"/>
              </w:rPr>
              <w:t>(10,000,000)</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7"/>
              <w:jc w:val="right"/>
              <w:rPr>
                <w:rFonts w:ascii="Arial" w:hAnsi="Arial" w:cs="Arial" w:eastAsia="Arial" w:hint="default"/>
                <w:sz w:val="18"/>
                <w:szCs w:val="18"/>
              </w:rPr>
            </w:pPr>
            <w:r>
              <w:rPr>
                <w:rFonts w:ascii="Arial"/>
                <w:spacing w:val="-1"/>
                <w:sz w:val="18"/>
              </w:rPr>
              <w:t>(10,000,000)</w:t>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2"/>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Arial" w:hAnsi="Arial" w:cs="Arial" w:eastAsia="Arial" w:hint="default"/>
                <w:sz w:val="18"/>
                <w:szCs w:val="18"/>
              </w:rPr>
            </w:pPr>
            <w:r>
              <w:rPr>
                <w:rFonts w:ascii="黑体" w:hAnsi="黑体" w:cs="黑体" w:eastAsia="黑体" w:hint="default"/>
                <w:sz w:val="18"/>
                <w:szCs w:val="18"/>
              </w:rPr>
              <w:t>用友</w:t>
            </w:r>
            <w:r>
              <w:rPr>
                <w:rFonts w:ascii="Arial" w:hAnsi="Arial" w:cs="Arial" w:eastAsia="Arial" w:hint="default"/>
                <w:sz w:val="18"/>
                <w:szCs w:val="18"/>
              </w:rPr>
              <w:t>(</w:t>
            </w:r>
            <w:r>
              <w:rPr>
                <w:rFonts w:ascii="黑体" w:hAnsi="黑体" w:cs="黑体" w:eastAsia="黑体" w:hint="default"/>
                <w:sz w:val="18"/>
                <w:szCs w:val="18"/>
              </w:rPr>
              <w:t>南昌</w:t>
            </w:r>
            <w:r>
              <w:rPr>
                <w:rFonts w:ascii="Arial" w:hAnsi="Arial" w:cs="Arial" w:eastAsia="Arial" w:hint="default"/>
                <w:sz w:val="18"/>
                <w:szCs w:val="18"/>
              </w:rPr>
              <w:t>)</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1"/>
              <w:jc w:val="right"/>
              <w:rPr>
                <w:rFonts w:ascii="Arial" w:hAnsi="Arial" w:cs="Arial" w:eastAsia="Arial" w:hint="default"/>
                <w:sz w:val="18"/>
                <w:szCs w:val="18"/>
              </w:rPr>
            </w:pPr>
            <w:r>
              <w:rPr>
                <w:rFonts w:ascii="Arial"/>
                <w:spacing w:val="-1"/>
                <w:sz w:val="18"/>
              </w:rPr>
              <w:t>80,000,000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9"/>
              <w:jc w:val="right"/>
              <w:rPr>
                <w:rFonts w:ascii="Arial" w:hAnsi="Arial" w:cs="Arial" w:eastAsia="Arial" w:hint="default"/>
                <w:sz w:val="18"/>
                <w:szCs w:val="18"/>
              </w:rPr>
            </w:pPr>
            <w:r>
              <w:rPr>
                <w:rFonts w:ascii="Arial"/>
                <w:spacing w:val="-1"/>
                <w:sz w:val="18"/>
              </w:rPr>
              <w:t>80,000,000</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6"/>
              <w:jc w:val="right"/>
              <w:rPr>
                <w:rFonts w:ascii="Arial" w:hAnsi="Arial" w:cs="Arial" w:eastAsia="Arial" w:hint="default"/>
                <w:sz w:val="18"/>
                <w:szCs w:val="18"/>
              </w:rPr>
            </w:pPr>
            <w:r>
              <w:rPr>
                <w:rFonts w:ascii="Arial"/>
                <w:w w:val="99"/>
                <w:sz w:val="18"/>
              </w:rPr>
              <w:t>-</w:t>
            </w:r>
            <w:r>
              <w:rPr>
                <w:rFonts w:ascii="Arial"/>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7"/>
              <w:jc w:val="right"/>
              <w:rPr>
                <w:rFonts w:ascii="Arial" w:hAnsi="Arial" w:cs="Arial" w:eastAsia="Arial" w:hint="default"/>
                <w:sz w:val="18"/>
                <w:szCs w:val="18"/>
              </w:rPr>
            </w:pPr>
            <w:r>
              <w:rPr>
                <w:rFonts w:ascii="Arial"/>
                <w:spacing w:val="-1"/>
                <w:sz w:val="18"/>
              </w:rPr>
              <w:t>80,000,000</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1"/>
              <w:jc w:val="right"/>
              <w:rPr>
                <w:rFonts w:ascii="Arial" w:hAnsi="Arial" w:cs="Arial" w:eastAsia="Arial" w:hint="default"/>
                <w:sz w:val="18"/>
                <w:szCs w:val="18"/>
              </w:rPr>
            </w:pPr>
            <w:r>
              <w:rPr>
                <w:rFonts w:ascii="Arial"/>
                <w:w w:val="95"/>
                <w:sz w:val="18"/>
              </w:rPr>
              <w:t>100</w:t>
            </w:r>
            <w:r>
              <w:rPr>
                <w:rFonts w:ascii="Arial"/>
                <w:sz w:val="18"/>
              </w:rPr>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w w:val="95"/>
                <w:sz w:val="18"/>
              </w:rPr>
              <w:t>100</w:t>
            </w:r>
            <w:r>
              <w:rPr>
                <w:rFonts w:ascii="Arial"/>
                <w:sz w:val="18"/>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7"/>
              <w:jc w:val="right"/>
              <w:rPr>
                <w:rFonts w:ascii="Arial" w:hAnsi="Arial" w:cs="Arial" w:eastAsia="Arial" w:hint="default"/>
                <w:sz w:val="18"/>
                <w:szCs w:val="18"/>
              </w:rPr>
            </w:pPr>
            <w:r>
              <w:rPr>
                <w:rFonts w:ascii="Arial"/>
                <w:w w:val="99"/>
                <w:sz w:val="18"/>
              </w:rPr>
              <w:t>-</w:t>
            </w:r>
            <w:r>
              <w:rPr>
                <w:rFonts w:ascii="Arial"/>
                <w:sz w:val="18"/>
              </w:rPr>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0"/>
              <w:jc w:val="right"/>
              <w:rPr>
                <w:rFonts w:ascii="Arial" w:hAnsi="Arial" w:cs="Arial" w:eastAsia="Arial" w:hint="default"/>
                <w:sz w:val="18"/>
                <w:szCs w:val="18"/>
              </w:rPr>
            </w:pPr>
            <w:r>
              <w:rPr>
                <w:rFonts w:ascii="Arial"/>
                <w:w w:val="99"/>
                <w:sz w:val="18"/>
              </w:rPr>
              <w:t>-</w:t>
            </w:r>
            <w:r>
              <w:rPr>
                <w:rFonts w:ascii="Arial"/>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2"/>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03" w:lineRule="exact"/>
              <w:ind w:left="200" w:right="0"/>
              <w:jc w:val="left"/>
              <w:rPr>
                <w:rFonts w:ascii="黑体" w:hAnsi="黑体" w:cs="黑体" w:eastAsia="黑体" w:hint="default"/>
                <w:sz w:val="18"/>
                <w:szCs w:val="18"/>
              </w:rPr>
            </w:pPr>
            <w:r>
              <w:rPr>
                <w:rFonts w:ascii="黑体" w:hAnsi="黑体" w:cs="黑体" w:eastAsia="黑体" w:hint="default"/>
                <w:sz w:val="18"/>
                <w:szCs w:val="18"/>
              </w:rPr>
              <w:t>滨海用友</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10"/>
              <w:jc w:val="right"/>
              <w:rPr>
                <w:rFonts w:ascii="Arial" w:hAnsi="Arial" w:cs="Arial" w:eastAsia="Arial" w:hint="default"/>
                <w:sz w:val="18"/>
                <w:szCs w:val="18"/>
              </w:rPr>
            </w:pPr>
            <w:r>
              <w:rPr>
                <w:rFonts w:ascii="Arial"/>
                <w:spacing w:val="-1"/>
                <w:sz w:val="18"/>
              </w:rPr>
              <w:t>1,800,000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8"/>
              <w:jc w:val="right"/>
              <w:rPr>
                <w:rFonts w:ascii="Arial" w:hAnsi="Arial" w:cs="Arial" w:eastAsia="Arial" w:hint="default"/>
                <w:sz w:val="18"/>
                <w:szCs w:val="18"/>
              </w:rPr>
            </w:pPr>
            <w:r>
              <w:rPr>
                <w:rFonts w:ascii="Arial"/>
                <w:spacing w:val="-1"/>
                <w:sz w:val="18"/>
              </w:rPr>
              <w:t>1,800,000</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96"/>
              <w:jc w:val="right"/>
              <w:rPr>
                <w:rFonts w:ascii="Arial" w:hAnsi="Arial" w:cs="Arial" w:eastAsia="Arial" w:hint="default"/>
                <w:sz w:val="18"/>
                <w:szCs w:val="18"/>
              </w:rPr>
            </w:pPr>
            <w:r>
              <w:rPr>
                <w:rFonts w:ascii="Arial"/>
                <w:w w:val="99"/>
                <w:sz w:val="18"/>
              </w:rPr>
              <w:t>-</w:t>
            </w:r>
            <w:r>
              <w:rPr>
                <w:rFonts w:ascii="Arial"/>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47"/>
              <w:jc w:val="right"/>
              <w:rPr>
                <w:rFonts w:ascii="Arial" w:hAnsi="Arial" w:cs="Arial" w:eastAsia="Arial" w:hint="default"/>
                <w:sz w:val="18"/>
                <w:szCs w:val="18"/>
              </w:rPr>
            </w:pPr>
            <w:r>
              <w:rPr>
                <w:rFonts w:ascii="Arial"/>
                <w:spacing w:val="-1"/>
                <w:sz w:val="18"/>
              </w:rPr>
              <w:t>1,800,000</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21"/>
              <w:jc w:val="right"/>
              <w:rPr>
                <w:rFonts w:ascii="Arial" w:hAnsi="Arial" w:cs="Arial" w:eastAsia="Arial" w:hint="default"/>
                <w:sz w:val="18"/>
                <w:szCs w:val="18"/>
              </w:rPr>
            </w:pPr>
            <w:r>
              <w:rPr>
                <w:rFonts w:ascii="Arial"/>
                <w:w w:val="95"/>
                <w:sz w:val="18"/>
              </w:rPr>
              <w:t>90</w:t>
            </w:r>
            <w:r>
              <w:rPr>
                <w:rFonts w:ascii="Arial"/>
                <w:sz w:val="18"/>
              </w:rPr>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1"/>
              <w:jc w:val="right"/>
              <w:rPr>
                <w:rFonts w:ascii="Arial" w:hAnsi="Arial" w:cs="Arial" w:eastAsia="Arial" w:hint="default"/>
                <w:sz w:val="18"/>
                <w:szCs w:val="18"/>
              </w:rPr>
            </w:pPr>
            <w:r>
              <w:rPr>
                <w:rFonts w:ascii="Arial"/>
                <w:w w:val="95"/>
                <w:sz w:val="18"/>
              </w:rPr>
              <w:t>90</w:t>
            </w:r>
            <w:r>
              <w:rPr>
                <w:rFonts w:ascii="Arial"/>
                <w:sz w:val="18"/>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67"/>
              <w:jc w:val="right"/>
              <w:rPr>
                <w:rFonts w:ascii="Arial" w:hAnsi="Arial" w:cs="Arial" w:eastAsia="Arial" w:hint="default"/>
                <w:sz w:val="18"/>
                <w:szCs w:val="18"/>
              </w:rPr>
            </w:pPr>
            <w:r>
              <w:rPr>
                <w:rFonts w:ascii="Arial"/>
                <w:w w:val="99"/>
                <w:sz w:val="18"/>
              </w:rPr>
              <w:t>-</w:t>
            </w:r>
            <w:r>
              <w:rPr>
                <w:rFonts w:ascii="Arial"/>
                <w:sz w:val="18"/>
              </w:rPr>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Arial" w:hAnsi="Arial" w:cs="Arial" w:eastAsia="Arial" w:hint="default"/>
                <w:sz w:val="18"/>
                <w:szCs w:val="18"/>
              </w:rPr>
            </w:pPr>
            <w:r>
              <w:rPr>
                <w:rFonts w:ascii="Arial"/>
                <w:w w:val="99"/>
                <w:sz w:val="18"/>
              </w:rPr>
              <w:t>-</w:t>
            </w:r>
            <w:r>
              <w:rPr>
                <w:rFonts w:ascii="Arial"/>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12"/>
              <w:jc w:val="right"/>
              <w:rPr>
                <w:rFonts w:ascii="Arial" w:hAnsi="Arial" w:cs="Arial" w:eastAsia="Arial" w:hint="default"/>
                <w:sz w:val="18"/>
                <w:szCs w:val="18"/>
              </w:rPr>
            </w:pPr>
            <w:r>
              <w:rPr>
                <w:rFonts w:ascii="Arial"/>
                <w:w w:val="99"/>
                <w:sz w:val="18"/>
              </w:rPr>
              <w:t>-</w:t>
            </w:r>
            <w:r>
              <w:rPr>
                <w:rFonts w:ascii="Arial"/>
                <w:sz w:val="18"/>
              </w:rPr>
            </w:r>
          </w:p>
        </w:tc>
      </w:tr>
      <w:tr>
        <w:trPr>
          <w:trHeight w:val="211" w:hRule="exact"/>
        </w:trPr>
        <w:tc>
          <w:tcPr>
            <w:tcW w:w="3113" w:type="dxa"/>
            <w:tcBorders>
              <w:top w:val="nil" w:sz="6" w:space="0" w:color="auto"/>
              <w:left w:val="nil" w:sz="6" w:space="0" w:color="auto"/>
              <w:bottom w:val="nil" w:sz="6" w:space="0" w:color="auto"/>
              <w:right w:val="nil" w:sz="6" w:space="0" w:color="auto"/>
            </w:tcBorders>
          </w:tcPr>
          <w:p>
            <w:pPr>
              <w:pStyle w:val="TableParagraph"/>
              <w:spacing w:line="202" w:lineRule="exact"/>
              <w:ind w:left="200" w:right="0"/>
              <w:jc w:val="left"/>
              <w:rPr>
                <w:rFonts w:ascii="黑体" w:hAnsi="黑体" w:cs="黑体" w:eastAsia="黑体" w:hint="default"/>
                <w:sz w:val="18"/>
                <w:szCs w:val="18"/>
              </w:rPr>
            </w:pPr>
            <w:r>
              <w:rPr>
                <w:rFonts w:ascii="黑体" w:hAnsi="黑体" w:cs="黑体" w:eastAsia="黑体" w:hint="default"/>
                <w:sz w:val="18"/>
                <w:szCs w:val="18"/>
              </w:rPr>
              <w:t>三亚用友</w:t>
            </w:r>
          </w:p>
        </w:tc>
        <w:tc>
          <w:tcPr>
            <w:tcW w:w="145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0"/>
              <w:jc w:val="right"/>
              <w:rPr>
                <w:rFonts w:ascii="Arial" w:hAnsi="Arial" w:cs="Arial" w:eastAsia="Arial" w:hint="default"/>
                <w:sz w:val="18"/>
                <w:szCs w:val="18"/>
              </w:rPr>
            </w:pPr>
            <w:r>
              <w:rPr>
                <w:rFonts w:ascii="Arial"/>
                <w:spacing w:val="-1"/>
                <w:sz w:val="18"/>
              </w:rPr>
              <w:t>100,000,000</w:t>
            </w:r>
          </w:p>
        </w:tc>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8"/>
              <w:jc w:val="right"/>
              <w:rPr>
                <w:rFonts w:ascii="Arial" w:hAnsi="Arial" w:cs="Arial" w:eastAsia="Arial" w:hint="default"/>
                <w:sz w:val="18"/>
                <w:szCs w:val="18"/>
              </w:rPr>
            </w:pPr>
            <w:r>
              <w:rPr>
                <w:rFonts w:ascii="Arial"/>
                <w:spacing w:val="-1"/>
                <w:sz w:val="18"/>
              </w:rPr>
              <w:t>100,000,000</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96"/>
              <w:jc w:val="right"/>
              <w:rPr>
                <w:rFonts w:ascii="Arial" w:hAnsi="Arial" w:cs="Arial" w:eastAsia="Arial" w:hint="default"/>
                <w:sz w:val="18"/>
                <w:szCs w:val="18"/>
              </w:rPr>
            </w:pPr>
            <w:r>
              <w:rPr>
                <w:rFonts w:ascii="Arial"/>
                <w:w w:val="99"/>
                <w:sz w:val="18"/>
              </w:rPr>
              <w:t>-</w:t>
            </w:r>
            <w:r>
              <w:rPr>
                <w:rFonts w:ascii="Arial"/>
                <w:sz w:val="18"/>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6"/>
              <w:jc w:val="right"/>
              <w:rPr>
                <w:rFonts w:ascii="Arial" w:hAnsi="Arial" w:cs="Arial" w:eastAsia="Arial" w:hint="default"/>
                <w:sz w:val="18"/>
                <w:szCs w:val="18"/>
              </w:rPr>
            </w:pPr>
            <w:r>
              <w:rPr>
                <w:rFonts w:ascii="Arial"/>
                <w:spacing w:val="-1"/>
                <w:sz w:val="18"/>
              </w:rPr>
              <w:t>100,000,000</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1"/>
              <w:jc w:val="right"/>
              <w:rPr>
                <w:rFonts w:ascii="Arial" w:hAnsi="Arial" w:cs="Arial" w:eastAsia="Arial" w:hint="default"/>
                <w:sz w:val="18"/>
                <w:szCs w:val="18"/>
              </w:rPr>
            </w:pPr>
            <w:r>
              <w:rPr>
                <w:rFonts w:ascii="Arial"/>
                <w:w w:val="95"/>
                <w:sz w:val="18"/>
              </w:rPr>
              <w:t>100</w:t>
            </w:r>
            <w:r>
              <w:rPr>
                <w:rFonts w:ascii="Arial"/>
                <w:sz w:val="18"/>
              </w:rPr>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1"/>
              <w:jc w:val="right"/>
              <w:rPr>
                <w:rFonts w:ascii="Arial" w:hAnsi="Arial" w:cs="Arial" w:eastAsia="Arial" w:hint="default"/>
                <w:sz w:val="18"/>
                <w:szCs w:val="18"/>
              </w:rPr>
            </w:pPr>
            <w:r>
              <w:rPr>
                <w:rFonts w:ascii="Arial"/>
                <w:w w:val="95"/>
                <w:sz w:val="18"/>
              </w:rPr>
              <w:t>100</w:t>
            </w:r>
            <w:r>
              <w:rPr>
                <w:rFonts w:ascii="Arial"/>
                <w:sz w:val="18"/>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7"/>
              <w:jc w:val="right"/>
              <w:rPr>
                <w:rFonts w:ascii="Arial" w:hAnsi="Arial" w:cs="Arial" w:eastAsia="Arial" w:hint="default"/>
                <w:sz w:val="18"/>
                <w:szCs w:val="18"/>
              </w:rPr>
            </w:pPr>
            <w:r>
              <w:rPr>
                <w:rFonts w:ascii="Arial"/>
                <w:w w:val="99"/>
                <w:sz w:val="18"/>
              </w:rPr>
              <w:t>-</w:t>
            </w:r>
            <w:r>
              <w:rPr>
                <w:rFonts w:ascii="Arial"/>
                <w:sz w:val="18"/>
              </w:rPr>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0"/>
              <w:jc w:val="right"/>
              <w:rPr>
                <w:rFonts w:ascii="Arial" w:hAnsi="Arial" w:cs="Arial" w:eastAsia="Arial" w:hint="default"/>
                <w:sz w:val="18"/>
                <w:szCs w:val="18"/>
              </w:rPr>
            </w:pPr>
            <w:r>
              <w:rPr>
                <w:rFonts w:ascii="Arial"/>
                <w:w w:val="99"/>
                <w:sz w:val="18"/>
              </w:rPr>
              <w:t>-</w:t>
            </w:r>
            <w:r>
              <w:rPr>
                <w:rFonts w:ascii="Arial"/>
                <w:sz w:val="18"/>
              </w:rPr>
            </w: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2"/>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pgSz w:w="16850" w:h="11910" w:orient="landscape"/>
          <w:pgMar w:header="957" w:footer="835" w:top="2240" w:bottom="1020" w:left="960" w:right="780"/>
        </w:sectPr>
      </w:pPr>
    </w:p>
    <w:p>
      <w:pPr>
        <w:spacing w:line="240" w:lineRule="auto" w:before="6"/>
        <w:rPr>
          <w:rFonts w:ascii="Arial" w:hAnsi="Arial" w:cs="Arial" w:eastAsia="Arial" w:hint="default"/>
          <w:sz w:val="24"/>
          <w:szCs w:val="24"/>
        </w:rPr>
      </w:pPr>
    </w:p>
    <w:p>
      <w:pPr>
        <w:pStyle w:val="Heading6"/>
        <w:spacing w:line="240" w:lineRule="auto"/>
        <w:ind w:left="172" w:right="0"/>
        <w:jc w:val="left"/>
        <w:rPr>
          <w:b w:val="0"/>
          <w:bCs w:val="0"/>
        </w:rPr>
      </w:pPr>
      <w:r>
        <w:rPr/>
        <w:t>十三、公司财务报表主要项目注释（续）</w:t>
      </w:r>
      <w:r>
        <w:rPr>
          <w:b w:val="0"/>
          <w:bCs w:val="0"/>
        </w:rPr>
      </w:r>
    </w:p>
    <w:p>
      <w:pPr>
        <w:spacing w:line="240" w:lineRule="auto" w:before="5"/>
        <w:rPr>
          <w:rFonts w:ascii="黑体" w:hAnsi="黑体" w:cs="黑体" w:eastAsia="黑体" w:hint="default"/>
          <w:b/>
          <w:bCs/>
          <w:sz w:val="15"/>
          <w:szCs w:val="15"/>
        </w:rPr>
      </w:pPr>
    </w:p>
    <w:p>
      <w:pPr>
        <w:pStyle w:val="Heading6"/>
        <w:tabs>
          <w:tab w:pos="693" w:val="left" w:leader="none"/>
        </w:tabs>
        <w:spacing w:line="240" w:lineRule="auto" w:before="0"/>
        <w:ind w:left="172" w:right="0"/>
        <w:jc w:val="left"/>
        <w:rPr>
          <w:b w:val="0"/>
          <w:bCs w:val="0"/>
        </w:rPr>
      </w:pPr>
      <w:r>
        <w:rPr>
          <w:rFonts w:ascii="Arial" w:hAnsi="Arial" w:cs="Arial" w:eastAsia="Arial" w:hint="default"/>
          <w:spacing w:val="-1"/>
        </w:rPr>
        <w:t>8.</w:t>
        <w:tab/>
      </w:r>
      <w:r>
        <w:rPr>
          <w:spacing w:val="1"/>
        </w:rPr>
        <w:t>长期股权投资（续）</w:t>
      </w:r>
      <w:r>
        <w:rPr>
          <w:b w:val="0"/>
          <w:bCs w:val="0"/>
        </w:rPr>
      </w:r>
    </w:p>
    <w:p>
      <w:pPr>
        <w:spacing w:line="240" w:lineRule="auto" w:before="4"/>
        <w:rPr>
          <w:rFonts w:ascii="黑体" w:hAnsi="黑体" w:cs="黑体" w:eastAsia="黑体" w:hint="default"/>
          <w:b/>
          <w:bCs/>
          <w:sz w:val="16"/>
          <w:szCs w:val="16"/>
        </w:rPr>
      </w:pPr>
    </w:p>
    <w:p>
      <w:pPr>
        <w:pStyle w:val="BodyText"/>
        <w:spacing w:line="240" w:lineRule="auto"/>
        <w:ind w:left="755" w:right="13147"/>
        <w:jc w:val="center"/>
        <w:rPr>
          <w:rFonts w:ascii="Arial" w:hAnsi="Arial" w:cs="Arial" w:eastAsia="Arial" w:hint="default"/>
        </w:rPr>
      </w:pPr>
      <w:r>
        <w:rPr>
          <w:rFonts w:ascii="Arial" w:hAnsi="Arial" w:cs="Arial" w:eastAsia="Arial" w:hint="default"/>
        </w:rPr>
        <w:t>2012</w:t>
      </w:r>
      <w:r>
        <w:rPr/>
        <w:t>年</w:t>
      </w:r>
      <w:r>
        <w:rPr>
          <w:rFonts w:ascii="Arial" w:hAnsi="Arial" w:cs="Arial" w:eastAsia="Arial" w:hint="default"/>
        </w:rPr>
        <w:t>(</w:t>
      </w:r>
      <w:r>
        <w:rPr/>
        <w:t>续</w:t>
      </w:r>
      <w:r>
        <w:rPr>
          <w:rFonts w:ascii="Arial" w:hAnsi="Arial" w:cs="Arial" w:eastAsia="Arial" w:hint="default"/>
        </w:rPr>
        <w:t>)</w:t>
      </w:r>
    </w:p>
    <w:p>
      <w:pPr>
        <w:spacing w:line="240" w:lineRule="auto" w:before="4"/>
        <w:rPr>
          <w:rFonts w:ascii="Arial" w:hAnsi="Arial" w:cs="Arial" w:eastAsia="Arial" w:hint="default"/>
          <w:sz w:val="3"/>
          <w:szCs w:val="3"/>
        </w:rPr>
      </w:pPr>
    </w:p>
    <w:tbl>
      <w:tblPr>
        <w:tblW w:w="0" w:type="auto"/>
        <w:jc w:val="left"/>
        <w:tblInd w:w="659" w:type="dxa"/>
        <w:tblLayout w:type="fixed"/>
        <w:tblCellMar>
          <w:top w:w="0" w:type="dxa"/>
          <w:left w:w="0" w:type="dxa"/>
          <w:bottom w:w="0" w:type="dxa"/>
          <w:right w:w="0" w:type="dxa"/>
        </w:tblCellMar>
        <w:tblLook w:val="01E0"/>
      </w:tblPr>
      <w:tblGrid>
        <w:gridCol w:w="2111"/>
        <w:gridCol w:w="2070"/>
        <w:gridCol w:w="1399"/>
        <w:gridCol w:w="1262"/>
        <w:gridCol w:w="1546"/>
        <w:gridCol w:w="1023"/>
        <w:gridCol w:w="1222"/>
        <w:gridCol w:w="1059"/>
        <w:gridCol w:w="1274"/>
        <w:gridCol w:w="1186"/>
      </w:tblGrid>
      <w:tr>
        <w:trPr>
          <w:trHeight w:val="206" w:hRule="exact"/>
        </w:trPr>
        <w:tc>
          <w:tcPr>
            <w:tcW w:w="2111" w:type="dxa"/>
            <w:tcBorders>
              <w:top w:val="nil" w:sz="6" w:space="0" w:color="auto"/>
              <w:left w:val="nil" w:sz="6" w:space="0" w:color="auto"/>
              <w:bottom w:val="nil" w:sz="6" w:space="0" w:color="auto"/>
              <w:right w:val="nil" w:sz="6" w:space="0" w:color="auto"/>
            </w:tcBorders>
          </w:tcPr>
          <w:p>
            <w:pPr/>
          </w:p>
        </w:tc>
        <w:tc>
          <w:tcPr>
            <w:tcW w:w="2070" w:type="dxa"/>
            <w:tcBorders>
              <w:top w:val="nil" w:sz="6" w:space="0" w:color="auto"/>
              <w:left w:val="nil" w:sz="6" w:space="0" w:color="auto"/>
              <w:bottom w:val="nil" w:sz="6" w:space="0" w:color="auto"/>
              <w:right w:val="nil" w:sz="6" w:space="0" w:color="auto"/>
            </w:tcBorders>
          </w:tcPr>
          <w:p>
            <w:pPr>
              <w:pStyle w:val="TableParagraph"/>
              <w:spacing w:line="180" w:lineRule="exact"/>
              <w:ind w:right="126"/>
              <w:jc w:val="right"/>
              <w:rPr>
                <w:rFonts w:ascii="黑体" w:hAnsi="黑体" w:cs="黑体" w:eastAsia="黑体" w:hint="default"/>
                <w:sz w:val="18"/>
                <w:szCs w:val="18"/>
              </w:rPr>
            </w:pPr>
            <w:r>
              <w:rPr>
                <w:rFonts w:ascii="黑体" w:hAnsi="黑体" w:cs="黑体" w:eastAsia="黑体" w:hint="default"/>
                <w:sz w:val="18"/>
                <w:szCs w:val="18"/>
              </w:rPr>
              <w:t>投资成本</w:t>
            </w:r>
          </w:p>
        </w:tc>
        <w:tc>
          <w:tcPr>
            <w:tcW w:w="1399" w:type="dxa"/>
            <w:tcBorders>
              <w:top w:val="nil" w:sz="6" w:space="0" w:color="auto"/>
              <w:left w:val="nil" w:sz="6" w:space="0" w:color="auto"/>
              <w:bottom w:val="nil" w:sz="6" w:space="0" w:color="auto"/>
              <w:right w:val="nil" w:sz="6" w:space="0" w:color="auto"/>
            </w:tcBorders>
          </w:tcPr>
          <w:p>
            <w:pPr>
              <w:pStyle w:val="TableParagraph"/>
              <w:spacing w:line="180" w:lineRule="exact"/>
              <w:ind w:right="119"/>
              <w:jc w:val="right"/>
              <w:rPr>
                <w:rFonts w:ascii="黑体" w:hAnsi="黑体" w:cs="黑体" w:eastAsia="黑体" w:hint="default"/>
                <w:sz w:val="18"/>
                <w:szCs w:val="18"/>
              </w:rPr>
            </w:pPr>
            <w:r>
              <w:rPr>
                <w:rFonts w:ascii="黑体" w:hAnsi="黑体" w:cs="黑体" w:eastAsia="黑体" w:hint="default"/>
                <w:sz w:val="18"/>
                <w:szCs w:val="18"/>
              </w:rPr>
              <w:t>年初数</w:t>
            </w:r>
          </w:p>
        </w:tc>
        <w:tc>
          <w:tcPr>
            <w:tcW w:w="1262" w:type="dxa"/>
            <w:tcBorders>
              <w:top w:val="nil" w:sz="6" w:space="0" w:color="auto"/>
              <w:left w:val="nil" w:sz="6" w:space="0" w:color="auto"/>
              <w:bottom w:val="nil" w:sz="6" w:space="0" w:color="auto"/>
              <w:right w:val="nil" w:sz="6" w:space="0" w:color="auto"/>
            </w:tcBorders>
          </w:tcPr>
          <w:p>
            <w:pPr>
              <w:pStyle w:val="TableParagraph"/>
              <w:spacing w:line="180" w:lineRule="exact"/>
              <w:ind w:right="241"/>
              <w:jc w:val="right"/>
              <w:rPr>
                <w:rFonts w:ascii="黑体" w:hAnsi="黑体" w:cs="黑体" w:eastAsia="黑体" w:hint="default"/>
                <w:sz w:val="18"/>
                <w:szCs w:val="18"/>
              </w:rPr>
            </w:pPr>
            <w:r>
              <w:rPr>
                <w:rFonts w:ascii="黑体" w:hAnsi="黑体" w:cs="黑体" w:eastAsia="黑体" w:hint="default"/>
                <w:sz w:val="18"/>
                <w:szCs w:val="18"/>
              </w:rPr>
              <w:t>本年增减</w:t>
            </w:r>
          </w:p>
        </w:tc>
        <w:tc>
          <w:tcPr>
            <w:tcW w:w="1546" w:type="dxa"/>
            <w:tcBorders>
              <w:top w:val="nil" w:sz="6" w:space="0" w:color="auto"/>
              <w:left w:val="nil" w:sz="6" w:space="0" w:color="auto"/>
              <w:bottom w:val="nil" w:sz="6" w:space="0" w:color="auto"/>
              <w:right w:val="nil" w:sz="6" w:space="0" w:color="auto"/>
            </w:tcBorders>
          </w:tcPr>
          <w:p>
            <w:pPr>
              <w:pStyle w:val="TableParagraph"/>
              <w:spacing w:line="180" w:lineRule="exact"/>
              <w:ind w:right="150"/>
              <w:jc w:val="right"/>
              <w:rPr>
                <w:rFonts w:ascii="黑体" w:hAnsi="黑体" w:cs="黑体" w:eastAsia="黑体" w:hint="default"/>
                <w:sz w:val="18"/>
                <w:szCs w:val="18"/>
              </w:rPr>
            </w:pPr>
            <w:r>
              <w:rPr>
                <w:rFonts w:ascii="黑体" w:hAnsi="黑体" w:cs="黑体" w:eastAsia="黑体" w:hint="default"/>
                <w:sz w:val="18"/>
                <w:szCs w:val="18"/>
              </w:rPr>
              <w:t>年末数</w:t>
            </w:r>
          </w:p>
        </w:tc>
        <w:tc>
          <w:tcPr>
            <w:tcW w:w="1023" w:type="dxa"/>
            <w:tcBorders>
              <w:top w:val="nil" w:sz="6" w:space="0" w:color="auto"/>
              <w:left w:val="nil" w:sz="6" w:space="0" w:color="auto"/>
              <w:bottom w:val="nil" w:sz="6" w:space="0" w:color="auto"/>
              <w:right w:val="nil" w:sz="6" w:space="0" w:color="auto"/>
            </w:tcBorders>
          </w:tcPr>
          <w:p>
            <w:pPr>
              <w:pStyle w:val="TableParagraph"/>
              <w:spacing w:line="180" w:lineRule="exact"/>
              <w:ind w:right="151"/>
              <w:jc w:val="right"/>
              <w:rPr>
                <w:rFonts w:ascii="黑体" w:hAnsi="黑体" w:cs="黑体" w:eastAsia="黑体" w:hint="default"/>
                <w:sz w:val="18"/>
                <w:szCs w:val="18"/>
              </w:rPr>
            </w:pPr>
            <w:r>
              <w:rPr>
                <w:rFonts w:ascii="黑体" w:hAnsi="黑体" w:cs="黑体" w:eastAsia="黑体" w:hint="default"/>
                <w:sz w:val="18"/>
                <w:szCs w:val="18"/>
              </w:rPr>
              <w:t>持股比例</w:t>
            </w:r>
          </w:p>
        </w:tc>
        <w:tc>
          <w:tcPr>
            <w:tcW w:w="1222" w:type="dxa"/>
            <w:tcBorders>
              <w:top w:val="nil" w:sz="6" w:space="0" w:color="auto"/>
              <w:left w:val="nil" w:sz="6" w:space="0" w:color="auto"/>
              <w:bottom w:val="nil" w:sz="6" w:space="0" w:color="auto"/>
              <w:right w:val="nil" w:sz="6" w:space="0" w:color="auto"/>
            </w:tcBorders>
          </w:tcPr>
          <w:p>
            <w:pPr>
              <w:pStyle w:val="TableParagraph"/>
              <w:spacing w:line="180" w:lineRule="exact"/>
              <w:ind w:right="168"/>
              <w:jc w:val="right"/>
              <w:rPr>
                <w:rFonts w:ascii="黑体" w:hAnsi="黑体" w:cs="黑体" w:eastAsia="黑体" w:hint="default"/>
                <w:sz w:val="18"/>
                <w:szCs w:val="18"/>
              </w:rPr>
            </w:pPr>
            <w:r>
              <w:rPr>
                <w:rFonts w:ascii="黑体" w:hAnsi="黑体" w:cs="黑体" w:eastAsia="黑体" w:hint="default"/>
                <w:sz w:val="18"/>
                <w:szCs w:val="18"/>
              </w:rPr>
              <w:t>表决权比例</w:t>
            </w:r>
          </w:p>
        </w:tc>
        <w:tc>
          <w:tcPr>
            <w:tcW w:w="1059" w:type="dxa"/>
            <w:tcBorders>
              <w:top w:val="nil" w:sz="6" w:space="0" w:color="auto"/>
              <w:left w:val="nil" w:sz="6" w:space="0" w:color="auto"/>
              <w:bottom w:val="nil" w:sz="6" w:space="0" w:color="auto"/>
              <w:right w:val="nil" w:sz="6" w:space="0" w:color="auto"/>
            </w:tcBorders>
          </w:tcPr>
          <w:p>
            <w:pPr>
              <w:pStyle w:val="TableParagraph"/>
              <w:spacing w:line="180" w:lineRule="exact"/>
              <w:ind w:right="168"/>
              <w:jc w:val="right"/>
              <w:rPr>
                <w:rFonts w:ascii="黑体" w:hAnsi="黑体" w:cs="黑体" w:eastAsia="黑体" w:hint="default"/>
                <w:sz w:val="18"/>
                <w:szCs w:val="18"/>
              </w:rPr>
            </w:pPr>
            <w:r>
              <w:rPr>
                <w:rFonts w:ascii="黑体" w:hAnsi="黑体" w:cs="黑体" w:eastAsia="黑体" w:hint="default"/>
                <w:sz w:val="18"/>
                <w:szCs w:val="18"/>
              </w:rPr>
              <w:t>减值准备</w:t>
            </w:r>
          </w:p>
        </w:tc>
        <w:tc>
          <w:tcPr>
            <w:tcW w:w="1274" w:type="dxa"/>
            <w:tcBorders>
              <w:top w:val="nil" w:sz="6" w:space="0" w:color="auto"/>
              <w:left w:val="nil" w:sz="6" w:space="0" w:color="auto"/>
              <w:bottom w:val="nil" w:sz="6" w:space="0" w:color="auto"/>
              <w:right w:val="nil" w:sz="6" w:space="0" w:color="auto"/>
            </w:tcBorders>
          </w:tcPr>
          <w:p>
            <w:pPr>
              <w:pStyle w:val="TableParagraph"/>
              <w:spacing w:line="180" w:lineRule="exact"/>
              <w:ind w:right="84"/>
              <w:jc w:val="right"/>
              <w:rPr>
                <w:rFonts w:ascii="黑体" w:hAnsi="黑体" w:cs="黑体" w:eastAsia="黑体" w:hint="default"/>
                <w:sz w:val="18"/>
                <w:szCs w:val="18"/>
              </w:rPr>
            </w:pPr>
            <w:r>
              <w:rPr>
                <w:rFonts w:ascii="黑体" w:hAnsi="黑体" w:cs="黑体" w:eastAsia="黑体" w:hint="default"/>
                <w:sz w:val="18"/>
                <w:szCs w:val="18"/>
              </w:rPr>
              <w:t>本年计提</w:t>
            </w:r>
          </w:p>
        </w:tc>
        <w:tc>
          <w:tcPr>
            <w:tcW w:w="1186" w:type="dxa"/>
            <w:tcBorders>
              <w:top w:val="nil" w:sz="6" w:space="0" w:color="auto"/>
              <w:left w:val="nil" w:sz="6" w:space="0" w:color="auto"/>
              <w:bottom w:val="nil" w:sz="6" w:space="0" w:color="auto"/>
              <w:right w:val="nil" w:sz="6" w:space="0" w:color="auto"/>
            </w:tcBorders>
          </w:tcPr>
          <w:p>
            <w:pPr>
              <w:pStyle w:val="TableParagraph"/>
              <w:spacing w:line="180" w:lineRule="exact"/>
              <w:ind w:right="200"/>
              <w:jc w:val="right"/>
              <w:rPr>
                <w:rFonts w:ascii="黑体" w:hAnsi="黑体" w:cs="黑体" w:eastAsia="黑体" w:hint="default"/>
                <w:sz w:val="18"/>
                <w:szCs w:val="18"/>
              </w:rPr>
            </w:pPr>
            <w:r>
              <w:rPr>
                <w:rFonts w:ascii="黑体" w:hAnsi="黑体" w:cs="黑体" w:eastAsia="黑体" w:hint="default"/>
                <w:sz w:val="18"/>
                <w:szCs w:val="18"/>
              </w:rPr>
              <w:t>本年</w:t>
            </w:r>
          </w:p>
        </w:tc>
      </w:tr>
      <w:tr>
        <w:trPr>
          <w:trHeight w:val="340" w:hRule="exact"/>
        </w:trPr>
        <w:tc>
          <w:tcPr>
            <w:tcW w:w="2111" w:type="dxa"/>
            <w:tcBorders>
              <w:top w:val="nil" w:sz="6" w:space="0" w:color="auto"/>
              <w:left w:val="nil" w:sz="6" w:space="0" w:color="auto"/>
              <w:bottom w:val="nil" w:sz="6" w:space="0" w:color="auto"/>
              <w:right w:val="nil" w:sz="6" w:space="0" w:color="auto"/>
            </w:tcBorders>
          </w:tcPr>
          <w:p>
            <w:pPr/>
          </w:p>
        </w:tc>
        <w:tc>
          <w:tcPr>
            <w:tcW w:w="2070"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
        </w:tc>
        <w:tc>
          <w:tcPr>
            <w:tcW w:w="1546" w:type="dxa"/>
            <w:tcBorders>
              <w:top w:val="nil" w:sz="6" w:space="0" w:color="auto"/>
              <w:left w:val="nil" w:sz="6" w:space="0" w:color="auto"/>
              <w:bottom w:val="nil" w:sz="6" w:space="0" w:color="auto"/>
              <w:right w:val="nil" w:sz="6" w:space="0" w:color="auto"/>
            </w:tcBorders>
          </w:tcPr>
          <w:p>
            <w:pP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51"/>
              <w:jc w:val="right"/>
              <w:rPr>
                <w:rFonts w:ascii="Arial" w:hAnsi="Arial" w:cs="Arial" w:eastAsia="Arial" w:hint="default"/>
                <w:sz w:val="18"/>
                <w:szCs w:val="18"/>
              </w:rPr>
            </w:pPr>
            <w:r>
              <w:rPr>
                <w:rFonts w:ascii="Arial"/>
                <w:w w:val="95"/>
                <w:sz w:val="18"/>
              </w:rPr>
              <w:t>(%)</w:t>
            </w:r>
            <w:r>
              <w:rPr>
                <w:rFonts w:ascii="Arial"/>
                <w:sz w:val="18"/>
              </w:rPr>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68"/>
              <w:jc w:val="right"/>
              <w:rPr>
                <w:rFonts w:ascii="Arial" w:hAnsi="Arial" w:cs="Arial" w:eastAsia="Arial" w:hint="default"/>
                <w:sz w:val="18"/>
                <w:szCs w:val="18"/>
              </w:rPr>
            </w:pPr>
            <w:r>
              <w:rPr>
                <w:rFonts w:ascii="Arial"/>
                <w:w w:val="95"/>
                <w:sz w:val="18"/>
              </w:rPr>
              <w:t>(%)</w:t>
            </w:r>
            <w:r>
              <w:rPr>
                <w:rFonts w:ascii="Arial"/>
                <w:sz w:val="18"/>
              </w:rPr>
            </w:r>
          </w:p>
        </w:tc>
        <w:tc>
          <w:tcPr>
            <w:tcW w:w="1059"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Style w:val="TableParagraph"/>
              <w:spacing w:line="206" w:lineRule="exact"/>
              <w:ind w:right="84"/>
              <w:jc w:val="right"/>
              <w:rPr>
                <w:rFonts w:ascii="黑体" w:hAnsi="黑体" w:cs="黑体" w:eastAsia="黑体" w:hint="default"/>
                <w:sz w:val="18"/>
                <w:szCs w:val="18"/>
              </w:rPr>
            </w:pPr>
            <w:r>
              <w:rPr>
                <w:rFonts w:ascii="黑体" w:hAnsi="黑体" w:cs="黑体" w:eastAsia="黑体" w:hint="default"/>
                <w:sz w:val="18"/>
                <w:szCs w:val="18"/>
              </w:rPr>
              <w:t>减值准备</w:t>
            </w:r>
          </w:p>
        </w:tc>
        <w:tc>
          <w:tcPr>
            <w:tcW w:w="1186" w:type="dxa"/>
            <w:tcBorders>
              <w:top w:val="nil" w:sz="6" w:space="0" w:color="auto"/>
              <w:left w:val="nil" w:sz="6" w:space="0" w:color="auto"/>
              <w:bottom w:val="nil" w:sz="6" w:space="0" w:color="auto"/>
              <w:right w:val="nil" w:sz="6" w:space="0" w:color="auto"/>
            </w:tcBorders>
          </w:tcPr>
          <w:p>
            <w:pPr>
              <w:pStyle w:val="TableParagraph"/>
              <w:spacing w:line="206" w:lineRule="exact"/>
              <w:ind w:right="200"/>
              <w:jc w:val="right"/>
              <w:rPr>
                <w:rFonts w:ascii="黑体" w:hAnsi="黑体" w:cs="黑体" w:eastAsia="黑体" w:hint="default"/>
                <w:sz w:val="18"/>
                <w:szCs w:val="18"/>
              </w:rPr>
            </w:pPr>
            <w:r>
              <w:rPr>
                <w:rFonts w:ascii="黑体" w:hAnsi="黑体" w:cs="黑体" w:eastAsia="黑体" w:hint="default"/>
                <w:sz w:val="18"/>
                <w:szCs w:val="18"/>
              </w:rPr>
              <w:t>现金红利</w:t>
            </w:r>
          </w:p>
        </w:tc>
      </w:tr>
      <w:tr>
        <w:trPr>
          <w:trHeight w:val="337"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00" w:right="0"/>
              <w:jc w:val="left"/>
              <w:rPr>
                <w:rFonts w:ascii="黑体" w:hAnsi="黑体" w:cs="黑体" w:eastAsia="黑体" w:hint="default"/>
                <w:sz w:val="18"/>
                <w:szCs w:val="18"/>
              </w:rPr>
            </w:pPr>
            <w:r>
              <w:rPr>
                <w:rFonts w:ascii="黑体" w:hAnsi="黑体" w:cs="黑体" w:eastAsia="黑体" w:hint="default"/>
                <w:sz w:val="18"/>
                <w:szCs w:val="18"/>
              </w:rPr>
              <w:t>幸福投资</w:t>
            </w: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24"/>
              <w:jc w:val="right"/>
              <w:rPr>
                <w:rFonts w:ascii="Arial" w:hAnsi="Arial" w:cs="Arial" w:eastAsia="Arial" w:hint="default"/>
                <w:sz w:val="18"/>
                <w:szCs w:val="18"/>
              </w:rPr>
            </w:pPr>
            <w:r>
              <w:rPr>
                <w:rFonts w:ascii="Arial"/>
                <w:spacing w:val="-1"/>
                <w:sz w:val="18"/>
              </w:rPr>
              <w:t>5,000,000</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16"/>
              <w:jc w:val="right"/>
              <w:rPr>
                <w:rFonts w:ascii="Arial" w:hAnsi="Arial" w:cs="Arial" w:eastAsia="Arial" w:hint="default"/>
                <w:sz w:val="18"/>
                <w:szCs w:val="18"/>
              </w:rPr>
            </w:pPr>
            <w:r>
              <w:rPr>
                <w:rFonts w:ascii="Arial"/>
                <w:spacing w:val="-1"/>
                <w:sz w:val="18"/>
              </w:rPr>
              <w:t>5,000,000</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41"/>
              <w:jc w:val="right"/>
              <w:rPr>
                <w:rFonts w:ascii="Arial" w:hAnsi="Arial" w:cs="Arial" w:eastAsia="Arial" w:hint="default"/>
                <w:sz w:val="18"/>
                <w:szCs w:val="18"/>
              </w:rPr>
            </w:pPr>
            <w:r>
              <w:rPr>
                <w:rFonts w:ascii="Arial"/>
                <w:w w:val="99"/>
                <w:sz w:val="18"/>
              </w:rPr>
              <w:t>-</w:t>
            </w:r>
            <w:r>
              <w:rPr>
                <w:rFonts w:ascii="Arial"/>
                <w:sz w:val="18"/>
              </w:rPr>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48"/>
              <w:jc w:val="right"/>
              <w:rPr>
                <w:rFonts w:ascii="Arial" w:hAnsi="Arial" w:cs="Arial" w:eastAsia="Arial" w:hint="default"/>
                <w:sz w:val="18"/>
                <w:szCs w:val="18"/>
              </w:rPr>
            </w:pPr>
            <w:r>
              <w:rPr>
                <w:rFonts w:ascii="Arial"/>
                <w:spacing w:val="-1"/>
                <w:sz w:val="18"/>
              </w:rPr>
              <w:t>5,000,000</w:t>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49"/>
              <w:jc w:val="right"/>
              <w:rPr>
                <w:rFonts w:ascii="Arial" w:hAnsi="Arial" w:cs="Arial" w:eastAsia="Arial" w:hint="default"/>
                <w:sz w:val="18"/>
                <w:szCs w:val="18"/>
              </w:rPr>
            </w:pPr>
            <w:r>
              <w:rPr>
                <w:rFonts w:ascii="Arial"/>
                <w:w w:val="95"/>
                <w:sz w:val="18"/>
              </w:rPr>
              <w:t>100</w:t>
            </w:r>
            <w:r>
              <w:rPr>
                <w:rFonts w:ascii="Arial"/>
                <w:sz w:val="18"/>
              </w:rPr>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65"/>
              <w:jc w:val="right"/>
              <w:rPr>
                <w:rFonts w:ascii="Arial" w:hAnsi="Arial" w:cs="Arial" w:eastAsia="Arial" w:hint="default"/>
                <w:sz w:val="18"/>
                <w:szCs w:val="18"/>
              </w:rPr>
            </w:pPr>
            <w:r>
              <w:rPr>
                <w:rFonts w:ascii="Arial"/>
                <w:w w:val="95"/>
                <w:sz w:val="18"/>
              </w:rPr>
              <w:t>100</w:t>
            </w:r>
            <w:r>
              <w:rPr>
                <w:rFonts w:ascii="Arial"/>
                <w:sz w:val="18"/>
              </w:rPr>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68"/>
              <w:jc w:val="right"/>
              <w:rPr>
                <w:rFonts w:ascii="Arial" w:hAnsi="Arial" w:cs="Arial" w:eastAsia="Arial" w:hint="default"/>
                <w:sz w:val="18"/>
                <w:szCs w:val="18"/>
              </w:rPr>
            </w:pPr>
            <w:r>
              <w:rPr>
                <w:rFonts w:ascii="Arial"/>
                <w:w w:val="99"/>
                <w:sz w:val="18"/>
              </w:rPr>
              <w:t>-</w:t>
            </w:r>
            <w:r>
              <w:rPr>
                <w:rFonts w:ascii="Arial"/>
                <w:sz w:val="18"/>
              </w:rPr>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4"/>
              <w:jc w:val="right"/>
              <w:rPr>
                <w:rFonts w:ascii="Arial" w:hAnsi="Arial" w:cs="Arial" w:eastAsia="Arial" w:hint="default"/>
                <w:sz w:val="18"/>
                <w:szCs w:val="18"/>
              </w:rPr>
            </w:pPr>
            <w:r>
              <w:rPr>
                <w:rFonts w:ascii="Arial"/>
                <w:w w:val="99"/>
                <w:sz w:val="18"/>
              </w:rPr>
              <w:t>-</w:t>
            </w:r>
            <w:r>
              <w:rPr>
                <w:rFonts w:ascii="Arial"/>
                <w:sz w:val="18"/>
              </w:rPr>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00"/>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203" w:lineRule="exact"/>
              <w:ind w:left="200" w:right="0"/>
              <w:jc w:val="left"/>
              <w:rPr>
                <w:rFonts w:ascii="黑体" w:hAnsi="黑体" w:cs="黑体" w:eastAsia="黑体" w:hint="default"/>
                <w:sz w:val="18"/>
                <w:szCs w:val="18"/>
              </w:rPr>
            </w:pPr>
            <w:r>
              <w:rPr>
                <w:rFonts w:ascii="黑体" w:hAnsi="黑体" w:cs="黑体" w:eastAsia="黑体" w:hint="default"/>
                <w:sz w:val="18"/>
                <w:szCs w:val="18"/>
              </w:rPr>
              <w:t>创新投资</w:t>
            </w: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24"/>
              <w:jc w:val="right"/>
              <w:rPr>
                <w:rFonts w:ascii="Arial" w:hAnsi="Arial" w:cs="Arial" w:eastAsia="Arial" w:hint="default"/>
                <w:sz w:val="18"/>
                <w:szCs w:val="18"/>
              </w:rPr>
            </w:pPr>
            <w:r>
              <w:rPr>
                <w:rFonts w:ascii="Arial"/>
                <w:spacing w:val="-1"/>
                <w:sz w:val="18"/>
              </w:rPr>
              <w:t>99,000,000</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17"/>
              <w:jc w:val="right"/>
              <w:rPr>
                <w:rFonts w:ascii="Arial" w:hAnsi="Arial" w:cs="Arial" w:eastAsia="Arial" w:hint="default"/>
                <w:sz w:val="18"/>
                <w:szCs w:val="18"/>
              </w:rPr>
            </w:pPr>
            <w:r>
              <w:rPr>
                <w:rFonts w:ascii="Arial"/>
                <w:spacing w:val="-1"/>
                <w:sz w:val="18"/>
              </w:rPr>
              <w:t>99,000,000</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41"/>
              <w:jc w:val="right"/>
              <w:rPr>
                <w:rFonts w:ascii="Arial" w:hAnsi="Arial" w:cs="Arial" w:eastAsia="Arial" w:hint="default"/>
                <w:sz w:val="18"/>
                <w:szCs w:val="18"/>
              </w:rPr>
            </w:pPr>
            <w:r>
              <w:rPr>
                <w:rFonts w:ascii="Arial"/>
                <w:w w:val="99"/>
                <w:sz w:val="18"/>
              </w:rPr>
              <w:t>-</w:t>
            </w:r>
            <w:r>
              <w:rPr>
                <w:rFonts w:ascii="Arial"/>
                <w:sz w:val="18"/>
              </w:rPr>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48"/>
              <w:jc w:val="right"/>
              <w:rPr>
                <w:rFonts w:ascii="Arial" w:hAnsi="Arial" w:cs="Arial" w:eastAsia="Arial" w:hint="default"/>
                <w:sz w:val="18"/>
                <w:szCs w:val="18"/>
              </w:rPr>
            </w:pPr>
            <w:r>
              <w:rPr>
                <w:rFonts w:ascii="Arial"/>
                <w:spacing w:val="-1"/>
                <w:sz w:val="18"/>
              </w:rPr>
              <w:t>99,000,000</w:t>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49"/>
              <w:jc w:val="right"/>
              <w:rPr>
                <w:rFonts w:ascii="Arial" w:hAnsi="Arial" w:cs="Arial" w:eastAsia="Arial" w:hint="default"/>
                <w:sz w:val="18"/>
                <w:szCs w:val="18"/>
              </w:rPr>
            </w:pPr>
            <w:r>
              <w:rPr>
                <w:rFonts w:ascii="Arial"/>
                <w:w w:val="95"/>
                <w:sz w:val="18"/>
              </w:rPr>
              <w:t>99</w:t>
            </w:r>
            <w:r>
              <w:rPr>
                <w:rFonts w:ascii="Arial"/>
                <w:sz w:val="18"/>
              </w:rPr>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66"/>
              <w:jc w:val="right"/>
              <w:rPr>
                <w:rFonts w:ascii="Arial" w:hAnsi="Arial" w:cs="Arial" w:eastAsia="Arial" w:hint="default"/>
                <w:sz w:val="18"/>
                <w:szCs w:val="18"/>
              </w:rPr>
            </w:pPr>
            <w:r>
              <w:rPr>
                <w:rFonts w:ascii="Arial"/>
                <w:w w:val="95"/>
                <w:sz w:val="18"/>
              </w:rPr>
              <w:t>99</w:t>
            </w:r>
            <w:r>
              <w:rPr>
                <w:rFonts w:ascii="Arial"/>
                <w:sz w:val="18"/>
              </w:rPr>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68"/>
              <w:jc w:val="right"/>
              <w:rPr>
                <w:rFonts w:ascii="Arial" w:hAnsi="Arial" w:cs="Arial" w:eastAsia="Arial" w:hint="default"/>
                <w:sz w:val="18"/>
                <w:szCs w:val="18"/>
              </w:rPr>
            </w:pPr>
            <w:r>
              <w:rPr>
                <w:rFonts w:ascii="Arial"/>
                <w:w w:val="99"/>
                <w:sz w:val="18"/>
              </w:rPr>
              <w:t>-</w:t>
            </w:r>
            <w:r>
              <w:rPr>
                <w:rFonts w:ascii="Arial"/>
                <w:sz w:val="18"/>
              </w:rPr>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4"/>
              <w:jc w:val="right"/>
              <w:rPr>
                <w:rFonts w:ascii="Arial" w:hAnsi="Arial" w:cs="Arial" w:eastAsia="Arial" w:hint="default"/>
                <w:sz w:val="18"/>
                <w:szCs w:val="18"/>
              </w:rPr>
            </w:pPr>
            <w:r>
              <w:rPr>
                <w:rFonts w:ascii="Arial"/>
                <w:w w:val="99"/>
                <w:sz w:val="18"/>
              </w:rPr>
              <w:t>-</w:t>
            </w:r>
            <w:r>
              <w:rPr>
                <w:rFonts w:ascii="Arial"/>
                <w:sz w:val="18"/>
              </w:rPr>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98"/>
              <w:jc w:val="right"/>
              <w:rPr>
                <w:rFonts w:ascii="Arial" w:hAnsi="Arial" w:cs="Arial" w:eastAsia="Arial" w:hint="default"/>
                <w:sz w:val="18"/>
                <w:szCs w:val="18"/>
              </w:rPr>
            </w:pPr>
            <w:r>
              <w:rPr>
                <w:rFonts w:ascii="Arial"/>
                <w:spacing w:val="-1"/>
                <w:sz w:val="18"/>
              </w:rPr>
              <w:t>246,839</w:t>
            </w:r>
          </w:p>
        </w:tc>
      </w:tr>
      <w:tr>
        <w:trPr>
          <w:trHeight w:val="233"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202" w:lineRule="exact"/>
              <w:ind w:left="200" w:right="0"/>
              <w:jc w:val="left"/>
              <w:rPr>
                <w:rFonts w:ascii="黑体" w:hAnsi="黑体" w:cs="黑体" w:eastAsia="黑体" w:hint="default"/>
                <w:sz w:val="18"/>
                <w:szCs w:val="18"/>
              </w:rPr>
            </w:pPr>
            <w:r>
              <w:rPr>
                <w:rFonts w:ascii="黑体" w:hAnsi="黑体" w:cs="黑体" w:eastAsia="黑体" w:hint="default"/>
                <w:sz w:val="18"/>
                <w:szCs w:val="18"/>
              </w:rPr>
              <w:t>畅捷通</w:t>
            </w: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3"/>
              <w:jc w:val="right"/>
              <w:rPr>
                <w:rFonts w:ascii="Arial" w:hAnsi="Arial" w:cs="Arial" w:eastAsia="Arial" w:hint="default"/>
                <w:sz w:val="18"/>
                <w:szCs w:val="18"/>
              </w:rPr>
            </w:pPr>
            <w:r>
              <w:rPr>
                <w:rFonts w:ascii="Arial"/>
                <w:spacing w:val="-1"/>
                <w:sz w:val="18"/>
              </w:rPr>
              <w:t>220,060,623</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16"/>
              <w:jc w:val="right"/>
              <w:rPr>
                <w:rFonts w:ascii="Arial" w:hAnsi="Arial" w:cs="Arial" w:eastAsia="Arial" w:hint="default"/>
                <w:sz w:val="18"/>
                <w:szCs w:val="18"/>
              </w:rPr>
            </w:pPr>
            <w:r>
              <w:rPr>
                <w:rFonts w:ascii="Arial"/>
                <w:spacing w:val="-1"/>
                <w:sz w:val="18"/>
              </w:rPr>
              <w:t>220,060,623</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41"/>
              <w:jc w:val="right"/>
              <w:rPr>
                <w:rFonts w:ascii="Arial" w:hAnsi="Arial" w:cs="Arial" w:eastAsia="Arial" w:hint="default"/>
                <w:sz w:val="18"/>
                <w:szCs w:val="18"/>
              </w:rPr>
            </w:pPr>
            <w:r>
              <w:rPr>
                <w:rFonts w:ascii="Arial"/>
                <w:w w:val="99"/>
                <w:sz w:val="18"/>
              </w:rPr>
              <w:t>-</w:t>
            </w:r>
            <w:r>
              <w:rPr>
                <w:rFonts w:ascii="Arial"/>
                <w:sz w:val="18"/>
              </w:rPr>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7"/>
              <w:jc w:val="right"/>
              <w:rPr>
                <w:rFonts w:ascii="Arial" w:hAnsi="Arial" w:cs="Arial" w:eastAsia="Arial" w:hint="default"/>
                <w:sz w:val="18"/>
                <w:szCs w:val="18"/>
              </w:rPr>
            </w:pPr>
            <w:r>
              <w:rPr>
                <w:rFonts w:ascii="Arial"/>
                <w:spacing w:val="-1"/>
                <w:sz w:val="18"/>
              </w:rPr>
              <w:t>220,060,623</w:t>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9"/>
              <w:jc w:val="right"/>
              <w:rPr>
                <w:rFonts w:ascii="Arial" w:hAnsi="Arial" w:cs="Arial" w:eastAsia="Arial" w:hint="default"/>
                <w:sz w:val="18"/>
                <w:szCs w:val="18"/>
              </w:rPr>
            </w:pPr>
            <w:r>
              <w:rPr>
                <w:rFonts w:ascii="Arial"/>
                <w:w w:val="95"/>
                <w:sz w:val="18"/>
              </w:rPr>
              <w:t>92.32</w:t>
            </w:r>
            <w:r>
              <w:rPr>
                <w:rFonts w:ascii="Arial"/>
                <w:sz w:val="18"/>
              </w:rPr>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5"/>
              <w:jc w:val="right"/>
              <w:rPr>
                <w:rFonts w:ascii="Arial" w:hAnsi="Arial" w:cs="Arial" w:eastAsia="Arial" w:hint="default"/>
                <w:sz w:val="18"/>
                <w:szCs w:val="18"/>
              </w:rPr>
            </w:pPr>
            <w:r>
              <w:rPr>
                <w:rFonts w:ascii="Arial"/>
                <w:w w:val="95"/>
                <w:sz w:val="18"/>
              </w:rPr>
              <w:t>92.32</w:t>
            </w:r>
            <w:r>
              <w:rPr>
                <w:rFonts w:ascii="Arial"/>
                <w:sz w:val="18"/>
              </w:rPr>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8"/>
              <w:jc w:val="right"/>
              <w:rPr>
                <w:rFonts w:ascii="Arial" w:hAnsi="Arial" w:cs="Arial" w:eastAsia="Arial" w:hint="default"/>
                <w:sz w:val="18"/>
                <w:szCs w:val="18"/>
              </w:rPr>
            </w:pPr>
            <w:r>
              <w:rPr>
                <w:rFonts w:ascii="Arial"/>
                <w:w w:val="99"/>
                <w:sz w:val="18"/>
              </w:rPr>
              <w:t>-</w:t>
            </w:r>
            <w:r>
              <w:rPr>
                <w:rFonts w:ascii="Arial"/>
                <w:sz w:val="18"/>
              </w:rPr>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4"/>
              <w:jc w:val="right"/>
              <w:rPr>
                <w:rFonts w:ascii="Arial" w:hAnsi="Arial" w:cs="Arial" w:eastAsia="Arial" w:hint="default"/>
                <w:sz w:val="18"/>
                <w:szCs w:val="18"/>
              </w:rPr>
            </w:pPr>
            <w:r>
              <w:rPr>
                <w:rFonts w:ascii="Arial"/>
                <w:w w:val="99"/>
                <w:sz w:val="18"/>
              </w:rPr>
              <w:t>-</w:t>
            </w:r>
            <w:r>
              <w:rPr>
                <w:rFonts w:ascii="Arial"/>
                <w:sz w:val="18"/>
              </w:rPr>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8"/>
              <w:jc w:val="right"/>
              <w:rPr>
                <w:rFonts w:ascii="Arial" w:hAnsi="Arial" w:cs="Arial" w:eastAsia="Arial" w:hint="default"/>
                <w:sz w:val="18"/>
                <w:szCs w:val="18"/>
              </w:rPr>
            </w:pPr>
            <w:r>
              <w:rPr>
                <w:rFonts w:ascii="Arial"/>
                <w:spacing w:val="-1"/>
                <w:sz w:val="18"/>
              </w:rPr>
              <w:t>66,149,830</w:t>
            </w:r>
          </w:p>
        </w:tc>
      </w:tr>
      <w:tr>
        <w:trPr>
          <w:trHeight w:val="234"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202" w:lineRule="exact"/>
              <w:ind w:left="200" w:right="0"/>
              <w:jc w:val="left"/>
              <w:rPr>
                <w:rFonts w:ascii="黑体" w:hAnsi="黑体" w:cs="黑体" w:eastAsia="黑体" w:hint="default"/>
                <w:sz w:val="18"/>
                <w:szCs w:val="18"/>
              </w:rPr>
            </w:pPr>
            <w:r>
              <w:rPr>
                <w:rFonts w:ascii="黑体" w:hAnsi="黑体" w:cs="黑体" w:eastAsia="黑体" w:hint="default"/>
                <w:sz w:val="18"/>
                <w:szCs w:val="18"/>
              </w:rPr>
              <w:t>长伴咨询</w:t>
            </w: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4"/>
              <w:jc w:val="right"/>
              <w:rPr>
                <w:rFonts w:ascii="Arial" w:hAnsi="Arial" w:cs="Arial" w:eastAsia="Arial" w:hint="default"/>
                <w:sz w:val="18"/>
                <w:szCs w:val="18"/>
              </w:rPr>
            </w:pPr>
            <w:r>
              <w:rPr>
                <w:rFonts w:ascii="Arial"/>
                <w:spacing w:val="-1"/>
                <w:sz w:val="18"/>
              </w:rPr>
              <w:t>30,000,000</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17"/>
              <w:jc w:val="right"/>
              <w:rPr>
                <w:rFonts w:ascii="Arial" w:hAnsi="Arial" w:cs="Arial" w:eastAsia="Arial" w:hint="default"/>
                <w:sz w:val="18"/>
                <w:szCs w:val="18"/>
              </w:rPr>
            </w:pPr>
            <w:r>
              <w:rPr>
                <w:rFonts w:ascii="Arial"/>
                <w:spacing w:val="-1"/>
                <w:sz w:val="18"/>
              </w:rPr>
              <w:t>30,000,000</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41"/>
              <w:jc w:val="right"/>
              <w:rPr>
                <w:rFonts w:ascii="Arial" w:hAnsi="Arial" w:cs="Arial" w:eastAsia="Arial" w:hint="default"/>
                <w:sz w:val="18"/>
                <w:szCs w:val="18"/>
              </w:rPr>
            </w:pPr>
            <w:r>
              <w:rPr>
                <w:rFonts w:ascii="Arial"/>
                <w:w w:val="99"/>
                <w:sz w:val="18"/>
              </w:rPr>
              <w:t>-</w:t>
            </w:r>
            <w:r>
              <w:rPr>
                <w:rFonts w:ascii="Arial"/>
                <w:sz w:val="18"/>
              </w:rPr>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8"/>
              <w:jc w:val="right"/>
              <w:rPr>
                <w:rFonts w:ascii="Arial" w:hAnsi="Arial" w:cs="Arial" w:eastAsia="Arial" w:hint="default"/>
                <w:sz w:val="18"/>
                <w:szCs w:val="18"/>
              </w:rPr>
            </w:pPr>
            <w:r>
              <w:rPr>
                <w:rFonts w:ascii="Arial"/>
                <w:spacing w:val="-1"/>
                <w:sz w:val="18"/>
              </w:rPr>
              <w:t>30,000,000</w:t>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9"/>
              <w:jc w:val="right"/>
              <w:rPr>
                <w:rFonts w:ascii="Arial" w:hAnsi="Arial" w:cs="Arial" w:eastAsia="Arial" w:hint="default"/>
                <w:sz w:val="18"/>
                <w:szCs w:val="18"/>
              </w:rPr>
            </w:pPr>
            <w:r>
              <w:rPr>
                <w:rFonts w:ascii="Arial"/>
                <w:w w:val="95"/>
                <w:sz w:val="18"/>
              </w:rPr>
              <w:t>100</w:t>
            </w:r>
            <w:r>
              <w:rPr>
                <w:rFonts w:ascii="Arial"/>
                <w:sz w:val="18"/>
              </w:rPr>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5"/>
              <w:jc w:val="right"/>
              <w:rPr>
                <w:rFonts w:ascii="Arial" w:hAnsi="Arial" w:cs="Arial" w:eastAsia="Arial" w:hint="default"/>
                <w:sz w:val="18"/>
                <w:szCs w:val="18"/>
              </w:rPr>
            </w:pPr>
            <w:r>
              <w:rPr>
                <w:rFonts w:ascii="Arial"/>
                <w:w w:val="95"/>
                <w:sz w:val="18"/>
              </w:rPr>
              <w:t>100</w:t>
            </w:r>
            <w:r>
              <w:rPr>
                <w:rFonts w:ascii="Arial"/>
                <w:sz w:val="18"/>
              </w:rPr>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5"/>
              <w:jc w:val="right"/>
              <w:rPr>
                <w:rFonts w:ascii="Arial" w:hAnsi="Arial" w:cs="Arial" w:eastAsia="Arial" w:hint="default"/>
                <w:sz w:val="18"/>
                <w:szCs w:val="18"/>
              </w:rPr>
            </w:pPr>
            <w:r>
              <w:rPr>
                <w:rFonts w:ascii="Arial"/>
                <w:w w:val="99"/>
                <w:sz w:val="18"/>
              </w:rPr>
              <w:t>-</w:t>
            </w:r>
            <w:r>
              <w:rPr>
                <w:rFonts w:ascii="Arial"/>
                <w:sz w:val="18"/>
              </w:rPr>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1"/>
              <w:jc w:val="right"/>
              <w:rPr>
                <w:rFonts w:ascii="Arial" w:hAnsi="Arial" w:cs="Arial" w:eastAsia="Arial" w:hint="default"/>
                <w:sz w:val="18"/>
                <w:szCs w:val="18"/>
              </w:rPr>
            </w:pPr>
            <w:r>
              <w:rPr>
                <w:rFonts w:ascii="Arial"/>
                <w:w w:val="99"/>
                <w:sz w:val="18"/>
              </w:rPr>
              <w:t>-</w:t>
            </w:r>
            <w:r>
              <w:rPr>
                <w:rFonts w:ascii="Arial"/>
                <w:sz w:val="18"/>
              </w:rPr>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203" w:lineRule="exact"/>
              <w:ind w:left="200" w:right="0"/>
              <w:jc w:val="left"/>
              <w:rPr>
                <w:rFonts w:ascii="黑体" w:hAnsi="黑体" w:cs="黑体" w:eastAsia="黑体" w:hint="default"/>
                <w:sz w:val="18"/>
                <w:szCs w:val="18"/>
              </w:rPr>
            </w:pPr>
            <w:r>
              <w:rPr>
                <w:rFonts w:ascii="黑体" w:hAnsi="黑体" w:cs="黑体" w:eastAsia="黑体" w:hint="default"/>
                <w:sz w:val="18"/>
                <w:szCs w:val="18"/>
              </w:rPr>
              <w:t>用友汽车</w:t>
            </w: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23"/>
              <w:jc w:val="right"/>
              <w:rPr>
                <w:rFonts w:ascii="Arial" w:hAnsi="Arial" w:cs="Arial" w:eastAsia="Arial" w:hint="default"/>
                <w:sz w:val="18"/>
                <w:szCs w:val="18"/>
              </w:rPr>
            </w:pPr>
            <w:r>
              <w:rPr>
                <w:rFonts w:ascii="Arial"/>
                <w:spacing w:val="-1"/>
                <w:sz w:val="18"/>
              </w:rPr>
              <w:t>486,090,000</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16"/>
              <w:jc w:val="right"/>
              <w:rPr>
                <w:rFonts w:ascii="Arial" w:hAnsi="Arial" w:cs="Arial" w:eastAsia="Arial" w:hint="default"/>
                <w:sz w:val="18"/>
                <w:szCs w:val="18"/>
              </w:rPr>
            </w:pPr>
            <w:r>
              <w:rPr>
                <w:rFonts w:ascii="Arial"/>
                <w:spacing w:val="-1"/>
                <w:sz w:val="18"/>
              </w:rPr>
              <w:t>486,090,000</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41"/>
              <w:jc w:val="right"/>
              <w:rPr>
                <w:rFonts w:ascii="Arial" w:hAnsi="Arial" w:cs="Arial" w:eastAsia="Arial" w:hint="default"/>
                <w:sz w:val="18"/>
                <w:szCs w:val="18"/>
              </w:rPr>
            </w:pPr>
            <w:r>
              <w:rPr>
                <w:rFonts w:ascii="Arial"/>
                <w:w w:val="99"/>
                <w:sz w:val="18"/>
              </w:rPr>
              <w:t>-</w:t>
            </w:r>
            <w:r>
              <w:rPr>
                <w:rFonts w:ascii="Arial"/>
                <w:sz w:val="18"/>
              </w:rPr>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47"/>
              <w:jc w:val="right"/>
              <w:rPr>
                <w:rFonts w:ascii="Arial" w:hAnsi="Arial" w:cs="Arial" w:eastAsia="Arial" w:hint="default"/>
                <w:sz w:val="18"/>
                <w:szCs w:val="18"/>
              </w:rPr>
            </w:pPr>
            <w:r>
              <w:rPr>
                <w:rFonts w:ascii="Arial"/>
                <w:spacing w:val="-1"/>
                <w:sz w:val="18"/>
              </w:rPr>
              <w:t>486,090,000</w:t>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49"/>
              <w:jc w:val="right"/>
              <w:rPr>
                <w:rFonts w:ascii="Arial" w:hAnsi="Arial" w:cs="Arial" w:eastAsia="Arial" w:hint="default"/>
                <w:sz w:val="18"/>
                <w:szCs w:val="18"/>
              </w:rPr>
            </w:pPr>
            <w:r>
              <w:rPr>
                <w:rFonts w:ascii="Arial"/>
                <w:w w:val="95"/>
                <w:sz w:val="18"/>
              </w:rPr>
              <w:t>99</w:t>
            </w:r>
            <w:r>
              <w:rPr>
                <w:rFonts w:ascii="Arial"/>
                <w:sz w:val="18"/>
              </w:rPr>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66"/>
              <w:jc w:val="right"/>
              <w:rPr>
                <w:rFonts w:ascii="Arial" w:hAnsi="Arial" w:cs="Arial" w:eastAsia="Arial" w:hint="default"/>
                <w:sz w:val="18"/>
                <w:szCs w:val="18"/>
              </w:rPr>
            </w:pPr>
            <w:r>
              <w:rPr>
                <w:rFonts w:ascii="Arial"/>
                <w:w w:val="95"/>
                <w:sz w:val="18"/>
              </w:rPr>
              <w:t>99</w:t>
            </w:r>
            <w:r>
              <w:rPr>
                <w:rFonts w:ascii="Arial"/>
                <w:sz w:val="18"/>
              </w:rPr>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68"/>
              <w:jc w:val="right"/>
              <w:rPr>
                <w:rFonts w:ascii="Arial" w:hAnsi="Arial" w:cs="Arial" w:eastAsia="Arial" w:hint="default"/>
                <w:sz w:val="18"/>
                <w:szCs w:val="18"/>
              </w:rPr>
            </w:pPr>
            <w:r>
              <w:rPr>
                <w:rFonts w:ascii="Arial"/>
                <w:w w:val="99"/>
                <w:sz w:val="18"/>
              </w:rPr>
              <w:t>-</w:t>
            </w:r>
            <w:r>
              <w:rPr>
                <w:rFonts w:ascii="Arial"/>
                <w:sz w:val="18"/>
              </w:rPr>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4"/>
              <w:jc w:val="right"/>
              <w:rPr>
                <w:rFonts w:ascii="Arial" w:hAnsi="Arial" w:cs="Arial" w:eastAsia="Arial" w:hint="default"/>
                <w:sz w:val="18"/>
                <w:szCs w:val="18"/>
              </w:rPr>
            </w:pPr>
            <w:r>
              <w:rPr>
                <w:rFonts w:ascii="Arial"/>
                <w:w w:val="99"/>
                <w:sz w:val="18"/>
              </w:rPr>
              <w:t>-</w:t>
            </w:r>
            <w:r>
              <w:rPr>
                <w:rFonts w:ascii="Arial"/>
                <w:sz w:val="18"/>
              </w:rPr>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00"/>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202" w:lineRule="exact"/>
              <w:ind w:left="200" w:right="0"/>
              <w:jc w:val="left"/>
              <w:rPr>
                <w:rFonts w:ascii="黑体" w:hAnsi="黑体" w:cs="黑体" w:eastAsia="黑体" w:hint="default"/>
                <w:sz w:val="18"/>
                <w:szCs w:val="18"/>
              </w:rPr>
            </w:pPr>
            <w:r>
              <w:rPr>
                <w:rFonts w:ascii="黑体" w:hAnsi="黑体" w:cs="黑体" w:eastAsia="黑体" w:hint="default"/>
                <w:sz w:val="18"/>
                <w:szCs w:val="18"/>
              </w:rPr>
              <w:t>用友新道</w:t>
            </w: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3"/>
              <w:jc w:val="right"/>
              <w:rPr>
                <w:rFonts w:ascii="Arial" w:hAnsi="Arial" w:cs="Arial" w:eastAsia="Arial" w:hint="default"/>
                <w:sz w:val="18"/>
                <w:szCs w:val="18"/>
              </w:rPr>
            </w:pPr>
            <w:r>
              <w:rPr>
                <w:rFonts w:ascii="Arial"/>
                <w:spacing w:val="-1"/>
                <w:sz w:val="18"/>
              </w:rPr>
              <w:t>50,000,000</w:t>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16"/>
              <w:jc w:val="right"/>
              <w:rPr>
                <w:rFonts w:ascii="Arial" w:hAnsi="Arial" w:cs="Arial" w:eastAsia="Arial" w:hint="default"/>
                <w:sz w:val="18"/>
                <w:szCs w:val="18"/>
              </w:rPr>
            </w:pPr>
            <w:r>
              <w:rPr>
                <w:rFonts w:ascii="Arial"/>
                <w:spacing w:val="-1"/>
                <w:sz w:val="18"/>
              </w:rPr>
              <w:t>50,000,000</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41"/>
              <w:jc w:val="right"/>
              <w:rPr>
                <w:rFonts w:ascii="Arial" w:hAnsi="Arial" w:cs="Arial" w:eastAsia="Arial" w:hint="default"/>
                <w:sz w:val="18"/>
                <w:szCs w:val="18"/>
              </w:rPr>
            </w:pPr>
            <w:r>
              <w:rPr>
                <w:rFonts w:ascii="Arial"/>
                <w:w w:val="99"/>
                <w:sz w:val="18"/>
              </w:rPr>
              <w:t>-</w:t>
            </w:r>
            <w:r>
              <w:rPr>
                <w:rFonts w:ascii="Arial"/>
                <w:sz w:val="18"/>
              </w:rPr>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7"/>
              <w:jc w:val="right"/>
              <w:rPr>
                <w:rFonts w:ascii="Arial" w:hAnsi="Arial" w:cs="Arial" w:eastAsia="Arial" w:hint="default"/>
                <w:sz w:val="18"/>
                <w:szCs w:val="18"/>
              </w:rPr>
            </w:pPr>
            <w:r>
              <w:rPr>
                <w:rFonts w:ascii="Arial"/>
                <w:spacing w:val="-1"/>
                <w:sz w:val="18"/>
              </w:rPr>
              <w:t>50,000,000</w:t>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9"/>
              <w:jc w:val="right"/>
              <w:rPr>
                <w:rFonts w:ascii="Arial" w:hAnsi="Arial" w:cs="Arial" w:eastAsia="Arial" w:hint="default"/>
                <w:sz w:val="18"/>
                <w:szCs w:val="18"/>
              </w:rPr>
            </w:pPr>
            <w:r>
              <w:rPr>
                <w:rFonts w:ascii="Arial"/>
                <w:w w:val="95"/>
                <w:sz w:val="18"/>
              </w:rPr>
              <w:t>100</w:t>
            </w:r>
            <w:r>
              <w:rPr>
                <w:rFonts w:ascii="Arial"/>
                <w:sz w:val="18"/>
              </w:rPr>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5"/>
              <w:jc w:val="right"/>
              <w:rPr>
                <w:rFonts w:ascii="Arial" w:hAnsi="Arial" w:cs="Arial" w:eastAsia="Arial" w:hint="default"/>
                <w:sz w:val="18"/>
                <w:szCs w:val="18"/>
              </w:rPr>
            </w:pPr>
            <w:r>
              <w:rPr>
                <w:rFonts w:ascii="Arial"/>
                <w:w w:val="95"/>
                <w:sz w:val="18"/>
              </w:rPr>
              <w:t>100</w:t>
            </w:r>
            <w:r>
              <w:rPr>
                <w:rFonts w:ascii="Arial"/>
                <w:sz w:val="18"/>
              </w:rPr>
            </w:r>
          </w:p>
        </w:tc>
        <w:tc>
          <w:tcPr>
            <w:tcW w:w="105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6"/>
              <w:jc w:val="right"/>
              <w:rPr>
                <w:rFonts w:ascii="Arial" w:hAnsi="Arial" w:cs="Arial" w:eastAsia="Arial" w:hint="default"/>
                <w:sz w:val="18"/>
                <w:szCs w:val="18"/>
              </w:rPr>
            </w:pPr>
            <w:r>
              <w:rPr>
                <w:rFonts w:ascii="Arial"/>
                <w:w w:val="99"/>
                <w:sz w:val="18"/>
              </w:rPr>
              <w:t>-</w:t>
            </w:r>
            <w:r>
              <w:rPr>
                <w:rFonts w:ascii="Arial"/>
                <w:sz w:val="18"/>
              </w:rPr>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1"/>
              <w:jc w:val="right"/>
              <w:rPr>
                <w:rFonts w:ascii="Arial" w:hAnsi="Arial" w:cs="Arial" w:eastAsia="Arial" w:hint="default"/>
                <w:sz w:val="18"/>
                <w:szCs w:val="18"/>
              </w:rPr>
            </w:pPr>
            <w:r>
              <w:rPr>
                <w:rFonts w:ascii="Arial"/>
                <w:w w:val="99"/>
                <w:sz w:val="18"/>
              </w:rPr>
              <w:t>-</w:t>
            </w:r>
            <w:r>
              <w:rPr>
                <w:rFonts w:ascii="Arial"/>
                <w:sz w:val="18"/>
              </w:rPr>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337"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Arial" w:hAnsi="Arial" w:cs="Arial" w:eastAsia="Arial" w:hint="default"/>
                <w:sz w:val="18"/>
                <w:szCs w:val="18"/>
              </w:rPr>
            </w:pPr>
            <w:r>
              <w:rPr>
                <w:rFonts w:ascii="黑体" w:hAnsi="黑体" w:cs="黑体" w:eastAsia="黑体" w:hint="default"/>
                <w:sz w:val="18"/>
                <w:szCs w:val="18"/>
              </w:rPr>
              <w:t>用友云达</w:t>
            </w:r>
            <w:r>
              <w:rPr>
                <w:rFonts w:ascii="Arial" w:hAnsi="Arial" w:cs="Arial" w:eastAsia="Arial" w:hint="default"/>
                <w:sz w:val="18"/>
                <w:szCs w:val="18"/>
              </w:rPr>
              <w:t>(</w:t>
            </w:r>
            <w:r>
              <w:rPr>
                <w:rFonts w:ascii="黑体" w:hAnsi="黑体" w:cs="黑体" w:eastAsia="黑体" w:hint="default"/>
                <w:sz w:val="18"/>
                <w:szCs w:val="18"/>
              </w:rPr>
              <w:t>注</w:t>
            </w:r>
            <w:r>
              <w:rPr>
                <w:rFonts w:ascii="Arial" w:hAnsi="Arial" w:cs="Arial" w:eastAsia="Arial" w:hint="default"/>
                <w:sz w:val="18"/>
                <w:szCs w:val="18"/>
              </w:rPr>
              <w:t>4)</w:t>
            </w:r>
          </w:p>
        </w:tc>
        <w:tc>
          <w:tcPr>
            <w:tcW w:w="2070" w:type="dxa"/>
            <w:tcBorders>
              <w:top w:val="nil" w:sz="6" w:space="0" w:color="auto"/>
              <w:left w:val="nil" w:sz="6" w:space="0" w:color="auto"/>
              <w:bottom w:val="nil" w:sz="6" w:space="0" w:color="auto"/>
              <w:right w:val="nil" w:sz="6" w:space="0" w:color="auto"/>
            </w:tcBorders>
          </w:tcPr>
          <w:p>
            <w:pPr>
              <w:pStyle w:val="TableParagraph"/>
              <w:tabs>
                <w:tab w:pos="271" w:val="left" w:leader="none"/>
              </w:tabs>
              <w:spacing w:line="240" w:lineRule="auto" w:before="8"/>
              <w:ind w:right="12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10,000,000</w:t>
            </w:r>
            <w:r>
              <w:rPr>
                <w:rFonts w:ascii="Arial"/>
                <w:spacing w:val="-1"/>
                <w:sz w:val="18"/>
              </w:rPr>
            </w:r>
          </w:p>
        </w:tc>
        <w:tc>
          <w:tcPr>
            <w:tcW w:w="1399" w:type="dxa"/>
            <w:tcBorders>
              <w:top w:val="nil" w:sz="6" w:space="0" w:color="auto"/>
              <w:left w:val="nil" w:sz="6" w:space="0" w:color="auto"/>
              <w:bottom w:val="nil" w:sz="6" w:space="0" w:color="auto"/>
              <w:right w:val="nil" w:sz="6" w:space="0" w:color="auto"/>
            </w:tcBorders>
          </w:tcPr>
          <w:p>
            <w:pPr>
              <w:pStyle w:val="TableParagraph"/>
              <w:tabs>
                <w:tab w:pos="1082" w:val="left" w:leader="none"/>
              </w:tabs>
              <w:spacing w:line="240" w:lineRule="auto" w:before="8"/>
              <w:ind w:right="11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39"/>
              <w:jc w:val="right"/>
              <w:rPr>
                <w:rFonts w:ascii="Arial" w:hAnsi="Arial" w:cs="Arial" w:eastAsia="Arial" w:hint="default"/>
                <w:sz w:val="18"/>
                <w:szCs w:val="18"/>
              </w:rPr>
            </w:pPr>
            <w:r>
              <w:rPr>
                <w:rFonts w:ascii="Arial"/>
                <w:w w:val="99"/>
                <w:sz w:val="18"/>
              </w:rPr>
            </w:r>
            <w:r>
              <w:rPr>
                <w:rFonts w:ascii="Arial"/>
                <w:spacing w:val="-1"/>
                <w:sz w:val="18"/>
                <w:u w:val="single" w:color="000000"/>
              </w:rPr>
              <w:t>10,000,000</w:t>
            </w:r>
            <w:r>
              <w:rPr>
                <w:rFonts w:ascii="Arial"/>
                <w:spacing w:val="-1"/>
                <w:sz w:val="18"/>
              </w:rPr>
            </w:r>
          </w:p>
        </w:tc>
        <w:tc>
          <w:tcPr>
            <w:tcW w:w="1546" w:type="dxa"/>
            <w:tcBorders>
              <w:top w:val="nil" w:sz="6" w:space="0" w:color="auto"/>
              <w:left w:val="nil" w:sz="6" w:space="0" w:color="auto"/>
              <w:bottom w:val="nil" w:sz="6" w:space="0" w:color="auto"/>
              <w:right w:val="nil" w:sz="6" w:space="0" w:color="auto"/>
            </w:tcBorders>
          </w:tcPr>
          <w:p>
            <w:pPr>
              <w:pStyle w:val="TableParagraph"/>
              <w:tabs>
                <w:tab w:pos="271" w:val="left" w:leader="none"/>
              </w:tabs>
              <w:spacing w:line="240" w:lineRule="auto" w:before="8"/>
              <w:ind w:right="14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10,000,000</w:t>
            </w:r>
            <w:r>
              <w:rPr>
                <w:rFonts w:ascii="Arial"/>
                <w:spacing w:val="-1"/>
                <w:sz w:val="18"/>
              </w:rPr>
            </w:r>
          </w:p>
        </w:tc>
        <w:tc>
          <w:tcPr>
            <w:tcW w:w="10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9"/>
              <w:jc w:val="right"/>
              <w:rPr>
                <w:rFonts w:ascii="Arial" w:hAnsi="Arial" w:cs="Arial" w:eastAsia="Arial" w:hint="default"/>
                <w:sz w:val="18"/>
                <w:szCs w:val="18"/>
              </w:rPr>
            </w:pPr>
            <w:r>
              <w:rPr>
                <w:rFonts w:ascii="Arial"/>
                <w:w w:val="95"/>
                <w:sz w:val="18"/>
              </w:rPr>
              <w:t>100</w:t>
            </w:r>
            <w:r>
              <w:rPr>
                <w:rFonts w:ascii="Arial"/>
                <w:sz w:val="18"/>
              </w:rPr>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65"/>
              <w:jc w:val="right"/>
              <w:rPr>
                <w:rFonts w:ascii="Arial" w:hAnsi="Arial" w:cs="Arial" w:eastAsia="Arial" w:hint="default"/>
                <w:sz w:val="18"/>
                <w:szCs w:val="18"/>
              </w:rPr>
            </w:pPr>
            <w:r>
              <w:rPr>
                <w:rFonts w:ascii="Arial"/>
                <w:w w:val="95"/>
                <w:sz w:val="18"/>
              </w:rPr>
              <w:t>100</w:t>
            </w:r>
            <w:r>
              <w:rPr>
                <w:rFonts w:ascii="Arial"/>
                <w:sz w:val="18"/>
              </w:rPr>
            </w:r>
          </w:p>
        </w:tc>
        <w:tc>
          <w:tcPr>
            <w:tcW w:w="1059" w:type="dxa"/>
            <w:tcBorders>
              <w:top w:val="nil" w:sz="6" w:space="0" w:color="auto"/>
              <w:left w:val="nil" w:sz="6" w:space="0" w:color="auto"/>
              <w:bottom w:val="nil" w:sz="6" w:space="0" w:color="auto"/>
              <w:right w:val="nil" w:sz="6" w:space="0" w:color="auto"/>
            </w:tcBorders>
          </w:tcPr>
          <w:p>
            <w:pPr>
              <w:pStyle w:val="TableParagraph"/>
              <w:tabs>
                <w:tab w:pos="768" w:val="left" w:leader="none"/>
              </w:tabs>
              <w:spacing w:line="240" w:lineRule="auto" w:before="8"/>
              <w:ind w:right="16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274" w:type="dxa"/>
            <w:tcBorders>
              <w:top w:val="nil" w:sz="6" w:space="0" w:color="auto"/>
              <w:left w:val="nil" w:sz="6" w:space="0" w:color="auto"/>
              <w:bottom w:val="nil" w:sz="6" w:space="0" w:color="auto"/>
              <w:right w:val="nil" w:sz="6" w:space="0" w:color="auto"/>
            </w:tcBorders>
          </w:tcPr>
          <w:p>
            <w:pPr>
              <w:pStyle w:val="TableParagraph"/>
              <w:tabs>
                <w:tab w:pos="813" w:val="left" w:leader="none"/>
              </w:tabs>
              <w:spacing w:line="240" w:lineRule="auto" w:before="8"/>
              <w:ind w:right="8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86" w:type="dxa"/>
            <w:tcBorders>
              <w:top w:val="nil" w:sz="6" w:space="0" w:color="auto"/>
              <w:left w:val="nil" w:sz="6" w:space="0" w:color="auto"/>
              <w:bottom w:val="nil" w:sz="6" w:space="0" w:color="auto"/>
              <w:right w:val="nil" w:sz="6" w:space="0" w:color="auto"/>
            </w:tcBorders>
          </w:tcPr>
          <w:p>
            <w:pPr>
              <w:pStyle w:val="TableParagraph"/>
              <w:tabs>
                <w:tab w:pos="902" w:val="left" w:leader="none"/>
              </w:tabs>
              <w:spacing w:line="240" w:lineRule="auto" w:before="8"/>
              <w:ind w:right="19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r>
      <w:tr>
        <w:trPr>
          <w:trHeight w:val="432" w:hRule="exact"/>
        </w:trPr>
        <w:tc>
          <w:tcPr>
            <w:tcW w:w="2111" w:type="dxa"/>
            <w:tcBorders>
              <w:top w:val="nil" w:sz="6" w:space="0" w:color="auto"/>
              <w:left w:val="nil" w:sz="6" w:space="0" w:color="auto"/>
              <w:bottom w:val="nil" w:sz="6" w:space="0" w:color="auto"/>
              <w:right w:val="nil" w:sz="6" w:space="0" w:color="auto"/>
            </w:tcBorders>
          </w:tcPr>
          <w:p>
            <w:pPr>
              <w:pStyle w:val="TableParagraph"/>
              <w:spacing w:line="240" w:lineRule="auto" w:before="71"/>
              <w:ind w:left="200" w:right="0"/>
              <w:jc w:val="left"/>
              <w:rPr>
                <w:rFonts w:ascii="黑体" w:hAnsi="黑体" w:cs="黑体" w:eastAsia="黑体" w:hint="default"/>
                <w:sz w:val="18"/>
                <w:szCs w:val="18"/>
              </w:rPr>
            </w:pPr>
            <w:r>
              <w:rPr>
                <w:rFonts w:ascii="黑体" w:hAnsi="黑体" w:cs="黑体" w:eastAsia="黑体" w:hint="default"/>
                <w:sz w:val="18"/>
                <w:szCs w:val="18"/>
              </w:rPr>
              <w:t>小计</w:t>
            </w: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23"/>
              <w:jc w:val="right"/>
              <w:rPr>
                <w:rFonts w:ascii="Arial" w:hAnsi="Arial" w:cs="Arial" w:eastAsia="Arial" w:hint="default"/>
                <w:sz w:val="18"/>
                <w:szCs w:val="18"/>
              </w:rPr>
            </w:pPr>
            <w:r>
              <w:rPr>
                <w:rFonts w:ascii="Arial"/>
                <w:w w:val="100"/>
                <w:sz w:val="18"/>
              </w:rPr>
            </w:r>
            <w:r>
              <w:rPr>
                <w:rFonts w:ascii="Arial"/>
                <w:spacing w:val="-1"/>
                <w:sz w:val="18"/>
                <w:u w:val="single" w:color="000000"/>
              </w:rPr>
              <w:t>1,916,498,859</w:t>
            </w:r>
            <w:r>
              <w:rPr>
                <w:rFonts w:ascii="Arial"/>
                <w:spacing w:val="-1"/>
                <w:sz w:val="18"/>
              </w:rPr>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16"/>
              <w:jc w:val="right"/>
              <w:rPr>
                <w:rFonts w:ascii="Arial" w:hAnsi="Arial" w:cs="Arial" w:eastAsia="Arial" w:hint="default"/>
                <w:sz w:val="18"/>
                <w:szCs w:val="18"/>
              </w:rPr>
            </w:pPr>
            <w:r>
              <w:rPr>
                <w:rFonts w:ascii="Arial"/>
                <w:w w:val="100"/>
                <w:sz w:val="18"/>
              </w:rPr>
            </w:r>
            <w:r>
              <w:rPr>
                <w:rFonts w:ascii="Arial"/>
                <w:spacing w:val="-1"/>
                <w:sz w:val="18"/>
                <w:u w:val="single" w:color="000000"/>
              </w:rPr>
              <w:t>1,869,961,860</w:t>
            </w:r>
            <w:r>
              <w:rPr>
                <w:rFonts w:ascii="Arial"/>
                <w:spacing w:val="-1"/>
                <w:sz w:val="18"/>
              </w:rPr>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39"/>
              <w:jc w:val="right"/>
              <w:rPr>
                <w:rFonts w:ascii="Arial" w:hAnsi="Arial" w:cs="Arial" w:eastAsia="Arial" w:hint="default"/>
                <w:sz w:val="18"/>
                <w:szCs w:val="18"/>
              </w:rPr>
            </w:pPr>
            <w:r>
              <w:rPr>
                <w:rFonts w:ascii="Arial"/>
                <w:w w:val="99"/>
                <w:sz w:val="18"/>
              </w:rPr>
            </w:r>
            <w:r>
              <w:rPr>
                <w:rFonts w:ascii="Arial"/>
                <w:spacing w:val="-1"/>
                <w:sz w:val="18"/>
                <w:u w:val="single" w:color="000000"/>
              </w:rPr>
              <w:t>46,536,999</w:t>
            </w:r>
            <w:r>
              <w:rPr>
                <w:rFonts w:ascii="Arial"/>
                <w:spacing w:val="-1"/>
                <w:sz w:val="18"/>
              </w:rPr>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47"/>
              <w:jc w:val="right"/>
              <w:rPr>
                <w:rFonts w:ascii="Arial" w:hAnsi="Arial" w:cs="Arial" w:eastAsia="Arial" w:hint="default"/>
                <w:sz w:val="18"/>
                <w:szCs w:val="18"/>
              </w:rPr>
            </w:pPr>
            <w:r>
              <w:rPr>
                <w:rFonts w:ascii="Arial"/>
                <w:w w:val="100"/>
                <w:sz w:val="18"/>
              </w:rPr>
            </w:r>
            <w:r>
              <w:rPr>
                <w:rFonts w:ascii="Arial"/>
                <w:spacing w:val="-1"/>
                <w:sz w:val="18"/>
                <w:u w:val="single" w:color="000000"/>
              </w:rPr>
              <w:t>1,916,498,859</w:t>
            </w:r>
            <w:r>
              <w:rPr>
                <w:rFonts w:ascii="Arial"/>
                <w:spacing w:val="-1"/>
                <w:sz w:val="18"/>
              </w:rPr>
            </w:r>
          </w:p>
        </w:tc>
        <w:tc>
          <w:tcPr>
            <w:tcW w:w="1023" w:type="dxa"/>
            <w:tcBorders>
              <w:top w:val="nil" w:sz="6" w:space="0" w:color="auto"/>
              <w:left w:val="nil" w:sz="6" w:space="0" w:color="auto"/>
              <w:bottom w:val="nil" w:sz="6" w:space="0" w:color="auto"/>
              <w:right w:val="nil" w:sz="6" w:space="0" w:color="auto"/>
            </w:tcBorders>
          </w:tcPr>
          <w:p>
            <w:pPr/>
          </w:p>
        </w:tc>
        <w:tc>
          <w:tcPr>
            <w:tcW w:w="22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2"/>
              <w:ind w:left="1089" w:right="0"/>
              <w:jc w:val="left"/>
              <w:rPr>
                <w:rFonts w:ascii="Arial" w:hAnsi="Arial" w:cs="Arial" w:eastAsia="Arial" w:hint="default"/>
                <w:sz w:val="18"/>
                <w:szCs w:val="18"/>
              </w:rPr>
            </w:pPr>
            <w:r>
              <w:rPr>
                <w:rFonts w:ascii="Arial"/>
                <w:sz w:val="18"/>
              </w:rPr>
              <w:t>(</w:t>
            </w:r>
            <w:r>
              <w:rPr>
                <w:rFonts w:ascii="Arial"/>
                <w:sz w:val="18"/>
                <w:u w:val="single" w:color="000000"/>
              </w:rPr>
              <w:t>16,682,955</w:t>
            </w:r>
            <w:r>
              <w:rPr>
                <w:rFonts w:ascii="Arial"/>
                <w:sz w:val="18"/>
              </w:rPr>
              <w:t>)</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82"/>
              <w:jc w:val="right"/>
              <w:rPr>
                <w:rFonts w:ascii="Arial" w:hAnsi="Arial" w:cs="Arial" w:eastAsia="Arial" w:hint="default"/>
                <w:sz w:val="18"/>
                <w:szCs w:val="18"/>
              </w:rPr>
            </w:pPr>
            <w:r>
              <w:rPr>
                <w:rFonts w:ascii="Arial"/>
                <w:spacing w:val="-1"/>
                <w:sz w:val="18"/>
              </w:rPr>
              <w:t>(</w:t>
            </w:r>
            <w:r>
              <w:rPr>
                <w:rFonts w:ascii="Arial"/>
                <w:spacing w:val="-1"/>
                <w:sz w:val="18"/>
                <w:u w:val="single" w:color="000000"/>
              </w:rPr>
              <w:t>10,000,000</w:t>
            </w:r>
            <w:r>
              <w:rPr>
                <w:rFonts w:ascii="Arial"/>
                <w:spacing w:val="-1"/>
                <w:sz w:val="18"/>
              </w:rPr>
              <w:t>)</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8"/>
              <w:jc w:val="right"/>
              <w:rPr>
                <w:rFonts w:ascii="Arial" w:hAnsi="Arial" w:cs="Arial" w:eastAsia="Arial" w:hint="default"/>
                <w:sz w:val="18"/>
                <w:szCs w:val="18"/>
              </w:rPr>
            </w:pPr>
            <w:r>
              <w:rPr>
                <w:rFonts w:ascii="Arial"/>
                <w:w w:val="99"/>
                <w:sz w:val="18"/>
              </w:rPr>
            </w:r>
            <w:r>
              <w:rPr>
                <w:rFonts w:ascii="Arial"/>
                <w:spacing w:val="-1"/>
                <w:sz w:val="18"/>
                <w:u w:val="single" w:color="000000"/>
              </w:rPr>
              <w:t>89,554,157</w:t>
            </w:r>
            <w:r>
              <w:rPr>
                <w:rFonts w:ascii="Arial"/>
                <w:spacing w:val="-1"/>
                <w:sz w:val="18"/>
              </w:rPr>
            </w:r>
          </w:p>
        </w:tc>
      </w:tr>
      <w:tr>
        <w:trPr>
          <w:trHeight w:val="296" w:hRule="exact"/>
        </w:trPr>
        <w:tc>
          <w:tcPr>
            <w:tcW w:w="2111" w:type="dxa"/>
            <w:tcBorders>
              <w:top w:val="nil" w:sz="6" w:space="0" w:color="auto"/>
              <w:left w:val="nil" w:sz="6" w:space="0" w:color="auto"/>
              <w:bottom w:val="nil" w:sz="6" w:space="0" w:color="auto"/>
              <w:right w:val="nil" w:sz="6" w:space="0" w:color="auto"/>
            </w:tcBorders>
          </w:tcPr>
          <w:p>
            <w:pPr/>
          </w:p>
        </w:tc>
        <w:tc>
          <w:tcPr>
            <w:tcW w:w="207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23"/>
              <w:jc w:val="right"/>
              <w:rPr>
                <w:rFonts w:ascii="Arial" w:hAnsi="Arial" w:cs="Arial" w:eastAsia="Arial" w:hint="default"/>
                <w:sz w:val="18"/>
                <w:szCs w:val="18"/>
              </w:rPr>
            </w:pPr>
            <w:r>
              <w:rPr>
                <w:rFonts w:ascii="Arial"/>
                <w:w w:val="100"/>
                <w:sz w:val="18"/>
              </w:rPr>
            </w:r>
            <w:r>
              <w:rPr>
                <w:rFonts w:ascii="Arial"/>
                <w:spacing w:val="-1"/>
                <w:sz w:val="18"/>
                <w:u w:val="thick" w:color="000000"/>
              </w:rPr>
              <w:t>2,004,339,751</w:t>
            </w:r>
            <w:r>
              <w:rPr>
                <w:rFonts w:ascii="Arial"/>
                <w:spacing w:val="-1"/>
                <w:sz w:val="18"/>
              </w:rPr>
            </w: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16"/>
              <w:jc w:val="right"/>
              <w:rPr>
                <w:rFonts w:ascii="Arial" w:hAnsi="Arial" w:cs="Arial" w:eastAsia="Arial" w:hint="default"/>
                <w:sz w:val="18"/>
                <w:szCs w:val="18"/>
              </w:rPr>
            </w:pPr>
            <w:r>
              <w:rPr>
                <w:rFonts w:ascii="Arial"/>
                <w:w w:val="100"/>
                <w:sz w:val="18"/>
              </w:rPr>
            </w:r>
            <w:r>
              <w:rPr>
                <w:rFonts w:ascii="Arial"/>
                <w:spacing w:val="-1"/>
                <w:sz w:val="18"/>
                <w:u w:val="thick" w:color="000000"/>
              </w:rPr>
              <w:t>1,985,924,888</w:t>
            </w:r>
            <w:r>
              <w:rPr>
                <w:rFonts w:ascii="Arial"/>
                <w:spacing w:val="-1"/>
                <w:sz w:val="18"/>
              </w:rPr>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39"/>
              <w:jc w:val="right"/>
              <w:rPr>
                <w:rFonts w:ascii="Arial" w:hAnsi="Arial" w:cs="Arial" w:eastAsia="Arial" w:hint="default"/>
                <w:sz w:val="18"/>
                <w:szCs w:val="18"/>
              </w:rPr>
            </w:pPr>
            <w:r>
              <w:rPr>
                <w:rFonts w:ascii="Arial"/>
                <w:w w:val="99"/>
                <w:sz w:val="18"/>
              </w:rPr>
            </w:r>
            <w:r>
              <w:rPr>
                <w:rFonts w:ascii="Arial"/>
                <w:spacing w:val="-1"/>
                <w:sz w:val="18"/>
                <w:u w:val="thick" w:color="000000"/>
              </w:rPr>
              <w:t>52,513,480</w:t>
            </w:r>
            <w:r>
              <w:rPr>
                <w:rFonts w:ascii="Arial"/>
                <w:spacing w:val="-1"/>
                <w:sz w:val="18"/>
              </w:rPr>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47"/>
              <w:jc w:val="right"/>
              <w:rPr>
                <w:rFonts w:ascii="Arial" w:hAnsi="Arial" w:cs="Arial" w:eastAsia="Arial" w:hint="default"/>
                <w:sz w:val="18"/>
                <w:szCs w:val="18"/>
              </w:rPr>
            </w:pPr>
            <w:r>
              <w:rPr>
                <w:rFonts w:ascii="Arial"/>
                <w:w w:val="100"/>
                <w:sz w:val="18"/>
              </w:rPr>
            </w:r>
            <w:r>
              <w:rPr>
                <w:rFonts w:ascii="Arial"/>
                <w:spacing w:val="-1"/>
                <w:sz w:val="18"/>
                <w:u w:val="thick" w:color="000000"/>
              </w:rPr>
              <w:t>2,038,438,368</w:t>
            </w:r>
            <w:r>
              <w:rPr>
                <w:rFonts w:ascii="Arial"/>
                <w:spacing w:val="-1"/>
                <w:sz w:val="18"/>
              </w:rPr>
            </w:r>
          </w:p>
        </w:tc>
        <w:tc>
          <w:tcPr>
            <w:tcW w:w="1023" w:type="dxa"/>
            <w:tcBorders>
              <w:top w:val="nil" w:sz="6" w:space="0" w:color="auto"/>
              <w:left w:val="nil" w:sz="6" w:space="0" w:color="auto"/>
              <w:bottom w:val="nil" w:sz="6" w:space="0" w:color="auto"/>
              <w:right w:val="nil" w:sz="6" w:space="0" w:color="auto"/>
            </w:tcBorders>
          </w:tcPr>
          <w:p>
            <w:pPr/>
          </w:p>
        </w:tc>
        <w:tc>
          <w:tcPr>
            <w:tcW w:w="228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3"/>
              <w:ind w:left="1089" w:right="0"/>
              <w:jc w:val="left"/>
              <w:rPr>
                <w:rFonts w:ascii="Arial" w:hAnsi="Arial" w:cs="Arial" w:eastAsia="Arial" w:hint="default"/>
                <w:sz w:val="18"/>
                <w:szCs w:val="18"/>
              </w:rPr>
            </w:pPr>
            <w:r>
              <w:rPr>
                <w:rFonts w:ascii="Arial"/>
                <w:sz w:val="18"/>
              </w:rPr>
              <w:t>(</w:t>
            </w:r>
            <w:r>
              <w:rPr>
                <w:rFonts w:ascii="Arial"/>
                <w:sz w:val="18"/>
                <w:u w:val="thick" w:color="000000"/>
              </w:rPr>
              <w:t>16,682,955</w:t>
            </w:r>
            <w:r>
              <w:rPr>
                <w:rFonts w:ascii="Arial"/>
                <w:sz w:val="18"/>
              </w:rPr>
              <w:t>)</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82"/>
              <w:jc w:val="right"/>
              <w:rPr>
                <w:rFonts w:ascii="Arial" w:hAnsi="Arial" w:cs="Arial" w:eastAsia="Arial" w:hint="default"/>
                <w:sz w:val="18"/>
                <w:szCs w:val="18"/>
              </w:rPr>
            </w:pPr>
            <w:r>
              <w:rPr>
                <w:rFonts w:ascii="Arial"/>
                <w:spacing w:val="-1"/>
                <w:sz w:val="18"/>
              </w:rPr>
              <w:t>(</w:t>
            </w:r>
            <w:r>
              <w:rPr>
                <w:rFonts w:ascii="Arial"/>
                <w:spacing w:val="-1"/>
                <w:sz w:val="18"/>
                <w:u w:val="thick" w:color="000000"/>
              </w:rPr>
              <w:t>10,000,000</w:t>
            </w:r>
            <w:r>
              <w:rPr>
                <w:rFonts w:ascii="Arial"/>
                <w:spacing w:val="-1"/>
                <w:sz w:val="18"/>
              </w:rPr>
              <w:t>)</w:t>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98"/>
              <w:jc w:val="right"/>
              <w:rPr>
                <w:rFonts w:ascii="Arial" w:hAnsi="Arial" w:cs="Arial" w:eastAsia="Arial" w:hint="default"/>
                <w:sz w:val="18"/>
                <w:szCs w:val="18"/>
              </w:rPr>
            </w:pPr>
            <w:r>
              <w:rPr>
                <w:rFonts w:ascii="Arial"/>
                <w:w w:val="99"/>
                <w:sz w:val="18"/>
              </w:rPr>
            </w:r>
            <w:r>
              <w:rPr>
                <w:rFonts w:ascii="Arial"/>
                <w:spacing w:val="-1"/>
                <w:sz w:val="18"/>
                <w:u w:val="thick" w:color="000000"/>
              </w:rPr>
              <w:t>93,491,790</w:t>
            </w:r>
            <w:r>
              <w:rPr>
                <w:rFonts w:ascii="Arial"/>
                <w:spacing w:val="-1"/>
                <w:sz w:val="18"/>
              </w:rPr>
            </w:r>
          </w:p>
        </w:tc>
      </w:tr>
    </w:tbl>
    <w:p>
      <w:pPr>
        <w:spacing w:line="240" w:lineRule="auto" w:before="6"/>
        <w:rPr>
          <w:rFonts w:ascii="Arial" w:hAnsi="Arial" w:cs="Arial" w:eastAsia="Arial" w:hint="default"/>
          <w:sz w:val="22"/>
          <w:szCs w:val="22"/>
        </w:rPr>
      </w:pPr>
    </w:p>
    <w:p>
      <w:pPr>
        <w:pStyle w:val="BodyText"/>
        <w:spacing w:line="242" w:lineRule="auto" w:before="37"/>
        <w:ind w:left="899" w:right="11278"/>
        <w:jc w:val="both"/>
      </w:pPr>
      <w:r>
        <w:rPr/>
        <w:t>注</w:t>
      </w:r>
      <w:r>
        <w:rPr>
          <w:rFonts w:ascii="Arial" w:hAnsi="Arial" w:cs="Arial" w:eastAsia="Arial" w:hint="default"/>
        </w:rPr>
        <w:t>1</w:t>
      </w:r>
      <w:r>
        <w:rPr/>
        <w:t>．</w:t>
      </w:r>
      <w:r>
        <w:rPr>
          <w:spacing w:val="6"/>
        </w:rPr>
        <w:t> </w:t>
      </w:r>
      <w:r>
        <w:rPr/>
        <w:t>参见附注四、</w:t>
      </w:r>
      <w:r>
        <w:rPr>
          <w:rFonts w:ascii="Arial" w:hAnsi="Arial" w:cs="Arial" w:eastAsia="Arial" w:hint="default"/>
        </w:rPr>
        <w:t>1</w:t>
      </w:r>
      <w:r>
        <w:rPr/>
        <w:t>、注</w:t>
      </w:r>
      <w:r>
        <w:rPr>
          <w:rFonts w:ascii="Arial" w:hAnsi="Arial" w:cs="Arial" w:eastAsia="Arial" w:hint="default"/>
        </w:rPr>
        <w:t>1</w:t>
      </w:r>
      <w:r>
        <w:rPr/>
        <w:t>。</w:t>
      </w:r>
      <w:r>
        <w:rPr>
          <w:w w:val="99"/>
        </w:rPr>
        <w:t> </w:t>
      </w:r>
      <w:r>
        <w:rPr/>
        <w:t>注</w:t>
      </w:r>
      <w:r>
        <w:rPr>
          <w:rFonts w:ascii="Arial" w:hAnsi="Arial" w:cs="Arial" w:eastAsia="Arial" w:hint="default"/>
        </w:rPr>
        <w:t>2</w:t>
      </w:r>
      <w:r>
        <w:rPr/>
        <w:t>．</w:t>
      </w:r>
      <w:r>
        <w:rPr>
          <w:spacing w:val="6"/>
        </w:rPr>
        <w:t> </w:t>
      </w:r>
      <w:r>
        <w:rPr/>
        <w:t>参见附注四、</w:t>
      </w:r>
      <w:r>
        <w:rPr>
          <w:rFonts w:ascii="Arial" w:hAnsi="Arial" w:cs="Arial" w:eastAsia="Arial" w:hint="default"/>
        </w:rPr>
        <w:t>1</w:t>
      </w:r>
      <w:r>
        <w:rPr/>
        <w:t>、注</w:t>
      </w:r>
      <w:r>
        <w:rPr>
          <w:rFonts w:ascii="Arial" w:hAnsi="Arial" w:cs="Arial" w:eastAsia="Arial" w:hint="default"/>
        </w:rPr>
        <w:t>2</w:t>
      </w:r>
      <w:r>
        <w:rPr/>
        <w:t>。</w:t>
      </w:r>
      <w:r>
        <w:rPr>
          <w:w w:val="99"/>
        </w:rPr>
        <w:t> </w:t>
      </w:r>
      <w:r>
        <w:rPr/>
        <w:t>注</w:t>
      </w:r>
      <w:r>
        <w:rPr>
          <w:rFonts w:ascii="Arial" w:hAnsi="Arial" w:cs="Arial" w:eastAsia="Arial" w:hint="default"/>
        </w:rPr>
        <w:t>3</w:t>
      </w:r>
      <w:r>
        <w:rPr/>
        <w:t>．</w:t>
      </w:r>
      <w:r>
        <w:rPr>
          <w:spacing w:val="6"/>
        </w:rPr>
        <w:t> </w:t>
      </w:r>
      <w:r>
        <w:rPr/>
        <w:t>参见附注四、</w:t>
      </w:r>
      <w:r>
        <w:rPr>
          <w:rFonts w:ascii="Arial" w:hAnsi="Arial" w:cs="Arial" w:eastAsia="Arial" w:hint="default"/>
        </w:rPr>
        <w:t>1</w:t>
      </w:r>
      <w:r>
        <w:rPr/>
        <w:t>、注</w:t>
      </w:r>
      <w:r>
        <w:rPr>
          <w:rFonts w:ascii="Arial" w:hAnsi="Arial" w:cs="Arial" w:eastAsia="Arial" w:hint="default"/>
        </w:rPr>
        <w:t>3</w:t>
      </w:r>
      <w:r>
        <w:rPr/>
        <w:t>。</w:t>
      </w:r>
      <w:r>
        <w:rPr>
          <w:w w:val="99"/>
        </w:rPr>
        <w:t> </w:t>
      </w:r>
      <w:r>
        <w:rPr/>
        <w:t>注</w:t>
      </w:r>
      <w:r>
        <w:rPr>
          <w:rFonts w:ascii="Arial" w:hAnsi="Arial" w:cs="Arial" w:eastAsia="Arial" w:hint="default"/>
        </w:rPr>
        <w:t>4</w:t>
      </w:r>
      <w:r>
        <w:rPr/>
        <w:t>． </w:t>
      </w:r>
      <w:r>
        <w:rPr>
          <w:spacing w:val="5"/>
        </w:rPr>
        <w:t> </w:t>
      </w:r>
      <w:r>
        <w:rPr/>
        <w:t>参见附注四、</w:t>
      </w:r>
      <w:r>
        <w:rPr>
          <w:rFonts w:ascii="Arial" w:hAnsi="Arial" w:cs="Arial" w:eastAsia="Arial" w:hint="default"/>
        </w:rPr>
        <w:t>1</w:t>
      </w:r>
      <w:r>
        <w:rPr/>
        <w:t>、注</w:t>
      </w:r>
      <w:r>
        <w:rPr>
          <w:rFonts w:ascii="Arial" w:hAnsi="Arial" w:cs="Arial" w:eastAsia="Arial" w:hint="default"/>
        </w:rPr>
        <w:t>5</w:t>
      </w:r>
      <w:r>
        <w:rPr/>
        <w:t>。</w:t>
      </w:r>
    </w:p>
    <w:p>
      <w:pPr>
        <w:spacing w:after="0" w:line="242" w:lineRule="auto"/>
        <w:jc w:val="both"/>
        <w:sectPr>
          <w:headerReference w:type="default" r:id="rId73"/>
          <w:pgSz w:w="16850" w:h="11910" w:orient="landscape"/>
          <w:pgMar w:header="957" w:footer="835" w:top="2420" w:bottom="1020" w:left="960" w:right="960"/>
        </w:sectPr>
      </w:pPr>
    </w:p>
    <w:p>
      <w:pPr>
        <w:spacing w:line="240" w:lineRule="auto" w:before="0"/>
        <w:rPr>
          <w:rFonts w:ascii="黑体" w:hAnsi="黑体" w:cs="黑体" w:eastAsia="黑体" w:hint="default"/>
          <w:sz w:val="24"/>
          <w:szCs w:val="24"/>
        </w:rPr>
      </w:pPr>
    </w:p>
    <w:p>
      <w:pPr>
        <w:spacing w:line="20" w:lineRule="exact"/>
        <w:ind w:left="241" w:right="0" w:firstLine="0"/>
        <w:rPr>
          <w:rFonts w:ascii="黑体" w:hAnsi="黑体" w:cs="黑体" w:eastAsia="黑体" w:hint="default"/>
          <w:sz w:val="2"/>
          <w:szCs w:val="2"/>
        </w:rPr>
      </w:pPr>
      <w:r>
        <w:rPr>
          <w:rFonts w:ascii="黑体" w:hAnsi="黑体" w:cs="黑体" w:eastAsia="黑体" w:hint="default"/>
          <w:sz w:val="2"/>
          <w:szCs w:val="2"/>
        </w:rPr>
        <w:pict>
          <v:group style="width:728.85pt;height:.75pt;mso-position-horizontal-relative:char;mso-position-vertical-relative:line" coordorigin="0,0" coordsize="14577,15">
            <v:group style="position:absolute;left:8;top:8;width:14562;height:2" coordorigin="8,8" coordsize="14562,2">
              <v:shape style="position:absolute;left:8;top:8;width:14562;height:2" coordorigin="8,8" coordsize="14562,0" path="m8,8l14570,8e" filled="false" stroked="true" strokeweight=".75pt" strokecolor="#000000">
                <v:path arrowok="t"/>
              </v:shape>
            </v:group>
          </v:group>
        </w:pict>
      </w:r>
      <w:r>
        <w:rPr>
          <w:rFonts w:ascii="黑体" w:hAnsi="黑体" w:cs="黑体" w:eastAsia="黑体" w:hint="default"/>
          <w:sz w:val="2"/>
          <w:szCs w:val="2"/>
        </w:rPr>
      </w:r>
    </w:p>
    <w:p>
      <w:pPr>
        <w:spacing w:line="240" w:lineRule="auto" w:before="5"/>
        <w:rPr>
          <w:rFonts w:ascii="黑体" w:hAnsi="黑体" w:cs="黑体" w:eastAsia="黑体" w:hint="default"/>
          <w:sz w:val="24"/>
          <w:szCs w:val="24"/>
        </w:rPr>
      </w:pPr>
    </w:p>
    <w:p>
      <w:pPr>
        <w:pStyle w:val="Heading6"/>
        <w:spacing w:line="240" w:lineRule="auto"/>
        <w:ind w:left="107" w:right="0"/>
        <w:jc w:val="left"/>
        <w:rPr>
          <w:b w:val="0"/>
          <w:bCs w:val="0"/>
        </w:rPr>
      </w:pPr>
      <w:r>
        <w:rPr/>
        <w:t>十三、公司财务报表主要项目注释（续）</w:t>
      </w:r>
      <w:r>
        <w:rPr>
          <w:b w:val="0"/>
          <w:bCs w:val="0"/>
        </w:rPr>
      </w:r>
    </w:p>
    <w:p>
      <w:pPr>
        <w:spacing w:line="240" w:lineRule="auto" w:before="1"/>
        <w:rPr>
          <w:rFonts w:ascii="黑体" w:hAnsi="黑体" w:cs="黑体" w:eastAsia="黑体" w:hint="default"/>
          <w:b/>
          <w:bCs/>
          <w:sz w:val="23"/>
          <w:szCs w:val="23"/>
        </w:rPr>
      </w:pPr>
    </w:p>
    <w:p>
      <w:pPr>
        <w:pStyle w:val="Heading6"/>
        <w:spacing w:line="240" w:lineRule="auto" w:before="0"/>
        <w:ind w:left="208" w:right="0"/>
        <w:jc w:val="left"/>
        <w:rPr>
          <w:b w:val="0"/>
          <w:bCs w:val="0"/>
        </w:rPr>
      </w:pPr>
      <w:r>
        <w:rPr>
          <w:rFonts w:ascii="Arial" w:hAnsi="Arial" w:cs="Arial" w:eastAsia="Arial" w:hint="default"/>
        </w:rPr>
        <w:t>8.  </w:t>
      </w:r>
      <w:r>
        <w:rPr>
          <w:rFonts w:ascii="Arial" w:hAnsi="Arial" w:cs="Arial" w:eastAsia="Arial" w:hint="default"/>
          <w:spacing w:val="4"/>
        </w:rPr>
        <w:t> </w:t>
      </w:r>
      <w:r>
        <w:rPr/>
        <w:t>长期股权投资（续）</w:t>
      </w:r>
      <w:r>
        <w:rPr>
          <w:b w:val="0"/>
          <w:bCs w:val="0"/>
        </w:rPr>
      </w:r>
    </w:p>
    <w:p>
      <w:pPr>
        <w:pStyle w:val="BodyText"/>
        <w:spacing w:line="240" w:lineRule="auto" w:before="84"/>
        <w:ind w:left="566" w:right="0"/>
        <w:jc w:val="left"/>
      </w:pPr>
      <w:r>
        <w:rPr>
          <w:rFonts w:ascii="Arial" w:hAnsi="Arial" w:cs="Arial" w:eastAsia="Arial" w:hint="default"/>
        </w:rPr>
        <w:t>2011</w:t>
      </w:r>
      <w:r>
        <w:rPr/>
        <w:t>年</w:t>
      </w:r>
    </w:p>
    <w:p>
      <w:pPr>
        <w:spacing w:line="240" w:lineRule="auto" w:before="3"/>
        <w:rPr>
          <w:rFonts w:ascii="黑体" w:hAnsi="黑体" w:cs="黑体" w:eastAsia="黑体" w:hint="default"/>
          <w:sz w:val="8"/>
          <w:szCs w:val="8"/>
        </w:rPr>
      </w:pPr>
    </w:p>
    <w:tbl>
      <w:tblPr>
        <w:tblW w:w="0" w:type="auto"/>
        <w:jc w:val="left"/>
        <w:tblInd w:w="352" w:type="dxa"/>
        <w:tblLayout w:type="fixed"/>
        <w:tblCellMar>
          <w:top w:w="0" w:type="dxa"/>
          <w:left w:w="0" w:type="dxa"/>
          <w:bottom w:w="0" w:type="dxa"/>
          <w:right w:w="0" w:type="dxa"/>
        </w:tblCellMar>
        <w:tblLook w:val="01E0"/>
      </w:tblPr>
      <w:tblGrid>
        <w:gridCol w:w="3754"/>
        <w:gridCol w:w="1381"/>
        <w:gridCol w:w="1192"/>
        <w:gridCol w:w="1112"/>
        <w:gridCol w:w="257"/>
        <w:gridCol w:w="1242"/>
        <w:gridCol w:w="893"/>
        <w:gridCol w:w="1176"/>
        <w:gridCol w:w="1164"/>
        <w:gridCol w:w="1260"/>
        <w:gridCol w:w="1155"/>
      </w:tblGrid>
      <w:tr>
        <w:trPr>
          <w:trHeight w:val="217" w:hRule="exact"/>
        </w:trPr>
        <w:tc>
          <w:tcPr>
            <w:tcW w:w="3754"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Style w:val="TableParagraph"/>
              <w:spacing w:line="180" w:lineRule="exact"/>
              <w:ind w:right="71"/>
              <w:jc w:val="right"/>
              <w:rPr>
                <w:rFonts w:ascii="黑体" w:hAnsi="黑体" w:cs="黑体" w:eastAsia="黑体" w:hint="default"/>
                <w:sz w:val="18"/>
                <w:szCs w:val="18"/>
              </w:rPr>
            </w:pPr>
            <w:r>
              <w:rPr>
                <w:rFonts w:ascii="黑体" w:hAnsi="黑体" w:cs="黑体" w:eastAsia="黑体" w:hint="default"/>
                <w:sz w:val="18"/>
                <w:szCs w:val="18"/>
              </w:rPr>
              <w:t>投资成本</w:t>
            </w:r>
          </w:p>
        </w:tc>
        <w:tc>
          <w:tcPr>
            <w:tcW w:w="1192" w:type="dxa"/>
            <w:tcBorders>
              <w:top w:val="nil" w:sz="6" w:space="0" w:color="auto"/>
              <w:left w:val="nil" w:sz="6" w:space="0" w:color="auto"/>
              <w:bottom w:val="nil" w:sz="6" w:space="0" w:color="auto"/>
              <w:right w:val="nil" w:sz="6" w:space="0" w:color="auto"/>
            </w:tcBorders>
          </w:tcPr>
          <w:p>
            <w:pPr>
              <w:pStyle w:val="TableParagraph"/>
              <w:spacing w:line="180" w:lineRule="exact"/>
              <w:ind w:right="218"/>
              <w:jc w:val="right"/>
              <w:rPr>
                <w:rFonts w:ascii="黑体" w:hAnsi="黑体" w:cs="黑体" w:eastAsia="黑体" w:hint="default"/>
                <w:sz w:val="18"/>
                <w:szCs w:val="18"/>
              </w:rPr>
            </w:pPr>
            <w:r>
              <w:rPr>
                <w:rFonts w:ascii="黑体" w:hAnsi="黑体" w:cs="黑体" w:eastAsia="黑体" w:hint="default"/>
                <w:sz w:val="18"/>
                <w:szCs w:val="18"/>
              </w:rPr>
              <w:t>年初数</w:t>
            </w:r>
          </w:p>
        </w:tc>
        <w:tc>
          <w:tcPr>
            <w:tcW w:w="1112" w:type="dxa"/>
            <w:tcBorders>
              <w:top w:val="nil" w:sz="6" w:space="0" w:color="auto"/>
              <w:left w:val="nil" w:sz="6" w:space="0" w:color="auto"/>
              <w:bottom w:val="nil" w:sz="6" w:space="0" w:color="auto"/>
              <w:right w:val="nil" w:sz="6" w:space="0" w:color="auto"/>
            </w:tcBorders>
          </w:tcPr>
          <w:p>
            <w:pPr>
              <w:pStyle w:val="TableParagraph"/>
              <w:spacing w:line="180" w:lineRule="exact"/>
              <w:ind w:right="11"/>
              <w:jc w:val="right"/>
              <w:rPr>
                <w:rFonts w:ascii="黑体" w:hAnsi="黑体" w:cs="黑体" w:eastAsia="黑体" w:hint="default"/>
                <w:sz w:val="18"/>
                <w:szCs w:val="18"/>
              </w:rPr>
            </w:pPr>
            <w:r>
              <w:rPr>
                <w:rFonts w:ascii="黑体" w:hAnsi="黑体" w:cs="黑体" w:eastAsia="黑体" w:hint="default"/>
                <w:sz w:val="18"/>
                <w:szCs w:val="18"/>
              </w:rPr>
              <w:t>本年增减</w:t>
            </w:r>
          </w:p>
        </w:tc>
        <w:tc>
          <w:tcPr>
            <w:tcW w:w="257"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Style w:val="TableParagraph"/>
              <w:spacing w:line="180" w:lineRule="exact"/>
              <w:ind w:right="94"/>
              <w:jc w:val="right"/>
              <w:rPr>
                <w:rFonts w:ascii="黑体" w:hAnsi="黑体" w:cs="黑体" w:eastAsia="黑体" w:hint="default"/>
                <w:sz w:val="18"/>
                <w:szCs w:val="18"/>
              </w:rPr>
            </w:pPr>
            <w:r>
              <w:rPr>
                <w:rFonts w:ascii="黑体" w:hAnsi="黑体" w:cs="黑体" w:eastAsia="黑体" w:hint="default"/>
                <w:sz w:val="18"/>
                <w:szCs w:val="18"/>
              </w:rPr>
              <w:t>年末数</w:t>
            </w:r>
          </w:p>
        </w:tc>
        <w:tc>
          <w:tcPr>
            <w:tcW w:w="893" w:type="dxa"/>
            <w:tcBorders>
              <w:top w:val="nil" w:sz="6" w:space="0" w:color="auto"/>
              <w:left w:val="nil" w:sz="6" w:space="0" w:color="auto"/>
              <w:bottom w:val="nil" w:sz="6" w:space="0" w:color="auto"/>
              <w:right w:val="nil" w:sz="6" w:space="0" w:color="auto"/>
            </w:tcBorders>
          </w:tcPr>
          <w:p>
            <w:pPr>
              <w:pStyle w:val="TableParagraph"/>
              <w:spacing w:line="180" w:lineRule="exact"/>
              <w:ind w:right="77"/>
              <w:jc w:val="right"/>
              <w:rPr>
                <w:rFonts w:ascii="黑体" w:hAnsi="黑体" w:cs="黑体" w:eastAsia="黑体" w:hint="default"/>
                <w:sz w:val="18"/>
                <w:szCs w:val="18"/>
              </w:rPr>
            </w:pPr>
            <w:r>
              <w:rPr>
                <w:rFonts w:ascii="黑体" w:hAnsi="黑体" w:cs="黑体" w:eastAsia="黑体" w:hint="default"/>
                <w:sz w:val="18"/>
                <w:szCs w:val="18"/>
              </w:rPr>
              <w:t>持股比例</w:t>
            </w:r>
          </w:p>
        </w:tc>
        <w:tc>
          <w:tcPr>
            <w:tcW w:w="1176" w:type="dxa"/>
            <w:tcBorders>
              <w:top w:val="nil" w:sz="6" w:space="0" w:color="auto"/>
              <w:left w:val="nil" w:sz="6" w:space="0" w:color="auto"/>
              <w:bottom w:val="nil" w:sz="6" w:space="0" w:color="auto"/>
              <w:right w:val="nil" w:sz="6" w:space="0" w:color="auto"/>
            </w:tcBorders>
          </w:tcPr>
          <w:p>
            <w:pPr>
              <w:pStyle w:val="TableParagraph"/>
              <w:spacing w:line="180" w:lineRule="exact"/>
              <w:ind w:right="197"/>
              <w:jc w:val="right"/>
              <w:rPr>
                <w:rFonts w:ascii="黑体" w:hAnsi="黑体" w:cs="黑体" w:eastAsia="黑体" w:hint="default"/>
                <w:sz w:val="18"/>
                <w:szCs w:val="18"/>
              </w:rPr>
            </w:pPr>
            <w:r>
              <w:rPr>
                <w:rFonts w:ascii="黑体" w:hAnsi="黑体" w:cs="黑体" w:eastAsia="黑体" w:hint="default"/>
                <w:sz w:val="18"/>
                <w:szCs w:val="18"/>
              </w:rPr>
              <w:t>表决权比例</w:t>
            </w:r>
          </w:p>
        </w:tc>
        <w:tc>
          <w:tcPr>
            <w:tcW w:w="1164" w:type="dxa"/>
            <w:tcBorders>
              <w:top w:val="nil" w:sz="6" w:space="0" w:color="auto"/>
              <w:left w:val="nil" w:sz="6" w:space="0" w:color="auto"/>
              <w:bottom w:val="nil" w:sz="6" w:space="0" w:color="auto"/>
              <w:right w:val="nil" w:sz="6" w:space="0" w:color="auto"/>
            </w:tcBorders>
          </w:tcPr>
          <w:p>
            <w:pPr>
              <w:pStyle w:val="TableParagraph"/>
              <w:spacing w:line="180" w:lineRule="exact"/>
              <w:ind w:right="250"/>
              <w:jc w:val="right"/>
              <w:rPr>
                <w:rFonts w:ascii="黑体" w:hAnsi="黑体" w:cs="黑体" w:eastAsia="黑体" w:hint="default"/>
                <w:sz w:val="18"/>
                <w:szCs w:val="18"/>
              </w:rPr>
            </w:pPr>
            <w:r>
              <w:rPr>
                <w:rFonts w:ascii="黑体" w:hAnsi="黑体" w:cs="黑体" w:eastAsia="黑体" w:hint="default"/>
                <w:sz w:val="18"/>
                <w:szCs w:val="18"/>
              </w:rPr>
              <w:t>减值准备</w:t>
            </w:r>
          </w:p>
        </w:tc>
        <w:tc>
          <w:tcPr>
            <w:tcW w:w="1260" w:type="dxa"/>
            <w:tcBorders>
              <w:top w:val="nil" w:sz="6" w:space="0" w:color="auto"/>
              <w:left w:val="nil" w:sz="6" w:space="0" w:color="auto"/>
              <w:bottom w:val="nil" w:sz="6" w:space="0" w:color="auto"/>
              <w:right w:val="nil" w:sz="6" w:space="0" w:color="auto"/>
            </w:tcBorders>
          </w:tcPr>
          <w:p>
            <w:pPr>
              <w:pStyle w:val="TableParagraph"/>
              <w:spacing w:line="180" w:lineRule="exact"/>
              <w:ind w:right="149"/>
              <w:jc w:val="right"/>
              <w:rPr>
                <w:rFonts w:ascii="黑体" w:hAnsi="黑体" w:cs="黑体" w:eastAsia="黑体" w:hint="default"/>
                <w:sz w:val="18"/>
                <w:szCs w:val="18"/>
              </w:rPr>
            </w:pPr>
            <w:r>
              <w:rPr>
                <w:rFonts w:ascii="黑体" w:hAnsi="黑体" w:cs="黑体" w:eastAsia="黑体" w:hint="default"/>
                <w:sz w:val="18"/>
                <w:szCs w:val="18"/>
              </w:rPr>
              <w:t>本年转销</w:t>
            </w:r>
          </w:p>
        </w:tc>
        <w:tc>
          <w:tcPr>
            <w:tcW w:w="1155" w:type="dxa"/>
            <w:tcBorders>
              <w:top w:val="nil" w:sz="6" w:space="0" w:color="auto"/>
              <w:left w:val="nil" w:sz="6" w:space="0" w:color="auto"/>
              <w:bottom w:val="nil" w:sz="6" w:space="0" w:color="auto"/>
              <w:right w:val="nil" w:sz="6" w:space="0" w:color="auto"/>
            </w:tcBorders>
          </w:tcPr>
          <w:p>
            <w:pPr>
              <w:pStyle w:val="TableParagraph"/>
              <w:spacing w:line="180" w:lineRule="exact"/>
              <w:ind w:right="200"/>
              <w:jc w:val="right"/>
              <w:rPr>
                <w:rFonts w:ascii="黑体" w:hAnsi="黑体" w:cs="黑体" w:eastAsia="黑体" w:hint="default"/>
                <w:sz w:val="18"/>
                <w:szCs w:val="18"/>
              </w:rPr>
            </w:pPr>
            <w:r>
              <w:rPr>
                <w:rFonts w:ascii="黑体" w:hAnsi="黑体" w:cs="黑体" w:eastAsia="黑体" w:hint="default"/>
                <w:sz w:val="18"/>
                <w:szCs w:val="18"/>
              </w:rPr>
              <w:t>本年</w:t>
            </w:r>
          </w:p>
        </w:tc>
      </w:tr>
      <w:tr>
        <w:trPr>
          <w:trHeight w:val="260" w:hRule="exact"/>
        </w:trPr>
        <w:tc>
          <w:tcPr>
            <w:tcW w:w="3754"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77"/>
              <w:jc w:val="right"/>
              <w:rPr>
                <w:rFonts w:ascii="Arial" w:hAnsi="Arial" w:cs="Arial" w:eastAsia="Arial" w:hint="default"/>
                <w:sz w:val="18"/>
                <w:szCs w:val="18"/>
              </w:rPr>
            </w:pPr>
            <w:r>
              <w:rPr>
                <w:rFonts w:ascii="Arial"/>
                <w:w w:val="95"/>
                <w:sz w:val="18"/>
              </w:rPr>
              <w:t>(%)</w:t>
            </w:r>
            <w:r>
              <w:rPr>
                <w:rFonts w:ascii="Arial"/>
                <w:sz w:val="18"/>
              </w:rPr>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97"/>
              <w:jc w:val="right"/>
              <w:rPr>
                <w:rFonts w:ascii="Arial" w:hAnsi="Arial" w:cs="Arial" w:eastAsia="Arial" w:hint="default"/>
                <w:sz w:val="18"/>
                <w:szCs w:val="18"/>
              </w:rPr>
            </w:pPr>
            <w:r>
              <w:rPr>
                <w:rFonts w:ascii="Arial"/>
                <w:w w:val="95"/>
                <w:sz w:val="18"/>
              </w:rPr>
              <w:t>(%)</w:t>
            </w:r>
            <w:r>
              <w:rPr>
                <w:rFonts w:ascii="Arial"/>
                <w:sz w:val="18"/>
              </w:rPr>
            </w:r>
          </w:p>
        </w:tc>
        <w:tc>
          <w:tcPr>
            <w:tcW w:w="1164"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Style w:val="TableParagraph"/>
              <w:spacing w:line="217" w:lineRule="exact"/>
              <w:ind w:right="149"/>
              <w:jc w:val="right"/>
              <w:rPr>
                <w:rFonts w:ascii="黑体" w:hAnsi="黑体" w:cs="黑体" w:eastAsia="黑体" w:hint="default"/>
                <w:sz w:val="18"/>
                <w:szCs w:val="18"/>
              </w:rPr>
            </w:pPr>
            <w:r>
              <w:rPr>
                <w:rFonts w:ascii="黑体" w:hAnsi="黑体" w:cs="黑体" w:eastAsia="黑体" w:hint="default"/>
                <w:sz w:val="18"/>
                <w:szCs w:val="18"/>
              </w:rPr>
              <w:t>减值准备</w:t>
            </w:r>
          </w:p>
        </w:tc>
        <w:tc>
          <w:tcPr>
            <w:tcW w:w="1155" w:type="dxa"/>
            <w:tcBorders>
              <w:top w:val="nil" w:sz="6" w:space="0" w:color="auto"/>
              <w:left w:val="nil" w:sz="6" w:space="0" w:color="auto"/>
              <w:bottom w:val="nil" w:sz="6" w:space="0" w:color="auto"/>
              <w:right w:val="nil" w:sz="6" w:space="0" w:color="auto"/>
            </w:tcBorders>
          </w:tcPr>
          <w:p>
            <w:pPr>
              <w:pStyle w:val="TableParagraph"/>
              <w:spacing w:line="217" w:lineRule="exact"/>
              <w:ind w:right="200"/>
              <w:jc w:val="right"/>
              <w:rPr>
                <w:rFonts w:ascii="黑体" w:hAnsi="黑体" w:cs="黑体" w:eastAsia="黑体" w:hint="default"/>
                <w:sz w:val="18"/>
                <w:szCs w:val="18"/>
              </w:rPr>
            </w:pPr>
            <w:r>
              <w:rPr>
                <w:rFonts w:ascii="黑体" w:hAnsi="黑体" w:cs="黑体" w:eastAsia="黑体" w:hint="default"/>
                <w:sz w:val="18"/>
                <w:szCs w:val="18"/>
              </w:rPr>
              <w:t>现金红利</w:t>
            </w:r>
          </w:p>
        </w:tc>
      </w:tr>
      <w:tr>
        <w:trPr>
          <w:trHeight w:val="251" w:hRule="exact"/>
        </w:trPr>
        <w:tc>
          <w:tcPr>
            <w:tcW w:w="3754" w:type="dxa"/>
            <w:tcBorders>
              <w:top w:val="nil" w:sz="6" w:space="0" w:color="auto"/>
              <w:left w:val="nil" w:sz="6" w:space="0" w:color="auto"/>
              <w:bottom w:val="nil" w:sz="6" w:space="0" w:color="auto"/>
              <w:right w:val="nil" w:sz="6" w:space="0" w:color="auto"/>
            </w:tcBorders>
          </w:tcPr>
          <w:p>
            <w:pPr>
              <w:pStyle w:val="TableParagraph"/>
              <w:spacing w:line="214" w:lineRule="exact"/>
              <w:ind w:left="200" w:right="0"/>
              <w:jc w:val="left"/>
              <w:rPr>
                <w:rFonts w:ascii="黑体" w:hAnsi="黑体" w:cs="黑体" w:eastAsia="黑体" w:hint="default"/>
                <w:sz w:val="18"/>
                <w:szCs w:val="18"/>
              </w:rPr>
            </w:pPr>
            <w:r>
              <w:rPr>
                <w:rFonts w:ascii="黑体" w:hAnsi="黑体" w:cs="黑体" w:eastAsia="黑体" w:hint="default"/>
                <w:sz w:val="18"/>
                <w:szCs w:val="18"/>
              </w:rPr>
              <w:t>权益法：</w:t>
            </w:r>
          </w:p>
        </w:tc>
        <w:tc>
          <w:tcPr>
            <w:tcW w:w="1381"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
        </w:tc>
        <w:tc>
          <w:tcPr>
            <w:tcW w:w="893"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r>
      <w:tr>
        <w:trPr>
          <w:trHeight w:val="254" w:hRule="exact"/>
        </w:trPr>
        <w:tc>
          <w:tcPr>
            <w:tcW w:w="3754" w:type="dxa"/>
            <w:tcBorders>
              <w:top w:val="nil" w:sz="6" w:space="0" w:color="auto"/>
              <w:left w:val="nil" w:sz="6" w:space="0" w:color="auto"/>
              <w:bottom w:val="nil" w:sz="6" w:space="0" w:color="auto"/>
              <w:right w:val="nil" w:sz="6" w:space="0" w:color="auto"/>
            </w:tcBorders>
          </w:tcPr>
          <w:p>
            <w:pPr>
              <w:pStyle w:val="TableParagraph"/>
              <w:spacing w:line="217" w:lineRule="exact"/>
              <w:ind w:left="389" w:right="0"/>
              <w:jc w:val="left"/>
              <w:rPr>
                <w:rFonts w:ascii="黑体" w:hAnsi="黑体" w:cs="黑体" w:eastAsia="黑体" w:hint="default"/>
                <w:sz w:val="18"/>
                <w:szCs w:val="18"/>
              </w:rPr>
            </w:pPr>
            <w:r>
              <w:rPr>
                <w:rFonts w:ascii="黑体" w:hAnsi="黑体" w:cs="黑体" w:eastAsia="黑体" w:hint="default"/>
                <w:sz w:val="18"/>
                <w:szCs w:val="18"/>
              </w:rPr>
              <w:t>联营企业</w:t>
            </w:r>
          </w:p>
        </w:tc>
        <w:tc>
          <w:tcPr>
            <w:tcW w:w="1381"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
        </w:tc>
        <w:tc>
          <w:tcPr>
            <w:tcW w:w="893"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r>
      <w:tr>
        <w:trPr>
          <w:trHeight w:val="259" w:hRule="exact"/>
        </w:trPr>
        <w:tc>
          <w:tcPr>
            <w:tcW w:w="3754" w:type="dxa"/>
            <w:tcBorders>
              <w:top w:val="nil" w:sz="6" w:space="0" w:color="auto"/>
              <w:left w:val="nil" w:sz="6" w:space="0" w:color="auto"/>
              <w:bottom w:val="nil" w:sz="6" w:space="0" w:color="auto"/>
              <w:right w:val="nil" w:sz="6" w:space="0" w:color="auto"/>
            </w:tcBorders>
          </w:tcPr>
          <w:p>
            <w:pPr>
              <w:pStyle w:val="TableParagraph"/>
              <w:spacing w:line="217" w:lineRule="exact"/>
              <w:ind w:left="389" w:right="0"/>
              <w:jc w:val="left"/>
              <w:rPr>
                <w:rFonts w:ascii="黑体" w:hAnsi="黑体" w:cs="黑体" w:eastAsia="黑体" w:hint="default"/>
                <w:sz w:val="18"/>
                <w:szCs w:val="18"/>
              </w:rPr>
            </w:pPr>
            <w:r>
              <w:rPr>
                <w:rFonts w:ascii="黑体" w:hAnsi="黑体" w:cs="黑体" w:eastAsia="黑体" w:hint="default"/>
                <w:sz w:val="18"/>
                <w:szCs w:val="18"/>
              </w:rPr>
              <w:t>致远协创</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69"/>
              <w:jc w:val="right"/>
              <w:rPr>
                <w:rFonts w:ascii="Arial" w:hAnsi="Arial" w:cs="Arial" w:eastAsia="Arial" w:hint="default"/>
                <w:sz w:val="18"/>
                <w:szCs w:val="18"/>
              </w:rPr>
            </w:pPr>
            <w:r>
              <w:rPr>
                <w:rFonts w:ascii="Arial"/>
                <w:spacing w:val="-1"/>
                <w:sz w:val="18"/>
              </w:rPr>
              <w:t>13,925,126</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17"/>
              <w:jc w:val="right"/>
              <w:rPr>
                <w:rFonts w:ascii="Arial" w:hAnsi="Arial" w:cs="Arial" w:eastAsia="Arial" w:hint="default"/>
                <w:sz w:val="18"/>
                <w:szCs w:val="18"/>
              </w:rPr>
            </w:pPr>
            <w:r>
              <w:rPr>
                <w:rFonts w:ascii="Arial"/>
                <w:spacing w:val="-1"/>
                <w:sz w:val="18"/>
              </w:rPr>
              <w:t>32,869,487</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
              <w:jc w:val="right"/>
              <w:rPr>
                <w:rFonts w:ascii="Arial" w:hAnsi="Arial" w:cs="Arial" w:eastAsia="Arial" w:hint="default"/>
                <w:sz w:val="18"/>
                <w:szCs w:val="18"/>
              </w:rPr>
            </w:pPr>
            <w:r>
              <w:rPr>
                <w:rFonts w:ascii="Arial"/>
                <w:spacing w:val="-1"/>
                <w:sz w:val="18"/>
              </w:rPr>
              <w:t>5,118,385</w:t>
            </w:r>
          </w:p>
        </w:tc>
        <w:tc>
          <w:tcPr>
            <w:tcW w:w="257"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92"/>
              <w:jc w:val="right"/>
              <w:rPr>
                <w:rFonts w:ascii="Arial" w:hAnsi="Arial" w:cs="Arial" w:eastAsia="Arial" w:hint="default"/>
                <w:sz w:val="18"/>
                <w:szCs w:val="18"/>
              </w:rPr>
            </w:pPr>
            <w:r>
              <w:rPr>
                <w:rFonts w:ascii="Arial"/>
                <w:spacing w:val="-1"/>
                <w:sz w:val="18"/>
              </w:rPr>
              <w:t>37,987,872</w:t>
            </w: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74"/>
              <w:jc w:val="right"/>
              <w:rPr>
                <w:rFonts w:ascii="Arial" w:hAnsi="Arial" w:cs="Arial" w:eastAsia="Arial" w:hint="default"/>
                <w:sz w:val="18"/>
                <w:szCs w:val="18"/>
              </w:rPr>
            </w:pPr>
            <w:r>
              <w:rPr>
                <w:rFonts w:ascii="Arial"/>
                <w:w w:val="95"/>
                <w:sz w:val="18"/>
              </w:rPr>
              <w:t>35</w:t>
            </w:r>
            <w:r>
              <w:rPr>
                <w:rFonts w:ascii="Arial"/>
                <w:sz w:val="18"/>
              </w:rPr>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94"/>
              <w:jc w:val="right"/>
              <w:rPr>
                <w:rFonts w:ascii="Arial" w:hAnsi="Arial" w:cs="Arial" w:eastAsia="Arial" w:hint="default"/>
                <w:sz w:val="18"/>
                <w:szCs w:val="18"/>
              </w:rPr>
            </w:pPr>
            <w:r>
              <w:rPr>
                <w:rFonts w:ascii="Arial"/>
                <w:w w:val="95"/>
                <w:sz w:val="18"/>
              </w:rPr>
              <w:t>35</w:t>
            </w:r>
            <w:r>
              <w:rPr>
                <w:rFonts w:ascii="Arial"/>
                <w:sz w:val="18"/>
              </w:rPr>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50"/>
              <w:jc w:val="right"/>
              <w:rPr>
                <w:rFonts w:ascii="Arial" w:hAnsi="Arial" w:cs="Arial" w:eastAsia="Arial" w:hint="default"/>
                <w:sz w:val="18"/>
                <w:szCs w:val="18"/>
              </w:rPr>
            </w:pPr>
            <w:r>
              <w:rPr>
                <w:rFonts w:ascii="Arial"/>
                <w:w w:val="99"/>
                <w:sz w:val="18"/>
              </w:rPr>
              <w:t>-</w:t>
            </w:r>
            <w:r>
              <w:rPr>
                <w:rFonts w:ascii="Arial"/>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94"/>
              <w:jc w:val="right"/>
              <w:rPr>
                <w:rFonts w:ascii="Arial" w:hAnsi="Arial" w:cs="Arial" w:eastAsia="Arial" w:hint="default"/>
                <w:sz w:val="18"/>
                <w:szCs w:val="18"/>
              </w:rPr>
            </w:pPr>
            <w:r>
              <w:rPr>
                <w:rFonts w:ascii="Arial"/>
                <w:w w:val="99"/>
                <w:sz w:val="18"/>
              </w:rPr>
              <w:t>-</w:t>
            </w:r>
            <w:r>
              <w:rPr>
                <w:rFonts w:ascii="Arial"/>
                <w:sz w:val="18"/>
              </w:rPr>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34"/>
              <w:jc w:val="right"/>
              <w:rPr>
                <w:rFonts w:ascii="Arial" w:hAnsi="Arial" w:cs="Arial" w:eastAsia="Arial" w:hint="default"/>
                <w:sz w:val="18"/>
                <w:szCs w:val="18"/>
              </w:rPr>
            </w:pPr>
            <w:r>
              <w:rPr>
                <w:rFonts w:ascii="Arial"/>
                <w:w w:val="99"/>
                <w:sz w:val="18"/>
              </w:rPr>
              <w:t>-</w:t>
            </w:r>
            <w:r>
              <w:rPr>
                <w:rFonts w:ascii="Arial"/>
                <w:sz w:val="18"/>
              </w:rPr>
            </w:r>
          </w:p>
        </w:tc>
      </w:tr>
      <w:tr>
        <w:trPr>
          <w:trHeight w:val="256" w:hRule="exact"/>
        </w:trPr>
        <w:tc>
          <w:tcPr>
            <w:tcW w:w="3754" w:type="dxa"/>
            <w:tcBorders>
              <w:top w:val="nil" w:sz="6" w:space="0" w:color="auto"/>
              <w:left w:val="nil" w:sz="6" w:space="0" w:color="auto"/>
              <w:bottom w:val="nil" w:sz="6" w:space="0" w:color="auto"/>
              <w:right w:val="nil" w:sz="6" w:space="0" w:color="auto"/>
            </w:tcBorders>
          </w:tcPr>
          <w:p>
            <w:pPr>
              <w:pStyle w:val="TableParagraph"/>
              <w:spacing w:line="213" w:lineRule="exact"/>
              <w:ind w:left="389" w:right="0"/>
              <w:jc w:val="left"/>
              <w:rPr>
                <w:rFonts w:ascii="黑体" w:hAnsi="黑体" w:cs="黑体" w:eastAsia="黑体" w:hint="default"/>
                <w:sz w:val="18"/>
                <w:szCs w:val="18"/>
              </w:rPr>
            </w:pPr>
            <w:r>
              <w:rPr>
                <w:rFonts w:ascii="黑体" w:hAnsi="黑体" w:cs="黑体" w:eastAsia="黑体" w:hint="default"/>
                <w:sz w:val="18"/>
                <w:szCs w:val="18"/>
              </w:rPr>
              <w:t>西玛商用表单</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8"/>
              <w:jc w:val="right"/>
              <w:rPr>
                <w:rFonts w:ascii="Arial" w:hAnsi="Arial" w:cs="Arial" w:eastAsia="Arial" w:hint="default"/>
                <w:sz w:val="18"/>
                <w:szCs w:val="18"/>
              </w:rPr>
            </w:pPr>
            <w:r>
              <w:rPr>
                <w:rFonts w:ascii="Arial"/>
                <w:spacing w:val="-1"/>
                <w:sz w:val="18"/>
              </w:rPr>
              <w:t>150,000</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16"/>
              <w:jc w:val="right"/>
              <w:rPr>
                <w:rFonts w:ascii="Arial" w:hAnsi="Arial" w:cs="Arial" w:eastAsia="Arial" w:hint="default"/>
                <w:sz w:val="18"/>
                <w:szCs w:val="18"/>
              </w:rPr>
            </w:pPr>
            <w:r>
              <w:rPr>
                <w:rFonts w:ascii="Arial"/>
                <w:spacing w:val="-1"/>
                <w:sz w:val="18"/>
              </w:rPr>
              <w:t>5,575,285</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
              <w:jc w:val="right"/>
              <w:rPr>
                <w:rFonts w:ascii="Arial" w:hAnsi="Arial" w:cs="Arial" w:eastAsia="Arial" w:hint="default"/>
                <w:sz w:val="18"/>
                <w:szCs w:val="18"/>
              </w:rPr>
            </w:pPr>
            <w:r>
              <w:rPr>
                <w:rFonts w:ascii="Arial"/>
                <w:sz w:val="18"/>
              </w:rPr>
              <w:t>(</w:t>
            </w:r>
            <w:r>
              <w:rPr>
                <w:rFonts w:ascii="Arial"/>
                <w:spacing w:val="-17"/>
                <w:sz w:val="18"/>
              </w:rPr>
              <w:t> </w:t>
            </w:r>
            <w:r>
              <w:rPr>
                <w:rFonts w:ascii="Arial"/>
                <w:sz w:val="18"/>
              </w:rPr>
              <w:t>1,747,710</w:t>
            </w:r>
          </w:p>
        </w:tc>
        <w:tc>
          <w:tcPr>
            <w:tcW w:w="25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 w:right="0"/>
              <w:jc w:val="left"/>
              <w:rPr>
                <w:rFonts w:ascii="Arial" w:hAnsi="Arial" w:cs="Arial" w:eastAsia="Arial" w:hint="default"/>
                <w:sz w:val="18"/>
                <w:szCs w:val="18"/>
              </w:rPr>
            </w:pPr>
            <w:r>
              <w:rPr>
                <w:rFonts w:ascii="Arial"/>
                <w:w w:val="99"/>
                <w:sz w:val="18"/>
              </w:rPr>
              <w:t>)</w:t>
            </w:r>
            <w:r>
              <w:rPr>
                <w:rFonts w:ascii="Arial"/>
                <w:sz w:val="18"/>
              </w:rPr>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1"/>
              <w:jc w:val="right"/>
              <w:rPr>
                <w:rFonts w:ascii="Arial" w:hAnsi="Arial" w:cs="Arial" w:eastAsia="Arial" w:hint="default"/>
                <w:sz w:val="18"/>
                <w:szCs w:val="18"/>
              </w:rPr>
            </w:pPr>
            <w:r>
              <w:rPr>
                <w:rFonts w:ascii="Arial"/>
                <w:spacing w:val="-1"/>
                <w:sz w:val="18"/>
              </w:rPr>
              <w:t>3,827,575</w:t>
            </w: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4"/>
              <w:jc w:val="right"/>
              <w:rPr>
                <w:rFonts w:ascii="Arial" w:hAnsi="Arial" w:cs="Arial" w:eastAsia="Arial" w:hint="default"/>
                <w:sz w:val="18"/>
                <w:szCs w:val="18"/>
              </w:rPr>
            </w:pPr>
            <w:r>
              <w:rPr>
                <w:rFonts w:ascii="Arial"/>
                <w:w w:val="95"/>
                <w:sz w:val="18"/>
              </w:rPr>
              <w:t>30</w:t>
            </w:r>
            <w:r>
              <w:rPr>
                <w:rFonts w:ascii="Arial"/>
                <w:sz w:val="18"/>
              </w:rPr>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4"/>
              <w:jc w:val="right"/>
              <w:rPr>
                <w:rFonts w:ascii="Arial" w:hAnsi="Arial" w:cs="Arial" w:eastAsia="Arial" w:hint="default"/>
                <w:sz w:val="18"/>
                <w:szCs w:val="18"/>
              </w:rPr>
            </w:pPr>
            <w:r>
              <w:rPr>
                <w:rFonts w:ascii="Arial"/>
                <w:w w:val="95"/>
                <w:sz w:val="18"/>
              </w:rPr>
              <w:t>30</w:t>
            </w:r>
            <w:r>
              <w:rPr>
                <w:rFonts w:ascii="Arial"/>
                <w:sz w:val="18"/>
              </w:rPr>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0"/>
              <w:jc w:val="right"/>
              <w:rPr>
                <w:rFonts w:ascii="Arial" w:hAnsi="Arial" w:cs="Arial" w:eastAsia="Arial" w:hint="default"/>
                <w:sz w:val="18"/>
                <w:szCs w:val="18"/>
              </w:rPr>
            </w:pPr>
            <w:r>
              <w:rPr>
                <w:rFonts w:ascii="Arial"/>
                <w:w w:val="99"/>
                <w:sz w:val="18"/>
              </w:rPr>
              <w:t>-</w:t>
            </w:r>
            <w:r>
              <w:rPr>
                <w:rFonts w:ascii="Arial"/>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4"/>
              <w:jc w:val="right"/>
              <w:rPr>
                <w:rFonts w:ascii="Arial" w:hAnsi="Arial" w:cs="Arial" w:eastAsia="Arial" w:hint="default"/>
                <w:sz w:val="18"/>
                <w:szCs w:val="18"/>
              </w:rPr>
            </w:pPr>
            <w:r>
              <w:rPr>
                <w:rFonts w:ascii="Arial"/>
                <w:w w:val="99"/>
                <w:sz w:val="18"/>
              </w:rPr>
              <w:t>-</w:t>
            </w:r>
            <w:r>
              <w:rPr>
                <w:rFonts w:ascii="Arial"/>
                <w:sz w:val="18"/>
              </w:rPr>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51" w:right="0"/>
              <w:jc w:val="left"/>
              <w:rPr>
                <w:rFonts w:ascii="Arial" w:hAnsi="Arial" w:cs="Arial" w:eastAsia="Arial" w:hint="default"/>
                <w:sz w:val="18"/>
                <w:szCs w:val="18"/>
              </w:rPr>
            </w:pPr>
            <w:r>
              <w:rPr>
                <w:rFonts w:ascii="Arial"/>
                <w:sz w:val="18"/>
              </w:rPr>
              <w:t>2,752,487</w:t>
            </w:r>
          </w:p>
        </w:tc>
      </w:tr>
      <w:tr>
        <w:trPr>
          <w:trHeight w:val="383" w:hRule="exact"/>
        </w:trPr>
        <w:tc>
          <w:tcPr>
            <w:tcW w:w="3754" w:type="dxa"/>
            <w:tcBorders>
              <w:top w:val="nil" w:sz="6" w:space="0" w:color="auto"/>
              <w:left w:val="nil" w:sz="6" w:space="0" w:color="auto"/>
              <w:bottom w:val="nil" w:sz="6" w:space="0" w:color="auto"/>
              <w:right w:val="nil" w:sz="6" w:space="0" w:color="auto"/>
            </w:tcBorders>
          </w:tcPr>
          <w:p>
            <w:pPr>
              <w:pStyle w:val="TableParagraph"/>
              <w:spacing w:line="214" w:lineRule="exact"/>
              <w:ind w:left="389" w:right="0"/>
              <w:jc w:val="left"/>
              <w:rPr>
                <w:rFonts w:ascii="黑体" w:hAnsi="黑体" w:cs="黑体" w:eastAsia="黑体" w:hint="default"/>
                <w:sz w:val="18"/>
                <w:szCs w:val="18"/>
              </w:rPr>
            </w:pPr>
            <w:r>
              <w:rPr>
                <w:rFonts w:ascii="黑体" w:hAnsi="黑体" w:cs="黑体" w:eastAsia="黑体" w:hint="default"/>
                <w:sz w:val="18"/>
                <w:szCs w:val="18"/>
              </w:rPr>
              <w:t>西玛永泰</w:t>
            </w:r>
          </w:p>
        </w:tc>
        <w:tc>
          <w:tcPr>
            <w:tcW w:w="1381" w:type="dxa"/>
            <w:tcBorders>
              <w:top w:val="nil" w:sz="6" w:space="0" w:color="auto"/>
              <w:left w:val="nil" w:sz="6" w:space="0" w:color="auto"/>
              <w:bottom w:val="nil" w:sz="6" w:space="0" w:color="auto"/>
              <w:right w:val="nil" w:sz="6" w:space="0" w:color="auto"/>
            </w:tcBorders>
          </w:tcPr>
          <w:p>
            <w:pPr>
              <w:pStyle w:val="TableParagraph"/>
              <w:tabs>
                <w:tab w:pos="271" w:val="left" w:leader="none"/>
              </w:tabs>
              <w:spacing w:line="240" w:lineRule="auto" w:before="20"/>
              <w:ind w:right="6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150,000</w:t>
            </w:r>
            <w:r>
              <w:rPr>
                <w:rFonts w:ascii="Arial"/>
                <w:spacing w:val="-1"/>
                <w:sz w:val="18"/>
              </w:rPr>
            </w:r>
          </w:p>
        </w:tc>
        <w:tc>
          <w:tcPr>
            <w:tcW w:w="1192" w:type="dxa"/>
            <w:tcBorders>
              <w:top w:val="nil" w:sz="6" w:space="0" w:color="auto"/>
              <w:left w:val="nil" w:sz="6" w:space="0" w:color="auto"/>
              <w:bottom w:val="nil" w:sz="6" w:space="0" w:color="auto"/>
              <w:right w:val="nil" w:sz="6" w:space="0" w:color="auto"/>
            </w:tcBorders>
          </w:tcPr>
          <w:p>
            <w:pPr>
              <w:pStyle w:val="TableParagraph"/>
              <w:tabs>
                <w:tab w:pos="271" w:val="left" w:leader="none"/>
              </w:tabs>
              <w:spacing w:line="240" w:lineRule="auto" w:before="20"/>
              <w:ind w:right="21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960,901</w:t>
            </w:r>
            <w:r>
              <w:rPr>
                <w:rFonts w:ascii="Arial"/>
                <w:spacing w:val="-1"/>
                <w:sz w:val="18"/>
              </w:rPr>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
              <w:jc w:val="right"/>
              <w:rPr>
                <w:rFonts w:ascii="Arial" w:hAnsi="Arial" w:cs="Arial" w:eastAsia="Arial" w:hint="default"/>
                <w:sz w:val="18"/>
                <w:szCs w:val="18"/>
              </w:rPr>
            </w:pPr>
            <w:r>
              <w:rPr>
                <w:rFonts w:ascii="Arial"/>
                <w:sz w:val="18"/>
              </w:rPr>
              <w:t>(  </w:t>
            </w:r>
            <w:r>
              <w:rPr>
                <w:rFonts w:ascii="Arial"/>
                <w:spacing w:val="27"/>
                <w:sz w:val="18"/>
              </w:rPr>
              <w:t> </w:t>
            </w:r>
            <w:r>
              <w:rPr>
                <w:rFonts w:ascii="Arial"/>
                <w:spacing w:val="27"/>
                <w:sz w:val="18"/>
                <w:u w:val="single" w:color="000000"/>
              </w:rPr>
              <w:t> </w:t>
            </w:r>
            <w:r>
              <w:rPr>
                <w:rFonts w:ascii="Arial"/>
                <w:sz w:val="18"/>
                <w:u w:val="single" w:color="000000"/>
              </w:rPr>
              <w:t>429,086</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 w:right="0"/>
              <w:jc w:val="left"/>
              <w:rPr>
                <w:rFonts w:ascii="Arial" w:hAnsi="Arial" w:cs="Arial" w:eastAsia="Arial" w:hint="default"/>
                <w:sz w:val="18"/>
                <w:szCs w:val="18"/>
              </w:rPr>
            </w:pPr>
            <w:r>
              <w:rPr>
                <w:rFonts w:ascii="Arial"/>
                <w:w w:val="99"/>
                <w:sz w:val="18"/>
              </w:rPr>
              <w:t>)</w:t>
            </w:r>
            <w:r>
              <w:rPr>
                <w:rFonts w:ascii="Arial"/>
                <w:sz w:val="18"/>
              </w:rPr>
            </w:r>
          </w:p>
        </w:tc>
        <w:tc>
          <w:tcPr>
            <w:tcW w:w="1242" w:type="dxa"/>
            <w:tcBorders>
              <w:top w:val="nil" w:sz="6" w:space="0" w:color="auto"/>
              <w:left w:val="nil" w:sz="6" w:space="0" w:color="auto"/>
              <w:bottom w:val="nil" w:sz="6" w:space="0" w:color="auto"/>
              <w:right w:val="nil" w:sz="6" w:space="0" w:color="auto"/>
            </w:tcBorders>
          </w:tcPr>
          <w:p>
            <w:pPr>
              <w:pStyle w:val="TableParagraph"/>
              <w:tabs>
                <w:tab w:pos="271" w:val="left" w:leader="none"/>
              </w:tabs>
              <w:spacing w:line="240" w:lineRule="auto" w:before="20"/>
              <w:ind w:right="9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531,815</w:t>
            </w:r>
            <w:r>
              <w:rPr>
                <w:rFonts w:ascii="Arial"/>
                <w:spacing w:val="-1"/>
                <w:sz w:val="18"/>
              </w:rPr>
            </w: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74"/>
              <w:jc w:val="right"/>
              <w:rPr>
                <w:rFonts w:ascii="Arial" w:hAnsi="Arial" w:cs="Arial" w:eastAsia="Arial" w:hint="default"/>
                <w:sz w:val="18"/>
                <w:szCs w:val="18"/>
              </w:rPr>
            </w:pPr>
            <w:r>
              <w:rPr>
                <w:rFonts w:ascii="Arial"/>
                <w:w w:val="95"/>
                <w:sz w:val="18"/>
              </w:rPr>
              <w:t>30</w:t>
            </w:r>
            <w:r>
              <w:rPr>
                <w:rFonts w:ascii="Arial"/>
                <w:sz w:val="18"/>
              </w:rPr>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94"/>
              <w:jc w:val="right"/>
              <w:rPr>
                <w:rFonts w:ascii="Arial" w:hAnsi="Arial" w:cs="Arial" w:eastAsia="Arial" w:hint="default"/>
                <w:sz w:val="18"/>
                <w:szCs w:val="18"/>
              </w:rPr>
            </w:pPr>
            <w:r>
              <w:rPr>
                <w:rFonts w:ascii="Arial"/>
                <w:w w:val="95"/>
                <w:sz w:val="18"/>
              </w:rPr>
              <w:t>30</w:t>
            </w:r>
            <w:r>
              <w:rPr>
                <w:rFonts w:ascii="Arial"/>
                <w:sz w:val="18"/>
              </w:rPr>
            </w:r>
          </w:p>
        </w:tc>
        <w:tc>
          <w:tcPr>
            <w:tcW w:w="1164" w:type="dxa"/>
            <w:tcBorders>
              <w:top w:val="nil" w:sz="6" w:space="0" w:color="auto"/>
              <w:left w:val="nil" w:sz="6" w:space="0" w:color="auto"/>
              <w:bottom w:val="nil" w:sz="6" w:space="0" w:color="auto"/>
              <w:right w:val="nil" w:sz="6" w:space="0" w:color="auto"/>
            </w:tcBorders>
          </w:tcPr>
          <w:p>
            <w:pPr>
              <w:pStyle w:val="TableParagraph"/>
              <w:tabs>
                <w:tab w:pos="722" w:val="left" w:leader="none"/>
              </w:tabs>
              <w:spacing w:line="240" w:lineRule="auto" w:before="20"/>
              <w:ind w:right="24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260" w:type="dxa"/>
            <w:tcBorders>
              <w:top w:val="nil" w:sz="6" w:space="0" w:color="auto"/>
              <w:left w:val="nil" w:sz="6" w:space="0" w:color="auto"/>
              <w:bottom w:val="nil" w:sz="6" w:space="0" w:color="auto"/>
              <w:right w:val="nil" w:sz="6" w:space="0" w:color="auto"/>
            </w:tcBorders>
          </w:tcPr>
          <w:p>
            <w:pPr>
              <w:pStyle w:val="TableParagraph"/>
              <w:tabs>
                <w:tab w:pos="722" w:val="left" w:leader="none"/>
              </w:tabs>
              <w:spacing w:line="240" w:lineRule="auto" w:before="20"/>
              <w:ind w:right="19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2"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8"/>
                <w:sz w:val="18"/>
                <w:u w:val="single" w:color="000000"/>
              </w:rPr>
              <w:t> </w:t>
            </w:r>
            <w:r>
              <w:rPr>
                <w:rFonts w:ascii="Arial"/>
                <w:sz w:val="18"/>
                <w:u w:val="single" w:color="000000"/>
              </w:rPr>
              <w:t>474,854</w:t>
            </w:r>
            <w:r>
              <w:rPr>
                <w:rFonts w:ascii="Arial"/>
                <w:sz w:val="18"/>
              </w:rPr>
            </w:r>
          </w:p>
        </w:tc>
      </w:tr>
      <w:tr>
        <w:trPr>
          <w:trHeight w:val="510" w:hRule="exact"/>
        </w:trPr>
        <w:tc>
          <w:tcPr>
            <w:tcW w:w="3754"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89" w:right="0"/>
              <w:jc w:val="left"/>
              <w:rPr>
                <w:rFonts w:ascii="黑体" w:hAnsi="黑体" w:cs="黑体" w:eastAsia="黑体" w:hint="default"/>
                <w:sz w:val="18"/>
                <w:szCs w:val="18"/>
              </w:rPr>
            </w:pPr>
            <w:r>
              <w:rPr>
                <w:rFonts w:ascii="黑体" w:hAnsi="黑体" w:cs="黑体" w:eastAsia="黑体" w:hint="default"/>
                <w:sz w:val="18"/>
                <w:szCs w:val="18"/>
              </w:rPr>
              <w:t>小计</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69"/>
              <w:jc w:val="right"/>
              <w:rPr>
                <w:rFonts w:ascii="Arial" w:hAnsi="Arial" w:cs="Arial" w:eastAsia="Arial" w:hint="default"/>
                <w:sz w:val="18"/>
                <w:szCs w:val="18"/>
              </w:rPr>
            </w:pPr>
            <w:r>
              <w:rPr>
                <w:rFonts w:ascii="Arial"/>
                <w:w w:val="99"/>
                <w:sz w:val="18"/>
              </w:rPr>
            </w:r>
            <w:r>
              <w:rPr>
                <w:rFonts w:ascii="Arial"/>
                <w:spacing w:val="-1"/>
                <w:sz w:val="18"/>
                <w:u w:val="single" w:color="000000"/>
              </w:rPr>
              <w:t>14,225,126</w:t>
            </w:r>
            <w:r>
              <w:rPr>
                <w:rFonts w:ascii="Arial"/>
                <w:spacing w:val="-1"/>
                <w:sz w:val="18"/>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17"/>
              <w:jc w:val="right"/>
              <w:rPr>
                <w:rFonts w:ascii="Arial" w:hAnsi="Arial" w:cs="Arial" w:eastAsia="Arial" w:hint="default"/>
                <w:sz w:val="18"/>
                <w:szCs w:val="18"/>
              </w:rPr>
            </w:pPr>
            <w:r>
              <w:rPr>
                <w:rFonts w:ascii="Arial"/>
                <w:w w:val="99"/>
                <w:sz w:val="18"/>
              </w:rPr>
            </w:r>
            <w:r>
              <w:rPr>
                <w:rFonts w:ascii="Arial"/>
                <w:spacing w:val="-1"/>
                <w:sz w:val="18"/>
                <w:u w:val="single" w:color="000000"/>
              </w:rPr>
              <w:t>39,405,673</w:t>
            </w:r>
            <w:r>
              <w:rPr>
                <w:rFonts w:ascii="Arial"/>
                <w:spacing w:val="-1"/>
                <w:sz w:val="18"/>
              </w:rPr>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6"/>
              <w:jc w:val="right"/>
              <w:rPr>
                <w:rFonts w:ascii="Arial" w:hAnsi="Arial" w:cs="Arial" w:eastAsia="Arial" w:hint="default"/>
                <w:sz w:val="18"/>
                <w:szCs w:val="18"/>
              </w:rPr>
            </w:pPr>
            <w:r>
              <w:rPr>
                <w:rFonts w:ascii="Arial"/>
                <w:w w:val="100"/>
                <w:sz w:val="18"/>
              </w:rPr>
            </w:r>
            <w:r>
              <w:rPr>
                <w:rFonts w:ascii="Arial"/>
                <w:spacing w:val="-1"/>
                <w:sz w:val="18"/>
                <w:u w:val="single" w:color="000000"/>
              </w:rPr>
              <w:t>2,941,589</w:t>
            </w:r>
            <w:r>
              <w:rPr>
                <w:rFonts w:ascii="Arial"/>
                <w:spacing w:val="-1"/>
                <w:sz w:val="18"/>
              </w:rPr>
            </w:r>
          </w:p>
        </w:tc>
        <w:tc>
          <w:tcPr>
            <w:tcW w:w="257"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92"/>
              <w:jc w:val="right"/>
              <w:rPr>
                <w:rFonts w:ascii="Arial" w:hAnsi="Arial" w:cs="Arial" w:eastAsia="Arial" w:hint="default"/>
                <w:sz w:val="18"/>
                <w:szCs w:val="18"/>
              </w:rPr>
            </w:pPr>
            <w:r>
              <w:rPr>
                <w:rFonts w:ascii="Arial"/>
                <w:w w:val="99"/>
                <w:sz w:val="18"/>
              </w:rPr>
            </w:r>
            <w:r>
              <w:rPr>
                <w:rFonts w:ascii="Arial"/>
                <w:spacing w:val="-1"/>
                <w:sz w:val="18"/>
                <w:u w:val="single" w:color="000000"/>
              </w:rPr>
              <w:t>42,347,262</w:t>
            </w:r>
            <w:r>
              <w:rPr>
                <w:rFonts w:ascii="Arial"/>
                <w:spacing w:val="-1"/>
                <w:sz w:val="18"/>
              </w:rPr>
            </w:r>
          </w:p>
        </w:tc>
        <w:tc>
          <w:tcPr>
            <w:tcW w:w="893"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Style w:val="TableParagraph"/>
              <w:tabs>
                <w:tab w:pos="722" w:val="left" w:leader="none"/>
              </w:tabs>
              <w:spacing w:line="240" w:lineRule="auto" w:before="146"/>
              <w:ind w:right="247"/>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260" w:type="dxa"/>
            <w:tcBorders>
              <w:top w:val="nil" w:sz="6" w:space="0" w:color="auto"/>
              <w:left w:val="nil" w:sz="6" w:space="0" w:color="auto"/>
              <w:bottom w:val="nil" w:sz="6" w:space="0" w:color="auto"/>
              <w:right w:val="nil" w:sz="6" w:space="0" w:color="auto"/>
            </w:tcBorders>
          </w:tcPr>
          <w:p>
            <w:pPr>
              <w:pStyle w:val="TableParagraph"/>
              <w:tabs>
                <w:tab w:pos="722" w:val="left" w:leader="none"/>
              </w:tabs>
              <w:spacing w:line="240" w:lineRule="auto" w:before="146"/>
              <w:ind w:right="19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51" w:right="0"/>
              <w:jc w:val="left"/>
              <w:rPr>
                <w:rFonts w:ascii="Arial" w:hAnsi="Arial" w:cs="Arial" w:eastAsia="Arial" w:hint="default"/>
                <w:sz w:val="18"/>
                <w:szCs w:val="18"/>
              </w:rPr>
            </w:pPr>
            <w:r>
              <w:rPr>
                <w:rFonts w:ascii="Arial"/>
                <w:w w:val="100"/>
                <w:sz w:val="18"/>
              </w:rPr>
            </w:r>
            <w:r>
              <w:rPr>
                <w:rFonts w:ascii="Arial"/>
                <w:sz w:val="18"/>
                <w:u w:val="single" w:color="000000"/>
              </w:rPr>
              <w:t>3,227,341</w:t>
            </w:r>
            <w:r>
              <w:rPr>
                <w:rFonts w:ascii="Arial"/>
                <w:sz w:val="18"/>
              </w:rPr>
            </w:r>
          </w:p>
        </w:tc>
      </w:tr>
      <w:tr>
        <w:trPr>
          <w:trHeight w:val="378" w:hRule="exact"/>
        </w:trPr>
        <w:tc>
          <w:tcPr>
            <w:tcW w:w="3754"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00" w:right="0"/>
              <w:jc w:val="left"/>
              <w:rPr>
                <w:rFonts w:ascii="黑体" w:hAnsi="黑体" w:cs="黑体" w:eastAsia="黑体" w:hint="default"/>
                <w:sz w:val="18"/>
                <w:szCs w:val="18"/>
              </w:rPr>
            </w:pPr>
            <w:r>
              <w:rPr>
                <w:rFonts w:ascii="黑体" w:hAnsi="黑体" w:cs="黑体" w:eastAsia="黑体" w:hint="default"/>
                <w:sz w:val="18"/>
                <w:szCs w:val="18"/>
              </w:rPr>
              <w:t>成本法</w:t>
            </w:r>
          </w:p>
        </w:tc>
        <w:tc>
          <w:tcPr>
            <w:tcW w:w="1381"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
        </w:tc>
        <w:tc>
          <w:tcPr>
            <w:tcW w:w="257"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
        </w:tc>
        <w:tc>
          <w:tcPr>
            <w:tcW w:w="893"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1155" w:type="dxa"/>
            <w:tcBorders>
              <w:top w:val="nil" w:sz="6" w:space="0" w:color="auto"/>
              <w:left w:val="nil" w:sz="6" w:space="0" w:color="auto"/>
              <w:bottom w:val="nil" w:sz="6" w:space="0" w:color="auto"/>
              <w:right w:val="nil" w:sz="6" w:space="0" w:color="auto"/>
            </w:tcBorders>
          </w:tcPr>
          <w:p>
            <w:pPr/>
          </w:p>
        </w:tc>
      </w:tr>
      <w:tr>
        <w:trPr>
          <w:trHeight w:val="259" w:hRule="exact"/>
        </w:trPr>
        <w:tc>
          <w:tcPr>
            <w:tcW w:w="3754" w:type="dxa"/>
            <w:tcBorders>
              <w:top w:val="nil" w:sz="6" w:space="0" w:color="auto"/>
              <w:left w:val="nil" w:sz="6" w:space="0" w:color="auto"/>
              <w:bottom w:val="nil" w:sz="6" w:space="0" w:color="auto"/>
              <w:right w:val="nil" w:sz="6" w:space="0" w:color="auto"/>
            </w:tcBorders>
          </w:tcPr>
          <w:p>
            <w:pPr>
              <w:pStyle w:val="TableParagraph"/>
              <w:spacing w:line="217" w:lineRule="exact"/>
              <w:ind w:left="389" w:right="0"/>
              <w:jc w:val="left"/>
              <w:rPr>
                <w:rFonts w:ascii="黑体" w:hAnsi="黑体" w:cs="黑体" w:eastAsia="黑体" w:hint="default"/>
                <w:sz w:val="18"/>
                <w:szCs w:val="18"/>
              </w:rPr>
            </w:pPr>
            <w:r>
              <w:rPr>
                <w:rFonts w:ascii="黑体" w:hAnsi="黑体" w:cs="黑体" w:eastAsia="黑体" w:hint="default"/>
                <w:sz w:val="18"/>
                <w:szCs w:val="18"/>
              </w:rPr>
              <w:t>杭州优智软件有限公司</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14"/>
              <w:jc w:val="right"/>
              <w:rPr>
                <w:rFonts w:ascii="Arial" w:hAnsi="Arial" w:cs="Arial" w:eastAsia="Arial" w:hint="default"/>
                <w:sz w:val="18"/>
                <w:szCs w:val="18"/>
              </w:rPr>
            </w:pPr>
            <w:r>
              <w:rPr>
                <w:rFonts w:ascii="Arial"/>
                <w:w w:val="99"/>
                <w:sz w:val="18"/>
              </w:rPr>
              <w:t>-</w:t>
            </w:r>
            <w:r>
              <w:rPr>
                <w:rFonts w:ascii="Arial"/>
                <w:sz w:val="18"/>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99"/>
              <w:jc w:val="right"/>
              <w:rPr>
                <w:rFonts w:ascii="Arial" w:hAnsi="Arial" w:cs="Arial" w:eastAsia="Arial" w:hint="default"/>
                <w:sz w:val="18"/>
                <w:szCs w:val="18"/>
              </w:rPr>
            </w:pPr>
            <w:r>
              <w:rPr>
                <w:rFonts w:ascii="Arial"/>
                <w:spacing w:val="-1"/>
                <w:sz w:val="18"/>
              </w:rPr>
              <w:t>2,000,000</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8"/>
              <w:jc w:val="right"/>
              <w:rPr>
                <w:rFonts w:ascii="Arial" w:hAnsi="Arial" w:cs="Arial" w:eastAsia="Arial" w:hint="default"/>
                <w:sz w:val="18"/>
                <w:szCs w:val="18"/>
              </w:rPr>
            </w:pPr>
            <w:r>
              <w:rPr>
                <w:rFonts w:ascii="Arial"/>
                <w:spacing w:val="-1"/>
                <w:sz w:val="18"/>
              </w:rPr>
              <w:t>(2,000,000</w:t>
            </w:r>
          </w:p>
        </w:tc>
        <w:tc>
          <w:tcPr>
            <w:tcW w:w="257"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0" w:right="0"/>
              <w:jc w:val="left"/>
              <w:rPr>
                <w:rFonts w:ascii="Arial" w:hAnsi="Arial" w:cs="Arial" w:eastAsia="Arial" w:hint="default"/>
                <w:sz w:val="18"/>
                <w:szCs w:val="18"/>
              </w:rPr>
            </w:pPr>
            <w:r>
              <w:rPr>
                <w:rFonts w:ascii="Arial"/>
                <w:w w:val="99"/>
                <w:sz w:val="18"/>
              </w:rPr>
              <w:t>)</w:t>
            </w:r>
            <w:r>
              <w:rPr>
                <w:rFonts w:ascii="Arial"/>
                <w:sz w:val="18"/>
              </w:rPr>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37"/>
              <w:jc w:val="right"/>
              <w:rPr>
                <w:rFonts w:ascii="Arial" w:hAnsi="Arial" w:cs="Arial" w:eastAsia="Arial" w:hint="default"/>
                <w:sz w:val="18"/>
                <w:szCs w:val="18"/>
              </w:rPr>
            </w:pPr>
            <w:r>
              <w:rPr>
                <w:rFonts w:ascii="Arial"/>
                <w:w w:val="99"/>
                <w:sz w:val="18"/>
              </w:rPr>
              <w:t>-</w:t>
            </w:r>
            <w:r>
              <w:rPr>
                <w:rFonts w:ascii="Arial"/>
                <w:sz w:val="18"/>
              </w:rPr>
            </w: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20"/>
              <w:jc w:val="right"/>
              <w:rPr>
                <w:rFonts w:ascii="Arial" w:hAnsi="Arial" w:cs="Arial" w:eastAsia="Arial" w:hint="default"/>
                <w:sz w:val="18"/>
                <w:szCs w:val="18"/>
              </w:rPr>
            </w:pPr>
            <w:r>
              <w:rPr>
                <w:rFonts w:ascii="Arial"/>
                <w:w w:val="99"/>
                <w:sz w:val="18"/>
              </w:rPr>
              <w:t>-</w:t>
            </w:r>
            <w:r>
              <w:rPr>
                <w:rFonts w:ascii="Arial"/>
                <w:sz w:val="18"/>
              </w:rPr>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92"/>
              <w:jc w:val="right"/>
              <w:rPr>
                <w:rFonts w:ascii="Arial" w:hAnsi="Arial" w:cs="Arial" w:eastAsia="Arial" w:hint="default"/>
                <w:sz w:val="18"/>
                <w:szCs w:val="18"/>
              </w:rPr>
            </w:pPr>
            <w:r>
              <w:rPr>
                <w:rFonts w:ascii="Arial"/>
                <w:w w:val="99"/>
                <w:sz w:val="18"/>
              </w:rPr>
              <w:t>-</w:t>
            </w:r>
            <w:r>
              <w:rPr>
                <w:rFonts w:ascii="Arial"/>
                <w:sz w:val="18"/>
              </w:rPr>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64"/>
              <w:jc w:val="right"/>
              <w:rPr>
                <w:rFonts w:ascii="Arial" w:hAnsi="Arial" w:cs="Arial" w:eastAsia="Arial" w:hint="default"/>
                <w:sz w:val="18"/>
                <w:szCs w:val="18"/>
              </w:rPr>
            </w:pPr>
            <w:r>
              <w:rPr>
                <w:rFonts w:ascii="Arial"/>
                <w:w w:val="99"/>
                <w:sz w:val="18"/>
              </w:rPr>
              <w:t>-</w:t>
            </w:r>
            <w:r>
              <w:rPr>
                <w:rFonts w:ascii="Arial"/>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63"/>
              <w:jc w:val="right"/>
              <w:rPr>
                <w:rFonts w:ascii="Arial" w:hAnsi="Arial" w:cs="Arial" w:eastAsia="Arial" w:hint="default"/>
                <w:sz w:val="18"/>
                <w:szCs w:val="18"/>
              </w:rPr>
            </w:pPr>
            <w:r>
              <w:rPr>
                <w:rFonts w:ascii="Arial"/>
                <w:spacing w:val="-1"/>
                <w:sz w:val="18"/>
              </w:rPr>
              <w:t>2,000,000</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43"/>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3754" w:type="dxa"/>
            <w:tcBorders>
              <w:top w:val="nil" w:sz="6" w:space="0" w:color="auto"/>
              <w:left w:val="nil" w:sz="6" w:space="0" w:color="auto"/>
              <w:bottom w:val="nil" w:sz="6" w:space="0" w:color="auto"/>
              <w:right w:val="nil" w:sz="6" w:space="0" w:color="auto"/>
            </w:tcBorders>
          </w:tcPr>
          <w:p>
            <w:pPr>
              <w:pStyle w:val="TableParagraph"/>
              <w:spacing w:line="213" w:lineRule="exact"/>
              <w:ind w:left="389" w:right="0"/>
              <w:jc w:val="left"/>
              <w:rPr>
                <w:rFonts w:ascii="黑体" w:hAnsi="黑体" w:cs="黑体" w:eastAsia="黑体" w:hint="default"/>
                <w:sz w:val="18"/>
                <w:szCs w:val="18"/>
              </w:rPr>
            </w:pPr>
            <w:r>
              <w:rPr>
                <w:rFonts w:ascii="黑体" w:hAnsi="黑体" w:cs="黑体" w:eastAsia="黑体" w:hint="default"/>
                <w:sz w:val="18"/>
                <w:szCs w:val="18"/>
              </w:rPr>
              <w:t>北京贯能管理技术服务有限公司</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4"/>
              <w:jc w:val="right"/>
              <w:rPr>
                <w:rFonts w:ascii="Arial" w:hAnsi="Arial" w:cs="Arial" w:eastAsia="Arial" w:hint="default"/>
                <w:sz w:val="18"/>
                <w:szCs w:val="18"/>
              </w:rPr>
            </w:pPr>
            <w:r>
              <w:rPr>
                <w:rFonts w:ascii="Arial"/>
                <w:w w:val="99"/>
                <w:sz w:val="18"/>
              </w:rPr>
              <w:t>-</w:t>
            </w:r>
            <w:r>
              <w:rPr>
                <w:rFonts w:ascii="Arial"/>
                <w:sz w:val="18"/>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9"/>
              <w:jc w:val="right"/>
              <w:rPr>
                <w:rFonts w:ascii="Arial" w:hAnsi="Arial" w:cs="Arial" w:eastAsia="Arial" w:hint="default"/>
                <w:sz w:val="18"/>
                <w:szCs w:val="18"/>
              </w:rPr>
            </w:pPr>
            <w:r>
              <w:rPr>
                <w:rFonts w:ascii="Arial"/>
                <w:spacing w:val="-1"/>
                <w:sz w:val="18"/>
              </w:rPr>
              <w:t>4,000,000</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
              <w:jc w:val="right"/>
              <w:rPr>
                <w:rFonts w:ascii="Arial" w:hAnsi="Arial" w:cs="Arial" w:eastAsia="Arial" w:hint="default"/>
                <w:sz w:val="18"/>
                <w:szCs w:val="18"/>
              </w:rPr>
            </w:pPr>
            <w:r>
              <w:rPr>
                <w:rFonts w:ascii="Arial"/>
                <w:spacing w:val="-1"/>
                <w:sz w:val="18"/>
              </w:rPr>
              <w:t>(4,000,000</w:t>
            </w:r>
          </w:p>
        </w:tc>
        <w:tc>
          <w:tcPr>
            <w:tcW w:w="25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 w:right="0"/>
              <w:jc w:val="left"/>
              <w:rPr>
                <w:rFonts w:ascii="Arial" w:hAnsi="Arial" w:cs="Arial" w:eastAsia="Arial" w:hint="default"/>
                <w:sz w:val="18"/>
                <w:szCs w:val="18"/>
              </w:rPr>
            </w:pPr>
            <w:r>
              <w:rPr>
                <w:rFonts w:ascii="Arial"/>
                <w:w w:val="99"/>
                <w:sz w:val="18"/>
              </w:rPr>
              <w:t>)</w:t>
            </w:r>
            <w:r>
              <w:rPr>
                <w:rFonts w:ascii="Arial"/>
                <w:sz w:val="18"/>
              </w:rPr>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7"/>
              <w:jc w:val="right"/>
              <w:rPr>
                <w:rFonts w:ascii="Arial" w:hAnsi="Arial" w:cs="Arial" w:eastAsia="Arial" w:hint="default"/>
                <w:sz w:val="18"/>
                <w:szCs w:val="18"/>
              </w:rPr>
            </w:pPr>
            <w:r>
              <w:rPr>
                <w:rFonts w:ascii="Arial"/>
                <w:w w:val="99"/>
                <w:sz w:val="18"/>
              </w:rPr>
              <w:t>-</w:t>
            </w:r>
            <w:r>
              <w:rPr>
                <w:rFonts w:ascii="Arial"/>
                <w:sz w:val="18"/>
              </w:rPr>
            </w: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0"/>
              <w:jc w:val="right"/>
              <w:rPr>
                <w:rFonts w:ascii="Arial" w:hAnsi="Arial" w:cs="Arial" w:eastAsia="Arial" w:hint="default"/>
                <w:sz w:val="18"/>
                <w:szCs w:val="18"/>
              </w:rPr>
            </w:pPr>
            <w:r>
              <w:rPr>
                <w:rFonts w:ascii="Arial"/>
                <w:w w:val="99"/>
                <w:sz w:val="18"/>
              </w:rPr>
              <w:t>-</w:t>
            </w:r>
            <w:r>
              <w:rPr>
                <w:rFonts w:ascii="Arial"/>
                <w:sz w:val="18"/>
              </w:rPr>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2"/>
              <w:jc w:val="right"/>
              <w:rPr>
                <w:rFonts w:ascii="Arial" w:hAnsi="Arial" w:cs="Arial" w:eastAsia="Arial" w:hint="default"/>
                <w:sz w:val="18"/>
                <w:szCs w:val="18"/>
              </w:rPr>
            </w:pPr>
            <w:r>
              <w:rPr>
                <w:rFonts w:ascii="Arial"/>
                <w:w w:val="99"/>
                <w:sz w:val="18"/>
              </w:rPr>
              <w:t>-</w:t>
            </w:r>
            <w:r>
              <w:rPr>
                <w:rFonts w:ascii="Arial"/>
                <w:sz w:val="18"/>
              </w:rPr>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4"/>
              <w:jc w:val="right"/>
              <w:rPr>
                <w:rFonts w:ascii="Arial" w:hAnsi="Arial" w:cs="Arial" w:eastAsia="Arial" w:hint="default"/>
                <w:sz w:val="18"/>
                <w:szCs w:val="18"/>
              </w:rPr>
            </w:pPr>
            <w:r>
              <w:rPr>
                <w:rFonts w:ascii="Arial"/>
                <w:w w:val="99"/>
                <w:sz w:val="18"/>
              </w:rPr>
              <w:t>-</w:t>
            </w:r>
            <w:r>
              <w:rPr>
                <w:rFonts w:ascii="Arial"/>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9"/>
              <w:jc w:val="right"/>
              <w:rPr>
                <w:rFonts w:ascii="Arial" w:hAnsi="Arial" w:cs="Arial" w:eastAsia="Arial" w:hint="default"/>
                <w:sz w:val="18"/>
                <w:szCs w:val="18"/>
              </w:rPr>
            </w:pPr>
            <w:r>
              <w:rPr>
                <w:rFonts w:ascii="Arial"/>
                <w:spacing w:val="-1"/>
                <w:sz w:val="18"/>
              </w:rPr>
              <w:t>4,000,000</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3"/>
              <w:jc w:val="right"/>
              <w:rPr>
                <w:rFonts w:ascii="Arial" w:hAnsi="Arial" w:cs="Arial" w:eastAsia="Arial" w:hint="default"/>
                <w:sz w:val="18"/>
                <w:szCs w:val="18"/>
              </w:rPr>
            </w:pPr>
            <w:r>
              <w:rPr>
                <w:rFonts w:ascii="Arial"/>
                <w:w w:val="99"/>
                <w:sz w:val="18"/>
              </w:rPr>
              <w:t>-</w:t>
            </w:r>
            <w:r>
              <w:rPr>
                <w:rFonts w:ascii="Arial"/>
                <w:sz w:val="18"/>
              </w:rPr>
            </w:r>
          </w:p>
        </w:tc>
      </w:tr>
      <w:tr>
        <w:trPr>
          <w:trHeight w:val="256" w:hRule="exact"/>
        </w:trPr>
        <w:tc>
          <w:tcPr>
            <w:tcW w:w="3754" w:type="dxa"/>
            <w:tcBorders>
              <w:top w:val="nil" w:sz="6" w:space="0" w:color="auto"/>
              <w:left w:val="nil" w:sz="6" w:space="0" w:color="auto"/>
              <w:bottom w:val="nil" w:sz="6" w:space="0" w:color="auto"/>
              <w:right w:val="nil" w:sz="6" w:space="0" w:color="auto"/>
            </w:tcBorders>
          </w:tcPr>
          <w:p>
            <w:pPr>
              <w:pStyle w:val="TableParagraph"/>
              <w:spacing w:line="213" w:lineRule="exact"/>
              <w:ind w:left="389" w:right="0"/>
              <w:jc w:val="left"/>
              <w:rPr>
                <w:rFonts w:ascii="黑体" w:hAnsi="黑体" w:cs="黑体" w:eastAsia="黑体" w:hint="default"/>
                <w:sz w:val="18"/>
                <w:szCs w:val="18"/>
              </w:rPr>
            </w:pPr>
            <w:r>
              <w:rPr>
                <w:rFonts w:ascii="黑体" w:hAnsi="黑体" w:cs="黑体" w:eastAsia="黑体" w:hint="default"/>
                <w:sz w:val="18"/>
                <w:szCs w:val="18"/>
              </w:rPr>
              <w:t>中投信用担保有限公司</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3"/>
              <w:jc w:val="right"/>
              <w:rPr>
                <w:rFonts w:ascii="Arial" w:hAnsi="Arial" w:cs="Arial" w:eastAsia="Arial" w:hint="default"/>
                <w:sz w:val="18"/>
                <w:szCs w:val="18"/>
              </w:rPr>
            </w:pPr>
            <w:r>
              <w:rPr>
                <w:rFonts w:ascii="Arial"/>
                <w:spacing w:val="-1"/>
                <w:sz w:val="18"/>
              </w:rPr>
              <w:t>5,000,000</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9"/>
              <w:jc w:val="right"/>
              <w:rPr>
                <w:rFonts w:ascii="Arial" w:hAnsi="Arial" w:cs="Arial" w:eastAsia="Arial" w:hint="default"/>
                <w:sz w:val="18"/>
                <w:szCs w:val="18"/>
              </w:rPr>
            </w:pPr>
            <w:r>
              <w:rPr>
                <w:rFonts w:ascii="Arial"/>
                <w:spacing w:val="-1"/>
                <w:sz w:val="18"/>
              </w:rPr>
              <w:t>5,000,000</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
              <w:jc w:val="right"/>
              <w:rPr>
                <w:rFonts w:ascii="Arial" w:hAnsi="Arial" w:cs="Arial" w:eastAsia="Arial" w:hint="default"/>
                <w:sz w:val="18"/>
                <w:szCs w:val="18"/>
              </w:rPr>
            </w:pPr>
            <w:r>
              <w:rPr>
                <w:rFonts w:ascii="Arial"/>
                <w:w w:val="99"/>
                <w:sz w:val="18"/>
              </w:rPr>
              <w:t>-</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4"/>
              <w:jc w:val="right"/>
              <w:rPr>
                <w:rFonts w:ascii="Arial" w:hAnsi="Arial" w:cs="Arial" w:eastAsia="Arial" w:hint="default"/>
                <w:sz w:val="18"/>
                <w:szCs w:val="18"/>
              </w:rPr>
            </w:pPr>
            <w:r>
              <w:rPr>
                <w:rFonts w:ascii="Arial"/>
                <w:spacing w:val="-1"/>
                <w:sz w:val="18"/>
              </w:rPr>
              <w:t>5,000,000</w:t>
            </w: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9"/>
              <w:jc w:val="right"/>
              <w:rPr>
                <w:rFonts w:ascii="Arial" w:hAnsi="Arial" w:cs="Arial" w:eastAsia="Arial" w:hint="default"/>
                <w:sz w:val="18"/>
                <w:szCs w:val="18"/>
              </w:rPr>
            </w:pPr>
            <w:r>
              <w:rPr>
                <w:rFonts w:ascii="Arial"/>
                <w:w w:val="95"/>
                <w:sz w:val="18"/>
              </w:rPr>
              <w:t>0.50</w:t>
            </w:r>
            <w:r>
              <w:rPr>
                <w:rFonts w:ascii="Arial"/>
                <w:sz w:val="18"/>
              </w:rPr>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89"/>
              <w:jc w:val="right"/>
              <w:rPr>
                <w:rFonts w:ascii="Arial" w:hAnsi="Arial" w:cs="Arial" w:eastAsia="Arial" w:hint="default"/>
                <w:sz w:val="18"/>
                <w:szCs w:val="18"/>
              </w:rPr>
            </w:pPr>
            <w:r>
              <w:rPr>
                <w:rFonts w:ascii="Arial"/>
                <w:w w:val="95"/>
                <w:sz w:val="18"/>
              </w:rPr>
              <w:t>0.50</w:t>
            </w:r>
            <w:r>
              <w:rPr>
                <w:rFonts w:ascii="Arial"/>
                <w:sz w:val="18"/>
              </w:rPr>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4"/>
              <w:jc w:val="right"/>
              <w:rPr>
                <w:rFonts w:ascii="Arial" w:hAnsi="Arial" w:cs="Arial" w:eastAsia="Arial" w:hint="default"/>
                <w:sz w:val="18"/>
                <w:szCs w:val="18"/>
              </w:rPr>
            </w:pPr>
            <w:r>
              <w:rPr>
                <w:rFonts w:ascii="Arial"/>
                <w:w w:val="99"/>
                <w:sz w:val="18"/>
              </w:rPr>
              <w:t>-</w:t>
            </w:r>
            <w:r>
              <w:rPr>
                <w:rFonts w:ascii="Arial"/>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2"/>
              <w:jc w:val="right"/>
              <w:rPr>
                <w:rFonts w:ascii="Arial" w:hAnsi="Arial" w:cs="Arial" w:eastAsia="Arial" w:hint="default"/>
                <w:sz w:val="18"/>
                <w:szCs w:val="18"/>
              </w:rPr>
            </w:pPr>
            <w:r>
              <w:rPr>
                <w:rFonts w:ascii="Arial"/>
                <w:w w:val="99"/>
                <w:sz w:val="18"/>
              </w:rPr>
              <w:t>-</w:t>
            </w:r>
            <w:r>
              <w:rPr>
                <w:rFonts w:ascii="Arial"/>
                <w:sz w:val="18"/>
              </w:rPr>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3"/>
              <w:jc w:val="right"/>
              <w:rPr>
                <w:rFonts w:ascii="Arial" w:hAnsi="Arial" w:cs="Arial" w:eastAsia="Arial" w:hint="default"/>
                <w:sz w:val="18"/>
                <w:szCs w:val="18"/>
              </w:rPr>
            </w:pPr>
            <w:r>
              <w:rPr>
                <w:rFonts w:ascii="Arial"/>
                <w:w w:val="99"/>
                <w:sz w:val="18"/>
              </w:rPr>
              <w:t>-</w:t>
            </w:r>
            <w:r>
              <w:rPr>
                <w:rFonts w:ascii="Arial"/>
                <w:sz w:val="18"/>
              </w:rPr>
            </w:r>
          </w:p>
        </w:tc>
      </w:tr>
      <w:tr>
        <w:trPr>
          <w:trHeight w:val="256" w:hRule="exact"/>
        </w:trPr>
        <w:tc>
          <w:tcPr>
            <w:tcW w:w="3754" w:type="dxa"/>
            <w:tcBorders>
              <w:top w:val="nil" w:sz="6" w:space="0" w:color="auto"/>
              <w:left w:val="nil" w:sz="6" w:space="0" w:color="auto"/>
              <w:bottom w:val="nil" w:sz="6" w:space="0" w:color="auto"/>
              <w:right w:val="nil" w:sz="6" w:space="0" w:color="auto"/>
            </w:tcBorders>
          </w:tcPr>
          <w:p>
            <w:pPr>
              <w:pStyle w:val="TableParagraph"/>
              <w:spacing w:line="214" w:lineRule="exact"/>
              <w:ind w:left="389" w:right="0"/>
              <w:jc w:val="left"/>
              <w:rPr>
                <w:rFonts w:ascii="黑体" w:hAnsi="黑体" w:cs="黑体" w:eastAsia="黑体" w:hint="default"/>
                <w:sz w:val="18"/>
                <w:szCs w:val="18"/>
              </w:rPr>
            </w:pPr>
            <w:r>
              <w:rPr>
                <w:rFonts w:ascii="黑体" w:hAnsi="黑体" w:cs="黑体" w:eastAsia="黑体" w:hint="default"/>
                <w:sz w:val="18"/>
                <w:szCs w:val="18"/>
              </w:rPr>
              <w:t>北京瑞友科技有限公司</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3"/>
              <w:jc w:val="right"/>
              <w:rPr>
                <w:rFonts w:ascii="Arial" w:hAnsi="Arial" w:cs="Arial" w:eastAsia="Arial" w:hint="default"/>
                <w:sz w:val="18"/>
                <w:szCs w:val="18"/>
              </w:rPr>
            </w:pPr>
            <w:r>
              <w:rPr>
                <w:rFonts w:ascii="Arial"/>
                <w:spacing w:val="-1"/>
                <w:sz w:val="18"/>
              </w:rPr>
              <w:t>4,615,766</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99"/>
              <w:jc w:val="right"/>
              <w:rPr>
                <w:rFonts w:ascii="Arial" w:hAnsi="Arial" w:cs="Arial" w:eastAsia="Arial" w:hint="default"/>
                <w:sz w:val="18"/>
                <w:szCs w:val="18"/>
              </w:rPr>
            </w:pPr>
            <w:r>
              <w:rPr>
                <w:rFonts w:ascii="Arial"/>
                <w:spacing w:val="-1"/>
                <w:sz w:val="18"/>
              </w:rPr>
              <w:t>4,615,766</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
              <w:jc w:val="right"/>
              <w:rPr>
                <w:rFonts w:ascii="Arial" w:hAnsi="Arial" w:cs="Arial" w:eastAsia="Arial" w:hint="default"/>
                <w:sz w:val="18"/>
                <w:szCs w:val="18"/>
              </w:rPr>
            </w:pPr>
            <w:r>
              <w:rPr>
                <w:rFonts w:ascii="Arial"/>
                <w:w w:val="99"/>
                <w:sz w:val="18"/>
              </w:rPr>
              <w:t>-</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4"/>
              <w:jc w:val="right"/>
              <w:rPr>
                <w:rFonts w:ascii="Arial" w:hAnsi="Arial" w:cs="Arial" w:eastAsia="Arial" w:hint="default"/>
                <w:sz w:val="18"/>
                <w:szCs w:val="18"/>
              </w:rPr>
            </w:pPr>
            <w:r>
              <w:rPr>
                <w:rFonts w:ascii="Arial"/>
                <w:spacing w:val="-1"/>
                <w:sz w:val="18"/>
              </w:rPr>
              <w:t>4,615,766</w:t>
            </w: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9"/>
              <w:jc w:val="right"/>
              <w:rPr>
                <w:rFonts w:ascii="Arial" w:hAnsi="Arial" w:cs="Arial" w:eastAsia="Arial" w:hint="default"/>
                <w:sz w:val="18"/>
                <w:szCs w:val="18"/>
              </w:rPr>
            </w:pPr>
            <w:r>
              <w:rPr>
                <w:rFonts w:ascii="Arial"/>
                <w:w w:val="95"/>
                <w:sz w:val="18"/>
              </w:rPr>
              <w:t>18.73</w:t>
            </w:r>
            <w:r>
              <w:rPr>
                <w:rFonts w:ascii="Arial"/>
                <w:sz w:val="18"/>
              </w:rPr>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89"/>
              <w:jc w:val="right"/>
              <w:rPr>
                <w:rFonts w:ascii="Arial" w:hAnsi="Arial" w:cs="Arial" w:eastAsia="Arial" w:hint="default"/>
                <w:sz w:val="18"/>
                <w:szCs w:val="18"/>
              </w:rPr>
            </w:pPr>
            <w:r>
              <w:rPr>
                <w:rFonts w:ascii="Arial"/>
                <w:w w:val="95"/>
                <w:sz w:val="18"/>
              </w:rPr>
              <w:t>18.73</w:t>
            </w:r>
            <w:r>
              <w:rPr>
                <w:rFonts w:ascii="Arial"/>
                <w:sz w:val="18"/>
              </w:rPr>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64"/>
              <w:jc w:val="right"/>
              <w:rPr>
                <w:rFonts w:ascii="Arial" w:hAnsi="Arial" w:cs="Arial" w:eastAsia="Arial" w:hint="default"/>
                <w:sz w:val="18"/>
                <w:szCs w:val="18"/>
              </w:rPr>
            </w:pPr>
            <w:r>
              <w:rPr>
                <w:rFonts w:ascii="Arial"/>
                <w:w w:val="99"/>
                <w:sz w:val="18"/>
              </w:rPr>
              <w:t>-</w:t>
            </w:r>
            <w:r>
              <w:rPr>
                <w:rFonts w:ascii="Arial"/>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92"/>
              <w:jc w:val="right"/>
              <w:rPr>
                <w:rFonts w:ascii="Arial" w:hAnsi="Arial" w:cs="Arial" w:eastAsia="Arial" w:hint="default"/>
                <w:sz w:val="18"/>
                <w:szCs w:val="18"/>
              </w:rPr>
            </w:pPr>
            <w:r>
              <w:rPr>
                <w:rFonts w:ascii="Arial"/>
                <w:w w:val="99"/>
                <w:sz w:val="18"/>
              </w:rPr>
              <w:t>-</w:t>
            </w:r>
            <w:r>
              <w:rPr>
                <w:rFonts w:ascii="Arial"/>
                <w:sz w:val="18"/>
              </w:rPr>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43"/>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3754" w:type="dxa"/>
            <w:tcBorders>
              <w:top w:val="nil" w:sz="6" w:space="0" w:color="auto"/>
              <w:left w:val="nil" w:sz="6" w:space="0" w:color="auto"/>
              <w:bottom w:val="nil" w:sz="6" w:space="0" w:color="auto"/>
              <w:right w:val="nil" w:sz="6" w:space="0" w:color="auto"/>
            </w:tcBorders>
          </w:tcPr>
          <w:p>
            <w:pPr>
              <w:pStyle w:val="TableParagraph"/>
              <w:spacing w:line="226" w:lineRule="exact"/>
              <w:ind w:left="389" w:right="0"/>
              <w:jc w:val="left"/>
              <w:rPr>
                <w:rFonts w:ascii="黑体" w:hAnsi="黑体" w:cs="黑体" w:eastAsia="黑体" w:hint="default"/>
                <w:sz w:val="18"/>
                <w:szCs w:val="18"/>
              </w:rPr>
            </w:pPr>
            <w:r>
              <w:rPr>
                <w:rFonts w:ascii="黑体" w:hAnsi="黑体" w:cs="黑体" w:eastAsia="黑体" w:hint="default"/>
                <w:sz w:val="18"/>
                <w:szCs w:val="18"/>
              </w:rPr>
              <w:t>中企永联数据交换技术</w:t>
            </w:r>
            <w:r>
              <w:rPr>
                <w:rFonts w:ascii="Arial" w:hAnsi="Arial" w:cs="Arial" w:eastAsia="Arial" w:hint="default"/>
                <w:sz w:val="18"/>
                <w:szCs w:val="18"/>
              </w:rPr>
              <w:t>(</w:t>
            </w:r>
            <w:r>
              <w:rPr>
                <w:rFonts w:ascii="黑体" w:hAnsi="黑体" w:cs="黑体" w:eastAsia="黑体" w:hint="default"/>
                <w:sz w:val="18"/>
                <w:szCs w:val="18"/>
              </w:rPr>
              <w:t>北京</w:t>
            </w:r>
            <w:r>
              <w:rPr>
                <w:rFonts w:ascii="Arial" w:hAnsi="Arial" w:cs="Arial" w:eastAsia="Arial" w:hint="default"/>
                <w:sz w:val="18"/>
                <w:szCs w:val="18"/>
              </w:rPr>
              <w:t>)</w:t>
            </w:r>
            <w:r>
              <w:rPr>
                <w:rFonts w:ascii="黑体" w:hAnsi="黑体" w:cs="黑体" w:eastAsia="黑体" w:hint="default"/>
                <w:sz w:val="18"/>
                <w:szCs w:val="18"/>
              </w:rPr>
              <w:t>有限公司</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3"/>
              <w:jc w:val="right"/>
              <w:rPr>
                <w:rFonts w:ascii="Arial" w:hAnsi="Arial" w:cs="Arial" w:eastAsia="Arial" w:hint="default"/>
                <w:sz w:val="18"/>
                <w:szCs w:val="18"/>
              </w:rPr>
            </w:pPr>
            <w:r>
              <w:rPr>
                <w:rFonts w:ascii="Arial"/>
                <w:spacing w:val="-1"/>
                <w:sz w:val="18"/>
              </w:rPr>
              <w:t>2,500,000</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9"/>
              <w:jc w:val="right"/>
              <w:rPr>
                <w:rFonts w:ascii="Arial" w:hAnsi="Arial" w:cs="Arial" w:eastAsia="Arial" w:hint="default"/>
                <w:sz w:val="18"/>
                <w:szCs w:val="18"/>
              </w:rPr>
            </w:pPr>
            <w:r>
              <w:rPr>
                <w:rFonts w:ascii="Arial"/>
                <w:spacing w:val="-1"/>
                <w:sz w:val="18"/>
              </w:rPr>
              <w:t>2,500,000</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
              <w:jc w:val="right"/>
              <w:rPr>
                <w:rFonts w:ascii="Arial" w:hAnsi="Arial" w:cs="Arial" w:eastAsia="Arial" w:hint="default"/>
                <w:sz w:val="18"/>
                <w:szCs w:val="18"/>
              </w:rPr>
            </w:pPr>
            <w:r>
              <w:rPr>
                <w:rFonts w:ascii="Arial"/>
                <w:w w:val="99"/>
                <w:sz w:val="18"/>
              </w:rPr>
              <w:t>-</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4"/>
              <w:jc w:val="right"/>
              <w:rPr>
                <w:rFonts w:ascii="Arial" w:hAnsi="Arial" w:cs="Arial" w:eastAsia="Arial" w:hint="default"/>
                <w:sz w:val="18"/>
                <w:szCs w:val="18"/>
              </w:rPr>
            </w:pPr>
            <w:r>
              <w:rPr>
                <w:rFonts w:ascii="Arial"/>
                <w:spacing w:val="-1"/>
                <w:sz w:val="18"/>
              </w:rPr>
              <w:t>2,500,000</w:t>
            </w: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9"/>
              <w:jc w:val="right"/>
              <w:rPr>
                <w:rFonts w:ascii="Arial" w:hAnsi="Arial" w:cs="Arial" w:eastAsia="Arial" w:hint="default"/>
                <w:sz w:val="18"/>
                <w:szCs w:val="18"/>
              </w:rPr>
            </w:pPr>
            <w:r>
              <w:rPr>
                <w:rFonts w:ascii="Arial"/>
                <w:w w:val="95"/>
                <w:sz w:val="18"/>
              </w:rPr>
              <w:t>19.81</w:t>
            </w:r>
            <w:r>
              <w:rPr>
                <w:rFonts w:ascii="Arial"/>
                <w:sz w:val="18"/>
              </w:rPr>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89"/>
              <w:jc w:val="right"/>
              <w:rPr>
                <w:rFonts w:ascii="Arial" w:hAnsi="Arial" w:cs="Arial" w:eastAsia="Arial" w:hint="default"/>
                <w:sz w:val="18"/>
                <w:szCs w:val="18"/>
              </w:rPr>
            </w:pPr>
            <w:r>
              <w:rPr>
                <w:rFonts w:ascii="Arial"/>
                <w:w w:val="95"/>
                <w:sz w:val="18"/>
              </w:rPr>
              <w:t>19.81</w:t>
            </w:r>
            <w:r>
              <w:rPr>
                <w:rFonts w:ascii="Arial"/>
                <w:sz w:val="18"/>
              </w:rPr>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4"/>
              <w:jc w:val="right"/>
              <w:rPr>
                <w:rFonts w:ascii="Arial" w:hAnsi="Arial" w:cs="Arial" w:eastAsia="Arial" w:hint="default"/>
                <w:sz w:val="18"/>
                <w:szCs w:val="18"/>
              </w:rPr>
            </w:pPr>
            <w:r>
              <w:rPr>
                <w:rFonts w:ascii="Arial"/>
                <w:w w:val="99"/>
                <w:sz w:val="18"/>
              </w:rPr>
              <w:t>-</w:t>
            </w:r>
            <w:r>
              <w:rPr>
                <w:rFonts w:ascii="Arial"/>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2"/>
              <w:jc w:val="right"/>
              <w:rPr>
                <w:rFonts w:ascii="Arial" w:hAnsi="Arial" w:cs="Arial" w:eastAsia="Arial" w:hint="default"/>
                <w:sz w:val="18"/>
                <w:szCs w:val="18"/>
              </w:rPr>
            </w:pPr>
            <w:r>
              <w:rPr>
                <w:rFonts w:ascii="Arial"/>
                <w:w w:val="99"/>
                <w:sz w:val="18"/>
              </w:rPr>
              <w:t>-</w:t>
            </w:r>
            <w:r>
              <w:rPr>
                <w:rFonts w:ascii="Arial"/>
                <w:sz w:val="18"/>
              </w:rPr>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3"/>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3754" w:type="dxa"/>
            <w:tcBorders>
              <w:top w:val="nil" w:sz="6" w:space="0" w:color="auto"/>
              <w:left w:val="nil" w:sz="6" w:space="0" w:color="auto"/>
              <w:bottom w:val="nil" w:sz="6" w:space="0" w:color="auto"/>
              <w:right w:val="nil" w:sz="6" w:space="0" w:color="auto"/>
            </w:tcBorders>
          </w:tcPr>
          <w:p>
            <w:pPr>
              <w:pStyle w:val="TableParagraph"/>
              <w:spacing w:line="213" w:lineRule="exact"/>
              <w:ind w:left="389" w:right="0"/>
              <w:jc w:val="left"/>
              <w:rPr>
                <w:rFonts w:ascii="黑体" w:hAnsi="黑体" w:cs="黑体" w:eastAsia="黑体" w:hint="default"/>
                <w:sz w:val="18"/>
                <w:szCs w:val="18"/>
              </w:rPr>
            </w:pPr>
            <w:r>
              <w:rPr>
                <w:rFonts w:ascii="黑体" w:hAnsi="黑体" w:cs="黑体" w:eastAsia="黑体" w:hint="default"/>
                <w:sz w:val="18"/>
                <w:szCs w:val="18"/>
              </w:rPr>
              <w:t>中科方德软件有限公司</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2"/>
              <w:jc w:val="right"/>
              <w:rPr>
                <w:rFonts w:ascii="Arial" w:hAnsi="Arial" w:cs="Arial" w:eastAsia="Arial" w:hint="default"/>
                <w:sz w:val="18"/>
                <w:szCs w:val="18"/>
              </w:rPr>
            </w:pPr>
            <w:r>
              <w:rPr>
                <w:rFonts w:ascii="Arial"/>
                <w:spacing w:val="-1"/>
                <w:sz w:val="18"/>
              </w:rPr>
              <w:t>11,500,000</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00"/>
              <w:jc w:val="right"/>
              <w:rPr>
                <w:rFonts w:ascii="Arial" w:hAnsi="Arial" w:cs="Arial" w:eastAsia="Arial" w:hint="default"/>
                <w:sz w:val="18"/>
                <w:szCs w:val="18"/>
              </w:rPr>
            </w:pPr>
            <w:r>
              <w:rPr>
                <w:rFonts w:ascii="Arial"/>
                <w:spacing w:val="-1"/>
                <w:sz w:val="18"/>
              </w:rPr>
              <w:t>11,500,000</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
              <w:jc w:val="right"/>
              <w:rPr>
                <w:rFonts w:ascii="Arial" w:hAnsi="Arial" w:cs="Arial" w:eastAsia="Arial" w:hint="default"/>
                <w:sz w:val="18"/>
                <w:szCs w:val="18"/>
              </w:rPr>
            </w:pPr>
            <w:r>
              <w:rPr>
                <w:rFonts w:ascii="Arial"/>
                <w:w w:val="99"/>
                <w:sz w:val="18"/>
              </w:rPr>
              <w:t>-</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5"/>
              <w:jc w:val="right"/>
              <w:rPr>
                <w:rFonts w:ascii="Arial" w:hAnsi="Arial" w:cs="Arial" w:eastAsia="Arial" w:hint="default"/>
                <w:sz w:val="18"/>
                <w:szCs w:val="18"/>
              </w:rPr>
            </w:pPr>
            <w:r>
              <w:rPr>
                <w:rFonts w:ascii="Arial"/>
                <w:spacing w:val="-1"/>
                <w:sz w:val="18"/>
              </w:rPr>
              <w:t>11,500,000</w:t>
            </w: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9"/>
              <w:jc w:val="right"/>
              <w:rPr>
                <w:rFonts w:ascii="Arial" w:hAnsi="Arial" w:cs="Arial" w:eastAsia="Arial" w:hint="default"/>
                <w:sz w:val="18"/>
                <w:szCs w:val="18"/>
              </w:rPr>
            </w:pPr>
            <w:r>
              <w:rPr>
                <w:rFonts w:ascii="Arial"/>
                <w:w w:val="95"/>
                <w:sz w:val="18"/>
              </w:rPr>
              <w:t>11.25</w:t>
            </w:r>
            <w:r>
              <w:rPr>
                <w:rFonts w:ascii="Arial"/>
                <w:sz w:val="18"/>
              </w:rPr>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89"/>
              <w:jc w:val="right"/>
              <w:rPr>
                <w:rFonts w:ascii="Arial" w:hAnsi="Arial" w:cs="Arial" w:eastAsia="Arial" w:hint="default"/>
                <w:sz w:val="18"/>
                <w:szCs w:val="18"/>
              </w:rPr>
            </w:pPr>
            <w:r>
              <w:rPr>
                <w:rFonts w:ascii="Arial"/>
                <w:w w:val="95"/>
                <w:sz w:val="18"/>
              </w:rPr>
              <w:t>11.25</w:t>
            </w:r>
            <w:r>
              <w:rPr>
                <w:rFonts w:ascii="Arial"/>
                <w:sz w:val="18"/>
              </w:rPr>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4"/>
              <w:jc w:val="right"/>
              <w:rPr>
                <w:rFonts w:ascii="Arial" w:hAnsi="Arial" w:cs="Arial" w:eastAsia="Arial" w:hint="default"/>
                <w:sz w:val="18"/>
                <w:szCs w:val="18"/>
              </w:rPr>
            </w:pPr>
            <w:r>
              <w:rPr>
                <w:rFonts w:ascii="Arial"/>
                <w:w w:val="99"/>
                <w:sz w:val="18"/>
              </w:rPr>
              <w:t>-</w:t>
            </w:r>
            <w:r>
              <w:rPr>
                <w:rFonts w:ascii="Arial"/>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2"/>
              <w:jc w:val="right"/>
              <w:rPr>
                <w:rFonts w:ascii="Arial" w:hAnsi="Arial" w:cs="Arial" w:eastAsia="Arial" w:hint="default"/>
                <w:sz w:val="18"/>
                <w:szCs w:val="18"/>
              </w:rPr>
            </w:pPr>
            <w:r>
              <w:rPr>
                <w:rFonts w:ascii="Arial"/>
                <w:w w:val="99"/>
                <w:sz w:val="18"/>
              </w:rPr>
              <w:t>-</w:t>
            </w:r>
            <w:r>
              <w:rPr>
                <w:rFonts w:ascii="Arial"/>
                <w:sz w:val="18"/>
              </w:rPr>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1"/>
              <w:jc w:val="right"/>
              <w:rPr>
                <w:rFonts w:ascii="Arial" w:hAnsi="Arial" w:cs="Arial" w:eastAsia="Arial" w:hint="default"/>
                <w:sz w:val="18"/>
                <w:szCs w:val="18"/>
              </w:rPr>
            </w:pPr>
            <w:r>
              <w:rPr>
                <w:rFonts w:ascii="Arial"/>
                <w:spacing w:val="-1"/>
                <w:sz w:val="18"/>
              </w:rPr>
              <w:t>959,167</w:t>
            </w:r>
          </w:p>
        </w:tc>
      </w:tr>
      <w:tr>
        <w:trPr>
          <w:trHeight w:val="256" w:hRule="exact"/>
        </w:trPr>
        <w:tc>
          <w:tcPr>
            <w:tcW w:w="3754" w:type="dxa"/>
            <w:tcBorders>
              <w:top w:val="nil" w:sz="6" w:space="0" w:color="auto"/>
              <w:left w:val="nil" w:sz="6" w:space="0" w:color="auto"/>
              <w:bottom w:val="nil" w:sz="6" w:space="0" w:color="auto"/>
              <w:right w:val="nil" w:sz="6" w:space="0" w:color="auto"/>
            </w:tcBorders>
          </w:tcPr>
          <w:p>
            <w:pPr>
              <w:pStyle w:val="TableParagraph"/>
              <w:spacing w:line="213" w:lineRule="exact"/>
              <w:ind w:left="389" w:right="0"/>
              <w:jc w:val="left"/>
              <w:rPr>
                <w:rFonts w:ascii="黑体" w:hAnsi="黑体" w:cs="黑体" w:eastAsia="黑体" w:hint="default"/>
                <w:sz w:val="18"/>
                <w:szCs w:val="18"/>
              </w:rPr>
            </w:pPr>
            <w:r>
              <w:rPr>
                <w:rFonts w:ascii="黑体" w:hAnsi="黑体" w:cs="黑体" w:eastAsia="黑体" w:hint="default"/>
                <w:sz w:val="18"/>
                <w:szCs w:val="18"/>
              </w:rPr>
              <w:t>深圳市新希元软件技术有限公司</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3"/>
              <w:jc w:val="right"/>
              <w:rPr>
                <w:rFonts w:ascii="Arial" w:hAnsi="Arial" w:cs="Arial" w:eastAsia="Arial" w:hint="default"/>
                <w:sz w:val="18"/>
                <w:szCs w:val="18"/>
              </w:rPr>
            </w:pPr>
            <w:r>
              <w:rPr>
                <w:rFonts w:ascii="Arial"/>
                <w:spacing w:val="-1"/>
                <w:sz w:val="18"/>
              </w:rPr>
              <w:t>5,000,000</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9"/>
              <w:jc w:val="right"/>
              <w:rPr>
                <w:rFonts w:ascii="Arial" w:hAnsi="Arial" w:cs="Arial" w:eastAsia="Arial" w:hint="default"/>
                <w:sz w:val="18"/>
                <w:szCs w:val="18"/>
              </w:rPr>
            </w:pPr>
            <w:r>
              <w:rPr>
                <w:rFonts w:ascii="Arial"/>
                <w:spacing w:val="-1"/>
                <w:sz w:val="18"/>
              </w:rPr>
              <w:t>5,000,000</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
              <w:jc w:val="right"/>
              <w:rPr>
                <w:rFonts w:ascii="Arial" w:hAnsi="Arial" w:cs="Arial" w:eastAsia="Arial" w:hint="default"/>
                <w:sz w:val="18"/>
                <w:szCs w:val="18"/>
              </w:rPr>
            </w:pPr>
            <w:r>
              <w:rPr>
                <w:rFonts w:ascii="Arial"/>
                <w:w w:val="99"/>
                <w:sz w:val="18"/>
              </w:rPr>
              <w:t>-</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4"/>
              <w:jc w:val="right"/>
              <w:rPr>
                <w:rFonts w:ascii="Arial" w:hAnsi="Arial" w:cs="Arial" w:eastAsia="Arial" w:hint="default"/>
                <w:sz w:val="18"/>
                <w:szCs w:val="18"/>
              </w:rPr>
            </w:pPr>
            <w:r>
              <w:rPr>
                <w:rFonts w:ascii="Arial"/>
                <w:spacing w:val="-1"/>
                <w:sz w:val="18"/>
              </w:rPr>
              <w:t>5,000,000</w:t>
            </w: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9"/>
              <w:jc w:val="right"/>
              <w:rPr>
                <w:rFonts w:ascii="Arial" w:hAnsi="Arial" w:cs="Arial" w:eastAsia="Arial" w:hint="default"/>
                <w:sz w:val="18"/>
                <w:szCs w:val="18"/>
              </w:rPr>
            </w:pPr>
            <w:r>
              <w:rPr>
                <w:rFonts w:ascii="Arial"/>
                <w:w w:val="95"/>
                <w:sz w:val="18"/>
              </w:rPr>
              <w:t>19.80</w:t>
            </w:r>
            <w:r>
              <w:rPr>
                <w:rFonts w:ascii="Arial"/>
                <w:sz w:val="18"/>
              </w:rPr>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89"/>
              <w:jc w:val="right"/>
              <w:rPr>
                <w:rFonts w:ascii="Arial" w:hAnsi="Arial" w:cs="Arial" w:eastAsia="Arial" w:hint="default"/>
                <w:sz w:val="18"/>
                <w:szCs w:val="18"/>
              </w:rPr>
            </w:pPr>
            <w:r>
              <w:rPr>
                <w:rFonts w:ascii="Arial"/>
                <w:w w:val="95"/>
                <w:sz w:val="18"/>
              </w:rPr>
              <w:t>19.80</w:t>
            </w:r>
            <w:r>
              <w:rPr>
                <w:rFonts w:ascii="Arial"/>
                <w:sz w:val="18"/>
              </w:rPr>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4"/>
              <w:jc w:val="right"/>
              <w:rPr>
                <w:rFonts w:ascii="Arial" w:hAnsi="Arial" w:cs="Arial" w:eastAsia="Arial" w:hint="default"/>
                <w:sz w:val="18"/>
                <w:szCs w:val="18"/>
              </w:rPr>
            </w:pPr>
            <w:r>
              <w:rPr>
                <w:rFonts w:ascii="Arial"/>
                <w:w w:val="99"/>
                <w:sz w:val="18"/>
              </w:rPr>
              <w:t>-</w:t>
            </w:r>
            <w:r>
              <w:rPr>
                <w:rFonts w:ascii="Arial"/>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2"/>
              <w:jc w:val="right"/>
              <w:rPr>
                <w:rFonts w:ascii="Arial" w:hAnsi="Arial" w:cs="Arial" w:eastAsia="Arial" w:hint="default"/>
                <w:sz w:val="18"/>
                <w:szCs w:val="18"/>
              </w:rPr>
            </w:pPr>
            <w:r>
              <w:rPr>
                <w:rFonts w:ascii="Arial"/>
                <w:w w:val="99"/>
                <w:sz w:val="18"/>
              </w:rPr>
              <w:t>-</w:t>
            </w:r>
            <w:r>
              <w:rPr>
                <w:rFonts w:ascii="Arial"/>
                <w:sz w:val="18"/>
              </w:rPr>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3"/>
              <w:jc w:val="right"/>
              <w:rPr>
                <w:rFonts w:ascii="Arial" w:hAnsi="Arial" w:cs="Arial" w:eastAsia="Arial" w:hint="default"/>
                <w:sz w:val="18"/>
                <w:szCs w:val="18"/>
              </w:rPr>
            </w:pPr>
            <w:r>
              <w:rPr>
                <w:rFonts w:ascii="Arial"/>
                <w:w w:val="99"/>
                <w:sz w:val="18"/>
              </w:rPr>
              <w:t>-</w:t>
            </w:r>
            <w:r>
              <w:rPr>
                <w:rFonts w:ascii="Arial"/>
                <w:sz w:val="18"/>
              </w:rPr>
            </w:r>
          </w:p>
        </w:tc>
      </w:tr>
      <w:tr>
        <w:trPr>
          <w:trHeight w:val="256" w:hRule="exact"/>
        </w:trPr>
        <w:tc>
          <w:tcPr>
            <w:tcW w:w="3754" w:type="dxa"/>
            <w:tcBorders>
              <w:top w:val="nil" w:sz="6" w:space="0" w:color="auto"/>
              <w:left w:val="nil" w:sz="6" w:space="0" w:color="auto"/>
              <w:bottom w:val="nil" w:sz="6" w:space="0" w:color="auto"/>
              <w:right w:val="nil" w:sz="6" w:space="0" w:color="auto"/>
            </w:tcBorders>
          </w:tcPr>
          <w:p>
            <w:pPr>
              <w:pStyle w:val="TableParagraph"/>
              <w:spacing w:line="214" w:lineRule="exact"/>
              <w:ind w:left="389" w:right="0"/>
              <w:jc w:val="left"/>
              <w:rPr>
                <w:rFonts w:ascii="黑体" w:hAnsi="黑体" w:cs="黑体" w:eastAsia="黑体" w:hint="default"/>
                <w:sz w:val="18"/>
                <w:szCs w:val="18"/>
              </w:rPr>
            </w:pPr>
            <w:r>
              <w:rPr>
                <w:rFonts w:ascii="黑体" w:hAnsi="黑体" w:cs="黑体" w:eastAsia="黑体" w:hint="default"/>
                <w:sz w:val="18"/>
                <w:szCs w:val="18"/>
              </w:rPr>
              <w:t>通联支付网络服务股份有限公司</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2"/>
              <w:jc w:val="right"/>
              <w:rPr>
                <w:rFonts w:ascii="Arial" w:hAnsi="Arial" w:cs="Arial" w:eastAsia="Arial" w:hint="default"/>
                <w:sz w:val="18"/>
                <w:szCs w:val="18"/>
              </w:rPr>
            </w:pPr>
            <w:r>
              <w:rPr>
                <w:rFonts w:ascii="Arial"/>
                <w:spacing w:val="-1"/>
                <w:sz w:val="18"/>
              </w:rPr>
              <w:t>45,000,000</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00"/>
              <w:jc w:val="right"/>
              <w:rPr>
                <w:rFonts w:ascii="Arial" w:hAnsi="Arial" w:cs="Arial" w:eastAsia="Arial" w:hint="default"/>
                <w:sz w:val="18"/>
                <w:szCs w:val="18"/>
              </w:rPr>
            </w:pPr>
            <w:r>
              <w:rPr>
                <w:rFonts w:ascii="Arial"/>
                <w:spacing w:val="-1"/>
                <w:sz w:val="18"/>
              </w:rPr>
              <w:t>45,000,000</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
              <w:jc w:val="right"/>
              <w:rPr>
                <w:rFonts w:ascii="Arial" w:hAnsi="Arial" w:cs="Arial" w:eastAsia="Arial" w:hint="default"/>
                <w:sz w:val="18"/>
                <w:szCs w:val="18"/>
              </w:rPr>
            </w:pPr>
            <w:r>
              <w:rPr>
                <w:rFonts w:ascii="Arial"/>
                <w:w w:val="99"/>
                <w:sz w:val="18"/>
              </w:rPr>
              <w:t>-</w:t>
            </w:r>
            <w:r>
              <w:rPr>
                <w:rFonts w:ascii="Arial"/>
                <w:sz w:val="18"/>
              </w:rPr>
            </w:r>
          </w:p>
        </w:tc>
        <w:tc>
          <w:tcPr>
            <w:tcW w:w="257" w:type="dxa"/>
            <w:tcBorders>
              <w:top w:val="nil" w:sz="6" w:space="0" w:color="auto"/>
              <w:left w:val="nil" w:sz="6" w:space="0" w:color="auto"/>
              <w:bottom w:val="nil" w:sz="6" w:space="0" w:color="auto"/>
              <w:right w:val="nil" w:sz="6" w:space="0" w:color="auto"/>
            </w:tcBorders>
          </w:tcPr>
          <w:p>
            <w:pP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35"/>
              <w:jc w:val="right"/>
              <w:rPr>
                <w:rFonts w:ascii="Arial" w:hAnsi="Arial" w:cs="Arial" w:eastAsia="Arial" w:hint="default"/>
                <w:sz w:val="18"/>
                <w:szCs w:val="18"/>
              </w:rPr>
            </w:pPr>
            <w:r>
              <w:rPr>
                <w:rFonts w:ascii="Arial"/>
                <w:spacing w:val="-1"/>
                <w:sz w:val="18"/>
              </w:rPr>
              <w:t>45,000,000</w:t>
            </w: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19"/>
              <w:jc w:val="right"/>
              <w:rPr>
                <w:rFonts w:ascii="Arial" w:hAnsi="Arial" w:cs="Arial" w:eastAsia="Arial" w:hint="default"/>
                <w:sz w:val="18"/>
                <w:szCs w:val="18"/>
              </w:rPr>
            </w:pPr>
            <w:r>
              <w:rPr>
                <w:rFonts w:ascii="Arial"/>
                <w:w w:val="95"/>
                <w:sz w:val="18"/>
              </w:rPr>
              <w:t>2.05</w:t>
            </w:r>
            <w:r>
              <w:rPr>
                <w:rFonts w:ascii="Arial"/>
                <w:sz w:val="18"/>
              </w:rPr>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89"/>
              <w:jc w:val="right"/>
              <w:rPr>
                <w:rFonts w:ascii="Arial" w:hAnsi="Arial" w:cs="Arial" w:eastAsia="Arial" w:hint="default"/>
                <w:sz w:val="18"/>
                <w:szCs w:val="18"/>
              </w:rPr>
            </w:pPr>
            <w:r>
              <w:rPr>
                <w:rFonts w:ascii="Arial"/>
                <w:w w:val="95"/>
                <w:sz w:val="18"/>
              </w:rPr>
              <w:t>2.05</w:t>
            </w:r>
            <w:r>
              <w:rPr>
                <w:rFonts w:ascii="Arial"/>
                <w:sz w:val="18"/>
              </w:rPr>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64"/>
              <w:jc w:val="right"/>
              <w:rPr>
                <w:rFonts w:ascii="Arial" w:hAnsi="Arial" w:cs="Arial" w:eastAsia="Arial" w:hint="default"/>
                <w:sz w:val="18"/>
                <w:szCs w:val="18"/>
              </w:rPr>
            </w:pPr>
            <w:r>
              <w:rPr>
                <w:rFonts w:ascii="Arial"/>
                <w:w w:val="99"/>
                <w:sz w:val="18"/>
              </w:rPr>
              <w:t>-</w:t>
            </w:r>
            <w:r>
              <w:rPr>
                <w:rFonts w:ascii="Arial"/>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92"/>
              <w:jc w:val="right"/>
              <w:rPr>
                <w:rFonts w:ascii="Arial" w:hAnsi="Arial" w:cs="Arial" w:eastAsia="Arial" w:hint="default"/>
                <w:sz w:val="18"/>
                <w:szCs w:val="18"/>
              </w:rPr>
            </w:pPr>
            <w:r>
              <w:rPr>
                <w:rFonts w:ascii="Arial"/>
                <w:w w:val="99"/>
                <w:sz w:val="18"/>
              </w:rPr>
              <w:t>-</w:t>
            </w:r>
            <w:r>
              <w:rPr>
                <w:rFonts w:ascii="Arial"/>
                <w:sz w:val="18"/>
              </w:rPr>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43"/>
              <w:jc w:val="right"/>
              <w:rPr>
                <w:rFonts w:ascii="Arial" w:hAnsi="Arial" w:cs="Arial" w:eastAsia="Arial" w:hint="default"/>
                <w:sz w:val="18"/>
                <w:szCs w:val="18"/>
              </w:rPr>
            </w:pPr>
            <w:r>
              <w:rPr>
                <w:rFonts w:ascii="Arial"/>
                <w:w w:val="99"/>
                <w:sz w:val="18"/>
              </w:rPr>
              <w:t>-</w:t>
            </w:r>
            <w:r>
              <w:rPr>
                <w:rFonts w:ascii="Arial"/>
                <w:sz w:val="18"/>
              </w:rPr>
            </w:r>
          </w:p>
        </w:tc>
      </w:tr>
      <w:tr>
        <w:trPr>
          <w:trHeight w:val="382" w:hRule="exact"/>
        </w:trPr>
        <w:tc>
          <w:tcPr>
            <w:tcW w:w="3754" w:type="dxa"/>
            <w:tcBorders>
              <w:top w:val="nil" w:sz="6" w:space="0" w:color="auto"/>
              <w:left w:val="nil" w:sz="6" w:space="0" w:color="auto"/>
              <w:bottom w:val="nil" w:sz="6" w:space="0" w:color="auto"/>
              <w:right w:val="nil" w:sz="6" w:space="0" w:color="auto"/>
            </w:tcBorders>
          </w:tcPr>
          <w:p>
            <w:pPr>
              <w:pStyle w:val="TableParagraph"/>
              <w:spacing w:line="213" w:lineRule="exact"/>
              <w:ind w:left="389" w:right="0"/>
              <w:jc w:val="left"/>
              <w:rPr>
                <w:rFonts w:ascii="黑体" w:hAnsi="黑体" w:cs="黑体" w:eastAsia="黑体" w:hint="default"/>
                <w:sz w:val="18"/>
                <w:szCs w:val="18"/>
              </w:rPr>
            </w:pPr>
            <w:r>
              <w:rPr>
                <w:rFonts w:ascii="黑体" w:hAnsi="黑体" w:cs="黑体" w:eastAsia="黑体" w:hint="default"/>
                <w:sz w:val="18"/>
                <w:szCs w:val="18"/>
              </w:rPr>
              <w:t>北京华建友联信息技术有限公司</w:t>
            </w:r>
          </w:p>
        </w:tc>
        <w:tc>
          <w:tcPr>
            <w:tcW w:w="1381" w:type="dxa"/>
            <w:tcBorders>
              <w:top w:val="nil" w:sz="6" w:space="0" w:color="auto"/>
              <w:left w:val="nil" w:sz="6" w:space="0" w:color="auto"/>
              <w:bottom w:val="nil" w:sz="6" w:space="0" w:color="auto"/>
              <w:right w:val="nil" w:sz="6" w:space="0" w:color="auto"/>
            </w:tcBorders>
          </w:tcPr>
          <w:p>
            <w:pPr>
              <w:pStyle w:val="TableParagraph"/>
              <w:tabs>
                <w:tab w:pos="902" w:val="left" w:leader="none"/>
              </w:tabs>
              <w:spacing w:line="240" w:lineRule="auto" w:before="18"/>
              <w:ind w:right="11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9"/>
                <w:sz w:val="18"/>
                <w:u w:val="single" w:color="000000"/>
              </w:rPr>
              <w:t> </w:t>
            </w:r>
            <w:r>
              <w:rPr>
                <w:rFonts w:ascii="Arial"/>
                <w:spacing w:val="-1"/>
                <w:sz w:val="18"/>
                <w:u w:val="single" w:color="000000"/>
              </w:rPr>
              <w:t>2,000,000</w:t>
            </w:r>
            <w:r>
              <w:rPr>
                <w:rFonts w:ascii="Arial"/>
                <w:spacing w:val="-1"/>
                <w:sz w:val="18"/>
              </w:rPr>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8"/>
              <w:jc w:val="right"/>
              <w:rPr>
                <w:rFonts w:ascii="Arial" w:hAnsi="Arial" w:cs="Arial" w:eastAsia="Arial" w:hint="default"/>
                <w:sz w:val="18"/>
                <w:szCs w:val="18"/>
              </w:rPr>
            </w:pPr>
            <w:r>
              <w:rPr>
                <w:rFonts w:ascii="Arial"/>
                <w:spacing w:val="-1"/>
                <w:sz w:val="18"/>
              </w:rPr>
              <w:t>(</w:t>
            </w:r>
            <w:r>
              <w:rPr>
                <w:rFonts w:ascii="Arial"/>
                <w:spacing w:val="-1"/>
                <w:sz w:val="18"/>
                <w:u w:val="single" w:color="000000"/>
              </w:rPr>
              <w:t>2,000,000</w:t>
            </w:r>
            <w:r>
              <w:rPr>
                <w:rFonts w:ascii="Arial"/>
                <w:spacing w:val="-1"/>
                <w:sz w:val="18"/>
              </w:rPr>
            </w:r>
          </w:p>
        </w:tc>
        <w:tc>
          <w:tcPr>
            <w:tcW w:w="25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 w:right="0"/>
              <w:jc w:val="left"/>
              <w:rPr>
                <w:rFonts w:ascii="Arial" w:hAnsi="Arial" w:cs="Arial" w:eastAsia="Arial" w:hint="default"/>
                <w:sz w:val="18"/>
                <w:szCs w:val="18"/>
              </w:rPr>
            </w:pPr>
            <w:r>
              <w:rPr>
                <w:rFonts w:ascii="Arial"/>
                <w:w w:val="99"/>
                <w:sz w:val="18"/>
              </w:rPr>
              <w:t>)</w:t>
            </w:r>
            <w:r>
              <w:rPr>
                <w:rFonts w:ascii="Arial"/>
                <w:sz w:val="18"/>
              </w:rPr>
            </w:r>
          </w:p>
        </w:tc>
        <w:tc>
          <w:tcPr>
            <w:tcW w:w="1242" w:type="dxa"/>
            <w:tcBorders>
              <w:top w:val="nil" w:sz="6" w:space="0" w:color="auto"/>
              <w:left w:val="nil" w:sz="6" w:space="0" w:color="auto"/>
              <w:bottom w:val="nil" w:sz="6" w:space="0" w:color="auto"/>
              <w:right w:val="nil" w:sz="6" w:space="0" w:color="auto"/>
            </w:tcBorders>
          </w:tcPr>
          <w:p>
            <w:pPr>
              <w:pStyle w:val="TableParagraph"/>
              <w:tabs>
                <w:tab w:pos="902" w:val="left" w:leader="none"/>
              </w:tabs>
              <w:spacing w:line="240" w:lineRule="auto" w:before="18"/>
              <w:ind w:right="13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89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0"/>
              <w:jc w:val="right"/>
              <w:rPr>
                <w:rFonts w:ascii="Arial" w:hAnsi="Arial" w:cs="Arial" w:eastAsia="Arial" w:hint="default"/>
                <w:sz w:val="18"/>
                <w:szCs w:val="18"/>
              </w:rPr>
            </w:pPr>
            <w:r>
              <w:rPr>
                <w:rFonts w:ascii="Arial"/>
                <w:w w:val="99"/>
                <w:sz w:val="18"/>
              </w:rPr>
              <w:t>-</w:t>
            </w:r>
            <w:r>
              <w:rPr>
                <w:rFonts w:ascii="Arial"/>
                <w:sz w:val="18"/>
              </w:rPr>
            </w:r>
          </w:p>
        </w:tc>
        <w:tc>
          <w:tcPr>
            <w:tcW w:w="117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2"/>
              <w:jc w:val="right"/>
              <w:rPr>
                <w:rFonts w:ascii="Arial" w:hAnsi="Arial" w:cs="Arial" w:eastAsia="Arial" w:hint="default"/>
                <w:sz w:val="18"/>
                <w:szCs w:val="18"/>
              </w:rPr>
            </w:pPr>
            <w:r>
              <w:rPr>
                <w:rFonts w:ascii="Arial"/>
                <w:w w:val="99"/>
                <w:sz w:val="18"/>
              </w:rPr>
              <w:t>-</w:t>
            </w:r>
            <w:r>
              <w:rPr>
                <w:rFonts w:ascii="Arial"/>
                <w:sz w:val="18"/>
              </w:rPr>
            </w:r>
          </w:p>
        </w:tc>
        <w:tc>
          <w:tcPr>
            <w:tcW w:w="1164" w:type="dxa"/>
            <w:tcBorders>
              <w:top w:val="nil" w:sz="6" w:space="0" w:color="auto"/>
              <w:left w:val="nil" w:sz="6" w:space="0" w:color="auto"/>
              <w:bottom w:val="nil" w:sz="6" w:space="0" w:color="auto"/>
              <w:right w:val="nil" w:sz="6" w:space="0" w:color="auto"/>
            </w:tcBorders>
          </w:tcPr>
          <w:p>
            <w:pPr>
              <w:pStyle w:val="TableParagraph"/>
              <w:tabs>
                <w:tab w:pos="813" w:val="left" w:leader="none"/>
              </w:tabs>
              <w:spacing w:line="240" w:lineRule="auto" w:before="18"/>
              <w:ind w:right="26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260" w:type="dxa"/>
            <w:tcBorders>
              <w:top w:val="nil" w:sz="6" w:space="0" w:color="auto"/>
              <w:left w:val="nil" w:sz="6" w:space="0" w:color="auto"/>
              <w:bottom w:val="nil" w:sz="6" w:space="0" w:color="auto"/>
              <w:right w:val="nil" w:sz="6" w:space="0" w:color="auto"/>
            </w:tcBorders>
          </w:tcPr>
          <w:p>
            <w:pPr>
              <w:pStyle w:val="TableParagraph"/>
              <w:tabs>
                <w:tab w:pos="722" w:val="left" w:leader="none"/>
              </w:tabs>
              <w:spacing w:line="240" w:lineRule="auto" w:before="18"/>
              <w:ind w:right="18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55" w:type="dxa"/>
            <w:tcBorders>
              <w:top w:val="nil" w:sz="6" w:space="0" w:color="auto"/>
              <w:left w:val="nil" w:sz="6" w:space="0" w:color="auto"/>
              <w:bottom w:val="nil" w:sz="6" w:space="0" w:color="auto"/>
              <w:right w:val="nil" w:sz="6" w:space="0" w:color="auto"/>
            </w:tcBorders>
          </w:tcPr>
          <w:p>
            <w:pPr>
              <w:pStyle w:val="TableParagraph"/>
              <w:tabs>
                <w:tab w:pos="851" w:val="left" w:leader="none"/>
              </w:tabs>
              <w:spacing w:line="240" w:lineRule="auto" w:before="18"/>
              <w:ind w:left="119"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r>
      <w:tr>
        <w:trPr>
          <w:trHeight w:val="349" w:hRule="exact"/>
        </w:trPr>
        <w:tc>
          <w:tcPr>
            <w:tcW w:w="3754"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89" w:right="0"/>
              <w:jc w:val="left"/>
              <w:rPr>
                <w:rFonts w:ascii="黑体" w:hAnsi="黑体" w:cs="黑体" w:eastAsia="黑体" w:hint="default"/>
                <w:sz w:val="18"/>
                <w:szCs w:val="18"/>
              </w:rPr>
            </w:pPr>
            <w:r>
              <w:rPr>
                <w:rFonts w:ascii="黑体" w:hAnsi="黑体" w:cs="黑体" w:eastAsia="黑体" w:hint="default"/>
                <w:sz w:val="18"/>
                <w:szCs w:val="18"/>
              </w:rPr>
              <w:t>小计</w:t>
            </w:r>
          </w:p>
        </w:tc>
        <w:tc>
          <w:tcPr>
            <w:tcW w:w="1381"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12"/>
              <w:jc w:val="right"/>
              <w:rPr>
                <w:rFonts w:ascii="Arial" w:hAnsi="Arial" w:cs="Arial" w:eastAsia="Arial" w:hint="default"/>
                <w:sz w:val="18"/>
                <w:szCs w:val="18"/>
              </w:rPr>
            </w:pPr>
            <w:r>
              <w:rPr>
                <w:rFonts w:ascii="Arial"/>
                <w:w w:val="99"/>
                <w:sz w:val="18"/>
              </w:rPr>
            </w:r>
            <w:r>
              <w:rPr>
                <w:rFonts w:ascii="Arial"/>
                <w:spacing w:val="-1"/>
                <w:sz w:val="18"/>
                <w:u w:val="single" w:color="000000"/>
              </w:rPr>
              <w:t>73,615,766</w:t>
            </w:r>
            <w:r>
              <w:rPr>
                <w:rFonts w:ascii="Arial"/>
                <w:spacing w:val="-1"/>
                <w:sz w:val="18"/>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00"/>
              <w:jc w:val="right"/>
              <w:rPr>
                <w:rFonts w:ascii="Arial" w:hAnsi="Arial" w:cs="Arial" w:eastAsia="Arial" w:hint="default"/>
                <w:sz w:val="18"/>
                <w:szCs w:val="18"/>
              </w:rPr>
            </w:pPr>
            <w:r>
              <w:rPr>
                <w:rFonts w:ascii="Arial"/>
                <w:w w:val="99"/>
                <w:sz w:val="18"/>
              </w:rPr>
            </w:r>
            <w:r>
              <w:rPr>
                <w:rFonts w:ascii="Arial"/>
                <w:spacing w:val="-1"/>
                <w:sz w:val="18"/>
                <w:u w:val="single" w:color="000000"/>
              </w:rPr>
              <w:t>81,615,766</w:t>
            </w:r>
            <w:r>
              <w:rPr>
                <w:rFonts w:ascii="Arial"/>
                <w:spacing w:val="-1"/>
                <w:sz w:val="18"/>
              </w:rPr>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5"/>
              <w:jc w:val="right"/>
              <w:rPr>
                <w:rFonts w:ascii="Arial" w:hAnsi="Arial" w:cs="Arial" w:eastAsia="Arial" w:hint="default"/>
                <w:sz w:val="18"/>
                <w:szCs w:val="18"/>
              </w:rPr>
            </w:pPr>
            <w:r>
              <w:rPr>
                <w:rFonts w:ascii="Arial"/>
                <w:spacing w:val="-1"/>
                <w:sz w:val="18"/>
              </w:rPr>
              <w:t>(</w:t>
            </w:r>
            <w:r>
              <w:rPr>
                <w:rFonts w:ascii="Arial"/>
                <w:spacing w:val="-1"/>
                <w:sz w:val="18"/>
                <w:u w:val="single" w:color="000000"/>
              </w:rPr>
              <w:t>8,000,000</w:t>
            </w:r>
            <w:r>
              <w:rPr>
                <w:rFonts w:ascii="Arial"/>
                <w:spacing w:val="-1"/>
                <w:sz w:val="18"/>
              </w:rPr>
            </w:r>
          </w:p>
        </w:tc>
        <w:tc>
          <w:tcPr>
            <w:tcW w:w="257"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0" w:right="0"/>
              <w:jc w:val="left"/>
              <w:rPr>
                <w:rFonts w:ascii="Arial" w:hAnsi="Arial" w:cs="Arial" w:eastAsia="Arial" w:hint="default"/>
                <w:sz w:val="18"/>
                <w:szCs w:val="18"/>
              </w:rPr>
            </w:pPr>
            <w:r>
              <w:rPr>
                <w:rFonts w:ascii="Arial"/>
                <w:w w:val="99"/>
                <w:sz w:val="18"/>
              </w:rPr>
              <w:t>)</w:t>
            </w:r>
            <w:r>
              <w:rPr>
                <w:rFonts w:ascii="Arial"/>
                <w:sz w:val="18"/>
              </w:rPr>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52"/>
              <w:jc w:val="right"/>
              <w:rPr>
                <w:rFonts w:ascii="Arial" w:hAnsi="Arial" w:cs="Arial" w:eastAsia="Arial" w:hint="default"/>
                <w:sz w:val="18"/>
                <w:szCs w:val="18"/>
              </w:rPr>
            </w:pPr>
            <w:r>
              <w:rPr>
                <w:rFonts w:ascii="Arial"/>
                <w:w w:val="99"/>
                <w:sz w:val="18"/>
              </w:rPr>
            </w:r>
            <w:r>
              <w:rPr>
                <w:rFonts w:ascii="Arial"/>
                <w:spacing w:val="-1"/>
                <w:sz w:val="18"/>
                <w:u w:val="single" w:color="000000"/>
              </w:rPr>
              <w:t>73,615,766</w:t>
            </w:r>
            <w:r>
              <w:rPr>
                <w:rFonts w:ascii="Arial"/>
                <w:spacing w:val="-1"/>
                <w:sz w:val="18"/>
              </w:rPr>
            </w:r>
          </w:p>
        </w:tc>
        <w:tc>
          <w:tcPr>
            <w:tcW w:w="893" w:type="dxa"/>
            <w:tcBorders>
              <w:top w:val="nil" w:sz="6" w:space="0" w:color="auto"/>
              <w:left w:val="nil" w:sz="6" w:space="0" w:color="auto"/>
              <w:bottom w:val="nil" w:sz="6" w:space="0" w:color="auto"/>
              <w:right w:val="nil" w:sz="6" w:space="0" w:color="auto"/>
            </w:tcBorders>
          </w:tcPr>
          <w:p>
            <w:pPr/>
          </w:p>
        </w:tc>
        <w:tc>
          <w:tcPr>
            <w:tcW w:w="1176"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Style w:val="TableParagraph"/>
              <w:tabs>
                <w:tab w:pos="782" w:val="left" w:leader="none"/>
              </w:tabs>
              <w:spacing w:line="240" w:lineRule="auto" w:before="146"/>
              <w:ind w:right="27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06"/>
              <w:jc w:val="right"/>
              <w:rPr>
                <w:rFonts w:ascii="Arial" w:hAnsi="Arial" w:cs="Arial" w:eastAsia="Arial" w:hint="default"/>
                <w:sz w:val="18"/>
                <w:szCs w:val="18"/>
              </w:rPr>
            </w:pPr>
            <w:r>
              <w:rPr>
                <w:rFonts w:ascii="Arial"/>
                <w:w w:val="100"/>
                <w:sz w:val="18"/>
              </w:rPr>
            </w:r>
            <w:r>
              <w:rPr>
                <w:rFonts w:ascii="Arial"/>
                <w:spacing w:val="-1"/>
                <w:sz w:val="18"/>
                <w:u w:val="single" w:color="000000"/>
              </w:rPr>
              <w:t>6,000,000</w:t>
            </w:r>
            <w:r>
              <w:rPr>
                <w:rFonts w:ascii="Arial"/>
                <w:spacing w:val="-1"/>
                <w:sz w:val="18"/>
              </w:rPr>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51"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9"/>
                <w:sz w:val="18"/>
                <w:u w:val="single" w:color="000000"/>
              </w:rPr>
              <w:t> </w:t>
            </w:r>
            <w:r>
              <w:rPr>
                <w:rFonts w:ascii="Arial"/>
                <w:sz w:val="18"/>
                <w:u w:val="single" w:color="000000"/>
              </w:rPr>
              <w:t>959,167</w:t>
            </w:r>
            <w:r>
              <w:rPr>
                <w:rFonts w:ascii="Arial"/>
                <w:sz w:val="18"/>
              </w:rPr>
            </w:r>
          </w:p>
        </w:tc>
      </w:tr>
    </w:tbl>
    <w:p>
      <w:pPr>
        <w:spacing w:after="0" w:line="240" w:lineRule="auto"/>
        <w:jc w:val="left"/>
        <w:rPr>
          <w:rFonts w:ascii="Arial" w:hAnsi="Arial" w:cs="Arial" w:eastAsia="Arial" w:hint="default"/>
          <w:sz w:val="18"/>
          <w:szCs w:val="18"/>
        </w:rPr>
        <w:sectPr>
          <w:headerReference w:type="default" r:id="rId74"/>
          <w:footerReference w:type="default" r:id="rId75"/>
          <w:pgSz w:w="16850" w:h="11910" w:orient="landscape"/>
          <w:pgMar w:header="957" w:footer="473" w:top="2240" w:bottom="660" w:left="960" w:right="840"/>
          <w:pgNumType w:start="136"/>
        </w:sectPr>
      </w:pPr>
    </w:p>
    <w:p>
      <w:pPr>
        <w:spacing w:line="240" w:lineRule="auto" w:before="12"/>
        <w:rPr>
          <w:rFonts w:ascii="黑体" w:hAnsi="黑体" w:cs="黑体" w:eastAsia="黑体" w:hint="default"/>
          <w:sz w:val="15"/>
          <w:szCs w:val="15"/>
        </w:rPr>
      </w:pPr>
    </w:p>
    <w:p>
      <w:pPr>
        <w:pStyle w:val="Heading6"/>
        <w:spacing w:line="240" w:lineRule="auto"/>
        <w:ind w:left="108" w:right="0"/>
        <w:jc w:val="left"/>
        <w:rPr>
          <w:b w:val="0"/>
          <w:bCs w:val="0"/>
        </w:rPr>
      </w:pPr>
      <w:r>
        <w:rPr/>
        <w:t>十三、公司财务报表主要项目注释（续）</w:t>
      </w:r>
      <w:r>
        <w:rPr>
          <w:b w:val="0"/>
          <w:bCs w:val="0"/>
        </w:rPr>
      </w:r>
    </w:p>
    <w:p>
      <w:pPr>
        <w:pStyle w:val="Heading6"/>
        <w:tabs>
          <w:tab w:pos="576" w:val="left" w:leader="none"/>
        </w:tabs>
        <w:spacing w:line="240" w:lineRule="auto" w:before="156"/>
        <w:ind w:left="209" w:right="0"/>
        <w:jc w:val="left"/>
        <w:rPr>
          <w:b w:val="0"/>
          <w:bCs w:val="0"/>
        </w:rPr>
      </w:pPr>
      <w:r>
        <w:rPr>
          <w:rFonts w:ascii="Arial" w:hAnsi="Arial" w:cs="Arial" w:eastAsia="Arial" w:hint="default"/>
          <w:spacing w:val="-1"/>
        </w:rPr>
        <w:t>8.</w:t>
        <w:tab/>
      </w:r>
      <w:r>
        <w:rPr>
          <w:spacing w:val="1"/>
        </w:rPr>
        <w:t>长期股权投资（续）</w:t>
      </w:r>
      <w:r>
        <w:rPr>
          <w:b w:val="0"/>
          <w:bCs w:val="0"/>
        </w:rPr>
      </w:r>
    </w:p>
    <w:p>
      <w:pPr>
        <w:pStyle w:val="BodyText"/>
        <w:spacing w:line="240" w:lineRule="auto" w:before="163"/>
        <w:ind w:left="605" w:right="0"/>
        <w:jc w:val="left"/>
        <w:rPr>
          <w:rFonts w:ascii="Arial" w:hAnsi="Arial" w:cs="Arial" w:eastAsia="Arial" w:hint="default"/>
        </w:rPr>
      </w:pPr>
      <w:r>
        <w:rPr>
          <w:rFonts w:ascii="Arial" w:hAnsi="Arial" w:cs="Arial" w:eastAsia="Arial" w:hint="default"/>
        </w:rPr>
        <w:t>2011</w:t>
      </w:r>
      <w:r>
        <w:rPr/>
        <w:t>年</w:t>
      </w:r>
      <w:r>
        <w:rPr>
          <w:rFonts w:ascii="Arial" w:hAnsi="Arial" w:cs="Arial" w:eastAsia="Arial" w:hint="default"/>
        </w:rPr>
        <w:t>(</w:t>
      </w:r>
      <w:r>
        <w:rPr/>
        <w:t>续</w:t>
      </w:r>
      <w:r>
        <w:rPr>
          <w:rFonts w:ascii="Arial" w:hAnsi="Arial" w:cs="Arial" w:eastAsia="Arial" w:hint="default"/>
        </w:rPr>
        <w:t>)</w:t>
      </w:r>
    </w:p>
    <w:p>
      <w:pPr>
        <w:spacing w:line="240" w:lineRule="auto" w:before="3"/>
        <w:rPr>
          <w:rFonts w:ascii="Arial" w:hAnsi="Arial" w:cs="Arial" w:eastAsia="Arial" w:hint="default"/>
          <w:sz w:val="2"/>
          <w:szCs w:val="2"/>
        </w:rPr>
      </w:pPr>
    </w:p>
    <w:tbl>
      <w:tblPr>
        <w:tblW w:w="0" w:type="auto"/>
        <w:jc w:val="left"/>
        <w:tblInd w:w="580" w:type="dxa"/>
        <w:tblLayout w:type="fixed"/>
        <w:tblCellMar>
          <w:top w:w="0" w:type="dxa"/>
          <w:left w:w="0" w:type="dxa"/>
          <w:bottom w:w="0" w:type="dxa"/>
          <w:right w:w="0" w:type="dxa"/>
        </w:tblCellMar>
        <w:tblLook w:val="01E0"/>
      </w:tblPr>
      <w:tblGrid>
        <w:gridCol w:w="2509"/>
        <w:gridCol w:w="1762"/>
        <w:gridCol w:w="1387"/>
        <w:gridCol w:w="1273"/>
        <w:gridCol w:w="1456"/>
        <w:gridCol w:w="967"/>
        <w:gridCol w:w="1121"/>
        <w:gridCol w:w="1367"/>
        <w:gridCol w:w="1126"/>
        <w:gridCol w:w="1152"/>
      </w:tblGrid>
      <w:tr>
        <w:trPr>
          <w:trHeight w:val="200" w:hRule="exact"/>
        </w:trPr>
        <w:tc>
          <w:tcPr>
            <w:tcW w:w="2509"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nil" w:sz="6" w:space="0" w:color="auto"/>
              <w:right w:val="nil" w:sz="6" w:space="0" w:color="auto"/>
            </w:tcBorders>
          </w:tcPr>
          <w:p>
            <w:pPr>
              <w:pStyle w:val="TableParagraph"/>
              <w:spacing w:line="180" w:lineRule="exact"/>
              <w:ind w:right="178"/>
              <w:jc w:val="right"/>
              <w:rPr>
                <w:rFonts w:ascii="黑体" w:hAnsi="黑体" w:cs="黑体" w:eastAsia="黑体" w:hint="default"/>
                <w:sz w:val="18"/>
                <w:szCs w:val="18"/>
              </w:rPr>
            </w:pPr>
            <w:r>
              <w:rPr>
                <w:rFonts w:ascii="黑体" w:hAnsi="黑体" w:cs="黑体" w:eastAsia="黑体" w:hint="default"/>
                <w:sz w:val="18"/>
                <w:szCs w:val="18"/>
              </w:rPr>
              <w:t>投资成本</w:t>
            </w:r>
          </w:p>
        </w:tc>
        <w:tc>
          <w:tcPr>
            <w:tcW w:w="1387" w:type="dxa"/>
            <w:tcBorders>
              <w:top w:val="nil" w:sz="6" w:space="0" w:color="auto"/>
              <w:left w:val="nil" w:sz="6" w:space="0" w:color="auto"/>
              <w:bottom w:val="nil" w:sz="6" w:space="0" w:color="auto"/>
              <w:right w:val="nil" w:sz="6" w:space="0" w:color="auto"/>
            </w:tcBorders>
          </w:tcPr>
          <w:p>
            <w:pPr>
              <w:pStyle w:val="TableParagraph"/>
              <w:spacing w:line="180" w:lineRule="exact"/>
              <w:ind w:right="206"/>
              <w:jc w:val="right"/>
              <w:rPr>
                <w:rFonts w:ascii="黑体" w:hAnsi="黑体" w:cs="黑体" w:eastAsia="黑体" w:hint="default"/>
                <w:sz w:val="18"/>
                <w:szCs w:val="18"/>
              </w:rPr>
            </w:pPr>
            <w:r>
              <w:rPr>
                <w:rFonts w:ascii="黑体" w:hAnsi="黑体" w:cs="黑体" w:eastAsia="黑体" w:hint="default"/>
                <w:sz w:val="18"/>
                <w:szCs w:val="18"/>
              </w:rPr>
              <w:t>年初数</w:t>
            </w:r>
          </w:p>
        </w:tc>
        <w:tc>
          <w:tcPr>
            <w:tcW w:w="1273" w:type="dxa"/>
            <w:tcBorders>
              <w:top w:val="nil" w:sz="6" w:space="0" w:color="auto"/>
              <w:left w:val="nil" w:sz="6" w:space="0" w:color="auto"/>
              <w:bottom w:val="nil" w:sz="6" w:space="0" w:color="auto"/>
              <w:right w:val="nil" w:sz="6" w:space="0" w:color="auto"/>
            </w:tcBorders>
          </w:tcPr>
          <w:p>
            <w:pPr>
              <w:pStyle w:val="TableParagraph"/>
              <w:spacing w:line="180" w:lineRule="exact"/>
              <w:ind w:right="344"/>
              <w:jc w:val="right"/>
              <w:rPr>
                <w:rFonts w:ascii="黑体" w:hAnsi="黑体" w:cs="黑体" w:eastAsia="黑体" w:hint="default"/>
                <w:sz w:val="18"/>
                <w:szCs w:val="18"/>
              </w:rPr>
            </w:pPr>
            <w:r>
              <w:rPr>
                <w:rFonts w:ascii="黑体" w:hAnsi="黑体" w:cs="黑体" w:eastAsia="黑体" w:hint="default"/>
                <w:sz w:val="18"/>
                <w:szCs w:val="18"/>
              </w:rPr>
              <w:t>本年增减</w:t>
            </w:r>
          </w:p>
        </w:tc>
        <w:tc>
          <w:tcPr>
            <w:tcW w:w="1456" w:type="dxa"/>
            <w:tcBorders>
              <w:top w:val="nil" w:sz="6" w:space="0" w:color="auto"/>
              <w:left w:val="nil" w:sz="6" w:space="0" w:color="auto"/>
              <w:bottom w:val="nil" w:sz="6" w:space="0" w:color="auto"/>
              <w:right w:val="nil" w:sz="6" w:space="0" w:color="auto"/>
            </w:tcBorders>
          </w:tcPr>
          <w:p>
            <w:pPr>
              <w:pStyle w:val="TableParagraph"/>
              <w:spacing w:line="180" w:lineRule="exact"/>
              <w:ind w:right="108"/>
              <w:jc w:val="right"/>
              <w:rPr>
                <w:rFonts w:ascii="黑体" w:hAnsi="黑体" w:cs="黑体" w:eastAsia="黑体" w:hint="default"/>
                <w:sz w:val="18"/>
                <w:szCs w:val="18"/>
              </w:rPr>
            </w:pPr>
            <w:r>
              <w:rPr>
                <w:rFonts w:ascii="黑体" w:hAnsi="黑体" w:cs="黑体" w:eastAsia="黑体" w:hint="default"/>
                <w:sz w:val="18"/>
                <w:szCs w:val="18"/>
              </w:rPr>
              <w:t>年末数</w:t>
            </w:r>
          </w:p>
        </w:tc>
        <w:tc>
          <w:tcPr>
            <w:tcW w:w="967" w:type="dxa"/>
            <w:tcBorders>
              <w:top w:val="nil" w:sz="6" w:space="0" w:color="auto"/>
              <w:left w:val="nil" w:sz="6" w:space="0" w:color="auto"/>
              <w:bottom w:val="nil" w:sz="6" w:space="0" w:color="auto"/>
              <w:right w:val="nil" w:sz="6" w:space="0" w:color="auto"/>
            </w:tcBorders>
          </w:tcPr>
          <w:p>
            <w:pPr>
              <w:pStyle w:val="TableParagraph"/>
              <w:spacing w:line="180" w:lineRule="exact"/>
              <w:ind w:right="137"/>
              <w:jc w:val="right"/>
              <w:rPr>
                <w:rFonts w:ascii="黑体" w:hAnsi="黑体" w:cs="黑体" w:eastAsia="黑体" w:hint="default"/>
                <w:sz w:val="18"/>
                <w:szCs w:val="18"/>
              </w:rPr>
            </w:pPr>
            <w:r>
              <w:rPr>
                <w:rFonts w:ascii="黑体" w:hAnsi="黑体" w:cs="黑体" w:eastAsia="黑体" w:hint="default"/>
                <w:sz w:val="18"/>
                <w:szCs w:val="18"/>
              </w:rPr>
              <w:t>持股比例</w:t>
            </w:r>
          </w:p>
        </w:tc>
        <w:tc>
          <w:tcPr>
            <w:tcW w:w="1121" w:type="dxa"/>
            <w:tcBorders>
              <w:top w:val="nil" w:sz="6" w:space="0" w:color="auto"/>
              <w:left w:val="nil" w:sz="6" w:space="0" w:color="auto"/>
              <w:bottom w:val="nil" w:sz="6" w:space="0" w:color="auto"/>
              <w:right w:val="nil" w:sz="6" w:space="0" w:color="auto"/>
            </w:tcBorders>
          </w:tcPr>
          <w:p>
            <w:pPr>
              <w:pStyle w:val="TableParagraph"/>
              <w:spacing w:line="180" w:lineRule="exact"/>
              <w:ind w:right="83"/>
              <w:jc w:val="right"/>
              <w:rPr>
                <w:rFonts w:ascii="黑体" w:hAnsi="黑体" w:cs="黑体" w:eastAsia="黑体" w:hint="default"/>
                <w:sz w:val="18"/>
                <w:szCs w:val="18"/>
              </w:rPr>
            </w:pPr>
            <w:r>
              <w:rPr>
                <w:rFonts w:ascii="黑体" w:hAnsi="黑体" w:cs="黑体" w:eastAsia="黑体" w:hint="default"/>
                <w:sz w:val="18"/>
                <w:szCs w:val="18"/>
              </w:rPr>
              <w:t>表决权比例</w:t>
            </w:r>
          </w:p>
        </w:tc>
        <w:tc>
          <w:tcPr>
            <w:tcW w:w="1367" w:type="dxa"/>
            <w:tcBorders>
              <w:top w:val="nil" w:sz="6" w:space="0" w:color="auto"/>
              <w:left w:val="nil" w:sz="6" w:space="0" w:color="auto"/>
              <w:bottom w:val="nil" w:sz="6" w:space="0" w:color="auto"/>
              <w:right w:val="nil" w:sz="6" w:space="0" w:color="auto"/>
            </w:tcBorders>
          </w:tcPr>
          <w:p>
            <w:pPr>
              <w:pStyle w:val="TableParagraph"/>
              <w:spacing w:line="180" w:lineRule="exact"/>
              <w:ind w:right="357"/>
              <w:jc w:val="right"/>
              <w:rPr>
                <w:rFonts w:ascii="黑体" w:hAnsi="黑体" w:cs="黑体" w:eastAsia="黑体" w:hint="default"/>
                <w:sz w:val="18"/>
                <w:szCs w:val="18"/>
              </w:rPr>
            </w:pPr>
            <w:r>
              <w:rPr>
                <w:rFonts w:ascii="黑体" w:hAnsi="黑体" w:cs="黑体" w:eastAsia="黑体" w:hint="default"/>
                <w:sz w:val="18"/>
                <w:szCs w:val="18"/>
              </w:rPr>
              <w:t>减值准备</w:t>
            </w:r>
          </w:p>
        </w:tc>
        <w:tc>
          <w:tcPr>
            <w:tcW w:w="1126" w:type="dxa"/>
            <w:tcBorders>
              <w:top w:val="nil" w:sz="6" w:space="0" w:color="auto"/>
              <w:left w:val="nil" w:sz="6" w:space="0" w:color="auto"/>
              <w:bottom w:val="nil" w:sz="6" w:space="0" w:color="auto"/>
              <w:right w:val="nil" w:sz="6" w:space="0" w:color="auto"/>
            </w:tcBorders>
          </w:tcPr>
          <w:p>
            <w:pPr>
              <w:pStyle w:val="TableParagraph"/>
              <w:spacing w:line="180" w:lineRule="exact"/>
              <w:ind w:right="48"/>
              <w:jc w:val="right"/>
              <w:rPr>
                <w:rFonts w:ascii="黑体" w:hAnsi="黑体" w:cs="黑体" w:eastAsia="黑体" w:hint="default"/>
                <w:sz w:val="18"/>
                <w:szCs w:val="18"/>
              </w:rPr>
            </w:pPr>
            <w:r>
              <w:rPr>
                <w:rFonts w:ascii="黑体" w:hAnsi="黑体" w:cs="黑体" w:eastAsia="黑体" w:hint="default"/>
                <w:sz w:val="18"/>
                <w:szCs w:val="18"/>
              </w:rPr>
              <w:t>本年转销</w:t>
            </w:r>
          </w:p>
        </w:tc>
        <w:tc>
          <w:tcPr>
            <w:tcW w:w="1152" w:type="dxa"/>
            <w:tcBorders>
              <w:top w:val="nil" w:sz="6" w:space="0" w:color="auto"/>
              <w:left w:val="nil" w:sz="6" w:space="0" w:color="auto"/>
              <w:bottom w:val="nil" w:sz="6" w:space="0" w:color="auto"/>
              <w:right w:val="nil" w:sz="6" w:space="0" w:color="auto"/>
            </w:tcBorders>
          </w:tcPr>
          <w:p>
            <w:pPr>
              <w:pStyle w:val="TableParagraph"/>
              <w:spacing w:line="180" w:lineRule="exact"/>
              <w:ind w:right="199"/>
              <w:jc w:val="right"/>
              <w:rPr>
                <w:rFonts w:ascii="黑体" w:hAnsi="黑体" w:cs="黑体" w:eastAsia="黑体" w:hint="default"/>
                <w:sz w:val="18"/>
                <w:szCs w:val="18"/>
              </w:rPr>
            </w:pPr>
            <w:r>
              <w:rPr>
                <w:rFonts w:ascii="黑体" w:hAnsi="黑体" w:cs="黑体" w:eastAsia="黑体" w:hint="default"/>
                <w:sz w:val="18"/>
                <w:szCs w:val="18"/>
              </w:rPr>
              <w:t>本年</w:t>
            </w:r>
          </w:p>
        </w:tc>
      </w:tr>
      <w:tr>
        <w:trPr>
          <w:trHeight w:val="232" w:hRule="exact"/>
        </w:trPr>
        <w:tc>
          <w:tcPr>
            <w:tcW w:w="2509"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
        </w:tc>
        <w:tc>
          <w:tcPr>
            <w:tcW w:w="1273"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7"/>
              <w:jc w:val="right"/>
              <w:rPr>
                <w:rFonts w:ascii="Arial" w:hAnsi="Arial" w:cs="Arial" w:eastAsia="Arial" w:hint="default"/>
                <w:sz w:val="18"/>
                <w:szCs w:val="18"/>
              </w:rPr>
            </w:pPr>
            <w:r>
              <w:rPr>
                <w:rFonts w:ascii="Arial"/>
                <w:w w:val="95"/>
                <w:sz w:val="18"/>
              </w:rPr>
              <w:t>(%)</w:t>
            </w:r>
            <w:r>
              <w:rPr>
                <w:rFonts w:ascii="Arial"/>
                <w:sz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2"/>
              <w:jc w:val="right"/>
              <w:rPr>
                <w:rFonts w:ascii="Arial" w:hAnsi="Arial" w:cs="Arial" w:eastAsia="Arial" w:hint="default"/>
                <w:sz w:val="18"/>
                <w:szCs w:val="18"/>
              </w:rPr>
            </w:pPr>
            <w:r>
              <w:rPr>
                <w:rFonts w:ascii="Arial"/>
                <w:w w:val="95"/>
                <w:sz w:val="18"/>
              </w:rPr>
              <w:t>(%)</w:t>
            </w:r>
            <w:r>
              <w:rPr>
                <w:rFonts w:ascii="Arial"/>
                <w:sz w:val="18"/>
              </w:rPr>
            </w:r>
          </w:p>
        </w:tc>
        <w:tc>
          <w:tcPr>
            <w:tcW w:w="1367"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Style w:val="TableParagraph"/>
              <w:spacing w:line="200" w:lineRule="exact"/>
              <w:ind w:right="48"/>
              <w:jc w:val="right"/>
              <w:rPr>
                <w:rFonts w:ascii="黑体" w:hAnsi="黑体" w:cs="黑体" w:eastAsia="黑体" w:hint="default"/>
                <w:sz w:val="18"/>
                <w:szCs w:val="18"/>
              </w:rPr>
            </w:pPr>
            <w:r>
              <w:rPr>
                <w:rFonts w:ascii="黑体" w:hAnsi="黑体" w:cs="黑体" w:eastAsia="黑体" w:hint="default"/>
                <w:sz w:val="18"/>
                <w:szCs w:val="18"/>
              </w:rPr>
              <w:t>减值准备</w:t>
            </w:r>
          </w:p>
        </w:tc>
        <w:tc>
          <w:tcPr>
            <w:tcW w:w="1152" w:type="dxa"/>
            <w:tcBorders>
              <w:top w:val="nil" w:sz="6" w:space="0" w:color="auto"/>
              <w:left w:val="nil" w:sz="6" w:space="0" w:color="auto"/>
              <w:bottom w:val="nil" w:sz="6" w:space="0" w:color="auto"/>
              <w:right w:val="nil" w:sz="6" w:space="0" w:color="auto"/>
            </w:tcBorders>
          </w:tcPr>
          <w:p>
            <w:pPr>
              <w:pStyle w:val="TableParagraph"/>
              <w:spacing w:line="200" w:lineRule="exact"/>
              <w:ind w:right="199"/>
              <w:jc w:val="right"/>
              <w:rPr>
                <w:rFonts w:ascii="黑体" w:hAnsi="黑体" w:cs="黑体" w:eastAsia="黑体" w:hint="default"/>
                <w:sz w:val="18"/>
                <w:szCs w:val="18"/>
              </w:rPr>
            </w:pPr>
            <w:r>
              <w:rPr>
                <w:rFonts w:ascii="黑体" w:hAnsi="黑体" w:cs="黑体" w:eastAsia="黑体" w:hint="default"/>
                <w:sz w:val="18"/>
                <w:szCs w:val="18"/>
              </w:rPr>
              <w:t>现金红利</w:t>
            </w:r>
          </w:p>
        </w:tc>
      </w:tr>
      <w:tr>
        <w:trPr>
          <w:trHeight w:val="231"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03" w:lineRule="exact"/>
              <w:ind w:left="200" w:right="0"/>
              <w:jc w:val="left"/>
              <w:rPr>
                <w:rFonts w:ascii="黑体" w:hAnsi="黑体" w:cs="黑体" w:eastAsia="黑体" w:hint="default"/>
                <w:sz w:val="18"/>
                <w:szCs w:val="18"/>
              </w:rPr>
            </w:pPr>
            <w:r>
              <w:rPr>
                <w:rFonts w:ascii="黑体" w:hAnsi="黑体" w:cs="黑体" w:eastAsia="黑体" w:hint="default"/>
                <w:sz w:val="18"/>
                <w:szCs w:val="18"/>
              </w:rPr>
              <w:t>子公司</w:t>
            </w:r>
          </w:p>
        </w:tc>
        <w:tc>
          <w:tcPr>
            <w:tcW w:w="1762" w:type="dxa"/>
            <w:tcBorders>
              <w:top w:val="nil" w:sz="6" w:space="0" w:color="auto"/>
              <w:left w:val="nil" w:sz="6" w:space="0" w:color="auto"/>
              <w:bottom w:val="nil" w:sz="6" w:space="0" w:color="auto"/>
              <w:right w:val="nil" w:sz="6" w:space="0" w:color="auto"/>
            </w:tcBorders>
          </w:tcPr>
          <w:p>
            <w:pPr/>
          </w:p>
        </w:tc>
        <w:tc>
          <w:tcPr>
            <w:tcW w:w="1387" w:type="dxa"/>
            <w:tcBorders>
              <w:top w:val="nil" w:sz="6" w:space="0" w:color="auto"/>
              <w:left w:val="nil" w:sz="6" w:space="0" w:color="auto"/>
              <w:bottom w:val="nil" w:sz="6" w:space="0" w:color="auto"/>
              <w:right w:val="nil" w:sz="6" w:space="0" w:color="auto"/>
            </w:tcBorders>
          </w:tcPr>
          <w:p>
            <w:pPr/>
          </w:p>
        </w:tc>
        <w:tc>
          <w:tcPr>
            <w:tcW w:w="1273"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
        </w:tc>
        <w:tc>
          <w:tcPr>
            <w:tcW w:w="967" w:type="dxa"/>
            <w:tcBorders>
              <w:top w:val="nil" w:sz="6" w:space="0" w:color="auto"/>
              <w:left w:val="nil" w:sz="6" w:space="0" w:color="auto"/>
              <w:bottom w:val="nil" w:sz="6" w:space="0" w:color="auto"/>
              <w:right w:val="nil" w:sz="6" w:space="0" w:color="auto"/>
            </w:tcBorders>
          </w:tcPr>
          <w:p>
            <w:pPr/>
          </w:p>
        </w:tc>
        <w:tc>
          <w:tcPr>
            <w:tcW w:w="1121"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
        </w:tc>
      </w:tr>
      <w:tr>
        <w:trPr>
          <w:trHeight w:val="238"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08" w:lineRule="exact"/>
              <w:ind w:left="200" w:right="0"/>
              <w:jc w:val="left"/>
              <w:rPr>
                <w:rFonts w:ascii="黑体" w:hAnsi="黑体" w:cs="黑体" w:eastAsia="黑体" w:hint="default"/>
                <w:sz w:val="18"/>
                <w:szCs w:val="18"/>
              </w:rPr>
            </w:pPr>
            <w:r>
              <w:rPr>
                <w:rFonts w:ascii="黑体" w:hAnsi="黑体" w:cs="黑体" w:eastAsia="黑体" w:hint="default"/>
                <w:sz w:val="18"/>
                <w:szCs w:val="18"/>
              </w:rPr>
              <w:t>重庆用友</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5"/>
              <w:jc w:val="right"/>
              <w:rPr>
                <w:rFonts w:ascii="Arial" w:hAnsi="Arial" w:cs="Arial" w:eastAsia="Arial" w:hint="default"/>
                <w:sz w:val="18"/>
                <w:szCs w:val="18"/>
              </w:rPr>
            </w:pPr>
            <w:r>
              <w:rPr>
                <w:rFonts w:ascii="Arial"/>
                <w:spacing w:val="-1"/>
                <w:sz w:val="18"/>
              </w:rPr>
              <w:t>675,000</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04"/>
              <w:jc w:val="right"/>
              <w:rPr>
                <w:rFonts w:ascii="Arial" w:hAnsi="Arial" w:cs="Arial" w:eastAsia="Arial" w:hint="default"/>
                <w:sz w:val="18"/>
                <w:szCs w:val="18"/>
              </w:rPr>
            </w:pPr>
            <w:r>
              <w:rPr>
                <w:rFonts w:ascii="Arial"/>
                <w:spacing w:val="-1"/>
                <w:sz w:val="18"/>
              </w:rPr>
              <w:t>675,000</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44"/>
              <w:jc w:val="right"/>
              <w:rPr>
                <w:rFonts w:ascii="Arial" w:hAnsi="Arial" w:cs="Arial" w:eastAsia="Arial" w:hint="default"/>
                <w:sz w:val="18"/>
                <w:szCs w:val="18"/>
              </w:rPr>
            </w:pPr>
            <w:r>
              <w:rPr>
                <w:rFonts w:ascii="Arial"/>
                <w:w w:val="99"/>
                <w:sz w:val="18"/>
              </w:rPr>
              <w:t>-</w:t>
            </w:r>
            <w:r>
              <w:rPr>
                <w:rFonts w:ascii="Arial"/>
                <w:sz w:val="18"/>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07"/>
              <w:jc w:val="right"/>
              <w:rPr>
                <w:rFonts w:ascii="Arial" w:hAnsi="Arial" w:cs="Arial" w:eastAsia="Arial" w:hint="default"/>
                <w:sz w:val="18"/>
                <w:szCs w:val="18"/>
              </w:rPr>
            </w:pPr>
            <w:r>
              <w:rPr>
                <w:rFonts w:ascii="Arial"/>
                <w:spacing w:val="-1"/>
                <w:sz w:val="18"/>
              </w:rPr>
              <w:t>675,000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34"/>
              <w:jc w:val="right"/>
              <w:rPr>
                <w:rFonts w:ascii="Arial" w:hAnsi="Arial" w:cs="Arial" w:eastAsia="Arial" w:hint="default"/>
                <w:sz w:val="18"/>
                <w:szCs w:val="18"/>
              </w:rPr>
            </w:pPr>
            <w:r>
              <w:rPr>
                <w:rFonts w:ascii="Arial"/>
                <w:w w:val="95"/>
                <w:sz w:val="18"/>
              </w:rPr>
              <w:t>81.88</w:t>
            </w:r>
            <w:r>
              <w:rPr>
                <w:rFonts w:ascii="Arial"/>
                <w:sz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9"/>
              <w:jc w:val="right"/>
              <w:rPr>
                <w:rFonts w:ascii="Arial" w:hAnsi="Arial" w:cs="Arial" w:eastAsia="Arial" w:hint="default"/>
                <w:sz w:val="18"/>
                <w:szCs w:val="18"/>
              </w:rPr>
            </w:pPr>
            <w:r>
              <w:rPr>
                <w:rFonts w:ascii="Arial"/>
                <w:w w:val="95"/>
                <w:sz w:val="18"/>
              </w:rPr>
              <w:t>81.88</w:t>
            </w:r>
            <w:r>
              <w:rPr>
                <w:rFonts w:ascii="Arial"/>
                <w:sz w:val="18"/>
              </w:rPr>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57"/>
              <w:jc w:val="right"/>
              <w:rPr>
                <w:rFonts w:ascii="Arial" w:hAnsi="Arial" w:cs="Arial" w:eastAsia="Arial" w:hint="default"/>
                <w:sz w:val="18"/>
                <w:szCs w:val="18"/>
              </w:rPr>
            </w:pPr>
            <w:r>
              <w:rPr>
                <w:rFonts w:ascii="Arial"/>
                <w:w w:val="99"/>
                <w:sz w:val="18"/>
              </w:rPr>
              <w:t>-</w:t>
            </w:r>
            <w:r>
              <w:rPr>
                <w:rFonts w:ascii="Arial"/>
                <w:sz w:val="18"/>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48"/>
              <w:jc w:val="right"/>
              <w:rPr>
                <w:rFonts w:ascii="Arial" w:hAnsi="Arial" w:cs="Arial" w:eastAsia="Arial" w:hint="default"/>
                <w:sz w:val="18"/>
                <w:szCs w:val="18"/>
              </w:rPr>
            </w:pPr>
            <w:r>
              <w:rPr>
                <w:rFonts w:ascii="Arial"/>
                <w:w w:val="99"/>
                <w:sz w:val="18"/>
              </w:rPr>
              <w:t>-</w:t>
            </w:r>
            <w:r>
              <w:rPr>
                <w:rFonts w:ascii="Arial"/>
                <w:sz w:val="18"/>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99"/>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02" w:lineRule="exact"/>
              <w:ind w:left="200" w:right="0"/>
              <w:jc w:val="left"/>
              <w:rPr>
                <w:rFonts w:ascii="黑体" w:hAnsi="黑体" w:cs="黑体" w:eastAsia="黑体" w:hint="default"/>
                <w:sz w:val="18"/>
                <w:szCs w:val="18"/>
              </w:rPr>
            </w:pPr>
            <w:r>
              <w:rPr>
                <w:rFonts w:ascii="黑体" w:hAnsi="黑体" w:cs="黑体" w:eastAsia="黑体" w:hint="default"/>
                <w:sz w:val="18"/>
                <w:szCs w:val="18"/>
              </w:rPr>
              <w:t>深圳灏麓梵</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sz w:val="18"/>
              </w:rPr>
              <w:t>1,000,000</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4"/>
              <w:jc w:val="right"/>
              <w:rPr>
                <w:rFonts w:ascii="Arial" w:hAnsi="Arial" w:cs="Arial" w:eastAsia="Arial" w:hint="default"/>
                <w:sz w:val="18"/>
                <w:szCs w:val="18"/>
              </w:rPr>
            </w:pPr>
            <w:r>
              <w:rPr>
                <w:rFonts w:ascii="Arial"/>
                <w:spacing w:val="-1"/>
                <w:sz w:val="18"/>
              </w:rPr>
              <w:t>1,000,000</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4"/>
              <w:jc w:val="right"/>
              <w:rPr>
                <w:rFonts w:ascii="Arial" w:hAnsi="Arial" w:cs="Arial" w:eastAsia="Arial" w:hint="default"/>
                <w:sz w:val="18"/>
                <w:szCs w:val="18"/>
              </w:rPr>
            </w:pPr>
            <w:r>
              <w:rPr>
                <w:rFonts w:ascii="Arial"/>
                <w:w w:val="99"/>
                <w:sz w:val="18"/>
              </w:rPr>
              <w:t>-</w:t>
            </w:r>
            <w:r>
              <w:rPr>
                <w:rFonts w:ascii="Arial"/>
                <w:sz w:val="18"/>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7"/>
              <w:jc w:val="right"/>
              <w:rPr>
                <w:rFonts w:ascii="Arial" w:hAnsi="Arial" w:cs="Arial" w:eastAsia="Arial" w:hint="default"/>
                <w:sz w:val="18"/>
                <w:szCs w:val="18"/>
              </w:rPr>
            </w:pPr>
            <w:r>
              <w:rPr>
                <w:rFonts w:ascii="Arial"/>
                <w:spacing w:val="-1"/>
                <w:sz w:val="18"/>
              </w:rPr>
              <w:t>1,000,000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4"/>
              <w:jc w:val="right"/>
              <w:rPr>
                <w:rFonts w:ascii="Arial" w:hAnsi="Arial" w:cs="Arial" w:eastAsia="Arial" w:hint="default"/>
                <w:sz w:val="18"/>
                <w:szCs w:val="18"/>
              </w:rPr>
            </w:pPr>
            <w:r>
              <w:rPr>
                <w:rFonts w:ascii="Arial"/>
                <w:w w:val="95"/>
                <w:sz w:val="18"/>
              </w:rPr>
              <w:t>100</w:t>
            </w:r>
            <w:r>
              <w:rPr>
                <w:rFonts w:ascii="Arial"/>
                <w:sz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9"/>
              <w:jc w:val="right"/>
              <w:rPr>
                <w:rFonts w:ascii="Arial" w:hAnsi="Arial" w:cs="Arial" w:eastAsia="Arial" w:hint="default"/>
                <w:sz w:val="18"/>
                <w:szCs w:val="18"/>
              </w:rPr>
            </w:pPr>
            <w:r>
              <w:rPr>
                <w:rFonts w:ascii="Arial"/>
                <w:w w:val="95"/>
                <w:sz w:val="18"/>
              </w:rPr>
              <w:t>100</w:t>
            </w:r>
            <w:r>
              <w:rPr>
                <w:rFonts w:ascii="Arial"/>
                <w:sz w:val="18"/>
              </w:rPr>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7"/>
              <w:jc w:val="right"/>
              <w:rPr>
                <w:rFonts w:ascii="Arial" w:hAnsi="Arial" w:cs="Arial" w:eastAsia="Arial" w:hint="default"/>
                <w:sz w:val="18"/>
                <w:szCs w:val="18"/>
              </w:rPr>
            </w:pPr>
            <w:r>
              <w:rPr>
                <w:rFonts w:ascii="Arial"/>
                <w:w w:val="99"/>
                <w:sz w:val="18"/>
              </w:rPr>
              <w:t>-</w:t>
            </w:r>
            <w:r>
              <w:rPr>
                <w:rFonts w:ascii="Arial"/>
                <w:sz w:val="18"/>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8"/>
              <w:jc w:val="right"/>
              <w:rPr>
                <w:rFonts w:ascii="Arial" w:hAnsi="Arial" w:cs="Arial" w:eastAsia="Arial" w:hint="default"/>
                <w:sz w:val="18"/>
                <w:szCs w:val="18"/>
              </w:rPr>
            </w:pPr>
            <w:r>
              <w:rPr>
                <w:rFonts w:ascii="Arial"/>
                <w:w w:val="99"/>
                <w:sz w:val="18"/>
              </w:rPr>
              <w:t>-</w:t>
            </w:r>
            <w:r>
              <w:rPr>
                <w:rFonts w:ascii="Arial"/>
                <w:sz w:val="18"/>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9"/>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02" w:lineRule="exact"/>
              <w:ind w:left="200" w:right="0"/>
              <w:jc w:val="left"/>
              <w:rPr>
                <w:rFonts w:ascii="黑体" w:hAnsi="黑体" w:cs="黑体" w:eastAsia="黑体" w:hint="default"/>
                <w:sz w:val="18"/>
                <w:szCs w:val="18"/>
              </w:rPr>
            </w:pPr>
            <w:r>
              <w:rPr>
                <w:rFonts w:ascii="黑体" w:hAnsi="黑体" w:cs="黑体" w:eastAsia="黑体" w:hint="default"/>
                <w:sz w:val="18"/>
                <w:szCs w:val="18"/>
              </w:rPr>
              <w:t>武汉用友</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sz w:val="18"/>
              </w:rPr>
              <w:t>1,470,000</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4"/>
              <w:jc w:val="right"/>
              <w:rPr>
                <w:rFonts w:ascii="Arial" w:hAnsi="Arial" w:cs="Arial" w:eastAsia="Arial" w:hint="default"/>
                <w:sz w:val="18"/>
                <w:szCs w:val="18"/>
              </w:rPr>
            </w:pPr>
            <w:r>
              <w:rPr>
                <w:rFonts w:ascii="Arial"/>
                <w:spacing w:val="-1"/>
                <w:sz w:val="18"/>
              </w:rPr>
              <w:t>1,470,000</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4"/>
              <w:jc w:val="right"/>
              <w:rPr>
                <w:rFonts w:ascii="Arial" w:hAnsi="Arial" w:cs="Arial" w:eastAsia="Arial" w:hint="default"/>
                <w:sz w:val="18"/>
                <w:szCs w:val="18"/>
              </w:rPr>
            </w:pPr>
            <w:r>
              <w:rPr>
                <w:rFonts w:ascii="Arial"/>
                <w:w w:val="99"/>
                <w:sz w:val="18"/>
              </w:rPr>
              <w:t>-</w:t>
            </w:r>
            <w:r>
              <w:rPr>
                <w:rFonts w:ascii="Arial"/>
                <w:sz w:val="18"/>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7"/>
              <w:jc w:val="right"/>
              <w:rPr>
                <w:rFonts w:ascii="Arial" w:hAnsi="Arial" w:cs="Arial" w:eastAsia="Arial" w:hint="default"/>
                <w:sz w:val="18"/>
                <w:szCs w:val="18"/>
              </w:rPr>
            </w:pPr>
            <w:r>
              <w:rPr>
                <w:rFonts w:ascii="Arial"/>
                <w:spacing w:val="-1"/>
                <w:sz w:val="18"/>
              </w:rPr>
              <w:t>1,470,000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4"/>
              <w:jc w:val="right"/>
              <w:rPr>
                <w:rFonts w:ascii="Arial" w:hAnsi="Arial" w:cs="Arial" w:eastAsia="Arial" w:hint="default"/>
                <w:sz w:val="18"/>
                <w:szCs w:val="18"/>
              </w:rPr>
            </w:pPr>
            <w:r>
              <w:rPr>
                <w:rFonts w:ascii="Arial"/>
                <w:w w:val="95"/>
                <w:sz w:val="18"/>
              </w:rPr>
              <w:t>95</w:t>
            </w:r>
            <w:r>
              <w:rPr>
                <w:rFonts w:ascii="Arial"/>
                <w:sz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9"/>
              <w:jc w:val="right"/>
              <w:rPr>
                <w:rFonts w:ascii="Arial" w:hAnsi="Arial" w:cs="Arial" w:eastAsia="Arial" w:hint="default"/>
                <w:sz w:val="18"/>
                <w:szCs w:val="18"/>
              </w:rPr>
            </w:pPr>
            <w:r>
              <w:rPr>
                <w:rFonts w:ascii="Arial"/>
                <w:w w:val="95"/>
                <w:sz w:val="18"/>
              </w:rPr>
              <w:t>95</w:t>
            </w:r>
            <w:r>
              <w:rPr>
                <w:rFonts w:ascii="Arial"/>
                <w:sz w:val="18"/>
              </w:rPr>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7"/>
              <w:jc w:val="right"/>
              <w:rPr>
                <w:rFonts w:ascii="Arial" w:hAnsi="Arial" w:cs="Arial" w:eastAsia="Arial" w:hint="default"/>
                <w:sz w:val="18"/>
                <w:szCs w:val="18"/>
              </w:rPr>
            </w:pPr>
            <w:r>
              <w:rPr>
                <w:rFonts w:ascii="Arial"/>
                <w:w w:val="99"/>
                <w:sz w:val="18"/>
              </w:rPr>
              <w:t>-</w:t>
            </w:r>
            <w:r>
              <w:rPr>
                <w:rFonts w:ascii="Arial"/>
                <w:sz w:val="18"/>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8"/>
              <w:jc w:val="right"/>
              <w:rPr>
                <w:rFonts w:ascii="Arial" w:hAnsi="Arial" w:cs="Arial" w:eastAsia="Arial" w:hint="default"/>
                <w:sz w:val="18"/>
                <w:szCs w:val="18"/>
              </w:rPr>
            </w:pPr>
            <w:r>
              <w:rPr>
                <w:rFonts w:ascii="Arial"/>
                <w:w w:val="99"/>
                <w:sz w:val="18"/>
              </w:rPr>
              <w:t>-</w:t>
            </w:r>
            <w:r>
              <w:rPr>
                <w:rFonts w:ascii="Arial"/>
                <w:sz w:val="18"/>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9"/>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02" w:lineRule="exact"/>
              <w:ind w:left="200" w:right="0"/>
              <w:jc w:val="left"/>
              <w:rPr>
                <w:rFonts w:ascii="黑体" w:hAnsi="黑体" w:cs="黑体" w:eastAsia="黑体" w:hint="default"/>
                <w:sz w:val="18"/>
                <w:szCs w:val="18"/>
              </w:rPr>
            </w:pPr>
            <w:r>
              <w:rPr>
                <w:rFonts w:ascii="黑体" w:hAnsi="黑体" w:cs="黑体" w:eastAsia="黑体" w:hint="default"/>
                <w:sz w:val="18"/>
                <w:szCs w:val="18"/>
              </w:rPr>
              <w:t>广东用友</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sz w:val="18"/>
              </w:rPr>
              <w:t>7,890,000</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4"/>
              <w:jc w:val="right"/>
              <w:rPr>
                <w:rFonts w:ascii="Arial" w:hAnsi="Arial" w:cs="Arial" w:eastAsia="Arial" w:hint="default"/>
                <w:sz w:val="18"/>
                <w:szCs w:val="18"/>
              </w:rPr>
            </w:pPr>
            <w:r>
              <w:rPr>
                <w:rFonts w:ascii="Arial"/>
                <w:spacing w:val="-1"/>
                <w:sz w:val="18"/>
              </w:rPr>
              <w:t>7,890,000</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4"/>
              <w:jc w:val="right"/>
              <w:rPr>
                <w:rFonts w:ascii="Arial" w:hAnsi="Arial" w:cs="Arial" w:eastAsia="Arial" w:hint="default"/>
                <w:sz w:val="18"/>
                <w:szCs w:val="18"/>
              </w:rPr>
            </w:pPr>
            <w:r>
              <w:rPr>
                <w:rFonts w:ascii="Arial"/>
                <w:w w:val="99"/>
                <w:sz w:val="18"/>
              </w:rPr>
              <w:t>-</w:t>
            </w:r>
            <w:r>
              <w:rPr>
                <w:rFonts w:ascii="Arial"/>
                <w:sz w:val="18"/>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7"/>
              <w:jc w:val="right"/>
              <w:rPr>
                <w:rFonts w:ascii="Arial" w:hAnsi="Arial" w:cs="Arial" w:eastAsia="Arial" w:hint="default"/>
                <w:sz w:val="18"/>
                <w:szCs w:val="18"/>
              </w:rPr>
            </w:pPr>
            <w:r>
              <w:rPr>
                <w:rFonts w:ascii="Arial"/>
                <w:spacing w:val="-1"/>
                <w:sz w:val="18"/>
              </w:rPr>
              <w:t>7,890,000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4"/>
              <w:jc w:val="right"/>
              <w:rPr>
                <w:rFonts w:ascii="Arial" w:hAnsi="Arial" w:cs="Arial" w:eastAsia="Arial" w:hint="default"/>
                <w:sz w:val="18"/>
                <w:szCs w:val="18"/>
              </w:rPr>
            </w:pPr>
            <w:r>
              <w:rPr>
                <w:rFonts w:ascii="Arial"/>
                <w:w w:val="95"/>
                <w:sz w:val="18"/>
              </w:rPr>
              <w:t>90</w:t>
            </w:r>
            <w:r>
              <w:rPr>
                <w:rFonts w:ascii="Arial"/>
                <w:sz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9"/>
              <w:jc w:val="right"/>
              <w:rPr>
                <w:rFonts w:ascii="Arial" w:hAnsi="Arial" w:cs="Arial" w:eastAsia="Arial" w:hint="default"/>
                <w:sz w:val="18"/>
                <w:szCs w:val="18"/>
              </w:rPr>
            </w:pPr>
            <w:r>
              <w:rPr>
                <w:rFonts w:ascii="Arial"/>
                <w:w w:val="95"/>
                <w:sz w:val="18"/>
              </w:rPr>
              <w:t>90</w:t>
            </w:r>
            <w:r>
              <w:rPr>
                <w:rFonts w:ascii="Arial"/>
                <w:sz w:val="18"/>
              </w:rPr>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7"/>
              <w:jc w:val="right"/>
              <w:rPr>
                <w:rFonts w:ascii="Arial" w:hAnsi="Arial" w:cs="Arial" w:eastAsia="Arial" w:hint="default"/>
                <w:sz w:val="18"/>
                <w:szCs w:val="18"/>
              </w:rPr>
            </w:pPr>
            <w:r>
              <w:rPr>
                <w:rFonts w:ascii="Arial"/>
                <w:w w:val="99"/>
                <w:sz w:val="18"/>
              </w:rPr>
              <w:t>-</w:t>
            </w:r>
            <w:r>
              <w:rPr>
                <w:rFonts w:ascii="Arial"/>
                <w:sz w:val="18"/>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8"/>
              <w:jc w:val="right"/>
              <w:rPr>
                <w:rFonts w:ascii="Arial" w:hAnsi="Arial" w:cs="Arial" w:eastAsia="Arial" w:hint="default"/>
                <w:sz w:val="18"/>
                <w:szCs w:val="18"/>
              </w:rPr>
            </w:pPr>
            <w:r>
              <w:rPr>
                <w:rFonts w:ascii="Arial"/>
                <w:w w:val="99"/>
                <w:sz w:val="18"/>
              </w:rPr>
              <w:t>-</w:t>
            </w:r>
            <w:r>
              <w:rPr>
                <w:rFonts w:ascii="Arial"/>
                <w:sz w:val="18"/>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9"/>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03" w:lineRule="exact"/>
              <w:ind w:left="200" w:right="0"/>
              <w:jc w:val="left"/>
              <w:rPr>
                <w:rFonts w:ascii="黑体" w:hAnsi="黑体" w:cs="黑体" w:eastAsia="黑体" w:hint="default"/>
                <w:sz w:val="18"/>
                <w:szCs w:val="18"/>
              </w:rPr>
            </w:pPr>
            <w:r>
              <w:rPr>
                <w:rFonts w:ascii="黑体" w:hAnsi="黑体" w:cs="黑体" w:eastAsia="黑体" w:hint="default"/>
                <w:sz w:val="18"/>
                <w:szCs w:val="18"/>
              </w:rPr>
              <w:t>天津用友</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5"/>
              <w:jc w:val="right"/>
              <w:rPr>
                <w:rFonts w:ascii="Arial" w:hAnsi="Arial" w:cs="Arial" w:eastAsia="Arial" w:hint="default"/>
                <w:sz w:val="18"/>
                <w:szCs w:val="18"/>
              </w:rPr>
            </w:pPr>
            <w:r>
              <w:rPr>
                <w:rFonts w:ascii="Arial"/>
                <w:spacing w:val="-1"/>
                <w:sz w:val="18"/>
              </w:rPr>
              <w:t>2,970,000</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04"/>
              <w:jc w:val="right"/>
              <w:rPr>
                <w:rFonts w:ascii="Arial" w:hAnsi="Arial" w:cs="Arial" w:eastAsia="Arial" w:hint="default"/>
                <w:sz w:val="18"/>
                <w:szCs w:val="18"/>
              </w:rPr>
            </w:pPr>
            <w:r>
              <w:rPr>
                <w:rFonts w:ascii="Arial"/>
                <w:spacing w:val="-1"/>
                <w:sz w:val="18"/>
              </w:rPr>
              <w:t>2,970,000</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4"/>
              <w:jc w:val="right"/>
              <w:rPr>
                <w:rFonts w:ascii="Arial" w:hAnsi="Arial" w:cs="Arial" w:eastAsia="Arial" w:hint="default"/>
                <w:sz w:val="18"/>
                <w:szCs w:val="18"/>
              </w:rPr>
            </w:pPr>
            <w:r>
              <w:rPr>
                <w:rFonts w:ascii="Arial"/>
                <w:w w:val="99"/>
                <w:sz w:val="18"/>
              </w:rPr>
              <w:t>-</w:t>
            </w:r>
            <w:r>
              <w:rPr>
                <w:rFonts w:ascii="Arial"/>
                <w:sz w:val="18"/>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7"/>
              <w:jc w:val="right"/>
              <w:rPr>
                <w:rFonts w:ascii="Arial" w:hAnsi="Arial" w:cs="Arial" w:eastAsia="Arial" w:hint="default"/>
                <w:sz w:val="18"/>
                <w:szCs w:val="18"/>
              </w:rPr>
            </w:pPr>
            <w:r>
              <w:rPr>
                <w:rFonts w:ascii="Arial"/>
                <w:spacing w:val="-1"/>
                <w:sz w:val="18"/>
              </w:rPr>
              <w:t>2,970,000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34"/>
              <w:jc w:val="right"/>
              <w:rPr>
                <w:rFonts w:ascii="Arial" w:hAnsi="Arial" w:cs="Arial" w:eastAsia="Arial" w:hint="default"/>
                <w:sz w:val="18"/>
                <w:szCs w:val="18"/>
              </w:rPr>
            </w:pPr>
            <w:r>
              <w:rPr>
                <w:rFonts w:ascii="Arial"/>
                <w:w w:val="95"/>
                <w:sz w:val="18"/>
              </w:rPr>
              <w:t>90</w:t>
            </w:r>
            <w:r>
              <w:rPr>
                <w:rFonts w:ascii="Arial"/>
                <w:sz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9"/>
              <w:jc w:val="right"/>
              <w:rPr>
                <w:rFonts w:ascii="Arial" w:hAnsi="Arial" w:cs="Arial" w:eastAsia="Arial" w:hint="default"/>
                <w:sz w:val="18"/>
                <w:szCs w:val="18"/>
              </w:rPr>
            </w:pPr>
            <w:r>
              <w:rPr>
                <w:rFonts w:ascii="Arial"/>
                <w:w w:val="95"/>
                <w:sz w:val="18"/>
              </w:rPr>
              <w:t>90</w:t>
            </w:r>
            <w:r>
              <w:rPr>
                <w:rFonts w:ascii="Arial"/>
                <w:sz w:val="18"/>
              </w:rPr>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7"/>
              <w:jc w:val="right"/>
              <w:rPr>
                <w:rFonts w:ascii="Arial" w:hAnsi="Arial" w:cs="Arial" w:eastAsia="Arial" w:hint="default"/>
                <w:sz w:val="18"/>
                <w:szCs w:val="18"/>
              </w:rPr>
            </w:pPr>
            <w:r>
              <w:rPr>
                <w:rFonts w:ascii="Arial"/>
                <w:w w:val="99"/>
                <w:sz w:val="18"/>
              </w:rPr>
              <w:t>-</w:t>
            </w:r>
            <w:r>
              <w:rPr>
                <w:rFonts w:ascii="Arial"/>
                <w:sz w:val="18"/>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8"/>
              <w:jc w:val="right"/>
              <w:rPr>
                <w:rFonts w:ascii="Arial" w:hAnsi="Arial" w:cs="Arial" w:eastAsia="Arial" w:hint="default"/>
                <w:sz w:val="18"/>
                <w:szCs w:val="18"/>
              </w:rPr>
            </w:pPr>
            <w:r>
              <w:rPr>
                <w:rFonts w:ascii="Arial"/>
                <w:w w:val="99"/>
                <w:sz w:val="18"/>
              </w:rPr>
              <w:t>-</w:t>
            </w:r>
            <w:r>
              <w:rPr>
                <w:rFonts w:ascii="Arial"/>
                <w:sz w:val="18"/>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99"/>
              <w:jc w:val="right"/>
              <w:rPr>
                <w:rFonts w:ascii="Arial" w:hAnsi="Arial" w:cs="Arial" w:eastAsia="Arial" w:hint="default"/>
                <w:sz w:val="18"/>
                <w:szCs w:val="18"/>
              </w:rPr>
            </w:pPr>
            <w:r>
              <w:rPr>
                <w:rFonts w:ascii="Arial"/>
                <w:w w:val="99"/>
                <w:sz w:val="18"/>
              </w:rPr>
              <w:t>-</w:t>
            </w:r>
            <w:r>
              <w:rPr>
                <w:rFonts w:ascii="Arial"/>
                <w:sz w:val="18"/>
              </w:rPr>
            </w:r>
          </w:p>
        </w:tc>
      </w:tr>
      <w:tr>
        <w:trPr>
          <w:trHeight w:val="224"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02" w:lineRule="exact"/>
              <w:ind w:left="200" w:right="0"/>
              <w:jc w:val="left"/>
              <w:rPr>
                <w:rFonts w:ascii="黑体" w:hAnsi="黑体" w:cs="黑体" w:eastAsia="黑体" w:hint="default"/>
                <w:sz w:val="18"/>
                <w:szCs w:val="18"/>
              </w:rPr>
            </w:pPr>
            <w:r>
              <w:rPr>
                <w:rFonts w:ascii="黑体" w:hAnsi="黑体" w:cs="黑体" w:eastAsia="黑体" w:hint="default"/>
                <w:sz w:val="18"/>
                <w:szCs w:val="18"/>
              </w:rPr>
              <w:t>安徽用友</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sz w:val="18"/>
              </w:rPr>
              <w:t>876,000</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4"/>
              <w:jc w:val="right"/>
              <w:rPr>
                <w:rFonts w:ascii="Arial" w:hAnsi="Arial" w:cs="Arial" w:eastAsia="Arial" w:hint="default"/>
                <w:sz w:val="18"/>
                <w:szCs w:val="18"/>
              </w:rPr>
            </w:pPr>
            <w:r>
              <w:rPr>
                <w:rFonts w:ascii="Arial"/>
                <w:spacing w:val="-1"/>
                <w:sz w:val="18"/>
              </w:rPr>
              <w:t>876,000</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4"/>
              <w:jc w:val="right"/>
              <w:rPr>
                <w:rFonts w:ascii="Arial" w:hAnsi="Arial" w:cs="Arial" w:eastAsia="Arial" w:hint="default"/>
                <w:sz w:val="18"/>
                <w:szCs w:val="18"/>
              </w:rPr>
            </w:pPr>
            <w:r>
              <w:rPr>
                <w:rFonts w:ascii="Arial"/>
                <w:w w:val="99"/>
                <w:sz w:val="18"/>
              </w:rPr>
              <w:t>-</w:t>
            </w:r>
            <w:r>
              <w:rPr>
                <w:rFonts w:ascii="Arial"/>
                <w:sz w:val="18"/>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7"/>
              <w:jc w:val="right"/>
              <w:rPr>
                <w:rFonts w:ascii="Arial" w:hAnsi="Arial" w:cs="Arial" w:eastAsia="Arial" w:hint="default"/>
                <w:sz w:val="18"/>
                <w:szCs w:val="18"/>
              </w:rPr>
            </w:pPr>
            <w:r>
              <w:rPr>
                <w:rFonts w:ascii="Arial"/>
                <w:spacing w:val="-1"/>
                <w:sz w:val="18"/>
              </w:rPr>
              <w:t>876,000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4"/>
              <w:jc w:val="right"/>
              <w:rPr>
                <w:rFonts w:ascii="Arial" w:hAnsi="Arial" w:cs="Arial" w:eastAsia="Arial" w:hint="default"/>
                <w:sz w:val="18"/>
                <w:szCs w:val="18"/>
              </w:rPr>
            </w:pPr>
            <w:r>
              <w:rPr>
                <w:rFonts w:ascii="Arial"/>
                <w:w w:val="95"/>
                <w:sz w:val="18"/>
              </w:rPr>
              <w:t>82</w:t>
            </w:r>
            <w:r>
              <w:rPr>
                <w:rFonts w:ascii="Arial"/>
                <w:sz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9"/>
              <w:jc w:val="right"/>
              <w:rPr>
                <w:rFonts w:ascii="Arial" w:hAnsi="Arial" w:cs="Arial" w:eastAsia="Arial" w:hint="default"/>
                <w:sz w:val="18"/>
                <w:szCs w:val="18"/>
              </w:rPr>
            </w:pPr>
            <w:r>
              <w:rPr>
                <w:rFonts w:ascii="Arial"/>
                <w:w w:val="95"/>
                <w:sz w:val="18"/>
              </w:rPr>
              <w:t>82</w:t>
            </w:r>
            <w:r>
              <w:rPr>
                <w:rFonts w:ascii="Arial"/>
                <w:sz w:val="18"/>
              </w:rPr>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7"/>
              <w:jc w:val="right"/>
              <w:rPr>
                <w:rFonts w:ascii="Arial" w:hAnsi="Arial" w:cs="Arial" w:eastAsia="Arial" w:hint="default"/>
                <w:sz w:val="18"/>
                <w:szCs w:val="18"/>
              </w:rPr>
            </w:pPr>
            <w:r>
              <w:rPr>
                <w:rFonts w:ascii="Arial"/>
                <w:w w:val="99"/>
                <w:sz w:val="18"/>
              </w:rPr>
              <w:t>-</w:t>
            </w:r>
            <w:r>
              <w:rPr>
                <w:rFonts w:ascii="Arial"/>
                <w:sz w:val="18"/>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48"/>
              <w:jc w:val="right"/>
              <w:rPr>
                <w:rFonts w:ascii="Arial" w:hAnsi="Arial" w:cs="Arial" w:eastAsia="Arial" w:hint="default"/>
                <w:sz w:val="18"/>
                <w:szCs w:val="18"/>
              </w:rPr>
            </w:pPr>
            <w:r>
              <w:rPr>
                <w:rFonts w:ascii="Arial"/>
                <w:w w:val="99"/>
                <w:sz w:val="18"/>
              </w:rPr>
              <w:t>-</w:t>
            </w:r>
            <w:r>
              <w:rPr>
                <w:rFonts w:ascii="Arial"/>
                <w:sz w:val="18"/>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9"/>
              <w:jc w:val="right"/>
              <w:rPr>
                <w:rFonts w:ascii="Arial" w:hAnsi="Arial" w:cs="Arial" w:eastAsia="Arial" w:hint="default"/>
                <w:sz w:val="18"/>
                <w:szCs w:val="18"/>
              </w:rPr>
            </w:pPr>
            <w:r>
              <w:rPr>
                <w:rFonts w:ascii="Arial"/>
                <w:w w:val="99"/>
                <w:sz w:val="18"/>
              </w:rPr>
              <w:t>-</w:t>
            </w:r>
            <w:r>
              <w:rPr>
                <w:rFonts w:ascii="Arial"/>
                <w:sz w:val="18"/>
              </w:rPr>
            </w:r>
          </w:p>
        </w:tc>
      </w:tr>
      <w:tr>
        <w:trPr>
          <w:trHeight w:val="215"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197" w:lineRule="exact"/>
              <w:ind w:left="200" w:right="0"/>
              <w:jc w:val="left"/>
              <w:rPr>
                <w:rFonts w:ascii="Arial" w:hAnsi="Arial" w:cs="Arial" w:eastAsia="Arial" w:hint="default"/>
                <w:sz w:val="18"/>
                <w:szCs w:val="18"/>
              </w:rPr>
            </w:pPr>
            <w:r>
              <w:rPr>
                <w:rFonts w:ascii="Arial"/>
                <w:sz w:val="18"/>
              </w:rPr>
              <w:t>UF</w:t>
            </w:r>
            <w:r>
              <w:rPr>
                <w:rFonts w:ascii="Arial"/>
                <w:spacing w:val="-8"/>
                <w:sz w:val="18"/>
              </w:rPr>
              <w:t> </w:t>
            </w:r>
            <w:r>
              <w:rPr>
                <w:rFonts w:ascii="Arial"/>
                <w:sz w:val="18"/>
              </w:rPr>
              <w:t>INTERNATIONAL</w:t>
            </w:r>
          </w:p>
        </w:tc>
        <w:tc>
          <w:tcPr>
            <w:tcW w:w="1762" w:type="dxa"/>
            <w:tcBorders>
              <w:top w:val="nil" w:sz="6" w:space="0" w:color="auto"/>
              <w:left w:val="nil" w:sz="6" w:space="0" w:color="auto"/>
              <w:bottom w:val="nil" w:sz="6" w:space="0" w:color="auto"/>
              <w:right w:val="nil" w:sz="6" w:space="0" w:color="auto"/>
            </w:tcBorders>
          </w:tcPr>
          <w:p>
            <w:pPr>
              <w:pStyle w:val="TableParagraph"/>
              <w:spacing w:line="197" w:lineRule="exact"/>
              <w:ind w:right="176"/>
              <w:jc w:val="right"/>
              <w:rPr>
                <w:rFonts w:ascii="Arial" w:hAnsi="Arial" w:cs="Arial" w:eastAsia="Arial" w:hint="default"/>
                <w:sz w:val="18"/>
                <w:szCs w:val="18"/>
              </w:rPr>
            </w:pPr>
            <w:r>
              <w:rPr>
                <w:rFonts w:ascii="Arial"/>
                <w:spacing w:val="-1"/>
                <w:sz w:val="18"/>
              </w:rPr>
              <w:t>21,928,859</w:t>
            </w:r>
          </w:p>
        </w:tc>
        <w:tc>
          <w:tcPr>
            <w:tcW w:w="1387" w:type="dxa"/>
            <w:tcBorders>
              <w:top w:val="nil" w:sz="6" w:space="0" w:color="auto"/>
              <w:left w:val="nil" w:sz="6" w:space="0" w:color="auto"/>
              <w:bottom w:val="nil" w:sz="6" w:space="0" w:color="auto"/>
              <w:right w:val="nil" w:sz="6" w:space="0" w:color="auto"/>
            </w:tcBorders>
          </w:tcPr>
          <w:p>
            <w:pPr>
              <w:pStyle w:val="TableParagraph"/>
              <w:spacing w:line="197" w:lineRule="exact"/>
              <w:ind w:right="205"/>
              <w:jc w:val="right"/>
              <w:rPr>
                <w:rFonts w:ascii="Arial" w:hAnsi="Arial" w:cs="Arial" w:eastAsia="Arial" w:hint="default"/>
                <w:sz w:val="18"/>
                <w:szCs w:val="18"/>
              </w:rPr>
            </w:pPr>
            <w:r>
              <w:rPr>
                <w:rFonts w:ascii="Arial"/>
                <w:spacing w:val="-1"/>
                <w:sz w:val="18"/>
              </w:rPr>
              <w:t>21,928,859</w:t>
            </w:r>
          </w:p>
        </w:tc>
        <w:tc>
          <w:tcPr>
            <w:tcW w:w="1273" w:type="dxa"/>
            <w:tcBorders>
              <w:top w:val="nil" w:sz="6" w:space="0" w:color="auto"/>
              <w:left w:val="nil" w:sz="6" w:space="0" w:color="auto"/>
              <w:bottom w:val="nil" w:sz="6" w:space="0" w:color="auto"/>
              <w:right w:val="nil" w:sz="6" w:space="0" w:color="auto"/>
            </w:tcBorders>
          </w:tcPr>
          <w:p>
            <w:pPr>
              <w:pStyle w:val="TableParagraph"/>
              <w:spacing w:line="197" w:lineRule="exact"/>
              <w:ind w:right="344"/>
              <w:jc w:val="right"/>
              <w:rPr>
                <w:rFonts w:ascii="Arial" w:hAnsi="Arial" w:cs="Arial" w:eastAsia="Arial" w:hint="default"/>
                <w:sz w:val="18"/>
                <w:szCs w:val="18"/>
              </w:rPr>
            </w:pPr>
            <w:r>
              <w:rPr>
                <w:rFonts w:ascii="Arial"/>
                <w:w w:val="99"/>
                <w:sz w:val="18"/>
              </w:rPr>
              <w:t>-</w:t>
            </w:r>
            <w:r>
              <w:rPr>
                <w:rFonts w:ascii="Arial"/>
                <w:sz w:val="18"/>
              </w:rPr>
            </w:r>
          </w:p>
        </w:tc>
        <w:tc>
          <w:tcPr>
            <w:tcW w:w="1456" w:type="dxa"/>
            <w:tcBorders>
              <w:top w:val="nil" w:sz="6" w:space="0" w:color="auto"/>
              <w:left w:val="nil" w:sz="6" w:space="0" w:color="auto"/>
              <w:bottom w:val="nil" w:sz="6" w:space="0" w:color="auto"/>
              <w:right w:val="nil" w:sz="6" w:space="0" w:color="auto"/>
            </w:tcBorders>
          </w:tcPr>
          <w:p>
            <w:pPr>
              <w:pStyle w:val="TableParagraph"/>
              <w:spacing w:line="197" w:lineRule="exact"/>
              <w:ind w:right="106"/>
              <w:jc w:val="right"/>
              <w:rPr>
                <w:rFonts w:ascii="Arial" w:hAnsi="Arial" w:cs="Arial" w:eastAsia="Arial" w:hint="default"/>
                <w:sz w:val="18"/>
                <w:szCs w:val="18"/>
              </w:rPr>
            </w:pPr>
            <w:r>
              <w:rPr>
                <w:rFonts w:ascii="Arial"/>
                <w:spacing w:val="-1"/>
                <w:sz w:val="18"/>
              </w:rPr>
              <w:t>21,928,859</w:t>
            </w:r>
          </w:p>
        </w:tc>
        <w:tc>
          <w:tcPr>
            <w:tcW w:w="967" w:type="dxa"/>
            <w:tcBorders>
              <w:top w:val="nil" w:sz="6" w:space="0" w:color="auto"/>
              <w:left w:val="nil" w:sz="6" w:space="0" w:color="auto"/>
              <w:bottom w:val="nil" w:sz="6" w:space="0" w:color="auto"/>
              <w:right w:val="nil" w:sz="6" w:space="0" w:color="auto"/>
            </w:tcBorders>
          </w:tcPr>
          <w:p>
            <w:pPr>
              <w:pStyle w:val="TableParagraph"/>
              <w:spacing w:line="197" w:lineRule="exact"/>
              <w:ind w:right="134"/>
              <w:jc w:val="right"/>
              <w:rPr>
                <w:rFonts w:ascii="Arial" w:hAnsi="Arial" w:cs="Arial" w:eastAsia="Arial" w:hint="default"/>
                <w:sz w:val="18"/>
                <w:szCs w:val="18"/>
              </w:rPr>
            </w:pPr>
            <w:r>
              <w:rPr>
                <w:rFonts w:ascii="Arial"/>
                <w:w w:val="95"/>
                <w:sz w:val="18"/>
              </w:rPr>
              <w:t>100</w:t>
            </w:r>
            <w:r>
              <w:rPr>
                <w:rFonts w:ascii="Arial"/>
                <w:sz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197" w:lineRule="exact"/>
              <w:ind w:right="79"/>
              <w:jc w:val="right"/>
              <w:rPr>
                <w:rFonts w:ascii="Arial" w:hAnsi="Arial" w:cs="Arial" w:eastAsia="Arial" w:hint="default"/>
                <w:sz w:val="18"/>
                <w:szCs w:val="18"/>
              </w:rPr>
            </w:pPr>
            <w:r>
              <w:rPr>
                <w:rFonts w:ascii="Arial"/>
                <w:w w:val="95"/>
                <w:sz w:val="18"/>
              </w:rPr>
              <w:t>100</w:t>
            </w:r>
            <w:r>
              <w:rPr>
                <w:rFonts w:ascii="Arial"/>
                <w:sz w:val="18"/>
              </w:rPr>
            </w:r>
          </w:p>
        </w:tc>
        <w:tc>
          <w:tcPr>
            <w:tcW w:w="1367" w:type="dxa"/>
            <w:tcBorders>
              <w:top w:val="nil" w:sz="6" w:space="0" w:color="auto"/>
              <w:left w:val="nil" w:sz="6" w:space="0" w:color="auto"/>
              <w:bottom w:val="nil" w:sz="6" w:space="0" w:color="auto"/>
              <w:right w:val="nil" w:sz="6" w:space="0" w:color="auto"/>
            </w:tcBorders>
          </w:tcPr>
          <w:p>
            <w:pPr>
              <w:pStyle w:val="TableParagraph"/>
              <w:spacing w:line="197" w:lineRule="exact"/>
              <w:ind w:right="354"/>
              <w:jc w:val="right"/>
              <w:rPr>
                <w:rFonts w:ascii="Arial" w:hAnsi="Arial" w:cs="Arial" w:eastAsia="Arial" w:hint="default"/>
                <w:sz w:val="18"/>
                <w:szCs w:val="18"/>
              </w:rPr>
            </w:pPr>
            <w:r>
              <w:rPr>
                <w:rFonts w:ascii="Arial"/>
                <w:spacing w:val="-1"/>
                <w:sz w:val="18"/>
              </w:rPr>
              <w:t>(6,300,755)</w:t>
            </w:r>
          </w:p>
        </w:tc>
        <w:tc>
          <w:tcPr>
            <w:tcW w:w="1126" w:type="dxa"/>
            <w:tcBorders>
              <w:top w:val="nil" w:sz="6" w:space="0" w:color="auto"/>
              <w:left w:val="nil" w:sz="6" w:space="0" w:color="auto"/>
              <w:bottom w:val="nil" w:sz="6" w:space="0" w:color="auto"/>
              <w:right w:val="nil" w:sz="6" w:space="0" w:color="auto"/>
            </w:tcBorders>
          </w:tcPr>
          <w:p>
            <w:pPr>
              <w:pStyle w:val="TableParagraph"/>
              <w:spacing w:line="197" w:lineRule="exact"/>
              <w:ind w:right="55"/>
              <w:jc w:val="right"/>
              <w:rPr>
                <w:rFonts w:ascii="Arial" w:hAnsi="Arial" w:cs="Arial" w:eastAsia="Arial" w:hint="default"/>
                <w:sz w:val="18"/>
                <w:szCs w:val="18"/>
              </w:rPr>
            </w:pPr>
            <w:r>
              <w:rPr>
                <w:rFonts w:ascii="Arial"/>
                <w:w w:val="99"/>
                <w:sz w:val="18"/>
              </w:rPr>
              <w:t>-</w:t>
            </w:r>
            <w:r>
              <w:rPr>
                <w:rFonts w:ascii="Arial"/>
                <w:sz w:val="18"/>
              </w:rPr>
            </w:r>
          </w:p>
        </w:tc>
        <w:tc>
          <w:tcPr>
            <w:tcW w:w="1152" w:type="dxa"/>
            <w:tcBorders>
              <w:top w:val="nil" w:sz="6" w:space="0" w:color="auto"/>
              <w:left w:val="nil" w:sz="6" w:space="0" w:color="auto"/>
              <w:bottom w:val="nil" w:sz="6" w:space="0" w:color="auto"/>
              <w:right w:val="nil" w:sz="6" w:space="0" w:color="auto"/>
            </w:tcBorders>
          </w:tcPr>
          <w:p>
            <w:pPr>
              <w:pStyle w:val="TableParagraph"/>
              <w:spacing w:line="197" w:lineRule="exact"/>
              <w:ind w:right="199"/>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02" w:lineRule="exact"/>
              <w:ind w:left="200" w:right="0"/>
              <w:jc w:val="left"/>
              <w:rPr>
                <w:rFonts w:ascii="黑体" w:hAnsi="黑体" w:cs="黑体" w:eastAsia="黑体" w:hint="default"/>
                <w:sz w:val="18"/>
                <w:szCs w:val="18"/>
              </w:rPr>
            </w:pPr>
            <w:r>
              <w:rPr>
                <w:rFonts w:ascii="黑体" w:hAnsi="黑体" w:cs="黑体" w:eastAsia="黑体" w:hint="default"/>
                <w:sz w:val="18"/>
                <w:szCs w:val="18"/>
              </w:rPr>
              <w:t>用友华表</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6"/>
              <w:jc w:val="right"/>
              <w:rPr>
                <w:rFonts w:ascii="Arial" w:hAnsi="Arial" w:cs="Arial" w:eastAsia="Arial" w:hint="default"/>
                <w:sz w:val="18"/>
                <w:szCs w:val="18"/>
              </w:rPr>
            </w:pPr>
            <w:r>
              <w:rPr>
                <w:rFonts w:ascii="Arial"/>
                <w:spacing w:val="-1"/>
                <w:sz w:val="18"/>
              </w:rPr>
              <w:t>46,170,128</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5"/>
              <w:jc w:val="right"/>
              <w:rPr>
                <w:rFonts w:ascii="Arial" w:hAnsi="Arial" w:cs="Arial" w:eastAsia="Arial" w:hint="default"/>
                <w:sz w:val="18"/>
                <w:szCs w:val="18"/>
              </w:rPr>
            </w:pPr>
            <w:r>
              <w:rPr>
                <w:rFonts w:ascii="Arial"/>
                <w:spacing w:val="-1"/>
                <w:sz w:val="18"/>
              </w:rPr>
              <w:t>46,170,128</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4"/>
              <w:jc w:val="right"/>
              <w:rPr>
                <w:rFonts w:ascii="Arial" w:hAnsi="Arial" w:cs="Arial" w:eastAsia="Arial" w:hint="default"/>
                <w:sz w:val="18"/>
                <w:szCs w:val="18"/>
              </w:rPr>
            </w:pPr>
            <w:r>
              <w:rPr>
                <w:rFonts w:ascii="Arial"/>
                <w:w w:val="99"/>
                <w:sz w:val="18"/>
              </w:rPr>
              <w:t>-</w:t>
            </w:r>
            <w:r>
              <w:rPr>
                <w:rFonts w:ascii="Arial"/>
                <w:sz w:val="18"/>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6"/>
              <w:jc w:val="right"/>
              <w:rPr>
                <w:rFonts w:ascii="Arial" w:hAnsi="Arial" w:cs="Arial" w:eastAsia="Arial" w:hint="default"/>
                <w:sz w:val="18"/>
                <w:szCs w:val="18"/>
              </w:rPr>
            </w:pPr>
            <w:r>
              <w:rPr>
                <w:rFonts w:ascii="Arial"/>
                <w:spacing w:val="-1"/>
                <w:sz w:val="18"/>
              </w:rPr>
              <w:t>46,170,128</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4"/>
              <w:jc w:val="right"/>
              <w:rPr>
                <w:rFonts w:ascii="Arial" w:hAnsi="Arial" w:cs="Arial" w:eastAsia="Arial" w:hint="default"/>
                <w:sz w:val="18"/>
                <w:szCs w:val="18"/>
              </w:rPr>
            </w:pPr>
            <w:r>
              <w:rPr>
                <w:rFonts w:ascii="Arial"/>
                <w:w w:val="95"/>
                <w:sz w:val="18"/>
              </w:rPr>
              <w:t>99.43</w:t>
            </w:r>
            <w:r>
              <w:rPr>
                <w:rFonts w:ascii="Arial"/>
                <w:sz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9"/>
              <w:jc w:val="right"/>
              <w:rPr>
                <w:rFonts w:ascii="Arial" w:hAnsi="Arial" w:cs="Arial" w:eastAsia="Arial" w:hint="default"/>
                <w:sz w:val="18"/>
                <w:szCs w:val="18"/>
              </w:rPr>
            </w:pPr>
            <w:r>
              <w:rPr>
                <w:rFonts w:ascii="Arial"/>
                <w:w w:val="95"/>
                <w:sz w:val="18"/>
              </w:rPr>
              <w:t>99.43</w:t>
            </w:r>
            <w:r>
              <w:rPr>
                <w:rFonts w:ascii="Arial"/>
                <w:sz w:val="18"/>
              </w:rPr>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4"/>
              <w:jc w:val="right"/>
              <w:rPr>
                <w:rFonts w:ascii="Arial" w:hAnsi="Arial" w:cs="Arial" w:eastAsia="Arial" w:hint="default"/>
                <w:sz w:val="18"/>
                <w:szCs w:val="18"/>
              </w:rPr>
            </w:pPr>
            <w:r>
              <w:rPr>
                <w:rFonts w:ascii="Arial"/>
                <w:sz w:val="18"/>
              </w:rPr>
              <w:t>(  </w:t>
            </w:r>
            <w:r>
              <w:rPr>
                <w:rFonts w:ascii="Arial"/>
                <w:spacing w:val="3"/>
                <w:sz w:val="18"/>
              </w:rPr>
              <w:t> </w:t>
            </w:r>
            <w:r>
              <w:rPr>
                <w:rFonts w:ascii="Arial"/>
                <w:sz w:val="18"/>
              </w:rPr>
              <w:t>382,200)</w:t>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5"/>
              <w:jc w:val="right"/>
              <w:rPr>
                <w:rFonts w:ascii="Arial" w:hAnsi="Arial" w:cs="Arial" w:eastAsia="Arial" w:hint="default"/>
                <w:sz w:val="18"/>
                <w:szCs w:val="18"/>
              </w:rPr>
            </w:pPr>
            <w:r>
              <w:rPr>
                <w:rFonts w:ascii="Arial"/>
                <w:w w:val="99"/>
                <w:sz w:val="18"/>
              </w:rPr>
              <w:t>-</w:t>
            </w:r>
            <w:r>
              <w:rPr>
                <w:rFonts w:ascii="Arial"/>
                <w:sz w:val="18"/>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9"/>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03" w:lineRule="exact"/>
              <w:ind w:left="200" w:right="0"/>
              <w:jc w:val="left"/>
              <w:rPr>
                <w:rFonts w:ascii="黑体" w:hAnsi="黑体" w:cs="黑体" w:eastAsia="黑体" w:hint="default"/>
                <w:sz w:val="18"/>
                <w:szCs w:val="18"/>
              </w:rPr>
            </w:pPr>
            <w:r>
              <w:rPr>
                <w:rFonts w:ascii="黑体" w:hAnsi="黑体" w:cs="黑体" w:eastAsia="黑体" w:hint="default"/>
                <w:sz w:val="18"/>
                <w:szCs w:val="18"/>
              </w:rPr>
              <w:t>用友艾福斯</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5"/>
              <w:jc w:val="right"/>
              <w:rPr>
                <w:rFonts w:ascii="Arial" w:hAnsi="Arial" w:cs="Arial" w:eastAsia="Arial" w:hint="default"/>
                <w:sz w:val="18"/>
                <w:szCs w:val="18"/>
              </w:rPr>
            </w:pPr>
            <w:r>
              <w:rPr>
                <w:rFonts w:ascii="Arial"/>
                <w:spacing w:val="-1"/>
                <w:sz w:val="18"/>
              </w:rPr>
              <w:t>8,392,716</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04"/>
              <w:jc w:val="right"/>
              <w:rPr>
                <w:rFonts w:ascii="Arial" w:hAnsi="Arial" w:cs="Arial" w:eastAsia="Arial" w:hint="default"/>
                <w:sz w:val="18"/>
                <w:szCs w:val="18"/>
              </w:rPr>
            </w:pPr>
            <w:r>
              <w:rPr>
                <w:rFonts w:ascii="Arial"/>
                <w:spacing w:val="-1"/>
                <w:sz w:val="18"/>
              </w:rPr>
              <w:t>8,300,000</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2"/>
              <w:jc w:val="right"/>
              <w:rPr>
                <w:rFonts w:ascii="Arial" w:hAnsi="Arial" w:cs="Arial" w:eastAsia="Arial" w:hint="default"/>
                <w:sz w:val="18"/>
                <w:szCs w:val="18"/>
              </w:rPr>
            </w:pPr>
            <w:r>
              <w:rPr>
                <w:rFonts w:ascii="Arial"/>
                <w:spacing w:val="-1"/>
                <w:sz w:val="18"/>
              </w:rPr>
              <w:t>92,716</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7"/>
              <w:jc w:val="right"/>
              <w:rPr>
                <w:rFonts w:ascii="Arial" w:hAnsi="Arial" w:cs="Arial" w:eastAsia="Arial" w:hint="default"/>
                <w:sz w:val="18"/>
                <w:szCs w:val="18"/>
              </w:rPr>
            </w:pPr>
            <w:r>
              <w:rPr>
                <w:rFonts w:ascii="Arial"/>
                <w:spacing w:val="-1"/>
                <w:sz w:val="18"/>
              </w:rPr>
              <w:t>8,392,716</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34"/>
              <w:jc w:val="right"/>
              <w:rPr>
                <w:rFonts w:ascii="Arial" w:hAnsi="Arial" w:cs="Arial" w:eastAsia="Arial" w:hint="default"/>
                <w:sz w:val="18"/>
                <w:szCs w:val="18"/>
              </w:rPr>
            </w:pPr>
            <w:r>
              <w:rPr>
                <w:rFonts w:ascii="Arial"/>
                <w:w w:val="95"/>
                <w:sz w:val="18"/>
              </w:rPr>
              <w:t>100</w:t>
            </w:r>
            <w:r>
              <w:rPr>
                <w:rFonts w:ascii="Arial"/>
                <w:sz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9"/>
              <w:jc w:val="right"/>
              <w:rPr>
                <w:rFonts w:ascii="Arial" w:hAnsi="Arial" w:cs="Arial" w:eastAsia="Arial" w:hint="default"/>
                <w:sz w:val="18"/>
                <w:szCs w:val="18"/>
              </w:rPr>
            </w:pPr>
            <w:r>
              <w:rPr>
                <w:rFonts w:ascii="Arial"/>
                <w:w w:val="95"/>
                <w:sz w:val="18"/>
              </w:rPr>
              <w:t>100</w:t>
            </w:r>
            <w:r>
              <w:rPr>
                <w:rFonts w:ascii="Arial"/>
                <w:sz w:val="18"/>
              </w:rPr>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7"/>
              <w:jc w:val="right"/>
              <w:rPr>
                <w:rFonts w:ascii="Arial" w:hAnsi="Arial" w:cs="Arial" w:eastAsia="Arial" w:hint="default"/>
                <w:sz w:val="18"/>
                <w:szCs w:val="18"/>
              </w:rPr>
            </w:pPr>
            <w:r>
              <w:rPr>
                <w:rFonts w:ascii="Arial"/>
                <w:w w:val="99"/>
                <w:sz w:val="18"/>
              </w:rPr>
              <w:t>-</w:t>
            </w:r>
            <w:r>
              <w:rPr>
                <w:rFonts w:ascii="Arial"/>
                <w:sz w:val="18"/>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5"/>
              <w:jc w:val="right"/>
              <w:rPr>
                <w:rFonts w:ascii="Arial" w:hAnsi="Arial" w:cs="Arial" w:eastAsia="Arial" w:hint="default"/>
                <w:sz w:val="18"/>
                <w:szCs w:val="18"/>
              </w:rPr>
            </w:pPr>
            <w:r>
              <w:rPr>
                <w:rFonts w:ascii="Arial"/>
                <w:w w:val="99"/>
                <w:sz w:val="18"/>
              </w:rPr>
              <w:t>-</w:t>
            </w:r>
            <w:r>
              <w:rPr>
                <w:rFonts w:ascii="Arial"/>
                <w:sz w:val="18"/>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99"/>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02" w:lineRule="exact"/>
              <w:ind w:left="200" w:right="0"/>
              <w:jc w:val="left"/>
              <w:rPr>
                <w:rFonts w:ascii="黑体" w:hAnsi="黑体" w:cs="黑体" w:eastAsia="黑体" w:hint="default"/>
                <w:sz w:val="18"/>
                <w:szCs w:val="18"/>
              </w:rPr>
            </w:pPr>
            <w:r>
              <w:rPr>
                <w:rFonts w:ascii="黑体" w:hAnsi="黑体" w:cs="黑体" w:eastAsia="黑体" w:hint="default"/>
                <w:sz w:val="18"/>
                <w:szCs w:val="18"/>
              </w:rPr>
              <w:t>用友政务</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sz w:val="18"/>
              </w:rPr>
              <w:t>496,252,992</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4"/>
              <w:jc w:val="right"/>
              <w:rPr>
                <w:rFonts w:ascii="Arial" w:hAnsi="Arial" w:cs="Arial" w:eastAsia="Arial" w:hint="default"/>
                <w:sz w:val="18"/>
                <w:szCs w:val="18"/>
              </w:rPr>
            </w:pPr>
            <w:r>
              <w:rPr>
                <w:rFonts w:ascii="Arial"/>
                <w:spacing w:val="-1"/>
                <w:sz w:val="18"/>
              </w:rPr>
              <w:t>496,252,992</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4"/>
              <w:jc w:val="right"/>
              <w:rPr>
                <w:rFonts w:ascii="Arial" w:hAnsi="Arial" w:cs="Arial" w:eastAsia="Arial" w:hint="default"/>
                <w:sz w:val="18"/>
                <w:szCs w:val="18"/>
              </w:rPr>
            </w:pPr>
            <w:r>
              <w:rPr>
                <w:rFonts w:ascii="Arial"/>
                <w:w w:val="99"/>
                <w:sz w:val="18"/>
              </w:rPr>
              <w:t>-</w:t>
            </w:r>
            <w:r>
              <w:rPr>
                <w:rFonts w:ascii="Arial"/>
                <w:sz w:val="18"/>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5"/>
              <w:jc w:val="right"/>
              <w:rPr>
                <w:rFonts w:ascii="Arial" w:hAnsi="Arial" w:cs="Arial" w:eastAsia="Arial" w:hint="default"/>
                <w:sz w:val="18"/>
                <w:szCs w:val="18"/>
              </w:rPr>
            </w:pPr>
            <w:r>
              <w:rPr>
                <w:rFonts w:ascii="Arial"/>
                <w:spacing w:val="-1"/>
                <w:sz w:val="18"/>
              </w:rPr>
              <w:t>496,252,992</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4"/>
              <w:jc w:val="right"/>
              <w:rPr>
                <w:rFonts w:ascii="Arial" w:hAnsi="Arial" w:cs="Arial" w:eastAsia="Arial" w:hint="default"/>
                <w:sz w:val="18"/>
                <w:szCs w:val="18"/>
              </w:rPr>
            </w:pPr>
            <w:r>
              <w:rPr>
                <w:rFonts w:ascii="Arial"/>
                <w:w w:val="95"/>
                <w:sz w:val="18"/>
              </w:rPr>
              <w:t>94.50</w:t>
            </w:r>
            <w:r>
              <w:rPr>
                <w:rFonts w:ascii="Arial"/>
                <w:sz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9"/>
              <w:jc w:val="right"/>
              <w:rPr>
                <w:rFonts w:ascii="Arial" w:hAnsi="Arial" w:cs="Arial" w:eastAsia="Arial" w:hint="default"/>
                <w:sz w:val="18"/>
                <w:szCs w:val="18"/>
              </w:rPr>
            </w:pPr>
            <w:r>
              <w:rPr>
                <w:rFonts w:ascii="Arial"/>
                <w:w w:val="95"/>
                <w:sz w:val="18"/>
              </w:rPr>
              <w:t>94.50</w:t>
            </w:r>
            <w:r>
              <w:rPr>
                <w:rFonts w:ascii="Arial"/>
                <w:sz w:val="18"/>
              </w:rPr>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7"/>
              <w:jc w:val="right"/>
              <w:rPr>
                <w:rFonts w:ascii="Arial" w:hAnsi="Arial" w:cs="Arial" w:eastAsia="Arial" w:hint="default"/>
                <w:sz w:val="18"/>
                <w:szCs w:val="18"/>
              </w:rPr>
            </w:pPr>
            <w:r>
              <w:rPr>
                <w:rFonts w:ascii="Arial"/>
                <w:w w:val="99"/>
                <w:sz w:val="18"/>
              </w:rPr>
              <w:t>-</w:t>
            </w:r>
            <w:r>
              <w:rPr>
                <w:rFonts w:ascii="Arial"/>
                <w:sz w:val="18"/>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5"/>
              <w:jc w:val="right"/>
              <w:rPr>
                <w:rFonts w:ascii="Arial" w:hAnsi="Arial" w:cs="Arial" w:eastAsia="Arial" w:hint="default"/>
                <w:sz w:val="18"/>
                <w:szCs w:val="18"/>
              </w:rPr>
            </w:pPr>
            <w:r>
              <w:rPr>
                <w:rFonts w:ascii="Arial"/>
                <w:w w:val="99"/>
                <w:sz w:val="18"/>
              </w:rPr>
              <w:t>-</w:t>
            </w:r>
            <w:r>
              <w:rPr>
                <w:rFonts w:ascii="Arial"/>
                <w:sz w:val="18"/>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8"/>
              <w:jc w:val="right"/>
              <w:rPr>
                <w:rFonts w:ascii="Arial" w:hAnsi="Arial" w:cs="Arial" w:eastAsia="Arial" w:hint="default"/>
                <w:sz w:val="18"/>
                <w:szCs w:val="18"/>
              </w:rPr>
            </w:pPr>
            <w:r>
              <w:rPr>
                <w:rFonts w:ascii="Arial"/>
                <w:spacing w:val="-1"/>
                <w:sz w:val="18"/>
              </w:rPr>
              <w:t>18,900,000</w:t>
            </w:r>
          </w:p>
        </w:tc>
      </w:tr>
      <w:tr>
        <w:trPr>
          <w:trHeight w:val="233"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02" w:lineRule="exact"/>
              <w:ind w:left="200" w:right="0"/>
              <w:jc w:val="left"/>
              <w:rPr>
                <w:rFonts w:ascii="黑体" w:hAnsi="黑体" w:cs="黑体" w:eastAsia="黑体" w:hint="default"/>
                <w:sz w:val="18"/>
                <w:szCs w:val="18"/>
              </w:rPr>
            </w:pPr>
            <w:r>
              <w:rPr>
                <w:rFonts w:ascii="黑体" w:hAnsi="黑体" w:cs="黑体" w:eastAsia="黑体" w:hint="default"/>
                <w:sz w:val="18"/>
                <w:szCs w:val="18"/>
              </w:rPr>
              <w:t>用友金融</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6"/>
              <w:jc w:val="right"/>
              <w:rPr>
                <w:rFonts w:ascii="Arial" w:hAnsi="Arial" w:cs="Arial" w:eastAsia="Arial" w:hint="default"/>
                <w:sz w:val="18"/>
                <w:szCs w:val="18"/>
              </w:rPr>
            </w:pPr>
            <w:r>
              <w:rPr>
                <w:rFonts w:ascii="Arial"/>
                <w:spacing w:val="-1"/>
                <w:sz w:val="18"/>
              </w:rPr>
              <w:t>30,000,000</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5"/>
              <w:jc w:val="right"/>
              <w:rPr>
                <w:rFonts w:ascii="Arial" w:hAnsi="Arial" w:cs="Arial" w:eastAsia="Arial" w:hint="default"/>
                <w:sz w:val="18"/>
                <w:szCs w:val="18"/>
              </w:rPr>
            </w:pPr>
            <w:r>
              <w:rPr>
                <w:rFonts w:ascii="Arial"/>
                <w:spacing w:val="-1"/>
                <w:sz w:val="18"/>
              </w:rPr>
              <w:t>30,000,000</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4"/>
              <w:jc w:val="right"/>
              <w:rPr>
                <w:rFonts w:ascii="Arial" w:hAnsi="Arial" w:cs="Arial" w:eastAsia="Arial" w:hint="default"/>
                <w:sz w:val="18"/>
                <w:szCs w:val="18"/>
              </w:rPr>
            </w:pPr>
            <w:r>
              <w:rPr>
                <w:rFonts w:ascii="Arial"/>
                <w:w w:val="99"/>
                <w:sz w:val="18"/>
              </w:rPr>
              <w:t>-</w:t>
            </w:r>
            <w:r>
              <w:rPr>
                <w:rFonts w:ascii="Arial"/>
                <w:sz w:val="18"/>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6"/>
              <w:jc w:val="right"/>
              <w:rPr>
                <w:rFonts w:ascii="Arial" w:hAnsi="Arial" w:cs="Arial" w:eastAsia="Arial" w:hint="default"/>
                <w:sz w:val="18"/>
                <w:szCs w:val="18"/>
              </w:rPr>
            </w:pPr>
            <w:r>
              <w:rPr>
                <w:rFonts w:ascii="Arial"/>
                <w:spacing w:val="-1"/>
                <w:sz w:val="18"/>
              </w:rPr>
              <w:t>30,000,000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4"/>
              <w:jc w:val="right"/>
              <w:rPr>
                <w:rFonts w:ascii="Arial" w:hAnsi="Arial" w:cs="Arial" w:eastAsia="Arial" w:hint="default"/>
                <w:sz w:val="18"/>
                <w:szCs w:val="18"/>
              </w:rPr>
            </w:pPr>
            <w:r>
              <w:rPr>
                <w:rFonts w:ascii="Arial"/>
                <w:w w:val="95"/>
                <w:sz w:val="18"/>
              </w:rPr>
              <w:t>100</w:t>
            </w:r>
            <w:r>
              <w:rPr>
                <w:rFonts w:ascii="Arial"/>
                <w:sz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9"/>
              <w:jc w:val="right"/>
              <w:rPr>
                <w:rFonts w:ascii="Arial" w:hAnsi="Arial" w:cs="Arial" w:eastAsia="Arial" w:hint="default"/>
                <w:sz w:val="18"/>
                <w:szCs w:val="18"/>
              </w:rPr>
            </w:pPr>
            <w:r>
              <w:rPr>
                <w:rFonts w:ascii="Arial"/>
                <w:w w:val="95"/>
                <w:sz w:val="18"/>
              </w:rPr>
              <w:t>100</w:t>
            </w:r>
            <w:r>
              <w:rPr>
                <w:rFonts w:ascii="Arial"/>
                <w:sz w:val="18"/>
              </w:rPr>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7"/>
              <w:jc w:val="right"/>
              <w:rPr>
                <w:rFonts w:ascii="Arial" w:hAnsi="Arial" w:cs="Arial" w:eastAsia="Arial" w:hint="default"/>
                <w:sz w:val="18"/>
                <w:szCs w:val="18"/>
              </w:rPr>
            </w:pPr>
            <w:r>
              <w:rPr>
                <w:rFonts w:ascii="Arial"/>
                <w:w w:val="99"/>
                <w:sz w:val="18"/>
              </w:rPr>
              <w:t>-</w:t>
            </w:r>
            <w:r>
              <w:rPr>
                <w:rFonts w:ascii="Arial"/>
                <w:sz w:val="18"/>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5"/>
              <w:jc w:val="right"/>
              <w:rPr>
                <w:rFonts w:ascii="Arial" w:hAnsi="Arial" w:cs="Arial" w:eastAsia="Arial" w:hint="default"/>
                <w:sz w:val="18"/>
                <w:szCs w:val="18"/>
              </w:rPr>
            </w:pPr>
            <w:r>
              <w:rPr>
                <w:rFonts w:ascii="Arial"/>
                <w:w w:val="99"/>
                <w:sz w:val="18"/>
              </w:rPr>
              <w:t>-</w:t>
            </w:r>
            <w:r>
              <w:rPr>
                <w:rFonts w:ascii="Arial"/>
                <w:sz w:val="18"/>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9"/>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02" w:lineRule="exact"/>
              <w:ind w:left="200" w:right="0"/>
              <w:jc w:val="left"/>
              <w:rPr>
                <w:rFonts w:ascii="黑体" w:hAnsi="黑体" w:cs="黑体" w:eastAsia="黑体" w:hint="default"/>
                <w:sz w:val="18"/>
                <w:szCs w:val="18"/>
              </w:rPr>
            </w:pPr>
            <w:r>
              <w:rPr>
                <w:rFonts w:ascii="黑体" w:hAnsi="黑体" w:cs="黑体" w:eastAsia="黑体" w:hint="default"/>
                <w:sz w:val="18"/>
                <w:szCs w:val="18"/>
              </w:rPr>
              <w:t>浙江用友</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sz w:val="18"/>
              </w:rPr>
              <w:t>4,500,000</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4"/>
              <w:jc w:val="right"/>
              <w:rPr>
                <w:rFonts w:ascii="Arial" w:hAnsi="Arial" w:cs="Arial" w:eastAsia="Arial" w:hint="default"/>
                <w:sz w:val="18"/>
                <w:szCs w:val="18"/>
              </w:rPr>
            </w:pPr>
            <w:r>
              <w:rPr>
                <w:rFonts w:ascii="Arial"/>
                <w:spacing w:val="-1"/>
                <w:sz w:val="18"/>
              </w:rPr>
              <w:t>4,500,000</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4"/>
              <w:jc w:val="right"/>
              <w:rPr>
                <w:rFonts w:ascii="Arial" w:hAnsi="Arial" w:cs="Arial" w:eastAsia="Arial" w:hint="default"/>
                <w:sz w:val="18"/>
                <w:szCs w:val="18"/>
              </w:rPr>
            </w:pPr>
            <w:r>
              <w:rPr>
                <w:rFonts w:ascii="Arial"/>
                <w:w w:val="99"/>
                <w:sz w:val="18"/>
              </w:rPr>
              <w:t>-</w:t>
            </w:r>
            <w:r>
              <w:rPr>
                <w:rFonts w:ascii="Arial"/>
                <w:sz w:val="18"/>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7"/>
              <w:jc w:val="right"/>
              <w:rPr>
                <w:rFonts w:ascii="Arial" w:hAnsi="Arial" w:cs="Arial" w:eastAsia="Arial" w:hint="default"/>
                <w:sz w:val="18"/>
                <w:szCs w:val="18"/>
              </w:rPr>
            </w:pPr>
            <w:r>
              <w:rPr>
                <w:rFonts w:ascii="Arial"/>
                <w:spacing w:val="-1"/>
                <w:sz w:val="18"/>
              </w:rPr>
              <w:t>4,500,000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4"/>
              <w:jc w:val="right"/>
              <w:rPr>
                <w:rFonts w:ascii="Arial" w:hAnsi="Arial" w:cs="Arial" w:eastAsia="Arial" w:hint="default"/>
                <w:sz w:val="18"/>
                <w:szCs w:val="18"/>
              </w:rPr>
            </w:pPr>
            <w:r>
              <w:rPr>
                <w:rFonts w:ascii="Arial"/>
                <w:w w:val="95"/>
                <w:sz w:val="18"/>
              </w:rPr>
              <w:t>90</w:t>
            </w:r>
            <w:r>
              <w:rPr>
                <w:rFonts w:ascii="Arial"/>
                <w:sz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9"/>
              <w:jc w:val="right"/>
              <w:rPr>
                <w:rFonts w:ascii="Arial" w:hAnsi="Arial" w:cs="Arial" w:eastAsia="Arial" w:hint="default"/>
                <w:sz w:val="18"/>
                <w:szCs w:val="18"/>
              </w:rPr>
            </w:pPr>
            <w:r>
              <w:rPr>
                <w:rFonts w:ascii="Arial"/>
                <w:w w:val="95"/>
                <w:sz w:val="18"/>
              </w:rPr>
              <w:t>90</w:t>
            </w:r>
            <w:r>
              <w:rPr>
                <w:rFonts w:ascii="Arial"/>
                <w:sz w:val="18"/>
              </w:rPr>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7"/>
              <w:jc w:val="right"/>
              <w:rPr>
                <w:rFonts w:ascii="Arial" w:hAnsi="Arial" w:cs="Arial" w:eastAsia="Arial" w:hint="default"/>
                <w:sz w:val="18"/>
                <w:szCs w:val="18"/>
              </w:rPr>
            </w:pPr>
            <w:r>
              <w:rPr>
                <w:rFonts w:ascii="Arial"/>
                <w:w w:val="99"/>
                <w:sz w:val="18"/>
              </w:rPr>
              <w:t>-</w:t>
            </w:r>
            <w:r>
              <w:rPr>
                <w:rFonts w:ascii="Arial"/>
                <w:sz w:val="18"/>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5"/>
              <w:jc w:val="right"/>
              <w:rPr>
                <w:rFonts w:ascii="Arial" w:hAnsi="Arial" w:cs="Arial" w:eastAsia="Arial" w:hint="default"/>
                <w:sz w:val="18"/>
                <w:szCs w:val="18"/>
              </w:rPr>
            </w:pPr>
            <w:r>
              <w:rPr>
                <w:rFonts w:ascii="Arial"/>
                <w:w w:val="99"/>
                <w:sz w:val="18"/>
              </w:rPr>
              <w:t>-</w:t>
            </w:r>
            <w:r>
              <w:rPr>
                <w:rFonts w:ascii="Arial"/>
                <w:sz w:val="18"/>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9"/>
              <w:jc w:val="right"/>
              <w:rPr>
                <w:rFonts w:ascii="Arial" w:hAnsi="Arial" w:cs="Arial" w:eastAsia="Arial" w:hint="default"/>
                <w:sz w:val="18"/>
                <w:szCs w:val="18"/>
              </w:rPr>
            </w:pPr>
            <w:r>
              <w:rPr>
                <w:rFonts w:ascii="Arial"/>
                <w:w w:val="99"/>
                <w:sz w:val="18"/>
              </w:rPr>
              <w:t>-</w:t>
            </w:r>
            <w:r>
              <w:rPr>
                <w:rFonts w:ascii="Arial"/>
                <w:sz w:val="18"/>
              </w:rPr>
            </w:r>
          </w:p>
        </w:tc>
      </w:tr>
      <w:tr>
        <w:trPr>
          <w:trHeight w:val="260"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03" w:lineRule="exact"/>
              <w:ind w:left="200" w:right="0"/>
              <w:jc w:val="left"/>
              <w:rPr>
                <w:rFonts w:ascii="黑体" w:hAnsi="黑体" w:cs="黑体" w:eastAsia="黑体" w:hint="default"/>
                <w:sz w:val="18"/>
                <w:szCs w:val="18"/>
              </w:rPr>
            </w:pPr>
            <w:r>
              <w:rPr>
                <w:rFonts w:ascii="黑体" w:hAnsi="黑体" w:cs="黑体" w:eastAsia="黑体" w:hint="default"/>
                <w:sz w:val="18"/>
                <w:szCs w:val="18"/>
              </w:rPr>
              <w:t>沈阳用友</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5"/>
              <w:jc w:val="right"/>
              <w:rPr>
                <w:rFonts w:ascii="Arial" w:hAnsi="Arial" w:cs="Arial" w:eastAsia="Arial" w:hint="default"/>
                <w:sz w:val="18"/>
                <w:szCs w:val="18"/>
              </w:rPr>
            </w:pPr>
            <w:r>
              <w:rPr>
                <w:rFonts w:ascii="Arial"/>
                <w:spacing w:val="-1"/>
                <w:sz w:val="18"/>
              </w:rPr>
              <w:t>2,700,000</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04"/>
              <w:jc w:val="right"/>
              <w:rPr>
                <w:rFonts w:ascii="Arial" w:hAnsi="Arial" w:cs="Arial" w:eastAsia="Arial" w:hint="default"/>
                <w:sz w:val="18"/>
                <w:szCs w:val="18"/>
              </w:rPr>
            </w:pPr>
            <w:r>
              <w:rPr>
                <w:rFonts w:ascii="Arial"/>
                <w:spacing w:val="-1"/>
                <w:sz w:val="18"/>
              </w:rPr>
              <w:t>2,700,000</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4"/>
              <w:jc w:val="right"/>
              <w:rPr>
                <w:rFonts w:ascii="Arial" w:hAnsi="Arial" w:cs="Arial" w:eastAsia="Arial" w:hint="default"/>
                <w:sz w:val="18"/>
                <w:szCs w:val="18"/>
              </w:rPr>
            </w:pPr>
            <w:r>
              <w:rPr>
                <w:rFonts w:ascii="Arial"/>
                <w:w w:val="99"/>
                <w:sz w:val="18"/>
              </w:rPr>
              <w:t>-</w:t>
            </w:r>
            <w:r>
              <w:rPr>
                <w:rFonts w:ascii="Arial"/>
                <w:sz w:val="18"/>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7"/>
              <w:jc w:val="right"/>
              <w:rPr>
                <w:rFonts w:ascii="Arial" w:hAnsi="Arial" w:cs="Arial" w:eastAsia="Arial" w:hint="default"/>
                <w:sz w:val="18"/>
                <w:szCs w:val="18"/>
              </w:rPr>
            </w:pPr>
            <w:r>
              <w:rPr>
                <w:rFonts w:ascii="Arial"/>
                <w:spacing w:val="-1"/>
                <w:sz w:val="18"/>
              </w:rPr>
              <w:t>2,700,000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34"/>
              <w:jc w:val="right"/>
              <w:rPr>
                <w:rFonts w:ascii="Arial" w:hAnsi="Arial" w:cs="Arial" w:eastAsia="Arial" w:hint="default"/>
                <w:sz w:val="18"/>
                <w:szCs w:val="18"/>
              </w:rPr>
            </w:pPr>
            <w:r>
              <w:rPr>
                <w:rFonts w:ascii="Arial"/>
                <w:w w:val="95"/>
                <w:sz w:val="18"/>
              </w:rPr>
              <w:t>90</w:t>
            </w:r>
            <w:r>
              <w:rPr>
                <w:rFonts w:ascii="Arial"/>
                <w:sz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9"/>
              <w:jc w:val="right"/>
              <w:rPr>
                <w:rFonts w:ascii="Arial" w:hAnsi="Arial" w:cs="Arial" w:eastAsia="Arial" w:hint="default"/>
                <w:sz w:val="18"/>
                <w:szCs w:val="18"/>
              </w:rPr>
            </w:pPr>
            <w:r>
              <w:rPr>
                <w:rFonts w:ascii="Arial"/>
                <w:w w:val="95"/>
                <w:sz w:val="18"/>
              </w:rPr>
              <w:t>90</w:t>
            </w:r>
            <w:r>
              <w:rPr>
                <w:rFonts w:ascii="Arial"/>
                <w:sz w:val="18"/>
              </w:rPr>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7"/>
              <w:jc w:val="right"/>
              <w:rPr>
                <w:rFonts w:ascii="Arial" w:hAnsi="Arial" w:cs="Arial" w:eastAsia="Arial" w:hint="default"/>
                <w:sz w:val="18"/>
                <w:szCs w:val="18"/>
              </w:rPr>
            </w:pPr>
            <w:r>
              <w:rPr>
                <w:rFonts w:ascii="Arial"/>
                <w:w w:val="99"/>
                <w:sz w:val="18"/>
              </w:rPr>
              <w:t>-</w:t>
            </w:r>
            <w:r>
              <w:rPr>
                <w:rFonts w:ascii="Arial"/>
                <w:sz w:val="18"/>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5"/>
              <w:jc w:val="right"/>
              <w:rPr>
                <w:rFonts w:ascii="Arial" w:hAnsi="Arial" w:cs="Arial" w:eastAsia="Arial" w:hint="default"/>
                <w:sz w:val="18"/>
                <w:szCs w:val="18"/>
              </w:rPr>
            </w:pPr>
            <w:r>
              <w:rPr>
                <w:rFonts w:ascii="Arial"/>
                <w:w w:val="99"/>
                <w:sz w:val="18"/>
              </w:rPr>
              <w:t>-</w:t>
            </w:r>
            <w:r>
              <w:rPr>
                <w:rFonts w:ascii="Arial"/>
                <w:sz w:val="18"/>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99"/>
              <w:jc w:val="right"/>
              <w:rPr>
                <w:rFonts w:ascii="Arial" w:hAnsi="Arial" w:cs="Arial" w:eastAsia="Arial" w:hint="default"/>
                <w:sz w:val="18"/>
                <w:szCs w:val="18"/>
              </w:rPr>
            </w:pPr>
            <w:r>
              <w:rPr>
                <w:rFonts w:ascii="Arial"/>
                <w:w w:val="99"/>
                <w:sz w:val="18"/>
              </w:rPr>
              <w:t>-</w:t>
            </w:r>
            <w:r>
              <w:rPr>
                <w:rFonts w:ascii="Arial"/>
                <w:sz w:val="18"/>
              </w:rPr>
            </w:r>
          </w:p>
        </w:tc>
      </w:tr>
      <w:tr>
        <w:trPr>
          <w:trHeight w:val="259"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28" w:lineRule="exact"/>
              <w:ind w:left="200" w:right="0"/>
              <w:jc w:val="left"/>
              <w:rPr>
                <w:rFonts w:ascii="黑体" w:hAnsi="黑体" w:cs="黑体" w:eastAsia="黑体" w:hint="default"/>
                <w:sz w:val="18"/>
                <w:szCs w:val="18"/>
              </w:rPr>
            </w:pPr>
            <w:r>
              <w:rPr>
                <w:rFonts w:ascii="黑体" w:hAnsi="黑体" w:cs="黑体" w:eastAsia="黑体" w:hint="default"/>
                <w:sz w:val="18"/>
                <w:szCs w:val="18"/>
              </w:rPr>
              <w:t>大连用友</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75"/>
              <w:jc w:val="right"/>
              <w:rPr>
                <w:rFonts w:ascii="Arial" w:hAnsi="Arial" w:cs="Arial" w:eastAsia="Arial" w:hint="default"/>
                <w:sz w:val="18"/>
                <w:szCs w:val="18"/>
              </w:rPr>
            </w:pPr>
            <w:r>
              <w:rPr>
                <w:rFonts w:ascii="Arial"/>
                <w:spacing w:val="-1"/>
                <w:sz w:val="18"/>
              </w:rPr>
              <w:t>2,700,000</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04"/>
              <w:jc w:val="right"/>
              <w:rPr>
                <w:rFonts w:ascii="Arial" w:hAnsi="Arial" w:cs="Arial" w:eastAsia="Arial" w:hint="default"/>
                <w:sz w:val="18"/>
                <w:szCs w:val="18"/>
              </w:rPr>
            </w:pPr>
            <w:r>
              <w:rPr>
                <w:rFonts w:ascii="Arial"/>
                <w:spacing w:val="-1"/>
                <w:sz w:val="18"/>
              </w:rPr>
              <w:t>2,700,000</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4"/>
              <w:jc w:val="right"/>
              <w:rPr>
                <w:rFonts w:ascii="Arial" w:hAnsi="Arial" w:cs="Arial" w:eastAsia="Arial" w:hint="default"/>
                <w:sz w:val="18"/>
                <w:szCs w:val="18"/>
              </w:rPr>
            </w:pPr>
            <w:r>
              <w:rPr>
                <w:rFonts w:ascii="Arial"/>
                <w:w w:val="99"/>
                <w:sz w:val="18"/>
              </w:rPr>
              <w:t>-</w:t>
            </w:r>
            <w:r>
              <w:rPr>
                <w:rFonts w:ascii="Arial"/>
                <w:sz w:val="18"/>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7"/>
              <w:jc w:val="right"/>
              <w:rPr>
                <w:rFonts w:ascii="Arial" w:hAnsi="Arial" w:cs="Arial" w:eastAsia="Arial" w:hint="default"/>
                <w:sz w:val="18"/>
                <w:szCs w:val="18"/>
              </w:rPr>
            </w:pPr>
            <w:r>
              <w:rPr>
                <w:rFonts w:ascii="Arial"/>
                <w:spacing w:val="-1"/>
                <w:sz w:val="18"/>
              </w:rPr>
              <w:t>2,700,000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34"/>
              <w:jc w:val="right"/>
              <w:rPr>
                <w:rFonts w:ascii="Arial" w:hAnsi="Arial" w:cs="Arial" w:eastAsia="Arial" w:hint="default"/>
                <w:sz w:val="18"/>
                <w:szCs w:val="18"/>
              </w:rPr>
            </w:pPr>
            <w:r>
              <w:rPr>
                <w:rFonts w:ascii="Arial"/>
                <w:w w:val="95"/>
                <w:sz w:val="18"/>
              </w:rPr>
              <w:t>90</w:t>
            </w:r>
            <w:r>
              <w:rPr>
                <w:rFonts w:ascii="Arial"/>
                <w:sz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9"/>
              <w:jc w:val="right"/>
              <w:rPr>
                <w:rFonts w:ascii="Arial" w:hAnsi="Arial" w:cs="Arial" w:eastAsia="Arial" w:hint="default"/>
                <w:sz w:val="18"/>
                <w:szCs w:val="18"/>
              </w:rPr>
            </w:pPr>
            <w:r>
              <w:rPr>
                <w:rFonts w:ascii="Arial"/>
                <w:w w:val="95"/>
                <w:sz w:val="18"/>
              </w:rPr>
              <w:t>90</w:t>
            </w:r>
            <w:r>
              <w:rPr>
                <w:rFonts w:ascii="Arial"/>
                <w:sz w:val="18"/>
              </w:rPr>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57"/>
              <w:jc w:val="right"/>
              <w:rPr>
                <w:rFonts w:ascii="Arial" w:hAnsi="Arial" w:cs="Arial" w:eastAsia="Arial" w:hint="default"/>
                <w:sz w:val="18"/>
                <w:szCs w:val="18"/>
              </w:rPr>
            </w:pPr>
            <w:r>
              <w:rPr>
                <w:rFonts w:ascii="Arial"/>
                <w:w w:val="99"/>
                <w:sz w:val="18"/>
              </w:rPr>
              <w:t>-</w:t>
            </w:r>
            <w:r>
              <w:rPr>
                <w:rFonts w:ascii="Arial"/>
                <w:sz w:val="18"/>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5"/>
              <w:jc w:val="right"/>
              <w:rPr>
                <w:rFonts w:ascii="Arial" w:hAnsi="Arial" w:cs="Arial" w:eastAsia="Arial" w:hint="default"/>
                <w:sz w:val="18"/>
                <w:szCs w:val="18"/>
              </w:rPr>
            </w:pPr>
            <w:r>
              <w:rPr>
                <w:rFonts w:ascii="Arial"/>
                <w:w w:val="99"/>
                <w:sz w:val="18"/>
              </w:rPr>
              <w:t>-</w:t>
            </w:r>
            <w:r>
              <w:rPr>
                <w:rFonts w:ascii="Arial"/>
                <w:sz w:val="18"/>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99"/>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02" w:lineRule="exact"/>
              <w:ind w:left="200" w:right="0"/>
              <w:jc w:val="left"/>
              <w:rPr>
                <w:rFonts w:ascii="黑体" w:hAnsi="黑体" w:cs="黑体" w:eastAsia="黑体" w:hint="default"/>
                <w:sz w:val="18"/>
                <w:szCs w:val="18"/>
              </w:rPr>
            </w:pPr>
            <w:r>
              <w:rPr>
                <w:rFonts w:ascii="黑体" w:hAnsi="黑体" w:cs="黑体" w:eastAsia="黑体" w:hint="default"/>
                <w:sz w:val="18"/>
                <w:szCs w:val="18"/>
              </w:rPr>
              <w:t>广西用友</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sz w:val="18"/>
              </w:rPr>
              <w:t>2,700,000</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4"/>
              <w:jc w:val="right"/>
              <w:rPr>
                <w:rFonts w:ascii="Arial" w:hAnsi="Arial" w:cs="Arial" w:eastAsia="Arial" w:hint="default"/>
                <w:sz w:val="18"/>
                <w:szCs w:val="18"/>
              </w:rPr>
            </w:pPr>
            <w:r>
              <w:rPr>
                <w:rFonts w:ascii="Arial"/>
                <w:spacing w:val="-1"/>
                <w:sz w:val="18"/>
              </w:rPr>
              <w:t>2,700,000</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4"/>
              <w:jc w:val="right"/>
              <w:rPr>
                <w:rFonts w:ascii="Arial" w:hAnsi="Arial" w:cs="Arial" w:eastAsia="Arial" w:hint="default"/>
                <w:sz w:val="18"/>
                <w:szCs w:val="18"/>
              </w:rPr>
            </w:pPr>
            <w:r>
              <w:rPr>
                <w:rFonts w:ascii="Arial"/>
                <w:w w:val="99"/>
                <w:sz w:val="18"/>
              </w:rPr>
              <w:t>-</w:t>
            </w:r>
            <w:r>
              <w:rPr>
                <w:rFonts w:ascii="Arial"/>
                <w:sz w:val="18"/>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7"/>
              <w:jc w:val="right"/>
              <w:rPr>
                <w:rFonts w:ascii="Arial" w:hAnsi="Arial" w:cs="Arial" w:eastAsia="Arial" w:hint="default"/>
                <w:sz w:val="18"/>
                <w:szCs w:val="18"/>
              </w:rPr>
            </w:pPr>
            <w:r>
              <w:rPr>
                <w:rFonts w:ascii="Arial"/>
                <w:spacing w:val="-1"/>
                <w:sz w:val="18"/>
              </w:rPr>
              <w:t>2,700,000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4"/>
              <w:jc w:val="right"/>
              <w:rPr>
                <w:rFonts w:ascii="Arial" w:hAnsi="Arial" w:cs="Arial" w:eastAsia="Arial" w:hint="default"/>
                <w:sz w:val="18"/>
                <w:szCs w:val="18"/>
              </w:rPr>
            </w:pPr>
            <w:r>
              <w:rPr>
                <w:rFonts w:ascii="Arial"/>
                <w:w w:val="95"/>
                <w:sz w:val="18"/>
              </w:rPr>
              <w:t>90</w:t>
            </w:r>
            <w:r>
              <w:rPr>
                <w:rFonts w:ascii="Arial"/>
                <w:sz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9"/>
              <w:jc w:val="right"/>
              <w:rPr>
                <w:rFonts w:ascii="Arial" w:hAnsi="Arial" w:cs="Arial" w:eastAsia="Arial" w:hint="default"/>
                <w:sz w:val="18"/>
                <w:szCs w:val="18"/>
              </w:rPr>
            </w:pPr>
            <w:r>
              <w:rPr>
                <w:rFonts w:ascii="Arial"/>
                <w:w w:val="95"/>
                <w:sz w:val="18"/>
              </w:rPr>
              <w:t>90</w:t>
            </w:r>
            <w:r>
              <w:rPr>
                <w:rFonts w:ascii="Arial"/>
                <w:sz w:val="18"/>
              </w:rPr>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7"/>
              <w:jc w:val="right"/>
              <w:rPr>
                <w:rFonts w:ascii="Arial" w:hAnsi="Arial" w:cs="Arial" w:eastAsia="Arial" w:hint="default"/>
                <w:sz w:val="18"/>
                <w:szCs w:val="18"/>
              </w:rPr>
            </w:pPr>
            <w:r>
              <w:rPr>
                <w:rFonts w:ascii="Arial"/>
                <w:w w:val="99"/>
                <w:sz w:val="18"/>
              </w:rPr>
              <w:t>-</w:t>
            </w:r>
            <w:r>
              <w:rPr>
                <w:rFonts w:ascii="Arial"/>
                <w:sz w:val="18"/>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5"/>
              <w:jc w:val="right"/>
              <w:rPr>
                <w:rFonts w:ascii="Arial" w:hAnsi="Arial" w:cs="Arial" w:eastAsia="Arial" w:hint="default"/>
                <w:sz w:val="18"/>
                <w:szCs w:val="18"/>
              </w:rPr>
            </w:pPr>
            <w:r>
              <w:rPr>
                <w:rFonts w:ascii="Arial"/>
                <w:w w:val="99"/>
                <w:sz w:val="18"/>
              </w:rPr>
              <w:t>-</w:t>
            </w:r>
            <w:r>
              <w:rPr>
                <w:rFonts w:ascii="Arial"/>
                <w:sz w:val="18"/>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9"/>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02" w:lineRule="exact"/>
              <w:ind w:left="200" w:right="0"/>
              <w:jc w:val="left"/>
              <w:rPr>
                <w:rFonts w:ascii="黑体" w:hAnsi="黑体" w:cs="黑体" w:eastAsia="黑体" w:hint="default"/>
                <w:sz w:val="18"/>
                <w:szCs w:val="18"/>
              </w:rPr>
            </w:pPr>
            <w:r>
              <w:rPr>
                <w:rFonts w:ascii="黑体" w:hAnsi="黑体" w:cs="黑体" w:eastAsia="黑体" w:hint="default"/>
                <w:sz w:val="18"/>
                <w:szCs w:val="18"/>
              </w:rPr>
              <w:t>用友烟草</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6"/>
              <w:jc w:val="right"/>
              <w:rPr>
                <w:rFonts w:ascii="Arial" w:hAnsi="Arial" w:cs="Arial" w:eastAsia="Arial" w:hint="default"/>
                <w:sz w:val="18"/>
                <w:szCs w:val="18"/>
              </w:rPr>
            </w:pPr>
            <w:r>
              <w:rPr>
                <w:rFonts w:ascii="Arial"/>
                <w:spacing w:val="-1"/>
                <w:sz w:val="18"/>
              </w:rPr>
              <w:t>15,200,000</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5"/>
              <w:jc w:val="right"/>
              <w:rPr>
                <w:rFonts w:ascii="Arial" w:hAnsi="Arial" w:cs="Arial" w:eastAsia="Arial" w:hint="default"/>
                <w:sz w:val="18"/>
                <w:szCs w:val="18"/>
              </w:rPr>
            </w:pPr>
            <w:r>
              <w:rPr>
                <w:rFonts w:ascii="Arial"/>
                <w:spacing w:val="-1"/>
                <w:sz w:val="18"/>
              </w:rPr>
              <w:t>15,200,000</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4"/>
              <w:jc w:val="right"/>
              <w:rPr>
                <w:rFonts w:ascii="Arial" w:hAnsi="Arial" w:cs="Arial" w:eastAsia="Arial" w:hint="default"/>
                <w:sz w:val="18"/>
                <w:szCs w:val="18"/>
              </w:rPr>
            </w:pPr>
            <w:r>
              <w:rPr>
                <w:rFonts w:ascii="Arial"/>
                <w:w w:val="99"/>
                <w:sz w:val="18"/>
              </w:rPr>
              <w:t>-</w:t>
            </w:r>
            <w:r>
              <w:rPr>
                <w:rFonts w:ascii="Arial"/>
                <w:sz w:val="18"/>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6"/>
              <w:jc w:val="right"/>
              <w:rPr>
                <w:rFonts w:ascii="Arial" w:hAnsi="Arial" w:cs="Arial" w:eastAsia="Arial" w:hint="default"/>
                <w:sz w:val="18"/>
                <w:szCs w:val="18"/>
              </w:rPr>
            </w:pPr>
            <w:r>
              <w:rPr>
                <w:rFonts w:ascii="Arial"/>
                <w:spacing w:val="-1"/>
                <w:sz w:val="18"/>
              </w:rPr>
              <w:t>15,200,000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4"/>
              <w:jc w:val="right"/>
              <w:rPr>
                <w:rFonts w:ascii="Arial" w:hAnsi="Arial" w:cs="Arial" w:eastAsia="Arial" w:hint="default"/>
                <w:sz w:val="18"/>
                <w:szCs w:val="18"/>
              </w:rPr>
            </w:pPr>
            <w:r>
              <w:rPr>
                <w:rFonts w:ascii="Arial"/>
                <w:w w:val="95"/>
                <w:sz w:val="18"/>
              </w:rPr>
              <w:t>76</w:t>
            </w:r>
            <w:r>
              <w:rPr>
                <w:rFonts w:ascii="Arial"/>
                <w:sz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9"/>
              <w:jc w:val="right"/>
              <w:rPr>
                <w:rFonts w:ascii="Arial" w:hAnsi="Arial" w:cs="Arial" w:eastAsia="Arial" w:hint="default"/>
                <w:sz w:val="18"/>
                <w:szCs w:val="18"/>
              </w:rPr>
            </w:pPr>
            <w:r>
              <w:rPr>
                <w:rFonts w:ascii="Arial"/>
                <w:w w:val="95"/>
                <w:sz w:val="18"/>
              </w:rPr>
              <w:t>76</w:t>
            </w:r>
            <w:r>
              <w:rPr>
                <w:rFonts w:ascii="Arial"/>
                <w:sz w:val="18"/>
              </w:rPr>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7"/>
              <w:jc w:val="right"/>
              <w:rPr>
                <w:rFonts w:ascii="Arial" w:hAnsi="Arial" w:cs="Arial" w:eastAsia="Arial" w:hint="default"/>
                <w:sz w:val="18"/>
                <w:szCs w:val="18"/>
              </w:rPr>
            </w:pPr>
            <w:r>
              <w:rPr>
                <w:rFonts w:ascii="Arial"/>
                <w:w w:val="99"/>
                <w:sz w:val="18"/>
              </w:rPr>
              <w:t>-</w:t>
            </w:r>
            <w:r>
              <w:rPr>
                <w:rFonts w:ascii="Arial"/>
                <w:sz w:val="18"/>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5"/>
              <w:jc w:val="right"/>
              <w:rPr>
                <w:rFonts w:ascii="Arial" w:hAnsi="Arial" w:cs="Arial" w:eastAsia="Arial" w:hint="default"/>
                <w:sz w:val="18"/>
                <w:szCs w:val="18"/>
              </w:rPr>
            </w:pPr>
            <w:r>
              <w:rPr>
                <w:rFonts w:ascii="Arial"/>
                <w:w w:val="99"/>
                <w:sz w:val="18"/>
              </w:rPr>
              <w:t>-</w:t>
            </w:r>
            <w:r>
              <w:rPr>
                <w:rFonts w:ascii="Arial"/>
                <w:sz w:val="18"/>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8"/>
              <w:jc w:val="right"/>
              <w:rPr>
                <w:rFonts w:ascii="Arial" w:hAnsi="Arial" w:cs="Arial" w:eastAsia="Arial" w:hint="default"/>
                <w:sz w:val="18"/>
                <w:szCs w:val="18"/>
              </w:rPr>
            </w:pPr>
            <w:r>
              <w:rPr>
                <w:rFonts w:ascii="Arial"/>
                <w:spacing w:val="-1"/>
                <w:sz w:val="18"/>
              </w:rPr>
              <w:t>19,716,370</w:t>
            </w:r>
          </w:p>
        </w:tc>
      </w:tr>
      <w:tr>
        <w:trPr>
          <w:trHeight w:val="234"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03" w:lineRule="exact"/>
              <w:ind w:left="200" w:right="0"/>
              <w:jc w:val="left"/>
              <w:rPr>
                <w:rFonts w:ascii="黑体" w:hAnsi="黑体" w:cs="黑体" w:eastAsia="黑体" w:hint="default"/>
                <w:sz w:val="18"/>
                <w:szCs w:val="18"/>
              </w:rPr>
            </w:pPr>
            <w:r>
              <w:rPr>
                <w:rFonts w:ascii="黑体" w:hAnsi="黑体" w:cs="黑体" w:eastAsia="黑体" w:hint="default"/>
                <w:sz w:val="18"/>
                <w:szCs w:val="18"/>
              </w:rPr>
              <w:t>深圳用友</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5"/>
              <w:jc w:val="right"/>
              <w:rPr>
                <w:rFonts w:ascii="Arial" w:hAnsi="Arial" w:cs="Arial" w:eastAsia="Arial" w:hint="default"/>
                <w:sz w:val="18"/>
                <w:szCs w:val="18"/>
              </w:rPr>
            </w:pPr>
            <w:r>
              <w:rPr>
                <w:rFonts w:ascii="Arial"/>
                <w:spacing w:val="-1"/>
                <w:sz w:val="18"/>
              </w:rPr>
              <w:t>9,000,000</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04"/>
              <w:jc w:val="right"/>
              <w:rPr>
                <w:rFonts w:ascii="Arial" w:hAnsi="Arial" w:cs="Arial" w:eastAsia="Arial" w:hint="default"/>
                <w:sz w:val="18"/>
                <w:szCs w:val="18"/>
              </w:rPr>
            </w:pPr>
            <w:r>
              <w:rPr>
                <w:rFonts w:ascii="Arial"/>
                <w:spacing w:val="-1"/>
                <w:sz w:val="18"/>
              </w:rPr>
              <w:t>9,000,000</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4"/>
              <w:jc w:val="right"/>
              <w:rPr>
                <w:rFonts w:ascii="Arial" w:hAnsi="Arial" w:cs="Arial" w:eastAsia="Arial" w:hint="default"/>
                <w:sz w:val="18"/>
                <w:szCs w:val="18"/>
              </w:rPr>
            </w:pPr>
            <w:r>
              <w:rPr>
                <w:rFonts w:ascii="Arial"/>
                <w:w w:val="99"/>
                <w:sz w:val="18"/>
              </w:rPr>
              <w:t>-</w:t>
            </w:r>
            <w:r>
              <w:rPr>
                <w:rFonts w:ascii="Arial"/>
                <w:sz w:val="18"/>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7"/>
              <w:jc w:val="right"/>
              <w:rPr>
                <w:rFonts w:ascii="Arial" w:hAnsi="Arial" w:cs="Arial" w:eastAsia="Arial" w:hint="default"/>
                <w:sz w:val="18"/>
                <w:szCs w:val="18"/>
              </w:rPr>
            </w:pPr>
            <w:r>
              <w:rPr>
                <w:rFonts w:ascii="Arial"/>
                <w:spacing w:val="-1"/>
                <w:sz w:val="18"/>
              </w:rPr>
              <w:t>9,000,000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34"/>
              <w:jc w:val="right"/>
              <w:rPr>
                <w:rFonts w:ascii="Arial" w:hAnsi="Arial" w:cs="Arial" w:eastAsia="Arial" w:hint="default"/>
                <w:sz w:val="18"/>
                <w:szCs w:val="18"/>
              </w:rPr>
            </w:pPr>
            <w:r>
              <w:rPr>
                <w:rFonts w:ascii="Arial"/>
                <w:w w:val="95"/>
                <w:sz w:val="18"/>
              </w:rPr>
              <w:t>90</w:t>
            </w:r>
            <w:r>
              <w:rPr>
                <w:rFonts w:ascii="Arial"/>
                <w:sz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9"/>
              <w:jc w:val="right"/>
              <w:rPr>
                <w:rFonts w:ascii="Arial" w:hAnsi="Arial" w:cs="Arial" w:eastAsia="Arial" w:hint="default"/>
                <w:sz w:val="18"/>
                <w:szCs w:val="18"/>
              </w:rPr>
            </w:pPr>
            <w:r>
              <w:rPr>
                <w:rFonts w:ascii="Arial"/>
                <w:w w:val="95"/>
                <w:sz w:val="18"/>
              </w:rPr>
              <w:t>90</w:t>
            </w:r>
            <w:r>
              <w:rPr>
                <w:rFonts w:ascii="Arial"/>
                <w:sz w:val="18"/>
              </w:rPr>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7"/>
              <w:jc w:val="right"/>
              <w:rPr>
                <w:rFonts w:ascii="Arial" w:hAnsi="Arial" w:cs="Arial" w:eastAsia="Arial" w:hint="default"/>
                <w:sz w:val="18"/>
                <w:szCs w:val="18"/>
              </w:rPr>
            </w:pPr>
            <w:r>
              <w:rPr>
                <w:rFonts w:ascii="Arial"/>
                <w:w w:val="99"/>
                <w:sz w:val="18"/>
              </w:rPr>
              <w:t>-</w:t>
            </w:r>
            <w:r>
              <w:rPr>
                <w:rFonts w:ascii="Arial"/>
                <w:sz w:val="18"/>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5"/>
              <w:jc w:val="right"/>
              <w:rPr>
                <w:rFonts w:ascii="Arial" w:hAnsi="Arial" w:cs="Arial" w:eastAsia="Arial" w:hint="default"/>
                <w:sz w:val="18"/>
                <w:szCs w:val="18"/>
              </w:rPr>
            </w:pPr>
            <w:r>
              <w:rPr>
                <w:rFonts w:ascii="Arial"/>
                <w:w w:val="99"/>
                <w:sz w:val="18"/>
              </w:rPr>
              <w:t>-</w:t>
            </w:r>
            <w:r>
              <w:rPr>
                <w:rFonts w:ascii="Arial"/>
                <w:sz w:val="18"/>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99"/>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02" w:lineRule="exact"/>
              <w:ind w:left="200" w:right="0"/>
              <w:jc w:val="left"/>
              <w:rPr>
                <w:rFonts w:ascii="黑体" w:hAnsi="黑体" w:cs="黑体" w:eastAsia="黑体" w:hint="default"/>
                <w:sz w:val="18"/>
                <w:szCs w:val="18"/>
              </w:rPr>
            </w:pPr>
            <w:r>
              <w:rPr>
                <w:rFonts w:ascii="黑体" w:hAnsi="黑体" w:cs="黑体" w:eastAsia="黑体" w:hint="default"/>
                <w:sz w:val="18"/>
                <w:szCs w:val="18"/>
              </w:rPr>
              <w:t>山东用友</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sz w:val="18"/>
              </w:rPr>
              <w:t>4,500,000</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4"/>
              <w:jc w:val="right"/>
              <w:rPr>
                <w:rFonts w:ascii="Arial" w:hAnsi="Arial" w:cs="Arial" w:eastAsia="Arial" w:hint="default"/>
                <w:sz w:val="18"/>
                <w:szCs w:val="18"/>
              </w:rPr>
            </w:pPr>
            <w:r>
              <w:rPr>
                <w:rFonts w:ascii="Arial"/>
                <w:spacing w:val="-1"/>
                <w:sz w:val="18"/>
              </w:rPr>
              <w:t>4,500,000</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4"/>
              <w:jc w:val="right"/>
              <w:rPr>
                <w:rFonts w:ascii="Arial" w:hAnsi="Arial" w:cs="Arial" w:eastAsia="Arial" w:hint="default"/>
                <w:sz w:val="18"/>
                <w:szCs w:val="18"/>
              </w:rPr>
            </w:pPr>
            <w:r>
              <w:rPr>
                <w:rFonts w:ascii="Arial"/>
                <w:w w:val="99"/>
                <w:sz w:val="18"/>
              </w:rPr>
              <w:t>-</w:t>
            </w:r>
            <w:r>
              <w:rPr>
                <w:rFonts w:ascii="Arial"/>
                <w:sz w:val="18"/>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7"/>
              <w:jc w:val="right"/>
              <w:rPr>
                <w:rFonts w:ascii="Arial" w:hAnsi="Arial" w:cs="Arial" w:eastAsia="Arial" w:hint="default"/>
                <w:sz w:val="18"/>
                <w:szCs w:val="18"/>
              </w:rPr>
            </w:pPr>
            <w:r>
              <w:rPr>
                <w:rFonts w:ascii="Arial"/>
                <w:spacing w:val="-1"/>
                <w:sz w:val="18"/>
              </w:rPr>
              <w:t>4,500,000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4"/>
              <w:jc w:val="right"/>
              <w:rPr>
                <w:rFonts w:ascii="Arial" w:hAnsi="Arial" w:cs="Arial" w:eastAsia="Arial" w:hint="default"/>
                <w:sz w:val="18"/>
                <w:szCs w:val="18"/>
              </w:rPr>
            </w:pPr>
            <w:r>
              <w:rPr>
                <w:rFonts w:ascii="Arial"/>
                <w:w w:val="95"/>
                <w:sz w:val="18"/>
              </w:rPr>
              <w:t>90</w:t>
            </w:r>
            <w:r>
              <w:rPr>
                <w:rFonts w:ascii="Arial"/>
                <w:sz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9"/>
              <w:jc w:val="right"/>
              <w:rPr>
                <w:rFonts w:ascii="Arial" w:hAnsi="Arial" w:cs="Arial" w:eastAsia="Arial" w:hint="default"/>
                <w:sz w:val="18"/>
                <w:szCs w:val="18"/>
              </w:rPr>
            </w:pPr>
            <w:r>
              <w:rPr>
                <w:rFonts w:ascii="Arial"/>
                <w:w w:val="95"/>
                <w:sz w:val="18"/>
              </w:rPr>
              <w:t>90</w:t>
            </w:r>
            <w:r>
              <w:rPr>
                <w:rFonts w:ascii="Arial"/>
                <w:sz w:val="18"/>
              </w:rPr>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7"/>
              <w:jc w:val="right"/>
              <w:rPr>
                <w:rFonts w:ascii="Arial" w:hAnsi="Arial" w:cs="Arial" w:eastAsia="Arial" w:hint="default"/>
                <w:sz w:val="18"/>
                <w:szCs w:val="18"/>
              </w:rPr>
            </w:pPr>
            <w:r>
              <w:rPr>
                <w:rFonts w:ascii="Arial"/>
                <w:w w:val="99"/>
                <w:sz w:val="18"/>
              </w:rPr>
              <w:t>-</w:t>
            </w:r>
            <w:r>
              <w:rPr>
                <w:rFonts w:ascii="Arial"/>
                <w:sz w:val="18"/>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5"/>
              <w:jc w:val="right"/>
              <w:rPr>
                <w:rFonts w:ascii="Arial" w:hAnsi="Arial" w:cs="Arial" w:eastAsia="Arial" w:hint="default"/>
                <w:sz w:val="18"/>
                <w:szCs w:val="18"/>
              </w:rPr>
            </w:pPr>
            <w:r>
              <w:rPr>
                <w:rFonts w:ascii="Arial"/>
                <w:w w:val="99"/>
                <w:sz w:val="18"/>
              </w:rPr>
              <w:t>-</w:t>
            </w:r>
            <w:r>
              <w:rPr>
                <w:rFonts w:ascii="Arial"/>
                <w:sz w:val="18"/>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9"/>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02" w:lineRule="exact"/>
              <w:ind w:left="200" w:right="0"/>
              <w:jc w:val="left"/>
              <w:rPr>
                <w:rFonts w:ascii="黑体" w:hAnsi="黑体" w:cs="黑体" w:eastAsia="黑体" w:hint="default"/>
                <w:sz w:val="18"/>
                <w:szCs w:val="18"/>
              </w:rPr>
            </w:pPr>
            <w:r>
              <w:rPr>
                <w:rFonts w:ascii="黑体" w:hAnsi="黑体" w:cs="黑体" w:eastAsia="黑体" w:hint="default"/>
                <w:sz w:val="18"/>
                <w:szCs w:val="18"/>
              </w:rPr>
              <w:t>江西用友</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6"/>
              <w:jc w:val="right"/>
              <w:rPr>
                <w:rFonts w:ascii="Arial" w:hAnsi="Arial" w:cs="Arial" w:eastAsia="Arial" w:hint="default"/>
                <w:sz w:val="18"/>
                <w:szCs w:val="18"/>
              </w:rPr>
            </w:pPr>
            <w:r>
              <w:rPr>
                <w:rFonts w:ascii="Arial"/>
                <w:spacing w:val="-1"/>
                <w:sz w:val="18"/>
              </w:rPr>
              <w:t>20,000,000</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5"/>
              <w:jc w:val="right"/>
              <w:rPr>
                <w:rFonts w:ascii="Arial" w:hAnsi="Arial" w:cs="Arial" w:eastAsia="Arial" w:hint="default"/>
                <w:sz w:val="18"/>
                <w:szCs w:val="18"/>
              </w:rPr>
            </w:pPr>
            <w:r>
              <w:rPr>
                <w:rFonts w:ascii="Arial"/>
                <w:spacing w:val="-1"/>
                <w:sz w:val="18"/>
              </w:rPr>
              <w:t>20,000,000</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4"/>
              <w:jc w:val="right"/>
              <w:rPr>
                <w:rFonts w:ascii="Arial" w:hAnsi="Arial" w:cs="Arial" w:eastAsia="Arial" w:hint="default"/>
                <w:sz w:val="18"/>
                <w:szCs w:val="18"/>
              </w:rPr>
            </w:pPr>
            <w:r>
              <w:rPr>
                <w:rFonts w:ascii="Arial"/>
                <w:w w:val="99"/>
                <w:sz w:val="18"/>
              </w:rPr>
              <w:t>-</w:t>
            </w:r>
            <w:r>
              <w:rPr>
                <w:rFonts w:ascii="Arial"/>
                <w:sz w:val="18"/>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6"/>
              <w:jc w:val="right"/>
              <w:rPr>
                <w:rFonts w:ascii="Arial" w:hAnsi="Arial" w:cs="Arial" w:eastAsia="Arial" w:hint="default"/>
                <w:sz w:val="18"/>
                <w:szCs w:val="18"/>
              </w:rPr>
            </w:pPr>
            <w:r>
              <w:rPr>
                <w:rFonts w:ascii="Arial"/>
                <w:spacing w:val="-1"/>
                <w:sz w:val="18"/>
              </w:rPr>
              <w:t>20,000,000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4"/>
              <w:jc w:val="right"/>
              <w:rPr>
                <w:rFonts w:ascii="Arial" w:hAnsi="Arial" w:cs="Arial" w:eastAsia="Arial" w:hint="default"/>
                <w:sz w:val="18"/>
                <w:szCs w:val="18"/>
              </w:rPr>
            </w:pPr>
            <w:r>
              <w:rPr>
                <w:rFonts w:ascii="Arial"/>
                <w:w w:val="95"/>
                <w:sz w:val="18"/>
              </w:rPr>
              <w:t>100</w:t>
            </w:r>
            <w:r>
              <w:rPr>
                <w:rFonts w:ascii="Arial"/>
                <w:sz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9"/>
              <w:jc w:val="right"/>
              <w:rPr>
                <w:rFonts w:ascii="Arial" w:hAnsi="Arial" w:cs="Arial" w:eastAsia="Arial" w:hint="default"/>
                <w:sz w:val="18"/>
                <w:szCs w:val="18"/>
              </w:rPr>
            </w:pPr>
            <w:r>
              <w:rPr>
                <w:rFonts w:ascii="Arial"/>
                <w:w w:val="95"/>
                <w:sz w:val="18"/>
              </w:rPr>
              <w:t>100</w:t>
            </w:r>
            <w:r>
              <w:rPr>
                <w:rFonts w:ascii="Arial"/>
                <w:sz w:val="18"/>
              </w:rPr>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7"/>
              <w:jc w:val="right"/>
              <w:rPr>
                <w:rFonts w:ascii="Arial" w:hAnsi="Arial" w:cs="Arial" w:eastAsia="Arial" w:hint="default"/>
                <w:sz w:val="18"/>
                <w:szCs w:val="18"/>
              </w:rPr>
            </w:pPr>
            <w:r>
              <w:rPr>
                <w:rFonts w:ascii="Arial"/>
                <w:w w:val="99"/>
                <w:sz w:val="18"/>
              </w:rPr>
              <w:t>-</w:t>
            </w:r>
            <w:r>
              <w:rPr>
                <w:rFonts w:ascii="Arial"/>
                <w:sz w:val="18"/>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5"/>
              <w:jc w:val="right"/>
              <w:rPr>
                <w:rFonts w:ascii="Arial" w:hAnsi="Arial" w:cs="Arial" w:eastAsia="Arial" w:hint="default"/>
                <w:sz w:val="18"/>
                <w:szCs w:val="18"/>
              </w:rPr>
            </w:pPr>
            <w:r>
              <w:rPr>
                <w:rFonts w:ascii="Arial"/>
                <w:w w:val="99"/>
                <w:sz w:val="18"/>
              </w:rPr>
              <w:t>-</w:t>
            </w:r>
            <w:r>
              <w:rPr>
                <w:rFonts w:ascii="Arial"/>
                <w:sz w:val="18"/>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9"/>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02" w:lineRule="exact"/>
              <w:ind w:left="200" w:right="0"/>
              <w:jc w:val="left"/>
              <w:rPr>
                <w:rFonts w:ascii="黑体" w:hAnsi="黑体" w:cs="黑体" w:eastAsia="黑体" w:hint="default"/>
                <w:sz w:val="18"/>
                <w:szCs w:val="18"/>
              </w:rPr>
            </w:pPr>
            <w:r>
              <w:rPr>
                <w:rFonts w:ascii="黑体" w:hAnsi="黑体" w:cs="黑体" w:eastAsia="黑体" w:hint="default"/>
                <w:sz w:val="18"/>
                <w:szCs w:val="18"/>
              </w:rPr>
              <w:t>湖南用友</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sz w:val="18"/>
              </w:rPr>
              <w:t>2,700,000</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4"/>
              <w:jc w:val="right"/>
              <w:rPr>
                <w:rFonts w:ascii="Arial" w:hAnsi="Arial" w:cs="Arial" w:eastAsia="Arial" w:hint="default"/>
                <w:sz w:val="18"/>
                <w:szCs w:val="18"/>
              </w:rPr>
            </w:pPr>
            <w:r>
              <w:rPr>
                <w:rFonts w:ascii="Arial"/>
                <w:spacing w:val="-1"/>
                <w:sz w:val="18"/>
              </w:rPr>
              <w:t>2,700,000</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4"/>
              <w:jc w:val="right"/>
              <w:rPr>
                <w:rFonts w:ascii="Arial" w:hAnsi="Arial" w:cs="Arial" w:eastAsia="Arial" w:hint="default"/>
                <w:sz w:val="18"/>
                <w:szCs w:val="18"/>
              </w:rPr>
            </w:pPr>
            <w:r>
              <w:rPr>
                <w:rFonts w:ascii="Arial"/>
                <w:w w:val="99"/>
                <w:sz w:val="18"/>
              </w:rPr>
              <w:t>-</w:t>
            </w:r>
            <w:r>
              <w:rPr>
                <w:rFonts w:ascii="Arial"/>
                <w:sz w:val="18"/>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7"/>
              <w:jc w:val="right"/>
              <w:rPr>
                <w:rFonts w:ascii="Arial" w:hAnsi="Arial" w:cs="Arial" w:eastAsia="Arial" w:hint="default"/>
                <w:sz w:val="18"/>
                <w:szCs w:val="18"/>
              </w:rPr>
            </w:pPr>
            <w:r>
              <w:rPr>
                <w:rFonts w:ascii="Arial"/>
                <w:spacing w:val="-1"/>
                <w:sz w:val="18"/>
              </w:rPr>
              <w:t>2,700,000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4"/>
              <w:jc w:val="right"/>
              <w:rPr>
                <w:rFonts w:ascii="Arial" w:hAnsi="Arial" w:cs="Arial" w:eastAsia="Arial" w:hint="default"/>
                <w:sz w:val="18"/>
                <w:szCs w:val="18"/>
              </w:rPr>
            </w:pPr>
            <w:r>
              <w:rPr>
                <w:rFonts w:ascii="Arial"/>
                <w:w w:val="95"/>
                <w:sz w:val="18"/>
              </w:rPr>
              <w:t>90</w:t>
            </w:r>
            <w:r>
              <w:rPr>
                <w:rFonts w:ascii="Arial"/>
                <w:sz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9"/>
              <w:jc w:val="right"/>
              <w:rPr>
                <w:rFonts w:ascii="Arial" w:hAnsi="Arial" w:cs="Arial" w:eastAsia="Arial" w:hint="default"/>
                <w:sz w:val="18"/>
                <w:szCs w:val="18"/>
              </w:rPr>
            </w:pPr>
            <w:r>
              <w:rPr>
                <w:rFonts w:ascii="Arial"/>
                <w:w w:val="95"/>
                <w:sz w:val="18"/>
              </w:rPr>
              <w:t>90</w:t>
            </w:r>
            <w:r>
              <w:rPr>
                <w:rFonts w:ascii="Arial"/>
                <w:sz w:val="18"/>
              </w:rPr>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7"/>
              <w:jc w:val="right"/>
              <w:rPr>
                <w:rFonts w:ascii="Arial" w:hAnsi="Arial" w:cs="Arial" w:eastAsia="Arial" w:hint="default"/>
                <w:sz w:val="18"/>
                <w:szCs w:val="18"/>
              </w:rPr>
            </w:pPr>
            <w:r>
              <w:rPr>
                <w:rFonts w:ascii="Arial"/>
                <w:w w:val="99"/>
                <w:sz w:val="18"/>
              </w:rPr>
              <w:t>-</w:t>
            </w:r>
            <w:r>
              <w:rPr>
                <w:rFonts w:ascii="Arial"/>
                <w:sz w:val="18"/>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5"/>
              <w:jc w:val="right"/>
              <w:rPr>
                <w:rFonts w:ascii="Arial" w:hAnsi="Arial" w:cs="Arial" w:eastAsia="Arial" w:hint="default"/>
                <w:sz w:val="18"/>
                <w:szCs w:val="18"/>
              </w:rPr>
            </w:pPr>
            <w:r>
              <w:rPr>
                <w:rFonts w:ascii="Arial"/>
                <w:w w:val="99"/>
                <w:sz w:val="18"/>
              </w:rPr>
              <w:t>-</w:t>
            </w:r>
            <w:r>
              <w:rPr>
                <w:rFonts w:ascii="Arial"/>
                <w:sz w:val="18"/>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9"/>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03" w:lineRule="exact"/>
              <w:ind w:left="200" w:right="0"/>
              <w:jc w:val="left"/>
              <w:rPr>
                <w:rFonts w:ascii="黑体" w:hAnsi="黑体" w:cs="黑体" w:eastAsia="黑体" w:hint="default"/>
                <w:sz w:val="18"/>
                <w:szCs w:val="18"/>
              </w:rPr>
            </w:pPr>
            <w:r>
              <w:rPr>
                <w:rFonts w:ascii="黑体" w:hAnsi="黑体" w:cs="黑体" w:eastAsia="黑体" w:hint="default"/>
                <w:sz w:val="18"/>
                <w:szCs w:val="18"/>
              </w:rPr>
              <w:t>内蒙古用友</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5"/>
              <w:jc w:val="right"/>
              <w:rPr>
                <w:rFonts w:ascii="Arial" w:hAnsi="Arial" w:cs="Arial" w:eastAsia="Arial" w:hint="default"/>
                <w:sz w:val="18"/>
                <w:szCs w:val="18"/>
              </w:rPr>
            </w:pPr>
            <w:r>
              <w:rPr>
                <w:rFonts w:ascii="Arial"/>
                <w:spacing w:val="-1"/>
                <w:sz w:val="18"/>
              </w:rPr>
              <w:t>2,700,000</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04"/>
              <w:jc w:val="right"/>
              <w:rPr>
                <w:rFonts w:ascii="Arial" w:hAnsi="Arial" w:cs="Arial" w:eastAsia="Arial" w:hint="default"/>
                <w:sz w:val="18"/>
                <w:szCs w:val="18"/>
              </w:rPr>
            </w:pPr>
            <w:r>
              <w:rPr>
                <w:rFonts w:ascii="Arial"/>
                <w:spacing w:val="-1"/>
                <w:sz w:val="18"/>
              </w:rPr>
              <w:t>2,700,000</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4"/>
              <w:jc w:val="right"/>
              <w:rPr>
                <w:rFonts w:ascii="Arial" w:hAnsi="Arial" w:cs="Arial" w:eastAsia="Arial" w:hint="default"/>
                <w:sz w:val="18"/>
                <w:szCs w:val="18"/>
              </w:rPr>
            </w:pPr>
            <w:r>
              <w:rPr>
                <w:rFonts w:ascii="Arial"/>
                <w:w w:val="99"/>
                <w:sz w:val="18"/>
              </w:rPr>
              <w:t>-</w:t>
            </w:r>
            <w:r>
              <w:rPr>
                <w:rFonts w:ascii="Arial"/>
                <w:sz w:val="18"/>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7"/>
              <w:jc w:val="right"/>
              <w:rPr>
                <w:rFonts w:ascii="Arial" w:hAnsi="Arial" w:cs="Arial" w:eastAsia="Arial" w:hint="default"/>
                <w:sz w:val="18"/>
                <w:szCs w:val="18"/>
              </w:rPr>
            </w:pPr>
            <w:r>
              <w:rPr>
                <w:rFonts w:ascii="Arial"/>
                <w:spacing w:val="-1"/>
                <w:sz w:val="18"/>
              </w:rPr>
              <w:t>2,700,000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34"/>
              <w:jc w:val="right"/>
              <w:rPr>
                <w:rFonts w:ascii="Arial" w:hAnsi="Arial" w:cs="Arial" w:eastAsia="Arial" w:hint="default"/>
                <w:sz w:val="18"/>
                <w:szCs w:val="18"/>
              </w:rPr>
            </w:pPr>
            <w:r>
              <w:rPr>
                <w:rFonts w:ascii="Arial"/>
                <w:w w:val="95"/>
                <w:sz w:val="18"/>
              </w:rPr>
              <w:t>90</w:t>
            </w:r>
            <w:r>
              <w:rPr>
                <w:rFonts w:ascii="Arial"/>
                <w:sz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9"/>
              <w:jc w:val="right"/>
              <w:rPr>
                <w:rFonts w:ascii="Arial" w:hAnsi="Arial" w:cs="Arial" w:eastAsia="Arial" w:hint="default"/>
                <w:sz w:val="18"/>
                <w:szCs w:val="18"/>
              </w:rPr>
            </w:pPr>
            <w:r>
              <w:rPr>
                <w:rFonts w:ascii="Arial"/>
                <w:w w:val="95"/>
                <w:sz w:val="18"/>
              </w:rPr>
              <w:t>90</w:t>
            </w:r>
            <w:r>
              <w:rPr>
                <w:rFonts w:ascii="Arial"/>
                <w:sz w:val="18"/>
              </w:rPr>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7"/>
              <w:jc w:val="right"/>
              <w:rPr>
                <w:rFonts w:ascii="Arial" w:hAnsi="Arial" w:cs="Arial" w:eastAsia="Arial" w:hint="default"/>
                <w:sz w:val="18"/>
                <w:szCs w:val="18"/>
              </w:rPr>
            </w:pPr>
            <w:r>
              <w:rPr>
                <w:rFonts w:ascii="Arial"/>
                <w:w w:val="99"/>
                <w:sz w:val="18"/>
              </w:rPr>
              <w:t>-</w:t>
            </w:r>
            <w:r>
              <w:rPr>
                <w:rFonts w:ascii="Arial"/>
                <w:sz w:val="18"/>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5"/>
              <w:jc w:val="right"/>
              <w:rPr>
                <w:rFonts w:ascii="Arial" w:hAnsi="Arial" w:cs="Arial" w:eastAsia="Arial" w:hint="default"/>
                <w:sz w:val="18"/>
                <w:szCs w:val="18"/>
              </w:rPr>
            </w:pPr>
            <w:r>
              <w:rPr>
                <w:rFonts w:ascii="Arial"/>
                <w:w w:val="99"/>
                <w:sz w:val="18"/>
              </w:rPr>
              <w:t>-</w:t>
            </w:r>
            <w:r>
              <w:rPr>
                <w:rFonts w:ascii="Arial"/>
                <w:sz w:val="18"/>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99"/>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02" w:lineRule="exact"/>
              <w:ind w:left="200" w:right="0"/>
              <w:jc w:val="left"/>
              <w:rPr>
                <w:rFonts w:ascii="黑体" w:hAnsi="黑体" w:cs="黑体" w:eastAsia="黑体" w:hint="default"/>
                <w:sz w:val="18"/>
                <w:szCs w:val="18"/>
              </w:rPr>
            </w:pPr>
            <w:r>
              <w:rPr>
                <w:rFonts w:ascii="黑体" w:hAnsi="黑体" w:cs="黑体" w:eastAsia="黑体" w:hint="default"/>
                <w:sz w:val="18"/>
                <w:szCs w:val="18"/>
              </w:rPr>
              <w:t>用友审计</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6"/>
              <w:jc w:val="right"/>
              <w:rPr>
                <w:rFonts w:ascii="Arial" w:hAnsi="Arial" w:cs="Arial" w:eastAsia="Arial" w:hint="default"/>
                <w:sz w:val="18"/>
                <w:szCs w:val="18"/>
              </w:rPr>
            </w:pPr>
            <w:r>
              <w:rPr>
                <w:rFonts w:ascii="Arial"/>
                <w:spacing w:val="-1"/>
                <w:sz w:val="18"/>
              </w:rPr>
              <w:t>13,685,542</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5"/>
              <w:jc w:val="right"/>
              <w:rPr>
                <w:rFonts w:ascii="Arial" w:hAnsi="Arial" w:cs="Arial" w:eastAsia="Arial" w:hint="default"/>
                <w:sz w:val="18"/>
                <w:szCs w:val="18"/>
              </w:rPr>
            </w:pPr>
            <w:r>
              <w:rPr>
                <w:rFonts w:ascii="Arial"/>
                <w:spacing w:val="-1"/>
                <w:sz w:val="18"/>
              </w:rPr>
              <w:t>13,685,542</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4"/>
              <w:jc w:val="right"/>
              <w:rPr>
                <w:rFonts w:ascii="Arial" w:hAnsi="Arial" w:cs="Arial" w:eastAsia="Arial" w:hint="default"/>
                <w:sz w:val="18"/>
                <w:szCs w:val="18"/>
              </w:rPr>
            </w:pPr>
            <w:r>
              <w:rPr>
                <w:rFonts w:ascii="Arial"/>
                <w:w w:val="99"/>
                <w:sz w:val="18"/>
              </w:rPr>
              <w:t>-</w:t>
            </w:r>
            <w:r>
              <w:rPr>
                <w:rFonts w:ascii="Arial"/>
                <w:sz w:val="18"/>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6"/>
              <w:jc w:val="right"/>
              <w:rPr>
                <w:rFonts w:ascii="Arial" w:hAnsi="Arial" w:cs="Arial" w:eastAsia="Arial" w:hint="default"/>
                <w:sz w:val="18"/>
                <w:szCs w:val="18"/>
              </w:rPr>
            </w:pPr>
            <w:r>
              <w:rPr>
                <w:rFonts w:ascii="Arial"/>
                <w:spacing w:val="-1"/>
                <w:sz w:val="18"/>
              </w:rPr>
              <w:t>13,685,542</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4"/>
              <w:jc w:val="right"/>
              <w:rPr>
                <w:rFonts w:ascii="Arial" w:hAnsi="Arial" w:cs="Arial" w:eastAsia="Arial" w:hint="default"/>
                <w:sz w:val="18"/>
                <w:szCs w:val="18"/>
              </w:rPr>
            </w:pPr>
            <w:r>
              <w:rPr>
                <w:rFonts w:ascii="Arial"/>
                <w:w w:val="95"/>
                <w:sz w:val="18"/>
              </w:rPr>
              <w:t>82</w:t>
            </w:r>
            <w:r>
              <w:rPr>
                <w:rFonts w:ascii="Arial"/>
                <w:sz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9"/>
              <w:jc w:val="right"/>
              <w:rPr>
                <w:rFonts w:ascii="Arial" w:hAnsi="Arial" w:cs="Arial" w:eastAsia="Arial" w:hint="default"/>
                <w:sz w:val="18"/>
                <w:szCs w:val="18"/>
              </w:rPr>
            </w:pPr>
            <w:r>
              <w:rPr>
                <w:rFonts w:ascii="Arial"/>
                <w:w w:val="95"/>
                <w:sz w:val="18"/>
              </w:rPr>
              <w:t>82</w:t>
            </w:r>
            <w:r>
              <w:rPr>
                <w:rFonts w:ascii="Arial"/>
                <w:sz w:val="18"/>
              </w:rPr>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7"/>
              <w:jc w:val="right"/>
              <w:rPr>
                <w:rFonts w:ascii="Arial" w:hAnsi="Arial" w:cs="Arial" w:eastAsia="Arial" w:hint="default"/>
                <w:sz w:val="18"/>
                <w:szCs w:val="18"/>
              </w:rPr>
            </w:pPr>
            <w:r>
              <w:rPr>
                <w:rFonts w:ascii="Arial"/>
                <w:w w:val="99"/>
                <w:sz w:val="18"/>
              </w:rPr>
              <w:t>-</w:t>
            </w:r>
            <w:r>
              <w:rPr>
                <w:rFonts w:ascii="Arial"/>
                <w:sz w:val="18"/>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5"/>
              <w:jc w:val="right"/>
              <w:rPr>
                <w:rFonts w:ascii="Arial" w:hAnsi="Arial" w:cs="Arial" w:eastAsia="Arial" w:hint="default"/>
                <w:sz w:val="18"/>
                <w:szCs w:val="18"/>
              </w:rPr>
            </w:pPr>
            <w:r>
              <w:rPr>
                <w:rFonts w:ascii="Arial"/>
                <w:w w:val="99"/>
                <w:sz w:val="18"/>
              </w:rPr>
              <w:t>-</w:t>
            </w:r>
            <w:r>
              <w:rPr>
                <w:rFonts w:ascii="Arial"/>
                <w:sz w:val="18"/>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9"/>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02" w:lineRule="exact"/>
              <w:ind w:left="200" w:right="0"/>
              <w:jc w:val="left"/>
              <w:rPr>
                <w:rFonts w:ascii="黑体" w:hAnsi="黑体" w:cs="黑体" w:eastAsia="黑体" w:hint="default"/>
                <w:sz w:val="18"/>
                <w:szCs w:val="18"/>
              </w:rPr>
            </w:pPr>
            <w:r>
              <w:rPr>
                <w:rFonts w:ascii="黑体" w:hAnsi="黑体" w:cs="黑体" w:eastAsia="黑体" w:hint="default"/>
                <w:sz w:val="18"/>
                <w:szCs w:val="18"/>
              </w:rPr>
              <w:t>用友医疗</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sz w:val="18"/>
              </w:rPr>
              <w:t>100,000,000</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4"/>
              <w:jc w:val="right"/>
              <w:rPr>
                <w:rFonts w:ascii="Arial" w:hAnsi="Arial" w:cs="Arial" w:eastAsia="Arial" w:hint="default"/>
                <w:sz w:val="18"/>
                <w:szCs w:val="18"/>
              </w:rPr>
            </w:pPr>
            <w:r>
              <w:rPr>
                <w:rFonts w:ascii="Arial"/>
                <w:spacing w:val="-1"/>
                <w:sz w:val="18"/>
              </w:rPr>
              <w:t>100,000,000</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4"/>
              <w:jc w:val="right"/>
              <w:rPr>
                <w:rFonts w:ascii="Arial" w:hAnsi="Arial" w:cs="Arial" w:eastAsia="Arial" w:hint="default"/>
                <w:sz w:val="18"/>
                <w:szCs w:val="18"/>
              </w:rPr>
            </w:pPr>
            <w:r>
              <w:rPr>
                <w:rFonts w:ascii="Arial"/>
                <w:w w:val="99"/>
                <w:sz w:val="18"/>
              </w:rPr>
              <w:t>-</w:t>
            </w:r>
            <w:r>
              <w:rPr>
                <w:rFonts w:ascii="Arial"/>
                <w:sz w:val="18"/>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5"/>
              <w:jc w:val="right"/>
              <w:rPr>
                <w:rFonts w:ascii="Arial" w:hAnsi="Arial" w:cs="Arial" w:eastAsia="Arial" w:hint="default"/>
                <w:sz w:val="18"/>
                <w:szCs w:val="18"/>
              </w:rPr>
            </w:pPr>
            <w:r>
              <w:rPr>
                <w:rFonts w:ascii="Arial"/>
                <w:spacing w:val="-1"/>
                <w:sz w:val="18"/>
              </w:rPr>
              <w:t>100,000,000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4"/>
              <w:jc w:val="right"/>
              <w:rPr>
                <w:rFonts w:ascii="Arial" w:hAnsi="Arial" w:cs="Arial" w:eastAsia="Arial" w:hint="default"/>
                <w:sz w:val="18"/>
                <w:szCs w:val="18"/>
              </w:rPr>
            </w:pPr>
            <w:r>
              <w:rPr>
                <w:rFonts w:ascii="Arial"/>
                <w:w w:val="95"/>
                <w:sz w:val="18"/>
              </w:rPr>
              <w:t>100</w:t>
            </w:r>
            <w:r>
              <w:rPr>
                <w:rFonts w:ascii="Arial"/>
                <w:sz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9"/>
              <w:jc w:val="right"/>
              <w:rPr>
                <w:rFonts w:ascii="Arial" w:hAnsi="Arial" w:cs="Arial" w:eastAsia="Arial" w:hint="default"/>
                <w:sz w:val="18"/>
                <w:szCs w:val="18"/>
              </w:rPr>
            </w:pPr>
            <w:r>
              <w:rPr>
                <w:rFonts w:ascii="Arial"/>
                <w:w w:val="95"/>
                <w:sz w:val="18"/>
              </w:rPr>
              <w:t>100</w:t>
            </w:r>
            <w:r>
              <w:rPr>
                <w:rFonts w:ascii="Arial"/>
                <w:sz w:val="18"/>
              </w:rPr>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7"/>
              <w:jc w:val="right"/>
              <w:rPr>
                <w:rFonts w:ascii="Arial" w:hAnsi="Arial" w:cs="Arial" w:eastAsia="Arial" w:hint="default"/>
                <w:sz w:val="18"/>
                <w:szCs w:val="18"/>
              </w:rPr>
            </w:pPr>
            <w:r>
              <w:rPr>
                <w:rFonts w:ascii="Arial"/>
                <w:w w:val="99"/>
                <w:sz w:val="18"/>
              </w:rPr>
              <w:t>-</w:t>
            </w:r>
            <w:r>
              <w:rPr>
                <w:rFonts w:ascii="Arial"/>
                <w:sz w:val="18"/>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5"/>
              <w:jc w:val="right"/>
              <w:rPr>
                <w:rFonts w:ascii="Arial" w:hAnsi="Arial" w:cs="Arial" w:eastAsia="Arial" w:hint="default"/>
                <w:sz w:val="18"/>
                <w:szCs w:val="18"/>
              </w:rPr>
            </w:pPr>
            <w:r>
              <w:rPr>
                <w:rFonts w:ascii="Arial"/>
                <w:w w:val="99"/>
                <w:sz w:val="18"/>
              </w:rPr>
              <w:t>-</w:t>
            </w:r>
            <w:r>
              <w:rPr>
                <w:rFonts w:ascii="Arial"/>
                <w:sz w:val="18"/>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9"/>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16" w:lineRule="exact"/>
              <w:ind w:left="200" w:right="0"/>
              <w:jc w:val="left"/>
              <w:rPr>
                <w:rFonts w:ascii="Arial" w:hAnsi="Arial" w:cs="Arial" w:eastAsia="Arial" w:hint="default"/>
                <w:sz w:val="18"/>
                <w:szCs w:val="18"/>
              </w:rPr>
            </w:pPr>
            <w:r>
              <w:rPr>
                <w:rFonts w:ascii="黑体" w:hAnsi="黑体" w:cs="黑体" w:eastAsia="黑体" w:hint="default"/>
                <w:sz w:val="18"/>
                <w:szCs w:val="18"/>
              </w:rPr>
              <w:t>用友</w:t>
            </w:r>
            <w:r>
              <w:rPr>
                <w:rFonts w:ascii="Arial" w:hAnsi="Arial" w:cs="Arial" w:eastAsia="Arial" w:hint="default"/>
                <w:sz w:val="18"/>
                <w:szCs w:val="18"/>
              </w:rPr>
              <w:t>(</w:t>
            </w:r>
            <w:r>
              <w:rPr>
                <w:rFonts w:ascii="黑体" w:hAnsi="黑体" w:cs="黑体" w:eastAsia="黑体" w:hint="default"/>
                <w:sz w:val="18"/>
                <w:szCs w:val="18"/>
              </w:rPr>
              <w:t>南昌</w:t>
            </w:r>
            <w:r>
              <w:rPr>
                <w:rFonts w:ascii="Arial" w:hAnsi="Arial" w:cs="Arial" w:eastAsia="Arial" w:hint="default"/>
                <w:sz w:val="18"/>
                <w:szCs w:val="18"/>
              </w:rPr>
              <w:t>)</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6"/>
              <w:jc w:val="right"/>
              <w:rPr>
                <w:rFonts w:ascii="Arial" w:hAnsi="Arial" w:cs="Arial" w:eastAsia="Arial" w:hint="default"/>
                <w:sz w:val="18"/>
                <w:szCs w:val="18"/>
              </w:rPr>
            </w:pPr>
            <w:r>
              <w:rPr>
                <w:rFonts w:ascii="Arial"/>
                <w:spacing w:val="-1"/>
                <w:sz w:val="18"/>
              </w:rPr>
              <w:t>80,000,000</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05"/>
              <w:jc w:val="right"/>
              <w:rPr>
                <w:rFonts w:ascii="Arial" w:hAnsi="Arial" w:cs="Arial" w:eastAsia="Arial" w:hint="default"/>
                <w:sz w:val="18"/>
                <w:szCs w:val="18"/>
              </w:rPr>
            </w:pPr>
            <w:r>
              <w:rPr>
                <w:rFonts w:ascii="Arial"/>
                <w:spacing w:val="-1"/>
                <w:sz w:val="18"/>
              </w:rPr>
              <w:t>80,000,000</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4"/>
              <w:jc w:val="right"/>
              <w:rPr>
                <w:rFonts w:ascii="Arial" w:hAnsi="Arial" w:cs="Arial" w:eastAsia="Arial" w:hint="default"/>
                <w:sz w:val="18"/>
                <w:szCs w:val="18"/>
              </w:rPr>
            </w:pPr>
            <w:r>
              <w:rPr>
                <w:rFonts w:ascii="Arial"/>
                <w:w w:val="99"/>
                <w:sz w:val="18"/>
              </w:rPr>
              <w:t>-</w:t>
            </w:r>
            <w:r>
              <w:rPr>
                <w:rFonts w:ascii="Arial"/>
                <w:sz w:val="18"/>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6"/>
              <w:jc w:val="right"/>
              <w:rPr>
                <w:rFonts w:ascii="Arial" w:hAnsi="Arial" w:cs="Arial" w:eastAsia="Arial" w:hint="default"/>
                <w:sz w:val="18"/>
                <w:szCs w:val="18"/>
              </w:rPr>
            </w:pPr>
            <w:r>
              <w:rPr>
                <w:rFonts w:ascii="Arial"/>
                <w:spacing w:val="-1"/>
                <w:sz w:val="18"/>
              </w:rPr>
              <w:t>80,000,000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34"/>
              <w:jc w:val="right"/>
              <w:rPr>
                <w:rFonts w:ascii="Arial" w:hAnsi="Arial" w:cs="Arial" w:eastAsia="Arial" w:hint="default"/>
                <w:sz w:val="18"/>
                <w:szCs w:val="18"/>
              </w:rPr>
            </w:pPr>
            <w:r>
              <w:rPr>
                <w:rFonts w:ascii="Arial"/>
                <w:w w:val="95"/>
                <w:sz w:val="18"/>
              </w:rPr>
              <w:t>100</w:t>
            </w:r>
            <w:r>
              <w:rPr>
                <w:rFonts w:ascii="Arial"/>
                <w:sz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9"/>
              <w:jc w:val="right"/>
              <w:rPr>
                <w:rFonts w:ascii="Arial" w:hAnsi="Arial" w:cs="Arial" w:eastAsia="Arial" w:hint="default"/>
                <w:sz w:val="18"/>
                <w:szCs w:val="18"/>
              </w:rPr>
            </w:pPr>
            <w:r>
              <w:rPr>
                <w:rFonts w:ascii="Arial"/>
                <w:w w:val="95"/>
                <w:sz w:val="18"/>
              </w:rPr>
              <w:t>100</w:t>
            </w:r>
            <w:r>
              <w:rPr>
                <w:rFonts w:ascii="Arial"/>
                <w:sz w:val="18"/>
              </w:rPr>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57"/>
              <w:jc w:val="right"/>
              <w:rPr>
                <w:rFonts w:ascii="Arial" w:hAnsi="Arial" w:cs="Arial" w:eastAsia="Arial" w:hint="default"/>
                <w:sz w:val="18"/>
                <w:szCs w:val="18"/>
              </w:rPr>
            </w:pPr>
            <w:r>
              <w:rPr>
                <w:rFonts w:ascii="Arial"/>
                <w:w w:val="99"/>
                <w:sz w:val="18"/>
              </w:rPr>
              <w:t>-</w:t>
            </w:r>
            <w:r>
              <w:rPr>
                <w:rFonts w:ascii="Arial"/>
                <w:sz w:val="18"/>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5"/>
              <w:jc w:val="right"/>
              <w:rPr>
                <w:rFonts w:ascii="Arial" w:hAnsi="Arial" w:cs="Arial" w:eastAsia="Arial" w:hint="default"/>
                <w:sz w:val="18"/>
                <w:szCs w:val="18"/>
              </w:rPr>
            </w:pPr>
            <w:r>
              <w:rPr>
                <w:rFonts w:ascii="Arial"/>
                <w:w w:val="99"/>
                <w:sz w:val="18"/>
              </w:rPr>
              <w:t>-</w:t>
            </w:r>
            <w:r>
              <w:rPr>
                <w:rFonts w:ascii="Arial"/>
                <w:sz w:val="18"/>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99"/>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02" w:lineRule="exact"/>
              <w:ind w:left="200" w:right="0"/>
              <w:jc w:val="left"/>
              <w:rPr>
                <w:rFonts w:ascii="黑体" w:hAnsi="黑体" w:cs="黑体" w:eastAsia="黑体" w:hint="default"/>
                <w:sz w:val="18"/>
                <w:szCs w:val="18"/>
              </w:rPr>
            </w:pPr>
            <w:r>
              <w:rPr>
                <w:rFonts w:ascii="黑体" w:hAnsi="黑体" w:cs="黑体" w:eastAsia="黑体" w:hint="default"/>
                <w:sz w:val="18"/>
                <w:szCs w:val="18"/>
              </w:rPr>
              <w:t>滨海用友</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sz w:val="18"/>
              </w:rPr>
              <w:t>1,800,000</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4"/>
              <w:jc w:val="right"/>
              <w:rPr>
                <w:rFonts w:ascii="Arial" w:hAnsi="Arial" w:cs="Arial" w:eastAsia="Arial" w:hint="default"/>
                <w:sz w:val="18"/>
                <w:szCs w:val="18"/>
              </w:rPr>
            </w:pPr>
            <w:r>
              <w:rPr>
                <w:rFonts w:ascii="Arial"/>
                <w:spacing w:val="-1"/>
                <w:sz w:val="18"/>
              </w:rPr>
              <w:t>1,800,000</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4"/>
              <w:jc w:val="right"/>
              <w:rPr>
                <w:rFonts w:ascii="Arial" w:hAnsi="Arial" w:cs="Arial" w:eastAsia="Arial" w:hint="default"/>
                <w:sz w:val="18"/>
                <w:szCs w:val="18"/>
              </w:rPr>
            </w:pPr>
            <w:r>
              <w:rPr>
                <w:rFonts w:ascii="Arial"/>
                <w:w w:val="99"/>
                <w:sz w:val="18"/>
              </w:rPr>
              <w:t>-</w:t>
            </w:r>
            <w:r>
              <w:rPr>
                <w:rFonts w:ascii="Arial"/>
                <w:sz w:val="18"/>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7"/>
              <w:jc w:val="right"/>
              <w:rPr>
                <w:rFonts w:ascii="Arial" w:hAnsi="Arial" w:cs="Arial" w:eastAsia="Arial" w:hint="default"/>
                <w:sz w:val="18"/>
                <w:szCs w:val="18"/>
              </w:rPr>
            </w:pPr>
            <w:r>
              <w:rPr>
                <w:rFonts w:ascii="Arial"/>
                <w:spacing w:val="-1"/>
                <w:sz w:val="18"/>
              </w:rPr>
              <w:t>1,800,000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4"/>
              <w:jc w:val="right"/>
              <w:rPr>
                <w:rFonts w:ascii="Arial" w:hAnsi="Arial" w:cs="Arial" w:eastAsia="Arial" w:hint="default"/>
                <w:sz w:val="18"/>
                <w:szCs w:val="18"/>
              </w:rPr>
            </w:pPr>
            <w:r>
              <w:rPr>
                <w:rFonts w:ascii="Arial"/>
                <w:w w:val="95"/>
                <w:sz w:val="18"/>
              </w:rPr>
              <w:t>90</w:t>
            </w:r>
            <w:r>
              <w:rPr>
                <w:rFonts w:ascii="Arial"/>
                <w:sz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9"/>
              <w:jc w:val="right"/>
              <w:rPr>
                <w:rFonts w:ascii="Arial" w:hAnsi="Arial" w:cs="Arial" w:eastAsia="Arial" w:hint="default"/>
                <w:sz w:val="18"/>
                <w:szCs w:val="18"/>
              </w:rPr>
            </w:pPr>
            <w:r>
              <w:rPr>
                <w:rFonts w:ascii="Arial"/>
                <w:w w:val="95"/>
                <w:sz w:val="18"/>
              </w:rPr>
              <w:t>90</w:t>
            </w:r>
            <w:r>
              <w:rPr>
                <w:rFonts w:ascii="Arial"/>
                <w:sz w:val="18"/>
              </w:rPr>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7"/>
              <w:jc w:val="right"/>
              <w:rPr>
                <w:rFonts w:ascii="Arial" w:hAnsi="Arial" w:cs="Arial" w:eastAsia="Arial" w:hint="default"/>
                <w:sz w:val="18"/>
                <w:szCs w:val="18"/>
              </w:rPr>
            </w:pPr>
            <w:r>
              <w:rPr>
                <w:rFonts w:ascii="Arial"/>
                <w:w w:val="99"/>
                <w:sz w:val="18"/>
              </w:rPr>
              <w:t>-</w:t>
            </w:r>
            <w:r>
              <w:rPr>
                <w:rFonts w:ascii="Arial"/>
                <w:sz w:val="18"/>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5"/>
              <w:jc w:val="right"/>
              <w:rPr>
                <w:rFonts w:ascii="Arial" w:hAnsi="Arial" w:cs="Arial" w:eastAsia="Arial" w:hint="default"/>
                <w:sz w:val="18"/>
                <w:szCs w:val="18"/>
              </w:rPr>
            </w:pPr>
            <w:r>
              <w:rPr>
                <w:rFonts w:ascii="Arial"/>
                <w:w w:val="99"/>
                <w:sz w:val="18"/>
              </w:rPr>
              <w:t>-</w:t>
            </w:r>
            <w:r>
              <w:rPr>
                <w:rFonts w:ascii="Arial"/>
                <w:sz w:val="18"/>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9"/>
              <w:jc w:val="right"/>
              <w:rPr>
                <w:rFonts w:ascii="Arial" w:hAnsi="Arial" w:cs="Arial" w:eastAsia="Arial" w:hint="default"/>
                <w:sz w:val="18"/>
                <w:szCs w:val="18"/>
              </w:rPr>
            </w:pPr>
            <w:r>
              <w:rPr>
                <w:rFonts w:ascii="Arial"/>
                <w:w w:val="99"/>
                <w:sz w:val="18"/>
              </w:rPr>
              <w:t>-</w:t>
            </w:r>
            <w:r>
              <w:rPr>
                <w:rFonts w:ascii="Arial"/>
                <w:sz w:val="18"/>
              </w:rPr>
            </w:r>
          </w:p>
        </w:tc>
      </w:tr>
      <w:tr>
        <w:trPr>
          <w:trHeight w:val="211"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02" w:lineRule="exact"/>
              <w:ind w:left="200" w:right="0"/>
              <w:jc w:val="left"/>
              <w:rPr>
                <w:rFonts w:ascii="黑体" w:hAnsi="黑体" w:cs="黑体" w:eastAsia="黑体" w:hint="default"/>
                <w:sz w:val="18"/>
                <w:szCs w:val="18"/>
              </w:rPr>
            </w:pPr>
            <w:r>
              <w:rPr>
                <w:rFonts w:ascii="黑体" w:hAnsi="黑体" w:cs="黑体" w:eastAsia="黑体" w:hint="default"/>
                <w:sz w:val="18"/>
                <w:szCs w:val="18"/>
              </w:rPr>
              <w:t>三亚用友</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5"/>
              <w:jc w:val="right"/>
              <w:rPr>
                <w:rFonts w:ascii="Arial" w:hAnsi="Arial" w:cs="Arial" w:eastAsia="Arial" w:hint="default"/>
                <w:sz w:val="18"/>
                <w:szCs w:val="18"/>
              </w:rPr>
            </w:pPr>
            <w:r>
              <w:rPr>
                <w:rFonts w:ascii="Arial"/>
                <w:spacing w:val="-1"/>
                <w:sz w:val="18"/>
              </w:rPr>
              <w:t>100,000,000</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4"/>
              <w:jc w:val="right"/>
              <w:rPr>
                <w:rFonts w:ascii="Arial" w:hAnsi="Arial" w:cs="Arial" w:eastAsia="Arial" w:hint="default"/>
                <w:sz w:val="18"/>
                <w:szCs w:val="18"/>
              </w:rPr>
            </w:pPr>
            <w:r>
              <w:rPr>
                <w:rFonts w:ascii="Arial"/>
                <w:spacing w:val="-1"/>
                <w:sz w:val="18"/>
              </w:rPr>
              <w:t>100,000,000</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4"/>
              <w:jc w:val="right"/>
              <w:rPr>
                <w:rFonts w:ascii="Arial" w:hAnsi="Arial" w:cs="Arial" w:eastAsia="Arial" w:hint="default"/>
                <w:sz w:val="18"/>
                <w:szCs w:val="18"/>
              </w:rPr>
            </w:pPr>
            <w:r>
              <w:rPr>
                <w:rFonts w:ascii="Arial"/>
                <w:w w:val="99"/>
                <w:sz w:val="18"/>
              </w:rPr>
              <w:t>-</w:t>
            </w:r>
            <w:r>
              <w:rPr>
                <w:rFonts w:ascii="Arial"/>
                <w:sz w:val="18"/>
              </w:rPr>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5"/>
              <w:jc w:val="right"/>
              <w:rPr>
                <w:rFonts w:ascii="Arial" w:hAnsi="Arial" w:cs="Arial" w:eastAsia="Arial" w:hint="default"/>
                <w:sz w:val="18"/>
                <w:szCs w:val="18"/>
              </w:rPr>
            </w:pPr>
            <w:r>
              <w:rPr>
                <w:rFonts w:ascii="Arial"/>
                <w:spacing w:val="-1"/>
                <w:sz w:val="18"/>
              </w:rPr>
              <w:t>100,000,000</w:t>
            </w:r>
          </w:p>
        </w:tc>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4"/>
              <w:jc w:val="right"/>
              <w:rPr>
                <w:rFonts w:ascii="Arial" w:hAnsi="Arial" w:cs="Arial" w:eastAsia="Arial" w:hint="default"/>
                <w:sz w:val="18"/>
                <w:szCs w:val="18"/>
              </w:rPr>
            </w:pPr>
            <w:r>
              <w:rPr>
                <w:rFonts w:ascii="Arial"/>
                <w:w w:val="95"/>
                <w:sz w:val="18"/>
              </w:rPr>
              <w:t>100</w:t>
            </w:r>
            <w:r>
              <w:rPr>
                <w:rFonts w:ascii="Arial"/>
                <w:sz w:val="18"/>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9"/>
              <w:jc w:val="right"/>
              <w:rPr>
                <w:rFonts w:ascii="Arial" w:hAnsi="Arial" w:cs="Arial" w:eastAsia="Arial" w:hint="default"/>
                <w:sz w:val="18"/>
                <w:szCs w:val="18"/>
              </w:rPr>
            </w:pPr>
            <w:r>
              <w:rPr>
                <w:rFonts w:ascii="Arial"/>
                <w:w w:val="95"/>
                <w:sz w:val="18"/>
              </w:rPr>
              <w:t>100</w:t>
            </w:r>
            <w:r>
              <w:rPr>
                <w:rFonts w:ascii="Arial"/>
                <w:sz w:val="18"/>
              </w:rPr>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57"/>
              <w:jc w:val="right"/>
              <w:rPr>
                <w:rFonts w:ascii="Arial" w:hAnsi="Arial" w:cs="Arial" w:eastAsia="Arial" w:hint="default"/>
                <w:sz w:val="18"/>
                <w:szCs w:val="18"/>
              </w:rPr>
            </w:pPr>
            <w:r>
              <w:rPr>
                <w:rFonts w:ascii="Arial"/>
                <w:w w:val="99"/>
                <w:sz w:val="18"/>
              </w:rPr>
              <w:t>-</w:t>
            </w:r>
            <w:r>
              <w:rPr>
                <w:rFonts w:ascii="Arial"/>
                <w:sz w:val="18"/>
              </w:rPr>
            </w: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5"/>
              <w:jc w:val="right"/>
              <w:rPr>
                <w:rFonts w:ascii="Arial" w:hAnsi="Arial" w:cs="Arial" w:eastAsia="Arial" w:hint="default"/>
                <w:sz w:val="18"/>
                <w:szCs w:val="18"/>
              </w:rPr>
            </w:pPr>
            <w:r>
              <w:rPr>
                <w:rFonts w:ascii="Arial"/>
                <w:w w:val="99"/>
                <w:sz w:val="18"/>
              </w:rPr>
              <w:t>-</w:t>
            </w:r>
            <w:r>
              <w:rPr>
                <w:rFonts w:ascii="Arial"/>
                <w:sz w:val="18"/>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9"/>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headerReference w:type="default" r:id="rId76"/>
          <w:pgSz w:w="16850" w:h="11910" w:orient="landscape"/>
          <w:pgMar w:header="957" w:footer="473" w:top="2580" w:bottom="660" w:left="1060" w:right="960"/>
        </w:sectPr>
      </w:pPr>
    </w:p>
    <w:p>
      <w:pPr>
        <w:spacing w:line="240" w:lineRule="auto" w:before="11"/>
        <w:rPr>
          <w:rFonts w:ascii="Arial" w:hAnsi="Arial" w:cs="Arial" w:eastAsia="Arial" w:hint="default"/>
          <w:sz w:val="22"/>
          <w:szCs w:val="22"/>
        </w:rPr>
      </w:pPr>
    </w:p>
    <w:p>
      <w:pPr>
        <w:pStyle w:val="Heading6"/>
        <w:spacing w:line="240" w:lineRule="auto"/>
        <w:ind w:left="135" w:right="0"/>
        <w:jc w:val="left"/>
        <w:rPr>
          <w:b w:val="0"/>
          <w:bCs w:val="0"/>
        </w:rPr>
      </w:pPr>
      <w:r>
        <w:rPr/>
        <w:t>十三、公司财务报表主要项目注释（续）</w:t>
      </w:r>
      <w:r>
        <w:rPr>
          <w:b w:val="0"/>
          <w:bCs w:val="0"/>
        </w:rPr>
      </w:r>
    </w:p>
    <w:p>
      <w:pPr>
        <w:spacing w:line="240" w:lineRule="auto" w:before="8"/>
        <w:rPr>
          <w:rFonts w:ascii="黑体" w:hAnsi="黑体" w:cs="黑体" w:eastAsia="黑体" w:hint="default"/>
          <w:b/>
          <w:bCs/>
          <w:sz w:val="19"/>
          <w:szCs w:val="19"/>
        </w:rPr>
      </w:pPr>
    </w:p>
    <w:p>
      <w:pPr>
        <w:pStyle w:val="Heading6"/>
        <w:tabs>
          <w:tab w:pos="475" w:val="left" w:leader="none"/>
        </w:tabs>
        <w:spacing w:line="240" w:lineRule="auto" w:before="0"/>
        <w:ind w:left="108" w:right="0"/>
        <w:jc w:val="left"/>
        <w:rPr>
          <w:b w:val="0"/>
          <w:bCs w:val="0"/>
        </w:rPr>
      </w:pPr>
      <w:r>
        <w:rPr>
          <w:rFonts w:ascii="Arial" w:hAnsi="Arial" w:cs="Arial" w:eastAsia="Arial" w:hint="default"/>
          <w:spacing w:val="-1"/>
        </w:rPr>
        <w:t>8.</w:t>
        <w:tab/>
      </w:r>
      <w:r>
        <w:rPr>
          <w:spacing w:val="1"/>
        </w:rPr>
        <w:t>长期股权投资（续）</w:t>
      </w:r>
      <w:r>
        <w:rPr>
          <w:b w:val="0"/>
          <w:bCs w:val="0"/>
        </w:rPr>
      </w:r>
    </w:p>
    <w:p>
      <w:pPr>
        <w:spacing w:line="240" w:lineRule="auto" w:before="8"/>
        <w:rPr>
          <w:rFonts w:ascii="黑体" w:hAnsi="黑体" w:cs="黑体" w:eastAsia="黑体" w:hint="default"/>
          <w:b/>
          <w:bCs/>
          <w:sz w:val="21"/>
          <w:szCs w:val="21"/>
        </w:rPr>
      </w:pPr>
    </w:p>
    <w:p>
      <w:pPr>
        <w:pStyle w:val="BodyText"/>
        <w:spacing w:line="240" w:lineRule="auto"/>
        <w:ind w:left="507" w:right="0"/>
        <w:jc w:val="left"/>
        <w:rPr>
          <w:rFonts w:ascii="Arial" w:hAnsi="Arial" w:cs="Arial" w:eastAsia="Arial" w:hint="default"/>
        </w:rPr>
      </w:pPr>
      <w:r>
        <w:rPr>
          <w:rFonts w:ascii="Arial" w:hAnsi="Arial" w:cs="Arial" w:eastAsia="Arial" w:hint="default"/>
        </w:rPr>
        <w:t>2011</w:t>
      </w:r>
      <w:r>
        <w:rPr/>
        <w:t>年</w:t>
      </w:r>
      <w:r>
        <w:rPr>
          <w:rFonts w:ascii="Arial" w:hAnsi="Arial" w:cs="Arial" w:eastAsia="Arial" w:hint="default"/>
        </w:rPr>
        <w:t>(</w:t>
      </w:r>
      <w:r>
        <w:rPr/>
        <w:t>续</w:t>
      </w:r>
      <w:r>
        <w:rPr>
          <w:rFonts w:ascii="Arial" w:hAnsi="Arial" w:cs="Arial" w:eastAsia="Arial" w:hint="default"/>
        </w:rPr>
        <w:t>)</w:t>
      </w:r>
    </w:p>
    <w:p>
      <w:pPr>
        <w:spacing w:line="240" w:lineRule="auto" w:before="6"/>
        <w:rPr>
          <w:rFonts w:ascii="Arial" w:hAnsi="Arial" w:cs="Arial" w:eastAsia="Arial" w:hint="default"/>
          <w:sz w:val="7"/>
          <w:szCs w:val="7"/>
        </w:rPr>
      </w:pPr>
    </w:p>
    <w:tbl>
      <w:tblPr>
        <w:tblW w:w="0" w:type="auto"/>
        <w:jc w:val="left"/>
        <w:tblInd w:w="340" w:type="dxa"/>
        <w:tblLayout w:type="fixed"/>
        <w:tblCellMar>
          <w:top w:w="0" w:type="dxa"/>
          <w:left w:w="0" w:type="dxa"/>
          <w:bottom w:w="0" w:type="dxa"/>
          <w:right w:w="0" w:type="dxa"/>
        </w:tblCellMar>
        <w:tblLook w:val="01E0"/>
      </w:tblPr>
      <w:tblGrid>
        <w:gridCol w:w="1790"/>
        <w:gridCol w:w="2097"/>
        <w:gridCol w:w="1432"/>
        <w:gridCol w:w="1422"/>
        <w:gridCol w:w="1510"/>
        <w:gridCol w:w="993"/>
        <w:gridCol w:w="1153"/>
        <w:gridCol w:w="1189"/>
        <w:gridCol w:w="1282"/>
        <w:gridCol w:w="1237"/>
      </w:tblGrid>
      <w:tr>
        <w:trPr>
          <w:trHeight w:val="208" w:hRule="exact"/>
        </w:trPr>
        <w:tc>
          <w:tcPr>
            <w:tcW w:w="1790" w:type="dxa"/>
            <w:tcBorders>
              <w:top w:val="nil" w:sz="6" w:space="0" w:color="auto"/>
              <w:left w:val="nil" w:sz="6" w:space="0" w:color="auto"/>
              <w:bottom w:val="nil" w:sz="6" w:space="0" w:color="auto"/>
              <w:right w:val="nil" w:sz="6" w:space="0" w:color="auto"/>
            </w:tcBorders>
          </w:tcPr>
          <w:p>
            <w:pPr/>
          </w:p>
        </w:tc>
        <w:tc>
          <w:tcPr>
            <w:tcW w:w="2097" w:type="dxa"/>
            <w:tcBorders>
              <w:top w:val="nil" w:sz="6" w:space="0" w:color="auto"/>
              <w:left w:val="nil" w:sz="6" w:space="0" w:color="auto"/>
              <w:bottom w:val="nil" w:sz="6" w:space="0" w:color="auto"/>
              <w:right w:val="nil" w:sz="6" w:space="0" w:color="auto"/>
            </w:tcBorders>
          </w:tcPr>
          <w:p>
            <w:pPr>
              <w:pStyle w:val="TableParagraph"/>
              <w:spacing w:line="180" w:lineRule="exact"/>
              <w:ind w:right="72"/>
              <w:jc w:val="right"/>
              <w:rPr>
                <w:rFonts w:ascii="黑体" w:hAnsi="黑体" w:cs="黑体" w:eastAsia="黑体" w:hint="default"/>
                <w:sz w:val="18"/>
                <w:szCs w:val="18"/>
              </w:rPr>
            </w:pPr>
            <w:r>
              <w:rPr>
                <w:rFonts w:ascii="黑体" w:hAnsi="黑体" w:cs="黑体" w:eastAsia="黑体" w:hint="default"/>
                <w:sz w:val="18"/>
                <w:szCs w:val="18"/>
              </w:rPr>
              <w:t>投资成本</w:t>
            </w:r>
          </w:p>
        </w:tc>
        <w:tc>
          <w:tcPr>
            <w:tcW w:w="1432" w:type="dxa"/>
            <w:tcBorders>
              <w:top w:val="nil" w:sz="6" w:space="0" w:color="auto"/>
              <w:left w:val="nil" w:sz="6" w:space="0" w:color="auto"/>
              <w:bottom w:val="nil" w:sz="6" w:space="0" w:color="auto"/>
              <w:right w:val="nil" w:sz="6" w:space="0" w:color="auto"/>
            </w:tcBorders>
          </w:tcPr>
          <w:p>
            <w:pPr>
              <w:pStyle w:val="TableParagraph"/>
              <w:spacing w:line="180" w:lineRule="exact"/>
              <w:ind w:right="205"/>
              <w:jc w:val="right"/>
              <w:rPr>
                <w:rFonts w:ascii="黑体" w:hAnsi="黑体" w:cs="黑体" w:eastAsia="黑体" w:hint="default"/>
                <w:sz w:val="18"/>
                <w:szCs w:val="18"/>
              </w:rPr>
            </w:pPr>
            <w:r>
              <w:rPr>
                <w:rFonts w:ascii="黑体" w:hAnsi="黑体" w:cs="黑体" w:eastAsia="黑体" w:hint="default"/>
                <w:sz w:val="18"/>
                <w:szCs w:val="18"/>
              </w:rPr>
              <w:t>年初数</w:t>
            </w:r>
          </w:p>
        </w:tc>
        <w:tc>
          <w:tcPr>
            <w:tcW w:w="1422" w:type="dxa"/>
            <w:tcBorders>
              <w:top w:val="nil" w:sz="6" w:space="0" w:color="auto"/>
              <w:left w:val="nil" w:sz="6" w:space="0" w:color="auto"/>
              <w:bottom w:val="nil" w:sz="6" w:space="0" w:color="auto"/>
              <w:right w:val="nil" w:sz="6" w:space="0" w:color="auto"/>
            </w:tcBorders>
          </w:tcPr>
          <w:p>
            <w:pPr>
              <w:pStyle w:val="TableParagraph"/>
              <w:spacing w:line="180" w:lineRule="exact"/>
              <w:ind w:right="214"/>
              <w:jc w:val="right"/>
              <w:rPr>
                <w:rFonts w:ascii="黑体" w:hAnsi="黑体" w:cs="黑体" w:eastAsia="黑体" w:hint="default"/>
                <w:sz w:val="18"/>
                <w:szCs w:val="18"/>
              </w:rPr>
            </w:pPr>
            <w:r>
              <w:rPr>
                <w:rFonts w:ascii="黑体" w:hAnsi="黑体" w:cs="黑体" w:eastAsia="黑体" w:hint="default"/>
                <w:sz w:val="18"/>
                <w:szCs w:val="18"/>
              </w:rPr>
              <w:t>本年增减</w:t>
            </w:r>
          </w:p>
        </w:tc>
        <w:tc>
          <w:tcPr>
            <w:tcW w:w="1510" w:type="dxa"/>
            <w:tcBorders>
              <w:top w:val="nil" w:sz="6" w:space="0" w:color="auto"/>
              <w:left w:val="nil" w:sz="6" w:space="0" w:color="auto"/>
              <w:bottom w:val="nil" w:sz="6" w:space="0" w:color="auto"/>
              <w:right w:val="nil" w:sz="6" w:space="0" w:color="auto"/>
            </w:tcBorders>
          </w:tcPr>
          <w:p>
            <w:pPr>
              <w:pStyle w:val="TableParagraph"/>
              <w:spacing w:line="180" w:lineRule="exact"/>
              <w:ind w:right="142"/>
              <w:jc w:val="right"/>
              <w:rPr>
                <w:rFonts w:ascii="黑体" w:hAnsi="黑体" w:cs="黑体" w:eastAsia="黑体" w:hint="default"/>
                <w:sz w:val="18"/>
                <w:szCs w:val="18"/>
              </w:rPr>
            </w:pPr>
            <w:r>
              <w:rPr>
                <w:rFonts w:ascii="黑体" w:hAnsi="黑体" w:cs="黑体" w:eastAsia="黑体" w:hint="default"/>
                <w:sz w:val="18"/>
                <w:szCs w:val="18"/>
              </w:rPr>
              <w:t>年末数</w:t>
            </w:r>
          </w:p>
        </w:tc>
        <w:tc>
          <w:tcPr>
            <w:tcW w:w="993" w:type="dxa"/>
            <w:tcBorders>
              <w:top w:val="nil" w:sz="6" w:space="0" w:color="auto"/>
              <w:left w:val="nil" w:sz="6" w:space="0" w:color="auto"/>
              <w:bottom w:val="nil" w:sz="6" w:space="0" w:color="auto"/>
              <w:right w:val="nil" w:sz="6" w:space="0" w:color="auto"/>
            </w:tcBorders>
          </w:tcPr>
          <w:p>
            <w:pPr>
              <w:pStyle w:val="TableParagraph"/>
              <w:spacing w:line="180" w:lineRule="exact"/>
              <w:ind w:right="131"/>
              <w:jc w:val="right"/>
              <w:rPr>
                <w:rFonts w:ascii="黑体" w:hAnsi="黑体" w:cs="黑体" w:eastAsia="黑体" w:hint="default"/>
                <w:sz w:val="18"/>
                <w:szCs w:val="18"/>
              </w:rPr>
            </w:pPr>
            <w:r>
              <w:rPr>
                <w:rFonts w:ascii="黑体" w:hAnsi="黑体" w:cs="黑体" w:eastAsia="黑体" w:hint="default"/>
                <w:sz w:val="18"/>
                <w:szCs w:val="18"/>
              </w:rPr>
              <w:t>持股比例</w:t>
            </w:r>
          </w:p>
        </w:tc>
        <w:tc>
          <w:tcPr>
            <w:tcW w:w="1153" w:type="dxa"/>
            <w:tcBorders>
              <w:top w:val="nil" w:sz="6" w:space="0" w:color="auto"/>
              <w:left w:val="nil" w:sz="6" w:space="0" w:color="auto"/>
              <w:bottom w:val="nil" w:sz="6" w:space="0" w:color="auto"/>
              <w:right w:val="nil" w:sz="6" w:space="0" w:color="auto"/>
            </w:tcBorders>
          </w:tcPr>
          <w:p>
            <w:pPr>
              <w:pStyle w:val="TableParagraph"/>
              <w:spacing w:line="180" w:lineRule="exact"/>
              <w:ind w:right="121"/>
              <w:jc w:val="right"/>
              <w:rPr>
                <w:rFonts w:ascii="黑体" w:hAnsi="黑体" w:cs="黑体" w:eastAsia="黑体" w:hint="default"/>
                <w:sz w:val="18"/>
                <w:szCs w:val="18"/>
              </w:rPr>
            </w:pPr>
            <w:r>
              <w:rPr>
                <w:rFonts w:ascii="黑体" w:hAnsi="黑体" w:cs="黑体" w:eastAsia="黑体" w:hint="default"/>
                <w:sz w:val="18"/>
                <w:szCs w:val="18"/>
              </w:rPr>
              <w:t>表决权比例</w:t>
            </w:r>
          </w:p>
        </w:tc>
        <w:tc>
          <w:tcPr>
            <w:tcW w:w="1189" w:type="dxa"/>
            <w:tcBorders>
              <w:top w:val="nil" w:sz="6" w:space="0" w:color="auto"/>
              <w:left w:val="nil" w:sz="6" w:space="0" w:color="auto"/>
              <w:bottom w:val="nil" w:sz="6" w:space="0" w:color="auto"/>
              <w:right w:val="nil" w:sz="6" w:space="0" w:color="auto"/>
            </w:tcBorders>
          </w:tcPr>
          <w:p>
            <w:pPr>
              <w:pStyle w:val="TableParagraph"/>
              <w:spacing w:line="180" w:lineRule="exact"/>
              <w:ind w:right="346"/>
              <w:jc w:val="right"/>
              <w:rPr>
                <w:rFonts w:ascii="黑体" w:hAnsi="黑体" w:cs="黑体" w:eastAsia="黑体" w:hint="default"/>
                <w:sz w:val="18"/>
                <w:szCs w:val="18"/>
              </w:rPr>
            </w:pPr>
            <w:r>
              <w:rPr>
                <w:rFonts w:ascii="黑体" w:hAnsi="黑体" w:cs="黑体" w:eastAsia="黑体" w:hint="default"/>
                <w:sz w:val="18"/>
                <w:szCs w:val="18"/>
              </w:rPr>
              <w:t>减值准备</w:t>
            </w:r>
          </w:p>
        </w:tc>
        <w:tc>
          <w:tcPr>
            <w:tcW w:w="1282" w:type="dxa"/>
            <w:tcBorders>
              <w:top w:val="nil" w:sz="6" w:space="0" w:color="auto"/>
              <w:left w:val="nil" w:sz="6" w:space="0" w:color="auto"/>
              <w:bottom w:val="nil" w:sz="6" w:space="0" w:color="auto"/>
              <w:right w:val="nil" w:sz="6" w:space="0" w:color="auto"/>
            </w:tcBorders>
          </w:tcPr>
          <w:p>
            <w:pPr>
              <w:pStyle w:val="TableParagraph"/>
              <w:spacing w:line="180" w:lineRule="exact"/>
              <w:ind w:right="134"/>
              <w:jc w:val="right"/>
              <w:rPr>
                <w:rFonts w:ascii="黑体" w:hAnsi="黑体" w:cs="黑体" w:eastAsia="黑体" w:hint="default"/>
                <w:sz w:val="18"/>
                <w:szCs w:val="18"/>
              </w:rPr>
            </w:pPr>
            <w:r>
              <w:rPr>
                <w:rFonts w:ascii="黑体" w:hAnsi="黑体" w:cs="黑体" w:eastAsia="黑体" w:hint="default"/>
                <w:sz w:val="18"/>
                <w:szCs w:val="18"/>
              </w:rPr>
              <w:t>本年转销</w:t>
            </w:r>
          </w:p>
        </w:tc>
        <w:tc>
          <w:tcPr>
            <w:tcW w:w="1237" w:type="dxa"/>
            <w:tcBorders>
              <w:top w:val="nil" w:sz="6" w:space="0" w:color="auto"/>
              <w:left w:val="nil" w:sz="6" w:space="0" w:color="auto"/>
              <w:bottom w:val="nil" w:sz="6" w:space="0" w:color="auto"/>
              <w:right w:val="nil" w:sz="6" w:space="0" w:color="auto"/>
            </w:tcBorders>
          </w:tcPr>
          <w:p>
            <w:pPr>
              <w:pStyle w:val="TableParagraph"/>
              <w:spacing w:line="180" w:lineRule="exact"/>
              <w:ind w:right="200"/>
              <w:jc w:val="right"/>
              <w:rPr>
                <w:rFonts w:ascii="黑体" w:hAnsi="黑体" w:cs="黑体" w:eastAsia="黑体" w:hint="default"/>
                <w:sz w:val="18"/>
                <w:szCs w:val="18"/>
              </w:rPr>
            </w:pPr>
            <w:r>
              <w:rPr>
                <w:rFonts w:ascii="黑体" w:hAnsi="黑体" w:cs="黑体" w:eastAsia="黑体" w:hint="default"/>
                <w:sz w:val="18"/>
                <w:szCs w:val="18"/>
              </w:rPr>
              <w:t>本年</w:t>
            </w:r>
          </w:p>
        </w:tc>
      </w:tr>
      <w:tr>
        <w:trPr>
          <w:trHeight w:val="342" w:hRule="exact"/>
        </w:trPr>
        <w:tc>
          <w:tcPr>
            <w:tcW w:w="1790" w:type="dxa"/>
            <w:tcBorders>
              <w:top w:val="nil" w:sz="6" w:space="0" w:color="auto"/>
              <w:left w:val="nil" w:sz="6" w:space="0" w:color="auto"/>
              <w:bottom w:val="nil" w:sz="6" w:space="0" w:color="auto"/>
              <w:right w:val="nil" w:sz="6" w:space="0" w:color="auto"/>
            </w:tcBorders>
          </w:tcPr>
          <w:p>
            <w:pPr/>
          </w:p>
        </w:tc>
        <w:tc>
          <w:tcPr>
            <w:tcW w:w="2097"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30"/>
              <w:jc w:val="right"/>
              <w:rPr>
                <w:rFonts w:ascii="Arial" w:hAnsi="Arial" w:cs="Arial" w:eastAsia="Arial" w:hint="default"/>
                <w:sz w:val="18"/>
                <w:szCs w:val="18"/>
              </w:rPr>
            </w:pPr>
            <w:r>
              <w:rPr>
                <w:rFonts w:ascii="Arial"/>
                <w:w w:val="95"/>
                <w:sz w:val="18"/>
              </w:rPr>
              <w:t>(%)</w:t>
            </w:r>
            <w:r>
              <w:rPr>
                <w:rFonts w:ascii="Arial"/>
                <w:sz w:val="18"/>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21"/>
              <w:jc w:val="right"/>
              <w:rPr>
                <w:rFonts w:ascii="Arial" w:hAnsi="Arial" w:cs="Arial" w:eastAsia="Arial" w:hint="default"/>
                <w:sz w:val="18"/>
                <w:szCs w:val="18"/>
              </w:rPr>
            </w:pPr>
            <w:r>
              <w:rPr>
                <w:rFonts w:ascii="Arial"/>
                <w:w w:val="95"/>
                <w:sz w:val="18"/>
              </w:rPr>
              <w:t>(%)</w:t>
            </w:r>
            <w:r>
              <w:rPr>
                <w:rFonts w:ascii="Arial"/>
                <w:sz w:val="18"/>
              </w:rPr>
            </w:r>
          </w:p>
        </w:tc>
        <w:tc>
          <w:tcPr>
            <w:tcW w:w="1189" w:type="dxa"/>
            <w:tcBorders>
              <w:top w:val="nil" w:sz="6" w:space="0" w:color="auto"/>
              <w:left w:val="nil" w:sz="6" w:space="0" w:color="auto"/>
              <w:bottom w:val="nil" w:sz="6" w:space="0" w:color="auto"/>
              <w:right w:val="nil" w:sz="6" w:space="0" w:color="auto"/>
            </w:tcBorders>
          </w:tcPr>
          <w:p>
            <w:pPr/>
          </w:p>
        </w:tc>
        <w:tc>
          <w:tcPr>
            <w:tcW w:w="1282" w:type="dxa"/>
            <w:tcBorders>
              <w:top w:val="nil" w:sz="6" w:space="0" w:color="auto"/>
              <w:left w:val="nil" w:sz="6" w:space="0" w:color="auto"/>
              <w:bottom w:val="nil" w:sz="6" w:space="0" w:color="auto"/>
              <w:right w:val="nil" w:sz="6" w:space="0" w:color="auto"/>
            </w:tcBorders>
          </w:tcPr>
          <w:p>
            <w:pPr>
              <w:pStyle w:val="TableParagraph"/>
              <w:spacing w:line="208" w:lineRule="exact"/>
              <w:ind w:right="134"/>
              <w:jc w:val="right"/>
              <w:rPr>
                <w:rFonts w:ascii="黑体" w:hAnsi="黑体" w:cs="黑体" w:eastAsia="黑体" w:hint="default"/>
                <w:sz w:val="18"/>
                <w:szCs w:val="18"/>
              </w:rPr>
            </w:pPr>
            <w:r>
              <w:rPr>
                <w:rFonts w:ascii="黑体" w:hAnsi="黑体" w:cs="黑体" w:eastAsia="黑体" w:hint="default"/>
                <w:sz w:val="18"/>
                <w:szCs w:val="18"/>
              </w:rPr>
              <w:t>减值准备</w:t>
            </w:r>
          </w:p>
        </w:tc>
        <w:tc>
          <w:tcPr>
            <w:tcW w:w="1237" w:type="dxa"/>
            <w:tcBorders>
              <w:top w:val="nil" w:sz="6" w:space="0" w:color="auto"/>
              <w:left w:val="nil" w:sz="6" w:space="0" w:color="auto"/>
              <w:bottom w:val="nil" w:sz="6" w:space="0" w:color="auto"/>
              <w:right w:val="nil" w:sz="6" w:space="0" w:color="auto"/>
            </w:tcBorders>
          </w:tcPr>
          <w:p>
            <w:pPr>
              <w:pStyle w:val="TableParagraph"/>
              <w:spacing w:line="208" w:lineRule="exact"/>
              <w:ind w:right="200"/>
              <w:jc w:val="right"/>
              <w:rPr>
                <w:rFonts w:ascii="黑体" w:hAnsi="黑体" w:cs="黑体" w:eastAsia="黑体" w:hint="default"/>
                <w:sz w:val="18"/>
                <w:szCs w:val="18"/>
              </w:rPr>
            </w:pPr>
            <w:r>
              <w:rPr>
                <w:rFonts w:ascii="黑体" w:hAnsi="黑体" w:cs="黑体" w:eastAsia="黑体" w:hint="default"/>
                <w:sz w:val="18"/>
                <w:szCs w:val="18"/>
              </w:rPr>
              <w:t>现金红利</w:t>
            </w:r>
          </w:p>
        </w:tc>
      </w:tr>
      <w:tr>
        <w:trPr>
          <w:trHeight w:val="336" w:hRule="exact"/>
        </w:trPr>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00" w:right="0"/>
              <w:jc w:val="left"/>
              <w:rPr>
                <w:rFonts w:ascii="黑体" w:hAnsi="黑体" w:cs="黑体" w:eastAsia="黑体" w:hint="default"/>
                <w:sz w:val="18"/>
                <w:szCs w:val="18"/>
              </w:rPr>
            </w:pPr>
            <w:r>
              <w:rPr>
                <w:rFonts w:ascii="黑体" w:hAnsi="黑体" w:cs="黑体" w:eastAsia="黑体" w:hint="default"/>
                <w:sz w:val="18"/>
                <w:szCs w:val="18"/>
              </w:rPr>
              <w:t>幸福投资</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70"/>
              <w:jc w:val="right"/>
              <w:rPr>
                <w:rFonts w:ascii="Arial" w:hAnsi="Arial" w:cs="Arial" w:eastAsia="Arial" w:hint="default"/>
                <w:sz w:val="18"/>
                <w:szCs w:val="18"/>
              </w:rPr>
            </w:pPr>
            <w:r>
              <w:rPr>
                <w:rFonts w:ascii="Arial"/>
                <w:spacing w:val="-1"/>
                <w:sz w:val="18"/>
              </w:rPr>
              <w:t>5,000,000</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03"/>
              <w:jc w:val="right"/>
              <w:rPr>
                <w:rFonts w:ascii="Arial" w:hAnsi="Arial" w:cs="Arial" w:eastAsia="Arial" w:hint="default"/>
                <w:sz w:val="18"/>
                <w:szCs w:val="18"/>
              </w:rPr>
            </w:pPr>
            <w:r>
              <w:rPr>
                <w:rFonts w:ascii="Arial"/>
                <w:spacing w:val="-1"/>
                <w:sz w:val="18"/>
              </w:rPr>
              <w:t>5,000,000</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14"/>
              <w:jc w:val="right"/>
              <w:rPr>
                <w:rFonts w:ascii="Arial" w:hAnsi="Arial" w:cs="Arial" w:eastAsia="Arial" w:hint="default"/>
                <w:sz w:val="18"/>
                <w:szCs w:val="18"/>
              </w:rPr>
            </w:pPr>
            <w:r>
              <w:rPr>
                <w:rFonts w:ascii="Arial"/>
                <w:w w:val="99"/>
                <w:sz w:val="18"/>
              </w:rPr>
              <w:t>-</w:t>
            </w:r>
            <w:r>
              <w:rPr>
                <w:rFonts w:ascii="Arial"/>
                <w:sz w:val="18"/>
              </w:rPr>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39"/>
              <w:jc w:val="right"/>
              <w:rPr>
                <w:rFonts w:ascii="Arial" w:hAnsi="Arial" w:cs="Arial" w:eastAsia="Arial" w:hint="default"/>
                <w:sz w:val="18"/>
                <w:szCs w:val="18"/>
              </w:rPr>
            </w:pPr>
            <w:r>
              <w:rPr>
                <w:rFonts w:ascii="Arial"/>
                <w:spacing w:val="-1"/>
                <w:sz w:val="18"/>
              </w:rPr>
              <w:t>5,000,000</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27"/>
              <w:jc w:val="right"/>
              <w:rPr>
                <w:rFonts w:ascii="Arial" w:hAnsi="Arial" w:cs="Arial" w:eastAsia="Arial" w:hint="default"/>
                <w:sz w:val="18"/>
                <w:szCs w:val="18"/>
              </w:rPr>
            </w:pPr>
            <w:r>
              <w:rPr>
                <w:rFonts w:ascii="Arial"/>
                <w:w w:val="95"/>
                <w:sz w:val="18"/>
              </w:rPr>
              <w:t>100</w:t>
            </w:r>
            <w:r>
              <w:rPr>
                <w:rFonts w:ascii="Arial"/>
                <w:sz w:val="18"/>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19"/>
              <w:jc w:val="right"/>
              <w:rPr>
                <w:rFonts w:ascii="Arial" w:hAnsi="Arial" w:cs="Arial" w:eastAsia="Arial" w:hint="default"/>
                <w:sz w:val="18"/>
                <w:szCs w:val="18"/>
              </w:rPr>
            </w:pPr>
            <w:r>
              <w:rPr>
                <w:rFonts w:ascii="Arial"/>
                <w:w w:val="95"/>
                <w:sz w:val="18"/>
              </w:rPr>
              <w:t>100</w:t>
            </w:r>
            <w:r>
              <w:rPr>
                <w:rFonts w:ascii="Arial"/>
                <w:sz w:val="18"/>
              </w:rPr>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46"/>
              <w:jc w:val="right"/>
              <w:rPr>
                <w:rFonts w:ascii="Arial" w:hAnsi="Arial" w:cs="Arial" w:eastAsia="Arial" w:hint="default"/>
                <w:sz w:val="18"/>
                <w:szCs w:val="18"/>
              </w:rPr>
            </w:pPr>
            <w:r>
              <w:rPr>
                <w:rFonts w:ascii="Arial"/>
                <w:w w:val="99"/>
                <w:sz w:val="18"/>
              </w:rPr>
              <w:t>-</w:t>
            </w:r>
            <w:r>
              <w:rPr>
                <w:rFonts w:ascii="Arial"/>
                <w:sz w:val="18"/>
              </w:rPr>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34"/>
              <w:jc w:val="right"/>
              <w:rPr>
                <w:rFonts w:ascii="Arial" w:hAnsi="Arial" w:cs="Arial" w:eastAsia="Arial" w:hint="default"/>
                <w:sz w:val="18"/>
                <w:szCs w:val="18"/>
              </w:rPr>
            </w:pPr>
            <w:r>
              <w:rPr>
                <w:rFonts w:ascii="Arial"/>
                <w:w w:val="99"/>
                <w:sz w:val="18"/>
              </w:rPr>
              <w:t>-</w:t>
            </w:r>
            <w:r>
              <w:rPr>
                <w:rFonts w:ascii="Arial"/>
                <w:sz w:val="18"/>
              </w:rPr>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200"/>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1790" w:type="dxa"/>
            <w:tcBorders>
              <w:top w:val="nil" w:sz="6" w:space="0" w:color="auto"/>
              <w:left w:val="nil" w:sz="6" w:space="0" w:color="auto"/>
              <w:bottom w:val="nil" w:sz="6" w:space="0" w:color="auto"/>
              <w:right w:val="nil" w:sz="6" w:space="0" w:color="auto"/>
            </w:tcBorders>
          </w:tcPr>
          <w:p>
            <w:pPr>
              <w:pStyle w:val="TableParagraph"/>
              <w:spacing w:line="202" w:lineRule="exact"/>
              <w:ind w:left="200" w:right="0"/>
              <w:jc w:val="left"/>
              <w:rPr>
                <w:rFonts w:ascii="黑体" w:hAnsi="黑体" w:cs="黑体" w:eastAsia="黑体" w:hint="default"/>
                <w:sz w:val="18"/>
                <w:szCs w:val="18"/>
              </w:rPr>
            </w:pPr>
            <w:r>
              <w:rPr>
                <w:rFonts w:ascii="黑体" w:hAnsi="黑体" w:cs="黑体" w:eastAsia="黑体" w:hint="default"/>
                <w:sz w:val="18"/>
                <w:szCs w:val="18"/>
              </w:rPr>
              <w:t>创新投资</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0"/>
              <w:jc w:val="right"/>
              <w:rPr>
                <w:rFonts w:ascii="Arial" w:hAnsi="Arial" w:cs="Arial" w:eastAsia="Arial" w:hint="default"/>
                <w:sz w:val="18"/>
                <w:szCs w:val="18"/>
              </w:rPr>
            </w:pPr>
            <w:r>
              <w:rPr>
                <w:rFonts w:ascii="Arial"/>
                <w:spacing w:val="-1"/>
                <w:sz w:val="18"/>
              </w:rPr>
              <w:t>99,000,000</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3"/>
              <w:jc w:val="right"/>
              <w:rPr>
                <w:rFonts w:ascii="Arial" w:hAnsi="Arial" w:cs="Arial" w:eastAsia="Arial" w:hint="default"/>
                <w:sz w:val="18"/>
                <w:szCs w:val="18"/>
              </w:rPr>
            </w:pPr>
            <w:r>
              <w:rPr>
                <w:rFonts w:ascii="Arial"/>
                <w:spacing w:val="-1"/>
                <w:sz w:val="18"/>
              </w:rPr>
              <w:t>49,500,000</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2"/>
              <w:jc w:val="right"/>
              <w:rPr>
                <w:rFonts w:ascii="Arial" w:hAnsi="Arial" w:cs="Arial" w:eastAsia="Arial" w:hint="default"/>
                <w:sz w:val="18"/>
                <w:szCs w:val="18"/>
              </w:rPr>
            </w:pPr>
            <w:r>
              <w:rPr>
                <w:rFonts w:ascii="Arial"/>
                <w:spacing w:val="-1"/>
                <w:sz w:val="18"/>
              </w:rPr>
              <w:t>49,500,000</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40"/>
              <w:jc w:val="right"/>
              <w:rPr>
                <w:rFonts w:ascii="Arial" w:hAnsi="Arial" w:cs="Arial" w:eastAsia="Arial" w:hint="default"/>
                <w:sz w:val="18"/>
                <w:szCs w:val="18"/>
              </w:rPr>
            </w:pPr>
            <w:r>
              <w:rPr>
                <w:rFonts w:ascii="Arial"/>
                <w:spacing w:val="-1"/>
                <w:sz w:val="18"/>
              </w:rPr>
              <w:t>99,000,000</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7"/>
              <w:jc w:val="right"/>
              <w:rPr>
                <w:rFonts w:ascii="Arial" w:hAnsi="Arial" w:cs="Arial" w:eastAsia="Arial" w:hint="default"/>
                <w:sz w:val="18"/>
                <w:szCs w:val="18"/>
              </w:rPr>
            </w:pPr>
            <w:r>
              <w:rPr>
                <w:rFonts w:ascii="Arial"/>
                <w:w w:val="95"/>
                <w:sz w:val="18"/>
              </w:rPr>
              <w:t>99</w:t>
            </w:r>
            <w:r>
              <w:rPr>
                <w:rFonts w:ascii="Arial"/>
                <w:sz w:val="18"/>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19"/>
              <w:jc w:val="right"/>
              <w:rPr>
                <w:rFonts w:ascii="Arial" w:hAnsi="Arial" w:cs="Arial" w:eastAsia="Arial" w:hint="default"/>
                <w:sz w:val="18"/>
                <w:szCs w:val="18"/>
              </w:rPr>
            </w:pPr>
            <w:r>
              <w:rPr>
                <w:rFonts w:ascii="Arial"/>
                <w:w w:val="95"/>
                <w:sz w:val="18"/>
              </w:rPr>
              <w:t>99</w:t>
            </w:r>
            <w:r>
              <w:rPr>
                <w:rFonts w:ascii="Arial"/>
                <w:sz w:val="18"/>
              </w:rPr>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6"/>
              <w:jc w:val="right"/>
              <w:rPr>
                <w:rFonts w:ascii="Arial" w:hAnsi="Arial" w:cs="Arial" w:eastAsia="Arial" w:hint="default"/>
                <w:sz w:val="18"/>
                <w:szCs w:val="18"/>
              </w:rPr>
            </w:pPr>
            <w:r>
              <w:rPr>
                <w:rFonts w:ascii="Arial"/>
                <w:w w:val="99"/>
                <w:sz w:val="18"/>
              </w:rPr>
              <w:t>-</w:t>
            </w:r>
            <w:r>
              <w:rPr>
                <w:rFonts w:ascii="Arial"/>
                <w:sz w:val="18"/>
              </w:rPr>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4"/>
              <w:jc w:val="right"/>
              <w:rPr>
                <w:rFonts w:ascii="Arial" w:hAnsi="Arial" w:cs="Arial" w:eastAsia="Arial" w:hint="default"/>
                <w:sz w:val="18"/>
                <w:szCs w:val="18"/>
              </w:rPr>
            </w:pPr>
            <w:r>
              <w:rPr>
                <w:rFonts w:ascii="Arial"/>
                <w:w w:val="99"/>
                <w:sz w:val="18"/>
              </w:rPr>
              <w:t>-</w:t>
            </w:r>
            <w:r>
              <w:rPr>
                <w:rFonts w:ascii="Arial"/>
                <w:sz w:val="18"/>
              </w:rPr>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8"/>
              <w:jc w:val="right"/>
              <w:rPr>
                <w:rFonts w:ascii="Arial" w:hAnsi="Arial" w:cs="Arial" w:eastAsia="Arial" w:hint="default"/>
                <w:sz w:val="18"/>
                <w:szCs w:val="18"/>
              </w:rPr>
            </w:pPr>
            <w:r>
              <w:rPr>
                <w:rFonts w:ascii="Arial"/>
                <w:spacing w:val="-1"/>
                <w:sz w:val="18"/>
              </w:rPr>
              <w:t>85,601</w:t>
            </w:r>
          </w:p>
        </w:tc>
      </w:tr>
      <w:tr>
        <w:trPr>
          <w:trHeight w:val="234" w:hRule="exact"/>
        </w:trPr>
        <w:tc>
          <w:tcPr>
            <w:tcW w:w="1790" w:type="dxa"/>
            <w:tcBorders>
              <w:top w:val="nil" w:sz="6" w:space="0" w:color="auto"/>
              <w:left w:val="nil" w:sz="6" w:space="0" w:color="auto"/>
              <w:bottom w:val="nil" w:sz="6" w:space="0" w:color="auto"/>
              <w:right w:val="nil" w:sz="6" w:space="0" w:color="auto"/>
            </w:tcBorders>
          </w:tcPr>
          <w:p>
            <w:pPr>
              <w:pStyle w:val="TableParagraph"/>
              <w:spacing w:line="203" w:lineRule="exact"/>
              <w:ind w:left="200" w:right="0"/>
              <w:jc w:val="left"/>
              <w:rPr>
                <w:rFonts w:ascii="黑体" w:hAnsi="黑体" w:cs="黑体" w:eastAsia="黑体" w:hint="default"/>
                <w:sz w:val="18"/>
                <w:szCs w:val="18"/>
              </w:rPr>
            </w:pPr>
            <w:r>
              <w:rPr>
                <w:rFonts w:ascii="黑体" w:hAnsi="黑体" w:cs="黑体" w:eastAsia="黑体" w:hint="default"/>
                <w:sz w:val="18"/>
                <w:szCs w:val="18"/>
              </w:rPr>
              <w:t>畅捷通</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Arial" w:hAnsi="Arial" w:cs="Arial" w:eastAsia="Arial" w:hint="default"/>
                <w:sz w:val="18"/>
                <w:szCs w:val="18"/>
              </w:rPr>
            </w:pPr>
            <w:r>
              <w:rPr>
                <w:rFonts w:ascii="Arial"/>
                <w:spacing w:val="-1"/>
                <w:sz w:val="18"/>
              </w:rPr>
              <w:t>220,060,623</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03"/>
              <w:jc w:val="right"/>
              <w:rPr>
                <w:rFonts w:ascii="Arial" w:hAnsi="Arial" w:cs="Arial" w:eastAsia="Arial" w:hint="default"/>
                <w:sz w:val="18"/>
                <w:szCs w:val="18"/>
              </w:rPr>
            </w:pPr>
            <w:r>
              <w:rPr>
                <w:rFonts w:ascii="Arial"/>
                <w:spacing w:val="-1"/>
                <w:sz w:val="18"/>
              </w:rPr>
              <w:t>100,000,000</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11"/>
              <w:jc w:val="right"/>
              <w:rPr>
                <w:rFonts w:ascii="Arial" w:hAnsi="Arial" w:cs="Arial" w:eastAsia="Arial" w:hint="default"/>
                <w:sz w:val="18"/>
                <w:szCs w:val="18"/>
              </w:rPr>
            </w:pPr>
            <w:r>
              <w:rPr>
                <w:rFonts w:ascii="Arial"/>
                <w:spacing w:val="-1"/>
                <w:sz w:val="18"/>
              </w:rPr>
              <w:t>120,060,623</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39"/>
              <w:jc w:val="right"/>
              <w:rPr>
                <w:rFonts w:ascii="Arial" w:hAnsi="Arial" w:cs="Arial" w:eastAsia="Arial" w:hint="default"/>
                <w:sz w:val="18"/>
                <w:szCs w:val="18"/>
              </w:rPr>
            </w:pPr>
            <w:r>
              <w:rPr>
                <w:rFonts w:ascii="Arial"/>
                <w:spacing w:val="-1"/>
                <w:sz w:val="18"/>
              </w:rPr>
              <w:t>220,060,623</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27"/>
              <w:jc w:val="right"/>
              <w:rPr>
                <w:rFonts w:ascii="Arial" w:hAnsi="Arial" w:cs="Arial" w:eastAsia="Arial" w:hint="default"/>
                <w:sz w:val="18"/>
                <w:szCs w:val="18"/>
              </w:rPr>
            </w:pPr>
            <w:r>
              <w:rPr>
                <w:rFonts w:ascii="Arial"/>
                <w:w w:val="95"/>
                <w:sz w:val="18"/>
              </w:rPr>
              <w:t>93.58</w:t>
            </w:r>
            <w:r>
              <w:rPr>
                <w:rFonts w:ascii="Arial"/>
                <w:sz w:val="18"/>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19"/>
              <w:jc w:val="right"/>
              <w:rPr>
                <w:rFonts w:ascii="Arial" w:hAnsi="Arial" w:cs="Arial" w:eastAsia="Arial" w:hint="default"/>
                <w:sz w:val="18"/>
                <w:szCs w:val="18"/>
              </w:rPr>
            </w:pPr>
            <w:r>
              <w:rPr>
                <w:rFonts w:ascii="Arial"/>
                <w:w w:val="95"/>
                <w:sz w:val="18"/>
              </w:rPr>
              <w:t>93.58</w:t>
            </w:r>
            <w:r>
              <w:rPr>
                <w:rFonts w:ascii="Arial"/>
                <w:sz w:val="18"/>
              </w:rPr>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6"/>
              <w:jc w:val="right"/>
              <w:rPr>
                <w:rFonts w:ascii="Arial" w:hAnsi="Arial" w:cs="Arial" w:eastAsia="Arial" w:hint="default"/>
                <w:sz w:val="18"/>
                <w:szCs w:val="18"/>
              </w:rPr>
            </w:pPr>
            <w:r>
              <w:rPr>
                <w:rFonts w:ascii="Arial"/>
                <w:w w:val="99"/>
                <w:sz w:val="18"/>
              </w:rPr>
              <w:t>-</w:t>
            </w:r>
            <w:r>
              <w:rPr>
                <w:rFonts w:ascii="Arial"/>
                <w:sz w:val="18"/>
              </w:rPr>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34"/>
              <w:jc w:val="right"/>
              <w:rPr>
                <w:rFonts w:ascii="Arial" w:hAnsi="Arial" w:cs="Arial" w:eastAsia="Arial" w:hint="default"/>
                <w:sz w:val="18"/>
                <w:szCs w:val="18"/>
              </w:rPr>
            </w:pPr>
            <w:r>
              <w:rPr>
                <w:rFonts w:ascii="Arial"/>
                <w:w w:val="99"/>
                <w:sz w:val="18"/>
              </w:rPr>
              <w:t>-</w:t>
            </w:r>
            <w:r>
              <w:rPr>
                <w:rFonts w:ascii="Arial"/>
                <w:sz w:val="18"/>
              </w:rPr>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00"/>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1790" w:type="dxa"/>
            <w:tcBorders>
              <w:top w:val="nil" w:sz="6" w:space="0" w:color="auto"/>
              <w:left w:val="nil" w:sz="6" w:space="0" w:color="auto"/>
              <w:bottom w:val="nil" w:sz="6" w:space="0" w:color="auto"/>
              <w:right w:val="nil" w:sz="6" w:space="0" w:color="auto"/>
            </w:tcBorders>
          </w:tcPr>
          <w:p>
            <w:pPr>
              <w:pStyle w:val="TableParagraph"/>
              <w:spacing w:line="202" w:lineRule="exact"/>
              <w:ind w:left="200" w:right="0"/>
              <w:jc w:val="left"/>
              <w:rPr>
                <w:rFonts w:ascii="黑体" w:hAnsi="黑体" w:cs="黑体" w:eastAsia="黑体" w:hint="default"/>
                <w:sz w:val="18"/>
                <w:szCs w:val="18"/>
              </w:rPr>
            </w:pPr>
            <w:r>
              <w:rPr>
                <w:rFonts w:ascii="黑体" w:hAnsi="黑体" w:cs="黑体" w:eastAsia="黑体" w:hint="default"/>
                <w:sz w:val="18"/>
                <w:szCs w:val="18"/>
              </w:rPr>
              <w:t>长伴咨询</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0"/>
              <w:jc w:val="right"/>
              <w:rPr>
                <w:rFonts w:ascii="Arial" w:hAnsi="Arial" w:cs="Arial" w:eastAsia="Arial" w:hint="default"/>
                <w:sz w:val="18"/>
                <w:szCs w:val="18"/>
              </w:rPr>
            </w:pPr>
            <w:r>
              <w:rPr>
                <w:rFonts w:ascii="Arial"/>
                <w:spacing w:val="-1"/>
                <w:sz w:val="18"/>
              </w:rPr>
              <w:t>30,000,000</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3"/>
              <w:jc w:val="right"/>
              <w:rPr>
                <w:rFonts w:ascii="Arial" w:hAnsi="Arial" w:cs="Arial" w:eastAsia="Arial" w:hint="default"/>
                <w:sz w:val="18"/>
                <w:szCs w:val="18"/>
              </w:rPr>
            </w:pPr>
            <w:r>
              <w:rPr>
                <w:rFonts w:ascii="Arial"/>
                <w:spacing w:val="-1"/>
                <w:sz w:val="18"/>
              </w:rPr>
              <w:t>30,000,000</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11"/>
              <w:jc w:val="right"/>
              <w:rPr>
                <w:rFonts w:ascii="Arial" w:hAnsi="Arial" w:cs="Arial" w:eastAsia="Arial" w:hint="default"/>
                <w:sz w:val="18"/>
                <w:szCs w:val="18"/>
              </w:rPr>
            </w:pPr>
            <w:r>
              <w:rPr>
                <w:rFonts w:ascii="Arial"/>
                <w:w w:val="99"/>
                <w:sz w:val="18"/>
              </w:rPr>
              <w:t>-</w:t>
            </w:r>
            <w:r>
              <w:rPr>
                <w:rFonts w:ascii="Arial"/>
                <w:sz w:val="18"/>
              </w:rPr>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40"/>
              <w:jc w:val="right"/>
              <w:rPr>
                <w:rFonts w:ascii="Arial" w:hAnsi="Arial" w:cs="Arial" w:eastAsia="Arial" w:hint="default"/>
                <w:sz w:val="18"/>
                <w:szCs w:val="18"/>
              </w:rPr>
            </w:pPr>
            <w:r>
              <w:rPr>
                <w:rFonts w:ascii="Arial"/>
                <w:spacing w:val="-1"/>
                <w:sz w:val="18"/>
              </w:rPr>
              <w:t>30,000,000</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7"/>
              <w:jc w:val="right"/>
              <w:rPr>
                <w:rFonts w:ascii="Arial" w:hAnsi="Arial" w:cs="Arial" w:eastAsia="Arial" w:hint="default"/>
                <w:sz w:val="18"/>
                <w:szCs w:val="18"/>
              </w:rPr>
            </w:pPr>
            <w:r>
              <w:rPr>
                <w:rFonts w:ascii="Arial"/>
                <w:w w:val="95"/>
                <w:sz w:val="18"/>
              </w:rPr>
              <w:t>100</w:t>
            </w:r>
            <w:r>
              <w:rPr>
                <w:rFonts w:ascii="Arial"/>
                <w:sz w:val="18"/>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19"/>
              <w:jc w:val="right"/>
              <w:rPr>
                <w:rFonts w:ascii="Arial" w:hAnsi="Arial" w:cs="Arial" w:eastAsia="Arial" w:hint="default"/>
                <w:sz w:val="18"/>
                <w:szCs w:val="18"/>
              </w:rPr>
            </w:pPr>
            <w:r>
              <w:rPr>
                <w:rFonts w:ascii="Arial"/>
                <w:w w:val="95"/>
                <w:sz w:val="18"/>
              </w:rPr>
              <w:t>100</w:t>
            </w:r>
            <w:r>
              <w:rPr>
                <w:rFonts w:ascii="Arial"/>
                <w:sz w:val="18"/>
              </w:rPr>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3"/>
              <w:jc w:val="right"/>
              <w:rPr>
                <w:rFonts w:ascii="Arial" w:hAnsi="Arial" w:cs="Arial" w:eastAsia="Arial" w:hint="default"/>
                <w:sz w:val="18"/>
                <w:szCs w:val="18"/>
              </w:rPr>
            </w:pPr>
            <w:r>
              <w:rPr>
                <w:rFonts w:ascii="Arial"/>
                <w:w w:val="99"/>
                <w:sz w:val="18"/>
              </w:rPr>
              <w:t>-</w:t>
            </w:r>
            <w:r>
              <w:rPr>
                <w:rFonts w:ascii="Arial"/>
                <w:sz w:val="18"/>
              </w:rPr>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2"/>
              <w:jc w:val="right"/>
              <w:rPr>
                <w:rFonts w:ascii="Arial" w:hAnsi="Arial" w:cs="Arial" w:eastAsia="Arial" w:hint="default"/>
                <w:sz w:val="18"/>
                <w:szCs w:val="18"/>
              </w:rPr>
            </w:pPr>
            <w:r>
              <w:rPr>
                <w:rFonts w:ascii="Arial"/>
                <w:w w:val="99"/>
                <w:sz w:val="18"/>
              </w:rPr>
              <w:t>-</w:t>
            </w:r>
            <w:r>
              <w:rPr>
                <w:rFonts w:ascii="Arial"/>
                <w:sz w:val="18"/>
              </w:rPr>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1790" w:type="dxa"/>
            <w:tcBorders>
              <w:top w:val="nil" w:sz="6" w:space="0" w:color="auto"/>
              <w:left w:val="nil" w:sz="6" w:space="0" w:color="auto"/>
              <w:bottom w:val="nil" w:sz="6" w:space="0" w:color="auto"/>
              <w:right w:val="nil" w:sz="6" w:space="0" w:color="auto"/>
            </w:tcBorders>
          </w:tcPr>
          <w:p>
            <w:pPr>
              <w:pStyle w:val="TableParagraph"/>
              <w:spacing w:line="202" w:lineRule="exact"/>
              <w:ind w:left="200" w:right="0"/>
              <w:jc w:val="left"/>
              <w:rPr>
                <w:rFonts w:ascii="黑体" w:hAnsi="黑体" w:cs="黑体" w:eastAsia="黑体" w:hint="default"/>
                <w:sz w:val="18"/>
                <w:szCs w:val="18"/>
              </w:rPr>
            </w:pPr>
            <w:r>
              <w:rPr>
                <w:rFonts w:ascii="黑体" w:hAnsi="黑体" w:cs="黑体" w:eastAsia="黑体" w:hint="default"/>
                <w:sz w:val="18"/>
                <w:szCs w:val="18"/>
              </w:rPr>
              <w:t>用友汽车</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69"/>
              <w:jc w:val="right"/>
              <w:rPr>
                <w:rFonts w:ascii="Arial" w:hAnsi="Arial" w:cs="Arial" w:eastAsia="Arial" w:hint="default"/>
                <w:sz w:val="18"/>
                <w:szCs w:val="18"/>
              </w:rPr>
            </w:pPr>
            <w:r>
              <w:rPr>
                <w:rFonts w:ascii="Arial"/>
                <w:spacing w:val="-1"/>
                <w:sz w:val="18"/>
              </w:rPr>
              <w:t>486,090,000</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3"/>
              <w:jc w:val="right"/>
              <w:rPr>
                <w:rFonts w:ascii="Arial" w:hAnsi="Arial" w:cs="Arial" w:eastAsia="Arial" w:hint="default"/>
                <w:sz w:val="18"/>
                <w:szCs w:val="18"/>
              </w:rPr>
            </w:pPr>
            <w:r>
              <w:rPr>
                <w:rFonts w:ascii="Arial"/>
                <w:spacing w:val="-1"/>
                <w:sz w:val="18"/>
              </w:rPr>
              <w:t>486,090,000</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1"/>
              <w:jc w:val="right"/>
              <w:rPr>
                <w:rFonts w:ascii="Arial" w:hAnsi="Arial" w:cs="Arial" w:eastAsia="Arial" w:hint="default"/>
                <w:sz w:val="18"/>
                <w:szCs w:val="18"/>
              </w:rPr>
            </w:pPr>
            <w:r>
              <w:rPr>
                <w:rFonts w:ascii="Arial"/>
                <w:w w:val="99"/>
                <w:sz w:val="18"/>
              </w:rPr>
              <w:t>-</w:t>
            </w:r>
            <w:r>
              <w:rPr>
                <w:rFonts w:ascii="Arial"/>
                <w:sz w:val="18"/>
              </w:rPr>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9"/>
              <w:jc w:val="right"/>
              <w:rPr>
                <w:rFonts w:ascii="Arial" w:hAnsi="Arial" w:cs="Arial" w:eastAsia="Arial" w:hint="default"/>
                <w:sz w:val="18"/>
                <w:szCs w:val="18"/>
              </w:rPr>
            </w:pPr>
            <w:r>
              <w:rPr>
                <w:rFonts w:ascii="Arial"/>
                <w:spacing w:val="-1"/>
                <w:sz w:val="18"/>
              </w:rPr>
              <w:t>486,090,000</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7"/>
              <w:jc w:val="right"/>
              <w:rPr>
                <w:rFonts w:ascii="Arial" w:hAnsi="Arial" w:cs="Arial" w:eastAsia="Arial" w:hint="default"/>
                <w:sz w:val="18"/>
                <w:szCs w:val="18"/>
              </w:rPr>
            </w:pPr>
            <w:r>
              <w:rPr>
                <w:rFonts w:ascii="Arial"/>
                <w:w w:val="95"/>
                <w:sz w:val="18"/>
              </w:rPr>
              <w:t>99</w:t>
            </w:r>
            <w:r>
              <w:rPr>
                <w:rFonts w:ascii="Arial"/>
                <w:sz w:val="18"/>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19"/>
              <w:jc w:val="right"/>
              <w:rPr>
                <w:rFonts w:ascii="Arial" w:hAnsi="Arial" w:cs="Arial" w:eastAsia="Arial" w:hint="default"/>
                <w:sz w:val="18"/>
                <w:szCs w:val="18"/>
              </w:rPr>
            </w:pPr>
            <w:r>
              <w:rPr>
                <w:rFonts w:ascii="Arial"/>
                <w:w w:val="95"/>
                <w:sz w:val="18"/>
              </w:rPr>
              <w:t>99</w:t>
            </w:r>
            <w:r>
              <w:rPr>
                <w:rFonts w:ascii="Arial"/>
                <w:sz w:val="18"/>
              </w:rPr>
            </w:r>
          </w:p>
        </w:tc>
        <w:tc>
          <w:tcPr>
            <w:tcW w:w="11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43"/>
              <w:jc w:val="right"/>
              <w:rPr>
                <w:rFonts w:ascii="Arial" w:hAnsi="Arial" w:cs="Arial" w:eastAsia="Arial" w:hint="default"/>
                <w:sz w:val="18"/>
                <w:szCs w:val="18"/>
              </w:rPr>
            </w:pPr>
            <w:r>
              <w:rPr>
                <w:rFonts w:ascii="Arial"/>
                <w:w w:val="99"/>
                <w:sz w:val="18"/>
              </w:rPr>
              <w:t>-</w:t>
            </w:r>
            <w:r>
              <w:rPr>
                <w:rFonts w:ascii="Arial"/>
                <w:sz w:val="18"/>
              </w:rPr>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32"/>
              <w:jc w:val="right"/>
              <w:rPr>
                <w:rFonts w:ascii="Arial" w:hAnsi="Arial" w:cs="Arial" w:eastAsia="Arial" w:hint="default"/>
                <w:sz w:val="18"/>
                <w:szCs w:val="18"/>
              </w:rPr>
            </w:pPr>
            <w:r>
              <w:rPr>
                <w:rFonts w:ascii="Arial"/>
                <w:w w:val="99"/>
                <w:sz w:val="18"/>
              </w:rPr>
              <w:t>-</w:t>
            </w:r>
            <w:r>
              <w:rPr>
                <w:rFonts w:ascii="Arial"/>
                <w:sz w:val="18"/>
              </w:rPr>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440" w:hRule="exact"/>
        </w:trPr>
        <w:tc>
          <w:tcPr>
            <w:tcW w:w="1790" w:type="dxa"/>
            <w:tcBorders>
              <w:top w:val="nil" w:sz="6" w:space="0" w:color="auto"/>
              <w:left w:val="nil" w:sz="6" w:space="0" w:color="auto"/>
              <w:bottom w:val="nil" w:sz="6" w:space="0" w:color="auto"/>
              <w:right w:val="nil" w:sz="6" w:space="0" w:color="auto"/>
            </w:tcBorders>
          </w:tcPr>
          <w:p>
            <w:pPr>
              <w:pStyle w:val="TableParagraph"/>
              <w:spacing w:line="202" w:lineRule="exact"/>
              <w:ind w:left="200" w:right="0"/>
              <w:jc w:val="left"/>
              <w:rPr>
                <w:rFonts w:ascii="黑体" w:hAnsi="黑体" w:cs="黑体" w:eastAsia="黑体" w:hint="default"/>
                <w:sz w:val="18"/>
                <w:szCs w:val="18"/>
              </w:rPr>
            </w:pPr>
            <w:r>
              <w:rPr>
                <w:rFonts w:ascii="黑体" w:hAnsi="黑体" w:cs="黑体" w:eastAsia="黑体" w:hint="default"/>
                <w:sz w:val="18"/>
                <w:szCs w:val="18"/>
              </w:rPr>
              <w:t>用友新道</w:t>
            </w:r>
          </w:p>
        </w:tc>
        <w:tc>
          <w:tcPr>
            <w:tcW w:w="2097" w:type="dxa"/>
            <w:tcBorders>
              <w:top w:val="nil" w:sz="6" w:space="0" w:color="auto"/>
              <w:left w:val="nil" w:sz="6" w:space="0" w:color="auto"/>
              <w:bottom w:val="nil" w:sz="6" w:space="0" w:color="auto"/>
              <w:right w:val="nil" w:sz="6" w:space="0" w:color="auto"/>
            </w:tcBorders>
          </w:tcPr>
          <w:p>
            <w:pPr>
              <w:pStyle w:val="TableParagraph"/>
              <w:tabs>
                <w:tab w:pos="271" w:val="left" w:leader="none"/>
              </w:tabs>
              <w:spacing w:line="240" w:lineRule="auto" w:before="8"/>
              <w:ind w:right="7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50,000,000</w:t>
            </w:r>
            <w:r>
              <w:rPr>
                <w:rFonts w:ascii="Arial"/>
                <w:spacing w:val="-1"/>
                <w:sz w:val="18"/>
              </w:rPr>
            </w:r>
          </w:p>
        </w:tc>
        <w:tc>
          <w:tcPr>
            <w:tcW w:w="1432" w:type="dxa"/>
            <w:tcBorders>
              <w:top w:val="nil" w:sz="6" w:space="0" w:color="auto"/>
              <w:left w:val="nil" w:sz="6" w:space="0" w:color="auto"/>
              <w:bottom w:val="nil" w:sz="6" w:space="0" w:color="auto"/>
              <w:right w:val="nil" w:sz="6" w:space="0" w:color="auto"/>
            </w:tcBorders>
          </w:tcPr>
          <w:p>
            <w:pPr>
              <w:pStyle w:val="TableParagraph"/>
              <w:tabs>
                <w:tab w:pos="1082" w:val="left" w:leader="none"/>
              </w:tabs>
              <w:spacing w:line="240" w:lineRule="auto" w:before="8"/>
              <w:ind w:right="20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9"/>
                <w:sz w:val="18"/>
                <w:u w:val="single" w:color="000000"/>
              </w:rPr>
              <w:t> </w:t>
            </w:r>
            <w:r>
              <w:rPr>
                <w:rFonts w:ascii="Arial"/>
                <w:spacing w:val="-1"/>
                <w:sz w:val="18"/>
                <w:u w:val="single" w:color="000000"/>
              </w:rPr>
              <w:t>50,000,000</w:t>
            </w:r>
            <w:r>
              <w:rPr>
                <w:rFonts w:ascii="Arial"/>
                <w:spacing w:val="-1"/>
                <w:sz w:val="18"/>
              </w:rPr>
            </w:r>
          </w:p>
        </w:tc>
        <w:tc>
          <w:tcPr>
            <w:tcW w:w="1510" w:type="dxa"/>
            <w:tcBorders>
              <w:top w:val="nil" w:sz="6" w:space="0" w:color="auto"/>
              <w:left w:val="nil" w:sz="6" w:space="0" w:color="auto"/>
              <w:bottom w:val="nil" w:sz="6" w:space="0" w:color="auto"/>
              <w:right w:val="nil" w:sz="6" w:space="0" w:color="auto"/>
            </w:tcBorders>
          </w:tcPr>
          <w:p>
            <w:pPr>
              <w:pStyle w:val="TableParagraph"/>
              <w:tabs>
                <w:tab w:pos="271" w:val="left" w:leader="none"/>
              </w:tabs>
              <w:spacing w:line="240" w:lineRule="auto" w:before="8"/>
              <w:ind w:right="13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50,000,000</w:t>
            </w:r>
            <w:r>
              <w:rPr>
                <w:rFonts w:ascii="Arial"/>
                <w:spacing w:val="-1"/>
                <w:sz w:val="18"/>
              </w:rPr>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27"/>
              <w:jc w:val="right"/>
              <w:rPr>
                <w:rFonts w:ascii="Arial" w:hAnsi="Arial" w:cs="Arial" w:eastAsia="Arial" w:hint="default"/>
                <w:sz w:val="18"/>
                <w:szCs w:val="18"/>
              </w:rPr>
            </w:pPr>
            <w:r>
              <w:rPr>
                <w:rFonts w:ascii="Arial"/>
                <w:w w:val="95"/>
                <w:sz w:val="18"/>
              </w:rPr>
              <w:t>100</w:t>
            </w:r>
            <w:r>
              <w:rPr>
                <w:rFonts w:ascii="Arial"/>
                <w:sz w:val="18"/>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19"/>
              <w:jc w:val="right"/>
              <w:rPr>
                <w:rFonts w:ascii="Arial" w:hAnsi="Arial" w:cs="Arial" w:eastAsia="Arial" w:hint="default"/>
                <w:sz w:val="18"/>
                <w:szCs w:val="18"/>
              </w:rPr>
            </w:pPr>
            <w:r>
              <w:rPr>
                <w:rFonts w:ascii="Arial"/>
                <w:w w:val="95"/>
                <w:sz w:val="18"/>
              </w:rPr>
              <w:t>100</w:t>
            </w:r>
            <w:r>
              <w:rPr>
                <w:rFonts w:ascii="Arial"/>
                <w:sz w:val="18"/>
              </w:rPr>
            </w:r>
          </w:p>
        </w:tc>
        <w:tc>
          <w:tcPr>
            <w:tcW w:w="1189" w:type="dxa"/>
            <w:tcBorders>
              <w:top w:val="nil" w:sz="6" w:space="0" w:color="auto"/>
              <w:left w:val="nil" w:sz="6" w:space="0" w:color="auto"/>
              <w:bottom w:val="nil" w:sz="6" w:space="0" w:color="auto"/>
              <w:right w:val="nil" w:sz="6" w:space="0" w:color="auto"/>
            </w:tcBorders>
          </w:tcPr>
          <w:p>
            <w:pPr>
              <w:pStyle w:val="TableParagraph"/>
              <w:tabs>
                <w:tab w:pos="783" w:val="left" w:leader="none"/>
              </w:tabs>
              <w:spacing w:line="240" w:lineRule="auto" w:before="8"/>
              <w:ind w:left="-31" w:right="34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282" w:type="dxa"/>
            <w:tcBorders>
              <w:top w:val="nil" w:sz="6" w:space="0" w:color="auto"/>
              <w:left w:val="nil" w:sz="6" w:space="0" w:color="auto"/>
              <w:bottom w:val="nil" w:sz="6" w:space="0" w:color="auto"/>
              <w:right w:val="nil" w:sz="6" w:space="0" w:color="auto"/>
            </w:tcBorders>
          </w:tcPr>
          <w:p>
            <w:pPr>
              <w:pStyle w:val="TableParagraph"/>
              <w:tabs>
                <w:tab w:pos="722" w:val="left" w:leader="none"/>
              </w:tabs>
              <w:spacing w:line="240" w:lineRule="auto" w:before="8"/>
              <w:ind w:right="13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237" w:type="dxa"/>
            <w:tcBorders>
              <w:top w:val="nil" w:sz="6" w:space="0" w:color="auto"/>
              <w:left w:val="nil" w:sz="6" w:space="0" w:color="auto"/>
              <w:bottom w:val="nil" w:sz="6" w:space="0" w:color="auto"/>
              <w:right w:val="nil" w:sz="6" w:space="0" w:color="auto"/>
            </w:tcBorders>
          </w:tcPr>
          <w:p>
            <w:pPr>
              <w:pStyle w:val="TableParagraph"/>
              <w:tabs>
                <w:tab w:pos="902" w:val="left" w:leader="none"/>
              </w:tabs>
              <w:spacing w:line="240" w:lineRule="auto" w:before="8"/>
              <w:ind w:right="19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r>
      <w:tr>
        <w:trPr>
          <w:trHeight w:val="536" w:hRule="exact"/>
        </w:trPr>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15"/>
                <w:szCs w:val="15"/>
              </w:rPr>
            </w:pPr>
          </w:p>
          <w:p>
            <w:pPr>
              <w:pStyle w:val="TableParagraph"/>
              <w:spacing w:line="240" w:lineRule="auto"/>
              <w:ind w:left="200" w:right="0"/>
              <w:jc w:val="left"/>
              <w:rPr>
                <w:rFonts w:ascii="黑体" w:hAnsi="黑体" w:cs="黑体" w:eastAsia="黑体" w:hint="default"/>
                <w:sz w:val="18"/>
                <w:szCs w:val="18"/>
              </w:rPr>
            </w:pPr>
            <w:r>
              <w:rPr>
                <w:rFonts w:ascii="黑体" w:hAnsi="黑体" w:cs="黑体" w:eastAsia="黑体" w:hint="default"/>
                <w:sz w:val="18"/>
                <w:szCs w:val="18"/>
              </w:rPr>
              <w:t>小计</w:t>
            </w: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Arial" w:hAnsi="Arial" w:cs="Arial" w:eastAsia="Arial" w:hint="default"/>
                <w:sz w:val="18"/>
                <w:szCs w:val="18"/>
              </w:rPr>
            </w:pPr>
          </w:p>
          <w:p>
            <w:pPr>
              <w:pStyle w:val="TableParagraph"/>
              <w:spacing w:line="240" w:lineRule="auto"/>
              <w:ind w:right="70"/>
              <w:jc w:val="right"/>
              <w:rPr>
                <w:rFonts w:ascii="Arial" w:hAnsi="Arial" w:cs="Arial" w:eastAsia="Arial" w:hint="default"/>
                <w:sz w:val="18"/>
                <w:szCs w:val="18"/>
              </w:rPr>
            </w:pPr>
            <w:r>
              <w:rPr>
                <w:rFonts w:ascii="Arial"/>
                <w:w w:val="100"/>
                <w:sz w:val="18"/>
              </w:rPr>
            </w:r>
            <w:r>
              <w:rPr>
                <w:rFonts w:ascii="Arial"/>
                <w:spacing w:val="-1"/>
                <w:sz w:val="18"/>
                <w:u w:val="single" w:color="000000"/>
              </w:rPr>
              <w:t>1,869,961,860</w:t>
            </w:r>
            <w:r>
              <w:rPr>
                <w:rFonts w:ascii="Arial"/>
                <w:spacing w:val="-1"/>
                <w:sz w:val="18"/>
              </w:rPr>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Arial" w:hAnsi="Arial" w:cs="Arial" w:eastAsia="Arial" w:hint="default"/>
                <w:sz w:val="18"/>
                <w:szCs w:val="18"/>
              </w:rPr>
            </w:pPr>
          </w:p>
          <w:p>
            <w:pPr>
              <w:pStyle w:val="TableParagraph"/>
              <w:spacing w:line="240" w:lineRule="auto"/>
              <w:ind w:right="203"/>
              <w:jc w:val="right"/>
              <w:rPr>
                <w:rFonts w:ascii="Arial" w:hAnsi="Arial" w:cs="Arial" w:eastAsia="Arial" w:hint="default"/>
                <w:sz w:val="18"/>
                <w:szCs w:val="18"/>
              </w:rPr>
            </w:pPr>
            <w:r>
              <w:rPr>
                <w:rFonts w:ascii="Arial"/>
                <w:w w:val="100"/>
                <w:sz w:val="18"/>
              </w:rPr>
            </w:r>
            <w:r>
              <w:rPr>
                <w:rFonts w:ascii="Arial"/>
                <w:spacing w:val="-1"/>
                <w:sz w:val="18"/>
                <w:u w:val="single" w:color="000000"/>
              </w:rPr>
              <w:t>1,650,308,521</w:t>
            </w:r>
            <w:r>
              <w:rPr>
                <w:rFonts w:ascii="Arial"/>
                <w:spacing w:val="-1"/>
                <w:sz w:val="18"/>
              </w:rPr>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Arial" w:hAnsi="Arial" w:cs="Arial" w:eastAsia="Arial" w:hint="default"/>
                <w:sz w:val="18"/>
                <w:szCs w:val="18"/>
              </w:rPr>
            </w:pPr>
          </w:p>
          <w:p>
            <w:pPr>
              <w:pStyle w:val="TableParagraph"/>
              <w:spacing w:line="240" w:lineRule="auto"/>
              <w:ind w:right="211"/>
              <w:jc w:val="right"/>
              <w:rPr>
                <w:rFonts w:ascii="Arial" w:hAnsi="Arial" w:cs="Arial" w:eastAsia="Arial" w:hint="default"/>
                <w:sz w:val="18"/>
                <w:szCs w:val="18"/>
              </w:rPr>
            </w:pPr>
            <w:r>
              <w:rPr>
                <w:rFonts w:ascii="Arial"/>
                <w:w w:val="99"/>
                <w:sz w:val="18"/>
              </w:rPr>
            </w:r>
            <w:r>
              <w:rPr>
                <w:rFonts w:ascii="Arial"/>
                <w:spacing w:val="-1"/>
                <w:sz w:val="18"/>
                <w:u w:val="single" w:color="000000"/>
              </w:rPr>
              <w:t>219,653,339</w:t>
            </w:r>
            <w:r>
              <w:rPr>
                <w:rFonts w:ascii="Arial"/>
                <w:spacing w:val="-1"/>
                <w:sz w:val="18"/>
              </w:rPr>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Arial" w:hAnsi="Arial" w:cs="Arial" w:eastAsia="Arial" w:hint="default"/>
                <w:sz w:val="18"/>
                <w:szCs w:val="18"/>
              </w:rPr>
            </w:pPr>
          </w:p>
          <w:p>
            <w:pPr>
              <w:pStyle w:val="TableParagraph"/>
              <w:spacing w:line="240" w:lineRule="auto"/>
              <w:ind w:right="139"/>
              <w:jc w:val="right"/>
              <w:rPr>
                <w:rFonts w:ascii="Arial" w:hAnsi="Arial" w:cs="Arial" w:eastAsia="Arial" w:hint="default"/>
                <w:sz w:val="18"/>
                <w:szCs w:val="18"/>
              </w:rPr>
            </w:pPr>
            <w:r>
              <w:rPr>
                <w:rFonts w:ascii="Arial"/>
                <w:w w:val="100"/>
                <w:sz w:val="18"/>
              </w:rPr>
            </w:r>
            <w:r>
              <w:rPr>
                <w:rFonts w:ascii="Arial"/>
                <w:spacing w:val="-1"/>
                <w:sz w:val="18"/>
                <w:u w:val="single" w:color="000000"/>
              </w:rPr>
              <w:t>1,869,961,860</w:t>
            </w:r>
            <w:r>
              <w:rPr>
                <w:rFonts w:ascii="Arial"/>
                <w:spacing w:val="-1"/>
                <w:sz w:val="18"/>
              </w:rPr>
            </w:r>
          </w:p>
        </w:tc>
        <w:tc>
          <w:tcPr>
            <w:tcW w:w="993" w:type="dxa"/>
            <w:tcBorders>
              <w:top w:val="nil" w:sz="6" w:space="0" w:color="auto"/>
              <w:left w:val="nil" w:sz="6" w:space="0" w:color="auto"/>
              <w:bottom w:val="nil" w:sz="6" w:space="0" w:color="auto"/>
              <w:right w:val="nil" w:sz="6" w:space="0" w:color="auto"/>
            </w:tcBorders>
          </w:tcPr>
          <w:p>
            <w:pPr/>
          </w:p>
        </w:tc>
        <w:tc>
          <w:tcPr>
            <w:tcW w:w="23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Arial" w:hAnsi="Arial" w:cs="Arial" w:eastAsia="Arial" w:hint="default"/>
                <w:sz w:val="18"/>
                <w:szCs w:val="18"/>
              </w:rPr>
            </w:pPr>
          </w:p>
          <w:p>
            <w:pPr>
              <w:pStyle w:val="TableParagraph"/>
              <w:spacing w:line="240" w:lineRule="auto"/>
              <w:ind w:left="1072" w:right="0"/>
              <w:jc w:val="left"/>
              <w:rPr>
                <w:rFonts w:ascii="Arial" w:hAnsi="Arial" w:cs="Arial" w:eastAsia="Arial" w:hint="default"/>
                <w:sz w:val="18"/>
                <w:szCs w:val="18"/>
              </w:rPr>
            </w:pPr>
            <w:r>
              <w:rPr>
                <w:rFonts w:ascii="Arial"/>
                <w:sz w:val="18"/>
              </w:rPr>
              <w:t>(</w:t>
            </w:r>
            <w:r>
              <w:rPr>
                <w:rFonts w:ascii="Arial"/>
                <w:sz w:val="18"/>
                <w:u w:val="single" w:color="000000"/>
              </w:rPr>
              <w:t>6,682,955</w:t>
            </w:r>
            <w:r>
              <w:rPr>
                <w:rFonts w:ascii="Arial"/>
                <w:sz w:val="18"/>
              </w:rPr>
              <w:t>)</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Arial" w:hAnsi="Arial" w:cs="Arial" w:eastAsia="Arial" w:hint="default"/>
                <w:sz w:val="18"/>
                <w:szCs w:val="18"/>
              </w:rPr>
            </w:pPr>
          </w:p>
          <w:p>
            <w:pPr>
              <w:pStyle w:val="TableParagraph"/>
              <w:tabs>
                <w:tab w:pos="722" w:val="left" w:leader="none"/>
              </w:tabs>
              <w:spacing w:line="240" w:lineRule="auto"/>
              <w:ind w:right="132"/>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Arial" w:hAnsi="Arial" w:cs="Arial" w:eastAsia="Arial" w:hint="default"/>
                <w:sz w:val="18"/>
                <w:szCs w:val="18"/>
              </w:rPr>
            </w:pPr>
          </w:p>
          <w:p>
            <w:pPr>
              <w:pStyle w:val="TableParagraph"/>
              <w:spacing w:line="240" w:lineRule="auto"/>
              <w:ind w:right="198"/>
              <w:jc w:val="right"/>
              <w:rPr>
                <w:rFonts w:ascii="Arial" w:hAnsi="Arial" w:cs="Arial" w:eastAsia="Arial" w:hint="default"/>
                <w:sz w:val="18"/>
                <w:szCs w:val="18"/>
              </w:rPr>
            </w:pPr>
            <w:r>
              <w:rPr>
                <w:rFonts w:ascii="Arial"/>
                <w:w w:val="99"/>
                <w:sz w:val="18"/>
              </w:rPr>
            </w:r>
            <w:r>
              <w:rPr>
                <w:rFonts w:ascii="Arial"/>
                <w:spacing w:val="-1"/>
                <w:sz w:val="18"/>
                <w:u w:val="single" w:color="000000"/>
              </w:rPr>
              <w:t>38,701,971</w:t>
            </w:r>
            <w:r>
              <w:rPr>
                <w:rFonts w:ascii="Arial"/>
                <w:spacing w:val="-1"/>
                <w:sz w:val="18"/>
              </w:rPr>
            </w:r>
          </w:p>
        </w:tc>
      </w:tr>
      <w:tr>
        <w:trPr>
          <w:trHeight w:val="298" w:hRule="exact"/>
        </w:trPr>
        <w:tc>
          <w:tcPr>
            <w:tcW w:w="1790" w:type="dxa"/>
            <w:tcBorders>
              <w:top w:val="nil" w:sz="6" w:space="0" w:color="auto"/>
              <w:left w:val="nil" w:sz="6" w:space="0" w:color="auto"/>
              <w:bottom w:val="nil" w:sz="6" w:space="0" w:color="auto"/>
              <w:right w:val="nil" w:sz="6" w:space="0" w:color="auto"/>
            </w:tcBorders>
          </w:tcPr>
          <w:p>
            <w:pPr/>
          </w:p>
        </w:tc>
        <w:tc>
          <w:tcPr>
            <w:tcW w:w="209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0"/>
              <w:jc w:val="right"/>
              <w:rPr>
                <w:rFonts w:ascii="Arial" w:hAnsi="Arial" w:cs="Arial" w:eastAsia="Arial" w:hint="default"/>
                <w:sz w:val="18"/>
                <w:szCs w:val="18"/>
              </w:rPr>
            </w:pPr>
            <w:r>
              <w:rPr>
                <w:rFonts w:ascii="Arial"/>
                <w:w w:val="100"/>
                <w:sz w:val="18"/>
              </w:rPr>
            </w:r>
            <w:r>
              <w:rPr>
                <w:rFonts w:ascii="Arial"/>
                <w:spacing w:val="-1"/>
                <w:sz w:val="18"/>
                <w:u w:val="thick" w:color="000000"/>
              </w:rPr>
              <w:t>1,957,802,752</w:t>
            </w:r>
            <w:r>
              <w:rPr>
                <w:rFonts w:ascii="Arial"/>
                <w:spacing w:val="-1"/>
                <w:sz w:val="18"/>
              </w:rPr>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03"/>
              <w:jc w:val="right"/>
              <w:rPr>
                <w:rFonts w:ascii="Arial" w:hAnsi="Arial" w:cs="Arial" w:eastAsia="Arial" w:hint="default"/>
                <w:sz w:val="18"/>
                <w:szCs w:val="18"/>
              </w:rPr>
            </w:pPr>
            <w:r>
              <w:rPr>
                <w:rFonts w:ascii="Arial"/>
                <w:w w:val="100"/>
                <w:sz w:val="18"/>
              </w:rPr>
            </w:r>
            <w:r>
              <w:rPr>
                <w:rFonts w:ascii="Arial"/>
                <w:spacing w:val="-1"/>
                <w:sz w:val="18"/>
                <w:u w:val="thick" w:color="000000"/>
              </w:rPr>
              <w:t>1,771,329,960</w:t>
            </w:r>
            <w:r>
              <w:rPr>
                <w:rFonts w:ascii="Arial"/>
                <w:spacing w:val="-1"/>
                <w:sz w:val="18"/>
              </w:rPr>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11"/>
              <w:jc w:val="right"/>
              <w:rPr>
                <w:rFonts w:ascii="Arial" w:hAnsi="Arial" w:cs="Arial" w:eastAsia="Arial" w:hint="default"/>
                <w:sz w:val="18"/>
                <w:szCs w:val="18"/>
              </w:rPr>
            </w:pPr>
            <w:r>
              <w:rPr>
                <w:rFonts w:ascii="Arial"/>
                <w:w w:val="99"/>
                <w:sz w:val="18"/>
              </w:rPr>
            </w:r>
            <w:r>
              <w:rPr>
                <w:rFonts w:ascii="Arial"/>
                <w:spacing w:val="-1"/>
                <w:sz w:val="18"/>
                <w:u w:val="thick" w:color="000000"/>
              </w:rPr>
              <w:t>214,594,928</w:t>
            </w:r>
            <w:r>
              <w:rPr>
                <w:rFonts w:ascii="Arial"/>
                <w:spacing w:val="-1"/>
                <w:sz w:val="18"/>
              </w:rPr>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39"/>
              <w:jc w:val="right"/>
              <w:rPr>
                <w:rFonts w:ascii="Arial" w:hAnsi="Arial" w:cs="Arial" w:eastAsia="Arial" w:hint="default"/>
                <w:sz w:val="18"/>
                <w:szCs w:val="18"/>
              </w:rPr>
            </w:pPr>
            <w:r>
              <w:rPr>
                <w:rFonts w:ascii="Arial"/>
                <w:w w:val="100"/>
                <w:sz w:val="18"/>
              </w:rPr>
            </w:r>
            <w:r>
              <w:rPr>
                <w:rFonts w:ascii="Arial"/>
                <w:spacing w:val="-1"/>
                <w:sz w:val="18"/>
                <w:u w:val="thick" w:color="000000"/>
              </w:rPr>
              <w:t>1,985,924,888</w:t>
            </w:r>
            <w:r>
              <w:rPr>
                <w:rFonts w:ascii="Arial"/>
                <w:spacing w:val="-1"/>
                <w:sz w:val="18"/>
              </w:rPr>
            </w:r>
          </w:p>
        </w:tc>
        <w:tc>
          <w:tcPr>
            <w:tcW w:w="993" w:type="dxa"/>
            <w:tcBorders>
              <w:top w:val="nil" w:sz="6" w:space="0" w:color="auto"/>
              <w:left w:val="nil" w:sz="6" w:space="0" w:color="auto"/>
              <w:bottom w:val="nil" w:sz="6" w:space="0" w:color="auto"/>
              <w:right w:val="nil" w:sz="6" w:space="0" w:color="auto"/>
            </w:tcBorders>
          </w:tcPr>
          <w:p>
            <w:pPr/>
          </w:p>
        </w:tc>
        <w:tc>
          <w:tcPr>
            <w:tcW w:w="23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4"/>
              <w:ind w:left="1072" w:right="0"/>
              <w:jc w:val="left"/>
              <w:rPr>
                <w:rFonts w:ascii="Arial" w:hAnsi="Arial" w:cs="Arial" w:eastAsia="Arial" w:hint="default"/>
                <w:sz w:val="18"/>
                <w:szCs w:val="18"/>
              </w:rPr>
            </w:pPr>
            <w:r>
              <w:rPr>
                <w:rFonts w:ascii="Arial"/>
                <w:sz w:val="18"/>
              </w:rPr>
              <w:t>(</w:t>
            </w:r>
            <w:r>
              <w:rPr>
                <w:rFonts w:ascii="Arial"/>
                <w:sz w:val="18"/>
                <w:u w:val="thick" w:color="000000"/>
              </w:rPr>
              <w:t>6,682,955</w:t>
            </w:r>
            <w:r>
              <w:rPr>
                <w:rFonts w:ascii="Arial"/>
                <w:sz w:val="18"/>
              </w:rPr>
              <w:t>)</w:t>
            </w:r>
          </w:p>
        </w:tc>
        <w:tc>
          <w:tcPr>
            <w:tcW w:w="128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32"/>
              <w:jc w:val="right"/>
              <w:rPr>
                <w:rFonts w:ascii="Arial" w:hAnsi="Arial" w:cs="Arial" w:eastAsia="Arial" w:hint="default"/>
                <w:sz w:val="18"/>
                <w:szCs w:val="18"/>
              </w:rPr>
            </w:pPr>
            <w:r>
              <w:rPr>
                <w:rFonts w:ascii="Arial"/>
                <w:w w:val="100"/>
                <w:sz w:val="18"/>
              </w:rPr>
            </w:r>
            <w:r>
              <w:rPr>
                <w:rFonts w:ascii="Arial"/>
                <w:spacing w:val="-1"/>
                <w:sz w:val="18"/>
                <w:u w:val="thick" w:color="000000"/>
              </w:rPr>
              <w:t>6,000,000</w:t>
            </w:r>
            <w:r>
              <w:rPr>
                <w:rFonts w:ascii="Arial"/>
                <w:spacing w:val="-1"/>
                <w:sz w:val="18"/>
              </w:rPr>
            </w:r>
          </w:p>
        </w:tc>
        <w:tc>
          <w:tcPr>
            <w:tcW w:w="1237"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98"/>
              <w:jc w:val="right"/>
              <w:rPr>
                <w:rFonts w:ascii="Arial" w:hAnsi="Arial" w:cs="Arial" w:eastAsia="Arial" w:hint="default"/>
                <w:sz w:val="18"/>
                <w:szCs w:val="18"/>
              </w:rPr>
            </w:pPr>
            <w:r>
              <w:rPr>
                <w:rFonts w:ascii="Arial"/>
                <w:w w:val="99"/>
                <w:sz w:val="18"/>
              </w:rPr>
            </w:r>
            <w:r>
              <w:rPr>
                <w:rFonts w:ascii="Arial"/>
                <w:spacing w:val="-1"/>
                <w:sz w:val="18"/>
                <w:u w:val="thick" w:color="000000"/>
              </w:rPr>
              <w:t>42,888,479</w:t>
            </w:r>
            <w:r>
              <w:rPr>
                <w:rFonts w:ascii="Arial"/>
                <w:spacing w:val="-1"/>
                <w:sz w:val="18"/>
              </w:rPr>
            </w:r>
          </w:p>
        </w:tc>
      </w:tr>
    </w:tbl>
    <w:p>
      <w:pPr>
        <w:spacing w:after="0" w:line="240" w:lineRule="auto"/>
        <w:jc w:val="right"/>
        <w:rPr>
          <w:rFonts w:ascii="Arial" w:hAnsi="Arial" w:cs="Arial" w:eastAsia="Arial" w:hint="default"/>
          <w:sz w:val="18"/>
          <w:szCs w:val="18"/>
        </w:rPr>
        <w:sectPr>
          <w:pgSz w:w="16850" w:h="11910" w:orient="landscape"/>
          <w:pgMar w:header="957" w:footer="473" w:top="2580" w:bottom="660" w:left="1060" w:right="960"/>
        </w:sectPr>
      </w:pPr>
    </w:p>
    <w:p>
      <w:pPr>
        <w:spacing w:line="240" w:lineRule="auto" w:before="3"/>
        <w:rPr>
          <w:rFonts w:ascii="Arial" w:hAnsi="Arial" w:cs="Arial" w:eastAsia="Arial" w:hint="default"/>
          <w:sz w:val="18"/>
          <w:szCs w:val="18"/>
        </w:rPr>
      </w:pPr>
    </w:p>
    <w:p>
      <w:pPr>
        <w:pStyle w:val="Heading6"/>
        <w:spacing w:line="240" w:lineRule="auto"/>
        <w:ind w:right="1150"/>
        <w:jc w:val="left"/>
        <w:rPr>
          <w:b w:val="0"/>
          <w:bCs w:val="0"/>
        </w:rPr>
      </w:pPr>
      <w:r>
        <w:rPr/>
        <w:t>十三、公司财务报表主要项目注释（续）</w:t>
      </w:r>
      <w:r>
        <w:rPr>
          <w:b w:val="0"/>
          <w:bCs w:val="0"/>
        </w:rPr>
      </w:r>
    </w:p>
    <w:p>
      <w:pPr>
        <w:pStyle w:val="Heading6"/>
        <w:tabs>
          <w:tab w:pos="723" w:val="left" w:leader="none"/>
        </w:tabs>
        <w:spacing w:line="240" w:lineRule="auto" w:before="180"/>
        <w:ind w:right="1150"/>
        <w:jc w:val="left"/>
        <w:rPr>
          <w:b w:val="0"/>
          <w:bCs w:val="0"/>
        </w:rPr>
      </w:pPr>
      <w:r>
        <w:rPr>
          <w:rFonts w:ascii="Arial" w:hAnsi="Arial" w:cs="Arial" w:eastAsia="Arial" w:hint="default"/>
          <w:spacing w:val="-1"/>
        </w:rPr>
        <w:t>9.</w:t>
        <w:tab/>
      </w:r>
      <w:r>
        <w:rPr>
          <w:spacing w:val="1"/>
        </w:rPr>
        <w:t>固定资产</w:t>
      </w:r>
      <w:r>
        <w:rPr>
          <w:b w:val="0"/>
          <w:bCs w:val="0"/>
          <w:spacing w:val="1"/>
        </w:rPr>
      </w:r>
    </w:p>
    <w:p>
      <w:pPr>
        <w:spacing w:line="240" w:lineRule="auto" w:before="13"/>
        <w:rPr>
          <w:rFonts w:ascii="黑体" w:hAnsi="黑体" w:cs="黑体" w:eastAsia="黑体" w:hint="default"/>
          <w:b/>
          <w:bCs/>
          <w:sz w:val="15"/>
          <w:szCs w:val="15"/>
        </w:rPr>
      </w:pPr>
    </w:p>
    <w:p>
      <w:pPr>
        <w:pStyle w:val="BodyText"/>
        <w:spacing w:line="240" w:lineRule="auto"/>
        <w:ind w:right="1150"/>
        <w:jc w:val="left"/>
        <w:rPr>
          <w:rFonts w:ascii="Arial" w:hAnsi="Arial" w:cs="Arial" w:eastAsia="Arial" w:hint="default"/>
        </w:rPr>
      </w:pPr>
      <w:r>
        <w:rPr>
          <w:rFonts w:ascii="Arial"/>
        </w:rPr>
        <w:t>2012</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6"/>
        <w:rPr>
          <w:rFonts w:ascii="Arial" w:hAnsi="Arial" w:cs="Arial" w:eastAsia="Arial" w:hint="default"/>
          <w:sz w:val="19"/>
          <w:szCs w:val="19"/>
        </w:rPr>
      </w:pPr>
    </w:p>
    <w:p>
      <w:pPr>
        <w:spacing w:before="77"/>
        <w:ind w:left="5952" w:right="1150" w:firstLine="0"/>
        <w:jc w:val="left"/>
        <w:rPr>
          <w:rFonts w:ascii="Arial" w:hAnsi="Arial" w:cs="Arial" w:eastAsia="Arial" w:hint="default"/>
          <w:sz w:val="18"/>
          <w:szCs w:val="18"/>
        </w:rPr>
      </w:pPr>
      <w:r>
        <w:rPr/>
        <w:pict>
          <v:shape style="position:absolute;margin-left:109.760002pt;margin-top:-159.107468pt;width:414.35pt;height:340.3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27"/>
                    <w:gridCol w:w="1182"/>
                    <w:gridCol w:w="242"/>
                    <w:gridCol w:w="1152"/>
                    <w:gridCol w:w="1148"/>
                    <w:gridCol w:w="87"/>
                    <w:gridCol w:w="1192"/>
                    <w:gridCol w:w="185"/>
                    <w:gridCol w:w="1471"/>
                  </w:tblGrid>
                  <w:tr>
                    <w:trPr>
                      <w:trHeight w:val="230" w:hRule="exact"/>
                    </w:trPr>
                    <w:tc>
                      <w:tcPr>
                        <w:tcW w:w="1627"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Style w:val="TableParagraph"/>
                          <w:spacing w:line="199" w:lineRule="exact"/>
                          <w:ind w:right="-3"/>
                          <w:jc w:val="right"/>
                          <w:rPr>
                            <w:rFonts w:ascii="黑体" w:hAnsi="黑体" w:cs="黑体" w:eastAsia="黑体" w:hint="default"/>
                            <w:sz w:val="20"/>
                            <w:szCs w:val="20"/>
                          </w:rPr>
                        </w:pPr>
                        <w:r>
                          <w:rPr>
                            <w:rFonts w:ascii="黑体" w:hAnsi="黑体" w:cs="黑体" w:eastAsia="黑体" w:hint="default"/>
                            <w:w w:val="95"/>
                            <w:sz w:val="20"/>
                            <w:szCs w:val="20"/>
                          </w:rPr>
                          <w:t>年初数</w:t>
                        </w:r>
                        <w:r>
                          <w:rPr>
                            <w:rFonts w:ascii="黑体" w:hAnsi="黑体" w:cs="黑体" w:eastAsia="黑体" w:hint="default"/>
                            <w:sz w:val="20"/>
                            <w:szCs w:val="20"/>
                          </w:rPr>
                        </w:r>
                      </w:p>
                    </w:tc>
                    <w:tc>
                      <w:tcPr>
                        <w:tcW w:w="242" w:type="dxa"/>
                        <w:tcBorders>
                          <w:top w:val="nil" w:sz="6" w:space="0" w:color="auto"/>
                          <w:left w:val="nil" w:sz="6" w:space="0" w:color="auto"/>
                          <w:bottom w:val="nil" w:sz="6" w:space="0" w:color="auto"/>
                          <w:right w:val="nil" w:sz="6" w:space="0" w:color="auto"/>
                        </w:tcBorders>
                      </w:tcPr>
                      <w:p>
                        <w:pPr/>
                      </w:p>
                    </w:tc>
                    <w:tc>
                      <w:tcPr>
                        <w:tcW w:w="2300" w:type="dxa"/>
                        <w:gridSpan w:val="2"/>
                        <w:tcBorders>
                          <w:top w:val="nil" w:sz="6" w:space="0" w:color="auto"/>
                          <w:left w:val="nil" w:sz="6" w:space="0" w:color="auto"/>
                          <w:bottom w:val="single" w:sz="4" w:space="0" w:color="000000"/>
                          <w:right w:val="nil" w:sz="6" w:space="0" w:color="auto"/>
                        </w:tcBorders>
                      </w:tcPr>
                      <w:p>
                        <w:pPr>
                          <w:pStyle w:val="TableParagraph"/>
                          <w:spacing w:line="199" w:lineRule="exact"/>
                          <w:ind w:left="710" w:right="0"/>
                          <w:jc w:val="left"/>
                          <w:rPr>
                            <w:rFonts w:ascii="黑体" w:hAnsi="黑体" w:cs="黑体" w:eastAsia="黑体" w:hint="default"/>
                            <w:sz w:val="20"/>
                            <w:szCs w:val="20"/>
                          </w:rPr>
                        </w:pPr>
                        <w:r>
                          <w:rPr>
                            <w:rFonts w:ascii="黑体" w:hAnsi="黑体" w:cs="黑体" w:eastAsia="黑体" w:hint="default"/>
                            <w:sz w:val="20"/>
                            <w:szCs w:val="20"/>
                          </w:rPr>
                          <w:t>本年增加</w:t>
                        </w:r>
                      </w:p>
                    </w:tc>
                    <w:tc>
                      <w:tcPr>
                        <w:tcW w:w="87"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199" w:lineRule="exact"/>
                          <w:ind w:right="-2"/>
                          <w:jc w:val="right"/>
                          <w:rPr>
                            <w:rFonts w:ascii="黑体" w:hAnsi="黑体" w:cs="黑体" w:eastAsia="黑体" w:hint="default"/>
                            <w:sz w:val="20"/>
                            <w:szCs w:val="20"/>
                          </w:rPr>
                        </w:pPr>
                        <w:r>
                          <w:rPr>
                            <w:rFonts w:ascii="黑体" w:hAnsi="黑体" w:cs="黑体" w:eastAsia="黑体" w:hint="default"/>
                            <w:w w:val="95"/>
                            <w:sz w:val="20"/>
                            <w:szCs w:val="20"/>
                          </w:rPr>
                          <w:t>本年减少</w:t>
                        </w:r>
                        <w:r>
                          <w:rPr>
                            <w:rFonts w:ascii="黑体" w:hAnsi="黑体" w:cs="黑体" w:eastAsia="黑体" w:hint="default"/>
                            <w:sz w:val="20"/>
                            <w:szCs w:val="20"/>
                          </w:rPr>
                        </w:r>
                      </w:p>
                    </w:tc>
                    <w:tc>
                      <w:tcPr>
                        <w:tcW w:w="185"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Style w:val="TableParagraph"/>
                          <w:spacing w:line="199" w:lineRule="exact"/>
                          <w:ind w:right="198"/>
                          <w:jc w:val="right"/>
                          <w:rPr>
                            <w:rFonts w:ascii="黑体" w:hAnsi="黑体" w:cs="黑体" w:eastAsia="黑体" w:hint="default"/>
                            <w:sz w:val="20"/>
                            <w:szCs w:val="20"/>
                          </w:rPr>
                        </w:pPr>
                        <w:r>
                          <w:rPr>
                            <w:rFonts w:ascii="黑体" w:hAnsi="黑体" w:cs="黑体" w:eastAsia="黑体" w:hint="default"/>
                            <w:w w:val="95"/>
                            <w:sz w:val="20"/>
                            <w:szCs w:val="20"/>
                          </w:rPr>
                          <w:t>年末数</w:t>
                        </w:r>
                        <w:r>
                          <w:rPr>
                            <w:rFonts w:ascii="黑体" w:hAnsi="黑体" w:cs="黑体" w:eastAsia="黑体" w:hint="default"/>
                            <w:sz w:val="20"/>
                            <w:szCs w:val="20"/>
                          </w:rPr>
                        </w:r>
                      </w:p>
                    </w:tc>
                  </w:tr>
                  <w:tr>
                    <w:trPr>
                      <w:trHeight w:val="574" w:hRule="exact"/>
                    </w:trPr>
                    <w:tc>
                      <w:tcPr>
                        <w:tcW w:w="1627"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
                    </w:tc>
                    <w:tc>
                      <w:tcPr>
                        <w:tcW w:w="1394" w:type="dxa"/>
                        <w:gridSpan w:val="2"/>
                        <w:tcBorders>
                          <w:top w:val="nil" w:sz="6" w:space="0" w:color="auto"/>
                          <w:left w:val="nil" w:sz="6" w:space="0" w:color="auto"/>
                          <w:bottom w:val="nil" w:sz="6" w:space="0" w:color="auto"/>
                          <w:right w:val="nil" w:sz="6" w:space="0" w:color="auto"/>
                        </w:tcBorders>
                      </w:tcPr>
                      <w:p>
                        <w:pPr>
                          <w:pStyle w:val="TableParagraph"/>
                          <w:spacing w:line="165" w:lineRule="exact"/>
                          <w:ind w:left="448" w:right="0"/>
                          <w:jc w:val="left"/>
                          <w:rPr>
                            <w:rFonts w:ascii="黑体" w:hAnsi="黑体" w:cs="黑体" w:eastAsia="黑体" w:hint="default"/>
                            <w:sz w:val="20"/>
                            <w:szCs w:val="20"/>
                          </w:rPr>
                        </w:pPr>
                        <w:r>
                          <w:rPr>
                            <w:rFonts w:ascii="黑体" w:hAnsi="黑体" w:cs="黑体" w:eastAsia="黑体" w:hint="default"/>
                            <w:sz w:val="20"/>
                            <w:szCs w:val="20"/>
                          </w:rPr>
                          <w:t>在建工程</w:t>
                        </w:r>
                      </w:p>
                      <w:p>
                        <w:pPr>
                          <w:pStyle w:val="TableParagraph"/>
                          <w:spacing w:line="240" w:lineRule="exact"/>
                          <w:ind w:left="847" w:right="0"/>
                          <w:jc w:val="left"/>
                          <w:rPr>
                            <w:rFonts w:ascii="黑体" w:hAnsi="黑体" w:cs="黑体" w:eastAsia="黑体" w:hint="default"/>
                            <w:sz w:val="20"/>
                            <w:szCs w:val="20"/>
                          </w:rPr>
                        </w:pPr>
                        <w:r>
                          <w:rPr>
                            <w:rFonts w:ascii="黑体" w:hAnsi="黑体" w:cs="黑体" w:eastAsia="黑体" w:hint="default"/>
                            <w:sz w:val="20"/>
                            <w:szCs w:val="20"/>
                          </w:rPr>
                          <w:t>转入</w:t>
                        </w:r>
                      </w:p>
                    </w:tc>
                    <w:tc>
                      <w:tcPr>
                        <w:tcW w:w="1148" w:type="dxa"/>
                        <w:tcBorders>
                          <w:top w:val="single" w:sz="4" w:space="0" w:color="000000"/>
                          <w:left w:val="nil" w:sz="6" w:space="0" w:color="auto"/>
                          <w:bottom w:val="nil" w:sz="6" w:space="0" w:color="auto"/>
                          <w:right w:val="nil" w:sz="6" w:space="0" w:color="auto"/>
                        </w:tcBorders>
                      </w:tcPr>
                      <w:p>
                        <w:pPr>
                          <w:pStyle w:val="TableParagraph"/>
                          <w:spacing w:line="240" w:lineRule="auto" w:before="138"/>
                          <w:ind w:right="-6"/>
                          <w:jc w:val="right"/>
                          <w:rPr>
                            <w:rFonts w:ascii="黑体" w:hAnsi="黑体" w:cs="黑体" w:eastAsia="黑体" w:hint="default"/>
                            <w:sz w:val="20"/>
                            <w:szCs w:val="20"/>
                          </w:rPr>
                        </w:pPr>
                        <w:r>
                          <w:rPr>
                            <w:rFonts w:ascii="黑体" w:hAnsi="黑体" w:cs="黑体" w:eastAsia="黑体" w:hint="default"/>
                            <w:w w:val="95"/>
                            <w:sz w:val="20"/>
                            <w:szCs w:val="20"/>
                          </w:rPr>
                          <w:t>其他</w:t>
                        </w:r>
                        <w:r>
                          <w:rPr>
                            <w:rFonts w:ascii="黑体" w:hAnsi="黑体" w:cs="黑体" w:eastAsia="黑体" w:hint="default"/>
                            <w:sz w:val="20"/>
                            <w:szCs w:val="20"/>
                          </w:rPr>
                        </w:r>
                      </w:p>
                    </w:tc>
                    <w:tc>
                      <w:tcPr>
                        <w:tcW w:w="87"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
                    </w:tc>
                    <w:tc>
                      <w:tcPr>
                        <w:tcW w:w="185"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
                    </w:tc>
                  </w:tr>
                  <w:tr>
                    <w:trPr>
                      <w:trHeight w:val="383" w:hRule="exact"/>
                    </w:trPr>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00" w:right="0"/>
                          <w:jc w:val="left"/>
                          <w:rPr>
                            <w:rFonts w:ascii="黑体" w:hAnsi="黑体" w:cs="黑体" w:eastAsia="黑体" w:hint="default"/>
                            <w:sz w:val="20"/>
                            <w:szCs w:val="20"/>
                          </w:rPr>
                        </w:pPr>
                        <w:r>
                          <w:rPr>
                            <w:rFonts w:ascii="黑体" w:hAnsi="黑体" w:cs="黑体" w:eastAsia="黑体" w:hint="default"/>
                            <w:sz w:val="20"/>
                            <w:szCs w:val="20"/>
                          </w:rPr>
                          <w:t>原价</w:t>
                        </w:r>
                      </w:p>
                    </w:tc>
                    <w:tc>
                      <w:tcPr>
                        <w:tcW w:w="1182"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
                    </w:tc>
                    <w:tc>
                      <w:tcPr>
                        <w:tcW w:w="87"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
                    </w:tc>
                    <w:tc>
                      <w:tcPr>
                        <w:tcW w:w="185"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
                    </w:tc>
                  </w:tr>
                  <w:tr>
                    <w:trPr>
                      <w:trHeight w:val="259" w:hRule="exact"/>
                    </w:trPr>
                    <w:tc>
                      <w:tcPr>
                        <w:tcW w:w="1627" w:type="dxa"/>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黑体" w:hAnsi="黑体" w:cs="黑体" w:eastAsia="黑体" w:hint="default"/>
                            <w:sz w:val="20"/>
                            <w:szCs w:val="20"/>
                          </w:rPr>
                        </w:pPr>
                        <w:r>
                          <w:rPr>
                            <w:rFonts w:ascii="黑体" w:hAnsi="黑体" w:cs="黑体" w:eastAsia="黑体" w:hint="default"/>
                            <w:sz w:val="20"/>
                            <w:szCs w:val="20"/>
                          </w:rPr>
                          <w:t>房屋及建筑物</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7"/>
                          <w:jc w:val="right"/>
                          <w:rPr>
                            <w:rFonts w:ascii="Arial" w:hAnsi="Arial" w:cs="Arial" w:eastAsia="Arial" w:hint="default"/>
                            <w:sz w:val="18"/>
                            <w:szCs w:val="18"/>
                          </w:rPr>
                        </w:pPr>
                        <w:r>
                          <w:rPr>
                            <w:rFonts w:ascii="Arial"/>
                            <w:spacing w:val="-1"/>
                            <w:sz w:val="18"/>
                          </w:rPr>
                          <w:t>638,953,663</w:t>
                        </w:r>
                      </w:p>
                    </w:tc>
                    <w:tc>
                      <w:tcPr>
                        <w:tcW w:w="13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2"/>
                          <w:ind w:left="345" w:right="0"/>
                          <w:jc w:val="left"/>
                          <w:rPr>
                            <w:rFonts w:ascii="Arial" w:hAnsi="Arial" w:cs="Arial" w:eastAsia="Arial" w:hint="default"/>
                            <w:sz w:val="18"/>
                            <w:szCs w:val="18"/>
                          </w:rPr>
                        </w:pPr>
                        <w:r>
                          <w:rPr>
                            <w:rFonts w:ascii="Arial"/>
                            <w:sz w:val="18"/>
                          </w:rPr>
                          <w:t>72,635,293</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6"/>
                          <w:jc w:val="right"/>
                          <w:rPr>
                            <w:rFonts w:ascii="Arial" w:hAnsi="Arial" w:cs="Arial" w:eastAsia="Arial" w:hint="default"/>
                            <w:sz w:val="18"/>
                            <w:szCs w:val="18"/>
                          </w:rPr>
                        </w:pPr>
                        <w:r>
                          <w:rPr>
                            <w:rFonts w:ascii="Arial"/>
                            <w:w w:val="99"/>
                            <w:sz w:val="18"/>
                          </w:rPr>
                          <w:t>-</w:t>
                        </w:r>
                        <w:r>
                          <w:rPr>
                            <w:rFonts w:ascii="Arial"/>
                            <w:sz w:val="18"/>
                          </w:rPr>
                        </w:r>
                      </w:p>
                    </w:tc>
                    <w:tc>
                      <w:tcPr>
                        <w:tcW w:w="87"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tabs>
                            <w:tab w:pos="299" w:val="left" w:leader="none"/>
                          </w:tabs>
                          <w:spacing w:line="240" w:lineRule="auto" w:before="32"/>
                          <w:ind w:right="8"/>
                          <w:jc w:val="right"/>
                          <w:rPr>
                            <w:rFonts w:ascii="Arial" w:hAnsi="Arial" w:cs="Arial" w:eastAsia="Arial" w:hint="default"/>
                            <w:sz w:val="18"/>
                            <w:szCs w:val="18"/>
                          </w:rPr>
                        </w:pPr>
                        <w:r>
                          <w:rPr>
                            <w:rFonts w:ascii="Arial"/>
                            <w:sz w:val="18"/>
                          </w:rPr>
                          <w:t>(</w:t>
                          <w:tab/>
                        </w:r>
                        <w:r>
                          <w:rPr>
                            <w:rFonts w:ascii="Arial"/>
                            <w:spacing w:val="-1"/>
                            <w:sz w:val="18"/>
                          </w:rPr>
                          <w:t>628,938</w:t>
                        </w:r>
                      </w:p>
                    </w:tc>
                    <w:tc>
                      <w:tcPr>
                        <w:tcW w:w="185"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0" w:right="0"/>
                          <w:jc w:val="left"/>
                          <w:rPr>
                            <w:rFonts w:ascii="Arial" w:hAnsi="Arial" w:cs="Arial" w:eastAsia="Arial" w:hint="default"/>
                            <w:sz w:val="18"/>
                            <w:szCs w:val="18"/>
                          </w:rPr>
                        </w:pPr>
                        <w:r>
                          <w:rPr>
                            <w:rFonts w:ascii="Arial"/>
                            <w:w w:val="99"/>
                            <w:sz w:val="18"/>
                          </w:rPr>
                          <w:t>)</w:t>
                        </w:r>
                        <w:r>
                          <w:rPr>
                            <w:rFonts w:ascii="Arial"/>
                            <w:sz w:val="18"/>
                          </w:rPr>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09"/>
                          <w:jc w:val="right"/>
                          <w:rPr>
                            <w:rFonts w:ascii="Arial" w:hAnsi="Arial" w:cs="Arial" w:eastAsia="Arial" w:hint="default"/>
                            <w:sz w:val="18"/>
                            <w:szCs w:val="18"/>
                          </w:rPr>
                        </w:pPr>
                        <w:r>
                          <w:rPr>
                            <w:rFonts w:ascii="Arial"/>
                            <w:spacing w:val="-1"/>
                            <w:sz w:val="18"/>
                          </w:rPr>
                          <w:t>710,960,018</w:t>
                        </w:r>
                      </w:p>
                    </w:tc>
                  </w:tr>
                  <w:tr>
                    <w:trPr>
                      <w:trHeight w:val="256" w:hRule="exact"/>
                    </w:trPr>
                    <w:tc>
                      <w:tcPr>
                        <w:tcW w:w="1627" w:type="dxa"/>
                        <w:tcBorders>
                          <w:top w:val="nil" w:sz="6" w:space="0" w:color="auto"/>
                          <w:left w:val="nil" w:sz="6" w:space="0" w:color="auto"/>
                          <w:bottom w:val="nil" w:sz="6" w:space="0" w:color="auto"/>
                          <w:right w:val="nil" w:sz="6" w:space="0" w:color="auto"/>
                        </w:tcBorders>
                      </w:tcPr>
                      <w:p>
                        <w:pPr>
                          <w:pStyle w:val="TableParagraph"/>
                          <w:spacing w:line="223" w:lineRule="exact"/>
                          <w:ind w:left="200" w:right="0"/>
                          <w:jc w:val="left"/>
                          <w:rPr>
                            <w:rFonts w:ascii="黑体" w:hAnsi="黑体" w:cs="黑体" w:eastAsia="黑体" w:hint="default"/>
                            <w:sz w:val="20"/>
                            <w:szCs w:val="20"/>
                          </w:rPr>
                        </w:pPr>
                        <w:r>
                          <w:rPr>
                            <w:rFonts w:ascii="黑体" w:hAnsi="黑体" w:cs="黑体" w:eastAsia="黑体" w:hint="default"/>
                            <w:sz w:val="20"/>
                            <w:szCs w:val="20"/>
                          </w:rPr>
                          <w:t>机器设备</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
                          <w:jc w:val="right"/>
                          <w:rPr>
                            <w:rFonts w:ascii="Arial" w:hAnsi="Arial" w:cs="Arial" w:eastAsia="Arial" w:hint="default"/>
                            <w:sz w:val="18"/>
                            <w:szCs w:val="18"/>
                          </w:rPr>
                        </w:pPr>
                        <w:r>
                          <w:rPr>
                            <w:rFonts w:ascii="Arial"/>
                            <w:spacing w:val="-1"/>
                            <w:sz w:val="18"/>
                          </w:rPr>
                          <w:t>87,536,079</w:t>
                        </w:r>
                      </w:p>
                    </w:tc>
                    <w:tc>
                      <w:tcPr>
                        <w:tcW w:w="13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345" w:right="0"/>
                          <w:jc w:val="left"/>
                          <w:rPr>
                            <w:rFonts w:ascii="Arial" w:hAnsi="Arial" w:cs="Arial" w:eastAsia="Arial" w:hint="default"/>
                            <w:sz w:val="18"/>
                            <w:szCs w:val="18"/>
                          </w:rPr>
                        </w:pPr>
                        <w:r>
                          <w:rPr>
                            <w:rFonts w:ascii="Arial"/>
                            <w:sz w:val="18"/>
                          </w:rPr>
                          <w:t>39,946,213</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
                          <w:jc w:val="right"/>
                          <w:rPr>
                            <w:rFonts w:ascii="Arial" w:hAnsi="Arial" w:cs="Arial" w:eastAsia="Arial" w:hint="default"/>
                            <w:sz w:val="18"/>
                            <w:szCs w:val="18"/>
                          </w:rPr>
                        </w:pPr>
                        <w:r>
                          <w:rPr>
                            <w:rFonts w:ascii="Arial"/>
                            <w:spacing w:val="-1"/>
                            <w:sz w:val="18"/>
                          </w:rPr>
                          <w:t>672,792</w:t>
                        </w:r>
                      </w:p>
                    </w:tc>
                    <w:tc>
                      <w:tcPr>
                        <w:tcW w:w="87"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
                          <w:jc w:val="right"/>
                          <w:rPr>
                            <w:rFonts w:ascii="Arial" w:hAnsi="Arial" w:cs="Arial" w:eastAsia="Arial" w:hint="default"/>
                            <w:sz w:val="18"/>
                            <w:szCs w:val="18"/>
                          </w:rPr>
                        </w:pPr>
                        <w:r>
                          <w:rPr>
                            <w:rFonts w:ascii="Arial"/>
                            <w:w w:val="99"/>
                            <w:sz w:val="18"/>
                          </w:rPr>
                          <w:t>-</w:t>
                        </w:r>
                        <w:r>
                          <w:rPr>
                            <w:rFonts w:ascii="Arial"/>
                            <w:sz w:val="18"/>
                          </w:rPr>
                        </w:r>
                      </w:p>
                    </w:tc>
                    <w:tc>
                      <w:tcPr>
                        <w:tcW w:w="185"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9"/>
                          <w:jc w:val="right"/>
                          <w:rPr>
                            <w:rFonts w:ascii="Arial" w:hAnsi="Arial" w:cs="Arial" w:eastAsia="Arial" w:hint="default"/>
                            <w:sz w:val="18"/>
                            <w:szCs w:val="18"/>
                          </w:rPr>
                        </w:pPr>
                        <w:r>
                          <w:rPr>
                            <w:rFonts w:ascii="Arial"/>
                            <w:spacing w:val="-1"/>
                            <w:sz w:val="18"/>
                          </w:rPr>
                          <w:t>128,155,084</w:t>
                        </w:r>
                      </w:p>
                    </w:tc>
                  </w:tr>
                  <w:tr>
                    <w:trPr>
                      <w:trHeight w:val="256" w:hRule="exact"/>
                    </w:trPr>
                    <w:tc>
                      <w:tcPr>
                        <w:tcW w:w="1627" w:type="dxa"/>
                        <w:tcBorders>
                          <w:top w:val="nil" w:sz="6" w:space="0" w:color="auto"/>
                          <w:left w:val="nil" w:sz="6" w:space="0" w:color="auto"/>
                          <w:bottom w:val="nil" w:sz="6" w:space="0" w:color="auto"/>
                          <w:right w:val="nil" w:sz="6" w:space="0" w:color="auto"/>
                        </w:tcBorders>
                      </w:tcPr>
                      <w:p>
                        <w:pPr>
                          <w:pStyle w:val="TableParagraph"/>
                          <w:spacing w:line="224" w:lineRule="exact"/>
                          <w:ind w:left="200" w:right="0"/>
                          <w:jc w:val="left"/>
                          <w:rPr>
                            <w:rFonts w:ascii="黑体" w:hAnsi="黑体" w:cs="黑体" w:eastAsia="黑体" w:hint="default"/>
                            <w:sz w:val="20"/>
                            <w:szCs w:val="20"/>
                          </w:rPr>
                        </w:pPr>
                        <w:r>
                          <w:rPr>
                            <w:rFonts w:ascii="黑体" w:hAnsi="黑体" w:cs="黑体" w:eastAsia="黑体" w:hint="default"/>
                            <w:sz w:val="20"/>
                            <w:szCs w:val="20"/>
                          </w:rPr>
                          <w:t>运输工具</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
                          <w:jc w:val="right"/>
                          <w:rPr>
                            <w:rFonts w:ascii="Arial" w:hAnsi="Arial" w:cs="Arial" w:eastAsia="Arial" w:hint="default"/>
                            <w:sz w:val="18"/>
                            <w:szCs w:val="18"/>
                          </w:rPr>
                        </w:pPr>
                        <w:r>
                          <w:rPr>
                            <w:rFonts w:ascii="Arial"/>
                            <w:spacing w:val="-1"/>
                            <w:sz w:val="18"/>
                          </w:rPr>
                          <w:t>34,850,790</w:t>
                        </w:r>
                      </w:p>
                    </w:tc>
                    <w:tc>
                      <w:tcPr>
                        <w:tcW w:w="242"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6"/>
                          <w:jc w:val="right"/>
                          <w:rPr>
                            <w:rFonts w:ascii="Arial" w:hAnsi="Arial" w:cs="Arial" w:eastAsia="Arial" w:hint="default"/>
                            <w:sz w:val="18"/>
                            <w:szCs w:val="18"/>
                          </w:rPr>
                        </w:pPr>
                        <w:r>
                          <w:rPr>
                            <w:rFonts w:ascii="Arial"/>
                            <w:w w:val="99"/>
                            <w:sz w:val="18"/>
                          </w:rPr>
                          <w:t>-</w:t>
                        </w:r>
                        <w:r>
                          <w:rPr>
                            <w:rFonts w:ascii="Arial"/>
                            <w:sz w:val="18"/>
                          </w:rPr>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
                          <w:jc w:val="right"/>
                          <w:rPr>
                            <w:rFonts w:ascii="Arial" w:hAnsi="Arial" w:cs="Arial" w:eastAsia="Arial" w:hint="default"/>
                            <w:sz w:val="18"/>
                            <w:szCs w:val="18"/>
                          </w:rPr>
                        </w:pPr>
                        <w:r>
                          <w:rPr>
                            <w:rFonts w:ascii="Arial"/>
                            <w:spacing w:val="-1"/>
                            <w:sz w:val="18"/>
                          </w:rPr>
                          <w:t>3,040,540</w:t>
                        </w:r>
                      </w:p>
                    </w:tc>
                    <w:tc>
                      <w:tcPr>
                        <w:tcW w:w="87"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
                          <w:jc w:val="right"/>
                          <w:rPr>
                            <w:rFonts w:ascii="Arial" w:hAnsi="Arial" w:cs="Arial" w:eastAsia="Arial" w:hint="default"/>
                            <w:sz w:val="18"/>
                            <w:szCs w:val="18"/>
                          </w:rPr>
                        </w:pPr>
                        <w:r>
                          <w:rPr>
                            <w:rFonts w:ascii="Arial"/>
                            <w:sz w:val="18"/>
                          </w:rPr>
                          <w:t>(</w:t>
                        </w:r>
                        <w:r>
                          <w:rPr>
                            <w:rFonts w:ascii="Arial"/>
                            <w:spacing w:val="36"/>
                            <w:sz w:val="18"/>
                          </w:rPr>
                          <w:t> </w:t>
                        </w:r>
                        <w:r>
                          <w:rPr>
                            <w:rFonts w:ascii="Arial"/>
                            <w:sz w:val="18"/>
                          </w:rPr>
                          <w:t>1,846,993</w:t>
                        </w:r>
                      </w:p>
                    </w:tc>
                    <w:tc>
                      <w:tcPr>
                        <w:tcW w:w="18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0" w:right="0"/>
                          <w:jc w:val="left"/>
                          <w:rPr>
                            <w:rFonts w:ascii="Arial" w:hAnsi="Arial" w:cs="Arial" w:eastAsia="Arial" w:hint="default"/>
                            <w:sz w:val="18"/>
                            <w:szCs w:val="18"/>
                          </w:rPr>
                        </w:pPr>
                        <w:r>
                          <w:rPr>
                            <w:rFonts w:ascii="Arial"/>
                            <w:w w:val="99"/>
                            <w:sz w:val="18"/>
                          </w:rPr>
                          <w:t>)</w:t>
                        </w:r>
                        <w:r>
                          <w:rPr>
                            <w:rFonts w:ascii="Arial"/>
                            <w:sz w:val="18"/>
                          </w:rPr>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10"/>
                          <w:jc w:val="right"/>
                          <w:rPr>
                            <w:rFonts w:ascii="Arial" w:hAnsi="Arial" w:cs="Arial" w:eastAsia="Arial" w:hint="default"/>
                            <w:sz w:val="18"/>
                            <w:szCs w:val="18"/>
                          </w:rPr>
                        </w:pPr>
                        <w:r>
                          <w:rPr>
                            <w:rFonts w:ascii="Arial"/>
                            <w:spacing w:val="-1"/>
                            <w:sz w:val="18"/>
                          </w:rPr>
                          <w:t>36,044,337</w:t>
                        </w:r>
                      </w:p>
                    </w:tc>
                  </w:tr>
                  <w:tr>
                    <w:trPr>
                      <w:trHeight w:val="395" w:hRule="exact"/>
                    </w:trPr>
                    <w:tc>
                      <w:tcPr>
                        <w:tcW w:w="1627" w:type="dxa"/>
                        <w:tcBorders>
                          <w:top w:val="nil" w:sz="6" w:space="0" w:color="auto"/>
                          <w:left w:val="nil" w:sz="6" w:space="0" w:color="auto"/>
                          <w:bottom w:val="nil" w:sz="6" w:space="0" w:color="auto"/>
                          <w:right w:val="nil" w:sz="6" w:space="0" w:color="auto"/>
                        </w:tcBorders>
                      </w:tcPr>
                      <w:p>
                        <w:pPr>
                          <w:pStyle w:val="TableParagraph"/>
                          <w:spacing w:line="223" w:lineRule="exact"/>
                          <w:ind w:left="200" w:right="0"/>
                          <w:jc w:val="left"/>
                          <w:rPr>
                            <w:rFonts w:ascii="黑体" w:hAnsi="黑体" w:cs="黑体" w:eastAsia="黑体" w:hint="default"/>
                            <w:sz w:val="20"/>
                            <w:szCs w:val="20"/>
                          </w:rPr>
                        </w:pPr>
                        <w:r>
                          <w:rPr>
                            <w:rFonts w:ascii="黑体" w:hAnsi="黑体" w:cs="黑体" w:eastAsia="黑体" w:hint="default"/>
                            <w:sz w:val="20"/>
                            <w:szCs w:val="20"/>
                          </w:rPr>
                          <w:t>办公及电子设备</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
                          <w:jc w:val="right"/>
                          <w:rPr>
                            <w:rFonts w:ascii="Arial" w:hAnsi="Arial" w:cs="Arial" w:eastAsia="Arial" w:hint="default"/>
                            <w:sz w:val="18"/>
                            <w:szCs w:val="18"/>
                          </w:rPr>
                        </w:pPr>
                        <w:r>
                          <w:rPr>
                            <w:rFonts w:ascii="Arial"/>
                            <w:w w:val="99"/>
                            <w:sz w:val="18"/>
                          </w:rPr>
                        </w:r>
                        <w:r>
                          <w:rPr>
                            <w:rFonts w:ascii="Arial"/>
                            <w:spacing w:val="-1"/>
                            <w:sz w:val="18"/>
                            <w:u w:val="single" w:color="000000"/>
                          </w:rPr>
                          <w:t>181,421,190</w:t>
                        </w:r>
                        <w:r>
                          <w:rPr>
                            <w:rFonts w:ascii="Arial"/>
                            <w:spacing w:val="-1"/>
                            <w:sz w:val="18"/>
                          </w:rPr>
                        </w:r>
                      </w:p>
                    </w:tc>
                    <w:tc>
                      <w:tcPr>
                        <w:tcW w:w="242"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Style w:val="TableParagraph"/>
                          <w:tabs>
                            <w:tab w:pos="355" w:val="left" w:leader="none"/>
                          </w:tabs>
                          <w:spacing w:line="240" w:lineRule="auto" w:before="28"/>
                          <w:ind w:left="-3" w:right="14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173,267</w:t>
                        </w:r>
                        <w:r>
                          <w:rPr>
                            <w:rFonts w:ascii="Arial"/>
                            <w:spacing w:val="-1"/>
                            <w:sz w:val="18"/>
                          </w:rPr>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
                          <w:jc w:val="right"/>
                          <w:rPr>
                            <w:rFonts w:ascii="Arial" w:hAnsi="Arial" w:cs="Arial" w:eastAsia="Arial" w:hint="default"/>
                            <w:sz w:val="18"/>
                            <w:szCs w:val="18"/>
                          </w:rPr>
                        </w:pPr>
                        <w:r>
                          <w:rPr>
                            <w:rFonts w:ascii="Arial"/>
                            <w:w w:val="99"/>
                            <w:sz w:val="18"/>
                          </w:rPr>
                        </w:r>
                        <w:r>
                          <w:rPr>
                            <w:rFonts w:ascii="Arial"/>
                            <w:spacing w:val="-1"/>
                            <w:sz w:val="18"/>
                            <w:u w:val="single" w:color="000000"/>
                          </w:rPr>
                          <w:t>16,981,284</w:t>
                        </w:r>
                        <w:r>
                          <w:rPr>
                            <w:rFonts w:ascii="Arial"/>
                            <w:spacing w:val="-1"/>
                            <w:sz w:val="18"/>
                          </w:rPr>
                        </w:r>
                      </w:p>
                    </w:tc>
                    <w:tc>
                      <w:tcPr>
                        <w:tcW w:w="87"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
                          <w:jc w:val="right"/>
                          <w:rPr>
                            <w:rFonts w:ascii="Arial" w:hAnsi="Arial" w:cs="Arial" w:eastAsia="Arial" w:hint="default"/>
                            <w:sz w:val="18"/>
                            <w:szCs w:val="18"/>
                          </w:rPr>
                        </w:pPr>
                        <w:r>
                          <w:rPr>
                            <w:rFonts w:ascii="Arial"/>
                            <w:sz w:val="18"/>
                          </w:rPr>
                          <w:t>(</w:t>
                        </w:r>
                        <w:r>
                          <w:rPr>
                            <w:rFonts w:ascii="Arial"/>
                            <w:spacing w:val="35"/>
                            <w:sz w:val="18"/>
                          </w:rPr>
                          <w:t> </w:t>
                        </w:r>
                        <w:r>
                          <w:rPr>
                            <w:rFonts w:ascii="Arial"/>
                            <w:spacing w:val="35"/>
                            <w:sz w:val="18"/>
                            <w:u w:val="single" w:color="000000"/>
                          </w:rPr>
                          <w:t> </w:t>
                        </w:r>
                        <w:r>
                          <w:rPr>
                            <w:rFonts w:ascii="Arial"/>
                            <w:sz w:val="18"/>
                            <w:u w:val="single" w:color="000000"/>
                          </w:rPr>
                          <w:t>8,192,376</w:t>
                        </w:r>
                        <w:r>
                          <w:rPr>
                            <w:rFonts w:ascii="Arial"/>
                            <w:sz w:val="18"/>
                          </w:rPr>
                        </w:r>
                      </w:p>
                    </w:tc>
                    <w:tc>
                      <w:tcPr>
                        <w:tcW w:w="18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0" w:right="0"/>
                          <w:jc w:val="left"/>
                          <w:rPr>
                            <w:rFonts w:ascii="Arial" w:hAnsi="Arial" w:cs="Arial" w:eastAsia="Arial" w:hint="default"/>
                            <w:sz w:val="18"/>
                            <w:szCs w:val="18"/>
                          </w:rPr>
                        </w:pPr>
                        <w:r>
                          <w:rPr>
                            <w:rFonts w:ascii="Arial"/>
                            <w:w w:val="99"/>
                            <w:sz w:val="18"/>
                          </w:rPr>
                          <w:t>)</w:t>
                        </w:r>
                        <w:r>
                          <w:rPr>
                            <w:rFonts w:ascii="Arial"/>
                            <w:sz w:val="18"/>
                          </w:rPr>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8"/>
                            <w:sz w:val="18"/>
                            <w:u w:val="single" w:color="000000"/>
                          </w:rPr>
                          <w:t> </w:t>
                        </w:r>
                        <w:r>
                          <w:rPr>
                            <w:rFonts w:ascii="Arial"/>
                            <w:spacing w:val="-1"/>
                            <w:sz w:val="18"/>
                            <w:u w:val="single" w:color="000000"/>
                          </w:rPr>
                          <w:t>190,383,365</w:t>
                        </w:r>
                        <w:r>
                          <w:rPr>
                            <w:rFonts w:ascii="Arial"/>
                            <w:spacing w:val="-1"/>
                            <w:sz w:val="18"/>
                          </w:rPr>
                        </w:r>
                      </w:p>
                    </w:tc>
                  </w:tr>
                  <w:tr>
                    <w:trPr>
                      <w:trHeight w:val="496" w:hRule="exact"/>
                    </w:trPr>
                    <w:tc>
                      <w:tcPr>
                        <w:tcW w:w="1627"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7"/>
                          <w:jc w:val="right"/>
                          <w:rPr>
                            <w:rFonts w:ascii="Arial" w:hAnsi="Arial" w:cs="Arial" w:eastAsia="Arial" w:hint="default"/>
                            <w:sz w:val="18"/>
                            <w:szCs w:val="18"/>
                          </w:rPr>
                        </w:pPr>
                        <w:r>
                          <w:rPr>
                            <w:rFonts w:ascii="Arial"/>
                            <w:w w:val="99"/>
                            <w:sz w:val="18"/>
                          </w:rPr>
                        </w:r>
                        <w:r>
                          <w:rPr>
                            <w:rFonts w:ascii="Arial"/>
                            <w:spacing w:val="-1"/>
                            <w:sz w:val="18"/>
                            <w:u w:val="thick" w:color="000000"/>
                          </w:rPr>
                          <w:t>942,761,722</w:t>
                        </w:r>
                        <w:r>
                          <w:rPr>
                            <w:rFonts w:ascii="Arial"/>
                            <w:spacing w:val="-1"/>
                            <w:sz w:val="18"/>
                          </w:rPr>
                        </w:r>
                      </w:p>
                    </w:tc>
                    <w:tc>
                      <w:tcPr>
                        <w:tcW w:w="13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1"/>
                          <w:ind w:left="244" w:right="0"/>
                          <w:jc w:val="left"/>
                          <w:rPr>
                            <w:rFonts w:ascii="Arial" w:hAnsi="Arial" w:cs="Arial" w:eastAsia="Arial" w:hint="default"/>
                            <w:sz w:val="18"/>
                            <w:szCs w:val="18"/>
                          </w:rPr>
                        </w:pPr>
                        <w:r>
                          <w:rPr>
                            <w:rFonts w:ascii="Arial"/>
                            <w:w w:val="99"/>
                            <w:sz w:val="18"/>
                          </w:rPr>
                        </w:r>
                        <w:r>
                          <w:rPr>
                            <w:rFonts w:ascii="Arial"/>
                            <w:sz w:val="18"/>
                            <w:u w:val="thick" w:color="000000"/>
                          </w:rPr>
                          <w:t>112,754,773</w:t>
                        </w:r>
                        <w:r>
                          <w:rPr>
                            <w:rFonts w:ascii="Arial"/>
                            <w:sz w:val="18"/>
                          </w:rPr>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4"/>
                          <w:jc w:val="right"/>
                          <w:rPr>
                            <w:rFonts w:ascii="Arial" w:hAnsi="Arial" w:cs="Arial" w:eastAsia="Arial" w:hint="default"/>
                            <w:sz w:val="18"/>
                            <w:szCs w:val="18"/>
                          </w:rPr>
                        </w:pPr>
                        <w:r>
                          <w:rPr>
                            <w:rFonts w:ascii="Arial"/>
                            <w:w w:val="99"/>
                            <w:sz w:val="18"/>
                          </w:rPr>
                        </w:r>
                        <w:r>
                          <w:rPr>
                            <w:rFonts w:ascii="Arial"/>
                            <w:spacing w:val="-1"/>
                            <w:sz w:val="18"/>
                            <w:u w:val="thick" w:color="000000"/>
                          </w:rPr>
                          <w:t>20,694,616</w:t>
                        </w:r>
                        <w:r>
                          <w:rPr>
                            <w:rFonts w:ascii="Arial"/>
                            <w:spacing w:val="-1"/>
                            <w:sz w:val="18"/>
                          </w:rPr>
                        </w:r>
                      </w:p>
                    </w:tc>
                    <w:tc>
                      <w:tcPr>
                        <w:tcW w:w="87"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9"/>
                          <w:jc w:val="right"/>
                          <w:rPr>
                            <w:rFonts w:ascii="Arial" w:hAnsi="Arial" w:cs="Arial" w:eastAsia="Arial" w:hint="default"/>
                            <w:sz w:val="18"/>
                            <w:szCs w:val="18"/>
                          </w:rPr>
                        </w:pPr>
                        <w:r>
                          <w:rPr>
                            <w:rFonts w:ascii="Arial"/>
                            <w:spacing w:val="-1"/>
                            <w:sz w:val="18"/>
                          </w:rPr>
                          <w:t>(</w:t>
                        </w:r>
                        <w:r>
                          <w:rPr>
                            <w:rFonts w:ascii="Arial"/>
                            <w:spacing w:val="-1"/>
                            <w:sz w:val="18"/>
                            <w:u w:val="thick" w:color="000000"/>
                          </w:rPr>
                          <w:t>10,668,307</w:t>
                        </w:r>
                        <w:r>
                          <w:rPr>
                            <w:rFonts w:ascii="Arial"/>
                            <w:spacing w:val="-1"/>
                            <w:sz w:val="18"/>
                          </w:rPr>
                        </w:r>
                      </w:p>
                    </w:tc>
                    <w:tc>
                      <w:tcPr>
                        <w:tcW w:w="185"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 w:right="0"/>
                          <w:jc w:val="left"/>
                          <w:rPr>
                            <w:rFonts w:ascii="Arial" w:hAnsi="Arial" w:cs="Arial" w:eastAsia="Arial" w:hint="default"/>
                            <w:sz w:val="18"/>
                            <w:szCs w:val="18"/>
                          </w:rPr>
                        </w:pPr>
                        <w:r>
                          <w:rPr>
                            <w:rFonts w:ascii="Arial"/>
                            <w:w w:val="99"/>
                            <w:sz w:val="18"/>
                          </w:rPr>
                          <w:t>)</w:t>
                        </w:r>
                        <w:r>
                          <w:rPr>
                            <w:rFonts w:ascii="Arial"/>
                            <w:sz w:val="18"/>
                          </w:rPr>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09"/>
                          <w:jc w:val="right"/>
                          <w:rPr>
                            <w:rFonts w:ascii="Arial" w:hAnsi="Arial" w:cs="Arial" w:eastAsia="Arial" w:hint="default"/>
                            <w:sz w:val="18"/>
                            <w:szCs w:val="18"/>
                          </w:rPr>
                        </w:pPr>
                        <w:r>
                          <w:rPr>
                            <w:rFonts w:ascii="Arial"/>
                            <w:w w:val="100"/>
                            <w:sz w:val="18"/>
                          </w:rPr>
                        </w:r>
                        <w:r>
                          <w:rPr>
                            <w:rFonts w:ascii="Arial"/>
                            <w:spacing w:val="-1"/>
                            <w:sz w:val="18"/>
                            <w:u w:val="single" w:color="000000"/>
                          </w:rPr>
                          <w:t>1,065,542,804</w:t>
                        </w:r>
                        <w:r>
                          <w:rPr>
                            <w:rFonts w:ascii="Arial"/>
                            <w:spacing w:val="-1"/>
                            <w:sz w:val="18"/>
                          </w:rPr>
                        </w:r>
                      </w:p>
                    </w:tc>
                  </w:tr>
                  <w:tr>
                    <w:trPr>
                      <w:trHeight w:val="379" w:hRule="exact"/>
                    </w:trPr>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00" w:right="0"/>
                          <w:jc w:val="left"/>
                          <w:rPr>
                            <w:rFonts w:ascii="黑体" w:hAnsi="黑体" w:cs="黑体" w:eastAsia="黑体" w:hint="default"/>
                            <w:sz w:val="20"/>
                            <w:szCs w:val="20"/>
                          </w:rPr>
                        </w:pPr>
                        <w:r>
                          <w:rPr>
                            <w:rFonts w:ascii="黑体" w:hAnsi="黑体" w:cs="黑体" w:eastAsia="黑体" w:hint="default"/>
                            <w:sz w:val="20"/>
                            <w:szCs w:val="20"/>
                          </w:rPr>
                          <w:t>累计折旧</w:t>
                        </w:r>
                      </w:p>
                    </w:tc>
                    <w:tc>
                      <w:tcPr>
                        <w:tcW w:w="1182" w:type="dxa"/>
                        <w:tcBorders>
                          <w:top w:val="nil" w:sz="6" w:space="0" w:color="auto"/>
                          <w:left w:val="nil" w:sz="6" w:space="0" w:color="auto"/>
                          <w:bottom w:val="nil" w:sz="6" w:space="0" w:color="auto"/>
                          <w:right w:val="nil" w:sz="6" w:space="0" w:color="auto"/>
                        </w:tcBorders>
                      </w:tcPr>
                      <w:p>
                        <w:pPr/>
                      </w:p>
                    </w:tc>
                    <w:tc>
                      <w:tcPr>
                        <w:tcW w:w="242"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
                    </w:tc>
                    <w:tc>
                      <w:tcPr>
                        <w:tcW w:w="1148" w:type="dxa"/>
                        <w:tcBorders>
                          <w:top w:val="nil" w:sz="6" w:space="0" w:color="auto"/>
                          <w:left w:val="nil" w:sz="6" w:space="0" w:color="auto"/>
                          <w:bottom w:val="nil" w:sz="6" w:space="0" w:color="auto"/>
                          <w:right w:val="nil" w:sz="6" w:space="0" w:color="auto"/>
                        </w:tcBorders>
                      </w:tcPr>
                      <w:p>
                        <w:pPr/>
                      </w:p>
                    </w:tc>
                    <w:tc>
                      <w:tcPr>
                        <w:tcW w:w="87"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
                    </w:tc>
                    <w:tc>
                      <w:tcPr>
                        <w:tcW w:w="185"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
                    </w:tc>
                  </w:tr>
                  <w:tr>
                    <w:trPr>
                      <w:trHeight w:val="259" w:hRule="exact"/>
                    </w:trPr>
                    <w:tc>
                      <w:tcPr>
                        <w:tcW w:w="1627" w:type="dxa"/>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黑体" w:hAnsi="黑体" w:cs="黑体" w:eastAsia="黑体" w:hint="default"/>
                            <w:sz w:val="20"/>
                            <w:szCs w:val="20"/>
                          </w:rPr>
                        </w:pPr>
                        <w:r>
                          <w:rPr>
                            <w:rFonts w:ascii="黑体" w:hAnsi="黑体" w:cs="黑体" w:eastAsia="黑体" w:hint="default"/>
                            <w:sz w:val="20"/>
                            <w:szCs w:val="20"/>
                          </w:rPr>
                          <w:t>房屋及建筑物</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8"/>
                          <w:jc w:val="right"/>
                          <w:rPr>
                            <w:rFonts w:ascii="Arial" w:hAnsi="Arial" w:cs="Arial" w:eastAsia="Arial" w:hint="default"/>
                            <w:sz w:val="18"/>
                            <w:szCs w:val="18"/>
                          </w:rPr>
                        </w:pPr>
                        <w:r>
                          <w:rPr>
                            <w:rFonts w:ascii="Arial"/>
                            <w:sz w:val="18"/>
                          </w:rPr>
                          <w:t>(  </w:t>
                        </w:r>
                        <w:r>
                          <w:rPr>
                            <w:rFonts w:ascii="Arial"/>
                            <w:spacing w:val="25"/>
                            <w:sz w:val="18"/>
                          </w:rPr>
                          <w:t> </w:t>
                        </w:r>
                        <w:r>
                          <w:rPr>
                            <w:rFonts w:ascii="Arial"/>
                            <w:sz w:val="18"/>
                          </w:rPr>
                          <w:t>45,999,249</w:t>
                        </w:r>
                      </w:p>
                    </w:tc>
                    <w:tc>
                      <w:tcPr>
                        <w:tcW w:w="24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 w:right="0"/>
                          <w:jc w:val="left"/>
                          <w:rPr>
                            <w:rFonts w:ascii="Arial" w:hAnsi="Arial" w:cs="Arial" w:eastAsia="Arial" w:hint="default"/>
                            <w:sz w:val="18"/>
                            <w:szCs w:val="18"/>
                          </w:rPr>
                        </w:pPr>
                        <w:r>
                          <w:rPr>
                            <w:rFonts w:ascii="Arial"/>
                            <w:w w:val="99"/>
                            <w:sz w:val="18"/>
                          </w:rPr>
                          <w:t>)</w:t>
                        </w:r>
                        <w:r>
                          <w:rPr>
                            <w:rFonts w:ascii="Arial"/>
                            <w:sz w:val="18"/>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46"/>
                          <w:jc w:val="right"/>
                          <w:rPr>
                            <w:rFonts w:ascii="Arial" w:hAnsi="Arial" w:cs="Arial" w:eastAsia="Arial" w:hint="default"/>
                            <w:sz w:val="18"/>
                            <w:szCs w:val="18"/>
                          </w:rPr>
                        </w:pPr>
                        <w:r>
                          <w:rPr>
                            <w:rFonts w:ascii="Arial"/>
                            <w:w w:val="99"/>
                            <w:sz w:val="18"/>
                          </w:rPr>
                          <w:t>-</w:t>
                        </w:r>
                        <w:r>
                          <w:rPr>
                            <w:rFonts w:ascii="Arial"/>
                            <w:sz w:val="18"/>
                          </w:rPr>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
                          <w:jc w:val="right"/>
                          <w:rPr>
                            <w:rFonts w:ascii="Arial" w:hAnsi="Arial" w:cs="Arial" w:eastAsia="Arial" w:hint="default"/>
                            <w:sz w:val="18"/>
                            <w:szCs w:val="18"/>
                          </w:rPr>
                        </w:pPr>
                        <w:r>
                          <w:rPr>
                            <w:rFonts w:ascii="Arial"/>
                            <w:spacing w:val="-1"/>
                            <w:sz w:val="18"/>
                          </w:rPr>
                          <w:t>(15,809,430</w:t>
                        </w:r>
                      </w:p>
                    </w:tc>
                    <w:tc>
                      <w:tcPr>
                        <w:tcW w:w="87"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8"/>
                          <w:jc w:val="right"/>
                          <w:rPr>
                            <w:rFonts w:ascii="Arial" w:hAnsi="Arial" w:cs="Arial" w:eastAsia="Arial" w:hint="default"/>
                            <w:sz w:val="18"/>
                            <w:szCs w:val="18"/>
                          </w:rPr>
                        </w:pPr>
                        <w:r>
                          <w:rPr>
                            <w:rFonts w:ascii="Arial"/>
                            <w:spacing w:val="-1"/>
                            <w:sz w:val="18"/>
                          </w:rPr>
                          <w:t>43,989</w:t>
                        </w:r>
                      </w:p>
                    </w:tc>
                    <w:tc>
                      <w:tcPr>
                        <w:tcW w:w="185"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09"/>
                          <w:jc w:val="right"/>
                          <w:rPr>
                            <w:rFonts w:ascii="Arial" w:hAnsi="Arial" w:cs="Arial" w:eastAsia="Arial" w:hint="default"/>
                            <w:sz w:val="18"/>
                            <w:szCs w:val="18"/>
                          </w:rPr>
                        </w:pPr>
                        <w:r>
                          <w:rPr>
                            <w:rFonts w:ascii="Arial"/>
                            <w:sz w:val="18"/>
                          </w:rPr>
                          <w:t>(  </w:t>
                        </w:r>
                        <w:r>
                          <w:rPr>
                            <w:rFonts w:ascii="Arial"/>
                            <w:spacing w:val="1"/>
                            <w:sz w:val="18"/>
                          </w:rPr>
                          <w:t> </w:t>
                        </w:r>
                        <w:r>
                          <w:rPr>
                            <w:rFonts w:ascii="Arial"/>
                            <w:sz w:val="18"/>
                          </w:rPr>
                          <w:t>61,764,690)</w:t>
                        </w:r>
                      </w:p>
                    </w:tc>
                  </w:tr>
                  <w:tr>
                    <w:trPr>
                      <w:trHeight w:val="256" w:hRule="exact"/>
                    </w:trPr>
                    <w:tc>
                      <w:tcPr>
                        <w:tcW w:w="1627" w:type="dxa"/>
                        <w:tcBorders>
                          <w:top w:val="nil" w:sz="6" w:space="0" w:color="auto"/>
                          <w:left w:val="nil" w:sz="6" w:space="0" w:color="auto"/>
                          <w:bottom w:val="nil" w:sz="6" w:space="0" w:color="auto"/>
                          <w:right w:val="nil" w:sz="6" w:space="0" w:color="auto"/>
                        </w:tcBorders>
                      </w:tcPr>
                      <w:p>
                        <w:pPr>
                          <w:pStyle w:val="TableParagraph"/>
                          <w:spacing w:line="223" w:lineRule="exact"/>
                          <w:ind w:left="200" w:right="0"/>
                          <w:jc w:val="left"/>
                          <w:rPr>
                            <w:rFonts w:ascii="黑体" w:hAnsi="黑体" w:cs="黑体" w:eastAsia="黑体" w:hint="default"/>
                            <w:sz w:val="20"/>
                            <w:szCs w:val="20"/>
                          </w:rPr>
                        </w:pPr>
                        <w:r>
                          <w:rPr>
                            <w:rFonts w:ascii="黑体" w:hAnsi="黑体" w:cs="黑体" w:eastAsia="黑体" w:hint="default"/>
                            <w:sz w:val="20"/>
                            <w:szCs w:val="20"/>
                          </w:rPr>
                          <w:t>机器设备</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
                          <w:jc w:val="right"/>
                          <w:rPr>
                            <w:rFonts w:ascii="Arial" w:hAnsi="Arial" w:cs="Arial" w:eastAsia="Arial" w:hint="default"/>
                            <w:sz w:val="18"/>
                            <w:szCs w:val="18"/>
                          </w:rPr>
                        </w:pPr>
                        <w:r>
                          <w:rPr>
                            <w:rFonts w:ascii="Arial"/>
                            <w:sz w:val="18"/>
                          </w:rPr>
                          <w:t>(  </w:t>
                        </w:r>
                        <w:r>
                          <w:rPr>
                            <w:rFonts w:ascii="Arial"/>
                            <w:spacing w:val="25"/>
                            <w:sz w:val="18"/>
                          </w:rPr>
                          <w:t> </w:t>
                        </w:r>
                        <w:r>
                          <w:rPr>
                            <w:rFonts w:ascii="Arial"/>
                            <w:sz w:val="18"/>
                          </w:rPr>
                          <w:t>18,988,596</w:t>
                        </w:r>
                      </w:p>
                    </w:tc>
                    <w:tc>
                      <w:tcPr>
                        <w:tcW w:w="24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 w:right="0"/>
                          <w:jc w:val="left"/>
                          <w:rPr>
                            <w:rFonts w:ascii="Arial" w:hAnsi="Arial" w:cs="Arial" w:eastAsia="Arial" w:hint="default"/>
                            <w:sz w:val="18"/>
                            <w:szCs w:val="18"/>
                          </w:rPr>
                        </w:pPr>
                        <w:r>
                          <w:rPr>
                            <w:rFonts w:ascii="Arial"/>
                            <w:w w:val="99"/>
                            <w:sz w:val="18"/>
                          </w:rPr>
                          <w:t>)</w:t>
                        </w:r>
                        <w:r>
                          <w:rPr>
                            <w:rFonts w:ascii="Arial"/>
                            <w:sz w:val="18"/>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46"/>
                          <w:jc w:val="right"/>
                          <w:rPr>
                            <w:rFonts w:ascii="Arial" w:hAnsi="Arial" w:cs="Arial" w:eastAsia="Arial" w:hint="default"/>
                            <w:sz w:val="18"/>
                            <w:szCs w:val="18"/>
                          </w:rPr>
                        </w:pPr>
                        <w:r>
                          <w:rPr>
                            <w:rFonts w:ascii="Arial"/>
                            <w:w w:val="99"/>
                            <w:sz w:val="18"/>
                          </w:rPr>
                          <w:t>-</w:t>
                        </w:r>
                        <w:r>
                          <w:rPr>
                            <w:rFonts w:ascii="Arial"/>
                            <w:sz w:val="18"/>
                          </w:rPr>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
                          <w:jc w:val="right"/>
                          <w:rPr>
                            <w:rFonts w:ascii="Arial" w:hAnsi="Arial" w:cs="Arial" w:eastAsia="Arial" w:hint="default"/>
                            <w:sz w:val="18"/>
                            <w:szCs w:val="18"/>
                          </w:rPr>
                        </w:pPr>
                        <w:r>
                          <w:rPr>
                            <w:rFonts w:ascii="Arial"/>
                            <w:sz w:val="18"/>
                          </w:rPr>
                          <w:t>(</w:t>
                        </w:r>
                        <w:r>
                          <w:rPr>
                            <w:rFonts w:ascii="Arial"/>
                            <w:spacing w:val="36"/>
                            <w:sz w:val="18"/>
                          </w:rPr>
                          <w:t> </w:t>
                        </w:r>
                        <w:r>
                          <w:rPr>
                            <w:rFonts w:ascii="Arial"/>
                            <w:sz w:val="18"/>
                          </w:rPr>
                          <w:t>5,411,902</w:t>
                        </w:r>
                      </w:p>
                    </w:tc>
                    <w:tc>
                      <w:tcPr>
                        <w:tcW w:w="87"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
                          <w:jc w:val="right"/>
                          <w:rPr>
                            <w:rFonts w:ascii="Arial" w:hAnsi="Arial" w:cs="Arial" w:eastAsia="Arial" w:hint="default"/>
                            <w:sz w:val="18"/>
                            <w:szCs w:val="18"/>
                          </w:rPr>
                        </w:pPr>
                        <w:r>
                          <w:rPr>
                            <w:rFonts w:ascii="Arial"/>
                            <w:w w:val="99"/>
                            <w:sz w:val="18"/>
                          </w:rPr>
                          <w:t>-</w:t>
                        </w:r>
                        <w:r>
                          <w:rPr>
                            <w:rFonts w:ascii="Arial"/>
                            <w:sz w:val="18"/>
                          </w:rPr>
                        </w:r>
                      </w:p>
                    </w:tc>
                    <w:tc>
                      <w:tcPr>
                        <w:tcW w:w="185"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9"/>
                          <w:jc w:val="right"/>
                          <w:rPr>
                            <w:rFonts w:ascii="Arial" w:hAnsi="Arial" w:cs="Arial" w:eastAsia="Arial" w:hint="default"/>
                            <w:sz w:val="18"/>
                            <w:szCs w:val="18"/>
                          </w:rPr>
                        </w:pPr>
                        <w:r>
                          <w:rPr>
                            <w:rFonts w:ascii="Arial"/>
                            <w:sz w:val="18"/>
                          </w:rPr>
                          <w:t>(  </w:t>
                        </w:r>
                        <w:r>
                          <w:rPr>
                            <w:rFonts w:ascii="Arial"/>
                            <w:spacing w:val="1"/>
                            <w:sz w:val="18"/>
                          </w:rPr>
                          <w:t> </w:t>
                        </w:r>
                        <w:r>
                          <w:rPr>
                            <w:rFonts w:ascii="Arial"/>
                            <w:sz w:val="18"/>
                          </w:rPr>
                          <w:t>24,400,498)</w:t>
                        </w:r>
                      </w:p>
                    </w:tc>
                  </w:tr>
                  <w:tr>
                    <w:trPr>
                      <w:trHeight w:val="256" w:hRule="exact"/>
                    </w:trPr>
                    <w:tc>
                      <w:tcPr>
                        <w:tcW w:w="1627" w:type="dxa"/>
                        <w:tcBorders>
                          <w:top w:val="nil" w:sz="6" w:space="0" w:color="auto"/>
                          <w:left w:val="nil" w:sz="6" w:space="0" w:color="auto"/>
                          <w:bottom w:val="nil" w:sz="6" w:space="0" w:color="auto"/>
                          <w:right w:val="nil" w:sz="6" w:space="0" w:color="auto"/>
                        </w:tcBorders>
                      </w:tcPr>
                      <w:p>
                        <w:pPr>
                          <w:pStyle w:val="TableParagraph"/>
                          <w:spacing w:line="224" w:lineRule="exact"/>
                          <w:ind w:left="200" w:right="0"/>
                          <w:jc w:val="left"/>
                          <w:rPr>
                            <w:rFonts w:ascii="黑体" w:hAnsi="黑体" w:cs="黑体" w:eastAsia="黑体" w:hint="default"/>
                            <w:sz w:val="20"/>
                            <w:szCs w:val="20"/>
                          </w:rPr>
                        </w:pPr>
                        <w:r>
                          <w:rPr>
                            <w:rFonts w:ascii="黑体" w:hAnsi="黑体" w:cs="黑体" w:eastAsia="黑体" w:hint="default"/>
                            <w:sz w:val="20"/>
                            <w:szCs w:val="20"/>
                          </w:rPr>
                          <w:t>运输工具</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
                          <w:jc w:val="right"/>
                          <w:rPr>
                            <w:rFonts w:ascii="Arial" w:hAnsi="Arial" w:cs="Arial" w:eastAsia="Arial" w:hint="default"/>
                            <w:sz w:val="18"/>
                            <w:szCs w:val="18"/>
                          </w:rPr>
                        </w:pPr>
                        <w:r>
                          <w:rPr>
                            <w:rFonts w:ascii="Arial"/>
                            <w:sz w:val="18"/>
                          </w:rPr>
                          <w:t>(  </w:t>
                        </w:r>
                        <w:r>
                          <w:rPr>
                            <w:rFonts w:ascii="Arial"/>
                            <w:spacing w:val="25"/>
                            <w:sz w:val="18"/>
                          </w:rPr>
                          <w:t> </w:t>
                        </w:r>
                        <w:r>
                          <w:rPr>
                            <w:rFonts w:ascii="Arial"/>
                            <w:sz w:val="18"/>
                          </w:rPr>
                          <w:t>17,076,133</w:t>
                        </w:r>
                      </w:p>
                    </w:tc>
                    <w:tc>
                      <w:tcPr>
                        <w:tcW w:w="24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 w:right="0"/>
                          <w:jc w:val="left"/>
                          <w:rPr>
                            <w:rFonts w:ascii="Arial" w:hAnsi="Arial" w:cs="Arial" w:eastAsia="Arial" w:hint="default"/>
                            <w:sz w:val="18"/>
                            <w:szCs w:val="18"/>
                          </w:rPr>
                        </w:pPr>
                        <w:r>
                          <w:rPr>
                            <w:rFonts w:ascii="Arial"/>
                            <w:w w:val="99"/>
                            <w:sz w:val="18"/>
                          </w:rPr>
                          <w:t>)</w:t>
                        </w:r>
                        <w:r>
                          <w:rPr>
                            <w:rFonts w:ascii="Arial"/>
                            <w:sz w:val="18"/>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6"/>
                          <w:jc w:val="right"/>
                          <w:rPr>
                            <w:rFonts w:ascii="Arial" w:hAnsi="Arial" w:cs="Arial" w:eastAsia="Arial" w:hint="default"/>
                            <w:sz w:val="18"/>
                            <w:szCs w:val="18"/>
                          </w:rPr>
                        </w:pPr>
                        <w:r>
                          <w:rPr>
                            <w:rFonts w:ascii="Arial"/>
                            <w:w w:val="99"/>
                            <w:sz w:val="18"/>
                          </w:rPr>
                          <w:t>-</w:t>
                        </w:r>
                        <w:r>
                          <w:rPr>
                            <w:rFonts w:ascii="Arial"/>
                            <w:sz w:val="18"/>
                          </w:rPr>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
                          <w:jc w:val="right"/>
                          <w:rPr>
                            <w:rFonts w:ascii="Arial" w:hAnsi="Arial" w:cs="Arial" w:eastAsia="Arial" w:hint="default"/>
                            <w:sz w:val="18"/>
                            <w:szCs w:val="18"/>
                          </w:rPr>
                        </w:pPr>
                        <w:r>
                          <w:rPr>
                            <w:rFonts w:ascii="Arial"/>
                            <w:sz w:val="18"/>
                          </w:rPr>
                          <w:t>(</w:t>
                        </w:r>
                        <w:r>
                          <w:rPr>
                            <w:rFonts w:ascii="Arial"/>
                            <w:spacing w:val="36"/>
                            <w:sz w:val="18"/>
                          </w:rPr>
                          <w:t> </w:t>
                        </w:r>
                        <w:r>
                          <w:rPr>
                            <w:rFonts w:ascii="Arial"/>
                            <w:sz w:val="18"/>
                          </w:rPr>
                          <w:t>4,147,481</w:t>
                        </w:r>
                      </w:p>
                    </w:tc>
                    <w:tc>
                      <w:tcPr>
                        <w:tcW w:w="87"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
                          <w:jc w:val="right"/>
                          <w:rPr>
                            <w:rFonts w:ascii="Arial" w:hAnsi="Arial" w:cs="Arial" w:eastAsia="Arial" w:hint="default"/>
                            <w:sz w:val="18"/>
                            <w:szCs w:val="18"/>
                          </w:rPr>
                        </w:pPr>
                        <w:r>
                          <w:rPr>
                            <w:rFonts w:ascii="Arial"/>
                            <w:spacing w:val="-1"/>
                            <w:sz w:val="18"/>
                          </w:rPr>
                          <w:t>1,594,598</w:t>
                        </w:r>
                      </w:p>
                    </w:tc>
                    <w:tc>
                      <w:tcPr>
                        <w:tcW w:w="185"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09"/>
                          <w:jc w:val="right"/>
                          <w:rPr>
                            <w:rFonts w:ascii="Arial" w:hAnsi="Arial" w:cs="Arial" w:eastAsia="Arial" w:hint="default"/>
                            <w:sz w:val="18"/>
                            <w:szCs w:val="18"/>
                          </w:rPr>
                        </w:pPr>
                        <w:r>
                          <w:rPr>
                            <w:rFonts w:ascii="Arial"/>
                            <w:sz w:val="18"/>
                          </w:rPr>
                          <w:t>(  </w:t>
                        </w:r>
                        <w:r>
                          <w:rPr>
                            <w:rFonts w:ascii="Arial"/>
                            <w:spacing w:val="1"/>
                            <w:sz w:val="18"/>
                          </w:rPr>
                          <w:t> </w:t>
                        </w:r>
                        <w:r>
                          <w:rPr>
                            <w:rFonts w:ascii="Arial"/>
                            <w:sz w:val="18"/>
                          </w:rPr>
                          <w:t>19,629,016)</w:t>
                        </w:r>
                      </w:p>
                    </w:tc>
                  </w:tr>
                  <w:tr>
                    <w:trPr>
                      <w:trHeight w:val="410" w:hRule="exact"/>
                    </w:trPr>
                    <w:tc>
                      <w:tcPr>
                        <w:tcW w:w="1627" w:type="dxa"/>
                        <w:tcBorders>
                          <w:top w:val="nil" w:sz="6" w:space="0" w:color="auto"/>
                          <w:left w:val="nil" w:sz="6" w:space="0" w:color="auto"/>
                          <w:bottom w:val="nil" w:sz="6" w:space="0" w:color="auto"/>
                          <w:right w:val="nil" w:sz="6" w:space="0" w:color="auto"/>
                        </w:tcBorders>
                      </w:tcPr>
                      <w:p>
                        <w:pPr>
                          <w:pStyle w:val="TableParagraph"/>
                          <w:spacing w:line="223" w:lineRule="exact"/>
                          <w:ind w:left="200" w:right="0"/>
                          <w:jc w:val="left"/>
                          <w:rPr>
                            <w:rFonts w:ascii="黑体" w:hAnsi="黑体" w:cs="黑体" w:eastAsia="黑体" w:hint="default"/>
                            <w:sz w:val="20"/>
                            <w:szCs w:val="20"/>
                          </w:rPr>
                        </w:pPr>
                        <w:r>
                          <w:rPr>
                            <w:rFonts w:ascii="黑体" w:hAnsi="黑体" w:cs="黑体" w:eastAsia="黑体" w:hint="default"/>
                            <w:sz w:val="20"/>
                            <w:szCs w:val="20"/>
                          </w:rPr>
                          <w:t>办公及电子设备</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7"/>
                          <w:jc w:val="right"/>
                          <w:rPr>
                            <w:rFonts w:ascii="Arial" w:hAnsi="Arial" w:cs="Arial" w:eastAsia="Arial" w:hint="default"/>
                            <w:sz w:val="18"/>
                            <w:szCs w:val="18"/>
                          </w:rPr>
                        </w:pPr>
                        <w:r>
                          <w:rPr>
                            <w:rFonts w:ascii="Arial"/>
                            <w:sz w:val="18"/>
                          </w:rPr>
                          <w:t>(</w:t>
                        </w:r>
                        <w:r>
                          <w:rPr>
                            <w:rFonts w:ascii="Arial"/>
                            <w:spacing w:val="24"/>
                            <w:sz w:val="18"/>
                          </w:rPr>
                          <w:t> </w:t>
                        </w:r>
                        <w:r>
                          <w:rPr>
                            <w:rFonts w:ascii="Arial"/>
                            <w:sz w:val="18"/>
                            <w:u w:val="single" w:color="000000"/>
                          </w:rPr>
                          <w:t>117,214,809</w:t>
                        </w:r>
                        <w:r>
                          <w:rPr>
                            <w:rFonts w:ascii="Arial"/>
                            <w:sz w:val="18"/>
                          </w:rPr>
                        </w:r>
                      </w:p>
                    </w:tc>
                    <w:tc>
                      <w:tcPr>
                        <w:tcW w:w="24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 w:right="0"/>
                          <w:jc w:val="left"/>
                          <w:rPr>
                            <w:rFonts w:ascii="Arial" w:hAnsi="Arial" w:cs="Arial" w:eastAsia="Arial" w:hint="default"/>
                            <w:sz w:val="18"/>
                            <w:szCs w:val="18"/>
                          </w:rPr>
                        </w:pPr>
                        <w:r>
                          <w:rPr>
                            <w:rFonts w:ascii="Arial"/>
                            <w:w w:val="99"/>
                            <w:sz w:val="18"/>
                          </w:rPr>
                          <w:t>)</w:t>
                        </w:r>
                        <w:r>
                          <w:rPr>
                            <w:rFonts w:ascii="Arial"/>
                            <w:sz w:val="18"/>
                          </w:rPr>
                        </w:r>
                      </w:p>
                    </w:tc>
                    <w:tc>
                      <w:tcPr>
                        <w:tcW w:w="1152" w:type="dxa"/>
                        <w:tcBorders>
                          <w:top w:val="nil" w:sz="6" w:space="0" w:color="auto"/>
                          <w:left w:val="nil" w:sz="6" w:space="0" w:color="auto"/>
                          <w:bottom w:val="nil" w:sz="6" w:space="0" w:color="auto"/>
                          <w:right w:val="nil" w:sz="6" w:space="0" w:color="auto"/>
                        </w:tcBorders>
                      </w:tcPr>
                      <w:p>
                        <w:pPr>
                          <w:pStyle w:val="TableParagraph"/>
                          <w:tabs>
                            <w:tab w:pos="945" w:val="left" w:leader="none"/>
                          </w:tabs>
                          <w:spacing w:line="240" w:lineRule="auto" w:before="28"/>
                          <w:ind w:left="-3" w:right="14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
                          <w:jc w:val="right"/>
                          <w:rPr>
                            <w:rFonts w:ascii="Arial" w:hAnsi="Arial" w:cs="Arial" w:eastAsia="Arial" w:hint="default"/>
                            <w:sz w:val="18"/>
                            <w:szCs w:val="18"/>
                          </w:rPr>
                        </w:pPr>
                        <w:r>
                          <w:rPr>
                            <w:rFonts w:ascii="Arial"/>
                            <w:spacing w:val="-1"/>
                            <w:sz w:val="18"/>
                          </w:rPr>
                          <w:t>(</w:t>
                        </w:r>
                        <w:r>
                          <w:rPr>
                            <w:rFonts w:ascii="Arial"/>
                            <w:spacing w:val="-1"/>
                            <w:sz w:val="18"/>
                            <w:u w:val="single" w:color="000000"/>
                          </w:rPr>
                          <w:t>31,464,428</w:t>
                        </w:r>
                        <w:r>
                          <w:rPr>
                            <w:rFonts w:ascii="Arial"/>
                            <w:spacing w:val="-1"/>
                            <w:sz w:val="18"/>
                          </w:rPr>
                        </w:r>
                      </w:p>
                    </w:tc>
                    <w:tc>
                      <w:tcPr>
                        <w:tcW w:w="87"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
                          <w:jc w:val="right"/>
                          <w:rPr>
                            <w:rFonts w:ascii="Arial" w:hAnsi="Arial" w:cs="Arial" w:eastAsia="Arial" w:hint="default"/>
                            <w:sz w:val="18"/>
                            <w:szCs w:val="18"/>
                          </w:rPr>
                        </w:pPr>
                        <w:r>
                          <w:rPr>
                            <w:rFonts w:ascii="Arial"/>
                            <w:w w:val="100"/>
                            <w:sz w:val="18"/>
                          </w:rPr>
                        </w:r>
                        <w:r>
                          <w:rPr>
                            <w:rFonts w:ascii="Arial"/>
                            <w:spacing w:val="-1"/>
                            <w:sz w:val="18"/>
                            <w:u w:val="single" w:color="000000"/>
                          </w:rPr>
                          <w:t>7,639,451</w:t>
                        </w:r>
                        <w:r>
                          <w:rPr>
                            <w:rFonts w:ascii="Arial"/>
                            <w:spacing w:val="-1"/>
                            <w:sz w:val="18"/>
                          </w:rPr>
                        </w:r>
                      </w:p>
                    </w:tc>
                    <w:tc>
                      <w:tcPr>
                        <w:tcW w:w="185"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10"/>
                          <w:jc w:val="right"/>
                          <w:rPr>
                            <w:rFonts w:ascii="Arial" w:hAnsi="Arial" w:cs="Arial" w:eastAsia="Arial" w:hint="default"/>
                            <w:sz w:val="18"/>
                            <w:szCs w:val="18"/>
                          </w:rPr>
                        </w:pPr>
                        <w:r>
                          <w:rPr>
                            <w:rFonts w:ascii="Arial"/>
                            <w:sz w:val="18"/>
                          </w:rPr>
                          <w:t>(</w:t>
                        </w:r>
                        <w:r>
                          <w:rPr>
                            <w:rFonts w:ascii="Arial"/>
                            <w:spacing w:val="-5"/>
                            <w:sz w:val="18"/>
                          </w:rPr>
                          <w:t> </w:t>
                        </w:r>
                        <w:r>
                          <w:rPr>
                            <w:rFonts w:ascii="Arial"/>
                            <w:spacing w:val="-5"/>
                            <w:sz w:val="18"/>
                            <w:u w:val="single" w:color="000000"/>
                          </w:rPr>
                          <w:t> </w:t>
                        </w:r>
                        <w:r>
                          <w:rPr>
                            <w:rFonts w:ascii="Arial"/>
                            <w:sz w:val="18"/>
                            <w:u w:val="single" w:color="000000"/>
                          </w:rPr>
                          <w:t>141,039,786</w:t>
                        </w:r>
                        <w:r>
                          <w:rPr>
                            <w:rFonts w:ascii="Arial"/>
                            <w:sz w:val="18"/>
                          </w:rPr>
                          <w:t>)</w:t>
                        </w:r>
                      </w:p>
                    </w:tc>
                  </w:tr>
                  <w:tr>
                    <w:trPr>
                      <w:trHeight w:val="511" w:hRule="exact"/>
                    </w:trPr>
                    <w:tc>
                      <w:tcPr>
                        <w:tcW w:w="1627"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7"/>
                          <w:jc w:val="right"/>
                          <w:rPr>
                            <w:rFonts w:ascii="Arial" w:hAnsi="Arial" w:cs="Arial" w:eastAsia="Arial" w:hint="default"/>
                            <w:sz w:val="18"/>
                            <w:szCs w:val="18"/>
                          </w:rPr>
                        </w:pPr>
                        <w:r>
                          <w:rPr>
                            <w:rFonts w:ascii="Arial"/>
                            <w:sz w:val="18"/>
                          </w:rPr>
                          <w:t>(</w:t>
                        </w:r>
                        <w:r>
                          <w:rPr>
                            <w:rFonts w:ascii="Arial"/>
                            <w:spacing w:val="-5"/>
                            <w:sz w:val="18"/>
                          </w:rPr>
                          <w:t> </w:t>
                        </w:r>
                        <w:r>
                          <w:rPr>
                            <w:rFonts w:ascii="Arial"/>
                            <w:spacing w:val="-5"/>
                            <w:sz w:val="18"/>
                            <w:u w:val="thick" w:color="000000"/>
                          </w:rPr>
                          <w:t> </w:t>
                        </w:r>
                        <w:r>
                          <w:rPr>
                            <w:rFonts w:ascii="Arial"/>
                            <w:sz w:val="18"/>
                            <w:u w:val="thick" w:color="000000"/>
                          </w:rPr>
                          <w:t>199,278,787</w:t>
                        </w:r>
                        <w:r>
                          <w:rPr>
                            <w:rFonts w:ascii="Arial"/>
                            <w:sz w:val="18"/>
                          </w:rPr>
                        </w:r>
                      </w:p>
                    </w:tc>
                    <w:tc>
                      <w:tcPr>
                        <w:tcW w:w="242"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1" w:right="0"/>
                          <w:jc w:val="left"/>
                          <w:rPr>
                            <w:rFonts w:ascii="Arial" w:hAnsi="Arial" w:cs="Arial" w:eastAsia="Arial" w:hint="default"/>
                            <w:sz w:val="18"/>
                            <w:szCs w:val="18"/>
                          </w:rPr>
                        </w:pPr>
                        <w:r>
                          <w:rPr>
                            <w:rFonts w:ascii="Arial"/>
                            <w:w w:val="99"/>
                            <w:sz w:val="18"/>
                          </w:rPr>
                          <w:t>)</w:t>
                        </w:r>
                        <w:r>
                          <w:rPr>
                            <w:rFonts w:ascii="Arial"/>
                            <w:sz w:val="18"/>
                          </w:rPr>
                        </w:r>
                      </w:p>
                    </w:tc>
                    <w:tc>
                      <w:tcPr>
                        <w:tcW w:w="1152" w:type="dxa"/>
                        <w:tcBorders>
                          <w:top w:val="nil" w:sz="6" w:space="0" w:color="auto"/>
                          <w:left w:val="nil" w:sz="6" w:space="0" w:color="auto"/>
                          <w:bottom w:val="nil" w:sz="6" w:space="0" w:color="auto"/>
                          <w:right w:val="nil" w:sz="6" w:space="0" w:color="auto"/>
                        </w:tcBorders>
                      </w:tcPr>
                      <w:p>
                        <w:pPr>
                          <w:pStyle w:val="TableParagraph"/>
                          <w:tabs>
                            <w:tab w:pos="945" w:val="left" w:leader="none"/>
                          </w:tabs>
                          <w:spacing w:line="240" w:lineRule="auto" w:before="156"/>
                          <w:ind w:left="-3" w:right="144"/>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ab/>
                          <w:t>-</w:t>
                        </w:r>
                        <w:r>
                          <w:rPr>
                            <w:rFonts w:ascii="Arial"/>
                            <w:sz w:val="18"/>
                          </w:rPr>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4"/>
                          <w:jc w:val="right"/>
                          <w:rPr>
                            <w:rFonts w:ascii="Arial" w:hAnsi="Arial" w:cs="Arial" w:eastAsia="Arial" w:hint="default"/>
                            <w:sz w:val="18"/>
                            <w:szCs w:val="18"/>
                          </w:rPr>
                        </w:pPr>
                        <w:r>
                          <w:rPr>
                            <w:rFonts w:ascii="Arial"/>
                            <w:spacing w:val="-1"/>
                            <w:sz w:val="18"/>
                          </w:rPr>
                          <w:t>(</w:t>
                        </w:r>
                        <w:r>
                          <w:rPr>
                            <w:rFonts w:ascii="Arial"/>
                            <w:spacing w:val="-1"/>
                            <w:sz w:val="18"/>
                            <w:u w:val="thick" w:color="000000"/>
                          </w:rPr>
                          <w:t>56,833,241</w:t>
                        </w:r>
                        <w:r>
                          <w:rPr>
                            <w:rFonts w:ascii="Arial"/>
                            <w:spacing w:val="-1"/>
                            <w:sz w:val="18"/>
                          </w:rPr>
                        </w:r>
                      </w:p>
                    </w:tc>
                    <w:tc>
                      <w:tcPr>
                        <w:tcW w:w="87"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8"/>
                          <w:jc w:val="right"/>
                          <w:rPr>
                            <w:rFonts w:ascii="Arial" w:hAnsi="Arial" w:cs="Arial" w:eastAsia="Arial" w:hint="default"/>
                            <w:sz w:val="18"/>
                            <w:szCs w:val="18"/>
                          </w:rPr>
                        </w:pPr>
                        <w:r>
                          <w:rPr>
                            <w:rFonts w:ascii="Arial"/>
                            <w:w w:val="100"/>
                            <w:sz w:val="18"/>
                          </w:rPr>
                        </w:r>
                        <w:r>
                          <w:rPr>
                            <w:rFonts w:ascii="Arial"/>
                            <w:spacing w:val="14"/>
                            <w:w w:val="100"/>
                            <w:sz w:val="18"/>
                            <w:u w:val="thick" w:color="000000"/>
                          </w:rPr>
                          <w:t> </w:t>
                        </w:r>
                        <w:r>
                          <w:rPr>
                            <w:rFonts w:ascii="Arial"/>
                            <w:spacing w:val="-1"/>
                            <w:sz w:val="18"/>
                            <w:u w:val="thick" w:color="000000"/>
                          </w:rPr>
                          <w:t>9,278,038</w:t>
                        </w:r>
                        <w:r>
                          <w:rPr>
                            <w:rFonts w:ascii="Arial"/>
                            <w:spacing w:val="-1"/>
                            <w:sz w:val="18"/>
                          </w:rPr>
                        </w:r>
                      </w:p>
                    </w:tc>
                    <w:tc>
                      <w:tcPr>
                        <w:tcW w:w="185"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210"/>
                          <w:jc w:val="right"/>
                          <w:rPr>
                            <w:rFonts w:ascii="Arial" w:hAnsi="Arial" w:cs="Arial" w:eastAsia="Arial" w:hint="default"/>
                            <w:sz w:val="18"/>
                            <w:szCs w:val="18"/>
                          </w:rPr>
                        </w:pPr>
                        <w:r>
                          <w:rPr>
                            <w:rFonts w:ascii="Arial"/>
                            <w:sz w:val="18"/>
                          </w:rPr>
                          <w:t>(</w:t>
                        </w:r>
                        <w:r>
                          <w:rPr>
                            <w:rFonts w:ascii="Arial"/>
                            <w:spacing w:val="-5"/>
                            <w:sz w:val="18"/>
                          </w:rPr>
                          <w:t> </w:t>
                        </w:r>
                        <w:r>
                          <w:rPr>
                            <w:rFonts w:ascii="Arial"/>
                            <w:spacing w:val="-5"/>
                            <w:sz w:val="18"/>
                            <w:u w:val="thick" w:color="000000"/>
                          </w:rPr>
                          <w:t> </w:t>
                        </w:r>
                        <w:r>
                          <w:rPr>
                            <w:rFonts w:ascii="Arial"/>
                            <w:sz w:val="18"/>
                            <w:u w:val="thick" w:color="000000"/>
                          </w:rPr>
                          <w:t>246,833,990</w:t>
                        </w:r>
                        <w:r>
                          <w:rPr>
                            <w:rFonts w:ascii="Arial"/>
                            <w:sz w:val="18"/>
                          </w:rPr>
                          <w:t>)</w:t>
                        </w:r>
                      </w:p>
                    </w:tc>
                  </w:tr>
                  <w:tr>
                    <w:trPr>
                      <w:trHeight w:val="379" w:hRule="exact"/>
                    </w:trPr>
                    <w:tc>
                      <w:tcPr>
                        <w:tcW w:w="8286"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89"/>
                          <w:ind w:left="240" w:right="0"/>
                          <w:jc w:val="left"/>
                          <w:rPr>
                            <w:rFonts w:ascii="黑体" w:hAnsi="黑体" w:cs="黑体" w:eastAsia="黑体" w:hint="default"/>
                            <w:sz w:val="20"/>
                            <w:szCs w:val="20"/>
                          </w:rPr>
                        </w:pPr>
                        <w:r>
                          <w:rPr>
                            <w:rFonts w:ascii="黑体" w:hAnsi="黑体" w:cs="黑体" w:eastAsia="黑体" w:hint="default"/>
                            <w:sz w:val="20"/>
                            <w:szCs w:val="20"/>
                          </w:rPr>
                          <w:t>账面净值及账面价值</w:t>
                        </w:r>
                      </w:p>
                    </w:tc>
                  </w:tr>
                  <w:tr>
                    <w:trPr>
                      <w:trHeight w:val="259" w:hRule="exact"/>
                    </w:trPr>
                    <w:tc>
                      <w:tcPr>
                        <w:tcW w:w="1627" w:type="dxa"/>
                        <w:tcBorders>
                          <w:top w:val="nil" w:sz="6" w:space="0" w:color="auto"/>
                          <w:left w:val="nil" w:sz="6" w:space="0" w:color="auto"/>
                          <w:bottom w:val="nil" w:sz="6" w:space="0" w:color="auto"/>
                          <w:right w:val="nil" w:sz="6" w:space="0" w:color="auto"/>
                        </w:tcBorders>
                      </w:tcPr>
                      <w:p>
                        <w:pPr>
                          <w:pStyle w:val="TableParagraph"/>
                          <w:spacing w:line="227" w:lineRule="exact"/>
                          <w:ind w:left="200" w:right="0"/>
                          <w:jc w:val="left"/>
                          <w:rPr>
                            <w:rFonts w:ascii="黑体" w:hAnsi="黑体" w:cs="黑体" w:eastAsia="黑体" w:hint="default"/>
                            <w:sz w:val="20"/>
                            <w:szCs w:val="20"/>
                          </w:rPr>
                        </w:pPr>
                        <w:r>
                          <w:rPr>
                            <w:rFonts w:ascii="黑体" w:hAnsi="黑体" w:cs="黑体" w:eastAsia="黑体" w:hint="default"/>
                            <w:sz w:val="20"/>
                            <w:szCs w:val="20"/>
                          </w:rPr>
                          <w:t>房屋及建筑物</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7"/>
                          <w:jc w:val="right"/>
                          <w:rPr>
                            <w:rFonts w:ascii="Arial" w:hAnsi="Arial" w:cs="Arial" w:eastAsia="Arial" w:hint="default"/>
                            <w:sz w:val="18"/>
                            <w:szCs w:val="18"/>
                          </w:rPr>
                        </w:pPr>
                        <w:r>
                          <w:rPr>
                            <w:rFonts w:ascii="Arial"/>
                            <w:spacing w:val="-1"/>
                            <w:sz w:val="18"/>
                          </w:rPr>
                          <w:t>592,954,414</w:t>
                        </w:r>
                      </w:p>
                    </w:tc>
                    <w:tc>
                      <w:tcPr>
                        <w:tcW w:w="13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2"/>
                          <w:ind w:left="345" w:right="0"/>
                          <w:jc w:val="left"/>
                          <w:rPr>
                            <w:rFonts w:ascii="Arial" w:hAnsi="Arial" w:cs="Arial" w:eastAsia="Arial" w:hint="default"/>
                            <w:sz w:val="18"/>
                            <w:szCs w:val="18"/>
                          </w:rPr>
                        </w:pPr>
                        <w:r>
                          <w:rPr>
                            <w:rFonts w:ascii="Arial"/>
                            <w:sz w:val="18"/>
                          </w:rPr>
                          <w:t>72,635,293</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4"/>
                          <w:jc w:val="right"/>
                          <w:rPr>
                            <w:rFonts w:ascii="Arial" w:hAnsi="Arial" w:cs="Arial" w:eastAsia="Arial" w:hint="default"/>
                            <w:sz w:val="18"/>
                            <w:szCs w:val="18"/>
                          </w:rPr>
                        </w:pPr>
                        <w:r>
                          <w:rPr>
                            <w:rFonts w:ascii="Arial"/>
                            <w:sz w:val="18"/>
                          </w:rPr>
                          <w:t>(</w:t>
                        </w:r>
                        <w:r>
                          <w:rPr>
                            <w:rFonts w:ascii="Arial"/>
                            <w:spacing w:val="-39"/>
                            <w:sz w:val="18"/>
                          </w:rPr>
                          <w:t> </w:t>
                        </w:r>
                        <w:r>
                          <w:rPr>
                            <w:rFonts w:ascii="Arial"/>
                            <w:sz w:val="18"/>
                          </w:rPr>
                          <w:t>15,809,430</w:t>
                        </w:r>
                      </w:p>
                    </w:tc>
                    <w:tc>
                      <w:tcPr>
                        <w:tcW w:w="87"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8"/>
                          <w:jc w:val="right"/>
                          <w:rPr>
                            <w:rFonts w:ascii="Arial" w:hAnsi="Arial" w:cs="Arial" w:eastAsia="Arial" w:hint="default"/>
                            <w:sz w:val="18"/>
                            <w:szCs w:val="18"/>
                          </w:rPr>
                        </w:pPr>
                        <w:r>
                          <w:rPr>
                            <w:rFonts w:ascii="Arial"/>
                            <w:sz w:val="18"/>
                          </w:rPr>
                          <w:t>(  </w:t>
                        </w:r>
                        <w:r>
                          <w:rPr>
                            <w:rFonts w:ascii="Arial"/>
                            <w:spacing w:val="27"/>
                            <w:sz w:val="18"/>
                          </w:rPr>
                          <w:t> </w:t>
                        </w:r>
                        <w:r>
                          <w:rPr>
                            <w:rFonts w:ascii="Arial"/>
                            <w:sz w:val="18"/>
                          </w:rPr>
                          <w:t>584,949</w:t>
                        </w:r>
                      </w:p>
                    </w:tc>
                    <w:tc>
                      <w:tcPr>
                        <w:tcW w:w="185"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 w:right="0"/>
                          <w:jc w:val="left"/>
                          <w:rPr>
                            <w:rFonts w:ascii="Arial" w:hAnsi="Arial" w:cs="Arial" w:eastAsia="Arial" w:hint="default"/>
                            <w:sz w:val="18"/>
                            <w:szCs w:val="18"/>
                          </w:rPr>
                        </w:pPr>
                        <w:r>
                          <w:rPr>
                            <w:rFonts w:ascii="Arial"/>
                            <w:w w:val="99"/>
                            <w:sz w:val="18"/>
                          </w:rPr>
                          <w:t>)</w:t>
                        </w:r>
                        <w:r>
                          <w:rPr>
                            <w:rFonts w:ascii="Arial"/>
                            <w:sz w:val="18"/>
                          </w:rPr>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09"/>
                          <w:jc w:val="right"/>
                          <w:rPr>
                            <w:rFonts w:ascii="Arial" w:hAnsi="Arial" w:cs="Arial" w:eastAsia="Arial" w:hint="default"/>
                            <w:sz w:val="18"/>
                            <w:szCs w:val="18"/>
                          </w:rPr>
                        </w:pPr>
                        <w:r>
                          <w:rPr>
                            <w:rFonts w:ascii="Arial"/>
                            <w:spacing w:val="-1"/>
                            <w:sz w:val="18"/>
                          </w:rPr>
                          <w:t>649,195,328</w:t>
                        </w:r>
                      </w:p>
                    </w:tc>
                  </w:tr>
                  <w:tr>
                    <w:trPr>
                      <w:trHeight w:val="256" w:hRule="exact"/>
                    </w:trPr>
                    <w:tc>
                      <w:tcPr>
                        <w:tcW w:w="1627" w:type="dxa"/>
                        <w:tcBorders>
                          <w:top w:val="nil" w:sz="6" w:space="0" w:color="auto"/>
                          <w:left w:val="nil" w:sz="6" w:space="0" w:color="auto"/>
                          <w:bottom w:val="nil" w:sz="6" w:space="0" w:color="auto"/>
                          <w:right w:val="nil" w:sz="6" w:space="0" w:color="auto"/>
                        </w:tcBorders>
                      </w:tcPr>
                      <w:p>
                        <w:pPr>
                          <w:pStyle w:val="TableParagraph"/>
                          <w:spacing w:line="223" w:lineRule="exact"/>
                          <w:ind w:left="200" w:right="0"/>
                          <w:jc w:val="left"/>
                          <w:rPr>
                            <w:rFonts w:ascii="黑体" w:hAnsi="黑体" w:cs="黑体" w:eastAsia="黑体" w:hint="default"/>
                            <w:sz w:val="20"/>
                            <w:szCs w:val="20"/>
                          </w:rPr>
                        </w:pPr>
                        <w:r>
                          <w:rPr>
                            <w:rFonts w:ascii="黑体" w:hAnsi="黑体" w:cs="黑体" w:eastAsia="黑体" w:hint="default"/>
                            <w:sz w:val="20"/>
                            <w:szCs w:val="20"/>
                          </w:rPr>
                          <w:t>机器设备</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
                          <w:jc w:val="right"/>
                          <w:rPr>
                            <w:rFonts w:ascii="Arial" w:hAnsi="Arial" w:cs="Arial" w:eastAsia="Arial" w:hint="default"/>
                            <w:sz w:val="18"/>
                            <w:szCs w:val="18"/>
                          </w:rPr>
                        </w:pPr>
                        <w:r>
                          <w:rPr>
                            <w:rFonts w:ascii="Arial"/>
                            <w:spacing w:val="-1"/>
                            <w:sz w:val="18"/>
                          </w:rPr>
                          <w:t>68,547,483</w:t>
                        </w:r>
                      </w:p>
                    </w:tc>
                    <w:tc>
                      <w:tcPr>
                        <w:tcW w:w="13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8"/>
                          <w:ind w:left="345" w:right="0"/>
                          <w:jc w:val="left"/>
                          <w:rPr>
                            <w:rFonts w:ascii="Arial" w:hAnsi="Arial" w:cs="Arial" w:eastAsia="Arial" w:hint="default"/>
                            <w:sz w:val="18"/>
                            <w:szCs w:val="18"/>
                          </w:rPr>
                        </w:pPr>
                        <w:r>
                          <w:rPr>
                            <w:rFonts w:ascii="Arial"/>
                            <w:sz w:val="18"/>
                          </w:rPr>
                          <w:t>39,946,213</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
                          <w:jc w:val="right"/>
                          <w:rPr>
                            <w:rFonts w:ascii="Arial" w:hAnsi="Arial" w:cs="Arial" w:eastAsia="Arial" w:hint="default"/>
                            <w:sz w:val="18"/>
                            <w:szCs w:val="18"/>
                          </w:rPr>
                        </w:pPr>
                        <w:r>
                          <w:rPr>
                            <w:rFonts w:ascii="Arial"/>
                            <w:sz w:val="18"/>
                          </w:rPr>
                          <w:t>( </w:t>
                        </w:r>
                        <w:r>
                          <w:rPr>
                            <w:rFonts w:ascii="Arial"/>
                            <w:spacing w:val="29"/>
                            <w:sz w:val="18"/>
                          </w:rPr>
                          <w:t> </w:t>
                        </w:r>
                        <w:r>
                          <w:rPr>
                            <w:rFonts w:ascii="Arial"/>
                            <w:sz w:val="18"/>
                          </w:rPr>
                          <w:t>4,739,110</w:t>
                        </w:r>
                      </w:p>
                    </w:tc>
                    <w:tc>
                      <w:tcPr>
                        <w:tcW w:w="87"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
                          <w:jc w:val="right"/>
                          <w:rPr>
                            <w:rFonts w:ascii="Arial" w:hAnsi="Arial" w:cs="Arial" w:eastAsia="Arial" w:hint="default"/>
                            <w:sz w:val="18"/>
                            <w:szCs w:val="18"/>
                          </w:rPr>
                        </w:pPr>
                        <w:r>
                          <w:rPr>
                            <w:rFonts w:ascii="Arial"/>
                            <w:w w:val="99"/>
                            <w:sz w:val="18"/>
                          </w:rPr>
                          <w:t>-</w:t>
                        </w:r>
                        <w:r>
                          <w:rPr>
                            <w:rFonts w:ascii="Arial"/>
                            <w:sz w:val="18"/>
                          </w:rPr>
                        </w:r>
                      </w:p>
                    </w:tc>
                    <w:tc>
                      <w:tcPr>
                        <w:tcW w:w="185" w:type="dxa"/>
                        <w:tcBorders>
                          <w:top w:val="nil" w:sz="6" w:space="0" w:color="auto"/>
                          <w:left w:val="nil" w:sz="6" w:space="0" w:color="auto"/>
                          <w:bottom w:val="nil" w:sz="6" w:space="0" w:color="auto"/>
                          <w:right w:val="nil" w:sz="6" w:space="0" w:color="auto"/>
                        </w:tcBorders>
                      </w:tcPr>
                      <w:p>
                        <w:pP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9"/>
                          <w:jc w:val="right"/>
                          <w:rPr>
                            <w:rFonts w:ascii="Arial" w:hAnsi="Arial" w:cs="Arial" w:eastAsia="Arial" w:hint="default"/>
                            <w:sz w:val="18"/>
                            <w:szCs w:val="18"/>
                          </w:rPr>
                        </w:pPr>
                        <w:r>
                          <w:rPr>
                            <w:rFonts w:ascii="Arial"/>
                            <w:spacing w:val="-1"/>
                            <w:sz w:val="18"/>
                          </w:rPr>
                          <w:t>103,754,586</w:t>
                        </w:r>
                      </w:p>
                    </w:tc>
                  </w:tr>
                  <w:tr>
                    <w:trPr>
                      <w:trHeight w:val="256" w:hRule="exact"/>
                    </w:trPr>
                    <w:tc>
                      <w:tcPr>
                        <w:tcW w:w="1627" w:type="dxa"/>
                        <w:tcBorders>
                          <w:top w:val="nil" w:sz="6" w:space="0" w:color="auto"/>
                          <w:left w:val="nil" w:sz="6" w:space="0" w:color="auto"/>
                          <w:bottom w:val="nil" w:sz="6" w:space="0" w:color="auto"/>
                          <w:right w:val="nil" w:sz="6" w:space="0" w:color="auto"/>
                        </w:tcBorders>
                      </w:tcPr>
                      <w:p>
                        <w:pPr>
                          <w:pStyle w:val="TableParagraph"/>
                          <w:spacing w:line="224" w:lineRule="exact"/>
                          <w:ind w:left="200" w:right="0"/>
                          <w:jc w:val="left"/>
                          <w:rPr>
                            <w:rFonts w:ascii="黑体" w:hAnsi="黑体" w:cs="黑体" w:eastAsia="黑体" w:hint="default"/>
                            <w:sz w:val="20"/>
                            <w:szCs w:val="20"/>
                          </w:rPr>
                        </w:pPr>
                        <w:r>
                          <w:rPr>
                            <w:rFonts w:ascii="黑体" w:hAnsi="黑体" w:cs="黑体" w:eastAsia="黑体" w:hint="default"/>
                            <w:sz w:val="20"/>
                            <w:szCs w:val="20"/>
                          </w:rPr>
                          <w:t>运输工具</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
                          <w:jc w:val="right"/>
                          <w:rPr>
                            <w:rFonts w:ascii="Arial" w:hAnsi="Arial" w:cs="Arial" w:eastAsia="Arial" w:hint="default"/>
                            <w:sz w:val="18"/>
                            <w:szCs w:val="18"/>
                          </w:rPr>
                        </w:pPr>
                        <w:r>
                          <w:rPr>
                            <w:rFonts w:ascii="Arial"/>
                            <w:spacing w:val="-1"/>
                            <w:sz w:val="18"/>
                          </w:rPr>
                          <w:t>17,774,657</w:t>
                        </w:r>
                      </w:p>
                    </w:tc>
                    <w:tc>
                      <w:tcPr>
                        <w:tcW w:w="242"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6"/>
                          <w:jc w:val="right"/>
                          <w:rPr>
                            <w:rFonts w:ascii="Arial" w:hAnsi="Arial" w:cs="Arial" w:eastAsia="Arial" w:hint="default"/>
                            <w:sz w:val="18"/>
                            <w:szCs w:val="18"/>
                          </w:rPr>
                        </w:pPr>
                        <w:r>
                          <w:rPr>
                            <w:rFonts w:ascii="Arial"/>
                            <w:w w:val="99"/>
                            <w:sz w:val="18"/>
                          </w:rPr>
                          <w:t>-</w:t>
                        </w:r>
                        <w:r>
                          <w:rPr>
                            <w:rFonts w:ascii="Arial"/>
                            <w:sz w:val="18"/>
                          </w:rPr>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5"/>
                          <w:jc w:val="right"/>
                          <w:rPr>
                            <w:rFonts w:ascii="Arial" w:hAnsi="Arial" w:cs="Arial" w:eastAsia="Arial" w:hint="default"/>
                            <w:sz w:val="18"/>
                            <w:szCs w:val="18"/>
                          </w:rPr>
                        </w:pPr>
                        <w:r>
                          <w:rPr>
                            <w:rFonts w:ascii="Arial"/>
                            <w:sz w:val="18"/>
                          </w:rPr>
                          <w:t>( </w:t>
                        </w:r>
                        <w:r>
                          <w:rPr>
                            <w:rFonts w:ascii="Arial"/>
                            <w:spacing w:val="7"/>
                            <w:sz w:val="18"/>
                          </w:rPr>
                          <w:t> </w:t>
                        </w:r>
                        <w:r>
                          <w:rPr>
                            <w:rFonts w:ascii="Arial"/>
                            <w:sz w:val="18"/>
                          </w:rPr>
                          <w:t>1,106,941</w:t>
                        </w:r>
                      </w:p>
                    </w:tc>
                    <w:tc>
                      <w:tcPr>
                        <w:tcW w:w="87"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8"/>
                          <w:jc w:val="right"/>
                          <w:rPr>
                            <w:rFonts w:ascii="Arial" w:hAnsi="Arial" w:cs="Arial" w:eastAsia="Arial" w:hint="default"/>
                            <w:sz w:val="18"/>
                            <w:szCs w:val="18"/>
                          </w:rPr>
                        </w:pPr>
                        <w:r>
                          <w:rPr>
                            <w:rFonts w:ascii="Arial"/>
                            <w:sz w:val="18"/>
                          </w:rPr>
                          <w:t>(  </w:t>
                        </w:r>
                        <w:r>
                          <w:rPr>
                            <w:rFonts w:ascii="Arial"/>
                            <w:spacing w:val="36"/>
                            <w:sz w:val="18"/>
                          </w:rPr>
                          <w:t> </w:t>
                        </w:r>
                        <w:r>
                          <w:rPr>
                            <w:rFonts w:ascii="Arial"/>
                            <w:sz w:val="18"/>
                          </w:rPr>
                          <w:t>252,395</w:t>
                        </w:r>
                      </w:p>
                    </w:tc>
                    <w:tc>
                      <w:tcPr>
                        <w:tcW w:w="18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0" w:right="0"/>
                          <w:jc w:val="left"/>
                          <w:rPr>
                            <w:rFonts w:ascii="Arial" w:hAnsi="Arial" w:cs="Arial" w:eastAsia="Arial" w:hint="default"/>
                            <w:sz w:val="18"/>
                            <w:szCs w:val="18"/>
                          </w:rPr>
                        </w:pPr>
                        <w:r>
                          <w:rPr>
                            <w:rFonts w:ascii="Arial"/>
                            <w:w w:val="99"/>
                            <w:sz w:val="18"/>
                          </w:rPr>
                          <w:t>)</w:t>
                        </w:r>
                        <w:r>
                          <w:rPr>
                            <w:rFonts w:ascii="Arial"/>
                            <w:sz w:val="18"/>
                          </w:rPr>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10"/>
                          <w:jc w:val="right"/>
                          <w:rPr>
                            <w:rFonts w:ascii="Arial" w:hAnsi="Arial" w:cs="Arial" w:eastAsia="Arial" w:hint="default"/>
                            <w:sz w:val="18"/>
                            <w:szCs w:val="18"/>
                          </w:rPr>
                        </w:pPr>
                        <w:r>
                          <w:rPr>
                            <w:rFonts w:ascii="Arial"/>
                            <w:spacing w:val="-1"/>
                            <w:sz w:val="18"/>
                          </w:rPr>
                          <w:t>16,415,321</w:t>
                        </w:r>
                      </w:p>
                    </w:tc>
                  </w:tr>
                  <w:tr>
                    <w:trPr>
                      <w:trHeight w:val="395" w:hRule="exact"/>
                    </w:trPr>
                    <w:tc>
                      <w:tcPr>
                        <w:tcW w:w="1627" w:type="dxa"/>
                        <w:tcBorders>
                          <w:top w:val="nil" w:sz="6" w:space="0" w:color="auto"/>
                          <w:left w:val="nil" w:sz="6" w:space="0" w:color="auto"/>
                          <w:bottom w:val="nil" w:sz="6" w:space="0" w:color="auto"/>
                          <w:right w:val="nil" w:sz="6" w:space="0" w:color="auto"/>
                        </w:tcBorders>
                      </w:tcPr>
                      <w:p>
                        <w:pPr>
                          <w:pStyle w:val="TableParagraph"/>
                          <w:spacing w:line="223" w:lineRule="exact"/>
                          <w:ind w:left="200" w:right="0"/>
                          <w:jc w:val="left"/>
                          <w:rPr>
                            <w:rFonts w:ascii="黑体" w:hAnsi="黑体" w:cs="黑体" w:eastAsia="黑体" w:hint="default"/>
                            <w:sz w:val="20"/>
                            <w:szCs w:val="20"/>
                          </w:rPr>
                        </w:pPr>
                        <w:r>
                          <w:rPr>
                            <w:rFonts w:ascii="黑体" w:hAnsi="黑体" w:cs="黑体" w:eastAsia="黑体" w:hint="default"/>
                            <w:sz w:val="20"/>
                            <w:szCs w:val="20"/>
                          </w:rPr>
                          <w:t>办公及电子设备</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10"/>
                            <w:sz w:val="18"/>
                            <w:u w:val="single" w:color="000000"/>
                          </w:rPr>
                          <w:t> </w:t>
                        </w:r>
                        <w:r>
                          <w:rPr>
                            <w:rFonts w:ascii="Arial"/>
                            <w:spacing w:val="-1"/>
                            <w:sz w:val="18"/>
                            <w:u w:val="single" w:color="000000"/>
                          </w:rPr>
                          <w:t>64,206,381</w:t>
                        </w:r>
                        <w:r>
                          <w:rPr>
                            <w:rFonts w:ascii="Arial"/>
                            <w:spacing w:val="-1"/>
                            <w:sz w:val="18"/>
                          </w:rPr>
                        </w:r>
                      </w:p>
                    </w:tc>
                    <w:tc>
                      <w:tcPr>
                        <w:tcW w:w="242"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Style w:val="TableParagraph"/>
                          <w:tabs>
                            <w:tab w:pos="355" w:val="left" w:leader="none"/>
                          </w:tabs>
                          <w:spacing w:line="240" w:lineRule="auto" w:before="28"/>
                          <w:ind w:left="-3" w:right="14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173,267</w:t>
                        </w:r>
                        <w:r>
                          <w:rPr>
                            <w:rFonts w:ascii="Arial"/>
                            <w:spacing w:val="-1"/>
                            <w:sz w:val="18"/>
                          </w:rPr>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4"/>
                          <w:jc w:val="right"/>
                          <w:rPr>
                            <w:rFonts w:ascii="Arial" w:hAnsi="Arial" w:cs="Arial" w:eastAsia="Arial" w:hint="default"/>
                            <w:sz w:val="18"/>
                            <w:szCs w:val="18"/>
                          </w:rPr>
                        </w:pPr>
                        <w:r>
                          <w:rPr>
                            <w:rFonts w:ascii="Arial"/>
                            <w:spacing w:val="-1"/>
                            <w:sz w:val="18"/>
                          </w:rPr>
                          <w:t>(</w:t>
                        </w:r>
                        <w:r>
                          <w:rPr>
                            <w:rFonts w:ascii="Arial"/>
                            <w:spacing w:val="-1"/>
                            <w:sz w:val="18"/>
                            <w:u w:val="single" w:color="000000"/>
                          </w:rPr>
                          <w:t>14,483,144</w:t>
                        </w:r>
                        <w:r>
                          <w:rPr>
                            <w:rFonts w:ascii="Arial"/>
                            <w:spacing w:val="-1"/>
                            <w:sz w:val="18"/>
                          </w:rPr>
                        </w:r>
                      </w:p>
                    </w:tc>
                    <w:tc>
                      <w:tcPr>
                        <w:tcW w:w="87"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
                          <w:jc w:val="right"/>
                          <w:rPr>
                            <w:rFonts w:ascii="Arial" w:hAnsi="Arial" w:cs="Arial" w:eastAsia="Arial" w:hint="default"/>
                            <w:sz w:val="18"/>
                            <w:szCs w:val="18"/>
                          </w:rPr>
                        </w:pPr>
                        <w:r>
                          <w:rPr>
                            <w:rFonts w:ascii="Arial"/>
                            <w:sz w:val="18"/>
                          </w:rPr>
                          <w:t>(  </w:t>
                        </w:r>
                        <w:r>
                          <w:rPr>
                            <w:rFonts w:ascii="Arial"/>
                            <w:spacing w:val="41"/>
                            <w:sz w:val="18"/>
                          </w:rPr>
                          <w:t> </w:t>
                        </w:r>
                        <w:r>
                          <w:rPr>
                            <w:rFonts w:ascii="Arial"/>
                            <w:spacing w:val="41"/>
                            <w:sz w:val="18"/>
                            <w:u w:val="single" w:color="000000"/>
                          </w:rPr>
                          <w:t> </w:t>
                        </w:r>
                        <w:r>
                          <w:rPr>
                            <w:rFonts w:ascii="Arial"/>
                            <w:sz w:val="18"/>
                            <w:u w:val="single" w:color="000000"/>
                          </w:rPr>
                          <w:t>552,925</w:t>
                        </w:r>
                        <w:r>
                          <w:rPr>
                            <w:rFonts w:ascii="Arial"/>
                            <w:sz w:val="18"/>
                          </w:rPr>
                        </w:r>
                      </w:p>
                    </w:tc>
                    <w:tc>
                      <w:tcPr>
                        <w:tcW w:w="18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0" w:right="0"/>
                          <w:jc w:val="left"/>
                          <w:rPr>
                            <w:rFonts w:ascii="Arial" w:hAnsi="Arial" w:cs="Arial" w:eastAsia="Arial" w:hint="default"/>
                            <w:sz w:val="18"/>
                            <w:szCs w:val="18"/>
                          </w:rPr>
                        </w:pPr>
                        <w:r>
                          <w:rPr>
                            <w:rFonts w:ascii="Arial"/>
                            <w:w w:val="99"/>
                            <w:sz w:val="18"/>
                          </w:rPr>
                          <w:t>)</w:t>
                        </w:r>
                        <w:r>
                          <w:rPr>
                            <w:rFonts w:ascii="Arial"/>
                            <w:sz w:val="18"/>
                          </w:rPr>
                        </w:r>
                      </w:p>
                    </w:tc>
                    <w:tc>
                      <w:tcPr>
                        <w:tcW w:w="1471" w:type="dxa"/>
                        <w:tcBorders>
                          <w:top w:val="nil" w:sz="6" w:space="0" w:color="auto"/>
                          <w:left w:val="nil" w:sz="6" w:space="0" w:color="auto"/>
                          <w:bottom w:val="nil" w:sz="6" w:space="0" w:color="auto"/>
                          <w:right w:val="nil" w:sz="6" w:space="0" w:color="auto"/>
                        </w:tcBorders>
                      </w:tcPr>
                      <w:p>
                        <w:pPr>
                          <w:pStyle w:val="TableParagraph"/>
                          <w:tabs>
                            <w:tab w:pos="271" w:val="left" w:leader="none"/>
                          </w:tabs>
                          <w:spacing w:line="240" w:lineRule="auto" w:before="28"/>
                          <w:ind w:right="209"/>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49,343,579</w:t>
                        </w:r>
                        <w:r>
                          <w:rPr>
                            <w:rFonts w:ascii="Arial"/>
                            <w:spacing w:val="-1"/>
                            <w:sz w:val="18"/>
                          </w:rPr>
                        </w:r>
                      </w:p>
                    </w:tc>
                  </w:tr>
                  <w:tr>
                    <w:trPr>
                      <w:trHeight w:val="344" w:hRule="exact"/>
                    </w:trPr>
                    <w:tc>
                      <w:tcPr>
                        <w:tcW w:w="1627"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7"/>
                          <w:jc w:val="right"/>
                          <w:rPr>
                            <w:rFonts w:ascii="Arial" w:hAnsi="Arial" w:cs="Arial" w:eastAsia="Arial" w:hint="default"/>
                            <w:sz w:val="18"/>
                            <w:szCs w:val="18"/>
                          </w:rPr>
                        </w:pPr>
                        <w:r>
                          <w:rPr>
                            <w:rFonts w:ascii="Arial"/>
                            <w:w w:val="99"/>
                            <w:sz w:val="18"/>
                          </w:rPr>
                        </w:r>
                        <w:r>
                          <w:rPr>
                            <w:rFonts w:ascii="Arial"/>
                            <w:spacing w:val="-1"/>
                            <w:sz w:val="18"/>
                            <w:u w:val="thick" w:color="000000"/>
                          </w:rPr>
                          <w:t>743,482,935</w:t>
                        </w:r>
                        <w:r>
                          <w:rPr>
                            <w:rFonts w:ascii="Arial"/>
                            <w:spacing w:val="-1"/>
                            <w:sz w:val="18"/>
                          </w:rPr>
                        </w:r>
                      </w:p>
                    </w:tc>
                    <w:tc>
                      <w:tcPr>
                        <w:tcW w:w="13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1"/>
                          <w:ind w:left="244" w:right="0"/>
                          <w:jc w:val="left"/>
                          <w:rPr>
                            <w:rFonts w:ascii="Arial" w:hAnsi="Arial" w:cs="Arial" w:eastAsia="Arial" w:hint="default"/>
                            <w:sz w:val="18"/>
                            <w:szCs w:val="18"/>
                          </w:rPr>
                        </w:pPr>
                        <w:r>
                          <w:rPr>
                            <w:rFonts w:ascii="Arial"/>
                            <w:w w:val="99"/>
                            <w:sz w:val="18"/>
                          </w:rPr>
                        </w:r>
                        <w:r>
                          <w:rPr>
                            <w:rFonts w:ascii="Arial"/>
                            <w:sz w:val="18"/>
                            <w:u w:val="thick" w:color="000000"/>
                          </w:rPr>
                          <w:t>112,754,773</w:t>
                        </w:r>
                        <w:r>
                          <w:rPr>
                            <w:rFonts w:ascii="Arial"/>
                            <w:sz w:val="18"/>
                          </w:rPr>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4"/>
                          <w:jc w:val="right"/>
                          <w:rPr>
                            <w:rFonts w:ascii="Arial" w:hAnsi="Arial" w:cs="Arial" w:eastAsia="Arial" w:hint="default"/>
                            <w:sz w:val="18"/>
                            <w:szCs w:val="18"/>
                          </w:rPr>
                        </w:pPr>
                        <w:r>
                          <w:rPr>
                            <w:rFonts w:ascii="Arial"/>
                            <w:spacing w:val="-1"/>
                            <w:sz w:val="18"/>
                          </w:rPr>
                          <w:t>(</w:t>
                        </w:r>
                        <w:r>
                          <w:rPr>
                            <w:rFonts w:ascii="Arial"/>
                            <w:spacing w:val="-1"/>
                            <w:sz w:val="18"/>
                            <w:u w:val="thick" w:color="000000"/>
                          </w:rPr>
                          <w:t>36,138,625</w:t>
                        </w:r>
                        <w:r>
                          <w:rPr>
                            <w:rFonts w:ascii="Arial"/>
                            <w:spacing w:val="-1"/>
                            <w:sz w:val="18"/>
                          </w:rPr>
                        </w:r>
                      </w:p>
                    </w:tc>
                    <w:tc>
                      <w:tcPr>
                        <w:tcW w:w="87"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8"/>
                          <w:jc w:val="right"/>
                          <w:rPr>
                            <w:rFonts w:ascii="Arial" w:hAnsi="Arial" w:cs="Arial" w:eastAsia="Arial" w:hint="default"/>
                            <w:sz w:val="18"/>
                            <w:szCs w:val="18"/>
                          </w:rPr>
                        </w:pPr>
                        <w:r>
                          <w:rPr>
                            <w:rFonts w:ascii="Arial"/>
                            <w:sz w:val="18"/>
                          </w:rPr>
                          <w:t>(</w:t>
                        </w:r>
                        <w:r>
                          <w:rPr>
                            <w:rFonts w:ascii="Arial"/>
                            <w:spacing w:val="2"/>
                            <w:sz w:val="18"/>
                          </w:rPr>
                          <w:t> </w:t>
                        </w:r>
                        <w:r>
                          <w:rPr>
                            <w:rFonts w:ascii="Arial"/>
                            <w:sz w:val="18"/>
                            <w:u w:val="thick" w:color="000000"/>
                          </w:rPr>
                          <w:t>1,390,269</w:t>
                        </w:r>
                        <w:r>
                          <w:rPr>
                            <w:rFonts w:ascii="Arial"/>
                            <w:sz w:val="18"/>
                          </w:rPr>
                        </w:r>
                      </w:p>
                    </w:tc>
                    <w:tc>
                      <w:tcPr>
                        <w:tcW w:w="185"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20" w:right="0"/>
                          <w:jc w:val="left"/>
                          <w:rPr>
                            <w:rFonts w:ascii="Arial" w:hAnsi="Arial" w:cs="Arial" w:eastAsia="Arial" w:hint="default"/>
                            <w:sz w:val="18"/>
                            <w:szCs w:val="18"/>
                          </w:rPr>
                        </w:pPr>
                        <w:r>
                          <w:rPr>
                            <w:rFonts w:ascii="Arial"/>
                            <w:w w:val="99"/>
                            <w:sz w:val="18"/>
                          </w:rPr>
                          <w:t>)</w:t>
                        </w:r>
                        <w:r>
                          <w:rPr>
                            <w:rFonts w:ascii="Arial"/>
                            <w:sz w:val="18"/>
                          </w:rPr>
                        </w:r>
                      </w:p>
                    </w:tc>
                    <w:tc>
                      <w:tcPr>
                        <w:tcW w:w="1471"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209"/>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  </w:t>
                        </w:r>
                        <w:r>
                          <w:rPr>
                            <w:rFonts w:ascii="Arial"/>
                            <w:spacing w:val="-18"/>
                            <w:sz w:val="18"/>
                            <w:u w:val="thick" w:color="000000"/>
                          </w:rPr>
                          <w:t> </w:t>
                        </w:r>
                        <w:r>
                          <w:rPr>
                            <w:rFonts w:ascii="Arial"/>
                            <w:spacing w:val="-1"/>
                            <w:sz w:val="18"/>
                            <w:u w:val="thick" w:color="000000"/>
                          </w:rPr>
                          <w:t>818,708,814</w:t>
                        </w:r>
                        <w:r>
                          <w:rPr>
                            <w:rFonts w:ascii="Arial"/>
                            <w:spacing w:val="-1"/>
                            <w:sz w:val="18"/>
                          </w:rPr>
                        </w:r>
                      </w:p>
                    </w:tc>
                  </w:tr>
                </w:tbl>
                <w:p>
                  <w:pPr/>
                </w:p>
              </w:txbxContent>
            </v:textbox>
            <w10:wrap type="none"/>
          </v:shape>
        </w:pict>
      </w:r>
      <w:r>
        <w:rPr>
          <w:rFonts w:ascii="Arial"/>
          <w:w w:val="99"/>
          <w:sz w:val="18"/>
        </w:rPr>
        <w:t>)</w:t>
      </w:r>
      <w:r>
        <w:rPr>
          <w:rFonts w:ascii="Arial"/>
          <w:sz w:val="18"/>
        </w:rPr>
      </w:r>
    </w:p>
    <w:p>
      <w:pPr>
        <w:spacing w:before="47"/>
        <w:ind w:left="5952" w:right="1150" w:firstLine="0"/>
        <w:jc w:val="left"/>
        <w:rPr>
          <w:rFonts w:ascii="Arial" w:hAnsi="Arial" w:cs="Arial" w:eastAsia="Arial" w:hint="default"/>
          <w:sz w:val="18"/>
          <w:szCs w:val="18"/>
        </w:rPr>
      </w:pPr>
      <w:r>
        <w:rPr>
          <w:rFonts w:ascii="Arial"/>
          <w:w w:val="99"/>
          <w:sz w:val="18"/>
        </w:rPr>
        <w:t>)</w:t>
      </w:r>
      <w:r>
        <w:rPr>
          <w:rFonts w:ascii="Arial"/>
          <w:sz w:val="18"/>
        </w:rPr>
      </w:r>
    </w:p>
    <w:p>
      <w:pPr>
        <w:spacing w:before="50"/>
        <w:ind w:left="5952" w:right="1150" w:firstLine="0"/>
        <w:jc w:val="left"/>
        <w:rPr>
          <w:rFonts w:ascii="Arial" w:hAnsi="Arial" w:cs="Arial" w:eastAsia="Arial" w:hint="default"/>
          <w:sz w:val="18"/>
          <w:szCs w:val="18"/>
        </w:rPr>
      </w:pPr>
      <w:r>
        <w:rPr>
          <w:rFonts w:ascii="Arial"/>
          <w:w w:val="99"/>
          <w:sz w:val="18"/>
        </w:rPr>
        <w:t>)</w:t>
      </w:r>
      <w:r>
        <w:rPr>
          <w:rFonts w:ascii="Arial"/>
          <w:sz w:val="18"/>
        </w:rPr>
      </w:r>
    </w:p>
    <w:p>
      <w:pPr>
        <w:spacing w:before="47"/>
        <w:ind w:left="5952" w:right="1150" w:firstLine="0"/>
        <w:jc w:val="left"/>
        <w:rPr>
          <w:rFonts w:ascii="Arial" w:hAnsi="Arial" w:cs="Arial" w:eastAsia="Arial" w:hint="default"/>
          <w:sz w:val="18"/>
          <w:szCs w:val="18"/>
        </w:rPr>
      </w:pPr>
      <w:r>
        <w:rPr>
          <w:rFonts w:ascii="Arial"/>
          <w:w w:val="99"/>
          <w:sz w:val="18"/>
        </w:rPr>
        <w:t>)</w:t>
      </w:r>
      <w:r>
        <w:rPr>
          <w:rFonts w:ascii="Arial"/>
          <w:sz w:val="18"/>
        </w:rPr>
      </w:r>
    </w:p>
    <w:p>
      <w:pPr>
        <w:spacing w:line="240" w:lineRule="auto" w:before="1"/>
        <w:rPr>
          <w:rFonts w:ascii="Arial" w:hAnsi="Arial" w:cs="Arial" w:eastAsia="Arial" w:hint="default"/>
          <w:sz w:val="22"/>
          <w:szCs w:val="22"/>
        </w:rPr>
      </w:pPr>
    </w:p>
    <w:p>
      <w:pPr>
        <w:spacing w:before="77"/>
        <w:ind w:left="5952" w:right="1150" w:firstLine="0"/>
        <w:jc w:val="left"/>
        <w:rPr>
          <w:rFonts w:ascii="Arial" w:hAnsi="Arial" w:cs="Arial" w:eastAsia="Arial" w:hint="default"/>
          <w:sz w:val="18"/>
          <w:szCs w:val="18"/>
        </w:rPr>
      </w:pPr>
      <w:r>
        <w:rPr>
          <w:rFonts w:ascii="Arial"/>
          <w:w w:val="99"/>
          <w:sz w:val="18"/>
        </w:rPr>
        <w:t>)</w:t>
      </w:r>
      <w:r>
        <w:rPr>
          <w:rFonts w:ascii="Arial"/>
          <w:sz w:val="18"/>
        </w:rPr>
      </w:r>
    </w:p>
    <w:p>
      <w:pPr>
        <w:spacing w:line="240" w:lineRule="auto" w:before="0"/>
        <w:rPr>
          <w:rFonts w:ascii="Arial" w:hAnsi="Arial" w:cs="Arial" w:eastAsia="Arial" w:hint="default"/>
          <w:sz w:val="20"/>
          <w:szCs w:val="20"/>
        </w:rPr>
      </w:pPr>
    </w:p>
    <w:p>
      <w:pPr>
        <w:spacing w:line="240" w:lineRule="auto" w:before="10"/>
        <w:rPr>
          <w:rFonts w:ascii="Arial" w:hAnsi="Arial" w:cs="Arial" w:eastAsia="Arial" w:hint="default"/>
          <w:sz w:val="21"/>
          <w:szCs w:val="21"/>
        </w:rPr>
      </w:pPr>
    </w:p>
    <w:p>
      <w:pPr>
        <w:spacing w:before="77"/>
        <w:ind w:left="5974" w:right="1150" w:firstLine="0"/>
        <w:jc w:val="left"/>
        <w:rPr>
          <w:rFonts w:ascii="Arial" w:hAnsi="Arial" w:cs="Arial" w:eastAsia="Arial" w:hint="default"/>
          <w:sz w:val="18"/>
          <w:szCs w:val="18"/>
        </w:rPr>
      </w:pPr>
      <w:r>
        <w:rPr>
          <w:rFonts w:ascii="Arial"/>
          <w:w w:val="99"/>
          <w:sz w:val="18"/>
        </w:rPr>
        <w:t>)</w:t>
      </w:r>
      <w:r>
        <w:rPr>
          <w:rFonts w:ascii="Arial"/>
          <w:sz w:val="18"/>
        </w:rPr>
      </w:r>
    </w:p>
    <w:p>
      <w:pPr>
        <w:spacing w:before="47"/>
        <w:ind w:left="5974" w:right="1150" w:firstLine="0"/>
        <w:jc w:val="left"/>
        <w:rPr>
          <w:rFonts w:ascii="Arial" w:hAnsi="Arial" w:cs="Arial" w:eastAsia="Arial" w:hint="default"/>
          <w:sz w:val="18"/>
          <w:szCs w:val="18"/>
        </w:rPr>
      </w:pPr>
      <w:r>
        <w:rPr>
          <w:rFonts w:ascii="Arial"/>
          <w:w w:val="99"/>
          <w:sz w:val="18"/>
        </w:rPr>
        <w:t>)</w:t>
      </w:r>
      <w:r>
        <w:rPr>
          <w:rFonts w:ascii="Arial"/>
          <w:sz w:val="18"/>
        </w:rPr>
      </w:r>
    </w:p>
    <w:p>
      <w:pPr>
        <w:spacing w:before="50"/>
        <w:ind w:left="5974" w:right="1150" w:firstLine="0"/>
        <w:jc w:val="left"/>
        <w:rPr>
          <w:rFonts w:ascii="Arial" w:hAnsi="Arial" w:cs="Arial" w:eastAsia="Arial" w:hint="default"/>
          <w:sz w:val="18"/>
          <w:szCs w:val="18"/>
        </w:rPr>
      </w:pPr>
      <w:r>
        <w:rPr>
          <w:rFonts w:ascii="Arial"/>
          <w:w w:val="99"/>
          <w:sz w:val="18"/>
        </w:rPr>
        <w:t>)</w:t>
      </w:r>
      <w:r>
        <w:rPr>
          <w:rFonts w:ascii="Arial"/>
          <w:sz w:val="18"/>
        </w:rPr>
      </w:r>
    </w:p>
    <w:p>
      <w:pPr>
        <w:spacing w:before="47"/>
        <w:ind w:left="5974" w:right="1150" w:firstLine="0"/>
        <w:jc w:val="left"/>
        <w:rPr>
          <w:rFonts w:ascii="Arial" w:hAnsi="Arial" w:cs="Arial" w:eastAsia="Arial" w:hint="default"/>
          <w:sz w:val="18"/>
          <w:szCs w:val="18"/>
        </w:rPr>
      </w:pPr>
      <w:r>
        <w:rPr>
          <w:rFonts w:ascii="Arial"/>
          <w:w w:val="99"/>
          <w:sz w:val="18"/>
        </w:rPr>
        <w:t>)</w:t>
      </w:r>
      <w:r>
        <w:rPr>
          <w:rFonts w:ascii="Arial"/>
          <w:sz w:val="18"/>
        </w:rPr>
      </w:r>
    </w:p>
    <w:p>
      <w:pPr>
        <w:spacing w:line="240" w:lineRule="auto" w:before="6"/>
        <w:rPr>
          <w:rFonts w:ascii="Arial" w:hAnsi="Arial" w:cs="Arial" w:eastAsia="Arial" w:hint="default"/>
          <w:sz w:val="19"/>
          <w:szCs w:val="19"/>
        </w:rPr>
      </w:pPr>
    </w:p>
    <w:p>
      <w:pPr>
        <w:spacing w:before="77"/>
        <w:ind w:left="5974" w:right="1150" w:firstLine="0"/>
        <w:jc w:val="left"/>
        <w:rPr>
          <w:rFonts w:ascii="Arial" w:hAnsi="Arial" w:cs="Arial" w:eastAsia="Arial" w:hint="default"/>
          <w:sz w:val="18"/>
          <w:szCs w:val="18"/>
        </w:rPr>
      </w:pPr>
      <w:r>
        <w:rPr>
          <w:rFonts w:ascii="Arial"/>
          <w:w w:val="99"/>
          <w:sz w:val="18"/>
        </w:rPr>
        <w:t>)</w:t>
      </w:r>
      <w:r>
        <w:rPr>
          <w:rFonts w:ascii="Arial"/>
          <w:sz w:val="18"/>
        </w:rPr>
      </w:r>
    </w:p>
    <w:p>
      <w:pPr>
        <w:spacing w:after="0"/>
        <w:jc w:val="left"/>
        <w:rPr>
          <w:rFonts w:ascii="Arial" w:hAnsi="Arial" w:cs="Arial" w:eastAsia="Arial" w:hint="default"/>
          <w:sz w:val="18"/>
          <w:szCs w:val="18"/>
        </w:rPr>
        <w:sectPr>
          <w:headerReference w:type="default" r:id="rId77"/>
          <w:footerReference w:type="default" r:id="rId78"/>
          <w:pgSz w:w="11910" w:h="16850"/>
          <w:pgMar w:header="957" w:footer="473" w:top="2600" w:bottom="660" w:left="1600" w:right="1320"/>
          <w:pgNumType w:start="139"/>
        </w:sectPr>
      </w:pPr>
    </w:p>
    <w:p>
      <w:pPr>
        <w:spacing w:line="240" w:lineRule="auto" w:before="6"/>
        <w:rPr>
          <w:rFonts w:ascii="Arial" w:hAnsi="Arial" w:cs="Arial" w:eastAsia="Arial" w:hint="default"/>
          <w:sz w:val="19"/>
          <w:szCs w:val="19"/>
        </w:rPr>
      </w:pPr>
    </w:p>
    <w:p>
      <w:pPr>
        <w:pStyle w:val="Heading6"/>
        <w:spacing w:line="240" w:lineRule="auto"/>
        <w:ind w:left="141" w:right="0"/>
        <w:jc w:val="left"/>
        <w:rPr>
          <w:b w:val="0"/>
          <w:bCs w:val="0"/>
        </w:rPr>
      </w:pPr>
      <w:r>
        <w:rPr/>
        <w:t>十三、公司财务报表主要项目注释（续）</w:t>
      </w:r>
      <w:r>
        <w:rPr>
          <w:b w:val="0"/>
          <w:bCs w:val="0"/>
        </w:rPr>
      </w:r>
    </w:p>
    <w:p>
      <w:pPr>
        <w:spacing w:line="240" w:lineRule="auto" w:before="12"/>
        <w:rPr>
          <w:rFonts w:ascii="黑体" w:hAnsi="黑体" w:cs="黑体" w:eastAsia="黑体" w:hint="default"/>
          <w:b/>
          <w:bCs/>
          <w:sz w:val="14"/>
          <w:szCs w:val="14"/>
        </w:rPr>
      </w:pPr>
    </w:p>
    <w:tbl>
      <w:tblPr>
        <w:tblW w:w="0" w:type="auto"/>
        <w:jc w:val="left"/>
        <w:tblInd w:w="106" w:type="dxa"/>
        <w:tblLayout w:type="fixed"/>
        <w:tblCellMar>
          <w:top w:w="0" w:type="dxa"/>
          <w:left w:w="0" w:type="dxa"/>
          <w:bottom w:w="0" w:type="dxa"/>
          <w:right w:w="0" w:type="dxa"/>
        </w:tblCellMar>
        <w:tblLook w:val="01E0"/>
      </w:tblPr>
      <w:tblGrid>
        <w:gridCol w:w="2149"/>
        <w:gridCol w:w="1339"/>
        <w:gridCol w:w="1062"/>
        <w:gridCol w:w="1256"/>
        <w:gridCol w:w="1195"/>
        <w:gridCol w:w="1284"/>
        <w:gridCol w:w="1317"/>
      </w:tblGrid>
      <w:tr>
        <w:trPr>
          <w:trHeight w:val="1290" w:hRule="exact"/>
        </w:trPr>
        <w:tc>
          <w:tcPr>
            <w:tcW w:w="2149" w:type="dxa"/>
            <w:tcBorders>
              <w:top w:val="nil" w:sz="6" w:space="0" w:color="auto"/>
              <w:left w:val="nil" w:sz="6" w:space="0" w:color="auto"/>
              <w:bottom w:val="nil" w:sz="6" w:space="0" w:color="auto"/>
              <w:right w:val="nil" w:sz="6" w:space="0" w:color="auto"/>
            </w:tcBorders>
          </w:tcPr>
          <w:p>
            <w:pPr>
              <w:pStyle w:val="TableParagraph"/>
              <w:tabs>
                <w:tab w:pos="621" w:val="left" w:leader="none"/>
              </w:tabs>
              <w:spacing w:line="240" w:lineRule="auto" w:before="37"/>
              <w:ind w:right="51"/>
              <w:jc w:val="center"/>
              <w:rPr>
                <w:rFonts w:ascii="黑体" w:hAnsi="黑体" w:cs="黑体" w:eastAsia="黑体" w:hint="default"/>
                <w:sz w:val="20"/>
                <w:szCs w:val="20"/>
              </w:rPr>
            </w:pPr>
            <w:r>
              <w:rPr>
                <w:rFonts w:ascii="Arial" w:hAnsi="Arial" w:cs="Arial" w:eastAsia="Arial" w:hint="default"/>
                <w:b/>
                <w:bCs/>
                <w:spacing w:val="-1"/>
                <w:sz w:val="20"/>
                <w:szCs w:val="20"/>
              </w:rPr>
              <w:t>9.</w:t>
              <w:tab/>
            </w:r>
            <w:r>
              <w:rPr>
                <w:rFonts w:ascii="黑体" w:hAnsi="黑体" w:cs="黑体" w:eastAsia="黑体" w:hint="default"/>
                <w:b/>
                <w:bCs/>
                <w:spacing w:val="1"/>
                <w:sz w:val="20"/>
                <w:szCs w:val="20"/>
              </w:rPr>
              <w:t>固定资产（续）</w:t>
            </w:r>
            <w:r>
              <w:rPr>
                <w:rFonts w:ascii="黑体" w:hAnsi="黑体" w:cs="黑体" w:eastAsia="黑体" w:hint="default"/>
                <w:spacing w:val="1"/>
                <w:sz w:val="20"/>
                <w:szCs w:val="20"/>
              </w:rPr>
            </w:r>
          </w:p>
          <w:p>
            <w:pPr>
              <w:pStyle w:val="TableParagraph"/>
              <w:spacing w:line="240" w:lineRule="auto" w:before="8"/>
              <w:ind w:right="0"/>
              <w:jc w:val="left"/>
              <w:rPr>
                <w:rFonts w:ascii="黑体" w:hAnsi="黑体" w:cs="黑体" w:eastAsia="黑体" w:hint="default"/>
                <w:b/>
                <w:bCs/>
                <w:sz w:val="15"/>
                <w:szCs w:val="15"/>
              </w:rPr>
            </w:pPr>
          </w:p>
          <w:p>
            <w:pPr>
              <w:pStyle w:val="TableParagraph"/>
              <w:spacing w:line="240" w:lineRule="auto"/>
              <w:ind w:right="8"/>
              <w:jc w:val="center"/>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3"/>
              <w:ind w:right="0"/>
              <w:jc w:val="left"/>
              <w:rPr>
                <w:rFonts w:ascii="黑体" w:hAnsi="黑体" w:cs="黑体" w:eastAsia="黑体" w:hint="default"/>
                <w:b/>
                <w:bCs/>
                <w:sz w:val="16"/>
                <w:szCs w:val="16"/>
              </w:rPr>
            </w:pPr>
          </w:p>
          <w:p>
            <w:pPr>
              <w:pStyle w:val="TableParagraph"/>
              <w:spacing w:line="240" w:lineRule="auto"/>
              <w:ind w:left="506" w:right="0"/>
              <w:jc w:val="left"/>
              <w:rPr>
                <w:rFonts w:ascii="黑体" w:hAnsi="黑体" w:cs="黑体" w:eastAsia="黑体" w:hint="default"/>
                <w:sz w:val="20"/>
                <w:szCs w:val="20"/>
              </w:rPr>
            </w:pPr>
            <w:r>
              <w:rPr>
                <w:rFonts w:ascii="黑体" w:hAnsi="黑体" w:cs="黑体" w:eastAsia="黑体" w:hint="default"/>
                <w:sz w:val="20"/>
                <w:szCs w:val="20"/>
              </w:rPr>
              <w:t>年初数</w:t>
            </w:r>
          </w:p>
        </w:tc>
        <w:tc>
          <w:tcPr>
            <w:tcW w:w="1062" w:type="dxa"/>
            <w:tcBorders>
              <w:top w:val="nil" w:sz="6" w:space="0" w:color="auto"/>
              <w:left w:val="nil" w:sz="6" w:space="0" w:color="auto"/>
              <w:bottom w:val="single" w:sz="4" w:space="0" w:color="000000"/>
              <w:right w:val="nil" w:sz="6" w:space="0" w:color="auto"/>
            </w:tcBorders>
          </w:tcPr>
          <w:p>
            <w:pPr/>
          </w:p>
        </w:tc>
        <w:tc>
          <w:tcPr>
            <w:tcW w:w="125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3"/>
              <w:ind w:right="0"/>
              <w:jc w:val="left"/>
              <w:rPr>
                <w:rFonts w:ascii="黑体" w:hAnsi="黑体" w:cs="黑体" w:eastAsia="黑体" w:hint="default"/>
                <w:b/>
                <w:bCs/>
                <w:sz w:val="16"/>
                <w:szCs w:val="16"/>
              </w:rPr>
            </w:pPr>
          </w:p>
          <w:p>
            <w:pPr>
              <w:pStyle w:val="TableParagraph"/>
              <w:spacing w:line="240" w:lineRule="auto"/>
              <w:ind w:left="212" w:right="0"/>
              <w:jc w:val="left"/>
              <w:rPr>
                <w:rFonts w:ascii="黑体" w:hAnsi="黑体" w:cs="黑体" w:eastAsia="黑体" w:hint="default"/>
                <w:sz w:val="20"/>
                <w:szCs w:val="20"/>
              </w:rPr>
            </w:pPr>
            <w:r>
              <w:rPr>
                <w:rFonts w:ascii="黑体" w:hAnsi="黑体" w:cs="黑体" w:eastAsia="黑体" w:hint="default"/>
                <w:sz w:val="20"/>
                <w:szCs w:val="20"/>
              </w:rPr>
              <w:t>本年增加</w:t>
            </w:r>
          </w:p>
        </w:tc>
        <w:tc>
          <w:tcPr>
            <w:tcW w:w="1195" w:type="dxa"/>
            <w:tcBorders>
              <w:top w:val="nil" w:sz="6" w:space="0" w:color="auto"/>
              <w:left w:val="nil" w:sz="6" w:space="0" w:color="auto"/>
              <w:bottom w:val="single" w:sz="4" w:space="0" w:color="000000"/>
              <w:right w:val="nil" w:sz="6" w:space="0" w:color="auto"/>
            </w:tcBorders>
          </w:tcPr>
          <w:p>
            <w:pPr/>
          </w:p>
        </w:tc>
        <w:tc>
          <w:tcPr>
            <w:tcW w:w="2601"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3"/>
              <w:ind w:right="0"/>
              <w:jc w:val="left"/>
              <w:rPr>
                <w:rFonts w:ascii="黑体" w:hAnsi="黑体" w:cs="黑体" w:eastAsia="黑体" w:hint="default"/>
                <w:b/>
                <w:bCs/>
                <w:sz w:val="16"/>
                <w:szCs w:val="16"/>
              </w:rPr>
            </w:pPr>
          </w:p>
          <w:p>
            <w:pPr>
              <w:pStyle w:val="TableParagraph"/>
              <w:tabs>
                <w:tab w:pos="1967" w:val="left" w:leader="none"/>
              </w:tabs>
              <w:spacing w:line="240" w:lineRule="auto"/>
              <w:ind w:left="352" w:right="0"/>
              <w:jc w:val="left"/>
              <w:rPr>
                <w:rFonts w:ascii="黑体" w:hAnsi="黑体" w:cs="黑体" w:eastAsia="黑体" w:hint="default"/>
                <w:sz w:val="20"/>
                <w:szCs w:val="20"/>
              </w:rPr>
            </w:pPr>
            <w:r>
              <w:rPr>
                <w:rFonts w:ascii="黑体" w:hAnsi="黑体" w:cs="黑体" w:eastAsia="黑体" w:hint="default"/>
                <w:w w:val="95"/>
                <w:sz w:val="20"/>
                <w:szCs w:val="20"/>
              </w:rPr>
              <w:t>本年减少</w:t>
              <w:tab/>
            </w:r>
            <w:r>
              <w:rPr>
                <w:rFonts w:ascii="黑体" w:hAnsi="黑体" w:cs="黑体" w:eastAsia="黑体" w:hint="default"/>
                <w:sz w:val="20"/>
                <w:szCs w:val="20"/>
              </w:rPr>
              <w:t>年末数</w:t>
            </w:r>
          </w:p>
        </w:tc>
      </w:tr>
      <w:tr>
        <w:trPr>
          <w:trHeight w:val="575" w:hRule="exact"/>
        </w:trPr>
        <w:tc>
          <w:tcPr>
            <w:tcW w:w="2149"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
        </w:tc>
        <w:tc>
          <w:tcPr>
            <w:tcW w:w="1062"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right="136"/>
              <w:jc w:val="right"/>
              <w:rPr>
                <w:rFonts w:ascii="黑体" w:hAnsi="黑体" w:cs="黑体" w:eastAsia="黑体" w:hint="default"/>
                <w:sz w:val="20"/>
                <w:szCs w:val="20"/>
              </w:rPr>
            </w:pPr>
            <w:r>
              <w:rPr>
                <w:rFonts w:ascii="黑体" w:hAnsi="黑体" w:cs="黑体" w:eastAsia="黑体" w:hint="default"/>
                <w:w w:val="95"/>
                <w:sz w:val="20"/>
                <w:szCs w:val="20"/>
              </w:rPr>
              <w:t>收购</w:t>
            </w:r>
            <w:r>
              <w:rPr>
                <w:rFonts w:ascii="黑体" w:hAnsi="黑体" w:cs="黑体" w:eastAsia="黑体" w:hint="default"/>
                <w:sz w:val="20"/>
                <w:szCs w:val="20"/>
              </w:rPr>
            </w:r>
          </w:p>
        </w:tc>
        <w:tc>
          <w:tcPr>
            <w:tcW w:w="1256" w:type="dxa"/>
            <w:tcBorders>
              <w:top w:val="single" w:sz="4" w:space="0" w:color="000000"/>
              <w:left w:val="nil" w:sz="6" w:space="0" w:color="auto"/>
              <w:bottom w:val="nil" w:sz="6" w:space="0" w:color="auto"/>
              <w:right w:val="nil" w:sz="6" w:space="0" w:color="auto"/>
            </w:tcBorders>
          </w:tcPr>
          <w:p>
            <w:pPr>
              <w:pStyle w:val="TableParagraph"/>
              <w:spacing w:line="161" w:lineRule="exact"/>
              <w:ind w:left="339" w:right="0"/>
              <w:jc w:val="left"/>
              <w:rPr>
                <w:rFonts w:ascii="黑体" w:hAnsi="黑体" w:cs="黑体" w:eastAsia="黑体" w:hint="default"/>
                <w:sz w:val="20"/>
                <w:szCs w:val="20"/>
              </w:rPr>
            </w:pPr>
            <w:r>
              <w:rPr>
                <w:rFonts w:ascii="黑体" w:hAnsi="黑体" w:cs="黑体" w:eastAsia="黑体" w:hint="default"/>
                <w:sz w:val="20"/>
                <w:szCs w:val="20"/>
              </w:rPr>
              <w:t>在建工程</w:t>
            </w:r>
          </w:p>
          <w:p>
            <w:pPr>
              <w:pStyle w:val="TableParagraph"/>
              <w:spacing w:line="241" w:lineRule="exact"/>
              <w:ind w:left="737" w:right="0"/>
              <w:jc w:val="left"/>
              <w:rPr>
                <w:rFonts w:ascii="黑体" w:hAnsi="黑体" w:cs="黑体" w:eastAsia="黑体" w:hint="default"/>
                <w:sz w:val="20"/>
                <w:szCs w:val="20"/>
              </w:rPr>
            </w:pPr>
            <w:r>
              <w:rPr>
                <w:rFonts w:ascii="黑体" w:hAnsi="黑体" w:cs="黑体" w:eastAsia="黑体" w:hint="default"/>
                <w:sz w:val="20"/>
                <w:szCs w:val="20"/>
              </w:rPr>
              <w:t>转入</w:t>
            </w:r>
          </w:p>
        </w:tc>
        <w:tc>
          <w:tcPr>
            <w:tcW w:w="1195" w:type="dxa"/>
            <w:tcBorders>
              <w:top w:val="single" w:sz="4" w:space="0" w:color="000000"/>
              <w:left w:val="nil" w:sz="6" w:space="0" w:color="auto"/>
              <w:bottom w:val="nil" w:sz="6" w:space="0" w:color="auto"/>
              <w:right w:val="nil" w:sz="6" w:space="0" w:color="auto"/>
            </w:tcBorders>
          </w:tcPr>
          <w:p>
            <w:pPr>
              <w:pStyle w:val="TableParagraph"/>
              <w:spacing w:line="240" w:lineRule="auto" w:before="141"/>
              <w:ind w:right="79"/>
              <w:jc w:val="right"/>
              <w:rPr>
                <w:rFonts w:ascii="黑体" w:hAnsi="黑体" w:cs="黑体" w:eastAsia="黑体" w:hint="default"/>
                <w:sz w:val="20"/>
                <w:szCs w:val="20"/>
              </w:rPr>
            </w:pPr>
            <w:r>
              <w:rPr>
                <w:rFonts w:ascii="黑体" w:hAnsi="黑体" w:cs="黑体" w:eastAsia="黑体" w:hint="default"/>
                <w:w w:val="95"/>
                <w:sz w:val="20"/>
                <w:szCs w:val="20"/>
              </w:rPr>
              <w:t>其他</w:t>
            </w:r>
            <w:r>
              <w:rPr>
                <w:rFonts w:ascii="黑体" w:hAnsi="黑体" w:cs="黑体" w:eastAsia="黑体" w:hint="default"/>
                <w:sz w:val="20"/>
                <w:szCs w:val="20"/>
              </w:rPr>
            </w:r>
          </w:p>
        </w:tc>
        <w:tc>
          <w:tcPr>
            <w:tcW w:w="2601" w:type="dxa"/>
            <w:gridSpan w:val="2"/>
            <w:tcBorders>
              <w:top w:val="nil" w:sz="6" w:space="0" w:color="auto"/>
              <w:left w:val="nil" w:sz="6" w:space="0" w:color="auto"/>
              <w:bottom w:val="nil" w:sz="6" w:space="0" w:color="auto"/>
              <w:right w:val="nil" w:sz="6" w:space="0" w:color="auto"/>
            </w:tcBorders>
          </w:tcPr>
          <w:p>
            <w:pPr/>
          </w:p>
        </w:tc>
      </w:tr>
      <w:tr>
        <w:trPr>
          <w:trHeight w:val="383" w:hRule="exact"/>
        </w:trPr>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723" w:right="0"/>
              <w:jc w:val="left"/>
              <w:rPr>
                <w:rFonts w:ascii="黑体" w:hAnsi="黑体" w:cs="黑体" w:eastAsia="黑体" w:hint="default"/>
                <w:sz w:val="20"/>
                <w:szCs w:val="20"/>
              </w:rPr>
            </w:pPr>
            <w:r>
              <w:rPr>
                <w:rFonts w:ascii="黑体" w:hAnsi="黑体" w:cs="黑体" w:eastAsia="黑体" w:hint="default"/>
                <w:sz w:val="20"/>
                <w:szCs w:val="20"/>
              </w:rPr>
              <w:t>原价</w:t>
            </w:r>
          </w:p>
        </w:tc>
        <w:tc>
          <w:tcPr>
            <w:tcW w:w="1339"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
        </w:tc>
        <w:tc>
          <w:tcPr>
            <w:tcW w:w="1256"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
        </w:tc>
        <w:tc>
          <w:tcPr>
            <w:tcW w:w="2601" w:type="dxa"/>
            <w:gridSpan w:val="2"/>
            <w:tcBorders>
              <w:top w:val="nil" w:sz="6" w:space="0" w:color="auto"/>
              <w:left w:val="nil" w:sz="6" w:space="0" w:color="auto"/>
              <w:bottom w:val="nil" w:sz="6" w:space="0" w:color="auto"/>
              <w:right w:val="nil" w:sz="6" w:space="0" w:color="auto"/>
            </w:tcBorders>
          </w:tcPr>
          <w:p>
            <w:pPr/>
          </w:p>
        </w:tc>
      </w:tr>
      <w:tr>
        <w:trPr>
          <w:trHeight w:val="260" w:hRule="exact"/>
        </w:trPr>
        <w:tc>
          <w:tcPr>
            <w:tcW w:w="2149" w:type="dxa"/>
            <w:tcBorders>
              <w:top w:val="nil" w:sz="6" w:space="0" w:color="auto"/>
              <w:left w:val="nil" w:sz="6" w:space="0" w:color="auto"/>
              <w:bottom w:val="nil" w:sz="6" w:space="0" w:color="auto"/>
              <w:right w:val="nil" w:sz="6" w:space="0" w:color="auto"/>
            </w:tcBorders>
          </w:tcPr>
          <w:p>
            <w:pPr>
              <w:pStyle w:val="TableParagraph"/>
              <w:spacing w:line="228" w:lineRule="exact"/>
              <w:ind w:left="723" w:right="0"/>
              <w:jc w:val="left"/>
              <w:rPr>
                <w:rFonts w:ascii="黑体" w:hAnsi="黑体" w:cs="黑体" w:eastAsia="黑体" w:hint="default"/>
                <w:sz w:val="20"/>
                <w:szCs w:val="20"/>
              </w:rPr>
            </w:pPr>
            <w:r>
              <w:rPr>
                <w:rFonts w:ascii="黑体" w:hAnsi="黑体" w:cs="黑体" w:eastAsia="黑体" w:hint="default"/>
                <w:sz w:val="20"/>
                <w:szCs w:val="20"/>
              </w:rPr>
              <w:t>房屋及建筑物</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88" w:right="0"/>
              <w:jc w:val="left"/>
              <w:rPr>
                <w:rFonts w:ascii="Arial" w:hAnsi="Arial" w:cs="Arial" w:eastAsia="Arial" w:hint="default"/>
                <w:sz w:val="18"/>
                <w:szCs w:val="18"/>
              </w:rPr>
            </w:pPr>
            <w:r>
              <w:rPr>
                <w:rFonts w:ascii="Arial"/>
                <w:sz w:val="18"/>
              </w:rPr>
              <w:t>384,946,826</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36"/>
              <w:jc w:val="right"/>
              <w:rPr>
                <w:rFonts w:ascii="Arial" w:hAnsi="Arial" w:cs="Arial" w:eastAsia="Arial" w:hint="default"/>
                <w:sz w:val="18"/>
                <w:szCs w:val="18"/>
              </w:rPr>
            </w:pPr>
            <w:r>
              <w:rPr>
                <w:rFonts w:ascii="Arial"/>
                <w:w w:val="99"/>
                <w:sz w:val="18"/>
              </w:rPr>
              <w:t>-</w:t>
            </w:r>
            <w:r>
              <w:rPr>
                <w:rFonts w:ascii="Arial"/>
                <w:sz w:val="18"/>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5"/>
              <w:jc w:val="right"/>
              <w:rPr>
                <w:rFonts w:ascii="Arial" w:hAnsi="Arial" w:cs="Arial" w:eastAsia="Arial" w:hint="default"/>
                <w:sz w:val="18"/>
                <w:szCs w:val="18"/>
              </w:rPr>
            </w:pPr>
            <w:r>
              <w:rPr>
                <w:rFonts w:ascii="Arial"/>
                <w:spacing w:val="-1"/>
                <w:sz w:val="18"/>
              </w:rPr>
              <w:t>254,006,837</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4"/>
              <w:jc w:val="right"/>
              <w:rPr>
                <w:rFonts w:ascii="Arial" w:hAnsi="Arial" w:cs="Arial" w:eastAsia="Arial" w:hint="default"/>
                <w:sz w:val="18"/>
                <w:szCs w:val="18"/>
              </w:rPr>
            </w:pPr>
            <w:r>
              <w:rPr>
                <w:rFonts w:ascii="Arial"/>
                <w:w w:val="99"/>
                <w:sz w:val="18"/>
              </w:rPr>
              <w:t>-</w:t>
            </w:r>
            <w:r>
              <w:rPr>
                <w:rFonts w:ascii="Arial"/>
                <w:sz w:val="18"/>
              </w:rPr>
            </w:r>
          </w:p>
        </w:tc>
        <w:tc>
          <w:tcPr>
            <w:tcW w:w="2601" w:type="dxa"/>
            <w:gridSpan w:val="2"/>
            <w:tcBorders>
              <w:top w:val="nil" w:sz="6" w:space="0" w:color="auto"/>
              <w:left w:val="nil" w:sz="6" w:space="0" w:color="auto"/>
              <w:bottom w:val="nil" w:sz="6" w:space="0" w:color="auto"/>
              <w:right w:val="nil" w:sz="6" w:space="0" w:color="auto"/>
            </w:tcBorders>
          </w:tcPr>
          <w:p>
            <w:pPr>
              <w:pStyle w:val="TableParagraph"/>
              <w:tabs>
                <w:tab w:pos="1550" w:val="left" w:leader="none"/>
              </w:tabs>
              <w:spacing w:line="240" w:lineRule="auto" w:before="33"/>
              <w:ind w:left="1075" w:right="0"/>
              <w:jc w:val="left"/>
              <w:rPr>
                <w:rFonts w:ascii="Arial" w:hAnsi="Arial" w:cs="Arial" w:eastAsia="Arial" w:hint="default"/>
                <w:sz w:val="18"/>
                <w:szCs w:val="18"/>
              </w:rPr>
            </w:pPr>
            <w:r>
              <w:rPr>
                <w:rFonts w:ascii="Arial"/>
                <w:sz w:val="18"/>
              </w:rPr>
              <w:t>-</w:t>
              <w:tab/>
              <w:t>638,953,663</w:t>
            </w:r>
          </w:p>
        </w:tc>
      </w:tr>
      <w:tr>
        <w:trPr>
          <w:trHeight w:val="254" w:hRule="exact"/>
        </w:trPr>
        <w:tc>
          <w:tcPr>
            <w:tcW w:w="2149" w:type="dxa"/>
            <w:tcBorders>
              <w:top w:val="nil" w:sz="6" w:space="0" w:color="auto"/>
              <w:left w:val="nil" w:sz="6" w:space="0" w:color="auto"/>
              <w:bottom w:val="nil" w:sz="6" w:space="0" w:color="auto"/>
              <w:right w:val="nil" w:sz="6" w:space="0" w:color="auto"/>
            </w:tcBorders>
          </w:tcPr>
          <w:p>
            <w:pPr>
              <w:pStyle w:val="TableParagraph"/>
              <w:spacing w:line="223" w:lineRule="exact"/>
              <w:ind w:left="723" w:right="0"/>
              <w:jc w:val="left"/>
              <w:rPr>
                <w:rFonts w:ascii="黑体" w:hAnsi="黑体" w:cs="黑体" w:eastAsia="黑体" w:hint="default"/>
                <w:sz w:val="20"/>
                <w:szCs w:val="20"/>
              </w:rPr>
            </w:pPr>
            <w:r>
              <w:rPr>
                <w:rFonts w:ascii="黑体" w:hAnsi="黑体" w:cs="黑体" w:eastAsia="黑体" w:hint="default"/>
                <w:sz w:val="20"/>
                <w:szCs w:val="20"/>
              </w:rPr>
              <w:t>机器设备</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89" w:right="0"/>
              <w:jc w:val="left"/>
              <w:rPr>
                <w:rFonts w:ascii="Arial" w:hAnsi="Arial" w:cs="Arial" w:eastAsia="Arial" w:hint="default"/>
                <w:sz w:val="18"/>
                <w:szCs w:val="18"/>
              </w:rPr>
            </w:pPr>
            <w:r>
              <w:rPr>
                <w:rFonts w:ascii="Arial"/>
                <w:sz w:val="18"/>
              </w:rPr>
              <w:t>69,773,452</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6"/>
              <w:jc w:val="right"/>
              <w:rPr>
                <w:rFonts w:ascii="Arial" w:hAnsi="Arial" w:cs="Arial" w:eastAsia="Arial" w:hint="default"/>
                <w:sz w:val="18"/>
                <w:szCs w:val="18"/>
              </w:rPr>
            </w:pPr>
            <w:r>
              <w:rPr>
                <w:rFonts w:ascii="Arial"/>
                <w:w w:val="99"/>
                <w:sz w:val="18"/>
              </w:rPr>
              <w:t>-</w:t>
            </w:r>
            <w:r>
              <w:rPr>
                <w:rFonts w:ascii="Arial"/>
                <w:sz w:val="18"/>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6"/>
              <w:jc w:val="right"/>
              <w:rPr>
                <w:rFonts w:ascii="Arial" w:hAnsi="Arial" w:cs="Arial" w:eastAsia="Arial" w:hint="default"/>
                <w:sz w:val="18"/>
                <w:szCs w:val="18"/>
              </w:rPr>
            </w:pPr>
            <w:r>
              <w:rPr>
                <w:rFonts w:ascii="Arial"/>
                <w:spacing w:val="-1"/>
                <w:sz w:val="18"/>
              </w:rPr>
              <w:t>17,762,627</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4"/>
              <w:jc w:val="right"/>
              <w:rPr>
                <w:rFonts w:ascii="Arial" w:hAnsi="Arial" w:cs="Arial" w:eastAsia="Arial" w:hint="default"/>
                <w:sz w:val="18"/>
                <w:szCs w:val="18"/>
              </w:rPr>
            </w:pPr>
            <w:r>
              <w:rPr>
                <w:rFonts w:ascii="Arial"/>
                <w:w w:val="99"/>
                <w:sz w:val="18"/>
              </w:rPr>
              <w:t>-</w:t>
            </w:r>
            <w:r>
              <w:rPr>
                <w:rFonts w:ascii="Arial"/>
                <w:sz w:val="18"/>
              </w:rPr>
            </w:r>
          </w:p>
        </w:tc>
        <w:tc>
          <w:tcPr>
            <w:tcW w:w="2601" w:type="dxa"/>
            <w:gridSpan w:val="2"/>
            <w:tcBorders>
              <w:top w:val="nil" w:sz="6" w:space="0" w:color="auto"/>
              <w:left w:val="nil" w:sz="6" w:space="0" w:color="auto"/>
              <w:bottom w:val="nil" w:sz="6" w:space="0" w:color="auto"/>
              <w:right w:val="nil" w:sz="6" w:space="0" w:color="auto"/>
            </w:tcBorders>
          </w:tcPr>
          <w:p>
            <w:pPr>
              <w:pStyle w:val="TableParagraph"/>
              <w:tabs>
                <w:tab w:pos="1651" w:val="left" w:leader="none"/>
              </w:tabs>
              <w:spacing w:line="240" w:lineRule="auto" w:before="28"/>
              <w:ind w:left="1075" w:right="0"/>
              <w:jc w:val="left"/>
              <w:rPr>
                <w:rFonts w:ascii="Arial" w:hAnsi="Arial" w:cs="Arial" w:eastAsia="Arial" w:hint="default"/>
                <w:sz w:val="18"/>
                <w:szCs w:val="18"/>
              </w:rPr>
            </w:pPr>
            <w:r>
              <w:rPr>
                <w:rFonts w:ascii="Arial"/>
                <w:sz w:val="18"/>
              </w:rPr>
              <w:t>-</w:t>
              <w:tab/>
              <w:t>87,536,079</w:t>
            </w:r>
          </w:p>
        </w:tc>
      </w:tr>
      <w:tr>
        <w:trPr>
          <w:trHeight w:val="254" w:hRule="exact"/>
        </w:trPr>
        <w:tc>
          <w:tcPr>
            <w:tcW w:w="2149" w:type="dxa"/>
            <w:tcBorders>
              <w:top w:val="nil" w:sz="6" w:space="0" w:color="auto"/>
              <w:left w:val="nil" w:sz="6" w:space="0" w:color="auto"/>
              <w:bottom w:val="nil" w:sz="6" w:space="0" w:color="auto"/>
              <w:right w:val="nil" w:sz="6" w:space="0" w:color="auto"/>
            </w:tcBorders>
          </w:tcPr>
          <w:p>
            <w:pPr>
              <w:pStyle w:val="TableParagraph"/>
              <w:spacing w:line="223" w:lineRule="exact"/>
              <w:ind w:left="723" w:right="0"/>
              <w:jc w:val="left"/>
              <w:rPr>
                <w:rFonts w:ascii="黑体" w:hAnsi="黑体" w:cs="黑体" w:eastAsia="黑体" w:hint="default"/>
                <w:sz w:val="20"/>
                <w:szCs w:val="20"/>
              </w:rPr>
            </w:pPr>
            <w:r>
              <w:rPr>
                <w:rFonts w:ascii="黑体" w:hAnsi="黑体" w:cs="黑体" w:eastAsia="黑体" w:hint="default"/>
                <w:sz w:val="20"/>
                <w:szCs w:val="20"/>
              </w:rPr>
              <w:t>运输工具</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89" w:right="0"/>
              <w:jc w:val="left"/>
              <w:rPr>
                <w:rFonts w:ascii="Arial" w:hAnsi="Arial" w:cs="Arial" w:eastAsia="Arial" w:hint="default"/>
                <w:sz w:val="18"/>
                <w:szCs w:val="18"/>
              </w:rPr>
            </w:pPr>
            <w:r>
              <w:rPr>
                <w:rFonts w:ascii="Arial"/>
                <w:sz w:val="18"/>
              </w:rPr>
              <w:t>34,362,179</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6"/>
              <w:jc w:val="right"/>
              <w:rPr>
                <w:rFonts w:ascii="Arial" w:hAnsi="Arial" w:cs="Arial" w:eastAsia="Arial" w:hint="default"/>
                <w:sz w:val="18"/>
                <w:szCs w:val="18"/>
              </w:rPr>
            </w:pPr>
            <w:r>
              <w:rPr>
                <w:rFonts w:ascii="Arial"/>
                <w:w w:val="99"/>
                <w:sz w:val="18"/>
              </w:rPr>
              <w:t>-</w:t>
            </w:r>
            <w:r>
              <w:rPr>
                <w:rFonts w:ascii="Arial"/>
                <w:sz w:val="18"/>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8"/>
              <w:jc w:val="right"/>
              <w:rPr>
                <w:rFonts w:ascii="Arial" w:hAnsi="Arial" w:cs="Arial" w:eastAsia="Arial" w:hint="default"/>
                <w:sz w:val="18"/>
                <w:szCs w:val="18"/>
              </w:rPr>
            </w:pPr>
            <w:r>
              <w:rPr>
                <w:rFonts w:ascii="Arial"/>
                <w:w w:val="99"/>
                <w:sz w:val="18"/>
              </w:rPr>
              <w:t>-</w:t>
            </w:r>
            <w:r>
              <w:rPr>
                <w:rFonts w:ascii="Arial"/>
                <w:sz w:val="18"/>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297" w:right="0"/>
              <w:jc w:val="left"/>
              <w:rPr>
                <w:rFonts w:ascii="Arial" w:hAnsi="Arial" w:cs="Arial" w:eastAsia="Arial" w:hint="default"/>
                <w:sz w:val="18"/>
                <w:szCs w:val="18"/>
              </w:rPr>
            </w:pPr>
            <w:r>
              <w:rPr>
                <w:rFonts w:ascii="Arial"/>
                <w:sz w:val="18"/>
              </w:rPr>
              <w:t>4,309,236</w:t>
            </w:r>
          </w:p>
        </w:tc>
        <w:tc>
          <w:tcPr>
            <w:tcW w:w="2601" w:type="dxa"/>
            <w:gridSpan w:val="2"/>
            <w:tcBorders>
              <w:top w:val="nil" w:sz="6" w:space="0" w:color="auto"/>
              <w:left w:val="nil" w:sz="6" w:space="0" w:color="auto"/>
              <w:bottom w:val="nil" w:sz="6" w:space="0" w:color="auto"/>
              <w:right w:val="nil" w:sz="6" w:space="0" w:color="auto"/>
            </w:tcBorders>
          </w:tcPr>
          <w:p>
            <w:pPr>
              <w:pStyle w:val="TableParagraph"/>
              <w:tabs>
                <w:tab w:pos="1651" w:val="left" w:leader="none"/>
              </w:tabs>
              <w:spacing w:line="240" w:lineRule="auto" w:before="28"/>
              <w:ind w:left="170" w:right="0"/>
              <w:jc w:val="left"/>
              <w:rPr>
                <w:rFonts w:ascii="Arial" w:hAnsi="Arial" w:cs="Arial" w:eastAsia="Arial" w:hint="default"/>
                <w:sz w:val="18"/>
                <w:szCs w:val="18"/>
              </w:rPr>
            </w:pPr>
            <w:r>
              <w:rPr>
                <w:rFonts w:ascii="Arial"/>
                <w:sz w:val="18"/>
              </w:rPr>
              <w:t>( </w:t>
            </w:r>
            <w:r>
              <w:rPr>
                <w:rFonts w:ascii="Arial"/>
                <w:spacing w:val="36"/>
                <w:sz w:val="18"/>
              </w:rPr>
              <w:t> </w:t>
            </w:r>
            <w:r>
              <w:rPr>
                <w:rFonts w:ascii="Arial"/>
                <w:sz w:val="18"/>
              </w:rPr>
              <w:t>3,820,625)</w:t>
              <w:tab/>
              <w:t>34,850,790</w:t>
            </w:r>
          </w:p>
        </w:tc>
      </w:tr>
      <w:tr>
        <w:trPr>
          <w:trHeight w:val="397" w:hRule="exact"/>
        </w:trPr>
        <w:tc>
          <w:tcPr>
            <w:tcW w:w="2149" w:type="dxa"/>
            <w:tcBorders>
              <w:top w:val="nil" w:sz="6" w:space="0" w:color="auto"/>
              <w:left w:val="nil" w:sz="6" w:space="0" w:color="auto"/>
              <w:bottom w:val="nil" w:sz="6" w:space="0" w:color="auto"/>
              <w:right w:val="nil" w:sz="6" w:space="0" w:color="auto"/>
            </w:tcBorders>
          </w:tcPr>
          <w:p>
            <w:pPr>
              <w:pStyle w:val="TableParagraph"/>
              <w:spacing w:line="223" w:lineRule="exact"/>
              <w:ind w:left="723" w:right="0"/>
              <w:jc w:val="left"/>
              <w:rPr>
                <w:rFonts w:ascii="黑体" w:hAnsi="黑体" w:cs="黑体" w:eastAsia="黑体" w:hint="default"/>
                <w:sz w:val="20"/>
                <w:szCs w:val="20"/>
              </w:rPr>
            </w:pPr>
            <w:r>
              <w:rPr>
                <w:rFonts w:ascii="黑体" w:hAnsi="黑体" w:cs="黑体" w:eastAsia="黑体" w:hint="default"/>
                <w:sz w:val="20"/>
                <w:szCs w:val="20"/>
              </w:rPr>
              <w:t>办公及电子设备</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88" w:right="0"/>
              <w:jc w:val="left"/>
              <w:rPr>
                <w:rFonts w:ascii="Arial" w:hAnsi="Arial" w:cs="Arial" w:eastAsia="Arial" w:hint="default"/>
                <w:sz w:val="18"/>
                <w:szCs w:val="18"/>
              </w:rPr>
            </w:pPr>
            <w:r>
              <w:rPr>
                <w:rFonts w:ascii="Arial"/>
                <w:w w:val="99"/>
                <w:sz w:val="18"/>
              </w:rPr>
            </w:r>
            <w:r>
              <w:rPr>
                <w:rFonts w:ascii="Arial"/>
                <w:sz w:val="18"/>
                <w:u w:val="single" w:color="000000"/>
              </w:rPr>
              <w:t>154,301,372</w:t>
            </w:r>
            <w:r>
              <w:rPr>
                <w:rFonts w:ascii="Arial"/>
                <w:sz w:val="18"/>
              </w:rPr>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3"/>
              <w:jc w:val="right"/>
              <w:rPr>
                <w:rFonts w:ascii="Arial" w:hAnsi="Arial" w:cs="Arial" w:eastAsia="Arial" w:hint="default"/>
                <w:sz w:val="18"/>
                <w:szCs w:val="18"/>
              </w:rPr>
            </w:pPr>
            <w:r>
              <w:rPr>
                <w:rFonts w:ascii="Arial"/>
                <w:w w:val="100"/>
                <w:sz w:val="18"/>
              </w:rPr>
            </w:r>
            <w:r>
              <w:rPr>
                <w:rFonts w:ascii="Arial"/>
                <w:spacing w:val="5"/>
                <w:w w:val="100"/>
                <w:sz w:val="18"/>
                <w:u w:val="single" w:color="000000"/>
              </w:rPr>
              <w:t> </w:t>
            </w:r>
            <w:r>
              <w:rPr>
                <w:rFonts w:ascii="Arial"/>
                <w:spacing w:val="-1"/>
                <w:sz w:val="18"/>
                <w:u w:val="single" w:color="000000"/>
              </w:rPr>
              <w:t>1,364,083</w:t>
            </w:r>
            <w:r>
              <w:rPr>
                <w:rFonts w:ascii="Arial"/>
                <w:spacing w:val="-1"/>
                <w:sz w:val="18"/>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9"/>
                <w:sz w:val="18"/>
                <w:u w:val="single" w:color="000000"/>
              </w:rPr>
              <w:t> </w:t>
            </w:r>
            <w:r>
              <w:rPr>
                <w:rFonts w:ascii="Arial"/>
                <w:spacing w:val="-1"/>
                <w:sz w:val="18"/>
                <w:u w:val="single" w:color="000000"/>
              </w:rPr>
              <w:t>21,499,680</w:t>
            </w:r>
            <w:r>
              <w:rPr>
                <w:rFonts w:ascii="Arial"/>
                <w:spacing w:val="-1"/>
                <w:sz w:val="18"/>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99" w:right="0"/>
              <w:jc w:val="left"/>
              <w:rPr>
                <w:rFonts w:ascii="Arial" w:hAnsi="Arial" w:cs="Arial" w:eastAsia="Arial" w:hint="default"/>
                <w:sz w:val="18"/>
                <w:szCs w:val="18"/>
              </w:rPr>
            </w:pPr>
            <w:r>
              <w:rPr>
                <w:rFonts w:ascii="Arial"/>
                <w:w w:val="99"/>
                <w:sz w:val="18"/>
              </w:rPr>
            </w:r>
            <w:r>
              <w:rPr>
                <w:rFonts w:ascii="Arial"/>
                <w:sz w:val="18"/>
                <w:u w:val="single" w:color="000000"/>
              </w:rPr>
              <w:t>14,273,160</w:t>
            </w:r>
            <w:r>
              <w:rPr>
                <w:rFonts w:ascii="Arial"/>
                <w:sz w:val="18"/>
              </w:rPr>
            </w:r>
          </w:p>
        </w:tc>
        <w:tc>
          <w:tcPr>
            <w:tcW w:w="2601" w:type="dxa"/>
            <w:gridSpan w:val="2"/>
            <w:tcBorders>
              <w:top w:val="nil" w:sz="6" w:space="0" w:color="auto"/>
              <w:left w:val="nil" w:sz="6" w:space="0" w:color="auto"/>
              <w:bottom w:val="nil" w:sz="6" w:space="0" w:color="auto"/>
              <w:right w:val="nil" w:sz="6" w:space="0" w:color="auto"/>
            </w:tcBorders>
          </w:tcPr>
          <w:p>
            <w:pPr>
              <w:pStyle w:val="TableParagraph"/>
              <w:tabs>
                <w:tab w:pos="1550" w:val="left" w:leader="none"/>
              </w:tabs>
              <w:spacing w:line="240" w:lineRule="auto" w:before="28"/>
              <w:ind w:left="175" w:right="0"/>
              <w:jc w:val="left"/>
              <w:rPr>
                <w:rFonts w:ascii="Arial" w:hAnsi="Arial" w:cs="Arial" w:eastAsia="Arial" w:hint="default"/>
                <w:sz w:val="18"/>
                <w:szCs w:val="18"/>
              </w:rPr>
            </w:pPr>
            <w:r>
              <w:rPr>
                <w:rFonts w:ascii="Arial"/>
                <w:sz w:val="18"/>
              </w:rPr>
              <w:t>(</w:t>
            </w:r>
            <w:r>
              <w:rPr>
                <w:rFonts w:ascii="Arial"/>
                <w:sz w:val="18"/>
                <w:u w:val="single" w:color="000000"/>
              </w:rPr>
              <w:t>10,017,105</w:t>
            </w:r>
            <w:r>
              <w:rPr>
                <w:rFonts w:ascii="Arial"/>
                <w:spacing w:val="-19"/>
                <w:sz w:val="18"/>
                <w:u w:val="single" w:color="000000"/>
              </w:rPr>
              <w:t> </w:t>
            </w:r>
            <w:r>
              <w:rPr>
                <w:rFonts w:ascii="Arial"/>
                <w:spacing w:val="-19"/>
                <w:sz w:val="18"/>
              </w:rPr>
            </w:r>
            <w:r>
              <w:rPr>
                <w:rFonts w:ascii="Arial"/>
                <w:sz w:val="18"/>
              </w:rPr>
              <w:t>)</w:t>
              <w:tab/>
            </w:r>
            <w:r>
              <w:rPr>
                <w:rFonts w:ascii="Arial"/>
                <w:sz w:val="18"/>
                <w:u w:val="single" w:color="000000"/>
              </w:rPr>
              <w:t>181,421,190</w:t>
            </w:r>
            <w:r>
              <w:rPr>
                <w:rFonts w:ascii="Arial"/>
                <w:sz w:val="18"/>
              </w:rPr>
            </w:r>
          </w:p>
        </w:tc>
      </w:tr>
      <w:tr>
        <w:trPr>
          <w:trHeight w:val="496" w:hRule="exact"/>
        </w:trPr>
        <w:tc>
          <w:tcPr>
            <w:tcW w:w="2149"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88" w:right="0"/>
              <w:jc w:val="left"/>
              <w:rPr>
                <w:rFonts w:ascii="Arial" w:hAnsi="Arial" w:cs="Arial" w:eastAsia="Arial" w:hint="default"/>
                <w:sz w:val="18"/>
                <w:szCs w:val="18"/>
              </w:rPr>
            </w:pPr>
            <w:r>
              <w:rPr>
                <w:rFonts w:ascii="Arial"/>
                <w:w w:val="99"/>
                <w:sz w:val="18"/>
              </w:rPr>
            </w:r>
            <w:r>
              <w:rPr>
                <w:rFonts w:ascii="Arial"/>
                <w:sz w:val="18"/>
                <w:u w:val="thick" w:color="000000"/>
              </w:rPr>
              <w:t>643,383,829</w:t>
            </w:r>
            <w:r>
              <w:rPr>
                <w:rFonts w:ascii="Arial"/>
                <w:sz w:val="18"/>
              </w:rPr>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57"/>
              <w:jc w:val="right"/>
              <w:rPr>
                <w:rFonts w:ascii="Arial" w:hAnsi="Arial" w:cs="Arial" w:eastAsia="Arial" w:hint="default"/>
                <w:sz w:val="18"/>
                <w:szCs w:val="18"/>
              </w:rPr>
            </w:pPr>
            <w:r>
              <w:rPr>
                <w:rFonts w:ascii="Arial"/>
                <w:w w:val="100"/>
                <w:sz w:val="18"/>
              </w:rPr>
            </w:r>
            <w:r>
              <w:rPr>
                <w:rFonts w:ascii="Arial"/>
                <w:spacing w:val="-1"/>
                <w:sz w:val="18"/>
                <w:u w:val="thick" w:color="000000"/>
              </w:rPr>
              <w:t>1,364,083</w:t>
            </w:r>
            <w:r>
              <w:rPr>
                <w:rFonts w:ascii="Arial"/>
                <w:spacing w:val="-1"/>
                <w:sz w:val="18"/>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15"/>
              <w:jc w:val="right"/>
              <w:rPr>
                <w:rFonts w:ascii="Arial" w:hAnsi="Arial" w:cs="Arial" w:eastAsia="Arial" w:hint="default"/>
                <w:sz w:val="18"/>
                <w:szCs w:val="18"/>
              </w:rPr>
            </w:pPr>
            <w:r>
              <w:rPr>
                <w:rFonts w:ascii="Arial"/>
                <w:w w:val="99"/>
                <w:sz w:val="18"/>
              </w:rPr>
            </w:r>
            <w:r>
              <w:rPr>
                <w:rFonts w:ascii="Arial"/>
                <w:spacing w:val="-1"/>
                <w:sz w:val="18"/>
                <w:u w:val="thick" w:color="000000"/>
              </w:rPr>
              <w:t>293,269,144</w:t>
            </w:r>
            <w:r>
              <w:rPr>
                <w:rFonts w:ascii="Arial"/>
                <w:spacing w:val="-1"/>
                <w:sz w:val="18"/>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99" w:right="0"/>
              <w:jc w:val="left"/>
              <w:rPr>
                <w:rFonts w:ascii="Arial" w:hAnsi="Arial" w:cs="Arial" w:eastAsia="Arial" w:hint="default"/>
                <w:sz w:val="18"/>
                <w:szCs w:val="18"/>
              </w:rPr>
            </w:pPr>
            <w:r>
              <w:rPr>
                <w:rFonts w:ascii="Arial"/>
                <w:w w:val="99"/>
                <w:sz w:val="18"/>
              </w:rPr>
            </w:r>
            <w:r>
              <w:rPr>
                <w:rFonts w:ascii="Arial"/>
                <w:sz w:val="18"/>
                <w:u w:val="thick" w:color="000000"/>
              </w:rPr>
              <w:t>18,582,396</w:t>
            </w:r>
            <w:r>
              <w:rPr>
                <w:rFonts w:ascii="Arial"/>
                <w:sz w:val="18"/>
              </w:rPr>
            </w:r>
          </w:p>
        </w:tc>
        <w:tc>
          <w:tcPr>
            <w:tcW w:w="2601" w:type="dxa"/>
            <w:gridSpan w:val="2"/>
            <w:tcBorders>
              <w:top w:val="nil" w:sz="6" w:space="0" w:color="auto"/>
              <w:left w:val="nil" w:sz="6" w:space="0" w:color="auto"/>
              <w:bottom w:val="nil" w:sz="6" w:space="0" w:color="auto"/>
              <w:right w:val="nil" w:sz="6" w:space="0" w:color="auto"/>
            </w:tcBorders>
          </w:tcPr>
          <w:p>
            <w:pPr>
              <w:pStyle w:val="TableParagraph"/>
              <w:tabs>
                <w:tab w:pos="1550" w:val="left" w:leader="none"/>
              </w:tabs>
              <w:spacing w:line="240" w:lineRule="auto" w:before="142"/>
              <w:ind w:left="175" w:right="0"/>
              <w:jc w:val="left"/>
              <w:rPr>
                <w:rFonts w:ascii="Arial" w:hAnsi="Arial" w:cs="Arial" w:eastAsia="Arial" w:hint="default"/>
                <w:sz w:val="18"/>
                <w:szCs w:val="18"/>
              </w:rPr>
            </w:pPr>
            <w:r>
              <w:rPr>
                <w:rFonts w:ascii="Arial"/>
                <w:sz w:val="18"/>
              </w:rPr>
              <w:t>(</w:t>
            </w:r>
            <w:r>
              <w:rPr>
                <w:rFonts w:ascii="Arial"/>
                <w:sz w:val="18"/>
                <w:u w:val="thick" w:color="000000"/>
              </w:rPr>
              <w:t>13,837,730</w:t>
            </w:r>
            <w:r>
              <w:rPr>
                <w:rFonts w:ascii="Arial"/>
                <w:spacing w:val="-19"/>
                <w:sz w:val="18"/>
                <w:u w:val="thick" w:color="000000"/>
              </w:rPr>
              <w:t> </w:t>
            </w:r>
            <w:r>
              <w:rPr>
                <w:rFonts w:ascii="Arial"/>
                <w:spacing w:val="-19"/>
                <w:sz w:val="18"/>
              </w:rPr>
            </w:r>
            <w:r>
              <w:rPr>
                <w:rFonts w:ascii="Arial"/>
                <w:sz w:val="18"/>
              </w:rPr>
              <w:t>)</w:t>
              <w:tab/>
            </w:r>
            <w:r>
              <w:rPr>
                <w:rFonts w:ascii="Arial"/>
                <w:sz w:val="18"/>
                <w:u w:val="thick" w:color="000000"/>
              </w:rPr>
              <w:t>942,761,722</w:t>
            </w:r>
            <w:r>
              <w:rPr>
                <w:rFonts w:ascii="Arial"/>
                <w:sz w:val="18"/>
              </w:rPr>
            </w:r>
          </w:p>
        </w:tc>
      </w:tr>
      <w:tr>
        <w:trPr>
          <w:trHeight w:val="379" w:hRule="exact"/>
        </w:trPr>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88"/>
              <w:ind w:left="723" w:right="0"/>
              <w:jc w:val="left"/>
              <w:rPr>
                <w:rFonts w:ascii="黑体" w:hAnsi="黑体" w:cs="黑体" w:eastAsia="黑体" w:hint="default"/>
                <w:sz w:val="20"/>
                <w:szCs w:val="20"/>
              </w:rPr>
            </w:pPr>
            <w:r>
              <w:rPr>
                <w:rFonts w:ascii="黑体" w:hAnsi="黑体" w:cs="黑体" w:eastAsia="黑体" w:hint="default"/>
                <w:sz w:val="20"/>
                <w:szCs w:val="20"/>
              </w:rPr>
              <w:t>累计折旧</w:t>
            </w:r>
          </w:p>
        </w:tc>
        <w:tc>
          <w:tcPr>
            <w:tcW w:w="1339" w:type="dxa"/>
            <w:tcBorders>
              <w:top w:val="nil" w:sz="6" w:space="0" w:color="auto"/>
              <w:left w:val="nil" w:sz="6" w:space="0" w:color="auto"/>
              <w:bottom w:val="nil" w:sz="6" w:space="0" w:color="auto"/>
              <w:right w:val="nil" w:sz="6" w:space="0" w:color="auto"/>
            </w:tcBorders>
          </w:tcPr>
          <w:p>
            <w:pPr/>
          </w:p>
        </w:tc>
        <w:tc>
          <w:tcPr>
            <w:tcW w:w="1062" w:type="dxa"/>
            <w:tcBorders>
              <w:top w:val="nil" w:sz="6" w:space="0" w:color="auto"/>
              <w:left w:val="nil" w:sz="6" w:space="0" w:color="auto"/>
              <w:bottom w:val="nil" w:sz="6" w:space="0" w:color="auto"/>
              <w:right w:val="nil" w:sz="6" w:space="0" w:color="auto"/>
            </w:tcBorders>
          </w:tcPr>
          <w:p>
            <w:pPr/>
          </w:p>
        </w:tc>
        <w:tc>
          <w:tcPr>
            <w:tcW w:w="1256" w:type="dxa"/>
            <w:tcBorders>
              <w:top w:val="nil" w:sz="6" w:space="0" w:color="auto"/>
              <w:left w:val="nil" w:sz="6" w:space="0" w:color="auto"/>
              <w:bottom w:val="nil" w:sz="6" w:space="0" w:color="auto"/>
              <w:right w:val="nil" w:sz="6" w:space="0" w:color="auto"/>
            </w:tcBorders>
          </w:tcPr>
          <w:p>
            <w:pPr/>
          </w:p>
        </w:tc>
        <w:tc>
          <w:tcPr>
            <w:tcW w:w="1195" w:type="dxa"/>
            <w:tcBorders>
              <w:top w:val="nil" w:sz="6" w:space="0" w:color="auto"/>
              <w:left w:val="nil" w:sz="6" w:space="0" w:color="auto"/>
              <w:bottom w:val="nil" w:sz="6" w:space="0" w:color="auto"/>
              <w:right w:val="nil" w:sz="6" w:space="0" w:color="auto"/>
            </w:tcBorders>
          </w:tcPr>
          <w:p>
            <w:pPr/>
          </w:p>
        </w:tc>
        <w:tc>
          <w:tcPr>
            <w:tcW w:w="2601" w:type="dxa"/>
            <w:gridSpan w:val="2"/>
            <w:tcBorders>
              <w:top w:val="nil" w:sz="6" w:space="0" w:color="auto"/>
              <w:left w:val="nil" w:sz="6" w:space="0" w:color="auto"/>
              <w:bottom w:val="nil" w:sz="6" w:space="0" w:color="auto"/>
              <w:right w:val="nil" w:sz="6" w:space="0" w:color="auto"/>
            </w:tcBorders>
          </w:tcPr>
          <w:p>
            <w:pPr/>
          </w:p>
        </w:tc>
      </w:tr>
      <w:tr>
        <w:trPr>
          <w:trHeight w:val="260" w:hRule="exact"/>
        </w:trPr>
        <w:tc>
          <w:tcPr>
            <w:tcW w:w="2149" w:type="dxa"/>
            <w:tcBorders>
              <w:top w:val="nil" w:sz="6" w:space="0" w:color="auto"/>
              <w:left w:val="nil" w:sz="6" w:space="0" w:color="auto"/>
              <w:bottom w:val="nil" w:sz="6" w:space="0" w:color="auto"/>
              <w:right w:val="nil" w:sz="6" w:space="0" w:color="auto"/>
            </w:tcBorders>
          </w:tcPr>
          <w:p>
            <w:pPr>
              <w:pStyle w:val="TableParagraph"/>
              <w:spacing w:line="228" w:lineRule="exact"/>
              <w:ind w:left="723" w:right="0"/>
              <w:jc w:val="left"/>
              <w:rPr>
                <w:rFonts w:ascii="黑体" w:hAnsi="黑体" w:cs="黑体" w:eastAsia="黑体" w:hint="default"/>
                <w:sz w:val="20"/>
                <w:szCs w:val="20"/>
              </w:rPr>
            </w:pPr>
            <w:r>
              <w:rPr>
                <w:rFonts w:ascii="黑体" w:hAnsi="黑体" w:cs="黑体" w:eastAsia="黑体" w:hint="default"/>
                <w:sz w:val="20"/>
                <w:szCs w:val="20"/>
              </w:rPr>
              <w:t>房屋及建筑物</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79" w:right="0"/>
              <w:jc w:val="left"/>
              <w:rPr>
                <w:rFonts w:ascii="Arial" w:hAnsi="Arial" w:cs="Arial" w:eastAsia="Arial" w:hint="default"/>
                <w:sz w:val="18"/>
                <w:szCs w:val="18"/>
              </w:rPr>
            </w:pPr>
            <w:r>
              <w:rPr>
                <w:rFonts w:ascii="Arial"/>
                <w:sz w:val="18"/>
              </w:rPr>
              <w:t>(</w:t>
            </w:r>
            <w:r>
              <w:rPr>
                <w:rFonts w:ascii="Arial"/>
                <w:spacing w:val="7"/>
                <w:sz w:val="18"/>
              </w:rPr>
              <w:t> </w:t>
            </w:r>
            <w:r>
              <w:rPr>
                <w:rFonts w:ascii="Arial"/>
                <w:sz w:val="18"/>
              </w:rPr>
              <w:t>33,234,479)</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36"/>
              <w:jc w:val="right"/>
              <w:rPr>
                <w:rFonts w:ascii="Arial" w:hAnsi="Arial" w:cs="Arial" w:eastAsia="Arial" w:hint="default"/>
                <w:sz w:val="18"/>
                <w:szCs w:val="18"/>
              </w:rPr>
            </w:pPr>
            <w:r>
              <w:rPr>
                <w:rFonts w:ascii="Arial"/>
                <w:w w:val="99"/>
                <w:sz w:val="18"/>
              </w:rPr>
              <w:t>-</w:t>
            </w:r>
            <w:r>
              <w:rPr>
                <w:rFonts w:ascii="Arial"/>
                <w:sz w:val="18"/>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18"/>
              <w:jc w:val="right"/>
              <w:rPr>
                <w:rFonts w:ascii="Arial" w:hAnsi="Arial" w:cs="Arial" w:eastAsia="Arial" w:hint="default"/>
                <w:sz w:val="18"/>
                <w:szCs w:val="18"/>
              </w:rPr>
            </w:pPr>
            <w:r>
              <w:rPr>
                <w:rFonts w:ascii="Arial"/>
                <w:w w:val="99"/>
                <w:sz w:val="18"/>
              </w:rPr>
              <w:t>-</w:t>
            </w:r>
            <w:r>
              <w:rPr>
                <w:rFonts w:ascii="Arial"/>
                <w:sz w:val="18"/>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9"/>
              <w:jc w:val="right"/>
              <w:rPr>
                <w:rFonts w:ascii="Arial" w:hAnsi="Arial" w:cs="Arial" w:eastAsia="Arial" w:hint="default"/>
                <w:sz w:val="18"/>
                <w:szCs w:val="18"/>
              </w:rPr>
            </w:pPr>
            <w:r>
              <w:rPr>
                <w:rFonts w:ascii="Arial"/>
                <w:sz w:val="18"/>
              </w:rPr>
              <w:t>(12,764,770)</w:t>
            </w:r>
          </w:p>
        </w:tc>
        <w:tc>
          <w:tcPr>
            <w:tcW w:w="2601" w:type="dxa"/>
            <w:gridSpan w:val="2"/>
            <w:tcBorders>
              <w:top w:val="nil" w:sz="6" w:space="0" w:color="auto"/>
              <w:left w:val="nil" w:sz="6" w:space="0" w:color="auto"/>
              <w:bottom w:val="nil" w:sz="6" w:space="0" w:color="auto"/>
              <w:right w:val="nil" w:sz="6" w:space="0" w:color="auto"/>
            </w:tcBorders>
          </w:tcPr>
          <w:p>
            <w:pPr>
              <w:pStyle w:val="TableParagraph"/>
              <w:tabs>
                <w:tab w:pos="1420" w:val="left" w:leader="none"/>
              </w:tabs>
              <w:spacing w:line="240" w:lineRule="auto" w:before="33"/>
              <w:ind w:left="1075" w:right="0"/>
              <w:jc w:val="left"/>
              <w:rPr>
                <w:rFonts w:ascii="Arial" w:hAnsi="Arial" w:cs="Arial" w:eastAsia="Arial" w:hint="default"/>
                <w:sz w:val="18"/>
                <w:szCs w:val="18"/>
              </w:rPr>
            </w:pPr>
            <w:r>
              <w:rPr>
                <w:rFonts w:ascii="Arial"/>
                <w:sz w:val="18"/>
              </w:rPr>
              <w:t>-</w:t>
              <w:tab/>
              <w:t>( </w:t>
            </w:r>
            <w:r>
              <w:rPr>
                <w:rFonts w:ascii="Arial"/>
                <w:spacing w:val="5"/>
                <w:sz w:val="18"/>
              </w:rPr>
              <w:t> </w:t>
            </w:r>
            <w:r>
              <w:rPr>
                <w:rFonts w:ascii="Arial"/>
                <w:sz w:val="18"/>
              </w:rPr>
              <w:t>45,999,249)</w:t>
            </w:r>
          </w:p>
        </w:tc>
      </w:tr>
      <w:tr>
        <w:trPr>
          <w:trHeight w:val="254" w:hRule="exact"/>
        </w:trPr>
        <w:tc>
          <w:tcPr>
            <w:tcW w:w="2149" w:type="dxa"/>
            <w:tcBorders>
              <w:top w:val="nil" w:sz="6" w:space="0" w:color="auto"/>
              <w:left w:val="nil" w:sz="6" w:space="0" w:color="auto"/>
              <w:bottom w:val="nil" w:sz="6" w:space="0" w:color="auto"/>
              <w:right w:val="nil" w:sz="6" w:space="0" w:color="auto"/>
            </w:tcBorders>
          </w:tcPr>
          <w:p>
            <w:pPr>
              <w:pStyle w:val="TableParagraph"/>
              <w:spacing w:line="223" w:lineRule="exact"/>
              <w:ind w:left="723" w:right="0"/>
              <w:jc w:val="left"/>
              <w:rPr>
                <w:rFonts w:ascii="黑体" w:hAnsi="黑体" w:cs="黑体" w:eastAsia="黑体" w:hint="default"/>
                <w:sz w:val="20"/>
                <w:szCs w:val="20"/>
              </w:rPr>
            </w:pPr>
            <w:r>
              <w:rPr>
                <w:rFonts w:ascii="黑体" w:hAnsi="黑体" w:cs="黑体" w:eastAsia="黑体" w:hint="default"/>
                <w:sz w:val="20"/>
                <w:szCs w:val="20"/>
              </w:rPr>
              <w:t>机器设备</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79" w:right="0"/>
              <w:jc w:val="left"/>
              <w:rPr>
                <w:rFonts w:ascii="Arial" w:hAnsi="Arial" w:cs="Arial" w:eastAsia="Arial" w:hint="default"/>
                <w:sz w:val="18"/>
                <w:szCs w:val="18"/>
              </w:rPr>
            </w:pPr>
            <w:r>
              <w:rPr>
                <w:rFonts w:ascii="Arial"/>
                <w:sz w:val="18"/>
              </w:rPr>
              <w:t>(</w:t>
            </w:r>
            <w:r>
              <w:rPr>
                <w:rFonts w:ascii="Arial"/>
                <w:spacing w:val="7"/>
                <w:sz w:val="18"/>
              </w:rPr>
              <w:t> </w:t>
            </w:r>
            <w:r>
              <w:rPr>
                <w:rFonts w:ascii="Arial"/>
                <w:sz w:val="18"/>
              </w:rPr>
              <w:t>14,355,729)</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6"/>
              <w:jc w:val="right"/>
              <w:rPr>
                <w:rFonts w:ascii="Arial" w:hAnsi="Arial" w:cs="Arial" w:eastAsia="Arial" w:hint="default"/>
                <w:sz w:val="18"/>
                <w:szCs w:val="18"/>
              </w:rPr>
            </w:pPr>
            <w:r>
              <w:rPr>
                <w:rFonts w:ascii="Arial"/>
                <w:w w:val="99"/>
                <w:sz w:val="18"/>
              </w:rPr>
              <w:t>-</w:t>
            </w:r>
            <w:r>
              <w:rPr>
                <w:rFonts w:ascii="Arial"/>
                <w:sz w:val="18"/>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8"/>
              <w:jc w:val="right"/>
              <w:rPr>
                <w:rFonts w:ascii="Arial" w:hAnsi="Arial" w:cs="Arial" w:eastAsia="Arial" w:hint="default"/>
                <w:sz w:val="18"/>
                <w:szCs w:val="18"/>
              </w:rPr>
            </w:pPr>
            <w:r>
              <w:rPr>
                <w:rFonts w:ascii="Arial"/>
                <w:w w:val="99"/>
                <w:sz w:val="18"/>
              </w:rPr>
              <w:t>-</w:t>
            </w:r>
            <w:r>
              <w:rPr>
                <w:rFonts w:ascii="Arial"/>
                <w:sz w:val="18"/>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9"/>
              <w:jc w:val="right"/>
              <w:rPr>
                <w:rFonts w:ascii="Arial" w:hAnsi="Arial" w:cs="Arial" w:eastAsia="Arial" w:hint="default"/>
                <w:sz w:val="18"/>
                <w:szCs w:val="18"/>
              </w:rPr>
            </w:pPr>
            <w:r>
              <w:rPr>
                <w:rFonts w:ascii="Arial"/>
                <w:sz w:val="18"/>
              </w:rPr>
              <w:t>( </w:t>
            </w:r>
            <w:r>
              <w:rPr>
                <w:rFonts w:ascii="Arial"/>
                <w:spacing w:val="29"/>
                <w:sz w:val="18"/>
              </w:rPr>
              <w:t> </w:t>
            </w:r>
            <w:r>
              <w:rPr>
                <w:rFonts w:ascii="Arial"/>
                <w:sz w:val="18"/>
              </w:rPr>
              <w:t>4,632,867)</w:t>
            </w:r>
          </w:p>
        </w:tc>
        <w:tc>
          <w:tcPr>
            <w:tcW w:w="2601" w:type="dxa"/>
            <w:gridSpan w:val="2"/>
            <w:tcBorders>
              <w:top w:val="nil" w:sz="6" w:space="0" w:color="auto"/>
              <w:left w:val="nil" w:sz="6" w:space="0" w:color="auto"/>
              <w:bottom w:val="nil" w:sz="6" w:space="0" w:color="auto"/>
              <w:right w:val="nil" w:sz="6" w:space="0" w:color="auto"/>
            </w:tcBorders>
          </w:tcPr>
          <w:p>
            <w:pPr>
              <w:pStyle w:val="TableParagraph"/>
              <w:tabs>
                <w:tab w:pos="1420" w:val="left" w:leader="none"/>
              </w:tabs>
              <w:spacing w:line="240" w:lineRule="auto" w:before="28"/>
              <w:ind w:left="1075" w:right="0"/>
              <w:jc w:val="left"/>
              <w:rPr>
                <w:rFonts w:ascii="Arial" w:hAnsi="Arial" w:cs="Arial" w:eastAsia="Arial" w:hint="default"/>
                <w:sz w:val="18"/>
                <w:szCs w:val="18"/>
              </w:rPr>
            </w:pPr>
            <w:r>
              <w:rPr>
                <w:rFonts w:ascii="Arial"/>
                <w:sz w:val="18"/>
              </w:rPr>
              <w:t>-</w:t>
              <w:tab/>
              <w:t>( </w:t>
            </w:r>
            <w:r>
              <w:rPr>
                <w:rFonts w:ascii="Arial"/>
                <w:spacing w:val="5"/>
                <w:sz w:val="18"/>
              </w:rPr>
              <w:t> </w:t>
            </w:r>
            <w:r>
              <w:rPr>
                <w:rFonts w:ascii="Arial"/>
                <w:sz w:val="18"/>
              </w:rPr>
              <w:t>18,988,596)</w:t>
            </w:r>
          </w:p>
        </w:tc>
      </w:tr>
      <w:tr>
        <w:trPr>
          <w:trHeight w:val="253" w:hRule="exact"/>
        </w:trPr>
        <w:tc>
          <w:tcPr>
            <w:tcW w:w="2149" w:type="dxa"/>
            <w:tcBorders>
              <w:top w:val="nil" w:sz="6" w:space="0" w:color="auto"/>
              <w:left w:val="nil" w:sz="6" w:space="0" w:color="auto"/>
              <w:bottom w:val="nil" w:sz="6" w:space="0" w:color="auto"/>
              <w:right w:val="nil" w:sz="6" w:space="0" w:color="auto"/>
            </w:tcBorders>
          </w:tcPr>
          <w:p>
            <w:pPr>
              <w:pStyle w:val="TableParagraph"/>
              <w:spacing w:line="223" w:lineRule="exact"/>
              <w:ind w:left="723" w:right="0"/>
              <w:jc w:val="left"/>
              <w:rPr>
                <w:rFonts w:ascii="黑体" w:hAnsi="黑体" w:cs="黑体" w:eastAsia="黑体" w:hint="default"/>
                <w:sz w:val="20"/>
                <w:szCs w:val="20"/>
              </w:rPr>
            </w:pPr>
            <w:r>
              <w:rPr>
                <w:rFonts w:ascii="黑体" w:hAnsi="黑体" w:cs="黑体" w:eastAsia="黑体" w:hint="default"/>
                <w:sz w:val="20"/>
                <w:szCs w:val="20"/>
              </w:rPr>
              <w:t>运输工具</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79" w:right="0"/>
              <w:jc w:val="left"/>
              <w:rPr>
                <w:rFonts w:ascii="Arial" w:hAnsi="Arial" w:cs="Arial" w:eastAsia="Arial" w:hint="default"/>
                <w:sz w:val="18"/>
                <w:szCs w:val="18"/>
              </w:rPr>
            </w:pPr>
            <w:r>
              <w:rPr>
                <w:rFonts w:ascii="Arial"/>
                <w:sz w:val="18"/>
              </w:rPr>
              <w:t>(</w:t>
            </w:r>
            <w:r>
              <w:rPr>
                <w:rFonts w:ascii="Arial"/>
                <w:spacing w:val="7"/>
                <w:sz w:val="18"/>
              </w:rPr>
              <w:t> </w:t>
            </w:r>
            <w:r>
              <w:rPr>
                <w:rFonts w:ascii="Arial"/>
                <w:sz w:val="18"/>
              </w:rPr>
              <w:t>16,243,848)</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6"/>
              <w:jc w:val="right"/>
              <w:rPr>
                <w:rFonts w:ascii="Arial" w:hAnsi="Arial" w:cs="Arial" w:eastAsia="Arial" w:hint="default"/>
                <w:sz w:val="18"/>
                <w:szCs w:val="18"/>
              </w:rPr>
            </w:pPr>
            <w:r>
              <w:rPr>
                <w:rFonts w:ascii="Arial"/>
                <w:w w:val="99"/>
                <w:sz w:val="18"/>
              </w:rPr>
              <w:t>-</w:t>
            </w:r>
            <w:r>
              <w:rPr>
                <w:rFonts w:ascii="Arial"/>
                <w:sz w:val="18"/>
              </w:rPr>
            </w:r>
          </w:p>
        </w:tc>
        <w:tc>
          <w:tcPr>
            <w:tcW w:w="1256"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18"/>
              <w:jc w:val="right"/>
              <w:rPr>
                <w:rFonts w:ascii="Arial" w:hAnsi="Arial" w:cs="Arial" w:eastAsia="Arial" w:hint="default"/>
                <w:sz w:val="18"/>
                <w:szCs w:val="18"/>
              </w:rPr>
            </w:pPr>
            <w:r>
              <w:rPr>
                <w:rFonts w:ascii="Arial"/>
                <w:w w:val="99"/>
                <w:sz w:val="18"/>
              </w:rPr>
              <w:t>-</w:t>
            </w:r>
            <w:r>
              <w:rPr>
                <w:rFonts w:ascii="Arial"/>
                <w:sz w:val="18"/>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9"/>
              <w:jc w:val="right"/>
              <w:rPr>
                <w:rFonts w:ascii="Arial" w:hAnsi="Arial" w:cs="Arial" w:eastAsia="Arial" w:hint="default"/>
                <w:sz w:val="18"/>
                <w:szCs w:val="18"/>
              </w:rPr>
            </w:pPr>
            <w:r>
              <w:rPr>
                <w:rFonts w:ascii="Arial"/>
                <w:sz w:val="18"/>
              </w:rPr>
              <w:t>( </w:t>
            </w:r>
            <w:r>
              <w:rPr>
                <w:rFonts w:ascii="Arial"/>
                <w:spacing w:val="29"/>
                <w:sz w:val="18"/>
              </w:rPr>
              <w:t> </w:t>
            </w:r>
            <w:r>
              <w:rPr>
                <w:rFonts w:ascii="Arial"/>
                <w:sz w:val="18"/>
              </w:rPr>
              <w:t>4,287,966)</w:t>
            </w:r>
          </w:p>
        </w:tc>
        <w:tc>
          <w:tcPr>
            <w:tcW w:w="2601" w:type="dxa"/>
            <w:gridSpan w:val="2"/>
            <w:tcBorders>
              <w:top w:val="nil" w:sz="6" w:space="0" w:color="auto"/>
              <w:left w:val="nil" w:sz="6" w:space="0" w:color="auto"/>
              <w:bottom w:val="nil" w:sz="6" w:space="0" w:color="auto"/>
              <w:right w:val="nil" w:sz="6" w:space="0" w:color="auto"/>
            </w:tcBorders>
          </w:tcPr>
          <w:p>
            <w:pPr>
              <w:pStyle w:val="TableParagraph"/>
              <w:tabs>
                <w:tab w:pos="1425" w:val="left" w:leader="none"/>
              </w:tabs>
              <w:spacing w:line="240" w:lineRule="auto" w:before="28"/>
              <w:ind w:left="333" w:right="0"/>
              <w:jc w:val="left"/>
              <w:rPr>
                <w:rFonts w:ascii="Arial" w:hAnsi="Arial" w:cs="Arial" w:eastAsia="Arial" w:hint="default"/>
                <w:sz w:val="18"/>
                <w:szCs w:val="18"/>
              </w:rPr>
            </w:pPr>
            <w:r>
              <w:rPr>
                <w:rFonts w:ascii="Arial"/>
                <w:spacing w:val="-1"/>
                <w:sz w:val="18"/>
              </w:rPr>
              <w:t>3,455,681</w:t>
              <w:tab/>
            </w:r>
            <w:r>
              <w:rPr>
                <w:rFonts w:ascii="Arial"/>
                <w:sz w:val="18"/>
              </w:rPr>
              <w:t>( </w:t>
            </w:r>
            <w:r>
              <w:rPr>
                <w:rFonts w:ascii="Arial"/>
                <w:spacing w:val="11"/>
                <w:sz w:val="18"/>
              </w:rPr>
              <w:t> </w:t>
            </w:r>
            <w:r>
              <w:rPr>
                <w:rFonts w:ascii="Arial"/>
                <w:spacing w:val="-1"/>
                <w:sz w:val="18"/>
              </w:rPr>
              <w:t>17,076,133)</w:t>
            </w:r>
          </w:p>
        </w:tc>
      </w:tr>
      <w:tr>
        <w:trPr>
          <w:trHeight w:val="413" w:hRule="exact"/>
        </w:trPr>
        <w:tc>
          <w:tcPr>
            <w:tcW w:w="2149" w:type="dxa"/>
            <w:tcBorders>
              <w:top w:val="nil" w:sz="6" w:space="0" w:color="auto"/>
              <w:left w:val="nil" w:sz="6" w:space="0" w:color="auto"/>
              <w:bottom w:val="nil" w:sz="6" w:space="0" w:color="auto"/>
              <w:right w:val="nil" w:sz="6" w:space="0" w:color="auto"/>
            </w:tcBorders>
          </w:tcPr>
          <w:p>
            <w:pPr>
              <w:pStyle w:val="TableParagraph"/>
              <w:spacing w:line="224" w:lineRule="exact"/>
              <w:ind w:left="723" w:right="0"/>
              <w:jc w:val="left"/>
              <w:rPr>
                <w:rFonts w:ascii="黑体" w:hAnsi="黑体" w:cs="黑体" w:eastAsia="黑体" w:hint="default"/>
                <w:sz w:val="20"/>
                <w:szCs w:val="20"/>
              </w:rPr>
            </w:pPr>
            <w:r>
              <w:rPr>
                <w:rFonts w:ascii="黑体" w:hAnsi="黑体" w:cs="黑体" w:eastAsia="黑体" w:hint="default"/>
                <w:sz w:val="20"/>
                <w:szCs w:val="20"/>
              </w:rPr>
              <w:t>办公及电子设备</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
              <w:ind w:left="60" w:right="0"/>
              <w:jc w:val="left"/>
              <w:rPr>
                <w:rFonts w:ascii="Arial" w:hAnsi="Arial" w:cs="Arial" w:eastAsia="Arial" w:hint="default"/>
                <w:sz w:val="18"/>
                <w:szCs w:val="18"/>
              </w:rPr>
            </w:pPr>
            <w:r>
              <w:rPr>
                <w:rFonts w:ascii="Arial"/>
                <w:sz w:val="21"/>
              </w:rPr>
              <w:t>(</w:t>
            </w:r>
            <w:r>
              <w:rPr>
                <w:rFonts w:ascii="Arial"/>
                <w:spacing w:val="7"/>
                <w:sz w:val="21"/>
              </w:rPr>
              <w:t> </w:t>
            </w:r>
            <w:r>
              <w:rPr>
                <w:rFonts w:ascii="Arial"/>
                <w:spacing w:val="7"/>
                <w:sz w:val="18"/>
              </w:rPr>
            </w:r>
            <w:r>
              <w:rPr>
                <w:rFonts w:ascii="Arial"/>
                <w:spacing w:val="7"/>
                <w:sz w:val="18"/>
                <w:u w:val="single" w:color="000000"/>
              </w:rPr>
              <w:t> </w:t>
            </w:r>
            <w:r>
              <w:rPr>
                <w:rFonts w:ascii="Arial"/>
                <w:sz w:val="18"/>
                <w:u w:val="single" w:color="000000"/>
              </w:rPr>
              <w:t>94,424,181</w:t>
            </w:r>
            <w:r>
              <w:rPr>
                <w:rFonts w:ascii="Arial"/>
                <w:sz w:val="18"/>
              </w:rPr>
              <w:t>)</w:t>
            </w:r>
          </w:p>
        </w:tc>
        <w:tc>
          <w:tcPr>
            <w:tcW w:w="1062" w:type="dxa"/>
            <w:tcBorders>
              <w:top w:val="nil" w:sz="6" w:space="0" w:color="auto"/>
              <w:left w:val="nil" w:sz="6" w:space="0" w:color="auto"/>
              <w:bottom w:val="nil" w:sz="6" w:space="0" w:color="auto"/>
              <w:right w:val="nil" w:sz="6" w:space="0" w:color="auto"/>
            </w:tcBorders>
          </w:tcPr>
          <w:p>
            <w:pPr>
              <w:pStyle w:val="TableParagraph"/>
              <w:tabs>
                <w:tab w:pos="813" w:val="left" w:leader="none"/>
              </w:tabs>
              <w:spacing w:line="240" w:lineRule="auto" w:before="29"/>
              <w:ind w:right="13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256" w:type="dxa"/>
            <w:tcBorders>
              <w:top w:val="nil" w:sz="6" w:space="0" w:color="auto"/>
              <w:left w:val="nil" w:sz="6" w:space="0" w:color="auto"/>
              <w:bottom w:val="nil" w:sz="6" w:space="0" w:color="auto"/>
              <w:right w:val="nil" w:sz="6" w:space="0" w:color="auto"/>
            </w:tcBorders>
          </w:tcPr>
          <w:p>
            <w:pPr>
              <w:pStyle w:val="TableParagraph"/>
              <w:tabs>
                <w:tab w:pos="902" w:val="left" w:leader="none"/>
              </w:tabs>
              <w:spacing w:line="240" w:lineRule="auto" w:before="29"/>
              <w:ind w:right="11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9"/>
              <w:jc w:val="right"/>
              <w:rPr>
                <w:rFonts w:ascii="Arial" w:hAnsi="Arial" w:cs="Arial" w:eastAsia="Arial" w:hint="default"/>
                <w:sz w:val="18"/>
                <w:szCs w:val="18"/>
              </w:rPr>
            </w:pPr>
            <w:r>
              <w:rPr>
                <w:rFonts w:ascii="Arial"/>
                <w:sz w:val="18"/>
              </w:rPr>
              <w:t>(</w:t>
            </w:r>
            <w:r>
              <w:rPr>
                <w:rFonts w:ascii="Arial"/>
                <w:sz w:val="18"/>
                <w:u w:val="single" w:color="000000"/>
              </w:rPr>
              <w:t>32,222,022</w:t>
            </w:r>
            <w:r>
              <w:rPr>
                <w:rFonts w:ascii="Arial"/>
                <w:sz w:val="18"/>
              </w:rPr>
              <w:t>)</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44"/>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
                <w:sz w:val="18"/>
                <w:u w:val="single" w:color="000000"/>
              </w:rPr>
              <w:t> </w:t>
            </w:r>
            <w:r>
              <w:rPr>
                <w:rFonts w:ascii="Arial"/>
                <w:spacing w:val="-1"/>
                <w:sz w:val="18"/>
                <w:u w:val="single" w:color="000000"/>
              </w:rPr>
              <w:t>9,431,394</w:t>
            </w:r>
            <w:r>
              <w:rPr>
                <w:rFonts w:ascii="Arial"/>
                <w:spacing w:val="-1"/>
                <w:sz w:val="18"/>
              </w:rPr>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45"/>
              <w:jc w:val="right"/>
              <w:rPr>
                <w:rFonts w:ascii="Arial" w:hAnsi="Arial" w:cs="Arial" w:eastAsia="Arial" w:hint="default"/>
                <w:sz w:val="18"/>
                <w:szCs w:val="18"/>
              </w:rPr>
            </w:pPr>
            <w:r>
              <w:rPr>
                <w:rFonts w:ascii="Arial"/>
                <w:spacing w:val="-1"/>
                <w:sz w:val="18"/>
              </w:rPr>
              <w:t>(</w:t>
            </w:r>
            <w:r>
              <w:rPr>
                <w:rFonts w:ascii="Arial"/>
                <w:spacing w:val="-1"/>
                <w:sz w:val="18"/>
                <w:u w:val="single" w:color="000000"/>
              </w:rPr>
              <w:t>117,214,809</w:t>
            </w:r>
            <w:r>
              <w:rPr>
                <w:rFonts w:ascii="Arial"/>
                <w:spacing w:val="-1"/>
                <w:sz w:val="18"/>
              </w:rPr>
              <w:t>)</w:t>
            </w:r>
          </w:p>
        </w:tc>
      </w:tr>
      <w:tr>
        <w:trPr>
          <w:trHeight w:val="359" w:hRule="exact"/>
        </w:trPr>
        <w:tc>
          <w:tcPr>
            <w:tcW w:w="2149"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28" w:right="0"/>
              <w:jc w:val="left"/>
              <w:rPr>
                <w:rFonts w:ascii="Arial" w:hAnsi="Arial" w:cs="Arial" w:eastAsia="Arial" w:hint="default"/>
                <w:sz w:val="18"/>
                <w:szCs w:val="18"/>
              </w:rPr>
            </w:pPr>
            <w:r>
              <w:rPr>
                <w:rFonts w:ascii="Arial"/>
                <w:sz w:val="18"/>
              </w:rPr>
              <w:t>(</w:t>
            </w:r>
            <w:r>
              <w:rPr>
                <w:rFonts w:ascii="Arial"/>
                <w:sz w:val="18"/>
                <w:u w:val="thick" w:color="000000"/>
              </w:rPr>
              <w:t>158,258,237</w:t>
            </w:r>
            <w:r>
              <w:rPr>
                <w:rFonts w:ascii="Arial"/>
                <w:sz w:val="18"/>
              </w:rPr>
              <w:t>)</w:t>
            </w:r>
          </w:p>
        </w:tc>
        <w:tc>
          <w:tcPr>
            <w:tcW w:w="1062" w:type="dxa"/>
            <w:tcBorders>
              <w:top w:val="nil" w:sz="6" w:space="0" w:color="auto"/>
              <w:left w:val="nil" w:sz="6" w:space="0" w:color="auto"/>
              <w:bottom w:val="nil" w:sz="6" w:space="0" w:color="auto"/>
              <w:right w:val="nil" w:sz="6" w:space="0" w:color="auto"/>
            </w:tcBorders>
          </w:tcPr>
          <w:p>
            <w:pPr>
              <w:pStyle w:val="TableParagraph"/>
              <w:tabs>
                <w:tab w:pos="813" w:val="left" w:leader="none"/>
              </w:tabs>
              <w:spacing w:line="240" w:lineRule="auto" w:before="156"/>
              <w:ind w:right="133"/>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ab/>
              <w:t>-</w:t>
            </w:r>
            <w:r>
              <w:rPr>
                <w:rFonts w:ascii="Arial"/>
                <w:sz w:val="18"/>
              </w:rPr>
            </w:r>
          </w:p>
        </w:tc>
        <w:tc>
          <w:tcPr>
            <w:tcW w:w="1256" w:type="dxa"/>
            <w:tcBorders>
              <w:top w:val="nil" w:sz="6" w:space="0" w:color="auto"/>
              <w:left w:val="nil" w:sz="6" w:space="0" w:color="auto"/>
              <w:bottom w:val="nil" w:sz="6" w:space="0" w:color="auto"/>
              <w:right w:val="nil" w:sz="6" w:space="0" w:color="auto"/>
            </w:tcBorders>
          </w:tcPr>
          <w:p>
            <w:pPr>
              <w:pStyle w:val="TableParagraph"/>
              <w:tabs>
                <w:tab w:pos="902" w:val="left" w:leader="none"/>
              </w:tabs>
              <w:spacing w:line="240" w:lineRule="auto" w:before="156"/>
              <w:ind w:right="115"/>
              <w:jc w:val="right"/>
              <w:rPr>
                <w:rFonts w:ascii="Arial" w:hAnsi="Arial" w:cs="Arial" w:eastAsia="Arial" w:hint="default"/>
                <w:sz w:val="18"/>
                <w:szCs w:val="18"/>
              </w:rPr>
            </w:pPr>
            <w:r>
              <w:rPr>
                <w:rFonts w:ascii="Arial"/>
                <w:w w:val="100"/>
                <w:sz w:val="18"/>
              </w:rPr>
            </w:r>
            <w:r>
              <w:rPr>
                <w:rFonts w:ascii="Arial"/>
                <w:w w:val="100"/>
                <w:sz w:val="18"/>
                <w:u w:val="thick" w:color="000000"/>
              </w:rPr>
              <w:t> </w:t>
            </w:r>
            <w:r>
              <w:rPr>
                <w:rFonts w:ascii="Arial"/>
                <w:sz w:val="18"/>
                <w:u w:val="thick" w:color="000000"/>
              </w:rPr>
              <w:tab/>
              <w:t>-</w:t>
            </w:r>
            <w:r>
              <w:rPr>
                <w:rFonts w:ascii="Arial"/>
                <w:sz w:val="18"/>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0"/>
              <w:jc w:val="right"/>
              <w:rPr>
                <w:rFonts w:ascii="Arial" w:hAnsi="Arial" w:cs="Arial" w:eastAsia="Arial" w:hint="default"/>
                <w:sz w:val="18"/>
                <w:szCs w:val="18"/>
              </w:rPr>
            </w:pPr>
            <w:r>
              <w:rPr>
                <w:rFonts w:ascii="Arial"/>
                <w:sz w:val="18"/>
              </w:rPr>
              <w:t>(</w:t>
            </w:r>
            <w:r>
              <w:rPr>
                <w:rFonts w:ascii="Arial"/>
                <w:sz w:val="18"/>
                <w:u w:val="thick" w:color="000000"/>
              </w:rPr>
              <w:t>53,907,625</w:t>
            </w:r>
            <w:r>
              <w:rPr>
                <w:rFonts w:ascii="Arial"/>
                <w:spacing w:val="-21"/>
                <w:sz w:val="18"/>
                <w:u w:val="thick" w:color="000000"/>
              </w:rPr>
              <w:t> </w:t>
            </w:r>
            <w:r>
              <w:rPr>
                <w:rFonts w:ascii="Arial"/>
                <w:spacing w:val="-21"/>
                <w:sz w:val="18"/>
              </w:rPr>
            </w:r>
            <w:r>
              <w:rPr>
                <w:rFonts w:ascii="Arial"/>
                <w:sz w:val="18"/>
              </w:rPr>
              <w:t>)</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145"/>
              <w:jc w:val="right"/>
              <w:rPr>
                <w:rFonts w:ascii="Arial" w:hAnsi="Arial" w:cs="Arial" w:eastAsia="Arial" w:hint="default"/>
                <w:sz w:val="18"/>
                <w:szCs w:val="18"/>
              </w:rPr>
            </w:pPr>
            <w:r>
              <w:rPr>
                <w:rFonts w:ascii="Arial"/>
                <w:w w:val="99"/>
                <w:sz w:val="18"/>
              </w:rPr>
            </w:r>
            <w:r>
              <w:rPr>
                <w:rFonts w:ascii="Arial"/>
                <w:spacing w:val="-1"/>
                <w:sz w:val="18"/>
                <w:u w:val="thick" w:color="000000"/>
              </w:rPr>
              <w:t>12,887,075</w:t>
            </w:r>
            <w:r>
              <w:rPr>
                <w:rFonts w:ascii="Arial"/>
                <w:spacing w:val="-1"/>
                <w:sz w:val="18"/>
              </w:rPr>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156"/>
              <w:ind w:right="45"/>
              <w:jc w:val="right"/>
              <w:rPr>
                <w:rFonts w:ascii="Arial" w:hAnsi="Arial" w:cs="Arial" w:eastAsia="Arial" w:hint="default"/>
                <w:sz w:val="18"/>
                <w:szCs w:val="18"/>
              </w:rPr>
            </w:pPr>
            <w:r>
              <w:rPr>
                <w:rFonts w:ascii="Arial"/>
                <w:spacing w:val="-1"/>
                <w:sz w:val="18"/>
              </w:rPr>
              <w:t>(</w:t>
            </w:r>
            <w:r>
              <w:rPr>
                <w:rFonts w:ascii="Arial"/>
                <w:spacing w:val="-1"/>
                <w:sz w:val="18"/>
                <w:u w:val="thick" w:color="000000"/>
              </w:rPr>
              <w:t>199,278,787</w:t>
            </w:r>
            <w:r>
              <w:rPr>
                <w:rFonts w:ascii="Arial"/>
                <w:spacing w:val="-1"/>
                <w:sz w:val="18"/>
              </w:rPr>
              <w:t>)</w:t>
            </w:r>
          </w:p>
        </w:tc>
      </w:tr>
      <w:tr>
        <w:trPr>
          <w:trHeight w:val="530" w:hRule="exact"/>
        </w:trPr>
        <w:tc>
          <w:tcPr>
            <w:tcW w:w="9603"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b/>
                <w:bCs/>
                <w:sz w:val="18"/>
                <w:szCs w:val="18"/>
              </w:rPr>
            </w:pPr>
          </w:p>
          <w:p>
            <w:pPr>
              <w:pStyle w:val="TableParagraph"/>
              <w:spacing w:line="240" w:lineRule="auto"/>
              <w:ind w:left="723" w:right="0"/>
              <w:jc w:val="left"/>
              <w:rPr>
                <w:rFonts w:ascii="黑体" w:hAnsi="黑体" w:cs="黑体" w:eastAsia="黑体" w:hint="default"/>
                <w:sz w:val="20"/>
                <w:szCs w:val="20"/>
              </w:rPr>
            </w:pPr>
            <w:r>
              <w:rPr>
                <w:rFonts w:ascii="黑体" w:hAnsi="黑体" w:cs="黑体" w:eastAsia="黑体" w:hint="default"/>
                <w:sz w:val="20"/>
                <w:szCs w:val="20"/>
              </w:rPr>
              <w:t>账面净值及账面价值</w:t>
            </w:r>
          </w:p>
        </w:tc>
      </w:tr>
      <w:tr>
        <w:trPr>
          <w:trHeight w:val="259" w:hRule="exact"/>
        </w:trPr>
        <w:tc>
          <w:tcPr>
            <w:tcW w:w="2149" w:type="dxa"/>
            <w:tcBorders>
              <w:top w:val="nil" w:sz="6" w:space="0" w:color="auto"/>
              <w:left w:val="nil" w:sz="6" w:space="0" w:color="auto"/>
              <w:bottom w:val="nil" w:sz="6" w:space="0" w:color="auto"/>
              <w:right w:val="nil" w:sz="6" w:space="0" w:color="auto"/>
            </w:tcBorders>
          </w:tcPr>
          <w:p>
            <w:pPr>
              <w:pStyle w:val="TableParagraph"/>
              <w:spacing w:line="227" w:lineRule="exact"/>
              <w:ind w:left="723" w:right="0"/>
              <w:jc w:val="left"/>
              <w:rPr>
                <w:rFonts w:ascii="黑体" w:hAnsi="黑体" w:cs="黑体" w:eastAsia="黑体" w:hint="default"/>
                <w:sz w:val="20"/>
                <w:szCs w:val="20"/>
              </w:rPr>
            </w:pPr>
            <w:r>
              <w:rPr>
                <w:rFonts w:ascii="黑体" w:hAnsi="黑体" w:cs="黑体" w:eastAsia="黑体" w:hint="default"/>
                <w:sz w:val="20"/>
                <w:szCs w:val="20"/>
              </w:rPr>
              <w:t>房屋及建筑物</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88" w:right="0"/>
              <w:jc w:val="left"/>
              <w:rPr>
                <w:rFonts w:ascii="Arial" w:hAnsi="Arial" w:cs="Arial" w:eastAsia="Arial" w:hint="default"/>
                <w:sz w:val="18"/>
                <w:szCs w:val="18"/>
              </w:rPr>
            </w:pPr>
            <w:r>
              <w:rPr>
                <w:rFonts w:ascii="Arial"/>
                <w:sz w:val="18"/>
              </w:rPr>
              <w:t>351,712,347</w:t>
            </w:r>
          </w:p>
        </w:tc>
        <w:tc>
          <w:tcPr>
            <w:tcW w:w="2318" w:type="dxa"/>
            <w:gridSpan w:val="2"/>
            <w:tcBorders>
              <w:top w:val="nil" w:sz="6" w:space="0" w:color="auto"/>
              <w:left w:val="nil" w:sz="6" w:space="0" w:color="auto"/>
              <w:bottom w:val="nil" w:sz="6" w:space="0" w:color="auto"/>
              <w:right w:val="nil" w:sz="6" w:space="0" w:color="auto"/>
            </w:tcBorders>
          </w:tcPr>
          <w:p>
            <w:pPr>
              <w:pStyle w:val="TableParagraph"/>
              <w:tabs>
                <w:tab w:pos="1197" w:val="left" w:leader="none"/>
              </w:tabs>
              <w:spacing w:line="240" w:lineRule="auto" w:before="32"/>
              <w:ind w:left="863" w:right="0"/>
              <w:jc w:val="left"/>
              <w:rPr>
                <w:rFonts w:ascii="Arial" w:hAnsi="Arial" w:cs="Arial" w:eastAsia="Arial" w:hint="default"/>
                <w:sz w:val="18"/>
                <w:szCs w:val="18"/>
              </w:rPr>
            </w:pPr>
            <w:r>
              <w:rPr>
                <w:rFonts w:ascii="Arial"/>
                <w:sz w:val="18"/>
              </w:rPr>
              <w:t>-</w:t>
              <w:tab/>
              <w:t>254,006,837</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0"/>
              <w:jc w:val="right"/>
              <w:rPr>
                <w:rFonts w:ascii="Arial" w:hAnsi="Arial" w:cs="Arial" w:eastAsia="Arial" w:hint="default"/>
                <w:sz w:val="18"/>
                <w:szCs w:val="18"/>
              </w:rPr>
            </w:pPr>
            <w:r>
              <w:rPr>
                <w:rFonts w:ascii="Arial"/>
                <w:sz w:val="18"/>
              </w:rPr>
              <w:t>(12,764,770</w:t>
            </w:r>
            <w:r>
              <w:rPr>
                <w:rFonts w:ascii="Arial"/>
                <w:spacing w:val="-21"/>
                <w:sz w:val="18"/>
              </w:rPr>
              <w:t> </w:t>
            </w:r>
            <w:r>
              <w:rPr>
                <w:rFonts w:ascii="Arial"/>
                <w:sz w:val="18"/>
              </w:rPr>
              <w:t>)</w:t>
            </w:r>
          </w:p>
        </w:tc>
        <w:tc>
          <w:tcPr>
            <w:tcW w:w="2601" w:type="dxa"/>
            <w:gridSpan w:val="2"/>
            <w:tcBorders>
              <w:top w:val="nil" w:sz="6" w:space="0" w:color="auto"/>
              <w:left w:val="nil" w:sz="6" w:space="0" w:color="auto"/>
              <w:bottom w:val="nil" w:sz="6" w:space="0" w:color="auto"/>
              <w:right w:val="nil" w:sz="6" w:space="0" w:color="auto"/>
            </w:tcBorders>
          </w:tcPr>
          <w:p>
            <w:pPr>
              <w:pStyle w:val="TableParagraph"/>
              <w:tabs>
                <w:tab w:pos="1550" w:val="left" w:leader="none"/>
              </w:tabs>
              <w:spacing w:line="240" w:lineRule="auto" w:before="32"/>
              <w:ind w:left="1075" w:right="0"/>
              <w:jc w:val="left"/>
              <w:rPr>
                <w:rFonts w:ascii="Arial" w:hAnsi="Arial" w:cs="Arial" w:eastAsia="Arial" w:hint="default"/>
                <w:sz w:val="18"/>
                <w:szCs w:val="18"/>
              </w:rPr>
            </w:pPr>
            <w:r>
              <w:rPr>
                <w:rFonts w:ascii="Arial"/>
                <w:sz w:val="18"/>
              </w:rPr>
              <w:t>-</w:t>
              <w:tab/>
              <w:t>592,954,414</w:t>
            </w:r>
          </w:p>
        </w:tc>
      </w:tr>
      <w:tr>
        <w:trPr>
          <w:trHeight w:val="254" w:hRule="exact"/>
        </w:trPr>
        <w:tc>
          <w:tcPr>
            <w:tcW w:w="2149" w:type="dxa"/>
            <w:tcBorders>
              <w:top w:val="nil" w:sz="6" w:space="0" w:color="auto"/>
              <w:left w:val="nil" w:sz="6" w:space="0" w:color="auto"/>
              <w:bottom w:val="nil" w:sz="6" w:space="0" w:color="auto"/>
              <w:right w:val="nil" w:sz="6" w:space="0" w:color="auto"/>
            </w:tcBorders>
          </w:tcPr>
          <w:p>
            <w:pPr>
              <w:pStyle w:val="TableParagraph"/>
              <w:spacing w:line="223" w:lineRule="exact"/>
              <w:ind w:left="723" w:right="0"/>
              <w:jc w:val="left"/>
              <w:rPr>
                <w:rFonts w:ascii="黑体" w:hAnsi="黑体" w:cs="黑体" w:eastAsia="黑体" w:hint="default"/>
                <w:sz w:val="20"/>
                <w:szCs w:val="20"/>
              </w:rPr>
            </w:pPr>
            <w:r>
              <w:rPr>
                <w:rFonts w:ascii="黑体" w:hAnsi="黑体" w:cs="黑体" w:eastAsia="黑体" w:hint="default"/>
                <w:sz w:val="20"/>
                <w:szCs w:val="20"/>
              </w:rPr>
              <w:t>机器设备</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89" w:right="0"/>
              <w:jc w:val="left"/>
              <w:rPr>
                <w:rFonts w:ascii="Arial" w:hAnsi="Arial" w:cs="Arial" w:eastAsia="Arial" w:hint="default"/>
                <w:sz w:val="18"/>
                <w:szCs w:val="18"/>
              </w:rPr>
            </w:pPr>
            <w:r>
              <w:rPr>
                <w:rFonts w:ascii="Arial"/>
                <w:sz w:val="18"/>
              </w:rPr>
              <w:t>55,417,723</w:t>
            </w:r>
          </w:p>
        </w:tc>
        <w:tc>
          <w:tcPr>
            <w:tcW w:w="2318" w:type="dxa"/>
            <w:gridSpan w:val="2"/>
            <w:tcBorders>
              <w:top w:val="nil" w:sz="6" w:space="0" w:color="auto"/>
              <w:left w:val="nil" w:sz="6" w:space="0" w:color="auto"/>
              <w:bottom w:val="nil" w:sz="6" w:space="0" w:color="auto"/>
              <w:right w:val="nil" w:sz="6" w:space="0" w:color="auto"/>
            </w:tcBorders>
          </w:tcPr>
          <w:p>
            <w:pPr>
              <w:pStyle w:val="TableParagraph"/>
              <w:tabs>
                <w:tab w:pos="1298" w:val="left" w:leader="none"/>
              </w:tabs>
              <w:spacing w:line="240" w:lineRule="auto" w:before="28"/>
              <w:ind w:left="863" w:right="0"/>
              <w:jc w:val="left"/>
              <w:rPr>
                <w:rFonts w:ascii="Arial" w:hAnsi="Arial" w:cs="Arial" w:eastAsia="Arial" w:hint="default"/>
                <w:sz w:val="18"/>
                <w:szCs w:val="18"/>
              </w:rPr>
            </w:pPr>
            <w:r>
              <w:rPr>
                <w:rFonts w:ascii="Arial"/>
                <w:sz w:val="18"/>
              </w:rPr>
              <w:t>-</w:t>
              <w:tab/>
              <w:t>17,762,627</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0"/>
              <w:jc w:val="right"/>
              <w:rPr>
                <w:rFonts w:ascii="Arial" w:hAnsi="Arial" w:cs="Arial" w:eastAsia="Arial" w:hint="default"/>
                <w:sz w:val="18"/>
                <w:szCs w:val="18"/>
              </w:rPr>
            </w:pPr>
            <w:r>
              <w:rPr>
                <w:rFonts w:ascii="Arial"/>
                <w:sz w:val="18"/>
              </w:rPr>
              <w:t>(  4,632,867</w:t>
            </w:r>
            <w:r>
              <w:rPr>
                <w:rFonts w:ascii="Arial"/>
                <w:spacing w:val="-21"/>
                <w:sz w:val="18"/>
              </w:rPr>
              <w:t> </w:t>
            </w:r>
            <w:r>
              <w:rPr>
                <w:rFonts w:ascii="Arial"/>
                <w:sz w:val="18"/>
              </w:rPr>
              <w:t>)</w:t>
            </w:r>
          </w:p>
        </w:tc>
        <w:tc>
          <w:tcPr>
            <w:tcW w:w="2601" w:type="dxa"/>
            <w:gridSpan w:val="2"/>
            <w:tcBorders>
              <w:top w:val="nil" w:sz="6" w:space="0" w:color="auto"/>
              <w:left w:val="nil" w:sz="6" w:space="0" w:color="auto"/>
              <w:bottom w:val="nil" w:sz="6" w:space="0" w:color="auto"/>
              <w:right w:val="nil" w:sz="6" w:space="0" w:color="auto"/>
            </w:tcBorders>
          </w:tcPr>
          <w:p>
            <w:pPr>
              <w:pStyle w:val="TableParagraph"/>
              <w:tabs>
                <w:tab w:pos="1651" w:val="left" w:leader="none"/>
              </w:tabs>
              <w:spacing w:line="240" w:lineRule="auto" w:before="28"/>
              <w:ind w:left="1075" w:right="0"/>
              <w:jc w:val="left"/>
              <w:rPr>
                <w:rFonts w:ascii="Arial" w:hAnsi="Arial" w:cs="Arial" w:eastAsia="Arial" w:hint="default"/>
                <w:sz w:val="18"/>
                <w:szCs w:val="18"/>
              </w:rPr>
            </w:pPr>
            <w:r>
              <w:rPr>
                <w:rFonts w:ascii="Arial"/>
                <w:sz w:val="18"/>
              </w:rPr>
              <w:t>-</w:t>
              <w:tab/>
              <w:t>68,547,483</w:t>
            </w:r>
          </w:p>
        </w:tc>
      </w:tr>
      <w:tr>
        <w:trPr>
          <w:trHeight w:val="256" w:hRule="exact"/>
        </w:trPr>
        <w:tc>
          <w:tcPr>
            <w:tcW w:w="2149" w:type="dxa"/>
            <w:tcBorders>
              <w:top w:val="nil" w:sz="6" w:space="0" w:color="auto"/>
              <w:left w:val="nil" w:sz="6" w:space="0" w:color="auto"/>
              <w:bottom w:val="nil" w:sz="6" w:space="0" w:color="auto"/>
              <w:right w:val="nil" w:sz="6" w:space="0" w:color="auto"/>
            </w:tcBorders>
          </w:tcPr>
          <w:p>
            <w:pPr>
              <w:pStyle w:val="TableParagraph"/>
              <w:spacing w:line="223" w:lineRule="exact"/>
              <w:ind w:left="723" w:right="0"/>
              <w:jc w:val="left"/>
              <w:rPr>
                <w:rFonts w:ascii="黑体" w:hAnsi="黑体" w:cs="黑体" w:eastAsia="黑体" w:hint="default"/>
                <w:sz w:val="20"/>
                <w:szCs w:val="20"/>
              </w:rPr>
            </w:pPr>
            <w:r>
              <w:rPr>
                <w:rFonts w:ascii="黑体" w:hAnsi="黑体" w:cs="黑体" w:eastAsia="黑体" w:hint="default"/>
                <w:sz w:val="20"/>
                <w:szCs w:val="20"/>
              </w:rPr>
              <w:t>运输工具</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89" w:right="0"/>
              <w:jc w:val="left"/>
              <w:rPr>
                <w:rFonts w:ascii="Arial" w:hAnsi="Arial" w:cs="Arial" w:eastAsia="Arial" w:hint="default"/>
                <w:sz w:val="18"/>
                <w:szCs w:val="18"/>
              </w:rPr>
            </w:pPr>
            <w:r>
              <w:rPr>
                <w:rFonts w:ascii="Arial"/>
                <w:sz w:val="18"/>
              </w:rPr>
              <w:t>18,118,331</w:t>
            </w:r>
          </w:p>
        </w:tc>
        <w:tc>
          <w:tcPr>
            <w:tcW w:w="2318" w:type="dxa"/>
            <w:gridSpan w:val="2"/>
            <w:tcBorders>
              <w:top w:val="nil" w:sz="6" w:space="0" w:color="auto"/>
              <w:left w:val="nil" w:sz="6" w:space="0" w:color="auto"/>
              <w:bottom w:val="nil" w:sz="6" w:space="0" w:color="auto"/>
              <w:right w:val="nil" w:sz="6" w:space="0" w:color="auto"/>
            </w:tcBorders>
          </w:tcPr>
          <w:p>
            <w:pPr>
              <w:pStyle w:val="TableParagraph"/>
              <w:tabs>
                <w:tab w:pos="2138" w:val="left" w:leader="none"/>
              </w:tabs>
              <w:spacing w:line="240" w:lineRule="auto" w:before="28"/>
              <w:ind w:left="863" w:right="0"/>
              <w:jc w:val="left"/>
              <w:rPr>
                <w:rFonts w:ascii="Arial" w:hAnsi="Arial" w:cs="Arial" w:eastAsia="Arial" w:hint="default"/>
                <w:sz w:val="18"/>
                <w:szCs w:val="18"/>
              </w:rPr>
            </w:pPr>
            <w:r>
              <w:rPr>
                <w:rFonts w:ascii="Arial"/>
                <w:sz w:val="18"/>
              </w:rPr>
              <w:t>-</w:t>
              <w:tab/>
              <w:t>-</w:t>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92"/>
              <w:jc w:val="right"/>
              <w:rPr>
                <w:rFonts w:ascii="Arial" w:hAnsi="Arial" w:cs="Arial" w:eastAsia="Arial" w:hint="default"/>
                <w:sz w:val="18"/>
                <w:szCs w:val="18"/>
              </w:rPr>
            </w:pPr>
            <w:r>
              <w:rPr>
                <w:rFonts w:ascii="Arial"/>
                <w:spacing w:val="-1"/>
                <w:sz w:val="18"/>
              </w:rPr>
              <w:t>21,270</w:t>
            </w:r>
          </w:p>
        </w:tc>
        <w:tc>
          <w:tcPr>
            <w:tcW w:w="2601" w:type="dxa"/>
            <w:gridSpan w:val="2"/>
            <w:tcBorders>
              <w:top w:val="nil" w:sz="6" w:space="0" w:color="auto"/>
              <w:left w:val="nil" w:sz="6" w:space="0" w:color="auto"/>
              <w:bottom w:val="nil" w:sz="6" w:space="0" w:color="auto"/>
              <w:right w:val="nil" w:sz="6" w:space="0" w:color="auto"/>
            </w:tcBorders>
          </w:tcPr>
          <w:p>
            <w:pPr>
              <w:pStyle w:val="TableParagraph"/>
              <w:tabs>
                <w:tab w:pos="1651" w:val="left" w:leader="none"/>
              </w:tabs>
              <w:spacing w:line="240" w:lineRule="auto" w:before="28"/>
              <w:ind w:left="225" w:right="0"/>
              <w:jc w:val="left"/>
              <w:rPr>
                <w:rFonts w:ascii="Arial" w:hAnsi="Arial" w:cs="Arial" w:eastAsia="Arial" w:hint="default"/>
                <w:sz w:val="18"/>
                <w:szCs w:val="18"/>
              </w:rPr>
            </w:pPr>
            <w:r>
              <w:rPr>
                <w:rFonts w:ascii="Arial"/>
                <w:sz w:val="18"/>
              </w:rPr>
              <w:t>(    364,944</w:t>
            </w:r>
            <w:r>
              <w:rPr>
                <w:rFonts w:ascii="Arial"/>
                <w:spacing w:val="-18"/>
                <w:sz w:val="18"/>
              </w:rPr>
              <w:t> </w:t>
            </w:r>
            <w:r>
              <w:rPr>
                <w:rFonts w:ascii="Arial"/>
                <w:sz w:val="18"/>
              </w:rPr>
              <w:t>)</w:t>
              <w:tab/>
              <w:t>17,774,657</w:t>
            </w:r>
          </w:p>
        </w:tc>
      </w:tr>
      <w:tr>
        <w:trPr>
          <w:trHeight w:val="397" w:hRule="exact"/>
        </w:trPr>
        <w:tc>
          <w:tcPr>
            <w:tcW w:w="2149" w:type="dxa"/>
            <w:tcBorders>
              <w:top w:val="nil" w:sz="6" w:space="0" w:color="auto"/>
              <w:left w:val="nil" w:sz="6" w:space="0" w:color="auto"/>
              <w:bottom w:val="nil" w:sz="6" w:space="0" w:color="auto"/>
              <w:right w:val="nil" w:sz="6" w:space="0" w:color="auto"/>
            </w:tcBorders>
          </w:tcPr>
          <w:p>
            <w:pPr>
              <w:pStyle w:val="TableParagraph"/>
              <w:spacing w:line="224" w:lineRule="exact"/>
              <w:ind w:left="723" w:right="0"/>
              <w:jc w:val="left"/>
              <w:rPr>
                <w:rFonts w:ascii="黑体" w:hAnsi="黑体" w:cs="黑体" w:eastAsia="黑体" w:hint="default"/>
                <w:sz w:val="20"/>
                <w:szCs w:val="20"/>
              </w:rPr>
            </w:pPr>
            <w:r>
              <w:rPr>
                <w:rFonts w:ascii="黑体" w:hAnsi="黑体" w:cs="黑体" w:eastAsia="黑体" w:hint="default"/>
                <w:sz w:val="20"/>
                <w:szCs w:val="20"/>
              </w:rPr>
              <w:t>办公及电子设备</w:t>
            </w: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84"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pacing w:val="3"/>
                <w:sz w:val="18"/>
                <w:u w:val="single" w:color="000000"/>
              </w:rPr>
              <w:t> </w:t>
            </w:r>
            <w:r>
              <w:rPr>
                <w:rFonts w:ascii="Arial"/>
                <w:sz w:val="18"/>
                <w:u w:val="single" w:color="000000"/>
              </w:rPr>
              <w:t>59,877,191</w:t>
            </w:r>
            <w:r>
              <w:rPr>
                <w:rFonts w:ascii="Arial"/>
                <w:sz w:val="18"/>
              </w:rPr>
            </w:r>
          </w:p>
        </w:tc>
        <w:tc>
          <w:tcPr>
            <w:tcW w:w="2318" w:type="dxa"/>
            <w:gridSpan w:val="2"/>
            <w:tcBorders>
              <w:top w:val="nil" w:sz="6" w:space="0" w:color="auto"/>
              <w:left w:val="nil" w:sz="6" w:space="0" w:color="auto"/>
              <w:bottom w:val="nil" w:sz="6" w:space="0" w:color="auto"/>
              <w:right w:val="nil" w:sz="6" w:space="0" w:color="auto"/>
            </w:tcBorders>
          </w:tcPr>
          <w:p>
            <w:pPr>
              <w:pStyle w:val="TableParagraph"/>
              <w:tabs>
                <w:tab w:pos="1298" w:val="left" w:leader="none"/>
              </w:tabs>
              <w:spacing w:line="240" w:lineRule="auto" w:before="29"/>
              <w:ind w:left="122" w:right="0"/>
              <w:jc w:val="left"/>
              <w:rPr>
                <w:rFonts w:ascii="Arial" w:hAnsi="Arial" w:cs="Arial" w:eastAsia="Arial" w:hint="default"/>
                <w:sz w:val="18"/>
                <w:szCs w:val="18"/>
              </w:rPr>
            </w:pPr>
            <w:r>
              <w:rPr>
                <w:rFonts w:ascii="Arial"/>
                <w:w w:val="100"/>
                <w:sz w:val="18"/>
              </w:rPr>
            </w:r>
            <w:r>
              <w:rPr>
                <w:rFonts w:ascii="Arial"/>
                <w:spacing w:val="-1"/>
                <w:sz w:val="18"/>
                <w:u w:val="single" w:color="000000"/>
              </w:rPr>
              <w:t>1,364,083</w:t>
            </w:r>
            <w:r>
              <w:rPr>
                <w:rFonts w:ascii="Arial"/>
                <w:spacing w:val="-1"/>
                <w:sz w:val="18"/>
              </w:rPr>
              <w:tab/>
            </w:r>
            <w:r>
              <w:rPr>
                <w:rFonts w:ascii="Arial"/>
                <w:spacing w:val="-1"/>
                <w:sz w:val="18"/>
                <w:u w:val="single" w:color="000000"/>
              </w:rPr>
              <w:t>21,499,680</w:t>
            </w:r>
            <w:r>
              <w:rPr>
                <w:rFonts w:ascii="Arial"/>
                <w:spacing w:val="-1"/>
                <w:sz w:val="18"/>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0"/>
              <w:jc w:val="right"/>
              <w:rPr>
                <w:rFonts w:ascii="Arial" w:hAnsi="Arial" w:cs="Arial" w:eastAsia="Arial" w:hint="default"/>
                <w:sz w:val="18"/>
                <w:szCs w:val="18"/>
              </w:rPr>
            </w:pPr>
            <w:r>
              <w:rPr>
                <w:rFonts w:ascii="Arial"/>
                <w:sz w:val="18"/>
              </w:rPr>
              <w:t>(</w:t>
            </w:r>
            <w:r>
              <w:rPr>
                <w:rFonts w:ascii="Arial"/>
                <w:sz w:val="18"/>
                <w:u w:val="single" w:color="000000"/>
              </w:rPr>
              <w:t>17,948,862</w:t>
            </w:r>
            <w:r>
              <w:rPr>
                <w:rFonts w:ascii="Arial"/>
                <w:spacing w:val="-21"/>
                <w:sz w:val="18"/>
                <w:u w:val="single" w:color="000000"/>
              </w:rPr>
              <w:t> </w:t>
            </w:r>
            <w:r>
              <w:rPr>
                <w:rFonts w:ascii="Arial"/>
                <w:spacing w:val="-21"/>
                <w:sz w:val="18"/>
              </w:rPr>
            </w:r>
            <w:r>
              <w:rPr>
                <w:rFonts w:ascii="Arial"/>
                <w:sz w:val="18"/>
              </w:rPr>
              <w:t>)</w:t>
            </w:r>
          </w:p>
        </w:tc>
        <w:tc>
          <w:tcPr>
            <w:tcW w:w="2601" w:type="dxa"/>
            <w:gridSpan w:val="2"/>
            <w:tcBorders>
              <w:top w:val="nil" w:sz="6" w:space="0" w:color="auto"/>
              <w:left w:val="nil" w:sz="6" w:space="0" w:color="auto"/>
              <w:bottom w:val="nil" w:sz="6" w:space="0" w:color="auto"/>
              <w:right w:val="nil" w:sz="6" w:space="0" w:color="auto"/>
            </w:tcBorders>
          </w:tcPr>
          <w:p>
            <w:pPr>
              <w:pStyle w:val="TableParagraph"/>
              <w:tabs>
                <w:tab w:pos="1540" w:val="left" w:leader="none"/>
              </w:tabs>
              <w:spacing w:line="240" w:lineRule="auto" w:before="29"/>
              <w:ind w:left="230" w:right="0"/>
              <w:jc w:val="left"/>
              <w:rPr>
                <w:rFonts w:ascii="Arial" w:hAnsi="Arial" w:cs="Arial" w:eastAsia="Arial" w:hint="default"/>
                <w:sz w:val="18"/>
                <w:szCs w:val="18"/>
              </w:rPr>
            </w:pPr>
            <w:r>
              <w:rPr>
                <w:rFonts w:ascii="Arial"/>
                <w:sz w:val="18"/>
              </w:rPr>
              <w:t>(    </w:t>
            </w:r>
            <w:r>
              <w:rPr>
                <w:rFonts w:ascii="Arial"/>
                <w:sz w:val="18"/>
                <w:u w:val="single" w:color="000000"/>
              </w:rPr>
              <w:t> 585,711</w:t>
            </w:r>
            <w:r>
              <w:rPr>
                <w:rFonts w:ascii="Arial"/>
                <w:spacing w:val="-23"/>
                <w:sz w:val="18"/>
                <w:u w:val="single" w:color="000000"/>
              </w:rPr>
              <w:t> </w:t>
            </w:r>
            <w:r>
              <w:rPr>
                <w:rFonts w:ascii="Arial"/>
                <w:spacing w:val="-23"/>
                <w:sz w:val="18"/>
              </w:rPr>
            </w:r>
            <w:r>
              <w:rPr>
                <w:rFonts w:ascii="Arial"/>
                <w:sz w:val="18"/>
              </w:rPr>
              <w:t>)</w:t>
              <w:tab/>
            </w:r>
            <w:r>
              <w:rPr>
                <w:rFonts w:ascii="Arial"/>
                <w:sz w:val="18"/>
                <w:u w:val="single" w:color="000000"/>
              </w:rPr>
              <w:t> 64,206,381</w:t>
            </w:r>
            <w:r>
              <w:rPr>
                <w:rFonts w:ascii="Arial"/>
                <w:sz w:val="18"/>
              </w:rPr>
            </w:r>
          </w:p>
        </w:tc>
      </w:tr>
      <w:tr>
        <w:trPr>
          <w:trHeight w:val="444" w:hRule="exact"/>
        </w:trPr>
        <w:tc>
          <w:tcPr>
            <w:tcW w:w="2149" w:type="dxa"/>
            <w:tcBorders>
              <w:top w:val="nil" w:sz="6" w:space="0" w:color="auto"/>
              <w:left w:val="nil" w:sz="6" w:space="0" w:color="auto"/>
              <w:bottom w:val="nil" w:sz="6" w:space="0" w:color="auto"/>
              <w:right w:val="nil" w:sz="6" w:space="0" w:color="auto"/>
            </w:tcBorders>
          </w:tcPr>
          <w:p>
            <w:pPr/>
          </w:p>
        </w:tc>
        <w:tc>
          <w:tcPr>
            <w:tcW w:w="1339"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88" w:right="0"/>
              <w:jc w:val="left"/>
              <w:rPr>
                <w:rFonts w:ascii="Arial" w:hAnsi="Arial" w:cs="Arial" w:eastAsia="Arial" w:hint="default"/>
                <w:sz w:val="18"/>
                <w:szCs w:val="18"/>
              </w:rPr>
            </w:pPr>
            <w:r>
              <w:rPr>
                <w:rFonts w:ascii="Arial"/>
                <w:w w:val="99"/>
                <w:sz w:val="18"/>
              </w:rPr>
            </w:r>
            <w:r>
              <w:rPr>
                <w:rFonts w:ascii="Arial"/>
                <w:sz w:val="18"/>
                <w:u w:val="thick" w:color="000000"/>
              </w:rPr>
              <w:t>485,125,592</w:t>
            </w:r>
            <w:r>
              <w:rPr>
                <w:rFonts w:ascii="Arial"/>
                <w:sz w:val="18"/>
              </w:rPr>
            </w:r>
          </w:p>
        </w:tc>
        <w:tc>
          <w:tcPr>
            <w:tcW w:w="2318" w:type="dxa"/>
            <w:gridSpan w:val="2"/>
            <w:tcBorders>
              <w:top w:val="nil" w:sz="6" w:space="0" w:color="auto"/>
              <w:left w:val="nil" w:sz="6" w:space="0" w:color="auto"/>
              <w:bottom w:val="nil" w:sz="6" w:space="0" w:color="auto"/>
              <w:right w:val="nil" w:sz="6" w:space="0" w:color="auto"/>
            </w:tcBorders>
          </w:tcPr>
          <w:p>
            <w:pPr>
              <w:pStyle w:val="TableParagraph"/>
              <w:tabs>
                <w:tab w:pos="1197" w:val="left" w:leader="none"/>
              </w:tabs>
              <w:spacing w:line="240" w:lineRule="auto" w:before="141"/>
              <w:ind w:left="122" w:right="0"/>
              <w:jc w:val="left"/>
              <w:rPr>
                <w:rFonts w:ascii="Arial" w:hAnsi="Arial" w:cs="Arial" w:eastAsia="Arial" w:hint="default"/>
                <w:sz w:val="18"/>
                <w:szCs w:val="18"/>
              </w:rPr>
            </w:pPr>
            <w:r>
              <w:rPr>
                <w:rFonts w:ascii="Arial"/>
                <w:w w:val="100"/>
                <w:sz w:val="18"/>
              </w:rPr>
            </w:r>
            <w:r>
              <w:rPr>
                <w:rFonts w:ascii="Arial"/>
                <w:spacing w:val="-1"/>
                <w:sz w:val="18"/>
                <w:u w:val="thick" w:color="000000"/>
              </w:rPr>
              <w:t>1,364,083</w:t>
            </w:r>
            <w:r>
              <w:rPr>
                <w:rFonts w:ascii="Arial"/>
                <w:spacing w:val="-1"/>
                <w:sz w:val="18"/>
              </w:rPr>
              <w:tab/>
            </w:r>
            <w:r>
              <w:rPr>
                <w:rFonts w:ascii="Arial"/>
                <w:spacing w:val="-1"/>
                <w:sz w:val="18"/>
                <w:u w:val="thick" w:color="000000"/>
              </w:rPr>
              <w:t>293,269,144</w:t>
            </w:r>
            <w:r>
              <w:rPr>
                <w:rFonts w:ascii="Arial"/>
                <w:spacing w:val="-1"/>
                <w:sz w:val="18"/>
              </w:rPr>
            </w:r>
          </w:p>
        </w:tc>
        <w:tc>
          <w:tcPr>
            <w:tcW w:w="1195"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0"/>
              <w:jc w:val="right"/>
              <w:rPr>
                <w:rFonts w:ascii="Arial" w:hAnsi="Arial" w:cs="Arial" w:eastAsia="Arial" w:hint="default"/>
                <w:sz w:val="18"/>
                <w:szCs w:val="18"/>
              </w:rPr>
            </w:pPr>
            <w:r>
              <w:rPr>
                <w:rFonts w:ascii="Arial"/>
                <w:sz w:val="18"/>
              </w:rPr>
              <w:t>(</w:t>
            </w:r>
            <w:r>
              <w:rPr>
                <w:rFonts w:ascii="Arial"/>
                <w:sz w:val="18"/>
                <w:u w:val="thick" w:color="000000"/>
              </w:rPr>
              <w:t>35,325,229</w:t>
            </w:r>
            <w:r>
              <w:rPr>
                <w:rFonts w:ascii="Arial"/>
                <w:spacing w:val="-21"/>
                <w:sz w:val="18"/>
                <w:u w:val="thick" w:color="000000"/>
              </w:rPr>
              <w:t> </w:t>
            </w:r>
            <w:r>
              <w:rPr>
                <w:rFonts w:ascii="Arial"/>
                <w:spacing w:val="-21"/>
                <w:sz w:val="18"/>
              </w:rPr>
            </w:r>
            <w:r>
              <w:rPr>
                <w:rFonts w:ascii="Arial"/>
                <w:sz w:val="18"/>
              </w:rPr>
              <w:t>)</w:t>
            </w:r>
          </w:p>
        </w:tc>
        <w:tc>
          <w:tcPr>
            <w:tcW w:w="2601" w:type="dxa"/>
            <w:gridSpan w:val="2"/>
            <w:tcBorders>
              <w:top w:val="nil" w:sz="6" w:space="0" w:color="auto"/>
              <w:left w:val="nil" w:sz="6" w:space="0" w:color="auto"/>
              <w:bottom w:val="nil" w:sz="6" w:space="0" w:color="auto"/>
              <w:right w:val="nil" w:sz="6" w:space="0" w:color="auto"/>
            </w:tcBorders>
          </w:tcPr>
          <w:p>
            <w:pPr>
              <w:pStyle w:val="TableParagraph"/>
              <w:tabs>
                <w:tab w:pos="1550" w:val="left" w:leader="none"/>
              </w:tabs>
              <w:spacing w:line="240" w:lineRule="auto" w:before="141"/>
              <w:ind w:left="244" w:right="0"/>
              <w:jc w:val="left"/>
              <w:rPr>
                <w:rFonts w:ascii="Arial" w:hAnsi="Arial" w:cs="Arial" w:eastAsia="Arial" w:hint="default"/>
                <w:sz w:val="18"/>
                <w:szCs w:val="18"/>
              </w:rPr>
            </w:pPr>
            <w:r>
              <w:rPr>
                <w:rFonts w:ascii="Arial"/>
                <w:sz w:val="18"/>
              </w:rPr>
              <w:t>(    </w:t>
            </w:r>
            <w:r>
              <w:rPr>
                <w:rFonts w:ascii="Arial"/>
                <w:sz w:val="18"/>
                <w:u w:val="thick" w:color="000000"/>
              </w:rPr>
              <w:t> 950,655</w:t>
            </w:r>
            <w:r>
              <w:rPr>
                <w:rFonts w:ascii="Arial"/>
                <w:spacing w:val="-38"/>
                <w:sz w:val="18"/>
                <w:u w:val="thick" w:color="000000"/>
              </w:rPr>
              <w:t> </w:t>
            </w:r>
            <w:r>
              <w:rPr>
                <w:rFonts w:ascii="Arial"/>
                <w:spacing w:val="-38"/>
                <w:sz w:val="18"/>
              </w:rPr>
            </w:r>
            <w:r>
              <w:rPr>
                <w:rFonts w:ascii="Arial"/>
                <w:sz w:val="18"/>
              </w:rPr>
              <w:t>)</w:t>
              <w:tab/>
            </w:r>
            <w:r>
              <w:rPr>
                <w:rFonts w:ascii="Arial"/>
                <w:sz w:val="18"/>
                <w:u w:val="thick" w:color="000000"/>
              </w:rPr>
              <w:t>743,482,935</w:t>
            </w:r>
            <w:r>
              <w:rPr>
                <w:rFonts w:ascii="Arial"/>
                <w:sz w:val="18"/>
              </w:rPr>
            </w:r>
          </w:p>
        </w:tc>
      </w:tr>
    </w:tbl>
    <w:p>
      <w:pPr>
        <w:spacing w:after="0" w:line="240" w:lineRule="auto"/>
        <w:jc w:val="left"/>
        <w:rPr>
          <w:rFonts w:ascii="Arial" w:hAnsi="Arial" w:cs="Arial" w:eastAsia="Arial" w:hint="default"/>
          <w:sz w:val="18"/>
          <w:szCs w:val="18"/>
        </w:rPr>
        <w:sectPr>
          <w:pgSz w:w="11910" w:h="16850"/>
          <w:pgMar w:header="957" w:footer="473" w:top="2600" w:bottom="660" w:left="1560" w:right="520"/>
        </w:sectPr>
      </w:pPr>
    </w:p>
    <w:p>
      <w:pPr>
        <w:spacing w:line="240" w:lineRule="auto" w:before="2"/>
        <w:rPr>
          <w:rFonts w:ascii="黑体" w:hAnsi="黑体" w:cs="黑体" w:eastAsia="黑体" w:hint="default"/>
          <w:b/>
          <w:bCs/>
          <w:sz w:val="17"/>
          <w:szCs w:val="17"/>
        </w:rPr>
      </w:pPr>
    </w:p>
    <w:p>
      <w:pPr>
        <w:pStyle w:val="Heading6"/>
        <w:spacing w:line="240" w:lineRule="auto"/>
        <w:ind w:right="232"/>
        <w:jc w:val="left"/>
        <w:rPr>
          <w:b w:val="0"/>
          <w:bCs w:val="0"/>
        </w:rPr>
      </w:pPr>
      <w:r>
        <w:rPr/>
        <w:t>十三、公司财务报表主要项目注释（续）</w:t>
      </w:r>
      <w:r>
        <w:rPr>
          <w:b w:val="0"/>
          <w:bCs w:val="0"/>
        </w:rPr>
      </w:r>
    </w:p>
    <w:p>
      <w:pPr>
        <w:spacing w:line="240" w:lineRule="auto" w:before="2"/>
        <w:rPr>
          <w:rFonts w:ascii="黑体" w:hAnsi="黑体" w:cs="黑体" w:eastAsia="黑体" w:hint="default"/>
          <w:b/>
          <w:bCs/>
          <w:sz w:val="22"/>
          <w:szCs w:val="22"/>
        </w:rPr>
      </w:pPr>
    </w:p>
    <w:p>
      <w:pPr>
        <w:pStyle w:val="Heading6"/>
        <w:tabs>
          <w:tab w:pos="723" w:val="left" w:leader="none"/>
        </w:tabs>
        <w:spacing w:line="240" w:lineRule="auto" w:before="0"/>
        <w:ind w:right="232"/>
        <w:jc w:val="left"/>
        <w:rPr>
          <w:b w:val="0"/>
          <w:bCs w:val="0"/>
        </w:rPr>
      </w:pPr>
      <w:r>
        <w:rPr>
          <w:rFonts w:ascii="Arial" w:hAnsi="Arial" w:cs="Arial" w:eastAsia="Arial" w:hint="default"/>
          <w:spacing w:val="-1"/>
        </w:rPr>
        <w:t>9.</w:t>
        <w:tab/>
      </w:r>
      <w:r>
        <w:rPr>
          <w:spacing w:val="1"/>
        </w:rPr>
        <w:t>固定资产（续）</w:t>
      </w:r>
      <w:r>
        <w:rPr>
          <w:b w:val="0"/>
          <w:bCs w:val="0"/>
          <w:spacing w:val="1"/>
        </w:rPr>
      </w:r>
    </w:p>
    <w:p>
      <w:pPr>
        <w:spacing w:line="240" w:lineRule="auto" w:before="8"/>
        <w:rPr>
          <w:rFonts w:ascii="黑体" w:hAnsi="黑体" w:cs="黑体" w:eastAsia="黑体" w:hint="default"/>
          <w:b/>
          <w:bCs/>
          <w:sz w:val="21"/>
          <w:szCs w:val="21"/>
        </w:rPr>
      </w:pPr>
    </w:p>
    <w:p>
      <w:pPr>
        <w:pStyle w:val="BodyText"/>
        <w:spacing w:line="268" w:lineRule="auto"/>
        <w:ind w:left="813" w:right="460"/>
        <w:jc w:val="both"/>
      </w:pPr>
      <w:r>
        <w:rPr>
          <w:spacing w:val="-2"/>
          <w:w w:val="95"/>
        </w:rPr>
        <w:t>本公司于</w:t>
      </w:r>
      <w:r>
        <w:rPr>
          <w:rFonts w:ascii="Arial" w:hAnsi="Arial" w:cs="Arial" w:eastAsia="Arial" w:hint="default"/>
          <w:spacing w:val="-2"/>
          <w:w w:val="95"/>
        </w:rPr>
        <w:t>2012</w:t>
      </w:r>
      <w:r>
        <w:rPr>
          <w:spacing w:val="-2"/>
          <w:w w:val="95"/>
        </w:rPr>
        <w:t>年</w:t>
      </w:r>
      <w:r>
        <w:rPr>
          <w:rFonts w:ascii="Arial" w:hAnsi="Arial" w:cs="Arial" w:eastAsia="Arial" w:hint="default"/>
          <w:spacing w:val="-2"/>
          <w:w w:val="95"/>
        </w:rPr>
        <w:t>12</w:t>
      </w:r>
      <w:r>
        <w:rPr>
          <w:spacing w:val="-2"/>
          <w:w w:val="95"/>
        </w:rPr>
        <w:t>月</w:t>
      </w:r>
      <w:r>
        <w:rPr>
          <w:rFonts w:ascii="Arial" w:hAnsi="Arial" w:cs="Arial" w:eastAsia="Arial" w:hint="default"/>
          <w:spacing w:val="-2"/>
          <w:w w:val="95"/>
        </w:rPr>
        <w:t>31</w:t>
      </w:r>
      <w:r>
        <w:rPr>
          <w:spacing w:val="-2"/>
          <w:w w:val="95"/>
        </w:rPr>
        <w:t>日的固定资产中不存在由于市价持续下跌、或技术陈旧、损坏、长</w:t>
      </w:r>
      <w:r>
        <w:rPr>
          <w:spacing w:val="86"/>
          <w:w w:val="95"/>
        </w:rPr>
        <w:t> </w:t>
      </w:r>
      <w:r>
        <w:rPr>
          <w:spacing w:val="86"/>
          <w:w w:val="95"/>
        </w:rPr>
      </w:r>
      <w:r>
        <w:rPr>
          <w:w w:val="95"/>
        </w:rPr>
        <w:t>期闲置等原因导致固定资产可收回金额低于账面价值的情况，故不需计提固定资产减值准</w:t>
      </w:r>
      <w:r>
        <w:rPr>
          <w:spacing w:val="87"/>
          <w:w w:val="95"/>
        </w:rPr>
        <w:t> </w:t>
      </w:r>
      <w:r>
        <w:rPr>
          <w:spacing w:val="87"/>
          <w:w w:val="95"/>
        </w:rPr>
      </w:r>
      <w:r>
        <w:rPr/>
        <w:t>备</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w:t>
      </w:r>
    </w:p>
    <w:p>
      <w:pPr>
        <w:spacing w:line="240" w:lineRule="auto" w:before="5"/>
        <w:rPr>
          <w:rFonts w:ascii="黑体" w:hAnsi="黑体" w:cs="黑体" w:eastAsia="黑体" w:hint="default"/>
          <w:sz w:val="17"/>
          <w:szCs w:val="17"/>
        </w:rPr>
      </w:pPr>
    </w:p>
    <w:p>
      <w:pPr>
        <w:pStyle w:val="BodyText"/>
        <w:spacing w:line="261" w:lineRule="auto"/>
        <w:ind w:left="813" w:right="462"/>
        <w:jc w:val="both"/>
      </w:pPr>
      <w:r>
        <w:rPr>
          <w:spacing w:val="-1"/>
        </w:rPr>
        <w:t>于</w:t>
      </w:r>
      <w:r>
        <w:rPr>
          <w:rFonts w:ascii="Arial" w:hAnsi="Arial" w:cs="Arial" w:eastAsia="Arial" w:hint="default"/>
          <w:spacing w:val="-1"/>
        </w:rPr>
        <w:t>2012</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日，本公司没有重大暂时闲置及已退废和准备处置的固定资产</w:t>
      </w:r>
      <w:r>
        <w:rPr>
          <w:rFonts w:ascii="Arial" w:hAnsi="Arial" w:cs="Arial" w:eastAsia="Arial" w:hint="default"/>
          <w:spacing w:val="-1"/>
        </w:rPr>
        <w:t>(2011</w:t>
      </w:r>
      <w:r>
        <w:rPr>
          <w:spacing w:val="-1"/>
        </w:rPr>
        <w:t>年</w:t>
      </w:r>
      <w:r>
        <w:rPr>
          <w:rFonts w:ascii="Arial" w:hAnsi="Arial" w:cs="Arial" w:eastAsia="Arial" w:hint="default"/>
          <w:spacing w:val="-1"/>
        </w:rPr>
        <w:t>12</w:t>
      </w:r>
      <w:r>
        <w:rPr>
          <w:rFonts w:ascii="Arial" w:hAnsi="Arial" w:cs="Arial" w:eastAsia="Arial" w:hint="default"/>
          <w:spacing w:val="-1"/>
          <w:w w:val="99"/>
        </w:rPr>
        <w:t> </w:t>
      </w:r>
      <w:r>
        <w:rPr/>
        <w:t>月</w:t>
      </w:r>
      <w:r>
        <w:rPr>
          <w:rFonts w:ascii="Arial" w:hAnsi="Arial" w:cs="Arial" w:eastAsia="Arial" w:hint="default"/>
        </w:rPr>
        <w:t>31</w:t>
      </w:r>
      <w:r>
        <w:rPr/>
        <w:t>日：无</w:t>
      </w:r>
      <w:r>
        <w:rPr>
          <w:rFonts w:ascii="Arial" w:hAnsi="Arial" w:cs="Arial" w:eastAsia="Arial" w:hint="default"/>
        </w:rPr>
        <w:t>)</w:t>
      </w:r>
      <w:r>
        <w:rPr/>
        <w:t>。</w:t>
      </w:r>
    </w:p>
    <w:p>
      <w:pPr>
        <w:spacing w:line="240" w:lineRule="auto" w:before="6"/>
        <w:rPr>
          <w:rFonts w:ascii="黑体" w:hAnsi="黑体" w:cs="黑体" w:eastAsia="黑体" w:hint="default"/>
          <w:sz w:val="16"/>
          <w:szCs w:val="16"/>
        </w:rPr>
      </w:pPr>
    </w:p>
    <w:p>
      <w:pPr>
        <w:pStyle w:val="BodyText"/>
        <w:spacing w:line="240" w:lineRule="auto"/>
        <w:ind w:left="780" w:right="0"/>
        <w:jc w:val="both"/>
      </w:pP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日，未办妥产权证书的固定资产如下：</w:t>
      </w:r>
    </w:p>
    <w:p>
      <w:pPr>
        <w:spacing w:line="240" w:lineRule="auto" w:before="10"/>
        <w:rPr>
          <w:rFonts w:ascii="黑体" w:hAnsi="黑体" w:cs="黑体" w:eastAsia="黑体" w:hint="default"/>
          <w:sz w:val="21"/>
          <w:szCs w:val="21"/>
        </w:rPr>
      </w:pPr>
    </w:p>
    <w:tbl>
      <w:tblPr>
        <w:tblW w:w="0" w:type="auto"/>
        <w:jc w:val="left"/>
        <w:tblInd w:w="609" w:type="dxa"/>
        <w:tblLayout w:type="fixed"/>
        <w:tblCellMar>
          <w:top w:w="0" w:type="dxa"/>
          <w:left w:w="0" w:type="dxa"/>
          <w:bottom w:w="0" w:type="dxa"/>
          <w:right w:w="0" w:type="dxa"/>
        </w:tblCellMar>
        <w:tblLook w:val="01E0"/>
      </w:tblPr>
      <w:tblGrid>
        <w:gridCol w:w="2095"/>
        <w:gridCol w:w="1979"/>
        <w:gridCol w:w="1871"/>
        <w:gridCol w:w="2349"/>
      </w:tblGrid>
      <w:tr>
        <w:trPr>
          <w:trHeight w:val="330" w:hRule="exact"/>
        </w:trPr>
        <w:tc>
          <w:tcPr>
            <w:tcW w:w="2095"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黑体" w:hAnsi="黑体" w:cs="黑体" w:eastAsia="黑体" w:hint="default"/>
                <w:sz w:val="18"/>
                <w:szCs w:val="18"/>
              </w:rPr>
            </w:pPr>
            <w:r>
              <w:rPr>
                <w:rFonts w:ascii="黑体" w:hAnsi="黑体" w:cs="黑体" w:eastAsia="黑体" w:hint="default"/>
                <w:sz w:val="18"/>
                <w:szCs w:val="18"/>
              </w:rPr>
              <w:t>固定资产名称</w:t>
            </w:r>
          </w:p>
        </w:tc>
        <w:tc>
          <w:tcPr>
            <w:tcW w:w="1979" w:type="dxa"/>
            <w:tcBorders>
              <w:top w:val="nil" w:sz="6" w:space="0" w:color="auto"/>
              <w:left w:val="nil" w:sz="6" w:space="0" w:color="auto"/>
              <w:bottom w:val="nil" w:sz="6" w:space="0" w:color="auto"/>
              <w:right w:val="nil" w:sz="6" w:space="0" w:color="auto"/>
            </w:tcBorders>
          </w:tcPr>
          <w:p>
            <w:pPr>
              <w:pStyle w:val="TableParagraph"/>
              <w:spacing w:line="180" w:lineRule="exact"/>
              <w:ind w:left="10" w:right="0"/>
              <w:jc w:val="center"/>
              <w:rPr>
                <w:rFonts w:ascii="黑体" w:hAnsi="黑体" w:cs="黑体" w:eastAsia="黑体" w:hint="default"/>
                <w:sz w:val="18"/>
                <w:szCs w:val="18"/>
              </w:rPr>
            </w:pPr>
            <w:r>
              <w:rPr>
                <w:rFonts w:ascii="黑体" w:hAnsi="黑体" w:cs="黑体" w:eastAsia="黑体" w:hint="default"/>
                <w:sz w:val="18"/>
                <w:szCs w:val="18"/>
              </w:rPr>
              <w:t>账面净值</w:t>
            </w:r>
          </w:p>
        </w:tc>
        <w:tc>
          <w:tcPr>
            <w:tcW w:w="1871" w:type="dxa"/>
            <w:tcBorders>
              <w:top w:val="nil" w:sz="6" w:space="0" w:color="auto"/>
              <w:left w:val="nil" w:sz="6" w:space="0" w:color="auto"/>
              <w:bottom w:val="nil" w:sz="6" w:space="0" w:color="auto"/>
              <w:right w:val="nil" w:sz="6" w:space="0" w:color="auto"/>
            </w:tcBorders>
          </w:tcPr>
          <w:p>
            <w:pPr>
              <w:pStyle w:val="TableParagraph"/>
              <w:spacing w:line="180" w:lineRule="exact"/>
              <w:ind w:right="167"/>
              <w:jc w:val="right"/>
              <w:rPr>
                <w:rFonts w:ascii="黑体" w:hAnsi="黑体" w:cs="黑体" w:eastAsia="黑体" w:hint="default"/>
                <w:sz w:val="18"/>
                <w:szCs w:val="18"/>
              </w:rPr>
            </w:pPr>
            <w:r>
              <w:rPr>
                <w:rFonts w:ascii="黑体" w:hAnsi="黑体" w:cs="黑体" w:eastAsia="黑体" w:hint="default"/>
                <w:sz w:val="18"/>
                <w:szCs w:val="18"/>
              </w:rPr>
              <w:t>所属分支机构</w:t>
            </w:r>
          </w:p>
        </w:tc>
        <w:tc>
          <w:tcPr>
            <w:tcW w:w="2349" w:type="dxa"/>
            <w:tcBorders>
              <w:top w:val="nil" w:sz="6" w:space="0" w:color="auto"/>
              <w:left w:val="nil" w:sz="6" w:space="0" w:color="auto"/>
              <w:bottom w:val="nil" w:sz="6" w:space="0" w:color="auto"/>
              <w:right w:val="nil" w:sz="6" w:space="0" w:color="auto"/>
            </w:tcBorders>
          </w:tcPr>
          <w:p>
            <w:pPr>
              <w:pStyle w:val="TableParagraph"/>
              <w:spacing w:line="180" w:lineRule="exact"/>
              <w:ind w:right="198"/>
              <w:jc w:val="right"/>
              <w:rPr>
                <w:rFonts w:ascii="黑体" w:hAnsi="黑体" w:cs="黑体" w:eastAsia="黑体" w:hint="default"/>
                <w:sz w:val="18"/>
                <w:szCs w:val="18"/>
              </w:rPr>
            </w:pPr>
            <w:r>
              <w:rPr>
                <w:rFonts w:ascii="黑体" w:hAnsi="黑体" w:cs="黑体" w:eastAsia="黑体" w:hint="default"/>
                <w:sz w:val="18"/>
                <w:szCs w:val="18"/>
              </w:rPr>
              <w:t>未办妥产权证书原因</w:t>
            </w:r>
          </w:p>
        </w:tc>
      </w:tr>
      <w:tr>
        <w:trPr>
          <w:trHeight w:val="339" w:hRule="exact"/>
        </w:trPr>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0" w:right="0"/>
              <w:jc w:val="left"/>
              <w:rPr>
                <w:rFonts w:ascii="黑体" w:hAnsi="黑体" w:cs="黑体" w:eastAsia="黑体" w:hint="default"/>
                <w:sz w:val="18"/>
                <w:szCs w:val="18"/>
              </w:rPr>
            </w:pPr>
            <w:r>
              <w:rPr>
                <w:rFonts w:ascii="黑体" w:hAnsi="黑体" w:cs="黑体" w:eastAsia="黑体" w:hint="default"/>
                <w:sz w:val="18"/>
                <w:szCs w:val="18"/>
              </w:rPr>
              <w:t>珠海东南服务车</w:t>
            </w:r>
          </w:p>
        </w:tc>
        <w:tc>
          <w:tcPr>
            <w:tcW w:w="1979"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82" w:right="0"/>
              <w:jc w:val="center"/>
              <w:rPr>
                <w:rFonts w:ascii="Arial" w:hAnsi="Arial" w:cs="Arial" w:eastAsia="Arial" w:hint="default"/>
                <w:sz w:val="18"/>
                <w:szCs w:val="18"/>
              </w:rPr>
            </w:pPr>
            <w:r>
              <w:rPr>
                <w:rFonts w:ascii="Arial"/>
                <w:sz w:val="18"/>
              </w:rPr>
              <w:t>175,942</w:t>
            </w:r>
          </w:p>
        </w:tc>
        <w:tc>
          <w:tcPr>
            <w:tcW w:w="187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67"/>
              <w:jc w:val="right"/>
              <w:rPr>
                <w:rFonts w:ascii="黑体" w:hAnsi="黑体" w:cs="黑体" w:eastAsia="黑体" w:hint="default"/>
                <w:sz w:val="18"/>
                <w:szCs w:val="18"/>
              </w:rPr>
            </w:pPr>
            <w:r>
              <w:rPr>
                <w:rFonts w:ascii="黑体" w:hAnsi="黑体" w:cs="黑体" w:eastAsia="黑体" w:hint="default"/>
                <w:sz w:val="18"/>
                <w:szCs w:val="18"/>
              </w:rPr>
              <w:t>珠海分公司</w:t>
            </w:r>
          </w:p>
        </w:tc>
        <w:tc>
          <w:tcPr>
            <w:tcW w:w="2349"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98"/>
              <w:jc w:val="right"/>
              <w:rPr>
                <w:rFonts w:ascii="黑体" w:hAnsi="黑体" w:cs="黑体" w:eastAsia="黑体" w:hint="default"/>
                <w:sz w:val="18"/>
                <w:szCs w:val="18"/>
              </w:rPr>
            </w:pPr>
            <w:r>
              <w:rPr>
                <w:rFonts w:ascii="黑体" w:hAnsi="黑体" w:cs="黑体" w:eastAsia="黑体" w:hint="default"/>
                <w:sz w:val="18"/>
                <w:szCs w:val="18"/>
              </w:rPr>
              <w:t>过户手续尚在办理过程中</w:t>
            </w:r>
          </w:p>
        </w:tc>
      </w:tr>
    </w:tbl>
    <w:p>
      <w:pPr>
        <w:spacing w:line="240" w:lineRule="auto" w:before="12"/>
        <w:rPr>
          <w:rFonts w:ascii="黑体" w:hAnsi="黑体" w:cs="黑体" w:eastAsia="黑体" w:hint="default"/>
          <w:sz w:val="15"/>
          <w:szCs w:val="15"/>
        </w:rPr>
      </w:pPr>
    </w:p>
    <w:p>
      <w:pPr>
        <w:pStyle w:val="BodyText"/>
        <w:spacing w:line="262" w:lineRule="exact" w:before="61"/>
        <w:ind w:left="828" w:right="232" w:hanging="7"/>
        <w:jc w:val="left"/>
      </w:pPr>
      <w:r>
        <w:rPr>
          <w:w w:val="95"/>
        </w:rPr>
        <w:t>于</w:t>
      </w:r>
      <w:r>
        <w:rPr>
          <w:rFonts w:ascii="Arial" w:hAnsi="Arial" w:cs="Arial" w:eastAsia="Arial" w:hint="default"/>
          <w:w w:val="95"/>
        </w:rPr>
        <w:t>2012</w:t>
      </w:r>
      <w:r>
        <w:rPr>
          <w:w w:val="95"/>
        </w:rPr>
        <w:t>年</w:t>
      </w:r>
      <w:r>
        <w:rPr>
          <w:rFonts w:ascii="Arial" w:hAnsi="Arial" w:cs="Arial" w:eastAsia="Arial" w:hint="default"/>
          <w:w w:val="95"/>
        </w:rPr>
        <w:t>12</w:t>
      </w:r>
      <w:r>
        <w:rPr>
          <w:w w:val="95"/>
        </w:rPr>
        <w:t>月</w:t>
      </w:r>
      <w:r>
        <w:rPr>
          <w:rFonts w:ascii="Arial" w:hAnsi="Arial" w:cs="Arial" w:eastAsia="Arial" w:hint="default"/>
          <w:w w:val="95"/>
        </w:rPr>
        <w:t>31</w:t>
      </w:r>
      <w:r>
        <w:rPr>
          <w:w w:val="95"/>
        </w:rPr>
        <w:t>日，经营性租出房屋建筑物的账面净值为人民币</w:t>
      </w:r>
      <w:r>
        <w:rPr>
          <w:rFonts w:ascii="Arial" w:hAnsi="Arial" w:cs="Arial" w:eastAsia="Arial" w:hint="default"/>
          <w:w w:val="95"/>
        </w:rPr>
        <w:t>161,926,105</w:t>
      </w:r>
      <w:r>
        <w:rPr>
          <w:w w:val="95"/>
        </w:rPr>
        <w:t>元</w:t>
      </w:r>
      <w:r>
        <w:rPr>
          <w:rFonts w:ascii="Arial" w:hAnsi="Arial" w:cs="Arial" w:eastAsia="Arial" w:hint="default"/>
          <w:w w:val="95"/>
        </w:rPr>
        <w:t>(2011</w:t>
      </w:r>
      <w:r>
        <w:rPr>
          <w:w w:val="95"/>
        </w:rPr>
        <w:t>年：</w:t>
      </w:r>
      <w:r>
        <w:rPr>
          <w:spacing w:val="64"/>
          <w:w w:val="95"/>
        </w:rPr>
        <w:t> </w:t>
      </w:r>
      <w:r>
        <w:rPr/>
        <w:t>人民币</w:t>
      </w:r>
      <w:r>
        <w:rPr>
          <w:rFonts w:ascii="Arial" w:hAnsi="Arial" w:cs="Arial" w:eastAsia="Arial" w:hint="default"/>
        </w:rPr>
        <w:t>93,692,735</w:t>
      </w:r>
      <w:r>
        <w:rPr/>
        <w:t>元</w:t>
      </w:r>
      <w:r>
        <w:rPr>
          <w:rFonts w:ascii="Arial" w:hAnsi="Arial" w:cs="Arial" w:eastAsia="Arial" w:hint="default"/>
        </w:rPr>
        <w:t>)</w:t>
      </w:r>
      <w:r>
        <w:rPr/>
        <w:t>。</w:t>
      </w:r>
    </w:p>
    <w:p>
      <w:pPr>
        <w:spacing w:line="240" w:lineRule="auto" w:before="7"/>
        <w:rPr>
          <w:rFonts w:ascii="黑体" w:hAnsi="黑体" w:cs="黑体" w:eastAsia="黑体" w:hint="default"/>
          <w:sz w:val="22"/>
          <w:szCs w:val="22"/>
        </w:rPr>
      </w:pPr>
    </w:p>
    <w:p>
      <w:pPr>
        <w:pStyle w:val="Heading6"/>
        <w:tabs>
          <w:tab w:pos="723" w:val="left" w:leader="none"/>
        </w:tabs>
        <w:spacing w:line="240" w:lineRule="auto" w:before="0"/>
        <w:ind w:right="232"/>
        <w:jc w:val="left"/>
        <w:rPr>
          <w:b w:val="0"/>
          <w:bCs w:val="0"/>
        </w:rPr>
      </w:pPr>
      <w:r>
        <w:rPr>
          <w:rFonts w:ascii="Arial" w:hAnsi="Arial" w:cs="Arial" w:eastAsia="Arial" w:hint="default"/>
          <w:spacing w:val="-1"/>
          <w:w w:val="95"/>
        </w:rPr>
        <w:t>10.</w:t>
        <w:tab/>
      </w:r>
      <w:r>
        <w:rPr>
          <w:spacing w:val="1"/>
        </w:rPr>
        <w:t>在建工程</w:t>
      </w:r>
      <w:r>
        <w:rPr>
          <w:b w:val="0"/>
          <w:bCs w:val="0"/>
          <w:spacing w:val="1"/>
        </w:rPr>
      </w:r>
    </w:p>
    <w:p>
      <w:pPr>
        <w:spacing w:line="240" w:lineRule="auto" w:before="9"/>
        <w:rPr>
          <w:rFonts w:ascii="黑体" w:hAnsi="黑体" w:cs="黑体" w:eastAsia="黑体" w:hint="default"/>
          <w:b/>
          <w:bCs/>
          <w:sz w:val="11"/>
          <w:szCs w:val="11"/>
        </w:rPr>
      </w:pPr>
    </w:p>
    <w:tbl>
      <w:tblPr>
        <w:tblW w:w="0" w:type="auto"/>
        <w:jc w:val="left"/>
        <w:tblInd w:w="609" w:type="dxa"/>
        <w:tblLayout w:type="fixed"/>
        <w:tblCellMar>
          <w:top w:w="0" w:type="dxa"/>
          <w:left w:w="0" w:type="dxa"/>
          <w:bottom w:w="0" w:type="dxa"/>
          <w:right w:w="0" w:type="dxa"/>
        </w:tblCellMar>
        <w:tblLook w:val="01E0"/>
      </w:tblPr>
      <w:tblGrid>
        <w:gridCol w:w="1424"/>
        <w:gridCol w:w="1103"/>
        <w:gridCol w:w="984"/>
        <w:gridCol w:w="1086"/>
        <w:gridCol w:w="235"/>
        <w:gridCol w:w="1087"/>
        <w:gridCol w:w="1016"/>
        <w:gridCol w:w="1084"/>
      </w:tblGrid>
      <w:tr>
        <w:trPr>
          <w:trHeight w:val="189" w:hRule="exact"/>
        </w:trPr>
        <w:tc>
          <w:tcPr>
            <w:tcW w:w="1424" w:type="dxa"/>
            <w:tcBorders>
              <w:top w:val="nil" w:sz="6" w:space="0" w:color="auto"/>
              <w:left w:val="nil" w:sz="6" w:space="0" w:color="auto"/>
              <w:bottom w:val="nil" w:sz="6" w:space="0" w:color="auto"/>
              <w:right w:val="nil" w:sz="6" w:space="0" w:color="auto"/>
            </w:tcBorders>
          </w:tcPr>
          <w:p>
            <w:pPr/>
          </w:p>
        </w:tc>
        <w:tc>
          <w:tcPr>
            <w:tcW w:w="1103" w:type="dxa"/>
            <w:tcBorders>
              <w:top w:val="nil" w:sz="6" w:space="0" w:color="auto"/>
              <w:left w:val="nil" w:sz="6" w:space="0" w:color="auto"/>
              <w:bottom w:val="single" w:sz="4" w:space="0" w:color="000000"/>
              <w:right w:val="nil" w:sz="6" w:space="0" w:color="auto"/>
            </w:tcBorders>
          </w:tcPr>
          <w:p>
            <w:pPr/>
          </w:p>
        </w:tc>
        <w:tc>
          <w:tcPr>
            <w:tcW w:w="984" w:type="dxa"/>
            <w:tcBorders>
              <w:top w:val="nil" w:sz="6" w:space="0" w:color="auto"/>
              <w:left w:val="nil" w:sz="6" w:space="0" w:color="auto"/>
              <w:bottom w:val="single" w:sz="4" w:space="0" w:color="000000"/>
              <w:right w:val="nil" w:sz="6" w:space="0" w:color="auto"/>
            </w:tcBorders>
          </w:tcPr>
          <w:p>
            <w:pPr>
              <w:pStyle w:val="TableParagraph"/>
              <w:spacing w:line="172" w:lineRule="exact"/>
              <w:ind w:right="232"/>
              <w:jc w:val="right"/>
              <w:rPr>
                <w:rFonts w:ascii="黑体" w:hAnsi="黑体" w:cs="黑体" w:eastAsia="黑体" w:hint="default"/>
                <w:sz w:val="16"/>
                <w:szCs w:val="16"/>
              </w:rPr>
            </w:pPr>
            <w:r>
              <w:rPr>
                <w:rFonts w:ascii="Arial" w:hAnsi="Arial" w:cs="Arial" w:eastAsia="Arial" w:hint="default"/>
                <w:spacing w:val="-1"/>
                <w:sz w:val="16"/>
                <w:szCs w:val="16"/>
              </w:rPr>
              <w:t>2012</w:t>
            </w:r>
            <w:r>
              <w:rPr>
                <w:rFonts w:ascii="黑体" w:hAnsi="黑体" w:cs="黑体" w:eastAsia="黑体" w:hint="default"/>
                <w:spacing w:val="-1"/>
                <w:sz w:val="16"/>
                <w:szCs w:val="16"/>
              </w:rPr>
              <w:t>年</w:t>
            </w:r>
          </w:p>
        </w:tc>
        <w:tc>
          <w:tcPr>
            <w:tcW w:w="1086" w:type="dxa"/>
            <w:tcBorders>
              <w:top w:val="nil" w:sz="6" w:space="0" w:color="auto"/>
              <w:left w:val="nil" w:sz="6" w:space="0" w:color="auto"/>
              <w:bottom w:val="single" w:sz="4" w:space="0" w:color="000000"/>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single" w:sz="4" w:space="0" w:color="000000"/>
              <w:right w:val="nil" w:sz="6" w:space="0" w:color="auto"/>
            </w:tcBorders>
          </w:tcPr>
          <w:p>
            <w:pPr/>
          </w:p>
        </w:tc>
        <w:tc>
          <w:tcPr>
            <w:tcW w:w="1016" w:type="dxa"/>
            <w:tcBorders>
              <w:top w:val="nil" w:sz="6" w:space="0" w:color="auto"/>
              <w:left w:val="nil" w:sz="6" w:space="0" w:color="auto"/>
              <w:bottom w:val="single" w:sz="4" w:space="0" w:color="000000"/>
              <w:right w:val="nil" w:sz="6" w:space="0" w:color="auto"/>
            </w:tcBorders>
          </w:tcPr>
          <w:p>
            <w:pPr>
              <w:pStyle w:val="TableParagraph"/>
              <w:spacing w:line="172" w:lineRule="exact"/>
              <w:ind w:left="254" w:right="0"/>
              <w:jc w:val="left"/>
              <w:rPr>
                <w:rFonts w:ascii="黑体" w:hAnsi="黑体" w:cs="黑体" w:eastAsia="黑体" w:hint="default"/>
                <w:sz w:val="16"/>
                <w:szCs w:val="16"/>
              </w:rPr>
            </w:pPr>
            <w:r>
              <w:rPr>
                <w:rFonts w:ascii="Arial" w:hAnsi="Arial" w:cs="Arial" w:eastAsia="Arial" w:hint="default"/>
                <w:sz w:val="16"/>
                <w:szCs w:val="16"/>
              </w:rPr>
              <w:t>2011</w:t>
            </w:r>
            <w:r>
              <w:rPr>
                <w:rFonts w:ascii="黑体" w:hAnsi="黑体" w:cs="黑体" w:eastAsia="黑体" w:hint="default"/>
                <w:sz w:val="16"/>
                <w:szCs w:val="16"/>
              </w:rPr>
              <w:t>年</w:t>
            </w:r>
          </w:p>
        </w:tc>
        <w:tc>
          <w:tcPr>
            <w:tcW w:w="1084" w:type="dxa"/>
            <w:tcBorders>
              <w:top w:val="nil" w:sz="6" w:space="0" w:color="auto"/>
              <w:left w:val="nil" w:sz="6" w:space="0" w:color="auto"/>
              <w:bottom w:val="single" w:sz="4" w:space="0" w:color="000000"/>
              <w:right w:val="nil" w:sz="6" w:space="0" w:color="auto"/>
            </w:tcBorders>
          </w:tcPr>
          <w:p>
            <w:pPr/>
          </w:p>
        </w:tc>
      </w:tr>
      <w:tr>
        <w:trPr>
          <w:trHeight w:val="407" w:hRule="exact"/>
        </w:trPr>
        <w:tc>
          <w:tcPr>
            <w:tcW w:w="1424" w:type="dxa"/>
            <w:tcBorders>
              <w:top w:val="nil" w:sz="6" w:space="0" w:color="auto"/>
              <w:left w:val="nil" w:sz="6" w:space="0" w:color="auto"/>
              <w:bottom w:val="nil" w:sz="6" w:space="0" w:color="auto"/>
              <w:right w:val="nil" w:sz="6" w:space="0" w:color="auto"/>
            </w:tcBorders>
          </w:tcPr>
          <w:p>
            <w:pPr/>
          </w:p>
        </w:tc>
        <w:tc>
          <w:tcPr>
            <w:tcW w:w="1103"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145"/>
              <w:jc w:val="right"/>
              <w:rPr>
                <w:rFonts w:ascii="黑体" w:hAnsi="黑体" w:cs="黑体" w:eastAsia="黑体" w:hint="default"/>
                <w:sz w:val="16"/>
                <w:szCs w:val="16"/>
              </w:rPr>
            </w:pPr>
            <w:r>
              <w:rPr>
                <w:rFonts w:ascii="黑体" w:hAnsi="黑体" w:cs="黑体" w:eastAsia="黑体" w:hint="default"/>
                <w:sz w:val="16"/>
                <w:szCs w:val="16"/>
              </w:rPr>
              <w:t>账面余额</w:t>
            </w:r>
          </w:p>
        </w:tc>
        <w:tc>
          <w:tcPr>
            <w:tcW w:w="984"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191"/>
              <w:jc w:val="right"/>
              <w:rPr>
                <w:rFonts w:ascii="黑体" w:hAnsi="黑体" w:cs="黑体" w:eastAsia="黑体" w:hint="default"/>
                <w:sz w:val="16"/>
                <w:szCs w:val="16"/>
              </w:rPr>
            </w:pPr>
            <w:r>
              <w:rPr>
                <w:rFonts w:ascii="黑体" w:hAnsi="黑体" w:cs="黑体" w:eastAsia="黑体" w:hint="default"/>
                <w:sz w:val="16"/>
                <w:szCs w:val="16"/>
              </w:rPr>
              <w:t>减值准备</w:t>
            </w:r>
          </w:p>
        </w:tc>
        <w:tc>
          <w:tcPr>
            <w:tcW w:w="1086"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0"/>
              <w:jc w:val="right"/>
              <w:rPr>
                <w:rFonts w:ascii="黑体" w:hAnsi="黑体" w:cs="黑体" w:eastAsia="黑体" w:hint="default"/>
                <w:sz w:val="16"/>
                <w:szCs w:val="16"/>
              </w:rPr>
            </w:pPr>
            <w:r>
              <w:rPr>
                <w:rFonts w:ascii="黑体" w:hAnsi="黑体" w:cs="黑体" w:eastAsia="黑体" w:hint="default"/>
                <w:sz w:val="16"/>
                <w:szCs w:val="16"/>
              </w:rPr>
              <w:t>账面价值</w:t>
            </w:r>
          </w:p>
        </w:tc>
        <w:tc>
          <w:tcPr>
            <w:tcW w:w="235" w:type="dxa"/>
            <w:tcBorders>
              <w:top w:val="nil" w:sz="6" w:space="0" w:color="auto"/>
              <w:left w:val="nil" w:sz="6" w:space="0" w:color="auto"/>
              <w:bottom w:val="nil" w:sz="6" w:space="0" w:color="auto"/>
              <w:right w:val="nil" w:sz="6" w:space="0" w:color="auto"/>
            </w:tcBorders>
          </w:tcPr>
          <w:p>
            <w:pPr/>
          </w:p>
        </w:tc>
        <w:tc>
          <w:tcPr>
            <w:tcW w:w="1087"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180"/>
              <w:jc w:val="right"/>
              <w:rPr>
                <w:rFonts w:ascii="黑体" w:hAnsi="黑体" w:cs="黑体" w:eastAsia="黑体" w:hint="default"/>
                <w:sz w:val="16"/>
                <w:szCs w:val="16"/>
              </w:rPr>
            </w:pPr>
            <w:r>
              <w:rPr>
                <w:rFonts w:ascii="黑体" w:hAnsi="黑体" w:cs="黑体" w:eastAsia="黑体" w:hint="default"/>
                <w:sz w:val="16"/>
                <w:szCs w:val="16"/>
              </w:rPr>
              <w:t>账面余额</w:t>
            </w:r>
          </w:p>
        </w:tc>
        <w:tc>
          <w:tcPr>
            <w:tcW w:w="1016"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left="182" w:right="0"/>
              <w:jc w:val="left"/>
              <w:rPr>
                <w:rFonts w:ascii="黑体" w:hAnsi="黑体" w:cs="黑体" w:eastAsia="黑体" w:hint="default"/>
                <w:sz w:val="16"/>
                <w:szCs w:val="16"/>
              </w:rPr>
            </w:pPr>
            <w:r>
              <w:rPr>
                <w:rFonts w:ascii="黑体" w:hAnsi="黑体" w:cs="黑体" w:eastAsia="黑体" w:hint="default"/>
                <w:sz w:val="16"/>
                <w:szCs w:val="16"/>
              </w:rPr>
              <w:t>减值准备</w:t>
            </w:r>
          </w:p>
        </w:tc>
        <w:tc>
          <w:tcPr>
            <w:tcW w:w="1084"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0"/>
              <w:jc w:val="right"/>
              <w:rPr>
                <w:rFonts w:ascii="黑体" w:hAnsi="黑体" w:cs="黑体" w:eastAsia="黑体" w:hint="default"/>
                <w:sz w:val="16"/>
                <w:szCs w:val="16"/>
              </w:rPr>
            </w:pPr>
            <w:r>
              <w:rPr>
                <w:rFonts w:ascii="黑体" w:hAnsi="黑体" w:cs="黑体" w:eastAsia="黑体" w:hint="default"/>
                <w:sz w:val="16"/>
                <w:szCs w:val="16"/>
              </w:rPr>
              <w:t>账面价值</w:t>
            </w:r>
          </w:p>
        </w:tc>
      </w:tr>
      <w:tr>
        <w:trPr>
          <w:trHeight w:val="543" w:hRule="exact"/>
        </w:trPr>
        <w:tc>
          <w:tcPr>
            <w:tcW w:w="1424" w:type="dxa"/>
            <w:tcBorders>
              <w:top w:val="nil" w:sz="6" w:space="0" w:color="auto"/>
              <w:left w:val="nil" w:sz="6" w:space="0" w:color="auto"/>
              <w:bottom w:val="nil" w:sz="6" w:space="0" w:color="auto"/>
              <w:right w:val="nil" w:sz="6" w:space="0" w:color="auto"/>
            </w:tcBorders>
          </w:tcPr>
          <w:p>
            <w:pPr>
              <w:pStyle w:val="TableParagraph"/>
              <w:spacing w:line="206" w:lineRule="exact" w:before="131"/>
              <w:ind w:left="200" w:right="259"/>
              <w:jc w:val="left"/>
              <w:rPr>
                <w:rFonts w:ascii="黑体" w:hAnsi="黑体" w:cs="黑体" w:eastAsia="黑体" w:hint="default"/>
                <w:sz w:val="16"/>
                <w:szCs w:val="16"/>
              </w:rPr>
            </w:pPr>
            <w:r>
              <w:rPr>
                <w:rFonts w:ascii="黑体" w:hAnsi="黑体" w:cs="黑体" w:eastAsia="黑体" w:hint="default"/>
                <w:sz w:val="16"/>
                <w:szCs w:val="16"/>
              </w:rPr>
              <w:t>用友软件园</w:t>
            </w:r>
            <w:r>
              <w:rPr>
                <w:rFonts w:ascii="黑体" w:hAnsi="黑体" w:cs="黑体" w:eastAsia="黑体" w:hint="default"/>
                <w:w w:val="100"/>
                <w:sz w:val="16"/>
                <w:szCs w:val="16"/>
              </w:rPr>
              <w:t> </w:t>
            </w:r>
            <w:r>
              <w:rPr>
                <w:rFonts w:ascii="黑体" w:hAnsi="黑体" w:cs="黑体" w:eastAsia="黑体" w:hint="default"/>
                <w:spacing w:val="-1"/>
                <w:sz w:val="16"/>
                <w:szCs w:val="16"/>
              </w:rPr>
              <w:t>项目二期工程</w:t>
            </w:r>
          </w:p>
        </w:tc>
        <w:tc>
          <w:tcPr>
            <w:tcW w:w="11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16"/>
                <w:szCs w:val="16"/>
              </w:rPr>
            </w:pPr>
          </w:p>
          <w:p>
            <w:pPr>
              <w:pStyle w:val="TableParagraph"/>
              <w:spacing w:line="240" w:lineRule="auto" w:before="9"/>
              <w:ind w:right="0"/>
              <w:jc w:val="left"/>
              <w:rPr>
                <w:rFonts w:ascii="黑体" w:hAnsi="黑体" w:cs="黑体" w:eastAsia="黑体" w:hint="default"/>
                <w:b/>
                <w:bCs/>
                <w:sz w:val="11"/>
                <w:szCs w:val="11"/>
              </w:rPr>
            </w:pPr>
          </w:p>
          <w:p>
            <w:pPr>
              <w:pStyle w:val="TableParagraph"/>
              <w:spacing w:line="240" w:lineRule="auto"/>
              <w:ind w:right="148"/>
              <w:jc w:val="right"/>
              <w:rPr>
                <w:rFonts w:ascii="Arial" w:hAnsi="Arial" w:cs="Arial" w:eastAsia="Arial" w:hint="default"/>
                <w:sz w:val="16"/>
                <w:szCs w:val="16"/>
              </w:rPr>
            </w:pPr>
            <w:r>
              <w:rPr>
                <w:rFonts w:ascii="Arial"/>
                <w:w w:val="100"/>
                <w:sz w:val="16"/>
              </w:rPr>
            </w:r>
            <w:r>
              <w:rPr>
                <w:rFonts w:ascii="Arial"/>
                <w:spacing w:val="-1"/>
                <w:sz w:val="16"/>
                <w:u w:val="thick" w:color="000000"/>
              </w:rPr>
              <w:t>430,338,092</w:t>
            </w:r>
            <w:r>
              <w:rPr>
                <w:rFonts w:ascii="Arial"/>
                <w:spacing w:val="-1"/>
                <w:sz w:val="16"/>
              </w:rPr>
            </w:r>
            <w:r>
              <w:rPr>
                <w:rFonts w:ascii="Arial"/>
                <w:sz w:val="16"/>
              </w:rPr>
            </w:r>
          </w:p>
        </w:tc>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16"/>
                <w:szCs w:val="16"/>
              </w:rPr>
            </w:pPr>
          </w:p>
          <w:p>
            <w:pPr>
              <w:pStyle w:val="TableParagraph"/>
              <w:spacing w:line="240" w:lineRule="auto" w:before="9"/>
              <w:ind w:right="0"/>
              <w:jc w:val="left"/>
              <w:rPr>
                <w:rFonts w:ascii="黑体" w:hAnsi="黑体" w:cs="黑体" w:eastAsia="黑体" w:hint="default"/>
                <w:b/>
                <w:bCs/>
                <w:sz w:val="11"/>
                <w:szCs w:val="11"/>
              </w:rPr>
            </w:pPr>
          </w:p>
          <w:p>
            <w:pPr>
              <w:pStyle w:val="TableParagraph"/>
              <w:tabs>
                <w:tab w:pos="561" w:val="left" w:leader="none"/>
              </w:tabs>
              <w:spacing w:line="240" w:lineRule="auto"/>
              <w:ind w:right="192"/>
              <w:jc w:val="right"/>
              <w:rPr>
                <w:rFonts w:ascii="Arial" w:hAnsi="Arial" w:cs="Arial" w:eastAsia="Arial" w:hint="default"/>
                <w:sz w:val="16"/>
                <w:szCs w:val="16"/>
              </w:rPr>
            </w:pPr>
            <w:r>
              <w:rPr>
                <w:rFonts w:ascii="Arial"/>
                <w:w w:val="100"/>
                <w:sz w:val="16"/>
              </w:rPr>
            </w:r>
            <w:r>
              <w:rPr>
                <w:rFonts w:ascii="Arial"/>
                <w:w w:val="100"/>
                <w:sz w:val="16"/>
                <w:u w:val="thick" w:color="000000"/>
              </w:rPr>
              <w:t> </w:t>
            </w:r>
            <w:r>
              <w:rPr>
                <w:rFonts w:ascii="Arial"/>
                <w:sz w:val="16"/>
                <w:u w:val="thick" w:color="000000"/>
              </w:rPr>
              <w:tab/>
              <w:t>-</w:t>
            </w:r>
            <w:r>
              <w:rPr>
                <w:rFonts w:ascii="Arial"/>
                <w:sz w:val="16"/>
              </w:rPr>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16"/>
                <w:szCs w:val="16"/>
              </w:rPr>
            </w:pPr>
          </w:p>
          <w:p>
            <w:pPr>
              <w:pStyle w:val="TableParagraph"/>
              <w:spacing w:line="240" w:lineRule="auto" w:before="9"/>
              <w:ind w:right="0"/>
              <w:jc w:val="left"/>
              <w:rPr>
                <w:rFonts w:ascii="黑体" w:hAnsi="黑体" w:cs="黑体" w:eastAsia="黑体" w:hint="default"/>
                <w:b/>
                <w:bCs/>
                <w:sz w:val="11"/>
                <w:szCs w:val="11"/>
              </w:rPr>
            </w:pPr>
          </w:p>
          <w:p>
            <w:pPr>
              <w:pStyle w:val="TableParagraph"/>
              <w:spacing w:line="240" w:lineRule="auto"/>
              <w:ind w:right="0"/>
              <w:jc w:val="right"/>
              <w:rPr>
                <w:rFonts w:ascii="Arial" w:hAnsi="Arial" w:cs="Arial" w:eastAsia="Arial" w:hint="default"/>
                <w:sz w:val="16"/>
                <w:szCs w:val="16"/>
              </w:rPr>
            </w:pPr>
            <w:r>
              <w:rPr>
                <w:rFonts w:ascii="Arial"/>
                <w:w w:val="100"/>
                <w:sz w:val="16"/>
              </w:rPr>
            </w:r>
            <w:r>
              <w:rPr>
                <w:rFonts w:ascii="Arial"/>
                <w:spacing w:val="-1"/>
                <w:sz w:val="16"/>
                <w:u w:val="thick" w:color="000000"/>
              </w:rPr>
              <w:t>430,338,092</w:t>
            </w:r>
            <w:r>
              <w:rPr>
                <w:rFonts w:ascii="Arial"/>
                <w:spacing w:val="-1"/>
                <w:sz w:val="16"/>
              </w:rPr>
            </w:r>
            <w:r>
              <w:rPr>
                <w:rFonts w:ascii="Arial"/>
                <w:sz w:val="16"/>
              </w:rPr>
            </w:r>
          </w:p>
        </w:tc>
        <w:tc>
          <w:tcPr>
            <w:tcW w:w="235"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16"/>
                <w:szCs w:val="16"/>
              </w:rPr>
            </w:pPr>
          </w:p>
          <w:p>
            <w:pPr>
              <w:pStyle w:val="TableParagraph"/>
              <w:spacing w:line="240" w:lineRule="auto" w:before="9"/>
              <w:ind w:right="0"/>
              <w:jc w:val="left"/>
              <w:rPr>
                <w:rFonts w:ascii="黑体" w:hAnsi="黑体" w:cs="黑体" w:eastAsia="黑体" w:hint="default"/>
                <w:b/>
                <w:bCs/>
                <w:sz w:val="11"/>
                <w:szCs w:val="11"/>
              </w:rPr>
            </w:pPr>
          </w:p>
          <w:p>
            <w:pPr>
              <w:pStyle w:val="TableParagraph"/>
              <w:spacing w:line="240" w:lineRule="auto"/>
              <w:ind w:right="180"/>
              <w:jc w:val="right"/>
              <w:rPr>
                <w:rFonts w:ascii="Arial" w:hAnsi="Arial" w:cs="Arial" w:eastAsia="Arial" w:hint="default"/>
                <w:sz w:val="16"/>
                <w:szCs w:val="16"/>
              </w:rPr>
            </w:pPr>
            <w:r>
              <w:rPr>
                <w:rFonts w:ascii="Arial"/>
                <w:w w:val="100"/>
                <w:sz w:val="16"/>
              </w:rPr>
            </w:r>
            <w:r>
              <w:rPr>
                <w:rFonts w:ascii="Arial"/>
                <w:spacing w:val="-1"/>
                <w:sz w:val="16"/>
                <w:u w:val="thick" w:color="000000"/>
              </w:rPr>
              <w:t>293,920,147</w:t>
            </w:r>
            <w:r>
              <w:rPr>
                <w:rFonts w:ascii="Arial"/>
                <w:spacing w:val="-1"/>
                <w:sz w:val="16"/>
              </w:rPr>
            </w:r>
            <w:r>
              <w:rPr>
                <w:rFonts w:ascii="Arial"/>
                <w:sz w:val="16"/>
              </w:rPr>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16"/>
                <w:szCs w:val="16"/>
              </w:rPr>
            </w:pPr>
          </w:p>
          <w:p>
            <w:pPr>
              <w:pStyle w:val="TableParagraph"/>
              <w:spacing w:line="240" w:lineRule="auto" w:before="9"/>
              <w:ind w:right="0"/>
              <w:jc w:val="left"/>
              <w:rPr>
                <w:rFonts w:ascii="黑体" w:hAnsi="黑体" w:cs="黑体" w:eastAsia="黑体" w:hint="default"/>
                <w:b/>
                <w:bCs/>
                <w:sz w:val="11"/>
                <w:szCs w:val="11"/>
              </w:rPr>
            </w:pPr>
          </w:p>
          <w:p>
            <w:pPr>
              <w:pStyle w:val="TableParagraph"/>
              <w:tabs>
                <w:tab w:pos="770" w:val="left" w:leader="none"/>
              </w:tabs>
              <w:spacing w:line="240" w:lineRule="auto"/>
              <w:ind w:left="208" w:right="0"/>
              <w:jc w:val="left"/>
              <w:rPr>
                <w:rFonts w:ascii="Arial" w:hAnsi="Arial" w:cs="Arial" w:eastAsia="Arial" w:hint="default"/>
                <w:sz w:val="16"/>
                <w:szCs w:val="16"/>
              </w:rPr>
            </w:pPr>
            <w:r>
              <w:rPr>
                <w:rFonts w:ascii="Arial"/>
                <w:w w:val="100"/>
                <w:sz w:val="16"/>
              </w:rPr>
            </w:r>
            <w:r>
              <w:rPr>
                <w:rFonts w:ascii="Arial"/>
                <w:w w:val="100"/>
                <w:sz w:val="16"/>
                <w:u w:val="thick" w:color="000000"/>
              </w:rPr>
              <w:t> </w:t>
            </w:r>
            <w:r>
              <w:rPr>
                <w:rFonts w:ascii="Arial"/>
                <w:sz w:val="16"/>
                <w:u w:val="thick" w:color="000000"/>
              </w:rPr>
              <w:tab/>
              <w:t>-</w:t>
            </w:r>
            <w:r>
              <w:rPr>
                <w:rFonts w:ascii="Arial"/>
                <w:sz w:val="16"/>
              </w:rPr>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16"/>
                <w:szCs w:val="16"/>
              </w:rPr>
            </w:pPr>
          </w:p>
          <w:p>
            <w:pPr>
              <w:pStyle w:val="TableParagraph"/>
              <w:spacing w:line="240" w:lineRule="auto" w:before="9"/>
              <w:ind w:right="0"/>
              <w:jc w:val="left"/>
              <w:rPr>
                <w:rFonts w:ascii="黑体" w:hAnsi="黑体" w:cs="黑体" w:eastAsia="黑体" w:hint="default"/>
                <w:b/>
                <w:bCs/>
                <w:sz w:val="11"/>
                <w:szCs w:val="11"/>
              </w:rPr>
            </w:pPr>
          </w:p>
          <w:p>
            <w:pPr>
              <w:pStyle w:val="TableParagraph"/>
              <w:spacing w:line="240" w:lineRule="auto"/>
              <w:ind w:right="0"/>
              <w:jc w:val="right"/>
              <w:rPr>
                <w:rFonts w:ascii="Arial" w:hAnsi="Arial" w:cs="Arial" w:eastAsia="Arial" w:hint="default"/>
                <w:sz w:val="16"/>
                <w:szCs w:val="16"/>
              </w:rPr>
            </w:pPr>
            <w:r>
              <w:rPr>
                <w:rFonts w:ascii="Arial"/>
                <w:w w:val="100"/>
                <w:sz w:val="16"/>
              </w:rPr>
            </w:r>
            <w:r>
              <w:rPr>
                <w:rFonts w:ascii="Arial"/>
                <w:spacing w:val="-1"/>
                <w:sz w:val="16"/>
                <w:u w:val="thick" w:color="000000"/>
              </w:rPr>
              <w:t>293,920,147</w:t>
            </w:r>
            <w:r>
              <w:rPr>
                <w:rFonts w:ascii="Arial"/>
                <w:spacing w:val="-1"/>
                <w:sz w:val="16"/>
              </w:rPr>
            </w:r>
            <w:r>
              <w:rPr>
                <w:rFonts w:ascii="Arial"/>
                <w:sz w:val="16"/>
              </w:rPr>
            </w:r>
          </w:p>
        </w:tc>
      </w:tr>
    </w:tbl>
    <w:p>
      <w:pPr>
        <w:spacing w:line="240" w:lineRule="auto" w:before="4"/>
        <w:rPr>
          <w:rFonts w:ascii="黑体" w:hAnsi="黑体" w:cs="黑体" w:eastAsia="黑体" w:hint="default"/>
          <w:b/>
          <w:bCs/>
          <w:sz w:val="19"/>
          <w:szCs w:val="19"/>
        </w:rPr>
      </w:pPr>
    </w:p>
    <w:p>
      <w:pPr>
        <w:pStyle w:val="BodyText"/>
        <w:spacing w:line="240" w:lineRule="auto" w:before="37"/>
        <w:ind w:right="232"/>
        <w:jc w:val="left"/>
      </w:pPr>
      <w:r>
        <w:rPr>
          <w:rFonts w:ascii="Arial" w:hAnsi="Arial" w:cs="Arial" w:eastAsia="Arial" w:hint="default"/>
        </w:rPr>
        <w:t>2012</w:t>
      </w:r>
      <w:r>
        <w:rPr/>
        <w:t>年</w:t>
      </w:r>
    </w:p>
    <w:p>
      <w:pPr>
        <w:spacing w:line="240" w:lineRule="auto" w:before="9"/>
        <w:rPr>
          <w:rFonts w:ascii="黑体" w:hAnsi="黑体" w:cs="黑体" w:eastAsia="黑体" w:hint="default"/>
          <w:sz w:val="4"/>
          <w:szCs w:val="4"/>
        </w:rPr>
      </w:pPr>
    </w:p>
    <w:tbl>
      <w:tblPr>
        <w:tblW w:w="0" w:type="auto"/>
        <w:jc w:val="left"/>
        <w:tblInd w:w="587" w:type="dxa"/>
        <w:tblLayout w:type="fixed"/>
        <w:tblCellMar>
          <w:top w:w="0" w:type="dxa"/>
          <w:left w:w="0" w:type="dxa"/>
          <w:bottom w:w="0" w:type="dxa"/>
          <w:right w:w="0" w:type="dxa"/>
        </w:tblCellMar>
        <w:tblLook w:val="01E0"/>
      </w:tblPr>
      <w:tblGrid>
        <w:gridCol w:w="1454"/>
        <w:gridCol w:w="801"/>
        <w:gridCol w:w="1033"/>
        <w:gridCol w:w="1073"/>
        <w:gridCol w:w="1159"/>
        <w:gridCol w:w="1007"/>
        <w:gridCol w:w="772"/>
        <w:gridCol w:w="1010"/>
      </w:tblGrid>
      <w:tr>
        <w:trPr>
          <w:trHeight w:val="416" w:hRule="exact"/>
        </w:trPr>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2"/>
                <w:szCs w:val="12"/>
              </w:rPr>
            </w:pPr>
          </w:p>
          <w:p>
            <w:pPr>
              <w:pStyle w:val="TableParagraph"/>
              <w:spacing w:line="240" w:lineRule="auto"/>
              <w:ind w:left="216" w:right="0"/>
              <w:jc w:val="left"/>
              <w:rPr>
                <w:rFonts w:ascii="黑体" w:hAnsi="黑体" w:cs="黑体" w:eastAsia="黑体" w:hint="default"/>
                <w:sz w:val="16"/>
                <w:szCs w:val="16"/>
              </w:rPr>
            </w:pPr>
            <w:r>
              <w:rPr>
                <w:rFonts w:ascii="黑体" w:hAnsi="黑体" w:cs="黑体" w:eastAsia="黑体" w:hint="default"/>
                <w:sz w:val="16"/>
                <w:szCs w:val="16"/>
              </w:rPr>
              <w:t>工程项目名称</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2"/>
                <w:szCs w:val="12"/>
              </w:rPr>
            </w:pPr>
          </w:p>
          <w:p>
            <w:pPr>
              <w:pStyle w:val="TableParagraph"/>
              <w:spacing w:line="240" w:lineRule="auto"/>
              <w:ind w:right="41"/>
              <w:jc w:val="right"/>
              <w:rPr>
                <w:rFonts w:ascii="黑体" w:hAnsi="黑体" w:cs="黑体" w:eastAsia="黑体" w:hint="default"/>
                <w:sz w:val="16"/>
                <w:szCs w:val="16"/>
              </w:rPr>
            </w:pPr>
            <w:r>
              <w:rPr>
                <w:rFonts w:ascii="黑体" w:hAnsi="黑体" w:cs="黑体" w:eastAsia="黑体" w:hint="default"/>
                <w:sz w:val="16"/>
                <w:szCs w:val="16"/>
              </w:rPr>
              <w:t>预算款</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2"/>
                <w:szCs w:val="12"/>
              </w:rPr>
            </w:pPr>
          </w:p>
          <w:p>
            <w:pPr>
              <w:pStyle w:val="TableParagraph"/>
              <w:spacing w:line="240" w:lineRule="auto"/>
              <w:ind w:right="83"/>
              <w:jc w:val="right"/>
              <w:rPr>
                <w:rFonts w:ascii="黑体" w:hAnsi="黑体" w:cs="黑体" w:eastAsia="黑体" w:hint="default"/>
                <w:sz w:val="16"/>
                <w:szCs w:val="16"/>
              </w:rPr>
            </w:pPr>
            <w:r>
              <w:rPr>
                <w:rFonts w:ascii="黑体" w:hAnsi="黑体" w:cs="黑体" w:eastAsia="黑体" w:hint="default"/>
                <w:sz w:val="16"/>
                <w:szCs w:val="16"/>
              </w:rPr>
              <w:t>年初数</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2"/>
                <w:szCs w:val="12"/>
              </w:rPr>
            </w:pPr>
          </w:p>
          <w:p>
            <w:pPr>
              <w:pStyle w:val="TableParagraph"/>
              <w:spacing w:line="240" w:lineRule="auto"/>
              <w:ind w:right="80"/>
              <w:jc w:val="right"/>
              <w:rPr>
                <w:rFonts w:ascii="黑体" w:hAnsi="黑体" w:cs="黑体" w:eastAsia="黑体" w:hint="default"/>
                <w:sz w:val="16"/>
                <w:szCs w:val="16"/>
              </w:rPr>
            </w:pPr>
            <w:r>
              <w:rPr>
                <w:rFonts w:ascii="黑体" w:hAnsi="黑体" w:cs="黑体" w:eastAsia="黑体" w:hint="default"/>
                <w:sz w:val="16"/>
                <w:szCs w:val="16"/>
              </w:rPr>
              <w:t>本年增加</w:t>
            </w:r>
          </w:p>
        </w:tc>
        <w:tc>
          <w:tcPr>
            <w:tcW w:w="1159" w:type="dxa"/>
            <w:tcBorders>
              <w:top w:val="nil" w:sz="6" w:space="0" w:color="auto"/>
              <w:left w:val="nil" w:sz="6" w:space="0" w:color="auto"/>
              <w:bottom w:val="nil" w:sz="6" w:space="0" w:color="auto"/>
              <w:right w:val="nil" w:sz="6" w:space="0" w:color="auto"/>
            </w:tcBorders>
          </w:tcPr>
          <w:p>
            <w:pPr>
              <w:pStyle w:val="TableParagraph"/>
              <w:spacing w:line="160" w:lineRule="exact"/>
              <w:ind w:left="449" w:right="0"/>
              <w:jc w:val="left"/>
              <w:rPr>
                <w:rFonts w:ascii="黑体" w:hAnsi="黑体" w:cs="黑体" w:eastAsia="黑体" w:hint="default"/>
                <w:sz w:val="16"/>
                <w:szCs w:val="16"/>
              </w:rPr>
            </w:pPr>
            <w:r>
              <w:rPr>
                <w:rFonts w:ascii="黑体" w:hAnsi="黑体" w:cs="黑体" w:eastAsia="黑体" w:hint="default"/>
                <w:sz w:val="16"/>
                <w:szCs w:val="16"/>
              </w:rPr>
              <w:t>转入固定</w:t>
            </w:r>
          </w:p>
          <w:p>
            <w:pPr>
              <w:pStyle w:val="TableParagraph"/>
              <w:spacing w:line="209" w:lineRule="exact"/>
              <w:ind w:left="771" w:right="0"/>
              <w:jc w:val="left"/>
              <w:rPr>
                <w:rFonts w:ascii="黑体" w:hAnsi="黑体" w:cs="黑体" w:eastAsia="黑体" w:hint="default"/>
                <w:sz w:val="16"/>
                <w:szCs w:val="16"/>
              </w:rPr>
            </w:pPr>
            <w:r>
              <w:rPr>
                <w:rFonts w:ascii="黑体" w:hAnsi="黑体" w:cs="黑体" w:eastAsia="黑体" w:hint="default"/>
                <w:sz w:val="16"/>
                <w:szCs w:val="16"/>
              </w:rPr>
              <w:t>资产</w:t>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2"/>
                <w:szCs w:val="12"/>
              </w:rPr>
            </w:pPr>
          </w:p>
          <w:p>
            <w:pPr>
              <w:pStyle w:val="TableParagraph"/>
              <w:spacing w:line="240" w:lineRule="auto"/>
              <w:ind w:right="35"/>
              <w:jc w:val="right"/>
              <w:rPr>
                <w:rFonts w:ascii="黑体" w:hAnsi="黑体" w:cs="黑体" w:eastAsia="黑体" w:hint="default"/>
                <w:sz w:val="16"/>
                <w:szCs w:val="16"/>
              </w:rPr>
            </w:pPr>
            <w:r>
              <w:rPr>
                <w:rFonts w:ascii="黑体" w:hAnsi="黑体" w:cs="黑体" w:eastAsia="黑体" w:hint="default"/>
                <w:sz w:val="16"/>
                <w:szCs w:val="16"/>
              </w:rPr>
              <w:t>年末数</w:t>
            </w:r>
          </w:p>
        </w:tc>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2"/>
                <w:szCs w:val="12"/>
              </w:rPr>
            </w:pPr>
          </w:p>
          <w:p>
            <w:pPr>
              <w:pStyle w:val="TableParagraph"/>
              <w:spacing w:line="240" w:lineRule="auto"/>
              <w:ind w:left="119" w:right="0"/>
              <w:jc w:val="left"/>
              <w:rPr>
                <w:rFonts w:ascii="黑体" w:hAnsi="黑体" w:cs="黑体" w:eastAsia="黑体" w:hint="default"/>
                <w:sz w:val="16"/>
                <w:szCs w:val="16"/>
              </w:rPr>
            </w:pPr>
            <w:r>
              <w:rPr>
                <w:rFonts w:ascii="黑体" w:hAnsi="黑体" w:cs="黑体" w:eastAsia="黑体" w:hint="default"/>
                <w:sz w:val="16"/>
                <w:szCs w:val="16"/>
              </w:rPr>
              <w:t>资金来源</w:t>
            </w:r>
          </w:p>
        </w:tc>
        <w:tc>
          <w:tcPr>
            <w:tcW w:w="1010" w:type="dxa"/>
            <w:tcBorders>
              <w:top w:val="nil" w:sz="6" w:space="0" w:color="auto"/>
              <w:left w:val="nil" w:sz="6" w:space="0" w:color="auto"/>
              <w:bottom w:val="nil" w:sz="6" w:space="0" w:color="auto"/>
              <w:right w:val="nil" w:sz="6" w:space="0" w:color="auto"/>
            </w:tcBorders>
          </w:tcPr>
          <w:p>
            <w:pPr>
              <w:pStyle w:val="TableParagraph"/>
              <w:spacing w:line="160" w:lineRule="exact"/>
              <w:ind w:left="8" w:right="0" w:firstLine="158"/>
              <w:jc w:val="left"/>
              <w:rPr>
                <w:rFonts w:ascii="黑体" w:hAnsi="黑体" w:cs="黑体" w:eastAsia="黑体" w:hint="default"/>
                <w:sz w:val="16"/>
                <w:szCs w:val="16"/>
              </w:rPr>
            </w:pPr>
            <w:r>
              <w:rPr>
                <w:rFonts w:ascii="黑体" w:hAnsi="黑体" w:cs="黑体" w:eastAsia="黑体" w:hint="default"/>
                <w:sz w:val="16"/>
                <w:szCs w:val="16"/>
              </w:rPr>
              <w:t>工程投入</w:t>
            </w:r>
          </w:p>
          <w:p>
            <w:pPr>
              <w:pStyle w:val="TableParagraph"/>
              <w:spacing w:line="209" w:lineRule="exact"/>
              <w:ind w:left="8" w:right="0"/>
              <w:jc w:val="left"/>
              <w:rPr>
                <w:rFonts w:ascii="黑体" w:hAnsi="黑体" w:cs="黑体" w:eastAsia="黑体" w:hint="default"/>
                <w:sz w:val="16"/>
                <w:szCs w:val="16"/>
              </w:rPr>
            </w:pPr>
            <w:r>
              <w:rPr>
                <w:rFonts w:ascii="黑体" w:hAnsi="黑体" w:cs="黑体" w:eastAsia="黑体" w:hint="default"/>
                <w:sz w:val="16"/>
                <w:szCs w:val="16"/>
              </w:rPr>
              <w:t>占预算比例</w:t>
            </w:r>
          </w:p>
        </w:tc>
      </w:tr>
      <w:tr>
        <w:trPr>
          <w:trHeight w:val="368" w:hRule="exact"/>
        </w:trPr>
        <w:tc>
          <w:tcPr>
            <w:tcW w:w="1454" w:type="dxa"/>
            <w:tcBorders>
              <w:top w:val="nil" w:sz="6" w:space="0" w:color="auto"/>
              <w:left w:val="nil" w:sz="6" w:space="0" w:color="auto"/>
              <w:bottom w:val="nil" w:sz="6" w:space="0" w:color="auto"/>
              <w:right w:val="nil" w:sz="6" w:space="0" w:color="auto"/>
            </w:tcBorders>
          </w:tcPr>
          <w:p>
            <w:pPr/>
          </w:p>
        </w:tc>
        <w:tc>
          <w:tcPr>
            <w:tcW w:w="801" w:type="dxa"/>
            <w:tcBorders>
              <w:top w:val="nil" w:sz="6" w:space="0" w:color="auto"/>
              <w:left w:val="nil" w:sz="6" w:space="0" w:color="auto"/>
              <w:bottom w:val="nil" w:sz="6" w:space="0" w:color="auto"/>
              <w:right w:val="nil" w:sz="6" w:space="0" w:color="auto"/>
            </w:tcBorders>
          </w:tcPr>
          <w:p>
            <w:pPr>
              <w:pStyle w:val="TableParagraph"/>
              <w:spacing w:line="219" w:lineRule="exact"/>
              <w:ind w:right="40"/>
              <w:jc w:val="right"/>
              <w:rPr>
                <w:rFonts w:ascii="Arial" w:hAnsi="Arial" w:cs="Arial" w:eastAsia="Arial" w:hint="default"/>
                <w:sz w:val="16"/>
                <w:szCs w:val="16"/>
              </w:rPr>
            </w:pPr>
            <w:r>
              <w:rPr>
                <w:rFonts w:ascii="Arial" w:hAnsi="Arial" w:cs="Arial" w:eastAsia="Arial" w:hint="default"/>
                <w:spacing w:val="-1"/>
                <w:sz w:val="16"/>
                <w:szCs w:val="16"/>
              </w:rPr>
              <w:t>(</w:t>
            </w:r>
            <w:r>
              <w:rPr>
                <w:rFonts w:ascii="黑体" w:hAnsi="黑体" w:cs="黑体" w:eastAsia="黑体" w:hint="default"/>
                <w:spacing w:val="-1"/>
                <w:sz w:val="16"/>
                <w:szCs w:val="16"/>
              </w:rPr>
              <w:t>百万元</w:t>
            </w:r>
            <w:r>
              <w:rPr>
                <w:rFonts w:ascii="Arial" w:hAnsi="Arial" w:cs="Arial" w:eastAsia="Arial" w:hint="default"/>
                <w:spacing w:val="-1"/>
                <w:sz w:val="16"/>
                <w:szCs w:val="16"/>
              </w:rPr>
              <w:t>)</w:t>
            </w:r>
          </w:p>
        </w:tc>
        <w:tc>
          <w:tcPr>
            <w:tcW w:w="1033"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
        </w:tc>
        <w:tc>
          <w:tcPr>
            <w:tcW w:w="1159" w:type="dxa"/>
            <w:tcBorders>
              <w:top w:val="nil" w:sz="6" w:space="0" w:color="auto"/>
              <w:left w:val="nil" w:sz="6" w:space="0" w:color="auto"/>
              <w:bottom w:val="nil" w:sz="6" w:space="0" w:color="auto"/>
              <w:right w:val="nil" w:sz="6" w:space="0" w:color="auto"/>
            </w:tcBorders>
          </w:tcPr>
          <w:p>
            <w:pPr/>
          </w:p>
        </w:tc>
        <w:tc>
          <w:tcPr>
            <w:tcW w:w="1007" w:type="dxa"/>
            <w:tcBorders>
              <w:top w:val="nil" w:sz="6" w:space="0" w:color="auto"/>
              <w:left w:val="nil" w:sz="6" w:space="0" w:color="auto"/>
              <w:bottom w:val="nil" w:sz="6" w:space="0" w:color="auto"/>
              <w:right w:val="nil" w:sz="6" w:space="0" w:color="auto"/>
            </w:tcBorders>
          </w:tcPr>
          <w:p>
            <w:pPr/>
          </w:p>
        </w:tc>
        <w:tc>
          <w:tcPr>
            <w:tcW w:w="772" w:type="dxa"/>
            <w:tcBorders>
              <w:top w:val="nil" w:sz="6" w:space="0" w:color="auto"/>
              <w:left w:val="nil" w:sz="6" w:space="0" w:color="auto"/>
              <w:bottom w:val="nil" w:sz="6" w:space="0" w:color="auto"/>
              <w:right w:val="nil" w:sz="6" w:space="0" w:color="auto"/>
            </w:tcBorders>
          </w:tcPr>
          <w:p>
            <w:pP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99"/>
              <w:jc w:val="right"/>
              <w:rPr>
                <w:rFonts w:ascii="Arial" w:hAnsi="Arial" w:cs="Arial" w:eastAsia="Arial" w:hint="default"/>
                <w:sz w:val="16"/>
                <w:szCs w:val="16"/>
              </w:rPr>
            </w:pPr>
            <w:r>
              <w:rPr>
                <w:rFonts w:ascii="Arial"/>
                <w:spacing w:val="-1"/>
                <w:sz w:val="16"/>
              </w:rPr>
              <w:t>(%)</w:t>
            </w:r>
          </w:p>
        </w:tc>
      </w:tr>
      <w:tr>
        <w:trPr>
          <w:trHeight w:val="530" w:hRule="exact"/>
        </w:trPr>
        <w:tc>
          <w:tcPr>
            <w:tcW w:w="1454" w:type="dxa"/>
            <w:tcBorders>
              <w:top w:val="nil" w:sz="6" w:space="0" w:color="auto"/>
              <w:left w:val="nil" w:sz="6" w:space="0" w:color="auto"/>
              <w:bottom w:val="nil" w:sz="6" w:space="0" w:color="auto"/>
              <w:right w:val="nil" w:sz="6" w:space="0" w:color="auto"/>
            </w:tcBorders>
          </w:tcPr>
          <w:p>
            <w:pPr>
              <w:pStyle w:val="TableParagraph"/>
              <w:spacing w:line="206" w:lineRule="exact" w:before="116"/>
              <w:ind w:left="200" w:right="289"/>
              <w:jc w:val="left"/>
              <w:rPr>
                <w:rFonts w:ascii="黑体" w:hAnsi="黑体" w:cs="黑体" w:eastAsia="黑体" w:hint="default"/>
                <w:sz w:val="16"/>
                <w:szCs w:val="16"/>
              </w:rPr>
            </w:pPr>
            <w:r>
              <w:rPr>
                <w:rFonts w:ascii="黑体" w:hAnsi="黑体" w:cs="黑体" w:eastAsia="黑体" w:hint="default"/>
                <w:sz w:val="16"/>
                <w:szCs w:val="16"/>
              </w:rPr>
              <w:t>用友软件园</w:t>
            </w:r>
            <w:r>
              <w:rPr>
                <w:rFonts w:ascii="黑体" w:hAnsi="黑体" w:cs="黑体" w:eastAsia="黑体" w:hint="default"/>
                <w:w w:val="100"/>
                <w:sz w:val="16"/>
                <w:szCs w:val="16"/>
              </w:rPr>
              <w:t> </w:t>
            </w:r>
            <w:r>
              <w:rPr>
                <w:rFonts w:ascii="黑体" w:hAnsi="黑体" w:cs="黑体" w:eastAsia="黑体" w:hint="default"/>
                <w:spacing w:val="-1"/>
                <w:sz w:val="16"/>
                <w:szCs w:val="16"/>
              </w:rPr>
              <w:t>项目二期工程</w:t>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139"/>
              <w:ind w:right="56"/>
              <w:jc w:val="right"/>
              <w:rPr>
                <w:rFonts w:ascii="Arial" w:hAnsi="Arial" w:cs="Arial" w:eastAsia="Arial" w:hint="default"/>
                <w:sz w:val="16"/>
                <w:szCs w:val="16"/>
              </w:rPr>
            </w:pPr>
            <w:r>
              <w:rPr>
                <w:rFonts w:ascii="Arial"/>
                <w:w w:val="100"/>
                <w:sz w:val="16"/>
              </w:rPr>
            </w:r>
            <w:r>
              <w:rPr>
                <w:rFonts w:ascii="Arial"/>
                <w:spacing w:val="-1"/>
                <w:sz w:val="16"/>
                <w:u w:val="thick" w:color="000000"/>
              </w:rPr>
              <w:t>1,200</w:t>
            </w:r>
            <w:r>
              <w:rPr>
                <w:rFonts w:ascii="Arial"/>
                <w:spacing w:val="-1"/>
                <w:sz w:val="16"/>
              </w:rPr>
            </w:r>
            <w:r>
              <w:rPr>
                <w:rFonts w:ascii="Arial"/>
                <w:sz w:val="16"/>
              </w:rPr>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139"/>
              <w:ind w:right="97"/>
              <w:jc w:val="right"/>
              <w:rPr>
                <w:rFonts w:ascii="Arial" w:hAnsi="Arial" w:cs="Arial" w:eastAsia="Arial" w:hint="default"/>
                <w:sz w:val="16"/>
                <w:szCs w:val="16"/>
              </w:rPr>
            </w:pPr>
            <w:r>
              <w:rPr>
                <w:rFonts w:ascii="Arial"/>
                <w:w w:val="100"/>
                <w:sz w:val="16"/>
              </w:rPr>
            </w:r>
            <w:r>
              <w:rPr>
                <w:rFonts w:ascii="Arial"/>
                <w:spacing w:val="-1"/>
                <w:sz w:val="16"/>
                <w:u w:val="thick" w:color="000000"/>
              </w:rPr>
              <w:t>293,920,147</w:t>
            </w:r>
            <w:r>
              <w:rPr>
                <w:rFonts w:ascii="Arial"/>
                <w:spacing w:val="-1"/>
                <w:sz w:val="16"/>
              </w:rPr>
            </w:r>
            <w:r>
              <w:rPr>
                <w:rFonts w:ascii="Arial"/>
                <w:sz w:val="16"/>
              </w:rPr>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139"/>
              <w:ind w:right="95"/>
              <w:jc w:val="right"/>
              <w:rPr>
                <w:rFonts w:ascii="Arial" w:hAnsi="Arial" w:cs="Arial" w:eastAsia="Arial" w:hint="default"/>
                <w:sz w:val="16"/>
                <w:szCs w:val="16"/>
              </w:rPr>
            </w:pPr>
            <w:r>
              <w:rPr>
                <w:rFonts w:ascii="Arial"/>
                <w:w w:val="100"/>
                <w:sz w:val="16"/>
              </w:rPr>
            </w:r>
            <w:r>
              <w:rPr>
                <w:rFonts w:ascii="Arial"/>
                <w:spacing w:val="-1"/>
                <w:sz w:val="16"/>
                <w:u w:val="thick" w:color="000000"/>
              </w:rPr>
              <w:t>249,172,718</w:t>
            </w:r>
            <w:r>
              <w:rPr>
                <w:rFonts w:ascii="Arial"/>
                <w:spacing w:val="-1"/>
                <w:sz w:val="16"/>
              </w:rPr>
            </w:r>
            <w:r>
              <w:rPr>
                <w:rFonts w:ascii="Arial"/>
                <w:sz w:val="16"/>
              </w:rPr>
            </w:r>
          </w:p>
        </w:tc>
        <w:tc>
          <w:tcPr>
            <w:tcW w:w="11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139"/>
              <w:ind w:left="82" w:right="0"/>
              <w:jc w:val="left"/>
              <w:rPr>
                <w:rFonts w:ascii="Arial" w:hAnsi="Arial" w:cs="Arial" w:eastAsia="Arial" w:hint="default"/>
                <w:sz w:val="16"/>
                <w:szCs w:val="16"/>
              </w:rPr>
            </w:pPr>
            <w:r>
              <w:rPr>
                <w:rFonts w:ascii="Arial"/>
                <w:sz w:val="16"/>
              </w:rPr>
              <w:t>(</w:t>
            </w:r>
            <w:r>
              <w:rPr>
                <w:rFonts w:ascii="Arial"/>
                <w:sz w:val="16"/>
                <w:u w:val="thick" w:color="000000"/>
              </w:rPr>
              <w:t>112,754,773</w:t>
            </w:r>
            <w:r>
              <w:rPr>
                <w:rFonts w:ascii="Arial"/>
                <w:sz w:val="16"/>
              </w:rPr>
              <w:t>)</w:t>
            </w:r>
          </w:p>
        </w:tc>
        <w:tc>
          <w:tcPr>
            <w:tcW w:w="10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139"/>
              <w:ind w:right="48"/>
              <w:jc w:val="right"/>
              <w:rPr>
                <w:rFonts w:ascii="Arial" w:hAnsi="Arial" w:cs="Arial" w:eastAsia="Arial" w:hint="default"/>
                <w:sz w:val="16"/>
                <w:szCs w:val="16"/>
              </w:rPr>
            </w:pPr>
            <w:r>
              <w:rPr>
                <w:rFonts w:ascii="Arial"/>
                <w:w w:val="100"/>
                <w:sz w:val="16"/>
              </w:rPr>
            </w:r>
            <w:r>
              <w:rPr>
                <w:rFonts w:ascii="Arial"/>
                <w:spacing w:val="-1"/>
                <w:sz w:val="16"/>
                <w:u w:val="thick" w:color="000000"/>
              </w:rPr>
              <w:t>430,338,092</w:t>
            </w:r>
            <w:r>
              <w:rPr>
                <w:rFonts w:ascii="Arial"/>
                <w:spacing w:val="-1"/>
                <w:sz w:val="16"/>
              </w:rPr>
            </w:r>
            <w:r>
              <w:rPr>
                <w:rFonts w:ascii="Arial"/>
                <w:sz w:val="16"/>
              </w:rPr>
            </w:r>
          </w:p>
        </w:tc>
        <w:tc>
          <w:tcPr>
            <w:tcW w:w="772" w:type="dxa"/>
            <w:tcBorders>
              <w:top w:val="nil" w:sz="6" w:space="0" w:color="auto"/>
              <w:left w:val="nil" w:sz="6" w:space="0" w:color="auto"/>
              <w:bottom w:val="nil" w:sz="6" w:space="0" w:color="auto"/>
              <w:right w:val="nil" w:sz="6" w:space="0" w:color="auto"/>
            </w:tcBorders>
          </w:tcPr>
          <w:p>
            <w:pPr>
              <w:pStyle w:val="TableParagraph"/>
              <w:spacing w:line="206" w:lineRule="exact" w:before="116"/>
              <w:ind w:left="79" w:right="47" w:hanging="44"/>
              <w:jc w:val="left"/>
              <w:rPr>
                <w:rFonts w:ascii="黑体" w:hAnsi="黑体" w:cs="黑体" w:eastAsia="黑体" w:hint="default"/>
                <w:sz w:val="16"/>
                <w:szCs w:val="16"/>
              </w:rPr>
            </w:pPr>
            <w:r>
              <w:rPr>
                <w:rFonts w:ascii="黑体" w:hAnsi="黑体" w:cs="黑体" w:eastAsia="黑体" w:hint="default"/>
                <w:sz w:val="16"/>
                <w:szCs w:val="16"/>
              </w:rPr>
              <w:t>自筹资金</w:t>
            </w:r>
            <w:r>
              <w:rPr>
                <w:rFonts w:ascii="Arial" w:hAnsi="Arial" w:cs="Arial" w:eastAsia="Arial" w:hint="default"/>
                <w:sz w:val="16"/>
                <w:szCs w:val="16"/>
              </w:rPr>
              <w:t>/</w:t>
            </w:r>
            <w:r>
              <w:rPr>
                <w:rFonts w:ascii="Arial" w:hAnsi="Arial" w:cs="Arial" w:eastAsia="Arial" w:hint="default"/>
                <w:w w:val="100"/>
                <w:sz w:val="16"/>
                <w:szCs w:val="16"/>
              </w:rPr>
              <w:t> </w:t>
            </w:r>
            <w:r>
              <w:rPr>
                <w:rFonts w:ascii="黑体" w:hAnsi="黑体" w:cs="黑体" w:eastAsia="黑体" w:hint="default"/>
                <w:sz w:val="16"/>
                <w:szCs w:val="16"/>
              </w:rPr>
              <w:t>银行贷款</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137"/>
              <w:ind w:right="241"/>
              <w:jc w:val="right"/>
              <w:rPr>
                <w:rFonts w:ascii="Arial" w:hAnsi="Arial" w:cs="Arial" w:eastAsia="Arial" w:hint="default"/>
                <w:sz w:val="16"/>
                <w:szCs w:val="16"/>
              </w:rPr>
            </w:pPr>
            <w:r>
              <w:rPr>
                <w:rFonts w:ascii="Arial"/>
                <w:w w:val="100"/>
                <w:sz w:val="16"/>
              </w:rPr>
            </w:r>
            <w:r>
              <w:rPr>
                <w:rFonts w:ascii="Arial"/>
                <w:spacing w:val="-1"/>
                <w:sz w:val="16"/>
                <w:u w:val="thick" w:color="000000"/>
              </w:rPr>
              <w:t>70</w:t>
            </w:r>
            <w:r>
              <w:rPr>
                <w:rFonts w:ascii="Arial"/>
                <w:spacing w:val="-1"/>
                <w:sz w:val="16"/>
              </w:rPr>
            </w:r>
            <w:r>
              <w:rPr>
                <w:rFonts w:ascii="Arial"/>
                <w:sz w:val="16"/>
              </w:rPr>
            </w:r>
          </w:p>
        </w:tc>
      </w:tr>
    </w:tbl>
    <w:p>
      <w:pPr>
        <w:spacing w:line="240" w:lineRule="auto" w:before="4"/>
        <w:rPr>
          <w:rFonts w:ascii="黑体" w:hAnsi="黑体" w:cs="黑体" w:eastAsia="黑体" w:hint="default"/>
          <w:sz w:val="19"/>
          <w:szCs w:val="19"/>
        </w:rPr>
      </w:pPr>
    </w:p>
    <w:p>
      <w:pPr>
        <w:pStyle w:val="BodyText"/>
        <w:spacing w:line="240" w:lineRule="auto" w:before="37"/>
        <w:ind w:right="232"/>
        <w:jc w:val="left"/>
      </w:pPr>
      <w:r>
        <w:rPr>
          <w:rFonts w:ascii="Arial" w:hAnsi="Arial" w:cs="Arial" w:eastAsia="Arial" w:hint="default"/>
        </w:rPr>
        <w:t>2011</w:t>
      </w:r>
      <w:r>
        <w:rPr/>
        <w:t>年</w:t>
      </w:r>
    </w:p>
    <w:p>
      <w:pPr>
        <w:spacing w:line="240" w:lineRule="auto" w:before="9"/>
        <w:rPr>
          <w:rFonts w:ascii="黑体" w:hAnsi="黑体" w:cs="黑体" w:eastAsia="黑体" w:hint="default"/>
          <w:sz w:val="4"/>
          <w:szCs w:val="4"/>
        </w:rPr>
      </w:pPr>
    </w:p>
    <w:tbl>
      <w:tblPr>
        <w:tblW w:w="0" w:type="auto"/>
        <w:jc w:val="left"/>
        <w:tblInd w:w="609" w:type="dxa"/>
        <w:tblLayout w:type="fixed"/>
        <w:tblCellMar>
          <w:top w:w="0" w:type="dxa"/>
          <w:left w:w="0" w:type="dxa"/>
          <w:bottom w:w="0" w:type="dxa"/>
          <w:right w:w="0" w:type="dxa"/>
        </w:tblCellMar>
        <w:tblLook w:val="01E0"/>
      </w:tblPr>
      <w:tblGrid>
        <w:gridCol w:w="1585"/>
        <w:gridCol w:w="664"/>
        <w:gridCol w:w="1029"/>
        <w:gridCol w:w="1060"/>
        <w:gridCol w:w="1146"/>
        <w:gridCol w:w="1006"/>
        <w:gridCol w:w="812"/>
        <w:gridCol w:w="1040"/>
      </w:tblGrid>
      <w:tr>
        <w:trPr>
          <w:trHeight w:val="415"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2"/>
                <w:szCs w:val="12"/>
              </w:rPr>
            </w:pPr>
          </w:p>
          <w:p>
            <w:pPr>
              <w:pStyle w:val="TableParagraph"/>
              <w:spacing w:line="240" w:lineRule="auto"/>
              <w:ind w:left="492" w:right="0"/>
              <w:jc w:val="left"/>
              <w:rPr>
                <w:rFonts w:ascii="黑体" w:hAnsi="黑体" w:cs="黑体" w:eastAsia="黑体" w:hint="default"/>
                <w:sz w:val="16"/>
                <w:szCs w:val="16"/>
              </w:rPr>
            </w:pPr>
            <w:r>
              <w:rPr>
                <w:rFonts w:ascii="黑体" w:hAnsi="黑体" w:cs="黑体" w:eastAsia="黑体" w:hint="default"/>
                <w:sz w:val="16"/>
                <w:szCs w:val="16"/>
              </w:rPr>
              <w:t>工程项目名称</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2"/>
                <w:szCs w:val="12"/>
              </w:rPr>
            </w:pPr>
          </w:p>
          <w:p>
            <w:pPr>
              <w:pStyle w:val="TableParagraph"/>
              <w:spacing w:line="240" w:lineRule="auto"/>
              <w:ind w:right="49"/>
              <w:jc w:val="right"/>
              <w:rPr>
                <w:rFonts w:ascii="黑体" w:hAnsi="黑体" w:cs="黑体" w:eastAsia="黑体" w:hint="default"/>
                <w:sz w:val="16"/>
                <w:szCs w:val="16"/>
              </w:rPr>
            </w:pPr>
            <w:r>
              <w:rPr>
                <w:rFonts w:ascii="黑体" w:hAnsi="黑体" w:cs="黑体" w:eastAsia="黑体" w:hint="default"/>
                <w:sz w:val="16"/>
                <w:szCs w:val="16"/>
              </w:rPr>
              <w:t>预算款</w:t>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2"/>
                <w:szCs w:val="12"/>
              </w:rPr>
            </w:pPr>
          </w:p>
          <w:p>
            <w:pPr>
              <w:pStyle w:val="TableParagraph"/>
              <w:spacing w:line="240" w:lineRule="auto"/>
              <w:ind w:right="71"/>
              <w:jc w:val="right"/>
              <w:rPr>
                <w:rFonts w:ascii="黑体" w:hAnsi="黑体" w:cs="黑体" w:eastAsia="黑体" w:hint="default"/>
                <w:sz w:val="16"/>
                <w:szCs w:val="16"/>
              </w:rPr>
            </w:pPr>
            <w:r>
              <w:rPr>
                <w:rFonts w:ascii="黑体" w:hAnsi="黑体" w:cs="黑体" w:eastAsia="黑体" w:hint="default"/>
                <w:sz w:val="16"/>
                <w:szCs w:val="16"/>
              </w:rPr>
              <w:t>年初数</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2"/>
                <w:szCs w:val="12"/>
              </w:rPr>
            </w:pPr>
          </w:p>
          <w:p>
            <w:pPr>
              <w:pStyle w:val="TableParagraph"/>
              <w:spacing w:line="240" w:lineRule="auto"/>
              <w:ind w:right="79"/>
              <w:jc w:val="right"/>
              <w:rPr>
                <w:rFonts w:ascii="黑体" w:hAnsi="黑体" w:cs="黑体" w:eastAsia="黑体" w:hint="default"/>
                <w:sz w:val="16"/>
                <w:szCs w:val="16"/>
              </w:rPr>
            </w:pPr>
            <w:r>
              <w:rPr>
                <w:rFonts w:ascii="黑体" w:hAnsi="黑体" w:cs="黑体" w:eastAsia="黑体" w:hint="default"/>
                <w:sz w:val="16"/>
                <w:szCs w:val="16"/>
              </w:rPr>
              <w:t>本年增加</w:t>
            </w:r>
          </w:p>
        </w:tc>
        <w:tc>
          <w:tcPr>
            <w:tcW w:w="1146" w:type="dxa"/>
            <w:tcBorders>
              <w:top w:val="nil" w:sz="6" w:space="0" w:color="auto"/>
              <w:left w:val="nil" w:sz="6" w:space="0" w:color="auto"/>
              <w:bottom w:val="nil" w:sz="6" w:space="0" w:color="auto"/>
              <w:right w:val="nil" w:sz="6" w:space="0" w:color="auto"/>
            </w:tcBorders>
          </w:tcPr>
          <w:p>
            <w:pPr>
              <w:pStyle w:val="TableParagraph"/>
              <w:spacing w:line="159" w:lineRule="exact"/>
              <w:ind w:right="53"/>
              <w:jc w:val="right"/>
              <w:rPr>
                <w:rFonts w:ascii="黑体" w:hAnsi="黑体" w:cs="黑体" w:eastAsia="黑体" w:hint="default"/>
                <w:sz w:val="16"/>
                <w:szCs w:val="16"/>
              </w:rPr>
            </w:pPr>
            <w:r>
              <w:rPr>
                <w:rFonts w:ascii="黑体" w:hAnsi="黑体" w:cs="黑体" w:eastAsia="黑体" w:hint="default"/>
                <w:sz w:val="16"/>
                <w:szCs w:val="16"/>
              </w:rPr>
              <w:t>转入固定</w:t>
            </w:r>
          </w:p>
          <w:p>
            <w:pPr>
              <w:pStyle w:val="TableParagraph"/>
              <w:spacing w:line="208" w:lineRule="exact"/>
              <w:ind w:right="53"/>
              <w:jc w:val="right"/>
              <w:rPr>
                <w:rFonts w:ascii="黑体" w:hAnsi="黑体" w:cs="黑体" w:eastAsia="黑体" w:hint="default"/>
                <w:sz w:val="16"/>
                <w:szCs w:val="16"/>
              </w:rPr>
            </w:pPr>
            <w:r>
              <w:rPr>
                <w:rFonts w:ascii="黑体" w:hAnsi="黑体" w:cs="黑体" w:eastAsia="黑体" w:hint="default"/>
                <w:sz w:val="16"/>
                <w:szCs w:val="16"/>
              </w:rPr>
              <w:t>资产</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2"/>
                <w:szCs w:val="12"/>
              </w:rPr>
            </w:pPr>
          </w:p>
          <w:p>
            <w:pPr>
              <w:pStyle w:val="TableParagraph"/>
              <w:spacing w:line="240" w:lineRule="auto"/>
              <w:ind w:right="44"/>
              <w:jc w:val="right"/>
              <w:rPr>
                <w:rFonts w:ascii="黑体" w:hAnsi="黑体" w:cs="黑体" w:eastAsia="黑体" w:hint="default"/>
                <w:sz w:val="16"/>
                <w:szCs w:val="16"/>
              </w:rPr>
            </w:pPr>
            <w:r>
              <w:rPr>
                <w:rFonts w:ascii="黑体" w:hAnsi="黑体" w:cs="黑体" w:eastAsia="黑体" w:hint="default"/>
                <w:sz w:val="16"/>
                <w:szCs w:val="16"/>
              </w:rPr>
              <w:t>年末数</w:t>
            </w:r>
          </w:p>
        </w:tc>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2"/>
                <w:szCs w:val="12"/>
              </w:rPr>
            </w:pPr>
          </w:p>
          <w:p>
            <w:pPr>
              <w:pStyle w:val="TableParagraph"/>
              <w:spacing w:line="240" w:lineRule="auto"/>
              <w:ind w:left="130" w:right="0"/>
              <w:jc w:val="left"/>
              <w:rPr>
                <w:rFonts w:ascii="黑体" w:hAnsi="黑体" w:cs="黑体" w:eastAsia="黑体" w:hint="default"/>
                <w:sz w:val="16"/>
                <w:szCs w:val="16"/>
              </w:rPr>
            </w:pPr>
            <w:r>
              <w:rPr>
                <w:rFonts w:ascii="黑体" w:hAnsi="黑体" w:cs="黑体" w:eastAsia="黑体" w:hint="default"/>
                <w:sz w:val="16"/>
                <w:szCs w:val="16"/>
              </w:rPr>
              <w:t>资金来源</w:t>
            </w:r>
          </w:p>
        </w:tc>
        <w:tc>
          <w:tcPr>
            <w:tcW w:w="1040" w:type="dxa"/>
            <w:tcBorders>
              <w:top w:val="nil" w:sz="6" w:space="0" w:color="auto"/>
              <w:left w:val="nil" w:sz="6" w:space="0" w:color="auto"/>
              <w:bottom w:val="nil" w:sz="6" w:space="0" w:color="auto"/>
              <w:right w:val="nil" w:sz="6" w:space="0" w:color="auto"/>
            </w:tcBorders>
          </w:tcPr>
          <w:p>
            <w:pPr>
              <w:pStyle w:val="TableParagraph"/>
              <w:spacing w:line="159" w:lineRule="exact"/>
              <w:ind w:left="38" w:right="0" w:firstLine="158"/>
              <w:jc w:val="left"/>
              <w:rPr>
                <w:rFonts w:ascii="黑体" w:hAnsi="黑体" w:cs="黑体" w:eastAsia="黑体" w:hint="default"/>
                <w:sz w:val="16"/>
                <w:szCs w:val="16"/>
              </w:rPr>
            </w:pPr>
            <w:r>
              <w:rPr>
                <w:rFonts w:ascii="黑体" w:hAnsi="黑体" w:cs="黑体" w:eastAsia="黑体" w:hint="default"/>
                <w:sz w:val="16"/>
                <w:szCs w:val="16"/>
              </w:rPr>
              <w:t>工程投入</w:t>
            </w:r>
          </w:p>
          <w:p>
            <w:pPr>
              <w:pStyle w:val="TableParagraph"/>
              <w:spacing w:line="208" w:lineRule="exact"/>
              <w:ind w:left="38" w:right="0"/>
              <w:jc w:val="left"/>
              <w:rPr>
                <w:rFonts w:ascii="黑体" w:hAnsi="黑体" w:cs="黑体" w:eastAsia="黑体" w:hint="default"/>
                <w:sz w:val="16"/>
                <w:szCs w:val="16"/>
              </w:rPr>
            </w:pPr>
            <w:r>
              <w:rPr>
                <w:rFonts w:ascii="黑体" w:hAnsi="黑体" w:cs="黑体" w:eastAsia="黑体" w:hint="default"/>
                <w:sz w:val="16"/>
                <w:szCs w:val="16"/>
              </w:rPr>
              <w:t>占预算比例</w:t>
            </w:r>
          </w:p>
        </w:tc>
      </w:tr>
      <w:tr>
        <w:trPr>
          <w:trHeight w:val="366" w:hRule="exact"/>
        </w:trPr>
        <w:tc>
          <w:tcPr>
            <w:tcW w:w="1585" w:type="dxa"/>
            <w:tcBorders>
              <w:top w:val="nil" w:sz="6" w:space="0" w:color="auto"/>
              <w:left w:val="nil" w:sz="6" w:space="0" w:color="auto"/>
              <w:bottom w:val="nil" w:sz="6" w:space="0" w:color="auto"/>
              <w:right w:val="nil" w:sz="6" w:space="0" w:color="auto"/>
            </w:tcBorders>
          </w:tcPr>
          <w:p>
            <w:pPr/>
          </w:p>
        </w:tc>
        <w:tc>
          <w:tcPr>
            <w:tcW w:w="664" w:type="dxa"/>
            <w:tcBorders>
              <w:top w:val="nil" w:sz="6" w:space="0" w:color="auto"/>
              <w:left w:val="nil" w:sz="6" w:space="0" w:color="auto"/>
              <w:bottom w:val="nil" w:sz="6" w:space="0" w:color="auto"/>
              <w:right w:val="nil" w:sz="6" w:space="0" w:color="auto"/>
            </w:tcBorders>
          </w:tcPr>
          <w:p>
            <w:pPr>
              <w:pStyle w:val="TableParagraph"/>
              <w:spacing w:line="220" w:lineRule="exact"/>
              <w:ind w:right="49"/>
              <w:jc w:val="right"/>
              <w:rPr>
                <w:rFonts w:ascii="Arial" w:hAnsi="Arial" w:cs="Arial" w:eastAsia="Arial" w:hint="default"/>
                <w:sz w:val="16"/>
                <w:szCs w:val="16"/>
              </w:rPr>
            </w:pPr>
            <w:r>
              <w:rPr>
                <w:rFonts w:ascii="Arial" w:hAnsi="Arial" w:cs="Arial" w:eastAsia="Arial" w:hint="default"/>
                <w:spacing w:val="-1"/>
                <w:sz w:val="16"/>
                <w:szCs w:val="16"/>
              </w:rPr>
              <w:t>(</w:t>
            </w:r>
            <w:r>
              <w:rPr>
                <w:rFonts w:ascii="黑体" w:hAnsi="黑体" w:cs="黑体" w:eastAsia="黑体" w:hint="default"/>
                <w:spacing w:val="-1"/>
                <w:sz w:val="16"/>
                <w:szCs w:val="16"/>
              </w:rPr>
              <w:t>百万元</w:t>
            </w:r>
            <w:r>
              <w:rPr>
                <w:rFonts w:ascii="Arial" w:hAnsi="Arial" w:cs="Arial" w:eastAsia="Arial" w:hint="default"/>
                <w:spacing w:val="-1"/>
                <w:sz w:val="16"/>
                <w:szCs w:val="16"/>
              </w:rPr>
              <w:t>)</w:t>
            </w:r>
          </w:p>
        </w:tc>
        <w:tc>
          <w:tcPr>
            <w:tcW w:w="1029"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nil" w:sz="6" w:space="0" w:color="auto"/>
              <w:right w:val="nil" w:sz="6" w:space="0" w:color="auto"/>
            </w:tcBorders>
          </w:tcPr>
          <w:p>
            <w:pPr/>
          </w:p>
        </w:tc>
        <w:tc>
          <w:tcPr>
            <w:tcW w:w="1146" w:type="dxa"/>
            <w:tcBorders>
              <w:top w:val="nil" w:sz="6" w:space="0" w:color="auto"/>
              <w:left w:val="nil" w:sz="6" w:space="0" w:color="auto"/>
              <w:bottom w:val="nil" w:sz="6" w:space="0" w:color="auto"/>
              <w:right w:val="nil" w:sz="6" w:space="0" w:color="auto"/>
            </w:tcBorders>
          </w:tcPr>
          <w:p>
            <w:pPr/>
          </w:p>
        </w:tc>
        <w:tc>
          <w:tcPr>
            <w:tcW w:w="1006" w:type="dxa"/>
            <w:tcBorders>
              <w:top w:val="nil" w:sz="6" w:space="0" w:color="auto"/>
              <w:left w:val="nil" w:sz="6" w:space="0" w:color="auto"/>
              <w:bottom w:val="nil" w:sz="6" w:space="0" w:color="auto"/>
              <w:right w:val="nil" w:sz="6" w:space="0" w:color="auto"/>
            </w:tcBorders>
          </w:tcPr>
          <w:p>
            <w:pPr/>
          </w:p>
        </w:tc>
        <w:tc>
          <w:tcPr>
            <w:tcW w:w="812" w:type="dxa"/>
            <w:tcBorders>
              <w:top w:val="nil" w:sz="6" w:space="0" w:color="auto"/>
              <w:left w:val="nil" w:sz="6" w:space="0" w:color="auto"/>
              <w:bottom w:val="nil" w:sz="6" w:space="0" w:color="auto"/>
              <w:right w:val="nil" w:sz="6" w:space="0" w:color="auto"/>
            </w:tcBorders>
          </w:tcPr>
          <w:p>
            <w:pP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99"/>
              <w:jc w:val="right"/>
              <w:rPr>
                <w:rFonts w:ascii="Arial" w:hAnsi="Arial" w:cs="Arial" w:eastAsia="Arial" w:hint="default"/>
                <w:sz w:val="16"/>
                <w:szCs w:val="16"/>
              </w:rPr>
            </w:pPr>
            <w:r>
              <w:rPr>
                <w:rFonts w:ascii="Arial"/>
                <w:spacing w:val="-1"/>
                <w:sz w:val="16"/>
              </w:rPr>
              <w:t>(%)</w:t>
            </w:r>
          </w:p>
        </w:tc>
      </w:tr>
      <w:tr>
        <w:trPr>
          <w:trHeight w:val="530" w:hRule="exact"/>
        </w:trPr>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00" w:right="420"/>
              <w:jc w:val="left"/>
              <w:rPr>
                <w:rFonts w:ascii="黑体" w:hAnsi="黑体" w:cs="黑体" w:eastAsia="黑体" w:hint="default"/>
                <w:sz w:val="16"/>
                <w:szCs w:val="16"/>
              </w:rPr>
            </w:pPr>
            <w:r>
              <w:rPr>
                <w:rFonts w:ascii="黑体" w:hAnsi="黑体" w:cs="黑体" w:eastAsia="黑体" w:hint="default"/>
                <w:sz w:val="16"/>
                <w:szCs w:val="16"/>
              </w:rPr>
              <w:t>用友软件园</w:t>
            </w:r>
            <w:r>
              <w:rPr>
                <w:rFonts w:ascii="黑体" w:hAnsi="黑体" w:cs="黑体" w:eastAsia="黑体" w:hint="default"/>
                <w:w w:val="100"/>
                <w:sz w:val="16"/>
                <w:szCs w:val="16"/>
              </w:rPr>
              <w:t> </w:t>
            </w:r>
            <w:r>
              <w:rPr>
                <w:rFonts w:ascii="黑体" w:hAnsi="黑体" w:cs="黑体" w:eastAsia="黑体" w:hint="default"/>
                <w:spacing w:val="-1"/>
                <w:sz w:val="16"/>
                <w:szCs w:val="16"/>
              </w:rPr>
              <w:t>项目二期工程</w:t>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139"/>
              <w:ind w:right="64"/>
              <w:jc w:val="right"/>
              <w:rPr>
                <w:rFonts w:ascii="Arial" w:hAnsi="Arial" w:cs="Arial" w:eastAsia="Arial" w:hint="default"/>
                <w:sz w:val="16"/>
                <w:szCs w:val="16"/>
              </w:rPr>
            </w:pPr>
            <w:r>
              <w:rPr>
                <w:rFonts w:ascii="Arial"/>
                <w:w w:val="100"/>
                <w:sz w:val="16"/>
              </w:rPr>
            </w:r>
            <w:r>
              <w:rPr>
                <w:rFonts w:ascii="Arial"/>
                <w:spacing w:val="-1"/>
                <w:sz w:val="16"/>
                <w:u w:val="thick" w:color="000000"/>
              </w:rPr>
              <w:t>1,200</w:t>
            </w:r>
            <w:r>
              <w:rPr>
                <w:rFonts w:ascii="Arial"/>
                <w:spacing w:val="-1"/>
                <w:sz w:val="16"/>
              </w:rPr>
            </w:r>
            <w:r>
              <w:rPr>
                <w:rFonts w:ascii="Arial"/>
                <w:sz w:val="16"/>
              </w:rPr>
            </w:r>
          </w:p>
        </w:tc>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139"/>
              <w:ind w:right="85"/>
              <w:jc w:val="right"/>
              <w:rPr>
                <w:rFonts w:ascii="Arial" w:hAnsi="Arial" w:cs="Arial" w:eastAsia="Arial" w:hint="default"/>
                <w:sz w:val="16"/>
                <w:szCs w:val="16"/>
              </w:rPr>
            </w:pPr>
            <w:r>
              <w:rPr>
                <w:rFonts w:ascii="Arial"/>
                <w:w w:val="100"/>
                <w:sz w:val="16"/>
              </w:rPr>
            </w:r>
            <w:r>
              <w:rPr>
                <w:rFonts w:ascii="Arial"/>
                <w:spacing w:val="-1"/>
                <w:sz w:val="16"/>
                <w:u w:val="thick" w:color="000000"/>
              </w:rPr>
              <w:t>362,174,905</w:t>
            </w:r>
            <w:r>
              <w:rPr>
                <w:rFonts w:ascii="Arial"/>
                <w:spacing w:val="-1"/>
                <w:sz w:val="16"/>
              </w:rPr>
            </w:r>
            <w:r>
              <w:rPr>
                <w:rFonts w:ascii="Arial"/>
                <w:sz w:val="16"/>
              </w:rPr>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139"/>
              <w:ind w:right="94"/>
              <w:jc w:val="right"/>
              <w:rPr>
                <w:rFonts w:ascii="Arial" w:hAnsi="Arial" w:cs="Arial" w:eastAsia="Arial" w:hint="default"/>
                <w:sz w:val="16"/>
                <w:szCs w:val="16"/>
              </w:rPr>
            </w:pPr>
            <w:r>
              <w:rPr>
                <w:rFonts w:ascii="Arial"/>
                <w:w w:val="100"/>
                <w:sz w:val="16"/>
              </w:rPr>
            </w:r>
            <w:r>
              <w:rPr>
                <w:rFonts w:ascii="Arial"/>
                <w:spacing w:val="-1"/>
                <w:sz w:val="16"/>
                <w:u w:val="thick" w:color="000000"/>
              </w:rPr>
              <w:t>225,014,386</w:t>
            </w:r>
            <w:r>
              <w:rPr>
                <w:rFonts w:ascii="Arial"/>
                <w:spacing w:val="-1"/>
                <w:sz w:val="16"/>
              </w:rPr>
            </w:r>
            <w:r>
              <w:rPr>
                <w:rFonts w:ascii="Arial"/>
                <w:sz w:val="16"/>
              </w:rPr>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139"/>
              <w:ind w:left="81" w:right="0"/>
              <w:jc w:val="left"/>
              <w:rPr>
                <w:rFonts w:ascii="Arial" w:hAnsi="Arial" w:cs="Arial" w:eastAsia="Arial" w:hint="default"/>
                <w:sz w:val="16"/>
                <w:szCs w:val="16"/>
              </w:rPr>
            </w:pPr>
            <w:r>
              <w:rPr>
                <w:rFonts w:ascii="Arial"/>
                <w:sz w:val="16"/>
              </w:rPr>
              <w:t>(</w:t>
            </w:r>
            <w:r>
              <w:rPr>
                <w:rFonts w:ascii="Arial"/>
                <w:sz w:val="16"/>
                <w:u w:val="thick" w:color="000000"/>
              </w:rPr>
              <w:t>293,269,144</w:t>
            </w:r>
            <w:r>
              <w:rPr>
                <w:rFonts w:ascii="Arial"/>
                <w:sz w:val="16"/>
              </w:rPr>
              <w:t>)</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139"/>
              <w:ind w:right="59"/>
              <w:jc w:val="right"/>
              <w:rPr>
                <w:rFonts w:ascii="Arial" w:hAnsi="Arial" w:cs="Arial" w:eastAsia="Arial" w:hint="default"/>
                <w:sz w:val="16"/>
                <w:szCs w:val="16"/>
              </w:rPr>
            </w:pPr>
            <w:r>
              <w:rPr>
                <w:rFonts w:ascii="Arial"/>
                <w:w w:val="100"/>
                <w:sz w:val="16"/>
              </w:rPr>
            </w:r>
            <w:r>
              <w:rPr>
                <w:rFonts w:ascii="Arial"/>
                <w:spacing w:val="-1"/>
                <w:sz w:val="16"/>
                <w:u w:val="thick" w:color="000000"/>
              </w:rPr>
              <w:t>293,920,147</w:t>
            </w:r>
            <w:r>
              <w:rPr>
                <w:rFonts w:ascii="Arial"/>
                <w:spacing w:val="-1"/>
                <w:sz w:val="16"/>
              </w:rPr>
            </w:r>
            <w:r>
              <w:rPr>
                <w:rFonts w:ascii="Arial"/>
                <w:sz w:val="16"/>
              </w:rPr>
            </w:r>
          </w:p>
        </w:tc>
        <w:tc>
          <w:tcPr>
            <w:tcW w:w="812" w:type="dxa"/>
            <w:tcBorders>
              <w:top w:val="nil" w:sz="6" w:space="0" w:color="auto"/>
              <w:left w:val="nil" w:sz="6" w:space="0" w:color="auto"/>
              <w:bottom w:val="nil" w:sz="6" w:space="0" w:color="auto"/>
              <w:right w:val="nil" w:sz="6" w:space="0" w:color="auto"/>
            </w:tcBorders>
          </w:tcPr>
          <w:p>
            <w:pPr>
              <w:pStyle w:val="TableParagraph"/>
              <w:spacing w:line="208" w:lineRule="exact" w:before="114"/>
              <w:ind w:left="90" w:right="77" w:hanging="44"/>
              <w:jc w:val="left"/>
              <w:rPr>
                <w:rFonts w:ascii="黑体" w:hAnsi="黑体" w:cs="黑体" w:eastAsia="黑体" w:hint="default"/>
                <w:sz w:val="16"/>
                <w:szCs w:val="16"/>
              </w:rPr>
            </w:pPr>
            <w:r>
              <w:rPr>
                <w:rFonts w:ascii="黑体" w:hAnsi="黑体" w:cs="黑体" w:eastAsia="黑体" w:hint="default"/>
                <w:spacing w:val="-1"/>
                <w:sz w:val="16"/>
                <w:szCs w:val="16"/>
              </w:rPr>
              <w:t>自筹资金</w:t>
            </w:r>
            <w:r>
              <w:rPr>
                <w:rFonts w:ascii="Arial" w:hAnsi="Arial" w:cs="Arial" w:eastAsia="Arial" w:hint="default"/>
                <w:spacing w:val="-1"/>
                <w:sz w:val="16"/>
                <w:szCs w:val="16"/>
              </w:rPr>
              <w:t>/</w:t>
            </w:r>
            <w:r>
              <w:rPr>
                <w:rFonts w:ascii="Arial" w:hAnsi="Arial" w:cs="Arial" w:eastAsia="Arial" w:hint="default"/>
                <w:spacing w:val="-39"/>
                <w:sz w:val="16"/>
                <w:szCs w:val="16"/>
              </w:rPr>
              <w:t> </w:t>
            </w:r>
            <w:r>
              <w:rPr>
                <w:rFonts w:ascii="黑体" w:hAnsi="黑体" w:cs="黑体" w:eastAsia="黑体" w:hint="default"/>
                <w:sz w:val="16"/>
                <w:szCs w:val="16"/>
              </w:rPr>
              <w:t>银行贷款</w:t>
            </w:r>
          </w:p>
        </w:tc>
        <w:tc>
          <w:tcPr>
            <w:tcW w:w="10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sz w:val="16"/>
                <w:szCs w:val="16"/>
              </w:rPr>
            </w:pPr>
          </w:p>
          <w:p>
            <w:pPr>
              <w:pStyle w:val="TableParagraph"/>
              <w:spacing w:line="240" w:lineRule="auto" w:before="137"/>
              <w:ind w:right="241"/>
              <w:jc w:val="right"/>
              <w:rPr>
                <w:rFonts w:ascii="Arial" w:hAnsi="Arial" w:cs="Arial" w:eastAsia="Arial" w:hint="default"/>
                <w:sz w:val="16"/>
                <w:szCs w:val="16"/>
              </w:rPr>
            </w:pPr>
            <w:r>
              <w:rPr>
                <w:rFonts w:ascii="Arial"/>
                <w:w w:val="100"/>
                <w:sz w:val="16"/>
              </w:rPr>
            </w:r>
            <w:r>
              <w:rPr>
                <w:rFonts w:ascii="Arial"/>
                <w:spacing w:val="-1"/>
                <w:sz w:val="16"/>
                <w:u w:val="thick" w:color="000000"/>
              </w:rPr>
              <w:t>49</w:t>
            </w:r>
            <w:r>
              <w:rPr>
                <w:rFonts w:ascii="Arial"/>
                <w:spacing w:val="-1"/>
                <w:sz w:val="16"/>
              </w:rPr>
            </w:r>
            <w:r>
              <w:rPr>
                <w:rFonts w:ascii="Arial"/>
                <w:sz w:val="16"/>
              </w:rPr>
            </w:r>
          </w:p>
        </w:tc>
      </w:tr>
    </w:tbl>
    <w:p>
      <w:pPr>
        <w:spacing w:after="0" w:line="240" w:lineRule="auto"/>
        <w:jc w:val="right"/>
        <w:rPr>
          <w:rFonts w:ascii="Arial" w:hAnsi="Arial" w:cs="Arial" w:eastAsia="Arial" w:hint="default"/>
          <w:sz w:val="16"/>
          <w:szCs w:val="16"/>
        </w:rPr>
        <w:sectPr>
          <w:pgSz w:w="11910" w:h="16850"/>
          <w:pgMar w:header="957" w:footer="473" w:top="2600" w:bottom="660" w:left="1600" w:right="1240"/>
        </w:sectPr>
      </w:pPr>
    </w:p>
    <w:p>
      <w:pPr>
        <w:spacing w:line="240" w:lineRule="auto" w:before="3"/>
        <w:rPr>
          <w:rFonts w:ascii="黑体" w:hAnsi="黑体" w:cs="黑体" w:eastAsia="黑体" w:hint="default"/>
          <w:sz w:val="25"/>
          <w:szCs w:val="25"/>
        </w:rPr>
      </w:pPr>
    </w:p>
    <w:p>
      <w:pPr>
        <w:pStyle w:val="Heading6"/>
        <w:spacing w:line="240" w:lineRule="auto"/>
        <w:ind w:right="0"/>
        <w:jc w:val="left"/>
        <w:rPr>
          <w:b w:val="0"/>
          <w:bCs w:val="0"/>
        </w:rPr>
      </w:pPr>
      <w:r>
        <w:rPr/>
        <w:t>十三、公司财务报表主要项目注释（续）</w:t>
      </w:r>
      <w:r>
        <w:rPr>
          <w:b w:val="0"/>
          <w:bCs w:val="0"/>
        </w:rPr>
      </w:r>
    </w:p>
    <w:p>
      <w:pPr>
        <w:spacing w:line="240" w:lineRule="auto" w:before="2"/>
        <w:rPr>
          <w:rFonts w:ascii="黑体" w:hAnsi="黑体" w:cs="黑体" w:eastAsia="黑体" w:hint="default"/>
          <w:b/>
          <w:bCs/>
          <w:sz w:val="27"/>
          <w:szCs w:val="27"/>
        </w:rPr>
      </w:pPr>
    </w:p>
    <w:p>
      <w:pPr>
        <w:pStyle w:val="Heading6"/>
        <w:tabs>
          <w:tab w:pos="723" w:val="left" w:leader="none"/>
        </w:tabs>
        <w:spacing w:line="240" w:lineRule="auto" w:before="0"/>
        <w:ind w:right="0"/>
        <w:jc w:val="left"/>
        <w:rPr>
          <w:b w:val="0"/>
          <w:bCs w:val="0"/>
        </w:rPr>
      </w:pPr>
      <w:r>
        <w:rPr>
          <w:rFonts w:ascii="Arial" w:hAnsi="Arial" w:cs="Arial" w:eastAsia="Arial" w:hint="default"/>
          <w:spacing w:val="-1"/>
          <w:w w:val="95"/>
        </w:rPr>
        <w:t>10.</w:t>
        <w:tab/>
      </w:r>
      <w:r>
        <w:rPr>
          <w:spacing w:val="1"/>
        </w:rPr>
        <w:t>在建工程（续）</w:t>
      </w:r>
      <w:r>
        <w:rPr>
          <w:b w:val="0"/>
          <w:bCs w:val="0"/>
          <w:spacing w:val="1"/>
        </w:rPr>
      </w:r>
    </w:p>
    <w:p>
      <w:pPr>
        <w:spacing w:line="240" w:lineRule="auto" w:before="12"/>
        <w:rPr>
          <w:rFonts w:ascii="黑体" w:hAnsi="黑体" w:cs="黑体" w:eastAsia="黑体" w:hint="default"/>
          <w:b/>
          <w:bCs/>
          <w:sz w:val="15"/>
          <w:szCs w:val="15"/>
        </w:rPr>
      </w:pPr>
    </w:p>
    <w:p>
      <w:pPr>
        <w:pStyle w:val="BodyText"/>
        <w:spacing w:line="240" w:lineRule="auto"/>
        <w:ind w:left="0" w:right="6752"/>
        <w:jc w:val="center"/>
      </w:pPr>
      <w:r>
        <w:rPr>
          <w:rFonts w:ascii="Arial" w:hAnsi="Arial" w:cs="Arial" w:eastAsia="Arial" w:hint="default"/>
        </w:rPr>
        <w:t>2012</w:t>
      </w:r>
      <w:r>
        <w:rPr/>
        <w:t>年</w:t>
      </w:r>
    </w:p>
    <w:p>
      <w:pPr>
        <w:spacing w:line="240" w:lineRule="auto" w:before="0"/>
        <w:rPr>
          <w:rFonts w:ascii="黑体" w:hAnsi="黑体" w:cs="黑体" w:eastAsia="黑体" w:hint="default"/>
          <w:sz w:val="2"/>
          <w:szCs w:val="2"/>
        </w:rPr>
      </w:pPr>
    </w:p>
    <w:tbl>
      <w:tblPr>
        <w:tblW w:w="0" w:type="auto"/>
        <w:jc w:val="left"/>
        <w:tblInd w:w="614" w:type="dxa"/>
        <w:tblLayout w:type="fixed"/>
        <w:tblCellMar>
          <w:top w:w="0" w:type="dxa"/>
          <w:left w:w="0" w:type="dxa"/>
          <w:bottom w:w="0" w:type="dxa"/>
          <w:right w:w="0" w:type="dxa"/>
        </w:tblCellMar>
        <w:tblLook w:val="01E0"/>
      </w:tblPr>
      <w:tblGrid>
        <w:gridCol w:w="3081"/>
        <w:gridCol w:w="1220"/>
        <w:gridCol w:w="1346"/>
        <w:gridCol w:w="1429"/>
        <w:gridCol w:w="1219"/>
      </w:tblGrid>
      <w:tr>
        <w:trPr>
          <w:trHeight w:val="210" w:hRule="exact"/>
        </w:trPr>
        <w:tc>
          <w:tcPr>
            <w:tcW w:w="3081" w:type="dxa"/>
            <w:tcBorders>
              <w:top w:val="nil" w:sz="6" w:space="0" w:color="auto"/>
              <w:left w:val="nil" w:sz="6" w:space="0" w:color="auto"/>
              <w:bottom w:val="nil" w:sz="6" w:space="0" w:color="auto"/>
              <w:right w:val="nil" w:sz="6" w:space="0" w:color="auto"/>
            </w:tcBorders>
          </w:tcPr>
          <w:p>
            <w:pPr/>
          </w:p>
        </w:tc>
        <w:tc>
          <w:tcPr>
            <w:tcW w:w="1220" w:type="dxa"/>
            <w:tcBorders>
              <w:top w:val="nil" w:sz="6" w:space="0" w:color="auto"/>
              <w:left w:val="nil" w:sz="6" w:space="0" w:color="auto"/>
              <w:bottom w:val="nil" w:sz="6" w:space="0" w:color="auto"/>
              <w:right w:val="nil" w:sz="6" w:space="0" w:color="auto"/>
            </w:tcBorders>
          </w:tcPr>
          <w:p>
            <w:pPr>
              <w:pStyle w:val="TableParagraph"/>
              <w:spacing w:line="199" w:lineRule="exact"/>
              <w:ind w:right="137"/>
              <w:jc w:val="right"/>
              <w:rPr>
                <w:rFonts w:ascii="黑体" w:hAnsi="黑体" w:cs="黑体" w:eastAsia="黑体" w:hint="default"/>
                <w:sz w:val="20"/>
                <w:szCs w:val="20"/>
              </w:rPr>
            </w:pPr>
            <w:r>
              <w:rPr>
                <w:rFonts w:ascii="黑体" w:hAnsi="黑体" w:cs="黑体" w:eastAsia="黑体" w:hint="default"/>
                <w:w w:val="95"/>
                <w:sz w:val="20"/>
                <w:szCs w:val="20"/>
              </w:rPr>
              <w:t>工程进度</w:t>
            </w:r>
            <w:r>
              <w:rPr>
                <w:rFonts w:ascii="黑体" w:hAnsi="黑体" w:cs="黑体" w:eastAsia="黑体" w:hint="default"/>
                <w:sz w:val="20"/>
                <w:szCs w:val="20"/>
              </w:rPr>
            </w:r>
          </w:p>
        </w:tc>
        <w:tc>
          <w:tcPr>
            <w:tcW w:w="1346" w:type="dxa"/>
            <w:tcBorders>
              <w:top w:val="nil" w:sz="6" w:space="0" w:color="auto"/>
              <w:left w:val="nil" w:sz="6" w:space="0" w:color="auto"/>
              <w:bottom w:val="nil" w:sz="6" w:space="0" w:color="auto"/>
              <w:right w:val="nil" w:sz="6" w:space="0" w:color="auto"/>
            </w:tcBorders>
          </w:tcPr>
          <w:p>
            <w:pPr>
              <w:pStyle w:val="TableParagraph"/>
              <w:spacing w:line="199" w:lineRule="exact"/>
              <w:ind w:right="206"/>
              <w:jc w:val="right"/>
              <w:rPr>
                <w:rFonts w:ascii="黑体" w:hAnsi="黑体" w:cs="黑体" w:eastAsia="黑体" w:hint="default"/>
                <w:sz w:val="20"/>
                <w:szCs w:val="20"/>
              </w:rPr>
            </w:pPr>
            <w:r>
              <w:rPr>
                <w:rFonts w:ascii="黑体" w:hAnsi="黑体" w:cs="黑体" w:eastAsia="黑体" w:hint="default"/>
                <w:w w:val="95"/>
                <w:sz w:val="20"/>
                <w:szCs w:val="20"/>
              </w:rPr>
              <w:t>利息资本化</w:t>
            </w:r>
            <w:r>
              <w:rPr>
                <w:rFonts w:ascii="黑体" w:hAnsi="黑体" w:cs="黑体" w:eastAsia="黑体" w:hint="default"/>
                <w:sz w:val="20"/>
                <w:szCs w:val="20"/>
              </w:rPr>
            </w:r>
          </w:p>
        </w:tc>
        <w:tc>
          <w:tcPr>
            <w:tcW w:w="1429" w:type="dxa"/>
            <w:tcBorders>
              <w:top w:val="nil" w:sz="6" w:space="0" w:color="auto"/>
              <w:left w:val="nil" w:sz="6" w:space="0" w:color="auto"/>
              <w:bottom w:val="nil" w:sz="6" w:space="0" w:color="auto"/>
              <w:right w:val="nil" w:sz="6" w:space="0" w:color="auto"/>
            </w:tcBorders>
          </w:tcPr>
          <w:p>
            <w:pPr>
              <w:pStyle w:val="TableParagraph"/>
              <w:spacing w:line="199" w:lineRule="exact"/>
              <w:ind w:right="11"/>
              <w:jc w:val="center"/>
              <w:rPr>
                <w:rFonts w:ascii="黑体" w:hAnsi="黑体" w:cs="黑体" w:eastAsia="黑体" w:hint="default"/>
                <w:sz w:val="20"/>
                <w:szCs w:val="20"/>
              </w:rPr>
            </w:pPr>
            <w:r>
              <w:rPr>
                <w:rFonts w:ascii="黑体" w:hAnsi="黑体" w:cs="黑体" w:eastAsia="黑体" w:hint="default"/>
                <w:sz w:val="20"/>
                <w:szCs w:val="20"/>
              </w:rPr>
              <w:t>其中：本年</w:t>
            </w:r>
          </w:p>
        </w:tc>
        <w:tc>
          <w:tcPr>
            <w:tcW w:w="1219" w:type="dxa"/>
            <w:tcBorders>
              <w:top w:val="nil" w:sz="6" w:space="0" w:color="auto"/>
              <w:left w:val="nil" w:sz="6" w:space="0" w:color="auto"/>
              <w:bottom w:val="nil" w:sz="6" w:space="0" w:color="auto"/>
              <w:right w:val="nil" w:sz="6" w:space="0" w:color="auto"/>
            </w:tcBorders>
          </w:tcPr>
          <w:p>
            <w:pPr>
              <w:pStyle w:val="TableParagraph"/>
              <w:spacing w:line="199" w:lineRule="exact"/>
              <w:ind w:right="198"/>
              <w:jc w:val="right"/>
              <w:rPr>
                <w:rFonts w:ascii="黑体" w:hAnsi="黑体" w:cs="黑体" w:eastAsia="黑体" w:hint="default"/>
                <w:sz w:val="20"/>
                <w:szCs w:val="20"/>
              </w:rPr>
            </w:pPr>
            <w:r>
              <w:rPr>
                <w:rFonts w:ascii="黑体" w:hAnsi="黑体" w:cs="黑体" w:eastAsia="黑体" w:hint="default"/>
                <w:w w:val="95"/>
                <w:sz w:val="20"/>
                <w:szCs w:val="20"/>
              </w:rPr>
              <w:t>本年利息</w:t>
            </w:r>
            <w:r>
              <w:rPr>
                <w:rFonts w:ascii="黑体" w:hAnsi="黑体" w:cs="黑体" w:eastAsia="黑体" w:hint="default"/>
                <w:sz w:val="20"/>
                <w:szCs w:val="20"/>
              </w:rPr>
            </w:r>
          </w:p>
        </w:tc>
      </w:tr>
      <w:tr>
        <w:trPr>
          <w:trHeight w:val="330" w:hRule="exact"/>
        </w:trPr>
        <w:tc>
          <w:tcPr>
            <w:tcW w:w="3081" w:type="dxa"/>
            <w:tcBorders>
              <w:top w:val="nil" w:sz="6" w:space="0" w:color="auto"/>
              <w:left w:val="nil" w:sz="6" w:space="0" w:color="auto"/>
              <w:bottom w:val="nil" w:sz="6" w:space="0" w:color="auto"/>
              <w:right w:val="nil" w:sz="6" w:space="0" w:color="auto"/>
            </w:tcBorders>
          </w:tcPr>
          <w:p>
            <w:pPr/>
          </w:p>
        </w:tc>
        <w:tc>
          <w:tcPr>
            <w:tcW w:w="1220"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Style w:val="TableParagraph"/>
              <w:spacing w:line="210" w:lineRule="exact"/>
              <w:ind w:right="206"/>
              <w:jc w:val="right"/>
              <w:rPr>
                <w:rFonts w:ascii="黑体" w:hAnsi="黑体" w:cs="黑体" w:eastAsia="黑体" w:hint="default"/>
                <w:sz w:val="20"/>
                <w:szCs w:val="20"/>
              </w:rPr>
            </w:pPr>
            <w:r>
              <w:rPr>
                <w:rFonts w:ascii="黑体" w:hAnsi="黑体" w:cs="黑体" w:eastAsia="黑体" w:hint="default"/>
                <w:w w:val="95"/>
                <w:sz w:val="20"/>
                <w:szCs w:val="20"/>
              </w:rPr>
              <w:t>累计金额</w:t>
            </w:r>
            <w:r>
              <w:rPr>
                <w:rFonts w:ascii="黑体" w:hAnsi="黑体" w:cs="黑体" w:eastAsia="黑体" w:hint="default"/>
                <w:sz w:val="20"/>
                <w:szCs w:val="20"/>
              </w:rPr>
            </w:r>
          </w:p>
        </w:tc>
        <w:tc>
          <w:tcPr>
            <w:tcW w:w="1429" w:type="dxa"/>
            <w:tcBorders>
              <w:top w:val="nil" w:sz="6" w:space="0" w:color="auto"/>
              <w:left w:val="nil" w:sz="6" w:space="0" w:color="auto"/>
              <w:bottom w:val="nil" w:sz="6" w:space="0" w:color="auto"/>
              <w:right w:val="nil" w:sz="6" w:space="0" w:color="auto"/>
            </w:tcBorders>
          </w:tcPr>
          <w:p>
            <w:pPr>
              <w:pStyle w:val="TableParagraph"/>
              <w:spacing w:line="210" w:lineRule="exact"/>
              <w:ind w:right="11"/>
              <w:jc w:val="center"/>
              <w:rPr>
                <w:rFonts w:ascii="黑体" w:hAnsi="黑体" w:cs="黑体" w:eastAsia="黑体" w:hint="default"/>
                <w:sz w:val="20"/>
                <w:szCs w:val="20"/>
              </w:rPr>
            </w:pPr>
            <w:r>
              <w:rPr>
                <w:rFonts w:ascii="黑体" w:hAnsi="黑体" w:cs="黑体" w:eastAsia="黑体" w:hint="default"/>
                <w:sz w:val="20"/>
                <w:szCs w:val="20"/>
              </w:rPr>
              <w:t>利息资本化</w:t>
            </w:r>
          </w:p>
        </w:tc>
        <w:tc>
          <w:tcPr>
            <w:tcW w:w="1219" w:type="dxa"/>
            <w:tcBorders>
              <w:top w:val="nil" w:sz="6" w:space="0" w:color="auto"/>
              <w:left w:val="nil" w:sz="6" w:space="0" w:color="auto"/>
              <w:bottom w:val="nil" w:sz="6" w:space="0" w:color="auto"/>
              <w:right w:val="nil" w:sz="6" w:space="0" w:color="auto"/>
            </w:tcBorders>
          </w:tcPr>
          <w:p>
            <w:pPr>
              <w:pStyle w:val="TableParagraph"/>
              <w:spacing w:line="210" w:lineRule="exact"/>
              <w:ind w:right="198"/>
              <w:jc w:val="right"/>
              <w:rPr>
                <w:rFonts w:ascii="黑体" w:hAnsi="黑体" w:cs="黑体" w:eastAsia="黑体" w:hint="default"/>
                <w:sz w:val="20"/>
                <w:szCs w:val="20"/>
              </w:rPr>
            </w:pPr>
            <w:r>
              <w:rPr>
                <w:rFonts w:ascii="黑体" w:hAnsi="黑体" w:cs="黑体" w:eastAsia="黑体" w:hint="default"/>
                <w:w w:val="95"/>
                <w:sz w:val="20"/>
                <w:szCs w:val="20"/>
              </w:rPr>
              <w:t>资本化率</w:t>
            </w:r>
            <w:r>
              <w:rPr>
                <w:rFonts w:ascii="黑体" w:hAnsi="黑体" w:cs="黑体" w:eastAsia="黑体" w:hint="default"/>
                <w:sz w:val="20"/>
                <w:szCs w:val="20"/>
              </w:rPr>
            </w:r>
          </w:p>
        </w:tc>
      </w:tr>
      <w:tr>
        <w:trPr>
          <w:trHeight w:val="329" w:hRule="exact"/>
        </w:trPr>
        <w:tc>
          <w:tcPr>
            <w:tcW w:w="308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00" w:right="0"/>
              <w:jc w:val="left"/>
              <w:rPr>
                <w:rFonts w:ascii="黑体" w:hAnsi="黑体" w:cs="黑体" w:eastAsia="黑体" w:hint="default"/>
                <w:sz w:val="20"/>
                <w:szCs w:val="20"/>
              </w:rPr>
            </w:pPr>
            <w:r>
              <w:rPr>
                <w:rFonts w:ascii="黑体" w:hAnsi="黑体" w:cs="黑体" w:eastAsia="黑体" w:hint="default"/>
                <w:sz w:val="20"/>
                <w:szCs w:val="20"/>
              </w:rPr>
              <w:t>用友软件园项目二期工程</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38"/>
              <w:jc w:val="right"/>
              <w:rPr>
                <w:rFonts w:ascii="Arial" w:hAnsi="Arial" w:cs="Arial" w:eastAsia="Arial" w:hint="default"/>
                <w:sz w:val="20"/>
                <w:szCs w:val="20"/>
              </w:rPr>
            </w:pPr>
            <w:r>
              <w:rPr>
                <w:rFonts w:ascii="Arial"/>
                <w:spacing w:val="-1"/>
                <w:w w:val="95"/>
                <w:sz w:val="20"/>
              </w:rPr>
              <w:t>70%</w:t>
            </w:r>
            <w:r>
              <w:rPr>
                <w:rFonts w:ascii="Arial"/>
                <w:sz w:val="20"/>
              </w:rPr>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06"/>
              <w:jc w:val="right"/>
              <w:rPr>
                <w:rFonts w:ascii="Arial" w:hAnsi="Arial" w:cs="Arial" w:eastAsia="Arial" w:hint="default"/>
                <w:sz w:val="20"/>
                <w:szCs w:val="20"/>
              </w:rPr>
            </w:pPr>
            <w:r>
              <w:rPr>
                <w:rFonts w:ascii="Arial"/>
                <w:w w:val="99"/>
                <w:sz w:val="20"/>
              </w:rPr>
            </w:r>
            <w:r>
              <w:rPr>
                <w:rFonts w:ascii="Arial"/>
                <w:spacing w:val="-1"/>
                <w:sz w:val="20"/>
                <w:u w:val="thick" w:color="000000"/>
              </w:rPr>
              <w:t>7,169,143</w:t>
            </w:r>
            <w:r>
              <w:rPr>
                <w:rFonts w:ascii="Arial"/>
                <w:spacing w:val="-1"/>
                <w:sz w:val="20"/>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97" w:right="0"/>
              <w:jc w:val="center"/>
              <w:rPr>
                <w:rFonts w:ascii="Arial" w:hAnsi="Arial" w:cs="Arial" w:eastAsia="Arial" w:hint="default"/>
                <w:sz w:val="20"/>
                <w:szCs w:val="20"/>
              </w:rPr>
            </w:pPr>
            <w:r>
              <w:rPr>
                <w:rFonts w:ascii="Arial"/>
                <w:w w:val="99"/>
                <w:sz w:val="20"/>
              </w:rPr>
            </w:r>
            <w:r>
              <w:rPr>
                <w:rFonts w:ascii="Arial"/>
                <w:sz w:val="20"/>
                <w:u w:val="thick" w:color="000000"/>
              </w:rPr>
              <w:t>5,450,254</w:t>
            </w:r>
            <w:r>
              <w:rPr>
                <w:rFonts w:ascii="Arial"/>
                <w:sz w:val="20"/>
              </w:rPr>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99"/>
              <w:jc w:val="right"/>
              <w:rPr>
                <w:rFonts w:ascii="Arial" w:hAnsi="Arial" w:cs="Arial" w:eastAsia="Arial" w:hint="default"/>
                <w:sz w:val="20"/>
                <w:szCs w:val="20"/>
              </w:rPr>
            </w:pPr>
            <w:r>
              <w:rPr>
                <w:rFonts w:ascii="Arial"/>
                <w:spacing w:val="-1"/>
                <w:w w:val="95"/>
                <w:sz w:val="20"/>
              </w:rPr>
              <w:t>6.76%</w:t>
            </w:r>
            <w:r>
              <w:rPr>
                <w:rFonts w:ascii="Arial"/>
                <w:sz w:val="20"/>
              </w:rPr>
            </w:r>
          </w:p>
        </w:tc>
      </w:tr>
    </w:tbl>
    <w:p>
      <w:pPr>
        <w:spacing w:line="240" w:lineRule="auto" w:before="2"/>
        <w:rPr>
          <w:rFonts w:ascii="黑体" w:hAnsi="黑体" w:cs="黑体" w:eastAsia="黑体" w:hint="default"/>
          <w:sz w:val="19"/>
          <w:szCs w:val="19"/>
        </w:rPr>
      </w:pPr>
    </w:p>
    <w:p>
      <w:pPr>
        <w:pStyle w:val="BodyText"/>
        <w:spacing w:line="240" w:lineRule="auto" w:before="37"/>
        <w:ind w:right="0"/>
        <w:jc w:val="left"/>
      </w:pPr>
      <w:r>
        <w:rPr>
          <w:rFonts w:ascii="Arial" w:hAnsi="Arial" w:cs="Arial" w:eastAsia="Arial" w:hint="default"/>
        </w:rPr>
        <w:t>2011</w:t>
      </w:r>
      <w:r>
        <w:rPr/>
        <w:t>年</w:t>
      </w:r>
    </w:p>
    <w:p>
      <w:pPr>
        <w:spacing w:line="240" w:lineRule="auto" w:before="3"/>
        <w:rPr>
          <w:rFonts w:ascii="黑体" w:hAnsi="黑体" w:cs="黑体" w:eastAsia="黑体" w:hint="default"/>
          <w:sz w:val="2"/>
          <w:szCs w:val="2"/>
        </w:rPr>
      </w:pPr>
    </w:p>
    <w:tbl>
      <w:tblPr>
        <w:tblW w:w="0" w:type="auto"/>
        <w:jc w:val="left"/>
        <w:tblInd w:w="614" w:type="dxa"/>
        <w:tblLayout w:type="fixed"/>
        <w:tblCellMar>
          <w:top w:w="0" w:type="dxa"/>
          <w:left w:w="0" w:type="dxa"/>
          <w:bottom w:w="0" w:type="dxa"/>
          <w:right w:w="0" w:type="dxa"/>
        </w:tblCellMar>
        <w:tblLook w:val="01E0"/>
      </w:tblPr>
      <w:tblGrid>
        <w:gridCol w:w="3081"/>
        <w:gridCol w:w="1220"/>
        <w:gridCol w:w="1346"/>
        <w:gridCol w:w="1429"/>
        <w:gridCol w:w="1219"/>
      </w:tblGrid>
      <w:tr>
        <w:trPr>
          <w:trHeight w:val="209" w:hRule="exact"/>
        </w:trPr>
        <w:tc>
          <w:tcPr>
            <w:tcW w:w="3081" w:type="dxa"/>
            <w:tcBorders>
              <w:top w:val="nil" w:sz="6" w:space="0" w:color="auto"/>
              <w:left w:val="nil" w:sz="6" w:space="0" w:color="auto"/>
              <w:bottom w:val="nil" w:sz="6" w:space="0" w:color="auto"/>
              <w:right w:val="nil" w:sz="6" w:space="0" w:color="auto"/>
            </w:tcBorders>
          </w:tcPr>
          <w:p>
            <w:pPr/>
          </w:p>
        </w:tc>
        <w:tc>
          <w:tcPr>
            <w:tcW w:w="1220" w:type="dxa"/>
            <w:tcBorders>
              <w:top w:val="nil" w:sz="6" w:space="0" w:color="auto"/>
              <w:left w:val="nil" w:sz="6" w:space="0" w:color="auto"/>
              <w:bottom w:val="nil" w:sz="6" w:space="0" w:color="auto"/>
              <w:right w:val="nil" w:sz="6" w:space="0" w:color="auto"/>
            </w:tcBorders>
          </w:tcPr>
          <w:p>
            <w:pPr>
              <w:pStyle w:val="TableParagraph"/>
              <w:spacing w:line="199" w:lineRule="exact"/>
              <w:ind w:right="137"/>
              <w:jc w:val="right"/>
              <w:rPr>
                <w:rFonts w:ascii="黑体" w:hAnsi="黑体" w:cs="黑体" w:eastAsia="黑体" w:hint="default"/>
                <w:sz w:val="20"/>
                <w:szCs w:val="20"/>
              </w:rPr>
            </w:pPr>
            <w:r>
              <w:rPr>
                <w:rFonts w:ascii="黑体" w:hAnsi="黑体" w:cs="黑体" w:eastAsia="黑体" w:hint="default"/>
                <w:w w:val="95"/>
                <w:sz w:val="20"/>
                <w:szCs w:val="20"/>
              </w:rPr>
              <w:t>工程进度</w:t>
            </w:r>
            <w:r>
              <w:rPr>
                <w:rFonts w:ascii="黑体" w:hAnsi="黑体" w:cs="黑体" w:eastAsia="黑体" w:hint="default"/>
                <w:sz w:val="20"/>
                <w:szCs w:val="20"/>
              </w:rPr>
            </w:r>
          </w:p>
        </w:tc>
        <w:tc>
          <w:tcPr>
            <w:tcW w:w="1346" w:type="dxa"/>
            <w:tcBorders>
              <w:top w:val="nil" w:sz="6" w:space="0" w:color="auto"/>
              <w:left w:val="nil" w:sz="6" w:space="0" w:color="auto"/>
              <w:bottom w:val="nil" w:sz="6" w:space="0" w:color="auto"/>
              <w:right w:val="nil" w:sz="6" w:space="0" w:color="auto"/>
            </w:tcBorders>
          </w:tcPr>
          <w:p>
            <w:pPr>
              <w:pStyle w:val="TableParagraph"/>
              <w:spacing w:line="199" w:lineRule="exact"/>
              <w:ind w:right="206"/>
              <w:jc w:val="right"/>
              <w:rPr>
                <w:rFonts w:ascii="黑体" w:hAnsi="黑体" w:cs="黑体" w:eastAsia="黑体" w:hint="default"/>
                <w:sz w:val="20"/>
                <w:szCs w:val="20"/>
              </w:rPr>
            </w:pPr>
            <w:r>
              <w:rPr>
                <w:rFonts w:ascii="黑体" w:hAnsi="黑体" w:cs="黑体" w:eastAsia="黑体" w:hint="default"/>
                <w:w w:val="95"/>
                <w:sz w:val="20"/>
                <w:szCs w:val="20"/>
              </w:rPr>
              <w:t>利息资本化</w:t>
            </w:r>
            <w:r>
              <w:rPr>
                <w:rFonts w:ascii="黑体" w:hAnsi="黑体" w:cs="黑体" w:eastAsia="黑体" w:hint="default"/>
                <w:sz w:val="20"/>
                <w:szCs w:val="20"/>
              </w:rPr>
            </w:r>
          </w:p>
        </w:tc>
        <w:tc>
          <w:tcPr>
            <w:tcW w:w="1429" w:type="dxa"/>
            <w:tcBorders>
              <w:top w:val="nil" w:sz="6" w:space="0" w:color="auto"/>
              <w:left w:val="nil" w:sz="6" w:space="0" w:color="auto"/>
              <w:bottom w:val="nil" w:sz="6" w:space="0" w:color="auto"/>
              <w:right w:val="nil" w:sz="6" w:space="0" w:color="auto"/>
            </w:tcBorders>
          </w:tcPr>
          <w:p>
            <w:pPr>
              <w:pStyle w:val="TableParagraph"/>
              <w:spacing w:line="199" w:lineRule="exact"/>
              <w:ind w:right="11"/>
              <w:jc w:val="center"/>
              <w:rPr>
                <w:rFonts w:ascii="黑体" w:hAnsi="黑体" w:cs="黑体" w:eastAsia="黑体" w:hint="default"/>
                <w:sz w:val="20"/>
                <w:szCs w:val="20"/>
              </w:rPr>
            </w:pPr>
            <w:r>
              <w:rPr>
                <w:rFonts w:ascii="黑体" w:hAnsi="黑体" w:cs="黑体" w:eastAsia="黑体" w:hint="default"/>
                <w:sz w:val="20"/>
                <w:szCs w:val="20"/>
              </w:rPr>
              <w:t>其中：本年</w:t>
            </w:r>
          </w:p>
        </w:tc>
        <w:tc>
          <w:tcPr>
            <w:tcW w:w="1219" w:type="dxa"/>
            <w:tcBorders>
              <w:top w:val="nil" w:sz="6" w:space="0" w:color="auto"/>
              <w:left w:val="nil" w:sz="6" w:space="0" w:color="auto"/>
              <w:bottom w:val="nil" w:sz="6" w:space="0" w:color="auto"/>
              <w:right w:val="nil" w:sz="6" w:space="0" w:color="auto"/>
            </w:tcBorders>
          </w:tcPr>
          <w:p>
            <w:pPr>
              <w:pStyle w:val="TableParagraph"/>
              <w:spacing w:line="199" w:lineRule="exact"/>
              <w:ind w:right="198"/>
              <w:jc w:val="right"/>
              <w:rPr>
                <w:rFonts w:ascii="黑体" w:hAnsi="黑体" w:cs="黑体" w:eastAsia="黑体" w:hint="default"/>
                <w:sz w:val="20"/>
                <w:szCs w:val="20"/>
              </w:rPr>
            </w:pPr>
            <w:r>
              <w:rPr>
                <w:rFonts w:ascii="黑体" w:hAnsi="黑体" w:cs="黑体" w:eastAsia="黑体" w:hint="default"/>
                <w:w w:val="95"/>
                <w:sz w:val="20"/>
                <w:szCs w:val="20"/>
              </w:rPr>
              <w:t>本年利息</w:t>
            </w:r>
            <w:r>
              <w:rPr>
                <w:rFonts w:ascii="黑体" w:hAnsi="黑体" w:cs="黑体" w:eastAsia="黑体" w:hint="default"/>
                <w:sz w:val="20"/>
                <w:szCs w:val="20"/>
              </w:rPr>
            </w:r>
          </w:p>
        </w:tc>
      </w:tr>
      <w:tr>
        <w:trPr>
          <w:trHeight w:val="330" w:hRule="exact"/>
        </w:trPr>
        <w:tc>
          <w:tcPr>
            <w:tcW w:w="3081" w:type="dxa"/>
            <w:tcBorders>
              <w:top w:val="nil" w:sz="6" w:space="0" w:color="auto"/>
              <w:left w:val="nil" w:sz="6" w:space="0" w:color="auto"/>
              <w:bottom w:val="nil" w:sz="6" w:space="0" w:color="auto"/>
              <w:right w:val="nil" w:sz="6" w:space="0" w:color="auto"/>
            </w:tcBorders>
          </w:tcPr>
          <w:p>
            <w:pPr/>
          </w:p>
        </w:tc>
        <w:tc>
          <w:tcPr>
            <w:tcW w:w="1220"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Style w:val="TableParagraph"/>
              <w:spacing w:line="209" w:lineRule="exact"/>
              <w:ind w:right="206"/>
              <w:jc w:val="right"/>
              <w:rPr>
                <w:rFonts w:ascii="黑体" w:hAnsi="黑体" w:cs="黑体" w:eastAsia="黑体" w:hint="default"/>
                <w:sz w:val="20"/>
                <w:szCs w:val="20"/>
              </w:rPr>
            </w:pPr>
            <w:r>
              <w:rPr>
                <w:rFonts w:ascii="黑体" w:hAnsi="黑体" w:cs="黑体" w:eastAsia="黑体" w:hint="default"/>
                <w:w w:val="95"/>
                <w:sz w:val="20"/>
                <w:szCs w:val="20"/>
              </w:rPr>
              <w:t>累计金额</w:t>
            </w:r>
            <w:r>
              <w:rPr>
                <w:rFonts w:ascii="黑体" w:hAnsi="黑体" w:cs="黑体" w:eastAsia="黑体" w:hint="default"/>
                <w:sz w:val="20"/>
                <w:szCs w:val="20"/>
              </w:rPr>
            </w:r>
          </w:p>
        </w:tc>
        <w:tc>
          <w:tcPr>
            <w:tcW w:w="1429" w:type="dxa"/>
            <w:tcBorders>
              <w:top w:val="nil" w:sz="6" w:space="0" w:color="auto"/>
              <w:left w:val="nil" w:sz="6" w:space="0" w:color="auto"/>
              <w:bottom w:val="nil" w:sz="6" w:space="0" w:color="auto"/>
              <w:right w:val="nil" w:sz="6" w:space="0" w:color="auto"/>
            </w:tcBorders>
          </w:tcPr>
          <w:p>
            <w:pPr>
              <w:pStyle w:val="TableParagraph"/>
              <w:spacing w:line="209" w:lineRule="exact"/>
              <w:ind w:right="11"/>
              <w:jc w:val="center"/>
              <w:rPr>
                <w:rFonts w:ascii="黑体" w:hAnsi="黑体" w:cs="黑体" w:eastAsia="黑体" w:hint="default"/>
                <w:sz w:val="20"/>
                <w:szCs w:val="20"/>
              </w:rPr>
            </w:pPr>
            <w:r>
              <w:rPr>
                <w:rFonts w:ascii="黑体" w:hAnsi="黑体" w:cs="黑体" w:eastAsia="黑体" w:hint="default"/>
                <w:sz w:val="20"/>
                <w:szCs w:val="20"/>
              </w:rPr>
              <w:t>利息资本化</w:t>
            </w:r>
          </w:p>
        </w:tc>
        <w:tc>
          <w:tcPr>
            <w:tcW w:w="1219" w:type="dxa"/>
            <w:tcBorders>
              <w:top w:val="nil" w:sz="6" w:space="0" w:color="auto"/>
              <w:left w:val="nil" w:sz="6" w:space="0" w:color="auto"/>
              <w:bottom w:val="nil" w:sz="6" w:space="0" w:color="auto"/>
              <w:right w:val="nil" w:sz="6" w:space="0" w:color="auto"/>
            </w:tcBorders>
          </w:tcPr>
          <w:p>
            <w:pPr>
              <w:pStyle w:val="TableParagraph"/>
              <w:spacing w:line="209" w:lineRule="exact"/>
              <w:ind w:right="198"/>
              <w:jc w:val="right"/>
              <w:rPr>
                <w:rFonts w:ascii="黑体" w:hAnsi="黑体" w:cs="黑体" w:eastAsia="黑体" w:hint="default"/>
                <w:sz w:val="20"/>
                <w:szCs w:val="20"/>
              </w:rPr>
            </w:pPr>
            <w:r>
              <w:rPr>
                <w:rFonts w:ascii="黑体" w:hAnsi="黑体" w:cs="黑体" w:eastAsia="黑体" w:hint="default"/>
                <w:w w:val="95"/>
                <w:sz w:val="20"/>
                <w:szCs w:val="20"/>
              </w:rPr>
              <w:t>资本化率</w:t>
            </w:r>
            <w:r>
              <w:rPr>
                <w:rFonts w:ascii="黑体" w:hAnsi="黑体" w:cs="黑体" w:eastAsia="黑体" w:hint="default"/>
                <w:sz w:val="20"/>
                <w:szCs w:val="20"/>
              </w:rPr>
            </w:r>
          </w:p>
        </w:tc>
      </w:tr>
      <w:tr>
        <w:trPr>
          <w:trHeight w:val="330" w:hRule="exact"/>
        </w:trPr>
        <w:tc>
          <w:tcPr>
            <w:tcW w:w="3081"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00" w:right="0"/>
              <w:jc w:val="left"/>
              <w:rPr>
                <w:rFonts w:ascii="黑体" w:hAnsi="黑体" w:cs="黑体" w:eastAsia="黑体" w:hint="default"/>
                <w:sz w:val="20"/>
                <w:szCs w:val="20"/>
              </w:rPr>
            </w:pPr>
            <w:r>
              <w:rPr>
                <w:rFonts w:ascii="黑体" w:hAnsi="黑体" w:cs="黑体" w:eastAsia="黑体" w:hint="default"/>
                <w:sz w:val="20"/>
                <w:szCs w:val="20"/>
              </w:rPr>
              <w:t>用友软件园项目二期工程</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38"/>
              <w:jc w:val="right"/>
              <w:rPr>
                <w:rFonts w:ascii="Arial" w:hAnsi="Arial" w:cs="Arial" w:eastAsia="Arial" w:hint="default"/>
                <w:sz w:val="20"/>
                <w:szCs w:val="20"/>
              </w:rPr>
            </w:pPr>
            <w:r>
              <w:rPr>
                <w:rFonts w:ascii="Arial"/>
                <w:spacing w:val="-1"/>
                <w:w w:val="95"/>
                <w:sz w:val="20"/>
              </w:rPr>
              <w:t>49%</w:t>
            </w:r>
            <w:r>
              <w:rPr>
                <w:rFonts w:ascii="Arial"/>
                <w:sz w:val="20"/>
              </w:rPr>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206"/>
              <w:jc w:val="right"/>
              <w:rPr>
                <w:rFonts w:ascii="Arial" w:hAnsi="Arial" w:cs="Arial" w:eastAsia="Arial" w:hint="default"/>
                <w:sz w:val="20"/>
                <w:szCs w:val="20"/>
              </w:rPr>
            </w:pPr>
            <w:r>
              <w:rPr>
                <w:rFonts w:ascii="Arial"/>
                <w:w w:val="99"/>
                <w:sz w:val="20"/>
              </w:rPr>
            </w:r>
            <w:r>
              <w:rPr>
                <w:rFonts w:ascii="Arial"/>
                <w:spacing w:val="-1"/>
                <w:sz w:val="20"/>
                <w:u w:val="thick" w:color="000000"/>
              </w:rPr>
              <w:t>1,718,889</w:t>
            </w:r>
            <w:r>
              <w:rPr>
                <w:rFonts w:ascii="Arial"/>
                <w:spacing w:val="-1"/>
                <w:sz w:val="20"/>
              </w:rPr>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97" w:right="0"/>
              <w:jc w:val="center"/>
              <w:rPr>
                <w:rFonts w:ascii="Arial" w:hAnsi="Arial" w:cs="Arial" w:eastAsia="Arial" w:hint="default"/>
                <w:sz w:val="20"/>
                <w:szCs w:val="20"/>
              </w:rPr>
            </w:pPr>
            <w:r>
              <w:rPr>
                <w:rFonts w:ascii="Arial"/>
                <w:w w:val="99"/>
                <w:sz w:val="20"/>
              </w:rPr>
            </w:r>
            <w:r>
              <w:rPr>
                <w:rFonts w:ascii="Arial"/>
                <w:sz w:val="20"/>
                <w:u w:val="thick" w:color="000000"/>
              </w:rPr>
              <w:t>1,718,889</w:t>
            </w:r>
            <w:r>
              <w:rPr>
                <w:rFonts w:ascii="Arial"/>
                <w:sz w:val="20"/>
              </w:rPr>
            </w: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199"/>
              <w:jc w:val="right"/>
              <w:rPr>
                <w:rFonts w:ascii="Arial" w:hAnsi="Arial" w:cs="Arial" w:eastAsia="Arial" w:hint="default"/>
                <w:sz w:val="20"/>
                <w:szCs w:val="20"/>
              </w:rPr>
            </w:pPr>
            <w:r>
              <w:rPr>
                <w:rFonts w:ascii="Arial"/>
                <w:spacing w:val="-1"/>
                <w:w w:val="95"/>
                <w:sz w:val="20"/>
              </w:rPr>
              <w:t>6.75%</w:t>
            </w:r>
            <w:r>
              <w:rPr>
                <w:rFonts w:ascii="Arial"/>
                <w:sz w:val="20"/>
              </w:rPr>
            </w:r>
          </w:p>
        </w:tc>
      </w:tr>
    </w:tbl>
    <w:p>
      <w:pPr>
        <w:spacing w:line="240" w:lineRule="auto" w:before="12"/>
        <w:rPr>
          <w:rFonts w:ascii="黑体" w:hAnsi="黑体" w:cs="黑体" w:eastAsia="黑体" w:hint="default"/>
          <w:sz w:val="27"/>
          <w:szCs w:val="27"/>
        </w:rPr>
      </w:pPr>
    </w:p>
    <w:p>
      <w:pPr>
        <w:pStyle w:val="BodyText"/>
        <w:spacing w:line="417" w:lineRule="auto" w:before="37"/>
        <w:ind w:right="1012"/>
        <w:jc w:val="left"/>
      </w:pP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日，在建工程无计提减值准备的情况（</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日：无）。</w:t>
      </w:r>
      <w:r>
        <w:rPr>
          <w:w w:val="99"/>
        </w:rPr>
        <w:t> </w:t>
      </w: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日，在建工程所有权受限资产详见附注五、</w:t>
      </w:r>
      <w:r>
        <w:rPr>
          <w:rFonts w:ascii="Arial" w:hAnsi="Arial" w:cs="Arial" w:eastAsia="Arial" w:hint="default"/>
        </w:rPr>
        <w:t>12</w:t>
      </w:r>
      <w:r>
        <w:rPr/>
        <w:t>和</w:t>
      </w:r>
      <w:r>
        <w:rPr>
          <w:rFonts w:ascii="Arial" w:hAnsi="Arial" w:cs="Arial" w:eastAsia="Arial" w:hint="default"/>
        </w:rPr>
        <w:t>28</w:t>
      </w:r>
      <w:r>
        <w:rPr/>
        <w:t>。</w:t>
      </w:r>
    </w:p>
    <w:p>
      <w:pPr>
        <w:pStyle w:val="Heading6"/>
        <w:tabs>
          <w:tab w:pos="723" w:val="left" w:leader="none"/>
        </w:tabs>
        <w:spacing w:line="240" w:lineRule="auto" w:before="24"/>
        <w:ind w:right="0"/>
        <w:jc w:val="left"/>
        <w:rPr>
          <w:b w:val="0"/>
          <w:bCs w:val="0"/>
        </w:rPr>
      </w:pPr>
      <w:r>
        <w:rPr>
          <w:rFonts w:ascii="Arial" w:hAnsi="Arial" w:cs="Arial" w:eastAsia="Arial" w:hint="default"/>
          <w:spacing w:val="-1"/>
          <w:w w:val="95"/>
        </w:rPr>
        <w:t>11.</w:t>
        <w:tab/>
      </w:r>
      <w:r>
        <w:rPr>
          <w:spacing w:val="1"/>
        </w:rPr>
        <w:t>无形资产</w:t>
      </w:r>
      <w:r>
        <w:rPr>
          <w:b w:val="0"/>
          <w:bCs w:val="0"/>
          <w:spacing w:val="1"/>
        </w:rPr>
      </w:r>
    </w:p>
    <w:p>
      <w:pPr>
        <w:spacing w:line="240" w:lineRule="auto" w:before="11"/>
        <w:rPr>
          <w:rFonts w:ascii="黑体" w:hAnsi="黑体" w:cs="黑体" w:eastAsia="黑体" w:hint="default"/>
          <w:b/>
          <w:bCs/>
          <w:sz w:val="14"/>
          <w:szCs w:val="14"/>
        </w:rPr>
      </w:pPr>
    </w:p>
    <w:p>
      <w:pPr>
        <w:pStyle w:val="BodyText"/>
        <w:spacing w:line="240" w:lineRule="auto"/>
        <w:ind w:right="0"/>
        <w:jc w:val="left"/>
      </w:pPr>
      <w:r>
        <w:rPr>
          <w:rFonts w:ascii="Arial" w:hAnsi="Arial" w:cs="Arial" w:eastAsia="Arial" w:hint="default"/>
        </w:rPr>
        <w:t>2012</w:t>
      </w:r>
      <w:r>
        <w:rPr/>
        <w:t>年</w:t>
      </w:r>
    </w:p>
    <w:p>
      <w:pPr>
        <w:spacing w:line="240" w:lineRule="auto" w:before="6"/>
        <w:rPr>
          <w:rFonts w:ascii="黑体" w:hAnsi="黑体" w:cs="黑体" w:eastAsia="黑体" w:hint="default"/>
          <w:sz w:val="3"/>
          <w:szCs w:val="3"/>
        </w:rPr>
      </w:pPr>
    </w:p>
    <w:tbl>
      <w:tblPr>
        <w:tblW w:w="0" w:type="auto"/>
        <w:jc w:val="left"/>
        <w:tblInd w:w="631" w:type="dxa"/>
        <w:tblLayout w:type="fixed"/>
        <w:tblCellMar>
          <w:top w:w="0" w:type="dxa"/>
          <w:left w:w="0" w:type="dxa"/>
          <w:bottom w:w="0" w:type="dxa"/>
          <w:right w:w="0" w:type="dxa"/>
        </w:tblCellMar>
        <w:tblLook w:val="01E0"/>
      </w:tblPr>
      <w:tblGrid>
        <w:gridCol w:w="1626"/>
        <w:gridCol w:w="1547"/>
        <w:gridCol w:w="333"/>
        <w:gridCol w:w="1336"/>
        <w:gridCol w:w="679"/>
        <w:gridCol w:w="918"/>
        <w:gridCol w:w="1642"/>
      </w:tblGrid>
      <w:tr>
        <w:trPr>
          <w:trHeight w:val="229" w:hRule="exact"/>
        </w:trPr>
        <w:tc>
          <w:tcPr>
            <w:tcW w:w="1626" w:type="dxa"/>
            <w:tcBorders>
              <w:top w:val="nil" w:sz="6" w:space="0" w:color="auto"/>
              <w:left w:val="nil" w:sz="6" w:space="0" w:color="auto"/>
              <w:bottom w:val="nil" w:sz="6" w:space="0" w:color="auto"/>
              <w:right w:val="nil" w:sz="6" w:space="0" w:color="auto"/>
            </w:tcBorders>
          </w:tcPr>
          <w:p>
            <w:pPr/>
          </w:p>
        </w:tc>
        <w:tc>
          <w:tcPr>
            <w:tcW w:w="1547" w:type="dxa"/>
            <w:tcBorders>
              <w:top w:val="nil" w:sz="6" w:space="0" w:color="auto"/>
              <w:left w:val="nil" w:sz="6" w:space="0" w:color="auto"/>
              <w:bottom w:val="nil" w:sz="6" w:space="0" w:color="auto"/>
              <w:right w:val="nil" w:sz="6" w:space="0" w:color="auto"/>
            </w:tcBorders>
          </w:tcPr>
          <w:p>
            <w:pPr>
              <w:pStyle w:val="TableParagraph"/>
              <w:spacing w:line="199" w:lineRule="exact"/>
              <w:ind w:right="8"/>
              <w:jc w:val="right"/>
              <w:rPr>
                <w:rFonts w:ascii="黑体" w:hAnsi="黑体" w:cs="黑体" w:eastAsia="黑体" w:hint="default"/>
                <w:sz w:val="20"/>
                <w:szCs w:val="20"/>
              </w:rPr>
            </w:pPr>
            <w:r>
              <w:rPr>
                <w:rFonts w:ascii="黑体" w:hAnsi="黑体" w:cs="黑体" w:eastAsia="黑体" w:hint="default"/>
                <w:w w:val="95"/>
                <w:sz w:val="20"/>
                <w:szCs w:val="20"/>
              </w:rPr>
              <w:t>年初数</w:t>
            </w:r>
            <w:r>
              <w:rPr>
                <w:rFonts w:ascii="黑体" w:hAnsi="黑体" w:cs="黑体" w:eastAsia="黑体" w:hint="default"/>
                <w:sz w:val="20"/>
                <w:szCs w:val="20"/>
              </w:rPr>
            </w:r>
          </w:p>
        </w:tc>
        <w:tc>
          <w:tcPr>
            <w:tcW w:w="333"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199" w:lineRule="exact"/>
              <w:ind w:right="9"/>
              <w:jc w:val="right"/>
              <w:rPr>
                <w:rFonts w:ascii="黑体" w:hAnsi="黑体" w:cs="黑体" w:eastAsia="黑体" w:hint="default"/>
                <w:sz w:val="20"/>
                <w:szCs w:val="20"/>
              </w:rPr>
            </w:pPr>
            <w:r>
              <w:rPr>
                <w:rFonts w:ascii="黑体" w:hAnsi="黑体" w:cs="黑体" w:eastAsia="黑体" w:hint="default"/>
                <w:w w:val="95"/>
                <w:sz w:val="20"/>
                <w:szCs w:val="20"/>
              </w:rPr>
              <w:t>本年增加</w:t>
            </w:r>
            <w:r>
              <w:rPr>
                <w:rFonts w:ascii="黑体" w:hAnsi="黑体" w:cs="黑体" w:eastAsia="黑体" w:hint="default"/>
                <w:sz w:val="20"/>
                <w:szCs w:val="20"/>
              </w:rPr>
            </w:r>
          </w:p>
        </w:tc>
        <w:tc>
          <w:tcPr>
            <w:tcW w:w="1597" w:type="dxa"/>
            <w:gridSpan w:val="2"/>
            <w:tcBorders>
              <w:top w:val="nil" w:sz="6" w:space="0" w:color="auto"/>
              <w:left w:val="nil" w:sz="6" w:space="0" w:color="auto"/>
              <w:bottom w:val="nil" w:sz="6" w:space="0" w:color="auto"/>
              <w:right w:val="nil" w:sz="6" w:space="0" w:color="auto"/>
            </w:tcBorders>
          </w:tcPr>
          <w:p>
            <w:pPr>
              <w:pStyle w:val="TableParagraph"/>
              <w:spacing w:line="199" w:lineRule="exact"/>
              <w:ind w:left="545" w:right="0"/>
              <w:jc w:val="left"/>
              <w:rPr>
                <w:rFonts w:ascii="黑体" w:hAnsi="黑体" w:cs="黑体" w:eastAsia="黑体" w:hint="default"/>
                <w:sz w:val="20"/>
                <w:szCs w:val="20"/>
              </w:rPr>
            </w:pPr>
            <w:r>
              <w:rPr>
                <w:rFonts w:ascii="黑体" w:hAnsi="黑体" w:cs="黑体" w:eastAsia="黑体" w:hint="default"/>
                <w:sz w:val="20"/>
                <w:szCs w:val="20"/>
              </w:rPr>
              <w:t>本年减少</w:t>
            </w:r>
          </w:p>
        </w:tc>
        <w:tc>
          <w:tcPr>
            <w:tcW w:w="1642" w:type="dxa"/>
            <w:tcBorders>
              <w:top w:val="nil" w:sz="6" w:space="0" w:color="auto"/>
              <w:left w:val="nil" w:sz="6" w:space="0" w:color="auto"/>
              <w:bottom w:val="nil" w:sz="6" w:space="0" w:color="auto"/>
              <w:right w:val="nil" w:sz="6" w:space="0" w:color="auto"/>
            </w:tcBorders>
          </w:tcPr>
          <w:p>
            <w:pPr>
              <w:pStyle w:val="TableParagraph"/>
              <w:spacing w:line="199" w:lineRule="exact"/>
              <w:ind w:right="200"/>
              <w:jc w:val="right"/>
              <w:rPr>
                <w:rFonts w:ascii="黑体" w:hAnsi="黑体" w:cs="黑体" w:eastAsia="黑体" w:hint="default"/>
                <w:sz w:val="20"/>
                <w:szCs w:val="20"/>
              </w:rPr>
            </w:pPr>
            <w:r>
              <w:rPr>
                <w:rFonts w:ascii="黑体" w:hAnsi="黑体" w:cs="黑体" w:eastAsia="黑体" w:hint="default"/>
                <w:w w:val="95"/>
                <w:sz w:val="20"/>
                <w:szCs w:val="20"/>
              </w:rPr>
              <w:t>年末数</w:t>
            </w:r>
            <w:r>
              <w:rPr>
                <w:rFonts w:ascii="黑体" w:hAnsi="黑体" w:cs="黑体" w:eastAsia="黑体" w:hint="default"/>
                <w:sz w:val="20"/>
                <w:szCs w:val="20"/>
              </w:rPr>
            </w:r>
          </w:p>
        </w:tc>
      </w:tr>
      <w:tr>
        <w:trPr>
          <w:trHeight w:val="264" w:hRule="exact"/>
        </w:trPr>
        <w:tc>
          <w:tcPr>
            <w:tcW w:w="1626" w:type="dxa"/>
            <w:tcBorders>
              <w:top w:val="nil" w:sz="6" w:space="0" w:color="auto"/>
              <w:left w:val="nil" w:sz="6" w:space="0" w:color="auto"/>
              <w:bottom w:val="nil" w:sz="6" w:space="0" w:color="auto"/>
              <w:right w:val="nil" w:sz="6" w:space="0" w:color="auto"/>
            </w:tcBorders>
          </w:tcPr>
          <w:p>
            <w:pPr/>
          </w:p>
        </w:tc>
        <w:tc>
          <w:tcPr>
            <w:tcW w:w="1547" w:type="dxa"/>
            <w:tcBorders>
              <w:top w:val="nil" w:sz="6" w:space="0" w:color="auto"/>
              <w:left w:val="nil" w:sz="6" w:space="0" w:color="auto"/>
              <w:bottom w:val="nil" w:sz="6" w:space="0" w:color="auto"/>
              <w:right w:val="nil" w:sz="6" w:space="0" w:color="auto"/>
            </w:tcBorders>
          </w:tcPr>
          <w:p>
            <w:pPr/>
          </w:p>
        </w:tc>
        <w:tc>
          <w:tcPr>
            <w:tcW w:w="333"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4" w:lineRule="exact"/>
              <w:ind w:right="8"/>
              <w:jc w:val="right"/>
              <w:rPr>
                <w:rFonts w:ascii="Arial" w:hAnsi="Arial" w:cs="Arial" w:eastAsia="Arial" w:hint="default"/>
                <w:sz w:val="20"/>
                <w:szCs w:val="20"/>
              </w:rPr>
            </w:pPr>
            <w:r>
              <w:rPr>
                <w:rFonts w:ascii="Arial" w:hAnsi="Arial" w:cs="Arial" w:eastAsia="Arial" w:hint="default"/>
                <w:spacing w:val="-1"/>
                <w:sz w:val="20"/>
                <w:szCs w:val="20"/>
              </w:rPr>
              <w:t>(</w:t>
            </w:r>
            <w:r>
              <w:rPr>
                <w:rFonts w:ascii="黑体" w:hAnsi="黑体" w:cs="黑体" w:eastAsia="黑体" w:hint="default"/>
                <w:spacing w:val="-1"/>
                <w:sz w:val="20"/>
                <w:szCs w:val="20"/>
              </w:rPr>
              <w:t>注</w:t>
            </w:r>
            <w:r>
              <w:rPr>
                <w:rFonts w:ascii="Arial" w:hAnsi="Arial" w:cs="Arial" w:eastAsia="Arial" w:hint="default"/>
                <w:spacing w:val="-1"/>
                <w:sz w:val="20"/>
                <w:szCs w:val="20"/>
              </w:rPr>
              <w:t>1)</w:t>
            </w:r>
            <w:r>
              <w:rPr>
                <w:rFonts w:ascii="Arial" w:hAnsi="Arial" w:cs="Arial" w:eastAsia="Arial" w:hint="default"/>
                <w:sz w:val="20"/>
                <w:szCs w:val="20"/>
              </w:rPr>
            </w:r>
          </w:p>
        </w:tc>
        <w:tc>
          <w:tcPr>
            <w:tcW w:w="679" w:type="dxa"/>
            <w:tcBorders>
              <w:top w:val="nil" w:sz="6" w:space="0" w:color="auto"/>
              <w:left w:val="nil" w:sz="6" w:space="0" w:color="auto"/>
              <w:bottom w:val="nil" w:sz="6" w:space="0" w:color="auto"/>
              <w:right w:val="nil" w:sz="6" w:space="0" w:color="auto"/>
            </w:tcBorders>
          </w:tcPr>
          <w:p>
            <w:pPr/>
          </w:p>
        </w:tc>
        <w:tc>
          <w:tcPr>
            <w:tcW w:w="918"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
        </w:tc>
      </w:tr>
      <w:tr>
        <w:trPr>
          <w:trHeight w:val="254" w:hRule="exact"/>
        </w:trPr>
        <w:tc>
          <w:tcPr>
            <w:tcW w:w="1626" w:type="dxa"/>
            <w:tcBorders>
              <w:top w:val="nil" w:sz="6" w:space="0" w:color="auto"/>
              <w:left w:val="nil" w:sz="6" w:space="0" w:color="auto"/>
              <w:bottom w:val="nil" w:sz="6" w:space="0" w:color="auto"/>
              <w:right w:val="nil" w:sz="6" w:space="0" w:color="auto"/>
            </w:tcBorders>
          </w:tcPr>
          <w:p>
            <w:pPr>
              <w:pStyle w:val="TableParagraph"/>
              <w:spacing w:line="224" w:lineRule="exact"/>
              <w:ind w:left="200" w:right="0"/>
              <w:jc w:val="left"/>
              <w:rPr>
                <w:rFonts w:ascii="黑体" w:hAnsi="黑体" w:cs="黑体" w:eastAsia="黑体" w:hint="default"/>
                <w:sz w:val="20"/>
                <w:szCs w:val="20"/>
              </w:rPr>
            </w:pPr>
            <w:r>
              <w:rPr>
                <w:rFonts w:ascii="黑体" w:hAnsi="黑体" w:cs="黑体" w:eastAsia="黑体" w:hint="default"/>
                <w:sz w:val="20"/>
                <w:szCs w:val="20"/>
              </w:rPr>
              <w:t>原价</w:t>
            </w:r>
          </w:p>
        </w:tc>
        <w:tc>
          <w:tcPr>
            <w:tcW w:w="1547" w:type="dxa"/>
            <w:tcBorders>
              <w:top w:val="nil" w:sz="6" w:space="0" w:color="auto"/>
              <w:left w:val="nil" w:sz="6" w:space="0" w:color="auto"/>
              <w:bottom w:val="nil" w:sz="6" w:space="0" w:color="auto"/>
              <w:right w:val="nil" w:sz="6" w:space="0" w:color="auto"/>
            </w:tcBorders>
          </w:tcPr>
          <w:p>
            <w:pPr/>
          </w:p>
        </w:tc>
        <w:tc>
          <w:tcPr>
            <w:tcW w:w="333"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
        </w:tc>
        <w:tc>
          <w:tcPr>
            <w:tcW w:w="679" w:type="dxa"/>
            <w:tcBorders>
              <w:top w:val="nil" w:sz="6" w:space="0" w:color="auto"/>
              <w:left w:val="nil" w:sz="6" w:space="0" w:color="auto"/>
              <w:bottom w:val="nil" w:sz="6" w:space="0" w:color="auto"/>
              <w:right w:val="nil" w:sz="6" w:space="0" w:color="auto"/>
            </w:tcBorders>
          </w:tcPr>
          <w:p>
            <w:pPr/>
          </w:p>
        </w:tc>
        <w:tc>
          <w:tcPr>
            <w:tcW w:w="918"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
        </w:tc>
      </w:tr>
      <w:tr>
        <w:trPr>
          <w:trHeight w:val="264" w:hRule="exact"/>
        </w:trPr>
        <w:tc>
          <w:tcPr>
            <w:tcW w:w="1626" w:type="dxa"/>
            <w:tcBorders>
              <w:top w:val="nil" w:sz="6" w:space="0" w:color="auto"/>
              <w:left w:val="nil" w:sz="6" w:space="0" w:color="auto"/>
              <w:bottom w:val="nil" w:sz="6" w:space="0" w:color="auto"/>
              <w:right w:val="nil" w:sz="6" w:space="0" w:color="auto"/>
            </w:tcBorders>
          </w:tcPr>
          <w:p>
            <w:pPr>
              <w:pStyle w:val="TableParagraph"/>
              <w:spacing w:line="229" w:lineRule="exact"/>
              <w:ind w:left="200" w:right="0"/>
              <w:jc w:val="left"/>
              <w:rPr>
                <w:rFonts w:ascii="黑体" w:hAnsi="黑体" w:cs="黑体" w:eastAsia="黑体" w:hint="default"/>
                <w:sz w:val="20"/>
                <w:szCs w:val="20"/>
              </w:rPr>
            </w:pPr>
            <w:r>
              <w:rPr>
                <w:rFonts w:ascii="黑体" w:hAnsi="黑体" w:cs="黑体" w:eastAsia="黑体" w:hint="default"/>
                <w:sz w:val="20"/>
                <w:szCs w:val="20"/>
              </w:rPr>
              <w:t>土地使用权</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
              <w:jc w:val="right"/>
              <w:rPr>
                <w:rFonts w:ascii="Arial" w:hAnsi="Arial" w:cs="Arial" w:eastAsia="Arial" w:hint="default"/>
                <w:sz w:val="20"/>
                <w:szCs w:val="20"/>
              </w:rPr>
            </w:pPr>
            <w:r>
              <w:rPr>
                <w:rFonts w:ascii="Arial"/>
                <w:spacing w:val="-1"/>
                <w:sz w:val="20"/>
              </w:rPr>
              <w:t>297,356,470</w:t>
            </w:r>
            <w:r>
              <w:rPr>
                <w:rFonts w:ascii="Arial"/>
                <w:sz w:val="20"/>
              </w:rPr>
            </w:r>
          </w:p>
        </w:tc>
        <w:tc>
          <w:tcPr>
            <w:tcW w:w="333"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8"/>
              <w:jc w:val="right"/>
              <w:rPr>
                <w:rFonts w:ascii="Arial" w:hAnsi="Arial" w:cs="Arial" w:eastAsia="Arial" w:hint="default"/>
                <w:sz w:val="20"/>
                <w:szCs w:val="20"/>
              </w:rPr>
            </w:pPr>
            <w:r>
              <w:rPr>
                <w:rFonts w:ascii="Arial"/>
                <w:w w:val="99"/>
                <w:sz w:val="20"/>
              </w:rPr>
              <w:t>-</w:t>
            </w:r>
            <w:r>
              <w:rPr>
                <w:rFonts w:ascii="Arial"/>
                <w:sz w:val="20"/>
              </w:rPr>
            </w:r>
          </w:p>
        </w:tc>
        <w:tc>
          <w:tcPr>
            <w:tcW w:w="679" w:type="dxa"/>
            <w:tcBorders>
              <w:top w:val="nil" w:sz="6" w:space="0" w:color="auto"/>
              <w:left w:val="nil" w:sz="6" w:space="0" w:color="auto"/>
              <w:bottom w:val="nil" w:sz="6" w:space="0" w:color="auto"/>
              <w:right w:val="nil" w:sz="6" w:space="0" w:color="auto"/>
            </w:tcBorders>
          </w:tcPr>
          <w:p>
            <w:pP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51"/>
              <w:jc w:val="right"/>
              <w:rPr>
                <w:rFonts w:ascii="Arial" w:hAnsi="Arial" w:cs="Arial" w:eastAsia="Arial" w:hint="default"/>
                <w:sz w:val="20"/>
                <w:szCs w:val="20"/>
              </w:rPr>
            </w:pPr>
            <w:r>
              <w:rPr>
                <w:rFonts w:ascii="Arial"/>
                <w:w w:val="99"/>
                <w:sz w:val="20"/>
              </w:rPr>
              <w:t>-</w:t>
            </w:r>
            <w:r>
              <w:rPr>
                <w:rFonts w:ascii="Arial"/>
                <w:sz w:val="20"/>
              </w:rPr>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00"/>
              <w:jc w:val="right"/>
              <w:rPr>
                <w:rFonts w:ascii="Arial" w:hAnsi="Arial" w:cs="Arial" w:eastAsia="Arial" w:hint="default"/>
                <w:sz w:val="20"/>
                <w:szCs w:val="20"/>
              </w:rPr>
            </w:pPr>
            <w:r>
              <w:rPr>
                <w:rFonts w:ascii="Arial"/>
                <w:spacing w:val="-1"/>
                <w:sz w:val="20"/>
              </w:rPr>
              <w:t>297,356,470</w:t>
            </w:r>
            <w:r>
              <w:rPr>
                <w:rFonts w:ascii="Arial"/>
                <w:sz w:val="20"/>
              </w:rPr>
            </w:r>
          </w:p>
        </w:tc>
      </w:tr>
      <w:tr>
        <w:trPr>
          <w:trHeight w:val="260" w:hRule="exact"/>
        </w:trPr>
        <w:tc>
          <w:tcPr>
            <w:tcW w:w="1626" w:type="dxa"/>
            <w:tcBorders>
              <w:top w:val="nil" w:sz="6" w:space="0" w:color="auto"/>
              <w:left w:val="nil" w:sz="6" w:space="0" w:color="auto"/>
              <w:bottom w:val="nil" w:sz="6" w:space="0" w:color="auto"/>
              <w:right w:val="nil" w:sz="6" w:space="0" w:color="auto"/>
            </w:tcBorders>
          </w:tcPr>
          <w:p>
            <w:pPr>
              <w:pStyle w:val="TableParagraph"/>
              <w:spacing w:line="224" w:lineRule="exact"/>
              <w:ind w:left="200" w:right="0"/>
              <w:jc w:val="left"/>
              <w:rPr>
                <w:rFonts w:ascii="黑体" w:hAnsi="黑体" w:cs="黑体" w:eastAsia="黑体" w:hint="default"/>
                <w:sz w:val="20"/>
                <w:szCs w:val="20"/>
              </w:rPr>
            </w:pPr>
            <w:r>
              <w:rPr>
                <w:rFonts w:ascii="黑体" w:hAnsi="黑体" w:cs="黑体" w:eastAsia="黑体" w:hint="default"/>
                <w:sz w:val="20"/>
                <w:szCs w:val="20"/>
              </w:rPr>
              <w:t>软件使用权</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9"/>
              <w:jc w:val="right"/>
              <w:rPr>
                <w:rFonts w:ascii="Arial" w:hAnsi="Arial" w:cs="Arial" w:eastAsia="Arial" w:hint="default"/>
                <w:sz w:val="20"/>
                <w:szCs w:val="20"/>
              </w:rPr>
            </w:pPr>
            <w:r>
              <w:rPr>
                <w:rFonts w:ascii="Arial"/>
                <w:spacing w:val="-1"/>
                <w:sz w:val="20"/>
              </w:rPr>
              <w:t>25,837,124</w:t>
            </w:r>
            <w:r>
              <w:rPr>
                <w:rFonts w:ascii="Arial"/>
                <w:sz w:val="20"/>
              </w:rPr>
            </w:r>
          </w:p>
        </w:tc>
        <w:tc>
          <w:tcPr>
            <w:tcW w:w="333"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9"/>
              <w:jc w:val="right"/>
              <w:rPr>
                <w:rFonts w:ascii="Arial" w:hAnsi="Arial" w:cs="Arial" w:eastAsia="Arial" w:hint="default"/>
                <w:sz w:val="20"/>
                <w:szCs w:val="20"/>
              </w:rPr>
            </w:pPr>
            <w:r>
              <w:rPr>
                <w:rFonts w:ascii="Arial"/>
                <w:spacing w:val="-1"/>
                <w:sz w:val="20"/>
              </w:rPr>
              <w:t>1,845,395</w:t>
            </w:r>
          </w:p>
        </w:tc>
        <w:tc>
          <w:tcPr>
            <w:tcW w:w="679" w:type="dxa"/>
            <w:tcBorders>
              <w:top w:val="nil" w:sz="6" w:space="0" w:color="auto"/>
              <w:left w:val="nil" w:sz="6" w:space="0" w:color="auto"/>
              <w:bottom w:val="nil" w:sz="6" w:space="0" w:color="auto"/>
              <w:right w:val="nil" w:sz="6" w:space="0" w:color="auto"/>
            </w:tcBorders>
          </w:tcPr>
          <w:p>
            <w:pP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51"/>
              <w:jc w:val="right"/>
              <w:rPr>
                <w:rFonts w:ascii="Arial" w:hAnsi="Arial" w:cs="Arial" w:eastAsia="Arial" w:hint="default"/>
                <w:sz w:val="20"/>
                <w:szCs w:val="20"/>
              </w:rPr>
            </w:pPr>
            <w:r>
              <w:rPr>
                <w:rFonts w:ascii="Arial"/>
                <w:w w:val="99"/>
                <w:sz w:val="20"/>
              </w:rPr>
              <w:t>-</w:t>
            </w:r>
            <w:r>
              <w:rPr>
                <w:rFonts w:ascii="Arial"/>
                <w:sz w:val="20"/>
              </w:rPr>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0"/>
              <w:jc w:val="right"/>
              <w:rPr>
                <w:rFonts w:ascii="Arial" w:hAnsi="Arial" w:cs="Arial" w:eastAsia="Arial" w:hint="default"/>
                <w:sz w:val="20"/>
                <w:szCs w:val="20"/>
              </w:rPr>
            </w:pPr>
            <w:r>
              <w:rPr>
                <w:rFonts w:ascii="Arial"/>
                <w:spacing w:val="-1"/>
                <w:sz w:val="20"/>
              </w:rPr>
              <w:t>27,682,519</w:t>
            </w:r>
            <w:r>
              <w:rPr>
                <w:rFonts w:ascii="Arial"/>
                <w:sz w:val="20"/>
              </w:rPr>
            </w:r>
          </w:p>
        </w:tc>
      </w:tr>
      <w:tr>
        <w:trPr>
          <w:trHeight w:val="388" w:hRule="exact"/>
        </w:trPr>
        <w:tc>
          <w:tcPr>
            <w:tcW w:w="1626"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软件著作权</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8"/>
                <w:sz w:val="20"/>
                <w:u w:val="single" w:color="000000"/>
              </w:rPr>
              <w:t> </w:t>
            </w:r>
            <w:r>
              <w:rPr>
                <w:rFonts w:ascii="Arial"/>
                <w:spacing w:val="-1"/>
                <w:sz w:val="20"/>
                <w:u w:val="single" w:color="000000"/>
              </w:rPr>
              <w:t>57,256,635</w:t>
            </w:r>
            <w:r>
              <w:rPr>
                <w:rFonts w:ascii="Arial"/>
                <w:spacing w:val="-1"/>
                <w:sz w:val="20"/>
              </w:rPr>
            </w:r>
            <w:r>
              <w:rPr>
                <w:rFonts w:ascii="Arial"/>
                <w:sz w:val="20"/>
              </w:rPr>
            </w:r>
          </w:p>
        </w:tc>
        <w:tc>
          <w:tcPr>
            <w:tcW w:w="333"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tabs>
                <w:tab w:pos="832" w:val="left" w:leader="none"/>
              </w:tabs>
              <w:spacing w:line="240" w:lineRule="auto" w:before="7"/>
              <w:ind w:right="5"/>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679" w:type="dxa"/>
            <w:tcBorders>
              <w:top w:val="nil" w:sz="6" w:space="0" w:color="auto"/>
              <w:left w:val="nil" w:sz="6" w:space="0" w:color="auto"/>
              <w:bottom w:val="nil" w:sz="6" w:space="0" w:color="auto"/>
              <w:right w:val="nil" w:sz="6" w:space="0" w:color="auto"/>
            </w:tcBorders>
          </w:tcPr>
          <w:p>
            <w:pPr/>
          </w:p>
        </w:tc>
        <w:tc>
          <w:tcPr>
            <w:tcW w:w="918" w:type="dxa"/>
            <w:tcBorders>
              <w:top w:val="nil" w:sz="6" w:space="0" w:color="auto"/>
              <w:left w:val="nil" w:sz="6" w:space="0" w:color="auto"/>
              <w:bottom w:val="nil" w:sz="6" w:space="0" w:color="auto"/>
              <w:right w:val="nil" w:sz="6" w:space="0" w:color="auto"/>
            </w:tcBorders>
          </w:tcPr>
          <w:p>
            <w:pPr>
              <w:pStyle w:val="TableParagraph"/>
              <w:tabs>
                <w:tab w:pos="501" w:val="left" w:leader="none"/>
              </w:tabs>
              <w:spacing w:line="240" w:lineRule="auto" w:before="7"/>
              <w:ind w:right="249"/>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0"/>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
                <w:sz w:val="20"/>
                <w:u w:val="single" w:color="000000"/>
              </w:rPr>
              <w:t> 57,256,635</w:t>
            </w:r>
            <w:r>
              <w:rPr>
                <w:rFonts w:ascii="Arial"/>
                <w:spacing w:val="-1"/>
                <w:sz w:val="20"/>
              </w:rPr>
            </w:r>
            <w:r>
              <w:rPr>
                <w:rFonts w:ascii="Arial"/>
                <w:sz w:val="20"/>
              </w:rPr>
            </w:r>
          </w:p>
        </w:tc>
      </w:tr>
      <w:tr>
        <w:trPr>
          <w:trHeight w:val="508" w:hRule="exact"/>
        </w:trPr>
        <w:tc>
          <w:tcPr>
            <w:tcW w:w="1626" w:type="dxa"/>
            <w:tcBorders>
              <w:top w:val="nil" w:sz="6" w:space="0" w:color="auto"/>
              <w:left w:val="nil" w:sz="6" w:space="0" w:color="auto"/>
              <w:bottom w:val="nil" w:sz="6" w:space="0" w:color="auto"/>
              <w:right w:val="nil" w:sz="6" w:space="0" w:color="auto"/>
            </w:tcBorders>
          </w:tcPr>
          <w:p>
            <w:pP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9"/>
              <w:jc w:val="right"/>
              <w:rPr>
                <w:rFonts w:ascii="Arial" w:hAnsi="Arial" w:cs="Arial" w:eastAsia="Arial" w:hint="default"/>
                <w:sz w:val="20"/>
                <w:szCs w:val="20"/>
              </w:rPr>
            </w:pPr>
            <w:r>
              <w:rPr>
                <w:rFonts w:ascii="Arial"/>
                <w:w w:val="99"/>
                <w:sz w:val="20"/>
              </w:rPr>
            </w:r>
            <w:r>
              <w:rPr>
                <w:rFonts w:ascii="Arial"/>
                <w:spacing w:val="-1"/>
                <w:sz w:val="20"/>
                <w:u w:val="thick" w:color="000000"/>
              </w:rPr>
              <w:t>380,450,229</w:t>
            </w:r>
            <w:r>
              <w:rPr>
                <w:rFonts w:ascii="Arial"/>
                <w:spacing w:val="-1"/>
                <w:sz w:val="20"/>
              </w:rPr>
            </w:r>
            <w:r>
              <w:rPr>
                <w:rFonts w:ascii="Arial"/>
                <w:sz w:val="20"/>
              </w:rPr>
            </w:r>
          </w:p>
        </w:tc>
        <w:tc>
          <w:tcPr>
            <w:tcW w:w="333"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9"/>
              <w:jc w:val="right"/>
              <w:rPr>
                <w:rFonts w:ascii="Arial" w:hAnsi="Arial" w:cs="Arial" w:eastAsia="Arial" w:hint="default"/>
                <w:sz w:val="20"/>
                <w:szCs w:val="20"/>
              </w:rPr>
            </w:pPr>
            <w:r>
              <w:rPr>
                <w:rFonts w:ascii="Arial"/>
                <w:w w:val="99"/>
                <w:sz w:val="20"/>
              </w:rPr>
            </w:r>
            <w:r>
              <w:rPr>
                <w:rFonts w:ascii="Arial"/>
                <w:spacing w:val="-1"/>
                <w:sz w:val="20"/>
                <w:u w:val="thick" w:color="000000"/>
              </w:rPr>
              <w:t>1,845,395</w:t>
            </w:r>
            <w:r>
              <w:rPr>
                <w:rFonts w:ascii="Arial"/>
                <w:spacing w:val="-1"/>
                <w:sz w:val="20"/>
              </w:rPr>
            </w:r>
          </w:p>
        </w:tc>
        <w:tc>
          <w:tcPr>
            <w:tcW w:w="679" w:type="dxa"/>
            <w:tcBorders>
              <w:top w:val="nil" w:sz="6" w:space="0" w:color="auto"/>
              <w:left w:val="nil" w:sz="6" w:space="0" w:color="auto"/>
              <w:bottom w:val="nil" w:sz="6" w:space="0" w:color="auto"/>
              <w:right w:val="nil" w:sz="6" w:space="0" w:color="auto"/>
            </w:tcBorders>
          </w:tcPr>
          <w:p>
            <w:pPr/>
          </w:p>
        </w:tc>
        <w:tc>
          <w:tcPr>
            <w:tcW w:w="918" w:type="dxa"/>
            <w:tcBorders>
              <w:top w:val="nil" w:sz="6" w:space="0" w:color="auto"/>
              <w:left w:val="nil" w:sz="6" w:space="0" w:color="auto"/>
              <w:bottom w:val="nil" w:sz="6" w:space="0" w:color="auto"/>
              <w:right w:val="nil" w:sz="6" w:space="0" w:color="auto"/>
            </w:tcBorders>
          </w:tcPr>
          <w:p>
            <w:pPr>
              <w:pStyle w:val="TableParagraph"/>
              <w:tabs>
                <w:tab w:pos="501" w:val="left" w:leader="none"/>
              </w:tabs>
              <w:spacing w:line="240" w:lineRule="auto" w:before="128"/>
              <w:ind w:right="249"/>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w w:val="95"/>
                <w:sz w:val="20"/>
                <w:u w:val="thick" w:color="000000"/>
              </w:rPr>
              <w:t>-</w:t>
            </w:r>
            <w:r>
              <w:rPr>
                <w:rFonts w:ascii="Arial"/>
                <w:w w:val="95"/>
                <w:sz w:val="20"/>
              </w:rPr>
            </w:r>
            <w:r>
              <w:rPr>
                <w:rFonts w:ascii="Arial"/>
                <w:sz w:val="20"/>
              </w:rPr>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00"/>
              <w:jc w:val="right"/>
              <w:rPr>
                <w:rFonts w:ascii="Arial" w:hAnsi="Arial" w:cs="Arial" w:eastAsia="Arial" w:hint="default"/>
                <w:sz w:val="20"/>
                <w:szCs w:val="20"/>
              </w:rPr>
            </w:pPr>
            <w:r>
              <w:rPr>
                <w:rFonts w:ascii="Arial"/>
                <w:w w:val="99"/>
                <w:sz w:val="20"/>
              </w:rPr>
            </w:r>
            <w:r>
              <w:rPr>
                <w:rFonts w:ascii="Arial"/>
                <w:spacing w:val="-1"/>
                <w:sz w:val="20"/>
                <w:u w:val="thick" w:color="000000"/>
              </w:rPr>
              <w:t>382,295,624</w:t>
            </w:r>
            <w:r>
              <w:rPr>
                <w:rFonts w:ascii="Arial"/>
                <w:spacing w:val="-1"/>
                <w:sz w:val="20"/>
              </w:rPr>
            </w:r>
            <w:r>
              <w:rPr>
                <w:rFonts w:ascii="Arial"/>
                <w:sz w:val="20"/>
              </w:rPr>
            </w:r>
          </w:p>
        </w:tc>
      </w:tr>
      <w:tr>
        <w:trPr>
          <w:trHeight w:val="383" w:hRule="exact"/>
        </w:trPr>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00" w:right="0"/>
              <w:jc w:val="left"/>
              <w:rPr>
                <w:rFonts w:ascii="黑体" w:hAnsi="黑体" w:cs="黑体" w:eastAsia="黑体" w:hint="default"/>
                <w:sz w:val="20"/>
                <w:szCs w:val="20"/>
              </w:rPr>
            </w:pPr>
            <w:r>
              <w:rPr>
                <w:rFonts w:ascii="黑体" w:hAnsi="黑体" w:cs="黑体" w:eastAsia="黑体" w:hint="default"/>
                <w:sz w:val="20"/>
                <w:szCs w:val="20"/>
              </w:rPr>
              <w:t>累计摊销</w:t>
            </w:r>
          </w:p>
        </w:tc>
        <w:tc>
          <w:tcPr>
            <w:tcW w:w="1547" w:type="dxa"/>
            <w:tcBorders>
              <w:top w:val="nil" w:sz="6" w:space="0" w:color="auto"/>
              <w:left w:val="nil" w:sz="6" w:space="0" w:color="auto"/>
              <w:bottom w:val="nil" w:sz="6" w:space="0" w:color="auto"/>
              <w:right w:val="nil" w:sz="6" w:space="0" w:color="auto"/>
            </w:tcBorders>
          </w:tcPr>
          <w:p>
            <w:pPr/>
          </w:p>
        </w:tc>
        <w:tc>
          <w:tcPr>
            <w:tcW w:w="333"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
        </w:tc>
        <w:tc>
          <w:tcPr>
            <w:tcW w:w="679" w:type="dxa"/>
            <w:tcBorders>
              <w:top w:val="nil" w:sz="6" w:space="0" w:color="auto"/>
              <w:left w:val="nil" w:sz="6" w:space="0" w:color="auto"/>
              <w:bottom w:val="nil" w:sz="6" w:space="0" w:color="auto"/>
              <w:right w:val="nil" w:sz="6" w:space="0" w:color="auto"/>
            </w:tcBorders>
          </w:tcPr>
          <w:p>
            <w:pPr/>
          </w:p>
        </w:tc>
        <w:tc>
          <w:tcPr>
            <w:tcW w:w="918"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
        </w:tc>
      </w:tr>
      <w:tr>
        <w:trPr>
          <w:trHeight w:val="264" w:hRule="exact"/>
        </w:trPr>
        <w:tc>
          <w:tcPr>
            <w:tcW w:w="1626" w:type="dxa"/>
            <w:tcBorders>
              <w:top w:val="nil" w:sz="6" w:space="0" w:color="auto"/>
              <w:left w:val="nil" w:sz="6" w:space="0" w:color="auto"/>
              <w:bottom w:val="nil" w:sz="6" w:space="0" w:color="auto"/>
              <w:right w:val="nil" w:sz="6" w:space="0" w:color="auto"/>
            </w:tcBorders>
          </w:tcPr>
          <w:p>
            <w:pPr>
              <w:pStyle w:val="TableParagraph"/>
              <w:spacing w:line="229" w:lineRule="exact"/>
              <w:ind w:left="200" w:right="0"/>
              <w:jc w:val="left"/>
              <w:rPr>
                <w:rFonts w:ascii="黑体" w:hAnsi="黑体" w:cs="黑体" w:eastAsia="黑体" w:hint="default"/>
                <w:sz w:val="20"/>
                <w:szCs w:val="20"/>
              </w:rPr>
            </w:pPr>
            <w:r>
              <w:rPr>
                <w:rFonts w:ascii="黑体" w:hAnsi="黑体" w:cs="黑体" w:eastAsia="黑体" w:hint="default"/>
                <w:sz w:val="20"/>
                <w:szCs w:val="20"/>
              </w:rPr>
              <w:t>土地使用权</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
              <w:jc w:val="right"/>
              <w:rPr>
                <w:rFonts w:ascii="Arial" w:hAnsi="Arial" w:cs="Arial" w:eastAsia="Arial" w:hint="default"/>
                <w:sz w:val="20"/>
                <w:szCs w:val="20"/>
              </w:rPr>
            </w:pPr>
            <w:r>
              <w:rPr>
                <w:rFonts w:ascii="Arial"/>
                <w:spacing w:val="-1"/>
                <w:sz w:val="20"/>
              </w:rPr>
              <w:t>(29,495,995</w:t>
            </w:r>
            <w:r>
              <w:rPr>
                <w:rFonts w:ascii="Arial"/>
                <w:sz w:val="20"/>
              </w:rPr>
            </w:r>
          </w:p>
        </w:tc>
        <w:tc>
          <w:tcPr>
            <w:tcW w:w="33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0" w:right="0"/>
              <w:jc w:val="left"/>
              <w:rPr>
                <w:rFonts w:ascii="Arial" w:hAnsi="Arial" w:cs="Arial" w:eastAsia="Arial" w:hint="default"/>
                <w:sz w:val="20"/>
                <w:szCs w:val="20"/>
              </w:rPr>
            </w:pPr>
            <w:r>
              <w:rPr>
                <w:rFonts w:ascii="Arial"/>
                <w:w w:val="99"/>
                <w:sz w:val="20"/>
              </w:rPr>
              <w:t>)</w:t>
            </w:r>
            <w:r>
              <w:rPr>
                <w:rFonts w:ascii="Arial"/>
                <w:sz w:val="20"/>
              </w:rPr>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
              <w:jc w:val="right"/>
              <w:rPr>
                <w:rFonts w:ascii="Arial" w:hAnsi="Arial" w:cs="Arial" w:eastAsia="Arial" w:hint="default"/>
                <w:sz w:val="20"/>
                <w:szCs w:val="20"/>
              </w:rPr>
            </w:pPr>
            <w:r>
              <w:rPr>
                <w:rFonts w:ascii="Arial"/>
                <w:sz w:val="20"/>
              </w:rPr>
              <w:t>(</w:t>
            </w:r>
            <w:r>
              <w:rPr>
                <w:rFonts w:ascii="Arial"/>
                <w:spacing w:val="45"/>
                <w:sz w:val="20"/>
              </w:rPr>
              <w:t> </w:t>
            </w:r>
            <w:r>
              <w:rPr>
                <w:rFonts w:ascii="Arial"/>
                <w:sz w:val="20"/>
              </w:rPr>
              <w:t>5,966,555</w:t>
            </w:r>
          </w:p>
        </w:tc>
        <w:tc>
          <w:tcPr>
            <w:tcW w:w="67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7" w:right="0"/>
              <w:jc w:val="left"/>
              <w:rPr>
                <w:rFonts w:ascii="Arial" w:hAnsi="Arial" w:cs="Arial" w:eastAsia="Arial" w:hint="default"/>
                <w:sz w:val="20"/>
                <w:szCs w:val="20"/>
              </w:rPr>
            </w:pPr>
            <w:r>
              <w:rPr>
                <w:rFonts w:ascii="Arial"/>
                <w:w w:val="99"/>
                <w:sz w:val="20"/>
              </w:rPr>
              <w:t>)</w:t>
            </w:r>
            <w:r>
              <w:rPr>
                <w:rFonts w:ascii="Arial"/>
                <w:sz w:val="20"/>
              </w:rPr>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51"/>
              <w:jc w:val="right"/>
              <w:rPr>
                <w:rFonts w:ascii="Arial" w:hAnsi="Arial" w:cs="Arial" w:eastAsia="Arial" w:hint="default"/>
                <w:sz w:val="20"/>
                <w:szCs w:val="20"/>
              </w:rPr>
            </w:pPr>
            <w:r>
              <w:rPr>
                <w:rFonts w:ascii="Arial"/>
                <w:w w:val="99"/>
                <w:sz w:val="20"/>
              </w:rPr>
              <w:t>-</w:t>
            </w:r>
            <w:r>
              <w:rPr>
                <w:rFonts w:ascii="Arial"/>
                <w:sz w:val="20"/>
              </w:rPr>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02"/>
              <w:jc w:val="right"/>
              <w:rPr>
                <w:rFonts w:ascii="Arial" w:hAnsi="Arial" w:cs="Arial" w:eastAsia="Arial" w:hint="default"/>
                <w:sz w:val="20"/>
                <w:szCs w:val="20"/>
              </w:rPr>
            </w:pPr>
            <w:r>
              <w:rPr>
                <w:rFonts w:ascii="Arial"/>
                <w:sz w:val="20"/>
              </w:rPr>
              <w:t>(</w:t>
            </w:r>
            <w:r>
              <w:rPr>
                <w:rFonts w:ascii="Arial"/>
                <w:spacing w:val="-10"/>
                <w:sz w:val="20"/>
              </w:rPr>
              <w:t> </w:t>
            </w:r>
            <w:r>
              <w:rPr>
                <w:rFonts w:ascii="Arial"/>
                <w:sz w:val="20"/>
              </w:rPr>
              <w:t>35,462,550)</w:t>
            </w:r>
          </w:p>
        </w:tc>
      </w:tr>
      <w:tr>
        <w:trPr>
          <w:trHeight w:val="260" w:hRule="exact"/>
        </w:trPr>
        <w:tc>
          <w:tcPr>
            <w:tcW w:w="1626" w:type="dxa"/>
            <w:tcBorders>
              <w:top w:val="nil" w:sz="6" w:space="0" w:color="auto"/>
              <w:left w:val="nil" w:sz="6" w:space="0" w:color="auto"/>
              <w:bottom w:val="nil" w:sz="6" w:space="0" w:color="auto"/>
              <w:right w:val="nil" w:sz="6" w:space="0" w:color="auto"/>
            </w:tcBorders>
          </w:tcPr>
          <w:p>
            <w:pPr>
              <w:pStyle w:val="TableParagraph"/>
              <w:spacing w:line="224" w:lineRule="exact"/>
              <w:ind w:left="200" w:right="0"/>
              <w:jc w:val="left"/>
              <w:rPr>
                <w:rFonts w:ascii="黑体" w:hAnsi="黑体" w:cs="黑体" w:eastAsia="黑体" w:hint="default"/>
                <w:sz w:val="20"/>
                <w:szCs w:val="20"/>
              </w:rPr>
            </w:pPr>
            <w:r>
              <w:rPr>
                <w:rFonts w:ascii="黑体" w:hAnsi="黑体" w:cs="黑体" w:eastAsia="黑体" w:hint="default"/>
                <w:sz w:val="20"/>
                <w:szCs w:val="20"/>
              </w:rPr>
              <w:t>软件使用权</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9"/>
              <w:jc w:val="right"/>
              <w:rPr>
                <w:rFonts w:ascii="Arial" w:hAnsi="Arial" w:cs="Arial" w:eastAsia="Arial" w:hint="default"/>
                <w:sz w:val="20"/>
                <w:szCs w:val="20"/>
              </w:rPr>
            </w:pPr>
            <w:r>
              <w:rPr>
                <w:rFonts w:ascii="Arial"/>
                <w:spacing w:val="-1"/>
                <w:sz w:val="20"/>
              </w:rPr>
              <w:t>(19,667,539</w:t>
            </w:r>
            <w:r>
              <w:rPr>
                <w:rFonts w:ascii="Arial"/>
                <w:sz w:val="20"/>
              </w:rPr>
            </w:r>
          </w:p>
        </w:tc>
        <w:tc>
          <w:tcPr>
            <w:tcW w:w="333" w:type="dxa"/>
            <w:tcBorders>
              <w:top w:val="nil" w:sz="6" w:space="0" w:color="auto"/>
              <w:left w:val="nil" w:sz="6" w:space="0" w:color="auto"/>
              <w:bottom w:val="nil" w:sz="6" w:space="0" w:color="auto"/>
              <w:right w:val="nil" w:sz="6" w:space="0" w:color="auto"/>
            </w:tcBorders>
          </w:tcPr>
          <w:p>
            <w:pPr>
              <w:pStyle w:val="TableParagraph"/>
              <w:spacing w:line="240" w:lineRule="auto" w:before="8"/>
              <w:ind w:left="10" w:right="0"/>
              <w:jc w:val="left"/>
              <w:rPr>
                <w:rFonts w:ascii="Arial" w:hAnsi="Arial" w:cs="Arial" w:eastAsia="Arial" w:hint="default"/>
                <w:sz w:val="20"/>
                <w:szCs w:val="20"/>
              </w:rPr>
            </w:pPr>
            <w:r>
              <w:rPr>
                <w:rFonts w:ascii="Arial"/>
                <w:w w:val="99"/>
                <w:sz w:val="20"/>
              </w:rPr>
              <w:t>)</w:t>
            </w:r>
            <w:r>
              <w:rPr>
                <w:rFonts w:ascii="Arial"/>
                <w:sz w:val="20"/>
              </w:rPr>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9"/>
              <w:jc w:val="right"/>
              <w:rPr>
                <w:rFonts w:ascii="Arial" w:hAnsi="Arial" w:cs="Arial" w:eastAsia="Arial" w:hint="default"/>
                <w:sz w:val="20"/>
                <w:szCs w:val="20"/>
              </w:rPr>
            </w:pPr>
            <w:r>
              <w:rPr>
                <w:rFonts w:ascii="Arial"/>
                <w:sz w:val="20"/>
              </w:rPr>
              <w:t>(</w:t>
            </w:r>
            <w:r>
              <w:rPr>
                <w:rFonts w:ascii="Arial"/>
                <w:spacing w:val="45"/>
                <w:sz w:val="20"/>
              </w:rPr>
              <w:t> </w:t>
            </w:r>
            <w:r>
              <w:rPr>
                <w:rFonts w:ascii="Arial"/>
                <w:sz w:val="20"/>
              </w:rPr>
              <w:t>1,721,716</w:t>
            </w:r>
          </w:p>
        </w:tc>
        <w:tc>
          <w:tcPr>
            <w:tcW w:w="679" w:type="dxa"/>
            <w:tcBorders>
              <w:top w:val="nil" w:sz="6" w:space="0" w:color="auto"/>
              <w:left w:val="nil" w:sz="6" w:space="0" w:color="auto"/>
              <w:bottom w:val="nil" w:sz="6" w:space="0" w:color="auto"/>
              <w:right w:val="nil" w:sz="6" w:space="0" w:color="auto"/>
            </w:tcBorders>
          </w:tcPr>
          <w:p>
            <w:pPr>
              <w:pStyle w:val="TableParagraph"/>
              <w:spacing w:line="240" w:lineRule="auto" w:before="8"/>
              <w:ind w:left="7" w:right="0"/>
              <w:jc w:val="left"/>
              <w:rPr>
                <w:rFonts w:ascii="Arial" w:hAnsi="Arial" w:cs="Arial" w:eastAsia="Arial" w:hint="default"/>
                <w:sz w:val="20"/>
                <w:szCs w:val="20"/>
              </w:rPr>
            </w:pPr>
            <w:r>
              <w:rPr>
                <w:rFonts w:ascii="Arial"/>
                <w:w w:val="99"/>
                <w:sz w:val="20"/>
              </w:rPr>
              <w:t>)</w:t>
            </w:r>
            <w:r>
              <w:rPr>
                <w:rFonts w:ascii="Arial"/>
                <w:sz w:val="20"/>
              </w:rPr>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51"/>
              <w:jc w:val="right"/>
              <w:rPr>
                <w:rFonts w:ascii="Arial" w:hAnsi="Arial" w:cs="Arial" w:eastAsia="Arial" w:hint="default"/>
                <w:sz w:val="20"/>
                <w:szCs w:val="20"/>
              </w:rPr>
            </w:pPr>
            <w:r>
              <w:rPr>
                <w:rFonts w:ascii="Arial"/>
                <w:w w:val="99"/>
                <w:sz w:val="20"/>
              </w:rPr>
              <w:t>-</w:t>
            </w:r>
            <w:r>
              <w:rPr>
                <w:rFonts w:ascii="Arial"/>
                <w:sz w:val="20"/>
              </w:rPr>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2"/>
              <w:jc w:val="right"/>
              <w:rPr>
                <w:rFonts w:ascii="Arial" w:hAnsi="Arial" w:cs="Arial" w:eastAsia="Arial" w:hint="default"/>
                <w:sz w:val="20"/>
                <w:szCs w:val="20"/>
              </w:rPr>
            </w:pPr>
            <w:r>
              <w:rPr>
                <w:rFonts w:ascii="Arial"/>
                <w:sz w:val="20"/>
              </w:rPr>
              <w:t>(</w:t>
            </w:r>
            <w:r>
              <w:rPr>
                <w:rFonts w:ascii="Arial"/>
                <w:spacing w:val="-10"/>
                <w:sz w:val="20"/>
              </w:rPr>
              <w:t> </w:t>
            </w:r>
            <w:r>
              <w:rPr>
                <w:rFonts w:ascii="Arial"/>
                <w:sz w:val="20"/>
              </w:rPr>
              <w:t>21,389,255)</w:t>
            </w:r>
          </w:p>
        </w:tc>
      </w:tr>
      <w:tr>
        <w:trPr>
          <w:trHeight w:val="388" w:hRule="exact"/>
        </w:trPr>
        <w:tc>
          <w:tcPr>
            <w:tcW w:w="1626"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软件著作权</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
              <w:jc w:val="right"/>
              <w:rPr>
                <w:rFonts w:ascii="Arial" w:hAnsi="Arial" w:cs="Arial" w:eastAsia="Arial" w:hint="default"/>
                <w:sz w:val="20"/>
                <w:szCs w:val="20"/>
              </w:rPr>
            </w:pPr>
            <w:r>
              <w:rPr>
                <w:rFonts w:ascii="Arial"/>
                <w:spacing w:val="-1"/>
                <w:sz w:val="20"/>
              </w:rPr>
              <w:t>(</w:t>
            </w:r>
            <w:r>
              <w:rPr>
                <w:rFonts w:ascii="Arial"/>
                <w:spacing w:val="-1"/>
                <w:sz w:val="20"/>
                <w:u w:val="single" w:color="000000"/>
              </w:rPr>
              <w:t>22,782,393</w:t>
            </w:r>
            <w:r>
              <w:rPr>
                <w:rFonts w:ascii="Arial"/>
                <w:spacing w:val="-1"/>
                <w:sz w:val="20"/>
              </w:rPr>
            </w:r>
            <w:r>
              <w:rPr>
                <w:rFonts w:ascii="Arial"/>
                <w:sz w:val="20"/>
              </w:rPr>
            </w:r>
          </w:p>
        </w:tc>
        <w:tc>
          <w:tcPr>
            <w:tcW w:w="33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 w:right="0"/>
              <w:jc w:val="left"/>
              <w:rPr>
                <w:rFonts w:ascii="Arial" w:hAnsi="Arial" w:cs="Arial" w:eastAsia="Arial" w:hint="default"/>
                <w:sz w:val="20"/>
                <w:szCs w:val="20"/>
              </w:rPr>
            </w:pPr>
            <w:r>
              <w:rPr>
                <w:rFonts w:ascii="Arial"/>
                <w:w w:val="99"/>
                <w:sz w:val="20"/>
              </w:rPr>
              <w:t>)</w:t>
            </w:r>
            <w:r>
              <w:rPr>
                <w:rFonts w:ascii="Arial"/>
                <w:sz w:val="20"/>
              </w:rPr>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
              <w:jc w:val="right"/>
              <w:rPr>
                <w:rFonts w:ascii="Arial" w:hAnsi="Arial" w:cs="Arial" w:eastAsia="Arial" w:hint="default"/>
                <w:sz w:val="20"/>
                <w:szCs w:val="20"/>
              </w:rPr>
            </w:pPr>
            <w:r>
              <w:rPr>
                <w:rFonts w:ascii="Arial"/>
                <w:sz w:val="20"/>
              </w:rPr>
              <w:t>(</w:t>
            </w:r>
            <w:r>
              <w:rPr>
                <w:rFonts w:ascii="Arial"/>
                <w:spacing w:val="49"/>
                <w:sz w:val="20"/>
              </w:rPr>
              <w:t> </w:t>
            </w:r>
            <w:r>
              <w:rPr>
                <w:rFonts w:ascii="Arial"/>
                <w:spacing w:val="49"/>
                <w:sz w:val="20"/>
                <w:u w:val="single" w:color="000000"/>
              </w:rPr>
              <w:t> </w:t>
            </w:r>
            <w:r>
              <w:rPr>
                <w:rFonts w:ascii="Arial"/>
                <w:sz w:val="20"/>
                <w:u w:val="single" w:color="000000"/>
              </w:rPr>
              <w:t>7,320,915</w:t>
            </w:r>
            <w:r>
              <w:rPr>
                <w:rFonts w:ascii="Arial"/>
                <w:sz w:val="20"/>
              </w:rPr>
            </w:r>
          </w:p>
        </w:tc>
        <w:tc>
          <w:tcPr>
            <w:tcW w:w="679" w:type="dxa"/>
            <w:tcBorders>
              <w:top w:val="nil" w:sz="6" w:space="0" w:color="auto"/>
              <w:left w:val="nil" w:sz="6" w:space="0" w:color="auto"/>
              <w:bottom w:val="nil" w:sz="6" w:space="0" w:color="auto"/>
              <w:right w:val="nil" w:sz="6" w:space="0" w:color="auto"/>
            </w:tcBorders>
          </w:tcPr>
          <w:p>
            <w:pPr>
              <w:pStyle w:val="TableParagraph"/>
              <w:spacing w:line="240" w:lineRule="auto" w:before="7"/>
              <w:ind w:left="7" w:right="0"/>
              <w:jc w:val="left"/>
              <w:rPr>
                <w:rFonts w:ascii="Arial" w:hAnsi="Arial" w:cs="Arial" w:eastAsia="Arial" w:hint="default"/>
                <w:sz w:val="20"/>
                <w:szCs w:val="20"/>
              </w:rPr>
            </w:pPr>
            <w:r>
              <w:rPr>
                <w:rFonts w:ascii="Arial"/>
                <w:w w:val="99"/>
                <w:sz w:val="20"/>
              </w:rPr>
              <w:t>)</w:t>
            </w:r>
            <w:r>
              <w:rPr>
                <w:rFonts w:ascii="Arial"/>
                <w:sz w:val="20"/>
              </w:rPr>
            </w:r>
          </w:p>
        </w:tc>
        <w:tc>
          <w:tcPr>
            <w:tcW w:w="918" w:type="dxa"/>
            <w:tcBorders>
              <w:top w:val="nil" w:sz="6" w:space="0" w:color="auto"/>
              <w:left w:val="nil" w:sz="6" w:space="0" w:color="auto"/>
              <w:bottom w:val="nil" w:sz="6" w:space="0" w:color="auto"/>
              <w:right w:val="nil" w:sz="6" w:space="0" w:color="auto"/>
            </w:tcBorders>
          </w:tcPr>
          <w:p>
            <w:pPr>
              <w:pStyle w:val="TableParagraph"/>
              <w:tabs>
                <w:tab w:pos="501" w:val="left" w:leader="none"/>
              </w:tabs>
              <w:spacing w:line="240" w:lineRule="auto" w:before="7"/>
              <w:ind w:right="249"/>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1"/>
              <w:jc w:val="right"/>
              <w:rPr>
                <w:rFonts w:ascii="Arial" w:hAnsi="Arial" w:cs="Arial" w:eastAsia="Arial" w:hint="default"/>
                <w:sz w:val="20"/>
                <w:szCs w:val="20"/>
              </w:rPr>
            </w:pPr>
            <w:r>
              <w:rPr>
                <w:rFonts w:ascii="Arial"/>
                <w:sz w:val="20"/>
              </w:rPr>
              <w:t>(</w:t>
            </w:r>
            <w:r>
              <w:rPr>
                <w:rFonts w:ascii="Arial"/>
                <w:spacing w:val="-9"/>
                <w:sz w:val="20"/>
              </w:rPr>
              <w:t> </w:t>
            </w:r>
            <w:r>
              <w:rPr>
                <w:rFonts w:ascii="Arial"/>
                <w:spacing w:val="-9"/>
                <w:sz w:val="20"/>
                <w:u w:val="single" w:color="000000"/>
              </w:rPr>
              <w:t> </w:t>
            </w:r>
            <w:r>
              <w:rPr>
                <w:rFonts w:ascii="Arial"/>
                <w:sz w:val="20"/>
                <w:u w:val="single" w:color="000000"/>
              </w:rPr>
              <w:t>30,103,308</w:t>
            </w:r>
            <w:r>
              <w:rPr>
                <w:rFonts w:ascii="Arial"/>
                <w:sz w:val="20"/>
              </w:rPr>
              <w:t>)</w:t>
            </w:r>
          </w:p>
        </w:tc>
      </w:tr>
      <w:tr>
        <w:trPr>
          <w:trHeight w:val="508" w:hRule="exact"/>
        </w:trPr>
        <w:tc>
          <w:tcPr>
            <w:tcW w:w="1626" w:type="dxa"/>
            <w:tcBorders>
              <w:top w:val="nil" w:sz="6" w:space="0" w:color="auto"/>
              <w:left w:val="nil" w:sz="6" w:space="0" w:color="auto"/>
              <w:bottom w:val="nil" w:sz="6" w:space="0" w:color="auto"/>
              <w:right w:val="nil" w:sz="6" w:space="0" w:color="auto"/>
            </w:tcBorders>
          </w:tcPr>
          <w:p>
            <w:pP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9"/>
              <w:jc w:val="right"/>
              <w:rPr>
                <w:rFonts w:ascii="Arial" w:hAnsi="Arial" w:cs="Arial" w:eastAsia="Arial" w:hint="default"/>
                <w:sz w:val="20"/>
                <w:szCs w:val="20"/>
              </w:rPr>
            </w:pPr>
            <w:r>
              <w:rPr>
                <w:rFonts w:ascii="Arial"/>
                <w:spacing w:val="-1"/>
                <w:sz w:val="20"/>
              </w:rPr>
              <w:t>(</w:t>
            </w:r>
            <w:r>
              <w:rPr>
                <w:rFonts w:ascii="Arial"/>
                <w:spacing w:val="-1"/>
                <w:sz w:val="20"/>
                <w:u w:val="thick" w:color="000000"/>
              </w:rPr>
              <w:t>71,945,927</w:t>
            </w:r>
            <w:r>
              <w:rPr>
                <w:rFonts w:ascii="Arial"/>
                <w:spacing w:val="-1"/>
                <w:sz w:val="20"/>
              </w:rPr>
            </w:r>
            <w:r>
              <w:rPr>
                <w:rFonts w:ascii="Arial"/>
                <w:sz w:val="20"/>
              </w:rPr>
            </w:r>
          </w:p>
        </w:tc>
        <w:tc>
          <w:tcPr>
            <w:tcW w:w="333"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0" w:right="0"/>
              <w:jc w:val="left"/>
              <w:rPr>
                <w:rFonts w:ascii="Arial" w:hAnsi="Arial" w:cs="Arial" w:eastAsia="Arial" w:hint="default"/>
                <w:sz w:val="20"/>
                <w:szCs w:val="20"/>
              </w:rPr>
            </w:pPr>
            <w:r>
              <w:rPr>
                <w:rFonts w:ascii="Arial"/>
                <w:w w:val="99"/>
                <w:sz w:val="20"/>
              </w:rPr>
              <w:t>)</w:t>
            </w:r>
            <w:r>
              <w:rPr>
                <w:rFonts w:ascii="Arial"/>
                <w:sz w:val="20"/>
              </w:rPr>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0"/>
              <w:jc w:val="right"/>
              <w:rPr>
                <w:rFonts w:ascii="Arial" w:hAnsi="Arial" w:cs="Arial" w:eastAsia="Arial" w:hint="default"/>
                <w:sz w:val="20"/>
                <w:szCs w:val="20"/>
              </w:rPr>
            </w:pPr>
            <w:r>
              <w:rPr>
                <w:rFonts w:ascii="Arial"/>
                <w:spacing w:val="-1"/>
                <w:sz w:val="20"/>
              </w:rPr>
              <w:t>(</w:t>
            </w:r>
            <w:r>
              <w:rPr>
                <w:rFonts w:ascii="Arial"/>
                <w:spacing w:val="-1"/>
                <w:sz w:val="20"/>
                <w:u w:val="thick" w:color="000000"/>
              </w:rPr>
              <w:t>15,009,186</w:t>
            </w:r>
            <w:r>
              <w:rPr>
                <w:rFonts w:ascii="Arial"/>
                <w:spacing w:val="-1"/>
                <w:sz w:val="20"/>
              </w:rPr>
            </w:r>
            <w:r>
              <w:rPr>
                <w:rFonts w:ascii="Arial"/>
                <w:sz w:val="20"/>
              </w:rPr>
            </w:r>
          </w:p>
        </w:tc>
        <w:tc>
          <w:tcPr>
            <w:tcW w:w="679"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7" w:right="0"/>
              <w:jc w:val="left"/>
              <w:rPr>
                <w:rFonts w:ascii="Arial" w:hAnsi="Arial" w:cs="Arial" w:eastAsia="Arial" w:hint="default"/>
                <w:sz w:val="20"/>
                <w:szCs w:val="20"/>
              </w:rPr>
            </w:pPr>
            <w:r>
              <w:rPr>
                <w:rFonts w:ascii="Arial"/>
                <w:w w:val="99"/>
                <w:sz w:val="20"/>
              </w:rPr>
              <w:t>)</w:t>
            </w:r>
            <w:r>
              <w:rPr>
                <w:rFonts w:ascii="Arial"/>
                <w:sz w:val="20"/>
              </w:rPr>
            </w:r>
          </w:p>
        </w:tc>
        <w:tc>
          <w:tcPr>
            <w:tcW w:w="918" w:type="dxa"/>
            <w:tcBorders>
              <w:top w:val="nil" w:sz="6" w:space="0" w:color="auto"/>
              <w:left w:val="nil" w:sz="6" w:space="0" w:color="auto"/>
              <w:bottom w:val="nil" w:sz="6" w:space="0" w:color="auto"/>
              <w:right w:val="nil" w:sz="6" w:space="0" w:color="auto"/>
            </w:tcBorders>
          </w:tcPr>
          <w:p>
            <w:pPr>
              <w:pStyle w:val="TableParagraph"/>
              <w:tabs>
                <w:tab w:pos="501" w:val="left" w:leader="none"/>
              </w:tabs>
              <w:spacing w:line="240" w:lineRule="auto" w:before="128"/>
              <w:ind w:right="249"/>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01"/>
              <w:jc w:val="right"/>
              <w:rPr>
                <w:rFonts w:ascii="Arial" w:hAnsi="Arial" w:cs="Arial" w:eastAsia="Arial" w:hint="default"/>
                <w:sz w:val="20"/>
                <w:szCs w:val="20"/>
              </w:rPr>
            </w:pPr>
            <w:r>
              <w:rPr>
                <w:rFonts w:ascii="Arial"/>
                <w:sz w:val="20"/>
              </w:rPr>
              <w:t>(</w:t>
            </w:r>
            <w:r>
              <w:rPr>
                <w:rFonts w:ascii="Arial"/>
                <w:spacing w:val="-9"/>
                <w:sz w:val="20"/>
              </w:rPr>
              <w:t> </w:t>
            </w:r>
            <w:r>
              <w:rPr>
                <w:rFonts w:ascii="Arial"/>
                <w:spacing w:val="-9"/>
                <w:sz w:val="20"/>
                <w:u w:val="thick" w:color="000000"/>
              </w:rPr>
              <w:t> </w:t>
            </w:r>
            <w:r>
              <w:rPr>
                <w:rFonts w:ascii="Arial"/>
                <w:sz w:val="20"/>
                <w:u w:val="thick" w:color="000000"/>
              </w:rPr>
              <w:t>86,955,113</w:t>
            </w:r>
            <w:r>
              <w:rPr>
                <w:rFonts w:ascii="Arial"/>
                <w:sz w:val="20"/>
              </w:rPr>
              <w:t>)</w:t>
            </w:r>
          </w:p>
        </w:tc>
      </w:tr>
      <w:tr>
        <w:trPr>
          <w:trHeight w:val="383" w:hRule="exact"/>
        </w:trPr>
        <w:tc>
          <w:tcPr>
            <w:tcW w:w="31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1"/>
              <w:ind w:left="200" w:right="0"/>
              <w:jc w:val="left"/>
              <w:rPr>
                <w:rFonts w:ascii="黑体" w:hAnsi="黑体" w:cs="黑体" w:eastAsia="黑体" w:hint="default"/>
                <w:sz w:val="20"/>
                <w:szCs w:val="20"/>
              </w:rPr>
            </w:pPr>
            <w:r>
              <w:rPr>
                <w:rFonts w:ascii="黑体" w:hAnsi="黑体" w:cs="黑体" w:eastAsia="黑体" w:hint="default"/>
                <w:sz w:val="20"/>
                <w:szCs w:val="20"/>
              </w:rPr>
              <w:t>账面净值及账面价值</w:t>
            </w:r>
          </w:p>
        </w:tc>
        <w:tc>
          <w:tcPr>
            <w:tcW w:w="333"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
        </w:tc>
        <w:tc>
          <w:tcPr>
            <w:tcW w:w="679" w:type="dxa"/>
            <w:tcBorders>
              <w:top w:val="nil" w:sz="6" w:space="0" w:color="auto"/>
              <w:left w:val="nil" w:sz="6" w:space="0" w:color="auto"/>
              <w:bottom w:val="nil" w:sz="6" w:space="0" w:color="auto"/>
              <w:right w:val="nil" w:sz="6" w:space="0" w:color="auto"/>
            </w:tcBorders>
          </w:tcPr>
          <w:p>
            <w:pPr/>
          </w:p>
        </w:tc>
        <w:tc>
          <w:tcPr>
            <w:tcW w:w="918" w:type="dxa"/>
            <w:tcBorders>
              <w:top w:val="nil" w:sz="6" w:space="0" w:color="auto"/>
              <w:left w:val="nil" w:sz="6" w:space="0" w:color="auto"/>
              <w:bottom w:val="nil" w:sz="6" w:space="0" w:color="auto"/>
              <w:right w:val="nil" w:sz="6" w:space="0" w:color="auto"/>
            </w:tcBorders>
          </w:tcPr>
          <w:p>
            <w:pPr/>
          </w:p>
        </w:tc>
        <w:tc>
          <w:tcPr>
            <w:tcW w:w="1642" w:type="dxa"/>
            <w:tcBorders>
              <w:top w:val="nil" w:sz="6" w:space="0" w:color="auto"/>
              <w:left w:val="nil" w:sz="6" w:space="0" w:color="auto"/>
              <w:bottom w:val="nil" w:sz="6" w:space="0" w:color="auto"/>
              <w:right w:val="nil" w:sz="6" w:space="0" w:color="auto"/>
            </w:tcBorders>
          </w:tcPr>
          <w:p>
            <w:pPr/>
          </w:p>
        </w:tc>
      </w:tr>
      <w:tr>
        <w:trPr>
          <w:trHeight w:val="265" w:hRule="exact"/>
        </w:trPr>
        <w:tc>
          <w:tcPr>
            <w:tcW w:w="1626" w:type="dxa"/>
            <w:tcBorders>
              <w:top w:val="nil" w:sz="6" w:space="0" w:color="auto"/>
              <w:left w:val="nil" w:sz="6" w:space="0" w:color="auto"/>
              <w:bottom w:val="nil" w:sz="6" w:space="0" w:color="auto"/>
              <w:right w:val="nil" w:sz="6" w:space="0" w:color="auto"/>
            </w:tcBorders>
          </w:tcPr>
          <w:p>
            <w:pPr>
              <w:pStyle w:val="TableParagraph"/>
              <w:spacing w:line="229" w:lineRule="exact"/>
              <w:ind w:left="200" w:right="0"/>
              <w:jc w:val="left"/>
              <w:rPr>
                <w:rFonts w:ascii="黑体" w:hAnsi="黑体" w:cs="黑体" w:eastAsia="黑体" w:hint="default"/>
                <w:sz w:val="20"/>
                <w:szCs w:val="20"/>
              </w:rPr>
            </w:pPr>
            <w:r>
              <w:rPr>
                <w:rFonts w:ascii="黑体" w:hAnsi="黑体" w:cs="黑体" w:eastAsia="黑体" w:hint="default"/>
                <w:sz w:val="20"/>
                <w:szCs w:val="20"/>
              </w:rPr>
              <w:t>土地使用权</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
              <w:jc w:val="right"/>
              <w:rPr>
                <w:rFonts w:ascii="Arial" w:hAnsi="Arial" w:cs="Arial" w:eastAsia="Arial" w:hint="default"/>
                <w:sz w:val="20"/>
                <w:szCs w:val="20"/>
              </w:rPr>
            </w:pPr>
            <w:r>
              <w:rPr>
                <w:rFonts w:ascii="Arial"/>
                <w:spacing w:val="-1"/>
                <w:sz w:val="20"/>
              </w:rPr>
              <w:t>267,860,475</w:t>
            </w:r>
            <w:r>
              <w:rPr>
                <w:rFonts w:ascii="Arial"/>
                <w:sz w:val="20"/>
              </w:rPr>
            </w:r>
          </w:p>
        </w:tc>
        <w:tc>
          <w:tcPr>
            <w:tcW w:w="333"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9"/>
              <w:jc w:val="right"/>
              <w:rPr>
                <w:rFonts w:ascii="Arial" w:hAnsi="Arial" w:cs="Arial" w:eastAsia="Arial" w:hint="default"/>
                <w:sz w:val="20"/>
                <w:szCs w:val="20"/>
              </w:rPr>
            </w:pPr>
            <w:r>
              <w:rPr>
                <w:rFonts w:ascii="Arial"/>
                <w:sz w:val="20"/>
              </w:rPr>
              <w:t>( </w:t>
            </w:r>
            <w:r>
              <w:rPr>
                <w:rFonts w:ascii="Arial"/>
                <w:spacing w:val="13"/>
                <w:sz w:val="20"/>
              </w:rPr>
              <w:t> </w:t>
            </w:r>
            <w:r>
              <w:rPr>
                <w:rFonts w:ascii="Arial"/>
                <w:sz w:val="20"/>
              </w:rPr>
              <w:t>5,966,555</w:t>
            </w:r>
          </w:p>
        </w:tc>
        <w:tc>
          <w:tcPr>
            <w:tcW w:w="679"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4" w:right="0"/>
              <w:jc w:val="left"/>
              <w:rPr>
                <w:rFonts w:ascii="Arial" w:hAnsi="Arial" w:cs="Arial" w:eastAsia="Arial" w:hint="default"/>
                <w:sz w:val="20"/>
                <w:szCs w:val="20"/>
              </w:rPr>
            </w:pPr>
            <w:r>
              <w:rPr>
                <w:rFonts w:ascii="Arial"/>
                <w:w w:val="99"/>
                <w:sz w:val="20"/>
              </w:rPr>
              <w:t>)</w:t>
            </w:r>
            <w:r>
              <w:rPr>
                <w:rFonts w:ascii="Arial"/>
                <w:sz w:val="20"/>
              </w:rPr>
            </w: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51"/>
              <w:jc w:val="right"/>
              <w:rPr>
                <w:rFonts w:ascii="Arial" w:hAnsi="Arial" w:cs="Arial" w:eastAsia="Arial" w:hint="default"/>
                <w:sz w:val="20"/>
                <w:szCs w:val="20"/>
              </w:rPr>
            </w:pPr>
            <w:r>
              <w:rPr>
                <w:rFonts w:ascii="Arial"/>
                <w:w w:val="99"/>
                <w:sz w:val="20"/>
              </w:rPr>
              <w:t>-</w:t>
            </w:r>
            <w:r>
              <w:rPr>
                <w:rFonts w:ascii="Arial"/>
                <w:sz w:val="20"/>
              </w:rPr>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98"/>
              <w:jc w:val="right"/>
              <w:rPr>
                <w:rFonts w:ascii="Arial" w:hAnsi="Arial" w:cs="Arial" w:eastAsia="Arial" w:hint="default"/>
                <w:sz w:val="20"/>
                <w:szCs w:val="20"/>
              </w:rPr>
            </w:pPr>
            <w:r>
              <w:rPr>
                <w:rFonts w:ascii="Arial"/>
                <w:spacing w:val="-1"/>
                <w:sz w:val="20"/>
              </w:rPr>
              <w:t>261,893,920</w:t>
            </w:r>
            <w:r>
              <w:rPr>
                <w:rFonts w:ascii="Arial"/>
                <w:sz w:val="20"/>
              </w:rPr>
            </w:r>
          </w:p>
        </w:tc>
      </w:tr>
      <w:tr>
        <w:trPr>
          <w:trHeight w:val="259" w:hRule="exact"/>
        </w:trPr>
        <w:tc>
          <w:tcPr>
            <w:tcW w:w="1626"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软件使用权</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
              <w:jc w:val="right"/>
              <w:rPr>
                <w:rFonts w:ascii="Arial" w:hAnsi="Arial" w:cs="Arial" w:eastAsia="Arial" w:hint="default"/>
                <w:sz w:val="20"/>
                <w:szCs w:val="20"/>
              </w:rPr>
            </w:pPr>
            <w:r>
              <w:rPr>
                <w:rFonts w:ascii="Arial"/>
                <w:spacing w:val="-1"/>
                <w:sz w:val="20"/>
              </w:rPr>
              <w:t>6,169,585</w:t>
            </w:r>
          </w:p>
        </w:tc>
        <w:tc>
          <w:tcPr>
            <w:tcW w:w="333"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
              <w:jc w:val="right"/>
              <w:rPr>
                <w:rFonts w:ascii="Arial" w:hAnsi="Arial" w:cs="Arial" w:eastAsia="Arial" w:hint="default"/>
                <w:sz w:val="20"/>
                <w:szCs w:val="20"/>
              </w:rPr>
            </w:pPr>
            <w:r>
              <w:rPr>
                <w:rFonts w:ascii="Arial"/>
                <w:spacing w:val="-1"/>
                <w:w w:val="95"/>
                <w:sz w:val="20"/>
              </w:rPr>
              <w:t>123,679</w:t>
            </w:r>
            <w:r>
              <w:rPr>
                <w:rFonts w:ascii="Arial"/>
                <w:sz w:val="20"/>
              </w:rPr>
            </w:r>
          </w:p>
        </w:tc>
        <w:tc>
          <w:tcPr>
            <w:tcW w:w="679" w:type="dxa"/>
            <w:tcBorders>
              <w:top w:val="nil" w:sz="6" w:space="0" w:color="auto"/>
              <w:left w:val="nil" w:sz="6" w:space="0" w:color="auto"/>
              <w:bottom w:val="nil" w:sz="6" w:space="0" w:color="auto"/>
              <w:right w:val="nil" w:sz="6" w:space="0" w:color="auto"/>
            </w:tcBorders>
          </w:tcPr>
          <w:p>
            <w:pPr/>
          </w:p>
        </w:tc>
        <w:tc>
          <w:tcPr>
            <w:tcW w:w="91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51"/>
              <w:jc w:val="right"/>
              <w:rPr>
                <w:rFonts w:ascii="Arial" w:hAnsi="Arial" w:cs="Arial" w:eastAsia="Arial" w:hint="default"/>
                <w:sz w:val="20"/>
                <w:szCs w:val="20"/>
              </w:rPr>
            </w:pPr>
            <w:r>
              <w:rPr>
                <w:rFonts w:ascii="Arial"/>
                <w:w w:val="99"/>
                <w:sz w:val="20"/>
              </w:rPr>
              <w:t>-</w:t>
            </w:r>
            <w:r>
              <w:rPr>
                <w:rFonts w:ascii="Arial"/>
                <w:sz w:val="20"/>
              </w:rPr>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spacing w:val="-1"/>
                <w:sz w:val="20"/>
              </w:rPr>
              <w:t>6,293,264</w:t>
            </w:r>
          </w:p>
        </w:tc>
      </w:tr>
      <w:tr>
        <w:trPr>
          <w:trHeight w:val="388" w:hRule="exact"/>
        </w:trPr>
        <w:tc>
          <w:tcPr>
            <w:tcW w:w="1626"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软件著作权</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sz w:val="20"/>
                <w:u w:val="single" w:color="000000"/>
              </w:rPr>
              <w:t>34,474,242</w:t>
            </w:r>
            <w:r>
              <w:rPr>
                <w:rFonts w:ascii="Arial"/>
                <w:spacing w:val="-1"/>
                <w:sz w:val="20"/>
              </w:rPr>
            </w:r>
          </w:p>
        </w:tc>
        <w:tc>
          <w:tcPr>
            <w:tcW w:w="333"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
              <w:jc w:val="right"/>
              <w:rPr>
                <w:rFonts w:ascii="Arial" w:hAnsi="Arial" w:cs="Arial" w:eastAsia="Arial" w:hint="default"/>
                <w:sz w:val="20"/>
                <w:szCs w:val="20"/>
              </w:rPr>
            </w:pPr>
            <w:r>
              <w:rPr>
                <w:rFonts w:ascii="Arial"/>
                <w:sz w:val="20"/>
              </w:rPr>
              <w:t>( </w:t>
            </w:r>
            <w:r>
              <w:rPr>
                <w:rFonts w:ascii="Arial"/>
                <w:spacing w:val="11"/>
                <w:sz w:val="20"/>
              </w:rPr>
              <w:t> </w:t>
            </w:r>
            <w:r>
              <w:rPr>
                <w:rFonts w:ascii="Arial"/>
                <w:spacing w:val="11"/>
                <w:sz w:val="20"/>
                <w:u w:val="single" w:color="000000"/>
              </w:rPr>
              <w:t> </w:t>
            </w:r>
            <w:r>
              <w:rPr>
                <w:rFonts w:ascii="Arial"/>
                <w:sz w:val="20"/>
                <w:u w:val="single" w:color="000000"/>
              </w:rPr>
              <w:t>7,320,915</w:t>
            </w:r>
            <w:r>
              <w:rPr>
                <w:rFonts w:ascii="Arial"/>
                <w:sz w:val="20"/>
              </w:rPr>
            </w:r>
          </w:p>
        </w:tc>
        <w:tc>
          <w:tcPr>
            <w:tcW w:w="679" w:type="dxa"/>
            <w:tcBorders>
              <w:top w:val="nil" w:sz="6" w:space="0" w:color="auto"/>
              <w:left w:val="nil" w:sz="6" w:space="0" w:color="auto"/>
              <w:bottom w:val="nil" w:sz="6" w:space="0" w:color="auto"/>
              <w:right w:val="nil" w:sz="6" w:space="0" w:color="auto"/>
            </w:tcBorders>
          </w:tcPr>
          <w:p>
            <w:pPr>
              <w:pStyle w:val="TableParagraph"/>
              <w:spacing w:line="240" w:lineRule="auto" w:before="7"/>
              <w:ind w:left="14" w:right="0"/>
              <w:jc w:val="left"/>
              <w:rPr>
                <w:rFonts w:ascii="Arial" w:hAnsi="Arial" w:cs="Arial" w:eastAsia="Arial" w:hint="default"/>
                <w:sz w:val="20"/>
                <w:szCs w:val="20"/>
              </w:rPr>
            </w:pPr>
            <w:r>
              <w:rPr>
                <w:rFonts w:ascii="Arial"/>
                <w:w w:val="99"/>
                <w:sz w:val="20"/>
              </w:rPr>
              <w:t>)</w:t>
            </w:r>
            <w:r>
              <w:rPr>
                <w:rFonts w:ascii="Arial"/>
                <w:sz w:val="20"/>
              </w:rPr>
            </w:r>
          </w:p>
        </w:tc>
        <w:tc>
          <w:tcPr>
            <w:tcW w:w="918" w:type="dxa"/>
            <w:tcBorders>
              <w:top w:val="nil" w:sz="6" w:space="0" w:color="auto"/>
              <w:left w:val="nil" w:sz="6" w:space="0" w:color="auto"/>
              <w:bottom w:val="nil" w:sz="6" w:space="0" w:color="auto"/>
              <w:right w:val="nil" w:sz="6" w:space="0" w:color="auto"/>
            </w:tcBorders>
          </w:tcPr>
          <w:p>
            <w:pPr>
              <w:pStyle w:val="TableParagraph"/>
              <w:tabs>
                <w:tab w:pos="501" w:val="left" w:leader="none"/>
              </w:tabs>
              <w:spacing w:line="240" w:lineRule="auto" w:before="7"/>
              <w:ind w:right="249"/>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sz w:val="20"/>
                <w:u w:val="single" w:color="000000"/>
              </w:rPr>
              <w:t>27,153,327</w:t>
            </w:r>
            <w:r>
              <w:rPr>
                <w:rFonts w:ascii="Arial"/>
                <w:spacing w:val="-1"/>
                <w:sz w:val="20"/>
              </w:rPr>
            </w:r>
          </w:p>
        </w:tc>
      </w:tr>
      <w:tr>
        <w:trPr>
          <w:trHeight w:val="354" w:hRule="exact"/>
        </w:trPr>
        <w:tc>
          <w:tcPr>
            <w:tcW w:w="1626" w:type="dxa"/>
            <w:tcBorders>
              <w:top w:val="nil" w:sz="6" w:space="0" w:color="auto"/>
              <w:left w:val="nil" w:sz="6" w:space="0" w:color="auto"/>
              <w:bottom w:val="nil" w:sz="6" w:space="0" w:color="auto"/>
              <w:right w:val="nil" w:sz="6" w:space="0" w:color="auto"/>
            </w:tcBorders>
          </w:tcPr>
          <w:p>
            <w:pP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9"/>
              <w:jc w:val="right"/>
              <w:rPr>
                <w:rFonts w:ascii="Arial" w:hAnsi="Arial" w:cs="Arial" w:eastAsia="Arial" w:hint="default"/>
                <w:sz w:val="20"/>
                <w:szCs w:val="20"/>
              </w:rPr>
            </w:pPr>
            <w:r>
              <w:rPr>
                <w:rFonts w:ascii="Arial"/>
                <w:w w:val="99"/>
                <w:sz w:val="20"/>
              </w:rPr>
            </w:r>
            <w:r>
              <w:rPr>
                <w:rFonts w:ascii="Arial"/>
                <w:spacing w:val="-1"/>
                <w:sz w:val="20"/>
                <w:u w:val="thick" w:color="000000"/>
              </w:rPr>
              <w:t>308,504,302</w:t>
            </w:r>
            <w:r>
              <w:rPr>
                <w:rFonts w:ascii="Arial"/>
                <w:spacing w:val="-1"/>
                <w:sz w:val="20"/>
              </w:rPr>
            </w:r>
            <w:r>
              <w:rPr>
                <w:rFonts w:ascii="Arial"/>
                <w:sz w:val="20"/>
              </w:rPr>
            </w:r>
          </w:p>
        </w:tc>
        <w:tc>
          <w:tcPr>
            <w:tcW w:w="333"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0"/>
              <w:jc w:val="right"/>
              <w:rPr>
                <w:rFonts w:ascii="Arial" w:hAnsi="Arial" w:cs="Arial" w:eastAsia="Arial" w:hint="default"/>
                <w:sz w:val="20"/>
                <w:szCs w:val="20"/>
              </w:rPr>
            </w:pPr>
            <w:r>
              <w:rPr>
                <w:rFonts w:ascii="Arial"/>
                <w:spacing w:val="-1"/>
                <w:sz w:val="20"/>
              </w:rPr>
              <w:t>(</w:t>
            </w:r>
            <w:r>
              <w:rPr>
                <w:rFonts w:ascii="Arial"/>
                <w:spacing w:val="-1"/>
                <w:sz w:val="20"/>
                <w:u w:val="thick" w:color="000000"/>
              </w:rPr>
              <w:t>13,163,791</w:t>
            </w:r>
            <w:r>
              <w:rPr>
                <w:rFonts w:ascii="Arial"/>
                <w:spacing w:val="-1"/>
                <w:sz w:val="20"/>
              </w:rPr>
            </w:r>
            <w:r>
              <w:rPr>
                <w:rFonts w:ascii="Arial"/>
                <w:sz w:val="20"/>
              </w:rPr>
            </w:r>
          </w:p>
        </w:tc>
        <w:tc>
          <w:tcPr>
            <w:tcW w:w="679"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4" w:right="0"/>
              <w:jc w:val="left"/>
              <w:rPr>
                <w:rFonts w:ascii="Arial" w:hAnsi="Arial" w:cs="Arial" w:eastAsia="Arial" w:hint="default"/>
                <w:sz w:val="20"/>
                <w:szCs w:val="20"/>
              </w:rPr>
            </w:pPr>
            <w:r>
              <w:rPr>
                <w:rFonts w:ascii="Arial"/>
                <w:w w:val="99"/>
                <w:sz w:val="20"/>
              </w:rPr>
              <w:t>)</w:t>
            </w:r>
            <w:r>
              <w:rPr>
                <w:rFonts w:ascii="Arial"/>
                <w:sz w:val="20"/>
              </w:rPr>
            </w:r>
          </w:p>
        </w:tc>
        <w:tc>
          <w:tcPr>
            <w:tcW w:w="918" w:type="dxa"/>
            <w:tcBorders>
              <w:top w:val="nil" w:sz="6" w:space="0" w:color="auto"/>
              <w:left w:val="nil" w:sz="6" w:space="0" w:color="auto"/>
              <w:bottom w:val="nil" w:sz="6" w:space="0" w:color="auto"/>
              <w:right w:val="nil" w:sz="6" w:space="0" w:color="auto"/>
            </w:tcBorders>
          </w:tcPr>
          <w:p>
            <w:pPr>
              <w:pStyle w:val="TableParagraph"/>
              <w:tabs>
                <w:tab w:pos="501" w:val="left" w:leader="none"/>
              </w:tabs>
              <w:spacing w:line="240" w:lineRule="auto" w:before="128"/>
              <w:ind w:right="249"/>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295,340,511</w:t>
            </w:r>
            <w:r>
              <w:rPr>
                <w:rFonts w:ascii="Arial"/>
                <w:spacing w:val="-1"/>
                <w:sz w:val="20"/>
              </w:rPr>
            </w:r>
            <w:r>
              <w:rPr>
                <w:rFonts w:ascii="Arial"/>
                <w:sz w:val="20"/>
              </w:rPr>
            </w:r>
          </w:p>
        </w:tc>
      </w:tr>
    </w:tbl>
    <w:p>
      <w:pPr>
        <w:spacing w:after="0" w:line="240" w:lineRule="auto"/>
        <w:jc w:val="right"/>
        <w:rPr>
          <w:rFonts w:ascii="Arial" w:hAnsi="Arial" w:cs="Arial" w:eastAsia="Arial" w:hint="default"/>
          <w:sz w:val="20"/>
          <w:szCs w:val="20"/>
        </w:rPr>
        <w:sectPr>
          <w:pgSz w:w="11910" w:h="16850"/>
          <w:pgMar w:header="957" w:footer="473" w:top="2600" w:bottom="660" w:left="1600" w:right="1280"/>
        </w:sectPr>
      </w:pPr>
    </w:p>
    <w:p>
      <w:pPr>
        <w:spacing w:line="240" w:lineRule="auto" w:before="2"/>
        <w:rPr>
          <w:rFonts w:ascii="黑体" w:hAnsi="黑体" w:cs="黑体" w:eastAsia="黑体" w:hint="default"/>
          <w:sz w:val="17"/>
          <w:szCs w:val="17"/>
        </w:rPr>
      </w:pPr>
    </w:p>
    <w:p>
      <w:pPr>
        <w:pStyle w:val="Heading6"/>
        <w:spacing w:line="240" w:lineRule="auto"/>
        <w:ind w:right="0"/>
        <w:jc w:val="left"/>
        <w:rPr>
          <w:b w:val="0"/>
          <w:bCs w:val="0"/>
        </w:rPr>
      </w:pPr>
      <w:r>
        <w:rPr/>
        <w:t>十三、公司财务报表主要项目注释（续）</w:t>
      </w:r>
      <w:r>
        <w:rPr>
          <w:b w:val="0"/>
          <w:bCs w:val="0"/>
        </w:rPr>
      </w:r>
    </w:p>
    <w:p>
      <w:pPr>
        <w:spacing w:line="240" w:lineRule="auto" w:before="6"/>
        <w:rPr>
          <w:rFonts w:ascii="黑体" w:hAnsi="黑体" w:cs="黑体" w:eastAsia="黑体" w:hint="default"/>
          <w:b/>
          <w:bCs/>
          <w:sz w:val="21"/>
          <w:szCs w:val="21"/>
        </w:rPr>
      </w:pPr>
    </w:p>
    <w:p>
      <w:pPr>
        <w:pStyle w:val="Heading6"/>
        <w:tabs>
          <w:tab w:pos="723" w:val="left" w:leader="none"/>
        </w:tabs>
        <w:spacing w:line="240" w:lineRule="auto" w:before="0"/>
        <w:ind w:right="0"/>
        <w:jc w:val="left"/>
        <w:rPr>
          <w:b w:val="0"/>
          <w:bCs w:val="0"/>
        </w:rPr>
      </w:pPr>
      <w:r>
        <w:rPr>
          <w:rFonts w:ascii="Arial" w:hAnsi="Arial" w:cs="Arial" w:eastAsia="Arial" w:hint="default"/>
          <w:spacing w:val="-1"/>
          <w:w w:val="95"/>
        </w:rPr>
        <w:t>11.</w:t>
        <w:tab/>
      </w:r>
      <w:r>
        <w:rPr>
          <w:spacing w:val="1"/>
        </w:rPr>
        <w:t>无形资产（续）</w:t>
      </w:r>
      <w:r>
        <w:rPr>
          <w:b w:val="0"/>
          <w:bCs w:val="0"/>
          <w:spacing w:val="1"/>
        </w:rPr>
      </w:r>
    </w:p>
    <w:p>
      <w:pPr>
        <w:spacing w:line="240" w:lineRule="auto" w:before="13"/>
        <w:rPr>
          <w:rFonts w:ascii="黑体" w:hAnsi="黑体" w:cs="黑体" w:eastAsia="黑体" w:hint="default"/>
          <w:b/>
          <w:bCs/>
          <w:sz w:val="19"/>
          <w:szCs w:val="19"/>
        </w:rPr>
      </w:pPr>
    </w:p>
    <w:p>
      <w:pPr>
        <w:pStyle w:val="BodyText"/>
        <w:spacing w:line="240" w:lineRule="auto"/>
        <w:ind w:left="794" w:right="7346"/>
        <w:jc w:val="center"/>
      </w:pPr>
      <w:r>
        <w:rPr>
          <w:rFonts w:ascii="Arial" w:hAnsi="Arial" w:cs="Arial" w:eastAsia="Arial" w:hint="default"/>
        </w:rPr>
        <w:t>2011</w:t>
      </w:r>
      <w:r>
        <w:rPr/>
        <w:t>年</w:t>
      </w:r>
    </w:p>
    <w:p>
      <w:pPr>
        <w:spacing w:line="240" w:lineRule="auto" w:before="1"/>
        <w:rPr>
          <w:rFonts w:ascii="黑体" w:hAnsi="黑体" w:cs="黑体" w:eastAsia="黑体" w:hint="default"/>
          <w:sz w:val="21"/>
          <w:szCs w:val="21"/>
        </w:rPr>
      </w:pPr>
    </w:p>
    <w:tbl>
      <w:tblPr>
        <w:tblW w:w="0" w:type="auto"/>
        <w:jc w:val="left"/>
        <w:tblInd w:w="631" w:type="dxa"/>
        <w:tblLayout w:type="fixed"/>
        <w:tblCellMar>
          <w:top w:w="0" w:type="dxa"/>
          <w:left w:w="0" w:type="dxa"/>
          <w:bottom w:w="0" w:type="dxa"/>
          <w:right w:w="0" w:type="dxa"/>
        </w:tblCellMar>
        <w:tblLook w:val="01E0"/>
      </w:tblPr>
      <w:tblGrid>
        <w:gridCol w:w="1582"/>
        <w:gridCol w:w="1590"/>
        <w:gridCol w:w="325"/>
        <w:gridCol w:w="1342"/>
        <w:gridCol w:w="681"/>
        <w:gridCol w:w="872"/>
        <w:gridCol w:w="1687"/>
      </w:tblGrid>
      <w:tr>
        <w:trPr>
          <w:trHeight w:val="356" w:hRule="exact"/>
        </w:trPr>
        <w:tc>
          <w:tcPr>
            <w:tcW w:w="1582" w:type="dxa"/>
            <w:tcBorders>
              <w:top w:val="nil" w:sz="6" w:space="0" w:color="auto"/>
              <w:left w:val="nil" w:sz="6" w:space="0" w:color="auto"/>
              <w:bottom w:val="nil" w:sz="6" w:space="0" w:color="auto"/>
              <w:right w:val="nil" w:sz="6" w:space="0" w:color="auto"/>
            </w:tcBorders>
          </w:tcPr>
          <w:p>
            <w:pPr/>
          </w:p>
        </w:tc>
        <w:tc>
          <w:tcPr>
            <w:tcW w:w="1590" w:type="dxa"/>
            <w:tcBorders>
              <w:top w:val="nil" w:sz="6" w:space="0" w:color="auto"/>
              <w:left w:val="nil" w:sz="6" w:space="0" w:color="auto"/>
              <w:bottom w:val="nil" w:sz="6" w:space="0" w:color="auto"/>
              <w:right w:val="nil" w:sz="6" w:space="0" w:color="auto"/>
            </w:tcBorders>
          </w:tcPr>
          <w:p>
            <w:pPr>
              <w:pStyle w:val="TableParagraph"/>
              <w:spacing w:line="199" w:lineRule="exact"/>
              <w:ind w:right="8"/>
              <w:jc w:val="right"/>
              <w:rPr>
                <w:rFonts w:ascii="黑体" w:hAnsi="黑体" w:cs="黑体" w:eastAsia="黑体" w:hint="default"/>
                <w:sz w:val="20"/>
                <w:szCs w:val="20"/>
              </w:rPr>
            </w:pPr>
            <w:r>
              <w:rPr>
                <w:rFonts w:ascii="黑体" w:hAnsi="黑体" w:cs="黑体" w:eastAsia="黑体" w:hint="default"/>
                <w:w w:val="95"/>
                <w:sz w:val="20"/>
                <w:szCs w:val="20"/>
              </w:rPr>
              <w:t>年初数</w:t>
            </w:r>
            <w:r>
              <w:rPr>
                <w:rFonts w:ascii="黑体" w:hAnsi="黑体" w:cs="黑体" w:eastAsia="黑体" w:hint="default"/>
                <w:sz w:val="20"/>
                <w:szCs w:val="20"/>
              </w:rPr>
            </w:r>
          </w:p>
        </w:tc>
        <w:tc>
          <w:tcPr>
            <w:tcW w:w="325"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199" w:lineRule="exact"/>
              <w:ind w:right="7"/>
              <w:jc w:val="right"/>
              <w:rPr>
                <w:rFonts w:ascii="黑体" w:hAnsi="黑体" w:cs="黑体" w:eastAsia="黑体" w:hint="default"/>
                <w:sz w:val="20"/>
                <w:szCs w:val="20"/>
              </w:rPr>
            </w:pPr>
            <w:r>
              <w:rPr>
                <w:rFonts w:ascii="黑体" w:hAnsi="黑体" w:cs="黑体" w:eastAsia="黑体" w:hint="default"/>
                <w:w w:val="95"/>
                <w:sz w:val="20"/>
                <w:szCs w:val="20"/>
              </w:rPr>
              <w:t>本年增加</w:t>
            </w:r>
            <w:r>
              <w:rPr>
                <w:rFonts w:ascii="黑体" w:hAnsi="黑体" w:cs="黑体" w:eastAsia="黑体" w:hint="default"/>
                <w:sz w:val="20"/>
                <w:szCs w:val="20"/>
              </w:rPr>
            </w:r>
          </w:p>
        </w:tc>
        <w:tc>
          <w:tcPr>
            <w:tcW w:w="1554" w:type="dxa"/>
            <w:gridSpan w:val="2"/>
            <w:tcBorders>
              <w:top w:val="nil" w:sz="6" w:space="0" w:color="auto"/>
              <w:left w:val="nil" w:sz="6" w:space="0" w:color="auto"/>
              <w:bottom w:val="nil" w:sz="6" w:space="0" w:color="auto"/>
              <w:right w:val="nil" w:sz="6" w:space="0" w:color="auto"/>
            </w:tcBorders>
          </w:tcPr>
          <w:p>
            <w:pPr>
              <w:pStyle w:val="TableParagraph"/>
              <w:spacing w:line="199" w:lineRule="exact"/>
              <w:ind w:left="547" w:right="0"/>
              <w:jc w:val="left"/>
              <w:rPr>
                <w:rFonts w:ascii="黑体" w:hAnsi="黑体" w:cs="黑体" w:eastAsia="黑体" w:hint="default"/>
                <w:sz w:val="20"/>
                <w:szCs w:val="20"/>
              </w:rPr>
            </w:pPr>
            <w:r>
              <w:rPr>
                <w:rFonts w:ascii="黑体" w:hAnsi="黑体" w:cs="黑体" w:eastAsia="黑体" w:hint="default"/>
                <w:sz w:val="20"/>
                <w:szCs w:val="20"/>
              </w:rPr>
              <w:t>本年减少</w:t>
            </w:r>
          </w:p>
        </w:tc>
        <w:tc>
          <w:tcPr>
            <w:tcW w:w="1687" w:type="dxa"/>
            <w:tcBorders>
              <w:top w:val="nil" w:sz="6" w:space="0" w:color="auto"/>
              <w:left w:val="nil" w:sz="6" w:space="0" w:color="auto"/>
              <w:bottom w:val="nil" w:sz="6" w:space="0" w:color="auto"/>
              <w:right w:val="nil" w:sz="6" w:space="0" w:color="auto"/>
            </w:tcBorders>
          </w:tcPr>
          <w:p>
            <w:pPr>
              <w:pStyle w:val="TableParagraph"/>
              <w:spacing w:line="199" w:lineRule="exact"/>
              <w:ind w:right="200"/>
              <w:jc w:val="right"/>
              <w:rPr>
                <w:rFonts w:ascii="黑体" w:hAnsi="黑体" w:cs="黑体" w:eastAsia="黑体" w:hint="default"/>
                <w:sz w:val="20"/>
                <w:szCs w:val="20"/>
              </w:rPr>
            </w:pPr>
            <w:r>
              <w:rPr>
                <w:rFonts w:ascii="黑体" w:hAnsi="黑体" w:cs="黑体" w:eastAsia="黑体" w:hint="default"/>
                <w:w w:val="95"/>
                <w:sz w:val="20"/>
                <w:szCs w:val="20"/>
              </w:rPr>
              <w:t>年末数</w:t>
            </w:r>
            <w:r>
              <w:rPr>
                <w:rFonts w:ascii="黑体" w:hAnsi="黑体" w:cs="黑体" w:eastAsia="黑体" w:hint="default"/>
                <w:sz w:val="20"/>
                <w:szCs w:val="20"/>
              </w:rPr>
            </w:r>
          </w:p>
        </w:tc>
      </w:tr>
      <w:tr>
        <w:trPr>
          <w:trHeight w:val="386" w:hRule="exact"/>
        </w:trPr>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0" w:right="0"/>
              <w:jc w:val="left"/>
              <w:rPr>
                <w:rFonts w:ascii="黑体" w:hAnsi="黑体" w:cs="黑体" w:eastAsia="黑体" w:hint="default"/>
                <w:sz w:val="20"/>
                <w:szCs w:val="20"/>
              </w:rPr>
            </w:pPr>
            <w:r>
              <w:rPr>
                <w:rFonts w:ascii="黑体" w:hAnsi="黑体" w:cs="黑体" w:eastAsia="黑体" w:hint="default"/>
                <w:sz w:val="20"/>
                <w:szCs w:val="20"/>
              </w:rPr>
              <w:t>原价</w:t>
            </w:r>
          </w:p>
        </w:tc>
        <w:tc>
          <w:tcPr>
            <w:tcW w:w="1590" w:type="dxa"/>
            <w:tcBorders>
              <w:top w:val="nil" w:sz="6" w:space="0" w:color="auto"/>
              <w:left w:val="nil" w:sz="6" w:space="0" w:color="auto"/>
              <w:bottom w:val="nil" w:sz="6" w:space="0" w:color="auto"/>
              <w:right w:val="nil" w:sz="6" w:space="0" w:color="auto"/>
            </w:tcBorders>
          </w:tcPr>
          <w:p>
            <w:pPr/>
          </w:p>
        </w:tc>
        <w:tc>
          <w:tcPr>
            <w:tcW w:w="325"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
        </w:tc>
        <w:tc>
          <w:tcPr>
            <w:tcW w:w="681"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
        </w:tc>
      </w:tr>
      <w:tr>
        <w:trPr>
          <w:trHeight w:val="263" w:hRule="exact"/>
        </w:trPr>
        <w:tc>
          <w:tcPr>
            <w:tcW w:w="1582" w:type="dxa"/>
            <w:tcBorders>
              <w:top w:val="nil" w:sz="6" w:space="0" w:color="auto"/>
              <w:left w:val="nil" w:sz="6" w:space="0" w:color="auto"/>
              <w:bottom w:val="nil" w:sz="6" w:space="0" w:color="auto"/>
              <w:right w:val="nil" w:sz="6" w:space="0" w:color="auto"/>
            </w:tcBorders>
          </w:tcPr>
          <w:p>
            <w:pPr>
              <w:pStyle w:val="TableParagraph"/>
              <w:spacing w:line="229" w:lineRule="exact"/>
              <w:ind w:left="200" w:right="0"/>
              <w:jc w:val="left"/>
              <w:rPr>
                <w:rFonts w:ascii="黑体" w:hAnsi="黑体" w:cs="黑体" w:eastAsia="黑体" w:hint="default"/>
                <w:sz w:val="20"/>
                <w:szCs w:val="20"/>
              </w:rPr>
            </w:pPr>
            <w:r>
              <w:rPr>
                <w:rFonts w:ascii="黑体" w:hAnsi="黑体" w:cs="黑体" w:eastAsia="黑体" w:hint="default"/>
                <w:sz w:val="20"/>
                <w:szCs w:val="20"/>
              </w:rPr>
              <w:t>土地使用权</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
              <w:jc w:val="right"/>
              <w:rPr>
                <w:rFonts w:ascii="Arial" w:hAnsi="Arial" w:cs="Arial" w:eastAsia="Arial" w:hint="default"/>
                <w:sz w:val="20"/>
                <w:szCs w:val="20"/>
              </w:rPr>
            </w:pPr>
            <w:r>
              <w:rPr>
                <w:rFonts w:ascii="Arial"/>
                <w:spacing w:val="-1"/>
                <w:sz w:val="20"/>
              </w:rPr>
              <w:t>293,962,670</w:t>
            </w:r>
            <w:r>
              <w:rPr>
                <w:rFonts w:ascii="Arial"/>
                <w:sz w:val="20"/>
              </w:rPr>
            </w:r>
          </w:p>
        </w:tc>
        <w:tc>
          <w:tcPr>
            <w:tcW w:w="325"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7"/>
              <w:jc w:val="right"/>
              <w:rPr>
                <w:rFonts w:ascii="Arial" w:hAnsi="Arial" w:cs="Arial" w:eastAsia="Arial" w:hint="default"/>
                <w:sz w:val="20"/>
                <w:szCs w:val="20"/>
              </w:rPr>
            </w:pPr>
            <w:r>
              <w:rPr>
                <w:rFonts w:ascii="Arial"/>
                <w:spacing w:val="-1"/>
                <w:sz w:val="20"/>
              </w:rPr>
              <w:t>3,393,800</w:t>
            </w:r>
          </w:p>
        </w:tc>
        <w:tc>
          <w:tcPr>
            <w:tcW w:w="681"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06"/>
              <w:jc w:val="right"/>
              <w:rPr>
                <w:rFonts w:ascii="Arial" w:hAnsi="Arial" w:cs="Arial" w:eastAsia="Arial" w:hint="default"/>
                <w:sz w:val="20"/>
                <w:szCs w:val="20"/>
              </w:rPr>
            </w:pPr>
            <w:r>
              <w:rPr>
                <w:rFonts w:ascii="Arial"/>
                <w:w w:val="99"/>
                <w:sz w:val="20"/>
              </w:rPr>
              <w:t>-</w:t>
            </w:r>
            <w:r>
              <w:rPr>
                <w:rFonts w:ascii="Arial"/>
                <w:sz w:val="20"/>
              </w:rPr>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8"/>
              <w:jc w:val="right"/>
              <w:rPr>
                <w:rFonts w:ascii="Arial" w:hAnsi="Arial" w:cs="Arial" w:eastAsia="Arial" w:hint="default"/>
                <w:sz w:val="20"/>
                <w:szCs w:val="20"/>
              </w:rPr>
            </w:pPr>
            <w:r>
              <w:rPr>
                <w:rFonts w:ascii="Arial"/>
                <w:spacing w:val="-1"/>
                <w:sz w:val="20"/>
              </w:rPr>
              <w:t>297,356,470</w:t>
            </w:r>
            <w:r>
              <w:rPr>
                <w:rFonts w:ascii="Arial"/>
                <w:sz w:val="20"/>
              </w:rPr>
            </w:r>
          </w:p>
        </w:tc>
      </w:tr>
      <w:tr>
        <w:trPr>
          <w:trHeight w:val="259" w:hRule="exact"/>
        </w:trPr>
        <w:tc>
          <w:tcPr>
            <w:tcW w:w="1582"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软件使用权</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
              <w:jc w:val="right"/>
              <w:rPr>
                <w:rFonts w:ascii="Arial" w:hAnsi="Arial" w:cs="Arial" w:eastAsia="Arial" w:hint="default"/>
                <w:sz w:val="20"/>
                <w:szCs w:val="20"/>
              </w:rPr>
            </w:pPr>
            <w:r>
              <w:rPr>
                <w:rFonts w:ascii="Arial"/>
                <w:spacing w:val="-1"/>
                <w:sz w:val="20"/>
              </w:rPr>
              <w:t>23,415,454</w:t>
            </w:r>
            <w:r>
              <w:rPr>
                <w:rFonts w:ascii="Arial"/>
                <w:sz w:val="20"/>
              </w:rPr>
            </w:r>
          </w:p>
        </w:tc>
        <w:tc>
          <w:tcPr>
            <w:tcW w:w="325"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
              <w:jc w:val="right"/>
              <w:rPr>
                <w:rFonts w:ascii="Arial" w:hAnsi="Arial" w:cs="Arial" w:eastAsia="Arial" w:hint="default"/>
                <w:sz w:val="20"/>
                <w:szCs w:val="20"/>
              </w:rPr>
            </w:pPr>
            <w:r>
              <w:rPr>
                <w:rFonts w:ascii="Arial"/>
                <w:spacing w:val="-1"/>
                <w:sz w:val="20"/>
              </w:rPr>
              <w:t>2,421,670</w:t>
            </w:r>
          </w:p>
        </w:tc>
        <w:tc>
          <w:tcPr>
            <w:tcW w:w="681"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6"/>
              <w:jc w:val="right"/>
              <w:rPr>
                <w:rFonts w:ascii="Arial" w:hAnsi="Arial" w:cs="Arial" w:eastAsia="Arial" w:hint="default"/>
                <w:sz w:val="20"/>
                <w:szCs w:val="20"/>
              </w:rPr>
            </w:pPr>
            <w:r>
              <w:rPr>
                <w:rFonts w:ascii="Arial"/>
                <w:w w:val="99"/>
                <w:sz w:val="20"/>
              </w:rPr>
              <w:t>-</w:t>
            </w:r>
            <w:r>
              <w:rPr>
                <w:rFonts w:ascii="Arial"/>
                <w:sz w:val="20"/>
              </w:rPr>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spacing w:val="-1"/>
                <w:sz w:val="20"/>
              </w:rPr>
              <w:t>25,837,124</w:t>
            </w:r>
            <w:r>
              <w:rPr>
                <w:rFonts w:ascii="Arial"/>
                <w:sz w:val="20"/>
              </w:rPr>
            </w:r>
          </w:p>
        </w:tc>
      </w:tr>
      <w:tr>
        <w:trPr>
          <w:trHeight w:val="389" w:hRule="exact"/>
        </w:trPr>
        <w:tc>
          <w:tcPr>
            <w:tcW w:w="1582"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软件著作权</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sz w:val="20"/>
                <w:u w:val="single" w:color="000000"/>
              </w:rPr>
              <w:t>37,222,935</w:t>
            </w:r>
            <w:r>
              <w:rPr>
                <w:rFonts w:ascii="Arial"/>
                <w:spacing w:val="-1"/>
                <w:sz w:val="20"/>
              </w:rPr>
            </w:r>
          </w:p>
        </w:tc>
        <w:tc>
          <w:tcPr>
            <w:tcW w:w="325"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
              <w:jc w:val="right"/>
              <w:rPr>
                <w:rFonts w:ascii="Arial" w:hAnsi="Arial" w:cs="Arial" w:eastAsia="Arial" w:hint="default"/>
                <w:sz w:val="20"/>
                <w:szCs w:val="20"/>
              </w:rPr>
            </w:pPr>
            <w:r>
              <w:rPr>
                <w:rFonts w:ascii="Arial"/>
                <w:w w:val="99"/>
                <w:sz w:val="20"/>
              </w:rPr>
            </w:r>
            <w:r>
              <w:rPr>
                <w:rFonts w:ascii="Arial"/>
                <w:spacing w:val="-1"/>
                <w:sz w:val="20"/>
                <w:u w:val="single" w:color="000000"/>
              </w:rPr>
              <w:t>20,033,700</w:t>
            </w:r>
            <w:r>
              <w:rPr>
                <w:rFonts w:ascii="Arial"/>
                <w:spacing w:val="-1"/>
                <w:sz w:val="20"/>
              </w:rPr>
            </w:r>
            <w:r>
              <w:rPr>
                <w:rFonts w:ascii="Arial"/>
                <w:sz w:val="20"/>
              </w:rPr>
            </w:r>
          </w:p>
        </w:tc>
        <w:tc>
          <w:tcPr>
            <w:tcW w:w="1554" w:type="dxa"/>
            <w:gridSpan w:val="2"/>
            <w:tcBorders>
              <w:top w:val="nil" w:sz="6" w:space="0" w:color="auto"/>
              <w:left w:val="nil" w:sz="6" w:space="0" w:color="auto"/>
              <w:bottom w:val="nil" w:sz="6" w:space="0" w:color="auto"/>
              <w:right w:val="nil" w:sz="6" w:space="0" w:color="auto"/>
            </w:tcBorders>
          </w:tcPr>
          <w:p>
            <w:pPr>
              <w:pStyle w:val="TableParagraph"/>
              <w:tabs>
                <w:tab w:pos="1281" w:val="left" w:leader="none"/>
              </w:tabs>
              <w:spacing w:line="240" w:lineRule="auto" w:before="7"/>
              <w:ind w:left="379" w:right="0"/>
              <w:jc w:val="lef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t>-</w:t>
            </w:r>
            <w:r>
              <w:rPr>
                <w:rFonts w:ascii="Arial"/>
                <w:sz w:val="20"/>
              </w:rPr>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sz w:val="20"/>
                <w:u w:val="single" w:color="000000"/>
              </w:rPr>
              <w:t>57,256,635</w:t>
            </w:r>
            <w:r>
              <w:rPr>
                <w:rFonts w:ascii="Arial"/>
                <w:spacing w:val="-1"/>
                <w:sz w:val="20"/>
              </w:rPr>
            </w:r>
          </w:p>
        </w:tc>
      </w:tr>
      <w:tr>
        <w:trPr>
          <w:trHeight w:val="509" w:hRule="exact"/>
        </w:trPr>
        <w:tc>
          <w:tcPr>
            <w:tcW w:w="1582" w:type="dxa"/>
            <w:tcBorders>
              <w:top w:val="nil" w:sz="6" w:space="0" w:color="auto"/>
              <w:left w:val="nil" w:sz="6" w:space="0" w:color="auto"/>
              <w:bottom w:val="nil" w:sz="6" w:space="0" w:color="auto"/>
              <w:right w:val="nil" w:sz="6" w:space="0" w:color="auto"/>
            </w:tcBorders>
          </w:tcPr>
          <w:p>
            <w:pP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9"/>
              <w:jc w:val="right"/>
              <w:rPr>
                <w:rFonts w:ascii="Arial" w:hAnsi="Arial" w:cs="Arial" w:eastAsia="Arial" w:hint="default"/>
                <w:sz w:val="20"/>
                <w:szCs w:val="20"/>
              </w:rPr>
            </w:pPr>
            <w:r>
              <w:rPr>
                <w:rFonts w:ascii="Arial"/>
                <w:w w:val="99"/>
                <w:sz w:val="20"/>
              </w:rPr>
            </w:r>
            <w:r>
              <w:rPr>
                <w:rFonts w:ascii="Arial"/>
                <w:spacing w:val="-1"/>
                <w:sz w:val="20"/>
                <w:u w:val="thick" w:color="000000"/>
              </w:rPr>
              <w:t>354,601,059</w:t>
            </w:r>
            <w:r>
              <w:rPr>
                <w:rFonts w:ascii="Arial"/>
                <w:spacing w:val="-1"/>
                <w:sz w:val="20"/>
              </w:rPr>
            </w:r>
            <w:r>
              <w:rPr>
                <w:rFonts w:ascii="Arial"/>
                <w:sz w:val="20"/>
              </w:rPr>
            </w:r>
          </w:p>
        </w:tc>
        <w:tc>
          <w:tcPr>
            <w:tcW w:w="325"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8"/>
              <w:jc w:val="right"/>
              <w:rPr>
                <w:rFonts w:ascii="Arial" w:hAnsi="Arial" w:cs="Arial" w:eastAsia="Arial" w:hint="default"/>
                <w:sz w:val="20"/>
                <w:szCs w:val="20"/>
              </w:rPr>
            </w:pPr>
            <w:r>
              <w:rPr>
                <w:rFonts w:ascii="Arial"/>
                <w:w w:val="99"/>
                <w:sz w:val="20"/>
              </w:rPr>
            </w:r>
            <w:r>
              <w:rPr>
                <w:rFonts w:ascii="Arial"/>
                <w:spacing w:val="-1"/>
                <w:sz w:val="20"/>
                <w:u w:val="thick" w:color="000000"/>
              </w:rPr>
              <w:t>25,849,170</w:t>
            </w:r>
            <w:r>
              <w:rPr>
                <w:rFonts w:ascii="Arial"/>
                <w:spacing w:val="-1"/>
                <w:sz w:val="20"/>
              </w:rPr>
            </w:r>
            <w:r>
              <w:rPr>
                <w:rFonts w:ascii="Arial"/>
                <w:sz w:val="20"/>
              </w:rPr>
            </w:r>
          </w:p>
        </w:tc>
        <w:tc>
          <w:tcPr>
            <w:tcW w:w="1554" w:type="dxa"/>
            <w:gridSpan w:val="2"/>
            <w:tcBorders>
              <w:top w:val="nil" w:sz="6" w:space="0" w:color="auto"/>
              <w:left w:val="nil" w:sz="6" w:space="0" w:color="auto"/>
              <w:bottom w:val="nil" w:sz="6" w:space="0" w:color="auto"/>
              <w:right w:val="nil" w:sz="6" w:space="0" w:color="auto"/>
            </w:tcBorders>
          </w:tcPr>
          <w:p>
            <w:pPr>
              <w:pStyle w:val="TableParagraph"/>
              <w:tabs>
                <w:tab w:pos="1281" w:val="left" w:leader="none"/>
              </w:tabs>
              <w:spacing w:line="240" w:lineRule="auto" w:before="130"/>
              <w:ind w:left="379" w:right="0"/>
              <w:jc w:val="lef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t>-</w:t>
            </w:r>
            <w:r>
              <w:rPr>
                <w:rFonts w:ascii="Arial"/>
                <w:sz w:val="20"/>
              </w:rPr>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380,450,229</w:t>
            </w:r>
            <w:r>
              <w:rPr>
                <w:rFonts w:ascii="Arial"/>
                <w:spacing w:val="-1"/>
                <w:sz w:val="20"/>
              </w:rPr>
            </w:r>
            <w:r>
              <w:rPr>
                <w:rFonts w:ascii="Arial"/>
                <w:sz w:val="20"/>
              </w:rPr>
            </w:r>
          </w:p>
        </w:tc>
      </w:tr>
      <w:tr>
        <w:trPr>
          <w:trHeight w:val="383" w:hRule="exact"/>
        </w:trPr>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00" w:right="0"/>
              <w:jc w:val="left"/>
              <w:rPr>
                <w:rFonts w:ascii="黑体" w:hAnsi="黑体" w:cs="黑体" w:eastAsia="黑体" w:hint="default"/>
                <w:sz w:val="20"/>
                <w:szCs w:val="20"/>
              </w:rPr>
            </w:pPr>
            <w:r>
              <w:rPr>
                <w:rFonts w:ascii="黑体" w:hAnsi="黑体" w:cs="黑体" w:eastAsia="黑体" w:hint="default"/>
                <w:sz w:val="20"/>
                <w:szCs w:val="20"/>
              </w:rPr>
              <w:t>累计摊销</w:t>
            </w:r>
          </w:p>
        </w:tc>
        <w:tc>
          <w:tcPr>
            <w:tcW w:w="1590" w:type="dxa"/>
            <w:tcBorders>
              <w:top w:val="nil" w:sz="6" w:space="0" w:color="auto"/>
              <w:left w:val="nil" w:sz="6" w:space="0" w:color="auto"/>
              <w:bottom w:val="nil" w:sz="6" w:space="0" w:color="auto"/>
              <w:right w:val="nil" w:sz="6" w:space="0" w:color="auto"/>
            </w:tcBorders>
          </w:tcPr>
          <w:p>
            <w:pPr/>
          </w:p>
        </w:tc>
        <w:tc>
          <w:tcPr>
            <w:tcW w:w="325"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
        </w:tc>
        <w:tc>
          <w:tcPr>
            <w:tcW w:w="681"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
        </w:tc>
      </w:tr>
      <w:tr>
        <w:trPr>
          <w:trHeight w:val="263" w:hRule="exact"/>
        </w:trPr>
        <w:tc>
          <w:tcPr>
            <w:tcW w:w="1582" w:type="dxa"/>
            <w:tcBorders>
              <w:top w:val="nil" w:sz="6" w:space="0" w:color="auto"/>
              <w:left w:val="nil" w:sz="6" w:space="0" w:color="auto"/>
              <w:bottom w:val="nil" w:sz="6" w:space="0" w:color="auto"/>
              <w:right w:val="nil" w:sz="6" w:space="0" w:color="auto"/>
            </w:tcBorders>
          </w:tcPr>
          <w:p>
            <w:pPr>
              <w:pStyle w:val="TableParagraph"/>
              <w:spacing w:line="229" w:lineRule="exact"/>
              <w:ind w:left="200" w:right="0"/>
              <w:jc w:val="left"/>
              <w:rPr>
                <w:rFonts w:ascii="黑体" w:hAnsi="黑体" w:cs="黑体" w:eastAsia="黑体" w:hint="default"/>
                <w:sz w:val="20"/>
                <w:szCs w:val="20"/>
              </w:rPr>
            </w:pPr>
            <w:r>
              <w:rPr>
                <w:rFonts w:ascii="黑体" w:hAnsi="黑体" w:cs="黑体" w:eastAsia="黑体" w:hint="default"/>
                <w:sz w:val="20"/>
                <w:szCs w:val="20"/>
              </w:rPr>
              <w:t>土地使用权</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
              <w:jc w:val="right"/>
              <w:rPr>
                <w:rFonts w:ascii="Arial" w:hAnsi="Arial" w:cs="Arial" w:eastAsia="Arial" w:hint="default"/>
                <w:sz w:val="20"/>
                <w:szCs w:val="20"/>
              </w:rPr>
            </w:pPr>
            <w:r>
              <w:rPr>
                <w:rFonts w:ascii="Arial"/>
                <w:sz w:val="20"/>
              </w:rPr>
              <w:t>( </w:t>
            </w:r>
            <w:r>
              <w:rPr>
                <w:rFonts w:ascii="Arial"/>
                <w:spacing w:val="10"/>
                <w:sz w:val="20"/>
              </w:rPr>
              <w:t> </w:t>
            </w:r>
            <w:r>
              <w:rPr>
                <w:rFonts w:ascii="Arial"/>
                <w:sz w:val="20"/>
              </w:rPr>
              <w:t>23,548,922</w:t>
            </w:r>
          </w:p>
        </w:tc>
        <w:tc>
          <w:tcPr>
            <w:tcW w:w="32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 w:right="0"/>
              <w:jc w:val="left"/>
              <w:rPr>
                <w:rFonts w:ascii="Arial" w:hAnsi="Arial" w:cs="Arial" w:eastAsia="Arial" w:hint="default"/>
                <w:sz w:val="20"/>
                <w:szCs w:val="20"/>
              </w:rPr>
            </w:pPr>
            <w:r>
              <w:rPr>
                <w:rFonts w:ascii="Arial"/>
                <w:w w:val="99"/>
                <w:sz w:val="20"/>
              </w:rPr>
              <w:t>)</w:t>
            </w:r>
            <w:r>
              <w:rPr>
                <w:rFonts w:ascii="Arial"/>
                <w:sz w:val="20"/>
              </w:rPr>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7"/>
              <w:jc w:val="right"/>
              <w:rPr>
                <w:rFonts w:ascii="Arial" w:hAnsi="Arial" w:cs="Arial" w:eastAsia="Arial" w:hint="default"/>
                <w:sz w:val="20"/>
                <w:szCs w:val="20"/>
              </w:rPr>
            </w:pPr>
            <w:r>
              <w:rPr>
                <w:rFonts w:ascii="Arial"/>
                <w:sz w:val="20"/>
              </w:rPr>
              <w:t>( </w:t>
            </w:r>
            <w:r>
              <w:rPr>
                <w:rFonts w:ascii="Arial"/>
                <w:spacing w:val="13"/>
                <w:sz w:val="20"/>
              </w:rPr>
              <w:t> </w:t>
            </w:r>
            <w:r>
              <w:rPr>
                <w:rFonts w:ascii="Arial"/>
                <w:sz w:val="20"/>
              </w:rPr>
              <w:t>5,947,073</w:t>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9" w:right="0"/>
              <w:jc w:val="left"/>
              <w:rPr>
                <w:rFonts w:ascii="Arial" w:hAnsi="Arial" w:cs="Arial" w:eastAsia="Arial" w:hint="default"/>
                <w:sz w:val="20"/>
                <w:szCs w:val="20"/>
              </w:rPr>
            </w:pPr>
            <w:r>
              <w:rPr>
                <w:rFonts w:ascii="Arial"/>
                <w:w w:val="99"/>
                <w:sz w:val="20"/>
              </w:rPr>
              <w:t>)</w:t>
            </w:r>
            <w:r>
              <w:rPr>
                <w:rFonts w:ascii="Arial"/>
                <w:sz w:val="20"/>
              </w:rPr>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06"/>
              <w:jc w:val="right"/>
              <w:rPr>
                <w:rFonts w:ascii="Arial" w:hAnsi="Arial" w:cs="Arial" w:eastAsia="Arial" w:hint="default"/>
                <w:sz w:val="20"/>
                <w:szCs w:val="20"/>
              </w:rPr>
            </w:pPr>
            <w:r>
              <w:rPr>
                <w:rFonts w:ascii="Arial"/>
                <w:w w:val="99"/>
                <w:sz w:val="20"/>
              </w:rPr>
              <w:t>-</w:t>
            </w:r>
            <w:r>
              <w:rPr>
                <w:rFonts w:ascii="Arial"/>
                <w:sz w:val="20"/>
              </w:rPr>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9"/>
              <w:jc w:val="right"/>
              <w:rPr>
                <w:rFonts w:ascii="Arial" w:hAnsi="Arial" w:cs="Arial" w:eastAsia="Arial" w:hint="default"/>
                <w:sz w:val="20"/>
                <w:szCs w:val="20"/>
              </w:rPr>
            </w:pPr>
            <w:r>
              <w:rPr>
                <w:rFonts w:ascii="Arial"/>
                <w:sz w:val="20"/>
              </w:rPr>
              <w:t>( </w:t>
            </w:r>
            <w:r>
              <w:rPr>
                <w:rFonts w:ascii="Arial"/>
                <w:spacing w:val="9"/>
                <w:sz w:val="20"/>
              </w:rPr>
              <w:t> </w:t>
            </w:r>
            <w:r>
              <w:rPr>
                <w:rFonts w:ascii="Arial"/>
                <w:sz w:val="20"/>
              </w:rPr>
              <w:t>29,495,995)</w:t>
            </w:r>
          </w:p>
        </w:tc>
      </w:tr>
      <w:tr>
        <w:trPr>
          <w:trHeight w:val="259" w:hRule="exact"/>
        </w:trPr>
        <w:tc>
          <w:tcPr>
            <w:tcW w:w="1582"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软件使用权</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
              <w:jc w:val="right"/>
              <w:rPr>
                <w:rFonts w:ascii="Arial" w:hAnsi="Arial" w:cs="Arial" w:eastAsia="Arial" w:hint="default"/>
                <w:sz w:val="20"/>
                <w:szCs w:val="20"/>
              </w:rPr>
            </w:pPr>
            <w:r>
              <w:rPr>
                <w:rFonts w:ascii="Arial"/>
                <w:sz w:val="20"/>
              </w:rPr>
              <w:t>( </w:t>
            </w:r>
            <w:r>
              <w:rPr>
                <w:rFonts w:ascii="Arial"/>
                <w:spacing w:val="10"/>
                <w:sz w:val="20"/>
              </w:rPr>
              <w:t> </w:t>
            </w:r>
            <w:r>
              <w:rPr>
                <w:rFonts w:ascii="Arial"/>
                <w:sz w:val="20"/>
              </w:rPr>
              <w:t>17,241,673</w:t>
            </w:r>
          </w:p>
        </w:tc>
        <w:tc>
          <w:tcPr>
            <w:tcW w:w="325"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 w:right="0"/>
              <w:jc w:val="left"/>
              <w:rPr>
                <w:rFonts w:ascii="Arial" w:hAnsi="Arial" w:cs="Arial" w:eastAsia="Arial" w:hint="default"/>
                <w:sz w:val="20"/>
                <w:szCs w:val="20"/>
              </w:rPr>
            </w:pPr>
            <w:r>
              <w:rPr>
                <w:rFonts w:ascii="Arial"/>
                <w:w w:val="99"/>
                <w:sz w:val="20"/>
              </w:rPr>
              <w:t>)</w:t>
            </w:r>
            <w:r>
              <w:rPr>
                <w:rFonts w:ascii="Arial"/>
                <w:sz w:val="20"/>
              </w:rPr>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
              <w:jc w:val="right"/>
              <w:rPr>
                <w:rFonts w:ascii="Arial" w:hAnsi="Arial" w:cs="Arial" w:eastAsia="Arial" w:hint="default"/>
                <w:sz w:val="20"/>
                <w:szCs w:val="20"/>
              </w:rPr>
            </w:pPr>
            <w:r>
              <w:rPr>
                <w:rFonts w:ascii="Arial"/>
                <w:sz w:val="20"/>
              </w:rPr>
              <w:t>( </w:t>
            </w:r>
            <w:r>
              <w:rPr>
                <w:rFonts w:ascii="Arial"/>
                <w:spacing w:val="13"/>
                <w:sz w:val="20"/>
              </w:rPr>
              <w:t> </w:t>
            </w:r>
            <w:r>
              <w:rPr>
                <w:rFonts w:ascii="Arial"/>
                <w:sz w:val="20"/>
              </w:rPr>
              <w:t>2,425,866</w:t>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7"/>
              <w:ind w:left="9" w:right="0"/>
              <w:jc w:val="left"/>
              <w:rPr>
                <w:rFonts w:ascii="Arial" w:hAnsi="Arial" w:cs="Arial" w:eastAsia="Arial" w:hint="default"/>
                <w:sz w:val="20"/>
                <w:szCs w:val="20"/>
              </w:rPr>
            </w:pPr>
            <w:r>
              <w:rPr>
                <w:rFonts w:ascii="Arial"/>
                <w:w w:val="99"/>
                <w:sz w:val="20"/>
              </w:rPr>
              <w:t>)</w:t>
            </w:r>
            <w:r>
              <w:rPr>
                <w:rFonts w:ascii="Arial"/>
                <w:sz w:val="20"/>
              </w:rPr>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6"/>
              <w:jc w:val="right"/>
              <w:rPr>
                <w:rFonts w:ascii="Arial" w:hAnsi="Arial" w:cs="Arial" w:eastAsia="Arial" w:hint="default"/>
                <w:sz w:val="20"/>
                <w:szCs w:val="20"/>
              </w:rPr>
            </w:pPr>
            <w:r>
              <w:rPr>
                <w:rFonts w:ascii="Arial"/>
                <w:w w:val="99"/>
                <w:sz w:val="20"/>
              </w:rPr>
              <w:t>-</w:t>
            </w:r>
            <w:r>
              <w:rPr>
                <w:rFonts w:ascii="Arial"/>
                <w:sz w:val="20"/>
              </w:rPr>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9"/>
              <w:jc w:val="right"/>
              <w:rPr>
                <w:rFonts w:ascii="Arial" w:hAnsi="Arial" w:cs="Arial" w:eastAsia="Arial" w:hint="default"/>
                <w:sz w:val="20"/>
                <w:szCs w:val="20"/>
              </w:rPr>
            </w:pPr>
            <w:r>
              <w:rPr>
                <w:rFonts w:ascii="Arial"/>
                <w:sz w:val="20"/>
              </w:rPr>
              <w:t>( </w:t>
            </w:r>
            <w:r>
              <w:rPr>
                <w:rFonts w:ascii="Arial"/>
                <w:spacing w:val="9"/>
                <w:sz w:val="20"/>
              </w:rPr>
              <w:t> </w:t>
            </w:r>
            <w:r>
              <w:rPr>
                <w:rFonts w:ascii="Arial"/>
                <w:sz w:val="20"/>
              </w:rPr>
              <w:t>19,667,539)</w:t>
            </w:r>
          </w:p>
        </w:tc>
      </w:tr>
      <w:tr>
        <w:trPr>
          <w:trHeight w:val="389" w:hRule="exact"/>
        </w:trPr>
        <w:tc>
          <w:tcPr>
            <w:tcW w:w="1582"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软件著作权</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
              <w:jc w:val="right"/>
              <w:rPr>
                <w:rFonts w:ascii="Arial" w:hAnsi="Arial" w:cs="Arial" w:eastAsia="Arial" w:hint="default"/>
                <w:sz w:val="20"/>
                <w:szCs w:val="20"/>
              </w:rPr>
            </w:pPr>
            <w:r>
              <w:rPr>
                <w:rFonts w:ascii="Arial"/>
                <w:sz w:val="20"/>
              </w:rPr>
              <w:t>( </w:t>
            </w:r>
            <w:r>
              <w:rPr>
                <w:rFonts w:ascii="Arial"/>
                <w:spacing w:val="9"/>
                <w:sz w:val="20"/>
              </w:rPr>
              <w:t> </w:t>
            </w:r>
            <w:r>
              <w:rPr>
                <w:rFonts w:ascii="Arial"/>
                <w:spacing w:val="9"/>
                <w:sz w:val="20"/>
                <w:u w:val="single" w:color="000000"/>
              </w:rPr>
              <w:t> </w:t>
            </w:r>
            <w:r>
              <w:rPr>
                <w:rFonts w:ascii="Arial"/>
                <w:sz w:val="20"/>
                <w:u w:val="single" w:color="000000"/>
              </w:rPr>
              <w:t>16,406,553</w:t>
            </w:r>
            <w:r>
              <w:rPr>
                <w:rFonts w:ascii="Arial"/>
                <w:sz w:val="20"/>
              </w:rPr>
            </w:r>
          </w:p>
        </w:tc>
        <w:tc>
          <w:tcPr>
            <w:tcW w:w="325"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 w:right="0"/>
              <w:jc w:val="left"/>
              <w:rPr>
                <w:rFonts w:ascii="Arial" w:hAnsi="Arial" w:cs="Arial" w:eastAsia="Arial" w:hint="default"/>
                <w:sz w:val="20"/>
                <w:szCs w:val="20"/>
              </w:rPr>
            </w:pPr>
            <w:r>
              <w:rPr>
                <w:rFonts w:ascii="Arial"/>
                <w:w w:val="99"/>
                <w:sz w:val="20"/>
              </w:rPr>
              <w:t>)</w:t>
            </w:r>
            <w:r>
              <w:rPr>
                <w:rFonts w:ascii="Arial"/>
                <w:sz w:val="20"/>
              </w:rPr>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
              <w:jc w:val="right"/>
              <w:rPr>
                <w:rFonts w:ascii="Arial" w:hAnsi="Arial" w:cs="Arial" w:eastAsia="Arial" w:hint="default"/>
                <w:sz w:val="20"/>
                <w:szCs w:val="20"/>
              </w:rPr>
            </w:pPr>
            <w:r>
              <w:rPr>
                <w:rFonts w:ascii="Arial"/>
                <w:sz w:val="20"/>
              </w:rPr>
              <w:t>( </w:t>
            </w:r>
            <w:r>
              <w:rPr>
                <w:rFonts w:ascii="Arial"/>
                <w:spacing w:val="11"/>
                <w:sz w:val="20"/>
              </w:rPr>
              <w:t> </w:t>
            </w:r>
            <w:r>
              <w:rPr>
                <w:rFonts w:ascii="Arial"/>
                <w:spacing w:val="11"/>
                <w:sz w:val="20"/>
                <w:u w:val="single" w:color="000000"/>
              </w:rPr>
              <w:t> </w:t>
            </w:r>
            <w:r>
              <w:rPr>
                <w:rFonts w:ascii="Arial"/>
                <w:sz w:val="20"/>
                <w:u w:val="single" w:color="000000"/>
              </w:rPr>
              <w:t>6,375,840</w:t>
            </w:r>
            <w:r>
              <w:rPr>
                <w:rFonts w:ascii="Arial"/>
                <w:sz w:val="20"/>
              </w:rPr>
            </w:r>
          </w:p>
        </w:tc>
        <w:tc>
          <w:tcPr>
            <w:tcW w:w="681" w:type="dxa"/>
            <w:tcBorders>
              <w:top w:val="nil" w:sz="6" w:space="0" w:color="auto"/>
              <w:left w:val="nil" w:sz="6" w:space="0" w:color="auto"/>
              <w:bottom w:val="nil" w:sz="6" w:space="0" w:color="auto"/>
              <w:right w:val="nil" w:sz="6" w:space="0" w:color="auto"/>
            </w:tcBorders>
          </w:tcPr>
          <w:p>
            <w:pPr>
              <w:pStyle w:val="TableParagraph"/>
              <w:tabs>
                <w:tab w:pos="379" w:val="left" w:leader="none"/>
                <w:tab w:pos="1281" w:val="left" w:leader="none"/>
              </w:tabs>
              <w:spacing w:line="240" w:lineRule="auto" w:before="7"/>
              <w:ind w:left="9" w:right="-601"/>
              <w:jc w:val="left"/>
              <w:rPr>
                <w:rFonts w:ascii="Arial" w:hAnsi="Arial" w:cs="Arial" w:eastAsia="Arial" w:hint="default"/>
                <w:sz w:val="20"/>
                <w:szCs w:val="20"/>
              </w:rPr>
            </w:pPr>
            <w:r>
              <w:rPr>
                <w:rFonts w:ascii="Arial"/>
                <w:sz w:val="20"/>
              </w:rPr>
              <w:t>)</w:t>
              <w:tab/>
            </w:r>
            <w:r>
              <w:rPr>
                <w:rFonts w:ascii="Arial"/>
                <w:w w:val="99"/>
                <w:sz w:val="20"/>
              </w:rPr>
            </w:r>
            <w:r>
              <w:rPr>
                <w:rFonts w:ascii="Arial"/>
                <w:w w:val="99"/>
                <w:sz w:val="20"/>
                <w:u w:val="single" w:color="000000"/>
              </w:rPr>
              <w:t> </w:t>
            </w:r>
            <w:r>
              <w:rPr>
                <w:rFonts w:ascii="Arial"/>
                <w:sz w:val="20"/>
                <w:u w:val="single" w:color="000000"/>
              </w:rPr>
              <w:tab/>
            </w:r>
            <w:r>
              <w:rPr>
                <w:rFonts w:ascii="Arial"/>
                <w:sz w:val="20"/>
              </w:rPr>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3"/>
              <w:jc w:val="right"/>
              <w:rPr>
                <w:rFonts w:ascii="Arial" w:hAnsi="Arial" w:cs="Arial" w:eastAsia="Arial" w:hint="default"/>
                <w:sz w:val="20"/>
                <w:szCs w:val="20"/>
              </w:rPr>
            </w:pPr>
            <w:r>
              <w:rPr>
                <w:rFonts w:ascii="Arial"/>
                <w:w w:val="99"/>
                <w:sz w:val="20"/>
              </w:rPr>
            </w:r>
            <w:r>
              <w:rPr>
                <w:rFonts w:ascii="Arial"/>
                <w:w w:val="99"/>
                <w:sz w:val="20"/>
                <w:u w:val="single" w:color="000000"/>
              </w:rPr>
              <w:t>-</w:t>
            </w:r>
            <w:r>
              <w:rPr>
                <w:rFonts w:ascii="Arial"/>
                <w:w w:val="99"/>
                <w:sz w:val="20"/>
              </w:rPr>
            </w:r>
            <w:r>
              <w:rPr>
                <w:rFonts w:ascii="Arial"/>
                <w:sz w:val="20"/>
              </w:rPr>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sz w:val="20"/>
              </w:rPr>
              <w:t>( </w:t>
            </w:r>
            <w:r>
              <w:rPr>
                <w:rFonts w:ascii="Arial"/>
                <w:spacing w:val="10"/>
                <w:sz w:val="20"/>
              </w:rPr>
              <w:t> </w:t>
            </w:r>
            <w:r>
              <w:rPr>
                <w:rFonts w:ascii="Arial"/>
                <w:spacing w:val="10"/>
                <w:sz w:val="20"/>
                <w:u w:val="single" w:color="000000"/>
              </w:rPr>
              <w:t> </w:t>
            </w:r>
            <w:r>
              <w:rPr>
                <w:rFonts w:ascii="Arial"/>
                <w:sz w:val="20"/>
                <w:u w:val="single" w:color="000000"/>
              </w:rPr>
              <w:t>22,782,393</w:t>
            </w:r>
            <w:r>
              <w:rPr>
                <w:rFonts w:ascii="Arial"/>
                <w:sz w:val="20"/>
              </w:rPr>
              <w:t>)</w:t>
            </w:r>
          </w:p>
        </w:tc>
      </w:tr>
      <w:tr>
        <w:trPr>
          <w:trHeight w:val="509" w:hRule="exact"/>
        </w:trPr>
        <w:tc>
          <w:tcPr>
            <w:tcW w:w="1582" w:type="dxa"/>
            <w:tcBorders>
              <w:top w:val="nil" w:sz="6" w:space="0" w:color="auto"/>
              <w:left w:val="nil" w:sz="6" w:space="0" w:color="auto"/>
              <w:bottom w:val="nil" w:sz="6" w:space="0" w:color="auto"/>
              <w:right w:val="nil" w:sz="6" w:space="0" w:color="auto"/>
            </w:tcBorders>
          </w:tcPr>
          <w:p>
            <w:pP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9"/>
              <w:jc w:val="right"/>
              <w:rPr>
                <w:rFonts w:ascii="Arial" w:hAnsi="Arial" w:cs="Arial" w:eastAsia="Arial" w:hint="default"/>
                <w:sz w:val="20"/>
                <w:szCs w:val="20"/>
              </w:rPr>
            </w:pPr>
            <w:r>
              <w:rPr>
                <w:rFonts w:ascii="Arial"/>
                <w:sz w:val="18"/>
              </w:rPr>
              <w:t>( </w:t>
            </w:r>
            <w:r>
              <w:rPr>
                <w:rFonts w:ascii="Arial"/>
                <w:spacing w:val="20"/>
                <w:sz w:val="18"/>
              </w:rPr>
              <w:t> </w:t>
            </w:r>
            <w:r>
              <w:rPr>
                <w:rFonts w:ascii="Arial"/>
                <w:spacing w:val="20"/>
                <w:sz w:val="20"/>
              </w:rPr>
            </w:r>
            <w:r>
              <w:rPr>
                <w:rFonts w:ascii="Arial"/>
                <w:spacing w:val="20"/>
                <w:sz w:val="20"/>
                <w:u w:val="thick" w:color="000000"/>
              </w:rPr>
              <w:t> </w:t>
            </w:r>
            <w:r>
              <w:rPr>
                <w:rFonts w:ascii="Arial"/>
                <w:sz w:val="20"/>
                <w:u w:val="thick" w:color="000000"/>
              </w:rPr>
              <w:t>57,197,148</w:t>
            </w:r>
            <w:r>
              <w:rPr>
                <w:rFonts w:ascii="Arial"/>
                <w:sz w:val="20"/>
              </w:rPr>
            </w:r>
          </w:p>
        </w:tc>
        <w:tc>
          <w:tcPr>
            <w:tcW w:w="325"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0" w:right="0"/>
              <w:jc w:val="left"/>
              <w:rPr>
                <w:rFonts w:ascii="Arial" w:hAnsi="Arial" w:cs="Arial" w:eastAsia="Arial" w:hint="default"/>
                <w:sz w:val="20"/>
                <w:szCs w:val="20"/>
              </w:rPr>
            </w:pPr>
            <w:r>
              <w:rPr>
                <w:rFonts w:ascii="Arial"/>
                <w:w w:val="99"/>
                <w:sz w:val="20"/>
              </w:rPr>
              <w:t>)</w:t>
            </w:r>
            <w:r>
              <w:rPr>
                <w:rFonts w:ascii="Arial"/>
                <w:sz w:val="20"/>
              </w:rPr>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8"/>
              <w:jc w:val="right"/>
              <w:rPr>
                <w:rFonts w:ascii="Arial" w:hAnsi="Arial" w:cs="Arial" w:eastAsia="Arial" w:hint="default"/>
                <w:sz w:val="20"/>
                <w:szCs w:val="20"/>
              </w:rPr>
            </w:pPr>
            <w:r>
              <w:rPr>
                <w:rFonts w:ascii="Arial"/>
                <w:spacing w:val="-1"/>
                <w:sz w:val="20"/>
              </w:rPr>
              <w:t>(</w:t>
            </w:r>
            <w:r>
              <w:rPr>
                <w:rFonts w:ascii="Arial"/>
                <w:spacing w:val="-1"/>
                <w:sz w:val="20"/>
                <w:u w:val="thick" w:color="000000"/>
              </w:rPr>
              <w:t>14,748,779</w:t>
            </w:r>
            <w:r>
              <w:rPr>
                <w:rFonts w:ascii="Arial"/>
                <w:spacing w:val="-1"/>
                <w:sz w:val="20"/>
              </w:rPr>
            </w:r>
            <w:r>
              <w:rPr>
                <w:rFonts w:ascii="Arial"/>
                <w:sz w:val="20"/>
              </w:rPr>
            </w:r>
          </w:p>
        </w:tc>
        <w:tc>
          <w:tcPr>
            <w:tcW w:w="681" w:type="dxa"/>
            <w:tcBorders>
              <w:top w:val="nil" w:sz="6" w:space="0" w:color="auto"/>
              <w:left w:val="nil" w:sz="6" w:space="0" w:color="auto"/>
              <w:bottom w:val="nil" w:sz="6" w:space="0" w:color="auto"/>
              <w:right w:val="nil" w:sz="6" w:space="0" w:color="auto"/>
            </w:tcBorders>
          </w:tcPr>
          <w:p>
            <w:pPr>
              <w:pStyle w:val="TableParagraph"/>
              <w:tabs>
                <w:tab w:pos="379" w:val="left" w:leader="none"/>
                <w:tab w:pos="1281" w:val="left" w:leader="none"/>
              </w:tabs>
              <w:spacing w:line="240" w:lineRule="auto" w:before="130"/>
              <w:ind w:left="9" w:right="-601"/>
              <w:jc w:val="left"/>
              <w:rPr>
                <w:rFonts w:ascii="Arial" w:hAnsi="Arial" w:cs="Arial" w:eastAsia="Arial" w:hint="default"/>
                <w:sz w:val="20"/>
                <w:szCs w:val="20"/>
              </w:rPr>
            </w:pPr>
            <w:r>
              <w:rPr>
                <w:rFonts w:ascii="Arial"/>
                <w:sz w:val="20"/>
              </w:rPr>
              <w:t>)</w:t>
              <w:tab/>
            </w:r>
            <w:r>
              <w:rPr>
                <w:rFonts w:ascii="Arial"/>
                <w:w w:val="99"/>
                <w:sz w:val="20"/>
              </w:rPr>
            </w:r>
            <w:r>
              <w:rPr>
                <w:rFonts w:ascii="Arial"/>
                <w:w w:val="99"/>
                <w:sz w:val="20"/>
                <w:u w:val="double" w:color="000000"/>
              </w:rPr>
              <w:t> </w:t>
            </w:r>
            <w:r>
              <w:rPr>
                <w:rFonts w:ascii="Arial"/>
                <w:sz w:val="20"/>
                <w:u w:val="double" w:color="000000"/>
              </w:rPr>
              <w:tab/>
            </w:r>
            <w:r>
              <w:rPr>
                <w:rFonts w:ascii="Arial"/>
                <w:sz w:val="20"/>
              </w:rPr>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03"/>
              <w:jc w:val="right"/>
              <w:rPr>
                <w:rFonts w:ascii="Arial" w:hAnsi="Arial" w:cs="Arial" w:eastAsia="Arial" w:hint="default"/>
                <w:sz w:val="20"/>
                <w:szCs w:val="20"/>
              </w:rPr>
            </w:pPr>
            <w:r>
              <w:rPr>
                <w:rFonts w:ascii="Arial"/>
                <w:w w:val="99"/>
                <w:sz w:val="20"/>
              </w:rPr>
            </w:r>
            <w:r>
              <w:rPr>
                <w:rFonts w:ascii="Arial"/>
                <w:w w:val="99"/>
                <w:sz w:val="20"/>
                <w:u w:val="double" w:color="000000"/>
              </w:rPr>
              <w:t>-</w:t>
            </w:r>
            <w:r>
              <w:rPr>
                <w:rFonts w:ascii="Arial"/>
                <w:w w:val="99"/>
                <w:sz w:val="20"/>
              </w:rPr>
            </w:r>
            <w:r>
              <w:rPr>
                <w:rFonts w:ascii="Arial"/>
                <w:sz w:val="20"/>
              </w:rPr>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98"/>
              <w:jc w:val="right"/>
              <w:rPr>
                <w:rFonts w:ascii="Arial" w:hAnsi="Arial" w:cs="Arial" w:eastAsia="Arial" w:hint="default"/>
                <w:sz w:val="20"/>
                <w:szCs w:val="20"/>
              </w:rPr>
            </w:pPr>
            <w:r>
              <w:rPr>
                <w:rFonts w:ascii="Arial"/>
                <w:sz w:val="20"/>
              </w:rPr>
              <w:t>( </w:t>
            </w:r>
            <w:r>
              <w:rPr>
                <w:rFonts w:ascii="Arial"/>
                <w:spacing w:val="28"/>
                <w:sz w:val="20"/>
              </w:rPr>
              <w:t> </w:t>
            </w:r>
            <w:r>
              <w:rPr>
                <w:rFonts w:ascii="Arial"/>
                <w:spacing w:val="28"/>
                <w:sz w:val="20"/>
                <w:u w:val="double" w:color="000000"/>
              </w:rPr>
              <w:t> </w:t>
            </w:r>
            <w:r>
              <w:rPr>
                <w:rFonts w:ascii="Arial"/>
                <w:sz w:val="20"/>
                <w:u w:val="double" w:color="000000"/>
              </w:rPr>
              <w:t>71,945,927</w:t>
            </w:r>
            <w:r>
              <w:rPr>
                <w:rFonts w:ascii="Arial"/>
                <w:sz w:val="20"/>
              </w:rPr>
              <w:t>)</w:t>
            </w:r>
          </w:p>
        </w:tc>
      </w:tr>
      <w:tr>
        <w:trPr>
          <w:trHeight w:val="383" w:hRule="exact"/>
        </w:trPr>
        <w:tc>
          <w:tcPr>
            <w:tcW w:w="31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1"/>
              <w:ind w:left="200" w:right="0"/>
              <w:jc w:val="left"/>
              <w:rPr>
                <w:rFonts w:ascii="黑体" w:hAnsi="黑体" w:cs="黑体" w:eastAsia="黑体" w:hint="default"/>
                <w:sz w:val="20"/>
                <w:szCs w:val="20"/>
              </w:rPr>
            </w:pPr>
            <w:r>
              <w:rPr>
                <w:rFonts w:ascii="黑体" w:hAnsi="黑体" w:cs="黑体" w:eastAsia="黑体" w:hint="default"/>
                <w:sz w:val="20"/>
                <w:szCs w:val="20"/>
              </w:rPr>
              <w:t>账面净值及账面价值</w:t>
            </w:r>
          </w:p>
        </w:tc>
        <w:tc>
          <w:tcPr>
            <w:tcW w:w="325"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
        </w:tc>
        <w:tc>
          <w:tcPr>
            <w:tcW w:w="681"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
        </w:tc>
        <w:tc>
          <w:tcPr>
            <w:tcW w:w="1687" w:type="dxa"/>
            <w:tcBorders>
              <w:top w:val="nil" w:sz="6" w:space="0" w:color="auto"/>
              <w:left w:val="nil" w:sz="6" w:space="0" w:color="auto"/>
              <w:bottom w:val="nil" w:sz="6" w:space="0" w:color="auto"/>
              <w:right w:val="nil" w:sz="6" w:space="0" w:color="auto"/>
            </w:tcBorders>
          </w:tcPr>
          <w:p>
            <w:pPr/>
          </w:p>
        </w:tc>
      </w:tr>
      <w:tr>
        <w:trPr>
          <w:trHeight w:val="263" w:hRule="exact"/>
        </w:trPr>
        <w:tc>
          <w:tcPr>
            <w:tcW w:w="1582" w:type="dxa"/>
            <w:tcBorders>
              <w:top w:val="nil" w:sz="6" w:space="0" w:color="auto"/>
              <w:left w:val="nil" w:sz="6" w:space="0" w:color="auto"/>
              <w:bottom w:val="nil" w:sz="6" w:space="0" w:color="auto"/>
              <w:right w:val="nil" w:sz="6" w:space="0" w:color="auto"/>
            </w:tcBorders>
          </w:tcPr>
          <w:p>
            <w:pPr>
              <w:pStyle w:val="TableParagraph"/>
              <w:spacing w:line="229" w:lineRule="exact"/>
              <w:ind w:left="200" w:right="0"/>
              <w:jc w:val="left"/>
              <w:rPr>
                <w:rFonts w:ascii="黑体" w:hAnsi="黑体" w:cs="黑体" w:eastAsia="黑体" w:hint="default"/>
                <w:sz w:val="20"/>
                <w:szCs w:val="20"/>
              </w:rPr>
            </w:pPr>
            <w:r>
              <w:rPr>
                <w:rFonts w:ascii="黑体" w:hAnsi="黑体" w:cs="黑体" w:eastAsia="黑体" w:hint="default"/>
                <w:sz w:val="20"/>
                <w:szCs w:val="20"/>
              </w:rPr>
              <w:t>土地使用权</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
              <w:jc w:val="right"/>
              <w:rPr>
                <w:rFonts w:ascii="Arial" w:hAnsi="Arial" w:cs="Arial" w:eastAsia="Arial" w:hint="default"/>
                <w:sz w:val="20"/>
                <w:szCs w:val="20"/>
              </w:rPr>
            </w:pPr>
            <w:r>
              <w:rPr>
                <w:rFonts w:ascii="Arial"/>
                <w:spacing w:val="-1"/>
                <w:sz w:val="20"/>
              </w:rPr>
              <w:t>270,413,748</w:t>
            </w:r>
            <w:r>
              <w:rPr>
                <w:rFonts w:ascii="Arial"/>
                <w:sz w:val="20"/>
              </w:rPr>
            </w:r>
          </w:p>
        </w:tc>
        <w:tc>
          <w:tcPr>
            <w:tcW w:w="325"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7"/>
              <w:jc w:val="right"/>
              <w:rPr>
                <w:rFonts w:ascii="Arial" w:hAnsi="Arial" w:cs="Arial" w:eastAsia="Arial" w:hint="default"/>
                <w:sz w:val="20"/>
                <w:szCs w:val="20"/>
              </w:rPr>
            </w:pPr>
            <w:r>
              <w:rPr>
                <w:rFonts w:ascii="Arial"/>
                <w:sz w:val="20"/>
              </w:rPr>
              <w:t>( </w:t>
            </w:r>
            <w:r>
              <w:rPr>
                <w:rFonts w:ascii="Arial"/>
                <w:spacing w:val="13"/>
                <w:sz w:val="20"/>
              </w:rPr>
              <w:t> </w:t>
            </w:r>
            <w:r>
              <w:rPr>
                <w:rFonts w:ascii="Arial"/>
                <w:sz w:val="20"/>
              </w:rPr>
              <w:t>2,553,273</w:t>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6" w:right="0"/>
              <w:jc w:val="left"/>
              <w:rPr>
                <w:rFonts w:ascii="Arial" w:hAnsi="Arial" w:cs="Arial" w:eastAsia="Arial" w:hint="default"/>
                <w:sz w:val="20"/>
                <w:szCs w:val="20"/>
              </w:rPr>
            </w:pPr>
            <w:r>
              <w:rPr>
                <w:rFonts w:ascii="Arial"/>
                <w:w w:val="99"/>
                <w:sz w:val="20"/>
              </w:rPr>
              <w:t>)</w:t>
            </w:r>
            <w:r>
              <w:rPr>
                <w:rFonts w:ascii="Arial"/>
                <w:sz w:val="20"/>
              </w:rPr>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06"/>
              <w:jc w:val="right"/>
              <w:rPr>
                <w:rFonts w:ascii="Arial" w:hAnsi="Arial" w:cs="Arial" w:eastAsia="Arial" w:hint="default"/>
                <w:sz w:val="20"/>
                <w:szCs w:val="20"/>
              </w:rPr>
            </w:pPr>
            <w:r>
              <w:rPr>
                <w:rFonts w:ascii="Arial"/>
                <w:w w:val="99"/>
                <w:sz w:val="20"/>
              </w:rPr>
              <w:t>-</w:t>
            </w:r>
            <w:r>
              <w:rPr>
                <w:rFonts w:ascii="Arial"/>
                <w:sz w:val="20"/>
              </w:rPr>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8"/>
              <w:jc w:val="right"/>
              <w:rPr>
                <w:rFonts w:ascii="Arial" w:hAnsi="Arial" w:cs="Arial" w:eastAsia="Arial" w:hint="default"/>
                <w:sz w:val="20"/>
                <w:szCs w:val="20"/>
              </w:rPr>
            </w:pPr>
            <w:r>
              <w:rPr>
                <w:rFonts w:ascii="Arial"/>
                <w:spacing w:val="-1"/>
                <w:sz w:val="20"/>
              </w:rPr>
              <w:t>267,860,475</w:t>
            </w:r>
            <w:r>
              <w:rPr>
                <w:rFonts w:ascii="Arial"/>
                <w:sz w:val="20"/>
              </w:rPr>
            </w:r>
          </w:p>
        </w:tc>
      </w:tr>
      <w:tr>
        <w:trPr>
          <w:trHeight w:val="259" w:hRule="exact"/>
        </w:trPr>
        <w:tc>
          <w:tcPr>
            <w:tcW w:w="1582"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软件使用权</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
              <w:jc w:val="right"/>
              <w:rPr>
                <w:rFonts w:ascii="Arial" w:hAnsi="Arial" w:cs="Arial" w:eastAsia="Arial" w:hint="default"/>
                <w:sz w:val="20"/>
                <w:szCs w:val="20"/>
              </w:rPr>
            </w:pPr>
            <w:r>
              <w:rPr>
                <w:rFonts w:ascii="Arial"/>
                <w:spacing w:val="-1"/>
                <w:sz w:val="20"/>
              </w:rPr>
              <w:t>6,173,781</w:t>
            </w:r>
          </w:p>
        </w:tc>
        <w:tc>
          <w:tcPr>
            <w:tcW w:w="325"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tabs>
                <w:tab w:pos="568" w:val="left" w:leader="none"/>
              </w:tabs>
              <w:spacing w:line="240" w:lineRule="auto" w:before="7"/>
              <w:ind w:right="7"/>
              <w:jc w:val="right"/>
              <w:rPr>
                <w:rFonts w:ascii="Arial" w:hAnsi="Arial" w:cs="Arial" w:eastAsia="Arial" w:hint="default"/>
                <w:sz w:val="20"/>
                <w:szCs w:val="20"/>
              </w:rPr>
            </w:pPr>
            <w:r>
              <w:rPr>
                <w:rFonts w:ascii="Arial"/>
                <w:w w:val="95"/>
                <w:sz w:val="20"/>
              </w:rPr>
              <w:t>(</w:t>
              <w:tab/>
            </w:r>
            <w:r>
              <w:rPr>
                <w:rFonts w:ascii="Arial"/>
                <w:spacing w:val="-1"/>
                <w:w w:val="95"/>
                <w:sz w:val="20"/>
              </w:rPr>
              <w:t>4,196</w:t>
            </w:r>
            <w:r>
              <w:rPr>
                <w:rFonts w:ascii="Arial"/>
                <w:sz w:val="20"/>
              </w:rPr>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6" w:right="0"/>
              <w:jc w:val="left"/>
              <w:rPr>
                <w:rFonts w:ascii="Arial" w:hAnsi="Arial" w:cs="Arial" w:eastAsia="Arial" w:hint="default"/>
                <w:sz w:val="20"/>
                <w:szCs w:val="20"/>
              </w:rPr>
            </w:pPr>
            <w:r>
              <w:rPr>
                <w:rFonts w:ascii="Arial"/>
                <w:w w:val="99"/>
                <w:sz w:val="20"/>
              </w:rPr>
              <w:t>)</w:t>
            </w:r>
            <w:r>
              <w:rPr>
                <w:rFonts w:ascii="Arial"/>
                <w:sz w:val="20"/>
              </w:rPr>
            </w:r>
          </w:p>
        </w:tc>
        <w:tc>
          <w:tcPr>
            <w:tcW w:w="87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6"/>
              <w:jc w:val="right"/>
              <w:rPr>
                <w:rFonts w:ascii="Arial" w:hAnsi="Arial" w:cs="Arial" w:eastAsia="Arial" w:hint="default"/>
                <w:sz w:val="20"/>
                <w:szCs w:val="20"/>
              </w:rPr>
            </w:pPr>
            <w:r>
              <w:rPr>
                <w:rFonts w:ascii="Arial"/>
                <w:w w:val="99"/>
                <w:sz w:val="20"/>
              </w:rPr>
              <w:t>-</w:t>
            </w:r>
            <w:r>
              <w:rPr>
                <w:rFonts w:ascii="Arial"/>
                <w:sz w:val="20"/>
              </w:rPr>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spacing w:val="-1"/>
                <w:sz w:val="20"/>
              </w:rPr>
              <w:t>6,169,585</w:t>
            </w:r>
          </w:p>
        </w:tc>
      </w:tr>
      <w:tr>
        <w:trPr>
          <w:trHeight w:val="390" w:hRule="exact"/>
        </w:trPr>
        <w:tc>
          <w:tcPr>
            <w:tcW w:w="1582"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软件著作权</w:t>
            </w: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sz w:val="20"/>
                <w:u w:val="single" w:color="000000"/>
              </w:rPr>
              <w:t>20,816,382</w:t>
            </w:r>
            <w:r>
              <w:rPr>
                <w:rFonts w:ascii="Arial"/>
                <w:spacing w:val="-1"/>
                <w:sz w:val="20"/>
              </w:rPr>
            </w:r>
          </w:p>
        </w:tc>
        <w:tc>
          <w:tcPr>
            <w:tcW w:w="325"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8"/>
              <w:jc w:val="right"/>
              <w:rPr>
                <w:rFonts w:ascii="Arial" w:hAnsi="Arial" w:cs="Arial" w:eastAsia="Arial" w:hint="default"/>
                <w:sz w:val="20"/>
                <w:szCs w:val="20"/>
              </w:rPr>
            </w:pPr>
            <w:r>
              <w:rPr>
                <w:rFonts w:ascii="Arial"/>
                <w:w w:val="99"/>
                <w:sz w:val="20"/>
              </w:rPr>
            </w:r>
            <w:r>
              <w:rPr>
                <w:rFonts w:ascii="Arial"/>
                <w:spacing w:val="-1"/>
                <w:sz w:val="20"/>
                <w:u w:val="single" w:color="000000"/>
              </w:rPr>
              <w:t>13,657,860</w:t>
            </w:r>
            <w:r>
              <w:rPr>
                <w:rFonts w:ascii="Arial"/>
                <w:spacing w:val="-1"/>
                <w:sz w:val="20"/>
              </w:rPr>
            </w:r>
            <w:r>
              <w:rPr>
                <w:rFonts w:ascii="Arial"/>
                <w:sz w:val="20"/>
              </w:rPr>
            </w:r>
          </w:p>
        </w:tc>
        <w:tc>
          <w:tcPr>
            <w:tcW w:w="681"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Style w:val="TableParagraph"/>
              <w:tabs>
                <w:tab w:pos="600" w:val="left" w:leader="none"/>
              </w:tabs>
              <w:spacing w:line="240" w:lineRule="auto" w:before="10"/>
              <w:ind w:left="-302" w:right="203"/>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sz w:val="20"/>
                <w:u w:val="single" w:color="000000"/>
              </w:rPr>
              <w:t>34,474,242</w:t>
            </w:r>
            <w:r>
              <w:rPr>
                <w:rFonts w:ascii="Arial"/>
                <w:spacing w:val="-1"/>
                <w:sz w:val="20"/>
              </w:rPr>
            </w:r>
          </w:p>
        </w:tc>
      </w:tr>
      <w:tr>
        <w:trPr>
          <w:trHeight w:val="354" w:hRule="exact"/>
        </w:trPr>
        <w:tc>
          <w:tcPr>
            <w:tcW w:w="1582" w:type="dxa"/>
            <w:tcBorders>
              <w:top w:val="nil" w:sz="6" w:space="0" w:color="auto"/>
              <w:left w:val="nil" w:sz="6" w:space="0" w:color="auto"/>
              <w:bottom w:val="nil" w:sz="6" w:space="0" w:color="auto"/>
              <w:right w:val="nil" w:sz="6" w:space="0" w:color="auto"/>
            </w:tcBorders>
          </w:tcPr>
          <w:p>
            <w:pPr/>
          </w:p>
        </w:tc>
        <w:tc>
          <w:tcPr>
            <w:tcW w:w="15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9"/>
              <w:jc w:val="right"/>
              <w:rPr>
                <w:rFonts w:ascii="Arial" w:hAnsi="Arial" w:cs="Arial" w:eastAsia="Arial" w:hint="default"/>
                <w:sz w:val="20"/>
                <w:szCs w:val="20"/>
              </w:rPr>
            </w:pPr>
            <w:r>
              <w:rPr>
                <w:rFonts w:ascii="Arial"/>
                <w:w w:val="99"/>
                <w:sz w:val="20"/>
              </w:rPr>
            </w:r>
            <w:r>
              <w:rPr>
                <w:rFonts w:ascii="Arial"/>
                <w:spacing w:val="-1"/>
                <w:sz w:val="20"/>
                <w:u w:val="thick" w:color="000000"/>
              </w:rPr>
              <w:t>297,403,911</w:t>
            </w:r>
            <w:r>
              <w:rPr>
                <w:rFonts w:ascii="Arial"/>
                <w:spacing w:val="-1"/>
                <w:sz w:val="20"/>
              </w:rPr>
            </w:r>
            <w:r>
              <w:rPr>
                <w:rFonts w:ascii="Arial"/>
                <w:sz w:val="20"/>
              </w:rPr>
            </w:r>
          </w:p>
        </w:tc>
        <w:tc>
          <w:tcPr>
            <w:tcW w:w="325"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8"/>
              <w:jc w:val="right"/>
              <w:rPr>
                <w:rFonts w:ascii="Arial" w:hAnsi="Arial" w:cs="Arial" w:eastAsia="Arial" w:hint="default"/>
                <w:sz w:val="20"/>
                <w:szCs w:val="20"/>
              </w:rPr>
            </w:pPr>
            <w:r>
              <w:rPr>
                <w:rFonts w:ascii="Arial"/>
                <w:w w:val="99"/>
                <w:sz w:val="20"/>
              </w:rPr>
            </w:r>
            <w:r>
              <w:rPr>
                <w:rFonts w:ascii="Arial"/>
                <w:spacing w:val="-1"/>
                <w:sz w:val="20"/>
                <w:u w:val="thick" w:color="000000"/>
              </w:rPr>
              <w:t>11,100,391</w:t>
            </w:r>
            <w:r>
              <w:rPr>
                <w:rFonts w:ascii="Arial"/>
                <w:spacing w:val="-1"/>
                <w:sz w:val="20"/>
              </w:rPr>
            </w:r>
            <w:r>
              <w:rPr>
                <w:rFonts w:ascii="Arial"/>
                <w:sz w:val="20"/>
              </w:rPr>
            </w:r>
          </w:p>
        </w:tc>
        <w:tc>
          <w:tcPr>
            <w:tcW w:w="681" w:type="dxa"/>
            <w:tcBorders>
              <w:top w:val="nil" w:sz="6" w:space="0" w:color="auto"/>
              <w:left w:val="nil" w:sz="6" w:space="0" w:color="auto"/>
              <w:bottom w:val="nil" w:sz="6" w:space="0" w:color="auto"/>
              <w:right w:val="nil" w:sz="6" w:space="0" w:color="auto"/>
            </w:tcBorders>
          </w:tcPr>
          <w:p>
            <w:pPr/>
          </w:p>
        </w:tc>
        <w:tc>
          <w:tcPr>
            <w:tcW w:w="872" w:type="dxa"/>
            <w:tcBorders>
              <w:top w:val="nil" w:sz="6" w:space="0" w:color="auto"/>
              <w:left w:val="nil" w:sz="6" w:space="0" w:color="auto"/>
              <w:bottom w:val="nil" w:sz="6" w:space="0" w:color="auto"/>
              <w:right w:val="nil" w:sz="6" w:space="0" w:color="auto"/>
            </w:tcBorders>
          </w:tcPr>
          <w:p>
            <w:pPr>
              <w:pStyle w:val="TableParagraph"/>
              <w:tabs>
                <w:tab w:pos="600" w:val="left" w:leader="none"/>
              </w:tabs>
              <w:spacing w:line="240" w:lineRule="auto" w:before="128"/>
              <w:ind w:left="-302" w:right="203"/>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w w:val="95"/>
                <w:sz w:val="20"/>
                <w:u w:val="thick" w:color="000000"/>
              </w:rPr>
              <w:t>-</w:t>
            </w:r>
            <w:r>
              <w:rPr>
                <w:rFonts w:ascii="Arial"/>
                <w:w w:val="95"/>
                <w:sz w:val="20"/>
              </w:rPr>
            </w:r>
            <w:r>
              <w:rPr>
                <w:rFonts w:ascii="Arial"/>
                <w:sz w:val="20"/>
              </w:rPr>
            </w:r>
          </w:p>
        </w:tc>
        <w:tc>
          <w:tcPr>
            <w:tcW w:w="1687"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308,504,302</w:t>
            </w:r>
            <w:r>
              <w:rPr>
                <w:rFonts w:ascii="Arial"/>
                <w:spacing w:val="-1"/>
                <w:sz w:val="20"/>
              </w:rPr>
            </w:r>
            <w:r>
              <w:rPr>
                <w:rFonts w:ascii="Arial"/>
                <w:sz w:val="20"/>
              </w:rPr>
            </w:r>
          </w:p>
        </w:tc>
      </w:tr>
    </w:tbl>
    <w:p>
      <w:pPr>
        <w:spacing w:line="240" w:lineRule="auto" w:before="11"/>
        <w:rPr>
          <w:rFonts w:ascii="黑体" w:hAnsi="黑体" w:cs="黑体" w:eastAsia="黑体" w:hint="default"/>
          <w:sz w:val="13"/>
          <w:szCs w:val="13"/>
        </w:rPr>
      </w:pPr>
    </w:p>
    <w:p>
      <w:pPr>
        <w:pStyle w:val="BodyText"/>
        <w:tabs>
          <w:tab w:pos="1642" w:val="left" w:leader="none"/>
        </w:tabs>
        <w:spacing w:line="417" w:lineRule="auto" w:before="37"/>
        <w:ind w:left="802" w:right="889" w:firstLine="19"/>
        <w:jc w:val="left"/>
      </w:pPr>
      <w:r>
        <w:rPr>
          <w:spacing w:val="-1"/>
          <w:w w:val="95"/>
        </w:rPr>
        <w:t>注</w:t>
      </w:r>
      <w:r>
        <w:rPr>
          <w:rFonts w:ascii="Arial" w:hAnsi="Arial" w:cs="Arial" w:eastAsia="Arial" w:hint="default"/>
          <w:spacing w:val="-1"/>
          <w:w w:val="95"/>
        </w:rPr>
        <w:t>1</w:t>
      </w:r>
      <w:r>
        <w:rPr>
          <w:spacing w:val="-1"/>
          <w:w w:val="95"/>
        </w:rPr>
        <w:t>．</w:t>
        <w:tab/>
      </w:r>
      <w:r>
        <w:rPr/>
        <w:t>参见附注五、</w:t>
      </w:r>
      <w:r>
        <w:rPr>
          <w:rFonts w:ascii="Arial" w:hAnsi="Arial" w:cs="Arial" w:eastAsia="Arial" w:hint="default"/>
        </w:rPr>
        <w:t>12</w:t>
      </w:r>
      <w:r>
        <w:rPr/>
        <w:t>。</w:t>
      </w:r>
      <w:r>
        <w:rPr>
          <w:w w:val="99"/>
        </w:rPr>
        <w:t> </w:t>
      </w:r>
      <w:r>
        <w:rPr>
          <w:w w:val="95"/>
        </w:rPr>
        <w:t>于</w:t>
      </w:r>
      <w:r>
        <w:rPr>
          <w:rFonts w:ascii="Arial" w:hAnsi="Arial" w:cs="Arial" w:eastAsia="Arial" w:hint="default"/>
          <w:w w:val="95"/>
        </w:rPr>
        <w:t>2012</w:t>
      </w:r>
      <w:r>
        <w:rPr>
          <w:w w:val="95"/>
        </w:rPr>
        <w:t>年</w:t>
      </w:r>
      <w:r>
        <w:rPr>
          <w:rFonts w:ascii="Arial" w:hAnsi="Arial" w:cs="Arial" w:eastAsia="Arial" w:hint="default"/>
          <w:w w:val="95"/>
        </w:rPr>
        <w:t>12</w:t>
      </w:r>
      <w:r>
        <w:rPr>
          <w:w w:val="95"/>
        </w:rPr>
        <w:t>月</w:t>
      </w:r>
      <w:r>
        <w:rPr>
          <w:rFonts w:ascii="Arial" w:hAnsi="Arial" w:cs="Arial" w:eastAsia="Arial" w:hint="default"/>
          <w:w w:val="95"/>
        </w:rPr>
        <w:t>31</w:t>
      </w:r>
      <w:r>
        <w:rPr>
          <w:w w:val="95"/>
        </w:rPr>
        <w:t>日，本公司无形资产所有权受限制的情况详见附注五、</w:t>
      </w:r>
      <w:r>
        <w:rPr>
          <w:rFonts w:ascii="Arial" w:hAnsi="Arial" w:cs="Arial" w:eastAsia="Arial" w:hint="default"/>
          <w:w w:val="95"/>
        </w:rPr>
        <w:t>12</w:t>
      </w:r>
      <w:r>
        <w:rPr>
          <w:w w:val="95"/>
        </w:rPr>
        <w:t>和</w:t>
      </w:r>
      <w:r>
        <w:rPr>
          <w:rFonts w:ascii="Arial" w:hAnsi="Arial" w:cs="Arial" w:eastAsia="Arial" w:hint="default"/>
          <w:w w:val="95"/>
        </w:rPr>
        <w:t>28</w:t>
      </w:r>
      <w:r>
        <w:rPr>
          <w:w w:val="95"/>
        </w:rPr>
        <w:t>。</w:t>
      </w:r>
      <w:r>
        <w:rPr/>
      </w:r>
    </w:p>
    <w:p>
      <w:pPr>
        <w:tabs>
          <w:tab w:pos="819" w:val="left" w:leader="none"/>
        </w:tabs>
        <w:spacing w:line="432" w:lineRule="auto" w:before="74"/>
        <w:ind w:left="814" w:right="6212" w:hanging="713"/>
        <w:jc w:val="left"/>
        <w:rPr>
          <w:rFonts w:ascii="黑体" w:hAnsi="黑体" w:cs="黑体" w:eastAsia="黑体" w:hint="default"/>
          <w:sz w:val="20"/>
          <w:szCs w:val="20"/>
        </w:rPr>
      </w:pPr>
      <w:r>
        <w:rPr/>
        <w:pict>
          <v:shape style="position:absolute;margin-left:115.879997pt;margin-top:67.300308pt;width:399pt;height:53.9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92"/>
                    <w:gridCol w:w="745"/>
                    <w:gridCol w:w="1524"/>
                    <w:gridCol w:w="1102"/>
                    <w:gridCol w:w="1024"/>
                    <w:gridCol w:w="1791"/>
                  </w:tblGrid>
                  <w:tr>
                    <w:trPr>
                      <w:trHeight w:val="219" w:hRule="exact"/>
                    </w:trPr>
                    <w:tc>
                      <w:tcPr>
                        <w:tcW w:w="1792" w:type="dxa"/>
                        <w:tcBorders>
                          <w:top w:val="nil" w:sz="6" w:space="0" w:color="auto"/>
                          <w:left w:val="nil" w:sz="6" w:space="0" w:color="auto"/>
                          <w:bottom w:val="nil" w:sz="6" w:space="0" w:color="auto"/>
                          <w:right w:val="nil" w:sz="6" w:space="0" w:color="auto"/>
                        </w:tcBorders>
                      </w:tcPr>
                      <w:p>
                        <w:pPr/>
                      </w:p>
                    </w:tc>
                    <w:tc>
                      <w:tcPr>
                        <w:tcW w:w="745" w:type="dxa"/>
                        <w:tcBorders>
                          <w:top w:val="nil" w:sz="6" w:space="0" w:color="auto"/>
                          <w:left w:val="nil" w:sz="6" w:space="0" w:color="auto"/>
                          <w:bottom w:val="nil" w:sz="6" w:space="0" w:color="auto"/>
                          <w:right w:val="nil" w:sz="6" w:space="0" w:color="auto"/>
                        </w:tcBorders>
                      </w:tcPr>
                      <w:p>
                        <w:pPr>
                          <w:pStyle w:val="TableParagraph"/>
                          <w:spacing w:line="199" w:lineRule="exact"/>
                          <w:ind w:left="-30" w:right="175"/>
                          <w:jc w:val="right"/>
                          <w:rPr>
                            <w:rFonts w:ascii="黑体" w:hAnsi="黑体" w:cs="黑体" w:eastAsia="黑体" w:hint="default"/>
                            <w:sz w:val="20"/>
                            <w:szCs w:val="20"/>
                          </w:rPr>
                        </w:pPr>
                        <w:r>
                          <w:rPr>
                            <w:rFonts w:ascii="黑体" w:hAnsi="黑体" w:cs="黑体" w:eastAsia="黑体" w:hint="default"/>
                            <w:w w:val="95"/>
                            <w:sz w:val="20"/>
                            <w:szCs w:val="20"/>
                          </w:rPr>
                          <w:t>年初数</w:t>
                        </w:r>
                        <w:r>
                          <w:rPr>
                            <w:rFonts w:ascii="黑体" w:hAnsi="黑体" w:cs="黑体" w:eastAsia="黑体" w:hint="default"/>
                            <w:sz w:val="20"/>
                            <w:szCs w:val="20"/>
                          </w:rPr>
                        </w:r>
                      </w:p>
                    </w:tc>
                    <w:tc>
                      <w:tcPr>
                        <w:tcW w:w="1524" w:type="dxa"/>
                        <w:tcBorders>
                          <w:top w:val="nil" w:sz="6" w:space="0" w:color="auto"/>
                          <w:left w:val="nil" w:sz="6" w:space="0" w:color="auto"/>
                          <w:bottom w:val="nil" w:sz="6" w:space="0" w:color="auto"/>
                          <w:right w:val="nil" w:sz="6" w:space="0" w:color="auto"/>
                        </w:tcBorders>
                      </w:tcPr>
                      <w:p>
                        <w:pPr>
                          <w:pStyle w:val="TableParagraph"/>
                          <w:spacing w:line="199" w:lineRule="exact"/>
                          <w:ind w:right="263"/>
                          <w:jc w:val="center"/>
                          <w:rPr>
                            <w:rFonts w:ascii="黑体" w:hAnsi="黑体" w:cs="黑体" w:eastAsia="黑体" w:hint="default"/>
                            <w:sz w:val="20"/>
                            <w:szCs w:val="20"/>
                          </w:rPr>
                        </w:pPr>
                        <w:r>
                          <w:rPr>
                            <w:rFonts w:ascii="黑体" w:hAnsi="黑体" w:cs="黑体" w:eastAsia="黑体" w:hint="default"/>
                            <w:sz w:val="20"/>
                            <w:szCs w:val="20"/>
                          </w:rPr>
                          <w:t>本年增加</w:t>
                        </w:r>
                      </w:p>
                    </w:tc>
                    <w:tc>
                      <w:tcPr>
                        <w:tcW w:w="2126" w:type="dxa"/>
                        <w:gridSpan w:val="2"/>
                        <w:tcBorders>
                          <w:top w:val="nil" w:sz="6" w:space="0" w:color="auto"/>
                          <w:left w:val="nil" w:sz="6" w:space="0" w:color="auto"/>
                          <w:bottom w:val="single" w:sz="4" w:space="0" w:color="000000"/>
                          <w:right w:val="nil" w:sz="6" w:space="0" w:color="auto"/>
                        </w:tcBorders>
                      </w:tcPr>
                      <w:p>
                        <w:pPr>
                          <w:pStyle w:val="TableParagraph"/>
                          <w:spacing w:line="199" w:lineRule="exact"/>
                          <w:ind w:left="619" w:right="0"/>
                          <w:jc w:val="left"/>
                          <w:rPr>
                            <w:rFonts w:ascii="黑体" w:hAnsi="黑体" w:cs="黑体" w:eastAsia="黑体" w:hint="default"/>
                            <w:sz w:val="20"/>
                            <w:szCs w:val="20"/>
                          </w:rPr>
                        </w:pPr>
                        <w:r>
                          <w:rPr>
                            <w:rFonts w:ascii="黑体" w:hAnsi="黑体" w:cs="黑体" w:eastAsia="黑体" w:hint="default"/>
                            <w:sz w:val="20"/>
                            <w:szCs w:val="20"/>
                          </w:rPr>
                          <w:t>本年减少</w:t>
                        </w:r>
                      </w:p>
                    </w:tc>
                    <w:tc>
                      <w:tcPr>
                        <w:tcW w:w="1791" w:type="dxa"/>
                        <w:tcBorders>
                          <w:top w:val="nil" w:sz="6" w:space="0" w:color="auto"/>
                          <w:left w:val="nil" w:sz="6" w:space="0" w:color="auto"/>
                          <w:bottom w:val="nil" w:sz="6" w:space="0" w:color="auto"/>
                          <w:right w:val="nil" w:sz="6" w:space="0" w:color="auto"/>
                        </w:tcBorders>
                      </w:tcPr>
                      <w:p>
                        <w:pPr>
                          <w:pStyle w:val="TableParagraph"/>
                          <w:spacing w:line="199" w:lineRule="exact"/>
                          <w:ind w:right="199"/>
                          <w:jc w:val="right"/>
                          <w:rPr>
                            <w:rFonts w:ascii="黑体" w:hAnsi="黑体" w:cs="黑体" w:eastAsia="黑体" w:hint="default"/>
                            <w:sz w:val="20"/>
                            <w:szCs w:val="20"/>
                          </w:rPr>
                        </w:pPr>
                        <w:r>
                          <w:rPr>
                            <w:rFonts w:ascii="黑体" w:hAnsi="黑体" w:cs="黑体" w:eastAsia="黑体" w:hint="default"/>
                            <w:w w:val="95"/>
                            <w:sz w:val="20"/>
                            <w:szCs w:val="20"/>
                          </w:rPr>
                          <w:t>年末数</w:t>
                        </w:r>
                        <w:r>
                          <w:rPr>
                            <w:rFonts w:ascii="黑体" w:hAnsi="黑体" w:cs="黑体" w:eastAsia="黑体" w:hint="default"/>
                            <w:sz w:val="20"/>
                            <w:szCs w:val="20"/>
                          </w:rPr>
                        </w:r>
                      </w:p>
                    </w:tc>
                  </w:tr>
                  <w:tr>
                    <w:trPr>
                      <w:trHeight w:val="539" w:hRule="exact"/>
                    </w:trPr>
                    <w:tc>
                      <w:tcPr>
                        <w:tcW w:w="1792" w:type="dxa"/>
                        <w:tcBorders>
                          <w:top w:val="nil" w:sz="6" w:space="0" w:color="auto"/>
                          <w:left w:val="nil" w:sz="6" w:space="0" w:color="auto"/>
                          <w:bottom w:val="nil" w:sz="6" w:space="0" w:color="auto"/>
                          <w:right w:val="nil" w:sz="6" w:space="0" w:color="auto"/>
                        </w:tcBorders>
                      </w:tcPr>
                      <w:p>
                        <w:pPr/>
                      </w:p>
                    </w:tc>
                    <w:tc>
                      <w:tcPr>
                        <w:tcW w:w="745" w:type="dxa"/>
                        <w:tcBorders>
                          <w:top w:val="nil" w:sz="6" w:space="0" w:color="auto"/>
                          <w:left w:val="nil" w:sz="6" w:space="0" w:color="auto"/>
                          <w:bottom w:val="nil" w:sz="6" w:space="0" w:color="auto"/>
                          <w:right w:val="nil" w:sz="6" w:space="0" w:color="auto"/>
                        </w:tcBorders>
                      </w:tcPr>
                      <w:p>
                        <w:pPr/>
                      </w:p>
                    </w:tc>
                    <w:tc>
                      <w:tcPr>
                        <w:tcW w:w="2627" w:type="dxa"/>
                        <w:gridSpan w:val="2"/>
                        <w:tcBorders>
                          <w:top w:val="nil" w:sz="6" w:space="0" w:color="auto"/>
                          <w:left w:val="nil" w:sz="6" w:space="0" w:color="auto"/>
                          <w:bottom w:val="nil" w:sz="6" w:space="0" w:color="auto"/>
                          <w:right w:val="nil" w:sz="6" w:space="0" w:color="auto"/>
                        </w:tcBorders>
                      </w:tcPr>
                      <w:p>
                        <w:pPr>
                          <w:pStyle w:val="TableParagraph"/>
                          <w:spacing w:line="218" w:lineRule="exact" w:before="8"/>
                          <w:ind w:left="1776" w:right="250" w:hanging="200"/>
                          <w:jc w:val="left"/>
                          <w:rPr>
                            <w:rFonts w:ascii="黑体" w:hAnsi="黑体" w:cs="黑体" w:eastAsia="黑体" w:hint="default"/>
                            <w:sz w:val="20"/>
                            <w:szCs w:val="20"/>
                          </w:rPr>
                        </w:pPr>
                        <w:r>
                          <w:rPr>
                            <w:rFonts w:ascii="黑体" w:hAnsi="黑体" w:cs="黑体" w:eastAsia="黑体" w:hint="default"/>
                            <w:w w:val="95"/>
                            <w:sz w:val="20"/>
                            <w:szCs w:val="20"/>
                          </w:rPr>
                          <w:t>计入当期</w:t>
                        </w:r>
                        <w:r>
                          <w:rPr>
                            <w:rFonts w:ascii="黑体" w:hAnsi="黑体" w:cs="黑体" w:eastAsia="黑体" w:hint="default"/>
                            <w:spacing w:val="-59"/>
                            <w:w w:val="95"/>
                            <w:sz w:val="20"/>
                            <w:szCs w:val="20"/>
                          </w:rPr>
                          <w:t> </w:t>
                        </w:r>
                        <w:r>
                          <w:rPr>
                            <w:rFonts w:ascii="黑体" w:hAnsi="黑体" w:cs="黑体" w:eastAsia="黑体" w:hint="default"/>
                            <w:sz w:val="20"/>
                            <w:szCs w:val="20"/>
                          </w:rPr>
                          <w:t>损益</w:t>
                        </w:r>
                      </w:p>
                    </w:tc>
                    <w:tc>
                      <w:tcPr>
                        <w:tcW w:w="1024" w:type="dxa"/>
                        <w:tcBorders>
                          <w:top w:val="single" w:sz="4" w:space="0" w:color="000000"/>
                          <w:left w:val="nil" w:sz="6" w:space="0" w:color="auto"/>
                          <w:bottom w:val="nil" w:sz="6" w:space="0" w:color="auto"/>
                          <w:right w:val="nil" w:sz="6" w:space="0" w:color="auto"/>
                        </w:tcBorders>
                      </w:tcPr>
                      <w:p>
                        <w:pPr>
                          <w:pStyle w:val="TableParagraph"/>
                          <w:spacing w:line="218" w:lineRule="exact" w:before="3"/>
                          <w:ind w:left="392" w:right="31" w:hanging="200"/>
                          <w:jc w:val="left"/>
                          <w:rPr>
                            <w:rFonts w:ascii="黑体" w:hAnsi="黑体" w:cs="黑体" w:eastAsia="黑体" w:hint="default"/>
                            <w:sz w:val="20"/>
                            <w:szCs w:val="20"/>
                          </w:rPr>
                        </w:pPr>
                        <w:r>
                          <w:rPr>
                            <w:rFonts w:ascii="黑体" w:hAnsi="黑体" w:cs="黑体" w:eastAsia="黑体" w:hint="default"/>
                            <w:w w:val="95"/>
                            <w:sz w:val="20"/>
                            <w:szCs w:val="20"/>
                          </w:rPr>
                          <w:t>确认无形</w:t>
                        </w:r>
                        <w:r>
                          <w:rPr>
                            <w:rFonts w:ascii="黑体" w:hAnsi="黑体" w:cs="黑体" w:eastAsia="黑体" w:hint="default"/>
                            <w:spacing w:val="-59"/>
                            <w:w w:val="95"/>
                            <w:sz w:val="20"/>
                            <w:szCs w:val="20"/>
                          </w:rPr>
                          <w:t> </w:t>
                        </w:r>
                        <w:r>
                          <w:rPr>
                            <w:rFonts w:ascii="黑体" w:hAnsi="黑体" w:cs="黑体" w:eastAsia="黑体" w:hint="default"/>
                            <w:sz w:val="20"/>
                            <w:szCs w:val="20"/>
                          </w:rPr>
                          <w:t>资产</w:t>
                        </w:r>
                      </w:p>
                    </w:tc>
                    <w:tc>
                      <w:tcPr>
                        <w:tcW w:w="1791" w:type="dxa"/>
                        <w:tcBorders>
                          <w:top w:val="nil" w:sz="6" w:space="0" w:color="auto"/>
                          <w:left w:val="nil" w:sz="6" w:space="0" w:color="auto"/>
                          <w:bottom w:val="nil" w:sz="6" w:space="0" w:color="auto"/>
                          <w:right w:val="nil" w:sz="6" w:space="0" w:color="auto"/>
                        </w:tcBorders>
                      </w:tcPr>
                      <w:p>
                        <w:pPr/>
                      </w:p>
                    </w:tc>
                  </w:tr>
                  <w:tr>
                    <w:trPr>
                      <w:trHeight w:val="319" w:hRule="exact"/>
                    </w:trPr>
                    <w:tc>
                      <w:tcPr>
                        <w:tcW w:w="1792" w:type="dxa"/>
                        <w:tcBorders>
                          <w:top w:val="nil" w:sz="6" w:space="0" w:color="auto"/>
                          <w:left w:val="nil" w:sz="6" w:space="0" w:color="auto"/>
                          <w:bottom w:val="nil" w:sz="6" w:space="0" w:color="auto"/>
                          <w:right w:val="nil" w:sz="6" w:space="0" w:color="auto"/>
                        </w:tcBorders>
                      </w:tcPr>
                      <w:p>
                        <w:pPr>
                          <w:pStyle w:val="TableParagraph"/>
                          <w:tabs>
                            <w:tab w:pos="1596" w:val="left" w:leader="none"/>
                            <w:tab w:pos="2297" w:val="left" w:leader="none"/>
                          </w:tabs>
                          <w:spacing w:line="240" w:lineRule="auto" w:before="48"/>
                          <w:ind w:left="200" w:right="-506"/>
                          <w:jc w:val="left"/>
                          <w:rPr>
                            <w:rFonts w:ascii="Arial" w:hAnsi="Arial" w:cs="Arial" w:eastAsia="Arial" w:hint="default"/>
                            <w:sz w:val="20"/>
                            <w:szCs w:val="20"/>
                          </w:rPr>
                        </w:pPr>
                        <w:r>
                          <w:rPr>
                            <w:rFonts w:ascii="Arial" w:hAnsi="Arial" w:cs="Arial" w:eastAsia="Arial" w:hint="default"/>
                            <w:sz w:val="20"/>
                            <w:szCs w:val="20"/>
                          </w:rPr>
                          <w:t>PaaS</w:t>
                        </w:r>
                        <w:r>
                          <w:rPr>
                            <w:rFonts w:ascii="黑体" w:hAnsi="黑体" w:cs="黑体" w:eastAsia="黑体" w:hint="default"/>
                            <w:sz w:val="20"/>
                            <w:szCs w:val="20"/>
                          </w:rPr>
                          <w:t>云平台</w:t>
                          <w:tab/>
                        </w:r>
                        <w:r>
                          <w:rPr>
                            <w:rFonts w:ascii="Arial" w:hAnsi="Arial" w:cs="Arial" w:eastAsia="Arial" w:hint="default"/>
                            <w:w w:val="99"/>
                            <w:sz w:val="20"/>
                            <w:szCs w:val="20"/>
                          </w:rPr>
                        </w:r>
                        <w:r>
                          <w:rPr>
                            <w:rFonts w:ascii="Arial" w:hAnsi="Arial" w:cs="Arial" w:eastAsia="Arial" w:hint="default"/>
                            <w:w w:val="99"/>
                            <w:sz w:val="20"/>
                            <w:szCs w:val="20"/>
                            <w:u w:val="thick" w:color="000000"/>
                          </w:rPr>
                          <w:t> </w:t>
                        </w:r>
                        <w:r>
                          <w:rPr>
                            <w:rFonts w:ascii="Arial" w:hAnsi="Arial" w:cs="Arial" w:eastAsia="Arial" w:hint="default"/>
                            <w:sz w:val="20"/>
                            <w:szCs w:val="20"/>
                            <w:u w:val="thick" w:color="000000"/>
                          </w:rPr>
                          <w:tab/>
                        </w:r>
                        <w:r>
                          <w:rPr>
                            <w:rFonts w:ascii="Arial" w:hAnsi="Arial" w:cs="Arial" w:eastAsia="Arial" w:hint="default"/>
                            <w:sz w:val="20"/>
                            <w:szCs w:val="20"/>
                          </w:rPr>
                        </w:r>
                      </w:p>
                    </w:tc>
                    <w:tc>
                      <w:tcPr>
                        <w:tcW w:w="745"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71"/>
                          <w:jc w:val="right"/>
                          <w:rPr>
                            <w:rFonts w:ascii="Arial" w:hAnsi="Arial" w:cs="Arial" w:eastAsia="Arial" w:hint="default"/>
                            <w:sz w:val="20"/>
                            <w:szCs w:val="20"/>
                          </w:rPr>
                        </w:pPr>
                        <w:r>
                          <w:rPr>
                            <w:rFonts w:ascii="Arial"/>
                            <w:w w:val="99"/>
                            <w:sz w:val="20"/>
                          </w:rPr>
                        </w:r>
                        <w:r>
                          <w:rPr>
                            <w:rFonts w:ascii="Arial"/>
                            <w:w w:val="99"/>
                            <w:sz w:val="20"/>
                            <w:u w:val="thick" w:color="000000"/>
                          </w:rPr>
                          <w:t>-</w:t>
                        </w:r>
                        <w:r>
                          <w:rPr>
                            <w:rFonts w:ascii="Arial"/>
                            <w:w w:val="99"/>
                            <w:sz w:val="20"/>
                          </w:rPr>
                        </w:r>
                        <w:r>
                          <w:rPr>
                            <w:rFonts w:ascii="Arial"/>
                            <w:sz w:val="20"/>
                          </w:rPr>
                        </w:r>
                      </w:p>
                    </w:tc>
                    <w:tc>
                      <w:tcPr>
                        <w:tcW w:w="152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77"/>
                          <w:jc w:val="center"/>
                          <w:rPr>
                            <w:rFonts w:ascii="Arial" w:hAnsi="Arial" w:cs="Arial" w:eastAsia="Arial" w:hint="default"/>
                            <w:sz w:val="20"/>
                            <w:szCs w:val="20"/>
                          </w:rPr>
                        </w:pPr>
                        <w:r>
                          <w:rPr>
                            <w:rFonts w:ascii="Arial"/>
                            <w:w w:val="99"/>
                            <w:sz w:val="20"/>
                          </w:rPr>
                        </w:r>
                        <w:r>
                          <w:rPr>
                            <w:rFonts w:ascii="Arial"/>
                            <w:sz w:val="20"/>
                            <w:u w:val="thick" w:color="000000"/>
                          </w:rPr>
                          <w:t>19,824,563</w:t>
                        </w:r>
                        <w:r>
                          <w:rPr>
                            <w:rFonts w:ascii="Arial"/>
                            <w:sz w:val="20"/>
                          </w:rPr>
                        </w:r>
                      </w:p>
                    </w:tc>
                    <w:tc>
                      <w:tcPr>
                        <w:tcW w:w="1102" w:type="dxa"/>
                        <w:tcBorders>
                          <w:top w:val="nil" w:sz="6" w:space="0" w:color="auto"/>
                          <w:left w:val="nil" w:sz="6" w:space="0" w:color="auto"/>
                          <w:bottom w:val="nil" w:sz="6" w:space="0" w:color="auto"/>
                          <w:right w:val="nil" w:sz="6" w:space="0" w:color="auto"/>
                        </w:tcBorders>
                      </w:tcPr>
                      <w:p>
                        <w:pPr>
                          <w:pStyle w:val="TableParagraph"/>
                          <w:tabs>
                            <w:tab w:pos="842" w:val="left" w:leader="none"/>
                          </w:tabs>
                          <w:spacing w:line="240" w:lineRule="auto" w:before="94"/>
                          <w:ind w:left="40" w:right="0"/>
                          <w:jc w:val="lef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t>-</w:t>
                        </w:r>
                        <w:r>
                          <w:rPr>
                            <w:rFonts w:ascii="Arial"/>
                            <w:sz w:val="20"/>
                          </w:rPr>
                        </w:r>
                      </w:p>
                    </w:tc>
                    <w:tc>
                      <w:tcPr>
                        <w:tcW w:w="1024" w:type="dxa"/>
                        <w:tcBorders>
                          <w:top w:val="nil" w:sz="6" w:space="0" w:color="auto"/>
                          <w:left w:val="nil" w:sz="6" w:space="0" w:color="auto"/>
                          <w:bottom w:val="nil" w:sz="6" w:space="0" w:color="auto"/>
                          <w:right w:val="nil" w:sz="6" w:space="0" w:color="auto"/>
                        </w:tcBorders>
                      </w:tcPr>
                      <w:p>
                        <w:pPr>
                          <w:pStyle w:val="TableParagraph"/>
                          <w:tabs>
                            <w:tab w:pos="956" w:val="left" w:leader="none"/>
                          </w:tabs>
                          <w:spacing w:line="240" w:lineRule="auto" w:before="94"/>
                          <w:ind w:left="169" w:right="0"/>
                          <w:jc w:val="lef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t>-</w:t>
                        </w:r>
                        <w:r>
                          <w:rPr>
                            <w:rFonts w:ascii="Arial"/>
                            <w:sz w:val="20"/>
                          </w:rPr>
                        </w:r>
                      </w:p>
                    </w:tc>
                    <w:tc>
                      <w:tcPr>
                        <w:tcW w:w="1791"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51"/>
                          <w:jc w:val="right"/>
                          <w:rPr>
                            <w:rFonts w:ascii="Arial" w:hAnsi="Arial" w:cs="Arial" w:eastAsia="Arial" w:hint="default"/>
                            <w:sz w:val="20"/>
                            <w:szCs w:val="20"/>
                          </w:rPr>
                        </w:pPr>
                        <w:r>
                          <w:rPr>
                            <w:rFonts w:ascii="Arial"/>
                            <w:w w:val="99"/>
                            <w:sz w:val="20"/>
                          </w:rPr>
                        </w:r>
                        <w:r>
                          <w:rPr>
                            <w:rFonts w:ascii="Arial"/>
                            <w:spacing w:val="-1"/>
                            <w:sz w:val="20"/>
                            <w:u w:val="thick" w:color="000000"/>
                          </w:rPr>
                          <w:t>19,824,563</w:t>
                        </w:r>
                        <w:r>
                          <w:rPr>
                            <w:rFonts w:ascii="Arial"/>
                            <w:spacing w:val="-1"/>
                            <w:sz w:val="20"/>
                          </w:rPr>
                        </w:r>
                        <w:r>
                          <w:rPr>
                            <w:rFonts w:ascii="Arial"/>
                            <w:sz w:val="20"/>
                          </w:rPr>
                        </w:r>
                      </w:p>
                    </w:tc>
                  </w:tr>
                </w:tbl>
                <w:p>
                  <w:pPr/>
                </w:p>
              </w:txbxContent>
            </v:textbox>
            <w10:wrap type="none"/>
          </v:shape>
        </w:pict>
      </w:r>
      <w:r>
        <w:rPr>
          <w:rFonts w:ascii="Arial" w:hAnsi="Arial" w:cs="Arial" w:eastAsia="Arial" w:hint="default"/>
          <w:b/>
          <w:bCs/>
          <w:spacing w:val="-1"/>
          <w:w w:val="95"/>
          <w:sz w:val="20"/>
          <w:szCs w:val="20"/>
        </w:rPr>
        <w:t>12.</w:t>
        <w:tab/>
        <w:tab/>
      </w:r>
      <w:r>
        <w:rPr>
          <w:rFonts w:ascii="黑体" w:hAnsi="黑体" w:cs="黑体" w:eastAsia="黑体" w:hint="default"/>
          <w:b/>
          <w:bCs/>
          <w:spacing w:val="2"/>
          <w:sz w:val="20"/>
          <w:szCs w:val="20"/>
        </w:rPr>
        <w:t>开发支出</w:t>
      </w:r>
      <w:r>
        <w:rPr>
          <w:rFonts w:ascii="黑体" w:hAnsi="黑体" w:cs="黑体" w:eastAsia="黑体" w:hint="default"/>
          <w:b/>
          <w:bCs/>
          <w:spacing w:val="2"/>
          <w:w w:val="99"/>
          <w:sz w:val="20"/>
          <w:szCs w:val="20"/>
        </w:rPr>
        <w:t> </w:t>
      </w:r>
      <w:r>
        <w:rPr>
          <w:rFonts w:ascii="黑体" w:hAnsi="黑体" w:cs="黑体" w:eastAsia="黑体" w:hint="default"/>
          <w:sz w:val="20"/>
          <w:szCs w:val="20"/>
        </w:rPr>
        <w:t>开发项目支出如下：</w:t>
      </w:r>
      <w:r>
        <w:rPr>
          <w:rFonts w:ascii="黑体" w:hAnsi="黑体" w:cs="黑体" w:eastAsia="黑体" w:hint="default"/>
          <w:w w:val="99"/>
          <w:sz w:val="20"/>
          <w:szCs w:val="20"/>
        </w:rPr>
        <w:t> </w:t>
      </w:r>
      <w:r>
        <w:rPr>
          <w:rFonts w:ascii="Arial" w:hAnsi="Arial" w:cs="Arial" w:eastAsia="Arial" w:hint="default"/>
          <w:sz w:val="20"/>
          <w:szCs w:val="20"/>
        </w:rPr>
        <w:t>2012</w:t>
      </w:r>
      <w:r>
        <w:rPr>
          <w:rFonts w:ascii="黑体" w:hAnsi="黑体" w:cs="黑体" w:eastAsia="黑体" w:hint="default"/>
          <w:sz w:val="20"/>
          <w:szCs w:val="20"/>
        </w:rPr>
        <w:t>年</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8"/>
        <w:rPr>
          <w:rFonts w:ascii="黑体" w:hAnsi="黑体" w:cs="黑体" w:eastAsia="黑体" w:hint="default"/>
          <w:sz w:val="15"/>
          <w:szCs w:val="15"/>
        </w:rPr>
      </w:pPr>
    </w:p>
    <w:p>
      <w:pPr>
        <w:pStyle w:val="BodyText"/>
        <w:spacing w:line="424" w:lineRule="auto"/>
        <w:ind w:left="821" w:right="0"/>
        <w:jc w:val="left"/>
      </w:pPr>
      <w:r>
        <w:rPr>
          <w:rFonts w:ascii="Arial" w:hAnsi="Arial" w:cs="Arial" w:eastAsia="Arial" w:hint="default"/>
        </w:rPr>
        <w:t>2012</w:t>
      </w:r>
      <w:r>
        <w:rPr/>
        <w:t>年开发支出占研究开发项目支出总额的比例为</w:t>
      </w:r>
      <w:r>
        <w:rPr>
          <w:rFonts w:ascii="Arial" w:hAnsi="Arial" w:cs="Arial" w:eastAsia="Arial" w:hint="default"/>
        </w:rPr>
        <w:t>4.96%(2011</w:t>
      </w:r>
      <w:r>
        <w:rPr/>
        <w:t>年：无</w:t>
      </w:r>
      <w:r>
        <w:rPr>
          <w:rFonts w:ascii="Arial" w:hAnsi="Arial" w:cs="Arial" w:eastAsia="Arial" w:hint="default"/>
        </w:rPr>
        <w:t>)</w:t>
      </w:r>
      <w:r>
        <w:rPr/>
        <w:t>。</w:t>
      </w:r>
      <w:r>
        <w:rPr>
          <w:w w:val="99"/>
        </w:rPr>
        <w:t> </w:t>
      </w:r>
      <w:r>
        <w:rPr>
          <w:w w:val="95"/>
        </w:rPr>
        <w:t>于</w:t>
      </w:r>
      <w:r>
        <w:rPr>
          <w:rFonts w:ascii="Arial" w:hAnsi="Arial" w:cs="Arial" w:eastAsia="Arial" w:hint="default"/>
          <w:w w:val="95"/>
        </w:rPr>
        <w:t>2012</w:t>
      </w:r>
      <w:r>
        <w:rPr>
          <w:w w:val="95"/>
        </w:rPr>
        <w:t>年</w:t>
      </w:r>
      <w:r>
        <w:rPr>
          <w:rFonts w:ascii="Arial" w:hAnsi="Arial" w:cs="Arial" w:eastAsia="Arial" w:hint="default"/>
          <w:w w:val="95"/>
        </w:rPr>
        <w:t>12</w:t>
      </w:r>
      <w:r>
        <w:rPr>
          <w:w w:val="95"/>
        </w:rPr>
        <w:t>月</w:t>
      </w:r>
      <w:r>
        <w:rPr>
          <w:rFonts w:ascii="Arial" w:hAnsi="Arial" w:cs="Arial" w:eastAsia="Arial" w:hint="default"/>
          <w:w w:val="95"/>
        </w:rPr>
        <w:t>31</w:t>
      </w:r>
      <w:r>
        <w:rPr>
          <w:w w:val="95"/>
        </w:rPr>
        <w:t>日，本公司无内部研发形成的无形资产</w:t>
      </w:r>
      <w:r>
        <w:rPr>
          <w:rFonts w:ascii="Arial" w:hAnsi="Arial" w:cs="Arial" w:eastAsia="Arial" w:hint="default"/>
          <w:w w:val="95"/>
        </w:rPr>
        <w:t>(2011</w:t>
      </w:r>
      <w:r>
        <w:rPr>
          <w:w w:val="95"/>
        </w:rPr>
        <w:t>年</w:t>
      </w:r>
      <w:r>
        <w:rPr>
          <w:rFonts w:ascii="Arial" w:hAnsi="Arial" w:cs="Arial" w:eastAsia="Arial" w:hint="default"/>
          <w:w w:val="95"/>
        </w:rPr>
        <w:t>12</w:t>
      </w:r>
      <w:r>
        <w:rPr>
          <w:w w:val="95"/>
        </w:rPr>
        <w:t>月</w:t>
      </w:r>
      <w:r>
        <w:rPr>
          <w:rFonts w:ascii="Arial" w:hAnsi="Arial" w:cs="Arial" w:eastAsia="Arial" w:hint="default"/>
          <w:w w:val="95"/>
        </w:rPr>
        <w:t>31</w:t>
      </w:r>
      <w:r>
        <w:rPr>
          <w:w w:val="95"/>
        </w:rPr>
        <w:t>日：无</w:t>
      </w:r>
      <w:r>
        <w:rPr>
          <w:rFonts w:ascii="Arial" w:hAnsi="Arial" w:cs="Arial" w:eastAsia="Arial" w:hint="default"/>
          <w:w w:val="95"/>
        </w:rPr>
        <w:t>)</w:t>
      </w:r>
      <w:r>
        <w:rPr>
          <w:w w:val="95"/>
        </w:rPr>
        <w:t>。</w:t>
      </w:r>
      <w:r>
        <w:rPr/>
      </w:r>
    </w:p>
    <w:p>
      <w:pPr>
        <w:spacing w:after="0" w:line="424" w:lineRule="auto"/>
        <w:jc w:val="left"/>
        <w:sectPr>
          <w:pgSz w:w="11910" w:h="16850"/>
          <w:pgMar w:header="957" w:footer="473" w:top="2600" w:bottom="660" w:left="1600" w:right="1480"/>
        </w:sectPr>
      </w:pPr>
    </w:p>
    <w:p>
      <w:pPr>
        <w:spacing w:line="240" w:lineRule="auto" w:before="2"/>
        <w:rPr>
          <w:rFonts w:ascii="黑体" w:hAnsi="黑体" w:cs="黑体" w:eastAsia="黑体" w:hint="default"/>
          <w:sz w:val="17"/>
          <w:szCs w:val="17"/>
        </w:rPr>
      </w:pPr>
    </w:p>
    <w:p>
      <w:pPr>
        <w:pStyle w:val="Heading6"/>
        <w:spacing w:line="240" w:lineRule="auto"/>
        <w:ind w:right="0"/>
        <w:jc w:val="left"/>
        <w:rPr>
          <w:b w:val="0"/>
          <w:bCs w:val="0"/>
        </w:rPr>
      </w:pPr>
      <w:r>
        <w:rPr/>
        <w:t>十三、公司财务报表主要项目注释（续）</w:t>
      </w:r>
      <w:r>
        <w:rPr>
          <w:b w:val="0"/>
          <w:bCs w:val="0"/>
        </w:rPr>
      </w:r>
    </w:p>
    <w:p>
      <w:pPr>
        <w:spacing w:line="240" w:lineRule="auto" w:before="1"/>
        <w:rPr>
          <w:rFonts w:ascii="黑体" w:hAnsi="黑体" w:cs="黑体" w:eastAsia="黑体" w:hint="default"/>
          <w:b/>
          <w:bCs/>
          <w:sz w:val="14"/>
          <w:szCs w:val="14"/>
        </w:rPr>
      </w:pPr>
    </w:p>
    <w:p>
      <w:pPr>
        <w:pStyle w:val="Heading6"/>
        <w:tabs>
          <w:tab w:pos="761" w:val="left" w:leader="none"/>
        </w:tabs>
        <w:spacing w:line="240" w:lineRule="auto" w:before="0"/>
        <w:ind w:left="128" w:right="0"/>
        <w:jc w:val="left"/>
        <w:rPr>
          <w:b w:val="0"/>
          <w:bCs w:val="0"/>
        </w:rPr>
      </w:pPr>
      <w:r>
        <w:rPr>
          <w:rFonts w:ascii="Arial" w:hAnsi="Arial" w:cs="Arial" w:eastAsia="Arial" w:hint="default"/>
          <w:spacing w:val="-1"/>
          <w:w w:val="95"/>
        </w:rPr>
        <w:t>13.</w:t>
        <w:tab/>
      </w:r>
      <w:r>
        <w:rPr>
          <w:spacing w:val="2"/>
        </w:rPr>
        <w:t>商誉</w:t>
      </w:r>
      <w:r>
        <w:rPr>
          <w:b w:val="0"/>
          <w:bCs w:val="0"/>
        </w:rPr>
      </w:r>
    </w:p>
    <w:p>
      <w:pPr>
        <w:pStyle w:val="BodyText"/>
        <w:spacing w:line="240" w:lineRule="auto" w:before="163"/>
        <w:ind w:left="843" w:right="0"/>
        <w:jc w:val="left"/>
      </w:pPr>
      <w:r>
        <w:rPr>
          <w:rFonts w:ascii="Arial" w:hAnsi="Arial" w:cs="Arial" w:eastAsia="Arial" w:hint="default"/>
        </w:rPr>
        <w:t>2012</w:t>
      </w:r>
      <w:r>
        <w:rPr/>
        <w:t>年</w:t>
      </w:r>
    </w:p>
    <w:p>
      <w:pPr>
        <w:spacing w:line="240" w:lineRule="auto" w:before="13"/>
        <w:rPr>
          <w:rFonts w:ascii="黑体" w:hAnsi="黑体" w:cs="黑体" w:eastAsia="黑体" w:hint="default"/>
          <w:sz w:val="19"/>
          <w:szCs w:val="19"/>
        </w:rPr>
      </w:pPr>
    </w:p>
    <w:tbl>
      <w:tblPr>
        <w:tblW w:w="0" w:type="auto"/>
        <w:jc w:val="left"/>
        <w:tblInd w:w="631" w:type="dxa"/>
        <w:tblLayout w:type="fixed"/>
        <w:tblCellMar>
          <w:top w:w="0" w:type="dxa"/>
          <w:left w:w="0" w:type="dxa"/>
          <w:bottom w:w="0" w:type="dxa"/>
          <w:right w:w="0" w:type="dxa"/>
        </w:tblCellMar>
        <w:tblLook w:val="01E0"/>
      </w:tblPr>
      <w:tblGrid>
        <w:gridCol w:w="1683"/>
        <w:gridCol w:w="1908"/>
        <w:gridCol w:w="1514"/>
        <w:gridCol w:w="1466"/>
        <w:gridCol w:w="1998"/>
      </w:tblGrid>
      <w:tr>
        <w:trPr>
          <w:trHeight w:val="360" w:hRule="exact"/>
        </w:trPr>
        <w:tc>
          <w:tcPr>
            <w:tcW w:w="1683" w:type="dxa"/>
            <w:tcBorders>
              <w:top w:val="nil" w:sz="6" w:space="0" w:color="auto"/>
              <w:left w:val="nil" w:sz="6" w:space="0" w:color="auto"/>
              <w:bottom w:val="nil" w:sz="6" w:space="0" w:color="auto"/>
              <w:right w:val="nil" w:sz="6" w:space="0" w:color="auto"/>
            </w:tcBorders>
          </w:tcPr>
          <w:p>
            <w:pPr>
              <w:pStyle w:val="TableParagraph"/>
              <w:spacing w:line="199" w:lineRule="exact"/>
              <w:ind w:left="200" w:right="0"/>
              <w:jc w:val="left"/>
              <w:rPr>
                <w:rFonts w:ascii="黑体" w:hAnsi="黑体" w:cs="黑体" w:eastAsia="黑体" w:hint="default"/>
                <w:sz w:val="20"/>
                <w:szCs w:val="20"/>
              </w:rPr>
            </w:pPr>
            <w:r>
              <w:rPr>
                <w:rFonts w:ascii="黑体" w:hAnsi="黑体" w:cs="黑体" w:eastAsia="黑体" w:hint="default"/>
                <w:sz w:val="20"/>
                <w:szCs w:val="20"/>
              </w:rPr>
              <w:t>被收购对象</w:t>
            </w:r>
          </w:p>
        </w:tc>
        <w:tc>
          <w:tcPr>
            <w:tcW w:w="1908" w:type="dxa"/>
            <w:tcBorders>
              <w:top w:val="nil" w:sz="6" w:space="0" w:color="auto"/>
              <w:left w:val="nil" w:sz="6" w:space="0" w:color="auto"/>
              <w:bottom w:val="nil" w:sz="6" w:space="0" w:color="auto"/>
              <w:right w:val="nil" w:sz="6" w:space="0" w:color="auto"/>
            </w:tcBorders>
          </w:tcPr>
          <w:p>
            <w:pPr>
              <w:pStyle w:val="TableParagraph"/>
              <w:spacing w:line="214" w:lineRule="exact"/>
              <w:ind w:right="355"/>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r>
              <w:rPr>
                <w:rFonts w:ascii="Arial" w:hAnsi="Arial" w:cs="Arial" w:eastAsia="Arial" w:hint="default"/>
                <w:spacing w:val="-1"/>
                <w:sz w:val="20"/>
                <w:szCs w:val="20"/>
              </w:rPr>
              <w:t>1</w:t>
            </w:r>
            <w:r>
              <w:rPr>
                <w:rFonts w:ascii="黑体" w:hAnsi="黑体" w:cs="黑体" w:eastAsia="黑体" w:hint="default"/>
                <w:spacing w:val="-1"/>
                <w:sz w:val="20"/>
                <w:szCs w:val="20"/>
              </w:rPr>
              <w:t>月</w:t>
            </w:r>
            <w:r>
              <w:rPr>
                <w:rFonts w:ascii="Arial" w:hAnsi="Arial" w:cs="Arial" w:eastAsia="Arial" w:hint="default"/>
                <w:spacing w:val="-1"/>
                <w:sz w:val="20"/>
                <w:szCs w:val="20"/>
              </w:rPr>
              <w:t>1</w:t>
            </w:r>
            <w:r>
              <w:rPr>
                <w:rFonts w:ascii="黑体" w:hAnsi="黑体" w:cs="黑体" w:eastAsia="黑体" w:hint="default"/>
                <w:spacing w:val="-1"/>
                <w:sz w:val="20"/>
                <w:szCs w:val="20"/>
              </w:rPr>
              <w:t>日</w:t>
            </w:r>
          </w:p>
        </w:tc>
        <w:tc>
          <w:tcPr>
            <w:tcW w:w="1514" w:type="dxa"/>
            <w:tcBorders>
              <w:top w:val="nil" w:sz="6" w:space="0" w:color="auto"/>
              <w:left w:val="nil" w:sz="6" w:space="0" w:color="auto"/>
              <w:bottom w:val="nil" w:sz="6" w:space="0" w:color="auto"/>
              <w:right w:val="nil" w:sz="6" w:space="0" w:color="auto"/>
            </w:tcBorders>
          </w:tcPr>
          <w:p>
            <w:pPr>
              <w:pStyle w:val="TableParagraph"/>
              <w:spacing w:line="199" w:lineRule="exact"/>
              <w:ind w:right="357"/>
              <w:jc w:val="right"/>
              <w:rPr>
                <w:rFonts w:ascii="黑体" w:hAnsi="黑体" w:cs="黑体" w:eastAsia="黑体" w:hint="default"/>
                <w:sz w:val="20"/>
                <w:szCs w:val="20"/>
              </w:rPr>
            </w:pPr>
            <w:r>
              <w:rPr>
                <w:rFonts w:ascii="黑体" w:hAnsi="黑体" w:cs="黑体" w:eastAsia="黑体" w:hint="default"/>
                <w:w w:val="95"/>
                <w:sz w:val="20"/>
                <w:szCs w:val="20"/>
              </w:rPr>
              <w:t>本年增加</w:t>
            </w:r>
            <w:r>
              <w:rPr>
                <w:rFonts w:ascii="黑体" w:hAnsi="黑体" w:cs="黑体" w:eastAsia="黑体" w:hint="default"/>
                <w:sz w:val="20"/>
                <w:szCs w:val="20"/>
              </w:rPr>
            </w:r>
          </w:p>
        </w:tc>
        <w:tc>
          <w:tcPr>
            <w:tcW w:w="1466" w:type="dxa"/>
            <w:tcBorders>
              <w:top w:val="nil" w:sz="6" w:space="0" w:color="auto"/>
              <w:left w:val="nil" w:sz="6" w:space="0" w:color="auto"/>
              <w:bottom w:val="nil" w:sz="6" w:space="0" w:color="auto"/>
              <w:right w:val="nil" w:sz="6" w:space="0" w:color="auto"/>
            </w:tcBorders>
          </w:tcPr>
          <w:p>
            <w:pPr>
              <w:pStyle w:val="TableParagraph"/>
              <w:spacing w:line="199" w:lineRule="exact"/>
              <w:ind w:right="312"/>
              <w:jc w:val="right"/>
              <w:rPr>
                <w:rFonts w:ascii="黑体" w:hAnsi="黑体" w:cs="黑体" w:eastAsia="黑体" w:hint="default"/>
                <w:sz w:val="20"/>
                <w:szCs w:val="20"/>
              </w:rPr>
            </w:pPr>
            <w:r>
              <w:rPr>
                <w:rFonts w:ascii="黑体" w:hAnsi="黑体" w:cs="黑体" w:eastAsia="黑体" w:hint="default"/>
                <w:w w:val="95"/>
                <w:sz w:val="20"/>
                <w:szCs w:val="20"/>
              </w:rPr>
              <w:t>本年减少</w:t>
            </w:r>
            <w:r>
              <w:rPr>
                <w:rFonts w:ascii="黑体" w:hAnsi="黑体" w:cs="黑体" w:eastAsia="黑体" w:hint="default"/>
                <w:sz w:val="20"/>
                <w:szCs w:val="20"/>
              </w:rPr>
            </w:r>
          </w:p>
        </w:tc>
        <w:tc>
          <w:tcPr>
            <w:tcW w:w="1998" w:type="dxa"/>
            <w:tcBorders>
              <w:top w:val="nil" w:sz="6" w:space="0" w:color="auto"/>
              <w:left w:val="nil" w:sz="6" w:space="0" w:color="auto"/>
              <w:bottom w:val="nil" w:sz="6" w:space="0" w:color="auto"/>
              <w:right w:val="nil" w:sz="6" w:space="0" w:color="auto"/>
            </w:tcBorders>
          </w:tcPr>
          <w:p>
            <w:pPr>
              <w:pStyle w:val="TableParagraph"/>
              <w:spacing w:line="214" w:lineRule="exact"/>
              <w:ind w:right="198"/>
              <w:jc w:val="right"/>
              <w:rPr>
                <w:rFonts w:ascii="黑体" w:hAnsi="黑体" w:cs="黑体" w:eastAsia="黑体" w:hint="default"/>
                <w:sz w:val="20"/>
                <w:szCs w:val="20"/>
              </w:rPr>
            </w:pPr>
            <w:r>
              <w:rPr>
                <w:rFonts w:ascii="Arial" w:hAnsi="Arial" w:cs="Arial" w:eastAsia="Arial" w:hint="default"/>
                <w:w w:val="95"/>
                <w:sz w:val="20"/>
                <w:szCs w:val="20"/>
              </w:rPr>
              <w:t>2012</w:t>
            </w:r>
            <w:r>
              <w:rPr>
                <w:rFonts w:ascii="黑体" w:hAnsi="黑体" w:cs="黑体" w:eastAsia="黑体" w:hint="default"/>
                <w:w w:val="95"/>
                <w:sz w:val="20"/>
                <w:szCs w:val="20"/>
              </w:rPr>
              <w:t>年</w:t>
            </w:r>
            <w:r>
              <w:rPr>
                <w:rFonts w:ascii="Arial" w:hAnsi="Arial" w:cs="Arial" w:eastAsia="Arial" w:hint="default"/>
                <w:w w:val="95"/>
                <w:sz w:val="20"/>
                <w:szCs w:val="20"/>
              </w:rPr>
              <w:t>12</w:t>
            </w:r>
            <w:r>
              <w:rPr>
                <w:rFonts w:ascii="黑体" w:hAnsi="黑体" w:cs="黑体" w:eastAsia="黑体" w:hint="default"/>
                <w:w w:val="95"/>
                <w:sz w:val="20"/>
                <w:szCs w:val="20"/>
              </w:rPr>
              <w:t>月</w:t>
            </w:r>
            <w:r>
              <w:rPr>
                <w:rFonts w:ascii="Arial" w:hAnsi="Arial" w:cs="Arial" w:eastAsia="Arial" w:hint="default"/>
                <w:w w:val="95"/>
                <w:sz w:val="20"/>
                <w:szCs w:val="20"/>
              </w:rPr>
              <w:t>31</w:t>
            </w:r>
            <w:r>
              <w:rPr>
                <w:rFonts w:ascii="黑体" w:hAnsi="黑体" w:cs="黑体" w:eastAsia="黑体" w:hint="default"/>
                <w:w w:val="95"/>
                <w:sz w:val="20"/>
                <w:szCs w:val="20"/>
              </w:rPr>
              <w:t>日</w:t>
            </w:r>
            <w:r>
              <w:rPr>
                <w:rFonts w:ascii="黑体" w:hAnsi="黑体" w:cs="黑体" w:eastAsia="黑体" w:hint="default"/>
                <w:sz w:val="20"/>
                <w:szCs w:val="20"/>
              </w:rPr>
            </w:r>
          </w:p>
        </w:tc>
      </w:tr>
      <w:tr>
        <w:trPr>
          <w:trHeight w:val="383" w:hRule="exact"/>
        </w:trPr>
        <w:tc>
          <w:tcPr>
            <w:tcW w:w="1683"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00" w:right="0"/>
              <w:jc w:val="left"/>
              <w:rPr>
                <w:rFonts w:ascii="黑体" w:hAnsi="黑体" w:cs="黑体" w:eastAsia="黑体" w:hint="default"/>
                <w:sz w:val="20"/>
                <w:szCs w:val="20"/>
              </w:rPr>
            </w:pPr>
            <w:r>
              <w:rPr>
                <w:rFonts w:ascii="黑体" w:hAnsi="黑体" w:cs="黑体" w:eastAsia="黑体" w:hint="default"/>
                <w:sz w:val="20"/>
                <w:szCs w:val="20"/>
              </w:rPr>
              <w:t>特博深</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56"/>
              <w:jc w:val="right"/>
              <w:rPr>
                <w:rFonts w:ascii="Arial" w:hAnsi="Arial" w:cs="Arial" w:eastAsia="Arial" w:hint="default"/>
                <w:sz w:val="20"/>
                <w:szCs w:val="20"/>
              </w:rPr>
            </w:pPr>
            <w:r>
              <w:rPr>
                <w:rFonts w:ascii="Arial"/>
                <w:spacing w:val="-1"/>
                <w:sz w:val="20"/>
              </w:rPr>
              <w:t>37,828,833</w:t>
            </w:r>
            <w:r>
              <w:rPr>
                <w:rFonts w:ascii="Arial"/>
                <w:sz w:val="20"/>
              </w:rPr>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56"/>
              <w:jc w:val="right"/>
              <w:rPr>
                <w:rFonts w:ascii="Arial" w:hAnsi="Arial" w:cs="Arial" w:eastAsia="Arial" w:hint="default"/>
                <w:sz w:val="20"/>
                <w:szCs w:val="20"/>
              </w:rPr>
            </w:pPr>
            <w:r>
              <w:rPr>
                <w:rFonts w:ascii="Arial"/>
                <w:w w:val="99"/>
                <w:sz w:val="20"/>
              </w:rPr>
              <w:t>-</w:t>
            </w:r>
            <w:r>
              <w:rPr>
                <w:rFonts w:ascii="Arial"/>
                <w:sz w:val="20"/>
              </w:rPr>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10"/>
              <w:jc w:val="right"/>
              <w:rPr>
                <w:rFonts w:ascii="Arial" w:hAnsi="Arial" w:cs="Arial" w:eastAsia="Arial" w:hint="default"/>
                <w:sz w:val="20"/>
                <w:szCs w:val="20"/>
              </w:rPr>
            </w:pPr>
            <w:r>
              <w:rPr>
                <w:rFonts w:ascii="Arial"/>
                <w:w w:val="99"/>
                <w:sz w:val="20"/>
              </w:rPr>
              <w:t>-</w:t>
            </w:r>
            <w:r>
              <w:rPr>
                <w:rFonts w:ascii="Arial"/>
                <w:sz w:val="20"/>
              </w:rPr>
            </w:r>
          </w:p>
        </w:tc>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98"/>
              <w:jc w:val="right"/>
              <w:rPr>
                <w:rFonts w:ascii="Arial" w:hAnsi="Arial" w:cs="Arial" w:eastAsia="Arial" w:hint="default"/>
                <w:sz w:val="20"/>
                <w:szCs w:val="20"/>
              </w:rPr>
            </w:pPr>
            <w:r>
              <w:rPr>
                <w:rFonts w:ascii="Arial"/>
                <w:spacing w:val="-1"/>
                <w:sz w:val="20"/>
              </w:rPr>
              <w:t>37,828,833</w:t>
            </w:r>
            <w:r>
              <w:rPr>
                <w:rFonts w:ascii="Arial"/>
                <w:sz w:val="20"/>
              </w:rPr>
            </w:r>
          </w:p>
        </w:tc>
      </w:tr>
      <w:tr>
        <w:trPr>
          <w:trHeight w:val="254" w:hRule="exact"/>
        </w:trPr>
        <w:tc>
          <w:tcPr>
            <w:tcW w:w="1683"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z w:val="20"/>
                <w:szCs w:val="20"/>
              </w:rPr>
              <w:t>上海天诺坛网</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6"/>
              <w:jc w:val="right"/>
              <w:rPr>
                <w:rFonts w:ascii="Arial" w:hAnsi="Arial" w:cs="Arial" w:eastAsia="Arial" w:hint="default"/>
                <w:sz w:val="20"/>
                <w:szCs w:val="20"/>
              </w:rPr>
            </w:pPr>
            <w:r>
              <w:rPr>
                <w:rFonts w:ascii="Arial"/>
                <w:spacing w:val="-1"/>
                <w:sz w:val="20"/>
              </w:rPr>
              <w:t>12,659,937</w:t>
            </w:r>
            <w:r>
              <w:rPr>
                <w:rFonts w:ascii="Arial"/>
                <w:sz w:val="20"/>
              </w:rPr>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6"/>
              <w:jc w:val="right"/>
              <w:rPr>
                <w:rFonts w:ascii="Arial" w:hAnsi="Arial" w:cs="Arial" w:eastAsia="Arial" w:hint="default"/>
                <w:sz w:val="20"/>
                <w:szCs w:val="20"/>
              </w:rPr>
            </w:pPr>
            <w:r>
              <w:rPr>
                <w:rFonts w:ascii="Arial"/>
                <w:w w:val="99"/>
                <w:sz w:val="20"/>
              </w:rPr>
              <w:t>-</w:t>
            </w:r>
            <w:r>
              <w:rPr>
                <w:rFonts w:ascii="Arial"/>
                <w:sz w:val="20"/>
              </w:rPr>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10"/>
              <w:jc w:val="right"/>
              <w:rPr>
                <w:rFonts w:ascii="Arial" w:hAnsi="Arial" w:cs="Arial" w:eastAsia="Arial" w:hint="default"/>
                <w:sz w:val="20"/>
                <w:szCs w:val="20"/>
              </w:rPr>
            </w:pPr>
            <w:r>
              <w:rPr>
                <w:rFonts w:ascii="Arial"/>
                <w:w w:val="99"/>
                <w:sz w:val="20"/>
              </w:rPr>
              <w:t>-</w:t>
            </w:r>
            <w:r>
              <w:rPr>
                <w:rFonts w:ascii="Arial"/>
                <w:sz w:val="20"/>
              </w:rPr>
            </w:r>
          </w:p>
        </w:tc>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8"/>
              <w:jc w:val="right"/>
              <w:rPr>
                <w:rFonts w:ascii="Arial" w:hAnsi="Arial" w:cs="Arial" w:eastAsia="Arial" w:hint="default"/>
                <w:sz w:val="20"/>
                <w:szCs w:val="20"/>
              </w:rPr>
            </w:pPr>
            <w:r>
              <w:rPr>
                <w:rFonts w:ascii="Arial"/>
                <w:spacing w:val="-1"/>
                <w:sz w:val="20"/>
              </w:rPr>
              <w:t>12,659,937</w:t>
            </w:r>
            <w:r>
              <w:rPr>
                <w:rFonts w:ascii="Arial"/>
                <w:sz w:val="20"/>
              </w:rPr>
            </w:r>
          </w:p>
        </w:tc>
      </w:tr>
      <w:tr>
        <w:trPr>
          <w:trHeight w:val="254" w:hRule="exact"/>
        </w:trPr>
        <w:tc>
          <w:tcPr>
            <w:tcW w:w="1683"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z w:val="20"/>
                <w:szCs w:val="20"/>
              </w:rPr>
              <w:t>重庆迈特</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5"/>
              <w:jc w:val="right"/>
              <w:rPr>
                <w:rFonts w:ascii="Arial" w:hAnsi="Arial" w:cs="Arial" w:eastAsia="Arial" w:hint="default"/>
                <w:sz w:val="20"/>
                <w:szCs w:val="20"/>
              </w:rPr>
            </w:pPr>
            <w:r>
              <w:rPr>
                <w:rFonts w:ascii="Arial"/>
                <w:spacing w:val="-1"/>
                <w:sz w:val="20"/>
              </w:rPr>
              <w:t>5,709,400</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6"/>
              <w:jc w:val="right"/>
              <w:rPr>
                <w:rFonts w:ascii="Arial" w:hAnsi="Arial" w:cs="Arial" w:eastAsia="Arial" w:hint="default"/>
                <w:sz w:val="20"/>
                <w:szCs w:val="20"/>
              </w:rPr>
            </w:pPr>
            <w:r>
              <w:rPr>
                <w:rFonts w:ascii="Arial"/>
                <w:w w:val="99"/>
                <w:sz w:val="20"/>
              </w:rPr>
              <w:t>-</w:t>
            </w:r>
            <w:r>
              <w:rPr>
                <w:rFonts w:ascii="Arial"/>
                <w:sz w:val="20"/>
              </w:rPr>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10"/>
              <w:jc w:val="right"/>
              <w:rPr>
                <w:rFonts w:ascii="Arial" w:hAnsi="Arial" w:cs="Arial" w:eastAsia="Arial" w:hint="default"/>
                <w:sz w:val="20"/>
                <w:szCs w:val="20"/>
              </w:rPr>
            </w:pPr>
            <w:r>
              <w:rPr>
                <w:rFonts w:ascii="Arial"/>
                <w:w w:val="99"/>
                <w:sz w:val="20"/>
              </w:rPr>
              <w:t>-</w:t>
            </w:r>
            <w:r>
              <w:rPr>
                <w:rFonts w:ascii="Arial"/>
                <w:sz w:val="20"/>
              </w:rPr>
            </w:r>
          </w:p>
        </w:tc>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8"/>
              <w:jc w:val="right"/>
              <w:rPr>
                <w:rFonts w:ascii="Arial" w:hAnsi="Arial" w:cs="Arial" w:eastAsia="Arial" w:hint="default"/>
                <w:sz w:val="20"/>
                <w:szCs w:val="20"/>
              </w:rPr>
            </w:pPr>
            <w:r>
              <w:rPr>
                <w:rFonts w:ascii="Arial"/>
                <w:spacing w:val="-1"/>
                <w:sz w:val="20"/>
              </w:rPr>
              <w:t>5,709,400</w:t>
            </w:r>
          </w:p>
        </w:tc>
      </w:tr>
      <w:tr>
        <w:trPr>
          <w:trHeight w:val="256" w:hRule="exact"/>
        </w:trPr>
        <w:tc>
          <w:tcPr>
            <w:tcW w:w="1683"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z w:val="20"/>
                <w:szCs w:val="20"/>
              </w:rPr>
              <w:t>上海哈久</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5"/>
              <w:jc w:val="right"/>
              <w:rPr>
                <w:rFonts w:ascii="Arial" w:hAnsi="Arial" w:cs="Arial" w:eastAsia="Arial" w:hint="default"/>
                <w:sz w:val="20"/>
                <w:szCs w:val="20"/>
              </w:rPr>
            </w:pPr>
            <w:r>
              <w:rPr>
                <w:rFonts w:ascii="Arial"/>
                <w:spacing w:val="-1"/>
                <w:sz w:val="20"/>
              </w:rPr>
              <w:t>6,637,723</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6"/>
              <w:jc w:val="right"/>
              <w:rPr>
                <w:rFonts w:ascii="Arial" w:hAnsi="Arial" w:cs="Arial" w:eastAsia="Arial" w:hint="default"/>
                <w:sz w:val="20"/>
                <w:szCs w:val="20"/>
              </w:rPr>
            </w:pPr>
            <w:r>
              <w:rPr>
                <w:rFonts w:ascii="Arial"/>
                <w:w w:val="99"/>
                <w:sz w:val="20"/>
              </w:rPr>
              <w:t>-</w:t>
            </w:r>
            <w:r>
              <w:rPr>
                <w:rFonts w:ascii="Arial"/>
                <w:sz w:val="20"/>
              </w:rPr>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10"/>
              <w:jc w:val="right"/>
              <w:rPr>
                <w:rFonts w:ascii="Arial" w:hAnsi="Arial" w:cs="Arial" w:eastAsia="Arial" w:hint="default"/>
                <w:sz w:val="20"/>
                <w:szCs w:val="20"/>
              </w:rPr>
            </w:pPr>
            <w:r>
              <w:rPr>
                <w:rFonts w:ascii="Arial"/>
                <w:w w:val="99"/>
                <w:sz w:val="20"/>
              </w:rPr>
              <w:t>-</w:t>
            </w:r>
            <w:r>
              <w:rPr>
                <w:rFonts w:ascii="Arial"/>
                <w:sz w:val="20"/>
              </w:rPr>
            </w:r>
          </w:p>
        </w:tc>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8"/>
              <w:jc w:val="right"/>
              <w:rPr>
                <w:rFonts w:ascii="Arial" w:hAnsi="Arial" w:cs="Arial" w:eastAsia="Arial" w:hint="default"/>
                <w:sz w:val="20"/>
                <w:szCs w:val="20"/>
              </w:rPr>
            </w:pPr>
            <w:r>
              <w:rPr>
                <w:rFonts w:ascii="Arial"/>
                <w:spacing w:val="-1"/>
                <w:sz w:val="20"/>
              </w:rPr>
              <w:t>6,637,723</w:t>
            </w:r>
          </w:p>
        </w:tc>
      </w:tr>
      <w:tr>
        <w:trPr>
          <w:trHeight w:val="256" w:hRule="exact"/>
        </w:trPr>
        <w:tc>
          <w:tcPr>
            <w:tcW w:w="1683" w:type="dxa"/>
            <w:tcBorders>
              <w:top w:val="nil" w:sz="6" w:space="0" w:color="auto"/>
              <w:left w:val="nil" w:sz="6" w:space="0" w:color="auto"/>
              <w:bottom w:val="nil" w:sz="6" w:space="0" w:color="auto"/>
              <w:right w:val="nil" w:sz="6" w:space="0" w:color="auto"/>
            </w:tcBorders>
          </w:tcPr>
          <w:p>
            <w:pPr>
              <w:pStyle w:val="TableParagraph"/>
              <w:spacing w:line="223" w:lineRule="exact"/>
              <w:ind w:left="200" w:right="0"/>
              <w:jc w:val="left"/>
              <w:rPr>
                <w:rFonts w:ascii="黑体" w:hAnsi="黑体" w:cs="黑体" w:eastAsia="黑体" w:hint="default"/>
                <w:sz w:val="20"/>
                <w:szCs w:val="20"/>
              </w:rPr>
            </w:pPr>
            <w:r>
              <w:rPr>
                <w:rFonts w:ascii="黑体" w:hAnsi="黑体" w:cs="黑体" w:eastAsia="黑体" w:hint="default"/>
                <w:sz w:val="20"/>
                <w:szCs w:val="20"/>
              </w:rPr>
              <w:t>时空超越</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55"/>
              <w:jc w:val="right"/>
              <w:rPr>
                <w:rFonts w:ascii="Arial" w:hAnsi="Arial" w:cs="Arial" w:eastAsia="Arial" w:hint="default"/>
                <w:sz w:val="20"/>
                <w:szCs w:val="20"/>
              </w:rPr>
            </w:pPr>
            <w:r>
              <w:rPr>
                <w:rFonts w:ascii="Arial"/>
                <w:spacing w:val="-1"/>
                <w:sz w:val="20"/>
              </w:rPr>
              <w:t>35,997,518</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56"/>
              <w:jc w:val="right"/>
              <w:rPr>
                <w:rFonts w:ascii="Arial" w:hAnsi="Arial" w:cs="Arial" w:eastAsia="Arial" w:hint="default"/>
                <w:sz w:val="20"/>
                <w:szCs w:val="20"/>
              </w:rPr>
            </w:pPr>
            <w:r>
              <w:rPr>
                <w:rFonts w:ascii="Arial"/>
                <w:w w:val="99"/>
                <w:sz w:val="20"/>
              </w:rPr>
              <w:t>-</w:t>
            </w:r>
            <w:r>
              <w:rPr>
                <w:rFonts w:ascii="Arial"/>
                <w:sz w:val="20"/>
              </w:rPr>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0"/>
              <w:jc w:val="right"/>
              <w:rPr>
                <w:rFonts w:ascii="Arial" w:hAnsi="Arial" w:cs="Arial" w:eastAsia="Arial" w:hint="default"/>
                <w:sz w:val="20"/>
                <w:szCs w:val="20"/>
              </w:rPr>
            </w:pPr>
            <w:r>
              <w:rPr>
                <w:rFonts w:ascii="Arial"/>
                <w:w w:val="99"/>
                <w:sz w:val="20"/>
              </w:rPr>
              <w:t>-</w:t>
            </w:r>
            <w:r>
              <w:rPr>
                <w:rFonts w:ascii="Arial"/>
                <w:sz w:val="20"/>
              </w:rPr>
            </w:r>
          </w:p>
        </w:tc>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spacing w:val="-1"/>
                <w:sz w:val="20"/>
              </w:rPr>
              <w:t>35,997,518</w:t>
            </w:r>
          </w:p>
        </w:tc>
      </w:tr>
      <w:tr>
        <w:trPr>
          <w:trHeight w:val="254" w:hRule="exact"/>
        </w:trPr>
        <w:tc>
          <w:tcPr>
            <w:tcW w:w="1683"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z w:val="20"/>
                <w:szCs w:val="20"/>
              </w:rPr>
              <w:t>珠海用友</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5"/>
              <w:jc w:val="right"/>
              <w:rPr>
                <w:rFonts w:ascii="Arial" w:hAnsi="Arial" w:cs="Arial" w:eastAsia="Arial" w:hint="default"/>
                <w:sz w:val="20"/>
                <w:szCs w:val="20"/>
              </w:rPr>
            </w:pPr>
            <w:r>
              <w:rPr>
                <w:rFonts w:ascii="Arial"/>
                <w:spacing w:val="-1"/>
                <w:sz w:val="20"/>
              </w:rPr>
              <w:t>4,778,619</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6"/>
              <w:jc w:val="right"/>
              <w:rPr>
                <w:rFonts w:ascii="Arial" w:hAnsi="Arial" w:cs="Arial" w:eastAsia="Arial" w:hint="default"/>
                <w:sz w:val="20"/>
                <w:szCs w:val="20"/>
              </w:rPr>
            </w:pPr>
            <w:r>
              <w:rPr>
                <w:rFonts w:ascii="Arial"/>
                <w:w w:val="99"/>
                <w:sz w:val="20"/>
              </w:rPr>
              <w:t>-</w:t>
            </w:r>
            <w:r>
              <w:rPr>
                <w:rFonts w:ascii="Arial"/>
                <w:sz w:val="20"/>
              </w:rPr>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10"/>
              <w:jc w:val="right"/>
              <w:rPr>
                <w:rFonts w:ascii="Arial" w:hAnsi="Arial" w:cs="Arial" w:eastAsia="Arial" w:hint="default"/>
                <w:sz w:val="20"/>
                <w:szCs w:val="20"/>
              </w:rPr>
            </w:pPr>
            <w:r>
              <w:rPr>
                <w:rFonts w:ascii="Arial"/>
                <w:w w:val="99"/>
                <w:sz w:val="20"/>
              </w:rPr>
              <w:t>-</w:t>
            </w:r>
            <w:r>
              <w:rPr>
                <w:rFonts w:ascii="Arial"/>
                <w:sz w:val="20"/>
              </w:rPr>
            </w:r>
          </w:p>
        </w:tc>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8"/>
              <w:jc w:val="right"/>
              <w:rPr>
                <w:rFonts w:ascii="Arial" w:hAnsi="Arial" w:cs="Arial" w:eastAsia="Arial" w:hint="default"/>
                <w:sz w:val="20"/>
                <w:szCs w:val="20"/>
              </w:rPr>
            </w:pPr>
            <w:r>
              <w:rPr>
                <w:rFonts w:ascii="Arial"/>
                <w:spacing w:val="-1"/>
                <w:sz w:val="20"/>
              </w:rPr>
              <w:t>4,778,619</w:t>
            </w:r>
          </w:p>
        </w:tc>
      </w:tr>
      <w:tr>
        <w:trPr>
          <w:trHeight w:val="254" w:hRule="exact"/>
        </w:trPr>
        <w:tc>
          <w:tcPr>
            <w:tcW w:w="1683"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z w:val="20"/>
                <w:szCs w:val="20"/>
              </w:rPr>
              <w:t>徐州用友</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5"/>
              <w:jc w:val="right"/>
              <w:rPr>
                <w:rFonts w:ascii="Arial" w:hAnsi="Arial" w:cs="Arial" w:eastAsia="Arial" w:hint="default"/>
                <w:sz w:val="20"/>
                <w:szCs w:val="20"/>
              </w:rPr>
            </w:pPr>
            <w:r>
              <w:rPr>
                <w:rFonts w:ascii="Arial"/>
                <w:spacing w:val="-1"/>
                <w:sz w:val="20"/>
              </w:rPr>
              <w:t>3,497,241</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6"/>
              <w:jc w:val="right"/>
              <w:rPr>
                <w:rFonts w:ascii="Arial" w:hAnsi="Arial" w:cs="Arial" w:eastAsia="Arial" w:hint="default"/>
                <w:sz w:val="20"/>
                <w:szCs w:val="20"/>
              </w:rPr>
            </w:pPr>
            <w:r>
              <w:rPr>
                <w:rFonts w:ascii="Arial"/>
                <w:w w:val="99"/>
                <w:sz w:val="20"/>
              </w:rPr>
              <w:t>-</w:t>
            </w:r>
            <w:r>
              <w:rPr>
                <w:rFonts w:ascii="Arial"/>
                <w:sz w:val="20"/>
              </w:rPr>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10"/>
              <w:jc w:val="right"/>
              <w:rPr>
                <w:rFonts w:ascii="Arial" w:hAnsi="Arial" w:cs="Arial" w:eastAsia="Arial" w:hint="default"/>
                <w:sz w:val="20"/>
                <w:szCs w:val="20"/>
              </w:rPr>
            </w:pPr>
            <w:r>
              <w:rPr>
                <w:rFonts w:ascii="Arial"/>
                <w:w w:val="99"/>
                <w:sz w:val="20"/>
              </w:rPr>
              <w:t>-</w:t>
            </w:r>
            <w:r>
              <w:rPr>
                <w:rFonts w:ascii="Arial"/>
                <w:sz w:val="20"/>
              </w:rPr>
            </w:r>
          </w:p>
        </w:tc>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8"/>
              <w:jc w:val="right"/>
              <w:rPr>
                <w:rFonts w:ascii="Arial" w:hAnsi="Arial" w:cs="Arial" w:eastAsia="Arial" w:hint="default"/>
                <w:sz w:val="20"/>
                <w:szCs w:val="20"/>
              </w:rPr>
            </w:pPr>
            <w:r>
              <w:rPr>
                <w:rFonts w:ascii="Arial"/>
                <w:spacing w:val="-1"/>
                <w:sz w:val="20"/>
              </w:rPr>
              <w:t>3,497,241</w:t>
            </w:r>
          </w:p>
        </w:tc>
      </w:tr>
      <w:tr>
        <w:trPr>
          <w:trHeight w:val="256" w:hRule="exact"/>
        </w:trPr>
        <w:tc>
          <w:tcPr>
            <w:tcW w:w="1683"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z w:val="20"/>
                <w:szCs w:val="20"/>
              </w:rPr>
              <w:t>常州用友</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5"/>
              <w:jc w:val="right"/>
              <w:rPr>
                <w:rFonts w:ascii="Arial" w:hAnsi="Arial" w:cs="Arial" w:eastAsia="Arial" w:hint="default"/>
                <w:sz w:val="20"/>
                <w:szCs w:val="20"/>
              </w:rPr>
            </w:pPr>
            <w:r>
              <w:rPr>
                <w:rFonts w:ascii="Arial"/>
                <w:spacing w:val="-1"/>
                <w:w w:val="95"/>
                <w:sz w:val="20"/>
              </w:rPr>
              <w:t>3,115,084</w:t>
            </w:r>
            <w:r>
              <w:rPr>
                <w:rFonts w:ascii="Arial"/>
                <w:sz w:val="20"/>
              </w:rPr>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54"/>
              <w:jc w:val="right"/>
              <w:rPr>
                <w:rFonts w:ascii="Arial" w:hAnsi="Arial" w:cs="Arial" w:eastAsia="Arial" w:hint="default"/>
                <w:sz w:val="20"/>
                <w:szCs w:val="20"/>
              </w:rPr>
            </w:pPr>
            <w:r>
              <w:rPr>
                <w:rFonts w:ascii="Arial"/>
                <w:w w:val="99"/>
                <w:sz w:val="20"/>
              </w:rPr>
              <w:t>-</w:t>
            </w:r>
            <w:r>
              <w:rPr>
                <w:rFonts w:ascii="Arial"/>
                <w:sz w:val="20"/>
              </w:rPr>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08"/>
              <w:jc w:val="right"/>
              <w:rPr>
                <w:rFonts w:ascii="Arial" w:hAnsi="Arial" w:cs="Arial" w:eastAsia="Arial" w:hint="default"/>
                <w:sz w:val="20"/>
                <w:szCs w:val="20"/>
              </w:rPr>
            </w:pPr>
            <w:r>
              <w:rPr>
                <w:rFonts w:ascii="Arial"/>
                <w:w w:val="99"/>
                <w:sz w:val="20"/>
              </w:rPr>
              <w:t>-</w:t>
            </w:r>
            <w:r>
              <w:rPr>
                <w:rFonts w:ascii="Arial"/>
                <w:sz w:val="20"/>
              </w:rPr>
            </w:r>
          </w:p>
        </w:tc>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8"/>
              <w:jc w:val="right"/>
              <w:rPr>
                <w:rFonts w:ascii="Arial" w:hAnsi="Arial" w:cs="Arial" w:eastAsia="Arial" w:hint="default"/>
                <w:sz w:val="20"/>
                <w:szCs w:val="20"/>
              </w:rPr>
            </w:pPr>
            <w:r>
              <w:rPr>
                <w:rFonts w:ascii="Arial"/>
                <w:spacing w:val="-1"/>
                <w:w w:val="95"/>
                <w:sz w:val="20"/>
              </w:rPr>
              <w:t>3,115,084</w:t>
            </w:r>
            <w:r>
              <w:rPr>
                <w:rFonts w:ascii="Arial"/>
                <w:sz w:val="20"/>
              </w:rPr>
            </w:r>
          </w:p>
        </w:tc>
      </w:tr>
      <w:tr>
        <w:trPr>
          <w:trHeight w:val="388" w:hRule="exact"/>
        </w:trPr>
        <w:tc>
          <w:tcPr>
            <w:tcW w:w="1683" w:type="dxa"/>
            <w:tcBorders>
              <w:top w:val="nil" w:sz="6" w:space="0" w:color="auto"/>
              <w:left w:val="nil" w:sz="6" w:space="0" w:color="auto"/>
              <w:bottom w:val="nil" w:sz="6" w:space="0" w:color="auto"/>
              <w:right w:val="nil" w:sz="6" w:space="0" w:color="auto"/>
            </w:tcBorders>
          </w:tcPr>
          <w:p>
            <w:pPr>
              <w:pStyle w:val="TableParagraph"/>
              <w:spacing w:line="223" w:lineRule="exact"/>
              <w:ind w:left="200" w:right="0"/>
              <w:jc w:val="left"/>
              <w:rPr>
                <w:rFonts w:ascii="黑体" w:hAnsi="黑体" w:cs="黑体" w:eastAsia="黑体" w:hint="default"/>
                <w:sz w:val="20"/>
                <w:szCs w:val="20"/>
              </w:rPr>
            </w:pPr>
            <w:r>
              <w:rPr>
                <w:rFonts w:ascii="黑体" w:hAnsi="黑体" w:cs="黑体" w:eastAsia="黑体" w:hint="default"/>
                <w:sz w:val="20"/>
                <w:szCs w:val="20"/>
              </w:rPr>
              <w:t>北京伟库</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57"/>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1"/>
                <w:sz w:val="20"/>
                <w:u w:val="single" w:color="000000"/>
              </w:rPr>
              <w:t> </w:t>
            </w:r>
            <w:r>
              <w:rPr>
                <w:rFonts w:ascii="Arial"/>
                <w:spacing w:val="-1"/>
                <w:w w:val="95"/>
                <w:sz w:val="20"/>
                <w:u w:val="single" w:color="000000"/>
              </w:rPr>
              <w:t>2,896,357</w:t>
            </w:r>
            <w:r>
              <w:rPr>
                <w:rFonts w:ascii="Arial"/>
                <w:spacing w:val="-1"/>
                <w:w w:val="95"/>
                <w:sz w:val="20"/>
              </w:rPr>
            </w:r>
            <w:r>
              <w:rPr>
                <w:rFonts w:ascii="Arial"/>
                <w:sz w:val="20"/>
              </w:rPr>
            </w:r>
          </w:p>
        </w:tc>
        <w:tc>
          <w:tcPr>
            <w:tcW w:w="1514" w:type="dxa"/>
            <w:tcBorders>
              <w:top w:val="nil" w:sz="6" w:space="0" w:color="auto"/>
              <w:left w:val="nil" w:sz="6" w:space="0" w:color="auto"/>
              <w:bottom w:val="nil" w:sz="6" w:space="0" w:color="auto"/>
              <w:right w:val="nil" w:sz="6" w:space="0" w:color="auto"/>
            </w:tcBorders>
          </w:tcPr>
          <w:p>
            <w:pPr>
              <w:pStyle w:val="TableParagraph"/>
              <w:tabs>
                <w:tab w:pos="827" w:val="left" w:leader="none"/>
              </w:tabs>
              <w:spacing w:line="240" w:lineRule="auto" w:before="59"/>
              <w:ind w:right="353"/>
              <w:jc w:val="right"/>
              <w:rPr>
                <w:rFonts w:ascii="Arial" w:hAnsi="Arial" w:cs="Arial" w:eastAsia="Arial" w:hint="default"/>
                <w:sz w:val="15"/>
                <w:szCs w:val="15"/>
              </w:rPr>
            </w:pPr>
            <w:r>
              <w:rPr>
                <w:rFonts w:ascii="Arial"/>
                <w:w w:val="100"/>
                <w:sz w:val="15"/>
              </w:rPr>
            </w:r>
            <w:r>
              <w:rPr>
                <w:rFonts w:ascii="Arial"/>
                <w:w w:val="100"/>
                <w:sz w:val="15"/>
                <w:u w:val="single" w:color="000000"/>
              </w:rPr>
              <w:t> </w:t>
            </w:r>
            <w:r>
              <w:rPr>
                <w:rFonts w:ascii="Arial"/>
                <w:sz w:val="15"/>
                <w:u w:val="single" w:color="000000"/>
              </w:rPr>
              <w:tab/>
              <w:t>-</w:t>
            </w:r>
            <w:r>
              <w:rPr>
                <w:rFonts w:ascii="Arial"/>
                <w:sz w:val="15"/>
              </w:rPr>
            </w:r>
          </w:p>
        </w:tc>
        <w:tc>
          <w:tcPr>
            <w:tcW w:w="1466" w:type="dxa"/>
            <w:tcBorders>
              <w:top w:val="nil" w:sz="6" w:space="0" w:color="auto"/>
              <w:left w:val="nil" w:sz="6" w:space="0" w:color="auto"/>
              <w:bottom w:val="nil" w:sz="6" w:space="0" w:color="auto"/>
              <w:right w:val="nil" w:sz="6" w:space="0" w:color="auto"/>
            </w:tcBorders>
          </w:tcPr>
          <w:p>
            <w:pPr>
              <w:pStyle w:val="TableParagraph"/>
              <w:tabs>
                <w:tab w:pos="827" w:val="left" w:leader="none"/>
              </w:tabs>
              <w:spacing w:line="240" w:lineRule="auto" w:before="59"/>
              <w:ind w:right="307"/>
              <w:jc w:val="right"/>
              <w:rPr>
                <w:rFonts w:ascii="Arial" w:hAnsi="Arial" w:cs="Arial" w:eastAsia="Arial" w:hint="default"/>
                <w:sz w:val="15"/>
                <w:szCs w:val="15"/>
              </w:rPr>
            </w:pPr>
            <w:r>
              <w:rPr>
                <w:rFonts w:ascii="Arial"/>
                <w:w w:val="100"/>
                <w:sz w:val="15"/>
              </w:rPr>
            </w:r>
            <w:r>
              <w:rPr>
                <w:rFonts w:ascii="Arial"/>
                <w:w w:val="100"/>
                <w:sz w:val="15"/>
                <w:u w:val="single" w:color="000000"/>
              </w:rPr>
              <w:t> </w:t>
            </w:r>
            <w:r>
              <w:rPr>
                <w:rFonts w:ascii="Arial"/>
                <w:sz w:val="15"/>
                <w:u w:val="single" w:color="000000"/>
              </w:rPr>
              <w:tab/>
              <w:t>-</w:t>
            </w:r>
            <w:r>
              <w:rPr>
                <w:rFonts w:ascii="Arial"/>
                <w:sz w:val="15"/>
              </w:rPr>
            </w:r>
          </w:p>
        </w:tc>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1"/>
                <w:sz w:val="20"/>
                <w:u w:val="single" w:color="000000"/>
              </w:rPr>
              <w:t> </w:t>
            </w:r>
            <w:r>
              <w:rPr>
                <w:rFonts w:ascii="Arial"/>
                <w:spacing w:val="-1"/>
                <w:w w:val="95"/>
                <w:sz w:val="20"/>
                <w:u w:val="single" w:color="000000"/>
              </w:rPr>
              <w:t>2,896,357</w:t>
            </w:r>
            <w:r>
              <w:rPr>
                <w:rFonts w:ascii="Arial"/>
                <w:spacing w:val="-1"/>
                <w:w w:val="95"/>
                <w:sz w:val="20"/>
              </w:rPr>
            </w:r>
            <w:r>
              <w:rPr>
                <w:rFonts w:ascii="Arial"/>
                <w:sz w:val="20"/>
              </w:rPr>
            </w:r>
          </w:p>
        </w:tc>
      </w:tr>
      <w:tr>
        <w:trPr>
          <w:trHeight w:val="354" w:hRule="exact"/>
        </w:trPr>
        <w:tc>
          <w:tcPr>
            <w:tcW w:w="1683" w:type="dxa"/>
            <w:tcBorders>
              <w:top w:val="nil" w:sz="6" w:space="0" w:color="auto"/>
              <w:left w:val="nil" w:sz="6" w:space="0" w:color="auto"/>
              <w:bottom w:val="nil" w:sz="6" w:space="0" w:color="auto"/>
              <w:right w:val="nil" w:sz="6" w:space="0" w:color="auto"/>
            </w:tcBorders>
          </w:tcPr>
          <w:p>
            <w:pP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56"/>
              <w:jc w:val="right"/>
              <w:rPr>
                <w:rFonts w:ascii="Arial" w:hAnsi="Arial" w:cs="Arial" w:eastAsia="Arial" w:hint="default"/>
                <w:sz w:val="20"/>
                <w:szCs w:val="20"/>
              </w:rPr>
            </w:pPr>
            <w:r>
              <w:rPr>
                <w:rFonts w:ascii="Arial"/>
                <w:w w:val="99"/>
                <w:sz w:val="20"/>
              </w:rPr>
            </w:r>
            <w:r>
              <w:rPr>
                <w:rFonts w:ascii="Arial"/>
                <w:spacing w:val="-1"/>
                <w:sz w:val="20"/>
                <w:u w:val="thick" w:color="000000"/>
              </w:rPr>
              <w:t>113,120,712</w:t>
            </w:r>
            <w:r>
              <w:rPr>
                <w:rFonts w:ascii="Arial"/>
                <w:spacing w:val="-1"/>
                <w:sz w:val="20"/>
              </w:rPr>
            </w:r>
            <w:r>
              <w:rPr>
                <w:rFonts w:ascii="Arial"/>
                <w:sz w:val="20"/>
              </w:rPr>
            </w:r>
          </w:p>
        </w:tc>
        <w:tc>
          <w:tcPr>
            <w:tcW w:w="1514" w:type="dxa"/>
            <w:tcBorders>
              <w:top w:val="nil" w:sz="6" w:space="0" w:color="auto"/>
              <w:left w:val="nil" w:sz="6" w:space="0" w:color="auto"/>
              <w:bottom w:val="nil" w:sz="6" w:space="0" w:color="auto"/>
              <w:right w:val="nil" w:sz="6" w:space="0" w:color="auto"/>
            </w:tcBorders>
          </w:tcPr>
          <w:p>
            <w:pPr>
              <w:pStyle w:val="TableParagraph"/>
              <w:tabs>
                <w:tab w:pos="801" w:val="left" w:leader="none"/>
              </w:tabs>
              <w:spacing w:line="240" w:lineRule="auto" w:before="128"/>
              <w:ind w:right="354"/>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w w:val="95"/>
                <w:sz w:val="20"/>
                <w:u w:val="thick" w:color="000000"/>
              </w:rPr>
              <w:t>-</w:t>
            </w:r>
            <w:r>
              <w:rPr>
                <w:rFonts w:ascii="Arial"/>
                <w:w w:val="95"/>
                <w:sz w:val="20"/>
              </w:rPr>
            </w:r>
            <w:r>
              <w:rPr>
                <w:rFonts w:ascii="Arial"/>
                <w:sz w:val="20"/>
              </w:rPr>
            </w:r>
          </w:p>
        </w:tc>
        <w:tc>
          <w:tcPr>
            <w:tcW w:w="1466" w:type="dxa"/>
            <w:tcBorders>
              <w:top w:val="nil" w:sz="6" w:space="0" w:color="auto"/>
              <w:left w:val="nil" w:sz="6" w:space="0" w:color="auto"/>
              <w:bottom w:val="nil" w:sz="6" w:space="0" w:color="auto"/>
              <w:right w:val="nil" w:sz="6" w:space="0" w:color="auto"/>
            </w:tcBorders>
          </w:tcPr>
          <w:p>
            <w:pPr>
              <w:pStyle w:val="TableParagraph"/>
              <w:tabs>
                <w:tab w:pos="801" w:val="left" w:leader="none"/>
              </w:tabs>
              <w:spacing w:line="240" w:lineRule="auto" w:before="128"/>
              <w:ind w:right="308"/>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w w:val="95"/>
                <w:sz w:val="20"/>
                <w:u w:val="thick" w:color="000000"/>
              </w:rPr>
              <w:t>-</w:t>
            </w:r>
            <w:r>
              <w:rPr>
                <w:rFonts w:ascii="Arial"/>
                <w:w w:val="95"/>
                <w:sz w:val="20"/>
              </w:rPr>
            </w:r>
            <w:r>
              <w:rPr>
                <w:rFonts w:ascii="Arial"/>
                <w:sz w:val="20"/>
              </w:rPr>
            </w:r>
          </w:p>
        </w:tc>
        <w:tc>
          <w:tcPr>
            <w:tcW w:w="1998"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113,120,712</w:t>
            </w:r>
            <w:r>
              <w:rPr>
                <w:rFonts w:ascii="Arial"/>
                <w:spacing w:val="-1"/>
                <w:sz w:val="20"/>
              </w:rPr>
            </w:r>
            <w:r>
              <w:rPr>
                <w:rFonts w:ascii="Arial"/>
                <w:sz w:val="20"/>
              </w:rPr>
            </w:r>
          </w:p>
        </w:tc>
      </w:tr>
    </w:tbl>
    <w:p>
      <w:pPr>
        <w:spacing w:line="240" w:lineRule="auto" w:before="2"/>
        <w:rPr>
          <w:rFonts w:ascii="黑体" w:hAnsi="黑体" w:cs="黑体" w:eastAsia="黑体" w:hint="default"/>
          <w:sz w:val="10"/>
          <w:szCs w:val="10"/>
        </w:rPr>
      </w:pPr>
    </w:p>
    <w:p>
      <w:pPr>
        <w:pStyle w:val="BodyText"/>
        <w:spacing w:line="240" w:lineRule="auto" w:before="37"/>
        <w:ind w:left="809" w:right="0"/>
        <w:jc w:val="left"/>
      </w:pPr>
      <w:r>
        <w:rPr>
          <w:rFonts w:ascii="Arial" w:hAnsi="Arial" w:cs="Arial" w:eastAsia="Arial" w:hint="default"/>
        </w:rPr>
        <w:t>2011</w:t>
      </w:r>
      <w:r>
        <w:rPr/>
        <w:t>年</w:t>
      </w:r>
    </w:p>
    <w:p>
      <w:pPr>
        <w:spacing w:line="240" w:lineRule="auto" w:before="12"/>
        <w:rPr>
          <w:rFonts w:ascii="黑体" w:hAnsi="黑体" w:cs="黑体" w:eastAsia="黑体" w:hint="default"/>
          <w:sz w:val="18"/>
          <w:szCs w:val="18"/>
        </w:rPr>
      </w:pPr>
    </w:p>
    <w:tbl>
      <w:tblPr>
        <w:tblW w:w="0" w:type="auto"/>
        <w:jc w:val="left"/>
        <w:tblInd w:w="631" w:type="dxa"/>
        <w:tblLayout w:type="fixed"/>
        <w:tblCellMar>
          <w:top w:w="0" w:type="dxa"/>
          <w:left w:w="0" w:type="dxa"/>
          <w:bottom w:w="0" w:type="dxa"/>
          <w:right w:w="0" w:type="dxa"/>
        </w:tblCellMar>
        <w:tblLook w:val="01E0"/>
      </w:tblPr>
      <w:tblGrid>
        <w:gridCol w:w="1690"/>
        <w:gridCol w:w="1864"/>
        <w:gridCol w:w="1556"/>
        <w:gridCol w:w="1488"/>
        <w:gridCol w:w="2013"/>
      </w:tblGrid>
      <w:tr>
        <w:trPr>
          <w:trHeight w:val="344" w:hRule="exact"/>
        </w:trPr>
        <w:tc>
          <w:tcPr>
            <w:tcW w:w="1690" w:type="dxa"/>
            <w:tcBorders>
              <w:top w:val="nil" w:sz="6" w:space="0" w:color="auto"/>
              <w:left w:val="nil" w:sz="6" w:space="0" w:color="auto"/>
              <w:bottom w:val="nil" w:sz="6" w:space="0" w:color="auto"/>
              <w:right w:val="nil" w:sz="6" w:space="0" w:color="auto"/>
            </w:tcBorders>
          </w:tcPr>
          <w:p>
            <w:pPr>
              <w:pStyle w:val="TableParagraph"/>
              <w:spacing w:line="199" w:lineRule="exact"/>
              <w:ind w:left="200" w:right="0"/>
              <w:jc w:val="left"/>
              <w:rPr>
                <w:rFonts w:ascii="黑体" w:hAnsi="黑体" w:cs="黑体" w:eastAsia="黑体" w:hint="default"/>
                <w:sz w:val="20"/>
                <w:szCs w:val="20"/>
              </w:rPr>
            </w:pPr>
            <w:r>
              <w:rPr>
                <w:rFonts w:ascii="黑体" w:hAnsi="黑体" w:cs="黑体" w:eastAsia="黑体" w:hint="default"/>
                <w:sz w:val="20"/>
                <w:szCs w:val="20"/>
              </w:rPr>
              <w:t>被收购对象</w:t>
            </w:r>
          </w:p>
        </w:tc>
        <w:tc>
          <w:tcPr>
            <w:tcW w:w="1864" w:type="dxa"/>
            <w:tcBorders>
              <w:top w:val="nil" w:sz="6" w:space="0" w:color="auto"/>
              <w:left w:val="nil" w:sz="6" w:space="0" w:color="auto"/>
              <w:bottom w:val="nil" w:sz="6" w:space="0" w:color="auto"/>
              <w:right w:val="nil" w:sz="6" w:space="0" w:color="auto"/>
            </w:tcBorders>
          </w:tcPr>
          <w:p>
            <w:pPr>
              <w:pStyle w:val="TableParagraph"/>
              <w:spacing w:line="214" w:lineRule="exact"/>
              <w:ind w:right="304"/>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r>
              <w:rPr>
                <w:rFonts w:ascii="Arial" w:hAnsi="Arial" w:cs="Arial" w:eastAsia="Arial" w:hint="default"/>
                <w:spacing w:val="-1"/>
                <w:sz w:val="20"/>
                <w:szCs w:val="20"/>
              </w:rPr>
              <w:t>1</w:t>
            </w:r>
            <w:r>
              <w:rPr>
                <w:rFonts w:ascii="黑体" w:hAnsi="黑体" w:cs="黑体" w:eastAsia="黑体" w:hint="default"/>
                <w:spacing w:val="-1"/>
                <w:sz w:val="20"/>
                <w:szCs w:val="20"/>
              </w:rPr>
              <w:t>月</w:t>
            </w:r>
            <w:r>
              <w:rPr>
                <w:rFonts w:ascii="Arial" w:hAnsi="Arial" w:cs="Arial" w:eastAsia="Arial" w:hint="default"/>
                <w:spacing w:val="-1"/>
                <w:sz w:val="20"/>
                <w:szCs w:val="20"/>
              </w:rPr>
              <w:t>1</w:t>
            </w:r>
            <w:r>
              <w:rPr>
                <w:rFonts w:ascii="黑体" w:hAnsi="黑体" w:cs="黑体" w:eastAsia="黑体" w:hint="default"/>
                <w:spacing w:val="-1"/>
                <w:sz w:val="20"/>
                <w:szCs w:val="20"/>
              </w:rPr>
              <w:t>日</w:t>
            </w:r>
          </w:p>
        </w:tc>
        <w:tc>
          <w:tcPr>
            <w:tcW w:w="1556" w:type="dxa"/>
            <w:tcBorders>
              <w:top w:val="nil" w:sz="6" w:space="0" w:color="auto"/>
              <w:left w:val="nil" w:sz="6" w:space="0" w:color="auto"/>
              <w:bottom w:val="nil" w:sz="6" w:space="0" w:color="auto"/>
              <w:right w:val="nil" w:sz="6" w:space="0" w:color="auto"/>
            </w:tcBorders>
          </w:tcPr>
          <w:p>
            <w:pPr>
              <w:pStyle w:val="TableParagraph"/>
              <w:spacing w:line="199" w:lineRule="exact"/>
              <w:ind w:right="363"/>
              <w:jc w:val="right"/>
              <w:rPr>
                <w:rFonts w:ascii="黑体" w:hAnsi="黑体" w:cs="黑体" w:eastAsia="黑体" w:hint="default"/>
                <w:sz w:val="20"/>
                <w:szCs w:val="20"/>
              </w:rPr>
            </w:pPr>
            <w:r>
              <w:rPr>
                <w:rFonts w:ascii="黑体" w:hAnsi="黑体" w:cs="黑体" w:eastAsia="黑体" w:hint="default"/>
                <w:w w:val="95"/>
                <w:sz w:val="20"/>
                <w:szCs w:val="20"/>
              </w:rPr>
              <w:t>本年增加</w:t>
            </w:r>
            <w:r>
              <w:rPr>
                <w:rFonts w:ascii="黑体" w:hAnsi="黑体" w:cs="黑体" w:eastAsia="黑体" w:hint="default"/>
                <w:sz w:val="20"/>
                <w:szCs w:val="20"/>
              </w:rPr>
            </w:r>
          </w:p>
        </w:tc>
        <w:tc>
          <w:tcPr>
            <w:tcW w:w="1488" w:type="dxa"/>
            <w:tcBorders>
              <w:top w:val="nil" w:sz="6" w:space="0" w:color="auto"/>
              <w:left w:val="nil" w:sz="6" w:space="0" w:color="auto"/>
              <w:bottom w:val="nil" w:sz="6" w:space="0" w:color="auto"/>
              <w:right w:val="nil" w:sz="6" w:space="0" w:color="auto"/>
            </w:tcBorders>
          </w:tcPr>
          <w:p>
            <w:pPr>
              <w:pStyle w:val="TableParagraph"/>
              <w:spacing w:line="199" w:lineRule="exact"/>
              <w:ind w:right="327"/>
              <w:jc w:val="right"/>
              <w:rPr>
                <w:rFonts w:ascii="黑体" w:hAnsi="黑体" w:cs="黑体" w:eastAsia="黑体" w:hint="default"/>
                <w:sz w:val="20"/>
                <w:szCs w:val="20"/>
              </w:rPr>
            </w:pPr>
            <w:r>
              <w:rPr>
                <w:rFonts w:ascii="黑体" w:hAnsi="黑体" w:cs="黑体" w:eastAsia="黑体" w:hint="default"/>
                <w:w w:val="95"/>
                <w:sz w:val="20"/>
                <w:szCs w:val="20"/>
              </w:rPr>
              <w:t>本年减少</w:t>
            </w:r>
            <w:r>
              <w:rPr>
                <w:rFonts w:ascii="黑体" w:hAnsi="黑体" w:cs="黑体" w:eastAsia="黑体" w:hint="default"/>
                <w:sz w:val="20"/>
                <w:szCs w:val="20"/>
              </w:rPr>
            </w:r>
          </w:p>
        </w:tc>
        <w:tc>
          <w:tcPr>
            <w:tcW w:w="2013" w:type="dxa"/>
            <w:tcBorders>
              <w:top w:val="nil" w:sz="6" w:space="0" w:color="auto"/>
              <w:left w:val="nil" w:sz="6" w:space="0" w:color="auto"/>
              <w:bottom w:val="nil" w:sz="6" w:space="0" w:color="auto"/>
              <w:right w:val="nil" w:sz="6" w:space="0" w:color="auto"/>
            </w:tcBorders>
          </w:tcPr>
          <w:p>
            <w:pPr>
              <w:pStyle w:val="TableParagraph"/>
              <w:spacing w:line="214" w:lineRule="exact"/>
              <w:ind w:right="198"/>
              <w:jc w:val="right"/>
              <w:rPr>
                <w:rFonts w:ascii="黑体" w:hAnsi="黑体" w:cs="黑体" w:eastAsia="黑体" w:hint="default"/>
                <w:sz w:val="20"/>
                <w:szCs w:val="20"/>
              </w:rPr>
            </w:pPr>
            <w:r>
              <w:rPr>
                <w:rFonts w:ascii="Arial" w:hAnsi="Arial" w:cs="Arial" w:eastAsia="Arial" w:hint="default"/>
                <w:w w:val="95"/>
                <w:sz w:val="20"/>
                <w:szCs w:val="20"/>
              </w:rPr>
              <w:t>2011</w:t>
            </w:r>
            <w:r>
              <w:rPr>
                <w:rFonts w:ascii="黑体" w:hAnsi="黑体" w:cs="黑体" w:eastAsia="黑体" w:hint="default"/>
                <w:w w:val="95"/>
                <w:sz w:val="20"/>
                <w:szCs w:val="20"/>
              </w:rPr>
              <w:t>年</w:t>
            </w:r>
            <w:r>
              <w:rPr>
                <w:rFonts w:ascii="Arial" w:hAnsi="Arial" w:cs="Arial" w:eastAsia="Arial" w:hint="default"/>
                <w:w w:val="95"/>
                <w:sz w:val="20"/>
                <w:szCs w:val="20"/>
              </w:rPr>
              <w:t>12</w:t>
            </w:r>
            <w:r>
              <w:rPr>
                <w:rFonts w:ascii="黑体" w:hAnsi="黑体" w:cs="黑体" w:eastAsia="黑体" w:hint="default"/>
                <w:w w:val="95"/>
                <w:sz w:val="20"/>
                <w:szCs w:val="20"/>
              </w:rPr>
              <w:t>月</w:t>
            </w:r>
            <w:r>
              <w:rPr>
                <w:rFonts w:ascii="Arial" w:hAnsi="Arial" w:cs="Arial" w:eastAsia="Arial" w:hint="default"/>
                <w:w w:val="95"/>
                <w:sz w:val="20"/>
                <w:szCs w:val="20"/>
              </w:rPr>
              <w:t>31</w:t>
            </w:r>
            <w:r>
              <w:rPr>
                <w:rFonts w:ascii="黑体" w:hAnsi="黑体" w:cs="黑体" w:eastAsia="黑体" w:hint="default"/>
                <w:w w:val="95"/>
                <w:sz w:val="20"/>
                <w:szCs w:val="20"/>
              </w:rPr>
              <w:t>日</w:t>
            </w:r>
            <w:r>
              <w:rPr>
                <w:rFonts w:ascii="黑体" w:hAnsi="黑体" w:cs="黑体" w:eastAsia="黑体" w:hint="default"/>
                <w:sz w:val="20"/>
                <w:szCs w:val="20"/>
              </w:rPr>
            </w:r>
          </w:p>
        </w:tc>
      </w:tr>
      <w:tr>
        <w:trPr>
          <w:trHeight w:val="361" w:hRule="exact"/>
        </w:trPr>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73"/>
              <w:ind w:left="200" w:right="0"/>
              <w:jc w:val="left"/>
              <w:rPr>
                <w:rFonts w:ascii="黑体" w:hAnsi="黑体" w:cs="黑体" w:eastAsia="黑体" w:hint="default"/>
                <w:sz w:val="20"/>
                <w:szCs w:val="20"/>
              </w:rPr>
            </w:pPr>
            <w:r>
              <w:rPr>
                <w:rFonts w:ascii="黑体" w:hAnsi="黑体" w:cs="黑体" w:eastAsia="黑体" w:hint="default"/>
                <w:sz w:val="20"/>
                <w:szCs w:val="20"/>
              </w:rPr>
              <w:t>特博深</w:t>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05"/>
              <w:jc w:val="right"/>
              <w:rPr>
                <w:rFonts w:ascii="Arial" w:hAnsi="Arial" w:cs="Arial" w:eastAsia="Arial" w:hint="default"/>
                <w:sz w:val="20"/>
                <w:szCs w:val="20"/>
              </w:rPr>
            </w:pPr>
            <w:r>
              <w:rPr>
                <w:rFonts w:ascii="Arial"/>
                <w:spacing w:val="-1"/>
                <w:sz w:val="20"/>
              </w:rPr>
              <w:t>37,828,833</w:t>
            </w:r>
            <w:r>
              <w:rPr>
                <w:rFonts w:ascii="Arial"/>
                <w:sz w:val="20"/>
              </w:rPr>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62"/>
              <w:jc w:val="right"/>
              <w:rPr>
                <w:rFonts w:ascii="Arial" w:hAnsi="Arial" w:cs="Arial" w:eastAsia="Arial" w:hint="default"/>
                <w:sz w:val="20"/>
                <w:szCs w:val="20"/>
              </w:rPr>
            </w:pPr>
            <w:r>
              <w:rPr>
                <w:rFonts w:ascii="Arial"/>
                <w:w w:val="99"/>
                <w:sz w:val="20"/>
              </w:rPr>
              <w:t>-</w:t>
            </w:r>
            <w:r>
              <w:rPr>
                <w:rFonts w:ascii="Arial"/>
                <w:sz w:val="20"/>
              </w:rPr>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326"/>
              <w:jc w:val="right"/>
              <w:rPr>
                <w:rFonts w:ascii="Arial" w:hAnsi="Arial" w:cs="Arial" w:eastAsia="Arial" w:hint="default"/>
                <w:sz w:val="20"/>
                <w:szCs w:val="20"/>
              </w:rPr>
            </w:pPr>
            <w:r>
              <w:rPr>
                <w:rFonts w:ascii="Arial"/>
                <w:w w:val="99"/>
                <w:sz w:val="20"/>
              </w:rPr>
              <w:t>-</w:t>
            </w:r>
            <w:r>
              <w:rPr>
                <w:rFonts w:ascii="Arial"/>
                <w:sz w:val="20"/>
              </w:rPr>
            </w:r>
          </w:p>
        </w:tc>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98"/>
              <w:jc w:val="right"/>
              <w:rPr>
                <w:rFonts w:ascii="Arial" w:hAnsi="Arial" w:cs="Arial" w:eastAsia="Arial" w:hint="default"/>
                <w:sz w:val="20"/>
                <w:szCs w:val="20"/>
              </w:rPr>
            </w:pPr>
            <w:r>
              <w:rPr>
                <w:rFonts w:ascii="Arial"/>
                <w:spacing w:val="-1"/>
                <w:sz w:val="20"/>
              </w:rPr>
              <w:t>37,828,833</w:t>
            </w:r>
            <w:r>
              <w:rPr>
                <w:rFonts w:ascii="Arial"/>
                <w:sz w:val="20"/>
              </w:rPr>
            </w:r>
          </w:p>
        </w:tc>
      </w:tr>
      <w:tr>
        <w:trPr>
          <w:trHeight w:val="241" w:hRule="exact"/>
        </w:trPr>
        <w:tc>
          <w:tcPr>
            <w:tcW w:w="1690" w:type="dxa"/>
            <w:tcBorders>
              <w:top w:val="nil" w:sz="6" w:space="0" w:color="auto"/>
              <w:left w:val="nil" w:sz="6" w:space="0" w:color="auto"/>
              <w:bottom w:val="nil" w:sz="6" w:space="0" w:color="auto"/>
              <w:right w:val="nil" w:sz="6" w:space="0" w:color="auto"/>
            </w:tcBorders>
          </w:tcPr>
          <w:p>
            <w:pPr>
              <w:pStyle w:val="TableParagraph"/>
              <w:spacing w:line="216" w:lineRule="exact"/>
              <w:ind w:left="200" w:right="0"/>
              <w:jc w:val="left"/>
              <w:rPr>
                <w:rFonts w:ascii="黑体" w:hAnsi="黑体" w:cs="黑体" w:eastAsia="黑体" w:hint="default"/>
                <w:sz w:val="20"/>
                <w:szCs w:val="20"/>
              </w:rPr>
            </w:pPr>
            <w:r>
              <w:rPr>
                <w:rFonts w:ascii="黑体" w:hAnsi="黑体" w:cs="黑体" w:eastAsia="黑体" w:hint="default"/>
                <w:sz w:val="20"/>
                <w:szCs w:val="20"/>
              </w:rPr>
              <w:t>上海天诺坛网</w:t>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ind w:right="305"/>
              <w:jc w:val="right"/>
              <w:rPr>
                <w:rFonts w:ascii="Arial" w:hAnsi="Arial" w:cs="Arial" w:eastAsia="Arial" w:hint="default"/>
                <w:sz w:val="20"/>
                <w:szCs w:val="20"/>
              </w:rPr>
            </w:pPr>
            <w:r>
              <w:rPr>
                <w:rFonts w:ascii="Arial"/>
                <w:spacing w:val="-1"/>
                <w:sz w:val="20"/>
              </w:rPr>
              <w:t>12,659,937</w:t>
            </w:r>
            <w:r>
              <w:rPr>
                <w:rFonts w:ascii="Arial"/>
                <w:sz w:val="20"/>
              </w:rPr>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ind w:right="362"/>
              <w:jc w:val="right"/>
              <w:rPr>
                <w:rFonts w:ascii="Arial" w:hAnsi="Arial" w:cs="Arial" w:eastAsia="Arial" w:hint="default"/>
                <w:sz w:val="20"/>
                <w:szCs w:val="20"/>
              </w:rPr>
            </w:pPr>
            <w:r>
              <w:rPr>
                <w:rFonts w:ascii="Arial"/>
                <w:w w:val="99"/>
                <w:sz w:val="20"/>
              </w:rPr>
              <w:t>-</w:t>
            </w:r>
            <w:r>
              <w:rPr>
                <w:rFonts w:ascii="Arial"/>
                <w:sz w:val="20"/>
              </w:rPr>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ind w:right="326"/>
              <w:jc w:val="right"/>
              <w:rPr>
                <w:rFonts w:ascii="Arial" w:hAnsi="Arial" w:cs="Arial" w:eastAsia="Arial" w:hint="default"/>
                <w:sz w:val="20"/>
                <w:szCs w:val="20"/>
              </w:rPr>
            </w:pPr>
            <w:r>
              <w:rPr>
                <w:rFonts w:ascii="Arial"/>
                <w:w w:val="99"/>
                <w:sz w:val="20"/>
              </w:rPr>
              <w:t>-</w:t>
            </w:r>
            <w:r>
              <w:rPr>
                <w:rFonts w:ascii="Arial"/>
                <w:sz w:val="20"/>
              </w:rPr>
            </w:r>
          </w:p>
        </w:tc>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ind w:right="198"/>
              <w:jc w:val="right"/>
              <w:rPr>
                <w:rFonts w:ascii="Arial" w:hAnsi="Arial" w:cs="Arial" w:eastAsia="Arial" w:hint="default"/>
                <w:sz w:val="20"/>
                <w:szCs w:val="20"/>
              </w:rPr>
            </w:pPr>
            <w:r>
              <w:rPr>
                <w:rFonts w:ascii="Arial"/>
                <w:spacing w:val="-1"/>
                <w:sz w:val="20"/>
              </w:rPr>
              <w:t>12,659,937</w:t>
            </w:r>
            <w:r>
              <w:rPr>
                <w:rFonts w:ascii="Arial"/>
                <w:sz w:val="20"/>
              </w:rPr>
            </w:r>
          </w:p>
        </w:tc>
      </w:tr>
      <w:tr>
        <w:trPr>
          <w:trHeight w:val="241" w:hRule="exact"/>
        </w:trPr>
        <w:tc>
          <w:tcPr>
            <w:tcW w:w="1690"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黑体" w:hAnsi="黑体" w:cs="黑体" w:eastAsia="黑体" w:hint="default"/>
                <w:sz w:val="20"/>
                <w:szCs w:val="20"/>
              </w:rPr>
            </w:pPr>
            <w:r>
              <w:rPr>
                <w:rFonts w:ascii="黑体" w:hAnsi="黑体" w:cs="黑体" w:eastAsia="黑体" w:hint="default"/>
                <w:sz w:val="20"/>
                <w:szCs w:val="20"/>
              </w:rPr>
              <w:t>重庆迈特</w:t>
            </w:r>
          </w:p>
        </w:tc>
        <w:tc>
          <w:tcPr>
            <w:tcW w:w="1864" w:type="dxa"/>
            <w:tcBorders>
              <w:top w:val="nil" w:sz="6" w:space="0" w:color="auto"/>
              <w:left w:val="nil" w:sz="6" w:space="0" w:color="auto"/>
              <w:bottom w:val="nil" w:sz="6" w:space="0" w:color="auto"/>
              <w:right w:val="nil" w:sz="6" w:space="0" w:color="auto"/>
            </w:tcBorders>
          </w:tcPr>
          <w:p>
            <w:pPr>
              <w:pStyle w:val="TableParagraph"/>
              <w:spacing w:line="229" w:lineRule="exact"/>
              <w:ind w:right="304"/>
              <w:jc w:val="right"/>
              <w:rPr>
                <w:rFonts w:ascii="Arial" w:hAnsi="Arial" w:cs="Arial" w:eastAsia="Arial" w:hint="default"/>
                <w:sz w:val="20"/>
                <w:szCs w:val="20"/>
              </w:rPr>
            </w:pPr>
            <w:r>
              <w:rPr>
                <w:rFonts w:ascii="Arial"/>
                <w:spacing w:val="-1"/>
                <w:sz w:val="20"/>
              </w:rPr>
              <w:t>5,709,400</w:t>
            </w:r>
          </w:p>
        </w:tc>
        <w:tc>
          <w:tcPr>
            <w:tcW w:w="1556" w:type="dxa"/>
            <w:tcBorders>
              <w:top w:val="nil" w:sz="6" w:space="0" w:color="auto"/>
              <w:left w:val="nil" w:sz="6" w:space="0" w:color="auto"/>
              <w:bottom w:val="nil" w:sz="6" w:space="0" w:color="auto"/>
              <w:right w:val="nil" w:sz="6" w:space="0" w:color="auto"/>
            </w:tcBorders>
          </w:tcPr>
          <w:p>
            <w:pPr>
              <w:pStyle w:val="TableParagraph"/>
              <w:spacing w:line="229" w:lineRule="exact"/>
              <w:ind w:right="362"/>
              <w:jc w:val="right"/>
              <w:rPr>
                <w:rFonts w:ascii="Arial" w:hAnsi="Arial" w:cs="Arial" w:eastAsia="Arial" w:hint="default"/>
                <w:sz w:val="20"/>
                <w:szCs w:val="20"/>
              </w:rPr>
            </w:pPr>
            <w:r>
              <w:rPr>
                <w:rFonts w:ascii="Arial"/>
                <w:w w:val="99"/>
                <w:sz w:val="20"/>
              </w:rPr>
              <w:t>-</w:t>
            </w:r>
            <w:r>
              <w:rPr>
                <w:rFonts w:ascii="Arial"/>
                <w:sz w:val="20"/>
              </w:rPr>
            </w:r>
          </w:p>
        </w:tc>
        <w:tc>
          <w:tcPr>
            <w:tcW w:w="1488" w:type="dxa"/>
            <w:tcBorders>
              <w:top w:val="nil" w:sz="6" w:space="0" w:color="auto"/>
              <w:left w:val="nil" w:sz="6" w:space="0" w:color="auto"/>
              <w:bottom w:val="nil" w:sz="6" w:space="0" w:color="auto"/>
              <w:right w:val="nil" w:sz="6" w:space="0" w:color="auto"/>
            </w:tcBorders>
          </w:tcPr>
          <w:p>
            <w:pPr>
              <w:pStyle w:val="TableParagraph"/>
              <w:spacing w:line="229" w:lineRule="exact"/>
              <w:ind w:right="326"/>
              <w:jc w:val="right"/>
              <w:rPr>
                <w:rFonts w:ascii="Arial" w:hAnsi="Arial" w:cs="Arial" w:eastAsia="Arial" w:hint="default"/>
                <w:sz w:val="20"/>
                <w:szCs w:val="20"/>
              </w:rPr>
            </w:pPr>
            <w:r>
              <w:rPr>
                <w:rFonts w:ascii="Arial"/>
                <w:w w:val="99"/>
                <w:sz w:val="20"/>
              </w:rPr>
              <w:t>-</w:t>
            </w:r>
            <w:r>
              <w:rPr>
                <w:rFonts w:ascii="Arial"/>
                <w:sz w:val="20"/>
              </w:rPr>
            </w:r>
          </w:p>
        </w:tc>
        <w:tc>
          <w:tcPr>
            <w:tcW w:w="2013" w:type="dxa"/>
            <w:tcBorders>
              <w:top w:val="nil" w:sz="6" w:space="0" w:color="auto"/>
              <w:left w:val="nil" w:sz="6" w:space="0" w:color="auto"/>
              <w:bottom w:val="nil" w:sz="6" w:space="0" w:color="auto"/>
              <w:right w:val="nil" w:sz="6" w:space="0" w:color="auto"/>
            </w:tcBorders>
          </w:tcPr>
          <w:p>
            <w:pPr>
              <w:pStyle w:val="TableParagraph"/>
              <w:spacing w:line="229" w:lineRule="exact"/>
              <w:ind w:right="198"/>
              <w:jc w:val="right"/>
              <w:rPr>
                <w:rFonts w:ascii="Arial" w:hAnsi="Arial" w:cs="Arial" w:eastAsia="Arial" w:hint="default"/>
                <w:sz w:val="20"/>
                <w:szCs w:val="20"/>
              </w:rPr>
            </w:pPr>
            <w:r>
              <w:rPr>
                <w:rFonts w:ascii="Arial"/>
                <w:spacing w:val="-1"/>
                <w:sz w:val="20"/>
              </w:rPr>
              <w:t>5,709,400</w:t>
            </w:r>
          </w:p>
        </w:tc>
      </w:tr>
      <w:tr>
        <w:trPr>
          <w:trHeight w:val="241" w:hRule="exact"/>
        </w:trPr>
        <w:tc>
          <w:tcPr>
            <w:tcW w:w="1690" w:type="dxa"/>
            <w:tcBorders>
              <w:top w:val="nil" w:sz="6" w:space="0" w:color="auto"/>
              <w:left w:val="nil" w:sz="6" w:space="0" w:color="auto"/>
              <w:bottom w:val="nil" w:sz="6" w:space="0" w:color="auto"/>
              <w:right w:val="nil" w:sz="6" w:space="0" w:color="auto"/>
            </w:tcBorders>
          </w:tcPr>
          <w:p>
            <w:pPr>
              <w:pStyle w:val="TableParagraph"/>
              <w:spacing w:line="216" w:lineRule="exact"/>
              <w:ind w:left="200" w:right="0"/>
              <w:jc w:val="left"/>
              <w:rPr>
                <w:rFonts w:ascii="黑体" w:hAnsi="黑体" w:cs="黑体" w:eastAsia="黑体" w:hint="default"/>
                <w:sz w:val="20"/>
                <w:szCs w:val="20"/>
              </w:rPr>
            </w:pPr>
            <w:r>
              <w:rPr>
                <w:rFonts w:ascii="黑体" w:hAnsi="黑体" w:cs="黑体" w:eastAsia="黑体" w:hint="default"/>
                <w:sz w:val="20"/>
                <w:szCs w:val="20"/>
              </w:rPr>
              <w:t>上海哈久</w:t>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ind w:right="304"/>
              <w:jc w:val="right"/>
              <w:rPr>
                <w:rFonts w:ascii="Arial" w:hAnsi="Arial" w:cs="Arial" w:eastAsia="Arial" w:hint="default"/>
                <w:sz w:val="20"/>
                <w:szCs w:val="20"/>
              </w:rPr>
            </w:pPr>
            <w:r>
              <w:rPr>
                <w:rFonts w:ascii="Arial"/>
                <w:spacing w:val="-1"/>
                <w:sz w:val="20"/>
              </w:rPr>
              <w:t>6,637,723</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ind w:right="362"/>
              <w:jc w:val="right"/>
              <w:rPr>
                <w:rFonts w:ascii="Arial" w:hAnsi="Arial" w:cs="Arial" w:eastAsia="Arial" w:hint="default"/>
                <w:sz w:val="20"/>
                <w:szCs w:val="20"/>
              </w:rPr>
            </w:pPr>
            <w:r>
              <w:rPr>
                <w:rFonts w:ascii="Arial"/>
                <w:w w:val="99"/>
                <w:sz w:val="20"/>
              </w:rPr>
              <w:t>-</w:t>
            </w:r>
            <w:r>
              <w:rPr>
                <w:rFonts w:ascii="Arial"/>
                <w:sz w:val="20"/>
              </w:rPr>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ind w:right="326"/>
              <w:jc w:val="right"/>
              <w:rPr>
                <w:rFonts w:ascii="Arial" w:hAnsi="Arial" w:cs="Arial" w:eastAsia="Arial" w:hint="default"/>
                <w:sz w:val="20"/>
                <w:szCs w:val="20"/>
              </w:rPr>
            </w:pPr>
            <w:r>
              <w:rPr>
                <w:rFonts w:ascii="Arial"/>
                <w:w w:val="99"/>
                <w:sz w:val="20"/>
              </w:rPr>
              <w:t>-</w:t>
            </w:r>
            <w:r>
              <w:rPr>
                <w:rFonts w:ascii="Arial"/>
                <w:sz w:val="20"/>
              </w:rPr>
            </w:r>
          </w:p>
        </w:tc>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ind w:right="198"/>
              <w:jc w:val="right"/>
              <w:rPr>
                <w:rFonts w:ascii="Arial" w:hAnsi="Arial" w:cs="Arial" w:eastAsia="Arial" w:hint="default"/>
                <w:sz w:val="20"/>
                <w:szCs w:val="20"/>
              </w:rPr>
            </w:pPr>
            <w:r>
              <w:rPr>
                <w:rFonts w:ascii="Arial"/>
                <w:spacing w:val="-1"/>
                <w:sz w:val="20"/>
              </w:rPr>
              <w:t>6,637,723</w:t>
            </w:r>
          </w:p>
        </w:tc>
      </w:tr>
      <w:tr>
        <w:trPr>
          <w:trHeight w:val="241" w:hRule="exact"/>
        </w:trPr>
        <w:tc>
          <w:tcPr>
            <w:tcW w:w="1690"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黑体" w:hAnsi="黑体" w:cs="黑体" w:eastAsia="黑体" w:hint="default"/>
                <w:sz w:val="20"/>
                <w:szCs w:val="20"/>
              </w:rPr>
            </w:pPr>
            <w:r>
              <w:rPr>
                <w:rFonts w:ascii="黑体" w:hAnsi="黑体" w:cs="黑体" w:eastAsia="黑体" w:hint="default"/>
                <w:sz w:val="20"/>
                <w:szCs w:val="20"/>
              </w:rPr>
              <w:t>时空超越</w:t>
            </w:r>
          </w:p>
        </w:tc>
        <w:tc>
          <w:tcPr>
            <w:tcW w:w="1864" w:type="dxa"/>
            <w:tcBorders>
              <w:top w:val="nil" w:sz="6" w:space="0" w:color="auto"/>
              <w:left w:val="nil" w:sz="6" w:space="0" w:color="auto"/>
              <w:bottom w:val="nil" w:sz="6" w:space="0" w:color="auto"/>
              <w:right w:val="nil" w:sz="6" w:space="0" w:color="auto"/>
            </w:tcBorders>
          </w:tcPr>
          <w:p>
            <w:pPr>
              <w:pStyle w:val="TableParagraph"/>
              <w:spacing w:line="229" w:lineRule="exact"/>
              <w:ind w:right="304"/>
              <w:jc w:val="right"/>
              <w:rPr>
                <w:rFonts w:ascii="Arial" w:hAnsi="Arial" w:cs="Arial" w:eastAsia="Arial" w:hint="default"/>
                <w:sz w:val="20"/>
                <w:szCs w:val="20"/>
              </w:rPr>
            </w:pPr>
            <w:r>
              <w:rPr>
                <w:rFonts w:ascii="Arial"/>
                <w:spacing w:val="-1"/>
                <w:sz w:val="20"/>
              </w:rPr>
              <w:t>35,997,518</w:t>
            </w:r>
          </w:p>
        </w:tc>
        <w:tc>
          <w:tcPr>
            <w:tcW w:w="1556" w:type="dxa"/>
            <w:tcBorders>
              <w:top w:val="nil" w:sz="6" w:space="0" w:color="auto"/>
              <w:left w:val="nil" w:sz="6" w:space="0" w:color="auto"/>
              <w:bottom w:val="nil" w:sz="6" w:space="0" w:color="auto"/>
              <w:right w:val="nil" w:sz="6" w:space="0" w:color="auto"/>
            </w:tcBorders>
          </w:tcPr>
          <w:p>
            <w:pPr>
              <w:pStyle w:val="TableParagraph"/>
              <w:spacing w:line="229" w:lineRule="exact"/>
              <w:ind w:right="362"/>
              <w:jc w:val="right"/>
              <w:rPr>
                <w:rFonts w:ascii="Arial" w:hAnsi="Arial" w:cs="Arial" w:eastAsia="Arial" w:hint="default"/>
                <w:sz w:val="20"/>
                <w:szCs w:val="20"/>
              </w:rPr>
            </w:pPr>
            <w:r>
              <w:rPr>
                <w:rFonts w:ascii="Arial"/>
                <w:w w:val="99"/>
                <w:sz w:val="20"/>
              </w:rPr>
              <w:t>-</w:t>
            </w:r>
            <w:r>
              <w:rPr>
                <w:rFonts w:ascii="Arial"/>
                <w:sz w:val="20"/>
              </w:rPr>
            </w:r>
          </w:p>
        </w:tc>
        <w:tc>
          <w:tcPr>
            <w:tcW w:w="1488" w:type="dxa"/>
            <w:tcBorders>
              <w:top w:val="nil" w:sz="6" w:space="0" w:color="auto"/>
              <w:left w:val="nil" w:sz="6" w:space="0" w:color="auto"/>
              <w:bottom w:val="nil" w:sz="6" w:space="0" w:color="auto"/>
              <w:right w:val="nil" w:sz="6" w:space="0" w:color="auto"/>
            </w:tcBorders>
          </w:tcPr>
          <w:p>
            <w:pPr>
              <w:pStyle w:val="TableParagraph"/>
              <w:spacing w:line="229" w:lineRule="exact"/>
              <w:ind w:right="326"/>
              <w:jc w:val="right"/>
              <w:rPr>
                <w:rFonts w:ascii="Arial" w:hAnsi="Arial" w:cs="Arial" w:eastAsia="Arial" w:hint="default"/>
                <w:sz w:val="20"/>
                <w:szCs w:val="20"/>
              </w:rPr>
            </w:pPr>
            <w:r>
              <w:rPr>
                <w:rFonts w:ascii="Arial"/>
                <w:w w:val="99"/>
                <w:sz w:val="20"/>
              </w:rPr>
              <w:t>-</w:t>
            </w:r>
            <w:r>
              <w:rPr>
                <w:rFonts w:ascii="Arial"/>
                <w:sz w:val="20"/>
              </w:rPr>
            </w:r>
          </w:p>
        </w:tc>
        <w:tc>
          <w:tcPr>
            <w:tcW w:w="2013" w:type="dxa"/>
            <w:tcBorders>
              <w:top w:val="nil" w:sz="6" w:space="0" w:color="auto"/>
              <w:left w:val="nil" w:sz="6" w:space="0" w:color="auto"/>
              <w:bottom w:val="nil" w:sz="6" w:space="0" w:color="auto"/>
              <w:right w:val="nil" w:sz="6" w:space="0" w:color="auto"/>
            </w:tcBorders>
          </w:tcPr>
          <w:p>
            <w:pPr>
              <w:pStyle w:val="TableParagraph"/>
              <w:spacing w:line="229" w:lineRule="exact"/>
              <w:ind w:right="198"/>
              <w:jc w:val="right"/>
              <w:rPr>
                <w:rFonts w:ascii="Arial" w:hAnsi="Arial" w:cs="Arial" w:eastAsia="Arial" w:hint="default"/>
                <w:sz w:val="20"/>
                <w:szCs w:val="20"/>
              </w:rPr>
            </w:pPr>
            <w:r>
              <w:rPr>
                <w:rFonts w:ascii="Arial"/>
                <w:spacing w:val="-1"/>
                <w:sz w:val="20"/>
              </w:rPr>
              <w:t>35,997,518</w:t>
            </w:r>
          </w:p>
        </w:tc>
      </w:tr>
      <w:tr>
        <w:trPr>
          <w:trHeight w:val="241" w:hRule="exact"/>
        </w:trPr>
        <w:tc>
          <w:tcPr>
            <w:tcW w:w="1690" w:type="dxa"/>
            <w:tcBorders>
              <w:top w:val="nil" w:sz="6" w:space="0" w:color="auto"/>
              <w:left w:val="nil" w:sz="6" w:space="0" w:color="auto"/>
              <w:bottom w:val="nil" w:sz="6" w:space="0" w:color="auto"/>
              <w:right w:val="nil" w:sz="6" w:space="0" w:color="auto"/>
            </w:tcBorders>
          </w:tcPr>
          <w:p>
            <w:pPr>
              <w:pStyle w:val="TableParagraph"/>
              <w:spacing w:line="216" w:lineRule="exact"/>
              <w:ind w:left="200" w:right="0"/>
              <w:jc w:val="left"/>
              <w:rPr>
                <w:rFonts w:ascii="黑体" w:hAnsi="黑体" w:cs="黑体" w:eastAsia="黑体" w:hint="default"/>
                <w:sz w:val="20"/>
                <w:szCs w:val="20"/>
              </w:rPr>
            </w:pPr>
            <w:r>
              <w:rPr>
                <w:rFonts w:ascii="黑体" w:hAnsi="黑体" w:cs="黑体" w:eastAsia="黑体" w:hint="default"/>
                <w:sz w:val="20"/>
                <w:szCs w:val="20"/>
              </w:rPr>
              <w:t>珠海用友</w:t>
            </w: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ind w:right="304"/>
              <w:jc w:val="right"/>
              <w:rPr>
                <w:rFonts w:ascii="Arial" w:hAnsi="Arial" w:cs="Arial" w:eastAsia="Arial" w:hint="default"/>
                <w:sz w:val="20"/>
                <w:szCs w:val="20"/>
              </w:rPr>
            </w:pPr>
            <w:r>
              <w:rPr>
                <w:rFonts w:ascii="Arial"/>
                <w:spacing w:val="-1"/>
                <w:sz w:val="20"/>
              </w:rPr>
              <w:t>4,778,619</w:t>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ind w:right="362"/>
              <w:jc w:val="right"/>
              <w:rPr>
                <w:rFonts w:ascii="Arial" w:hAnsi="Arial" w:cs="Arial" w:eastAsia="Arial" w:hint="default"/>
                <w:sz w:val="20"/>
                <w:szCs w:val="20"/>
              </w:rPr>
            </w:pPr>
            <w:r>
              <w:rPr>
                <w:rFonts w:ascii="Arial"/>
                <w:w w:val="99"/>
                <w:sz w:val="20"/>
              </w:rPr>
              <w:t>-</w:t>
            </w:r>
            <w:r>
              <w:rPr>
                <w:rFonts w:ascii="Arial"/>
                <w:sz w:val="20"/>
              </w:rPr>
            </w:r>
          </w:p>
        </w:tc>
        <w:tc>
          <w:tcPr>
            <w:tcW w:w="1488" w:type="dxa"/>
            <w:tcBorders>
              <w:top w:val="nil" w:sz="6" w:space="0" w:color="auto"/>
              <w:left w:val="nil" w:sz="6" w:space="0" w:color="auto"/>
              <w:bottom w:val="nil" w:sz="6" w:space="0" w:color="auto"/>
              <w:right w:val="nil" w:sz="6" w:space="0" w:color="auto"/>
            </w:tcBorders>
          </w:tcPr>
          <w:p>
            <w:pPr>
              <w:pStyle w:val="TableParagraph"/>
              <w:spacing w:line="240" w:lineRule="auto"/>
              <w:ind w:right="326"/>
              <w:jc w:val="right"/>
              <w:rPr>
                <w:rFonts w:ascii="Arial" w:hAnsi="Arial" w:cs="Arial" w:eastAsia="Arial" w:hint="default"/>
                <w:sz w:val="20"/>
                <w:szCs w:val="20"/>
              </w:rPr>
            </w:pPr>
            <w:r>
              <w:rPr>
                <w:rFonts w:ascii="Arial"/>
                <w:w w:val="99"/>
                <w:sz w:val="20"/>
              </w:rPr>
              <w:t>-</w:t>
            </w:r>
            <w:r>
              <w:rPr>
                <w:rFonts w:ascii="Arial"/>
                <w:sz w:val="20"/>
              </w:rPr>
            </w:r>
          </w:p>
        </w:tc>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ind w:right="198"/>
              <w:jc w:val="right"/>
              <w:rPr>
                <w:rFonts w:ascii="Arial" w:hAnsi="Arial" w:cs="Arial" w:eastAsia="Arial" w:hint="default"/>
                <w:sz w:val="20"/>
                <w:szCs w:val="20"/>
              </w:rPr>
            </w:pPr>
            <w:r>
              <w:rPr>
                <w:rFonts w:ascii="Arial"/>
                <w:spacing w:val="-1"/>
                <w:sz w:val="20"/>
              </w:rPr>
              <w:t>4,778,619</w:t>
            </w:r>
          </w:p>
        </w:tc>
      </w:tr>
      <w:tr>
        <w:trPr>
          <w:trHeight w:val="240" w:hRule="exact"/>
        </w:trPr>
        <w:tc>
          <w:tcPr>
            <w:tcW w:w="1690"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黑体" w:hAnsi="黑体" w:cs="黑体" w:eastAsia="黑体" w:hint="default"/>
                <w:sz w:val="20"/>
                <w:szCs w:val="20"/>
              </w:rPr>
            </w:pPr>
            <w:r>
              <w:rPr>
                <w:rFonts w:ascii="黑体" w:hAnsi="黑体" w:cs="黑体" w:eastAsia="黑体" w:hint="default"/>
                <w:sz w:val="20"/>
                <w:szCs w:val="20"/>
              </w:rPr>
              <w:t>徐州用友</w:t>
            </w:r>
          </w:p>
        </w:tc>
        <w:tc>
          <w:tcPr>
            <w:tcW w:w="1864" w:type="dxa"/>
            <w:tcBorders>
              <w:top w:val="nil" w:sz="6" w:space="0" w:color="auto"/>
              <w:left w:val="nil" w:sz="6" w:space="0" w:color="auto"/>
              <w:bottom w:val="nil" w:sz="6" w:space="0" w:color="auto"/>
              <w:right w:val="nil" w:sz="6" w:space="0" w:color="auto"/>
            </w:tcBorders>
          </w:tcPr>
          <w:p>
            <w:pPr>
              <w:pStyle w:val="TableParagraph"/>
              <w:spacing w:line="229" w:lineRule="exact"/>
              <w:ind w:right="304"/>
              <w:jc w:val="right"/>
              <w:rPr>
                <w:rFonts w:ascii="Arial" w:hAnsi="Arial" w:cs="Arial" w:eastAsia="Arial" w:hint="default"/>
                <w:sz w:val="20"/>
                <w:szCs w:val="20"/>
              </w:rPr>
            </w:pPr>
            <w:r>
              <w:rPr>
                <w:rFonts w:ascii="Arial"/>
                <w:spacing w:val="-1"/>
                <w:sz w:val="20"/>
              </w:rPr>
              <w:t>3,497,241</w:t>
            </w:r>
          </w:p>
        </w:tc>
        <w:tc>
          <w:tcPr>
            <w:tcW w:w="1556" w:type="dxa"/>
            <w:tcBorders>
              <w:top w:val="nil" w:sz="6" w:space="0" w:color="auto"/>
              <w:left w:val="nil" w:sz="6" w:space="0" w:color="auto"/>
              <w:bottom w:val="nil" w:sz="6" w:space="0" w:color="auto"/>
              <w:right w:val="nil" w:sz="6" w:space="0" w:color="auto"/>
            </w:tcBorders>
          </w:tcPr>
          <w:p>
            <w:pPr>
              <w:pStyle w:val="TableParagraph"/>
              <w:spacing w:line="229" w:lineRule="exact"/>
              <w:ind w:right="362"/>
              <w:jc w:val="right"/>
              <w:rPr>
                <w:rFonts w:ascii="Arial" w:hAnsi="Arial" w:cs="Arial" w:eastAsia="Arial" w:hint="default"/>
                <w:sz w:val="20"/>
                <w:szCs w:val="20"/>
              </w:rPr>
            </w:pPr>
            <w:r>
              <w:rPr>
                <w:rFonts w:ascii="Arial"/>
                <w:w w:val="99"/>
                <w:sz w:val="20"/>
              </w:rPr>
              <w:t>-</w:t>
            </w:r>
            <w:r>
              <w:rPr>
                <w:rFonts w:ascii="Arial"/>
                <w:sz w:val="20"/>
              </w:rPr>
            </w:r>
          </w:p>
        </w:tc>
        <w:tc>
          <w:tcPr>
            <w:tcW w:w="1488" w:type="dxa"/>
            <w:tcBorders>
              <w:top w:val="nil" w:sz="6" w:space="0" w:color="auto"/>
              <w:left w:val="nil" w:sz="6" w:space="0" w:color="auto"/>
              <w:bottom w:val="nil" w:sz="6" w:space="0" w:color="auto"/>
              <w:right w:val="nil" w:sz="6" w:space="0" w:color="auto"/>
            </w:tcBorders>
          </w:tcPr>
          <w:p>
            <w:pPr>
              <w:pStyle w:val="TableParagraph"/>
              <w:spacing w:line="229" w:lineRule="exact"/>
              <w:ind w:right="326"/>
              <w:jc w:val="right"/>
              <w:rPr>
                <w:rFonts w:ascii="Arial" w:hAnsi="Arial" w:cs="Arial" w:eastAsia="Arial" w:hint="default"/>
                <w:sz w:val="20"/>
                <w:szCs w:val="20"/>
              </w:rPr>
            </w:pPr>
            <w:r>
              <w:rPr>
                <w:rFonts w:ascii="Arial"/>
                <w:w w:val="99"/>
                <w:sz w:val="20"/>
              </w:rPr>
              <w:t>-</w:t>
            </w:r>
            <w:r>
              <w:rPr>
                <w:rFonts w:ascii="Arial"/>
                <w:sz w:val="20"/>
              </w:rPr>
            </w:r>
          </w:p>
        </w:tc>
        <w:tc>
          <w:tcPr>
            <w:tcW w:w="2013" w:type="dxa"/>
            <w:tcBorders>
              <w:top w:val="nil" w:sz="6" w:space="0" w:color="auto"/>
              <w:left w:val="nil" w:sz="6" w:space="0" w:color="auto"/>
              <w:bottom w:val="nil" w:sz="6" w:space="0" w:color="auto"/>
              <w:right w:val="nil" w:sz="6" w:space="0" w:color="auto"/>
            </w:tcBorders>
          </w:tcPr>
          <w:p>
            <w:pPr>
              <w:pStyle w:val="TableParagraph"/>
              <w:spacing w:line="229" w:lineRule="exact"/>
              <w:ind w:right="198"/>
              <w:jc w:val="right"/>
              <w:rPr>
                <w:rFonts w:ascii="Arial" w:hAnsi="Arial" w:cs="Arial" w:eastAsia="Arial" w:hint="default"/>
                <w:sz w:val="20"/>
                <w:szCs w:val="20"/>
              </w:rPr>
            </w:pPr>
            <w:r>
              <w:rPr>
                <w:rFonts w:ascii="Arial"/>
                <w:spacing w:val="-1"/>
                <w:sz w:val="20"/>
              </w:rPr>
              <w:t>3,497,241</w:t>
            </w:r>
          </w:p>
        </w:tc>
      </w:tr>
      <w:tr>
        <w:trPr>
          <w:trHeight w:val="241" w:hRule="exact"/>
        </w:trPr>
        <w:tc>
          <w:tcPr>
            <w:tcW w:w="1690"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黑体" w:hAnsi="黑体" w:cs="黑体" w:eastAsia="黑体" w:hint="default"/>
                <w:sz w:val="20"/>
                <w:szCs w:val="20"/>
              </w:rPr>
            </w:pPr>
            <w:r>
              <w:rPr>
                <w:rFonts w:ascii="黑体" w:hAnsi="黑体" w:cs="黑体" w:eastAsia="黑体" w:hint="default"/>
                <w:sz w:val="20"/>
                <w:szCs w:val="20"/>
              </w:rPr>
              <w:t>常州用友</w:t>
            </w:r>
          </w:p>
        </w:tc>
        <w:tc>
          <w:tcPr>
            <w:tcW w:w="1864" w:type="dxa"/>
            <w:tcBorders>
              <w:top w:val="nil" w:sz="6" w:space="0" w:color="auto"/>
              <w:left w:val="nil" w:sz="6" w:space="0" w:color="auto"/>
              <w:bottom w:val="nil" w:sz="6" w:space="0" w:color="auto"/>
              <w:right w:val="nil" w:sz="6" w:space="0" w:color="auto"/>
            </w:tcBorders>
          </w:tcPr>
          <w:p>
            <w:pPr>
              <w:pStyle w:val="TableParagraph"/>
              <w:spacing w:line="229" w:lineRule="exact"/>
              <w:ind w:right="305"/>
              <w:jc w:val="right"/>
              <w:rPr>
                <w:rFonts w:ascii="Arial" w:hAnsi="Arial" w:cs="Arial" w:eastAsia="Arial" w:hint="default"/>
                <w:sz w:val="20"/>
                <w:szCs w:val="20"/>
              </w:rPr>
            </w:pPr>
            <w:r>
              <w:rPr>
                <w:rFonts w:ascii="Arial"/>
                <w:spacing w:val="-1"/>
                <w:w w:val="95"/>
                <w:sz w:val="20"/>
              </w:rPr>
              <w:t>3,115,084</w:t>
            </w:r>
            <w:r>
              <w:rPr>
                <w:rFonts w:ascii="Arial"/>
                <w:sz w:val="20"/>
              </w:rPr>
            </w:r>
          </w:p>
        </w:tc>
        <w:tc>
          <w:tcPr>
            <w:tcW w:w="1556" w:type="dxa"/>
            <w:tcBorders>
              <w:top w:val="nil" w:sz="6" w:space="0" w:color="auto"/>
              <w:left w:val="nil" w:sz="6" w:space="0" w:color="auto"/>
              <w:bottom w:val="nil" w:sz="6" w:space="0" w:color="auto"/>
              <w:right w:val="nil" w:sz="6" w:space="0" w:color="auto"/>
            </w:tcBorders>
          </w:tcPr>
          <w:p>
            <w:pPr>
              <w:pStyle w:val="TableParagraph"/>
              <w:spacing w:line="229" w:lineRule="exact"/>
              <w:ind w:right="359"/>
              <w:jc w:val="right"/>
              <w:rPr>
                <w:rFonts w:ascii="Arial" w:hAnsi="Arial" w:cs="Arial" w:eastAsia="Arial" w:hint="default"/>
                <w:sz w:val="20"/>
                <w:szCs w:val="20"/>
              </w:rPr>
            </w:pPr>
            <w:r>
              <w:rPr>
                <w:rFonts w:ascii="Arial"/>
                <w:w w:val="99"/>
                <w:sz w:val="20"/>
              </w:rPr>
              <w:t>-</w:t>
            </w:r>
            <w:r>
              <w:rPr>
                <w:rFonts w:ascii="Arial"/>
                <w:sz w:val="20"/>
              </w:rPr>
            </w:r>
          </w:p>
        </w:tc>
        <w:tc>
          <w:tcPr>
            <w:tcW w:w="1488" w:type="dxa"/>
            <w:tcBorders>
              <w:top w:val="nil" w:sz="6" w:space="0" w:color="auto"/>
              <w:left w:val="nil" w:sz="6" w:space="0" w:color="auto"/>
              <w:bottom w:val="nil" w:sz="6" w:space="0" w:color="auto"/>
              <w:right w:val="nil" w:sz="6" w:space="0" w:color="auto"/>
            </w:tcBorders>
          </w:tcPr>
          <w:p>
            <w:pPr>
              <w:pStyle w:val="TableParagraph"/>
              <w:spacing w:line="229" w:lineRule="exact"/>
              <w:ind w:right="324"/>
              <w:jc w:val="right"/>
              <w:rPr>
                <w:rFonts w:ascii="Arial" w:hAnsi="Arial" w:cs="Arial" w:eastAsia="Arial" w:hint="default"/>
                <w:sz w:val="20"/>
                <w:szCs w:val="20"/>
              </w:rPr>
            </w:pPr>
            <w:r>
              <w:rPr>
                <w:rFonts w:ascii="Arial"/>
                <w:w w:val="99"/>
                <w:sz w:val="20"/>
              </w:rPr>
              <w:t>-</w:t>
            </w:r>
            <w:r>
              <w:rPr>
                <w:rFonts w:ascii="Arial"/>
                <w:sz w:val="20"/>
              </w:rPr>
            </w:r>
          </w:p>
        </w:tc>
        <w:tc>
          <w:tcPr>
            <w:tcW w:w="2013" w:type="dxa"/>
            <w:tcBorders>
              <w:top w:val="nil" w:sz="6" w:space="0" w:color="auto"/>
              <w:left w:val="nil" w:sz="6" w:space="0" w:color="auto"/>
              <w:bottom w:val="nil" w:sz="6" w:space="0" w:color="auto"/>
              <w:right w:val="nil" w:sz="6" w:space="0" w:color="auto"/>
            </w:tcBorders>
          </w:tcPr>
          <w:p>
            <w:pPr>
              <w:pStyle w:val="TableParagraph"/>
              <w:spacing w:line="229" w:lineRule="exact"/>
              <w:ind w:right="198"/>
              <w:jc w:val="right"/>
              <w:rPr>
                <w:rFonts w:ascii="Arial" w:hAnsi="Arial" w:cs="Arial" w:eastAsia="Arial" w:hint="default"/>
                <w:sz w:val="20"/>
                <w:szCs w:val="20"/>
              </w:rPr>
            </w:pPr>
            <w:r>
              <w:rPr>
                <w:rFonts w:ascii="Arial"/>
                <w:spacing w:val="-1"/>
                <w:w w:val="95"/>
                <w:sz w:val="20"/>
              </w:rPr>
              <w:t>3,115,084</w:t>
            </w:r>
            <w:r>
              <w:rPr>
                <w:rFonts w:ascii="Arial"/>
                <w:sz w:val="20"/>
              </w:rPr>
            </w:r>
          </w:p>
        </w:tc>
      </w:tr>
      <w:tr>
        <w:trPr>
          <w:trHeight w:val="373" w:hRule="exact"/>
        </w:trPr>
        <w:tc>
          <w:tcPr>
            <w:tcW w:w="1690" w:type="dxa"/>
            <w:tcBorders>
              <w:top w:val="nil" w:sz="6" w:space="0" w:color="auto"/>
              <w:left w:val="nil" w:sz="6" w:space="0" w:color="auto"/>
              <w:bottom w:val="nil" w:sz="6" w:space="0" w:color="auto"/>
              <w:right w:val="nil" w:sz="6" w:space="0" w:color="auto"/>
            </w:tcBorders>
          </w:tcPr>
          <w:p>
            <w:pPr>
              <w:pStyle w:val="TableParagraph"/>
              <w:spacing w:line="216" w:lineRule="exact"/>
              <w:ind w:left="200" w:right="0"/>
              <w:jc w:val="left"/>
              <w:rPr>
                <w:rFonts w:ascii="黑体" w:hAnsi="黑体" w:cs="黑体" w:eastAsia="黑体" w:hint="default"/>
                <w:sz w:val="20"/>
                <w:szCs w:val="20"/>
              </w:rPr>
            </w:pPr>
            <w:r>
              <w:rPr>
                <w:rFonts w:ascii="黑体" w:hAnsi="黑体" w:cs="黑体" w:eastAsia="黑体" w:hint="default"/>
                <w:sz w:val="20"/>
                <w:szCs w:val="20"/>
              </w:rPr>
              <w:t>北京伟库</w:t>
            </w:r>
          </w:p>
        </w:tc>
        <w:tc>
          <w:tcPr>
            <w:tcW w:w="1864"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ind w:right="300"/>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ind w:right="363"/>
              <w:jc w:val="right"/>
              <w:rPr>
                <w:rFonts w:ascii="Arial" w:hAnsi="Arial" w:cs="Arial" w:eastAsia="Arial" w:hint="default"/>
                <w:sz w:val="20"/>
                <w:szCs w:val="20"/>
              </w:rPr>
            </w:pPr>
            <w:r>
              <w:rPr>
                <w:rFonts w:ascii="Arial"/>
                <w:w w:val="99"/>
                <w:sz w:val="20"/>
              </w:rPr>
            </w:r>
            <w:r>
              <w:rPr>
                <w:rFonts w:ascii="Arial"/>
                <w:spacing w:val="-1"/>
                <w:sz w:val="20"/>
                <w:u w:val="single" w:color="000000"/>
              </w:rPr>
              <w:t>2,896,357</w:t>
            </w:r>
            <w:r>
              <w:rPr>
                <w:rFonts w:ascii="Arial"/>
                <w:spacing w:val="-1"/>
                <w:sz w:val="20"/>
              </w:rPr>
            </w:r>
          </w:p>
        </w:tc>
        <w:tc>
          <w:tcPr>
            <w:tcW w:w="1488" w:type="dxa"/>
            <w:tcBorders>
              <w:top w:val="nil" w:sz="6" w:space="0" w:color="auto"/>
              <w:left w:val="nil" w:sz="6" w:space="0" w:color="auto"/>
              <w:bottom w:val="nil" w:sz="6" w:space="0" w:color="auto"/>
              <w:right w:val="nil" w:sz="6" w:space="0" w:color="auto"/>
            </w:tcBorders>
          </w:tcPr>
          <w:p>
            <w:pPr>
              <w:pStyle w:val="TableParagraph"/>
              <w:tabs>
                <w:tab w:pos="827" w:val="left" w:leader="none"/>
              </w:tabs>
              <w:spacing w:line="240" w:lineRule="auto" w:before="52"/>
              <w:ind w:right="323"/>
              <w:jc w:val="right"/>
              <w:rPr>
                <w:rFonts w:ascii="Arial" w:hAnsi="Arial" w:cs="Arial" w:eastAsia="Arial" w:hint="default"/>
                <w:sz w:val="15"/>
                <w:szCs w:val="15"/>
              </w:rPr>
            </w:pPr>
            <w:r>
              <w:rPr>
                <w:rFonts w:ascii="Arial"/>
                <w:w w:val="100"/>
                <w:sz w:val="15"/>
              </w:rPr>
            </w:r>
            <w:r>
              <w:rPr>
                <w:rFonts w:ascii="Arial"/>
                <w:w w:val="100"/>
                <w:sz w:val="15"/>
                <w:u w:val="single" w:color="000000"/>
              </w:rPr>
              <w:t> </w:t>
            </w:r>
            <w:r>
              <w:rPr>
                <w:rFonts w:ascii="Arial"/>
                <w:sz w:val="15"/>
                <w:u w:val="single" w:color="000000"/>
              </w:rPr>
              <w:tab/>
              <w:t>-</w:t>
            </w:r>
            <w:r>
              <w:rPr>
                <w:rFonts w:ascii="Arial"/>
                <w:sz w:val="15"/>
              </w:rPr>
            </w:r>
          </w:p>
        </w:tc>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ind w:right="19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1"/>
                <w:sz w:val="20"/>
                <w:u w:val="single" w:color="000000"/>
              </w:rPr>
              <w:t> </w:t>
            </w:r>
            <w:r>
              <w:rPr>
                <w:rFonts w:ascii="Arial"/>
                <w:spacing w:val="-1"/>
                <w:w w:val="95"/>
                <w:sz w:val="20"/>
                <w:u w:val="single" w:color="000000"/>
              </w:rPr>
              <w:t>2,896,357</w:t>
            </w:r>
            <w:r>
              <w:rPr>
                <w:rFonts w:ascii="Arial"/>
                <w:spacing w:val="-1"/>
                <w:w w:val="95"/>
                <w:sz w:val="20"/>
              </w:rPr>
            </w:r>
            <w:r>
              <w:rPr>
                <w:rFonts w:ascii="Arial"/>
                <w:sz w:val="20"/>
              </w:rPr>
            </w:r>
          </w:p>
        </w:tc>
      </w:tr>
      <w:tr>
        <w:trPr>
          <w:trHeight w:val="347" w:hRule="exact"/>
        </w:trPr>
        <w:tc>
          <w:tcPr>
            <w:tcW w:w="1690" w:type="dxa"/>
            <w:tcBorders>
              <w:top w:val="nil" w:sz="6" w:space="0" w:color="auto"/>
              <w:left w:val="nil" w:sz="6" w:space="0" w:color="auto"/>
              <w:bottom w:val="nil" w:sz="6" w:space="0" w:color="auto"/>
              <w:right w:val="nil" w:sz="6" w:space="0" w:color="auto"/>
            </w:tcBorders>
          </w:tcPr>
          <w:p>
            <w:pPr/>
          </w:p>
        </w:tc>
        <w:tc>
          <w:tcPr>
            <w:tcW w:w="1864"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05"/>
              <w:jc w:val="right"/>
              <w:rPr>
                <w:rFonts w:ascii="Arial" w:hAnsi="Arial" w:cs="Arial" w:eastAsia="Arial" w:hint="default"/>
                <w:sz w:val="20"/>
                <w:szCs w:val="20"/>
              </w:rPr>
            </w:pPr>
            <w:r>
              <w:rPr>
                <w:rFonts w:ascii="Arial"/>
                <w:w w:val="99"/>
                <w:sz w:val="20"/>
              </w:rPr>
            </w:r>
            <w:r>
              <w:rPr>
                <w:rFonts w:ascii="Arial"/>
                <w:spacing w:val="-1"/>
                <w:sz w:val="20"/>
                <w:u w:val="thick" w:color="000000"/>
              </w:rPr>
              <w:t>110,224,355</w:t>
            </w:r>
            <w:r>
              <w:rPr>
                <w:rFonts w:ascii="Arial"/>
                <w:spacing w:val="-1"/>
                <w:sz w:val="20"/>
              </w:rPr>
            </w:r>
            <w:r>
              <w:rPr>
                <w:rFonts w:ascii="Arial"/>
                <w:sz w:val="20"/>
              </w:rPr>
            </w:r>
          </w:p>
        </w:tc>
        <w:tc>
          <w:tcPr>
            <w:tcW w:w="1556"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63"/>
              <w:jc w:val="right"/>
              <w:rPr>
                <w:rFonts w:ascii="Arial" w:hAnsi="Arial" w:cs="Arial" w:eastAsia="Arial" w:hint="default"/>
                <w:sz w:val="20"/>
                <w:szCs w:val="20"/>
              </w:rPr>
            </w:pPr>
            <w:r>
              <w:rPr>
                <w:rFonts w:ascii="Arial"/>
                <w:w w:val="99"/>
                <w:sz w:val="20"/>
              </w:rPr>
            </w:r>
            <w:r>
              <w:rPr>
                <w:rFonts w:ascii="Arial"/>
                <w:spacing w:val="-1"/>
                <w:sz w:val="20"/>
                <w:u w:val="thick" w:color="000000"/>
              </w:rPr>
              <w:t>2,896,357</w:t>
            </w:r>
            <w:r>
              <w:rPr>
                <w:rFonts w:ascii="Arial"/>
                <w:spacing w:val="-1"/>
                <w:sz w:val="20"/>
              </w:rPr>
            </w:r>
          </w:p>
        </w:tc>
        <w:tc>
          <w:tcPr>
            <w:tcW w:w="1488" w:type="dxa"/>
            <w:tcBorders>
              <w:top w:val="nil" w:sz="6" w:space="0" w:color="auto"/>
              <w:left w:val="nil" w:sz="6" w:space="0" w:color="auto"/>
              <w:bottom w:val="nil" w:sz="6" w:space="0" w:color="auto"/>
              <w:right w:val="nil" w:sz="6" w:space="0" w:color="auto"/>
            </w:tcBorders>
          </w:tcPr>
          <w:p>
            <w:pPr>
              <w:pStyle w:val="TableParagraph"/>
              <w:tabs>
                <w:tab w:pos="801" w:val="left" w:leader="none"/>
              </w:tabs>
              <w:spacing w:line="240" w:lineRule="auto" w:before="121"/>
              <w:ind w:right="324"/>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w w:val="95"/>
                <w:sz w:val="20"/>
                <w:u w:val="thick" w:color="000000"/>
              </w:rPr>
              <w:t>-</w:t>
            </w:r>
            <w:r>
              <w:rPr>
                <w:rFonts w:ascii="Arial"/>
                <w:w w:val="95"/>
                <w:sz w:val="20"/>
              </w:rPr>
            </w:r>
            <w:r>
              <w:rPr>
                <w:rFonts w:ascii="Arial"/>
                <w:sz w:val="20"/>
              </w:rPr>
            </w:r>
          </w:p>
        </w:tc>
        <w:tc>
          <w:tcPr>
            <w:tcW w:w="2013"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113,120,712</w:t>
            </w:r>
            <w:r>
              <w:rPr>
                <w:rFonts w:ascii="Arial"/>
                <w:spacing w:val="-1"/>
                <w:sz w:val="20"/>
              </w:rPr>
            </w:r>
            <w:r>
              <w:rPr>
                <w:rFonts w:ascii="Arial"/>
                <w:sz w:val="20"/>
              </w:rPr>
            </w:r>
          </w:p>
        </w:tc>
      </w:tr>
    </w:tbl>
    <w:p>
      <w:pPr>
        <w:spacing w:after="0" w:line="240" w:lineRule="auto"/>
        <w:jc w:val="right"/>
        <w:rPr>
          <w:rFonts w:ascii="Arial" w:hAnsi="Arial" w:cs="Arial" w:eastAsia="Arial" w:hint="default"/>
          <w:sz w:val="20"/>
          <w:szCs w:val="20"/>
        </w:rPr>
        <w:sectPr>
          <w:pgSz w:w="11910" w:h="16850"/>
          <w:pgMar w:header="957" w:footer="473" w:top="2600" w:bottom="660" w:left="1600" w:right="960"/>
        </w:sectPr>
      </w:pPr>
    </w:p>
    <w:p>
      <w:pPr>
        <w:spacing w:line="240" w:lineRule="auto" w:before="1"/>
        <w:rPr>
          <w:rFonts w:ascii="黑体" w:hAnsi="黑体" w:cs="黑体" w:eastAsia="黑体" w:hint="default"/>
          <w:sz w:val="14"/>
          <w:szCs w:val="14"/>
        </w:rPr>
      </w:pPr>
    </w:p>
    <w:p>
      <w:pPr>
        <w:pStyle w:val="Heading6"/>
        <w:spacing w:line="240" w:lineRule="auto"/>
        <w:ind w:right="300"/>
        <w:jc w:val="left"/>
        <w:rPr>
          <w:b w:val="0"/>
          <w:bCs w:val="0"/>
        </w:rPr>
      </w:pPr>
      <w:r>
        <w:rPr/>
        <w:t>十三、公司财务报表主要项目注释（续）</w:t>
      </w:r>
      <w:r>
        <w:rPr>
          <w:b w:val="0"/>
          <w:bCs w:val="0"/>
        </w:rPr>
      </w:r>
    </w:p>
    <w:p>
      <w:pPr>
        <w:spacing w:line="240" w:lineRule="auto" w:before="1"/>
        <w:rPr>
          <w:rFonts w:ascii="黑体" w:hAnsi="黑体" w:cs="黑体" w:eastAsia="黑体" w:hint="default"/>
          <w:b/>
          <w:bCs/>
          <w:sz w:val="14"/>
          <w:szCs w:val="14"/>
        </w:rPr>
      </w:pPr>
    </w:p>
    <w:p>
      <w:pPr>
        <w:pStyle w:val="Heading6"/>
        <w:tabs>
          <w:tab w:pos="807" w:val="left" w:leader="none"/>
        </w:tabs>
        <w:spacing w:line="240" w:lineRule="auto" w:before="0"/>
        <w:ind w:left="128" w:right="300"/>
        <w:jc w:val="left"/>
        <w:rPr>
          <w:b w:val="0"/>
          <w:bCs w:val="0"/>
        </w:rPr>
      </w:pPr>
      <w:r>
        <w:rPr>
          <w:rFonts w:ascii="Arial" w:hAnsi="Arial" w:cs="Arial" w:eastAsia="Arial" w:hint="default"/>
          <w:spacing w:val="-1"/>
          <w:w w:val="95"/>
        </w:rPr>
        <w:t>14.</w:t>
        <w:tab/>
      </w:r>
      <w:r>
        <w:rPr>
          <w:spacing w:val="1"/>
        </w:rPr>
        <w:t>长期待摊费用</w:t>
      </w:r>
      <w:r>
        <w:rPr>
          <w:b w:val="0"/>
          <w:bCs w:val="0"/>
          <w:spacing w:val="1"/>
        </w:rPr>
      </w:r>
    </w:p>
    <w:p>
      <w:pPr>
        <w:pStyle w:val="BodyText"/>
        <w:spacing w:line="240" w:lineRule="auto" w:before="165"/>
        <w:ind w:left="794" w:right="7466"/>
        <w:jc w:val="center"/>
      </w:pPr>
      <w:r>
        <w:rPr>
          <w:rFonts w:ascii="Arial" w:hAnsi="Arial" w:cs="Arial" w:eastAsia="Arial" w:hint="default"/>
        </w:rPr>
        <w:t>2012</w:t>
      </w:r>
      <w:r>
        <w:rPr/>
        <w:t>年</w:t>
      </w:r>
    </w:p>
    <w:p>
      <w:pPr>
        <w:spacing w:line="240" w:lineRule="auto" w:before="1"/>
        <w:rPr>
          <w:rFonts w:ascii="黑体" w:hAnsi="黑体" w:cs="黑体" w:eastAsia="黑体" w:hint="default"/>
          <w:sz w:val="21"/>
          <w:szCs w:val="21"/>
        </w:rPr>
      </w:pPr>
    </w:p>
    <w:tbl>
      <w:tblPr>
        <w:tblW w:w="0" w:type="auto"/>
        <w:jc w:val="left"/>
        <w:tblInd w:w="631" w:type="dxa"/>
        <w:tblLayout w:type="fixed"/>
        <w:tblCellMar>
          <w:top w:w="0" w:type="dxa"/>
          <w:left w:w="0" w:type="dxa"/>
          <w:bottom w:w="0" w:type="dxa"/>
          <w:right w:w="0" w:type="dxa"/>
        </w:tblCellMar>
        <w:tblLook w:val="01E0"/>
      </w:tblPr>
      <w:tblGrid>
        <w:gridCol w:w="1527"/>
        <w:gridCol w:w="2116"/>
        <w:gridCol w:w="1584"/>
        <w:gridCol w:w="1553"/>
        <w:gridCol w:w="1422"/>
      </w:tblGrid>
      <w:tr>
        <w:trPr>
          <w:trHeight w:val="365" w:hRule="exact"/>
        </w:trPr>
        <w:tc>
          <w:tcPr>
            <w:tcW w:w="1527" w:type="dxa"/>
            <w:tcBorders>
              <w:top w:val="nil" w:sz="6" w:space="0" w:color="auto"/>
              <w:left w:val="nil" w:sz="6" w:space="0" w:color="auto"/>
              <w:bottom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Style w:val="TableParagraph"/>
              <w:spacing w:line="199" w:lineRule="exact"/>
              <w:ind w:right="404"/>
              <w:jc w:val="right"/>
              <w:rPr>
                <w:rFonts w:ascii="黑体" w:hAnsi="黑体" w:cs="黑体" w:eastAsia="黑体" w:hint="default"/>
                <w:sz w:val="20"/>
                <w:szCs w:val="20"/>
              </w:rPr>
            </w:pPr>
            <w:r>
              <w:rPr>
                <w:rFonts w:ascii="黑体" w:hAnsi="黑体" w:cs="黑体" w:eastAsia="黑体" w:hint="default"/>
                <w:w w:val="95"/>
                <w:sz w:val="20"/>
                <w:szCs w:val="20"/>
              </w:rPr>
              <w:t>年初数</w:t>
            </w:r>
            <w:r>
              <w:rPr>
                <w:rFonts w:ascii="黑体" w:hAnsi="黑体" w:cs="黑体" w:eastAsia="黑体" w:hint="default"/>
                <w:sz w:val="20"/>
                <w:szCs w:val="20"/>
              </w:rPr>
            </w:r>
          </w:p>
        </w:tc>
        <w:tc>
          <w:tcPr>
            <w:tcW w:w="1584" w:type="dxa"/>
            <w:tcBorders>
              <w:top w:val="nil" w:sz="6" w:space="0" w:color="auto"/>
              <w:left w:val="nil" w:sz="6" w:space="0" w:color="auto"/>
              <w:bottom w:val="nil" w:sz="6" w:space="0" w:color="auto"/>
              <w:right w:val="nil" w:sz="6" w:space="0" w:color="auto"/>
            </w:tcBorders>
          </w:tcPr>
          <w:p>
            <w:pPr>
              <w:pStyle w:val="TableParagraph"/>
              <w:spacing w:line="199" w:lineRule="exact"/>
              <w:ind w:right="323"/>
              <w:jc w:val="right"/>
              <w:rPr>
                <w:rFonts w:ascii="黑体" w:hAnsi="黑体" w:cs="黑体" w:eastAsia="黑体" w:hint="default"/>
                <w:sz w:val="20"/>
                <w:szCs w:val="20"/>
              </w:rPr>
            </w:pPr>
            <w:r>
              <w:rPr>
                <w:rFonts w:ascii="黑体" w:hAnsi="黑体" w:cs="黑体" w:eastAsia="黑体" w:hint="default"/>
                <w:w w:val="95"/>
                <w:sz w:val="20"/>
                <w:szCs w:val="20"/>
              </w:rPr>
              <w:t>本年增加</w:t>
            </w:r>
            <w:r>
              <w:rPr>
                <w:rFonts w:ascii="黑体" w:hAnsi="黑体" w:cs="黑体" w:eastAsia="黑体" w:hint="default"/>
                <w:sz w:val="20"/>
                <w:szCs w:val="20"/>
              </w:rPr>
            </w:r>
          </w:p>
        </w:tc>
        <w:tc>
          <w:tcPr>
            <w:tcW w:w="1553" w:type="dxa"/>
            <w:tcBorders>
              <w:top w:val="nil" w:sz="6" w:space="0" w:color="auto"/>
              <w:left w:val="nil" w:sz="6" w:space="0" w:color="auto"/>
              <w:bottom w:val="nil" w:sz="6" w:space="0" w:color="auto"/>
              <w:right w:val="nil" w:sz="6" w:space="0" w:color="auto"/>
            </w:tcBorders>
          </w:tcPr>
          <w:p>
            <w:pPr>
              <w:pStyle w:val="TableParagraph"/>
              <w:spacing w:line="199" w:lineRule="exact"/>
              <w:ind w:right="244"/>
              <w:jc w:val="right"/>
              <w:rPr>
                <w:rFonts w:ascii="黑体" w:hAnsi="黑体" w:cs="黑体" w:eastAsia="黑体" w:hint="default"/>
                <w:sz w:val="20"/>
                <w:szCs w:val="20"/>
              </w:rPr>
            </w:pPr>
            <w:r>
              <w:rPr>
                <w:rFonts w:ascii="黑体" w:hAnsi="黑体" w:cs="黑体" w:eastAsia="黑体" w:hint="default"/>
                <w:w w:val="95"/>
                <w:sz w:val="20"/>
                <w:szCs w:val="20"/>
              </w:rPr>
              <w:t>本年摊销</w:t>
            </w:r>
            <w:r>
              <w:rPr>
                <w:rFonts w:ascii="黑体" w:hAnsi="黑体" w:cs="黑体" w:eastAsia="黑体" w:hint="default"/>
                <w:sz w:val="20"/>
                <w:szCs w:val="20"/>
              </w:rPr>
            </w:r>
          </w:p>
        </w:tc>
        <w:tc>
          <w:tcPr>
            <w:tcW w:w="1422" w:type="dxa"/>
            <w:tcBorders>
              <w:top w:val="nil" w:sz="6" w:space="0" w:color="auto"/>
              <w:left w:val="nil" w:sz="6" w:space="0" w:color="auto"/>
              <w:bottom w:val="nil" w:sz="6" w:space="0" w:color="auto"/>
              <w:right w:val="nil" w:sz="6" w:space="0" w:color="auto"/>
            </w:tcBorders>
          </w:tcPr>
          <w:p>
            <w:pPr>
              <w:pStyle w:val="TableParagraph"/>
              <w:spacing w:line="199" w:lineRule="exact"/>
              <w:ind w:right="229"/>
              <w:jc w:val="right"/>
              <w:rPr>
                <w:rFonts w:ascii="黑体" w:hAnsi="黑体" w:cs="黑体" w:eastAsia="黑体" w:hint="default"/>
                <w:sz w:val="20"/>
                <w:szCs w:val="20"/>
              </w:rPr>
            </w:pPr>
            <w:r>
              <w:rPr>
                <w:rFonts w:ascii="黑体" w:hAnsi="黑体" w:cs="黑体" w:eastAsia="黑体" w:hint="default"/>
                <w:w w:val="95"/>
                <w:sz w:val="20"/>
                <w:szCs w:val="20"/>
              </w:rPr>
              <w:t>年末数</w:t>
            </w:r>
            <w:r>
              <w:rPr>
                <w:rFonts w:ascii="黑体" w:hAnsi="黑体" w:cs="黑体" w:eastAsia="黑体" w:hint="default"/>
                <w:sz w:val="20"/>
                <w:szCs w:val="20"/>
              </w:rPr>
            </w:r>
          </w:p>
        </w:tc>
      </w:tr>
      <w:tr>
        <w:trPr>
          <w:trHeight w:val="406" w:hRule="exact"/>
        </w:trPr>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00" w:right="0"/>
              <w:jc w:val="left"/>
              <w:rPr>
                <w:rFonts w:ascii="黑体" w:hAnsi="黑体" w:cs="黑体" w:eastAsia="黑体" w:hint="default"/>
                <w:sz w:val="20"/>
                <w:szCs w:val="20"/>
              </w:rPr>
            </w:pPr>
            <w:r>
              <w:rPr>
                <w:rFonts w:ascii="黑体" w:hAnsi="黑体" w:cs="黑体" w:eastAsia="黑体" w:hint="default"/>
                <w:sz w:val="20"/>
                <w:szCs w:val="20"/>
              </w:rPr>
              <w:t>装修费</w:t>
            </w: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385"/>
              <w:jc w:val="right"/>
              <w:rPr>
                <w:rFonts w:ascii="Arial" w:hAnsi="Arial" w:cs="Arial" w:eastAsia="Arial" w:hint="default"/>
                <w:sz w:val="20"/>
                <w:szCs w:val="20"/>
              </w:rPr>
            </w:pPr>
            <w:r>
              <w:rPr>
                <w:rFonts w:ascii="Arial"/>
                <w:spacing w:val="-1"/>
                <w:sz w:val="20"/>
              </w:rPr>
              <w:t>9,083,839</w:t>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305"/>
              <w:jc w:val="right"/>
              <w:rPr>
                <w:rFonts w:ascii="Arial" w:hAnsi="Arial" w:cs="Arial" w:eastAsia="Arial" w:hint="default"/>
                <w:sz w:val="20"/>
                <w:szCs w:val="20"/>
              </w:rPr>
            </w:pPr>
            <w:r>
              <w:rPr>
                <w:rFonts w:ascii="Arial"/>
                <w:spacing w:val="-1"/>
                <w:sz w:val="20"/>
              </w:rPr>
              <w:t>4,402,255</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222"/>
              <w:jc w:val="right"/>
              <w:rPr>
                <w:rFonts w:ascii="Arial" w:hAnsi="Arial" w:cs="Arial" w:eastAsia="Arial" w:hint="default"/>
                <w:sz w:val="20"/>
                <w:szCs w:val="20"/>
              </w:rPr>
            </w:pPr>
            <w:r>
              <w:rPr>
                <w:rFonts w:ascii="Arial"/>
                <w:spacing w:val="-1"/>
                <w:sz w:val="20"/>
              </w:rPr>
              <w:t>(4,633,459)</w:t>
            </w:r>
            <w:r>
              <w:rPr>
                <w:rFonts w:ascii="Arial"/>
                <w:sz w:val="20"/>
              </w:rPr>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98"/>
              <w:jc w:val="right"/>
              <w:rPr>
                <w:rFonts w:ascii="Arial" w:hAnsi="Arial" w:cs="Arial" w:eastAsia="Arial" w:hint="default"/>
                <w:sz w:val="20"/>
                <w:szCs w:val="20"/>
              </w:rPr>
            </w:pPr>
            <w:r>
              <w:rPr>
                <w:rFonts w:ascii="Arial"/>
                <w:spacing w:val="-1"/>
                <w:sz w:val="20"/>
              </w:rPr>
              <w:t>8,852,635</w:t>
            </w:r>
          </w:p>
        </w:tc>
      </w:tr>
      <w:tr>
        <w:trPr>
          <w:trHeight w:val="410" w:hRule="exact"/>
        </w:trPr>
        <w:tc>
          <w:tcPr>
            <w:tcW w:w="1527" w:type="dxa"/>
            <w:tcBorders>
              <w:top w:val="nil" w:sz="6" w:space="0" w:color="auto"/>
              <w:left w:val="nil" w:sz="6" w:space="0" w:color="auto"/>
              <w:bottom w:val="nil" w:sz="6" w:space="0" w:color="auto"/>
              <w:right w:val="nil" w:sz="6" w:space="0" w:color="auto"/>
            </w:tcBorders>
          </w:tcPr>
          <w:p>
            <w:pPr>
              <w:pStyle w:val="TableParagraph"/>
              <w:spacing w:line="230" w:lineRule="exact"/>
              <w:ind w:left="200"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86"/>
              <w:jc w:val="right"/>
              <w:rPr>
                <w:rFonts w:ascii="Arial" w:hAnsi="Arial" w:cs="Arial" w:eastAsia="Arial" w:hint="default"/>
                <w:sz w:val="20"/>
                <w:szCs w:val="20"/>
              </w:rPr>
            </w:pPr>
            <w:r>
              <w:rPr>
                <w:rFonts w:ascii="Arial"/>
                <w:w w:val="99"/>
                <w:sz w:val="20"/>
              </w:rPr>
            </w:r>
            <w:r>
              <w:rPr>
                <w:rFonts w:ascii="Arial"/>
                <w:spacing w:val="-1"/>
                <w:sz w:val="20"/>
                <w:u w:val="single" w:color="000000"/>
              </w:rPr>
              <w:t>17,913,400</w:t>
            </w:r>
            <w:r>
              <w:rPr>
                <w:rFonts w:ascii="Arial"/>
                <w:spacing w:val="-1"/>
                <w:sz w:val="20"/>
              </w:rPr>
            </w:r>
            <w:r>
              <w:rPr>
                <w:rFonts w:ascii="Arial"/>
                <w:sz w:val="20"/>
              </w:rPr>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06"/>
              <w:jc w:val="right"/>
              <w:rPr>
                <w:rFonts w:ascii="Arial" w:hAnsi="Arial" w:cs="Arial" w:eastAsia="Arial" w:hint="default"/>
                <w:sz w:val="20"/>
                <w:szCs w:val="20"/>
              </w:rPr>
            </w:pPr>
            <w:r>
              <w:rPr>
                <w:rFonts w:ascii="Arial"/>
                <w:w w:val="99"/>
                <w:sz w:val="20"/>
              </w:rPr>
            </w:r>
            <w:r>
              <w:rPr>
                <w:rFonts w:ascii="Arial"/>
                <w:spacing w:val="-1"/>
                <w:sz w:val="20"/>
                <w:u w:val="single" w:color="000000"/>
              </w:rPr>
              <w:t>1,078,649</w:t>
            </w:r>
            <w:r>
              <w:rPr>
                <w:rFonts w:ascii="Arial"/>
                <w:spacing w:val="-1"/>
                <w:sz w:val="20"/>
              </w:rPr>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23"/>
              <w:jc w:val="right"/>
              <w:rPr>
                <w:rFonts w:ascii="Arial" w:hAnsi="Arial" w:cs="Arial" w:eastAsia="Arial" w:hint="default"/>
                <w:sz w:val="20"/>
                <w:szCs w:val="20"/>
              </w:rPr>
            </w:pPr>
            <w:r>
              <w:rPr>
                <w:rFonts w:ascii="Arial"/>
                <w:spacing w:val="-1"/>
                <w:sz w:val="20"/>
              </w:rPr>
              <w:t>(</w:t>
            </w:r>
            <w:r>
              <w:rPr>
                <w:rFonts w:ascii="Arial"/>
                <w:spacing w:val="-1"/>
                <w:sz w:val="20"/>
                <w:u w:val="single" w:color="000000"/>
              </w:rPr>
              <w:t>5,284,901</w:t>
            </w:r>
            <w:r>
              <w:rPr>
                <w:rFonts w:ascii="Arial"/>
                <w:spacing w:val="-1"/>
                <w:sz w:val="20"/>
              </w:rPr>
              <w:t>)</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8"/>
              <w:jc w:val="right"/>
              <w:rPr>
                <w:rFonts w:ascii="Arial" w:hAnsi="Arial" w:cs="Arial" w:eastAsia="Arial" w:hint="default"/>
                <w:sz w:val="20"/>
                <w:szCs w:val="20"/>
              </w:rPr>
            </w:pPr>
            <w:r>
              <w:rPr>
                <w:rFonts w:ascii="Arial"/>
                <w:w w:val="99"/>
                <w:sz w:val="20"/>
              </w:rPr>
            </w:r>
            <w:r>
              <w:rPr>
                <w:rFonts w:ascii="Arial"/>
                <w:spacing w:val="-1"/>
                <w:sz w:val="20"/>
                <w:u w:val="single" w:color="000000"/>
              </w:rPr>
              <w:t>13,707,148</w:t>
            </w:r>
            <w:r>
              <w:rPr>
                <w:rFonts w:ascii="Arial"/>
                <w:spacing w:val="-1"/>
                <w:sz w:val="20"/>
              </w:rPr>
            </w:r>
            <w:r>
              <w:rPr>
                <w:rFonts w:ascii="Arial"/>
                <w:sz w:val="20"/>
              </w:rPr>
            </w:r>
          </w:p>
        </w:tc>
      </w:tr>
      <w:tr>
        <w:trPr>
          <w:trHeight w:val="370" w:hRule="exact"/>
        </w:trPr>
        <w:tc>
          <w:tcPr>
            <w:tcW w:w="1527" w:type="dxa"/>
            <w:tcBorders>
              <w:top w:val="nil" w:sz="6" w:space="0" w:color="auto"/>
              <w:left w:val="nil" w:sz="6" w:space="0" w:color="auto"/>
              <w:bottom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386"/>
              <w:jc w:val="right"/>
              <w:rPr>
                <w:rFonts w:ascii="Arial" w:hAnsi="Arial" w:cs="Arial" w:eastAsia="Arial" w:hint="default"/>
                <w:sz w:val="20"/>
                <w:szCs w:val="20"/>
              </w:rPr>
            </w:pPr>
            <w:r>
              <w:rPr>
                <w:rFonts w:ascii="Arial"/>
                <w:w w:val="99"/>
                <w:sz w:val="20"/>
              </w:rPr>
            </w:r>
            <w:r>
              <w:rPr>
                <w:rFonts w:ascii="Arial"/>
                <w:spacing w:val="-1"/>
                <w:sz w:val="20"/>
                <w:u w:val="thick" w:color="000000"/>
              </w:rPr>
              <w:t>26,997,239</w:t>
            </w:r>
            <w:r>
              <w:rPr>
                <w:rFonts w:ascii="Arial"/>
                <w:spacing w:val="-1"/>
                <w:sz w:val="20"/>
              </w:rPr>
            </w:r>
            <w:r>
              <w:rPr>
                <w:rFonts w:ascii="Arial"/>
                <w:sz w:val="20"/>
              </w:rPr>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306"/>
              <w:jc w:val="right"/>
              <w:rPr>
                <w:rFonts w:ascii="Arial" w:hAnsi="Arial" w:cs="Arial" w:eastAsia="Arial" w:hint="default"/>
                <w:sz w:val="20"/>
                <w:szCs w:val="20"/>
              </w:rPr>
            </w:pPr>
            <w:r>
              <w:rPr>
                <w:rFonts w:ascii="Arial"/>
                <w:w w:val="99"/>
                <w:sz w:val="20"/>
              </w:rPr>
            </w:r>
            <w:r>
              <w:rPr>
                <w:rFonts w:ascii="Arial"/>
                <w:spacing w:val="-1"/>
                <w:sz w:val="20"/>
                <w:u w:val="thick" w:color="000000"/>
              </w:rPr>
              <w:t>5,480,904</w:t>
            </w:r>
            <w:r>
              <w:rPr>
                <w:rFonts w:ascii="Arial"/>
                <w:spacing w:val="-1"/>
                <w:sz w:val="20"/>
              </w:rPr>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223"/>
              <w:jc w:val="right"/>
              <w:rPr>
                <w:rFonts w:ascii="Arial" w:hAnsi="Arial" w:cs="Arial" w:eastAsia="Arial" w:hint="default"/>
                <w:sz w:val="20"/>
                <w:szCs w:val="20"/>
              </w:rPr>
            </w:pPr>
            <w:r>
              <w:rPr>
                <w:rFonts w:ascii="Arial"/>
                <w:spacing w:val="-1"/>
                <w:sz w:val="20"/>
              </w:rPr>
              <w:t>(</w:t>
            </w:r>
            <w:r>
              <w:rPr>
                <w:rFonts w:ascii="Arial"/>
                <w:spacing w:val="-1"/>
                <w:sz w:val="20"/>
                <w:u w:val="thick" w:color="000000"/>
              </w:rPr>
              <w:t>9,918,360</w:t>
            </w:r>
            <w:r>
              <w:rPr>
                <w:rFonts w:ascii="Arial"/>
                <w:spacing w:val="-1"/>
                <w:sz w:val="20"/>
              </w:rPr>
              <w:t>)</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22,559,783</w:t>
            </w:r>
            <w:r>
              <w:rPr>
                <w:rFonts w:ascii="Arial"/>
                <w:spacing w:val="-1"/>
                <w:sz w:val="20"/>
              </w:rPr>
            </w:r>
            <w:r>
              <w:rPr>
                <w:rFonts w:ascii="Arial"/>
                <w:sz w:val="20"/>
              </w:rPr>
            </w:r>
          </w:p>
        </w:tc>
      </w:tr>
    </w:tbl>
    <w:p>
      <w:pPr>
        <w:spacing w:line="240" w:lineRule="auto" w:before="12"/>
        <w:rPr>
          <w:rFonts w:ascii="黑体" w:hAnsi="黑体" w:cs="黑体" w:eastAsia="黑体" w:hint="default"/>
          <w:sz w:val="9"/>
          <w:szCs w:val="9"/>
        </w:rPr>
      </w:pPr>
    </w:p>
    <w:p>
      <w:pPr>
        <w:pStyle w:val="BodyText"/>
        <w:spacing w:line="240" w:lineRule="auto" w:before="37"/>
        <w:ind w:right="300"/>
        <w:jc w:val="left"/>
      </w:pPr>
      <w:r>
        <w:rPr>
          <w:rFonts w:ascii="Arial" w:hAnsi="Arial" w:cs="Arial" w:eastAsia="Arial" w:hint="default"/>
        </w:rPr>
        <w:t>2011</w:t>
      </w:r>
      <w:r>
        <w:rPr/>
        <w:t>年</w:t>
      </w:r>
    </w:p>
    <w:p>
      <w:pPr>
        <w:spacing w:line="240" w:lineRule="auto" w:before="1"/>
        <w:rPr>
          <w:rFonts w:ascii="黑体" w:hAnsi="黑体" w:cs="黑体" w:eastAsia="黑体" w:hint="default"/>
          <w:sz w:val="21"/>
          <w:szCs w:val="21"/>
        </w:rPr>
      </w:pPr>
    </w:p>
    <w:tbl>
      <w:tblPr>
        <w:tblW w:w="0" w:type="auto"/>
        <w:jc w:val="left"/>
        <w:tblInd w:w="631" w:type="dxa"/>
        <w:tblLayout w:type="fixed"/>
        <w:tblCellMar>
          <w:top w:w="0" w:type="dxa"/>
          <w:left w:w="0" w:type="dxa"/>
          <w:bottom w:w="0" w:type="dxa"/>
          <w:right w:w="0" w:type="dxa"/>
        </w:tblCellMar>
        <w:tblLook w:val="01E0"/>
      </w:tblPr>
      <w:tblGrid>
        <w:gridCol w:w="1527"/>
        <w:gridCol w:w="2115"/>
        <w:gridCol w:w="1584"/>
        <w:gridCol w:w="1553"/>
        <w:gridCol w:w="1422"/>
      </w:tblGrid>
      <w:tr>
        <w:trPr>
          <w:trHeight w:val="366" w:hRule="exact"/>
        </w:trPr>
        <w:tc>
          <w:tcPr>
            <w:tcW w:w="1527" w:type="dxa"/>
            <w:tcBorders>
              <w:top w:val="nil" w:sz="6" w:space="0" w:color="auto"/>
              <w:left w:val="nil" w:sz="6" w:space="0" w:color="auto"/>
              <w:bottom w:val="nil" w:sz="6" w:space="0" w:color="auto"/>
              <w:right w:val="nil" w:sz="6" w:space="0" w:color="auto"/>
            </w:tcBorders>
          </w:tcPr>
          <w:p>
            <w:pPr/>
          </w:p>
        </w:tc>
        <w:tc>
          <w:tcPr>
            <w:tcW w:w="2115" w:type="dxa"/>
            <w:tcBorders>
              <w:top w:val="nil" w:sz="6" w:space="0" w:color="auto"/>
              <w:left w:val="nil" w:sz="6" w:space="0" w:color="auto"/>
              <w:bottom w:val="nil" w:sz="6" w:space="0" w:color="auto"/>
              <w:right w:val="nil" w:sz="6" w:space="0" w:color="auto"/>
            </w:tcBorders>
          </w:tcPr>
          <w:p>
            <w:pPr>
              <w:pStyle w:val="TableParagraph"/>
              <w:spacing w:line="199" w:lineRule="exact"/>
              <w:ind w:right="404"/>
              <w:jc w:val="right"/>
              <w:rPr>
                <w:rFonts w:ascii="黑体" w:hAnsi="黑体" w:cs="黑体" w:eastAsia="黑体" w:hint="default"/>
                <w:sz w:val="20"/>
                <w:szCs w:val="20"/>
              </w:rPr>
            </w:pPr>
            <w:r>
              <w:rPr>
                <w:rFonts w:ascii="黑体" w:hAnsi="黑体" w:cs="黑体" w:eastAsia="黑体" w:hint="default"/>
                <w:w w:val="95"/>
                <w:sz w:val="20"/>
                <w:szCs w:val="20"/>
              </w:rPr>
              <w:t>年初数</w:t>
            </w:r>
            <w:r>
              <w:rPr>
                <w:rFonts w:ascii="黑体" w:hAnsi="黑体" w:cs="黑体" w:eastAsia="黑体" w:hint="default"/>
                <w:sz w:val="20"/>
                <w:szCs w:val="20"/>
              </w:rPr>
            </w:r>
          </w:p>
        </w:tc>
        <w:tc>
          <w:tcPr>
            <w:tcW w:w="1584" w:type="dxa"/>
            <w:tcBorders>
              <w:top w:val="nil" w:sz="6" w:space="0" w:color="auto"/>
              <w:left w:val="nil" w:sz="6" w:space="0" w:color="auto"/>
              <w:bottom w:val="nil" w:sz="6" w:space="0" w:color="auto"/>
              <w:right w:val="nil" w:sz="6" w:space="0" w:color="auto"/>
            </w:tcBorders>
          </w:tcPr>
          <w:p>
            <w:pPr>
              <w:pStyle w:val="TableParagraph"/>
              <w:spacing w:line="199" w:lineRule="exact"/>
              <w:ind w:right="323"/>
              <w:jc w:val="right"/>
              <w:rPr>
                <w:rFonts w:ascii="黑体" w:hAnsi="黑体" w:cs="黑体" w:eastAsia="黑体" w:hint="default"/>
                <w:sz w:val="20"/>
                <w:szCs w:val="20"/>
              </w:rPr>
            </w:pPr>
            <w:r>
              <w:rPr>
                <w:rFonts w:ascii="黑体" w:hAnsi="黑体" w:cs="黑体" w:eastAsia="黑体" w:hint="default"/>
                <w:w w:val="95"/>
                <w:sz w:val="20"/>
                <w:szCs w:val="20"/>
              </w:rPr>
              <w:t>本年增加</w:t>
            </w:r>
            <w:r>
              <w:rPr>
                <w:rFonts w:ascii="黑体" w:hAnsi="黑体" w:cs="黑体" w:eastAsia="黑体" w:hint="default"/>
                <w:sz w:val="20"/>
                <w:szCs w:val="20"/>
              </w:rPr>
            </w:r>
          </w:p>
        </w:tc>
        <w:tc>
          <w:tcPr>
            <w:tcW w:w="1553" w:type="dxa"/>
            <w:tcBorders>
              <w:top w:val="nil" w:sz="6" w:space="0" w:color="auto"/>
              <w:left w:val="nil" w:sz="6" w:space="0" w:color="auto"/>
              <w:bottom w:val="nil" w:sz="6" w:space="0" w:color="auto"/>
              <w:right w:val="nil" w:sz="6" w:space="0" w:color="auto"/>
            </w:tcBorders>
          </w:tcPr>
          <w:p>
            <w:pPr>
              <w:pStyle w:val="TableParagraph"/>
              <w:spacing w:line="199" w:lineRule="exact"/>
              <w:ind w:right="244"/>
              <w:jc w:val="right"/>
              <w:rPr>
                <w:rFonts w:ascii="黑体" w:hAnsi="黑体" w:cs="黑体" w:eastAsia="黑体" w:hint="default"/>
                <w:sz w:val="20"/>
                <w:szCs w:val="20"/>
              </w:rPr>
            </w:pPr>
            <w:r>
              <w:rPr>
                <w:rFonts w:ascii="黑体" w:hAnsi="黑体" w:cs="黑体" w:eastAsia="黑体" w:hint="default"/>
                <w:w w:val="95"/>
                <w:sz w:val="20"/>
                <w:szCs w:val="20"/>
              </w:rPr>
              <w:t>本年摊销</w:t>
            </w:r>
            <w:r>
              <w:rPr>
                <w:rFonts w:ascii="黑体" w:hAnsi="黑体" w:cs="黑体" w:eastAsia="黑体" w:hint="default"/>
                <w:sz w:val="20"/>
                <w:szCs w:val="20"/>
              </w:rPr>
            </w:r>
          </w:p>
        </w:tc>
        <w:tc>
          <w:tcPr>
            <w:tcW w:w="1422" w:type="dxa"/>
            <w:tcBorders>
              <w:top w:val="nil" w:sz="6" w:space="0" w:color="auto"/>
              <w:left w:val="nil" w:sz="6" w:space="0" w:color="auto"/>
              <w:bottom w:val="nil" w:sz="6" w:space="0" w:color="auto"/>
              <w:right w:val="nil" w:sz="6" w:space="0" w:color="auto"/>
            </w:tcBorders>
          </w:tcPr>
          <w:p>
            <w:pPr>
              <w:pStyle w:val="TableParagraph"/>
              <w:spacing w:line="199" w:lineRule="exact"/>
              <w:ind w:right="229"/>
              <w:jc w:val="right"/>
              <w:rPr>
                <w:rFonts w:ascii="黑体" w:hAnsi="黑体" w:cs="黑体" w:eastAsia="黑体" w:hint="default"/>
                <w:sz w:val="20"/>
                <w:szCs w:val="20"/>
              </w:rPr>
            </w:pPr>
            <w:r>
              <w:rPr>
                <w:rFonts w:ascii="黑体" w:hAnsi="黑体" w:cs="黑体" w:eastAsia="黑体" w:hint="default"/>
                <w:w w:val="95"/>
                <w:sz w:val="20"/>
                <w:szCs w:val="20"/>
              </w:rPr>
              <w:t>年末数</w:t>
            </w:r>
            <w:r>
              <w:rPr>
                <w:rFonts w:ascii="黑体" w:hAnsi="黑体" w:cs="黑体" w:eastAsia="黑体" w:hint="default"/>
                <w:sz w:val="20"/>
                <w:szCs w:val="20"/>
              </w:rPr>
            </w:r>
          </w:p>
        </w:tc>
      </w:tr>
      <w:tr>
        <w:trPr>
          <w:trHeight w:val="407" w:hRule="exact"/>
        </w:trPr>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00" w:right="0"/>
              <w:jc w:val="left"/>
              <w:rPr>
                <w:rFonts w:ascii="黑体" w:hAnsi="黑体" w:cs="黑体" w:eastAsia="黑体" w:hint="default"/>
                <w:sz w:val="20"/>
                <w:szCs w:val="20"/>
              </w:rPr>
            </w:pPr>
            <w:r>
              <w:rPr>
                <w:rFonts w:ascii="黑体" w:hAnsi="黑体" w:cs="黑体" w:eastAsia="黑体" w:hint="default"/>
                <w:sz w:val="20"/>
                <w:szCs w:val="20"/>
              </w:rPr>
              <w:t>装修费</w:t>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85"/>
              <w:jc w:val="right"/>
              <w:rPr>
                <w:rFonts w:ascii="Arial" w:hAnsi="Arial" w:cs="Arial" w:eastAsia="Arial" w:hint="default"/>
                <w:sz w:val="20"/>
                <w:szCs w:val="20"/>
              </w:rPr>
            </w:pPr>
            <w:r>
              <w:rPr>
                <w:rFonts w:ascii="Arial"/>
                <w:spacing w:val="-1"/>
                <w:sz w:val="20"/>
              </w:rPr>
              <w:t>11,238,130</w:t>
            </w:r>
            <w:r>
              <w:rPr>
                <w:rFonts w:ascii="Arial"/>
                <w:sz w:val="20"/>
              </w:rPr>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05"/>
              <w:jc w:val="right"/>
              <w:rPr>
                <w:rFonts w:ascii="Arial" w:hAnsi="Arial" w:cs="Arial" w:eastAsia="Arial" w:hint="default"/>
                <w:sz w:val="20"/>
                <w:szCs w:val="20"/>
              </w:rPr>
            </w:pPr>
            <w:r>
              <w:rPr>
                <w:rFonts w:ascii="Arial"/>
                <w:spacing w:val="-1"/>
                <w:sz w:val="20"/>
              </w:rPr>
              <w:t>1,653,076</w:t>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222"/>
              <w:jc w:val="right"/>
              <w:rPr>
                <w:rFonts w:ascii="Arial" w:hAnsi="Arial" w:cs="Arial" w:eastAsia="Arial" w:hint="default"/>
                <w:sz w:val="20"/>
                <w:szCs w:val="20"/>
              </w:rPr>
            </w:pPr>
            <w:r>
              <w:rPr>
                <w:rFonts w:ascii="Arial"/>
                <w:spacing w:val="-1"/>
                <w:sz w:val="20"/>
              </w:rPr>
              <w:t>(3,807,367)</w:t>
            </w:r>
            <w:r>
              <w:rPr>
                <w:rFonts w:ascii="Arial"/>
                <w:sz w:val="20"/>
              </w:rPr>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198"/>
              <w:jc w:val="right"/>
              <w:rPr>
                <w:rFonts w:ascii="Arial" w:hAnsi="Arial" w:cs="Arial" w:eastAsia="Arial" w:hint="default"/>
                <w:sz w:val="20"/>
                <w:szCs w:val="20"/>
              </w:rPr>
            </w:pPr>
            <w:r>
              <w:rPr>
                <w:rFonts w:ascii="Arial"/>
                <w:spacing w:val="-1"/>
                <w:sz w:val="20"/>
              </w:rPr>
              <w:t>9,083,839</w:t>
            </w:r>
          </w:p>
        </w:tc>
      </w:tr>
      <w:tr>
        <w:trPr>
          <w:trHeight w:val="410" w:hRule="exact"/>
        </w:trPr>
        <w:tc>
          <w:tcPr>
            <w:tcW w:w="1527" w:type="dxa"/>
            <w:tcBorders>
              <w:top w:val="nil" w:sz="6" w:space="0" w:color="auto"/>
              <w:left w:val="nil" w:sz="6" w:space="0" w:color="auto"/>
              <w:bottom w:val="nil" w:sz="6" w:space="0" w:color="auto"/>
              <w:right w:val="nil" w:sz="6" w:space="0" w:color="auto"/>
            </w:tcBorders>
          </w:tcPr>
          <w:p>
            <w:pPr>
              <w:pStyle w:val="TableParagraph"/>
              <w:spacing w:line="230" w:lineRule="exact"/>
              <w:ind w:left="200"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85"/>
              <w:jc w:val="right"/>
              <w:rPr>
                <w:rFonts w:ascii="Arial" w:hAnsi="Arial" w:cs="Arial" w:eastAsia="Arial" w:hint="default"/>
                <w:sz w:val="20"/>
                <w:szCs w:val="20"/>
              </w:rPr>
            </w:pPr>
            <w:r>
              <w:rPr>
                <w:rFonts w:ascii="Arial"/>
                <w:w w:val="99"/>
                <w:sz w:val="20"/>
              </w:rPr>
            </w:r>
            <w:r>
              <w:rPr>
                <w:rFonts w:ascii="Arial"/>
                <w:spacing w:val="-1"/>
                <w:sz w:val="20"/>
                <w:u w:val="single" w:color="000000"/>
              </w:rPr>
              <w:t>21,357,389</w:t>
            </w:r>
            <w:r>
              <w:rPr>
                <w:rFonts w:ascii="Arial"/>
                <w:spacing w:val="-1"/>
                <w:sz w:val="20"/>
              </w:rPr>
            </w:r>
            <w:r>
              <w:rPr>
                <w:rFonts w:ascii="Arial"/>
                <w:sz w:val="20"/>
              </w:rPr>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06"/>
              <w:jc w:val="right"/>
              <w:rPr>
                <w:rFonts w:ascii="Arial" w:hAnsi="Arial" w:cs="Arial" w:eastAsia="Arial" w:hint="default"/>
                <w:sz w:val="20"/>
                <w:szCs w:val="20"/>
              </w:rPr>
            </w:pPr>
            <w:r>
              <w:rPr>
                <w:rFonts w:ascii="Arial"/>
                <w:w w:val="99"/>
                <w:sz w:val="20"/>
              </w:rPr>
            </w:r>
            <w:r>
              <w:rPr>
                <w:rFonts w:ascii="Arial"/>
                <w:spacing w:val="-1"/>
                <w:sz w:val="20"/>
                <w:u w:val="single" w:color="000000"/>
              </w:rPr>
              <w:t>2,385,396</w:t>
            </w:r>
            <w:r>
              <w:rPr>
                <w:rFonts w:ascii="Arial"/>
                <w:spacing w:val="-1"/>
                <w:sz w:val="20"/>
              </w:rPr>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23"/>
              <w:jc w:val="right"/>
              <w:rPr>
                <w:rFonts w:ascii="Arial" w:hAnsi="Arial" w:cs="Arial" w:eastAsia="Arial" w:hint="default"/>
                <w:sz w:val="20"/>
                <w:szCs w:val="20"/>
              </w:rPr>
            </w:pPr>
            <w:r>
              <w:rPr>
                <w:rFonts w:ascii="Arial"/>
                <w:spacing w:val="-1"/>
                <w:sz w:val="20"/>
              </w:rPr>
              <w:t>(</w:t>
            </w:r>
            <w:r>
              <w:rPr>
                <w:rFonts w:ascii="Arial"/>
                <w:spacing w:val="-1"/>
                <w:sz w:val="20"/>
                <w:u w:val="single" w:color="000000"/>
              </w:rPr>
              <w:t>5,829,385</w:t>
            </w:r>
            <w:r>
              <w:rPr>
                <w:rFonts w:ascii="Arial"/>
                <w:spacing w:val="-1"/>
                <w:sz w:val="20"/>
              </w:rPr>
              <w:t>)</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8"/>
              <w:jc w:val="right"/>
              <w:rPr>
                <w:rFonts w:ascii="Arial" w:hAnsi="Arial" w:cs="Arial" w:eastAsia="Arial" w:hint="default"/>
                <w:sz w:val="20"/>
                <w:szCs w:val="20"/>
              </w:rPr>
            </w:pPr>
            <w:r>
              <w:rPr>
                <w:rFonts w:ascii="Arial"/>
                <w:w w:val="99"/>
                <w:sz w:val="20"/>
              </w:rPr>
            </w:r>
            <w:r>
              <w:rPr>
                <w:rFonts w:ascii="Arial"/>
                <w:spacing w:val="-1"/>
                <w:sz w:val="20"/>
                <w:u w:val="single" w:color="000000"/>
              </w:rPr>
              <w:t>17,913,400</w:t>
            </w:r>
            <w:r>
              <w:rPr>
                <w:rFonts w:ascii="Arial"/>
                <w:spacing w:val="-1"/>
                <w:sz w:val="20"/>
              </w:rPr>
            </w:r>
            <w:r>
              <w:rPr>
                <w:rFonts w:ascii="Arial"/>
                <w:sz w:val="20"/>
              </w:rPr>
            </w:r>
          </w:p>
        </w:tc>
      </w:tr>
      <w:tr>
        <w:trPr>
          <w:trHeight w:val="370" w:hRule="exact"/>
        </w:trPr>
        <w:tc>
          <w:tcPr>
            <w:tcW w:w="1527" w:type="dxa"/>
            <w:tcBorders>
              <w:top w:val="nil" w:sz="6" w:space="0" w:color="auto"/>
              <w:left w:val="nil" w:sz="6" w:space="0" w:color="auto"/>
              <w:bottom w:val="nil" w:sz="6" w:space="0" w:color="auto"/>
              <w:right w:val="nil" w:sz="6" w:space="0" w:color="auto"/>
            </w:tcBorders>
          </w:tcPr>
          <w:p>
            <w:pPr/>
          </w:p>
        </w:tc>
        <w:tc>
          <w:tcPr>
            <w:tcW w:w="2115"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385"/>
              <w:jc w:val="right"/>
              <w:rPr>
                <w:rFonts w:ascii="Arial" w:hAnsi="Arial" w:cs="Arial" w:eastAsia="Arial" w:hint="default"/>
                <w:sz w:val="20"/>
                <w:szCs w:val="20"/>
              </w:rPr>
            </w:pPr>
            <w:r>
              <w:rPr>
                <w:rFonts w:ascii="Arial"/>
                <w:w w:val="99"/>
                <w:sz w:val="20"/>
              </w:rPr>
            </w:r>
            <w:r>
              <w:rPr>
                <w:rFonts w:ascii="Arial"/>
                <w:spacing w:val="-1"/>
                <w:sz w:val="20"/>
                <w:u w:val="thick" w:color="000000"/>
              </w:rPr>
              <w:t>32,595,519</w:t>
            </w:r>
            <w:r>
              <w:rPr>
                <w:rFonts w:ascii="Arial"/>
                <w:spacing w:val="-1"/>
                <w:sz w:val="20"/>
              </w:rPr>
            </w:r>
            <w:r>
              <w:rPr>
                <w:rFonts w:ascii="Arial"/>
                <w:sz w:val="20"/>
              </w:rPr>
            </w:r>
          </w:p>
        </w:tc>
        <w:tc>
          <w:tcPr>
            <w:tcW w:w="1584"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306"/>
              <w:jc w:val="right"/>
              <w:rPr>
                <w:rFonts w:ascii="Arial" w:hAnsi="Arial" w:cs="Arial" w:eastAsia="Arial" w:hint="default"/>
                <w:sz w:val="20"/>
                <w:szCs w:val="20"/>
              </w:rPr>
            </w:pPr>
            <w:r>
              <w:rPr>
                <w:rFonts w:ascii="Arial"/>
                <w:w w:val="99"/>
                <w:sz w:val="20"/>
              </w:rPr>
            </w:r>
            <w:r>
              <w:rPr>
                <w:rFonts w:ascii="Arial"/>
                <w:spacing w:val="-1"/>
                <w:sz w:val="20"/>
                <w:u w:val="thick" w:color="000000"/>
              </w:rPr>
              <w:t>4,038,472</w:t>
            </w:r>
            <w:r>
              <w:rPr>
                <w:rFonts w:ascii="Arial"/>
                <w:spacing w:val="-1"/>
                <w:sz w:val="20"/>
              </w:rPr>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223"/>
              <w:jc w:val="right"/>
              <w:rPr>
                <w:rFonts w:ascii="Arial" w:hAnsi="Arial" w:cs="Arial" w:eastAsia="Arial" w:hint="default"/>
                <w:sz w:val="20"/>
                <w:szCs w:val="20"/>
              </w:rPr>
            </w:pPr>
            <w:r>
              <w:rPr>
                <w:rFonts w:ascii="Arial"/>
                <w:spacing w:val="-1"/>
                <w:sz w:val="20"/>
              </w:rPr>
              <w:t>(</w:t>
            </w:r>
            <w:r>
              <w:rPr>
                <w:rFonts w:ascii="Arial"/>
                <w:spacing w:val="-1"/>
                <w:sz w:val="20"/>
                <w:u w:val="thick" w:color="000000"/>
              </w:rPr>
              <w:t>9,636,752</w:t>
            </w:r>
            <w:r>
              <w:rPr>
                <w:rFonts w:ascii="Arial"/>
                <w:spacing w:val="-1"/>
                <w:sz w:val="20"/>
              </w:rPr>
              <w:t>)</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26,997,239</w:t>
            </w:r>
            <w:r>
              <w:rPr>
                <w:rFonts w:ascii="Arial"/>
                <w:spacing w:val="-1"/>
                <w:sz w:val="20"/>
              </w:rPr>
            </w:r>
            <w:r>
              <w:rPr>
                <w:rFonts w:ascii="Arial"/>
                <w:sz w:val="20"/>
              </w:rPr>
            </w:r>
          </w:p>
        </w:tc>
      </w:tr>
    </w:tbl>
    <w:p>
      <w:pPr>
        <w:spacing w:line="240" w:lineRule="auto" w:before="5"/>
        <w:rPr>
          <w:rFonts w:ascii="黑体" w:hAnsi="黑体" w:cs="黑体" w:eastAsia="黑体" w:hint="default"/>
          <w:sz w:val="16"/>
          <w:szCs w:val="16"/>
        </w:rPr>
      </w:pPr>
    </w:p>
    <w:p>
      <w:pPr>
        <w:tabs>
          <w:tab w:pos="780" w:val="left" w:leader="none"/>
        </w:tabs>
        <w:spacing w:line="504" w:lineRule="auto" w:before="37"/>
        <w:ind w:left="814" w:right="5331" w:hanging="713"/>
        <w:jc w:val="left"/>
        <w:rPr>
          <w:rFonts w:ascii="黑体" w:hAnsi="黑体" w:cs="黑体" w:eastAsia="黑体" w:hint="default"/>
          <w:sz w:val="20"/>
          <w:szCs w:val="20"/>
        </w:rPr>
      </w:pPr>
      <w:r>
        <w:rPr>
          <w:rFonts w:ascii="Arial" w:hAnsi="Arial" w:cs="Arial" w:eastAsia="Arial" w:hint="default"/>
          <w:b/>
          <w:bCs/>
          <w:spacing w:val="-1"/>
          <w:w w:val="95"/>
          <w:sz w:val="20"/>
          <w:szCs w:val="20"/>
        </w:rPr>
        <w:t>15.</w:t>
        <w:tab/>
      </w:r>
      <w:r>
        <w:rPr>
          <w:rFonts w:ascii="黑体" w:hAnsi="黑体" w:cs="黑体" w:eastAsia="黑体" w:hint="default"/>
          <w:b/>
          <w:bCs/>
          <w:spacing w:val="1"/>
          <w:sz w:val="20"/>
          <w:szCs w:val="20"/>
        </w:rPr>
        <w:t>递延所得税资产和负债</w:t>
      </w:r>
      <w:r>
        <w:rPr>
          <w:rFonts w:ascii="黑体" w:hAnsi="黑体" w:cs="黑体" w:eastAsia="黑体" w:hint="default"/>
          <w:b/>
          <w:bCs/>
          <w:spacing w:val="2"/>
          <w:w w:val="99"/>
          <w:sz w:val="20"/>
          <w:szCs w:val="20"/>
        </w:rPr>
        <w:t> </w:t>
      </w:r>
      <w:r>
        <w:rPr>
          <w:rFonts w:ascii="黑体" w:hAnsi="黑体" w:cs="黑体" w:eastAsia="黑体" w:hint="default"/>
          <w:sz w:val="20"/>
          <w:szCs w:val="20"/>
        </w:rPr>
        <w:t>已确认的递延所得税资产和负债</w:t>
      </w:r>
    </w:p>
    <w:p>
      <w:pPr>
        <w:spacing w:line="240" w:lineRule="auto" w:before="2"/>
        <w:rPr>
          <w:rFonts w:ascii="黑体" w:hAnsi="黑体" w:cs="黑体" w:eastAsia="黑体" w:hint="default"/>
          <w:sz w:val="12"/>
          <w:szCs w:val="12"/>
        </w:rPr>
      </w:pPr>
    </w:p>
    <w:tbl>
      <w:tblPr>
        <w:tblW w:w="0" w:type="auto"/>
        <w:jc w:val="left"/>
        <w:tblInd w:w="621" w:type="dxa"/>
        <w:tblLayout w:type="fixed"/>
        <w:tblCellMar>
          <w:top w:w="0" w:type="dxa"/>
          <w:left w:w="0" w:type="dxa"/>
          <w:bottom w:w="0" w:type="dxa"/>
          <w:right w:w="0" w:type="dxa"/>
        </w:tblCellMar>
        <w:tblLook w:val="01E0"/>
      </w:tblPr>
      <w:tblGrid>
        <w:gridCol w:w="4128"/>
        <w:gridCol w:w="2047"/>
        <w:gridCol w:w="2008"/>
      </w:tblGrid>
      <w:tr>
        <w:trPr>
          <w:trHeight w:val="361" w:hRule="exact"/>
        </w:trPr>
        <w:tc>
          <w:tcPr>
            <w:tcW w:w="4128" w:type="dxa"/>
            <w:tcBorders>
              <w:top w:val="nil" w:sz="6" w:space="0" w:color="auto"/>
              <w:left w:val="nil" w:sz="6" w:space="0" w:color="auto"/>
              <w:bottom w:val="nil" w:sz="6" w:space="0" w:color="auto"/>
              <w:right w:val="nil" w:sz="6" w:space="0" w:color="auto"/>
            </w:tcBorders>
          </w:tcPr>
          <w:p>
            <w:pPr/>
          </w:p>
        </w:tc>
        <w:tc>
          <w:tcPr>
            <w:tcW w:w="2047" w:type="dxa"/>
            <w:tcBorders>
              <w:top w:val="nil" w:sz="6" w:space="0" w:color="auto"/>
              <w:left w:val="nil" w:sz="6" w:space="0" w:color="auto"/>
              <w:bottom w:val="nil" w:sz="6" w:space="0" w:color="auto"/>
              <w:right w:val="nil" w:sz="6" w:space="0" w:color="auto"/>
            </w:tcBorders>
          </w:tcPr>
          <w:p>
            <w:pPr>
              <w:pStyle w:val="TableParagraph"/>
              <w:spacing w:line="214" w:lineRule="exact"/>
              <w:ind w:right="316"/>
              <w:jc w:val="right"/>
              <w:rPr>
                <w:rFonts w:ascii="黑体" w:hAnsi="黑体" w:cs="黑体" w:eastAsia="黑体" w:hint="default"/>
                <w:sz w:val="20"/>
                <w:szCs w:val="20"/>
              </w:rPr>
            </w:pPr>
            <w:r>
              <w:rPr>
                <w:rFonts w:ascii="Arial" w:hAnsi="Arial" w:cs="Arial" w:eastAsia="Arial" w:hint="default"/>
                <w:w w:val="95"/>
                <w:sz w:val="20"/>
                <w:szCs w:val="20"/>
              </w:rPr>
              <w:t>2012</w:t>
            </w:r>
            <w:r>
              <w:rPr>
                <w:rFonts w:ascii="黑体" w:hAnsi="黑体" w:cs="黑体" w:eastAsia="黑体" w:hint="default"/>
                <w:w w:val="95"/>
                <w:sz w:val="20"/>
                <w:szCs w:val="20"/>
              </w:rPr>
              <w:t>年</w:t>
            </w:r>
            <w:r>
              <w:rPr>
                <w:rFonts w:ascii="Arial" w:hAnsi="Arial" w:cs="Arial" w:eastAsia="Arial" w:hint="default"/>
                <w:w w:val="95"/>
                <w:sz w:val="20"/>
                <w:szCs w:val="20"/>
              </w:rPr>
              <w:t>12</w:t>
            </w:r>
            <w:r>
              <w:rPr>
                <w:rFonts w:ascii="黑体" w:hAnsi="黑体" w:cs="黑体" w:eastAsia="黑体" w:hint="default"/>
                <w:w w:val="95"/>
                <w:sz w:val="20"/>
                <w:szCs w:val="20"/>
              </w:rPr>
              <w:t>月</w:t>
            </w:r>
            <w:r>
              <w:rPr>
                <w:rFonts w:ascii="Arial" w:hAnsi="Arial" w:cs="Arial" w:eastAsia="Arial" w:hint="default"/>
                <w:w w:val="95"/>
                <w:sz w:val="20"/>
                <w:szCs w:val="20"/>
              </w:rPr>
              <w:t>31</w:t>
            </w:r>
            <w:r>
              <w:rPr>
                <w:rFonts w:ascii="黑体" w:hAnsi="黑体" w:cs="黑体" w:eastAsia="黑体" w:hint="default"/>
                <w:w w:val="95"/>
                <w:sz w:val="20"/>
                <w:szCs w:val="20"/>
              </w:rPr>
              <w:t>日</w:t>
            </w:r>
            <w:r>
              <w:rPr>
                <w:rFonts w:ascii="黑体" w:hAnsi="黑体" w:cs="黑体" w:eastAsia="黑体" w:hint="default"/>
                <w:sz w:val="20"/>
                <w:szCs w:val="20"/>
              </w:rPr>
            </w:r>
          </w:p>
        </w:tc>
        <w:tc>
          <w:tcPr>
            <w:tcW w:w="2008" w:type="dxa"/>
            <w:tcBorders>
              <w:top w:val="nil" w:sz="6" w:space="0" w:color="auto"/>
              <w:left w:val="nil" w:sz="6" w:space="0" w:color="auto"/>
              <w:bottom w:val="nil" w:sz="6" w:space="0" w:color="auto"/>
              <w:right w:val="nil" w:sz="6" w:space="0" w:color="auto"/>
            </w:tcBorders>
          </w:tcPr>
          <w:p>
            <w:pPr>
              <w:pStyle w:val="TableParagraph"/>
              <w:spacing w:line="214" w:lineRule="exact"/>
              <w:ind w:right="199"/>
              <w:jc w:val="right"/>
              <w:rPr>
                <w:rFonts w:ascii="黑体" w:hAnsi="黑体" w:cs="黑体" w:eastAsia="黑体" w:hint="default"/>
                <w:sz w:val="20"/>
                <w:szCs w:val="20"/>
              </w:rPr>
            </w:pPr>
            <w:r>
              <w:rPr>
                <w:rFonts w:ascii="Arial" w:hAnsi="Arial" w:cs="Arial" w:eastAsia="Arial" w:hint="default"/>
                <w:w w:val="95"/>
                <w:sz w:val="20"/>
                <w:szCs w:val="20"/>
              </w:rPr>
              <w:t>2011</w:t>
            </w:r>
            <w:r>
              <w:rPr>
                <w:rFonts w:ascii="黑体" w:hAnsi="黑体" w:cs="黑体" w:eastAsia="黑体" w:hint="default"/>
                <w:w w:val="95"/>
                <w:sz w:val="20"/>
                <w:szCs w:val="20"/>
              </w:rPr>
              <w:t>年</w:t>
            </w:r>
            <w:r>
              <w:rPr>
                <w:rFonts w:ascii="Arial" w:hAnsi="Arial" w:cs="Arial" w:eastAsia="Arial" w:hint="default"/>
                <w:w w:val="95"/>
                <w:sz w:val="20"/>
                <w:szCs w:val="20"/>
              </w:rPr>
              <w:t>12</w:t>
            </w:r>
            <w:r>
              <w:rPr>
                <w:rFonts w:ascii="黑体" w:hAnsi="黑体" w:cs="黑体" w:eastAsia="黑体" w:hint="default"/>
                <w:w w:val="95"/>
                <w:sz w:val="20"/>
                <w:szCs w:val="20"/>
              </w:rPr>
              <w:t>月</w:t>
            </w:r>
            <w:r>
              <w:rPr>
                <w:rFonts w:ascii="Arial" w:hAnsi="Arial" w:cs="Arial" w:eastAsia="Arial" w:hint="default"/>
                <w:w w:val="95"/>
                <w:sz w:val="20"/>
                <w:szCs w:val="20"/>
              </w:rPr>
              <w:t>31</w:t>
            </w:r>
            <w:r>
              <w:rPr>
                <w:rFonts w:ascii="黑体" w:hAnsi="黑体" w:cs="黑体" w:eastAsia="黑体" w:hint="default"/>
                <w:w w:val="95"/>
                <w:sz w:val="20"/>
                <w:szCs w:val="20"/>
              </w:rPr>
              <w:t>日</w:t>
            </w:r>
            <w:r>
              <w:rPr>
                <w:rFonts w:ascii="黑体" w:hAnsi="黑体" w:cs="黑体" w:eastAsia="黑体" w:hint="default"/>
                <w:sz w:val="20"/>
                <w:szCs w:val="20"/>
              </w:rPr>
            </w:r>
          </w:p>
        </w:tc>
      </w:tr>
      <w:tr>
        <w:trPr>
          <w:trHeight w:val="381" w:hRule="exact"/>
        </w:trPr>
        <w:tc>
          <w:tcPr>
            <w:tcW w:w="4128"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00" w:right="0"/>
              <w:jc w:val="left"/>
              <w:rPr>
                <w:rFonts w:ascii="黑体" w:hAnsi="黑体" w:cs="黑体" w:eastAsia="黑体" w:hint="default"/>
                <w:sz w:val="20"/>
                <w:szCs w:val="20"/>
              </w:rPr>
            </w:pPr>
            <w:r>
              <w:rPr>
                <w:rFonts w:ascii="黑体" w:hAnsi="黑体" w:cs="黑体" w:eastAsia="黑体" w:hint="default"/>
                <w:sz w:val="20"/>
                <w:szCs w:val="20"/>
              </w:rPr>
              <w:t>递延所得税资产</w:t>
            </w:r>
          </w:p>
        </w:tc>
        <w:tc>
          <w:tcPr>
            <w:tcW w:w="2047"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
        </w:tc>
      </w:tr>
      <w:tr>
        <w:trPr>
          <w:trHeight w:val="263" w:hRule="exact"/>
        </w:trPr>
        <w:tc>
          <w:tcPr>
            <w:tcW w:w="4128" w:type="dxa"/>
            <w:tcBorders>
              <w:top w:val="nil" w:sz="6" w:space="0" w:color="auto"/>
              <w:left w:val="nil" w:sz="6" w:space="0" w:color="auto"/>
              <w:bottom w:val="nil" w:sz="6" w:space="0" w:color="auto"/>
              <w:right w:val="nil" w:sz="6" w:space="0" w:color="auto"/>
            </w:tcBorders>
          </w:tcPr>
          <w:p>
            <w:pPr>
              <w:pStyle w:val="TableParagraph"/>
              <w:spacing w:line="229" w:lineRule="exact"/>
              <w:ind w:left="200" w:right="0"/>
              <w:jc w:val="left"/>
              <w:rPr>
                <w:rFonts w:ascii="黑体" w:hAnsi="黑体" w:cs="黑体" w:eastAsia="黑体" w:hint="default"/>
                <w:sz w:val="20"/>
                <w:szCs w:val="20"/>
              </w:rPr>
            </w:pPr>
            <w:r>
              <w:rPr>
                <w:rFonts w:ascii="黑体" w:hAnsi="黑体" w:cs="黑体" w:eastAsia="黑体" w:hint="default"/>
                <w:sz w:val="20"/>
                <w:szCs w:val="20"/>
              </w:rPr>
              <w:t>预提费用</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16"/>
              <w:jc w:val="right"/>
              <w:rPr>
                <w:rFonts w:ascii="Arial" w:hAnsi="Arial" w:cs="Arial" w:eastAsia="Arial" w:hint="default"/>
                <w:sz w:val="20"/>
                <w:szCs w:val="20"/>
              </w:rPr>
            </w:pPr>
            <w:r>
              <w:rPr>
                <w:rFonts w:ascii="Arial"/>
                <w:spacing w:val="-1"/>
                <w:w w:val="95"/>
                <w:sz w:val="20"/>
              </w:rPr>
              <w:t>325,406</w:t>
            </w:r>
            <w:r>
              <w:rPr>
                <w:rFonts w:ascii="Arial"/>
                <w:sz w:val="20"/>
              </w:rPr>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9"/>
              <w:jc w:val="right"/>
              <w:rPr>
                <w:rFonts w:ascii="Arial" w:hAnsi="Arial" w:cs="Arial" w:eastAsia="Arial" w:hint="default"/>
                <w:sz w:val="20"/>
                <w:szCs w:val="20"/>
              </w:rPr>
            </w:pPr>
            <w:r>
              <w:rPr>
                <w:rFonts w:ascii="Arial"/>
                <w:spacing w:val="-1"/>
                <w:w w:val="95"/>
                <w:sz w:val="20"/>
              </w:rPr>
              <w:t>334,795</w:t>
            </w:r>
            <w:r>
              <w:rPr>
                <w:rFonts w:ascii="Arial"/>
                <w:sz w:val="20"/>
              </w:rPr>
            </w:r>
          </w:p>
        </w:tc>
      </w:tr>
      <w:tr>
        <w:trPr>
          <w:trHeight w:val="259" w:hRule="exact"/>
        </w:trPr>
        <w:tc>
          <w:tcPr>
            <w:tcW w:w="4128"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固定资产折旧差异</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6"/>
              <w:jc w:val="right"/>
              <w:rPr>
                <w:rFonts w:ascii="Arial" w:hAnsi="Arial" w:cs="Arial" w:eastAsia="Arial" w:hint="default"/>
                <w:sz w:val="20"/>
                <w:szCs w:val="20"/>
              </w:rPr>
            </w:pPr>
            <w:r>
              <w:rPr>
                <w:rFonts w:ascii="Arial"/>
                <w:spacing w:val="-1"/>
                <w:w w:val="95"/>
                <w:sz w:val="20"/>
              </w:rPr>
              <w:t>152,576</w:t>
            </w:r>
            <w:r>
              <w:rPr>
                <w:rFonts w:ascii="Arial"/>
                <w:sz w:val="20"/>
              </w:rPr>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9"/>
              <w:jc w:val="right"/>
              <w:rPr>
                <w:rFonts w:ascii="Arial" w:hAnsi="Arial" w:cs="Arial" w:eastAsia="Arial" w:hint="default"/>
                <w:sz w:val="20"/>
                <w:szCs w:val="20"/>
              </w:rPr>
            </w:pPr>
            <w:r>
              <w:rPr>
                <w:rFonts w:ascii="Arial"/>
                <w:spacing w:val="-1"/>
                <w:w w:val="95"/>
                <w:sz w:val="20"/>
              </w:rPr>
              <w:t>213,454</w:t>
            </w:r>
            <w:r>
              <w:rPr>
                <w:rFonts w:ascii="Arial"/>
                <w:sz w:val="20"/>
              </w:rPr>
            </w:r>
          </w:p>
        </w:tc>
      </w:tr>
      <w:tr>
        <w:trPr>
          <w:trHeight w:val="259" w:hRule="exact"/>
        </w:trPr>
        <w:tc>
          <w:tcPr>
            <w:tcW w:w="4128"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政府补助</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7"/>
              <w:jc w:val="right"/>
              <w:rPr>
                <w:rFonts w:ascii="Arial" w:hAnsi="Arial" w:cs="Arial" w:eastAsia="Arial" w:hint="default"/>
                <w:sz w:val="20"/>
                <w:szCs w:val="20"/>
              </w:rPr>
            </w:pPr>
            <w:r>
              <w:rPr>
                <w:rFonts w:ascii="Arial"/>
                <w:spacing w:val="-1"/>
                <w:sz w:val="20"/>
              </w:rPr>
              <w:t>3,700,000</w:t>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9"/>
              <w:jc w:val="right"/>
              <w:rPr>
                <w:rFonts w:ascii="Arial" w:hAnsi="Arial" w:cs="Arial" w:eastAsia="Arial" w:hint="default"/>
                <w:sz w:val="20"/>
                <w:szCs w:val="20"/>
              </w:rPr>
            </w:pPr>
            <w:r>
              <w:rPr>
                <w:rFonts w:ascii="Arial"/>
                <w:spacing w:val="-1"/>
                <w:w w:val="95"/>
                <w:sz w:val="20"/>
              </w:rPr>
              <w:t>956,000</w:t>
            </w:r>
            <w:r>
              <w:rPr>
                <w:rFonts w:ascii="Arial"/>
                <w:sz w:val="20"/>
              </w:rPr>
            </w:r>
          </w:p>
        </w:tc>
      </w:tr>
      <w:tr>
        <w:trPr>
          <w:trHeight w:val="260" w:hRule="exact"/>
        </w:trPr>
        <w:tc>
          <w:tcPr>
            <w:tcW w:w="4128"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资产减值准备</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7"/>
              <w:jc w:val="right"/>
              <w:rPr>
                <w:rFonts w:ascii="Arial" w:hAnsi="Arial" w:cs="Arial" w:eastAsia="Arial" w:hint="default"/>
                <w:sz w:val="20"/>
                <w:szCs w:val="20"/>
              </w:rPr>
            </w:pPr>
            <w:r>
              <w:rPr>
                <w:rFonts w:ascii="Arial"/>
                <w:spacing w:val="-1"/>
                <w:sz w:val="20"/>
              </w:rPr>
              <w:t>1,000,000</w:t>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8"/>
              <w:jc w:val="right"/>
              <w:rPr>
                <w:rFonts w:ascii="Arial" w:hAnsi="Arial" w:cs="Arial" w:eastAsia="Arial" w:hint="default"/>
                <w:sz w:val="20"/>
                <w:szCs w:val="20"/>
              </w:rPr>
            </w:pPr>
            <w:r>
              <w:rPr>
                <w:rFonts w:ascii="Arial"/>
                <w:w w:val="99"/>
                <w:sz w:val="20"/>
              </w:rPr>
              <w:t>-</w:t>
            </w:r>
            <w:r>
              <w:rPr>
                <w:rFonts w:ascii="Arial"/>
                <w:sz w:val="20"/>
              </w:rPr>
            </w:r>
          </w:p>
        </w:tc>
      </w:tr>
      <w:tr>
        <w:trPr>
          <w:trHeight w:val="389" w:hRule="exact"/>
        </w:trPr>
        <w:tc>
          <w:tcPr>
            <w:tcW w:w="4128" w:type="dxa"/>
            <w:tcBorders>
              <w:top w:val="nil" w:sz="6" w:space="0" w:color="auto"/>
              <w:left w:val="nil" w:sz="6" w:space="0" w:color="auto"/>
              <w:bottom w:val="nil" w:sz="6" w:space="0" w:color="auto"/>
              <w:right w:val="nil" w:sz="6" w:space="0" w:color="auto"/>
            </w:tcBorders>
          </w:tcPr>
          <w:p>
            <w:pPr>
              <w:pStyle w:val="TableParagraph"/>
              <w:spacing w:line="224" w:lineRule="exact"/>
              <w:ind w:left="200" w:right="0"/>
              <w:jc w:val="left"/>
              <w:rPr>
                <w:rFonts w:ascii="黑体" w:hAnsi="黑体" w:cs="黑体" w:eastAsia="黑体" w:hint="default"/>
                <w:sz w:val="20"/>
                <w:szCs w:val="20"/>
              </w:rPr>
            </w:pPr>
            <w:r>
              <w:rPr>
                <w:rFonts w:ascii="黑体" w:hAnsi="黑体" w:cs="黑体" w:eastAsia="黑体" w:hint="default"/>
                <w:sz w:val="20"/>
                <w:szCs w:val="20"/>
              </w:rPr>
              <w:t>未支付的应付职工薪酬</w:t>
            </w: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6"/>
              <w:jc w:val="right"/>
              <w:rPr>
                <w:rFonts w:ascii="Arial" w:hAnsi="Arial" w:cs="Arial" w:eastAsia="Arial" w:hint="default"/>
                <w:sz w:val="20"/>
                <w:szCs w:val="20"/>
              </w:rPr>
            </w:pPr>
            <w:r>
              <w:rPr>
                <w:rFonts w:ascii="Arial"/>
                <w:w w:val="99"/>
                <w:sz w:val="20"/>
              </w:rPr>
            </w:r>
            <w:r>
              <w:rPr>
                <w:rFonts w:ascii="Arial"/>
                <w:spacing w:val="-1"/>
                <w:sz w:val="20"/>
                <w:u w:val="single" w:color="000000"/>
              </w:rPr>
              <w:t>25,792,591</w:t>
            </w:r>
            <w:r>
              <w:rPr>
                <w:rFonts w:ascii="Arial"/>
                <w:spacing w:val="-1"/>
                <w:sz w:val="20"/>
              </w:rPr>
            </w:r>
            <w:r>
              <w:rPr>
                <w:rFonts w:ascii="Arial"/>
                <w:sz w:val="20"/>
              </w:rPr>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9"/>
              <w:jc w:val="right"/>
              <w:rPr>
                <w:rFonts w:ascii="Arial" w:hAnsi="Arial" w:cs="Arial" w:eastAsia="Arial" w:hint="default"/>
                <w:sz w:val="20"/>
                <w:szCs w:val="20"/>
              </w:rPr>
            </w:pPr>
            <w:r>
              <w:rPr>
                <w:rFonts w:ascii="Arial"/>
                <w:w w:val="99"/>
                <w:sz w:val="20"/>
              </w:rPr>
            </w:r>
            <w:r>
              <w:rPr>
                <w:rFonts w:ascii="Arial"/>
                <w:spacing w:val="-1"/>
                <w:sz w:val="20"/>
                <w:u w:val="single" w:color="000000"/>
              </w:rPr>
              <w:t>34,664,248</w:t>
            </w:r>
            <w:r>
              <w:rPr>
                <w:rFonts w:ascii="Arial"/>
                <w:spacing w:val="-1"/>
                <w:sz w:val="20"/>
              </w:rPr>
            </w:r>
            <w:r>
              <w:rPr>
                <w:rFonts w:ascii="Arial"/>
                <w:sz w:val="20"/>
              </w:rPr>
            </w:r>
          </w:p>
        </w:tc>
      </w:tr>
      <w:tr>
        <w:trPr>
          <w:trHeight w:val="507" w:hRule="exact"/>
        </w:trPr>
        <w:tc>
          <w:tcPr>
            <w:tcW w:w="4128" w:type="dxa"/>
            <w:tcBorders>
              <w:top w:val="nil" w:sz="6" w:space="0" w:color="auto"/>
              <w:left w:val="nil" w:sz="6" w:space="0" w:color="auto"/>
              <w:bottom w:val="nil" w:sz="6" w:space="0" w:color="auto"/>
              <w:right w:val="nil" w:sz="6" w:space="0" w:color="auto"/>
            </w:tcBorders>
          </w:tcPr>
          <w:p>
            <w:pPr/>
          </w:p>
        </w:tc>
        <w:tc>
          <w:tcPr>
            <w:tcW w:w="2047"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16"/>
              <w:jc w:val="right"/>
              <w:rPr>
                <w:rFonts w:ascii="Arial" w:hAnsi="Arial" w:cs="Arial" w:eastAsia="Arial" w:hint="default"/>
                <w:sz w:val="20"/>
                <w:szCs w:val="20"/>
              </w:rPr>
            </w:pPr>
            <w:r>
              <w:rPr>
                <w:rFonts w:ascii="Arial"/>
                <w:w w:val="99"/>
                <w:sz w:val="20"/>
              </w:rPr>
            </w:r>
            <w:r>
              <w:rPr>
                <w:rFonts w:ascii="Arial"/>
                <w:spacing w:val="-1"/>
                <w:sz w:val="20"/>
                <w:u w:val="thick" w:color="000000"/>
              </w:rPr>
              <w:t>30,970,573</w:t>
            </w:r>
            <w:r>
              <w:rPr>
                <w:rFonts w:ascii="Arial"/>
                <w:spacing w:val="-1"/>
                <w:sz w:val="20"/>
              </w:rPr>
            </w:r>
            <w:r>
              <w:rPr>
                <w:rFonts w:ascii="Arial"/>
                <w:sz w:val="20"/>
              </w:rPr>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99"/>
              <w:jc w:val="right"/>
              <w:rPr>
                <w:rFonts w:ascii="Arial" w:hAnsi="Arial" w:cs="Arial" w:eastAsia="Arial" w:hint="default"/>
                <w:sz w:val="20"/>
                <w:szCs w:val="20"/>
              </w:rPr>
            </w:pPr>
            <w:r>
              <w:rPr>
                <w:rFonts w:ascii="Arial"/>
                <w:w w:val="99"/>
                <w:sz w:val="20"/>
              </w:rPr>
            </w:r>
            <w:r>
              <w:rPr>
                <w:rFonts w:ascii="Arial"/>
                <w:spacing w:val="-1"/>
                <w:sz w:val="20"/>
                <w:u w:val="thick" w:color="000000"/>
              </w:rPr>
              <w:t>36,168,497</w:t>
            </w:r>
            <w:r>
              <w:rPr>
                <w:rFonts w:ascii="Arial"/>
                <w:spacing w:val="-1"/>
                <w:sz w:val="20"/>
              </w:rPr>
            </w:r>
            <w:r>
              <w:rPr>
                <w:rFonts w:ascii="Arial"/>
                <w:sz w:val="20"/>
              </w:rPr>
            </w:r>
          </w:p>
        </w:tc>
      </w:tr>
      <w:tr>
        <w:trPr>
          <w:trHeight w:val="383" w:hRule="exact"/>
        </w:trPr>
        <w:tc>
          <w:tcPr>
            <w:tcW w:w="412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00" w:right="0"/>
              <w:jc w:val="left"/>
              <w:rPr>
                <w:rFonts w:ascii="黑体" w:hAnsi="黑体" w:cs="黑体" w:eastAsia="黑体" w:hint="default"/>
                <w:sz w:val="20"/>
                <w:szCs w:val="20"/>
              </w:rPr>
            </w:pPr>
            <w:r>
              <w:rPr>
                <w:rFonts w:ascii="黑体" w:hAnsi="黑体" w:cs="黑体" w:eastAsia="黑体" w:hint="default"/>
                <w:sz w:val="20"/>
                <w:szCs w:val="20"/>
              </w:rPr>
              <w:t>递延所得税负债</w:t>
            </w:r>
          </w:p>
        </w:tc>
        <w:tc>
          <w:tcPr>
            <w:tcW w:w="2047"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
        </w:tc>
      </w:tr>
      <w:tr>
        <w:trPr>
          <w:trHeight w:val="237" w:hRule="exact"/>
        </w:trPr>
        <w:tc>
          <w:tcPr>
            <w:tcW w:w="4128" w:type="dxa"/>
            <w:tcBorders>
              <w:top w:val="nil" w:sz="6" w:space="0" w:color="auto"/>
              <w:left w:val="nil" w:sz="6" w:space="0" w:color="auto"/>
              <w:bottom w:val="nil" w:sz="6" w:space="0" w:color="auto"/>
              <w:right w:val="nil" w:sz="6" w:space="0" w:color="auto"/>
            </w:tcBorders>
          </w:tcPr>
          <w:p>
            <w:pPr>
              <w:pStyle w:val="TableParagraph"/>
              <w:spacing w:line="229" w:lineRule="exact"/>
              <w:ind w:left="200" w:right="0"/>
              <w:jc w:val="left"/>
              <w:rPr>
                <w:rFonts w:ascii="黑体" w:hAnsi="黑体" w:cs="黑体" w:eastAsia="黑体" w:hint="default"/>
                <w:sz w:val="20"/>
                <w:szCs w:val="20"/>
              </w:rPr>
            </w:pPr>
            <w:r>
              <w:rPr>
                <w:rFonts w:ascii="黑体" w:hAnsi="黑体" w:cs="黑体" w:eastAsia="黑体" w:hint="default"/>
                <w:sz w:val="20"/>
                <w:szCs w:val="20"/>
              </w:rPr>
              <w:t>非同一控制下企业合并公允价值调整</w:t>
            </w:r>
          </w:p>
        </w:tc>
        <w:tc>
          <w:tcPr>
            <w:tcW w:w="2047" w:type="dxa"/>
            <w:tcBorders>
              <w:top w:val="nil" w:sz="6" w:space="0" w:color="auto"/>
              <w:left w:val="nil" w:sz="6" w:space="0" w:color="auto"/>
              <w:bottom w:val="nil" w:sz="6" w:space="0" w:color="auto"/>
              <w:right w:val="nil" w:sz="6" w:space="0" w:color="auto"/>
            </w:tcBorders>
          </w:tcPr>
          <w:p>
            <w:pPr>
              <w:pStyle w:val="TableParagraph"/>
              <w:tabs>
                <w:tab w:pos="283" w:val="left" w:leader="none"/>
              </w:tabs>
              <w:spacing w:line="240" w:lineRule="auto" w:before="11"/>
              <w:ind w:right="316"/>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spacing w:val="-1"/>
                <w:w w:val="95"/>
                <w:sz w:val="20"/>
                <w:u w:val="thick" w:color="000000"/>
              </w:rPr>
              <w:t>246,357</w:t>
            </w:r>
            <w:r>
              <w:rPr>
                <w:rFonts w:ascii="Arial"/>
                <w:spacing w:val="-1"/>
                <w:w w:val="95"/>
                <w:sz w:val="20"/>
              </w:rPr>
            </w:r>
            <w:r>
              <w:rPr>
                <w:rFonts w:ascii="Arial"/>
                <w:sz w:val="20"/>
              </w:rPr>
            </w:r>
          </w:p>
        </w:tc>
        <w:tc>
          <w:tcPr>
            <w:tcW w:w="2008" w:type="dxa"/>
            <w:tcBorders>
              <w:top w:val="nil" w:sz="6" w:space="0" w:color="auto"/>
              <w:left w:val="nil" w:sz="6" w:space="0" w:color="auto"/>
              <w:bottom w:val="nil" w:sz="6" w:space="0" w:color="auto"/>
              <w:right w:val="nil" w:sz="6" w:space="0" w:color="auto"/>
            </w:tcBorders>
          </w:tcPr>
          <w:p>
            <w:pPr>
              <w:pStyle w:val="TableParagraph"/>
              <w:tabs>
                <w:tab w:pos="261" w:val="left" w:leader="none"/>
              </w:tabs>
              <w:spacing w:line="240" w:lineRule="auto" w:before="11"/>
              <w:ind w:right="199"/>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spacing w:val="-1"/>
                <w:sz w:val="20"/>
                <w:u w:val="thick" w:color="000000"/>
              </w:rPr>
              <w:t>246,357</w:t>
            </w:r>
            <w:r>
              <w:rPr>
                <w:rFonts w:ascii="Arial"/>
                <w:spacing w:val="-1"/>
                <w:sz w:val="20"/>
              </w:rPr>
            </w:r>
          </w:p>
        </w:tc>
      </w:tr>
    </w:tbl>
    <w:p>
      <w:pPr>
        <w:spacing w:line="240" w:lineRule="auto" w:before="13"/>
        <w:rPr>
          <w:rFonts w:ascii="黑体" w:hAnsi="黑体" w:cs="黑体" w:eastAsia="黑体" w:hint="default"/>
          <w:sz w:val="20"/>
          <w:szCs w:val="20"/>
        </w:rPr>
      </w:pPr>
    </w:p>
    <w:p>
      <w:pPr>
        <w:pStyle w:val="BodyText"/>
        <w:spacing w:line="240" w:lineRule="auto" w:before="37"/>
        <w:ind w:right="300"/>
        <w:jc w:val="left"/>
      </w:pPr>
      <w:r>
        <w:rPr/>
        <w:t>未确认递延所得税资产如下：</w:t>
      </w:r>
    </w:p>
    <w:p>
      <w:pPr>
        <w:spacing w:line="240" w:lineRule="auto" w:before="0"/>
        <w:rPr>
          <w:rFonts w:ascii="黑体" w:hAnsi="黑体" w:cs="黑体" w:eastAsia="黑体" w:hint="default"/>
          <w:sz w:val="20"/>
          <w:szCs w:val="20"/>
        </w:rPr>
      </w:pPr>
    </w:p>
    <w:p>
      <w:pPr>
        <w:spacing w:line="240" w:lineRule="auto" w:before="10"/>
        <w:rPr>
          <w:rFonts w:ascii="黑体" w:hAnsi="黑体" w:cs="黑体" w:eastAsia="黑体" w:hint="default"/>
          <w:sz w:val="10"/>
          <w:szCs w:val="10"/>
        </w:rPr>
      </w:pPr>
    </w:p>
    <w:tbl>
      <w:tblPr>
        <w:tblW w:w="0" w:type="auto"/>
        <w:jc w:val="left"/>
        <w:tblInd w:w="575" w:type="dxa"/>
        <w:tblLayout w:type="fixed"/>
        <w:tblCellMar>
          <w:top w:w="0" w:type="dxa"/>
          <w:left w:w="0" w:type="dxa"/>
          <w:bottom w:w="0" w:type="dxa"/>
          <w:right w:w="0" w:type="dxa"/>
        </w:tblCellMar>
        <w:tblLook w:val="01E0"/>
      </w:tblPr>
      <w:tblGrid>
        <w:gridCol w:w="3633"/>
        <w:gridCol w:w="2602"/>
        <w:gridCol w:w="2032"/>
      </w:tblGrid>
      <w:tr>
        <w:trPr>
          <w:trHeight w:val="348" w:hRule="exact"/>
        </w:trPr>
        <w:tc>
          <w:tcPr>
            <w:tcW w:w="3633" w:type="dxa"/>
            <w:tcBorders>
              <w:top w:val="nil" w:sz="6" w:space="0" w:color="auto"/>
              <w:left w:val="nil" w:sz="6" w:space="0" w:color="auto"/>
              <w:bottom w:val="nil" w:sz="6" w:space="0" w:color="auto"/>
              <w:right w:val="nil" w:sz="6" w:space="0" w:color="auto"/>
            </w:tcBorders>
          </w:tcPr>
          <w:p>
            <w:pPr/>
          </w:p>
        </w:tc>
        <w:tc>
          <w:tcPr>
            <w:tcW w:w="2602" w:type="dxa"/>
            <w:tcBorders>
              <w:top w:val="nil" w:sz="6" w:space="0" w:color="auto"/>
              <w:left w:val="nil" w:sz="6" w:space="0" w:color="auto"/>
              <w:bottom w:val="nil" w:sz="6" w:space="0" w:color="auto"/>
              <w:right w:val="nil" w:sz="6" w:space="0" w:color="auto"/>
            </w:tcBorders>
          </w:tcPr>
          <w:p>
            <w:pPr>
              <w:pStyle w:val="TableParagraph"/>
              <w:spacing w:line="214" w:lineRule="exact"/>
              <w:ind w:right="342"/>
              <w:jc w:val="right"/>
              <w:rPr>
                <w:rFonts w:ascii="黑体" w:hAnsi="黑体" w:cs="黑体" w:eastAsia="黑体" w:hint="default"/>
                <w:sz w:val="20"/>
                <w:szCs w:val="20"/>
              </w:rPr>
            </w:pPr>
            <w:r>
              <w:rPr>
                <w:rFonts w:ascii="Arial" w:hAnsi="Arial" w:cs="Arial" w:eastAsia="Arial" w:hint="default"/>
                <w:w w:val="95"/>
                <w:sz w:val="20"/>
                <w:szCs w:val="20"/>
              </w:rPr>
              <w:t>2012</w:t>
            </w:r>
            <w:r>
              <w:rPr>
                <w:rFonts w:ascii="黑体" w:hAnsi="黑体" w:cs="黑体" w:eastAsia="黑体" w:hint="default"/>
                <w:w w:val="95"/>
                <w:sz w:val="20"/>
                <w:szCs w:val="20"/>
              </w:rPr>
              <w:t>年</w:t>
            </w:r>
            <w:r>
              <w:rPr>
                <w:rFonts w:ascii="Arial" w:hAnsi="Arial" w:cs="Arial" w:eastAsia="Arial" w:hint="default"/>
                <w:w w:val="95"/>
                <w:sz w:val="20"/>
                <w:szCs w:val="20"/>
              </w:rPr>
              <w:t>12</w:t>
            </w:r>
            <w:r>
              <w:rPr>
                <w:rFonts w:ascii="黑体" w:hAnsi="黑体" w:cs="黑体" w:eastAsia="黑体" w:hint="default"/>
                <w:w w:val="95"/>
                <w:sz w:val="20"/>
                <w:szCs w:val="20"/>
              </w:rPr>
              <w:t>月</w:t>
            </w:r>
            <w:r>
              <w:rPr>
                <w:rFonts w:ascii="Arial" w:hAnsi="Arial" w:cs="Arial" w:eastAsia="Arial" w:hint="default"/>
                <w:w w:val="95"/>
                <w:sz w:val="20"/>
                <w:szCs w:val="20"/>
              </w:rPr>
              <w:t>31</w:t>
            </w:r>
            <w:r>
              <w:rPr>
                <w:rFonts w:ascii="黑体" w:hAnsi="黑体" w:cs="黑体" w:eastAsia="黑体" w:hint="default"/>
                <w:w w:val="95"/>
                <w:sz w:val="20"/>
                <w:szCs w:val="20"/>
              </w:rPr>
              <w:t>日</w:t>
            </w:r>
            <w:r>
              <w:rPr>
                <w:rFonts w:ascii="黑体" w:hAnsi="黑体" w:cs="黑体" w:eastAsia="黑体" w:hint="default"/>
                <w:sz w:val="20"/>
                <w:szCs w:val="20"/>
              </w:rPr>
            </w:r>
          </w:p>
        </w:tc>
        <w:tc>
          <w:tcPr>
            <w:tcW w:w="2032" w:type="dxa"/>
            <w:tcBorders>
              <w:top w:val="nil" w:sz="6" w:space="0" w:color="auto"/>
              <w:left w:val="nil" w:sz="6" w:space="0" w:color="auto"/>
              <w:bottom w:val="nil" w:sz="6" w:space="0" w:color="auto"/>
              <w:right w:val="nil" w:sz="6" w:space="0" w:color="auto"/>
            </w:tcBorders>
          </w:tcPr>
          <w:p>
            <w:pPr>
              <w:pStyle w:val="TableParagraph"/>
              <w:spacing w:line="214" w:lineRule="exact"/>
              <w:ind w:right="198"/>
              <w:jc w:val="right"/>
              <w:rPr>
                <w:rFonts w:ascii="黑体" w:hAnsi="黑体" w:cs="黑体" w:eastAsia="黑体" w:hint="default"/>
                <w:sz w:val="20"/>
                <w:szCs w:val="20"/>
              </w:rPr>
            </w:pPr>
            <w:r>
              <w:rPr>
                <w:rFonts w:ascii="Arial" w:hAnsi="Arial" w:cs="Arial" w:eastAsia="Arial" w:hint="default"/>
                <w:w w:val="95"/>
                <w:sz w:val="20"/>
                <w:szCs w:val="20"/>
              </w:rPr>
              <w:t>2011</w:t>
            </w:r>
            <w:r>
              <w:rPr>
                <w:rFonts w:ascii="黑体" w:hAnsi="黑体" w:cs="黑体" w:eastAsia="黑体" w:hint="default"/>
                <w:w w:val="95"/>
                <w:sz w:val="20"/>
                <w:szCs w:val="20"/>
              </w:rPr>
              <w:t>年</w:t>
            </w:r>
            <w:r>
              <w:rPr>
                <w:rFonts w:ascii="Arial" w:hAnsi="Arial" w:cs="Arial" w:eastAsia="Arial" w:hint="default"/>
                <w:w w:val="95"/>
                <w:sz w:val="20"/>
                <w:szCs w:val="20"/>
              </w:rPr>
              <w:t>12</w:t>
            </w:r>
            <w:r>
              <w:rPr>
                <w:rFonts w:ascii="黑体" w:hAnsi="黑体" w:cs="黑体" w:eastAsia="黑体" w:hint="default"/>
                <w:w w:val="95"/>
                <w:sz w:val="20"/>
                <w:szCs w:val="20"/>
              </w:rPr>
              <w:t>月</w:t>
            </w:r>
            <w:r>
              <w:rPr>
                <w:rFonts w:ascii="Arial" w:hAnsi="Arial" w:cs="Arial" w:eastAsia="Arial" w:hint="default"/>
                <w:w w:val="95"/>
                <w:sz w:val="20"/>
                <w:szCs w:val="20"/>
              </w:rPr>
              <w:t>31</w:t>
            </w:r>
            <w:r>
              <w:rPr>
                <w:rFonts w:ascii="黑体" w:hAnsi="黑体" w:cs="黑体" w:eastAsia="黑体" w:hint="default"/>
                <w:w w:val="95"/>
                <w:sz w:val="20"/>
                <w:szCs w:val="20"/>
              </w:rPr>
              <w:t>日</w:t>
            </w:r>
            <w:r>
              <w:rPr>
                <w:rFonts w:ascii="黑体" w:hAnsi="黑体" w:cs="黑体" w:eastAsia="黑体" w:hint="default"/>
                <w:sz w:val="20"/>
                <w:szCs w:val="20"/>
              </w:rPr>
            </w:r>
          </w:p>
        </w:tc>
      </w:tr>
      <w:tr>
        <w:trPr>
          <w:trHeight w:val="370" w:hRule="exact"/>
        </w:trPr>
        <w:tc>
          <w:tcPr>
            <w:tcW w:w="3633"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00" w:right="0"/>
              <w:jc w:val="left"/>
              <w:rPr>
                <w:rFonts w:ascii="黑体" w:hAnsi="黑体" w:cs="黑体" w:eastAsia="黑体" w:hint="default"/>
                <w:sz w:val="20"/>
                <w:szCs w:val="20"/>
              </w:rPr>
            </w:pPr>
            <w:r>
              <w:rPr>
                <w:rFonts w:ascii="黑体" w:hAnsi="黑体" w:cs="黑体" w:eastAsia="黑体" w:hint="default"/>
                <w:sz w:val="20"/>
                <w:szCs w:val="20"/>
              </w:rPr>
              <w:t>资产减值准备</w:t>
            </w:r>
            <w:r>
              <w:rPr>
                <w:rFonts w:ascii="Arial" w:hAnsi="Arial" w:cs="Arial" w:eastAsia="Arial" w:hint="default"/>
                <w:sz w:val="20"/>
                <w:szCs w:val="20"/>
              </w:rPr>
              <w:t>-</w:t>
            </w:r>
            <w:r>
              <w:rPr>
                <w:rFonts w:ascii="黑体" w:hAnsi="黑体" w:cs="黑体" w:eastAsia="黑体" w:hint="default"/>
                <w:sz w:val="20"/>
                <w:szCs w:val="20"/>
              </w:rPr>
              <w:t>坏账准备</w:t>
            </w:r>
          </w:p>
        </w:tc>
        <w:tc>
          <w:tcPr>
            <w:tcW w:w="2602"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42"/>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pacing w:val="9"/>
                <w:sz w:val="20"/>
                <w:u w:val="thick" w:color="000000"/>
              </w:rPr>
              <w:t> </w:t>
            </w:r>
            <w:r>
              <w:rPr>
                <w:rFonts w:ascii="Arial"/>
                <w:spacing w:val="-1"/>
                <w:sz w:val="20"/>
                <w:u w:val="thick" w:color="000000"/>
              </w:rPr>
              <w:t>9,706,788</w:t>
            </w:r>
            <w:r>
              <w:rPr>
                <w:rFonts w:ascii="Arial"/>
                <w:spacing w:val="-1"/>
                <w:sz w:val="20"/>
              </w:rPr>
            </w:r>
          </w:p>
        </w:tc>
        <w:tc>
          <w:tcPr>
            <w:tcW w:w="2032"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98"/>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  </w:t>
            </w:r>
            <w:r>
              <w:rPr>
                <w:rFonts w:ascii="Arial"/>
                <w:spacing w:val="-21"/>
                <w:sz w:val="20"/>
                <w:u w:val="thick" w:color="000000"/>
              </w:rPr>
              <w:t> </w:t>
            </w:r>
            <w:r>
              <w:rPr>
                <w:rFonts w:ascii="Arial"/>
                <w:spacing w:val="-1"/>
                <w:w w:val="95"/>
                <w:sz w:val="20"/>
                <w:u w:val="thick" w:color="000000"/>
              </w:rPr>
              <w:t>5,152,236</w:t>
            </w:r>
            <w:r>
              <w:rPr>
                <w:rFonts w:ascii="Arial"/>
                <w:spacing w:val="-1"/>
                <w:w w:val="95"/>
                <w:sz w:val="20"/>
              </w:rPr>
            </w:r>
            <w:r>
              <w:rPr>
                <w:rFonts w:ascii="Arial"/>
                <w:sz w:val="20"/>
              </w:rPr>
            </w:r>
          </w:p>
        </w:tc>
      </w:tr>
    </w:tbl>
    <w:p>
      <w:pPr>
        <w:spacing w:after="0" w:line="240" w:lineRule="auto"/>
        <w:jc w:val="right"/>
        <w:rPr>
          <w:rFonts w:ascii="Arial" w:hAnsi="Arial" w:cs="Arial" w:eastAsia="Arial" w:hint="default"/>
          <w:sz w:val="20"/>
          <w:szCs w:val="20"/>
        </w:rPr>
        <w:sectPr>
          <w:pgSz w:w="11910" w:h="16850"/>
          <w:pgMar w:header="957" w:footer="473" w:top="2600" w:bottom="660" w:left="1600" w:right="1360"/>
        </w:sectPr>
      </w:pPr>
    </w:p>
    <w:p>
      <w:pPr>
        <w:spacing w:line="240" w:lineRule="auto" w:before="4"/>
        <w:rPr>
          <w:rFonts w:ascii="黑体" w:hAnsi="黑体" w:cs="黑体" w:eastAsia="黑体" w:hint="default"/>
          <w:sz w:val="20"/>
          <w:szCs w:val="20"/>
        </w:rPr>
      </w:pPr>
    </w:p>
    <w:p>
      <w:pPr>
        <w:pStyle w:val="Heading6"/>
        <w:spacing w:line="240" w:lineRule="auto"/>
        <w:ind w:right="3627"/>
        <w:jc w:val="left"/>
        <w:rPr>
          <w:b w:val="0"/>
          <w:bCs w:val="0"/>
        </w:rPr>
      </w:pPr>
      <w:r>
        <w:rPr/>
        <w:t>十三、公司财务报表主要项目注释（续）</w:t>
      </w:r>
      <w:r>
        <w:rPr>
          <w:b w:val="0"/>
          <w:bCs w:val="0"/>
        </w:rPr>
      </w:r>
    </w:p>
    <w:p>
      <w:pPr>
        <w:spacing w:line="240" w:lineRule="auto" w:before="6"/>
        <w:rPr>
          <w:rFonts w:ascii="黑体" w:hAnsi="黑体" w:cs="黑体" w:eastAsia="黑体" w:hint="default"/>
          <w:b/>
          <w:bCs/>
          <w:sz w:val="23"/>
          <w:szCs w:val="23"/>
        </w:rPr>
      </w:pPr>
    </w:p>
    <w:p>
      <w:pPr>
        <w:tabs>
          <w:tab w:pos="780" w:val="left" w:leader="none"/>
        </w:tabs>
        <w:spacing w:line="504" w:lineRule="auto" w:before="0"/>
        <w:ind w:left="814" w:right="2891" w:hanging="713"/>
        <w:jc w:val="left"/>
        <w:rPr>
          <w:rFonts w:ascii="黑体" w:hAnsi="黑体" w:cs="黑体" w:eastAsia="黑体" w:hint="default"/>
          <w:sz w:val="20"/>
          <w:szCs w:val="20"/>
        </w:rPr>
      </w:pPr>
      <w:r>
        <w:rPr>
          <w:rFonts w:ascii="Arial" w:hAnsi="Arial" w:cs="Arial" w:eastAsia="Arial" w:hint="default"/>
          <w:b/>
          <w:bCs/>
          <w:spacing w:val="-1"/>
          <w:w w:val="95"/>
          <w:sz w:val="20"/>
          <w:szCs w:val="20"/>
        </w:rPr>
        <w:t>15.</w:t>
        <w:tab/>
      </w:r>
      <w:r>
        <w:rPr>
          <w:rFonts w:ascii="黑体" w:hAnsi="黑体" w:cs="黑体" w:eastAsia="黑体" w:hint="default"/>
          <w:b/>
          <w:bCs/>
          <w:spacing w:val="1"/>
          <w:sz w:val="20"/>
          <w:szCs w:val="20"/>
        </w:rPr>
        <w:t>递延所得税资产和负债（续）</w:t>
      </w:r>
      <w:r>
        <w:rPr>
          <w:rFonts w:ascii="黑体" w:hAnsi="黑体" w:cs="黑体" w:eastAsia="黑体" w:hint="default"/>
          <w:b/>
          <w:bCs/>
          <w:w w:val="99"/>
          <w:sz w:val="20"/>
          <w:szCs w:val="20"/>
        </w:rPr>
        <w:t> </w:t>
      </w:r>
      <w:r>
        <w:rPr>
          <w:rFonts w:ascii="黑体" w:hAnsi="黑体" w:cs="黑体" w:eastAsia="黑体" w:hint="default"/>
          <w:sz w:val="20"/>
          <w:szCs w:val="20"/>
        </w:rPr>
        <w:t>引起暂时性差异的资产或负债项目对应的暂时性差异如下：</w:t>
      </w:r>
    </w:p>
    <w:p>
      <w:pPr>
        <w:spacing w:line="240" w:lineRule="auto" w:before="2"/>
        <w:rPr>
          <w:rFonts w:ascii="黑体" w:hAnsi="黑体" w:cs="黑体" w:eastAsia="黑体" w:hint="default"/>
          <w:sz w:val="12"/>
          <w:szCs w:val="12"/>
        </w:rPr>
      </w:pPr>
    </w:p>
    <w:tbl>
      <w:tblPr>
        <w:tblW w:w="0" w:type="auto"/>
        <w:jc w:val="left"/>
        <w:tblInd w:w="621" w:type="dxa"/>
        <w:tblLayout w:type="fixed"/>
        <w:tblCellMar>
          <w:top w:w="0" w:type="dxa"/>
          <w:left w:w="0" w:type="dxa"/>
          <w:bottom w:w="0" w:type="dxa"/>
          <w:right w:w="0" w:type="dxa"/>
        </w:tblCellMar>
        <w:tblLook w:val="01E0"/>
      </w:tblPr>
      <w:tblGrid>
        <w:gridCol w:w="4074"/>
        <w:gridCol w:w="2103"/>
        <w:gridCol w:w="2008"/>
      </w:tblGrid>
      <w:tr>
        <w:trPr>
          <w:trHeight w:val="361" w:hRule="exact"/>
        </w:trPr>
        <w:tc>
          <w:tcPr>
            <w:tcW w:w="4074"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Style w:val="TableParagraph"/>
              <w:spacing w:line="214" w:lineRule="exact"/>
              <w:ind w:right="318"/>
              <w:jc w:val="right"/>
              <w:rPr>
                <w:rFonts w:ascii="黑体" w:hAnsi="黑体" w:cs="黑体" w:eastAsia="黑体" w:hint="default"/>
                <w:sz w:val="20"/>
                <w:szCs w:val="20"/>
              </w:rPr>
            </w:pPr>
            <w:r>
              <w:rPr>
                <w:rFonts w:ascii="Arial" w:hAnsi="Arial" w:cs="Arial" w:eastAsia="Arial" w:hint="default"/>
                <w:w w:val="95"/>
                <w:sz w:val="20"/>
                <w:szCs w:val="20"/>
              </w:rPr>
              <w:t>2012</w:t>
            </w:r>
            <w:r>
              <w:rPr>
                <w:rFonts w:ascii="黑体" w:hAnsi="黑体" w:cs="黑体" w:eastAsia="黑体" w:hint="default"/>
                <w:w w:val="95"/>
                <w:sz w:val="20"/>
                <w:szCs w:val="20"/>
              </w:rPr>
              <w:t>年</w:t>
            </w:r>
            <w:r>
              <w:rPr>
                <w:rFonts w:ascii="Arial" w:hAnsi="Arial" w:cs="Arial" w:eastAsia="Arial" w:hint="default"/>
                <w:w w:val="95"/>
                <w:sz w:val="20"/>
                <w:szCs w:val="20"/>
              </w:rPr>
              <w:t>12</w:t>
            </w:r>
            <w:r>
              <w:rPr>
                <w:rFonts w:ascii="黑体" w:hAnsi="黑体" w:cs="黑体" w:eastAsia="黑体" w:hint="default"/>
                <w:w w:val="95"/>
                <w:sz w:val="20"/>
                <w:szCs w:val="20"/>
              </w:rPr>
              <w:t>月</w:t>
            </w:r>
            <w:r>
              <w:rPr>
                <w:rFonts w:ascii="Arial" w:hAnsi="Arial" w:cs="Arial" w:eastAsia="Arial" w:hint="default"/>
                <w:w w:val="95"/>
                <w:sz w:val="20"/>
                <w:szCs w:val="20"/>
              </w:rPr>
              <w:t>31</w:t>
            </w:r>
            <w:r>
              <w:rPr>
                <w:rFonts w:ascii="黑体" w:hAnsi="黑体" w:cs="黑体" w:eastAsia="黑体" w:hint="default"/>
                <w:w w:val="95"/>
                <w:sz w:val="20"/>
                <w:szCs w:val="20"/>
              </w:rPr>
              <w:t>日</w:t>
            </w:r>
            <w:r>
              <w:rPr>
                <w:rFonts w:ascii="黑体" w:hAnsi="黑体" w:cs="黑体" w:eastAsia="黑体" w:hint="default"/>
                <w:sz w:val="20"/>
                <w:szCs w:val="20"/>
              </w:rPr>
            </w:r>
          </w:p>
        </w:tc>
        <w:tc>
          <w:tcPr>
            <w:tcW w:w="2008" w:type="dxa"/>
            <w:tcBorders>
              <w:top w:val="nil" w:sz="6" w:space="0" w:color="auto"/>
              <w:left w:val="nil" w:sz="6" w:space="0" w:color="auto"/>
              <w:bottom w:val="nil" w:sz="6" w:space="0" w:color="auto"/>
              <w:right w:val="nil" w:sz="6" w:space="0" w:color="auto"/>
            </w:tcBorders>
          </w:tcPr>
          <w:p>
            <w:pPr>
              <w:pStyle w:val="TableParagraph"/>
              <w:spacing w:line="214" w:lineRule="exact"/>
              <w:ind w:right="199"/>
              <w:jc w:val="right"/>
              <w:rPr>
                <w:rFonts w:ascii="黑体" w:hAnsi="黑体" w:cs="黑体" w:eastAsia="黑体" w:hint="default"/>
                <w:sz w:val="20"/>
                <w:szCs w:val="20"/>
              </w:rPr>
            </w:pPr>
            <w:r>
              <w:rPr>
                <w:rFonts w:ascii="Arial" w:hAnsi="Arial" w:cs="Arial" w:eastAsia="Arial" w:hint="default"/>
                <w:w w:val="95"/>
                <w:sz w:val="20"/>
                <w:szCs w:val="20"/>
              </w:rPr>
              <w:t>2011</w:t>
            </w:r>
            <w:r>
              <w:rPr>
                <w:rFonts w:ascii="黑体" w:hAnsi="黑体" w:cs="黑体" w:eastAsia="黑体" w:hint="default"/>
                <w:w w:val="95"/>
                <w:sz w:val="20"/>
                <w:szCs w:val="20"/>
              </w:rPr>
              <w:t>年</w:t>
            </w:r>
            <w:r>
              <w:rPr>
                <w:rFonts w:ascii="Arial" w:hAnsi="Arial" w:cs="Arial" w:eastAsia="Arial" w:hint="default"/>
                <w:w w:val="95"/>
                <w:sz w:val="20"/>
                <w:szCs w:val="20"/>
              </w:rPr>
              <w:t>12</w:t>
            </w:r>
            <w:r>
              <w:rPr>
                <w:rFonts w:ascii="黑体" w:hAnsi="黑体" w:cs="黑体" w:eastAsia="黑体" w:hint="default"/>
                <w:w w:val="95"/>
                <w:sz w:val="20"/>
                <w:szCs w:val="20"/>
              </w:rPr>
              <w:t>月</w:t>
            </w:r>
            <w:r>
              <w:rPr>
                <w:rFonts w:ascii="Arial" w:hAnsi="Arial" w:cs="Arial" w:eastAsia="Arial" w:hint="default"/>
                <w:w w:val="95"/>
                <w:sz w:val="20"/>
                <w:szCs w:val="20"/>
              </w:rPr>
              <w:t>31</w:t>
            </w:r>
            <w:r>
              <w:rPr>
                <w:rFonts w:ascii="黑体" w:hAnsi="黑体" w:cs="黑体" w:eastAsia="黑体" w:hint="default"/>
                <w:w w:val="95"/>
                <w:sz w:val="20"/>
                <w:szCs w:val="20"/>
              </w:rPr>
              <w:t>日</w:t>
            </w:r>
            <w:r>
              <w:rPr>
                <w:rFonts w:ascii="黑体" w:hAnsi="黑体" w:cs="黑体" w:eastAsia="黑体" w:hint="default"/>
                <w:sz w:val="20"/>
                <w:szCs w:val="20"/>
              </w:rPr>
            </w:r>
          </w:p>
        </w:tc>
      </w:tr>
      <w:tr>
        <w:trPr>
          <w:trHeight w:val="382" w:hRule="exact"/>
        </w:trPr>
        <w:tc>
          <w:tcPr>
            <w:tcW w:w="4074"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00" w:right="0"/>
              <w:jc w:val="left"/>
              <w:rPr>
                <w:rFonts w:ascii="黑体" w:hAnsi="黑体" w:cs="黑体" w:eastAsia="黑体" w:hint="default"/>
                <w:sz w:val="20"/>
                <w:szCs w:val="20"/>
              </w:rPr>
            </w:pPr>
            <w:r>
              <w:rPr>
                <w:rFonts w:ascii="黑体" w:hAnsi="黑体" w:cs="黑体" w:eastAsia="黑体" w:hint="default"/>
                <w:sz w:val="20"/>
                <w:szCs w:val="20"/>
              </w:rPr>
              <w:t>可抵扣暂时性差异</w:t>
            </w:r>
          </w:p>
        </w:tc>
        <w:tc>
          <w:tcPr>
            <w:tcW w:w="210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
        </w:tc>
      </w:tr>
      <w:tr>
        <w:trPr>
          <w:trHeight w:val="264" w:hRule="exact"/>
        </w:trPr>
        <w:tc>
          <w:tcPr>
            <w:tcW w:w="4074" w:type="dxa"/>
            <w:tcBorders>
              <w:top w:val="nil" w:sz="6" w:space="0" w:color="auto"/>
              <w:left w:val="nil" w:sz="6" w:space="0" w:color="auto"/>
              <w:bottom w:val="nil" w:sz="6" w:space="0" w:color="auto"/>
              <w:right w:val="nil" w:sz="6" w:space="0" w:color="auto"/>
            </w:tcBorders>
          </w:tcPr>
          <w:p>
            <w:pPr>
              <w:pStyle w:val="TableParagraph"/>
              <w:spacing w:line="229" w:lineRule="exact"/>
              <w:ind w:left="200" w:right="0"/>
              <w:jc w:val="left"/>
              <w:rPr>
                <w:rFonts w:ascii="黑体" w:hAnsi="黑体" w:cs="黑体" w:eastAsia="黑体" w:hint="default"/>
                <w:sz w:val="20"/>
                <w:szCs w:val="20"/>
              </w:rPr>
            </w:pPr>
            <w:r>
              <w:rPr>
                <w:rFonts w:ascii="黑体" w:hAnsi="黑体" w:cs="黑体" w:eastAsia="黑体" w:hint="default"/>
                <w:sz w:val="20"/>
                <w:szCs w:val="20"/>
              </w:rPr>
              <w:t>预提费用</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18"/>
              <w:jc w:val="right"/>
              <w:rPr>
                <w:rFonts w:ascii="Arial" w:hAnsi="Arial" w:cs="Arial" w:eastAsia="Arial" w:hint="default"/>
                <w:sz w:val="20"/>
                <w:szCs w:val="20"/>
              </w:rPr>
            </w:pPr>
            <w:r>
              <w:rPr>
                <w:rFonts w:ascii="Arial"/>
                <w:spacing w:val="-1"/>
                <w:sz w:val="20"/>
              </w:rPr>
              <w:t>3,254,061</w:t>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99"/>
              <w:jc w:val="right"/>
              <w:rPr>
                <w:rFonts w:ascii="Arial" w:hAnsi="Arial" w:cs="Arial" w:eastAsia="Arial" w:hint="default"/>
                <w:sz w:val="20"/>
                <w:szCs w:val="20"/>
              </w:rPr>
            </w:pPr>
            <w:r>
              <w:rPr>
                <w:rFonts w:ascii="Arial"/>
                <w:spacing w:val="-1"/>
                <w:sz w:val="20"/>
              </w:rPr>
              <w:t>3,347,947</w:t>
            </w:r>
          </w:p>
        </w:tc>
      </w:tr>
      <w:tr>
        <w:trPr>
          <w:trHeight w:val="260" w:hRule="exact"/>
        </w:trPr>
        <w:tc>
          <w:tcPr>
            <w:tcW w:w="4074" w:type="dxa"/>
            <w:tcBorders>
              <w:top w:val="nil" w:sz="6" w:space="0" w:color="auto"/>
              <w:left w:val="nil" w:sz="6" w:space="0" w:color="auto"/>
              <w:bottom w:val="nil" w:sz="6" w:space="0" w:color="auto"/>
              <w:right w:val="nil" w:sz="6" w:space="0" w:color="auto"/>
            </w:tcBorders>
          </w:tcPr>
          <w:p>
            <w:pPr>
              <w:pStyle w:val="TableParagraph"/>
              <w:spacing w:line="224" w:lineRule="exact"/>
              <w:ind w:left="200" w:right="0"/>
              <w:jc w:val="left"/>
              <w:rPr>
                <w:rFonts w:ascii="黑体" w:hAnsi="黑体" w:cs="黑体" w:eastAsia="黑体" w:hint="default"/>
                <w:sz w:val="20"/>
                <w:szCs w:val="20"/>
              </w:rPr>
            </w:pPr>
            <w:r>
              <w:rPr>
                <w:rFonts w:ascii="黑体" w:hAnsi="黑体" w:cs="黑体" w:eastAsia="黑体" w:hint="default"/>
                <w:sz w:val="20"/>
                <w:szCs w:val="20"/>
              </w:rPr>
              <w:t>固定资产折旧差异</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18"/>
              <w:jc w:val="right"/>
              <w:rPr>
                <w:rFonts w:ascii="Arial" w:hAnsi="Arial" w:cs="Arial" w:eastAsia="Arial" w:hint="default"/>
                <w:sz w:val="20"/>
                <w:szCs w:val="20"/>
              </w:rPr>
            </w:pPr>
            <w:r>
              <w:rPr>
                <w:rFonts w:ascii="Arial"/>
                <w:spacing w:val="-1"/>
                <w:sz w:val="20"/>
              </w:rPr>
              <w:t>1,525,757</w:t>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9"/>
              <w:jc w:val="right"/>
              <w:rPr>
                <w:rFonts w:ascii="Arial" w:hAnsi="Arial" w:cs="Arial" w:eastAsia="Arial" w:hint="default"/>
                <w:sz w:val="20"/>
                <w:szCs w:val="20"/>
              </w:rPr>
            </w:pPr>
            <w:r>
              <w:rPr>
                <w:rFonts w:ascii="Arial"/>
                <w:spacing w:val="-1"/>
                <w:sz w:val="20"/>
              </w:rPr>
              <w:t>2,134,542</w:t>
            </w:r>
          </w:p>
        </w:tc>
      </w:tr>
      <w:tr>
        <w:trPr>
          <w:trHeight w:val="259" w:hRule="exact"/>
        </w:trPr>
        <w:tc>
          <w:tcPr>
            <w:tcW w:w="4074"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政府补助</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8"/>
              <w:jc w:val="right"/>
              <w:rPr>
                <w:rFonts w:ascii="Arial" w:hAnsi="Arial" w:cs="Arial" w:eastAsia="Arial" w:hint="default"/>
                <w:sz w:val="20"/>
                <w:szCs w:val="20"/>
              </w:rPr>
            </w:pPr>
            <w:r>
              <w:rPr>
                <w:rFonts w:ascii="Arial"/>
                <w:spacing w:val="-1"/>
                <w:sz w:val="20"/>
              </w:rPr>
              <w:t>37,000,000</w:t>
            </w:r>
            <w:r>
              <w:rPr>
                <w:rFonts w:ascii="Arial"/>
                <w:sz w:val="20"/>
              </w:rPr>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9"/>
              <w:jc w:val="right"/>
              <w:rPr>
                <w:rFonts w:ascii="Arial" w:hAnsi="Arial" w:cs="Arial" w:eastAsia="Arial" w:hint="default"/>
                <w:sz w:val="20"/>
                <w:szCs w:val="20"/>
              </w:rPr>
            </w:pPr>
            <w:r>
              <w:rPr>
                <w:rFonts w:ascii="Arial"/>
                <w:spacing w:val="-1"/>
                <w:sz w:val="20"/>
              </w:rPr>
              <w:t>9,560,000</w:t>
            </w:r>
          </w:p>
        </w:tc>
      </w:tr>
      <w:tr>
        <w:trPr>
          <w:trHeight w:val="259" w:hRule="exact"/>
        </w:trPr>
        <w:tc>
          <w:tcPr>
            <w:tcW w:w="4074"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资产减值准备</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8"/>
              <w:jc w:val="right"/>
              <w:rPr>
                <w:rFonts w:ascii="Arial" w:hAnsi="Arial" w:cs="Arial" w:eastAsia="Arial" w:hint="default"/>
                <w:sz w:val="20"/>
                <w:szCs w:val="20"/>
              </w:rPr>
            </w:pPr>
            <w:r>
              <w:rPr>
                <w:rFonts w:ascii="Arial"/>
                <w:spacing w:val="-1"/>
                <w:sz w:val="20"/>
              </w:rPr>
              <w:t>10,000,000</w:t>
            </w:r>
            <w:r>
              <w:rPr>
                <w:rFonts w:ascii="Arial"/>
                <w:sz w:val="20"/>
              </w:rPr>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w w:val="99"/>
                <w:sz w:val="20"/>
              </w:rPr>
              <w:t>-</w:t>
            </w:r>
            <w:r>
              <w:rPr>
                <w:rFonts w:ascii="Arial"/>
                <w:sz w:val="20"/>
              </w:rPr>
            </w:r>
          </w:p>
        </w:tc>
      </w:tr>
      <w:tr>
        <w:trPr>
          <w:trHeight w:val="388" w:hRule="exact"/>
        </w:trPr>
        <w:tc>
          <w:tcPr>
            <w:tcW w:w="4074"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未支付的应付职工薪酬</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6"/>
              <w:jc w:val="right"/>
              <w:rPr>
                <w:rFonts w:ascii="Arial" w:hAnsi="Arial" w:cs="Arial" w:eastAsia="Arial" w:hint="default"/>
                <w:sz w:val="20"/>
                <w:szCs w:val="20"/>
              </w:rPr>
            </w:pPr>
            <w:r>
              <w:rPr>
                <w:rFonts w:ascii="Arial"/>
                <w:w w:val="99"/>
                <w:sz w:val="20"/>
              </w:rPr>
            </w:r>
            <w:r>
              <w:rPr>
                <w:rFonts w:ascii="Arial"/>
                <w:spacing w:val="-1"/>
                <w:sz w:val="20"/>
                <w:u w:val="single" w:color="000000"/>
              </w:rPr>
              <w:t>257,925,916</w:t>
            </w:r>
            <w:r>
              <w:rPr>
                <w:rFonts w:ascii="Arial"/>
                <w:spacing w:val="-1"/>
                <w:sz w:val="20"/>
              </w:rPr>
            </w:r>
            <w:r>
              <w:rPr>
                <w:rFonts w:ascii="Arial"/>
                <w:sz w:val="20"/>
              </w:rPr>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1"/>
              <w:jc w:val="right"/>
              <w:rPr>
                <w:rFonts w:ascii="Arial" w:hAnsi="Arial" w:cs="Arial" w:eastAsia="Arial" w:hint="default"/>
                <w:sz w:val="20"/>
                <w:szCs w:val="20"/>
              </w:rPr>
            </w:pPr>
            <w:r>
              <w:rPr>
                <w:rFonts w:ascii="Arial"/>
                <w:w w:val="99"/>
                <w:sz w:val="20"/>
              </w:rPr>
            </w:r>
            <w:r>
              <w:rPr>
                <w:rFonts w:ascii="Arial"/>
                <w:spacing w:val="-1"/>
                <w:sz w:val="20"/>
                <w:u w:val="single" w:color="000000"/>
              </w:rPr>
              <w:t>346,642,481</w:t>
            </w:r>
            <w:r>
              <w:rPr>
                <w:rFonts w:ascii="Arial"/>
                <w:spacing w:val="-1"/>
                <w:sz w:val="20"/>
              </w:rPr>
            </w:r>
            <w:r>
              <w:rPr>
                <w:rFonts w:ascii="Arial"/>
                <w:sz w:val="20"/>
              </w:rPr>
            </w:r>
          </w:p>
        </w:tc>
      </w:tr>
      <w:tr>
        <w:trPr>
          <w:trHeight w:val="509" w:hRule="exact"/>
        </w:trPr>
        <w:tc>
          <w:tcPr>
            <w:tcW w:w="4074"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18"/>
              <w:jc w:val="right"/>
              <w:rPr>
                <w:rFonts w:ascii="Arial" w:hAnsi="Arial" w:cs="Arial" w:eastAsia="Arial" w:hint="default"/>
                <w:sz w:val="20"/>
                <w:szCs w:val="20"/>
              </w:rPr>
            </w:pPr>
            <w:r>
              <w:rPr>
                <w:rFonts w:ascii="Arial"/>
                <w:w w:val="99"/>
                <w:sz w:val="20"/>
              </w:rPr>
            </w:r>
            <w:r>
              <w:rPr>
                <w:rFonts w:ascii="Arial"/>
                <w:spacing w:val="-1"/>
                <w:sz w:val="20"/>
                <w:u w:val="thick" w:color="000000"/>
              </w:rPr>
              <w:t>309,705,734</w:t>
            </w:r>
            <w:r>
              <w:rPr>
                <w:rFonts w:ascii="Arial"/>
                <w:spacing w:val="-1"/>
                <w:sz w:val="20"/>
              </w:rPr>
            </w:r>
            <w:r>
              <w:rPr>
                <w:rFonts w:ascii="Arial"/>
                <w:sz w:val="20"/>
              </w:rPr>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01"/>
              <w:jc w:val="right"/>
              <w:rPr>
                <w:rFonts w:ascii="Arial" w:hAnsi="Arial" w:cs="Arial" w:eastAsia="Arial" w:hint="default"/>
                <w:sz w:val="20"/>
                <w:szCs w:val="20"/>
              </w:rPr>
            </w:pPr>
            <w:r>
              <w:rPr>
                <w:rFonts w:ascii="Arial"/>
                <w:w w:val="99"/>
                <w:sz w:val="20"/>
              </w:rPr>
            </w:r>
            <w:r>
              <w:rPr>
                <w:rFonts w:ascii="Arial"/>
                <w:spacing w:val="-1"/>
                <w:sz w:val="20"/>
                <w:u w:val="thick" w:color="000000"/>
              </w:rPr>
              <w:t>361,684,970</w:t>
            </w:r>
            <w:r>
              <w:rPr>
                <w:rFonts w:ascii="Arial"/>
                <w:spacing w:val="-1"/>
                <w:sz w:val="20"/>
              </w:rPr>
            </w:r>
            <w:r>
              <w:rPr>
                <w:rFonts w:ascii="Arial"/>
                <w:sz w:val="20"/>
              </w:rPr>
            </w:r>
          </w:p>
        </w:tc>
      </w:tr>
      <w:tr>
        <w:trPr>
          <w:trHeight w:val="384" w:hRule="exact"/>
        </w:trPr>
        <w:tc>
          <w:tcPr>
            <w:tcW w:w="4074"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00" w:right="0"/>
              <w:jc w:val="left"/>
              <w:rPr>
                <w:rFonts w:ascii="黑体" w:hAnsi="黑体" w:cs="黑体" w:eastAsia="黑体" w:hint="default"/>
                <w:sz w:val="20"/>
                <w:szCs w:val="20"/>
              </w:rPr>
            </w:pPr>
            <w:r>
              <w:rPr>
                <w:rFonts w:ascii="黑体" w:hAnsi="黑体" w:cs="黑体" w:eastAsia="黑体" w:hint="default"/>
                <w:sz w:val="20"/>
                <w:szCs w:val="20"/>
              </w:rPr>
              <w:t>因纳税暂时性差异</w:t>
            </w:r>
          </w:p>
        </w:tc>
        <w:tc>
          <w:tcPr>
            <w:tcW w:w="2103"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
        </w:tc>
      </w:tr>
      <w:tr>
        <w:trPr>
          <w:trHeight w:val="237" w:hRule="exact"/>
        </w:trPr>
        <w:tc>
          <w:tcPr>
            <w:tcW w:w="4074" w:type="dxa"/>
            <w:tcBorders>
              <w:top w:val="nil" w:sz="6" w:space="0" w:color="auto"/>
              <w:left w:val="nil" w:sz="6" w:space="0" w:color="auto"/>
              <w:bottom w:val="nil" w:sz="6" w:space="0" w:color="auto"/>
              <w:right w:val="nil" w:sz="6" w:space="0" w:color="auto"/>
            </w:tcBorders>
          </w:tcPr>
          <w:p>
            <w:pPr>
              <w:pStyle w:val="TableParagraph"/>
              <w:spacing w:line="229" w:lineRule="exact"/>
              <w:ind w:left="200" w:right="0"/>
              <w:jc w:val="left"/>
              <w:rPr>
                <w:rFonts w:ascii="黑体" w:hAnsi="黑体" w:cs="黑体" w:eastAsia="黑体" w:hint="default"/>
                <w:sz w:val="20"/>
                <w:szCs w:val="20"/>
              </w:rPr>
            </w:pPr>
            <w:r>
              <w:rPr>
                <w:rFonts w:ascii="黑体" w:hAnsi="黑体" w:cs="黑体" w:eastAsia="黑体" w:hint="default"/>
                <w:sz w:val="20"/>
                <w:szCs w:val="20"/>
              </w:rPr>
              <w:t>非同一控制下企业合并公允价值调整</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18"/>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  </w:t>
            </w:r>
            <w:r>
              <w:rPr>
                <w:rFonts w:ascii="Arial"/>
                <w:spacing w:val="-2"/>
                <w:sz w:val="20"/>
                <w:u w:val="thick" w:color="000000"/>
              </w:rPr>
              <w:t> </w:t>
            </w:r>
            <w:r>
              <w:rPr>
                <w:rFonts w:ascii="Arial"/>
                <w:spacing w:val="-1"/>
                <w:w w:val="95"/>
                <w:sz w:val="20"/>
                <w:u w:val="thick" w:color="000000"/>
              </w:rPr>
              <w:t>2,463,570</w:t>
            </w:r>
            <w:r>
              <w:rPr>
                <w:rFonts w:ascii="Arial"/>
                <w:spacing w:val="-1"/>
                <w:w w:val="95"/>
                <w:sz w:val="20"/>
              </w:rPr>
            </w:r>
            <w:r>
              <w:rPr>
                <w:rFonts w:ascii="Arial"/>
                <w:sz w:val="20"/>
              </w:rPr>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9"/>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  </w:t>
            </w:r>
            <w:r>
              <w:rPr>
                <w:rFonts w:ascii="Arial"/>
                <w:spacing w:val="-21"/>
                <w:sz w:val="20"/>
                <w:u w:val="thick" w:color="000000"/>
              </w:rPr>
              <w:t> </w:t>
            </w:r>
            <w:r>
              <w:rPr>
                <w:rFonts w:ascii="Arial"/>
                <w:spacing w:val="-1"/>
                <w:w w:val="95"/>
                <w:sz w:val="20"/>
                <w:u w:val="thick" w:color="000000"/>
              </w:rPr>
              <w:t>2,463,570</w:t>
            </w:r>
            <w:r>
              <w:rPr>
                <w:rFonts w:ascii="Arial"/>
                <w:spacing w:val="-1"/>
                <w:w w:val="95"/>
                <w:sz w:val="20"/>
              </w:rPr>
            </w:r>
            <w:r>
              <w:rPr>
                <w:rFonts w:ascii="Arial"/>
                <w:sz w:val="20"/>
              </w:rPr>
            </w:r>
          </w:p>
        </w:tc>
      </w:tr>
    </w:tbl>
    <w:p>
      <w:pPr>
        <w:spacing w:line="240" w:lineRule="auto" w:before="2"/>
        <w:rPr>
          <w:rFonts w:ascii="黑体" w:hAnsi="黑体" w:cs="黑体" w:eastAsia="黑体" w:hint="default"/>
          <w:sz w:val="16"/>
          <w:szCs w:val="16"/>
        </w:rPr>
      </w:pPr>
    </w:p>
    <w:p>
      <w:pPr>
        <w:pStyle w:val="Heading6"/>
        <w:tabs>
          <w:tab w:pos="780" w:val="left" w:leader="none"/>
        </w:tabs>
        <w:spacing w:line="240" w:lineRule="auto"/>
        <w:ind w:right="3627"/>
        <w:jc w:val="left"/>
        <w:rPr>
          <w:b w:val="0"/>
          <w:bCs w:val="0"/>
        </w:rPr>
      </w:pPr>
      <w:r>
        <w:rPr>
          <w:rFonts w:ascii="Arial" w:hAnsi="Arial" w:cs="Arial" w:eastAsia="Arial" w:hint="default"/>
          <w:spacing w:val="-1"/>
          <w:w w:val="95"/>
        </w:rPr>
        <w:t>16.</w:t>
        <w:tab/>
      </w:r>
      <w:r>
        <w:rPr>
          <w:spacing w:val="1"/>
        </w:rPr>
        <w:t>资产减值准备</w:t>
      </w:r>
      <w:r>
        <w:rPr>
          <w:b w:val="0"/>
          <w:bCs w:val="0"/>
          <w:spacing w:val="1"/>
        </w:rPr>
      </w:r>
    </w:p>
    <w:p>
      <w:pPr>
        <w:spacing w:line="240" w:lineRule="auto" w:before="0"/>
        <w:rPr>
          <w:rFonts w:ascii="黑体" w:hAnsi="黑体" w:cs="黑体" w:eastAsia="黑体" w:hint="default"/>
          <w:b/>
          <w:bCs/>
          <w:sz w:val="20"/>
          <w:szCs w:val="20"/>
        </w:rPr>
      </w:pPr>
    </w:p>
    <w:p>
      <w:pPr>
        <w:spacing w:line="240" w:lineRule="auto" w:before="13"/>
        <w:rPr>
          <w:rFonts w:ascii="黑体" w:hAnsi="黑体" w:cs="黑体" w:eastAsia="黑体" w:hint="default"/>
          <w:b/>
          <w:bCs/>
          <w:sz w:val="10"/>
          <w:szCs w:val="10"/>
        </w:rPr>
      </w:pPr>
    </w:p>
    <w:tbl>
      <w:tblPr>
        <w:tblW w:w="0" w:type="auto"/>
        <w:jc w:val="left"/>
        <w:tblInd w:w="609" w:type="dxa"/>
        <w:tblLayout w:type="fixed"/>
        <w:tblCellMar>
          <w:top w:w="0" w:type="dxa"/>
          <w:left w:w="0" w:type="dxa"/>
          <w:bottom w:w="0" w:type="dxa"/>
          <w:right w:w="0" w:type="dxa"/>
        </w:tblCellMar>
        <w:tblLook w:val="01E0"/>
      </w:tblPr>
      <w:tblGrid>
        <w:gridCol w:w="2248"/>
        <w:gridCol w:w="1097"/>
        <w:gridCol w:w="1326"/>
        <w:gridCol w:w="1571"/>
        <w:gridCol w:w="576"/>
        <w:gridCol w:w="1354"/>
      </w:tblGrid>
      <w:tr>
        <w:trPr>
          <w:trHeight w:val="234" w:hRule="exact"/>
        </w:trPr>
        <w:tc>
          <w:tcPr>
            <w:tcW w:w="2248" w:type="dxa"/>
            <w:tcBorders>
              <w:top w:val="nil" w:sz="6" w:space="0" w:color="auto"/>
              <w:left w:val="nil" w:sz="6" w:space="0" w:color="auto"/>
              <w:bottom w:val="nil" w:sz="6" w:space="0" w:color="auto"/>
              <w:right w:val="nil" w:sz="6" w:space="0" w:color="auto"/>
            </w:tcBorders>
          </w:tcPr>
          <w:p>
            <w:pPr>
              <w:pStyle w:val="TableParagraph"/>
              <w:spacing w:line="214" w:lineRule="exact"/>
              <w:ind w:left="200" w:right="0"/>
              <w:jc w:val="left"/>
              <w:rPr>
                <w:rFonts w:ascii="黑体" w:hAnsi="黑体" w:cs="黑体" w:eastAsia="黑体" w:hint="default"/>
                <w:sz w:val="20"/>
                <w:szCs w:val="20"/>
              </w:rPr>
            </w:pPr>
            <w:r>
              <w:rPr>
                <w:rFonts w:ascii="Arial" w:hAnsi="Arial" w:cs="Arial" w:eastAsia="Arial" w:hint="default"/>
                <w:sz w:val="20"/>
                <w:szCs w:val="20"/>
              </w:rPr>
              <w:t>2012</w:t>
            </w:r>
            <w:r>
              <w:rPr>
                <w:rFonts w:ascii="黑体" w:hAnsi="黑体" w:cs="黑体" w:eastAsia="黑体" w:hint="default"/>
                <w:sz w:val="20"/>
                <w:szCs w:val="20"/>
              </w:rPr>
              <w:t>年</w:t>
            </w:r>
          </w:p>
        </w:tc>
        <w:tc>
          <w:tcPr>
            <w:tcW w:w="1097"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571" w:type="dxa"/>
            <w:tcBorders>
              <w:top w:val="nil" w:sz="6" w:space="0" w:color="auto"/>
              <w:left w:val="nil" w:sz="6" w:space="0" w:color="auto"/>
              <w:bottom w:val="nil" w:sz="6" w:space="0" w:color="auto"/>
              <w:right w:val="nil" w:sz="6" w:space="0" w:color="auto"/>
            </w:tcBorders>
          </w:tcPr>
          <w:p>
            <w:pPr/>
          </w:p>
        </w:tc>
        <w:tc>
          <w:tcPr>
            <w:tcW w:w="576"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
        </w:tc>
      </w:tr>
      <w:tr>
        <w:trPr>
          <w:trHeight w:val="264" w:hRule="exact"/>
        </w:trPr>
        <w:tc>
          <w:tcPr>
            <w:tcW w:w="2248"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Style w:val="TableParagraph"/>
              <w:spacing w:line="239" w:lineRule="exact"/>
              <w:ind w:right="37"/>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1326" w:type="dxa"/>
            <w:tcBorders>
              <w:top w:val="nil" w:sz="6" w:space="0" w:color="auto"/>
              <w:left w:val="nil" w:sz="6" w:space="0" w:color="auto"/>
              <w:bottom w:val="nil" w:sz="6" w:space="0" w:color="auto"/>
              <w:right w:val="nil" w:sz="6" w:space="0" w:color="auto"/>
            </w:tcBorders>
          </w:tcPr>
          <w:p>
            <w:pPr>
              <w:pStyle w:val="TableParagraph"/>
              <w:spacing w:line="224" w:lineRule="exact"/>
              <w:ind w:right="257"/>
              <w:jc w:val="right"/>
              <w:rPr>
                <w:rFonts w:ascii="黑体" w:hAnsi="黑体" w:cs="黑体" w:eastAsia="黑体" w:hint="default"/>
                <w:sz w:val="20"/>
                <w:szCs w:val="20"/>
              </w:rPr>
            </w:pPr>
            <w:r>
              <w:rPr>
                <w:rFonts w:ascii="黑体" w:hAnsi="黑体" w:cs="黑体" w:eastAsia="黑体" w:hint="default"/>
                <w:w w:val="95"/>
                <w:sz w:val="20"/>
                <w:szCs w:val="20"/>
              </w:rPr>
              <w:t>本年</w:t>
            </w:r>
            <w:r>
              <w:rPr>
                <w:rFonts w:ascii="黑体" w:hAnsi="黑体" w:cs="黑体" w:eastAsia="黑体" w:hint="default"/>
                <w:sz w:val="20"/>
                <w:szCs w:val="20"/>
              </w:rPr>
            </w:r>
          </w:p>
        </w:tc>
        <w:tc>
          <w:tcPr>
            <w:tcW w:w="1571" w:type="dxa"/>
            <w:tcBorders>
              <w:top w:val="nil" w:sz="6" w:space="0" w:color="auto"/>
              <w:left w:val="nil" w:sz="6" w:space="0" w:color="auto"/>
              <w:bottom w:val="single" w:sz="4" w:space="0" w:color="000000"/>
              <w:right w:val="nil" w:sz="6" w:space="0" w:color="auto"/>
            </w:tcBorders>
          </w:tcPr>
          <w:p>
            <w:pPr>
              <w:pStyle w:val="TableParagraph"/>
              <w:spacing w:line="224" w:lineRule="exact"/>
              <w:ind w:left="638" w:right="0"/>
              <w:jc w:val="left"/>
              <w:rPr>
                <w:rFonts w:ascii="黑体" w:hAnsi="黑体" w:cs="黑体" w:eastAsia="黑体" w:hint="default"/>
                <w:sz w:val="20"/>
                <w:szCs w:val="20"/>
              </w:rPr>
            </w:pPr>
            <w:r>
              <w:rPr>
                <w:rFonts w:ascii="黑体" w:hAnsi="黑体" w:cs="黑体" w:eastAsia="黑体" w:hint="default"/>
                <w:sz w:val="20"/>
                <w:szCs w:val="20"/>
              </w:rPr>
              <w:t>本年减少</w:t>
            </w:r>
          </w:p>
        </w:tc>
        <w:tc>
          <w:tcPr>
            <w:tcW w:w="576" w:type="dxa"/>
            <w:tcBorders>
              <w:top w:val="nil" w:sz="6" w:space="0" w:color="auto"/>
              <w:left w:val="nil" w:sz="6" w:space="0" w:color="auto"/>
              <w:bottom w:val="single" w:sz="4" w:space="0" w:color="000000"/>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Style w:val="TableParagraph"/>
              <w:spacing w:line="239" w:lineRule="exact"/>
              <w:ind w:right="198"/>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r>
      <w:tr>
        <w:trPr>
          <w:trHeight w:val="393" w:hRule="exact"/>
        </w:trPr>
        <w:tc>
          <w:tcPr>
            <w:tcW w:w="2248"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Style w:val="TableParagraph"/>
              <w:spacing w:line="244" w:lineRule="exact"/>
              <w:ind w:right="37"/>
              <w:jc w:val="right"/>
              <w:rPr>
                <w:rFonts w:ascii="黑体" w:hAnsi="黑体" w:cs="黑体" w:eastAsia="黑体" w:hint="default"/>
                <w:sz w:val="20"/>
                <w:szCs w:val="20"/>
              </w:rPr>
            </w:pPr>
            <w:r>
              <w:rPr>
                <w:rFonts w:ascii="Arial" w:hAnsi="Arial" w:cs="Arial" w:eastAsia="Arial" w:hint="default"/>
                <w:spacing w:val="-1"/>
                <w:w w:val="95"/>
                <w:sz w:val="20"/>
                <w:szCs w:val="20"/>
              </w:rPr>
              <w:t>1</w:t>
            </w:r>
            <w:r>
              <w:rPr>
                <w:rFonts w:ascii="黑体" w:hAnsi="黑体" w:cs="黑体" w:eastAsia="黑体" w:hint="default"/>
                <w:spacing w:val="-1"/>
                <w:w w:val="95"/>
                <w:sz w:val="20"/>
                <w:szCs w:val="20"/>
              </w:rPr>
              <w:t>月</w:t>
            </w:r>
            <w:r>
              <w:rPr>
                <w:rFonts w:ascii="Arial" w:hAnsi="Arial" w:cs="Arial" w:eastAsia="Arial" w:hint="default"/>
                <w:spacing w:val="-1"/>
                <w:w w:val="95"/>
                <w:sz w:val="20"/>
                <w:szCs w:val="20"/>
              </w:rPr>
              <w:t>1</w:t>
            </w:r>
            <w:r>
              <w:rPr>
                <w:rFonts w:ascii="黑体" w:hAnsi="黑体" w:cs="黑体" w:eastAsia="黑体" w:hint="default"/>
                <w:spacing w:val="-1"/>
                <w:w w:val="95"/>
                <w:sz w:val="20"/>
                <w:szCs w:val="20"/>
              </w:rPr>
              <w:t>日</w:t>
            </w:r>
            <w:r>
              <w:rPr>
                <w:rFonts w:ascii="黑体" w:hAnsi="黑体" w:cs="黑体" w:eastAsia="黑体" w:hint="default"/>
                <w:spacing w:val="-1"/>
                <w:sz w:val="20"/>
                <w:szCs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30" w:lineRule="exact"/>
              <w:ind w:right="257"/>
              <w:jc w:val="right"/>
              <w:rPr>
                <w:rFonts w:ascii="黑体" w:hAnsi="黑体" w:cs="黑体" w:eastAsia="黑体" w:hint="default"/>
                <w:sz w:val="20"/>
                <w:szCs w:val="20"/>
              </w:rPr>
            </w:pPr>
            <w:r>
              <w:rPr>
                <w:rFonts w:ascii="黑体" w:hAnsi="黑体" w:cs="黑体" w:eastAsia="黑体" w:hint="default"/>
                <w:w w:val="95"/>
                <w:sz w:val="20"/>
                <w:szCs w:val="20"/>
              </w:rPr>
              <w:t>计提</w:t>
            </w:r>
            <w:r>
              <w:rPr>
                <w:rFonts w:ascii="黑体" w:hAnsi="黑体" w:cs="黑体" w:eastAsia="黑体" w:hint="default"/>
                <w:sz w:val="20"/>
                <w:szCs w:val="20"/>
              </w:rPr>
            </w:r>
          </w:p>
        </w:tc>
        <w:tc>
          <w:tcPr>
            <w:tcW w:w="1571" w:type="dxa"/>
            <w:tcBorders>
              <w:top w:val="single" w:sz="4" w:space="0" w:color="000000"/>
              <w:left w:val="nil" w:sz="6" w:space="0" w:color="auto"/>
              <w:bottom w:val="nil" w:sz="6" w:space="0" w:color="auto"/>
              <w:right w:val="nil" w:sz="6" w:space="0" w:color="auto"/>
            </w:tcBorders>
          </w:tcPr>
          <w:p>
            <w:pPr>
              <w:pStyle w:val="TableParagraph"/>
              <w:spacing w:line="225" w:lineRule="exact"/>
              <w:ind w:left="99" w:right="0"/>
              <w:jc w:val="center"/>
              <w:rPr>
                <w:rFonts w:ascii="黑体" w:hAnsi="黑体" w:cs="黑体" w:eastAsia="黑体" w:hint="default"/>
                <w:sz w:val="20"/>
                <w:szCs w:val="20"/>
              </w:rPr>
            </w:pPr>
            <w:r>
              <w:rPr>
                <w:rFonts w:ascii="黑体" w:hAnsi="黑体" w:cs="黑体" w:eastAsia="黑体" w:hint="default"/>
                <w:sz w:val="20"/>
                <w:szCs w:val="20"/>
              </w:rPr>
              <w:t>转回</w:t>
            </w:r>
          </w:p>
        </w:tc>
        <w:tc>
          <w:tcPr>
            <w:tcW w:w="576" w:type="dxa"/>
            <w:tcBorders>
              <w:top w:val="single" w:sz="4" w:space="0" w:color="000000"/>
              <w:left w:val="nil" w:sz="6" w:space="0" w:color="auto"/>
              <w:bottom w:val="nil" w:sz="6" w:space="0" w:color="auto"/>
              <w:right w:val="nil" w:sz="6" w:space="0" w:color="auto"/>
            </w:tcBorders>
          </w:tcPr>
          <w:p>
            <w:pPr>
              <w:pStyle w:val="TableParagraph"/>
              <w:spacing w:line="225" w:lineRule="exact"/>
              <w:ind w:left="135" w:right="0"/>
              <w:jc w:val="left"/>
              <w:rPr>
                <w:rFonts w:ascii="黑体" w:hAnsi="黑体" w:cs="黑体" w:eastAsia="黑体" w:hint="default"/>
                <w:sz w:val="20"/>
                <w:szCs w:val="20"/>
              </w:rPr>
            </w:pPr>
            <w:r>
              <w:rPr>
                <w:rFonts w:ascii="黑体" w:hAnsi="黑体" w:cs="黑体" w:eastAsia="黑体" w:hint="default"/>
                <w:sz w:val="20"/>
                <w:szCs w:val="20"/>
              </w:rPr>
              <w:t>转销</w:t>
            </w:r>
          </w:p>
        </w:tc>
        <w:tc>
          <w:tcPr>
            <w:tcW w:w="1354" w:type="dxa"/>
            <w:tcBorders>
              <w:top w:val="nil" w:sz="6" w:space="0" w:color="auto"/>
              <w:left w:val="nil" w:sz="6" w:space="0" w:color="auto"/>
              <w:bottom w:val="nil" w:sz="6" w:space="0" w:color="auto"/>
              <w:right w:val="nil" w:sz="6" w:space="0" w:color="auto"/>
            </w:tcBorders>
          </w:tcPr>
          <w:p>
            <w:pPr>
              <w:pStyle w:val="TableParagraph"/>
              <w:spacing w:line="244" w:lineRule="exact"/>
              <w:ind w:right="198"/>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r>
      <w:tr>
        <w:trPr>
          <w:trHeight w:val="386" w:hRule="exact"/>
        </w:trPr>
        <w:tc>
          <w:tcPr>
            <w:tcW w:w="224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00" w:right="0"/>
              <w:jc w:val="left"/>
              <w:rPr>
                <w:rFonts w:ascii="黑体" w:hAnsi="黑体" w:cs="黑体" w:eastAsia="黑体" w:hint="default"/>
                <w:sz w:val="20"/>
                <w:szCs w:val="20"/>
              </w:rPr>
            </w:pPr>
            <w:r>
              <w:rPr>
                <w:rFonts w:ascii="黑体" w:hAnsi="黑体" w:cs="黑体" w:eastAsia="黑体" w:hint="default"/>
                <w:sz w:val="20"/>
                <w:szCs w:val="20"/>
              </w:rPr>
              <w:t>坏账准备</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45"/>
              <w:jc w:val="right"/>
              <w:rPr>
                <w:rFonts w:ascii="Arial" w:hAnsi="Arial" w:cs="Arial" w:eastAsia="Arial" w:hint="default"/>
                <w:sz w:val="20"/>
                <w:szCs w:val="20"/>
              </w:rPr>
            </w:pPr>
            <w:r>
              <w:rPr>
                <w:rFonts w:ascii="Arial"/>
                <w:spacing w:val="-1"/>
                <w:sz w:val="20"/>
              </w:rPr>
              <w:t>51,522,355</w:t>
            </w:r>
            <w:r>
              <w:rPr>
                <w:rFonts w:ascii="Arial"/>
                <w:sz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86"/>
              <w:jc w:val="right"/>
              <w:rPr>
                <w:rFonts w:ascii="Arial" w:hAnsi="Arial" w:cs="Arial" w:eastAsia="Arial" w:hint="default"/>
                <w:sz w:val="20"/>
                <w:szCs w:val="20"/>
              </w:rPr>
            </w:pPr>
            <w:r>
              <w:rPr>
                <w:rFonts w:ascii="Arial"/>
                <w:spacing w:val="-1"/>
                <w:sz w:val="20"/>
              </w:rPr>
              <w:t>46,718,873</w:t>
            </w:r>
            <w:r>
              <w:rPr>
                <w:rFonts w:ascii="Arial"/>
                <w:sz w:val="20"/>
              </w:rPr>
            </w:r>
          </w:p>
        </w:tc>
        <w:tc>
          <w:tcPr>
            <w:tcW w:w="1571"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52" w:right="0"/>
              <w:jc w:val="left"/>
              <w:rPr>
                <w:rFonts w:ascii="Arial" w:hAnsi="Arial" w:cs="Arial" w:eastAsia="Arial" w:hint="default"/>
                <w:sz w:val="20"/>
                <w:szCs w:val="20"/>
              </w:rPr>
            </w:pPr>
            <w:r>
              <w:rPr>
                <w:rFonts w:ascii="Arial"/>
                <w:sz w:val="20"/>
              </w:rPr>
              <w:t>(1,173,361)</w:t>
            </w:r>
          </w:p>
        </w:tc>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6"/>
              <w:jc w:val="right"/>
              <w:rPr>
                <w:rFonts w:ascii="Arial" w:hAnsi="Arial" w:cs="Arial" w:eastAsia="Arial" w:hint="default"/>
                <w:sz w:val="20"/>
                <w:szCs w:val="20"/>
              </w:rPr>
            </w:pPr>
            <w:r>
              <w:rPr>
                <w:rFonts w:ascii="Arial"/>
                <w:w w:val="99"/>
                <w:sz w:val="20"/>
              </w:rPr>
              <w:t>-</w:t>
            </w:r>
            <w:r>
              <w:rPr>
                <w:rFonts w:ascii="Arial"/>
                <w:sz w:val="20"/>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98"/>
              <w:jc w:val="right"/>
              <w:rPr>
                <w:rFonts w:ascii="Arial" w:hAnsi="Arial" w:cs="Arial" w:eastAsia="Arial" w:hint="default"/>
                <w:sz w:val="20"/>
                <w:szCs w:val="20"/>
              </w:rPr>
            </w:pPr>
            <w:r>
              <w:rPr>
                <w:rFonts w:ascii="Arial"/>
                <w:spacing w:val="-1"/>
                <w:sz w:val="20"/>
              </w:rPr>
              <w:t>97,067,867</w:t>
            </w:r>
            <w:r>
              <w:rPr>
                <w:rFonts w:ascii="Arial"/>
                <w:sz w:val="20"/>
              </w:rPr>
            </w:r>
          </w:p>
        </w:tc>
      </w:tr>
      <w:tr>
        <w:trPr>
          <w:trHeight w:val="389" w:hRule="exact"/>
        </w:trPr>
        <w:tc>
          <w:tcPr>
            <w:tcW w:w="2248"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长期股权投资减值准备</w:t>
            </w: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5"/>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8"/>
                <w:sz w:val="20"/>
                <w:u w:val="single" w:color="000000"/>
              </w:rPr>
              <w:t> </w:t>
            </w:r>
            <w:r>
              <w:rPr>
                <w:rFonts w:ascii="Arial"/>
                <w:spacing w:val="-1"/>
                <w:sz w:val="20"/>
                <w:u w:val="single" w:color="000000"/>
              </w:rPr>
              <w:t>6,682,955</w:t>
            </w:r>
            <w:r>
              <w:rPr>
                <w:rFonts w:ascii="Arial"/>
                <w:spacing w:val="-1"/>
                <w:sz w:val="20"/>
              </w:rPr>
            </w:r>
            <w:r>
              <w:rPr>
                <w:rFonts w:ascii="Arial"/>
                <w:sz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81"/>
              <w:jc w:val="right"/>
              <w:rPr>
                <w:rFonts w:ascii="Arial" w:hAnsi="Arial" w:cs="Arial" w:eastAsia="Arial" w:hint="default"/>
                <w:sz w:val="20"/>
                <w:szCs w:val="20"/>
              </w:rPr>
            </w:pPr>
            <w:r>
              <w:rPr>
                <w:rFonts w:ascii="Arial"/>
                <w:w w:val="99"/>
                <w:sz w:val="20"/>
              </w:rPr>
            </w:r>
            <w:r>
              <w:rPr>
                <w:rFonts w:ascii="Arial"/>
                <w:spacing w:val="-1"/>
                <w:sz w:val="20"/>
                <w:u w:val="single" w:color="000000"/>
              </w:rPr>
              <w:t>10,000,000</w:t>
            </w:r>
            <w:r>
              <w:rPr>
                <w:rFonts w:ascii="Arial"/>
                <w:spacing w:val="-1"/>
                <w:sz w:val="20"/>
              </w:rPr>
            </w:r>
            <w:r>
              <w:rPr>
                <w:rFonts w:ascii="Arial"/>
                <w:sz w:val="20"/>
              </w:rPr>
            </w:r>
          </w:p>
        </w:tc>
        <w:tc>
          <w:tcPr>
            <w:tcW w:w="1571" w:type="dxa"/>
            <w:tcBorders>
              <w:top w:val="nil" w:sz="6" w:space="0" w:color="auto"/>
              <w:left w:val="nil" w:sz="6" w:space="0" w:color="auto"/>
              <w:bottom w:val="nil" w:sz="6" w:space="0" w:color="auto"/>
              <w:right w:val="nil" w:sz="6" w:space="0" w:color="auto"/>
            </w:tcBorders>
          </w:tcPr>
          <w:p>
            <w:pPr>
              <w:pStyle w:val="TableParagraph"/>
              <w:tabs>
                <w:tab w:pos="971" w:val="left" w:leader="none"/>
                <w:tab w:pos="1240" w:val="left" w:leader="none"/>
                <w:tab w:pos="2042" w:val="left" w:leader="none"/>
              </w:tabs>
              <w:spacing w:line="240" w:lineRule="auto" w:before="7"/>
              <w:ind w:left="100" w:right="-472"/>
              <w:jc w:val="lef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t>-</w:t>
            </w:r>
            <w:r>
              <w:rPr>
                <w:rFonts w:ascii="Arial"/>
                <w:sz w:val="20"/>
              </w:rPr>
              <w:tab/>
            </w:r>
            <w:r>
              <w:rPr>
                <w:rFonts w:ascii="Arial"/>
                <w:w w:val="99"/>
                <w:sz w:val="20"/>
              </w:rPr>
            </w:r>
            <w:r>
              <w:rPr>
                <w:rFonts w:ascii="Arial"/>
                <w:w w:val="99"/>
                <w:sz w:val="20"/>
                <w:u w:val="single" w:color="000000"/>
              </w:rPr>
              <w:t> </w:t>
            </w:r>
            <w:r>
              <w:rPr>
                <w:rFonts w:ascii="Arial"/>
                <w:sz w:val="20"/>
                <w:u w:val="single" w:color="000000"/>
              </w:rPr>
              <w:tab/>
            </w:r>
            <w:r>
              <w:rPr>
                <w:rFonts w:ascii="Arial"/>
                <w:sz w:val="20"/>
              </w:rPr>
            </w:r>
          </w:p>
        </w:tc>
        <w:tc>
          <w:tcPr>
            <w:tcW w:w="57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5"/>
              <w:jc w:val="right"/>
              <w:rPr>
                <w:rFonts w:ascii="Arial" w:hAnsi="Arial" w:cs="Arial" w:eastAsia="Arial" w:hint="default"/>
                <w:sz w:val="20"/>
                <w:szCs w:val="20"/>
              </w:rPr>
            </w:pPr>
            <w:r>
              <w:rPr>
                <w:rFonts w:ascii="Arial"/>
                <w:w w:val="99"/>
                <w:sz w:val="20"/>
              </w:rPr>
            </w:r>
            <w:r>
              <w:rPr>
                <w:rFonts w:ascii="Arial"/>
                <w:w w:val="99"/>
                <w:sz w:val="20"/>
                <w:u w:val="single" w:color="000000"/>
              </w:rPr>
              <w:t>-</w:t>
            </w:r>
            <w:r>
              <w:rPr>
                <w:rFonts w:ascii="Arial"/>
                <w:w w:val="99"/>
                <w:sz w:val="20"/>
              </w:rPr>
            </w:r>
            <w:r>
              <w:rPr>
                <w:rFonts w:ascii="Arial"/>
                <w:sz w:val="20"/>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5"/>
                <w:sz w:val="20"/>
                <w:u w:val="single" w:color="000000"/>
              </w:rPr>
              <w:t> </w:t>
            </w:r>
            <w:r>
              <w:rPr>
                <w:rFonts w:ascii="Arial"/>
                <w:spacing w:val="-1"/>
                <w:w w:val="95"/>
                <w:sz w:val="20"/>
                <w:u w:val="single" w:color="000000"/>
              </w:rPr>
              <w:t>16,682,955</w:t>
            </w:r>
            <w:r>
              <w:rPr>
                <w:rFonts w:ascii="Arial"/>
                <w:spacing w:val="-1"/>
                <w:w w:val="95"/>
                <w:sz w:val="20"/>
              </w:rPr>
            </w:r>
            <w:r>
              <w:rPr>
                <w:rFonts w:ascii="Arial"/>
                <w:sz w:val="20"/>
              </w:rPr>
            </w:r>
          </w:p>
        </w:tc>
      </w:tr>
      <w:tr>
        <w:trPr>
          <w:trHeight w:val="355" w:hRule="exact"/>
        </w:trPr>
        <w:tc>
          <w:tcPr>
            <w:tcW w:w="2248" w:type="dxa"/>
            <w:tcBorders>
              <w:top w:val="nil" w:sz="6" w:space="0" w:color="auto"/>
              <w:left w:val="nil" w:sz="6" w:space="0" w:color="auto"/>
              <w:bottom w:val="nil" w:sz="6" w:space="0" w:color="auto"/>
              <w:right w:val="nil" w:sz="6" w:space="0" w:color="auto"/>
            </w:tcBorders>
          </w:tcPr>
          <w:p>
            <w:pPr/>
          </w:p>
        </w:tc>
        <w:tc>
          <w:tcPr>
            <w:tcW w:w="1097"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69"/>
              <w:jc w:val="right"/>
              <w:rPr>
                <w:rFonts w:ascii="Arial" w:hAnsi="Arial" w:cs="Arial" w:eastAsia="Arial" w:hint="default"/>
                <w:sz w:val="20"/>
                <w:szCs w:val="20"/>
              </w:rPr>
            </w:pPr>
            <w:r>
              <w:rPr>
                <w:rFonts w:ascii="Arial"/>
                <w:w w:val="99"/>
                <w:sz w:val="20"/>
              </w:rPr>
            </w:r>
            <w:r>
              <w:rPr>
                <w:rFonts w:ascii="Arial"/>
                <w:spacing w:val="-1"/>
                <w:sz w:val="20"/>
                <w:u w:val="thick" w:color="000000"/>
              </w:rPr>
              <w:t>58,205,310</w:t>
            </w:r>
            <w:r>
              <w:rPr>
                <w:rFonts w:ascii="Arial"/>
                <w:spacing w:val="-1"/>
                <w:sz w:val="20"/>
              </w:rPr>
            </w:r>
            <w:r>
              <w:rPr>
                <w:rFonts w:ascii="Arial"/>
                <w:sz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86"/>
              <w:jc w:val="right"/>
              <w:rPr>
                <w:rFonts w:ascii="Arial" w:hAnsi="Arial" w:cs="Arial" w:eastAsia="Arial" w:hint="default"/>
                <w:sz w:val="20"/>
                <w:szCs w:val="20"/>
              </w:rPr>
            </w:pPr>
            <w:r>
              <w:rPr>
                <w:rFonts w:ascii="Arial"/>
                <w:w w:val="99"/>
                <w:sz w:val="20"/>
              </w:rPr>
            </w:r>
            <w:r>
              <w:rPr>
                <w:rFonts w:ascii="Arial"/>
                <w:spacing w:val="-1"/>
                <w:sz w:val="20"/>
                <w:u w:val="thick" w:color="000000"/>
              </w:rPr>
              <w:t>56,718,873</w:t>
            </w:r>
            <w:r>
              <w:rPr>
                <w:rFonts w:ascii="Arial"/>
                <w:spacing w:val="-1"/>
                <w:sz w:val="20"/>
              </w:rPr>
            </w:r>
            <w:r>
              <w:rPr>
                <w:rFonts w:ascii="Arial"/>
                <w:sz w:val="20"/>
              </w:rPr>
            </w:r>
          </w:p>
        </w:tc>
        <w:tc>
          <w:tcPr>
            <w:tcW w:w="1571" w:type="dxa"/>
            <w:tcBorders>
              <w:top w:val="nil" w:sz="6" w:space="0" w:color="auto"/>
              <w:left w:val="nil" w:sz="6" w:space="0" w:color="auto"/>
              <w:bottom w:val="nil" w:sz="6" w:space="0" w:color="auto"/>
              <w:right w:val="nil" w:sz="6" w:space="0" w:color="auto"/>
            </w:tcBorders>
          </w:tcPr>
          <w:p>
            <w:pPr>
              <w:pStyle w:val="TableParagraph"/>
              <w:tabs>
                <w:tab w:pos="2063" w:val="left" w:leader="none"/>
              </w:tabs>
              <w:spacing w:line="240" w:lineRule="auto" w:before="130"/>
              <w:ind w:left="52" w:right="-494"/>
              <w:jc w:val="left"/>
              <w:rPr>
                <w:rFonts w:ascii="Arial" w:hAnsi="Arial" w:cs="Arial" w:eastAsia="Arial" w:hint="default"/>
                <w:sz w:val="20"/>
                <w:szCs w:val="20"/>
              </w:rPr>
            </w:pPr>
            <w:r>
              <w:rPr>
                <w:rFonts w:ascii="Arial"/>
                <w:sz w:val="20"/>
              </w:rPr>
              <w:t>(</w:t>
            </w:r>
            <w:r>
              <w:rPr>
                <w:rFonts w:ascii="Arial"/>
                <w:sz w:val="20"/>
                <w:u w:val="thick" w:color="000000"/>
              </w:rPr>
              <w:t>1,173,361</w:t>
            </w:r>
            <w:r>
              <w:rPr>
                <w:rFonts w:ascii="Arial"/>
                <w:sz w:val="20"/>
              </w:rPr>
              <w:t>)  </w:t>
            </w:r>
            <w:r>
              <w:rPr>
                <w:rFonts w:ascii="Arial"/>
                <w:spacing w:val="21"/>
                <w:sz w:val="20"/>
              </w:rPr>
              <w:t> </w:t>
            </w:r>
            <w:r>
              <w:rPr>
                <w:rFonts w:ascii="Arial"/>
                <w:spacing w:val="21"/>
                <w:w w:val="99"/>
                <w:sz w:val="20"/>
              </w:rPr>
            </w:r>
            <w:r>
              <w:rPr>
                <w:rFonts w:ascii="Arial"/>
                <w:w w:val="99"/>
                <w:sz w:val="20"/>
                <w:u w:val="thick" w:color="000000"/>
              </w:rPr>
              <w:t> </w:t>
            </w:r>
            <w:r>
              <w:rPr>
                <w:rFonts w:ascii="Arial"/>
                <w:sz w:val="20"/>
                <w:u w:val="thick" w:color="000000"/>
              </w:rPr>
              <w:tab/>
            </w:r>
            <w:r>
              <w:rPr>
                <w:rFonts w:ascii="Arial"/>
                <w:sz w:val="20"/>
              </w:rPr>
            </w:r>
          </w:p>
        </w:tc>
        <w:tc>
          <w:tcPr>
            <w:tcW w:w="576" w:type="dxa"/>
            <w:tcBorders>
              <w:top w:val="nil" w:sz="6" w:space="0" w:color="auto"/>
              <w:left w:val="nil" w:sz="6" w:space="0" w:color="auto"/>
              <w:bottom w:val="nil" w:sz="6" w:space="0" w:color="auto"/>
              <w:right w:val="nil" w:sz="6" w:space="0" w:color="auto"/>
            </w:tcBorders>
          </w:tcPr>
          <w:p>
            <w:pPr>
              <w:pStyle w:val="TableParagraph"/>
              <w:tabs>
                <w:tab w:pos="98" w:val="left" w:leader="none"/>
              </w:tabs>
              <w:spacing w:line="240" w:lineRule="auto" w:before="130"/>
              <w:ind w:right="-17"/>
              <w:jc w:val="right"/>
              <w:rPr>
                <w:rFonts w:ascii="Arial" w:hAnsi="Arial" w:cs="Arial" w:eastAsia="Arial" w:hint="default"/>
                <w:sz w:val="20"/>
                <w:szCs w:val="20"/>
              </w:rPr>
            </w:pPr>
            <w:r>
              <w:rPr>
                <w:rFonts w:ascii="Arial"/>
                <w:w w:val="99"/>
                <w:sz w:val="20"/>
              </w:rPr>
            </w:r>
            <w:r>
              <w:rPr>
                <w:rFonts w:ascii="Arial"/>
                <w:w w:val="95"/>
                <w:sz w:val="20"/>
                <w:u w:val="thick" w:color="000000"/>
              </w:rPr>
              <w:t>-</w:t>
            </w:r>
            <w:r>
              <w:rPr>
                <w:rFonts w:ascii="Arial"/>
                <w:sz w:val="20"/>
                <w:u w:val="thick" w:color="000000"/>
              </w:rPr>
              <w:tab/>
            </w:r>
            <w:r>
              <w:rPr>
                <w:rFonts w:ascii="Arial"/>
                <w:sz w:val="20"/>
              </w:rPr>
            </w: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27"/>
              <w:jc w:val="right"/>
              <w:rPr>
                <w:rFonts w:ascii="Arial" w:hAnsi="Arial" w:cs="Arial" w:eastAsia="Arial" w:hint="default"/>
                <w:sz w:val="20"/>
                <w:szCs w:val="20"/>
              </w:rPr>
            </w:pPr>
            <w:r>
              <w:rPr>
                <w:rFonts w:ascii="Arial"/>
                <w:w w:val="99"/>
                <w:sz w:val="20"/>
              </w:rPr>
            </w:r>
            <w:r>
              <w:rPr>
                <w:rFonts w:ascii="Arial"/>
                <w:spacing w:val="-1"/>
                <w:sz w:val="20"/>
                <w:u w:val="thick" w:color="000000"/>
              </w:rPr>
              <w:t>113,750,822</w:t>
            </w:r>
            <w:r>
              <w:rPr>
                <w:rFonts w:ascii="Arial"/>
                <w:spacing w:val="-1"/>
                <w:sz w:val="20"/>
              </w:rPr>
            </w:r>
            <w:r>
              <w:rPr>
                <w:rFonts w:ascii="Arial"/>
                <w:sz w:val="20"/>
              </w:rPr>
            </w:r>
          </w:p>
        </w:tc>
      </w:tr>
    </w:tbl>
    <w:p>
      <w:pPr>
        <w:spacing w:line="240" w:lineRule="auto" w:before="10"/>
        <w:rPr>
          <w:rFonts w:ascii="黑体" w:hAnsi="黑体" w:cs="黑体" w:eastAsia="黑体" w:hint="default"/>
          <w:b/>
          <w:bCs/>
          <w:sz w:val="26"/>
          <w:szCs w:val="26"/>
        </w:rPr>
      </w:pPr>
    </w:p>
    <w:tbl>
      <w:tblPr>
        <w:tblW w:w="0" w:type="auto"/>
        <w:jc w:val="left"/>
        <w:tblInd w:w="609" w:type="dxa"/>
        <w:tblLayout w:type="fixed"/>
        <w:tblCellMar>
          <w:top w:w="0" w:type="dxa"/>
          <w:left w:w="0" w:type="dxa"/>
          <w:bottom w:w="0" w:type="dxa"/>
          <w:right w:w="0" w:type="dxa"/>
        </w:tblCellMar>
        <w:tblLook w:val="01E0"/>
      </w:tblPr>
      <w:tblGrid>
        <w:gridCol w:w="2230"/>
        <w:gridCol w:w="1108"/>
        <w:gridCol w:w="1333"/>
        <w:gridCol w:w="1120"/>
        <w:gridCol w:w="1116"/>
        <w:gridCol w:w="1266"/>
      </w:tblGrid>
      <w:tr>
        <w:trPr>
          <w:trHeight w:val="234"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14" w:lineRule="exact"/>
              <w:ind w:left="200"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p>
        </w:tc>
        <w:tc>
          <w:tcPr>
            <w:tcW w:w="1108" w:type="dxa"/>
            <w:tcBorders>
              <w:top w:val="nil" w:sz="6" w:space="0" w:color="auto"/>
              <w:left w:val="nil" w:sz="6" w:space="0" w:color="auto"/>
              <w:bottom w:val="nil" w:sz="6" w:space="0" w:color="auto"/>
              <w:right w:val="nil" w:sz="6" w:space="0" w:color="auto"/>
            </w:tcBorders>
          </w:tcPr>
          <w:p>
            <w:pPr/>
          </w:p>
        </w:tc>
        <w:tc>
          <w:tcPr>
            <w:tcW w:w="1333" w:type="dxa"/>
            <w:tcBorders>
              <w:top w:val="nil" w:sz="6" w:space="0" w:color="auto"/>
              <w:left w:val="nil" w:sz="6" w:space="0" w:color="auto"/>
              <w:bottom w:val="nil" w:sz="6" w:space="0" w:color="auto"/>
              <w:right w:val="nil" w:sz="6" w:space="0" w:color="auto"/>
            </w:tcBorders>
          </w:tcPr>
          <w:p>
            <w:pPr/>
          </w:p>
        </w:tc>
        <w:tc>
          <w:tcPr>
            <w:tcW w:w="1120"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
        </w:tc>
        <w:tc>
          <w:tcPr>
            <w:tcW w:w="1266" w:type="dxa"/>
            <w:tcBorders>
              <w:top w:val="nil" w:sz="6" w:space="0" w:color="auto"/>
              <w:left w:val="nil" w:sz="6" w:space="0" w:color="auto"/>
              <w:bottom w:val="nil" w:sz="6" w:space="0" w:color="auto"/>
              <w:right w:val="nil" w:sz="6" w:space="0" w:color="auto"/>
            </w:tcBorders>
          </w:tcPr>
          <w:p>
            <w:pPr/>
          </w:p>
        </w:tc>
      </w:tr>
      <w:tr>
        <w:trPr>
          <w:trHeight w:val="264" w:hRule="exact"/>
        </w:trPr>
        <w:tc>
          <w:tcPr>
            <w:tcW w:w="2230"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Style w:val="TableParagraph"/>
              <w:spacing w:line="239" w:lineRule="exact"/>
              <w:ind w:right="44"/>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c>
          <w:tcPr>
            <w:tcW w:w="1333" w:type="dxa"/>
            <w:tcBorders>
              <w:top w:val="nil" w:sz="6" w:space="0" w:color="auto"/>
              <w:left w:val="nil" w:sz="6" w:space="0" w:color="auto"/>
              <w:bottom w:val="nil" w:sz="6" w:space="0" w:color="auto"/>
              <w:right w:val="nil" w:sz="6" w:space="0" w:color="auto"/>
            </w:tcBorders>
          </w:tcPr>
          <w:p>
            <w:pPr>
              <w:pStyle w:val="TableParagraph"/>
              <w:spacing w:line="224" w:lineRule="exact"/>
              <w:ind w:right="257"/>
              <w:jc w:val="right"/>
              <w:rPr>
                <w:rFonts w:ascii="黑体" w:hAnsi="黑体" w:cs="黑体" w:eastAsia="黑体" w:hint="default"/>
                <w:sz w:val="20"/>
                <w:szCs w:val="20"/>
              </w:rPr>
            </w:pPr>
            <w:r>
              <w:rPr>
                <w:rFonts w:ascii="黑体" w:hAnsi="黑体" w:cs="黑体" w:eastAsia="黑体" w:hint="default"/>
                <w:w w:val="95"/>
                <w:sz w:val="20"/>
                <w:szCs w:val="20"/>
              </w:rPr>
              <w:t>本年</w:t>
            </w:r>
            <w:r>
              <w:rPr>
                <w:rFonts w:ascii="黑体" w:hAnsi="黑体" w:cs="黑体" w:eastAsia="黑体" w:hint="default"/>
                <w:sz w:val="20"/>
                <w:szCs w:val="20"/>
              </w:rPr>
            </w:r>
          </w:p>
        </w:tc>
        <w:tc>
          <w:tcPr>
            <w:tcW w:w="2236" w:type="dxa"/>
            <w:gridSpan w:val="2"/>
            <w:tcBorders>
              <w:top w:val="nil" w:sz="6" w:space="0" w:color="auto"/>
              <w:left w:val="nil" w:sz="6" w:space="0" w:color="auto"/>
              <w:bottom w:val="single" w:sz="4" w:space="0" w:color="000000"/>
              <w:right w:val="nil" w:sz="6" w:space="0" w:color="auto"/>
            </w:tcBorders>
          </w:tcPr>
          <w:p>
            <w:pPr>
              <w:pStyle w:val="TableParagraph"/>
              <w:spacing w:line="224" w:lineRule="exact"/>
              <w:ind w:left="669" w:right="0"/>
              <w:jc w:val="left"/>
              <w:rPr>
                <w:rFonts w:ascii="黑体" w:hAnsi="黑体" w:cs="黑体" w:eastAsia="黑体" w:hint="default"/>
                <w:sz w:val="20"/>
                <w:szCs w:val="20"/>
              </w:rPr>
            </w:pPr>
            <w:r>
              <w:rPr>
                <w:rFonts w:ascii="黑体" w:hAnsi="黑体" w:cs="黑体" w:eastAsia="黑体" w:hint="default"/>
                <w:sz w:val="20"/>
                <w:szCs w:val="20"/>
              </w:rPr>
              <w:t>本年减少</w:t>
            </w:r>
          </w:p>
        </w:tc>
        <w:tc>
          <w:tcPr>
            <w:tcW w:w="1266" w:type="dxa"/>
            <w:tcBorders>
              <w:top w:val="nil" w:sz="6" w:space="0" w:color="auto"/>
              <w:left w:val="nil" w:sz="6" w:space="0" w:color="auto"/>
              <w:bottom w:val="nil" w:sz="6" w:space="0" w:color="auto"/>
              <w:right w:val="nil" w:sz="6" w:space="0" w:color="auto"/>
            </w:tcBorders>
          </w:tcPr>
          <w:p>
            <w:pPr>
              <w:pStyle w:val="TableParagraph"/>
              <w:spacing w:line="239" w:lineRule="exact"/>
              <w:ind w:right="198"/>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r>
      <w:tr>
        <w:trPr>
          <w:trHeight w:val="394" w:hRule="exact"/>
        </w:trPr>
        <w:tc>
          <w:tcPr>
            <w:tcW w:w="2230"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Style w:val="TableParagraph"/>
              <w:spacing w:line="246" w:lineRule="exact"/>
              <w:ind w:right="44"/>
              <w:jc w:val="right"/>
              <w:rPr>
                <w:rFonts w:ascii="黑体" w:hAnsi="黑体" w:cs="黑体" w:eastAsia="黑体" w:hint="default"/>
                <w:sz w:val="20"/>
                <w:szCs w:val="20"/>
              </w:rPr>
            </w:pPr>
            <w:r>
              <w:rPr>
                <w:rFonts w:ascii="Arial" w:hAnsi="Arial" w:cs="Arial" w:eastAsia="Arial" w:hint="default"/>
                <w:spacing w:val="-1"/>
                <w:w w:val="95"/>
                <w:sz w:val="20"/>
                <w:szCs w:val="20"/>
              </w:rPr>
              <w:t>1</w:t>
            </w:r>
            <w:r>
              <w:rPr>
                <w:rFonts w:ascii="黑体" w:hAnsi="黑体" w:cs="黑体" w:eastAsia="黑体" w:hint="default"/>
                <w:spacing w:val="-1"/>
                <w:w w:val="95"/>
                <w:sz w:val="20"/>
                <w:szCs w:val="20"/>
              </w:rPr>
              <w:t>月</w:t>
            </w:r>
            <w:r>
              <w:rPr>
                <w:rFonts w:ascii="Arial" w:hAnsi="Arial" w:cs="Arial" w:eastAsia="Arial" w:hint="default"/>
                <w:spacing w:val="-1"/>
                <w:w w:val="95"/>
                <w:sz w:val="20"/>
                <w:szCs w:val="20"/>
              </w:rPr>
              <w:t>1</w:t>
            </w:r>
            <w:r>
              <w:rPr>
                <w:rFonts w:ascii="黑体" w:hAnsi="黑体" w:cs="黑体" w:eastAsia="黑体" w:hint="default"/>
                <w:spacing w:val="-1"/>
                <w:w w:val="95"/>
                <w:sz w:val="20"/>
                <w:szCs w:val="20"/>
              </w:rPr>
              <w:t>日</w:t>
            </w:r>
            <w:r>
              <w:rPr>
                <w:rFonts w:ascii="黑体" w:hAnsi="黑体" w:cs="黑体" w:eastAsia="黑体" w:hint="default"/>
                <w:spacing w:val="-1"/>
                <w:sz w:val="20"/>
                <w:szCs w:val="20"/>
              </w:rPr>
            </w:r>
          </w:p>
        </w:tc>
        <w:tc>
          <w:tcPr>
            <w:tcW w:w="1333" w:type="dxa"/>
            <w:tcBorders>
              <w:top w:val="nil" w:sz="6" w:space="0" w:color="auto"/>
              <w:left w:val="nil" w:sz="6" w:space="0" w:color="auto"/>
              <w:bottom w:val="nil" w:sz="6" w:space="0" w:color="auto"/>
              <w:right w:val="nil" w:sz="6" w:space="0" w:color="auto"/>
            </w:tcBorders>
          </w:tcPr>
          <w:p>
            <w:pPr>
              <w:pStyle w:val="TableParagraph"/>
              <w:spacing w:line="232" w:lineRule="exact"/>
              <w:ind w:right="257"/>
              <w:jc w:val="right"/>
              <w:rPr>
                <w:rFonts w:ascii="黑体" w:hAnsi="黑体" w:cs="黑体" w:eastAsia="黑体" w:hint="default"/>
                <w:sz w:val="20"/>
                <w:szCs w:val="20"/>
              </w:rPr>
            </w:pPr>
            <w:r>
              <w:rPr>
                <w:rFonts w:ascii="黑体" w:hAnsi="黑体" w:cs="黑体" w:eastAsia="黑体" w:hint="default"/>
                <w:w w:val="95"/>
                <w:sz w:val="20"/>
                <w:szCs w:val="20"/>
              </w:rPr>
              <w:t>计提</w:t>
            </w:r>
            <w:r>
              <w:rPr>
                <w:rFonts w:ascii="黑体" w:hAnsi="黑体" w:cs="黑体" w:eastAsia="黑体" w:hint="default"/>
                <w:sz w:val="20"/>
                <w:szCs w:val="20"/>
              </w:rPr>
            </w:r>
          </w:p>
        </w:tc>
        <w:tc>
          <w:tcPr>
            <w:tcW w:w="1120" w:type="dxa"/>
            <w:tcBorders>
              <w:top w:val="single" w:sz="4" w:space="0" w:color="000000"/>
              <w:left w:val="nil" w:sz="6" w:space="0" w:color="auto"/>
              <w:bottom w:val="nil" w:sz="6" w:space="0" w:color="auto"/>
              <w:right w:val="nil" w:sz="6" w:space="0" w:color="auto"/>
            </w:tcBorders>
          </w:tcPr>
          <w:p>
            <w:pPr>
              <w:pStyle w:val="TableParagraph"/>
              <w:spacing w:line="227" w:lineRule="exact"/>
              <w:ind w:right="83"/>
              <w:jc w:val="right"/>
              <w:rPr>
                <w:rFonts w:ascii="黑体" w:hAnsi="黑体" w:cs="黑体" w:eastAsia="黑体" w:hint="default"/>
                <w:sz w:val="20"/>
                <w:szCs w:val="20"/>
              </w:rPr>
            </w:pPr>
            <w:r>
              <w:rPr>
                <w:rFonts w:ascii="黑体" w:hAnsi="黑体" w:cs="黑体" w:eastAsia="黑体" w:hint="default"/>
                <w:w w:val="95"/>
                <w:sz w:val="20"/>
                <w:szCs w:val="20"/>
              </w:rPr>
              <w:t>转回</w:t>
            </w:r>
            <w:r>
              <w:rPr>
                <w:rFonts w:ascii="黑体" w:hAnsi="黑体" w:cs="黑体" w:eastAsia="黑体" w:hint="default"/>
                <w:sz w:val="20"/>
                <w:szCs w:val="20"/>
              </w:rPr>
            </w:r>
          </w:p>
        </w:tc>
        <w:tc>
          <w:tcPr>
            <w:tcW w:w="1116" w:type="dxa"/>
            <w:tcBorders>
              <w:top w:val="single" w:sz="4" w:space="0" w:color="000000"/>
              <w:left w:val="nil" w:sz="6" w:space="0" w:color="auto"/>
              <w:bottom w:val="nil" w:sz="6" w:space="0" w:color="auto"/>
              <w:right w:val="nil" w:sz="6" w:space="0" w:color="auto"/>
            </w:tcBorders>
          </w:tcPr>
          <w:p>
            <w:pPr>
              <w:pStyle w:val="TableParagraph"/>
              <w:spacing w:line="227" w:lineRule="exact"/>
              <w:ind w:right="64"/>
              <w:jc w:val="right"/>
              <w:rPr>
                <w:rFonts w:ascii="黑体" w:hAnsi="黑体" w:cs="黑体" w:eastAsia="黑体" w:hint="default"/>
                <w:sz w:val="20"/>
                <w:szCs w:val="20"/>
              </w:rPr>
            </w:pPr>
            <w:r>
              <w:rPr>
                <w:rFonts w:ascii="黑体" w:hAnsi="黑体" w:cs="黑体" w:eastAsia="黑体" w:hint="default"/>
                <w:w w:val="95"/>
                <w:sz w:val="20"/>
                <w:szCs w:val="20"/>
              </w:rPr>
              <w:t>转销</w:t>
            </w:r>
            <w:r>
              <w:rPr>
                <w:rFonts w:ascii="黑体" w:hAnsi="黑体" w:cs="黑体" w:eastAsia="黑体" w:hint="default"/>
                <w:sz w:val="20"/>
                <w:szCs w:val="20"/>
              </w:rPr>
            </w:r>
          </w:p>
        </w:tc>
        <w:tc>
          <w:tcPr>
            <w:tcW w:w="1266" w:type="dxa"/>
            <w:tcBorders>
              <w:top w:val="nil" w:sz="6" w:space="0" w:color="auto"/>
              <w:left w:val="nil" w:sz="6" w:space="0" w:color="auto"/>
              <w:bottom w:val="nil" w:sz="6" w:space="0" w:color="auto"/>
              <w:right w:val="nil" w:sz="6" w:space="0" w:color="auto"/>
            </w:tcBorders>
          </w:tcPr>
          <w:p>
            <w:pPr>
              <w:pStyle w:val="TableParagraph"/>
              <w:spacing w:line="246" w:lineRule="exact"/>
              <w:ind w:right="198"/>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r>
      <w:tr>
        <w:trPr>
          <w:trHeight w:val="385"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00" w:right="0"/>
              <w:jc w:val="left"/>
              <w:rPr>
                <w:rFonts w:ascii="黑体" w:hAnsi="黑体" w:cs="黑体" w:eastAsia="黑体" w:hint="default"/>
                <w:sz w:val="20"/>
                <w:szCs w:val="20"/>
              </w:rPr>
            </w:pPr>
            <w:r>
              <w:rPr>
                <w:rFonts w:ascii="黑体" w:hAnsi="黑体" w:cs="黑体" w:eastAsia="黑体" w:hint="default"/>
                <w:sz w:val="20"/>
                <w:szCs w:val="20"/>
              </w:rPr>
              <w:t>坏账准备</w:t>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73"/>
              <w:jc w:val="right"/>
              <w:rPr>
                <w:rFonts w:ascii="Arial" w:hAnsi="Arial" w:cs="Arial" w:eastAsia="Arial" w:hint="default"/>
                <w:sz w:val="20"/>
                <w:szCs w:val="20"/>
              </w:rPr>
            </w:pPr>
            <w:r>
              <w:rPr>
                <w:rFonts w:ascii="Arial"/>
                <w:spacing w:val="-1"/>
                <w:sz w:val="20"/>
              </w:rPr>
              <w:t>32,188,705</w:t>
            </w:r>
            <w:r>
              <w:rPr>
                <w:rFonts w:ascii="Arial"/>
                <w:sz w:val="20"/>
              </w:rPr>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286"/>
              <w:jc w:val="right"/>
              <w:rPr>
                <w:rFonts w:ascii="Arial" w:hAnsi="Arial" w:cs="Arial" w:eastAsia="Arial" w:hint="default"/>
                <w:sz w:val="20"/>
                <w:szCs w:val="20"/>
              </w:rPr>
            </w:pPr>
            <w:r>
              <w:rPr>
                <w:rFonts w:ascii="Arial"/>
                <w:spacing w:val="-1"/>
                <w:sz w:val="20"/>
              </w:rPr>
              <w:t>20,666,792</w:t>
            </w:r>
            <w:r>
              <w:rPr>
                <w:rFonts w:ascii="Arial"/>
                <w:sz w:val="20"/>
              </w:rPr>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44"/>
              <w:jc w:val="right"/>
              <w:rPr>
                <w:rFonts w:ascii="Arial" w:hAnsi="Arial" w:cs="Arial" w:eastAsia="Arial" w:hint="default"/>
                <w:sz w:val="20"/>
                <w:szCs w:val="20"/>
              </w:rPr>
            </w:pPr>
            <w:r>
              <w:rPr>
                <w:rFonts w:ascii="Arial"/>
                <w:spacing w:val="-1"/>
                <w:sz w:val="20"/>
              </w:rPr>
              <w:t>(1,047,874)</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54"/>
              <w:jc w:val="right"/>
              <w:rPr>
                <w:rFonts w:ascii="Arial" w:hAnsi="Arial" w:cs="Arial" w:eastAsia="Arial" w:hint="default"/>
                <w:sz w:val="20"/>
                <w:szCs w:val="20"/>
              </w:rPr>
            </w:pPr>
            <w:r>
              <w:rPr>
                <w:rFonts w:ascii="Arial"/>
                <w:sz w:val="20"/>
              </w:rPr>
              <w:t>( </w:t>
            </w:r>
            <w:r>
              <w:rPr>
                <w:rFonts w:ascii="Arial"/>
                <w:spacing w:val="41"/>
                <w:sz w:val="20"/>
              </w:rPr>
              <w:t> </w:t>
            </w:r>
            <w:r>
              <w:rPr>
                <w:rFonts w:ascii="Arial"/>
                <w:sz w:val="20"/>
              </w:rPr>
              <w:t>285,268)</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98"/>
              <w:jc w:val="right"/>
              <w:rPr>
                <w:rFonts w:ascii="Arial" w:hAnsi="Arial" w:cs="Arial" w:eastAsia="Arial" w:hint="default"/>
                <w:sz w:val="20"/>
                <w:szCs w:val="20"/>
              </w:rPr>
            </w:pPr>
            <w:r>
              <w:rPr>
                <w:rFonts w:ascii="Arial"/>
                <w:spacing w:val="-1"/>
                <w:sz w:val="20"/>
              </w:rPr>
              <w:t>51,522,355</w:t>
            </w:r>
            <w:r>
              <w:rPr>
                <w:rFonts w:ascii="Arial"/>
                <w:sz w:val="20"/>
              </w:rPr>
            </w:r>
          </w:p>
        </w:tc>
      </w:tr>
      <w:tr>
        <w:trPr>
          <w:trHeight w:val="389" w:hRule="exact"/>
        </w:trPr>
        <w:tc>
          <w:tcPr>
            <w:tcW w:w="2230"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长期股权投资减值准备</w:t>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3"/>
              <w:jc w:val="right"/>
              <w:rPr>
                <w:rFonts w:ascii="Arial" w:hAnsi="Arial" w:cs="Arial" w:eastAsia="Arial" w:hint="default"/>
                <w:sz w:val="20"/>
                <w:szCs w:val="20"/>
              </w:rPr>
            </w:pPr>
            <w:r>
              <w:rPr>
                <w:rFonts w:ascii="Arial"/>
                <w:w w:val="99"/>
                <w:sz w:val="20"/>
              </w:rPr>
            </w:r>
            <w:r>
              <w:rPr>
                <w:rFonts w:ascii="Arial"/>
                <w:spacing w:val="-1"/>
                <w:sz w:val="20"/>
                <w:u w:val="single" w:color="000000"/>
              </w:rPr>
              <w:t>12,682,955</w:t>
            </w:r>
            <w:r>
              <w:rPr>
                <w:rFonts w:ascii="Arial"/>
                <w:spacing w:val="-1"/>
                <w:sz w:val="20"/>
              </w:rPr>
            </w:r>
            <w:r>
              <w:rPr>
                <w:rFonts w:ascii="Arial"/>
                <w:sz w:val="20"/>
              </w:rPr>
            </w:r>
          </w:p>
        </w:tc>
        <w:tc>
          <w:tcPr>
            <w:tcW w:w="1333" w:type="dxa"/>
            <w:tcBorders>
              <w:top w:val="nil" w:sz="6" w:space="0" w:color="auto"/>
              <w:left w:val="nil" w:sz="6" w:space="0" w:color="auto"/>
              <w:bottom w:val="nil" w:sz="6" w:space="0" w:color="auto"/>
              <w:right w:val="nil" w:sz="6" w:space="0" w:color="auto"/>
            </w:tcBorders>
          </w:tcPr>
          <w:p>
            <w:pPr>
              <w:pStyle w:val="TableParagraph"/>
              <w:tabs>
                <w:tab w:pos="902" w:val="left" w:leader="none"/>
              </w:tabs>
              <w:spacing w:line="240" w:lineRule="auto" w:before="7"/>
              <w:ind w:right="279"/>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120" w:type="dxa"/>
            <w:tcBorders>
              <w:top w:val="nil" w:sz="6" w:space="0" w:color="auto"/>
              <w:left w:val="nil" w:sz="6" w:space="0" w:color="auto"/>
              <w:bottom w:val="nil" w:sz="6" w:space="0" w:color="auto"/>
              <w:right w:val="nil" w:sz="6" w:space="0" w:color="auto"/>
            </w:tcBorders>
          </w:tcPr>
          <w:p>
            <w:pPr>
              <w:pStyle w:val="TableParagraph"/>
              <w:tabs>
                <w:tab w:pos="861" w:val="left" w:leader="none"/>
              </w:tabs>
              <w:spacing w:line="240" w:lineRule="auto" w:before="7"/>
              <w:ind w:right="80"/>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6"/>
              <w:jc w:val="right"/>
              <w:rPr>
                <w:rFonts w:ascii="Arial" w:hAnsi="Arial" w:cs="Arial" w:eastAsia="Arial" w:hint="default"/>
                <w:sz w:val="20"/>
                <w:szCs w:val="20"/>
              </w:rPr>
            </w:pPr>
            <w:r>
              <w:rPr>
                <w:rFonts w:ascii="Arial"/>
                <w:spacing w:val="-1"/>
                <w:sz w:val="20"/>
              </w:rPr>
              <w:t>(</w:t>
            </w:r>
            <w:r>
              <w:rPr>
                <w:rFonts w:ascii="Arial"/>
                <w:spacing w:val="-1"/>
                <w:sz w:val="20"/>
                <w:u w:val="single" w:color="000000"/>
              </w:rPr>
              <w:t>6,000,000</w:t>
            </w:r>
            <w:r>
              <w:rPr>
                <w:rFonts w:ascii="Arial"/>
                <w:spacing w:val="-1"/>
                <w:sz w:val="20"/>
              </w:rPr>
              <w:t>)</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8"/>
                <w:sz w:val="20"/>
                <w:u w:val="single" w:color="000000"/>
              </w:rPr>
              <w:t> </w:t>
            </w:r>
            <w:r>
              <w:rPr>
                <w:rFonts w:ascii="Arial"/>
                <w:spacing w:val="-1"/>
                <w:sz w:val="20"/>
                <w:u w:val="single" w:color="000000"/>
              </w:rPr>
              <w:t>6,682,955</w:t>
            </w:r>
            <w:r>
              <w:rPr>
                <w:rFonts w:ascii="Arial"/>
                <w:spacing w:val="-1"/>
                <w:sz w:val="20"/>
              </w:rPr>
            </w:r>
            <w:r>
              <w:rPr>
                <w:rFonts w:ascii="Arial"/>
                <w:sz w:val="20"/>
              </w:rPr>
            </w:r>
          </w:p>
        </w:tc>
      </w:tr>
      <w:tr>
        <w:trPr>
          <w:trHeight w:val="355" w:hRule="exact"/>
        </w:trPr>
        <w:tc>
          <w:tcPr>
            <w:tcW w:w="2230"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73"/>
              <w:jc w:val="right"/>
              <w:rPr>
                <w:rFonts w:ascii="Arial" w:hAnsi="Arial" w:cs="Arial" w:eastAsia="Arial" w:hint="default"/>
                <w:sz w:val="20"/>
                <w:szCs w:val="20"/>
              </w:rPr>
            </w:pPr>
            <w:r>
              <w:rPr>
                <w:rFonts w:ascii="Arial"/>
                <w:w w:val="99"/>
                <w:sz w:val="20"/>
              </w:rPr>
            </w:r>
            <w:r>
              <w:rPr>
                <w:rFonts w:ascii="Arial"/>
                <w:spacing w:val="-1"/>
                <w:sz w:val="20"/>
                <w:u w:val="thick" w:color="000000"/>
              </w:rPr>
              <w:t>44,871,660</w:t>
            </w:r>
            <w:r>
              <w:rPr>
                <w:rFonts w:ascii="Arial"/>
                <w:spacing w:val="-1"/>
                <w:sz w:val="20"/>
              </w:rPr>
            </w:r>
            <w:r>
              <w:rPr>
                <w:rFonts w:ascii="Arial"/>
                <w:sz w:val="20"/>
              </w:rPr>
            </w:r>
          </w:p>
        </w:tc>
        <w:tc>
          <w:tcPr>
            <w:tcW w:w="1333"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86"/>
              <w:jc w:val="right"/>
              <w:rPr>
                <w:rFonts w:ascii="Arial" w:hAnsi="Arial" w:cs="Arial" w:eastAsia="Arial" w:hint="default"/>
                <w:sz w:val="20"/>
                <w:szCs w:val="20"/>
              </w:rPr>
            </w:pPr>
            <w:r>
              <w:rPr>
                <w:rFonts w:ascii="Arial"/>
                <w:w w:val="99"/>
                <w:sz w:val="20"/>
              </w:rPr>
            </w:r>
            <w:r>
              <w:rPr>
                <w:rFonts w:ascii="Arial"/>
                <w:spacing w:val="-1"/>
                <w:sz w:val="20"/>
                <w:u w:val="thick" w:color="000000"/>
              </w:rPr>
              <w:t>20,666,792</w:t>
            </w:r>
            <w:r>
              <w:rPr>
                <w:rFonts w:ascii="Arial"/>
                <w:spacing w:val="-1"/>
                <w:sz w:val="20"/>
              </w:rPr>
            </w:r>
            <w:r>
              <w:rPr>
                <w:rFonts w:ascii="Arial"/>
                <w:sz w:val="20"/>
              </w:rPr>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44"/>
              <w:jc w:val="right"/>
              <w:rPr>
                <w:rFonts w:ascii="Arial" w:hAnsi="Arial" w:cs="Arial" w:eastAsia="Arial" w:hint="default"/>
                <w:sz w:val="20"/>
                <w:szCs w:val="20"/>
              </w:rPr>
            </w:pPr>
            <w:r>
              <w:rPr>
                <w:rFonts w:ascii="Arial"/>
                <w:spacing w:val="-1"/>
                <w:sz w:val="20"/>
              </w:rPr>
              <w:t>(</w:t>
            </w:r>
            <w:r>
              <w:rPr>
                <w:rFonts w:ascii="Arial"/>
                <w:spacing w:val="-1"/>
                <w:sz w:val="20"/>
                <w:u w:val="thick" w:color="000000"/>
              </w:rPr>
              <w:t>1,047,874</w:t>
            </w:r>
            <w:r>
              <w:rPr>
                <w:rFonts w:ascii="Arial"/>
                <w:spacing w:val="-1"/>
                <w:sz w:val="20"/>
              </w:rPr>
              <w:t>)</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44"/>
              <w:jc w:val="right"/>
              <w:rPr>
                <w:rFonts w:ascii="Arial" w:hAnsi="Arial" w:cs="Arial" w:eastAsia="Arial" w:hint="default"/>
                <w:sz w:val="20"/>
                <w:szCs w:val="20"/>
              </w:rPr>
            </w:pPr>
            <w:r>
              <w:rPr>
                <w:rFonts w:ascii="Arial"/>
                <w:spacing w:val="-1"/>
                <w:sz w:val="20"/>
              </w:rPr>
              <w:t>(</w:t>
            </w:r>
            <w:r>
              <w:rPr>
                <w:rFonts w:ascii="Arial"/>
                <w:spacing w:val="-1"/>
                <w:sz w:val="20"/>
                <w:u w:val="thick" w:color="000000"/>
              </w:rPr>
              <w:t>6,285,268</w:t>
            </w:r>
            <w:r>
              <w:rPr>
                <w:rFonts w:ascii="Arial"/>
                <w:spacing w:val="-1"/>
                <w:sz w:val="20"/>
              </w:rPr>
              <w:t>)</w:t>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27"/>
              <w:jc w:val="right"/>
              <w:rPr>
                <w:rFonts w:ascii="Arial" w:hAnsi="Arial" w:cs="Arial" w:eastAsia="Arial" w:hint="default"/>
                <w:sz w:val="20"/>
                <w:szCs w:val="20"/>
              </w:rPr>
            </w:pPr>
            <w:r>
              <w:rPr>
                <w:rFonts w:ascii="Arial"/>
                <w:w w:val="99"/>
                <w:sz w:val="20"/>
              </w:rPr>
            </w:r>
            <w:r>
              <w:rPr>
                <w:rFonts w:ascii="Arial"/>
                <w:spacing w:val="-1"/>
                <w:sz w:val="20"/>
                <w:u w:val="thick" w:color="000000"/>
              </w:rPr>
              <w:t>58,205,310</w:t>
            </w:r>
            <w:r>
              <w:rPr>
                <w:rFonts w:ascii="Arial"/>
                <w:spacing w:val="-1"/>
                <w:sz w:val="20"/>
              </w:rPr>
            </w:r>
            <w:r>
              <w:rPr>
                <w:rFonts w:ascii="Arial"/>
                <w:sz w:val="20"/>
              </w:rPr>
            </w:r>
          </w:p>
        </w:tc>
      </w:tr>
    </w:tbl>
    <w:p>
      <w:pPr>
        <w:spacing w:after="0" w:line="240" w:lineRule="auto"/>
        <w:jc w:val="right"/>
        <w:rPr>
          <w:rFonts w:ascii="Arial" w:hAnsi="Arial" w:cs="Arial" w:eastAsia="Arial" w:hint="default"/>
          <w:sz w:val="20"/>
          <w:szCs w:val="20"/>
        </w:rPr>
        <w:sectPr>
          <w:pgSz w:w="11910" w:h="16850"/>
          <w:pgMar w:header="957" w:footer="473" w:top="2600" w:bottom="660" w:left="1600" w:right="1400"/>
        </w:sectPr>
      </w:pPr>
    </w:p>
    <w:p>
      <w:pPr>
        <w:spacing w:line="240" w:lineRule="auto" w:before="9"/>
        <w:rPr>
          <w:rFonts w:ascii="黑体" w:hAnsi="黑体" w:cs="黑体" w:eastAsia="黑体" w:hint="default"/>
          <w:b/>
          <w:bCs/>
          <w:sz w:val="15"/>
          <w:szCs w:val="15"/>
        </w:rPr>
      </w:pPr>
    </w:p>
    <w:p>
      <w:pPr>
        <w:pStyle w:val="Heading6"/>
        <w:spacing w:line="240" w:lineRule="auto"/>
        <w:ind w:right="3627"/>
        <w:jc w:val="left"/>
        <w:rPr>
          <w:b w:val="0"/>
          <w:bCs w:val="0"/>
        </w:rPr>
      </w:pPr>
      <w:r>
        <w:rPr/>
        <w:t>十三、公司财务报表主要项目注释（续）</w:t>
      </w:r>
      <w:r>
        <w:rPr>
          <w:b w:val="0"/>
          <w:bCs w:val="0"/>
        </w:rPr>
      </w:r>
    </w:p>
    <w:p>
      <w:pPr>
        <w:spacing w:line="240" w:lineRule="auto" w:before="6"/>
        <w:rPr>
          <w:rFonts w:ascii="黑体" w:hAnsi="黑体" w:cs="黑体" w:eastAsia="黑体" w:hint="default"/>
          <w:b/>
          <w:bCs/>
          <w:sz w:val="23"/>
          <w:szCs w:val="23"/>
        </w:rPr>
      </w:pPr>
    </w:p>
    <w:p>
      <w:pPr>
        <w:tabs>
          <w:tab w:pos="780" w:val="left" w:leader="none"/>
        </w:tabs>
        <w:spacing w:line="424" w:lineRule="auto" w:before="0"/>
        <w:ind w:left="814" w:right="4492" w:hanging="713"/>
        <w:jc w:val="left"/>
        <w:rPr>
          <w:rFonts w:ascii="黑体" w:hAnsi="黑体" w:cs="黑体" w:eastAsia="黑体" w:hint="default"/>
          <w:sz w:val="20"/>
          <w:szCs w:val="20"/>
        </w:rPr>
      </w:pPr>
      <w:r>
        <w:rPr>
          <w:rFonts w:ascii="Arial" w:hAnsi="Arial" w:cs="Arial" w:eastAsia="Arial" w:hint="default"/>
          <w:b/>
          <w:bCs/>
          <w:spacing w:val="-1"/>
          <w:w w:val="95"/>
          <w:sz w:val="20"/>
          <w:szCs w:val="20"/>
        </w:rPr>
        <w:t>17.</w:t>
        <w:tab/>
      </w:r>
      <w:r>
        <w:rPr>
          <w:rFonts w:ascii="黑体" w:hAnsi="黑体" w:cs="黑体" w:eastAsia="黑体" w:hint="default"/>
          <w:b/>
          <w:bCs/>
          <w:spacing w:val="2"/>
          <w:sz w:val="20"/>
          <w:szCs w:val="20"/>
        </w:rPr>
        <w:t>应付账款</w:t>
      </w:r>
      <w:r>
        <w:rPr>
          <w:rFonts w:ascii="黑体" w:hAnsi="黑体" w:cs="黑体" w:eastAsia="黑体" w:hint="default"/>
          <w:b/>
          <w:bCs/>
          <w:spacing w:val="2"/>
          <w:w w:val="99"/>
          <w:sz w:val="20"/>
          <w:szCs w:val="20"/>
        </w:rPr>
        <w:t> </w:t>
      </w:r>
      <w:r>
        <w:rPr>
          <w:rFonts w:ascii="黑体" w:hAnsi="黑体" w:cs="黑体" w:eastAsia="黑体" w:hint="default"/>
          <w:w w:val="95"/>
          <w:sz w:val="20"/>
          <w:szCs w:val="20"/>
        </w:rPr>
        <w:t>应付账款不计息，并通常在</w:t>
      </w:r>
      <w:r>
        <w:rPr>
          <w:rFonts w:ascii="Arial" w:hAnsi="Arial" w:cs="Arial" w:eastAsia="Arial" w:hint="default"/>
          <w:w w:val="95"/>
          <w:sz w:val="20"/>
          <w:szCs w:val="20"/>
        </w:rPr>
        <w:t>2</w:t>
      </w:r>
      <w:r>
        <w:rPr>
          <w:rFonts w:ascii="黑体" w:hAnsi="黑体" w:cs="黑体" w:eastAsia="黑体" w:hint="default"/>
          <w:w w:val="95"/>
          <w:sz w:val="20"/>
          <w:szCs w:val="20"/>
        </w:rPr>
        <w:t>个月内清偿。</w:t>
      </w:r>
      <w:r>
        <w:rPr>
          <w:rFonts w:ascii="黑体" w:hAnsi="黑体" w:cs="黑体" w:eastAsia="黑体" w:hint="default"/>
          <w:sz w:val="20"/>
          <w:szCs w:val="20"/>
        </w:rPr>
      </w:r>
    </w:p>
    <w:p>
      <w:pPr>
        <w:pStyle w:val="BodyText"/>
        <w:spacing w:line="268" w:lineRule="exact" w:before="41"/>
        <w:ind w:right="194"/>
        <w:jc w:val="left"/>
      </w:pP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日，本账户余额中并无持本公司</w:t>
      </w:r>
      <w:r>
        <w:rPr>
          <w:rFonts w:ascii="Arial" w:hAnsi="Arial" w:cs="Arial" w:eastAsia="Arial" w:hint="default"/>
        </w:rPr>
        <w:t>5%</w:t>
      </w:r>
      <w:r>
        <w:rPr/>
        <w:t>或以上表决权股份的股东单位的款项</w:t>
      </w:r>
    </w:p>
    <w:p>
      <w:pPr>
        <w:pStyle w:val="BodyText"/>
        <w:spacing w:line="424" w:lineRule="auto"/>
        <w:ind w:left="813" w:right="4850"/>
        <w:jc w:val="left"/>
      </w:pP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w:t>
      </w:r>
      <w:r>
        <w:rPr>
          <w:w w:val="99"/>
        </w:rPr>
        <w:t> </w:t>
      </w:r>
      <w:r>
        <w:rPr/>
        <w:t>应付关联方款项详见附注十三、</w:t>
      </w:r>
      <w:r>
        <w:rPr>
          <w:rFonts w:ascii="Arial" w:hAnsi="Arial" w:cs="Arial" w:eastAsia="Arial" w:hint="default"/>
        </w:rPr>
        <w:t>42</w:t>
      </w:r>
      <w:r>
        <w:rPr/>
        <w:t>。</w:t>
      </w:r>
    </w:p>
    <w:p>
      <w:pPr>
        <w:pStyle w:val="BodyText"/>
        <w:spacing w:line="240" w:lineRule="auto" w:before="41"/>
        <w:ind w:left="813" w:right="194"/>
        <w:jc w:val="left"/>
      </w:pP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日，无账龄超过</w:t>
      </w:r>
      <w:r>
        <w:rPr>
          <w:rFonts w:ascii="Arial" w:hAnsi="Arial" w:cs="Arial" w:eastAsia="Arial" w:hint="default"/>
        </w:rPr>
        <w:t>1</w:t>
      </w:r>
      <w:r>
        <w:rPr/>
        <w:t>年的大额应付账款</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w:t>
      </w:r>
    </w:p>
    <w:p>
      <w:pPr>
        <w:spacing w:line="240" w:lineRule="auto" w:before="2"/>
        <w:rPr>
          <w:rFonts w:ascii="黑体" w:hAnsi="黑体" w:cs="黑体" w:eastAsia="黑体" w:hint="default"/>
          <w:sz w:val="16"/>
          <w:szCs w:val="16"/>
        </w:rPr>
      </w:pPr>
    </w:p>
    <w:p>
      <w:pPr>
        <w:tabs>
          <w:tab w:pos="847" w:val="left" w:leader="none"/>
        </w:tabs>
        <w:spacing w:line="424" w:lineRule="auto" w:before="0"/>
        <w:ind w:left="814" w:right="5037" w:hanging="545"/>
        <w:jc w:val="left"/>
        <w:rPr>
          <w:rFonts w:ascii="Arial" w:hAnsi="Arial" w:cs="Arial" w:eastAsia="Arial" w:hint="default"/>
          <w:sz w:val="20"/>
          <w:szCs w:val="20"/>
        </w:rPr>
      </w:pPr>
      <w:r>
        <w:rPr>
          <w:rFonts w:ascii="Arial" w:hAnsi="Arial" w:cs="Arial" w:eastAsia="Arial" w:hint="default"/>
          <w:b/>
          <w:bCs/>
          <w:spacing w:val="-1"/>
          <w:w w:val="95"/>
          <w:sz w:val="20"/>
          <w:szCs w:val="20"/>
        </w:rPr>
        <w:t>18.</w:t>
        <w:tab/>
        <w:tab/>
      </w:r>
      <w:r>
        <w:rPr>
          <w:rFonts w:ascii="黑体" w:hAnsi="黑体" w:cs="黑体" w:eastAsia="黑体" w:hint="default"/>
          <w:b/>
          <w:bCs/>
          <w:spacing w:val="2"/>
          <w:sz w:val="20"/>
          <w:szCs w:val="20"/>
        </w:rPr>
        <w:t>预收款项</w:t>
      </w:r>
      <w:r>
        <w:rPr>
          <w:rFonts w:ascii="黑体" w:hAnsi="黑体" w:cs="黑体" w:eastAsia="黑体" w:hint="default"/>
          <w:b/>
          <w:bCs/>
          <w:spacing w:val="2"/>
          <w:w w:val="99"/>
          <w:sz w:val="20"/>
          <w:szCs w:val="20"/>
        </w:rPr>
        <w:t> </w:t>
      </w:r>
      <w:r>
        <w:rPr>
          <w:rFonts w:ascii="黑体" w:hAnsi="黑体" w:cs="黑体" w:eastAsia="黑体" w:hint="default"/>
          <w:sz w:val="20"/>
          <w:szCs w:val="20"/>
        </w:rPr>
        <w:t>预收款项的余额及其账龄分析如下</w:t>
      </w:r>
      <w:r>
        <w:rPr>
          <w:rFonts w:ascii="Arial" w:hAnsi="Arial" w:cs="Arial" w:eastAsia="Arial" w:hint="default"/>
          <w:sz w:val="20"/>
          <w:szCs w:val="20"/>
        </w:rPr>
        <w:t>:</w:t>
      </w:r>
    </w:p>
    <w:p>
      <w:pPr>
        <w:spacing w:line="240" w:lineRule="auto" w:before="1"/>
        <w:rPr>
          <w:rFonts w:ascii="Arial" w:hAnsi="Arial" w:cs="Arial" w:eastAsia="Arial" w:hint="default"/>
          <w:sz w:val="9"/>
          <w:szCs w:val="9"/>
        </w:rPr>
      </w:pPr>
    </w:p>
    <w:tbl>
      <w:tblPr>
        <w:tblW w:w="0" w:type="auto"/>
        <w:jc w:val="left"/>
        <w:tblInd w:w="609" w:type="dxa"/>
        <w:tblLayout w:type="fixed"/>
        <w:tblCellMar>
          <w:top w:w="0" w:type="dxa"/>
          <w:left w:w="0" w:type="dxa"/>
          <w:bottom w:w="0" w:type="dxa"/>
          <w:right w:w="0" w:type="dxa"/>
        </w:tblCellMar>
        <w:tblLook w:val="01E0"/>
      </w:tblPr>
      <w:tblGrid>
        <w:gridCol w:w="2378"/>
        <w:gridCol w:w="2767"/>
        <w:gridCol w:w="798"/>
        <w:gridCol w:w="1478"/>
        <w:gridCol w:w="762"/>
      </w:tblGrid>
      <w:tr>
        <w:trPr>
          <w:trHeight w:val="234" w:hRule="exact"/>
        </w:trPr>
        <w:tc>
          <w:tcPr>
            <w:tcW w:w="2378" w:type="dxa"/>
            <w:tcBorders>
              <w:top w:val="nil" w:sz="6" w:space="0" w:color="auto"/>
              <w:left w:val="nil" w:sz="6" w:space="0" w:color="auto"/>
              <w:bottom w:val="nil" w:sz="6" w:space="0" w:color="auto"/>
              <w:right w:val="nil" w:sz="6" w:space="0" w:color="auto"/>
            </w:tcBorders>
          </w:tcPr>
          <w:p>
            <w:pPr/>
          </w:p>
        </w:tc>
        <w:tc>
          <w:tcPr>
            <w:tcW w:w="2767" w:type="dxa"/>
            <w:tcBorders>
              <w:top w:val="nil" w:sz="6" w:space="0" w:color="auto"/>
              <w:left w:val="nil" w:sz="6" w:space="0" w:color="auto"/>
              <w:bottom w:val="nil" w:sz="6" w:space="0" w:color="auto"/>
              <w:right w:val="nil" w:sz="6" w:space="0" w:color="auto"/>
            </w:tcBorders>
          </w:tcPr>
          <w:p>
            <w:pPr>
              <w:pStyle w:val="TableParagraph"/>
              <w:spacing w:line="214" w:lineRule="exact"/>
              <w:ind w:right="186"/>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798" w:type="dxa"/>
            <w:tcBorders>
              <w:top w:val="nil" w:sz="6" w:space="0" w:color="auto"/>
              <w:left w:val="nil" w:sz="6" w:space="0" w:color="auto"/>
              <w:bottom w:val="nil" w:sz="6" w:space="0" w:color="auto"/>
              <w:right w:val="nil" w:sz="6" w:space="0" w:color="auto"/>
            </w:tcBorders>
          </w:tcPr>
          <w:p>
            <w:pPr>
              <w:pStyle w:val="TableParagraph"/>
              <w:spacing w:line="199" w:lineRule="exact"/>
              <w:ind w:right="209"/>
              <w:jc w:val="right"/>
              <w:rPr>
                <w:rFonts w:ascii="黑体" w:hAnsi="黑体" w:cs="黑体" w:eastAsia="黑体" w:hint="default"/>
                <w:sz w:val="20"/>
                <w:szCs w:val="20"/>
              </w:rPr>
            </w:pPr>
            <w:r>
              <w:rPr>
                <w:rFonts w:ascii="黑体" w:hAnsi="黑体" w:cs="黑体" w:eastAsia="黑体" w:hint="default"/>
                <w:w w:val="95"/>
                <w:sz w:val="20"/>
                <w:szCs w:val="20"/>
              </w:rPr>
              <w:t>比例</w:t>
            </w:r>
            <w:r>
              <w:rPr>
                <w:rFonts w:ascii="黑体" w:hAnsi="黑体" w:cs="黑体" w:eastAsia="黑体" w:hint="default"/>
                <w:sz w:val="20"/>
                <w:szCs w:val="20"/>
              </w:rPr>
            </w:r>
          </w:p>
        </w:tc>
        <w:tc>
          <w:tcPr>
            <w:tcW w:w="1478" w:type="dxa"/>
            <w:tcBorders>
              <w:top w:val="nil" w:sz="6" w:space="0" w:color="auto"/>
              <w:left w:val="nil" w:sz="6" w:space="0" w:color="auto"/>
              <w:bottom w:val="nil" w:sz="6" w:space="0" w:color="auto"/>
              <w:right w:val="nil" w:sz="6" w:space="0" w:color="auto"/>
            </w:tcBorders>
          </w:tcPr>
          <w:p>
            <w:pPr>
              <w:pStyle w:val="TableParagraph"/>
              <w:spacing w:line="214" w:lineRule="exact"/>
              <w:ind w:right="158"/>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c>
          <w:tcPr>
            <w:tcW w:w="762" w:type="dxa"/>
            <w:tcBorders>
              <w:top w:val="nil" w:sz="6" w:space="0" w:color="auto"/>
              <w:left w:val="nil" w:sz="6" w:space="0" w:color="auto"/>
              <w:bottom w:val="nil" w:sz="6" w:space="0" w:color="auto"/>
              <w:right w:val="nil" w:sz="6" w:space="0" w:color="auto"/>
            </w:tcBorders>
          </w:tcPr>
          <w:p>
            <w:pPr>
              <w:pStyle w:val="TableParagraph"/>
              <w:spacing w:line="199" w:lineRule="exact"/>
              <w:ind w:right="200"/>
              <w:jc w:val="right"/>
              <w:rPr>
                <w:rFonts w:ascii="黑体" w:hAnsi="黑体" w:cs="黑体" w:eastAsia="黑体" w:hint="default"/>
                <w:sz w:val="20"/>
                <w:szCs w:val="20"/>
              </w:rPr>
            </w:pPr>
            <w:r>
              <w:rPr>
                <w:rFonts w:ascii="黑体" w:hAnsi="黑体" w:cs="黑体" w:eastAsia="黑体" w:hint="default"/>
                <w:w w:val="95"/>
                <w:sz w:val="20"/>
                <w:szCs w:val="20"/>
              </w:rPr>
              <w:t>比例</w:t>
            </w:r>
            <w:r>
              <w:rPr>
                <w:rFonts w:ascii="黑体" w:hAnsi="黑体" w:cs="黑体" w:eastAsia="黑体" w:hint="default"/>
                <w:sz w:val="20"/>
                <w:szCs w:val="20"/>
              </w:rPr>
            </w:r>
          </w:p>
        </w:tc>
      </w:tr>
      <w:tr>
        <w:trPr>
          <w:trHeight w:val="388" w:hRule="exact"/>
        </w:trPr>
        <w:tc>
          <w:tcPr>
            <w:tcW w:w="2378" w:type="dxa"/>
            <w:tcBorders>
              <w:top w:val="nil" w:sz="6" w:space="0" w:color="auto"/>
              <w:left w:val="nil" w:sz="6" w:space="0" w:color="auto"/>
              <w:bottom w:val="nil" w:sz="6" w:space="0" w:color="auto"/>
              <w:right w:val="nil" w:sz="6" w:space="0" w:color="auto"/>
            </w:tcBorders>
          </w:tcPr>
          <w:p>
            <w:pPr/>
          </w:p>
        </w:tc>
        <w:tc>
          <w:tcPr>
            <w:tcW w:w="2767" w:type="dxa"/>
            <w:tcBorders>
              <w:top w:val="nil" w:sz="6" w:space="0" w:color="auto"/>
              <w:left w:val="nil" w:sz="6" w:space="0" w:color="auto"/>
              <w:bottom w:val="nil" w:sz="6" w:space="0" w:color="auto"/>
              <w:right w:val="nil" w:sz="6" w:space="0" w:color="auto"/>
            </w:tcBorders>
          </w:tcPr>
          <w:p>
            <w:pPr>
              <w:pStyle w:val="TableParagraph"/>
              <w:spacing w:line="239" w:lineRule="exact"/>
              <w:ind w:right="186"/>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07"/>
              <w:jc w:val="right"/>
              <w:rPr>
                <w:rFonts w:ascii="Arial" w:hAnsi="Arial" w:cs="Arial" w:eastAsia="Arial" w:hint="default"/>
                <w:sz w:val="20"/>
                <w:szCs w:val="20"/>
              </w:rPr>
            </w:pPr>
            <w:r>
              <w:rPr>
                <w:rFonts w:ascii="Arial"/>
                <w:w w:val="99"/>
                <w:sz w:val="20"/>
              </w:rPr>
              <w:t>%</w:t>
            </w:r>
            <w:r>
              <w:rPr>
                <w:rFonts w:ascii="Arial"/>
                <w:sz w:val="20"/>
              </w:rPr>
            </w:r>
          </w:p>
        </w:tc>
        <w:tc>
          <w:tcPr>
            <w:tcW w:w="1478" w:type="dxa"/>
            <w:tcBorders>
              <w:top w:val="nil" w:sz="6" w:space="0" w:color="auto"/>
              <w:left w:val="nil" w:sz="6" w:space="0" w:color="auto"/>
              <w:bottom w:val="nil" w:sz="6" w:space="0" w:color="auto"/>
              <w:right w:val="nil" w:sz="6" w:space="0" w:color="auto"/>
            </w:tcBorders>
          </w:tcPr>
          <w:p>
            <w:pPr>
              <w:pStyle w:val="TableParagraph"/>
              <w:spacing w:line="239" w:lineRule="exact"/>
              <w:ind w:right="158"/>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8"/>
              <w:jc w:val="right"/>
              <w:rPr>
                <w:rFonts w:ascii="Arial" w:hAnsi="Arial" w:cs="Arial" w:eastAsia="Arial" w:hint="default"/>
                <w:sz w:val="20"/>
                <w:szCs w:val="20"/>
              </w:rPr>
            </w:pPr>
            <w:r>
              <w:rPr>
                <w:rFonts w:ascii="Arial"/>
                <w:w w:val="99"/>
                <w:sz w:val="20"/>
              </w:rPr>
              <w:t>%</w:t>
            </w:r>
            <w:r>
              <w:rPr>
                <w:rFonts w:ascii="Arial"/>
                <w:sz w:val="20"/>
              </w:rPr>
            </w:r>
          </w:p>
        </w:tc>
      </w:tr>
      <w:tr>
        <w:trPr>
          <w:trHeight w:val="388"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00" w:right="0"/>
              <w:jc w:val="left"/>
              <w:rPr>
                <w:rFonts w:ascii="黑体" w:hAnsi="黑体" w:cs="黑体" w:eastAsia="黑体" w:hint="default"/>
                <w:sz w:val="20"/>
                <w:szCs w:val="20"/>
              </w:rPr>
            </w:pPr>
            <w:r>
              <w:rPr>
                <w:rFonts w:ascii="Arial" w:hAnsi="Arial" w:cs="Arial" w:eastAsia="Arial" w:hint="default"/>
                <w:sz w:val="20"/>
                <w:szCs w:val="20"/>
              </w:rPr>
              <w:t>1</w:t>
            </w:r>
            <w:r>
              <w:rPr>
                <w:rFonts w:ascii="黑体" w:hAnsi="黑体" w:cs="黑体" w:eastAsia="黑体" w:hint="default"/>
                <w:sz w:val="20"/>
                <w:szCs w:val="20"/>
              </w:rPr>
              <w:t>年以内</w:t>
            </w: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86"/>
              <w:jc w:val="right"/>
              <w:rPr>
                <w:rFonts w:ascii="Arial" w:hAnsi="Arial" w:cs="Arial" w:eastAsia="Arial" w:hint="default"/>
                <w:sz w:val="20"/>
                <w:szCs w:val="20"/>
              </w:rPr>
            </w:pPr>
            <w:r>
              <w:rPr>
                <w:rFonts w:ascii="Arial"/>
                <w:spacing w:val="-1"/>
                <w:sz w:val="20"/>
              </w:rPr>
              <w:t>234,555,227</w:t>
            </w:r>
            <w:r>
              <w:rPr>
                <w:rFonts w:ascii="Arial"/>
                <w:sz w:val="20"/>
              </w:rPr>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09"/>
              <w:jc w:val="right"/>
              <w:rPr>
                <w:rFonts w:ascii="Arial" w:hAnsi="Arial" w:cs="Arial" w:eastAsia="Arial" w:hint="default"/>
                <w:sz w:val="20"/>
                <w:szCs w:val="20"/>
              </w:rPr>
            </w:pPr>
            <w:r>
              <w:rPr>
                <w:rFonts w:ascii="Arial"/>
                <w:spacing w:val="-1"/>
                <w:w w:val="95"/>
                <w:sz w:val="20"/>
              </w:rPr>
              <w:t>76</w:t>
            </w:r>
            <w:r>
              <w:rPr>
                <w:rFonts w:ascii="Arial"/>
                <w:sz w:val="20"/>
              </w:rPr>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59"/>
              <w:jc w:val="right"/>
              <w:rPr>
                <w:rFonts w:ascii="Arial" w:hAnsi="Arial" w:cs="Arial" w:eastAsia="Arial" w:hint="default"/>
                <w:sz w:val="20"/>
                <w:szCs w:val="20"/>
              </w:rPr>
            </w:pPr>
            <w:r>
              <w:rPr>
                <w:rFonts w:ascii="Arial"/>
                <w:spacing w:val="-1"/>
                <w:sz w:val="20"/>
              </w:rPr>
              <w:t>174,956,258</w:t>
            </w:r>
            <w:r>
              <w:rPr>
                <w:rFonts w:ascii="Arial"/>
                <w:sz w:val="20"/>
              </w:rPr>
            </w:r>
          </w:p>
        </w:tc>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00"/>
              <w:jc w:val="right"/>
              <w:rPr>
                <w:rFonts w:ascii="Arial" w:hAnsi="Arial" w:cs="Arial" w:eastAsia="Arial" w:hint="default"/>
                <w:sz w:val="20"/>
                <w:szCs w:val="20"/>
              </w:rPr>
            </w:pPr>
            <w:r>
              <w:rPr>
                <w:rFonts w:ascii="Arial"/>
                <w:spacing w:val="-1"/>
                <w:w w:val="95"/>
                <w:sz w:val="20"/>
              </w:rPr>
              <w:t>74</w:t>
            </w:r>
            <w:r>
              <w:rPr>
                <w:rFonts w:ascii="Arial"/>
                <w:sz w:val="20"/>
              </w:rPr>
            </w:r>
          </w:p>
        </w:tc>
      </w:tr>
      <w:tr>
        <w:trPr>
          <w:trHeight w:val="259"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黑体" w:hAnsi="黑体" w:cs="黑体" w:eastAsia="黑体" w:hint="default"/>
                <w:sz w:val="20"/>
                <w:szCs w:val="20"/>
              </w:rPr>
            </w:pPr>
            <w:r>
              <w:rPr>
                <w:rFonts w:ascii="Arial" w:hAnsi="Arial" w:cs="Arial" w:eastAsia="Arial" w:hint="default"/>
                <w:sz w:val="20"/>
                <w:szCs w:val="20"/>
              </w:rPr>
              <w:t>1</w:t>
            </w:r>
            <w:r>
              <w:rPr>
                <w:rFonts w:ascii="黑体" w:hAnsi="黑体" w:cs="黑体" w:eastAsia="黑体" w:hint="default"/>
                <w:sz w:val="20"/>
                <w:szCs w:val="20"/>
              </w:rPr>
              <w:t>至</w:t>
            </w:r>
            <w:r>
              <w:rPr>
                <w:rFonts w:ascii="Arial" w:hAnsi="Arial" w:cs="Arial" w:eastAsia="Arial" w:hint="default"/>
                <w:sz w:val="20"/>
                <w:szCs w:val="20"/>
              </w:rPr>
              <w:t>2</w:t>
            </w:r>
            <w:r>
              <w:rPr>
                <w:rFonts w:ascii="黑体" w:hAnsi="黑体" w:cs="黑体" w:eastAsia="黑体" w:hint="default"/>
                <w:sz w:val="20"/>
                <w:szCs w:val="20"/>
              </w:rPr>
              <w:t>年</w:t>
            </w: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86"/>
              <w:jc w:val="right"/>
              <w:rPr>
                <w:rFonts w:ascii="Arial" w:hAnsi="Arial" w:cs="Arial" w:eastAsia="Arial" w:hint="default"/>
                <w:sz w:val="20"/>
                <w:szCs w:val="20"/>
              </w:rPr>
            </w:pPr>
            <w:r>
              <w:rPr>
                <w:rFonts w:ascii="Arial"/>
                <w:spacing w:val="-1"/>
                <w:sz w:val="20"/>
              </w:rPr>
              <w:t>33,565,756</w:t>
            </w:r>
            <w:r>
              <w:rPr>
                <w:rFonts w:ascii="Arial"/>
                <w:sz w:val="20"/>
              </w:rPr>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09"/>
              <w:jc w:val="right"/>
              <w:rPr>
                <w:rFonts w:ascii="Arial" w:hAnsi="Arial" w:cs="Arial" w:eastAsia="Arial" w:hint="default"/>
                <w:sz w:val="20"/>
                <w:szCs w:val="20"/>
              </w:rPr>
            </w:pPr>
            <w:r>
              <w:rPr>
                <w:rFonts w:ascii="Arial"/>
                <w:spacing w:val="-1"/>
                <w:w w:val="95"/>
                <w:sz w:val="20"/>
              </w:rPr>
              <w:t>11</w:t>
            </w:r>
            <w:r>
              <w:rPr>
                <w:rFonts w:ascii="Arial"/>
                <w:sz w:val="20"/>
              </w:rPr>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59"/>
              <w:jc w:val="right"/>
              <w:rPr>
                <w:rFonts w:ascii="Arial" w:hAnsi="Arial" w:cs="Arial" w:eastAsia="Arial" w:hint="default"/>
                <w:sz w:val="20"/>
                <w:szCs w:val="20"/>
              </w:rPr>
            </w:pPr>
            <w:r>
              <w:rPr>
                <w:rFonts w:ascii="Arial"/>
                <w:spacing w:val="-1"/>
                <w:sz w:val="20"/>
              </w:rPr>
              <w:t>34,306,673</w:t>
            </w:r>
            <w:r>
              <w:rPr>
                <w:rFonts w:ascii="Arial"/>
                <w:sz w:val="20"/>
              </w:rPr>
            </w:r>
          </w:p>
        </w:tc>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00"/>
              <w:jc w:val="right"/>
              <w:rPr>
                <w:rFonts w:ascii="Arial" w:hAnsi="Arial" w:cs="Arial" w:eastAsia="Arial" w:hint="default"/>
                <w:sz w:val="20"/>
                <w:szCs w:val="20"/>
              </w:rPr>
            </w:pPr>
            <w:r>
              <w:rPr>
                <w:rFonts w:ascii="Arial"/>
                <w:spacing w:val="-1"/>
                <w:w w:val="95"/>
                <w:sz w:val="20"/>
              </w:rPr>
              <w:t>15</w:t>
            </w:r>
            <w:r>
              <w:rPr>
                <w:rFonts w:ascii="Arial"/>
                <w:sz w:val="20"/>
              </w:rPr>
            </w:r>
          </w:p>
        </w:tc>
      </w:tr>
      <w:tr>
        <w:trPr>
          <w:trHeight w:val="259"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黑体" w:hAnsi="黑体" w:cs="黑体" w:eastAsia="黑体" w:hint="default"/>
                <w:sz w:val="20"/>
                <w:szCs w:val="20"/>
              </w:rPr>
            </w:pPr>
            <w:r>
              <w:rPr>
                <w:rFonts w:ascii="Arial" w:hAnsi="Arial" w:cs="Arial" w:eastAsia="Arial" w:hint="default"/>
                <w:sz w:val="20"/>
                <w:szCs w:val="20"/>
              </w:rPr>
              <w:t>2</w:t>
            </w:r>
            <w:r>
              <w:rPr>
                <w:rFonts w:ascii="黑体" w:hAnsi="黑体" w:cs="黑体" w:eastAsia="黑体" w:hint="default"/>
                <w:sz w:val="20"/>
                <w:szCs w:val="20"/>
              </w:rPr>
              <w:t>至</w:t>
            </w:r>
            <w:r>
              <w:rPr>
                <w:rFonts w:ascii="Arial" w:hAnsi="Arial" w:cs="Arial" w:eastAsia="Arial" w:hint="default"/>
                <w:sz w:val="20"/>
                <w:szCs w:val="20"/>
              </w:rPr>
              <w:t>3</w:t>
            </w:r>
            <w:r>
              <w:rPr>
                <w:rFonts w:ascii="黑体" w:hAnsi="黑体" w:cs="黑体" w:eastAsia="黑体" w:hint="default"/>
                <w:sz w:val="20"/>
                <w:szCs w:val="20"/>
              </w:rPr>
              <w:t>年</w:t>
            </w: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86"/>
              <w:jc w:val="right"/>
              <w:rPr>
                <w:rFonts w:ascii="Arial" w:hAnsi="Arial" w:cs="Arial" w:eastAsia="Arial" w:hint="default"/>
                <w:sz w:val="20"/>
                <w:szCs w:val="20"/>
              </w:rPr>
            </w:pPr>
            <w:r>
              <w:rPr>
                <w:rFonts w:ascii="Arial"/>
                <w:spacing w:val="-1"/>
                <w:sz w:val="20"/>
              </w:rPr>
              <w:t>22,059,695</w:t>
            </w:r>
            <w:r>
              <w:rPr>
                <w:rFonts w:ascii="Arial"/>
                <w:sz w:val="20"/>
              </w:rPr>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06"/>
              <w:jc w:val="right"/>
              <w:rPr>
                <w:rFonts w:ascii="Arial" w:hAnsi="Arial" w:cs="Arial" w:eastAsia="Arial" w:hint="default"/>
                <w:sz w:val="20"/>
                <w:szCs w:val="20"/>
              </w:rPr>
            </w:pPr>
            <w:r>
              <w:rPr>
                <w:rFonts w:ascii="Arial"/>
                <w:w w:val="99"/>
                <w:sz w:val="20"/>
              </w:rPr>
              <w:t>7</w:t>
            </w:r>
            <w:r>
              <w:rPr>
                <w:rFonts w:ascii="Arial"/>
                <w:sz w:val="20"/>
              </w:rPr>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59"/>
              <w:jc w:val="right"/>
              <w:rPr>
                <w:rFonts w:ascii="Arial" w:hAnsi="Arial" w:cs="Arial" w:eastAsia="Arial" w:hint="default"/>
                <w:sz w:val="20"/>
                <w:szCs w:val="20"/>
              </w:rPr>
            </w:pPr>
            <w:r>
              <w:rPr>
                <w:rFonts w:ascii="Arial"/>
                <w:spacing w:val="-1"/>
                <w:sz w:val="20"/>
              </w:rPr>
              <w:t>12,721,505</w:t>
            </w:r>
            <w:r>
              <w:rPr>
                <w:rFonts w:ascii="Arial"/>
                <w:sz w:val="20"/>
              </w:rPr>
            </w:r>
          </w:p>
        </w:tc>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8"/>
              <w:jc w:val="right"/>
              <w:rPr>
                <w:rFonts w:ascii="Arial" w:hAnsi="Arial" w:cs="Arial" w:eastAsia="Arial" w:hint="default"/>
                <w:sz w:val="20"/>
                <w:szCs w:val="20"/>
              </w:rPr>
            </w:pPr>
            <w:r>
              <w:rPr>
                <w:rFonts w:ascii="Arial"/>
                <w:w w:val="99"/>
                <w:sz w:val="20"/>
              </w:rPr>
              <w:t>5</w:t>
            </w:r>
            <w:r>
              <w:rPr>
                <w:rFonts w:ascii="Arial"/>
                <w:sz w:val="20"/>
              </w:rPr>
            </w:r>
          </w:p>
        </w:tc>
      </w:tr>
      <w:tr>
        <w:trPr>
          <w:trHeight w:val="389" w:hRule="exact"/>
        </w:trPr>
        <w:tc>
          <w:tcPr>
            <w:tcW w:w="2378"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黑体" w:hAnsi="黑体" w:cs="黑体" w:eastAsia="黑体" w:hint="default"/>
                <w:sz w:val="20"/>
                <w:szCs w:val="20"/>
              </w:rPr>
            </w:pPr>
            <w:r>
              <w:rPr>
                <w:rFonts w:ascii="Arial" w:hAnsi="Arial" w:cs="Arial" w:eastAsia="Arial" w:hint="default"/>
                <w:sz w:val="20"/>
                <w:szCs w:val="20"/>
              </w:rPr>
              <w:t>3</w:t>
            </w:r>
            <w:r>
              <w:rPr>
                <w:rFonts w:ascii="黑体" w:hAnsi="黑体" w:cs="黑体" w:eastAsia="黑体" w:hint="default"/>
                <w:sz w:val="20"/>
                <w:szCs w:val="20"/>
              </w:rPr>
              <w:t>年以上</w:t>
            </w: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86"/>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sz w:val="20"/>
                <w:u w:val="single" w:color="000000"/>
              </w:rPr>
              <w:t>19,916,633</w:t>
            </w:r>
            <w:r>
              <w:rPr>
                <w:rFonts w:ascii="Arial"/>
                <w:spacing w:val="-1"/>
                <w:sz w:val="20"/>
              </w:rPr>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06"/>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1"/>
                <w:sz w:val="20"/>
                <w:u w:val="single" w:color="000000"/>
              </w:rPr>
              <w:t> </w:t>
            </w:r>
            <w:r>
              <w:rPr>
                <w:rFonts w:ascii="Arial"/>
                <w:w w:val="95"/>
                <w:sz w:val="20"/>
                <w:u w:val="single" w:color="000000"/>
              </w:rPr>
              <w:t>6</w:t>
            </w:r>
            <w:r>
              <w:rPr>
                <w:rFonts w:ascii="Arial"/>
                <w:w w:val="95"/>
                <w:sz w:val="20"/>
              </w:rPr>
            </w:r>
            <w:r>
              <w:rPr>
                <w:rFonts w:ascii="Arial"/>
                <w:sz w:val="20"/>
              </w:rPr>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5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sz w:val="20"/>
                <w:u w:val="single" w:color="000000"/>
              </w:rPr>
              <w:t>14,252,414</w:t>
            </w:r>
            <w:r>
              <w:rPr>
                <w:rFonts w:ascii="Arial"/>
                <w:spacing w:val="-1"/>
                <w:sz w:val="20"/>
              </w:rPr>
            </w:r>
          </w:p>
        </w:tc>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1"/>
                <w:sz w:val="20"/>
                <w:u w:val="single" w:color="000000"/>
              </w:rPr>
              <w:t> </w:t>
            </w:r>
            <w:r>
              <w:rPr>
                <w:rFonts w:ascii="Arial"/>
                <w:w w:val="95"/>
                <w:sz w:val="20"/>
                <w:u w:val="single" w:color="000000"/>
              </w:rPr>
              <w:t>6</w:t>
            </w:r>
            <w:r>
              <w:rPr>
                <w:rFonts w:ascii="Arial"/>
                <w:w w:val="95"/>
                <w:sz w:val="20"/>
              </w:rPr>
            </w:r>
            <w:r>
              <w:rPr>
                <w:rFonts w:ascii="Arial"/>
                <w:sz w:val="20"/>
              </w:rPr>
            </w:r>
          </w:p>
        </w:tc>
      </w:tr>
      <w:tr>
        <w:trPr>
          <w:trHeight w:val="354" w:hRule="exact"/>
        </w:trPr>
        <w:tc>
          <w:tcPr>
            <w:tcW w:w="2378" w:type="dxa"/>
            <w:tcBorders>
              <w:top w:val="nil" w:sz="6" w:space="0" w:color="auto"/>
              <w:left w:val="nil" w:sz="6" w:space="0" w:color="auto"/>
              <w:bottom w:val="nil" w:sz="6" w:space="0" w:color="auto"/>
              <w:right w:val="nil" w:sz="6" w:space="0" w:color="auto"/>
            </w:tcBorders>
          </w:tcPr>
          <w:p>
            <w:pP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86"/>
              <w:jc w:val="right"/>
              <w:rPr>
                <w:rFonts w:ascii="Arial" w:hAnsi="Arial" w:cs="Arial" w:eastAsia="Arial" w:hint="default"/>
                <w:sz w:val="20"/>
                <w:szCs w:val="20"/>
              </w:rPr>
            </w:pPr>
            <w:r>
              <w:rPr>
                <w:rFonts w:ascii="Arial"/>
                <w:w w:val="99"/>
                <w:sz w:val="20"/>
              </w:rPr>
            </w:r>
            <w:r>
              <w:rPr>
                <w:rFonts w:ascii="Arial"/>
                <w:spacing w:val="-1"/>
                <w:sz w:val="20"/>
                <w:u w:val="thick" w:color="000000"/>
              </w:rPr>
              <w:t>310,097,311</w:t>
            </w:r>
            <w:r>
              <w:rPr>
                <w:rFonts w:ascii="Arial"/>
                <w:spacing w:val="-1"/>
                <w:sz w:val="20"/>
              </w:rPr>
            </w:r>
            <w:r>
              <w:rPr>
                <w:rFonts w:ascii="Arial"/>
                <w:sz w:val="20"/>
              </w:rPr>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09"/>
              <w:jc w:val="right"/>
              <w:rPr>
                <w:rFonts w:ascii="Arial" w:hAnsi="Arial" w:cs="Arial" w:eastAsia="Arial" w:hint="default"/>
                <w:sz w:val="20"/>
                <w:szCs w:val="20"/>
              </w:rPr>
            </w:pPr>
            <w:r>
              <w:rPr>
                <w:rFonts w:ascii="Arial"/>
                <w:w w:val="99"/>
                <w:sz w:val="20"/>
              </w:rPr>
            </w:r>
            <w:r>
              <w:rPr>
                <w:rFonts w:ascii="Arial"/>
                <w:spacing w:val="-1"/>
                <w:w w:val="95"/>
                <w:sz w:val="20"/>
                <w:u w:val="thick" w:color="000000"/>
              </w:rPr>
              <w:t>100</w:t>
            </w:r>
            <w:r>
              <w:rPr>
                <w:rFonts w:ascii="Arial"/>
                <w:spacing w:val="-1"/>
                <w:w w:val="95"/>
                <w:sz w:val="20"/>
              </w:rPr>
            </w:r>
            <w:r>
              <w:rPr>
                <w:rFonts w:ascii="Arial"/>
                <w:sz w:val="20"/>
              </w:rPr>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59"/>
              <w:jc w:val="right"/>
              <w:rPr>
                <w:rFonts w:ascii="Arial" w:hAnsi="Arial" w:cs="Arial" w:eastAsia="Arial" w:hint="default"/>
                <w:sz w:val="20"/>
                <w:szCs w:val="20"/>
              </w:rPr>
            </w:pPr>
            <w:r>
              <w:rPr>
                <w:rFonts w:ascii="Arial"/>
                <w:w w:val="99"/>
                <w:sz w:val="20"/>
              </w:rPr>
            </w:r>
            <w:r>
              <w:rPr>
                <w:rFonts w:ascii="Arial"/>
                <w:spacing w:val="-1"/>
                <w:sz w:val="20"/>
                <w:u w:val="thick" w:color="000000"/>
              </w:rPr>
              <w:t>236,236,850</w:t>
            </w:r>
            <w:r>
              <w:rPr>
                <w:rFonts w:ascii="Arial"/>
                <w:spacing w:val="-1"/>
                <w:sz w:val="20"/>
              </w:rPr>
            </w:r>
            <w:r>
              <w:rPr>
                <w:rFonts w:ascii="Arial"/>
                <w:sz w:val="20"/>
              </w:rPr>
            </w:r>
          </w:p>
        </w:tc>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00"/>
              <w:jc w:val="right"/>
              <w:rPr>
                <w:rFonts w:ascii="Arial" w:hAnsi="Arial" w:cs="Arial" w:eastAsia="Arial" w:hint="default"/>
                <w:sz w:val="20"/>
                <w:szCs w:val="20"/>
              </w:rPr>
            </w:pPr>
            <w:r>
              <w:rPr>
                <w:rFonts w:ascii="Arial"/>
                <w:w w:val="99"/>
                <w:sz w:val="20"/>
              </w:rPr>
            </w:r>
            <w:r>
              <w:rPr>
                <w:rFonts w:ascii="Arial"/>
                <w:spacing w:val="-1"/>
                <w:w w:val="95"/>
                <w:sz w:val="20"/>
                <w:u w:val="thick" w:color="000000"/>
              </w:rPr>
              <w:t>100</w:t>
            </w:r>
            <w:r>
              <w:rPr>
                <w:rFonts w:ascii="Arial"/>
                <w:spacing w:val="-1"/>
                <w:w w:val="95"/>
                <w:sz w:val="20"/>
              </w:rPr>
            </w:r>
            <w:r>
              <w:rPr>
                <w:rFonts w:ascii="Arial"/>
                <w:sz w:val="20"/>
              </w:rPr>
            </w:r>
          </w:p>
        </w:tc>
      </w:tr>
    </w:tbl>
    <w:p>
      <w:pPr>
        <w:spacing w:line="240" w:lineRule="auto" w:before="8"/>
        <w:rPr>
          <w:rFonts w:ascii="Arial" w:hAnsi="Arial" w:cs="Arial" w:eastAsia="Arial" w:hint="default"/>
          <w:sz w:val="15"/>
          <w:szCs w:val="15"/>
        </w:rPr>
      </w:pPr>
    </w:p>
    <w:p>
      <w:pPr>
        <w:pStyle w:val="BodyText"/>
        <w:spacing w:line="260" w:lineRule="exact" w:before="63"/>
        <w:ind w:right="194"/>
        <w:jc w:val="left"/>
      </w:pPr>
      <w:r>
        <w:rPr>
          <w:w w:val="95"/>
        </w:rPr>
        <w:t>预收款项为预收客户有关软件销售及维护服务收入的款项。该款项按照收入确认的会计政</w:t>
      </w:r>
      <w:r>
        <w:rPr>
          <w:spacing w:val="87"/>
          <w:w w:val="95"/>
        </w:rPr>
        <w:t> </w:t>
      </w:r>
      <w:r>
        <w:rPr>
          <w:spacing w:val="87"/>
          <w:w w:val="95"/>
        </w:rPr>
      </w:r>
      <w:r>
        <w:rPr/>
        <w:t>策应于以后年度确认收入。</w:t>
      </w:r>
    </w:p>
    <w:p>
      <w:pPr>
        <w:spacing w:line="240" w:lineRule="auto" w:before="7"/>
        <w:rPr>
          <w:rFonts w:ascii="黑体" w:hAnsi="黑体" w:cs="黑体" w:eastAsia="黑体" w:hint="default"/>
          <w:sz w:val="17"/>
          <w:szCs w:val="17"/>
        </w:rPr>
      </w:pPr>
    </w:p>
    <w:p>
      <w:pPr>
        <w:pStyle w:val="BodyText"/>
        <w:spacing w:line="260" w:lineRule="exact"/>
        <w:ind w:left="809" w:right="194" w:firstLine="5"/>
        <w:jc w:val="left"/>
      </w:pP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日，本账户余额中并无持本公司</w:t>
      </w:r>
      <w:r>
        <w:rPr>
          <w:rFonts w:ascii="Arial" w:hAnsi="Arial" w:cs="Arial" w:eastAsia="Arial" w:hint="default"/>
        </w:rPr>
        <w:t>5%</w:t>
      </w:r>
      <w:r>
        <w:rPr/>
        <w:t>或以上表决权股份的股东单位或关联</w:t>
      </w:r>
      <w:r>
        <w:rPr>
          <w:w w:val="99"/>
        </w:rPr>
        <w:t> </w:t>
      </w:r>
      <w:r>
        <w:rPr/>
        <w:t>方的款项</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w:t>
      </w:r>
    </w:p>
    <w:p>
      <w:pPr>
        <w:spacing w:line="240" w:lineRule="auto" w:before="8"/>
        <w:rPr>
          <w:rFonts w:ascii="黑体" w:hAnsi="黑体" w:cs="黑体" w:eastAsia="黑体" w:hint="default"/>
          <w:sz w:val="15"/>
          <w:szCs w:val="15"/>
        </w:rPr>
      </w:pPr>
    </w:p>
    <w:p>
      <w:pPr>
        <w:pStyle w:val="BodyText"/>
        <w:spacing w:line="240" w:lineRule="auto"/>
        <w:ind w:left="809" w:right="101"/>
        <w:jc w:val="left"/>
      </w:pPr>
      <w:r>
        <w:rPr>
          <w:spacing w:val="-3"/>
        </w:rPr>
        <w:t>于</w:t>
      </w:r>
      <w:r>
        <w:rPr>
          <w:rFonts w:ascii="Arial" w:hAnsi="Arial" w:cs="Arial" w:eastAsia="Arial" w:hint="default"/>
          <w:spacing w:val="-3"/>
        </w:rPr>
        <w:t>2012</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r>
        <w:rPr>
          <w:spacing w:val="-3"/>
        </w:rPr>
        <w:t>日，本账户余额中无账龄超过</w:t>
      </w:r>
      <w:r>
        <w:rPr>
          <w:rFonts w:ascii="Arial" w:hAnsi="Arial" w:cs="Arial" w:eastAsia="Arial" w:hint="default"/>
          <w:spacing w:val="-3"/>
        </w:rPr>
        <w:t>1</w:t>
      </w:r>
      <w:r>
        <w:rPr>
          <w:spacing w:val="-3"/>
        </w:rPr>
        <w:t>年的大额预收款项</w:t>
      </w:r>
      <w:r>
        <w:rPr>
          <w:rFonts w:ascii="Arial" w:hAnsi="Arial" w:cs="Arial" w:eastAsia="Arial" w:hint="default"/>
          <w:spacing w:val="-3"/>
        </w:rPr>
        <w:t>(2011</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r>
        <w:rPr>
          <w:spacing w:val="-3"/>
        </w:rPr>
        <w:t>日：无</w:t>
      </w:r>
      <w:r>
        <w:rPr>
          <w:rFonts w:ascii="Arial" w:hAnsi="Arial" w:cs="Arial" w:eastAsia="Arial" w:hint="default"/>
          <w:spacing w:val="-3"/>
        </w:rPr>
        <w:t>)</w:t>
      </w:r>
      <w:r>
        <w:rPr>
          <w:spacing w:val="-3"/>
        </w:rPr>
        <w:t>。</w:t>
      </w:r>
    </w:p>
    <w:p>
      <w:pPr>
        <w:spacing w:after="0" w:line="240" w:lineRule="auto"/>
        <w:jc w:val="left"/>
        <w:sectPr>
          <w:pgSz w:w="11910" w:h="16850"/>
          <w:pgMar w:header="957" w:footer="473" w:top="2600" w:bottom="660" w:left="1600" w:right="1400"/>
        </w:sectPr>
      </w:pPr>
    </w:p>
    <w:p>
      <w:pPr>
        <w:spacing w:line="240" w:lineRule="auto" w:before="7"/>
        <w:rPr>
          <w:rFonts w:ascii="黑体" w:hAnsi="黑体" w:cs="黑体" w:eastAsia="黑体" w:hint="default"/>
          <w:sz w:val="15"/>
          <w:szCs w:val="15"/>
        </w:rPr>
      </w:pPr>
    </w:p>
    <w:p>
      <w:pPr>
        <w:pStyle w:val="Heading6"/>
        <w:spacing w:line="240" w:lineRule="auto"/>
        <w:ind w:left="142" w:right="2891"/>
        <w:jc w:val="left"/>
        <w:rPr>
          <w:b w:val="0"/>
          <w:bCs w:val="0"/>
        </w:rPr>
      </w:pPr>
      <w:r>
        <w:rPr/>
        <w:t>十三、公司财务报表主要项目注释（续）</w:t>
      </w:r>
      <w:r>
        <w:rPr>
          <w:b w:val="0"/>
          <w:bCs w:val="0"/>
        </w:rPr>
      </w:r>
    </w:p>
    <w:p>
      <w:pPr>
        <w:spacing w:line="240" w:lineRule="auto" w:before="5"/>
        <w:rPr>
          <w:rFonts w:ascii="黑体" w:hAnsi="黑体" w:cs="黑体" w:eastAsia="黑体" w:hint="default"/>
          <w:b/>
          <w:bCs/>
          <w:sz w:val="17"/>
          <w:szCs w:val="17"/>
        </w:rPr>
      </w:pPr>
    </w:p>
    <w:p>
      <w:pPr>
        <w:pStyle w:val="Heading6"/>
        <w:tabs>
          <w:tab w:pos="816" w:val="left" w:leader="none"/>
        </w:tabs>
        <w:spacing w:line="240" w:lineRule="auto" w:before="0"/>
        <w:ind w:left="137" w:right="2891"/>
        <w:jc w:val="left"/>
        <w:rPr>
          <w:b w:val="0"/>
          <w:bCs w:val="0"/>
        </w:rPr>
      </w:pPr>
      <w:r>
        <w:rPr>
          <w:rFonts w:ascii="Arial" w:hAnsi="Arial" w:cs="Arial" w:eastAsia="Arial" w:hint="default"/>
          <w:spacing w:val="-1"/>
          <w:w w:val="95"/>
        </w:rPr>
        <w:t>19.</w:t>
        <w:tab/>
      </w:r>
      <w:r>
        <w:rPr>
          <w:spacing w:val="1"/>
        </w:rPr>
        <w:t>应付职工薪酬</w:t>
      </w:r>
      <w:r>
        <w:rPr>
          <w:b w:val="0"/>
          <w:bCs w:val="0"/>
          <w:spacing w:val="1"/>
        </w:rPr>
      </w:r>
    </w:p>
    <w:p>
      <w:pPr>
        <w:spacing w:line="240" w:lineRule="auto" w:before="3"/>
        <w:rPr>
          <w:rFonts w:ascii="黑体" w:hAnsi="黑体" w:cs="黑体" w:eastAsia="黑体" w:hint="default"/>
          <w:b/>
          <w:bCs/>
          <w:sz w:val="24"/>
          <w:szCs w:val="24"/>
        </w:rPr>
      </w:pPr>
    </w:p>
    <w:tbl>
      <w:tblPr>
        <w:tblW w:w="0" w:type="auto"/>
        <w:jc w:val="left"/>
        <w:tblInd w:w="549" w:type="dxa"/>
        <w:tblLayout w:type="fixed"/>
        <w:tblCellMar>
          <w:top w:w="0" w:type="dxa"/>
          <w:left w:w="0" w:type="dxa"/>
          <w:bottom w:w="0" w:type="dxa"/>
          <w:right w:w="0" w:type="dxa"/>
        </w:tblCellMar>
        <w:tblLook w:val="01E0"/>
      </w:tblPr>
      <w:tblGrid>
        <w:gridCol w:w="2461"/>
        <w:gridCol w:w="1298"/>
        <w:gridCol w:w="1540"/>
        <w:gridCol w:w="1484"/>
        <w:gridCol w:w="210"/>
        <w:gridCol w:w="1276"/>
      </w:tblGrid>
      <w:tr>
        <w:trPr>
          <w:trHeight w:val="238" w:hRule="exact"/>
        </w:trPr>
        <w:tc>
          <w:tcPr>
            <w:tcW w:w="8269" w:type="dxa"/>
            <w:gridSpan w:val="6"/>
            <w:tcBorders>
              <w:top w:val="nil" w:sz="6" w:space="0" w:color="auto"/>
              <w:left w:val="nil" w:sz="6" w:space="0" w:color="auto"/>
              <w:bottom w:val="nil" w:sz="6" w:space="0" w:color="auto"/>
              <w:right w:val="nil" w:sz="6" w:space="0" w:color="auto"/>
            </w:tcBorders>
          </w:tcPr>
          <w:p>
            <w:pPr>
              <w:pStyle w:val="TableParagraph"/>
              <w:spacing w:line="214" w:lineRule="exact"/>
              <w:ind w:left="4992" w:right="0"/>
              <w:jc w:val="left"/>
              <w:rPr>
                <w:rFonts w:ascii="黑体" w:hAnsi="黑体" w:cs="黑体" w:eastAsia="黑体" w:hint="default"/>
                <w:sz w:val="20"/>
                <w:szCs w:val="20"/>
              </w:rPr>
            </w:pPr>
            <w:r>
              <w:rPr>
                <w:rFonts w:ascii="Arial" w:hAnsi="Arial" w:cs="Arial" w:eastAsia="Arial" w:hint="default"/>
                <w:sz w:val="20"/>
                <w:szCs w:val="20"/>
              </w:rPr>
              <w:t>2012</w:t>
            </w:r>
            <w:r>
              <w:rPr>
                <w:rFonts w:ascii="黑体" w:hAnsi="黑体" w:cs="黑体" w:eastAsia="黑体" w:hint="default"/>
                <w:sz w:val="20"/>
                <w:szCs w:val="20"/>
              </w:rPr>
              <w:t>年</w:t>
            </w:r>
          </w:p>
        </w:tc>
      </w:tr>
      <w:tr>
        <w:trPr>
          <w:trHeight w:val="482" w:hRule="exact"/>
        </w:trPr>
        <w:tc>
          <w:tcPr>
            <w:tcW w:w="2461" w:type="dxa"/>
            <w:tcBorders>
              <w:top w:val="nil" w:sz="6" w:space="0" w:color="auto"/>
              <w:left w:val="nil" w:sz="6" w:space="0" w:color="auto"/>
              <w:bottom w:val="nil" w:sz="6" w:space="0" w:color="auto"/>
              <w:right w:val="nil" w:sz="6" w:space="0" w:color="auto"/>
            </w:tcBorders>
          </w:tcPr>
          <w:p>
            <w:pPr/>
          </w:p>
        </w:tc>
        <w:tc>
          <w:tcPr>
            <w:tcW w:w="1298"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125"/>
              <w:jc w:val="right"/>
              <w:rPr>
                <w:rFonts w:ascii="黑体" w:hAnsi="黑体" w:cs="黑体" w:eastAsia="黑体" w:hint="default"/>
                <w:sz w:val="20"/>
                <w:szCs w:val="20"/>
              </w:rPr>
            </w:pPr>
            <w:r>
              <w:rPr>
                <w:rFonts w:ascii="黑体" w:hAnsi="黑体" w:cs="黑体" w:eastAsia="黑体" w:hint="default"/>
                <w:w w:val="95"/>
                <w:sz w:val="20"/>
                <w:szCs w:val="20"/>
              </w:rPr>
              <w:t>年初数</w:t>
            </w:r>
            <w:r>
              <w:rPr>
                <w:rFonts w:ascii="黑体" w:hAnsi="黑体" w:cs="黑体" w:eastAsia="黑体" w:hint="default"/>
                <w:sz w:val="20"/>
                <w:szCs w:val="20"/>
              </w:rPr>
            </w:r>
          </w:p>
        </w:tc>
        <w:tc>
          <w:tcPr>
            <w:tcW w:w="154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113"/>
              <w:jc w:val="right"/>
              <w:rPr>
                <w:rFonts w:ascii="黑体" w:hAnsi="黑体" w:cs="黑体" w:eastAsia="黑体" w:hint="default"/>
                <w:sz w:val="20"/>
                <w:szCs w:val="20"/>
              </w:rPr>
            </w:pPr>
            <w:r>
              <w:rPr>
                <w:rFonts w:ascii="黑体" w:hAnsi="黑体" w:cs="黑体" w:eastAsia="黑体" w:hint="default"/>
                <w:w w:val="95"/>
                <w:sz w:val="20"/>
                <w:szCs w:val="20"/>
              </w:rPr>
              <w:t>本年增加</w:t>
            </w:r>
            <w:r>
              <w:rPr>
                <w:rFonts w:ascii="黑体" w:hAnsi="黑体" w:cs="黑体" w:eastAsia="黑体" w:hint="default"/>
                <w:sz w:val="20"/>
                <w:szCs w:val="20"/>
              </w:rPr>
            </w:r>
          </w:p>
        </w:tc>
        <w:tc>
          <w:tcPr>
            <w:tcW w:w="1484"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1"/>
              <w:jc w:val="right"/>
              <w:rPr>
                <w:rFonts w:ascii="黑体" w:hAnsi="黑体" w:cs="黑体" w:eastAsia="黑体" w:hint="default"/>
                <w:sz w:val="20"/>
                <w:szCs w:val="20"/>
              </w:rPr>
            </w:pPr>
            <w:r>
              <w:rPr>
                <w:rFonts w:ascii="黑体" w:hAnsi="黑体" w:cs="黑体" w:eastAsia="黑体" w:hint="default"/>
                <w:w w:val="95"/>
                <w:sz w:val="20"/>
                <w:szCs w:val="20"/>
              </w:rPr>
              <w:t>本年减少</w:t>
            </w:r>
            <w:r>
              <w:rPr>
                <w:rFonts w:ascii="黑体" w:hAnsi="黑体" w:cs="黑体" w:eastAsia="黑体" w:hint="default"/>
                <w:sz w:val="20"/>
                <w:szCs w:val="20"/>
              </w:rPr>
            </w:r>
          </w:p>
        </w:tc>
        <w:tc>
          <w:tcPr>
            <w:tcW w:w="210" w:type="dxa"/>
            <w:tcBorders>
              <w:top w:val="single" w:sz="4" w:space="0" w:color="000000"/>
              <w:left w:val="nil" w:sz="6" w:space="0" w:color="auto"/>
              <w:bottom w:val="nil" w:sz="6" w:space="0" w:color="auto"/>
              <w:right w:val="nil" w:sz="6" w:space="0" w:color="auto"/>
            </w:tcBorders>
          </w:tcPr>
          <w:p>
            <w:pPr/>
          </w:p>
        </w:tc>
        <w:tc>
          <w:tcPr>
            <w:tcW w:w="127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108"/>
              <w:jc w:val="right"/>
              <w:rPr>
                <w:rFonts w:ascii="黑体" w:hAnsi="黑体" w:cs="黑体" w:eastAsia="黑体" w:hint="default"/>
                <w:sz w:val="20"/>
                <w:szCs w:val="20"/>
              </w:rPr>
            </w:pPr>
            <w:r>
              <w:rPr>
                <w:rFonts w:ascii="黑体" w:hAnsi="黑体" w:cs="黑体" w:eastAsia="黑体" w:hint="default"/>
                <w:w w:val="95"/>
                <w:sz w:val="20"/>
                <w:szCs w:val="20"/>
              </w:rPr>
              <w:t>年末数</w:t>
            </w:r>
            <w:r>
              <w:rPr>
                <w:rFonts w:ascii="黑体" w:hAnsi="黑体" w:cs="黑体" w:eastAsia="黑体" w:hint="default"/>
                <w:sz w:val="20"/>
                <w:szCs w:val="20"/>
              </w:rPr>
            </w:r>
          </w:p>
        </w:tc>
      </w:tr>
      <w:tr>
        <w:trPr>
          <w:trHeight w:val="474" w:hRule="exact"/>
        </w:trPr>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216" w:right="0"/>
              <w:jc w:val="left"/>
              <w:rPr>
                <w:rFonts w:ascii="黑体" w:hAnsi="黑体" w:cs="黑体" w:eastAsia="黑体" w:hint="default"/>
                <w:sz w:val="20"/>
                <w:szCs w:val="20"/>
              </w:rPr>
            </w:pPr>
            <w:r>
              <w:rPr>
                <w:rFonts w:ascii="黑体" w:hAnsi="黑体" w:cs="黑体" w:eastAsia="黑体" w:hint="default"/>
                <w:sz w:val="20"/>
                <w:szCs w:val="20"/>
              </w:rPr>
              <w:t>工资、奖金、津贴和补贴</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b/>
                <w:bCs/>
                <w:sz w:val="16"/>
                <w:szCs w:val="16"/>
              </w:rPr>
            </w:pPr>
          </w:p>
          <w:p>
            <w:pPr>
              <w:pStyle w:val="TableParagraph"/>
              <w:spacing w:line="240" w:lineRule="auto"/>
              <w:ind w:right="149"/>
              <w:jc w:val="right"/>
              <w:rPr>
                <w:rFonts w:ascii="Arial" w:hAnsi="Arial" w:cs="Arial" w:eastAsia="Arial" w:hint="default"/>
                <w:sz w:val="20"/>
                <w:szCs w:val="20"/>
              </w:rPr>
            </w:pPr>
            <w:r>
              <w:rPr>
                <w:rFonts w:ascii="Arial"/>
                <w:spacing w:val="-1"/>
                <w:sz w:val="20"/>
              </w:rPr>
              <w:t>346,642,481</w:t>
            </w:r>
            <w:r>
              <w:rPr>
                <w:rFonts w:ascii="Arial"/>
                <w:sz w:val="20"/>
              </w:rPr>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b/>
                <w:bCs/>
                <w:sz w:val="16"/>
                <w:szCs w:val="16"/>
              </w:rPr>
            </w:pPr>
          </w:p>
          <w:p>
            <w:pPr>
              <w:pStyle w:val="TableParagraph"/>
              <w:spacing w:line="240" w:lineRule="auto"/>
              <w:ind w:right="134"/>
              <w:jc w:val="right"/>
              <w:rPr>
                <w:rFonts w:ascii="Arial" w:hAnsi="Arial" w:cs="Arial" w:eastAsia="Arial" w:hint="default"/>
                <w:sz w:val="20"/>
                <w:szCs w:val="20"/>
              </w:rPr>
            </w:pPr>
            <w:r>
              <w:rPr>
                <w:rFonts w:ascii="Arial"/>
                <w:spacing w:val="-1"/>
                <w:sz w:val="20"/>
              </w:rPr>
              <w:t>976,955,452</w:t>
            </w:r>
            <w:r>
              <w:rPr>
                <w:rFonts w:ascii="Arial"/>
                <w:sz w:val="20"/>
              </w:rPr>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b/>
                <w:bCs/>
                <w:sz w:val="16"/>
                <w:szCs w:val="16"/>
              </w:rPr>
            </w:pPr>
          </w:p>
          <w:p>
            <w:pPr>
              <w:pStyle w:val="TableParagraph"/>
              <w:spacing w:line="240" w:lineRule="auto"/>
              <w:ind w:right="22"/>
              <w:jc w:val="right"/>
              <w:rPr>
                <w:rFonts w:ascii="Arial" w:hAnsi="Arial" w:cs="Arial" w:eastAsia="Arial" w:hint="default"/>
                <w:sz w:val="20"/>
                <w:szCs w:val="20"/>
              </w:rPr>
            </w:pPr>
            <w:r>
              <w:rPr>
                <w:rFonts w:ascii="Arial"/>
                <w:spacing w:val="-1"/>
                <w:sz w:val="20"/>
              </w:rPr>
              <w:t>(1,065,672,017</w:t>
            </w:r>
          </w:p>
        </w:tc>
        <w:tc>
          <w:tcPr>
            <w:tcW w:w="21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b/>
                <w:bCs/>
                <w:sz w:val="16"/>
                <w:szCs w:val="16"/>
              </w:rPr>
            </w:pPr>
          </w:p>
          <w:p>
            <w:pPr>
              <w:pStyle w:val="TableParagraph"/>
              <w:spacing w:line="240" w:lineRule="auto"/>
              <w:ind w:left="-1" w:right="0"/>
              <w:jc w:val="left"/>
              <w:rPr>
                <w:rFonts w:ascii="Arial" w:hAnsi="Arial" w:cs="Arial" w:eastAsia="Arial" w:hint="default"/>
                <w:sz w:val="20"/>
                <w:szCs w:val="20"/>
              </w:rPr>
            </w:pPr>
            <w:r>
              <w:rPr>
                <w:rFonts w:ascii="Arial"/>
                <w:w w:val="99"/>
                <w:sz w:val="20"/>
              </w:rPr>
              <w:t>)</w:t>
            </w:r>
            <w:r>
              <w:rPr>
                <w:rFonts w:ascii="Arial"/>
                <w:sz w:val="20"/>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b/>
                <w:bCs/>
                <w:sz w:val="16"/>
                <w:szCs w:val="16"/>
              </w:rPr>
            </w:pPr>
          </w:p>
          <w:p>
            <w:pPr>
              <w:pStyle w:val="TableParagraph"/>
              <w:spacing w:line="240" w:lineRule="auto"/>
              <w:ind w:right="20"/>
              <w:jc w:val="right"/>
              <w:rPr>
                <w:rFonts w:ascii="Arial" w:hAnsi="Arial" w:cs="Arial" w:eastAsia="Arial" w:hint="default"/>
                <w:sz w:val="20"/>
                <w:szCs w:val="20"/>
              </w:rPr>
            </w:pPr>
            <w:r>
              <w:rPr>
                <w:rFonts w:ascii="Arial"/>
                <w:spacing w:val="-1"/>
                <w:sz w:val="20"/>
              </w:rPr>
              <w:t>257,925,916</w:t>
            </w:r>
            <w:r>
              <w:rPr>
                <w:rFonts w:ascii="Arial"/>
                <w:sz w:val="20"/>
              </w:rPr>
            </w:r>
          </w:p>
        </w:tc>
      </w:tr>
      <w:tr>
        <w:trPr>
          <w:trHeight w:val="300" w:hRule="exact"/>
        </w:trPr>
        <w:tc>
          <w:tcPr>
            <w:tcW w:w="2461" w:type="dxa"/>
            <w:tcBorders>
              <w:top w:val="nil" w:sz="6" w:space="0" w:color="auto"/>
              <w:left w:val="nil" w:sz="6" w:space="0" w:color="auto"/>
              <w:bottom w:val="nil" w:sz="6" w:space="0" w:color="auto"/>
              <w:right w:val="nil" w:sz="6" w:space="0" w:color="auto"/>
            </w:tcBorders>
          </w:tcPr>
          <w:p>
            <w:pPr>
              <w:pStyle w:val="TableParagraph"/>
              <w:spacing w:line="236" w:lineRule="exact"/>
              <w:ind w:left="216" w:right="0"/>
              <w:jc w:val="left"/>
              <w:rPr>
                <w:rFonts w:ascii="黑体" w:hAnsi="黑体" w:cs="黑体" w:eastAsia="黑体" w:hint="default"/>
                <w:sz w:val="20"/>
                <w:szCs w:val="20"/>
              </w:rPr>
            </w:pPr>
            <w:r>
              <w:rPr>
                <w:rFonts w:ascii="黑体" w:hAnsi="黑体" w:cs="黑体" w:eastAsia="黑体" w:hint="default"/>
                <w:sz w:val="20"/>
                <w:szCs w:val="20"/>
              </w:rPr>
              <w:t>社会保险费</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49"/>
              <w:jc w:val="right"/>
              <w:rPr>
                <w:rFonts w:ascii="Arial" w:hAnsi="Arial" w:cs="Arial" w:eastAsia="Arial" w:hint="default"/>
                <w:sz w:val="20"/>
                <w:szCs w:val="20"/>
              </w:rPr>
            </w:pPr>
            <w:r>
              <w:rPr>
                <w:rFonts w:ascii="Arial"/>
                <w:spacing w:val="-1"/>
                <w:sz w:val="20"/>
              </w:rPr>
              <w:t>6,419,304</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34"/>
              <w:jc w:val="right"/>
              <w:rPr>
                <w:rFonts w:ascii="Arial" w:hAnsi="Arial" w:cs="Arial" w:eastAsia="Arial" w:hint="default"/>
                <w:sz w:val="20"/>
                <w:szCs w:val="20"/>
              </w:rPr>
            </w:pPr>
            <w:r>
              <w:rPr>
                <w:rFonts w:ascii="Arial"/>
                <w:spacing w:val="-1"/>
                <w:sz w:val="20"/>
              </w:rPr>
              <w:t>205,480,463</w:t>
            </w:r>
            <w:r>
              <w:rPr>
                <w:rFonts w:ascii="Arial"/>
                <w:sz w:val="20"/>
              </w:rPr>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2"/>
              <w:jc w:val="right"/>
              <w:rPr>
                <w:rFonts w:ascii="Arial" w:hAnsi="Arial" w:cs="Arial" w:eastAsia="Arial" w:hint="default"/>
                <w:sz w:val="20"/>
                <w:szCs w:val="20"/>
              </w:rPr>
            </w:pPr>
            <w:r>
              <w:rPr>
                <w:rFonts w:ascii="Arial"/>
                <w:sz w:val="20"/>
              </w:rPr>
              <w:t>( </w:t>
            </w:r>
            <w:r>
              <w:rPr>
                <w:rFonts w:ascii="Arial"/>
                <w:spacing w:val="39"/>
                <w:sz w:val="20"/>
              </w:rPr>
              <w:t> </w:t>
            </w:r>
            <w:r>
              <w:rPr>
                <w:rFonts w:ascii="Arial"/>
                <w:sz w:val="20"/>
              </w:rPr>
              <w:t>209,273,783</w:t>
            </w:r>
          </w:p>
        </w:tc>
        <w:tc>
          <w:tcPr>
            <w:tcW w:w="21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 w:right="0"/>
              <w:jc w:val="left"/>
              <w:rPr>
                <w:rFonts w:ascii="Arial" w:hAnsi="Arial" w:cs="Arial" w:eastAsia="Arial" w:hint="default"/>
                <w:sz w:val="20"/>
                <w:szCs w:val="20"/>
              </w:rPr>
            </w:pPr>
            <w:r>
              <w:rPr>
                <w:rFonts w:ascii="Arial"/>
                <w:w w:val="99"/>
                <w:sz w:val="20"/>
              </w:rPr>
              <w:t>)</w:t>
            </w:r>
            <w:r>
              <w:rPr>
                <w:rFonts w:ascii="Arial"/>
                <w:sz w:val="20"/>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1"/>
              <w:jc w:val="right"/>
              <w:rPr>
                <w:rFonts w:ascii="Arial" w:hAnsi="Arial" w:cs="Arial" w:eastAsia="Arial" w:hint="default"/>
                <w:sz w:val="20"/>
                <w:szCs w:val="20"/>
              </w:rPr>
            </w:pPr>
            <w:r>
              <w:rPr>
                <w:rFonts w:ascii="Arial"/>
                <w:spacing w:val="-1"/>
                <w:sz w:val="20"/>
              </w:rPr>
              <w:t>2,625,984</w:t>
            </w:r>
          </w:p>
        </w:tc>
      </w:tr>
      <w:tr>
        <w:trPr>
          <w:trHeight w:val="300" w:hRule="exact"/>
        </w:trPr>
        <w:tc>
          <w:tcPr>
            <w:tcW w:w="2461" w:type="dxa"/>
            <w:tcBorders>
              <w:top w:val="nil" w:sz="6" w:space="0" w:color="auto"/>
              <w:left w:val="nil" w:sz="6" w:space="0" w:color="auto"/>
              <w:bottom w:val="nil" w:sz="6" w:space="0" w:color="auto"/>
              <w:right w:val="nil" w:sz="6" w:space="0" w:color="auto"/>
            </w:tcBorders>
          </w:tcPr>
          <w:p>
            <w:pPr>
              <w:pStyle w:val="TableParagraph"/>
              <w:spacing w:line="236" w:lineRule="exact"/>
              <w:ind w:left="216" w:right="0"/>
              <w:jc w:val="left"/>
              <w:rPr>
                <w:rFonts w:ascii="黑体" w:hAnsi="黑体" w:cs="黑体" w:eastAsia="黑体" w:hint="default"/>
                <w:sz w:val="20"/>
                <w:szCs w:val="20"/>
              </w:rPr>
            </w:pPr>
            <w:r>
              <w:rPr>
                <w:rFonts w:ascii="黑体" w:hAnsi="黑体" w:cs="黑体" w:eastAsia="黑体" w:hint="default"/>
                <w:sz w:val="20"/>
                <w:szCs w:val="20"/>
              </w:rPr>
              <w:t>其中：基本养老保险费</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49"/>
              <w:jc w:val="right"/>
              <w:rPr>
                <w:rFonts w:ascii="Arial" w:hAnsi="Arial" w:cs="Arial" w:eastAsia="Arial" w:hint="default"/>
                <w:sz w:val="20"/>
                <w:szCs w:val="20"/>
              </w:rPr>
            </w:pPr>
            <w:r>
              <w:rPr>
                <w:rFonts w:ascii="Arial"/>
                <w:spacing w:val="-1"/>
                <w:sz w:val="20"/>
              </w:rPr>
              <w:t>3,821,901</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34"/>
              <w:jc w:val="right"/>
              <w:rPr>
                <w:rFonts w:ascii="Arial" w:hAnsi="Arial" w:cs="Arial" w:eastAsia="Arial" w:hint="default"/>
                <w:sz w:val="20"/>
                <w:szCs w:val="20"/>
              </w:rPr>
            </w:pPr>
            <w:r>
              <w:rPr>
                <w:rFonts w:ascii="Arial"/>
                <w:spacing w:val="-1"/>
                <w:sz w:val="20"/>
              </w:rPr>
              <w:t>135,858,948</w:t>
            </w:r>
            <w:r>
              <w:rPr>
                <w:rFonts w:ascii="Arial"/>
                <w:sz w:val="20"/>
              </w:rPr>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2"/>
              <w:jc w:val="right"/>
              <w:rPr>
                <w:rFonts w:ascii="Arial" w:hAnsi="Arial" w:cs="Arial" w:eastAsia="Arial" w:hint="default"/>
                <w:sz w:val="20"/>
                <w:szCs w:val="20"/>
              </w:rPr>
            </w:pPr>
            <w:r>
              <w:rPr>
                <w:rFonts w:ascii="Arial"/>
                <w:sz w:val="20"/>
              </w:rPr>
              <w:t>( </w:t>
            </w:r>
            <w:r>
              <w:rPr>
                <w:rFonts w:ascii="Arial"/>
                <w:spacing w:val="48"/>
                <w:sz w:val="20"/>
              </w:rPr>
              <w:t> </w:t>
            </w:r>
            <w:r>
              <w:rPr>
                <w:rFonts w:ascii="Arial"/>
                <w:sz w:val="20"/>
              </w:rPr>
              <w:t>137,545,413</w:t>
            </w:r>
          </w:p>
        </w:tc>
        <w:tc>
          <w:tcPr>
            <w:tcW w:w="21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 w:right="0"/>
              <w:jc w:val="left"/>
              <w:rPr>
                <w:rFonts w:ascii="Arial" w:hAnsi="Arial" w:cs="Arial" w:eastAsia="Arial" w:hint="default"/>
                <w:sz w:val="20"/>
                <w:szCs w:val="20"/>
              </w:rPr>
            </w:pPr>
            <w:r>
              <w:rPr>
                <w:rFonts w:ascii="Arial"/>
                <w:w w:val="99"/>
                <w:sz w:val="20"/>
              </w:rPr>
              <w:t>)</w:t>
            </w:r>
            <w:r>
              <w:rPr>
                <w:rFonts w:ascii="Arial"/>
                <w:sz w:val="20"/>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1"/>
              <w:jc w:val="right"/>
              <w:rPr>
                <w:rFonts w:ascii="Arial" w:hAnsi="Arial" w:cs="Arial" w:eastAsia="Arial" w:hint="default"/>
                <w:sz w:val="20"/>
                <w:szCs w:val="20"/>
              </w:rPr>
            </w:pPr>
            <w:r>
              <w:rPr>
                <w:rFonts w:ascii="Arial"/>
                <w:spacing w:val="-1"/>
                <w:sz w:val="20"/>
              </w:rPr>
              <w:t>2,135,436</w:t>
            </w:r>
          </w:p>
        </w:tc>
      </w:tr>
      <w:tr>
        <w:trPr>
          <w:trHeight w:val="300" w:hRule="exact"/>
        </w:trPr>
        <w:tc>
          <w:tcPr>
            <w:tcW w:w="2461" w:type="dxa"/>
            <w:tcBorders>
              <w:top w:val="nil" w:sz="6" w:space="0" w:color="auto"/>
              <w:left w:val="nil" w:sz="6" w:space="0" w:color="auto"/>
              <w:bottom w:val="nil" w:sz="6" w:space="0" w:color="auto"/>
              <w:right w:val="nil" w:sz="6" w:space="0" w:color="auto"/>
            </w:tcBorders>
          </w:tcPr>
          <w:p>
            <w:pPr>
              <w:pStyle w:val="TableParagraph"/>
              <w:spacing w:line="236" w:lineRule="exact"/>
              <w:ind w:left="787" w:right="0"/>
              <w:jc w:val="left"/>
              <w:rPr>
                <w:rFonts w:ascii="黑体" w:hAnsi="黑体" w:cs="黑体" w:eastAsia="黑体" w:hint="default"/>
                <w:sz w:val="20"/>
                <w:szCs w:val="20"/>
              </w:rPr>
            </w:pPr>
            <w:r>
              <w:rPr>
                <w:rFonts w:ascii="黑体" w:hAnsi="黑体" w:cs="黑体" w:eastAsia="黑体" w:hint="default"/>
                <w:sz w:val="20"/>
                <w:szCs w:val="20"/>
              </w:rPr>
              <w:t>医疗保险费</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49"/>
              <w:jc w:val="right"/>
              <w:rPr>
                <w:rFonts w:ascii="Arial" w:hAnsi="Arial" w:cs="Arial" w:eastAsia="Arial" w:hint="default"/>
                <w:sz w:val="20"/>
                <w:szCs w:val="20"/>
              </w:rPr>
            </w:pPr>
            <w:r>
              <w:rPr>
                <w:rFonts w:ascii="Arial"/>
                <w:spacing w:val="-1"/>
                <w:sz w:val="20"/>
              </w:rPr>
              <w:t>2,523,951</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34"/>
              <w:jc w:val="right"/>
              <w:rPr>
                <w:rFonts w:ascii="Arial" w:hAnsi="Arial" w:cs="Arial" w:eastAsia="Arial" w:hint="default"/>
                <w:sz w:val="20"/>
                <w:szCs w:val="20"/>
              </w:rPr>
            </w:pPr>
            <w:r>
              <w:rPr>
                <w:rFonts w:ascii="Arial"/>
                <w:spacing w:val="-1"/>
                <w:sz w:val="20"/>
              </w:rPr>
              <w:t>56,702,835</w:t>
            </w:r>
            <w:r>
              <w:rPr>
                <w:rFonts w:ascii="Arial"/>
                <w:sz w:val="20"/>
              </w:rPr>
            </w:r>
          </w:p>
        </w:tc>
        <w:tc>
          <w:tcPr>
            <w:tcW w:w="1484" w:type="dxa"/>
            <w:tcBorders>
              <w:top w:val="nil" w:sz="6" w:space="0" w:color="auto"/>
              <w:left w:val="nil" w:sz="6" w:space="0" w:color="auto"/>
              <w:bottom w:val="nil" w:sz="6" w:space="0" w:color="auto"/>
              <w:right w:val="nil" w:sz="6" w:space="0" w:color="auto"/>
            </w:tcBorders>
          </w:tcPr>
          <w:p>
            <w:pPr>
              <w:pStyle w:val="TableParagraph"/>
              <w:tabs>
                <w:tab w:pos="347" w:val="left" w:leader="none"/>
              </w:tabs>
              <w:spacing w:line="240" w:lineRule="auto" w:before="37"/>
              <w:ind w:right="22"/>
              <w:jc w:val="right"/>
              <w:rPr>
                <w:rFonts w:ascii="Arial" w:hAnsi="Arial" w:cs="Arial" w:eastAsia="Arial" w:hint="default"/>
                <w:sz w:val="20"/>
                <w:szCs w:val="20"/>
              </w:rPr>
            </w:pPr>
            <w:r>
              <w:rPr>
                <w:rFonts w:ascii="Arial"/>
                <w:w w:val="95"/>
                <w:sz w:val="20"/>
              </w:rPr>
              <w:t>(</w:t>
              <w:tab/>
            </w:r>
            <w:r>
              <w:rPr>
                <w:rFonts w:ascii="Arial"/>
                <w:spacing w:val="-1"/>
                <w:sz w:val="20"/>
              </w:rPr>
              <w:t>58,862,230</w:t>
            </w:r>
          </w:p>
        </w:tc>
        <w:tc>
          <w:tcPr>
            <w:tcW w:w="21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 w:right="0"/>
              <w:jc w:val="left"/>
              <w:rPr>
                <w:rFonts w:ascii="Arial" w:hAnsi="Arial" w:cs="Arial" w:eastAsia="Arial" w:hint="default"/>
                <w:sz w:val="20"/>
                <w:szCs w:val="20"/>
              </w:rPr>
            </w:pPr>
            <w:r>
              <w:rPr>
                <w:rFonts w:ascii="Arial"/>
                <w:w w:val="99"/>
                <w:sz w:val="20"/>
              </w:rPr>
              <w:t>)</w:t>
            </w:r>
            <w:r>
              <w:rPr>
                <w:rFonts w:ascii="Arial"/>
                <w:sz w:val="20"/>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2"/>
              <w:jc w:val="right"/>
              <w:rPr>
                <w:rFonts w:ascii="Arial" w:hAnsi="Arial" w:cs="Arial" w:eastAsia="Arial" w:hint="default"/>
                <w:sz w:val="20"/>
                <w:szCs w:val="20"/>
              </w:rPr>
            </w:pPr>
            <w:r>
              <w:rPr>
                <w:rFonts w:ascii="Arial"/>
                <w:spacing w:val="-1"/>
                <w:w w:val="95"/>
                <w:sz w:val="20"/>
              </w:rPr>
              <w:t>364,556</w:t>
            </w:r>
            <w:r>
              <w:rPr>
                <w:rFonts w:ascii="Arial"/>
                <w:sz w:val="20"/>
              </w:rPr>
            </w:r>
          </w:p>
        </w:tc>
      </w:tr>
      <w:tr>
        <w:trPr>
          <w:trHeight w:val="300" w:hRule="exact"/>
        </w:trPr>
        <w:tc>
          <w:tcPr>
            <w:tcW w:w="2461" w:type="dxa"/>
            <w:tcBorders>
              <w:top w:val="nil" w:sz="6" w:space="0" w:color="auto"/>
              <w:left w:val="nil" w:sz="6" w:space="0" w:color="auto"/>
              <w:bottom w:val="nil" w:sz="6" w:space="0" w:color="auto"/>
              <w:right w:val="nil" w:sz="6" w:space="0" w:color="auto"/>
            </w:tcBorders>
          </w:tcPr>
          <w:p>
            <w:pPr>
              <w:pStyle w:val="TableParagraph"/>
              <w:spacing w:line="236" w:lineRule="exact"/>
              <w:ind w:left="802" w:right="0"/>
              <w:jc w:val="left"/>
              <w:rPr>
                <w:rFonts w:ascii="黑体" w:hAnsi="黑体" w:cs="黑体" w:eastAsia="黑体" w:hint="default"/>
                <w:sz w:val="20"/>
                <w:szCs w:val="20"/>
              </w:rPr>
            </w:pPr>
            <w:r>
              <w:rPr>
                <w:rFonts w:ascii="黑体" w:hAnsi="黑体" w:cs="黑体" w:eastAsia="黑体" w:hint="default"/>
                <w:sz w:val="20"/>
                <w:szCs w:val="20"/>
              </w:rPr>
              <w:t>失业保险费</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49"/>
              <w:jc w:val="right"/>
              <w:rPr>
                <w:rFonts w:ascii="Arial" w:hAnsi="Arial" w:cs="Arial" w:eastAsia="Arial" w:hint="default"/>
                <w:sz w:val="20"/>
                <w:szCs w:val="20"/>
              </w:rPr>
            </w:pPr>
            <w:r>
              <w:rPr>
                <w:rFonts w:ascii="Arial"/>
                <w:spacing w:val="-1"/>
                <w:sz w:val="20"/>
              </w:rPr>
              <w:t>42,648</w:t>
            </w:r>
            <w:r>
              <w:rPr>
                <w:rFonts w:ascii="Arial"/>
                <w:sz w:val="20"/>
              </w:rPr>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33"/>
              <w:jc w:val="right"/>
              <w:rPr>
                <w:rFonts w:ascii="Arial" w:hAnsi="Arial" w:cs="Arial" w:eastAsia="Arial" w:hint="default"/>
                <w:sz w:val="20"/>
                <w:szCs w:val="20"/>
              </w:rPr>
            </w:pPr>
            <w:r>
              <w:rPr>
                <w:rFonts w:ascii="Arial"/>
                <w:spacing w:val="-1"/>
                <w:sz w:val="20"/>
              </w:rPr>
              <w:t>7,596,343</w:t>
            </w:r>
          </w:p>
        </w:tc>
        <w:tc>
          <w:tcPr>
            <w:tcW w:w="1484" w:type="dxa"/>
            <w:tcBorders>
              <w:top w:val="nil" w:sz="6" w:space="0" w:color="auto"/>
              <w:left w:val="nil" w:sz="6" w:space="0" w:color="auto"/>
              <w:bottom w:val="nil" w:sz="6" w:space="0" w:color="auto"/>
              <w:right w:val="nil" w:sz="6" w:space="0" w:color="auto"/>
            </w:tcBorders>
          </w:tcPr>
          <w:p>
            <w:pPr>
              <w:pStyle w:val="TableParagraph"/>
              <w:tabs>
                <w:tab w:pos="448" w:val="left" w:leader="none"/>
              </w:tabs>
              <w:spacing w:line="240" w:lineRule="auto" w:before="37"/>
              <w:ind w:right="22"/>
              <w:jc w:val="right"/>
              <w:rPr>
                <w:rFonts w:ascii="Arial" w:hAnsi="Arial" w:cs="Arial" w:eastAsia="Arial" w:hint="default"/>
                <w:sz w:val="20"/>
                <w:szCs w:val="20"/>
              </w:rPr>
            </w:pPr>
            <w:r>
              <w:rPr>
                <w:rFonts w:ascii="Arial"/>
                <w:w w:val="95"/>
                <w:sz w:val="20"/>
              </w:rPr>
              <w:t>(</w:t>
              <w:tab/>
            </w:r>
            <w:r>
              <w:rPr>
                <w:rFonts w:ascii="Arial"/>
                <w:spacing w:val="-1"/>
                <w:w w:val="95"/>
                <w:sz w:val="20"/>
              </w:rPr>
              <w:t>7,610,214</w:t>
            </w:r>
            <w:r>
              <w:rPr>
                <w:rFonts w:ascii="Arial"/>
                <w:sz w:val="20"/>
              </w:rPr>
            </w:r>
          </w:p>
        </w:tc>
        <w:tc>
          <w:tcPr>
            <w:tcW w:w="21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 w:right="0"/>
              <w:jc w:val="left"/>
              <w:rPr>
                <w:rFonts w:ascii="Arial" w:hAnsi="Arial" w:cs="Arial" w:eastAsia="Arial" w:hint="default"/>
                <w:sz w:val="20"/>
                <w:szCs w:val="20"/>
              </w:rPr>
            </w:pPr>
            <w:r>
              <w:rPr>
                <w:rFonts w:ascii="Arial"/>
                <w:w w:val="99"/>
                <w:sz w:val="20"/>
              </w:rPr>
              <w:t>)</w:t>
            </w:r>
            <w:r>
              <w:rPr>
                <w:rFonts w:ascii="Arial"/>
                <w:sz w:val="20"/>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2"/>
              <w:jc w:val="right"/>
              <w:rPr>
                <w:rFonts w:ascii="Arial" w:hAnsi="Arial" w:cs="Arial" w:eastAsia="Arial" w:hint="default"/>
                <w:sz w:val="20"/>
                <w:szCs w:val="20"/>
              </w:rPr>
            </w:pPr>
            <w:r>
              <w:rPr>
                <w:rFonts w:ascii="Arial"/>
                <w:spacing w:val="-1"/>
                <w:sz w:val="20"/>
              </w:rPr>
              <w:t>28,777</w:t>
            </w:r>
            <w:r>
              <w:rPr>
                <w:rFonts w:ascii="Arial"/>
                <w:sz w:val="20"/>
              </w:rPr>
            </w:r>
          </w:p>
        </w:tc>
      </w:tr>
      <w:tr>
        <w:trPr>
          <w:trHeight w:val="300" w:hRule="exact"/>
        </w:trPr>
        <w:tc>
          <w:tcPr>
            <w:tcW w:w="2461" w:type="dxa"/>
            <w:tcBorders>
              <w:top w:val="nil" w:sz="6" w:space="0" w:color="auto"/>
              <w:left w:val="nil" w:sz="6" w:space="0" w:color="auto"/>
              <w:bottom w:val="nil" w:sz="6" w:space="0" w:color="auto"/>
              <w:right w:val="nil" w:sz="6" w:space="0" w:color="auto"/>
            </w:tcBorders>
          </w:tcPr>
          <w:p>
            <w:pPr>
              <w:pStyle w:val="TableParagraph"/>
              <w:spacing w:line="236" w:lineRule="exact"/>
              <w:ind w:left="816" w:right="0"/>
              <w:jc w:val="left"/>
              <w:rPr>
                <w:rFonts w:ascii="黑体" w:hAnsi="黑体" w:cs="黑体" w:eastAsia="黑体" w:hint="default"/>
                <w:sz w:val="20"/>
                <w:szCs w:val="20"/>
              </w:rPr>
            </w:pPr>
            <w:r>
              <w:rPr>
                <w:rFonts w:ascii="黑体" w:hAnsi="黑体" w:cs="黑体" w:eastAsia="黑体" w:hint="default"/>
                <w:sz w:val="20"/>
                <w:szCs w:val="20"/>
              </w:rPr>
              <w:t>工伤保险费</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49"/>
              <w:jc w:val="right"/>
              <w:rPr>
                <w:rFonts w:ascii="Arial" w:hAnsi="Arial" w:cs="Arial" w:eastAsia="Arial" w:hint="default"/>
                <w:sz w:val="20"/>
                <w:szCs w:val="20"/>
              </w:rPr>
            </w:pPr>
            <w:r>
              <w:rPr>
                <w:rFonts w:ascii="Arial"/>
                <w:spacing w:val="-1"/>
                <w:sz w:val="20"/>
              </w:rPr>
              <w:t>9,066</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33"/>
              <w:jc w:val="right"/>
              <w:rPr>
                <w:rFonts w:ascii="Arial" w:hAnsi="Arial" w:cs="Arial" w:eastAsia="Arial" w:hint="default"/>
                <w:sz w:val="20"/>
                <w:szCs w:val="20"/>
              </w:rPr>
            </w:pPr>
            <w:r>
              <w:rPr>
                <w:rFonts w:ascii="Arial"/>
                <w:spacing w:val="-1"/>
                <w:sz w:val="20"/>
              </w:rPr>
              <w:t>1,694,548</w:t>
            </w:r>
          </w:p>
        </w:tc>
        <w:tc>
          <w:tcPr>
            <w:tcW w:w="1484" w:type="dxa"/>
            <w:tcBorders>
              <w:top w:val="nil" w:sz="6" w:space="0" w:color="auto"/>
              <w:left w:val="nil" w:sz="6" w:space="0" w:color="auto"/>
              <w:bottom w:val="nil" w:sz="6" w:space="0" w:color="auto"/>
              <w:right w:val="nil" w:sz="6" w:space="0" w:color="auto"/>
            </w:tcBorders>
          </w:tcPr>
          <w:p>
            <w:pPr>
              <w:pStyle w:val="TableParagraph"/>
              <w:tabs>
                <w:tab w:pos="448" w:val="left" w:leader="none"/>
              </w:tabs>
              <w:spacing w:line="240" w:lineRule="auto" w:before="37"/>
              <w:ind w:right="22"/>
              <w:jc w:val="right"/>
              <w:rPr>
                <w:rFonts w:ascii="Arial" w:hAnsi="Arial" w:cs="Arial" w:eastAsia="Arial" w:hint="default"/>
                <w:sz w:val="20"/>
                <w:szCs w:val="20"/>
              </w:rPr>
            </w:pPr>
            <w:r>
              <w:rPr>
                <w:rFonts w:ascii="Arial"/>
                <w:w w:val="95"/>
                <w:sz w:val="20"/>
              </w:rPr>
              <w:t>(</w:t>
              <w:tab/>
            </w:r>
            <w:r>
              <w:rPr>
                <w:rFonts w:ascii="Arial"/>
                <w:spacing w:val="-1"/>
                <w:w w:val="95"/>
                <w:sz w:val="20"/>
              </w:rPr>
              <w:t>1,676,981</w:t>
            </w:r>
            <w:r>
              <w:rPr>
                <w:rFonts w:ascii="Arial"/>
                <w:sz w:val="20"/>
              </w:rPr>
            </w:r>
          </w:p>
        </w:tc>
        <w:tc>
          <w:tcPr>
            <w:tcW w:w="21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 w:right="0"/>
              <w:jc w:val="left"/>
              <w:rPr>
                <w:rFonts w:ascii="Arial" w:hAnsi="Arial" w:cs="Arial" w:eastAsia="Arial" w:hint="default"/>
                <w:sz w:val="20"/>
                <w:szCs w:val="20"/>
              </w:rPr>
            </w:pPr>
            <w:r>
              <w:rPr>
                <w:rFonts w:ascii="Arial"/>
                <w:w w:val="99"/>
                <w:sz w:val="20"/>
              </w:rPr>
              <w:t>)</w:t>
            </w:r>
            <w:r>
              <w:rPr>
                <w:rFonts w:ascii="Arial"/>
                <w:sz w:val="20"/>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2"/>
              <w:jc w:val="right"/>
              <w:rPr>
                <w:rFonts w:ascii="Arial" w:hAnsi="Arial" w:cs="Arial" w:eastAsia="Arial" w:hint="default"/>
                <w:sz w:val="20"/>
                <w:szCs w:val="20"/>
              </w:rPr>
            </w:pPr>
            <w:r>
              <w:rPr>
                <w:rFonts w:ascii="Arial"/>
                <w:spacing w:val="-1"/>
                <w:sz w:val="20"/>
              </w:rPr>
              <w:t>26,633</w:t>
            </w:r>
            <w:r>
              <w:rPr>
                <w:rFonts w:ascii="Arial"/>
                <w:sz w:val="20"/>
              </w:rPr>
            </w:r>
          </w:p>
        </w:tc>
      </w:tr>
      <w:tr>
        <w:trPr>
          <w:trHeight w:val="300" w:hRule="exact"/>
        </w:trPr>
        <w:tc>
          <w:tcPr>
            <w:tcW w:w="2461" w:type="dxa"/>
            <w:tcBorders>
              <w:top w:val="nil" w:sz="6" w:space="0" w:color="auto"/>
              <w:left w:val="nil" w:sz="6" w:space="0" w:color="auto"/>
              <w:bottom w:val="nil" w:sz="6" w:space="0" w:color="auto"/>
              <w:right w:val="nil" w:sz="6" w:space="0" w:color="auto"/>
            </w:tcBorders>
          </w:tcPr>
          <w:p>
            <w:pPr>
              <w:pStyle w:val="TableParagraph"/>
              <w:spacing w:line="236" w:lineRule="exact"/>
              <w:ind w:left="787" w:right="0"/>
              <w:jc w:val="left"/>
              <w:rPr>
                <w:rFonts w:ascii="黑体" w:hAnsi="黑体" w:cs="黑体" w:eastAsia="黑体" w:hint="default"/>
                <w:sz w:val="20"/>
                <w:szCs w:val="20"/>
              </w:rPr>
            </w:pPr>
            <w:r>
              <w:rPr>
                <w:rFonts w:ascii="黑体" w:hAnsi="黑体" w:cs="黑体" w:eastAsia="黑体" w:hint="default"/>
                <w:sz w:val="20"/>
                <w:szCs w:val="20"/>
              </w:rPr>
              <w:t>生育保险费</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49"/>
              <w:jc w:val="right"/>
              <w:rPr>
                <w:rFonts w:ascii="Arial" w:hAnsi="Arial" w:cs="Arial" w:eastAsia="Arial" w:hint="default"/>
                <w:sz w:val="20"/>
                <w:szCs w:val="20"/>
              </w:rPr>
            </w:pPr>
            <w:r>
              <w:rPr>
                <w:rFonts w:ascii="Arial"/>
                <w:spacing w:val="-1"/>
                <w:sz w:val="20"/>
              </w:rPr>
              <w:t>21,738</w:t>
            </w:r>
            <w:r>
              <w:rPr>
                <w:rFonts w:ascii="Arial"/>
                <w:sz w:val="20"/>
              </w:rPr>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33"/>
              <w:jc w:val="right"/>
              <w:rPr>
                <w:rFonts w:ascii="Arial" w:hAnsi="Arial" w:cs="Arial" w:eastAsia="Arial" w:hint="default"/>
                <w:sz w:val="20"/>
                <w:szCs w:val="20"/>
              </w:rPr>
            </w:pPr>
            <w:r>
              <w:rPr>
                <w:rFonts w:ascii="Arial"/>
                <w:spacing w:val="-1"/>
                <w:sz w:val="20"/>
              </w:rPr>
              <w:t>3,627,789</w:t>
            </w:r>
          </w:p>
        </w:tc>
        <w:tc>
          <w:tcPr>
            <w:tcW w:w="1484" w:type="dxa"/>
            <w:tcBorders>
              <w:top w:val="nil" w:sz="6" w:space="0" w:color="auto"/>
              <w:left w:val="nil" w:sz="6" w:space="0" w:color="auto"/>
              <w:bottom w:val="nil" w:sz="6" w:space="0" w:color="auto"/>
              <w:right w:val="nil" w:sz="6" w:space="0" w:color="auto"/>
            </w:tcBorders>
          </w:tcPr>
          <w:p>
            <w:pPr>
              <w:pStyle w:val="TableParagraph"/>
              <w:tabs>
                <w:tab w:pos="448" w:val="left" w:leader="none"/>
              </w:tabs>
              <w:spacing w:line="240" w:lineRule="auto" w:before="37"/>
              <w:ind w:right="22"/>
              <w:jc w:val="right"/>
              <w:rPr>
                <w:rFonts w:ascii="Arial" w:hAnsi="Arial" w:cs="Arial" w:eastAsia="Arial" w:hint="default"/>
                <w:sz w:val="20"/>
                <w:szCs w:val="20"/>
              </w:rPr>
            </w:pPr>
            <w:r>
              <w:rPr>
                <w:rFonts w:ascii="Arial"/>
                <w:w w:val="95"/>
                <w:sz w:val="20"/>
              </w:rPr>
              <w:t>(</w:t>
              <w:tab/>
            </w:r>
            <w:r>
              <w:rPr>
                <w:rFonts w:ascii="Arial"/>
                <w:spacing w:val="-1"/>
                <w:w w:val="95"/>
                <w:sz w:val="20"/>
              </w:rPr>
              <w:t>3,578,945</w:t>
            </w:r>
            <w:r>
              <w:rPr>
                <w:rFonts w:ascii="Arial"/>
                <w:sz w:val="20"/>
              </w:rPr>
            </w:r>
          </w:p>
        </w:tc>
        <w:tc>
          <w:tcPr>
            <w:tcW w:w="21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 w:right="0"/>
              <w:jc w:val="left"/>
              <w:rPr>
                <w:rFonts w:ascii="Arial" w:hAnsi="Arial" w:cs="Arial" w:eastAsia="Arial" w:hint="default"/>
                <w:sz w:val="20"/>
                <w:szCs w:val="20"/>
              </w:rPr>
            </w:pPr>
            <w:r>
              <w:rPr>
                <w:rFonts w:ascii="Arial"/>
                <w:w w:val="99"/>
                <w:sz w:val="20"/>
              </w:rPr>
              <w:t>)</w:t>
            </w:r>
            <w:r>
              <w:rPr>
                <w:rFonts w:ascii="Arial"/>
                <w:sz w:val="20"/>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1"/>
              <w:jc w:val="right"/>
              <w:rPr>
                <w:rFonts w:ascii="Arial" w:hAnsi="Arial" w:cs="Arial" w:eastAsia="Arial" w:hint="default"/>
                <w:sz w:val="20"/>
                <w:szCs w:val="20"/>
              </w:rPr>
            </w:pPr>
            <w:r>
              <w:rPr>
                <w:rFonts w:ascii="Arial"/>
                <w:spacing w:val="-1"/>
                <w:sz w:val="20"/>
              </w:rPr>
              <w:t>70,582</w:t>
            </w:r>
          </w:p>
        </w:tc>
      </w:tr>
      <w:tr>
        <w:trPr>
          <w:trHeight w:val="300" w:hRule="exact"/>
        </w:trPr>
        <w:tc>
          <w:tcPr>
            <w:tcW w:w="2461" w:type="dxa"/>
            <w:tcBorders>
              <w:top w:val="nil" w:sz="6" w:space="0" w:color="auto"/>
              <w:left w:val="nil" w:sz="6" w:space="0" w:color="auto"/>
              <w:bottom w:val="nil" w:sz="6" w:space="0" w:color="auto"/>
              <w:right w:val="nil" w:sz="6" w:space="0" w:color="auto"/>
            </w:tcBorders>
          </w:tcPr>
          <w:p>
            <w:pPr>
              <w:pStyle w:val="TableParagraph"/>
              <w:spacing w:line="236" w:lineRule="exact"/>
              <w:ind w:left="200" w:right="0"/>
              <w:jc w:val="left"/>
              <w:rPr>
                <w:rFonts w:ascii="黑体" w:hAnsi="黑体" w:cs="黑体" w:eastAsia="黑体" w:hint="default"/>
                <w:sz w:val="20"/>
                <w:szCs w:val="20"/>
              </w:rPr>
            </w:pPr>
            <w:r>
              <w:rPr>
                <w:rFonts w:ascii="黑体" w:hAnsi="黑体" w:cs="黑体" w:eastAsia="黑体" w:hint="default"/>
                <w:sz w:val="20"/>
                <w:szCs w:val="20"/>
              </w:rPr>
              <w:t>住房公积金</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49"/>
              <w:jc w:val="right"/>
              <w:rPr>
                <w:rFonts w:ascii="Arial" w:hAnsi="Arial" w:cs="Arial" w:eastAsia="Arial" w:hint="default"/>
                <w:sz w:val="20"/>
                <w:szCs w:val="20"/>
              </w:rPr>
            </w:pPr>
            <w:r>
              <w:rPr>
                <w:rFonts w:ascii="Arial"/>
                <w:spacing w:val="-1"/>
                <w:sz w:val="20"/>
              </w:rPr>
              <w:t>1,862,693</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34"/>
              <w:jc w:val="right"/>
              <w:rPr>
                <w:rFonts w:ascii="Arial" w:hAnsi="Arial" w:cs="Arial" w:eastAsia="Arial" w:hint="default"/>
                <w:sz w:val="20"/>
                <w:szCs w:val="20"/>
              </w:rPr>
            </w:pPr>
            <w:r>
              <w:rPr>
                <w:rFonts w:ascii="Arial"/>
                <w:spacing w:val="-1"/>
                <w:sz w:val="20"/>
              </w:rPr>
              <w:t>111,096,691</w:t>
            </w:r>
            <w:r>
              <w:rPr>
                <w:rFonts w:ascii="Arial"/>
                <w:sz w:val="20"/>
              </w:rPr>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2"/>
              <w:jc w:val="right"/>
              <w:rPr>
                <w:rFonts w:ascii="Arial" w:hAnsi="Arial" w:cs="Arial" w:eastAsia="Arial" w:hint="default"/>
                <w:sz w:val="20"/>
                <w:szCs w:val="20"/>
              </w:rPr>
            </w:pPr>
            <w:r>
              <w:rPr>
                <w:rFonts w:ascii="Arial"/>
                <w:sz w:val="20"/>
              </w:rPr>
              <w:t>( </w:t>
            </w:r>
            <w:r>
              <w:rPr>
                <w:rFonts w:ascii="Arial"/>
                <w:spacing w:val="39"/>
                <w:sz w:val="20"/>
              </w:rPr>
              <w:t> </w:t>
            </w:r>
            <w:r>
              <w:rPr>
                <w:rFonts w:ascii="Arial"/>
                <w:sz w:val="20"/>
              </w:rPr>
              <w:t>110,887,064</w:t>
            </w:r>
          </w:p>
        </w:tc>
        <w:tc>
          <w:tcPr>
            <w:tcW w:w="21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 w:right="0"/>
              <w:jc w:val="left"/>
              <w:rPr>
                <w:rFonts w:ascii="Arial" w:hAnsi="Arial" w:cs="Arial" w:eastAsia="Arial" w:hint="default"/>
                <w:sz w:val="20"/>
                <w:szCs w:val="20"/>
              </w:rPr>
            </w:pPr>
            <w:r>
              <w:rPr>
                <w:rFonts w:ascii="Arial"/>
                <w:w w:val="99"/>
                <w:sz w:val="20"/>
              </w:rPr>
              <w:t>)</w:t>
            </w:r>
            <w:r>
              <w:rPr>
                <w:rFonts w:ascii="Arial"/>
                <w:sz w:val="20"/>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1"/>
              <w:jc w:val="right"/>
              <w:rPr>
                <w:rFonts w:ascii="Arial" w:hAnsi="Arial" w:cs="Arial" w:eastAsia="Arial" w:hint="default"/>
                <w:sz w:val="20"/>
                <w:szCs w:val="20"/>
              </w:rPr>
            </w:pPr>
            <w:r>
              <w:rPr>
                <w:rFonts w:ascii="Arial"/>
                <w:spacing w:val="-1"/>
                <w:sz w:val="20"/>
              </w:rPr>
              <w:t>2,072,320</w:t>
            </w:r>
          </w:p>
        </w:tc>
      </w:tr>
      <w:tr>
        <w:trPr>
          <w:trHeight w:val="300" w:hRule="exact"/>
        </w:trPr>
        <w:tc>
          <w:tcPr>
            <w:tcW w:w="2461" w:type="dxa"/>
            <w:tcBorders>
              <w:top w:val="nil" w:sz="6" w:space="0" w:color="auto"/>
              <w:left w:val="nil" w:sz="6" w:space="0" w:color="auto"/>
              <w:bottom w:val="nil" w:sz="6" w:space="0" w:color="auto"/>
              <w:right w:val="nil" w:sz="6" w:space="0" w:color="auto"/>
            </w:tcBorders>
          </w:tcPr>
          <w:p>
            <w:pPr>
              <w:pStyle w:val="TableParagraph"/>
              <w:spacing w:line="236" w:lineRule="exact"/>
              <w:ind w:left="216" w:right="0"/>
              <w:jc w:val="left"/>
              <w:rPr>
                <w:rFonts w:ascii="黑体" w:hAnsi="黑体" w:cs="黑体" w:eastAsia="黑体" w:hint="default"/>
                <w:sz w:val="20"/>
                <w:szCs w:val="20"/>
              </w:rPr>
            </w:pPr>
            <w:r>
              <w:rPr>
                <w:rFonts w:ascii="黑体" w:hAnsi="黑体" w:cs="黑体" w:eastAsia="黑体" w:hint="default"/>
                <w:sz w:val="20"/>
                <w:szCs w:val="20"/>
              </w:rPr>
              <w:t>工会经费和职工教育经费</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49"/>
              <w:jc w:val="right"/>
              <w:rPr>
                <w:rFonts w:ascii="Arial" w:hAnsi="Arial" w:cs="Arial" w:eastAsia="Arial" w:hint="default"/>
                <w:sz w:val="20"/>
                <w:szCs w:val="20"/>
              </w:rPr>
            </w:pPr>
            <w:r>
              <w:rPr>
                <w:rFonts w:ascii="Arial"/>
                <w:spacing w:val="-1"/>
                <w:sz w:val="20"/>
              </w:rPr>
              <w:t>3,403,434</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33"/>
              <w:jc w:val="right"/>
              <w:rPr>
                <w:rFonts w:ascii="Arial" w:hAnsi="Arial" w:cs="Arial" w:eastAsia="Arial" w:hint="default"/>
                <w:sz w:val="20"/>
                <w:szCs w:val="20"/>
              </w:rPr>
            </w:pPr>
            <w:r>
              <w:rPr>
                <w:rFonts w:ascii="Arial"/>
                <w:spacing w:val="-1"/>
                <w:w w:val="95"/>
                <w:sz w:val="20"/>
              </w:rPr>
              <w:t>849,341</w:t>
            </w:r>
            <w:r>
              <w:rPr>
                <w:rFonts w:ascii="Arial"/>
                <w:sz w:val="20"/>
              </w:rPr>
            </w:r>
          </w:p>
        </w:tc>
        <w:tc>
          <w:tcPr>
            <w:tcW w:w="1484" w:type="dxa"/>
            <w:tcBorders>
              <w:top w:val="nil" w:sz="6" w:space="0" w:color="auto"/>
              <w:left w:val="nil" w:sz="6" w:space="0" w:color="auto"/>
              <w:bottom w:val="nil" w:sz="6" w:space="0" w:color="auto"/>
              <w:right w:val="nil" w:sz="6" w:space="0" w:color="auto"/>
            </w:tcBorders>
          </w:tcPr>
          <w:p>
            <w:pPr>
              <w:pStyle w:val="TableParagraph"/>
              <w:tabs>
                <w:tab w:pos="448" w:val="left" w:leader="none"/>
              </w:tabs>
              <w:spacing w:line="240" w:lineRule="auto" w:before="37"/>
              <w:ind w:right="22"/>
              <w:jc w:val="right"/>
              <w:rPr>
                <w:rFonts w:ascii="Arial" w:hAnsi="Arial" w:cs="Arial" w:eastAsia="Arial" w:hint="default"/>
                <w:sz w:val="20"/>
                <w:szCs w:val="20"/>
              </w:rPr>
            </w:pPr>
            <w:r>
              <w:rPr>
                <w:rFonts w:ascii="Arial"/>
                <w:w w:val="95"/>
                <w:sz w:val="20"/>
              </w:rPr>
              <w:t>(</w:t>
              <w:tab/>
            </w:r>
            <w:r>
              <w:rPr>
                <w:rFonts w:ascii="Arial"/>
                <w:spacing w:val="-1"/>
                <w:w w:val="95"/>
                <w:sz w:val="20"/>
              </w:rPr>
              <w:t>1,322,352</w:t>
            </w:r>
            <w:r>
              <w:rPr>
                <w:rFonts w:ascii="Arial"/>
                <w:sz w:val="20"/>
              </w:rPr>
            </w:r>
          </w:p>
        </w:tc>
        <w:tc>
          <w:tcPr>
            <w:tcW w:w="21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 w:right="0"/>
              <w:jc w:val="left"/>
              <w:rPr>
                <w:rFonts w:ascii="Arial" w:hAnsi="Arial" w:cs="Arial" w:eastAsia="Arial" w:hint="default"/>
                <w:sz w:val="20"/>
                <w:szCs w:val="20"/>
              </w:rPr>
            </w:pPr>
            <w:r>
              <w:rPr>
                <w:rFonts w:ascii="Arial"/>
                <w:w w:val="99"/>
                <w:sz w:val="20"/>
              </w:rPr>
              <w:t>)</w:t>
            </w:r>
            <w:r>
              <w:rPr>
                <w:rFonts w:ascii="Arial"/>
                <w:sz w:val="20"/>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1"/>
              <w:jc w:val="right"/>
              <w:rPr>
                <w:rFonts w:ascii="Arial" w:hAnsi="Arial" w:cs="Arial" w:eastAsia="Arial" w:hint="default"/>
                <w:sz w:val="20"/>
                <w:szCs w:val="20"/>
              </w:rPr>
            </w:pPr>
            <w:r>
              <w:rPr>
                <w:rFonts w:ascii="Arial"/>
                <w:spacing w:val="-1"/>
                <w:sz w:val="20"/>
              </w:rPr>
              <w:t>2,930,423</w:t>
            </w:r>
          </w:p>
        </w:tc>
      </w:tr>
      <w:tr>
        <w:trPr>
          <w:trHeight w:val="463" w:hRule="exact"/>
        </w:trPr>
        <w:tc>
          <w:tcPr>
            <w:tcW w:w="2461" w:type="dxa"/>
            <w:tcBorders>
              <w:top w:val="nil" w:sz="6" w:space="0" w:color="auto"/>
              <w:left w:val="nil" w:sz="6" w:space="0" w:color="auto"/>
              <w:bottom w:val="nil" w:sz="6" w:space="0" w:color="auto"/>
              <w:right w:val="nil" w:sz="6" w:space="0" w:color="auto"/>
            </w:tcBorders>
          </w:tcPr>
          <w:p>
            <w:pPr>
              <w:pStyle w:val="TableParagraph"/>
              <w:spacing w:line="236" w:lineRule="exact"/>
              <w:ind w:left="216"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298" w:type="dxa"/>
            <w:tcBorders>
              <w:top w:val="nil" w:sz="6" w:space="0" w:color="auto"/>
              <w:left w:val="nil" w:sz="6" w:space="0" w:color="auto"/>
              <w:bottom w:val="nil" w:sz="6" w:space="0" w:color="auto"/>
              <w:right w:val="nil" w:sz="6" w:space="0" w:color="auto"/>
            </w:tcBorders>
          </w:tcPr>
          <w:p>
            <w:pPr>
              <w:pStyle w:val="TableParagraph"/>
              <w:tabs>
                <w:tab w:pos="403" w:val="left" w:leader="none"/>
              </w:tabs>
              <w:spacing w:line="240" w:lineRule="auto" w:before="37"/>
              <w:ind w:right="149"/>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117,439</w:t>
            </w:r>
            <w:r>
              <w:rPr>
                <w:rFonts w:ascii="Arial"/>
                <w:spacing w:val="-1"/>
                <w:w w:val="95"/>
                <w:sz w:val="20"/>
              </w:rPr>
            </w:r>
            <w:r>
              <w:rPr>
                <w:rFonts w:ascii="Arial"/>
                <w:sz w:val="20"/>
              </w:rPr>
            </w:r>
          </w:p>
        </w:tc>
        <w:tc>
          <w:tcPr>
            <w:tcW w:w="1540" w:type="dxa"/>
            <w:tcBorders>
              <w:top w:val="nil" w:sz="6" w:space="0" w:color="auto"/>
              <w:left w:val="nil" w:sz="6" w:space="0" w:color="auto"/>
              <w:bottom w:val="nil" w:sz="6" w:space="0" w:color="auto"/>
              <w:right w:val="nil" w:sz="6" w:space="0" w:color="auto"/>
            </w:tcBorders>
          </w:tcPr>
          <w:p>
            <w:pPr>
              <w:pStyle w:val="TableParagraph"/>
              <w:tabs>
                <w:tab w:pos="662" w:val="left" w:leader="none"/>
              </w:tabs>
              <w:spacing w:line="240" w:lineRule="auto" w:before="37"/>
              <w:ind w:right="133"/>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60,079</w:t>
            </w:r>
            <w:r>
              <w:rPr>
                <w:rFonts w:ascii="Arial"/>
                <w:spacing w:val="-1"/>
                <w:w w:val="95"/>
                <w:sz w:val="20"/>
              </w:rPr>
            </w:r>
            <w:r>
              <w:rPr>
                <w:rFonts w:ascii="Arial"/>
                <w:sz w:val="20"/>
              </w:rPr>
            </w:r>
          </w:p>
        </w:tc>
        <w:tc>
          <w:tcPr>
            <w:tcW w:w="1484" w:type="dxa"/>
            <w:tcBorders>
              <w:top w:val="nil" w:sz="6" w:space="0" w:color="auto"/>
              <w:left w:val="nil" w:sz="6" w:space="0" w:color="auto"/>
              <w:bottom w:val="nil" w:sz="6" w:space="0" w:color="auto"/>
              <w:right w:val="nil" w:sz="6" w:space="0" w:color="auto"/>
            </w:tcBorders>
          </w:tcPr>
          <w:p>
            <w:pPr>
              <w:pStyle w:val="TableParagraph"/>
              <w:tabs>
                <w:tab w:pos="597" w:val="left" w:leader="none"/>
              </w:tabs>
              <w:spacing w:line="240" w:lineRule="auto" w:before="37"/>
              <w:ind w:right="22"/>
              <w:jc w:val="right"/>
              <w:rPr>
                <w:rFonts w:ascii="Arial" w:hAnsi="Arial" w:cs="Arial" w:eastAsia="Arial" w:hint="default"/>
                <w:sz w:val="20"/>
                <w:szCs w:val="20"/>
              </w:rPr>
            </w:pPr>
            <w:r>
              <w:rPr>
                <w:rFonts w:ascii="Arial"/>
                <w:w w:val="95"/>
                <w:sz w:val="20"/>
              </w:rPr>
              <w:t>(</w:t>
            </w:r>
            <w:r>
              <w:rPr>
                <w:rFonts w:ascii="Arial"/>
                <w:w w:val="95"/>
                <w:sz w:val="20"/>
                <w:u w:val="single" w:color="000000"/>
              </w:rPr>
              <w:t> </w:t>
              <w:tab/>
            </w:r>
            <w:r>
              <w:rPr>
                <w:rFonts w:ascii="Arial"/>
                <w:spacing w:val="-1"/>
                <w:w w:val="95"/>
                <w:sz w:val="20"/>
                <w:u w:val="single" w:color="000000"/>
              </w:rPr>
              <w:t>105,048</w:t>
            </w:r>
            <w:r>
              <w:rPr>
                <w:rFonts w:ascii="Arial"/>
                <w:spacing w:val="-1"/>
                <w:w w:val="95"/>
                <w:sz w:val="20"/>
              </w:rPr>
            </w:r>
            <w:r>
              <w:rPr>
                <w:rFonts w:ascii="Arial"/>
                <w:sz w:val="20"/>
              </w:rPr>
            </w:r>
          </w:p>
        </w:tc>
        <w:tc>
          <w:tcPr>
            <w:tcW w:w="21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 w:right="0"/>
              <w:jc w:val="left"/>
              <w:rPr>
                <w:rFonts w:ascii="Arial" w:hAnsi="Arial" w:cs="Arial" w:eastAsia="Arial" w:hint="default"/>
                <w:sz w:val="20"/>
                <w:szCs w:val="20"/>
              </w:rPr>
            </w:pPr>
            <w:r>
              <w:rPr>
                <w:rFonts w:ascii="Arial"/>
                <w:w w:val="99"/>
                <w:sz w:val="20"/>
              </w:rPr>
              <w:t>)</w:t>
            </w:r>
            <w:r>
              <w:rPr>
                <w:rFonts w:ascii="Arial"/>
                <w:sz w:val="20"/>
              </w:rPr>
            </w:r>
          </w:p>
        </w:tc>
        <w:tc>
          <w:tcPr>
            <w:tcW w:w="1276" w:type="dxa"/>
            <w:tcBorders>
              <w:top w:val="nil" w:sz="6" w:space="0" w:color="auto"/>
              <w:left w:val="nil" w:sz="6" w:space="0" w:color="auto"/>
              <w:bottom w:val="nil" w:sz="6" w:space="0" w:color="auto"/>
              <w:right w:val="nil" w:sz="6" w:space="0" w:color="auto"/>
            </w:tcBorders>
          </w:tcPr>
          <w:p>
            <w:pPr>
              <w:pStyle w:val="TableParagraph"/>
              <w:tabs>
                <w:tab w:pos="501" w:val="left" w:leader="none"/>
              </w:tabs>
              <w:spacing w:line="240" w:lineRule="auto" w:before="37"/>
              <w:ind w:right="22"/>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72,470</w:t>
            </w:r>
            <w:r>
              <w:rPr>
                <w:rFonts w:ascii="Arial"/>
                <w:spacing w:val="-1"/>
                <w:w w:val="95"/>
                <w:sz w:val="20"/>
              </w:rPr>
            </w:r>
            <w:r>
              <w:rPr>
                <w:rFonts w:ascii="Arial"/>
                <w:sz w:val="20"/>
              </w:rPr>
            </w:r>
          </w:p>
        </w:tc>
      </w:tr>
      <w:tr>
        <w:trPr>
          <w:trHeight w:val="400" w:hRule="exact"/>
        </w:trPr>
        <w:tc>
          <w:tcPr>
            <w:tcW w:w="2461"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149"/>
              <w:jc w:val="right"/>
              <w:rPr>
                <w:rFonts w:ascii="Arial" w:hAnsi="Arial" w:cs="Arial" w:eastAsia="Arial" w:hint="default"/>
                <w:sz w:val="20"/>
                <w:szCs w:val="20"/>
              </w:rPr>
            </w:pPr>
            <w:r>
              <w:rPr>
                <w:rFonts w:ascii="Arial"/>
                <w:w w:val="99"/>
                <w:sz w:val="20"/>
              </w:rPr>
            </w:r>
            <w:r>
              <w:rPr>
                <w:rFonts w:ascii="Arial"/>
                <w:spacing w:val="-1"/>
                <w:sz w:val="20"/>
                <w:u w:val="thick" w:color="000000"/>
              </w:rPr>
              <w:t>358,445,351</w:t>
            </w:r>
            <w:r>
              <w:rPr>
                <w:rFonts w:ascii="Arial"/>
                <w:spacing w:val="-1"/>
                <w:sz w:val="20"/>
              </w:rPr>
            </w:r>
            <w:r>
              <w:rPr>
                <w:rFonts w:ascii="Arial"/>
                <w:sz w:val="20"/>
              </w:rPr>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134"/>
              <w:jc w:val="right"/>
              <w:rPr>
                <w:rFonts w:ascii="Arial" w:hAnsi="Arial" w:cs="Arial" w:eastAsia="Arial" w:hint="default"/>
                <w:sz w:val="20"/>
                <w:szCs w:val="20"/>
              </w:rPr>
            </w:pPr>
            <w:r>
              <w:rPr>
                <w:rFonts w:ascii="Arial"/>
                <w:w w:val="99"/>
                <w:sz w:val="20"/>
              </w:rPr>
            </w:r>
            <w:r>
              <w:rPr>
                <w:rFonts w:ascii="Arial"/>
                <w:spacing w:val="-1"/>
                <w:sz w:val="20"/>
                <w:u w:val="thick" w:color="000000"/>
              </w:rPr>
              <w:t>1,294,442,026</w:t>
            </w:r>
            <w:r>
              <w:rPr>
                <w:rFonts w:ascii="Arial"/>
                <w:spacing w:val="-1"/>
                <w:sz w:val="20"/>
              </w:rPr>
            </w:r>
            <w:r>
              <w:rPr>
                <w:rFonts w:ascii="Arial"/>
                <w:sz w:val="20"/>
              </w:rPr>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22"/>
              <w:jc w:val="right"/>
              <w:rPr>
                <w:rFonts w:ascii="Arial" w:hAnsi="Arial" w:cs="Arial" w:eastAsia="Arial" w:hint="default"/>
                <w:sz w:val="20"/>
                <w:szCs w:val="20"/>
              </w:rPr>
            </w:pPr>
            <w:r>
              <w:rPr>
                <w:rFonts w:ascii="Arial"/>
                <w:spacing w:val="-1"/>
                <w:sz w:val="20"/>
              </w:rPr>
              <w:t>(</w:t>
            </w:r>
            <w:r>
              <w:rPr>
                <w:rFonts w:ascii="Arial"/>
                <w:spacing w:val="-1"/>
                <w:sz w:val="20"/>
                <w:u w:val="thick" w:color="000000"/>
              </w:rPr>
              <w:t>1,387,260,264</w:t>
            </w:r>
            <w:r>
              <w:rPr>
                <w:rFonts w:ascii="Arial"/>
                <w:spacing w:val="-1"/>
                <w:sz w:val="20"/>
              </w:rPr>
            </w:r>
          </w:p>
        </w:tc>
        <w:tc>
          <w:tcPr>
            <w:tcW w:w="210"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1" w:right="0"/>
              <w:jc w:val="left"/>
              <w:rPr>
                <w:rFonts w:ascii="Arial" w:hAnsi="Arial" w:cs="Arial" w:eastAsia="Arial" w:hint="default"/>
                <w:sz w:val="20"/>
                <w:szCs w:val="20"/>
              </w:rPr>
            </w:pPr>
            <w:r>
              <w:rPr>
                <w:rFonts w:ascii="Arial"/>
                <w:w w:val="99"/>
                <w:sz w:val="20"/>
              </w:rPr>
              <w:t>)</w:t>
            </w:r>
            <w:r>
              <w:rPr>
                <w:rFonts w:ascii="Arial"/>
                <w:sz w:val="20"/>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22"/>
              <w:jc w:val="right"/>
              <w:rPr>
                <w:rFonts w:ascii="Arial" w:hAnsi="Arial" w:cs="Arial" w:eastAsia="Arial" w:hint="default"/>
                <w:sz w:val="20"/>
                <w:szCs w:val="20"/>
              </w:rPr>
            </w:pPr>
            <w:r>
              <w:rPr>
                <w:rFonts w:ascii="Arial"/>
                <w:w w:val="99"/>
                <w:sz w:val="20"/>
              </w:rPr>
            </w:r>
            <w:r>
              <w:rPr>
                <w:rFonts w:ascii="Arial"/>
                <w:spacing w:val="-1"/>
                <w:sz w:val="20"/>
                <w:u w:val="thick" w:color="000000"/>
              </w:rPr>
              <w:t>265,627,113</w:t>
            </w:r>
            <w:r>
              <w:rPr>
                <w:rFonts w:ascii="Arial"/>
                <w:spacing w:val="-1"/>
                <w:sz w:val="20"/>
              </w:rPr>
            </w:r>
            <w:r>
              <w:rPr>
                <w:rFonts w:ascii="Arial"/>
                <w:sz w:val="20"/>
              </w:rPr>
            </w:r>
          </w:p>
        </w:tc>
      </w:tr>
    </w:tbl>
    <w:p>
      <w:pPr>
        <w:spacing w:line="240" w:lineRule="auto" w:before="4"/>
        <w:rPr>
          <w:rFonts w:ascii="黑体" w:hAnsi="黑体" w:cs="黑体" w:eastAsia="黑体" w:hint="default"/>
          <w:b/>
          <w:bCs/>
          <w:sz w:val="23"/>
          <w:szCs w:val="23"/>
        </w:rPr>
      </w:pPr>
    </w:p>
    <w:tbl>
      <w:tblPr>
        <w:tblW w:w="0" w:type="auto"/>
        <w:jc w:val="left"/>
        <w:tblInd w:w="549" w:type="dxa"/>
        <w:tblLayout w:type="fixed"/>
        <w:tblCellMar>
          <w:top w:w="0" w:type="dxa"/>
          <w:left w:w="0" w:type="dxa"/>
          <w:bottom w:w="0" w:type="dxa"/>
          <w:right w:w="0" w:type="dxa"/>
        </w:tblCellMar>
        <w:tblLook w:val="01E0"/>
      </w:tblPr>
      <w:tblGrid>
        <w:gridCol w:w="2461"/>
        <w:gridCol w:w="1300"/>
        <w:gridCol w:w="1541"/>
        <w:gridCol w:w="1482"/>
        <w:gridCol w:w="210"/>
        <w:gridCol w:w="1276"/>
      </w:tblGrid>
      <w:tr>
        <w:trPr>
          <w:trHeight w:val="238" w:hRule="exact"/>
        </w:trPr>
        <w:tc>
          <w:tcPr>
            <w:tcW w:w="8269" w:type="dxa"/>
            <w:gridSpan w:val="6"/>
            <w:tcBorders>
              <w:top w:val="nil" w:sz="6" w:space="0" w:color="auto"/>
              <w:left w:val="nil" w:sz="6" w:space="0" w:color="auto"/>
              <w:bottom w:val="nil" w:sz="6" w:space="0" w:color="auto"/>
              <w:right w:val="nil" w:sz="6" w:space="0" w:color="auto"/>
            </w:tcBorders>
          </w:tcPr>
          <w:p>
            <w:pPr>
              <w:pStyle w:val="TableParagraph"/>
              <w:spacing w:line="214" w:lineRule="exact"/>
              <w:ind w:left="4992"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p>
        </w:tc>
      </w:tr>
      <w:tr>
        <w:trPr>
          <w:trHeight w:val="471" w:hRule="exact"/>
        </w:trPr>
        <w:tc>
          <w:tcPr>
            <w:tcW w:w="2461" w:type="dxa"/>
            <w:tcBorders>
              <w:top w:val="nil" w:sz="6" w:space="0" w:color="auto"/>
              <w:left w:val="nil" w:sz="6" w:space="0" w:color="auto"/>
              <w:bottom w:val="nil" w:sz="6" w:space="0" w:color="auto"/>
              <w:right w:val="nil" w:sz="6" w:space="0" w:color="auto"/>
            </w:tcBorders>
          </w:tcPr>
          <w:p>
            <w:pPr/>
          </w:p>
        </w:tc>
        <w:tc>
          <w:tcPr>
            <w:tcW w:w="1300"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126"/>
              <w:jc w:val="right"/>
              <w:rPr>
                <w:rFonts w:ascii="黑体" w:hAnsi="黑体" w:cs="黑体" w:eastAsia="黑体" w:hint="default"/>
                <w:sz w:val="20"/>
                <w:szCs w:val="20"/>
              </w:rPr>
            </w:pPr>
            <w:r>
              <w:rPr>
                <w:rFonts w:ascii="黑体" w:hAnsi="黑体" w:cs="黑体" w:eastAsia="黑体" w:hint="default"/>
                <w:w w:val="95"/>
                <w:sz w:val="20"/>
                <w:szCs w:val="20"/>
              </w:rPr>
              <w:t>年初数</w:t>
            </w:r>
            <w:r>
              <w:rPr>
                <w:rFonts w:ascii="黑体" w:hAnsi="黑体" w:cs="黑体" w:eastAsia="黑体" w:hint="default"/>
                <w:sz w:val="20"/>
                <w:szCs w:val="20"/>
              </w:rPr>
            </w:r>
          </w:p>
        </w:tc>
        <w:tc>
          <w:tcPr>
            <w:tcW w:w="1541"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113"/>
              <w:jc w:val="right"/>
              <w:rPr>
                <w:rFonts w:ascii="黑体" w:hAnsi="黑体" w:cs="黑体" w:eastAsia="黑体" w:hint="default"/>
                <w:sz w:val="20"/>
                <w:szCs w:val="20"/>
              </w:rPr>
            </w:pPr>
            <w:r>
              <w:rPr>
                <w:rFonts w:ascii="黑体" w:hAnsi="黑体" w:cs="黑体" w:eastAsia="黑体" w:hint="default"/>
                <w:w w:val="95"/>
                <w:sz w:val="20"/>
                <w:szCs w:val="20"/>
              </w:rPr>
              <w:t>本年增加</w:t>
            </w:r>
            <w:r>
              <w:rPr>
                <w:rFonts w:ascii="黑体" w:hAnsi="黑体" w:cs="黑体" w:eastAsia="黑体" w:hint="default"/>
                <w:sz w:val="20"/>
                <w:szCs w:val="20"/>
              </w:rPr>
            </w:r>
          </w:p>
        </w:tc>
        <w:tc>
          <w:tcPr>
            <w:tcW w:w="1482"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1"/>
              <w:jc w:val="right"/>
              <w:rPr>
                <w:rFonts w:ascii="黑体" w:hAnsi="黑体" w:cs="黑体" w:eastAsia="黑体" w:hint="default"/>
                <w:sz w:val="20"/>
                <w:szCs w:val="20"/>
              </w:rPr>
            </w:pPr>
            <w:r>
              <w:rPr>
                <w:rFonts w:ascii="黑体" w:hAnsi="黑体" w:cs="黑体" w:eastAsia="黑体" w:hint="default"/>
                <w:w w:val="95"/>
                <w:sz w:val="20"/>
                <w:szCs w:val="20"/>
              </w:rPr>
              <w:t>本年减少</w:t>
            </w:r>
            <w:r>
              <w:rPr>
                <w:rFonts w:ascii="黑体" w:hAnsi="黑体" w:cs="黑体" w:eastAsia="黑体" w:hint="default"/>
                <w:sz w:val="20"/>
                <w:szCs w:val="20"/>
              </w:rPr>
            </w:r>
          </w:p>
        </w:tc>
        <w:tc>
          <w:tcPr>
            <w:tcW w:w="210" w:type="dxa"/>
            <w:tcBorders>
              <w:top w:val="single" w:sz="4" w:space="0" w:color="000000"/>
              <w:left w:val="nil" w:sz="6" w:space="0" w:color="auto"/>
              <w:bottom w:val="nil" w:sz="6" w:space="0" w:color="auto"/>
              <w:right w:val="nil" w:sz="6" w:space="0" w:color="auto"/>
            </w:tcBorders>
          </w:tcPr>
          <w:p>
            <w:pPr/>
          </w:p>
        </w:tc>
        <w:tc>
          <w:tcPr>
            <w:tcW w:w="1276" w:type="dxa"/>
            <w:tcBorders>
              <w:top w:val="single" w:sz="4" w:space="0" w:color="000000"/>
              <w:left w:val="nil" w:sz="6" w:space="0" w:color="auto"/>
              <w:bottom w:val="nil" w:sz="6" w:space="0" w:color="auto"/>
              <w:right w:val="nil" w:sz="6" w:space="0" w:color="auto"/>
            </w:tcBorders>
          </w:tcPr>
          <w:p>
            <w:pPr>
              <w:pStyle w:val="TableParagraph"/>
              <w:spacing w:line="240" w:lineRule="auto" w:before="4"/>
              <w:ind w:right="71"/>
              <w:jc w:val="right"/>
              <w:rPr>
                <w:rFonts w:ascii="黑体" w:hAnsi="黑体" w:cs="黑体" w:eastAsia="黑体" w:hint="default"/>
                <w:sz w:val="20"/>
                <w:szCs w:val="20"/>
              </w:rPr>
            </w:pPr>
            <w:r>
              <w:rPr>
                <w:rFonts w:ascii="黑体" w:hAnsi="黑体" w:cs="黑体" w:eastAsia="黑体" w:hint="default"/>
                <w:w w:val="95"/>
                <w:sz w:val="20"/>
                <w:szCs w:val="20"/>
              </w:rPr>
              <w:t>年末数</w:t>
            </w:r>
            <w:r>
              <w:rPr>
                <w:rFonts w:ascii="黑体" w:hAnsi="黑体" w:cs="黑体" w:eastAsia="黑体" w:hint="default"/>
                <w:sz w:val="20"/>
                <w:szCs w:val="20"/>
              </w:rPr>
            </w:r>
          </w:p>
        </w:tc>
      </w:tr>
      <w:tr>
        <w:trPr>
          <w:trHeight w:val="463" w:hRule="exact"/>
        </w:trPr>
        <w:tc>
          <w:tcPr>
            <w:tcW w:w="2461"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216" w:right="0"/>
              <w:jc w:val="left"/>
              <w:rPr>
                <w:rFonts w:ascii="黑体" w:hAnsi="黑体" w:cs="黑体" w:eastAsia="黑体" w:hint="default"/>
                <w:sz w:val="20"/>
                <w:szCs w:val="20"/>
              </w:rPr>
            </w:pPr>
            <w:r>
              <w:rPr>
                <w:rFonts w:ascii="黑体" w:hAnsi="黑体" w:cs="黑体" w:eastAsia="黑体" w:hint="default"/>
                <w:sz w:val="20"/>
                <w:szCs w:val="20"/>
              </w:rPr>
              <w:t>工资、奖金、津贴和补贴</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b/>
                <w:bCs/>
                <w:sz w:val="15"/>
                <w:szCs w:val="15"/>
              </w:rPr>
            </w:pPr>
          </w:p>
          <w:p>
            <w:pPr>
              <w:pStyle w:val="TableParagraph"/>
              <w:spacing w:line="240" w:lineRule="auto"/>
              <w:ind w:right="153"/>
              <w:jc w:val="right"/>
              <w:rPr>
                <w:rFonts w:ascii="Arial" w:hAnsi="Arial" w:cs="Arial" w:eastAsia="Arial" w:hint="default"/>
                <w:sz w:val="20"/>
                <w:szCs w:val="20"/>
              </w:rPr>
            </w:pPr>
            <w:r>
              <w:rPr>
                <w:rFonts w:ascii="Arial"/>
                <w:spacing w:val="-1"/>
                <w:sz w:val="20"/>
              </w:rPr>
              <w:t>236,383,000</w:t>
            </w:r>
            <w:r>
              <w:rPr>
                <w:rFonts w:ascii="Arial"/>
                <w:sz w:val="20"/>
              </w:rPr>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b/>
                <w:bCs/>
                <w:sz w:val="15"/>
                <w:szCs w:val="15"/>
              </w:rPr>
            </w:pPr>
          </w:p>
          <w:p>
            <w:pPr>
              <w:pStyle w:val="TableParagraph"/>
              <w:spacing w:line="240" w:lineRule="auto"/>
              <w:ind w:right="134"/>
              <w:jc w:val="right"/>
              <w:rPr>
                <w:rFonts w:ascii="Arial" w:hAnsi="Arial" w:cs="Arial" w:eastAsia="Arial" w:hint="default"/>
                <w:sz w:val="20"/>
                <w:szCs w:val="20"/>
              </w:rPr>
            </w:pPr>
            <w:r>
              <w:rPr>
                <w:rFonts w:ascii="Arial"/>
                <w:spacing w:val="-1"/>
                <w:sz w:val="20"/>
              </w:rPr>
              <w:t>992,293,093</w:t>
            </w:r>
            <w:r>
              <w:rPr>
                <w:rFonts w:ascii="Arial"/>
                <w:sz w:val="20"/>
              </w:rPr>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b/>
                <w:bCs/>
                <w:sz w:val="15"/>
                <w:szCs w:val="15"/>
              </w:rPr>
            </w:pPr>
          </w:p>
          <w:p>
            <w:pPr>
              <w:pStyle w:val="TableParagraph"/>
              <w:spacing w:line="240" w:lineRule="auto"/>
              <w:ind w:right="22"/>
              <w:jc w:val="right"/>
              <w:rPr>
                <w:rFonts w:ascii="Arial" w:hAnsi="Arial" w:cs="Arial" w:eastAsia="Arial" w:hint="default"/>
                <w:sz w:val="20"/>
                <w:szCs w:val="20"/>
              </w:rPr>
            </w:pPr>
            <w:r>
              <w:rPr>
                <w:rFonts w:ascii="Arial"/>
                <w:sz w:val="20"/>
              </w:rPr>
              <w:t>( </w:t>
            </w:r>
            <w:r>
              <w:rPr>
                <w:rFonts w:ascii="Arial"/>
                <w:spacing w:val="35"/>
                <w:sz w:val="20"/>
              </w:rPr>
              <w:t> </w:t>
            </w:r>
            <w:r>
              <w:rPr>
                <w:rFonts w:ascii="Arial"/>
                <w:sz w:val="20"/>
              </w:rPr>
              <w:t>882,033,612</w:t>
            </w:r>
          </w:p>
        </w:tc>
        <w:tc>
          <w:tcPr>
            <w:tcW w:w="2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b/>
                <w:bCs/>
                <w:sz w:val="15"/>
                <w:szCs w:val="15"/>
              </w:rPr>
            </w:pPr>
          </w:p>
          <w:p>
            <w:pPr>
              <w:pStyle w:val="TableParagraph"/>
              <w:spacing w:line="240" w:lineRule="auto"/>
              <w:ind w:left="-1" w:right="0"/>
              <w:jc w:val="left"/>
              <w:rPr>
                <w:rFonts w:ascii="Arial" w:hAnsi="Arial" w:cs="Arial" w:eastAsia="Arial" w:hint="default"/>
                <w:sz w:val="20"/>
                <w:szCs w:val="20"/>
              </w:rPr>
            </w:pPr>
            <w:r>
              <w:rPr>
                <w:rFonts w:ascii="Arial"/>
                <w:w w:val="99"/>
                <w:sz w:val="20"/>
              </w:rPr>
              <w:t>)</w:t>
            </w:r>
            <w:r>
              <w:rPr>
                <w:rFonts w:ascii="Arial"/>
                <w:sz w:val="20"/>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b/>
                <w:bCs/>
                <w:sz w:val="15"/>
                <w:szCs w:val="15"/>
              </w:rPr>
            </w:pPr>
          </w:p>
          <w:p>
            <w:pPr>
              <w:pStyle w:val="TableParagraph"/>
              <w:spacing w:line="240" w:lineRule="auto"/>
              <w:ind w:right="22"/>
              <w:jc w:val="right"/>
              <w:rPr>
                <w:rFonts w:ascii="Arial" w:hAnsi="Arial" w:cs="Arial" w:eastAsia="Arial" w:hint="default"/>
                <w:sz w:val="20"/>
                <w:szCs w:val="20"/>
              </w:rPr>
            </w:pPr>
            <w:r>
              <w:rPr>
                <w:rFonts w:ascii="Arial"/>
                <w:spacing w:val="-1"/>
                <w:sz w:val="20"/>
              </w:rPr>
              <w:t>346,642,481</w:t>
            </w:r>
            <w:r>
              <w:rPr>
                <w:rFonts w:ascii="Arial"/>
                <w:sz w:val="20"/>
              </w:rPr>
            </w:r>
          </w:p>
        </w:tc>
      </w:tr>
      <w:tr>
        <w:trPr>
          <w:trHeight w:val="300" w:hRule="exact"/>
        </w:trPr>
        <w:tc>
          <w:tcPr>
            <w:tcW w:w="2461" w:type="dxa"/>
            <w:tcBorders>
              <w:top w:val="nil" w:sz="6" w:space="0" w:color="auto"/>
              <w:left w:val="nil" w:sz="6" w:space="0" w:color="auto"/>
              <w:bottom w:val="nil" w:sz="6" w:space="0" w:color="auto"/>
              <w:right w:val="nil" w:sz="6" w:space="0" w:color="auto"/>
            </w:tcBorders>
          </w:tcPr>
          <w:p>
            <w:pPr>
              <w:pStyle w:val="TableParagraph"/>
              <w:spacing w:line="236" w:lineRule="exact"/>
              <w:ind w:left="216" w:right="0"/>
              <w:jc w:val="left"/>
              <w:rPr>
                <w:rFonts w:ascii="黑体" w:hAnsi="黑体" w:cs="黑体" w:eastAsia="黑体" w:hint="default"/>
                <w:sz w:val="20"/>
                <w:szCs w:val="20"/>
              </w:rPr>
            </w:pPr>
            <w:r>
              <w:rPr>
                <w:rFonts w:ascii="黑体" w:hAnsi="黑体" w:cs="黑体" w:eastAsia="黑体" w:hint="default"/>
                <w:sz w:val="20"/>
                <w:szCs w:val="20"/>
              </w:rPr>
              <w:t>社会保险费</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52"/>
              <w:jc w:val="right"/>
              <w:rPr>
                <w:rFonts w:ascii="Arial" w:hAnsi="Arial" w:cs="Arial" w:eastAsia="Arial" w:hint="default"/>
                <w:sz w:val="20"/>
                <w:szCs w:val="20"/>
              </w:rPr>
            </w:pPr>
            <w:r>
              <w:rPr>
                <w:rFonts w:ascii="Arial"/>
                <w:spacing w:val="-1"/>
                <w:sz w:val="20"/>
              </w:rPr>
              <w:t>5,031,690</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34"/>
              <w:jc w:val="right"/>
              <w:rPr>
                <w:rFonts w:ascii="Arial" w:hAnsi="Arial" w:cs="Arial" w:eastAsia="Arial" w:hint="default"/>
                <w:sz w:val="20"/>
                <w:szCs w:val="20"/>
              </w:rPr>
            </w:pPr>
            <w:r>
              <w:rPr>
                <w:rFonts w:ascii="Arial"/>
                <w:spacing w:val="-1"/>
                <w:sz w:val="20"/>
              </w:rPr>
              <w:t>144,055,054</w:t>
            </w:r>
            <w:r>
              <w:rPr>
                <w:rFonts w:ascii="Arial"/>
                <w:sz w:val="20"/>
              </w:rPr>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2"/>
              <w:jc w:val="right"/>
              <w:rPr>
                <w:rFonts w:ascii="Arial" w:hAnsi="Arial" w:cs="Arial" w:eastAsia="Arial" w:hint="default"/>
                <w:sz w:val="20"/>
                <w:szCs w:val="20"/>
              </w:rPr>
            </w:pPr>
            <w:r>
              <w:rPr>
                <w:rFonts w:ascii="Arial"/>
                <w:sz w:val="20"/>
              </w:rPr>
              <w:t>( </w:t>
            </w:r>
            <w:r>
              <w:rPr>
                <w:rFonts w:ascii="Arial"/>
                <w:spacing w:val="35"/>
                <w:sz w:val="20"/>
              </w:rPr>
              <w:t> </w:t>
            </w:r>
            <w:r>
              <w:rPr>
                <w:rFonts w:ascii="Arial"/>
                <w:sz w:val="20"/>
              </w:rPr>
              <w:t>142,667,440</w:t>
            </w:r>
          </w:p>
        </w:tc>
        <w:tc>
          <w:tcPr>
            <w:tcW w:w="21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 w:right="0"/>
              <w:jc w:val="left"/>
              <w:rPr>
                <w:rFonts w:ascii="Arial" w:hAnsi="Arial" w:cs="Arial" w:eastAsia="Arial" w:hint="default"/>
                <w:sz w:val="20"/>
                <w:szCs w:val="20"/>
              </w:rPr>
            </w:pPr>
            <w:r>
              <w:rPr>
                <w:rFonts w:ascii="Arial"/>
                <w:w w:val="99"/>
                <w:sz w:val="20"/>
              </w:rPr>
              <w:t>)</w:t>
            </w:r>
            <w:r>
              <w:rPr>
                <w:rFonts w:ascii="Arial"/>
                <w:sz w:val="20"/>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1"/>
              <w:jc w:val="right"/>
              <w:rPr>
                <w:rFonts w:ascii="Arial" w:hAnsi="Arial" w:cs="Arial" w:eastAsia="Arial" w:hint="default"/>
                <w:sz w:val="20"/>
                <w:szCs w:val="20"/>
              </w:rPr>
            </w:pPr>
            <w:r>
              <w:rPr>
                <w:rFonts w:ascii="Arial"/>
                <w:spacing w:val="-1"/>
                <w:sz w:val="20"/>
              </w:rPr>
              <w:t>6,419,304</w:t>
            </w:r>
          </w:p>
        </w:tc>
      </w:tr>
      <w:tr>
        <w:trPr>
          <w:trHeight w:val="300" w:hRule="exact"/>
        </w:trPr>
        <w:tc>
          <w:tcPr>
            <w:tcW w:w="2461" w:type="dxa"/>
            <w:tcBorders>
              <w:top w:val="nil" w:sz="6" w:space="0" w:color="auto"/>
              <w:left w:val="nil" w:sz="6" w:space="0" w:color="auto"/>
              <w:bottom w:val="nil" w:sz="6" w:space="0" w:color="auto"/>
              <w:right w:val="nil" w:sz="6" w:space="0" w:color="auto"/>
            </w:tcBorders>
          </w:tcPr>
          <w:p>
            <w:pPr>
              <w:pStyle w:val="TableParagraph"/>
              <w:spacing w:line="236" w:lineRule="exact"/>
              <w:ind w:left="216" w:right="0"/>
              <w:jc w:val="left"/>
              <w:rPr>
                <w:rFonts w:ascii="黑体" w:hAnsi="黑体" w:cs="黑体" w:eastAsia="黑体" w:hint="default"/>
                <w:sz w:val="20"/>
                <w:szCs w:val="20"/>
              </w:rPr>
            </w:pPr>
            <w:r>
              <w:rPr>
                <w:rFonts w:ascii="黑体" w:hAnsi="黑体" w:cs="黑体" w:eastAsia="黑体" w:hint="default"/>
                <w:sz w:val="20"/>
                <w:szCs w:val="20"/>
              </w:rPr>
              <w:t>其中：基本养老保险费</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52"/>
              <w:jc w:val="right"/>
              <w:rPr>
                <w:rFonts w:ascii="Arial" w:hAnsi="Arial" w:cs="Arial" w:eastAsia="Arial" w:hint="default"/>
                <w:sz w:val="20"/>
                <w:szCs w:val="20"/>
              </w:rPr>
            </w:pPr>
            <w:r>
              <w:rPr>
                <w:rFonts w:ascii="Arial"/>
                <w:spacing w:val="-1"/>
                <w:sz w:val="20"/>
              </w:rPr>
              <w:t>4,725,003</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34"/>
              <w:jc w:val="right"/>
              <w:rPr>
                <w:rFonts w:ascii="Arial" w:hAnsi="Arial" w:cs="Arial" w:eastAsia="Arial" w:hint="default"/>
                <w:sz w:val="20"/>
                <w:szCs w:val="20"/>
              </w:rPr>
            </w:pPr>
            <w:r>
              <w:rPr>
                <w:rFonts w:ascii="Arial"/>
                <w:spacing w:val="-1"/>
                <w:sz w:val="20"/>
              </w:rPr>
              <w:t>99,916,052</w:t>
            </w:r>
            <w:r>
              <w:rPr>
                <w:rFonts w:ascii="Arial"/>
                <w:sz w:val="20"/>
              </w:rPr>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2"/>
              <w:jc w:val="right"/>
              <w:rPr>
                <w:rFonts w:ascii="Arial" w:hAnsi="Arial" w:cs="Arial" w:eastAsia="Arial" w:hint="default"/>
                <w:sz w:val="20"/>
                <w:szCs w:val="20"/>
              </w:rPr>
            </w:pPr>
            <w:r>
              <w:rPr>
                <w:rFonts w:ascii="Arial"/>
                <w:sz w:val="20"/>
              </w:rPr>
              <w:t>( </w:t>
            </w:r>
            <w:r>
              <w:rPr>
                <w:rFonts w:ascii="Arial"/>
                <w:spacing w:val="46"/>
                <w:sz w:val="20"/>
              </w:rPr>
              <w:t> </w:t>
            </w:r>
            <w:r>
              <w:rPr>
                <w:rFonts w:ascii="Arial"/>
                <w:sz w:val="20"/>
              </w:rPr>
              <w:t>100,819,154</w:t>
            </w:r>
          </w:p>
        </w:tc>
        <w:tc>
          <w:tcPr>
            <w:tcW w:w="21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 w:right="0"/>
              <w:jc w:val="left"/>
              <w:rPr>
                <w:rFonts w:ascii="Arial" w:hAnsi="Arial" w:cs="Arial" w:eastAsia="Arial" w:hint="default"/>
                <w:sz w:val="20"/>
                <w:szCs w:val="20"/>
              </w:rPr>
            </w:pPr>
            <w:r>
              <w:rPr>
                <w:rFonts w:ascii="Arial"/>
                <w:w w:val="99"/>
                <w:sz w:val="20"/>
              </w:rPr>
              <w:t>)</w:t>
            </w:r>
            <w:r>
              <w:rPr>
                <w:rFonts w:ascii="Arial"/>
                <w:sz w:val="20"/>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1"/>
              <w:jc w:val="right"/>
              <w:rPr>
                <w:rFonts w:ascii="Arial" w:hAnsi="Arial" w:cs="Arial" w:eastAsia="Arial" w:hint="default"/>
                <w:sz w:val="20"/>
                <w:szCs w:val="20"/>
              </w:rPr>
            </w:pPr>
            <w:r>
              <w:rPr>
                <w:rFonts w:ascii="Arial"/>
                <w:spacing w:val="-1"/>
                <w:sz w:val="20"/>
              </w:rPr>
              <w:t>3,821,901</w:t>
            </w:r>
          </w:p>
        </w:tc>
      </w:tr>
      <w:tr>
        <w:trPr>
          <w:trHeight w:val="300" w:hRule="exact"/>
        </w:trPr>
        <w:tc>
          <w:tcPr>
            <w:tcW w:w="2461" w:type="dxa"/>
            <w:tcBorders>
              <w:top w:val="nil" w:sz="6" w:space="0" w:color="auto"/>
              <w:left w:val="nil" w:sz="6" w:space="0" w:color="auto"/>
              <w:bottom w:val="nil" w:sz="6" w:space="0" w:color="auto"/>
              <w:right w:val="nil" w:sz="6" w:space="0" w:color="auto"/>
            </w:tcBorders>
          </w:tcPr>
          <w:p>
            <w:pPr>
              <w:pStyle w:val="TableParagraph"/>
              <w:spacing w:line="236" w:lineRule="exact"/>
              <w:ind w:left="787" w:right="0"/>
              <w:jc w:val="left"/>
              <w:rPr>
                <w:rFonts w:ascii="黑体" w:hAnsi="黑体" w:cs="黑体" w:eastAsia="黑体" w:hint="default"/>
                <w:sz w:val="20"/>
                <w:szCs w:val="20"/>
              </w:rPr>
            </w:pPr>
            <w:r>
              <w:rPr>
                <w:rFonts w:ascii="黑体" w:hAnsi="黑体" w:cs="黑体" w:eastAsia="黑体" w:hint="default"/>
                <w:sz w:val="20"/>
                <w:szCs w:val="20"/>
              </w:rPr>
              <w:t>医疗保险费</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53"/>
              <w:jc w:val="right"/>
              <w:rPr>
                <w:rFonts w:ascii="Arial" w:hAnsi="Arial" w:cs="Arial" w:eastAsia="Arial" w:hint="default"/>
                <w:sz w:val="20"/>
                <w:szCs w:val="20"/>
              </w:rPr>
            </w:pPr>
            <w:r>
              <w:rPr>
                <w:rFonts w:ascii="Arial"/>
                <w:spacing w:val="-1"/>
                <w:w w:val="95"/>
                <w:sz w:val="20"/>
              </w:rPr>
              <w:t>236,389</w:t>
            </w:r>
            <w:r>
              <w:rPr>
                <w:rFonts w:ascii="Arial"/>
                <w:sz w:val="20"/>
              </w:rPr>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34"/>
              <w:jc w:val="right"/>
              <w:rPr>
                <w:rFonts w:ascii="Arial" w:hAnsi="Arial" w:cs="Arial" w:eastAsia="Arial" w:hint="default"/>
                <w:sz w:val="20"/>
                <w:szCs w:val="20"/>
              </w:rPr>
            </w:pPr>
            <w:r>
              <w:rPr>
                <w:rFonts w:ascii="Arial"/>
                <w:spacing w:val="-1"/>
                <w:sz w:val="20"/>
              </w:rPr>
              <w:t>36,708,991</w:t>
            </w:r>
            <w:r>
              <w:rPr>
                <w:rFonts w:ascii="Arial"/>
                <w:sz w:val="20"/>
              </w:rPr>
            </w:r>
          </w:p>
        </w:tc>
        <w:tc>
          <w:tcPr>
            <w:tcW w:w="1482" w:type="dxa"/>
            <w:tcBorders>
              <w:top w:val="nil" w:sz="6" w:space="0" w:color="auto"/>
              <w:left w:val="nil" w:sz="6" w:space="0" w:color="auto"/>
              <w:bottom w:val="nil" w:sz="6" w:space="0" w:color="auto"/>
              <w:right w:val="nil" w:sz="6" w:space="0" w:color="auto"/>
            </w:tcBorders>
          </w:tcPr>
          <w:p>
            <w:pPr>
              <w:pStyle w:val="TableParagraph"/>
              <w:tabs>
                <w:tab w:pos="343" w:val="left" w:leader="none"/>
              </w:tabs>
              <w:spacing w:line="240" w:lineRule="auto" w:before="37"/>
              <w:ind w:right="22"/>
              <w:jc w:val="right"/>
              <w:rPr>
                <w:rFonts w:ascii="Arial" w:hAnsi="Arial" w:cs="Arial" w:eastAsia="Arial" w:hint="default"/>
                <w:sz w:val="20"/>
                <w:szCs w:val="20"/>
              </w:rPr>
            </w:pPr>
            <w:r>
              <w:rPr>
                <w:rFonts w:ascii="Arial"/>
                <w:w w:val="95"/>
                <w:sz w:val="20"/>
              </w:rPr>
              <w:t>(</w:t>
              <w:tab/>
            </w:r>
            <w:r>
              <w:rPr>
                <w:rFonts w:ascii="Arial"/>
                <w:spacing w:val="-1"/>
                <w:w w:val="95"/>
                <w:sz w:val="20"/>
              </w:rPr>
              <w:t>34,421,429</w:t>
            </w:r>
            <w:r>
              <w:rPr>
                <w:rFonts w:ascii="Arial"/>
                <w:sz w:val="20"/>
              </w:rPr>
            </w:r>
          </w:p>
        </w:tc>
        <w:tc>
          <w:tcPr>
            <w:tcW w:w="21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 w:right="0"/>
              <w:jc w:val="left"/>
              <w:rPr>
                <w:rFonts w:ascii="Arial" w:hAnsi="Arial" w:cs="Arial" w:eastAsia="Arial" w:hint="default"/>
                <w:sz w:val="20"/>
                <w:szCs w:val="20"/>
              </w:rPr>
            </w:pPr>
            <w:r>
              <w:rPr>
                <w:rFonts w:ascii="Arial"/>
                <w:w w:val="99"/>
                <w:sz w:val="20"/>
              </w:rPr>
              <w:t>)</w:t>
            </w:r>
            <w:r>
              <w:rPr>
                <w:rFonts w:ascii="Arial"/>
                <w:sz w:val="20"/>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1"/>
              <w:jc w:val="right"/>
              <w:rPr>
                <w:rFonts w:ascii="Arial" w:hAnsi="Arial" w:cs="Arial" w:eastAsia="Arial" w:hint="default"/>
                <w:sz w:val="20"/>
                <w:szCs w:val="20"/>
              </w:rPr>
            </w:pPr>
            <w:r>
              <w:rPr>
                <w:rFonts w:ascii="Arial"/>
                <w:spacing w:val="-1"/>
                <w:sz w:val="20"/>
              </w:rPr>
              <w:t>2,523,951</w:t>
            </w:r>
          </w:p>
        </w:tc>
      </w:tr>
      <w:tr>
        <w:trPr>
          <w:trHeight w:val="300" w:hRule="exact"/>
        </w:trPr>
        <w:tc>
          <w:tcPr>
            <w:tcW w:w="2461" w:type="dxa"/>
            <w:tcBorders>
              <w:top w:val="nil" w:sz="6" w:space="0" w:color="auto"/>
              <w:left w:val="nil" w:sz="6" w:space="0" w:color="auto"/>
              <w:bottom w:val="nil" w:sz="6" w:space="0" w:color="auto"/>
              <w:right w:val="nil" w:sz="6" w:space="0" w:color="auto"/>
            </w:tcBorders>
          </w:tcPr>
          <w:p>
            <w:pPr>
              <w:pStyle w:val="TableParagraph"/>
              <w:spacing w:line="236" w:lineRule="exact"/>
              <w:ind w:left="802" w:right="0"/>
              <w:jc w:val="left"/>
              <w:rPr>
                <w:rFonts w:ascii="黑体" w:hAnsi="黑体" w:cs="黑体" w:eastAsia="黑体" w:hint="default"/>
                <w:sz w:val="20"/>
                <w:szCs w:val="20"/>
              </w:rPr>
            </w:pPr>
            <w:r>
              <w:rPr>
                <w:rFonts w:ascii="黑体" w:hAnsi="黑体" w:cs="黑体" w:eastAsia="黑体" w:hint="default"/>
                <w:sz w:val="20"/>
                <w:szCs w:val="20"/>
              </w:rPr>
              <w:t>失业保险费</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53"/>
              <w:jc w:val="right"/>
              <w:rPr>
                <w:rFonts w:ascii="Arial" w:hAnsi="Arial" w:cs="Arial" w:eastAsia="Arial" w:hint="default"/>
                <w:sz w:val="20"/>
                <w:szCs w:val="20"/>
              </w:rPr>
            </w:pPr>
            <w:r>
              <w:rPr>
                <w:rFonts w:ascii="Arial"/>
                <w:spacing w:val="-1"/>
                <w:sz w:val="20"/>
              </w:rPr>
              <w:t>36,182</w:t>
            </w:r>
            <w:r>
              <w:rPr>
                <w:rFonts w:ascii="Arial"/>
                <w:sz w:val="20"/>
              </w:rPr>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33"/>
              <w:jc w:val="right"/>
              <w:rPr>
                <w:rFonts w:ascii="Arial" w:hAnsi="Arial" w:cs="Arial" w:eastAsia="Arial" w:hint="default"/>
                <w:sz w:val="20"/>
                <w:szCs w:val="20"/>
              </w:rPr>
            </w:pPr>
            <w:r>
              <w:rPr>
                <w:rFonts w:ascii="Arial"/>
                <w:spacing w:val="-1"/>
                <w:sz w:val="20"/>
              </w:rPr>
              <w:t>5,057,134</w:t>
            </w:r>
          </w:p>
        </w:tc>
        <w:tc>
          <w:tcPr>
            <w:tcW w:w="1482" w:type="dxa"/>
            <w:tcBorders>
              <w:top w:val="nil" w:sz="6" w:space="0" w:color="auto"/>
              <w:left w:val="nil" w:sz="6" w:space="0" w:color="auto"/>
              <w:bottom w:val="nil" w:sz="6" w:space="0" w:color="auto"/>
              <w:right w:val="nil" w:sz="6" w:space="0" w:color="auto"/>
            </w:tcBorders>
          </w:tcPr>
          <w:p>
            <w:pPr>
              <w:pStyle w:val="TableParagraph"/>
              <w:tabs>
                <w:tab w:pos="439" w:val="left" w:leader="none"/>
              </w:tabs>
              <w:spacing w:line="240" w:lineRule="auto" w:before="37"/>
              <w:ind w:right="21"/>
              <w:jc w:val="right"/>
              <w:rPr>
                <w:rFonts w:ascii="Arial" w:hAnsi="Arial" w:cs="Arial" w:eastAsia="Arial" w:hint="default"/>
                <w:sz w:val="20"/>
                <w:szCs w:val="20"/>
              </w:rPr>
            </w:pPr>
            <w:r>
              <w:rPr>
                <w:rFonts w:ascii="Arial"/>
                <w:w w:val="95"/>
                <w:sz w:val="20"/>
              </w:rPr>
              <w:t>(</w:t>
              <w:tab/>
            </w:r>
            <w:r>
              <w:rPr>
                <w:rFonts w:ascii="Arial"/>
                <w:spacing w:val="-1"/>
                <w:sz w:val="20"/>
              </w:rPr>
              <w:t>5,050,668</w:t>
            </w:r>
          </w:p>
        </w:tc>
        <w:tc>
          <w:tcPr>
            <w:tcW w:w="21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 w:right="0"/>
              <w:jc w:val="left"/>
              <w:rPr>
                <w:rFonts w:ascii="Arial" w:hAnsi="Arial" w:cs="Arial" w:eastAsia="Arial" w:hint="default"/>
                <w:sz w:val="20"/>
                <w:szCs w:val="20"/>
              </w:rPr>
            </w:pPr>
            <w:r>
              <w:rPr>
                <w:rFonts w:ascii="Arial"/>
                <w:w w:val="99"/>
                <w:sz w:val="20"/>
              </w:rPr>
              <w:t>)</w:t>
            </w:r>
            <w:r>
              <w:rPr>
                <w:rFonts w:ascii="Arial"/>
                <w:sz w:val="20"/>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2"/>
              <w:jc w:val="right"/>
              <w:rPr>
                <w:rFonts w:ascii="Arial" w:hAnsi="Arial" w:cs="Arial" w:eastAsia="Arial" w:hint="default"/>
                <w:sz w:val="20"/>
                <w:szCs w:val="20"/>
              </w:rPr>
            </w:pPr>
            <w:r>
              <w:rPr>
                <w:rFonts w:ascii="Arial"/>
                <w:spacing w:val="-1"/>
                <w:sz w:val="20"/>
              </w:rPr>
              <w:t>42,648</w:t>
            </w:r>
            <w:r>
              <w:rPr>
                <w:rFonts w:ascii="Arial"/>
                <w:sz w:val="20"/>
              </w:rPr>
            </w:r>
          </w:p>
        </w:tc>
      </w:tr>
      <w:tr>
        <w:trPr>
          <w:trHeight w:val="300" w:hRule="exact"/>
        </w:trPr>
        <w:tc>
          <w:tcPr>
            <w:tcW w:w="2461" w:type="dxa"/>
            <w:tcBorders>
              <w:top w:val="nil" w:sz="6" w:space="0" w:color="auto"/>
              <w:left w:val="nil" w:sz="6" w:space="0" w:color="auto"/>
              <w:bottom w:val="nil" w:sz="6" w:space="0" w:color="auto"/>
              <w:right w:val="nil" w:sz="6" w:space="0" w:color="auto"/>
            </w:tcBorders>
          </w:tcPr>
          <w:p>
            <w:pPr>
              <w:pStyle w:val="TableParagraph"/>
              <w:spacing w:line="236" w:lineRule="exact"/>
              <w:ind w:left="816" w:right="0"/>
              <w:jc w:val="left"/>
              <w:rPr>
                <w:rFonts w:ascii="黑体" w:hAnsi="黑体" w:cs="黑体" w:eastAsia="黑体" w:hint="default"/>
                <w:sz w:val="20"/>
                <w:szCs w:val="20"/>
              </w:rPr>
            </w:pPr>
            <w:r>
              <w:rPr>
                <w:rFonts w:ascii="黑体" w:hAnsi="黑体" w:cs="黑体" w:eastAsia="黑体" w:hint="default"/>
                <w:sz w:val="20"/>
                <w:szCs w:val="20"/>
              </w:rPr>
              <w:t>工伤保险费</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53"/>
              <w:jc w:val="right"/>
              <w:rPr>
                <w:rFonts w:ascii="Arial" w:hAnsi="Arial" w:cs="Arial" w:eastAsia="Arial" w:hint="default"/>
                <w:sz w:val="20"/>
                <w:szCs w:val="20"/>
              </w:rPr>
            </w:pPr>
            <w:r>
              <w:rPr>
                <w:rFonts w:ascii="Arial"/>
                <w:spacing w:val="-1"/>
                <w:sz w:val="20"/>
              </w:rPr>
              <w:t>16,948</w:t>
            </w:r>
            <w:r>
              <w:rPr>
                <w:rFonts w:ascii="Arial"/>
                <w:sz w:val="20"/>
              </w:rPr>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33"/>
              <w:jc w:val="right"/>
              <w:rPr>
                <w:rFonts w:ascii="Arial" w:hAnsi="Arial" w:cs="Arial" w:eastAsia="Arial" w:hint="default"/>
                <w:sz w:val="20"/>
                <w:szCs w:val="20"/>
              </w:rPr>
            </w:pPr>
            <w:r>
              <w:rPr>
                <w:rFonts w:ascii="Arial"/>
                <w:spacing w:val="-1"/>
                <w:sz w:val="20"/>
              </w:rPr>
              <w:t>1,097,117</w:t>
            </w:r>
          </w:p>
        </w:tc>
        <w:tc>
          <w:tcPr>
            <w:tcW w:w="1482" w:type="dxa"/>
            <w:tcBorders>
              <w:top w:val="nil" w:sz="6" w:space="0" w:color="auto"/>
              <w:left w:val="nil" w:sz="6" w:space="0" w:color="auto"/>
              <w:bottom w:val="nil" w:sz="6" w:space="0" w:color="auto"/>
              <w:right w:val="nil" w:sz="6" w:space="0" w:color="auto"/>
            </w:tcBorders>
          </w:tcPr>
          <w:p>
            <w:pPr>
              <w:pStyle w:val="TableParagraph"/>
              <w:tabs>
                <w:tab w:pos="448" w:val="left" w:leader="none"/>
              </w:tabs>
              <w:spacing w:line="240" w:lineRule="auto" w:before="37"/>
              <w:ind w:right="22"/>
              <w:jc w:val="right"/>
              <w:rPr>
                <w:rFonts w:ascii="Arial" w:hAnsi="Arial" w:cs="Arial" w:eastAsia="Arial" w:hint="default"/>
                <w:sz w:val="20"/>
                <w:szCs w:val="20"/>
              </w:rPr>
            </w:pPr>
            <w:r>
              <w:rPr>
                <w:rFonts w:ascii="Arial"/>
                <w:w w:val="95"/>
                <w:sz w:val="20"/>
              </w:rPr>
              <w:t>(</w:t>
              <w:tab/>
            </w:r>
            <w:r>
              <w:rPr>
                <w:rFonts w:ascii="Arial"/>
                <w:spacing w:val="-1"/>
                <w:w w:val="95"/>
                <w:sz w:val="20"/>
              </w:rPr>
              <w:t>1,104,999</w:t>
            </w:r>
            <w:r>
              <w:rPr>
                <w:rFonts w:ascii="Arial"/>
                <w:sz w:val="20"/>
              </w:rPr>
            </w:r>
          </w:p>
        </w:tc>
        <w:tc>
          <w:tcPr>
            <w:tcW w:w="21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 w:right="0"/>
              <w:jc w:val="left"/>
              <w:rPr>
                <w:rFonts w:ascii="Arial" w:hAnsi="Arial" w:cs="Arial" w:eastAsia="Arial" w:hint="default"/>
                <w:sz w:val="20"/>
                <w:szCs w:val="20"/>
              </w:rPr>
            </w:pPr>
            <w:r>
              <w:rPr>
                <w:rFonts w:ascii="Arial"/>
                <w:w w:val="99"/>
                <w:sz w:val="20"/>
              </w:rPr>
              <w:t>)</w:t>
            </w:r>
            <w:r>
              <w:rPr>
                <w:rFonts w:ascii="Arial"/>
                <w:sz w:val="20"/>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1"/>
              <w:jc w:val="right"/>
              <w:rPr>
                <w:rFonts w:ascii="Arial" w:hAnsi="Arial" w:cs="Arial" w:eastAsia="Arial" w:hint="default"/>
                <w:sz w:val="20"/>
                <w:szCs w:val="20"/>
              </w:rPr>
            </w:pPr>
            <w:r>
              <w:rPr>
                <w:rFonts w:ascii="Arial"/>
                <w:spacing w:val="-1"/>
                <w:sz w:val="20"/>
              </w:rPr>
              <w:t>9,066</w:t>
            </w:r>
          </w:p>
        </w:tc>
      </w:tr>
      <w:tr>
        <w:trPr>
          <w:trHeight w:val="300" w:hRule="exact"/>
        </w:trPr>
        <w:tc>
          <w:tcPr>
            <w:tcW w:w="2461" w:type="dxa"/>
            <w:tcBorders>
              <w:top w:val="nil" w:sz="6" w:space="0" w:color="auto"/>
              <w:left w:val="nil" w:sz="6" w:space="0" w:color="auto"/>
              <w:bottom w:val="nil" w:sz="6" w:space="0" w:color="auto"/>
              <w:right w:val="nil" w:sz="6" w:space="0" w:color="auto"/>
            </w:tcBorders>
          </w:tcPr>
          <w:p>
            <w:pPr>
              <w:pStyle w:val="TableParagraph"/>
              <w:spacing w:line="236" w:lineRule="exact"/>
              <w:ind w:left="787" w:right="0"/>
              <w:jc w:val="left"/>
              <w:rPr>
                <w:rFonts w:ascii="黑体" w:hAnsi="黑体" w:cs="黑体" w:eastAsia="黑体" w:hint="default"/>
                <w:sz w:val="20"/>
                <w:szCs w:val="20"/>
              </w:rPr>
            </w:pPr>
            <w:r>
              <w:rPr>
                <w:rFonts w:ascii="黑体" w:hAnsi="黑体" w:cs="黑体" w:eastAsia="黑体" w:hint="default"/>
                <w:sz w:val="20"/>
                <w:szCs w:val="20"/>
              </w:rPr>
              <w:t>生育保险费</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53"/>
              <w:jc w:val="right"/>
              <w:rPr>
                <w:rFonts w:ascii="Arial" w:hAnsi="Arial" w:cs="Arial" w:eastAsia="Arial" w:hint="default"/>
                <w:sz w:val="20"/>
                <w:szCs w:val="20"/>
              </w:rPr>
            </w:pPr>
            <w:r>
              <w:rPr>
                <w:rFonts w:ascii="Arial"/>
                <w:spacing w:val="-1"/>
                <w:sz w:val="20"/>
              </w:rPr>
              <w:t>17,168</w:t>
            </w:r>
            <w:r>
              <w:rPr>
                <w:rFonts w:ascii="Arial"/>
                <w:sz w:val="20"/>
              </w:rPr>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33"/>
              <w:jc w:val="right"/>
              <w:rPr>
                <w:rFonts w:ascii="Arial" w:hAnsi="Arial" w:cs="Arial" w:eastAsia="Arial" w:hint="default"/>
                <w:sz w:val="20"/>
                <w:szCs w:val="20"/>
              </w:rPr>
            </w:pPr>
            <w:r>
              <w:rPr>
                <w:rFonts w:ascii="Arial"/>
                <w:spacing w:val="-1"/>
                <w:sz w:val="20"/>
              </w:rPr>
              <w:t>1,275,760</w:t>
            </w:r>
          </w:p>
        </w:tc>
        <w:tc>
          <w:tcPr>
            <w:tcW w:w="1482" w:type="dxa"/>
            <w:tcBorders>
              <w:top w:val="nil" w:sz="6" w:space="0" w:color="auto"/>
              <w:left w:val="nil" w:sz="6" w:space="0" w:color="auto"/>
              <w:bottom w:val="nil" w:sz="6" w:space="0" w:color="auto"/>
              <w:right w:val="nil" w:sz="6" w:space="0" w:color="auto"/>
            </w:tcBorders>
          </w:tcPr>
          <w:p>
            <w:pPr>
              <w:pStyle w:val="TableParagraph"/>
              <w:tabs>
                <w:tab w:pos="448" w:val="left" w:leader="none"/>
              </w:tabs>
              <w:spacing w:line="240" w:lineRule="auto" w:before="37"/>
              <w:ind w:right="22"/>
              <w:jc w:val="right"/>
              <w:rPr>
                <w:rFonts w:ascii="Arial" w:hAnsi="Arial" w:cs="Arial" w:eastAsia="Arial" w:hint="default"/>
                <w:sz w:val="20"/>
                <w:szCs w:val="20"/>
              </w:rPr>
            </w:pPr>
            <w:r>
              <w:rPr>
                <w:rFonts w:ascii="Arial"/>
                <w:w w:val="95"/>
                <w:sz w:val="20"/>
              </w:rPr>
              <w:t>(</w:t>
              <w:tab/>
            </w:r>
            <w:r>
              <w:rPr>
                <w:rFonts w:ascii="Arial"/>
                <w:spacing w:val="-1"/>
                <w:w w:val="95"/>
                <w:sz w:val="20"/>
              </w:rPr>
              <w:t>1,271,190</w:t>
            </w:r>
            <w:r>
              <w:rPr>
                <w:rFonts w:ascii="Arial"/>
                <w:sz w:val="20"/>
              </w:rPr>
            </w:r>
          </w:p>
        </w:tc>
        <w:tc>
          <w:tcPr>
            <w:tcW w:w="21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 w:right="0"/>
              <w:jc w:val="left"/>
              <w:rPr>
                <w:rFonts w:ascii="Arial" w:hAnsi="Arial" w:cs="Arial" w:eastAsia="Arial" w:hint="default"/>
                <w:sz w:val="20"/>
                <w:szCs w:val="20"/>
              </w:rPr>
            </w:pPr>
            <w:r>
              <w:rPr>
                <w:rFonts w:ascii="Arial"/>
                <w:w w:val="99"/>
                <w:sz w:val="20"/>
              </w:rPr>
              <w:t>)</w:t>
            </w:r>
            <w:r>
              <w:rPr>
                <w:rFonts w:ascii="Arial"/>
                <w:sz w:val="20"/>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2"/>
              <w:jc w:val="right"/>
              <w:rPr>
                <w:rFonts w:ascii="Arial" w:hAnsi="Arial" w:cs="Arial" w:eastAsia="Arial" w:hint="default"/>
                <w:sz w:val="20"/>
                <w:szCs w:val="20"/>
              </w:rPr>
            </w:pPr>
            <w:r>
              <w:rPr>
                <w:rFonts w:ascii="Arial"/>
                <w:spacing w:val="-1"/>
                <w:sz w:val="20"/>
              </w:rPr>
              <w:t>21,738</w:t>
            </w:r>
            <w:r>
              <w:rPr>
                <w:rFonts w:ascii="Arial"/>
                <w:sz w:val="20"/>
              </w:rPr>
            </w:r>
          </w:p>
        </w:tc>
      </w:tr>
      <w:tr>
        <w:trPr>
          <w:trHeight w:val="300" w:hRule="exact"/>
        </w:trPr>
        <w:tc>
          <w:tcPr>
            <w:tcW w:w="2461" w:type="dxa"/>
            <w:tcBorders>
              <w:top w:val="nil" w:sz="6" w:space="0" w:color="auto"/>
              <w:left w:val="nil" w:sz="6" w:space="0" w:color="auto"/>
              <w:bottom w:val="nil" w:sz="6" w:space="0" w:color="auto"/>
              <w:right w:val="nil" w:sz="6" w:space="0" w:color="auto"/>
            </w:tcBorders>
          </w:tcPr>
          <w:p>
            <w:pPr>
              <w:pStyle w:val="TableParagraph"/>
              <w:spacing w:line="236" w:lineRule="exact"/>
              <w:ind w:left="200" w:right="0"/>
              <w:jc w:val="left"/>
              <w:rPr>
                <w:rFonts w:ascii="黑体" w:hAnsi="黑体" w:cs="黑体" w:eastAsia="黑体" w:hint="default"/>
                <w:sz w:val="20"/>
                <w:szCs w:val="20"/>
              </w:rPr>
            </w:pPr>
            <w:r>
              <w:rPr>
                <w:rFonts w:ascii="黑体" w:hAnsi="黑体" w:cs="黑体" w:eastAsia="黑体" w:hint="default"/>
                <w:sz w:val="20"/>
                <w:szCs w:val="20"/>
              </w:rPr>
              <w:t>住房公积金</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52"/>
              <w:jc w:val="right"/>
              <w:rPr>
                <w:rFonts w:ascii="Arial" w:hAnsi="Arial" w:cs="Arial" w:eastAsia="Arial" w:hint="default"/>
                <w:sz w:val="20"/>
                <w:szCs w:val="20"/>
              </w:rPr>
            </w:pPr>
            <w:r>
              <w:rPr>
                <w:rFonts w:ascii="Arial"/>
                <w:spacing w:val="-1"/>
                <w:sz w:val="20"/>
              </w:rPr>
              <w:t>1,347,546</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34"/>
              <w:jc w:val="right"/>
              <w:rPr>
                <w:rFonts w:ascii="Arial" w:hAnsi="Arial" w:cs="Arial" w:eastAsia="Arial" w:hint="default"/>
                <w:sz w:val="20"/>
                <w:szCs w:val="20"/>
              </w:rPr>
            </w:pPr>
            <w:r>
              <w:rPr>
                <w:rFonts w:ascii="Arial"/>
                <w:spacing w:val="-1"/>
                <w:sz w:val="20"/>
              </w:rPr>
              <w:t>30,578,239</w:t>
            </w:r>
            <w:r>
              <w:rPr>
                <w:rFonts w:ascii="Arial"/>
                <w:sz w:val="20"/>
              </w:rPr>
            </w:r>
          </w:p>
        </w:tc>
        <w:tc>
          <w:tcPr>
            <w:tcW w:w="1482" w:type="dxa"/>
            <w:tcBorders>
              <w:top w:val="nil" w:sz="6" w:space="0" w:color="auto"/>
              <w:left w:val="nil" w:sz="6" w:space="0" w:color="auto"/>
              <w:bottom w:val="nil" w:sz="6" w:space="0" w:color="auto"/>
              <w:right w:val="nil" w:sz="6" w:space="0" w:color="auto"/>
            </w:tcBorders>
          </w:tcPr>
          <w:p>
            <w:pPr>
              <w:pStyle w:val="TableParagraph"/>
              <w:tabs>
                <w:tab w:pos="338" w:val="left" w:leader="none"/>
              </w:tabs>
              <w:spacing w:line="240" w:lineRule="auto" w:before="37"/>
              <w:ind w:right="22"/>
              <w:jc w:val="right"/>
              <w:rPr>
                <w:rFonts w:ascii="Arial" w:hAnsi="Arial" w:cs="Arial" w:eastAsia="Arial" w:hint="default"/>
                <w:sz w:val="20"/>
                <w:szCs w:val="20"/>
              </w:rPr>
            </w:pPr>
            <w:r>
              <w:rPr>
                <w:rFonts w:ascii="Arial"/>
                <w:w w:val="95"/>
                <w:sz w:val="20"/>
              </w:rPr>
              <w:t>(</w:t>
              <w:tab/>
            </w:r>
            <w:r>
              <w:rPr>
                <w:rFonts w:ascii="Arial"/>
                <w:spacing w:val="-1"/>
                <w:w w:val="95"/>
                <w:sz w:val="20"/>
              </w:rPr>
              <w:t>30,063,092</w:t>
            </w:r>
            <w:r>
              <w:rPr>
                <w:rFonts w:ascii="Arial"/>
                <w:sz w:val="20"/>
              </w:rPr>
            </w:r>
          </w:p>
        </w:tc>
        <w:tc>
          <w:tcPr>
            <w:tcW w:w="21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 w:right="0"/>
              <w:jc w:val="left"/>
              <w:rPr>
                <w:rFonts w:ascii="Arial" w:hAnsi="Arial" w:cs="Arial" w:eastAsia="Arial" w:hint="default"/>
                <w:sz w:val="20"/>
                <w:szCs w:val="20"/>
              </w:rPr>
            </w:pPr>
            <w:r>
              <w:rPr>
                <w:rFonts w:ascii="Arial"/>
                <w:w w:val="99"/>
                <w:sz w:val="20"/>
              </w:rPr>
              <w:t>)</w:t>
            </w:r>
            <w:r>
              <w:rPr>
                <w:rFonts w:ascii="Arial"/>
                <w:sz w:val="20"/>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1"/>
              <w:jc w:val="right"/>
              <w:rPr>
                <w:rFonts w:ascii="Arial" w:hAnsi="Arial" w:cs="Arial" w:eastAsia="Arial" w:hint="default"/>
                <w:sz w:val="20"/>
                <w:szCs w:val="20"/>
              </w:rPr>
            </w:pPr>
            <w:r>
              <w:rPr>
                <w:rFonts w:ascii="Arial"/>
                <w:spacing w:val="-1"/>
                <w:sz w:val="20"/>
              </w:rPr>
              <w:t>1,862,693</w:t>
            </w:r>
          </w:p>
        </w:tc>
      </w:tr>
      <w:tr>
        <w:trPr>
          <w:trHeight w:val="300" w:hRule="exact"/>
        </w:trPr>
        <w:tc>
          <w:tcPr>
            <w:tcW w:w="2461" w:type="dxa"/>
            <w:tcBorders>
              <w:top w:val="nil" w:sz="6" w:space="0" w:color="auto"/>
              <w:left w:val="nil" w:sz="6" w:space="0" w:color="auto"/>
              <w:bottom w:val="nil" w:sz="6" w:space="0" w:color="auto"/>
              <w:right w:val="nil" w:sz="6" w:space="0" w:color="auto"/>
            </w:tcBorders>
          </w:tcPr>
          <w:p>
            <w:pPr>
              <w:pStyle w:val="TableParagraph"/>
              <w:spacing w:line="236" w:lineRule="exact"/>
              <w:ind w:left="216" w:right="0"/>
              <w:jc w:val="left"/>
              <w:rPr>
                <w:rFonts w:ascii="黑体" w:hAnsi="黑体" w:cs="黑体" w:eastAsia="黑体" w:hint="default"/>
                <w:sz w:val="20"/>
                <w:szCs w:val="20"/>
              </w:rPr>
            </w:pPr>
            <w:r>
              <w:rPr>
                <w:rFonts w:ascii="黑体" w:hAnsi="黑体" w:cs="黑体" w:eastAsia="黑体" w:hint="default"/>
                <w:sz w:val="20"/>
                <w:szCs w:val="20"/>
              </w:rPr>
              <w:t>工会经费和职工教育经费</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52"/>
              <w:jc w:val="right"/>
              <w:rPr>
                <w:rFonts w:ascii="Arial" w:hAnsi="Arial" w:cs="Arial" w:eastAsia="Arial" w:hint="default"/>
                <w:sz w:val="20"/>
                <w:szCs w:val="20"/>
              </w:rPr>
            </w:pPr>
            <w:r>
              <w:rPr>
                <w:rFonts w:ascii="Arial"/>
                <w:spacing w:val="-1"/>
                <w:sz w:val="20"/>
              </w:rPr>
              <w:t>3,485,703</w:t>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33"/>
              <w:jc w:val="right"/>
              <w:rPr>
                <w:rFonts w:ascii="Arial" w:hAnsi="Arial" w:cs="Arial" w:eastAsia="Arial" w:hint="default"/>
                <w:sz w:val="20"/>
                <w:szCs w:val="20"/>
              </w:rPr>
            </w:pPr>
            <w:r>
              <w:rPr>
                <w:rFonts w:ascii="Arial"/>
                <w:spacing w:val="-1"/>
                <w:w w:val="95"/>
                <w:sz w:val="20"/>
              </w:rPr>
              <w:t>249,794</w:t>
            </w:r>
            <w:r>
              <w:rPr>
                <w:rFonts w:ascii="Arial"/>
                <w:sz w:val="20"/>
              </w:rPr>
            </w:r>
          </w:p>
        </w:tc>
        <w:tc>
          <w:tcPr>
            <w:tcW w:w="1482" w:type="dxa"/>
            <w:tcBorders>
              <w:top w:val="nil" w:sz="6" w:space="0" w:color="auto"/>
              <w:left w:val="nil" w:sz="6" w:space="0" w:color="auto"/>
              <w:bottom w:val="nil" w:sz="6" w:space="0" w:color="auto"/>
              <w:right w:val="nil" w:sz="6" w:space="0" w:color="auto"/>
            </w:tcBorders>
          </w:tcPr>
          <w:p>
            <w:pPr>
              <w:pStyle w:val="TableParagraph"/>
              <w:tabs>
                <w:tab w:pos="607" w:val="left" w:leader="none"/>
              </w:tabs>
              <w:spacing w:line="240" w:lineRule="auto" w:before="37"/>
              <w:ind w:right="22"/>
              <w:jc w:val="right"/>
              <w:rPr>
                <w:rFonts w:ascii="Arial" w:hAnsi="Arial" w:cs="Arial" w:eastAsia="Arial" w:hint="default"/>
                <w:sz w:val="20"/>
                <w:szCs w:val="20"/>
              </w:rPr>
            </w:pPr>
            <w:r>
              <w:rPr>
                <w:rFonts w:ascii="Arial"/>
                <w:w w:val="95"/>
                <w:sz w:val="20"/>
              </w:rPr>
              <w:t>(</w:t>
              <w:tab/>
            </w:r>
            <w:r>
              <w:rPr>
                <w:rFonts w:ascii="Arial"/>
                <w:spacing w:val="-1"/>
                <w:w w:val="95"/>
                <w:sz w:val="20"/>
              </w:rPr>
              <w:t>332,063</w:t>
            </w:r>
            <w:r>
              <w:rPr>
                <w:rFonts w:ascii="Arial"/>
                <w:sz w:val="20"/>
              </w:rPr>
            </w:r>
          </w:p>
        </w:tc>
        <w:tc>
          <w:tcPr>
            <w:tcW w:w="21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 w:right="0"/>
              <w:jc w:val="left"/>
              <w:rPr>
                <w:rFonts w:ascii="Arial" w:hAnsi="Arial" w:cs="Arial" w:eastAsia="Arial" w:hint="default"/>
                <w:sz w:val="20"/>
                <w:szCs w:val="20"/>
              </w:rPr>
            </w:pPr>
            <w:r>
              <w:rPr>
                <w:rFonts w:ascii="Arial"/>
                <w:w w:val="99"/>
                <w:sz w:val="20"/>
              </w:rPr>
              <w:t>)</w:t>
            </w:r>
            <w:r>
              <w:rPr>
                <w:rFonts w:ascii="Arial"/>
                <w:sz w:val="20"/>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1"/>
              <w:jc w:val="right"/>
              <w:rPr>
                <w:rFonts w:ascii="Arial" w:hAnsi="Arial" w:cs="Arial" w:eastAsia="Arial" w:hint="default"/>
                <w:sz w:val="20"/>
                <w:szCs w:val="20"/>
              </w:rPr>
            </w:pPr>
            <w:r>
              <w:rPr>
                <w:rFonts w:ascii="Arial"/>
                <w:spacing w:val="-1"/>
                <w:sz w:val="20"/>
              </w:rPr>
              <w:t>3,403,434</w:t>
            </w:r>
          </w:p>
        </w:tc>
      </w:tr>
      <w:tr>
        <w:trPr>
          <w:trHeight w:val="463" w:hRule="exact"/>
        </w:trPr>
        <w:tc>
          <w:tcPr>
            <w:tcW w:w="2461" w:type="dxa"/>
            <w:tcBorders>
              <w:top w:val="nil" w:sz="6" w:space="0" w:color="auto"/>
              <w:left w:val="nil" w:sz="6" w:space="0" w:color="auto"/>
              <w:bottom w:val="nil" w:sz="6" w:space="0" w:color="auto"/>
              <w:right w:val="nil" w:sz="6" w:space="0" w:color="auto"/>
            </w:tcBorders>
          </w:tcPr>
          <w:p>
            <w:pPr>
              <w:pStyle w:val="TableParagraph"/>
              <w:spacing w:line="236" w:lineRule="exact"/>
              <w:ind w:left="216"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300" w:type="dxa"/>
            <w:tcBorders>
              <w:top w:val="nil" w:sz="6" w:space="0" w:color="auto"/>
              <w:left w:val="nil" w:sz="6" w:space="0" w:color="auto"/>
              <w:bottom w:val="nil" w:sz="6" w:space="0" w:color="auto"/>
              <w:right w:val="nil" w:sz="6" w:space="0" w:color="auto"/>
            </w:tcBorders>
          </w:tcPr>
          <w:p>
            <w:pPr>
              <w:pStyle w:val="TableParagraph"/>
              <w:tabs>
                <w:tab w:pos="403" w:val="left" w:leader="none"/>
              </w:tabs>
              <w:spacing w:line="240" w:lineRule="auto" w:before="37"/>
              <w:ind w:right="153"/>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126,623</w:t>
            </w:r>
            <w:r>
              <w:rPr>
                <w:rFonts w:ascii="Arial"/>
                <w:spacing w:val="-1"/>
                <w:w w:val="95"/>
                <w:sz w:val="20"/>
              </w:rPr>
            </w:r>
            <w:r>
              <w:rPr>
                <w:rFonts w:ascii="Arial"/>
                <w:sz w:val="20"/>
              </w:rPr>
            </w:r>
          </w:p>
        </w:tc>
        <w:tc>
          <w:tcPr>
            <w:tcW w:w="1541" w:type="dxa"/>
            <w:tcBorders>
              <w:top w:val="nil" w:sz="6" w:space="0" w:color="auto"/>
              <w:left w:val="nil" w:sz="6" w:space="0" w:color="auto"/>
              <w:bottom w:val="nil" w:sz="6" w:space="0" w:color="auto"/>
              <w:right w:val="nil" w:sz="6" w:space="0" w:color="auto"/>
            </w:tcBorders>
          </w:tcPr>
          <w:p>
            <w:pPr>
              <w:pStyle w:val="TableParagraph"/>
              <w:tabs>
                <w:tab w:pos="501" w:val="left" w:leader="none"/>
              </w:tabs>
              <w:spacing w:line="240" w:lineRule="auto" w:before="37"/>
              <w:ind w:right="133"/>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sz w:val="20"/>
                <w:u w:val="single" w:color="000000"/>
              </w:rPr>
              <w:t>112,944</w:t>
            </w:r>
            <w:r>
              <w:rPr>
                <w:rFonts w:ascii="Arial"/>
                <w:spacing w:val="-1"/>
                <w:sz w:val="20"/>
              </w:rPr>
            </w:r>
          </w:p>
        </w:tc>
        <w:tc>
          <w:tcPr>
            <w:tcW w:w="1482" w:type="dxa"/>
            <w:tcBorders>
              <w:top w:val="nil" w:sz="6" w:space="0" w:color="auto"/>
              <w:left w:val="nil" w:sz="6" w:space="0" w:color="auto"/>
              <w:bottom w:val="nil" w:sz="6" w:space="0" w:color="auto"/>
              <w:right w:val="nil" w:sz="6" w:space="0" w:color="auto"/>
            </w:tcBorders>
          </w:tcPr>
          <w:p>
            <w:pPr>
              <w:pStyle w:val="TableParagraph"/>
              <w:tabs>
                <w:tab w:pos="590" w:val="left" w:leader="none"/>
              </w:tabs>
              <w:spacing w:line="240" w:lineRule="auto" w:before="37"/>
              <w:ind w:right="22"/>
              <w:jc w:val="right"/>
              <w:rPr>
                <w:rFonts w:ascii="Arial" w:hAnsi="Arial" w:cs="Arial" w:eastAsia="Arial" w:hint="default"/>
                <w:sz w:val="20"/>
                <w:szCs w:val="20"/>
              </w:rPr>
            </w:pPr>
            <w:r>
              <w:rPr>
                <w:rFonts w:ascii="Arial"/>
                <w:w w:val="95"/>
                <w:sz w:val="20"/>
              </w:rPr>
              <w:t>(</w:t>
            </w:r>
            <w:r>
              <w:rPr>
                <w:rFonts w:ascii="Arial"/>
                <w:w w:val="95"/>
                <w:sz w:val="20"/>
                <w:u w:val="single" w:color="000000"/>
              </w:rPr>
              <w:t> </w:t>
              <w:tab/>
            </w:r>
            <w:r>
              <w:rPr>
                <w:rFonts w:ascii="Arial"/>
                <w:spacing w:val="-1"/>
                <w:w w:val="95"/>
                <w:sz w:val="20"/>
                <w:u w:val="single" w:color="000000"/>
              </w:rPr>
              <w:t>122,128</w:t>
            </w:r>
            <w:r>
              <w:rPr>
                <w:rFonts w:ascii="Arial"/>
                <w:spacing w:val="-1"/>
                <w:w w:val="95"/>
                <w:sz w:val="20"/>
              </w:rPr>
            </w:r>
            <w:r>
              <w:rPr>
                <w:rFonts w:ascii="Arial"/>
                <w:sz w:val="20"/>
              </w:rPr>
            </w:r>
          </w:p>
        </w:tc>
        <w:tc>
          <w:tcPr>
            <w:tcW w:w="210"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 w:right="0"/>
              <w:jc w:val="left"/>
              <w:rPr>
                <w:rFonts w:ascii="Arial" w:hAnsi="Arial" w:cs="Arial" w:eastAsia="Arial" w:hint="default"/>
                <w:sz w:val="20"/>
                <w:szCs w:val="20"/>
              </w:rPr>
            </w:pPr>
            <w:r>
              <w:rPr>
                <w:rFonts w:ascii="Arial"/>
                <w:w w:val="99"/>
                <w:sz w:val="20"/>
              </w:rPr>
              <w:t>)</w:t>
            </w:r>
            <w:r>
              <w:rPr>
                <w:rFonts w:ascii="Arial"/>
                <w:sz w:val="20"/>
              </w:rPr>
            </w:r>
          </w:p>
        </w:tc>
        <w:tc>
          <w:tcPr>
            <w:tcW w:w="1276" w:type="dxa"/>
            <w:tcBorders>
              <w:top w:val="nil" w:sz="6" w:space="0" w:color="auto"/>
              <w:left w:val="nil" w:sz="6" w:space="0" w:color="auto"/>
              <w:bottom w:val="nil" w:sz="6" w:space="0" w:color="auto"/>
              <w:right w:val="nil" w:sz="6" w:space="0" w:color="auto"/>
            </w:tcBorders>
          </w:tcPr>
          <w:p>
            <w:pPr>
              <w:pStyle w:val="TableParagraph"/>
              <w:tabs>
                <w:tab w:pos="403" w:val="left" w:leader="none"/>
              </w:tabs>
              <w:spacing w:line="240" w:lineRule="auto" w:before="37"/>
              <w:ind w:right="22"/>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117,439</w:t>
            </w:r>
            <w:r>
              <w:rPr>
                <w:rFonts w:ascii="Arial"/>
                <w:spacing w:val="-1"/>
                <w:w w:val="95"/>
                <w:sz w:val="20"/>
              </w:rPr>
            </w:r>
            <w:r>
              <w:rPr>
                <w:rFonts w:ascii="Arial"/>
                <w:sz w:val="20"/>
              </w:rPr>
            </w:r>
          </w:p>
        </w:tc>
      </w:tr>
      <w:tr>
        <w:trPr>
          <w:trHeight w:val="400" w:hRule="exact"/>
        </w:trPr>
        <w:tc>
          <w:tcPr>
            <w:tcW w:w="2461" w:type="dxa"/>
            <w:tcBorders>
              <w:top w:val="nil" w:sz="6" w:space="0" w:color="auto"/>
              <w:left w:val="nil" w:sz="6" w:space="0" w:color="auto"/>
              <w:bottom w:val="nil" w:sz="6" w:space="0" w:color="auto"/>
              <w:right w:val="nil" w:sz="6" w:space="0" w:color="auto"/>
            </w:tcBorders>
          </w:tcPr>
          <w:p>
            <w:pP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153"/>
              <w:jc w:val="right"/>
              <w:rPr>
                <w:rFonts w:ascii="Arial" w:hAnsi="Arial" w:cs="Arial" w:eastAsia="Arial" w:hint="default"/>
                <w:sz w:val="20"/>
                <w:szCs w:val="20"/>
              </w:rPr>
            </w:pPr>
            <w:r>
              <w:rPr>
                <w:rFonts w:ascii="Arial"/>
                <w:w w:val="99"/>
                <w:sz w:val="20"/>
              </w:rPr>
            </w:r>
            <w:r>
              <w:rPr>
                <w:rFonts w:ascii="Arial"/>
                <w:spacing w:val="-1"/>
                <w:sz w:val="20"/>
                <w:u w:val="thick" w:color="000000"/>
              </w:rPr>
              <w:t>246,374,562</w:t>
            </w:r>
            <w:r>
              <w:rPr>
                <w:rFonts w:ascii="Arial"/>
                <w:spacing w:val="-1"/>
                <w:sz w:val="20"/>
              </w:rPr>
            </w:r>
            <w:r>
              <w:rPr>
                <w:rFonts w:ascii="Arial"/>
                <w:sz w:val="20"/>
              </w:rPr>
            </w:r>
          </w:p>
        </w:tc>
        <w:tc>
          <w:tcPr>
            <w:tcW w:w="1541"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134"/>
              <w:jc w:val="right"/>
              <w:rPr>
                <w:rFonts w:ascii="Arial" w:hAnsi="Arial" w:cs="Arial" w:eastAsia="Arial" w:hint="default"/>
                <w:sz w:val="20"/>
                <w:szCs w:val="20"/>
              </w:rPr>
            </w:pPr>
            <w:r>
              <w:rPr>
                <w:rFonts w:ascii="Arial"/>
                <w:w w:val="99"/>
                <w:sz w:val="20"/>
              </w:rPr>
            </w:r>
            <w:r>
              <w:rPr>
                <w:rFonts w:ascii="Arial"/>
                <w:spacing w:val="-1"/>
                <w:sz w:val="20"/>
                <w:u w:val="thick" w:color="000000"/>
              </w:rPr>
              <w:t>1,167,289,124</w:t>
            </w:r>
            <w:r>
              <w:rPr>
                <w:rFonts w:ascii="Arial"/>
                <w:spacing w:val="-1"/>
                <w:sz w:val="20"/>
              </w:rPr>
            </w:r>
            <w:r>
              <w:rPr>
                <w:rFonts w:ascii="Arial"/>
                <w:sz w:val="20"/>
              </w:rPr>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22"/>
              <w:jc w:val="right"/>
              <w:rPr>
                <w:rFonts w:ascii="Arial" w:hAnsi="Arial" w:cs="Arial" w:eastAsia="Arial" w:hint="default"/>
                <w:sz w:val="20"/>
                <w:szCs w:val="20"/>
              </w:rPr>
            </w:pPr>
            <w:r>
              <w:rPr>
                <w:rFonts w:ascii="Arial"/>
                <w:spacing w:val="-1"/>
                <w:sz w:val="20"/>
              </w:rPr>
              <w:t>(</w:t>
            </w:r>
            <w:r>
              <w:rPr>
                <w:rFonts w:ascii="Arial"/>
                <w:spacing w:val="-1"/>
                <w:sz w:val="20"/>
                <w:u w:val="thick" w:color="000000"/>
              </w:rPr>
              <w:t>1,055,218,335</w:t>
            </w:r>
            <w:r>
              <w:rPr>
                <w:rFonts w:ascii="Arial"/>
                <w:spacing w:val="-1"/>
                <w:sz w:val="20"/>
              </w:rPr>
            </w:r>
          </w:p>
        </w:tc>
        <w:tc>
          <w:tcPr>
            <w:tcW w:w="210"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1" w:right="0"/>
              <w:jc w:val="left"/>
              <w:rPr>
                <w:rFonts w:ascii="Arial" w:hAnsi="Arial" w:cs="Arial" w:eastAsia="Arial" w:hint="default"/>
                <w:sz w:val="20"/>
                <w:szCs w:val="20"/>
              </w:rPr>
            </w:pPr>
            <w:r>
              <w:rPr>
                <w:rFonts w:ascii="Arial"/>
                <w:w w:val="99"/>
                <w:sz w:val="20"/>
              </w:rPr>
              <w:t>)</w:t>
            </w:r>
            <w:r>
              <w:rPr>
                <w:rFonts w:ascii="Arial"/>
                <w:sz w:val="20"/>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22"/>
              <w:jc w:val="right"/>
              <w:rPr>
                <w:rFonts w:ascii="Arial" w:hAnsi="Arial" w:cs="Arial" w:eastAsia="Arial" w:hint="default"/>
                <w:sz w:val="20"/>
                <w:szCs w:val="20"/>
              </w:rPr>
            </w:pPr>
            <w:r>
              <w:rPr>
                <w:rFonts w:ascii="Arial"/>
                <w:w w:val="99"/>
                <w:sz w:val="20"/>
              </w:rPr>
            </w:r>
            <w:r>
              <w:rPr>
                <w:rFonts w:ascii="Arial"/>
                <w:spacing w:val="-1"/>
                <w:sz w:val="20"/>
                <w:u w:val="thick" w:color="000000"/>
              </w:rPr>
              <w:t>358,445,351</w:t>
            </w:r>
            <w:r>
              <w:rPr>
                <w:rFonts w:ascii="Arial"/>
                <w:spacing w:val="-1"/>
                <w:sz w:val="20"/>
              </w:rPr>
            </w:r>
            <w:r>
              <w:rPr>
                <w:rFonts w:ascii="Arial"/>
                <w:sz w:val="20"/>
              </w:rPr>
            </w:r>
          </w:p>
        </w:tc>
      </w:tr>
    </w:tbl>
    <w:p>
      <w:pPr>
        <w:spacing w:line="240" w:lineRule="auto" w:before="12"/>
        <w:rPr>
          <w:rFonts w:ascii="黑体" w:hAnsi="黑体" w:cs="黑体" w:eastAsia="黑体" w:hint="default"/>
          <w:b/>
          <w:bCs/>
          <w:sz w:val="12"/>
          <w:szCs w:val="12"/>
        </w:rPr>
      </w:pPr>
    </w:p>
    <w:p>
      <w:pPr>
        <w:pStyle w:val="BodyText"/>
        <w:spacing w:line="240" w:lineRule="auto" w:before="37"/>
        <w:ind w:left="749" w:right="0"/>
        <w:jc w:val="left"/>
      </w:pPr>
      <w:r>
        <w:rPr>
          <w:rFonts w:ascii="Arial" w:hAnsi="Arial" w:cs="Arial" w:eastAsia="Arial" w:hint="default"/>
          <w:spacing w:val="-1"/>
          <w:w w:val="99"/>
        </w:rPr>
        <w:t>201</w:t>
      </w:r>
      <w:r>
        <w:rPr>
          <w:rFonts w:ascii="Arial" w:hAnsi="Arial" w:cs="Arial" w:eastAsia="Arial" w:hint="default"/>
          <w:w w:val="99"/>
        </w:rPr>
        <w:t>2</w:t>
      </w:r>
      <w:r>
        <w:rPr>
          <w:rFonts w:ascii="Arial" w:hAnsi="Arial" w:cs="Arial" w:eastAsia="Arial" w:hint="default"/>
          <w:spacing w:val="-15"/>
        </w:rPr>
        <w:t> </w:t>
      </w:r>
      <w:r>
        <w:rPr>
          <w:w w:val="99"/>
        </w:rPr>
        <w:t>年工</w:t>
      </w:r>
      <w:r>
        <w:rPr>
          <w:spacing w:val="2"/>
          <w:w w:val="99"/>
        </w:rPr>
        <w:t>会</w:t>
      </w:r>
      <w:r>
        <w:rPr>
          <w:w w:val="99"/>
        </w:rPr>
        <w:t>经费</w:t>
      </w:r>
      <w:r>
        <w:rPr>
          <w:spacing w:val="2"/>
          <w:w w:val="99"/>
        </w:rPr>
        <w:t>和</w:t>
      </w:r>
      <w:r>
        <w:rPr>
          <w:w w:val="99"/>
        </w:rPr>
        <w:t>职工</w:t>
      </w:r>
      <w:r>
        <w:rPr>
          <w:spacing w:val="2"/>
          <w:w w:val="99"/>
        </w:rPr>
        <w:t>教</w:t>
      </w:r>
      <w:r>
        <w:rPr>
          <w:w w:val="99"/>
        </w:rPr>
        <w:t>育经费</w:t>
      </w:r>
      <w:r>
        <w:rPr>
          <w:spacing w:val="2"/>
          <w:w w:val="99"/>
        </w:rPr>
        <w:t>金</w:t>
      </w:r>
      <w:r>
        <w:rPr>
          <w:w w:val="99"/>
        </w:rPr>
        <w:t>额为</w:t>
      </w:r>
      <w:r>
        <w:rPr>
          <w:spacing w:val="2"/>
          <w:w w:val="99"/>
        </w:rPr>
        <w:t>人</w:t>
      </w:r>
      <w:r>
        <w:rPr>
          <w:w w:val="99"/>
        </w:rPr>
        <w:t>民币</w:t>
      </w:r>
      <w:r>
        <w:rPr>
          <w:spacing w:val="-62"/>
        </w:rPr>
        <w:t> </w:t>
      </w:r>
      <w:r>
        <w:rPr>
          <w:rFonts w:ascii="Arial" w:hAnsi="Arial" w:cs="Arial" w:eastAsia="Arial" w:hint="default"/>
          <w:spacing w:val="2"/>
          <w:w w:val="99"/>
        </w:rPr>
        <w:t>8</w:t>
      </w:r>
      <w:r>
        <w:rPr>
          <w:rFonts w:ascii="Arial" w:hAnsi="Arial" w:cs="Arial" w:eastAsia="Arial" w:hint="default"/>
          <w:spacing w:val="-1"/>
          <w:w w:val="99"/>
        </w:rPr>
        <w:t>49</w:t>
      </w:r>
      <w:r>
        <w:rPr>
          <w:rFonts w:ascii="Arial" w:hAnsi="Arial" w:cs="Arial" w:eastAsia="Arial" w:hint="default"/>
          <w:spacing w:val="-1"/>
          <w:w w:val="99"/>
        </w:rPr>
        <w:t>,</w:t>
      </w:r>
      <w:r>
        <w:rPr>
          <w:rFonts w:ascii="Arial" w:hAnsi="Arial" w:cs="Arial" w:eastAsia="Arial" w:hint="default"/>
          <w:spacing w:val="2"/>
          <w:w w:val="99"/>
        </w:rPr>
        <w:t>34</w:t>
      </w:r>
      <w:r>
        <w:rPr>
          <w:rFonts w:ascii="Arial" w:hAnsi="Arial" w:cs="Arial" w:eastAsia="Arial" w:hint="default"/>
          <w:w w:val="99"/>
        </w:rPr>
        <w:t>1</w:t>
      </w:r>
      <w:r>
        <w:rPr>
          <w:rFonts w:ascii="Arial" w:hAnsi="Arial" w:cs="Arial" w:eastAsia="Arial" w:hint="default"/>
          <w:spacing w:val="-18"/>
        </w:rPr>
        <w:t> </w:t>
      </w:r>
      <w:r>
        <w:rPr>
          <w:w w:val="99"/>
        </w:rPr>
        <w:t>元</w:t>
      </w:r>
      <w:r>
        <w:rPr>
          <w:rFonts w:ascii="Arial" w:hAnsi="Arial" w:cs="Arial" w:eastAsia="Arial" w:hint="default"/>
          <w:w w:val="99"/>
        </w:rPr>
        <w:t>(</w:t>
      </w:r>
      <w:r>
        <w:rPr>
          <w:rFonts w:ascii="Arial" w:hAnsi="Arial" w:cs="Arial" w:eastAsia="Arial" w:hint="default"/>
          <w:spacing w:val="-1"/>
          <w:w w:val="99"/>
        </w:rPr>
        <w:t>20</w:t>
      </w:r>
      <w:r>
        <w:rPr>
          <w:rFonts w:ascii="Arial" w:hAnsi="Arial" w:cs="Arial" w:eastAsia="Arial" w:hint="default"/>
          <w:spacing w:val="2"/>
          <w:w w:val="99"/>
        </w:rPr>
        <w:t>1</w:t>
      </w:r>
      <w:r>
        <w:rPr>
          <w:rFonts w:ascii="Arial" w:hAnsi="Arial" w:cs="Arial" w:eastAsia="Arial" w:hint="default"/>
          <w:w w:val="99"/>
        </w:rPr>
        <w:t>1</w:t>
      </w:r>
      <w:r>
        <w:rPr>
          <w:rFonts w:ascii="Arial" w:hAnsi="Arial" w:cs="Arial" w:eastAsia="Arial" w:hint="default"/>
          <w:spacing w:val="-18"/>
        </w:rPr>
        <w:t> </w:t>
      </w:r>
      <w:r>
        <w:rPr>
          <w:spacing w:val="2"/>
          <w:w w:val="99"/>
        </w:rPr>
        <w:t>年</w:t>
      </w:r>
      <w:r>
        <w:rPr>
          <w:spacing w:val="-101"/>
          <w:w w:val="99"/>
        </w:rPr>
        <w:t>：</w:t>
      </w:r>
      <w:r>
        <w:rPr>
          <w:w w:val="99"/>
        </w:rPr>
        <w:t>人民币</w:t>
      </w:r>
      <w:r>
        <w:rPr>
          <w:spacing w:val="-60"/>
        </w:rPr>
        <w:t> </w:t>
      </w:r>
      <w:r>
        <w:rPr>
          <w:rFonts w:ascii="Arial" w:hAnsi="Arial" w:cs="Arial" w:eastAsia="Arial" w:hint="default"/>
          <w:spacing w:val="-1"/>
          <w:w w:val="99"/>
        </w:rPr>
        <w:t>24</w:t>
      </w:r>
      <w:r>
        <w:rPr>
          <w:rFonts w:ascii="Arial" w:hAnsi="Arial" w:cs="Arial" w:eastAsia="Arial" w:hint="default"/>
          <w:spacing w:val="2"/>
          <w:w w:val="99"/>
        </w:rPr>
        <w:t>9</w:t>
      </w:r>
      <w:r>
        <w:rPr>
          <w:rFonts w:ascii="Arial" w:hAnsi="Arial" w:cs="Arial" w:eastAsia="Arial" w:hint="default"/>
          <w:spacing w:val="-1"/>
          <w:w w:val="99"/>
        </w:rPr>
        <w:t>,</w:t>
      </w:r>
      <w:r>
        <w:rPr>
          <w:rFonts w:ascii="Arial" w:hAnsi="Arial" w:cs="Arial" w:eastAsia="Arial" w:hint="default"/>
          <w:spacing w:val="-1"/>
          <w:w w:val="99"/>
        </w:rPr>
        <w:t>7</w:t>
      </w:r>
      <w:r>
        <w:rPr>
          <w:rFonts w:ascii="Arial" w:hAnsi="Arial" w:cs="Arial" w:eastAsia="Arial" w:hint="default"/>
          <w:spacing w:val="2"/>
          <w:w w:val="99"/>
        </w:rPr>
        <w:t>9</w:t>
      </w:r>
      <w:r>
        <w:rPr>
          <w:rFonts w:ascii="Arial" w:hAnsi="Arial" w:cs="Arial" w:eastAsia="Arial" w:hint="default"/>
          <w:w w:val="99"/>
        </w:rPr>
        <w:t>4</w:t>
      </w:r>
      <w:r>
        <w:rPr>
          <w:rFonts w:ascii="Arial" w:hAnsi="Arial" w:cs="Arial" w:eastAsia="Arial" w:hint="default"/>
          <w:spacing w:val="-18"/>
        </w:rPr>
        <w:t> </w:t>
      </w:r>
      <w:r>
        <w:rPr>
          <w:w w:val="99"/>
        </w:rPr>
        <w:t>元</w:t>
      </w:r>
      <w:r>
        <w:rPr>
          <w:rFonts w:ascii="Arial" w:hAnsi="Arial" w:cs="Arial" w:eastAsia="Arial" w:hint="default"/>
          <w:w w:val="99"/>
        </w:rPr>
        <w:t>)</w:t>
      </w:r>
      <w:r>
        <w:rPr>
          <w:w w:val="99"/>
        </w:rPr>
        <w:t>。</w:t>
      </w:r>
      <w:r>
        <w:rPr/>
      </w:r>
    </w:p>
    <w:p>
      <w:pPr>
        <w:spacing w:after="0" w:line="240" w:lineRule="auto"/>
        <w:jc w:val="left"/>
        <w:sectPr>
          <w:pgSz w:w="11910" w:h="16850"/>
          <w:pgMar w:header="957" w:footer="473" w:top="2600" w:bottom="660" w:left="1660" w:right="1320"/>
        </w:sectPr>
      </w:pPr>
    </w:p>
    <w:p>
      <w:pPr>
        <w:spacing w:line="240" w:lineRule="auto" w:before="7"/>
        <w:rPr>
          <w:rFonts w:ascii="黑体" w:hAnsi="黑体" w:cs="黑体" w:eastAsia="黑体" w:hint="default"/>
          <w:sz w:val="15"/>
          <w:szCs w:val="15"/>
        </w:rPr>
      </w:pPr>
    </w:p>
    <w:p>
      <w:pPr>
        <w:pStyle w:val="Heading6"/>
        <w:spacing w:line="240" w:lineRule="auto"/>
        <w:ind w:left="142" w:right="4838"/>
        <w:jc w:val="left"/>
        <w:rPr>
          <w:b w:val="0"/>
          <w:bCs w:val="0"/>
        </w:rPr>
      </w:pPr>
      <w:r>
        <w:rPr/>
        <w:t>十三、公司财务报表主要项目注释（续）</w:t>
      </w:r>
      <w:r>
        <w:rPr>
          <w:b w:val="0"/>
          <w:bCs w:val="0"/>
        </w:rPr>
      </w:r>
    </w:p>
    <w:p>
      <w:pPr>
        <w:spacing w:line="240" w:lineRule="auto" w:before="5"/>
        <w:rPr>
          <w:rFonts w:ascii="黑体" w:hAnsi="黑体" w:cs="黑体" w:eastAsia="黑体" w:hint="default"/>
          <w:b/>
          <w:bCs/>
          <w:sz w:val="17"/>
          <w:szCs w:val="17"/>
        </w:rPr>
      </w:pPr>
    </w:p>
    <w:p>
      <w:pPr>
        <w:pStyle w:val="Heading6"/>
        <w:tabs>
          <w:tab w:pos="831" w:val="left" w:leader="none"/>
        </w:tabs>
        <w:spacing w:line="240" w:lineRule="auto" w:before="0"/>
        <w:ind w:left="151" w:right="4838"/>
        <w:jc w:val="left"/>
        <w:rPr>
          <w:b w:val="0"/>
          <w:bCs w:val="0"/>
        </w:rPr>
      </w:pPr>
      <w:r>
        <w:rPr>
          <w:rFonts w:ascii="Arial" w:hAnsi="Arial" w:cs="Arial" w:eastAsia="Arial" w:hint="default"/>
          <w:spacing w:val="-1"/>
          <w:w w:val="95"/>
        </w:rPr>
        <w:t>20.</w:t>
        <w:tab/>
      </w:r>
      <w:r>
        <w:rPr>
          <w:spacing w:val="2"/>
        </w:rPr>
        <w:t>应交税费</w:t>
      </w:r>
      <w:r>
        <w:rPr>
          <w:b w:val="0"/>
          <w:bCs w:val="0"/>
        </w:rPr>
      </w:r>
    </w:p>
    <w:p>
      <w:pPr>
        <w:spacing w:line="240" w:lineRule="auto" w:before="1"/>
        <w:rPr>
          <w:rFonts w:ascii="黑体" w:hAnsi="黑体" w:cs="黑体" w:eastAsia="黑体" w:hint="default"/>
          <w:b/>
          <w:bCs/>
          <w:sz w:val="21"/>
          <w:szCs w:val="21"/>
        </w:rPr>
      </w:pPr>
    </w:p>
    <w:tbl>
      <w:tblPr>
        <w:tblW w:w="0" w:type="auto"/>
        <w:jc w:val="left"/>
        <w:tblInd w:w="564" w:type="dxa"/>
        <w:tblLayout w:type="fixed"/>
        <w:tblCellMar>
          <w:top w:w="0" w:type="dxa"/>
          <w:left w:w="0" w:type="dxa"/>
          <w:bottom w:w="0" w:type="dxa"/>
          <w:right w:w="0" w:type="dxa"/>
        </w:tblCellMar>
        <w:tblLook w:val="01E0"/>
      </w:tblPr>
      <w:tblGrid>
        <w:gridCol w:w="3507"/>
        <w:gridCol w:w="2985"/>
        <w:gridCol w:w="1674"/>
      </w:tblGrid>
      <w:tr>
        <w:trPr>
          <w:trHeight w:val="234" w:hRule="exact"/>
        </w:trPr>
        <w:tc>
          <w:tcPr>
            <w:tcW w:w="3507" w:type="dxa"/>
            <w:tcBorders>
              <w:top w:val="nil" w:sz="6" w:space="0" w:color="auto"/>
              <w:left w:val="nil" w:sz="6" w:space="0" w:color="auto"/>
              <w:bottom w:val="nil" w:sz="6" w:space="0" w:color="auto"/>
              <w:right w:val="nil" w:sz="6" w:space="0" w:color="auto"/>
            </w:tcBorders>
          </w:tcPr>
          <w:p>
            <w:pPr/>
          </w:p>
        </w:tc>
        <w:tc>
          <w:tcPr>
            <w:tcW w:w="2985" w:type="dxa"/>
            <w:tcBorders>
              <w:top w:val="nil" w:sz="6" w:space="0" w:color="auto"/>
              <w:left w:val="nil" w:sz="6" w:space="0" w:color="auto"/>
              <w:bottom w:val="nil" w:sz="6" w:space="0" w:color="auto"/>
              <w:right w:val="nil" w:sz="6" w:space="0" w:color="auto"/>
            </w:tcBorders>
          </w:tcPr>
          <w:p>
            <w:pPr>
              <w:pStyle w:val="TableParagraph"/>
              <w:spacing w:line="214" w:lineRule="exact"/>
              <w:ind w:right="367"/>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1674" w:type="dxa"/>
            <w:tcBorders>
              <w:top w:val="nil" w:sz="6" w:space="0" w:color="auto"/>
              <w:left w:val="nil" w:sz="6" w:space="0" w:color="auto"/>
              <w:bottom w:val="nil" w:sz="6" w:space="0" w:color="auto"/>
              <w:right w:val="nil" w:sz="6" w:space="0" w:color="auto"/>
            </w:tcBorders>
          </w:tcPr>
          <w:p>
            <w:pPr>
              <w:pStyle w:val="TableParagraph"/>
              <w:spacing w:line="214" w:lineRule="exact"/>
              <w:ind w:right="198"/>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r>
      <w:tr>
        <w:trPr>
          <w:trHeight w:val="353" w:hRule="exact"/>
        </w:trPr>
        <w:tc>
          <w:tcPr>
            <w:tcW w:w="3507" w:type="dxa"/>
            <w:tcBorders>
              <w:top w:val="nil" w:sz="6" w:space="0" w:color="auto"/>
              <w:left w:val="nil" w:sz="6" w:space="0" w:color="auto"/>
              <w:bottom w:val="nil" w:sz="6" w:space="0" w:color="auto"/>
              <w:right w:val="nil" w:sz="6" w:space="0" w:color="auto"/>
            </w:tcBorders>
          </w:tcPr>
          <w:p>
            <w:pPr/>
          </w:p>
        </w:tc>
        <w:tc>
          <w:tcPr>
            <w:tcW w:w="2985" w:type="dxa"/>
            <w:tcBorders>
              <w:top w:val="nil" w:sz="6" w:space="0" w:color="auto"/>
              <w:left w:val="nil" w:sz="6" w:space="0" w:color="auto"/>
              <w:bottom w:val="nil" w:sz="6" w:space="0" w:color="auto"/>
              <w:right w:val="nil" w:sz="6" w:space="0" w:color="auto"/>
            </w:tcBorders>
          </w:tcPr>
          <w:p>
            <w:pPr>
              <w:pStyle w:val="TableParagraph"/>
              <w:spacing w:line="239" w:lineRule="exact"/>
              <w:ind w:right="367"/>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674" w:type="dxa"/>
            <w:tcBorders>
              <w:top w:val="nil" w:sz="6" w:space="0" w:color="auto"/>
              <w:left w:val="nil" w:sz="6" w:space="0" w:color="auto"/>
              <w:bottom w:val="nil" w:sz="6" w:space="0" w:color="auto"/>
              <w:right w:val="nil" w:sz="6" w:space="0" w:color="auto"/>
            </w:tcBorders>
          </w:tcPr>
          <w:p>
            <w:pPr>
              <w:pStyle w:val="TableParagraph"/>
              <w:spacing w:line="239" w:lineRule="exact"/>
              <w:ind w:right="198"/>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r>
      <w:tr>
        <w:trPr>
          <w:trHeight w:val="352" w:hRule="exact"/>
        </w:trPr>
        <w:tc>
          <w:tcPr>
            <w:tcW w:w="3507"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00" w:right="0"/>
              <w:jc w:val="left"/>
              <w:rPr>
                <w:rFonts w:ascii="黑体" w:hAnsi="黑体" w:cs="黑体" w:eastAsia="黑体" w:hint="default"/>
                <w:sz w:val="20"/>
                <w:szCs w:val="20"/>
              </w:rPr>
            </w:pPr>
            <w:r>
              <w:rPr>
                <w:rFonts w:ascii="黑体" w:hAnsi="黑体" w:cs="黑体" w:eastAsia="黑体" w:hint="default"/>
                <w:sz w:val="20"/>
                <w:szCs w:val="20"/>
              </w:rPr>
              <w:t>增值税</w:t>
            </w:r>
          </w:p>
        </w:tc>
        <w:tc>
          <w:tcPr>
            <w:tcW w:w="298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64"/>
              <w:jc w:val="right"/>
              <w:rPr>
                <w:rFonts w:ascii="Arial" w:hAnsi="Arial" w:cs="Arial" w:eastAsia="Arial" w:hint="default"/>
                <w:sz w:val="20"/>
                <w:szCs w:val="20"/>
              </w:rPr>
            </w:pPr>
            <w:r>
              <w:rPr>
                <w:rFonts w:ascii="Arial"/>
                <w:spacing w:val="-1"/>
                <w:sz w:val="20"/>
              </w:rPr>
              <w:t>104,705,685</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98"/>
              <w:jc w:val="right"/>
              <w:rPr>
                <w:rFonts w:ascii="Arial" w:hAnsi="Arial" w:cs="Arial" w:eastAsia="Arial" w:hint="default"/>
                <w:sz w:val="20"/>
                <w:szCs w:val="20"/>
              </w:rPr>
            </w:pPr>
            <w:r>
              <w:rPr>
                <w:rFonts w:ascii="Arial"/>
                <w:spacing w:val="-1"/>
                <w:sz w:val="20"/>
              </w:rPr>
              <w:t>124,130,477</w:t>
            </w:r>
            <w:r>
              <w:rPr>
                <w:rFonts w:ascii="Arial"/>
                <w:sz w:val="20"/>
              </w:rPr>
            </w:r>
          </w:p>
        </w:tc>
      </w:tr>
      <w:tr>
        <w:trPr>
          <w:trHeight w:val="259" w:hRule="exact"/>
        </w:trPr>
        <w:tc>
          <w:tcPr>
            <w:tcW w:w="3507"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营业税</w:t>
            </w:r>
          </w:p>
        </w:tc>
        <w:tc>
          <w:tcPr>
            <w:tcW w:w="298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65"/>
              <w:jc w:val="right"/>
              <w:rPr>
                <w:rFonts w:ascii="Arial" w:hAnsi="Arial" w:cs="Arial" w:eastAsia="Arial" w:hint="default"/>
                <w:sz w:val="20"/>
                <w:szCs w:val="20"/>
              </w:rPr>
            </w:pPr>
            <w:r>
              <w:rPr>
                <w:rFonts w:ascii="Arial"/>
                <w:spacing w:val="-1"/>
                <w:w w:val="95"/>
                <w:sz w:val="20"/>
              </w:rPr>
              <w:t>5,706,851</w:t>
            </w:r>
            <w:r>
              <w:rPr>
                <w:rFonts w:ascii="Arial"/>
                <w:sz w:val="20"/>
              </w:rPr>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spacing w:val="-1"/>
                <w:sz w:val="20"/>
              </w:rPr>
              <w:t>13,202,944</w:t>
            </w:r>
            <w:r>
              <w:rPr>
                <w:rFonts w:ascii="Arial"/>
                <w:sz w:val="20"/>
              </w:rPr>
            </w:r>
          </w:p>
        </w:tc>
      </w:tr>
      <w:tr>
        <w:trPr>
          <w:trHeight w:val="259" w:hRule="exact"/>
        </w:trPr>
        <w:tc>
          <w:tcPr>
            <w:tcW w:w="3507"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企业所得税</w:t>
            </w:r>
          </w:p>
        </w:tc>
        <w:tc>
          <w:tcPr>
            <w:tcW w:w="298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65"/>
              <w:jc w:val="right"/>
              <w:rPr>
                <w:rFonts w:ascii="Arial" w:hAnsi="Arial" w:cs="Arial" w:eastAsia="Arial" w:hint="default"/>
                <w:sz w:val="20"/>
                <w:szCs w:val="20"/>
              </w:rPr>
            </w:pPr>
            <w:r>
              <w:rPr>
                <w:rFonts w:ascii="Arial"/>
                <w:spacing w:val="-1"/>
                <w:w w:val="95"/>
                <w:sz w:val="20"/>
              </w:rPr>
              <w:t>16,674,804</w:t>
            </w:r>
            <w:r>
              <w:rPr>
                <w:rFonts w:ascii="Arial"/>
                <w:sz w:val="20"/>
              </w:rPr>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spacing w:val="-1"/>
                <w:sz w:val="20"/>
              </w:rPr>
              <w:t>68,193,578</w:t>
            </w:r>
            <w:r>
              <w:rPr>
                <w:rFonts w:ascii="Arial"/>
                <w:sz w:val="20"/>
              </w:rPr>
            </w:r>
          </w:p>
        </w:tc>
      </w:tr>
      <w:tr>
        <w:trPr>
          <w:trHeight w:val="259" w:hRule="exact"/>
        </w:trPr>
        <w:tc>
          <w:tcPr>
            <w:tcW w:w="3507"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个人所得税</w:t>
            </w:r>
          </w:p>
        </w:tc>
        <w:tc>
          <w:tcPr>
            <w:tcW w:w="298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65"/>
              <w:jc w:val="right"/>
              <w:rPr>
                <w:rFonts w:ascii="Arial" w:hAnsi="Arial" w:cs="Arial" w:eastAsia="Arial" w:hint="default"/>
                <w:sz w:val="20"/>
                <w:szCs w:val="20"/>
              </w:rPr>
            </w:pPr>
            <w:r>
              <w:rPr>
                <w:rFonts w:ascii="Arial"/>
                <w:spacing w:val="-1"/>
                <w:w w:val="95"/>
                <w:sz w:val="20"/>
              </w:rPr>
              <w:t>3,853,730</w:t>
            </w:r>
            <w:r>
              <w:rPr>
                <w:rFonts w:ascii="Arial"/>
                <w:sz w:val="20"/>
              </w:rPr>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spacing w:val="-1"/>
                <w:sz w:val="20"/>
              </w:rPr>
              <w:t>2,931,872</w:t>
            </w:r>
          </w:p>
        </w:tc>
      </w:tr>
      <w:tr>
        <w:trPr>
          <w:trHeight w:val="259" w:hRule="exact"/>
        </w:trPr>
        <w:tc>
          <w:tcPr>
            <w:tcW w:w="3507"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城建税及教育费附加</w:t>
            </w:r>
          </w:p>
        </w:tc>
        <w:tc>
          <w:tcPr>
            <w:tcW w:w="298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64"/>
              <w:jc w:val="right"/>
              <w:rPr>
                <w:rFonts w:ascii="Arial" w:hAnsi="Arial" w:cs="Arial" w:eastAsia="Arial" w:hint="default"/>
                <w:sz w:val="20"/>
                <w:szCs w:val="20"/>
              </w:rPr>
            </w:pPr>
            <w:r>
              <w:rPr>
                <w:rFonts w:ascii="Arial"/>
                <w:spacing w:val="-1"/>
                <w:w w:val="95"/>
                <w:sz w:val="20"/>
              </w:rPr>
              <w:t>13,085,634</w:t>
            </w:r>
            <w:r>
              <w:rPr>
                <w:rFonts w:ascii="Arial"/>
                <w:spacing w:val="-1"/>
                <w:sz w:val="20"/>
              </w:rPr>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spacing w:val="-1"/>
                <w:sz w:val="20"/>
              </w:rPr>
              <w:t>12,815,516</w:t>
            </w:r>
            <w:r>
              <w:rPr>
                <w:rFonts w:ascii="Arial"/>
                <w:sz w:val="20"/>
              </w:rPr>
            </w:r>
          </w:p>
        </w:tc>
      </w:tr>
      <w:tr>
        <w:trPr>
          <w:trHeight w:val="389" w:hRule="exact"/>
        </w:trPr>
        <w:tc>
          <w:tcPr>
            <w:tcW w:w="3507"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2985" w:type="dxa"/>
            <w:tcBorders>
              <w:top w:val="nil" w:sz="6" w:space="0" w:color="auto"/>
              <w:left w:val="nil" w:sz="6" w:space="0" w:color="auto"/>
              <w:bottom w:val="nil" w:sz="6" w:space="0" w:color="auto"/>
              <w:right w:val="nil" w:sz="6" w:space="0" w:color="auto"/>
            </w:tcBorders>
          </w:tcPr>
          <w:p>
            <w:pPr>
              <w:pStyle w:val="TableParagraph"/>
              <w:tabs>
                <w:tab w:pos="1012" w:val="left" w:leader="none"/>
              </w:tabs>
              <w:spacing w:line="240" w:lineRule="auto" w:before="7"/>
              <w:ind w:right="363"/>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1"/>
                <w:sz w:val="20"/>
                <w:u w:val="single" w:color="000000"/>
              </w:rPr>
              <w:t> </w:t>
            </w:r>
            <w:r>
              <w:rPr>
                <w:rFonts w:ascii="Arial"/>
                <w:spacing w:val="-1"/>
                <w:w w:val="95"/>
                <w:sz w:val="20"/>
                <w:u w:val="single" w:color="000000"/>
              </w:rPr>
              <w:t>1,279,280</w:t>
            </w:r>
            <w:r>
              <w:rPr>
                <w:rFonts w:ascii="Arial"/>
                <w:spacing w:val="-1"/>
                <w:w w:val="95"/>
                <w:sz w:val="20"/>
              </w:rPr>
            </w:r>
            <w:r>
              <w:rPr>
                <w:rFonts w:ascii="Arial"/>
                <w:sz w:val="20"/>
              </w:rPr>
            </w:r>
          </w:p>
        </w:tc>
      </w:tr>
      <w:tr>
        <w:trPr>
          <w:trHeight w:val="355" w:hRule="exact"/>
        </w:trPr>
        <w:tc>
          <w:tcPr>
            <w:tcW w:w="3507" w:type="dxa"/>
            <w:tcBorders>
              <w:top w:val="nil" w:sz="6" w:space="0" w:color="auto"/>
              <w:left w:val="nil" w:sz="6" w:space="0" w:color="auto"/>
              <w:bottom w:val="nil" w:sz="6" w:space="0" w:color="auto"/>
              <w:right w:val="nil" w:sz="6" w:space="0" w:color="auto"/>
            </w:tcBorders>
          </w:tcPr>
          <w:p>
            <w:pPr/>
          </w:p>
        </w:tc>
        <w:tc>
          <w:tcPr>
            <w:tcW w:w="2985"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65"/>
              <w:jc w:val="right"/>
              <w:rPr>
                <w:rFonts w:ascii="Arial" w:hAnsi="Arial" w:cs="Arial" w:eastAsia="Arial" w:hint="default"/>
                <w:sz w:val="20"/>
                <w:szCs w:val="20"/>
              </w:rPr>
            </w:pPr>
            <w:r>
              <w:rPr>
                <w:rFonts w:ascii="Arial"/>
                <w:w w:val="99"/>
                <w:sz w:val="20"/>
              </w:rPr>
            </w:r>
            <w:r>
              <w:rPr>
                <w:rFonts w:ascii="Arial"/>
                <w:spacing w:val="-1"/>
                <w:sz w:val="20"/>
                <w:u w:val="thick" w:color="000000"/>
              </w:rPr>
              <w:t>144,026,704</w:t>
            </w:r>
            <w:r>
              <w:rPr>
                <w:rFonts w:ascii="Arial"/>
                <w:spacing w:val="-1"/>
                <w:sz w:val="20"/>
              </w:rPr>
            </w:r>
            <w:r>
              <w:rPr>
                <w:rFonts w:ascii="Arial"/>
                <w:sz w:val="20"/>
              </w:rPr>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222,553,667</w:t>
            </w:r>
            <w:r>
              <w:rPr>
                <w:rFonts w:ascii="Arial"/>
                <w:spacing w:val="-1"/>
                <w:sz w:val="20"/>
              </w:rPr>
            </w:r>
            <w:r>
              <w:rPr>
                <w:rFonts w:ascii="Arial"/>
                <w:sz w:val="20"/>
              </w:rPr>
            </w:r>
          </w:p>
        </w:tc>
      </w:tr>
    </w:tbl>
    <w:p>
      <w:pPr>
        <w:spacing w:line="240" w:lineRule="auto" w:before="13"/>
        <w:rPr>
          <w:rFonts w:ascii="黑体" w:hAnsi="黑体" w:cs="黑体" w:eastAsia="黑体" w:hint="default"/>
          <w:b/>
          <w:bCs/>
          <w:sz w:val="13"/>
          <w:szCs w:val="13"/>
        </w:rPr>
      </w:pPr>
    </w:p>
    <w:p>
      <w:pPr>
        <w:pStyle w:val="Heading6"/>
        <w:tabs>
          <w:tab w:pos="845" w:val="left" w:leader="none"/>
        </w:tabs>
        <w:spacing w:line="240" w:lineRule="auto"/>
        <w:ind w:left="166" w:right="4838"/>
        <w:jc w:val="left"/>
        <w:rPr>
          <w:b w:val="0"/>
          <w:bCs w:val="0"/>
        </w:rPr>
      </w:pPr>
      <w:r>
        <w:rPr>
          <w:rFonts w:ascii="Arial" w:hAnsi="Arial" w:cs="Arial" w:eastAsia="Arial" w:hint="default"/>
          <w:spacing w:val="-1"/>
          <w:w w:val="95"/>
        </w:rPr>
        <w:t>21.</w:t>
        <w:tab/>
      </w:r>
      <w:r>
        <w:rPr>
          <w:spacing w:val="2"/>
        </w:rPr>
        <w:t>其他应付款</w:t>
      </w:r>
      <w:r>
        <w:rPr>
          <w:b w:val="0"/>
          <w:bCs w:val="0"/>
        </w:rPr>
      </w:r>
    </w:p>
    <w:p>
      <w:pPr>
        <w:spacing w:line="240" w:lineRule="auto" w:before="1"/>
        <w:rPr>
          <w:rFonts w:ascii="黑体" w:hAnsi="黑体" w:cs="黑体" w:eastAsia="黑体" w:hint="default"/>
          <w:b/>
          <w:bCs/>
          <w:sz w:val="21"/>
          <w:szCs w:val="21"/>
        </w:rPr>
      </w:pPr>
    </w:p>
    <w:tbl>
      <w:tblPr>
        <w:tblW w:w="0" w:type="auto"/>
        <w:jc w:val="left"/>
        <w:tblInd w:w="578" w:type="dxa"/>
        <w:tblLayout w:type="fixed"/>
        <w:tblCellMar>
          <w:top w:w="0" w:type="dxa"/>
          <w:left w:w="0" w:type="dxa"/>
          <w:bottom w:w="0" w:type="dxa"/>
          <w:right w:w="0" w:type="dxa"/>
        </w:tblCellMar>
        <w:tblLook w:val="01E0"/>
      </w:tblPr>
      <w:tblGrid>
        <w:gridCol w:w="3721"/>
        <w:gridCol w:w="2755"/>
        <w:gridCol w:w="1676"/>
      </w:tblGrid>
      <w:tr>
        <w:trPr>
          <w:trHeight w:val="234" w:hRule="exact"/>
        </w:trPr>
        <w:tc>
          <w:tcPr>
            <w:tcW w:w="3721" w:type="dxa"/>
            <w:tcBorders>
              <w:top w:val="nil" w:sz="6" w:space="0" w:color="auto"/>
              <w:left w:val="nil" w:sz="6" w:space="0" w:color="auto"/>
              <w:bottom w:val="nil" w:sz="6" w:space="0" w:color="auto"/>
              <w:right w:val="nil" w:sz="6" w:space="0" w:color="auto"/>
            </w:tcBorders>
          </w:tcPr>
          <w:p>
            <w:pPr/>
          </w:p>
        </w:tc>
        <w:tc>
          <w:tcPr>
            <w:tcW w:w="2755" w:type="dxa"/>
            <w:tcBorders>
              <w:top w:val="nil" w:sz="6" w:space="0" w:color="auto"/>
              <w:left w:val="nil" w:sz="6" w:space="0" w:color="auto"/>
              <w:bottom w:val="nil" w:sz="6" w:space="0" w:color="auto"/>
              <w:right w:val="nil" w:sz="6" w:space="0" w:color="auto"/>
            </w:tcBorders>
          </w:tcPr>
          <w:p>
            <w:pPr>
              <w:pStyle w:val="TableParagraph"/>
              <w:spacing w:line="214" w:lineRule="exact"/>
              <w:ind w:right="379"/>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1676" w:type="dxa"/>
            <w:tcBorders>
              <w:top w:val="nil" w:sz="6" w:space="0" w:color="auto"/>
              <w:left w:val="nil" w:sz="6" w:space="0" w:color="auto"/>
              <w:bottom w:val="nil" w:sz="6" w:space="0" w:color="auto"/>
              <w:right w:val="nil" w:sz="6" w:space="0" w:color="auto"/>
            </w:tcBorders>
          </w:tcPr>
          <w:p>
            <w:pPr>
              <w:pStyle w:val="TableParagraph"/>
              <w:spacing w:line="214" w:lineRule="exact"/>
              <w:ind w:right="212"/>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r>
      <w:tr>
        <w:trPr>
          <w:trHeight w:val="350" w:hRule="exact"/>
        </w:trPr>
        <w:tc>
          <w:tcPr>
            <w:tcW w:w="3721" w:type="dxa"/>
            <w:tcBorders>
              <w:top w:val="nil" w:sz="6" w:space="0" w:color="auto"/>
              <w:left w:val="nil" w:sz="6" w:space="0" w:color="auto"/>
              <w:bottom w:val="nil" w:sz="6" w:space="0" w:color="auto"/>
              <w:right w:val="nil" w:sz="6" w:space="0" w:color="auto"/>
            </w:tcBorders>
          </w:tcPr>
          <w:p>
            <w:pPr/>
          </w:p>
        </w:tc>
        <w:tc>
          <w:tcPr>
            <w:tcW w:w="2755" w:type="dxa"/>
            <w:tcBorders>
              <w:top w:val="nil" w:sz="6" w:space="0" w:color="auto"/>
              <w:left w:val="nil" w:sz="6" w:space="0" w:color="auto"/>
              <w:bottom w:val="nil" w:sz="6" w:space="0" w:color="auto"/>
              <w:right w:val="nil" w:sz="6" w:space="0" w:color="auto"/>
            </w:tcBorders>
          </w:tcPr>
          <w:p>
            <w:pPr>
              <w:pStyle w:val="TableParagraph"/>
              <w:spacing w:line="239" w:lineRule="exact"/>
              <w:ind w:right="379"/>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676" w:type="dxa"/>
            <w:tcBorders>
              <w:top w:val="nil" w:sz="6" w:space="0" w:color="auto"/>
              <w:left w:val="nil" w:sz="6" w:space="0" w:color="auto"/>
              <w:bottom w:val="nil" w:sz="6" w:space="0" w:color="auto"/>
              <w:right w:val="nil" w:sz="6" w:space="0" w:color="auto"/>
            </w:tcBorders>
          </w:tcPr>
          <w:p>
            <w:pPr>
              <w:pStyle w:val="TableParagraph"/>
              <w:spacing w:line="239" w:lineRule="exact"/>
              <w:ind w:right="212"/>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r>
      <w:tr>
        <w:trPr>
          <w:trHeight w:val="350" w:hRule="exact"/>
        </w:trPr>
        <w:tc>
          <w:tcPr>
            <w:tcW w:w="372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00" w:right="0"/>
              <w:jc w:val="left"/>
              <w:rPr>
                <w:rFonts w:ascii="黑体" w:hAnsi="黑体" w:cs="黑体" w:eastAsia="黑体" w:hint="default"/>
                <w:sz w:val="20"/>
                <w:szCs w:val="20"/>
              </w:rPr>
            </w:pPr>
            <w:r>
              <w:rPr>
                <w:rFonts w:ascii="黑体" w:hAnsi="黑体" w:cs="黑体" w:eastAsia="黑体" w:hint="default"/>
                <w:sz w:val="20"/>
                <w:szCs w:val="20"/>
              </w:rPr>
              <w:t>押金</w:t>
            </w: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65"/>
              <w:jc w:val="right"/>
              <w:rPr>
                <w:rFonts w:ascii="Arial" w:hAnsi="Arial" w:cs="Arial" w:eastAsia="Arial" w:hint="default"/>
                <w:sz w:val="20"/>
                <w:szCs w:val="20"/>
              </w:rPr>
            </w:pPr>
            <w:r>
              <w:rPr>
                <w:rFonts w:ascii="Arial"/>
                <w:spacing w:val="-1"/>
                <w:sz w:val="20"/>
              </w:rPr>
              <w:t>21,850,238</w:t>
            </w:r>
            <w:r>
              <w:rPr>
                <w:rFonts w:ascii="Arial"/>
                <w:sz w:val="20"/>
              </w:rPr>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98"/>
              <w:jc w:val="right"/>
              <w:rPr>
                <w:rFonts w:ascii="Arial" w:hAnsi="Arial" w:cs="Arial" w:eastAsia="Arial" w:hint="default"/>
                <w:sz w:val="20"/>
                <w:szCs w:val="20"/>
              </w:rPr>
            </w:pPr>
            <w:r>
              <w:rPr>
                <w:rFonts w:ascii="Arial"/>
                <w:spacing w:val="-1"/>
                <w:sz w:val="20"/>
              </w:rPr>
              <w:t>15,234,062</w:t>
            </w:r>
            <w:r>
              <w:rPr>
                <w:rFonts w:ascii="Arial"/>
                <w:sz w:val="20"/>
              </w:rPr>
            </w:r>
          </w:p>
        </w:tc>
      </w:tr>
      <w:tr>
        <w:trPr>
          <w:trHeight w:val="259" w:hRule="exact"/>
        </w:trPr>
        <w:tc>
          <w:tcPr>
            <w:tcW w:w="3721" w:type="dxa"/>
            <w:tcBorders>
              <w:top w:val="nil" w:sz="6" w:space="0" w:color="auto"/>
              <w:left w:val="nil" w:sz="6" w:space="0" w:color="auto"/>
              <w:bottom w:val="nil" w:sz="6" w:space="0" w:color="auto"/>
              <w:right w:val="nil" w:sz="6" w:space="0" w:color="auto"/>
            </w:tcBorders>
          </w:tcPr>
          <w:p>
            <w:pPr>
              <w:pStyle w:val="TableParagraph"/>
              <w:spacing w:line="224" w:lineRule="exact"/>
              <w:ind w:left="200" w:right="0"/>
              <w:jc w:val="left"/>
              <w:rPr>
                <w:rFonts w:ascii="黑体" w:hAnsi="黑体" w:cs="黑体" w:eastAsia="黑体" w:hint="default"/>
                <w:sz w:val="20"/>
                <w:szCs w:val="20"/>
              </w:rPr>
            </w:pPr>
            <w:r>
              <w:rPr>
                <w:rFonts w:ascii="黑体" w:hAnsi="黑体" w:cs="黑体" w:eastAsia="黑体" w:hint="default"/>
                <w:sz w:val="20"/>
                <w:szCs w:val="20"/>
              </w:rPr>
              <w:t>广告费</w:t>
            </w: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65"/>
              <w:jc w:val="right"/>
              <w:rPr>
                <w:rFonts w:ascii="Arial" w:hAnsi="Arial" w:cs="Arial" w:eastAsia="Arial" w:hint="default"/>
                <w:sz w:val="20"/>
                <w:szCs w:val="20"/>
              </w:rPr>
            </w:pPr>
            <w:r>
              <w:rPr>
                <w:rFonts w:ascii="Arial"/>
                <w:spacing w:val="-1"/>
                <w:sz w:val="20"/>
              </w:rPr>
              <w:t>84,591</w:t>
            </w:r>
            <w:r>
              <w:rPr>
                <w:rFonts w:ascii="Arial"/>
                <w:sz w:val="20"/>
              </w:rPr>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8"/>
              <w:jc w:val="right"/>
              <w:rPr>
                <w:rFonts w:ascii="Arial" w:hAnsi="Arial" w:cs="Arial" w:eastAsia="Arial" w:hint="default"/>
                <w:sz w:val="20"/>
                <w:szCs w:val="20"/>
              </w:rPr>
            </w:pPr>
            <w:r>
              <w:rPr>
                <w:rFonts w:ascii="Arial"/>
                <w:spacing w:val="-1"/>
                <w:w w:val="95"/>
                <w:sz w:val="20"/>
              </w:rPr>
              <w:t>134,365</w:t>
            </w:r>
            <w:r>
              <w:rPr>
                <w:rFonts w:ascii="Arial"/>
                <w:sz w:val="20"/>
              </w:rPr>
            </w:r>
          </w:p>
        </w:tc>
      </w:tr>
      <w:tr>
        <w:trPr>
          <w:trHeight w:val="260" w:hRule="exact"/>
        </w:trPr>
        <w:tc>
          <w:tcPr>
            <w:tcW w:w="3721" w:type="dxa"/>
            <w:tcBorders>
              <w:top w:val="nil" w:sz="6" w:space="0" w:color="auto"/>
              <w:left w:val="nil" w:sz="6" w:space="0" w:color="auto"/>
              <w:bottom w:val="nil" w:sz="6" w:space="0" w:color="auto"/>
              <w:right w:val="nil" w:sz="6" w:space="0" w:color="auto"/>
            </w:tcBorders>
          </w:tcPr>
          <w:p>
            <w:pPr>
              <w:pStyle w:val="TableParagraph"/>
              <w:spacing w:line="224" w:lineRule="exact"/>
              <w:ind w:left="200" w:right="0"/>
              <w:jc w:val="left"/>
              <w:rPr>
                <w:rFonts w:ascii="黑体" w:hAnsi="黑体" w:cs="黑体" w:eastAsia="黑体" w:hint="default"/>
                <w:sz w:val="20"/>
                <w:szCs w:val="20"/>
              </w:rPr>
            </w:pPr>
            <w:r>
              <w:rPr>
                <w:rFonts w:ascii="黑体" w:hAnsi="黑体" w:cs="黑体" w:eastAsia="黑体" w:hint="default"/>
                <w:sz w:val="20"/>
                <w:szCs w:val="20"/>
              </w:rPr>
              <w:t>房租</w:t>
            </w: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65"/>
              <w:jc w:val="right"/>
              <w:rPr>
                <w:rFonts w:ascii="Arial" w:hAnsi="Arial" w:cs="Arial" w:eastAsia="Arial" w:hint="default"/>
                <w:sz w:val="20"/>
                <w:szCs w:val="20"/>
              </w:rPr>
            </w:pPr>
            <w:r>
              <w:rPr>
                <w:rFonts w:ascii="Arial"/>
                <w:spacing w:val="-1"/>
                <w:sz w:val="20"/>
              </w:rPr>
              <w:t>2,021,176</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8"/>
              <w:jc w:val="right"/>
              <w:rPr>
                <w:rFonts w:ascii="Arial" w:hAnsi="Arial" w:cs="Arial" w:eastAsia="Arial" w:hint="default"/>
                <w:sz w:val="20"/>
                <w:szCs w:val="20"/>
              </w:rPr>
            </w:pPr>
            <w:r>
              <w:rPr>
                <w:rFonts w:ascii="Arial"/>
                <w:spacing w:val="-1"/>
                <w:sz w:val="20"/>
              </w:rPr>
              <w:t>2,586,352</w:t>
            </w:r>
          </w:p>
        </w:tc>
      </w:tr>
      <w:tr>
        <w:trPr>
          <w:trHeight w:val="260" w:hRule="exact"/>
        </w:trPr>
        <w:tc>
          <w:tcPr>
            <w:tcW w:w="372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Arial" w:hAnsi="Arial" w:cs="Arial" w:eastAsia="Arial" w:hint="default"/>
                <w:sz w:val="20"/>
                <w:szCs w:val="20"/>
              </w:rPr>
            </w:pPr>
            <w:r>
              <w:rPr>
                <w:rFonts w:ascii="黑体" w:hAnsi="黑体" w:cs="黑体" w:eastAsia="黑体" w:hint="default"/>
                <w:sz w:val="20"/>
                <w:szCs w:val="20"/>
              </w:rPr>
              <w:t>应付软件园建设款</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1)</w:t>
            </w: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65"/>
              <w:jc w:val="right"/>
              <w:rPr>
                <w:rFonts w:ascii="Arial" w:hAnsi="Arial" w:cs="Arial" w:eastAsia="Arial" w:hint="default"/>
                <w:sz w:val="20"/>
                <w:szCs w:val="20"/>
              </w:rPr>
            </w:pPr>
            <w:r>
              <w:rPr>
                <w:rFonts w:ascii="Arial"/>
                <w:spacing w:val="-1"/>
                <w:sz w:val="20"/>
              </w:rPr>
              <w:t>17,798,370</w:t>
            </w:r>
            <w:r>
              <w:rPr>
                <w:rFonts w:ascii="Arial"/>
                <w:sz w:val="20"/>
              </w:rPr>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spacing w:val="-1"/>
                <w:sz w:val="20"/>
              </w:rPr>
              <w:t>27,247,473</w:t>
            </w:r>
            <w:r>
              <w:rPr>
                <w:rFonts w:ascii="Arial"/>
                <w:sz w:val="20"/>
              </w:rPr>
            </w:r>
          </w:p>
        </w:tc>
      </w:tr>
      <w:tr>
        <w:trPr>
          <w:trHeight w:val="259" w:hRule="exact"/>
        </w:trPr>
        <w:tc>
          <w:tcPr>
            <w:tcW w:w="3721"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Arial" w:hAnsi="Arial" w:cs="Arial" w:eastAsia="Arial" w:hint="default"/>
                <w:sz w:val="20"/>
                <w:szCs w:val="20"/>
              </w:rPr>
            </w:pPr>
            <w:r>
              <w:rPr>
                <w:rFonts w:ascii="黑体" w:hAnsi="黑体" w:cs="黑体" w:eastAsia="黑体" w:hint="default"/>
                <w:sz w:val="20"/>
                <w:szCs w:val="20"/>
              </w:rPr>
              <w:t>应付土地开发建设费</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2)</w:t>
            </w: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5"/>
              <w:jc w:val="right"/>
              <w:rPr>
                <w:rFonts w:ascii="Arial" w:hAnsi="Arial" w:cs="Arial" w:eastAsia="Arial" w:hint="default"/>
                <w:sz w:val="20"/>
                <w:szCs w:val="20"/>
              </w:rPr>
            </w:pPr>
            <w:r>
              <w:rPr>
                <w:rFonts w:ascii="Arial"/>
                <w:spacing w:val="-1"/>
                <w:sz w:val="20"/>
              </w:rPr>
              <w:t>74,596,620</w:t>
            </w:r>
            <w:r>
              <w:rPr>
                <w:rFonts w:ascii="Arial"/>
                <w:sz w:val="20"/>
              </w:rPr>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8"/>
              <w:jc w:val="right"/>
              <w:rPr>
                <w:rFonts w:ascii="Arial" w:hAnsi="Arial" w:cs="Arial" w:eastAsia="Arial" w:hint="default"/>
                <w:sz w:val="20"/>
                <w:szCs w:val="20"/>
              </w:rPr>
            </w:pPr>
            <w:r>
              <w:rPr>
                <w:rFonts w:ascii="Arial"/>
                <w:spacing w:val="-1"/>
                <w:sz w:val="20"/>
              </w:rPr>
              <w:t>74,596,620</w:t>
            </w:r>
            <w:r>
              <w:rPr>
                <w:rFonts w:ascii="Arial"/>
                <w:sz w:val="20"/>
              </w:rPr>
            </w:r>
          </w:p>
        </w:tc>
      </w:tr>
      <w:tr>
        <w:trPr>
          <w:trHeight w:val="259" w:hRule="exact"/>
        </w:trPr>
        <w:tc>
          <w:tcPr>
            <w:tcW w:w="3721"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Arial" w:hAnsi="Arial" w:cs="Arial" w:eastAsia="Arial" w:hint="default"/>
                <w:sz w:val="20"/>
                <w:szCs w:val="20"/>
              </w:rPr>
            </w:pPr>
            <w:r>
              <w:rPr>
                <w:rFonts w:ascii="黑体" w:hAnsi="黑体" w:cs="黑体" w:eastAsia="黑体" w:hint="default"/>
                <w:sz w:val="20"/>
                <w:szCs w:val="20"/>
              </w:rPr>
              <w:t>资产业务收购款</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3)</w:t>
            </w: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5"/>
              <w:jc w:val="right"/>
              <w:rPr>
                <w:rFonts w:ascii="Arial" w:hAnsi="Arial" w:cs="Arial" w:eastAsia="Arial" w:hint="default"/>
                <w:sz w:val="20"/>
                <w:szCs w:val="20"/>
              </w:rPr>
            </w:pPr>
            <w:r>
              <w:rPr>
                <w:rFonts w:ascii="Arial"/>
                <w:spacing w:val="-1"/>
                <w:sz w:val="20"/>
              </w:rPr>
              <w:t>3,427,920</w:t>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8"/>
              <w:jc w:val="right"/>
              <w:rPr>
                <w:rFonts w:ascii="Arial" w:hAnsi="Arial" w:cs="Arial" w:eastAsia="Arial" w:hint="default"/>
                <w:sz w:val="20"/>
                <w:szCs w:val="20"/>
              </w:rPr>
            </w:pPr>
            <w:r>
              <w:rPr>
                <w:rFonts w:ascii="Arial"/>
                <w:spacing w:val="-1"/>
                <w:sz w:val="20"/>
              </w:rPr>
              <w:t>6,214,265</w:t>
            </w:r>
          </w:p>
        </w:tc>
      </w:tr>
      <w:tr>
        <w:trPr>
          <w:trHeight w:val="259" w:hRule="exact"/>
        </w:trPr>
        <w:tc>
          <w:tcPr>
            <w:tcW w:w="3721"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Arial" w:hAnsi="Arial" w:cs="Arial" w:eastAsia="Arial" w:hint="default"/>
                <w:sz w:val="20"/>
                <w:szCs w:val="20"/>
              </w:rPr>
            </w:pPr>
            <w:r>
              <w:rPr>
                <w:rFonts w:ascii="黑体" w:hAnsi="黑体" w:cs="黑体" w:eastAsia="黑体" w:hint="default"/>
                <w:sz w:val="20"/>
                <w:szCs w:val="20"/>
              </w:rPr>
              <w:t>股权收购款</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4)</w:t>
            </w: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5"/>
              <w:jc w:val="right"/>
              <w:rPr>
                <w:rFonts w:ascii="Arial" w:hAnsi="Arial" w:cs="Arial" w:eastAsia="Arial" w:hint="default"/>
                <w:sz w:val="20"/>
                <w:szCs w:val="20"/>
              </w:rPr>
            </w:pPr>
            <w:r>
              <w:rPr>
                <w:rFonts w:ascii="Arial"/>
                <w:spacing w:val="-1"/>
                <w:sz w:val="20"/>
              </w:rPr>
              <w:t>34,460,000</w:t>
            </w:r>
            <w:r>
              <w:rPr>
                <w:rFonts w:ascii="Arial"/>
                <w:sz w:val="20"/>
              </w:rPr>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8"/>
              <w:jc w:val="right"/>
              <w:rPr>
                <w:rFonts w:ascii="Arial" w:hAnsi="Arial" w:cs="Arial" w:eastAsia="Arial" w:hint="default"/>
                <w:sz w:val="20"/>
                <w:szCs w:val="20"/>
              </w:rPr>
            </w:pPr>
            <w:r>
              <w:rPr>
                <w:rFonts w:ascii="Arial"/>
                <w:spacing w:val="-1"/>
                <w:sz w:val="20"/>
              </w:rPr>
              <w:t>73,747,381</w:t>
            </w:r>
            <w:r>
              <w:rPr>
                <w:rFonts w:ascii="Arial"/>
                <w:sz w:val="20"/>
              </w:rPr>
            </w:r>
          </w:p>
        </w:tc>
      </w:tr>
      <w:tr>
        <w:trPr>
          <w:trHeight w:val="388" w:hRule="exact"/>
        </w:trPr>
        <w:tc>
          <w:tcPr>
            <w:tcW w:w="3721" w:type="dxa"/>
            <w:tcBorders>
              <w:top w:val="nil" w:sz="6" w:space="0" w:color="auto"/>
              <w:left w:val="nil" w:sz="6" w:space="0" w:color="auto"/>
              <w:bottom w:val="nil" w:sz="6" w:space="0" w:color="auto"/>
              <w:right w:val="nil" w:sz="6" w:space="0" w:color="auto"/>
            </w:tcBorders>
          </w:tcPr>
          <w:p>
            <w:pPr>
              <w:pStyle w:val="TableParagraph"/>
              <w:spacing w:line="224" w:lineRule="exact"/>
              <w:ind w:left="200"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5"/>
              <w:jc w:val="right"/>
              <w:rPr>
                <w:rFonts w:ascii="Arial" w:hAnsi="Arial" w:cs="Arial" w:eastAsia="Arial" w:hint="default"/>
                <w:sz w:val="20"/>
                <w:szCs w:val="20"/>
              </w:rPr>
            </w:pPr>
            <w:r>
              <w:rPr>
                <w:rFonts w:ascii="Arial"/>
                <w:w w:val="99"/>
                <w:sz w:val="20"/>
              </w:rPr>
            </w:r>
            <w:r>
              <w:rPr>
                <w:rFonts w:ascii="Arial"/>
                <w:spacing w:val="-1"/>
                <w:sz w:val="20"/>
                <w:u w:val="single" w:color="000000"/>
              </w:rPr>
              <w:t>335,377,335</w:t>
            </w:r>
            <w:r>
              <w:rPr>
                <w:rFonts w:ascii="Arial"/>
                <w:spacing w:val="-1"/>
                <w:sz w:val="20"/>
              </w:rPr>
            </w:r>
            <w:r>
              <w:rPr>
                <w:rFonts w:ascii="Arial"/>
                <w:sz w:val="20"/>
              </w:rPr>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8"/>
              <w:jc w:val="right"/>
              <w:rPr>
                <w:rFonts w:ascii="Arial" w:hAnsi="Arial" w:cs="Arial" w:eastAsia="Arial" w:hint="default"/>
                <w:sz w:val="20"/>
                <w:szCs w:val="20"/>
              </w:rPr>
            </w:pPr>
            <w:r>
              <w:rPr>
                <w:rFonts w:ascii="Arial"/>
                <w:w w:val="99"/>
                <w:sz w:val="20"/>
              </w:rPr>
            </w:r>
            <w:r>
              <w:rPr>
                <w:rFonts w:ascii="Arial"/>
                <w:spacing w:val="-1"/>
                <w:sz w:val="20"/>
                <w:u w:val="single" w:color="000000"/>
              </w:rPr>
              <w:t>262,108,795</w:t>
            </w:r>
            <w:r>
              <w:rPr>
                <w:rFonts w:ascii="Arial"/>
                <w:spacing w:val="-1"/>
                <w:sz w:val="20"/>
              </w:rPr>
            </w:r>
            <w:r>
              <w:rPr>
                <w:rFonts w:ascii="Arial"/>
                <w:sz w:val="20"/>
              </w:rPr>
            </w:r>
          </w:p>
        </w:tc>
      </w:tr>
      <w:tr>
        <w:trPr>
          <w:trHeight w:val="355" w:hRule="exact"/>
        </w:trPr>
        <w:tc>
          <w:tcPr>
            <w:tcW w:w="3721" w:type="dxa"/>
            <w:tcBorders>
              <w:top w:val="nil" w:sz="6" w:space="0" w:color="auto"/>
              <w:left w:val="nil" w:sz="6" w:space="0" w:color="auto"/>
              <w:bottom w:val="nil" w:sz="6" w:space="0" w:color="auto"/>
              <w:right w:val="nil" w:sz="6" w:space="0" w:color="auto"/>
            </w:tcBorders>
          </w:tcPr>
          <w:p>
            <w:pPr/>
          </w:p>
        </w:tc>
        <w:tc>
          <w:tcPr>
            <w:tcW w:w="2755"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65"/>
              <w:jc w:val="right"/>
              <w:rPr>
                <w:rFonts w:ascii="Arial" w:hAnsi="Arial" w:cs="Arial" w:eastAsia="Arial" w:hint="default"/>
                <w:sz w:val="20"/>
                <w:szCs w:val="20"/>
              </w:rPr>
            </w:pPr>
            <w:r>
              <w:rPr>
                <w:rFonts w:ascii="Arial"/>
                <w:w w:val="99"/>
                <w:sz w:val="20"/>
              </w:rPr>
            </w:r>
            <w:r>
              <w:rPr>
                <w:rFonts w:ascii="Arial"/>
                <w:spacing w:val="-1"/>
                <w:sz w:val="20"/>
                <w:u w:val="thick" w:color="000000"/>
              </w:rPr>
              <w:t>489,616,250</w:t>
            </w:r>
            <w:r>
              <w:rPr>
                <w:rFonts w:ascii="Arial"/>
                <w:spacing w:val="-1"/>
                <w:sz w:val="20"/>
              </w:rPr>
            </w:r>
            <w:r>
              <w:rPr>
                <w:rFonts w:ascii="Arial"/>
                <w:sz w:val="20"/>
              </w:rPr>
            </w:r>
          </w:p>
        </w:tc>
        <w:tc>
          <w:tcPr>
            <w:tcW w:w="167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461,869,313</w:t>
            </w:r>
            <w:r>
              <w:rPr>
                <w:rFonts w:ascii="Arial"/>
                <w:spacing w:val="-1"/>
                <w:sz w:val="20"/>
              </w:rPr>
            </w:r>
            <w:r>
              <w:rPr>
                <w:rFonts w:ascii="Arial"/>
                <w:sz w:val="20"/>
              </w:rPr>
            </w:r>
          </w:p>
        </w:tc>
      </w:tr>
    </w:tbl>
    <w:p>
      <w:pPr>
        <w:spacing w:line="240" w:lineRule="auto" w:before="10"/>
        <w:rPr>
          <w:rFonts w:ascii="黑体" w:hAnsi="黑体" w:cs="黑体" w:eastAsia="黑体" w:hint="default"/>
          <w:b/>
          <w:bCs/>
          <w:sz w:val="13"/>
          <w:szCs w:val="13"/>
        </w:rPr>
      </w:pPr>
    </w:p>
    <w:p>
      <w:pPr>
        <w:pStyle w:val="BodyText"/>
        <w:spacing w:line="260" w:lineRule="exact" w:before="63"/>
        <w:ind w:left="754" w:right="5078"/>
        <w:jc w:val="left"/>
      </w:pPr>
      <w:r>
        <w:rPr/>
        <w:t>注</w:t>
      </w:r>
      <w:r>
        <w:rPr>
          <w:rFonts w:ascii="Arial" w:hAnsi="Arial" w:cs="Arial" w:eastAsia="Arial" w:hint="default"/>
        </w:rPr>
        <w:t>1.</w:t>
      </w:r>
      <w:r>
        <w:rPr>
          <w:rFonts w:ascii="Arial" w:hAnsi="Arial" w:cs="Arial" w:eastAsia="Arial" w:hint="default"/>
          <w:spacing w:val="38"/>
        </w:rPr>
        <w:t> </w:t>
      </w:r>
      <w:r>
        <w:rPr/>
        <w:t>详情参见附注五、</w:t>
      </w:r>
      <w:r>
        <w:rPr>
          <w:rFonts w:ascii="Arial" w:hAnsi="Arial" w:cs="Arial" w:eastAsia="Arial" w:hint="default"/>
        </w:rPr>
        <w:t>25</w:t>
      </w:r>
      <w:r>
        <w:rPr/>
        <w:t>、注</w:t>
      </w:r>
      <w:r>
        <w:rPr>
          <w:rFonts w:ascii="Arial" w:hAnsi="Arial" w:cs="Arial" w:eastAsia="Arial" w:hint="default"/>
        </w:rPr>
        <w:t>1</w:t>
      </w:r>
      <w:r>
        <w:rPr/>
        <w:t>。</w:t>
      </w:r>
      <w:r>
        <w:rPr>
          <w:w w:val="99"/>
        </w:rPr>
        <w:t> </w:t>
      </w:r>
      <w:r>
        <w:rPr/>
        <w:t>注</w:t>
      </w:r>
      <w:r>
        <w:rPr>
          <w:rFonts w:ascii="Arial" w:hAnsi="Arial" w:cs="Arial" w:eastAsia="Arial" w:hint="default"/>
        </w:rPr>
        <w:t>2.</w:t>
      </w:r>
      <w:r>
        <w:rPr>
          <w:rFonts w:ascii="Arial" w:hAnsi="Arial" w:cs="Arial" w:eastAsia="Arial" w:hint="default"/>
          <w:spacing w:val="40"/>
        </w:rPr>
        <w:t> </w:t>
      </w:r>
      <w:r>
        <w:rPr/>
        <w:t>详情参见附注五、</w:t>
      </w:r>
      <w:r>
        <w:rPr>
          <w:rFonts w:ascii="Arial" w:hAnsi="Arial" w:cs="Arial" w:eastAsia="Arial" w:hint="default"/>
        </w:rPr>
        <w:t>12</w:t>
      </w:r>
      <w:r>
        <w:rPr/>
        <w:t>。</w:t>
      </w:r>
    </w:p>
    <w:p>
      <w:pPr>
        <w:pStyle w:val="BodyText"/>
        <w:spacing w:line="260" w:lineRule="exact"/>
        <w:ind w:left="1217" w:right="0" w:hanging="464"/>
        <w:jc w:val="left"/>
      </w:pPr>
      <w:r>
        <w:rPr>
          <w:w w:val="95"/>
        </w:rPr>
        <w:t>注</w:t>
      </w:r>
      <w:r>
        <w:rPr>
          <w:rFonts w:ascii="Arial" w:hAnsi="Arial" w:cs="Arial" w:eastAsia="Arial" w:hint="default"/>
          <w:w w:val="95"/>
        </w:rPr>
        <w:t>3. </w:t>
      </w:r>
      <w:r>
        <w:rPr>
          <w:w w:val="95"/>
        </w:rPr>
        <w:t>资产业务收购款主要是本公司收购时空超越、常州用友、恒聚哈久等公司资产和业务</w:t>
      </w:r>
      <w:r>
        <w:rPr>
          <w:spacing w:val="-63"/>
          <w:w w:val="95"/>
        </w:rPr>
        <w:t> </w:t>
      </w:r>
      <w:r>
        <w:rPr>
          <w:spacing w:val="-63"/>
          <w:w w:val="95"/>
        </w:rPr>
      </w:r>
      <w:r>
        <w:rPr/>
        <w:t>尚未支付的收购款。</w:t>
      </w:r>
    </w:p>
    <w:p>
      <w:pPr>
        <w:pStyle w:val="BodyText"/>
        <w:spacing w:line="252" w:lineRule="exact"/>
        <w:ind w:left="754" w:right="4838"/>
        <w:jc w:val="left"/>
      </w:pPr>
      <w:r>
        <w:rPr/>
        <w:t>注</w:t>
      </w:r>
      <w:r>
        <w:rPr>
          <w:rFonts w:ascii="Arial" w:hAnsi="Arial" w:cs="Arial" w:eastAsia="Arial" w:hint="default"/>
        </w:rPr>
        <w:t>4. </w:t>
      </w:r>
      <w:r>
        <w:rPr>
          <w:rFonts w:ascii="Arial" w:hAnsi="Arial" w:cs="Arial" w:eastAsia="Arial" w:hint="default"/>
          <w:spacing w:val="2"/>
        </w:rPr>
        <w:t> </w:t>
      </w:r>
      <w:r>
        <w:rPr/>
        <w:t>详情参见附注五、</w:t>
      </w:r>
      <w:r>
        <w:rPr>
          <w:rFonts w:ascii="Arial" w:hAnsi="Arial" w:cs="Arial" w:eastAsia="Arial" w:hint="default"/>
        </w:rPr>
        <w:t>25</w:t>
      </w:r>
      <w:r>
        <w:rPr/>
        <w:t>、注</w:t>
      </w:r>
      <w:r>
        <w:rPr>
          <w:rFonts w:ascii="Arial" w:hAnsi="Arial" w:cs="Arial" w:eastAsia="Arial" w:hint="default"/>
        </w:rPr>
        <w:t>4</w:t>
      </w:r>
      <w:r>
        <w:rPr/>
        <w:t>。</w:t>
      </w:r>
    </w:p>
    <w:p>
      <w:pPr>
        <w:spacing w:line="240" w:lineRule="auto" w:before="2"/>
        <w:rPr>
          <w:rFonts w:ascii="黑体" w:hAnsi="黑体" w:cs="黑体" w:eastAsia="黑体" w:hint="default"/>
          <w:sz w:val="16"/>
          <w:szCs w:val="16"/>
        </w:rPr>
      </w:pPr>
    </w:p>
    <w:p>
      <w:pPr>
        <w:pStyle w:val="BodyText"/>
        <w:spacing w:line="268" w:lineRule="exact"/>
        <w:ind w:left="754" w:right="0"/>
        <w:jc w:val="left"/>
      </w:pP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日，本账户余额中并无持本公司</w:t>
      </w:r>
      <w:r>
        <w:rPr>
          <w:rFonts w:ascii="Arial" w:hAnsi="Arial" w:cs="Arial" w:eastAsia="Arial" w:hint="default"/>
        </w:rPr>
        <w:t>5%</w:t>
      </w:r>
      <w:r>
        <w:rPr/>
        <w:t>或以上表决权股份的股东单位的款项</w:t>
      </w:r>
    </w:p>
    <w:p>
      <w:pPr>
        <w:pStyle w:val="BodyText"/>
        <w:spacing w:line="268" w:lineRule="exact"/>
        <w:ind w:left="754" w:right="4838"/>
        <w:jc w:val="left"/>
      </w:pP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日：无</w:t>
      </w:r>
      <w:r>
        <w:rPr>
          <w:rFonts w:ascii="Arial" w:hAnsi="Arial" w:cs="Arial" w:eastAsia="Arial" w:hint="default"/>
        </w:rPr>
        <w:t>)</w:t>
      </w:r>
      <w:r>
        <w:rPr/>
        <w:t>。</w:t>
      </w:r>
    </w:p>
    <w:p>
      <w:pPr>
        <w:spacing w:after="0" w:line="268" w:lineRule="exact"/>
        <w:jc w:val="left"/>
        <w:sectPr>
          <w:pgSz w:w="11910" w:h="16850"/>
          <w:pgMar w:header="957" w:footer="473" w:top="2600" w:bottom="660" w:left="1660" w:right="1400"/>
        </w:sectPr>
      </w:pPr>
    </w:p>
    <w:p>
      <w:pPr>
        <w:spacing w:line="240" w:lineRule="auto" w:before="7"/>
        <w:rPr>
          <w:rFonts w:ascii="黑体" w:hAnsi="黑体" w:cs="黑体" w:eastAsia="黑体" w:hint="default"/>
          <w:sz w:val="15"/>
          <w:szCs w:val="15"/>
        </w:rPr>
      </w:pPr>
    </w:p>
    <w:p>
      <w:pPr>
        <w:pStyle w:val="Heading6"/>
        <w:spacing w:line="240" w:lineRule="auto"/>
        <w:ind w:left="142" w:right="4838"/>
        <w:jc w:val="left"/>
        <w:rPr>
          <w:b w:val="0"/>
          <w:bCs w:val="0"/>
        </w:rPr>
      </w:pPr>
      <w:r>
        <w:rPr/>
        <w:t>十三、公司财务报表主要项目注释（续）</w:t>
      </w:r>
      <w:r>
        <w:rPr>
          <w:b w:val="0"/>
          <w:bCs w:val="0"/>
        </w:rPr>
      </w:r>
    </w:p>
    <w:p>
      <w:pPr>
        <w:spacing w:line="240" w:lineRule="auto" w:before="5"/>
        <w:rPr>
          <w:rFonts w:ascii="黑体" w:hAnsi="黑体" w:cs="黑体" w:eastAsia="黑体" w:hint="default"/>
          <w:b/>
          <w:bCs/>
          <w:sz w:val="17"/>
          <w:szCs w:val="17"/>
        </w:rPr>
      </w:pPr>
    </w:p>
    <w:p>
      <w:pPr>
        <w:tabs>
          <w:tab w:pos="831" w:val="left" w:leader="none"/>
        </w:tabs>
        <w:spacing w:line="424" w:lineRule="auto" w:before="0"/>
        <w:ind w:left="754" w:right="3492" w:hanging="603"/>
        <w:jc w:val="left"/>
        <w:rPr>
          <w:rFonts w:ascii="黑体" w:hAnsi="黑体" w:cs="黑体" w:eastAsia="黑体" w:hint="default"/>
          <w:sz w:val="20"/>
          <w:szCs w:val="20"/>
        </w:rPr>
      </w:pPr>
      <w:r>
        <w:rPr>
          <w:rFonts w:ascii="Arial" w:hAnsi="Arial" w:cs="Arial" w:eastAsia="Arial" w:hint="default"/>
          <w:b/>
          <w:bCs/>
          <w:spacing w:val="-1"/>
          <w:w w:val="95"/>
          <w:sz w:val="20"/>
          <w:szCs w:val="20"/>
        </w:rPr>
        <w:t>21.</w:t>
        <w:tab/>
        <w:tab/>
      </w:r>
      <w:r>
        <w:rPr>
          <w:rFonts w:ascii="黑体" w:hAnsi="黑体" w:cs="黑体" w:eastAsia="黑体" w:hint="default"/>
          <w:b/>
          <w:bCs/>
          <w:spacing w:val="1"/>
          <w:sz w:val="20"/>
          <w:szCs w:val="20"/>
        </w:rPr>
        <w:t>其他应付款（续）</w:t>
      </w:r>
      <w:r>
        <w:rPr>
          <w:rFonts w:ascii="黑体" w:hAnsi="黑体" w:cs="黑体" w:eastAsia="黑体" w:hint="default"/>
          <w:b/>
          <w:bCs/>
          <w:spacing w:val="2"/>
          <w:w w:val="99"/>
          <w:sz w:val="20"/>
          <w:szCs w:val="20"/>
        </w:rPr>
        <w:t> </w:t>
      </w:r>
      <w:r>
        <w:rPr>
          <w:rFonts w:ascii="黑体" w:hAnsi="黑体" w:cs="黑体" w:eastAsia="黑体" w:hint="default"/>
          <w:sz w:val="20"/>
          <w:szCs w:val="20"/>
        </w:rPr>
        <w:t>其他应付关联方款项详见附注十三、</w:t>
      </w:r>
      <w:r>
        <w:rPr>
          <w:rFonts w:ascii="Arial" w:hAnsi="Arial" w:cs="Arial" w:eastAsia="Arial" w:hint="default"/>
          <w:sz w:val="20"/>
          <w:szCs w:val="20"/>
        </w:rPr>
        <w:t>42</w:t>
      </w:r>
      <w:r>
        <w:rPr>
          <w:rFonts w:ascii="黑体" w:hAnsi="黑体" w:cs="黑体" w:eastAsia="黑体" w:hint="default"/>
          <w:sz w:val="20"/>
          <w:szCs w:val="20"/>
        </w:rPr>
        <w:t>。</w:t>
      </w:r>
      <w:r>
        <w:rPr>
          <w:rFonts w:ascii="黑体" w:hAnsi="黑体" w:cs="黑体" w:eastAsia="黑体" w:hint="default"/>
          <w:w w:val="99"/>
          <w:sz w:val="20"/>
          <w:szCs w:val="20"/>
        </w:rPr>
        <w:t> </w:t>
      </w:r>
      <w:r>
        <w:rPr>
          <w:rFonts w:ascii="黑体" w:hAnsi="黑体" w:cs="黑体" w:eastAsia="黑体" w:hint="default"/>
          <w:w w:val="95"/>
          <w:sz w:val="20"/>
          <w:szCs w:val="20"/>
        </w:rPr>
        <w:t>于</w:t>
      </w:r>
      <w:r>
        <w:rPr>
          <w:rFonts w:ascii="Arial" w:hAnsi="Arial" w:cs="Arial" w:eastAsia="Arial" w:hint="default"/>
          <w:w w:val="95"/>
          <w:sz w:val="20"/>
          <w:szCs w:val="20"/>
        </w:rPr>
        <w:t>2012</w:t>
      </w:r>
      <w:r>
        <w:rPr>
          <w:rFonts w:ascii="黑体" w:hAnsi="黑体" w:cs="黑体" w:eastAsia="黑体" w:hint="default"/>
          <w:w w:val="95"/>
          <w:sz w:val="20"/>
          <w:szCs w:val="20"/>
        </w:rPr>
        <w:t>年</w:t>
      </w:r>
      <w:r>
        <w:rPr>
          <w:rFonts w:ascii="Arial" w:hAnsi="Arial" w:cs="Arial" w:eastAsia="Arial" w:hint="default"/>
          <w:w w:val="95"/>
          <w:sz w:val="20"/>
          <w:szCs w:val="20"/>
        </w:rPr>
        <w:t>12</w:t>
      </w:r>
      <w:r>
        <w:rPr>
          <w:rFonts w:ascii="黑体" w:hAnsi="黑体" w:cs="黑体" w:eastAsia="黑体" w:hint="default"/>
          <w:w w:val="95"/>
          <w:sz w:val="20"/>
          <w:szCs w:val="20"/>
        </w:rPr>
        <w:t>月</w:t>
      </w:r>
      <w:r>
        <w:rPr>
          <w:rFonts w:ascii="Arial" w:hAnsi="Arial" w:cs="Arial" w:eastAsia="Arial" w:hint="default"/>
          <w:w w:val="95"/>
          <w:sz w:val="20"/>
          <w:szCs w:val="20"/>
        </w:rPr>
        <w:t>31</w:t>
      </w:r>
      <w:r>
        <w:rPr>
          <w:rFonts w:ascii="黑体" w:hAnsi="黑体" w:cs="黑体" w:eastAsia="黑体" w:hint="default"/>
          <w:w w:val="95"/>
          <w:sz w:val="20"/>
          <w:szCs w:val="20"/>
        </w:rPr>
        <w:t>日，账龄超过</w:t>
      </w:r>
      <w:r>
        <w:rPr>
          <w:rFonts w:ascii="Arial" w:hAnsi="Arial" w:cs="Arial" w:eastAsia="Arial" w:hint="default"/>
          <w:w w:val="95"/>
          <w:sz w:val="20"/>
          <w:szCs w:val="20"/>
        </w:rPr>
        <w:t>1</w:t>
      </w:r>
      <w:r>
        <w:rPr>
          <w:rFonts w:ascii="黑体" w:hAnsi="黑体" w:cs="黑体" w:eastAsia="黑体" w:hint="default"/>
          <w:w w:val="95"/>
          <w:sz w:val="20"/>
          <w:szCs w:val="20"/>
        </w:rPr>
        <w:t>年的大额款项如下：</w:t>
      </w:r>
      <w:r>
        <w:rPr>
          <w:rFonts w:ascii="黑体" w:hAnsi="黑体" w:cs="黑体" w:eastAsia="黑体" w:hint="default"/>
          <w:sz w:val="20"/>
          <w:szCs w:val="20"/>
        </w:rPr>
      </w:r>
    </w:p>
    <w:p>
      <w:pPr>
        <w:spacing w:line="240" w:lineRule="auto" w:before="12"/>
        <w:rPr>
          <w:rFonts w:ascii="黑体" w:hAnsi="黑体" w:cs="黑体" w:eastAsia="黑体" w:hint="default"/>
          <w:sz w:val="7"/>
          <w:szCs w:val="7"/>
        </w:rPr>
      </w:pPr>
    </w:p>
    <w:tbl>
      <w:tblPr>
        <w:tblW w:w="0" w:type="auto"/>
        <w:jc w:val="left"/>
        <w:tblInd w:w="559" w:type="dxa"/>
        <w:tblLayout w:type="fixed"/>
        <w:tblCellMar>
          <w:top w:w="0" w:type="dxa"/>
          <w:left w:w="0" w:type="dxa"/>
          <w:bottom w:w="0" w:type="dxa"/>
          <w:right w:w="0" w:type="dxa"/>
        </w:tblCellMar>
        <w:tblLook w:val="01E0"/>
      </w:tblPr>
      <w:tblGrid>
        <w:gridCol w:w="3864"/>
        <w:gridCol w:w="1890"/>
        <w:gridCol w:w="2413"/>
      </w:tblGrid>
      <w:tr>
        <w:trPr>
          <w:trHeight w:val="342" w:hRule="exact"/>
        </w:trPr>
        <w:tc>
          <w:tcPr>
            <w:tcW w:w="3864"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199" w:lineRule="exact"/>
              <w:ind w:right="215"/>
              <w:jc w:val="right"/>
              <w:rPr>
                <w:rFonts w:ascii="黑体" w:hAnsi="黑体" w:cs="黑体" w:eastAsia="黑体" w:hint="default"/>
                <w:sz w:val="20"/>
                <w:szCs w:val="20"/>
              </w:rPr>
            </w:pPr>
            <w:r>
              <w:rPr>
                <w:rFonts w:ascii="黑体" w:hAnsi="黑体" w:cs="黑体" w:eastAsia="黑体" w:hint="default"/>
                <w:w w:val="95"/>
                <w:sz w:val="20"/>
                <w:szCs w:val="20"/>
              </w:rPr>
              <w:t>应付金额</w:t>
            </w:r>
            <w:r>
              <w:rPr>
                <w:rFonts w:ascii="黑体" w:hAnsi="黑体" w:cs="黑体" w:eastAsia="黑体" w:hint="default"/>
                <w:sz w:val="20"/>
                <w:szCs w:val="20"/>
              </w:rPr>
            </w:r>
          </w:p>
        </w:tc>
        <w:tc>
          <w:tcPr>
            <w:tcW w:w="2413" w:type="dxa"/>
            <w:tcBorders>
              <w:top w:val="nil" w:sz="6" w:space="0" w:color="auto"/>
              <w:left w:val="nil" w:sz="6" w:space="0" w:color="auto"/>
              <w:bottom w:val="nil" w:sz="6" w:space="0" w:color="auto"/>
              <w:right w:val="nil" w:sz="6" w:space="0" w:color="auto"/>
            </w:tcBorders>
          </w:tcPr>
          <w:p>
            <w:pPr>
              <w:pStyle w:val="TableParagraph"/>
              <w:spacing w:line="199" w:lineRule="exact"/>
              <w:ind w:right="198"/>
              <w:jc w:val="right"/>
              <w:rPr>
                <w:rFonts w:ascii="黑体" w:hAnsi="黑体" w:cs="黑体" w:eastAsia="黑体" w:hint="default"/>
                <w:sz w:val="20"/>
                <w:szCs w:val="20"/>
              </w:rPr>
            </w:pPr>
            <w:r>
              <w:rPr>
                <w:rFonts w:ascii="黑体" w:hAnsi="黑体" w:cs="黑体" w:eastAsia="黑体" w:hint="default"/>
                <w:w w:val="95"/>
                <w:sz w:val="20"/>
                <w:szCs w:val="20"/>
              </w:rPr>
              <w:t>未结转原因</w:t>
            </w:r>
            <w:r>
              <w:rPr>
                <w:rFonts w:ascii="黑体" w:hAnsi="黑体" w:cs="黑体" w:eastAsia="黑体" w:hint="default"/>
                <w:sz w:val="20"/>
                <w:szCs w:val="20"/>
              </w:rPr>
            </w:r>
          </w:p>
        </w:tc>
      </w:tr>
      <w:tr>
        <w:trPr>
          <w:trHeight w:val="377" w:hRule="exact"/>
        </w:trPr>
        <w:tc>
          <w:tcPr>
            <w:tcW w:w="3864" w:type="dxa"/>
            <w:tcBorders>
              <w:top w:val="nil" w:sz="6" w:space="0" w:color="auto"/>
              <w:left w:val="nil" w:sz="6" w:space="0" w:color="auto"/>
              <w:bottom w:val="nil" w:sz="6" w:space="0" w:color="auto"/>
              <w:right w:val="nil" w:sz="6" w:space="0" w:color="auto"/>
            </w:tcBorders>
          </w:tcPr>
          <w:p>
            <w:pPr>
              <w:pStyle w:val="TableParagraph"/>
              <w:spacing w:line="240" w:lineRule="auto" w:before="80"/>
              <w:ind w:left="200" w:right="0"/>
              <w:jc w:val="left"/>
              <w:rPr>
                <w:rFonts w:ascii="黑体" w:hAnsi="黑体" w:cs="黑体" w:eastAsia="黑体" w:hint="default"/>
                <w:sz w:val="20"/>
                <w:szCs w:val="20"/>
              </w:rPr>
            </w:pPr>
            <w:r>
              <w:rPr>
                <w:rFonts w:ascii="黑体" w:hAnsi="黑体" w:cs="黑体" w:eastAsia="黑体" w:hint="default"/>
                <w:sz w:val="20"/>
                <w:szCs w:val="20"/>
              </w:rPr>
              <w:t>用友汽车原自然人股东</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26"/>
              <w:ind w:right="224"/>
              <w:jc w:val="right"/>
              <w:rPr>
                <w:rFonts w:ascii="Arial" w:hAnsi="Arial" w:cs="Arial" w:eastAsia="Arial" w:hint="default"/>
                <w:sz w:val="20"/>
                <w:szCs w:val="20"/>
              </w:rPr>
            </w:pPr>
            <w:r>
              <w:rPr>
                <w:rFonts w:ascii="Arial"/>
                <w:spacing w:val="-1"/>
                <w:sz w:val="20"/>
              </w:rPr>
              <w:t>34,370,000</w:t>
            </w:r>
            <w:r>
              <w:rPr>
                <w:rFonts w:ascii="Arial"/>
                <w:sz w:val="20"/>
              </w:rPr>
            </w:r>
          </w:p>
        </w:tc>
        <w:tc>
          <w:tcPr>
            <w:tcW w:w="241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98"/>
              <w:jc w:val="right"/>
              <w:rPr>
                <w:rFonts w:ascii="黑体" w:hAnsi="黑体" w:cs="黑体" w:eastAsia="黑体" w:hint="default"/>
                <w:sz w:val="20"/>
                <w:szCs w:val="20"/>
              </w:rPr>
            </w:pPr>
            <w:r>
              <w:rPr>
                <w:rFonts w:ascii="黑体" w:hAnsi="黑体" w:cs="黑体" w:eastAsia="黑体" w:hint="default"/>
                <w:w w:val="95"/>
                <w:sz w:val="20"/>
                <w:szCs w:val="20"/>
              </w:rPr>
              <w:t>未到合同约定的付款日</w:t>
            </w:r>
            <w:r>
              <w:rPr>
                <w:rFonts w:ascii="黑体" w:hAnsi="黑体" w:cs="黑体" w:eastAsia="黑体" w:hint="default"/>
                <w:sz w:val="20"/>
                <w:szCs w:val="20"/>
              </w:rPr>
            </w:r>
          </w:p>
        </w:tc>
      </w:tr>
      <w:tr>
        <w:trPr>
          <w:trHeight w:val="259" w:hRule="exact"/>
        </w:trPr>
        <w:tc>
          <w:tcPr>
            <w:tcW w:w="3864" w:type="dxa"/>
            <w:tcBorders>
              <w:top w:val="nil" w:sz="6" w:space="0" w:color="auto"/>
              <w:left w:val="nil" w:sz="6" w:space="0" w:color="auto"/>
              <w:bottom w:val="nil" w:sz="6" w:space="0" w:color="auto"/>
              <w:right w:val="nil" w:sz="6" w:space="0" w:color="auto"/>
            </w:tcBorders>
          </w:tcPr>
          <w:p>
            <w:pPr>
              <w:pStyle w:val="TableParagraph"/>
              <w:spacing w:line="224" w:lineRule="exact"/>
              <w:ind w:left="200" w:right="0"/>
              <w:jc w:val="left"/>
              <w:rPr>
                <w:rFonts w:ascii="黑体" w:hAnsi="黑体" w:cs="黑体" w:eastAsia="黑体" w:hint="default"/>
                <w:sz w:val="20"/>
                <w:szCs w:val="20"/>
              </w:rPr>
            </w:pPr>
            <w:r>
              <w:rPr>
                <w:rFonts w:ascii="黑体" w:hAnsi="黑体" w:cs="黑体" w:eastAsia="黑体" w:hint="default"/>
                <w:sz w:val="20"/>
                <w:szCs w:val="20"/>
              </w:rPr>
              <w:t>北京中关村永丰基地发展有限公司</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20"/>
                <w:szCs w:val="20"/>
              </w:rPr>
            </w:pPr>
            <w:r>
              <w:rPr>
                <w:rFonts w:ascii="Arial"/>
                <w:spacing w:val="-1"/>
                <w:sz w:val="20"/>
              </w:rPr>
              <w:t>74,596,620</w:t>
            </w:r>
            <w:r>
              <w:rPr>
                <w:rFonts w:ascii="Arial"/>
                <w:sz w:val="20"/>
              </w:rPr>
            </w:r>
          </w:p>
        </w:tc>
        <w:tc>
          <w:tcPr>
            <w:tcW w:w="2413" w:type="dxa"/>
            <w:tcBorders>
              <w:top w:val="nil" w:sz="6" w:space="0" w:color="auto"/>
              <w:left w:val="nil" w:sz="6" w:space="0" w:color="auto"/>
              <w:bottom w:val="nil" w:sz="6" w:space="0" w:color="auto"/>
              <w:right w:val="nil" w:sz="6" w:space="0" w:color="auto"/>
            </w:tcBorders>
          </w:tcPr>
          <w:p>
            <w:pPr>
              <w:pStyle w:val="TableParagraph"/>
              <w:spacing w:line="229" w:lineRule="exact"/>
              <w:ind w:right="198"/>
              <w:jc w:val="right"/>
              <w:rPr>
                <w:rFonts w:ascii="黑体" w:hAnsi="黑体" w:cs="黑体" w:eastAsia="黑体" w:hint="default"/>
                <w:sz w:val="20"/>
                <w:szCs w:val="20"/>
              </w:rPr>
            </w:pPr>
            <w:r>
              <w:rPr>
                <w:rFonts w:ascii="黑体" w:hAnsi="黑体" w:cs="黑体" w:eastAsia="黑体" w:hint="default"/>
                <w:w w:val="95"/>
                <w:sz w:val="20"/>
                <w:szCs w:val="20"/>
              </w:rPr>
              <w:t>未到合同约定的付款日</w:t>
            </w:r>
            <w:r>
              <w:rPr>
                <w:rFonts w:ascii="黑体" w:hAnsi="黑体" w:cs="黑体" w:eastAsia="黑体" w:hint="default"/>
                <w:sz w:val="20"/>
                <w:szCs w:val="20"/>
              </w:rPr>
            </w:r>
          </w:p>
        </w:tc>
      </w:tr>
      <w:tr>
        <w:trPr>
          <w:trHeight w:val="390" w:hRule="exact"/>
        </w:trPr>
        <w:tc>
          <w:tcPr>
            <w:tcW w:w="3864" w:type="dxa"/>
            <w:tcBorders>
              <w:top w:val="nil" w:sz="6" w:space="0" w:color="auto"/>
              <w:left w:val="nil" w:sz="6" w:space="0" w:color="auto"/>
              <w:bottom w:val="nil" w:sz="6" w:space="0" w:color="auto"/>
              <w:right w:val="nil" w:sz="6" w:space="0" w:color="auto"/>
            </w:tcBorders>
          </w:tcPr>
          <w:p>
            <w:pPr>
              <w:pStyle w:val="TableParagraph"/>
              <w:spacing w:line="224" w:lineRule="exact"/>
              <w:ind w:left="200" w:right="0"/>
              <w:jc w:val="left"/>
              <w:rPr>
                <w:rFonts w:ascii="黑体" w:hAnsi="黑体" w:cs="黑体" w:eastAsia="黑体" w:hint="default"/>
                <w:sz w:val="20"/>
                <w:szCs w:val="20"/>
              </w:rPr>
            </w:pPr>
            <w:r>
              <w:rPr>
                <w:rFonts w:ascii="黑体" w:hAnsi="黑体" w:cs="黑体" w:eastAsia="黑体" w:hint="default"/>
                <w:sz w:val="20"/>
                <w:szCs w:val="20"/>
              </w:rPr>
              <w:t>中建三局建设工程股份有限公司</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1"/>
                <w:sz w:val="20"/>
                <w:u w:val="single" w:color="000000"/>
              </w:rPr>
              <w:t> </w:t>
            </w:r>
            <w:r>
              <w:rPr>
                <w:rFonts w:ascii="Arial"/>
                <w:spacing w:val="-1"/>
                <w:w w:val="95"/>
                <w:sz w:val="20"/>
                <w:u w:val="single" w:color="000000"/>
              </w:rPr>
              <w:t>4,500,000</w:t>
            </w:r>
            <w:r>
              <w:rPr>
                <w:rFonts w:ascii="Arial"/>
                <w:spacing w:val="-1"/>
                <w:w w:val="95"/>
                <w:sz w:val="20"/>
              </w:rPr>
            </w:r>
            <w:r>
              <w:rPr>
                <w:rFonts w:ascii="Arial"/>
                <w:sz w:val="20"/>
              </w:rPr>
            </w:r>
          </w:p>
        </w:tc>
        <w:tc>
          <w:tcPr>
            <w:tcW w:w="2413" w:type="dxa"/>
            <w:tcBorders>
              <w:top w:val="nil" w:sz="6" w:space="0" w:color="auto"/>
              <w:left w:val="nil" w:sz="6" w:space="0" w:color="auto"/>
              <w:bottom w:val="nil" w:sz="6" w:space="0" w:color="auto"/>
              <w:right w:val="nil" w:sz="6" w:space="0" w:color="auto"/>
            </w:tcBorders>
          </w:tcPr>
          <w:p>
            <w:pPr>
              <w:pStyle w:val="TableParagraph"/>
              <w:spacing w:line="229" w:lineRule="exact"/>
              <w:ind w:right="198"/>
              <w:jc w:val="right"/>
              <w:rPr>
                <w:rFonts w:ascii="黑体" w:hAnsi="黑体" w:cs="黑体" w:eastAsia="黑体" w:hint="default"/>
                <w:sz w:val="20"/>
                <w:szCs w:val="20"/>
              </w:rPr>
            </w:pPr>
            <w:r>
              <w:rPr>
                <w:rFonts w:ascii="黑体" w:hAnsi="黑体" w:cs="黑体" w:eastAsia="黑体" w:hint="default"/>
                <w:w w:val="95"/>
                <w:sz w:val="20"/>
                <w:szCs w:val="20"/>
              </w:rPr>
              <w:t>未到合同约定的付款日</w:t>
            </w:r>
            <w:r>
              <w:rPr>
                <w:rFonts w:ascii="黑体" w:hAnsi="黑体" w:cs="黑体" w:eastAsia="黑体" w:hint="default"/>
                <w:sz w:val="20"/>
                <w:szCs w:val="20"/>
              </w:rPr>
            </w:r>
          </w:p>
        </w:tc>
      </w:tr>
      <w:tr>
        <w:trPr>
          <w:trHeight w:val="355" w:hRule="exact"/>
        </w:trPr>
        <w:tc>
          <w:tcPr>
            <w:tcW w:w="3864"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24"/>
              <w:jc w:val="right"/>
              <w:rPr>
                <w:rFonts w:ascii="Arial" w:hAnsi="Arial" w:cs="Arial" w:eastAsia="Arial" w:hint="default"/>
                <w:sz w:val="20"/>
                <w:szCs w:val="20"/>
              </w:rPr>
            </w:pPr>
            <w:r>
              <w:rPr>
                <w:rFonts w:ascii="Arial"/>
                <w:w w:val="99"/>
                <w:sz w:val="20"/>
              </w:rPr>
            </w:r>
            <w:r>
              <w:rPr>
                <w:rFonts w:ascii="Arial"/>
                <w:spacing w:val="-1"/>
                <w:sz w:val="20"/>
                <w:u w:val="thick" w:color="000000"/>
              </w:rPr>
              <w:t>113,466,620</w:t>
            </w:r>
            <w:r>
              <w:rPr>
                <w:rFonts w:ascii="Arial"/>
                <w:spacing w:val="-1"/>
                <w:sz w:val="20"/>
              </w:rPr>
            </w:r>
            <w:r>
              <w:rPr>
                <w:rFonts w:ascii="Arial"/>
                <w:sz w:val="20"/>
              </w:rPr>
            </w:r>
          </w:p>
        </w:tc>
        <w:tc>
          <w:tcPr>
            <w:tcW w:w="2413" w:type="dxa"/>
            <w:tcBorders>
              <w:top w:val="nil" w:sz="6" w:space="0" w:color="auto"/>
              <w:left w:val="nil" w:sz="6" w:space="0" w:color="auto"/>
              <w:bottom w:val="nil" w:sz="6" w:space="0" w:color="auto"/>
              <w:right w:val="nil" w:sz="6" w:space="0" w:color="auto"/>
            </w:tcBorders>
          </w:tcPr>
          <w:p>
            <w:pPr/>
          </w:p>
        </w:tc>
      </w:tr>
    </w:tbl>
    <w:p>
      <w:pPr>
        <w:spacing w:line="240" w:lineRule="auto" w:before="13"/>
        <w:rPr>
          <w:rFonts w:ascii="黑体" w:hAnsi="黑体" w:cs="黑体" w:eastAsia="黑体" w:hint="default"/>
          <w:sz w:val="13"/>
          <w:szCs w:val="13"/>
        </w:rPr>
      </w:pPr>
    </w:p>
    <w:p>
      <w:pPr>
        <w:pStyle w:val="BodyText"/>
        <w:spacing w:line="424" w:lineRule="auto" w:before="37"/>
        <w:ind w:left="754" w:right="2361"/>
        <w:jc w:val="left"/>
      </w:pPr>
      <w:r>
        <w:rPr/>
        <w:t>以上账龄超过</w:t>
      </w:r>
      <w:r>
        <w:rPr>
          <w:rFonts w:ascii="Arial" w:hAnsi="Arial" w:cs="Arial" w:eastAsia="Arial" w:hint="default"/>
        </w:rPr>
        <w:t>1</w:t>
      </w:r>
      <w:r>
        <w:rPr/>
        <w:t>年的大额其他应付款，资产负债表日后均未支付。</w:t>
      </w:r>
      <w:r>
        <w:rPr>
          <w:w w:val="99"/>
        </w:rPr>
        <w:t> </w:t>
      </w:r>
      <w:r>
        <w:rPr/>
        <w:t>于</w:t>
      </w:r>
      <w:r>
        <w:rPr>
          <w:rFonts w:ascii="Arial" w:hAnsi="Arial" w:cs="Arial" w:eastAsia="Arial" w:hint="default"/>
        </w:rPr>
        <w:t>2011</w:t>
      </w:r>
      <w:r>
        <w:rPr/>
        <w:t>年</w:t>
      </w:r>
      <w:r>
        <w:rPr>
          <w:rFonts w:ascii="Arial" w:hAnsi="Arial" w:cs="Arial" w:eastAsia="Arial" w:hint="default"/>
        </w:rPr>
        <w:t>12</w:t>
      </w:r>
      <w:r>
        <w:rPr/>
        <w:t>月</w:t>
      </w:r>
      <w:r>
        <w:rPr>
          <w:rFonts w:ascii="Arial" w:hAnsi="Arial" w:cs="Arial" w:eastAsia="Arial" w:hint="default"/>
        </w:rPr>
        <w:t>31</w:t>
      </w:r>
      <w:r>
        <w:rPr/>
        <w:t>日，账龄超过</w:t>
      </w:r>
      <w:r>
        <w:rPr>
          <w:rFonts w:ascii="Arial" w:hAnsi="Arial" w:cs="Arial" w:eastAsia="Arial" w:hint="default"/>
        </w:rPr>
        <w:t>1</w:t>
      </w:r>
      <w:r>
        <w:rPr/>
        <w:t>年的大额款项如下：</w:t>
      </w:r>
    </w:p>
    <w:p>
      <w:pPr>
        <w:spacing w:line="240" w:lineRule="auto" w:before="12"/>
        <w:rPr>
          <w:rFonts w:ascii="黑体" w:hAnsi="黑体" w:cs="黑体" w:eastAsia="黑体" w:hint="default"/>
          <w:sz w:val="7"/>
          <w:szCs w:val="7"/>
        </w:rPr>
      </w:pPr>
    </w:p>
    <w:tbl>
      <w:tblPr>
        <w:tblW w:w="0" w:type="auto"/>
        <w:jc w:val="left"/>
        <w:tblInd w:w="559" w:type="dxa"/>
        <w:tblLayout w:type="fixed"/>
        <w:tblCellMar>
          <w:top w:w="0" w:type="dxa"/>
          <w:left w:w="0" w:type="dxa"/>
          <w:bottom w:w="0" w:type="dxa"/>
          <w:right w:w="0" w:type="dxa"/>
        </w:tblCellMar>
        <w:tblLook w:val="01E0"/>
      </w:tblPr>
      <w:tblGrid>
        <w:gridCol w:w="3864"/>
        <w:gridCol w:w="1890"/>
        <w:gridCol w:w="2413"/>
      </w:tblGrid>
      <w:tr>
        <w:trPr>
          <w:trHeight w:val="343" w:hRule="exact"/>
        </w:trPr>
        <w:tc>
          <w:tcPr>
            <w:tcW w:w="3864"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199" w:lineRule="exact"/>
              <w:ind w:right="215"/>
              <w:jc w:val="right"/>
              <w:rPr>
                <w:rFonts w:ascii="黑体" w:hAnsi="黑体" w:cs="黑体" w:eastAsia="黑体" w:hint="default"/>
                <w:sz w:val="20"/>
                <w:szCs w:val="20"/>
              </w:rPr>
            </w:pPr>
            <w:r>
              <w:rPr>
                <w:rFonts w:ascii="黑体" w:hAnsi="黑体" w:cs="黑体" w:eastAsia="黑体" w:hint="default"/>
                <w:w w:val="95"/>
                <w:sz w:val="20"/>
                <w:szCs w:val="20"/>
              </w:rPr>
              <w:t>应付金额</w:t>
            </w:r>
            <w:r>
              <w:rPr>
                <w:rFonts w:ascii="黑体" w:hAnsi="黑体" w:cs="黑体" w:eastAsia="黑体" w:hint="default"/>
                <w:sz w:val="20"/>
                <w:szCs w:val="20"/>
              </w:rPr>
            </w:r>
          </w:p>
        </w:tc>
        <w:tc>
          <w:tcPr>
            <w:tcW w:w="2413" w:type="dxa"/>
            <w:tcBorders>
              <w:top w:val="nil" w:sz="6" w:space="0" w:color="auto"/>
              <w:left w:val="nil" w:sz="6" w:space="0" w:color="auto"/>
              <w:bottom w:val="nil" w:sz="6" w:space="0" w:color="auto"/>
              <w:right w:val="nil" w:sz="6" w:space="0" w:color="auto"/>
            </w:tcBorders>
          </w:tcPr>
          <w:p>
            <w:pPr>
              <w:pStyle w:val="TableParagraph"/>
              <w:spacing w:line="199" w:lineRule="exact"/>
              <w:ind w:right="198"/>
              <w:jc w:val="right"/>
              <w:rPr>
                <w:rFonts w:ascii="黑体" w:hAnsi="黑体" w:cs="黑体" w:eastAsia="黑体" w:hint="default"/>
                <w:sz w:val="20"/>
                <w:szCs w:val="20"/>
              </w:rPr>
            </w:pPr>
            <w:r>
              <w:rPr>
                <w:rFonts w:ascii="黑体" w:hAnsi="黑体" w:cs="黑体" w:eastAsia="黑体" w:hint="default"/>
                <w:w w:val="95"/>
                <w:sz w:val="20"/>
                <w:szCs w:val="20"/>
              </w:rPr>
              <w:t>未结转原因</w:t>
            </w:r>
            <w:r>
              <w:rPr>
                <w:rFonts w:ascii="黑体" w:hAnsi="黑体" w:cs="黑体" w:eastAsia="黑体" w:hint="default"/>
                <w:sz w:val="20"/>
                <w:szCs w:val="20"/>
              </w:rPr>
            </w:r>
          </w:p>
        </w:tc>
      </w:tr>
      <w:tr>
        <w:trPr>
          <w:trHeight w:val="378" w:hRule="exact"/>
        </w:trPr>
        <w:tc>
          <w:tcPr>
            <w:tcW w:w="3864" w:type="dxa"/>
            <w:tcBorders>
              <w:top w:val="nil" w:sz="6" w:space="0" w:color="auto"/>
              <w:left w:val="nil" w:sz="6" w:space="0" w:color="auto"/>
              <w:bottom w:val="nil" w:sz="6" w:space="0" w:color="auto"/>
              <w:right w:val="nil" w:sz="6" w:space="0" w:color="auto"/>
            </w:tcBorders>
          </w:tcPr>
          <w:p>
            <w:pPr>
              <w:pStyle w:val="TableParagraph"/>
              <w:spacing w:line="240" w:lineRule="auto" w:before="81"/>
              <w:ind w:left="200" w:right="0"/>
              <w:jc w:val="left"/>
              <w:rPr>
                <w:rFonts w:ascii="黑体" w:hAnsi="黑体" w:cs="黑体" w:eastAsia="黑体" w:hint="default"/>
                <w:sz w:val="20"/>
                <w:szCs w:val="20"/>
              </w:rPr>
            </w:pPr>
            <w:r>
              <w:rPr>
                <w:rFonts w:ascii="黑体" w:hAnsi="黑体" w:cs="黑体" w:eastAsia="黑体" w:hint="default"/>
                <w:sz w:val="20"/>
                <w:szCs w:val="20"/>
              </w:rPr>
              <w:t>用友汽车原自然人股东</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224"/>
              <w:jc w:val="right"/>
              <w:rPr>
                <w:rFonts w:ascii="Arial" w:hAnsi="Arial" w:cs="Arial" w:eastAsia="Arial" w:hint="default"/>
                <w:sz w:val="20"/>
                <w:szCs w:val="20"/>
              </w:rPr>
            </w:pPr>
            <w:r>
              <w:rPr>
                <w:rFonts w:ascii="Arial"/>
                <w:spacing w:val="-1"/>
                <w:sz w:val="20"/>
              </w:rPr>
              <w:t>73,650,000</w:t>
            </w:r>
            <w:r>
              <w:rPr>
                <w:rFonts w:ascii="Arial"/>
                <w:sz w:val="20"/>
              </w:rPr>
            </w:r>
          </w:p>
        </w:tc>
        <w:tc>
          <w:tcPr>
            <w:tcW w:w="241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98"/>
              <w:jc w:val="right"/>
              <w:rPr>
                <w:rFonts w:ascii="黑体" w:hAnsi="黑体" w:cs="黑体" w:eastAsia="黑体" w:hint="default"/>
                <w:sz w:val="20"/>
                <w:szCs w:val="20"/>
              </w:rPr>
            </w:pPr>
            <w:r>
              <w:rPr>
                <w:rFonts w:ascii="黑体" w:hAnsi="黑体" w:cs="黑体" w:eastAsia="黑体" w:hint="default"/>
                <w:w w:val="95"/>
                <w:sz w:val="20"/>
                <w:szCs w:val="20"/>
              </w:rPr>
              <w:t>未到合同约定的付款日</w:t>
            </w:r>
            <w:r>
              <w:rPr>
                <w:rFonts w:ascii="黑体" w:hAnsi="黑体" w:cs="黑体" w:eastAsia="黑体" w:hint="default"/>
                <w:sz w:val="20"/>
                <w:szCs w:val="20"/>
              </w:rPr>
            </w:r>
          </w:p>
        </w:tc>
      </w:tr>
      <w:tr>
        <w:trPr>
          <w:trHeight w:val="259" w:hRule="exact"/>
        </w:trPr>
        <w:tc>
          <w:tcPr>
            <w:tcW w:w="3864" w:type="dxa"/>
            <w:tcBorders>
              <w:top w:val="nil" w:sz="6" w:space="0" w:color="auto"/>
              <w:left w:val="nil" w:sz="6" w:space="0" w:color="auto"/>
              <w:bottom w:val="nil" w:sz="6" w:space="0" w:color="auto"/>
              <w:right w:val="nil" w:sz="6" w:space="0" w:color="auto"/>
            </w:tcBorders>
          </w:tcPr>
          <w:p>
            <w:pPr>
              <w:pStyle w:val="TableParagraph"/>
              <w:spacing w:line="224" w:lineRule="exact"/>
              <w:ind w:left="200" w:right="0"/>
              <w:jc w:val="left"/>
              <w:rPr>
                <w:rFonts w:ascii="黑体" w:hAnsi="黑体" w:cs="黑体" w:eastAsia="黑体" w:hint="default"/>
                <w:sz w:val="20"/>
                <w:szCs w:val="20"/>
              </w:rPr>
            </w:pPr>
            <w:r>
              <w:rPr>
                <w:rFonts w:ascii="黑体" w:hAnsi="黑体" w:cs="黑体" w:eastAsia="黑体" w:hint="default"/>
                <w:sz w:val="20"/>
                <w:szCs w:val="20"/>
              </w:rPr>
              <w:t>北京中关村永丰基地发展有限公司</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4"/>
              <w:jc w:val="right"/>
              <w:rPr>
                <w:rFonts w:ascii="Arial" w:hAnsi="Arial" w:cs="Arial" w:eastAsia="Arial" w:hint="default"/>
                <w:sz w:val="20"/>
                <w:szCs w:val="20"/>
              </w:rPr>
            </w:pPr>
            <w:r>
              <w:rPr>
                <w:rFonts w:ascii="Arial"/>
                <w:spacing w:val="-1"/>
                <w:sz w:val="20"/>
              </w:rPr>
              <w:t>74,596,620</w:t>
            </w:r>
            <w:r>
              <w:rPr>
                <w:rFonts w:ascii="Arial"/>
                <w:sz w:val="20"/>
              </w:rPr>
            </w:r>
          </w:p>
        </w:tc>
        <w:tc>
          <w:tcPr>
            <w:tcW w:w="2413" w:type="dxa"/>
            <w:tcBorders>
              <w:top w:val="nil" w:sz="6" w:space="0" w:color="auto"/>
              <w:left w:val="nil" w:sz="6" w:space="0" w:color="auto"/>
              <w:bottom w:val="nil" w:sz="6" w:space="0" w:color="auto"/>
              <w:right w:val="nil" w:sz="6" w:space="0" w:color="auto"/>
            </w:tcBorders>
          </w:tcPr>
          <w:p>
            <w:pPr>
              <w:pStyle w:val="TableParagraph"/>
              <w:spacing w:line="227" w:lineRule="exact"/>
              <w:ind w:right="198"/>
              <w:jc w:val="right"/>
              <w:rPr>
                <w:rFonts w:ascii="黑体" w:hAnsi="黑体" w:cs="黑体" w:eastAsia="黑体" w:hint="default"/>
                <w:sz w:val="20"/>
                <w:szCs w:val="20"/>
              </w:rPr>
            </w:pPr>
            <w:r>
              <w:rPr>
                <w:rFonts w:ascii="黑体" w:hAnsi="黑体" w:cs="黑体" w:eastAsia="黑体" w:hint="default"/>
                <w:w w:val="95"/>
                <w:sz w:val="20"/>
                <w:szCs w:val="20"/>
              </w:rPr>
              <w:t>未到合同约定的付款日</w:t>
            </w:r>
            <w:r>
              <w:rPr>
                <w:rFonts w:ascii="黑体" w:hAnsi="黑体" w:cs="黑体" w:eastAsia="黑体" w:hint="default"/>
                <w:sz w:val="20"/>
                <w:szCs w:val="20"/>
              </w:rPr>
            </w:r>
          </w:p>
        </w:tc>
      </w:tr>
      <w:tr>
        <w:trPr>
          <w:trHeight w:val="389" w:hRule="exact"/>
        </w:trPr>
        <w:tc>
          <w:tcPr>
            <w:tcW w:w="3864" w:type="dxa"/>
            <w:tcBorders>
              <w:top w:val="nil" w:sz="6" w:space="0" w:color="auto"/>
              <w:left w:val="nil" w:sz="6" w:space="0" w:color="auto"/>
              <w:bottom w:val="nil" w:sz="6" w:space="0" w:color="auto"/>
              <w:right w:val="nil" w:sz="6" w:space="0" w:color="auto"/>
            </w:tcBorders>
          </w:tcPr>
          <w:p>
            <w:pPr>
              <w:pStyle w:val="TableParagraph"/>
              <w:spacing w:line="224" w:lineRule="exact"/>
              <w:ind w:left="200" w:right="0"/>
              <w:jc w:val="left"/>
              <w:rPr>
                <w:rFonts w:ascii="黑体" w:hAnsi="黑体" w:cs="黑体" w:eastAsia="黑体" w:hint="default"/>
                <w:sz w:val="20"/>
                <w:szCs w:val="20"/>
              </w:rPr>
            </w:pPr>
            <w:r>
              <w:rPr>
                <w:rFonts w:ascii="黑体" w:hAnsi="黑体" w:cs="黑体" w:eastAsia="黑体" w:hint="default"/>
                <w:sz w:val="20"/>
                <w:szCs w:val="20"/>
              </w:rPr>
              <w:t>时空超越</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23"/>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1"/>
                <w:sz w:val="20"/>
                <w:u w:val="single" w:color="000000"/>
              </w:rPr>
              <w:t> </w:t>
            </w:r>
            <w:r>
              <w:rPr>
                <w:rFonts w:ascii="Arial"/>
                <w:spacing w:val="-1"/>
                <w:w w:val="95"/>
                <w:sz w:val="20"/>
                <w:u w:val="single" w:color="000000"/>
              </w:rPr>
              <w:t>3,010,000</w:t>
            </w:r>
            <w:r>
              <w:rPr>
                <w:rFonts w:ascii="Arial"/>
                <w:spacing w:val="-1"/>
                <w:w w:val="95"/>
                <w:sz w:val="20"/>
              </w:rPr>
            </w:r>
            <w:r>
              <w:rPr>
                <w:rFonts w:ascii="Arial"/>
                <w:sz w:val="20"/>
              </w:rPr>
            </w:r>
          </w:p>
        </w:tc>
        <w:tc>
          <w:tcPr>
            <w:tcW w:w="2413" w:type="dxa"/>
            <w:tcBorders>
              <w:top w:val="nil" w:sz="6" w:space="0" w:color="auto"/>
              <w:left w:val="nil" w:sz="6" w:space="0" w:color="auto"/>
              <w:bottom w:val="nil" w:sz="6" w:space="0" w:color="auto"/>
              <w:right w:val="nil" w:sz="6" w:space="0" w:color="auto"/>
            </w:tcBorders>
          </w:tcPr>
          <w:p>
            <w:pPr>
              <w:pStyle w:val="TableParagraph"/>
              <w:spacing w:line="227" w:lineRule="exact"/>
              <w:ind w:right="198"/>
              <w:jc w:val="right"/>
              <w:rPr>
                <w:rFonts w:ascii="黑体" w:hAnsi="黑体" w:cs="黑体" w:eastAsia="黑体" w:hint="default"/>
                <w:sz w:val="20"/>
                <w:szCs w:val="20"/>
              </w:rPr>
            </w:pPr>
            <w:r>
              <w:rPr>
                <w:rFonts w:ascii="黑体" w:hAnsi="黑体" w:cs="黑体" w:eastAsia="黑体" w:hint="default"/>
                <w:w w:val="95"/>
                <w:sz w:val="20"/>
                <w:szCs w:val="20"/>
              </w:rPr>
              <w:t>未到合同约定的付款日</w:t>
            </w:r>
            <w:r>
              <w:rPr>
                <w:rFonts w:ascii="黑体" w:hAnsi="黑体" w:cs="黑体" w:eastAsia="黑体" w:hint="default"/>
                <w:sz w:val="20"/>
                <w:szCs w:val="20"/>
              </w:rPr>
            </w:r>
          </w:p>
        </w:tc>
      </w:tr>
      <w:tr>
        <w:trPr>
          <w:trHeight w:val="354" w:hRule="exact"/>
        </w:trPr>
        <w:tc>
          <w:tcPr>
            <w:tcW w:w="3864"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24"/>
              <w:jc w:val="right"/>
              <w:rPr>
                <w:rFonts w:ascii="Arial" w:hAnsi="Arial" w:cs="Arial" w:eastAsia="Arial" w:hint="default"/>
                <w:sz w:val="20"/>
                <w:szCs w:val="20"/>
              </w:rPr>
            </w:pPr>
            <w:r>
              <w:rPr>
                <w:rFonts w:ascii="Arial"/>
                <w:w w:val="99"/>
                <w:sz w:val="20"/>
              </w:rPr>
            </w:r>
            <w:r>
              <w:rPr>
                <w:rFonts w:ascii="Arial"/>
                <w:spacing w:val="-1"/>
                <w:sz w:val="20"/>
                <w:u w:val="thick" w:color="000000"/>
              </w:rPr>
              <w:t>151,256,620</w:t>
            </w:r>
            <w:r>
              <w:rPr>
                <w:rFonts w:ascii="Arial"/>
                <w:spacing w:val="-1"/>
                <w:sz w:val="20"/>
              </w:rPr>
            </w:r>
            <w:r>
              <w:rPr>
                <w:rFonts w:ascii="Arial"/>
                <w:sz w:val="20"/>
              </w:rPr>
            </w:r>
          </w:p>
        </w:tc>
        <w:tc>
          <w:tcPr>
            <w:tcW w:w="2413" w:type="dxa"/>
            <w:tcBorders>
              <w:top w:val="nil" w:sz="6" w:space="0" w:color="auto"/>
              <w:left w:val="nil" w:sz="6" w:space="0" w:color="auto"/>
              <w:bottom w:val="nil" w:sz="6" w:space="0" w:color="auto"/>
              <w:right w:val="nil" w:sz="6" w:space="0" w:color="auto"/>
            </w:tcBorders>
          </w:tcPr>
          <w:p>
            <w:pPr/>
          </w:p>
        </w:tc>
      </w:tr>
    </w:tbl>
    <w:p>
      <w:pPr>
        <w:spacing w:line="240" w:lineRule="auto" w:before="11"/>
        <w:rPr>
          <w:rFonts w:ascii="黑体" w:hAnsi="黑体" w:cs="黑体" w:eastAsia="黑体" w:hint="default"/>
          <w:sz w:val="10"/>
          <w:szCs w:val="10"/>
        </w:rPr>
      </w:pPr>
    </w:p>
    <w:p>
      <w:pPr>
        <w:pStyle w:val="Heading6"/>
        <w:tabs>
          <w:tab w:pos="802" w:val="left" w:leader="none"/>
        </w:tabs>
        <w:spacing w:line="240" w:lineRule="auto"/>
        <w:ind w:left="123" w:right="4838"/>
        <w:jc w:val="left"/>
        <w:rPr>
          <w:b w:val="0"/>
          <w:bCs w:val="0"/>
        </w:rPr>
      </w:pPr>
      <w:r>
        <w:rPr>
          <w:rFonts w:ascii="Arial" w:hAnsi="Arial" w:cs="Arial" w:eastAsia="Arial" w:hint="default"/>
          <w:spacing w:val="-1"/>
          <w:w w:val="95"/>
        </w:rPr>
        <w:t>22.</w:t>
        <w:tab/>
      </w:r>
      <w:r>
        <w:rPr>
          <w:spacing w:val="1"/>
        </w:rPr>
        <w:t>一年内到期的非流动负债</w:t>
      </w:r>
      <w:r>
        <w:rPr>
          <w:b w:val="0"/>
          <w:bCs w:val="0"/>
        </w:rPr>
      </w:r>
    </w:p>
    <w:p>
      <w:pPr>
        <w:spacing w:line="240" w:lineRule="auto" w:before="13"/>
        <w:rPr>
          <w:rFonts w:ascii="黑体" w:hAnsi="黑体" w:cs="黑体" w:eastAsia="黑体" w:hint="default"/>
          <w:b/>
          <w:bCs/>
          <w:sz w:val="19"/>
          <w:szCs w:val="19"/>
        </w:rPr>
      </w:pPr>
    </w:p>
    <w:tbl>
      <w:tblPr>
        <w:tblW w:w="0" w:type="auto"/>
        <w:jc w:val="left"/>
        <w:tblInd w:w="561" w:type="dxa"/>
        <w:tblLayout w:type="fixed"/>
        <w:tblCellMar>
          <w:top w:w="0" w:type="dxa"/>
          <w:left w:w="0" w:type="dxa"/>
          <w:bottom w:w="0" w:type="dxa"/>
          <w:right w:w="0" w:type="dxa"/>
        </w:tblCellMar>
        <w:tblLook w:val="01E0"/>
      </w:tblPr>
      <w:tblGrid>
        <w:gridCol w:w="3584"/>
        <w:gridCol w:w="2694"/>
        <w:gridCol w:w="1904"/>
      </w:tblGrid>
      <w:tr>
        <w:trPr>
          <w:trHeight w:val="232" w:hRule="exact"/>
        </w:trPr>
        <w:tc>
          <w:tcPr>
            <w:tcW w:w="3584" w:type="dxa"/>
            <w:tcBorders>
              <w:top w:val="nil" w:sz="6" w:space="0" w:color="auto"/>
              <w:left w:val="nil" w:sz="6" w:space="0" w:color="auto"/>
              <w:bottom w:val="nil" w:sz="6" w:space="0" w:color="auto"/>
              <w:right w:val="nil" w:sz="6" w:space="0" w:color="auto"/>
            </w:tcBorders>
          </w:tcPr>
          <w:p>
            <w:pPr/>
          </w:p>
        </w:tc>
        <w:tc>
          <w:tcPr>
            <w:tcW w:w="2694" w:type="dxa"/>
            <w:tcBorders>
              <w:top w:val="nil" w:sz="6" w:space="0" w:color="auto"/>
              <w:left w:val="nil" w:sz="6" w:space="0" w:color="auto"/>
              <w:bottom w:val="nil" w:sz="6" w:space="0" w:color="auto"/>
              <w:right w:val="nil" w:sz="6" w:space="0" w:color="auto"/>
            </w:tcBorders>
          </w:tcPr>
          <w:p>
            <w:pPr>
              <w:pStyle w:val="TableParagraph"/>
              <w:spacing w:line="214" w:lineRule="exact"/>
              <w:ind w:right="702"/>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1904" w:type="dxa"/>
            <w:tcBorders>
              <w:top w:val="nil" w:sz="6" w:space="0" w:color="auto"/>
              <w:left w:val="nil" w:sz="6" w:space="0" w:color="auto"/>
              <w:bottom w:val="nil" w:sz="6" w:space="0" w:color="auto"/>
              <w:right w:val="nil" w:sz="6" w:space="0" w:color="auto"/>
            </w:tcBorders>
          </w:tcPr>
          <w:p>
            <w:pPr>
              <w:pStyle w:val="TableParagraph"/>
              <w:spacing w:line="214" w:lineRule="exact"/>
              <w:ind w:right="199"/>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r>
      <w:tr>
        <w:trPr>
          <w:trHeight w:val="382" w:hRule="exact"/>
        </w:trPr>
        <w:tc>
          <w:tcPr>
            <w:tcW w:w="3584" w:type="dxa"/>
            <w:tcBorders>
              <w:top w:val="nil" w:sz="6" w:space="0" w:color="auto"/>
              <w:left w:val="nil" w:sz="6" w:space="0" w:color="auto"/>
              <w:bottom w:val="nil" w:sz="6" w:space="0" w:color="auto"/>
              <w:right w:val="nil" w:sz="6" w:space="0" w:color="auto"/>
            </w:tcBorders>
          </w:tcPr>
          <w:p>
            <w:pPr/>
          </w:p>
        </w:tc>
        <w:tc>
          <w:tcPr>
            <w:tcW w:w="2694" w:type="dxa"/>
            <w:tcBorders>
              <w:top w:val="nil" w:sz="6" w:space="0" w:color="auto"/>
              <w:left w:val="nil" w:sz="6" w:space="0" w:color="auto"/>
              <w:bottom w:val="nil" w:sz="6" w:space="0" w:color="auto"/>
              <w:right w:val="nil" w:sz="6" w:space="0" w:color="auto"/>
            </w:tcBorders>
          </w:tcPr>
          <w:p>
            <w:pPr>
              <w:pStyle w:val="TableParagraph"/>
              <w:spacing w:line="236" w:lineRule="exact"/>
              <w:ind w:right="702"/>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904" w:type="dxa"/>
            <w:tcBorders>
              <w:top w:val="nil" w:sz="6" w:space="0" w:color="auto"/>
              <w:left w:val="nil" w:sz="6" w:space="0" w:color="auto"/>
              <w:bottom w:val="nil" w:sz="6" w:space="0" w:color="auto"/>
              <w:right w:val="nil" w:sz="6" w:space="0" w:color="auto"/>
            </w:tcBorders>
          </w:tcPr>
          <w:p>
            <w:pPr>
              <w:pStyle w:val="TableParagraph"/>
              <w:spacing w:line="236" w:lineRule="exact"/>
              <w:ind w:right="199"/>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r>
      <w:tr>
        <w:trPr>
          <w:trHeight w:val="414" w:hRule="exact"/>
        </w:trPr>
        <w:tc>
          <w:tcPr>
            <w:tcW w:w="3584"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0" w:right="0"/>
              <w:jc w:val="left"/>
              <w:rPr>
                <w:rFonts w:ascii="黑体" w:hAnsi="黑体" w:cs="黑体" w:eastAsia="黑体" w:hint="default"/>
                <w:sz w:val="20"/>
                <w:szCs w:val="20"/>
              </w:rPr>
            </w:pPr>
            <w:r>
              <w:rPr>
                <w:rFonts w:ascii="黑体" w:hAnsi="黑体" w:cs="黑体" w:eastAsia="黑体" w:hint="default"/>
                <w:sz w:val="20"/>
                <w:szCs w:val="20"/>
              </w:rPr>
              <w:t>一年内到期的长期借款(注1)</w:t>
            </w:r>
          </w:p>
        </w:tc>
        <w:tc>
          <w:tcPr>
            <w:tcW w:w="2694"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702"/>
              <w:jc w:val="right"/>
              <w:rPr>
                <w:rFonts w:ascii="Arial" w:hAnsi="Arial" w:cs="Arial" w:eastAsia="Arial" w:hint="default"/>
                <w:sz w:val="20"/>
                <w:szCs w:val="20"/>
              </w:rPr>
            </w:pPr>
            <w:r>
              <w:rPr>
                <w:rFonts w:ascii="Arial"/>
                <w:spacing w:val="-1"/>
                <w:sz w:val="20"/>
              </w:rPr>
              <w:t>100,000,000</w:t>
            </w:r>
            <w:r>
              <w:rPr>
                <w:rFonts w:ascii="Arial"/>
                <w:sz w:val="20"/>
              </w:rPr>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98"/>
              <w:jc w:val="right"/>
              <w:rPr>
                <w:rFonts w:ascii="Arial" w:hAnsi="Arial" w:cs="Arial" w:eastAsia="Arial" w:hint="default"/>
                <w:sz w:val="20"/>
                <w:szCs w:val="20"/>
              </w:rPr>
            </w:pPr>
            <w:r>
              <w:rPr>
                <w:rFonts w:ascii="Arial"/>
                <w:w w:val="99"/>
                <w:sz w:val="20"/>
              </w:rPr>
              <w:t>-</w:t>
            </w:r>
            <w:r>
              <w:rPr>
                <w:rFonts w:ascii="Arial"/>
                <w:sz w:val="20"/>
              </w:rPr>
            </w:r>
          </w:p>
        </w:tc>
      </w:tr>
      <w:tr>
        <w:trPr>
          <w:trHeight w:val="460" w:hRule="exact"/>
        </w:trPr>
        <w:tc>
          <w:tcPr>
            <w:tcW w:w="3584" w:type="dxa"/>
            <w:tcBorders>
              <w:top w:val="nil" w:sz="6" w:space="0" w:color="auto"/>
              <w:left w:val="nil" w:sz="6" w:space="0" w:color="auto"/>
              <w:bottom w:val="nil" w:sz="6" w:space="0" w:color="auto"/>
              <w:right w:val="nil" w:sz="6" w:space="0" w:color="auto"/>
            </w:tcBorders>
          </w:tcPr>
          <w:p>
            <w:pPr>
              <w:pStyle w:val="TableParagraph"/>
              <w:spacing w:line="240" w:lineRule="auto" w:before="33"/>
              <w:ind w:left="200" w:right="0"/>
              <w:jc w:val="left"/>
              <w:rPr>
                <w:rFonts w:ascii="黑体" w:hAnsi="黑体" w:cs="黑体" w:eastAsia="黑体" w:hint="default"/>
                <w:sz w:val="20"/>
                <w:szCs w:val="20"/>
              </w:rPr>
            </w:pPr>
            <w:r>
              <w:rPr>
                <w:rFonts w:ascii="黑体" w:hAnsi="黑体" w:cs="黑体" w:eastAsia="黑体" w:hint="default"/>
                <w:sz w:val="20"/>
                <w:szCs w:val="20"/>
              </w:rPr>
              <w:t>一年内到期的递延收益(注2)</w:t>
            </w:r>
          </w:p>
        </w:tc>
        <w:tc>
          <w:tcPr>
            <w:tcW w:w="2694"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707"/>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1"/>
                <w:sz w:val="20"/>
                <w:u w:val="single" w:color="000000"/>
              </w:rPr>
              <w:t> </w:t>
            </w:r>
            <w:r>
              <w:rPr>
                <w:rFonts w:ascii="Arial"/>
                <w:spacing w:val="-1"/>
                <w:w w:val="95"/>
                <w:sz w:val="20"/>
                <w:u w:val="single" w:color="000000"/>
              </w:rPr>
              <w:t>6,230,000</w:t>
            </w:r>
            <w:r>
              <w:rPr>
                <w:rFonts w:ascii="Arial"/>
                <w:spacing w:val="-1"/>
                <w:w w:val="95"/>
                <w:sz w:val="20"/>
              </w:rPr>
            </w:r>
            <w:r>
              <w:rPr>
                <w:rFonts w:ascii="Arial"/>
                <w:sz w:val="20"/>
              </w:rPr>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99"/>
              <w:jc w:val="right"/>
              <w:rPr>
                <w:rFonts w:ascii="Arial" w:hAnsi="Arial" w:cs="Arial" w:eastAsia="Arial" w:hint="default"/>
                <w:sz w:val="20"/>
                <w:szCs w:val="20"/>
              </w:rPr>
            </w:pPr>
            <w:r>
              <w:rPr>
                <w:rFonts w:ascii="Arial"/>
                <w:w w:val="99"/>
                <w:sz w:val="20"/>
              </w:rPr>
            </w:r>
            <w:r>
              <w:rPr>
                <w:rFonts w:ascii="Arial"/>
                <w:spacing w:val="-1"/>
                <w:sz w:val="20"/>
                <w:u w:val="single" w:color="000000"/>
              </w:rPr>
              <w:t>11,790,000</w:t>
            </w:r>
            <w:r>
              <w:rPr>
                <w:rFonts w:ascii="Arial"/>
                <w:spacing w:val="-1"/>
                <w:sz w:val="20"/>
              </w:rPr>
            </w:r>
            <w:r>
              <w:rPr>
                <w:rFonts w:ascii="Arial"/>
                <w:sz w:val="20"/>
              </w:rPr>
            </w:r>
          </w:p>
        </w:tc>
      </w:tr>
      <w:tr>
        <w:trPr>
          <w:trHeight w:val="356" w:hRule="exact"/>
        </w:trPr>
        <w:tc>
          <w:tcPr>
            <w:tcW w:w="3584" w:type="dxa"/>
            <w:tcBorders>
              <w:top w:val="nil" w:sz="6" w:space="0" w:color="auto"/>
              <w:left w:val="nil" w:sz="6" w:space="0" w:color="auto"/>
              <w:bottom w:val="nil" w:sz="6" w:space="0" w:color="auto"/>
              <w:right w:val="nil" w:sz="6" w:space="0" w:color="auto"/>
            </w:tcBorders>
          </w:tcPr>
          <w:p>
            <w:pPr/>
          </w:p>
        </w:tc>
        <w:tc>
          <w:tcPr>
            <w:tcW w:w="2694"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702"/>
              <w:jc w:val="right"/>
              <w:rPr>
                <w:rFonts w:ascii="Arial" w:hAnsi="Arial" w:cs="Arial" w:eastAsia="Arial" w:hint="default"/>
                <w:sz w:val="20"/>
                <w:szCs w:val="20"/>
              </w:rPr>
            </w:pPr>
            <w:r>
              <w:rPr>
                <w:rFonts w:ascii="Arial"/>
                <w:w w:val="99"/>
                <w:sz w:val="20"/>
              </w:rPr>
            </w:r>
            <w:r>
              <w:rPr>
                <w:rFonts w:ascii="Arial"/>
                <w:spacing w:val="-1"/>
                <w:sz w:val="20"/>
                <w:u w:val="thick" w:color="000000"/>
              </w:rPr>
              <w:t>106,230,000</w:t>
            </w:r>
            <w:r>
              <w:rPr>
                <w:rFonts w:ascii="Arial"/>
                <w:spacing w:val="-1"/>
                <w:sz w:val="20"/>
              </w:rPr>
            </w:r>
            <w:r>
              <w:rPr>
                <w:rFonts w:ascii="Arial"/>
                <w:sz w:val="20"/>
              </w:rPr>
            </w:r>
          </w:p>
        </w:tc>
        <w:tc>
          <w:tcPr>
            <w:tcW w:w="1904"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99"/>
              <w:jc w:val="right"/>
              <w:rPr>
                <w:rFonts w:ascii="Arial" w:hAnsi="Arial" w:cs="Arial" w:eastAsia="Arial" w:hint="default"/>
                <w:sz w:val="20"/>
                <w:szCs w:val="20"/>
              </w:rPr>
            </w:pPr>
            <w:r>
              <w:rPr>
                <w:rFonts w:ascii="Arial"/>
                <w:w w:val="99"/>
                <w:sz w:val="20"/>
              </w:rPr>
            </w:r>
            <w:r>
              <w:rPr>
                <w:rFonts w:ascii="Arial"/>
                <w:spacing w:val="-1"/>
                <w:sz w:val="20"/>
                <w:u w:val="thick" w:color="000000"/>
              </w:rPr>
              <w:t>11,790,000</w:t>
            </w:r>
            <w:r>
              <w:rPr>
                <w:rFonts w:ascii="Arial"/>
                <w:spacing w:val="-1"/>
                <w:sz w:val="20"/>
              </w:rPr>
            </w:r>
            <w:r>
              <w:rPr>
                <w:rFonts w:ascii="Arial"/>
                <w:sz w:val="20"/>
              </w:rPr>
            </w:r>
          </w:p>
        </w:tc>
      </w:tr>
    </w:tbl>
    <w:p>
      <w:pPr>
        <w:spacing w:line="240" w:lineRule="auto" w:before="3"/>
        <w:rPr>
          <w:rFonts w:ascii="黑体" w:hAnsi="黑体" w:cs="黑体" w:eastAsia="黑体" w:hint="default"/>
          <w:b/>
          <w:bCs/>
          <w:sz w:val="11"/>
          <w:szCs w:val="11"/>
        </w:rPr>
      </w:pPr>
    </w:p>
    <w:p>
      <w:pPr>
        <w:pStyle w:val="BodyText"/>
        <w:tabs>
          <w:tab w:pos="1481" w:val="left" w:leader="none"/>
        </w:tabs>
        <w:spacing w:line="240" w:lineRule="exact" w:before="79"/>
        <w:ind w:left="761" w:right="5543"/>
        <w:jc w:val="left"/>
      </w:pPr>
      <w:r>
        <w:rPr>
          <w:spacing w:val="-1"/>
          <w:w w:val="95"/>
        </w:rPr>
        <w:t>注</w:t>
      </w:r>
      <w:r>
        <w:rPr>
          <w:rFonts w:ascii="Arial" w:hAnsi="Arial" w:cs="Arial" w:eastAsia="Arial" w:hint="default"/>
          <w:spacing w:val="-1"/>
          <w:w w:val="95"/>
        </w:rPr>
        <w:t>1</w:t>
      </w:r>
      <w:r>
        <w:rPr>
          <w:spacing w:val="-1"/>
          <w:w w:val="95"/>
        </w:rPr>
        <w:t>．</w:t>
        <w:tab/>
      </w:r>
      <w:r>
        <w:rPr/>
        <w:t>参见附注五、</w:t>
      </w:r>
      <w:r>
        <w:rPr>
          <w:rFonts w:ascii="Arial" w:hAnsi="Arial" w:cs="Arial" w:eastAsia="Arial" w:hint="default"/>
        </w:rPr>
        <w:t>28</w:t>
      </w:r>
      <w:r>
        <w:rPr/>
        <w:t>。</w:t>
      </w:r>
      <w:r>
        <w:rPr>
          <w:w w:val="99"/>
        </w:rPr>
        <w:t> </w:t>
      </w:r>
      <w:r>
        <w:rPr>
          <w:spacing w:val="-1"/>
          <w:w w:val="95"/>
        </w:rPr>
        <w:t>注</w:t>
      </w:r>
      <w:r>
        <w:rPr>
          <w:rFonts w:ascii="Arial" w:hAnsi="Arial" w:cs="Arial" w:eastAsia="Arial" w:hint="default"/>
          <w:spacing w:val="-1"/>
          <w:w w:val="95"/>
        </w:rPr>
        <w:t>2</w:t>
      </w:r>
      <w:r>
        <w:rPr>
          <w:spacing w:val="-1"/>
          <w:w w:val="95"/>
        </w:rPr>
        <w:t>．</w:t>
        <w:tab/>
      </w:r>
      <w:r>
        <w:rPr/>
        <w:t>参见附注十三、</w:t>
      </w:r>
      <w:r>
        <w:rPr>
          <w:rFonts w:ascii="Arial" w:hAnsi="Arial" w:cs="Arial" w:eastAsia="Arial" w:hint="default"/>
        </w:rPr>
        <w:t>24</w:t>
      </w:r>
      <w:r>
        <w:rPr/>
        <w:t>。</w:t>
      </w:r>
    </w:p>
    <w:p>
      <w:pPr>
        <w:tabs>
          <w:tab w:pos="802" w:val="left" w:leader="none"/>
        </w:tabs>
        <w:spacing w:line="381" w:lineRule="auto" w:before="162"/>
        <w:ind w:left="754" w:right="6837" w:hanging="632"/>
        <w:jc w:val="left"/>
        <w:rPr>
          <w:rFonts w:ascii="黑体" w:hAnsi="黑体" w:cs="黑体" w:eastAsia="黑体" w:hint="default"/>
          <w:sz w:val="20"/>
          <w:szCs w:val="20"/>
        </w:rPr>
      </w:pPr>
      <w:r>
        <w:rPr/>
        <w:pict>
          <v:shape style="position:absolute;margin-left:111.919998pt;margin-top:45.900318pt;width:406.9pt;height:99.75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18"/>
                    <w:gridCol w:w="3570"/>
                    <w:gridCol w:w="1850"/>
                  </w:tblGrid>
                  <w:tr>
                    <w:trPr>
                      <w:trHeight w:val="233" w:hRule="exact"/>
                    </w:trPr>
                    <w:tc>
                      <w:tcPr>
                        <w:tcW w:w="2718" w:type="dxa"/>
                        <w:tcBorders>
                          <w:top w:val="nil" w:sz="6" w:space="0" w:color="auto"/>
                          <w:left w:val="nil" w:sz="6" w:space="0" w:color="auto"/>
                          <w:bottom w:val="nil" w:sz="6" w:space="0" w:color="auto"/>
                          <w:right w:val="nil" w:sz="6" w:space="0" w:color="auto"/>
                        </w:tcBorders>
                      </w:tcPr>
                      <w:p>
                        <w:pPr/>
                      </w:p>
                    </w:tc>
                    <w:tc>
                      <w:tcPr>
                        <w:tcW w:w="3570" w:type="dxa"/>
                        <w:tcBorders>
                          <w:top w:val="nil" w:sz="6" w:space="0" w:color="auto"/>
                          <w:left w:val="nil" w:sz="6" w:space="0" w:color="auto"/>
                          <w:bottom w:val="nil" w:sz="6" w:space="0" w:color="auto"/>
                          <w:right w:val="nil" w:sz="6" w:space="0" w:color="auto"/>
                        </w:tcBorders>
                      </w:tcPr>
                      <w:p>
                        <w:pPr>
                          <w:pStyle w:val="TableParagraph"/>
                          <w:spacing w:line="214" w:lineRule="exact"/>
                          <w:ind w:right="760"/>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1850" w:type="dxa"/>
                        <w:tcBorders>
                          <w:top w:val="nil" w:sz="6" w:space="0" w:color="auto"/>
                          <w:left w:val="nil" w:sz="6" w:space="0" w:color="auto"/>
                          <w:bottom w:val="nil" w:sz="6" w:space="0" w:color="auto"/>
                          <w:right w:val="nil" w:sz="6" w:space="0" w:color="auto"/>
                        </w:tcBorders>
                      </w:tcPr>
                      <w:p>
                        <w:pPr>
                          <w:pStyle w:val="TableParagraph"/>
                          <w:spacing w:line="214" w:lineRule="exact"/>
                          <w:ind w:right="198"/>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r>
                  <w:tr>
                    <w:trPr>
                      <w:trHeight w:val="383" w:hRule="exact"/>
                    </w:trPr>
                    <w:tc>
                      <w:tcPr>
                        <w:tcW w:w="2718" w:type="dxa"/>
                        <w:tcBorders>
                          <w:top w:val="nil" w:sz="6" w:space="0" w:color="auto"/>
                          <w:left w:val="nil" w:sz="6" w:space="0" w:color="auto"/>
                          <w:bottom w:val="nil" w:sz="6" w:space="0" w:color="auto"/>
                          <w:right w:val="nil" w:sz="6" w:space="0" w:color="auto"/>
                        </w:tcBorders>
                      </w:tcPr>
                      <w:p>
                        <w:pPr/>
                      </w:p>
                    </w:tc>
                    <w:tc>
                      <w:tcPr>
                        <w:tcW w:w="3570" w:type="dxa"/>
                        <w:tcBorders>
                          <w:top w:val="nil" w:sz="6" w:space="0" w:color="auto"/>
                          <w:left w:val="nil" w:sz="6" w:space="0" w:color="auto"/>
                          <w:bottom w:val="nil" w:sz="6" w:space="0" w:color="auto"/>
                          <w:right w:val="nil" w:sz="6" w:space="0" w:color="auto"/>
                        </w:tcBorders>
                      </w:tcPr>
                      <w:p>
                        <w:pPr>
                          <w:pStyle w:val="TableParagraph"/>
                          <w:spacing w:line="237" w:lineRule="exact"/>
                          <w:ind w:right="760"/>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850" w:type="dxa"/>
                        <w:tcBorders>
                          <w:top w:val="nil" w:sz="6" w:space="0" w:color="auto"/>
                          <w:left w:val="nil" w:sz="6" w:space="0" w:color="auto"/>
                          <w:bottom w:val="nil" w:sz="6" w:space="0" w:color="auto"/>
                          <w:right w:val="nil" w:sz="6" w:space="0" w:color="auto"/>
                        </w:tcBorders>
                      </w:tcPr>
                      <w:p>
                        <w:pPr>
                          <w:pStyle w:val="TableParagraph"/>
                          <w:spacing w:line="237" w:lineRule="exact"/>
                          <w:ind w:right="198"/>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r>
                  <w:tr>
                    <w:trPr>
                      <w:trHeight w:val="382"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0" w:right="0"/>
                          <w:jc w:val="left"/>
                          <w:rPr>
                            <w:rFonts w:ascii="黑体" w:hAnsi="黑体" w:cs="黑体" w:eastAsia="黑体" w:hint="default"/>
                            <w:sz w:val="20"/>
                            <w:szCs w:val="20"/>
                          </w:rPr>
                        </w:pPr>
                        <w:r>
                          <w:rPr>
                            <w:rFonts w:ascii="黑体" w:hAnsi="黑体" w:cs="黑体" w:eastAsia="黑体" w:hint="default"/>
                            <w:sz w:val="20"/>
                            <w:szCs w:val="20"/>
                          </w:rPr>
                          <w:t>审计费</w:t>
                        </w:r>
                      </w:p>
                    </w:tc>
                    <w:tc>
                      <w:tcPr>
                        <w:tcW w:w="3570"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761"/>
                          <w:jc w:val="right"/>
                          <w:rPr>
                            <w:rFonts w:ascii="Arial" w:hAnsi="Arial" w:cs="Arial" w:eastAsia="Arial" w:hint="default"/>
                            <w:sz w:val="20"/>
                            <w:szCs w:val="20"/>
                          </w:rPr>
                        </w:pPr>
                        <w:r>
                          <w:rPr>
                            <w:rFonts w:ascii="Arial"/>
                            <w:spacing w:val="-1"/>
                            <w:sz w:val="20"/>
                          </w:rPr>
                          <w:t>1,950,000</w:t>
                        </w: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98"/>
                          <w:jc w:val="right"/>
                          <w:rPr>
                            <w:rFonts w:ascii="Arial" w:hAnsi="Arial" w:cs="Arial" w:eastAsia="Arial" w:hint="default"/>
                            <w:sz w:val="20"/>
                            <w:szCs w:val="20"/>
                          </w:rPr>
                        </w:pPr>
                        <w:r>
                          <w:rPr>
                            <w:rFonts w:ascii="Arial"/>
                            <w:spacing w:val="-1"/>
                            <w:sz w:val="20"/>
                          </w:rPr>
                          <w:t>1,350,000</w:t>
                        </w:r>
                      </w:p>
                    </w:tc>
                  </w:tr>
                  <w:tr>
                    <w:trPr>
                      <w:trHeight w:val="256"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z w:val="20"/>
                            <w:szCs w:val="20"/>
                          </w:rPr>
                          <w:t>房租</w:t>
                        </w:r>
                      </w:p>
                    </w:tc>
                    <w:tc>
                      <w:tcPr>
                        <w:tcW w:w="357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60"/>
                          <w:jc w:val="right"/>
                          <w:rPr>
                            <w:rFonts w:ascii="Arial" w:hAnsi="Arial" w:cs="Arial" w:eastAsia="Arial" w:hint="default"/>
                            <w:sz w:val="20"/>
                            <w:szCs w:val="20"/>
                          </w:rPr>
                        </w:pPr>
                        <w:r>
                          <w:rPr>
                            <w:rFonts w:ascii="Arial"/>
                            <w:spacing w:val="-1"/>
                            <w:w w:val="95"/>
                            <w:sz w:val="20"/>
                          </w:rPr>
                          <w:t>569,230</w:t>
                        </w:r>
                        <w:r>
                          <w:rPr>
                            <w:rFonts w:ascii="Arial"/>
                            <w:sz w:val="20"/>
                          </w:rPr>
                        </w: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8"/>
                          <w:jc w:val="right"/>
                          <w:rPr>
                            <w:rFonts w:ascii="Arial" w:hAnsi="Arial" w:cs="Arial" w:eastAsia="Arial" w:hint="default"/>
                            <w:sz w:val="20"/>
                            <w:szCs w:val="20"/>
                          </w:rPr>
                        </w:pPr>
                        <w:r>
                          <w:rPr>
                            <w:rFonts w:ascii="Arial"/>
                            <w:spacing w:val="-1"/>
                            <w:w w:val="95"/>
                            <w:sz w:val="20"/>
                          </w:rPr>
                          <w:t>367,983</w:t>
                        </w:r>
                        <w:r>
                          <w:rPr>
                            <w:rFonts w:ascii="Arial"/>
                            <w:sz w:val="20"/>
                          </w:rPr>
                        </w:r>
                      </w:p>
                    </w:tc>
                  </w:tr>
                  <w:tr>
                    <w:trPr>
                      <w:trHeight w:val="388" w:hRule="exact"/>
                    </w:trPr>
                    <w:tc>
                      <w:tcPr>
                        <w:tcW w:w="2718" w:type="dxa"/>
                        <w:tcBorders>
                          <w:top w:val="nil" w:sz="6" w:space="0" w:color="auto"/>
                          <w:left w:val="nil" w:sz="6" w:space="0" w:color="auto"/>
                          <w:bottom w:val="nil" w:sz="6" w:space="0" w:color="auto"/>
                          <w:right w:val="nil" w:sz="6" w:space="0" w:color="auto"/>
                        </w:tcBorders>
                      </w:tcPr>
                      <w:p>
                        <w:pPr>
                          <w:pStyle w:val="TableParagraph"/>
                          <w:spacing w:line="223" w:lineRule="exact"/>
                          <w:ind w:left="200"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35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60"/>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11"/>
                            <w:sz w:val="20"/>
                            <w:u w:val="single" w:color="000000"/>
                          </w:rPr>
                          <w:t> </w:t>
                        </w:r>
                        <w:r>
                          <w:rPr>
                            <w:rFonts w:ascii="Arial"/>
                            <w:spacing w:val="-1"/>
                            <w:w w:val="95"/>
                            <w:sz w:val="20"/>
                            <w:u w:val="single" w:color="000000"/>
                          </w:rPr>
                          <w:t>734,831</w:t>
                        </w:r>
                        <w:r>
                          <w:rPr>
                            <w:rFonts w:ascii="Arial"/>
                            <w:spacing w:val="-1"/>
                            <w:w w:val="95"/>
                            <w:sz w:val="20"/>
                          </w:rPr>
                        </w:r>
                        <w:r>
                          <w:rPr>
                            <w:rFonts w:ascii="Arial"/>
                            <w:sz w:val="20"/>
                          </w:rPr>
                        </w: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w w:val="99"/>
                            <w:sz w:val="20"/>
                          </w:rPr>
                        </w:r>
                        <w:r>
                          <w:rPr>
                            <w:rFonts w:ascii="Arial"/>
                            <w:spacing w:val="-1"/>
                            <w:sz w:val="20"/>
                            <w:u w:val="single" w:color="000000"/>
                          </w:rPr>
                          <w:t>1,629,964</w:t>
                        </w:r>
                        <w:r>
                          <w:rPr>
                            <w:rFonts w:ascii="Arial"/>
                            <w:spacing w:val="-1"/>
                            <w:sz w:val="20"/>
                          </w:rPr>
                        </w:r>
                      </w:p>
                    </w:tc>
                  </w:tr>
                  <w:tr>
                    <w:trPr>
                      <w:trHeight w:val="354" w:hRule="exact"/>
                    </w:trPr>
                    <w:tc>
                      <w:tcPr>
                        <w:tcW w:w="2718" w:type="dxa"/>
                        <w:tcBorders>
                          <w:top w:val="nil" w:sz="6" w:space="0" w:color="auto"/>
                          <w:left w:val="nil" w:sz="6" w:space="0" w:color="auto"/>
                          <w:bottom w:val="nil" w:sz="6" w:space="0" w:color="auto"/>
                          <w:right w:val="nil" w:sz="6" w:space="0" w:color="auto"/>
                        </w:tcBorders>
                      </w:tcPr>
                      <w:p>
                        <w:pPr/>
                      </w:p>
                    </w:tc>
                    <w:tc>
                      <w:tcPr>
                        <w:tcW w:w="357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761"/>
                          <w:jc w:val="right"/>
                          <w:rPr>
                            <w:rFonts w:ascii="Arial" w:hAnsi="Arial" w:cs="Arial" w:eastAsia="Arial" w:hint="default"/>
                            <w:sz w:val="20"/>
                            <w:szCs w:val="20"/>
                          </w:rPr>
                        </w:pPr>
                        <w:r>
                          <w:rPr>
                            <w:rFonts w:ascii="Arial"/>
                            <w:w w:val="99"/>
                            <w:sz w:val="20"/>
                          </w:rPr>
                        </w:r>
                        <w:r>
                          <w:rPr>
                            <w:rFonts w:ascii="Arial"/>
                            <w:spacing w:val="-1"/>
                            <w:sz w:val="20"/>
                            <w:u w:val="thick" w:color="000000"/>
                          </w:rPr>
                          <w:t>3,254,061</w:t>
                        </w:r>
                        <w:r>
                          <w:rPr>
                            <w:rFonts w:ascii="Arial"/>
                            <w:spacing w:val="-1"/>
                            <w:sz w:val="20"/>
                          </w:rPr>
                        </w:r>
                      </w:p>
                    </w:tc>
                    <w:tc>
                      <w:tcPr>
                        <w:tcW w:w="185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3,347,947</w:t>
                        </w:r>
                        <w:r>
                          <w:rPr>
                            <w:rFonts w:ascii="Arial"/>
                            <w:spacing w:val="-1"/>
                            <w:sz w:val="20"/>
                          </w:rPr>
                        </w:r>
                      </w:p>
                    </w:tc>
                  </w:tr>
                </w:tbl>
                <w:p>
                  <w:pPr/>
                </w:p>
              </w:txbxContent>
            </v:textbox>
            <w10:wrap type="none"/>
          </v:shape>
        </w:pict>
      </w:r>
      <w:r>
        <w:rPr>
          <w:rFonts w:ascii="Arial" w:hAnsi="Arial" w:cs="Arial" w:eastAsia="Arial" w:hint="default"/>
          <w:b/>
          <w:bCs/>
          <w:spacing w:val="-1"/>
          <w:w w:val="95"/>
          <w:sz w:val="20"/>
          <w:szCs w:val="20"/>
        </w:rPr>
        <w:t>23.</w:t>
        <w:tab/>
        <w:tab/>
      </w:r>
      <w:r>
        <w:rPr>
          <w:rFonts w:ascii="黑体" w:hAnsi="黑体" w:cs="黑体" w:eastAsia="黑体" w:hint="default"/>
          <w:b/>
          <w:bCs/>
          <w:spacing w:val="1"/>
          <w:w w:val="95"/>
          <w:sz w:val="20"/>
          <w:szCs w:val="20"/>
        </w:rPr>
        <w:t>其他流动负债</w:t>
      </w:r>
      <w:r>
        <w:rPr>
          <w:rFonts w:ascii="黑体" w:hAnsi="黑体" w:cs="黑体" w:eastAsia="黑体" w:hint="default"/>
          <w:b/>
          <w:bCs/>
          <w:spacing w:val="-44"/>
          <w:w w:val="95"/>
          <w:sz w:val="20"/>
          <w:szCs w:val="20"/>
        </w:rPr>
        <w:t> </w:t>
      </w:r>
      <w:r>
        <w:rPr>
          <w:rFonts w:ascii="黑体" w:hAnsi="黑体" w:cs="黑体" w:eastAsia="黑体" w:hint="default"/>
          <w:b/>
          <w:bCs/>
          <w:spacing w:val="-44"/>
          <w:w w:val="95"/>
          <w:sz w:val="20"/>
          <w:szCs w:val="20"/>
        </w:rPr>
      </w:r>
      <w:r>
        <w:rPr>
          <w:rFonts w:ascii="黑体" w:hAnsi="黑体" w:cs="黑体" w:eastAsia="黑体" w:hint="default"/>
          <w:sz w:val="20"/>
          <w:szCs w:val="20"/>
        </w:rPr>
        <w:t>预提费用</w:t>
      </w:r>
    </w:p>
    <w:p>
      <w:pPr>
        <w:spacing w:after="0" w:line="381" w:lineRule="auto"/>
        <w:jc w:val="left"/>
        <w:rPr>
          <w:rFonts w:ascii="黑体" w:hAnsi="黑体" w:cs="黑体" w:eastAsia="黑体" w:hint="default"/>
          <w:sz w:val="20"/>
          <w:szCs w:val="20"/>
        </w:rPr>
        <w:sectPr>
          <w:pgSz w:w="11910" w:h="16850"/>
          <w:pgMar w:header="957" w:footer="473" w:top="2600" w:bottom="660" w:left="1660" w:right="1400"/>
        </w:sectPr>
      </w:pPr>
    </w:p>
    <w:p>
      <w:pPr>
        <w:spacing w:line="240" w:lineRule="auto" w:before="6"/>
        <w:rPr>
          <w:rFonts w:ascii="黑体" w:hAnsi="黑体" w:cs="黑体" w:eastAsia="黑体" w:hint="default"/>
          <w:sz w:val="14"/>
          <w:szCs w:val="14"/>
        </w:rPr>
      </w:pPr>
    </w:p>
    <w:p>
      <w:pPr>
        <w:pStyle w:val="Heading6"/>
        <w:spacing w:line="240" w:lineRule="auto"/>
        <w:ind w:left="142" w:right="154"/>
        <w:jc w:val="left"/>
        <w:rPr>
          <w:b w:val="0"/>
          <w:bCs w:val="0"/>
        </w:rPr>
      </w:pPr>
      <w:r>
        <w:rPr/>
        <w:t>十三、公司财务报表主要项目注释（续）</w:t>
      </w:r>
      <w:r>
        <w:rPr>
          <w:b w:val="0"/>
          <w:bCs w:val="0"/>
        </w:rPr>
      </w:r>
    </w:p>
    <w:p>
      <w:pPr>
        <w:spacing w:line="240" w:lineRule="auto" w:before="9"/>
        <w:rPr>
          <w:rFonts w:ascii="黑体" w:hAnsi="黑体" w:cs="黑体" w:eastAsia="黑体" w:hint="default"/>
          <w:b/>
          <w:bCs/>
          <w:sz w:val="16"/>
          <w:szCs w:val="16"/>
        </w:rPr>
      </w:pPr>
    </w:p>
    <w:p>
      <w:pPr>
        <w:pStyle w:val="Heading6"/>
        <w:tabs>
          <w:tab w:pos="802" w:val="left" w:leader="none"/>
        </w:tabs>
        <w:spacing w:line="240" w:lineRule="auto" w:before="0"/>
        <w:ind w:left="123" w:right="154"/>
        <w:jc w:val="left"/>
        <w:rPr>
          <w:b w:val="0"/>
          <w:bCs w:val="0"/>
        </w:rPr>
      </w:pPr>
      <w:r>
        <w:rPr>
          <w:rFonts w:ascii="Arial" w:hAnsi="Arial" w:cs="Arial" w:eastAsia="Arial" w:hint="default"/>
          <w:spacing w:val="-1"/>
          <w:w w:val="95"/>
        </w:rPr>
        <w:t>24.</w:t>
        <w:tab/>
      </w:r>
      <w:r>
        <w:rPr>
          <w:spacing w:val="2"/>
        </w:rPr>
        <w:t>递延收益</w:t>
      </w:r>
      <w:r>
        <w:rPr>
          <w:b w:val="0"/>
          <w:bCs w:val="0"/>
        </w:rPr>
      </w:r>
    </w:p>
    <w:p>
      <w:pPr>
        <w:spacing w:line="240" w:lineRule="auto" w:before="6"/>
        <w:rPr>
          <w:rFonts w:ascii="黑体" w:hAnsi="黑体" w:cs="黑体" w:eastAsia="黑体" w:hint="default"/>
          <w:b/>
          <w:bCs/>
          <w:sz w:val="21"/>
          <w:szCs w:val="21"/>
        </w:rPr>
      </w:pPr>
    </w:p>
    <w:tbl>
      <w:tblPr>
        <w:tblW w:w="0" w:type="auto"/>
        <w:jc w:val="left"/>
        <w:tblInd w:w="566" w:type="dxa"/>
        <w:tblLayout w:type="fixed"/>
        <w:tblCellMar>
          <w:top w:w="0" w:type="dxa"/>
          <w:left w:w="0" w:type="dxa"/>
          <w:bottom w:w="0" w:type="dxa"/>
          <w:right w:w="0" w:type="dxa"/>
        </w:tblCellMar>
        <w:tblLook w:val="01E0"/>
      </w:tblPr>
      <w:tblGrid>
        <w:gridCol w:w="4064"/>
        <w:gridCol w:w="2586"/>
        <w:gridCol w:w="1521"/>
      </w:tblGrid>
      <w:tr>
        <w:trPr>
          <w:trHeight w:val="232" w:hRule="exact"/>
        </w:trPr>
        <w:tc>
          <w:tcPr>
            <w:tcW w:w="4064" w:type="dxa"/>
            <w:tcBorders>
              <w:top w:val="nil" w:sz="6" w:space="0" w:color="auto"/>
              <w:left w:val="nil" w:sz="6" w:space="0" w:color="auto"/>
              <w:bottom w:val="nil" w:sz="6" w:space="0" w:color="auto"/>
              <w:right w:val="nil" w:sz="6" w:space="0" w:color="auto"/>
            </w:tcBorders>
          </w:tcPr>
          <w:p>
            <w:pPr/>
          </w:p>
        </w:tc>
        <w:tc>
          <w:tcPr>
            <w:tcW w:w="2586" w:type="dxa"/>
            <w:tcBorders>
              <w:top w:val="nil" w:sz="6" w:space="0" w:color="auto"/>
              <w:left w:val="nil" w:sz="6" w:space="0" w:color="auto"/>
              <w:bottom w:val="nil" w:sz="6" w:space="0" w:color="auto"/>
              <w:right w:val="nil" w:sz="6" w:space="0" w:color="auto"/>
            </w:tcBorders>
          </w:tcPr>
          <w:p>
            <w:pPr>
              <w:pStyle w:val="TableParagraph"/>
              <w:spacing w:line="214" w:lineRule="exact"/>
              <w:ind w:right="320"/>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1521" w:type="dxa"/>
            <w:tcBorders>
              <w:top w:val="nil" w:sz="6" w:space="0" w:color="auto"/>
              <w:left w:val="nil" w:sz="6" w:space="0" w:color="auto"/>
              <w:bottom w:val="nil" w:sz="6" w:space="0" w:color="auto"/>
              <w:right w:val="nil" w:sz="6" w:space="0" w:color="auto"/>
            </w:tcBorders>
          </w:tcPr>
          <w:p>
            <w:pPr>
              <w:pStyle w:val="TableParagraph"/>
              <w:spacing w:line="214" w:lineRule="exact"/>
              <w:ind w:right="198"/>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r>
      <w:tr>
        <w:trPr>
          <w:trHeight w:val="383" w:hRule="exact"/>
        </w:trPr>
        <w:tc>
          <w:tcPr>
            <w:tcW w:w="4064" w:type="dxa"/>
            <w:tcBorders>
              <w:top w:val="nil" w:sz="6" w:space="0" w:color="auto"/>
              <w:left w:val="nil" w:sz="6" w:space="0" w:color="auto"/>
              <w:bottom w:val="nil" w:sz="6" w:space="0" w:color="auto"/>
              <w:right w:val="nil" w:sz="6" w:space="0" w:color="auto"/>
            </w:tcBorders>
          </w:tcPr>
          <w:p>
            <w:pPr/>
          </w:p>
        </w:tc>
        <w:tc>
          <w:tcPr>
            <w:tcW w:w="2586" w:type="dxa"/>
            <w:tcBorders>
              <w:top w:val="nil" w:sz="6" w:space="0" w:color="auto"/>
              <w:left w:val="nil" w:sz="6" w:space="0" w:color="auto"/>
              <w:bottom w:val="nil" w:sz="6" w:space="0" w:color="auto"/>
              <w:right w:val="nil" w:sz="6" w:space="0" w:color="auto"/>
            </w:tcBorders>
          </w:tcPr>
          <w:p>
            <w:pPr>
              <w:pStyle w:val="TableParagraph"/>
              <w:spacing w:line="236" w:lineRule="exact"/>
              <w:ind w:right="320"/>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521" w:type="dxa"/>
            <w:tcBorders>
              <w:top w:val="nil" w:sz="6" w:space="0" w:color="auto"/>
              <w:left w:val="nil" w:sz="6" w:space="0" w:color="auto"/>
              <w:bottom w:val="nil" w:sz="6" w:space="0" w:color="auto"/>
              <w:right w:val="nil" w:sz="6" w:space="0" w:color="auto"/>
            </w:tcBorders>
          </w:tcPr>
          <w:p>
            <w:pPr>
              <w:pStyle w:val="TableParagraph"/>
              <w:spacing w:line="236" w:lineRule="exact"/>
              <w:ind w:right="198"/>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r>
      <w:tr>
        <w:trPr>
          <w:trHeight w:val="383" w:hRule="exact"/>
        </w:trPr>
        <w:tc>
          <w:tcPr>
            <w:tcW w:w="406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00" w:right="0"/>
              <w:jc w:val="left"/>
              <w:rPr>
                <w:rFonts w:ascii="黑体" w:hAnsi="黑体" w:cs="黑体" w:eastAsia="黑体" w:hint="default"/>
                <w:sz w:val="20"/>
                <w:szCs w:val="20"/>
              </w:rPr>
            </w:pPr>
            <w:r>
              <w:rPr>
                <w:rFonts w:ascii="黑体" w:hAnsi="黑体" w:cs="黑体" w:eastAsia="黑体" w:hint="default"/>
                <w:sz w:val="20"/>
                <w:szCs w:val="20"/>
              </w:rPr>
              <w:t>递延收益</w:t>
            </w:r>
          </w:p>
        </w:tc>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21"/>
              <w:jc w:val="right"/>
              <w:rPr>
                <w:rFonts w:ascii="Arial" w:hAnsi="Arial" w:cs="Arial" w:eastAsia="Arial" w:hint="default"/>
                <w:sz w:val="20"/>
                <w:szCs w:val="20"/>
              </w:rPr>
            </w:pPr>
            <w:r>
              <w:rPr>
                <w:rFonts w:ascii="Arial"/>
                <w:spacing w:val="-1"/>
                <w:sz w:val="20"/>
              </w:rPr>
              <w:t>41,230,000</w:t>
            </w:r>
            <w:r>
              <w:rPr>
                <w:rFonts w:ascii="Arial"/>
                <w:sz w:val="20"/>
              </w:rPr>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98"/>
              <w:jc w:val="right"/>
              <w:rPr>
                <w:rFonts w:ascii="Arial" w:hAnsi="Arial" w:cs="Arial" w:eastAsia="Arial" w:hint="default"/>
                <w:sz w:val="20"/>
                <w:szCs w:val="20"/>
              </w:rPr>
            </w:pPr>
            <w:r>
              <w:rPr>
                <w:rFonts w:ascii="Arial"/>
                <w:spacing w:val="-1"/>
                <w:sz w:val="20"/>
              </w:rPr>
              <w:t>13,790,000</w:t>
            </w:r>
            <w:r>
              <w:rPr>
                <w:rFonts w:ascii="Arial"/>
                <w:sz w:val="20"/>
              </w:rPr>
            </w:r>
          </w:p>
        </w:tc>
      </w:tr>
      <w:tr>
        <w:trPr>
          <w:trHeight w:val="386" w:hRule="exact"/>
        </w:trPr>
        <w:tc>
          <w:tcPr>
            <w:tcW w:w="4064"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z w:val="20"/>
                <w:szCs w:val="20"/>
              </w:rPr>
              <w:t>减：一年以内到期的递延收益</w:t>
            </w:r>
          </w:p>
        </w:tc>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21"/>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w w:val="95"/>
                <w:sz w:val="20"/>
                <w:u w:val="single" w:color="000000"/>
              </w:rPr>
              <w:t>6,230,000</w:t>
            </w:r>
            <w:r>
              <w:rPr>
                <w:rFonts w:ascii="Arial"/>
                <w:spacing w:val="-1"/>
                <w:w w:val="95"/>
                <w:sz w:val="20"/>
              </w:rPr>
            </w:r>
            <w:r>
              <w:rPr>
                <w:rFonts w:ascii="Arial"/>
                <w:sz w:val="20"/>
              </w:rPr>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8"/>
              <w:jc w:val="right"/>
              <w:rPr>
                <w:rFonts w:ascii="Arial" w:hAnsi="Arial" w:cs="Arial" w:eastAsia="Arial" w:hint="default"/>
                <w:sz w:val="20"/>
                <w:szCs w:val="20"/>
              </w:rPr>
            </w:pPr>
            <w:r>
              <w:rPr>
                <w:rFonts w:ascii="Arial"/>
                <w:w w:val="99"/>
                <w:sz w:val="20"/>
              </w:rPr>
            </w:r>
            <w:r>
              <w:rPr>
                <w:rFonts w:ascii="Arial"/>
                <w:spacing w:val="-1"/>
                <w:sz w:val="20"/>
                <w:u w:val="single" w:color="000000"/>
              </w:rPr>
              <w:t>11,790,000</w:t>
            </w:r>
            <w:r>
              <w:rPr>
                <w:rFonts w:ascii="Arial"/>
                <w:spacing w:val="-1"/>
                <w:sz w:val="20"/>
              </w:rPr>
            </w:r>
            <w:r>
              <w:rPr>
                <w:rFonts w:ascii="Arial"/>
                <w:sz w:val="20"/>
              </w:rPr>
            </w:r>
          </w:p>
        </w:tc>
      </w:tr>
      <w:tr>
        <w:trPr>
          <w:trHeight w:val="354" w:hRule="exact"/>
        </w:trPr>
        <w:tc>
          <w:tcPr>
            <w:tcW w:w="4064" w:type="dxa"/>
            <w:tcBorders>
              <w:top w:val="nil" w:sz="6" w:space="0" w:color="auto"/>
              <w:left w:val="nil" w:sz="6" w:space="0" w:color="auto"/>
              <w:bottom w:val="nil" w:sz="6" w:space="0" w:color="auto"/>
              <w:right w:val="nil" w:sz="6" w:space="0" w:color="auto"/>
            </w:tcBorders>
          </w:tcPr>
          <w:p>
            <w:pPr/>
          </w:p>
        </w:tc>
        <w:tc>
          <w:tcPr>
            <w:tcW w:w="2586"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21"/>
              <w:jc w:val="right"/>
              <w:rPr>
                <w:rFonts w:ascii="Arial" w:hAnsi="Arial" w:cs="Arial" w:eastAsia="Arial" w:hint="default"/>
                <w:sz w:val="20"/>
                <w:szCs w:val="20"/>
              </w:rPr>
            </w:pPr>
            <w:r>
              <w:rPr>
                <w:rFonts w:ascii="Arial"/>
                <w:w w:val="99"/>
                <w:sz w:val="20"/>
              </w:rPr>
            </w:r>
            <w:r>
              <w:rPr>
                <w:rFonts w:ascii="Arial"/>
                <w:spacing w:val="-1"/>
                <w:sz w:val="20"/>
                <w:u w:val="thick" w:color="000000"/>
              </w:rPr>
              <w:t>35,000,000</w:t>
            </w:r>
            <w:r>
              <w:rPr>
                <w:rFonts w:ascii="Arial"/>
                <w:spacing w:val="-1"/>
                <w:sz w:val="20"/>
              </w:rPr>
            </w:r>
            <w:r>
              <w:rPr>
                <w:rFonts w:ascii="Arial"/>
                <w:sz w:val="20"/>
              </w:rPr>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98"/>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pacing w:val="-11"/>
                <w:sz w:val="20"/>
                <w:u w:val="thick" w:color="000000"/>
              </w:rPr>
              <w:t> </w:t>
            </w:r>
            <w:r>
              <w:rPr>
                <w:rFonts w:ascii="Arial"/>
                <w:spacing w:val="-1"/>
                <w:w w:val="95"/>
                <w:sz w:val="20"/>
                <w:u w:val="thick" w:color="000000"/>
              </w:rPr>
              <w:t>2,000,000</w:t>
            </w:r>
            <w:r>
              <w:rPr>
                <w:rFonts w:ascii="Arial"/>
                <w:spacing w:val="-1"/>
                <w:w w:val="95"/>
                <w:sz w:val="20"/>
              </w:rPr>
            </w:r>
            <w:r>
              <w:rPr>
                <w:rFonts w:ascii="Arial"/>
                <w:sz w:val="20"/>
              </w:rPr>
            </w:r>
          </w:p>
        </w:tc>
      </w:tr>
    </w:tbl>
    <w:p>
      <w:pPr>
        <w:spacing w:line="240" w:lineRule="auto" w:before="1"/>
        <w:rPr>
          <w:rFonts w:ascii="黑体" w:hAnsi="黑体" w:cs="黑体" w:eastAsia="黑体" w:hint="default"/>
          <w:b/>
          <w:bCs/>
          <w:sz w:val="13"/>
          <w:szCs w:val="13"/>
        </w:rPr>
      </w:pPr>
    </w:p>
    <w:p>
      <w:pPr>
        <w:pStyle w:val="BodyText"/>
        <w:spacing w:line="240" w:lineRule="exact" w:before="79"/>
        <w:ind w:left="754" w:right="154" w:firstLine="7"/>
        <w:jc w:val="left"/>
      </w:pPr>
      <w:r>
        <w:rPr>
          <w:w w:val="95"/>
        </w:rPr>
        <w:t>递延收益均为政府部门拨付的科研性质的经费，用于补偿以后期间的相关费用或损失，并</w:t>
      </w:r>
      <w:r>
        <w:rPr>
          <w:spacing w:val="74"/>
          <w:w w:val="95"/>
        </w:rPr>
        <w:t> </w:t>
      </w:r>
      <w:r>
        <w:rPr>
          <w:spacing w:val="74"/>
          <w:w w:val="95"/>
        </w:rPr>
      </w:r>
      <w:r>
        <w:rPr/>
        <w:t>在确认相关费用的期间计入当期损益。</w:t>
      </w:r>
    </w:p>
    <w:p>
      <w:pPr>
        <w:spacing w:line="240" w:lineRule="auto" w:before="2"/>
        <w:rPr>
          <w:rFonts w:ascii="黑体" w:hAnsi="黑体" w:cs="黑体" w:eastAsia="黑体" w:hint="default"/>
          <w:sz w:val="15"/>
          <w:szCs w:val="15"/>
        </w:rPr>
      </w:pPr>
    </w:p>
    <w:p>
      <w:pPr>
        <w:pStyle w:val="BodyText"/>
        <w:spacing w:line="240" w:lineRule="auto"/>
        <w:ind w:left="754" w:right="154"/>
        <w:jc w:val="left"/>
      </w:pPr>
      <w:r>
        <w:rPr/>
        <w:t>明细如下：</w:t>
      </w:r>
    </w:p>
    <w:p>
      <w:pPr>
        <w:spacing w:line="240" w:lineRule="auto" w:before="6"/>
        <w:rPr>
          <w:rFonts w:ascii="黑体" w:hAnsi="黑体" w:cs="黑体" w:eastAsia="黑体" w:hint="default"/>
          <w:sz w:val="21"/>
          <w:szCs w:val="21"/>
        </w:rPr>
      </w:pPr>
    </w:p>
    <w:tbl>
      <w:tblPr>
        <w:tblW w:w="0" w:type="auto"/>
        <w:jc w:val="left"/>
        <w:tblInd w:w="549" w:type="dxa"/>
        <w:tblLayout w:type="fixed"/>
        <w:tblCellMar>
          <w:top w:w="0" w:type="dxa"/>
          <w:left w:w="0" w:type="dxa"/>
          <w:bottom w:w="0" w:type="dxa"/>
          <w:right w:w="0" w:type="dxa"/>
        </w:tblCellMar>
        <w:tblLook w:val="01E0"/>
      </w:tblPr>
      <w:tblGrid>
        <w:gridCol w:w="5059"/>
        <w:gridCol w:w="1608"/>
        <w:gridCol w:w="1533"/>
      </w:tblGrid>
      <w:tr>
        <w:trPr>
          <w:trHeight w:val="233" w:hRule="exact"/>
        </w:trPr>
        <w:tc>
          <w:tcPr>
            <w:tcW w:w="5059"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Style w:val="TableParagraph"/>
              <w:spacing w:line="214" w:lineRule="exact"/>
              <w:ind w:right="317"/>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1533" w:type="dxa"/>
            <w:tcBorders>
              <w:top w:val="nil" w:sz="6" w:space="0" w:color="auto"/>
              <w:left w:val="nil" w:sz="6" w:space="0" w:color="auto"/>
              <w:bottom w:val="nil" w:sz="6" w:space="0" w:color="auto"/>
              <w:right w:val="nil" w:sz="6" w:space="0" w:color="auto"/>
            </w:tcBorders>
          </w:tcPr>
          <w:p>
            <w:pPr>
              <w:pStyle w:val="TableParagraph"/>
              <w:spacing w:line="214" w:lineRule="exact"/>
              <w:ind w:right="201"/>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r>
      <w:tr>
        <w:trPr>
          <w:trHeight w:val="386" w:hRule="exact"/>
        </w:trPr>
        <w:tc>
          <w:tcPr>
            <w:tcW w:w="5059"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Style w:val="TableParagraph"/>
              <w:spacing w:line="237" w:lineRule="exact"/>
              <w:ind w:right="317"/>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533" w:type="dxa"/>
            <w:tcBorders>
              <w:top w:val="nil" w:sz="6" w:space="0" w:color="auto"/>
              <w:left w:val="nil" w:sz="6" w:space="0" w:color="auto"/>
              <w:bottom w:val="nil" w:sz="6" w:space="0" w:color="auto"/>
              <w:right w:val="nil" w:sz="6" w:space="0" w:color="auto"/>
            </w:tcBorders>
          </w:tcPr>
          <w:p>
            <w:pPr>
              <w:pStyle w:val="TableParagraph"/>
              <w:spacing w:line="237" w:lineRule="exact"/>
              <w:ind w:right="201"/>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r>
      <w:tr>
        <w:trPr>
          <w:trHeight w:val="389" w:hRule="exact"/>
        </w:trPr>
        <w:tc>
          <w:tcPr>
            <w:tcW w:w="5059"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16" w:right="0"/>
              <w:jc w:val="left"/>
              <w:rPr>
                <w:rFonts w:ascii="黑体" w:hAnsi="黑体" w:cs="黑体" w:eastAsia="黑体" w:hint="default"/>
                <w:sz w:val="20"/>
                <w:szCs w:val="20"/>
              </w:rPr>
            </w:pPr>
            <w:r>
              <w:rPr>
                <w:rFonts w:ascii="Arial" w:hAnsi="Arial" w:cs="Arial" w:eastAsia="Arial" w:hint="default"/>
                <w:sz w:val="20"/>
                <w:szCs w:val="20"/>
              </w:rPr>
              <w:t>2012</w:t>
            </w:r>
            <w:r>
              <w:rPr>
                <w:rFonts w:ascii="黑体" w:hAnsi="黑体" w:cs="黑体" w:eastAsia="黑体" w:hint="default"/>
                <w:sz w:val="20"/>
                <w:szCs w:val="20"/>
              </w:rPr>
              <w:t>电子信息产业振兴和技术改造中央投资项目</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318"/>
              <w:jc w:val="right"/>
              <w:rPr>
                <w:rFonts w:ascii="Arial" w:hAnsi="Arial" w:cs="Arial" w:eastAsia="Arial" w:hint="default"/>
                <w:sz w:val="20"/>
                <w:szCs w:val="20"/>
              </w:rPr>
            </w:pPr>
            <w:r>
              <w:rPr>
                <w:rFonts w:ascii="Arial"/>
                <w:spacing w:val="-1"/>
                <w:sz w:val="20"/>
              </w:rPr>
              <w:t>20,000,000</w:t>
            </w:r>
            <w:r>
              <w:rPr>
                <w:rFonts w:ascii="Arial"/>
                <w:sz w:val="20"/>
              </w:rPr>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198"/>
              <w:jc w:val="right"/>
              <w:rPr>
                <w:rFonts w:ascii="Arial" w:hAnsi="Arial" w:cs="Arial" w:eastAsia="Arial" w:hint="default"/>
                <w:sz w:val="20"/>
                <w:szCs w:val="20"/>
              </w:rPr>
            </w:pPr>
            <w:r>
              <w:rPr>
                <w:rFonts w:ascii="Arial"/>
                <w:w w:val="99"/>
                <w:sz w:val="20"/>
              </w:rPr>
              <w:t>-</w:t>
            </w:r>
            <w:r>
              <w:rPr>
                <w:rFonts w:ascii="Arial"/>
                <w:sz w:val="20"/>
              </w:rPr>
            </w:r>
          </w:p>
        </w:tc>
      </w:tr>
      <w:tr>
        <w:trPr>
          <w:trHeight w:val="257" w:hRule="exact"/>
        </w:trPr>
        <w:tc>
          <w:tcPr>
            <w:tcW w:w="5059" w:type="dxa"/>
            <w:tcBorders>
              <w:top w:val="nil" w:sz="6" w:space="0" w:color="auto"/>
              <w:left w:val="nil" w:sz="6" w:space="0" w:color="auto"/>
              <w:bottom w:val="nil" w:sz="6" w:space="0" w:color="auto"/>
              <w:right w:val="nil" w:sz="6" w:space="0" w:color="auto"/>
            </w:tcBorders>
          </w:tcPr>
          <w:p>
            <w:pPr>
              <w:pStyle w:val="TableParagraph"/>
              <w:spacing w:line="218" w:lineRule="exact"/>
              <w:ind w:left="216" w:right="0"/>
              <w:jc w:val="left"/>
              <w:rPr>
                <w:rFonts w:ascii="黑体" w:hAnsi="黑体" w:cs="黑体" w:eastAsia="黑体" w:hint="default"/>
                <w:sz w:val="20"/>
                <w:szCs w:val="20"/>
              </w:rPr>
            </w:pPr>
            <w:r>
              <w:rPr>
                <w:rFonts w:ascii="黑体" w:hAnsi="黑体" w:cs="黑体" w:eastAsia="黑体" w:hint="default"/>
                <w:sz w:val="20"/>
                <w:szCs w:val="20"/>
              </w:rPr>
              <w:t>用友高端企业管理软件与服务产业化推广</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18"/>
              <w:jc w:val="right"/>
              <w:rPr>
                <w:rFonts w:ascii="Arial" w:hAnsi="Arial" w:cs="Arial" w:eastAsia="Arial" w:hint="default"/>
                <w:sz w:val="20"/>
                <w:szCs w:val="20"/>
              </w:rPr>
            </w:pPr>
            <w:r>
              <w:rPr>
                <w:rFonts w:ascii="Arial"/>
                <w:spacing w:val="-1"/>
                <w:sz w:val="20"/>
              </w:rPr>
              <w:t>10,000,000</w:t>
            </w:r>
            <w:r>
              <w:rPr>
                <w:rFonts w:ascii="Arial"/>
                <w:sz w:val="20"/>
              </w:rPr>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98"/>
              <w:jc w:val="right"/>
              <w:rPr>
                <w:rFonts w:ascii="Arial" w:hAnsi="Arial" w:cs="Arial" w:eastAsia="Arial" w:hint="default"/>
                <w:sz w:val="20"/>
                <w:szCs w:val="20"/>
              </w:rPr>
            </w:pPr>
            <w:r>
              <w:rPr>
                <w:rFonts w:ascii="Arial"/>
                <w:w w:val="99"/>
                <w:sz w:val="20"/>
              </w:rPr>
              <w:t>-</w:t>
            </w:r>
            <w:r>
              <w:rPr>
                <w:rFonts w:ascii="Arial"/>
                <w:sz w:val="20"/>
              </w:rPr>
            </w:r>
          </w:p>
        </w:tc>
      </w:tr>
      <w:tr>
        <w:trPr>
          <w:trHeight w:val="251" w:hRule="exact"/>
        </w:trPr>
        <w:tc>
          <w:tcPr>
            <w:tcW w:w="5059" w:type="dxa"/>
            <w:tcBorders>
              <w:top w:val="nil" w:sz="6" w:space="0" w:color="auto"/>
              <w:left w:val="nil" w:sz="6" w:space="0" w:color="auto"/>
              <w:bottom w:val="nil" w:sz="6" w:space="0" w:color="auto"/>
              <w:right w:val="nil" w:sz="6" w:space="0" w:color="auto"/>
            </w:tcBorders>
          </w:tcPr>
          <w:p>
            <w:pPr>
              <w:pStyle w:val="TableParagraph"/>
              <w:spacing w:line="233" w:lineRule="exact"/>
              <w:ind w:left="216" w:right="0"/>
              <w:jc w:val="left"/>
              <w:rPr>
                <w:rFonts w:ascii="黑体" w:hAnsi="黑体" w:cs="黑体" w:eastAsia="黑体" w:hint="default"/>
                <w:sz w:val="20"/>
                <w:szCs w:val="20"/>
              </w:rPr>
            </w:pPr>
            <w:r>
              <w:rPr>
                <w:rFonts w:ascii="黑体" w:hAnsi="黑体" w:cs="黑体" w:eastAsia="黑体" w:hint="default"/>
                <w:sz w:val="20"/>
                <w:szCs w:val="20"/>
              </w:rPr>
              <w:t>基于企业内部控制规范的</w:t>
            </w:r>
            <w:r>
              <w:rPr>
                <w:rFonts w:ascii="Arial" w:hAnsi="Arial" w:cs="Arial" w:eastAsia="Arial" w:hint="default"/>
                <w:sz w:val="20"/>
                <w:szCs w:val="20"/>
              </w:rPr>
              <w:t>IT</w:t>
            </w:r>
            <w:r>
              <w:rPr>
                <w:rFonts w:ascii="黑体" w:hAnsi="黑体" w:cs="黑体" w:eastAsia="黑体" w:hint="default"/>
                <w:sz w:val="20"/>
                <w:szCs w:val="20"/>
              </w:rPr>
              <w:t>治理管理系统研发</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Arial" w:hAnsi="Arial" w:cs="Arial" w:eastAsia="Arial" w:hint="default"/>
                <w:sz w:val="20"/>
                <w:szCs w:val="20"/>
              </w:rPr>
            </w:pPr>
            <w:r>
              <w:rPr>
                <w:rFonts w:ascii="Arial"/>
                <w:spacing w:val="-1"/>
                <w:w w:val="95"/>
                <w:sz w:val="20"/>
              </w:rPr>
              <w:t>5,000,000</w:t>
            </w:r>
            <w:r>
              <w:rPr>
                <w:rFonts w:ascii="Arial"/>
                <w:sz w:val="20"/>
              </w:rPr>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8"/>
              <w:jc w:val="right"/>
              <w:rPr>
                <w:rFonts w:ascii="Arial" w:hAnsi="Arial" w:cs="Arial" w:eastAsia="Arial" w:hint="default"/>
                <w:sz w:val="20"/>
                <w:szCs w:val="20"/>
              </w:rPr>
            </w:pPr>
            <w:r>
              <w:rPr>
                <w:rFonts w:ascii="Arial"/>
                <w:w w:val="99"/>
                <w:sz w:val="20"/>
              </w:rPr>
              <w:t>-</w:t>
            </w:r>
            <w:r>
              <w:rPr>
                <w:rFonts w:ascii="Arial"/>
                <w:sz w:val="20"/>
              </w:rPr>
            </w:r>
          </w:p>
        </w:tc>
      </w:tr>
      <w:tr>
        <w:trPr>
          <w:trHeight w:val="480" w:hRule="exact"/>
        </w:trPr>
        <w:tc>
          <w:tcPr>
            <w:tcW w:w="5059"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黑体" w:hAnsi="黑体" w:cs="黑体" w:eastAsia="黑体" w:hint="default"/>
                <w:sz w:val="20"/>
                <w:szCs w:val="20"/>
              </w:rPr>
            </w:pPr>
            <w:r>
              <w:rPr>
                <w:rFonts w:ascii="黑体" w:hAnsi="黑体" w:cs="黑体" w:eastAsia="黑体" w:hint="default"/>
                <w:sz w:val="20"/>
                <w:szCs w:val="20"/>
              </w:rPr>
              <w:t>国家</w:t>
            </w:r>
            <w:r>
              <w:rPr>
                <w:rFonts w:ascii="Arial" w:hAnsi="Arial" w:cs="Arial" w:eastAsia="Arial" w:hint="default"/>
                <w:sz w:val="20"/>
                <w:szCs w:val="20"/>
              </w:rPr>
              <w:t>863</w:t>
            </w:r>
            <w:r>
              <w:rPr>
                <w:rFonts w:ascii="黑体" w:hAnsi="黑体" w:cs="黑体" w:eastAsia="黑体" w:hint="default"/>
                <w:sz w:val="20"/>
                <w:szCs w:val="20"/>
              </w:rPr>
              <w:t>计划：业务驱动的多企业资源协调管理系统</w:t>
            </w:r>
          </w:p>
          <w:p>
            <w:pPr>
              <w:pStyle w:val="TableParagraph"/>
              <w:spacing w:line="244" w:lineRule="exact"/>
              <w:ind w:left="413" w:right="0"/>
              <w:jc w:val="left"/>
              <w:rPr>
                <w:rFonts w:ascii="黑体" w:hAnsi="黑体" w:cs="黑体" w:eastAsia="黑体" w:hint="default"/>
                <w:sz w:val="20"/>
                <w:szCs w:val="20"/>
              </w:rPr>
            </w:pPr>
            <w:r>
              <w:rPr>
                <w:rFonts w:ascii="黑体" w:hAnsi="黑体" w:cs="黑体" w:eastAsia="黑体" w:hint="default"/>
                <w:sz w:val="20"/>
                <w:szCs w:val="20"/>
              </w:rPr>
              <w:t>研发</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18"/>
                <w:szCs w:val="18"/>
              </w:rPr>
            </w:pPr>
          </w:p>
          <w:p>
            <w:pPr>
              <w:pStyle w:val="TableParagraph"/>
              <w:spacing w:line="240" w:lineRule="auto"/>
              <w:ind w:right="317"/>
              <w:jc w:val="right"/>
              <w:rPr>
                <w:rFonts w:ascii="Arial" w:hAnsi="Arial" w:cs="Arial" w:eastAsia="Arial" w:hint="default"/>
                <w:sz w:val="20"/>
                <w:szCs w:val="20"/>
              </w:rPr>
            </w:pPr>
            <w:r>
              <w:rPr>
                <w:rFonts w:ascii="Arial"/>
                <w:spacing w:val="-1"/>
                <w:sz w:val="20"/>
              </w:rPr>
              <w:t>3,040,000</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18"/>
                <w:szCs w:val="18"/>
              </w:rPr>
            </w:pPr>
          </w:p>
          <w:p>
            <w:pPr>
              <w:pStyle w:val="TableParagraph"/>
              <w:spacing w:line="240" w:lineRule="auto"/>
              <w:ind w:right="201"/>
              <w:jc w:val="right"/>
              <w:rPr>
                <w:rFonts w:ascii="Arial" w:hAnsi="Arial" w:cs="Arial" w:eastAsia="Arial" w:hint="default"/>
                <w:sz w:val="20"/>
                <w:szCs w:val="20"/>
              </w:rPr>
            </w:pPr>
            <w:r>
              <w:rPr>
                <w:rFonts w:ascii="Arial"/>
                <w:spacing w:val="-1"/>
                <w:sz w:val="20"/>
              </w:rPr>
              <w:t>3,040,000</w:t>
            </w:r>
          </w:p>
        </w:tc>
      </w:tr>
      <w:tr>
        <w:trPr>
          <w:trHeight w:val="484" w:hRule="exact"/>
        </w:trPr>
        <w:tc>
          <w:tcPr>
            <w:tcW w:w="5059" w:type="dxa"/>
            <w:tcBorders>
              <w:top w:val="nil" w:sz="6" w:space="0" w:color="auto"/>
              <w:left w:val="nil" w:sz="6" w:space="0" w:color="auto"/>
              <w:bottom w:val="nil" w:sz="6" w:space="0" w:color="auto"/>
              <w:right w:val="nil" w:sz="6" w:space="0" w:color="auto"/>
            </w:tcBorders>
          </w:tcPr>
          <w:p>
            <w:pPr>
              <w:pStyle w:val="TableParagraph"/>
              <w:spacing w:line="211" w:lineRule="exact"/>
              <w:ind w:left="216" w:right="0"/>
              <w:jc w:val="left"/>
              <w:rPr>
                <w:rFonts w:ascii="黑体" w:hAnsi="黑体" w:cs="黑体" w:eastAsia="黑体" w:hint="default"/>
                <w:sz w:val="20"/>
                <w:szCs w:val="20"/>
              </w:rPr>
            </w:pPr>
            <w:r>
              <w:rPr>
                <w:rFonts w:ascii="黑体" w:hAnsi="黑体" w:cs="黑体" w:eastAsia="黑体" w:hint="default"/>
                <w:spacing w:val="5"/>
                <w:sz w:val="20"/>
                <w:szCs w:val="20"/>
              </w:rPr>
              <w:t>“基于</w:t>
            </w:r>
            <w:r>
              <w:rPr>
                <w:rFonts w:ascii="Arial" w:hAnsi="Arial" w:cs="Arial" w:eastAsia="Arial" w:hint="default"/>
                <w:spacing w:val="5"/>
                <w:sz w:val="20"/>
                <w:szCs w:val="20"/>
              </w:rPr>
              <w:t>SOA</w:t>
            </w:r>
            <w:r>
              <w:rPr>
                <w:rFonts w:ascii="黑体" w:hAnsi="黑体" w:cs="黑体" w:eastAsia="黑体" w:hint="default"/>
                <w:spacing w:val="5"/>
                <w:sz w:val="20"/>
                <w:szCs w:val="20"/>
              </w:rPr>
              <w:t>架构的新一代企业管理应用系统</w:t>
            </w:r>
            <w:r>
              <w:rPr>
                <w:rFonts w:ascii="Arial" w:hAnsi="Arial" w:cs="Arial" w:eastAsia="Arial" w:hint="default"/>
                <w:spacing w:val="5"/>
                <w:sz w:val="20"/>
                <w:szCs w:val="20"/>
              </w:rPr>
              <w:t>(U9)</w:t>
            </w:r>
            <w:r>
              <w:rPr>
                <w:rFonts w:ascii="黑体" w:hAnsi="黑体" w:cs="黑体" w:eastAsia="黑体" w:hint="default"/>
                <w:spacing w:val="5"/>
                <w:sz w:val="20"/>
                <w:szCs w:val="20"/>
              </w:rPr>
              <w:t>研</w:t>
            </w:r>
          </w:p>
          <w:p>
            <w:pPr>
              <w:pStyle w:val="TableParagraph"/>
              <w:spacing w:line="244" w:lineRule="exact"/>
              <w:ind w:left="416" w:right="0"/>
              <w:jc w:val="left"/>
              <w:rPr>
                <w:rFonts w:ascii="黑体" w:hAnsi="黑体" w:cs="黑体" w:eastAsia="黑体" w:hint="default"/>
                <w:sz w:val="20"/>
                <w:szCs w:val="20"/>
              </w:rPr>
            </w:pPr>
            <w:r>
              <w:rPr>
                <w:rFonts w:ascii="黑体" w:hAnsi="黑体" w:cs="黑体" w:eastAsia="黑体" w:hint="default"/>
                <w:sz w:val="20"/>
                <w:szCs w:val="20"/>
              </w:rPr>
              <w:t>发及产业化”</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18"/>
                <w:szCs w:val="18"/>
              </w:rPr>
            </w:pPr>
          </w:p>
          <w:p>
            <w:pPr>
              <w:pStyle w:val="TableParagraph"/>
              <w:spacing w:line="240" w:lineRule="auto"/>
              <w:ind w:right="317"/>
              <w:jc w:val="right"/>
              <w:rPr>
                <w:rFonts w:ascii="Arial" w:hAnsi="Arial" w:cs="Arial" w:eastAsia="Arial" w:hint="default"/>
                <w:sz w:val="20"/>
                <w:szCs w:val="20"/>
              </w:rPr>
            </w:pPr>
            <w:r>
              <w:rPr>
                <w:rFonts w:ascii="Arial"/>
                <w:spacing w:val="-1"/>
                <w:sz w:val="20"/>
              </w:rPr>
              <w:t>2,000,000</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18"/>
                <w:szCs w:val="18"/>
              </w:rPr>
            </w:pPr>
          </w:p>
          <w:p>
            <w:pPr>
              <w:pStyle w:val="TableParagraph"/>
              <w:spacing w:line="240" w:lineRule="auto"/>
              <w:ind w:right="201"/>
              <w:jc w:val="right"/>
              <w:rPr>
                <w:rFonts w:ascii="Arial" w:hAnsi="Arial" w:cs="Arial" w:eastAsia="Arial" w:hint="default"/>
                <w:sz w:val="20"/>
                <w:szCs w:val="20"/>
              </w:rPr>
            </w:pPr>
            <w:r>
              <w:rPr>
                <w:rFonts w:ascii="Arial"/>
                <w:spacing w:val="-1"/>
                <w:sz w:val="20"/>
              </w:rPr>
              <w:t>2,000,000</w:t>
            </w:r>
          </w:p>
        </w:tc>
      </w:tr>
      <w:tr>
        <w:trPr>
          <w:trHeight w:val="251" w:hRule="exact"/>
        </w:trPr>
        <w:tc>
          <w:tcPr>
            <w:tcW w:w="5059" w:type="dxa"/>
            <w:tcBorders>
              <w:top w:val="nil" w:sz="6" w:space="0" w:color="auto"/>
              <w:left w:val="nil" w:sz="6" w:space="0" w:color="auto"/>
              <w:bottom w:val="nil" w:sz="6" w:space="0" w:color="auto"/>
              <w:right w:val="nil" w:sz="6" w:space="0" w:color="auto"/>
            </w:tcBorders>
          </w:tcPr>
          <w:p>
            <w:pPr>
              <w:pStyle w:val="TableParagraph"/>
              <w:spacing w:line="233" w:lineRule="exact"/>
              <w:ind w:left="216" w:right="0"/>
              <w:jc w:val="left"/>
              <w:rPr>
                <w:rFonts w:ascii="黑体" w:hAnsi="黑体" w:cs="黑体" w:eastAsia="黑体" w:hint="default"/>
                <w:sz w:val="20"/>
                <w:szCs w:val="20"/>
              </w:rPr>
            </w:pPr>
            <w:r>
              <w:rPr>
                <w:rFonts w:ascii="黑体" w:hAnsi="黑体" w:cs="黑体" w:eastAsia="黑体" w:hint="default"/>
                <w:sz w:val="20"/>
                <w:szCs w:val="20"/>
              </w:rPr>
              <w:t>国家</w:t>
            </w:r>
            <w:r>
              <w:rPr>
                <w:rFonts w:ascii="Arial" w:hAnsi="Arial" w:cs="Arial" w:eastAsia="Arial" w:hint="default"/>
                <w:sz w:val="20"/>
                <w:szCs w:val="20"/>
              </w:rPr>
              <w:t>863</w:t>
            </w:r>
            <w:r>
              <w:rPr>
                <w:rFonts w:ascii="黑体" w:hAnsi="黑体" w:cs="黑体" w:eastAsia="黑体" w:hint="default"/>
                <w:sz w:val="20"/>
                <w:szCs w:val="20"/>
              </w:rPr>
              <w:t>计划：</w:t>
            </w:r>
            <w:r>
              <w:rPr>
                <w:rFonts w:ascii="Arial" w:hAnsi="Arial" w:cs="Arial" w:eastAsia="Arial" w:hint="default"/>
                <w:sz w:val="20"/>
                <w:szCs w:val="20"/>
              </w:rPr>
              <w:t>RFID</w:t>
            </w:r>
            <w:r>
              <w:rPr>
                <w:rFonts w:ascii="黑体" w:hAnsi="黑体" w:cs="黑体" w:eastAsia="黑体" w:hint="default"/>
                <w:sz w:val="20"/>
                <w:szCs w:val="20"/>
              </w:rPr>
              <w:t>的信息集成管理技术研究与开发</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7"/>
              <w:jc w:val="right"/>
              <w:rPr>
                <w:rFonts w:ascii="Arial" w:hAnsi="Arial" w:cs="Arial" w:eastAsia="Arial" w:hint="default"/>
                <w:sz w:val="20"/>
                <w:szCs w:val="20"/>
              </w:rPr>
            </w:pPr>
            <w:r>
              <w:rPr>
                <w:rFonts w:ascii="Arial"/>
                <w:spacing w:val="-1"/>
                <w:sz w:val="20"/>
              </w:rPr>
              <w:t>1,190,000</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1"/>
              <w:jc w:val="right"/>
              <w:rPr>
                <w:rFonts w:ascii="Arial" w:hAnsi="Arial" w:cs="Arial" w:eastAsia="Arial" w:hint="default"/>
                <w:sz w:val="20"/>
                <w:szCs w:val="20"/>
              </w:rPr>
            </w:pPr>
            <w:r>
              <w:rPr>
                <w:rFonts w:ascii="Arial"/>
                <w:spacing w:val="-1"/>
                <w:sz w:val="20"/>
              </w:rPr>
              <w:t>1,190,000</w:t>
            </w:r>
          </w:p>
        </w:tc>
      </w:tr>
      <w:tr>
        <w:trPr>
          <w:trHeight w:val="247" w:hRule="exact"/>
        </w:trPr>
        <w:tc>
          <w:tcPr>
            <w:tcW w:w="5059" w:type="dxa"/>
            <w:tcBorders>
              <w:top w:val="nil" w:sz="6" w:space="0" w:color="auto"/>
              <w:left w:val="nil" w:sz="6" w:space="0" w:color="auto"/>
              <w:bottom w:val="nil" w:sz="6" w:space="0" w:color="auto"/>
              <w:right w:val="nil" w:sz="6" w:space="0" w:color="auto"/>
            </w:tcBorders>
          </w:tcPr>
          <w:p>
            <w:pPr>
              <w:pStyle w:val="TableParagraph"/>
              <w:spacing w:line="215" w:lineRule="exact"/>
              <w:ind w:left="216" w:right="0"/>
              <w:jc w:val="left"/>
              <w:rPr>
                <w:rFonts w:ascii="黑体" w:hAnsi="黑体" w:cs="黑体" w:eastAsia="黑体" w:hint="default"/>
                <w:sz w:val="20"/>
                <w:szCs w:val="20"/>
              </w:rPr>
            </w:pPr>
            <w:r>
              <w:rPr>
                <w:rFonts w:ascii="黑体" w:hAnsi="黑体" w:cs="黑体" w:eastAsia="黑体" w:hint="default"/>
                <w:sz w:val="20"/>
                <w:szCs w:val="20"/>
              </w:rPr>
              <w:t>大型通用数据库管理系统与套件研发及产业化</w:t>
            </w:r>
          </w:p>
        </w:tc>
        <w:tc>
          <w:tcPr>
            <w:tcW w:w="1608" w:type="dxa"/>
            <w:tcBorders>
              <w:top w:val="nil" w:sz="6" w:space="0" w:color="auto"/>
              <w:left w:val="nil" w:sz="6" w:space="0" w:color="auto"/>
              <w:bottom w:val="nil" w:sz="6" w:space="0" w:color="auto"/>
              <w:right w:val="nil" w:sz="6" w:space="0" w:color="auto"/>
            </w:tcBorders>
          </w:tcPr>
          <w:p>
            <w:pPr>
              <w:pStyle w:val="TableParagraph"/>
              <w:spacing w:line="229" w:lineRule="exact"/>
              <w:ind w:right="316"/>
              <w:jc w:val="right"/>
              <w:rPr>
                <w:rFonts w:ascii="Arial" w:hAnsi="Arial" w:cs="Arial" w:eastAsia="Arial" w:hint="default"/>
                <w:sz w:val="20"/>
                <w:szCs w:val="20"/>
              </w:rPr>
            </w:pPr>
            <w:r>
              <w:rPr>
                <w:rFonts w:ascii="Arial"/>
                <w:w w:val="99"/>
                <w:sz w:val="20"/>
              </w:rPr>
              <w:t>-</w:t>
            </w:r>
            <w:r>
              <w:rPr>
                <w:rFonts w:ascii="Arial"/>
                <w:sz w:val="20"/>
              </w:rPr>
            </w:r>
          </w:p>
        </w:tc>
        <w:tc>
          <w:tcPr>
            <w:tcW w:w="1533" w:type="dxa"/>
            <w:tcBorders>
              <w:top w:val="nil" w:sz="6" w:space="0" w:color="auto"/>
              <w:left w:val="nil" w:sz="6" w:space="0" w:color="auto"/>
              <w:bottom w:val="nil" w:sz="6" w:space="0" w:color="auto"/>
              <w:right w:val="nil" w:sz="6" w:space="0" w:color="auto"/>
            </w:tcBorders>
          </w:tcPr>
          <w:p>
            <w:pPr>
              <w:pStyle w:val="TableParagraph"/>
              <w:spacing w:line="229" w:lineRule="exact"/>
              <w:ind w:right="201"/>
              <w:jc w:val="right"/>
              <w:rPr>
                <w:rFonts w:ascii="Arial" w:hAnsi="Arial" w:cs="Arial" w:eastAsia="Arial" w:hint="default"/>
                <w:sz w:val="20"/>
                <w:szCs w:val="20"/>
              </w:rPr>
            </w:pPr>
            <w:r>
              <w:rPr>
                <w:rFonts w:ascii="Arial"/>
                <w:spacing w:val="-1"/>
                <w:sz w:val="20"/>
              </w:rPr>
              <w:t>6,560,000</w:t>
            </w:r>
          </w:p>
        </w:tc>
      </w:tr>
      <w:tr>
        <w:trPr>
          <w:trHeight w:val="628" w:hRule="exact"/>
        </w:trPr>
        <w:tc>
          <w:tcPr>
            <w:tcW w:w="5059" w:type="dxa"/>
            <w:tcBorders>
              <w:top w:val="nil" w:sz="6" w:space="0" w:color="auto"/>
              <w:left w:val="nil" w:sz="6" w:space="0" w:color="auto"/>
              <w:bottom w:val="nil" w:sz="6" w:space="0" w:color="auto"/>
              <w:right w:val="nil" w:sz="6" w:space="0" w:color="auto"/>
            </w:tcBorders>
          </w:tcPr>
          <w:p>
            <w:pPr>
              <w:pStyle w:val="TableParagraph"/>
              <w:spacing w:line="240" w:lineRule="exact" w:before="2"/>
              <w:ind w:left="428" w:right="291" w:hanging="212"/>
              <w:jc w:val="left"/>
              <w:rPr>
                <w:rFonts w:ascii="黑体" w:hAnsi="黑体" w:cs="黑体" w:eastAsia="黑体" w:hint="default"/>
                <w:sz w:val="20"/>
                <w:szCs w:val="20"/>
              </w:rPr>
            </w:pPr>
            <w:r>
              <w:rPr>
                <w:rFonts w:ascii="黑体" w:hAnsi="黑体" w:cs="黑体" w:eastAsia="黑体" w:hint="default"/>
                <w:spacing w:val="-3"/>
                <w:w w:val="95"/>
                <w:sz w:val="20"/>
                <w:szCs w:val="20"/>
              </w:rPr>
              <w:t>北京市发展与改革委员会：“基于</w:t>
            </w:r>
            <w:r>
              <w:rPr>
                <w:rFonts w:ascii="Arial" w:hAnsi="Arial" w:cs="Arial" w:eastAsia="Arial" w:hint="default"/>
                <w:spacing w:val="-3"/>
                <w:w w:val="95"/>
                <w:sz w:val="20"/>
                <w:szCs w:val="20"/>
              </w:rPr>
              <w:t>SOA</w:t>
            </w:r>
            <w:r>
              <w:rPr>
                <w:rFonts w:ascii="黑体" w:hAnsi="黑体" w:cs="黑体" w:eastAsia="黑体" w:hint="default"/>
                <w:spacing w:val="-3"/>
                <w:w w:val="95"/>
                <w:sz w:val="20"/>
                <w:szCs w:val="20"/>
              </w:rPr>
              <w:t>架构的新一代</w:t>
            </w:r>
            <w:r>
              <w:rPr>
                <w:rFonts w:ascii="黑体" w:hAnsi="黑体" w:cs="黑体" w:eastAsia="黑体" w:hint="default"/>
                <w:spacing w:val="38"/>
                <w:w w:val="95"/>
                <w:sz w:val="20"/>
                <w:szCs w:val="20"/>
              </w:rPr>
              <w:t> </w:t>
            </w:r>
            <w:r>
              <w:rPr>
                <w:rFonts w:ascii="黑体" w:hAnsi="黑体" w:cs="黑体" w:eastAsia="黑体" w:hint="default"/>
                <w:spacing w:val="38"/>
                <w:w w:val="95"/>
                <w:sz w:val="20"/>
                <w:szCs w:val="20"/>
              </w:rPr>
            </w:r>
            <w:r>
              <w:rPr>
                <w:rFonts w:ascii="黑体" w:hAnsi="黑体" w:cs="黑体" w:eastAsia="黑体" w:hint="default"/>
                <w:sz w:val="20"/>
                <w:szCs w:val="20"/>
              </w:rPr>
              <w:t>企业管理应用系统</w:t>
            </w:r>
            <w:r>
              <w:rPr>
                <w:rFonts w:ascii="Arial" w:hAnsi="Arial" w:cs="Arial" w:eastAsia="Arial" w:hint="default"/>
                <w:sz w:val="20"/>
                <w:szCs w:val="20"/>
              </w:rPr>
              <w:t>(U9)</w:t>
            </w:r>
            <w:r>
              <w:rPr>
                <w:rFonts w:ascii="黑体" w:hAnsi="黑体" w:cs="黑体" w:eastAsia="黑体" w:hint="default"/>
                <w:sz w:val="20"/>
                <w:szCs w:val="20"/>
              </w:rPr>
              <w:t>研发及产业化”</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18"/>
                <w:szCs w:val="18"/>
              </w:rPr>
            </w:pPr>
          </w:p>
          <w:p>
            <w:pPr>
              <w:pStyle w:val="TableParagraph"/>
              <w:tabs>
                <w:tab w:pos="921" w:val="left" w:leader="none"/>
              </w:tabs>
              <w:spacing w:line="240" w:lineRule="auto"/>
              <w:ind w:right="314"/>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18"/>
                <w:szCs w:val="18"/>
              </w:rPr>
            </w:pPr>
          </w:p>
          <w:p>
            <w:pPr>
              <w:pStyle w:val="TableParagraph"/>
              <w:spacing w:line="240" w:lineRule="auto"/>
              <w:ind w:right="202"/>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w w:val="95"/>
                <w:sz w:val="20"/>
                <w:u w:val="single" w:color="000000"/>
              </w:rPr>
              <w:t>1,000,000</w:t>
            </w:r>
            <w:r>
              <w:rPr>
                <w:rFonts w:ascii="Arial"/>
                <w:spacing w:val="-1"/>
                <w:w w:val="95"/>
                <w:sz w:val="20"/>
              </w:rPr>
            </w:r>
            <w:r>
              <w:rPr>
                <w:rFonts w:ascii="Arial"/>
                <w:sz w:val="20"/>
              </w:rPr>
            </w:r>
          </w:p>
        </w:tc>
      </w:tr>
      <w:tr>
        <w:trPr>
          <w:trHeight w:val="501" w:hRule="exact"/>
        </w:trPr>
        <w:tc>
          <w:tcPr>
            <w:tcW w:w="5059"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18"/>
              <w:jc w:val="right"/>
              <w:rPr>
                <w:rFonts w:ascii="Arial" w:hAnsi="Arial" w:cs="Arial" w:eastAsia="Arial" w:hint="default"/>
                <w:sz w:val="20"/>
                <w:szCs w:val="20"/>
              </w:rPr>
            </w:pPr>
            <w:r>
              <w:rPr>
                <w:rFonts w:ascii="Arial"/>
                <w:w w:val="99"/>
                <w:sz w:val="20"/>
              </w:rPr>
            </w:r>
            <w:r>
              <w:rPr>
                <w:rFonts w:ascii="Arial"/>
                <w:spacing w:val="-1"/>
                <w:sz w:val="20"/>
                <w:u w:val="single" w:color="000000"/>
              </w:rPr>
              <w:t>41,230,000</w:t>
            </w:r>
            <w:r>
              <w:rPr>
                <w:rFonts w:ascii="Arial"/>
                <w:spacing w:val="-1"/>
                <w:sz w:val="20"/>
              </w:rPr>
            </w:r>
            <w:r>
              <w:rPr>
                <w:rFonts w:ascii="Arial"/>
                <w:sz w:val="20"/>
              </w:rPr>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02"/>
              <w:jc w:val="right"/>
              <w:rPr>
                <w:rFonts w:ascii="Arial" w:hAnsi="Arial" w:cs="Arial" w:eastAsia="Arial" w:hint="default"/>
                <w:sz w:val="20"/>
                <w:szCs w:val="20"/>
              </w:rPr>
            </w:pPr>
            <w:r>
              <w:rPr>
                <w:rFonts w:ascii="Arial"/>
                <w:w w:val="99"/>
                <w:sz w:val="20"/>
              </w:rPr>
            </w:r>
            <w:r>
              <w:rPr>
                <w:rFonts w:ascii="Arial"/>
                <w:spacing w:val="-1"/>
                <w:sz w:val="20"/>
                <w:u w:val="single" w:color="000000"/>
              </w:rPr>
              <w:t>13,790,000</w:t>
            </w:r>
            <w:r>
              <w:rPr>
                <w:rFonts w:ascii="Arial"/>
                <w:spacing w:val="-1"/>
                <w:sz w:val="20"/>
              </w:rPr>
            </w:r>
            <w:r>
              <w:rPr>
                <w:rFonts w:ascii="Arial"/>
                <w:sz w:val="20"/>
              </w:rPr>
            </w:r>
          </w:p>
        </w:tc>
      </w:tr>
      <w:tr>
        <w:trPr>
          <w:trHeight w:val="370" w:hRule="exact"/>
        </w:trPr>
        <w:tc>
          <w:tcPr>
            <w:tcW w:w="505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216" w:right="0"/>
              <w:jc w:val="left"/>
              <w:rPr>
                <w:rFonts w:ascii="黑体" w:hAnsi="黑体" w:cs="黑体" w:eastAsia="黑体" w:hint="default"/>
                <w:sz w:val="20"/>
                <w:szCs w:val="20"/>
              </w:rPr>
            </w:pPr>
            <w:r>
              <w:rPr>
                <w:rFonts w:ascii="黑体" w:hAnsi="黑体" w:cs="黑体" w:eastAsia="黑体" w:hint="default"/>
                <w:sz w:val="20"/>
                <w:szCs w:val="20"/>
              </w:rPr>
              <w:t>减：一年内到期的递延收益：</w:t>
            </w:r>
          </w:p>
        </w:tc>
        <w:tc>
          <w:tcPr>
            <w:tcW w:w="1608" w:type="dxa"/>
            <w:tcBorders>
              <w:top w:val="nil" w:sz="6" w:space="0" w:color="auto"/>
              <w:left w:val="nil" w:sz="6" w:space="0" w:color="auto"/>
              <w:bottom w:val="nil" w:sz="6" w:space="0" w:color="auto"/>
              <w:right w:val="nil" w:sz="6" w:space="0" w:color="auto"/>
            </w:tcBorders>
          </w:tcPr>
          <w:p>
            <w:pPr/>
          </w:p>
        </w:tc>
        <w:tc>
          <w:tcPr>
            <w:tcW w:w="1533" w:type="dxa"/>
            <w:tcBorders>
              <w:top w:val="nil" w:sz="6" w:space="0" w:color="auto"/>
              <w:left w:val="nil" w:sz="6" w:space="0" w:color="auto"/>
              <w:bottom w:val="nil" w:sz="6" w:space="0" w:color="auto"/>
              <w:right w:val="nil" w:sz="6" w:space="0" w:color="auto"/>
            </w:tcBorders>
          </w:tcPr>
          <w:p>
            <w:pPr/>
          </w:p>
        </w:tc>
      </w:tr>
      <w:tr>
        <w:trPr>
          <w:trHeight w:val="488" w:hRule="exact"/>
        </w:trPr>
        <w:tc>
          <w:tcPr>
            <w:tcW w:w="5059" w:type="dxa"/>
            <w:tcBorders>
              <w:top w:val="nil" w:sz="6" w:space="0" w:color="auto"/>
              <w:left w:val="nil" w:sz="6" w:space="0" w:color="auto"/>
              <w:bottom w:val="nil" w:sz="6" w:space="0" w:color="auto"/>
              <w:right w:val="nil" w:sz="6" w:space="0" w:color="auto"/>
            </w:tcBorders>
          </w:tcPr>
          <w:p>
            <w:pPr>
              <w:pStyle w:val="TableParagraph"/>
              <w:spacing w:line="240" w:lineRule="exact" w:before="3"/>
              <w:ind w:left="401" w:right="308" w:hanging="185"/>
              <w:jc w:val="left"/>
              <w:rPr>
                <w:rFonts w:ascii="黑体" w:hAnsi="黑体" w:cs="黑体" w:eastAsia="黑体" w:hint="default"/>
                <w:sz w:val="20"/>
                <w:szCs w:val="20"/>
              </w:rPr>
            </w:pPr>
            <w:r>
              <w:rPr>
                <w:rFonts w:ascii="黑体" w:hAnsi="黑体" w:cs="黑体" w:eastAsia="黑体" w:hint="default"/>
                <w:w w:val="95"/>
                <w:sz w:val="20"/>
                <w:szCs w:val="20"/>
              </w:rPr>
              <w:t>国家</w:t>
            </w:r>
            <w:r>
              <w:rPr>
                <w:rFonts w:ascii="Arial" w:hAnsi="Arial" w:cs="Arial" w:eastAsia="Arial" w:hint="default"/>
                <w:w w:val="95"/>
                <w:sz w:val="20"/>
                <w:szCs w:val="20"/>
              </w:rPr>
              <w:t>863</w:t>
            </w:r>
            <w:r>
              <w:rPr>
                <w:rFonts w:ascii="黑体" w:hAnsi="黑体" w:cs="黑体" w:eastAsia="黑体" w:hint="default"/>
                <w:w w:val="95"/>
                <w:sz w:val="20"/>
                <w:szCs w:val="20"/>
              </w:rPr>
              <w:t>计划：业务驱动的多企业资源协调管理系统</w:t>
            </w:r>
            <w:r>
              <w:rPr>
                <w:rFonts w:ascii="黑体" w:hAnsi="黑体" w:cs="黑体" w:eastAsia="黑体" w:hint="default"/>
                <w:spacing w:val="30"/>
                <w:w w:val="95"/>
                <w:sz w:val="20"/>
                <w:szCs w:val="20"/>
              </w:rPr>
              <w:t> </w:t>
            </w:r>
            <w:r>
              <w:rPr>
                <w:rFonts w:ascii="黑体" w:hAnsi="黑体" w:cs="黑体" w:eastAsia="黑体" w:hint="default"/>
                <w:spacing w:val="30"/>
                <w:w w:val="95"/>
                <w:sz w:val="20"/>
                <w:szCs w:val="20"/>
              </w:rPr>
            </w:r>
            <w:r>
              <w:rPr>
                <w:rFonts w:ascii="黑体" w:hAnsi="黑体" w:cs="黑体" w:eastAsia="黑体" w:hint="default"/>
                <w:sz w:val="20"/>
                <w:szCs w:val="20"/>
              </w:rPr>
              <w:t>研发</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8"/>
                <w:szCs w:val="18"/>
              </w:rPr>
            </w:pPr>
          </w:p>
          <w:p>
            <w:pPr>
              <w:pStyle w:val="TableParagraph"/>
              <w:spacing w:line="240" w:lineRule="auto"/>
              <w:ind w:right="317"/>
              <w:jc w:val="right"/>
              <w:rPr>
                <w:rFonts w:ascii="Arial" w:hAnsi="Arial" w:cs="Arial" w:eastAsia="Arial" w:hint="default"/>
                <w:sz w:val="20"/>
                <w:szCs w:val="20"/>
              </w:rPr>
            </w:pPr>
            <w:r>
              <w:rPr>
                <w:rFonts w:ascii="Arial"/>
                <w:spacing w:val="-1"/>
                <w:sz w:val="20"/>
              </w:rPr>
              <w:t>3,040,000</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8"/>
                <w:szCs w:val="18"/>
              </w:rPr>
            </w:pPr>
          </w:p>
          <w:p>
            <w:pPr>
              <w:pStyle w:val="TableParagraph"/>
              <w:spacing w:line="240" w:lineRule="auto"/>
              <w:ind w:right="201"/>
              <w:jc w:val="right"/>
              <w:rPr>
                <w:rFonts w:ascii="Arial" w:hAnsi="Arial" w:cs="Arial" w:eastAsia="Arial" w:hint="default"/>
                <w:sz w:val="20"/>
                <w:szCs w:val="20"/>
              </w:rPr>
            </w:pPr>
            <w:r>
              <w:rPr>
                <w:rFonts w:ascii="Arial"/>
                <w:spacing w:val="-1"/>
                <w:sz w:val="20"/>
              </w:rPr>
              <w:t>3,040,000</w:t>
            </w:r>
          </w:p>
        </w:tc>
      </w:tr>
      <w:tr>
        <w:trPr>
          <w:trHeight w:val="484" w:hRule="exact"/>
        </w:trPr>
        <w:tc>
          <w:tcPr>
            <w:tcW w:w="5059"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黑体" w:hAnsi="黑体" w:cs="黑体" w:eastAsia="黑体" w:hint="default"/>
                <w:sz w:val="20"/>
                <w:szCs w:val="20"/>
              </w:rPr>
            </w:pPr>
            <w:r>
              <w:rPr>
                <w:rFonts w:ascii="黑体" w:hAnsi="黑体" w:cs="黑体" w:eastAsia="黑体" w:hint="default"/>
                <w:sz w:val="20"/>
                <w:szCs w:val="20"/>
              </w:rPr>
              <w:t>“基于</w:t>
            </w:r>
            <w:r>
              <w:rPr>
                <w:rFonts w:ascii="Arial" w:hAnsi="Arial" w:cs="Arial" w:eastAsia="Arial" w:hint="default"/>
                <w:sz w:val="20"/>
                <w:szCs w:val="20"/>
              </w:rPr>
              <w:t>SOA</w:t>
            </w:r>
            <w:r>
              <w:rPr>
                <w:rFonts w:ascii="黑体" w:hAnsi="黑体" w:cs="黑体" w:eastAsia="黑体" w:hint="default"/>
                <w:sz w:val="20"/>
                <w:szCs w:val="20"/>
              </w:rPr>
              <w:t>架构的新一代企业管理应用系统</w:t>
            </w:r>
            <w:r>
              <w:rPr>
                <w:rFonts w:ascii="Arial" w:hAnsi="Arial" w:cs="Arial" w:eastAsia="Arial" w:hint="default"/>
                <w:sz w:val="20"/>
                <w:szCs w:val="20"/>
              </w:rPr>
              <w:t>(U9)</w:t>
            </w:r>
            <w:r>
              <w:rPr>
                <w:rFonts w:ascii="黑体" w:hAnsi="黑体" w:cs="黑体" w:eastAsia="黑体" w:hint="default"/>
                <w:sz w:val="20"/>
                <w:szCs w:val="20"/>
              </w:rPr>
              <w:t>研</w:t>
            </w:r>
          </w:p>
          <w:p>
            <w:pPr>
              <w:pStyle w:val="TableParagraph"/>
              <w:spacing w:line="244" w:lineRule="exact"/>
              <w:ind w:left="416" w:right="0"/>
              <w:jc w:val="left"/>
              <w:rPr>
                <w:rFonts w:ascii="黑体" w:hAnsi="黑体" w:cs="黑体" w:eastAsia="黑体" w:hint="default"/>
                <w:sz w:val="20"/>
                <w:szCs w:val="20"/>
              </w:rPr>
            </w:pPr>
            <w:r>
              <w:rPr>
                <w:rFonts w:ascii="黑体" w:hAnsi="黑体" w:cs="黑体" w:eastAsia="黑体" w:hint="default"/>
                <w:sz w:val="20"/>
                <w:szCs w:val="20"/>
              </w:rPr>
              <w:t>发及产业化”</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18"/>
                <w:szCs w:val="18"/>
              </w:rPr>
            </w:pPr>
          </w:p>
          <w:p>
            <w:pPr>
              <w:pStyle w:val="TableParagraph"/>
              <w:spacing w:line="240" w:lineRule="auto"/>
              <w:ind w:right="317"/>
              <w:jc w:val="right"/>
              <w:rPr>
                <w:rFonts w:ascii="Arial" w:hAnsi="Arial" w:cs="Arial" w:eastAsia="Arial" w:hint="default"/>
                <w:sz w:val="20"/>
                <w:szCs w:val="20"/>
              </w:rPr>
            </w:pPr>
            <w:r>
              <w:rPr>
                <w:rFonts w:ascii="Arial"/>
                <w:spacing w:val="-1"/>
                <w:sz w:val="20"/>
              </w:rPr>
              <w:t>2,000,000</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黑体" w:hAnsi="黑体" w:cs="黑体" w:eastAsia="黑体" w:hint="default"/>
                <w:sz w:val="18"/>
                <w:szCs w:val="18"/>
              </w:rPr>
            </w:pPr>
          </w:p>
          <w:p>
            <w:pPr>
              <w:pStyle w:val="TableParagraph"/>
              <w:spacing w:line="240" w:lineRule="auto"/>
              <w:ind w:right="200"/>
              <w:jc w:val="right"/>
              <w:rPr>
                <w:rFonts w:ascii="Arial" w:hAnsi="Arial" w:cs="Arial" w:eastAsia="Arial" w:hint="default"/>
                <w:sz w:val="20"/>
                <w:szCs w:val="20"/>
              </w:rPr>
            </w:pPr>
            <w:r>
              <w:rPr>
                <w:rFonts w:ascii="Arial"/>
                <w:w w:val="99"/>
                <w:sz w:val="20"/>
              </w:rPr>
              <w:t>-</w:t>
            </w:r>
            <w:r>
              <w:rPr>
                <w:rFonts w:ascii="Arial"/>
                <w:sz w:val="20"/>
              </w:rPr>
            </w:r>
          </w:p>
        </w:tc>
      </w:tr>
      <w:tr>
        <w:trPr>
          <w:trHeight w:val="239" w:hRule="exact"/>
        </w:trPr>
        <w:tc>
          <w:tcPr>
            <w:tcW w:w="5059" w:type="dxa"/>
            <w:tcBorders>
              <w:top w:val="nil" w:sz="6" w:space="0" w:color="auto"/>
              <w:left w:val="nil" w:sz="6" w:space="0" w:color="auto"/>
              <w:bottom w:val="nil" w:sz="6" w:space="0" w:color="auto"/>
              <w:right w:val="nil" w:sz="6" w:space="0" w:color="auto"/>
            </w:tcBorders>
          </w:tcPr>
          <w:p>
            <w:pPr>
              <w:pStyle w:val="TableParagraph"/>
              <w:spacing w:line="233" w:lineRule="exact"/>
              <w:ind w:left="216" w:right="0"/>
              <w:jc w:val="left"/>
              <w:rPr>
                <w:rFonts w:ascii="黑体" w:hAnsi="黑体" w:cs="黑体" w:eastAsia="黑体" w:hint="default"/>
                <w:sz w:val="20"/>
                <w:szCs w:val="20"/>
              </w:rPr>
            </w:pPr>
            <w:r>
              <w:rPr>
                <w:rFonts w:ascii="黑体" w:hAnsi="黑体" w:cs="黑体" w:eastAsia="黑体" w:hint="default"/>
                <w:sz w:val="20"/>
                <w:szCs w:val="20"/>
              </w:rPr>
              <w:t>国家</w:t>
            </w:r>
            <w:r>
              <w:rPr>
                <w:rFonts w:ascii="Arial" w:hAnsi="Arial" w:cs="Arial" w:eastAsia="Arial" w:hint="default"/>
                <w:sz w:val="20"/>
                <w:szCs w:val="20"/>
              </w:rPr>
              <w:t>863</w:t>
            </w:r>
            <w:r>
              <w:rPr>
                <w:rFonts w:ascii="黑体" w:hAnsi="黑体" w:cs="黑体" w:eastAsia="黑体" w:hint="default"/>
                <w:sz w:val="20"/>
                <w:szCs w:val="20"/>
              </w:rPr>
              <w:t>计划：</w:t>
            </w:r>
            <w:r>
              <w:rPr>
                <w:rFonts w:ascii="Arial" w:hAnsi="Arial" w:cs="Arial" w:eastAsia="Arial" w:hint="default"/>
                <w:sz w:val="20"/>
                <w:szCs w:val="20"/>
              </w:rPr>
              <w:t>RFID</w:t>
            </w:r>
            <w:r>
              <w:rPr>
                <w:rFonts w:ascii="黑体" w:hAnsi="黑体" w:cs="黑体" w:eastAsia="黑体" w:hint="default"/>
                <w:sz w:val="20"/>
                <w:szCs w:val="20"/>
              </w:rPr>
              <w:t>的信息集成管理技术研究与开发</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17"/>
              <w:jc w:val="right"/>
              <w:rPr>
                <w:rFonts w:ascii="Arial" w:hAnsi="Arial" w:cs="Arial" w:eastAsia="Arial" w:hint="default"/>
                <w:sz w:val="20"/>
                <w:szCs w:val="20"/>
              </w:rPr>
            </w:pPr>
            <w:r>
              <w:rPr>
                <w:rFonts w:ascii="Arial"/>
                <w:spacing w:val="-1"/>
                <w:sz w:val="20"/>
              </w:rPr>
              <w:t>1,190,000</w:t>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01"/>
              <w:jc w:val="right"/>
              <w:rPr>
                <w:rFonts w:ascii="Arial" w:hAnsi="Arial" w:cs="Arial" w:eastAsia="Arial" w:hint="default"/>
                <w:sz w:val="20"/>
                <w:szCs w:val="20"/>
              </w:rPr>
            </w:pPr>
            <w:r>
              <w:rPr>
                <w:rFonts w:ascii="Arial"/>
                <w:spacing w:val="-1"/>
                <w:sz w:val="20"/>
              </w:rPr>
              <w:t>1,190,000</w:t>
            </w:r>
          </w:p>
        </w:tc>
      </w:tr>
      <w:tr>
        <w:trPr>
          <w:trHeight w:val="263" w:hRule="exact"/>
        </w:trPr>
        <w:tc>
          <w:tcPr>
            <w:tcW w:w="5059" w:type="dxa"/>
            <w:tcBorders>
              <w:top w:val="nil" w:sz="6" w:space="0" w:color="auto"/>
              <w:left w:val="nil" w:sz="6" w:space="0" w:color="auto"/>
              <w:bottom w:val="nil" w:sz="6" w:space="0" w:color="auto"/>
              <w:right w:val="nil" w:sz="6" w:space="0" w:color="auto"/>
            </w:tcBorders>
          </w:tcPr>
          <w:p>
            <w:pPr>
              <w:pStyle w:val="TableParagraph"/>
              <w:spacing w:line="229" w:lineRule="exact"/>
              <w:ind w:left="216" w:right="0"/>
              <w:jc w:val="left"/>
              <w:rPr>
                <w:rFonts w:ascii="黑体" w:hAnsi="黑体" w:cs="黑体" w:eastAsia="黑体" w:hint="default"/>
                <w:sz w:val="20"/>
                <w:szCs w:val="20"/>
              </w:rPr>
            </w:pPr>
            <w:r>
              <w:rPr>
                <w:rFonts w:ascii="黑体" w:hAnsi="黑体" w:cs="黑体" w:eastAsia="黑体" w:hint="default"/>
                <w:sz w:val="20"/>
                <w:szCs w:val="20"/>
              </w:rPr>
              <w:t>大型通用数据库管理系统与套件研发及产业化</w:t>
            </w:r>
          </w:p>
        </w:tc>
        <w:tc>
          <w:tcPr>
            <w:tcW w:w="1608" w:type="dxa"/>
            <w:tcBorders>
              <w:top w:val="nil" w:sz="6" w:space="0" w:color="auto"/>
              <w:left w:val="nil" w:sz="6" w:space="0" w:color="auto"/>
              <w:bottom w:val="nil" w:sz="6" w:space="0" w:color="auto"/>
              <w:right w:val="nil" w:sz="6" w:space="0" w:color="auto"/>
            </w:tcBorders>
          </w:tcPr>
          <w:p>
            <w:pPr>
              <w:pStyle w:val="TableParagraph"/>
              <w:spacing w:line="247" w:lineRule="exact"/>
              <w:ind w:right="314"/>
              <w:jc w:val="right"/>
              <w:rPr>
                <w:rFonts w:ascii="Arial" w:hAnsi="Arial" w:cs="Arial" w:eastAsia="Arial" w:hint="default"/>
                <w:sz w:val="24"/>
                <w:szCs w:val="24"/>
              </w:rPr>
            </w:pPr>
            <w:r>
              <w:rPr>
                <w:rFonts w:ascii="Arial"/>
                <w:w w:val="99"/>
                <w:sz w:val="24"/>
              </w:rPr>
              <w:t>-</w:t>
            </w:r>
            <w:r>
              <w:rPr>
                <w:rFonts w:ascii="Arial"/>
                <w:sz w:val="24"/>
              </w:rPr>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01"/>
              <w:jc w:val="right"/>
              <w:rPr>
                <w:rFonts w:ascii="Arial" w:hAnsi="Arial" w:cs="Arial" w:eastAsia="Arial" w:hint="default"/>
                <w:sz w:val="20"/>
                <w:szCs w:val="20"/>
              </w:rPr>
            </w:pPr>
            <w:r>
              <w:rPr>
                <w:rFonts w:ascii="Arial"/>
                <w:spacing w:val="-1"/>
                <w:sz w:val="20"/>
              </w:rPr>
              <w:t>6,560,000</w:t>
            </w:r>
          </w:p>
        </w:tc>
      </w:tr>
      <w:tr>
        <w:trPr>
          <w:trHeight w:val="629" w:hRule="exact"/>
        </w:trPr>
        <w:tc>
          <w:tcPr>
            <w:tcW w:w="5059" w:type="dxa"/>
            <w:tcBorders>
              <w:top w:val="nil" w:sz="6" w:space="0" w:color="auto"/>
              <w:left w:val="nil" w:sz="6" w:space="0" w:color="auto"/>
              <w:bottom w:val="nil" w:sz="6" w:space="0" w:color="auto"/>
              <w:right w:val="nil" w:sz="6" w:space="0" w:color="auto"/>
            </w:tcBorders>
          </w:tcPr>
          <w:p>
            <w:pPr>
              <w:pStyle w:val="TableParagraph"/>
              <w:spacing w:line="240" w:lineRule="exact"/>
              <w:ind w:left="387" w:right="291" w:hanging="171"/>
              <w:jc w:val="left"/>
              <w:rPr>
                <w:rFonts w:ascii="黑体" w:hAnsi="黑体" w:cs="黑体" w:eastAsia="黑体" w:hint="default"/>
                <w:sz w:val="20"/>
                <w:szCs w:val="20"/>
              </w:rPr>
            </w:pPr>
            <w:r>
              <w:rPr>
                <w:rFonts w:ascii="黑体" w:hAnsi="黑体" w:cs="黑体" w:eastAsia="黑体" w:hint="default"/>
                <w:spacing w:val="-3"/>
                <w:w w:val="95"/>
                <w:sz w:val="20"/>
                <w:szCs w:val="20"/>
              </w:rPr>
              <w:t>北京市发展与改革委员会：“基于</w:t>
            </w:r>
            <w:r>
              <w:rPr>
                <w:rFonts w:ascii="Arial" w:hAnsi="Arial" w:cs="Arial" w:eastAsia="Arial" w:hint="default"/>
                <w:spacing w:val="-3"/>
                <w:w w:val="95"/>
                <w:sz w:val="20"/>
                <w:szCs w:val="20"/>
              </w:rPr>
              <w:t>SOA</w:t>
            </w:r>
            <w:r>
              <w:rPr>
                <w:rFonts w:ascii="黑体" w:hAnsi="黑体" w:cs="黑体" w:eastAsia="黑体" w:hint="default"/>
                <w:spacing w:val="-3"/>
                <w:w w:val="95"/>
                <w:sz w:val="20"/>
                <w:szCs w:val="20"/>
              </w:rPr>
              <w:t>架构的新一代</w:t>
            </w:r>
            <w:r>
              <w:rPr>
                <w:rFonts w:ascii="黑体" w:hAnsi="黑体" w:cs="黑体" w:eastAsia="黑体" w:hint="default"/>
                <w:spacing w:val="38"/>
                <w:w w:val="95"/>
                <w:sz w:val="20"/>
                <w:szCs w:val="20"/>
              </w:rPr>
              <w:t> </w:t>
            </w:r>
            <w:r>
              <w:rPr>
                <w:rFonts w:ascii="黑体" w:hAnsi="黑体" w:cs="黑体" w:eastAsia="黑体" w:hint="default"/>
                <w:spacing w:val="38"/>
                <w:w w:val="95"/>
                <w:sz w:val="20"/>
                <w:szCs w:val="20"/>
              </w:rPr>
            </w:r>
            <w:r>
              <w:rPr>
                <w:rFonts w:ascii="黑体" w:hAnsi="黑体" w:cs="黑体" w:eastAsia="黑体" w:hint="default"/>
                <w:sz w:val="20"/>
                <w:szCs w:val="20"/>
              </w:rPr>
              <w:t>企业管理应用系统</w:t>
            </w:r>
            <w:r>
              <w:rPr>
                <w:rFonts w:ascii="Arial" w:hAnsi="Arial" w:cs="Arial" w:eastAsia="Arial" w:hint="default"/>
                <w:sz w:val="20"/>
                <w:szCs w:val="20"/>
              </w:rPr>
              <w:t>(U9)</w:t>
            </w:r>
            <w:r>
              <w:rPr>
                <w:rFonts w:ascii="黑体" w:hAnsi="黑体" w:cs="黑体" w:eastAsia="黑体" w:hint="default"/>
                <w:sz w:val="20"/>
                <w:szCs w:val="20"/>
              </w:rPr>
              <w:t>研发及产业化”</w:t>
            </w: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8"/>
                <w:szCs w:val="18"/>
              </w:rPr>
            </w:pPr>
          </w:p>
          <w:p>
            <w:pPr>
              <w:pStyle w:val="TableParagraph"/>
              <w:tabs>
                <w:tab w:pos="907" w:val="left" w:leader="none"/>
              </w:tabs>
              <w:spacing w:line="240" w:lineRule="auto"/>
              <w:ind w:right="31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黑体" w:hAnsi="黑体" w:cs="黑体" w:eastAsia="黑体" w:hint="default"/>
                <w:sz w:val="18"/>
                <w:szCs w:val="18"/>
              </w:rPr>
            </w:pPr>
          </w:p>
          <w:p>
            <w:pPr>
              <w:pStyle w:val="TableParagraph"/>
              <w:spacing w:line="240" w:lineRule="auto"/>
              <w:ind w:right="202"/>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8"/>
                <w:sz w:val="20"/>
                <w:u w:val="single" w:color="000000"/>
              </w:rPr>
              <w:t> </w:t>
            </w:r>
            <w:r>
              <w:rPr>
                <w:rFonts w:ascii="Arial"/>
                <w:spacing w:val="-1"/>
                <w:sz w:val="20"/>
                <w:u w:val="single" w:color="000000"/>
              </w:rPr>
              <w:t>1,000,000</w:t>
            </w:r>
            <w:r>
              <w:rPr>
                <w:rFonts w:ascii="Arial"/>
                <w:spacing w:val="-1"/>
                <w:sz w:val="20"/>
              </w:rPr>
            </w:r>
            <w:r>
              <w:rPr>
                <w:rFonts w:ascii="Arial"/>
                <w:sz w:val="20"/>
              </w:rPr>
            </w:r>
          </w:p>
        </w:tc>
      </w:tr>
      <w:tr>
        <w:trPr>
          <w:trHeight w:val="514" w:hRule="exact"/>
        </w:trPr>
        <w:tc>
          <w:tcPr>
            <w:tcW w:w="5059"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332"/>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w w:val="95"/>
                <w:sz w:val="20"/>
                <w:u w:val="single" w:color="000000"/>
              </w:rPr>
              <w:t>6,230,000</w:t>
            </w:r>
            <w:r>
              <w:rPr>
                <w:rFonts w:ascii="Arial"/>
                <w:spacing w:val="-1"/>
                <w:w w:val="95"/>
                <w:sz w:val="20"/>
              </w:rPr>
            </w:r>
            <w:r>
              <w:rPr>
                <w:rFonts w:ascii="Arial"/>
                <w:sz w:val="20"/>
              </w:rPr>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16"/>
              <w:jc w:val="right"/>
              <w:rPr>
                <w:rFonts w:ascii="Arial" w:hAnsi="Arial" w:cs="Arial" w:eastAsia="Arial" w:hint="default"/>
                <w:sz w:val="20"/>
                <w:szCs w:val="20"/>
              </w:rPr>
            </w:pPr>
            <w:r>
              <w:rPr>
                <w:rFonts w:ascii="Arial"/>
                <w:w w:val="99"/>
                <w:sz w:val="20"/>
              </w:rPr>
            </w:r>
            <w:r>
              <w:rPr>
                <w:rFonts w:ascii="Arial"/>
                <w:spacing w:val="-1"/>
                <w:sz w:val="20"/>
                <w:u w:val="single" w:color="000000"/>
              </w:rPr>
              <w:t>11,790,000</w:t>
            </w:r>
            <w:r>
              <w:rPr>
                <w:rFonts w:ascii="Arial"/>
                <w:spacing w:val="-1"/>
                <w:sz w:val="20"/>
              </w:rPr>
            </w:r>
            <w:r>
              <w:rPr>
                <w:rFonts w:ascii="Arial"/>
                <w:sz w:val="20"/>
              </w:rPr>
            </w:r>
          </w:p>
        </w:tc>
      </w:tr>
      <w:tr>
        <w:trPr>
          <w:trHeight w:val="355" w:hRule="exact"/>
        </w:trPr>
        <w:tc>
          <w:tcPr>
            <w:tcW w:w="5059" w:type="dxa"/>
            <w:tcBorders>
              <w:top w:val="nil" w:sz="6" w:space="0" w:color="auto"/>
              <w:left w:val="nil" w:sz="6" w:space="0" w:color="auto"/>
              <w:bottom w:val="nil" w:sz="6" w:space="0" w:color="auto"/>
              <w:right w:val="nil" w:sz="6" w:space="0" w:color="auto"/>
            </w:tcBorders>
          </w:tcPr>
          <w:p>
            <w:pPr/>
          </w:p>
        </w:tc>
        <w:tc>
          <w:tcPr>
            <w:tcW w:w="1608"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32"/>
              <w:jc w:val="right"/>
              <w:rPr>
                <w:rFonts w:ascii="Arial" w:hAnsi="Arial" w:cs="Arial" w:eastAsia="Arial" w:hint="default"/>
                <w:sz w:val="20"/>
                <w:szCs w:val="20"/>
              </w:rPr>
            </w:pPr>
            <w:r>
              <w:rPr>
                <w:rFonts w:ascii="Arial"/>
                <w:w w:val="99"/>
                <w:sz w:val="20"/>
              </w:rPr>
            </w:r>
            <w:r>
              <w:rPr>
                <w:rFonts w:ascii="Arial"/>
                <w:spacing w:val="-1"/>
                <w:sz w:val="20"/>
                <w:u w:val="thick" w:color="000000"/>
              </w:rPr>
              <w:t>35,000,000</w:t>
            </w:r>
            <w:r>
              <w:rPr>
                <w:rFonts w:ascii="Arial"/>
                <w:spacing w:val="-1"/>
                <w:sz w:val="20"/>
              </w:rPr>
            </w:r>
            <w:r>
              <w:rPr>
                <w:rFonts w:ascii="Arial"/>
                <w:sz w:val="20"/>
              </w:rPr>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16"/>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pacing w:val="-11"/>
                <w:sz w:val="20"/>
                <w:u w:val="thick" w:color="000000"/>
              </w:rPr>
              <w:t> </w:t>
            </w:r>
            <w:r>
              <w:rPr>
                <w:rFonts w:ascii="Arial"/>
                <w:spacing w:val="-1"/>
                <w:w w:val="95"/>
                <w:sz w:val="20"/>
                <w:u w:val="thick" w:color="000000"/>
              </w:rPr>
              <w:t>2,000,000</w:t>
            </w:r>
            <w:r>
              <w:rPr>
                <w:rFonts w:ascii="Arial"/>
                <w:spacing w:val="-1"/>
                <w:w w:val="95"/>
                <w:sz w:val="20"/>
              </w:rPr>
            </w:r>
            <w:r>
              <w:rPr>
                <w:rFonts w:ascii="Arial"/>
                <w:sz w:val="20"/>
              </w:rPr>
            </w:r>
          </w:p>
        </w:tc>
      </w:tr>
    </w:tbl>
    <w:p>
      <w:pPr>
        <w:spacing w:after="0" w:line="240" w:lineRule="auto"/>
        <w:jc w:val="right"/>
        <w:rPr>
          <w:rFonts w:ascii="Arial" w:hAnsi="Arial" w:cs="Arial" w:eastAsia="Arial" w:hint="default"/>
          <w:sz w:val="20"/>
          <w:szCs w:val="20"/>
        </w:rPr>
        <w:sectPr>
          <w:pgSz w:w="11910" w:h="16850"/>
          <w:pgMar w:header="957" w:footer="473" w:top="2600" w:bottom="660" w:left="1660" w:right="1380"/>
        </w:sectPr>
      </w:pPr>
    </w:p>
    <w:p>
      <w:pPr>
        <w:spacing w:line="240" w:lineRule="auto" w:before="6"/>
        <w:rPr>
          <w:rFonts w:ascii="黑体" w:hAnsi="黑体" w:cs="黑体" w:eastAsia="黑体" w:hint="default"/>
          <w:sz w:val="14"/>
          <w:szCs w:val="14"/>
        </w:rPr>
      </w:pPr>
    </w:p>
    <w:p>
      <w:pPr>
        <w:pStyle w:val="Heading6"/>
        <w:spacing w:line="240" w:lineRule="auto"/>
        <w:ind w:right="0"/>
        <w:jc w:val="left"/>
        <w:rPr>
          <w:b w:val="0"/>
          <w:bCs w:val="0"/>
        </w:rPr>
      </w:pPr>
      <w:r>
        <w:rPr/>
        <w:t>十三、公司财务报表主要项目注释（续）</w:t>
      </w:r>
      <w:r>
        <w:rPr>
          <w:b w:val="0"/>
          <w:bCs w:val="0"/>
        </w:rPr>
      </w:r>
    </w:p>
    <w:p>
      <w:pPr>
        <w:spacing w:line="240" w:lineRule="auto" w:before="0"/>
        <w:rPr>
          <w:rFonts w:ascii="黑体" w:hAnsi="黑体" w:cs="黑体" w:eastAsia="黑体" w:hint="default"/>
          <w:b/>
          <w:bCs/>
          <w:sz w:val="15"/>
          <w:szCs w:val="15"/>
        </w:rPr>
      </w:pPr>
    </w:p>
    <w:p>
      <w:pPr>
        <w:pStyle w:val="Heading6"/>
        <w:tabs>
          <w:tab w:pos="780" w:val="left" w:leader="none"/>
        </w:tabs>
        <w:spacing w:line="240" w:lineRule="auto" w:before="0"/>
        <w:ind w:right="0"/>
        <w:jc w:val="left"/>
        <w:rPr>
          <w:b w:val="0"/>
          <w:bCs w:val="0"/>
        </w:rPr>
      </w:pPr>
      <w:r>
        <w:rPr>
          <w:rFonts w:ascii="Arial" w:hAnsi="Arial" w:cs="Arial" w:eastAsia="Arial" w:hint="default"/>
          <w:spacing w:val="-1"/>
          <w:w w:val="95"/>
        </w:rPr>
        <w:t>25.</w:t>
        <w:tab/>
      </w:r>
      <w:r>
        <w:rPr>
          <w:spacing w:val="2"/>
        </w:rPr>
        <w:t>资本公积</w:t>
      </w:r>
      <w:r>
        <w:rPr>
          <w:b w:val="0"/>
          <w:bCs w:val="0"/>
        </w:rPr>
      </w:r>
    </w:p>
    <w:p>
      <w:pPr>
        <w:spacing w:line="240" w:lineRule="auto" w:before="8"/>
        <w:rPr>
          <w:rFonts w:ascii="黑体" w:hAnsi="黑体" w:cs="黑体" w:eastAsia="黑体" w:hint="default"/>
          <w:b/>
          <w:bCs/>
          <w:sz w:val="21"/>
          <w:szCs w:val="21"/>
        </w:rPr>
      </w:pPr>
    </w:p>
    <w:tbl>
      <w:tblPr>
        <w:tblW w:w="0" w:type="auto"/>
        <w:jc w:val="left"/>
        <w:tblInd w:w="609" w:type="dxa"/>
        <w:tblLayout w:type="fixed"/>
        <w:tblCellMar>
          <w:top w:w="0" w:type="dxa"/>
          <w:left w:w="0" w:type="dxa"/>
          <w:bottom w:w="0" w:type="dxa"/>
          <w:right w:w="0" w:type="dxa"/>
        </w:tblCellMar>
        <w:tblLook w:val="01E0"/>
      </w:tblPr>
      <w:tblGrid>
        <w:gridCol w:w="2311"/>
        <w:gridCol w:w="1492"/>
        <w:gridCol w:w="1326"/>
        <w:gridCol w:w="1445"/>
        <w:gridCol w:w="289"/>
        <w:gridCol w:w="1520"/>
      </w:tblGrid>
      <w:tr>
        <w:trPr>
          <w:trHeight w:val="232" w:hRule="exact"/>
        </w:trPr>
        <w:tc>
          <w:tcPr>
            <w:tcW w:w="2311" w:type="dxa"/>
            <w:tcBorders>
              <w:top w:val="nil" w:sz="6" w:space="0" w:color="auto"/>
              <w:left w:val="nil" w:sz="6" w:space="0" w:color="auto"/>
              <w:bottom w:val="nil" w:sz="6" w:space="0" w:color="auto"/>
              <w:right w:val="nil" w:sz="6" w:space="0" w:color="auto"/>
            </w:tcBorders>
          </w:tcPr>
          <w:p>
            <w:pPr>
              <w:pStyle w:val="TableParagraph"/>
              <w:spacing w:line="214" w:lineRule="exact"/>
              <w:ind w:left="200" w:right="0"/>
              <w:jc w:val="left"/>
              <w:rPr>
                <w:rFonts w:ascii="黑体" w:hAnsi="黑体" w:cs="黑体" w:eastAsia="黑体" w:hint="default"/>
                <w:sz w:val="20"/>
                <w:szCs w:val="20"/>
              </w:rPr>
            </w:pPr>
            <w:r>
              <w:rPr>
                <w:rFonts w:ascii="Arial" w:hAnsi="Arial" w:cs="Arial" w:eastAsia="Arial" w:hint="default"/>
                <w:sz w:val="20"/>
                <w:szCs w:val="20"/>
              </w:rPr>
              <w:t>2012</w:t>
            </w:r>
            <w:r>
              <w:rPr>
                <w:rFonts w:ascii="黑体" w:hAnsi="黑体" w:cs="黑体" w:eastAsia="黑体" w:hint="default"/>
                <w:sz w:val="20"/>
                <w:szCs w:val="20"/>
              </w:rPr>
              <w:t>年</w:t>
            </w:r>
          </w:p>
        </w:tc>
        <w:tc>
          <w:tcPr>
            <w:tcW w:w="1492"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
        </w:tc>
        <w:tc>
          <w:tcPr>
            <w:tcW w:w="289"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
        </w:tc>
      </w:tr>
      <w:tr>
        <w:trPr>
          <w:trHeight w:val="377" w:hRule="exact"/>
        </w:trPr>
        <w:tc>
          <w:tcPr>
            <w:tcW w:w="2311"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Style w:val="TableParagraph"/>
              <w:spacing w:line="222" w:lineRule="exact"/>
              <w:ind w:right="266"/>
              <w:jc w:val="right"/>
              <w:rPr>
                <w:rFonts w:ascii="黑体" w:hAnsi="黑体" w:cs="黑体" w:eastAsia="黑体" w:hint="default"/>
                <w:sz w:val="20"/>
                <w:szCs w:val="20"/>
              </w:rPr>
            </w:pPr>
            <w:r>
              <w:rPr>
                <w:rFonts w:ascii="黑体" w:hAnsi="黑体" w:cs="黑体" w:eastAsia="黑体" w:hint="default"/>
                <w:w w:val="95"/>
                <w:sz w:val="20"/>
                <w:szCs w:val="20"/>
              </w:rPr>
              <w:t>年初数</w:t>
            </w:r>
            <w:r>
              <w:rPr>
                <w:rFonts w:ascii="黑体" w:hAnsi="黑体" w:cs="黑体" w:eastAsia="黑体" w:hint="default"/>
                <w:sz w:val="20"/>
                <w:szCs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22" w:lineRule="exact"/>
              <w:ind w:right="257"/>
              <w:jc w:val="right"/>
              <w:rPr>
                <w:rFonts w:ascii="黑体" w:hAnsi="黑体" w:cs="黑体" w:eastAsia="黑体" w:hint="default"/>
                <w:sz w:val="20"/>
                <w:szCs w:val="20"/>
              </w:rPr>
            </w:pPr>
            <w:r>
              <w:rPr>
                <w:rFonts w:ascii="黑体" w:hAnsi="黑体" w:cs="黑体" w:eastAsia="黑体" w:hint="default"/>
                <w:w w:val="95"/>
                <w:sz w:val="20"/>
                <w:szCs w:val="20"/>
              </w:rPr>
              <w:t>本年增加</w:t>
            </w:r>
            <w:r>
              <w:rPr>
                <w:rFonts w:ascii="黑体" w:hAnsi="黑体" w:cs="黑体" w:eastAsia="黑体" w:hint="default"/>
                <w:sz w:val="20"/>
                <w:szCs w:val="20"/>
              </w:rPr>
            </w:r>
          </w:p>
        </w:tc>
        <w:tc>
          <w:tcPr>
            <w:tcW w:w="1445" w:type="dxa"/>
            <w:tcBorders>
              <w:top w:val="nil" w:sz="6" w:space="0" w:color="auto"/>
              <w:left w:val="nil" w:sz="6" w:space="0" w:color="auto"/>
              <w:bottom w:val="nil" w:sz="6" w:space="0" w:color="auto"/>
              <w:right w:val="nil" w:sz="6" w:space="0" w:color="auto"/>
            </w:tcBorders>
          </w:tcPr>
          <w:p>
            <w:pPr>
              <w:pStyle w:val="TableParagraph"/>
              <w:spacing w:line="222" w:lineRule="exact"/>
              <w:ind w:right="10"/>
              <w:jc w:val="right"/>
              <w:rPr>
                <w:rFonts w:ascii="黑体" w:hAnsi="黑体" w:cs="黑体" w:eastAsia="黑体" w:hint="default"/>
                <w:sz w:val="20"/>
                <w:szCs w:val="20"/>
              </w:rPr>
            </w:pPr>
            <w:r>
              <w:rPr>
                <w:rFonts w:ascii="黑体" w:hAnsi="黑体" w:cs="黑体" w:eastAsia="黑体" w:hint="default"/>
                <w:w w:val="95"/>
                <w:sz w:val="20"/>
                <w:szCs w:val="20"/>
              </w:rPr>
              <w:t>本年减少</w:t>
            </w:r>
            <w:r>
              <w:rPr>
                <w:rFonts w:ascii="黑体" w:hAnsi="黑体" w:cs="黑体" w:eastAsia="黑体" w:hint="default"/>
                <w:sz w:val="20"/>
                <w:szCs w:val="20"/>
              </w:rPr>
            </w:r>
          </w:p>
        </w:tc>
        <w:tc>
          <w:tcPr>
            <w:tcW w:w="289"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22" w:lineRule="exact"/>
              <w:ind w:right="198"/>
              <w:jc w:val="right"/>
              <w:rPr>
                <w:rFonts w:ascii="黑体" w:hAnsi="黑体" w:cs="黑体" w:eastAsia="黑体" w:hint="default"/>
                <w:sz w:val="20"/>
                <w:szCs w:val="20"/>
              </w:rPr>
            </w:pPr>
            <w:r>
              <w:rPr>
                <w:rFonts w:ascii="黑体" w:hAnsi="黑体" w:cs="黑体" w:eastAsia="黑体" w:hint="default"/>
                <w:w w:val="95"/>
                <w:sz w:val="20"/>
                <w:szCs w:val="20"/>
              </w:rPr>
              <w:t>年末数</w:t>
            </w:r>
            <w:r>
              <w:rPr>
                <w:rFonts w:ascii="黑体" w:hAnsi="黑体" w:cs="黑体" w:eastAsia="黑体" w:hint="default"/>
                <w:sz w:val="20"/>
                <w:szCs w:val="20"/>
              </w:rPr>
            </w:r>
          </w:p>
        </w:tc>
      </w:tr>
      <w:tr>
        <w:trPr>
          <w:trHeight w:val="388" w:hRule="exact"/>
        </w:trPr>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00" w:right="0"/>
              <w:jc w:val="left"/>
              <w:rPr>
                <w:rFonts w:ascii="黑体" w:hAnsi="黑体" w:cs="黑体" w:eastAsia="黑体" w:hint="default"/>
                <w:sz w:val="20"/>
                <w:szCs w:val="20"/>
              </w:rPr>
            </w:pPr>
            <w:r>
              <w:rPr>
                <w:rFonts w:ascii="黑体" w:hAnsi="黑体" w:cs="黑体" w:eastAsia="黑体" w:hint="default"/>
                <w:sz w:val="20"/>
                <w:szCs w:val="20"/>
              </w:rPr>
              <w:t>股本溢价</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267"/>
              <w:jc w:val="right"/>
              <w:rPr>
                <w:rFonts w:ascii="Arial" w:hAnsi="Arial" w:cs="Arial" w:eastAsia="Arial" w:hint="default"/>
                <w:sz w:val="20"/>
                <w:szCs w:val="20"/>
              </w:rPr>
            </w:pPr>
            <w:r>
              <w:rPr>
                <w:rFonts w:ascii="Arial"/>
                <w:spacing w:val="-1"/>
                <w:sz w:val="20"/>
              </w:rPr>
              <w:t>605,501,867</w:t>
            </w:r>
            <w:r>
              <w:rPr>
                <w:rFonts w:ascii="Arial"/>
                <w:sz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256"/>
              <w:jc w:val="right"/>
              <w:rPr>
                <w:rFonts w:ascii="Arial" w:hAnsi="Arial" w:cs="Arial" w:eastAsia="Arial" w:hint="default"/>
                <w:sz w:val="20"/>
                <w:szCs w:val="20"/>
              </w:rPr>
            </w:pPr>
            <w:r>
              <w:rPr>
                <w:rFonts w:ascii="Arial"/>
                <w:w w:val="99"/>
                <w:sz w:val="20"/>
              </w:rPr>
              <w:t>-</w:t>
            </w:r>
            <w:r>
              <w:rPr>
                <w:rFonts w:ascii="Arial"/>
                <w:sz w:val="20"/>
              </w:rPr>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1"/>
              <w:jc w:val="right"/>
              <w:rPr>
                <w:rFonts w:ascii="Arial" w:hAnsi="Arial" w:cs="Arial" w:eastAsia="Arial" w:hint="default"/>
                <w:sz w:val="20"/>
                <w:szCs w:val="20"/>
              </w:rPr>
            </w:pPr>
            <w:r>
              <w:rPr>
                <w:rFonts w:ascii="Arial"/>
                <w:spacing w:val="-1"/>
                <w:sz w:val="20"/>
              </w:rPr>
              <w:t>(163,180,673</w:t>
            </w:r>
            <w:r>
              <w:rPr>
                <w:rFonts w:ascii="Arial"/>
                <w:sz w:val="20"/>
              </w:rPr>
            </w:r>
          </w:p>
        </w:tc>
        <w:tc>
          <w:tcPr>
            <w:tcW w:w="289"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11" w:right="0"/>
              <w:jc w:val="left"/>
              <w:rPr>
                <w:rFonts w:ascii="Arial" w:hAnsi="Arial" w:cs="Arial" w:eastAsia="Arial" w:hint="default"/>
                <w:sz w:val="20"/>
                <w:szCs w:val="20"/>
              </w:rPr>
            </w:pPr>
            <w:r>
              <w:rPr>
                <w:rFonts w:ascii="Arial"/>
                <w:w w:val="99"/>
                <w:sz w:val="20"/>
              </w:rPr>
              <w:t>)</w:t>
            </w:r>
            <w:r>
              <w:rPr>
                <w:rFonts w:ascii="Arial"/>
                <w:sz w:val="20"/>
              </w:rPr>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98"/>
              <w:jc w:val="right"/>
              <w:rPr>
                <w:rFonts w:ascii="Arial" w:hAnsi="Arial" w:cs="Arial" w:eastAsia="Arial" w:hint="default"/>
                <w:sz w:val="20"/>
                <w:szCs w:val="20"/>
              </w:rPr>
            </w:pPr>
            <w:r>
              <w:rPr>
                <w:rFonts w:ascii="Arial"/>
                <w:spacing w:val="-1"/>
                <w:sz w:val="20"/>
              </w:rPr>
              <w:t>442,321,194</w:t>
            </w:r>
            <w:r>
              <w:rPr>
                <w:rFonts w:ascii="Arial"/>
                <w:sz w:val="20"/>
              </w:rPr>
            </w:r>
          </w:p>
        </w:tc>
      </w:tr>
      <w:tr>
        <w:trPr>
          <w:trHeight w:val="256" w:hRule="exact"/>
        </w:trPr>
        <w:tc>
          <w:tcPr>
            <w:tcW w:w="2311" w:type="dxa"/>
            <w:tcBorders>
              <w:top w:val="nil" w:sz="6" w:space="0" w:color="auto"/>
              <w:left w:val="nil" w:sz="6" w:space="0" w:color="auto"/>
              <w:bottom w:val="nil" w:sz="6" w:space="0" w:color="auto"/>
              <w:right w:val="nil" w:sz="6" w:space="0" w:color="auto"/>
            </w:tcBorders>
          </w:tcPr>
          <w:p>
            <w:pPr>
              <w:pStyle w:val="TableParagraph"/>
              <w:spacing w:line="223" w:lineRule="exact"/>
              <w:ind w:left="200" w:right="0"/>
              <w:jc w:val="left"/>
              <w:rPr>
                <w:rFonts w:ascii="黑体" w:hAnsi="黑体" w:cs="黑体" w:eastAsia="黑体" w:hint="default"/>
                <w:sz w:val="20"/>
                <w:szCs w:val="20"/>
              </w:rPr>
            </w:pPr>
            <w:r>
              <w:rPr>
                <w:rFonts w:ascii="黑体" w:hAnsi="黑体" w:cs="黑体" w:eastAsia="黑体" w:hint="default"/>
                <w:sz w:val="20"/>
                <w:szCs w:val="20"/>
              </w:rPr>
              <w:t>新股申购冻结资金利息</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67"/>
              <w:jc w:val="right"/>
              <w:rPr>
                <w:rFonts w:ascii="Arial" w:hAnsi="Arial" w:cs="Arial" w:eastAsia="Arial" w:hint="default"/>
                <w:sz w:val="20"/>
                <w:szCs w:val="20"/>
              </w:rPr>
            </w:pPr>
            <w:r>
              <w:rPr>
                <w:rFonts w:ascii="Arial"/>
                <w:spacing w:val="-1"/>
                <w:sz w:val="20"/>
              </w:rPr>
              <w:t>20,148,153</w:t>
            </w:r>
            <w:r>
              <w:rPr>
                <w:rFonts w:ascii="Arial"/>
                <w:sz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56"/>
              <w:jc w:val="right"/>
              <w:rPr>
                <w:rFonts w:ascii="Arial" w:hAnsi="Arial" w:cs="Arial" w:eastAsia="Arial" w:hint="default"/>
                <w:sz w:val="20"/>
                <w:szCs w:val="20"/>
              </w:rPr>
            </w:pPr>
            <w:r>
              <w:rPr>
                <w:rFonts w:ascii="Arial"/>
                <w:w w:val="99"/>
                <w:sz w:val="20"/>
              </w:rPr>
              <w:t>-</w:t>
            </w:r>
            <w:r>
              <w:rPr>
                <w:rFonts w:ascii="Arial"/>
                <w:sz w:val="20"/>
              </w:rPr>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
              <w:jc w:val="right"/>
              <w:rPr>
                <w:rFonts w:ascii="Arial" w:hAnsi="Arial" w:cs="Arial" w:eastAsia="Arial" w:hint="default"/>
                <w:sz w:val="20"/>
                <w:szCs w:val="20"/>
              </w:rPr>
            </w:pPr>
            <w:r>
              <w:rPr>
                <w:rFonts w:ascii="Arial"/>
                <w:w w:val="99"/>
                <w:sz w:val="20"/>
              </w:rPr>
              <w:t>-</w:t>
            </w:r>
            <w:r>
              <w:rPr>
                <w:rFonts w:ascii="Arial"/>
                <w:sz w:val="20"/>
              </w:rPr>
            </w:r>
          </w:p>
        </w:tc>
        <w:tc>
          <w:tcPr>
            <w:tcW w:w="289"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spacing w:val="-1"/>
                <w:sz w:val="20"/>
              </w:rPr>
              <w:t>20,148,153</w:t>
            </w:r>
            <w:r>
              <w:rPr>
                <w:rFonts w:ascii="Arial"/>
                <w:sz w:val="20"/>
              </w:rPr>
            </w:r>
          </w:p>
        </w:tc>
      </w:tr>
      <w:tr>
        <w:trPr>
          <w:trHeight w:val="254" w:hRule="exact"/>
        </w:trPr>
        <w:tc>
          <w:tcPr>
            <w:tcW w:w="2311"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z w:val="20"/>
                <w:szCs w:val="20"/>
              </w:rPr>
              <w:t>关联交易差价</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67"/>
              <w:jc w:val="right"/>
              <w:rPr>
                <w:rFonts w:ascii="Arial" w:hAnsi="Arial" w:cs="Arial" w:eastAsia="Arial" w:hint="default"/>
                <w:sz w:val="20"/>
                <w:szCs w:val="20"/>
              </w:rPr>
            </w:pPr>
            <w:r>
              <w:rPr>
                <w:rFonts w:ascii="Arial"/>
                <w:spacing w:val="-1"/>
                <w:sz w:val="20"/>
              </w:rPr>
              <w:t>17,969,348</w:t>
            </w:r>
            <w:r>
              <w:rPr>
                <w:rFonts w:ascii="Arial"/>
                <w:sz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56"/>
              <w:jc w:val="right"/>
              <w:rPr>
                <w:rFonts w:ascii="Arial" w:hAnsi="Arial" w:cs="Arial" w:eastAsia="Arial" w:hint="default"/>
                <w:sz w:val="20"/>
                <w:szCs w:val="20"/>
              </w:rPr>
            </w:pPr>
            <w:r>
              <w:rPr>
                <w:rFonts w:ascii="Arial"/>
                <w:w w:val="99"/>
                <w:sz w:val="20"/>
              </w:rPr>
              <w:t>-</w:t>
            </w:r>
            <w:r>
              <w:rPr>
                <w:rFonts w:ascii="Arial"/>
                <w:sz w:val="20"/>
              </w:rPr>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
              <w:jc w:val="right"/>
              <w:rPr>
                <w:rFonts w:ascii="Arial" w:hAnsi="Arial" w:cs="Arial" w:eastAsia="Arial" w:hint="default"/>
                <w:sz w:val="20"/>
                <w:szCs w:val="20"/>
              </w:rPr>
            </w:pPr>
            <w:r>
              <w:rPr>
                <w:rFonts w:ascii="Arial"/>
                <w:w w:val="99"/>
                <w:sz w:val="20"/>
              </w:rPr>
              <w:t>-</w:t>
            </w:r>
            <w:r>
              <w:rPr>
                <w:rFonts w:ascii="Arial"/>
                <w:sz w:val="20"/>
              </w:rPr>
            </w:r>
          </w:p>
        </w:tc>
        <w:tc>
          <w:tcPr>
            <w:tcW w:w="289"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8"/>
              <w:jc w:val="right"/>
              <w:rPr>
                <w:rFonts w:ascii="Arial" w:hAnsi="Arial" w:cs="Arial" w:eastAsia="Arial" w:hint="default"/>
                <w:sz w:val="20"/>
                <w:szCs w:val="20"/>
              </w:rPr>
            </w:pPr>
            <w:r>
              <w:rPr>
                <w:rFonts w:ascii="Arial"/>
                <w:spacing w:val="-1"/>
                <w:sz w:val="20"/>
              </w:rPr>
              <w:t>17,969,348</w:t>
            </w:r>
            <w:r>
              <w:rPr>
                <w:rFonts w:ascii="Arial"/>
                <w:sz w:val="20"/>
              </w:rPr>
            </w:r>
          </w:p>
        </w:tc>
      </w:tr>
      <w:tr>
        <w:trPr>
          <w:trHeight w:val="252" w:hRule="exact"/>
        </w:trPr>
        <w:tc>
          <w:tcPr>
            <w:tcW w:w="2311" w:type="dxa"/>
            <w:tcBorders>
              <w:top w:val="nil" w:sz="6" w:space="0" w:color="auto"/>
              <w:left w:val="nil" w:sz="6" w:space="0" w:color="auto"/>
              <w:bottom w:val="nil" w:sz="6" w:space="0" w:color="auto"/>
              <w:right w:val="nil" w:sz="6" w:space="0" w:color="auto"/>
            </w:tcBorders>
          </w:tcPr>
          <w:p>
            <w:pPr>
              <w:pStyle w:val="TableParagraph"/>
              <w:spacing w:line="236" w:lineRule="exact"/>
              <w:ind w:left="200" w:right="0"/>
              <w:jc w:val="left"/>
              <w:rPr>
                <w:rFonts w:ascii="Arial" w:hAnsi="Arial" w:cs="Arial" w:eastAsia="Arial" w:hint="default"/>
                <w:sz w:val="20"/>
                <w:szCs w:val="20"/>
              </w:rPr>
            </w:pPr>
            <w:r>
              <w:rPr>
                <w:rFonts w:ascii="黑体" w:hAnsi="黑体" w:cs="黑体" w:eastAsia="黑体" w:hint="default"/>
                <w:sz w:val="20"/>
                <w:szCs w:val="20"/>
              </w:rPr>
              <w:t>股权激励成本</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1)</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67"/>
              <w:jc w:val="right"/>
              <w:rPr>
                <w:rFonts w:ascii="Arial" w:hAnsi="Arial" w:cs="Arial" w:eastAsia="Arial" w:hint="default"/>
                <w:sz w:val="20"/>
                <w:szCs w:val="20"/>
              </w:rPr>
            </w:pPr>
            <w:r>
              <w:rPr>
                <w:rFonts w:ascii="Arial"/>
                <w:spacing w:val="-1"/>
                <w:sz w:val="20"/>
              </w:rPr>
              <w:t>94,859,610</w:t>
            </w:r>
            <w:r>
              <w:rPr>
                <w:rFonts w:ascii="Arial"/>
                <w:sz w:val="20"/>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56"/>
              <w:jc w:val="right"/>
              <w:rPr>
                <w:rFonts w:ascii="Arial" w:hAnsi="Arial" w:cs="Arial" w:eastAsia="Arial" w:hint="default"/>
                <w:sz w:val="20"/>
                <w:szCs w:val="20"/>
              </w:rPr>
            </w:pPr>
            <w:r>
              <w:rPr>
                <w:rFonts w:ascii="Arial"/>
                <w:w w:val="99"/>
                <w:sz w:val="20"/>
              </w:rPr>
              <w:t>-</w:t>
            </w:r>
            <w:r>
              <w:rPr>
                <w:rFonts w:ascii="Arial"/>
                <w:sz w:val="20"/>
              </w:rPr>
            </w:r>
          </w:p>
        </w:tc>
        <w:tc>
          <w:tcPr>
            <w:tcW w:w="1445" w:type="dxa"/>
            <w:tcBorders>
              <w:top w:val="nil" w:sz="6" w:space="0" w:color="auto"/>
              <w:left w:val="nil" w:sz="6" w:space="0" w:color="auto"/>
              <w:bottom w:val="nil" w:sz="6" w:space="0" w:color="auto"/>
              <w:right w:val="nil" w:sz="6" w:space="0" w:color="auto"/>
            </w:tcBorders>
          </w:tcPr>
          <w:p>
            <w:pPr>
              <w:pStyle w:val="TableParagraph"/>
              <w:tabs>
                <w:tab w:pos="278" w:val="left" w:leader="none"/>
              </w:tabs>
              <w:spacing w:line="240" w:lineRule="auto" w:before="6"/>
              <w:ind w:right="11"/>
              <w:jc w:val="right"/>
              <w:rPr>
                <w:rFonts w:ascii="Arial" w:hAnsi="Arial" w:cs="Arial" w:eastAsia="Arial" w:hint="default"/>
                <w:sz w:val="20"/>
                <w:szCs w:val="20"/>
              </w:rPr>
            </w:pPr>
            <w:r>
              <w:rPr>
                <w:rFonts w:ascii="Arial"/>
                <w:w w:val="95"/>
                <w:sz w:val="20"/>
              </w:rPr>
              <w:t>(</w:t>
              <w:tab/>
            </w:r>
            <w:r>
              <w:rPr>
                <w:rFonts w:ascii="Arial"/>
                <w:spacing w:val="-1"/>
                <w:w w:val="95"/>
                <w:sz w:val="20"/>
              </w:rPr>
              <w:t>8,877,629</w:t>
            </w:r>
            <w:r>
              <w:rPr>
                <w:rFonts w:ascii="Arial"/>
                <w:sz w:val="20"/>
              </w:rPr>
            </w:r>
          </w:p>
        </w:tc>
        <w:tc>
          <w:tcPr>
            <w:tcW w:w="289" w:type="dxa"/>
            <w:tcBorders>
              <w:top w:val="nil" w:sz="6" w:space="0" w:color="auto"/>
              <w:left w:val="nil" w:sz="6" w:space="0" w:color="auto"/>
              <w:bottom w:val="nil" w:sz="6" w:space="0" w:color="auto"/>
              <w:right w:val="nil" w:sz="6" w:space="0" w:color="auto"/>
            </w:tcBorders>
          </w:tcPr>
          <w:p>
            <w:pPr>
              <w:pStyle w:val="TableParagraph"/>
              <w:spacing w:line="240" w:lineRule="auto" w:before="6"/>
              <w:ind w:left="11" w:right="0"/>
              <w:jc w:val="left"/>
              <w:rPr>
                <w:rFonts w:ascii="Arial" w:hAnsi="Arial" w:cs="Arial" w:eastAsia="Arial" w:hint="default"/>
                <w:sz w:val="20"/>
                <w:szCs w:val="20"/>
              </w:rPr>
            </w:pPr>
            <w:r>
              <w:rPr>
                <w:rFonts w:ascii="Arial"/>
                <w:w w:val="99"/>
                <w:sz w:val="20"/>
              </w:rPr>
              <w:t>)</w:t>
            </w:r>
            <w:r>
              <w:rPr>
                <w:rFonts w:ascii="Arial"/>
                <w:sz w:val="20"/>
              </w:rPr>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8"/>
              <w:jc w:val="right"/>
              <w:rPr>
                <w:rFonts w:ascii="Arial" w:hAnsi="Arial" w:cs="Arial" w:eastAsia="Arial" w:hint="default"/>
                <w:sz w:val="20"/>
                <w:szCs w:val="20"/>
              </w:rPr>
            </w:pPr>
            <w:r>
              <w:rPr>
                <w:rFonts w:ascii="Arial"/>
                <w:spacing w:val="-1"/>
                <w:sz w:val="20"/>
              </w:rPr>
              <w:t>85,981,981</w:t>
            </w:r>
            <w:r>
              <w:rPr>
                <w:rFonts w:ascii="Arial"/>
                <w:sz w:val="20"/>
              </w:rPr>
            </w:r>
          </w:p>
        </w:tc>
      </w:tr>
      <w:tr>
        <w:trPr>
          <w:trHeight w:val="390" w:hRule="exact"/>
        </w:trPr>
        <w:tc>
          <w:tcPr>
            <w:tcW w:w="2311" w:type="dxa"/>
            <w:tcBorders>
              <w:top w:val="nil" w:sz="6" w:space="0" w:color="auto"/>
              <w:left w:val="nil" w:sz="6" w:space="0" w:color="auto"/>
              <w:bottom w:val="nil" w:sz="6" w:space="0" w:color="auto"/>
              <w:right w:val="nil" w:sz="6" w:space="0" w:color="auto"/>
            </w:tcBorders>
          </w:tcPr>
          <w:p>
            <w:pPr>
              <w:pStyle w:val="TableParagraph"/>
              <w:spacing w:line="224" w:lineRule="exact"/>
              <w:ind w:left="200"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6"/>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sz w:val="20"/>
                <w:u w:val="single" w:color="000000"/>
              </w:rPr>
              <w:t>26,706,651</w:t>
            </w:r>
            <w:r>
              <w:rPr>
                <w:rFonts w:ascii="Arial"/>
                <w:spacing w:val="-1"/>
                <w:sz w:val="20"/>
              </w:rPr>
            </w:r>
          </w:p>
        </w:tc>
        <w:tc>
          <w:tcPr>
            <w:tcW w:w="1326" w:type="dxa"/>
            <w:tcBorders>
              <w:top w:val="nil" w:sz="6" w:space="0" w:color="auto"/>
              <w:left w:val="nil" w:sz="6" w:space="0" w:color="auto"/>
              <w:bottom w:val="nil" w:sz="6" w:space="0" w:color="auto"/>
              <w:right w:val="nil" w:sz="6" w:space="0" w:color="auto"/>
            </w:tcBorders>
          </w:tcPr>
          <w:p>
            <w:pPr>
              <w:pStyle w:val="TableParagraph"/>
              <w:tabs>
                <w:tab w:pos="700" w:val="left" w:leader="none"/>
              </w:tabs>
              <w:spacing w:line="240" w:lineRule="auto" w:before="8"/>
              <w:ind w:right="254"/>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445"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24" w:lineRule="exact"/>
              <w:ind w:right="9"/>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289"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sz w:val="20"/>
                <w:u w:val="single" w:color="000000"/>
              </w:rPr>
              <w:t>26,706,651</w:t>
            </w:r>
            <w:r>
              <w:rPr>
                <w:rFonts w:ascii="Arial"/>
                <w:spacing w:val="-1"/>
                <w:sz w:val="20"/>
              </w:rPr>
            </w:r>
          </w:p>
        </w:tc>
      </w:tr>
      <w:tr>
        <w:trPr>
          <w:trHeight w:val="355" w:hRule="exact"/>
        </w:trPr>
        <w:tc>
          <w:tcPr>
            <w:tcW w:w="2311" w:type="dxa"/>
            <w:tcBorders>
              <w:top w:val="nil" w:sz="6" w:space="0" w:color="auto"/>
              <w:left w:val="nil" w:sz="6" w:space="0" w:color="auto"/>
              <w:bottom w:val="nil" w:sz="6" w:space="0" w:color="auto"/>
              <w:right w:val="nil" w:sz="6" w:space="0" w:color="auto"/>
            </w:tcBorders>
          </w:tcPr>
          <w:p>
            <w:pPr/>
          </w:p>
        </w:tc>
        <w:tc>
          <w:tcPr>
            <w:tcW w:w="149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67"/>
              <w:jc w:val="right"/>
              <w:rPr>
                <w:rFonts w:ascii="Arial" w:hAnsi="Arial" w:cs="Arial" w:eastAsia="Arial" w:hint="default"/>
                <w:sz w:val="20"/>
                <w:szCs w:val="20"/>
              </w:rPr>
            </w:pPr>
            <w:r>
              <w:rPr>
                <w:rFonts w:ascii="Arial"/>
                <w:w w:val="99"/>
                <w:sz w:val="20"/>
              </w:rPr>
            </w:r>
            <w:r>
              <w:rPr>
                <w:rFonts w:ascii="Arial"/>
                <w:spacing w:val="-1"/>
                <w:sz w:val="20"/>
                <w:u w:val="thick" w:color="000000"/>
              </w:rPr>
              <w:t>765,185,629</w:t>
            </w:r>
            <w:r>
              <w:rPr>
                <w:rFonts w:ascii="Arial"/>
                <w:spacing w:val="-1"/>
                <w:sz w:val="20"/>
              </w:rPr>
            </w:r>
            <w:r>
              <w:rPr>
                <w:rFonts w:ascii="Arial"/>
                <w:sz w:val="20"/>
              </w:rPr>
            </w:r>
          </w:p>
        </w:tc>
        <w:tc>
          <w:tcPr>
            <w:tcW w:w="1326" w:type="dxa"/>
            <w:tcBorders>
              <w:top w:val="nil" w:sz="6" w:space="0" w:color="auto"/>
              <w:left w:val="nil" w:sz="6" w:space="0" w:color="auto"/>
              <w:bottom w:val="nil" w:sz="6" w:space="0" w:color="auto"/>
              <w:right w:val="nil" w:sz="6" w:space="0" w:color="auto"/>
            </w:tcBorders>
          </w:tcPr>
          <w:p>
            <w:pPr>
              <w:pStyle w:val="TableParagraph"/>
              <w:tabs>
                <w:tab w:pos="700" w:val="left" w:leader="none"/>
              </w:tabs>
              <w:spacing w:line="240" w:lineRule="auto" w:before="130"/>
              <w:ind w:right="254"/>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w w:val="95"/>
                <w:sz w:val="20"/>
                <w:u w:val="thick" w:color="000000"/>
              </w:rPr>
              <w:t>-</w:t>
            </w:r>
            <w:r>
              <w:rPr>
                <w:rFonts w:ascii="Arial"/>
                <w:w w:val="95"/>
                <w:sz w:val="20"/>
              </w:rPr>
            </w:r>
            <w:r>
              <w:rPr>
                <w:rFonts w:ascii="Arial"/>
                <w:sz w:val="20"/>
              </w:rPr>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1"/>
              <w:jc w:val="right"/>
              <w:rPr>
                <w:rFonts w:ascii="Arial" w:hAnsi="Arial" w:cs="Arial" w:eastAsia="Arial" w:hint="default"/>
                <w:sz w:val="20"/>
                <w:szCs w:val="20"/>
              </w:rPr>
            </w:pPr>
            <w:r>
              <w:rPr>
                <w:rFonts w:ascii="Arial"/>
                <w:spacing w:val="-1"/>
                <w:sz w:val="20"/>
              </w:rPr>
              <w:t>(</w:t>
            </w:r>
            <w:r>
              <w:rPr>
                <w:rFonts w:ascii="Arial"/>
                <w:spacing w:val="-1"/>
                <w:sz w:val="20"/>
                <w:u w:val="thick" w:color="000000"/>
              </w:rPr>
              <w:t>172,058,302</w:t>
            </w:r>
            <w:r>
              <w:rPr>
                <w:rFonts w:ascii="Arial"/>
                <w:spacing w:val="-1"/>
                <w:sz w:val="20"/>
              </w:rPr>
            </w:r>
            <w:r>
              <w:rPr>
                <w:rFonts w:ascii="Arial"/>
                <w:sz w:val="20"/>
              </w:rPr>
            </w:r>
          </w:p>
        </w:tc>
        <w:tc>
          <w:tcPr>
            <w:tcW w:w="289"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1" w:right="0"/>
              <w:jc w:val="left"/>
              <w:rPr>
                <w:rFonts w:ascii="Arial" w:hAnsi="Arial" w:cs="Arial" w:eastAsia="Arial" w:hint="default"/>
                <w:sz w:val="20"/>
                <w:szCs w:val="20"/>
              </w:rPr>
            </w:pPr>
            <w:r>
              <w:rPr>
                <w:rFonts w:ascii="Arial"/>
                <w:w w:val="99"/>
                <w:sz w:val="20"/>
              </w:rPr>
              <w:t>)</w:t>
            </w:r>
            <w:r>
              <w:rPr>
                <w:rFonts w:ascii="Arial"/>
                <w:sz w:val="20"/>
              </w:rPr>
            </w:r>
          </w:p>
        </w:tc>
        <w:tc>
          <w:tcPr>
            <w:tcW w:w="152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593,127,327</w:t>
            </w:r>
            <w:r>
              <w:rPr>
                <w:rFonts w:ascii="Arial"/>
                <w:spacing w:val="-1"/>
                <w:sz w:val="20"/>
              </w:rPr>
            </w:r>
            <w:r>
              <w:rPr>
                <w:rFonts w:ascii="Arial"/>
                <w:sz w:val="20"/>
              </w:rPr>
            </w:r>
          </w:p>
        </w:tc>
      </w:tr>
    </w:tbl>
    <w:p>
      <w:pPr>
        <w:spacing w:line="240" w:lineRule="auto" w:before="11"/>
        <w:rPr>
          <w:rFonts w:ascii="黑体" w:hAnsi="黑体" w:cs="黑体" w:eastAsia="黑体" w:hint="default"/>
          <w:b/>
          <w:bCs/>
          <w:sz w:val="21"/>
          <w:szCs w:val="21"/>
        </w:rPr>
      </w:pPr>
    </w:p>
    <w:tbl>
      <w:tblPr>
        <w:tblW w:w="0" w:type="auto"/>
        <w:jc w:val="left"/>
        <w:tblInd w:w="609" w:type="dxa"/>
        <w:tblLayout w:type="fixed"/>
        <w:tblCellMar>
          <w:top w:w="0" w:type="dxa"/>
          <w:left w:w="0" w:type="dxa"/>
          <w:bottom w:w="0" w:type="dxa"/>
          <w:right w:w="0" w:type="dxa"/>
        </w:tblCellMar>
        <w:tblLook w:val="01E0"/>
      </w:tblPr>
      <w:tblGrid>
        <w:gridCol w:w="2311"/>
        <w:gridCol w:w="1391"/>
        <w:gridCol w:w="1537"/>
        <w:gridCol w:w="1336"/>
        <w:gridCol w:w="258"/>
        <w:gridCol w:w="1490"/>
      </w:tblGrid>
      <w:tr>
        <w:trPr>
          <w:trHeight w:val="232" w:hRule="exact"/>
        </w:trPr>
        <w:tc>
          <w:tcPr>
            <w:tcW w:w="2311" w:type="dxa"/>
            <w:tcBorders>
              <w:top w:val="nil" w:sz="6" w:space="0" w:color="auto"/>
              <w:left w:val="nil" w:sz="6" w:space="0" w:color="auto"/>
              <w:bottom w:val="nil" w:sz="6" w:space="0" w:color="auto"/>
              <w:right w:val="nil" w:sz="6" w:space="0" w:color="auto"/>
            </w:tcBorders>
          </w:tcPr>
          <w:p>
            <w:pPr>
              <w:pStyle w:val="TableParagraph"/>
              <w:spacing w:line="214" w:lineRule="exact"/>
              <w:ind w:left="200"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p>
        </w:tc>
        <w:tc>
          <w:tcPr>
            <w:tcW w:w="1391"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
        </w:tc>
        <w:tc>
          <w:tcPr>
            <w:tcW w:w="1336" w:type="dxa"/>
            <w:tcBorders>
              <w:top w:val="nil" w:sz="6" w:space="0" w:color="auto"/>
              <w:left w:val="nil" w:sz="6" w:space="0" w:color="auto"/>
              <w:bottom w:val="nil" w:sz="6" w:space="0" w:color="auto"/>
              <w:right w:val="nil" w:sz="6" w:space="0" w:color="auto"/>
            </w:tcBorders>
          </w:tcPr>
          <w:p>
            <w:pPr/>
          </w:p>
        </w:tc>
        <w:tc>
          <w:tcPr>
            <w:tcW w:w="258"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
        </w:tc>
      </w:tr>
      <w:tr>
        <w:trPr>
          <w:trHeight w:val="378" w:hRule="exact"/>
        </w:trPr>
        <w:tc>
          <w:tcPr>
            <w:tcW w:w="2311"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22" w:lineRule="exact"/>
              <w:ind w:right="167"/>
              <w:jc w:val="right"/>
              <w:rPr>
                <w:rFonts w:ascii="黑体" w:hAnsi="黑体" w:cs="黑体" w:eastAsia="黑体" w:hint="default"/>
                <w:sz w:val="20"/>
                <w:szCs w:val="20"/>
              </w:rPr>
            </w:pPr>
            <w:r>
              <w:rPr>
                <w:rFonts w:ascii="黑体" w:hAnsi="黑体" w:cs="黑体" w:eastAsia="黑体" w:hint="default"/>
                <w:w w:val="95"/>
                <w:sz w:val="20"/>
                <w:szCs w:val="20"/>
              </w:rPr>
              <w:t>年初数</w:t>
            </w:r>
            <w:r>
              <w:rPr>
                <w:rFonts w:ascii="黑体" w:hAnsi="黑体" w:cs="黑体" w:eastAsia="黑体" w:hint="default"/>
                <w:sz w:val="20"/>
                <w:szCs w:val="20"/>
              </w:rPr>
            </w:r>
          </w:p>
        </w:tc>
        <w:tc>
          <w:tcPr>
            <w:tcW w:w="1537" w:type="dxa"/>
            <w:tcBorders>
              <w:top w:val="nil" w:sz="6" w:space="0" w:color="auto"/>
              <w:left w:val="nil" w:sz="6" w:space="0" w:color="auto"/>
              <w:bottom w:val="nil" w:sz="6" w:space="0" w:color="auto"/>
              <w:right w:val="nil" w:sz="6" w:space="0" w:color="auto"/>
            </w:tcBorders>
          </w:tcPr>
          <w:p>
            <w:pPr>
              <w:pStyle w:val="TableParagraph"/>
              <w:spacing w:line="222" w:lineRule="exact"/>
              <w:ind w:right="368"/>
              <w:jc w:val="right"/>
              <w:rPr>
                <w:rFonts w:ascii="黑体" w:hAnsi="黑体" w:cs="黑体" w:eastAsia="黑体" w:hint="default"/>
                <w:sz w:val="20"/>
                <w:szCs w:val="20"/>
              </w:rPr>
            </w:pPr>
            <w:r>
              <w:rPr>
                <w:rFonts w:ascii="黑体" w:hAnsi="黑体" w:cs="黑体" w:eastAsia="黑体" w:hint="default"/>
                <w:w w:val="95"/>
                <w:sz w:val="20"/>
                <w:szCs w:val="20"/>
              </w:rPr>
              <w:t>本年增加</w:t>
            </w:r>
            <w:r>
              <w:rPr>
                <w:rFonts w:ascii="黑体" w:hAnsi="黑体" w:cs="黑体" w:eastAsia="黑体" w:hint="default"/>
                <w:sz w:val="20"/>
                <w:szCs w:val="20"/>
              </w:rPr>
            </w:r>
          </w:p>
        </w:tc>
        <w:tc>
          <w:tcPr>
            <w:tcW w:w="1336" w:type="dxa"/>
            <w:tcBorders>
              <w:top w:val="nil" w:sz="6" w:space="0" w:color="auto"/>
              <w:left w:val="nil" w:sz="6" w:space="0" w:color="auto"/>
              <w:bottom w:val="nil" w:sz="6" w:space="0" w:color="auto"/>
              <w:right w:val="nil" w:sz="6" w:space="0" w:color="auto"/>
            </w:tcBorders>
          </w:tcPr>
          <w:p>
            <w:pPr>
              <w:pStyle w:val="TableParagraph"/>
              <w:spacing w:line="222" w:lineRule="exact"/>
              <w:ind w:right="11"/>
              <w:jc w:val="right"/>
              <w:rPr>
                <w:rFonts w:ascii="黑体" w:hAnsi="黑体" w:cs="黑体" w:eastAsia="黑体" w:hint="default"/>
                <w:sz w:val="20"/>
                <w:szCs w:val="20"/>
              </w:rPr>
            </w:pPr>
            <w:r>
              <w:rPr>
                <w:rFonts w:ascii="黑体" w:hAnsi="黑体" w:cs="黑体" w:eastAsia="黑体" w:hint="default"/>
                <w:w w:val="95"/>
                <w:sz w:val="20"/>
                <w:szCs w:val="20"/>
              </w:rPr>
              <w:t>本年减少</w:t>
            </w:r>
            <w:r>
              <w:rPr>
                <w:rFonts w:ascii="黑体" w:hAnsi="黑体" w:cs="黑体" w:eastAsia="黑体" w:hint="default"/>
                <w:sz w:val="20"/>
                <w:szCs w:val="20"/>
              </w:rPr>
            </w:r>
          </w:p>
        </w:tc>
        <w:tc>
          <w:tcPr>
            <w:tcW w:w="258"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Style w:val="TableParagraph"/>
              <w:spacing w:line="222" w:lineRule="exact"/>
              <w:ind w:right="198"/>
              <w:jc w:val="right"/>
              <w:rPr>
                <w:rFonts w:ascii="黑体" w:hAnsi="黑体" w:cs="黑体" w:eastAsia="黑体" w:hint="default"/>
                <w:sz w:val="20"/>
                <w:szCs w:val="20"/>
              </w:rPr>
            </w:pPr>
            <w:r>
              <w:rPr>
                <w:rFonts w:ascii="黑体" w:hAnsi="黑体" w:cs="黑体" w:eastAsia="黑体" w:hint="default"/>
                <w:w w:val="95"/>
                <w:sz w:val="20"/>
                <w:szCs w:val="20"/>
              </w:rPr>
              <w:t>年末数</w:t>
            </w:r>
            <w:r>
              <w:rPr>
                <w:rFonts w:ascii="黑体" w:hAnsi="黑体" w:cs="黑体" w:eastAsia="黑体" w:hint="default"/>
                <w:sz w:val="20"/>
                <w:szCs w:val="20"/>
              </w:rPr>
            </w:r>
          </w:p>
        </w:tc>
      </w:tr>
      <w:tr>
        <w:trPr>
          <w:trHeight w:val="388" w:hRule="exact"/>
        </w:trPr>
        <w:tc>
          <w:tcPr>
            <w:tcW w:w="2311"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00" w:right="0"/>
              <w:jc w:val="left"/>
              <w:rPr>
                <w:rFonts w:ascii="黑体" w:hAnsi="黑体" w:cs="黑体" w:eastAsia="黑体" w:hint="default"/>
                <w:sz w:val="20"/>
                <w:szCs w:val="20"/>
              </w:rPr>
            </w:pPr>
            <w:r>
              <w:rPr>
                <w:rFonts w:ascii="黑体" w:hAnsi="黑体" w:cs="黑体" w:eastAsia="黑体" w:hint="default"/>
                <w:sz w:val="20"/>
                <w:szCs w:val="20"/>
              </w:rPr>
              <w:t>股本溢价</w:t>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66"/>
              <w:jc w:val="right"/>
              <w:rPr>
                <w:rFonts w:ascii="Arial" w:hAnsi="Arial" w:cs="Arial" w:eastAsia="Arial" w:hint="default"/>
                <w:sz w:val="20"/>
                <w:szCs w:val="20"/>
              </w:rPr>
            </w:pPr>
            <w:r>
              <w:rPr>
                <w:rFonts w:ascii="Arial"/>
                <w:spacing w:val="-1"/>
                <w:sz w:val="20"/>
              </w:rPr>
              <w:t>605,501,867</w:t>
            </w:r>
            <w:r>
              <w:rPr>
                <w:rFonts w:ascii="Arial"/>
                <w:sz w:val="20"/>
              </w:rPr>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366"/>
              <w:jc w:val="right"/>
              <w:rPr>
                <w:rFonts w:ascii="Arial" w:hAnsi="Arial" w:cs="Arial" w:eastAsia="Arial" w:hint="default"/>
                <w:sz w:val="20"/>
                <w:szCs w:val="20"/>
              </w:rPr>
            </w:pPr>
            <w:r>
              <w:rPr>
                <w:rFonts w:ascii="Arial"/>
                <w:w w:val="99"/>
                <w:sz w:val="20"/>
              </w:rPr>
              <w:t>-</w:t>
            </w:r>
            <w:r>
              <w:rPr>
                <w:rFonts w:ascii="Arial"/>
                <w:sz w:val="20"/>
              </w:rPr>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0"/>
              <w:jc w:val="right"/>
              <w:rPr>
                <w:rFonts w:ascii="Arial" w:hAnsi="Arial" w:cs="Arial" w:eastAsia="Arial" w:hint="default"/>
                <w:sz w:val="20"/>
                <w:szCs w:val="20"/>
              </w:rPr>
            </w:pPr>
            <w:r>
              <w:rPr>
                <w:rFonts w:ascii="Arial"/>
                <w:w w:val="99"/>
                <w:sz w:val="20"/>
              </w:rPr>
              <w:t>-</w:t>
            </w:r>
            <w:r>
              <w:rPr>
                <w:rFonts w:ascii="Arial"/>
                <w:sz w:val="20"/>
              </w:rPr>
            </w:r>
          </w:p>
        </w:tc>
        <w:tc>
          <w:tcPr>
            <w:tcW w:w="258"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98"/>
              <w:jc w:val="right"/>
              <w:rPr>
                <w:rFonts w:ascii="Arial" w:hAnsi="Arial" w:cs="Arial" w:eastAsia="Arial" w:hint="default"/>
                <w:sz w:val="20"/>
                <w:szCs w:val="20"/>
              </w:rPr>
            </w:pPr>
            <w:r>
              <w:rPr>
                <w:rFonts w:ascii="Arial"/>
                <w:spacing w:val="-1"/>
                <w:sz w:val="20"/>
              </w:rPr>
              <w:t>605,501,867</w:t>
            </w:r>
            <w:r>
              <w:rPr>
                <w:rFonts w:ascii="Arial"/>
                <w:sz w:val="20"/>
              </w:rPr>
            </w:r>
          </w:p>
        </w:tc>
      </w:tr>
      <w:tr>
        <w:trPr>
          <w:trHeight w:val="254" w:hRule="exact"/>
        </w:trPr>
        <w:tc>
          <w:tcPr>
            <w:tcW w:w="2311"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z w:val="20"/>
                <w:szCs w:val="20"/>
              </w:rPr>
              <w:t>新股申购冻结资金利息</w:t>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6"/>
              <w:jc w:val="right"/>
              <w:rPr>
                <w:rFonts w:ascii="Arial" w:hAnsi="Arial" w:cs="Arial" w:eastAsia="Arial" w:hint="default"/>
                <w:sz w:val="20"/>
                <w:szCs w:val="20"/>
              </w:rPr>
            </w:pPr>
            <w:r>
              <w:rPr>
                <w:rFonts w:ascii="Arial"/>
                <w:spacing w:val="-1"/>
                <w:sz w:val="20"/>
              </w:rPr>
              <w:t>20,148,153</w:t>
            </w:r>
            <w:r>
              <w:rPr>
                <w:rFonts w:ascii="Arial"/>
                <w:sz w:val="20"/>
              </w:rPr>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6"/>
              <w:jc w:val="right"/>
              <w:rPr>
                <w:rFonts w:ascii="Arial" w:hAnsi="Arial" w:cs="Arial" w:eastAsia="Arial" w:hint="default"/>
                <w:sz w:val="20"/>
                <w:szCs w:val="20"/>
              </w:rPr>
            </w:pPr>
            <w:r>
              <w:rPr>
                <w:rFonts w:ascii="Arial"/>
                <w:w w:val="99"/>
                <w:sz w:val="20"/>
              </w:rPr>
              <w:t>-</w:t>
            </w:r>
            <w:r>
              <w:rPr>
                <w:rFonts w:ascii="Arial"/>
                <w:sz w:val="20"/>
              </w:rPr>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
              <w:jc w:val="right"/>
              <w:rPr>
                <w:rFonts w:ascii="Arial" w:hAnsi="Arial" w:cs="Arial" w:eastAsia="Arial" w:hint="default"/>
                <w:sz w:val="20"/>
                <w:szCs w:val="20"/>
              </w:rPr>
            </w:pPr>
            <w:r>
              <w:rPr>
                <w:rFonts w:ascii="Arial"/>
                <w:w w:val="99"/>
                <w:sz w:val="20"/>
              </w:rPr>
              <w:t>-</w:t>
            </w:r>
            <w:r>
              <w:rPr>
                <w:rFonts w:ascii="Arial"/>
                <w:sz w:val="20"/>
              </w:rPr>
            </w:r>
          </w:p>
        </w:tc>
        <w:tc>
          <w:tcPr>
            <w:tcW w:w="258"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8"/>
              <w:jc w:val="right"/>
              <w:rPr>
                <w:rFonts w:ascii="Arial" w:hAnsi="Arial" w:cs="Arial" w:eastAsia="Arial" w:hint="default"/>
                <w:sz w:val="20"/>
                <w:szCs w:val="20"/>
              </w:rPr>
            </w:pPr>
            <w:r>
              <w:rPr>
                <w:rFonts w:ascii="Arial"/>
                <w:spacing w:val="-1"/>
                <w:sz w:val="20"/>
              </w:rPr>
              <w:t>20,148,153</w:t>
            </w:r>
            <w:r>
              <w:rPr>
                <w:rFonts w:ascii="Arial"/>
                <w:sz w:val="20"/>
              </w:rPr>
            </w:r>
          </w:p>
        </w:tc>
      </w:tr>
      <w:tr>
        <w:trPr>
          <w:trHeight w:val="256" w:hRule="exact"/>
        </w:trPr>
        <w:tc>
          <w:tcPr>
            <w:tcW w:w="2311"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z w:val="20"/>
                <w:szCs w:val="20"/>
              </w:rPr>
              <w:t>关联交易差价</w:t>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6"/>
              <w:jc w:val="right"/>
              <w:rPr>
                <w:rFonts w:ascii="Arial" w:hAnsi="Arial" w:cs="Arial" w:eastAsia="Arial" w:hint="default"/>
                <w:sz w:val="20"/>
                <w:szCs w:val="20"/>
              </w:rPr>
            </w:pPr>
            <w:r>
              <w:rPr>
                <w:rFonts w:ascii="Arial"/>
                <w:spacing w:val="-1"/>
                <w:sz w:val="20"/>
              </w:rPr>
              <w:t>17,969,348</w:t>
            </w:r>
            <w:r>
              <w:rPr>
                <w:rFonts w:ascii="Arial"/>
                <w:sz w:val="20"/>
              </w:rPr>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6"/>
              <w:jc w:val="right"/>
              <w:rPr>
                <w:rFonts w:ascii="Arial" w:hAnsi="Arial" w:cs="Arial" w:eastAsia="Arial" w:hint="default"/>
                <w:sz w:val="20"/>
                <w:szCs w:val="20"/>
              </w:rPr>
            </w:pPr>
            <w:r>
              <w:rPr>
                <w:rFonts w:ascii="Arial"/>
                <w:w w:val="99"/>
                <w:sz w:val="20"/>
              </w:rPr>
              <w:t>-</w:t>
            </w:r>
            <w:r>
              <w:rPr>
                <w:rFonts w:ascii="Arial"/>
                <w:sz w:val="20"/>
              </w:rPr>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0"/>
              <w:jc w:val="right"/>
              <w:rPr>
                <w:rFonts w:ascii="Arial" w:hAnsi="Arial" w:cs="Arial" w:eastAsia="Arial" w:hint="default"/>
                <w:sz w:val="20"/>
                <w:szCs w:val="20"/>
              </w:rPr>
            </w:pPr>
            <w:r>
              <w:rPr>
                <w:rFonts w:ascii="Arial"/>
                <w:w w:val="99"/>
                <w:sz w:val="20"/>
              </w:rPr>
              <w:t>-</w:t>
            </w:r>
            <w:r>
              <w:rPr>
                <w:rFonts w:ascii="Arial"/>
                <w:sz w:val="20"/>
              </w:rPr>
            </w:r>
          </w:p>
        </w:tc>
        <w:tc>
          <w:tcPr>
            <w:tcW w:w="258"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8"/>
              <w:jc w:val="right"/>
              <w:rPr>
                <w:rFonts w:ascii="Arial" w:hAnsi="Arial" w:cs="Arial" w:eastAsia="Arial" w:hint="default"/>
                <w:sz w:val="20"/>
                <w:szCs w:val="20"/>
              </w:rPr>
            </w:pPr>
            <w:r>
              <w:rPr>
                <w:rFonts w:ascii="Arial"/>
                <w:spacing w:val="-1"/>
                <w:sz w:val="20"/>
              </w:rPr>
              <w:t>17,969,348</w:t>
            </w:r>
            <w:r>
              <w:rPr>
                <w:rFonts w:ascii="Arial"/>
                <w:sz w:val="20"/>
              </w:rPr>
            </w:r>
          </w:p>
        </w:tc>
      </w:tr>
      <w:tr>
        <w:trPr>
          <w:trHeight w:val="256" w:hRule="exact"/>
        </w:trPr>
        <w:tc>
          <w:tcPr>
            <w:tcW w:w="2311" w:type="dxa"/>
            <w:tcBorders>
              <w:top w:val="nil" w:sz="6" w:space="0" w:color="auto"/>
              <w:left w:val="nil" w:sz="6" w:space="0" w:color="auto"/>
              <w:bottom w:val="nil" w:sz="6" w:space="0" w:color="auto"/>
              <w:right w:val="nil" w:sz="6" w:space="0" w:color="auto"/>
            </w:tcBorders>
          </w:tcPr>
          <w:p>
            <w:pPr>
              <w:pStyle w:val="TableParagraph"/>
              <w:spacing w:line="223" w:lineRule="exact"/>
              <w:ind w:left="200" w:right="0"/>
              <w:jc w:val="left"/>
              <w:rPr>
                <w:rFonts w:ascii="黑体" w:hAnsi="黑体" w:cs="黑体" w:eastAsia="黑体" w:hint="default"/>
                <w:sz w:val="20"/>
                <w:szCs w:val="20"/>
              </w:rPr>
            </w:pPr>
            <w:r>
              <w:rPr>
                <w:rFonts w:ascii="黑体" w:hAnsi="黑体" w:cs="黑体" w:eastAsia="黑体" w:hint="default"/>
                <w:sz w:val="20"/>
                <w:szCs w:val="20"/>
              </w:rPr>
              <w:t>股权激励成本</w:t>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66"/>
              <w:jc w:val="right"/>
              <w:rPr>
                <w:rFonts w:ascii="Arial" w:hAnsi="Arial" w:cs="Arial" w:eastAsia="Arial" w:hint="default"/>
                <w:sz w:val="20"/>
                <w:szCs w:val="20"/>
              </w:rPr>
            </w:pPr>
            <w:r>
              <w:rPr>
                <w:rFonts w:ascii="Arial"/>
                <w:spacing w:val="-1"/>
                <w:sz w:val="20"/>
              </w:rPr>
              <w:t>66,138,549</w:t>
            </w:r>
            <w:r>
              <w:rPr>
                <w:rFonts w:ascii="Arial"/>
                <w:sz w:val="20"/>
              </w:rPr>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68"/>
              <w:jc w:val="right"/>
              <w:rPr>
                <w:rFonts w:ascii="Arial" w:hAnsi="Arial" w:cs="Arial" w:eastAsia="Arial" w:hint="default"/>
                <w:sz w:val="20"/>
                <w:szCs w:val="20"/>
              </w:rPr>
            </w:pPr>
            <w:r>
              <w:rPr>
                <w:rFonts w:ascii="Arial"/>
                <w:spacing w:val="-1"/>
                <w:sz w:val="20"/>
              </w:rPr>
              <w:t>30,999,687</w:t>
            </w:r>
            <w:r>
              <w:rPr>
                <w:rFonts w:ascii="Arial"/>
                <w:sz w:val="20"/>
              </w:rPr>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
              <w:jc w:val="right"/>
              <w:rPr>
                <w:rFonts w:ascii="Arial" w:hAnsi="Arial" w:cs="Arial" w:eastAsia="Arial" w:hint="default"/>
                <w:sz w:val="20"/>
                <w:szCs w:val="20"/>
              </w:rPr>
            </w:pPr>
            <w:r>
              <w:rPr>
                <w:rFonts w:ascii="Arial"/>
                <w:spacing w:val="-1"/>
                <w:sz w:val="20"/>
              </w:rPr>
              <w:t>(2,278,626</w:t>
            </w:r>
          </w:p>
        </w:tc>
        <w:tc>
          <w:tcPr>
            <w:tcW w:w="258" w:type="dxa"/>
            <w:tcBorders>
              <w:top w:val="nil" w:sz="6" w:space="0" w:color="auto"/>
              <w:left w:val="nil" w:sz="6" w:space="0" w:color="auto"/>
              <w:bottom w:val="nil" w:sz="6" w:space="0" w:color="auto"/>
              <w:right w:val="nil" w:sz="6" w:space="0" w:color="auto"/>
            </w:tcBorders>
          </w:tcPr>
          <w:p>
            <w:pPr>
              <w:pStyle w:val="TableParagraph"/>
              <w:spacing w:line="240" w:lineRule="auto" w:before="7"/>
              <w:ind w:left="10" w:right="0"/>
              <w:jc w:val="left"/>
              <w:rPr>
                <w:rFonts w:ascii="Arial" w:hAnsi="Arial" w:cs="Arial" w:eastAsia="Arial" w:hint="default"/>
                <w:sz w:val="20"/>
                <w:szCs w:val="20"/>
              </w:rPr>
            </w:pPr>
            <w:r>
              <w:rPr>
                <w:rFonts w:ascii="Arial"/>
                <w:w w:val="99"/>
                <w:sz w:val="20"/>
              </w:rPr>
              <w:t>)</w:t>
            </w:r>
            <w:r>
              <w:rPr>
                <w:rFonts w:ascii="Arial"/>
                <w:sz w:val="20"/>
              </w:rPr>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spacing w:val="-1"/>
                <w:sz w:val="20"/>
              </w:rPr>
              <w:t>94,859,610</w:t>
            </w:r>
            <w:r>
              <w:rPr>
                <w:rFonts w:ascii="Arial"/>
                <w:sz w:val="20"/>
              </w:rPr>
            </w:r>
          </w:p>
        </w:tc>
      </w:tr>
      <w:tr>
        <w:trPr>
          <w:trHeight w:val="386" w:hRule="exact"/>
        </w:trPr>
        <w:tc>
          <w:tcPr>
            <w:tcW w:w="2311"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66"/>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sz w:val="20"/>
                <w:u w:val="single" w:color="000000"/>
              </w:rPr>
              <w:t>26,706,651</w:t>
            </w:r>
            <w:r>
              <w:rPr>
                <w:rFonts w:ascii="Arial"/>
                <w:spacing w:val="-1"/>
                <w:sz w:val="20"/>
              </w:rPr>
            </w:r>
          </w:p>
        </w:tc>
        <w:tc>
          <w:tcPr>
            <w:tcW w:w="1537" w:type="dxa"/>
            <w:tcBorders>
              <w:top w:val="nil" w:sz="6" w:space="0" w:color="auto"/>
              <w:left w:val="nil" w:sz="6" w:space="0" w:color="auto"/>
              <w:bottom w:val="nil" w:sz="6" w:space="0" w:color="auto"/>
              <w:right w:val="nil" w:sz="6" w:space="0" w:color="auto"/>
            </w:tcBorders>
          </w:tcPr>
          <w:p>
            <w:pPr>
              <w:pStyle w:val="TableParagraph"/>
              <w:tabs>
                <w:tab w:pos="902" w:val="left" w:leader="none"/>
              </w:tabs>
              <w:spacing w:line="240" w:lineRule="auto" w:before="6"/>
              <w:ind w:right="364"/>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336" w:type="dxa"/>
            <w:tcBorders>
              <w:top w:val="nil" w:sz="6" w:space="0" w:color="auto"/>
              <w:left w:val="nil" w:sz="6" w:space="0" w:color="auto"/>
              <w:bottom w:val="nil" w:sz="6" w:space="0" w:color="auto"/>
              <w:right w:val="nil" w:sz="6" w:space="0" w:color="auto"/>
            </w:tcBorders>
          </w:tcPr>
          <w:p>
            <w:pPr>
              <w:pStyle w:val="TableParagraph"/>
              <w:tabs>
                <w:tab w:pos="801" w:val="left" w:leader="none"/>
              </w:tabs>
              <w:spacing w:line="240" w:lineRule="auto" w:before="6"/>
              <w:ind w:right="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258" w:type="dxa"/>
            <w:tcBorders>
              <w:top w:val="nil" w:sz="6" w:space="0" w:color="auto"/>
              <w:left w:val="nil" w:sz="6" w:space="0" w:color="auto"/>
              <w:bottom w:val="nil" w:sz="6" w:space="0" w:color="auto"/>
              <w:right w:val="nil" w:sz="6" w:space="0" w:color="auto"/>
            </w:tcBorders>
          </w:tcPr>
          <w:p>
            <w:pP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sz w:val="20"/>
                <w:u w:val="single" w:color="000000"/>
              </w:rPr>
              <w:t>26,706,651</w:t>
            </w:r>
            <w:r>
              <w:rPr>
                <w:rFonts w:ascii="Arial"/>
                <w:spacing w:val="-1"/>
                <w:sz w:val="20"/>
              </w:rPr>
            </w:r>
          </w:p>
        </w:tc>
      </w:tr>
      <w:tr>
        <w:trPr>
          <w:trHeight w:val="354" w:hRule="exact"/>
        </w:trPr>
        <w:tc>
          <w:tcPr>
            <w:tcW w:w="2311" w:type="dxa"/>
            <w:tcBorders>
              <w:top w:val="nil" w:sz="6" w:space="0" w:color="auto"/>
              <w:left w:val="nil" w:sz="6" w:space="0" w:color="auto"/>
              <w:bottom w:val="nil" w:sz="6" w:space="0" w:color="auto"/>
              <w:right w:val="nil" w:sz="6" w:space="0" w:color="auto"/>
            </w:tcBorders>
          </w:tcPr>
          <w:p>
            <w:pPr/>
          </w:p>
        </w:tc>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66"/>
              <w:jc w:val="right"/>
              <w:rPr>
                <w:rFonts w:ascii="Arial" w:hAnsi="Arial" w:cs="Arial" w:eastAsia="Arial" w:hint="default"/>
                <w:sz w:val="20"/>
                <w:szCs w:val="20"/>
              </w:rPr>
            </w:pPr>
            <w:r>
              <w:rPr>
                <w:rFonts w:ascii="Arial"/>
                <w:w w:val="99"/>
                <w:sz w:val="20"/>
              </w:rPr>
            </w:r>
            <w:r>
              <w:rPr>
                <w:rFonts w:ascii="Arial"/>
                <w:spacing w:val="-1"/>
                <w:sz w:val="20"/>
                <w:u w:val="thick" w:color="000000"/>
              </w:rPr>
              <w:t>736,464,568</w:t>
            </w:r>
            <w:r>
              <w:rPr>
                <w:rFonts w:ascii="Arial"/>
                <w:spacing w:val="-1"/>
                <w:sz w:val="20"/>
              </w:rPr>
            </w:r>
            <w:r>
              <w:rPr>
                <w:rFonts w:ascii="Arial"/>
                <w:sz w:val="20"/>
              </w:rPr>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68"/>
              <w:jc w:val="right"/>
              <w:rPr>
                <w:rFonts w:ascii="Arial" w:hAnsi="Arial" w:cs="Arial" w:eastAsia="Arial" w:hint="default"/>
                <w:sz w:val="20"/>
                <w:szCs w:val="20"/>
              </w:rPr>
            </w:pPr>
            <w:r>
              <w:rPr>
                <w:rFonts w:ascii="Arial"/>
                <w:w w:val="99"/>
                <w:sz w:val="20"/>
              </w:rPr>
            </w:r>
            <w:r>
              <w:rPr>
                <w:rFonts w:ascii="Arial"/>
                <w:spacing w:val="-1"/>
                <w:sz w:val="20"/>
                <w:u w:val="thick" w:color="000000"/>
              </w:rPr>
              <w:t>30,999,687</w:t>
            </w:r>
            <w:r>
              <w:rPr>
                <w:rFonts w:ascii="Arial"/>
                <w:spacing w:val="-1"/>
                <w:sz w:val="20"/>
              </w:rPr>
            </w:r>
            <w:r>
              <w:rPr>
                <w:rFonts w:ascii="Arial"/>
                <w:sz w:val="20"/>
              </w:rPr>
            </w:r>
          </w:p>
        </w:tc>
        <w:tc>
          <w:tcPr>
            <w:tcW w:w="1336"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1"/>
              <w:jc w:val="right"/>
              <w:rPr>
                <w:rFonts w:ascii="Arial" w:hAnsi="Arial" w:cs="Arial" w:eastAsia="Arial" w:hint="default"/>
                <w:sz w:val="20"/>
                <w:szCs w:val="20"/>
              </w:rPr>
            </w:pPr>
            <w:r>
              <w:rPr>
                <w:rFonts w:ascii="Arial"/>
                <w:spacing w:val="-1"/>
                <w:sz w:val="20"/>
              </w:rPr>
              <w:t>(</w:t>
            </w:r>
            <w:r>
              <w:rPr>
                <w:rFonts w:ascii="Arial"/>
                <w:spacing w:val="-1"/>
                <w:sz w:val="20"/>
                <w:u w:val="thick" w:color="000000"/>
              </w:rPr>
              <w:t>2,278,626</w:t>
            </w:r>
            <w:r>
              <w:rPr>
                <w:rFonts w:ascii="Arial"/>
                <w:spacing w:val="-1"/>
                <w:sz w:val="20"/>
              </w:rPr>
            </w:r>
          </w:p>
        </w:tc>
        <w:tc>
          <w:tcPr>
            <w:tcW w:w="258"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0" w:right="0"/>
              <w:jc w:val="left"/>
              <w:rPr>
                <w:rFonts w:ascii="Arial" w:hAnsi="Arial" w:cs="Arial" w:eastAsia="Arial" w:hint="default"/>
                <w:sz w:val="20"/>
                <w:szCs w:val="20"/>
              </w:rPr>
            </w:pPr>
            <w:r>
              <w:rPr>
                <w:rFonts w:ascii="Arial"/>
                <w:w w:val="99"/>
                <w:sz w:val="20"/>
              </w:rPr>
              <w:t>)</w:t>
            </w:r>
            <w:r>
              <w:rPr>
                <w:rFonts w:ascii="Arial"/>
                <w:sz w:val="20"/>
              </w:rPr>
            </w:r>
          </w:p>
        </w:tc>
        <w:tc>
          <w:tcPr>
            <w:tcW w:w="14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765,185,629</w:t>
            </w:r>
            <w:r>
              <w:rPr>
                <w:rFonts w:ascii="Arial"/>
                <w:spacing w:val="-1"/>
                <w:sz w:val="20"/>
              </w:rPr>
            </w:r>
            <w:r>
              <w:rPr>
                <w:rFonts w:ascii="Arial"/>
                <w:sz w:val="20"/>
              </w:rPr>
            </w:r>
          </w:p>
        </w:tc>
      </w:tr>
    </w:tbl>
    <w:p>
      <w:pPr>
        <w:spacing w:line="240" w:lineRule="auto" w:before="9"/>
        <w:rPr>
          <w:rFonts w:ascii="黑体" w:hAnsi="黑体" w:cs="黑体" w:eastAsia="黑体" w:hint="default"/>
          <w:b/>
          <w:bCs/>
          <w:sz w:val="14"/>
          <w:szCs w:val="14"/>
        </w:rPr>
      </w:pPr>
    </w:p>
    <w:p>
      <w:pPr>
        <w:pStyle w:val="BodyText"/>
        <w:tabs>
          <w:tab w:pos="1522" w:val="left" w:leader="none"/>
        </w:tabs>
        <w:spacing w:line="240" w:lineRule="auto" w:before="37"/>
        <w:ind w:left="802" w:right="0"/>
        <w:jc w:val="left"/>
      </w:pPr>
      <w:r>
        <w:rPr>
          <w:spacing w:val="-1"/>
        </w:rPr>
        <w:t>注</w:t>
      </w:r>
      <w:r>
        <w:rPr>
          <w:rFonts w:ascii="Arial" w:hAnsi="Arial" w:cs="Arial" w:eastAsia="Arial" w:hint="default"/>
          <w:spacing w:val="-1"/>
        </w:rPr>
        <w:t>1.</w:t>
        <w:tab/>
      </w:r>
      <w:r>
        <w:rPr/>
        <w:t>参见附注七和附注五、</w:t>
      </w:r>
      <w:r>
        <w:rPr>
          <w:rFonts w:ascii="Arial" w:hAnsi="Arial" w:cs="Arial" w:eastAsia="Arial" w:hint="default"/>
        </w:rPr>
        <w:t>31</w:t>
      </w:r>
      <w:r>
        <w:rPr/>
        <w:t>。</w:t>
      </w:r>
    </w:p>
    <w:p>
      <w:pPr>
        <w:spacing w:line="240" w:lineRule="auto" w:before="12"/>
        <w:rPr>
          <w:rFonts w:ascii="黑体" w:hAnsi="黑体" w:cs="黑体" w:eastAsia="黑体" w:hint="default"/>
          <w:sz w:val="13"/>
          <w:szCs w:val="13"/>
        </w:rPr>
      </w:pPr>
    </w:p>
    <w:p>
      <w:pPr>
        <w:pStyle w:val="Heading6"/>
        <w:tabs>
          <w:tab w:pos="792" w:val="left" w:leader="none"/>
        </w:tabs>
        <w:spacing w:line="240" w:lineRule="auto" w:before="0"/>
        <w:ind w:left="113" w:right="0"/>
        <w:jc w:val="left"/>
        <w:rPr>
          <w:b w:val="0"/>
          <w:bCs w:val="0"/>
        </w:rPr>
      </w:pPr>
      <w:r>
        <w:rPr>
          <w:rFonts w:ascii="Arial" w:hAnsi="Arial" w:cs="Arial" w:eastAsia="Arial" w:hint="default"/>
          <w:spacing w:val="-1"/>
          <w:w w:val="95"/>
        </w:rPr>
        <w:t>26.</w:t>
        <w:tab/>
      </w:r>
      <w:r>
        <w:rPr>
          <w:spacing w:val="2"/>
        </w:rPr>
        <w:t>盈余公积</w:t>
      </w:r>
      <w:r>
        <w:rPr>
          <w:b w:val="0"/>
          <w:bCs w:val="0"/>
        </w:rPr>
      </w:r>
    </w:p>
    <w:p>
      <w:pPr>
        <w:spacing w:line="240" w:lineRule="auto" w:before="5"/>
        <w:rPr>
          <w:rFonts w:ascii="黑体" w:hAnsi="黑体" w:cs="黑体" w:eastAsia="黑体" w:hint="default"/>
          <w:b/>
          <w:bCs/>
          <w:sz w:val="20"/>
          <w:szCs w:val="20"/>
        </w:rPr>
      </w:pPr>
    </w:p>
    <w:tbl>
      <w:tblPr>
        <w:tblW w:w="0" w:type="auto"/>
        <w:jc w:val="left"/>
        <w:tblInd w:w="609" w:type="dxa"/>
        <w:tblLayout w:type="fixed"/>
        <w:tblCellMar>
          <w:top w:w="0" w:type="dxa"/>
          <w:left w:w="0" w:type="dxa"/>
          <w:bottom w:w="0" w:type="dxa"/>
          <w:right w:w="0" w:type="dxa"/>
        </w:tblCellMar>
        <w:tblLook w:val="01E0"/>
      </w:tblPr>
      <w:tblGrid>
        <w:gridCol w:w="2569"/>
        <w:gridCol w:w="2651"/>
        <w:gridCol w:w="1582"/>
        <w:gridCol w:w="1562"/>
      </w:tblGrid>
      <w:tr>
        <w:trPr>
          <w:trHeight w:val="224" w:hRule="exact"/>
        </w:trPr>
        <w:tc>
          <w:tcPr>
            <w:tcW w:w="2569" w:type="dxa"/>
            <w:tcBorders>
              <w:top w:val="nil" w:sz="6" w:space="0" w:color="auto"/>
              <w:left w:val="nil" w:sz="6" w:space="0" w:color="auto"/>
              <w:bottom w:val="nil" w:sz="6" w:space="0" w:color="auto"/>
              <w:right w:val="nil" w:sz="6" w:space="0" w:color="auto"/>
            </w:tcBorders>
          </w:tcPr>
          <w:p>
            <w:pPr>
              <w:pStyle w:val="TableParagraph"/>
              <w:spacing w:line="214" w:lineRule="exact"/>
              <w:ind w:left="200" w:right="0"/>
              <w:jc w:val="left"/>
              <w:rPr>
                <w:rFonts w:ascii="黑体" w:hAnsi="黑体" w:cs="黑体" w:eastAsia="黑体" w:hint="default"/>
                <w:sz w:val="20"/>
                <w:szCs w:val="20"/>
              </w:rPr>
            </w:pPr>
            <w:r>
              <w:rPr>
                <w:rFonts w:ascii="Arial" w:hAnsi="Arial" w:cs="Arial" w:eastAsia="Arial" w:hint="default"/>
                <w:sz w:val="20"/>
                <w:szCs w:val="20"/>
              </w:rPr>
              <w:t>2012</w:t>
            </w:r>
            <w:r>
              <w:rPr>
                <w:rFonts w:ascii="黑体" w:hAnsi="黑体" w:cs="黑体" w:eastAsia="黑体" w:hint="default"/>
                <w:sz w:val="20"/>
                <w:szCs w:val="20"/>
              </w:rPr>
              <w:t>年</w:t>
            </w:r>
          </w:p>
        </w:tc>
        <w:tc>
          <w:tcPr>
            <w:tcW w:w="2651" w:type="dxa"/>
            <w:tcBorders>
              <w:top w:val="nil" w:sz="6" w:space="0" w:color="auto"/>
              <w:left w:val="nil" w:sz="6" w:space="0" w:color="auto"/>
              <w:bottom w:val="nil" w:sz="6" w:space="0" w:color="auto"/>
              <w:right w:val="nil" w:sz="6" w:space="0" w:color="auto"/>
            </w:tcBorders>
          </w:tcPr>
          <w:p>
            <w:pPr>
              <w:pStyle w:val="TableParagraph"/>
              <w:spacing w:line="199" w:lineRule="exact"/>
              <w:ind w:right="347"/>
              <w:jc w:val="right"/>
              <w:rPr>
                <w:rFonts w:ascii="黑体" w:hAnsi="黑体" w:cs="黑体" w:eastAsia="黑体" w:hint="default"/>
                <w:sz w:val="20"/>
                <w:szCs w:val="20"/>
              </w:rPr>
            </w:pPr>
            <w:r>
              <w:rPr>
                <w:rFonts w:ascii="黑体" w:hAnsi="黑体" w:cs="黑体" w:eastAsia="黑体" w:hint="default"/>
                <w:w w:val="95"/>
                <w:sz w:val="20"/>
                <w:szCs w:val="20"/>
              </w:rPr>
              <w:t>年初数</w:t>
            </w:r>
            <w:r>
              <w:rPr>
                <w:rFonts w:ascii="黑体" w:hAnsi="黑体" w:cs="黑体" w:eastAsia="黑体" w:hint="default"/>
                <w:sz w:val="20"/>
                <w:szCs w:val="20"/>
              </w:rPr>
            </w:r>
          </w:p>
        </w:tc>
        <w:tc>
          <w:tcPr>
            <w:tcW w:w="1582" w:type="dxa"/>
            <w:tcBorders>
              <w:top w:val="nil" w:sz="6" w:space="0" w:color="auto"/>
              <w:left w:val="nil" w:sz="6" w:space="0" w:color="auto"/>
              <w:bottom w:val="nil" w:sz="6" w:space="0" w:color="auto"/>
              <w:right w:val="nil" w:sz="6" w:space="0" w:color="auto"/>
            </w:tcBorders>
          </w:tcPr>
          <w:p>
            <w:pPr>
              <w:pStyle w:val="TableParagraph"/>
              <w:spacing w:line="199" w:lineRule="exact"/>
              <w:ind w:right="227"/>
              <w:jc w:val="right"/>
              <w:rPr>
                <w:rFonts w:ascii="黑体" w:hAnsi="黑体" w:cs="黑体" w:eastAsia="黑体" w:hint="default"/>
                <w:sz w:val="20"/>
                <w:szCs w:val="20"/>
              </w:rPr>
            </w:pPr>
            <w:r>
              <w:rPr>
                <w:rFonts w:ascii="黑体" w:hAnsi="黑体" w:cs="黑体" w:eastAsia="黑体" w:hint="default"/>
                <w:w w:val="95"/>
                <w:sz w:val="20"/>
                <w:szCs w:val="20"/>
              </w:rPr>
              <w:t>本年增加</w:t>
            </w:r>
            <w:r>
              <w:rPr>
                <w:rFonts w:ascii="黑体" w:hAnsi="黑体" w:cs="黑体" w:eastAsia="黑体" w:hint="default"/>
                <w:sz w:val="20"/>
                <w:szCs w:val="20"/>
              </w:rPr>
            </w:r>
          </w:p>
        </w:tc>
        <w:tc>
          <w:tcPr>
            <w:tcW w:w="1562" w:type="dxa"/>
            <w:tcBorders>
              <w:top w:val="nil" w:sz="6" w:space="0" w:color="auto"/>
              <w:left w:val="nil" w:sz="6" w:space="0" w:color="auto"/>
              <w:bottom w:val="nil" w:sz="6" w:space="0" w:color="auto"/>
              <w:right w:val="nil" w:sz="6" w:space="0" w:color="auto"/>
            </w:tcBorders>
          </w:tcPr>
          <w:p>
            <w:pPr>
              <w:pStyle w:val="TableParagraph"/>
              <w:spacing w:line="199" w:lineRule="exact"/>
              <w:ind w:right="198"/>
              <w:jc w:val="right"/>
              <w:rPr>
                <w:rFonts w:ascii="黑体" w:hAnsi="黑体" w:cs="黑体" w:eastAsia="黑体" w:hint="default"/>
                <w:sz w:val="20"/>
                <w:szCs w:val="20"/>
              </w:rPr>
            </w:pPr>
            <w:r>
              <w:rPr>
                <w:rFonts w:ascii="黑体" w:hAnsi="黑体" w:cs="黑体" w:eastAsia="黑体" w:hint="default"/>
                <w:w w:val="95"/>
                <w:sz w:val="20"/>
                <w:szCs w:val="20"/>
              </w:rPr>
              <w:t>年末数</w:t>
            </w:r>
            <w:r>
              <w:rPr>
                <w:rFonts w:ascii="黑体" w:hAnsi="黑体" w:cs="黑体" w:eastAsia="黑体" w:hint="default"/>
                <w:sz w:val="20"/>
                <w:szCs w:val="20"/>
              </w:rPr>
            </w:r>
          </w:p>
        </w:tc>
      </w:tr>
      <w:tr>
        <w:trPr>
          <w:trHeight w:val="360" w:hRule="exact"/>
        </w:trPr>
        <w:tc>
          <w:tcPr>
            <w:tcW w:w="2569" w:type="dxa"/>
            <w:tcBorders>
              <w:top w:val="nil" w:sz="6" w:space="0" w:color="auto"/>
              <w:left w:val="nil" w:sz="6" w:space="0" w:color="auto"/>
              <w:bottom w:val="nil" w:sz="6" w:space="0" w:color="auto"/>
              <w:right w:val="nil" w:sz="6" w:space="0" w:color="auto"/>
            </w:tcBorders>
          </w:tcPr>
          <w:p>
            <w:pPr/>
          </w:p>
        </w:tc>
        <w:tc>
          <w:tcPr>
            <w:tcW w:w="2651" w:type="dxa"/>
            <w:tcBorders>
              <w:top w:val="nil" w:sz="6" w:space="0" w:color="auto"/>
              <w:left w:val="nil" w:sz="6" w:space="0" w:color="auto"/>
              <w:bottom w:val="nil" w:sz="6" w:space="0" w:color="auto"/>
              <w:right w:val="nil" w:sz="6" w:space="0" w:color="auto"/>
            </w:tcBorders>
          </w:tcPr>
          <w:p>
            <w:pPr/>
          </w:p>
        </w:tc>
        <w:tc>
          <w:tcPr>
            <w:tcW w:w="1582" w:type="dxa"/>
            <w:tcBorders>
              <w:top w:val="nil" w:sz="6" w:space="0" w:color="auto"/>
              <w:left w:val="nil" w:sz="6" w:space="0" w:color="auto"/>
              <w:bottom w:val="nil" w:sz="6" w:space="0" w:color="auto"/>
              <w:right w:val="nil" w:sz="6" w:space="0" w:color="auto"/>
            </w:tcBorders>
          </w:tcPr>
          <w:p>
            <w:pPr>
              <w:pStyle w:val="TableParagraph"/>
              <w:spacing w:line="229" w:lineRule="exact"/>
              <w:ind w:right="226"/>
              <w:jc w:val="right"/>
              <w:rPr>
                <w:rFonts w:ascii="Arial" w:hAnsi="Arial" w:cs="Arial" w:eastAsia="Arial" w:hint="default"/>
                <w:sz w:val="20"/>
                <w:szCs w:val="20"/>
              </w:rPr>
            </w:pPr>
            <w:r>
              <w:rPr>
                <w:rFonts w:ascii="Arial" w:hAnsi="Arial" w:cs="Arial" w:eastAsia="Arial" w:hint="default"/>
                <w:spacing w:val="-1"/>
                <w:sz w:val="20"/>
                <w:szCs w:val="20"/>
              </w:rPr>
              <w:t>(</w:t>
            </w:r>
            <w:r>
              <w:rPr>
                <w:rFonts w:ascii="黑体" w:hAnsi="黑体" w:cs="黑体" w:eastAsia="黑体" w:hint="default"/>
                <w:spacing w:val="-1"/>
                <w:sz w:val="20"/>
                <w:szCs w:val="20"/>
              </w:rPr>
              <w:t>注</w:t>
            </w:r>
            <w:r>
              <w:rPr>
                <w:rFonts w:ascii="Arial" w:hAnsi="Arial" w:cs="Arial" w:eastAsia="Arial" w:hint="default"/>
                <w:spacing w:val="-1"/>
                <w:sz w:val="20"/>
                <w:szCs w:val="20"/>
              </w:rPr>
              <w:t>1)</w:t>
            </w:r>
            <w:r>
              <w:rPr>
                <w:rFonts w:ascii="Arial" w:hAnsi="Arial" w:cs="Arial" w:eastAsia="Arial" w:hint="default"/>
                <w:sz w:val="20"/>
                <w:szCs w:val="20"/>
              </w:rPr>
            </w:r>
          </w:p>
        </w:tc>
        <w:tc>
          <w:tcPr>
            <w:tcW w:w="1562" w:type="dxa"/>
            <w:tcBorders>
              <w:top w:val="nil" w:sz="6" w:space="0" w:color="auto"/>
              <w:left w:val="nil" w:sz="6" w:space="0" w:color="auto"/>
              <w:bottom w:val="nil" w:sz="6" w:space="0" w:color="auto"/>
              <w:right w:val="nil" w:sz="6" w:space="0" w:color="auto"/>
            </w:tcBorders>
          </w:tcPr>
          <w:p>
            <w:pPr/>
          </w:p>
        </w:tc>
      </w:tr>
      <w:tr>
        <w:trPr>
          <w:trHeight w:val="371" w:hRule="exact"/>
        </w:trPr>
        <w:tc>
          <w:tcPr>
            <w:tcW w:w="2569" w:type="dxa"/>
            <w:tcBorders>
              <w:top w:val="nil" w:sz="6" w:space="0" w:color="auto"/>
              <w:left w:val="nil" w:sz="6" w:space="0" w:color="auto"/>
              <w:bottom w:val="nil" w:sz="6" w:space="0" w:color="auto"/>
              <w:right w:val="nil" w:sz="6" w:space="0" w:color="auto"/>
            </w:tcBorders>
          </w:tcPr>
          <w:p>
            <w:pPr>
              <w:pStyle w:val="TableParagraph"/>
              <w:spacing w:line="240" w:lineRule="auto" w:before="73"/>
              <w:ind w:left="200" w:right="0"/>
              <w:jc w:val="left"/>
              <w:rPr>
                <w:rFonts w:ascii="黑体" w:hAnsi="黑体" w:cs="黑体" w:eastAsia="黑体" w:hint="default"/>
                <w:sz w:val="20"/>
                <w:szCs w:val="20"/>
              </w:rPr>
            </w:pPr>
            <w:r>
              <w:rPr>
                <w:rFonts w:ascii="黑体" w:hAnsi="黑体" w:cs="黑体" w:eastAsia="黑体" w:hint="default"/>
                <w:sz w:val="20"/>
                <w:szCs w:val="20"/>
              </w:rPr>
              <w:t>法定盈余公积</w:t>
            </w:r>
          </w:p>
        </w:tc>
        <w:tc>
          <w:tcPr>
            <w:tcW w:w="2651"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352"/>
              <w:jc w:val="right"/>
              <w:rPr>
                <w:rFonts w:ascii="Arial" w:hAnsi="Arial" w:cs="Arial" w:eastAsia="Arial" w:hint="default"/>
                <w:sz w:val="20"/>
                <w:szCs w:val="20"/>
              </w:rPr>
            </w:pPr>
            <w:r>
              <w:rPr>
                <w:rFonts w:ascii="Arial"/>
                <w:spacing w:val="-1"/>
                <w:sz w:val="20"/>
              </w:rPr>
              <w:t>290,426,941</w:t>
            </w:r>
            <w:r>
              <w:rPr>
                <w:rFonts w:ascii="Arial"/>
                <w:sz w:val="20"/>
              </w:rPr>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32"/>
              <w:jc w:val="right"/>
              <w:rPr>
                <w:rFonts w:ascii="Arial" w:hAnsi="Arial" w:cs="Arial" w:eastAsia="Arial" w:hint="default"/>
                <w:sz w:val="20"/>
                <w:szCs w:val="20"/>
              </w:rPr>
            </w:pPr>
            <w:r>
              <w:rPr>
                <w:rFonts w:ascii="Arial"/>
                <w:spacing w:val="-1"/>
                <w:sz w:val="20"/>
              </w:rPr>
              <w:t>42,657,180</w:t>
            </w:r>
            <w:r>
              <w:rPr>
                <w:rFonts w:ascii="Arial"/>
                <w:sz w:val="20"/>
              </w:rPr>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00"/>
              <w:jc w:val="right"/>
              <w:rPr>
                <w:rFonts w:ascii="Arial" w:hAnsi="Arial" w:cs="Arial" w:eastAsia="Arial" w:hint="default"/>
                <w:sz w:val="20"/>
                <w:szCs w:val="20"/>
              </w:rPr>
            </w:pPr>
            <w:r>
              <w:rPr>
                <w:rFonts w:ascii="Arial"/>
                <w:spacing w:val="-1"/>
                <w:sz w:val="20"/>
              </w:rPr>
              <w:t>333,084,121</w:t>
            </w:r>
            <w:r>
              <w:rPr>
                <w:rFonts w:ascii="Arial"/>
                <w:sz w:val="20"/>
              </w:rPr>
            </w:r>
          </w:p>
        </w:tc>
      </w:tr>
      <w:tr>
        <w:trPr>
          <w:trHeight w:val="376" w:hRule="exact"/>
        </w:trPr>
        <w:tc>
          <w:tcPr>
            <w:tcW w:w="2569" w:type="dxa"/>
            <w:tcBorders>
              <w:top w:val="nil" w:sz="6" w:space="0" w:color="auto"/>
              <w:left w:val="nil" w:sz="6" w:space="0" w:color="auto"/>
              <w:bottom w:val="nil" w:sz="6" w:space="0" w:color="auto"/>
              <w:right w:val="nil" w:sz="6" w:space="0" w:color="auto"/>
            </w:tcBorders>
          </w:tcPr>
          <w:p>
            <w:pPr>
              <w:pStyle w:val="TableParagraph"/>
              <w:spacing w:line="204" w:lineRule="exact"/>
              <w:ind w:left="200" w:right="0"/>
              <w:jc w:val="left"/>
              <w:rPr>
                <w:rFonts w:ascii="黑体" w:hAnsi="黑体" w:cs="黑体" w:eastAsia="黑体" w:hint="default"/>
                <w:sz w:val="20"/>
                <w:szCs w:val="20"/>
              </w:rPr>
            </w:pPr>
            <w:r>
              <w:rPr>
                <w:rFonts w:ascii="黑体" w:hAnsi="黑体" w:cs="黑体" w:eastAsia="黑体" w:hint="default"/>
                <w:sz w:val="20"/>
                <w:szCs w:val="20"/>
              </w:rPr>
              <w:t>任意盈余公积</w:t>
            </w:r>
          </w:p>
        </w:tc>
        <w:tc>
          <w:tcPr>
            <w:tcW w:w="265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9"/>
              <w:jc w:val="right"/>
              <w:rPr>
                <w:rFonts w:ascii="Arial" w:hAnsi="Arial" w:cs="Arial" w:eastAsia="Arial" w:hint="default"/>
                <w:sz w:val="20"/>
                <w:szCs w:val="20"/>
              </w:rPr>
            </w:pPr>
            <w:r>
              <w:rPr>
                <w:rFonts w:ascii="Arial"/>
                <w:w w:val="99"/>
                <w:sz w:val="20"/>
              </w:rPr>
            </w:r>
            <w:r>
              <w:rPr>
                <w:rFonts w:ascii="Arial"/>
                <w:spacing w:val="-1"/>
                <w:sz w:val="20"/>
                <w:u w:val="single" w:color="000000"/>
              </w:rPr>
              <w:t>100,971,061</w:t>
            </w:r>
            <w:r>
              <w:rPr>
                <w:rFonts w:ascii="Arial"/>
                <w:spacing w:val="-1"/>
                <w:sz w:val="20"/>
              </w:rPr>
            </w:r>
            <w:r>
              <w:rPr>
                <w:rFonts w:ascii="Arial"/>
                <w:sz w:val="20"/>
              </w:rPr>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30"/>
              <w:jc w:val="right"/>
              <w:rPr>
                <w:rFonts w:ascii="Arial" w:hAnsi="Arial" w:cs="Arial" w:eastAsia="Arial" w:hint="default"/>
                <w:sz w:val="20"/>
                <w:szCs w:val="20"/>
              </w:rPr>
            </w:pPr>
            <w:r>
              <w:rPr>
                <w:rFonts w:ascii="Arial"/>
                <w:w w:val="99"/>
                <w:sz w:val="20"/>
              </w:rPr>
            </w:r>
            <w:r>
              <w:rPr>
                <w:rFonts w:ascii="Arial"/>
                <w:spacing w:val="-1"/>
                <w:sz w:val="20"/>
                <w:u w:val="single" w:color="000000"/>
              </w:rPr>
              <w:t>21,328,590</w:t>
            </w:r>
            <w:r>
              <w:rPr>
                <w:rFonts w:ascii="Arial"/>
                <w:spacing w:val="-1"/>
                <w:sz w:val="20"/>
              </w:rPr>
            </w:r>
            <w:r>
              <w:rPr>
                <w:rFonts w:ascii="Arial"/>
                <w:sz w:val="20"/>
              </w:rPr>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0"/>
              <w:jc w:val="right"/>
              <w:rPr>
                <w:rFonts w:ascii="Arial" w:hAnsi="Arial" w:cs="Arial" w:eastAsia="Arial" w:hint="default"/>
                <w:sz w:val="20"/>
                <w:szCs w:val="20"/>
              </w:rPr>
            </w:pPr>
            <w:r>
              <w:rPr>
                <w:rFonts w:ascii="Arial"/>
                <w:w w:val="99"/>
                <w:sz w:val="20"/>
              </w:rPr>
            </w:r>
            <w:r>
              <w:rPr>
                <w:rFonts w:ascii="Arial"/>
                <w:spacing w:val="-1"/>
                <w:sz w:val="20"/>
                <w:u w:val="single" w:color="000000"/>
              </w:rPr>
              <w:t>122,299,651</w:t>
            </w:r>
            <w:r>
              <w:rPr>
                <w:rFonts w:ascii="Arial"/>
                <w:spacing w:val="-1"/>
                <w:sz w:val="20"/>
              </w:rPr>
            </w:r>
            <w:r>
              <w:rPr>
                <w:rFonts w:ascii="Arial"/>
                <w:sz w:val="20"/>
              </w:rPr>
            </w:r>
          </w:p>
        </w:tc>
      </w:tr>
      <w:tr>
        <w:trPr>
          <w:trHeight w:val="340" w:hRule="exact"/>
        </w:trPr>
        <w:tc>
          <w:tcPr>
            <w:tcW w:w="2569" w:type="dxa"/>
            <w:tcBorders>
              <w:top w:val="nil" w:sz="6" w:space="0" w:color="auto"/>
              <w:left w:val="nil" w:sz="6" w:space="0" w:color="auto"/>
              <w:bottom w:val="nil" w:sz="6" w:space="0" w:color="auto"/>
              <w:right w:val="nil" w:sz="6" w:space="0" w:color="auto"/>
            </w:tcBorders>
          </w:tcPr>
          <w:p>
            <w:pPr/>
          </w:p>
        </w:tc>
        <w:tc>
          <w:tcPr>
            <w:tcW w:w="2651"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69"/>
              <w:jc w:val="right"/>
              <w:rPr>
                <w:rFonts w:ascii="Arial" w:hAnsi="Arial" w:cs="Arial" w:eastAsia="Arial" w:hint="default"/>
                <w:sz w:val="20"/>
                <w:szCs w:val="20"/>
              </w:rPr>
            </w:pPr>
            <w:r>
              <w:rPr>
                <w:rFonts w:ascii="Arial"/>
                <w:w w:val="99"/>
                <w:sz w:val="20"/>
              </w:rPr>
            </w:r>
            <w:r>
              <w:rPr>
                <w:rFonts w:ascii="Arial"/>
                <w:spacing w:val="-1"/>
                <w:sz w:val="20"/>
                <w:u w:val="thick" w:color="000000"/>
              </w:rPr>
              <w:t>391,398,002</w:t>
            </w:r>
            <w:r>
              <w:rPr>
                <w:rFonts w:ascii="Arial"/>
                <w:spacing w:val="-1"/>
                <w:sz w:val="20"/>
              </w:rPr>
            </w:r>
            <w:r>
              <w:rPr>
                <w:rFonts w:ascii="Arial"/>
                <w:sz w:val="20"/>
              </w:rPr>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27"/>
              <w:jc w:val="right"/>
              <w:rPr>
                <w:rFonts w:ascii="Arial" w:hAnsi="Arial" w:cs="Arial" w:eastAsia="Arial" w:hint="default"/>
                <w:sz w:val="20"/>
                <w:szCs w:val="20"/>
              </w:rPr>
            </w:pPr>
            <w:r>
              <w:rPr>
                <w:rFonts w:ascii="Arial"/>
                <w:w w:val="99"/>
                <w:sz w:val="20"/>
              </w:rPr>
            </w:r>
            <w:r>
              <w:rPr>
                <w:rFonts w:ascii="Arial"/>
                <w:spacing w:val="-1"/>
                <w:sz w:val="20"/>
                <w:u w:val="thick" w:color="000000"/>
              </w:rPr>
              <w:t>63,985,770</w:t>
            </w:r>
            <w:r>
              <w:rPr>
                <w:rFonts w:ascii="Arial"/>
                <w:spacing w:val="-1"/>
                <w:sz w:val="20"/>
              </w:rPr>
            </w:r>
            <w:r>
              <w:rPr>
                <w:rFonts w:ascii="Arial"/>
                <w:sz w:val="20"/>
              </w:rPr>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22"/>
              <w:jc w:val="right"/>
              <w:rPr>
                <w:rFonts w:ascii="Arial" w:hAnsi="Arial" w:cs="Arial" w:eastAsia="Arial" w:hint="default"/>
                <w:sz w:val="20"/>
                <w:szCs w:val="20"/>
              </w:rPr>
            </w:pPr>
            <w:r>
              <w:rPr>
                <w:rFonts w:ascii="Arial"/>
                <w:w w:val="99"/>
                <w:sz w:val="20"/>
              </w:rPr>
            </w:r>
            <w:r>
              <w:rPr>
                <w:rFonts w:ascii="Arial"/>
                <w:spacing w:val="-1"/>
                <w:sz w:val="20"/>
                <w:u w:val="thick" w:color="000000"/>
              </w:rPr>
              <w:t>455,383,772</w:t>
            </w:r>
            <w:r>
              <w:rPr>
                <w:rFonts w:ascii="Arial"/>
                <w:spacing w:val="-1"/>
                <w:sz w:val="20"/>
              </w:rPr>
            </w:r>
            <w:r>
              <w:rPr>
                <w:rFonts w:ascii="Arial"/>
                <w:sz w:val="20"/>
              </w:rPr>
            </w:r>
          </w:p>
        </w:tc>
      </w:tr>
    </w:tbl>
    <w:p>
      <w:pPr>
        <w:spacing w:line="240" w:lineRule="auto" w:before="0"/>
        <w:rPr>
          <w:rFonts w:ascii="黑体" w:hAnsi="黑体" w:cs="黑体" w:eastAsia="黑体" w:hint="default"/>
          <w:b/>
          <w:bCs/>
          <w:sz w:val="20"/>
          <w:szCs w:val="20"/>
        </w:rPr>
      </w:pPr>
    </w:p>
    <w:p>
      <w:pPr>
        <w:spacing w:line="240" w:lineRule="auto" w:before="5"/>
        <w:rPr>
          <w:rFonts w:ascii="黑体" w:hAnsi="黑体" w:cs="黑体" w:eastAsia="黑体" w:hint="default"/>
          <w:b/>
          <w:bCs/>
          <w:sz w:val="17"/>
          <w:szCs w:val="17"/>
        </w:rPr>
      </w:pPr>
    </w:p>
    <w:tbl>
      <w:tblPr>
        <w:tblW w:w="0" w:type="auto"/>
        <w:jc w:val="left"/>
        <w:tblInd w:w="609" w:type="dxa"/>
        <w:tblLayout w:type="fixed"/>
        <w:tblCellMar>
          <w:top w:w="0" w:type="dxa"/>
          <w:left w:w="0" w:type="dxa"/>
          <w:bottom w:w="0" w:type="dxa"/>
          <w:right w:w="0" w:type="dxa"/>
        </w:tblCellMar>
        <w:tblLook w:val="01E0"/>
      </w:tblPr>
      <w:tblGrid>
        <w:gridCol w:w="2577"/>
        <w:gridCol w:w="2642"/>
        <w:gridCol w:w="1582"/>
        <w:gridCol w:w="1562"/>
      </w:tblGrid>
      <w:tr>
        <w:trPr>
          <w:trHeight w:val="344" w:hRule="exact"/>
        </w:trPr>
        <w:tc>
          <w:tcPr>
            <w:tcW w:w="2577" w:type="dxa"/>
            <w:tcBorders>
              <w:top w:val="nil" w:sz="6" w:space="0" w:color="auto"/>
              <w:left w:val="nil" w:sz="6" w:space="0" w:color="auto"/>
              <w:bottom w:val="nil" w:sz="6" w:space="0" w:color="auto"/>
              <w:right w:val="nil" w:sz="6" w:space="0" w:color="auto"/>
            </w:tcBorders>
          </w:tcPr>
          <w:p>
            <w:pPr>
              <w:pStyle w:val="TableParagraph"/>
              <w:spacing w:line="214" w:lineRule="exact"/>
              <w:ind w:left="200"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p>
        </w:tc>
        <w:tc>
          <w:tcPr>
            <w:tcW w:w="2642" w:type="dxa"/>
            <w:tcBorders>
              <w:top w:val="nil" w:sz="6" w:space="0" w:color="auto"/>
              <w:left w:val="nil" w:sz="6" w:space="0" w:color="auto"/>
              <w:bottom w:val="nil" w:sz="6" w:space="0" w:color="auto"/>
              <w:right w:val="nil" w:sz="6" w:space="0" w:color="auto"/>
            </w:tcBorders>
          </w:tcPr>
          <w:p>
            <w:pPr>
              <w:pStyle w:val="TableParagraph"/>
              <w:spacing w:line="199" w:lineRule="exact"/>
              <w:ind w:right="347"/>
              <w:jc w:val="right"/>
              <w:rPr>
                <w:rFonts w:ascii="黑体" w:hAnsi="黑体" w:cs="黑体" w:eastAsia="黑体" w:hint="default"/>
                <w:sz w:val="20"/>
                <w:szCs w:val="20"/>
              </w:rPr>
            </w:pPr>
            <w:r>
              <w:rPr>
                <w:rFonts w:ascii="黑体" w:hAnsi="黑体" w:cs="黑体" w:eastAsia="黑体" w:hint="default"/>
                <w:w w:val="95"/>
                <w:sz w:val="20"/>
                <w:szCs w:val="20"/>
              </w:rPr>
              <w:t>年初数</w:t>
            </w:r>
            <w:r>
              <w:rPr>
                <w:rFonts w:ascii="黑体" w:hAnsi="黑体" w:cs="黑体" w:eastAsia="黑体" w:hint="default"/>
                <w:sz w:val="20"/>
                <w:szCs w:val="20"/>
              </w:rPr>
            </w:r>
          </w:p>
        </w:tc>
        <w:tc>
          <w:tcPr>
            <w:tcW w:w="1582" w:type="dxa"/>
            <w:tcBorders>
              <w:top w:val="nil" w:sz="6" w:space="0" w:color="auto"/>
              <w:left w:val="nil" w:sz="6" w:space="0" w:color="auto"/>
              <w:bottom w:val="nil" w:sz="6" w:space="0" w:color="auto"/>
              <w:right w:val="nil" w:sz="6" w:space="0" w:color="auto"/>
            </w:tcBorders>
          </w:tcPr>
          <w:p>
            <w:pPr>
              <w:pStyle w:val="TableParagraph"/>
              <w:spacing w:line="199" w:lineRule="exact"/>
              <w:ind w:right="227"/>
              <w:jc w:val="right"/>
              <w:rPr>
                <w:rFonts w:ascii="黑体" w:hAnsi="黑体" w:cs="黑体" w:eastAsia="黑体" w:hint="default"/>
                <w:sz w:val="20"/>
                <w:szCs w:val="20"/>
              </w:rPr>
            </w:pPr>
            <w:r>
              <w:rPr>
                <w:rFonts w:ascii="黑体" w:hAnsi="黑体" w:cs="黑体" w:eastAsia="黑体" w:hint="default"/>
                <w:w w:val="95"/>
                <w:sz w:val="20"/>
                <w:szCs w:val="20"/>
              </w:rPr>
              <w:t>本年增加</w:t>
            </w:r>
            <w:r>
              <w:rPr>
                <w:rFonts w:ascii="黑体" w:hAnsi="黑体" w:cs="黑体" w:eastAsia="黑体" w:hint="default"/>
                <w:sz w:val="20"/>
                <w:szCs w:val="20"/>
              </w:rPr>
            </w:r>
          </w:p>
        </w:tc>
        <w:tc>
          <w:tcPr>
            <w:tcW w:w="1562" w:type="dxa"/>
            <w:tcBorders>
              <w:top w:val="nil" w:sz="6" w:space="0" w:color="auto"/>
              <w:left w:val="nil" w:sz="6" w:space="0" w:color="auto"/>
              <w:bottom w:val="nil" w:sz="6" w:space="0" w:color="auto"/>
              <w:right w:val="nil" w:sz="6" w:space="0" w:color="auto"/>
            </w:tcBorders>
          </w:tcPr>
          <w:p>
            <w:pPr>
              <w:pStyle w:val="TableParagraph"/>
              <w:spacing w:line="199" w:lineRule="exact"/>
              <w:ind w:right="198"/>
              <w:jc w:val="right"/>
              <w:rPr>
                <w:rFonts w:ascii="黑体" w:hAnsi="黑体" w:cs="黑体" w:eastAsia="黑体" w:hint="default"/>
                <w:sz w:val="20"/>
                <w:szCs w:val="20"/>
              </w:rPr>
            </w:pPr>
            <w:r>
              <w:rPr>
                <w:rFonts w:ascii="黑体" w:hAnsi="黑体" w:cs="黑体" w:eastAsia="黑体" w:hint="default"/>
                <w:w w:val="95"/>
                <w:sz w:val="20"/>
                <w:szCs w:val="20"/>
              </w:rPr>
              <w:t>年末数</w:t>
            </w:r>
            <w:r>
              <w:rPr>
                <w:rFonts w:ascii="黑体" w:hAnsi="黑体" w:cs="黑体" w:eastAsia="黑体" w:hint="default"/>
                <w:sz w:val="20"/>
                <w:szCs w:val="20"/>
              </w:rPr>
            </w:r>
          </w:p>
        </w:tc>
      </w:tr>
      <w:tr>
        <w:trPr>
          <w:trHeight w:val="371" w:hRule="exact"/>
        </w:trPr>
        <w:tc>
          <w:tcPr>
            <w:tcW w:w="2577" w:type="dxa"/>
            <w:tcBorders>
              <w:top w:val="nil" w:sz="6" w:space="0" w:color="auto"/>
              <w:left w:val="nil" w:sz="6" w:space="0" w:color="auto"/>
              <w:bottom w:val="nil" w:sz="6" w:space="0" w:color="auto"/>
              <w:right w:val="nil" w:sz="6" w:space="0" w:color="auto"/>
            </w:tcBorders>
          </w:tcPr>
          <w:p>
            <w:pPr>
              <w:pStyle w:val="TableParagraph"/>
              <w:spacing w:line="240" w:lineRule="auto" w:before="73"/>
              <w:ind w:left="200" w:right="0"/>
              <w:jc w:val="left"/>
              <w:rPr>
                <w:rFonts w:ascii="黑体" w:hAnsi="黑体" w:cs="黑体" w:eastAsia="黑体" w:hint="default"/>
                <w:sz w:val="20"/>
                <w:szCs w:val="20"/>
              </w:rPr>
            </w:pPr>
            <w:r>
              <w:rPr>
                <w:rFonts w:ascii="黑体" w:hAnsi="黑体" w:cs="黑体" w:eastAsia="黑体" w:hint="default"/>
                <w:sz w:val="20"/>
                <w:szCs w:val="20"/>
              </w:rPr>
              <w:t>法定盈余公积</w:t>
            </w:r>
          </w:p>
        </w:tc>
        <w:tc>
          <w:tcPr>
            <w:tcW w:w="2642"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352"/>
              <w:jc w:val="right"/>
              <w:rPr>
                <w:rFonts w:ascii="Arial" w:hAnsi="Arial" w:cs="Arial" w:eastAsia="Arial" w:hint="default"/>
                <w:sz w:val="20"/>
                <w:szCs w:val="20"/>
              </w:rPr>
            </w:pPr>
            <w:r>
              <w:rPr>
                <w:rFonts w:ascii="Arial"/>
                <w:spacing w:val="-1"/>
                <w:sz w:val="20"/>
              </w:rPr>
              <w:t>241,756,350</w:t>
            </w:r>
            <w:r>
              <w:rPr>
                <w:rFonts w:ascii="Arial"/>
                <w:sz w:val="20"/>
              </w:rPr>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32"/>
              <w:jc w:val="right"/>
              <w:rPr>
                <w:rFonts w:ascii="Arial" w:hAnsi="Arial" w:cs="Arial" w:eastAsia="Arial" w:hint="default"/>
                <w:sz w:val="20"/>
                <w:szCs w:val="20"/>
              </w:rPr>
            </w:pPr>
            <w:r>
              <w:rPr>
                <w:rFonts w:ascii="Arial"/>
                <w:spacing w:val="-1"/>
                <w:sz w:val="20"/>
              </w:rPr>
              <w:t>48,670,591</w:t>
            </w:r>
            <w:r>
              <w:rPr>
                <w:rFonts w:ascii="Arial"/>
                <w:sz w:val="20"/>
              </w:rPr>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03"/>
              <w:jc w:val="right"/>
              <w:rPr>
                <w:rFonts w:ascii="Arial" w:hAnsi="Arial" w:cs="Arial" w:eastAsia="Arial" w:hint="default"/>
                <w:sz w:val="20"/>
                <w:szCs w:val="20"/>
              </w:rPr>
            </w:pPr>
            <w:r>
              <w:rPr>
                <w:rFonts w:ascii="Arial"/>
                <w:spacing w:val="-1"/>
                <w:sz w:val="20"/>
              </w:rPr>
              <w:t>290,426,941</w:t>
            </w:r>
            <w:r>
              <w:rPr>
                <w:rFonts w:ascii="Arial"/>
                <w:sz w:val="20"/>
              </w:rPr>
            </w:r>
          </w:p>
        </w:tc>
      </w:tr>
      <w:tr>
        <w:trPr>
          <w:trHeight w:val="376" w:hRule="exact"/>
        </w:trPr>
        <w:tc>
          <w:tcPr>
            <w:tcW w:w="2577" w:type="dxa"/>
            <w:tcBorders>
              <w:top w:val="nil" w:sz="6" w:space="0" w:color="auto"/>
              <w:left w:val="nil" w:sz="6" w:space="0" w:color="auto"/>
              <w:bottom w:val="nil" w:sz="6" w:space="0" w:color="auto"/>
              <w:right w:val="nil" w:sz="6" w:space="0" w:color="auto"/>
            </w:tcBorders>
          </w:tcPr>
          <w:p>
            <w:pPr>
              <w:pStyle w:val="TableParagraph"/>
              <w:spacing w:line="204" w:lineRule="exact"/>
              <w:ind w:left="200" w:right="0"/>
              <w:jc w:val="left"/>
              <w:rPr>
                <w:rFonts w:ascii="黑体" w:hAnsi="黑体" w:cs="黑体" w:eastAsia="黑体" w:hint="default"/>
                <w:sz w:val="20"/>
                <w:szCs w:val="20"/>
              </w:rPr>
            </w:pPr>
            <w:r>
              <w:rPr>
                <w:rFonts w:ascii="黑体" w:hAnsi="黑体" w:cs="黑体" w:eastAsia="黑体" w:hint="default"/>
                <w:sz w:val="20"/>
                <w:szCs w:val="20"/>
              </w:rPr>
              <w:t>任意盈余公积</w:t>
            </w:r>
          </w:p>
        </w:tc>
        <w:tc>
          <w:tcPr>
            <w:tcW w:w="264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sz w:val="20"/>
                <w:u w:val="single" w:color="000000"/>
              </w:rPr>
              <w:t>76,635,766</w:t>
            </w:r>
            <w:r>
              <w:rPr>
                <w:rFonts w:ascii="Arial"/>
                <w:spacing w:val="-1"/>
                <w:sz w:val="20"/>
              </w:rPr>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32"/>
              <w:jc w:val="right"/>
              <w:rPr>
                <w:rFonts w:ascii="Arial" w:hAnsi="Arial" w:cs="Arial" w:eastAsia="Arial" w:hint="default"/>
                <w:sz w:val="20"/>
                <w:szCs w:val="20"/>
              </w:rPr>
            </w:pPr>
            <w:r>
              <w:rPr>
                <w:rFonts w:ascii="Arial"/>
                <w:w w:val="99"/>
                <w:sz w:val="20"/>
              </w:rPr>
            </w:r>
            <w:r>
              <w:rPr>
                <w:rFonts w:ascii="Arial"/>
                <w:spacing w:val="-1"/>
                <w:sz w:val="20"/>
                <w:u w:val="single" w:color="000000"/>
              </w:rPr>
              <w:t>24,335,295</w:t>
            </w:r>
            <w:r>
              <w:rPr>
                <w:rFonts w:ascii="Arial"/>
                <w:spacing w:val="-1"/>
                <w:sz w:val="20"/>
              </w:rPr>
            </w:r>
            <w:r>
              <w:rPr>
                <w:rFonts w:ascii="Arial"/>
                <w:sz w:val="20"/>
              </w:rPr>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22"/>
              <w:jc w:val="right"/>
              <w:rPr>
                <w:rFonts w:ascii="Arial" w:hAnsi="Arial" w:cs="Arial" w:eastAsia="Arial" w:hint="default"/>
                <w:sz w:val="20"/>
                <w:szCs w:val="20"/>
              </w:rPr>
            </w:pPr>
            <w:r>
              <w:rPr>
                <w:rFonts w:ascii="Arial"/>
                <w:w w:val="99"/>
                <w:sz w:val="20"/>
              </w:rPr>
            </w:r>
            <w:r>
              <w:rPr>
                <w:rFonts w:ascii="Arial"/>
                <w:spacing w:val="-1"/>
                <w:sz w:val="20"/>
                <w:u w:val="single" w:color="000000"/>
              </w:rPr>
              <w:t>100,971,061</w:t>
            </w:r>
            <w:r>
              <w:rPr>
                <w:rFonts w:ascii="Arial"/>
                <w:spacing w:val="-1"/>
                <w:sz w:val="20"/>
              </w:rPr>
            </w:r>
            <w:r>
              <w:rPr>
                <w:rFonts w:ascii="Arial"/>
                <w:sz w:val="20"/>
              </w:rPr>
            </w:r>
          </w:p>
        </w:tc>
      </w:tr>
      <w:tr>
        <w:trPr>
          <w:trHeight w:val="340" w:hRule="exact"/>
        </w:trPr>
        <w:tc>
          <w:tcPr>
            <w:tcW w:w="2577" w:type="dxa"/>
            <w:tcBorders>
              <w:top w:val="nil" w:sz="6" w:space="0" w:color="auto"/>
              <w:left w:val="nil" w:sz="6" w:space="0" w:color="auto"/>
              <w:bottom w:val="nil" w:sz="6" w:space="0" w:color="auto"/>
              <w:right w:val="nil" w:sz="6" w:space="0" w:color="auto"/>
            </w:tcBorders>
          </w:tcPr>
          <w:p>
            <w:pPr/>
          </w:p>
        </w:tc>
        <w:tc>
          <w:tcPr>
            <w:tcW w:w="264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369"/>
              <w:jc w:val="right"/>
              <w:rPr>
                <w:rFonts w:ascii="Arial" w:hAnsi="Arial" w:cs="Arial" w:eastAsia="Arial" w:hint="default"/>
                <w:sz w:val="20"/>
                <w:szCs w:val="20"/>
              </w:rPr>
            </w:pPr>
            <w:r>
              <w:rPr>
                <w:rFonts w:ascii="Arial"/>
                <w:w w:val="99"/>
                <w:sz w:val="20"/>
              </w:rPr>
            </w:r>
            <w:r>
              <w:rPr>
                <w:rFonts w:ascii="Arial"/>
                <w:spacing w:val="-1"/>
                <w:sz w:val="20"/>
                <w:u w:val="thick" w:color="000000"/>
              </w:rPr>
              <w:t>318,392,116</w:t>
            </w:r>
            <w:r>
              <w:rPr>
                <w:rFonts w:ascii="Arial"/>
                <w:spacing w:val="-1"/>
                <w:sz w:val="20"/>
              </w:rPr>
            </w:r>
            <w:r>
              <w:rPr>
                <w:rFonts w:ascii="Arial"/>
                <w:sz w:val="20"/>
              </w:rPr>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27"/>
              <w:jc w:val="right"/>
              <w:rPr>
                <w:rFonts w:ascii="Arial" w:hAnsi="Arial" w:cs="Arial" w:eastAsia="Arial" w:hint="default"/>
                <w:sz w:val="20"/>
                <w:szCs w:val="20"/>
              </w:rPr>
            </w:pPr>
            <w:r>
              <w:rPr>
                <w:rFonts w:ascii="Arial"/>
                <w:w w:val="99"/>
                <w:sz w:val="20"/>
              </w:rPr>
            </w:r>
            <w:r>
              <w:rPr>
                <w:rFonts w:ascii="Arial"/>
                <w:spacing w:val="-1"/>
                <w:sz w:val="20"/>
                <w:u w:val="thick" w:color="000000"/>
              </w:rPr>
              <w:t>73,005,886</w:t>
            </w:r>
            <w:r>
              <w:rPr>
                <w:rFonts w:ascii="Arial"/>
                <w:spacing w:val="-1"/>
                <w:sz w:val="20"/>
              </w:rPr>
            </w:r>
            <w:r>
              <w:rPr>
                <w:rFonts w:ascii="Arial"/>
                <w:sz w:val="20"/>
              </w:rPr>
            </w:r>
          </w:p>
        </w:tc>
        <w:tc>
          <w:tcPr>
            <w:tcW w:w="156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22"/>
              <w:jc w:val="right"/>
              <w:rPr>
                <w:rFonts w:ascii="Arial" w:hAnsi="Arial" w:cs="Arial" w:eastAsia="Arial" w:hint="default"/>
                <w:sz w:val="20"/>
                <w:szCs w:val="20"/>
              </w:rPr>
            </w:pPr>
            <w:r>
              <w:rPr>
                <w:rFonts w:ascii="Arial"/>
                <w:w w:val="99"/>
                <w:sz w:val="20"/>
              </w:rPr>
            </w:r>
            <w:r>
              <w:rPr>
                <w:rFonts w:ascii="Arial"/>
                <w:spacing w:val="-1"/>
                <w:sz w:val="20"/>
                <w:u w:val="thick" w:color="000000"/>
              </w:rPr>
              <w:t>391,398,002</w:t>
            </w:r>
            <w:r>
              <w:rPr>
                <w:rFonts w:ascii="Arial"/>
                <w:spacing w:val="-1"/>
                <w:sz w:val="20"/>
              </w:rPr>
            </w:r>
            <w:r>
              <w:rPr>
                <w:rFonts w:ascii="Arial"/>
                <w:sz w:val="20"/>
              </w:rPr>
            </w:r>
          </w:p>
        </w:tc>
      </w:tr>
    </w:tbl>
    <w:p>
      <w:pPr>
        <w:spacing w:line="240" w:lineRule="auto" w:before="1"/>
        <w:rPr>
          <w:rFonts w:ascii="黑体" w:hAnsi="黑体" w:cs="黑体" w:eastAsia="黑体" w:hint="default"/>
          <w:b/>
          <w:bCs/>
          <w:sz w:val="13"/>
          <w:szCs w:val="13"/>
        </w:rPr>
      </w:pPr>
    </w:p>
    <w:p>
      <w:pPr>
        <w:pStyle w:val="BodyText"/>
        <w:tabs>
          <w:tab w:pos="1519" w:val="left" w:leader="none"/>
        </w:tabs>
        <w:spacing w:line="240" w:lineRule="auto" w:before="37"/>
        <w:ind w:left="802" w:right="0"/>
        <w:jc w:val="left"/>
      </w:pPr>
      <w:r>
        <w:rPr/>
        <w:t>注</w:t>
      </w:r>
      <w:r>
        <w:rPr>
          <w:spacing w:val="-53"/>
        </w:rPr>
        <w:t> </w:t>
      </w:r>
      <w:r>
        <w:rPr>
          <w:rFonts w:ascii="Arial" w:hAnsi="Arial" w:cs="Arial" w:eastAsia="Arial" w:hint="default"/>
        </w:rPr>
        <w:t>1.</w:t>
        <w:tab/>
      </w:r>
      <w:r>
        <w:rPr/>
        <w:t>参见附注五、</w:t>
      </w:r>
      <w:r>
        <w:rPr>
          <w:rFonts w:ascii="Arial" w:hAnsi="Arial" w:cs="Arial" w:eastAsia="Arial" w:hint="default"/>
        </w:rPr>
        <w:t>33</w:t>
      </w:r>
      <w:r>
        <w:rPr/>
        <w:t>。</w:t>
      </w:r>
    </w:p>
    <w:p>
      <w:pPr>
        <w:spacing w:after="0" w:line="240" w:lineRule="auto"/>
        <w:jc w:val="left"/>
        <w:sectPr>
          <w:pgSz w:w="11910" w:h="16850"/>
          <w:pgMar w:header="957" w:footer="473" w:top="2600" w:bottom="660" w:left="1600" w:right="1200"/>
        </w:sectPr>
      </w:pPr>
    </w:p>
    <w:p>
      <w:pPr>
        <w:spacing w:line="240" w:lineRule="auto" w:before="6"/>
        <w:rPr>
          <w:rFonts w:ascii="黑体" w:hAnsi="黑体" w:cs="黑体" w:eastAsia="黑体" w:hint="default"/>
          <w:sz w:val="14"/>
          <w:szCs w:val="14"/>
        </w:rPr>
      </w:pPr>
    </w:p>
    <w:p>
      <w:pPr>
        <w:pStyle w:val="Heading6"/>
        <w:spacing w:line="240" w:lineRule="auto"/>
        <w:ind w:right="3627"/>
        <w:jc w:val="left"/>
        <w:rPr>
          <w:b w:val="0"/>
          <w:bCs w:val="0"/>
        </w:rPr>
      </w:pPr>
      <w:r>
        <w:rPr/>
        <w:t>十三、公司财务报表主要项目注释（续）</w:t>
      </w:r>
      <w:r>
        <w:rPr>
          <w:b w:val="0"/>
          <w:bCs w:val="0"/>
        </w:rPr>
      </w:r>
    </w:p>
    <w:p>
      <w:pPr>
        <w:spacing w:line="240" w:lineRule="auto" w:before="0"/>
        <w:rPr>
          <w:rFonts w:ascii="黑体" w:hAnsi="黑体" w:cs="黑体" w:eastAsia="黑体" w:hint="default"/>
          <w:b/>
          <w:bCs/>
          <w:sz w:val="15"/>
          <w:szCs w:val="15"/>
        </w:rPr>
      </w:pPr>
    </w:p>
    <w:p>
      <w:pPr>
        <w:pStyle w:val="Heading6"/>
        <w:tabs>
          <w:tab w:pos="792" w:val="left" w:leader="none"/>
        </w:tabs>
        <w:spacing w:line="240" w:lineRule="auto" w:before="0"/>
        <w:ind w:left="113" w:right="3627"/>
        <w:jc w:val="left"/>
        <w:rPr>
          <w:b w:val="0"/>
          <w:bCs w:val="0"/>
        </w:rPr>
      </w:pPr>
      <w:r>
        <w:rPr>
          <w:rFonts w:ascii="Arial" w:hAnsi="Arial" w:cs="Arial" w:eastAsia="Arial" w:hint="default"/>
          <w:spacing w:val="-1"/>
          <w:w w:val="95"/>
        </w:rPr>
        <w:t>27.</w:t>
        <w:tab/>
      </w:r>
      <w:r>
        <w:rPr>
          <w:spacing w:val="2"/>
        </w:rPr>
        <w:t>未分配利润</w:t>
      </w:r>
      <w:r>
        <w:rPr>
          <w:b w:val="0"/>
          <w:bCs w:val="0"/>
        </w:rPr>
      </w:r>
    </w:p>
    <w:p>
      <w:pPr>
        <w:spacing w:line="240" w:lineRule="auto" w:before="1"/>
        <w:rPr>
          <w:rFonts w:ascii="黑体" w:hAnsi="黑体" w:cs="黑体" w:eastAsia="黑体" w:hint="default"/>
          <w:b/>
          <w:bCs/>
          <w:sz w:val="26"/>
          <w:szCs w:val="26"/>
        </w:rPr>
      </w:pPr>
    </w:p>
    <w:tbl>
      <w:tblPr>
        <w:tblW w:w="0" w:type="auto"/>
        <w:jc w:val="left"/>
        <w:tblInd w:w="602" w:type="dxa"/>
        <w:tblLayout w:type="fixed"/>
        <w:tblCellMar>
          <w:top w:w="0" w:type="dxa"/>
          <w:left w:w="0" w:type="dxa"/>
          <w:bottom w:w="0" w:type="dxa"/>
          <w:right w:w="0" w:type="dxa"/>
        </w:tblCellMar>
        <w:tblLook w:val="01E0"/>
      </w:tblPr>
      <w:tblGrid>
        <w:gridCol w:w="3640"/>
        <w:gridCol w:w="2313"/>
        <w:gridCol w:w="2219"/>
      </w:tblGrid>
      <w:tr>
        <w:trPr>
          <w:trHeight w:val="359" w:hRule="exact"/>
        </w:trPr>
        <w:tc>
          <w:tcPr>
            <w:tcW w:w="3640" w:type="dxa"/>
            <w:tcBorders>
              <w:top w:val="nil" w:sz="6" w:space="0" w:color="auto"/>
              <w:left w:val="nil" w:sz="6" w:space="0" w:color="auto"/>
              <w:bottom w:val="nil" w:sz="6" w:space="0" w:color="auto"/>
              <w:right w:val="nil" w:sz="6" w:space="0" w:color="auto"/>
            </w:tcBorders>
          </w:tcPr>
          <w:p>
            <w:pPr/>
          </w:p>
        </w:tc>
        <w:tc>
          <w:tcPr>
            <w:tcW w:w="2313" w:type="dxa"/>
            <w:tcBorders>
              <w:top w:val="nil" w:sz="6" w:space="0" w:color="auto"/>
              <w:left w:val="nil" w:sz="6" w:space="0" w:color="auto"/>
              <w:bottom w:val="nil" w:sz="6" w:space="0" w:color="auto"/>
              <w:right w:val="nil" w:sz="6" w:space="0" w:color="auto"/>
            </w:tcBorders>
          </w:tcPr>
          <w:p>
            <w:pPr>
              <w:pStyle w:val="TableParagraph"/>
              <w:spacing w:line="214" w:lineRule="exact"/>
              <w:ind w:right="909"/>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2219" w:type="dxa"/>
            <w:tcBorders>
              <w:top w:val="nil" w:sz="6" w:space="0" w:color="auto"/>
              <w:left w:val="nil" w:sz="6" w:space="0" w:color="auto"/>
              <w:bottom w:val="nil" w:sz="6" w:space="0" w:color="auto"/>
              <w:right w:val="nil" w:sz="6" w:space="0" w:color="auto"/>
            </w:tcBorders>
          </w:tcPr>
          <w:p>
            <w:pPr>
              <w:pStyle w:val="TableParagraph"/>
              <w:spacing w:line="214" w:lineRule="exact"/>
              <w:ind w:right="198"/>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r>
      <w:tr>
        <w:trPr>
          <w:trHeight w:val="382" w:hRule="exact"/>
        </w:trPr>
        <w:tc>
          <w:tcPr>
            <w:tcW w:w="364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0" w:right="0"/>
              <w:jc w:val="left"/>
              <w:rPr>
                <w:rFonts w:ascii="黑体" w:hAnsi="黑体" w:cs="黑体" w:eastAsia="黑体" w:hint="default"/>
                <w:sz w:val="20"/>
                <w:szCs w:val="20"/>
              </w:rPr>
            </w:pPr>
            <w:r>
              <w:rPr>
                <w:rFonts w:ascii="黑体" w:hAnsi="黑体" w:cs="黑体" w:eastAsia="黑体" w:hint="default"/>
                <w:sz w:val="20"/>
                <w:szCs w:val="20"/>
              </w:rPr>
              <w:t>上年年末未分配利润</w:t>
            </w:r>
          </w:p>
        </w:tc>
        <w:tc>
          <w:tcPr>
            <w:tcW w:w="2313"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910"/>
              <w:jc w:val="right"/>
              <w:rPr>
                <w:rFonts w:ascii="Arial" w:hAnsi="Arial" w:cs="Arial" w:eastAsia="Arial" w:hint="default"/>
                <w:sz w:val="20"/>
                <w:szCs w:val="20"/>
              </w:rPr>
            </w:pPr>
            <w:r>
              <w:rPr>
                <w:rFonts w:ascii="Arial"/>
                <w:spacing w:val="-1"/>
                <w:sz w:val="20"/>
              </w:rPr>
              <w:t>934,605,979</w:t>
            </w:r>
            <w:r>
              <w:rPr>
                <w:rFonts w:ascii="Arial"/>
                <w:sz w:val="20"/>
              </w:rPr>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98"/>
              <w:jc w:val="right"/>
              <w:rPr>
                <w:rFonts w:ascii="Arial" w:hAnsi="Arial" w:cs="Arial" w:eastAsia="Arial" w:hint="default"/>
                <w:sz w:val="20"/>
                <w:szCs w:val="20"/>
              </w:rPr>
            </w:pPr>
            <w:r>
              <w:rPr>
                <w:rFonts w:ascii="Arial"/>
                <w:spacing w:val="-1"/>
                <w:sz w:val="20"/>
              </w:rPr>
              <w:t>700,432,740</w:t>
            </w:r>
            <w:r>
              <w:rPr>
                <w:rFonts w:ascii="Arial"/>
                <w:sz w:val="20"/>
              </w:rPr>
            </w:r>
          </w:p>
        </w:tc>
      </w:tr>
      <w:tr>
        <w:trPr>
          <w:trHeight w:val="256" w:hRule="exact"/>
        </w:trPr>
        <w:tc>
          <w:tcPr>
            <w:tcW w:w="3640"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z w:val="20"/>
                <w:szCs w:val="20"/>
              </w:rPr>
              <w:t>净利润</w:t>
            </w:r>
          </w:p>
        </w:tc>
        <w:tc>
          <w:tcPr>
            <w:tcW w:w="231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10"/>
              <w:jc w:val="right"/>
              <w:rPr>
                <w:rFonts w:ascii="Arial" w:hAnsi="Arial" w:cs="Arial" w:eastAsia="Arial" w:hint="default"/>
                <w:sz w:val="20"/>
                <w:szCs w:val="20"/>
              </w:rPr>
            </w:pPr>
            <w:r>
              <w:rPr>
                <w:rFonts w:ascii="Arial"/>
                <w:spacing w:val="-1"/>
                <w:sz w:val="20"/>
              </w:rPr>
              <w:t>426,571,801</w:t>
            </w:r>
            <w:r>
              <w:rPr>
                <w:rFonts w:ascii="Arial"/>
                <w:sz w:val="20"/>
              </w:rPr>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8"/>
              <w:jc w:val="right"/>
              <w:rPr>
                <w:rFonts w:ascii="Arial" w:hAnsi="Arial" w:cs="Arial" w:eastAsia="Arial" w:hint="default"/>
                <w:sz w:val="20"/>
                <w:szCs w:val="20"/>
              </w:rPr>
            </w:pPr>
            <w:r>
              <w:rPr>
                <w:rFonts w:ascii="Arial"/>
                <w:spacing w:val="-1"/>
                <w:sz w:val="20"/>
              </w:rPr>
              <w:t>486,705,905</w:t>
            </w:r>
            <w:r>
              <w:rPr>
                <w:rFonts w:ascii="Arial"/>
                <w:sz w:val="20"/>
              </w:rPr>
            </w:r>
          </w:p>
        </w:tc>
      </w:tr>
      <w:tr>
        <w:trPr>
          <w:trHeight w:val="256" w:hRule="exact"/>
        </w:trPr>
        <w:tc>
          <w:tcPr>
            <w:tcW w:w="3640" w:type="dxa"/>
            <w:tcBorders>
              <w:top w:val="nil" w:sz="6" w:space="0" w:color="auto"/>
              <w:left w:val="nil" w:sz="6" w:space="0" w:color="auto"/>
              <w:bottom w:val="nil" w:sz="6" w:space="0" w:color="auto"/>
              <w:right w:val="nil" w:sz="6" w:space="0" w:color="auto"/>
            </w:tcBorders>
          </w:tcPr>
          <w:p>
            <w:pPr>
              <w:pStyle w:val="TableParagraph"/>
              <w:spacing w:line="223" w:lineRule="exact"/>
              <w:ind w:left="200" w:right="0"/>
              <w:jc w:val="left"/>
              <w:rPr>
                <w:rFonts w:ascii="黑体" w:hAnsi="黑体" w:cs="黑体" w:eastAsia="黑体" w:hint="default"/>
                <w:sz w:val="20"/>
                <w:szCs w:val="20"/>
              </w:rPr>
            </w:pPr>
            <w:r>
              <w:rPr>
                <w:rFonts w:ascii="黑体" w:hAnsi="黑体" w:cs="黑体" w:eastAsia="黑体" w:hint="default"/>
                <w:sz w:val="20"/>
                <w:szCs w:val="20"/>
              </w:rPr>
              <w:t>减：提取法定盈余公积</w:t>
            </w:r>
          </w:p>
        </w:tc>
        <w:tc>
          <w:tcPr>
            <w:tcW w:w="231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10"/>
              <w:jc w:val="right"/>
              <w:rPr>
                <w:rFonts w:ascii="Arial" w:hAnsi="Arial" w:cs="Arial" w:eastAsia="Arial" w:hint="default"/>
                <w:sz w:val="20"/>
                <w:szCs w:val="20"/>
              </w:rPr>
            </w:pPr>
            <w:r>
              <w:rPr>
                <w:rFonts w:ascii="Arial"/>
                <w:spacing w:val="-1"/>
                <w:sz w:val="20"/>
              </w:rPr>
              <w:t>42,657,180</w:t>
            </w:r>
            <w:r>
              <w:rPr>
                <w:rFonts w:ascii="Arial"/>
                <w:sz w:val="20"/>
              </w:rPr>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spacing w:val="-1"/>
                <w:sz w:val="20"/>
              </w:rPr>
              <w:t>48,670,591</w:t>
            </w:r>
            <w:r>
              <w:rPr>
                <w:rFonts w:ascii="Arial"/>
                <w:sz w:val="20"/>
              </w:rPr>
            </w:r>
          </w:p>
        </w:tc>
      </w:tr>
      <w:tr>
        <w:trPr>
          <w:trHeight w:val="254" w:hRule="exact"/>
        </w:trPr>
        <w:tc>
          <w:tcPr>
            <w:tcW w:w="3640" w:type="dxa"/>
            <w:tcBorders>
              <w:top w:val="nil" w:sz="6" w:space="0" w:color="auto"/>
              <w:left w:val="nil" w:sz="6" w:space="0" w:color="auto"/>
              <w:bottom w:val="nil" w:sz="6" w:space="0" w:color="auto"/>
              <w:right w:val="nil" w:sz="6" w:space="0" w:color="auto"/>
            </w:tcBorders>
          </w:tcPr>
          <w:p>
            <w:pPr>
              <w:pStyle w:val="TableParagraph"/>
              <w:spacing w:line="222" w:lineRule="exact"/>
              <w:ind w:left="595" w:right="0"/>
              <w:jc w:val="left"/>
              <w:rPr>
                <w:rFonts w:ascii="黑体" w:hAnsi="黑体" w:cs="黑体" w:eastAsia="黑体" w:hint="default"/>
                <w:sz w:val="20"/>
                <w:szCs w:val="20"/>
              </w:rPr>
            </w:pPr>
            <w:r>
              <w:rPr>
                <w:rFonts w:ascii="黑体" w:hAnsi="黑体" w:cs="黑体" w:eastAsia="黑体" w:hint="default"/>
                <w:sz w:val="20"/>
                <w:szCs w:val="20"/>
              </w:rPr>
              <w:t>提取任意盈余公积</w:t>
            </w:r>
          </w:p>
        </w:tc>
        <w:tc>
          <w:tcPr>
            <w:tcW w:w="231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07"/>
              <w:jc w:val="right"/>
              <w:rPr>
                <w:rFonts w:ascii="Arial" w:hAnsi="Arial" w:cs="Arial" w:eastAsia="Arial" w:hint="default"/>
                <w:sz w:val="20"/>
                <w:szCs w:val="20"/>
              </w:rPr>
            </w:pPr>
            <w:r>
              <w:rPr>
                <w:rFonts w:ascii="Arial"/>
                <w:spacing w:val="-1"/>
                <w:sz w:val="20"/>
              </w:rPr>
              <w:t>21,328,590</w:t>
            </w:r>
            <w:r>
              <w:rPr>
                <w:rFonts w:ascii="Arial"/>
                <w:sz w:val="20"/>
              </w:rPr>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8"/>
              <w:jc w:val="right"/>
              <w:rPr>
                <w:rFonts w:ascii="Arial" w:hAnsi="Arial" w:cs="Arial" w:eastAsia="Arial" w:hint="default"/>
                <w:sz w:val="20"/>
                <w:szCs w:val="20"/>
              </w:rPr>
            </w:pPr>
            <w:r>
              <w:rPr>
                <w:rFonts w:ascii="Arial"/>
                <w:spacing w:val="-1"/>
                <w:sz w:val="20"/>
              </w:rPr>
              <w:t>24,335,295</w:t>
            </w:r>
            <w:r>
              <w:rPr>
                <w:rFonts w:ascii="Arial"/>
                <w:sz w:val="20"/>
              </w:rPr>
            </w:r>
          </w:p>
        </w:tc>
      </w:tr>
      <w:tr>
        <w:trPr>
          <w:trHeight w:val="383" w:hRule="exact"/>
        </w:trPr>
        <w:tc>
          <w:tcPr>
            <w:tcW w:w="3640" w:type="dxa"/>
            <w:tcBorders>
              <w:top w:val="nil" w:sz="6" w:space="0" w:color="auto"/>
              <w:left w:val="nil" w:sz="6" w:space="0" w:color="auto"/>
              <w:bottom w:val="nil" w:sz="6" w:space="0" w:color="auto"/>
              <w:right w:val="nil" w:sz="6" w:space="0" w:color="auto"/>
            </w:tcBorders>
          </w:tcPr>
          <w:p>
            <w:pPr>
              <w:pStyle w:val="TableParagraph"/>
              <w:spacing w:line="236" w:lineRule="exact"/>
              <w:ind w:left="595" w:right="0"/>
              <w:jc w:val="left"/>
              <w:rPr>
                <w:rFonts w:ascii="Arial" w:hAnsi="Arial" w:cs="Arial" w:eastAsia="Arial" w:hint="default"/>
                <w:sz w:val="20"/>
                <w:szCs w:val="20"/>
              </w:rPr>
            </w:pPr>
            <w:r>
              <w:rPr>
                <w:rFonts w:ascii="黑体" w:hAnsi="黑体" w:cs="黑体" w:eastAsia="黑体" w:hint="default"/>
                <w:sz w:val="20"/>
                <w:szCs w:val="20"/>
              </w:rPr>
              <w:t>已派发之现金股利</w:t>
            </w:r>
            <w:r>
              <w:rPr>
                <w:rFonts w:ascii="Arial" w:hAnsi="Arial" w:cs="Arial" w:eastAsia="Arial" w:hint="default"/>
                <w:sz w:val="20"/>
                <w:szCs w:val="20"/>
              </w:rPr>
              <w:t>(</w:t>
            </w:r>
            <w:r>
              <w:rPr>
                <w:rFonts w:ascii="黑体" w:hAnsi="黑体" w:cs="黑体" w:eastAsia="黑体" w:hint="default"/>
                <w:sz w:val="20"/>
                <w:szCs w:val="20"/>
              </w:rPr>
              <w:t>附注五、</w:t>
            </w:r>
            <w:r>
              <w:rPr>
                <w:rFonts w:ascii="Arial" w:hAnsi="Arial" w:cs="Arial" w:eastAsia="Arial" w:hint="default"/>
                <w:sz w:val="20"/>
                <w:szCs w:val="20"/>
              </w:rPr>
              <w:t>34)</w:t>
            </w:r>
          </w:p>
        </w:tc>
        <w:tc>
          <w:tcPr>
            <w:tcW w:w="231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10"/>
              <w:jc w:val="right"/>
              <w:rPr>
                <w:rFonts w:ascii="Arial" w:hAnsi="Arial" w:cs="Arial" w:eastAsia="Arial" w:hint="default"/>
                <w:sz w:val="20"/>
                <w:szCs w:val="20"/>
              </w:rPr>
            </w:pPr>
            <w:r>
              <w:rPr>
                <w:rFonts w:ascii="Arial"/>
                <w:w w:val="99"/>
                <w:sz w:val="20"/>
              </w:rPr>
            </w:r>
            <w:r>
              <w:rPr>
                <w:rFonts w:ascii="Arial"/>
                <w:spacing w:val="-1"/>
                <w:sz w:val="20"/>
                <w:u w:val="single" w:color="000000"/>
              </w:rPr>
              <w:t>326,361,347</w:t>
            </w:r>
            <w:r>
              <w:rPr>
                <w:rFonts w:ascii="Arial"/>
                <w:spacing w:val="-1"/>
                <w:sz w:val="20"/>
              </w:rPr>
            </w:r>
            <w:r>
              <w:rPr>
                <w:rFonts w:ascii="Arial"/>
                <w:sz w:val="20"/>
              </w:rPr>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8"/>
              <w:jc w:val="right"/>
              <w:rPr>
                <w:rFonts w:ascii="Arial" w:hAnsi="Arial" w:cs="Arial" w:eastAsia="Arial" w:hint="default"/>
                <w:sz w:val="20"/>
                <w:szCs w:val="20"/>
              </w:rPr>
            </w:pPr>
            <w:r>
              <w:rPr>
                <w:rFonts w:ascii="Arial"/>
                <w:w w:val="99"/>
                <w:sz w:val="20"/>
              </w:rPr>
            </w:r>
            <w:r>
              <w:rPr>
                <w:rFonts w:ascii="Arial"/>
                <w:spacing w:val="-1"/>
                <w:sz w:val="20"/>
                <w:u w:val="single" w:color="000000"/>
              </w:rPr>
              <w:t>179,526,780</w:t>
            </w:r>
            <w:r>
              <w:rPr>
                <w:rFonts w:ascii="Arial"/>
                <w:spacing w:val="-1"/>
                <w:sz w:val="20"/>
              </w:rPr>
            </w:r>
            <w:r>
              <w:rPr>
                <w:rFonts w:ascii="Arial"/>
                <w:sz w:val="20"/>
              </w:rPr>
            </w:r>
          </w:p>
        </w:tc>
      </w:tr>
      <w:tr>
        <w:trPr>
          <w:trHeight w:val="360" w:hRule="exact"/>
        </w:trPr>
        <w:tc>
          <w:tcPr>
            <w:tcW w:w="364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00" w:right="0"/>
              <w:jc w:val="left"/>
              <w:rPr>
                <w:rFonts w:ascii="黑体" w:hAnsi="黑体" w:cs="黑体" w:eastAsia="黑体" w:hint="default"/>
                <w:sz w:val="20"/>
                <w:szCs w:val="20"/>
              </w:rPr>
            </w:pPr>
            <w:r>
              <w:rPr>
                <w:rFonts w:ascii="黑体" w:hAnsi="黑体" w:cs="黑体" w:eastAsia="黑体" w:hint="default"/>
                <w:sz w:val="20"/>
                <w:szCs w:val="20"/>
              </w:rPr>
              <w:t>年末未分配利润</w:t>
            </w:r>
          </w:p>
        </w:tc>
        <w:tc>
          <w:tcPr>
            <w:tcW w:w="231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910"/>
              <w:jc w:val="right"/>
              <w:rPr>
                <w:rFonts w:ascii="Arial" w:hAnsi="Arial" w:cs="Arial" w:eastAsia="Arial" w:hint="default"/>
                <w:sz w:val="20"/>
                <w:szCs w:val="20"/>
              </w:rPr>
            </w:pPr>
            <w:r>
              <w:rPr>
                <w:rFonts w:ascii="Arial"/>
                <w:w w:val="99"/>
                <w:sz w:val="20"/>
              </w:rPr>
            </w:r>
            <w:r>
              <w:rPr>
                <w:rFonts w:ascii="Arial"/>
                <w:spacing w:val="-1"/>
                <w:sz w:val="20"/>
                <w:u w:val="thick" w:color="000000"/>
              </w:rPr>
              <w:t>970,830,663</w:t>
            </w:r>
            <w:r>
              <w:rPr>
                <w:rFonts w:ascii="Arial"/>
                <w:spacing w:val="-1"/>
                <w:sz w:val="20"/>
              </w:rPr>
            </w:r>
            <w:r>
              <w:rPr>
                <w:rFonts w:ascii="Arial"/>
                <w:sz w:val="20"/>
              </w:rPr>
            </w:r>
          </w:p>
        </w:tc>
        <w:tc>
          <w:tcPr>
            <w:tcW w:w="2219"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934,605,979</w:t>
            </w:r>
            <w:r>
              <w:rPr>
                <w:rFonts w:ascii="Arial"/>
                <w:spacing w:val="-1"/>
                <w:sz w:val="20"/>
              </w:rPr>
            </w:r>
            <w:r>
              <w:rPr>
                <w:rFonts w:ascii="Arial"/>
                <w:sz w:val="20"/>
              </w:rPr>
            </w:r>
          </w:p>
        </w:tc>
      </w:tr>
    </w:tbl>
    <w:p>
      <w:pPr>
        <w:spacing w:line="240" w:lineRule="auto" w:before="1"/>
        <w:rPr>
          <w:rFonts w:ascii="黑体" w:hAnsi="黑体" w:cs="黑体" w:eastAsia="黑体" w:hint="default"/>
          <w:b/>
          <w:bCs/>
          <w:sz w:val="13"/>
          <w:szCs w:val="13"/>
        </w:rPr>
      </w:pPr>
    </w:p>
    <w:p>
      <w:pPr>
        <w:pStyle w:val="Heading6"/>
        <w:tabs>
          <w:tab w:pos="833" w:val="left" w:leader="none"/>
        </w:tabs>
        <w:spacing w:line="240" w:lineRule="auto"/>
        <w:ind w:left="154" w:right="3627"/>
        <w:jc w:val="left"/>
        <w:rPr>
          <w:b w:val="0"/>
          <w:bCs w:val="0"/>
        </w:rPr>
      </w:pPr>
      <w:r>
        <w:rPr>
          <w:rFonts w:ascii="Arial" w:hAnsi="Arial" w:cs="Arial" w:eastAsia="Arial" w:hint="default"/>
          <w:spacing w:val="-1"/>
          <w:w w:val="95"/>
        </w:rPr>
        <w:t>28.</w:t>
        <w:tab/>
      </w:r>
      <w:r>
        <w:rPr>
          <w:spacing w:val="1"/>
        </w:rPr>
        <w:t>营业收入及成本</w:t>
      </w:r>
      <w:r>
        <w:rPr>
          <w:b w:val="0"/>
          <w:bCs w:val="0"/>
        </w:rPr>
      </w:r>
    </w:p>
    <w:p>
      <w:pPr>
        <w:spacing w:line="240" w:lineRule="auto" w:before="5"/>
        <w:rPr>
          <w:rFonts w:ascii="黑体" w:hAnsi="黑体" w:cs="黑体" w:eastAsia="黑体" w:hint="default"/>
          <w:b/>
          <w:bCs/>
          <w:sz w:val="20"/>
          <w:szCs w:val="20"/>
        </w:rPr>
      </w:pPr>
    </w:p>
    <w:tbl>
      <w:tblPr>
        <w:tblW w:w="0" w:type="auto"/>
        <w:jc w:val="left"/>
        <w:tblInd w:w="590" w:type="dxa"/>
        <w:tblLayout w:type="fixed"/>
        <w:tblCellMar>
          <w:top w:w="0" w:type="dxa"/>
          <w:left w:w="0" w:type="dxa"/>
          <w:bottom w:w="0" w:type="dxa"/>
          <w:right w:w="0" w:type="dxa"/>
        </w:tblCellMar>
        <w:tblLook w:val="01E0"/>
      </w:tblPr>
      <w:tblGrid>
        <w:gridCol w:w="2571"/>
        <w:gridCol w:w="3302"/>
        <w:gridCol w:w="2329"/>
      </w:tblGrid>
      <w:tr>
        <w:trPr>
          <w:trHeight w:val="344" w:hRule="exact"/>
        </w:trPr>
        <w:tc>
          <w:tcPr>
            <w:tcW w:w="2571" w:type="dxa"/>
            <w:tcBorders>
              <w:top w:val="nil" w:sz="6" w:space="0" w:color="auto"/>
              <w:left w:val="nil" w:sz="6" w:space="0" w:color="auto"/>
              <w:bottom w:val="nil" w:sz="6" w:space="0" w:color="auto"/>
              <w:right w:val="nil" w:sz="6" w:space="0" w:color="auto"/>
            </w:tcBorders>
          </w:tcPr>
          <w:p>
            <w:pPr/>
          </w:p>
        </w:tc>
        <w:tc>
          <w:tcPr>
            <w:tcW w:w="3302" w:type="dxa"/>
            <w:tcBorders>
              <w:top w:val="nil" w:sz="6" w:space="0" w:color="auto"/>
              <w:left w:val="nil" w:sz="6" w:space="0" w:color="auto"/>
              <w:bottom w:val="nil" w:sz="6" w:space="0" w:color="auto"/>
              <w:right w:val="nil" w:sz="6" w:space="0" w:color="auto"/>
            </w:tcBorders>
          </w:tcPr>
          <w:p>
            <w:pPr>
              <w:pStyle w:val="TableParagraph"/>
              <w:spacing w:line="214" w:lineRule="exact"/>
              <w:ind w:right="845"/>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2329" w:type="dxa"/>
            <w:tcBorders>
              <w:top w:val="nil" w:sz="6" w:space="0" w:color="auto"/>
              <w:left w:val="nil" w:sz="6" w:space="0" w:color="auto"/>
              <w:bottom w:val="nil" w:sz="6" w:space="0" w:color="auto"/>
              <w:right w:val="nil" w:sz="6" w:space="0" w:color="auto"/>
            </w:tcBorders>
          </w:tcPr>
          <w:p>
            <w:pPr>
              <w:pStyle w:val="TableParagraph"/>
              <w:spacing w:line="214" w:lineRule="exact"/>
              <w:ind w:right="198"/>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r>
      <w:tr>
        <w:trPr>
          <w:trHeight w:val="371" w:hRule="exact"/>
        </w:trPr>
        <w:tc>
          <w:tcPr>
            <w:tcW w:w="257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200" w:right="0"/>
              <w:jc w:val="left"/>
              <w:rPr>
                <w:rFonts w:ascii="黑体" w:hAnsi="黑体" w:cs="黑体" w:eastAsia="黑体" w:hint="default"/>
                <w:sz w:val="20"/>
                <w:szCs w:val="20"/>
              </w:rPr>
            </w:pPr>
            <w:r>
              <w:rPr>
                <w:rFonts w:ascii="黑体" w:hAnsi="黑体" w:cs="黑体" w:eastAsia="黑体" w:hint="default"/>
                <w:sz w:val="20"/>
                <w:szCs w:val="20"/>
              </w:rPr>
              <w:t>主营业务收入</w:t>
            </w:r>
          </w:p>
        </w:tc>
        <w:tc>
          <w:tcPr>
            <w:tcW w:w="3302"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850"/>
              <w:jc w:val="right"/>
              <w:rPr>
                <w:rFonts w:ascii="Arial" w:hAnsi="Arial" w:cs="Arial" w:eastAsia="Arial" w:hint="default"/>
                <w:sz w:val="20"/>
                <w:szCs w:val="20"/>
              </w:rPr>
            </w:pPr>
            <w:r>
              <w:rPr>
                <w:rFonts w:ascii="Arial"/>
                <w:spacing w:val="-1"/>
                <w:sz w:val="20"/>
              </w:rPr>
              <w:t>2,433,774,928</w:t>
            </w:r>
            <w:r>
              <w:rPr>
                <w:rFonts w:ascii="Arial"/>
                <w:sz w:val="20"/>
              </w:rPr>
            </w:r>
          </w:p>
        </w:tc>
        <w:tc>
          <w:tcPr>
            <w:tcW w:w="2329"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03"/>
              <w:jc w:val="right"/>
              <w:rPr>
                <w:rFonts w:ascii="Arial" w:hAnsi="Arial" w:cs="Arial" w:eastAsia="Arial" w:hint="default"/>
                <w:sz w:val="20"/>
                <w:szCs w:val="20"/>
              </w:rPr>
            </w:pPr>
            <w:r>
              <w:rPr>
                <w:rFonts w:ascii="Arial"/>
                <w:spacing w:val="-1"/>
                <w:sz w:val="20"/>
              </w:rPr>
              <w:t>2,451,643,826</w:t>
            </w:r>
            <w:r>
              <w:rPr>
                <w:rFonts w:ascii="Arial"/>
                <w:sz w:val="20"/>
              </w:rPr>
            </w:r>
          </w:p>
        </w:tc>
      </w:tr>
      <w:tr>
        <w:trPr>
          <w:trHeight w:val="376" w:hRule="exact"/>
        </w:trPr>
        <w:tc>
          <w:tcPr>
            <w:tcW w:w="2571" w:type="dxa"/>
            <w:tcBorders>
              <w:top w:val="nil" w:sz="6" w:space="0" w:color="auto"/>
              <w:left w:val="nil" w:sz="6" w:space="0" w:color="auto"/>
              <w:bottom w:val="nil" w:sz="6" w:space="0" w:color="auto"/>
              <w:right w:val="nil" w:sz="6" w:space="0" w:color="auto"/>
            </w:tcBorders>
          </w:tcPr>
          <w:p>
            <w:pPr>
              <w:pStyle w:val="TableParagraph"/>
              <w:spacing w:line="204" w:lineRule="exact"/>
              <w:ind w:left="200" w:right="0"/>
              <w:jc w:val="left"/>
              <w:rPr>
                <w:rFonts w:ascii="黑体" w:hAnsi="黑体" w:cs="黑体" w:eastAsia="黑体" w:hint="default"/>
                <w:sz w:val="20"/>
                <w:szCs w:val="20"/>
              </w:rPr>
            </w:pPr>
            <w:r>
              <w:rPr>
                <w:rFonts w:ascii="黑体" w:hAnsi="黑体" w:cs="黑体" w:eastAsia="黑体" w:hint="default"/>
                <w:sz w:val="20"/>
                <w:szCs w:val="20"/>
              </w:rPr>
              <w:t>其他业务收入</w:t>
            </w:r>
          </w:p>
        </w:tc>
        <w:tc>
          <w:tcPr>
            <w:tcW w:w="3302"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0"/>
              <w:ind w:right="850"/>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40,875,946</w:t>
            </w:r>
            <w:r>
              <w:rPr>
                <w:rFonts w:ascii="Arial"/>
                <w:spacing w:val="-1"/>
                <w:w w:val="95"/>
                <w:sz w:val="20"/>
              </w:rPr>
            </w:r>
            <w:r>
              <w:rPr>
                <w:rFonts w:ascii="Arial"/>
                <w:sz w:val="20"/>
              </w:rPr>
            </w:r>
          </w:p>
        </w:tc>
        <w:tc>
          <w:tcPr>
            <w:tcW w:w="2329"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0"/>
              <w:ind w:right="203"/>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28,552,284</w:t>
            </w:r>
            <w:r>
              <w:rPr>
                <w:rFonts w:ascii="Arial"/>
                <w:spacing w:val="-1"/>
                <w:w w:val="95"/>
                <w:sz w:val="20"/>
              </w:rPr>
            </w:r>
            <w:r>
              <w:rPr>
                <w:rFonts w:ascii="Arial"/>
                <w:sz w:val="20"/>
              </w:rPr>
            </w:r>
          </w:p>
        </w:tc>
      </w:tr>
      <w:tr>
        <w:trPr>
          <w:trHeight w:val="340" w:hRule="exact"/>
        </w:trPr>
        <w:tc>
          <w:tcPr>
            <w:tcW w:w="2571" w:type="dxa"/>
            <w:tcBorders>
              <w:top w:val="nil" w:sz="6" w:space="0" w:color="auto"/>
              <w:left w:val="nil" w:sz="6" w:space="0" w:color="auto"/>
              <w:bottom w:val="nil" w:sz="6" w:space="0" w:color="auto"/>
              <w:right w:val="nil" w:sz="6" w:space="0" w:color="auto"/>
            </w:tcBorders>
          </w:tcPr>
          <w:p>
            <w:pPr/>
          </w:p>
        </w:tc>
        <w:tc>
          <w:tcPr>
            <w:tcW w:w="3302"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850"/>
              <w:jc w:val="right"/>
              <w:rPr>
                <w:rFonts w:ascii="Arial" w:hAnsi="Arial" w:cs="Arial" w:eastAsia="Arial" w:hint="default"/>
                <w:sz w:val="20"/>
                <w:szCs w:val="20"/>
              </w:rPr>
            </w:pPr>
            <w:r>
              <w:rPr>
                <w:rFonts w:ascii="Arial"/>
                <w:w w:val="99"/>
                <w:sz w:val="20"/>
              </w:rPr>
            </w:r>
            <w:r>
              <w:rPr>
                <w:rFonts w:ascii="Arial"/>
                <w:spacing w:val="-1"/>
                <w:sz w:val="20"/>
                <w:u w:val="thick" w:color="000000"/>
              </w:rPr>
              <w:t>2,474,650,874</w:t>
            </w:r>
            <w:r>
              <w:rPr>
                <w:rFonts w:ascii="Arial"/>
                <w:spacing w:val="-1"/>
                <w:sz w:val="20"/>
              </w:rPr>
            </w:r>
            <w:r>
              <w:rPr>
                <w:rFonts w:ascii="Arial"/>
                <w:sz w:val="20"/>
              </w:rPr>
            </w:r>
          </w:p>
        </w:tc>
        <w:tc>
          <w:tcPr>
            <w:tcW w:w="2329"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203"/>
              <w:jc w:val="right"/>
              <w:rPr>
                <w:rFonts w:ascii="Arial" w:hAnsi="Arial" w:cs="Arial" w:eastAsia="Arial" w:hint="default"/>
                <w:sz w:val="20"/>
                <w:szCs w:val="20"/>
              </w:rPr>
            </w:pPr>
            <w:r>
              <w:rPr>
                <w:rFonts w:ascii="Arial"/>
                <w:w w:val="99"/>
                <w:sz w:val="20"/>
              </w:rPr>
            </w:r>
            <w:r>
              <w:rPr>
                <w:rFonts w:ascii="Arial"/>
                <w:spacing w:val="-1"/>
                <w:sz w:val="20"/>
                <w:u w:val="thick" w:color="000000"/>
              </w:rPr>
              <w:t>2,480,196,110</w:t>
            </w:r>
            <w:r>
              <w:rPr>
                <w:rFonts w:ascii="Arial"/>
                <w:spacing w:val="-1"/>
                <w:sz w:val="20"/>
              </w:rPr>
            </w:r>
            <w:r>
              <w:rPr>
                <w:rFonts w:ascii="Arial"/>
                <w:sz w:val="20"/>
              </w:rPr>
            </w:r>
          </w:p>
        </w:tc>
      </w:tr>
    </w:tbl>
    <w:p>
      <w:pPr>
        <w:spacing w:line="240" w:lineRule="auto" w:before="2"/>
        <w:rPr>
          <w:rFonts w:ascii="黑体" w:hAnsi="黑体" w:cs="黑体" w:eastAsia="黑体" w:hint="default"/>
          <w:b/>
          <w:bCs/>
          <w:sz w:val="20"/>
          <w:szCs w:val="20"/>
        </w:rPr>
      </w:pPr>
    </w:p>
    <w:tbl>
      <w:tblPr>
        <w:tblW w:w="0" w:type="auto"/>
        <w:jc w:val="left"/>
        <w:tblInd w:w="590" w:type="dxa"/>
        <w:tblLayout w:type="fixed"/>
        <w:tblCellMar>
          <w:top w:w="0" w:type="dxa"/>
          <w:left w:w="0" w:type="dxa"/>
          <w:bottom w:w="0" w:type="dxa"/>
          <w:right w:w="0" w:type="dxa"/>
        </w:tblCellMar>
        <w:tblLook w:val="01E0"/>
      </w:tblPr>
      <w:tblGrid>
        <w:gridCol w:w="2655"/>
        <w:gridCol w:w="3304"/>
        <w:gridCol w:w="2244"/>
      </w:tblGrid>
      <w:tr>
        <w:trPr>
          <w:trHeight w:val="359" w:hRule="exact"/>
        </w:trPr>
        <w:tc>
          <w:tcPr>
            <w:tcW w:w="2655" w:type="dxa"/>
            <w:tcBorders>
              <w:top w:val="nil" w:sz="6" w:space="0" w:color="auto"/>
              <w:left w:val="nil" w:sz="6" w:space="0" w:color="auto"/>
              <w:bottom w:val="nil" w:sz="6" w:space="0" w:color="auto"/>
              <w:right w:val="nil" w:sz="6" w:space="0" w:color="auto"/>
            </w:tcBorders>
          </w:tcPr>
          <w:p>
            <w:pPr/>
          </w:p>
        </w:tc>
        <w:tc>
          <w:tcPr>
            <w:tcW w:w="3304" w:type="dxa"/>
            <w:tcBorders>
              <w:top w:val="nil" w:sz="6" w:space="0" w:color="auto"/>
              <w:left w:val="nil" w:sz="6" w:space="0" w:color="auto"/>
              <w:bottom w:val="nil" w:sz="6" w:space="0" w:color="auto"/>
              <w:right w:val="nil" w:sz="6" w:space="0" w:color="auto"/>
            </w:tcBorders>
          </w:tcPr>
          <w:p>
            <w:pPr>
              <w:pStyle w:val="TableParagraph"/>
              <w:spacing w:line="214" w:lineRule="exact"/>
              <w:ind w:right="929"/>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2244" w:type="dxa"/>
            <w:tcBorders>
              <w:top w:val="nil" w:sz="6" w:space="0" w:color="auto"/>
              <w:left w:val="nil" w:sz="6" w:space="0" w:color="auto"/>
              <w:bottom w:val="nil" w:sz="6" w:space="0" w:color="auto"/>
              <w:right w:val="nil" w:sz="6" w:space="0" w:color="auto"/>
            </w:tcBorders>
          </w:tcPr>
          <w:p>
            <w:pPr>
              <w:pStyle w:val="TableParagraph"/>
              <w:spacing w:line="214" w:lineRule="exact"/>
              <w:ind w:right="198"/>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r>
      <w:tr>
        <w:trPr>
          <w:trHeight w:val="394" w:hRule="exact"/>
        </w:trPr>
        <w:tc>
          <w:tcPr>
            <w:tcW w:w="2655"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0" w:right="0"/>
              <w:jc w:val="left"/>
              <w:rPr>
                <w:rFonts w:ascii="黑体" w:hAnsi="黑体" w:cs="黑体" w:eastAsia="黑体" w:hint="default"/>
                <w:sz w:val="20"/>
                <w:szCs w:val="20"/>
              </w:rPr>
            </w:pPr>
            <w:r>
              <w:rPr>
                <w:rFonts w:ascii="黑体" w:hAnsi="黑体" w:cs="黑体" w:eastAsia="黑体" w:hint="default"/>
                <w:sz w:val="20"/>
                <w:szCs w:val="20"/>
              </w:rPr>
              <w:t>主营业务成本</w:t>
            </w:r>
          </w:p>
        </w:tc>
        <w:tc>
          <w:tcPr>
            <w:tcW w:w="3304"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935"/>
              <w:jc w:val="right"/>
              <w:rPr>
                <w:rFonts w:ascii="Arial" w:hAnsi="Arial" w:cs="Arial" w:eastAsia="Arial" w:hint="default"/>
                <w:sz w:val="20"/>
                <w:szCs w:val="20"/>
              </w:rPr>
            </w:pPr>
            <w:r>
              <w:rPr>
                <w:rFonts w:ascii="Arial"/>
                <w:spacing w:val="-1"/>
                <w:sz w:val="20"/>
              </w:rPr>
              <w:t>320,124,970</w:t>
            </w:r>
            <w:r>
              <w:rPr>
                <w:rFonts w:ascii="Arial"/>
                <w:sz w:val="20"/>
              </w:rPr>
            </w:r>
          </w:p>
        </w:tc>
        <w:tc>
          <w:tcPr>
            <w:tcW w:w="2244"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203"/>
              <w:jc w:val="right"/>
              <w:rPr>
                <w:rFonts w:ascii="Arial" w:hAnsi="Arial" w:cs="Arial" w:eastAsia="Arial" w:hint="default"/>
                <w:sz w:val="20"/>
                <w:szCs w:val="20"/>
              </w:rPr>
            </w:pPr>
            <w:r>
              <w:rPr>
                <w:rFonts w:ascii="Arial"/>
                <w:spacing w:val="-1"/>
                <w:sz w:val="20"/>
              </w:rPr>
              <w:t>296,749,537</w:t>
            </w:r>
            <w:r>
              <w:rPr>
                <w:rFonts w:ascii="Arial"/>
                <w:sz w:val="20"/>
              </w:rPr>
            </w:r>
          </w:p>
        </w:tc>
      </w:tr>
      <w:tr>
        <w:trPr>
          <w:trHeight w:val="388" w:hRule="exact"/>
        </w:trPr>
        <w:tc>
          <w:tcPr>
            <w:tcW w:w="2655" w:type="dxa"/>
            <w:tcBorders>
              <w:top w:val="nil" w:sz="6" w:space="0" w:color="auto"/>
              <w:left w:val="nil" w:sz="6" w:space="0" w:color="auto"/>
              <w:bottom w:val="nil" w:sz="6" w:space="0" w:color="auto"/>
              <w:right w:val="nil" w:sz="6" w:space="0" w:color="auto"/>
            </w:tcBorders>
          </w:tcPr>
          <w:p>
            <w:pPr>
              <w:pStyle w:val="TableParagraph"/>
              <w:spacing w:line="212" w:lineRule="exact"/>
              <w:ind w:left="200" w:right="0"/>
              <w:jc w:val="left"/>
              <w:rPr>
                <w:rFonts w:ascii="黑体" w:hAnsi="黑体" w:cs="黑体" w:eastAsia="黑体" w:hint="default"/>
                <w:sz w:val="20"/>
                <w:szCs w:val="20"/>
              </w:rPr>
            </w:pPr>
            <w:r>
              <w:rPr>
                <w:rFonts w:ascii="黑体" w:hAnsi="黑体" w:cs="黑体" w:eastAsia="黑体" w:hint="default"/>
                <w:sz w:val="20"/>
                <w:szCs w:val="20"/>
              </w:rPr>
              <w:t>其他业务成本</w:t>
            </w:r>
          </w:p>
        </w:tc>
        <w:tc>
          <w:tcPr>
            <w:tcW w:w="3304" w:type="dxa"/>
            <w:tcBorders>
              <w:top w:val="nil" w:sz="6" w:space="0" w:color="auto"/>
              <w:left w:val="nil" w:sz="6" w:space="0" w:color="auto"/>
              <w:bottom w:val="nil" w:sz="6" w:space="0" w:color="auto"/>
              <w:right w:val="nil" w:sz="6" w:space="0" w:color="auto"/>
            </w:tcBorders>
          </w:tcPr>
          <w:p>
            <w:pPr>
              <w:pStyle w:val="TableParagraph"/>
              <w:tabs>
                <w:tab w:pos="403" w:val="left" w:leader="none"/>
              </w:tabs>
              <w:spacing w:line="240" w:lineRule="auto" w:before="18"/>
              <w:ind w:right="935"/>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1,212,221</w:t>
            </w:r>
            <w:r>
              <w:rPr>
                <w:rFonts w:ascii="Arial"/>
                <w:spacing w:val="-1"/>
                <w:w w:val="95"/>
                <w:sz w:val="20"/>
              </w:rPr>
            </w:r>
            <w:r>
              <w:rPr>
                <w:rFonts w:ascii="Arial"/>
                <w:sz w:val="20"/>
              </w:rPr>
            </w:r>
          </w:p>
        </w:tc>
        <w:tc>
          <w:tcPr>
            <w:tcW w:w="2244" w:type="dxa"/>
            <w:tcBorders>
              <w:top w:val="nil" w:sz="6" w:space="0" w:color="auto"/>
              <w:left w:val="nil" w:sz="6" w:space="0" w:color="auto"/>
              <w:bottom w:val="nil" w:sz="6" w:space="0" w:color="auto"/>
              <w:right w:val="nil" w:sz="6" w:space="0" w:color="auto"/>
            </w:tcBorders>
          </w:tcPr>
          <w:p>
            <w:pPr>
              <w:pStyle w:val="TableParagraph"/>
              <w:tabs>
                <w:tab w:pos="403" w:val="left" w:leader="none"/>
              </w:tabs>
              <w:spacing w:line="240" w:lineRule="auto" w:before="18"/>
              <w:ind w:right="203"/>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1,859,052</w:t>
            </w:r>
            <w:r>
              <w:rPr>
                <w:rFonts w:ascii="Arial"/>
                <w:spacing w:val="-1"/>
                <w:w w:val="95"/>
                <w:sz w:val="20"/>
              </w:rPr>
            </w:r>
            <w:r>
              <w:rPr>
                <w:rFonts w:ascii="Arial"/>
                <w:sz w:val="20"/>
              </w:rPr>
            </w:r>
          </w:p>
        </w:tc>
      </w:tr>
      <w:tr>
        <w:trPr>
          <w:trHeight w:val="343" w:hRule="exact"/>
        </w:trPr>
        <w:tc>
          <w:tcPr>
            <w:tcW w:w="2655" w:type="dxa"/>
            <w:tcBorders>
              <w:top w:val="nil" w:sz="6" w:space="0" w:color="auto"/>
              <w:left w:val="nil" w:sz="6" w:space="0" w:color="auto"/>
              <w:bottom w:val="nil" w:sz="6" w:space="0" w:color="auto"/>
              <w:right w:val="nil" w:sz="6" w:space="0" w:color="auto"/>
            </w:tcBorders>
          </w:tcPr>
          <w:p>
            <w:pPr/>
          </w:p>
        </w:tc>
        <w:tc>
          <w:tcPr>
            <w:tcW w:w="330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928"/>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 </w:t>
            </w:r>
            <w:r>
              <w:rPr>
                <w:rFonts w:ascii="Arial"/>
                <w:spacing w:val="13"/>
                <w:sz w:val="20"/>
                <w:u w:val="thick" w:color="000000"/>
              </w:rPr>
              <w:t> </w:t>
            </w:r>
            <w:r>
              <w:rPr>
                <w:rFonts w:ascii="Arial"/>
                <w:spacing w:val="-1"/>
                <w:sz w:val="20"/>
                <w:u w:val="thick" w:color="000000"/>
              </w:rPr>
              <w:t>321,337,191</w:t>
            </w:r>
            <w:r>
              <w:rPr>
                <w:rFonts w:ascii="Arial"/>
                <w:spacing w:val="-1"/>
                <w:sz w:val="20"/>
              </w:rPr>
            </w:r>
            <w:r>
              <w:rPr>
                <w:rFonts w:ascii="Arial"/>
                <w:sz w:val="20"/>
              </w:rPr>
            </w:r>
          </w:p>
        </w:tc>
        <w:tc>
          <w:tcPr>
            <w:tcW w:w="224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98"/>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  </w:t>
            </w:r>
            <w:r>
              <w:rPr>
                <w:rFonts w:ascii="Arial"/>
                <w:spacing w:val="-21"/>
                <w:sz w:val="20"/>
                <w:u w:val="thick" w:color="000000"/>
              </w:rPr>
              <w:t> </w:t>
            </w:r>
            <w:r>
              <w:rPr>
                <w:rFonts w:ascii="Arial"/>
                <w:spacing w:val="-1"/>
                <w:sz w:val="20"/>
                <w:u w:val="thick" w:color="000000"/>
              </w:rPr>
              <w:t>298,608,589</w:t>
            </w:r>
            <w:r>
              <w:rPr>
                <w:rFonts w:ascii="Arial"/>
                <w:spacing w:val="-1"/>
                <w:sz w:val="20"/>
              </w:rPr>
            </w:r>
          </w:p>
        </w:tc>
      </w:tr>
    </w:tbl>
    <w:p>
      <w:pPr>
        <w:spacing w:line="240" w:lineRule="auto" w:before="1"/>
        <w:rPr>
          <w:rFonts w:ascii="黑体" w:hAnsi="黑体" w:cs="黑体" w:eastAsia="黑体" w:hint="default"/>
          <w:b/>
          <w:bCs/>
          <w:sz w:val="13"/>
          <w:szCs w:val="13"/>
        </w:rPr>
      </w:pPr>
    </w:p>
    <w:p>
      <w:pPr>
        <w:pStyle w:val="BodyText"/>
        <w:spacing w:line="240" w:lineRule="auto" w:before="37"/>
        <w:ind w:right="3627"/>
        <w:jc w:val="left"/>
      </w:pPr>
      <w:r>
        <w:rPr/>
        <w:t>主营业收入及成本列示如下：</w:t>
      </w:r>
    </w:p>
    <w:p>
      <w:pPr>
        <w:spacing w:line="240" w:lineRule="auto" w:before="7"/>
        <w:rPr>
          <w:rFonts w:ascii="黑体" w:hAnsi="黑体" w:cs="黑体" w:eastAsia="黑体" w:hint="default"/>
          <w:sz w:val="22"/>
          <w:szCs w:val="22"/>
        </w:rPr>
      </w:pPr>
    </w:p>
    <w:tbl>
      <w:tblPr>
        <w:tblW w:w="0" w:type="auto"/>
        <w:jc w:val="left"/>
        <w:tblInd w:w="609" w:type="dxa"/>
        <w:tblLayout w:type="fixed"/>
        <w:tblCellMar>
          <w:top w:w="0" w:type="dxa"/>
          <w:left w:w="0" w:type="dxa"/>
          <w:bottom w:w="0" w:type="dxa"/>
          <w:right w:w="0" w:type="dxa"/>
        </w:tblCellMar>
        <w:tblLook w:val="01E0"/>
      </w:tblPr>
      <w:tblGrid>
        <w:gridCol w:w="2326"/>
        <w:gridCol w:w="1580"/>
        <w:gridCol w:w="1115"/>
        <w:gridCol w:w="283"/>
        <w:gridCol w:w="1439"/>
        <w:gridCol w:w="1254"/>
      </w:tblGrid>
      <w:tr>
        <w:trPr>
          <w:trHeight w:val="246" w:hRule="exact"/>
        </w:trPr>
        <w:tc>
          <w:tcPr>
            <w:tcW w:w="2326" w:type="dxa"/>
            <w:tcBorders>
              <w:top w:val="nil" w:sz="6" w:space="0" w:color="auto"/>
              <w:left w:val="nil" w:sz="6" w:space="0" w:color="auto"/>
              <w:bottom w:val="nil" w:sz="6" w:space="0" w:color="auto"/>
              <w:right w:val="nil" w:sz="6" w:space="0" w:color="auto"/>
            </w:tcBorders>
          </w:tcPr>
          <w:p>
            <w:pPr/>
          </w:p>
        </w:tc>
        <w:tc>
          <w:tcPr>
            <w:tcW w:w="1580" w:type="dxa"/>
            <w:tcBorders>
              <w:top w:val="nil" w:sz="6" w:space="0" w:color="auto"/>
              <w:left w:val="nil" w:sz="6" w:space="0" w:color="auto"/>
              <w:bottom w:val="single" w:sz="4" w:space="0" w:color="000000"/>
              <w:right w:val="nil" w:sz="6" w:space="0" w:color="auto"/>
            </w:tcBorders>
          </w:tcPr>
          <w:p>
            <w:pPr>
              <w:pStyle w:val="TableParagraph"/>
              <w:spacing w:line="214" w:lineRule="exact"/>
              <w:ind w:left="960" w:right="-24"/>
              <w:jc w:val="left"/>
              <w:rPr>
                <w:rFonts w:ascii="黑体" w:hAnsi="黑体" w:cs="黑体" w:eastAsia="黑体" w:hint="default"/>
                <w:sz w:val="20"/>
                <w:szCs w:val="20"/>
              </w:rPr>
            </w:pPr>
            <w:r>
              <w:rPr>
                <w:rFonts w:ascii="Arial" w:hAnsi="Arial" w:cs="Arial" w:eastAsia="Arial" w:hint="default"/>
                <w:w w:val="95"/>
                <w:sz w:val="20"/>
                <w:szCs w:val="20"/>
              </w:rPr>
              <w:t>2012</w:t>
            </w:r>
            <w:r>
              <w:rPr>
                <w:rFonts w:ascii="黑体" w:hAnsi="黑体" w:cs="黑体" w:eastAsia="黑体" w:hint="default"/>
                <w:w w:val="95"/>
                <w:sz w:val="20"/>
                <w:szCs w:val="20"/>
              </w:rPr>
              <w:t>年</w:t>
            </w:r>
            <w:r>
              <w:rPr>
                <w:rFonts w:ascii="黑体" w:hAnsi="黑体" w:cs="黑体" w:eastAsia="黑体" w:hint="default"/>
                <w:sz w:val="20"/>
                <w:szCs w:val="20"/>
              </w:rPr>
            </w:r>
          </w:p>
        </w:tc>
        <w:tc>
          <w:tcPr>
            <w:tcW w:w="1115" w:type="dxa"/>
            <w:tcBorders>
              <w:top w:val="nil" w:sz="6" w:space="0" w:color="auto"/>
              <w:left w:val="nil" w:sz="6" w:space="0" w:color="auto"/>
              <w:bottom w:val="single" w:sz="4" w:space="0" w:color="000000"/>
              <w:right w:val="nil" w:sz="6" w:space="0" w:color="auto"/>
            </w:tcBorders>
          </w:tcPr>
          <w:p>
            <w:pPr/>
          </w:p>
        </w:tc>
        <w:tc>
          <w:tcPr>
            <w:tcW w:w="2976" w:type="dxa"/>
            <w:gridSpan w:val="3"/>
            <w:tcBorders>
              <w:top w:val="nil" w:sz="6" w:space="0" w:color="auto"/>
              <w:left w:val="nil" w:sz="6" w:space="0" w:color="auto"/>
              <w:bottom w:val="nil" w:sz="6" w:space="0" w:color="auto"/>
              <w:right w:val="nil" w:sz="6" w:space="0" w:color="auto"/>
            </w:tcBorders>
          </w:tcPr>
          <w:p>
            <w:pPr>
              <w:pStyle w:val="TableParagraph"/>
              <w:spacing w:line="214" w:lineRule="exact"/>
              <w:ind w:left="148" w:right="0"/>
              <w:jc w:val="center"/>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p>
        </w:tc>
      </w:tr>
      <w:tr>
        <w:trPr>
          <w:trHeight w:val="375" w:hRule="exact"/>
        </w:trPr>
        <w:tc>
          <w:tcPr>
            <w:tcW w:w="2326" w:type="dxa"/>
            <w:tcBorders>
              <w:top w:val="nil" w:sz="6" w:space="0" w:color="auto"/>
              <w:left w:val="nil" w:sz="6" w:space="0" w:color="auto"/>
              <w:bottom w:val="nil" w:sz="6" w:space="0" w:color="auto"/>
              <w:right w:val="nil" w:sz="6" w:space="0" w:color="auto"/>
            </w:tcBorders>
          </w:tcPr>
          <w:p>
            <w:pPr/>
          </w:p>
        </w:tc>
        <w:tc>
          <w:tcPr>
            <w:tcW w:w="1580" w:type="dxa"/>
            <w:tcBorders>
              <w:top w:val="single" w:sz="4" w:space="0" w:color="000000"/>
              <w:left w:val="nil" w:sz="6" w:space="0" w:color="auto"/>
              <w:bottom w:val="nil" w:sz="6" w:space="0" w:color="auto"/>
              <w:right w:val="nil" w:sz="6" w:space="0" w:color="auto"/>
            </w:tcBorders>
          </w:tcPr>
          <w:p>
            <w:pPr>
              <w:pStyle w:val="TableParagraph"/>
              <w:spacing w:line="215" w:lineRule="exact"/>
              <w:ind w:left="1005" w:right="0"/>
              <w:jc w:val="left"/>
              <w:rPr>
                <w:rFonts w:ascii="黑体" w:hAnsi="黑体" w:cs="黑体" w:eastAsia="黑体" w:hint="default"/>
                <w:sz w:val="20"/>
                <w:szCs w:val="20"/>
              </w:rPr>
            </w:pPr>
            <w:r>
              <w:rPr>
                <w:rFonts w:ascii="黑体" w:hAnsi="黑体" w:cs="黑体" w:eastAsia="黑体" w:hint="default"/>
                <w:sz w:val="20"/>
                <w:szCs w:val="20"/>
              </w:rPr>
              <w:t>收入</w:t>
            </w:r>
          </w:p>
        </w:tc>
        <w:tc>
          <w:tcPr>
            <w:tcW w:w="1115" w:type="dxa"/>
            <w:tcBorders>
              <w:top w:val="single" w:sz="4" w:space="0" w:color="000000"/>
              <w:left w:val="nil" w:sz="6" w:space="0" w:color="auto"/>
              <w:bottom w:val="nil" w:sz="6" w:space="0" w:color="auto"/>
              <w:right w:val="nil" w:sz="6" w:space="0" w:color="auto"/>
            </w:tcBorders>
          </w:tcPr>
          <w:p>
            <w:pPr>
              <w:pStyle w:val="TableParagraph"/>
              <w:spacing w:line="215" w:lineRule="exact"/>
              <w:ind w:right="12"/>
              <w:jc w:val="right"/>
              <w:rPr>
                <w:rFonts w:ascii="黑体" w:hAnsi="黑体" w:cs="黑体" w:eastAsia="黑体" w:hint="default"/>
                <w:sz w:val="20"/>
                <w:szCs w:val="20"/>
              </w:rPr>
            </w:pPr>
            <w:r>
              <w:rPr>
                <w:rFonts w:ascii="黑体" w:hAnsi="黑体" w:cs="黑体" w:eastAsia="黑体" w:hint="default"/>
                <w:w w:val="95"/>
                <w:sz w:val="20"/>
                <w:szCs w:val="20"/>
              </w:rPr>
              <w:t>成本</w:t>
            </w:r>
            <w:r>
              <w:rPr>
                <w:rFonts w:ascii="黑体" w:hAnsi="黑体" w:cs="黑体" w:eastAsia="黑体" w:hint="default"/>
                <w:sz w:val="20"/>
                <w:szCs w:val="20"/>
              </w:rPr>
            </w:r>
          </w:p>
        </w:tc>
        <w:tc>
          <w:tcPr>
            <w:tcW w:w="283" w:type="dxa"/>
            <w:tcBorders>
              <w:top w:val="nil" w:sz="6" w:space="0" w:color="auto"/>
              <w:left w:val="nil" w:sz="6" w:space="0" w:color="auto"/>
              <w:bottom w:val="nil" w:sz="6" w:space="0" w:color="auto"/>
              <w:right w:val="nil" w:sz="6" w:space="0" w:color="auto"/>
            </w:tcBorders>
          </w:tcPr>
          <w:p>
            <w:pPr/>
          </w:p>
        </w:tc>
        <w:tc>
          <w:tcPr>
            <w:tcW w:w="1439" w:type="dxa"/>
            <w:tcBorders>
              <w:top w:val="single" w:sz="4" w:space="0" w:color="000000"/>
              <w:left w:val="nil" w:sz="6" w:space="0" w:color="auto"/>
              <w:bottom w:val="nil" w:sz="6" w:space="0" w:color="auto"/>
              <w:right w:val="nil" w:sz="6" w:space="0" w:color="auto"/>
            </w:tcBorders>
          </w:tcPr>
          <w:p>
            <w:pPr>
              <w:pStyle w:val="TableParagraph"/>
              <w:spacing w:line="215" w:lineRule="exact"/>
              <w:ind w:right="126"/>
              <w:jc w:val="right"/>
              <w:rPr>
                <w:rFonts w:ascii="黑体" w:hAnsi="黑体" w:cs="黑体" w:eastAsia="黑体" w:hint="default"/>
                <w:sz w:val="20"/>
                <w:szCs w:val="20"/>
              </w:rPr>
            </w:pPr>
            <w:r>
              <w:rPr>
                <w:rFonts w:ascii="黑体" w:hAnsi="黑体" w:cs="黑体" w:eastAsia="黑体" w:hint="default"/>
                <w:w w:val="95"/>
                <w:sz w:val="20"/>
                <w:szCs w:val="20"/>
              </w:rPr>
              <w:t>收入</w:t>
            </w:r>
            <w:r>
              <w:rPr>
                <w:rFonts w:ascii="黑体" w:hAnsi="黑体" w:cs="黑体" w:eastAsia="黑体" w:hint="default"/>
                <w:sz w:val="20"/>
                <w:szCs w:val="20"/>
              </w:rPr>
            </w:r>
          </w:p>
        </w:tc>
        <w:tc>
          <w:tcPr>
            <w:tcW w:w="1254" w:type="dxa"/>
            <w:tcBorders>
              <w:top w:val="single" w:sz="4" w:space="0" w:color="000000"/>
              <w:left w:val="nil" w:sz="6" w:space="0" w:color="auto"/>
              <w:bottom w:val="nil" w:sz="6" w:space="0" w:color="auto"/>
              <w:right w:val="nil" w:sz="6" w:space="0" w:color="auto"/>
            </w:tcBorders>
          </w:tcPr>
          <w:p>
            <w:pPr>
              <w:pStyle w:val="TableParagraph"/>
              <w:spacing w:line="215" w:lineRule="exact"/>
              <w:ind w:right="14"/>
              <w:jc w:val="right"/>
              <w:rPr>
                <w:rFonts w:ascii="黑体" w:hAnsi="黑体" w:cs="黑体" w:eastAsia="黑体" w:hint="default"/>
                <w:sz w:val="20"/>
                <w:szCs w:val="20"/>
              </w:rPr>
            </w:pPr>
            <w:r>
              <w:rPr>
                <w:rFonts w:ascii="黑体" w:hAnsi="黑体" w:cs="黑体" w:eastAsia="黑体" w:hint="default"/>
                <w:w w:val="95"/>
                <w:sz w:val="20"/>
                <w:szCs w:val="20"/>
              </w:rPr>
              <w:t>成本</w:t>
            </w:r>
            <w:r>
              <w:rPr>
                <w:rFonts w:ascii="黑体" w:hAnsi="黑体" w:cs="黑体" w:eastAsia="黑体" w:hint="default"/>
                <w:sz w:val="20"/>
                <w:szCs w:val="20"/>
              </w:rPr>
            </w:r>
          </w:p>
        </w:tc>
      </w:tr>
      <w:tr>
        <w:trPr>
          <w:trHeight w:val="388" w:hRule="exact"/>
        </w:trPr>
        <w:tc>
          <w:tcPr>
            <w:tcW w:w="2326"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00" w:right="0"/>
              <w:jc w:val="left"/>
              <w:rPr>
                <w:rFonts w:ascii="黑体" w:hAnsi="黑体" w:cs="黑体" w:eastAsia="黑体" w:hint="default"/>
                <w:sz w:val="20"/>
                <w:szCs w:val="20"/>
              </w:rPr>
            </w:pPr>
            <w:r>
              <w:rPr>
                <w:rFonts w:ascii="黑体" w:hAnsi="黑体" w:cs="黑体" w:eastAsia="黑体" w:hint="default"/>
                <w:sz w:val="20"/>
                <w:szCs w:val="20"/>
              </w:rPr>
              <w:t>软件产品销售</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127" w:right="0"/>
              <w:jc w:val="left"/>
              <w:rPr>
                <w:rFonts w:ascii="Arial" w:hAnsi="Arial" w:cs="Arial" w:eastAsia="Arial" w:hint="default"/>
                <w:sz w:val="20"/>
                <w:szCs w:val="20"/>
              </w:rPr>
            </w:pPr>
            <w:r>
              <w:rPr>
                <w:rFonts w:ascii="Arial"/>
                <w:sz w:val="20"/>
              </w:rPr>
              <w:t>1,587,092,304</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2"/>
              <w:jc w:val="right"/>
              <w:rPr>
                <w:rFonts w:ascii="Arial" w:hAnsi="Arial" w:cs="Arial" w:eastAsia="Arial" w:hint="default"/>
                <w:sz w:val="20"/>
                <w:szCs w:val="20"/>
              </w:rPr>
            </w:pPr>
            <w:r>
              <w:rPr>
                <w:rFonts w:ascii="Arial"/>
                <w:spacing w:val="-1"/>
                <w:sz w:val="20"/>
              </w:rPr>
              <w:t>45,853,246</w:t>
            </w:r>
            <w:r>
              <w:rPr>
                <w:rFonts w:ascii="Arial"/>
                <w:sz w:val="20"/>
              </w:rPr>
            </w:r>
          </w:p>
        </w:tc>
        <w:tc>
          <w:tcPr>
            <w:tcW w:w="283"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26"/>
              <w:jc w:val="right"/>
              <w:rPr>
                <w:rFonts w:ascii="Arial" w:hAnsi="Arial" w:cs="Arial" w:eastAsia="Arial" w:hint="default"/>
                <w:sz w:val="20"/>
                <w:szCs w:val="20"/>
              </w:rPr>
            </w:pPr>
            <w:r>
              <w:rPr>
                <w:rFonts w:ascii="Arial"/>
                <w:spacing w:val="-1"/>
                <w:sz w:val="20"/>
              </w:rPr>
              <w:t>1,651,546,472</w:t>
            </w:r>
            <w:r>
              <w:rPr>
                <w:rFonts w:ascii="Arial"/>
                <w:sz w:val="20"/>
              </w:rPr>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5"/>
              <w:jc w:val="right"/>
              <w:rPr>
                <w:rFonts w:ascii="Arial" w:hAnsi="Arial" w:cs="Arial" w:eastAsia="Arial" w:hint="default"/>
                <w:sz w:val="20"/>
                <w:szCs w:val="20"/>
              </w:rPr>
            </w:pPr>
            <w:r>
              <w:rPr>
                <w:rFonts w:ascii="Arial"/>
                <w:spacing w:val="-1"/>
                <w:sz w:val="20"/>
              </w:rPr>
              <w:t>69,424,179</w:t>
            </w:r>
            <w:r>
              <w:rPr>
                <w:rFonts w:ascii="Arial"/>
                <w:sz w:val="20"/>
              </w:rPr>
            </w:r>
          </w:p>
        </w:tc>
      </w:tr>
      <w:tr>
        <w:trPr>
          <w:trHeight w:val="256" w:hRule="exact"/>
        </w:trPr>
        <w:tc>
          <w:tcPr>
            <w:tcW w:w="2326" w:type="dxa"/>
            <w:tcBorders>
              <w:top w:val="nil" w:sz="6" w:space="0" w:color="auto"/>
              <w:left w:val="nil" w:sz="6" w:space="0" w:color="auto"/>
              <w:bottom w:val="nil" w:sz="6" w:space="0" w:color="auto"/>
              <w:right w:val="nil" w:sz="6" w:space="0" w:color="auto"/>
            </w:tcBorders>
          </w:tcPr>
          <w:p>
            <w:pPr>
              <w:pStyle w:val="TableParagraph"/>
              <w:spacing w:line="223" w:lineRule="exact"/>
              <w:ind w:left="200" w:right="0"/>
              <w:jc w:val="left"/>
              <w:rPr>
                <w:rFonts w:ascii="黑体" w:hAnsi="黑体" w:cs="黑体" w:eastAsia="黑体" w:hint="default"/>
                <w:sz w:val="20"/>
                <w:szCs w:val="20"/>
              </w:rPr>
            </w:pPr>
            <w:r>
              <w:rPr>
                <w:rFonts w:ascii="黑体" w:hAnsi="黑体" w:cs="黑体" w:eastAsia="黑体" w:hint="default"/>
                <w:sz w:val="20"/>
                <w:szCs w:val="20"/>
              </w:rPr>
              <w:t>技术服务及培训</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7"/>
              <w:ind w:left="295" w:right="0"/>
              <w:jc w:val="left"/>
              <w:rPr>
                <w:rFonts w:ascii="Arial" w:hAnsi="Arial" w:cs="Arial" w:eastAsia="Arial" w:hint="default"/>
                <w:sz w:val="20"/>
                <w:szCs w:val="20"/>
              </w:rPr>
            </w:pPr>
            <w:r>
              <w:rPr>
                <w:rFonts w:ascii="Arial"/>
                <w:sz w:val="20"/>
              </w:rPr>
              <w:t>784,364,008</w:t>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7"/>
              <w:ind w:left="-8" w:right="12"/>
              <w:jc w:val="right"/>
              <w:rPr>
                <w:rFonts w:ascii="Arial" w:hAnsi="Arial" w:cs="Arial" w:eastAsia="Arial" w:hint="default"/>
                <w:sz w:val="20"/>
                <w:szCs w:val="20"/>
              </w:rPr>
            </w:pPr>
            <w:r>
              <w:rPr>
                <w:rFonts w:ascii="Arial"/>
                <w:spacing w:val="-1"/>
                <w:sz w:val="20"/>
              </w:rPr>
              <w:t>225,241,544</w:t>
            </w:r>
            <w:r>
              <w:rPr>
                <w:rFonts w:ascii="Arial"/>
                <w:sz w:val="20"/>
              </w:rPr>
            </w:r>
          </w:p>
        </w:tc>
        <w:tc>
          <w:tcPr>
            <w:tcW w:w="283"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26"/>
              <w:jc w:val="right"/>
              <w:rPr>
                <w:rFonts w:ascii="Arial" w:hAnsi="Arial" w:cs="Arial" w:eastAsia="Arial" w:hint="default"/>
                <w:sz w:val="20"/>
                <w:szCs w:val="20"/>
              </w:rPr>
            </w:pPr>
            <w:r>
              <w:rPr>
                <w:rFonts w:ascii="Arial"/>
                <w:spacing w:val="-1"/>
                <w:sz w:val="20"/>
              </w:rPr>
              <w:t>736,804,285</w:t>
            </w:r>
            <w:r>
              <w:rPr>
                <w:rFonts w:ascii="Arial"/>
                <w:sz w:val="20"/>
              </w:rPr>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5"/>
              <w:jc w:val="right"/>
              <w:rPr>
                <w:rFonts w:ascii="Arial" w:hAnsi="Arial" w:cs="Arial" w:eastAsia="Arial" w:hint="default"/>
                <w:sz w:val="20"/>
                <w:szCs w:val="20"/>
              </w:rPr>
            </w:pPr>
            <w:r>
              <w:rPr>
                <w:rFonts w:ascii="Arial"/>
                <w:spacing w:val="-1"/>
                <w:sz w:val="20"/>
              </w:rPr>
              <w:t>176,374,775</w:t>
            </w:r>
            <w:r>
              <w:rPr>
                <w:rFonts w:ascii="Arial"/>
                <w:sz w:val="20"/>
              </w:rPr>
            </w:r>
          </w:p>
        </w:tc>
      </w:tr>
      <w:tr>
        <w:trPr>
          <w:trHeight w:val="386" w:hRule="exact"/>
        </w:trPr>
        <w:tc>
          <w:tcPr>
            <w:tcW w:w="2326"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z w:val="20"/>
                <w:szCs w:val="20"/>
              </w:rPr>
              <w:t>外购商品销售</w:t>
            </w:r>
          </w:p>
        </w:tc>
        <w:tc>
          <w:tcPr>
            <w:tcW w:w="1580" w:type="dxa"/>
            <w:tcBorders>
              <w:top w:val="nil" w:sz="6" w:space="0" w:color="auto"/>
              <w:left w:val="nil" w:sz="6" w:space="0" w:color="auto"/>
              <w:bottom w:val="nil" w:sz="6" w:space="0" w:color="auto"/>
              <w:right w:val="nil" w:sz="6" w:space="0" w:color="auto"/>
            </w:tcBorders>
          </w:tcPr>
          <w:p>
            <w:pPr>
              <w:pStyle w:val="TableParagraph"/>
              <w:tabs>
                <w:tab w:pos="407" w:val="left" w:leader="none"/>
              </w:tabs>
              <w:spacing w:line="240" w:lineRule="auto" w:before="6"/>
              <w:ind w:left="124" w:right="0"/>
              <w:jc w:val="lef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t>62,318,616</w:t>
            </w:r>
            <w:r>
              <w:rPr>
                <w:rFonts w:ascii="Arial"/>
                <w:sz w:val="20"/>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2"/>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sz w:val="20"/>
                <w:u w:val="single" w:color="000000"/>
              </w:rPr>
              <w:t>49,030,180</w:t>
            </w:r>
            <w:r>
              <w:rPr>
                <w:rFonts w:ascii="Arial"/>
                <w:spacing w:val="-1"/>
                <w:sz w:val="20"/>
              </w:rPr>
            </w:r>
          </w:p>
        </w:tc>
        <w:tc>
          <w:tcPr>
            <w:tcW w:w="283"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6"/>
              <w:ind w:right="126"/>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63,293,069</w:t>
            </w:r>
            <w:r>
              <w:rPr>
                <w:rFonts w:ascii="Arial"/>
                <w:spacing w:val="-1"/>
                <w:w w:val="95"/>
                <w:sz w:val="20"/>
              </w:rPr>
            </w:r>
            <w:r>
              <w:rPr>
                <w:rFonts w:ascii="Arial"/>
                <w:sz w:val="20"/>
              </w:rPr>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4"/>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sz w:val="20"/>
                <w:u w:val="single" w:color="000000"/>
              </w:rPr>
              <w:t>50,950,583</w:t>
            </w:r>
            <w:r>
              <w:rPr>
                <w:rFonts w:ascii="Arial"/>
                <w:spacing w:val="-1"/>
                <w:sz w:val="20"/>
              </w:rPr>
            </w:r>
          </w:p>
        </w:tc>
      </w:tr>
      <w:tr>
        <w:trPr>
          <w:trHeight w:val="354" w:hRule="exact"/>
        </w:trPr>
        <w:tc>
          <w:tcPr>
            <w:tcW w:w="2326" w:type="dxa"/>
            <w:tcBorders>
              <w:top w:val="nil" w:sz="6" w:space="0" w:color="auto"/>
              <w:left w:val="nil" w:sz="6" w:space="0" w:color="auto"/>
              <w:bottom w:val="nil" w:sz="6" w:space="0" w:color="auto"/>
              <w:right w:val="nil" w:sz="6" w:space="0" w:color="auto"/>
            </w:tcBorders>
          </w:tcPr>
          <w:p>
            <w:pP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127" w:right="0"/>
              <w:jc w:val="left"/>
              <w:rPr>
                <w:rFonts w:ascii="Arial" w:hAnsi="Arial" w:cs="Arial" w:eastAsia="Arial" w:hint="default"/>
                <w:sz w:val="20"/>
                <w:szCs w:val="20"/>
              </w:rPr>
            </w:pPr>
            <w:r>
              <w:rPr>
                <w:rFonts w:ascii="Arial"/>
                <w:w w:val="99"/>
                <w:sz w:val="20"/>
              </w:rPr>
            </w:r>
            <w:r>
              <w:rPr>
                <w:rFonts w:ascii="Arial"/>
                <w:sz w:val="20"/>
                <w:u w:val="thick" w:color="000000"/>
              </w:rPr>
              <w:t>2,433,774,928</w:t>
            </w:r>
            <w:r>
              <w:rPr>
                <w:rFonts w:ascii="Arial"/>
                <w:sz w:val="20"/>
              </w:rPr>
            </w: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8" w:right="12"/>
              <w:jc w:val="right"/>
              <w:rPr>
                <w:rFonts w:ascii="Arial" w:hAnsi="Arial" w:cs="Arial" w:eastAsia="Arial" w:hint="default"/>
                <w:sz w:val="20"/>
                <w:szCs w:val="20"/>
              </w:rPr>
            </w:pPr>
            <w:r>
              <w:rPr>
                <w:rFonts w:ascii="Arial"/>
                <w:w w:val="99"/>
                <w:sz w:val="20"/>
              </w:rPr>
            </w:r>
            <w:r>
              <w:rPr>
                <w:rFonts w:ascii="Arial"/>
                <w:spacing w:val="-1"/>
                <w:sz w:val="20"/>
                <w:u w:val="thick" w:color="000000"/>
              </w:rPr>
              <w:t>320,124,970</w:t>
            </w:r>
            <w:r>
              <w:rPr>
                <w:rFonts w:ascii="Arial"/>
                <w:spacing w:val="-1"/>
                <w:sz w:val="20"/>
              </w:rPr>
            </w:r>
            <w:r>
              <w:rPr>
                <w:rFonts w:ascii="Arial"/>
                <w:sz w:val="20"/>
              </w:rPr>
            </w:r>
          </w:p>
        </w:tc>
        <w:tc>
          <w:tcPr>
            <w:tcW w:w="283"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26"/>
              <w:jc w:val="right"/>
              <w:rPr>
                <w:rFonts w:ascii="Arial" w:hAnsi="Arial" w:cs="Arial" w:eastAsia="Arial" w:hint="default"/>
                <w:sz w:val="20"/>
                <w:szCs w:val="20"/>
              </w:rPr>
            </w:pPr>
            <w:r>
              <w:rPr>
                <w:rFonts w:ascii="Arial"/>
                <w:w w:val="99"/>
                <w:sz w:val="20"/>
              </w:rPr>
            </w:r>
            <w:r>
              <w:rPr>
                <w:rFonts w:ascii="Arial"/>
                <w:spacing w:val="-1"/>
                <w:sz w:val="20"/>
                <w:u w:val="thick" w:color="000000"/>
              </w:rPr>
              <w:t>2,451,643,826</w:t>
            </w:r>
            <w:r>
              <w:rPr>
                <w:rFonts w:ascii="Arial"/>
                <w:spacing w:val="-1"/>
                <w:sz w:val="20"/>
              </w:rPr>
            </w:r>
            <w:r>
              <w:rPr>
                <w:rFonts w:ascii="Arial"/>
                <w:sz w:val="20"/>
              </w:rPr>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5"/>
              <w:jc w:val="right"/>
              <w:rPr>
                <w:rFonts w:ascii="Arial" w:hAnsi="Arial" w:cs="Arial" w:eastAsia="Arial" w:hint="default"/>
                <w:sz w:val="20"/>
                <w:szCs w:val="20"/>
              </w:rPr>
            </w:pPr>
            <w:r>
              <w:rPr>
                <w:rFonts w:ascii="Arial"/>
                <w:w w:val="99"/>
                <w:sz w:val="20"/>
              </w:rPr>
            </w:r>
            <w:r>
              <w:rPr>
                <w:rFonts w:ascii="Arial"/>
                <w:spacing w:val="-1"/>
                <w:sz w:val="20"/>
                <w:u w:val="thick" w:color="000000"/>
              </w:rPr>
              <w:t>296,749,537</w:t>
            </w:r>
            <w:r>
              <w:rPr>
                <w:rFonts w:ascii="Arial"/>
                <w:spacing w:val="-1"/>
                <w:sz w:val="20"/>
              </w:rPr>
            </w:r>
            <w:r>
              <w:rPr>
                <w:rFonts w:ascii="Arial"/>
                <w:sz w:val="20"/>
              </w:rPr>
            </w:r>
          </w:p>
        </w:tc>
      </w:tr>
    </w:tbl>
    <w:p>
      <w:pPr>
        <w:spacing w:after="0" w:line="240" w:lineRule="auto"/>
        <w:jc w:val="right"/>
        <w:rPr>
          <w:rFonts w:ascii="Arial" w:hAnsi="Arial" w:cs="Arial" w:eastAsia="Arial" w:hint="default"/>
          <w:sz w:val="20"/>
          <w:szCs w:val="20"/>
        </w:rPr>
        <w:sectPr>
          <w:pgSz w:w="11910" w:h="16850"/>
          <w:pgMar w:header="957" w:footer="473" w:top="2600" w:bottom="660" w:left="1600" w:right="1400"/>
        </w:sectPr>
      </w:pPr>
    </w:p>
    <w:p>
      <w:pPr>
        <w:spacing w:line="240" w:lineRule="auto" w:before="1"/>
        <w:rPr>
          <w:rFonts w:ascii="黑体" w:hAnsi="黑体" w:cs="黑体" w:eastAsia="黑体" w:hint="default"/>
          <w:sz w:val="16"/>
          <w:szCs w:val="16"/>
        </w:rPr>
      </w:pPr>
    </w:p>
    <w:p>
      <w:pPr>
        <w:pStyle w:val="Heading6"/>
        <w:spacing w:line="240" w:lineRule="auto"/>
        <w:ind w:right="3627"/>
        <w:jc w:val="left"/>
        <w:rPr>
          <w:b w:val="0"/>
          <w:bCs w:val="0"/>
        </w:rPr>
      </w:pPr>
      <w:r>
        <w:rPr/>
        <w:t>十三、公司财务报表主要项目注释（续）</w:t>
      </w:r>
      <w:r>
        <w:rPr>
          <w:b w:val="0"/>
          <w:bCs w:val="0"/>
        </w:rPr>
      </w:r>
    </w:p>
    <w:p>
      <w:pPr>
        <w:spacing w:line="240" w:lineRule="auto" w:before="0"/>
        <w:rPr>
          <w:rFonts w:ascii="黑体" w:hAnsi="黑体" w:cs="黑体" w:eastAsia="黑体" w:hint="default"/>
          <w:b/>
          <w:bCs/>
          <w:sz w:val="15"/>
          <w:szCs w:val="15"/>
        </w:rPr>
      </w:pPr>
    </w:p>
    <w:p>
      <w:pPr>
        <w:tabs>
          <w:tab w:pos="833" w:val="left" w:leader="none"/>
        </w:tabs>
        <w:spacing w:line="458" w:lineRule="auto" w:before="0"/>
        <w:ind w:left="814" w:right="5490" w:hanging="660"/>
        <w:jc w:val="left"/>
        <w:rPr>
          <w:rFonts w:ascii="黑体" w:hAnsi="黑体" w:cs="黑体" w:eastAsia="黑体" w:hint="default"/>
          <w:sz w:val="20"/>
          <w:szCs w:val="20"/>
        </w:rPr>
      </w:pPr>
      <w:r>
        <w:rPr>
          <w:rFonts w:ascii="Arial" w:hAnsi="Arial" w:cs="Arial" w:eastAsia="Arial" w:hint="default"/>
          <w:b/>
          <w:bCs/>
          <w:spacing w:val="-1"/>
          <w:w w:val="95"/>
          <w:sz w:val="20"/>
          <w:szCs w:val="20"/>
        </w:rPr>
        <w:t>28.</w:t>
        <w:tab/>
        <w:tab/>
      </w:r>
      <w:r>
        <w:rPr>
          <w:rFonts w:ascii="黑体" w:hAnsi="黑体" w:cs="黑体" w:eastAsia="黑体" w:hint="default"/>
          <w:b/>
          <w:bCs/>
          <w:spacing w:val="1"/>
          <w:sz w:val="20"/>
          <w:szCs w:val="20"/>
        </w:rPr>
        <w:t>营业收入及成本（续）</w:t>
      </w:r>
      <w:r>
        <w:rPr>
          <w:rFonts w:ascii="黑体" w:hAnsi="黑体" w:cs="黑体" w:eastAsia="黑体" w:hint="default"/>
          <w:b/>
          <w:bCs/>
          <w:spacing w:val="2"/>
          <w:w w:val="99"/>
          <w:sz w:val="20"/>
          <w:szCs w:val="20"/>
        </w:rPr>
        <w:t> </w:t>
      </w:r>
      <w:r>
        <w:rPr>
          <w:rFonts w:ascii="黑体" w:hAnsi="黑体" w:cs="黑体" w:eastAsia="黑体" w:hint="default"/>
          <w:sz w:val="20"/>
          <w:szCs w:val="20"/>
        </w:rPr>
        <w:t>主营业务的分地区信息如下：</w:t>
      </w:r>
    </w:p>
    <w:p>
      <w:pPr>
        <w:spacing w:line="240" w:lineRule="auto" w:before="1"/>
        <w:rPr>
          <w:rFonts w:ascii="黑体" w:hAnsi="黑体" w:cs="黑体" w:eastAsia="黑体" w:hint="default"/>
          <w:sz w:val="19"/>
          <w:szCs w:val="19"/>
        </w:rPr>
      </w:pPr>
    </w:p>
    <w:tbl>
      <w:tblPr>
        <w:tblW w:w="0" w:type="auto"/>
        <w:jc w:val="left"/>
        <w:tblInd w:w="604" w:type="dxa"/>
        <w:tblLayout w:type="fixed"/>
        <w:tblCellMar>
          <w:top w:w="0" w:type="dxa"/>
          <w:left w:w="0" w:type="dxa"/>
          <w:bottom w:w="0" w:type="dxa"/>
          <w:right w:w="0" w:type="dxa"/>
        </w:tblCellMar>
        <w:tblLook w:val="01E0"/>
      </w:tblPr>
      <w:tblGrid>
        <w:gridCol w:w="1906"/>
        <w:gridCol w:w="1762"/>
        <w:gridCol w:w="1121"/>
        <w:gridCol w:w="379"/>
        <w:gridCol w:w="1561"/>
        <w:gridCol w:w="1274"/>
      </w:tblGrid>
      <w:tr>
        <w:trPr>
          <w:trHeight w:val="286" w:hRule="exact"/>
        </w:trPr>
        <w:tc>
          <w:tcPr>
            <w:tcW w:w="1906"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single" w:sz="4" w:space="0" w:color="000000"/>
              <w:right w:val="nil" w:sz="6" w:space="0" w:color="auto"/>
            </w:tcBorders>
          </w:tcPr>
          <w:p>
            <w:pPr>
              <w:pStyle w:val="TableParagraph"/>
              <w:spacing w:line="214" w:lineRule="exact"/>
              <w:ind w:left="1113" w:right="0"/>
              <w:jc w:val="left"/>
              <w:rPr>
                <w:rFonts w:ascii="黑体" w:hAnsi="黑体" w:cs="黑体" w:eastAsia="黑体" w:hint="default"/>
                <w:sz w:val="20"/>
                <w:szCs w:val="20"/>
              </w:rPr>
            </w:pPr>
            <w:r>
              <w:rPr>
                <w:rFonts w:ascii="Arial" w:hAnsi="Arial" w:cs="Arial" w:eastAsia="Arial" w:hint="default"/>
                <w:sz w:val="20"/>
                <w:szCs w:val="20"/>
              </w:rPr>
              <w:t>2012</w:t>
            </w:r>
            <w:r>
              <w:rPr>
                <w:rFonts w:ascii="黑体" w:hAnsi="黑体" w:cs="黑体" w:eastAsia="黑体" w:hint="default"/>
                <w:sz w:val="20"/>
                <w:szCs w:val="20"/>
              </w:rPr>
              <w:t>年</w:t>
            </w:r>
          </w:p>
        </w:tc>
        <w:tc>
          <w:tcPr>
            <w:tcW w:w="1121" w:type="dxa"/>
            <w:tcBorders>
              <w:top w:val="nil" w:sz="6" w:space="0" w:color="auto"/>
              <w:left w:val="nil" w:sz="6" w:space="0" w:color="auto"/>
              <w:bottom w:val="single" w:sz="4" w:space="0" w:color="000000"/>
              <w:right w:val="nil" w:sz="6" w:space="0" w:color="auto"/>
            </w:tcBorders>
          </w:tcPr>
          <w:p>
            <w:pPr/>
          </w:p>
        </w:tc>
        <w:tc>
          <w:tcPr>
            <w:tcW w:w="3214" w:type="dxa"/>
            <w:gridSpan w:val="3"/>
            <w:tcBorders>
              <w:top w:val="nil" w:sz="6" w:space="0" w:color="auto"/>
              <w:left w:val="nil" w:sz="6" w:space="0" w:color="auto"/>
              <w:bottom w:val="nil" w:sz="6" w:space="0" w:color="auto"/>
              <w:right w:val="nil" w:sz="6" w:space="0" w:color="auto"/>
            </w:tcBorders>
          </w:tcPr>
          <w:p>
            <w:pPr>
              <w:pStyle w:val="TableParagraph"/>
              <w:spacing w:line="214" w:lineRule="exact"/>
              <w:ind w:left="381" w:right="0"/>
              <w:jc w:val="center"/>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p>
        </w:tc>
      </w:tr>
      <w:tr>
        <w:trPr>
          <w:trHeight w:val="543" w:hRule="exact"/>
        </w:trPr>
        <w:tc>
          <w:tcPr>
            <w:tcW w:w="1906" w:type="dxa"/>
            <w:tcBorders>
              <w:top w:val="nil" w:sz="6" w:space="0" w:color="auto"/>
              <w:left w:val="nil" w:sz="6" w:space="0" w:color="auto"/>
              <w:bottom w:val="nil" w:sz="6" w:space="0" w:color="auto"/>
              <w:right w:val="nil" w:sz="6" w:space="0" w:color="auto"/>
            </w:tcBorders>
          </w:tcPr>
          <w:p>
            <w:pPr/>
          </w:p>
        </w:tc>
        <w:tc>
          <w:tcPr>
            <w:tcW w:w="1762"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left="1144" w:right="0"/>
              <w:jc w:val="left"/>
              <w:rPr>
                <w:rFonts w:ascii="黑体" w:hAnsi="黑体" w:cs="黑体" w:eastAsia="黑体" w:hint="default"/>
                <w:sz w:val="20"/>
                <w:szCs w:val="20"/>
              </w:rPr>
            </w:pPr>
            <w:r>
              <w:rPr>
                <w:rFonts w:ascii="黑体" w:hAnsi="黑体" w:cs="黑体" w:eastAsia="黑体" w:hint="default"/>
                <w:sz w:val="20"/>
                <w:szCs w:val="20"/>
              </w:rPr>
              <w:t>收入</w:t>
            </w:r>
          </w:p>
        </w:tc>
        <w:tc>
          <w:tcPr>
            <w:tcW w:w="1121"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24"/>
              <w:jc w:val="right"/>
              <w:rPr>
                <w:rFonts w:ascii="黑体" w:hAnsi="黑体" w:cs="黑体" w:eastAsia="黑体" w:hint="default"/>
                <w:sz w:val="20"/>
                <w:szCs w:val="20"/>
              </w:rPr>
            </w:pPr>
            <w:r>
              <w:rPr>
                <w:rFonts w:ascii="黑体" w:hAnsi="黑体" w:cs="黑体" w:eastAsia="黑体" w:hint="default"/>
                <w:w w:val="95"/>
                <w:sz w:val="20"/>
                <w:szCs w:val="20"/>
              </w:rPr>
              <w:t>成本</w:t>
            </w:r>
            <w:r>
              <w:rPr>
                <w:rFonts w:ascii="黑体" w:hAnsi="黑体" w:cs="黑体" w:eastAsia="黑体" w:hint="default"/>
                <w:sz w:val="20"/>
                <w:szCs w:val="20"/>
              </w:rPr>
            </w:r>
          </w:p>
        </w:tc>
        <w:tc>
          <w:tcPr>
            <w:tcW w:w="379" w:type="dxa"/>
            <w:tcBorders>
              <w:top w:val="nil" w:sz="6" w:space="0" w:color="auto"/>
              <w:left w:val="nil" w:sz="6" w:space="0" w:color="auto"/>
              <w:bottom w:val="nil" w:sz="6" w:space="0" w:color="auto"/>
              <w:right w:val="nil" w:sz="6" w:space="0" w:color="auto"/>
            </w:tcBorders>
          </w:tcPr>
          <w:p>
            <w:pPr/>
          </w:p>
        </w:tc>
        <w:tc>
          <w:tcPr>
            <w:tcW w:w="1561"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157"/>
              <w:jc w:val="right"/>
              <w:rPr>
                <w:rFonts w:ascii="黑体" w:hAnsi="黑体" w:cs="黑体" w:eastAsia="黑体" w:hint="default"/>
                <w:sz w:val="20"/>
                <w:szCs w:val="20"/>
              </w:rPr>
            </w:pPr>
            <w:r>
              <w:rPr>
                <w:rFonts w:ascii="黑体" w:hAnsi="黑体" w:cs="黑体" w:eastAsia="黑体" w:hint="default"/>
                <w:w w:val="95"/>
                <w:sz w:val="20"/>
                <w:szCs w:val="20"/>
              </w:rPr>
              <w:t>收入</w:t>
            </w:r>
            <w:r>
              <w:rPr>
                <w:rFonts w:ascii="黑体" w:hAnsi="黑体" w:cs="黑体" w:eastAsia="黑体" w:hint="default"/>
                <w:sz w:val="20"/>
                <w:szCs w:val="20"/>
              </w:rPr>
            </w:r>
          </w:p>
        </w:tc>
        <w:tc>
          <w:tcPr>
            <w:tcW w:w="1274" w:type="dxa"/>
            <w:tcBorders>
              <w:top w:val="single" w:sz="4" w:space="0" w:color="000000"/>
              <w:left w:val="nil" w:sz="6" w:space="0" w:color="auto"/>
              <w:bottom w:val="nil" w:sz="6" w:space="0" w:color="auto"/>
              <w:right w:val="nil" w:sz="6" w:space="0" w:color="auto"/>
            </w:tcBorders>
          </w:tcPr>
          <w:p>
            <w:pPr>
              <w:pStyle w:val="TableParagraph"/>
              <w:spacing w:line="240" w:lineRule="auto" w:before="16"/>
              <w:ind w:right="7"/>
              <w:jc w:val="right"/>
              <w:rPr>
                <w:rFonts w:ascii="黑体" w:hAnsi="黑体" w:cs="黑体" w:eastAsia="黑体" w:hint="default"/>
                <w:sz w:val="20"/>
                <w:szCs w:val="20"/>
              </w:rPr>
            </w:pPr>
            <w:r>
              <w:rPr>
                <w:rFonts w:ascii="黑体" w:hAnsi="黑体" w:cs="黑体" w:eastAsia="黑体" w:hint="default"/>
                <w:w w:val="95"/>
                <w:sz w:val="20"/>
                <w:szCs w:val="20"/>
              </w:rPr>
              <w:t>成本</w:t>
            </w:r>
            <w:r>
              <w:rPr>
                <w:rFonts w:ascii="黑体" w:hAnsi="黑体" w:cs="黑体" w:eastAsia="黑体" w:hint="default"/>
                <w:sz w:val="20"/>
                <w:szCs w:val="20"/>
              </w:rPr>
            </w:r>
          </w:p>
        </w:tc>
      </w:tr>
      <w:tr>
        <w:trPr>
          <w:trHeight w:val="541" w:hRule="exact"/>
        </w:trPr>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15"/>
                <w:szCs w:val="15"/>
              </w:rPr>
            </w:pPr>
          </w:p>
          <w:p>
            <w:pPr>
              <w:pStyle w:val="TableParagraph"/>
              <w:spacing w:line="240" w:lineRule="auto"/>
              <w:ind w:left="200" w:right="0"/>
              <w:jc w:val="left"/>
              <w:rPr>
                <w:rFonts w:ascii="黑体" w:hAnsi="黑体" w:cs="黑体" w:eastAsia="黑体" w:hint="default"/>
                <w:sz w:val="20"/>
                <w:szCs w:val="20"/>
              </w:rPr>
            </w:pPr>
            <w:r>
              <w:rPr>
                <w:rFonts w:ascii="黑体" w:hAnsi="黑体" w:cs="黑体" w:eastAsia="黑体" w:hint="default"/>
                <w:sz w:val="20"/>
                <w:szCs w:val="20"/>
              </w:rPr>
              <w:t>中国境内</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8"/>
                <w:szCs w:val="18"/>
              </w:rPr>
            </w:pPr>
          </w:p>
          <w:p>
            <w:pPr>
              <w:pStyle w:val="TableParagraph"/>
              <w:spacing w:line="240" w:lineRule="auto"/>
              <w:ind w:left="266" w:right="0"/>
              <w:jc w:val="left"/>
              <w:rPr>
                <w:rFonts w:ascii="Arial" w:hAnsi="Arial" w:cs="Arial" w:eastAsia="Arial" w:hint="default"/>
                <w:sz w:val="20"/>
                <w:szCs w:val="20"/>
              </w:rPr>
            </w:pPr>
            <w:r>
              <w:rPr>
                <w:rFonts w:ascii="Arial"/>
                <w:sz w:val="20"/>
              </w:rPr>
              <w:t>2,424,446,717</w:t>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8"/>
                <w:szCs w:val="18"/>
              </w:rPr>
            </w:pPr>
          </w:p>
          <w:p>
            <w:pPr>
              <w:pStyle w:val="TableParagraph"/>
              <w:spacing w:line="240" w:lineRule="auto"/>
              <w:ind w:right="5"/>
              <w:jc w:val="right"/>
              <w:rPr>
                <w:rFonts w:ascii="Arial" w:hAnsi="Arial" w:cs="Arial" w:eastAsia="Arial" w:hint="default"/>
                <w:sz w:val="20"/>
                <w:szCs w:val="20"/>
              </w:rPr>
            </w:pPr>
            <w:r>
              <w:rPr>
                <w:rFonts w:ascii="Arial"/>
                <w:spacing w:val="-1"/>
                <w:sz w:val="20"/>
              </w:rPr>
              <w:t>319,947,734</w:t>
            </w:r>
            <w:r>
              <w:rPr>
                <w:rFonts w:ascii="Arial"/>
                <w:sz w:val="20"/>
              </w:rPr>
            </w:r>
          </w:p>
        </w:tc>
        <w:tc>
          <w:tcPr>
            <w:tcW w:w="379"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8"/>
                <w:szCs w:val="18"/>
              </w:rPr>
            </w:pPr>
          </w:p>
          <w:p>
            <w:pPr>
              <w:pStyle w:val="TableParagraph"/>
              <w:spacing w:line="240" w:lineRule="auto"/>
              <w:ind w:right="157"/>
              <w:jc w:val="right"/>
              <w:rPr>
                <w:rFonts w:ascii="Arial" w:hAnsi="Arial" w:cs="Arial" w:eastAsia="Arial" w:hint="default"/>
                <w:sz w:val="20"/>
                <w:szCs w:val="20"/>
              </w:rPr>
            </w:pPr>
            <w:r>
              <w:rPr>
                <w:rFonts w:ascii="Arial"/>
                <w:spacing w:val="-1"/>
                <w:sz w:val="20"/>
              </w:rPr>
              <w:t>2,451,643,826</w:t>
            </w:r>
            <w:r>
              <w:rPr>
                <w:rFonts w:ascii="Arial"/>
                <w:sz w:val="20"/>
              </w:rPr>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黑体" w:hAnsi="黑体" w:cs="黑体" w:eastAsia="黑体" w:hint="default"/>
                <w:sz w:val="18"/>
                <w:szCs w:val="18"/>
              </w:rPr>
            </w:pPr>
          </w:p>
          <w:p>
            <w:pPr>
              <w:pStyle w:val="TableParagraph"/>
              <w:spacing w:line="240" w:lineRule="auto"/>
              <w:ind w:right="8"/>
              <w:jc w:val="right"/>
              <w:rPr>
                <w:rFonts w:ascii="Arial" w:hAnsi="Arial" w:cs="Arial" w:eastAsia="Arial" w:hint="default"/>
                <w:sz w:val="20"/>
                <w:szCs w:val="20"/>
              </w:rPr>
            </w:pPr>
            <w:r>
              <w:rPr>
                <w:rFonts w:ascii="Arial"/>
                <w:spacing w:val="-1"/>
                <w:sz w:val="20"/>
              </w:rPr>
              <w:t>296,749,537</w:t>
            </w:r>
            <w:r>
              <w:rPr>
                <w:rFonts w:ascii="Arial"/>
                <w:sz w:val="20"/>
              </w:rPr>
            </w:r>
          </w:p>
        </w:tc>
      </w:tr>
      <w:tr>
        <w:trPr>
          <w:trHeight w:val="541" w:hRule="exact"/>
        </w:trPr>
        <w:tc>
          <w:tcPr>
            <w:tcW w:w="190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00" w:right="0"/>
              <w:jc w:val="left"/>
              <w:rPr>
                <w:rFonts w:ascii="黑体" w:hAnsi="黑体" w:cs="黑体" w:eastAsia="黑体" w:hint="default"/>
                <w:sz w:val="20"/>
                <w:szCs w:val="20"/>
              </w:rPr>
            </w:pPr>
            <w:r>
              <w:rPr>
                <w:rFonts w:ascii="黑体" w:hAnsi="黑体" w:cs="黑体" w:eastAsia="黑体" w:hint="default"/>
                <w:sz w:val="20"/>
                <w:szCs w:val="20"/>
              </w:rPr>
              <w:t>中国境外</w:t>
            </w:r>
          </w:p>
        </w:tc>
        <w:tc>
          <w:tcPr>
            <w:tcW w:w="1762" w:type="dxa"/>
            <w:tcBorders>
              <w:top w:val="nil" w:sz="6" w:space="0" w:color="auto"/>
              <w:left w:val="nil" w:sz="6" w:space="0" w:color="auto"/>
              <w:bottom w:val="nil" w:sz="6" w:space="0" w:color="auto"/>
              <w:right w:val="nil" w:sz="6" w:space="0" w:color="auto"/>
            </w:tcBorders>
          </w:tcPr>
          <w:p>
            <w:pPr>
              <w:pStyle w:val="TableParagraph"/>
              <w:tabs>
                <w:tab w:pos="659" w:val="left" w:leader="none"/>
              </w:tabs>
              <w:spacing w:line="240" w:lineRule="auto" w:before="55"/>
              <w:ind w:left="256" w:right="0"/>
              <w:jc w:val="lef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t>9,328,211</w:t>
            </w:r>
            <w:r>
              <w:rPr>
                <w:rFonts w:ascii="Arial"/>
                <w:sz w:val="20"/>
              </w:rPr>
            </w:r>
          </w:p>
        </w:tc>
        <w:tc>
          <w:tcPr>
            <w:tcW w:w="1121" w:type="dxa"/>
            <w:tcBorders>
              <w:top w:val="nil" w:sz="6" w:space="0" w:color="auto"/>
              <w:left w:val="nil" w:sz="6" w:space="0" w:color="auto"/>
              <w:bottom w:val="nil" w:sz="6" w:space="0" w:color="auto"/>
              <w:right w:val="nil" w:sz="6" w:space="0" w:color="auto"/>
            </w:tcBorders>
          </w:tcPr>
          <w:p>
            <w:pPr>
              <w:pStyle w:val="TableParagraph"/>
              <w:tabs>
                <w:tab w:pos="395" w:val="left" w:leader="none"/>
              </w:tabs>
              <w:spacing w:line="240" w:lineRule="auto" w:before="55"/>
              <w:ind w:left="-8" w:right="5"/>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177,236</w:t>
            </w:r>
            <w:r>
              <w:rPr>
                <w:rFonts w:ascii="Arial"/>
                <w:spacing w:val="-1"/>
                <w:w w:val="95"/>
                <w:sz w:val="20"/>
              </w:rPr>
            </w:r>
            <w:r>
              <w:rPr>
                <w:rFonts w:ascii="Arial"/>
                <w:sz w:val="20"/>
              </w:rPr>
            </w:r>
          </w:p>
        </w:tc>
        <w:tc>
          <w:tcPr>
            <w:tcW w:w="379"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tabs>
                <w:tab w:pos="1202" w:val="left" w:leader="none"/>
              </w:tabs>
              <w:spacing w:line="240" w:lineRule="auto" w:before="55"/>
              <w:ind w:right="153"/>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1274"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before="55"/>
              <w:ind w:right="3"/>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r>
      <w:tr>
        <w:trPr>
          <w:trHeight w:val="460" w:hRule="exact"/>
        </w:trPr>
        <w:tc>
          <w:tcPr>
            <w:tcW w:w="1906" w:type="dxa"/>
            <w:tcBorders>
              <w:top w:val="nil" w:sz="6" w:space="0" w:color="auto"/>
              <w:left w:val="nil" w:sz="6" w:space="0" w:color="auto"/>
              <w:bottom w:val="nil" w:sz="6" w:space="0" w:color="auto"/>
              <w:right w:val="nil" w:sz="6" w:space="0" w:color="auto"/>
            </w:tcBorders>
          </w:tcPr>
          <w:p>
            <w:pP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7"/>
                <w:szCs w:val="17"/>
              </w:rPr>
            </w:pPr>
          </w:p>
          <w:p>
            <w:pPr>
              <w:pStyle w:val="TableParagraph"/>
              <w:spacing w:line="240" w:lineRule="auto"/>
              <w:ind w:left="266" w:right="0"/>
              <w:jc w:val="left"/>
              <w:rPr>
                <w:rFonts w:ascii="Arial" w:hAnsi="Arial" w:cs="Arial" w:eastAsia="Arial" w:hint="default"/>
                <w:sz w:val="20"/>
                <w:szCs w:val="20"/>
              </w:rPr>
            </w:pPr>
            <w:r>
              <w:rPr>
                <w:rFonts w:ascii="Arial"/>
                <w:w w:val="99"/>
                <w:sz w:val="20"/>
              </w:rPr>
            </w:r>
            <w:r>
              <w:rPr>
                <w:rFonts w:ascii="Arial"/>
                <w:sz w:val="20"/>
                <w:u w:val="thick" w:color="000000"/>
              </w:rPr>
              <w:t>2,433,774,928</w:t>
            </w:r>
            <w:r>
              <w:rPr>
                <w:rFonts w:ascii="Arial"/>
                <w:sz w:val="20"/>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7"/>
                <w:szCs w:val="17"/>
              </w:rPr>
            </w:pPr>
          </w:p>
          <w:p>
            <w:pPr>
              <w:pStyle w:val="TableParagraph"/>
              <w:spacing w:line="240" w:lineRule="auto"/>
              <w:ind w:right="5"/>
              <w:jc w:val="right"/>
              <w:rPr>
                <w:rFonts w:ascii="Arial" w:hAnsi="Arial" w:cs="Arial" w:eastAsia="Arial" w:hint="default"/>
                <w:sz w:val="20"/>
                <w:szCs w:val="20"/>
              </w:rPr>
            </w:pPr>
            <w:r>
              <w:rPr>
                <w:rFonts w:ascii="Arial"/>
                <w:w w:val="99"/>
                <w:sz w:val="20"/>
              </w:rPr>
            </w:r>
            <w:r>
              <w:rPr>
                <w:rFonts w:ascii="Arial"/>
                <w:spacing w:val="-1"/>
                <w:sz w:val="20"/>
                <w:u w:val="thick" w:color="000000"/>
              </w:rPr>
              <w:t>320,124,970</w:t>
            </w:r>
            <w:r>
              <w:rPr>
                <w:rFonts w:ascii="Arial"/>
                <w:spacing w:val="-1"/>
                <w:sz w:val="20"/>
              </w:rPr>
            </w:r>
            <w:r>
              <w:rPr>
                <w:rFonts w:ascii="Arial"/>
                <w:sz w:val="20"/>
              </w:rPr>
            </w:r>
          </w:p>
        </w:tc>
        <w:tc>
          <w:tcPr>
            <w:tcW w:w="379"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7"/>
                <w:szCs w:val="17"/>
              </w:rPr>
            </w:pPr>
          </w:p>
          <w:p>
            <w:pPr>
              <w:pStyle w:val="TableParagraph"/>
              <w:spacing w:line="240" w:lineRule="auto"/>
              <w:ind w:right="157"/>
              <w:jc w:val="right"/>
              <w:rPr>
                <w:rFonts w:ascii="Arial" w:hAnsi="Arial" w:cs="Arial" w:eastAsia="Arial" w:hint="default"/>
                <w:sz w:val="20"/>
                <w:szCs w:val="20"/>
              </w:rPr>
            </w:pPr>
            <w:r>
              <w:rPr>
                <w:rFonts w:ascii="Arial"/>
                <w:w w:val="99"/>
                <w:sz w:val="20"/>
              </w:rPr>
            </w:r>
            <w:r>
              <w:rPr>
                <w:rFonts w:ascii="Arial"/>
                <w:spacing w:val="-1"/>
                <w:sz w:val="20"/>
                <w:u w:val="thick" w:color="000000"/>
              </w:rPr>
              <w:t>2,451,643,826</w:t>
            </w:r>
            <w:r>
              <w:rPr>
                <w:rFonts w:ascii="Arial"/>
                <w:spacing w:val="-1"/>
                <w:sz w:val="20"/>
              </w:rPr>
            </w:r>
            <w:r>
              <w:rPr>
                <w:rFonts w:ascii="Arial"/>
                <w:sz w:val="20"/>
              </w:rPr>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黑体" w:hAnsi="黑体" w:cs="黑体" w:eastAsia="黑体" w:hint="default"/>
                <w:sz w:val="17"/>
                <w:szCs w:val="17"/>
              </w:rPr>
            </w:pPr>
          </w:p>
          <w:p>
            <w:pPr>
              <w:pStyle w:val="TableParagraph"/>
              <w:spacing w:line="240" w:lineRule="auto"/>
              <w:ind w:right="8"/>
              <w:jc w:val="right"/>
              <w:rPr>
                <w:rFonts w:ascii="Arial" w:hAnsi="Arial" w:cs="Arial" w:eastAsia="Arial" w:hint="default"/>
                <w:sz w:val="20"/>
                <w:szCs w:val="20"/>
              </w:rPr>
            </w:pPr>
            <w:r>
              <w:rPr>
                <w:rFonts w:ascii="Arial"/>
                <w:w w:val="99"/>
                <w:sz w:val="20"/>
              </w:rPr>
            </w:r>
            <w:r>
              <w:rPr>
                <w:rFonts w:ascii="Arial"/>
                <w:spacing w:val="-1"/>
                <w:sz w:val="20"/>
                <w:u w:val="thick" w:color="000000"/>
              </w:rPr>
              <w:t>296,749,537</w:t>
            </w:r>
            <w:r>
              <w:rPr>
                <w:rFonts w:ascii="Arial"/>
                <w:spacing w:val="-1"/>
                <w:sz w:val="20"/>
              </w:rPr>
            </w:r>
            <w:r>
              <w:rPr>
                <w:rFonts w:ascii="Arial"/>
                <w:sz w:val="20"/>
              </w:rPr>
            </w:r>
          </w:p>
        </w:tc>
      </w:tr>
    </w:tbl>
    <w:p>
      <w:pPr>
        <w:spacing w:line="240" w:lineRule="auto" w:before="12"/>
        <w:rPr>
          <w:rFonts w:ascii="黑体" w:hAnsi="黑体" w:cs="黑体" w:eastAsia="黑体" w:hint="default"/>
          <w:sz w:val="25"/>
          <w:szCs w:val="25"/>
        </w:rPr>
      </w:pPr>
    </w:p>
    <w:p>
      <w:pPr>
        <w:pStyle w:val="BodyText"/>
        <w:spacing w:line="240" w:lineRule="auto" w:before="37"/>
        <w:ind w:right="3627"/>
        <w:jc w:val="left"/>
      </w:pPr>
      <w:r>
        <w:rPr>
          <w:rFonts w:ascii="Arial" w:hAnsi="Arial" w:cs="Arial" w:eastAsia="Arial" w:hint="default"/>
        </w:rPr>
        <w:t>2012</w:t>
      </w:r>
      <w:r>
        <w:rPr/>
        <w:t>年，前五名客户的营业收入如下：</w:t>
      </w:r>
    </w:p>
    <w:p>
      <w:pPr>
        <w:spacing w:line="240" w:lineRule="auto" w:before="6"/>
        <w:rPr>
          <w:rFonts w:ascii="黑体" w:hAnsi="黑体" w:cs="黑体" w:eastAsia="黑体" w:hint="default"/>
          <w:sz w:val="21"/>
          <w:szCs w:val="21"/>
        </w:rPr>
      </w:pPr>
    </w:p>
    <w:tbl>
      <w:tblPr>
        <w:tblW w:w="0" w:type="auto"/>
        <w:jc w:val="left"/>
        <w:tblInd w:w="590" w:type="dxa"/>
        <w:tblLayout w:type="fixed"/>
        <w:tblCellMar>
          <w:top w:w="0" w:type="dxa"/>
          <w:left w:w="0" w:type="dxa"/>
          <w:bottom w:w="0" w:type="dxa"/>
          <w:right w:w="0" w:type="dxa"/>
        </w:tblCellMar>
        <w:tblLook w:val="01E0"/>
      </w:tblPr>
      <w:tblGrid>
        <w:gridCol w:w="2873"/>
        <w:gridCol w:w="3282"/>
        <w:gridCol w:w="2051"/>
      </w:tblGrid>
      <w:tr>
        <w:trPr>
          <w:trHeight w:val="348" w:hRule="exact"/>
        </w:trPr>
        <w:tc>
          <w:tcPr>
            <w:tcW w:w="2873" w:type="dxa"/>
            <w:tcBorders>
              <w:top w:val="nil" w:sz="6" w:space="0" w:color="auto"/>
              <w:left w:val="nil" w:sz="6" w:space="0" w:color="auto"/>
              <w:bottom w:val="nil" w:sz="6" w:space="0" w:color="auto"/>
              <w:right w:val="nil" w:sz="6" w:space="0" w:color="auto"/>
            </w:tcBorders>
          </w:tcPr>
          <w:p>
            <w:pPr/>
          </w:p>
        </w:tc>
        <w:tc>
          <w:tcPr>
            <w:tcW w:w="3282" w:type="dxa"/>
            <w:tcBorders>
              <w:top w:val="nil" w:sz="6" w:space="0" w:color="auto"/>
              <w:left w:val="nil" w:sz="6" w:space="0" w:color="auto"/>
              <w:bottom w:val="nil" w:sz="6" w:space="0" w:color="auto"/>
              <w:right w:val="nil" w:sz="6" w:space="0" w:color="auto"/>
            </w:tcBorders>
          </w:tcPr>
          <w:p>
            <w:pPr>
              <w:pStyle w:val="TableParagraph"/>
              <w:spacing w:line="199" w:lineRule="exact"/>
              <w:ind w:right="137"/>
              <w:jc w:val="right"/>
              <w:rPr>
                <w:rFonts w:ascii="黑体" w:hAnsi="黑体" w:cs="黑体" w:eastAsia="黑体" w:hint="default"/>
                <w:sz w:val="20"/>
                <w:szCs w:val="20"/>
              </w:rPr>
            </w:pPr>
            <w:r>
              <w:rPr>
                <w:rFonts w:ascii="黑体" w:hAnsi="黑体" w:cs="黑体" w:eastAsia="黑体" w:hint="default"/>
                <w:w w:val="95"/>
                <w:sz w:val="20"/>
                <w:szCs w:val="20"/>
              </w:rPr>
              <w:t>金额</w:t>
            </w:r>
            <w:r>
              <w:rPr>
                <w:rFonts w:ascii="黑体" w:hAnsi="黑体" w:cs="黑体" w:eastAsia="黑体" w:hint="default"/>
                <w:sz w:val="20"/>
                <w:szCs w:val="20"/>
              </w:rPr>
            </w:r>
          </w:p>
        </w:tc>
        <w:tc>
          <w:tcPr>
            <w:tcW w:w="2051" w:type="dxa"/>
            <w:tcBorders>
              <w:top w:val="nil" w:sz="6" w:space="0" w:color="auto"/>
              <w:left w:val="nil" w:sz="6" w:space="0" w:color="auto"/>
              <w:bottom w:val="nil" w:sz="6" w:space="0" w:color="auto"/>
              <w:right w:val="nil" w:sz="6" w:space="0" w:color="auto"/>
            </w:tcBorders>
          </w:tcPr>
          <w:p>
            <w:pPr>
              <w:pStyle w:val="TableParagraph"/>
              <w:spacing w:line="214" w:lineRule="exact"/>
              <w:ind w:right="201"/>
              <w:jc w:val="right"/>
              <w:rPr>
                <w:rFonts w:ascii="Arial" w:hAnsi="Arial" w:cs="Arial" w:eastAsia="Arial" w:hint="default"/>
                <w:sz w:val="20"/>
                <w:szCs w:val="20"/>
              </w:rPr>
            </w:pPr>
            <w:r>
              <w:rPr>
                <w:rFonts w:ascii="黑体" w:hAnsi="黑体" w:cs="黑体" w:eastAsia="黑体" w:hint="default"/>
                <w:w w:val="95"/>
                <w:sz w:val="20"/>
                <w:szCs w:val="20"/>
              </w:rPr>
              <w:t>占营业收入比例</w:t>
            </w:r>
            <w:r>
              <w:rPr>
                <w:rFonts w:ascii="Arial" w:hAnsi="Arial" w:cs="Arial" w:eastAsia="Arial" w:hint="default"/>
                <w:w w:val="95"/>
                <w:sz w:val="20"/>
                <w:szCs w:val="20"/>
              </w:rPr>
              <w:t>(%)</w:t>
            </w:r>
            <w:r>
              <w:rPr>
                <w:rFonts w:ascii="Arial" w:hAnsi="Arial" w:cs="Arial" w:eastAsia="Arial" w:hint="default"/>
                <w:sz w:val="20"/>
                <w:szCs w:val="20"/>
              </w:rPr>
            </w:r>
          </w:p>
        </w:tc>
      </w:tr>
      <w:tr>
        <w:trPr>
          <w:trHeight w:val="372" w:hRule="exact"/>
        </w:trPr>
        <w:tc>
          <w:tcPr>
            <w:tcW w:w="2873"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19" w:right="0"/>
              <w:jc w:val="left"/>
              <w:rPr>
                <w:rFonts w:ascii="Arial" w:hAnsi="Arial" w:cs="Arial" w:eastAsia="Arial" w:hint="default"/>
                <w:sz w:val="20"/>
                <w:szCs w:val="20"/>
              </w:rPr>
            </w:pPr>
            <w:r>
              <w:rPr>
                <w:rFonts w:ascii="黑体" w:hAnsi="黑体" w:cs="黑体" w:eastAsia="黑体" w:hint="default"/>
                <w:sz w:val="20"/>
                <w:szCs w:val="20"/>
              </w:rPr>
              <w:t>单位</w:t>
            </w:r>
            <w:r>
              <w:rPr>
                <w:rFonts w:ascii="Arial" w:hAnsi="Arial" w:cs="Arial" w:eastAsia="Arial" w:hint="default"/>
                <w:sz w:val="20"/>
                <w:szCs w:val="20"/>
              </w:rPr>
              <w:t>1</w:t>
            </w:r>
          </w:p>
        </w:tc>
        <w:tc>
          <w:tcPr>
            <w:tcW w:w="3282"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37"/>
              <w:jc w:val="right"/>
              <w:rPr>
                <w:rFonts w:ascii="Arial" w:hAnsi="Arial" w:cs="Arial" w:eastAsia="Arial" w:hint="default"/>
                <w:sz w:val="20"/>
                <w:szCs w:val="20"/>
              </w:rPr>
            </w:pPr>
            <w:r>
              <w:rPr>
                <w:rFonts w:ascii="Arial"/>
                <w:spacing w:val="-1"/>
                <w:sz w:val="20"/>
              </w:rPr>
              <w:t>31,749,943</w:t>
            </w:r>
            <w:r>
              <w:rPr>
                <w:rFonts w:ascii="Arial"/>
                <w:sz w:val="20"/>
              </w:rPr>
            </w: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98"/>
              <w:jc w:val="right"/>
              <w:rPr>
                <w:rFonts w:ascii="Arial" w:hAnsi="Arial" w:cs="Arial" w:eastAsia="Arial" w:hint="default"/>
                <w:sz w:val="20"/>
                <w:szCs w:val="20"/>
              </w:rPr>
            </w:pPr>
            <w:r>
              <w:rPr>
                <w:rFonts w:ascii="Arial"/>
                <w:w w:val="99"/>
                <w:sz w:val="20"/>
              </w:rPr>
              <w:t>1</w:t>
            </w:r>
            <w:r>
              <w:rPr>
                <w:rFonts w:ascii="Arial"/>
                <w:sz w:val="20"/>
              </w:rPr>
            </w:r>
          </w:p>
        </w:tc>
      </w:tr>
      <w:tr>
        <w:trPr>
          <w:trHeight w:val="256" w:hRule="exact"/>
        </w:trPr>
        <w:tc>
          <w:tcPr>
            <w:tcW w:w="2873" w:type="dxa"/>
            <w:tcBorders>
              <w:top w:val="nil" w:sz="6" w:space="0" w:color="auto"/>
              <w:left w:val="nil" w:sz="6" w:space="0" w:color="auto"/>
              <w:bottom w:val="nil" w:sz="6" w:space="0" w:color="auto"/>
              <w:right w:val="nil" w:sz="6" w:space="0" w:color="auto"/>
            </w:tcBorders>
          </w:tcPr>
          <w:p>
            <w:pPr>
              <w:pStyle w:val="TableParagraph"/>
              <w:spacing w:line="237" w:lineRule="exact"/>
              <w:ind w:left="219" w:right="0"/>
              <w:jc w:val="left"/>
              <w:rPr>
                <w:rFonts w:ascii="Arial" w:hAnsi="Arial" w:cs="Arial" w:eastAsia="Arial" w:hint="default"/>
                <w:sz w:val="20"/>
                <w:szCs w:val="20"/>
              </w:rPr>
            </w:pPr>
            <w:r>
              <w:rPr>
                <w:rFonts w:ascii="黑体" w:hAnsi="黑体" w:cs="黑体" w:eastAsia="黑体" w:hint="default"/>
                <w:sz w:val="20"/>
                <w:szCs w:val="20"/>
              </w:rPr>
              <w:t>单位</w:t>
            </w:r>
            <w:r>
              <w:rPr>
                <w:rFonts w:ascii="Arial" w:hAnsi="Arial" w:cs="Arial" w:eastAsia="Arial" w:hint="default"/>
                <w:sz w:val="20"/>
                <w:szCs w:val="20"/>
              </w:rPr>
              <w:t>2</w:t>
            </w:r>
          </w:p>
        </w:tc>
        <w:tc>
          <w:tcPr>
            <w:tcW w:w="32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7"/>
              <w:jc w:val="right"/>
              <w:rPr>
                <w:rFonts w:ascii="Arial" w:hAnsi="Arial" w:cs="Arial" w:eastAsia="Arial" w:hint="default"/>
                <w:sz w:val="20"/>
                <w:szCs w:val="20"/>
              </w:rPr>
            </w:pPr>
            <w:r>
              <w:rPr>
                <w:rFonts w:ascii="Arial"/>
                <w:spacing w:val="-1"/>
                <w:sz w:val="20"/>
              </w:rPr>
              <w:t>13,615,385</w:t>
            </w:r>
            <w:r>
              <w:rPr>
                <w:rFonts w:ascii="Arial"/>
                <w:sz w:val="20"/>
              </w:rPr>
            </w: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w w:val="99"/>
                <w:sz w:val="20"/>
              </w:rPr>
              <w:t>1</w:t>
            </w:r>
            <w:r>
              <w:rPr>
                <w:rFonts w:ascii="Arial"/>
                <w:sz w:val="20"/>
              </w:rPr>
            </w:r>
          </w:p>
        </w:tc>
      </w:tr>
      <w:tr>
        <w:trPr>
          <w:trHeight w:val="254" w:hRule="exact"/>
        </w:trPr>
        <w:tc>
          <w:tcPr>
            <w:tcW w:w="2873" w:type="dxa"/>
            <w:tcBorders>
              <w:top w:val="nil" w:sz="6" w:space="0" w:color="auto"/>
              <w:left w:val="nil" w:sz="6" w:space="0" w:color="auto"/>
              <w:bottom w:val="nil" w:sz="6" w:space="0" w:color="auto"/>
              <w:right w:val="nil" w:sz="6" w:space="0" w:color="auto"/>
            </w:tcBorders>
          </w:tcPr>
          <w:p>
            <w:pPr>
              <w:pStyle w:val="TableParagraph"/>
              <w:spacing w:line="236" w:lineRule="exact"/>
              <w:ind w:left="219" w:right="0"/>
              <w:jc w:val="left"/>
              <w:rPr>
                <w:rFonts w:ascii="Arial" w:hAnsi="Arial" w:cs="Arial" w:eastAsia="Arial" w:hint="default"/>
                <w:sz w:val="20"/>
                <w:szCs w:val="20"/>
              </w:rPr>
            </w:pPr>
            <w:r>
              <w:rPr>
                <w:rFonts w:ascii="黑体" w:hAnsi="黑体" w:cs="黑体" w:eastAsia="黑体" w:hint="default"/>
                <w:sz w:val="20"/>
                <w:szCs w:val="20"/>
              </w:rPr>
              <w:t>单位</w:t>
            </w:r>
            <w:r>
              <w:rPr>
                <w:rFonts w:ascii="Arial" w:hAnsi="Arial" w:cs="Arial" w:eastAsia="Arial" w:hint="default"/>
                <w:sz w:val="20"/>
                <w:szCs w:val="20"/>
              </w:rPr>
              <w:t>3</w:t>
            </w:r>
          </w:p>
        </w:tc>
        <w:tc>
          <w:tcPr>
            <w:tcW w:w="32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7"/>
              <w:jc w:val="right"/>
              <w:rPr>
                <w:rFonts w:ascii="Arial" w:hAnsi="Arial" w:cs="Arial" w:eastAsia="Arial" w:hint="default"/>
                <w:sz w:val="20"/>
                <w:szCs w:val="20"/>
              </w:rPr>
            </w:pPr>
            <w:r>
              <w:rPr>
                <w:rFonts w:ascii="Arial"/>
                <w:spacing w:val="-1"/>
                <w:sz w:val="20"/>
              </w:rPr>
              <w:t>12,088,832</w:t>
            </w:r>
            <w:r>
              <w:rPr>
                <w:rFonts w:ascii="Arial"/>
                <w:sz w:val="20"/>
              </w:rPr>
            </w: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01"/>
              <w:jc w:val="right"/>
              <w:rPr>
                <w:rFonts w:ascii="Arial" w:hAnsi="Arial" w:cs="Arial" w:eastAsia="Arial" w:hint="default"/>
                <w:sz w:val="20"/>
                <w:szCs w:val="20"/>
              </w:rPr>
            </w:pPr>
            <w:r>
              <w:rPr>
                <w:rFonts w:ascii="Arial"/>
                <w:spacing w:val="-2"/>
                <w:w w:val="95"/>
                <w:sz w:val="20"/>
              </w:rPr>
              <w:t>&lt;1</w:t>
            </w:r>
            <w:r>
              <w:rPr>
                <w:rFonts w:ascii="Arial"/>
                <w:sz w:val="20"/>
              </w:rPr>
            </w:r>
          </w:p>
        </w:tc>
      </w:tr>
      <w:tr>
        <w:trPr>
          <w:trHeight w:val="254" w:hRule="exact"/>
        </w:trPr>
        <w:tc>
          <w:tcPr>
            <w:tcW w:w="2873" w:type="dxa"/>
            <w:tcBorders>
              <w:top w:val="nil" w:sz="6" w:space="0" w:color="auto"/>
              <w:left w:val="nil" w:sz="6" w:space="0" w:color="auto"/>
              <w:bottom w:val="nil" w:sz="6" w:space="0" w:color="auto"/>
              <w:right w:val="nil" w:sz="6" w:space="0" w:color="auto"/>
            </w:tcBorders>
          </w:tcPr>
          <w:p>
            <w:pPr>
              <w:pStyle w:val="TableParagraph"/>
              <w:spacing w:line="236" w:lineRule="exact"/>
              <w:ind w:left="219" w:right="0"/>
              <w:jc w:val="left"/>
              <w:rPr>
                <w:rFonts w:ascii="Arial" w:hAnsi="Arial" w:cs="Arial" w:eastAsia="Arial" w:hint="default"/>
                <w:sz w:val="20"/>
                <w:szCs w:val="20"/>
              </w:rPr>
            </w:pPr>
            <w:r>
              <w:rPr>
                <w:rFonts w:ascii="黑体" w:hAnsi="黑体" w:cs="黑体" w:eastAsia="黑体" w:hint="default"/>
                <w:sz w:val="20"/>
                <w:szCs w:val="20"/>
              </w:rPr>
              <w:t>单位</w:t>
            </w:r>
            <w:r>
              <w:rPr>
                <w:rFonts w:ascii="Arial" w:hAnsi="Arial" w:cs="Arial" w:eastAsia="Arial" w:hint="default"/>
                <w:sz w:val="20"/>
                <w:szCs w:val="20"/>
              </w:rPr>
              <w:t>4</w:t>
            </w:r>
          </w:p>
        </w:tc>
        <w:tc>
          <w:tcPr>
            <w:tcW w:w="32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7"/>
              <w:jc w:val="right"/>
              <w:rPr>
                <w:rFonts w:ascii="Arial" w:hAnsi="Arial" w:cs="Arial" w:eastAsia="Arial" w:hint="default"/>
                <w:sz w:val="20"/>
                <w:szCs w:val="20"/>
              </w:rPr>
            </w:pPr>
            <w:r>
              <w:rPr>
                <w:rFonts w:ascii="Arial"/>
                <w:spacing w:val="-1"/>
                <w:sz w:val="20"/>
              </w:rPr>
              <w:t>11,896,068</w:t>
            </w:r>
            <w:r>
              <w:rPr>
                <w:rFonts w:ascii="Arial"/>
                <w:sz w:val="20"/>
              </w:rPr>
            </w: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01"/>
              <w:jc w:val="right"/>
              <w:rPr>
                <w:rFonts w:ascii="Arial" w:hAnsi="Arial" w:cs="Arial" w:eastAsia="Arial" w:hint="default"/>
                <w:sz w:val="20"/>
                <w:szCs w:val="20"/>
              </w:rPr>
            </w:pPr>
            <w:r>
              <w:rPr>
                <w:rFonts w:ascii="Arial"/>
                <w:spacing w:val="-2"/>
                <w:w w:val="95"/>
                <w:sz w:val="20"/>
              </w:rPr>
              <w:t>&lt;1</w:t>
            </w:r>
            <w:r>
              <w:rPr>
                <w:rFonts w:ascii="Arial"/>
                <w:sz w:val="20"/>
              </w:rPr>
            </w:r>
          </w:p>
        </w:tc>
      </w:tr>
      <w:tr>
        <w:trPr>
          <w:trHeight w:val="380" w:hRule="exact"/>
        </w:trPr>
        <w:tc>
          <w:tcPr>
            <w:tcW w:w="2873" w:type="dxa"/>
            <w:tcBorders>
              <w:top w:val="nil" w:sz="6" w:space="0" w:color="auto"/>
              <w:left w:val="nil" w:sz="6" w:space="0" w:color="auto"/>
              <w:bottom w:val="nil" w:sz="6" w:space="0" w:color="auto"/>
              <w:right w:val="nil" w:sz="6" w:space="0" w:color="auto"/>
            </w:tcBorders>
          </w:tcPr>
          <w:p>
            <w:pPr>
              <w:pStyle w:val="TableParagraph"/>
              <w:spacing w:line="236" w:lineRule="exact"/>
              <w:ind w:left="200" w:right="0"/>
              <w:jc w:val="left"/>
              <w:rPr>
                <w:rFonts w:ascii="Arial" w:hAnsi="Arial" w:cs="Arial" w:eastAsia="Arial" w:hint="default"/>
                <w:sz w:val="20"/>
                <w:szCs w:val="20"/>
              </w:rPr>
            </w:pPr>
            <w:r>
              <w:rPr>
                <w:rFonts w:ascii="黑体" w:hAnsi="黑体" w:cs="黑体" w:eastAsia="黑体" w:hint="default"/>
                <w:sz w:val="20"/>
                <w:szCs w:val="20"/>
              </w:rPr>
              <w:t>单位</w:t>
            </w:r>
            <w:r>
              <w:rPr>
                <w:rFonts w:ascii="Arial" w:hAnsi="Arial" w:cs="Arial" w:eastAsia="Arial" w:hint="default"/>
                <w:sz w:val="20"/>
                <w:szCs w:val="20"/>
              </w:rPr>
              <w:t>5</w:t>
            </w:r>
          </w:p>
        </w:tc>
        <w:tc>
          <w:tcPr>
            <w:tcW w:w="32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7"/>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w w:val="95"/>
                <w:sz w:val="20"/>
                <w:u w:val="single" w:color="000000"/>
              </w:rPr>
              <w:t>9,972,650</w:t>
            </w:r>
            <w:r>
              <w:rPr>
                <w:rFonts w:ascii="Arial"/>
                <w:spacing w:val="-1"/>
                <w:w w:val="95"/>
                <w:sz w:val="20"/>
              </w:rPr>
            </w:r>
            <w:r>
              <w:rPr>
                <w:rFonts w:ascii="Arial"/>
                <w:sz w:val="20"/>
              </w:rPr>
            </w: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01"/>
              <w:jc w:val="right"/>
              <w:rPr>
                <w:rFonts w:ascii="Arial" w:hAnsi="Arial" w:cs="Arial" w:eastAsia="Arial" w:hint="default"/>
                <w:sz w:val="20"/>
                <w:szCs w:val="20"/>
              </w:rPr>
            </w:pPr>
            <w:r>
              <w:rPr>
                <w:rFonts w:ascii="Arial"/>
                <w:w w:val="99"/>
                <w:sz w:val="20"/>
              </w:rPr>
            </w:r>
            <w:r>
              <w:rPr>
                <w:rFonts w:ascii="Arial"/>
                <w:spacing w:val="-2"/>
                <w:w w:val="95"/>
                <w:sz w:val="20"/>
                <w:u w:val="single" w:color="000000"/>
              </w:rPr>
              <w:t>&lt;1</w:t>
            </w:r>
            <w:r>
              <w:rPr>
                <w:rFonts w:ascii="Arial"/>
                <w:spacing w:val="-2"/>
                <w:w w:val="95"/>
                <w:sz w:val="20"/>
              </w:rPr>
            </w:r>
            <w:r>
              <w:rPr>
                <w:rFonts w:ascii="Arial"/>
                <w:sz w:val="20"/>
              </w:rPr>
            </w:r>
          </w:p>
        </w:tc>
      </w:tr>
      <w:tr>
        <w:trPr>
          <w:trHeight w:val="348" w:hRule="exact"/>
        </w:trPr>
        <w:tc>
          <w:tcPr>
            <w:tcW w:w="2873" w:type="dxa"/>
            <w:tcBorders>
              <w:top w:val="nil" w:sz="6" w:space="0" w:color="auto"/>
              <w:left w:val="nil" w:sz="6" w:space="0" w:color="auto"/>
              <w:bottom w:val="nil" w:sz="6" w:space="0" w:color="auto"/>
              <w:right w:val="nil" w:sz="6" w:space="0" w:color="auto"/>
            </w:tcBorders>
          </w:tcPr>
          <w:p>
            <w:pPr/>
          </w:p>
        </w:tc>
        <w:tc>
          <w:tcPr>
            <w:tcW w:w="3282"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37"/>
              <w:jc w:val="right"/>
              <w:rPr>
                <w:rFonts w:ascii="Arial" w:hAnsi="Arial" w:cs="Arial" w:eastAsia="Arial" w:hint="default"/>
                <w:sz w:val="20"/>
                <w:szCs w:val="20"/>
              </w:rPr>
            </w:pPr>
            <w:r>
              <w:rPr>
                <w:rFonts w:ascii="Arial"/>
                <w:w w:val="99"/>
                <w:sz w:val="20"/>
              </w:rPr>
            </w:r>
            <w:r>
              <w:rPr>
                <w:rFonts w:ascii="Arial"/>
                <w:spacing w:val="-1"/>
                <w:sz w:val="20"/>
                <w:u w:val="thick" w:color="000000"/>
              </w:rPr>
              <w:t>79,322,878</w:t>
            </w:r>
            <w:r>
              <w:rPr>
                <w:rFonts w:ascii="Arial"/>
                <w:spacing w:val="-1"/>
                <w:sz w:val="20"/>
              </w:rPr>
            </w:r>
            <w:r>
              <w:rPr>
                <w:rFonts w:ascii="Arial"/>
                <w:sz w:val="20"/>
              </w:rPr>
            </w: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9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w w:val="95"/>
                <w:sz w:val="20"/>
                <w:u w:val="single" w:color="000000"/>
              </w:rPr>
              <w:t>3</w:t>
            </w:r>
            <w:r>
              <w:rPr>
                <w:rFonts w:ascii="Arial"/>
                <w:w w:val="95"/>
                <w:sz w:val="20"/>
              </w:rPr>
            </w:r>
            <w:r>
              <w:rPr>
                <w:rFonts w:ascii="Arial"/>
                <w:sz w:val="20"/>
              </w:rPr>
            </w:r>
          </w:p>
        </w:tc>
      </w:tr>
    </w:tbl>
    <w:p>
      <w:pPr>
        <w:spacing w:line="240" w:lineRule="auto" w:before="1"/>
        <w:rPr>
          <w:rFonts w:ascii="黑体" w:hAnsi="黑体" w:cs="黑体" w:eastAsia="黑体" w:hint="default"/>
          <w:sz w:val="13"/>
          <w:szCs w:val="13"/>
        </w:rPr>
      </w:pPr>
    </w:p>
    <w:p>
      <w:pPr>
        <w:pStyle w:val="BodyText"/>
        <w:spacing w:line="240" w:lineRule="auto" w:before="37"/>
        <w:ind w:right="3627"/>
        <w:jc w:val="left"/>
      </w:pPr>
      <w:r>
        <w:rPr>
          <w:rFonts w:ascii="Arial" w:hAnsi="Arial" w:cs="Arial" w:eastAsia="Arial" w:hint="default"/>
        </w:rPr>
        <w:t>2011</w:t>
      </w:r>
      <w:r>
        <w:rPr/>
        <w:t>年，前五名客户的营业收入如下：</w:t>
      </w:r>
    </w:p>
    <w:p>
      <w:pPr>
        <w:spacing w:line="240" w:lineRule="auto" w:before="6"/>
        <w:rPr>
          <w:rFonts w:ascii="黑体" w:hAnsi="黑体" w:cs="黑体" w:eastAsia="黑体" w:hint="default"/>
          <w:sz w:val="21"/>
          <w:szCs w:val="21"/>
        </w:rPr>
      </w:pPr>
    </w:p>
    <w:tbl>
      <w:tblPr>
        <w:tblW w:w="0" w:type="auto"/>
        <w:jc w:val="left"/>
        <w:tblInd w:w="590" w:type="dxa"/>
        <w:tblLayout w:type="fixed"/>
        <w:tblCellMar>
          <w:top w:w="0" w:type="dxa"/>
          <w:left w:w="0" w:type="dxa"/>
          <w:bottom w:w="0" w:type="dxa"/>
          <w:right w:w="0" w:type="dxa"/>
        </w:tblCellMar>
        <w:tblLook w:val="01E0"/>
      </w:tblPr>
      <w:tblGrid>
        <w:gridCol w:w="2868"/>
        <w:gridCol w:w="3278"/>
        <w:gridCol w:w="2059"/>
      </w:tblGrid>
      <w:tr>
        <w:trPr>
          <w:trHeight w:val="359" w:hRule="exact"/>
        </w:trPr>
        <w:tc>
          <w:tcPr>
            <w:tcW w:w="2868" w:type="dxa"/>
            <w:tcBorders>
              <w:top w:val="nil" w:sz="6" w:space="0" w:color="auto"/>
              <w:left w:val="nil" w:sz="6" w:space="0" w:color="auto"/>
              <w:bottom w:val="nil" w:sz="6" w:space="0" w:color="auto"/>
              <w:right w:val="nil" w:sz="6" w:space="0" w:color="auto"/>
            </w:tcBorders>
          </w:tcPr>
          <w:p>
            <w:pPr/>
          </w:p>
        </w:tc>
        <w:tc>
          <w:tcPr>
            <w:tcW w:w="3278" w:type="dxa"/>
            <w:tcBorders>
              <w:top w:val="nil" w:sz="6" w:space="0" w:color="auto"/>
              <w:left w:val="nil" w:sz="6" w:space="0" w:color="auto"/>
              <w:bottom w:val="nil" w:sz="6" w:space="0" w:color="auto"/>
              <w:right w:val="nil" w:sz="6" w:space="0" w:color="auto"/>
            </w:tcBorders>
          </w:tcPr>
          <w:p>
            <w:pPr>
              <w:pStyle w:val="TableParagraph"/>
              <w:spacing w:line="199" w:lineRule="exact"/>
              <w:ind w:right="145"/>
              <w:jc w:val="right"/>
              <w:rPr>
                <w:rFonts w:ascii="黑体" w:hAnsi="黑体" w:cs="黑体" w:eastAsia="黑体" w:hint="default"/>
                <w:sz w:val="20"/>
                <w:szCs w:val="20"/>
              </w:rPr>
            </w:pPr>
            <w:r>
              <w:rPr>
                <w:rFonts w:ascii="黑体" w:hAnsi="黑体" w:cs="黑体" w:eastAsia="黑体" w:hint="default"/>
                <w:w w:val="95"/>
                <w:sz w:val="20"/>
                <w:szCs w:val="20"/>
              </w:rPr>
              <w:t>金额</w:t>
            </w:r>
            <w:r>
              <w:rPr>
                <w:rFonts w:ascii="黑体" w:hAnsi="黑体" w:cs="黑体" w:eastAsia="黑体" w:hint="default"/>
                <w:sz w:val="20"/>
                <w:szCs w:val="20"/>
              </w:rPr>
            </w:r>
          </w:p>
        </w:tc>
        <w:tc>
          <w:tcPr>
            <w:tcW w:w="2059" w:type="dxa"/>
            <w:tcBorders>
              <w:top w:val="nil" w:sz="6" w:space="0" w:color="auto"/>
              <w:left w:val="nil" w:sz="6" w:space="0" w:color="auto"/>
              <w:bottom w:val="nil" w:sz="6" w:space="0" w:color="auto"/>
              <w:right w:val="nil" w:sz="6" w:space="0" w:color="auto"/>
            </w:tcBorders>
          </w:tcPr>
          <w:p>
            <w:pPr>
              <w:pStyle w:val="TableParagraph"/>
              <w:spacing w:line="214" w:lineRule="exact"/>
              <w:ind w:right="208"/>
              <w:jc w:val="right"/>
              <w:rPr>
                <w:rFonts w:ascii="Arial" w:hAnsi="Arial" w:cs="Arial" w:eastAsia="Arial" w:hint="default"/>
                <w:sz w:val="20"/>
                <w:szCs w:val="20"/>
              </w:rPr>
            </w:pPr>
            <w:r>
              <w:rPr>
                <w:rFonts w:ascii="黑体" w:hAnsi="黑体" w:cs="黑体" w:eastAsia="黑体" w:hint="default"/>
                <w:w w:val="95"/>
                <w:sz w:val="20"/>
                <w:szCs w:val="20"/>
              </w:rPr>
              <w:t>占营业收入比例</w:t>
            </w:r>
            <w:r>
              <w:rPr>
                <w:rFonts w:ascii="Arial" w:hAnsi="Arial" w:cs="Arial" w:eastAsia="Arial" w:hint="default"/>
                <w:w w:val="95"/>
                <w:sz w:val="20"/>
                <w:szCs w:val="20"/>
              </w:rPr>
              <w:t>(%)</w:t>
            </w:r>
            <w:r>
              <w:rPr>
                <w:rFonts w:ascii="Arial" w:hAnsi="Arial" w:cs="Arial" w:eastAsia="Arial" w:hint="default"/>
                <w:sz w:val="20"/>
                <w:szCs w:val="20"/>
              </w:rPr>
            </w:r>
          </w:p>
        </w:tc>
      </w:tr>
      <w:tr>
        <w:trPr>
          <w:trHeight w:val="383" w:hRule="exact"/>
        </w:trPr>
        <w:tc>
          <w:tcPr>
            <w:tcW w:w="286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19" w:right="0"/>
              <w:jc w:val="left"/>
              <w:rPr>
                <w:rFonts w:ascii="Arial" w:hAnsi="Arial" w:cs="Arial" w:eastAsia="Arial" w:hint="default"/>
                <w:sz w:val="20"/>
                <w:szCs w:val="20"/>
              </w:rPr>
            </w:pPr>
            <w:r>
              <w:rPr>
                <w:rFonts w:ascii="黑体" w:hAnsi="黑体" w:cs="黑体" w:eastAsia="黑体" w:hint="default"/>
                <w:sz w:val="20"/>
                <w:szCs w:val="20"/>
              </w:rPr>
              <w:t>单位</w:t>
            </w:r>
            <w:r>
              <w:rPr>
                <w:rFonts w:ascii="Arial" w:hAnsi="Arial" w:cs="Arial" w:eastAsia="Arial" w:hint="default"/>
                <w:sz w:val="20"/>
                <w:szCs w:val="20"/>
              </w:rPr>
              <w:t>1</w:t>
            </w:r>
          </w:p>
        </w:tc>
        <w:tc>
          <w:tcPr>
            <w:tcW w:w="3278"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38"/>
              <w:jc w:val="right"/>
              <w:rPr>
                <w:rFonts w:ascii="Arial" w:hAnsi="Arial" w:cs="Arial" w:eastAsia="Arial" w:hint="default"/>
                <w:sz w:val="20"/>
                <w:szCs w:val="20"/>
              </w:rPr>
            </w:pPr>
            <w:r>
              <w:rPr>
                <w:rFonts w:ascii="Arial"/>
                <w:spacing w:val="-1"/>
                <w:sz w:val="20"/>
              </w:rPr>
              <w:t>24,774,000</w:t>
            </w:r>
            <w:r>
              <w:rPr>
                <w:rFonts w:ascii="Arial"/>
                <w:sz w:val="20"/>
              </w:rPr>
            </w: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98"/>
              <w:jc w:val="right"/>
              <w:rPr>
                <w:rFonts w:ascii="Arial" w:hAnsi="Arial" w:cs="Arial" w:eastAsia="Arial" w:hint="default"/>
                <w:sz w:val="20"/>
                <w:szCs w:val="20"/>
              </w:rPr>
            </w:pPr>
            <w:r>
              <w:rPr>
                <w:rFonts w:ascii="Arial"/>
                <w:w w:val="99"/>
                <w:sz w:val="20"/>
              </w:rPr>
              <w:t>1</w:t>
            </w:r>
            <w:r>
              <w:rPr>
                <w:rFonts w:ascii="Arial"/>
                <w:sz w:val="20"/>
              </w:rPr>
            </w:r>
          </w:p>
        </w:tc>
      </w:tr>
      <w:tr>
        <w:trPr>
          <w:trHeight w:val="256" w:hRule="exact"/>
        </w:trPr>
        <w:tc>
          <w:tcPr>
            <w:tcW w:w="2868" w:type="dxa"/>
            <w:tcBorders>
              <w:top w:val="nil" w:sz="6" w:space="0" w:color="auto"/>
              <w:left w:val="nil" w:sz="6" w:space="0" w:color="auto"/>
              <w:bottom w:val="nil" w:sz="6" w:space="0" w:color="auto"/>
              <w:right w:val="nil" w:sz="6" w:space="0" w:color="auto"/>
            </w:tcBorders>
          </w:tcPr>
          <w:p>
            <w:pPr>
              <w:pStyle w:val="TableParagraph"/>
              <w:spacing w:line="237" w:lineRule="exact"/>
              <w:ind w:left="200" w:right="0"/>
              <w:jc w:val="left"/>
              <w:rPr>
                <w:rFonts w:ascii="Arial" w:hAnsi="Arial" w:cs="Arial" w:eastAsia="Arial" w:hint="default"/>
                <w:sz w:val="20"/>
                <w:szCs w:val="20"/>
              </w:rPr>
            </w:pPr>
            <w:r>
              <w:rPr>
                <w:rFonts w:ascii="黑体" w:hAnsi="黑体" w:cs="黑体" w:eastAsia="黑体" w:hint="default"/>
                <w:sz w:val="20"/>
                <w:szCs w:val="20"/>
              </w:rPr>
              <w:t>单位</w:t>
            </w:r>
            <w:r>
              <w:rPr>
                <w:rFonts w:ascii="Arial" w:hAnsi="Arial" w:cs="Arial" w:eastAsia="Arial" w:hint="default"/>
                <w:sz w:val="20"/>
                <w:szCs w:val="20"/>
              </w:rPr>
              <w:t>2</w:t>
            </w:r>
          </w:p>
        </w:tc>
        <w:tc>
          <w:tcPr>
            <w:tcW w:w="327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8"/>
              <w:jc w:val="right"/>
              <w:rPr>
                <w:rFonts w:ascii="Arial" w:hAnsi="Arial" w:cs="Arial" w:eastAsia="Arial" w:hint="default"/>
                <w:sz w:val="20"/>
                <w:szCs w:val="20"/>
              </w:rPr>
            </w:pPr>
            <w:r>
              <w:rPr>
                <w:rFonts w:ascii="Arial"/>
                <w:spacing w:val="-1"/>
                <w:sz w:val="20"/>
              </w:rPr>
              <w:t>10,632,479</w:t>
            </w:r>
            <w:r>
              <w:rPr>
                <w:rFonts w:ascii="Arial"/>
                <w:sz w:val="20"/>
              </w:rPr>
            </w: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1"/>
              <w:jc w:val="right"/>
              <w:rPr>
                <w:rFonts w:ascii="Arial" w:hAnsi="Arial" w:cs="Arial" w:eastAsia="Arial" w:hint="default"/>
                <w:sz w:val="20"/>
                <w:szCs w:val="20"/>
              </w:rPr>
            </w:pPr>
            <w:r>
              <w:rPr>
                <w:rFonts w:ascii="Arial"/>
                <w:spacing w:val="-2"/>
                <w:w w:val="95"/>
                <w:sz w:val="20"/>
              </w:rPr>
              <w:t>&lt;1</w:t>
            </w:r>
            <w:r>
              <w:rPr>
                <w:rFonts w:ascii="Arial"/>
                <w:sz w:val="20"/>
              </w:rPr>
            </w:r>
          </w:p>
        </w:tc>
      </w:tr>
      <w:tr>
        <w:trPr>
          <w:trHeight w:val="254" w:hRule="exact"/>
        </w:trPr>
        <w:tc>
          <w:tcPr>
            <w:tcW w:w="2868" w:type="dxa"/>
            <w:tcBorders>
              <w:top w:val="nil" w:sz="6" w:space="0" w:color="auto"/>
              <w:left w:val="nil" w:sz="6" w:space="0" w:color="auto"/>
              <w:bottom w:val="nil" w:sz="6" w:space="0" w:color="auto"/>
              <w:right w:val="nil" w:sz="6" w:space="0" w:color="auto"/>
            </w:tcBorders>
          </w:tcPr>
          <w:p>
            <w:pPr>
              <w:pStyle w:val="TableParagraph"/>
              <w:spacing w:line="236" w:lineRule="exact"/>
              <w:ind w:left="200" w:right="0"/>
              <w:jc w:val="left"/>
              <w:rPr>
                <w:rFonts w:ascii="Arial" w:hAnsi="Arial" w:cs="Arial" w:eastAsia="Arial" w:hint="default"/>
                <w:sz w:val="20"/>
                <w:szCs w:val="20"/>
              </w:rPr>
            </w:pPr>
            <w:r>
              <w:rPr>
                <w:rFonts w:ascii="黑体" w:hAnsi="黑体" w:cs="黑体" w:eastAsia="黑体" w:hint="default"/>
                <w:sz w:val="20"/>
                <w:szCs w:val="20"/>
              </w:rPr>
              <w:t>单位</w:t>
            </w:r>
            <w:r>
              <w:rPr>
                <w:rFonts w:ascii="Arial" w:hAnsi="Arial" w:cs="Arial" w:eastAsia="Arial" w:hint="default"/>
                <w:sz w:val="20"/>
                <w:szCs w:val="20"/>
              </w:rPr>
              <w:t>3</w:t>
            </w:r>
          </w:p>
        </w:tc>
        <w:tc>
          <w:tcPr>
            <w:tcW w:w="327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8"/>
              <w:jc w:val="right"/>
              <w:rPr>
                <w:rFonts w:ascii="Arial" w:hAnsi="Arial" w:cs="Arial" w:eastAsia="Arial" w:hint="default"/>
                <w:sz w:val="20"/>
                <w:szCs w:val="20"/>
              </w:rPr>
            </w:pPr>
            <w:r>
              <w:rPr>
                <w:rFonts w:ascii="Arial"/>
                <w:spacing w:val="-1"/>
                <w:sz w:val="20"/>
              </w:rPr>
              <w:t>7,507,265</w:t>
            </w: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01"/>
              <w:jc w:val="right"/>
              <w:rPr>
                <w:rFonts w:ascii="Arial" w:hAnsi="Arial" w:cs="Arial" w:eastAsia="Arial" w:hint="default"/>
                <w:sz w:val="20"/>
                <w:szCs w:val="20"/>
              </w:rPr>
            </w:pPr>
            <w:r>
              <w:rPr>
                <w:rFonts w:ascii="Arial"/>
                <w:spacing w:val="-2"/>
                <w:w w:val="95"/>
                <w:sz w:val="20"/>
              </w:rPr>
              <w:t>&lt;1</w:t>
            </w:r>
            <w:r>
              <w:rPr>
                <w:rFonts w:ascii="Arial"/>
                <w:sz w:val="20"/>
              </w:rPr>
            </w:r>
          </w:p>
        </w:tc>
      </w:tr>
      <w:tr>
        <w:trPr>
          <w:trHeight w:val="254" w:hRule="exact"/>
        </w:trPr>
        <w:tc>
          <w:tcPr>
            <w:tcW w:w="2868" w:type="dxa"/>
            <w:tcBorders>
              <w:top w:val="nil" w:sz="6" w:space="0" w:color="auto"/>
              <w:left w:val="nil" w:sz="6" w:space="0" w:color="auto"/>
              <w:bottom w:val="nil" w:sz="6" w:space="0" w:color="auto"/>
              <w:right w:val="nil" w:sz="6" w:space="0" w:color="auto"/>
            </w:tcBorders>
          </w:tcPr>
          <w:p>
            <w:pPr>
              <w:pStyle w:val="TableParagraph"/>
              <w:spacing w:line="236" w:lineRule="exact"/>
              <w:ind w:left="200" w:right="0"/>
              <w:jc w:val="left"/>
              <w:rPr>
                <w:rFonts w:ascii="Arial" w:hAnsi="Arial" w:cs="Arial" w:eastAsia="Arial" w:hint="default"/>
                <w:sz w:val="20"/>
                <w:szCs w:val="20"/>
              </w:rPr>
            </w:pPr>
            <w:r>
              <w:rPr>
                <w:rFonts w:ascii="黑体" w:hAnsi="黑体" w:cs="黑体" w:eastAsia="黑体" w:hint="default"/>
                <w:sz w:val="20"/>
                <w:szCs w:val="20"/>
              </w:rPr>
              <w:t>单位</w:t>
            </w:r>
            <w:r>
              <w:rPr>
                <w:rFonts w:ascii="Arial" w:hAnsi="Arial" w:cs="Arial" w:eastAsia="Arial" w:hint="default"/>
                <w:sz w:val="20"/>
                <w:szCs w:val="20"/>
              </w:rPr>
              <w:t>4</w:t>
            </w:r>
          </w:p>
        </w:tc>
        <w:tc>
          <w:tcPr>
            <w:tcW w:w="327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8"/>
              <w:jc w:val="right"/>
              <w:rPr>
                <w:rFonts w:ascii="Arial" w:hAnsi="Arial" w:cs="Arial" w:eastAsia="Arial" w:hint="default"/>
                <w:sz w:val="20"/>
                <w:szCs w:val="20"/>
              </w:rPr>
            </w:pPr>
            <w:r>
              <w:rPr>
                <w:rFonts w:ascii="Arial"/>
                <w:spacing w:val="-1"/>
                <w:sz w:val="20"/>
              </w:rPr>
              <w:t>7,185,522</w:t>
            </w: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01"/>
              <w:jc w:val="right"/>
              <w:rPr>
                <w:rFonts w:ascii="Arial" w:hAnsi="Arial" w:cs="Arial" w:eastAsia="Arial" w:hint="default"/>
                <w:sz w:val="20"/>
                <w:szCs w:val="20"/>
              </w:rPr>
            </w:pPr>
            <w:r>
              <w:rPr>
                <w:rFonts w:ascii="Arial"/>
                <w:spacing w:val="-2"/>
                <w:w w:val="95"/>
                <w:sz w:val="20"/>
              </w:rPr>
              <w:t>&lt;1</w:t>
            </w:r>
            <w:r>
              <w:rPr>
                <w:rFonts w:ascii="Arial"/>
                <w:sz w:val="20"/>
              </w:rPr>
            </w:r>
          </w:p>
        </w:tc>
      </w:tr>
      <w:tr>
        <w:trPr>
          <w:trHeight w:val="388" w:hRule="exact"/>
        </w:trPr>
        <w:tc>
          <w:tcPr>
            <w:tcW w:w="2868" w:type="dxa"/>
            <w:tcBorders>
              <w:top w:val="nil" w:sz="6" w:space="0" w:color="auto"/>
              <w:left w:val="nil" w:sz="6" w:space="0" w:color="auto"/>
              <w:bottom w:val="nil" w:sz="6" w:space="0" w:color="auto"/>
              <w:right w:val="nil" w:sz="6" w:space="0" w:color="auto"/>
            </w:tcBorders>
          </w:tcPr>
          <w:p>
            <w:pPr>
              <w:pStyle w:val="TableParagraph"/>
              <w:spacing w:line="236" w:lineRule="exact"/>
              <w:ind w:left="202" w:right="0"/>
              <w:jc w:val="left"/>
              <w:rPr>
                <w:rFonts w:ascii="Arial" w:hAnsi="Arial" w:cs="Arial" w:eastAsia="Arial" w:hint="default"/>
                <w:sz w:val="20"/>
                <w:szCs w:val="20"/>
              </w:rPr>
            </w:pPr>
            <w:r>
              <w:rPr>
                <w:rFonts w:ascii="黑体" w:hAnsi="黑体" w:cs="黑体" w:eastAsia="黑体" w:hint="default"/>
                <w:sz w:val="20"/>
                <w:szCs w:val="20"/>
              </w:rPr>
              <w:t>单位</w:t>
            </w:r>
            <w:r>
              <w:rPr>
                <w:rFonts w:ascii="Arial" w:hAnsi="Arial" w:cs="Arial" w:eastAsia="Arial" w:hint="default"/>
                <w:sz w:val="20"/>
                <w:szCs w:val="20"/>
              </w:rPr>
              <w:t>5</w:t>
            </w:r>
          </w:p>
        </w:tc>
        <w:tc>
          <w:tcPr>
            <w:tcW w:w="327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3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w w:val="95"/>
                <w:sz w:val="20"/>
                <w:u w:val="single" w:color="000000"/>
              </w:rPr>
              <w:t>6,606,838</w:t>
            </w:r>
            <w:r>
              <w:rPr>
                <w:rFonts w:ascii="Arial"/>
                <w:spacing w:val="-1"/>
                <w:w w:val="95"/>
                <w:sz w:val="20"/>
              </w:rPr>
            </w:r>
            <w:r>
              <w:rPr>
                <w:rFonts w:ascii="Arial"/>
                <w:sz w:val="20"/>
              </w:rPr>
            </w: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01"/>
              <w:jc w:val="right"/>
              <w:rPr>
                <w:rFonts w:ascii="Arial" w:hAnsi="Arial" w:cs="Arial" w:eastAsia="Arial" w:hint="default"/>
                <w:sz w:val="20"/>
                <w:szCs w:val="20"/>
              </w:rPr>
            </w:pPr>
            <w:r>
              <w:rPr>
                <w:rFonts w:ascii="Arial"/>
                <w:w w:val="99"/>
                <w:sz w:val="20"/>
              </w:rPr>
            </w:r>
            <w:r>
              <w:rPr>
                <w:rFonts w:ascii="Arial"/>
                <w:spacing w:val="-2"/>
                <w:w w:val="95"/>
                <w:sz w:val="20"/>
                <w:u w:val="single" w:color="000000"/>
              </w:rPr>
              <w:t>&lt;1</w:t>
            </w:r>
            <w:r>
              <w:rPr>
                <w:rFonts w:ascii="Arial"/>
                <w:spacing w:val="-2"/>
                <w:w w:val="95"/>
                <w:sz w:val="20"/>
              </w:rPr>
            </w:r>
            <w:r>
              <w:rPr>
                <w:rFonts w:ascii="Arial"/>
                <w:sz w:val="20"/>
              </w:rPr>
            </w:r>
          </w:p>
        </w:tc>
      </w:tr>
      <w:tr>
        <w:trPr>
          <w:trHeight w:val="355" w:hRule="exact"/>
        </w:trPr>
        <w:tc>
          <w:tcPr>
            <w:tcW w:w="2868" w:type="dxa"/>
            <w:tcBorders>
              <w:top w:val="nil" w:sz="6" w:space="0" w:color="auto"/>
              <w:left w:val="nil" w:sz="6" w:space="0" w:color="auto"/>
              <w:bottom w:val="nil" w:sz="6" w:space="0" w:color="auto"/>
              <w:right w:val="nil" w:sz="6" w:space="0" w:color="auto"/>
            </w:tcBorders>
          </w:tcPr>
          <w:p>
            <w:pPr/>
          </w:p>
        </w:tc>
        <w:tc>
          <w:tcPr>
            <w:tcW w:w="3278"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38"/>
              <w:jc w:val="right"/>
              <w:rPr>
                <w:rFonts w:ascii="Arial" w:hAnsi="Arial" w:cs="Arial" w:eastAsia="Arial" w:hint="default"/>
                <w:sz w:val="20"/>
                <w:szCs w:val="20"/>
              </w:rPr>
            </w:pPr>
            <w:r>
              <w:rPr>
                <w:rFonts w:ascii="Arial"/>
                <w:w w:val="99"/>
                <w:sz w:val="20"/>
              </w:rPr>
            </w:r>
            <w:r>
              <w:rPr>
                <w:rFonts w:ascii="Arial"/>
                <w:spacing w:val="-1"/>
                <w:sz w:val="20"/>
                <w:u w:val="thick" w:color="000000"/>
              </w:rPr>
              <w:t>56,706,104</w:t>
            </w:r>
            <w:r>
              <w:rPr>
                <w:rFonts w:ascii="Arial"/>
                <w:spacing w:val="-1"/>
                <w:sz w:val="20"/>
              </w:rPr>
            </w:r>
            <w:r>
              <w:rPr>
                <w:rFonts w:ascii="Arial"/>
                <w:sz w:val="20"/>
              </w:rPr>
            </w:r>
          </w:p>
        </w:tc>
        <w:tc>
          <w:tcPr>
            <w:tcW w:w="205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9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w w:val="95"/>
                <w:sz w:val="20"/>
                <w:u w:val="single" w:color="000000"/>
              </w:rPr>
              <w:t>2</w:t>
            </w:r>
            <w:r>
              <w:rPr>
                <w:rFonts w:ascii="Arial"/>
                <w:w w:val="95"/>
                <w:sz w:val="20"/>
              </w:rPr>
            </w:r>
            <w:r>
              <w:rPr>
                <w:rFonts w:ascii="Arial"/>
                <w:sz w:val="20"/>
              </w:rPr>
            </w:r>
          </w:p>
        </w:tc>
      </w:tr>
    </w:tbl>
    <w:p>
      <w:pPr>
        <w:spacing w:after="0" w:line="240" w:lineRule="auto"/>
        <w:jc w:val="right"/>
        <w:rPr>
          <w:rFonts w:ascii="Arial" w:hAnsi="Arial" w:cs="Arial" w:eastAsia="Arial" w:hint="default"/>
          <w:sz w:val="20"/>
          <w:szCs w:val="20"/>
        </w:rPr>
        <w:sectPr>
          <w:pgSz w:w="11910" w:h="16850"/>
          <w:pgMar w:header="957" w:footer="473" w:top="2600" w:bottom="660" w:left="1600" w:right="1400"/>
        </w:sectPr>
      </w:pPr>
    </w:p>
    <w:p>
      <w:pPr>
        <w:spacing w:line="240" w:lineRule="auto" w:before="1"/>
        <w:rPr>
          <w:rFonts w:ascii="黑体" w:hAnsi="黑体" w:cs="黑体" w:eastAsia="黑体" w:hint="default"/>
          <w:sz w:val="16"/>
          <w:szCs w:val="16"/>
        </w:rPr>
      </w:pPr>
    </w:p>
    <w:p>
      <w:pPr>
        <w:pStyle w:val="Heading6"/>
        <w:spacing w:line="240" w:lineRule="auto"/>
        <w:ind w:right="223"/>
        <w:jc w:val="left"/>
        <w:rPr>
          <w:b w:val="0"/>
          <w:bCs w:val="0"/>
        </w:rPr>
      </w:pPr>
      <w:bookmarkStart w:name="31.    管理费用" w:id="153"/>
      <w:bookmarkEnd w:id="153"/>
      <w:r>
        <w:rPr>
          <w:b w:val="0"/>
          <w:bCs w:val="0"/>
        </w:rPr>
      </w:r>
      <w:r>
        <w:rPr/>
        <w:t>十三、公司财务报表主要项目注释（续）</w:t>
      </w:r>
      <w:r>
        <w:rPr>
          <w:b w:val="0"/>
          <w:bCs w:val="0"/>
        </w:rPr>
      </w:r>
    </w:p>
    <w:p>
      <w:pPr>
        <w:spacing w:line="240" w:lineRule="auto" w:before="0"/>
        <w:rPr>
          <w:rFonts w:ascii="黑体" w:hAnsi="黑体" w:cs="黑体" w:eastAsia="黑体" w:hint="default"/>
          <w:b/>
          <w:bCs/>
          <w:sz w:val="15"/>
          <w:szCs w:val="15"/>
        </w:rPr>
      </w:pPr>
    </w:p>
    <w:p>
      <w:pPr>
        <w:pStyle w:val="Heading6"/>
        <w:tabs>
          <w:tab w:pos="780" w:val="left" w:leader="none"/>
        </w:tabs>
        <w:spacing w:line="240" w:lineRule="auto" w:before="0"/>
        <w:ind w:right="223"/>
        <w:jc w:val="left"/>
        <w:rPr>
          <w:b w:val="0"/>
          <w:bCs w:val="0"/>
        </w:rPr>
      </w:pPr>
      <w:r>
        <w:rPr>
          <w:rFonts w:ascii="Arial" w:hAnsi="Arial" w:cs="Arial" w:eastAsia="Arial" w:hint="default"/>
          <w:spacing w:val="-1"/>
          <w:w w:val="95"/>
        </w:rPr>
        <w:t>29.</w:t>
        <w:tab/>
      </w:r>
      <w:bookmarkStart w:name="29.    营业税金及附加" w:id="154"/>
      <w:bookmarkEnd w:id="154"/>
      <w:r>
        <w:rPr>
          <w:rFonts w:ascii="Arial" w:hAnsi="Arial" w:cs="Arial" w:eastAsia="Arial" w:hint="default"/>
          <w:spacing w:val="-1"/>
          <w:w w:val="95"/>
        </w:rPr>
      </w:r>
      <w:r>
        <w:rPr>
          <w:spacing w:val="1"/>
        </w:rPr>
        <w:t>营业税金及附加</w:t>
      </w:r>
      <w:r>
        <w:rPr>
          <w:b w:val="0"/>
          <w:bCs w:val="0"/>
        </w:rPr>
      </w:r>
    </w:p>
    <w:p>
      <w:pPr>
        <w:spacing w:line="240" w:lineRule="auto" w:before="6"/>
        <w:rPr>
          <w:rFonts w:ascii="黑体" w:hAnsi="黑体" w:cs="黑体" w:eastAsia="黑体" w:hint="default"/>
          <w:b/>
          <w:bCs/>
          <w:sz w:val="21"/>
          <w:szCs w:val="21"/>
        </w:rPr>
      </w:pPr>
    </w:p>
    <w:tbl>
      <w:tblPr>
        <w:tblW w:w="0" w:type="auto"/>
        <w:jc w:val="left"/>
        <w:tblInd w:w="609" w:type="dxa"/>
        <w:tblLayout w:type="fixed"/>
        <w:tblCellMar>
          <w:top w:w="0" w:type="dxa"/>
          <w:left w:w="0" w:type="dxa"/>
          <w:bottom w:w="0" w:type="dxa"/>
          <w:right w:w="0" w:type="dxa"/>
        </w:tblCellMar>
        <w:tblLook w:val="01E0"/>
      </w:tblPr>
      <w:tblGrid>
        <w:gridCol w:w="3009"/>
        <w:gridCol w:w="3184"/>
        <w:gridCol w:w="1974"/>
      </w:tblGrid>
      <w:tr>
        <w:trPr>
          <w:trHeight w:val="359" w:hRule="exact"/>
        </w:trPr>
        <w:tc>
          <w:tcPr>
            <w:tcW w:w="3009" w:type="dxa"/>
            <w:tcBorders>
              <w:top w:val="nil" w:sz="6" w:space="0" w:color="auto"/>
              <w:left w:val="nil" w:sz="6" w:space="0" w:color="auto"/>
              <w:bottom w:val="nil" w:sz="6" w:space="0" w:color="auto"/>
              <w:right w:val="nil" w:sz="6" w:space="0" w:color="auto"/>
            </w:tcBorders>
          </w:tcPr>
          <w:p>
            <w:pPr/>
          </w:p>
        </w:tc>
        <w:tc>
          <w:tcPr>
            <w:tcW w:w="3184" w:type="dxa"/>
            <w:tcBorders>
              <w:top w:val="nil" w:sz="6" w:space="0" w:color="auto"/>
              <w:left w:val="nil" w:sz="6" w:space="0" w:color="auto"/>
              <w:bottom w:val="nil" w:sz="6" w:space="0" w:color="auto"/>
              <w:right w:val="nil" w:sz="6" w:space="0" w:color="auto"/>
            </w:tcBorders>
          </w:tcPr>
          <w:p>
            <w:pPr>
              <w:pStyle w:val="TableParagraph"/>
              <w:spacing w:line="214" w:lineRule="exact"/>
              <w:ind w:right="775"/>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1974" w:type="dxa"/>
            <w:tcBorders>
              <w:top w:val="nil" w:sz="6" w:space="0" w:color="auto"/>
              <w:left w:val="nil" w:sz="6" w:space="0" w:color="auto"/>
              <w:bottom w:val="nil" w:sz="6" w:space="0" w:color="auto"/>
              <w:right w:val="nil" w:sz="6" w:space="0" w:color="auto"/>
            </w:tcBorders>
          </w:tcPr>
          <w:p>
            <w:pPr>
              <w:pStyle w:val="TableParagraph"/>
              <w:spacing w:line="214" w:lineRule="exact"/>
              <w:ind w:right="198"/>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r>
      <w:tr>
        <w:trPr>
          <w:trHeight w:val="383"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00" w:right="0"/>
              <w:jc w:val="left"/>
              <w:rPr>
                <w:rFonts w:ascii="黑体" w:hAnsi="黑体" w:cs="黑体" w:eastAsia="黑体" w:hint="default"/>
                <w:sz w:val="20"/>
                <w:szCs w:val="20"/>
              </w:rPr>
            </w:pPr>
            <w:r>
              <w:rPr>
                <w:rFonts w:ascii="黑体" w:hAnsi="黑体" w:cs="黑体" w:eastAsia="黑体" w:hint="default"/>
                <w:sz w:val="20"/>
                <w:szCs w:val="20"/>
              </w:rPr>
              <w:t>营业税</w:t>
            </w: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773"/>
              <w:jc w:val="right"/>
              <w:rPr>
                <w:rFonts w:ascii="Arial" w:hAnsi="Arial" w:cs="Arial" w:eastAsia="Arial" w:hint="default"/>
                <w:sz w:val="20"/>
                <w:szCs w:val="20"/>
              </w:rPr>
            </w:pPr>
            <w:r>
              <w:rPr>
                <w:rFonts w:ascii="Arial"/>
                <w:spacing w:val="-1"/>
                <w:w w:val="95"/>
                <w:sz w:val="20"/>
              </w:rPr>
              <w:t>34,526,830</w:t>
            </w:r>
            <w:r>
              <w:rPr>
                <w:rFonts w:ascii="Arial"/>
                <w:sz w:val="20"/>
              </w:rPr>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98"/>
              <w:jc w:val="right"/>
              <w:rPr>
                <w:rFonts w:ascii="Arial" w:hAnsi="Arial" w:cs="Arial" w:eastAsia="Arial" w:hint="default"/>
                <w:sz w:val="20"/>
                <w:szCs w:val="20"/>
              </w:rPr>
            </w:pPr>
            <w:r>
              <w:rPr>
                <w:rFonts w:ascii="Arial"/>
                <w:spacing w:val="-1"/>
                <w:sz w:val="20"/>
              </w:rPr>
              <w:t>42,418,872</w:t>
            </w:r>
            <w:r>
              <w:rPr>
                <w:rFonts w:ascii="Arial"/>
                <w:sz w:val="20"/>
              </w:rPr>
            </w:r>
          </w:p>
        </w:tc>
      </w:tr>
      <w:tr>
        <w:trPr>
          <w:trHeight w:val="256"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23" w:lineRule="exact"/>
              <w:ind w:left="200" w:right="0"/>
              <w:jc w:val="left"/>
              <w:rPr>
                <w:rFonts w:ascii="黑体" w:hAnsi="黑体" w:cs="黑体" w:eastAsia="黑体" w:hint="default"/>
                <w:sz w:val="20"/>
                <w:szCs w:val="20"/>
              </w:rPr>
            </w:pPr>
            <w:r>
              <w:rPr>
                <w:rFonts w:ascii="黑体" w:hAnsi="黑体" w:cs="黑体" w:eastAsia="黑体" w:hint="default"/>
                <w:sz w:val="20"/>
                <w:szCs w:val="20"/>
              </w:rPr>
              <w:t>城巿维护建设税</w:t>
            </w: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73"/>
              <w:jc w:val="right"/>
              <w:rPr>
                <w:rFonts w:ascii="Arial" w:hAnsi="Arial" w:cs="Arial" w:eastAsia="Arial" w:hint="default"/>
                <w:sz w:val="20"/>
                <w:szCs w:val="20"/>
              </w:rPr>
            </w:pPr>
            <w:r>
              <w:rPr>
                <w:rFonts w:ascii="Arial"/>
                <w:spacing w:val="-1"/>
                <w:w w:val="95"/>
                <w:sz w:val="20"/>
              </w:rPr>
              <w:t>10,545,005</w:t>
            </w:r>
            <w:r>
              <w:rPr>
                <w:rFonts w:ascii="Arial"/>
                <w:sz w:val="20"/>
              </w:rPr>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spacing w:val="-1"/>
                <w:sz w:val="20"/>
              </w:rPr>
              <w:t>22,153,021</w:t>
            </w:r>
            <w:r>
              <w:rPr>
                <w:rFonts w:ascii="Arial"/>
                <w:sz w:val="20"/>
              </w:rPr>
            </w:r>
          </w:p>
        </w:tc>
      </w:tr>
      <w:tr>
        <w:trPr>
          <w:trHeight w:val="254"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z w:val="20"/>
                <w:szCs w:val="20"/>
              </w:rPr>
              <w:t>教育费附加</w:t>
            </w: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73"/>
              <w:jc w:val="right"/>
              <w:rPr>
                <w:rFonts w:ascii="Arial" w:hAnsi="Arial" w:cs="Arial" w:eastAsia="Arial" w:hint="default"/>
                <w:sz w:val="20"/>
                <w:szCs w:val="20"/>
              </w:rPr>
            </w:pPr>
            <w:r>
              <w:rPr>
                <w:rFonts w:ascii="Arial"/>
                <w:spacing w:val="-1"/>
                <w:w w:val="95"/>
                <w:sz w:val="20"/>
              </w:rPr>
              <w:t>4,933,293</w:t>
            </w:r>
            <w:r>
              <w:rPr>
                <w:rFonts w:ascii="Arial"/>
                <w:sz w:val="20"/>
              </w:rPr>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8"/>
              <w:jc w:val="right"/>
              <w:rPr>
                <w:rFonts w:ascii="Arial" w:hAnsi="Arial" w:cs="Arial" w:eastAsia="Arial" w:hint="default"/>
                <w:sz w:val="20"/>
                <w:szCs w:val="20"/>
              </w:rPr>
            </w:pPr>
            <w:r>
              <w:rPr>
                <w:rFonts w:ascii="Arial"/>
                <w:spacing w:val="-1"/>
                <w:sz w:val="20"/>
              </w:rPr>
              <w:t>10,570,728</w:t>
            </w:r>
            <w:r>
              <w:rPr>
                <w:rFonts w:ascii="Arial"/>
                <w:sz w:val="20"/>
              </w:rPr>
            </w:r>
          </w:p>
        </w:tc>
      </w:tr>
      <w:tr>
        <w:trPr>
          <w:trHeight w:val="388" w:hRule="exact"/>
        </w:trPr>
        <w:tc>
          <w:tcPr>
            <w:tcW w:w="3009"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3184" w:type="dxa"/>
            <w:tcBorders>
              <w:top w:val="nil" w:sz="6" w:space="0" w:color="auto"/>
              <w:left w:val="nil" w:sz="6" w:space="0" w:color="auto"/>
              <w:bottom w:val="nil" w:sz="6" w:space="0" w:color="auto"/>
              <w:right w:val="nil" w:sz="6" w:space="0" w:color="auto"/>
            </w:tcBorders>
          </w:tcPr>
          <w:p>
            <w:pPr>
              <w:pStyle w:val="TableParagraph"/>
              <w:tabs>
                <w:tab w:pos="271" w:val="left" w:leader="none"/>
              </w:tabs>
              <w:spacing w:line="240" w:lineRule="auto" w:before="6"/>
              <w:ind w:right="773"/>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623,810</w:t>
            </w:r>
            <w:r>
              <w:rPr>
                <w:rFonts w:ascii="Arial"/>
                <w:spacing w:val="-1"/>
                <w:w w:val="95"/>
                <w:sz w:val="20"/>
              </w:rPr>
            </w:r>
            <w:r>
              <w:rPr>
                <w:rFonts w:ascii="Arial"/>
                <w:sz w:val="20"/>
              </w:rPr>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w w:val="95"/>
                <w:sz w:val="20"/>
                <w:u w:val="single" w:color="000000"/>
              </w:rPr>
              <w:t>1,878,339</w:t>
            </w:r>
            <w:r>
              <w:rPr>
                <w:rFonts w:ascii="Arial"/>
                <w:spacing w:val="-1"/>
                <w:w w:val="95"/>
                <w:sz w:val="20"/>
              </w:rPr>
            </w:r>
            <w:r>
              <w:rPr>
                <w:rFonts w:ascii="Arial"/>
                <w:sz w:val="20"/>
              </w:rPr>
            </w:r>
          </w:p>
        </w:tc>
      </w:tr>
      <w:tr>
        <w:trPr>
          <w:trHeight w:val="355" w:hRule="exact"/>
        </w:trPr>
        <w:tc>
          <w:tcPr>
            <w:tcW w:w="3009" w:type="dxa"/>
            <w:tcBorders>
              <w:top w:val="nil" w:sz="6" w:space="0" w:color="auto"/>
              <w:left w:val="nil" w:sz="6" w:space="0" w:color="auto"/>
              <w:bottom w:val="nil" w:sz="6" w:space="0" w:color="auto"/>
              <w:right w:val="nil" w:sz="6" w:space="0" w:color="auto"/>
            </w:tcBorders>
          </w:tcPr>
          <w:p>
            <w:pP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773"/>
              <w:jc w:val="right"/>
              <w:rPr>
                <w:rFonts w:ascii="Arial" w:hAnsi="Arial" w:cs="Arial" w:eastAsia="Arial" w:hint="default"/>
                <w:sz w:val="20"/>
                <w:szCs w:val="20"/>
              </w:rPr>
            </w:pPr>
            <w:r>
              <w:rPr>
                <w:rFonts w:ascii="Arial"/>
                <w:w w:val="99"/>
                <w:sz w:val="20"/>
              </w:rPr>
            </w:r>
            <w:r>
              <w:rPr>
                <w:rFonts w:ascii="Arial"/>
                <w:spacing w:val="-1"/>
                <w:sz w:val="20"/>
                <w:u w:val="thick" w:color="000000"/>
              </w:rPr>
              <w:t>50,628,938</w:t>
            </w:r>
            <w:r>
              <w:rPr>
                <w:rFonts w:ascii="Arial"/>
                <w:spacing w:val="-1"/>
                <w:sz w:val="20"/>
              </w:rPr>
            </w:r>
            <w:r>
              <w:rPr>
                <w:rFonts w:ascii="Arial"/>
                <w:sz w:val="20"/>
              </w:rPr>
            </w:r>
          </w:p>
        </w:tc>
        <w:tc>
          <w:tcPr>
            <w:tcW w:w="197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77,020,960</w:t>
            </w:r>
            <w:r>
              <w:rPr>
                <w:rFonts w:ascii="Arial"/>
                <w:spacing w:val="-1"/>
                <w:sz w:val="20"/>
              </w:rPr>
            </w:r>
            <w:r>
              <w:rPr>
                <w:rFonts w:ascii="Arial"/>
                <w:sz w:val="20"/>
              </w:rPr>
            </w:r>
          </w:p>
        </w:tc>
      </w:tr>
    </w:tbl>
    <w:p>
      <w:pPr>
        <w:spacing w:line="240" w:lineRule="auto" w:before="10"/>
        <w:rPr>
          <w:rFonts w:ascii="黑体" w:hAnsi="黑体" w:cs="黑体" w:eastAsia="黑体" w:hint="default"/>
          <w:b/>
          <w:bCs/>
          <w:sz w:val="29"/>
          <w:szCs w:val="29"/>
        </w:rPr>
      </w:pPr>
    </w:p>
    <w:p>
      <w:pPr>
        <w:pStyle w:val="Heading6"/>
        <w:tabs>
          <w:tab w:pos="891" w:val="left" w:leader="none"/>
        </w:tabs>
        <w:spacing w:line="240" w:lineRule="auto"/>
        <w:ind w:left="211" w:right="223"/>
        <w:jc w:val="left"/>
        <w:rPr>
          <w:b w:val="0"/>
          <w:bCs w:val="0"/>
        </w:rPr>
      </w:pPr>
      <w:r>
        <w:rPr>
          <w:rFonts w:ascii="Arial" w:hAnsi="Arial" w:cs="Arial" w:eastAsia="Arial" w:hint="default"/>
          <w:spacing w:val="-1"/>
          <w:w w:val="95"/>
        </w:rPr>
        <w:t>30.</w:t>
        <w:tab/>
      </w:r>
      <w:r>
        <w:rPr>
          <w:spacing w:val="2"/>
        </w:rPr>
        <w:t>销售费用</w:t>
      </w:r>
      <w:r>
        <w:rPr>
          <w:b w:val="0"/>
          <w:bCs w:val="0"/>
        </w:rPr>
      </w:r>
    </w:p>
    <w:p>
      <w:pPr>
        <w:spacing w:line="240" w:lineRule="auto" w:before="5"/>
        <w:rPr>
          <w:rFonts w:ascii="黑体" w:hAnsi="黑体" w:cs="黑体" w:eastAsia="黑体" w:hint="default"/>
          <w:b/>
          <w:bCs/>
          <w:sz w:val="20"/>
          <w:szCs w:val="20"/>
        </w:rPr>
      </w:pPr>
    </w:p>
    <w:tbl>
      <w:tblPr>
        <w:tblW w:w="0" w:type="auto"/>
        <w:jc w:val="left"/>
        <w:tblInd w:w="609" w:type="dxa"/>
        <w:tblLayout w:type="fixed"/>
        <w:tblCellMar>
          <w:top w:w="0" w:type="dxa"/>
          <w:left w:w="0" w:type="dxa"/>
          <w:bottom w:w="0" w:type="dxa"/>
          <w:right w:w="0" w:type="dxa"/>
        </w:tblCellMar>
        <w:tblLook w:val="01E0"/>
      </w:tblPr>
      <w:tblGrid>
        <w:gridCol w:w="3152"/>
        <w:gridCol w:w="2900"/>
        <w:gridCol w:w="2114"/>
      </w:tblGrid>
      <w:tr>
        <w:trPr>
          <w:trHeight w:val="344" w:hRule="exact"/>
        </w:trPr>
        <w:tc>
          <w:tcPr>
            <w:tcW w:w="3152" w:type="dxa"/>
            <w:tcBorders>
              <w:top w:val="nil" w:sz="6" w:space="0" w:color="auto"/>
              <w:left w:val="nil" w:sz="6" w:space="0" w:color="auto"/>
              <w:bottom w:val="nil" w:sz="6" w:space="0" w:color="auto"/>
              <w:right w:val="nil" w:sz="6" w:space="0" w:color="auto"/>
            </w:tcBorders>
          </w:tcPr>
          <w:p>
            <w:pPr/>
          </w:p>
        </w:tc>
        <w:tc>
          <w:tcPr>
            <w:tcW w:w="2900" w:type="dxa"/>
            <w:tcBorders>
              <w:top w:val="nil" w:sz="6" w:space="0" w:color="auto"/>
              <w:left w:val="nil" w:sz="6" w:space="0" w:color="auto"/>
              <w:bottom w:val="nil" w:sz="6" w:space="0" w:color="auto"/>
              <w:right w:val="nil" w:sz="6" w:space="0" w:color="auto"/>
            </w:tcBorders>
          </w:tcPr>
          <w:p>
            <w:pPr>
              <w:pStyle w:val="TableParagraph"/>
              <w:spacing w:line="214" w:lineRule="exact"/>
              <w:ind w:right="635"/>
              <w:jc w:val="right"/>
              <w:rPr>
                <w:rFonts w:ascii="黑体" w:hAnsi="黑体" w:cs="黑体" w:eastAsia="黑体" w:hint="default"/>
                <w:sz w:val="20"/>
                <w:szCs w:val="20"/>
              </w:rPr>
            </w:pPr>
            <w:bookmarkStart w:name="30.    销售费用" w:id="155"/>
            <w:bookmarkEnd w:id="155"/>
            <w:r>
              <w:rPr/>
            </w: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2114" w:type="dxa"/>
            <w:tcBorders>
              <w:top w:val="nil" w:sz="6" w:space="0" w:color="auto"/>
              <w:left w:val="nil" w:sz="6" w:space="0" w:color="auto"/>
              <w:bottom w:val="nil" w:sz="6" w:space="0" w:color="auto"/>
              <w:right w:val="nil" w:sz="6" w:space="0" w:color="auto"/>
            </w:tcBorders>
          </w:tcPr>
          <w:p>
            <w:pPr>
              <w:pStyle w:val="TableParagraph"/>
              <w:spacing w:line="214" w:lineRule="exact"/>
              <w:ind w:right="198"/>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r>
      <w:tr>
        <w:trPr>
          <w:trHeight w:val="360" w:hRule="exact"/>
        </w:trPr>
        <w:tc>
          <w:tcPr>
            <w:tcW w:w="3152" w:type="dxa"/>
            <w:tcBorders>
              <w:top w:val="nil" w:sz="6" w:space="0" w:color="auto"/>
              <w:left w:val="nil" w:sz="6" w:space="0" w:color="auto"/>
              <w:bottom w:val="nil" w:sz="6" w:space="0" w:color="auto"/>
              <w:right w:val="nil" w:sz="6" w:space="0" w:color="auto"/>
            </w:tcBorders>
          </w:tcPr>
          <w:p>
            <w:pPr>
              <w:pStyle w:val="TableParagraph"/>
              <w:spacing w:line="240" w:lineRule="auto" w:before="73"/>
              <w:ind w:left="200" w:right="0"/>
              <w:jc w:val="left"/>
              <w:rPr>
                <w:rFonts w:ascii="黑体" w:hAnsi="黑体" w:cs="黑体" w:eastAsia="黑体" w:hint="default"/>
                <w:sz w:val="20"/>
                <w:szCs w:val="20"/>
              </w:rPr>
            </w:pPr>
            <w:r>
              <w:rPr>
                <w:rFonts w:ascii="黑体" w:hAnsi="黑体" w:cs="黑体" w:eastAsia="黑体" w:hint="default"/>
                <w:sz w:val="20"/>
                <w:szCs w:val="20"/>
              </w:rPr>
              <w:t>职工薪酬及福利</w:t>
            </w:r>
          </w:p>
        </w:tc>
        <w:tc>
          <w:tcPr>
            <w:tcW w:w="2900"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635"/>
              <w:jc w:val="right"/>
              <w:rPr>
                <w:rFonts w:ascii="Arial" w:hAnsi="Arial" w:cs="Arial" w:eastAsia="Arial" w:hint="default"/>
                <w:sz w:val="20"/>
                <w:szCs w:val="20"/>
              </w:rPr>
            </w:pPr>
            <w:r>
              <w:rPr>
                <w:rFonts w:ascii="Arial"/>
                <w:spacing w:val="-1"/>
                <w:sz w:val="20"/>
              </w:rPr>
              <w:t>775,878,541</w:t>
            </w:r>
            <w:r>
              <w:rPr>
                <w:rFonts w:ascii="Arial"/>
                <w:sz w:val="20"/>
              </w:rPr>
            </w: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98"/>
              <w:jc w:val="right"/>
              <w:rPr>
                <w:rFonts w:ascii="Arial" w:hAnsi="Arial" w:cs="Arial" w:eastAsia="Arial" w:hint="default"/>
                <w:sz w:val="20"/>
                <w:szCs w:val="20"/>
              </w:rPr>
            </w:pPr>
            <w:r>
              <w:rPr>
                <w:rFonts w:ascii="Arial"/>
                <w:spacing w:val="-1"/>
                <w:sz w:val="20"/>
              </w:rPr>
              <w:t>784,665,441</w:t>
            </w:r>
            <w:r>
              <w:rPr>
                <w:rFonts w:ascii="Arial"/>
                <w:sz w:val="20"/>
              </w:rPr>
            </w:r>
          </w:p>
        </w:tc>
      </w:tr>
      <w:tr>
        <w:trPr>
          <w:trHeight w:val="240" w:hRule="exact"/>
        </w:trPr>
        <w:tc>
          <w:tcPr>
            <w:tcW w:w="3152"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黑体" w:hAnsi="黑体" w:cs="黑体" w:eastAsia="黑体" w:hint="default"/>
                <w:sz w:val="20"/>
                <w:szCs w:val="20"/>
              </w:rPr>
            </w:pPr>
            <w:r>
              <w:rPr>
                <w:rFonts w:ascii="黑体" w:hAnsi="黑体" w:cs="黑体" w:eastAsia="黑体" w:hint="default"/>
                <w:sz w:val="20"/>
                <w:szCs w:val="20"/>
              </w:rPr>
              <w:t>业务宣传费</w:t>
            </w:r>
          </w:p>
        </w:tc>
        <w:tc>
          <w:tcPr>
            <w:tcW w:w="2900" w:type="dxa"/>
            <w:tcBorders>
              <w:top w:val="nil" w:sz="6" w:space="0" w:color="auto"/>
              <w:left w:val="nil" w:sz="6" w:space="0" w:color="auto"/>
              <w:bottom w:val="nil" w:sz="6" w:space="0" w:color="auto"/>
              <w:right w:val="nil" w:sz="6" w:space="0" w:color="auto"/>
            </w:tcBorders>
          </w:tcPr>
          <w:p>
            <w:pPr>
              <w:pStyle w:val="TableParagraph"/>
              <w:spacing w:line="229" w:lineRule="exact"/>
              <w:ind w:right="635"/>
              <w:jc w:val="right"/>
              <w:rPr>
                <w:rFonts w:ascii="Arial" w:hAnsi="Arial" w:cs="Arial" w:eastAsia="Arial" w:hint="default"/>
                <w:sz w:val="20"/>
                <w:szCs w:val="20"/>
              </w:rPr>
            </w:pPr>
            <w:r>
              <w:rPr>
                <w:rFonts w:ascii="Arial"/>
                <w:spacing w:val="-1"/>
                <w:sz w:val="20"/>
              </w:rPr>
              <w:t>62,708,636</w:t>
            </w:r>
            <w:r>
              <w:rPr>
                <w:rFonts w:ascii="Arial"/>
                <w:sz w:val="20"/>
              </w:rPr>
            </w:r>
          </w:p>
        </w:tc>
        <w:tc>
          <w:tcPr>
            <w:tcW w:w="2114" w:type="dxa"/>
            <w:tcBorders>
              <w:top w:val="nil" w:sz="6" w:space="0" w:color="auto"/>
              <w:left w:val="nil" w:sz="6" w:space="0" w:color="auto"/>
              <w:bottom w:val="nil" w:sz="6" w:space="0" w:color="auto"/>
              <w:right w:val="nil" w:sz="6" w:space="0" w:color="auto"/>
            </w:tcBorders>
          </w:tcPr>
          <w:p>
            <w:pPr>
              <w:pStyle w:val="TableParagraph"/>
              <w:spacing w:line="229" w:lineRule="exact"/>
              <w:ind w:right="198"/>
              <w:jc w:val="right"/>
              <w:rPr>
                <w:rFonts w:ascii="Arial" w:hAnsi="Arial" w:cs="Arial" w:eastAsia="Arial" w:hint="default"/>
                <w:sz w:val="20"/>
                <w:szCs w:val="20"/>
              </w:rPr>
            </w:pPr>
            <w:r>
              <w:rPr>
                <w:rFonts w:ascii="Arial"/>
                <w:spacing w:val="-1"/>
                <w:sz w:val="20"/>
              </w:rPr>
              <w:t>53,344,894</w:t>
            </w:r>
            <w:r>
              <w:rPr>
                <w:rFonts w:ascii="Arial"/>
                <w:sz w:val="20"/>
              </w:rPr>
            </w:r>
          </w:p>
        </w:tc>
      </w:tr>
      <w:tr>
        <w:trPr>
          <w:trHeight w:val="240" w:hRule="exact"/>
        </w:trPr>
        <w:tc>
          <w:tcPr>
            <w:tcW w:w="3152"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黑体" w:hAnsi="黑体" w:cs="黑体" w:eastAsia="黑体" w:hint="default"/>
                <w:sz w:val="20"/>
                <w:szCs w:val="20"/>
              </w:rPr>
            </w:pPr>
            <w:r>
              <w:rPr>
                <w:rFonts w:ascii="黑体" w:hAnsi="黑体" w:cs="黑体" w:eastAsia="黑体" w:hint="default"/>
                <w:sz w:val="20"/>
                <w:szCs w:val="20"/>
              </w:rPr>
              <w:t>业务招待费</w:t>
            </w:r>
          </w:p>
        </w:tc>
        <w:tc>
          <w:tcPr>
            <w:tcW w:w="2900" w:type="dxa"/>
            <w:tcBorders>
              <w:top w:val="nil" w:sz="6" w:space="0" w:color="auto"/>
              <w:left w:val="nil" w:sz="6" w:space="0" w:color="auto"/>
              <w:bottom w:val="nil" w:sz="6" w:space="0" w:color="auto"/>
              <w:right w:val="nil" w:sz="6" w:space="0" w:color="auto"/>
            </w:tcBorders>
          </w:tcPr>
          <w:p>
            <w:pPr>
              <w:pStyle w:val="TableParagraph"/>
              <w:spacing w:line="229" w:lineRule="exact"/>
              <w:ind w:right="635"/>
              <w:jc w:val="right"/>
              <w:rPr>
                <w:rFonts w:ascii="Arial" w:hAnsi="Arial" w:cs="Arial" w:eastAsia="Arial" w:hint="default"/>
                <w:sz w:val="20"/>
                <w:szCs w:val="20"/>
              </w:rPr>
            </w:pPr>
            <w:r>
              <w:rPr>
                <w:rFonts w:ascii="Arial"/>
                <w:spacing w:val="-1"/>
                <w:sz w:val="20"/>
              </w:rPr>
              <w:t>49,212,948</w:t>
            </w:r>
            <w:r>
              <w:rPr>
                <w:rFonts w:ascii="Arial"/>
                <w:sz w:val="20"/>
              </w:rPr>
            </w:r>
          </w:p>
        </w:tc>
        <w:tc>
          <w:tcPr>
            <w:tcW w:w="2114" w:type="dxa"/>
            <w:tcBorders>
              <w:top w:val="nil" w:sz="6" w:space="0" w:color="auto"/>
              <w:left w:val="nil" w:sz="6" w:space="0" w:color="auto"/>
              <w:bottom w:val="nil" w:sz="6" w:space="0" w:color="auto"/>
              <w:right w:val="nil" w:sz="6" w:space="0" w:color="auto"/>
            </w:tcBorders>
          </w:tcPr>
          <w:p>
            <w:pPr>
              <w:pStyle w:val="TableParagraph"/>
              <w:spacing w:line="229" w:lineRule="exact"/>
              <w:ind w:right="198"/>
              <w:jc w:val="right"/>
              <w:rPr>
                <w:rFonts w:ascii="Arial" w:hAnsi="Arial" w:cs="Arial" w:eastAsia="Arial" w:hint="default"/>
                <w:sz w:val="20"/>
                <w:szCs w:val="20"/>
              </w:rPr>
            </w:pPr>
            <w:r>
              <w:rPr>
                <w:rFonts w:ascii="Arial"/>
                <w:spacing w:val="-1"/>
                <w:sz w:val="20"/>
              </w:rPr>
              <w:t>42,886,491</w:t>
            </w:r>
            <w:r>
              <w:rPr>
                <w:rFonts w:ascii="Arial"/>
                <w:sz w:val="20"/>
              </w:rPr>
            </w:r>
          </w:p>
        </w:tc>
      </w:tr>
      <w:tr>
        <w:trPr>
          <w:trHeight w:val="240" w:hRule="exact"/>
        </w:trPr>
        <w:tc>
          <w:tcPr>
            <w:tcW w:w="3152"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黑体" w:hAnsi="黑体" w:cs="黑体" w:eastAsia="黑体" w:hint="default"/>
                <w:sz w:val="20"/>
                <w:szCs w:val="20"/>
              </w:rPr>
            </w:pPr>
            <w:r>
              <w:rPr>
                <w:rFonts w:ascii="黑体" w:hAnsi="黑体" w:cs="黑体" w:eastAsia="黑体" w:hint="default"/>
                <w:sz w:val="20"/>
                <w:szCs w:val="20"/>
              </w:rPr>
              <w:t>差旅费</w:t>
            </w:r>
          </w:p>
        </w:tc>
        <w:tc>
          <w:tcPr>
            <w:tcW w:w="2900" w:type="dxa"/>
            <w:tcBorders>
              <w:top w:val="nil" w:sz="6" w:space="0" w:color="auto"/>
              <w:left w:val="nil" w:sz="6" w:space="0" w:color="auto"/>
              <w:bottom w:val="nil" w:sz="6" w:space="0" w:color="auto"/>
              <w:right w:val="nil" w:sz="6" w:space="0" w:color="auto"/>
            </w:tcBorders>
          </w:tcPr>
          <w:p>
            <w:pPr>
              <w:pStyle w:val="TableParagraph"/>
              <w:spacing w:line="229" w:lineRule="exact"/>
              <w:ind w:right="635"/>
              <w:jc w:val="right"/>
              <w:rPr>
                <w:rFonts w:ascii="Arial" w:hAnsi="Arial" w:cs="Arial" w:eastAsia="Arial" w:hint="default"/>
                <w:sz w:val="20"/>
                <w:szCs w:val="20"/>
              </w:rPr>
            </w:pPr>
            <w:r>
              <w:rPr>
                <w:rFonts w:ascii="Arial"/>
                <w:spacing w:val="-1"/>
                <w:sz w:val="20"/>
              </w:rPr>
              <w:t>95,134,761</w:t>
            </w:r>
            <w:r>
              <w:rPr>
                <w:rFonts w:ascii="Arial"/>
                <w:sz w:val="20"/>
              </w:rPr>
            </w:r>
          </w:p>
        </w:tc>
        <w:tc>
          <w:tcPr>
            <w:tcW w:w="2114" w:type="dxa"/>
            <w:tcBorders>
              <w:top w:val="nil" w:sz="6" w:space="0" w:color="auto"/>
              <w:left w:val="nil" w:sz="6" w:space="0" w:color="auto"/>
              <w:bottom w:val="nil" w:sz="6" w:space="0" w:color="auto"/>
              <w:right w:val="nil" w:sz="6" w:space="0" w:color="auto"/>
            </w:tcBorders>
          </w:tcPr>
          <w:p>
            <w:pPr>
              <w:pStyle w:val="TableParagraph"/>
              <w:spacing w:line="229" w:lineRule="exact"/>
              <w:ind w:right="198"/>
              <w:jc w:val="right"/>
              <w:rPr>
                <w:rFonts w:ascii="Arial" w:hAnsi="Arial" w:cs="Arial" w:eastAsia="Arial" w:hint="default"/>
                <w:sz w:val="20"/>
                <w:szCs w:val="20"/>
              </w:rPr>
            </w:pPr>
            <w:r>
              <w:rPr>
                <w:rFonts w:ascii="Arial"/>
                <w:spacing w:val="-1"/>
                <w:sz w:val="20"/>
              </w:rPr>
              <w:t>103,344,538</w:t>
            </w:r>
            <w:r>
              <w:rPr>
                <w:rFonts w:ascii="Arial"/>
                <w:sz w:val="20"/>
              </w:rPr>
            </w:r>
          </w:p>
        </w:tc>
      </w:tr>
      <w:tr>
        <w:trPr>
          <w:trHeight w:val="240" w:hRule="exact"/>
        </w:trPr>
        <w:tc>
          <w:tcPr>
            <w:tcW w:w="3152"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黑体" w:hAnsi="黑体" w:cs="黑体" w:eastAsia="黑体" w:hint="default"/>
                <w:sz w:val="20"/>
                <w:szCs w:val="20"/>
              </w:rPr>
            </w:pPr>
            <w:r>
              <w:rPr>
                <w:rFonts w:ascii="黑体" w:hAnsi="黑体" w:cs="黑体" w:eastAsia="黑体" w:hint="default"/>
                <w:sz w:val="20"/>
                <w:szCs w:val="20"/>
              </w:rPr>
              <w:t>咨询服务费</w:t>
            </w:r>
          </w:p>
        </w:tc>
        <w:tc>
          <w:tcPr>
            <w:tcW w:w="2900" w:type="dxa"/>
            <w:tcBorders>
              <w:top w:val="nil" w:sz="6" w:space="0" w:color="auto"/>
              <w:left w:val="nil" w:sz="6" w:space="0" w:color="auto"/>
              <w:bottom w:val="nil" w:sz="6" w:space="0" w:color="auto"/>
              <w:right w:val="nil" w:sz="6" w:space="0" w:color="auto"/>
            </w:tcBorders>
          </w:tcPr>
          <w:p>
            <w:pPr>
              <w:pStyle w:val="TableParagraph"/>
              <w:spacing w:line="229" w:lineRule="exact"/>
              <w:ind w:right="635"/>
              <w:jc w:val="right"/>
              <w:rPr>
                <w:rFonts w:ascii="Arial" w:hAnsi="Arial" w:cs="Arial" w:eastAsia="Arial" w:hint="default"/>
                <w:sz w:val="20"/>
                <w:szCs w:val="20"/>
              </w:rPr>
            </w:pPr>
            <w:r>
              <w:rPr>
                <w:rFonts w:ascii="Arial"/>
                <w:spacing w:val="-1"/>
                <w:sz w:val="20"/>
              </w:rPr>
              <w:t>45,849,641</w:t>
            </w:r>
            <w:r>
              <w:rPr>
                <w:rFonts w:ascii="Arial"/>
                <w:sz w:val="20"/>
              </w:rPr>
            </w:r>
          </w:p>
        </w:tc>
        <w:tc>
          <w:tcPr>
            <w:tcW w:w="2114" w:type="dxa"/>
            <w:tcBorders>
              <w:top w:val="nil" w:sz="6" w:space="0" w:color="auto"/>
              <w:left w:val="nil" w:sz="6" w:space="0" w:color="auto"/>
              <w:bottom w:val="nil" w:sz="6" w:space="0" w:color="auto"/>
              <w:right w:val="nil" w:sz="6" w:space="0" w:color="auto"/>
            </w:tcBorders>
          </w:tcPr>
          <w:p>
            <w:pPr>
              <w:pStyle w:val="TableParagraph"/>
              <w:spacing w:line="229" w:lineRule="exact"/>
              <w:ind w:right="198"/>
              <w:jc w:val="right"/>
              <w:rPr>
                <w:rFonts w:ascii="Arial" w:hAnsi="Arial" w:cs="Arial" w:eastAsia="Arial" w:hint="default"/>
                <w:sz w:val="20"/>
                <w:szCs w:val="20"/>
              </w:rPr>
            </w:pPr>
            <w:r>
              <w:rPr>
                <w:rFonts w:ascii="Arial"/>
                <w:spacing w:val="-1"/>
                <w:sz w:val="20"/>
              </w:rPr>
              <w:t>53,325,887</w:t>
            </w:r>
            <w:r>
              <w:rPr>
                <w:rFonts w:ascii="Arial"/>
                <w:sz w:val="20"/>
              </w:rPr>
            </w:r>
          </w:p>
        </w:tc>
      </w:tr>
      <w:tr>
        <w:trPr>
          <w:trHeight w:val="240" w:hRule="exact"/>
        </w:trPr>
        <w:tc>
          <w:tcPr>
            <w:tcW w:w="3152"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黑体" w:hAnsi="黑体" w:cs="黑体" w:eastAsia="黑体" w:hint="default"/>
                <w:sz w:val="20"/>
                <w:szCs w:val="20"/>
              </w:rPr>
            </w:pPr>
            <w:r>
              <w:rPr>
                <w:rFonts w:ascii="黑体" w:hAnsi="黑体" w:cs="黑体" w:eastAsia="黑体" w:hint="default"/>
                <w:sz w:val="20"/>
                <w:szCs w:val="20"/>
              </w:rPr>
              <w:t>办公费</w:t>
            </w:r>
          </w:p>
        </w:tc>
        <w:tc>
          <w:tcPr>
            <w:tcW w:w="2900" w:type="dxa"/>
            <w:tcBorders>
              <w:top w:val="nil" w:sz="6" w:space="0" w:color="auto"/>
              <w:left w:val="nil" w:sz="6" w:space="0" w:color="auto"/>
              <w:bottom w:val="nil" w:sz="6" w:space="0" w:color="auto"/>
              <w:right w:val="nil" w:sz="6" w:space="0" w:color="auto"/>
            </w:tcBorders>
          </w:tcPr>
          <w:p>
            <w:pPr>
              <w:pStyle w:val="TableParagraph"/>
              <w:spacing w:line="229" w:lineRule="exact"/>
              <w:ind w:right="635"/>
              <w:jc w:val="right"/>
              <w:rPr>
                <w:rFonts w:ascii="Arial" w:hAnsi="Arial" w:cs="Arial" w:eastAsia="Arial" w:hint="default"/>
                <w:sz w:val="20"/>
                <w:szCs w:val="20"/>
              </w:rPr>
            </w:pPr>
            <w:r>
              <w:rPr>
                <w:rFonts w:ascii="Arial"/>
                <w:spacing w:val="-1"/>
                <w:sz w:val="20"/>
              </w:rPr>
              <w:t>16,938,233</w:t>
            </w:r>
            <w:r>
              <w:rPr>
                <w:rFonts w:ascii="Arial"/>
                <w:sz w:val="20"/>
              </w:rPr>
            </w:r>
          </w:p>
        </w:tc>
        <w:tc>
          <w:tcPr>
            <w:tcW w:w="2114" w:type="dxa"/>
            <w:tcBorders>
              <w:top w:val="nil" w:sz="6" w:space="0" w:color="auto"/>
              <w:left w:val="nil" w:sz="6" w:space="0" w:color="auto"/>
              <w:bottom w:val="nil" w:sz="6" w:space="0" w:color="auto"/>
              <w:right w:val="nil" w:sz="6" w:space="0" w:color="auto"/>
            </w:tcBorders>
          </w:tcPr>
          <w:p>
            <w:pPr>
              <w:pStyle w:val="TableParagraph"/>
              <w:spacing w:line="229" w:lineRule="exact"/>
              <w:ind w:right="198"/>
              <w:jc w:val="right"/>
              <w:rPr>
                <w:rFonts w:ascii="Arial" w:hAnsi="Arial" w:cs="Arial" w:eastAsia="Arial" w:hint="default"/>
                <w:sz w:val="20"/>
                <w:szCs w:val="20"/>
              </w:rPr>
            </w:pPr>
            <w:r>
              <w:rPr>
                <w:rFonts w:ascii="Arial"/>
                <w:spacing w:val="-1"/>
                <w:sz w:val="20"/>
              </w:rPr>
              <w:t>20,007,379</w:t>
            </w:r>
            <w:r>
              <w:rPr>
                <w:rFonts w:ascii="Arial"/>
                <w:sz w:val="20"/>
              </w:rPr>
            </w:r>
          </w:p>
        </w:tc>
      </w:tr>
      <w:tr>
        <w:trPr>
          <w:trHeight w:val="240" w:hRule="exact"/>
        </w:trPr>
        <w:tc>
          <w:tcPr>
            <w:tcW w:w="3152"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黑体" w:hAnsi="黑体" w:cs="黑体" w:eastAsia="黑体" w:hint="default"/>
                <w:sz w:val="20"/>
                <w:szCs w:val="20"/>
              </w:rPr>
            </w:pPr>
            <w:r>
              <w:rPr>
                <w:rFonts w:ascii="黑体" w:hAnsi="黑体" w:cs="黑体" w:eastAsia="黑体" w:hint="default"/>
                <w:sz w:val="20"/>
                <w:szCs w:val="20"/>
              </w:rPr>
              <w:t>折旧及摊销</w:t>
            </w:r>
          </w:p>
        </w:tc>
        <w:tc>
          <w:tcPr>
            <w:tcW w:w="2900" w:type="dxa"/>
            <w:tcBorders>
              <w:top w:val="nil" w:sz="6" w:space="0" w:color="auto"/>
              <w:left w:val="nil" w:sz="6" w:space="0" w:color="auto"/>
              <w:bottom w:val="nil" w:sz="6" w:space="0" w:color="auto"/>
              <w:right w:val="nil" w:sz="6" w:space="0" w:color="auto"/>
            </w:tcBorders>
          </w:tcPr>
          <w:p>
            <w:pPr>
              <w:pStyle w:val="TableParagraph"/>
              <w:spacing w:line="229" w:lineRule="exact"/>
              <w:ind w:right="635"/>
              <w:jc w:val="right"/>
              <w:rPr>
                <w:rFonts w:ascii="Arial" w:hAnsi="Arial" w:cs="Arial" w:eastAsia="Arial" w:hint="default"/>
                <w:sz w:val="20"/>
                <w:szCs w:val="20"/>
              </w:rPr>
            </w:pPr>
            <w:r>
              <w:rPr>
                <w:rFonts w:ascii="Arial"/>
                <w:spacing w:val="-1"/>
                <w:sz w:val="20"/>
              </w:rPr>
              <w:t>7,491,156</w:t>
            </w:r>
          </w:p>
        </w:tc>
        <w:tc>
          <w:tcPr>
            <w:tcW w:w="2114" w:type="dxa"/>
            <w:tcBorders>
              <w:top w:val="nil" w:sz="6" w:space="0" w:color="auto"/>
              <w:left w:val="nil" w:sz="6" w:space="0" w:color="auto"/>
              <w:bottom w:val="nil" w:sz="6" w:space="0" w:color="auto"/>
              <w:right w:val="nil" w:sz="6" w:space="0" w:color="auto"/>
            </w:tcBorders>
          </w:tcPr>
          <w:p>
            <w:pPr>
              <w:pStyle w:val="TableParagraph"/>
              <w:spacing w:line="229" w:lineRule="exact"/>
              <w:ind w:right="198"/>
              <w:jc w:val="right"/>
              <w:rPr>
                <w:rFonts w:ascii="Arial" w:hAnsi="Arial" w:cs="Arial" w:eastAsia="Arial" w:hint="default"/>
                <w:sz w:val="20"/>
                <w:szCs w:val="20"/>
              </w:rPr>
            </w:pPr>
            <w:r>
              <w:rPr>
                <w:rFonts w:ascii="Arial"/>
                <w:spacing w:val="-1"/>
                <w:sz w:val="20"/>
              </w:rPr>
              <w:t>8,970,343</w:t>
            </w:r>
          </w:p>
        </w:tc>
      </w:tr>
      <w:tr>
        <w:trPr>
          <w:trHeight w:val="240" w:hRule="exact"/>
        </w:trPr>
        <w:tc>
          <w:tcPr>
            <w:tcW w:w="3152"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黑体" w:hAnsi="黑体" w:cs="黑体" w:eastAsia="黑体" w:hint="default"/>
                <w:sz w:val="20"/>
                <w:szCs w:val="20"/>
              </w:rPr>
            </w:pPr>
            <w:r>
              <w:rPr>
                <w:rFonts w:ascii="黑体" w:hAnsi="黑体" w:cs="黑体" w:eastAsia="黑体" w:hint="default"/>
                <w:sz w:val="20"/>
                <w:szCs w:val="20"/>
              </w:rPr>
              <w:t>租赁费及物业管理费</w:t>
            </w:r>
          </w:p>
        </w:tc>
        <w:tc>
          <w:tcPr>
            <w:tcW w:w="2900" w:type="dxa"/>
            <w:tcBorders>
              <w:top w:val="nil" w:sz="6" w:space="0" w:color="auto"/>
              <w:left w:val="nil" w:sz="6" w:space="0" w:color="auto"/>
              <w:bottom w:val="nil" w:sz="6" w:space="0" w:color="auto"/>
              <w:right w:val="nil" w:sz="6" w:space="0" w:color="auto"/>
            </w:tcBorders>
          </w:tcPr>
          <w:p>
            <w:pPr>
              <w:pStyle w:val="TableParagraph"/>
              <w:spacing w:line="229" w:lineRule="exact"/>
              <w:ind w:right="635"/>
              <w:jc w:val="right"/>
              <w:rPr>
                <w:rFonts w:ascii="Arial" w:hAnsi="Arial" w:cs="Arial" w:eastAsia="Arial" w:hint="default"/>
                <w:sz w:val="20"/>
                <w:szCs w:val="20"/>
              </w:rPr>
            </w:pPr>
            <w:r>
              <w:rPr>
                <w:rFonts w:ascii="Arial"/>
                <w:spacing w:val="-1"/>
                <w:sz w:val="20"/>
              </w:rPr>
              <w:t>3,533,102</w:t>
            </w:r>
          </w:p>
        </w:tc>
        <w:tc>
          <w:tcPr>
            <w:tcW w:w="2114" w:type="dxa"/>
            <w:tcBorders>
              <w:top w:val="nil" w:sz="6" w:space="0" w:color="auto"/>
              <w:left w:val="nil" w:sz="6" w:space="0" w:color="auto"/>
              <w:bottom w:val="nil" w:sz="6" w:space="0" w:color="auto"/>
              <w:right w:val="nil" w:sz="6" w:space="0" w:color="auto"/>
            </w:tcBorders>
          </w:tcPr>
          <w:p>
            <w:pPr>
              <w:pStyle w:val="TableParagraph"/>
              <w:spacing w:line="229" w:lineRule="exact"/>
              <w:ind w:right="198"/>
              <w:jc w:val="right"/>
              <w:rPr>
                <w:rFonts w:ascii="Arial" w:hAnsi="Arial" w:cs="Arial" w:eastAsia="Arial" w:hint="default"/>
                <w:sz w:val="20"/>
                <w:szCs w:val="20"/>
              </w:rPr>
            </w:pPr>
            <w:r>
              <w:rPr>
                <w:rFonts w:ascii="Arial"/>
                <w:spacing w:val="-1"/>
                <w:sz w:val="20"/>
              </w:rPr>
              <w:t>3,263,884</w:t>
            </w:r>
          </w:p>
        </w:tc>
      </w:tr>
      <w:tr>
        <w:trPr>
          <w:trHeight w:val="376" w:hRule="exact"/>
        </w:trPr>
        <w:tc>
          <w:tcPr>
            <w:tcW w:w="3152" w:type="dxa"/>
            <w:tcBorders>
              <w:top w:val="nil" w:sz="6" w:space="0" w:color="auto"/>
              <w:left w:val="nil" w:sz="6" w:space="0" w:color="auto"/>
              <w:bottom w:val="nil" w:sz="6" w:space="0" w:color="auto"/>
              <w:right w:val="nil" w:sz="6" w:space="0" w:color="auto"/>
            </w:tcBorders>
          </w:tcPr>
          <w:p>
            <w:pPr>
              <w:pStyle w:val="TableParagraph"/>
              <w:spacing w:line="215" w:lineRule="exact"/>
              <w:ind w:left="200"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2900" w:type="dxa"/>
            <w:tcBorders>
              <w:top w:val="nil" w:sz="6" w:space="0" w:color="auto"/>
              <w:left w:val="nil" w:sz="6" w:space="0" w:color="auto"/>
              <w:bottom w:val="nil" w:sz="6" w:space="0" w:color="auto"/>
              <w:right w:val="nil" w:sz="6" w:space="0" w:color="auto"/>
            </w:tcBorders>
          </w:tcPr>
          <w:p>
            <w:pPr>
              <w:pStyle w:val="TableParagraph"/>
              <w:tabs>
                <w:tab w:pos="403" w:val="left" w:leader="none"/>
              </w:tabs>
              <w:spacing w:line="229" w:lineRule="exact"/>
              <w:ind w:right="635"/>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5,300,220</w:t>
            </w:r>
            <w:r>
              <w:rPr>
                <w:rFonts w:ascii="Arial"/>
                <w:spacing w:val="-1"/>
                <w:w w:val="95"/>
                <w:sz w:val="20"/>
              </w:rPr>
            </w:r>
            <w:r>
              <w:rPr>
                <w:rFonts w:ascii="Arial"/>
                <w:sz w:val="20"/>
              </w:rPr>
            </w:r>
          </w:p>
        </w:tc>
        <w:tc>
          <w:tcPr>
            <w:tcW w:w="2114" w:type="dxa"/>
            <w:tcBorders>
              <w:top w:val="nil" w:sz="6" w:space="0" w:color="auto"/>
              <w:left w:val="nil" w:sz="6" w:space="0" w:color="auto"/>
              <w:bottom w:val="nil" w:sz="6" w:space="0" w:color="auto"/>
              <w:right w:val="nil" w:sz="6" w:space="0" w:color="auto"/>
            </w:tcBorders>
          </w:tcPr>
          <w:p>
            <w:pPr>
              <w:pStyle w:val="TableParagraph"/>
              <w:tabs>
                <w:tab w:pos="403" w:val="left" w:leader="none"/>
              </w:tabs>
              <w:spacing w:line="229" w:lineRule="exact"/>
              <w:ind w:right="19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4,053,284</w:t>
            </w:r>
            <w:r>
              <w:rPr>
                <w:rFonts w:ascii="Arial"/>
                <w:spacing w:val="-1"/>
                <w:w w:val="95"/>
                <w:sz w:val="20"/>
              </w:rPr>
            </w:r>
            <w:r>
              <w:rPr>
                <w:rFonts w:ascii="Arial"/>
                <w:sz w:val="20"/>
              </w:rPr>
            </w:r>
          </w:p>
        </w:tc>
      </w:tr>
      <w:tr>
        <w:trPr>
          <w:trHeight w:val="350" w:hRule="exact"/>
        </w:trPr>
        <w:tc>
          <w:tcPr>
            <w:tcW w:w="3152" w:type="dxa"/>
            <w:tcBorders>
              <w:top w:val="nil" w:sz="6" w:space="0" w:color="auto"/>
              <w:left w:val="nil" w:sz="6" w:space="0" w:color="auto"/>
              <w:bottom w:val="nil" w:sz="6" w:space="0" w:color="auto"/>
              <w:right w:val="nil" w:sz="6" w:space="0" w:color="auto"/>
            </w:tcBorders>
          </w:tcPr>
          <w:p>
            <w:pPr/>
          </w:p>
        </w:tc>
        <w:tc>
          <w:tcPr>
            <w:tcW w:w="2900"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635"/>
              <w:jc w:val="right"/>
              <w:rPr>
                <w:rFonts w:ascii="Arial" w:hAnsi="Arial" w:cs="Arial" w:eastAsia="Arial" w:hint="default"/>
                <w:sz w:val="20"/>
                <w:szCs w:val="20"/>
              </w:rPr>
            </w:pPr>
            <w:r>
              <w:rPr>
                <w:rFonts w:ascii="Arial"/>
                <w:w w:val="99"/>
                <w:sz w:val="20"/>
              </w:rPr>
            </w:r>
            <w:r>
              <w:rPr>
                <w:rFonts w:ascii="Arial"/>
                <w:spacing w:val="-1"/>
                <w:sz w:val="20"/>
                <w:u w:val="thick" w:color="000000"/>
              </w:rPr>
              <w:t>1,062,047,238</w:t>
            </w:r>
            <w:r>
              <w:rPr>
                <w:rFonts w:ascii="Arial"/>
                <w:spacing w:val="-1"/>
                <w:sz w:val="20"/>
              </w:rPr>
            </w:r>
            <w:r>
              <w:rPr>
                <w:rFonts w:ascii="Arial"/>
                <w:sz w:val="20"/>
              </w:rPr>
            </w: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1,073,862,141</w:t>
            </w:r>
            <w:r>
              <w:rPr>
                <w:rFonts w:ascii="Arial"/>
                <w:spacing w:val="-1"/>
                <w:sz w:val="20"/>
              </w:rPr>
            </w:r>
            <w:r>
              <w:rPr>
                <w:rFonts w:ascii="Arial"/>
                <w:sz w:val="20"/>
              </w:rPr>
            </w:r>
          </w:p>
        </w:tc>
      </w:tr>
    </w:tbl>
    <w:p>
      <w:pPr>
        <w:spacing w:line="240" w:lineRule="auto" w:before="9"/>
        <w:rPr>
          <w:rFonts w:ascii="黑体" w:hAnsi="黑体" w:cs="黑体" w:eastAsia="黑体" w:hint="default"/>
          <w:b/>
          <w:bCs/>
          <w:sz w:val="12"/>
          <w:szCs w:val="12"/>
        </w:rPr>
      </w:pPr>
    </w:p>
    <w:p>
      <w:pPr>
        <w:pStyle w:val="Heading6"/>
        <w:tabs>
          <w:tab w:pos="905" w:val="left" w:leader="none"/>
        </w:tabs>
        <w:spacing w:line="240" w:lineRule="auto"/>
        <w:ind w:left="226" w:right="223"/>
        <w:jc w:val="left"/>
        <w:rPr>
          <w:b w:val="0"/>
          <w:bCs w:val="0"/>
        </w:rPr>
      </w:pPr>
      <w:r>
        <w:rPr>
          <w:rFonts w:ascii="Arial" w:hAnsi="Arial" w:cs="Arial" w:eastAsia="Arial" w:hint="default"/>
          <w:spacing w:val="-1"/>
          <w:w w:val="95"/>
        </w:rPr>
        <w:t>31.</w:t>
        <w:tab/>
      </w:r>
      <w:r>
        <w:rPr>
          <w:spacing w:val="2"/>
        </w:rPr>
        <w:t>管理费用</w:t>
      </w:r>
      <w:r>
        <w:rPr>
          <w:b w:val="0"/>
          <w:bCs w:val="0"/>
        </w:rPr>
      </w:r>
    </w:p>
    <w:p>
      <w:pPr>
        <w:spacing w:line="240" w:lineRule="auto" w:before="2"/>
        <w:rPr>
          <w:rFonts w:ascii="黑体" w:hAnsi="黑体" w:cs="黑体" w:eastAsia="黑体" w:hint="default"/>
          <w:b/>
          <w:bCs/>
          <w:sz w:val="25"/>
          <w:szCs w:val="25"/>
        </w:rPr>
      </w:pPr>
    </w:p>
    <w:tbl>
      <w:tblPr>
        <w:tblW w:w="0" w:type="auto"/>
        <w:jc w:val="left"/>
        <w:tblInd w:w="609" w:type="dxa"/>
        <w:tblLayout w:type="fixed"/>
        <w:tblCellMar>
          <w:top w:w="0" w:type="dxa"/>
          <w:left w:w="0" w:type="dxa"/>
          <w:bottom w:w="0" w:type="dxa"/>
          <w:right w:w="0" w:type="dxa"/>
        </w:tblCellMar>
        <w:tblLook w:val="01E0"/>
      </w:tblPr>
      <w:tblGrid>
        <w:gridCol w:w="3171"/>
        <w:gridCol w:w="2984"/>
        <w:gridCol w:w="2011"/>
      </w:tblGrid>
      <w:tr>
        <w:trPr>
          <w:trHeight w:val="373" w:hRule="exact"/>
        </w:trPr>
        <w:tc>
          <w:tcPr>
            <w:tcW w:w="3171" w:type="dxa"/>
            <w:tcBorders>
              <w:top w:val="nil" w:sz="6" w:space="0" w:color="auto"/>
              <w:left w:val="nil" w:sz="6" w:space="0" w:color="auto"/>
              <w:bottom w:val="nil" w:sz="6" w:space="0" w:color="auto"/>
              <w:right w:val="nil" w:sz="6" w:space="0" w:color="auto"/>
            </w:tcBorders>
          </w:tcPr>
          <w:p>
            <w:pPr/>
          </w:p>
        </w:tc>
        <w:tc>
          <w:tcPr>
            <w:tcW w:w="2984" w:type="dxa"/>
            <w:tcBorders>
              <w:top w:val="nil" w:sz="6" w:space="0" w:color="auto"/>
              <w:left w:val="nil" w:sz="6" w:space="0" w:color="auto"/>
              <w:bottom w:val="nil" w:sz="6" w:space="0" w:color="auto"/>
              <w:right w:val="nil" w:sz="6" w:space="0" w:color="auto"/>
            </w:tcBorders>
          </w:tcPr>
          <w:p>
            <w:pPr>
              <w:pStyle w:val="TableParagraph"/>
              <w:spacing w:line="214" w:lineRule="exact"/>
              <w:ind w:right="700"/>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2011" w:type="dxa"/>
            <w:tcBorders>
              <w:top w:val="nil" w:sz="6" w:space="0" w:color="auto"/>
              <w:left w:val="nil" w:sz="6" w:space="0" w:color="auto"/>
              <w:bottom w:val="nil" w:sz="6" w:space="0" w:color="auto"/>
              <w:right w:val="nil" w:sz="6" w:space="0" w:color="auto"/>
            </w:tcBorders>
          </w:tcPr>
          <w:p>
            <w:pPr>
              <w:pStyle w:val="TableParagraph"/>
              <w:spacing w:line="214" w:lineRule="exact"/>
              <w:ind w:right="198"/>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r>
      <w:tr>
        <w:trPr>
          <w:trHeight w:val="397" w:hRule="exact"/>
        </w:trPr>
        <w:tc>
          <w:tcPr>
            <w:tcW w:w="3171"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00" w:right="0"/>
              <w:jc w:val="left"/>
              <w:rPr>
                <w:rFonts w:ascii="黑体" w:hAnsi="黑体" w:cs="黑体" w:eastAsia="黑体" w:hint="default"/>
                <w:sz w:val="20"/>
                <w:szCs w:val="20"/>
              </w:rPr>
            </w:pPr>
            <w:r>
              <w:rPr>
                <w:rFonts w:ascii="黑体" w:hAnsi="黑体" w:cs="黑体" w:eastAsia="黑体" w:hint="default"/>
                <w:sz w:val="20"/>
                <w:szCs w:val="20"/>
              </w:rPr>
              <w:t>职工薪酬及福利</w:t>
            </w:r>
          </w:p>
        </w:tc>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700"/>
              <w:jc w:val="right"/>
              <w:rPr>
                <w:rFonts w:ascii="Arial" w:hAnsi="Arial" w:cs="Arial" w:eastAsia="Arial" w:hint="default"/>
                <w:sz w:val="20"/>
                <w:szCs w:val="20"/>
              </w:rPr>
            </w:pPr>
            <w:r>
              <w:rPr>
                <w:rFonts w:ascii="Arial"/>
                <w:spacing w:val="-1"/>
                <w:sz w:val="20"/>
              </w:rPr>
              <w:t>469,160,522</w:t>
            </w:r>
            <w:r>
              <w:rPr>
                <w:rFonts w:ascii="Arial"/>
                <w:sz w:val="20"/>
              </w:rPr>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98"/>
              <w:jc w:val="right"/>
              <w:rPr>
                <w:rFonts w:ascii="Arial" w:hAnsi="Arial" w:cs="Arial" w:eastAsia="Arial" w:hint="default"/>
                <w:sz w:val="20"/>
                <w:szCs w:val="20"/>
              </w:rPr>
            </w:pPr>
            <w:r>
              <w:rPr>
                <w:rFonts w:ascii="Arial"/>
                <w:spacing w:val="-1"/>
                <w:sz w:val="20"/>
              </w:rPr>
              <w:t>447,926,499</w:t>
            </w:r>
            <w:r>
              <w:rPr>
                <w:rFonts w:ascii="Arial"/>
                <w:sz w:val="20"/>
              </w:rPr>
            </w:r>
          </w:p>
        </w:tc>
      </w:tr>
      <w:tr>
        <w:trPr>
          <w:trHeight w:val="259" w:hRule="exact"/>
        </w:trPr>
        <w:tc>
          <w:tcPr>
            <w:tcW w:w="3171"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业务宣传费</w:t>
            </w:r>
          </w:p>
        </w:tc>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01"/>
              <w:jc w:val="right"/>
              <w:rPr>
                <w:rFonts w:ascii="Arial" w:hAnsi="Arial" w:cs="Arial" w:eastAsia="Arial" w:hint="default"/>
                <w:sz w:val="20"/>
                <w:szCs w:val="20"/>
              </w:rPr>
            </w:pPr>
            <w:r>
              <w:rPr>
                <w:rFonts w:ascii="Arial"/>
                <w:spacing w:val="-1"/>
                <w:sz w:val="20"/>
              </w:rPr>
              <w:t>7,051,107</w:t>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spacing w:val="-1"/>
                <w:sz w:val="20"/>
              </w:rPr>
              <w:t>6,624,664</w:t>
            </w:r>
          </w:p>
        </w:tc>
      </w:tr>
      <w:tr>
        <w:trPr>
          <w:trHeight w:val="259" w:hRule="exact"/>
        </w:trPr>
        <w:tc>
          <w:tcPr>
            <w:tcW w:w="3171"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差旅交通费</w:t>
            </w:r>
          </w:p>
        </w:tc>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00"/>
              <w:jc w:val="right"/>
              <w:rPr>
                <w:rFonts w:ascii="Arial" w:hAnsi="Arial" w:cs="Arial" w:eastAsia="Arial" w:hint="default"/>
                <w:sz w:val="20"/>
                <w:szCs w:val="20"/>
              </w:rPr>
            </w:pPr>
            <w:r>
              <w:rPr>
                <w:rFonts w:ascii="Arial"/>
                <w:spacing w:val="-1"/>
                <w:sz w:val="20"/>
              </w:rPr>
              <w:t>33,326,146</w:t>
            </w:r>
            <w:r>
              <w:rPr>
                <w:rFonts w:ascii="Arial"/>
                <w:sz w:val="20"/>
              </w:rPr>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spacing w:val="-1"/>
                <w:sz w:val="20"/>
              </w:rPr>
              <w:t>24,950,779</w:t>
            </w:r>
            <w:r>
              <w:rPr>
                <w:rFonts w:ascii="Arial"/>
                <w:sz w:val="20"/>
              </w:rPr>
            </w:r>
          </w:p>
        </w:tc>
      </w:tr>
      <w:tr>
        <w:trPr>
          <w:trHeight w:val="259" w:hRule="exact"/>
        </w:trPr>
        <w:tc>
          <w:tcPr>
            <w:tcW w:w="3171"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咨询服务费</w:t>
            </w:r>
          </w:p>
        </w:tc>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00"/>
              <w:jc w:val="right"/>
              <w:rPr>
                <w:rFonts w:ascii="Arial" w:hAnsi="Arial" w:cs="Arial" w:eastAsia="Arial" w:hint="default"/>
                <w:sz w:val="20"/>
                <w:szCs w:val="20"/>
              </w:rPr>
            </w:pPr>
            <w:r>
              <w:rPr>
                <w:rFonts w:ascii="Arial"/>
                <w:spacing w:val="-1"/>
                <w:sz w:val="20"/>
              </w:rPr>
              <w:t>44,069,435</w:t>
            </w:r>
            <w:r>
              <w:rPr>
                <w:rFonts w:ascii="Arial"/>
                <w:sz w:val="20"/>
              </w:rPr>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spacing w:val="-1"/>
                <w:sz w:val="20"/>
              </w:rPr>
              <w:t>37,633,566</w:t>
            </w:r>
            <w:r>
              <w:rPr>
                <w:rFonts w:ascii="Arial"/>
                <w:sz w:val="20"/>
              </w:rPr>
            </w:r>
          </w:p>
        </w:tc>
      </w:tr>
      <w:tr>
        <w:trPr>
          <w:trHeight w:val="259" w:hRule="exact"/>
        </w:trPr>
        <w:tc>
          <w:tcPr>
            <w:tcW w:w="3171"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办公费</w:t>
            </w:r>
          </w:p>
        </w:tc>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00"/>
              <w:jc w:val="right"/>
              <w:rPr>
                <w:rFonts w:ascii="Arial" w:hAnsi="Arial" w:cs="Arial" w:eastAsia="Arial" w:hint="default"/>
                <w:sz w:val="20"/>
                <w:szCs w:val="20"/>
              </w:rPr>
            </w:pPr>
            <w:r>
              <w:rPr>
                <w:rFonts w:ascii="Arial"/>
                <w:spacing w:val="-1"/>
                <w:sz w:val="20"/>
              </w:rPr>
              <w:t>24,029,801</w:t>
            </w:r>
            <w:r>
              <w:rPr>
                <w:rFonts w:ascii="Arial"/>
                <w:sz w:val="20"/>
              </w:rPr>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spacing w:val="-1"/>
                <w:sz w:val="20"/>
              </w:rPr>
              <w:t>25,339,067</w:t>
            </w:r>
            <w:r>
              <w:rPr>
                <w:rFonts w:ascii="Arial"/>
                <w:sz w:val="20"/>
              </w:rPr>
            </w:r>
          </w:p>
        </w:tc>
      </w:tr>
      <w:tr>
        <w:trPr>
          <w:trHeight w:val="259" w:hRule="exact"/>
        </w:trPr>
        <w:tc>
          <w:tcPr>
            <w:tcW w:w="3171"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业务招待费</w:t>
            </w:r>
          </w:p>
        </w:tc>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00"/>
              <w:jc w:val="right"/>
              <w:rPr>
                <w:rFonts w:ascii="Arial" w:hAnsi="Arial" w:cs="Arial" w:eastAsia="Arial" w:hint="default"/>
                <w:sz w:val="20"/>
                <w:szCs w:val="20"/>
              </w:rPr>
            </w:pPr>
            <w:r>
              <w:rPr>
                <w:rFonts w:ascii="Arial"/>
                <w:spacing w:val="-1"/>
                <w:sz w:val="20"/>
              </w:rPr>
              <w:t>14,461,113</w:t>
            </w:r>
            <w:r>
              <w:rPr>
                <w:rFonts w:ascii="Arial"/>
                <w:sz w:val="20"/>
              </w:rPr>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spacing w:val="-1"/>
                <w:sz w:val="20"/>
              </w:rPr>
              <w:t>11,385,882</w:t>
            </w:r>
            <w:r>
              <w:rPr>
                <w:rFonts w:ascii="Arial"/>
                <w:sz w:val="20"/>
              </w:rPr>
            </w:r>
          </w:p>
        </w:tc>
      </w:tr>
      <w:tr>
        <w:trPr>
          <w:trHeight w:val="259" w:hRule="exact"/>
        </w:trPr>
        <w:tc>
          <w:tcPr>
            <w:tcW w:w="3171"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租赁费及物业管理费</w:t>
            </w:r>
          </w:p>
        </w:tc>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00"/>
              <w:jc w:val="right"/>
              <w:rPr>
                <w:rFonts w:ascii="Arial" w:hAnsi="Arial" w:cs="Arial" w:eastAsia="Arial" w:hint="default"/>
                <w:sz w:val="20"/>
                <w:szCs w:val="20"/>
              </w:rPr>
            </w:pPr>
            <w:r>
              <w:rPr>
                <w:rFonts w:ascii="Arial"/>
                <w:spacing w:val="-1"/>
                <w:sz w:val="20"/>
              </w:rPr>
              <w:t>68,283,865</w:t>
            </w:r>
            <w:r>
              <w:rPr>
                <w:rFonts w:ascii="Arial"/>
                <w:sz w:val="20"/>
              </w:rPr>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spacing w:val="-1"/>
                <w:sz w:val="20"/>
              </w:rPr>
              <w:t>60,501,668</w:t>
            </w:r>
            <w:r>
              <w:rPr>
                <w:rFonts w:ascii="Arial"/>
                <w:sz w:val="20"/>
              </w:rPr>
            </w:r>
          </w:p>
        </w:tc>
      </w:tr>
      <w:tr>
        <w:trPr>
          <w:trHeight w:val="260" w:hRule="exact"/>
        </w:trPr>
        <w:tc>
          <w:tcPr>
            <w:tcW w:w="3171"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折旧及摊销</w:t>
            </w:r>
          </w:p>
        </w:tc>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00"/>
              <w:jc w:val="right"/>
              <w:rPr>
                <w:rFonts w:ascii="Arial" w:hAnsi="Arial" w:cs="Arial" w:eastAsia="Arial" w:hint="default"/>
                <w:sz w:val="20"/>
                <w:szCs w:val="20"/>
              </w:rPr>
            </w:pPr>
            <w:r>
              <w:rPr>
                <w:rFonts w:ascii="Arial"/>
                <w:spacing w:val="-1"/>
                <w:sz w:val="20"/>
              </w:rPr>
              <w:t>74,269,631</w:t>
            </w:r>
            <w:r>
              <w:rPr>
                <w:rFonts w:ascii="Arial"/>
                <w:sz w:val="20"/>
              </w:rPr>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8"/>
              <w:jc w:val="right"/>
              <w:rPr>
                <w:rFonts w:ascii="Arial" w:hAnsi="Arial" w:cs="Arial" w:eastAsia="Arial" w:hint="default"/>
                <w:sz w:val="20"/>
                <w:szCs w:val="20"/>
              </w:rPr>
            </w:pPr>
            <w:r>
              <w:rPr>
                <w:rFonts w:ascii="Arial"/>
                <w:spacing w:val="-1"/>
                <w:sz w:val="20"/>
              </w:rPr>
              <w:t>69,322,813</w:t>
            </w:r>
            <w:r>
              <w:rPr>
                <w:rFonts w:ascii="Arial"/>
                <w:sz w:val="20"/>
              </w:rPr>
            </w:r>
          </w:p>
        </w:tc>
      </w:tr>
      <w:tr>
        <w:trPr>
          <w:trHeight w:val="364" w:hRule="exact"/>
        </w:trPr>
        <w:tc>
          <w:tcPr>
            <w:tcW w:w="3171" w:type="dxa"/>
            <w:tcBorders>
              <w:top w:val="nil" w:sz="6" w:space="0" w:color="auto"/>
              <w:left w:val="nil" w:sz="6" w:space="0" w:color="auto"/>
              <w:bottom w:val="nil" w:sz="6" w:space="0" w:color="auto"/>
              <w:right w:val="nil" w:sz="6" w:space="0" w:color="auto"/>
            </w:tcBorders>
          </w:tcPr>
          <w:p>
            <w:pPr>
              <w:pStyle w:val="TableParagraph"/>
              <w:spacing w:line="224" w:lineRule="exact"/>
              <w:ind w:left="200"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00"/>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sz w:val="20"/>
                <w:u w:val="single" w:color="000000"/>
              </w:rPr>
              <w:t>16,725,865</w:t>
            </w:r>
            <w:r>
              <w:rPr>
                <w:rFonts w:ascii="Arial"/>
                <w:spacing w:val="-1"/>
                <w:sz w:val="20"/>
              </w:rPr>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sz w:val="20"/>
                <w:u w:val="single" w:color="000000"/>
              </w:rPr>
              <w:t>18,845,628</w:t>
            </w:r>
            <w:r>
              <w:rPr>
                <w:rFonts w:ascii="Arial"/>
                <w:spacing w:val="-1"/>
                <w:sz w:val="20"/>
              </w:rPr>
            </w:r>
          </w:p>
        </w:tc>
      </w:tr>
      <w:tr>
        <w:trPr>
          <w:trHeight w:val="329" w:hRule="exact"/>
        </w:trPr>
        <w:tc>
          <w:tcPr>
            <w:tcW w:w="3171" w:type="dxa"/>
            <w:tcBorders>
              <w:top w:val="nil" w:sz="6" w:space="0" w:color="auto"/>
              <w:left w:val="nil" w:sz="6" w:space="0" w:color="auto"/>
              <w:bottom w:val="nil" w:sz="6" w:space="0" w:color="auto"/>
              <w:right w:val="nil" w:sz="6" w:space="0" w:color="auto"/>
            </w:tcBorders>
          </w:tcPr>
          <w:p>
            <w:pPr/>
          </w:p>
        </w:tc>
        <w:tc>
          <w:tcPr>
            <w:tcW w:w="2984"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700"/>
              <w:jc w:val="right"/>
              <w:rPr>
                <w:rFonts w:ascii="Arial" w:hAnsi="Arial" w:cs="Arial" w:eastAsia="Arial" w:hint="default"/>
                <w:sz w:val="20"/>
                <w:szCs w:val="20"/>
              </w:rPr>
            </w:pPr>
            <w:r>
              <w:rPr>
                <w:rFonts w:ascii="Arial"/>
                <w:w w:val="99"/>
                <w:sz w:val="20"/>
              </w:rPr>
            </w:r>
            <w:r>
              <w:rPr>
                <w:rFonts w:ascii="Arial"/>
                <w:spacing w:val="-1"/>
                <w:sz w:val="20"/>
                <w:u w:val="thick" w:color="000000"/>
              </w:rPr>
              <w:t>751,377,485</w:t>
            </w:r>
            <w:r>
              <w:rPr>
                <w:rFonts w:ascii="Arial"/>
                <w:spacing w:val="-1"/>
                <w:sz w:val="20"/>
              </w:rPr>
            </w:r>
            <w:r>
              <w:rPr>
                <w:rFonts w:ascii="Arial"/>
                <w:sz w:val="20"/>
              </w:rPr>
            </w:r>
          </w:p>
        </w:tc>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702,530,566</w:t>
            </w:r>
            <w:r>
              <w:rPr>
                <w:rFonts w:ascii="Arial"/>
                <w:spacing w:val="-1"/>
                <w:sz w:val="20"/>
              </w:rPr>
            </w:r>
            <w:r>
              <w:rPr>
                <w:rFonts w:ascii="Arial"/>
                <w:sz w:val="20"/>
              </w:rPr>
            </w:r>
          </w:p>
        </w:tc>
      </w:tr>
    </w:tbl>
    <w:p>
      <w:pPr>
        <w:spacing w:after="0" w:line="240" w:lineRule="auto"/>
        <w:jc w:val="right"/>
        <w:rPr>
          <w:rFonts w:ascii="Arial" w:hAnsi="Arial" w:cs="Arial" w:eastAsia="Arial" w:hint="default"/>
          <w:sz w:val="20"/>
          <w:szCs w:val="20"/>
        </w:rPr>
        <w:sectPr>
          <w:pgSz w:w="11910" w:h="16850"/>
          <w:pgMar w:header="957" w:footer="473" w:top="2600" w:bottom="660" w:left="1600" w:right="1420"/>
        </w:sectPr>
      </w:pPr>
    </w:p>
    <w:p>
      <w:pPr>
        <w:spacing w:line="240" w:lineRule="auto" w:before="7"/>
        <w:rPr>
          <w:rFonts w:ascii="黑体" w:hAnsi="黑体" w:cs="黑体" w:eastAsia="黑体" w:hint="default"/>
          <w:b/>
          <w:bCs/>
          <w:sz w:val="15"/>
          <w:szCs w:val="15"/>
        </w:rPr>
      </w:pPr>
    </w:p>
    <w:p>
      <w:pPr>
        <w:pStyle w:val="Heading6"/>
        <w:spacing w:line="240" w:lineRule="auto"/>
        <w:ind w:left="142" w:right="223"/>
        <w:jc w:val="left"/>
        <w:rPr>
          <w:b w:val="0"/>
          <w:bCs w:val="0"/>
        </w:rPr>
      </w:pPr>
      <w:r>
        <w:rPr/>
        <w:t>十三、公司财务报表主要项目注释（续）</w:t>
      </w:r>
      <w:r>
        <w:rPr>
          <w:b w:val="0"/>
          <w:bCs w:val="0"/>
        </w:rPr>
      </w:r>
    </w:p>
    <w:p>
      <w:pPr>
        <w:spacing w:line="240" w:lineRule="auto" w:before="5"/>
        <w:rPr>
          <w:rFonts w:ascii="黑体" w:hAnsi="黑体" w:cs="黑体" w:eastAsia="黑体" w:hint="default"/>
          <w:b/>
          <w:bCs/>
          <w:sz w:val="17"/>
          <w:szCs w:val="17"/>
        </w:rPr>
      </w:pPr>
    </w:p>
    <w:p>
      <w:pPr>
        <w:pStyle w:val="Heading6"/>
        <w:tabs>
          <w:tab w:pos="816" w:val="left" w:leader="none"/>
        </w:tabs>
        <w:spacing w:line="240" w:lineRule="auto" w:before="0"/>
        <w:ind w:left="137" w:right="223"/>
        <w:jc w:val="left"/>
        <w:rPr>
          <w:b w:val="0"/>
          <w:bCs w:val="0"/>
        </w:rPr>
      </w:pPr>
      <w:r>
        <w:rPr>
          <w:rFonts w:ascii="Arial" w:hAnsi="Arial" w:cs="Arial" w:eastAsia="Arial" w:hint="default"/>
          <w:spacing w:val="-1"/>
          <w:w w:val="95"/>
        </w:rPr>
        <w:t>32.</w:t>
        <w:tab/>
      </w:r>
      <w:r>
        <w:rPr>
          <w:spacing w:val="2"/>
        </w:rPr>
        <w:t>财务费用</w:t>
      </w:r>
      <w:r>
        <w:rPr>
          <w:b w:val="0"/>
          <w:bCs w:val="0"/>
        </w:rPr>
      </w:r>
    </w:p>
    <w:p>
      <w:pPr>
        <w:spacing w:line="240" w:lineRule="auto" w:before="1"/>
        <w:rPr>
          <w:rFonts w:ascii="黑体" w:hAnsi="黑体" w:cs="黑体" w:eastAsia="黑体" w:hint="default"/>
          <w:b/>
          <w:bCs/>
          <w:sz w:val="21"/>
          <w:szCs w:val="21"/>
        </w:rPr>
      </w:pPr>
    </w:p>
    <w:tbl>
      <w:tblPr>
        <w:tblW w:w="0" w:type="auto"/>
        <w:jc w:val="left"/>
        <w:tblInd w:w="564" w:type="dxa"/>
        <w:tblLayout w:type="fixed"/>
        <w:tblCellMar>
          <w:top w:w="0" w:type="dxa"/>
          <w:left w:w="0" w:type="dxa"/>
          <w:bottom w:w="0" w:type="dxa"/>
          <w:right w:w="0" w:type="dxa"/>
        </w:tblCellMar>
        <w:tblLook w:val="01E0"/>
      </w:tblPr>
      <w:tblGrid>
        <w:gridCol w:w="3561"/>
        <w:gridCol w:w="3002"/>
        <w:gridCol w:w="1639"/>
      </w:tblGrid>
      <w:tr>
        <w:trPr>
          <w:trHeight w:val="362" w:hRule="exact"/>
        </w:trPr>
        <w:tc>
          <w:tcPr>
            <w:tcW w:w="3561" w:type="dxa"/>
            <w:tcBorders>
              <w:top w:val="nil" w:sz="6" w:space="0" w:color="auto"/>
              <w:left w:val="nil" w:sz="6" w:space="0" w:color="auto"/>
              <w:bottom w:val="nil" w:sz="6" w:space="0" w:color="auto"/>
              <w:right w:val="nil" w:sz="6" w:space="0" w:color="auto"/>
            </w:tcBorders>
          </w:tcPr>
          <w:p>
            <w:pPr/>
          </w:p>
        </w:tc>
        <w:tc>
          <w:tcPr>
            <w:tcW w:w="3002" w:type="dxa"/>
            <w:tcBorders>
              <w:top w:val="nil" w:sz="6" w:space="0" w:color="auto"/>
              <w:left w:val="nil" w:sz="6" w:space="0" w:color="auto"/>
              <w:bottom w:val="nil" w:sz="6" w:space="0" w:color="auto"/>
              <w:right w:val="nil" w:sz="6" w:space="0" w:color="auto"/>
            </w:tcBorders>
          </w:tcPr>
          <w:p>
            <w:pPr>
              <w:pStyle w:val="TableParagraph"/>
              <w:spacing w:line="214" w:lineRule="exact"/>
              <w:ind w:right="438"/>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1639" w:type="dxa"/>
            <w:tcBorders>
              <w:top w:val="nil" w:sz="6" w:space="0" w:color="auto"/>
              <w:left w:val="nil" w:sz="6" w:space="0" w:color="auto"/>
              <w:bottom w:val="nil" w:sz="6" w:space="0" w:color="auto"/>
              <w:right w:val="nil" w:sz="6" w:space="0" w:color="auto"/>
            </w:tcBorders>
          </w:tcPr>
          <w:p>
            <w:pPr>
              <w:pStyle w:val="TableParagraph"/>
              <w:spacing w:line="214" w:lineRule="exact"/>
              <w:ind w:right="198"/>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r>
      <w:tr>
        <w:trPr>
          <w:trHeight w:val="386" w:hRule="exact"/>
        </w:trPr>
        <w:tc>
          <w:tcPr>
            <w:tcW w:w="356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00" w:right="0"/>
              <w:jc w:val="left"/>
              <w:rPr>
                <w:rFonts w:ascii="黑体" w:hAnsi="黑体" w:cs="黑体" w:eastAsia="黑体" w:hint="default"/>
                <w:sz w:val="20"/>
                <w:szCs w:val="20"/>
              </w:rPr>
            </w:pPr>
            <w:r>
              <w:rPr>
                <w:rFonts w:ascii="黑体" w:hAnsi="黑体" w:cs="黑体" w:eastAsia="黑体" w:hint="default"/>
                <w:sz w:val="20"/>
                <w:szCs w:val="20"/>
              </w:rPr>
              <w:t>利息支出</w:t>
            </w:r>
          </w:p>
        </w:tc>
        <w:tc>
          <w:tcPr>
            <w:tcW w:w="3002"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438"/>
              <w:jc w:val="right"/>
              <w:rPr>
                <w:rFonts w:ascii="Arial" w:hAnsi="Arial" w:cs="Arial" w:eastAsia="Arial" w:hint="default"/>
                <w:sz w:val="20"/>
                <w:szCs w:val="20"/>
              </w:rPr>
            </w:pPr>
            <w:r>
              <w:rPr>
                <w:rFonts w:ascii="Arial"/>
                <w:spacing w:val="-1"/>
                <w:sz w:val="20"/>
              </w:rPr>
              <w:t>79,186,516</w:t>
            </w:r>
            <w:r>
              <w:rPr>
                <w:rFonts w:ascii="Arial"/>
                <w:sz w:val="20"/>
              </w:rPr>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98"/>
              <w:jc w:val="right"/>
              <w:rPr>
                <w:rFonts w:ascii="Arial" w:hAnsi="Arial" w:cs="Arial" w:eastAsia="Arial" w:hint="default"/>
                <w:sz w:val="20"/>
                <w:szCs w:val="20"/>
              </w:rPr>
            </w:pPr>
            <w:r>
              <w:rPr>
                <w:rFonts w:ascii="Arial"/>
                <w:spacing w:val="-1"/>
                <w:sz w:val="20"/>
              </w:rPr>
              <w:t>42,783,573</w:t>
            </w:r>
            <w:r>
              <w:rPr>
                <w:rFonts w:ascii="Arial"/>
                <w:sz w:val="20"/>
              </w:rPr>
            </w:r>
          </w:p>
        </w:tc>
      </w:tr>
      <w:tr>
        <w:trPr>
          <w:trHeight w:val="259" w:hRule="exact"/>
        </w:trPr>
        <w:tc>
          <w:tcPr>
            <w:tcW w:w="3561"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减：利息收入</w:t>
            </w:r>
          </w:p>
        </w:tc>
        <w:tc>
          <w:tcPr>
            <w:tcW w:w="300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38"/>
              <w:jc w:val="right"/>
              <w:rPr>
                <w:rFonts w:ascii="Arial" w:hAnsi="Arial" w:cs="Arial" w:eastAsia="Arial" w:hint="default"/>
                <w:sz w:val="20"/>
                <w:szCs w:val="20"/>
              </w:rPr>
            </w:pPr>
            <w:r>
              <w:rPr>
                <w:rFonts w:ascii="Arial"/>
                <w:spacing w:val="-1"/>
                <w:sz w:val="20"/>
              </w:rPr>
              <w:t>1,584,580</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spacing w:val="-1"/>
                <w:sz w:val="20"/>
              </w:rPr>
              <w:t>2,411,835</w:t>
            </w:r>
          </w:p>
        </w:tc>
      </w:tr>
      <w:tr>
        <w:trPr>
          <w:trHeight w:val="259" w:hRule="exact"/>
        </w:trPr>
        <w:tc>
          <w:tcPr>
            <w:tcW w:w="3561"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减：利息资本化金额</w:t>
            </w:r>
          </w:p>
        </w:tc>
        <w:tc>
          <w:tcPr>
            <w:tcW w:w="300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38"/>
              <w:jc w:val="right"/>
              <w:rPr>
                <w:rFonts w:ascii="Arial" w:hAnsi="Arial" w:cs="Arial" w:eastAsia="Arial" w:hint="default"/>
                <w:sz w:val="20"/>
                <w:szCs w:val="20"/>
              </w:rPr>
            </w:pPr>
            <w:r>
              <w:rPr>
                <w:rFonts w:ascii="Arial"/>
                <w:spacing w:val="-1"/>
                <w:sz w:val="20"/>
              </w:rPr>
              <w:t>5,450,254</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spacing w:val="-1"/>
                <w:sz w:val="20"/>
              </w:rPr>
              <w:t>1,718,889</w:t>
            </w:r>
          </w:p>
        </w:tc>
      </w:tr>
      <w:tr>
        <w:trPr>
          <w:trHeight w:val="259" w:hRule="exact"/>
        </w:trPr>
        <w:tc>
          <w:tcPr>
            <w:tcW w:w="3561"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汇兑损失</w:t>
            </w:r>
          </w:p>
        </w:tc>
        <w:tc>
          <w:tcPr>
            <w:tcW w:w="300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38"/>
              <w:jc w:val="right"/>
              <w:rPr>
                <w:rFonts w:ascii="Arial" w:hAnsi="Arial" w:cs="Arial" w:eastAsia="Arial" w:hint="default"/>
                <w:sz w:val="20"/>
                <w:szCs w:val="20"/>
              </w:rPr>
            </w:pPr>
            <w:r>
              <w:rPr>
                <w:rFonts w:ascii="Arial"/>
                <w:spacing w:val="-1"/>
                <w:sz w:val="20"/>
              </w:rPr>
              <w:t>17,470</w:t>
            </w:r>
            <w:r>
              <w:rPr>
                <w:rFonts w:ascii="Arial"/>
                <w:sz w:val="20"/>
              </w:rPr>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spacing w:val="-1"/>
                <w:sz w:val="20"/>
              </w:rPr>
              <w:t>26,684</w:t>
            </w:r>
            <w:r>
              <w:rPr>
                <w:rFonts w:ascii="Arial"/>
                <w:sz w:val="20"/>
              </w:rPr>
            </w:r>
          </w:p>
        </w:tc>
      </w:tr>
      <w:tr>
        <w:trPr>
          <w:trHeight w:val="441" w:hRule="exact"/>
        </w:trPr>
        <w:tc>
          <w:tcPr>
            <w:tcW w:w="3561"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300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3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w w:val="95"/>
                <w:sz w:val="20"/>
                <w:u w:val="single" w:color="000000"/>
              </w:rPr>
              <w:t>1,103,818</w:t>
            </w:r>
            <w:r>
              <w:rPr>
                <w:rFonts w:ascii="Arial"/>
                <w:spacing w:val="-1"/>
                <w:w w:val="95"/>
                <w:sz w:val="20"/>
              </w:rPr>
            </w:r>
            <w:r>
              <w:rPr>
                <w:rFonts w:ascii="Arial"/>
                <w:sz w:val="20"/>
              </w:rPr>
            </w:r>
          </w:p>
        </w:tc>
        <w:tc>
          <w:tcPr>
            <w:tcW w:w="1639"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7"/>
              <w:ind w:right="19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554,097</w:t>
            </w:r>
            <w:r>
              <w:rPr>
                <w:rFonts w:ascii="Arial"/>
                <w:spacing w:val="-1"/>
                <w:w w:val="95"/>
                <w:sz w:val="20"/>
              </w:rPr>
            </w:r>
            <w:r>
              <w:rPr>
                <w:rFonts w:ascii="Arial"/>
                <w:sz w:val="20"/>
              </w:rPr>
            </w:r>
          </w:p>
        </w:tc>
      </w:tr>
      <w:tr>
        <w:trPr>
          <w:trHeight w:val="407" w:hRule="exact"/>
        </w:trPr>
        <w:tc>
          <w:tcPr>
            <w:tcW w:w="3561" w:type="dxa"/>
            <w:tcBorders>
              <w:top w:val="nil" w:sz="6" w:space="0" w:color="auto"/>
              <w:left w:val="nil" w:sz="6" w:space="0" w:color="auto"/>
              <w:bottom w:val="nil" w:sz="6" w:space="0" w:color="auto"/>
              <w:right w:val="nil" w:sz="6" w:space="0" w:color="auto"/>
            </w:tcBorders>
          </w:tcPr>
          <w:p>
            <w:pPr/>
          </w:p>
        </w:tc>
        <w:tc>
          <w:tcPr>
            <w:tcW w:w="300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b/>
                <w:bCs/>
                <w:sz w:val="13"/>
                <w:szCs w:val="13"/>
              </w:rPr>
            </w:pPr>
          </w:p>
          <w:p>
            <w:pPr>
              <w:pStyle w:val="TableParagraph"/>
              <w:spacing w:line="240" w:lineRule="auto"/>
              <w:ind w:right="438"/>
              <w:jc w:val="right"/>
              <w:rPr>
                <w:rFonts w:ascii="Arial" w:hAnsi="Arial" w:cs="Arial" w:eastAsia="Arial" w:hint="default"/>
                <w:sz w:val="20"/>
                <w:szCs w:val="20"/>
              </w:rPr>
            </w:pPr>
            <w:r>
              <w:rPr>
                <w:rFonts w:ascii="Arial"/>
                <w:w w:val="99"/>
                <w:sz w:val="20"/>
              </w:rPr>
            </w:r>
            <w:r>
              <w:rPr>
                <w:rFonts w:ascii="Arial"/>
                <w:spacing w:val="-1"/>
                <w:sz w:val="20"/>
                <w:u w:val="thick" w:color="000000"/>
              </w:rPr>
              <w:t>73,272,970</w:t>
            </w:r>
            <w:r>
              <w:rPr>
                <w:rFonts w:ascii="Arial"/>
                <w:spacing w:val="-1"/>
                <w:sz w:val="20"/>
              </w:rPr>
            </w:r>
            <w:r>
              <w:rPr>
                <w:rFonts w:ascii="Arial"/>
                <w:sz w:val="20"/>
              </w:rPr>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b/>
                <w:bCs/>
                <w:sz w:val="13"/>
                <w:szCs w:val="13"/>
              </w:rPr>
            </w:pPr>
          </w:p>
          <w:p>
            <w:pPr>
              <w:pStyle w:val="TableParagraph"/>
              <w:spacing w:line="240" w:lineRule="auto"/>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39,233,630</w:t>
            </w:r>
            <w:r>
              <w:rPr>
                <w:rFonts w:ascii="Arial"/>
                <w:spacing w:val="-1"/>
                <w:sz w:val="20"/>
              </w:rPr>
            </w:r>
            <w:r>
              <w:rPr>
                <w:rFonts w:ascii="Arial"/>
                <w:sz w:val="20"/>
              </w:rPr>
            </w:r>
          </w:p>
        </w:tc>
      </w:tr>
    </w:tbl>
    <w:p>
      <w:pPr>
        <w:spacing w:line="240" w:lineRule="auto" w:before="13"/>
        <w:rPr>
          <w:rFonts w:ascii="黑体" w:hAnsi="黑体" w:cs="黑体" w:eastAsia="黑体" w:hint="default"/>
          <w:b/>
          <w:bCs/>
          <w:sz w:val="13"/>
          <w:szCs w:val="13"/>
        </w:rPr>
      </w:pPr>
    </w:p>
    <w:p>
      <w:pPr>
        <w:pStyle w:val="BodyText"/>
        <w:spacing w:line="240" w:lineRule="auto" w:before="37"/>
        <w:ind w:left="754" w:right="223"/>
        <w:jc w:val="left"/>
      </w:pPr>
      <w:r>
        <w:rPr/>
        <w:t>借款费用资本化金额已计入在建工程。</w:t>
      </w:r>
    </w:p>
    <w:p>
      <w:pPr>
        <w:spacing w:line="240" w:lineRule="auto" w:before="5"/>
        <w:rPr>
          <w:rFonts w:ascii="黑体" w:hAnsi="黑体" w:cs="黑体" w:eastAsia="黑体" w:hint="default"/>
          <w:sz w:val="17"/>
          <w:szCs w:val="17"/>
        </w:rPr>
      </w:pPr>
    </w:p>
    <w:p>
      <w:pPr>
        <w:pStyle w:val="Heading6"/>
        <w:tabs>
          <w:tab w:pos="744" w:val="left" w:leader="none"/>
        </w:tabs>
        <w:spacing w:line="240" w:lineRule="auto" w:before="0"/>
        <w:ind w:left="166" w:right="223"/>
        <w:jc w:val="left"/>
        <w:rPr>
          <w:b w:val="0"/>
          <w:bCs w:val="0"/>
        </w:rPr>
      </w:pPr>
      <w:r>
        <w:rPr>
          <w:rFonts w:ascii="Arial" w:hAnsi="Arial" w:cs="Arial" w:eastAsia="Arial" w:hint="default"/>
          <w:spacing w:val="-1"/>
          <w:w w:val="95"/>
        </w:rPr>
        <w:t>33.</w:t>
        <w:tab/>
      </w:r>
      <w:r>
        <w:rPr>
          <w:spacing w:val="1"/>
        </w:rPr>
        <w:t>资产减值损失</w:t>
      </w:r>
      <w:r>
        <w:rPr>
          <w:b w:val="0"/>
          <w:bCs w:val="0"/>
          <w:spacing w:val="1"/>
        </w:rPr>
      </w:r>
    </w:p>
    <w:p>
      <w:pPr>
        <w:spacing w:line="240" w:lineRule="auto" w:before="1"/>
        <w:rPr>
          <w:rFonts w:ascii="黑体" w:hAnsi="黑体" w:cs="黑体" w:eastAsia="黑体" w:hint="default"/>
          <w:b/>
          <w:bCs/>
          <w:sz w:val="21"/>
          <w:szCs w:val="21"/>
        </w:rPr>
      </w:pPr>
    </w:p>
    <w:tbl>
      <w:tblPr>
        <w:tblW w:w="0" w:type="auto"/>
        <w:jc w:val="left"/>
        <w:tblInd w:w="544" w:type="dxa"/>
        <w:tblLayout w:type="fixed"/>
        <w:tblCellMar>
          <w:top w:w="0" w:type="dxa"/>
          <w:left w:w="0" w:type="dxa"/>
          <w:bottom w:w="0" w:type="dxa"/>
          <w:right w:w="0" w:type="dxa"/>
        </w:tblCellMar>
        <w:tblLook w:val="01E0"/>
      </w:tblPr>
      <w:tblGrid>
        <w:gridCol w:w="3667"/>
        <w:gridCol w:w="2890"/>
        <w:gridCol w:w="1624"/>
      </w:tblGrid>
      <w:tr>
        <w:trPr>
          <w:trHeight w:val="361" w:hRule="exact"/>
        </w:trPr>
        <w:tc>
          <w:tcPr>
            <w:tcW w:w="3667" w:type="dxa"/>
            <w:tcBorders>
              <w:top w:val="nil" w:sz="6" w:space="0" w:color="auto"/>
              <w:left w:val="nil" w:sz="6" w:space="0" w:color="auto"/>
              <w:bottom w:val="nil" w:sz="6" w:space="0" w:color="auto"/>
              <w:right w:val="nil" w:sz="6" w:space="0" w:color="auto"/>
            </w:tcBorders>
          </w:tcPr>
          <w:p>
            <w:pPr/>
          </w:p>
        </w:tc>
        <w:tc>
          <w:tcPr>
            <w:tcW w:w="2890" w:type="dxa"/>
            <w:tcBorders>
              <w:top w:val="nil" w:sz="6" w:space="0" w:color="auto"/>
              <w:left w:val="nil" w:sz="6" w:space="0" w:color="auto"/>
              <w:bottom w:val="nil" w:sz="6" w:space="0" w:color="auto"/>
              <w:right w:val="nil" w:sz="6" w:space="0" w:color="auto"/>
            </w:tcBorders>
          </w:tcPr>
          <w:p>
            <w:pPr>
              <w:pStyle w:val="TableParagraph"/>
              <w:spacing w:line="214" w:lineRule="exact"/>
              <w:ind w:right="419"/>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1624" w:type="dxa"/>
            <w:tcBorders>
              <w:top w:val="nil" w:sz="6" w:space="0" w:color="auto"/>
              <w:left w:val="nil" w:sz="6" w:space="0" w:color="auto"/>
              <w:bottom w:val="nil" w:sz="6" w:space="0" w:color="auto"/>
              <w:right w:val="nil" w:sz="6" w:space="0" w:color="auto"/>
            </w:tcBorders>
          </w:tcPr>
          <w:p>
            <w:pPr>
              <w:pStyle w:val="TableParagraph"/>
              <w:spacing w:line="214" w:lineRule="exact"/>
              <w:ind w:right="201"/>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r>
      <w:tr>
        <w:trPr>
          <w:trHeight w:val="385" w:hRule="exact"/>
        </w:trPr>
        <w:tc>
          <w:tcPr>
            <w:tcW w:w="3667"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00" w:right="0"/>
              <w:jc w:val="left"/>
              <w:rPr>
                <w:rFonts w:ascii="黑体" w:hAnsi="黑体" w:cs="黑体" w:eastAsia="黑体" w:hint="default"/>
                <w:sz w:val="20"/>
                <w:szCs w:val="20"/>
              </w:rPr>
            </w:pPr>
            <w:r>
              <w:rPr>
                <w:rFonts w:ascii="黑体" w:hAnsi="黑体" w:cs="黑体" w:eastAsia="黑体" w:hint="default"/>
                <w:sz w:val="20"/>
                <w:szCs w:val="20"/>
              </w:rPr>
              <w:t>坏账损失</w:t>
            </w:r>
          </w:p>
        </w:tc>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419"/>
              <w:jc w:val="right"/>
              <w:rPr>
                <w:rFonts w:ascii="Arial" w:hAnsi="Arial" w:cs="Arial" w:eastAsia="Arial" w:hint="default"/>
                <w:sz w:val="20"/>
                <w:szCs w:val="20"/>
              </w:rPr>
            </w:pPr>
            <w:r>
              <w:rPr>
                <w:rFonts w:ascii="Arial"/>
                <w:spacing w:val="-1"/>
                <w:sz w:val="20"/>
              </w:rPr>
              <w:t>45,545,512</w:t>
            </w:r>
            <w:r>
              <w:rPr>
                <w:rFonts w:ascii="Arial"/>
                <w:sz w:val="20"/>
              </w:rPr>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202"/>
              <w:jc w:val="right"/>
              <w:rPr>
                <w:rFonts w:ascii="Arial" w:hAnsi="Arial" w:cs="Arial" w:eastAsia="Arial" w:hint="default"/>
                <w:sz w:val="20"/>
                <w:szCs w:val="20"/>
              </w:rPr>
            </w:pPr>
            <w:r>
              <w:rPr>
                <w:rFonts w:ascii="Arial"/>
                <w:spacing w:val="-1"/>
                <w:sz w:val="20"/>
              </w:rPr>
              <w:t>19,618,918</w:t>
            </w:r>
            <w:r>
              <w:rPr>
                <w:rFonts w:ascii="Arial"/>
                <w:sz w:val="20"/>
              </w:rPr>
            </w:r>
          </w:p>
        </w:tc>
      </w:tr>
      <w:tr>
        <w:trPr>
          <w:trHeight w:val="389" w:hRule="exact"/>
        </w:trPr>
        <w:tc>
          <w:tcPr>
            <w:tcW w:w="3667"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长期股权投资减值损失</w:t>
            </w:r>
          </w:p>
        </w:tc>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19"/>
              <w:jc w:val="right"/>
              <w:rPr>
                <w:rFonts w:ascii="Arial" w:hAnsi="Arial" w:cs="Arial" w:eastAsia="Arial" w:hint="default"/>
                <w:sz w:val="20"/>
                <w:szCs w:val="20"/>
              </w:rPr>
            </w:pPr>
            <w:r>
              <w:rPr>
                <w:rFonts w:ascii="Arial"/>
                <w:w w:val="99"/>
                <w:sz w:val="20"/>
              </w:rPr>
            </w:r>
            <w:r>
              <w:rPr>
                <w:rFonts w:ascii="Arial"/>
                <w:spacing w:val="-1"/>
                <w:sz w:val="20"/>
                <w:u w:val="single" w:color="000000"/>
              </w:rPr>
              <w:t>10,000,000</w:t>
            </w:r>
            <w:r>
              <w:rPr>
                <w:rFonts w:ascii="Arial"/>
                <w:spacing w:val="-1"/>
                <w:sz w:val="20"/>
              </w:rPr>
            </w:r>
            <w:r>
              <w:rPr>
                <w:rFonts w:ascii="Arial"/>
                <w:sz w:val="20"/>
              </w:rPr>
            </w:r>
          </w:p>
        </w:tc>
        <w:tc>
          <w:tcPr>
            <w:tcW w:w="1624" w:type="dxa"/>
            <w:tcBorders>
              <w:top w:val="nil" w:sz="6" w:space="0" w:color="auto"/>
              <w:left w:val="nil" w:sz="6" w:space="0" w:color="auto"/>
              <w:bottom w:val="nil" w:sz="6" w:space="0" w:color="auto"/>
              <w:right w:val="nil" w:sz="6" w:space="0" w:color="auto"/>
            </w:tcBorders>
          </w:tcPr>
          <w:p>
            <w:pPr>
              <w:pStyle w:val="TableParagraph"/>
              <w:tabs>
                <w:tab w:pos="902" w:val="left" w:leader="none"/>
              </w:tabs>
              <w:spacing w:line="240" w:lineRule="auto" w:before="7"/>
              <w:ind w:right="199"/>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r>
      <w:tr>
        <w:trPr>
          <w:trHeight w:val="355" w:hRule="exact"/>
        </w:trPr>
        <w:tc>
          <w:tcPr>
            <w:tcW w:w="3667" w:type="dxa"/>
            <w:tcBorders>
              <w:top w:val="nil" w:sz="6" w:space="0" w:color="auto"/>
              <w:left w:val="nil" w:sz="6" w:space="0" w:color="auto"/>
              <w:bottom w:val="nil" w:sz="6" w:space="0" w:color="auto"/>
              <w:right w:val="nil" w:sz="6" w:space="0" w:color="auto"/>
            </w:tcBorders>
          </w:tcPr>
          <w:p>
            <w:pPr/>
          </w:p>
        </w:tc>
        <w:tc>
          <w:tcPr>
            <w:tcW w:w="289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419"/>
              <w:jc w:val="right"/>
              <w:rPr>
                <w:rFonts w:ascii="Arial" w:hAnsi="Arial" w:cs="Arial" w:eastAsia="Arial" w:hint="default"/>
                <w:sz w:val="20"/>
                <w:szCs w:val="20"/>
              </w:rPr>
            </w:pPr>
            <w:r>
              <w:rPr>
                <w:rFonts w:ascii="Arial"/>
                <w:w w:val="99"/>
                <w:sz w:val="20"/>
              </w:rPr>
            </w:r>
            <w:r>
              <w:rPr>
                <w:rFonts w:ascii="Arial"/>
                <w:spacing w:val="-1"/>
                <w:sz w:val="20"/>
                <w:u w:val="thick" w:color="000000"/>
              </w:rPr>
              <w:t>55,545,512</w:t>
            </w:r>
            <w:r>
              <w:rPr>
                <w:rFonts w:ascii="Arial"/>
                <w:spacing w:val="-1"/>
                <w:sz w:val="20"/>
              </w:rPr>
            </w:r>
            <w:r>
              <w:rPr>
                <w:rFonts w:ascii="Arial"/>
                <w:sz w:val="20"/>
              </w:rPr>
            </w:r>
          </w:p>
        </w:tc>
        <w:tc>
          <w:tcPr>
            <w:tcW w:w="162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02"/>
              <w:jc w:val="right"/>
              <w:rPr>
                <w:rFonts w:ascii="Arial" w:hAnsi="Arial" w:cs="Arial" w:eastAsia="Arial" w:hint="default"/>
                <w:sz w:val="20"/>
                <w:szCs w:val="20"/>
              </w:rPr>
            </w:pPr>
            <w:r>
              <w:rPr>
                <w:rFonts w:ascii="Arial"/>
                <w:w w:val="99"/>
                <w:sz w:val="20"/>
              </w:rPr>
            </w:r>
            <w:r>
              <w:rPr>
                <w:rFonts w:ascii="Arial"/>
                <w:spacing w:val="-1"/>
                <w:sz w:val="20"/>
                <w:u w:val="thick" w:color="000000"/>
              </w:rPr>
              <w:t>19,618,918</w:t>
            </w:r>
            <w:r>
              <w:rPr>
                <w:rFonts w:ascii="Arial"/>
                <w:spacing w:val="-1"/>
                <w:sz w:val="20"/>
              </w:rPr>
            </w:r>
            <w:r>
              <w:rPr>
                <w:rFonts w:ascii="Arial"/>
                <w:sz w:val="20"/>
              </w:rPr>
            </w:r>
          </w:p>
        </w:tc>
      </w:tr>
    </w:tbl>
    <w:p>
      <w:pPr>
        <w:spacing w:line="240" w:lineRule="auto" w:before="13"/>
        <w:rPr>
          <w:rFonts w:ascii="黑体" w:hAnsi="黑体" w:cs="黑体" w:eastAsia="黑体" w:hint="default"/>
          <w:b/>
          <w:bCs/>
          <w:sz w:val="13"/>
          <w:szCs w:val="13"/>
        </w:rPr>
      </w:pPr>
    </w:p>
    <w:p>
      <w:pPr>
        <w:pStyle w:val="Heading6"/>
        <w:tabs>
          <w:tab w:pos="759" w:val="left" w:leader="none"/>
        </w:tabs>
        <w:spacing w:line="240" w:lineRule="auto"/>
        <w:ind w:left="180" w:right="223"/>
        <w:jc w:val="left"/>
        <w:rPr>
          <w:b w:val="0"/>
          <w:bCs w:val="0"/>
        </w:rPr>
      </w:pPr>
      <w:r>
        <w:rPr>
          <w:rFonts w:ascii="Arial" w:hAnsi="Arial" w:cs="Arial" w:eastAsia="Arial" w:hint="default"/>
          <w:spacing w:val="-1"/>
          <w:w w:val="95"/>
        </w:rPr>
        <w:t>34.</w:t>
        <w:tab/>
      </w:r>
      <w:r>
        <w:rPr>
          <w:spacing w:val="2"/>
        </w:rPr>
        <w:t>投资收益</w:t>
      </w:r>
      <w:r>
        <w:rPr>
          <w:b w:val="0"/>
          <w:bCs w:val="0"/>
        </w:rPr>
      </w:r>
    </w:p>
    <w:p>
      <w:pPr>
        <w:spacing w:line="240" w:lineRule="auto" w:before="12"/>
        <w:rPr>
          <w:rFonts w:ascii="黑体" w:hAnsi="黑体" w:cs="黑体" w:eastAsia="黑体" w:hint="default"/>
          <w:b/>
          <w:bCs/>
          <w:sz w:val="20"/>
          <w:szCs w:val="20"/>
        </w:rPr>
      </w:pPr>
    </w:p>
    <w:tbl>
      <w:tblPr>
        <w:tblW w:w="0" w:type="auto"/>
        <w:jc w:val="left"/>
        <w:tblInd w:w="540" w:type="dxa"/>
        <w:tblLayout w:type="fixed"/>
        <w:tblCellMar>
          <w:top w:w="0" w:type="dxa"/>
          <w:left w:w="0" w:type="dxa"/>
          <w:bottom w:w="0" w:type="dxa"/>
          <w:right w:w="0" w:type="dxa"/>
        </w:tblCellMar>
        <w:tblLook w:val="01E0"/>
      </w:tblPr>
      <w:tblGrid>
        <w:gridCol w:w="4300"/>
        <w:gridCol w:w="2286"/>
        <w:gridCol w:w="1632"/>
      </w:tblGrid>
      <w:tr>
        <w:trPr>
          <w:trHeight w:val="362" w:hRule="exact"/>
        </w:trPr>
        <w:tc>
          <w:tcPr>
            <w:tcW w:w="4300" w:type="dxa"/>
            <w:tcBorders>
              <w:top w:val="nil" w:sz="6" w:space="0" w:color="auto"/>
              <w:left w:val="nil" w:sz="6" w:space="0" w:color="auto"/>
              <w:bottom w:val="nil" w:sz="6" w:space="0" w:color="auto"/>
              <w:right w:val="nil" w:sz="6" w:space="0" w:color="auto"/>
            </w:tcBorders>
          </w:tcPr>
          <w:p>
            <w:pPr/>
          </w:p>
        </w:tc>
        <w:tc>
          <w:tcPr>
            <w:tcW w:w="2286" w:type="dxa"/>
            <w:tcBorders>
              <w:top w:val="nil" w:sz="6" w:space="0" w:color="auto"/>
              <w:left w:val="nil" w:sz="6" w:space="0" w:color="auto"/>
              <w:bottom w:val="nil" w:sz="6" w:space="0" w:color="auto"/>
              <w:right w:val="nil" w:sz="6" w:space="0" w:color="auto"/>
            </w:tcBorders>
          </w:tcPr>
          <w:p>
            <w:pPr>
              <w:pStyle w:val="TableParagraph"/>
              <w:spacing w:line="214" w:lineRule="exact"/>
              <w:ind w:right="429"/>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1632" w:type="dxa"/>
            <w:tcBorders>
              <w:top w:val="nil" w:sz="6" w:space="0" w:color="auto"/>
              <w:left w:val="nil" w:sz="6" w:space="0" w:color="auto"/>
              <w:bottom w:val="nil" w:sz="6" w:space="0" w:color="auto"/>
              <w:right w:val="nil" w:sz="6" w:space="0" w:color="auto"/>
            </w:tcBorders>
          </w:tcPr>
          <w:p>
            <w:pPr>
              <w:pStyle w:val="TableParagraph"/>
              <w:spacing w:line="214" w:lineRule="exact"/>
              <w:ind w:right="218"/>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r>
      <w:tr>
        <w:trPr>
          <w:trHeight w:val="388" w:hRule="exact"/>
        </w:trPr>
        <w:tc>
          <w:tcPr>
            <w:tcW w:w="4300"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02" w:right="0"/>
              <w:jc w:val="left"/>
              <w:rPr>
                <w:rFonts w:ascii="Arial" w:hAnsi="Arial" w:cs="Arial" w:eastAsia="Arial" w:hint="default"/>
                <w:sz w:val="20"/>
                <w:szCs w:val="20"/>
              </w:rPr>
            </w:pPr>
            <w:r>
              <w:rPr>
                <w:rFonts w:ascii="黑体" w:hAnsi="黑体" w:cs="黑体" w:eastAsia="黑体" w:hint="default"/>
                <w:sz w:val="20"/>
                <w:szCs w:val="20"/>
              </w:rPr>
              <w:t>权益法核算的长期股权投资收益</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1)</w:t>
            </w:r>
          </w:p>
        </w:tc>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429"/>
              <w:jc w:val="right"/>
              <w:rPr>
                <w:rFonts w:ascii="Arial" w:hAnsi="Arial" w:cs="Arial" w:eastAsia="Arial" w:hint="default"/>
                <w:sz w:val="20"/>
                <w:szCs w:val="20"/>
              </w:rPr>
            </w:pPr>
            <w:r>
              <w:rPr>
                <w:rFonts w:ascii="Arial"/>
                <w:spacing w:val="-1"/>
                <w:sz w:val="20"/>
              </w:rPr>
              <w:t>8,744,114</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201"/>
              <w:jc w:val="right"/>
              <w:rPr>
                <w:rFonts w:ascii="Arial" w:hAnsi="Arial" w:cs="Arial" w:eastAsia="Arial" w:hint="default"/>
                <w:sz w:val="20"/>
                <w:szCs w:val="20"/>
              </w:rPr>
            </w:pPr>
            <w:r>
              <w:rPr>
                <w:rFonts w:ascii="Arial"/>
                <w:spacing w:val="-1"/>
                <w:sz w:val="20"/>
              </w:rPr>
              <w:t>6,168,930</w:t>
            </w:r>
          </w:p>
        </w:tc>
      </w:tr>
      <w:tr>
        <w:trPr>
          <w:trHeight w:val="258" w:hRule="exact"/>
        </w:trPr>
        <w:tc>
          <w:tcPr>
            <w:tcW w:w="4300" w:type="dxa"/>
            <w:tcBorders>
              <w:top w:val="nil" w:sz="6" w:space="0" w:color="auto"/>
              <w:left w:val="nil" w:sz="6" w:space="0" w:color="auto"/>
              <w:bottom w:val="nil" w:sz="6" w:space="0" w:color="auto"/>
              <w:right w:val="nil" w:sz="6" w:space="0" w:color="auto"/>
            </w:tcBorders>
          </w:tcPr>
          <w:p>
            <w:pPr>
              <w:pStyle w:val="TableParagraph"/>
              <w:spacing w:line="224" w:lineRule="exact"/>
              <w:ind w:left="200" w:right="0"/>
              <w:jc w:val="left"/>
              <w:rPr>
                <w:rFonts w:ascii="黑体" w:hAnsi="黑体" w:cs="黑体" w:eastAsia="黑体" w:hint="default"/>
                <w:sz w:val="20"/>
                <w:szCs w:val="20"/>
              </w:rPr>
            </w:pPr>
            <w:r>
              <w:rPr>
                <w:rFonts w:ascii="黑体" w:hAnsi="黑体" w:cs="黑体" w:eastAsia="黑体" w:hint="default"/>
                <w:sz w:val="20"/>
                <w:szCs w:val="20"/>
              </w:rPr>
              <w:t>处置长期股权投资产生的投资收益</w:t>
            </w:r>
          </w:p>
        </w:tc>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428"/>
              <w:jc w:val="right"/>
              <w:rPr>
                <w:rFonts w:ascii="Arial" w:hAnsi="Arial" w:cs="Arial" w:eastAsia="Arial" w:hint="default"/>
                <w:sz w:val="20"/>
                <w:szCs w:val="20"/>
              </w:rPr>
            </w:pPr>
            <w:r>
              <w:rPr>
                <w:rFonts w:ascii="Arial"/>
                <w:w w:val="99"/>
                <w:sz w:val="20"/>
              </w:rPr>
              <w:t>-</w:t>
            </w:r>
            <w:r>
              <w:rPr>
                <w:rFonts w:ascii="Arial"/>
                <w:sz w:val="20"/>
              </w:rPr>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02"/>
              <w:jc w:val="right"/>
              <w:rPr>
                <w:rFonts w:ascii="Arial" w:hAnsi="Arial" w:cs="Arial" w:eastAsia="Arial" w:hint="default"/>
                <w:sz w:val="20"/>
                <w:szCs w:val="20"/>
              </w:rPr>
            </w:pPr>
            <w:r>
              <w:rPr>
                <w:rFonts w:ascii="Arial"/>
                <w:spacing w:val="-1"/>
                <w:w w:val="95"/>
                <w:sz w:val="20"/>
              </w:rPr>
              <w:t>550,000</w:t>
            </w:r>
            <w:r>
              <w:rPr>
                <w:rFonts w:ascii="Arial"/>
                <w:sz w:val="20"/>
              </w:rPr>
            </w:r>
          </w:p>
        </w:tc>
      </w:tr>
      <w:tr>
        <w:trPr>
          <w:trHeight w:val="260" w:hRule="exact"/>
        </w:trPr>
        <w:tc>
          <w:tcPr>
            <w:tcW w:w="430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Arial" w:hAnsi="Arial" w:cs="Arial" w:eastAsia="Arial" w:hint="default"/>
                <w:sz w:val="20"/>
                <w:szCs w:val="20"/>
              </w:rPr>
            </w:pPr>
            <w:r>
              <w:rPr>
                <w:rFonts w:ascii="黑体" w:hAnsi="黑体" w:cs="黑体" w:eastAsia="黑体" w:hint="default"/>
                <w:sz w:val="20"/>
                <w:szCs w:val="20"/>
              </w:rPr>
              <w:t>成本法核算的长期股权投资收益</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2)</w:t>
            </w:r>
          </w:p>
        </w:tc>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29"/>
              <w:jc w:val="right"/>
              <w:rPr>
                <w:rFonts w:ascii="Arial" w:hAnsi="Arial" w:cs="Arial" w:eastAsia="Arial" w:hint="default"/>
                <w:sz w:val="20"/>
                <w:szCs w:val="20"/>
              </w:rPr>
            </w:pPr>
            <w:r>
              <w:rPr>
                <w:rFonts w:ascii="Arial"/>
                <w:spacing w:val="-1"/>
                <w:sz w:val="20"/>
              </w:rPr>
              <w:t>90,724,157</w:t>
            </w:r>
            <w:r>
              <w:rPr>
                <w:rFonts w:ascii="Arial"/>
                <w:sz w:val="20"/>
              </w:rPr>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02"/>
              <w:jc w:val="right"/>
              <w:rPr>
                <w:rFonts w:ascii="Arial" w:hAnsi="Arial" w:cs="Arial" w:eastAsia="Arial" w:hint="default"/>
                <w:sz w:val="20"/>
                <w:szCs w:val="20"/>
              </w:rPr>
            </w:pPr>
            <w:r>
              <w:rPr>
                <w:rFonts w:ascii="Arial"/>
                <w:spacing w:val="-1"/>
                <w:sz w:val="20"/>
              </w:rPr>
              <w:t>39,661,138</w:t>
            </w:r>
            <w:r>
              <w:rPr>
                <w:rFonts w:ascii="Arial"/>
                <w:sz w:val="20"/>
              </w:rPr>
            </w:r>
          </w:p>
        </w:tc>
      </w:tr>
      <w:tr>
        <w:trPr>
          <w:trHeight w:val="388" w:hRule="exact"/>
        </w:trPr>
        <w:tc>
          <w:tcPr>
            <w:tcW w:w="4300" w:type="dxa"/>
            <w:tcBorders>
              <w:top w:val="nil" w:sz="6" w:space="0" w:color="auto"/>
              <w:left w:val="nil" w:sz="6" w:space="0" w:color="auto"/>
              <w:bottom w:val="nil" w:sz="6" w:space="0" w:color="auto"/>
              <w:right w:val="nil" w:sz="6" w:space="0" w:color="auto"/>
            </w:tcBorders>
          </w:tcPr>
          <w:p>
            <w:pPr>
              <w:pStyle w:val="TableParagraph"/>
              <w:spacing w:line="224" w:lineRule="exact"/>
              <w:ind w:left="202"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2286" w:type="dxa"/>
            <w:tcBorders>
              <w:top w:val="nil" w:sz="6" w:space="0" w:color="auto"/>
              <w:left w:val="nil" w:sz="6" w:space="0" w:color="auto"/>
              <w:bottom w:val="nil" w:sz="6" w:space="0" w:color="auto"/>
              <w:right w:val="nil" w:sz="6" w:space="0" w:color="auto"/>
            </w:tcBorders>
          </w:tcPr>
          <w:p>
            <w:pPr>
              <w:pStyle w:val="TableParagraph"/>
              <w:tabs>
                <w:tab w:pos="403" w:val="left" w:leader="none"/>
              </w:tabs>
              <w:spacing w:line="240" w:lineRule="auto" w:before="6"/>
              <w:ind w:right="429"/>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73,901</w:t>
            </w:r>
            <w:r>
              <w:rPr>
                <w:rFonts w:ascii="Arial"/>
                <w:spacing w:val="-1"/>
                <w:w w:val="95"/>
                <w:sz w:val="20"/>
              </w:rPr>
            </w:r>
            <w:r>
              <w:rPr>
                <w:rFonts w:ascii="Arial"/>
                <w:sz w:val="20"/>
              </w:rPr>
            </w:r>
          </w:p>
        </w:tc>
        <w:tc>
          <w:tcPr>
            <w:tcW w:w="1632" w:type="dxa"/>
            <w:tcBorders>
              <w:top w:val="nil" w:sz="6" w:space="0" w:color="auto"/>
              <w:left w:val="nil" w:sz="6" w:space="0" w:color="auto"/>
              <w:bottom w:val="nil" w:sz="6" w:space="0" w:color="auto"/>
              <w:right w:val="nil" w:sz="6" w:space="0" w:color="auto"/>
            </w:tcBorders>
          </w:tcPr>
          <w:p>
            <w:pPr>
              <w:pStyle w:val="TableParagraph"/>
              <w:tabs>
                <w:tab w:pos="902" w:val="left" w:leader="none"/>
              </w:tabs>
              <w:spacing w:line="240" w:lineRule="auto" w:before="6"/>
              <w:ind w:right="19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r>
      <w:tr>
        <w:trPr>
          <w:trHeight w:val="355" w:hRule="exact"/>
        </w:trPr>
        <w:tc>
          <w:tcPr>
            <w:tcW w:w="4300" w:type="dxa"/>
            <w:tcBorders>
              <w:top w:val="nil" w:sz="6" w:space="0" w:color="auto"/>
              <w:left w:val="nil" w:sz="6" w:space="0" w:color="auto"/>
              <w:bottom w:val="nil" w:sz="6" w:space="0" w:color="auto"/>
              <w:right w:val="nil" w:sz="6" w:space="0" w:color="auto"/>
            </w:tcBorders>
          </w:tcPr>
          <w:p>
            <w:pPr/>
          </w:p>
        </w:tc>
        <w:tc>
          <w:tcPr>
            <w:tcW w:w="228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429"/>
              <w:jc w:val="right"/>
              <w:rPr>
                <w:rFonts w:ascii="Arial" w:hAnsi="Arial" w:cs="Arial" w:eastAsia="Arial" w:hint="default"/>
                <w:sz w:val="20"/>
                <w:szCs w:val="20"/>
              </w:rPr>
            </w:pPr>
            <w:r>
              <w:rPr>
                <w:rFonts w:ascii="Arial"/>
                <w:w w:val="99"/>
                <w:sz w:val="20"/>
              </w:rPr>
            </w:r>
            <w:r>
              <w:rPr>
                <w:rFonts w:ascii="Arial"/>
                <w:spacing w:val="-1"/>
                <w:sz w:val="20"/>
                <w:u w:val="thick" w:color="000000"/>
              </w:rPr>
              <w:t>99,542,172</w:t>
            </w:r>
            <w:r>
              <w:rPr>
                <w:rFonts w:ascii="Arial"/>
                <w:spacing w:val="-1"/>
                <w:sz w:val="20"/>
              </w:rPr>
            </w:r>
            <w:r>
              <w:rPr>
                <w:rFonts w:ascii="Arial"/>
                <w:sz w:val="20"/>
              </w:rPr>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02"/>
              <w:jc w:val="right"/>
              <w:rPr>
                <w:rFonts w:ascii="Arial" w:hAnsi="Arial" w:cs="Arial" w:eastAsia="Arial" w:hint="default"/>
                <w:sz w:val="20"/>
                <w:szCs w:val="20"/>
              </w:rPr>
            </w:pPr>
            <w:r>
              <w:rPr>
                <w:rFonts w:ascii="Arial"/>
                <w:w w:val="99"/>
                <w:sz w:val="20"/>
              </w:rPr>
            </w:r>
            <w:r>
              <w:rPr>
                <w:rFonts w:ascii="Arial"/>
                <w:spacing w:val="-1"/>
                <w:sz w:val="20"/>
                <w:u w:val="thick" w:color="000000"/>
              </w:rPr>
              <w:t>46,380,068</w:t>
            </w:r>
            <w:r>
              <w:rPr>
                <w:rFonts w:ascii="Arial"/>
                <w:spacing w:val="-1"/>
                <w:sz w:val="20"/>
              </w:rPr>
            </w:r>
            <w:r>
              <w:rPr>
                <w:rFonts w:ascii="Arial"/>
                <w:sz w:val="20"/>
              </w:rPr>
            </w:r>
          </w:p>
        </w:tc>
      </w:tr>
    </w:tbl>
    <w:p>
      <w:pPr>
        <w:spacing w:line="240" w:lineRule="auto" w:before="10"/>
        <w:rPr>
          <w:rFonts w:ascii="黑体" w:hAnsi="黑体" w:cs="黑体" w:eastAsia="黑体" w:hint="default"/>
          <w:b/>
          <w:bCs/>
          <w:sz w:val="13"/>
          <w:szCs w:val="13"/>
        </w:rPr>
      </w:pPr>
    </w:p>
    <w:p>
      <w:pPr>
        <w:pStyle w:val="BodyText"/>
        <w:spacing w:line="268" w:lineRule="exact" w:before="37"/>
        <w:ind w:left="749" w:right="223"/>
        <w:jc w:val="left"/>
      </w:pPr>
      <w:r>
        <w:rPr/>
        <w:t>注</w:t>
      </w:r>
      <w:r>
        <w:rPr>
          <w:rFonts w:ascii="Arial" w:hAnsi="Arial" w:cs="Arial" w:eastAsia="Arial" w:hint="default"/>
        </w:rPr>
        <w:t>1.  </w:t>
      </w:r>
      <w:r>
        <w:rPr>
          <w:rFonts w:ascii="Arial" w:hAnsi="Arial" w:cs="Arial" w:eastAsia="Arial" w:hint="default"/>
          <w:spacing w:val="12"/>
        </w:rPr>
        <w:t> </w:t>
      </w:r>
      <w:r>
        <w:rPr/>
        <w:t>参见附注五、</w:t>
      </w:r>
      <w:r>
        <w:rPr>
          <w:rFonts w:ascii="Arial" w:hAnsi="Arial" w:cs="Arial" w:eastAsia="Arial" w:hint="default"/>
        </w:rPr>
        <w:t>41</w:t>
      </w:r>
      <w:r>
        <w:rPr/>
        <w:t>、注</w:t>
      </w:r>
      <w:r>
        <w:rPr>
          <w:rFonts w:ascii="Arial" w:hAnsi="Arial" w:cs="Arial" w:eastAsia="Arial" w:hint="default"/>
        </w:rPr>
        <w:t>1</w:t>
      </w:r>
      <w:r>
        <w:rPr/>
        <w:t>。</w:t>
      </w:r>
    </w:p>
    <w:p>
      <w:pPr>
        <w:pStyle w:val="BodyText"/>
        <w:spacing w:line="225" w:lineRule="auto" w:before="5"/>
        <w:ind w:left="1318" w:right="334" w:hanging="569"/>
        <w:jc w:val="both"/>
      </w:pPr>
      <w:r>
        <w:rPr/>
        <w:t>注</w:t>
      </w:r>
      <w:r>
        <w:rPr>
          <w:rFonts w:ascii="Arial" w:hAnsi="Arial" w:cs="Arial" w:eastAsia="Arial" w:hint="default"/>
        </w:rPr>
        <w:t>2.</w:t>
      </w:r>
      <w:r>
        <w:rPr>
          <w:rFonts w:ascii="Arial" w:hAnsi="Arial" w:cs="Arial" w:eastAsia="Arial" w:hint="default"/>
          <w:spacing w:val="49"/>
        </w:rPr>
        <w:t> </w:t>
      </w:r>
      <w:r>
        <w:rPr/>
        <w:t>成本法核算的长期股权投资收益为本公司收到的畅捷通、用友政务、用友烟草和创</w:t>
      </w:r>
      <w:r>
        <w:rPr>
          <w:w w:val="99"/>
        </w:rPr>
        <w:t> </w:t>
      </w:r>
      <w:r>
        <w:rPr/>
        <w:t>新投资于本年分派的现金股利分别为人民币</w:t>
      </w:r>
      <w:r>
        <w:rPr>
          <w:rFonts w:ascii="Arial" w:hAnsi="Arial" w:cs="Arial" w:eastAsia="Arial" w:hint="default"/>
        </w:rPr>
        <w:t>66,149,830</w:t>
      </w:r>
      <w:r>
        <w:rPr/>
        <w:t>元、人民币</w:t>
      </w:r>
      <w:r>
        <w:rPr>
          <w:rFonts w:ascii="Arial" w:hAnsi="Arial" w:cs="Arial" w:eastAsia="Arial" w:hint="default"/>
        </w:rPr>
        <w:t>19,978,316</w:t>
      </w:r>
      <w:r>
        <w:rPr/>
        <w:t>元、</w:t>
      </w:r>
      <w:r>
        <w:rPr>
          <w:w w:val="99"/>
        </w:rPr>
        <w:t> </w:t>
      </w:r>
      <w:r>
        <w:rPr/>
        <w:t>人民币</w:t>
      </w:r>
      <w:r>
        <w:rPr>
          <w:rFonts w:ascii="Arial" w:hAnsi="Arial" w:cs="Arial" w:eastAsia="Arial" w:hint="default"/>
        </w:rPr>
        <w:t>3,179,172</w:t>
      </w:r>
      <w:r>
        <w:rPr/>
        <w:t>元和人民币</w:t>
      </w:r>
      <w:r>
        <w:rPr>
          <w:rFonts w:ascii="Arial" w:hAnsi="Arial" w:cs="Arial" w:eastAsia="Arial" w:hint="default"/>
        </w:rPr>
        <w:t>246,839</w:t>
      </w:r>
      <w:r>
        <w:rPr/>
        <w:t>元，以及收到的中科方德软件有限公司本年分</w:t>
      </w:r>
      <w:r>
        <w:rPr>
          <w:spacing w:val="2"/>
          <w:w w:val="99"/>
        </w:rPr>
        <w:t> </w:t>
      </w:r>
      <w:r>
        <w:rPr/>
        <w:t>派的现金股利人民币</w:t>
      </w:r>
      <w:r>
        <w:rPr>
          <w:rFonts w:ascii="Arial" w:hAnsi="Arial" w:cs="Arial" w:eastAsia="Arial" w:hint="default"/>
        </w:rPr>
        <w:t>1,170,000</w:t>
      </w:r>
      <w:r>
        <w:rPr/>
        <w:t>元，上述分红共计人民币</w:t>
      </w:r>
      <w:r>
        <w:rPr>
          <w:rFonts w:ascii="Arial" w:hAnsi="Arial" w:cs="Arial" w:eastAsia="Arial" w:hint="default"/>
        </w:rPr>
        <w:t>90,724,157</w:t>
      </w:r>
      <w:r>
        <w:rPr/>
        <w:t>元。</w:t>
      </w:r>
    </w:p>
    <w:p>
      <w:pPr>
        <w:spacing w:line="240" w:lineRule="auto" w:before="7"/>
        <w:rPr>
          <w:rFonts w:ascii="黑体" w:hAnsi="黑体" w:cs="黑体" w:eastAsia="黑体" w:hint="default"/>
          <w:sz w:val="16"/>
          <w:szCs w:val="16"/>
        </w:rPr>
      </w:pPr>
    </w:p>
    <w:p>
      <w:pPr>
        <w:pStyle w:val="BodyText"/>
        <w:spacing w:line="240" w:lineRule="auto"/>
        <w:ind w:left="737" w:right="223"/>
        <w:jc w:val="left"/>
      </w:pPr>
      <w:r>
        <w:rPr/>
        <w:t>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31</w:t>
      </w:r>
      <w:r>
        <w:rPr/>
        <w:t>日，本公司投资收益的汇回均无重大限制。</w:t>
      </w:r>
    </w:p>
    <w:p>
      <w:pPr>
        <w:spacing w:after="0" w:line="240" w:lineRule="auto"/>
        <w:jc w:val="left"/>
        <w:sectPr>
          <w:pgSz w:w="11910" w:h="16850"/>
          <w:pgMar w:header="957" w:footer="473" w:top="2600" w:bottom="660" w:left="1660" w:right="1360"/>
        </w:sectPr>
      </w:pPr>
    </w:p>
    <w:p>
      <w:pPr>
        <w:spacing w:line="240" w:lineRule="auto" w:before="7"/>
        <w:rPr>
          <w:rFonts w:ascii="黑体" w:hAnsi="黑体" w:cs="黑体" w:eastAsia="黑体" w:hint="default"/>
          <w:sz w:val="15"/>
          <w:szCs w:val="15"/>
        </w:rPr>
      </w:pPr>
    </w:p>
    <w:p>
      <w:pPr>
        <w:pStyle w:val="Heading6"/>
        <w:spacing w:line="240" w:lineRule="auto"/>
        <w:ind w:left="142" w:right="3627"/>
        <w:jc w:val="left"/>
        <w:rPr>
          <w:b w:val="0"/>
          <w:bCs w:val="0"/>
        </w:rPr>
      </w:pPr>
      <w:r>
        <w:rPr/>
        <w:t>十三、公司财务报表主要项目注释（续）</w:t>
      </w:r>
      <w:r>
        <w:rPr>
          <w:b w:val="0"/>
          <w:bCs w:val="0"/>
        </w:rPr>
      </w:r>
    </w:p>
    <w:p>
      <w:pPr>
        <w:spacing w:line="240" w:lineRule="auto" w:before="5"/>
        <w:rPr>
          <w:rFonts w:ascii="黑体" w:hAnsi="黑体" w:cs="黑体" w:eastAsia="黑体" w:hint="default"/>
          <w:b/>
          <w:bCs/>
          <w:sz w:val="17"/>
          <w:szCs w:val="17"/>
        </w:rPr>
      </w:pPr>
    </w:p>
    <w:p>
      <w:pPr>
        <w:pStyle w:val="Heading6"/>
        <w:tabs>
          <w:tab w:pos="845" w:val="left" w:leader="none"/>
        </w:tabs>
        <w:spacing w:line="240" w:lineRule="auto" w:before="0"/>
        <w:ind w:left="166" w:right="3627"/>
        <w:jc w:val="left"/>
        <w:rPr>
          <w:b w:val="0"/>
          <w:bCs w:val="0"/>
        </w:rPr>
      </w:pPr>
      <w:r>
        <w:rPr>
          <w:rFonts w:ascii="Arial" w:hAnsi="Arial" w:cs="Arial" w:eastAsia="Arial" w:hint="default"/>
          <w:spacing w:val="-1"/>
          <w:w w:val="95"/>
        </w:rPr>
        <w:t>35.</w:t>
        <w:tab/>
      </w:r>
      <w:r>
        <w:rPr>
          <w:spacing w:val="2"/>
        </w:rPr>
        <w:t>营业外收入</w:t>
      </w:r>
      <w:r>
        <w:rPr>
          <w:b w:val="0"/>
          <w:bCs w:val="0"/>
        </w:rPr>
      </w:r>
    </w:p>
    <w:p>
      <w:pPr>
        <w:spacing w:line="240" w:lineRule="auto" w:before="1"/>
        <w:rPr>
          <w:rFonts w:ascii="黑体" w:hAnsi="黑体" w:cs="黑体" w:eastAsia="黑体" w:hint="default"/>
          <w:b/>
          <w:bCs/>
          <w:sz w:val="21"/>
          <w:szCs w:val="21"/>
        </w:rPr>
      </w:pPr>
    </w:p>
    <w:tbl>
      <w:tblPr>
        <w:tblW w:w="0" w:type="auto"/>
        <w:jc w:val="left"/>
        <w:tblInd w:w="542" w:type="dxa"/>
        <w:tblLayout w:type="fixed"/>
        <w:tblCellMar>
          <w:top w:w="0" w:type="dxa"/>
          <w:left w:w="0" w:type="dxa"/>
          <w:bottom w:w="0" w:type="dxa"/>
          <w:right w:w="0" w:type="dxa"/>
        </w:tblCellMar>
        <w:tblLook w:val="01E0"/>
      </w:tblPr>
      <w:tblGrid>
        <w:gridCol w:w="3630"/>
        <w:gridCol w:w="3096"/>
        <w:gridCol w:w="1465"/>
      </w:tblGrid>
      <w:tr>
        <w:trPr>
          <w:trHeight w:val="362" w:hRule="exact"/>
        </w:trPr>
        <w:tc>
          <w:tcPr>
            <w:tcW w:w="3630" w:type="dxa"/>
            <w:tcBorders>
              <w:top w:val="nil" w:sz="6" w:space="0" w:color="auto"/>
              <w:left w:val="nil" w:sz="6" w:space="0" w:color="auto"/>
              <w:bottom w:val="nil" w:sz="6" w:space="0" w:color="auto"/>
              <w:right w:val="nil" w:sz="6" w:space="0" w:color="auto"/>
            </w:tcBorders>
          </w:tcPr>
          <w:p>
            <w:pPr/>
          </w:p>
        </w:tc>
        <w:tc>
          <w:tcPr>
            <w:tcW w:w="3096" w:type="dxa"/>
            <w:tcBorders>
              <w:top w:val="nil" w:sz="6" w:space="0" w:color="auto"/>
              <w:left w:val="nil" w:sz="6" w:space="0" w:color="auto"/>
              <w:bottom w:val="nil" w:sz="6" w:space="0" w:color="auto"/>
              <w:right w:val="nil" w:sz="6" w:space="0" w:color="auto"/>
            </w:tcBorders>
          </w:tcPr>
          <w:p>
            <w:pPr>
              <w:pStyle w:val="TableParagraph"/>
              <w:spacing w:line="214" w:lineRule="exact"/>
              <w:ind w:right="155"/>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1465" w:type="dxa"/>
            <w:tcBorders>
              <w:top w:val="nil" w:sz="6" w:space="0" w:color="auto"/>
              <w:left w:val="nil" w:sz="6" w:space="0" w:color="auto"/>
              <w:bottom w:val="nil" w:sz="6" w:space="0" w:color="auto"/>
              <w:right w:val="nil" w:sz="6" w:space="0" w:color="auto"/>
            </w:tcBorders>
          </w:tcPr>
          <w:p>
            <w:pPr>
              <w:pStyle w:val="TableParagraph"/>
              <w:spacing w:line="214" w:lineRule="exact"/>
              <w:ind w:right="198"/>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r>
      <w:tr>
        <w:trPr>
          <w:trHeight w:val="386" w:hRule="exact"/>
        </w:trPr>
        <w:tc>
          <w:tcPr>
            <w:tcW w:w="3630"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00" w:right="0"/>
              <w:jc w:val="left"/>
              <w:rPr>
                <w:rFonts w:ascii="黑体" w:hAnsi="黑体" w:cs="黑体" w:eastAsia="黑体" w:hint="default"/>
                <w:sz w:val="20"/>
                <w:szCs w:val="20"/>
              </w:rPr>
            </w:pPr>
            <w:r>
              <w:rPr>
                <w:rFonts w:ascii="黑体" w:hAnsi="黑体" w:cs="黑体" w:eastAsia="黑体" w:hint="default"/>
                <w:sz w:val="20"/>
                <w:szCs w:val="20"/>
              </w:rPr>
              <w:t>增值税退税返还</w:t>
            </w:r>
          </w:p>
        </w:tc>
        <w:tc>
          <w:tcPr>
            <w:tcW w:w="3096"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54"/>
              <w:jc w:val="right"/>
              <w:rPr>
                <w:rFonts w:ascii="Arial" w:hAnsi="Arial" w:cs="Arial" w:eastAsia="Arial" w:hint="default"/>
                <w:sz w:val="20"/>
                <w:szCs w:val="20"/>
              </w:rPr>
            </w:pPr>
            <w:r>
              <w:rPr>
                <w:rFonts w:ascii="Arial"/>
                <w:spacing w:val="-1"/>
                <w:sz w:val="20"/>
              </w:rPr>
              <w:t>180,896,999</w:t>
            </w:r>
            <w:r>
              <w:rPr>
                <w:rFonts w:ascii="Arial"/>
                <w:sz w:val="20"/>
              </w:rPr>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98"/>
              <w:jc w:val="right"/>
              <w:rPr>
                <w:rFonts w:ascii="Arial" w:hAnsi="Arial" w:cs="Arial" w:eastAsia="Arial" w:hint="default"/>
                <w:sz w:val="20"/>
                <w:szCs w:val="20"/>
              </w:rPr>
            </w:pPr>
            <w:r>
              <w:rPr>
                <w:rFonts w:ascii="Arial"/>
                <w:spacing w:val="-1"/>
                <w:sz w:val="20"/>
              </w:rPr>
              <w:t>175,704,679</w:t>
            </w:r>
            <w:r>
              <w:rPr>
                <w:rFonts w:ascii="Arial"/>
                <w:sz w:val="20"/>
              </w:rPr>
            </w:r>
          </w:p>
        </w:tc>
      </w:tr>
      <w:tr>
        <w:trPr>
          <w:trHeight w:val="259" w:hRule="exact"/>
        </w:trPr>
        <w:tc>
          <w:tcPr>
            <w:tcW w:w="3630"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政府补助</w:t>
            </w:r>
          </w:p>
        </w:tc>
        <w:tc>
          <w:tcPr>
            <w:tcW w:w="30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54"/>
              <w:jc w:val="right"/>
              <w:rPr>
                <w:rFonts w:ascii="Arial" w:hAnsi="Arial" w:cs="Arial" w:eastAsia="Arial" w:hint="default"/>
                <w:sz w:val="20"/>
                <w:szCs w:val="20"/>
              </w:rPr>
            </w:pPr>
            <w:r>
              <w:rPr>
                <w:rFonts w:ascii="Arial"/>
                <w:spacing w:val="-1"/>
                <w:sz w:val="20"/>
              </w:rPr>
              <w:t>19,349,814</w:t>
            </w:r>
            <w:r>
              <w:rPr>
                <w:rFonts w:ascii="Arial"/>
                <w:sz w:val="20"/>
              </w:rPr>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spacing w:val="-1"/>
                <w:sz w:val="20"/>
              </w:rPr>
              <w:t>40,433,569</w:t>
            </w:r>
            <w:r>
              <w:rPr>
                <w:rFonts w:ascii="Arial"/>
                <w:sz w:val="20"/>
              </w:rPr>
            </w:r>
          </w:p>
        </w:tc>
      </w:tr>
      <w:tr>
        <w:trPr>
          <w:trHeight w:val="259" w:hRule="exact"/>
        </w:trPr>
        <w:tc>
          <w:tcPr>
            <w:tcW w:w="3630"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固定资产清理收入</w:t>
            </w:r>
          </w:p>
        </w:tc>
        <w:tc>
          <w:tcPr>
            <w:tcW w:w="30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54"/>
              <w:jc w:val="right"/>
              <w:rPr>
                <w:rFonts w:ascii="Arial" w:hAnsi="Arial" w:cs="Arial" w:eastAsia="Arial" w:hint="default"/>
                <w:sz w:val="20"/>
                <w:szCs w:val="20"/>
              </w:rPr>
            </w:pPr>
            <w:r>
              <w:rPr>
                <w:rFonts w:ascii="Arial"/>
                <w:spacing w:val="-1"/>
                <w:sz w:val="20"/>
              </w:rPr>
              <w:t>84,860</w:t>
            </w:r>
            <w:r>
              <w:rPr>
                <w:rFonts w:ascii="Arial"/>
                <w:sz w:val="20"/>
              </w:rPr>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spacing w:val="-1"/>
                <w:w w:val="95"/>
                <w:sz w:val="20"/>
              </w:rPr>
              <w:t>414,775</w:t>
            </w:r>
            <w:r>
              <w:rPr>
                <w:rFonts w:ascii="Arial"/>
                <w:sz w:val="20"/>
              </w:rPr>
            </w:r>
          </w:p>
        </w:tc>
      </w:tr>
      <w:tr>
        <w:trPr>
          <w:trHeight w:val="259" w:hRule="exact"/>
        </w:trPr>
        <w:tc>
          <w:tcPr>
            <w:tcW w:w="3630"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罚款净收入</w:t>
            </w:r>
          </w:p>
        </w:tc>
        <w:tc>
          <w:tcPr>
            <w:tcW w:w="30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54"/>
              <w:jc w:val="right"/>
              <w:rPr>
                <w:rFonts w:ascii="Arial" w:hAnsi="Arial" w:cs="Arial" w:eastAsia="Arial" w:hint="default"/>
                <w:sz w:val="20"/>
                <w:szCs w:val="20"/>
              </w:rPr>
            </w:pPr>
            <w:r>
              <w:rPr>
                <w:rFonts w:ascii="Arial"/>
                <w:spacing w:val="-1"/>
                <w:sz w:val="20"/>
              </w:rPr>
              <w:t>29,098</w:t>
            </w:r>
            <w:r>
              <w:rPr>
                <w:rFonts w:ascii="Arial"/>
                <w:sz w:val="20"/>
              </w:rPr>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spacing w:val="-1"/>
                <w:sz w:val="20"/>
              </w:rPr>
              <w:t>52,503</w:t>
            </w:r>
            <w:r>
              <w:rPr>
                <w:rFonts w:ascii="Arial"/>
                <w:sz w:val="20"/>
              </w:rPr>
            </w:r>
          </w:p>
        </w:tc>
      </w:tr>
      <w:tr>
        <w:trPr>
          <w:trHeight w:val="389" w:hRule="exact"/>
        </w:trPr>
        <w:tc>
          <w:tcPr>
            <w:tcW w:w="3630"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30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54"/>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1"/>
                <w:sz w:val="20"/>
                <w:u w:val="single" w:color="000000"/>
              </w:rPr>
              <w:t> </w:t>
            </w:r>
            <w:r>
              <w:rPr>
                <w:rFonts w:ascii="Arial"/>
                <w:spacing w:val="-1"/>
                <w:w w:val="95"/>
                <w:sz w:val="20"/>
                <w:u w:val="single" w:color="000000"/>
              </w:rPr>
              <w:t>1,636,583</w:t>
            </w:r>
            <w:r>
              <w:rPr>
                <w:rFonts w:ascii="Arial"/>
                <w:spacing w:val="-1"/>
                <w:w w:val="95"/>
                <w:sz w:val="20"/>
              </w:rPr>
            </w:r>
            <w:r>
              <w:rPr>
                <w:rFonts w:ascii="Arial"/>
                <w:sz w:val="20"/>
              </w:rPr>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1"/>
                <w:sz w:val="20"/>
                <w:u w:val="single" w:color="000000"/>
              </w:rPr>
              <w:t> </w:t>
            </w:r>
            <w:r>
              <w:rPr>
                <w:rFonts w:ascii="Arial"/>
                <w:spacing w:val="-1"/>
                <w:w w:val="95"/>
                <w:sz w:val="20"/>
                <w:u w:val="single" w:color="000000"/>
              </w:rPr>
              <w:t>1,300,480</w:t>
            </w:r>
            <w:r>
              <w:rPr>
                <w:rFonts w:ascii="Arial"/>
                <w:spacing w:val="-1"/>
                <w:w w:val="95"/>
                <w:sz w:val="20"/>
              </w:rPr>
            </w:r>
            <w:r>
              <w:rPr>
                <w:rFonts w:ascii="Arial"/>
                <w:sz w:val="20"/>
              </w:rPr>
            </w:r>
          </w:p>
        </w:tc>
      </w:tr>
      <w:tr>
        <w:trPr>
          <w:trHeight w:val="355" w:hRule="exact"/>
        </w:trPr>
        <w:tc>
          <w:tcPr>
            <w:tcW w:w="3630" w:type="dxa"/>
            <w:tcBorders>
              <w:top w:val="nil" w:sz="6" w:space="0" w:color="auto"/>
              <w:left w:val="nil" w:sz="6" w:space="0" w:color="auto"/>
              <w:bottom w:val="nil" w:sz="6" w:space="0" w:color="auto"/>
              <w:right w:val="nil" w:sz="6" w:space="0" w:color="auto"/>
            </w:tcBorders>
          </w:tcPr>
          <w:p>
            <w:pPr/>
          </w:p>
        </w:tc>
        <w:tc>
          <w:tcPr>
            <w:tcW w:w="309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54"/>
              <w:jc w:val="right"/>
              <w:rPr>
                <w:rFonts w:ascii="Arial" w:hAnsi="Arial" w:cs="Arial" w:eastAsia="Arial" w:hint="default"/>
                <w:sz w:val="20"/>
                <w:szCs w:val="20"/>
              </w:rPr>
            </w:pPr>
            <w:r>
              <w:rPr>
                <w:rFonts w:ascii="Arial"/>
                <w:w w:val="99"/>
                <w:sz w:val="20"/>
              </w:rPr>
            </w:r>
            <w:r>
              <w:rPr>
                <w:rFonts w:ascii="Arial"/>
                <w:spacing w:val="-1"/>
                <w:sz w:val="20"/>
                <w:u w:val="thick" w:color="000000"/>
              </w:rPr>
              <w:t>201,997,354</w:t>
            </w:r>
            <w:r>
              <w:rPr>
                <w:rFonts w:ascii="Arial"/>
                <w:spacing w:val="-1"/>
                <w:sz w:val="20"/>
              </w:rPr>
            </w:r>
            <w:r>
              <w:rPr>
                <w:rFonts w:ascii="Arial"/>
                <w:sz w:val="20"/>
              </w:rPr>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217,906,006</w:t>
            </w:r>
            <w:r>
              <w:rPr>
                <w:rFonts w:ascii="Arial"/>
                <w:spacing w:val="-1"/>
                <w:sz w:val="20"/>
              </w:rPr>
            </w:r>
            <w:r>
              <w:rPr>
                <w:rFonts w:ascii="Arial"/>
                <w:sz w:val="20"/>
              </w:rPr>
            </w:r>
          </w:p>
        </w:tc>
      </w:tr>
    </w:tbl>
    <w:p>
      <w:pPr>
        <w:spacing w:line="240" w:lineRule="auto" w:before="10"/>
        <w:rPr>
          <w:rFonts w:ascii="黑体" w:hAnsi="黑体" w:cs="黑体" w:eastAsia="黑体" w:hint="default"/>
          <w:b/>
          <w:bCs/>
          <w:sz w:val="13"/>
          <w:szCs w:val="13"/>
        </w:rPr>
      </w:pPr>
    </w:p>
    <w:p>
      <w:pPr>
        <w:pStyle w:val="BodyText"/>
        <w:spacing w:line="240" w:lineRule="auto" w:before="37"/>
        <w:ind w:left="754" w:right="3627"/>
        <w:jc w:val="left"/>
      </w:pPr>
      <w:r>
        <w:rPr/>
        <w:t>计入当期损益的政府补助如下：</w:t>
      </w:r>
    </w:p>
    <w:p>
      <w:pPr>
        <w:spacing w:line="240" w:lineRule="auto" w:before="2"/>
        <w:rPr>
          <w:rFonts w:ascii="黑体" w:hAnsi="黑体" w:cs="黑体" w:eastAsia="黑体" w:hint="default"/>
          <w:sz w:val="22"/>
          <w:szCs w:val="22"/>
        </w:rPr>
      </w:pPr>
    </w:p>
    <w:tbl>
      <w:tblPr>
        <w:tblW w:w="0" w:type="auto"/>
        <w:jc w:val="left"/>
        <w:tblInd w:w="554" w:type="dxa"/>
        <w:tblLayout w:type="fixed"/>
        <w:tblCellMar>
          <w:top w:w="0" w:type="dxa"/>
          <w:left w:w="0" w:type="dxa"/>
          <w:bottom w:w="0" w:type="dxa"/>
          <w:right w:w="0" w:type="dxa"/>
        </w:tblCellMar>
        <w:tblLook w:val="01E0"/>
      </w:tblPr>
      <w:tblGrid>
        <w:gridCol w:w="5350"/>
        <w:gridCol w:w="1434"/>
        <w:gridCol w:w="1413"/>
      </w:tblGrid>
      <w:tr>
        <w:trPr>
          <w:trHeight w:val="361" w:hRule="exact"/>
        </w:trPr>
        <w:tc>
          <w:tcPr>
            <w:tcW w:w="5350"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Style w:val="TableParagraph"/>
              <w:spacing w:line="214" w:lineRule="exact"/>
              <w:ind w:right="212"/>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1413" w:type="dxa"/>
            <w:tcBorders>
              <w:top w:val="nil" w:sz="6" w:space="0" w:color="auto"/>
              <w:left w:val="nil" w:sz="6" w:space="0" w:color="auto"/>
              <w:bottom w:val="nil" w:sz="6" w:space="0" w:color="auto"/>
              <w:right w:val="nil" w:sz="6" w:space="0" w:color="auto"/>
            </w:tcBorders>
          </w:tcPr>
          <w:p>
            <w:pPr>
              <w:pStyle w:val="TableParagraph"/>
              <w:spacing w:line="214" w:lineRule="exact"/>
              <w:ind w:right="221"/>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r>
      <w:tr>
        <w:trPr>
          <w:trHeight w:val="388" w:hRule="exact"/>
        </w:trPr>
        <w:tc>
          <w:tcPr>
            <w:tcW w:w="5350"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00" w:right="0"/>
              <w:jc w:val="left"/>
              <w:rPr>
                <w:rFonts w:ascii="黑体" w:hAnsi="黑体" w:cs="黑体" w:eastAsia="黑体" w:hint="default"/>
                <w:sz w:val="20"/>
                <w:szCs w:val="20"/>
              </w:rPr>
            </w:pPr>
            <w:r>
              <w:rPr>
                <w:rFonts w:ascii="黑体" w:hAnsi="黑体" w:cs="黑体" w:eastAsia="黑体" w:hint="default"/>
                <w:sz w:val="20"/>
                <w:szCs w:val="20"/>
              </w:rPr>
              <w:t>北京财政可再生能源补贴</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212"/>
              <w:jc w:val="right"/>
              <w:rPr>
                <w:rFonts w:ascii="Arial" w:hAnsi="Arial" w:cs="Arial" w:eastAsia="Arial" w:hint="default"/>
                <w:sz w:val="20"/>
                <w:szCs w:val="20"/>
              </w:rPr>
            </w:pPr>
            <w:r>
              <w:rPr>
                <w:rFonts w:ascii="Arial"/>
                <w:spacing w:val="-1"/>
                <w:sz w:val="20"/>
              </w:rPr>
              <w:t>5,680,000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98"/>
              <w:jc w:val="right"/>
              <w:rPr>
                <w:rFonts w:ascii="Arial" w:hAnsi="Arial" w:cs="Arial" w:eastAsia="Arial" w:hint="default"/>
                <w:sz w:val="20"/>
                <w:szCs w:val="20"/>
              </w:rPr>
            </w:pPr>
            <w:r>
              <w:rPr>
                <w:rFonts w:ascii="Arial"/>
                <w:w w:val="99"/>
                <w:sz w:val="20"/>
              </w:rPr>
              <w:t>-</w:t>
            </w:r>
            <w:r>
              <w:rPr>
                <w:rFonts w:ascii="Arial"/>
                <w:sz w:val="20"/>
              </w:rPr>
            </w:r>
          </w:p>
        </w:tc>
      </w:tr>
      <w:tr>
        <w:trPr>
          <w:trHeight w:val="259" w:hRule="exact"/>
        </w:trPr>
        <w:tc>
          <w:tcPr>
            <w:tcW w:w="5350"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北京市高新技术成果转化项目基金</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12"/>
              <w:jc w:val="right"/>
              <w:rPr>
                <w:rFonts w:ascii="Arial" w:hAnsi="Arial" w:cs="Arial" w:eastAsia="Arial" w:hint="default"/>
                <w:sz w:val="20"/>
                <w:szCs w:val="20"/>
              </w:rPr>
            </w:pPr>
            <w:r>
              <w:rPr>
                <w:rFonts w:ascii="Arial"/>
                <w:spacing w:val="-1"/>
                <w:sz w:val="20"/>
              </w:rPr>
              <w:t>3,000,000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9"/>
              <w:jc w:val="right"/>
              <w:rPr>
                <w:rFonts w:ascii="Arial" w:hAnsi="Arial" w:cs="Arial" w:eastAsia="Arial" w:hint="default"/>
                <w:sz w:val="20"/>
                <w:szCs w:val="20"/>
              </w:rPr>
            </w:pPr>
            <w:r>
              <w:rPr>
                <w:rFonts w:ascii="Arial"/>
                <w:spacing w:val="-1"/>
                <w:sz w:val="20"/>
              </w:rPr>
              <w:t>10,091,200</w:t>
            </w:r>
            <w:r>
              <w:rPr>
                <w:rFonts w:ascii="Arial"/>
                <w:sz w:val="20"/>
              </w:rPr>
            </w:r>
          </w:p>
        </w:tc>
      </w:tr>
      <w:tr>
        <w:trPr>
          <w:trHeight w:val="259" w:hRule="exact"/>
        </w:trPr>
        <w:tc>
          <w:tcPr>
            <w:tcW w:w="5350"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重大科技成果转化奖励</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12"/>
              <w:jc w:val="right"/>
              <w:rPr>
                <w:rFonts w:ascii="Arial" w:hAnsi="Arial" w:cs="Arial" w:eastAsia="Arial" w:hint="default"/>
                <w:sz w:val="20"/>
                <w:szCs w:val="20"/>
              </w:rPr>
            </w:pPr>
            <w:r>
              <w:rPr>
                <w:rFonts w:ascii="Arial"/>
                <w:spacing w:val="-1"/>
                <w:sz w:val="20"/>
              </w:rPr>
              <w:t>3,000,000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w w:val="99"/>
                <w:sz w:val="20"/>
              </w:rPr>
              <w:t>-</w:t>
            </w:r>
            <w:r>
              <w:rPr>
                <w:rFonts w:ascii="Arial"/>
                <w:sz w:val="20"/>
              </w:rPr>
            </w:r>
          </w:p>
        </w:tc>
      </w:tr>
      <w:tr>
        <w:trPr>
          <w:trHeight w:val="259" w:hRule="exact"/>
        </w:trPr>
        <w:tc>
          <w:tcPr>
            <w:tcW w:w="5350"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产业发展专项资金重大项目补贴</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12"/>
              <w:jc w:val="right"/>
              <w:rPr>
                <w:rFonts w:ascii="Arial" w:hAnsi="Arial" w:cs="Arial" w:eastAsia="Arial" w:hint="default"/>
                <w:sz w:val="20"/>
                <w:szCs w:val="20"/>
              </w:rPr>
            </w:pPr>
            <w:r>
              <w:rPr>
                <w:rFonts w:ascii="Arial"/>
                <w:spacing w:val="-1"/>
                <w:sz w:val="20"/>
              </w:rPr>
              <w:t>2,700,000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9"/>
              <w:jc w:val="right"/>
              <w:rPr>
                <w:rFonts w:ascii="Arial" w:hAnsi="Arial" w:cs="Arial" w:eastAsia="Arial" w:hint="default"/>
                <w:sz w:val="20"/>
                <w:szCs w:val="20"/>
              </w:rPr>
            </w:pPr>
            <w:r>
              <w:rPr>
                <w:rFonts w:ascii="Arial"/>
                <w:spacing w:val="-1"/>
                <w:sz w:val="20"/>
              </w:rPr>
              <w:t>2,100,000</w:t>
            </w:r>
          </w:p>
        </w:tc>
      </w:tr>
      <w:tr>
        <w:trPr>
          <w:trHeight w:val="520" w:hRule="exact"/>
        </w:trPr>
        <w:tc>
          <w:tcPr>
            <w:tcW w:w="5350" w:type="dxa"/>
            <w:tcBorders>
              <w:top w:val="nil" w:sz="6" w:space="0" w:color="auto"/>
              <w:left w:val="nil" w:sz="6" w:space="0" w:color="auto"/>
              <w:bottom w:val="nil" w:sz="6" w:space="0" w:color="auto"/>
              <w:right w:val="nil" w:sz="6" w:space="0" w:color="auto"/>
            </w:tcBorders>
          </w:tcPr>
          <w:p>
            <w:pPr>
              <w:pStyle w:val="TableParagraph"/>
              <w:spacing w:line="231" w:lineRule="exact"/>
              <w:ind w:left="200" w:right="0"/>
              <w:jc w:val="left"/>
              <w:rPr>
                <w:rFonts w:ascii="黑体" w:hAnsi="黑体" w:cs="黑体" w:eastAsia="黑体" w:hint="default"/>
                <w:sz w:val="20"/>
                <w:szCs w:val="20"/>
              </w:rPr>
            </w:pPr>
            <w:r>
              <w:rPr>
                <w:rFonts w:ascii="黑体" w:hAnsi="黑体" w:cs="黑体" w:eastAsia="黑体" w:hint="default"/>
                <w:sz w:val="20"/>
                <w:szCs w:val="20"/>
              </w:rPr>
              <w:t>北京市发展与改革委员会“基于</w:t>
            </w:r>
            <w:r>
              <w:rPr>
                <w:rFonts w:ascii="Arial" w:hAnsi="Arial" w:cs="Arial" w:eastAsia="Arial" w:hint="default"/>
                <w:sz w:val="20"/>
                <w:szCs w:val="20"/>
              </w:rPr>
              <w:t>SOA</w:t>
            </w:r>
            <w:r>
              <w:rPr>
                <w:rFonts w:ascii="黑体" w:hAnsi="黑体" w:cs="黑体" w:eastAsia="黑体" w:hint="default"/>
                <w:sz w:val="20"/>
                <w:szCs w:val="20"/>
              </w:rPr>
              <w:t>架构的新一代企业</w:t>
            </w:r>
          </w:p>
          <w:p>
            <w:pPr>
              <w:pStyle w:val="TableParagraph"/>
              <w:spacing w:line="268" w:lineRule="exact"/>
              <w:ind w:left="411" w:right="0"/>
              <w:jc w:val="left"/>
              <w:rPr>
                <w:rFonts w:ascii="黑体" w:hAnsi="黑体" w:cs="黑体" w:eastAsia="黑体" w:hint="default"/>
                <w:sz w:val="20"/>
                <w:szCs w:val="20"/>
              </w:rPr>
            </w:pPr>
            <w:r>
              <w:rPr>
                <w:rFonts w:ascii="黑体" w:hAnsi="黑体" w:cs="黑体" w:eastAsia="黑体" w:hint="default"/>
                <w:sz w:val="20"/>
                <w:szCs w:val="20"/>
              </w:rPr>
              <w:t>管理应用系统</w:t>
            </w:r>
            <w:r>
              <w:rPr>
                <w:rFonts w:ascii="Arial" w:hAnsi="Arial" w:cs="Arial" w:eastAsia="Arial" w:hint="default"/>
                <w:sz w:val="20"/>
                <w:szCs w:val="20"/>
              </w:rPr>
              <w:t>(U9)</w:t>
            </w:r>
            <w:r>
              <w:rPr>
                <w:rFonts w:ascii="黑体" w:hAnsi="黑体" w:cs="黑体" w:eastAsia="黑体" w:hint="default"/>
                <w:sz w:val="20"/>
                <w:szCs w:val="20"/>
              </w:rPr>
              <w:t>研发及产业化”</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0"/>
                <w:szCs w:val="20"/>
              </w:rPr>
            </w:pPr>
          </w:p>
          <w:p>
            <w:pPr>
              <w:pStyle w:val="TableParagraph"/>
              <w:spacing w:line="240" w:lineRule="auto"/>
              <w:ind w:right="212"/>
              <w:jc w:val="right"/>
              <w:rPr>
                <w:rFonts w:ascii="Arial" w:hAnsi="Arial" w:cs="Arial" w:eastAsia="Arial" w:hint="default"/>
                <w:sz w:val="20"/>
                <w:szCs w:val="20"/>
              </w:rPr>
            </w:pPr>
            <w:r>
              <w:rPr>
                <w:rFonts w:ascii="Arial"/>
                <w:spacing w:val="-1"/>
                <w:sz w:val="20"/>
              </w:rPr>
              <w:t>1,000,000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0"/>
                <w:szCs w:val="20"/>
              </w:rPr>
            </w:pPr>
          </w:p>
          <w:p>
            <w:pPr>
              <w:pStyle w:val="TableParagraph"/>
              <w:spacing w:line="240" w:lineRule="auto"/>
              <w:ind w:right="199"/>
              <w:jc w:val="right"/>
              <w:rPr>
                <w:rFonts w:ascii="Arial" w:hAnsi="Arial" w:cs="Arial" w:eastAsia="Arial" w:hint="default"/>
                <w:sz w:val="20"/>
                <w:szCs w:val="20"/>
              </w:rPr>
            </w:pPr>
            <w:r>
              <w:rPr>
                <w:rFonts w:ascii="Arial"/>
                <w:spacing w:val="-1"/>
                <w:sz w:val="20"/>
              </w:rPr>
              <w:t>4,000,000</w:t>
            </w:r>
          </w:p>
        </w:tc>
      </w:tr>
      <w:tr>
        <w:trPr>
          <w:trHeight w:val="258" w:hRule="exact"/>
        </w:trPr>
        <w:tc>
          <w:tcPr>
            <w:tcW w:w="5350" w:type="dxa"/>
            <w:tcBorders>
              <w:top w:val="nil" w:sz="6" w:space="0" w:color="auto"/>
              <w:left w:val="nil" w:sz="6" w:space="0" w:color="auto"/>
              <w:bottom w:val="nil" w:sz="6" w:space="0" w:color="auto"/>
              <w:right w:val="nil" w:sz="6" w:space="0" w:color="auto"/>
            </w:tcBorders>
          </w:tcPr>
          <w:p>
            <w:pPr>
              <w:pStyle w:val="TableParagraph"/>
              <w:spacing w:line="224" w:lineRule="exact"/>
              <w:ind w:left="200" w:right="0"/>
              <w:jc w:val="left"/>
              <w:rPr>
                <w:rFonts w:ascii="黑体" w:hAnsi="黑体" w:cs="黑体" w:eastAsia="黑体" w:hint="default"/>
                <w:sz w:val="20"/>
                <w:szCs w:val="20"/>
              </w:rPr>
            </w:pPr>
            <w:r>
              <w:rPr>
                <w:rFonts w:ascii="黑体" w:hAnsi="黑体" w:cs="黑体" w:eastAsia="黑体" w:hint="default"/>
                <w:sz w:val="20"/>
                <w:szCs w:val="20"/>
              </w:rPr>
              <w:t>中关村国家自主创新示范区产业技术联盟专项基金</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12"/>
              <w:jc w:val="right"/>
              <w:rPr>
                <w:rFonts w:ascii="Arial" w:hAnsi="Arial" w:cs="Arial" w:eastAsia="Arial" w:hint="default"/>
                <w:sz w:val="20"/>
                <w:szCs w:val="20"/>
              </w:rPr>
            </w:pPr>
            <w:r>
              <w:rPr>
                <w:rFonts w:ascii="Arial"/>
                <w:spacing w:val="-1"/>
                <w:sz w:val="20"/>
              </w:rPr>
              <w:t>1,000,000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8"/>
              <w:jc w:val="right"/>
              <w:rPr>
                <w:rFonts w:ascii="Arial" w:hAnsi="Arial" w:cs="Arial" w:eastAsia="Arial" w:hint="default"/>
                <w:sz w:val="20"/>
                <w:szCs w:val="20"/>
              </w:rPr>
            </w:pPr>
            <w:r>
              <w:rPr>
                <w:rFonts w:ascii="Arial"/>
                <w:w w:val="99"/>
                <w:sz w:val="20"/>
              </w:rPr>
              <w:t>-</w:t>
            </w:r>
            <w:r>
              <w:rPr>
                <w:rFonts w:ascii="Arial"/>
                <w:sz w:val="20"/>
              </w:rPr>
            </w:r>
          </w:p>
        </w:tc>
      </w:tr>
      <w:tr>
        <w:trPr>
          <w:trHeight w:val="259" w:hRule="exact"/>
        </w:trPr>
        <w:tc>
          <w:tcPr>
            <w:tcW w:w="5350"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国家知识产权局北京代办处专利资助金</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12"/>
              <w:jc w:val="right"/>
              <w:rPr>
                <w:rFonts w:ascii="Arial" w:hAnsi="Arial" w:cs="Arial" w:eastAsia="Arial" w:hint="default"/>
                <w:sz w:val="20"/>
                <w:szCs w:val="20"/>
              </w:rPr>
            </w:pPr>
            <w:r>
              <w:rPr>
                <w:rFonts w:ascii="Arial"/>
                <w:spacing w:val="-1"/>
                <w:w w:val="95"/>
                <w:sz w:val="20"/>
              </w:rPr>
              <w:t>499,350</w:t>
            </w:r>
            <w:r>
              <w:rPr>
                <w:rFonts w:ascii="Arial"/>
                <w:sz w:val="20"/>
              </w:rPr>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w w:val="99"/>
                <w:sz w:val="20"/>
              </w:rPr>
              <w:t>-</w:t>
            </w:r>
            <w:r>
              <w:rPr>
                <w:rFonts w:ascii="Arial"/>
                <w:sz w:val="20"/>
              </w:rPr>
            </w:r>
          </w:p>
        </w:tc>
      </w:tr>
      <w:tr>
        <w:trPr>
          <w:trHeight w:val="259" w:hRule="exact"/>
        </w:trPr>
        <w:tc>
          <w:tcPr>
            <w:tcW w:w="5350"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企业信息化补助</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12"/>
              <w:jc w:val="right"/>
              <w:rPr>
                <w:rFonts w:ascii="Arial" w:hAnsi="Arial" w:cs="Arial" w:eastAsia="Arial" w:hint="default"/>
                <w:sz w:val="20"/>
                <w:szCs w:val="20"/>
              </w:rPr>
            </w:pPr>
            <w:r>
              <w:rPr>
                <w:rFonts w:ascii="Arial"/>
                <w:spacing w:val="-1"/>
                <w:w w:val="95"/>
                <w:sz w:val="20"/>
              </w:rPr>
              <w:t>270,000</w:t>
            </w:r>
            <w:r>
              <w:rPr>
                <w:rFonts w:ascii="Arial"/>
                <w:sz w:val="20"/>
              </w:rPr>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9"/>
              <w:jc w:val="right"/>
              <w:rPr>
                <w:rFonts w:ascii="Arial" w:hAnsi="Arial" w:cs="Arial" w:eastAsia="Arial" w:hint="default"/>
                <w:sz w:val="20"/>
                <w:szCs w:val="20"/>
              </w:rPr>
            </w:pPr>
            <w:r>
              <w:rPr>
                <w:rFonts w:ascii="Arial"/>
                <w:spacing w:val="-1"/>
                <w:w w:val="95"/>
                <w:sz w:val="20"/>
              </w:rPr>
              <w:t>830,000</w:t>
            </w:r>
            <w:r>
              <w:rPr>
                <w:rFonts w:ascii="Arial"/>
                <w:sz w:val="20"/>
              </w:rPr>
            </w:r>
          </w:p>
        </w:tc>
      </w:tr>
      <w:tr>
        <w:trPr>
          <w:trHeight w:val="259" w:hRule="exact"/>
        </w:trPr>
        <w:tc>
          <w:tcPr>
            <w:tcW w:w="5350"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用友集团管理软件技术改造项目</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10"/>
              <w:jc w:val="right"/>
              <w:rPr>
                <w:rFonts w:ascii="Arial" w:hAnsi="Arial" w:cs="Arial" w:eastAsia="Arial" w:hint="default"/>
                <w:sz w:val="20"/>
                <w:szCs w:val="20"/>
              </w:rPr>
            </w:pPr>
            <w:r>
              <w:rPr>
                <w:rFonts w:ascii="Arial"/>
                <w:w w:val="99"/>
                <w:sz w:val="20"/>
              </w:rPr>
              <w:t>-</w:t>
            </w:r>
            <w:r>
              <w:rPr>
                <w:rFonts w:ascii="Arial"/>
                <w:sz w:val="20"/>
              </w:rPr>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9"/>
              <w:jc w:val="right"/>
              <w:rPr>
                <w:rFonts w:ascii="Arial" w:hAnsi="Arial" w:cs="Arial" w:eastAsia="Arial" w:hint="default"/>
                <w:sz w:val="20"/>
                <w:szCs w:val="20"/>
              </w:rPr>
            </w:pPr>
            <w:r>
              <w:rPr>
                <w:rFonts w:ascii="Arial"/>
                <w:spacing w:val="-1"/>
                <w:sz w:val="20"/>
              </w:rPr>
              <w:t>16,200,000</w:t>
            </w:r>
            <w:r>
              <w:rPr>
                <w:rFonts w:ascii="Arial"/>
                <w:sz w:val="20"/>
              </w:rPr>
            </w:r>
          </w:p>
        </w:tc>
      </w:tr>
      <w:tr>
        <w:trPr>
          <w:trHeight w:val="259" w:hRule="exact"/>
        </w:trPr>
        <w:tc>
          <w:tcPr>
            <w:tcW w:w="5350"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业务驱动的多企业资源协同管理系统成果转化和产业化</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10"/>
              <w:jc w:val="right"/>
              <w:rPr>
                <w:rFonts w:ascii="Arial" w:hAnsi="Arial" w:cs="Arial" w:eastAsia="Arial" w:hint="default"/>
                <w:sz w:val="20"/>
                <w:szCs w:val="20"/>
              </w:rPr>
            </w:pPr>
            <w:r>
              <w:rPr>
                <w:rFonts w:ascii="Arial"/>
                <w:w w:val="99"/>
                <w:sz w:val="20"/>
              </w:rPr>
              <w:t>-</w:t>
            </w:r>
            <w:r>
              <w:rPr>
                <w:rFonts w:ascii="Arial"/>
                <w:sz w:val="20"/>
              </w:rPr>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9"/>
              <w:jc w:val="right"/>
              <w:rPr>
                <w:rFonts w:ascii="Arial" w:hAnsi="Arial" w:cs="Arial" w:eastAsia="Arial" w:hint="default"/>
                <w:sz w:val="20"/>
                <w:szCs w:val="20"/>
              </w:rPr>
            </w:pPr>
            <w:r>
              <w:rPr>
                <w:rFonts w:ascii="Arial"/>
                <w:spacing w:val="-1"/>
                <w:sz w:val="20"/>
              </w:rPr>
              <w:t>3,000,000</w:t>
            </w:r>
          </w:p>
        </w:tc>
      </w:tr>
      <w:tr>
        <w:trPr>
          <w:trHeight w:val="259" w:hRule="exact"/>
        </w:trPr>
        <w:tc>
          <w:tcPr>
            <w:tcW w:w="5350"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二商集团经营分析与决策支持系统研究开发及应用</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10"/>
              <w:jc w:val="right"/>
              <w:rPr>
                <w:rFonts w:ascii="Arial" w:hAnsi="Arial" w:cs="Arial" w:eastAsia="Arial" w:hint="default"/>
                <w:sz w:val="20"/>
                <w:szCs w:val="20"/>
              </w:rPr>
            </w:pPr>
            <w:r>
              <w:rPr>
                <w:rFonts w:ascii="Arial"/>
                <w:w w:val="99"/>
                <w:sz w:val="20"/>
              </w:rPr>
              <w:t>-</w:t>
            </w:r>
            <w:r>
              <w:rPr>
                <w:rFonts w:ascii="Arial"/>
                <w:sz w:val="20"/>
              </w:rPr>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9"/>
              <w:jc w:val="right"/>
              <w:rPr>
                <w:rFonts w:ascii="Arial" w:hAnsi="Arial" w:cs="Arial" w:eastAsia="Arial" w:hint="default"/>
                <w:sz w:val="20"/>
                <w:szCs w:val="20"/>
              </w:rPr>
            </w:pPr>
            <w:r>
              <w:rPr>
                <w:rFonts w:ascii="Arial"/>
                <w:spacing w:val="-1"/>
                <w:sz w:val="20"/>
              </w:rPr>
              <w:t>2,500,000</w:t>
            </w:r>
          </w:p>
        </w:tc>
      </w:tr>
      <w:tr>
        <w:trPr>
          <w:trHeight w:val="260" w:hRule="exact"/>
        </w:trPr>
        <w:tc>
          <w:tcPr>
            <w:tcW w:w="5350"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用友二期工程资金补贴</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10"/>
              <w:jc w:val="right"/>
              <w:rPr>
                <w:rFonts w:ascii="Arial" w:hAnsi="Arial" w:cs="Arial" w:eastAsia="Arial" w:hint="default"/>
                <w:sz w:val="20"/>
                <w:szCs w:val="20"/>
              </w:rPr>
            </w:pPr>
            <w:r>
              <w:rPr>
                <w:rFonts w:ascii="Arial"/>
                <w:w w:val="99"/>
                <w:sz w:val="20"/>
              </w:rPr>
              <w:t>-</w:t>
            </w:r>
            <w:r>
              <w:rPr>
                <w:rFonts w:ascii="Arial"/>
                <w:sz w:val="20"/>
              </w:rPr>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9"/>
              <w:jc w:val="right"/>
              <w:rPr>
                <w:rFonts w:ascii="Arial" w:hAnsi="Arial" w:cs="Arial" w:eastAsia="Arial" w:hint="default"/>
                <w:sz w:val="20"/>
                <w:szCs w:val="20"/>
              </w:rPr>
            </w:pPr>
            <w:r>
              <w:rPr>
                <w:rFonts w:ascii="Arial"/>
                <w:spacing w:val="-1"/>
                <w:w w:val="95"/>
                <w:sz w:val="20"/>
              </w:rPr>
              <w:t>450,000</w:t>
            </w:r>
            <w:r>
              <w:rPr>
                <w:rFonts w:ascii="Arial"/>
                <w:sz w:val="20"/>
              </w:rPr>
            </w:r>
          </w:p>
        </w:tc>
      </w:tr>
      <w:tr>
        <w:trPr>
          <w:trHeight w:val="259" w:hRule="exact"/>
        </w:trPr>
        <w:tc>
          <w:tcPr>
            <w:tcW w:w="5350" w:type="dxa"/>
            <w:tcBorders>
              <w:top w:val="nil" w:sz="6" w:space="0" w:color="auto"/>
              <w:left w:val="nil" w:sz="6" w:space="0" w:color="auto"/>
              <w:bottom w:val="nil" w:sz="6" w:space="0" w:color="auto"/>
              <w:right w:val="nil" w:sz="6" w:space="0" w:color="auto"/>
            </w:tcBorders>
          </w:tcPr>
          <w:p>
            <w:pPr>
              <w:pStyle w:val="TableParagraph"/>
              <w:spacing w:line="224" w:lineRule="exact"/>
              <w:ind w:left="200" w:right="0"/>
              <w:jc w:val="left"/>
              <w:rPr>
                <w:rFonts w:ascii="黑体" w:hAnsi="黑体" w:cs="黑体" w:eastAsia="黑体" w:hint="default"/>
                <w:sz w:val="20"/>
                <w:szCs w:val="20"/>
              </w:rPr>
            </w:pPr>
            <w:r>
              <w:rPr>
                <w:rFonts w:ascii="黑体" w:hAnsi="黑体" w:cs="黑体" w:eastAsia="黑体" w:hint="default"/>
                <w:sz w:val="20"/>
                <w:szCs w:val="20"/>
              </w:rPr>
              <w:t>中小企业补贴</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0"/>
              <w:jc w:val="right"/>
              <w:rPr>
                <w:rFonts w:ascii="Arial" w:hAnsi="Arial" w:cs="Arial" w:eastAsia="Arial" w:hint="default"/>
                <w:sz w:val="20"/>
                <w:szCs w:val="20"/>
              </w:rPr>
            </w:pPr>
            <w:r>
              <w:rPr>
                <w:rFonts w:ascii="Arial"/>
                <w:w w:val="99"/>
                <w:sz w:val="20"/>
              </w:rPr>
              <w:t>-</w:t>
            </w:r>
            <w:r>
              <w:rPr>
                <w:rFonts w:ascii="Arial"/>
                <w:sz w:val="20"/>
              </w:rPr>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9"/>
              <w:jc w:val="right"/>
              <w:rPr>
                <w:rFonts w:ascii="Arial" w:hAnsi="Arial" w:cs="Arial" w:eastAsia="Arial" w:hint="default"/>
                <w:sz w:val="20"/>
                <w:szCs w:val="20"/>
              </w:rPr>
            </w:pPr>
            <w:r>
              <w:rPr>
                <w:rFonts w:ascii="Arial"/>
                <w:spacing w:val="-1"/>
                <w:w w:val="95"/>
                <w:sz w:val="20"/>
              </w:rPr>
              <w:t>660,000</w:t>
            </w:r>
            <w:r>
              <w:rPr>
                <w:rFonts w:ascii="Arial"/>
                <w:sz w:val="20"/>
              </w:rPr>
            </w:r>
          </w:p>
        </w:tc>
      </w:tr>
      <w:tr>
        <w:trPr>
          <w:trHeight w:val="260" w:hRule="exact"/>
        </w:trPr>
        <w:tc>
          <w:tcPr>
            <w:tcW w:w="5350" w:type="dxa"/>
            <w:tcBorders>
              <w:top w:val="nil" w:sz="6" w:space="0" w:color="auto"/>
              <w:left w:val="nil" w:sz="6" w:space="0" w:color="auto"/>
              <w:bottom w:val="nil" w:sz="6" w:space="0" w:color="auto"/>
              <w:right w:val="nil" w:sz="6" w:space="0" w:color="auto"/>
            </w:tcBorders>
          </w:tcPr>
          <w:p>
            <w:pPr>
              <w:pStyle w:val="TableParagraph"/>
              <w:spacing w:line="224" w:lineRule="exact"/>
              <w:ind w:left="200" w:right="0"/>
              <w:jc w:val="left"/>
              <w:rPr>
                <w:rFonts w:ascii="黑体" w:hAnsi="黑体" w:cs="黑体" w:eastAsia="黑体" w:hint="default"/>
                <w:sz w:val="20"/>
                <w:szCs w:val="20"/>
              </w:rPr>
            </w:pPr>
            <w:r>
              <w:rPr>
                <w:rFonts w:ascii="黑体" w:hAnsi="黑体" w:cs="黑体" w:eastAsia="黑体" w:hint="default"/>
                <w:sz w:val="20"/>
                <w:szCs w:val="20"/>
              </w:rPr>
              <w:t>“两化融合信息化示范平台”优秀奖励</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10"/>
              <w:jc w:val="right"/>
              <w:rPr>
                <w:rFonts w:ascii="Arial" w:hAnsi="Arial" w:cs="Arial" w:eastAsia="Arial" w:hint="default"/>
                <w:sz w:val="20"/>
                <w:szCs w:val="20"/>
              </w:rPr>
            </w:pPr>
            <w:r>
              <w:rPr>
                <w:rFonts w:ascii="Arial"/>
                <w:w w:val="99"/>
                <w:sz w:val="20"/>
              </w:rPr>
              <w:t>-</w:t>
            </w:r>
            <w:r>
              <w:rPr>
                <w:rFonts w:ascii="Arial"/>
                <w:sz w:val="20"/>
              </w:rPr>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9"/>
              <w:jc w:val="right"/>
              <w:rPr>
                <w:rFonts w:ascii="Arial" w:hAnsi="Arial" w:cs="Arial" w:eastAsia="Arial" w:hint="default"/>
                <w:sz w:val="20"/>
                <w:szCs w:val="20"/>
              </w:rPr>
            </w:pPr>
            <w:r>
              <w:rPr>
                <w:rFonts w:ascii="Arial"/>
                <w:spacing w:val="-1"/>
                <w:w w:val="95"/>
                <w:sz w:val="20"/>
              </w:rPr>
              <w:t>300,000</w:t>
            </w:r>
            <w:r>
              <w:rPr>
                <w:rFonts w:ascii="Arial"/>
                <w:sz w:val="20"/>
              </w:rPr>
            </w:r>
          </w:p>
        </w:tc>
      </w:tr>
      <w:tr>
        <w:trPr>
          <w:trHeight w:val="388" w:hRule="exact"/>
        </w:trPr>
        <w:tc>
          <w:tcPr>
            <w:tcW w:w="5350"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12"/>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w w:val="95"/>
                <w:sz w:val="20"/>
                <w:u w:val="single" w:color="000000"/>
              </w:rPr>
              <w:t>2,200,464</w:t>
            </w:r>
            <w:r>
              <w:rPr>
                <w:rFonts w:ascii="Arial"/>
                <w:spacing w:val="-1"/>
                <w:w w:val="95"/>
                <w:sz w:val="20"/>
              </w:rPr>
            </w:r>
            <w:r>
              <w:rPr>
                <w:rFonts w:ascii="Arial"/>
                <w:sz w:val="20"/>
              </w:rPr>
            </w:r>
          </w:p>
        </w:tc>
        <w:tc>
          <w:tcPr>
            <w:tcW w:w="1413"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7"/>
              <w:ind w:right="199"/>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302,369</w:t>
            </w:r>
            <w:r>
              <w:rPr>
                <w:rFonts w:ascii="Arial"/>
                <w:spacing w:val="-1"/>
                <w:w w:val="95"/>
                <w:sz w:val="20"/>
              </w:rPr>
            </w:r>
            <w:r>
              <w:rPr>
                <w:rFonts w:ascii="Arial"/>
                <w:sz w:val="20"/>
              </w:rPr>
            </w:r>
          </w:p>
        </w:tc>
      </w:tr>
      <w:tr>
        <w:trPr>
          <w:trHeight w:val="354" w:hRule="exact"/>
        </w:trPr>
        <w:tc>
          <w:tcPr>
            <w:tcW w:w="5350" w:type="dxa"/>
            <w:tcBorders>
              <w:top w:val="nil" w:sz="6" w:space="0" w:color="auto"/>
              <w:left w:val="nil" w:sz="6" w:space="0" w:color="auto"/>
              <w:bottom w:val="nil" w:sz="6" w:space="0" w:color="auto"/>
              <w:right w:val="nil" w:sz="6" w:space="0" w:color="auto"/>
            </w:tcBorders>
          </w:tcPr>
          <w:p>
            <w:pPr/>
          </w:p>
        </w:tc>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212"/>
              <w:jc w:val="right"/>
              <w:rPr>
                <w:rFonts w:ascii="Arial" w:hAnsi="Arial" w:cs="Arial" w:eastAsia="Arial" w:hint="default"/>
                <w:sz w:val="20"/>
                <w:szCs w:val="20"/>
              </w:rPr>
            </w:pPr>
            <w:r>
              <w:rPr>
                <w:rFonts w:ascii="Arial"/>
                <w:w w:val="99"/>
                <w:sz w:val="20"/>
              </w:rPr>
            </w:r>
            <w:r>
              <w:rPr>
                <w:rFonts w:ascii="Arial"/>
                <w:spacing w:val="-1"/>
                <w:sz w:val="20"/>
                <w:u w:val="thick" w:color="000000"/>
              </w:rPr>
              <w:t>19,349,814</w:t>
            </w:r>
            <w:r>
              <w:rPr>
                <w:rFonts w:ascii="Arial"/>
                <w:spacing w:val="-1"/>
                <w:sz w:val="20"/>
              </w:rPr>
            </w:r>
            <w:r>
              <w:rPr>
                <w:rFonts w:ascii="Arial"/>
                <w:sz w:val="20"/>
              </w:rPr>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99"/>
              <w:jc w:val="right"/>
              <w:rPr>
                <w:rFonts w:ascii="Arial" w:hAnsi="Arial" w:cs="Arial" w:eastAsia="Arial" w:hint="default"/>
                <w:sz w:val="20"/>
                <w:szCs w:val="20"/>
              </w:rPr>
            </w:pPr>
            <w:r>
              <w:rPr>
                <w:rFonts w:ascii="Arial"/>
                <w:w w:val="99"/>
                <w:sz w:val="20"/>
              </w:rPr>
            </w:r>
            <w:r>
              <w:rPr>
                <w:rFonts w:ascii="Arial"/>
                <w:spacing w:val="-1"/>
                <w:sz w:val="20"/>
                <w:u w:val="thick" w:color="000000"/>
              </w:rPr>
              <w:t>40,433,569</w:t>
            </w:r>
            <w:r>
              <w:rPr>
                <w:rFonts w:ascii="Arial"/>
                <w:spacing w:val="-1"/>
                <w:sz w:val="20"/>
              </w:rPr>
            </w:r>
            <w:r>
              <w:rPr>
                <w:rFonts w:ascii="Arial"/>
                <w:sz w:val="20"/>
              </w:rPr>
            </w:r>
          </w:p>
        </w:tc>
      </w:tr>
    </w:tbl>
    <w:p>
      <w:pPr>
        <w:spacing w:line="240" w:lineRule="auto" w:before="13"/>
        <w:rPr>
          <w:rFonts w:ascii="黑体" w:hAnsi="黑体" w:cs="黑体" w:eastAsia="黑体" w:hint="default"/>
          <w:sz w:val="13"/>
          <w:szCs w:val="13"/>
        </w:rPr>
      </w:pPr>
    </w:p>
    <w:p>
      <w:pPr>
        <w:pStyle w:val="Heading6"/>
        <w:tabs>
          <w:tab w:pos="831" w:val="left" w:leader="none"/>
        </w:tabs>
        <w:spacing w:line="240" w:lineRule="auto"/>
        <w:ind w:left="151" w:right="3627"/>
        <w:jc w:val="left"/>
        <w:rPr>
          <w:b w:val="0"/>
          <w:bCs w:val="0"/>
        </w:rPr>
      </w:pPr>
      <w:r>
        <w:rPr>
          <w:rFonts w:ascii="Arial" w:hAnsi="Arial" w:cs="Arial" w:eastAsia="Arial" w:hint="default"/>
          <w:spacing w:val="-1"/>
          <w:w w:val="95"/>
        </w:rPr>
        <w:t>36.</w:t>
        <w:tab/>
      </w:r>
      <w:r>
        <w:rPr>
          <w:spacing w:val="2"/>
        </w:rPr>
        <w:t>营业外支出</w:t>
      </w:r>
      <w:r>
        <w:rPr>
          <w:b w:val="0"/>
          <w:bCs w:val="0"/>
        </w:rPr>
      </w:r>
    </w:p>
    <w:p>
      <w:pPr>
        <w:spacing w:line="240" w:lineRule="auto" w:before="1"/>
        <w:rPr>
          <w:rFonts w:ascii="黑体" w:hAnsi="黑体" w:cs="黑体" w:eastAsia="黑体" w:hint="default"/>
          <w:b/>
          <w:bCs/>
          <w:sz w:val="21"/>
          <w:szCs w:val="21"/>
        </w:rPr>
      </w:pPr>
    </w:p>
    <w:tbl>
      <w:tblPr>
        <w:tblW w:w="0" w:type="auto"/>
        <w:jc w:val="left"/>
        <w:tblInd w:w="549" w:type="dxa"/>
        <w:tblLayout w:type="fixed"/>
        <w:tblCellMar>
          <w:top w:w="0" w:type="dxa"/>
          <w:left w:w="0" w:type="dxa"/>
          <w:bottom w:w="0" w:type="dxa"/>
          <w:right w:w="0" w:type="dxa"/>
        </w:tblCellMar>
        <w:tblLook w:val="01E0"/>
      </w:tblPr>
      <w:tblGrid>
        <w:gridCol w:w="3913"/>
        <w:gridCol w:w="3025"/>
        <w:gridCol w:w="1310"/>
      </w:tblGrid>
      <w:tr>
        <w:trPr>
          <w:trHeight w:val="361" w:hRule="exact"/>
        </w:trPr>
        <w:tc>
          <w:tcPr>
            <w:tcW w:w="3913" w:type="dxa"/>
            <w:tcBorders>
              <w:top w:val="nil" w:sz="6" w:space="0" w:color="auto"/>
              <w:left w:val="nil" w:sz="6" w:space="0" w:color="auto"/>
              <w:bottom w:val="nil" w:sz="6" w:space="0" w:color="auto"/>
              <w:right w:val="nil" w:sz="6" w:space="0" w:color="auto"/>
            </w:tcBorders>
          </w:tcPr>
          <w:p>
            <w:pPr/>
          </w:p>
        </w:tc>
        <w:tc>
          <w:tcPr>
            <w:tcW w:w="3025" w:type="dxa"/>
            <w:tcBorders>
              <w:top w:val="nil" w:sz="6" w:space="0" w:color="auto"/>
              <w:left w:val="nil" w:sz="6" w:space="0" w:color="auto"/>
              <w:bottom w:val="nil" w:sz="6" w:space="0" w:color="auto"/>
              <w:right w:val="nil" w:sz="6" w:space="0" w:color="auto"/>
            </w:tcBorders>
          </w:tcPr>
          <w:p>
            <w:pPr>
              <w:pStyle w:val="TableParagraph"/>
              <w:spacing w:line="214" w:lineRule="exact"/>
              <w:ind w:right="388"/>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1310" w:type="dxa"/>
            <w:tcBorders>
              <w:top w:val="nil" w:sz="6" w:space="0" w:color="auto"/>
              <w:left w:val="nil" w:sz="6" w:space="0" w:color="auto"/>
              <w:bottom w:val="nil" w:sz="6" w:space="0" w:color="auto"/>
              <w:right w:val="nil" w:sz="6" w:space="0" w:color="auto"/>
            </w:tcBorders>
          </w:tcPr>
          <w:p>
            <w:pPr>
              <w:pStyle w:val="TableParagraph"/>
              <w:spacing w:line="214" w:lineRule="exact"/>
              <w:ind w:right="198"/>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r>
      <w:tr>
        <w:trPr>
          <w:trHeight w:val="385" w:hRule="exact"/>
        </w:trPr>
        <w:tc>
          <w:tcPr>
            <w:tcW w:w="3913"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00" w:right="0"/>
              <w:jc w:val="left"/>
              <w:rPr>
                <w:rFonts w:ascii="黑体" w:hAnsi="黑体" w:cs="黑体" w:eastAsia="黑体" w:hint="default"/>
                <w:sz w:val="20"/>
                <w:szCs w:val="20"/>
              </w:rPr>
            </w:pPr>
            <w:r>
              <w:rPr>
                <w:rFonts w:ascii="黑体" w:hAnsi="黑体" w:cs="黑体" w:eastAsia="黑体" w:hint="default"/>
                <w:sz w:val="20"/>
                <w:szCs w:val="20"/>
              </w:rPr>
              <w:t>处置固定资产净损失</w:t>
            </w:r>
          </w:p>
        </w:tc>
        <w:tc>
          <w:tcPr>
            <w:tcW w:w="3025"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88"/>
              <w:jc w:val="right"/>
              <w:rPr>
                <w:rFonts w:ascii="Arial" w:hAnsi="Arial" w:cs="Arial" w:eastAsia="Arial" w:hint="default"/>
                <w:sz w:val="20"/>
                <w:szCs w:val="20"/>
              </w:rPr>
            </w:pPr>
            <w:r>
              <w:rPr>
                <w:rFonts w:ascii="Arial"/>
                <w:spacing w:val="-1"/>
                <w:w w:val="95"/>
                <w:sz w:val="20"/>
              </w:rPr>
              <w:t>231,275</w:t>
            </w:r>
            <w:r>
              <w:rPr>
                <w:rFonts w:ascii="Arial"/>
                <w:sz w:val="20"/>
              </w:rPr>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98"/>
              <w:jc w:val="right"/>
              <w:rPr>
                <w:rFonts w:ascii="Arial" w:hAnsi="Arial" w:cs="Arial" w:eastAsia="Arial" w:hint="default"/>
                <w:sz w:val="20"/>
                <w:szCs w:val="20"/>
              </w:rPr>
            </w:pPr>
            <w:r>
              <w:rPr>
                <w:rFonts w:ascii="Arial"/>
                <w:spacing w:val="-1"/>
                <w:w w:val="95"/>
                <w:sz w:val="20"/>
              </w:rPr>
              <w:t>499,016</w:t>
            </w:r>
            <w:r>
              <w:rPr>
                <w:rFonts w:ascii="Arial"/>
                <w:sz w:val="20"/>
              </w:rPr>
            </w:r>
          </w:p>
        </w:tc>
      </w:tr>
      <w:tr>
        <w:trPr>
          <w:trHeight w:val="259" w:hRule="exact"/>
        </w:trPr>
        <w:tc>
          <w:tcPr>
            <w:tcW w:w="3913"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罚款支出</w:t>
            </w:r>
          </w:p>
        </w:tc>
        <w:tc>
          <w:tcPr>
            <w:tcW w:w="302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88"/>
              <w:jc w:val="right"/>
              <w:rPr>
                <w:rFonts w:ascii="Arial" w:hAnsi="Arial" w:cs="Arial" w:eastAsia="Arial" w:hint="default"/>
                <w:sz w:val="20"/>
                <w:szCs w:val="20"/>
              </w:rPr>
            </w:pPr>
            <w:r>
              <w:rPr>
                <w:rFonts w:ascii="Arial"/>
                <w:spacing w:val="-1"/>
                <w:w w:val="95"/>
                <w:sz w:val="20"/>
              </w:rPr>
              <w:t>327,364</w:t>
            </w:r>
            <w:r>
              <w:rPr>
                <w:rFonts w:ascii="Arial"/>
                <w:sz w:val="20"/>
              </w:rPr>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spacing w:val="-1"/>
                <w:sz w:val="20"/>
              </w:rPr>
              <w:t>53,403</w:t>
            </w:r>
            <w:r>
              <w:rPr>
                <w:rFonts w:ascii="Arial"/>
                <w:sz w:val="20"/>
              </w:rPr>
            </w:r>
          </w:p>
        </w:tc>
      </w:tr>
      <w:tr>
        <w:trPr>
          <w:trHeight w:val="260" w:hRule="exact"/>
        </w:trPr>
        <w:tc>
          <w:tcPr>
            <w:tcW w:w="3913"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捐赠支出</w:t>
            </w:r>
          </w:p>
        </w:tc>
        <w:tc>
          <w:tcPr>
            <w:tcW w:w="30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88"/>
              <w:jc w:val="right"/>
              <w:rPr>
                <w:rFonts w:ascii="Arial" w:hAnsi="Arial" w:cs="Arial" w:eastAsia="Arial" w:hint="default"/>
                <w:sz w:val="20"/>
                <w:szCs w:val="20"/>
              </w:rPr>
            </w:pPr>
            <w:r>
              <w:rPr>
                <w:rFonts w:ascii="Arial"/>
                <w:spacing w:val="-1"/>
                <w:sz w:val="20"/>
              </w:rPr>
              <w:t>24,000</w:t>
            </w:r>
            <w:r>
              <w:rPr>
                <w:rFonts w:ascii="Arial"/>
                <w:sz w:val="20"/>
              </w:rPr>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8"/>
              <w:jc w:val="right"/>
              <w:rPr>
                <w:rFonts w:ascii="Arial" w:hAnsi="Arial" w:cs="Arial" w:eastAsia="Arial" w:hint="default"/>
                <w:sz w:val="20"/>
                <w:szCs w:val="20"/>
              </w:rPr>
            </w:pPr>
            <w:r>
              <w:rPr>
                <w:rFonts w:ascii="Arial"/>
                <w:spacing w:val="-1"/>
                <w:w w:val="95"/>
                <w:sz w:val="20"/>
              </w:rPr>
              <w:t>310,000</w:t>
            </w:r>
            <w:r>
              <w:rPr>
                <w:rFonts w:ascii="Arial"/>
                <w:sz w:val="20"/>
              </w:rPr>
            </w:r>
          </w:p>
        </w:tc>
      </w:tr>
      <w:tr>
        <w:trPr>
          <w:trHeight w:val="389" w:hRule="exact"/>
        </w:trPr>
        <w:tc>
          <w:tcPr>
            <w:tcW w:w="3913" w:type="dxa"/>
            <w:tcBorders>
              <w:top w:val="nil" w:sz="6" w:space="0" w:color="auto"/>
              <w:left w:val="nil" w:sz="6" w:space="0" w:color="auto"/>
              <w:bottom w:val="nil" w:sz="6" w:space="0" w:color="auto"/>
              <w:right w:val="nil" w:sz="6" w:space="0" w:color="auto"/>
            </w:tcBorders>
          </w:tcPr>
          <w:p>
            <w:pPr>
              <w:pStyle w:val="TableParagraph"/>
              <w:spacing w:line="224" w:lineRule="exact"/>
              <w:ind w:left="200" w:right="0"/>
              <w:jc w:val="left"/>
              <w:rPr>
                <w:rFonts w:ascii="黑体" w:hAnsi="黑体" w:cs="黑体" w:eastAsia="黑体" w:hint="default"/>
                <w:sz w:val="20"/>
                <w:szCs w:val="20"/>
              </w:rPr>
            </w:pPr>
            <w:r>
              <w:rPr>
                <w:rFonts w:ascii="黑体" w:hAnsi="黑体" w:cs="黑体" w:eastAsia="黑体" w:hint="default"/>
                <w:sz w:val="20"/>
                <w:szCs w:val="20"/>
              </w:rPr>
              <w:t>其他</w:t>
            </w:r>
          </w:p>
        </w:tc>
        <w:tc>
          <w:tcPr>
            <w:tcW w:w="30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38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15"/>
                <w:sz w:val="20"/>
                <w:u w:val="single" w:color="000000"/>
              </w:rPr>
              <w:t> </w:t>
            </w:r>
            <w:r>
              <w:rPr>
                <w:rFonts w:ascii="Arial"/>
                <w:spacing w:val="-1"/>
                <w:w w:val="95"/>
                <w:sz w:val="20"/>
                <w:u w:val="single" w:color="000000"/>
              </w:rPr>
              <w:t>605,545</w:t>
            </w:r>
            <w:r>
              <w:rPr>
                <w:rFonts w:ascii="Arial"/>
                <w:spacing w:val="-1"/>
                <w:w w:val="95"/>
                <w:sz w:val="20"/>
              </w:rPr>
            </w:r>
            <w:r>
              <w:rPr>
                <w:rFonts w:ascii="Arial"/>
                <w:sz w:val="20"/>
              </w:rPr>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9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sz w:val="20"/>
                <w:u w:val="single" w:color="000000"/>
              </w:rPr>
              <w:t>53,981</w:t>
            </w:r>
            <w:r>
              <w:rPr>
                <w:rFonts w:ascii="Arial"/>
                <w:spacing w:val="-1"/>
                <w:sz w:val="20"/>
              </w:rPr>
            </w:r>
          </w:p>
        </w:tc>
      </w:tr>
      <w:tr>
        <w:trPr>
          <w:trHeight w:val="354" w:hRule="exact"/>
        </w:trPr>
        <w:tc>
          <w:tcPr>
            <w:tcW w:w="3913" w:type="dxa"/>
            <w:tcBorders>
              <w:top w:val="nil" w:sz="6" w:space="0" w:color="auto"/>
              <w:left w:val="nil" w:sz="6" w:space="0" w:color="auto"/>
              <w:bottom w:val="nil" w:sz="6" w:space="0" w:color="auto"/>
              <w:right w:val="nil" w:sz="6" w:space="0" w:color="auto"/>
            </w:tcBorders>
          </w:tcPr>
          <w:p>
            <w:pPr/>
          </w:p>
        </w:tc>
        <w:tc>
          <w:tcPr>
            <w:tcW w:w="3025"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389"/>
              <w:jc w:val="right"/>
              <w:rPr>
                <w:rFonts w:ascii="Arial" w:hAnsi="Arial" w:cs="Arial" w:eastAsia="Arial" w:hint="default"/>
                <w:sz w:val="20"/>
                <w:szCs w:val="20"/>
              </w:rPr>
            </w:pPr>
            <w:r>
              <w:rPr>
                <w:rFonts w:ascii="Arial"/>
                <w:w w:val="99"/>
                <w:sz w:val="20"/>
              </w:rPr>
            </w:r>
            <w:r>
              <w:rPr>
                <w:rFonts w:ascii="Arial"/>
                <w:spacing w:val="-1"/>
                <w:sz w:val="20"/>
                <w:u w:val="thick" w:color="000000"/>
              </w:rPr>
              <w:t>1,188,184</w:t>
            </w:r>
            <w:r>
              <w:rPr>
                <w:rFonts w:ascii="Arial"/>
                <w:spacing w:val="-1"/>
                <w:sz w:val="20"/>
              </w:rPr>
            </w:r>
          </w:p>
        </w:tc>
        <w:tc>
          <w:tcPr>
            <w:tcW w:w="131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98"/>
              <w:jc w:val="right"/>
              <w:rPr>
                <w:rFonts w:ascii="Arial" w:hAnsi="Arial" w:cs="Arial" w:eastAsia="Arial" w:hint="default"/>
                <w:sz w:val="20"/>
                <w:szCs w:val="20"/>
              </w:rPr>
            </w:pPr>
            <w:r>
              <w:rPr>
                <w:rFonts w:ascii="Arial"/>
                <w:w w:val="99"/>
                <w:sz w:val="20"/>
              </w:rPr>
            </w:r>
            <w:r>
              <w:rPr>
                <w:rFonts w:ascii="Arial"/>
                <w:spacing w:val="-1"/>
                <w:w w:val="95"/>
                <w:sz w:val="20"/>
                <w:u w:val="thick" w:color="000000"/>
              </w:rPr>
              <w:t>916,400</w:t>
            </w:r>
            <w:r>
              <w:rPr>
                <w:rFonts w:ascii="Arial"/>
                <w:spacing w:val="-1"/>
                <w:w w:val="95"/>
                <w:sz w:val="20"/>
              </w:rPr>
            </w:r>
            <w:r>
              <w:rPr>
                <w:rFonts w:ascii="Arial"/>
                <w:sz w:val="20"/>
              </w:rPr>
            </w:r>
          </w:p>
        </w:tc>
      </w:tr>
    </w:tbl>
    <w:p>
      <w:pPr>
        <w:spacing w:after="0" w:line="240" w:lineRule="auto"/>
        <w:jc w:val="right"/>
        <w:rPr>
          <w:rFonts w:ascii="Arial" w:hAnsi="Arial" w:cs="Arial" w:eastAsia="Arial" w:hint="default"/>
          <w:sz w:val="20"/>
          <w:szCs w:val="20"/>
        </w:rPr>
        <w:sectPr>
          <w:pgSz w:w="11910" w:h="16850"/>
          <w:pgMar w:header="957" w:footer="473" w:top="2600" w:bottom="660" w:left="1660" w:right="1340"/>
        </w:sectPr>
      </w:pPr>
    </w:p>
    <w:p>
      <w:pPr>
        <w:spacing w:line="240" w:lineRule="auto" w:before="8"/>
        <w:rPr>
          <w:rFonts w:ascii="黑体" w:hAnsi="黑体" w:cs="黑体" w:eastAsia="黑体" w:hint="default"/>
          <w:b/>
          <w:bCs/>
          <w:sz w:val="25"/>
          <w:szCs w:val="25"/>
        </w:rPr>
      </w:pPr>
    </w:p>
    <w:p>
      <w:pPr>
        <w:pStyle w:val="Heading6"/>
        <w:spacing w:line="240" w:lineRule="auto"/>
        <w:ind w:left="142" w:right="1150"/>
        <w:jc w:val="left"/>
        <w:rPr>
          <w:b w:val="0"/>
          <w:bCs w:val="0"/>
        </w:rPr>
      </w:pPr>
      <w:r>
        <w:rPr/>
        <w:t>十三、公司财务报表主要项目注释（续）</w:t>
      </w:r>
      <w:r>
        <w:rPr>
          <w:b w:val="0"/>
          <w:bCs w:val="0"/>
        </w:rPr>
      </w:r>
    </w:p>
    <w:p>
      <w:pPr>
        <w:spacing w:line="240" w:lineRule="auto" w:before="3"/>
        <w:rPr>
          <w:rFonts w:ascii="黑体" w:hAnsi="黑体" w:cs="黑体" w:eastAsia="黑体" w:hint="default"/>
          <w:b/>
          <w:bCs/>
          <w:sz w:val="17"/>
          <w:szCs w:val="17"/>
        </w:rPr>
      </w:pPr>
    </w:p>
    <w:p>
      <w:pPr>
        <w:pStyle w:val="Heading6"/>
        <w:tabs>
          <w:tab w:pos="730" w:val="left" w:leader="none"/>
        </w:tabs>
        <w:spacing w:line="240" w:lineRule="auto" w:before="0"/>
        <w:ind w:left="151" w:right="1150"/>
        <w:jc w:val="left"/>
        <w:rPr>
          <w:b w:val="0"/>
          <w:bCs w:val="0"/>
        </w:rPr>
      </w:pPr>
      <w:r>
        <w:rPr>
          <w:rFonts w:ascii="Arial" w:hAnsi="Arial" w:cs="Arial" w:eastAsia="Arial" w:hint="default"/>
          <w:spacing w:val="-1"/>
          <w:w w:val="95"/>
        </w:rPr>
        <w:t>37.</w:t>
        <w:tab/>
      </w:r>
      <w:r>
        <w:rPr>
          <w:spacing w:val="2"/>
        </w:rPr>
        <w:t>所得税费用</w:t>
      </w:r>
      <w:r>
        <w:rPr>
          <w:b w:val="0"/>
          <w:bCs w:val="0"/>
        </w:rPr>
      </w:r>
    </w:p>
    <w:p>
      <w:pPr>
        <w:spacing w:line="240" w:lineRule="auto" w:before="1"/>
        <w:rPr>
          <w:rFonts w:ascii="黑体" w:hAnsi="黑体" w:cs="黑体" w:eastAsia="黑体" w:hint="default"/>
          <w:b/>
          <w:bCs/>
          <w:sz w:val="21"/>
          <w:szCs w:val="21"/>
        </w:rPr>
      </w:pPr>
    </w:p>
    <w:tbl>
      <w:tblPr>
        <w:tblW w:w="0" w:type="auto"/>
        <w:jc w:val="left"/>
        <w:tblInd w:w="544" w:type="dxa"/>
        <w:tblLayout w:type="fixed"/>
        <w:tblCellMar>
          <w:top w:w="0" w:type="dxa"/>
          <w:left w:w="0" w:type="dxa"/>
          <w:bottom w:w="0" w:type="dxa"/>
          <w:right w:w="0" w:type="dxa"/>
        </w:tblCellMar>
        <w:tblLook w:val="01E0"/>
      </w:tblPr>
      <w:tblGrid>
        <w:gridCol w:w="3492"/>
        <w:gridCol w:w="3199"/>
        <w:gridCol w:w="1375"/>
        <w:gridCol w:w="270"/>
      </w:tblGrid>
      <w:tr>
        <w:trPr>
          <w:trHeight w:val="362" w:hRule="exact"/>
        </w:trPr>
        <w:tc>
          <w:tcPr>
            <w:tcW w:w="3492" w:type="dxa"/>
            <w:tcBorders>
              <w:top w:val="nil" w:sz="6" w:space="0" w:color="auto"/>
              <w:left w:val="nil" w:sz="6" w:space="0" w:color="auto"/>
              <w:bottom w:val="nil" w:sz="6" w:space="0" w:color="auto"/>
              <w:right w:val="nil" w:sz="6" w:space="0" w:color="auto"/>
            </w:tcBorders>
          </w:tcPr>
          <w:p>
            <w:pPr/>
          </w:p>
        </w:tc>
        <w:tc>
          <w:tcPr>
            <w:tcW w:w="3199" w:type="dxa"/>
            <w:tcBorders>
              <w:top w:val="nil" w:sz="6" w:space="0" w:color="auto"/>
              <w:left w:val="nil" w:sz="6" w:space="0" w:color="auto"/>
              <w:bottom w:val="nil" w:sz="6" w:space="0" w:color="auto"/>
              <w:right w:val="nil" w:sz="6" w:space="0" w:color="auto"/>
            </w:tcBorders>
          </w:tcPr>
          <w:p>
            <w:pPr>
              <w:pStyle w:val="TableParagraph"/>
              <w:spacing w:line="214" w:lineRule="exact"/>
              <w:ind w:right="306"/>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1375" w:type="dxa"/>
            <w:tcBorders>
              <w:top w:val="nil" w:sz="6" w:space="0" w:color="auto"/>
              <w:left w:val="nil" w:sz="6" w:space="0" w:color="auto"/>
              <w:bottom w:val="nil" w:sz="6" w:space="0" w:color="auto"/>
              <w:right w:val="nil" w:sz="6" w:space="0" w:color="auto"/>
            </w:tcBorders>
          </w:tcPr>
          <w:p>
            <w:pPr>
              <w:pStyle w:val="TableParagraph"/>
              <w:spacing w:line="214" w:lineRule="exact"/>
              <w:ind w:right="1"/>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c>
          <w:tcPr>
            <w:tcW w:w="270" w:type="dxa"/>
            <w:tcBorders>
              <w:top w:val="nil" w:sz="6" w:space="0" w:color="auto"/>
              <w:left w:val="nil" w:sz="6" w:space="0" w:color="auto"/>
              <w:bottom w:val="nil" w:sz="6" w:space="0" w:color="auto"/>
              <w:right w:val="nil" w:sz="6" w:space="0" w:color="auto"/>
            </w:tcBorders>
          </w:tcPr>
          <w:p>
            <w:pPr/>
          </w:p>
        </w:tc>
      </w:tr>
      <w:tr>
        <w:trPr>
          <w:trHeight w:val="386"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00" w:right="0"/>
              <w:jc w:val="left"/>
              <w:rPr>
                <w:rFonts w:ascii="黑体" w:hAnsi="黑体" w:cs="黑体" w:eastAsia="黑体" w:hint="default"/>
                <w:sz w:val="20"/>
                <w:szCs w:val="20"/>
              </w:rPr>
            </w:pPr>
            <w:r>
              <w:rPr>
                <w:rFonts w:ascii="黑体" w:hAnsi="黑体" w:cs="黑体" w:eastAsia="黑体" w:hint="default"/>
                <w:sz w:val="20"/>
                <w:szCs w:val="20"/>
              </w:rPr>
              <w:t>当期所得税费用</w:t>
            </w:r>
          </w:p>
        </w:tc>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04"/>
              <w:jc w:val="right"/>
              <w:rPr>
                <w:rFonts w:ascii="Arial" w:hAnsi="Arial" w:cs="Arial" w:eastAsia="Arial" w:hint="default"/>
                <w:sz w:val="20"/>
                <w:szCs w:val="20"/>
              </w:rPr>
            </w:pPr>
            <w:r>
              <w:rPr>
                <w:rFonts w:ascii="Arial"/>
                <w:spacing w:val="-1"/>
                <w:sz w:val="20"/>
              </w:rPr>
              <w:t>29,023,157</w:t>
            </w:r>
            <w:r>
              <w:rPr>
                <w:rFonts w:ascii="Arial"/>
                <w:sz w:val="20"/>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
              <w:jc w:val="right"/>
              <w:rPr>
                <w:rFonts w:ascii="Arial" w:hAnsi="Arial" w:cs="Arial" w:eastAsia="Arial" w:hint="default"/>
                <w:sz w:val="20"/>
                <w:szCs w:val="20"/>
              </w:rPr>
            </w:pPr>
            <w:r>
              <w:rPr>
                <w:rFonts w:ascii="Arial"/>
                <w:spacing w:val="-1"/>
                <w:sz w:val="20"/>
              </w:rPr>
              <w:t>57,108,762</w:t>
            </w:r>
            <w:r>
              <w:rPr>
                <w:rFonts w:ascii="Arial"/>
                <w:sz w:val="20"/>
              </w:rPr>
            </w:r>
          </w:p>
        </w:tc>
        <w:tc>
          <w:tcPr>
            <w:tcW w:w="270" w:type="dxa"/>
            <w:tcBorders>
              <w:top w:val="nil" w:sz="6" w:space="0" w:color="auto"/>
              <w:left w:val="nil" w:sz="6" w:space="0" w:color="auto"/>
              <w:bottom w:val="nil" w:sz="6" w:space="0" w:color="auto"/>
              <w:right w:val="nil" w:sz="6" w:space="0" w:color="auto"/>
            </w:tcBorders>
          </w:tcPr>
          <w:p>
            <w:pPr/>
          </w:p>
        </w:tc>
      </w:tr>
      <w:tr>
        <w:trPr>
          <w:trHeight w:val="389" w:hRule="exact"/>
        </w:trPr>
        <w:tc>
          <w:tcPr>
            <w:tcW w:w="3492"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递延所得税费用</w:t>
            </w:r>
          </w:p>
        </w:tc>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06"/>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9"/>
                <w:sz w:val="20"/>
                <w:u w:val="single" w:color="000000"/>
              </w:rPr>
              <w:t> </w:t>
            </w:r>
            <w:r>
              <w:rPr>
                <w:rFonts w:ascii="Arial"/>
                <w:spacing w:val="-1"/>
                <w:sz w:val="20"/>
                <w:u w:val="single" w:color="000000"/>
              </w:rPr>
              <w:t>5,197,924</w:t>
            </w:r>
            <w:r>
              <w:rPr>
                <w:rFonts w:ascii="Arial"/>
                <w:spacing w:val="-1"/>
                <w:sz w:val="20"/>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
              <w:jc w:val="right"/>
              <w:rPr>
                <w:rFonts w:ascii="Arial" w:hAnsi="Arial" w:cs="Arial" w:eastAsia="Arial" w:hint="default"/>
                <w:sz w:val="20"/>
                <w:szCs w:val="20"/>
              </w:rPr>
            </w:pPr>
            <w:r>
              <w:rPr>
                <w:rFonts w:ascii="Arial"/>
                <w:spacing w:val="-1"/>
                <w:sz w:val="20"/>
              </w:rPr>
              <w:t>(</w:t>
            </w:r>
            <w:r>
              <w:rPr>
                <w:rFonts w:ascii="Arial"/>
                <w:spacing w:val="-1"/>
                <w:sz w:val="20"/>
                <w:u w:val="single" w:color="000000"/>
              </w:rPr>
              <w:t>11,123,687</w:t>
            </w:r>
            <w:r>
              <w:rPr>
                <w:rFonts w:ascii="Arial"/>
                <w:spacing w:val="-1"/>
                <w:sz w:val="20"/>
              </w:rPr>
            </w:r>
            <w:r>
              <w:rPr>
                <w:rFonts w:ascii="Arial"/>
                <w:sz w:val="20"/>
              </w:rPr>
            </w:r>
          </w:p>
        </w:tc>
        <w:tc>
          <w:tcPr>
            <w:tcW w:w="270" w:type="dxa"/>
            <w:tcBorders>
              <w:top w:val="nil" w:sz="6" w:space="0" w:color="auto"/>
              <w:left w:val="nil" w:sz="6" w:space="0" w:color="auto"/>
              <w:bottom w:val="nil" w:sz="6" w:space="0" w:color="auto"/>
              <w:right w:val="nil" w:sz="6" w:space="0" w:color="auto"/>
            </w:tcBorders>
          </w:tcPr>
          <w:p>
            <w:pPr>
              <w:pStyle w:val="TableParagraph"/>
              <w:spacing w:line="240" w:lineRule="auto" w:before="7"/>
              <w:ind w:left="3" w:right="0"/>
              <w:jc w:val="left"/>
              <w:rPr>
                <w:rFonts w:ascii="Arial" w:hAnsi="Arial" w:cs="Arial" w:eastAsia="Arial" w:hint="default"/>
                <w:sz w:val="20"/>
                <w:szCs w:val="20"/>
              </w:rPr>
            </w:pPr>
            <w:r>
              <w:rPr>
                <w:rFonts w:ascii="Arial"/>
                <w:w w:val="99"/>
                <w:sz w:val="20"/>
              </w:rPr>
              <w:t>)</w:t>
            </w:r>
            <w:r>
              <w:rPr>
                <w:rFonts w:ascii="Arial"/>
                <w:sz w:val="20"/>
              </w:rPr>
            </w:r>
          </w:p>
        </w:tc>
      </w:tr>
      <w:tr>
        <w:trPr>
          <w:trHeight w:val="355" w:hRule="exact"/>
        </w:trPr>
        <w:tc>
          <w:tcPr>
            <w:tcW w:w="3492" w:type="dxa"/>
            <w:tcBorders>
              <w:top w:val="nil" w:sz="6" w:space="0" w:color="auto"/>
              <w:left w:val="nil" w:sz="6" w:space="0" w:color="auto"/>
              <w:bottom w:val="nil" w:sz="6" w:space="0" w:color="auto"/>
              <w:right w:val="nil" w:sz="6" w:space="0" w:color="auto"/>
            </w:tcBorders>
          </w:tcPr>
          <w:p>
            <w:pPr/>
          </w:p>
        </w:tc>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06"/>
              <w:jc w:val="right"/>
              <w:rPr>
                <w:rFonts w:ascii="Arial" w:hAnsi="Arial" w:cs="Arial" w:eastAsia="Arial" w:hint="default"/>
                <w:sz w:val="20"/>
                <w:szCs w:val="20"/>
              </w:rPr>
            </w:pPr>
            <w:r>
              <w:rPr>
                <w:rFonts w:ascii="Arial"/>
                <w:w w:val="99"/>
                <w:sz w:val="20"/>
              </w:rPr>
            </w:r>
            <w:r>
              <w:rPr>
                <w:rFonts w:ascii="Arial"/>
                <w:spacing w:val="-1"/>
                <w:sz w:val="20"/>
                <w:u w:val="thick" w:color="000000"/>
              </w:rPr>
              <w:t>34,221,081</w:t>
            </w:r>
            <w:r>
              <w:rPr>
                <w:rFonts w:ascii="Arial"/>
                <w:spacing w:val="-1"/>
                <w:sz w:val="20"/>
              </w:rPr>
            </w:r>
            <w:r>
              <w:rPr>
                <w:rFonts w:ascii="Arial"/>
                <w:sz w:val="20"/>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
              <w:jc w:val="right"/>
              <w:rPr>
                <w:rFonts w:ascii="Arial" w:hAnsi="Arial" w:cs="Arial" w:eastAsia="Arial" w:hint="default"/>
                <w:sz w:val="20"/>
                <w:szCs w:val="20"/>
              </w:rPr>
            </w:pPr>
            <w:r>
              <w:rPr>
                <w:rFonts w:ascii="Arial"/>
                <w:w w:val="99"/>
                <w:sz w:val="20"/>
              </w:rPr>
            </w:r>
            <w:r>
              <w:rPr>
                <w:rFonts w:ascii="Arial"/>
                <w:spacing w:val="-1"/>
                <w:sz w:val="20"/>
                <w:u w:val="thick" w:color="000000"/>
              </w:rPr>
              <w:t>45,985,075</w:t>
            </w:r>
            <w:r>
              <w:rPr>
                <w:rFonts w:ascii="Arial"/>
                <w:spacing w:val="-1"/>
                <w:sz w:val="20"/>
              </w:rPr>
            </w:r>
            <w:r>
              <w:rPr>
                <w:rFonts w:ascii="Arial"/>
                <w:sz w:val="20"/>
              </w:rPr>
            </w:r>
          </w:p>
        </w:tc>
        <w:tc>
          <w:tcPr>
            <w:tcW w:w="270" w:type="dxa"/>
            <w:tcBorders>
              <w:top w:val="nil" w:sz="6" w:space="0" w:color="auto"/>
              <w:left w:val="nil" w:sz="6" w:space="0" w:color="auto"/>
              <w:bottom w:val="nil" w:sz="6" w:space="0" w:color="auto"/>
              <w:right w:val="nil" w:sz="6" w:space="0" w:color="auto"/>
            </w:tcBorders>
          </w:tcPr>
          <w:p>
            <w:pPr/>
          </w:p>
        </w:tc>
      </w:tr>
    </w:tbl>
    <w:p>
      <w:pPr>
        <w:spacing w:line="240" w:lineRule="auto" w:before="11"/>
        <w:rPr>
          <w:rFonts w:ascii="黑体" w:hAnsi="黑体" w:cs="黑体" w:eastAsia="黑体" w:hint="default"/>
          <w:b/>
          <w:bCs/>
          <w:sz w:val="13"/>
          <w:szCs w:val="13"/>
        </w:rPr>
      </w:pPr>
    </w:p>
    <w:tbl>
      <w:tblPr>
        <w:tblW w:w="0" w:type="auto"/>
        <w:jc w:val="left"/>
        <w:tblInd w:w="145" w:type="dxa"/>
        <w:tblLayout w:type="fixed"/>
        <w:tblCellMar>
          <w:top w:w="0" w:type="dxa"/>
          <w:left w:w="0" w:type="dxa"/>
          <w:bottom w:w="0" w:type="dxa"/>
          <w:right w:w="0" w:type="dxa"/>
        </w:tblCellMar>
        <w:tblLook w:val="01E0"/>
      </w:tblPr>
      <w:tblGrid>
        <w:gridCol w:w="455"/>
        <w:gridCol w:w="4476"/>
        <w:gridCol w:w="2160"/>
        <w:gridCol w:w="1467"/>
      </w:tblGrid>
      <w:tr>
        <w:trPr>
          <w:trHeight w:val="951" w:hRule="exact"/>
        </w:trPr>
        <w:tc>
          <w:tcPr>
            <w:tcW w:w="455" w:type="dxa"/>
            <w:vMerge w:val="restart"/>
            <w:tcBorders>
              <w:top w:val="nil" w:sz="6" w:space="0" w:color="auto"/>
              <w:left w:val="nil" w:sz="6" w:space="0" w:color="auto"/>
              <w:right w:val="nil" w:sz="6" w:space="0" w:color="auto"/>
            </w:tcBorders>
          </w:tcPr>
          <w:p>
            <w:pPr/>
          </w:p>
        </w:tc>
        <w:tc>
          <w:tcPr>
            <w:tcW w:w="4476"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53" w:right="0"/>
              <w:jc w:val="left"/>
              <w:rPr>
                <w:rFonts w:ascii="黑体" w:hAnsi="黑体" w:cs="黑体" w:eastAsia="黑体" w:hint="default"/>
                <w:sz w:val="20"/>
                <w:szCs w:val="20"/>
              </w:rPr>
            </w:pPr>
            <w:r>
              <w:rPr>
                <w:rFonts w:ascii="黑体" w:hAnsi="黑体" w:cs="黑体" w:eastAsia="黑体" w:hint="default"/>
                <w:sz w:val="20"/>
                <w:szCs w:val="20"/>
              </w:rPr>
              <w:t>所得税费用与利润总额的关系列示如下：</w:t>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4"/>
              <w:ind w:right="0"/>
              <w:jc w:val="left"/>
              <w:rPr>
                <w:rFonts w:ascii="黑体" w:hAnsi="黑体" w:cs="黑体" w:eastAsia="黑体" w:hint="default"/>
                <w:b/>
                <w:bCs/>
                <w:sz w:val="20"/>
                <w:szCs w:val="20"/>
              </w:rPr>
            </w:pPr>
          </w:p>
          <w:p>
            <w:pPr>
              <w:pStyle w:val="TableParagraph"/>
              <w:spacing w:line="240" w:lineRule="auto"/>
              <w:ind w:right="323"/>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黑体" w:hAnsi="黑体" w:cs="黑体" w:eastAsia="黑体" w:hint="default"/>
                <w:b/>
                <w:bCs/>
                <w:sz w:val="20"/>
                <w:szCs w:val="20"/>
              </w:rPr>
            </w:pPr>
          </w:p>
          <w:p>
            <w:pPr>
              <w:pStyle w:val="TableParagraph"/>
              <w:spacing w:line="240" w:lineRule="auto" w:before="4"/>
              <w:ind w:right="0"/>
              <w:jc w:val="left"/>
              <w:rPr>
                <w:rFonts w:ascii="黑体" w:hAnsi="黑体" w:cs="黑体" w:eastAsia="黑体" w:hint="default"/>
                <w:b/>
                <w:bCs/>
                <w:sz w:val="20"/>
                <w:szCs w:val="20"/>
              </w:rPr>
            </w:pPr>
          </w:p>
          <w:p>
            <w:pPr>
              <w:pStyle w:val="TableParagraph"/>
              <w:spacing w:line="240" w:lineRule="auto"/>
              <w:ind w:right="94"/>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r>
      <w:tr>
        <w:trPr>
          <w:trHeight w:val="515" w:hRule="exact"/>
        </w:trPr>
        <w:tc>
          <w:tcPr>
            <w:tcW w:w="455" w:type="dxa"/>
            <w:vMerge/>
            <w:tcBorders>
              <w:left w:val="nil" w:sz="6" w:space="0" w:color="auto"/>
              <w:right w:val="nil" w:sz="6" w:space="0" w:color="auto"/>
            </w:tcBorders>
          </w:tcPr>
          <w:p>
            <w:pPr/>
          </w:p>
        </w:tc>
        <w:tc>
          <w:tcPr>
            <w:tcW w:w="4476"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44" w:right="0"/>
              <w:jc w:val="left"/>
              <w:rPr>
                <w:rFonts w:ascii="黑体" w:hAnsi="黑体" w:cs="黑体" w:eastAsia="黑体" w:hint="default"/>
                <w:sz w:val="20"/>
                <w:szCs w:val="20"/>
              </w:rPr>
            </w:pPr>
            <w:r>
              <w:rPr>
                <w:rFonts w:ascii="黑体" w:hAnsi="黑体" w:cs="黑体" w:eastAsia="黑体" w:hint="default"/>
                <w:sz w:val="20"/>
                <w:szCs w:val="20"/>
              </w:rPr>
              <w:t>利润总额</w:t>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24"/>
              <w:jc w:val="right"/>
              <w:rPr>
                <w:rFonts w:ascii="Arial" w:hAnsi="Arial" w:cs="Arial" w:eastAsia="Arial" w:hint="default"/>
                <w:sz w:val="20"/>
                <w:szCs w:val="20"/>
              </w:rPr>
            </w:pPr>
            <w:r>
              <w:rPr>
                <w:rFonts w:ascii="Arial"/>
                <w:spacing w:val="-1"/>
                <w:sz w:val="20"/>
              </w:rPr>
              <w:t>460,792,882</w:t>
            </w:r>
            <w:r>
              <w:rPr>
                <w:rFonts w:ascii="Arial"/>
                <w:sz w:val="20"/>
              </w:rPr>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262" w:right="0"/>
              <w:jc w:val="left"/>
              <w:rPr>
                <w:rFonts w:ascii="Arial" w:hAnsi="Arial" w:cs="Arial" w:eastAsia="Arial" w:hint="default"/>
                <w:sz w:val="20"/>
                <w:szCs w:val="20"/>
              </w:rPr>
            </w:pPr>
            <w:r>
              <w:rPr>
                <w:rFonts w:ascii="Arial"/>
                <w:sz w:val="20"/>
              </w:rPr>
              <w:t>532,690,980</w:t>
            </w:r>
          </w:p>
        </w:tc>
      </w:tr>
      <w:tr>
        <w:trPr>
          <w:trHeight w:val="388" w:hRule="exact"/>
        </w:trPr>
        <w:tc>
          <w:tcPr>
            <w:tcW w:w="455" w:type="dxa"/>
            <w:vMerge/>
            <w:tcBorders>
              <w:left w:val="nil" w:sz="6" w:space="0" w:color="auto"/>
              <w:right w:val="nil" w:sz="6" w:space="0" w:color="auto"/>
            </w:tcBorders>
          </w:tcPr>
          <w:p>
            <w:pPr/>
          </w:p>
        </w:tc>
        <w:tc>
          <w:tcPr>
            <w:tcW w:w="447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44" w:right="0"/>
              <w:jc w:val="left"/>
              <w:rPr>
                <w:rFonts w:ascii="Arial" w:hAnsi="Arial" w:cs="Arial" w:eastAsia="Arial" w:hint="default"/>
                <w:sz w:val="20"/>
                <w:szCs w:val="20"/>
              </w:rPr>
            </w:pPr>
            <w:r>
              <w:rPr>
                <w:rFonts w:ascii="黑体" w:hAnsi="黑体" w:cs="黑体" w:eastAsia="黑体" w:hint="default"/>
                <w:sz w:val="20"/>
                <w:szCs w:val="20"/>
              </w:rPr>
              <w:t>按适用的税率计算的税项</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1)</w:t>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24"/>
              <w:jc w:val="right"/>
              <w:rPr>
                <w:rFonts w:ascii="Arial" w:hAnsi="Arial" w:cs="Arial" w:eastAsia="Arial" w:hint="default"/>
                <w:sz w:val="20"/>
                <w:szCs w:val="20"/>
              </w:rPr>
            </w:pPr>
            <w:r>
              <w:rPr>
                <w:rFonts w:ascii="Arial"/>
                <w:spacing w:val="-1"/>
                <w:sz w:val="20"/>
              </w:rPr>
              <w:t>46,079,288</w:t>
            </w:r>
            <w:r>
              <w:rPr>
                <w:rFonts w:ascii="Arial"/>
                <w:sz w:val="20"/>
              </w:rPr>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372" w:right="0"/>
              <w:jc w:val="left"/>
              <w:rPr>
                <w:rFonts w:ascii="Arial" w:hAnsi="Arial" w:cs="Arial" w:eastAsia="Arial" w:hint="default"/>
                <w:sz w:val="20"/>
                <w:szCs w:val="20"/>
              </w:rPr>
            </w:pPr>
            <w:r>
              <w:rPr>
                <w:rFonts w:ascii="Arial"/>
                <w:sz w:val="20"/>
              </w:rPr>
              <w:t>53,269,098</w:t>
            </w:r>
          </w:p>
        </w:tc>
      </w:tr>
      <w:tr>
        <w:trPr>
          <w:trHeight w:val="258" w:hRule="exact"/>
        </w:trPr>
        <w:tc>
          <w:tcPr>
            <w:tcW w:w="455" w:type="dxa"/>
            <w:vMerge/>
            <w:tcBorders>
              <w:left w:val="nil" w:sz="6" w:space="0" w:color="auto"/>
              <w:right w:val="nil" w:sz="6" w:space="0" w:color="auto"/>
            </w:tcBorders>
          </w:tcPr>
          <w:p>
            <w:pPr/>
          </w:p>
        </w:tc>
        <w:tc>
          <w:tcPr>
            <w:tcW w:w="4476" w:type="dxa"/>
            <w:tcBorders>
              <w:top w:val="nil" w:sz="6" w:space="0" w:color="auto"/>
              <w:left w:val="nil" w:sz="6" w:space="0" w:color="auto"/>
              <w:bottom w:val="nil" w:sz="6" w:space="0" w:color="auto"/>
              <w:right w:val="nil" w:sz="6" w:space="0" w:color="auto"/>
            </w:tcBorders>
          </w:tcPr>
          <w:p>
            <w:pPr>
              <w:pStyle w:val="TableParagraph"/>
              <w:spacing w:line="224" w:lineRule="exact"/>
              <w:ind w:left="144" w:right="0"/>
              <w:jc w:val="left"/>
              <w:rPr>
                <w:rFonts w:ascii="黑体" w:hAnsi="黑体" w:cs="黑体" w:eastAsia="黑体" w:hint="default"/>
                <w:sz w:val="20"/>
                <w:szCs w:val="20"/>
              </w:rPr>
            </w:pPr>
            <w:r>
              <w:rPr>
                <w:rFonts w:ascii="黑体" w:hAnsi="黑体" w:cs="黑体" w:eastAsia="黑体" w:hint="default"/>
                <w:sz w:val="20"/>
                <w:szCs w:val="20"/>
              </w:rPr>
              <w:t>归属于联营企业的损益的影响</w:t>
            </w:r>
          </w:p>
        </w:tc>
        <w:tc>
          <w:tcPr>
            <w:tcW w:w="2160" w:type="dxa"/>
            <w:tcBorders>
              <w:top w:val="nil" w:sz="6" w:space="0" w:color="auto"/>
              <w:left w:val="nil" w:sz="6" w:space="0" w:color="auto"/>
              <w:bottom w:val="nil" w:sz="6" w:space="0" w:color="auto"/>
              <w:right w:val="nil" w:sz="6" w:space="0" w:color="auto"/>
            </w:tcBorders>
          </w:tcPr>
          <w:p>
            <w:pPr>
              <w:pStyle w:val="TableParagraph"/>
              <w:tabs>
                <w:tab w:pos="347" w:val="left" w:leader="none"/>
              </w:tabs>
              <w:spacing w:line="240" w:lineRule="auto" w:before="6"/>
              <w:ind w:right="260"/>
              <w:jc w:val="right"/>
              <w:rPr>
                <w:rFonts w:ascii="Arial" w:hAnsi="Arial" w:cs="Arial" w:eastAsia="Arial" w:hint="default"/>
                <w:sz w:val="20"/>
                <w:szCs w:val="20"/>
              </w:rPr>
            </w:pPr>
            <w:r>
              <w:rPr>
                <w:rFonts w:ascii="Arial"/>
                <w:w w:val="95"/>
                <w:sz w:val="20"/>
              </w:rPr>
              <w:t>(</w:t>
              <w:tab/>
            </w:r>
            <w:r>
              <w:rPr>
                <w:rFonts w:ascii="Arial"/>
                <w:spacing w:val="-1"/>
                <w:w w:val="95"/>
                <w:sz w:val="20"/>
              </w:rPr>
              <w:t>874,411)</w:t>
            </w:r>
            <w:r>
              <w:rPr>
                <w:rFonts w:ascii="Arial"/>
                <w:spacing w:val="-1"/>
                <w:sz w:val="20"/>
              </w:rPr>
            </w:r>
          </w:p>
        </w:tc>
        <w:tc>
          <w:tcPr>
            <w:tcW w:w="1467" w:type="dxa"/>
            <w:tcBorders>
              <w:top w:val="nil" w:sz="6" w:space="0" w:color="auto"/>
              <w:left w:val="nil" w:sz="6" w:space="0" w:color="auto"/>
              <w:bottom w:val="nil" w:sz="6" w:space="0" w:color="auto"/>
              <w:right w:val="nil" w:sz="6" w:space="0" w:color="auto"/>
            </w:tcBorders>
          </w:tcPr>
          <w:p>
            <w:pPr>
              <w:pStyle w:val="TableParagraph"/>
              <w:tabs>
                <w:tab w:pos="338" w:val="left" w:leader="none"/>
              </w:tabs>
              <w:spacing w:line="240" w:lineRule="auto" w:before="6"/>
              <w:ind w:right="33"/>
              <w:jc w:val="right"/>
              <w:rPr>
                <w:rFonts w:ascii="Arial" w:hAnsi="Arial" w:cs="Arial" w:eastAsia="Arial" w:hint="default"/>
                <w:sz w:val="20"/>
                <w:szCs w:val="20"/>
              </w:rPr>
            </w:pPr>
            <w:r>
              <w:rPr>
                <w:rFonts w:ascii="Arial"/>
                <w:w w:val="95"/>
                <w:sz w:val="20"/>
              </w:rPr>
              <w:t>(</w:t>
              <w:tab/>
            </w:r>
            <w:r>
              <w:rPr>
                <w:rFonts w:ascii="Arial"/>
                <w:spacing w:val="-1"/>
                <w:w w:val="95"/>
                <w:sz w:val="20"/>
              </w:rPr>
              <w:t>616,893)</w:t>
            </w:r>
            <w:r>
              <w:rPr>
                <w:rFonts w:ascii="Arial"/>
                <w:spacing w:val="-1"/>
                <w:sz w:val="20"/>
              </w:rPr>
            </w:r>
          </w:p>
        </w:tc>
      </w:tr>
      <w:tr>
        <w:trPr>
          <w:trHeight w:val="260" w:hRule="exact"/>
        </w:trPr>
        <w:tc>
          <w:tcPr>
            <w:tcW w:w="455" w:type="dxa"/>
            <w:vMerge/>
            <w:tcBorders>
              <w:left w:val="nil" w:sz="6" w:space="0" w:color="auto"/>
              <w:right w:val="nil" w:sz="6" w:space="0" w:color="auto"/>
            </w:tcBorders>
          </w:tcPr>
          <w:p>
            <w:pPr/>
          </w:p>
        </w:tc>
        <w:tc>
          <w:tcPr>
            <w:tcW w:w="4476" w:type="dxa"/>
            <w:tcBorders>
              <w:top w:val="nil" w:sz="6" w:space="0" w:color="auto"/>
              <w:left w:val="nil" w:sz="6" w:space="0" w:color="auto"/>
              <w:bottom w:val="nil" w:sz="6" w:space="0" w:color="auto"/>
              <w:right w:val="nil" w:sz="6" w:space="0" w:color="auto"/>
            </w:tcBorders>
          </w:tcPr>
          <w:p>
            <w:pPr>
              <w:pStyle w:val="TableParagraph"/>
              <w:spacing w:line="240" w:lineRule="exact"/>
              <w:ind w:left="144" w:right="0"/>
              <w:jc w:val="left"/>
              <w:rPr>
                <w:rFonts w:ascii="Arial" w:hAnsi="Arial" w:cs="Arial" w:eastAsia="Arial" w:hint="default"/>
                <w:sz w:val="20"/>
                <w:szCs w:val="20"/>
              </w:rPr>
            </w:pPr>
            <w:r>
              <w:rPr>
                <w:rFonts w:ascii="黑体" w:hAnsi="黑体" w:cs="黑体" w:eastAsia="黑体" w:hint="default"/>
                <w:sz w:val="20"/>
                <w:szCs w:val="20"/>
              </w:rPr>
              <w:t>无需纳税的收入的影响</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2)</w:t>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60"/>
              <w:jc w:val="right"/>
              <w:rPr>
                <w:rFonts w:ascii="Arial" w:hAnsi="Arial" w:cs="Arial" w:eastAsia="Arial" w:hint="default"/>
                <w:sz w:val="20"/>
                <w:szCs w:val="20"/>
              </w:rPr>
            </w:pPr>
            <w:r>
              <w:rPr>
                <w:rFonts w:ascii="Arial"/>
                <w:w w:val="95"/>
                <w:sz w:val="20"/>
              </w:rPr>
              <w:t>(20,699,093)</w:t>
            </w:r>
            <w:r>
              <w:rPr>
                <w:rFonts w:ascii="Arial"/>
                <w:sz w:val="20"/>
              </w:rPr>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20"/>
                <w:szCs w:val="20"/>
              </w:rPr>
            </w:pPr>
            <w:r>
              <w:rPr>
                <w:rFonts w:ascii="Arial"/>
                <w:spacing w:val="-1"/>
                <w:w w:val="95"/>
                <w:sz w:val="20"/>
              </w:rPr>
              <w:t>(25,579,939)</w:t>
            </w:r>
            <w:r>
              <w:rPr>
                <w:rFonts w:ascii="Arial"/>
                <w:spacing w:val="-1"/>
                <w:sz w:val="20"/>
              </w:rPr>
            </w:r>
          </w:p>
        </w:tc>
      </w:tr>
      <w:tr>
        <w:trPr>
          <w:trHeight w:val="259" w:hRule="exact"/>
        </w:trPr>
        <w:tc>
          <w:tcPr>
            <w:tcW w:w="455" w:type="dxa"/>
            <w:vMerge/>
            <w:tcBorders>
              <w:left w:val="nil" w:sz="6" w:space="0" w:color="auto"/>
              <w:right w:val="nil" w:sz="6" w:space="0" w:color="auto"/>
            </w:tcBorders>
          </w:tcPr>
          <w:p>
            <w:pPr/>
          </w:p>
        </w:tc>
        <w:tc>
          <w:tcPr>
            <w:tcW w:w="4476" w:type="dxa"/>
            <w:tcBorders>
              <w:top w:val="nil" w:sz="6" w:space="0" w:color="auto"/>
              <w:left w:val="nil" w:sz="6" w:space="0" w:color="auto"/>
              <w:bottom w:val="nil" w:sz="6" w:space="0" w:color="auto"/>
              <w:right w:val="nil" w:sz="6" w:space="0" w:color="auto"/>
            </w:tcBorders>
          </w:tcPr>
          <w:p>
            <w:pPr>
              <w:pStyle w:val="TableParagraph"/>
              <w:spacing w:line="239" w:lineRule="exact"/>
              <w:ind w:left="144" w:right="0"/>
              <w:jc w:val="left"/>
              <w:rPr>
                <w:rFonts w:ascii="黑体" w:hAnsi="黑体" w:cs="黑体" w:eastAsia="黑体" w:hint="default"/>
                <w:sz w:val="20"/>
                <w:szCs w:val="20"/>
              </w:rPr>
            </w:pPr>
            <w:r>
              <w:rPr>
                <w:rFonts w:ascii="黑体" w:hAnsi="黑体" w:cs="黑体" w:eastAsia="黑体" w:hint="default"/>
                <w:sz w:val="20"/>
                <w:szCs w:val="20"/>
              </w:rPr>
              <w:t>当年研发费</w:t>
            </w:r>
            <w:r>
              <w:rPr>
                <w:rFonts w:ascii="Arial" w:hAnsi="Arial" w:cs="Arial" w:eastAsia="Arial" w:hint="default"/>
                <w:sz w:val="20"/>
                <w:szCs w:val="20"/>
              </w:rPr>
              <w:t>50%</w:t>
            </w:r>
            <w:r>
              <w:rPr>
                <w:rFonts w:ascii="黑体" w:hAnsi="黑体" w:cs="黑体" w:eastAsia="黑体" w:hint="default"/>
                <w:sz w:val="20"/>
                <w:szCs w:val="20"/>
              </w:rPr>
              <w:t>加计扣除的影响</w:t>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60"/>
              <w:jc w:val="right"/>
              <w:rPr>
                <w:rFonts w:ascii="Arial" w:hAnsi="Arial" w:cs="Arial" w:eastAsia="Arial" w:hint="default"/>
                <w:sz w:val="20"/>
                <w:szCs w:val="20"/>
              </w:rPr>
            </w:pPr>
            <w:r>
              <w:rPr>
                <w:rFonts w:ascii="Arial"/>
                <w:spacing w:val="-1"/>
                <w:sz w:val="20"/>
              </w:rPr>
              <w:t>(12,902,660)</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20"/>
                <w:szCs w:val="20"/>
              </w:rPr>
            </w:pPr>
            <w:r>
              <w:rPr>
                <w:rFonts w:ascii="Arial"/>
                <w:sz w:val="20"/>
              </w:rPr>
              <w:t>(</w:t>
            </w:r>
            <w:r>
              <w:rPr>
                <w:rFonts w:ascii="Arial"/>
                <w:spacing w:val="26"/>
                <w:sz w:val="20"/>
              </w:rPr>
              <w:t> </w:t>
            </w:r>
            <w:r>
              <w:rPr>
                <w:rFonts w:ascii="Arial"/>
                <w:sz w:val="20"/>
              </w:rPr>
              <w:t>7,617,101)</w:t>
            </w:r>
          </w:p>
        </w:tc>
      </w:tr>
      <w:tr>
        <w:trPr>
          <w:trHeight w:val="258" w:hRule="exact"/>
        </w:trPr>
        <w:tc>
          <w:tcPr>
            <w:tcW w:w="455" w:type="dxa"/>
            <w:vMerge/>
            <w:tcBorders>
              <w:left w:val="nil" w:sz="6" w:space="0" w:color="auto"/>
              <w:right w:val="nil" w:sz="6" w:space="0" w:color="auto"/>
            </w:tcBorders>
          </w:tcPr>
          <w:p>
            <w:pPr/>
          </w:p>
        </w:tc>
        <w:tc>
          <w:tcPr>
            <w:tcW w:w="4476" w:type="dxa"/>
            <w:tcBorders>
              <w:top w:val="nil" w:sz="6" w:space="0" w:color="auto"/>
              <w:left w:val="nil" w:sz="6" w:space="0" w:color="auto"/>
              <w:bottom w:val="nil" w:sz="6" w:space="0" w:color="auto"/>
              <w:right w:val="nil" w:sz="6" w:space="0" w:color="auto"/>
            </w:tcBorders>
          </w:tcPr>
          <w:p>
            <w:pPr>
              <w:pStyle w:val="TableParagraph"/>
              <w:spacing w:line="224" w:lineRule="exact"/>
              <w:ind w:left="144" w:right="0"/>
              <w:jc w:val="left"/>
              <w:rPr>
                <w:rFonts w:ascii="黑体" w:hAnsi="黑体" w:cs="黑体" w:eastAsia="黑体" w:hint="default"/>
                <w:sz w:val="20"/>
                <w:szCs w:val="20"/>
              </w:rPr>
            </w:pPr>
            <w:r>
              <w:rPr>
                <w:rFonts w:ascii="黑体" w:hAnsi="黑体" w:cs="黑体" w:eastAsia="黑体" w:hint="default"/>
                <w:sz w:val="20"/>
                <w:szCs w:val="20"/>
              </w:rPr>
              <w:t>汇算清缴差异</w:t>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60"/>
              <w:jc w:val="right"/>
              <w:rPr>
                <w:rFonts w:ascii="Arial" w:hAnsi="Arial" w:cs="Arial" w:eastAsia="Arial" w:hint="default"/>
                <w:sz w:val="20"/>
                <w:szCs w:val="20"/>
              </w:rPr>
            </w:pPr>
            <w:r>
              <w:rPr>
                <w:rFonts w:ascii="Arial"/>
                <w:sz w:val="20"/>
              </w:rPr>
              <w:t>(</w:t>
            </w:r>
            <w:r>
              <w:rPr>
                <w:rFonts w:ascii="Arial"/>
                <w:spacing w:val="33"/>
                <w:sz w:val="20"/>
              </w:rPr>
              <w:t> </w:t>
            </w:r>
            <w:r>
              <w:rPr>
                <w:rFonts w:ascii="Arial"/>
                <w:sz w:val="20"/>
              </w:rPr>
              <w:t>7,068,106)</w:t>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20"/>
                <w:szCs w:val="20"/>
              </w:rPr>
            </w:pPr>
            <w:r>
              <w:rPr>
                <w:rFonts w:ascii="Arial"/>
                <w:sz w:val="20"/>
              </w:rPr>
              <w:t>(</w:t>
            </w:r>
            <w:r>
              <w:rPr>
                <w:rFonts w:ascii="Arial"/>
                <w:spacing w:val="26"/>
                <w:sz w:val="20"/>
              </w:rPr>
              <w:t> </w:t>
            </w:r>
            <w:r>
              <w:rPr>
                <w:rFonts w:ascii="Arial"/>
                <w:sz w:val="20"/>
              </w:rPr>
              <w:t>3,763,383)</w:t>
            </w:r>
          </w:p>
        </w:tc>
      </w:tr>
      <w:tr>
        <w:trPr>
          <w:trHeight w:val="388" w:hRule="exact"/>
        </w:trPr>
        <w:tc>
          <w:tcPr>
            <w:tcW w:w="455" w:type="dxa"/>
            <w:vMerge/>
            <w:tcBorders>
              <w:left w:val="nil" w:sz="6" w:space="0" w:color="auto"/>
              <w:right w:val="nil" w:sz="6" w:space="0" w:color="auto"/>
            </w:tcBorders>
          </w:tcPr>
          <w:p>
            <w:pPr/>
          </w:p>
        </w:tc>
        <w:tc>
          <w:tcPr>
            <w:tcW w:w="4476" w:type="dxa"/>
            <w:tcBorders>
              <w:top w:val="nil" w:sz="6" w:space="0" w:color="auto"/>
              <w:left w:val="nil" w:sz="6" w:space="0" w:color="auto"/>
              <w:bottom w:val="nil" w:sz="6" w:space="0" w:color="auto"/>
              <w:right w:val="nil" w:sz="6" w:space="0" w:color="auto"/>
            </w:tcBorders>
          </w:tcPr>
          <w:p>
            <w:pPr>
              <w:pStyle w:val="TableParagraph"/>
              <w:spacing w:line="240" w:lineRule="exact"/>
              <w:ind w:left="144" w:right="0"/>
              <w:jc w:val="left"/>
              <w:rPr>
                <w:rFonts w:ascii="Arial" w:hAnsi="Arial" w:cs="Arial" w:eastAsia="Arial" w:hint="default"/>
                <w:sz w:val="20"/>
                <w:szCs w:val="20"/>
              </w:rPr>
            </w:pPr>
            <w:r>
              <w:rPr>
                <w:rFonts w:ascii="黑体" w:hAnsi="黑体" w:cs="黑体" w:eastAsia="黑体" w:hint="default"/>
                <w:sz w:val="20"/>
                <w:szCs w:val="20"/>
              </w:rPr>
              <w:t>不可抵扣的税项费用的影响</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3)</w:t>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24"/>
              <w:jc w:val="right"/>
              <w:rPr>
                <w:rFonts w:ascii="Arial" w:hAnsi="Arial" w:cs="Arial" w:eastAsia="Arial" w:hint="default"/>
                <w:sz w:val="20"/>
                <w:szCs w:val="20"/>
              </w:rPr>
            </w:pPr>
            <w:r>
              <w:rPr>
                <w:rFonts w:ascii="Arial"/>
                <w:w w:val="99"/>
                <w:sz w:val="20"/>
              </w:rPr>
            </w:r>
            <w:r>
              <w:rPr>
                <w:rFonts w:ascii="Arial"/>
                <w:spacing w:val="-1"/>
                <w:sz w:val="20"/>
                <w:u w:val="single" w:color="000000"/>
              </w:rPr>
              <w:t>29,686,063</w:t>
            </w:r>
            <w:r>
              <w:rPr>
                <w:rFonts w:ascii="Arial"/>
                <w:spacing w:val="-1"/>
                <w:sz w:val="20"/>
              </w:rPr>
            </w:r>
            <w:r>
              <w:rPr>
                <w:rFonts w:ascii="Arial"/>
                <w:sz w:val="20"/>
              </w:rPr>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7"/>
              <w:ind w:left="372" w:right="0"/>
              <w:jc w:val="left"/>
              <w:rPr>
                <w:rFonts w:ascii="Arial" w:hAnsi="Arial" w:cs="Arial" w:eastAsia="Arial" w:hint="default"/>
                <w:sz w:val="20"/>
                <w:szCs w:val="20"/>
              </w:rPr>
            </w:pPr>
            <w:r>
              <w:rPr>
                <w:rFonts w:ascii="Arial"/>
                <w:w w:val="99"/>
                <w:sz w:val="20"/>
              </w:rPr>
            </w:r>
            <w:r>
              <w:rPr>
                <w:rFonts w:ascii="Arial"/>
                <w:sz w:val="20"/>
                <w:u w:val="single" w:color="000000"/>
              </w:rPr>
              <w:t>30,293,293</w:t>
            </w:r>
            <w:r>
              <w:rPr>
                <w:rFonts w:ascii="Arial"/>
                <w:sz w:val="20"/>
              </w:rPr>
            </w:r>
          </w:p>
        </w:tc>
      </w:tr>
      <w:tr>
        <w:trPr>
          <w:trHeight w:val="502" w:hRule="exact"/>
        </w:trPr>
        <w:tc>
          <w:tcPr>
            <w:tcW w:w="455" w:type="dxa"/>
            <w:vMerge/>
            <w:tcBorders>
              <w:left w:val="nil" w:sz="6" w:space="0" w:color="auto"/>
              <w:right w:val="nil" w:sz="6" w:space="0" w:color="auto"/>
            </w:tcBorders>
          </w:tcPr>
          <w:p>
            <w:pPr/>
          </w:p>
        </w:tc>
        <w:tc>
          <w:tcPr>
            <w:tcW w:w="4476"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44" w:right="0"/>
              <w:jc w:val="left"/>
              <w:rPr>
                <w:rFonts w:ascii="黑体" w:hAnsi="黑体" w:cs="黑体" w:eastAsia="黑体" w:hint="default"/>
                <w:sz w:val="20"/>
                <w:szCs w:val="20"/>
              </w:rPr>
            </w:pPr>
            <w:r>
              <w:rPr>
                <w:rFonts w:ascii="黑体" w:hAnsi="黑体" w:cs="黑体" w:eastAsia="黑体" w:hint="default"/>
                <w:sz w:val="20"/>
                <w:szCs w:val="20"/>
              </w:rPr>
              <w:t>按本公司实际税率计算的税项费用</w:t>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24"/>
              <w:jc w:val="right"/>
              <w:rPr>
                <w:rFonts w:ascii="Arial" w:hAnsi="Arial" w:cs="Arial" w:eastAsia="Arial" w:hint="default"/>
                <w:sz w:val="20"/>
                <w:szCs w:val="20"/>
              </w:rPr>
            </w:pPr>
            <w:r>
              <w:rPr>
                <w:rFonts w:ascii="Arial"/>
                <w:w w:val="99"/>
                <w:sz w:val="20"/>
              </w:rPr>
            </w:r>
            <w:r>
              <w:rPr>
                <w:rFonts w:ascii="Arial"/>
                <w:spacing w:val="-1"/>
                <w:sz w:val="20"/>
                <w:u w:val="thick" w:color="000000"/>
              </w:rPr>
              <w:t>34,221,081</w:t>
            </w:r>
            <w:r>
              <w:rPr>
                <w:rFonts w:ascii="Arial"/>
                <w:spacing w:val="-1"/>
                <w:sz w:val="20"/>
              </w:rPr>
            </w:r>
            <w:r>
              <w:rPr>
                <w:rFonts w:ascii="Arial"/>
                <w:sz w:val="20"/>
              </w:rPr>
            </w:r>
          </w:p>
        </w:tc>
        <w:tc>
          <w:tcPr>
            <w:tcW w:w="1467" w:type="dxa"/>
            <w:tcBorders>
              <w:top w:val="nil" w:sz="6" w:space="0" w:color="auto"/>
              <w:left w:val="nil" w:sz="6" w:space="0" w:color="auto"/>
              <w:bottom w:val="nil" w:sz="6" w:space="0" w:color="auto"/>
              <w:right w:val="nil" w:sz="6" w:space="0" w:color="auto"/>
            </w:tcBorders>
          </w:tcPr>
          <w:p>
            <w:pPr>
              <w:pStyle w:val="TableParagraph"/>
              <w:spacing w:line="240" w:lineRule="auto" w:before="136"/>
              <w:ind w:left="372" w:right="0"/>
              <w:jc w:val="left"/>
              <w:rPr>
                <w:rFonts w:ascii="Arial" w:hAnsi="Arial" w:cs="Arial" w:eastAsia="Arial" w:hint="default"/>
                <w:sz w:val="20"/>
                <w:szCs w:val="20"/>
              </w:rPr>
            </w:pPr>
            <w:r>
              <w:rPr>
                <w:rFonts w:ascii="Arial"/>
                <w:w w:val="99"/>
                <w:sz w:val="20"/>
              </w:rPr>
            </w:r>
            <w:r>
              <w:rPr>
                <w:rFonts w:ascii="Arial"/>
                <w:sz w:val="20"/>
                <w:u w:val="thick" w:color="000000"/>
              </w:rPr>
              <w:t>45,985,075</w:t>
            </w:r>
            <w:r>
              <w:rPr>
                <w:rFonts w:ascii="Arial"/>
                <w:sz w:val="20"/>
              </w:rPr>
            </w:r>
          </w:p>
        </w:tc>
      </w:tr>
      <w:tr>
        <w:trPr>
          <w:trHeight w:val="1008" w:hRule="exact"/>
        </w:trPr>
        <w:tc>
          <w:tcPr>
            <w:tcW w:w="455" w:type="dxa"/>
            <w:vMerge/>
            <w:tcBorders>
              <w:left w:val="nil" w:sz="6" w:space="0" w:color="auto"/>
              <w:bottom w:val="nil" w:sz="6" w:space="0" w:color="auto"/>
              <w:right w:val="nil" w:sz="6" w:space="0" w:color="auto"/>
            </w:tcBorders>
          </w:tcPr>
          <w:p>
            <w:pPr/>
          </w:p>
        </w:tc>
        <w:tc>
          <w:tcPr>
            <w:tcW w:w="4476" w:type="dxa"/>
            <w:tcBorders>
              <w:top w:val="nil" w:sz="6" w:space="0" w:color="auto"/>
              <w:left w:val="nil" w:sz="6" w:space="0" w:color="auto"/>
              <w:bottom w:val="nil" w:sz="6" w:space="0" w:color="auto"/>
              <w:right w:val="nil" w:sz="6" w:space="0" w:color="auto"/>
            </w:tcBorders>
          </w:tcPr>
          <w:p>
            <w:pPr>
              <w:pStyle w:val="TableParagraph"/>
              <w:spacing w:line="260" w:lineRule="exact" w:before="103"/>
              <w:ind w:left="153" w:right="1819"/>
              <w:jc w:val="both"/>
              <w:rPr>
                <w:rFonts w:ascii="黑体" w:hAnsi="黑体" w:cs="黑体" w:eastAsia="黑体" w:hint="default"/>
                <w:sz w:val="20"/>
                <w:szCs w:val="20"/>
              </w:rPr>
            </w:pPr>
            <w:r>
              <w:rPr>
                <w:rFonts w:ascii="黑体" w:hAnsi="黑体" w:cs="黑体" w:eastAsia="黑体" w:hint="default"/>
                <w:sz w:val="20"/>
                <w:szCs w:val="20"/>
              </w:rPr>
              <w:t>注</w:t>
            </w:r>
            <w:r>
              <w:rPr>
                <w:rFonts w:ascii="Arial" w:hAnsi="Arial" w:cs="Arial" w:eastAsia="Arial" w:hint="default"/>
                <w:sz w:val="20"/>
                <w:szCs w:val="20"/>
              </w:rPr>
              <w:t>1.</w:t>
            </w:r>
            <w:r>
              <w:rPr>
                <w:rFonts w:ascii="黑体" w:hAnsi="黑体" w:cs="黑体" w:eastAsia="黑体" w:hint="default"/>
                <w:sz w:val="20"/>
                <w:szCs w:val="20"/>
              </w:rPr>
              <w:t>参见附注五、</w:t>
            </w:r>
            <w:r>
              <w:rPr>
                <w:rFonts w:ascii="Arial" w:hAnsi="Arial" w:cs="Arial" w:eastAsia="Arial" w:hint="default"/>
                <w:sz w:val="20"/>
                <w:szCs w:val="20"/>
              </w:rPr>
              <w:t>44</w:t>
            </w:r>
            <w:r>
              <w:rPr>
                <w:rFonts w:ascii="黑体" w:hAnsi="黑体" w:cs="黑体" w:eastAsia="黑体" w:hint="default"/>
                <w:sz w:val="20"/>
                <w:szCs w:val="20"/>
              </w:rPr>
              <w:t>、注</w:t>
            </w:r>
            <w:r>
              <w:rPr>
                <w:rFonts w:ascii="Arial" w:hAnsi="Arial" w:cs="Arial" w:eastAsia="Arial" w:hint="default"/>
                <w:sz w:val="20"/>
                <w:szCs w:val="20"/>
              </w:rPr>
              <w:t>1</w:t>
            </w:r>
            <w:r>
              <w:rPr>
                <w:rFonts w:ascii="黑体" w:hAnsi="黑体" w:cs="黑体" w:eastAsia="黑体" w:hint="default"/>
                <w:sz w:val="20"/>
                <w:szCs w:val="20"/>
              </w:rPr>
              <w:t>。</w:t>
            </w:r>
            <w:r>
              <w:rPr>
                <w:rFonts w:ascii="黑体" w:hAnsi="黑体" w:cs="黑体" w:eastAsia="黑体" w:hint="default"/>
                <w:w w:val="99"/>
                <w:sz w:val="20"/>
                <w:szCs w:val="20"/>
              </w:rPr>
              <w:t> </w:t>
            </w:r>
            <w:r>
              <w:rPr>
                <w:rFonts w:ascii="黑体" w:hAnsi="黑体" w:cs="黑体" w:eastAsia="黑体" w:hint="default"/>
                <w:sz w:val="20"/>
                <w:szCs w:val="20"/>
              </w:rPr>
              <w:t>注</w:t>
            </w:r>
            <w:r>
              <w:rPr>
                <w:rFonts w:ascii="Arial" w:hAnsi="Arial" w:cs="Arial" w:eastAsia="Arial" w:hint="default"/>
                <w:sz w:val="20"/>
                <w:szCs w:val="20"/>
              </w:rPr>
              <w:t>2.</w:t>
            </w:r>
            <w:r>
              <w:rPr>
                <w:rFonts w:ascii="黑体" w:hAnsi="黑体" w:cs="黑体" w:eastAsia="黑体" w:hint="default"/>
                <w:sz w:val="20"/>
                <w:szCs w:val="20"/>
              </w:rPr>
              <w:t>参见附注五、</w:t>
            </w:r>
            <w:r>
              <w:rPr>
                <w:rFonts w:ascii="Arial" w:hAnsi="Arial" w:cs="Arial" w:eastAsia="Arial" w:hint="default"/>
                <w:sz w:val="20"/>
                <w:szCs w:val="20"/>
              </w:rPr>
              <w:t>44</w:t>
            </w:r>
            <w:r>
              <w:rPr>
                <w:rFonts w:ascii="黑体" w:hAnsi="黑体" w:cs="黑体" w:eastAsia="黑体" w:hint="default"/>
                <w:sz w:val="20"/>
                <w:szCs w:val="20"/>
              </w:rPr>
              <w:t>、注</w:t>
            </w:r>
            <w:r>
              <w:rPr>
                <w:rFonts w:ascii="Arial" w:hAnsi="Arial" w:cs="Arial" w:eastAsia="Arial" w:hint="default"/>
                <w:sz w:val="20"/>
                <w:szCs w:val="20"/>
              </w:rPr>
              <w:t>3</w:t>
            </w:r>
            <w:r>
              <w:rPr>
                <w:rFonts w:ascii="黑体" w:hAnsi="黑体" w:cs="黑体" w:eastAsia="黑体" w:hint="default"/>
                <w:sz w:val="20"/>
                <w:szCs w:val="20"/>
              </w:rPr>
              <w:t>。</w:t>
            </w:r>
            <w:r>
              <w:rPr>
                <w:rFonts w:ascii="黑体" w:hAnsi="黑体" w:cs="黑体" w:eastAsia="黑体" w:hint="default"/>
                <w:w w:val="99"/>
                <w:sz w:val="20"/>
                <w:szCs w:val="20"/>
              </w:rPr>
              <w:t> </w:t>
            </w:r>
            <w:r>
              <w:rPr>
                <w:rFonts w:ascii="黑体" w:hAnsi="黑体" w:cs="黑体" w:eastAsia="黑体" w:hint="default"/>
                <w:sz w:val="20"/>
                <w:szCs w:val="20"/>
              </w:rPr>
              <w:t>注</w:t>
            </w:r>
            <w:r>
              <w:rPr>
                <w:rFonts w:ascii="Arial" w:hAnsi="Arial" w:cs="Arial" w:eastAsia="Arial" w:hint="default"/>
                <w:sz w:val="20"/>
                <w:szCs w:val="20"/>
              </w:rPr>
              <w:t>3.</w:t>
            </w:r>
            <w:r>
              <w:rPr>
                <w:rFonts w:ascii="黑体" w:hAnsi="黑体" w:cs="黑体" w:eastAsia="黑体" w:hint="default"/>
                <w:sz w:val="20"/>
                <w:szCs w:val="20"/>
              </w:rPr>
              <w:t>参见附注五、</w:t>
            </w:r>
            <w:r>
              <w:rPr>
                <w:rFonts w:ascii="Arial" w:hAnsi="Arial" w:cs="Arial" w:eastAsia="Arial" w:hint="default"/>
                <w:sz w:val="20"/>
                <w:szCs w:val="20"/>
              </w:rPr>
              <w:t>44</w:t>
            </w:r>
            <w:r>
              <w:rPr>
                <w:rFonts w:ascii="黑体" w:hAnsi="黑体" w:cs="黑体" w:eastAsia="黑体" w:hint="default"/>
                <w:sz w:val="20"/>
                <w:szCs w:val="20"/>
              </w:rPr>
              <w:t>、注</w:t>
            </w:r>
            <w:r>
              <w:rPr>
                <w:rFonts w:ascii="Arial" w:hAnsi="Arial" w:cs="Arial" w:eastAsia="Arial" w:hint="default"/>
                <w:sz w:val="20"/>
                <w:szCs w:val="20"/>
              </w:rPr>
              <w:t>5</w:t>
            </w:r>
            <w:r>
              <w:rPr>
                <w:rFonts w:ascii="黑体" w:hAnsi="黑体" w:cs="黑体" w:eastAsia="黑体" w:hint="default"/>
                <w:sz w:val="20"/>
                <w:szCs w:val="20"/>
              </w:rPr>
              <w:t>。</w:t>
            </w:r>
          </w:p>
        </w:tc>
        <w:tc>
          <w:tcPr>
            <w:tcW w:w="2160"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
        </w:tc>
      </w:tr>
      <w:tr>
        <w:trPr>
          <w:trHeight w:val="449" w:hRule="exact"/>
        </w:trPr>
        <w:tc>
          <w:tcPr>
            <w:tcW w:w="455" w:type="dxa"/>
            <w:tcBorders>
              <w:top w:val="nil" w:sz="6" w:space="0" w:color="auto"/>
              <w:left w:val="nil" w:sz="6" w:space="0" w:color="auto"/>
              <w:bottom w:val="nil" w:sz="6" w:space="0" w:color="auto"/>
              <w:right w:val="nil" w:sz="6" w:space="0" w:color="auto"/>
            </w:tcBorders>
          </w:tcPr>
          <w:p>
            <w:pPr>
              <w:pStyle w:val="TableParagraph"/>
              <w:spacing w:line="240" w:lineRule="auto" w:before="124"/>
              <w:ind w:left="35" w:right="0"/>
              <w:jc w:val="left"/>
              <w:rPr>
                <w:rFonts w:ascii="Arial" w:hAnsi="Arial" w:cs="Arial" w:eastAsia="Arial" w:hint="default"/>
                <w:sz w:val="20"/>
                <w:szCs w:val="20"/>
              </w:rPr>
            </w:pPr>
            <w:r>
              <w:rPr>
                <w:rFonts w:ascii="Arial"/>
                <w:b/>
                <w:sz w:val="20"/>
              </w:rPr>
              <w:t>38.</w:t>
            </w:r>
            <w:r>
              <w:rPr>
                <w:rFonts w:ascii="Arial"/>
                <w:sz w:val="20"/>
              </w:rPr>
            </w:r>
          </w:p>
        </w:tc>
        <w:tc>
          <w:tcPr>
            <w:tcW w:w="4476"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58" w:right="0"/>
              <w:jc w:val="left"/>
              <w:rPr>
                <w:rFonts w:ascii="黑体" w:hAnsi="黑体" w:cs="黑体" w:eastAsia="黑体" w:hint="default"/>
                <w:sz w:val="20"/>
                <w:szCs w:val="20"/>
              </w:rPr>
            </w:pPr>
            <w:r>
              <w:rPr>
                <w:rFonts w:ascii="黑体" w:hAnsi="黑体" w:cs="黑体" w:eastAsia="黑体" w:hint="default"/>
                <w:b/>
                <w:bCs/>
                <w:sz w:val="20"/>
                <w:szCs w:val="20"/>
              </w:rPr>
              <w:t>每股收益</w:t>
            </w:r>
            <w:r>
              <w:rPr>
                <w:rFonts w:ascii="黑体" w:hAnsi="黑体" w:cs="黑体" w:eastAsia="黑体" w:hint="default"/>
                <w:sz w:val="20"/>
                <w:szCs w:val="20"/>
              </w:rPr>
            </w:r>
          </w:p>
        </w:tc>
        <w:tc>
          <w:tcPr>
            <w:tcW w:w="2160" w:type="dxa"/>
            <w:tcBorders>
              <w:top w:val="nil" w:sz="6" w:space="0" w:color="auto"/>
              <w:left w:val="nil" w:sz="6" w:space="0" w:color="auto"/>
              <w:bottom w:val="nil" w:sz="6" w:space="0" w:color="auto"/>
              <w:right w:val="nil" w:sz="6" w:space="0" w:color="auto"/>
            </w:tcBorders>
          </w:tcPr>
          <w:p>
            <w:pPr/>
          </w:p>
        </w:tc>
        <w:tc>
          <w:tcPr>
            <w:tcW w:w="1467" w:type="dxa"/>
            <w:tcBorders>
              <w:top w:val="nil" w:sz="6" w:space="0" w:color="auto"/>
              <w:left w:val="nil" w:sz="6" w:space="0" w:color="auto"/>
              <w:bottom w:val="nil" w:sz="6" w:space="0" w:color="auto"/>
              <w:right w:val="nil" w:sz="6" w:space="0" w:color="auto"/>
            </w:tcBorders>
          </w:tcPr>
          <w:p>
            <w:pPr/>
          </w:p>
        </w:tc>
      </w:tr>
    </w:tbl>
    <w:p>
      <w:pPr>
        <w:spacing w:line="240" w:lineRule="auto" w:before="2"/>
        <w:rPr>
          <w:rFonts w:ascii="黑体" w:hAnsi="黑体" w:cs="黑体" w:eastAsia="黑体" w:hint="default"/>
          <w:b/>
          <w:bCs/>
          <w:sz w:val="6"/>
          <w:szCs w:val="6"/>
        </w:rPr>
      </w:pPr>
    </w:p>
    <w:p>
      <w:pPr>
        <w:pStyle w:val="BodyText"/>
        <w:spacing w:line="260" w:lineRule="exact" w:before="63"/>
        <w:ind w:left="713" w:right="439"/>
        <w:jc w:val="both"/>
      </w:pPr>
      <w:r>
        <w:rPr/>
        <w:t>基本每股收益按照归属于本公司普通股股东的当期净利润，除以发行在外普通股的加权平</w:t>
      </w:r>
      <w:r>
        <w:rPr>
          <w:spacing w:val="-80"/>
        </w:rPr>
        <w:t> </w:t>
      </w:r>
      <w:r>
        <w:rPr>
          <w:spacing w:val="-80"/>
        </w:rPr>
      </w:r>
      <w:r>
        <w:rPr/>
        <w:t>均数计算。新发行普通股股数，根据发行合同的具体条款，从应收对价之日（一般为股票</w:t>
      </w:r>
      <w:r>
        <w:rPr>
          <w:spacing w:val="-80"/>
        </w:rPr>
        <w:t> </w:t>
      </w:r>
      <w:r>
        <w:rPr>
          <w:spacing w:val="-80"/>
        </w:rPr>
      </w:r>
      <w:r>
        <w:rPr/>
        <w:t>发行日）起计算确定。</w:t>
      </w:r>
    </w:p>
    <w:p>
      <w:pPr>
        <w:spacing w:line="240" w:lineRule="auto" w:before="8"/>
        <w:rPr>
          <w:rFonts w:ascii="黑体" w:hAnsi="黑体" w:cs="黑体" w:eastAsia="黑体" w:hint="default"/>
          <w:sz w:val="15"/>
          <w:szCs w:val="15"/>
        </w:rPr>
      </w:pPr>
    </w:p>
    <w:p>
      <w:pPr>
        <w:pStyle w:val="BodyText"/>
        <w:spacing w:line="240" w:lineRule="auto"/>
        <w:ind w:left="727" w:right="0"/>
        <w:jc w:val="both"/>
      </w:pPr>
      <w:r>
        <w:rPr/>
        <w:t>基本每股收益与稀释每股收益的具体计算如下：</w:t>
      </w:r>
    </w:p>
    <w:p>
      <w:pPr>
        <w:spacing w:line="240" w:lineRule="auto" w:before="2"/>
        <w:rPr>
          <w:rFonts w:ascii="黑体" w:hAnsi="黑体" w:cs="黑体" w:eastAsia="黑体" w:hint="default"/>
          <w:sz w:val="22"/>
          <w:szCs w:val="22"/>
        </w:rPr>
      </w:pPr>
    </w:p>
    <w:tbl>
      <w:tblPr>
        <w:tblW w:w="0" w:type="auto"/>
        <w:jc w:val="left"/>
        <w:tblInd w:w="544" w:type="dxa"/>
        <w:tblLayout w:type="fixed"/>
        <w:tblCellMar>
          <w:top w:w="0" w:type="dxa"/>
          <w:left w:w="0" w:type="dxa"/>
          <w:bottom w:w="0" w:type="dxa"/>
          <w:right w:w="0" w:type="dxa"/>
        </w:tblCellMar>
        <w:tblLook w:val="01E0"/>
      </w:tblPr>
      <w:tblGrid>
        <w:gridCol w:w="4576"/>
        <w:gridCol w:w="2067"/>
        <w:gridCol w:w="1533"/>
      </w:tblGrid>
      <w:tr>
        <w:trPr>
          <w:trHeight w:val="362" w:hRule="exact"/>
        </w:trPr>
        <w:tc>
          <w:tcPr>
            <w:tcW w:w="4576" w:type="dxa"/>
            <w:tcBorders>
              <w:top w:val="nil" w:sz="6" w:space="0" w:color="auto"/>
              <w:left w:val="nil" w:sz="6" w:space="0" w:color="auto"/>
              <w:bottom w:val="nil" w:sz="6" w:space="0" w:color="auto"/>
              <w:right w:val="nil" w:sz="6" w:space="0" w:color="auto"/>
            </w:tcBorders>
          </w:tcPr>
          <w:p>
            <w:pPr/>
          </w:p>
        </w:tc>
        <w:tc>
          <w:tcPr>
            <w:tcW w:w="2067" w:type="dxa"/>
            <w:tcBorders>
              <w:top w:val="nil" w:sz="6" w:space="0" w:color="auto"/>
              <w:left w:val="nil" w:sz="6" w:space="0" w:color="auto"/>
              <w:bottom w:val="nil" w:sz="6" w:space="0" w:color="auto"/>
              <w:right w:val="nil" w:sz="6" w:space="0" w:color="auto"/>
            </w:tcBorders>
          </w:tcPr>
          <w:p>
            <w:pPr>
              <w:pStyle w:val="TableParagraph"/>
              <w:spacing w:line="214" w:lineRule="exact"/>
              <w:ind w:right="222"/>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1533" w:type="dxa"/>
            <w:tcBorders>
              <w:top w:val="nil" w:sz="6" w:space="0" w:color="auto"/>
              <w:left w:val="nil" w:sz="6" w:space="0" w:color="auto"/>
              <w:bottom w:val="nil" w:sz="6" w:space="0" w:color="auto"/>
              <w:right w:val="nil" w:sz="6" w:space="0" w:color="auto"/>
            </w:tcBorders>
          </w:tcPr>
          <w:p>
            <w:pPr>
              <w:pStyle w:val="TableParagraph"/>
              <w:spacing w:line="214" w:lineRule="exact"/>
              <w:ind w:right="198"/>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r>
      <w:tr>
        <w:trPr>
          <w:trHeight w:val="383" w:hRule="exact"/>
        </w:trPr>
        <w:tc>
          <w:tcPr>
            <w:tcW w:w="457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00" w:right="0"/>
              <w:jc w:val="left"/>
              <w:rPr>
                <w:rFonts w:ascii="黑体" w:hAnsi="黑体" w:cs="黑体" w:eastAsia="黑体" w:hint="default"/>
                <w:sz w:val="20"/>
                <w:szCs w:val="20"/>
              </w:rPr>
            </w:pPr>
            <w:r>
              <w:rPr>
                <w:rFonts w:ascii="黑体" w:hAnsi="黑体" w:cs="黑体" w:eastAsia="黑体" w:hint="default"/>
                <w:sz w:val="20"/>
                <w:szCs w:val="20"/>
              </w:rPr>
              <w:t>收益</w:t>
            </w:r>
          </w:p>
        </w:tc>
        <w:tc>
          <w:tcPr>
            <w:tcW w:w="2067" w:type="dxa"/>
            <w:tcBorders>
              <w:top w:val="nil" w:sz="6" w:space="0" w:color="auto"/>
              <w:left w:val="nil" w:sz="6" w:space="0" w:color="auto"/>
              <w:bottom w:val="nil" w:sz="6" w:space="0" w:color="auto"/>
              <w:right w:val="nil" w:sz="6" w:space="0" w:color="auto"/>
            </w:tcBorders>
          </w:tcPr>
          <w:p>
            <w:pPr/>
          </w:p>
        </w:tc>
        <w:tc>
          <w:tcPr>
            <w:tcW w:w="1533" w:type="dxa"/>
            <w:tcBorders>
              <w:top w:val="nil" w:sz="6" w:space="0" w:color="auto"/>
              <w:left w:val="nil" w:sz="6" w:space="0" w:color="auto"/>
              <w:bottom w:val="nil" w:sz="6" w:space="0" w:color="auto"/>
              <w:right w:val="nil" w:sz="6" w:space="0" w:color="auto"/>
            </w:tcBorders>
          </w:tcPr>
          <w:p>
            <w:pPr/>
          </w:p>
        </w:tc>
      </w:tr>
      <w:tr>
        <w:trPr>
          <w:trHeight w:val="259" w:hRule="exact"/>
        </w:trPr>
        <w:tc>
          <w:tcPr>
            <w:tcW w:w="4576" w:type="dxa"/>
            <w:tcBorders>
              <w:top w:val="nil" w:sz="6" w:space="0" w:color="auto"/>
              <w:left w:val="nil" w:sz="6" w:space="0" w:color="auto"/>
              <w:bottom w:val="nil" w:sz="6" w:space="0" w:color="auto"/>
              <w:right w:val="nil" w:sz="6" w:space="0" w:color="auto"/>
            </w:tcBorders>
          </w:tcPr>
          <w:p>
            <w:pPr>
              <w:pStyle w:val="TableParagraph"/>
              <w:spacing w:line="229" w:lineRule="exact"/>
              <w:ind w:left="200" w:right="0"/>
              <w:jc w:val="left"/>
              <w:rPr>
                <w:rFonts w:ascii="黑体" w:hAnsi="黑体" w:cs="黑体" w:eastAsia="黑体" w:hint="default"/>
                <w:sz w:val="20"/>
                <w:szCs w:val="20"/>
              </w:rPr>
            </w:pPr>
            <w:r>
              <w:rPr>
                <w:rFonts w:ascii="黑体" w:hAnsi="黑体" w:cs="黑体" w:eastAsia="黑体" w:hint="default"/>
                <w:sz w:val="20"/>
                <w:szCs w:val="20"/>
              </w:rPr>
              <w:t>归属于本公司普通股股东的当期净利润</w:t>
            </w:r>
          </w:p>
        </w:tc>
        <w:tc>
          <w:tcPr>
            <w:tcW w:w="2067" w:type="dxa"/>
            <w:tcBorders>
              <w:top w:val="nil" w:sz="6" w:space="0" w:color="auto"/>
              <w:left w:val="nil" w:sz="6" w:space="0" w:color="auto"/>
              <w:bottom w:val="nil" w:sz="6" w:space="0" w:color="auto"/>
              <w:right w:val="nil" w:sz="6" w:space="0" w:color="auto"/>
            </w:tcBorders>
          </w:tcPr>
          <w:p>
            <w:pPr/>
          </w:p>
        </w:tc>
        <w:tc>
          <w:tcPr>
            <w:tcW w:w="1533" w:type="dxa"/>
            <w:tcBorders>
              <w:top w:val="nil" w:sz="6" w:space="0" w:color="auto"/>
              <w:left w:val="nil" w:sz="6" w:space="0" w:color="auto"/>
              <w:bottom w:val="nil" w:sz="6" w:space="0" w:color="auto"/>
              <w:right w:val="nil" w:sz="6" w:space="0" w:color="auto"/>
            </w:tcBorders>
          </w:tcPr>
          <w:p>
            <w:pPr/>
          </w:p>
        </w:tc>
      </w:tr>
      <w:tr>
        <w:trPr>
          <w:trHeight w:val="390" w:hRule="exact"/>
        </w:trPr>
        <w:tc>
          <w:tcPr>
            <w:tcW w:w="4576" w:type="dxa"/>
            <w:tcBorders>
              <w:top w:val="nil" w:sz="6" w:space="0" w:color="auto"/>
              <w:left w:val="nil" w:sz="6" w:space="0" w:color="auto"/>
              <w:bottom w:val="nil" w:sz="6" w:space="0" w:color="auto"/>
              <w:right w:val="nil" w:sz="6" w:space="0" w:color="auto"/>
            </w:tcBorders>
          </w:tcPr>
          <w:p>
            <w:pPr>
              <w:pStyle w:val="TableParagraph"/>
              <w:spacing w:line="229" w:lineRule="exact"/>
              <w:ind w:left="200" w:right="0"/>
              <w:jc w:val="left"/>
              <w:rPr>
                <w:rFonts w:ascii="黑体" w:hAnsi="黑体" w:cs="黑体" w:eastAsia="黑体" w:hint="default"/>
                <w:sz w:val="20"/>
                <w:szCs w:val="20"/>
              </w:rPr>
            </w:pPr>
            <w:r>
              <w:rPr>
                <w:rFonts w:ascii="黑体" w:hAnsi="黑体" w:cs="黑体" w:eastAsia="黑体" w:hint="default"/>
                <w:sz w:val="20"/>
                <w:szCs w:val="20"/>
              </w:rPr>
              <w:t>持续经营</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22"/>
              <w:jc w:val="right"/>
              <w:rPr>
                <w:rFonts w:ascii="Arial" w:hAnsi="Arial" w:cs="Arial" w:eastAsia="Arial" w:hint="default"/>
                <w:sz w:val="20"/>
                <w:szCs w:val="20"/>
              </w:rPr>
            </w:pPr>
            <w:r>
              <w:rPr>
                <w:rFonts w:ascii="Arial"/>
                <w:w w:val="99"/>
                <w:sz w:val="20"/>
              </w:rPr>
            </w:r>
            <w:r>
              <w:rPr>
                <w:rFonts w:ascii="Arial"/>
                <w:spacing w:val="-1"/>
                <w:sz w:val="20"/>
                <w:u w:val="thick" w:color="000000"/>
              </w:rPr>
              <w:t>426,571,801</w:t>
            </w:r>
            <w:r>
              <w:rPr>
                <w:rFonts w:ascii="Arial"/>
                <w:spacing w:val="-1"/>
                <w:sz w:val="20"/>
              </w:rPr>
            </w:r>
            <w:r>
              <w:rPr>
                <w:rFonts w:ascii="Arial"/>
                <w:sz w:val="20"/>
              </w:rPr>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486,705,905</w:t>
            </w:r>
            <w:r>
              <w:rPr>
                <w:rFonts w:ascii="Arial"/>
                <w:spacing w:val="-1"/>
                <w:sz w:val="20"/>
              </w:rPr>
            </w:r>
            <w:r>
              <w:rPr>
                <w:rFonts w:ascii="Arial"/>
                <w:sz w:val="20"/>
              </w:rPr>
            </w:r>
          </w:p>
        </w:tc>
      </w:tr>
      <w:tr>
        <w:trPr>
          <w:trHeight w:val="383" w:hRule="exact"/>
        </w:trPr>
        <w:tc>
          <w:tcPr>
            <w:tcW w:w="457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00" w:right="0"/>
              <w:jc w:val="left"/>
              <w:rPr>
                <w:rFonts w:ascii="黑体" w:hAnsi="黑体" w:cs="黑体" w:eastAsia="黑体" w:hint="default"/>
                <w:sz w:val="20"/>
                <w:szCs w:val="20"/>
              </w:rPr>
            </w:pPr>
            <w:r>
              <w:rPr>
                <w:rFonts w:ascii="黑体" w:hAnsi="黑体" w:cs="黑体" w:eastAsia="黑体" w:hint="default"/>
                <w:sz w:val="20"/>
                <w:szCs w:val="20"/>
              </w:rPr>
              <w:t>股份</w:t>
            </w:r>
          </w:p>
        </w:tc>
        <w:tc>
          <w:tcPr>
            <w:tcW w:w="2067" w:type="dxa"/>
            <w:tcBorders>
              <w:top w:val="nil" w:sz="6" w:space="0" w:color="auto"/>
              <w:left w:val="nil" w:sz="6" w:space="0" w:color="auto"/>
              <w:bottom w:val="nil" w:sz="6" w:space="0" w:color="auto"/>
              <w:right w:val="nil" w:sz="6" w:space="0" w:color="auto"/>
            </w:tcBorders>
          </w:tcPr>
          <w:p>
            <w:pPr/>
          </w:p>
        </w:tc>
        <w:tc>
          <w:tcPr>
            <w:tcW w:w="1533" w:type="dxa"/>
            <w:tcBorders>
              <w:top w:val="nil" w:sz="6" w:space="0" w:color="auto"/>
              <w:left w:val="nil" w:sz="6" w:space="0" w:color="auto"/>
              <w:bottom w:val="nil" w:sz="6" w:space="0" w:color="auto"/>
              <w:right w:val="nil" w:sz="6" w:space="0" w:color="auto"/>
            </w:tcBorders>
          </w:tcPr>
          <w:p>
            <w:pPr/>
          </w:p>
        </w:tc>
      </w:tr>
      <w:tr>
        <w:trPr>
          <w:trHeight w:val="239" w:hRule="exact"/>
        </w:trPr>
        <w:tc>
          <w:tcPr>
            <w:tcW w:w="4576" w:type="dxa"/>
            <w:tcBorders>
              <w:top w:val="nil" w:sz="6" w:space="0" w:color="auto"/>
              <w:left w:val="nil" w:sz="6" w:space="0" w:color="auto"/>
              <w:bottom w:val="nil" w:sz="6" w:space="0" w:color="auto"/>
              <w:right w:val="nil" w:sz="6" w:space="0" w:color="auto"/>
            </w:tcBorders>
          </w:tcPr>
          <w:p>
            <w:pPr>
              <w:pStyle w:val="TableParagraph"/>
              <w:spacing w:line="244" w:lineRule="exact"/>
              <w:ind w:left="200" w:right="0"/>
              <w:jc w:val="left"/>
              <w:rPr>
                <w:rFonts w:ascii="Arial" w:hAnsi="Arial" w:cs="Arial" w:eastAsia="Arial" w:hint="default"/>
                <w:sz w:val="20"/>
                <w:szCs w:val="20"/>
              </w:rPr>
            </w:pPr>
            <w:r>
              <w:rPr>
                <w:rFonts w:ascii="黑体" w:hAnsi="黑体" w:cs="黑体" w:eastAsia="黑体" w:hint="default"/>
                <w:sz w:val="20"/>
                <w:szCs w:val="20"/>
              </w:rPr>
              <w:t>本公司发行在外普通股的加权平均数</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1)</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22"/>
              <w:jc w:val="right"/>
              <w:rPr>
                <w:rFonts w:ascii="Arial" w:hAnsi="Arial" w:cs="Arial" w:eastAsia="Arial" w:hint="default"/>
                <w:sz w:val="20"/>
                <w:szCs w:val="20"/>
              </w:rPr>
            </w:pPr>
            <w:r>
              <w:rPr>
                <w:rFonts w:ascii="Arial"/>
                <w:w w:val="99"/>
                <w:sz w:val="20"/>
              </w:rPr>
            </w:r>
            <w:r>
              <w:rPr>
                <w:rFonts w:ascii="Arial"/>
                <w:spacing w:val="-1"/>
                <w:sz w:val="20"/>
                <w:u w:val="thick" w:color="000000"/>
              </w:rPr>
              <w:t>979,084,040</w:t>
            </w:r>
            <w:r>
              <w:rPr>
                <w:rFonts w:ascii="Arial"/>
                <w:spacing w:val="-1"/>
                <w:sz w:val="20"/>
              </w:rPr>
            </w:r>
            <w:r>
              <w:rPr>
                <w:rFonts w:ascii="Arial"/>
                <w:sz w:val="20"/>
              </w:rPr>
            </w:r>
          </w:p>
        </w:tc>
        <w:tc>
          <w:tcPr>
            <w:tcW w:w="153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979,226,437</w:t>
            </w:r>
            <w:r>
              <w:rPr>
                <w:rFonts w:ascii="Arial"/>
                <w:spacing w:val="-1"/>
                <w:sz w:val="20"/>
              </w:rPr>
            </w:r>
            <w:r>
              <w:rPr>
                <w:rFonts w:ascii="Arial"/>
                <w:sz w:val="20"/>
              </w:rPr>
            </w:r>
          </w:p>
        </w:tc>
      </w:tr>
    </w:tbl>
    <w:p>
      <w:pPr>
        <w:spacing w:line="240" w:lineRule="auto" w:before="10"/>
        <w:rPr>
          <w:rFonts w:ascii="黑体" w:hAnsi="黑体" w:cs="黑体" w:eastAsia="黑体" w:hint="default"/>
          <w:sz w:val="20"/>
          <w:szCs w:val="20"/>
        </w:rPr>
      </w:pPr>
    </w:p>
    <w:p>
      <w:pPr>
        <w:pStyle w:val="BodyText"/>
        <w:spacing w:line="261" w:lineRule="auto" w:before="37"/>
        <w:ind w:left="1217" w:right="0" w:hanging="468"/>
        <w:jc w:val="left"/>
      </w:pPr>
      <w:r>
        <w:rPr/>
        <w:t>注</w:t>
      </w:r>
      <w:r>
        <w:rPr>
          <w:rFonts w:ascii="Arial" w:hAnsi="Arial" w:cs="Arial" w:eastAsia="Arial" w:hint="default"/>
        </w:rPr>
        <w:t>1. </w:t>
      </w:r>
      <w:r>
        <w:rPr/>
        <w:t>如附注五、</w:t>
      </w:r>
      <w:r>
        <w:rPr>
          <w:rFonts w:ascii="Arial" w:hAnsi="Arial" w:cs="Arial" w:eastAsia="Arial" w:hint="default"/>
        </w:rPr>
        <w:t>32</w:t>
      </w:r>
      <w:r>
        <w:rPr/>
        <w:t>和附注十、</w:t>
      </w:r>
      <w:r>
        <w:rPr>
          <w:rFonts w:ascii="Arial" w:hAnsi="Arial" w:cs="Arial" w:eastAsia="Arial" w:hint="default"/>
        </w:rPr>
        <w:t>2</w:t>
      </w:r>
      <w:r>
        <w:rPr/>
        <w:t>所述，于</w:t>
      </w:r>
      <w:r>
        <w:rPr>
          <w:rFonts w:ascii="Arial" w:hAnsi="Arial" w:cs="Arial" w:eastAsia="Arial" w:hint="default"/>
        </w:rPr>
        <w:t>2013</w:t>
      </w:r>
      <w:r>
        <w:rPr/>
        <w:t>年</w:t>
      </w:r>
      <w:r>
        <w:rPr>
          <w:rFonts w:ascii="Arial" w:hAnsi="Arial" w:cs="Arial" w:eastAsia="Arial" w:hint="default"/>
        </w:rPr>
        <w:t>1</w:t>
      </w:r>
      <w:r>
        <w:rPr/>
        <w:t>月，本公司回购股份</w:t>
      </w:r>
      <w:r>
        <w:rPr>
          <w:rFonts w:ascii="Arial" w:hAnsi="Arial" w:cs="Arial" w:eastAsia="Arial" w:hint="default"/>
        </w:rPr>
        <w:t>17,813,603</w:t>
      </w:r>
      <w:r>
        <w:rPr/>
        <w:t>股，回</w:t>
      </w:r>
      <w:r>
        <w:rPr>
          <w:spacing w:val="-92"/>
        </w:rPr>
        <w:t> </w:t>
      </w:r>
      <w:r>
        <w:rPr>
          <w:spacing w:val="-92"/>
        </w:rPr>
      </w:r>
      <w:r>
        <w:rPr/>
        <w:t>购后的发行在外普通股股数为</w:t>
      </w:r>
      <w:r>
        <w:rPr>
          <w:rFonts w:ascii="Arial" w:hAnsi="Arial" w:cs="Arial" w:eastAsia="Arial" w:hint="default"/>
        </w:rPr>
        <w:t>959,246,238</w:t>
      </w:r>
      <w:r>
        <w:rPr/>
        <w:t>股。</w:t>
      </w:r>
    </w:p>
    <w:p>
      <w:pPr>
        <w:spacing w:after="0" w:line="261" w:lineRule="auto"/>
        <w:jc w:val="left"/>
        <w:sectPr>
          <w:pgSz w:w="11910" w:h="16850"/>
          <w:pgMar w:header="957" w:footer="473" w:top="2600" w:bottom="660" w:left="1660" w:right="1260"/>
        </w:sectPr>
      </w:pPr>
    </w:p>
    <w:p>
      <w:pPr>
        <w:spacing w:line="240" w:lineRule="auto" w:before="8"/>
        <w:rPr>
          <w:rFonts w:ascii="黑体" w:hAnsi="黑体" w:cs="黑体" w:eastAsia="黑体" w:hint="default"/>
          <w:sz w:val="25"/>
          <w:szCs w:val="25"/>
        </w:rPr>
      </w:pPr>
    </w:p>
    <w:p>
      <w:pPr>
        <w:pStyle w:val="Heading6"/>
        <w:spacing w:line="240" w:lineRule="auto"/>
        <w:ind w:left="142" w:right="0"/>
        <w:jc w:val="left"/>
        <w:rPr>
          <w:b w:val="0"/>
          <w:bCs w:val="0"/>
        </w:rPr>
      </w:pPr>
      <w:r>
        <w:rPr/>
        <w:t>十三、公司财务报表主要项目注释（续）</w:t>
      </w:r>
      <w:r>
        <w:rPr>
          <w:b w:val="0"/>
          <w:bCs w:val="0"/>
        </w:rPr>
      </w:r>
    </w:p>
    <w:p>
      <w:pPr>
        <w:spacing w:line="240" w:lineRule="auto" w:before="3"/>
        <w:rPr>
          <w:rFonts w:ascii="黑体" w:hAnsi="黑体" w:cs="黑体" w:eastAsia="黑体" w:hint="default"/>
          <w:b/>
          <w:bCs/>
          <w:sz w:val="17"/>
          <w:szCs w:val="17"/>
        </w:rPr>
      </w:pPr>
    </w:p>
    <w:p>
      <w:pPr>
        <w:tabs>
          <w:tab w:pos="759" w:val="left" w:leader="none"/>
        </w:tabs>
        <w:spacing w:line="424" w:lineRule="auto" w:before="0"/>
        <w:ind w:left="749" w:right="4296" w:hanging="569"/>
        <w:jc w:val="left"/>
        <w:rPr>
          <w:rFonts w:ascii="黑体" w:hAnsi="黑体" w:cs="黑体" w:eastAsia="黑体" w:hint="default"/>
          <w:sz w:val="20"/>
          <w:szCs w:val="20"/>
        </w:rPr>
      </w:pPr>
      <w:r>
        <w:rPr>
          <w:rFonts w:ascii="Arial" w:hAnsi="Arial" w:cs="Arial" w:eastAsia="Arial" w:hint="default"/>
          <w:b/>
          <w:bCs/>
          <w:spacing w:val="-1"/>
          <w:w w:val="95"/>
          <w:sz w:val="20"/>
          <w:szCs w:val="20"/>
        </w:rPr>
        <w:t>39.</w:t>
        <w:tab/>
        <w:tab/>
      </w:r>
      <w:r>
        <w:rPr>
          <w:rFonts w:ascii="黑体" w:hAnsi="黑体" w:cs="黑体" w:eastAsia="黑体" w:hint="default"/>
          <w:b/>
          <w:bCs/>
          <w:spacing w:val="1"/>
          <w:sz w:val="20"/>
          <w:szCs w:val="20"/>
        </w:rPr>
        <w:t>现金流量表项目注释</w:t>
      </w:r>
      <w:r>
        <w:rPr>
          <w:rFonts w:ascii="黑体" w:hAnsi="黑体" w:cs="黑体" w:eastAsia="黑体" w:hint="default"/>
          <w:b/>
          <w:bCs/>
          <w:w w:val="99"/>
          <w:sz w:val="20"/>
          <w:szCs w:val="20"/>
        </w:rPr>
        <w:t> </w:t>
      </w:r>
      <w:r>
        <w:rPr>
          <w:rFonts w:ascii="黑体" w:hAnsi="黑体" w:cs="黑体" w:eastAsia="黑体" w:hint="default"/>
          <w:sz w:val="20"/>
          <w:szCs w:val="20"/>
        </w:rPr>
        <w:t>支付的其他与经营活动有关的现金主要包括：</w:t>
      </w:r>
    </w:p>
    <w:p>
      <w:pPr>
        <w:spacing w:line="240" w:lineRule="auto" w:before="5"/>
        <w:rPr>
          <w:rFonts w:ascii="黑体" w:hAnsi="黑体" w:cs="黑体" w:eastAsia="黑体" w:hint="default"/>
          <w:sz w:val="10"/>
          <w:szCs w:val="10"/>
        </w:rPr>
      </w:pPr>
    </w:p>
    <w:tbl>
      <w:tblPr>
        <w:tblW w:w="0" w:type="auto"/>
        <w:jc w:val="left"/>
        <w:tblInd w:w="578" w:type="dxa"/>
        <w:tblLayout w:type="fixed"/>
        <w:tblCellMar>
          <w:top w:w="0" w:type="dxa"/>
          <w:left w:w="0" w:type="dxa"/>
          <w:bottom w:w="0" w:type="dxa"/>
          <w:right w:w="0" w:type="dxa"/>
        </w:tblCellMar>
        <w:tblLook w:val="01E0"/>
      </w:tblPr>
      <w:tblGrid>
        <w:gridCol w:w="3565"/>
        <w:gridCol w:w="3024"/>
        <w:gridCol w:w="1657"/>
      </w:tblGrid>
      <w:tr>
        <w:trPr>
          <w:trHeight w:val="360" w:hRule="exact"/>
        </w:trPr>
        <w:tc>
          <w:tcPr>
            <w:tcW w:w="3565" w:type="dxa"/>
            <w:tcBorders>
              <w:top w:val="nil" w:sz="6" w:space="0" w:color="auto"/>
              <w:left w:val="nil" w:sz="6" w:space="0" w:color="auto"/>
              <w:bottom w:val="nil" w:sz="6" w:space="0" w:color="auto"/>
              <w:right w:val="nil" w:sz="6" w:space="0" w:color="auto"/>
            </w:tcBorders>
          </w:tcPr>
          <w:p>
            <w:pPr/>
          </w:p>
        </w:tc>
        <w:tc>
          <w:tcPr>
            <w:tcW w:w="3024" w:type="dxa"/>
            <w:tcBorders>
              <w:top w:val="nil" w:sz="6" w:space="0" w:color="auto"/>
              <w:left w:val="nil" w:sz="6" w:space="0" w:color="auto"/>
              <w:bottom w:val="nil" w:sz="6" w:space="0" w:color="auto"/>
              <w:right w:val="nil" w:sz="6" w:space="0" w:color="auto"/>
            </w:tcBorders>
          </w:tcPr>
          <w:p>
            <w:pPr>
              <w:pStyle w:val="TableParagraph"/>
              <w:spacing w:line="214" w:lineRule="exact"/>
              <w:ind w:right="347"/>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1657" w:type="dxa"/>
            <w:tcBorders>
              <w:top w:val="nil" w:sz="6" w:space="0" w:color="auto"/>
              <w:left w:val="nil" w:sz="6" w:space="0" w:color="auto"/>
              <w:bottom w:val="nil" w:sz="6" w:space="0" w:color="auto"/>
              <w:right w:val="nil" w:sz="6" w:space="0" w:color="auto"/>
            </w:tcBorders>
          </w:tcPr>
          <w:p>
            <w:pPr>
              <w:pStyle w:val="TableParagraph"/>
              <w:spacing w:line="214" w:lineRule="exact"/>
              <w:ind w:right="198"/>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r>
      <w:tr>
        <w:trPr>
          <w:trHeight w:val="379" w:hRule="exact"/>
        </w:trPr>
        <w:tc>
          <w:tcPr>
            <w:tcW w:w="356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00" w:right="0"/>
              <w:jc w:val="left"/>
              <w:rPr>
                <w:rFonts w:ascii="黑体" w:hAnsi="黑体" w:cs="黑体" w:eastAsia="黑体" w:hint="default"/>
                <w:sz w:val="20"/>
                <w:szCs w:val="20"/>
              </w:rPr>
            </w:pPr>
            <w:r>
              <w:rPr>
                <w:rFonts w:ascii="黑体" w:hAnsi="黑体" w:cs="黑体" w:eastAsia="黑体" w:hint="default"/>
                <w:sz w:val="20"/>
                <w:szCs w:val="20"/>
              </w:rPr>
              <w:t>业务宣传费</w:t>
            </w:r>
          </w:p>
        </w:tc>
        <w:tc>
          <w:tcPr>
            <w:tcW w:w="3024"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346"/>
              <w:jc w:val="right"/>
              <w:rPr>
                <w:rFonts w:ascii="Arial" w:hAnsi="Arial" w:cs="Arial" w:eastAsia="Arial" w:hint="default"/>
                <w:sz w:val="20"/>
                <w:szCs w:val="20"/>
              </w:rPr>
            </w:pPr>
            <w:r>
              <w:rPr>
                <w:rFonts w:ascii="Arial"/>
                <w:spacing w:val="-1"/>
                <w:sz w:val="20"/>
              </w:rPr>
              <w:t>69,759,743</w:t>
            </w:r>
            <w:r>
              <w:rPr>
                <w:rFonts w:ascii="Arial"/>
                <w:sz w:val="20"/>
              </w:rPr>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27"/>
              <w:ind w:right="198"/>
              <w:jc w:val="right"/>
              <w:rPr>
                <w:rFonts w:ascii="Arial" w:hAnsi="Arial" w:cs="Arial" w:eastAsia="Arial" w:hint="default"/>
                <w:sz w:val="20"/>
                <w:szCs w:val="20"/>
              </w:rPr>
            </w:pPr>
            <w:r>
              <w:rPr>
                <w:rFonts w:ascii="Arial"/>
                <w:spacing w:val="-1"/>
                <w:sz w:val="20"/>
              </w:rPr>
              <w:t>59,969,558</w:t>
            </w:r>
            <w:r>
              <w:rPr>
                <w:rFonts w:ascii="Arial"/>
                <w:sz w:val="20"/>
              </w:rPr>
            </w:r>
          </w:p>
        </w:tc>
      </w:tr>
      <w:tr>
        <w:trPr>
          <w:trHeight w:val="254" w:hRule="exact"/>
        </w:trPr>
        <w:tc>
          <w:tcPr>
            <w:tcW w:w="3565"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差旅交通费</w:t>
            </w:r>
          </w:p>
        </w:tc>
        <w:tc>
          <w:tcPr>
            <w:tcW w:w="302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46"/>
              <w:jc w:val="right"/>
              <w:rPr>
                <w:rFonts w:ascii="Arial" w:hAnsi="Arial" w:cs="Arial" w:eastAsia="Arial" w:hint="default"/>
                <w:sz w:val="20"/>
                <w:szCs w:val="20"/>
              </w:rPr>
            </w:pPr>
            <w:r>
              <w:rPr>
                <w:rFonts w:ascii="Arial"/>
                <w:spacing w:val="-1"/>
                <w:sz w:val="20"/>
              </w:rPr>
              <w:t>128,460,907</w:t>
            </w:r>
            <w:r>
              <w:rPr>
                <w:rFonts w:ascii="Arial"/>
                <w:sz w:val="20"/>
              </w:rPr>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98"/>
              <w:jc w:val="right"/>
              <w:rPr>
                <w:rFonts w:ascii="Arial" w:hAnsi="Arial" w:cs="Arial" w:eastAsia="Arial" w:hint="default"/>
                <w:sz w:val="20"/>
                <w:szCs w:val="20"/>
              </w:rPr>
            </w:pPr>
            <w:r>
              <w:rPr>
                <w:rFonts w:ascii="Arial"/>
                <w:spacing w:val="-1"/>
                <w:sz w:val="20"/>
              </w:rPr>
              <w:t>128,295,317</w:t>
            </w:r>
            <w:r>
              <w:rPr>
                <w:rFonts w:ascii="Arial"/>
                <w:sz w:val="20"/>
              </w:rPr>
            </w:r>
          </w:p>
        </w:tc>
      </w:tr>
      <w:tr>
        <w:trPr>
          <w:trHeight w:val="257" w:hRule="exact"/>
        </w:trPr>
        <w:tc>
          <w:tcPr>
            <w:tcW w:w="3565"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租赁费及物业管理费</w:t>
            </w:r>
          </w:p>
        </w:tc>
        <w:tc>
          <w:tcPr>
            <w:tcW w:w="30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46"/>
              <w:jc w:val="right"/>
              <w:rPr>
                <w:rFonts w:ascii="Arial" w:hAnsi="Arial" w:cs="Arial" w:eastAsia="Arial" w:hint="default"/>
                <w:sz w:val="20"/>
                <w:szCs w:val="20"/>
              </w:rPr>
            </w:pPr>
            <w:r>
              <w:rPr>
                <w:rFonts w:ascii="Arial"/>
                <w:spacing w:val="-1"/>
                <w:sz w:val="20"/>
              </w:rPr>
              <w:t>71,816,967</w:t>
            </w:r>
            <w:r>
              <w:rPr>
                <w:rFonts w:ascii="Arial"/>
                <w:sz w:val="20"/>
              </w:rPr>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98"/>
              <w:jc w:val="right"/>
              <w:rPr>
                <w:rFonts w:ascii="Arial" w:hAnsi="Arial" w:cs="Arial" w:eastAsia="Arial" w:hint="default"/>
                <w:sz w:val="20"/>
                <w:szCs w:val="20"/>
              </w:rPr>
            </w:pPr>
            <w:r>
              <w:rPr>
                <w:rFonts w:ascii="Arial"/>
                <w:spacing w:val="-1"/>
                <w:sz w:val="20"/>
              </w:rPr>
              <w:t>63,765,552</w:t>
            </w:r>
            <w:r>
              <w:rPr>
                <w:rFonts w:ascii="Arial"/>
                <w:sz w:val="20"/>
              </w:rPr>
            </w:r>
          </w:p>
        </w:tc>
      </w:tr>
      <w:tr>
        <w:trPr>
          <w:trHeight w:val="254" w:hRule="exact"/>
        </w:trPr>
        <w:tc>
          <w:tcPr>
            <w:tcW w:w="3565"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业务招待费</w:t>
            </w:r>
          </w:p>
        </w:tc>
        <w:tc>
          <w:tcPr>
            <w:tcW w:w="302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46"/>
              <w:jc w:val="right"/>
              <w:rPr>
                <w:rFonts w:ascii="Arial" w:hAnsi="Arial" w:cs="Arial" w:eastAsia="Arial" w:hint="default"/>
                <w:sz w:val="20"/>
                <w:szCs w:val="20"/>
              </w:rPr>
            </w:pPr>
            <w:r>
              <w:rPr>
                <w:rFonts w:ascii="Arial"/>
                <w:spacing w:val="-1"/>
                <w:sz w:val="20"/>
              </w:rPr>
              <w:t>63,674,061</w:t>
            </w:r>
            <w:r>
              <w:rPr>
                <w:rFonts w:ascii="Arial"/>
                <w:sz w:val="20"/>
              </w:rPr>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98"/>
              <w:jc w:val="right"/>
              <w:rPr>
                <w:rFonts w:ascii="Arial" w:hAnsi="Arial" w:cs="Arial" w:eastAsia="Arial" w:hint="default"/>
                <w:sz w:val="20"/>
                <w:szCs w:val="20"/>
              </w:rPr>
            </w:pPr>
            <w:r>
              <w:rPr>
                <w:rFonts w:ascii="Arial"/>
                <w:spacing w:val="-1"/>
                <w:sz w:val="20"/>
              </w:rPr>
              <w:t>54,272,373</w:t>
            </w:r>
            <w:r>
              <w:rPr>
                <w:rFonts w:ascii="Arial"/>
                <w:sz w:val="20"/>
              </w:rPr>
            </w:r>
          </w:p>
        </w:tc>
      </w:tr>
      <w:tr>
        <w:trPr>
          <w:trHeight w:val="228" w:hRule="exact"/>
        </w:trPr>
        <w:tc>
          <w:tcPr>
            <w:tcW w:w="3565"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办公费</w:t>
            </w:r>
          </w:p>
        </w:tc>
        <w:tc>
          <w:tcPr>
            <w:tcW w:w="302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46"/>
              <w:jc w:val="right"/>
              <w:rPr>
                <w:rFonts w:ascii="Arial" w:hAnsi="Arial" w:cs="Arial" w:eastAsia="Arial" w:hint="default"/>
                <w:sz w:val="20"/>
                <w:szCs w:val="20"/>
              </w:rPr>
            </w:pPr>
            <w:r>
              <w:rPr>
                <w:rFonts w:ascii="Arial"/>
                <w:spacing w:val="-1"/>
                <w:sz w:val="20"/>
              </w:rPr>
              <w:t>40,968,034</w:t>
            </w:r>
            <w:r>
              <w:rPr>
                <w:rFonts w:ascii="Arial"/>
                <w:sz w:val="20"/>
              </w:rPr>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98"/>
              <w:jc w:val="right"/>
              <w:rPr>
                <w:rFonts w:ascii="Arial" w:hAnsi="Arial" w:cs="Arial" w:eastAsia="Arial" w:hint="default"/>
                <w:sz w:val="20"/>
                <w:szCs w:val="20"/>
              </w:rPr>
            </w:pPr>
            <w:r>
              <w:rPr>
                <w:rFonts w:ascii="Arial"/>
                <w:spacing w:val="-1"/>
                <w:sz w:val="20"/>
              </w:rPr>
              <w:t>45,346,446</w:t>
            </w:r>
            <w:r>
              <w:rPr>
                <w:rFonts w:ascii="Arial"/>
                <w:sz w:val="20"/>
              </w:rPr>
            </w:r>
          </w:p>
        </w:tc>
      </w:tr>
    </w:tbl>
    <w:p>
      <w:pPr>
        <w:spacing w:line="240" w:lineRule="auto" w:before="13"/>
        <w:rPr>
          <w:rFonts w:ascii="黑体" w:hAnsi="黑体" w:cs="黑体" w:eastAsia="黑体" w:hint="default"/>
          <w:sz w:val="13"/>
          <w:szCs w:val="13"/>
        </w:rPr>
      </w:pPr>
    </w:p>
    <w:p>
      <w:pPr>
        <w:pStyle w:val="Heading6"/>
        <w:tabs>
          <w:tab w:pos="744" w:val="left" w:leader="none"/>
        </w:tabs>
        <w:spacing w:line="240" w:lineRule="auto"/>
        <w:ind w:left="166" w:right="0"/>
        <w:jc w:val="left"/>
        <w:rPr>
          <w:b w:val="0"/>
          <w:bCs w:val="0"/>
        </w:rPr>
      </w:pPr>
      <w:r>
        <w:rPr>
          <w:rFonts w:ascii="Arial" w:hAnsi="Arial" w:cs="Arial" w:eastAsia="Arial" w:hint="default"/>
          <w:spacing w:val="-1"/>
          <w:w w:val="95"/>
        </w:rPr>
        <w:t>40.</w:t>
        <w:tab/>
      </w:r>
      <w:r>
        <w:rPr>
          <w:spacing w:val="1"/>
        </w:rPr>
        <w:t>现金流量表补充资料</w:t>
      </w:r>
      <w:r>
        <w:rPr>
          <w:b w:val="0"/>
          <w:bCs w:val="0"/>
          <w:spacing w:val="1"/>
        </w:rPr>
      </w:r>
    </w:p>
    <w:p>
      <w:pPr>
        <w:pStyle w:val="BodyText"/>
        <w:spacing w:line="240" w:lineRule="auto" w:before="110"/>
        <w:ind w:left="754" w:right="0"/>
        <w:jc w:val="left"/>
      </w:pPr>
      <w:r>
        <w:rPr>
          <w:rFonts w:ascii="Arial" w:hAnsi="Arial" w:cs="Arial" w:eastAsia="Arial" w:hint="default"/>
        </w:rPr>
        <w:t>(1)  </w:t>
      </w:r>
      <w:r>
        <w:rPr>
          <w:rFonts w:ascii="Arial" w:hAnsi="Arial" w:cs="Arial" w:eastAsia="Arial" w:hint="default"/>
          <w:spacing w:val="17"/>
        </w:rPr>
        <w:t> </w:t>
      </w:r>
      <w:r>
        <w:rPr/>
        <w:t>现金流量表补充资料</w:t>
      </w:r>
    </w:p>
    <w:p>
      <w:pPr>
        <w:spacing w:line="240" w:lineRule="auto" w:before="1"/>
        <w:rPr>
          <w:rFonts w:ascii="黑体" w:hAnsi="黑体" w:cs="黑体" w:eastAsia="黑体" w:hint="default"/>
          <w:sz w:val="21"/>
          <w:szCs w:val="21"/>
        </w:rPr>
      </w:pPr>
    </w:p>
    <w:tbl>
      <w:tblPr>
        <w:tblW w:w="0" w:type="auto"/>
        <w:jc w:val="left"/>
        <w:tblInd w:w="578" w:type="dxa"/>
        <w:tblLayout w:type="fixed"/>
        <w:tblCellMar>
          <w:top w:w="0" w:type="dxa"/>
          <w:left w:w="0" w:type="dxa"/>
          <w:bottom w:w="0" w:type="dxa"/>
          <w:right w:w="0" w:type="dxa"/>
        </w:tblCellMar>
        <w:tblLook w:val="01E0"/>
      </w:tblPr>
      <w:tblGrid>
        <w:gridCol w:w="3283"/>
        <w:gridCol w:w="1474"/>
        <w:gridCol w:w="1510"/>
        <w:gridCol w:w="339"/>
        <w:gridCol w:w="1451"/>
        <w:gridCol w:w="296"/>
      </w:tblGrid>
      <w:tr>
        <w:trPr>
          <w:trHeight w:val="350" w:hRule="exact"/>
        </w:trPr>
        <w:tc>
          <w:tcPr>
            <w:tcW w:w="3283"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Style w:val="TableParagraph"/>
              <w:spacing w:line="199" w:lineRule="exact"/>
              <w:ind w:left="88" w:right="0"/>
              <w:jc w:val="center"/>
              <w:rPr>
                <w:rFonts w:ascii="黑体" w:hAnsi="黑体" w:cs="黑体" w:eastAsia="黑体" w:hint="default"/>
                <w:sz w:val="20"/>
                <w:szCs w:val="20"/>
              </w:rPr>
            </w:pPr>
            <w:r>
              <w:rPr>
                <w:rFonts w:ascii="黑体" w:hAnsi="黑体" w:cs="黑体" w:eastAsia="黑体" w:hint="default"/>
                <w:sz w:val="20"/>
                <w:szCs w:val="20"/>
              </w:rPr>
              <w:t>附注十三</w:t>
            </w:r>
          </w:p>
        </w:tc>
        <w:tc>
          <w:tcPr>
            <w:tcW w:w="1510" w:type="dxa"/>
            <w:tcBorders>
              <w:top w:val="nil" w:sz="6" w:space="0" w:color="auto"/>
              <w:left w:val="nil" w:sz="6" w:space="0" w:color="auto"/>
              <w:bottom w:val="nil" w:sz="6" w:space="0" w:color="auto"/>
              <w:right w:val="nil" w:sz="6" w:space="0" w:color="auto"/>
            </w:tcBorders>
          </w:tcPr>
          <w:p>
            <w:pPr>
              <w:pStyle w:val="TableParagraph"/>
              <w:spacing w:line="214" w:lineRule="exact"/>
              <w:ind w:right="28"/>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339"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14" w:lineRule="exact"/>
              <w:ind w:right="27"/>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c>
          <w:tcPr>
            <w:tcW w:w="296" w:type="dxa"/>
            <w:tcBorders>
              <w:top w:val="nil" w:sz="6" w:space="0" w:color="auto"/>
              <w:left w:val="nil" w:sz="6" w:space="0" w:color="auto"/>
              <w:bottom w:val="nil" w:sz="6" w:space="0" w:color="auto"/>
              <w:right w:val="nil" w:sz="6" w:space="0" w:color="auto"/>
            </w:tcBorders>
          </w:tcPr>
          <w:p>
            <w:pPr/>
          </w:p>
        </w:tc>
      </w:tr>
      <w:tr>
        <w:trPr>
          <w:trHeight w:val="486" w:hRule="exact"/>
        </w:trPr>
        <w:tc>
          <w:tcPr>
            <w:tcW w:w="8353"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79"/>
              <w:ind w:left="200" w:right="0"/>
              <w:jc w:val="left"/>
              <w:rPr>
                <w:rFonts w:ascii="黑体" w:hAnsi="黑体" w:cs="黑体" w:eastAsia="黑体" w:hint="default"/>
                <w:sz w:val="20"/>
                <w:szCs w:val="20"/>
              </w:rPr>
            </w:pPr>
            <w:r>
              <w:rPr>
                <w:rFonts w:ascii="黑体" w:hAnsi="黑体" w:cs="黑体" w:eastAsia="黑体" w:hint="default"/>
                <w:sz w:val="20"/>
                <w:szCs w:val="20"/>
              </w:rPr>
              <w:t>将净利润调节为经营活动的现金流量：</w:t>
            </w:r>
          </w:p>
        </w:tc>
      </w:tr>
      <w:tr>
        <w:trPr>
          <w:trHeight w:val="386" w:hRule="exact"/>
        </w:trPr>
        <w:tc>
          <w:tcPr>
            <w:tcW w:w="3283" w:type="dxa"/>
            <w:tcBorders>
              <w:top w:val="nil" w:sz="6" w:space="0" w:color="auto"/>
              <w:left w:val="nil" w:sz="6" w:space="0" w:color="auto"/>
              <w:bottom w:val="nil" w:sz="6" w:space="0" w:color="auto"/>
              <w:right w:val="nil" w:sz="6" w:space="0" w:color="auto"/>
            </w:tcBorders>
          </w:tcPr>
          <w:p>
            <w:pPr>
              <w:pStyle w:val="TableParagraph"/>
              <w:spacing w:line="240" w:lineRule="auto" w:before="82"/>
              <w:ind w:left="200" w:right="0"/>
              <w:jc w:val="left"/>
              <w:rPr>
                <w:rFonts w:ascii="黑体" w:hAnsi="黑体" w:cs="黑体" w:eastAsia="黑体" w:hint="default"/>
                <w:sz w:val="20"/>
                <w:szCs w:val="20"/>
              </w:rPr>
            </w:pPr>
            <w:r>
              <w:rPr>
                <w:rFonts w:ascii="黑体" w:hAnsi="黑体" w:cs="黑体" w:eastAsia="黑体" w:hint="default"/>
                <w:sz w:val="20"/>
                <w:szCs w:val="20"/>
              </w:rPr>
              <w:t>净利润</w:t>
            </w:r>
          </w:p>
        </w:tc>
        <w:tc>
          <w:tcPr>
            <w:tcW w:w="147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28"/>
              <w:jc w:val="right"/>
              <w:rPr>
                <w:rFonts w:ascii="Arial" w:hAnsi="Arial" w:cs="Arial" w:eastAsia="Arial" w:hint="default"/>
                <w:sz w:val="20"/>
                <w:szCs w:val="20"/>
              </w:rPr>
            </w:pPr>
            <w:r>
              <w:rPr>
                <w:rFonts w:ascii="Arial"/>
                <w:spacing w:val="-1"/>
                <w:sz w:val="20"/>
              </w:rPr>
              <w:t>426,571,801</w:t>
            </w:r>
            <w:r>
              <w:rPr>
                <w:rFonts w:ascii="Arial"/>
                <w:sz w:val="20"/>
              </w:rPr>
            </w:r>
          </w:p>
        </w:tc>
        <w:tc>
          <w:tcPr>
            <w:tcW w:w="339"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28"/>
              <w:jc w:val="right"/>
              <w:rPr>
                <w:rFonts w:ascii="Arial" w:hAnsi="Arial" w:cs="Arial" w:eastAsia="Arial" w:hint="default"/>
                <w:sz w:val="20"/>
                <w:szCs w:val="20"/>
              </w:rPr>
            </w:pPr>
            <w:r>
              <w:rPr>
                <w:rFonts w:ascii="Arial"/>
                <w:spacing w:val="-1"/>
                <w:sz w:val="20"/>
              </w:rPr>
              <w:t>486,705,905</w:t>
            </w:r>
            <w:r>
              <w:rPr>
                <w:rFonts w:ascii="Arial"/>
                <w:sz w:val="20"/>
              </w:rPr>
            </w:r>
          </w:p>
        </w:tc>
        <w:tc>
          <w:tcPr>
            <w:tcW w:w="296" w:type="dxa"/>
            <w:tcBorders>
              <w:top w:val="nil" w:sz="6" w:space="0" w:color="auto"/>
              <w:left w:val="nil" w:sz="6" w:space="0" w:color="auto"/>
              <w:bottom w:val="nil" w:sz="6" w:space="0" w:color="auto"/>
              <w:right w:val="nil" w:sz="6" w:space="0" w:color="auto"/>
            </w:tcBorders>
          </w:tcPr>
          <w:p>
            <w:pPr/>
          </w:p>
        </w:tc>
      </w:tr>
      <w:tr>
        <w:trPr>
          <w:trHeight w:val="259" w:hRule="exact"/>
        </w:trPr>
        <w:tc>
          <w:tcPr>
            <w:tcW w:w="3283" w:type="dxa"/>
            <w:tcBorders>
              <w:top w:val="nil" w:sz="6" w:space="0" w:color="auto"/>
              <w:left w:val="nil" w:sz="6" w:space="0" w:color="auto"/>
              <w:bottom w:val="nil" w:sz="6" w:space="0" w:color="auto"/>
              <w:right w:val="nil" w:sz="6" w:space="0" w:color="auto"/>
            </w:tcBorders>
          </w:tcPr>
          <w:p>
            <w:pPr>
              <w:pStyle w:val="TableParagraph"/>
              <w:spacing w:line="231" w:lineRule="exact"/>
              <w:ind w:left="200" w:right="0"/>
              <w:jc w:val="left"/>
              <w:rPr>
                <w:rFonts w:ascii="黑体" w:hAnsi="黑体" w:cs="黑体" w:eastAsia="黑体" w:hint="default"/>
                <w:sz w:val="20"/>
                <w:szCs w:val="20"/>
              </w:rPr>
            </w:pPr>
            <w:r>
              <w:rPr>
                <w:rFonts w:ascii="黑体" w:hAnsi="黑体" w:cs="黑体" w:eastAsia="黑体" w:hint="default"/>
                <w:sz w:val="20"/>
                <w:szCs w:val="20"/>
              </w:rPr>
              <w:t>加</w:t>
            </w:r>
            <w:r>
              <w:rPr>
                <w:rFonts w:ascii="Arial" w:hAnsi="Arial" w:cs="Arial" w:eastAsia="Arial" w:hint="default"/>
                <w:sz w:val="20"/>
                <w:szCs w:val="20"/>
              </w:rPr>
              <w:t>:</w:t>
            </w:r>
            <w:r>
              <w:rPr>
                <w:rFonts w:ascii="黑体" w:hAnsi="黑体" w:cs="黑体" w:eastAsia="黑体" w:hint="default"/>
                <w:sz w:val="20"/>
                <w:szCs w:val="20"/>
              </w:rPr>
              <w:t>资产减值损失</w:t>
            </w:r>
          </w:p>
        </w:tc>
        <w:tc>
          <w:tcPr>
            <w:tcW w:w="1474" w:type="dxa"/>
            <w:tcBorders>
              <w:top w:val="nil" w:sz="6" w:space="0" w:color="auto"/>
              <w:left w:val="nil" w:sz="6" w:space="0" w:color="auto"/>
              <w:bottom w:val="nil" w:sz="6" w:space="0" w:color="auto"/>
              <w:right w:val="nil" w:sz="6" w:space="0" w:color="auto"/>
            </w:tcBorders>
          </w:tcPr>
          <w:p>
            <w:pPr>
              <w:pStyle w:val="TableParagraph"/>
              <w:spacing w:line="227" w:lineRule="exact"/>
              <w:ind w:left="88" w:right="0"/>
              <w:jc w:val="center"/>
              <w:rPr>
                <w:rFonts w:ascii="Arial" w:hAnsi="Arial" w:cs="Arial" w:eastAsia="Arial" w:hint="default"/>
                <w:sz w:val="20"/>
                <w:szCs w:val="20"/>
              </w:rPr>
            </w:pPr>
            <w:r>
              <w:rPr>
                <w:rFonts w:ascii="Arial"/>
                <w:sz w:val="20"/>
              </w:rPr>
              <w:t>33</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6"/>
              <w:jc w:val="right"/>
              <w:rPr>
                <w:rFonts w:ascii="Arial" w:hAnsi="Arial" w:cs="Arial" w:eastAsia="Arial" w:hint="default"/>
                <w:sz w:val="20"/>
                <w:szCs w:val="20"/>
              </w:rPr>
            </w:pPr>
            <w:r>
              <w:rPr>
                <w:rFonts w:ascii="Arial"/>
                <w:spacing w:val="-1"/>
                <w:sz w:val="20"/>
              </w:rPr>
              <w:t>55,545,512</w:t>
            </w:r>
            <w:r>
              <w:rPr>
                <w:rFonts w:ascii="Arial"/>
                <w:sz w:val="20"/>
              </w:rPr>
            </w:r>
          </w:p>
        </w:tc>
        <w:tc>
          <w:tcPr>
            <w:tcW w:w="339"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8"/>
              <w:jc w:val="right"/>
              <w:rPr>
                <w:rFonts w:ascii="Arial" w:hAnsi="Arial" w:cs="Arial" w:eastAsia="Arial" w:hint="default"/>
                <w:sz w:val="20"/>
                <w:szCs w:val="20"/>
              </w:rPr>
            </w:pPr>
            <w:r>
              <w:rPr>
                <w:rFonts w:ascii="Arial"/>
                <w:spacing w:val="-1"/>
                <w:sz w:val="20"/>
              </w:rPr>
              <w:t>19,618,918</w:t>
            </w:r>
            <w:r>
              <w:rPr>
                <w:rFonts w:ascii="Arial"/>
                <w:sz w:val="20"/>
              </w:rPr>
            </w:r>
          </w:p>
        </w:tc>
        <w:tc>
          <w:tcPr>
            <w:tcW w:w="296" w:type="dxa"/>
            <w:tcBorders>
              <w:top w:val="nil" w:sz="6" w:space="0" w:color="auto"/>
              <w:left w:val="nil" w:sz="6" w:space="0" w:color="auto"/>
              <w:bottom w:val="nil" w:sz="6" w:space="0" w:color="auto"/>
              <w:right w:val="nil" w:sz="6" w:space="0" w:color="auto"/>
            </w:tcBorders>
          </w:tcPr>
          <w:p>
            <w:pPr/>
          </w:p>
        </w:tc>
      </w:tr>
      <w:tr>
        <w:trPr>
          <w:trHeight w:val="260" w:hRule="exact"/>
        </w:trPr>
        <w:tc>
          <w:tcPr>
            <w:tcW w:w="3283" w:type="dxa"/>
            <w:tcBorders>
              <w:top w:val="nil" w:sz="6" w:space="0" w:color="auto"/>
              <w:left w:val="nil" w:sz="6" w:space="0" w:color="auto"/>
              <w:bottom w:val="nil" w:sz="6" w:space="0" w:color="auto"/>
              <w:right w:val="nil" w:sz="6" w:space="0" w:color="auto"/>
            </w:tcBorders>
          </w:tcPr>
          <w:p>
            <w:pPr>
              <w:pStyle w:val="TableParagraph"/>
              <w:spacing w:line="217" w:lineRule="exact"/>
              <w:ind w:left="200" w:right="0"/>
              <w:jc w:val="left"/>
              <w:rPr>
                <w:rFonts w:ascii="黑体" w:hAnsi="黑体" w:cs="黑体" w:eastAsia="黑体" w:hint="default"/>
                <w:sz w:val="20"/>
                <w:szCs w:val="20"/>
              </w:rPr>
            </w:pPr>
            <w:r>
              <w:rPr>
                <w:rFonts w:ascii="黑体" w:hAnsi="黑体" w:cs="黑体" w:eastAsia="黑体" w:hint="default"/>
                <w:sz w:val="20"/>
                <w:szCs w:val="20"/>
              </w:rPr>
              <w:t>固定资产折旧</w:t>
            </w:r>
          </w:p>
        </w:tc>
        <w:tc>
          <w:tcPr>
            <w:tcW w:w="1474" w:type="dxa"/>
            <w:tcBorders>
              <w:top w:val="nil" w:sz="6" w:space="0" w:color="auto"/>
              <w:left w:val="nil" w:sz="6" w:space="0" w:color="auto"/>
              <w:bottom w:val="nil" w:sz="6" w:space="0" w:color="auto"/>
              <w:right w:val="nil" w:sz="6" w:space="0" w:color="auto"/>
            </w:tcBorders>
          </w:tcPr>
          <w:p>
            <w:pPr>
              <w:pStyle w:val="TableParagraph"/>
              <w:spacing w:line="227" w:lineRule="exact"/>
              <w:ind w:left="93" w:right="0"/>
              <w:jc w:val="center"/>
              <w:rPr>
                <w:rFonts w:ascii="Arial" w:hAnsi="Arial" w:cs="Arial" w:eastAsia="Arial" w:hint="default"/>
                <w:sz w:val="20"/>
                <w:szCs w:val="20"/>
              </w:rPr>
            </w:pPr>
            <w:r>
              <w:rPr>
                <w:rFonts w:ascii="Arial"/>
                <w:w w:val="99"/>
                <w:sz w:val="20"/>
              </w:rPr>
              <w:t>9</w:t>
            </w:r>
            <w:r>
              <w:rPr>
                <w:rFonts w:ascii="Arial"/>
                <w:sz w:val="20"/>
              </w:rPr>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6"/>
              <w:jc w:val="right"/>
              <w:rPr>
                <w:rFonts w:ascii="Arial" w:hAnsi="Arial" w:cs="Arial" w:eastAsia="Arial" w:hint="default"/>
                <w:sz w:val="20"/>
                <w:szCs w:val="20"/>
              </w:rPr>
            </w:pPr>
            <w:r>
              <w:rPr>
                <w:rFonts w:ascii="Arial"/>
                <w:spacing w:val="-1"/>
                <w:sz w:val="20"/>
              </w:rPr>
              <w:t>56,833,241</w:t>
            </w:r>
            <w:r>
              <w:rPr>
                <w:rFonts w:ascii="Arial"/>
                <w:sz w:val="20"/>
              </w:rPr>
            </w:r>
          </w:p>
        </w:tc>
        <w:tc>
          <w:tcPr>
            <w:tcW w:w="339"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8"/>
              <w:jc w:val="right"/>
              <w:rPr>
                <w:rFonts w:ascii="Arial" w:hAnsi="Arial" w:cs="Arial" w:eastAsia="Arial" w:hint="default"/>
                <w:sz w:val="20"/>
                <w:szCs w:val="20"/>
              </w:rPr>
            </w:pPr>
            <w:r>
              <w:rPr>
                <w:rFonts w:ascii="Arial"/>
                <w:spacing w:val="-1"/>
                <w:sz w:val="20"/>
              </w:rPr>
              <w:t>53,907,625</w:t>
            </w:r>
            <w:r>
              <w:rPr>
                <w:rFonts w:ascii="Arial"/>
                <w:sz w:val="20"/>
              </w:rPr>
            </w:r>
          </w:p>
        </w:tc>
        <w:tc>
          <w:tcPr>
            <w:tcW w:w="296" w:type="dxa"/>
            <w:tcBorders>
              <w:top w:val="nil" w:sz="6" w:space="0" w:color="auto"/>
              <w:left w:val="nil" w:sz="6" w:space="0" w:color="auto"/>
              <w:bottom w:val="nil" w:sz="6" w:space="0" w:color="auto"/>
              <w:right w:val="nil" w:sz="6" w:space="0" w:color="auto"/>
            </w:tcBorders>
          </w:tcPr>
          <w:p>
            <w:pPr/>
          </w:p>
        </w:tc>
      </w:tr>
      <w:tr>
        <w:trPr>
          <w:trHeight w:val="259" w:hRule="exact"/>
        </w:trPr>
        <w:tc>
          <w:tcPr>
            <w:tcW w:w="3283" w:type="dxa"/>
            <w:tcBorders>
              <w:top w:val="nil" w:sz="6" w:space="0" w:color="auto"/>
              <w:left w:val="nil" w:sz="6" w:space="0" w:color="auto"/>
              <w:bottom w:val="nil" w:sz="6" w:space="0" w:color="auto"/>
              <w:right w:val="nil" w:sz="6" w:space="0" w:color="auto"/>
            </w:tcBorders>
          </w:tcPr>
          <w:p>
            <w:pPr>
              <w:pStyle w:val="TableParagraph"/>
              <w:spacing w:line="218" w:lineRule="exact"/>
              <w:ind w:left="200" w:right="0"/>
              <w:jc w:val="left"/>
              <w:rPr>
                <w:rFonts w:ascii="黑体" w:hAnsi="黑体" w:cs="黑体" w:eastAsia="黑体" w:hint="default"/>
                <w:sz w:val="20"/>
                <w:szCs w:val="20"/>
              </w:rPr>
            </w:pPr>
            <w:r>
              <w:rPr>
                <w:rFonts w:ascii="黑体" w:hAnsi="黑体" w:cs="黑体" w:eastAsia="黑体" w:hint="default"/>
                <w:sz w:val="20"/>
                <w:szCs w:val="20"/>
              </w:rPr>
              <w:t>无形资产摊销</w:t>
            </w:r>
          </w:p>
        </w:tc>
        <w:tc>
          <w:tcPr>
            <w:tcW w:w="1474" w:type="dxa"/>
            <w:tcBorders>
              <w:top w:val="nil" w:sz="6" w:space="0" w:color="auto"/>
              <w:left w:val="nil" w:sz="6" w:space="0" w:color="auto"/>
              <w:bottom w:val="nil" w:sz="6" w:space="0" w:color="auto"/>
              <w:right w:val="nil" w:sz="6" w:space="0" w:color="auto"/>
            </w:tcBorders>
          </w:tcPr>
          <w:p>
            <w:pPr>
              <w:pStyle w:val="TableParagraph"/>
              <w:spacing w:line="225" w:lineRule="exact"/>
              <w:ind w:left="88" w:right="0"/>
              <w:jc w:val="center"/>
              <w:rPr>
                <w:rFonts w:ascii="Arial" w:hAnsi="Arial" w:cs="Arial" w:eastAsia="Arial" w:hint="default"/>
                <w:sz w:val="20"/>
                <w:szCs w:val="20"/>
              </w:rPr>
            </w:pPr>
            <w:r>
              <w:rPr>
                <w:rFonts w:ascii="Arial"/>
                <w:sz w:val="20"/>
              </w:rPr>
              <w:t>11</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
              <w:jc w:val="right"/>
              <w:rPr>
                <w:rFonts w:ascii="Arial" w:hAnsi="Arial" w:cs="Arial" w:eastAsia="Arial" w:hint="default"/>
                <w:sz w:val="20"/>
                <w:szCs w:val="20"/>
              </w:rPr>
            </w:pPr>
            <w:r>
              <w:rPr>
                <w:rFonts w:ascii="Arial"/>
                <w:spacing w:val="-1"/>
                <w:sz w:val="20"/>
              </w:rPr>
              <w:t>15,009,186</w:t>
            </w:r>
            <w:r>
              <w:rPr>
                <w:rFonts w:ascii="Arial"/>
                <w:sz w:val="20"/>
              </w:rPr>
            </w:r>
          </w:p>
        </w:tc>
        <w:tc>
          <w:tcPr>
            <w:tcW w:w="339"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
              <w:jc w:val="right"/>
              <w:rPr>
                <w:rFonts w:ascii="Arial" w:hAnsi="Arial" w:cs="Arial" w:eastAsia="Arial" w:hint="default"/>
                <w:sz w:val="20"/>
                <w:szCs w:val="20"/>
              </w:rPr>
            </w:pPr>
            <w:r>
              <w:rPr>
                <w:rFonts w:ascii="Arial"/>
                <w:spacing w:val="-1"/>
                <w:sz w:val="20"/>
              </w:rPr>
              <w:t>14,748,779</w:t>
            </w:r>
            <w:r>
              <w:rPr>
                <w:rFonts w:ascii="Arial"/>
                <w:sz w:val="20"/>
              </w:rPr>
            </w:r>
          </w:p>
        </w:tc>
        <w:tc>
          <w:tcPr>
            <w:tcW w:w="296" w:type="dxa"/>
            <w:tcBorders>
              <w:top w:val="nil" w:sz="6" w:space="0" w:color="auto"/>
              <w:left w:val="nil" w:sz="6" w:space="0" w:color="auto"/>
              <w:bottom w:val="nil" w:sz="6" w:space="0" w:color="auto"/>
              <w:right w:val="nil" w:sz="6" w:space="0" w:color="auto"/>
            </w:tcBorders>
          </w:tcPr>
          <w:p>
            <w:pPr/>
          </w:p>
        </w:tc>
      </w:tr>
      <w:tr>
        <w:trPr>
          <w:trHeight w:val="259" w:hRule="exact"/>
        </w:trPr>
        <w:tc>
          <w:tcPr>
            <w:tcW w:w="3283" w:type="dxa"/>
            <w:tcBorders>
              <w:top w:val="nil" w:sz="6" w:space="0" w:color="auto"/>
              <w:left w:val="nil" w:sz="6" w:space="0" w:color="auto"/>
              <w:bottom w:val="nil" w:sz="6" w:space="0" w:color="auto"/>
              <w:right w:val="nil" w:sz="6" w:space="0" w:color="auto"/>
            </w:tcBorders>
          </w:tcPr>
          <w:p>
            <w:pPr>
              <w:pStyle w:val="TableParagraph"/>
              <w:spacing w:line="218" w:lineRule="exact"/>
              <w:ind w:left="200" w:right="0"/>
              <w:jc w:val="left"/>
              <w:rPr>
                <w:rFonts w:ascii="黑体" w:hAnsi="黑体" w:cs="黑体" w:eastAsia="黑体" w:hint="default"/>
                <w:sz w:val="20"/>
                <w:szCs w:val="20"/>
              </w:rPr>
            </w:pPr>
            <w:r>
              <w:rPr>
                <w:rFonts w:ascii="黑体" w:hAnsi="黑体" w:cs="黑体" w:eastAsia="黑体" w:hint="default"/>
                <w:sz w:val="20"/>
                <w:szCs w:val="20"/>
              </w:rPr>
              <w:t>长期待摊费用摊销</w:t>
            </w:r>
          </w:p>
        </w:tc>
        <w:tc>
          <w:tcPr>
            <w:tcW w:w="1474" w:type="dxa"/>
            <w:tcBorders>
              <w:top w:val="nil" w:sz="6" w:space="0" w:color="auto"/>
              <w:left w:val="nil" w:sz="6" w:space="0" w:color="auto"/>
              <w:bottom w:val="nil" w:sz="6" w:space="0" w:color="auto"/>
              <w:right w:val="nil" w:sz="6" w:space="0" w:color="auto"/>
            </w:tcBorders>
          </w:tcPr>
          <w:p>
            <w:pPr>
              <w:pStyle w:val="TableParagraph"/>
              <w:spacing w:line="226" w:lineRule="exact"/>
              <w:ind w:left="88" w:right="0"/>
              <w:jc w:val="center"/>
              <w:rPr>
                <w:rFonts w:ascii="Arial" w:hAnsi="Arial" w:cs="Arial" w:eastAsia="Arial" w:hint="default"/>
                <w:sz w:val="20"/>
                <w:szCs w:val="20"/>
              </w:rPr>
            </w:pPr>
            <w:r>
              <w:rPr>
                <w:rFonts w:ascii="Arial"/>
                <w:sz w:val="20"/>
              </w:rPr>
              <w:t>14</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Arial" w:hAnsi="Arial" w:cs="Arial" w:eastAsia="Arial" w:hint="default"/>
                <w:sz w:val="20"/>
                <w:szCs w:val="20"/>
              </w:rPr>
            </w:pPr>
            <w:r>
              <w:rPr>
                <w:rFonts w:ascii="Arial"/>
                <w:spacing w:val="-1"/>
                <w:sz w:val="20"/>
              </w:rPr>
              <w:t>9,918,360</w:t>
            </w:r>
          </w:p>
        </w:tc>
        <w:tc>
          <w:tcPr>
            <w:tcW w:w="339"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7"/>
              <w:jc w:val="right"/>
              <w:rPr>
                <w:rFonts w:ascii="Arial" w:hAnsi="Arial" w:cs="Arial" w:eastAsia="Arial" w:hint="default"/>
                <w:sz w:val="20"/>
                <w:szCs w:val="20"/>
              </w:rPr>
            </w:pPr>
            <w:r>
              <w:rPr>
                <w:rFonts w:ascii="Arial"/>
                <w:spacing w:val="-1"/>
                <w:sz w:val="20"/>
              </w:rPr>
              <w:t>9,636,752</w:t>
            </w:r>
          </w:p>
        </w:tc>
        <w:tc>
          <w:tcPr>
            <w:tcW w:w="296" w:type="dxa"/>
            <w:tcBorders>
              <w:top w:val="nil" w:sz="6" w:space="0" w:color="auto"/>
              <w:left w:val="nil" w:sz="6" w:space="0" w:color="auto"/>
              <w:bottom w:val="nil" w:sz="6" w:space="0" w:color="auto"/>
              <w:right w:val="nil" w:sz="6" w:space="0" w:color="auto"/>
            </w:tcBorders>
          </w:tcPr>
          <w:p>
            <w:pPr/>
          </w:p>
        </w:tc>
      </w:tr>
      <w:tr>
        <w:trPr>
          <w:trHeight w:val="257" w:hRule="exact"/>
        </w:trPr>
        <w:tc>
          <w:tcPr>
            <w:tcW w:w="3283" w:type="dxa"/>
            <w:tcBorders>
              <w:top w:val="nil" w:sz="6" w:space="0" w:color="auto"/>
              <w:left w:val="nil" w:sz="6" w:space="0" w:color="auto"/>
              <w:bottom w:val="nil" w:sz="6" w:space="0" w:color="auto"/>
              <w:right w:val="nil" w:sz="6" w:space="0" w:color="auto"/>
            </w:tcBorders>
          </w:tcPr>
          <w:p>
            <w:pPr>
              <w:pStyle w:val="TableParagraph"/>
              <w:spacing w:line="218" w:lineRule="exact"/>
              <w:ind w:left="200" w:right="0"/>
              <w:jc w:val="left"/>
              <w:rPr>
                <w:rFonts w:ascii="黑体" w:hAnsi="黑体" w:cs="黑体" w:eastAsia="黑体" w:hint="default"/>
                <w:sz w:val="20"/>
                <w:szCs w:val="20"/>
              </w:rPr>
            </w:pPr>
            <w:r>
              <w:rPr>
                <w:rFonts w:ascii="黑体" w:hAnsi="黑体" w:cs="黑体" w:eastAsia="黑体" w:hint="default"/>
                <w:sz w:val="20"/>
                <w:szCs w:val="20"/>
              </w:rPr>
              <w:t>固定资产及无形资产处置损失</w:t>
            </w:r>
          </w:p>
        </w:tc>
        <w:tc>
          <w:tcPr>
            <w:tcW w:w="147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Arial" w:hAnsi="Arial" w:cs="Arial" w:eastAsia="Arial" w:hint="default"/>
                <w:sz w:val="20"/>
                <w:szCs w:val="20"/>
              </w:rPr>
            </w:pPr>
            <w:r>
              <w:rPr>
                <w:rFonts w:ascii="Arial"/>
                <w:spacing w:val="-1"/>
                <w:w w:val="95"/>
                <w:sz w:val="20"/>
              </w:rPr>
              <w:t>146,415</w:t>
            </w:r>
            <w:r>
              <w:rPr>
                <w:rFonts w:ascii="Arial"/>
                <w:sz w:val="20"/>
              </w:rPr>
            </w:r>
          </w:p>
        </w:tc>
        <w:tc>
          <w:tcPr>
            <w:tcW w:w="339"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
              <w:jc w:val="right"/>
              <w:rPr>
                <w:rFonts w:ascii="Arial" w:hAnsi="Arial" w:cs="Arial" w:eastAsia="Arial" w:hint="default"/>
                <w:sz w:val="20"/>
                <w:szCs w:val="20"/>
              </w:rPr>
            </w:pPr>
            <w:r>
              <w:rPr>
                <w:rFonts w:ascii="Arial"/>
                <w:spacing w:val="-1"/>
                <w:sz w:val="20"/>
              </w:rPr>
              <w:t>84,241</w:t>
            </w:r>
            <w:r>
              <w:rPr>
                <w:rFonts w:ascii="Arial"/>
                <w:sz w:val="20"/>
              </w:rPr>
            </w:r>
          </w:p>
        </w:tc>
        <w:tc>
          <w:tcPr>
            <w:tcW w:w="296" w:type="dxa"/>
            <w:tcBorders>
              <w:top w:val="nil" w:sz="6" w:space="0" w:color="auto"/>
              <w:left w:val="nil" w:sz="6" w:space="0" w:color="auto"/>
              <w:bottom w:val="nil" w:sz="6" w:space="0" w:color="auto"/>
              <w:right w:val="nil" w:sz="6" w:space="0" w:color="auto"/>
            </w:tcBorders>
          </w:tcPr>
          <w:p>
            <w:pPr/>
          </w:p>
        </w:tc>
      </w:tr>
      <w:tr>
        <w:trPr>
          <w:trHeight w:val="262" w:hRule="exact"/>
        </w:trPr>
        <w:tc>
          <w:tcPr>
            <w:tcW w:w="3283" w:type="dxa"/>
            <w:tcBorders>
              <w:top w:val="nil" w:sz="6" w:space="0" w:color="auto"/>
              <w:left w:val="nil" w:sz="6" w:space="0" w:color="auto"/>
              <w:bottom w:val="nil" w:sz="6" w:space="0" w:color="auto"/>
              <w:right w:val="nil" w:sz="6" w:space="0" w:color="auto"/>
            </w:tcBorders>
          </w:tcPr>
          <w:p>
            <w:pPr>
              <w:pStyle w:val="TableParagraph"/>
              <w:spacing w:line="235" w:lineRule="exact"/>
              <w:ind w:left="200" w:right="0"/>
              <w:jc w:val="left"/>
              <w:rPr>
                <w:rFonts w:ascii="黑体" w:hAnsi="黑体" w:cs="黑体" w:eastAsia="黑体" w:hint="default"/>
                <w:sz w:val="20"/>
                <w:szCs w:val="20"/>
              </w:rPr>
            </w:pPr>
            <w:r>
              <w:rPr>
                <w:rFonts w:ascii="黑体" w:hAnsi="黑体" w:cs="黑体" w:eastAsia="黑体" w:hint="default"/>
                <w:sz w:val="20"/>
                <w:szCs w:val="20"/>
              </w:rPr>
              <w:t>管理费用</w:t>
            </w:r>
            <w:r>
              <w:rPr>
                <w:rFonts w:ascii="Arial" w:hAnsi="Arial" w:cs="Arial" w:eastAsia="Arial" w:hint="default"/>
                <w:sz w:val="20"/>
                <w:szCs w:val="20"/>
              </w:rPr>
              <w:t>-</w:t>
            </w:r>
            <w:r>
              <w:rPr>
                <w:rFonts w:ascii="黑体" w:hAnsi="黑体" w:cs="黑体" w:eastAsia="黑体" w:hint="default"/>
                <w:sz w:val="20"/>
                <w:szCs w:val="20"/>
              </w:rPr>
              <w:t>股权激励成本</w:t>
            </w:r>
          </w:p>
        </w:tc>
        <w:tc>
          <w:tcPr>
            <w:tcW w:w="1474" w:type="dxa"/>
            <w:tcBorders>
              <w:top w:val="nil" w:sz="6" w:space="0" w:color="auto"/>
              <w:left w:val="nil" w:sz="6" w:space="0" w:color="auto"/>
              <w:bottom w:val="nil" w:sz="6" w:space="0" w:color="auto"/>
              <w:right w:val="nil" w:sz="6" w:space="0" w:color="auto"/>
            </w:tcBorders>
          </w:tcPr>
          <w:p>
            <w:pPr>
              <w:pStyle w:val="TableParagraph"/>
              <w:spacing w:line="216" w:lineRule="exact"/>
              <w:ind w:left="91" w:right="0"/>
              <w:jc w:val="center"/>
              <w:rPr>
                <w:rFonts w:ascii="黑体" w:hAnsi="黑体" w:cs="黑体" w:eastAsia="黑体" w:hint="default"/>
                <w:sz w:val="20"/>
                <w:szCs w:val="20"/>
              </w:rPr>
            </w:pPr>
            <w:r>
              <w:rPr>
                <w:rFonts w:ascii="黑体" w:hAnsi="黑体" w:cs="黑体" w:eastAsia="黑体" w:hint="default"/>
                <w:sz w:val="20"/>
                <w:szCs w:val="20"/>
              </w:rPr>
              <w:t>附注七</w:t>
            </w:r>
          </w:p>
        </w:tc>
        <w:tc>
          <w:tcPr>
            <w:tcW w:w="1510" w:type="dxa"/>
            <w:tcBorders>
              <w:top w:val="nil" w:sz="6" w:space="0" w:color="auto"/>
              <w:left w:val="nil" w:sz="6" w:space="0" w:color="auto"/>
              <w:bottom w:val="nil" w:sz="6" w:space="0" w:color="auto"/>
              <w:right w:val="nil" w:sz="6" w:space="0" w:color="auto"/>
            </w:tcBorders>
          </w:tcPr>
          <w:p>
            <w:pPr>
              <w:pStyle w:val="TableParagraph"/>
              <w:tabs>
                <w:tab w:pos="271" w:val="left" w:leader="none"/>
              </w:tabs>
              <w:spacing w:line="240" w:lineRule="auto" w:before="17"/>
              <w:ind w:right="29"/>
              <w:jc w:val="right"/>
              <w:rPr>
                <w:rFonts w:ascii="Arial" w:hAnsi="Arial" w:cs="Arial" w:eastAsia="Arial" w:hint="default"/>
                <w:sz w:val="20"/>
                <w:szCs w:val="20"/>
              </w:rPr>
            </w:pPr>
            <w:r>
              <w:rPr>
                <w:rFonts w:ascii="Arial"/>
                <w:w w:val="95"/>
                <w:sz w:val="20"/>
              </w:rPr>
              <w:t>(</w:t>
              <w:tab/>
            </w:r>
            <w:r>
              <w:rPr>
                <w:rFonts w:ascii="Arial"/>
                <w:spacing w:val="-1"/>
                <w:sz w:val="20"/>
              </w:rPr>
              <w:t>8,877,629</w:t>
            </w:r>
          </w:p>
        </w:tc>
        <w:tc>
          <w:tcPr>
            <w:tcW w:w="339" w:type="dxa"/>
            <w:tcBorders>
              <w:top w:val="nil" w:sz="6" w:space="0" w:color="auto"/>
              <w:left w:val="nil" w:sz="6" w:space="0" w:color="auto"/>
              <w:bottom w:val="nil" w:sz="6" w:space="0" w:color="auto"/>
              <w:right w:val="nil" w:sz="6" w:space="0" w:color="auto"/>
            </w:tcBorders>
          </w:tcPr>
          <w:p>
            <w:pPr>
              <w:pStyle w:val="TableParagraph"/>
              <w:spacing w:line="228" w:lineRule="exact"/>
              <w:ind w:left="27" w:right="0"/>
              <w:jc w:val="left"/>
              <w:rPr>
                <w:rFonts w:ascii="Arial" w:hAnsi="Arial" w:cs="Arial" w:eastAsia="Arial" w:hint="default"/>
                <w:sz w:val="20"/>
                <w:szCs w:val="20"/>
              </w:rPr>
            </w:pPr>
            <w:r>
              <w:rPr>
                <w:rFonts w:ascii="Arial"/>
                <w:w w:val="99"/>
                <w:sz w:val="20"/>
              </w:rPr>
              <w:t>)</w:t>
            </w:r>
            <w:r>
              <w:rPr>
                <w:rFonts w:ascii="Arial"/>
                <w:sz w:val="20"/>
              </w:rPr>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8"/>
              <w:jc w:val="right"/>
              <w:rPr>
                <w:rFonts w:ascii="Arial" w:hAnsi="Arial" w:cs="Arial" w:eastAsia="Arial" w:hint="default"/>
                <w:sz w:val="20"/>
                <w:szCs w:val="20"/>
              </w:rPr>
            </w:pPr>
            <w:r>
              <w:rPr>
                <w:rFonts w:ascii="Arial"/>
                <w:spacing w:val="-1"/>
                <w:sz w:val="20"/>
              </w:rPr>
              <w:t>30,999,687</w:t>
            </w:r>
            <w:r>
              <w:rPr>
                <w:rFonts w:ascii="Arial"/>
                <w:sz w:val="20"/>
              </w:rPr>
            </w:r>
          </w:p>
        </w:tc>
        <w:tc>
          <w:tcPr>
            <w:tcW w:w="296" w:type="dxa"/>
            <w:tcBorders>
              <w:top w:val="nil" w:sz="6" w:space="0" w:color="auto"/>
              <w:left w:val="nil" w:sz="6" w:space="0" w:color="auto"/>
              <w:bottom w:val="nil" w:sz="6" w:space="0" w:color="auto"/>
              <w:right w:val="nil" w:sz="6" w:space="0" w:color="auto"/>
            </w:tcBorders>
          </w:tcPr>
          <w:p>
            <w:pPr/>
          </w:p>
        </w:tc>
      </w:tr>
      <w:tr>
        <w:trPr>
          <w:trHeight w:val="259" w:hRule="exact"/>
        </w:trPr>
        <w:tc>
          <w:tcPr>
            <w:tcW w:w="3283" w:type="dxa"/>
            <w:tcBorders>
              <w:top w:val="nil" w:sz="6" w:space="0" w:color="auto"/>
              <w:left w:val="nil" w:sz="6" w:space="0" w:color="auto"/>
              <w:bottom w:val="nil" w:sz="6" w:space="0" w:color="auto"/>
              <w:right w:val="nil" w:sz="6" w:space="0" w:color="auto"/>
            </w:tcBorders>
          </w:tcPr>
          <w:p>
            <w:pPr>
              <w:pStyle w:val="TableParagraph"/>
              <w:spacing w:line="218" w:lineRule="exact"/>
              <w:ind w:left="200" w:right="0"/>
              <w:jc w:val="left"/>
              <w:rPr>
                <w:rFonts w:ascii="黑体" w:hAnsi="黑体" w:cs="黑体" w:eastAsia="黑体" w:hint="default"/>
                <w:sz w:val="20"/>
                <w:szCs w:val="20"/>
              </w:rPr>
            </w:pPr>
            <w:r>
              <w:rPr>
                <w:rFonts w:ascii="黑体" w:hAnsi="黑体" w:cs="黑体" w:eastAsia="黑体" w:hint="default"/>
                <w:sz w:val="20"/>
                <w:szCs w:val="20"/>
              </w:rPr>
              <w:t>财务费用</w:t>
            </w:r>
          </w:p>
        </w:tc>
        <w:tc>
          <w:tcPr>
            <w:tcW w:w="147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
              <w:jc w:val="right"/>
              <w:rPr>
                <w:rFonts w:ascii="Arial" w:hAnsi="Arial" w:cs="Arial" w:eastAsia="Arial" w:hint="default"/>
                <w:sz w:val="20"/>
                <w:szCs w:val="20"/>
              </w:rPr>
            </w:pPr>
            <w:r>
              <w:rPr>
                <w:rFonts w:ascii="Arial"/>
                <w:spacing w:val="-1"/>
                <w:sz w:val="20"/>
              </w:rPr>
              <w:t>72,169,152</w:t>
            </w:r>
            <w:r>
              <w:rPr>
                <w:rFonts w:ascii="Arial"/>
                <w:sz w:val="20"/>
              </w:rPr>
            </w:r>
          </w:p>
        </w:tc>
        <w:tc>
          <w:tcPr>
            <w:tcW w:w="339"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
              <w:jc w:val="right"/>
              <w:rPr>
                <w:rFonts w:ascii="Arial" w:hAnsi="Arial" w:cs="Arial" w:eastAsia="Arial" w:hint="default"/>
                <w:sz w:val="20"/>
                <w:szCs w:val="20"/>
              </w:rPr>
            </w:pPr>
            <w:r>
              <w:rPr>
                <w:rFonts w:ascii="Arial"/>
                <w:spacing w:val="-1"/>
                <w:sz w:val="20"/>
              </w:rPr>
              <w:t>38,679,533</w:t>
            </w:r>
            <w:r>
              <w:rPr>
                <w:rFonts w:ascii="Arial"/>
                <w:sz w:val="20"/>
              </w:rPr>
            </w:r>
          </w:p>
        </w:tc>
        <w:tc>
          <w:tcPr>
            <w:tcW w:w="296" w:type="dxa"/>
            <w:tcBorders>
              <w:top w:val="nil" w:sz="6" w:space="0" w:color="auto"/>
              <w:left w:val="nil" w:sz="6" w:space="0" w:color="auto"/>
              <w:bottom w:val="nil" w:sz="6" w:space="0" w:color="auto"/>
              <w:right w:val="nil" w:sz="6" w:space="0" w:color="auto"/>
            </w:tcBorders>
          </w:tcPr>
          <w:p>
            <w:pPr/>
          </w:p>
        </w:tc>
      </w:tr>
      <w:tr>
        <w:trPr>
          <w:trHeight w:val="259" w:hRule="exact"/>
        </w:trPr>
        <w:tc>
          <w:tcPr>
            <w:tcW w:w="3283" w:type="dxa"/>
            <w:tcBorders>
              <w:top w:val="nil" w:sz="6" w:space="0" w:color="auto"/>
              <w:left w:val="nil" w:sz="6" w:space="0" w:color="auto"/>
              <w:bottom w:val="nil" w:sz="6" w:space="0" w:color="auto"/>
              <w:right w:val="nil" w:sz="6" w:space="0" w:color="auto"/>
            </w:tcBorders>
          </w:tcPr>
          <w:p>
            <w:pPr>
              <w:pStyle w:val="TableParagraph"/>
              <w:spacing w:line="218" w:lineRule="exact"/>
              <w:ind w:left="200" w:right="0"/>
              <w:jc w:val="left"/>
              <w:rPr>
                <w:rFonts w:ascii="黑体" w:hAnsi="黑体" w:cs="黑体" w:eastAsia="黑体" w:hint="default"/>
                <w:sz w:val="20"/>
                <w:szCs w:val="20"/>
              </w:rPr>
            </w:pPr>
            <w:r>
              <w:rPr>
                <w:rFonts w:ascii="黑体" w:hAnsi="黑体" w:cs="黑体" w:eastAsia="黑体" w:hint="default"/>
                <w:sz w:val="20"/>
                <w:szCs w:val="20"/>
              </w:rPr>
              <w:t>投资收益</w:t>
            </w:r>
          </w:p>
        </w:tc>
        <w:tc>
          <w:tcPr>
            <w:tcW w:w="1474" w:type="dxa"/>
            <w:tcBorders>
              <w:top w:val="nil" w:sz="6" w:space="0" w:color="auto"/>
              <w:left w:val="nil" w:sz="6" w:space="0" w:color="auto"/>
              <w:bottom w:val="nil" w:sz="6" w:space="0" w:color="auto"/>
              <w:right w:val="nil" w:sz="6" w:space="0" w:color="auto"/>
            </w:tcBorders>
          </w:tcPr>
          <w:p>
            <w:pPr>
              <w:pStyle w:val="TableParagraph"/>
              <w:spacing w:line="225" w:lineRule="exact"/>
              <w:ind w:left="88" w:right="0"/>
              <w:jc w:val="center"/>
              <w:rPr>
                <w:rFonts w:ascii="Arial" w:hAnsi="Arial" w:cs="Arial" w:eastAsia="Arial" w:hint="default"/>
                <w:sz w:val="20"/>
                <w:szCs w:val="20"/>
              </w:rPr>
            </w:pPr>
            <w:r>
              <w:rPr>
                <w:rFonts w:ascii="Arial"/>
                <w:sz w:val="20"/>
              </w:rPr>
              <w:t>34</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
              <w:jc w:val="right"/>
              <w:rPr>
                <w:rFonts w:ascii="Arial" w:hAnsi="Arial" w:cs="Arial" w:eastAsia="Arial" w:hint="default"/>
                <w:sz w:val="20"/>
                <w:szCs w:val="20"/>
              </w:rPr>
            </w:pPr>
            <w:r>
              <w:rPr>
                <w:rFonts w:ascii="Arial"/>
                <w:sz w:val="20"/>
              </w:rPr>
              <w:t>(  99,542,172</w:t>
            </w:r>
          </w:p>
        </w:tc>
        <w:tc>
          <w:tcPr>
            <w:tcW w:w="339" w:type="dxa"/>
            <w:tcBorders>
              <w:top w:val="nil" w:sz="6" w:space="0" w:color="auto"/>
              <w:left w:val="nil" w:sz="6" w:space="0" w:color="auto"/>
              <w:bottom w:val="nil" w:sz="6" w:space="0" w:color="auto"/>
              <w:right w:val="nil" w:sz="6" w:space="0" w:color="auto"/>
            </w:tcBorders>
          </w:tcPr>
          <w:p>
            <w:pPr>
              <w:pStyle w:val="TableParagraph"/>
              <w:spacing w:line="225" w:lineRule="exact"/>
              <w:ind w:left="27" w:right="0"/>
              <w:jc w:val="left"/>
              <w:rPr>
                <w:rFonts w:ascii="Arial" w:hAnsi="Arial" w:cs="Arial" w:eastAsia="Arial" w:hint="default"/>
                <w:sz w:val="20"/>
                <w:szCs w:val="20"/>
              </w:rPr>
            </w:pPr>
            <w:r>
              <w:rPr>
                <w:rFonts w:ascii="Arial"/>
                <w:w w:val="99"/>
                <w:sz w:val="20"/>
              </w:rPr>
              <w:t>)</w:t>
            </w:r>
            <w:r>
              <w:rPr>
                <w:rFonts w:ascii="Arial"/>
                <w:sz w:val="20"/>
              </w:rPr>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
              <w:jc w:val="right"/>
              <w:rPr>
                <w:rFonts w:ascii="Arial" w:hAnsi="Arial" w:cs="Arial" w:eastAsia="Arial" w:hint="default"/>
                <w:sz w:val="20"/>
                <w:szCs w:val="20"/>
              </w:rPr>
            </w:pPr>
            <w:r>
              <w:rPr>
                <w:rFonts w:ascii="Arial"/>
                <w:sz w:val="20"/>
              </w:rPr>
              <w:t>(</w:t>
            </w:r>
            <w:r>
              <w:rPr>
                <w:rFonts w:ascii="Arial"/>
                <w:spacing w:val="48"/>
                <w:sz w:val="20"/>
              </w:rPr>
              <w:t> </w:t>
            </w:r>
            <w:r>
              <w:rPr>
                <w:rFonts w:ascii="Arial"/>
                <w:sz w:val="20"/>
              </w:rPr>
              <w:t>46,380,068</w:t>
            </w:r>
          </w:p>
        </w:tc>
        <w:tc>
          <w:tcPr>
            <w:tcW w:w="296" w:type="dxa"/>
            <w:tcBorders>
              <w:top w:val="nil" w:sz="6" w:space="0" w:color="auto"/>
              <w:left w:val="nil" w:sz="6" w:space="0" w:color="auto"/>
              <w:bottom w:val="nil" w:sz="6" w:space="0" w:color="auto"/>
              <w:right w:val="nil" w:sz="6" w:space="0" w:color="auto"/>
            </w:tcBorders>
          </w:tcPr>
          <w:p>
            <w:pPr>
              <w:pStyle w:val="TableParagraph"/>
              <w:spacing w:line="225" w:lineRule="exact"/>
              <w:ind w:left="30" w:right="0"/>
              <w:jc w:val="left"/>
              <w:rPr>
                <w:rFonts w:ascii="Arial" w:hAnsi="Arial" w:cs="Arial" w:eastAsia="Arial" w:hint="default"/>
                <w:sz w:val="20"/>
                <w:szCs w:val="20"/>
              </w:rPr>
            </w:pPr>
            <w:r>
              <w:rPr>
                <w:rFonts w:ascii="Arial"/>
                <w:w w:val="99"/>
                <w:sz w:val="20"/>
              </w:rPr>
              <w:t>)</w:t>
            </w:r>
            <w:r>
              <w:rPr>
                <w:rFonts w:ascii="Arial"/>
                <w:sz w:val="20"/>
              </w:rPr>
            </w:r>
          </w:p>
        </w:tc>
      </w:tr>
      <w:tr>
        <w:trPr>
          <w:trHeight w:val="259" w:hRule="exact"/>
        </w:trPr>
        <w:tc>
          <w:tcPr>
            <w:tcW w:w="3283" w:type="dxa"/>
            <w:tcBorders>
              <w:top w:val="nil" w:sz="6" w:space="0" w:color="auto"/>
              <w:left w:val="nil" w:sz="6" w:space="0" w:color="auto"/>
              <w:bottom w:val="nil" w:sz="6" w:space="0" w:color="auto"/>
              <w:right w:val="nil" w:sz="6" w:space="0" w:color="auto"/>
            </w:tcBorders>
          </w:tcPr>
          <w:p>
            <w:pPr>
              <w:pStyle w:val="TableParagraph"/>
              <w:spacing w:line="233" w:lineRule="exact"/>
              <w:ind w:left="200" w:right="0"/>
              <w:jc w:val="left"/>
              <w:rPr>
                <w:rFonts w:ascii="Arial" w:hAnsi="Arial" w:cs="Arial" w:eastAsia="Arial" w:hint="default"/>
                <w:sz w:val="20"/>
                <w:szCs w:val="20"/>
              </w:rPr>
            </w:pPr>
            <w:r>
              <w:rPr>
                <w:rFonts w:ascii="黑体" w:hAnsi="黑体" w:cs="黑体" w:eastAsia="黑体" w:hint="default"/>
                <w:sz w:val="20"/>
                <w:szCs w:val="20"/>
              </w:rPr>
              <w:t>递延所得税资产的减少</w:t>
            </w:r>
            <w:r>
              <w:rPr>
                <w:rFonts w:ascii="Arial" w:hAnsi="Arial" w:cs="Arial" w:eastAsia="Arial" w:hint="default"/>
                <w:sz w:val="20"/>
                <w:szCs w:val="20"/>
              </w:rPr>
              <w:t>(</w:t>
            </w:r>
            <w:r>
              <w:rPr>
                <w:rFonts w:ascii="黑体" w:hAnsi="黑体" w:cs="黑体" w:eastAsia="黑体" w:hint="default"/>
                <w:sz w:val="20"/>
                <w:szCs w:val="20"/>
              </w:rPr>
              <w:t>增加</w:t>
            </w:r>
            <w:r>
              <w:rPr>
                <w:rFonts w:ascii="Arial" w:hAnsi="Arial" w:cs="Arial" w:eastAsia="Arial" w:hint="default"/>
                <w:sz w:val="20"/>
                <w:szCs w:val="20"/>
              </w:rPr>
              <w:t>)</w:t>
            </w:r>
          </w:p>
        </w:tc>
        <w:tc>
          <w:tcPr>
            <w:tcW w:w="1474" w:type="dxa"/>
            <w:tcBorders>
              <w:top w:val="nil" w:sz="6" w:space="0" w:color="auto"/>
              <w:left w:val="nil" w:sz="6" w:space="0" w:color="auto"/>
              <w:bottom w:val="nil" w:sz="6" w:space="0" w:color="auto"/>
              <w:right w:val="nil" w:sz="6" w:space="0" w:color="auto"/>
            </w:tcBorders>
          </w:tcPr>
          <w:p>
            <w:pPr>
              <w:pStyle w:val="TableParagraph"/>
              <w:spacing w:line="225" w:lineRule="exact"/>
              <w:ind w:left="88" w:right="0"/>
              <w:jc w:val="center"/>
              <w:rPr>
                <w:rFonts w:ascii="Arial" w:hAnsi="Arial" w:cs="Arial" w:eastAsia="Arial" w:hint="default"/>
                <w:sz w:val="20"/>
                <w:szCs w:val="20"/>
              </w:rPr>
            </w:pPr>
            <w:r>
              <w:rPr>
                <w:rFonts w:ascii="Arial"/>
                <w:sz w:val="20"/>
              </w:rPr>
              <w:t>15</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9"/>
              <w:jc w:val="right"/>
              <w:rPr>
                <w:rFonts w:ascii="Arial" w:hAnsi="Arial" w:cs="Arial" w:eastAsia="Arial" w:hint="default"/>
                <w:sz w:val="20"/>
                <w:szCs w:val="20"/>
              </w:rPr>
            </w:pPr>
            <w:r>
              <w:rPr>
                <w:rFonts w:ascii="Arial"/>
                <w:spacing w:val="-1"/>
                <w:sz w:val="20"/>
              </w:rPr>
              <w:t>5,197,924</w:t>
            </w:r>
          </w:p>
        </w:tc>
        <w:tc>
          <w:tcPr>
            <w:tcW w:w="339"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
              <w:jc w:val="right"/>
              <w:rPr>
                <w:rFonts w:ascii="Arial" w:hAnsi="Arial" w:cs="Arial" w:eastAsia="Arial" w:hint="default"/>
                <w:sz w:val="20"/>
                <w:szCs w:val="20"/>
              </w:rPr>
            </w:pPr>
            <w:r>
              <w:rPr>
                <w:rFonts w:ascii="Arial"/>
                <w:sz w:val="20"/>
              </w:rPr>
              <w:t>(</w:t>
            </w:r>
            <w:r>
              <w:rPr>
                <w:rFonts w:ascii="Arial"/>
                <w:spacing w:val="48"/>
                <w:sz w:val="20"/>
              </w:rPr>
              <w:t> </w:t>
            </w:r>
            <w:r>
              <w:rPr>
                <w:rFonts w:ascii="Arial"/>
                <w:sz w:val="20"/>
              </w:rPr>
              <w:t>11,123,687</w:t>
            </w:r>
          </w:p>
        </w:tc>
        <w:tc>
          <w:tcPr>
            <w:tcW w:w="296" w:type="dxa"/>
            <w:tcBorders>
              <w:top w:val="nil" w:sz="6" w:space="0" w:color="auto"/>
              <w:left w:val="nil" w:sz="6" w:space="0" w:color="auto"/>
              <w:bottom w:val="nil" w:sz="6" w:space="0" w:color="auto"/>
              <w:right w:val="nil" w:sz="6" w:space="0" w:color="auto"/>
            </w:tcBorders>
          </w:tcPr>
          <w:p>
            <w:pPr>
              <w:pStyle w:val="TableParagraph"/>
              <w:spacing w:line="225" w:lineRule="exact"/>
              <w:ind w:left="30" w:right="0"/>
              <w:jc w:val="left"/>
              <w:rPr>
                <w:rFonts w:ascii="Arial" w:hAnsi="Arial" w:cs="Arial" w:eastAsia="Arial" w:hint="default"/>
                <w:sz w:val="20"/>
                <w:szCs w:val="20"/>
              </w:rPr>
            </w:pPr>
            <w:r>
              <w:rPr>
                <w:rFonts w:ascii="Arial"/>
                <w:w w:val="99"/>
                <w:sz w:val="20"/>
              </w:rPr>
              <w:t>)</w:t>
            </w:r>
            <w:r>
              <w:rPr>
                <w:rFonts w:ascii="Arial"/>
                <w:sz w:val="20"/>
              </w:rPr>
            </w:r>
          </w:p>
        </w:tc>
      </w:tr>
      <w:tr>
        <w:trPr>
          <w:trHeight w:val="259" w:hRule="exact"/>
        </w:trPr>
        <w:tc>
          <w:tcPr>
            <w:tcW w:w="3283" w:type="dxa"/>
            <w:tcBorders>
              <w:top w:val="nil" w:sz="6" w:space="0" w:color="auto"/>
              <w:left w:val="nil" w:sz="6" w:space="0" w:color="auto"/>
              <w:bottom w:val="nil" w:sz="6" w:space="0" w:color="auto"/>
              <w:right w:val="nil" w:sz="6" w:space="0" w:color="auto"/>
            </w:tcBorders>
          </w:tcPr>
          <w:p>
            <w:pPr>
              <w:pStyle w:val="TableParagraph"/>
              <w:spacing w:line="233" w:lineRule="exact"/>
              <w:ind w:left="200" w:right="0"/>
              <w:jc w:val="left"/>
              <w:rPr>
                <w:rFonts w:ascii="Arial" w:hAnsi="Arial" w:cs="Arial" w:eastAsia="Arial" w:hint="default"/>
                <w:sz w:val="20"/>
                <w:szCs w:val="20"/>
              </w:rPr>
            </w:pPr>
            <w:r>
              <w:rPr>
                <w:rFonts w:ascii="黑体" w:hAnsi="黑体" w:cs="黑体" w:eastAsia="黑体" w:hint="default"/>
                <w:sz w:val="20"/>
                <w:szCs w:val="20"/>
              </w:rPr>
              <w:t>存货的减少</w:t>
            </w:r>
            <w:r>
              <w:rPr>
                <w:rFonts w:ascii="Arial" w:hAnsi="Arial" w:cs="Arial" w:eastAsia="Arial" w:hint="default"/>
                <w:sz w:val="20"/>
                <w:szCs w:val="20"/>
              </w:rPr>
              <w:t>(</w:t>
            </w:r>
            <w:r>
              <w:rPr>
                <w:rFonts w:ascii="黑体" w:hAnsi="黑体" w:cs="黑体" w:eastAsia="黑体" w:hint="default"/>
                <w:sz w:val="20"/>
                <w:szCs w:val="20"/>
              </w:rPr>
              <w:t>增加</w:t>
            </w:r>
            <w:r>
              <w:rPr>
                <w:rFonts w:ascii="Arial" w:hAnsi="Arial" w:cs="Arial" w:eastAsia="Arial" w:hint="default"/>
                <w:sz w:val="20"/>
                <w:szCs w:val="20"/>
              </w:rPr>
              <w:t>)</w:t>
            </w:r>
          </w:p>
        </w:tc>
        <w:tc>
          <w:tcPr>
            <w:tcW w:w="147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tabs>
                <w:tab w:pos="287" w:val="left" w:leader="none"/>
              </w:tabs>
              <w:spacing w:line="240" w:lineRule="auto" w:before="14"/>
              <w:ind w:right="28"/>
              <w:jc w:val="right"/>
              <w:rPr>
                <w:rFonts w:ascii="Arial" w:hAnsi="Arial" w:cs="Arial" w:eastAsia="Arial" w:hint="default"/>
                <w:sz w:val="20"/>
                <w:szCs w:val="20"/>
              </w:rPr>
            </w:pPr>
            <w:r>
              <w:rPr>
                <w:rFonts w:ascii="Arial"/>
                <w:w w:val="95"/>
                <w:sz w:val="20"/>
              </w:rPr>
              <w:t>(</w:t>
              <w:tab/>
            </w:r>
            <w:r>
              <w:rPr>
                <w:rFonts w:ascii="Arial"/>
                <w:spacing w:val="-1"/>
                <w:w w:val="95"/>
                <w:sz w:val="20"/>
              </w:rPr>
              <w:t>2,614,157</w:t>
            </w:r>
            <w:r>
              <w:rPr>
                <w:rFonts w:ascii="Arial"/>
                <w:sz w:val="20"/>
              </w:rPr>
            </w:r>
          </w:p>
        </w:tc>
        <w:tc>
          <w:tcPr>
            <w:tcW w:w="339" w:type="dxa"/>
            <w:tcBorders>
              <w:top w:val="nil" w:sz="6" w:space="0" w:color="auto"/>
              <w:left w:val="nil" w:sz="6" w:space="0" w:color="auto"/>
              <w:bottom w:val="nil" w:sz="6" w:space="0" w:color="auto"/>
              <w:right w:val="nil" w:sz="6" w:space="0" w:color="auto"/>
            </w:tcBorders>
          </w:tcPr>
          <w:p>
            <w:pPr>
              <w:pStyle w:val="TableParagraph"/>
              <w:spacing w:line="225" w:lineRule="exact"/>
              <w:ind w:left="27" w:right="0"/>
              <w:jc w:val="left"/>
              <w:rPr>
                <w:rFonts w:ascii="Arial" w:hAnsi="Arial" w:cs="Arial" w:eastAsia="Arial" w:hint="default"/>
                <w:sz w:val="20"/>
                <w:szCs w:val="20"/>
              </w:rPr>
            </w:pPr>
            <w:r>
              <w:rPr>
                <w:rFonts w:ascii="Arial"/>
                <w:w w:val="99"/>
                <w:sz w:val="20"/>
              </w:rPr>
              <w:t>)</w:t>
            </w:r>
            <w:r>
              <w:rPr>
                <w:rFonts w:ascii="Arial"/>
                <w:sz w:val="20"/>
              </w:rPr>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7"/>
              <w:jc w:val="right"/>
              <w:rPr>
                <w:rFonts w:ascii="Arial" w:hAnsi="Arial" w:cs="Arial" w:eastAsia="Arial" w:hint="default"/>
                <w:sz w:val="20"/>
                <w:szCs w:val="20"/>
              </w:rPr>
            </w:pPr>
            <w:r>
              <w:rPr>
                <w:rFonts w:ascii="Arial"/>
                <w:spacing w:val="-1"/>
                <w:sz w:val="20"/>
              </w:rPr>
              <w:t>3,084,033</w:t>
            </w:r>
          </w:p>
        </w:tc>
        <w:tc>
          <w:tcPr>
            <w:tcW w:w="296" w:type="dxa"/>
            <w:tcBorders>
              <w:top w:val="nil" w:sz="6" w:space="0" w:color="auto"/>
              <w:left w:val="nil" w:sz="6" w:space="0" w:color="auto"/>
              <w:bottom w:val="nil" w:sz="6" w:space="0" w:color="auto"/>
              <w:right w:val="nil" w:sz="6" w:space="0" w:color="auto"/>
            </w:tcBorders>
          </w:tcPr>
          <w:p>
            <w:pPr/>
          </w:p>
        </w:tc>
      </w:tr>
      <w:tr>
        <w:trPr>
          <w:trHeight w:val="259" w:hRule="exact"/>
        </w:trPr>
        <w:tc>
          <w:tcPr>
            <w:tcW w:w="3283" w:type="dxa"/>
            <w:tcBorders>
              <w:top w:val="nil" w:sz="6" w:space="0" w:color="auto"/>
              <w:left w:val="nil" w:sz="6" w:space="0" w:color="auto"/>
              <w:bottom w:val="nil" w:sz="6" w:space="0" w:color="auto"/>
              <w:right w:val="nil" w:sz="6" w:space="0" w:color="auto"/>
            </w:tcBorders>
          </w:tcPr>
          <w:p>
            <w:pPr>
              <w:pStyle w:val="TableParagraph"/>
              <w:spacing w:line="233" w:lineRule="exact"/>
              <w:ind w:left="200" w:right="0"/>
              <w:jc w:val="left"/>
              <w:rPr>
                <w:rFonts w:ascii="Arial" w:hAnsi="Arial" w:cs="Arial" w:eastAsia="Arial" w:hint="default"/>
                <w:sz w:val="20"/>
                <w:szCs w:val="20"/>
              </w:rPr>
            </w:pPr>
            <w:r>
              <w:rPr>
                <w:rFonts w:ascii="黑体" w:hAnsi="黑体" w:cs="黑体" w:eastAsia="黑体" w:hint="default"/>
                <w:sz w:val="20"/>
                <w:szCs w:val="20"/>
              </w:rPr>
              <w:t>经营性应收项目的减少</w:t>
            </w:r>
            <w:r>
              <w:rPr>
                <w:rFonts w:ascii="Arial" w:hAnsi="Arial" w:cs="Arial" w:eastAsia="Arial" w:hint="default"/>
                <w:sz w:val="20"/>
                <w:szCs w:val="20"/>
              </w:rPr>
              <w:t>(</w:t>
            </w:r>
            <w:r>
              <w:rPr>
                <w:rFonts w:ascii="黑体" w:hAnsi="黑体" w:cs="黑体" w:eastAsia="黑体" w:hint="default"/>
                <w:sz w:val="20"/>
                <w:szCs w:val="20"/>
              </w:rPr>
              <w:t>增加</w:t>
            </w:r>
            <w:r>
              <w:rPr>
                <w:rFonts w:ascii="Arial" w:hAnsi="Arial" w:cs="Arial" w:eastAsia="Arial" w:hint="default"/>
                <w:sz w:val="20"/>
                <w:szCs w:val="20"/>
              </w:rPr>
              <w:t>)</w:t>
            </w:r>
          </w:p>
        </w:tc>
        <w:tc>
          <w:tcPr>
            <w:tcW w:w="147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
              <w:jc w:val="right"/>
              <w:rPr>
                <w:rFonts w:ascii="Arial" w:hAnsi="Arial" w:cs="Arial" w:eastAsia="Arial" w:hint="default"/>
                <w:sz w:val="20"/>
                <w:szCs w:val="20"/>
              </w:rPr>
            </w:pPr>
            <w:r>
              <w:rPr>
                <w:rFonts w:ascii="Arial"/>
                <w:spacing w:val="-1"/>
                <w:sz w:val="20"/>
              </w:rPr>
              <w:t>(310,128,613</w:t>
            </w:r>
          </w:p>
        </w:tc>
        <w:tc>
          <w:tcPr>
            <w:tcW w:w="339" w:type="dxa"/>
            <w:tcBorders>
              <w:top w:val="nil" w:sz="6" w:space="0" w:color="auto"/>
              <w:left w:val="nil" w:sz="6" w:space="0" w:color="auto"/>
              <w:bottom w:val="nil" w:sz="6" w:space="0" w:color="auto"/>
              <w:right w:val="nil" w:sz="6" w:space="0" w:color="auto"/>
            </w:tcBorders>
          </w:tcPr>
          <w:p>
            <w:pPr>
              <w:pStyle w:val="TableParagraph"/>
              <w:spacing w:line="225" w:lineRule="exact"/>
              <w:ind w:left="27" w:right="0"/>
              <w:jc w:val="left"/>
              <w:rPr>
                <w:rFonts w:ascii="Arial" w:hAnsi="Arial" w:cs="Arial" w:eastAsia="Arial" w:hint="default"/>
                <w:sz w:val="20"/>
                <w:szCs w:val="20"/>
              </w:rPr>
            </w:pPr>
            <w:r>
              <w:rPr>
                <w:rFonts w:ascii="Arial"/>
                <w:w w:val="99"/>
                <w:sz w:val="20"/>
              </w:rPr>
              <w:t>)</w:t>
            </w:r>
            <w:r>
              <w:rPr>
                <w:rFonts w:ascii="Arial"/>
                <w:sz w:val="20"/>
              </w:rPr>
            </w: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
              <w:jc w:val="right"/>
              <w:rPr>
                <w:rFonts w:ascii="Arial" w:hAnsi="Arial" w:cs="Arial" w:eastAsia="Arial" w:hint="default"/>
                <w:sz w:val="20"/>
                <w:szCs w:val="20"/>
              </w:rPr>
            </w:pPr>
            <w:r>
              <w:rPr>
                <w:rFonts w:ascii="Arial"/>
                <w:spacing w:val="-1"/>
                <w:sz w:val="20"/>
              </w:rPr>
              <w:t>(389,188,112</w:t>
            </w:r>
            <w:r>
              <w:rPr>
                <w:rFonts w:ascii="Arial"/>
                <w:sz w:val="20"/>
              </w:rPr>
            </w:r>
          </w:p>
        </w:tc>
        <w:tc>
          <w:tcPr>
            <w:tcW w:w="296" w:type="dxa"/>
            <w:tcBorders>
              <w:top w:val="nil" w:sz="6" w:space="0" w:color="auto"/>
              <w:left w:val="nil" w:sz="6" w:space="0" w:color="auto"/>
              <w:bottom w:val="nil" w:sz="6" w:space="0" w:color="auto"/>
              <w:right w:val="nil" w:sz="6" w:space="0" w:color="auto"/>
            </w:tcBorders>
          </w:tcPr>
          <w:p>
            <w:pPr>
              <w:pStyle w:val="TableParagraph"/>
              <w:spacing w:line="225" w:lineRule="exact"/>
              <w:ind w:left="30" w:right="0"/>
              <w:jc w:val="left"/>
              <w:rPr>
                <w:rFonts w:ascii="Arial" w:hAnsi="Arial" w:cs="Arial" w:eastAsia="Arial" w:hint="default"/>
                <w:sz w:val="20"/>
                <w:szCs w:val="20"/>
              </w:rPr>
            </w:pPr>
            <w:r>
              <w:rPr>
                <w:rFonts w:ascii="Arial"/>
                <w:w w:val="99"/>
                <w:sz w:val="20"/>
              </w:rPr>
              <w:t>)</w:t>
            </w:r>
            <w:r>
              <w:rPr>
                <w:rFonts w:ascii="Arial"/>
                <w:sz w:val="20"/>
              </w:rPr>
            </w:r>
          </w:p>
        </w:tc>
      </w:tr>
      <w:tr>
        <w:trPr>
          <w:trHeight w:val="374" w:hRule="exact"/>
        </w:trPr>
        <w:tc>
          <w:tcPr>
            <w:tcW w:w="3283" w:type="dxa"/>
            <w:tcBorders>
              <w:top w:val="nil" w:sz="6" w:space="0" w:color="auto"/>
              <w:left w:val="nil" w:sz="6" w:space="0" w:color="auto"/>
              <w:bottom w:val="nil" w:sz="6" w:space="0" w:color="auto"/>
              <w:right w:val="nil" w:sz="6" w:space="0" w:color="auto"/>
            </w:tcBorders>
          </w:tcPr>
          <w:p>
            <w:pPr>
              <w:pStyle w:val="TableParagraph"/>
              <w:spacing w:line="218" w:lineRule="exact"/>
              <w:ind w:left="200" w:right="0"/>
              <w:jc w:val="left"/>
              <w:rPr>
                <w:rFonts w:ascii="黑体" w:hAnsi="黑体" w:cs="黑体" w:eastAsia="黑体" w:hint="default"/>
                <w:sz w:val="20"/>
                <w:szCs w:val="20"/>
              </w:rPr>
            </w:pPr>
            <w:r>
              <w:rPr>
                <w:rFonts w:ascii="黑体" w:hAnsi="黑体" w:cs="黑体" w:eastAsia="黑体" w:hint="default"/>
                <w:sz w:val="20"/>
                <w:szCs w:val="20"/>
              </w:rPr>
              <w:t>经营性应付项目的增加</w:t>
            </w:r>
          </w:p>
        </w:tc>
        <w:tc>
          <w:tcPr>
            <w:tcW w:w="147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sz w:val="20"/>
                <w:u w:val="single" w:color="000000"/>
              </w:rPr>
              <w:t>34,259,505</w:t>
            </w:r>
            <w:r>
              <w:rPr>
                <w:rFonts w:ascii="Arial"/>
                <w:spacing w:val="-1"/>
                <w:sz w:val="20"/>
              </w:rPr>
            </w:r>
          </w:p>
        </w:tc>
        <w:tc>
          <w:tcPr>
            <w:tcW w:w="339"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8"/>
              <w:jc w:val="right"/>
              <w:rPr>
                <w:rFonts w:ascii="Arial" w:hAnsi="Arial" w:cs="Arial" w:eastAsia="Arial" w:hint="default"/>
                <w:sz w:val="20"/>
                <w:szCs w:val="20"/>
              </w:rPr>
            </w:pPr>
            <w:r>
              <w:rPr>
                <w:rFonts w:ascii="Arial"/>
                <w:w w:val="99"/>
                <w:sz w:val="20"/>
              </w:rPr>
            </w:r>
            <w:r>
              <w:rPr>
                <w:rFonts w:ascii="Arial"/>
                <w:spacing w:val="-1"/>
                <w:sz w:val="20"/>
                <w:u w:val="single" w:color="000000"/>
              </w:rPr>
              <w:t>142,698,229</w:t>
            </w:r>
            <w:r>
              <w:rPr>
                <w:rFonts w:ascii="Arial"/>
                <w:spacing w:val="-1"/>
                <w:sz w:val="20"/>
              </w:rPr>
            </w:r>
            <w:r>
              <w:rPr>
                <w:rFonts w:ascii="Arial"/>
                <w:sz w:val="20"/>
              </w:rPr>
            </w:r>
          </w:p>
        </w:tc>
        <w:tc>
          <w:tcPr>
            <w:tcW w:w="296" w:type="dxa"/>
            <w:tcBorders>
              <w:top w:val="nil" w:sz="6" w:space="0" w:color="auto"/>
              <w:left w:val="nil" w:sz="6" w:space="0" w:color="auto"/>
              <w:bottom w:val="nil" w:sz="6" w:space="0" w:color="auto"/>
              <w:right w:val="nil" w:sz="6" w:space="0" w:color="auto"/>
            </w:tcBorders>
          </w:tcPr>
          <w:p>
            <w:pPr/>
          </w:p>
        </w:tc>
      </w:tr>
      <w:tr>
        <w:trPr>
          <w:trHeight w:val="355" w:hRule="exact"/>
        </w:trPr>
        <w:tc>
          <w:tcPr>
            <w:tcW w:w="3283" w:type="dxa"/>
            <w:tcBorders>
              <w:top w:val="nil" w:sz="6" w:space="0" w:color="auto"/>
              <w:left w:val="nil" w:sz="6" w:space="0" w:color="auto"/>
              <w:bottom w:val="nil" w:sz="6" w:space="0" w:color="auto"/>
              <w:right w:val="nil" w:sz="6" w:space="0" w:color="auto"/>
            </w:tcBorders>
          </w:tcPr>
          <w:p>
            <w:pPr>
              <w:pStyle w:val="TableParagraph"/>
              <w:spacing w:line="240" w:lineRule="auto" w:before="72"/>
              <w:ind w:left="200" w:right="0"/>
              <w:jc w:val="left"/>
              <w:rPr>
                <w:rFonts w:ascii="黑体" w:hAnsi="黑体" w:cs="黑体" w:eastAsia="黑体" w:hint="default"/>
                <w:sz w:val="20"/>
                <w:szCs w:val="20"/>
              </w:rPr>
            </w:pPr>
            <w:r>
              <w:rPr>
                <w:rFonts w:ascii="黑体" w:hAnsi="黑体" w:cs="黑体" w:eastAsia="黑体" w:hint="default"/>
                <w:sz w:val="20"/>
                <w:szCs w:val="20"/>
              </w:rPr>
              <w:t>经营活动产生的现金流量净额</w:t>
            </w:r>
          </w:p>
        </w:tc>
        <w:tc>
          <w:tcPr>
            <w:tcW w:w="1474"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8"/>
              <w:jc w:val="right"/>
              <w:rPr>
                <w:rFonts w:ascii="Arial" w:hAnsi="Arial" w:cs="Arial" w:eastAsia="Arial" w:hint="default"/>
                <w:sz w:val="20"/>
                <w:szCs w:val="20"/>
              </w:rPr>
            </w:pPr>
            <w:r>
              <w:rPr>
                <w:rFonts w:ascii="Arial"/>
                <w:w w:val="99"/>
                <w:sz w:val="20"/>
              </w:rPr>
            </w:r>
            <w:r>
              <w:rPr>
                <w:rFonts w:ascii="Arial"/>
                <w:spacing w:val="-1"/>
                <w:sz w:val="20"/>
                <w:u w:val="thick" w:color="000000"/>
              </w:rPr>
              <w:t>254,488,525</w:t>
            </w:r>
            <w:r>
              <w:rPr>
                <w:rFonts w:ascii="Arial"/>
                <w:spacing w:val="-1"/>
                <w:sz w:val="20"/>
              </w:rPr>
            </w:r>
            <w:r>
              <w:rPr>
                <w:rFonts w:ascii="Arial"/>
                <w:sz w:val="20"/>
              </w:rPr>
            </w:r>
          </w:p>
        </w:tc>
        <w:tc>
          <w:tcPr>
            <w:tcW w:w="339"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8"/>
              <w:jc w:val="right"/>
              <w:rPr>
                <w:rFonts w:ascii="Arial" w:hAnsi="Arial" w:cs="Arial" w:eastAsia="Arial" w:hint="default"/>
                <w:sz w:val="20"/>
                <w:szCs w:val="20"/>
              </w:rPr>
            </w:pPr>
            <w:r>
              <w:rPr>
                <w:rFonts w:ascii="Arial"/>
                <w:w w:val="99"/>
                <w:sz w:val="20"/>
              </w:rPr>
            </w:r>
            <w:r>
              <w:rPr>
                <w:rFonts w:ascii="Arial"/>
                <w:spacing w:val="-1"/>
                <w:sz w:val="20"/>
                <w:u w:val="thick" w:color="000000"/>
              </w:rPr>
              <w:t>353,471,835</w:t>
            </w:r>
            <w:r>
              <w:rPr>
                <w:rFonts w:ascii="Arial"/>
                <w:spacing w:val="-1"/>
                <w:sz w:val="20"/>
              </w:rPr>
            </w:r>
            <w:r>
              <w:rPr>
                <w:rFonts w:ascii="Arial"/>
                <w:sz w:val="20"/>
              </w:rPr>
            </w:r>
          </w:p>
        </w:tc>
        <w:tc>
          <w:tcPr>
            <w:tcW w:w="296" w:type="dxa"/>
            <w:tcBorders>
              <w:top w:val="nil" w:sz="6" w:space="0" w:color="auto"/>
              <w:left w:val="nil" w:sz="6" w:space="0" w:color="auto"/>
              <w:bottom w:val="nil" w:sz="6" w:space="0" w:color="auto"/>
              <w:right w:val="nil" w:sz="6" w:space="0" w:color="auto"/>
            </w:tcBorders>
          </w:tcPr>
          <w:p>
            <w:pPr/>
          </w:p>
        </w:tc>
      </w:tr>
    </w:tbl>
    <w:p>
      <w:pPr>
        <w:spacing w:after="0"/>
        <w:sectPr>
          <w:pgSz w:w="11910" w:h="16850"/>
          <w:pgMar w:header="957" w:footer="473" w:top="2600" w:bottom="660" w:left="1660" w:right="1200"/>
        </w:sectPr>
      </w:pPr>
    </w:p>
    <w:p>
      <w:pPr>
        <w:spacing w:line="240" w:lineRule="auto" w:before="7"/>
        <w:rPr>
          <w:rFonts w:ascii="黑体" w:hAnsi="黑体" w:cs="黑体" w:eastAsia="黑体" w:hint="default"/>
          <w:sz w:val="15"/>
          <w:szCs w:val="15"/>
        </w:rPr>
      </w:pPr>
    </w:p>
    <w:p>
      <w:pPr>
        <w:pStyle w:val="Heading6"/>
        <w:spacing w:line="240" w:lineRule="auto"/>
        <w:ind w:left="142" w:right="934"/>
        <w:jc w:val="left"/>
        <w:rPr>
          <w:b w:val="0"/>
          <w:bCs w:val="0"/>
        </w:rPr>
      </w:pPr>
      <w:r>
        <w:rPr/>
        <w:t>十三、公司财务报表主要项目注释（续）</w:t>
      </w:r>
      <w:r>
        <w:rPr>
          <w:b w:val="0"/>
          <w:bCs w:val="0"/>
        </w:rPr>
      </w:r>
    </w:p>
    <w:p>
      <w:pPr>
        <w:spacing w:line="240" w:lineRule="auto" w:before="5"/>
        <w:rPr>
          <w:rFonts w:ascii="黑体" w:hAnsi="黑体" w:cs="黑体" w:eastAsia="黑体" w:hint="default"/>
          <w:b/>
          <w:bCs/>
          <w:sz w:val="17"/>
          <w:szCs w:val="17"/>
        </w:rPr>
      </w:pPr>
    </w:p>
    <w:p>
      <w:pPr>
        <w:pStyle w:val="Heading6"/>
        <w:tabs>
          <w:tab w:pos="809" w:val="left" w:leader="none"/>
        </w:tabs>
        <w:spacing w:line="240" w:lineRule="auto" w:before="0"/>
        <w:ind w:left="180" w:right="934"/>
        <w:jc w:val="left"/>
        <w:rPr>
          <w:b w:val="0"/>
          <w:bCs w:val="0"/>
        </w:rPr>
      </w:pPr>
      <w:r>
        <w:rPr>
          <w:rFonts w:ascii="Arial" w:hAnsi="Arial" w:cs="Arial" w:eastAsia="Arial" w:hint="default"/>
          <w:spacing w:val="-1"/>
          <w:w w:val="95"/>
        </w:rPr>
        <w:t>40.</w:t>
        <w:tab/>
      </w:r>
      <w:r>
        <w:rPr>
          <w:spacing w:val="1"/>
        </w:rPr>
        <w:t>现金流量表补充资料（续）</w:t>
      </w:r>
      <w:r>
        <w:rPr>
          <w:b w:val="0"/>
          <w:bCs w:val="0"/>
        </w:rPr>
      </w:r>
    </w:p>
    <w:p>
      <w:pPr>
        <w:spacing w:line="240" w:lineRule="auto" w:before="1"/>
        <w:rPr>
          <w:rFonts w:ascii="黑体" w:hAnsi="黑体" w:cs="黑体" w:eastAsia="黑体" w:hint="default"/>
          <w:b/>
          <w:bCs/>
          <w:sz w:val="21"/>
          <w:szCs w:val="21"/>
        </w:rPr>
      </w:pPr>
    </w:p>
    <w:tbl>
      <w:tblPr>
        <w:tblW w:w="0" w:type="auto"/>
        <w:jc w:val="left"/>
        <w:tblInd w:w="609" w:type="dxa"/>
        <w:tblLayout w:type="fixed"/>
        <w:tblCellMar>
          <w:top w:w="0" w:type="dxa"/>
          <w:left w:w="0" w:type="dxa"/>
          <w:bottom w:w="0" w:type="dxa"/>
          <w:right w:w="0" w:type="dxa"/>
        </w:tblCellMar>
        <w:tblLook w:val="01E0"/>
      </w:tblPr>
      <w:tblGrid>
        <w:gridCol w:w="3790"/>
        <w:gridCol w:w="2705"/>
        <w:gridCol w:w="1597"/>
        <w:gridCol w:w="285"/>
      </w:tblGrid>
      <w:tr>
        <w:trPr>
          <w:trHeight w:val="349" w:hRule="exact"/>
        </w:trPr>
        <w:tc>
          <w:tcPr>
            <w:tcW w:w="3790" w:type="dxa"/>
            <w:tcBorders>
              <w:top w:val="nil" w:sz="6" w:space="0" w:color="auto"/>
              <w:left w:val="nil" w:sz="6" w:space="0" w:color="auto"/>
              <w:bottom w:val="nil" w:sz="6" w:space="0" w:color="auto"/>
              <w:right w:val="nil" w:sz="6" w:space="0" w:color="auto"/>
            </w:tcBorders>
          </w:tcPr>
          <w:p>
            <w:pPr/>
          </w:p>
        </w:tc>
        <w:tc>
          <w:tcPr>
            <w:tcW w:w="2705" w:type="dxa"/>
            <w:tcBorders>
              <w:top w:val="nil" w:sz="6" w:space="0" w:color="auto"/>
              <w:left w:val="nil" w:sz="6" w:space="0" w:color="auto"/>
              <w:bottom w:val="nil" w:sz="6" w:space="0" w:color="auto"/>
              <w:right w:val="nil" w:sz="6" w:space="0" w:color="auto"/>
            </w:tcBorders>
          </w:tcPr>
          <w:p>
            <w:pPr>
              <w:pStyle w:val="TableParagraph"/>
              <w:spacing w:line="214" w:lineRule="exact"/>
              <w:ind w:right="401"/>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1597" w:type="dxa"/>
            <w:tcBorders>
              <w:top w:val="nil" w:sz="6" w:space="0" w:color="auto"/>
              <w:left w:val="nil" w:sz="6" w:space="0" w:color="auto"/>
              <w:bottom w:val="nil" w:sz="6" w:space="0" w:color="auto"/>
              <w:right w:val="nil" w:sz="6" w:space="0" w:color="auto"/>
            </w:tcBorders>
          </w:tcPr>
          <w:p>
            <w:pPr>
              <w:pStyle w:val="TableParagraph"/>
              <w:spacing w:line="214" w:lineRule="exact"/>
              <w:ind w:right="15"/>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c>
          <w:tcPr>
            <w:tcW w:w="285" w:type="dxa"/>
            <w:tcBorders>
              <w:top w:val="nil" w:sz="6" w:space="0" w:color="auto"/>
              <w:left w:val="nil" w:sz="6" w:space="0" w:color="auto"/>
              <w:bottom w:val="nil" w:sz="6" w:space="0" w:color="auto"/>
              <w:right w:val="nil" w:sz="6" w:space="0" w:color="auto"/>
            </w:tcBorders>
          </w:tcPr>
          <w:p>
            <w:pPr/>
          </w:p>
        </w:tc>
      </w:tr>
      <w:tr>
        <w:trPr>
          <w:trHeight w:val="474" w:hRule="exact"/>
        </w:trPr>
        <w:tc>
          <w:tcPr>
            <w:tcW w:w="3790" w:type="dxa"/>
            <w:tcBorders>
              <w:top w:val="nil" w:sz="6" w:space="0" w:color="auto"/>
              <w:left w:val="nil" w:sz="6" w:space="0" w:color="auto"/>
              <w:bottom w:val="nil" w:sz="6" w:space="0" w:color="auto"/>
              <w:right w:val="nil" w:sz="6" w:space="0" w:color="auto"/>
            </w:tcBorders>
          </w:tcPr>
          <w:p>
            <w:pPr>
              <w:pStyle w:val="TableParagraph"/>
              <w:spacing w:line="240" w:lineRule="auto" w:before="78"/>
              <w:ind w:left="200" w:right="0"/>
              <w:jc w:val="left"/>
              <w:rPr>
                <w:rFonts w:ascii="黑体" w:hAnsi="黑体" w:cs="黑体" w:eastAsia="黑体" w:hint="default"/>
                <w:sz w:val="20"/>
                <w:szCs w:val="20"/>
              </w:rPr>
            </w:pPr>
            <w:r>
              <w:rPr>
                <w:rFonts w:ascii="黑体" w:hAnsi="黑体" w:cs="黑体" w:eastAsia="黑体" w:hint="default"/>
                <w:sz w:val="20"/>
                <w:szCs w:val="20"/>
              </w:rPr>
              <w:t>现金及现金等价物净变动：</w:t>
            </w:r>
          </w:p>
        </w:tc>
        <w:tc>
          <w:tcPr>
            <w:tcW w:w="2705"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
        </w:tc>
        <w:tc>
          <w:tcPr>
            <w:tcW w:w="285" w:type="dxa"/>
            <w:tcBorders>
              <w:top w:val="nil" w:sz="6" w:space="0" w:color="auto"/>
              <w:left w:val="nil" w:sz="6" w:space="0" w:color="auto"/>
              <w:bottom w:val="nil" w:sz="6" w:space="0" w:color="auto"/>
              <w:right w:val="nil" w:sz="6" w:space="0" w:color="auto"/>
            </w:tcBorders>
          </w:tcPr>
          <w:p>
            <w:pPr/>
          </w:p>
        </w:tc>
      </w:tr>
      <w:tr>
        <w:trPr>
          <w:trHeight w:val="374" w:hRule="exact"/>
        </w:trPr>
        <w:tc>
          <w:tcPr>
            <w:tcW w:w="379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00" w:right="0"/>
              <w:jc w:val="left"/>
              <w:rPr>
                <w:rFonts w:ascii="黑体" w:hAnsi="黑体" w:cs="黑体" w:eastAsia="黑体" w:hint="default"/>
                <w:sz w:val="20"/>
                <w:szCs w:val="20"/>
              </w:rPr>
            </w:pPr>
            <w:r>
              <w:rPr>
                <w:rFonts w:ascii="黑体" w:hAnsi="黑体" w:cs="黑体" w:eastAsia="黑体" w:hint="default"/>
                <w:sz w:val="20"/>
                <w:szCs w:val="20"/>
              </w:rPr>
              <w:t>现金的年末余额</w:t>
            </w:r>
          </w:p>
        </w:tc>
        <w:tc>
          <w:tcPr>
            <w:tcW w:w="270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401"/>
              <w:jc w:val="right"/>
              <w:rPr>
                <w:rFonts w:ascii="Arial" w:hAnsi="Arial" w:cs="Arial" w:eastAsia="Arial" w:hint="default"/>
                <w:sz w:val="20"/>
                <w:szCs w:val="20"/>
              </w:rPr>
            </w:pPr>
            <w:r>
              <w:rPr>
                <w:rFonts w:ascii="Arial"/>
                <w:spacing w:val="-1"/>
                <w:sz w:val="20"/>
              </w:rPr>
              <w:t>589,098,195</w:t>
            </w:r>
            <w:r>
              <w:rPr>
                <w:rFonts w:ascii="Arial"/>
                <w:sz w:val="20"/>
              </w:rPr>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6"/>
              <w:jc w:val="right"/>
              <w:rPr>
                <w:rFonts w:ascii="Arial" w:hAnsi="Arial" w:cs="Arial" w:eastAsia="Arial" w:hint="default"/>
                <w:sz w:val="20"/>
                <w:szCs w:val="20"/>
              </w:rPr>
            </w:pPr>
            <w:r>
              <w:rPr>
                <w:rFonts w:ascii="Arial"/>
                <w:spacing w:val="-1"/>
                <w:sz w:val="20"/>
              </w:rPr>
              <w:t>434,055,852</w:t>
            </w:r>
            <w:r>
              <w:rPr>
                <w:rFonts w:ascii="Arial"/>
                <w:sz w:val="20"/>
              </w:rPr>
            </w:r>
          </w:p>
        </w:tc>
        <w:tc>
          <w:tcPr>
            <w:tcW w:w="285" w:type="dxa"/>
            <w:tcBorders>
              <w:top w:val="nil" w:sz="6" w:space="0" w:color="auto"/>
              <w:left w:val="nil" w:sz="6" w:space="0" w:color="auto"/>
              <w:bottom w:val="nil" w:sz="6" w:space="0" w:color="auto"/>
              <w:right w:val="nil" w:sz="6" w:space="0" w:color="auto"/>
            </w:tcBorders>
          </w:tcPr>
          <w:p>
            <w:pPr/>
          </w:p>
        </w:tc>
      </w:tr>
      <w:tr>
        <w:trPr>
          <w:trHeight w:val="374" w:hRule="exact"/>
        </w:trPr>
        <w:tc>
          <w:tcPr>
            <w:tcW w:w="379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0"/>
                <w:szCs w:val="20"/>
              </w:rPr>
            </w:pPr>
            <w:r>
              <w:rPr>
                <w:rFonts w:ascii="黑体" w:hAnsi="黑体" w:cs="黑体" w:eastAsia="黑体" w:hint="default"/>
                <w:sz w:val="20"/>
                <w:szCs w:val="20"/>
              </w:rPr>
              <w:t>减：现金的年初余额</w:t>
            </w:r>
          </w:p>
        </w:tc>
        <w:tc>
          <w:tcPr>
            <w:tcW w:w="2705" w:type="dxa"/>
            <w:tcBorders>
              <w:top w:val="nil" w:sz="6" w:space="0" w:color="auto"/>
              <w:left w:val="nil" w:sz="6" w:space="0" w:color="auto"/>
              <w:bottom w:val="nil" w:sz="6" w:space="0" w:color="auto"/>
              <w:right w:val="nil" w:sz="6" w:space="0" w:color="auto"/>
            </w:tcBorders>
          </w:tcPr>
          <w:p>
            <w:pPr>
              <w:pStyle w:val="TableParagraph"/>
              <w:spacing w:line="223" w:lineRule="exact"/>
              <w:ind w:right="401"/>
              <w:jc w:val="right"/>
              <w:rPr>
                <w:rFonts w:ascii="Arial" w:hAnsi="Arial" w:cs="Arial" w:eastAsia="Arial" w:hint="default"/>
                <w:sz w:val="20"/>
                <w:szCs w:val="20"/>
              </w:rPr>
            </w:pPr>
            <w:r>
              <w:rPr>
                <w:rFonts w:ascii="Arial"/>
                <w:w w:val="99"/>
                <w:sz w:val="20"/>
              </w:rPr>
            </w:r>
            <w:r>
              <w:rPr>
                <w:rFonts w:ascii="Arial"/>
                <w:spacing w:val="-1"/>
                <w:sz w:val="20"/>
                <w:u w:val="single" w:color="000000"/>
              </w:rPr>
              <w:t>434,055,852</w:t>
            </w:r>
            <w:r>
              <w:rPr>
                <w:rFonts w:ascii="Arial"/>
                <w:spacing w:val="-1"/>
                <w:sz w:val="20"/>
              </w:rPr>
            </w:r>
            <w:r>
              <w:rPr>
                <w:rFonts w:ascii="Arial"/>
                <w:sz w:val="20"/>
              </w:rPr>
            </w:r>
          </w:p>
        </w:tc>
        <w:tc>
          <w:tcPr>
            <w:tcW w:w="1597" w:type="dxa"/>
            <w:tcBorders>
              <w:top w:val="nil" w:sz="6" w:space="0" w:color="auto"/>
              <w:left w:val="nil" w:sz="6" w:space="0" w:color="auto"/>
              <w:bottom w:val="nil" w:sz="6" w:space="0" w:color="auto"/>
              <w:right w:val="nil" w:sz="6" w:space="0" w:color="auto"/>
            </w:tcBorders>
          </w:tcPr>
          <w:p>
            <w:pPr>
              <w:pStyle w:val="TableParagraph"/>
              <w:spacing w:line="223" w:lineRule="exact"/>
              <w:ind w:right="16"/>
              <w:jc w:val="right"/>
              <w:rPr>
                <w:rFonts w:ascii="Arial" w:hAnsi="Arial" w:cs="Arial" w:eastAsia="Arial" w:hint="default"/>
                <w:sz w:val="20"/>
                <w:szCs w:val="20"/>
              </w:rPr>
            </w:pPr>
            <w:r>
              <w:rPr>
                <w:rFonts w:ascii="Arial"/>
                <w:w w:val="99"/>
                <w:sz w:val="20"/>
              </w:rPr>
            </w:r>
            <w:r>
              <w:rPr>
                <w:rFonts w:ascii="Arial"/>
                <w:spacing w:val="-1"/>
                <w:sz w:val="20"/>
                <w:u w:val="single" w:color="000000"/>
              </w:rPr>
              <w:t>697,861,349</w:t>
            </w:r>
            <w:r>
              <w:rPr>
                <w:rFonts w:ascii="Arial"/>
                <w:spacing w:val="-1"/>
                <w:sz w:val="20"/>
              </w:rPr>
            </w:r>
            <w:r>
              <w:rPr>
                <w:rFonts w:ascii="Arial"/>
                <w:sz w:val="20"/>
              </w:rPr>
            </w:r>
          </w:p>
        </w:tc>
        <w:tc>
          <w:tcPr>
            <w:tcW w:w="285" w:type="dxa"/>
            <w:tcBorders>
              <w:top w:val="nil" w:sz="6" w:space="0" w:color="auto"/>
              <w:left w:val="nil" w:sz="6" w:space="0" w:color="auto"/>
              <w:bottom w:val="nil" w:sz="6" w:space="0" w:color="auto"/>
              <w:right w:val="nil" w:sz="6" w:space="0" w:color="auto"/>
            </w:tcBorders>
          </w:tcPr>
          <w:p>
            <w:pPr/>
          </w:p>
        </w:tc>
      </w:tr>
      <w:tr>
        <w:trPr>
          <w:trHeight w:val="362" w:hRule="exact"/>
        </w:trPr>
        <w:tc>
          <w:tcPr>
            <w:tcW w:w="379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00" w:right="0"/>
              <w:jc w:val="left"/>
              <w:rPr>
                <w:rFonts w:ascii="黑体" w:hAnsi="黑体" w:cs="黑体" w:eastAsia="黑体" w:hint="default"/>
                <w:sz w:val="20"/>
                <w:szCs w:val="20"/>
              </w:rPr>
            </w:pPr>
            <w:r>
              <w:rPr>
                <w:rFonts w:ascii="黑体" w:hAnsi="黑体" w:cs="黑体" w:eastAsia="黑体" w:hint="default"/>
                <w:sz w:val="20"/>
                <w:szCs w:val="20"/>
              </w:rPr>
              <w:t>现金及现金等价物净增加额</w:t>
            </w:r>
          </w:p>
        </w:tc>
        <w:tc>
          <w:tcPr>
            <w:tcW w:w="270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401"/>
              <w:jc w:val="right"/>
              <w:rPr>
                <w:rFonts w:ascii="Arial" w:hAnsi="Arial" w:cs="Arial" w:eastAsia="Arial" w:hint="default"/>
                <w:sz w:val="20"/>
                <w:szCs w:val="20"/>
              </w:rPr>
            </w:pPr>
            <w:r>
              <w:rPr>
                <w:rFonts w:ascii="Arial"/>
                <w:w w:val="99"/>
                <w:sz w:val="20"/>
              </w:rPr>
            </w:r>
            <w:r>
              <w:rPr>
                <w:rFonts w:ascii="Arial"/>
                <w:spacing w:val="-1"/>
                <w:sz w:val="20"/>
                <w:u w:val="thick" w:color="000000"/>
              </w:rPr>
              <w:t>155,042,343</w:t>
            </w:r>
            <w:r>
              <w:rPr>
                <w:rFonts w:ascii="Arial"/>
                <w:spacing w:val="-1"/>
                <w:sz w:val="20"/>
              </w:rPr>
            </w:r>
            <w:r>
              <w:rPr>
                <w:rFonts w:ascii="Arial"/>
                <w:sz w:val="20"/>
              </w:rPr>
            </w: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16"/>
              <w:jc w:val="right"/>
              <w:rPr>
                <w:rFonts w:ascii="Arial" w:hAnsi="Arial" w:cs="Arial" w:eastAsia="Arial" w:hint="default"/>
                <w:sz w:val="20"/>
                <w:szCs w:val="20"/>
              </w:rPr>
            </w:pPr>
            <w:r>
              <w:rPr>
                <w:rFonts w:ascii="Arial"/>
                <w:spacing w:val="-1"/>
                <w:sz w:val="20"/>
              </w:rPr>
              <w:t>(</w:t>
            </w:r>
            <w:r>
              <w:rPr>
                <w:rFonts w:ascii="Arial"/>
                <w:spacing w:val="-1"/>
                <w:sz w:val="20"/>
                <w:u w:val="thick" w:color="000000"/>
              </w:rPr>
              <w:t>263,805,497</w:t>
            </w:r>
            <w:r>
              <w:rPr>
                <w:rFonts w:ascii="Arial"/>
                <w:spacing w:val="-1"/>
                <w:sz w:val="20"/>
              </w:rPr>
            </w:r>
            <w:r>
              <w:rPr>
                <w:rFonts w:ascii="Arial"/>
                <w:sz w:val="20"/>
              </w:rPr>
            </w:r>
          </w:p>
        </w:tc>
        <w:tc>
          <w:tcPr>
            <w:tcW w:w="285"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18" w:right="0"/>
              <w:jc w:val="left"/>
              <w:rPr>
                <w:rFonts w:ascii="Arial" w:hAnsi="Arial" w:cs="Arial" w:eastAsia="Arial" w:hint="default"/>
                <w:sz w:val="20"/>
                <w:szCs w:val="20"/>
              </w:rPr>
            </w:pPr>
            <w:r>
              <w:rPr>
                <w:rFonts w:ascii="Arial"/>
                <w:w w:val="99"/>
                <w:sz w:val="20"/>
              </w:rPr>
              <w:t>)</w:t>
            </w:r>
            <w:r>
              <w:rPr>
                <w:rFonts w:ascii="Arial"/>
                <w:sz w:val="20"/>
              </w:rPr>
            </w:r>
          </w:p>
        </w:tc>
      </w:tr>
    </w:tbl>
    <w:p>
      <w:pPr>
        <w:spacing w:line="240" w:lineRule="auto" w:before="0"/>
        <w:rPr>
          <w:rFonts w:ascii="黑体" w:hAnsi="黑体" w:cs="黑体" w:eastAsia="黑体" w:hint="default"/>
          <w:b/>
          <w:bCs/>
          <w:sz w:val="20"/>
          <w:szCs w:val="20"/>
        </w:rPr>
      </w:pPr>
    </w:p>
    <w:p>
      <w:pPr>
        <w:spacing w:line="240" w:lineRule="auto" w:before="6"/>
        <w:rPr>
          <w:rFonts w:ascii="黑体" w:hAnsi="黑体" w:cs="黑体" w:eastAsia="黑体" w:hint="default"/>
          <w:b/>
          <w:bCs/>
          <w:sz w:val="14"/>
          <w:szCs w:val="14"/>
        </w:rPr>
      </w:pPr>
    </w:p>
    <w:p>
      <w:pPr>
        <w:pStyle w:val="BodyText"/>
        <w:tabs>
          <w:tab w:pos="1236" w:val="left" w:leader="none"/>
        </w:tabs>
        <w:spacing w:line="240" w:lineRule="auto"/>
        <w:ind w:left="749" w:right="934"/>
        <w:jc w:val="left"/>
      </w:pPr>
      <w:r>
        <w:rPr>
          <w:rFonts w:ascii="Arial" w:hAnsi="Arial" w:cs="Arial" w:eastAsia="Arial" w:hint="default"/>
          <w:spacing w:val="-1"/>
        </w:rPr>
        <w:t>(2)</w:t>
        <w:tab/>
      </w:r>
      <w:r>
        <w:rPr/>
        <w:t>现金和现金等价物</w:t>
      </w:r>
    </w:p>
    <w:p>
      <w:pPr>
        <w:spacing w:line="240" w:lineRule="auto" w:before="1"/>
        <w:rPr>
          <w:rFonts w:ascii="黑体" w:hAnsi="黑体" w:cs="黑体" w:eastAsia="黑体" w:hint="default"/>
          <w:sz w:val="21"/>
          <w:szCs w:val="21"/>
        </w:rPr>
      </w:pPr>
    </w:p>
    <w:tbl>
      <w:tblPr>
        <w:tblW w:w="0" w:type="auto"/>
        <w:jc w:val="left"/>
        <w:tblInd w:w="559" w:type="dxa"/>
        <w:tblLayout w:type="fixed"/>
        <w:tblCellMar>
          <w:top w:w="0" w:type="dxa"/>
          <w:left w:w="0" w:type="dxa"/>
          <w:bottom w:w="0" w:type="dxa"/>
          <w:right w:w="0" w:type="dxa"/>
        </w:tblCellMar>
        <w:tblLook w:val="01E0"/>
      </w:tblPr>
      <w:tblGrid>
        <w:gridCol w:w="4188"/>
        <w:gridCol w:w="2381"/>
        <w:gridCol w:w="1742"/>
      </w:tblGrid>
      <w:tr>
        <w:trPr>
          <w:trHeight w:val="234" w:hRule="exact"/>
        </w:trPr>
        <w:tc>
          <w:tcPr>
            <w:tcW w:w="4188" w:type="dxa"/>
            <w:tcBorders>
              <w:top w:val="nil" w:sz="6" w:space="0" w:color="auto"/>
              <w:left w:val="nil" w:sz="6" w:space="0" w:color="auto"/>
              <w:bottom w:val="nil" w:sz="6" w:space="0" w:color="auto"/>
              <w:right w:val="nil" w:sz="6" w:space="0" w:color="auto"/>
            </w:tcBorders>
          </w:tcPr>
          <w:p>
            <w:pPr/>
          </w:p>
        </w:tc>
        <w:tc>
          <w:tcPr>
            <w:tcW w:w="2381" w:type="dxa"/>
            <w:tcBorders>
              <w:top w:val="nil" w:sz="6" w:space="0" w:color="auto"/>
              <w:left w:val="nil" w:sz="6" w:space="0" w:color="auto"/>
              <w:bottom w:val="nil" w:sz="6" w:space="0" w:color="auto"/>
              <w:right w:val="nil" w:sz="6" w:space="0" w:color="auto"/>
            </w:tcBorders>
          </w:tcPr>
          <w:p>
            <w:pPr>
              <w:pStyle w:val="TableParagraph"/>
              <w:spacing w:line="214" w:lineRule="exact"/>
              <w:ind w:right="431"/>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1742" w:type="dxa"/>
            <w:tcBorders>
              <w:top w:val="nil" w:sz="6" w:space="0" w:color="auto"/>
              <w:left w:val="nil" w:sz="6" w:space="0" w:color="auto"/>
              <w:bottom w:val="nil" w:sz="6" w:space="0" w:color="auto"/>
              <w:right w:val="nil" w:sz="6" w:space="0" w:color="auto"/>
            </w:tcBorders>
          </w:tcPr>
          <w:p>
            <w:pPr>
              <w:pStyle w:val="TableParagraph"/>
              <w:spacing w:line="214" w:lineRule="exact"/>
              <w:ind w:right="198"/>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r>
      <w:tr>
        <w:trPr>
          <w:trHeight w:val="386" w:hRule="exact"/>
        </w:trPr>
        <w:tc>
          <w:tcPr>
            <w:tcW w:w="4188" w:type="dxa"/>
            <w:tcBorders>
              <w:top w:val="nil" w:sz="6" w:space="0" w:color="auto"/>
              <w:left w:val="nil" w:sz="6" w:space="0" w:color="auto"/>
              <w:bottom w:val="nil" w:sz="6" w:space="0" w:color="auto"/>
              <w:right w:val="nil" w:sz="6" w:space="0" w:color="auto"/>
            </w:tcBorders>
          </w:tcPr>
          <w:p>
            <w:pPr/>
          </w:p>
        </w:tc>
        <w:tc>
          <w:tcPr>
            <w:tcW w:w="2381" w:type="dxa"/>
            <w:tcBorders>
              <w:top w:val="nil" w:sz="6" w:space="0" w:color="auto"/>
              <w:left w:val="nil" w:sz="6" w:space="0" w:color="auto"/>
              <w:bottom w:val="nil" w:sz="6" w:space="0" w:color="auto"/>
              <w:right w:val="nil" w:sz="6" w:space="0" w:color="auto"/>
            </w:tcBorders>
          </w:tcPr>
          <w:p>
            <w:pPr>
              <w:pStyle w:val="TableParagraph"/>
              <w:spacing w:line="239" w:lineRule="exact"/>
              <w:ind w:right="431"/>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742" w:type="dxa"/>
            <w:tcBorders>
              <w:top w:val="nil" w:sz="6" w:space="0" w:color="auto"/>
              <w:left w:val="nil" w:sz="6" w:space="0" w:color="auto"/>
              <w:bottom w:val="nil" w:sz="6" w:space="0" w:color="auto"/>
              <w:right w:val="nil" w:sz="6" w:space="0" w:color="auto"/>
            </w:tcBorders>
          </w:tcPr>
          <w:p>
            <w:pPr>
              <w:pStyle w:val="TableParagraph"/>
              <w:spacing w:line="239" w:lineRule="exact"/>
              <w:ind w:right="198"/>
              <w:jc w:val="right"/>
              <w:rPr>
                <w:rFonts w:ascii="黑体" w:hAnsi="黑体" w:cs="黑体" w:eastAsia="黑体" w:hint="default"/>
                <w:sz w:val="20"/>
                <w:szCs w:val="20"/>
              </w:rPr>
            </w:pPr>
            <w:r>
              <w:rPr>
                <w:rFonts w:ascii="Arial" w:hAnsi="Arial" w:cs="Arial" w:eastAsia="Arial" w:hint="default"/>
                <w:spacing w:val="-1"/>
                <w:sz w:val="20"/>
                <w:szCs w:val="20"/>
              </w:rPr>
              <w:t>12</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r>
      <w:tr>
        <w:trPr>
          <w:trHeight w:val="385" w:hRule="exact"/>
        </w:trPr>
        <w:tc>
          <w:tcPr>
            <w:tcW w:w="4188"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00" w:right="0"/>
              <w:jc w:val="left"/>
              <w:rPr>
                <w:rFonts w:ascii="黑体" w:hAnsi="黑体" w:cs="黑体" w:eastAsia="黑体" w:hint="default"/>
                <w:sz w:val="20"/>
                <w:szCs w:val="20"/>
              </w:rPr>
            </w:pPr>
            <w:r>
              <w:rPr>
                <w:rFonts w:ascii="黑体" w:hAnsi="黑体" w:cs="黑体" w:eastAsia="黑体" w:hint="default"/>
                <w:sz w:val="20"/>
                <w:szCs w:val="20"/>
              </w:rPr>
              <w:t>现金</w:t>
            </w:r>
          </w:p>
        </w:tc>
        <w:tc>
          <w:tcPr>
            <w:tcW w:w="2381"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431"/>
              <w:jc w:val="right"/>
              <w:rPr>
                <w:rFonts w:ascii="Arial" w:hAnsi="Arial" w:cs="Arial" w:eastAsia="Arial" w:hint="default"/>
                <w:sz w:val="20"/>
                <w:szCs w:val="20"/>
              </w:rPr>
            </w:pPr>
            <w:r>
              <w:rPr>
                <w:rFonts w:ascii="Arial"/>
                <w:spacing w:val="-1"/>
                <w:sz w:val="20"/>
              </w:rPr>
              <w:t>589,098,195</w:t>
            </w:r>
            <w:r>
              <w:rPr>
                <w:rFonts w:ascii="Arial"/>
                <w:sz w:val="20"/>
              </w:rPr>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98"/>
              <w:jc w:val="right"/>
              <w:rPr>
                <w:rFonts w:ascii="Arial" w:hAnsi="Arial" w:cs="Arial" w:eastAsia="Arial" w:hint="default"/>
                <w:sz w:val="20"/>
                <w:szCs w:val="20"/>
              </w:rPr>
            </w:pPr>
            <w:r>
              <w:rPr>
                <w:rFonts w:ascii="Arial"/>
                <w:spacing w:val="-1"/>
                <w:sz w:val="20"/>
              </w:rPr>
              <w:t>434,055,852</w:t>
            </w:r>
            <w:r>
              <w:rPr>
                <w:rFonts w:ascii="Arial"/>
                <w:sz w:val="20"/>
              </w:rPr>
            </w:r>
          </w:p>
        </w:tc>
      </w:tr>
      <w:tr>
        <w:trPr>
          <w:trHeight w:val="259" w:hRule="exact"/>
        </w:trPr>
        <w:tc>
          <w:tcPr>
            <w:tcW w:w="4188" w:type="dxa"/>
            <w:tcBorders>
              <w:top w:val="nil" w:sz="6" w:space="0" w:color="auto"/>
              <w:left w:val="nil" w:sz="6" w:space="0" w:color="auto"/>
              <w:bottom w:val="nil" w:sz="6" w:space="0" w:color="auto"/>
              <w:right w:val="nil" w:sz="6" w:space="0" w:color="auto"/>
            </w:tcBorders>
          </w:tcPr>
          <w:p>
            <w:pPr>
              <w:pStyle w:val="TableParagraph"/>
              <w:spacing w:line="226" w:lineRule="exact"/>
              <w:ind w:left="377" w:right="0"/>
              <w:jc w:val="left"/>
              <w:rPr>
                <w:rFonts w:ascii="黑体" w:hAnsi="黑体" w:cs="黑体" w:eastAsia="黑体" w:hint="default"/>
                <w:sz w:val="20"/>
                <w:szCs w:val="20"/>
              </w:rPr>
            </w:pPr>
            <w:r>
              <w:rPr>
                <w:rFonts w:ascii="黑体" w:hAnsi="黑体" w:cs="黑体" w:eastAsia="黑体" w:hint="default"/>
                <w:sz w:val="20"/>
                <w:szCs w:val="20"/>
              </w:rPr>
              <w:t>其中：库存现金</w:t>
            </w:r>
          </w:p>
        </w:tc>
        <w:tc>
          <w:tcPr>
            <w:tcW w:w="238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31"/>
              <w:jc w:val="right"/>
              <w:rPr>
                <w:rFonts w:ascii="Arial" w:hAnsi="Arial" w:cs="Arial" w:eastAsia="Arial" w:hint="default"/>
                <w:sz w:val="20"/>
                <w:szCs w:val="20"/>
              </w:rPr>
            </w:pPr>
            <w:r>
              <w:rPr>
                <w:rFonts w:ascii="Arial"/>
                <w:spacing w:val="-1"/>
                <w:sz w:val="20"/>
              </w:rPr>
              <w:t>2,594,376</w:t>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spacing w:val="-1"/>
                <w:sz w:val="20"/>
              </w:rPr>
              <w:t>1,980,498</w:t>
            </w:r>
          </w:p>
        </w:tc>
      </w:tr>
      <w:tr>
        <w:trPr>
          <w:trHeight w:val="386" w:hRule="exact"/>
        </w:trPr>
        <w:tc>
          <w:tcPr>
            <w:tcW w:w="4188" w:type="dxa"/>
            <w:tcBorders>
              <w:top w:val="nil" w:sz="6" w:space="0" w:color="auto"/>
              <w:left w:val="nil" w:sz="6" w:space="0" w:color="auto"/>
              <w:bottom w:val="nil" w:sz="6" w:space="0" w:color="auto"/>
              <w:right w:val="nil" w:sz="6" w:space="0" w:color="auto"/>
            </w:tcBorders>
          </w:tcPr>
          <w:p>
            <w:pPr>
              <w:pStyle w:val="TableParagraph"/>
              <w:spacing w:line="226" w:lineRule="exact"/>
              <w:ind w:left="951" w:right="0"/>
              <w:jc w:val="left"/>
              <w:rPr>
                <w:rFonts w:ascii="黑体" w:hAnsi="黑体" w:cs="黑体" w:eastAsia="黑体" w:hint="default"/>
                <w:sz w:val="20"/>
                <w:szCs w:val="20"/>
              </w:rPr>
            </w:pPr>
            <w:r>
              <w:rPr>
                <w:rFonts w:ascii="黑体" w:hAnsi="黑体" w:cs="黑体" w:eastAsia="黑体" w:hint="default"/>
                <w:sz w:val="20"/>
                <w:szCs w:val="20"/>
              </w:rPr>
              <w:t>可随时用于支付的银行存款</w:t>
            </w:r>
          </w:p>
        </w:tc>
        <w:tc>
          <w:tcPr>
            <w:tcW w:w="238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31"/>
              <w:jc w:val="right"/>
              <w:rPr>
                <w:rFonts w:ascii="Arial" w:hAnsi="Arial" w:cs="Arial" w:eastAsia="Arial" w:hint="default"/>
                <w:sz w:val="20"/>
                <w:szCs w:val="20"/>
              </w:rPr>
            </w:pPr>
            <w:r>
              <w:rPr>
                <w:rFonts w:ascii="Arial"/>
                <w:w w:val="99"/>
                <w:sz w:val="20"/>
              </w:rPr>
            </w:r>
            <w:r>
              <w:rPr>
                <w:rFonts w:ascii="Arial"/>
                <w:spacing w:val="-1"/>
                <w:sz w:val="20"/>
                <w:u w:val="thick" w:color="000000"/>
              </w:rPr>
              <w:t>586,503,819</w:t>
            </w:r>
            <w:r>
              <w:rPr>
                <w:rFonts w:ascii="Arial"/>
                <w:spacing w:val="-1"/>
                <w:sz w:val="20"/>
              </w:rPr>
            </w:r>
            <w:r>
              <w:rPr>
                <w:rFonts w:ascii="Arial"/>
                <w:sz w:val="20"/>
              </w:rPr>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432,075,354</w:t>
            </w:r>
            <w:r>
              <w:rPr>
                <w:rFonts w:ascii="Arial"/>
                <w:spacing w:val="-1"/>
                <w:sz w:val="20"/>
              </w:rPr>
            </w:r>
            <w:r>
              <w:rPr>
                <w:rFonts w:ascii="Arial"/>
                <w:sz w:val="20"/>
              </w:rPr>
            </w:r>
          </w:p>
        </w:tc>
      </w:tr>
      <w:tr>
        <w:trPr>
          <w:trHeight w:val="362" w:hRule="exact"/>
        </w:trPr>
        <w:tc>
          <w:tcPr>
            <w:tcW w:w="4188" w:type="dxa"/>
            <w:tcBorders>
              <w:top w:val="nil" w:sz="6" w:space="0" w:color="auto"/>
              <w:left w:val="nil" w:sz="6" w:space="0" w:color="auto"/>
              <w:bottom w:val="nil" w:sz="6" w:space="0" w:color="auto"/>
              <w:right w:val="nil" w:sz="6" w:space="0" w:color="auto"/>
            </w:tcBorders>
          </w:tcPr>
          <w:p>
            <w:pPr>
              <w:pStyle w:val="TableParagraph"/>
              <w:spacing w:line="240" w:lineRule="auto" w:before="91"/>
              <w:ind w:left="200" w:right="0"/>
              <w:jc w:val="left"/>
              <w:rPr>
                <w:rFonts w:ascii="黑体" w:hAnsi="黑体" w:cs="黑体" w:eastAsia="黑体" w:hint="default"/>
                <w:sz w:val="20"/>
                <w:szCs w:val="20"/>
              </w:rPr>
            </w:pPr>
            <w:r>
              <w:rPr>
                <w:rFonts w:ascii="黑体" w:hAnsi="黑体" w:cs="黑体" w:eastAsia="黑体" w:hint="default"/>
                <w:sz w:val="20"/>
                <w:szCs w:val="20"/>
              </w:rPr>
              <w:t>年末现金及现金等价物余额</w:t>
            </w:r>
          </w:p>
        </w:tc>
        <w:tc>
          <w:tcPr>
            <w:tcW w:w="2381"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431"/>
              <w:jc w:val="right"/>
              <w:rPr>
                <w:rFonts w:ascii="Arial" w:hAnsi="Arial" w:cs="Arial" w:eastAsia="Arial" w:hint="default"/>
                <w:sz w:val="20"/>
                <w:szCs w:val="20"/>
              </w:rPr>
            </w:pPr>
            <w:r>
              <w:rPr>
                <w:rFonts w:ascii="Arial"/>
                <w:w w:val="99"/>
                <w:sz w:val="20"/>
              </w:rPr>
            </w:r>
            <w:r>
              <w:rPr>
                <w:rFonts w:ascii="Arial"/>
                <w:spacing w:val="-1"/>
                <w:sz w:val="20"/>
                <w:u w:val="thick" w:color="000000"/>
              </w:rPr>
              <w:t>589,098,195</w:t>
            </w:r>
            <w:r>
              <w:rPr>
                <w:rFonts w:ascii="Arial"/>
                <w:spacing w:val="-1"/>
                <w:sz w:val="20"/>
              </w:rPr>
            </w:r>
            <w:r>
              <w:rPr>
                <w:rFonts w:ascii="Arial"/>
                <w:sz w:val="20"/>
              </w:rPr>
            </w:r>
          </w:p>
        </w:tc>
        <w:tc>
          <w:tcPr>
            <w:tcW w:w="1742" w:type="dxa"/>
            <w:tcBorders>
              <w:top w:val="nil" w:sz="6" w:space="0" w:color="auto"/>
              <w:left w:val="nil" w:sz="6" w:space="0" w:color="auto"/>
              <w:bottom w:val="nil" w:sz="6" w:space="0" w:color="auto"/>
              <w:right w:val="nil" w:sz="6" w:space="0" w:color="auto"/>
            </w:tcBorders>
          </w:tcPr>
          <w:p>
            <w:pPr>
              <w:pStyle w:val="TableParagraph"/>
              <w:spacing w:line="240" w:lineRule="auto" w:before="137"/>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434,055,852</w:t>
            </w:r>
            <w:r>
              <w:rPr>
                <w:rFonts w:ascii="Arial"/>
                <w:spacing w:val="-1"/>
                <w:sz w:val="20"/>
              </w:rPr>
            </w:r>
            <w:r>
              <w:rPr>
                <w:rFonts w:ascii="Arial"/>
                <w:sz w:val="20"/>
              </w:rPr>
            </w:r>
          </w:p>
        </w:tc>
      </w:tr>
    </w:tbl>
    <w:p>
      <w:pPr>
        <w:spacing w:line="240" w:lineRule="auto" w:before="11"/>
        <w:rPr>
          <w:rFonts w:ascii="黑体" w:hAnsi="黑体" w:cs="黑体" w:eastAsia="黑体" w:hint="default"/>
          <w:sz w:val="13"/>
          <w:szCs w:val="13"/>
        </w:rPr>
      </w:pPr>
    </w:p>
    <w:p>
      <w:pPr>
        <w:pStyle w:val="Heading6"/>
        <w:tabs>
          <w:tab w:pos="730" w:val="left" w:leader="none"/>
        </w:tabs>
        <w:spacing w:line="240" w:lineRule="auto"/>
        <w:ind w:left="142" w:right="934"/>
        <w:jc w:val="left"/>
        <w:rPr>
          <w:b w:val="0"/>
          <w:bCs w:val="0"/>
        </w:rPr>
      </w:pPr>
      <w:r>
        <w:rPr>
          <w:rFonts w:ascii="Arial" w:hAnsi="Arial" w:cs="Arial" w:eastAsia="Arial" w:hint="default"/>
          <w:spacing w:val="-1"/>
          <w:w w:val="95"/>
        </w:rPr>
        <w:t>41.</w:t>
        <w:tab/>
      </w:r>
      <w:r>
        <w:rPr>
          <w:spacing w:val="1"/>
        </w:rPr>
        <w:t>本公司与关联方之主要交易</w:t>
      </w:r>
      <w:r>
        <w:rPr>
          <w:b w:val="0"/>
          <w:bCs w:val="0"/>
        </w:rPr>
      </w:r>
    </w:p>
    <w:p>
      <w:pPr>
        <w:pStyle w:val="BodyText"/>
        <w:spacing w:line="424" w:lineRule="auto" w:before="168"/>
        <w:ind w:left="749" w:right="5717" w:hanging="37"/>
        <w:jc w:val="left"/>
      </w:pPr>
      <w:r>
        <w:rPr>
          <w:rFonts w:ascii="Arial" w:hAnsi="Arial" w:cs="Arial" w:eastAsia="Arial" w:hint="default"/>
        </w:rPr>
        <w:t>(1)</w:t>
      </w:r>
      <w:r>
        <w:rPr>
          <w:rFonts w:ascii="Arial" w:hAnsi="Arial" w:cs="Arial" w:eastAsia="Arial" w:hint="default"/>
          <w:spacing w:val="43"/>
        </w:rPr>
        <w:t> </w:t>
      </w:r>
      <w:r>
        <w:rPr/>
        <w:t>关联方商品和劳务交易：</w:t>
      </w:r>
      <w:r>
        <w:rPr>
          <w:w w:val="99"/>
        </w:rPr>
        <w:t> </w:t>
      </w:r>
      <w:r>
        <w:rPr/>
        <w:t>自关联方购买商品和接受劳务</w:t>
      </w:r>
    </w:p>
    <w:p>
      <w:pPr>
        <w:spacing w:line="240" w:lineRule="auto" w:before="5"/>
        <w:rPr>
          <w:rFonts w:ascii="黑体" w:hAnsi="黑体" w:cs="黑体" w:eastAsia="黑体" w:hint="default"/>
          <w:sz w:val="10"/>
          <w:szCs w:val="10"/>
        </w:rPr>
      </w:pPr>
    </w:p>
    <w:tbl>
      <w:tblPr>
        <w:tblW w:w="0" w:type="auto"/>
        <w:jc w:val="left"/>
        <w:tblInd w:w="544" w:type="dxa"/>
        <w:tblLayout w:type="fixed"/>
        <w:tblCellMar>
          <w:top w:w="0" w:type="dxa"/>
          <w:left w:w="0" w:type="dxa"/>
          <w:bottom w:w="0" w:type="dxa"/>
          <w:right w:w="0" w:type="dxa"/>
        </w:tblCellMar>
        <w:tblLook w:val="01E0"/>
      </w:tblPr>
      <w:tblGrid>
        <w:gridCol w:w="2691"/>
        <w:gridCol w:w="1771"/>
        <w:gridCol w:w="1131"/>
        <w:gridCol w:w="283"/>
        <w:gridCol w:w="1433"/>
        <w:gridCol w:w="826"/>
      </w:tblGrid>
      <w:tr>
        <w:trPr>
          <w:trHeight w:val="238" w:hRule="exact"/>
        </w:trPr>
        <w:tc>
          <w:tcPr>
            <w:tcW w:w="2691" w:type="dxa"/>
            <w:tcBorders>
              <w:top w:val="nil" w:sz="6" w:space="0" w:color="auto"/>
              <w:left w:val="nil" w:sz="6" w:space="0" w:color="auto"/>
              <w:bottom w:val="nil" w:sz="6" w:space="0" w:color="auto"/>
              <w:right w:val="nil" w:sz="6" w:space="0" w:color="auto"/>
            </w:tcBorders>
          </w:tcPr>
          <w:p>
            <w:pPr/>
          </w:p>
        </w:tc>
        <w:tc>
          <w:tcPr>
            <w:tcW w:w="1771" w:type="dxa"/>
            <w:tcBorders>
              <w:top w:val="nil" w:sz="6" w:space="0" w:color="auto"/>
              <w:left w:val="nil" w:sz="6" w:space="0" w:color="auto"/>
              <w:bottom w:val="single" w:sz="4" w:space="0" w:color="000000"/>
              <w:right w:val="nil" w:sz="6" w:space="0" w:color="auto"/>
            </w:tcBorders>
          </w:tcPr>
          <w:p>
            <w:pPr/>
          </w:p>
        </w:tc>
        <w:tc>
          <w:tcPr>
            <w:tcW w:w="1131" w:type="dxa"/>
            <w:tcBorders>
              <w:top w:val="nil" w:sz="6" w:space="0" w:color="auto"/>
              <w:left w:val="nil" w:sz="6" w:space="0" w:color="auto"/>
              <w:bottom w:val="single" w:sz="4" w:space="0" w:color="000000"/>
              <w:right w:val="nil" w:sz="6" w:space="0" w:color="auto"/>
            </w:tcBorders>
          </w:tcPr>
          <w:p>
            <w:pPr>
              <w:pStyle w:val="TableParagraph"/>
              <w:spacing w:line="214" w:lineRule="exact"/>
              <w:ind w:right="2"/>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283"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single" w:sz="4" w:space="0" w:color="000000"/>
              <w:right w:val="nil" w:sz="6" w:space="0" w:color="auto"/>
            </w:tcBorders>
          </w:tcPr>
          <w:p>
            <w:pPr/>
          </w:p>
        </w:tc>
        <w:tc>
          <w:tcPr>
            <w:tcW w:w="826" w:type="dxa"/>
            <w:tcBorders>
              <w:top w:val="nil" w:sz="6" w:space="0" w:color="auto"/>
              <w:left w:val="nil" w:sz="6" w:space="0" w:color="auto"/>
              <w:bottom w:val="single" w:sz="4" w:space="0" w:color="000000"/>
              <w:right w:val="nil" w:sz="6" w:space="0" w:color="auto"/>
            </w:tcBorders>
          </w:tcPr>
          <w:p>
            <w:pPr>
              <w:pStyle w:val="TableParagraph"/>
              <w:spacing w:line="214" w:lineRule="exact"/>
              <w:ind w:right="2"/>
              <w:jc w:val="right"/>
              <w:rPr>
                <w:rFonts w:ascii="黑体" w:hAnsi="黑体" w:cs="黑体" w:eastAsia="黑体" w:hint="default"/>
                <w:sz w:val="20"/>
                <w:szCs w:val="20"/>
              </w:rPr>
            </w:pPr>
            <w:bookmarkStart w:name="41.    本公司与关联方之主要交易" w:id="156"/>
            <w:bookmarkEnd w:id="156"/>
            <w:r>
              <w:rPr/>
            </w: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r>
      <w:tr>
        <w:trPr>
          <w:trHeight w:val="392" w:hRule="exact"/>
        </w:trPr>
        <w:tc>
          <w:tcPr>
            <w:tcW w:w="2691" w:type="dxa"/>
            <w:tcBorders>
              <w:top w:val="nil" w:sz="6" w:space="0" w:color="auto"/>
              <w:left w:val="nil" w:sz="6" w:space="0" w:color="auto"/>
              <w:bottom w:val="nil" w:sz="6" w:space="0" w:color="auto"/>
              <w:right w:val="nil" w:sz="6" w:space="0" w:color="auto"/>
            </w:tcBorders>
          </w:tcPr>
          <w:p>
            <w:pPr/>
          </w:p>
        </w:tc>
        <w:tc>
          <w:tcPr>
            <w:tcW w:w="1771" w:type="dxa"/>
            <w:tcBorders>
              <w:top w:val="single" w:sz="4" w:space="0" w:color="000000"/>
              <w:left w:val="nil" w:sz="6" w:space="0" w:color="auto"/>
              <w:bottom w:val="nil" w:sz="6" w:space="0" w:color="auto"/>
              <w:right w:val="nil" w:sz="6" w:space="0" w:color="auto"/>
            </w:tcBorders>
          </w:tcPr>
          <w:p>
            <w:pPr>
              <w:pStyle w:val="TableParagraph"/>
              <w:spacing w:line="225" w:lineRule="exact"/>
              <w:ind w:right="417"/>
              <w:jc w:val="right"/>
              <w:rPr>
                <w:rFonts w:ascii="黑体" w:hAnsi="黑体" w:cs="黑体" w:eastAsia="黑体" w:hint="default"/>
                <w:sz w:val="20"/>
                <w:szCs w:val="20"/>
              </w:rPr>
            </w:pPr>
            <w:r>
              <w:rPr>
                <w:rFonts w:ascii="黑体" w:hAnsi="黑体" w:cs="黑体" w:eastAsia="黑体" w:hint="default"/>
                <w:w w:val="95"/>
                <w:sz w:val="20"/>
                <w:szCs w:val="20"/>
              </w:rPr>
              <w:t>金额</w:t>
            </w:r>
            <w:r>
              <w:rPr>
                <w:rFonts w:ascii="黑体" w:hAnsi="黑体" w:cs="黑体" w:eastAsia="黑体" w:hint="default"/>
                <w:sz w:val="20"/>
                <w:szCs w:val="20"/>
              </w:rPr>
            </w:r>
          </w:p>
        </w:tc>
        <w:tc>
          <w:tcPr>
            <w:tcW w:w="1131" w:type="dxa"/>
            <w:tcBorders>
              <w:top w:val="single" w:sz="4" w:space="0" w:color="000000"/>
              <w:left w:val="nil" w:sz="6" w:space="0" w:color="auto"/>
              <w:bottom w:val="nil" w:sz="6" w:space="0" w:color="auto"/>
              <w:right w:val="nil" w:sz="6" w:space="0" w:color="auto"/>
            </w:tcBorders>
          </w:tcPr>
          <w:p>
            <w:pPr>
              <w:pStyle w:val="TableParagraph"/>
              <w:spacing w:line="239" w:lineRule="exact"/>
              <w:ind w:right="1"/>
              <w:jc w:val="right"/>
              <w:rPr>
                <w:rFonts w:ascii="Arial" w:hAnsi="Arial" w:cs="Arial" w:eastAsia="Arial" w:hint="default"/>
                <w:sz w:val="20"/>
                <w:szCs w:val="20"/>
              </w:rPr>
            </w:pPr>
            <w:r>
              <w:rPr>
                <w:rFonts w:ascii="黑体" w:hAnsi="黑体" w:cs="黑体" w:eastAsia="黑体" w:hint="default"/>
                <w:w w:val="95"/>
                <w:sz w:val="20"/>
                <w:szCs w:val="20"/>
              </w:rPr>
              <w:t>比例</w:t>
            </w:r>
            <w:r>
              <w:rPr>
                <w:rFonts w:ascii="Arial" w:hAnsi="Arial" w:cs="Arial" w:eastAsia="Arial" w:hint="default"/>
                <w:w w:val="95"/>
                <w:sz w:val="20"/>
                <w:szCs w:val="20"/>
              </w:rPr>
              <w:t>(%)</w:t>
            </w:r>
            <w:r>
              <w:rPr>
                <w:rFonts w:ascii="Arial" w:hAnsi="Arial" w:cs="Arial" w:eastAsia="Arial" w:hint="default"/>
                <w:sz w:val="20"/>
                <w:szCs w:val="20"/>
              </w:rPr>
            </w:r>
          </w:p>
        </w:tc>
        <w:tc>
          <w:tcPr>
            <w:tcW w:w="283" w:type="dxa"/>
            <w:tcBorders>
              <w:top w:val="nil" w:sz="6" w:space="0" w:color="auto"/>
              <w:left w:val="nil" w:sz="6" w:space="0" w:color="auto"/>
              <w:bottom w:val="nil" w:sz="6" w:space="0" w:color="auto"/>
              <w:right w:val="nil" w:sz="6" w:space="0" w:color="auto"/>
            </w:tcBorders>
          </w:tcPr>
          <w:p>
            <w:pPr/>
          </w:p>
        </w:tc>
        <w:tc>
          <w:tcPr>
            <w:tcW w:w="1433" w:type="dxa"/>
            <w:tcBorders>
              <w:top w:val="single" w:sz="4" w:space="0" w:color="000000"/>
              <w:left w:val="nil" w:sz="6" w:space="0" w:color="auto"/>
              <w:bottom w:val="nil" w:sz="6" w:space="0" w:color="auto"/>
              <w:right w:val="nil" w:sz="6" w:space="0" w:color="auto"/>
            </w:tcBorders>
          </w:tcPr>
          <w:p>
            <w:pPr>
              <w:pStyle w:val="TableParagraph"/>
              <w:spacing w:line="225" w:lineRule="exact"/>
              <w:ind w:right="110"/>
              <w:jc w:val="right"/>
              <w:rPr>
                <w:rFonts w:ascii="黑体" w:hAnsi="黑体" w:cs="黑体" w:eastAsia="黑体" w:hint="default"/>
                <w:sz w:val="20"/>
                <w:szCs w:val="20"/>
              </w:rPr>
            </w:pPr>
            <w:r>
              <w:rPr>
                <w:rFonts w:ascii="黑体" w:hAnsi="黑体" w:cs="黑体" w:eastAsia="黑体" w:hint="default"/>
                <w:w w:val="95"/>
                <w:sz w:val="20"/>
                <w:szCs w:val="20"/>
              </w:rPr>
              <w:t>金额</w:t>
            </w:r>
            <w:r>
              <w:rPr>
                <w:rFonts w:ascii="黑体" w:hAnsi="黑体" w:cs="黑体" w:eastAsia="黑体" w:hint="default"/>
                <w:sz w:val="20"/>
                <w:szCs w:val="20"/>
              </w:rPr>
            </w:r>
          </w:p>
        </w:tc>
        <w:tc>
          <w:tcPr>
            <w:tcW w:w="826" w:type="dxa"/>
            <w:tcBorders>
              <w:top w:val="single" w:sz="4" w:space="0" w:color="000000"/>
              <w:left w:val="nil" w:sz="6" w:space="0" w:color="auto"/>
              <w:bottom w:val="nil" w:sz="6" w:space="0" w:color="auto"/>
              <w:right w:val="nil" w:sz="6" w:space="0" w:color="auto"/>
            </w:tcBorders>
          </w:tcPr>
          <w:p>
            <w:pPr>
              <w:pStyle w:val="TableParagraph"/>
              <w:spacing w:line="239" w:lineRule="exact"/>
              <w:ind w:right="3"/>
              <w:jc w:val="right"/>
              <w:rPr>
                <w:rFonts w:ascii="Arial" w:hAnsi="Arial" w:cs="Arial" w:eastAsia="Arial" w:hint="default"/>
                <w:sz w:val="20"/>
                <w:szCs w:val="20"/>
              </w:rPr>
            </w:pPr>
            <w:r>
              <w:rPr>
                <w:rFonts w:ascii="黑体" w:hAnsi="黑体" w:cs="黑体" w:eastAsia="黑体" w:hint="default"/>
                <w:w w:val="95"/>
                <w:sz w:val="20"/>
                <w:szCs w:val="20"/>
              </w:rPr>
              <w:t>比例</w:t>
            </w:r>
            <w:r>
              <w:rPr>
                <w:rFonts w:ascii="Arial" w:hAnsi="Arial" w:cs="Arial" w:eastAsia="Arial" w:hint="default"/>
                <w:w w:val="95"/>
                <w:sz w:val="20"/>
                <w:szCs w:val="20"/>
              </w:rPr>
              <w:t>(%)</w:t>
            </w:r>
            <w:r>
              <w:rPr>
                <w:rFonts w:ascii="Arial" w:hAnsi="Arial" w:cs="Arial" w:eastAsia="Arial" w:hint="default"/>
                <w:sz w:val="20"/>
                <w:szCs w:val="20"/>
              </w:rPr>
            </w:r>
          </w:p>
        </w:tc>
      </w:tr>
      <w:tr>
        <w:trPr>
          <w:trHeight w:val="388" w:hRule="exact"/>
        </w:trPr>
        <w:tc>
          <w:tcPr>
            <w:tcW w:w="2691"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00" w:right="0"/>
              <w:jc w:val="left"/>
              <w:rPr>
                <w:rFonts w:ascii="黑体" w:hAnsi="黑体" w:cs="黑体" w:eastAsia="黑体" w:hint="default"/>
                <w:sz w:val="20"/>
                <w:szCs w:val="20"/>
              </w:rPr>
            </w:pPr>
            <w:r>
              <w:rPr>
                <w:rFonts w:ascii="黑体" w:hAnsi="黑体" w:cs="黑体" w:eastAsia="黑体" w:hint="default"/>
                <w:sz w:val="20"/>
                <w:szCs w:val="20"/>
              </w:rPr>
              <w:t>用友华表</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415"/>
              <w:jc w:val="right"/>
              <w:rPr>
                <w:rFonts w:ascii="Arial" w:hAnsi="Arial" w:cs="Arial" w:eastAsia="Arial" w:hint="default"/>
                <w:sz w:val="20"/>
                <w:szCs w:val="20"/>
              </w:rPr>
            </w:pPr>
            <w:r>
              <w:rPr>
                <w:rFonts w:ascii="Arial"/>
                <w:spacing w:val="-1"/>
                <w:sz w:val="20"/>
              </w:rPr>
              <w:t>12,982,920</w:t>
            </w:r>
            <w:r>
              <w:rPr>
                <w:rFonts w:ascii="Arial"/>
                <w:sz w:val="20"/>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42"/>
              <w:jc w:val="right"/>
              <w:rPr>
                <w:rFonts w:ascii="Arial" w:hAnsi="Arial" w:cs="Arial" w:eastAsia="Arial" w:hint="default"/>
                <w:sz w:val="20"/>
                <w:szCs w:val="20"/>
              </w:rPr>
            </w:pPr>
            <w:r>
              <w:rPr>
                <w:rFonts w:ascii="Arial"/>
                <w:spacing w:val="-1"/>
                <w:w w:val="95"/>
                <w:sz w:val="20"/>
              </w:rPr>
              <w:t>35</w:t>
            </w:r>
            <w:r>
              <w:rPr>
                <w:rFonts w:ascii="Arial"/>
                <w:sz w:val="20"/>
              </w:rPr>
            </w:r>
          </w:p>
        </w:tc>
        <w:tc>
          <w:tcPr>
            <w:tcW w:w="283"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108"/>
              <w:jc w:val="right"/>
              <w:rPr>
                <w:rFonts w:ascii="Arial" w:hAnsi="Arial" w:cs="Arial" w:eastAsia="Arial" w:hint="default"/>
                <w:sz w:val="20"/>
                <w:szCs w:val="20"/>
              </w:rPr>
            </w:pPr>
            <w:r>
              <w:rPr>
                <w:rFonts w:ascii="Arial"/>
                <w:spacing w:val="-1"/>
                <w:sz w:val="20"/>
              </w:rPr>
              <w:t>15,648,527</w:t>
            </w:r>
            <w:r>
              <w:rPr>
                <w:rFonts w:ascii="Arial"/>
                <w:sz w:val="20"/>
              </w:rPr>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5"/>
              <w:jc w:val="right"/>
              <w:rPr>
                <w:rFonts w:ascii="Arial" w:hAnsi="Arial" w:cs="Arial" w:eastAsia="Arial" w:hint="default"/>
                <w:sz w:val="20"/>
                <w:szCs w:val="20"/>
              </w:rPr>
            </w:pPr>
            <w:r>
              <w:rPr>
                <w:rFonts w:ascii="Arial"/>
                <w:spacing w:val="-1"/>
                <w:w w:val="95"/>
                <w:sz w:val="20"/>
              </w:rPr>
              <w:t>44</w:t>
            </w:r>
            <w:r>
              <w:rPr>
                <w:rFonts w:ascii="Arial"/>
                <w:sz w:val="20"/>
              </w:rPr>
            </w:r>
          </w:p>
        </w:tc>
      </w:tr>
      <w:tr>
        <w:trPr>
          <w:trHeight w:val="259" w:hRule="exact"/>
        </w:trPr>
        <w:tc>
          <w:tcPr>
            <w:tcW w:w="2691"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致远协创</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18"/>
              <w:jc w:val="right"/>
              <w:rPr>
                <w:rFonts w:ascii="Arial" w:hAnsi="Arial" w:cs="Arial" w:eastAsia="Arial" w:hint="default"/>
                <w:sz w:val="20"/>
                <w:szCs w:val="20"/>
              </w:rPr>
            </w:pPr>
            <w:r>
              <w:rPr>
                <w:rFonts w:ascii="Arial"/>
                <w:spacing w:val="-1"/>
                <w:sz w:val="20"/>
              </w:rPr>
              <w:t>22,773,753</w:t>
            </w:r>
            <w:r>
              <w:rPr>
                <w:rFonts w:ascii="Arial"/>
                <w:sz w:val="20"/>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42"/>
              <w:jc w:val="right"/>
              <w:rPr>
                <w:rFonts w:ascii="Arial" w:hAnsi="Arial" w:cs="Arial" w:eastAsia="Arial" w:hint="default"/>
                <w:sz w:val="20"/>
                <w:szCs w:val="20"/>
              </w:rPr>
            </w:pPr>
            <w:r>
              <w:rPr>
                <w:rFonts w:ascii="Arial"/>
                <w:spacing w:val="-1"/>
                <w:w w:val="95"/>
                <w:sz w:val="20"/>
              </w:rPr>
              <w:t>62</w:t>
            </w:r>
            <w:r>
              <w:rPr>
                <w:rFonts w:ascii="Arial"/>
                <w:sz w:val="20"/>
              </w:rPr>
            </w:r>
          </w:p>
        </w:tc>
        <w:tc>
          <w:tcPr>
            <w:tcW w:w="283"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1"/>
              <w:jc w:val="right"/>
              <w:rPr>
                <w:rFonts w:ascii="Arial" w:hAnsi="Arial" w:cs="Arial" w:eastAsia="Arial" w:hint="default"/>
                <w:sz w:val="20"/>
                <w:szCs w:val="20"/>
              </w:rPr>
            </w:pPr>
            <w:r>
              <w:rPr>
                <w:rFonts w:ascii="Arial"/>
                <w:spacing w:val="-1"/>
                <w:sz w:val="20"/>
              </w:rPr>
              <w:t>16,600,850</w:t>
            </w:r>
            <w:r>
              <w:rPr>
                <w:rFonts w:ascii="Arial"/>
                <w:sz w:val="20"/>
              </w:rPr>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
              <w:jc w:val="right"/>
              <w:rPr>
                <w:rFonts w:ascii="Arial" w:hAnsi="Arial" w:cs="Arial" w:eastAsia="Arial" w:hint="default"/>
                <w:sz w:val="20"/>
                <w:szCs w:val="20"/>
              </w:rPr>
            </w:pPr>
            <w:r>
              <w:rPr>
                <w:rFonts w:ascii="Arial"/>
                <w:spacing w:val="-1"/>
                <w:w w:val="95"/>
                <w:sz w:val="20"/>
              </w:rPr>
              <w:t>47</w:t>
            </w:r>
            <w:r>
              <w:rPr>
                <w:rFonts w:ascii="Arial"/>
                <w:sz w:val="20"/>
              </w:rPr>
            </w:r>
          </w:p>
        </w:tc>
      </w:tr>
      <w:tr>
        <w:trPr>
          <w:trHeight w:val="259" w:hRule="exact"/>
        </w:trPr>
        <w:tc>
          <w:tcPr>
            <w:tcW w:w="2691"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西玛商用表单</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18"/>
              <w:jc w:val="right"/>
              <w:rPr>
                <w:rFonts w:ascii="Arial" w:hAnsi="Arial" w:cs="Arial" w:eastAsia="Arial" w:hint="default"/>
                <w:sz w:val="20"/>
                <w:szCs w:val="20"/>
              </w:rPr>
            </w:pPr>
            <w:r>
              <w:rPr>
                <w:rFonts w:ascii="Arial"/>
                <w:spacing w:val="-1"/>
                <w:w w:val="95"/>
                <w:sz w:val="20"/>
              </w:rPr>
              <w:t>744,292</w:t>
            </w:r>
            <w:r>
              <w:rPr>
                <w:rFonts w:ascii="Arial"/>
                <w:sz w:val="20"/>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9"/>
              <w:jc w:val="right"/>
              <w:rPr>
                <w:rFonts w:ascii="Arial" w:hAnsi="Arial" w:cs="Arial" w:eastAsia="Arial" w:hint="default"/>
                <w:sz w:val="20"/>
                <w:szCs w:val="20"/>
              </w:rPr>
            </w:pPr>
            <w:r>
              <w:rPr>
                <w:rFonts w:ascii="Arial"/>
                <w:w w:val="99"/>
                <w:sz w:val="20"/>
              </w:rPr>
              <w:t>2</w:t>
            </w:r>
            <w:r>
              <w:rPr>
                <w:rFonts w:ascii="Arial"/>
                <w:sz w:val="20"/>
              </w:rPr>
            </w:r>
          </w:p>
        </w:tc>
        <w:tc>
          <w:tcPr>
            <w:tcW w:w="283"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0"/>
              <w:jc w:val="right"/>
              <w:rPr>
                <w:rFonts w:ascii="Arial" w:hAnsi="Arial" w:cs="Arial" w:eastAsia="Arial" w:hint="default"/>
                <w:sz w:val="20"/>
                <w:szCs w:val="20"/>
              </w:rPr>
            </w:pPr>
            <w:r>
              <w:rPr>
                <w:rFonts w:ascii="Arial"/>
                <w:spacing w:val="-1"/>
                <w:sz w:val="20"/>
              </w:rPr>
              <w:t>1,891,289</w:t>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
              <w:jc w:val="right"/>
              <w:rPr>
                <w:rFonts w:ascii="Arial" w:hAnsi="Arial" w:cs="Arial" w:eastAsia="Arial" w:hint="default"/>
                <w:sz w:val="20"/>
                <w:szCs w:val="20"/>
              </w:rPr>
            </w:pPr>
            <w:r>
              <w:rPr>
                <w:rFonts w:ascii="Arial"/>
                <w:w w:val="99"/>
                <w:sz w:val="20"/>
              </w:rPr>
              <w:t>5</w:t>
            </w:r>
            <w:r>
              <w:rPr>
                <w:rFonts w:ascii="Arial"/>
                <w:sz w:val="20"/>
              </w:rPr>
            </w:r>
          </w:p>
        </w:tc>
      </w:tr>
      <w:tr>
        <w:trPr>
          <w:trHeight w:val="259" w:hRule="exact"/>
        </w:trPr>
        <w:tc>
          <w:tcPr>
            <w:tcW w:w="2691"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北京伟库</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16"/>
              <w:jc w:val="right"/>
              <w:rPr>
                <w:rFonts w:ascii="Arial" w:hAnsi="Arial" w:cs="Arial" w:eastAsia="Arial" w:hint="default"/>
                <w:sz w:val="20"/>
                <w:szCs w:val="20"/>
              </w:rPr>
            </w:pPr>
            <w:r>
              <w:rPr>
                <w:rFonts w:ascii="Arial"/>
                <w:w w:val="99"/>
                <w:sz w:val="20"/>
              </w:rPr>
              <w:t>-</w:t>
            </w:r>
            <w:r>
              <w:rPr>
                <w:rFonts w:ascii="Arial"/>
                <w:sz w:val="20"/>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40"/>
              <w:jc w:val="right"/>
              <w:rPr>
                <w:rFonts w:ascii="Arial" w:hAnsi="Arial" w:cs="Arial" w:eastAsia="Arial" w:hint="default"/>
                <w:sz w:val="20"/>
                <w:szCs w:val="20"/>
              </w:rPr>
            </w:pPr>
            <w:r>
              <w:rPr>
                <w:rFonts w:ascii="Arial"/>
                <w:w w:val="99"/>
                <w:sz w:val="20"/>
              </w:rPr>
              <w:t>-</w:t>
            </w:r>
            <w:r>
              <w:rPr>
                <w:rFonts w:ascii="Arial"/>
                <w:sz w:val="20"/>
              </w:rPr>
            </w:r>
          </w:p>
        </w:tc>
        <w:tc>
          <w:tcPr>
            <w:tcW w:w="283"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0"/>
              <w:jc w:val="right"/>
              <w:rPr>
                <w:rFonts w:ascii="Arial" w:hAnsi="Arial" w:cs="Arial" w:eastAsia="Arial" w:hint="default"/>
                <w:sz w:val="20"/>
                <w:szCs w:val="20"/>
              </w:rPr>
            </w:pPr>
            <w:r>
              <w:rPr>
                <w:rFonts w:ascii="Arial"/>
                <w:spacing w:val="-1"/>
                <w:sz w:val="20"/>
              </w:rPr>
              <w:t>1,321,165</w:t>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
              <w:jc w:val="right"/>
              <w:rPr>
                <w:rFonts w:ascii="Arial" w:hAnsi="Arial" w:cs="Arial" w:eastAsia="Arial" w:hint="default"/>
                <w:sz w:val="20"/>
                <w:szCs w:val="20"/>
              </w:rPr>
            </w:pPr>
            <w:r>
              <w:rPr>
                <w:rFonts w:ascii="Arial"/>
                <w:w w:val="99"/>
                <w:sz w:val="20"/>
              </w:rPr>
              <w:t>4</w:t>
            </w:r>
            <w:r>
              <w:rPr>
                <w:rFonts w:ascii="Arial"/>
                <w:sz w:val="20"/>
              </w:rPr>
            </w:r>
          </w:p>
        </w:tc>
      </w:tr>
      <w:tr>
        <w:trPr>
          <w:trHeight w:val="398" w:hRule="exact"/>
        </w:trPr>
        <w:tc>
          <w:tcPr>
            <w:tcW w:w="2691" w:type="dxa"/>
            <w:tcBorders>
              <w:top w:val="nil" w:sz="6" w:space="0" w:color="auto"/>
              <w:left w:val="nil" w:sz="6" w:space="0" w:color="auto"/>
              <w:bottom w:val="nil" w:sz="6" w:space="0" w:color="auto"/>
              <w:right w:val="nil" w:sz="6" w:space="0" w:color="auto"/>
            </w:tcBorders>
          </w:tcPr>
          <w:p>
            <w:pPr>
              <w:pStyle w:val="TableParagraph"/>
              <w:spacing w:line="226" w:lineRule="exact"/>
              <w:ind w:left="200" w:right="0"/>
              <w:jc w:val="left"/>
              <w:rPr>
                <w:rFonts w:ascii="黑体" w:hAnsi="黑体" w:cs="黑体" w:eastAsia="黑体" w:hint="default"/>
                <w:sz w:val="20"/>
                <w:szCs w:val="20"/>
              </w:rPr>
            </w:pPr>
            <w:r>
              <w:rPr>
                <w:rFonts w:ascii="黑体" w:hAnsi="黑体" w:cs="黑体" w:eastAsia="黑体" w:hint="default"/>
                <w:sz w:val="20"/>
                <w:szCs w:val="20"/>
              </w:rPr>
              <w:t>西玛永泰</w:t>
            </w:r>
          </w:p>
        </w:tc>
        <w:tc>
          <w:tcPr>
            <w:tcW w:w="1771" w:type="dxa"/>
            <w:tcBorders>
              <w:top w:val="nil" w:sz="6" w:space="0" w:color="auto"/>
              <w:left w:val="nil" w:sz="6" w:space="0" w:color="auto"/>
              <w:bottom w:val="nil" w:sz="6" w:space="0" w:color="auto"/>
              <w:right w:val="nil" w:sz="6" w:space="0" w:color="auto"/>
            </w:tcBorders>
          </w:tcPr>
          <w:p>
            <w:pPr>
              <w:pStyle w:val="TableParagraph"/>
              <w:tabs>
                <w:tab w:pos="261" w:val="left" w:leader="none"/>
              </w:tabs>
              <w:spacing w:line="240" w:lineRule="auto" w:before="7"/>
              <w:ind w:right="417"/>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sz w:val="20"/>
                <w:u w:val="single" w:color="000000"/>
              </w:rPr>
              <w:t>187,700</w:t>
            </w:r>
            <w:r>
              <w:rPr>
                <w:rFonts w:ascii="Arial"/>
                <w:spacing w:val="-1"/>
                <w:sz w:val="20"/>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39"/>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1"/>
                <w:sz w:val="20"/>
                <w:u w:val="single" w:color="000000"/>
              </w:rPr>
              <w:t> </w:t>
            </w:r>
            <w:r>
              <w:rPr>
                <w:rFonts w:ascii="Arial"/>
                <w:w w:val="95"/>
                <w:sz w:val="20"/>
                <w:u w:val="single" w:color="000000"/>
              </w:rPr>
              <w:t>1</w:t>
            </w:r>
            <w:r>
              <w:rPr>
                <w:rFonts w:ascii="Arial"/>
                <w:w w:val="95"/>
                <w:sz w:val="20"/>
              </w:rPr>
            </w:r>
            <w:r>
              <w:rPr>
                <w:rFonts w:ascii="Arial"/>
                <w:sz w:val="20"/>
              </w:rPr>
            </w:r>
          </w:p>
        </w:tc>
        <w:tc>
          <w:tcPr>
            <w:tcW w:w="283"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tabs>
                <w:tab w:pos="273" w:val="left" w:leader="none"/>
              </w:tabs>
              <w:spacing w:line="240" w:lineRule="auto" w:before="7"/>
              <w:ind w:right="110"/>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112,912</w:t>
            </w:r>
            <w:r>
              <w:rPr>
                <w:rFonts w:ascii="Arial"/>
                <w:spacing w:val="-1"/>
                <w:w w:val="95"/>
                <w:sz w:val="20"/>
              </w:rPr>
            </w:r>
            <w:r>
              <w:rPr>
                <w:rFonts w:ascii="Arial"/>
                <w:sz w:val="20"/>
              </w:rPr>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2"/>
                <w:w w:val="95"/>
                <w:sz w:val="20"/>
                <w:u w:val="single" w:color="000000"/>
              </w:rPr>
              <w:t>&lt;1</w:t>
            </w:r>
            <w:r>
              <w:rPr>
                <w:rFonts w:ascii="Arial"/>
                <w:spacing w:val="-2"/>
                <w:w w:val="95"/>
                <w:sz w:val="20"/>
              </w:rPr>
            </w:r>
            <w:r>
              <w:rPr>
                <w:rFonts w:ascii="Arial"/>
                <w:sz w:val="20"/>
              </w:rPr>
            </w:r>
          </w:p>
        </w:tc>
      </w:tr>
      <w:tr>
        <w:trPr>
          <w:trHeight w:val="365" w:hRule="exact"/>
        </w:trPr>
        <w:tc>
          <w:tcPr>
            <w:tcW w:w="2691" w:type="dxa"/>
            <w:tcBorders>
              <w:top w:val="nil" w:sz="6" w:space="0" w:color="auto"/>
              <w:left w:val="nil" w:sz="6" w:space="0" w:color="auto"/>
              <w:bottom w:val="nil" w:sz="6" w:space="0" w:color="auto"/>
              <w:right w:val="nil" w:sz="6" w:space="0" w:color="auto"/>
            </w:tcBorders>
          </w:tcPr>
          <w:p>
            <w:pP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418"/>
              <w:jc w:val="right"/>
              <w:rPr>
                <w:rFonts w:ascii="Arial" w:hAnsi="Arial" w:cs="Arial" w:eastAsia="Arial" w:hint="default"/>
                <w:sz w:val="20"/>
                <w:szCs w:val="20"/>
              </w:rPr>
            </w:pPr>
            <w:r>
              <w:rPr>
                <w:rFonts w:ascii="Arial"/>
                <w:w w:val="99"/>
                <w:sz w:val="20"/>
              </w:rPr>
            </w:r>
            <w:r>
              <w:rPr>
                <w:rFonts w:ascii="Arial"/>
                <w:spacing w:val="-1"/>
                <w:sz w:val="20"/>
                <w:u w:val="thick" w:color="000000"/>
              </w:rPr>
              <w:t>36,688,665</w:t>
            </w:r>
            <w:r>
              <w:rPr>
                <w:rFonts w:ascii="Arial"/>
                <w:spacing w:val="-1"/>
                <w:sz w:val="20"/>
              </w:rPr>
            </w:r>
            <w:r>
              <w:rPr>
                <w:rFonts w:ascii="Arial"/>
                <w:sz w:val="20"/>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42"/>
              <w:jc w:val="right"/>
              <w:rPr>
                <w:rFonts w:ascii="Arial" w:hAnsi="Arial" w:cs="Arial" w:eastAsia="Arial" w:hint="default"/>
                <w:sz w:val="20"/>
                <w:szCs w:val="20"/>
              </w:rPr>
            </w:pPr>
            <w:r>
              <w:rPr>
                <w:rFonts w:ascii="Arial"/>
                <w:w w:val="99"/>
                <w:sz w:val="20"/>
              </w:rPr>
            </w:r>
            <w:r>
              <w:rPr>
                <w:rFonts w:ascii="Arial"/>
                <w:spacing w:val="-1"/>
                <w:w w:val="95"/>
                <w:sz w:val="20"/>
                <w:u w:val="thick" w:color="000000"/>
              </w:rPr>
              <w:t>100</w:t>
            </w:r>
            <w:r>
              <w:rPr>
                <w:rFonts w:ascii="Arial"/>
                <w:spacing w:val="-1"/>
                <w:w w:val="95"/>
                <w:sz w:val="20"/>
              </w:rPr>
            </w:r>
            <w:r>
              <w:rPr>
                <w:rFonts w:ascii="Arial"/>
                <w:sz w:val="20"/>
              </w:rPr>
            </w:r>
          </w:p>
        </w:tc>
        <w:tc>
          <w:tcPr>
            <w:tcW w:w="283"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11"/>
              <w:jc w:val="right"/>
              <w:rPr>
                <w:rFonts w:ascii="Arial" w:hAnsi="Arial" w:cs="Arial" w:eastAsia="Arial" w:hint="default"/>
                <w:sz w:val="20"/>
                <w:szCs w:val="20"/>
              </w:rPr>
            </w:pPr>
            <w:r>
              <w:rPr>
                <w:rFonts w:ascii="Arial"/>
                <w:w w:val="99"/>
                <w:sz w:val="20"/>
              </w:rPr>
            </w:r>
            <w:r>
              <w:rPr>
                <w:rFonts w:ascii="Arial"/>
                <w:spacing w:val="-1"/>
                <w:sz w:val="20"/>
                <w:u w:val="thick" w:color="000000"/>
              </w:rPr>
              <w:t>35,574,743</w:t>
            </w:r>
            <w:r>
              <w:rPr>
                <w:rFonts w:ascii="Arial"/>
                <w:spacing w:val="-1"/>
                <w:sz w:val="20"/>
              </w:rPr>
            </w:r>
            <w:r>
              <w:rPr>
                <w:rFonts w:ascii="Arial"/>
                <w:sz w:val="20"/>
              </w:rPr>
            </w:r>
          </w:p>
        </w:tc>
        <w:tc>
          <w:tcPr>
            <w:tcW w:w="826"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5"/>
              <w:jc w:val="right"/>
              <w:rPr>
                <w:rFonts w:ascii="Arial" w:hAnsi="Arial" w:cs="Arial" w:eastAsia="Arial" w:hint="default"/>
                <w:sz w:val="20"/>
                <w:szCs w:val="20"/>
              </w:rPr>
            </w:pPr>
            <w:r>
              <w:rPr>
                <w:rFonts w:ascii="Arial"/>
                <w:w w:val="99"/>
                <w:sz w:val="20"/>
              </w:rPr>
            </w:r>
            <w:r>
              <w:rPr>
                <w:rFonts w:ascii="Arial"/>
                <w:spacing w:val="-1"/>
                <w:w w:val="95"/>
                <w:sz w:val="20"/>
                <w:u w:val="thick" w:color="000000"/>
              </w:rPr>
              <w:t>100</w:t>
            </w:r>
            <w:r>
              <w:rPr>
                <w:rFonts w:ascii="Arial"/>
                <w:spacing w:val="-1"/>
                <w:w w:val="95"/>
                <w:sz w:val="20"/>
              </w:rPr>
            </w:r>
            <w:r>
              <w:rPr>
                <w:rFonts w:ascii="Arial"/>
                <w:sz w:val="20"/>
              </w:rPr>
            </w:r>
          </w:p>
        </w:tc>
      </w:tr>
    </w:tbl>
    <w:p>
      <w:pPr>
        <w:spacing w:after="0" w:line="240" w:lineRule="auto"/>
        <w:jc w:val="right"/>
        <w:rPr>
          <w:rFonts w:ascii="Arial" w:hAnsi="Arial" w:cs="Arial" w:eastAsia="Arial" w:hint="default"/>
          <w:sz w:val="20"/>
          <w:szCs w:val="20"/>
        </w:rPr>
        <w:sectPr>
          <w:pgSz w:w="11910" w:h="16850"/>
          <w:pgMar w:header="957" w:footer="473" w:top="2600" w:bottom="660" w:left="1660" w:right="1160"/>
        </w:sectPr>
      </w:pPr>
    </w:p>
    <w:p>
      <w:pPr>
        <w:spacing w:line="240" w:lineRule="auto" w:before="5"/>
        <w:rPr>
          <w:rFonts w:ascii="黑体" w:hAnsi="黑体" w:cs="黑体" w:eastAsia="黑体" w:hint="default"/>
          <w:sz w:val="10"/>
          <w:szCs w:val="10"/>
        </w:rPr>
      </w:pPr>
    </w:p>
    <w:p>
      <w:pPr>
        <w:pStyle w:val="Heading6"/>
        <w:spacing w:line="240" w:lineRule="auto"/>
        <w:ind w:right="0"/>
        <w:jc w:val="left"/>
        <w:rPr>
          <w:b w:val="0"/>
          <w:bCs w:val="0"/>
        </w:rPr>
      </w:pPr>
      <w:r>
        <w:rPr/>
        <w:t>十三、</w:t>
      </w:r>
      <w:r>
        <w:rPr>
          <w:spacing w:val="-23"/>
        </w:rPr>
        <w:t> </w:t>
      </w:r>
      <w:r>
        <w:rPr/>
        <w:t>公司财务报表主要项目注释（续）</w:t>
      </w:r>
      <w:r>
        <w:rPr>
          <w:b w:val="0"/>
          <w:bCs w:val="0"/>
        </w:rPr>
      </w:r>
    </w:p>
    <w:p>
      <w:pPr>
        <w:pStyle w:val="Heading6"/>
        <w:tabs>
          <w:tab w:pos="780" w:val="left" w:leader="none"/>
        </w:tabs>
        <w:spacing w:line="240" w:lineRule="auto" w:before="139"/>
        <w:ind w:right="0"/>
        <w:jc w:val="left"/>
        <w:rPr>
          <w:b w:val="0"/>
          <w:bCs w:val="0"/>
        </w:rPr>
      </w:pPr>
      <w:r>
        <w:rPr>
          <w:rFonts w:ascii="Arial" w:hAnsi="Arial" w:cs="Arial" w:eastAsia="Arial" w:hint="default"/>
          <w:spacing w:val="-1"/>
          <w:w w:val="95"/>
        </w:rPr>
        <w:t>41.</w:t>
        <w:tab/>
      </w:r>
      <w:bookmarkStart w:name="41.    本公司与关联方之主要交易（续）" w:id="157"/>
      <w:bookmarkEnd w:id="157"/>
      <w:r>
        <w:rPr>
          <w:rFonts w:ascii="Arial" w:hAnsi="Arial" w:cs="Arial" w:eastAsia="Arial" w:hint="default"/>
          <w:spacing w:val="-1"/>
          <w:w w:val="95"/>
        </w:rPr>
      </w:r>
      <w:r>
        <w:rPr>
          <w:spacing w:val="1"/>
        </w:rPr>
        <w:t>本公司与关联方之主要交易（续）</w:t>
      </w:r>
      <w:r>
        <w:rPr>
          <w:b w:val="0"/>
          <w:bCs w:val="0"/>
        </w:rPr>
      </w:r>
    </w:p>
    <w:p>
      <w:pPr>
        <w:pStyle w:val="BodyText"/>
        <w:spacing w:line="345" w:lineRule="auto" w:before="125"/>
        <w:ind w:left="809" w:right="3453"/>
        <w:jc w:val="left"/>
      </w:pPr>
      <w:r>
        <w:rPr>
          <w:rFonts w:ascii="Arial" w:hAnsi="Arial" w:cs="Arial" w:eastAsia="Arial" w:hint="default"/>
        </w:rPr>
        <w:t>(1) </w:t>
      </w:r>
      <w:r>
        <w:rPr/>
        <w:t>关联方商品和劳务交易</w:t>
      </w:r>
      <w:r>
        <w:rPr>
          <w:rFonts w:ascii="Arial" w:hAnsi="Arial" w:cs="Arial" w:eastAsia="Arial" w:hint="default"/>
        </w:rPr>
        <w:t>(</w:t>
      </w:r>
      <w:r>
        <w:rPr/>
        <w:t>续</w:t>
      </w:r>
      <w:r>
        <w:rPr>
          <w:rFonts w:ascii="Arial" w:hAnsi="Arial" w:cs="Arial" w:eastAsia="Arial" w:hint="default"/>
        </w:rPr>
        <w:t>)</w:t>
      </w:r>
      <w:r>
        <w:rPr/>
        <w:t>：</w:t>
      </w:r>
      <w:r>
        <w:rPr>
          <w:w w:val="99"/>
        </w:rPr>
        <w:t> </w:t>
      </w:r>
      <w:r>
        <w:rPr/>
        <w:t>向关联方销售商品和提供劳务</w:t>
      </w:r>
    </w:p>
    <w:p>
      <w:pPr>
        <w:spacing w:line="240" w:lineRule="auto" w:before="12"/>
        <w:rPr>
          <w:rFonts w:ascii="黑体" w:hAnsi="黑体" w:cs="黑体" w:eastAsia="黑体" w:hint="default"/>
          <w:sz w:val="12"/>
          <w:szCs w:val="12"/>
        </w:rPr>
      </w:pPr>
    </w:p>
    <w:tbl>
      <w:tblPr>
        <w:tblW w:w="0" w:type="auto"/>
        <w:jc w:val="left"/>
        <w:tblInd w:w="609" w:type="dxa"/>
        <w:tblLayout w:type="fixed"/>
        <w:tblCellMar>
          <w:top w:w="0" w:type="dxa"/>
          <w:left w:w="0" w:type="dxa"/>
          <w:bottom w:w="0" w:type="dxa"/>
          <w:right w:w="0" w:type="dxa"/>
        </w:tblCellMar>
        <w:tblLook w:val="01E0"/>
      </w:tblPr>
      <w:tblGrid>
        <w:gridCol w:w="2768"/>
        <w:gridCol w:w="1826"/>
        <w:gridCol w:w="919"/>
        <w:gridCol w:w="425"/>
        <w:gridCol w:w="1494"/>
        <w:gridCol w:w="798"/>
      </w:tblGrid>
      <w:tr>
        <w:trPr>
          <w:trHeight w:val="236" w:hRule="exact"/>
        </w:trPr>
        <w:tc>
          <w:tcPr>
            <w:tcW w:w="2768" w:type="dxa"/>
            <w:tcBorders>
              <w:top w:val="nil" w:sz="6" w:space="0" w:color="auto"/>
              <w:left w:val="nil" w:sz="6" w:space="0" w:color="auto"/>
              <w:bottom w:val="nil" w:sz="6" w:space="0" w:color="auto"/>
              <w:right w:val="nil" w:sz="6" w:space="0" w:color="auto"/>
            </w:tcBorders>
          </w:tcPr>
          <w:p>
            <w:pPr/>
          </w:p>
        </w:tc>
        <w:tc>
          <w:tcPr>
            <w:tcW w:w="1826" w:type="dxa"/>
            <w:tcBorders>
              <w:top w:val="nil" w:sz="6" w:space="0" w:color="auto"/>
              <w:left w:val="nil" w:sz="6" w:space="0" w:color="auto"/>
              <w:bottom w:val="single" w:sz="4" w:space="0" w:color="000000"/>
              <w:right w:val="nil" w:sz="6" w:space="0" w:color="auto"/>
            </w:tcBorders>
          </w:tcPr>
          <w:p>
            <w:pPr>
              <w:pStyle w:val="TableParagraph"/>
              <w:spacing w:line="214" w:lineRule="exact"/>
              <w:ind w:left="1010" w:right="0"/>
              <w:jc w:val="left"/>
              <w:rPr>
                <w:rFonts w:ascii="黑体" w:hAnsi="黑体" w:cs="黑体" w:eastAsia="黑体" w:hint="default"/>
                <w:sz w:val="20"/>
                <w:szCs w:val="20"/>
              </w:rPr>
            </w:pPr>
            <w:r>
              <w:rPr>
                <w:rFonts w:ascii="Arial" w:hAnsi="Arial" w:cs="Arial" w:eastAsia="Arial" w:hint="default"/>
                <w:sz w:val="20"/>
                <w:szCs w:val="20"/>
              </w:rPr>
              <w:t>2012</w:t>
            </w:r>
            <w:r>
              <w:rPr>
                <w:rFonts w:ascii="黑体" w:hAnsi="黑体" w:cs="黑体" w:eastAsia="黑体" w:hint="default"/>
                <w:sz w:val="20"/>
                <w:szCs w:val="20"/>
              </w:rPr>
              <w:t>年</w:t>
            </w:r>
          </w:p>
        </w:tc>
        <w:tc>
          <w:tcPr>
            <w:tcW w:w="919" w:type="dxa"/>
            <w:tcBorders>
              <w:top w:val="nil" w:sz="6" w:space="0" w:color="auto"/>
              <w:left w:val="nil" w:sz="6" w:space="0" w:color="auto"/>
              <w:bottom w:val="single" w:sz="4" w:space="0" w:color="000000"/>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single" w:sz="4" w:space="0" w:color="000000"/>
              <w:right w:val="nil" w:sz="6" w:space="0" w:color="auto"/>
            </w:tcBorders>
          </w:tcPr>
          <w:p>
            <w:pPr>
              <w:pStyle w:val="TableParagraph"/>
              <w:spacing w:line="214" w:lineRule="exact"/>
              <w:ind w:right="63"/>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c>
          <w:tcPr>
            <w:tcW w:w="798" w:type="dxa"/>
            <w:tcBorders>
              <w:top w:val="nil" w:sz="6" w:space="0" w:color="auto"/>
              <w:left w:val="nil" w:sz="6" w:space="0" w:color="auto"/>
              <w:bottom w:val="single" w:sz="4" w:space="0" w:color="000000"/>
              <w:right w:val="nil" w:sz="6" w:space="0" w:color="auto"/>
            </w:tcBorders>
          </w:tcPr>
          <w:p>
            <w:pPr/>
          </w:p>
        </w:tc>
      </w:tr>
      <w:tr>
        <w:trPr>
          <w:trHeight w:val="261" w:hRule="exact"/>
        </w:trPr>
        <w:tc>
          <w:tcPr>
            <w:tcW w:w="2768" w:type="dxa"/>
            <w:tcBorders>
              <w:top w:val="nil" w:sz="6" w:space="0" w:color="auto"/>
              <w:left w:val="nil" w:sz="6" w:space="0" w:color="auto"/>
              <w:bottom w:val="nil" w:sz="6" w:space="0" w:color="auto"/>
              <w:right w:val="nil" w:sz="6" w:space="0" w:color="auto"/>
            </w:tcBorders>
          </w:tcPr>
          <w:p>
            <w:pPr/>
          </w:p>
        </w:tc>
        <w:tc>
          <w:tcPr>
            <w:tcW w:w="1826" w:type="dxa"/>
            <w:tcBorders>
              <w:top w:val="single" w:sz="4" w:space="0" w:color="000000"/>
              <w:left w:val="nil" w:sz="6" w:space="0" w:color="auto"/>
              <w:bottom w:val="nil" w:sz="6" w:space="0" w:color="auto"/>
              <w:right w:val="nil" w:sz="6" w:space="0" w:color="auto"/>
            </w:tcBorders>
          </w:tcPr>
          <w:p>
            <w:pPr>
              <w:pStyle w:val="TableParagraph"/>
              <w:spacing w:line="223" w:lineRule="exact"/>
              <w:ind w:left="897" w:right="0"/>
              <w:jc w:val="left"/>
              <w:rPr>
                <w:rFonts w:ascii="黑体" w:hAnsi="黑体" w:cs="黑体" w:eastAsia="黑体" w:hint="default"/>
                <w:sz w:val="20"/>
                <w:szCs w:val="20"/>
              </w:rPr>
            </w:pPr>
            <w:r>
              <w:rPr>
                <w:rFonts w:ascii="黑体" w:hAnsi="黑体" w:cs="黑体" w:eastAsia="黑体" w:hint="default"/>
                <w:sz w:val="20"/>
                <w:szCs w:val="20"/>
              </w:rPr>
              <w:t>金额</w:t>
            </w:r>
          </w:p>
        </w:tc>
        <w:tc>
          <w:tcPr>
            <w:tcW w:w="919" w:type="dxa"/>
            <w:tcBorders>
              <w:top w:val="single" w:sz="4" w:space="0" w:color="000000"/>
              <w:left w:val="nil" w:sz="6" w:space="0" w:color="auto"/>
              <w:bottom w:val="nil" w:sz="6" w:space="0" w:color="auto"/>
              <w:right w:val="nil" w:sz="6" w:space="0" w:color="auto"/>
            </w:tcBorders>
          </w:tcPr>
          <w:p>
            <w:pPr>
              <w:pStyle w:val="TableParagraph"/>
              <w:spacing w:line="237" w:lineRule="exact"/>
              <w:ind w:right="34"/>
              <w:jc w:val="right"/>
              <w:rPr>
                <w:rFonts w:ascii="Arial" w:hAnsi="Arial" w:cs="Arial" w:eastAsia="Arial" w:hint="default"/>
                <w:sz w:val="20"/>
                <w:szCs w:val="20"/>
              </w:rPr>
            </w:pPr>
            <w:r>
              <w:rPr>
                <w:rFonts w:ascii="黑体" w:hAnsi="黑体" w:cs="黑体" w:eastAsia="黑体" w:hint="default"/>
                <w:w w:val="95"/>
                <w:sz w:val="20"/>
                <w:szCs w:val="20"/>
              </w:rPr>
              <w:t>比例</w:t>
            </w:r>
            <w:r>
              <w:rPr>
                <w:rFonts w:ascii="Arial" w:hAnsi="Arial" w:cs="Arial" w:eastAsia="Arial" w:hint="default"/>
                <w:w w:val="95"/>
                <w:sz w:val="20"/>
                <w:szCs w:val="20"/>
              </w:rPr>
              <w:t>(%)</w:t>
            </w:r>
            <w:r>
              <w:rPr>
                <w:rFonts w:ascii="Arial" w:hAnsi="Arial" w:cs="Arial" w:eastAsia="Arial" w:hint="default"/>
                <w:sz w:val="20"/>
                <w:szCs w:val="20"/>
              </w:rPr>
            </w:r>
          </w:p>
        </w:tc>
        <w:tc>
          <w:tcPr>
            <w:tcW w:w="425" w:type="dxa"/>
            <w:tcBorders>
              <w:top w:val="nil" w:sz="6" w:space="0" w:color="auto"/>
              <w:left w:val="nil" w:sz="6" w:space="0" w:color="auto"/>
              <w:bottom w:val="nil" w:sz="6" w:space="0" w:color="auto"/>
              <w:right w:val="nil" w:sz="6" w:space="0" w:color="auto"/>
            </w:tcBorders>
          </w:tcPr>
          <w:p>
            <w:pPr/>
          </w:p>
        </w:tc>
        <w:tc>
          <w:tcPr>
            <w:tcW w:w="1494" w:type="dxa"/>
            <w:tcBorders>
              <w:top w:val="single" w:sz="4" w:space="0" w:color="000000"/>
              <w:left w:val="nil" w:sz="6" w:space="0" w:color="auto"/>
              <w:bottom w:val="nil" w:sz="6" w:space="0" w:color="auto"/>
              <w:right w:val="nil" w:sz="6" w:space="0" w:color="auto"/>
            </w:tcBorders>
          </w:tcPr>
          <w:p>
            <w:pPr>
              <w:pStyle w:val="TableParagraph"/>
              <w:spacing w:line="223" w:lineRule="exact"/>
              <w:ind w:right="56"/>
              <w:jc w:val="right"/>
              <w:rPr>
                <w:rFonts w:ascii="黑体" w:hAnsi="黑体" w:cs="黑体" w:eastAsia="黑体" w:hint="default"/>
                <w:sz w:val="20"/>
                <w:szCs w:val="20"/>
              </w:rPr>
            </w:pPr>
            <w:r>
              <w:rPr>
                <w:rFonts w:ascii="黑体" w:hAnsi="黑体" w:cs="黑体" w:eastAsia="黑体" w:hint="default"/>
                <w:w w:val="95"/>
                <w:sz w:val="20"/>
                <w:szCs w:val="20"/>
              </w:rPr>
              <w:t>金额</w:t>
            </w:r>
            <w:r>
              <w:rPr>
                <w:rFonts w:ascii="黑体" w:hAnsi="黑体" w:cs="黑体" w:eastAsia="黑体" w:hint="default"/>
                <w:sz w:val="20"/>
                <w:szCs w:val="20"/>
              </w:rPr>
            </w:r>
          </w:p>
        </w:tc>
        <w:tc>
          <w:tcPr>
            <w:tcW w:w="798" w:type="dxa"/>
            <w:tcBorders>
              <w:top w:val="single" w:sz="4" w:space="0" w:color="000000"/>
              <w:left w:val="nil" w:sz="6" w:space="0" w:color="auto"/>
              <w:bottom w:val="nil" w:sz="6" w:space="0" w:color="auto"/>
              <w:right w:val="nil" w:sz="6" w:space="0" w:color="auto"/>
            </w:tcBorders>
          </w:tcPr>
          <w:p>
            <w:pPr>
              <w:pStyle w:val="TableParagraph"/>
              <w:spacing w:line="237" w:lineRule="exact"/>
              <w:ind w:right="32"/>
              <w:jc w:val="right"/>
              <w:rPr>
                <w:rFonts w:ascii="Arial" w:hAnsi="Arial" w:cs="Arial" w:eastAsia="Arial" w:hint="default"/>
                <w:sz w:val="20"/>
                <w:szCs w:val="20"/>
              </w:rPr>
            </w:pPr>
            <w:r>
              <w:rPr>
                <w:rFonts w:ascii="黑体" w:hAnsi="黑体" w:cs="黑体" w:eastAsia="黑体" w:hint="default"/>
                <w:w w:val="95"/>
                <w:sz w:val="20"/>
                <w:szCs w:val="20"/>
              </w:rPr>
              <w:t>比例</w:t>
            </w:r>
            <w:r>
              <w:rPr>
                <w:rFonts w:ascii="Arial" w:hAnsi="Arial" w:cs="Arial" w:eastAsia="Arial" w:hint="default"/>
                <w:w w:val="95"/>
                <w:sz w:val="20"/>
                <w:szCs w:val="20"/>
              </w:rPr>
              <w:t>(%)</w:t>
            </w:r>
            <w:r>
              <w:rPr>
                <w:rFonts w:ascii="Arial" w:hAnsi="Arial" w:cs="Arial" w:eastAsia="Arial" w:hint="default"/>
                <w:sz w:val="20"/>
                <w:szCs w:val="20"/>
              </w:rPr>
            </w:r>
          </w:p>
        </w:tc>
      </w:tr>
      <w:tr>
        <w:trPr>
          <w:trHeight w:val="251" w:hRule="exact"/>
        </w:trPr>
        <w:tc>
          <w:tcPr>
            <w:tcW w:w="2768" w:type="dxa"/>
            <w:tcBorders>
              <w:top w:val="nil" w:sz="6" w:space="0" w:color="auto"/>
              <w:left w:val="nil" w:sz="6" w:space="0" w:color="auto"/>
              <w:bottom w:val="nil" w:sz="6" w:space="0" w:color="auto"/>
              <w:right w:val="nil" w:sz="6" w:space="0" w:color="auto"/>
            </w:tcBorders>
          </w:tcPr>
          <w:p>
            <w:pPr>
              <w:pStyle w:val="TableParagraph"/>
              <w:spacing w:line="223" w:lineRule="exact"/>
              <w:ind w:left="200" w:right="0"/>
              <w:jc w:val="left"/>
              <w:rPr>
                <w:rFonts w:ascii="黑体" w:hAnsi="黑体" w:cs="黑体" w:eastAsia="黑体" w:hint="default"/>
                <w:sz w:val="20"/>
                <w:szCs w:val="20"/>
              </w:rPr>
            </w:pPr>
            <w:r>
              <w:rPr>
                <w:rFonts w:ascii="黑体" w:hAnsi="黑体" w:cs="黑体" w:eastAsia="黑体" w:hint="default"/>
                <w:sz w:val="20"/>
                <w:szCs w:val="20"/>
              </w:rPr>
              <w:t>子公司</w:t>
            </w:r>
          </w:p>
        </w:tc>
        <w:tc>
          <w:tcPr>
            <w:tcW w:w="1826" w:type="dxa"/>
            <w:tcBorders>
              <w:top w:val="nil" w:sz="6" w:space="0" w:color="auto"/>
              <w:left w:val="nil" w:sz="6" w:space="0" w:color="auto"/>
              <w:bottom w:val="nil" w:sz="6" w:space="0" w:color="auto"/>
              <w:right w:val="nil" w:sz="6" w:space="0" w:color="auto"/>
            </w:tcBorders>
          </w:tcPr>
          <w:p>
            <w:pPr/>
          </w:p>
        </w:tc>
        <w:tc>
          <w:tcPr>
            <w:tcW w:w="919" w:type="dxa"/>
            <w:tcBorders>
              <w:top w:val="nil" w:sz="6" w:space="0" w:color="auto"/>
              <w:left w:val="nil" w:sz="6" w:space="0" w:color="auto"/>
              <w:bottom w:val="nil" w:sz="6" w:space="0" w:color="auto"/>
              <w:right w:val="nil" w:sz="6" w:space="0" w:color="auto"/>
            </w:tcBorders>
          </w:tcPr>
          <w:p>
            <w:pPr/>
          </w:p>
        </w:tc>
        <w:tc>
          <w:tcPr>
            <w:tcW w:w="425"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
        </w:tc>
        <w:tc>
          <w:tcPr>
            <w:tcW w:w="798" w:type="dxa"/>
            <w:tcBorders>
              <w:top w:val="nil" w:sz="6" w:space="0" w:color="auto"/>
              <w:left w:val="nil" w:sz="6" w:space="0" w:color="auto"/>
              <w:bottom w:val="nil" w:sz="6" w:space="0" w:color="auto"/>
              <w:right w:val="nil" w:sz="6" w:space="0" w:color="auto"/>
            </w:tcBorders>
          </w:tcPr>
          <w:p>
            <w:pPr/>
          </w:p>
        </w:tc>
      </w:tr>
      <w:tr>
        <w:trPr>
          <w:trHeight w:val="259" w:hRule="exact"/>
        </w:trPr>
        <w:tc>
          <w:tcPr>
            <w:tcW w:w="2768" w:type="dxa"/>
            <w:tcBorders>
              <w:top w:val="nil" w:sz="6" w:space="0" w:color="auto"/>
              <w:left w:val="nil" w:sz="6" w:space="0" w:color="auto"/>
              <w:bottom w:val="nil" w:sz="6" w:space="0" w:color="auto"/>
              <w:right w:val="nil" w:sz="6" w:space="0" w:color="auto"/>
            </w:tcBorders>
          </w:tcPr>
          <w:p>
            <w:pPr>
              <w:pStyle w:val="TableParagraph"/>
              <w:spacing w:line="227" w:lineRule="exact"/>
              <w:ind w:left="387" w:right="0"/>
              <w:jc w:val="left"/>
              <w:rPr>
                <w:rFonts w:ascii="黑体" w:hAnsi="黑体" w:cs="黑体" w:eastAsia="黑体" w:hint="default"/>
                <w:sz w:val="20"/>
                <w:szCs w:val="20"/>
              </w:rPr>
            </w:pPr>
            <w:r>
              <w:rPr>
                <w:rFonts w:ascii="黑体" w:hAnsi="黑体" w:cs="黑体" w:eastAsia="黑体" w:hint="default"/>
                <w:sz w:val="20"/>
                <w:szCs w:val="20"/>
              </w:rPr>
              <w:t>广东用友</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97" w:right="0"/>
              <w:jc w:val="left"/>
              <w:rPr>
                <w:rFonts w:ascii="Arial" w:hAnsi="Arial" w:cs="Arial" w:eastAsia="Arial" w:hint="default"/>
                <w:sz w:val="20"/>
                <w:szCs w:val="20"/>
              </w:rPr>
            </w:pPr>
            <w:r>
              <w:rPr>
                <w:rFonts w:ascii="Arial"/>
                <w:sz w:val="20"/>
              </w:rPr>
              <w:t>50,057,271</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6"/>
              <w:jc w:val="right"/>
              <w:rPr>
                <w:rFonts w:ascii="Arial" w:hAnsi="Arial" w:cs="Arial" w:eastAsia="Arial" w:hint="default"/>
                <w:sz w:val="20"/>
                <w:szCs w:val="20"/>
              </w:rPr>
            </w:pPr>
            <w:r>
              <w:rPr>
                <w:rFonts w:ascii="Arial"/>
                <w:spacing w:val="-1"/>
                <w:w w:val="95"/>
                <w:sz w:val="20"/>
              </w:rPr>
              <w:t>23</w:t>
            </w:r>
            <w:r>
              <w:rPr>
                <w:rFonts w:ascii="Arial"/>
                <w:sz w:val="20"/>
              </w:rPr>
            </w:r>
          </w:p>
        </w:tc>
        <w:tc>
          <w:tcPr>
            <w:tcW w:w="425"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6"/>
              <w:jc w:val="right"/>
              <w:rPr>
                <w:rFonts w:ascii="Arial" w:hAnsi="Arial" w:cs="Arial" w:eastAsia="Arial" w:hint="default"/>
                <w:sz w:val="20"/>
                <w:szCs w:val="20"/>
              </w:rPr>
            </w:pPr>
            <w:r>
              <w:rPr>
                <w:rFonts w:ascii="Arial"/>
                <w:spacing w:val="-1"/>
                <w:sz w:val="20"/>
              </w:rPr>
              <w:t>51,945,973</w:t>
            </w:r>
            <w:r>
              <w:rPr>
                <w:rFonts w:ascii="Arial"/>
                <w:sz w:val="20"/>
              </w:rPr>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4"/>
              <w:jc w:val="right"/>
              <w:rPr>
                <w:rFonts w:ascii="Arial" w:hAnsi="Arial" w:cs="Arial" w:eastAsia="Arial" w:hint="default"/>
                <w:sz w:val="20"/>
                <w:szCs w:val="20"/>
              </w:rPr>
            </w:pPr>
            <w:r>
              <w:rPr>
                <w:rFonts w:ascii="Arial"/>
                <w:spacing w:val="-1"/>
                <w:w w:val="95"/>
                <w:sz w:val="20"/>
              </w:rPr>
              <w:t>20</w:t>
            </w:r>
            <w:r>
              <w:rPr>
                <w:rFonts w:ascii="Arial"/>
                <w:sz w:val="20"/>
              </w:rPr>
            </w:r>
          </w:p>
        </w:tc>
      </w:tr>
      <w:tr>
        <w:trPr>
          <w:trHeight w:val="254" w:hRule="exact"/>
        </w:trPr>
        <w:tc>
          <w:tcPr>
            <w:tcW w:w="2768" w:type="dxa"/>
            <w:tcBorders>
              <w:top w:val="nil" w:sz="6" w:space="0" w:color="auto"/>
              <w:left w:val="nil" w:sz="6" w:space="0" w:color="auto"/>
              <w:bottom w:val="nil" w:sz="6" w:space="0" w:color="auto"/>
              <w:right w:val="nil" w:sz="6" w:space="0" w:color="auto"/>
            </w:tcBorders>
          </w:tcPr>
          <w:p>
            <w:pPr>
              <w:pStyle w:val="TableParagraph"/>
              <w:spacing w:line="222" w:lineRule="exact"/>
              <w:ind w:left="387" w:right="0"/>
              <w:jc w:val="left"/>
              <w:rPr>
                <w:rFonts w:ascii="黑体" w:hAnsi="黑体" w:cs="黑体" w:eastAsia="黑体" w:hint="default"/>
                <w:sz w:val="20"/>
                <w:szCs w:val="20"/>
              </w:rPr>
            </w:pPr>
            <w:r>
              <w:rPr>
                <w:rFonts w:ascii="黑体" w:hAnsi="黑体" w:cs="黑体" w:eastAsia="黑体" w:hint="default"/>
                <w:sz w:val="20"/>
                <w:szCs w:val="20"/>
              </w:rPr>
              <w:t>深圳用友</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97" w:right="0"/>
              <w:jc w:val="left"/>
              <w:rPr>
                <w:rFonts w:ascii="Arial" w:hAnsi="Arial" w:cs="Arial" w:eastAsia="Arial" w:hint="default"/>
                <w:sz w:val="20"/>
                <w:szCs w:val="20"/>
              </w:rPr>
            </w:pPr>
            <w:r>
              <w:rPr>
                <w:rFonts w:ascii="Arial"/>
                <w:sz w:val="20"/>
              </w:rPr>
              <w:t>34,119,725</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6"/>
              <w:jc w:val="right"/>
              <w:rPr>
                <w:rFonts w:ascii="Arial" w:hAnsi="Arial" w:cs="Arial" w:eastAsia="Arial" w:hint="default"/>
                <w:sz w:val="20"/>
                <w:szCs w:val="20"/>
              </w:rPr>
            </w:pPr>
            <w:r>
              <w:rPr>
                <w:rFonts w:ascii="Arial"/>
                <w:spacing w:val="-1"/>
                <w:w w:val="95"/>
                <w:sz w:val="20"/>
              </w:rPr>
              <w:t>16</w:t>
            </w:r>
            <w:r>
              <w:rPr>
                <w:rFonts w:ascii="Arial"/>
                <w:sz w:val="20"/>
              </w:rPr>
            </w:r>
          </w:p>
        </w:tc>
        <w:tc>
          <w:tcPr>
            <w:tcW w:w="425"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6"/>
              <w:jc w:val="right"/>
              <w:rPr>
                <w:rFonts w:ascii="Arial" w:hAnsi="Arial" w:cs="Arial" w:eastAsia="Arial" w:hint="default"/>
                <w:sz w:val="20"/>
                <w:szCs w:val="20"/>
              </w:rPr>
            </w:pPr>
            <w:r>
              <w:rPr>
                <w:rFonts w:ascii="Arial"/>
                <w:spacing w:val="-1"/>
                <w:sz w:val="20"/>
              </w:rPr>
              <w:t>23,674,467</w:t>
            </w:r>
            <w:r>
              <w:rPr>
                <w:rFonts w:ascii="Arial"/>
                <w:sz w:val="20"/>
              </w:rPr>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1"/>
              <w:jc w:val="right"/>
              <w:rPr>
                <w:rFonts w:ascii="Arial" w:hAnsi="Arial" w:cs="Arial" w:eastAsia="Arial" w:hint="default"/>
                <w:sz w:val="20"/>
                <w:szCs w:val="20"/>
              </w:rPr>
            </w:pPr>
            <w:r>
              <w:rPr>
                <w:rFonts w:ascii="Arial"/>
                <w:w w:val="99"/>
                <w:sz w:val="20"/>
              </w:rPr>
              <w:t>9</w:t>
            </w:r>
            <w:r>
              <w:rPr>
                <w:rFonts w:ascii="Arial"/>
                <w:sz w:val="20"/>
              </w:rPr>
            </w:r>
          </w:p>
        </w:tc>
      </w:tr>
      <w:tr>
        <w:trPr>
          <w:trHeight w:val="256" w:hRule="exact"/>
        </w:trPr>
        <w:tc>
          <w:tcPr>
            <w:tcW w:w="2768" w:type="dxa"/>
            <w:tcBorders>
              <w:top w:val="nil" w:sz="6" w:space="0" w:color="auto"/>
              <w:left w:val="nil" w:sz="6" w:space="0" w:color="auto"/>
              <w:bottom w:val="nil" w:sz="6" w:space="0" w:color="auto"/>
              <w:right w:val="nil" w:sz="6" w:space="0" w:color="auto"/>
            </w:tcBorders>
          </w:tcPr>
          <w:p>
            <w:pPr>
              <w:pStyle w:val="TableParagraph"/>
              <w:spacing w:line="222" w:lineRule="exact"/>
              <w:ind w:left="387" w:right="0"/>
              <w:jc w:val="left"/>
              <w:rPr>
                <w:rFonts w:ascii="黑体" w:hAnsi="黑体" w:cs="黑体" w:eastAsia="黑体" w:hint="default"/>
                <w:sz w:val="20"/>
                <w:szCs w:val="20"/>
              </w:rPr>
            </w:pPr>
            <w:r>
              <w:rPr>
                <w:rFonts w:ascii="黑体" w:hAnsi="黑体" w:cs="黑体" w:eastAsia="黑体" w:hint="default"/>
                <w:sz w:val="20"/>
                <w:szCs w:val="20"/>
              </w:rPr>
              <w:t>浙江用友</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97" w:right="0"/>
              <w:jc w:val="left"/>
              <w:rPr>
                <w:rFonts w:ascii="Arial" w:hAnsi="Arial" w:cs="Arial" w:eastAsia="Arial" w:hint="default"/>
                <w:sz w:val="20"/>
                <w:szCs w:val="20"/>
              </w:rPr>
            </w:pPr>
            <w:r>
              <w:rPr>
                <w:rFonts w:ascii="Arial"/>
                <w:sz w:val="20"/>
              </w:rPr>
              <w:t>18,021,956</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20"/>
                <w:szCs w:val="20"/>
              </w:rPr>
            </w:pPr>
            <w:r>
              <w:rPr>
                <w:rFonts w:ascii="Arial"/>
                <w:w w:val="99"/>
                <w:sz w:val="20"/>
              </w:rPr>
              <w:t>8</w:t>
            </w:r>
            <w:r>
              <w:rPr>
                <w:rFonts w:ascii="Arial"/>
                <w:sz w:val="20"/>
              </w:rPr>
            </w:r>
          </w:p>
        </w:tc>
        <w:tc>
          <w:tcPr>
            <w:tcW w:w="425"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6"/>
              <w:jc w:val="right"/>
              <w:rPr>
                <w:rFonts w:ascii="Arial" w:hAnsi="Arial" w:cs="Arial" w:eastAsia="Arial" w:hint="default"/>
                <w:sz w:val="20"/>
                <w:szCs w:val="20"/>
              </w:rPr>
            </w:pPr>
            <w:r>
              <w:rPr>
                <w:rFonts w:ascii="Arial"/>
                <w:spacing w:val="-1"/>
                <w:sz w:val="20"/>
              </w:rPr>
              <w:t>28,003,087</w:t>
            </w:r>
            <w:r>
              <w:rPr>
                <w:rFonts w:ascii="Arial"/>
                <w:sz w:val="20"/>
              </w:rPr>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4"/>
              <w:jc w:val="right"/>
              <w:rPr>
                <w:rFonts w:ascii="Arial" w:hAnsi="Arial" w:cs="Arial" w:eastAsia="Arial" w:hint="default"/>
                <w:sz w:val="20"/>
                <w:szCs w:val="20"/>
              </w:rPr>
            </w:pPr>
            <w:r>
              <w:rPr>
                <w:rFonts w:ascii="Arial"/>
                <w:spacing w:val="-1"/>
                <w:w w:val="95"/>
                <w:sz w:val="20"/>
              </w:rPr>
              <w:t>11</w:t>
            </w:r>
            <w:r>
              <w:rPr>
                <w:rFonts w:ascii="Arial"/>
                <w:sz w:val="20"/>
              </w:rPr>
            </w:r>
          </w:p>
        </w:tc>
      </w:tr>
      <w:tr>
        <w:trPr>
          <w:trHeight w:val="256" w:hRule="exact"/>
        </w:trPr>
        <w:tc>
          <w:tcPr>
            <w:tcW w:w="2768" w:type="dxa"/>
            <w:tcBorders>
              <w:top w:val="nil" w:sz="6" w:space="0" w:color="auto"/>
              <w:left w:val="nil" w:sz="6" w:space="0" w:color="auto"/>
              <w:bottom w:val="nil" w:sz="6" w:space="0" w:color="auto"/>
              <w:right w:val="nil" w:sz="6" w:space="0" w:color="auto"/>
            </w:tcBorders>
          </w:tcPr>
          <w:p>
            <w:pPr>
              <w:pStyle w:val="TableParagraph"/>
              <w:spacing w:line="223" w:lineRule="exact"/>
              <w:ind w:left="387" w:right="0"/>
              <w:jc w:val="left"/>
              <w:rPr>
                <w:rFonts w:ascii="黑体" w:hAnsi="黑体" w:cs="黑体" w:eastAsia="黑体" w:hint="default"/>
                <w:sz w:val="20"/>
                <w:szCs w:val="20"/>
              </w:rPr>
            </w:pPr>
            <w:r>
              <w:rPr>
                <w:rFonts w:ascii="黑体" w:hAnsi="黑体" w:cs="黑体" w:eastAsia="黑体" w:hint="default"/>
                <w:sz w:val="20"/>
                <w:szCs w:val="20"/>
              </w:rPr>
              <w:t>重庆用友</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7"/>
              <w:ind w:left="297" w:right="0"/>
              <w:jc w:val="left"/>
              <w:rPr>
                <w:rFonts w:ascii="Arial" w:hAnsi="Arial" w:cs="Arial" w:eastAsia="Arial" w:hint="default"/>
                <w:sz w:val="20"/>
                <w:szCs w:val="20"/>
              </w:rPr>
            </w:pPr>
            <w:r>
              <w:rPr>
                <w:rFonts w:ascii="Arial"/>
                <w:sz w:val="20"/>
              </w:rPr>
              <w:t>25,656,328</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6"/>
              <w:jc w:val="right"/>
              <w:rPr>
                <w:rFonts w:ascii="Arial" w:hAnsi="Arial" w:cs="Arial" w:eastAsia="Arial" w:hint="default"/>
                <w:sz w:val="20"/>
                <w:szCs w:val="20"/>
              </w:rPr>
            </w:pPr>
            <w:r>
              <w:rPr>
                <w:rFonts w:ascii="Arial"/>
                <w:spacing w:val="-1"/>
                <w:w w:val="95"/>
                <w:sz w:val="20"/>
              </w:rPr>
              <w:t>12</w:t>
            </w:r>
            <w:r>
              <w:rPr>
                <w:rFonts w:ascii="Arial"/>
                <w:sz w:val="20"/>
              </w:rPr>
            </w:r>
          </w:p>
        </w:tc>
        <w:tc>
          <w:tcPr>
            <w:tcW w:w="425"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6"/>
              <w:jc w:val="right"/>
              <w:rPr>
                <w:rFonts w:ascii="Arial" w:hAnsi="Arial" w:cs="Arial" w:eastAsia="Arial" w:hint="default"/>
                <w:sz w:val="20"/>
                <w:szCs w:val="20"/>
              </w:rPr>
            </w:pPr>
            <w:r>
              <w:rPr>
                <w:rFonts w:ascii="Arial"/>
                <w:spacing w:val="-1"/>
                <w:sz w:val="20"/>
              </w:rPr>
              <w:t>22,824,745</w:t>
            </w:r>
            <w:r>
              <w:rPr>
                <w:rFonts w:ascii="Arial"/>
                <w:sz w:val="20"/>
              </w:rPr>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Arial" w:hAnsi="Arial" w:cs="Arial" w:eastAsia="Arial" w:hint="default"/>
                <w:sz w:val="20"/>
                <w:szCs w:val="20"/>
              </w:rPr>
            </w:pPr>
            <w:r>
              <w:rPr>
                <w:rFonts w:ascii="Arial"/>
                <w:w w:val="99"/>
                <w:sz w:val="20"/>
              </w:rPr>
              <w:t>9</w:t>
            </w:r>
            <w:r>
              <w:rPr>
                <w:rFonts w:ascii="Arial"/>
                <w:sz w:val="20"/>
              </w:rPr>
            </w:r>
          </w:p>
        </w:tc>
      </w:tr>
      <w:tr>
        <w:trPr>
          <w:trHeight w:val="254" w:hRule="exact"/>
        </w:trPr>
        <w:tc>
          <w:tcPr>
            <w:tcW w:w="2768" w:type="dxa"/>
            <w:tcBorders>
              <w:top w:val="nil" w:sz="6" w:space="0" w:color="auto"/>
              <w:left w:val="nil" w:sz="6" w:space="0" w:color="auto"/>
              <w:bottom w:val="nil" w:sz="6" w:space="0" w:color="auto"/>
              <w:right w:val="nil" w:sz="6" w:space="0" w:color="auto"/>
            </w:tcBorders>
          </w:tcPr>
          <w:p>
            <w:pPr>
              <w:pStyle w:val="TableParagraph"/>
              <w:spacing w:line="222" w:lineRule="exact"/>
              <w:ind w:left="387" w:right="0"/>
              <w:jc w:val="left"/>
              <w:rPr>
                <w:rFonts w:ascii="黑体" w:hAnsi="黑体" w:cs="黑体" w:eastAsia="黑体" w:hint="default"/>
                <w:sz w:val="20"/>
                <w:szCs w:val="20"/>
              </w:rPr>
            </w:pPr>
            <w:r>
              <w:rPr>
                <w:rFonts w:ascii="黑体" w:hAnsi="黑体" w:cs="黑体" w:eastAsia="黑体" w:hint="default"/>
                <w:sz w:val="20"/>
                <w:szCs w:val="20"/>
              </w:rPr>
              <w:t>天津用友</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6"/>
              <w:ind w:left="297" w:right="0"/>
              <w:jc w:val="left"/>
              <w:rPr>
                <w:rFonts w:ascii="Arial" w:hAnsi="Arial" w:cs="Arial" w:eastAsia="Arial" w:hint="default"/>
                <w:sz w:val="20"/>
                <w:szCs w:val="20"/>
              </w:rPr>
            </w:pPr>
            <w:r>
              <w:rPr>
                <w:rFonts w:ascii="Arial"/>
                <w:sz w:val="20"/>
              </w:rPr>
              <w:t>15,341,987</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20"/>
                <w:szCs w:val="20"/>
              </w:rPr>
            </w:pPr>
            <w:r>
              <w:rPr>
                <w:rFonts w:ascii="Arial"/>
                <w:w w:val="99"/>
                <w:sz w:val="20"/>
              </w:rPr>
              <w:t>7</w:t>
            </w:r>
            <w:r>
              <w:rPr>
                <w:rFonts w:ascii="Arial"/>
                <w:sz w:val="20"/>
              </w:rPr>
            </w:r>
          </w:p>
        </w:tc>
        <w:tc>
          <w:tcPr>
            <w:tcW w:w="425"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6"/>
              <w:jc w:val="right"/>
              <w:rPr>
                <w:rFonts w:ascii="Arial" w:hAnsi="Arial" w:cs="Arial" w:eastAsia="Arial" w:hint="default"/>
                <w:sz w:val="20"/>
                <w:szCs w:val="20"/>
              </w:rPr>
            </w:pPr>
            <w:r>
              <w:rPr>
                <w:rFonts w:ascii="Arial"/>
                <w:spacing w:val="-1"/>
                <w:sz w:val="20"/>
              </w:rPr>
              <w:t>20,695,959</w:t>
            </w:r>
            <w:r>
              <w:rPr>
                <w:rFonts w:ascii="Arial"/>
                <w:sz w:val="20"/>
              </w:rPr>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1"/>
              <w:jc w:val="right"/>
              <w:rPr>
                <w:rFonts w:ascii="Arial" w:hAnsi="Arial" w:cs="Arial" w:eastAsia="Arial" w:hint="default"/>
                <w:sz w:val="20"/>
                <w:szCs w:val="20"/>
              </w:rPr>
            </w:pPr>
            <w:r>
              <w:rPr>
                <w:rFonts w:ascii="Arial"/>
                <w:w w:val="99"/>
                <w:sz w:val="20"/>
              </w:rPr>
              <w:t>8</w:t>
            </w:r>
            <w:r>
              <w:rPr>
                <w:rFonts w:ascii="Arial"/>
                <w:sz w:val="20"/>
              </w:rPr>
            </w:r>
          </w:p>
        </w:tc>
      </w:tr>
      <w:tr>
        <w:trPr>
          <w:trHeight w:val="254" w:hRule="exact"/>
        </w:trPr>
        <w:tc>
          <w:tcPr>
            <w:tcW w:w="2768" w:type="dxa"/>
            <w:tcBorders>
              <w:top w:val="nil" w:sz="6" w:space="0" w:color="auto"/>
              <w:left w:val="nil" w:sz="6" w:space="0" w:color="auto"/>
              <w:bottom w:val="nil" w:sz="6" w:space="0" w:color="auto"/>
              <w:right w:val="nil" w:sz="6" w:space="0" w:color="auto"/>
            </w:tcBorders>
          </w:tcPr>
          <w:p>
            <w:pPr>
              <w:pStyle w:val="TableParagraph"/>
              <w:spacing w:line="222" w:lineRule="exact"/>
              <w:ind w:left="387" w:right="0"/>
              <w:jc w:val="left"/>
              <w:rPr>
                <w:rFonts w:ascii="黑体" w:hAnsi="黑体" w:cs="黑体" w:eastAsia="黑体" w:hint="default"/>
                <w:sz w:val="20"/>
                <w:szCs w:val="20"/>
              </w:rPr>
            </w:pPr>
            <w:r>
              <w:rPr>
                <w:rFonts w:ascii="黑体" w:hAnsi="黑体" w:cs="黑体" w:eastAsia="黑体" w:hint="default"/>
                <w:sz w:val="20"/>
                <w:szCs w:val="20"/>
              </w:rPr>
              <w:t>山东用友</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6"/>
              <w:ind w:left="407" w:right="0"/>
              <w:jc w:val="left"/>
              <w:rPr>
                <w:rFonts w:ascii="Arial" w:hAnsi="Arial" w:cs="Arial" w:eastAsia="Arial" w:hint="default"/>
                <w:sz w:val="20"/>
                <w:szCs w:val="20"/>
              </w:rPr>
            </w:pPr>
            <w:r>
              <w:rPr>
                <w:rFonts w:ascii="Arial"/>
                <w:sz w:val="20"/>
              </w:rPr>
              <w:t>3,948,933</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20"/>
                <w:szCs w:val="20"/>
              </w:rPr>
            </w:pPr>
            <w:r>
              <w:rPr>
                <w:rFonts w:ascii="Arial"/>
                <w:w w:val="99"/>
                <w:sz w:val="20"/>
              </w:rPr>
              <w:t>2</w:t>
            </w:r>
            <w:r>
              <w:rPr>
                <w:rFonts w:ascii="Arial"/>
                <w:sz w:val="20"/>
              </w:rPr>
            </w:r>
          </w:p>
        </w:tc>
        <w:tc>
          <w:tcPr>
            <w:tcW w:w="425"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6"/>
              <w:jc w:val="right"/>
              <w:rPr>
                <w:rFonts w:ascii="Arial" w:hAnsi="Arial" w:cs="Arial" w:eastAsia="Arial" w:hint="default"/>
                <w:sz w:val="20"/>
                <w:szCs w:val="20"/>
              </w:rPr>
            </w:pPr>
            <w:r>
              <w:rPr>
                <w:rFonts w:ascii="Arial"/>
                <w:spacing w:val="-1"/>
                <w:sz w:val="20"/>
              </w:rPr>
              <w:t>17,540,052</w:t>
            </w:r>
            <w:r>
              <w:rPr>
                <w:rFonts w:ascii="Arial"/>
                <w:sz w:val="20"/>
              </w:rPr>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1"/>
              <w:jc w:val="right"/>
              <w:rPr>
                <w:rFonts w:ascii="Arial" w:hAnsi="Arial" w:cs="Arial" w:eastAsia="Arial" w:hint="default"/>
                <w:sz w:val="20"/>
                <w:szCs w:val="20"/>
              </w:rPr>
            </w:pPr>
            <w:r>
              <w:rPr>
                <w:rFonts w:ascii="Arial"/>
                <w:w w:val="99"/>
                <w:sz w:val="20"/>
              </w:rPr>
              <w:t>7</w:t>
            </w:r>
            <w:r>
              <w:rPr>
                <w:rFonts w:ascii="Arial"/>
                <w:sz w:val="20"/>
              </w:rPr>
            </w:r>
          </w:p>
        </w:tc>
      </w:tr>
      <w:tr>
        <w:trPr>
          <w:trHeight w:val="256" w:hRule="exact"/>
        </w:trPr>
        <w:tc>
          <w:tcPr>
            <w:tcW w:w="2768" w:type="dxa"/>
            <w:tcBorders>
              <w:top w:val="nil" w:sz="6" w:space="0" w:color="auto"/>
              <w:left w:val="nil" w:sz="6" w:space="0" w:color="auto"/>
              <w:bottom w:val="nil" w:sz="6" w:space="0" w:color="auto"/>
              <w:right w:val="nil" w:sz="6" w:space="0" w:color="auto"/>
            </w:tcBorders>
          </w:tcPr>
          <w:p>
            <w:pPr>
              <w:pStyle w:val="TableParagraph"/>
              <w:spacing w:line="222" w:lineRule="exact"/>
              <w:ind w:left="387" w:right="0"/>
              <w:jc w:val="left"/>
              <w:rPr>
                <w:rFonts w:ascii="黑体" w:hAnsi="黑体" w:cs="黑体" w:eastAsia="黑体" w:hint="default"/>
                <w:sz w:val="20"/>
                <w:szCs w:val="20"/>
              </w:rPr>
            </w:pPr>
            <w:r>
              <w:rPr>
                <w:rFonts w:ascii="黑体" w:hAnsi="黑体" w:cs="黑体" w:eastAsia="黑体" w:hint="default"/>
                <w:sz w:val="20"/>
                <w:szCs w:val="20"/>
              </w:rPr>
              <w:t>安徽用友</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6"/>
              <w:ind w:left="407" w:right="0"/>
              <w:jc w:val="left"/>
              <w:rPr>
                <w:rFonts w:ascii="Arial" w:hAnsi="Arial" w:cs="Arial" w:eastAsia="Arial" w:hint="default"/>
                <w:sz w:val="20"/>
                <w:szCs w:val="20"/>
              </w:rPr>
            </w:pPr>
            <w:r>
              <w:rPr>
                <w:rFonts w:ascii="Arial"/>
                <w:sz w:val="20"/>
              </w:rPr>
              <w:t>8,851,909</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20"/>
                <w:szCs w:val="20"/>
              </w:rPr>
            </w:pPr>
            <w:r>
              <w:rPr>
                <w:rFonts w:ascii="Arial"/>
                <w:w w:val="99"/>
                <w:sz w:val="20"/>
              </w:rPr>
              <w:t>4</w:t>
            </w:r>
            <w:r>
              <w:rPr>
                <w:rFonts w:ascii="Arial"/>
                <w:sz w:val="20"/>
              </w:rPr>
            </w:r>
          </w:p>
        </w:tc>
        <w:tc>
          <w:tcPr>
            <w:tcW w:w="425"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6"/>
              <w:jc w:val="right"/>
              <w:rPr>
                <w:rFonts w:ascii="Arial" w:hAnsi="Arial" w:cs="Arial" w:eastAsia="Arial" w:hint="default"/>
                <w:sz w:val="20"/>
                <w:szCs w:val="20"/>
              </w:rPr>
            </w:pPr>
            <w:r>
              <w:rPr>
                <w:rFonts w:ascii="Arial"/>
                <w:spacing w:val="-1"/>
                <w:sz w:val="20"/>
              </w:rPr>
              <w:t>10,161,696</w:t>
            </w:r>
            <w:r>
              <w:rPr>
                <w:rFonts w:ascii="Arial"/>
                <w:sz w:val="20"/>
              </w:rPr>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1"/>
              <w:jc w:val="right"/>
              <w:rPr>
                <w:rFonts w:ascii="Arial" w:hAnsi="Arial" w:cs="Arial" w:eastAsia="Arial" w:hint="default"/>
                <w:sz w:val="20"/>
                <w:szCs w:val="20"/>
              </w:rPr>
            </w:pPr>
            <w:r>
              <w:rPr>
                <w:rFonts w:ascii="Arial"/>
                <w:w w:val="99"/>
                <w:sz w:val="20"/>
              </w:rPr>
              <w:t>4</w:t>
            </w:r>
            <w:r>
              <w:rPr>
                <w:rFonts w:ascii="Arial"/>
                <w:sz w:val="20"/>
              </w:rPr>
            </w:r>
          </w:p>
        </w:tc>
      </w:tr>
      <w:tr>
        <w:trPr>
          <w:trHeight w:val="256" w:hRule="exact"/>
        </w:trPr>
        <w:tc>
          <w:tcPr>
            <w:tcW w:w="2768" w:type="dxa"/>
            <w:tcBorders>
              <w:top w:val="nil" w:sz="6" w:space="0" w:color="auto"/>
              <w:left w:val="nil" w:sz="6" w:space="0" w:color="auto"/>
              <w:bottom w:val="nil" w:sz="6" w:space="0" w:color="auto"/>
              <w:right w:val="nil" w:sz="6" w:space="0" w:color="auto"/>
            </w:tcBorders>
          </w:tcPr>
          <w:p>
            <w:pPr>
              <w:pStyle w:val="TableParagraph"/>
              <w:spacing w:line="223" w:lineRule="exact"/>
              <w:ind w:left="387" w:right="0"/>
              <w:jc w:val="left"/>
              <w:rPr>
                <w:rFonts w:ascii="黑体" w:hAnsi="黑体" w:cs="黑体" w:eastAsia="黑体" w:hint="default"/>
                <w:sz w:val="20"/>
                <w:szCs w:val="20"/>
              </w:rPr>
            </w:pPr>
            <w:r>
              <w:rPr>
                <w:rFonts w:ascii="黑体" w:hAnsi="黑体" w:cs="黑体" w:eastAsia="黑体" w:hint="default"/>
                <w:sz w:val="20"/>
                <w:szCs w:val="20"/>
              </w:rPr>
              <w:t>广西用友</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7" w:right="0"/>
              <w:jc w:val="left"/>
              <w:rPr>
                <w:rFonts w:ascii="Arial" w:hAnsi="Arial" w:cs="Arial" w:eastAsia="Arial" w:hint="default"/>
                <w:sz w:val="20"/>
                <w:szCs w:val="20"/>
              </w:rPr>
            </w:pPr>
            <w:r>
              <w:rPr>
                <w:rFonts w:ascii="Arial"/>
                <w:sz w:val="20"/>
              </w:rPr>
              <w:t>7,603,008</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20"/>
                <w:szCs w:val="20"/>
              </w:rPr>
            </w:pPr>
            <w:r>
              <w:rPr>
                <w:rFonts w:ascii="Arial"/>
                <w:w w:val="99"/>
                <w:sz w:val="20"/>
              </w:rPr>
              <w:t>4</w:t>
            </w:r>
            <w:r>
              <w:rPr>
                <w:rFonts w:ascii="Arial"/>
                <w:sz w:val="20"/>
              </w:rPr>
            </w:r>
          </w:p>
        </w:tc>
        <w:tc>
          <w:tcPr>
            <w:tcW w:w="425"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6"/>
              <w:jc w:val="right"/>
              <w:rPr>
                <w:rFonts w:ascii="Arial" w:hAnsi="Arial" w:cs="Arial" w:eastAsia="Arial" w:hint="default"/>
                <w:sz w:val="20"/>
                <w:szCs w:val="20"/>
              </w:rPr>
            </w:pPr>
            <w:r>
              <w:rPr>
                <w:rFonts w:ascii="Arial"/>
                <w:spacing w:val="-1"/>
                <w:sz w:val="20"/>
              </w:rPr>
              <w:t>9,379,295</w:t>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Arial" w:hAnsi="Arial" w:cs="Arial" w:eastAsia="Arial" w:hint="default"/>
                <w:sz w:val="20"/>
                <w:szCs w:val="20"/>
              </w:rPr>
            </w:pPr>
            <w:r>
              <w:rPr>
                <w:rFonts w:ascii="Arial"/>
                <w:w w:val="99"/>
                <w:sz w:val="20"/>
              </w:rPr>
              <w:t>4</w:t>
            </w:r>
            <w:r>
              <w:rPr>
                <w:rFonts w:ascii="Arial"/>
                <w:sz w:val="20"/>
              </w:rPr>
            </w:r>
          </w:p>
        </w:tc>
      </w:tr>
      <w:tr>
        <w:trPr>
          <w:trHeight w:val="254" w:hRule="exact"/>
        </w:trPr>
        <w:tc>
          <w:tcPr>
            <w:tcW w:w="2768" w:type="dxa"/>
            <w:tcBorders>
              <w:top w:val="nil" w:sz="6" w:space="0" w:color="auto"/>
              <w:left w:val="nil" w:sz="6" w:space="0" w:color="auto"/>
              <w:bottom w:val="nil" w:sz="6" w:space="0" w:color="auto"/>
              <w:right w:val="nil" w:sz="6" w:space="0" w:color="auto"/>
            </w:tcBorders>
          </w:tcPr>
          <w:p>
            <w:pPr>
              <w:pStyle w:val="TableParagraph"/>
              <w:spacing w:line="222" w:lineRule="exact"/>
              <w:ind w:left="387" w:right="0"/>
              <w:jc w:val="left"/>
              <w:rPr>
                <w:rFonts w:ascii="黑体" w:hAnsi="黑体" w:cs="黑体" w:eastAsia="黑体" w:hint="default"/>
                <w:sz w:val="20"/>
                <w:szCs w:val="20"/>
              </w:rPr>
            </w:pPr>
            <w:r>
              <w:rPr>
                <w:rFonts w:ascii="黑体" w:hAnsi="黑体" w:cs="黑体" w:eastAsia="黑体" w:hint="default"/>
                <w:sz w:val="20"/>
                <w:szCs w:val="20"/>
              </w:rPr>
              <w:t>武汉用友</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6"/>
              <w:ind w:left="407" w:right="0"/>
              <w:jc w:val="left"/>
              <w:rPr>
                <w:rFonts w:ascii="Arial" w:hAnsi="Arial" w:cs="Arial" w:eastAsia="Arial" w:hint="default"/>
                <w:sz w:val="20"/>
                <w:szCs w:val="20"/>
              </w:rPr>
            </w:pPr>
            <w:r>
              <w:rPr>
                <w:rFonts w:ascii="Arial"/>
                <w:sz w:val="20"/>
              </w:rPr>
              <w:t>8,288,468</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20"/>
                <w:szCs w:val="20"/>
              </w:rPr>
            </w:pPr>
            <w:r>
              <w:rPr>
                <w:rFonts w:ascii="Arial"/>
                <w:w w:val="99"/>
                <w:sz w:val="20"/>
              </w:rPr>
              <w:t>4</w:t>
            </w:r>
            <w:r>
              <w:rPr>
                <w:rFonts w:ascii="Arial"/>
                <w:sz w:val="20"/>
              </w:rPr>
            </w:r>
          </w:p>
        </w:tc>
        <w:tc>
          <w:tcPr>
            <w:tcW w:w="425"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6"/>
              <w:jc w:val="right"/>
              <w:rPr>
                <w:rFonts w:ascii="Arial" w:hAnsi="Arial" w:cs="Arial" w:eastAsia="Arial" w:hint="default"/>
                <w:sz w:val="20"/>
                <w:szCs w:val="20"/>
              </w:rPr>
            </w:pPr>
            <w:r>
              <w:rPr>
                <w:rFonts w:ascii="Arial"/>
                <w:spacing w:val="-1"/>
                <w:sz w:val="20"/>
              </w:rPr>
              <w:t>8,673,903</w:t>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1"/>
              <w:jc w:val="right"/>
              <w:rPr>
                <w:rFonts w:ascii="Arial" w:hAnsi="Arial" w:cs="Arial" w:eastAsia="Arial" w:hint="default"/>
                <w:sz w:val="20"/>
                <w:szCs w:val="20"/>
              </w:rPr>
            </w:pPr>
            <w:r>
              <w:rPr>
                <w:rFonts w:ascii="Arial"/>
                <w:w w:val="99"/>
                <w:sz w:val="20"/>
              </w:rPr>
              <w:t>3</w:t>
            </w:r>
            <w:r>
              <w:rPr>
                <w:rFonts w:ascii="Arial"/>
                <w:sz w:val="20"/>
              </w:rPr>
            </w:r>
          </w:p>
        </w:tc>
      </w:tr>
      <w:tr>
        <w:trPr>
          <w:trHeight w:val="254" w:hRule="exact"/>
        </w:trPr>
        <w:tc>
          <w:tcPr>
            <w:tcW w:w="2768" w:type="dxa"/>
            <w:tcBorders>
              <w:top w:val="nil" w:sz="6" w:space="0" w:color="auto"/>
              <w:left w:val="nil" w:sz="6" w:space="0" w:color="auto"/>
              <w:bottom w:val="nil" w:sz="6" w:space="0" w:color="auto"/>
              <w:right w:val="nil" w:sz="6" w:space="0" w:color="auto"/>
            </w:tcBorders>
          </w:tcPr>
          <w:p>
            <w:pPr>
              <w:pStyle w:val="TableParagraph"/>
              <w:spacing w:line="222" w:lineRule="exact"/>
              <w:ind w:left="387" w:right="0"/>
              <w:jc w:val="left"/>
              <w:rPr>
                <w:rFonts w:ascii="黑体" w:hAnsi="黑体" w:cs="黑体" w:eastAsia="黑体" w:hint="default"/>
                <w:sz w:val="20"/>
                <w:szCs w:val="20"/>
              </w:rPr>
            </w:pPr>
            <w:r>
              <w:rPr>
                <w:rFonts w:ascii="黑体" w:hAnsi="黑体" w:cs="黑体" w:eastAsia="黑体" w:hint="default"/>
                <w:sz w:val="20"/>
                <w:szCs w:val="20"/>
              </w:rPr>
              <w:t>沈阳用友</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6"/>
              <w:ind w:left="407" w:right="0"/>
              <w:jc w:val="left"/>
              <w:rPr>
                <w:rFonts w:ascii="Arial" w:hAnsi="Arial" w:cs="Arial" w:eastAsia="Arial" w:hint="default"/>
                <w:sz w:val="20"/>
                <w:szCs w:val="20"/>
              </w:rPr>
            </w:pPr>
            <w:r>
              <w:rPr>
                <w:rFonts w:ascii="Arial"/>
                <w:sz w:val="20"/>
              </w:rPr>
              <w:t>5,941,633</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20"/>
                <w:szCs w:val="20"/>
              </w:rPr>
            </w:pPr>
            <w:r>
              <w:rPr>
                <w:rFonts w:ascii="Arial"/>
                <w:w w:val="99"/>
                <w:sz w:val="20"/>
              </w:rPr>
              <w:t>3</w:t>
            </w:r>
            <w:r>
              <w:rPr>
                <w:rFonts w:ascii="Arial"/>
                <w:sz w:val="20"/>
              </w:rPr>
            </w:r>
          </w:p>
        </w:tc>
        <w:tc>
          <w:tcPr>
            <w:tcW w:w="425"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6"/>
              <w:jc w:val="right"/>
              <w:rPr>
                <w:rFonts w:ascii="Arial" w:hAnsi="Arial" w:cs="Arial" w:eastAsia="Arial" w:hint="default"/>
                <w:sz w:val="20"/>
                <w:szCs w:val="20"/>
              </w:rPr>
            </w:pPr>
            <w:r>
              <w:rPr>
                <w:rFonts w:ascii="Arial"/>
                <w:spacing w:val="-1"/>
                <w:sz w:val="20"/>
              </w:rPr>
              <w:t>8,345,725</w:t>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1"/>
              <w:jc w:val="right"/>
              <w:rPr>
                <w:rFonts w:ascii="Arial" w:hAnsi="Arial" w:cs="Arial" w:eastAsia="Arial" w:hint="default"/>
                <w:sz w:val="20"/>
                <w:szCs w:val="20"/>
              </w:rPr>
            </w:pPr>
            <w:r>
              <w:rPr>
                <w:rFonts w:ascii="Arial"/>
                <w:w w:val="99"/>
                <w:sz w:val="20"/>
              </w:rPr>
              <w:t>3</w:t>
            </w:r>
            <w:r>
              <w:rPr>
                <w:rFonts w:ascii="Arial"/>
                <w:sz w:val="20"/>
              </w:rPr>
            </w:r>
          </w:p>
        </w:tc>
      </w:tr>
      <w:tr>
        <w:trPr>
          <w:trHeight w:val="256" w:hRule="exact"/>
        </w:trPr>
        <w:tc>
          <w:tcPr>
            <w:tcW w:w="2768" w:type="dxa"/>
            <w:tcBorders>
              <w:top w:val="nil" w:sz="6" w:space="0" w:color="auto"/>
              <w:left w:val="nil" w:sz="6" w:space="0" w:color="auto"/>
              <w:bottom w:val="nil" w:sz="6" w:space="0" w:color="auto"/>
              <w:right w:val="nil" w:sz="6" w:space="0" w:color="auto"/>
            </w:tcBorders>
          </w:tcPr>
          <w:p>
            <w:pPr>
              <w:pStyle w:val="TableParagraph"/>
              <w:spacing w:line="222" w:lineRule="exact"/>
              <w:ind w:left="387" w:right="0"/>
              <w:jc w:val="left"/>
              <w:rPr>
                <w:rFonts w:ascii="黑体" w:hAnsi="黑体" w:cs="黑体" w:eastAsia="黑体" w:hint="default"/>
                <w:sz w:val="20"/>
                <w:szCs w:val="20"/>
              </w:rPr>
            </w:pPr>
            <w:r>
              <w:rPr>
                <w:rFonts w:ascii="黑体" w:hAnsi="黑体" w:cs="黑体" w:eastAsia="黑体" w:hint="default"/>
                <w:sz w:val="20"/>
                <w:szCs w:val="20"/>
              </w:rPr>
              <w:t>大连用友</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6"/>
              <w:ind w:left="407" w:right="0"/>
              <w:jc w:val="left"/>
              <w:rPr>
                <w:rFonts w:ascii="Arial" w:hAnsi="Arial" w:cs="Arial" w:eastAsia="Arial" w:hint="default"/>
                <w:sz w:val="20"/>
                <w:szCs w:val="20"/>
              </w:rPr>
            </w:pPr>
            <w:r>
              <w:rPr>
                <w:rFonts w:ascii="Arial"/>
                <w:sz w:val="20"/>
              </w:rPr>
              <w:t>2,521,032</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20"/>
                <w:szCs w:val="20"/>
              </w:rPr>
            </w:pPr>
            <w:r>
              <w:rPr>
                <w:rFonts w:ascii="Arial"/>
                <w:w w:val="99"/>
                <w:sz w:val="20"/>
              </w:rPr>
              <w:t>1</w:t>
            </w:r>
            <w:r>
              <w:rPr>
                <w:rFonts w:ascii="Arial"/>
                <w:sz w:val="20"/>
              </w:rPr>
            </w:r>
          </w:p>
        </w:tc>
        <w:tc>
          <w:tcPr>
            <w:tcW w:w="425"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6"/>
              <w:jc w:val="right"/>
              <w:rPr>
                <w:rFonts w:ascii="Arial" w:hAnsi="Arial" w:cs="Arial" w:eastAsia="Arial" w:hint="default"/>
                <w:sz w:val="20"/>
                <w:szCs w:val="20"/>
              </w:rPr>
            </w:pPr>
            <w:r>
              <w:rPr>
                <w:rFonts w:ascii="Arial"/>
                <w:spacing w:val="-1"/>
                <w:sz w:val="20"/>
              </w:rPr>
              <w:t>12,804,176</w:t>
            </w:r>
            <w:r>
              <w:rPr>
                <w:rFonts w:ascii="Arial"/>
                <w:sz w:val="20"/>
              </w:rPr>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1"/>
              <w:jc w:val="right"/>
              <w:rPr>
                <w:rFonts w:ascii="Arial" w:hAnsi="Arial" w:cs="Arial" w:eastAsia="Arial" w:hint="default"/>
                <w:sz w:val="20"/>
                <w:szCs w:val="20"/>
              </w:rPr>
            </w:pPr>
            <w:r>
              <w:rPr>
                <w:rFonts w:ascii="Arial"/>
                <w:w w:val="99"/>
                <w:sz w:val="20"/>
              </w:rPr>
              <w:t>5</w:t>
            </w:r>
            <w:r>
              <w:rPr>
                <w:rFonts w:ascii="Arial"/>
                <w:sz w:val="20"/>
              </w:rPr>
            </w:r>
          </w:p>
        </w:tc>
      </w:tr>
      <w:tr>
        <w:trPr>
          <w:trHeight w:val="256" w:hRule="exact"/>
        </w:trPr>
        <w:tc>
          <w:tcPr>
            <w:tcW w:w="2768" w:type="dxa"/>
            <w:tcBorders>
              <w:top w:val="nil" w:sz="6" w:space="0" w:color="auto"/>
              <w:left w:val="nil" w:sz="6" w:space="0" w:color="auto"/>
              <w:bottom w:val="nil" w:sz="6" w:space="0" w:color="auto"/>
              <w:right w:val="nil" w:sz="6" w:space="0" w:color="auto"/>
            </w:tcBorders>
          </w:tcPr>
          <w:p>
            <w:pPr>
              <w:pStyle w:val="TableParagraph"/>
              <w:spacing w:line="223" w:lineRule="exact"/>
              <w:ind w:left="387" w:right="0"/>
              <w:jc w:val="left"/>
              <w:rPr>
                <w:rFonts w:ascii="黑体" w:hAnsi="黑体" w:cs="黑体" w:eastAsia="黑体" w:hint="default"/>
                <w:sz w:val="20"/>
                <w:szCs w:val="20"/>
              </w:rPr>
            </w:pPr>
            <w:r>
              <w:rPr>
                <w:rFonts w:ascii="黑体" w:hAnsi="黑体" w:cs="黑体" w:eastAsia="黑体" w:hint="default"/>
                <w:sz w:val="20"/>
                <w:szCs w:val="20"/>
              </w:rPr>
              <w:t>湖南用友</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7" w:right="0"/>
              <w:jc w:val="left"/>
              <w:rPr>
                <w:rFonts w:ascii="Arial" w:hAnsi="Arial" w:cs="Arial" w:eastAsia="Arial" w:hint="default"/>
                <w:sz w:val="20"/>
                <w:szCs w:val="20"/>
              </w:rPr>
            </w:pPr>
            <w:r>
              <w:rPr>
                <w:rFonts w:ascii="Arial"/>
                <w:sz w:val="20"/>
              </w:rPr>
              <w:t>8,526,315</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20"/>
                <w:szCs w:val="20"/>
              </w:rPr>
            </w:pPr>
            <w:r>
              <w:rPr>
                <w:rFonts w:ascii="Arial"/>
                <w:w w:val="99"/>
                <w:sz w:val="20"/>
              </w:rPr>
              <w:t>4</w:t>
            </w:r>
            <w:r>
              <w:rPr>
                <w:rFonts w:ascii="Arial"/>
                <w:sz w:val="20"/>
              </w:rPr>
            </w:r>
          </w:p>
        </w:tc>
        <w:tc>
          <w:tcPr>
            <w:tcW w:w="425"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6"/>
              <w:jc w:val="right"/>
              <w:rPr>
                <w:rFonts w:ascii="Arial" w:hAnsi="Arial" w:cs="Arial" w:eastAsia="Arial" w:hint="default"/>
                <w:sz w:val="20"/>
                <w:szCs w:val="20"/>
              </w:rPr>
            </w:pPr>
            <w:r>
              <w:rPr>
                <w:rFonts w:ascii="Arial"/>
                <w:spacing w:val="-1"/>
                <w:sz w:val="20"/>
              </w:rPr>
              <w:t>11,943,825</w:t>
            </w:r>
            <w:r>
              <w:rPr>
                <w:rFonts w:ascii="Arial"/>
                <w:sz w:val="20"/>
              </w:rPr>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Arial" w:hAnsi="Arial" w:cs="Arial" w:eastAsia="Arial" w:hint="default"/>
                <w:sz w:val="20"/>
                <w:szCs w:val="20"/>
              </w:rPr>
            </w:pPr>
            <w:r>
              <w:rPr>
                <w:rFonts w:ascii="Arial"/>
                <w:w w:val="99"/>
                <w:sz w:val="20"/>
              </w:rPr>
              <w:t>5</w:t>
            </w:r>
            <w:r>
              <w:rPr>
                <w:rFonts w:ascii="Arial"/>
                <w:sz w:val="20"/>
              </w:rPr>
            </w:r>
          </w:p>
        </w:tc>
      </w:tr>
      <w:tr>
        <w:trPr>
          <w:trHeight w:val="254" w:hRule="exact"/>
        </w:trPr>
        <w:tc>
          <w:tcPr>
            <w:tcW w:w="2768" w:type="dxa"/>
            <w:tcBorders>
              <w:top w:val="nil" w:sz="6" w:space="0" w:color="auto"/>
              <w:left w:val="nil" w:sz="6" w:space="0" w:color="auto"/>
              <w:bottom w:val="nil" w:sz="6" w:space="0" w:color="auto"/>
              <w:right w:val="nil" w:sz="6" w:space="0" w:color="auto"/>
            </w:tcBorders>
          </w:tcPr>
          <w:p>
            <w:pPr>
              <w:pStyle w:val="TableParagraph"/>
              <w:spacing w:line="222" w:lineRule="exact"/>
              <w:ind w:left="387" w:right="0"/>
              <w:jc w:val="left"/>
              <w:rPr>
                <w:rFonts w:ascii="黑体" w:hAnsi="黑体" w:cs="黑体" w:eastAsia="黑体" w:hint="default"/>
                <w:sz w:val="20"/>
                <w:szCs w:val="20"/>
              </w:rPr>
            </w:pPr>
            <w:r>
              <w:rPr>
                <w:rFonts w:ascii="黑体" w:hAnsi="黑体" w:cs="黑体" w:eastAsia="黑体" w:hint="default"/>
                <w:sz w:val="20"/>
                <w:szCs w:val="20"/>
              </w:rPr>
              <w:t>江西用友</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6"/>
              <w:ind w:left="407" w:right="0"/>
              <w:jc w:val="left"/>
              <w:rPr>
                <w:rFonts w:ascii="Arial" w:hAnsi="Arial" w:cs="Arial" w:eastAsia="Arial" w:hint="default"/>
                <w:sz w:val="20"/>
                <w:szCs w:val="20"/>
              </w:rPr>
            </w:pPr>
            <w:r>
              <w:rPr>
                <w:rFonts w:ascii="Arial"/>
                <w:sz w:val="20"/>
              </w:rPr>
              <w:t>3,921,938</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20"/>
                <w:szCs w:val="20"/>
              </w:rPr>
            </w:pPr>
            <w:r>
              <w:rPr>
                <w:rFonts w:ascii="Arial"/>
                <w:w w:val="99"/>
                <w:sz w:val="20"/>
              </w:rPr>
              <w:t>2</w:t>
            </w:r>
            <w:r>
              <w:rPr>
                <w:rFonts w:ascii="Arial"/>
                <w:sz w:val="20"/>
              </w:rPr>
            </w:r>
          </w:p>
        </w:tc>
        <w:tc>
          <w:tcPr>
            <w:tcW w:w="425"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6"/>
              <w:jc w:val="right"/>
              <w:rPr>
                <w:rFonts w:ascii="Arial" w:hAnsi="Arial" w:cs="Arial" w:eastAsia="Arial" w:hint="default"/>
                <w:sz w:val="20"/>
                <w:szCs w:val="20"/>
              </w:rPr>
            </w:pPr>
            <w:r>
              <w:rPr>
                <w:rFonts w:ascii="Arial"/>
                <w:spacing w:val="-1"/>
                <w:sz w:val="20"/>
              </w:rPr>
              <w:t>10,508,003</w:t>
            </w:r>
            <w:r>
              <w:rPr>
                <w:rFonts w:ascii="Arial"/>
                <w:sz w:val="20"/>
              </w:rPr>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1"/>
              <w:jc w:val="right"/>
              <w:rPr>
                <w:rFonts w:ascii="Arial" w:hAnsi="Arial" w:cs="Arial" w:eastAsia="Arial" w:hint="default"/>
                <w:sz w:val="20"/>
                <w:szCs w:val="20"/>
              </w:rPr>
            </w:pPr>
            <w:r>
              <w:rPr>
                <w:rFonts w:ascii="Arial"/>
                <w:w w:val="99"/>
                <w:sz w:val="20"/>
              </w:rPr>
              <w:t>4</w:t>
            </w:r>
            <w:r>
              <w:rPr>
                <w:rFonts w:ascii="Arial"/>
                <w:sz w:val="20"/>
              </w:rPr>
            </w:r>
          </w:p>
        </w:tc>
      </w:tr>
      <w:tr>
        <w:trPr>
          <w:trHeight w:val="254" w:hRule="exact"/>
        </w:trPr>
        <w:tc>
          <w:tcPr>
            <w:tcW w:w="2768" w:type="dxa"/>
            <w:tcBorders>
              <w:top w:val="nil" w:sz="6" w:space="0" w:color="auto"/>
              <w:left w:val="nil" w:sz="6" w:space="0" w:color="auto"/>
              <w:bottom w:val="nil" w:sz="6" w:space="0" w:color="auto"/>
              <w:right w:val="nil" w:sz="6" w:space="0" w:color="auto"/>
            </w:tcBorders>
          </w:tcPr>
          <w:p>
            <w:pPr>
              <w:pStyle w:val="TableParagraph"/>
              <w:spacing w:line="222" w:lineRule="exact"/>
              <w:ind w:left="387" w:right="0"/>
              <w:jc w:val="left"/>
              <w:rPr>
                <w:rFonts w:ascii="黑体" w:hAnsi="黑体" w:cs="黑体" w:eastAsia="黑体" w:hint="default"/>
                <w:sz w:val="20"/>
                <w:szCs w:val="20"/>
              </w:rPr>
            </w:pPr>
            <w:r>
              <w:rPr>
                <w:rFonts w:ascii="黑体" w:hAnsi="黑体" w:cs="黑体" w:eastAsia="黑体" w:hint="default"/>
                <w:sz w:val="20"/>
                <w:szCs w:val="20"/>
              </w:rPr>
              <w:t>内蒙古用友</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6"/>
              <w:ind w:left="407" w:right="0"/>
              <w:jc w:val="left"/>
              <w:rPr>
                <w:rFonts w:ascii="Arial" w:hAnsi="Arial" w:cs="Arial" w:eastAsia="Arial" w:hint="default"/>
                <w:sz w:val="20"/>
                <w:szCs w:val="20"/>
              </w:rPr>
            </w:pPr>
            <w:r>
              <w:rPr>
                <w:rFonts w:ascii="Arial"/>
                <w:sz w:val="20"/>
              </w:rPr>
              <w:t>2,818,526</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20"/>
                <w:szCs w:val="20"/>
              </w:rPr>
            </w:pPr>
            <w:r>
              <w:rPr>
                <w:rFonts w:ascii="Arial"/>
                <w:w w:val="99"/>
                <w:sz w:val="20"/>
              </w:rPr>
              <w:t>1</w:t>
            </w:r>
            <w:r>
              <w:rPr>
                <w:rFonts w:ascii="Arial"/>
                <w:sz w:val="20"/>
              </w:rPr>
            </w:r>
          </w:p>
        </w:tc>
        <w:tc>
          <w:tcPr>
            <w:tcW w:w="425"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6"/>
              <w:jc w:val="right"/>
              <w:rPr>
                <w:rFonts w:ascii="Arial" w:hAnsi="Arial" w:cs="Arial" w:eastAsia="Arial" w:hint="default"/>
                <w:sz w:val="20"/>
                <w:szCs w:val="20"/>
              </w:rPr>
            </w:pPr>
            <w:r>
              <w:rPr>
                <w:rFonts w:ascii="Arial"/>
                <w:spacing w:val="-1"/>
                <w:sz w:val="20"/>
              </w:rPr>
              <w:t>3,132,788</w:t>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1"/>
              <w:jc w:val="right"/>
              <w:rPr>
                <w:rFonts w:ascii="Arial" w:hAnsi="Arial" w:cs="Arial" w:eastAsia="Arial" w:hint="default"/>
                <w:sz w:val="20"/>
                <w:szCs w:val="20"/>
              </w:rPr>
            </w:pPr>
            <w:r>
              <w:rPr>
                <w:rFonts w:ascii="Arial"/>
                <w:w w:val="99"/>
                <w:sz w:val="20"/>
              </w:rPr>
              <w:t>1</w:t>
            </w:r>
            <w:r>
              <w:rPr>
                <w:rFonts w:ascii="Arial"/>
                <w:sz w:val="20"/>
              </w:rPr>
            </w:r>
          </w:p>
        </w:tc>
      </w:tr>
      <w:tr>
        <w:trPr>
          <w:trHeight w:val="256" w:hRule="exact"/>
        </w:trPr>
        <w:tc>
          <w:tcPr>
            <w:tcW w:w="2768" w:type="dxa"/>
            <w:tcBorders>
              <w:top w:val="nil" w:sz="6" w:space="0" w:color="auto"/>
              <w:left w:val="nil" w:sz="6" w:space="0" w:color="auto"/>
              <w:bottom w:val="nil" w:sz="6" w:space="0" w:color="auto"/>
              <w:right w:val="nil" w:sz="6" w:space="0" w:color="auto"/>
            </w:tcBorders>
          </w:tcPr>
          <w:p>
            <w:pPr>
              <w:pStyle w:val="TableParagraph"/>
              <w:spacing w:line="222" w:lineRule="exact"/>
              <w:ind w:left="387" w:right="0"/>
              <w:jc w:val="left"/>
              <w:rPr>
                <w:rFonts w:ascii="黑体" w:hAnsi="黑体" w:cs="黑体" w:eastAsia="黑体" w:hint="default"/>
                <w:sz w:val="20"/>
                <w:szCs w:val="20"/>
              </w:rPr>
            </w:pPr>
            <w:r>
              <w:rPr>
                <w:rFonts w:ascii="黑体" w:hAnsi="黑体" w:cs="黑体" w:eastAsia="黑体" w:hint="default"/>
                <w:sz w:val="20"/>
                <w:szCs w:val="20"/>
              </w:rPr>
              <w:t>滨海用友</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6"/>
              <w:ind w:left="407" w:right="0"/>
              <w:jc w:val="left"/>
              <w:rPr>
                <w:rFonts w:ascii="Arial" w:hAnsi="Arial" w:cs="Arial" w:eastAsia="Arial" w:hint="default"/>
                <w:sz w:val="20"/>
                <w:szCs w:val="20"/>
              </w:rPr>
            </w:pPr>
            <w:r>
              <w:rPr>
                <w:rFonts w:ascii="Arial"/>
                <w:sz w:val="20"/>
              </w:rPr>
              <w:t>2,529,021</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20"/>
                <w:szCs w:val="20"/>
              </w:rPr>
            </w:pPr>
            <w:r>
              <w:rPr>
                <w:rFonts w:ascii="Arial"/>
                <w:w w:val="99"/>
                <w:sz w:val="20"/>
              </w:rPr>
              <w:t>1</w:t>
            </w:r>
            <w:r>
              <w:rPr>
                <w:rFonts w:ascii="Arial"/>
                <w:sz w:val="20"/>
              </w:rPr>
            </w:r>
          </w:p>
        </w:tc>
        <w:tc>
          <w:tcPr>
            <w:tcW w:w="425"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6"/>
              <w:jc w:val="right"/>
              <w:rPr>
                <w:rFonts w:ascii="Arial" w:hAnsi="Arial" w:cs="Arial" w:eastAsia="Arial" w:hint="default"/>
                <w:sz w:val="20"/>
                <w:szCs w:val="20"/>
              </w:rPr>
            </w:pPr>
            <w:r>
              <w:rPr>
                <w:rFonts w:ascii="Arial"/>
                <w:spacing w:val="-1"/>
                <w:sz w:val="20"/>
              </w:rPr>
              <w:t>6,430,547</w:t>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1"/>
              <w:jc w:val="right"/>
              <w:rPr>
                <w:rFonts w:ascii="Arial" w:hAnsi="Arial" w:cs="Arial" w:eastAsia="Arial" w:hint="default"/>
                <w:sz w:val="20"/>
                <w:szCs w:val="20"/>
              </w:rPr>
            </w:pPr>
            <w:r>
              <w:rPr>
                <w:rFonts w:ascii="Arial"/>
                <w:w w:val="99"/>
                <w:sz w:val="20"/>
              </w:rPr>
              <w:t>3</w:t>
            </w:r>
            <w:r>
              <w:rPr>
                <w:rFonts w:ascii="Arial"/>
                <w:sz w:val="20"/>
              </w:rPr>
            </w:r>
          </w:p>
        </w:tc>
      </w:tr>
      <w:tr>
        <w:trPr>
          <w:trHeight w:val="256" w:hRule="exact"/>
        </w:trPr>
        <w:tc>
          <w:tcPr>
            <w:tcW w:w="2768" w:type="dxa"/>
            <w:tcBorders>
              <w:top w:val="nil" w:sz="6" w:space="0" w:color="auto"/>
              <w:left w:val="nil" w:sz="6" w:space="0" w:color="auto"/>
              <w:bottom w:val="nil" w:sz="6" w:space="0" w:color="auto"/>
              <w:right w:val="nil" w:sz="6" w:space="0" w:color="auto"/>
            </w:tcBorders>
          </w:tcPr>
          <w:p>
            <w:pPr>
              <w:pStyle w:val="TableParagraph"/>
              <w:spacing w:line="223" w:lineRule="exact"/>
              <w:ind w:left="387" w:right="0"/>
              <w:jc w:val="left"/>
              <w:rPr>
                <w:rFonts w:ascii="黑体" w:hAnsi="黑体" w:cs="黑体" w:eastAsia="黑体" w:hint="default"/>
                <w:sz w:val="20"/>
                <w:szCs w:val="20"/>
              </w:rPr>
            </w:pPr>
            <w:r>
              <w:rPr>
                <w:rFonts w:ascii="黑体" w:hAnsi="黑体" w:cs="黑体" w:eastAsia="黑体" w:hint="default"/>
                <w:sz w:val="20"/>
                <w:szCs w:val="20"/>
              </w:rPr>
              <w:t>用友新道</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7"/>
              <w:ind w:left="407" w:right="0"/>
              <w:jc w:val="left"/>
              <w:rPr>
                <w:rFonts w:ascii="Arial" w:hAnsi="Arial" w:cs="Arial" w:eastAsia="Arial" w:hint="default"/>
                <w:sz w:val="20"/>
                <w:szCs w:val="20"/>
              </w:rPr>
            </w:pPr>
            <w:r>
              <w:rPr>
                <w:rFonts w:ascii="Arial"/>
                <w:sz w:val="20"/>
              </w:rPr>
              <w:t>4,296,120</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20"/>
                <w:szCs w:val="20"/>
              </w:rPr>
            </w:pPr>
            <w:r>
              <w:rPr>
                <w:rFonts w:ascii="Arial"/>
                <w:w w:val="99"/>
                <w:sz w:val="20"/>
              </w:rPr>
              <w:t>2</w:t>
            </w:r>
            <w:r>
              <w:rPr>
                <w:rFonts w:ascii="Arial"/>
                <w:sz w:val="20"/>
              </w:rPr>
            </w:r>
          </w:p>
        </w:tc>
        <w:tc>
          <w:tcPr>
            <w:tcW w:w="425"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6"/>
              <w:jc w:val="right"/>
              <w:rPr>
                <w:rFonts w:ascii="Arial" w:hAnsi="Arial" w:cs="Arial" w:eastAsia="Arial" w:hint="default"/>
                <w:sz w:val="20"/>
                <w:szCs w:val="20"/>
              </w:rPr>
            </w:pPr>
            <w:r>
              <w:rPr>
                <w:rFonts w:ascii="Arial"/>
                <w:spacing w:val="-1"/>
                <w:sz w:val="20"/>
              </w:rPr>
              <w:t>5,982,906</w:t>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1"/>
              <w:jc w:val="right"/>
              <w:rPr>
                <w:rFonts w:ascii="Arial" w:hAnsi="Arial" w:cs="Arial" w:eastAsia="Arial" w:hint="default"/>
                <w:sz w:val="20"/>
                <w:szCs w:val="20"/>
              </w:rPr>
            </w:pPr>
            <w:r>
              <w:rPr>
                <w:rFonts w:ascii="Arial"/>
                <w:w w:val="99"/>
                <w:sz w:val="20"/>
              </w:rPr>
              <w:t>2</w:t>
            </w:r>
            <w:r>
              <w:rPr>
                <w:rFonts w:ascii="Arial"/>
                <w:sz w:val="20"/>
              </w:rPr>
            </w:r>
          </w:p>
        </w:tc>
      </w:tr>
      <w:tr>
        <w:trPr>
          <w:trHeight w:val="232" w:hRule="exact"/>
        </w:trPr>
        <w:tc>
          <w:tcPr>
            <w:tcW w:w="2768" w:type="dxa"/>
            <w:tcBorders>
              <w:top w:val="nil" w:sz="6" w:space="0" w:color="auto"/>
              <w:left w:val="nil" w:sz="6" w:space="0" w:color="auto"/>
              <w:bottom w:val="nil" w:sz="6" w:space="0" w:color="auto"/>
              <w:right w:val="nil" w:sz="6" w:space="0" w:color="auto"/>
            </w:tcBorders>
          </w:tcPr>
          <w:p>
            <w:pPr>
              <w:pStyle w:val="TableParagraph"/>
              <w:spacing w:line="222" w:lineRule="exact"/>
              <w:ind w:left="387" w:right="0"/>
              <w:jc w:val="left"/>
              <w:rPr>
                <w:rFonts w:ascii="黑体" w:hAnsi="黑体" w:cs="黑体" w:eastAsia="黑体" w:hint="default"/>
                <w:sz w:val="20"/>
                <w:szCs w:val="20"/>
              </w:rPr>
            </w:pPr>
            <w:r>
              <w:rPr>
                <w:rFonts w:ascii="黑体" w:hAnsi="黑体" w:cs="黑体" w:eastAsia="黑体" w:hint="default"/>
                <w:sz w:val="20"/>
                <w:szCs w:val="20"/>
              </w:rPr>
              <w:t>用友医疗</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6"/>
              <w:ind w:left="407" w:right="0"/>
              <w:jc w:val="left"/>
              <w:rPr>
                <w:rFonts w:ascii="Arial" w:hAnsi="Arial" w:cs="Arial" w:eastAsia="Arial" w:hint="default"/>
                <w:sz w:val="20"/>
                <w:szCs w:val="20"/>
              </w:rPr>
            </w:pPr>
            <w:r>
              <w:rPr>
                <w:rFonts w:ascii="Arial"/>
                <w:sz w:val="20"/>
              </w:rPr>
              <w:t>2,746,470</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Arial" w:hAnsi="Arial" w:cs="Arial" w:eastAsia="Arial" w:hint="default"/>
                <w:sz w:val="20"/>
                <w:szCs w:val="20"/>
              </w:rPr>
            </w:pPr>
            <w:r>
              <w:rPr>
                <w:rFonts w:ascii="Arial"/>
                <w:w w:val="99"/>
                <w:sz w:val="20"/>
              </w:rPr>
              <w:t>1</w:t>
            </w:r>
            <w:r>
              <w:rPr>
                <w:rFonts w:ascii="Arial"/>
                <w:sz w:val="20"/>
              </w:rPr>
            </w:r>
          </w:p>
        </w:tc>
        <w:tc>
          <w:tcPr>
            <w:tcW w:w="425"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6"/>
              <w:jc w:val="right"/>
              <w:rPr>
                <w:rFonts w:ascii="Arial" w:hAnsi="Arial" w:cs="Arial" w:eastAsia="Arial" w:hint="default"/>
                <w:sz w:val="20"/>
                <w:szCs w:val="20"/>
              </w:rPr>
            </w:pPr>
            <w:r>
              <w:rPr>
                <w:rFonts w:ascii="Arial"/>
                <w:spacing w:val="-1"/>
                <w:sz w:val="20"/>
              </w:rPr>
              <w:t>1,997,825</w:t>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1"/>
              <w:jc w:val="right"/>
              <w:rPr>
                <w:rFonts w:ascii="Arial" w:hAnsi="Arial" w:cs="Arial" w:eastAsia="Arial" w:hint="default"/>
                <w:sz w:val="20"/>
                <w:szCs w:val="20"/>
              </w:rPr>
            </w:pPr>
            <w:r>
              <w:rPr>
                <w:rFonts w:ascii="Arial"/>
                <w:w w:val="99"/>
                <w:sz w:val="20"/>
              </w:rPr>
              <w:t>1</w:t>
            </w:r>
            <w:r>
              <w:rPr>
                <w:rFonts w:ascii="Arial"/>
                <w:sz w:val="20"/>
              </w:rPr>
            </w:r>
          </w:p>
        </w:tc>
      </w:tr>
      <w:tr>
        <w:trPr>
          <w:trHeight w:val="554" w:hRule="exact"/>
        </w:trPr>
        <w:tc>
          <w:tcPr>
            <w:tcW w:w="2768" w:type="dxa"/>
            <w:tcBorders>
              <w:top w:val="nil" w:sz="6" w:space="0" w:color="auto"/>
              <w:left w:val="nil" w:sz="6" w:space="0" w:color="auto"/>
              <w:bottom w:val="nil" w:sz="6" w:space="0" w:color="auto"/>
              <w:right w:val="nil" w:sz="6" w:space="0" w:color="auto"/>
            </w:tcBorders>
          </w:tcPr>
          <w:p>
            <w:pPr>
              <w:pStyle w:val="TableParagraph"/>
              <w:spacing w:line="200" w:lineRule="exact" w:before="1"/>
              <w:ind w:left="464" w:right="703" w:hanging="77"/>
              <w:jc w:val="left"/>
              <w:rPr>
                <w:rFonts w:ascii="Arial" w:hAnsi="Arial" w:cs="Arial" w:eastAsia="Arial" w:hint="default"/>
                <w:sz w:val="20"/>
                <w:szCs w:val="20"/>
              </w:rPr>
            </w:pPr>
            <w:r>
              <w:rPr>
                <w:rFonts w:ascii="Arial"/>
                <w:sz w:val="20"/>
              </w:rPr>
              <w:t>YONYOU</w:t>
            </w:r>
            <w:r>
              <w:rPr>
                <w:rFonts w:ascii="Arial"/>
                <w:w w:val="99"/>
                <w:sz w:val="20"/>
              </w:rPr>
              <w:t> </w:t>
            </w:r>
            <w:r>
              <w:rPr>
                <w:rFonts w:ascii="Arial"/>
                <w:w w:val="95"/>
                <w:sz w:val="20"/>
              </w:rPr>
              <w:t>INTERNATIONAL</w:t>
            </w:r>
            <w:r>
              <w:rPr>
                <w:rFonts w:ascii="Arial"/>
                <w:sz w:val="20"/>
              </w:rPr>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208" w:right="0"/>
              <w:jc w:val="lef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1"/>
                <w:sz w:val="20"/>
                <w:u w:val="single" w:color="000000"/>
              </w:rPr>
              <w:t> </w:t>
            </w:r>
            <w:r>
              <w:rPr>
                <w:rFonts w:ascii="Arial"/>
                <w:sz w:val="20"/>
                <w:u w:val="single" w:color="000000"/>
              </w:rPr>
              <w:t>9,328,211</w:t>
            </w:r>
            <w:r>
              <w:rPr>
                <w:rFonts w:ascii="Arial"/>
                <w:sz w:val="20"/>
              </w:rPr>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33"/>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1"/>
                <w:sz w:val="20"/>
                <w:u w:val="single" w:color="000000"/>
              </w:rPr>
              <w:t> </w:t>
            </w:r>
            <w:r>
              <w:rPr>
                <w:rFonts w:ascii="Arial"/>
                <w:w w:val="95"/>
                <w:sz w:val="20"/>
                <w:u w:val="single" w:color="000000"/>
              </w:rPr>
              <w:t>5</w:t>
            </w:r>
            <w:r>
              <w:rPr>
                <w:rFonts w:ascii="Arial"/>
                <w:w w:val="95"/>
                <w:sz w:val="20"/>
              </w:rPr>
            </w:r>
            <w:r>
              <w:rPr>
                <w:rFonts w:ascii="Arial"/>
                <w:sz w:val="20"/>
              </w:rPr>
            </w:r>
          </w:p>
        </w:tc>
        <w:tc>
          <w:tcPr>
            <w:tcW w:w="425"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Style w:val="TableParagraph"/>
              <w:tabs>
                <w:tab w:pos="1000" w:val="left" w:leader="none"/>
              </w:tabs>
              <w:spacing w:line="240" w:lineRule="auto" w:before="173"/>
              <w:ind w:right="52"/>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30"/>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1"/>
                <w:sz w:val="20"/>
                <w:u w:val="single" w:color="000000"/>
              </w:rPr>
              <w:t> </w:t>
            </w:r>
            <w:r>
              <w:rPr>
                <w:rFonts w:ascii="Arial"/>
                <w:w w:val="95"/>
                <w:sz w:val="20"/>
                <w:u w:val="single" w:color="000000"/>
              </w:rPr>
              <w:t>-</w:t>
            </w:r>
            <w:r>
              <w:rPr>
                <w:rFonts w:ascii="Arial"/>
                <w:w w:val="95"/>
                <w:sz w:val="20"/>
              </w:rPr>
            </w:r>
            <w:r>
              <w:rPr>
                <w:rFonts w:ascii="Arial"/>
                <w:sz w:val="20"/>
              </w:rPr>
            </w:r>
          </w:p>
        </w:tc>
      </w:tr>
      <w:tr>
        <w:trPr>
          <w:trHeight w:val="505" w:hRule="exact"/>
        </w:trPr>
        <w:tc>
          <w:tcPr>
            <w:tcW w:w="2768" w:type="dxa"/>
            <w:tcBorders>
              <w:top w:val="nil" w:sz="6" w:space="0" w:color="auto"/>
              <w:left w:val="nil" w:sz="6" w:space="0" w:color="auto"/>
              <w:bottom w:val="nil" w:sz="6" w:space="0" w:color="auto"/>
              <w:right w:val="nil" w:sz="6" w:space="0" w:color="auto"/>
            </w:tcBorders>
          </w:tcPr>
          <w:p>
            <w:pP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87" w:right="0"/>
              <w:jc w:val="left"/>
              <w:rPr>
                <w:rFonts w:ascii="Arial" w:hAnsi="Arial" w:cs="Arial" w:eastAsia="Arial" w:hint="default"/>
                <w:sz w:val="20"/>
                <w:szCs w:val="20"/>
              </w:rPr>
            </w:pPr>
            <w:r>
              <w:rPr>
                <w:rFonts w:ascii="Arial"/>
                <w:w w:val="99"/>
                <w:sz w:val="20"/>
              </w:rPr>
            </w:r>
            <w:r>
              <w:rPr>
                <w:rFonts w:ascii="Arial"/>
                <w:sz w:val="20"/>
                <w:u w:val="single" w:color="000000"/>
              </w:rPr>
              <w:t>214,518,851</w:t>
            </w:r>
            <w:r>
              <w:rPr>
                <w:rFonts w:ascii="Arial"/>
                <w:sz w:val="20"/>
              </w:rPr>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6"/>
              <w:jc w:val="right"/>
              <w:rPr>
                <w:rFonts w:ascii="Arial" w:hAnsi="Arial" w:cs="Arial" w:eastAsia="Arial" w:hint="default"/>
                <w:sz w:val="20"/>
                <w:szCs w:val="20"/>
              </w:rPr>
            </w:pPr>
            <w:r>
              <w:rPr>
                <w:rFonts w:ascii="Arial"/>
                <w:w w:val="99"/>
                <w:sz w:val="20"/>
              </w:rPr>
            </w:r>
            <w:r>
              <w:rPr>
                <w:rFonts w:ascii="Arial"/>
                <w:spacing w:val="-1"/>
                <w:w w:val="95"/>
                <w:sz w:val="20"/>
                <w:u w:val="single" w:color="000000"/>
              </w:rPr>
              <w:t>100</w:t>
            </w:r>
            <w:r>
              <w:rPr>
                <w:rFonts w:ascii="Arial"/>
                <w:spacing w:val="-1"/>
                <w:w w:val="95"/>
                <w:sz w:val="20"/>
              </w:rPr>
            </w:r>
            <w:r>
              <w:rPr>
                <w:rFonts w:ascii="Arial"/>
                <w:sz w:val="20"/>
              </w:rPr>
            </w:r>
          </w:p>
        </w:tc>
        <w:tc>
          <w:tcPr>
            <w:tcW w:w="425"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56"/>
              <w:jc w:val="right"/>
              <w:rPr>
                <w:rFonts w:ascii="Arial" w:hAnsi="Arial" w:cs="Arial" w:eastAsia="Arial" w:hint="default"/>
                <w:sz w:val="20"/>
                <w:szCs w:val="20"/>
              </w:rPr>
            </w:pPr>
            <w:r>
              <w:rPr>
                <w:rFonts w:ascii="Arial"/>
                <w:w w:val="99"/>
                <w:sz w:val="20"/>
              </w:rPr>
            </w:r>
            <w:r>
              <w:rPr>
                <w:rFonts w:ascii="Arial"/>
                <w:spacing w:val="-1"/>
                <w:sz w:val="20"/>
                <w:u w:val="single" w:color="000000"/>
              </w:rPr>
              <w:t>254,044,972</w:t>
            </w:r>
            <w:r>
              <w:rPr>
                <w:rFonts w:ascii="Arial"/>
                <w:spacing w:val="-1"/>
                <w:sz w:val="20"/>
              </w:rPr>
            </w:r>
            <w:r>
              <w:rPr>
                <w:rFonts w:ascii="Arial"/>
                <w:sz w:val="20"/>
              </w:rPr>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4"/>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8"/>
                <w:sz w:val="20"/>
                <w:u w:val="single" w:color="000000"/>
              </w:rPr>
              <w:t> </w:t>
            </w:r>
            <w:r>
              <w:rPr>
                <w:rFonts w:ascii="Arial"/>
                <w:spacing w:val="-1"/>
                <w:w w:val="95"/>
                <w:sz w:val="20"/>
                <w:u w:val="single" w:color="000000"/>
              </w:rPr>
              <w:t>99</w:t>
            </w:r>
            <w:r>
              <w:rPr>
                <w:rFonts w:ascii="Arial"/>
                <w:spacing w:val="-1"/>
                <w:w w:val="95"/>
                <w:sz w:val="20"/>
              </w:rPr>
            </w:r>
            <w:r>
              <w:rPr>
                <w:rFonts w:ascii="Arial"/>
                <w:sz w:val="20"/>
              </w:rPr>
            </w:r>
          </w:p>
        </w:tc>
      </w:tr>
      <w:tr>
        <w:trPr>
          <w:trHeight w:val="515" w:hRule="exact"/>
        </w:trPr>
        <w:tc>
          <w:tcPr>
            <w:tcW w:w="2768" w:type="dxa"/>
            <w:tcBorders>
              <w:top w:val="nil" w:sz="6" w:space="0" w:color="auto"/>
              <w:left w:val="nil" w:sz="6" w:space="0" w:color="auto"/>
              <w:bottom w:val="nil" w:sz="6" w:space="0" w:color="auto"/>
              <w:right w:val="nil" w:sz="6" w:space="0" w:color="auto"/>
            </w:tcBorders>
          </w:tcPr>
          <w:p>
            <w:pPr>
              <w:pStyle w:val="TableParagraph"/>
              <w:spacing w:line="240" w:lineRule="auto" w:before="87"/>
              <w:ind w:left="307" w:right="0"/>
              <w:jc w:val="left"/>
              <w:rPr>
                <w:rFonts w:ascii="黑体" w:hAnsi="黑体" w:cs="黑体" w:eastAsia="黑体" w:hint="default"/>
                <w:sz w:val="20"/>
                <w:szCs w:val="20"/>
              </w:rPr>
            </w:pPr>
            <w:r>
              <w:rPr>
                <w:rFonts w:ascii="黑体" w:hAnsi="黑体" w:cs="黑体" w:eastAsia="黑体" w:hint="default"/>
                <w:sz w:val="20"/>
                <w:szCs w:val="20"/>
              </w:rPr>
              <w:t>致远协创</w:t>
            </w:r>
          </w:p>
        </w:tc>
        <w:tc>
          <w:tcPr>
            <w:tcW w:w="1826" w:type="dxa"/>
            <w:tcBorders>
              <w:top w:val="nil" w:sz="6" w:space="0" w:color="auto"/>
              <w:left w:val="nil" w:sz="6" w:space="0" w:color="auto"/>
              <w:bottom w:val="nil" w:sz="6" w:space="0" w:color="auto"/>
              <w:right w:val="nil" w:sz="6" w:space="0" w:color="auto"/>
            </w:tcBorders>
          </w:tcPr>
          <w:p>
            <w:pPr>
              <w:pStyle w:val="TableParagraph"/>
              <w:tabs>
                <w:tab w:pos="1233" w:val="left" w:leader="none"/>
              </w:tabs>
              <w:spacing w:line="240" w:lineRule="auto" w:before="133"/>
              <w:ind w:left="232" w:right="0"/>
              <w:jc w:val="lef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t>-</w:t>
            </w:r>
            <w:r>
              <w:rPr>
                <w:rFonts w:ascii="Arial"/>
                <w:sz w:val="20"/>
              </w:rPr>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2"/>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0"/>
                <w:sz w:val="20"/>
                <w:u w:val="single" w:color="000000"/>
              </w:rPr>
              <w:t> </w:t>
            </w:r>
            <w:r>
              <w:rPr>
                <w:rFonts w:ascii="Arial"/>
                <w:w w:val="95"/>
                <w:sz w:val="20"/>
                <w:u w:val="single" w:color="000000"/>
              </w:rPr>
              <w:t>-</w:t>
            </w:r>
            <w:r>
              <w:rPr>
                <w:rFonts w:ascii="Arial"/>
                <w:w w:val="95"/>
                <w:sz w:val="20"/>
              </w:rPr>
            </w:r>
            <w:r>
              <w:rPr>
                <w:rFonts w:ascii="Arial"/>
                <w:sz w:val="20"/>
              </w:rPr>
            </w:r>
          </w:p>
        </w:tc>
        <w:tc>
          <w:tcPr>
            <w:tcW w:w="425"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40" w:lineRule="auto" w:before="133"/>
              <w:ind w:right="56"/>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8,700</w:t>
            </w:r>
            <w:r>
              <w:rPr>
                <w:rFonts w:ascii="Arial"/>
                <w:spacing w:val="-1"/>
                <w:w w:val="95"/>
                <w:sz w:val="20"/>
              </w:rPr>
            </w:r>
            <w:r>
              <w:rPr>
                <w:rFonts w:ascii="Arial"/>
                <w:sz w:val="20"/>
              </w:rPr>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4"/>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2"/>
                <w:w w:val="95"/>
                <w:sz w:val="20"/>
                <w:u w:val="single" w:color="000000"/>
              </w:rPr>
              <w:t>&lt;1</w:t>
            </w:r>
            <w:r>
              <w:rPr>
                <w:rFonts w:ascii="Arial"/>
                <w:spacing w:val="-2"/>
                <w:w w:val="95"/>
                <w:sz w:val="20"/>
              </w:rPr>
            </w:r>
            <w:r>
              <w:rPr>
                <w:rFonts w:ascii="Arial"/>
                <w:sz w:val="20"/>
              </w:rPr>
            </w:r>
          </w:p>
        </w:tc>
      </w:tr>
      <w:tr>
        <w:trPr>
          <w:trHeight w:val="355" w:hRule="exact"/>
        </w:trPr>
        <w:tc>
          <w:tcPr>
            <w:tcW w:w="2768" w:type="dxa"/>
            <w:tcBorders>
              <w:top w:val="nil" w:sz="6" w:space="0" w:color="auto"/>
              <w:left w:val="nil" w:sz="6" w:space="0" w:color="auto"/>
              <w:bottom w:val="nil" w:sz="6" w:space="0" w:color="auto"/>
              <w:right w:val="nil" w:sz="6" w:space="0" w:color="auto"/>
            </w:tcBorders>
          </w:tcPr>
          <w:p>
            <w:pP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87" w:right="0"/>
              <w:jc w:val="left"/>
              <w:rPr>
                <w:rFonts w:ascii="Arial" w:hAnsi="Arial" w:cs="Arial" w:eastAsia="Arial" w:hint="default"/>
                <w:sz w:val="20"/>
                <w:szCs w:val="20"/>
              </w:rPr>
            </w:pPr>
            <w:r>
              <w:rPr>
                <w:rFonts w:ascii="Arial"/>
                <w:w w:val="99"/>
                <w:sz w:val="20"/>
              </w:rPr>
            </w:r>
            <w:r>
              <w:rPr>
                <w:rFonts w:ascii="Arial"/>
                <w:sz w:val="20"/>
                <w:u w:val="thick" w:color="000000"/>
              </w:rPr>
              <w:t>214,518,851</w:t>
            </w:r>
            <w:r>
              <w:rPr>
                <w:rFonts w:ascii="Arial"/>
                <w:sz w:val="20"/>
              </w:rPr>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6"/>
              <w:jc w:val="right"/>
              <w:rPr>
                <w:rFonts w:ascii="Arial" w:hAnsi="Arial" w:cs="Arial" w:eastAsia="Arial" w:hint="default"/>
                <w:sz w:val="20"/>
                <w:szCs w:val="20"/>
              </w:rPr>
            </w:pPr>
            <w:r>
              <w:rPr>
                <w:rFonts w:ascii="Arial"/>
                <w:w w:val="99"/>
                <w:sz w:val="20"/>
              </w:rPr>
            </w:r>
            <w:r>
              <w:rPr>
                <w:rFonts w:ascii="Arial"/>
                <w:spacing w:val="-1"/>
                <w:w w:val="95"/>
                <w:sz w:val="20"/>
                <w:u w:val="thick" w:color="000000"/>
              </w:rPr>
              <w:t>100</w:t>
            </w:r>
            <w:r>
              <w:rPr>
                <w:rFonts w:ascii="Arial"/>
                <w:spacing w:val="-1"/>
                <w:w w:val="95"/>
                <w:sz w:val="20"/>
              </w:rPr>
            </w:r>
            <w:r>
              <w:rPr>
                <w:rFonts w:ascii="Arial"/>
                <w:sz w:val="20"/>
              </w:rPr>
            </w:r>
          </w:p>
        </w:tc>
        <w:tc>
          <w:tcPr>
            <w:tcW w:w="425" w:type="dxa"/>
            <w:tcBorders>
              <w:top w:val="nil" w:sz="6" w:space="0" w:color="auto"/>
              <w:left w:val="nil" w:sz="6" w:space="0" w:color="auto"/>
              <w:bottom w:val="nil" w:sz="6" w:space="0" w:color="auto"/>
              <w:right w:val="nil" w:sz="6" w:space="0" w:color="auto"/>
            </w:tcBorders>
          </w:tcPr>
          <w:p>
            <w:pP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56"/>
              <w:jc w:val="right"/>
              <w:rPr>
                <w:rFonts w:ascii="Arial" w:hAnsi="Arial" w:cs="Arial" w:eastAsia="Arial" w:hint="default"/>
                <w:sz w:val="20"/>
                <w:szCs w:val="20"/>
              </w:rPr>
            </w:pPr>
            <w:r>
              <w:rPr>
                <w:rFonts w:ascii="Arial"/>
                <w:w w:val="99"/>
                <w:sz w:val="20"/>
              </w:rPr>
            </w:r>
            <w:r>
              <w:rPr>
                <w:rFonts w:ascii="Arial"/>
                <w:spacing w:val="-1"/>
                <w:sz w:val="20"/>
                <w:u w:val="thick" w:color="000000"/>
              </w:rPr>
              <w:t>254,053,672</w:t>
            </w:r>
            <w:r>
              <w:rPr>
                <w:rFonts w:ascii="Arial"/>
                <w:spacing w:val="-1"/>
                <w:sz w:val="20"/>
              </w:rPr>
            </w:r>
            <w:r>
              <w:rPr>
                <w:rFonts w:ascii="Arial"/>
                <w:sz w:val="20"/>
              </w:rPr>
            </w:r>
          </w:p>
        </w:tc>
        <w:tc>
          <w:tcPr>
            <w:tcW w:w="798"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4"/>
              <w:jc w:val="right"/>
              <w:rPr>
                <w:rFonts w:ascii="Arial" w:hAnsi="Arial" w:cs="Arial" w:eastAsia="Arial" w:hint="default"/>
                <w:sz w:val="20"/>
                <w:szCs w:val="20"/>
              </w:rPr>
            </w:pPr>
            <w:r>
              <w:rPr>
                <w:rFonts w:ascii="Arial"/>
                <w:w w:val="99"/>
                <w:sz w:val="20"/>
              </w:rPr>
            </w:r>
            <w:r>
              <w:rPr>
                <w:rFonts w:ascii="Arial"/>
                <w:spacing w:val="-1"/>
                <w:w w:val="95"/>
                <w:sz w:val="20"/>
                <w:u w:val="thick" w:color="000000"/>
              </w:rPr>
              <w:t>100</w:t>
            </w:r>
            <w:r>
              <w:rPr>
                <w:rFonts w:ascii="Arial"/>
                <w:spacing w:val="-1"/>
                <w:w w:val="95"/>
                <w:sz w:val="20"/>
              </w:rPr>
            </w:r>
            <w:r>
              <w:rPr>
                <w:rFonts w:ascii="Arial"/>
                <w:sz w:val="20"/>
              </w:rPr>
            </w:r>
          </w:p>
        </w:tc>
      </w:tr>
    </w:tbl>
    <w:p>
      <w:pPr>
        <w:spacing w:line="240" w:lineRule="auto" w:before="0"/>
        <w:rPr>
          <w:rFonts w:ascii="黑体" w:hAnsi="黑体" w:cs="黑体" w:eastAsia="黑体" w:hint="default"/>
          <w:sz w:val="7"/>
          <w:szCs w:val="7"/>
        </w:rPr>
      </w:pPr>
    </w:p>
    <w:p>
      <w:pPr>
        <w:pStyle w:val="BodyText"/>
        <w:spacing w:line="240" w:lineRule="auto" w:before="37"/>
        <w:ind w:left="809" w:right="0"/>
        <w:jc w:val="left"/>
      </w:pPr>
      <w:r>
        <w:rPr>
          <w:rFonts w:ascii="Arial" w:hAnsi="Arial" w:cs="Arial" w:eastAsia="Arial" w:hint="default"/>
        </w:rPr>
        <w:t>(2)  </w:t>
      </w:r>
      <w:r>
        <w:rPr/>
        <w:t>关联方租赁</w:t>
      </w:r>
    </w:p>
    <w:p>
      <w:pPr>
        <w:pStyle w:val="BodyText"/>
        <w:spacing w:line="240" w:lineRule="auto" w:before="122"/>
        <w:ind w:right="0"/>
        <w:jc w:val="left"/>
      </w:pPr>
      <w:r>
        <w:rPr>
          <w:rFonts w:ascii="Arial" w:hAnsi="Arial" w:cs="Arial" w:eastAsia="Arial" w:hint="default"/>
        </w:rPr>
        <w:t>2012</w:t>
      </w:r>
      <w:r>
        <w:rPr/>
        <w:t>年</w:t>
      </w:r>
    </w:p>
    <w:p>
      <w:pPr>
        <w:spacing w:line="240" w:lineRule="auto" w:before="4"/>
        <w:rPr>
          <w:rFonts w:ascii="黑体" w:hAnsi="黑体" w:cs="黑体" w:eastAsia="黑体" w:hint="default"/>
          <w:sz w:val="3"/>
          <w:szCs w:val="3"/>
        </w:rPr>
      </w:pPr>
    </w:p>
    <w:tbl>
      <w:tblPr>
        <w:tblW w:w="0" w:type="auto"/>
        <w:jc w:val="left"/>
        <w:tblInd w:w="604" w:type="dxa"/>
        <w:tblLayout w:type="fixed"/>
        <w:tblCellMar>
          <w:top w:w="0" w:type="dxa"/>
          <w:left w:w="0" w:type="dxa"/>
          <w:bottom w:w="0" w:type="dxa"/>
          <w:right w:w="0" w:type="dxa"/>
        </w:tblCellMar>
        <w:tblLook w:val="01E0"/>
      </w:tblPr>
      <w:tblGrid>
        <w:gridCol w:w="1293"/>
        <w:gridCol w:w="2215"/>
        <w:gridCol w:w="1602"/>
        <w:gridCol w:w="1834"/>
        <w:gridCol w:w="1438"/>
      </w:tblGrid>
      <w:tr>
        <w:trPr>
          <w:trHeight w:val="227" w:hRule="exact"/>
        </w:trPr>
        <w:tc>
          <w:tcPr>
            <w:tcW w:w="1293" w:type="dxa"/>
            <w:tcBorders>
              <w:top w:val="nil" w:sz="6" w:space="0" w:color="auto"/>
              <w:left w:val="nil" w:sz="6" w:space="0" w:color="auto"/>
              <w:bottom w:val="nil" w:sz="6" w:space="0" w:color="auto"/>
              <w:right w:val="nil" w:sz="6" w:space="0" w:color="auto"/>
            </w:tcBorders>
          </w:tcPr>
          <w:p>
            <w:pPr/>
          </w:p>
        </w:tc>
        <w:tc>
          <w:tcPr>
            <w:tcW w:w="2215" w:type="dxa"/>
            <w:tcBorders>
              <w:top w:val="nil" w:sz="6" w:space="0" w:color="auto"/>
              <w:left w:val="nil" w:sz="6" w:space="0" w:color="auto"/>
              <w:bottom w:val="nil" w:sz="6" w:space="0" w:color="auto"/>
              <w:right w:val="nil" w:sz="6" w:space="0" w:color="auto"/>
            </w:tcBorders>
          </w:tcPr>
          <w:p>
            <w:pPr>
              <w:pStyle w:val="TableParagraph"/>
              <w:spacing w:line="199" w:lineRule="exact"/>
              <w:ind w:right="119"/>
              <w:jc w:val="right"/>
              <w:rPr>
                <w:rFonts w:ascii="黑体" w:hAnsi="黑体" w:cs="黑体" w:eastAsia="黑体" w:hint="default"/>
                <w:sz w:val="20"/>
                <w:szCs w:val="20"/>
              </w:rPr>
            </w:pPr>
            <w:r>
              <w:rPr>
                <w:rFonts w:ascii="黑体" w:hAnsi="黑体" w:cs="黑体" w:eastAsia="黑体" w:hint="default"/>
                <w:w w:val="95"/>
                <w:sz w:val="20"/>
                <w:szCs w:val="20"/>
              </w:rPr>
              <w:t>租赁资产</w:t>
            </w:r>
            <w:r>
              <w:rPr>
                <w:rFonts w:ascii="黑体" w:hAnsi="黑体" w:cs="黑体" w:eastAsia="黑体" w:hint="default"/>
                <w:sz w:val="20"/>
                <w:szCs w:val="20"/>
              </w:rPr>
            </w:r>
          </w:p>
        </w:tc>
        <w:tc>
          <w:tcPr>
            <w:tcW w:w="1602" w:type="dxa"/>
            <w:tcBorders>
              <w:top w:val="nil" w:sz="6" w:space="0" w:color="auto"/>
              <w:left w:val="nil" w:sz="6" w:space="0" w:color="auto"/>
              <w:bottom w:val="nil" w:sz="6" w:space="0" w:color="auto"/>
              <w:right w:val="nil" w:sz="6" w:space="0" w:color="auto"/>
            </w:tcBorders>
          </w:tcPr>
          <w:p>
            <w:pPr>
              <w:pStyle w:val="TableParagraph"/>
              <w:spacing w:line="199" w:lineRule="exact"/>
              <w:ind w:right="103"/>
              <w:jc w:val="right"/>
              <w:rPr>
                <w:rFonts w:ascii="黑体" w:hAnsi="黑体" w:cs="黑体" w:eastAsia="黑体" w:hint="default"/>
                <w:sz w:val="20"/>
                <w:szCs w:val="20"/>
              </w:rPr>
            </w:pPr>
            <w:r>
              <w:rPr>
                <w:rFonts w:ascii="黑体" w:hAnsi="黑体" w:cs="黑体" w:eastAsia="黑体" w:hint="default"/>
                <w:w w:val="95"/>
                <w:sz w:val="20"/>
                <w:szCs w:val="20"/>
              </w:rPr>
              <w:t>租赁</w:t>
            </w:r>
            <w:r>
              <w:rPr>
                <w:rFonts w:ascii="黑体" w:hAnsi="黑体" w:cs="黑体" w:eastAsia="黑体" w:hint="default"/>
                <w:sz w:val="20"/>
                <w:szCs w:val="20"/>
              </w:rPr>
            </w:r>
          </w:p>
        </w:tc>
        <w:tc>
          <w:tcPr>
            <w:tcW w:w="1834" w:type="dxa"/>
            <w:tcBorders>
              <w:top w:val="nil" w:sz="6" w:space="0" w:color="auto"/>
              <w:left w:val="nil" w:sz="6" w:space="0" w:color="auto"/>
              <w:bottom w:val="nil" w:sz="6" w:space="0" w:color="auto"/>
              <w:right w:val="nil" w:sz="6" w:space="0" w:color="auto"/>
            </w:tcBorders>
          </w:tcPr>
          <w:p>
            <w:pPr>
              <w:pStyle w:val="TableParagraph"/>
              <w:spacing w:line="199" w:lineRule="exact"/>
              <w:ind w:right="239"/>
              <w:jc w:val="right"/>
              <w:rPr>
                <w:rFonts w:ascii="黑体" w:hAnsi="黑体" w:cs="黑体" w:eastAsia="黑体" w:hint="default"/>
                <w:sz w:val="20"/>
                <w:szCs w:val="20"/>
              </w:rPr>
            </w:pPr>
            <w:r>
              <w:rPr>
                <w:rFonts w:ascii="黑体" w:hAnsi="黑体" w:cs="黑体" w:eastAsia="黑体" w:hint="default"/>
                <w:w w:val="95"/>
                <w:sz w:val="20"/>
                <w:szCs w:val="20"/>
              </w:rPr>
              <w:t>租赁</w:t>
            </w:r>
            <w:r>
              <w:rPr>
                <w:rFonts w:ascii="黑体" w:hAnsi="黑体" w:cs="黑体" w:eastAsia="黑体" w:hint="default"/>
                <w:sz w:val="20"/>
                <w:szCs w:val="20"/>
              </w:rPr>
            </w:r>
          </w:p>
        </w:tc>
        <w:tc>
          <w:tcPr>
            <w:tcW w:w="1438" w:type="dxa"/>
            <w:tcBorders>
              <w:top w:val="nil" w:sz="6" w:space="0" w:color="auto"/>
              <w:left w:val="nil" w:sz="6" w:space="0" w:color="auto"/>
              <w:bottom w:val="nil" w:sz="6" w:space="0" w:color="auto"/>
              <w:right w:val="nil" w:sz="6" w:space="0" w:color="auto"/>
            </w:tcBorders>
          </w:tcPr>
          <w:p>
            <w:pPr>
              <w:pStyle w:val="TableParagraph"/>
              <w:spacing w:line="199" w:lineRule="exact"/>
              <w:ind w:right="198"/>
              <w:jc w:val="right"/>
              <w:rPr>
                <w:rFonts w:ascii="黑体" w:hAnsi="黑体" w:cs="黑体" w:eastAsia="黑体" w:hint="default"/>
                <w:sz w:val="20"/>
                <w:szCs w:val="20"/>
              </w:rPr>
            </w:pPr>
            <w:r>
              <w:rPr>
                <w:rFonts w:ascii="黑体" w:hAnsi="黑体" w:cs="黑体" w:eastAsia="黑体" w:hint="default"/>
                <w:w w:val="95"/>
                <w:sz w:val="20"/>
                <w:szCs w:val="20"/>
              </w:rPr>
              <w:t>年度确认的</w:t>
            </w:r>
            <w:r>
              <w:rPr>
                <w:rFonts w:ascii="黑体" w:hAnsi="黑体" w:cs="黑体" w:eastAsia="黑体" w:hint="default"/>
                <w:sz w:val="20"/>
                <w:szCs w:val="20"/>
              </w:rPr>
            </w:r>
          </w:p>
        </w:tc>
      </w:tr>
      <w:tr>
        <w:trPr>
          <w:trHeight w:val="382" w:hRule="exact"/>
        </w:trPr>
        <w:tc>
          <w:tcPr>
            <w:tcW w:w="1293" w:type="dxa"/>
            <w:tcBorders>
              <w:top w:val="nil" w:sz="6" w:space="0" w:color="auto"/>
              <w:left w:val="nil" w:sz="6" w:space="0" w:color="auto"/>
              <w:bottom w:val="nil" w:sz="6" w:space="0" w:color="auto"/>
              <w:right w:val="nil" w:sz="6" w:space="0" w:color="auto"/>
            </w:tcBorders>
          </w:tcPr>
          <w:p>
            <w:pPr/>
          </w:p>
        </w:tc>
        <w:tc>
          <w:tcPr>
            <w:tcW w:w="2215" w:type="dxa"/>
            <w:tcBorders>
              <w:top w:val="nil" w:sz="6" w:space="0" w:color="auto"/>
              <w:left w:val="nil" w:sz="6" w:space="0" w:color="auto"/>
              <w:bottom w:val="nil" w:sz="6" w:space="0" w:color="auto"/>
              <w:right w:val="nil" w:sz="6" w:space="0" w:color="auto"/>
            </w:tcBorders>
          </w:tcPr>
          <w:p>
            <w:pPr>
              <w:pStyle w:val="TableParagraph"/>
              <w:spacing w:line="227" w:lineRule="exact"/>
              <w:ind w:right="119"/>
              <w:jc w:val="right"/>
              <w:rPr>
                <w:rFonts w:ascii="黑体" w:hAnsi="黑体" w:cs="黑体" w:eastAsia="黑体" w:hint="default"/>
                <w:sz w:val="20"/>
                <w:szCs w:val="20"/>
              </w:rPr>
            </w:pPr>
            <w:r>
              <w:rPr>
                <w:rFonts w:ascii="黑体" w:hAnsi="黑体" w:cs="黑体" w:eastAsia="黑体" w:hint="default"/>
                <w:w w:val="95"/>
                <w:sz w:val="20"/>
                <w:szCs w:val="20"/>
              </w:rPr>
              <w:t>类型</w:t>
            </w:r>
            <w:r>
              <w:rPr>
                <w:rFonts w:ascii="黑体" w:hAnsi="黑体" w:cs="黑体" w:eastAsia="黑体" w:hint="default"/>
                <w:sz w:val="20"/>
                <w:szCs w:val="20"/>
              </w:rPr>
            </w:r>
          </w:p>
        </w:tc>
        <w:tc>
          <w:tcPr>
            <w:tcW w:w="1602" w:type="dxa"/>
            <w:tcBorders>
              <w:top w:val="nil" w:sz="6" w:space="0" w:color="auto"/>
              <w:left w:val="nil" w:sz="6" w:space="0" w:color="auto"/>
              <w:bottom w:val="nil" w:sz="6" w:space="0" w:color="auto"/>
              <w:right w:val="nil" w:sz="6" w:space="0" w:color="auto"/>
            </w:tcBorders>
          </w:tcPr>
          <w:p>
            <w:pPr>
              <w:pStyle w:val="TableParagraph"/>
              <w:spacing w:line="227" w:lineRule="exact"/>
              <w:ind w:right="103"/>
              <w:jc w:val="right"/>
              <w:rPr>
                <w:rFonts w:ascii="黑体" w:hAnsi="黑体" w:cs="黑体" w:eastAsia="黑体" w:hint="default"/>
                <w:sz w:val="20"/>
                <w:szCs w:val="20"/>
              </w:rPr>
            </w:pPr>
            <w:r>
              <w:rPr>
                <w:rFonts w:ascii="黑体" w:hAnsi="黑体" w:cs="黑体" w:eastAsia="黑体" w:hint="default"/>
                <w:w w:val="95"/>
                <w:sz w:val="20"/>
                <w:szCs w:val="20"/>
              </w:rPr>
              <w:t>起始日</w:t>
            </w:r>
            <w:r>
              <w:rPr>
                <w:rFonts w:ascii="黑体" w:hAnsi="黑体" w:cs="黑体" w:eastAsia="黑体" w:hint="default"/>
                <w:sz w:val="20"/>
                <w:szCs w:val="20"/>
              </w:rPr>
            </w:r>
          </w:p>
        </w:tc>
        <w:tc>
          <w:tcPr>
            <w:tcW w:w="1834" w:type="dxa"/>
            <w:tcBorders>
              <w:top w:val="nil" w:sz="6" w:space="0" w:color="auto"/>
              <w:left w:val="nil" w:sz="6" w:space="0" w:color="auto"/>
              <w:bottom w:val="nil" w:sz="6" w:space="0" w:color="auto"/>
              <w:right w:val="nil" w:sz="6" w:space="0" w:color="auto"/>
            </w:tcBorders>
          </w:tcPr>
          <w:p>
            <w:pPr>
              <w:pStyle w:val="TableParagraph"/>
              <w:spacing w:line="227" w:lineRule="exact"/>
              <w:ind w:right="239"/>
              <w:jc w:val="right"/>
              <w:rPr>
                <w:rFonts w:ascii="黑体" w:hAnsi="黑体" w:cs="黑体" w:eastAsia="黑体" w:hint="default"/>
                <w:sz w:val="20"/>
                <w:szCs w:val="20"/>
              </w:rPr>
            </w:pPr>
            <w:r>
              <w:rPr>
                <w:rFonts w:ascii="黑体" w:hAnsi="黑体" w:cs="黑体" w:eastAsia="黑体" w:hint="default"/>
                <w:w w:val="95"/>
                <w:sz w:val="20"/>
                <w:szCs w:val="20"/>
              </w:rPr>
              <w:t>终止日</w:t>
            </w:r>
            <w:r>
              <w:rPr>
                <w:rFonts w:ascii="黑体" w:hAnsi="黑体" w:cs="黑体" w:eastAsia="黑体" w:hint="default"/>
                <w:sz w:val="20"/>
                <w:szCs w:val="20"/>
              </w:rPr>
            </w:r>
          </w:p>
        </w:tc>
        <w:tc>
          <w:tcPr>
            <w:tcW w:w="1438" w:type="dxa"/>
            <w:tcBorders>
              <w:top w:val="nil" w:sz="6" w:space="0" w:color="auto"/>
              <w:left w:val="nil" w:sz="6" w:space="0" w:color="auto"/>
              <w:bottom w:val="nil" w:sz="6" w:space="0" w:color="auto"/>
              <w:right w:val="nil" w:sz="6" w:space="0" w:color="auto"/>
            </w:tcBorders>
          </w:tcPr>
          <w:p>
            <w:pPr>
              <w:pStyle w:val="TableParagraph"/>
              <w:spacing w:line="227" w:lineRule="exact"/>
              <w:ind w:right="198"/>
              <w:jc w:val="right"/>
              <w:rPr>
                <w:rFonts w:ascii="黑体" w:hAnsi="黑体" w:cs="黑体" w:eastAsia="黑体" w:hint="default"/>
                <w:sz w:val="20"/>
                <w:szCs w:val="20"/>
              </w:rPr>
            </w:pPr>
            <w:r>
              <w:rPr>
                <w:rFonts w:ascii="黑体" w:hAnsi="黑体" w:cs="黑体" w:eastAsia="黑体" w:hint="default"/>
                <w:w w:val="95"/>
                <w:sz w:val="20"/>
                <w:szCs w:val="20"/>
              </w:rPr>
              <w:t>租赁收益</w:t>
            </w:r>
            <w:r>
              <w:rPr>
                <w:rFonts w:ascii="黑体" w:hAnsi="黑体" w:cs="黑体" w:eastAsia="黑体" w:hint="default"/>
                <w:sz w:val="20"/>
                <w:szCs w:val="20"/>
              </w:rPr>
            </w:r>
          </w:p>
        </w:tc>
      </w:tr>
      <w:tr>
        <w:trPr>
          <w:trHeight w:val="388" w:hRule="exact"/>
        </w:trPr>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00" w:right="0"/>
              <w:jc w:val="left"/>
              <w:rPr>
                <w:rFonts w:ascii="黑体" w:hAnsi="黑体" w:cs="黑体" w:eastAsia="黑体" w:hint="default"/>
                <w:sz w:val="20"/>
                <w:szCs w:val="20"/>
              </w:rPr>
            </w:pPr>
            <w:r>
              <w:rPr>
                <w:rFonts w:ascii="黑体" w:hAnsi="黑体" w:cs="黑体" w:eastAsia="黑体" w:hint="default"/>
                <w:sz w:val="20"/>
                <w:szCs w:val="20"/>
              </w:rPr>
              <w:t>用友教育</w:t>
            </w:r>
          </w:p>
        </w:tc>
        <w:tc>
          <w:tcPr>
            <w:tcW w:w="221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19"/>
              <w:jc w:val="right"/>
              <w:rPr>
                <w:rFonts w:ascii="黑体" w:hAnsi="黑体" w:cs="黑体" w:eastAsia="黑体" w:hint="default"/>
                <w:sz w:val="20"/>
                <w:szCs w:val="20"/>
              </w:rPr>
            </w:pPr>
            <w:r>
              <w:rPr>
                <w:rFonts w:ascii="黑体" w:hAnsi="黑体" w:cs="黑体" w:eastAsia="黑体" w:hint="default"/>
                <w:w w:val="95"/>
                <w:sz w:val="20"/>
                <w:szCs w:val="20"/>
              </w:rPr>
              <w:t>用友软件园办公用房</w:t>
            </w:r>
            <w:r>
              <w:rPr>
                <w:rFonts w:ascii="黑体" w:hAnsi="黑体" w:cs="黑体" w:eastAsia="黑体" w:hint="default"/>
                <w:sz w:val="20"/>
                <w:szCs w:val="20"/>
              </w:rPr>
            </w:r>
          </w:p>
        </w:tc>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03"/>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r>
              <w:rPr>
                <w:rFonts w:ascii="Arial" w:hAnsi="Arial" w:cs="Arial" w:eastAsia="Arial" w:hint="default"/>
                <w:spacing w:val="-1"/>
                <w:sz w:val="20"/>
                <w:szCs w:val="20"/>
              </w:rPr>
              <w:t>5</w:t>
            </w:r>
            <w:r>
              <w:rPr>
                <w:rFonts w:ascii="黑体" w:hAnsi="黑体" w:cs="黑体" w:eastAsia="黑体" w:hint="default"/>
                <w:spacing w:val="-1"/>
                <w:sz w:val="20"/>
                <w:szCs w:val="20"/>
              </w:rPr>
              <w:t>月</w:t>
            </w:r>
            <w:r>
              <w:rPr>
                <w:rFonts w:ascii="Arial" w:hAnsi="Arial" w:cs="Arial" w:eastAsia="Arial" w:hint="default"/>
                <w:spacing w:val="-1"/>
                <w:sz w:val="20"/>
                <w:szCs w:val="20"/>
              </w:rPr>
              <w:t>1</w:t>
            </w:r>
            <w:r>
              <w:rPr>
                <w:rFonts w:ascii="黑体" w:hAnsi="黑体" w:cs="黑体" w:eastAsia="黑体" w:hint="default"/>
                <w:spacing w:val="-1"/>
                <w:sz w:val="20"/>
                <w:szCs w:val="20"/>
              </w:rPr>
              <w:t>日</w:t>
            </w:r>
          </w:p>
        </w:tc>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38"/>
              <w:jc w:val="right"/>
              <w:rPr>
                <w:rFonts w:ascii="黑体" w:hAnsi="黑体" w:cs="黑体" w:eastAsia="黑体" w:hint="default"/>
                <w:sz w:val="20"/>
                <w:szCs w:val="20"/>
              </w:rPr>
            </w:pPr>
            <w:r>
              <w:rPr>
                <w:rFonts w:ascii="Arial" w:hAnsi="Arial" w:cs="Arial" w:eastAsia="Arial" w:hint="default"/>
                <w:spacing w:val="-1"/>
                <w:sz w:val="20"/>
                <w:szCs w:val="20"/>
              </w:rPr>
              <w:t>2015</w:t>
            </w:r>
            <w:r>
              <w:rPr>
                <w:rFonts w:ascii="黑体" w:hAnsi="黑体" w:cs="黑体" w:eastAsia="黑体" w:hint="default"/>
                <w:spacing w:val="-1"/>
                <w:sz w:val="20"/>
                <w:szCs w:val="20"/>
              </w:rPr>
              <w:t>年</w:t>
            </w:r>
            <w:r>
              <w:rPr>
                <w:rFonts w:ascii="Arial" w:hAnsi="Arial" w:cs="Arial" w:eastAsia="Arial" w:hint="default"/>
                <w:spacing w:val="-1"/>
                <w:sz w:val="20"/>
                <w:szCs w:val="20"/>
              </w:rPr>
              <w:t>4</w:t>
            </w:r>
            <w:r>
              <w:rPr>
                <w:rFonts w:ascii="黑体" w:hAnsi="黑体" w:cs="黑体" w:eastAsia="黑体" w:hint="default"/>
                <w:spacing w:val="-1"/>
                <w:sz w:val="20"/>
                <w:szCs w:val="20"/>
              </w:rPr>
              <w:t>月</w:t>
            </w:r>
            <w:r>
              <w:rPr>
                <w:rFonts w:ascii="Arial" w:hAnsi="Arial" w:cs="Arial" w:eastAsia="Arial" w:hint="default"/>
                <w:spacing w:val="-1"/>
                <w:sz w:val="20"/>
                <w:szCs w:val="20"/>
              </w:rPr>
              <w:t>30</w:t>
            </w:r>
            <w:r>
              <w:rPr>
                <w:rFonts w:ascii="黑体" w:hAnsi="黑体" w:cs="黑体" w:eastAsia="黑体" w:hint="default"/>
                <w:spacing w:val="-1"/>
                <w:sz w:val="20"/>
                <w:szCs w:val="20"/>
              </w:rPr>
              <w:t>日</w:t>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198"/>
              <w:jc w:val="right"/>
              <w:rPr>
                <w:rFonts w:ascii="Arial" w:hAnsi="Arial" w:cs="Arial" w:eastAsia="Arial" w:hint="default"/>
                <w:sz w:val="20"/>
                <w:szCs w:val="20"/>
              </w:rPr>
            </w:pPr>
            <w:r>
              <w:rPr>
                <w:rFonts w:ascii="Arial"/>
                <w:spacing w:val="-1"/>
                <w:w w:val="95"/>
                <w:sz w:val="20"/>
              </w:rPr>
              <w:t>853,600</w:t>
            </w:r>
            <w:r>
              <w:rPr>
                <w:rFonts w:ascii="Arial"/>
                <w:sz w:val="20"/>
              </w:rPr>
            </w:r>
          </w:p>
        </w:tc>
      </w:tr>
      <w:tr>
        <w:trPr>
          <w:trHeight w:val="256" w:hRule="exact"/>
        </w:trPr>
        <w:tc>
          <w:tcPr>
            <w:tcW w:w="1293" w:type="dxa"/>
            <w:tcBorders>
              <w:top w:val="nil" w:sz="6" w:space="0" w:color="auto"/>
              <w:left w:val="nil" w:sz="6" w:space="0" w:color="auto"/>
              <w:bottom w:val="nil" w:sz="6" w:space="0" w:color="auto"/>
              <w:right w:val="nil" w:sz="6" w:space="0" w:color="auto"/>
            </w:tcBorders>
          </w:tcPr>
          <w:p>
            <w:pPr>
              <w:pStyle w:val="TableParagraph"/>
              <w:spacing w:line="223" w:lineRule="exact"/>
              <w:ind w:left="200" w:right="0"/>
              <w:jc w:val="left"/>
              <w:rPr>
                <w:rFonts w:ascii="黑体" w:hAnsi="黑体" w:cs="黑体" w:eastAsia="黑体" w:hint="default"/>
                <w:sz w:val="20"/>
                <w:szCs w:val="20"/>
              </w:rPr>
            </w:pPr>
            <w:r>
              <w:rPr>
                <w:rFonts w:ascii="黑体" w:hAnsi="黑体" w:cs="黑体" w:eastAsia="黑体" w:hint="default"/>
                <w:sz w:val="20"/>
                <w:szCs w:val="20"/>
              </w:rPr>
              <w:t>用友政务</w:t>
            </w:r>
          </w:p>
        </w:tc>
        <w:tc>
          <w:tcPr>
            <w:tcW w:w="2215" w:type="dxa"/>
            <w:tcBorders>
              <w:top w:val="nil" w:sz="6" w:space="0" w:color="auto"/>
              <w:left w:val="nil" w:sz="6" w:space="0" w:color="auto"/>
              <w:bottom w:val="nil" w:sz="6" w:space="0" w:color="auto"/>
              <w:right w:val="nil" w:sz="6" w:space="0" w:color="auto"/>
            </w:tcBorders>
          </w:tcPr>
          <w:p>
            <w:pPr>
              <w:pStyle w:val="TableParagraph"/>
              <w:spacing w:line="223" w:lineRule="exact"/>
              <w:ind w:right="119"/>
              <w:jc w:val="right"/>
              <w:rPr>
                <w:rFonts w:ascii="黑体" w:hAnsi="黑体" w:cs="黑体" w:eastAsia="黑体" w:hint="default"/>
                <w:sz w:val="20"/>
                <w:szCs w:val="20"/>
              </w:rPr>
            </w:pPr>
            <w:r>
              <w:rPr>
                <w:rFonts w:ascii="黑体" w:hAnsi="黑体" w:cs="黑体" w:eastAsia="黑体" w:hint="default"/>
                <w:w w:val="95"/>
                <w:sz w:val="20"/>
                <w:szCs w:val="20"/>
              </w:rPr>
              <w:t>用友软件园办公用房</w:t>
            </w:r>
            <w:r>
              <w:rPr>
                <w:rFonts w:ascii="黑体" w:hAnsi="黑体" w:cs="黑体" w:eastAsia="黑体" w:hint="default"/>
                <w:sz w:val="20"/>
                <w:szCs w:val="20"/>
              </w:rPr>
            </w:r>
          </w:p>
        </w:tc>
        <w:tc>
          <w:tcPr>
            <w:tcW w:w="1602" w:type="dxa"/>
            <w:tcBorders>
              <w:top w:val="nil" w:sz="6" w:space="0" w:color="auto"/>
              <w:left w:val="nil" w:sz="6" w:space="0" w:color="auto"/>
              <w:bottom w:val="nil" w:sz="6" w:space="0" w:color="auto"/>
              <w:right w:val="nil" w:sz="6" w:space="0" w:color="auto"/>
            </w:tcBorders>
          </w:tcPr>
          <w:p>
            <w:pPr>
              <w:pStyle w:val="TableParagraph"/>
              <w:spacing w:line="237" w:lineRule="exact"/>
              <w:ind w:right="103"/>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r>
              <w:rPr>
                <w:rFonts w:ascii="Arial" w:hAnsi="Arial" w:cs="Arial" w:eastAsia="Arial" w:hint="default"/>
                <w:spacing w:val="-1"/>
                <w:sz w:val="20"/>
                <w:szCs w:val="20"/>
              </w:rPr>
              <w:t>3</w:t>
            </w:r>
            <w:r>
              <w:rPr>
                <w:rFonts w:ascii="黑体" w:hAnsi="黑体" w:cs="黑体" w:eastAsia="黑体" w:hint="default"/>
                <w:spacing w:val="-1"/>
                <w:sz w:val="20"/>
                <w:szCs w:val="20"/>
              </w:rPr>
              <w:t>月</w:t>
            </w:r>
            <w:r>
              <w:rPr>
                <w:rFonts w:ascii="Arial" w:hAnsi="Arial" w:cs="Arial" w:eastAsia="Arial" w:hint="default"/>
                <w:spacing w:val="-1"/>
                <w:sz w:val="20"/>
                <w:szCs w:val="20"/>
              </w:rPr>
              <w:t>22</w:t>
            </w:r>
            <w:r>
              <w:rPr>
                <w:rFonts w:ascii="黑体" w:hAnsi="黑体" w:cs="黑体" w:eastAsia="黑体" w:hint="default"/>
                <w:spacing w:val="-1"/>
                <w:sz w:val="20"/>
                <w:szCs w:val="20"/>
              </w:rPr>
              <w:t>日</w:t>
            </w:r>
          </w:p>
        </w:tc>
        <w:tc>
          <w:tcPr>
            <w:tcW w:w="1834" w:type="dxa"/>
            <w:tcBorders>
              <w:top w:val="nil" w:sz="6" w:space="0" w:color="auto"/>
              <w:left w:val="nil" w:sz="6" w:space="0" w:color="auto"/>
              <w:bottom w:val="nil" w:sz="6" w:space="0" w:color="auto"/>
              <w:right w:val="nil" w:sz="6" w:space="0" w:color="auto"/>
            </w:tcBorders>
          </w:tcPr>
          <w:p>
            <w:pPr>
              <w:pStyle w:val="TableParagraph"/>
              <w:spacing w:line="237" w:lineRule="exact"/>
              <w:ind w:right="238"/>
              <w:jc w:val="right"/>
              <w:rPr>
                <w:rFonts w:ascii="黑体" w:hAnsi="黑体" w:cs="黑体" w:eastAsia="黑体" w:hint="default"/>
                <w:sz w:val="20"/>
                <w:szCs w:val="20"/>
              </w:rPr>
            </w:pPr>
            <w:r>
              <w:rPr>
                <w:rFonts w:ascii="Arial" w:hAnsi="Arial" w:cs="Arial" w:eastAsia="Arial" w:hint="default"/>
                <w:spacing w:val="-1"/>
                <w:sz w:val="20"/>
                <w:szCs w:val="20"/>
              </w:rPr>
              <w:t>2013</w:t>
            </w:r>
            <w:r>
              <w:rPr>
                <w:rFonts w:ascii="黑体" w:hAnsi="黑体" w:cs="黑体" w:eastAsia="黑体" w:hint="default"/>
                <w:spacing w:val="-1"/>
                <w:sz w:val="20"/>
                <w:szCs w:val="20"/>
              </w:rPr>
              <w:t>年</w:t>
            </w:r>
            <w:r>
              <w:rPr>
                <w:rFonts w:ascii="Arial" w:hAnsi="Arial" w:cs="Arial" w:eastAsia="Arial" w:hint="default"/>
                <w:spacing w:val="-1"/>
                <w:sz w:val="20"/>
                <w:szCs w:val="20"/>
              </w:rPr>
              <w:t>3</w:t>
            </w:r>
            <w:r>
              <w:rPr>
                <w:rFonts w:ascii="黑体" w:hAnsi="黑体" w:cs="黑体" w:eastAsia="黑体" w:hint="default"/>
                <w:spacing w:val="-1"/>
                <w:sz w:val="20"/>
                <w:szCs w:val="20"/>
              </w:rPr>
              <w:t>月</w:t>
            </w:r>
            <w:r>
              <w:rPr>
                <w:rFonts w:ascii="Arial" w:hAnsi="Arial" w:cs="Arial" w:eastAsia="Arial" w:hint="default"/>
                <w:spacing w:val="-1"/>
                <w:sz w:val="20"/>
                <w:szCs w:val="20"/>
              </w:rPr>
              <w:t>21</w:t>
            </w:r>
            <w:r>
              <w:rPr>
                <w:rFonts w:ascii="黑体" w:hAnsi="黑体" w:cs="黑体" w:eastAsia="黑体" w:hint="default"/>
                <w:spacing w:val="-1"/>
                <w:sz w:val="20"/>
                <w:szCs w:val="20"/>
              </w:rPr>
              <w:t>日</w:t>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spacing w:val="-1"/>
                <w:sz w:val="20"/>
              </w:rPr>
              <w:t>5,332,812</w:t>
            </w:r>
          </w:p>
        </w:tc>
      </w:tr>
      <w:tr>
        <w:trPr>
          <w:trHeight w:val="254" w:hRule="exact"/>
        </w:trPr>
        <w:tc>
          <w:tcPr>
            <w:tcW w:w="1293"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z w:val="20"/>
                <w:szCs w:val="20"/>
              </w:rPr>
              <w:t>用友医疗</w:t>
            </w:r>
          </w:p>
        </w:tc>
        <w:tc>
          <w:tcPr>
            <w:tcW w:w="2215" w:type="dxa"/>
            <w:tcBorders>
              <w:top w:val="nil" w:sz="6" w:space="0" w:color="auto"/>
              <w:left w:val="nil" w:sz="6" w:space="0" w:color="auto"/>
              <w:bottom w:val="nil" w:sz="6" w:space="0" w:color="auto"/>
              <w:right w:val="nil" w:sz="6" w:space="0" w:color="auto"/>
            </w:tcBorders>
          </w:tcPr>
          <w:p>
            <w:pPr>
              <w:pStyle w:val="TableParagraph"/>
              <w:spacing w:line="222" w:lineRule="exact"/>
              <w:ind w:right="119"/>
              <w:jc w:val="right"/>
              <w:rPr>
                <w:rFonts w:ascii="黑体" w:hAnsi="黑体" w:cs="黑体" w:eastAsia="黑体" w:hint="default"/>
                <w:sz w:val="20"/>
                <w:szCs w:val="20"/>
              </w:rPr>
            </w:pPr>
            <w:r>
              <w:rPr>
                <w:rFonts w:ascii="黑体" w:hAnsi="黑体" w:cs="黑体" w:eastAsia="黑体" w:hint="default"/>
                <w:w w:val="95"/>
                <w:sz w:val="20"/>
                <w:szCs w:val="20"/>
              </w:rPr>
              <w:t>用友软件园办公用房</w:t>
            </w:r>
            <w:r>
              <w:rPr>
                <w:rFonts w:ascii="黑体" w:hAnsi="黑体" w:cs="黑体" w:eastAsia="黑体" w:hint="default"/>
                <w:sz w:val="20"/>
                <w:szCs w:val="20"/>
              </w:rPr>
            </w:r>
          </w:p>
        </w:tc>
        <w:tc>
          <w:tcPr>
            <w:tcW w:w="1602" w:type="dxa"/>
            <w:tcBorders>
              <w:top w:val="nil" w:sz="6" w:space="0" w:color="auto"/>
              <w:left w:val="nil" w:sz="6" w:space="0" w:color="auto"/>
              <w:bottom w:val="nil" w:sz="6" w:space="0" w:color="auto"/>
              <w:right w:val="nil" w:sz="6" w:space="0" w:color="auto"/>
            </w:tcBorders>
          </w:tcPr>
          <w:p>
            <w:pPr>
              <w:pStyle w:val="TableParagraph"/>
              <w:spacing w:line="236" w:lineRule="exact"/>
              <w:ind w:right="103"/>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r>
              <w:rPr>
                <w:rFonts w:ascii="Arial" w:hAnsi="Arial" w:cs="Arial" w:eastAsia="Arial" w:hint="default"/>
                <w:spacing w:val="-1"/>
                <w:sz w:val="20"/>
                <w:szCs w:val="20"/>
              </w:rPr>
              <w:t>4</w:t>
            </w:r>
            <w:r>
              <w:rPr>
                <w:rFonts w:ascii="黑体" w:hAnsi="黑体" w:cs="黑体" w:eastAsia="黑体" w:hint="default"/>
                <w:spacing w:val="-1"/>
                <w:sz w:val="20"/>
                <w:szCs w:val="20"/>
              </w:rPr>
              <w:t>月</w:t>
            </w:r>
            <w:r>
              <w:rPr>
                <w:rFonts w:ascii="Arial" w:hAnsi="Arial" w:cs="Arial" w:eastAsia="Arial" w:hint="default"/>
                <w:spacing w:val="-1"/>
                <w:sz w:val="20"/>
                <w:szCs w:val="20"/>
              </w:rPr>
              <w:t>1</w:t>
            </w:r>
            <w:r>
              <w:rPr>
                <w:rFonts w:ascii="黑体" w:hAnsi="黑体" w:cs="黑体" w:eastAsia="黑体" w:hint="default"/>
                <w:spacing w:val="-1"/>
                <w:sz w:val="20"/>
                <w:szCs w:val="20"/>
              </w:rPr>
              <w:t>日</w:t>
            </w:r>
          </w:p>
        </w:tc>
        <w:tc>
          <w:tcPr>
            <w:tcW w:w="1834" w:type="dxa"/>
            <w:tcBorders>
              <w:top w:val="nil" w:sz="6" w:space="0" w:color="auto"/>
              <w:left w:val="nil" w:sz="6" w:space="0" w:color="auto"/>
              <w:bottom w:val="nil" w:sz="6" w:space="0" w:color="auto"/>
              <w:right w:val="nil" w:sz="6" w:space="0" w:color="auto"/>
            </w:tcBorders>
          </w:tcPr>
          <w:p>
            <w:pPr>
              <w:pStyle w:val="TableParagraph"/>
              <w:spacing w:line="236" w:lineRule="exact"/>
              <w:ind w:right="238"/>
              <w:jc w:val="right"/>
              <w:rPr>
                <w:rFonts w:ascii="黑体" w:hAnsi="黑体" w:cs="黑体" w:eastAsia="黑体" w:hint="default"/>
                <w:sz w:val="20"/>
                <w:szCs w:val="20"/>
              </w:rPr>
            </w:pPr>
            <w:r>
              <w:rPr>
                <w:rFonts w:ascii="Arial" w:hAnsi="Arial" w:cs="Arial" w:eastAsia="Arial" w:hint="default"/>
                <w:spacing w:val="-1"/>
                <w:sz w:val="20"/>
                <w:szCs w:val="20"/>
              </w:rPr>
              <w:t>2013</w:t>
            </w:r>
            <w:r>
              <w:rPr>
                <w:rFonts w:ascii="黑体" w:hAnsi="黑体" w:cs="黑体" w:eastAsia="黑体" w:hint="default"/>
                <w:spacing w:val="-1"/>
                <w:sz w:val="20"/>
                <w:szCs w:val="20"/>
              </w:rPr>
              <w:t>年</w:t>
            </w:r>
            <w:r>
              <w:rPr>
                <w:rFonts w:ascii="Arial" w:hAnsi="Arial" w:cs="Arial" w:eastAsia="Arial" w:hint="default"/>
                <w:spacing w:val="-1"/>
                <w:sz w:val="20"/>
                <w:szCs w:val="20"/>
              </w:rPr>
              <w:t>3</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8"/>
              <w:jc w:val="right"/>
              <w:rPr>
                <w:rFonts w:ascii="Arial" w:hAnsi="Arial" w:cs="Arial" w:eastAsia="Arial" w:hint="default"/>
                <w:sz w:val="20"/>
                <w:szCs w:val="20"/>
              </w:rPr>
            </w:pPr>
            <w:r>
              <w:rPr>
                <w:rFonts w:ascii="Arial"/>
                <w:spacing w:val="-1"/>
                <w:sz w:val="20"/>
              </w:rPr>
              <w:t>3,134,782</w:t>
            </w:r>
          </w:p>
        </w:tc>
      </w:tr>
      <w:tr>
        <w:trPr>
          <w:trHeight w:val="254" w:hRule="exact"/>
        </w:trPr>
        <w:tc>
          <w:tcPr>
            <w:tcW w:w="1293"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z w:val="20"/>
                <w:szCs w:val="20"/>
              </w:rPr>
              <w:t>畅捷通</w:t>
            </w:r>
          </w:p>
        </w:tc>
        <w:tc>
          <w:tcPr>
            <w:tcW w:w="2215" w:type="dxa"/>
            <w:tcBorders>
              <w:top w:val="nil" w:sz="6" w:space="0" w:color="auto"/>
              <w:left w:val="nil" w:sz="6" w:space="0" w:color="auto"/>
              <w:bottom w:val="nil" w:sz="6" w:space="0" w:color="auto"/>
              <w:right w:val="nil" w:sz="6" w:space="0" w:color="auto"/>
            </w:tcBorders>
          </w:tcPr>
          <w:p>
            <w:pPr>
              <w:pStyle w:val="TableParagraph"/>
              <w:spacing w:line="222" w:lineRule="exact"/>
              <w:ind w:right="119"/>
              <w:jc w:val="right"/>
              <w:rPr>
                <w:rFonts w:ascii="黑体" w:hAnsi="黑体" w:cs="黑体" w:eastAsia="黑体" w:hint="default"/>
                <w:sz w:val="20"/>
                <w:szCs w:val="20"/>
              </w:rPr>
            </w:pPr>
            <w:r>
              <w:rPr>
                <w:rFonts w:ascii="黑体" w:hAnsi="黑体" w:cs="黑体" w:eastAsia="黑体" w:hint="default"/>
                <w:w w:val="95"/>
                <w:sz w:val="20"/>
                <w:szCs w:val="20"/>
              </w:rPr>
              <w:t>用友软件园办公用房</w:t>
            </w:r>
            <w:r>
              <w:rPr>
                <w:rFonts w:ascii="黑体" w:hAnsi="黑体" w:cs="黑体" w:eastAsia="黑体" w:hint="default"/>
                <w:sz w:val="20"/>
                <w:szCs w:val="20"/>
              </w:rPr>
            </w:r>
          </w:p>
        </w:tc>
        <w:tc>
          <w:tcPr>
            <w:tcW w:w="1602" w:type="dxa"/>
            <w:tcBorders>
              <w:top w:val="nil" w:sz="6" w:space="0" w:color="auto"/>
              <w:left w:val="nil" w:sz="6" w:space="0" w:color="auto"/>
              <w:bottom w:val="nil" w:sz="6" w:space="0" w:color="auto"/>
              <w:right w:val="nil" w:sz="6" w:space="0" w:color="auto"/>
            </w:tcBorders>
          </w:tcPr>
          <w:p>
            <w:pPr>
              <w:pStyle w:val="TableParagraph"/>
              <w:spacing w:line="236" w:lineRule="exact"/>
              <w:ind w:right="103"/>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r>
              <w:rPr>
                <w:rFonts w:ascii="Arial" w:hAnsi="Arial" w:cs="Arial" w:eastAsia="Arial" w:hint="default"/>
                <w:spacing w:val="-1"/>
                <w:sz w:val="20"/>
                <w:szCs w:val="20"/>
              </w:rPr>
              <w:t>1</w:t>
            </w:r>
            <w:r>
              <w:rPr>
                <w:rFonts w:ascii="黑体" w:hAnsi="黑体" w:cs="黑体" w:eastAsia="黑体" w:hint="default"/>
                <w:spacing w:val="-1"/>
                <w:sz w:val="20"/>
                <w:szCs w:val="20"/>
              </w:rPr>
              <w:t>月</w:t>
            </w:r>
            <w:r>
              <w:rPr>
                <w:rFonts w:ascii="Arial" w:hAnsi="Arial" w:cs="Arial" w:eastAsia="Arial" w:hint="default"/>
                <w:spacing w:val="-1"/>
                <w:sz w:val="20"/>
                <w:szCs w:val="20"/>
              </w:rPr>
              <w:t>1</w:t>
            </w:r>
            <w:r>
              <w:rPr>
                <w:rFonts w:ascii="黑体" w:hAnsi="黑体" w:cs="黑体" w:eastAsia="黑体" w:hint="default"/>
                <w:spacing w:val="-1"/>
                <w:sz w:val="20"/>
                <w:szCs w:val="20"/>
              </w:rPr>
              <w:t>日</w:t>
            </w:r>
          </w:p>
        </w:tc>
        <w:tc>
          <w:tcPr>
            <w:tcW w:w="1834" w:type="dxa"/>
            <w:tcBorders>
              <w:top w:val="nil" w:sz="6" w:space="0" w:color="auto"/>
              <w:left w:val="nil" w:sz="6" w:space="0" w:color="auto"/>
              <w:bottom w:val="nil" w:sz="6" w:space="0" w:color="auto"/>
              <w:right w:val="nil" w:sz="6" w:space="0" w:color="auto"/>
            </w:tcBorders>
          </w:tcPr>
          <w:p>
            <w:pPr>
              <w:pStyle w:val="TableParagraph"/>
              <w:spacing w:line="236" w:lineRule="exact"/>
              <w:ind w:right="238"/>
              <w:jc w:val="right"/>
              <w:rPr>
                <w:rFonts w:ascii="黑体" w:hAnsi="黑体" w:cs="黑体" w:eastAsia="黑体" w:hint="default"/>
                <w:sz w:val="20"/>
                <w:szCs w:val="20"/>
              </w:rPr>
            </w:pPr>
            <w:r>
              <w:rPr>
                <w:rFonts w:ascii="Arial" w:hAnsi="Arial" w:cs="Arial" w:eastAsia="Arial" w:hint="default"/>
                <w:w w:val="95"/>
                <w:sz w:val="20"/>
                <w:szCs w:val="20"/>
              </w:rPr>
              <w:t>2012</w:t>
            </w:r>
            <w:r>
              <w:rPr>
                <w:rFonts w:ascii="黑体" w:hAnsi="黑体" w:cs="黑体" w:eastAsia="黑体" w:hint="default"/>
                <w:w w:val="95"/>
                <w:sz w:val="20"/>
                <w:szCs w:val="20"/>
              </w:rPr>
              <w:t>年</w:t>
            </w:r>
            <w:r>
              <w:rPr>
                <w:rFonts w:ascii="Arial" w:hAnsi="Arial" w:cs="Arial" w:eastAsia="Arial" w:hint="default"/>
                <w:w w:val="95"/>
                <w:sz w:val="20"/>
                <w:szCs w:val="20"/>
              </w:rPr>
              <w:t>12</w:t>
            </w:r>
            <w:r>
              <w:rPr>
                <w:rFonts w:ascii="黑体" w:hAnsi="黑体" w:cs="黑体" w:eastAsia="黑体" w:hint="default"/>
                <w:w w:val="95"/>
                <w:sz w:val="20"/>
                <w:szCs w:val="20"/>
              </w:rPr>
              <w:t>月</w:t>
            </w:r>
            <w:r>
              <w:rPr>
                <w:rFonts w:ascii="Arial" w:hAnsi="Arial" w:cs="Arial" w:eastAsia="Arial" w:hint="default"/>
                <w:w w:val="95"/>
                <w:sz w:val="20"/>
                <w:szCs w:val="20"/>
              </w:rPr>
              <w:t>31</w:t>
            </w:r>
            <w:r>
              <w:rPr>
                <w:rFonts w:ascii="黑体" w:hAnsi="黑体" w:cs="黑体" w:eastAsia="黑体" w:hint="default"/>
                <w:w w:val="95"/>
                <w:sz w:val="20"/>
                <w:szCs w:val="20"/>
              </w:rPr>
              <w:t>日</w:t>
            </w:r>
            <w:r>
              <w:rPr>
                <w:rFonts w:ascii="黑体" w:hAnsi="黑体" w:cs="黑体" w:eastAsia="黑体" w:hint="default"/>
                <w:sz w:val="20"/>
                <w:szCs w:val="20"/>
              </w:rPr>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8"/>
              <w:jc w:val="right"/>
              <w:rPr>
                <w:rFonts w:ascii="Arial" w:hAnsi="Arial" w:cs="Arial" w:eastAsia="Arial" w:hint="default"/>
                <w:sz w:val="20"/>
                <w:szCs w:val="20"/>
              </w:rPr>
            </w:pPr>
            <w:r>
              <w:rPr>
                <w:rFonts w:ascii="Arial"/>
                <w:spacing w:val="-1"/>
                <w:sz w:val="20"/>
              </w:rPr>
              <w:t>4,591,359</w:t>
            </w:r>
          </w:p>
        </w:tc>
      </w:tr>
      <w:tr>
        <w:trPr>
          <w:trHeight w:val="256" w:hRule="exact"/>
        </w:trPr>
        <w:tc>
          <w:tcPr>
            <w:tcW w:w="1293"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z w:val="20"/>
                <w:szCs w:val="20"/>
              </w:rPr>
              <w:t>北京伟库</w:t>
            </w:r>
          </w:p>
        </w:tc>
        <w:tc>
          <w:tcPr>
            <w:tcW w:w="2215" w:type="dxa"/>
            <w:tcBorders>
              <w:top w:val="nil" w:sz="6" w:space="0" w:color="auto"/>
              <w:left w:val="nil" w:sz="6" w:space="0" w:color="auto"/>
              <w:bottom w:val="nil" w:sz="6" w:space="0" w:color="auto"/>
              <w:right w:val="nil" w:sz="6" w:space="0" w:color="auto"/>
            </w:tcBorders>
          </w:tcPr>
          <w:p>
            <w:pPr>
              <w:pStyle w:val="TableParagraph"/>
              <w:spacing w:line="222" w:lineRule="exact"/>
              <w:ind w:right="119"/>
              <w:jc w:val="right"/>
              <w:rPr>
                <w:rFonts w:ascii="黑体" w:hAnsi="黑体" w:cs="黑体" w:eastAsia="黑体" w:hint="default"/>
                <w:sz w:val="20"/>
                <w:szCs w:val="20"/>
              </w:rPr>
            </w:pPr>
            <w:r>
              <w:rPr>
                <w:rFonts w:ascii="黑体" w:hAnsi="黑体" w:cs="黑体" w:eastAsia="黑体" w:hint="default"/>
                <w:w w:val="95"/>
                <w:sz w:val="20"/>
                <w:szCs w:val="20"/>
              </w:rPr>
              <w:t>用友软件园办公用房</w:t>
            </w:r>
            <w:r>
              <w:rPr>
                <w:rFonts w:ascii="黑体" w:hAnsi="黑体" w:cs="黑体" w:eastAsia="黑体" w:hint="default"/>
                <w:sz w:val="20"/>
                <w:szCs w:val="20"/>
              </w:rPr>
            </w:r>
          </w:p>
        </w:tc>
        <w:tc>
          <w:tcPr>
            <w:tcW w:w="1602" w:type="dxa"/>
            <w:tcBorders>
              <w:top w:val="nil" w:sz="6" w:space="0" w:color="auto"/>
              <w:left w:val="nil" w:sz="6" w:space="0" w:color="auto"/>
              <w:bottom w:val="nil" w:sz="6" w:space="0" w:color="auto"/>
              <w:right w:val="nil" w:sz="6" w:space="0" w:color="auto"/>
            </w:tcBorders>
          </w:tcPr>
          <w:p>
            <w:pPr>
              <w:pStyle w:val="TableParagraph"/>
              <w:spacing w:line="236" w:lineRule="exact"/>
              <w:ind w:right="103"/>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r>
              <w:rPr>
                <w:rFonts w:ascii="Arial" w:hAnsi="Arial" w:cs="Arial" w:eastAsia="Arial" w:hint="default"/>
                <w:spacing w:val="-1"/>
                <w:sz w:val="20"/>
                <w:szCs w:val="20"/>
              </w:rPr>
              <w:t>4</w:t>
            </w:r>
            <w:r>
              <w:rPr>
                <w:rFonts w:ascii="黑体" w:hAnsi="黑体" w:cs="黑体" w:eastAsia="黑体" w:hint="default"/>
                <w:spacing w:val="-1"/>
                <w:sz w:val="20"/>
                <w:szCs w:val="20"/>
              </w:rPr>
              <w:t>月</w:t>
            </w:r>
            <w:r>
              <w:rPr>
                <w:rFonts w:ascii="Arial" w:hAnsi="Arial" w:cs="Arial" w:eastAsia="Arial" w:hint="default"/>
                <w:spacing w:val="-1"/>
                <w:sz w:val="20"/>
                <w:szCs w:val="20"/>
              </w:rPr>
              <w:t>1</w:t>
            </w:r>
            <w:r>
              <w:rPr>
                <w:rFonts w:ascii="黑体" w:hAnsi="黑体" w:cs="黑体" w:eastAsia="黑体" w:hint="default"/>
                <w:spacing w:val="-1"/>
                <w:sz w:val="20"/>
                <w:szCs w:val="20"/>
              </w:rPr>
              <w:t>日</w:t>
            </w:r>
          </w:p>
        </w:tc>
        <w:tc>
          <w:tcPr>
            <w:tcW w:w="1834" w:type="dxa"/>
            <w:tcBorders>
              <w:top w:val="nil" w:sz="6" w:space="0" w:color="auto"/>
              <w:left w:val="nil" w:sz="6" w:space="0" w:color="auto"/>
              <w:bottom w:val="nil" w:sz="6" w:space="0" w:color="auto"/>
              <w:right w:val="nil" w:sz="6" w:space="0" w:color="auto"/>
            </w:tcBorders>
          </w:tcPr>
          <w:p>
            <w:pPr>
              <w:pStyle w:val="TableParagraph"/>
              <w:spacing w:line="236" w:lineRule="exact"/>
              <w:ind w:right="238"/>
              <w:jc w:val="right"/>
              <w:rPr>
                <w:rFonts w:ascii="黑体" w:hAnsi="黑体" w:cs="黑体" w:eastAsia="黑体" w:hint="default"/>
                <w:sz w:val="20"/>
                <w:szCs w:val="20"/>
              </w:rPr>
            </w:pPr>
            <w:r>
              <w:rPr>
                <w:rFonts w:ascii="Arial" w:hAnsi="Arial" w:cs="Arial" w:eastAsia="Arial" w:hint="default"/>
                <w:spacing w:val="-1"/>
                <w:sz w:val="20"/>
                <w:szCs w:val="20"/>
              </w:rPr>
              <w:t>2013</w:t>
            </w:r>
            <w:r>
              <w:rPr>
                <w:rFonts w:ascii="黑体" w:hAnsi="黑体" w:cs="黑体" w:eastAsia="黑体" w:hint="default"/>
                <w:spacing w:val="-1"/>
                <w:sz w:val="20"/>
                <w:szCs w:val="20"/>
              </w:rPr>
              <w:t>年</w:t>
            </w:r>
            <w:r>
              <w:rPr>
                <w:rFonts w:ascii="Arial" w:hAnsi="Arial" w:cs="Arial" w:eastAsia="Arial" w:hint="default"/>
                <w:spacing w:val="-1"/>
                <w:sz w:val="20"/>
                <w:szCs w:val="20"/>
              </w:rPr>
              <w:t>3</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8"/>
              <w:jc w:val="right"/>
              <w:rPr>
                <w:rFonts w:ascii="Arial" w:hAnsi="Arial" w:cs="Arial" w:eastAsia="Arial" w:hint="default"/>
                <w:sz w:val="20"/>
                <w:szCs w:val="20"/>
              </w:rPr>
            </w:pPr>
            <w:r>
              <w:rPr>
                <w:rFonts w:ascii="Arial"/>
                <w:spacing w:val="-1"/>
                <w:w w:val="95"/>
                <w:sz w:val="20"/>
              </w:rPr>
              <w:t>646,023</w:t>
            </w:r>
            <w:r>
              <w:rPr>
                <w:rFonts w:ascii="Arial"/>
                <w:sz w:val="20"/>
              </w:rPr>
            </w:r>
          </w:p>
        </w:tc>
      </w:tr>
      <w:tr>
        <w:trPr>
          <w:trHeight w:val="256" w:hRule="exact"/>
        </w:trPr>
        <w:tc>
          <w:tcPr>
            <w:tcW w:w="1293" w:type="dxa"/>
            <w:tcBorders>
              <w:top w:val="nil" w:sz="6" w:space="0" w:color="auto"/>
              <w:left w:val="nil" w:sz="6" w:space="0" w:color="auto"/>
              <w:bottom w:val="nil" w:sz="6" w:space="0" w:color="auto"/>
              <w:right w:val="nil" w:sz="6" w:space="0" w:color="auto"/>
            </w:tcBorders>
          </w:tcPr>
          <w:p>
            <w:pPr>
              <w:pStyle w:val="TableParagraph"/>
              <w:spacing w:line="223" w:lineRule="exact"/>
              <w:ind w:left="200" w:right="0"/>
              <w:jc w:val="left"/>
              <w:rPr>
                <w:rFonts w:ascii="黑体" w:hAnsi="黑体" w:cs="黑体" w:eastAsia="黑体" w:hint="default"/>
                <w:sz w:val="20"/>
                <w:szCs w:val="20"/>
              </w:rPr>
            </w:pPr>
            <w:r>
              <w:rPr>
                <w:rFonts w:ascii="黑体" w:hAnsi="黑体" w:cs="黑体" w:eastAsia="黑体" w:hint="default"/>
                <w:sz w:val="20"/>
                <w:szCs w:val="20"/>
              </w:rPr>
              <w:t>用友新道</w:t>
            </w:r>
          </w:p>
        </w:tc>
        <w:tc>
          <w:tcPr>
            <w:tcW w:w="2215" w:type="dxa"/>
            <w:tcBorders>
              <w:top w:val="nil" w:sz="6" w:space="0" w:color="auto"/>
              <w:left w:val="nil" w:sz="6" w:space="0" w:color="auto"/>
              <w:bottom w:val="nil" w:sz="6" w:space="0" w:color="auto"/>
              <w:right w:val="nil" w:sz="6" w:space="0" w:color="auto"/>
            </w:tcBorders>
          </w:tcPr>
          <w:p>
            <w:pPr>
              <w:pStyle w:val="TableParagraph"/>
              <w:spacing w:line="223" w:lineRule="exact"/>
              <w:ind w:right="119"/>
              <w:jc w:val="right"/>
              <w:rPr>
                <w:rFonts w:ascii="黑体" w:hAnsi="黑体" w:cs="黑体" w:eastAsia="黑体" w:hint="default"/>
                <w:sz w:val="20"/>
                <w:szCs w:val="20"/>
              </w:rPr>
            </w:pPr>
            <w:r>
              <w:rPr>
                <w:rFonts w:ascii="黑体" w:hAnsi="黑体" w:cs="黑体" w:eastAsia="黑体" w:hint="default"/>
                <w:w w:val="95"/>
                <w:sz w:val="20"/>
                <w:szCs w:val="20"/>
              </w:rPr>
              <w:t>用友软件园办公用房</w:t>
            </w:r>
            <w:r>
              <w:rPr>
                <w:rFonts w:ascii="黑体" w:hAnsi="黑体" w:cs="黑体" w:eastAsia="黑体" w:hint="default"/>
                <w:sz w:val="20"/>
                <w:szCs w:val="20"/>
              </w:rPr>
            </w:r>
          </w:p>
        </w:tc>
        <w:tc>
          <w:tcPr>
            <w:tcW w:w="1602" w:type="dxa"/>
            <w:tcBorders>
              <w:top w:val="nil" w:sz="6" w:space="0" w:color="auto"/>
              <w:left w:val="nil" w:sz="6" w:space="0" w:color="auto"/>
              <w:bottom w:val="nil" w:sz="6" w:space="0" w:color="auto"/>
              <w:right w:val="nil" w:sz="6" w:space="0" w:color="auto"/>
            </w:tcBorders>
          </w:tcPr>
          <w:p>
            <w:pPr>
              <w:pStyle w:val="TableParagraph"/>
              <w:spacing w:line="237" w:lineRule="exact"/>
              <w:ind w:right="103"/>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r>
              <w:rPr>
                <w:rFonts w:ascii="Arial" w:hAnsi="Arial" w:cs="Arial" w:eastAsia="Arial" w:hint="default"/>
                <w:spacing w:val="-1"/>
                <w:sz w:val="20"/>
                <w:szCs w:val="20"/>
              </w:rPr>
              <w:t>4</w:t>
            </w:r>
            <w:r>
              <w:rPr>
                <w:rFonts w:ascii="黑体" w:hAnsi="黑体" w:cs="黑体" w:eastAsia="黑体" w:hint="default"/>
                <w:spacing w:val="-1"/>
                <w:sz w:val="20"/>
                <w:szCs w:val="20"/>
              </w:rPr>
              <w:t>月</w:t>
            </w:r>
            <w:r>
              <w:rPr>
                <w:rFonts w:ascii="Arial" w:hAnsi="Arial" w:cs="Arial" w:eastAsia="Arial" w:hint="default"/>
                <w:spacing w:val="-1"/>
                <w:sz w:val="20"/>
                <w:szCs w:val="20"/>
              </w:rPr>
              <w:t>1</w:t>
            </w:r>
            <w:r>
              <w:rPr>
                <w:rFonts w:ascii="黑体" w:hAnsi="黑体" w:cs="黑体" w:eastAsia="黑体" w:hint="default"/>
                <w:spacing w:val="-1"/>
                <w:sz w:val="20"/>
                <w:szCs w:val="20"/>
              </w:rPr>
              <w:t>日</w:t>
            </w:r>
          </w:p>
        </w:tc>
        <w:tc>
          <w:tcPr>
            <w:tcW w:w="1834" w:type="dxa"/>
            <w:tcBorders>
              <w:top w:val="nil" w:sz="6" w:space="0" w:color="auto"/>
              <w:left w:val="nil" w:sz="6" w:space="0" w:color="auto"/>
              <w:bottom w:val="nil" w:sz="6" w:space="0" w:color="auto"/>
              <w:right w:val="nil" w:sz="6" w:space="0" w:color="auto"/>
            </w:tcBorders>
          </w:tcPr>
          <w:p>
            <w:pPr>
              <w:pStyle w:val="TableParagraph"/>
              <w:spacing w:line="237" w:lineRule="exact"/>
              <w:ind w:right="238"/>
              <w:jc w:val="right"/>
              <w:rPr>
                <w:rFonts w:ascii="黑体" w:hAnsi="黑体" w:cs="黑体" w:eastAsia="黑体" w:hint="default"/>
                <w:sz w:val="20"/>
                <w:szCs w:val="20"/>
              </w:rPr>
            </w:pPr>
            <w:r>
              <w:rPr>
                <w:rFonts w:ascii="Arial" w:hAnsi="Arial" w:cs="Arial" w:eastAsia="Arial" w:hint="default"/>
                <w:spacing w:val="-1"/>
                <w:sz w:val="20"/>
                <w:szCs w:val="20"/>
              </w:rPr>
              <w:t>2013</w:t>
            </w:r>
            <w:r>
              <w:rPr>
                <w:rFonts w:ascii="黑体" w:hAnsi="黑体" w:cs="黑体" w:eastAsia="黑体" w:hint="default"/>
                <w:spacing w:val="-1"/>
                <w:sz w:val="20"/>
                <w:szCs w:val="20"/>
              </w:rPr>
              <w:t>年</w:t>
            </w:r>
            <w:r>
              <w:rPr>
                <w:rFonts w:ascii="Arial" w:hAnsi="Arial" w:cs="Arial" w:eastAsia="Arial" w:hint="default"/>
                <w:spacing w:val="-1"/>
                <w:sz w:val="20"/>
                <w:szCs w:val="20"/>
              </w:rPr>
              <w:t>3</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spacing w:val="-1"/>
                <w:w w:val="95"/>
                <w:sz w:val="20"/>
              </w:rPr>
              <w:t>844,014</w:t>
            </w:r>
            <w:r>
              <w:rPr>
                <w:rFonts w:ascii="Arial"/>
                <w:sz w:val="20"/>
              </w:rPr>
            </w:r>
          </w:p>
        </w:tc>
      </w:tr>
      <w:tr>
        <w:trPr>
          <w:trHeight w:val="254" w:hRule="exact"/>
        </w:trPr>
        <w:tc>
          <w:tcPr>
            <w:tcW w:w="1293"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z w:val="20"/>
                <w:szCs w:val="20"/>
              </w:rPr>
              <w:t>用友审计</w:t>
            </w:r>
          </w:p>
        </w:tc>
        <w:tc>
          <w:tcPr>
            <w:tcW w:w="2215" w:type="dxa"/>
            <w:tcBorders>
              <w:top w:val="nil" w:sz="6" w:space="0" w:color="auto"/>
              <w:left w:val="nil" w:sz="6" w:space="0" w:color="auto"/>
              <w:bottom w:val="nil" w:sz="6" w:space="0" w:color="auto"/>
              <w:right w:val="nil" w:sz="6" w:space="0" w:color="auto"/>
            </w:tcBorders>
          </w:tcPr>
          <w:p>
            <w:pPr>
              <w:pStyle w:val="TableParagraph"/>
              <w:spacing w:line="222" w:lineRule="exact"/>
              <w:ind w:right="119"/>
              <w:jc w:val="right"/>
              <w:rPr>
                <w:rFonts w:ascii="黑体" w:hAnsi="黑体" w:cs="黑体" w:eastAsia="黑体" w:hint="default"/>
                <w:sz w:val="20"/>
                <w:szCs w:val="20"/>
              </w:rPr>
            </w:pPr>
            <w:r>
              <w:rPr>
                <w:rFonts w:ascii="黑体" w:hAnsi="黑体" w:cs="黑体" w:eastAsia="黑体" w:hint="default"/>
                <w:w w:val="95"/>
                <w:sz w:val="20"/>
                <w:szCs w:val="20"/>
              </w:rPr>
              <w:t>用友软件园办公用房</w:t>
            </w:r>
            <w:r>
              <w:rPr>
                <w:rFonts w:ascii="黑体" w:hAnsi="黑体" w:cs="黑体" w:eastAsia="黑体" w:hint="default"/>
                <w:sz w:val="20"/>
                <w:szCs w:val="20"/>
              </w:rPr>
            </w:r>
          </w:p>
        </w:tc>
        <w:tc>
          <w:tcPr>
            <w:tcW w:w="1602" w:type="dxa"/>
            <w:tcBorders>
              <w:top w:val="nil" w:sz="6" w:space="0" w:color="auto"/>
              <w:left w:val="nil" w:sz="6" w:space="0" w:color="auto"/>
              <w:bottom w:val="nil" w:sz="6" w:space="0" w:color="auto"/>
              <w:right w:val="nil" w:sz="6" w:space="0" w:color="auto"/>
            </w:tcBorders>
          </w:tcPr>
          <w:p>
            <w:pPr>
              <w:pStyle w:val="TableParagraph"/>
              <w:spacing w:line="236" w:lineRule="exact"/>
              <w:ind w:right="103"/>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r>
              <w:rPr>
                <w:rFonts w:ascii="Arial" w:hAnsi="Arial" w:cs="Arial" w:eastAsia="Arial" w:hint="default"/>
                <w:spacing w:val="-1"/>
                <w:sz w:val="20"/>
                <w:szCs w:val="20"/>
              </w:rPr>
              <w:t>4</w:t>
            </w:r>
            <w:r>
              <w:rPr>
                <w:rFonts w:ascii="黑体" w:hAnsi="黑体" w:cs="黑体" w:eastAsia="黑体" w:hint="default"/>
                <w:spacing w:val="-1"/>
                <w:sz w:val="20"/>
                <w:szCs w:val="20"/>
              </w:rPr>
              <w:t>月</w:t>
            </w:r>
            <w:r>
              <w:rPr>
                <w:rFonts w:ascii="Arial" w:hAnsi="Arial" w:cs="Arial" w:eastAsia="Arial" w:hint="default"/>
                <w:spacing w:val="-1"/>
                <w:sz w:val="20"/>
                <w:szCs w:val="20"/>
              </w:rPr>
              <w:t>1</w:t>
            </w:r>
            <w:r>
              <w:rPr>
                <w:rFonts w:ascii="黑体" w:hAnsi="黑体" w:cs="黑体" w:eastAsia="黑体" w:hint="default"/>
                <w:spacing w:val="-1"/>
                <w:sz w:val="20"/>
                <w:szCs w:val="20"/>
              </w:rPr>
              <w:t>日</w:t>
            </w:r>
          </w:p>
        </w:tc>
        <w:tc>
          <w:tcPr>
            <w:tcW w:w="1834" w:type="dxa"/>
            <w:tcBorders>
              <w:top w:val="nil" w:sz="6" w:space="0" w:color="auto"/>
              <w:left w:val="nil" w:sz="6" w:space="0" w:color="auto"/>
              <w:bottom w:val="nil" w:sz="6" w:space="0" w:color="auto"/>
              <w:right w:val="nil" w:sz="6" w:space="0" w:color="auto"/>
            </w:tcBorders>
          </w:tcPr>
          <w:p>
            <w:pPr>
              <w:pStyle w:val="TableParagraph"/>
              <w:spacing w:line="236" w:lineRule="exact"/>
              <w:ind w:right="238"/>
              <w:jc w:val="right"/>
              <w:rPr>
                <w:rFonts w:ascii="黑体" w:hAnsi="黑体" w:cs="黑体" w:eastAsia="黑体" w:hint="default"/>
                <w:sz w:val="20"/>
                <w:szCs w:val="20"/>
              </w:rPr>
            </w:pPr>
            <w:r>
              <w:rPr>
                <w:rFonts w:ascii="Arial" w:hAnsi="Arial" w:cs="Arial" w:eastAsia="Arial" w:hint="default"/>
                <w:spacing w:val="-1"/>
                <w:sz w:val="20"/>
                <w:szCs w:val="20"/>
              </w:rPr>
              <w:t>2013</w:t>
            </w:r>
            <w:r>
              <w:rPr>
                <w:rFonts w:ascii="黑体" w:hAnsi="黑体" w:cs="黑体" w:eastAsia="黑体" w:hint="default"/>
                <w:spacing w:val="-1"/>
                <w:sz w:val="20"/>
                <w:szCs w:val="20"/>
              </w:rPr>
              <w:t>年</w:t>
            </w:r>
            <w:r>
              <w:rPr>
                <w:rFonts w:ascii="Arial" w:hAnsi="Arial" w:cs="Arial" w:eastAsia="Arial" w:hint="default"/>
                <w:spacing w:val="-1"/>
                <w:sz w:val="20"/>
                <w:szCs w:val="20"/>
              </w:rPr>
              <w:t>3</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8"/>
              <w:jc w:val="right"/>
              <w:rPr>
                <w:rFonts w:ascii="Arial" w:hAnsi="Arial" w:cs="Arial" w:eastAsia="Arial" w:hint="default"/>
                <w:sz w:val="20"/>
                <w:szCs w:val="20"/>
              </w:rPr>
            </w:pPr>
            <w:r>
              <w:rPr>
                <w:rFonts w:ascii="Arial"/>
                <w:spacing w:val="-1"/>
                <w:w w:val="95"/>
                <w:sz w:val="20"/>
              </w:rPr>
              <w:t>730,879</w:t>
            </w:r>
            <w:r>
              <w:rPr>
                <w:rFonts w:ascii="Arial"/>
                <w:sz w:val="20"/>
              </w:rPr>
            </w:r>
          </w:p>
        </w:tc>
      </w:tr>
      <w:tr>
        <w:trPr>
          <w:trHeight w:val="254" w:hRule="exact"/>
        </w:trPr>
        <w:tc>
          <w:tcPr>
            <w:tcW w:w="1293"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z w:val="20"/>
                <w:szCs w:val="20"/>
              </w:rPr>
              <w:t>幸福投资</w:t>
            </w:r>
          </w:p>
        </w:tc>
        <w:tc>
          <w:tcPr>
            <w:tcW w:w="2215" w:type="dxa"/>
            <w:tcBorders>
              <w:top w:val="nil" w:sz="6" w:space="0" w:color="auto"/>
              <w:left w:val="nil" w:sz="6" w:space="0" w:color="auto"/>
              <w:bottom w:val="nil" w:sz="6" w:space="0" w:color="auto"/>
              <w:right w:val="nil" w:sz="6" w:space="0" w:color="auto"/>
            </w:tcBorders>
          </w:tcPr>
          <w:p>
            <w:pPr>
              <w:pStyle w:val="TableParagraph"/>
              <w:spacing w:line="222" w:lineRule="exact"/>
              <w:ind w:right="119"/>
              <w:jc w:val="right"/>
              <w:rPr>
                <w:rFonts w:ascii="黑体" w:hAnsi="黑体" w:cs="黑体" w:eastAsia="黑体" w:hint="default"/>
                <w:sz w:val="20"/>
                <w:szCs w:val="20"/>
              </w:rPr>
            </w:pPr>
            <w:r>
              <w:rPr>
                <w:rFonts w:ascii="黑体" w:hAnsi="黑体" w:cs="黑体" w:eastAsia="黑体" w:hint="default"/>
                <w:w w:val="95"/>
                <w:sz w:val="20"/>
                <w:szCs w:val="20"/>
              </w:rPr>
              <w:t>用友软件园办公用房</w:t>
            </w:r>
            <w:r>
              <w:rPr>
                <w:rFonts w:ascii="黑体" w:hAnsi="黑体" w:cs="黑体" w:eastAsia="黑体" w:hint="default"/>
                <w:sz w:val="20"/>
                <w:szCs w:val="20"/>
              </w:rPr>
            </w:r>
          </w:p>
        </w:tc>
        <w:tc>
          <w:tcPr>
            <w:tcW w:w="1602" w:type="dxa"/>
            <w:tcBorders>
              <w:top w:val="nil" w:sz="6" w:space="0" w:color="auto"/>
              <w:left w:val="nil" w:sz="6" w:space="0" w:color="auto"/>
              <w:bottom w:val="nil" w:sz="6" w:space="0" w:color="auto"/>
              <w:right w:val="nil" w:sz="6" w:space="0" w:color="auto"/>
            </w:tcBorders>
          </w:tcPr>
          <w:p>
            <w:pPr>
              <w:pStyle w:val="TableParagraph"/>
              <w:spacing w:line="236" w:lineRule="exact"/>
              <w:ind w:right="103"/>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r>
              <w:rPr>
                <w:rFonts w:ascii="Arial" w:hAnsi="Arial" w:cs="Arial" w:eastAsia="Arial" w:hint="default"/>
                <w:spacing w:val="-1"/>
                <w:sz w:val="20"/>
                <w:szCs w:val="20"/>
              </w:rPr>
              <w:t>4</w:t>
            </w:r>
            <w:r>
              <w:rPr>
                <w:rFonts w:ascii="黑体" w:hAnsi="黑体" w:cs="黑体" w:eastAsia="黑体" w:hint="default"/>
                <w:spacing w:val="-1"/>
                <w:sz w:val="20"/>
                <w:szCs w:val="20"/>
              </w:rPr>
              <w:t>月</w:t>
            </w:r>
            <w:r>
              <w:rPr>
                <w:rFonts w:ascii="Arial" w:hAnsi="Arial" w:cs="Arial" w:eastAsia="Arial" w:hint="default"/>
                <w:spacing w:val="-1"/>
                <w:sz w:val="20"/>
                <w:szCs w:val="20"/>
              </w:rPr>
              <w:t>1</w:t>
            </w:r>
            <w:r>
              <w:rPr>
                <w:rFonts w:ascii="黑体" w:hAnsi="黑体" w:cs="黑体" w:eastAsia="黑体" w:hint="default"/>
                <w:spacing w:val="-1"/>
                <w:sz w:val="20"/>
                <w:szCs w:val="20"/>
              </w:rPr>
              <w:t>日</w:t>
            </w:r>
          </w:p>
        </w:tc>
        <w:tc>
          <w:tcPr>
            <w:tcW w:w="1834" w:type="dxa"/>
            <w:tcBorders>
              <w:top w:val="nil" w:sz="6" w:space="0" w:color="auto"/>
              <w:left w:val="nil" w:sz="6" w:space="0" w:color="auto"/>
              <w:bottom w:val="nil" w:sz="6" w:space="0" w:color="auto"/>
              <w:right w:val="nil" w:sz="6" w:space="0" w:color="auto"/>
            </w:tcBorders>
          </w:tcPr>
          <w:p>
            <w:pPr>
              <w:pStyle w:val="TableParagraph"/>
              <w:spacing w:line="236" w:lineRule="exact"/>
              <w:ind w:right="238"/>
              <w:jc w:val="right"/>
              <w:rPr>
                <w:rFonts w:ascii="黑体" w:hAnsi="黑体" w:cs="黑体" w:eastAsia="黑体" w:hint="default"/>
                <w:sz w:val="20"/>
                <w:szCs w:val="20"/>
              </w:rPr>
            </w:pPr>
            <w:r>
              <w:rPr>
                <w:rFonts w:ascii="Arial" w:hAnsi="Arial" w:cs="Arial" w:eastAsia="Arial" w:hint="default"/>
                <w:spacing w:val="-1"/>
                <w:sz w:val="20"/>
                <w:szCs w:val="20"/>
              </w:rPr>
              <w:t>2013</w:t>
            </w:r>
            <w:r>
              <w:rPr>
                <w:rFonts w:ascii="黑体" w:hAnsi="黑体" w:cs="黑体" w:eastAsia="黑体" w:hint="default"/>
                <w:spacing w:val="-1"/>
                <w:sz w:val="20"/>
                <w:szCs w:val="20"/>
              </w:rPr>
              <w:t>年</w:t>
            </w:r>
            <w:r>
              <w:rPr>
                <w:rFonts w:ascii="Arial" w:hAnsi="Arial" w:cs="Arial" w:eastAsia="Arial" w:hint="default"/>
                <w:spacing w:val="-1"/>
                <w:sz w:val="20"/>
                <w:szCs w:val="20"/>
              </w:rPr>
              <w:t>3</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8"/>
              <w:jc w:val="right"/>
              <w:rPr>
                <w:rFonts w:ascii="Arial" w:hAnsi="Arial" w:cs="Arial" w:eastAsia="Arial" w:hint="default"/>
                <w:sz w:val="20"/>
                <w:szCs w:val="20"/>
              </w:rPr>
            </w:pPr>
            <w:r>
              <w:rPr>
                <w:rFonts w:ascii="Arial"/>
                <w:spacing w:val="-1"/>
                <w:w w:val="95"/>
                <w:sz w:val="20"/>
              </w:rPr>
              <w:t>180,030</w:t>
            </w:r>
            <w:r>
              <w:rPr>
                <w:rFonts w:ascii="Arial"/>
                <w:sz w:val="20"/>
              </w:rPr>
            </w:r>
          </w:p>
        </w:tc>
      </w:tr>
      <w:tr>
        <w:trPr>
          <w:trHeight w:val="388" w:hRule="exact"/>
        </w:trPr>
        <w:tc>
          <w:tcPr>
            <w:tcW w:w="1293"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z w:val="20"/>
                <w:szCs w:val="20"/>
              </w:rPr>
              <w:t>用友华表</w:t>
            </w:r>
          </w:p>
        </w:tc>
        <w:tc>
          <w:tcPr>
            <w:tcW w:w="2215" w:type="dxa"/>
            <w:tcBorders>
              <w:top w:val="nil" w:sz="6" w:space="0" w:color="auto"/>
              <w:left w:val="nil" w:sz="6" w:space="0" w:color="auto"/>
              <w:bottom w:val="nil" w:sz="6" w:space="0" w:color="auto"/>
              <w:right w:val="nil" w:sz="6" w:space="0" w:color="auto"/>
            </w:tcBorders>
          </w:tcPr>
          <w:p>
            <w:pPr>
              <w:pStyle w:val="TableParagraph"/>
              <w:spacing w:line="222" w:lineRule="exact"/>
              <w:ind w:right="119"/>
              <w:jc w:val="right"/>
              <w:rPr>
                <w:rFonts w:ascii="黑体" w:hAnsi="黑体" w:cs="黑体" w:eastAsia="黑体" w:hint="default"/>
                <w:sz w:val="20"/>
                <w:szCs w:val="20"/>
              </w:rPr>
            </w:pPr>
            <w:r>
              <w:rPr>
                <w:rFonts w:ascii="黑体" w:hAnsi="黑体" w:cs="黑体" w:eastAsia="黑体" w:hint="default"/>
                <w:w w:val="95"/>
                <w:sz w:val="20"/>
                <w:szCs w:val="20"/>
              </w:rPr>
              <w:t>用友软件园办公用房</w:t>
            </w:r>
            <w:r>
              <w:rPr>
                <w:rFonts w:ascii="黑体" w:hAnsi="黑体" w:cs="黑体" w:eastAsia="黑体" w:hint="default"/>
                <w:sz w:val="20"/>
                <w:szCs w:val="20"/>
              </w:rPr>
            </w:r>
          </w:p>
        </w:tc>
        <w:tc>
          <w:tcPr>
            <w:tcW w:w="1602" w:type="dxa"/>
            <w:tcBorders>
              <w:top w:val="nil" w:sz="6" w:space="0" w:color="auto"/>
              <w:left w:val="nil" w:sz="6" w:space="0" w:color="auto"/>
              <w:bottom w:val="nil" w:sz="6" w:space="0" w:color="auto"/>
              <w:right w:val="nil" w:sz="6" w:space="0" w:color="auto"/>
            </w:tcBorders>
          </w:tcPr>
          <w:p>
            <w:pPr>
              <w:pStyle w:val="TableParagraph"/>
              <w:spacing w:line="236" w:lineRule="exact"/>
              <w:ind w:right="103"/>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r>
              <w:rPr>
                <w:rFonts w:ascii="Arial" w:hAnsi="Arial" w:cs="Arial" w:eastAsia="Arial" w:hint="default"/>
                <w:spacing w:val="-1"/>
                <w:sz w:val="20"/>
                <w:szCs w:val="20"/>
              </w:rPr>
              <w:t>4</w:t>
            </w:r>
            <w:r>
              <w:rPr>
                <w:rFonts w:ascii="黑体" w:hAnsi="黑体" w:cs="黑体" w:eastAsia="黑体" w:hint="default"/>
                <w:spacing w:val="-1"/>
                <w:sz w:val="20"/>
                <w:szCs w:val="20"/>
              </w:rPr>
              <w:t>月</w:t>
            </w:r>
            <w:r>
              <w:rPr>
                <w:rFonts w:ascii="Arial" w:hAnsi="Arial" w:cs="Arial" w:eastAsia="Arial" w:hint="default"/>
                <w:spacing w:val="-1"/>
                <w:sz w:val="20"/>
                <w:szCs w:val="20"/>
              </w:rPr>
              <w:t>1</w:t>
            </w:r>
            <w:r>
              <w:rPr>
                <w:rFonts w:ascii="黑体" w:hAnsi="黑体" w:cs="黑体" w:eastAsia="黑体" w:hint="default"/>
                <w:spacing w:val="-1"/>
                <w:sz w:val="20"/>
                <w:szCs w:val="20"/>
              </w:rPr>
              <w:t>日</w:t>
            </w:r>
          </w:p>
        </w:tc>
        <w:tc>
          <w:tcPr>
            <w:tcW w:w="1834" w:type="dxa"/>
            <w:tcBorders>
              <w:top w:val="nil" w:sz="6" w:space="0" w:color="auto"/>
              <w:left w:val="nil" w:sz="6" w:space="0" w:color="auto"/>
              <w:bottom w:val="nil" w:sz="6" w:space="0" w:color="auto"/>
              <w:right w:val="nil" w:sz="6" w:space="0" w:color="auto"/>
            </w:tcBorders>
          </w:tcPr>
          <w:p>
            <w:pPr>
              <w:pStyle w:val="TableParagraph"/>
              <w:spacing w:line="236" w:lineRule="exact"/>
              <w:ind w:right="238"/>
              <w:jc w:val="right"/>
              <w:rPr>
                <w:rFonts w:ascii="黑体" w:hAnsi="黑体" w:cs="黑体" w:eastAsia="黑体" w:hint="default"/>
                <w:sz w:val="20"/>
                <w:szCs w:val="20"/>
              </w:rPr>
            </w:pPr>
            <w:r>
              <w:rPr>
                <w:rFonts w:ascii="Arial" w:hAnsi="Arial" w:cs="Arial" w:eastAsia="Arial" w:hint="default"/>
                <w:spacing w:val="-1"/>
                <w:sz w:val="20"/>
                <w:szCs w:val="20"/>
              </w:rPr>
              <w:t>2013</w:t>
            </w:r>
            <w:r>
              <w:rPr>
                <w:rFonts w:ascii="黑体" w:hAnsi="黑体" w:cs="黑体" w:eastAsia="黑体" w:hint="default"/>
                <w:spacing w:val="-1"/>
                <w:sz w:val="20"/>
                <w:szCs w:val="20"/>
              </w:rPr>
              <w:t>年</w:t>
            </w:r>
            <w:r>
              <w:rPr>
                <w:rFonts w:ascii="Arial" w:hAnsi="Arial" w:cs="Arial" w:eastAsia="Arial" w:hint="default"/>
                <w:spacing w:val="-1"/>
                <w:sz w:val="20"/>
                <w:szCs w:val="20"/>
              </w:rPr>
              <w:t>3</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438" w:type="dxa"/>
            <w:tcBorders>
              <w:top w:val="nil" w:sz="6" w:space="0" w:color="auto"/>
              <w:left w:val="nil" w:sz="6" w:space="0" w:color="auto"/>
              <w:bottom w:val="nil" w:sz="6" w:space="0" w:color="auto"/>
              <w:right w:val="nil" w:sz="6" w:space="0" w:color="auto"/>
            </w:tcBorders>
          </w:tcPr>
          <w:p>
            <w:pPr>
              <w:pStyle w:val="TableParagraph"/>
              <w:tabs>
                <w:tab w:pos="283" w:val="left" w:leader="none"/>
              </w:tabs>
              <w:spacing w:line="240" w:lineRule="auto" w:before="6"/>
              <w:ind w:right="19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779,660</w:t>
            </w:r>
            <w:r>
              <w:rPr>
                <w:rFonts w:ascii="Arial"/>
                <w:spacing w:val="-1"/>
                <w:w w:val="95"/>
                <w:sz w:val="20"/>
              </w:rPr>
            </w:r>
            <w:r>
              <w:rPr>
                <w:rFonts w:ascii="Arial"/>
                <w:sz w:val="20"/>
              </w:rPr>
            </w:r>
          </w:p>
        </w:tc>
      </w:tr>
      <w:tr>
        <w:trPr>
          <w:trHeight w:val="355" w:hRule="exact"/>
        </w:trPr>
        <w:tc>
          <w:tcPr>
            <w:tcW w:w="1293" w:type="dxa"/>
            <w:tcBorders>
              <w:top w:val="nil" w:sz="6" w:space="0" w:color="auto"/>
              <w:left w:val="nil" w:sz="6" w:space="0" w:color="auto"/>
              <w:bottom w:val="nil" w:sz="6" w:space="0" w:color="auto"/>
              <w:right w:val="nil" w:sz="6" w:space="0" w:color="auto"/>
            </w:tcBorders>
          </w:tcPr>
          <w:p>
            <w:pPr/>
          </w:p>
        </w:tc>
        <w:tc>
          <w:tcPr>
            <w:tcW w:w="2215" w:type="dxa"/>
            <w:tcBorders>
              <w:top w:val="nil" w:sz="6" w:space="0" w:color="auto"/>
              <w:left w:val="nil" w:sz="6" w:space="0" w:color="auto"/>
              <w:bottom w:val="nil" w:sz="6" w:space="0" w:color="auto"/>
              <w:right w:val="nil" w:sz="6" w:space="0" w:color="auto"/>
            </w:tcBorders>
          </w:tcPr>
          <w:p>
            <w:pPr/>
          </w:p>
        </w:tc>
        <w:tc>
          <w:tcPr>
            <w:tcW w:w="1602" w:type="dxa"/>
            <w:tcBorders>
              <w:top w:val="nil" w:sz="6" w:space="0" w:color="auto"/>
              <w:left w:val="nil" w:sz="6" w:space="0" w:color="auto"/>
              <w:bottom w:val="nil" w:sz="6" w:space="0" w:color="auto"/>
              <w:right w:val="nil" w:sz="6" w:space="0" w:color="auto"/>
            </w:tcBorders>
          </w:tcPr>
          <w:p>
            <w:pPr/>
          </w:p>
        </w:tc>
        <w:tc>
          <w:tcPr>
            <w:tcW w:w="1834"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17,093,159</w:t>
            </w:r>
            <w:r>
              <w:rPr>
                <w:rFonts w:ascii="Arial"/>
                <w:spacing w:val="-1"/>
                <w:sz w:val="20"/>
              </w:rPr>
            </w:r>
            <w:r>
              <w:rPr>
                <w:rFonts w:ascii="Arial"/>
                <w:sz w:val="20"/>
              </w:rPr>
            </w:r>
          </w:p>
        </w:tc>
      </w:tr>
    </w:tbl>
    <w:p>
      <w:pPr>
        <w:spacing w:after="0" w:line="240" w:lineRule="auto"/>
        <w:jc w:val="right"/>
        <w:rPr>
          <w:rFonts w:ascii="Arial" w:hAnsi="Arial" w:cs="Arial" w:eastAsia="Arial" w:hint="default"/>
          <w:sz w:val="20"/>
          <w:szCs w:val="20"/>
        </w:rPr>
        <w:sectPr>
          <w:pgSz w:w="11910" w:h="16850"/>
          <w:pgMar w:header="957" w:footer="473" w:top="2600" w:bottom="660" w:left="1600" w:right="1200"/>
        </w:sectPr>
      </w:pPr>
    </w:p>
    <w:p>
      <w:pPr>
        <w:spacing w:line="240" w:lineRule="auto" w:before="6"/>
        <w:rPr>
          <w:rFonts w:ascii="黑体" w:hAnsi="黑体" w:cs="黑体" w:eastAsia="黑体" w:hint="default"/>
          <w:sz w:val="14"/>
          <w:szCs w:val="14"/>
        </w:rPr>
      </w:pPr>
    </w:p>
    <w:p>
      <w:pPr>
        <w:pStyle w:val="Heading6"/>
        <w:spacing w:line="240" w:lineRule="auto"/>
        <w:ind w:left="121" w:right="300"/>
        <w:jc w:val="left"/>
        <w:rPr>
          <w:b w:val="0"/>
          <w:bCs w:val="0"/>
        </w:rPr>
      </w:pPr>
      <w:r>
        <w:rPr/>
        <w:t>十三、公司财务报表主要项目注释（续）</w:t>
      </w:r>
      <w:r>
        <w:rPr>
          <w:b w:val="0"/>
          <w:bCs w:val="0"/>
        </w:rPr>
      </w:r>
    </w:p>
    <w:p>
      <w:pPr>
        <w:spacing w:line="240" w:lineRule="auto" w:before="0"/>
        <w:rPr>
          <w:rFonts w:ascii="黑体" w:hAnsi="黑体" w:cs="黑体" w:eastAsia="黑体" w:hint="default"/>
          <w:b/>
          <w:bCs/>
          <w:sz w:val="15"/>
          <w:szCs w:val="15"/>
        </w:rPr>
      </w:pPr>
    </w:p>
    <w:p>
      <w:pPr>
        <w:pStyle w:val="Heading6"/>
        <w:tabs>
          <w:tab w:pos="798" w:val="left" w:leader="none"/>
        </w:tabs>
        <w:spacing w:line="240" w:lineRule="auto" w:before="0"/>
        <w:ind w:left="119" w:right="300"/>
        <w:jc w:val="left"/>
        <w:rPr>
          <w:b w:val="0"/>
          <w:bCs w:val="0"/>
        </w:rPr>
      </w:pPr>
      <w:r>
        <w:rPr>
          <w:rFonts w:ascii="Arial" w:hAnsi="Arial" w:cs="Arial" w:eastAsia="Arial" w:hint="default"/>
          <w:spacing w:val="-1"/>
          <w:w w:val="95"/>
        </w:rPr>
        <w:t>41.</w:t>
        <w:tab/>
      </w:r>
      <w:bookmarkStart w:name="41.    本公司与关联方之主要交易（续）" w:id="158"/>
      <w:bookmarkEnd w:id="158"/>
      <w:r>
        <w:rPr>
          <w:rFonts w:ascii="Arial" w:hAnsi="Arial" w:cs="Arial" w:eastAsia="Arial" w:hint="default"/>
          <w:spacing w:val="-1"/>
          <w:w w:val="95"/>
        </w:rPr>
      </w:r>
      <w:r>
        <w:rPr>
          <w:spacing w:val="1"/>
        </w:rPr>
        <w:t>本公司与关联方之主要交易（续）</w:t>
      </w:r>
      <w:r>
        <w:rPr>
          <w:b w:val="0"/>
          <w:bCs w:val="0"/>
        </w:rPr>
      </w:r>
    </w:p>
    <w:p>
      <w:pPr>
        <w:spacing w:line="240" w:lineRule="auto" w:before="8"/>
        <w:rPr>
          <w:rFonts w:ascii="黑体" w:hAnsi="黑体" w:cs="黑体" w:eastAsia="黑体" w:hint="default"/>
          <w:b/>
          <w:bCs/>
          <w:sz w:val="15"/>
          <w:szCs w:val="15"/>
        </w:rPr>
      </w:pPr>
    </w:p>
    <w:p>
      <w:pPr>
        <w:pStyle w:val="BodyText"/>
        <w:spacing w:line="240" w:lineRule="auto"/>
        <w:ind w:left="834" w:right="300"/>
        <w:jc w:val="left"/>
      </w:pPr>
      <w:r>
        <w:rPr>
          <w:rFonts w:ascii="Arial" w:hAnsi="Arial" w:cs="Arial" w:eastAsia="Arial" w:hint="default"/>
        </w:rPr>
        <w:t>(2)</w:t>
      </w:r>
      <w:r>
        <w:rPr>
          <w:rFonts w:ascii="Arial" w:hAnsi="Arial" w:cs="Arial" w:eastAsia="Arial" w:hint="default"/>
          <w:spacing w:val="42"/>
        </w:rPr>
        <w:t> </w:t>
      </w:r>
      <w:r>
        <w:rPr/>
        <w:t>关联方租赁</w:t>
      </w:r>
      <w:r>
        <w:rPr>
          <w:rFonts w:ascii="黑体" w:hAnsi="黑体" w:cs="黑体" w:eastAsia="黑体" w:hint="default"/>
          <w:b/>
          <w:bCs/>
        </w:rPr>
        <w:t>（</w:t>
      </w:r>
      <w:r>
        <w:rPr/>
        <w:t>续）</w:t>
      </w:r>
    </w:p>
    <w:p>
      <w:pPr>
        <w:spacing w:line="240" w:lineRule="auto" w:before="8"/>
        <w:rPr>
          <w:rFonts w:ascii="黑体" w:hAnsi="黑体" w:cs="黑体" w:eastAsia="黑体" w:hint="default"/>
          <w:sz w:val="15"/>
          <w:szCs w:val="15"/>
        </w:rPr>
      </w:pPr>
    </w:p>
    <w:p>
      <w:pPr>
        <w:pStyle w:val="BodyText"/>
        <w:spacing w:line="240" w:lineRule="auto"/>
        <w:ind w:left="834" w:right="300"/>
        <w:jc w:val="left"/>
      </w:pPr>
      <w:r>
        <w:rPr>
          <w:rFonts w:ascii="Arial" w:hAnsi="Arial" w:cs="Arial" w:eastAsia="Arial" w:hint="default"/>
        </w:rPr>
        <w:t>2011</w:t>
      </w:r>
      <w:r>
        <w:rPr/>
        <w:t>年</w:t>
      </w:r>
    </w:p>
    <w:p>
      <w:pPr>
        <w:spacing w:line="240" w:lineRule="auto" w:before="8"/>
        <w:rPr>
          <w:rFonts w:ascii="黑体" w:hAnsi="黑体" w:cs="黑体" w:eastAsia="黑体" w:hint="default"/>
          <w:sz w:val="21"/>
          <w:szCs w:val="21"/>
        </w:rPr>
      </w:pPr>
    </w:p>
    <w:tbl>
      <w:tblPr>
        <w:tblW w:w="0" w:type="auto"/>
        <w:jc w:val="left"/>
        <w:tblInd w:w="624" w:type="dxa"/>
        <w:tblLayout w:type="fixed"/>
        <w:tblCellMar>
          <w:top w:w="0" w:type="dxa"/>
          <w:left w:w="0" w:type="dxa"/>
          <w:bottom w:w="0" w:type="dxa"/>
          <w:right w:w="0" w:type="dxa"/>
        </w:tblCellMar>
        <w:tblLook w:val="01E0"/>
      </w:tblPr>
      <w:tblGrid>
        <w:gridCol w:w="1434"/>
        <w:gridCol w:w="2327"/>
        <w:gridCol w:w="1502"/>
        <w:gridCol w:w="1644"/>
        <w:gridCol w:w="1308"/>
      </w:tblGrid>
      <w:tr>
        <w:trPr>
          <w:trHeight w:val="227" w:hRule="exact"/>
        </w:trPr>
        <w:tc>
          <w:tcPr>
            <w:tcW w:w="1434" w:type="dxa"/>
            <w:tcBorders>
              <w:top w:val="nil" w:sz="6" w:space="0" w:color="auto"/>
              <w:left w:val="nil" w:sz="6" w:space="0" w:color="auto"/>
              <w:bottom w:val="nil" w:sz="6" w:space="0" w:color="auto"/>
              <w:right w:val="nil" w:sz="6" w:space="0" w:color="auto"/>
            </w:tcBorders>
          </w:tcPr>
          <w:p>
            <w:pPr/>
          </w:p>
        </w:tc>
        <w:tc>
          <w:tcPr>
            <w:tcW w:w="2327" w:type="dxa"/>
            <w:tcBorders>
              <w:top w:val="nil" w:sz="6" w:space="0" w:color="auto"/>
              <w:left w:val="nil" w:sz="6" w:space="0" w:color="auto"/>
              <w:bottom w:val="nil" w:sz="6" w:space="0" w:color="auto"/>
              <w:right w:val="nil" w:sz="6" w:space="0" w:color="auto"/>
            </w:tcBorders>
          </w:tcPr>
          <w:p>
            <w:pPr>
              <w:pStyle w:val="TableParagraph"/>
              <w:spacing w:line="199" w:lineRule="exact"/>
              <w:ind w:right="78"/>
              <w:jc w:val="right"/>
              <w:rPr>
                <w:rFonts w:ascii="黑体" w:hAnsi="黑体" w:cs="黑体" w:eastAsia="黑体" w:hint="default"/>
                <w:sz w:val="20"/>
                <w:szCs w:val="20"/>
              </w:rPr>
            </w:pPr>
            <w:r>
              <w:rPr>
                <w:rFonts w:ascii="黑体" w:hAnsi="黑体" w:cs="黑体" w:eastAsia="黑体" w:hint="default"/>
                <w:w w:val="95"/>
                <w:sz w:val="20"/>
                <w:szCs w:val="20"/>
              </w:rPr>
              <w:t>租赁资产</w:t>
            </w:r>
            <w:r>
              <w:rPr>
                <w:rFonts w:ascii="黑体" w:hAnsi="黑体" w:cs="黑体" w:eastAsia="黑体" w:hint="default"/>
                <w:sz w:val="20"/>
                <w:szCs w:val="20"/>
              </w:rPr>
            </w:r>
          </w:p>
        </w:tc>
        <w:tc>
          <w:tcPr>
            <w:tcW w:w="1502" w:type="dxa"/>
            <w:tcBorders>
              <w:top w:val="nil" w:sz="6" w:space="0" w:color="auto"/>
              <w:left w:val="nil" w:sz="6" w:space="0" w:color="auto"/>
              <w:bottom w:val="nil" w:sz="6" w:space="0" w:color="auto"/>
              <w:right w:val="nil" w:sz="6" w:space="0" w:color="auto"/>
            </w:tcBorders>
          </w:tcPr>
          <w:p>
            <w:pPr>
              <w:pStyle w:val="TableParagraph"/>
              <w:spacing w:line="199" w:lineRule="exact"/>
              <w:ind w:right="44"/>
              <w:jc w:val="right"/>
              <w:rPr>
                <w:rFonts w:ascii="黑体" w:hAnsi="黑体" w:cs="黑体" w:eastAsia="黑体" w:hint="default"/>
                <w:sz w:val="20"/>
                <w:szCs w:val="20"/>
              </w:rPr>
            </w:pPr>
            <w:r>
              <w:rPr>
                <w:rFonts w:ascii="黑体" w:hAnsi="黑体" w:cs="黑体" w:eastAsia="黑体" w:hint="default"/>
                <w:w w:val="95"/>
                <w:sz w:val="20"/>
                <w:szCs w:val="20"/>
              </w:rPr>
              <w:t>租赁</w:t>
            </w:r>
            <w:r>
              <w:rPr>
                <w:rFonts w:ascii="黑体" w:hAnsi="黑体" w:cs="黑体" w:eastAsia="黑体" w:hint="default"/>
                <w:sz w:val="20"/>
                <w:szCs w:val="20"/>
              </w:rPr>
            </w:r>
          </w:p>
        </w:tc>
        <w:tc>
          <w:tcPr>
            <w:tcW w:w="1644" w:type="dxa"/>
            <w:tcBorders>
              <w:top w:val="nil" w:sz="6" w:space="0" w:color="auto"/>
              <w:left w:val="nil" w:sz="6" w:space="0" w:color="auto"/>
              <w:bottom w:val="nil" w:sz="6" w:space="0" w:color="auto"/>
              <w:right w:val="nil" w:sz="6" w:space="0" w:color="auto"/>
            </w:tcBorders>
          </w:tcPr>
          <w:p>
            <w:pPr>
              <w:pStyle w:val="TableParagraph"/>
              <w:spacing w:line="199" w:lineRule="exact"/>
              <w:ind w:right="107"/>
              <w:jc w:val="right"/>
              <w:rPr>
                <w:rFonts w:ascii="黑体" w:hAnsi="黑体" w:cs="黑体" w:eastAsia="黑体" w:hint="default"/>
                <w:sz w:val="20"/>
                <w:szCs w:val="20"/>
              </w:rPr>
            </w:pPr>
            <w:r>
              <w:rPr>
                <w:rFonts w:ascii="黑体" w:hAnsi="黑体" w:cs="黑体" w:eastAsia="黑体" w:hint="default"/>
                <w:w w:val="95"/>
                <w:sz w:val="20"/>
                <w:szCs w:val="20"/>
              </w:rPr>
              <w:t>租赁</w:t>
            </w:r>
            <w:r>
              <w:rPr>
                <w:rFonts w:ascii="黑体" w:hAnsi="黑体" w:cs="黑体" w:eastAsia="黑体" w:hint="default"/>
                <w:sz w:val="20"/>
                <w:szCs w:val="20"/>
              </w:rPr>
            </w:r>
          </w:p>
        </w:tc>
        <w:tc>
          <w:tcPr>
            <w:tcW w:w="1308" w:type="dxa"/>
            <w:tcBorders>
              <w:top w:val="nil" w:sz="6" w:space="0" w:color="auto"/>
              <w:left w:val="nil" w:sz="6" w:space="0" w:color="auto"/>
              <w:bottom w:val="nil" w:sz="6" w:space="0" w:color="auto"/>
              <w:right w:val="nil" w:sz="6" w:space="0" w:color="auto"/>
            </w:tcBorders>
          </w:tcPr>
          <w:p>
            <w:pPr>
              <w:pStyle w:val="TableParagraph"/>
              <w:spacing w:line="199" w:lineRule="exact"/>
              <w:ind w:right="198"/>
              <w:jc w:val="right"/>
              <w:rPr>
                <w:rFonts w:ascii="黑体" w:hAnsi="黑体" w:cs="黑体" w:eastAsia="黑体" w:hint="default"/>
                <w:sz w:val="20"/>
                <w:szCs w:val="20"/>
              </w:rPr>
            </w:pPr>
            <w:r>
              <w:rPr>
                <w:rFonts w:ascii="黑体" w:hAnsi="黑体" w:cs="黑体" w:eastAsia="黑体" w:hint="default"/>
                <w:w w:val="95"/>
                <w:sz w:val="20"/>
                <w:szCs w:val="20"/>
              </w:rPr>
              <w:t>年度确认的</w:t>
            </w:r>
            <w:r>
              <w:rPr>
                <w:rFonts w:ascii="黑体" w:hAnsi="黑体" w:cs="黑体" w:eastAsia="黑体" w:hint="default"/>
                <w:sz w:val="20"/>
                <w:szCs w:val="20"/>
              </w:rPr>
            </w:r>
          </w:p>
        </w:tc>
      </w:tr>
      <w:tr>
        <w:trPr>
          <w:trHeight w:val="386" w:hRule="exact"/>
        </w:trPr>
        <w:tc>
          <w:tcPr>
            <w:tcW w:w="1434" w:type="dxa"/>
            <w:tcBorders>
              <w:top w:val="nil" w:sz="6" w:space="0" w:color="auto"/>
              <w:left w:val="nil" w:sz="6" w:space="0" w:color="auto"/>
              <w:bottom w:val="nil" w:sz="6" w:space="0" w:color="auto"/>
              <w:right w:val="nil" w:sz="6" w:space="0" w:color="auto"/>
            </w:tcBorders>
          </w:tcPr>
          <w:p>
            <w:pPr/>
          </w:p>
        </w:tc>
        <w:tc>
          <w:tcPr>
            <w:tcW w:w="2327" w:type="dxa"/>
            <w:tcBorders>
              <w:top w:val="nil" w:sz="6" w:space="0" w:color="auto"/>
              <w:left w:val="nil" w:sz="6" w:space="0" w:color="auto"/>
              <w:bottom w:val="nil" w:sz="6" w:space="0" w:color="auto"/>
              <w:right w:val="nil" w:sz="6" w:space="0" w:color="auto"/>
            </w:tcBorders>
          </w:tcPr>
          <w:p>
            <w:pPr>
              <w:pStyle w:val="TableParagraph"/>
              <w:spacing w:line="227" w:lineRule="exact"/>
              <w:ind w:right="78"/>
              <w:jc w:val="right"/>
              <w:rPr>
                <w:rFonts w:ascii="黑体" w:hAnsi="黑体" w:cs="黑体" w:eastAsia="黑体" w:hint="default"/>
                <w:sz w:val="20"/>
                <w:szCs w:val="20"/>
              </w:rPr>
            </w:pPr>
            <w:r>
              <w:rPr>
                <w:rFonts w:ascii="黑体" w:hAnsi="黑体" w:cs="黑体" w:eastAsia="黑体" w:hint="default"/>
                <w:w w:val="95"/>
                <w:sz w:val="20"/>
                <w:szCs w:val="20"/>
              </w:rPr>
              <w:t>类型</w:t>
            </w:r>
            <w:r>
              <w:rPr>
                <w:rFonts w:ascii="黑体" w:hAnsi="黑体" w:cs="黑体" w:eastAsia="黑体" w:hint="default"/>
                <w:sz w:val="20"/>
                <w:szCs w:val="20"/>
              </w:rPr>
            </w:r>
          </w:p>
        </w:tc>
        <w:tc>
          <w:tcPr>
            <w:tcW w:w="1502" w:type="dxa"/>
            <w:tcBorders>
              <w:top w:val="nil" w:sz="6" w:space="0" w:color="auto"/>
              <w:left w:val="nil" w:sz="6" w:space="0" w:color="auto"/>
              <w:bottom w:val="nil" w:sz="6" w:space="0" w:color="auto"/>
              <w:right w:val="nil" w:sz="6" w:space="0" w:color="auto"/>
            </w:tcBorders>
          </w:tcPr>
          <w:p>
            <w:pPr>
              <w:pStyle w:val="TableParagraph"/>
              <w:spacing w:line="227" w:lineRule="exact"/>
              <w:ind w:right="44"/>
              <w:jc w:val="right"/>
              <w:rPr>
                <w:rFonts w:ascii="黑体" w:hAnsi="黑体" w:cs="黑体" w:eastAsia="黑体" w:hint="default"/>
                <w:sz w:val="20"/>
                <w:szCs w:val="20"/>
              </w:rPr>
            </w:pPr>
            <w:r>
              <w:rPr>
                <w:rFonts w:ascii="黑体" w:hAnsi="黑体" w:cs="黑体" w:eastAsia="黑体" w:hint="default"/>
                <w:w w:val="95"/>
                <w:sz w:val="20"/>
                <w:szCs w:val="20"/>
              </w:rPr>
              <w:t>起始日</w:t>
            </w:r>
            <w:r>
              <w:rPr>
                <w:rFonts w:ascii="黑体" w:hAnsi="黑体" w:cs="黑体" w:eastAsia="黑体" w:hint="default"/>
                <w:sz w:val="20"/>
                <w:szCs w:val="20"/>
              </w:rPr>
            </w:r>
          </w:p>
        </w:tc>
        <w:tc>
          <w:tcPr>
            <w:tcW w:w="1644" w:type="dxa"/>
            <w:tcBorders>
              <w:top w:val="nil" w:sz="6" w:space="0" w:color="auto"/>
              <w:left w:val="nil" w:sz="6" w:space="0" w:color="auto"/>
              <w:bottom w:val="nil" w:sz="6" w:space="0" w:color="auto"/>
              <w:right w:val="nil" w:sz="6" w:space="0" w:color="auto"/>
            </w:tcBorders>
          </w:tcPr>
          <w:p>
            <w:pPr>
              <w:pStyle w:val="TableParagraph"/>
              <w:spacing w:line="227" w:lineRule="exact"/>
              <w:ind w:right="107"/>
              <w:jc w:val="right"/>
              <w:rPr>
                <w:rFonts w:ascii="黑体" w:hAnsi="黑体" w:cs="黑体" w:eastAsia="黑体" w:hint="default"/>
                <w:sz w:val="20"/>
                <w:szCs w:val="20"/>
              </w:rPr>
            </w:pPr>
            <w:r>
              <w:rPr>
                <w:rFonts w:ascii="黑体" w:hAnsi="黑体" w:cs="黑体" w:eastAsia="黑体" w:hint="default"/>
                <w:w w:val="95"/>
                <w:sz w:val="20"/>
                <w:szCs w:val="20"/>
              </w:rPr>
              <w:t>终止日</w:t>
            </w:r>
            <w:r>
              <w:rPr>
                <w:rFonts w:ascii="黑体" w:hAnsi="黑体" w:cs="黑体" w:eastAsia="黑体" w:hint="default"/>
                <w:sz w:val="20"/>
                <w:szCs w:val="20"/>
              </w:rPr>
            </w:r>
          </w:p>
        </w:tc>
        <w:tc>
          <w:tcPr>
            <w:tcW w:w="1308" w:type="dxa"/>
            <w:tcBorders>
              <w:top w:val="nil" w:sz="6" w:space="0" w:color="auto"/>
              <w:left w:val="nil" w:sz="6" w:space="0" w:color="auto"/>
              <w:bottom w:val="nil" w:sz="6" w:space="0" w:color="auto"/>
              <w:right w:val="nil" w:sz="6" w:space="0" w:color="auto"/>
            </w:tcBorders>
          </w:tcPr>
          <w:p>
            <w:pPr>
              <w:pStyle w:val="TableParagraph"/>
              <w:spacing w:line="227" w:lineRule="exact"/>
              <w:ind w:right="198"/>
              <w:jc w:val="right"/>
              <w:rPr>
                <w:rFonts w:ascii="黑体" w:hAnsi="黑体" w:cs="黑体" w:eastAsia="黑体" w:hint="default"/>
                <w:sz w:val="20"/>
                <w:szCs w:val="20"/>
              </w:rPr>
            </w:pPr>
            <w:r>
              <w:rPr>
                <w:rFonts w:ascii="黑体" w:hAnsi="黑体" w:cs="黑体" w:eastAsia="黑体" w:hint="default"/>
                <w:w w:val="95"/>
                <w:sz w:val="20"/>
                <w:szCs w:val="20"/>
              </w:rPr>
              <w:t>租赁收益</w:t>
            </w:r>
            <w:r>
              <w:rPr>
                <w:rFonts w:ascii="黑体" w:hAnsi="黑体" w:cs="黑体" w:eastAsia="黑体" w:hint="default"/>
                <w:sz w:val="20"/>
                <w:szCs w:val="20"/>
              </w:rPr>
            </w:r>
          </w:p>
        </w:tc>
      </w:tr>
      <w:tr>
        <w:trPr>
          <w:trHeight w:val="391"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00" w:right="0"/>
              <w:jc w:val="left"/>
              <w:rPr>
                <w:rFonts w:ascii="黑体" w:hAnsi="黑体" w:cs="黑体" w:eastAsia="黑体" w:hint="default"/>
                <w:sz w:val="20"/>
                <w:szCs w:val="20"/>
              </w:rPr>
            </w:pPr>
            <w:r>
              <w:rPr>
                <w:rFonts w:ascii="黑体" w:hAnsi="黑体" w:cs="黑体" w:eastAsia="黑体" w:hint="default"/>
                <w:sz w:val="20"/>
                <w:szCs w:val="20"/>
              </w:rPr>
              <w:t>用友教育</w:t>
            </w:r>
          </w:p>
        </w:tc>
        <w:tc>
          <w:tcPr>
            <w:tcW w:w="232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76"/>
              <w:jc w:val="right"/>
              <w:rPr>
                <w:rFonts w:ascii="黑体" w:hAnsi="黑体" w:cs="黑体" w:eastAsia="黑体" w:hint="default"/>
                <w:sz w:val="20"/>
                <w:szCs w:val="20"/>
              </w:rPr>
            </w:pPr>
            <w:r>
              <w:rPr>
                <w:rFonts w:ascii="黑体" w:hAnsi="黑体" w:cs="黑体" w:eastAsia="黑体" w:hint="default"/>
                <w:w w:val="95"/>
                <w:sz w:val="20"/>
                <w:szCs w:val="20"/>
              </w:rPr>
              <w:t>用友软件园办公用房</w:t>
            </w:r>
            <w:r>
              <w:rPr>
                <w:rFonts w:ascii="黑体" w:hAnsi="黑体" w:cs="黑体" w:eastAsia="黑体" w:hint="default"/>
                <w:sz w:val="20"/>
                <w:szCs w:val="20"/>
              </w:rPr>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44"/>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r>
              <w:rPr>
                <w:rFonts w:ascii="Arial" w:hAnsi="Arial" w:cs="Arial" w:eastAsia="Arial" w:hint="default"/>
                <w:spacing w:val="-1"/>
                <w:sz w:val="20"/>
                <w:szCs w:val="20"/>
              </w:rPr>
              <w:t>1</w:t>
            </w:r>
            <w:r>
              <w:rPr>
                <w:rFonts w:ascii="黑体" w:hAnsi="黑体" w:cs="黑体" w:eastAsia="黑体" w:hint="default"/>
                <w:spacing w:val="-1"/>
                <w:sz w:val="20"/>
                <w:szCs w:val="20"/>
              </w:rPr>
              <w:t>月</w:t>
            </w:r>
            <w:r>
              <w:rPr>
                <w:rFonts w:ascii="Arial" w:hAnsi="Arial" w:cs="Arial" w:eastAsia="Arial" w:hint="default"/>
                <w:spacing w:val="-1"/>
                <w:sz w:val="20"/>
                <w:szCs w:val="20"/>
              </w:rPr>
              <w:t>1</w:t>
            </w:r>
            <w:r>
              <w:rPr>
                <w:rFonts w:ascii="黑体" w:hAnsi="黑体" w:cs="黑体" w:eastAsia="黑体" w:hint="default"/>
                <w:spacing w:val="-1"/>
                <w:sz w:val="20"/>
                <w:szCs w:val="20"/>
              </w:rPr>
              <w:t>日</w:t>
            </w:r>
          </w:p>
        </w:tc>
        <w:tc>
          <w:tcPr>
            <w:tcW w:w="164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07"/>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r>
              <w:rPr>
                <w:rFonts w:ascii="Arial" w:hAnsi="Arial" w:cs="Arial" w:eastAsia="Arial" w:hint="default"/>
                <w:spacing w:val="-1"/>
                <w:sz w:val="20"/>
                <w:szCs w:val="20"/>
              </w:rPr>
              <w:t>4</w:t>
            </w:r>
            <w:r>
              <w:rPr>
                <w:rFonts w:ascii="黑体" w:hAnsi="黑体" w:cs="黑体" w:eastAsia="黑体" w:hint="default"/>
                <w:spacing w:val="-1"/>
                <w:sz w:val="20"/>
                <w:szCs w:val="20"/>
              </w:rPr>
              <w:t>月</w:t>
            </w:r>
            <w:r>
              <w:rPr>
                <w:rFonts w:ascii="Arial" w:hAnsi="Arial" w:cs="Arial" w:eastAsia="Arial" w:hint="default"/>
                <w:spacing w:val="-1"/>
                <w:sz w:val="20"/>
                <w:szCs w:val="20"/>
              </w:rPr>
              <w:t>30</w:t>
            </w:r>
            <w:r>
              <w:rPr>
                <w:rFonts w:ascii="黑体" w:hAnsi="黑体" w:cs="黑体" w:eastAsia="黑体" w:hint="default"/>
                <w:spacing w:val="-1"/>
                <w:sz w:val="20"/>
                <w:szCs w:val="20"/>
              </w:rPr>
              <w:t>日</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143"/>
              <w:ind w:right="198"/>
              <w:jc w:val="right"/>
              <w:rPr>
                <w:rFonts w:ascii="Arial" w:hAnsi="Arial" w:cs="Arial" w:eastAsia="Arial" w:hint="default"/>
                <w:sz w:val="20"/>
                <w:szCs w:val="20"/>
              </w:rPr>
            </w:pPr>
            <w:r>
              <w:rPr>
                <w:rFonts w:ascii="Arial"/>
                <w:spacing w:val="-1"/>
                <w:sz w:val="20"/>
              </w:rPr>
              <w:t>643,907</w:t>
            </w:r>
          </w:p>
        </w:tc>
      </w:tr>
      <w:tr>
        <w:trPr>
          <w:trHeight w:val="254"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z w:val="20"/>
                <w:szCs w:val="20"/>
              </w:rPr>
              <w:t>用友政务</w:t>
            </w:r>
          </w:p>
        </w:tc>
        <w:tc>
          <w:tcPr>
            <w:tcW w:w="2327" w:type="dxa"/>
            <w:tcBorders>
              <w:top w:val="nil" w:sz="6" w:space="0" w:color="auto"/>
              <w:left w:val="nil" w:sz="6" w:space="0" w:color="auto"/>
              <w:bottom w:val="nil" w:sz="6" w:space="0" w:color="auto"/>
              <w:right w:val="nil" w:sz="6" w:space="0" w:color="auto"/>
            </w:tcBorders>
          </w:tcPr>
          <w:p>
            <w:pPr>
              <w:pStyle w:val="TableParagraph"/>
              <w:spacing w:line="222" w:lineRule="exact"/>
              <w:ind w:right="76"/>
              <w:jc w:val="right"/>
              <w:rPr>
                <w:rFonts w:ascii="黑体" w:hAnsi="黑体" w:cs="黑体" w:eastAsia="黑体" w:hint="default"/>
                <w:sz w:val="20"/>
                <w:szCs w:val="20"/>
              </w:rPr>
            </w:pPr>
            <w:r>
              <w:rPr>
                <w:rFonts w:ascii="黑体" w:hAnsi="黑体" w:cs="黑体" w:eastAsia="黑体" w:hint="default"/>
                <w:w w:val="95"/>
                <w:sz w:val="20"/>
                <w:szCs w:val="20"/>
              </w:rPr>
              <w:t>用友软件园办公用房</w:t>
            </w:r>
            <w:r>
              <w:rPr>
                <w:rFonts w:ascii="黑体" w:hAnsi="黑体" w:cs="黑体" w:eastAsia="黑体" w:hint="default"/>
                <w:sz w:val="20"/>
                <w:szCs w:val="20"/>
              </w:rPr>
            </w:r>
          </w:p>
        </w:tc>
        <w:tc>
          <w:tcPr>
            <w:tcW w:w="1502" w:type="dxa"/>
            <w:tcBorders>
              <w:top w:val="nil" w:sz="6" w:space="0" w:color="auto"/>
              <w:left w:val="nil" w:sz="6" w:space="0" w:color="auto"/>
              <w:bottom w:val="nil" w:sz="6" w:space="0" w:color="auto"/>
              <w:right w:val="nil" w:sz="6" w:space="0" w:color="auto"/>
            </w:tcBorders>
          </w:tcPr>
          <w:p>
            <w:pPr>
              <w:pStyle w:val="TableParagraph"/>
              <w:spacing w:line="236" w:lineRule="exact"/>
              <w:ind w:right="44"/>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r>
              <w:rPr>
                <w:rFonts w:ascii="Arial" w:hAnsi="Arial" w:cs="Arial" w:eastAsia="Arial" w:hint="default"/>
                <w:spacing w:val="-1"/>
                <w:sz w:val="20"/>
                <w:szCs w:val="20"/>
              </w:rPr>
              <w:t>3</w:t>
            </w:r>
            <w:r>
              <w:rPr>
                <w:rFonts w:ascii="黑体" w:hAnsi="黑体" w:cs="黑体" w:eastAsia="黑体" w:hint="default"/>
                <w:spacing w:val="-1"/>
                <w:sz w:val="20"/>
                <w:szCs w:val="20"/>
              </w:rPr>
              <w:t>月</w:t>
            </w:r>
            <w:r>
              <w:rPr>
                <w:rFonts w:ascii="Arial" w:hAnsi="Arial" w:cs="Arial" w:eastAsia="Arial" w:hint="default"/>
                <w:spacing w:val="-1"/>
                <w:sz w:val="20"/>
                <w:szCs w:val="20"/>
              </w:rPr>
              <w:t>22</w:t>
            </w:r>
            <w:r>
              <w:rPr>
                <w:rFonts w:ascii="黑体" w:hAnsi="黑体" w:cs="黑体" w:eastAsia="黑体" w:hint="default"/>
                <w:spacing w:val="-1"/>
                <w:sz w:val="20"/>
                <w:szCs w:val="20"/>
              </w:rPr>
              <w:t>日</w:t>
            </w:r>
          </w:p>
        </w:tc>
        <w:tc>
          <w:tcPr>
            <w:tcW w:w="1644" w:type="dxa"/>
            <w:tcBorders>
              <w:top w:val="nil" w:sz="6" w:space="0" w:color="auto"/>
              <w:left w:val="nil" w:sz="6" w:space="0" w:color="auto"/>
              <w:bottom w:val="nil" w:sz="6" w:space="0" w:color="auto"/>
              <w:right w:val="nil" w:sz="6" w:space="0" w:color="auto"/>
            </w:tcBorders>
          </w:tcPr>
          <w:p>
            <w:pPr>
              <w:pStyle w:val="TableParagraph"/>
              <w:spacing w:line="236" w:lineRule="exact"/>
              <w:ind w:right="107"/>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r>
              <w:rPr>
                <w:rFonts w:ascii="Arial" w:hAnsi="Arial" w:cs="Arial" w:eastAsia="Arial" w:hint="default"/>
                <w:spacing w:val="-1"/>
                <w:sz w:val="20"/>
                <w:szCs w:val="20"/>
              </w:rPr>
              <w:t>3</w:t>
            </w:r>
            <w:r>
              <w:rPr>
                <w:rFonts w:ascii="黑体" w:hAnsi="黑体" w:cs="黑体" w:eastAsia="黑体" w:hint="default"/>
                <w:spacing w:val="-1"/>
                <w:sz w:val="20"/>
                <w:szCs w:val="20"/>
              </w:rPr>
              <w:t>月</w:t>
            </w:r>
            <w:r>
              <w:rPr>
                <w:rFonts w:ascii="Arial" w:hAnsi="Arial" w:cs="Arial" w:eastAsia="Arial" w:hint="default"/>
                <w:spacing w:val="-1"/>
                <w:sz w:val="20"/>
                <w:szCs w:val="20"/>
              </w:rPr>
              <w:t>21</w:t>
            </w:r>
            <w:r>
              <w:rPr>
                <w:rFonts w:ascii="黑体" w:hAnsi="黑体" w:cs="黑体" w:eastAsia="黑体" w:hint="default"/>
                <w:spacing w:val="-1"/>
                <w:sz w:val="20"/>
                <w:szCs w:val="20"/>
              </w:rPr>
              <w:t>日</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8"/>
              <w:jc w:val="right"/>
              <w:rPr>
                <w:rFonts w:ascii="Arial" w:hAnsi="Arial" w:cs="Arial" w:eastAsia="Arial" w:hint="default"/>
                <w:sz w:val="20"/>
                <w:szCs w:val="20"/>
              </w:rPr>
            </w:pPr>
            <w:r>
              <w:rPr>
                <w:rFonts w:ascii="Arial"/>
                <w:spacing w:val="-1"/>
                <w:sz w:val="20"/>
              </w:rPr>
              <w:t>6,049,244</w:t>
            </w:r>
          </w:p>
        </w:tc>
      </w:tr>
      <w:tr>
        <w:trPr>
          <w:trHeight w:val="256"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z w:val="20"/>
                <w:szCs w:val="20"/>
              </w:rPr>
              <w:t>用友医疗</w:t>
            </w:r>
          </w:p>
        </w:tc>
        <w:tc>
          <w:tcPr>
            <w:tcW w:w="2327" w:type="dxa"/>
            <w:tcBorders>
              <w:top w:val="nil" w:sz="6" w:space="0" w:color="auto"/>
              <w:left w:val="nil" w:sz="6" w:space="0" w:color="auto"/>
              <w:bottom w:val="nil" w:sz="6" w:space="0" w:color="auto"/>
              <w:right w:val="nil" w:sz="6" w:space="0" w:color="auto"/>
            </w:tcBorders>
          </w:tcPr>
          <w:p>
            <w:pPr>
              <w:pStyle w:val="TableParagraph"/>
              <w:spacing w:line="222" w:lineRule="exact"/>
              <w:ind w:right="76"/>
              <w:jc w:val="right"/>
              <w:rPr>
                <w:rFonts w:ascii="黑体" w:hAnsi="黑体" w:cs="黑体" w:eastAsia="黑体" w:hint="default"/>
                <w:sz w:val="20"/>
                <w:szCs w:val="20"/>
              </w:rPr>
            </w:pPr>
            <w:r>
              <w:rPr>
                <w:rFonts w:ascii="黑体" w:hAnsi="黑体" w:cs="黑体" w:eastAsia="黑体" w:hint="default"/>
                <w:w w:val="95"/>
                <w:sz w:val="20"/>
                <w:szCs w:val="20"/>
              </w:rPr>
              <w:t>用友软件园办公用房</w:t>
            </w:r>
            <w:r>
              <w:rPr>
                <w:rFonts w:ascii="黑体" w:hAnsi="黑体" w:cs="黑体" w:eastAsia="黑体" w:hint="default"/>
                <w:sz w:val="20"/>
                <w:szCs w:val="20"/>
              </w:rPr>
            </w:r>
          </w:p>
        </w:tc>
        <w:tc>
          <w:tcPr>
            <w:tcW w:w="1502" w:type="dxa"/>
            <w:tcBorders>
              <w:top w:val="nil" w:sz="6" w:space="0" w:color="auto"/>
              <w:left w:val="nil" w:sz="6" w:space="0" w:color="auto"/>
              <w:bottom w:val="nil" w:sz="6" w:space="0" w:color="auto"/>
              <w:right w:val="nil" w:sz="6" w:space="0" w:color="auto"/>
            </w:tcBorders>
          </w:tcPr>
          <w:p>
            <w:pPr>
              <w:pStyle w:val="TableParagraph"/>
              <w:spacing w:line="236" w:lineRule="exact"/>
              <w:ind w:right="44"/>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r>
              <w:rPr>
                <w:rFonts w:ascii="Arial" w:hAnsi="Arial" w:cs="Arial" w:eastAsia="Arial" w:hint="default"/>
                <w:spacing w:val="-1"/>
                <w:sz w:val="20"/>
                <w:szCs w:val="20"/>
              </w:rPr>
              <w:t>1</w:t>
            </w:r>
            <w:r>
              <w:rPr>
                <w:rFonts w:ascii="黑体" w:hAnsi="黑体" w:cs="黑体" w:eastAsia="黑体" w:hint="default"/>
                <w:spacing w:val="-1"/>
                <w:sz w:val="20"/>
                <w:szCs w:val="20"/>
              </w:rPr>
              <w:t>月</w:t>
            </w:r>
            <w:r>
              <w:rPr>
                <w:rFonts w:ascii="Arial" w:hAnsi="Arial" w:cs="Arial" w:eastAsia="Arial" w:hint="default"/>
                <w:spacing w:val="-1"/>
                <w:sz w:val="20"/>
                <w:szCs w:val="20"/>
              </w:rPr>
              <w:t>28</w:t>
            </w:r>
            <w:r>
              <w:rPr>
                <w:rFonts w:ascii="黑体" w:hAnsi="黑体" w:cs="黑体" w:eastAsia="黑体" w:hint="default"/>
                <w:spacing w:val="-1"/>
                <w:sz w:val="20"/>
                <w:szCs w:val="20"/>
              </w:rPr>
              <w:t>日</w:t>
            </w:r>
          </w:p>
        </w:tc>
        <w:tc>
          <w:tcPr>
            <w:tcW w:w="1644" w:type="dxa"/>
            <w:tcBorders>
              <w:top w:val="nil" w:sz="6" w:space="0" w:color="auto"/>
              <w:left w:val="nil" w:sz="6" w:space="0" w:color="auto"/>
              <w:bottom w:val="nil" w:sz="6" w:space="0" w:color="auto"/>
              <w:right w:val="nil" w:sz="6" w:space="0" w:color="auto"/>
            </w:tcBorders>
          </w:tcPr>
          <w:p>
            <w:pPr>
              <w:pStyle w:val="TableParagraph"/>
              <w:spacing w:line="236" w:lineRule="exact"/>
              <w:ind w:right="107"/>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r>
              <w:rPr>
                <w:rFonts w:ascii="Arial" w:hAnsi="Arial" w:cs="Arial" w:eastAsia="Arial" w:hint="default"/>
                <w:spacing w:val="-1"/>
                <w:sz w:val="20"/>
                <w:szCs w:val="20"/>
              </w:rPr>
              <w:t>3</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8"/>
              <w:jc w:val="right"/>
              <w:rPr>
                <w:rFonts w:ascii="Arial" w:hAnsi="Arial" w:cs="Arial" w:eastAsia="Arial" w:hint="default"/>
                <w:sz w:val="20"/>
                <w:szCs w:val="20"/>
              </w:rPr>
            </w:pPr>
            <w:r>
              <w:rPr>
                <w:rFonts w:ascii="Arial"/>
                <w:spacing w:val="-1"/>
                <w:sz w:val="20"/>
              </w:rPr>
              <w:t>2,352,327</w:t>
            </w:r>
          </w:p>
        </w:tc>
      </w:tr>
      <w:tr>
        <w:trPr>
          <w:trHeight w:val="256"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223" w:lineRule="exact"/>
              <w:ind w:left="200" w:right="0"/>
              <w:jc w:val="left"/>
              <w:rPr>
                <w:rFonts w:ascii="黑体" w:hAnsi="黑体" w:cs="黑体" w:eastAsia="黑体" w:hint="default"/>
                <w:sz w:val="20"/>
                <w:szCs w:val="20"/>
              </w:rPr>
            </w:pPr>
            <w:r>
              <w:rPr>
                <w:rFonts w:ascii="黑体" w:hAnsi="黑体" w:cs="黑体" w:eastAsia="黑体" w:hint="default"/>
                <w:sz w:val="20"/>
                <w:szCs w:val="20"/>
              </w:rPr>
              <w:t>畅捷通</w:t>
            </w:r>
          </w:p>
        </w:tc>
        <w:tc>
          <w:tcPr>
            <w:tcW w:w="2327" w:type="dxa"/>
            <w:tcBorders>
              <w:top w:val="nil" w:sz="6" w:space="0" w:color="auto"/>
              <w:left w:val="nil" w:sz="6" w:space="0" w:color="auto"/>
              <w:bottom w:val="nil" w:sz="6" w:space="0" w:color="auto"/>
              <w:right w:val="nil" w:sz="6" w:space="0" w:color="auto"/>
            </w:tcBorders>
          </w:tcPr>
          <w:p>
            <w:pPr>
              <w:pStyle w:val="TableParagraph"/>
              <w:spacing w:line="223" w:lineRule="exact"/>
              <w:ind w:right="76"/>
              <w:jc w:val="right"/>
              <w:rPr>
                <w:rFonts w:ascii="黑体" w:hAnsi="黑体" w:cs="黑体" w:eastAsia="黑体" w:hint="default"/>
                <w:sz w:val="20"/>
                <w:szCs w:val="20"/>
              </w:rPr>
            </w:pPr>
            <w:r>
              <w:rPr>
                <w:rFonts w:ascii="黑体" w:hAnsi="黑体" w:cs="黑体" w:eastAsia="黑体" w:hint="default"/>
                <w:w w:val="95"/>
                <w:sz w:val="20"/>
                <w:szCs w:val="20"/>
              </w:rPr>
              <w:t>用友软件园办公用房</w:t>
            </w:r>
            <w:r>
              <w:rPr>
                <w:rFonts w:ascii="黑体" w:hAnsi="黑体" w:cs="黑体" w:eastAsia="黑体" w:hint="default"/>
                <w:sz w:val="20"/>
                <w:szCs w:val="20"/>
              </w:rPr>
            </w:r>
          </w:p>
        </w:tc>
        <w:tc>
          <w:tcPr>
            <w:tcW w:w="1502" w:type="dxa"/>
            <w:tcBorders>
              <w:top w:val="nil" w:sz="6" w:space="0" w:color="auto"/>
              <w:left w:val="nil" w:sz="6" w:space="0" w:color="auto"/>
              <w:bottom w:val="nil" w:sz="6" w:space="0" w:color="auto"/>
              <w:right w:val="nil" w:sz="6" w:space="0" w:color="auto"/>
            </w:tcBorders>
          </w:tcPr>
          <w:p>
            <w:pPr>
              <w:pStyle w:val="TableParagraph"/>
              <w:spacing w:line="237" w:lineRule="exact"/>
              <w:ind w:right="44"/>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r>
              <w:rPr>
                <w:rFonts w:ascii="Arial" w:hAnsi="Arial" w:cs="Arial" w:eastAsia="Arial" w:hint="default"/>
                <w:spacing w:val="-1"/>
                <w:sz w:val="20"/>
                <w:szCs w:val="20"/>
              </w:rPr>
              <w:t>1</w:t>
            </w:r>
            <w:r>
              <w:rPr>
                <w:rFonts w:ascii="黑体" w:hAnsi="黑体" w:cs="黑体" w:eastAsia="黑体" w:hint="default"/>
                <w:spacing w:val="-1"/>
                <w:sz w:val="20"/>
                <w:szCs w:val="20"/>
              </w:rPr>
              <w:t>月</w:t>
            </w:r>
            <w:r>
              <w:rPr>
                <w:rFonts w:ascii="Arial" w:hAnsi="Arial" w:cs="Arial" w:eastAsia="Arial" w:hint="default"/>
                <w:spacing w:val="-1"/>
                <w:sz w:val="20"/>
                <w:szCs w:val="20"/>
              </w:rPr>
              <w:t>1</w:t>
            </w:r>
            <w:r>
              <w:rPr>
                <w:rFonts w:ascii="黑体" w:hAnsi="黑体" w:cs="黑体" w:eastAsia="黑体" w:hint="default"/>
                <w:spacing w:val="-1"/>
                <w:sz w:val="20"/>
                <w:szCs w:val="20"/>
              </w:rPr>
              <w:t>日</w:t>
            </w:r>
          </w:p>
        </w:tc>
        <w:tc>
          <w:tcPr>
            <w:tcW w:w="1644" w:type="dxa"/>
            <w:tcBorders>
              <w:top w:val="nil" w:sz="6" w:space="0" w:color="auto"/>
              <w:left w:val="nil" w:sz="6" w:space="0" w:color="auto"/>
              <w:bottom w:val="nil" w:sz="6" w:space="0" w:color="auto"/>
              <w:right w:val="nil" w:sz="6" w:space="0" w:color="auto"/>
            </w:tcBorders>
          </w:tcPr>
          <w:p>
            <w:pPr>
              <w:pStyle w:val="TableParagraph"/>
              <w:spacing w:line="237" w:lineRule="exact"/>
              <w:ind w:right="107"/>
              <w:jc w:val="right"/>
              <w:rPr>
                <w:rFonts w:ascii="黑体" w:hAnsi="黑体" w:cs="黑体" w:eastAsia="黑体" w:hint="default"/>
                <w:sz w:val="20"/>
                <w:szCs w:val="20"/>
              </w:rPr>
            </w:pPr>
            <w:r>
              <w:rPr>
                <w:rFonts w:ascii="Arial" w:hAnsi="Arial" w:cs="Arial" w:eastAsia="Arial" w:hint="default"/>
                <w:w w:val="95"/>
                <w:sz w:val="20"/>
                <w:szCs w:val="20"/>
              </w:rPr>
              <w:t>2011</w:t>
            </w:r>
            <w:r>
              <w:rPr>
                <w:rFonts w:ascii="黑体" w:hAnsi="黑体" w:cs="黑体" w:eastAsia="黑体" w:hint="default"/>
                <w:w w:val="95"/>
                <w:sz w:val="20"/>
                <w:szCs w:val="20"/>
              </w:rPr>
              <w:t>年</w:t>
            </w:r>
            <w:r>
              <w:rPr>
                <w:rFonts w:ascii="Arial" w:hAnsi="Arial" w:cs="Arial" w:eastAsia="Arial" w:hint="default"/>
                <w:w w:val="95"/>
                <w:sz w:val="20"/>
                <w:szCs w:val="20"/>
              </w:rPr>
              <w:t>12</w:t>
            </w:r>
            <w:r>
              <w:rPr>
                <w:rFonts w:ascii="黑体" w:hAnsi="黑体" w:cs="黑体" w:eastAsia="黑体" w:hint="default"/>
                <w:w w:val="95"/>
                <w:sz w:val="20"/>
                <w:szCs w:val="20"/>
              </w:rPr>
              <w:t>月</w:t>
            </w:r>
            <w:r>
              <w:rPr>
                <w:rFonts w:ascii="Arial" w:hAnsi="Arial" w:cs="Arial" w:eastAsia="Arial" w:hint="default"/>
                <w:w w:val="95"/>
                <w:sz w:val="20"/>
                <w:szCs w:val="20"/>
              </w:rPr>
              <w:t>31</w:t>
            </w:r>
            <w:r>
              <w:rPr>
                <w:rFonts w:ascii="黑体" w:hAnsi="黑体" w:cs="黑体" w:eastAsia="黑体" w:hint="default"/>
                <w:w w:val="95"/>
                <w:sz w:val="20"/>
                <w:szCs w:val="20"/>
              </w:rPr>
              <w:t>日</w:t>
            </w:r>
            <w:r>
              <w:rPr>
                <w:rFonts w:ascii="黑体" w:hAnsi="黑体" w:cs="黑体" w:eastAsia="黑体" w:hint="default"/>
                <w:sz w:val="20"/>
                <w:szCs w:val="20"/>
              </w:rPr>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spacing w:val="-1"/>
                <w:sz w:val="20"/>
              </w:rPr>
              <w:t>4,424,125</w:t>
            </w:r>
          </w:p>
        </w:tc>
      </w:tr>
      <w:tr>
        <w:trPr>
          <w:trHeight w:val="254"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z w:val="20"/>
                <w:szCs w:val="20"/>
              </w:rPr>
              <w:t>北京伟库</w:t>
            </w:r>
          </w:p>
        </w:tc>
        <w:tc>
          <w:tcPr>
            <w:tcW w:w="2327" w:type="dxa"/>
            <w:tcBorders>
              <w:top w:val="nil" w:sz="6" w:space="0" w:color="auto"/>
              <w:left w:val="nil" w:sz="6" w:space="0" w:color="auto"/>
              <w:bottom w:val="nil" w:sz="6" w:space="0" w:color="auto"/>
              <w:right w:val="nil" w:sz="6" w:space="0" w:color="auto"/>
            </w:tcBorders>
          </w:tcPr>
          <w:p>
            <w:pPr>
              <w:pStyle w:val="TableParagraph"/>
              <w:spacing w:line="222" w:lineRule="exact"/>
              <w:ind w:right="76"/>
              <w:jc w:val="right"/>
              <w:rPr>
                <w:rFonts w:ascii="黑体" w:hAnsi="黑体" w:cs="黑体" w:eastAsia="黑体" w:hint="default"/>
                <w:sz w:val="20"/>
                <w:szCs w:val="20"/>
              </w:rPr>
            </w:pPr>
            <w:r>
              <w:rPr>
                <w:rFonts w:ascii="黑体" w:hAnsi="黑体" w:cs="黑体" w:eastAsia="黑体" w:hint="default"/>
                <w:w w:val="95"/>
                <w:sz w:val="20"/>
                <w:szCs w:val="20"/>
              </w:rPr>
              <w:t>用友软件园办公用房</w:t>
            </w:r>
            <w:r>
              <w:rPr>
                <w:rFonts w:ascii="黑体" w:hAnsi="黑体" w:cs="黑体" w:eastAsia="黑体" w:hint="default"/>
                <w:sz w:val="20"/>
                <w:szCs w:val="20"/>
              </w:rPr>
            </w:r>
          </w:p>
        </w:tc>
        <w:tc>
          <w:tcPr>
            <w:tcW w:w="1502" w:type="dxa"/>
            <w:tcBorders>
              <w:top w:val="nil" w:sz="6" w:space="0" w:color="auto"/>
              <w:left w:val="nil" w:sz="6" w:space="0" w:color="auto"/>
              <w:bottom w:val="nil" w:sz="6" w:space="0" w:color="auto"/>
              <w:right w:val="nil" w:sz="6" w:space="0" w:color="auto"/>
            </w:tcBorders>
          </w:tcPr>
          <w:p>
            <w:pPr>
              <w:pStyle w:val="TableParagraph"/>
              <w:spacing w:line="236" w:lineRule="exact"/>
              <w:ind w:right="44"/>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r>
              <w:rPr>
                <w:rFonts w:ascii="Arial" w:hAnsi="Arial" w:cs="Arial" w:eastAsia="Arial" w:hint="default"/>
                <w:spacing w:val="-1"/>
                <w:sz w:val="20"/>
                <w:szCs w:val="20"/>
              </w:rPr>
              <w:t>1</w:t>
            </w:r>
            <w:r>
              <w:rPr>
                <w:rFonts w:ascii="黑体" w:hAnsi="黑体" w:cs="黑体" w:eastAsia="黑体" w:hint="default"/>
                <w:spacing w:val="-1"/>
                <w:sz w:val="20"/>
                <w:szCs w:val="20"/>
              </w:rPr>
              <w:t>月</w:t>
            </w:r>
            <w:r>
              <w:rPr>
                <w:rFonts w:ascii="Arial" w:hAnsi="Arial" w:cs="Arial" w:eastAsia="Arial" w:hint="default"/>
                <w:spacing w:val="-1"/>
                <w:sz w:val="20"/>
                <w:szCs w:val="20"/>
              </w:rPr>
              <w:t>1</w:t>
            </w:r>
            <w:r>
              <w:rPr>
                <w:rFonts w:ascii="黑体" w:hAnsi="黑体" w:cs="黑体" w:eastAsia="黑体" w:hint="default"/>
                <w:spacing w:val="-1"/>
                <w:sz w:val="20"/>
                <w:szCs w:val="20"/>
              </w:rPr>
              <w:t>日</w:t>
            </w:r>
          </w:p>
        </w:tc>
        <w:tc>
          <w:tcPr>
            <w:tcW w:w="1644" w:type="dxa"/>
            <w:tcBorders>
              <w:top w:val="nil" w:sz="6" w:space="0" w:color="auto"/>
              <w:left w:val="nil" w:sz="6" w:space="0" w:color="auto"/>
              <w:bottom w:val="nil" w:sz="6" w:space="0" w:color="auto"/>
              <w:right w:val="nil" w:sz="6" w:space="0" w:color="auto"/>
            </w:tcBorders>
          </w:tcPr>
          <w:p>
            <w:pPr>
              <w:pStyle w:val="TableParagraph"/>
              <w:spacing w:line="236" w:lineRule="exact"/>
              <w:ind w:right="107"/>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r>
              <w:rPr>
                <w:rFonts w:ascii="Arial" w:hAnsi="Arial" w:cs="Arial" w:eastAsia="Arial" w:hint="default"/>
                <w:spacing w:val="-1"/>
                <w:sz w:val="20"/>
                <w:szCs w:val="20"/>
              </w:rPr>
              <w:t>3</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8"/>
              <w:jc w:val="right"/>
              <w:rPr>
                <w:rFonts w:ascii="Arial" w:hAnsi="Arial" w:cs="Arial" w:eastAsia="Arial" w:hint="default"/>
                <w:sz w:val="20"/>
                <w:szCs w:val="20"/>
              </w:rPr>
            </w:pPr>
            <w:r>
              <w:rPr>
                <w:rFonts w:ascii="Arial"/>
                <w:spacing w:val="-1"/>
                <w:w w:val="95"/>
                <w:sz w:val="20"/>
              </w:rPr>
              <w:t>1,450,813</w:t>
            </w:r>
            <w:r>
              <w:rPr>
                <w:rFonts w:ascii="Arial"/>
                <w:sz w:val="20"/>
              </w:rPr>
            </w:r>
          </w:p>
        </w:tc>
      </w:tr>
      <w:tr>
        <w:trPr>
          <w:trHeight w:val="254"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z w:val="20"/>
                <w:szCs w:val="20"/>
              </w:rPr>
              <w:t>用友新道</w:t>
            </w:r>
          </w:p>
        </w:tc>
        <w:tc>
          <w:tcPr>
            <w:tcW w:w="2327" w:type="dxa"/>
            <w:tcBorders>
              <w:top w:val="nil" w:sz="6" w:space="0" w:color="auto"/>
              <w:left w:val="nil" w:sz="6" w:space="0" w:color="auto"/>
              <w:bottom w:val="nil" w:sz="6" w:space="0" w:color="auto"/>
              <w:right w:val="nil" w:sz="6" w:space="0" w:color="auto"/>
            </w:tcBorders>
          </w:tcPr>
          <w:p>
            <w:pPr>
              <w:pStyle w:val="TableParagraph"/>
              <w:spacing w:line="222" w:lineRule="exact"/>
              <w:ind w:right="76"/>
              <w:jc w:val="right"/>
              <w:rPr>
                <w:rFonts w:ascii="黑体" w:hAnsi="黑体" w:cs="黑体" w:eastAsia="黑体" w:hint="default"/>
                <w:sz w:val="20"/>
                <w:szCs w:val="20"/>
              </w:rPr>
            </w:pPr>
            <w:r>
              <w:rPr>
                <w:rFonts w:ascii="黑体" w:hAnsi="黑体" w:cs="黑体" w:eastAsia="黑体" w:hint="default"/>
                <w:w w:val="95"/>
                <w:sz w:val="20"/>
                <w:szCs w:val="20"/>
              </w:rPr>
              <w:t>用友软件园办公用房</w:t>
            </w:r>
            <w:r>
              <w:rPr>
                <w:rFonts w:ascii="黑体" w:hAnsi="黑体" w:cs="黑体" w:eastAsia="黑体" w:hint="default"/>
                <w:sz w:val="20"/>
                <w:szCs w:val="20"/>
              </w:rPr>
            </w:r>
          </w:p>
        </w:tc>
        <w:tc>
          <w:tcPr>
            <w:tcW w:w="1502" w:type="dxa"/>
            <w:tcBorders>
              <w:top w:val="nil" w:sz="6" w:space="0" w:color="auto"/>
              <w:left w:val="nil" w:sz="6" w:space="0" w:color="auto"/>
              <w:bottom w:val="nil" w:sz="6" w:space="0" w:color="auto"/>
              <w:right w:val="nil" w:sz="6" w:space="0" w:color="auto"/>
            </w:tcBorders>
          </w:tcPr>
          <w:p>
            <w:pPr>
              <w:pStyle w:val="TableParagraph"/>
              <w:spacing w:line="236" w:lineRule="exact"/>
              <w:ind w:right="44"/>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r>
              <w:rPr>
                <w:rFonts w:ascii="Arial" w:hAnsi="Arial" w:cs="Arial" w:eastAsia="Arial" w:hint="default"/>
                <w:spacing w:val="-1"/>
                <w:sz w:val="20"/>
                <w:szCs w:val="20"/>
              </w:rPr>
              <w:t>4</w:t>
            </w:r>
            <w:r>
              <w:rPr>
                <w:rFonts w:ascii="黑体" w:hAnsi="黑体" w:cs="黑体" w:eastAsia="黑体" w:hint="default"/>
                <w:spacing w:val="-1"/>
                <w:sz w:val="20"/>
                <w:szCs w:val="20"/>
              </w:rPr>
              <w:t>月</w:t>
            </w:r>
            <w:r>
              <w:rPr>
                <w:rFonts w:ascii="Arial" w:hAnsi="Arial" w:cs="Arial" w:eastAsia="Arial" w:hint="default"/>
                <w:spacing w:val="-1"/>
                <w:sz w:val="20"/>
                <w:szCs w:val="20"/>
              </w:rPr>
              <w:t>13</w:t>
            </w:r>
            <w:r>
              <w:rPr>
                <w:rFonts w:ascii="黑体" w:hAnsi="黑体" w:cs="黑体" w:eastAsia="黑体" w:hint="default"/>
                <w:spacing w:val="-1"/>
                <w:sz w:val="20"/>
                <w:szCs w:val="20"/>
              </w:rPr>
              <w:t>日</w:t>
            </w:r>
          </w:p>
        </w:tc>
        <w:tc>
          <w:tcPr>
            <w:tcW w:w="1644" w:type="dxa"/>
            <w:tcBorders>
              <w:top w:val="nil" w:sz="6" w:space="0" w:color="auto"/>
              <w:left w:val="nil" w:sz="6" w:space="0" w:color="auto"/>
              <w:bottom w:val="nil" w:sz="6" w:space="0" w:color="auto"/>
              <w:right w:val="nil" w:sz="6" w:space="0" w:color="auto"/>
            </w:tcBorders>
          </w:tcPr>
          <w:p>
            <w:pPr>
              <w:pStyle w:val="TableParagraph"/>
              <w:spacing w:line="236" w:lineRule="exact"/>
              <w:ind w:right="107"/>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r>
              <w:rPr>
                <w:rFonts w:ascii="Arial" w:hAnsi="Arial" w:cs="Arial" w:eastAsia="Arial" w:hint="default"/>
                <w:spacing w:val="-1"/>
                <w:sz w:val="20"/>
                <w:szCs w:val="20"/>
              </w:rPr>
              <w:t>3</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8"/>
              <w:jc w:val="right"/>
              <w:rPr>
                <w:rFonts w:ascii="Arial" w:hAnsi="Arial" w:cs="Arial" w:eastAsia="Arial" w:hint="default"/>
                <w:sz w:val="20"/>
                <w:szCs w:val="20"/>
              </w:rPr>
            </w:pPr>
            <w:r>
              <w:rPr>
                <w:rFonts w:ascii="Arial"/>
                <w:spacing w:val="-1"/>
                <w:w w:val="95"/>
                <w:sz w:val="20"/>
              </w:rPr>
              <w:t>628,461</w:t>
            </w:r>
            <w:r>
              <w:rPr>
                <w:rFonts w:ascii="Arial"/>
                <w:sz w:val="20"/>
              </w:rPr>
            </w:r>
          </w:p>
        </w:tc>
      </w:tr>
      <w:tr>
        <w:trPr>
          <w:trHeight w:val="256"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z w:val="20"/>
                <w:szCs w:val="20"/>
              </w:rPr>
              <w:t>用友审计</w:t>
            </w:r>
          </w:p>
        </w:tc>
        <w:tc>
          <w:tcPr>
            <w:tcW w:w="2327" w:type="dxa"/>
            <w:tcBorders>
              <w:top w:val="nil" w:sz="6" w:space="0" w:color="auto"/>
              <w:left w:val="nil" w:sz="6" w:space="0" w:color="auto"/>
              <w:bottom w:val="nil" w:sz="6" w:space="0" w:color="auto"/>
              <w:right w:val="nil" w:sz="6" w:space="0" w:color="auto"/>
            </w:tcBorders>
          </w:tcPr>
          <w:p>
            <w:pPr>
              <w:pStyle w:val="TableParagraph"/>
              <w:spacing w:line="222" w:lineRule="exact"/>
              <w:ind w:right="76"/>
              <w:jc w:val="right"/>
              <w:rPr>
                <w:rFonts w:ascii="黑体" w:hAnsi="黑体" w:cs="黑体" w:eastAsia="黑体" w:hint="default"/>
                <w:sz w:val="20"/>
                <w:szCs w:val="20"/>
              </w:rPr>
            </w:pPr>
            <w:r>
              <w:rPr>
                <w:rFonts w:ascii="黑体" w:hAnsi="黑体" w:cs="黑体" w:eastAsia="黑体" w:hint="default"/>
                <w:w w:val="95"/>
                <w:sz w:val="20"/>
                <w:szCs w:val="20"/>
              </w:rPr>
              <w:t>用友软件园办公用房</w:t>
            </w:r>
            <w:r>
              <w:rPr>
                <w:rFonts w:ascii="黑体" w:hAnsi="黑体" w:cs="黑体" w:eastAsia="黑体" w:hint="default"/>
                <w:sz w:val="20"/>
                <w:szCs w:val="20"/>
              </w:rPr>
            </w:r>
          </w:p>
        </w:tc>
        <w:tc>
          <w:tcPr>
            <w:tcW w:w="1502" w:type="dxa"/>
            <w:tcBorders>
              <w:top w:val="nil" w:sz="6" w:space="0" w:color="auto"/>
              <w:left w:val="nil" w:sz="6" w:space="0" w:color="auto"/>
              <w:bottom w:val="nil" w:sz="6" w:space="0" w:color="auto"/>
              <w:right w:val="nil" w:sz="6" w:space="0" w:color="auto"/>
            </w:tcBorders>
          </w:tcPr>
          <w:p>
            <w:pPr>
              <w:pStyle w:val="TableParagraph"/>
              <w:spacing w:line="236" w:lineRule="exact"/>
              <w:ind w:right="44"/>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r>
              <w:rPr>
                <w:rFonts w:ascii="Arial" w:hAnsi="Arial" w:cs="Arial" w:eastAsia="Arial" w:hint="default"/>
                <w:spacing w:val="-1"/>
                <w:sz w:val="20"/>
                <w:szCs w:val="20"/>
              </w:rPr>
              <w:t>4</w:t>
            </w:r>
            <w:r>
              <w:rPr>
                <w:rFonts w:ascii="黑体" w:hAnsi="黑体" w:cs="黑体" w:eastAsia="黑体" w:hint="default"/>
                <w:spacing w:val="-1"/>
                <w:sz w:val="20"/>
                <w:szCs w:val="20"/>
              </w:rPr>
              <w:t>月</w:t>
            </w:r>
            <w:r>
              <w:rPr>
                <w:rFonts w:ascii="Arial" w:hAnsi="Arial" w:cs="Arial" w:eastAsia="Arial" w:hint="default"/>
                <w:spacing w:val="-1"/>
                <w:sz w:val="20"/>
                <w:szCs w:val="20"/>
              </w:rPr>
              <w:t>1</w:t>
            </w:r>
            <w:r>
              <w:rPr>
                <w:rFonts w:ascii="黑体" w:hAnsi="黑体" w:cs="黑体" w:eastAsia="黑体" w:hint="default"/>
                <w:spacing w:val="-1"/>
                <w:sz w:val="20"/>
                <w:szCs w:val="20"/>
              </w:rPr>
              <w:t>日</w:t>
            </w:r>
          </w:p>
        </w:tc>
        <w:tc>
          <w:tcPr>
            <w:tcW w:w="1644" w:type="dxa"/>
            <w:tcBorders>
              <w:top w:val="nil" w:sz="6" w:space="0" w:color="auto"/>
              <w:left w:val="nil" w:sz="6" w:space="0" w:color="auto"/>
              <w:bottom w:val="nil" w:sz="6" w:space="0" w:color="auto"/>
              <w:right w:val="nil" w:sz="6" w:space="0" w:color="auto"/>
            </w:tcBorders>
          </w:tcPr>
          <w:p>
            <w:pPr>
              <w:pStyle w:val="TableParagraph"/>
              <w:spacing w:line="236" w:lineRule="exact"/>
              <w:ind w:right="107"/>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r>
              <w:rPr>
                <w:rFonts w:ascii="Arial" w:hAnsi="Arial" w:cs="Arial" w:eastAsia="Arial" w:hint="default"/>
                <w:spacing w:val="-1"/>
                <w:sz w:val="20"/>
                <w:szCs w:val="20"/>
              </w:rPr>
              <w:t>3</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8"/>
              <w:jc w:val="right"/>
              <w:rPr>
                <w:rFonts w:ascii="Arial" w:hAnsi="Arial" w:cs="Arial" w:eastAsia="Arial" w:hint="default"/>
                <w:sz w:val="20"/>
                <w:szCs w:val="20"/>
              </w:rPr>
            </w:pPr>
            <w:r>
              <w:rPr>
                <w:rFonts w:ascii="Arial"/>
                <w:spacing w:val="-1"/>
                <w:w w:val="95"/>
                <w:sz w:val="20"/>
              </w:rPr>
              <w:t>332,640</w:t>
            </w:r>
            <w:r>
              <w:rPr>
                <w:rFonts w:ascii="Arial"/>
                <w:sz w:val="20"/>
              </w:rPr>
            </w:r>
          </w:p>
        </w:tc>
      </w:tr>
      <w:tr>
        <w:trPr>
          <w:trHeight w:val="256"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223" w:lineRule="exact"/>
              <w:ind w:left="200" w:right="0"/>
              <w:jc w:val="left"/>
              <w:rPr>
                <w:rFonts w:ascii="黑体" w:hAnsi="黑体" w:cs="黑体" w:eastAsia="黑体" w:hint="default"/>
                <w:sz w:val="20"/>
                <w:szCs w:val="20"/>
              </w:rPr>
            </w:pPr>
            <w:r>
              <w:rPr>
                <w:rFonts w:ascii="黑体" w:hAnsi="黑体" w:cs="黑体" w:eastAsia="黑体" w:hint="default"/>
                <w:sz w:val="20"/>
                <w:szCs w:val="20"/>
              </w:rPr>
              <w:t>幸福投资</w:t>
            </w:r>
          </w:p>
        </w:tc>
        <w:tc>
          <w:tcPr>
            <w:tcW w:w="2327" w:type="dxa"/>
            <w:tcBorders>
              <w:top w:val="nil" w:sz="6" w:space="0" w:color="auto"/>
              <w:left w:val="nil" w:sz="6" w:space="0" w:color="auto"/>
              <w:bottom w:val="nil" w:sz="6" w:space="0" w:color="auto"/>
              <w:right w:val="nil" w:sz="6" w:space="0" w:color="auto"/>
            </w:tcBorders>
          </w:tcPr>
          <w:p>
            <w:pPr>
              <w:pStyle w:val="TableParagraph"/>
              <w:spacing w:line="223" w:lineRule="exact"/>
              <w:ind w:right="90"/>
              <w:jc w:val="right"/>
              <w:rPr>
                <w:rFonts w:ascii="黑体" w:hAnsi="黑体" w:cs="黑体" w:eastAsia="黑体" w:hint="default"/>
                <w:sz w:val="20"/>
                <w:szCs w:val="20"/>
              </w:rPr>
            </w:pPr>
            <w:r>
              <w:rPr>
                <w:rFonts w:ascii="黑体" w:hAnsi="黑体" w:cs="黑体" w:eastAsia="黑体" w:hint="default"/>
                <w:w w:val="95"/>
                <w:sz w:val="20"/>
                <w:szCs w:val="20"/>
              </w:rPr>
              <w:t>用友软件园办公用房</w:t>
            </w:r>
            <w:r>
              <w:rPr>
                <w:rFonts w:ascii="黑体" w:hAnsi="黑体" w:cs="黑体" w:eastAsia="黑体" w:hint="default"/>
                <w:sz w:val="20"/>
                <w:szCs w:val="20"/>
              </w:rPr>
            </w:r>
          </w:p>
        </w:tc>
        <w:tc>
          <w:tcPr>
            <w:tcW w:w="1502" w:type="dxa"/>
            <w:tcBorders>
              <w:top w:val="nil" w:sz="6" w:space="0" w:color="auto"/>
              <w:left w:val="nil" w:sz="6" w:space="0" w:color="auto"/>
              <w:bottom w:val="nil" w:sz="6" w:space="0" w:color="auto"/>
              <w:right w:val="nil" w:sz="6" w:space="0" w:color="auto"/>
            </w:tcBorders>
          </w:tcPr>
          <w:p>
            <w:pPr>
              <w:pStyle w:val="TableParagraph"/>
              <w:spacing w:line="237" w:lineRule="exact"/>
              <w:ind w:right="47"/>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r>
              <w:rPr>
                <w:rFonts w:ascii="Arial" w:hAnsi="Arial" w:cs="Arial" w:eastAsia="Arial" w:hint="default"/>
                <w:spacing w:val="-1"/>
                <w:sz w:val="20"/>
                <w:szCs w:val="20"/>
              </w:rPr>
              <w:t>1</w:t>
            </w:r>
            <w:r>
              <w:rPr>
                <w:rFonts w:ascii="黑体" w:hAnsi="黑体" w:cs="黑体" w:eastAsia="黑体" w:hint="default"/>
                <w:spacing w:val="-1"/>
                <w:sz w:val="20"/>
                <w:szCs w:val="20"/>
              </w:rPr>
              <w:t>月</w:t>
            </w:r>
            <w:r>
              <w:rPr>
                <w:rFonts w:ascii="Arial" w:hAnsi="Arial" w:cs="Arial" w:eastAsia="Arial" w:hint="default"/>
                <w:spacing w:val="-1"/>
                <w:sz w:val="20"/>
                <w:szCs w:val="20"/>
              </w:rPr>
              <w:t>27</w:t>
            </w:r>
            <w:r>
              <w:rPr>
                <w:rFonts w:ascii="黑体" w:hAnsi="黑体" w:cs="黑体" w:eastAsia="黑体" w:hint="default"/>
                <w:spacing w:val="-1"/>
                <w:sz w:val="20"/>
                <w:szCs w:val="20"/>
              </w:rPr>
              <w:t>日</w:t>
            </w:r>
          </w:p>
        </w:tc>
        <w:tc>
          <w:tcPr>
            <w:tcW w:w="1644" w:type="dxa"/>
            <w:tcBorders>
              <w:top w:val="nil" w:sz="6" w:space="0" w:color="auto"/>
              <w:left w:val="nil" w:sz="6" w:space="0" w:color="auto"/>
              <w:bottom w:val="nil" w:sz="6" w:space="0" w:color="auto"/>
              <w:right w:val="nil" w:sz="6" w:space="0" w:color="auto"/>
            </w:tcBorders>
          </w:tcPr>
          <w:p>
            <w:pPr>
              <w:pStyle w:val="TableParagraph"/>
              <w:spacing w:line="237" w:lineRule="exact"/>
              <w:ind w:right="107"/>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r>
              <w:rPr>
                <w:rFonts w:ascii="Arial" w:hAnsi="Arial" w:cs="Arial" w:eastAsia="Arial" w:hint="default"/>
                <w:spacing w:val="-1"/>
                <w:sz w:val="20"/>
                <w:szCs w:val="20"/>
              </w:rPr>
              <w:t>3</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8"/>
              <w:jc w:val="right"/>
              <w:rPr>
                <w:rFonts w:ascii="Arial" w:hAnsi="Arial" w:cs="Arial" w:eastAsia="Arial" w:hint="default"/>
                <w:sz w:val="20"/>
                <w:szCs w:val="20"/>
              </w:rPr>
            </w:pPr>
            <w:r>
              <w:rPr>
                <w:rFonts w:ascii="Arial"/>
                <w:spacing w:val="-1"/>
                <w:w w:val="95"/>
                <w:sz w:val="20"/>
              </w:rPr>
              <w:t>131,320</w:t>
            </w:r>
            <w:r>
              <w:rPr>
                <w:rFonts w:ascii="Arial"/>
                <w:sz w:val="20"/>
              </w:rPr>
            </w:r>
          </w:p>
        </w:tc>
      </w:tr>
      <w:tr>
        <w:trPr>
          <w:trHeight w:val="386" w:hRule="exact"/>
        </w:trPr>
        <w:tc>
          <w:tcPr>
            <w:tcW w:w="1434"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z w:val="20"/>
                <w:szCs w:val="20"/>
              </w:rPr>
              <w:t>用友华表</w:t>
            </w:r>
          </w:p>
        </w:tc>
        <w:tc>
          <w:tcPr>
            <w:tcW w:w="2327" w:type="dxa"/>
            <w:tcBorders>
              <w:top w:val="nil" w:sz="6" w:space="0" w:color="auto"/>
              <w:left w:val="nil" w:sz="6" w:space="0" w:color="auto"/>
              <w:bottom w:val="nil" w:sz="6" w:space="0" w:color="auto"/>
              <w:right w:val="nil" w:sz="6" w:space="0" w:color="auto"/>
            </w:tcBorders>
          </w:tcPr>
          <w:p>
            <w:pPr>
              <w:pStyle w:val="TableParagraph"/>
              <w:spacing w:line="222" w:lineRule="exact"/>
              <w:ind w:right="90"/>
              <w:jc w:val="right"/>
              <w:rPr>
                <w:rFonts w:ascii="黑体" w:hAnsi="黑体" w:cs="黑体" w:eastAsia="黑体" w:hint="default"/>
                <w:sz w:val="20"/>
                <w:szCs w:val="20"/>
              </w:rPr>
            </w:pPr>
            <w:r>
              <w:rPr>
                <w:rFonts w:ascii="黑体" w:hAnsi="黑体" w:cs="黑体" w:eastAsia="黑体" w:hint="default"/>
                <w:w w:val="95"/>
                <w:sz w:val="20"/>
                <w:szCs w:val="20"/>
              </w:rPr>
              <w:t>用友软件园办公用房</w:t>
            </w:r>
            <w:r>
              <w:rPr>
                <w:rFonts w:ascii="黑体" w:hAnsi="黑体" w:cs="黑体" w:eastAsia="黑体" w:hint="default"/>
                <w:sz w:val="20"/>
                <w:szCs w:val="20"/>
              </w:rPr>
            </w:r>
          </w:p>
        </w:tc>
        <w:tc>
          <w:tcPr>
            <w:tcW w:w="1502" w:type="dxa"/>
            <w:tcBorders>
              <w:top w:val="nil" w:sz="6" w:space="0" w:color="auto"/>
              <w:left w:val="nil" w:sz="6" w:space="0" w:color="auto"/>
              <w:bottom w:val="nil" w:sz="6" w:space="0" w:color="auto"/>
              <w:right w:val="nil" w:sz="6" w:space="0" w:color="auto"/>
            </w:tcBorders>
          </w:tcPr>
          <w:p>
            <w:pPr>
              <w:pStyle w:val="TableParagraph"/>
              <w:spacing w:line="236" w:lineRule="exact"/>
              <w:ind w:right="47"/>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r>
              <w:rPr>
                <w:rFonts w:ascii="Arial" w:hAnsi="Arial" w:cs="Arial" w:eastAsia="Arial" w:hint="default"/>
                <w:spacing w:val="-1"/>
                <w:sz w:val="20"/>
                <w:szCs w:val="20"/>
              </w:rPr>
              <w:t>3</w:t>
            </w:r>
            <w:r>
              <w:rPr>
                <w:rFonts w:ascii="黑体" w:hAnsi="黑体" w:cs="黑体" w:eastAsia="黑体" w:hint="default"/>
                <w:spacing w:val="-1"/>
                <w:sz w:val="20"/>
                <w:szCs w:val="20"/>
              </w:rPr>
              <w:t>月</w:t>
            </w:r>
            <w:r>
              <w:rPr>
                <w:rFonts w:ascii="Arial" w:hAnsi="Arial" w:cs="Arial" w:eastAsia="Arial" w:hint="default"/>
                <w:spacing w:val="-1"/>
                <w:sz w:val="20"/>
                <w:szCs w:val="20"/>
              </w:rPr>
              <w:t>22</w:t>
            </w:r>
            <w:r>
              <w:rPr>
                <w:rFonts w:ascii="黑体" w:hAnsi="黑体" w:cs="黑体" w:eastAsia="黑体" w:hint="default"/>
                <w:spacing w:val="-1"/>
                <w:sz w:val="20"/>
                <w:szCs w:val="20"/>
              </w:rPr>
              <w:t>日</w:t>
            </w:r>
          </w:p>
        </w:tc>
        <w:tc>
          <w:tcPr>
            <w:tcW w:w="1644" w:type="dxa"/>
            <w:tcBorders>
              <w:top w:val="nil" w:sz="6" w:space="0" w:color="auto"/>
              <w:left w:val="nil" w:sz="6" w:space="0" w:color="auto"/>
              <w:bottom w:val="nil" w:sz="6" w:space="0" w:color="auto"/>
              <w:right w:val="nil" w:sz="6" w:space="0" w:color="auto"/>
            </w:tcBorders>
          </w:tcPr>
          <w:p>
            <w:pPr>
              <w:pStyle w:val="TableParagraph"/>
              <w:spacing w:line="236" w:lineRule="exact"/>
              <w:ind w:right="107"/>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r>
              <w:rPr>
                <w:rFonts w:ascii="Arial" w:hAnsi="Arial" w:cs="Arial" w:eastAsia="Arial" w:hint="default"/>
                <w:spacing w:val="-1"/>
                <w:sz w:val="20"/>
                <w:szCs w:val="20"/>
              </w:rPr>
              <w:t>3</w:t>
            </w:r>
            <w:r>
              <w:rPr>
                <w:rFonts w:ascii="黑体" w:hAnsi="黑体" w:cs="黑体" w:eastAsia="黑体" w:hint="default"/>
                <w:spacing w:val="-1"/>
                <w:sz w:val="20"/>
                <w:szCs w:val="20"/>
              </w:rPr>
              <w:t>月</w:t>
            </w:r>
            <w:r>
              <w:rPr>
                <w:rFonts w:ascii="Arial" w:hAnsi="Arial" w:cs="Arial" w:eastAsia="Arial" w:hint="default"/>
                <w:spacing w:val="-1"/>
                <w:sz w:val="20"/>
                <w:szCs w:val="20"/>
              </w:rPr>
              <w:t>31</w:t>
            </w:r>
            <w:r>
              <w:rPr>
                <w:rFonts w:ascii="黑体" w:hAnsi="黑体" w:cs="黑体" w:eastAsia="黑体" w:hint="default"/>
                <w:spacing w:val="-1"/>
                <w:sz w:val="20"/>
                <w:szCs w:val="20"/>
              </w:rPr>
              <w:t>日</w:t>
            </w:r>
          </w:p>
        </w:tc>
        <w:tc>
          <w:tcPr>
            <w:tcW w:w="1308"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6"/>
              <w:ind w:right="19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576,432</w:t>
            </w:r>
            <w:r>
              <w:rPr>
                <w:rFonts w:ascii="Arial"/>
                <w:spacing w:val="-1"/>
                <w:w w:val="95"/>
                <w:sz w:val="20"/>
              </w:rPr>
            </w:r>
            <w:r>
              <w:rPr>
                <w:rFonts w:ascii="Arial"/>
                <w:sz w:val="20"/>
              </w:rPr>
            </w:r>
          </w:p>
        </w:tc>
      </w:tr>
      <w:tr>
        <w:trPr>
          <w:trHeight w:val="354" w:hRule="exact"/>
        </w:trPr>
        <w:tc>
          <w:tcPr>
            <w:tcW w:w="1434" w:type="dxa"/>
            <w:tcBorders>
              <w:top w:val="nil" w:sz="6" w:space="0" w:color="auto"/>
              <w:left w:val="nil" w:sz="6" w:space="0" w:color="auto"/>
              <w:bottom w:val="nil" w:sz="6" w:space="0" w:color="auto"/>
              <w:right w:val="nil" w:sz="6" w:space="0" w:color="auto"/>
            </w:tcBorders>
          </w:tcPr>
          <w:p>
            <w:pPr/>
          </w:p>
        </w:tc>
        <w:tc>
          <w:tcPr>
            <w:tcW w:w="2327"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
        </w:tc>
        <w:tc>
          <w:tcPr>
            <w:tcW w:w="1644" w:type="dxa"/>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98"/>
              <w:jc w:val="right"/>
              <w:rPr>
                <w:rFonts w:ascii="Arial" w:hAnsi="Arial" w:cs="Arial" w:eastAsia="Arial" w:hint="default"/>
                <w:sz w:val="20"/>
                <w:szCs w:val="20"/>
              </w:rPr>
            </w:pPr>
            <w:r>
              <w:rPr>
                <w:rFonts w:ascii="Arial"/>
                <w:w w:val="99"/>
                <w:sz w:val="20"/>
              </w:rPr>
            </w:r>
            <w:r>
              <w:rPr>
                <w:rFonts w:ascii="Arial"/>
                <w:spacing w:val="-1"/>
                <w:sz w:val="20"/>
                <w:u w:val="thick" w:color="000000"/>
              </w:rPr>
              <w:t>16,589,269</w:t>
            </w:r>
            <w:r>
              <w:rPr>
                <w:rFonts w:ascii="Arial"/>
                <w:spacing w:val="-1"/>
                <w:sz w:val="20"/>
              </w:rPr>
            </w:r>
            <w:r>
              <w:rPr>
                <w:rFonts w:ascii="Arial"/>
                <w:sz w:val="20"/>
              </w:rPr>
            </w:r>
          </w:p>
        </w:tc>
      </w:tr>
    </w:tbl>
    <w:p>
      <w:pPr>
        <w:spacing w:line="240" w:lineRule="auto" w:before="7"/>
        <w:rPr>
          <w:rFonts w:ascii="黑体" w:hAnsi="黑体" w:cs="黑体" w:eastAsia="黑体" w:hint="default"/>
          <w:sz w:val="12"/>
          <w:szCs w:val="12"/>
        </w:rPr>
      </w:pPr>
    </w:p>
    <w:p>
      <w:pPr>
        <w:pStyle w:val="BodyText"/>
        <w:spacing w:line="258" w:lineRule="exact" w:before="37"/>
        <w:ind w:left="834" w:right="0"/>
        <w:jc w:val="left"/>
      </w:pPr>
      <w:r>
        <w:rPr>
          <w:w w:val="99"/>
        </w:rPr>
        <w:t>于</w:t>
      </w:r>
      <w:r>
        <w:rPr>
          <w:rFonts w:ascii="Arial" w:hAnsi="Arial" w:cs="Arial" w:eastAsia="Arial" w:hint="default"/>
          <w:spacing w:val="-1"/>
          <w:w w:val="99"/>
        </w:rPr>
        <w:t>20</w:t>
      </w:r>
      <w:r>
        <w:rPr>
          <w:rFonts w:ascii="Arial" w:hAnsi="Arial" w:cs="Arial" w:eastAsia="Arial" w:hint="default"/>
          <w:spacing w:val="2"/>
          <w:w w:val="99"/>
        </w:rPr>
        <w:t>1</w:t>
      </w:r>
      <w:r>
        <w:rPr>
          <w:rFonts w:ascii="Arial" w:hAnsi="Arial" w:cs="Arial" w:eastAsia="Arial" w:hint="default"/>
          <w:spacing w:val="-1"/>
          <w:w w:val="99"/>
        </w:rPr>
        <w:t>2</w:t>
      </w:r>
      <w:r>
        <w:rPr>
          <w:w w:val="99"/>
        </w:rPr>
        <w:t>年</w:t>
      </w:r>
      <w:r>
        <w:rPr>
          <w:rFonts w:ascii="Arial" w:hAnsi="Arial" w:cs="Arial" w:eastAsia="Arial" w:hint="default"/>
          <w:spacing w:val="2"/>
          <w:w w:val="99"/>
        </w:rPr>
        <w:t>1</w:t>
      </w:r>
      <w:r>
        <w:rPr>
          <w:rFonts w:ascii="Arial" w:hAnsi="Arial" w:cs="Arial" w:eastAsia="Arial" w:hint="default"/>
          <w:spacing w:val="-1"/>
          <w:w w:val="99"/>
        </w:rPr>
        <w:t>2</w:t>
      </w:r>
      <w:r>
        <w:rPr>
          <w:w w:val="99"/>
        </w:rPr>
        <w:t>月</w:t>
      </w:r>
      <w:r>
        <w:rPr>
          <w:rFonts w:ascii="Arial" w:hAnsi="Arial" w:cs="Arial" w:eastAsia="Arial" w:hint="default"/>
          <w:spacing w:val="2"/>
          <w:w w:val="99"/>
        </w:rPr>
        <w:t>3</w:t>
      </w:r>
      <w:r>
        <w:rPr>
          <w:rFonts w:ascii="Arial" w:hAnsi="Arial" w:cs="Arial" w:eastAsia="Arial" w:hint="default"/>
          <w:spacing w:val="-1"/>
          <w:w w:val="99"/>
        </w:rPr>
        <w:t>1</w:t>
      </w:r>
      <w:r>
        <w:rPr>
          <w:w w:val="99"/>
        </w:rPr>
        <w:t>日</w:t>
      </w:r>
      <w:r>
        <w:rPr>
          <w:spacing w:val="-96"/>
          <w:w w:val="99"/>
        </w:rPr>
        <w:t>，</w:t>
      </w:r>
      <w:r>
        <w:rPr>
          <w:w w:val="99"/>
        </w:rPr>
        <w:t>畅捷</w:t>
      </w:r>
      <w:r>
        <w:rPr>
          <w:spacing w:val="2"/>
          <w:w w:val="99"/>
        </w:rPr>
        <w:t>通</w:t>
      </w:r>
      <w:r>
        <w:rPr>
          <w:w w:val="99"/>
        </w:rPr>
        <w:t>无偿使</w:t>
      </w:r>
      <w:r>
        <w:rPr>
          <w:spacing w:val="2"/>
          <w:w w:val="99"/>
        </w:rPr>
        <w:t>用</w:t>
      </w:r>
      <w:r>
        <w:rPr>
          <w:w w:val="99"/>
        </w:rPr>
        <w:t>本公</w:t>
      </w:r>
      <w:r>
        <w:rPr>
          <w:spacing w:val="2"/>
          <w:w w:val="99"/>
        </w:rPr>
        <w:t>司</w:t>
      </w:r>
      <w:r>
        <w:rPr>
          <w:w w:val="99"/>
        </w:rPr>
        <w:t>的固</w:t>
      </w:r>
      <w:r>
        <w:rPr>
          <w:spacing w:val="2"/>
          <w:w w:val="99"/>
        </w:rPr>
        <w:t>定</w:t>
      </w:r>
      <w:r>
        <w:rPr>
          <w:w w:val="99"/>
        </w:rPr>
        <w:t>资</w:t>
      </w:r>
      <w:r>
        <w:rPr>
          <w:spacing w:val="2"/>
          <w:w w:val="99"/>
        </w:rPr>
        <w:t>产</w:t>
      </w:r>
      <w:r>
        <w:rPr>
          <w:w w:val="99"/>
        </w:rPr>
        <w:t>和无形</w:t>
      </w:r>
      <w:r>
        <w:rPr>
          <w:spacing w:val="2"/>
          <w:w w:val="99"/>
        </w:rPr>
        <w:t>资</w:t>
      </w:r>
      <w:r>
        <w:rPr>
          <w:w w:val="99"/>
        </w:rPr>
        <w:t>产账</w:t>
      </w:r>
      <w:r>
        <w:rPr>
          <w:spacing w:val="2"/>
          <w:w w:val="99"/>
        </w:rPr>
        <w:t>面</w:t>
      </w:r>
      <w:r>
        <w:rPr>
          <w:w w:val="99"/>
        </w:rPr>
        <w:t>金额</w:t>
      </w:r>
      <w:r>
        <w:rPr>
          <w:spacing w:val="2"/>
          <w:w w:val="99"/>
        </w:rPr>
        <w:t>分</w:t>
      </w:r>
      <w:r>
        <w:rPr>
          <w:w w:val="99"/>
        </w:rPr>
        <w:t>别</w:t>
      </w:r>
      <w:r>
        <w:rPr>
          <w:spacing w:val="2"/>
          <w:w w:val="99"/>
        </w:rPr>
        <w:t>为</w:t>
      </w:r>
      <w:r>
        <w:rPr>
          <w:w w:val="99"/>
        </w:rPr>
        <w:t>人民币</w:t>
      </w:r>
      <w:r>
        <w:rPr/>
      </w:r>
    </w:p>
    <w:p>
      <w:pPr>
        <w:pStyle w:val="BodyText"/>
        <w:spacing w:line="258" w:lineRule="exact"/>
        <w:ind w:left="834" w:right="0"/>
        <w:jc w:val="left"/>
      </w:pPr>
      <w:r>
        <w:rPr>
          <w:rFonts w:ascii="Arial" w:hAnsi="Arial" w:cs="Arial" w:eastAsia="Arial" w:hint="default"/>
          <w:spacing w:val="-1"/>
          <w:w w:val="99"/>
        </w:rPr>
        <w:t>46,</w:t>
      </w:r>
      <w:r>
        <w:rPr>
          <w:rFonts w:ascii="Arial" w:hAnsi="Arial" w:cs="Arial" w:eastAsia="Arial" w:hint="default"/>
          <w:spacing w:val="2"/>
          <w:w w:val="99"/>
        </w:rPr>
        <w:t>1</w:t>
      </w:r>
      <w:r>
        <w:rPr>
          <w:rFonts w:ascii="Arial" w:hAnsi="Arial" w:cs="Arial" w:eastAsia="Arial" w:hint="default"/>
          <w:spacing w:val="-1"/>
          <w:w w:val="99"/>
        </w:rPr>
        <w:t>57</w:t>
      </w:r>
      <w:r>
        <w:rPr>
          <w:w w:val="99"/>
        </w:rPr>
        <w:t>元</w:t>
      </w:r>
      <w:r>
        <w:rPr>
          <w:rFonts w:ascii="Arial" w:hAnsi="Arial" w:cs="Arial" w:eastAsia="Arial" w:hint="default"/>
          <w:w w:val="99"/>
        </w:rPr>
        <w:t>(</w:t>
      </w:r>
      <w:r>
        <w:rPr>
          <w:rFonts w:ascii="Arial" w:hAnsi="Arial" w:cs="Arial" w:eastAsia="Arial" w:hint="default"/>
          <w:spacing w:val="2"/>
          <w:w w:val="99"/>
        </w:rPr>
        <w:t>2</w:t>
      </w:r>
      <w:r>
        <w:rPr>
          <w:rFonts w:ascii="Arial" w:hAnsi="Arial" w:cs="Arial" w:eastAsia="Arial" w:hint="default"/>
          <w:spacing w:val="-1"/>
          <w:w w:val="99"/>
        </w:rPr>
        <w:t>01</w:t>
      </w:r>
      <w:r>
        <w:rPr>
          <w:rFonts w:ascii="Arial" w:hAnsi="Arial" w:cs="Arial" w:eastAsia="Arial" w:hint="default"/>
          <w:spacing w:val="2"/>
          <w:w w:val="99"/>
        </w:rPr>
        <w:t>1</w:t>
      </w:r>
      <w:r>
        <w:rPr>
          <w:w w:val="99"/>
        </w:rPr>
        <w:t>年</w:t>
      </w:r>
      <w:r>
        <w:rPr>
          <w:spacing w:val="-89"/>
          <w:w w:val="99"/>
        </w:rPr>
        <w:t>：</w:t>
      </w:r>
      <w:r>
        <w:rPr>
          <w:w w:val="99"/>
        </w:rPr>
        <w:t>人</w:t>
      </w:r>
      <w:r>
        <w:rPr>
          <w:spacing w:val="2"/>
          <w:w w:val="99"/>
        </w:rPr>
        <w:t>民</w:t>
      </w:r>
      <w:r>
        <w:rPr>
          <w:w w:val="99"/>
        </w:rPr>
        <w:t>币</w:t>
      </w:r>
      <w:r>
        <w:rPr>
          <w:rFonts w:ascii="Arial" w:hAnsi="Arial" w:cs="Arial" w:eastAsia="Arial" w:hint="default"/>
          <w:spacing w:val="-1"/>
          <w:w w:val="99"/>
        </w:rPr>
        <w:t>1</w:t>
      </w:r>
      <w:r>
        <w:rPr>
          <w:rFonts w:ascii="Arial" w:hAnsi="Arial" w:cs="Arial" w:eastAsia="Arial" w:hint="default"/>
          <w:spacing w:val="2"/>
          <w:w w:val="99"/>
        </w:rPr>
        <w:t>2</w:t>
      </w:r>
      <w:r>
        <w:rPr>
          <w:rFonts w:ascii="Arial" w:hAnsi="Arial" w:cs="Arial" w:eastAsia="Arial" w:hint="default"/>
          <w:spacing w:val="-1"/>
          <w:w w:val="99"/>
        </w:rPr>
        <w:t>0,</w:t>
      </w:r>
      <w:r>
        <w:rPr>
          <w:rFonts w:ascii="Arial" w:hAnsi="Arial" w:cs="Arial" w:eastAsia="Arial" w:hint="default"/>
          <w:spacing w:val="-1"/>
          <w:w w:val="99"/>
        </w:rPr>
        <w:t>5</w:t>
      </w:r>
      <w:r>
        <w:rPr>
          <w:rFonts w:ascii="Arial" w:hAnsi="Arial" w:cs="Arial" w:eastAsia="Arial" w:hint="default"/>
          <w:spacing w:val="2"/>
          <w:w w:val="99"/>
        </w:rPr>
        <w:t>0</w:t>
      </w:r>
      <w:r>
        <w:rPr>
          <w:rFonts w:ascii="Arial" w:hAnsi="Arial" w:cs="Arial" w:eastAsia="Arial" w:hint="default"/>
          <w:spacing w:val="-1"/>
          <w:w w:val="99"/>
        </w:rPr>
        <w:t>0</w:t>
      </w:r>
      <w:r>
        <w:rPr>
          <w:w w:val="99"/>
        </w:rPr>
        <w:t>元</w:t>
      </w:r>
      <w:r>
        <w:rPr>
          <w:rFonts w:ascii="Arial" w:hAnsi="Arial" w:cs="Arial" w:eastAsia="Arial" w:hint="default"/>
          <w:spacing w:val="1"/>
          <w:w w:val="99"/>
        </w:rPr>
        <w:t>)</w:t>
      </w:r>
      <w:r>
        <w:rPr>
          <w:w w:val="99"/>
        </w:rPr>
        <w:t>和</w:t>
      </w:r>
      <w:r>
        <w:rPr>
          <w:spacing w:val="2"/>
          <w:w w:val="99"/>
        </w:rPr>
        <w:t>人</w:t>
      </w:r>
      <w:r>
        <w:rPr>
          <w:w w:val="99"/>
        </w:rPr>
        <w:t>民币</w:t>
      </w:r>
      <w:r>
        <w:rPr>
          <w:rFonts w:ascii="Arial" w:hAnsi="Arial" w:cs="Arial" w:eastAsia="Arial" w:hint="default"/>
          <w:spacing w:val="2"/>
          <w:w w:val="99"/>
        </w:rPr>
        <w:t>5</w:t>
      </w:r>
      <w:r>
        <w:rPr>
          <w:rFonts w:ascii="Arial" w:hAnsi="Arial" w:cs="Arial" w:eastAsia="Arial" w:hint="default"/>
          <w:spacing w:val="-1"/>
          <w:w w:val="99"/>
        </w:rPr>
        <w:t>,</w:t>
      </w:r>
      <w:r>
        <w:rPr>
          <w:rFonts w:ascii="Arial" w:hAnsi="Arial" w:cs="Arial" w:eastAsia="Arial" w:hint="default"/>
          <w:spacing w:val="-1"/>
          <w:w w:val="99"/>
        </w:rPr>
        <w:t>0</w:t>
      </w:r>
      <w:r>
        <w:rPr>
          <w:rFonts w:ascii="Arial" w:hAnsi="Arial" w:cs="Arial" w:eastAsia="Arial" w:hint="default"/>
          <w:spacing w:val="2"/>
          <w:w w:val="99"/>
        </w:rPr>
        <w:t>6</w:t>
      </w:r>
      <w:r>
        <w:rPr>
          <w:rFonts w:ascii="Arial" w:hAnsi="Arial" w:cs="Arial" w:eastAsia="Arial" w:hint="default"/>
          <w:spacing w:val="-1"/>
          <w:w w:val="99"/>
        </w:rPr>
        <w:t>0,</w:t>
      </w:r>
      <w:r>
        <w:rPr>
          <w:rFonts w:ascii="Arial" w:hAnsi="Arial" w:cs="Arial" w:eastAsia="Arial" w:hint="default"/>
          <w:spacing w:val="-1"/>
          <w:w w:val="99"/>
        </w:rPr>
        <w:t>0</w:t>
      </w:r>
      <w:r>
        <w:rPr>
          <w:rFonts w:ascii="Arial" w:hAnsi="Arial" w:cs="Arial" w:eastAsia="Arial" w:hint="default"/>
          <w:spacing w:val="2"/>
          <w:w w:val="99"/>
        </w:rPr>
        <w:t>0</w:t>
      </w:r>
      <w:r>
        <w:rPr>
          <w:rFonts w:ascii="Arial" w:hAnsi="Arial" w:cs="Arial" w:eastAsia="Arial" w:hint="default"/>
          <w:spacing w:val="-1"/>
          <w:w w:val="99"/>
        </w:rPr>
        <w:t>0</w:t>
      </w:r>
      <w:r>
        <w:rPr>
          <w:w w:val="99"/>
        </w:rPr>
        <w:t>元</w:t>
      </w:r>
      <w:r>
        <w:rPr>
          <w:rFonts w:ascii="Arial" w:hAnsi="Arial" w:cs="Arial" w:eastAsia="Arial" w:hint="default"/>
          <w:w w:val="99"/>
        </w:rPr>
        <w:t>(</w:t>
      </w:r>
      <w:r>
        <w:rPr>
          <w:rFonts w:ascii="Arial" w:hAnsi="Arial" w:cs="Arial" w:eastAsia="Arial" w:hint="default"/>
          <w:spacing w:val="-1"/>
          <w:w w:val="99"/>
        </w:rPr>
        <w:t>20</w:t>
      </w:r>
      <w:r>
        <w:rPr>
          <w:rFonts w:ascii="Arial" w:hAnsi="Arial" w:cs="Arial" w:eastAsia="Arial" w:hint="default"/>
          <w:spacing w:val="2"/>
          <w:w w:val="99"/>
        </w:rPr>
        <w:t>1</w:t>
      </w:r>
      <w:r>
        <w:rPr>
          <w:rFonts w:ascii="Arial" w:hAnsi="Arial" w:cs="Arial" w:eastAsia="Arial" w:hint="default"/>
          <w:spacing w:val="-1"/>
          <w:w w:val="99"/>
        </w:rPr>
        <w:t>1</w:t>
      </w:r>
      <w:r>
        <w:rPr>
          <w:w w:val="99"/>
        </w:rPr>
        <w:t>年</w:t>
      </w:r>
      <w:r>
        <w:rPr>
          <w:spacing w:val="-89"/>
          <w:w w:val="99"/>
        </w:rPr>
        <w:t>：</w:t>
      </w:r>
      <w:r>
        <w:rPr>
          <w:spacing w:val="2"/>
          <w:w w:val="99"/>
        </w:rPr>
        <w:t>人</w:t>
      </w:r>
      <w:r>
        <w:rPr>
          <w:w w:val="99"/>
        </w:rPr>
        <w:t>民</w:t>
      </w:r>
      <w:r>
        <w:rPr>
          <w:spacing w:val="3"/>
          <w:w w:val="99"/>
        </w:rPr>
        <w:t>币</w:t>
      </w:r>
      <w:r>
        <w:rPr>
          <w:rFonts w:ascii="Arial" w:hAnsi="Arial" w:cs="Arial" w:eastAsia="Arial" w:hint="default"/>
          <w:spacing w:val="-1"/>
          <w:w w:val="99"/>
        </w:rPr>
        <w:t>5,</w:t>
      </w:r>
      <w:r>
        <w:rPr>
          <w:rFonts w:ascii="Arial" w:hAnsi="Arial" w:cs="Arial" w:eastAsia="Arial" w:hint="default"/>
          <w:spacing w:val="-1"/>
          <w:w w:val="99"/>
        </w:rPr>
        <w:t>9</w:t>
      </w:r>
      <w:r>
        <w:rPr>
          <w:rFonts w:ascii="Arial" w:hAnsi="Arial" w:cs="Arial" w:eastAsia="Arial" w:hint="default"/>
          <w:spacing w:val="2"/>
          <w:w w:val="99"/>
        </w:rPr>
        <w:t>4</w:t>
      </w:r>
      <w:r>
        <w:rPr>
          <w:rFonts w:ascii="Arial" w:hAnsi="Arial" w:cs="Arial" w:eastAsia="Arial" w:hint="default"/>
          <w:spacing w:val="-1"/>
          <w:w w:val="99"/>
        </w:rPr>
        <w:t>0,</w:t>
      </w:r>
      <w:r>
        <w:rPr>
          <w:rFonts w:ascii="Arial" w:hAnsi="Arial" w:cs="Arial" w:eastAsia="Arial" w:hint="default"/>
          <w:spacing w:val="2"/>
          <w:w w:val="99"/>
        </w:rPr>
        <w:t>0</w:t>
      </w:r>
      <w:r>
        <w:rPr>
          <w:rFonts w:ascii="Arial" w:hAnsi="Arial" w:cs="Arial" w:eastAsia="Arial" w:hint="default"/>
          <w:spacing w:val="-1"/>
          <w:w w:val="99"/>
        </w:rPr>
        <w:t>00</w:t>
      </w:r>
      <w:r>
        <w:rPr>
          <w:w w:val="99"/>
        </w:rPr>
        <w:t>元</w:t>
      </w:r>
      <w:r>
        <w:rPr>
          <w:rFonts w:ascii="Arial" w:hAnsi="Arial" w:cs="Arial" w:eastAsia="Arial" w:hint="default"/>
          <w:spacing w:val="3"/>
          <w:w w:val="99"/>
        </w:rPr>
        <w:t>)</w:t>
      </w:r>
      <w:r>
        <w:rPr>
          <w:w w:val="99"/>
        </w:rPr>
        <w:t>。</w:t>
      </w:r>
      <w:r>
        <w:rPr/>
      </w:r>
    </w:p>
    <w:p>
      <w:pPr>
        <w:spacing w:line="240" w:lineRule="auto" w:before="8"/>
        <w:rPr>
          <w:rFonts w:ascii="黑体" w:hAnsi="黑体" w:cs="黑体" w:eastAsia="黑体" w:hint="default"/>
          <w:sz w:val="15"/>
          <w:szCs w:val="15"/>
        </w:rPr>
      </w:pPr>
    </w:p>
    <w:p>
      <w:pPr>
        <w:pStyle w:val="BodyText"/>
        <w:tabs>
          <w:tab w:pos="1309" w:val="left" w:leader="none"/>
        </w:tabs>
        <w:spacing w:line="240" w:lineRule="auto"/>
        <w:ind w:left="863" w:right="300"/>
        <w:jc w:val="left"/>
      </w:pPr>
      <w:r>
        <w:rPr>
          <w:rFonts w:ascii="Arial" w:hAnsi="Arial" w:cs="Arial" w:eastAsia="Arial" w:hint="default"/>
          <w:spacing w:val="-1"/>
        </w:rPr>
        <w:t>(3)</w:t>
        <w:tab/>
      </w:r>
      <w:r>
        <w:rPr/>
        <w:t>关联方资产收购</w:t>
      </w:r>
    </w:p>
    <w:p>
      <w:pPr>
        <w:spacing w:line="240" w:lineRule="auto" w:before="7"/>
        <w:rPr>
          <w:rFonts w:ascii="黑体" w:hAnsi="黑体" w:cs="黑体" w:eastAsia="黑体" w:hint="default"/>
          <w:sz w:val="24"/>
          <w:szCs w:val="24"/>
        </w:rPr>
      </w:pPr>
    </w:p>
    <w:tbl>
      <w:tblPr>
        <w:tblW w:w="0" w:type="auto"/>
        <w:jc w:val="left"/>
        <w:tblInd w:w="636" w:type="dxa"/>
        <w:tblLayout w:type="fixed"/>
        <w:tblCellMar>
          <w:top w:w="0" w:type="dxa"/>
          <w:left w:w="0" w:type="dxa"/>
          <w:bottom w:w="0" w:type="dxa"/>
          <w:right w:w="0" w:type="dxa"/>
        </w:tblCellMar>
        <w:tblLook w:val="01E0"/>
      </w:tblPr>
      <w:tblGrid>
        <w:gridCol w:w="1574"/>
        <w:gridCol w:w="2246"/>
        <w:gridCol w:w="968"/>
        <w:gridCol w:w="1060"/>
        <w:gridCol w:w="1356"/>
        <w:gridCol w:w="1000"/>
      </w:tblGrid>
      <w:tr>
        <w:trPr>
          <w:trHeight w:val="229" w:hRule="exact"/>
        </w:trPr>
        <w:tc>
          <w:tcPr>
            <w:tcW w:w="1574" w:type="dxa"/>
            <w:tcBorders>
              <w:top w:val="nil" w:sz="6" w:space="0" w:color="auto"/>
              <w:left w:val="nil" w:sz="6" w:space="0" w:color="auto"/>
              <w:bottom w:val="nil" w:sz="6" w:space="0" w:color="auto"/>
              <w:right w:val="nil" w:sz="6" w:space="0" w:color="auto"/>
            </w:tcBorders>
          </w:tcPr>
          <w:p>
            <w:pPr/>
          </w:p>
        </w:tc>
        <w:tc>
          <w:tcPr>
            <w:tcW w:w="2246" w:type="dxa"/>
            <w:tcBorders>
              <w:top w:val="nil" w:sz="6" w:space="0" w:color="auto"/>
              <w:left w:val="nil" w:sz="6" w:space="0" w:color="auto"/>
              <w:bottom w:val="nil" w:sz="6" w:space="0" w:color="auto"/>
              <w:right w:val="nil" w:sz="6" w:space="0" w:color="auto"/>
            </w:tcBorders>
          </w:tcPr>
          <w:p>
            <w:pPr>
              <w:pStyle w:val="TableParagraph"/>
              <w:tabs>
                <w:tab w:pos="2153" w:val="left" w:leader="none"/>
                <w:tab w:pos="2717" w:val="left" w:leader="none"/>
              </w:tabs>
              <w:spacing w:line="199" w:lineRule="exact"/>
              <w:ind w:left="682" w:right="-472"/>
              <w:jc w:val="left"/>
              <w:rPr>
                <w:rFonts w:ascii="Arial" w:hAnsi="Arial" w:cs="Arial" w:eastAsia="Arial" w:hint="default"/>
                <w:sz w:val="20"/>
                <w:szCs w:val="20"/>
              </w:rPr>
            </w:pPr>
            <w:r>
              <w:rPr>
                <w:rFonts w:ascii="黑体" w:hAnsi="黑体" w:cs="黑体" w:eastAsia="黑体" w:hint="default"/>
                <w:sz w:val="20"/>
                <w:szCs w:val="20"/>
              </w:rPr>
              <w:t>交易类型</w:t>
              <w:tab/>
            </w:r>
            <w:r>
              <w:rPr>
                <w:rFonts w:ascii="Arial" w:hAnsi="Arial" w:cs="Arial" w:eastAsia="Arial" w:hint="default"/>
                <w:w w:val="99"/>
                <w:sz w:val="20"/>
                <w:szCs w:val="20"/>
              </w:rPr>
            </w:r>
            <w:r>
              <w:rPr>
                <w:rFonts w:ascii="Arial" w:hAnsi="Arial" w:cs="Arial" w:eastAsia="Arial" w:hint="default"/>
                <w:w w:val="99"/>
                <w:sz w:val="20"/>
                <w:szCs w:val="20"/>
                <w:u w:val="single" w:color="000000"/>
              </w:rPr>
              <w:t> </w:t>
            </w:r>
            <w:r>
              <w:rPr>
                <w:rFonts w:ascii="Arial" w:hAnsi="Arial" w:cs="Arial" w:eastAsia="Arial" w:hint="default"/>
                <w:sz w:val="20"/>
                <w:szCs w:val="20"/>
                <w:u w:val="single" w:color="000000"/>
              </w:rPr>
              <w:tab/>
            </w:r>
            <w:r>
              <w:rPr>
                <w:rFonts w:ascii="Arial" w:hAnsi="Arial" w:cs="Arial" w:eastAsia="Arial" w:hint="default"/>
                <w:sz w:val="20"/>
                <w:szCs w:val="20"/>
              </w:rPr>
            </w:r>
          </w:p>
        </w:tc>
        <w:tc>
          <w:tcPr>
            <w:tcW w:w="2028" w:type="dxa"/>
            <w:gridSpan w:val="2"/>
            <w:tcBorders>
              <w:top w:val="nil" w:sz="6" w:space="0" w:color="auto"/>
              <w:left w:val="nil" w:sz="6" w:space="0" w:color="auto"/>
              <w:bottom w:val="nil" w:sz="6" w:space="0" w:color="auto"/>
              <w:right w:val="nil" w:sz="6" w:space="0" w:color="auto"/>
            </w:tcBorders>
          </w:tcPr>
          <w:p>
            <w:pPr>
              <w:pStyle w:val="TableParagraph"/>
              <w:tabs>
                <w:tab w:pos="1753" w:val="left" w:leader="none"/>
              </w:tabs>
              <w:spacing w:line="214" w:lineRule="exact"/>
              <w:ind w:left="471" w:right="0"/>
              <w:jc w:val="left"/>
              <w:rPr>
                <w:rFonts w:ascii="黑体" w:hAnsi="黑体" w:cs="黑体" w:eastAsia="黑体" w:hint="default"/>
                <w:sz w:val="20"/>
                <w:szCs w:val="20"/>
              </w:rPr>
            </w:pPr>
            <w:r>
              <w:rPr>
                <w:rFonts w:ascii="Arial" w:hAnsi="Arial" w:cs="Arial" w:eastAsia="Arial" w:hint="default"/>
                <w:w w:val="99"/>
                <w:sz w:val="20"/>
                <w:szCs w:val="20"/>
              </w:rPr>
            </w:r>
            <w:r>
              <w:rPr>
                <w:rFonts w:ascii="Arial" w:hAnsi="Arial" w:cs="Arial" w:eastAsia="Arial" w:hint="default"/>
                <w:sz w:val="20"/>
                <w:szCs w:val="20"/>
                <w:u w:val="single" w:color="000000"/>
              </w:rPr>
              <w:t>2012</w:t>
            </w:r>
            <w:r>
              <w:rPr>
                <w:rFonts w:ascii="Arial" w:hAnsi="Arial" w:cs="Arial" w:eastAsia="Arial" w:hint="default"/>
                <w:spacing w:val="-9"/>
                <w:sz w:val="20"/>
                <w:szCs w:val="20"/>
                <w:u w:val="single" w:color="000000"/>
              </w:rPr>
              <w:t> </w:t>
            </w:r>
            <w:r>
              <w:rPr>
                <w:rFonts w:ascii="黑体" w:hAnsi="黑体" w:cs="黑体" w:eastAsia="黑体" w:hint="default"/>
                <w:sz w:val="20"/>
                <w:szCs w:val="20"/>
                <w:u w:val="single" w:color="000000"/>
              </w:rPr>
              <w:t>年</w:t>
              <w:tab/>
            </w:r>
            <w:r>
              <w:rPr>
                <w:rFonts w:ascii="黑体" w:hAnsi="黑体" w:cs="黑体" w:eastAsia="黑体" w:hint="default"/>
                <w:sz w:val="20"/>
                <w:szCs w:val="20"/>
              </w:rPr>
            </w:r>
          </w:p>
        </w:tc>
        <w:tc>
          <w:tcPr>
            <w:tcW w:w="2357" w:type="dxa"/>
            <w:gridSpan w:val="2"/>
            <w:tcBorders>
              <w:top w:val="nil" w:sz="6" w:space="0" w:color="auto"/>
              <w:left w:val="nil" w:sz="6" w:space="0" w:color="auto"/>
              <w:bottom w:val="nil" w:sz="6" w:space="0" w:color="auto"/>
              <w:right w:val="nil" w:sz="6" w:space="0" w:color="auto"/>
            </w:tcBorders>
          </w:tcPr>
          <w:p>
            <w:pPr>
              <w:pStyle w:val="TableParagraph"/>
              <w:tabs>
                <w:tab w:pos="798" w:val="left" w:leader="none"/>
                <w:tab w:pos="2168" w:val="left" w:leader="none"/>
              </w:tabs>
              <w:spacing w:line="214" w:lineRule="exact"/>
              <w:ind w:left="145" w:right="0"/>
              <w:jc w:val="left"/>
              <w:rPr>
                <w:rFonts w:ascii="黑体" w:hAnsi="黑体" w:cs="黑体" w:eastAsia="黑体" w:hint="default"/>
                <w:sz w:val="20"/>
                <w:szCs w:val="20"/>
              </w:rPr>
            </w:pPr>
            <w:r>
              <w:rPr>
                <w:rFonts w:ascii="Arial" w:hAnsi="Arial" w:cs="Arial" w:eastAsia="Arial" w:hint="default"/>
                <w:w w:val="99"/>
                <w:sz w:val="20"/>
                <w:szCs w:val="20"/>
              </w:rPr>
            </w:r>
            <w:r>
              <w:rPr>
                <w:rFonts w:ascii="Arial" w:hAnsi="Arial" w:cs="Arial" w:eastAsia="Arial" w:hint="default"/>
                <w:w w:val="99"/>
                <w:sz w:val="20"/>
                <w:szCs w:val="20"/>
                <w:u w:val="single" w:color="000000"/>
              </w:rPr>
              <w:t> </w:t>
            </w:r>
            <w:r>
              <w:rPr>
                <w:rFonts w:ascii="Arial" w:hAnsi="Arial" w:cs="Arial" w:eastAsia="Arial" w:hint="default"/>
                <w:sz w:val="20"/>
                <w:szCs w:val="20"/>
                <w:u w:val="single" w:color="000000"/>
              </w:rPr>
              <w:tab/>
              <w:t>2011</w:t>
            </w:r>
            <w:r>
              <w:rPr>
                <w:rFonts w:ascii="Arial" w:hAnsi="Arial" w:cs="Arial" w:eastAsia="Arial" w:hint="default"/>
                <w:spacing w:val="-9"/>
                <w:sz w:val="20"/>
                <w:szCs w:val="20"/>
                <w:u w:val="single" w:color="000000"/>
              </w:rPr>
              <w:t> </w:t>
            </w:r>
            <w:r>
              <w:rPr>
                <w:rFonts w:ascii="黑体" w:hAnsi="黑体" w:cs="黑体" w:eastAsia="黑体" w:hint="default"/>
                <w:sz w:val="20"/>
                <w:szCs w:val="20"/>
                <w:u w:val="single" w:color="000000"/>
              </w:rPr>
              <w:t>年</w:t>
              <w:tab/>
            </w:r>
            <w:r>
              <w:rPr>
                <w:rFonts w:ascii="黑体" w:hAnsi="黑体" w:cs="黑体" w:eastAsia="黑体" w:hint="default"/>
                <w:sz w:val="20"/>
                <w:szCs w:val="20"/>
              </w:rPr>
            </w:r>
          </w:p>
        </w:tc>
      </w:tr>
      <w:tr>
        <w:trPr>
          <w:trHeight w:val="424" w:hRule="exact"/>
        </w:trPr>
        <w:tc>
          <w:tcPr>
            <w:tcW w:w="1574" w:type="dxa"/>
            <w:tcBorders>
              <w:top w:val="nil" w:sz="6" w:space="0" w:color="auto"/>
              <w:left w:val="nil" w:sz="6" w:space="0" w:color="auto"/>
              <w:bottom w:val="nil" w:sz="6" w:space="0" w:color="auto"/>
              <w:right w:val="nil" w:sz="6" w:space="0" w:color="auto"/>
            </w:tcBorders>
          </w:tcPr>
          <w:p>
            <w:pPr/>
          </w:p>
        </w:tc>
        <w:tc>
          <w:tcPr>
            <w:tcW w:w="3214" w:type="dxa"/>
            <w:gridSpan w:val="2"/>
            <w:tcBorders>
              <w:top w:val="nil" w:sz="6" w:space="0" w:color="auto"/>
              <w:left w:val="nil" w:sz="6" w:space="0" w:color="auto"/>
              <w:bottom w:val="nil" w:sz="6" w:space="0" w:color="auto"/>
              <w:right w:val="nil" w:sz="6" w:space="0" w:color="auto"/>
            </w:tcBorders>
          </w:tcPr>
          <w:p>
            <w:pPr>
              <w:pStyle w:val="TableParagraph"/>
              <w:spacing w:line="220" w:lineRule="exact"/>
              <w:ind w:right="64"/>
              <w:jc w:val="right"/>
              <w:rPr>
                <w:rFonts w:ascii="黑体" w:hAnsi="黑体" w:cs="黑体" w:eastAsia="黑体" w:hint="default"/>
                <w:sz w:val="20"/>
                <w:szCs w:val="20"/>
              </w:rPr>
            </w:pPr>
            <w:r>
              <w:rPr>
                <w:rFonts w:ascii="黑体" w:hAnsi="黑体" w:cs="黑体" w:eastAsia="黑体" w:hint="default"/>
                <w:w w:val="95"/>
                <w:sz w:val="20"/>
                <w:szCs w:val="20"/>
              </w:rPr>
              <w:t>金额</w:t>
            </w:r>
            <w:r>
              <w:rPr>
                <w:rFonts w:ascii="黑体" w:hAnsi="黑体" w:cs="黑体" w:eastAsia="黑体" w:hint="default"/>
                <w:sz w:val="20"/>
                <w:szCs w:val="20"/>
              </w:rPr>
            </w:r>
          </w:p>
        </w:tc>
        <w:tc>
          <w:tcPr>
            <w:tcW w:w="1060" w:type="dxa"/>
            <w:tcBorders>
              <w:top w:val="nil" w:sz="6" w:space="0" w:color="auto"/>
              <w:left w:val="nil" w:sz="6" w:space="0" w:color="auto"/>
              <w:bottom w:val="nil" w:sz="6" w:space="0" w:color="auto"/>
              <w:right w:val="nil" w:sz="6" w:space="0" w:color="auto"/>
            </w:tcBorders>
          </w:tcPr>
          <w:p>
            <w:pPr>
              <w:pStyle w:val="TableParagraph"/>
              <w:spacing w:line="234" w:lineRule="exact"/>
              <w:ind w:right="285"/>
              <w:jc w:val="right"/>
              <w:rPr>
                <w:rFonts w:ascii="Arial" w:hAnsi="Arial" w:cs="Arial" w:eastAsia="Arial" w:hint="default"/>
                <w:sz w:val="20"/>
                <w:szCs w:val="20"/>
              </w:rPr>
            </w:pPr>
            <w:r>
              <w:rPr>
                <w:rFonts w:ascii="黑体" w:hAnsi="黑体" w:cs="黑体" w:eastAsia="黑体" w:hint="default"/>
                <w:w w:val="95"/>
                <w:sz w:val="20"/>
                <w:szCs w:val="20"/>
              </w:rPr>
              <w:t>比例</w:t>
            </w:r>
            <w:r>
              <w:rPr>
                <w:rFonts w:ascii="Arial" w:hAnsi="Arial" w:cs="Arial" w:eastAsia="Arial" w:hint="default"/>
                <w:w w:val="95"/>
                <w:sz w:val="20"/>
                <w:szCs w:val="20"/>
              </w:rPr>
              <w:t>(%)</w:t>
            </w:r>
            <w:r>
              <w:rPr>
                <w:rFonts w:ascii="Arial" w:hAnsi="Arial" w:cs="Arial" w:eastAsia="Arial" w:hint="default"/>
                <w:sz w:val="20"/>
                <w:szCs w:val="20"/>
              </w:rPr>
            </w:r>
          </w:p>
        </w:tc>
        <w:tc>
          <w:tcPr>
            <w:tcW w:w="1356" w:type="dxa"/>
            <w:tcBorders>
              <w:top w:val="nil" w:sz="6" w:space="0" w:color="auto"/>
              <w:left w:val="nil" w:sz="6" w:space="0" w:color="auto"/>
              <w:bottom w:val="nil" w:sz="6" w:space="0" w:color="auto"/>
              <w:right w:val="nil" w:sz="6" w:space="0" w:color="auto"/>
            </w:tcBorders>
          </w:tcPr>
          <w:p>
            <w:pPr>
              <w:pStyle w:val="TableParagraph"/>
              <w:spacing w:line="220" w:lineRule="exact"/>
              <w:ind w:right="89"/>
              <w:jc w:val="right"/>
              <w:rPr>
                <w:rFonts w:ascii="黑体" w:hAnsi="黑体" w:cs="黑体" w:eastAsia="黑体" w:hint="default"/>
                <w:sz w:val="20"/>
                <w:szCs w:val="20"/>
              </w:rPr>
            </w:pPr>
            <w:r>
              <w:rPr>
                <w:rFonts w:ascii="黑体" w:hAnsi="黑体" w:cs="黑体" w:eastAsia="黑体" w:hint="default"/>
                <w:w w:val="95"/>
                <w:sz w:val="20"/>
                <w:szCs w:val="20"/>
              </w:rPr>
              <w:t>金额</w:t>
            </w:r>
            <w:r>
              <w:rPr>
                <w:rFonts w:ascii="黑体" w:hAnsi="黑体" w:cs="黑体" w:eastAsia="黑体" w:hint="default"/>
                <w:sz w:val="20"/>
                <w:szCs w:val="20"/>
              </w:rPr>
            </w:r>
          </w:p>
        </w:tc>
        <w:tc>
          <w:tcPr>
            <w:tcW w:w="1000" w:type="dxa"/>
            <w:tcBorders>
              <w:top w:val="nil" w:sz="6" w:space="0" w:color="auto"/>
              <w:left w:val="nil" w:sz="6" w:space="0" w:color="auto"/>
              <w:bottom w:val="nil" w:sz="6" w:space="0" w:color="auto"/>
              <w:right w:val="nil" w:sz="6" w:space="0" w:color="auto"/>
            </w:tcBorders>
          </w:tcPr>
          <w:p>
            <w:pPr>
              <w:pStyle w:val="TableParagraph"/>
              <w:spacing w:line="234" w:lineRule="exact"/>
              <w:ind w:right="198"/>
              <w:jc w:val="right"/>
              <w:rPr>
                <w:rFonts w:ascii="Arial" w:hAnsi="Arial" w:cs="Arial" w:eastAsia="Arial" w:hint="default"/>
                <w:sz w:val="20"/>
                <w:szCs w:val="20"/>
              </w:rPr>
            </w:pPr>
            <w:r>
              <w:rPr>
                <w:rFonts w:ascii="黑体" w:hAnsi="黑体" w:cs="黑体" w:eastAsia="黑体" w:hint="default"/>
                <w:w w:val="95"/>
                <w:sz w:val="20"/>
                <w:szCs w:val="20"/>
              </w:rPr>
              <w:t>比例</w:t>
            </w:r>
            <w:r>
              <w:rPr>
                <w:rFonts w:ascii="Arial" w:hAnsi="Arial" w:cs="Arial" w:eastAsia="Arial" w:hint="default"/>
                <w:w w:val="95"/>
                <w:sz w:val="20"/>
                <w:szCs w:val="20"/>
              </w:rPr>
              <w:t>(%)</w:t>
            </w:r>
            <w:r>
              <w:rPr>
                <w:rFonts w:ascii="Arial" w:hAnsi="Arial" w:cs="Arial" w:eastAsia="Arial" w:hint="default"/>
                <w:sz w:val="20"/>
                <w:szCs w:val="20"/>
              </w:rPr>
            </w:r>
          </w:p>
        </w:tc>
      </w:tr>
      <w:tr>
        <w:trPr>
          <w:trHeight w:val="425" w:hRule="exact"/>
        </w:trPr>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200" w:right="0"/>
              <w:jc w:val="left"/>
              <w:rPr>
                <w:rFonts w:ascii="黑体" w:hAnsi="黑体" w:cs="黑体" w:eastAsia="黑体" w:hint="default"/>
                <w:sz w:val="20"/>
                <w:szCs w:val="20"/>
              </w:rPr>
            </w:pPr>
            <w:r>
              <w:rPr>
                <w:rFonts w:ascii="黑体" w:hAnsi="黑体" w:cs="黑体" w:eastAsia="黑体" w:hint="default"/>
                <w:sz w:val="20"/>
                <w:szCs w:val="20"/>
              </w:rPr>
              <w:t>北京伟库</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577" w:right="0"/>
              <w:jc w:val="left"/>
              <w:rPr>
                <w:rFonts w:ascii="黑体" w:hAnsi="黑体" w:cs="黑体" w:eastAsia="黑体" w:hint="default"/>
                <w:sz w:val="20"/>
                <w:szCs w:val="20"/>
              </w:rPr>
            </w:pPr>
            <w:r>
              <w:rPr>
                <w:rFonts w:ascii="黑体" w:hAnsi="黑体" w:cs="黑体" w:eastAsia="黑体" w:hint="default"/>
                <w:sz w:val="20"/>
                <w:szCs w:val="20"/>
              </w:rPr>
              <w:t>收购资产业务</w:t>
            </w:r>
          </w:p>
        </w:tc>
        <w:tc>
          <w:tcPr>
            <w:tcW w:w="96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5"/>
                <w:szCs w:val="15"/>
              </w:rPr>
            </w:pPr>
          </w:p>
          <w:p>
            <w:pPr>
              <w:pStyle w:val="TableParagraph"/>
              <w:tabs>
                <w:tab w:pos="838" w:val="left" w:leader="none"/>
              </w:tabs>
              <w:spacing w:line="240" w:lineRule="auto"/>
              <w:ind w:left="138" w:right="0"/>
              <w:jc w:val="lef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t>-</w:t>
            </w:r>
            <w:r>
              <w:rPr>
                <w:rFonts w:ascii="Arial"/>
                <w:sz w:val="20"/>
              </w:rPr>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5"/>
                <w:szCs w:val="15"/>
              </w:rPr>
            </w:pPr>
          </w:p>
          <w:p>
            <w:pPr>
              <w:pStyle w:val="TableParagraph"/>
              <w:tabs>
                <w:tab w:pos="602" w:val="left" w:leader="none"/>
              </w:tabs>
              <w:spacing w:line="240" w:lineRule="auto"/>
              <w:ind w:right="266"/>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w w:val="95"/>
                <w:sz w:val="20"/>
                <w:u w:val="thick" w:color="000000"/>
              </w:rPr>
              <w:t>-</w:t>
            </w:r>
            <w:r>
              <w:rPr>
                <w:rFonts w:ascii="Arial"/>
                <w:w w:val="95"/>
                <w:sz w:val="20"/>
              </w:rPr>
            </w:r>
            <w:r>
              <w:rPr>
                <w:rFonts w:ascii="Arial"/>
                <w:sz w:val="20"/>
              </w:rPr>
            </w: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5"/>
                <w:szCs w:val="15"/>
              </w:rPr>
            </w:pPr>
          </w:p>
          <w:p>
            <w:pPr>
              <w:pStyle w:val="TableParagraph"/>
              <w:spacing w:line="240" w:lineRule="auto"/>
              <w:ind w:right="88"/>
              <w:jc w:val="right"/>
              <w:rPr>
                <w:rFonts w:ascii="Arial" w:hAnsi="Arial" w:cs="Arial" w:eastAsia="Arial" w:hint="default"/>
                <w:sz w:val="20"/>
                <w:szCs w:val="20"/>
              </w:rPr>
            </w:pPr>
            <w:r>
              <w:rPr>
                <w:rFonts w:ascii="Arial"/>
                <w:w w:val="99"/>
                <w:sz w:val="20"/>
              </w:rPr>
            </w:r>
            <w:r>
              <w:rPr>
                <w:rFonts w:ascii="Arial"/>
                <w:spacing w:val="-1"/>
                <w:sz w:val="20"/>
                <w:u w:val="thick" w:color="000000"/>
              </w:rPr>
              <w:t>23,946,600</w:t>
            </w:r>
            <w:r>
              <w:rPr>
                <w:rFonts w:ascii="Arial"/>
                <w:spacing w:val="-1"/>
                <w:sz w:val="20"/>
              </w:rPr>
            </w:r>
            <w:r>
              <w:rPr>
                <w:rFonts w:ascii="Arial"/>
                <w:sz w:val="20"/>
              </w:rPr>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黑体" w:hAnsi="黑体" w:cs="黑体" w:eastAsia="黑体" w:hint="default"/>
                <w:sz w:val="15"/>
                <w:szCs w:val="15"/>
              </w:rPr>
            </w:pPr>
          </w:p>
          <w:p>
            <w:pPr>
              <w:pStyle w:val="TableParagraph"/>
              <w:tabs>
                <w:tab w:pos="302" w:val="left" w:leader="none"/>
              </w:tabs>
              <w:spacing w:line="240" w:lineRule="auto"/>
              <w:ind w:right="198"/>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spacing w:val="-1"/>
                <w:w w:val="95"/>
                <w:sz w:val="20"/>
                <w:u w:val="thick" w:color="000000"/>
              </w:rPr>
              <w:t>100</w:t>
            </w:r>
            <w:r>
              <w:rPr>
                <w:rFonts w:ascii="Arial"/>
                <w:spacing w:val="-1"/>
                <w:w w:val="95"/>
                <w:sz w:val="20"/>
              </w:rPr>
            </w:r>
            <w:r>
              <w:rPr>
                <w:rFonts w:ascii="Arial"/>
                <w:sz w:val="20"/>
              </w:rPr>
            </w:r>
          </w:p>
        </w:tc>
      </w:tr>
    </w:tbl>
    <w:p>
      <w:pPr>
        <w:spacing w:after="0" w:line="240" w:lineRule="auto"/>
        <w:jc w:val="right"/>
        <w:rPr>
          <w:rFonts w:ascii="Arial" w:hAnsi="Arial" w:cs="Arial" w:eastAsia="Arial" w:hint="default"/>
          <w:sz w:val="20"/>
          <w:szCs w:val="20"/>
        </w:rPr>
        <w:sectPr>
          <w:pgSz w:w="11910" w:h="16850"/>
          <w:pgMar w:header="957" w:footer="473" w:top="2600" w:bottom="660" w:left="1580" w:right="1380"/>
        </w:sectPr>
      </w:pPr>
    </w:p>
    <w:p>
      <w:pPr>
        <w:spacing w:line="240" w:lineRule="auto" w:before="3"/>
        <w:rPr>
          <w:rFonts w:ascii="黑体" w:hAnsi="黑体" w:cs="黑体" w:eastAsia="黑体" w:hint="default"/>
          <w:sz w:val="25"/>
          <w:szCs w:val="25"/>
        </w:rPr>
      </w:pPr>
    </w:p>
    <w:p>
      <w:pPr>
        <w:pStyle w:val="Heading6"/>
        <w:spacing w:line="240" w:lineRule="auto"/>
        <w:ind w:right="328"/>
        <w:jc w:val="left"/>
        <w:rPr>
          <w:b w:val="0"/>
          <w:bCs w:val="0"/>
        </w:rPr>
      </w:pPr>
      <w:r>
        <w:rPr/>
        <w:t>十三、公司财务报表主要项目注释（续）</w:t>
      </w:r>
      <w:r>
        <w:rPr>
          <w:b w:val="0"/>
          <w:bCs w:val="0"/>
        </w:rPr>
      </w:r>
    </w:p>
    <w:p>
      <w:pPr>
        <w:spacing w:line="240" w:lineRule="auto" w:before="0"/>
        <w:rPr>
          <w:rFonts w:ascii="黑体" w:hAnsi="黑体" w:cs="黑体" w:eastAsia="黑体" w:hint="default"/>
          <w:b/>
          <w:bCs/>
          <w:sz w:val="15"/>
          <w:szCs w:val="15"/>
        </w:rPr>
      </w:pPr>
    </w:p>
    <w:p>
      <w:pPr>
        <w:pStyle w:val="Heading6"/>
        <w:tabs>
          <w:tab w:pos="579" w:val="left" w:leader="none"/>
        </w:tabs>
        <w:spacing w:line="240" w:lineRule="auto" w:before="0"/>
        <w:ind w:right="328"/>
        <w:jc w:val="left"/>
        <w:rPr>
          <w:b w:val="0"/>
          <w:bCs w:val="0"/>
        </w:rPr>
      </w:pPr>
      <w:r>
        <w:rPr>
          <w:rFonts w:ascii="Arial" w:hAnsi="Arial" w:cs="Arial" w:eastAsia="Arial" w:hint="default"/>
          <w:spacing w:val="-1"/>
          <w:w w:val="95"/>
        </w:rPr>
        <w:t>41.</w:t>
        <w:tab/>
      </w:r>
      <w:r>
        <w:rPr>
          <w:spacing w:val="1"/>
        </w:rPr>
        <w:t>本公司与关联</w:t>
      </w:r>
      <w:bookmarkStart w:name="41.  本公司与关联方之主要交易（续）" w:id="159"/>
      <w:bookmarkEnd w:id="159"/>
      <w:r>
        <w:rPr>
          <w:spacing w:val="1"/>
        </w:rPr>
        <w:t>方之</w:t>
      </w:r>
      <w:r>
        <w:rPr>
          <w:spacing w:val="1"/>
        </w:rPr>
        <w:t>主要交易（续）</w:t>
      </w:r>
      <w:r>
        <w:rPr>
          <w:b w:val="0"/>
          <w:bCs w:val="0"/>
          <w:spacing w:val="1"/>
        </w:rPr>
      </w:r>
    </w:p>
    <w:p>
      <w:pPr>
        <w:spacing w:line="240" w:lineRule="auto" w:before="8"/>
        <w:rPr>
          <w:rFonts w:ascii="黑体" w:hAnsi="黑体" w:cs="黑体" w:eastAsia="黑体" w:hint="default"/>
          <w:b/>
          <w:bCs/>
          <w:sz w:val="15"/>
          <w:szCs w:val="15"/>
        </w:rPr>
      </w:pPr>
    </w:p>
    <w:p>
      <w:pPr>
        <w:pStyle w:val="BodyText"/>
        <w:spacing w:line="417" w:lineRule="auto"/>
        <w:ind w:left="732" w:right="7174"/>
        <w:jc w:val="left"/>
      </w:pPr>
      <w:r>
        <w:rPr>
          <w:rFonts w:ascii="Arial" w:hAnsi="Arial" w:cs="Arial" w:eastAsia="Arial" w:hint="default"/>
        </w:rPr>
        <w:t>(4)</w:t>
      </w:r>
      <w:r>
        <w:rPr>
          <w:rFonts w:ascii="Arial" w:hAnsi="Arial" w:cs="Arial" w:eastAsia="Arial" w:hint="default"/>
          <w:spacing w:val="41"/>
        </w:rPr>
        <w:t> </w:t>
      </w:r>
      <w:r>
        <w:rPr/>
        <w:t>关联方担保</w:t>
      </w:r>
      <w:r>
        <w:rPr>
          <w:w w:val="99"/>
        </w:rPr>
        <w:t> </w:t>
      </w:r>
      <w:r>
        <w:rPr/>
        <w:t>接受关联方担保</w:t>
      </w:r>
    </w:p>
    <w:p>
      <w:pPr>
        <w:spacing w:after="0" w:line="417" w:lineRule="auto"/>
        <w:jc w:val="left"/>
        <w:sectPr>
          <w:pgSz w:w="11910" w:h="16850"/>
          <w:pgMar w:header="957" w:footer="473" w:top="2600" w:bottom="660" w:left="1600" w:right="980"/>
        </w:sectPr>
      </w:pPr>
    </w:p>
    <w:p>
      <w:pPr>
        <w:pStyle w:val="BodyText"/>
        <w:spacing w:line="240" w:lineRule="auto" w:before="31"/>
        <w:ind w:left="732" w:right="0"/>
        <w:jc w:val="left"/>
      </w:pPr>
      <w:r>
        <w:rPr>
          <w:rFonts w:ascii="Arial" w:hAnsi="Arial" w:cs="Arial" w:eastAsia="Arial" w:hint="default"/>
          <w:w w:val="95"/>
        </w:rPr>
        <w:t>2012</w:t>
      </w:r>
      <w:r>
        <w:rPr>
          <w:w w:val="95"/>
        </w:rPr>
        <w:t>年</w:t>
      </w:r>
      <w:r>
        <w:rPr/>
      </w:r>
    </w:p>
    <w:p>
      <w:pPr>
        <w:spacing w:line="240" w:lineRule="auto" w:before="3"/>
        <w:rPr>
          <w:rFonts w:ascii="黑体" w:hAnsi="黑体" w:cs="黑体" w:eastAsia="黑体" w:hint="default"/>
          <w:sz w:val="24"/>
          <w:szCs w:val="24"/>
        </w:rPr>
      </w:pPr>
      <w:r>
        <w:rPr/>
        <w:br w:type="column"/>
      </w:r>
      <w:r>
        <w:rPr>
          <w:rFonts w:ascii="黑体"/>
          <w:sz w:val="24"/>
        </w:rPr>
      </w:r>
    </w:p>
    <w:p>
      <w:pPr>
        <w:pStyle w:val="BodyText"/>
        <w:tabs>
          <w:tab w:pos="2091" w:val="left" w:leader="none"/>
          <w:tab w:pos="4354" w:val="left" w:leader="none"/>
          <w:tab w:pos="5715" w:val="left" w:leader="none"/>
          <w:tab w:pos="5914" w:val="left" w:leader="none"/>
        </w:tabs>
        <w:spacing w:line="261" w:lineRule="auto"/>
        <w:ind w:left="4155" w:right="314" w:hanging="3423"/>
        <w:jc w:val="left"/>
      </w:pPr>
      <w:r>
        <w:rPr>
          <w:w w:val="95"/>
        </w:rPr>
        <w:t>担保额度</w:t>
        <w:tab/>
        <w:t>担保金额</w:t>
        <w:tab/>
        <w:tab/>
        <w:t>担保</w:t>
        <w:tab/>
        <w:tab/>
      </w:r>
      <w:r>
        <w:rPr/>
        <w:t>担保 </w:t>
      </w:r>
      <w:r>
        <w:rPr>
          <w:spacing w:val="-6"/>
        </w:rPr>
        <w:t> </w:t>
      </w:r>
      <w:r>
        <w:rPr/>
        <w:t>担保是否</w:t>
      </w:r>
      <w:r>
        <w:rPr>
          <w:spacing w:val="-6"/>
        </w:rPr>
        <w:t> </w:t>
      </w:r>
      <w:r>
        <w:rPr>
          <w:spacing w:val="-6"/>
        </w:rPr>
      </w:r>
      <w:r>
        <w:rPr/>
        <w:t>起始日</w:t>
        <w:tab/>
        <w:t>到期日</w:t>
      </w:r>
      <w:r>
        <w:rPr>
          <w:spacing w:val="88"/>
        </w:rPr>
        <w:t> </w:t>
      </w:r>
      <w:r>
        <w:rPr/>
        <w:t>履行完毕</w:t>
      </w:r>
    </w:p>
    <w:p>
      <w:pPr>
        <w:spacing w:after="0" w:line="261" w:lineRule="auto"/>
        <w:jc w:val="left"/>
        <w:sectPr>
          <w:type w:val="continuous"/>
          <w:pgSz w:w="11910" w:h="16850"/>
          <w:pgMar w:top="1020" w:bottom="280" w:left="1600" w:right="980"/>
          <w:cols w:num="2" w:equalWidth="0">
            <w:col w:w="1376" w:space="330"/>
            <w:col w:w="7624"/>
          </w:cols>
        </w:sectPr>
      </w:pPr>
    </w:p>
    <w:p>
      <w:pPr>
        <w:pStyle w:val="BodyText"/>
        <w:tabs>
          <w:tab w:pos="3485" w:val="left" w:leader="none"/>
          <w:tab w:pos="5213" w:val="left" w:leader="none"/>
          <w:tab w:pos="6773" w:val="left" w:leader="none"/>
          <w:tab w:pos="8796" w:val="left" w:leader="none"/>
        </w:tabs>
        <w:spacing w:line="247" w:lineRule="auto" w:before="6"/>
        <w:ind w:left="711" w:right="328"/>
        <w:jc w:val="left"/>
      </w:pPr>
      <w:r>
        <w:rPr>
          <w:w w:val="99"/>
        </w:rPr>
        <w:t>用友科</w:t>
      </w:r>
      <w:r>
        <w:rPr>
          <w:spacing w:val="-87"/>
          <w:w w:val="99"/>
        </w:rPr>
        <w:t>技</w:t>
      </w:r>
      <w:r>
        <w:rPr>
          <w:w w:val="99"/>
        </w:rPr>
        <w:t>（注</w:t>
      </w:r>
      <w:r>
        <w:rPr>
          <w:rFonts w:ascii="Arial" w:hAnsi="Arial" w:cs="Arial" w:eastAsia="Arial" w:hint="default"/>
          <w:spacing w:val="2"/>
          <w:w w:val="99"/>
        </w:rPr>
        <w:t>1</w:t>
      </w:r>
      <w:r>
        <w:rPr>
          <w:spacing w:val="-5"/>
          <w:w w:val="99"/>
        </w:rPr>
        <w:t>）</w:t>
      </w:r>
      <w:r>
        <w:rPr>
          <w:rFonts w:ascii="Arial" w:hAnsi="Arial" w:cs="Arial" w:eastAsia="Arial" w:hint="default"/>
          <w:spacing w:val="-1"/>
          <w:w w:val="99"/>
        </w:rPr>
        <w:t>500</w:t>
      </w:r>
      <w:r>
        <w:rPr>
          <w:rFonts w:ascii="Arial" w:hAnsi="Arial" w:cs="Arial" w:eastAsia="Arial" w:hint="default"/>
          <w:spacing w:val="2"/>
          <w:w w:val="99"/>
        </w:rPr>
        <w:t>,</w:t>
      </w:r>
      <w:r>
        <w:rPr>
          <w:rFonts w:ascii="Arial" w:hAnsi="Arial" w:cs="Arial" w:eastAsia="Arial" w:hint="default"/>
          <w:spacing w:val="-1"/>
          <w:w w:val="99"/>
        </w:rPr>
        <w:t>000</w:t>
      </w:r>
      <w:r>
        <w:rPr>
          <w:rFonts w:ascii="Arial" w:hAnsi="Arial" w:cs="Arial" w:eastAsia="Arial" w:hint="default"/>
          <w:spacing w:val="2"/>
          <w:w w:val="99"/>
        </w:rPr>
        <w:t>,</w:t>
      </w:r>
      <w:r>
        <w:rPr>
          <w:rFonts w:ascii="Arial" w:hAnsi="Arial" w:cs="Arial" w:eastAsia="Arial" w:hint="default"/>
          <w:spacing w:val="-1"/>
          <w:w w:val="99"/>
        </w:rPr>
        <w:t>00</w:t>
      </w:r>
      <w:r>
        <w:rPr>
          <w:rFonts w:ascii="Arial" w:hAnsi="Arial" w:cs="Arial" w:eastAsia="Arial" w:hint="default"/>
          <w:w w:val="99"/>
        </w:rPr>
        <w:t>0</w:t>
      </w:r>
      <w:r>
        <w:rPr>
          <w:rFonts w:ascii="Arial" w:hAnsi="Arial" w:cs="Arial" w:eastAsia="Arial" w:hint="default"/>
        </w:rPr>
        <w:tab/>
      </w:r>
      <w:r>
        <w:rPr>
          <w:rFonts w:ascii="Arial" w:hAnsi="Arial" w:cs="Arial" w:eastAsia="Arial" w:hint="default"/>
          <w:spacing w:val="-1"/>
          <w:w w:val="99"/>
        </w:rPr>
        <w:t>100</w:t>
      </w:r>
      <w:r>
        <w:rPr>
          <w:rFonts w:ascii="Arial" w:hAnsi="Arial" w:cs="Arial" w:eastAsia="Arial" w:hint="default"/>
          <w:spacing w:val="2"/>
          <w:w w:val="99"/>
        </w:rPr>
        <w:t>,</w:t>
      </w:r>
      <w:r>
        <w:rPr>
          <w:rFonts w:ascii="Arial" w:hAnsi="Arial" w:cs="Arial" w:eastAsia="Arial" w:hint="default"/>
          <w:spacing w:val="-1"/>
          <w:w w:val="99"/>
        </w:rPr>
        <w:t>000</w:t>
      </w:r>
      <w:r>
        <w:rPr>
          <w:rFonts w:ascii="Arial" w:hAnsi="Arial" w:cs="Arial" w:eastAsia="Arial" w:hint="default"/>
          <w:spacing w:val="2"/>
          <w:w w:val="99"/>
        </w:rPr>
        <w:t>,</w:t>
      </w:r>
      <w:r>
        <w:rPr>
          <w:rFonts w:ascii="Arial" w:hAnsi="Arial" w:cs="Arial" w:eastAsia="Arial" w:hint="default"/>
          <w:spacing w:val="-1"/>
          <w:w w:val="99"/>
        </w:rPr>
        <w:t>00</w:t>
      </w:r>
      <w:r>
        <w:rPr>
          <w:rFonts w:ascii="Arial" w:hAnsi="Arial" w:cs="Arial" w:eastAsia="Arial" w:hint="default"/>
          <w:w w:val="99"/>
        </w:rPr>
        <w:t>0</w:t>
      </w:r>
      <w:r>
        <w:rPr>
          <w:rFonts w:ascii="Arial" w:hAnsi="Arial" w:cs="Arial" w:eastAsia="Arial" w:hint="default"/>
        </w:rPr>
        <w:tab/>
      </w:r>
      <w:r>
        <w:rPr>
          <w:rFonts w:ascii="Arial" w:hAnsi="Arial" w:cs="Arial" w:eastAsia="Arial" w:hint="default"/>
          <w:spacing w:val="-1"/>
          <w:w w:val="99"/>
        </w:rPr>
        <w:t>201</w:t>
      </w:r>
      <w:r>
        <w:rPr>
          <w:rFonts w:ascii="Arial" w:hAnsi="Arial" w:cs="Arial" w:eastAsia="Arial" w:hint="default"/>
          <w:spacing w:val="2"/>
          <w:w w:val="99"/>
        </w:rPr>
        <w:t>0</w:t>
      </w:r>
      <w:r>
        <w:rPr>
          <w:w w:val="99"/>
        </w:rPr>
        <w:t>年</w:t>
      </w:r>
      <w:r>
        <w:rPr>
          <w:rFonts w:ascii="Arial" w:hAnsi="Arial" w:cs="Arial" w:eastAsia="Arial" w:hint="default"/>
          <w:spacing w:val="-1"/>
          <w:w w:val="99"/>
        </w:rPr>
        <w:t>8</w:t>
      </w:r>
      <w:r>
        <w:rPr>
          <w:spacing w:val="2"/>
          <w:w w:val="99"/>
        </w:rPr>
        <w:t>月</w:t>
      </w:r>
      <w:r>
        <w:rPr>
          <w:rFonts w:ascii="Arial" w:hAnsi="Arial" w:cs="Arial" w:eastAsia="Arial" w:hint="default"/>
          <w:spacing w:val="-1"/>
          <w:w w:val="99"/>
        </w:rPr>
        <w:t>3</w:t>
      </w:r>
      <w:r>
        <w:rPr>
          <w:w w:val="99"/>
        </w:rPr>
        <w:t>日</w:t>
      </w:r>
      <w:r>
        <w:rPr/>
        <w:t> </w:t>
      </w:r>
      <w:r>
        <w:rPr>
          <w:spacing w:val="-16"/>
        </w:rPr>
        <w:t> </w:t>
      </w:r>
      <w:r>
        <w:rPr>
          <w:rFonts w:ascii="Arial" w:hAnsi="Arial" w:cs="Arial" w:eastAsia="Arial" w:hint="default"/>
          <w:spacing w:val="-1"/>
          <w:w w:val="99"/>
        </w:rPr>
        <w:t>201</w:t>
      </w:r>
      <w:r>
        <w:rPr>
          <w:rFonts w:ascii="Arial" w:hAnsi="Arial" w:cs="Arial" w:eastAsia="Arial" w:hint="default"/>
          <w:spacing w:val="2"/>
          <w:w w:val="99"/>
        </w:rPr>
        <w:t>3</w:t>
      </w:r>
      <w:r>
        <w:rPr>
          <w:w w:val="99"/>
        </w:rPr>
        <w:t>年</w:t>
      </w:r>
      <w:r>
        <w:rPr>
          <w:rFonts w:ascii="Arial" w:hAnsi="Arial" w:cs="Arial" w:eastAsia="Arial" w:hint="default"/>
          <w:spacing w:val="-1"/>
          <w:w w:val="99"/>
        </w:rPr>
        <w:t>7</w:t>
      </w:r>
      <w:r>
        <w:rPr>
          <w:spacing w:val="2"/>
          <w:w w:val="99"/>
        </w:rPr>
        <w:t>月</w:t>
      </w:r>
      <w:r>
        <w:rPr>
          <w:rFonts w:ascii="Arial" w:hAnsi="Arial" w:cs="Arial" w:eastAsia="Arial" w:hint="default"/>
          <w:spacing w:val="-1"/>
          <w:w w:val="99"/>
        </w:rPr>
        <w:t>26</w:t>
      </w:r>
      <w:r>
        <w:rPr>
          <w:w w:val="99"/>
        </w:rPr>
        <w:t>日</w:t>
      </w:r>
      <w:r>
        <w:rPr/>
        <w:tab/>
      </w:r>
      <w:r>
        <w:rPr>
          <w:w w:val="99"/>
        </w:rPr>
        <w:t>否</w:t>
      </w:r>
      <w:r>
        <w:rPr>
          <w:w w:val="99"/>
        </w:rPr>
        <w:t> 用友科</w:t>
      </w:r>
      <w:r>
        <w:rPr>
          <w:spacing w:val="-87"/>
          <w:w w:val="99"/>
        </w:rPr>
        <w:t>技</w:t>
      </w:r>
      <w:r>
        <w:rPr>
          <w:w w:val="99"/>
        </w:rPr>
        <w:t>（注</w:t>
      </w:r>
      <w:r>
        <w:rPr>
          <w:rFonts w:ascii="Arial" w:hAnsi="Arial" w:cs="Arial" w:eastAsia="Arial" w:hint="default"/>
          <w:spacing w:val="2"/>
          <w:w w:val="99"/>
        </w:rPr>
        <w:t>2</w:t>
      </w:r>
      <w:r>
        <w:rPr>
          <w:spacing w:val="-5"/>
          <w:w w:val="99"/>
        </w:rPr>
        <w:t>）</w:t>
      </w:r>
      <w:r>
        <w:rPr>
          <w:rFonts w:ascii="Arial" w:hAnsi="Arial" w:cs="Arial" w:eastAsia="Arial" w:hint="default"/>
          <w:spacing w:val="-1"/>
          <w:w w:val="99"/>
        </w:rPr>
        <w:t>150</w:t>
      </w:r>
      <w:r>
        <w:rPr>
          <w:rFonts w:ascii="Arial" w:hAnsi="Arial" w:cs="Arial" w:eastAsia="Arial" w:hint="default"/>
          <w:spacing w:val="2"/>
          <w:w w:val="99"/>
        </w:rPr>
        <w:t>,</w:t>
      </w:r>
      <w:r>
        <w:rPr>
          <w:rFonts w:ascii="Arial" w:hAnsi="Arial" w:cs="Arial" w:eastAsia="Arial" w:hint="default"/>
          <w:spacing w:val="-1"/>
          <w:w w:val="99"/>
        </w:rPr>
        <w:t>000</w:t>
      </w:r>
      <w:r>
        <w:rPr>
          <w:rFonts w:ascii="Arial" w:hAnsi="Arial" w:cs="Arial" w:eastAsia="Arial" w:hint="default"/>
          <w:spacing w:val="2"/>
          <w:w w:val="99"/>
        </w:rPr>
        <w:t>,</w:t>
      </w:r>
      <w:r>
        <w:rPr>
          <w:rFonts w:ascii="Arial" w:hAnsi="Arial" w:cs="Arial" w:eastAsia="Arial" w:hint="default"/>
          <w:spacing w:val="-1"/>
          <w:w w:val="99"/>
        </w:rPr>
        <w:t>00</w:t>
      </w:r>
      <w:r>
        <w:rPr>
          <w:rFonts w:ascii="Arial" w:hAnsi="Arial" w:cs="Arial" w:eastAsia="Arial" w:hint="default"/>
          <w:w w:val="99"/>
        </w:rPr>
        <w:t>0</w:t>
      </w:r>
      <w:r>
        <w:rPr>
          <w:rFonts w:ascii="Arial" w:hAnsi="Arial" w:cs="Arial" w:eastAsia="Arial" w:hint="default"/>
        </w:rPr>
        <w:tab/>
      </w:r>
      <w:r>
        <w:rPr>
          <w:rFonts w:ascii="Arial" w:hAnsi="Arial" w:cs="Arial" w:eastAsia="Arial" w:hint="default"/>
          <w:spacing w:val="-1"/>
          <w:w w:val="99"/>
        </w:rPr>
        <w:t>100</w:t>
      </w:r>
      <w:r>
        <w:rPr>
          <w:rFonts w:ascii="Arial" w:hAnsi="Arial" w:cs="Arial" w:eastAsia="Arial" w:hint="default"/>
          <w:spacing w:val="2"/>
          <w:w w:val="99"/>
        </w:rPr>
        <w:t>,</w:t>
      </w:r>
      <w:r>
        <w:rPr>
          <w:rFonts w:ascii="Arial" w:hAnsi="Arial" w:cs="Arial" w:eastAsia="Arial" w:hint="default"/>
          <w:spacing w:val="-1"/>
          <w:w w:val="99"/>
        </w:rPr>
        <w:t>000</w:t>
      </w:r>
      <w:r>
        <w:rPr>
          <w:rFonts w:ascii="Arial" w:hAnsi="Arial" w:cs="Arial" w:eastAsia="Arial" w:hint="default"/>
          <w:spacing w:val="2"/>
          <w:w w:val="99"/>
        </w:rPr>
        <w:t>,</w:t>
      </w:r>
      <w:r>
        <w:rPr>
          <w:rFonts w:ascii="Arial" w:hAnsi="Arial" w:cs="Arial" w:eastAsia="Arial" w:hint="default"/>
          <w:spacing w:val="-1"/>
          <w:w w:val="99"/>
        </w:rPr>
        <w:t>00</w:t>
      </w:r>
      <w:r>
        <w:rPr>
          <w:rFonts w:ascii="Arial" w:hAnsi="Arial" w:cs="Arial" w:eastAsia="Arial" w:hint="default"/>
          <w:w w:val="99"/>
        </w:rPr>
        <w:t>0</w:t>
      </w:r>
      <w:r>
        <w:rPr>
          <w:rFonts w:ascii="Arial" w:hAnsi="Arial" w:cs="Arial" w:eastAsia="Arial" w:hint="default"/>
        </w:rPr>
        <w:tab/>
      </w:r>
      <w:r>
        <w:rPr>
          <w:rFonts w:ascii="Arial" w:hAnsi="Arial" w:cs="Arial" w:eastAsia="Arial" w:hint="default"/>
          <w:spacing w:val="-1"/>
          <w:w w:val="99"/>
        </w:rPr>
        <w:t>201</w:t>
      </w:r>
      <w:r>
        <w:rPr>
          <w:rFonts w:ascii="Arial" w:hAnsi="Arial" w:cs="Arial" w:eastAsia="Arial" w:hint="default"/>
          <w:spacing w:val="2"/>
          <w:w w:val="99"/>
        </w:rPr>
        <w:t>0</w:t>
      </w:r>
      <w:r>
        <w:rPr>
          <w:w w:val="99"/>
        </w:rPr>
        <w:t>年</w:t>
      </w:r>
      <w:r>
        <w:rPr>
          <w:rFonts w:ascii="Arial" w:hAnsi="Arial" w:cs="Arial" w:eastAsia="Arial" w:hint="default"/>
          <w:spacing w:val="-1"/>
          <w:w w:val="99"/>
        </w:rPr>
        <w:t>9</w:t>
      </w:r>
      <w:r>
        <w:rPr>
          <w:spacing w:val="2"/>
          <w:w w:val="99"/>
        </w:rPr>
        <w:t>月</w:t>
      </w:r>
      <w:r>
        <w:rPr>
          <w:rFonts w:ascii="Arial" w:hAnsi="Arial" w:cs="Arial" w:eastAsia="Arial" w:hint="default"/>
          <w:spacing w:val="-1"/>
          <w:w w:val="99"/>
        </w:rPr>
        <w:t>6</w:t>
      </w:r>
      <w:r>
        <w:rPr>
          <w:w w:val="99"/>
        </w:rPr>
        <w:t>日</w:t>
      </w:r>
      <w:r>
        <w:rPr/>
        <w:tab/>
      </w:r>
      <w:r>
        <w:rPr>
          <w:rFonts w:ascii="Arial" w:hAnsi="Arial" w:cs="Arial" w:eastAsia="Arial" w:hint="default"/>
          <w:spacing w:val="-1"/>
          <w:w w:val="99"/>
        </w:rPr>
        <w:t>201</w:t>
      </w:r>
      <w:r>
        <w:rPr>
          <w:rFonts w:ascii="Arial" w:hAnsi="Arial" w:cs="Arial" w:eastAsia="Arial" w:hint="default"/>
          <w:spacing w:val="2"/>
          <w:w w:val="99"/>
        </w:rPr>
        <w:t>3</w:t>
      </w:r>
      <w:r>
        <w:rPr>
          <w:w w:val="99"/>
        </w:rPr>
        <w:t>年</w:t>
      </w:r>
      <w:r>
        <w:rPr>
          <w:rFonts w:ascii="Arial" w:hAnsi="Arial" w:cs="Arial" w:eastAsia="Arial" w:hint="default"/>
          <w:spacing w:val="-1"/>
          <w:w w:val="99"/>
        </w:rPr>
        <w:t>9</w:t>
      </w:r>
      <w:r>
        <w:rPr>
          <w:spacing w:val="2"/>
          <w:w w:val="99"/>
        </w:rPr>
        <w:t>月</w:t>
      </w:r>
      <w:r>
        <w:rPr>
          <w:rFonts w:ascii="Arial" w:hAnsi="Arial" w:cs="Arial" w:eastAsia="Arial" w:hint="default"/>
          <w:spacing w:val="-1"/>
          <w:w w:val="99"/>
        </w:rPr>
        <w:t>6</w:t>
      </w:r>
      <w:r>
        <w:rPr>
          <w:w w:val="99"/>
        </w:rPr>
        <w:t>日</w:t>
      </w:r>
      <w:r>
        <w:rPr/>
        <w:tab/>
      </w:r>
      <w:r>
        <w:rPr>
          <w:w w:val="99"/>
        </w:rPr>
        <w:t>否</w:t>
      </w:r>
      <w:r>
        <w:rPr/>
      </w:r>
    </w:p>
    <w:p>
      <w:pPr>
        <w:spacing w:line="240" w:lineRule="auto" w:before="12"/>
        <w:rPr>
          <w:rFonts w:ascii="黑体" w:hAnsi="黑体" w:cs="黑体" w:eastAsia="黑体" w:hint="default"/>
          <w:sz w:val="15"/>
          <w:szCs w:val="15"/>
        </w:rPr>
      </w:pPr>
    </w:p>
    <w:p>
      <w:pPr>
        <w:pStyle w:val="BodyText"/>
        <w:spacing w:line="189" w:lineRule="auto"/>
        <w:ind w:left="667" w:right="5861"/>
        <w:jc w:val="left"/>
      </w:pPr>
      <w:r>
        <w:rPr/>
        <w:t>注</w:t>
      </w:r>
      <w:r>
        <w:rPr>
          <w:rFonts w:ascii="Arial" w:hAnsi="Arial" w:cs="Arial" w:eastAsia="Arial" w:hint="default"/>
        </w:rPr>
        <w:t>1</w:t>
      </w:r>
      <w:r>
        <w:rPr/>
        <w:t>．参见附注六、</w:t>
      </w:r>
      <w:r>
        <w:rPr>
          <w:rFonts w:ascii="Arial" w:hAnsi="Arial" w:cs="Arial" w:eastAsia="Arial" w:hint="default"/>
        </w:rPr>
        <w:t>5(4)</w:t>
      </w:r>
      <w:r>
        <w:rPr/>
        <w:t>、注</w:t>
      </w:r>
      <w:r>
        <w:rPr>
          <w:rFonts w:ascii="Arial" w:hAnsi="Arial" w:cs="Arial" w:eastAsia="Arial" w:hint="default"/>
        </w:rPr>
        <w:t>1</w:t>
      </w:r>
      <w:r>
        <w:rPr/>
        <w:t>。</w:t>
      </w:r>
      <w:r>
        <w:rPr>
          <w:w w:val="99"/>
        </w:rPr>
        <w:t> </w:t>
      </w:r>
      <w:r>
        <w:rPr/>
        <w:t>注</w:t>
      </w:r>
      <w:r>
        <w:rPr>
          <w:rFonts w:ascii="Arial" w:hAnsi="Arial" w:cs="Arial" w:eastAsia="Arial" w:hint="default"/>
        </w:rPr>
        <w:t>2</w:t>
      </w:r>
      <w:r>
        <w:rPr/>
        <w:t>．参见附注六、</w:t>
      </w:r>
      <w:r>
        <w:rPr>
          <w:rFonts w:ascii="Arial" w:hAnsi="Arial" w:cs="Arial" w:eastAsia="Arial" w:hint="default"/>
        </w:rPr>
        <w:t>5(4)</w:t>
      </w:r>
      <w:r>
        <w:rPr/>
        <w:t>、注</w:t>
      </w:r>
      <w:r>
        <w:rPr>
          <w:rFonts w:ascii="Arial" w:hAnsi="Arial" w:cs="Arial" w:eastAsia="Arial" w:hint="default"/>
        </w:rPr>
        <w:t>2</w:t>
      </w:r>
      <w:r>
        <w:rPr/>
        <w:t>。</w:t>
      </w:r>
    </w:p>
    <w:p>
      <w:pPr>
        <w:pStyle w:val="BodyText"/>
        <w:spacing w:line="240" w:lineRule="auto" w:before="174"/>
        <w:ind w:left="744" w:right="328"/>
        <w:jc w:val="left"/>
      </w:pPr>
      <w:r>
        <w:rPr>
          <w:rFonts w:ascii="Arial" w:hAnsi="Arial" w:cs="Arial" w:eastAsia="Arial" w:hint="default"/>
        </w:rPr>
        <w:t>2011</w:t>
      </w:r>
      <w:r>
        <w:rPr/>
        <w:t>年</w:t>
      </w:r>
    </w:p>
    <w:p>
      <w:pPr>
        <w:spacing w:line="240" w:lineRule="auto" w:before="5"/>
        <w:rPr>
          <w:rFonts w:ascii="黑体" w:hAnsi="黑体" w:cs="黑体" w:eastAsia="黑体" w:hint="default"/>
          <w:sz w:val="5"/>
          <w:szCs w:val="5"/>
        </w:rPr>
      </w:pPr>
    </w:p>
    <w:tbl>
      <w:tblPr>
        <w:tblW w:w="0" w:type="auto"/>
        <w:jc w:val="left"/>
        <w:tblInd w:w="511" w:type="dxa"/>
        <w:tblLayout w:type="fixed"/>
        <w:tblCellMar>
          <w:top w:w="0" w:type="dxa"/>
          <w:left w:w="0" w:type="dxa"/>
          <w:bottom w:w="0" w:type="dxa"/>
          <w:right w:w="0" w:type="dxa"/>
        </w:tblCellMar>
        <w:tblLook w:val="01E0"/>
      </w:tblPr>
      <w:tblGrid>
        <w:gridCol w:w="1293"/>
        <w:gridCol w:w="1565"/>
        <w:gridCol w:w="1446"/>
        <w:gridCol w:w="1700"/>
        <w:gridCol w:w="1610"/>
        <w:gridCol w:w="1084"/>
      </w:tblGrid>
      <w:tr>
        <w:trPr>
          <w:trHeight w:val="242" w:hRule="exact"/>
        </w:trPr>
        <w:tc>
          <w:tcPr>
            <w:tcW w:w="129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199" w:lineRule="exact"/>
              <w:ind w:right="157"/>
              <w:jc w:val="right"/>
              <w:rPr>
                <w:rFonts w:ascii="黑体" w:hAnsi="黑体" w:cs="黑体" w:eastAsia="黑体" w:hint="default"/>
                <w:sz w:val="20"/>
                <w:szCs w:val="20"/>
              </w:rPr>
            </w:pPr>
            <w:r>
              <w:rPr>
                <w:rFonts w:ascii="黑体" w:hAnsi="黑体" w:cs="黑体" w:eastAsia="黑体" w:hint="default"/>
                <w:w w:val="95"/>
                <w:sz w:val="20"/>
                <w:szCs w:val="20"/>
              </w:rPr>
              <w:t>担保额度</w:t>
            </w:r>
            <w:r>
              <w:rPr>
                <w:rFonts w:ascii="黑体" w:hAnsi="黑体" w:cs="黑体" w:eastAsia="黑体" w:hint="default"/>
                <w:sz w:val="20"/>
                <w:szCs w:val="20"/>
              </w:rPr>
            </w:r>
          </w:p>
        </w:tc>
        <w:tc>
          <w:tcPr>
            <w:tcW w:w="1446" w:type="dxa"/>
            <w:tcBorders>
              <w:top w:val="nil" w:sz="6" w:space="0" w:color="auto"/>
              <w:left w:val="nil" w:sz="6" w:space="0" w:color="auto"/>
              <w:bottom w:val="nil" w:sz="6" w:space="0" w:color="auto"/>
              <w:right w:val="nil" w:sz="6" w:space="0" w:color="auto"/>
            </w:tcBorders>
          </w:tcPr>
          <w:p>
            <w:pPr>
              <w:pStyle w:val="TableParagraph"/>
              <w:spacing w:line="199" w:lineRule="exact"/>
              <w:ind w:right="175"/>
              <w:jc w:val="right"/>
              <w:rPr>
                <w:rFonts w:ascii="黑体" w:hAnsi="黑体" w:cs="黑体" w:eastAsia="黑体" w:hint="default"/>
                <w:sz w:val="20"/>
                <w:szCs w:val="20"/>
              </w:rPr>
            </w:pPr>
            <w:r>
              <w:rPr>
                <w:rFonts w:ascii="黑体" w:hAnsi="黑体" w:cs="黑体" w:eastAsia="黑体" w:hint="default"/>
                <w:w w:val="95"/>
                <w:sz w:val="20"/>
                <w:szCs w:val="20"/>
              </w:rPr>
              <w:t>担保金额</w:t>
            </w:r>
            <w:r>
              <w:rPr>
                <w:rFonts w:ascii="黑体" w:hAnsi="黑体" w:cs="黑体" w:eastAsia="黑体" w:hint="default"/>
                <w:sz w:val="20"/>
                <w:szCs w:val="20"/>
              </w:rPr>
            </w:r>
          </w:p>
        </w:tc>
        <w:tc>
          <w:tcPr>
            <w:tcW w:w="1700" w:type="dxa"/>
            <w:tcBorders>
              <w:top w:val="nil" w:sz="6" w:space="0" w:color="auto"/>
              <w:left w:val="nil" w:sz="6" w:space="0" w:color="auto"/>
              <w:bottom w:val="nil" w:sz="6" w:space="0" w:color="auto"/>
              <w:right w:val="nil" w:sz="6" w:space="0" w:color="auto"/>
            </w:tcBorders>
          </w:tcPr>
          <w:p>
            <w:pPr>
              <w:pStyle w:val="TableParagraph"/>
              <w:spacing w:line="199" w:lineRule="exact"/>
              <w:ind w:right="54"/>
              <w:jc w:val="right"/>
              <w:rPr>
                <w:rFonts w:ascii="黑体" w:hAnsi="黑体" w:cs="黑体" w:eastAsia="黑体" w:hint="default"/>
                <w:sz w:val="20"/>
                <w:szCs w:val="20"/>
              </w:rPr>
            </w:pPr>
            <w:r>
              <w:rPr>
                <w:rFonts w:ascii="黑体" w:hAnsi="黑体" w:cs="黑体" w:eastAsia="黑体" w:hint="default"/>
                <w:w w:val="95"/>
                <w:sz w:val="20"/>
                <w:szCs w:val="20"/>
              </w:rPr>
              <w:t>担保</w:t>
            </w:r>
            <w:r>
              <w:rPr>
                <w:rFonts w:ascii="黑体" w:hAnsi="黑体" w:cs="黑体" w:eastAsia="黑体" w:hint="default"/>
                <w:sz w:val="20"/>
                <w:szCs w:val="20"/>
              </w:rPr>
            </w:r>
          </w:p>
        </w:tc>
        <w:tc>
          <w:tcPr>
            <w:tcW w:w="1610" w:type="dxa"/>
            <w:tcBorders>
              <w:top w:val="nil" w:sz="6" w:space="0" w:color="auto"/>
              <w:left w:val="nil" w:sz="6" w:space="0" w:color="auto"/>
              <w:bottom w:val="nil" w:sz="6" w:space="0" w:color="auto"/>
              <w:right w:val="nil" w:sz="6" w:space="0" w:color="auto"/>
            </w:tcBorders>
          </w:tcPr>
          <w:p>
            <w:pPr>
              <w:pStyle w:val="TableParagraph"/>
              <w:spacing w:line="199" w:lineRule="exact"/>
              <w:ind w:right="104"/>
              <w:jc w:val="right"/>
              <w:rPr>
                <w:rFonts w:ascii="黑体" w:hAnsi="黑体" w:cs="黑体" w:eastAsia="黑体" w:hint="default"/>
                <w:sz w:val="20"/>
                <w:szCs w:val="20"/>
              </w:rPr>
            </w:pPr>
            <w:r>
              <w:rPr>
                <w:rFonts w:ascii="黑体" w:hAnsi="黑体" w:cs="黑体" w:eastAsia="黑体" w:hint="default"/>
                <w:w w:val="95"/>
                <w:sz w:val="20"/>
                <w:szCs w:val="20"/>
              </w:rPr>
              <w:t>担保</w:t>
            </w:r>
            <w:r>
              <w:rPr>
                <w:rFonts w:ascii="黑体" w:hAnsi="黑体" w:cs="黑体" w:eastAsia="黑体" w:hint="default"/>
                <w:sz w:val="20"/>
                <w:szCs w:val="20"/>
              </w:rPr>
            </w:r>
          </w:p>
        </w:tc>
        <w:tc>
          <w:tcPr>
            <w:tcW w:w="1084" w:type="dxa"/>
            <w:tcBorders>
              <w:top w:val="nil" w:sz="6" w:space="0" w:color="auto"/>
              <w:left w:val="nil" w:sz="6" w:space="0" w:color="auto"/>
              <w:bottom w:val="nil" w:sz="6" w:space="0" w:color="auto"/>
              <w:right w:val="nil" w:sz="6" w:space="0" w:color="auto"/>
            </w:tcBorders>
          </w:tcPr>
          <w:p>
            <w:pPr>
              <w:pStyle w:val="TableParagraph"/>
              <w:spacing w:line="199" w:lineRule="exact"/>
              <w:ind w:right="198"/>
              <w:jc w:val="right"/>
              <w:rPr>
                <w:rFonts w:ascii="黑体" w:hAnsi="黑体" w:cs="黑体" w:eastAsia="黑体" w:hint="default"/>
                <w:sz w:val="20"/>
                <w:szCs w:val="20"/>
              </w:rPr>
            </w:pPr>
            <w:r>
              <w:rPr>
                <w:rFonts w:ascii="黑体" w:hAnsi="黑体" w:cs="黑体" w:eastAsia="黑体" w:hint="default"/>
                <w:w w:val="95"/>
                <w:sz w:val="20"/>
                <w:szCs w:val="20"/>
              </w:rPr>
              <w:t>担保是否</w:t>
            </w:r>
            <w:r>
              <w:rPr>
                <w:rFonts w:ascii="黑体" w:hAnsi="黑体" w:cs="黑体" w:eastAsia="黑体" w:hint="default"/>
                <w:sz w:val="20"/>
                <w:szCs w:val="20"/>
              </w:rPr>
            </w:r>
          </w:p>
        </w:tc>
      </w:tr>
      <w:tr>
        <w:trPr>
          <w:trHeight w:val="286" w:hRule="exact"/>
        </w:trPr>
        <w:tc>
          <w:tcPr>
            <w:tcW w:w="1293"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c>
          <w:tcPr>
            <w:tcW w:w="1446" w:type="dxa"/>
            <w:tcBorders>
              <w:top w:val="nil" w:sz="6" w:space="0" w:color="auto"/>
              <w:left w:val="nil" w:sz="6" w:space="0" w:color="auto"/>
              <w:bottom w:val="nil" w:sz="6" w:space="0" w:color="auto"/>
              <w:right w:val="nil" w:sz="6" w:space="0" w:color="auto"/>
            </w:tcBorders>
          </w:tcPr>
          <w:p>
            <w:pPr/>
          </w:p>
        </w:tc>
        <w:tc>
          <w:tcPr>
            <w:tcW w:w="1700" w:type="dxa"/>
            <w:tcBorders>
              <w:top w:val="nil" w:sz="6" w:space="0" w:color="auto"/>
              <w:left w:val="nil" w:sz="6" w:space="0" w:color="auto"/>
              <w:bottom w:val="nil" w:sz="6" w:space="0" w:color="auto"/>
              <w:right w:val="nil" w:sz="6" w:space="0" w:color="auto"/>
            </w:tcBorders>
          </w:tcPr>
          <w:p>
            <w:pPr>
              <w:pStyle w:val="TableParagraph"/>
              <w:spacing w:line="243" w:lineRule="exact"/>
              <w:ind w:right="54"/>
              <w:jc w:val="right"/>
              <w:rPr>
                <w:rFonts w:ascii="黑体" w:hAnsi="黑体" w:cs="黑体" w:eastAsia="黑体" w:hint="default"/>
                <w:sz w:val="20"/>
                <w:szCs w:val="20"/>
              </w:rPr>
            </w:pPr>
            <w:r>
              <w:rPr>
                <w:rFonts w:ascii="黑体" w:hAnsi="黑体" w:cs="黑体" w:eastAsia="黑体" w:hint="default"/>
                <w:w w:val="95"/>
                <w:sz w:val="20"/>
                <w:szCs w:val="20"/>
              </w:rPr>
              <w:t>起始日</w:t>
            </w:r>
            <w:r>
              <w:rPr>
                <w:rFonts w:ascii="黑体" w:hAnsi="黑体" w:cs="黑体" w:eastAsia="黑体" w:hint="default"/>
                <w:sz w:val="20"/>
                <w:szCs w:val="20"/>
              </w:rPr>
            </w:r>
          </w:p>
        </w:tc>
        <w:tc>
          <w:tcPr>
            <w:tcW w:w="1610" w:type="dxa"/>
            <w:tcBorders>
              <w:top w:val="nil" w:sz="6" w:space="0" w:color="auto"/>
              <w:left w:val="nil" w:sz="6" w:space="0" w:color="auto"/>
              <w:bottom w:val="nil" w:sz="6" w:space="0" w:color="auto"/>
              <w:right w:val="nil" w:sz="6" w:space="0" w:color="auto"/>
            </w:tcBorders>
          </w:tcPr>
          <w:p>
            <w:pPr>
              <w:pStyle w:val="TableParagraph"/>
              <w:spacing w:line="243" w:lineRule="exact"/>
              <w:ind w:right="104"/>
              <w:jc w:val="right"/>
              <w:rPr>
                <w:rFonts w:ascii="黑体" w:hAnsi="黑体" w:cs="黑体" w:eastAsia="黑体" w:hint="default"/>
                <w:sz w:val="20"/>
                <w:szCs w:val="20"/>
              </w:rPr>
            </w:pPr>
            <w:r>
              <w:rPr>
                <w:rFonts w:ascii="黑体" w:hAnsi="黑体" w:cs="黑体" w:eastAsia="黑体" w:hint="default"/>
                <w:w w:val="95"/>
                <w:sz w:val="20"/>
                <w:szCs w:val="20"/>
              </w:rPr>
              <w:t>到期日</w:t>
            </w:r>
            <w:r>
              <w:rPr>
                <w:rFonts w:ascii="黑体" w:hAnsi="黑体" w:cs="黑体" w:eastAsia="黑体" w:hint="default"/>
                <w:sz w:val="20"/>
                <w:szCs w:val="20"/>
              </w:rPr>
            </w:r>
          </w:p>
        </w:tc>
        <w:tc>
          <w:tcPr>
            <w:tcW w:w="1084" w:type="dxa"/>
            <w:tcBorders>
              <w:top w:val="nil" w:sz="6" w:space="0" w:color="auto"/>
              <w:left w:val="nil" w:sz="6" w:space="0" w:color="auto"/>
              <w:bottom w:val="nil" w:sz="6" w:space="0" w:color="auto"/>
              <w:right w:val="nil" w:sz="6" w:space="0" w:color="auto"/>
            </w:tcBorders>
          </w:tcPr>
          <w:p>
            <w:pPr>
              <w:pStyle w:val="TableParagraph"/>
              <w:spacing w:line="243" w:lineRule="exact"/>
              <w:ind w:right="198"/>
              <w:jc w:val="right"/>
              <w:rPr>
                <w:rFonts w:ascii="黑体" w:hAnsi="黑体" w:cs="黑体" w:eastAsia="黑体" w:hint="default"/>
                <w:sz w:val="20"/>
                <w:szCs w:val="20"/>
              </w:rPr>
            </w:pPr>
            <w:r>
              <w:rPr>
                <w:rFonts w:ascii="黑体" w:hAnsi="黑体" w:cs="黑体" w:eastAsia="黑体" w:hint="default"/>
                <w:w w:val="95"/>
                <w:sz w:val="20"/>
                <w:szCs w:val="20"/>
              </w:rPr>
              <w:t>履行完毕</w:t>
            </w:r>
            <w:r>
              <w:rPr>
                <w:rFonts w:ascii="黑体" w:hAnsi="黑体" w:cs="黑体" w:eastAsia="黑体" w:hint="default"/>
                <w:sz w:val="20"/>
                <w:szCs w:val="20"/>
              </w:rPr>
            </w:r>
          </w:p>
        </w:tc>
      </w:tr>
      <w:tr>
        <w:trPr>
          <w:trHeight w:val="290" w:hRule="exact"/>
        </w:trPr>
        <w:tc>
          <w:tcPr>
            <w:tcW w:w="1293" w:type="dxa"/>
            <w:tcBorders>
              <w:top w:val="nil" w:sz="6" w:space="0" w:color="auto"/>
              <w:left w:val="nil" w:sz="6" w:space="0" w:color="auto"/>
              <w:bottom w:val="nil" w:sz="6" w:space="0" w:color="auto"/>
              <w:right w:val="nil" w:sz="6" w:space="0" w:color="auto"/>
            </w:tcBorders>
          </w:tcPr>
          <w:p>
            <w:pPr>
              <w:pStyle w:val="TableParagraph"/>
              <w:spacing w:line="243" w:lineRule="exact"/>
              <w:ind w:left="200" w:right="0"/>
              <w:jc w:val="left"/>
              <w:rPr>
                <w:rFonts w:ascii="黑体" w:hAnsi="黑体" w:cs="黑体" w:eastAsia="黑体" w:hint="default"/>
                <w:sz w:val="20"/>
                <w:szCs w:val="20"/>
              </w:rPr>
            </w:pPr>
            <w:r>
              <w:rPr>
                <w:rFonts w:ascii="黑体" w:hAnsi="黑体" w:cs="黑体" w:eastAsia="黑体" w:hint="default"/>
                <w:sz w:val="20"/>
                <w:szCs w:val="20"/>
              </w:rPr>
              <w:t>用友科技</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58"/>
              <w:jc w:val="right"/>
              <w:rPr>
                <w:rFonts w:ascii="Arial" w:hAnsi="Arial" w:cs="Arial" w:eastAsia="Arial" w:hint="default"/>
                <w:sz w:val="20"/>
                <w:szCs w:val="20"/>
              </w:rPr>
            </w:pPr>
            <w:r>
              <w:rPr>
                <w:rFonts w:ascii="Arial"/>
                <w:spacing w:val="-1"/>
                <w:sz w:val="20"/>
              </w:rPr>
              <w:t>500,000,000</w:t>
            </w:r>
            <w:r>
              <w:rPr>
                <w:rFonts w:ascii="Arial"/>
                <w:sz w:val="20"/>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76"/>
              <w:jc w:val="right"/>
              <w:rPr>
                <w:rFonts w:ascii="Arial" w:hAnsi="Arial" w:cs="Arial" w:eastAsia="Arial" w:hint="default"/>
                <w:sz w:val="20"/>
                <w:szCs w:val="20"/>
              </w:rPr>
            </w:pPr>
            <w:r>
              <w:rPr>
                <w:rFonts w:ascii="Arial"/>
                <w:spacing w:val="-1"/>
                <w:sz w:val="20"/>
              </w:rPr>
              <w:t>90,000,000</w:t>
            </w:r>
            <w:r>
              <w:rPr>
                <w:rFonts w:ascii="Arial"/>
                <w:sz w:val="20"/>
              </w:rPr>
            </w:r>
          </w:p>
        </w:tc>
        <w:tc>
          <w:tcPr>
            <w:tcW w:w="1700" w:type="dxa"/>
            <w:tcBorders>
              <w:top w:val="nil" w:sz="6" w:space="0" w:color="auto"/>
              <w:left w:val="nil" w:sz="6" w:space="0" w:color="auto"/>
              <w:bottom w:val="nil" w:sz="6" w:space="0" w:color="auto"/>
              <w:right w:val="nil" w:sz="6" w:space="0" w:color="auto"/>
            </w:tcBorders>
          </w:tcPr>
          <w:p>
            <w:pPr>
              <w:pStyle w:val="TableParagraph"/>
              <w:spacing w:line="257" w:lineRule="exact"/>
              <w:ind w:right="32"/>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r>
              <w:rPr>
                <w:rFonts w:ascii="Arial" w:hAnsi="Arial" w:cs="Arial" w:eastAsia="Arial" w:hint="default"/>
                <w:spacing w:val="-1"/>
                <w:sz w:val="20"/>
                <w:szCs w:val="20"/>
              </w:rPr>
              <w:t>8</w:t>
            </w:r>
            <w:r>
              <w:rPr>
                <w:rFonts w:ascii="黑体" w:hAnsi="黑体" w:cs="黑体" w:eastAsia="黑体" w:hint="default"/>
                <w:spacing w:val="-1"/>
                <w:sz w:val="20"/>
                <w:szCs w:val="20"/>
              </w:rPr>
              <w:t>月</w:t>
            </w:r>
            <w:r>
              <w:rPr>
                <w:rFonts w:ascii="Arial" w:hAnsi="Arial" w:cs="Arial" w:eastAsia="Arial" w:hint="default"/>
                <w:spacing w:val="-1"/>
                <w:sz w:val="20"/>
                <w:szCs w:val="20"/>
              </w:rPr>
              <w:t>3</w:t>
            </w:r>
            <w:r>
              <w:rPr>
                <w:rFonts w:ascii="黑体" w:hAnsi="黑体" w:cs="黑体" w:eastAsia="黑体" w:hint="default"/>
                <w:spacing w:val="-1"/>
                <w:sz w:val="20"/>
                <w:szCs w:val="20"/>
              </w:rPr>
              <w:t>日</w:t>
            </w:r>
          </w:p>
        </w:tc>
        <w:tc>
          <w:tcPr>
            <w:tcW w:w="1610" w:type="dxa"/>
            <w:tcBorders>
              <w:top w:val="nil" w:sz="6" w:space="0" w:color="auto"/>
              <w:left w:val="nil" w:sz="6" w:space="0" w:color="auto"/>
              <w:bottom w:val="nil" w:sz="6" w:space="0" w:color="auto"/>
              <w:right w:val="nil" w:sz="6" w:space="0" w:color="auto"/>
            </w:tcBorders>
          </w:tcPr>
          <w:p>
            <w:pPr>
              <w:pStyle w:val="TableParagraph"/>
              <w:spacing w:line="257" w:lineRule="exact"/>
              <w:ind w:right="85"/>
              <w:jc w:val="right"/>
              <w:rPr>
                <w:rFonts w:ascii="黑体" w:hAnsi="黑体" w:cs="黑体" w:eastAsia="黑体" w:hint="default"/>
                <w:sz w:val="20"/>
                <w:szCs w:val="20"/>
              </w:rPr>
            </w:pPr>
            <w:r>
              <w:rPr>
                <w:rFonts w:ascii="Arial" w:hAnsi="Arial" w:cs="Arial" w:eastAsia="Arial" w:hint="default"/>
                <w:spacing w:val="-1"/>
                <w:sz w:val="20"/>
                <w:szCs w:val="20"/>
              </w:rPr>
              <w:t>2013</w:t>
            </w:r>
            <w:r>
              <w:rPr>
                <w:rFonts w:ascii="黑体" w:hAnsi="黑体" w:cs="黑体" w:eastAsia="黑体" w:hint="default"/>
                <w:spacing w:val="-1"/>
                <w:sz w:val="20"/>
                <w:szCs w:val="20"/>
              </w:rPr>
              <w:t>年</w:t>
            </w:r>
            <w:r>
              <w:rPr>
                <w:rFonts w:ascii="Arial" w:hAnsi="Arial" w:cs="Arial" w:eastAsia="Arial" w:hint="default"/>
                <w:spacing w:val="-1"/>
                <w:sz w:val="20"/>
                <w:szCs w:val="20"/>
              </w:rPr>
              <w:t>7</w:t>
            </w:r>
            <w:r>
              <w:rPr>
                <w:rFonts w:ascii="黑体" w:hAnsi="黑体" w:cs="黑体" w:eastAsia="黑体" w:hint="default"/>
                <w:spacing w:val="-1"/>
                <w:sz w:val="20"/>
                <w:szCs w:val="20"/>
              </w:rPr>
              <w:t>月</w:t>
            </w:r>
            <w:r>
              <w:rPr>
                <w:rFonts w:ascii="Arial" w:hAnsi="Arial" w:cs="Arial" w:eastAsia="Arial" w:hint="default"/>
                <w:spacing w:val="-1"/>
                <w:sz w:val="20"/>
                <w:szCs w:val="20"/>
              </w:rPr>
              <w:t>26</w:t>
            </w:r>
            <w:r>
              <w:rPr>
                <w:rFonts w:ascii="黑体" w:hAnsi="黑体" w:cs="黑体" w:eastAsia="黑体" w:hint="default"/>
                <w:spacing w:val="-1"/>
                <w:sz w:val="20"/>
                <w:szCs w:val="20"/>
              </w:rPr>
              <w:t>日</w:t>
            </w:r>
          </w:p>
        </w:tc>
        <w:tc>
          <w:tcPr>
            <w:tcW w:w="1084" w:type="dxa"/>
            <w:tcBorders>
              <w:top w:val="nil" w:sz="6" w:space="0" w:color="auto"/>
              <w:left w:val="nil" w:sz="6" w:space="0" w:color="auto"/>
              <w:bottom w:val="nil" w:sz="6" w:space="0" w:color="auto"/>
              <w:right w:val="nil" w:sz="6" w:space="0" w:color="auto"/>
            </w:tcBorders>
          </w:tcPr>
          <w:p>
            <w:pPr>
              <w:pStyle w:val="TableParagraph"/>
              <w:spacing w:line="243" w:lineRule="exact"/>
              <w:ind w:right="212"/>
              <w:jc w:val="right"/>
              <w:rPr>
                <w:rFonts w:ascii="黑体" w:hAnsi="黑体" w:cs="黑体" w:eastAsia="黑体" w:hint="default"/>
                <w:sz w:val="20"/>
                <w:szCs w:val="20"/>
              </w:rPr>
            </w:pPr>
            <w:r>
              <w:rPr>
                <w:rFonts w:ascii="黑体" w:hAnsi="黑体" w:cs="黑体" w:eastAsia="黑体" w:hint="default"/>
                <w:w w:val="99"/>
                <w:sz w:val="20"/>
                <w:szCs w:val="20"/>
              </w:rPr>
              <w:t>否</w:t>
            </w:r>
            <w:r>
              <w:rPr>
                <w:rFonts w:ascii="黑体" w:hAnsi="黑体" w:cs="黑体" w:eastAsia="黑体" w:hint="default"/>
                <w:sz w:val="20"/>
                <w:szCs w:val="20"/>
              </w:rPr>
            </w:r>
          </w:p>
        </w:tc>
      </w:tr>
      <w:tr>
        <w:trPr>
          <w:trHeight w:val="284" w:hRule="exact"/>
        </w:trPr>
        <w:tc>
          <w:tcPr>
            <w:tcW w:w="1293" w:type="dxa"/>
            <w:tcBorders>
              <w:top w:val="nil" w:sz="6" w:space="0" w:color="auto"/>
              <w:left w:val="nil" w:sz="6" w:space="0" w:color="auto"/>
              <w:bottom w:val="nil" w:sz="6" w:space="0" w:color="auto"/>
              <w:right w:val="nil" w:sz="6" w:space="0" w:color="auto"/>
            </w:tcBorders>
          </w:tcPr>
          <w:p>
            <w:pPr>
              <w:pStyle w:val="TableParagraph"/>
              <w:spacing w:line="238" w:lineRule="exact"/>
              <w:ind w:left="200" w:right="0"/>
              <w:jc w:val="left"/>
              <w:rPr>
                <w:rFonts w:ascii="黑体" w:hAnsi="黑体" w:cs="黑体" w:eastAsia="黑体" w:hint="default"/>
                <w:sz w:val="20"/>
                <w:szCs w:val="20"/>
              </w:rPr>
            </w:pPr>
            <w:r>
              <w:rPr>
                <w:rFonts w:ascii="黑体" w:hAnsi="黑体" w:cs="黑体" w:eastAsia="黑体" w:hint="default"/>
                <w:sz w:val="20"/>
                <w:szCs w:val="20"/>
              </w:rPr>
              <w:t>用友科技</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58"/>
              <w:jc w:val="right"/>
              <w:rPr>
                <w:rFonts w:ascii="Arial" w:hAnsi="Arial" w:cs="Arial" w:eastAsia="Arial" w:hint="default"/>
                <w:sz w:val="20"/>
                <w:szCs w:val="20"/>
              </w:rPr>
            </w:pPr>
            <w:r>
              <w:rPr>
                <w:rFonts w:ascii="Arial"/>
                <w:spacing w:val="-1"/>
                <w:sz w:val="20"/>
              </w:rPr>
              <w:t>150,000,000</w:t>
            </w:r>
            <w:r>
              <w:rPr>
                <w:rFonts w:ascii="Arial"/>
                <w:sz w:val="20"/>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76"/>
              <w:jc w:val="right"/>
              <w:rPr>
                <w:rFonts w:ascii="Arial" w:hAnsi="Arial" w:cs="Arial" w:eastAsia="Arial" w:hint="default"/>
                <w:sz w:val="20"/>
                <w:szCs w:val="20"/>
              </w:rPr>
            </w:pPr>
            <w:r>
              <w:rPr>
                <w:rFonts w:ascii="Arial"/>
                <w:spacing w:val="-1"/>
                <w:sz w:val="20"/>
              </w:rPr>
              <w:t>130,000,000</w:t>
            </w:r>
            <w:r>
              <w:rPr>
                <w:rFonts w:ascii="Arial"/>
                <w:sz w:val="20"/>
              </w:rPr>
            </w:r>
          </w:p>
        </w:tc>
        <w:tc>
          <w:tcPr>
            <w:tcW w:w="1700" w:type="dxa"/>
            <w:tcBorders>
              <w:top w:val="nil" w:sz="6" w:space="0" w:color="auto"/>
              <w:left w:val="nil" w:sz="6" w:space="0" w:color="auto"/>
              <w:bottom w:val="nil" w:sz="6" w:space="0" w:color="auto"/>
              <w:right w:val="nil" w:sz="6" w:space="0" w:color="auto"/>
            </w:tcBorders>
          </w:tcPr>
          <w:p>
            <w:pPr>
              <w:pStyle w:val="TableParagraph"/>
              <w:spacing w:line="252" w:lineRule="exact"/>
              <w:ind w:right="32"/>
              <w:jc w:val="right"/>
              <w:rPr>
                <w:rFonts w:ascii="黑体" w:hAnsi="黑体" w:cs="黑体" w:eastAsia="黑体" w:hint="default"/>
                <w:sz w:val="20"/>
                <w:szCs w:val="20"/>
              </w:rPr>
            </w:pPr>
            <w:r>
              <w:rPr>
                <w:rFonts w:ascii="Arial" w:hAnsi="Arial" w:cs="Arial" w:eastAsia="Arial" w:hint="default"/>
                <w:spacing w:val="-1"/>
                <w:sz w:val="20"/>
                <w:szCs w:val="20"/>
              </w:rPr>
              <w:t>2010</w:t>
            </w:r>
            <w:r>
              <w:rPr>
                <w:rFonts w:ascii="黑体" w:hAnsi="黑体" w:cs="黑体" w:eastAsia="黑体" w:hint="default"/>
                <w:spacing w:val="-1"/>
                <w:sz w:val="20"/>
                <w:szCs w:val="20"/>
              </w:rPr>
              <w:t>年</w:t>
            </w:r>
            <w:r>
              <w:rPr>
                <w:rFonts w:ascii="Arial" w:hAnsi="Arial" w:cs="Arial" w:eastAsia="Arial" w:hint="default"/>
                <w:spacing w:val="-1"/>
                <w:sz w:val="20"/>
                <w:szCs w:val="20"/>
              </w:rPr>
              <w:t>9</w:t>
            </w:r>
            <w:r>
              <w:rPr>
                <w:rFonts w:ascii="黑体" w:hAnsi="黑体" w:cs="黑体" w:eastAsia="黑体" w:hint="default"/>
                <w:spacing w:val="-1"/>
                <w:sz w:val="20"/>
                <w:szCs w:val="20"/>
              </w:rPr>
              <w:t>月</w:t>
            </w:r>
            <w:r>
              <w:rPr>
                <w:rFonts w:ascii="Arial" w:hAnsi="Arial" w:cs="Arial" w:eastAsia="Arial" w:hint="default"/>
                <w:spacing w:val="-1"/>
                <w:sz w:val="20"/>
                <w:szCs w:val="20"/>
              </w:rPr>
              <w:t>6</w:t>
            </w:r>
            <w:r>
              <w:rPr>
                <w:rFonts w:ascii="黑体" w:hAnsi="黑体" w:cs="黑体" w:eastAsia="黑体" w:hint="default"/>
                <w:spacing w:val="-1"/>
                <w:sz w:val="20"/>
                <w:szCs w:val="20"/>
              </w:rPr>
              <w:t>日</w:t>
            </w:r>
          </w:p>
        </w:tc>
        <w:tc>
          <w:tcPr>
            <w:tcW w:w="1610" w:type="dxa"/>
            <w:tcBorders>
              <w:top w:val="nil" w:sz="6" w:space="0" w:color="auto"/>
              <w:left w:val="nil" w:sz="6" w:space="0" w:color="auto"/>
              <w:bottom w:val="nil" w:sz="6" w:space="0" w:color="auto"/>
              <w:right w:val="nil" w:sz="6" w:space="0" w:color="auto"/>
            </w:tcBorders>
          </w:tcPr>
          <w:p>
            <w:pPr>
              <w:pStyle w:val="TableParagraph"/>
              <w:spacing w:line="252" w:lineRule="exact"/>
              <w:ind w:right="85"/>
              <w:jc w:val="right"/>
              <w:rPr>
                <w:rFonts w:ascii="黑体" w:hAnsi="黑体" w:cs="黑体" w:eastAsia="黑体" w:hint="default"/>
                <w:sz w:val="20"/>
                <w:szCs w:val="20"/>
              </w:rPr>
            </w:pPr>
            <w:r>
              <w:rPr>
                <w:rFonts w:ascii="Arial" w:hAnsi="Arial" w:cs="Arial" w:eastAsia="Arial" w:hint="default"/>
                <w:spacing w:val="-1"/>
                <w:sz w:val="20"/>
                <w:szCs w:val="20"/>
              </w:rPr>
              <w:t>2013</w:t>
            </w:r>
            <w:r>
              <w:rPr>
                <w:rFonts w:ascii="黑体" w:hAnsi="黑体" w:cs="黑体" w:eastAsia="黑体" w:hint="default"/>
                <w:spacing w:val="-1"/>
                <w:sz w:val="20"/>
                <w:szCs w:val="20"/>
              </w:rPr>
              <w:t>年</w:t>
            </w:r>
            <w:r>
              <w:rPr>
                <w:rFonts w:ascii="Arial" w:hAnsi="Arial" w:cs="Arial" w:eastAsia="Arial" w:hint="default"/>
                <w:spacing w:val="-1"/>
                <w:sz w:val="20"/>
                <w:szCs w:val="20"/>
              </w:rPr>
              <w:t>9</w:t>
            </w:r>
            <w:r>
              <w:rPr>
                <w:rFonts w:ascii="黑体" w:hAnsi="黑体" w:cs="黑体" w:eastAsia="黑体" w:hint="default"/>
                <w:spacing w:val="-1"/>
                <w:sz w:val="20"/>
                <w:szCs w:val="20"/>
              </w:rPr>
              <w:t>月</w:t>
            </w:r>
            <w:r>
              <w:rPr>
                <w:rFonts w:ascii="Arial" w:hAnsi="Arial" w:cs="Arial" w:eastAsia="Arial" w:hint="default"/>
                <w:spacing w:val="-1"/>
                <w:sz w:val="20"/>
                <w:szCs w:val="20"/>
              </w:rPr>
              <w:t>6</w:t>
            </w:r>
            <w:r>
              <w:rPr>
                <w:rFonts w:ascii="黑体" w:hAnsi="黑体" w:cs="黑体" w:eastAsia="黑体" w:hint="default"/>
                <w:spacing w:val="-1"/>
                <w:sz w:val="20"/>
                <w:szCs w:val="20"/>
              </w:rPr>
              <w:t>日</w:t>
            </w:r>
          </w:p>
        </w:tc>
        <w:tc>
          <w:tcPr>
            <w:tcW w:w="1084" w:type="dxa"/>
            <w:tcBorders>
              <w:top w:val="nil" w:sz="6" w:space="0" w:color="auto"/>
              <w:left w:val="nil" w:sz="6" w:space="0" w:color="auto"/>
              <w:bottom w:val="nil" w:sz="6" w:space="0" w:color="auto"/>
              <w:right w:val="nil" w:sz="6" w:space="0" w:color="auto"/>
            </w:tcBorders>
          </w:tcPr>
          <w:p>
            <w:pPr>
              <w:pStyle w:val="TableParagraph"/>
              <w:spacing w:line="238" w:lineRule="exact"/>
              <w:ind w:right="212"/>
              <w:jc w:val="right"/>
              <w:rPr>
                <w:rFonts w:ascii="黑体" w:hAnsi="黑体" w:cs="黑体" w:eastAsia="黑体" w:hint="default"/>
                <w:sz w:val="20"/>
                <w:szCs w:val="20"/>
              </w:rPr>
            </w:pPr>
            <w:r>
              <w:rPr>
                <w:rFonts w:ascii="黑体" w:hAnsi="黑体" w:cs="黑体" w:eastAsia="黑体" w:hint="default"/>
                <w:w w:val="99"/>
                <w:sz w:val="20"/>
                <w:szCs w:val="20"/>
              </w:rPr>
              <w:t>否</w:t>
            </w:r>
            <w:r>
              <w:rPr>
                <w:rFonts w:ascii="黑体" w:hAnsi="黑体" w:cs="黑体" w:eastAsia="黑体" w:hint="default"/>
                <w:sz w:val="20"/>
                <w:szCs w:val="20"/>
              </w:rPr>
            </w:r>
          </w:p>
        </w:tc>
      </w:tr>
      <w:tr>
        <w:trPr>
          <w:trHeight w:val="246" w:hRule="exact"/>
        </w:trPr>
        <w:tc>
          <w:tcPr>
            <w:tcW w:w="1293" w:type="dxa"/>
            <w:tcBorders>
              <w:top w:val="nil" w:sz="6" w:space="0" w:color="auto"/>
              <w:left w:val="nil" w:sz="6" w:space="0" w:color="auto"/>
              <w:bottom w:val="nil" w:sz="6" w:space="0" w:color="auto"/>
              <w:right w:val="nil" w:sz="6" w:space="0" w:color="auto"/>
            </w:tcBorders>
          </w:tcPr>
          <w:p>
            <w:pPr>
              <w:pStyle w:val="TableParagraph"/>
              <w:spacing w:line="236" w:lineRule="exact"/>
              <w:ind w:left="200" w:right="0"/>
              <w:jc w:val="left"/>
              <w:rPr>
                <w:rFonts w:ascii="黑体" w:hAnsi="黑体" w:cs="黑体" w:eastAsia="黑体" w:hint="default"/>
                <w:sz w:val="20"/>
                <w:szCs w:val="20"/>
              </w:rPr>
            </w:pPr>
            <w:r>
              <w:rPr>
                <w:rFonts w:ascii="黑体" w:hAnsi="黑体" w:cs="黑体" w:eastAsia="黑体" w:hint="default"/>
                <w:sz w:val="20"/>
                <w:szCs w:val="20"/>
              </w:rPr>
              <w:t>用友科技</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58"/>
              <w:jc w:val="right"/>
              <w:rPr>
                <w:rFonts w:ascii="Arial" w:hAnsi="Arial" w:cs="Arial" w:eastAsia="Arial" w:hint="default"/>
                <w:sz w:val="20"/>
                <w:szCs w:val="20"/>
              </w:rPr>
            </w:pPr>
            <w:r>
              <w:rPr>
                <w:rFonts w:ascii="Arial"/>
                <w:spacing w:val="-1"/>
                <w:sz w:val="20"/>
              </w:rPr>
              <w:t>50,000,000</w:t>
            </w:r>
            <w:r>
              <w:rPr>
                <w:rFonts w:ascii="Arial"/>
                <w:sz w:val="20"/>
              </w:rPr>
            </w:r>
          </w:p>
        </w:tc>
        <w:tc>
          <w:tcPr>
            <w:tcW w:w="144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76"/>
              <w:jc w:val="right"/>
              <w:rPr>
                <w:rFonts w:ascii="Arial" w:hAnsi="Arial" w:cs="Arial" w:eastAsia="Arial" w:hint="default"/>
                <w:sz w:val="20"/>
                <w:szCs w:val="20"/>
              </w:rPr>
            </w:pPr>
            <w:r>
              <w:rPr>
                <w:rFonts w:ascii="Arial"/>
                <w:spacing w:val="-1"/>
                <w:sz w:val="20"/>
              </w:rPr>
              <w:t>50,000,000</w:t>
            </w:r>
            <w:r>
              <w:rPr>
                <w:rFonts w:ascii="Arial"/>
                <w:sz w:val="20"/>
              </w:rPr>
            </w:r>
          </w:p>
        </w:tc>
        <w:tc>
          <w:tcPr>
            <w:tcW w:w="1700" w:type="dxa"/>
            <w:tcBorders>
              <w:top w:val="nil" w:sz="6" w:space="0" w:color="auto"/>
              <w:left w:val="nil" w:sz="6" w:space="0" w:color="auto"/>
              <w:bottom w:val="nil" w:sz="6" w:space="0" w:color="auto"/>
              <w:right w:val="nil" w:sz="6" w:space="0" w:color="auto"/>
            </w:tcBorders>
          </w:tcPr>
          <w:p>
            <w:pPr>
              <w:pStyle w:val="TableParagraph"/>
              <w:spacing w:line="251" w:lineRule="exact"/>
              <w:ind w:right="32"/>
              <w:jc w:val="right"/>
              <w:rPr>
                <w:rFonts w:ascii="黑体" w:hAnsi="黑体" w:cs="黑体" w:eastAsia="黑体" w:hint="default"/>
                <w:sz w:val="20"/>
                <w:szCs w:val="20"/>
              </w:rPr>
            </w:pPr>
            <w:r>
              <w:rPr>
                <w:rFonts w:ascii="Arial" w:hAnsi="Arial" w:cs="Arial" w:eastAsia="Arial" w:hint="default"/>
                <w:w w:val="95"/>
                <w:sz w:val="20"/>
                <w:szCs w:val="20"/>
              </w:rPr>
              <w:t>2011</w:t>
            </w:r>
            <w:r>
              <w:rPr>
                <w:rFonts w:ascii="黑体" w:hAnsi="黑体" w:cs="黑体" w:eastAsia="黑体" w:hint="default"/>
                <w:w w:val="95"/>
                <w:sz w:val="20"/>
                <w:szCs w:val="20"/>
              </w:rPr>
              <w:t>年</w:t>
            </w:r>
            <w:r>
              <w:rPr>
                <w:rFonts w:ascii="Arial" w:hAnsi="Arial" w:cs="Arial" w:eastAsia="Arial" w:hint="default"/>
                <w:w w:val="95"/>
                <w:sz w:val="20"/>
                <w:szCs w:val="20"/>
              </w:rPr>
              <w:t>10</w:t>
            </w:r>
            <w:r>
              <w:rPr>
                <w:rFonts w:ascii="黑体" w:hAnsi="黑体" w:cs="黑体" w:eastAsia="黑体" w:hint="default"/>
                <w:w w:val="95"/>
                <w:sz w:val="20"/>
                <w:szCs w:val="20"/>
              </w:rPr>
              <w:t>月</w:t>
            </w:r>
            <w:r>
              <w:rPr>
                <w:rFonts w:ascii="Arial" w:hAnsi="Arial" w:cs="Arial" w:eastAsia="Arial" w:hint="default"/>
                <w:w w:val="95"/>
                <w:sz w:val="20"/>
                <w:szCs w:val="20"/>
              </w:rPr>
              <w:t>19</w:t>
            </w:r>
            <w:r>
              <w:rPr>
                <w:rFonts w:ascii="黑体" w:hAnsi="黑体" w:cs="黑体" w:eastAsia="黑体" w:hint="default"/>
                <w:w w:val="95"/>
                <w:sz w:val="20"/>
                <w:szCs w:val="20"/>
              </w:rPr>
              <w:t>日</w:t>
            </w:r>
            <w:r>
              <w:rPr>
                <w:rFonts w:ascii="黑体" w:hAnsi="黑体" w:cs="黑体" w:eastAsia="黑体" w:hint="default"/>
                <w:sz w:val="20"/>
                <w:szCs w:val="20"/>
              </w:rPr>
            </w:r>
          </w:p>
        </w:tc>
        <w:tc>
          <w:tcPr>
            <w:tcW w:w="1610" w:type="dxa"/>
            <w:tcBorders>
              <w:top w:val="nil" w:sz="6" w:space="0" w:color="auto"/>
              <w:left w:val="nil" w:sz="6" w:space="0" w:color="auto"/>
              <w:bottom w:val="nil" w:sz="6" w:space="0" w:color="auto"/>
              <w:right w:val="nil" w:sz="6" w:space="0" w:color="auto"/>
            </w:tcBorders>
          </w:tcPr>
          <w:p>
            <w:pPr>
              <w:pStyle w:val="TableParagraph"/>
              <w:spacing w:line="251" w:lineRule="exact"/>
              <w:ind w:right="85"/>
              <w:jc w:val="right"/>
              <w:rPr>
                <w:rFonts w:ascii="黑体" w:hAnsi="黑体" w:cs="黑体" w:eastAsia="黑体" w:hint="default"/>
                <w:sz w:val="20"/>
                <w:szCs w:val="20"/>
              </w:rPr>
            </w:pPr>
            <w:r>
              <w:rPr>
                <w:rFonts w:ascii="Arial" w:hAnsi="Arial" w:cs="Arial" w:eastAsia="Arial" w:hint="default"/>
                <w:w w:val="95"/>
                <w:sz w:val="20"/>
                <w:szCs w:val="20"/>
              </w:rPr>
              <w:t>2013</w:t>
            </w:r>
            <w:r>
              <w:rPr>
                <w:rFonts w:ascii="黑体" w:hAnsi="黑体" w:cs="黑体" w:eastAsia="黑体" w:hint="default"/>
                <w:w w:val="95"/>
                <w:sz w:val="20"/>
                <w:szCs w:val="20"/>
              </w:rPr>
              <w:t>年</w:t>
            </w:r>
            <w:r>
              <w:rPr>
                <w:rFonts w:ascii="Arial" w:hAnsi="Arial" w:cs="Arial" w:eastAsia="Arial" w:hint="default"/>
                <w:w w:val="95"/>
                <w:sz w:val="20"/>
                <w:szCs w:val="20"/>
              </w:rPr>
              <w:t>11</w:t>
            </w:r>
            <w:r>
              <w:rPr>
                <w:rFonts w:ascii="黑体" w:hAnsi="黑体" w:cs="黑体" w:eastAsia="黑体" w:hint="default"/>
                <w:w w:val="95"/>
                <w:sz w:val="20"/>
                <w:szCs w:val="20"/>
              </w:rPr>
              <w:t>月</w:t>
            </w:r>
            <w:r>
              <w:rPr>
                <w:rFonts w:ascii="Arial" w:hAnsi="Arial" w:cs="Arial" w:eastAsia="Arial" w:hint="default"/>
                <w:w w:val="95"/>
                <w:sz w:val="20"/>
                <w:szCs w:val="20"/>
              </w:rPr>
              <w:t>14</w:t>
            </w:r>
            <w:r>
              <w:rPr>
                <w:rFonts w:ascii="黑体" w:hAnsi="黑体" w:cs="黑体" w:eastAsia="黑体" w:hint="default"/>
                <w:w w:val="95"/>
                <w:sz w:val="20"/>
                <w:szCs w:val="20"/>
              </w:rPr>
              <w:t>日</w:t>
            </w:r>
            <w:r>
              <w:rPr>
                <w:rFonts w:ascii="黑体" w:hAnsi="黑体" w:cs="黑体" w:eastAsia="黑体" w:hint="default"/>
                <w:sz w:val="20"/>
                <w:szCs w:val="20"/>
              </w:rPr>
            </w:r>
          </w:p>
        </w:tc>
        <w:tc>
          <w:tcPr>
            <w:tcW w:w="1084" w:type="dxa"/>
            <w:tcBorders>
              <w:top w:val="nil" w:sz="6" w:space="0" w:color="auto"/>
              <w:left w:val="nil" w:sz="6" w:space="0" w:color="auto"/>
              <w:bottom w:val="nil" w:sz="6" w:space="0" w:color="auto"/>
              <w:right w:val="nil" w:sz="6" w:space="0" w:color="auto"/>
            </w:tcBorders>
          </w:tcPr>
          <w:p>
            <w:pPr>
              <w:pStyle w:val="TableParagraph"/>
              <w:spacing w:line="236" w:lineRule="exact"/>
              <w:ind w:right="212"/>
              <w:jc w:val="right"/>
              <w:rPr>
                <w:rFonts w:ascii="黑体" w:hAnsi="黑体" w:cs="黑体" w:eastAsia="黑体" w:hint="default"/>
                <w:sz w:val="20"/>
                <w:szCs w:val="20"/>
              </w:rPr>
            </w:pPr>
            <w:r>
              <w:rPr>
                <w:rFonts w:ascii="黑体" w:hAnsi="黑体" w:cs="黑体" w:eastAsia="黑体" w:hint="default"/>
                <w:w w:val="99"/>
                <w:sz w:val="20"/>
                <w:szCs w:val="20"/>
              </w:rPr>
              <w:t>是</w:t>
            </w:r>
            <w:r>
              <w:rPr>
                <w:rFonts w:ascii="黑体" w:hAnsi="黑体" w:cs="黑体" w:eastAsia="黑体" w:hint="default"/>
                <w:sz w:val="20"/>
                <w:szCs w:val="20"/>
              </w:rPr>
            </w:r>
          </w:p>
        </w:tc>
      </w:tr>
    </w:tbl>
    <w:p>
      <w:pPr>
        <w:spacing w:line="240" w:lineRule="auto" w:before="6"/>
        <w:rPr>
          <w:rFonts w:ascii="黑体" w:hAnsi="黑体" w:cs="黑体" w:eastAsia="黑体" w:hint="default"/>
          <w:sz w:val="11"/>
          <w:szCs w:val="11"/>
        </w:rPr>
      </w:pPr>
    </w:p>
    <w:p>
      <w:pPr>
        <w:pStyle w:val="BodyText"/>
        <w:spacing w:line="240" w:lineRule="auto" w:before="37"/>
        <w:ind w:left="682" w:right="328"/>
        <w:jc w:val="left"/>
      </w:pPr>
      <w:r>
        <w:rPr>
          <w:rFonts w:ascii="Arial" w:hAnsi="Arial" w:cs="Arial" w:eastAsia="Arial" w:hint="default"/>
        </w:rPr>
        <w:t>(5)</w:t>
      </w:r>
      <w:r>
        <w:rPr>
          <w:rFonts w:ascii="Arial" w:hAnsi="Arial" w:cs="Arial" w:eastAsia="Arial" w:hint="default"/>
          <w:spacing w:val="39"/>
        </w:rPr>
        <w:t> </w:t>
      </w:r>
      <w:r>
        <w:rPr/>
        <w:t>关联方资金拆借</w:t>
      </w:r>
    </w:p>
    <w:p>
      <w:pPr>
        <w:spacing w:line="240" w:lineRule="auto" w:before="9"/>
        <w:rPr>
          <w:rFonts w:ascii="黑体" w:hAnsi="黑体" w:cs="黑体" w:eastAsia="黑体" w:hint="default"/>
          <w:sz w:val="23"/>
          <w:szCs w:val="23"/>
        </w:rPr>
      </w:pPr>
    </w:p>
    <w:tbl>
      <w:tblPr>
        <w:tblW w:w="0" w:type="auto"/>
        <w:jc w:val="left"/>
        <w:tblInd w:w="511" w:type="dxa"/>
        <w:tblLayout w:type="fixed"/>
        <w:tblCellMar>
          <w:top w:w="0" w:type="dxa"/>
          <w:left w:w="0" w:type="dxa"/>
          <w:bottom w:w="0" w:type="dxa"/>
          <w:right w:w="0" w:type="dxa"/>
        </w:tblCellMar>
        <w:tblLook w:val="01E0"/>
      </w:tblPr>
      <w:tblGrid>
        <w:gridCol w:w="2064"/>
        <w:gridCol w:w="2430"/>
        <w:gridCol w:w="2179"/>
        <w:gridCol w:w="2029"/>
      </w:tblGrid>
      <w:tr>
        <w:trPr>
          <w:trHeight w:val="390" w:hRule="exact"/>
        </w:trPr>
        <w:tc>
          <w:tcPr>
            <w:tcW w:w="2064" w:type="dxa"/>
            <w:tcBorders>
              <w:top w:val="nil" w:sz="6" w:space="0" w:color="auto"/>
              <w:left w:val="nil" w:sz="6" w:space="0" w:color="auto"/>
              <w:bottom w:val="nil" w:sz="6" w:space="0" w:color="auto"/>
              <w:right w:val="nil" w:sz="6" w:space="0" w:color="auto"/>
            </w:tcBorders>
          </w:tcPr>
          <w:p>
            <w:pPr/>
          </w:p>
        </w:tc>
        <w:tc>
          <w:tcPr>
            <w:tcW w:w="2430" w:type="dxa"/>
            <w:tcBorders>
              <w:top w:val="nil" w:sz="6" w:space="0" w:color="auto"/>
              <w:left w:val="nil" w:sz="6" w:space="0" w:color="auto"/>
              <w:bottom w:val="nil" w:sz="6" w:space="0" w:color="auto"/>
              <w:right w:val="nil" w:sz="6" w:space="0" w:color="auto"/>
            </w:tcBorders>
          </w:tcPr>
          <w:p>
            <w:pPr>
              <w:pStyle w:val="TableParagraph"/>
              <w:spacing w:line="199" w:lineRule="exact"/>
              <w:ind w:right="365"/>
              <w:jc w:val="right"/>
              <w:rPr>
                <w:rFonts w:ascii="黑体" w:hAnsi="黑体" w:cs="黑体" w:eastAsia="黑体" w:hint="default"/>
                <w:sz w:val="20"/>
                <w:szCs w:val="20"/>
              </w:rPr>
            </w:pPr>
            <w:r>
              <w:rPr>
                <w:rFonts w:ascii="黑体" w:hAnsi="黑体" w:cs="黑体" w:eastAsia="黑体" w:hint="default"/>
                <w:w w:val="95"/>
                <w:sz w:val="20"/>
                <w:szCs w:val="20"/>
              </w:rPr>
              <w:t>交易类型</w:t>
            </w:r>
            <w:r>
              <w:rPr>
                <w:rFonts w:ascii="黑体" w:hAnsi="黑体" w:cs="黑体" w:eastAsia="黑体" w:hint="default"/>
                <w:sz w:val="20"/>
                <w:szCs w:val="20"/>
              </w:rPr>
            </w:r>
          </w:p>
        </w:tc>
        <w:tc>
          <w:tcPr>
            <w:tcW w:w="2179" w:type="dxa"/>
            <w:tcBorders>
              <w:top w:val="nil" w:sz="6" w:space="0" w:color="auto"/>
              <w:left w:val="nil" w:sz="6" w:space="0" w:color="auto"/>
              <w:bottom w:val="nil" w:sz="6" w:space="0" w:color="auto"/>
              <w:right w:val="nil" w:sz="6" w:space="0" w:color="auto"/>
            </w:tcBorders>
          </w:tcPr>
          <w:p>
            <w:pPr>
              <w:pStyle w:val="TableParagraph"/>
              <w:spacing w:line="214" w:lineRule="exact"/>
              <w:ind w:right="701"/>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2029" w:type="dxa"/>
            <w:tcBorders>
              <w:top w:val="nil" w:sz="6" w:space="0" w:color="auto"/>
              <w:left w:val="nil" w:sz="6" w:space="0" w:color="auto"/>
              <w:bottom w:val="nil" w:sz="6" w:space="0" w:color="auto"/>
              <w:right w:val="nil" w:sz="6" w:space="0" w:color="auto"/>
            </w:tcBorders>
          </w:tcPr>
          <w:p>
            <w:pPr>
              <w:pStyle w:val="TableParagraph"/>
              <w:spacing w:line="214" w:lineRule="exact"/>
              <w:ind w:right="198"/>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r>
      <w:tr>
        <w:trPr>
          <w:trHeight w:val="390" w:hRule="exact"/>
        </w:trPr>
        <w:tc>
          <w:tcPr>
            <w:tcW w:w="2064"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200" w:right="0"/>
              <w:jc w:val="left"/>
              <w:rPr>
                <w:rFonts w:ascii="黑体" w:hAnsi="黑体" w:cs="黑体" w:eastAsia="黑体" w:hint="default"/>
                <w:sz w:val="20"/>
                <w:szCs w:val="20"/>
              </w:rPr>
            </w:pPr>
            <w:r>
              <w:rPr>
                <w:rFonts w:ascii="黑体" w:hAnsi="黑体" w:cs="黑体" w:eastAsia="黑体" w:hint="default"/>
                <w:sz w:val="20"/>
                <w:szCs w:val="20"/>
              </w:rPr>
              <w:t>畅捷通</w:t>
            </w:r>
          </w:p>
        </w:tc>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65"/>
              <w:jc w:val="right"/>
              <w:rPr>
                <w:rFonts w:ascii="黑体" w:hAnsi="黑体" w:cs="黑体" w:eastAsia="黑体" w:hint="default"/>
                <w:sz w:val="20"/>
                <w:szCs w:val="20"/>
              </w:rPr>
            </w:pPr>
            <w:r>
              <w:rPr>
                <w:rFonts w:ascii="黑体" w:hAnsi="黑体" w:cs="黑体" w:eastAsia="黑体" w:hint="default"/>
                <w:w w:val="95"/>
                <w:sz w:val="20"/>
                <w:szCs w:val="20"/>
              </w:rPr>
              <w:t>委托贷款</w:t>
            </w:r>
            <w:r>
              <w:rPr>
                <w:rFonts w:ascii="黑体" w:hAnsi="黑体" w:cs="黑体" w:eastAsia="黑体" w:hint="default"/>
                <w:sz w:val="20"/>
                <w:szCs w:val="20"/>
              </w:rPr>
            </w:r>
          </w:p>
        </w:tc>
        <w:tc>
          <w:tcPr>
            <w:tcW w:w="2179" w:type="dxa"/>
            <w:tcBorders>
              <w:top w:val="nil" w:sz="6" w:space="0" w:color="auto"/>
              <w:left w:val="nil" w:sz="6" w:space="0" w:color="auto"/>
              <w:bottom w:val="nil" w:sz="6" w:space="0" w:color="auto"/>
              <w:right w:val="nil" w:sz="6" w:space="0" w:color="auto"/>
            </w:tcBorders>
          </w:tcPr>
          <w:p>
            <w:pPr>
              <w:pStyle w:val="TableParagraph"/>
              <w:spacing w:line="240" w:lineRule="auto" w:before="164"/>
              <w:ind w:right="701"/>
              <w:jc w:val="right"/>
              <w:rPr>
                <w:rFonts w:ascii="Arial" w:hAnsi="Arial" w:cs="Arial" w:eastAsia="Arial" w:hint="default"/>
                <w:sz w:val="20"/>
                <w:szCs w:val="20"/>
              </w:rPr>
            </w:pPr>
            <w:r>
              <w:rPr>
                <w:rFonts w:ascii="Arial"/>
                <w:w w:val="99"/>
                <w:sz w:val="20"/>
              </w:rPr>
            </w:r>
            <w:r>
              <w:rPr>
                <w:rFonts w:ascii="Arial"/>
                <w:spacing w:val="-1"/>
                <w:sz w:val="20"/>
                <w:u w:val="thick" w:color="000000"/>
              </w:rPr>
              <w:t>600,000,000</w:t>
            </w:r>
            <w:r>
              <w:rPr>
                <w:rFonts w:ascii="Arial"/>
                <w:spacing w:val="-1"/>
                <w:sz w:val="20"/>
              </w:rPr>
            </w:r>
            <w:r>
              <w:rPr>
                <w:rFonts w:ascii="Arial"/>
                <w:sz w:val="20"/>
              </w:rPr>
            </w:r>
          </w:p>
        </w:tc>
        <w:tc>
          <w:tcPr>
            <w:tcW w:w="2029" w:type="dxa"/>
            <w:tcBorders>
              <w:top w:val="nil" w:sz="6" w:space="0" w:color="auto"/>
              <w:left w:val="nil" w:sz="6" w:space="0" w:color="auto"/>
              <w:bottom w:val="nil" w:sz="6" w:space="0" w:color="auto"/>
              <w:right w:val="nil" w:sz="6" w:space="0" w:color="auto"/>
            </w:tcBorders>
          </w:tcPr>
          <w:p>
            <w:pPr>
              <w:pStyle w:val="TableParagraph"/>
              <w:spacing w:line="240" w:lineRule="auto" w:before="164"/>
              <w:ind w:right="215"/>
              <w:jc w:val="right"/>
              <w:rPr>
                <w:rFonts w:ascii="Arial" w:hAnsi="Arial" w:cs="Arial" w:eastAsia="Arial" w:hint="default"/>
                <w:sz w:val="20"/>
                <w:szCs w:val="20"/>
              </w:rPr>
            </w:pPr>
            <w:r>
              <w:rPr>
                <w:rFonts w:ascii="Arial"/>
                <w:w w:val="99"/>
                <w:sz w:val="20"/>
              </w:rPr>
            </w:r>
            <w:r>
              <w:rPr>
                <w:rFonts w:ascii="Arial"/>
                <w:spacing w:val="-1"/>
                <w:sz w:val="20"/>
                <w:u w:val="thick" w:color="000000"/>
              </w:rPr>
              <w:t>200,000,000</w:t>
            </w:r>
            <w:r>
              <w:rPr>
                <w:rFonts w:ascii="Arial"/>
                <w:spacing w:val="-1"/>
                <w:sz w:val="20"/>
              </w:rPr>
            </w:r>
            <w:r>
              <w:rPr>
                <w:rFonts w:ascii="Arial"/>
                <w:sz w:val="20"/>
              </w:rPr>
            </w:r>
          </w:p>
        </w:tc>
      </w:tr>
    </w:tbl>
    <w:p>
      <w:pPr>
        <w:spacing w:line="240" w:lineRule="auto" w:before="7"/>
        <w:rPr>
          <w:rFonts w:ascii="黑体" w:hAnsi="黑体" w:cs="黑体" w:eastAsia="黑体" w:hint="default"/>
          <w:sz w:val="16"/>
          <w:szCs w:val="16"/>
        </w:rPr>
      </w:pPr>
    </w:p>
    <w:p>
      <w:pPr>
        <w:pStyle w:val="BodyText"/>
        <w:spacing w:line="240" w:lineRule="exact" w:before="79"/>
        <w:ind w:left="667" w:right="189" w:firstLine="5"/>
        <w:jc w:val="left"/>
      </w:pPr>
      <w:r>
        <w:rPr/>
        <w:t>畅捷通通过北京银行以委托贷款的形式拆借给本公司流动资金借款，</w:t>
      </w:r>
      <w:r>
        <w:rPr>
          <w:rFonts w:ascii="Arial" w:hAnsi="Arial" w:cs="Arial" w:eastAsia="Arial" w:hint="default"/>
        </w:rPr>
        <w:t>2012</w:t>
      </w:r>
      <w:r>
        <w:rPr/>
        <w:t>年共有三笔委托贷款，</w:t>
      </w:r>
      <w:r>
        <w:rPr>
          <w:w w:val="99"/>
        </w:rPr>
        <w:t> </w:t>
      </w:r>
      <w:r>
        <w:rPr>
          <w:spacing w:val="2"/>
        </w:rPr>
        <w:t>金额分别为人民币</w:t>
      </w:r>
      <w:r>
        <w:rPr>
          <w:rFonts w:ascii="Arial" w:hAnsi="Arial" w:cs="Arial" w:eastAsia="Arial" w:hint="default"/>
          <w:spacing w:val="2"/>
        </w:rPr>
        <w:t>2.5</w:t>
      </w:r>
      <w:r>
        <w:rPr>
          <w:spacing w:val="2"/>
        </w:rPr>
        <w:t>亿元、人民币</w:t>
      </w:r>
      <w:r>
        <w:rPr>
          <w:rFonts w:ascii="Arial" w:hAnsi="Arial" w:cs="Arial" w:eastAsia="Arial" w:hint="default"/>
          <w:spacing w:val="2"/>
        </w:rPr>
        <w:t>1</w:t>
      </w:r>
      <w:r>
        <w:rPr>
          <w:spacing w:val="2"/>
        </w:rPr>
        <w:t>亿元和人民币</w:t>
      </w:r>
      <w:r>
        <w:rPr>
          <w:rFonts w:ascii="Arial" w:hAnsi="Arial" w:cs="Arial" w:eastAsia="Arial" w:hint="default"/>
          <w:spacing w:val="2"/>
        </w:rPr>
        <w:t>2.5</w:t>
      </w:r>
      <w:r>
        <w:rPr>
          <w:spacing w:val="2"/>
        </w:rPr>
        <w:t>亿元。借款期限分别为</w:t>
      </w:r>
      <w:r>
        <w:rPr>
          <w:rFonts w:ascii="Arial" w:hAnsi="Arial" w:cs="Arial" w:eastAsia="Arial" w:hint="default"/>
          <w:spacing w:val="2"/>
        </w:rPr>
        <w:t>2012</w:t>
      </w:r>
      <w:r>
        <w:rPr>
          <w:spacing w:val="2"/>
        </w:rPr>
        <w:t>年</w:t>
      </w:r>
      <w:r>
        <w:rPr>
          <w:rFonts w:ascii="Arial" w:hAnsi="Arial" w:cs="Arial" w:eastAsia="Arial" w:hint="default"/>
          <w:spacing w:val="2"/>
        </w:rPr>
        <w:t>1</w:t>
      </w:r>
      <w:r>
        <w:rPr>
          <w:spacing w:val="2"/>
        </w:rPr>
        <w:t>月</w:t>
      </w:r>
      <w:r>
        <w:rPr>
          <w:rFonts w:ascii="Arial" w:hAnsi="Arial" w:cs="Arial" w:eastAsia="Arial" w:hint="default"/>
          <w:spacing w:val="2"/>
        </w:rPr>
        <w:t>18</w:t>
      </w:r>
      <w:r>
        <w:rPr>
          <w:spacing w:val="2"/>
        </w:rPr>
        <w:t>日至</w:t>
      </w:r>
      <w:r>
        <w:rPr>
          <w:spacing w:val="2"/>
          <w:w w:val="99"/>
        </w:rPr>
        <w:t> </w:t>
      </w:r>
      <w:r>
        <w:rPr>
          <w:rFonts w:ascii="Arial" w:hAnsi="Arial" w:cs="Arial" w:eastAsia="Arial" w:hint="default"/>
        </w:rPr>
        <w:t>2012</w:t>
      </w:r>
      <w:r>
        <w:rPr/>
        <w:t>年</w:t>
      </w:r>
      <w:r>
        <w:rPr>
          <w:rFonts w:ascii="Arial" w:hAnsi="Arial" w:cs="Arial" w:eastAsia="Arial" w:hint="default"/>
        </w:rPr>
        <w:t>6</w:t>
      </w:r>
      <w:r>
        <w:rPr/>
        <w:t>月</w:t>
      </w:r>
      <w:r>
        <w:rPr>
          <w:rFonts w:ascii="Arial" w:hAnsi="Arial" w:cs="Arial" w:eastAsia="Arial" w:hint="default"/>
        </w:rPr>
        <w:t>17</w:t>
      </w:r>
      <w:r>
        <w:rPr/>
        <w:t>日，</w:t>
      </w:r>
      <w:r>
        <w:rPr>
          <w:rFonts w:ascii="Arial" w:hAnsi="Arial" w:cs="Arial" w:eastAsia="Arial" w:hint="default"/>
        </w:rPr>
        <w:t>2012</w:t>
      </w:r>
      <w:r>
        <w:rPr/>
        <w:t>年</w:t>
      </w:r>
      <w:r>
        <w:rPr>
          <w:rFonts w:ascii="Arial" w:hAnsi="Arial" w:cs="Arial" w:eastAsia="Arial" w:hint="default"/>
        </w:rPr>
        <w:t>8</w:t>
      </w:r>
      <w:r>
        <w:rPr/>
        <w:t>月</w:t>
      </w:r>
      <w:r>
        <w:rPr>
          <w:rFonts w:ascii="Arial" w:hAnsi="Arial" w:cs="Arial" w:eastAsia="Arial" w:hint="default"/>
        </w:rPr>
        <w:t>2</w:t>
      </w:r>
      <w:r>
        <w:rPr/>
        <w:t>日至</w:t>
      </w:r>
      <w:r>
        <w:rPr>
          <w:rFonts w:ascii="Arial" w:hAnsi="Arial" w:cs="Arial" w:eastAsia="Arial" w:hint="default"/>
        </w:rPr>
        <w:t>2013</w:t>
      </w:r>
      <w:r>
        <w:rPr/>
        <w:t>年</w:t>
      </w:r>
      <w:r>
        <w:rPr>
          <w:rFonts w:ascii="Arial" w:hAnsi="Arial" w:cs="Arial" w:eastAsia="Arial" w:hint="default"/>
        </w:rPr>
        <w:t>2</w:t>
      </w:r>
      <w:r>
        <w:rPr/>
        <w:t>月</w:t>
      </w:r>
      <w:r>
        <w:rPr>
          <w:rFonts w:ascii="Arial" w:hAnsi="Arial" w:cs="Arial" w:eastAsia="Arial" w:hint="default"/>
        </w:rPr>
        <w:t>3</w:t>
      </w:r>
      <w:r>
        <w:rPr/>
        <w:t>日和</w:t>
      </w:r>
      <w:r>
        <w:rPr>
          <w:rFonts w:ascii="Arial" w:hAnsi="Arial" w:cs="Arial" w:eastAsia="Arial" w:hint="default"/>
        </w:rPr>
        <w:t>2012</w:t>
      </w:r>
      <w:r>
        <w:rPr/>
        <w:t>年</w:t>
      </w:r>
      <w:r>
        <w:rPr>
          <w:rFonts w:ascii="Arial" w:hAnsi="Arial" w:cs="Arial" w:eastAsia="Arial" w:hint="default"/>
        </w:rPr>
        <w:t>9</w:t>
      </w:r>
      <w:r>
        <w:rPr/>
        <w:t>月</w:t>
      </w:r>
      <w:r>
        <w:rPr>
          <w:rFonts w:ascii="Arial" w:hAnsi="Arial" w:cs="Arial" w:eastAsia="Arial" w:hint="default"/>
        </w:rPr>
        <w:t>28</w:t>
      </w:r>
      <w:r>
        <w:rPr/>
        <w:t>日至</w:t>
      </w:r>
      <w:r>
        <w:rPr>
          <w:rFonts w:ascii="Arial" w:hAnsi="Arial" w:cs="Arial" w:eastAsia="Arial" w:hint="default"/>
        </w:rPr>
        <w:t>2013</w:t>
      </w:r>
      <w:r>
        <w:rPr/>
        <w:t>年</w:t>
      </w:r>
      <w:r>
        <w:rPr>
          <w:rFonts w:ascii="Arial" w:hAnsi="Arial" w:cs="Arial" w:eastAsia="Arial" w:hint="default"/>
        </w:rPr>
        <w:t>9</w:t>
      </w:r>
      <w:r>
        <w:rPr/>
        <w:t>月</w:t>
      </w:r>
      <w:r>
        <w:rPr>
          <w:rFonts w:ascii="Arial" w:hAnsi="Arial" w:cs="Arial" w:eastAsia="Arial" w:hint="default"/>
        </w:rPr>
        <w:t>27</w:t>
      </w:r>
      <w:r>
        <w:rPr/>
        <w:t>日，借款利</w:t>
      </w:r>
      <w:r>
        <w:rPr>
          <w:spacing w:val="-33"/>
        </w:rPr>
        <w:t> </w:t>
      </w:r>
      <w:r>
        <w:rPr>
          <w:spacing w:val="-33"/>
        </w:rPr>
      </w:r>
      <w:r>
        <w:rPr/>
        <w:t>率由公司自行商定，利率分别为</w:t>
      </w:r>
      <w:r>
        <w:rPr>
          <w:rFonts w:ascii="Arial" w:hAnsi="Arial" w:cs="Arial" w:eastAsia="Arial" w:hint="default"/>
        </w:rPr>
        <w:t>6.1%</w:t>
      </w:r>
      <w:r>
        <w:rPr/>
        <w:t>，</w:t>
      </w:r>
      <w:r>
        <w:rPr>
          <w:rFonts w:ascii="Arial" w:hAnsi="Arial" w:cs="Arial" w:eastAsia="Arial" w:hint="default"/>
        </w:rPr>
        <w:t>5.85%</w:t>
      </w:r>
      <w:r>
        <w:rPr/>
        <w:t>和</w:t>
      </w:r>
      <w:r>
        <w:rPr>
          <w:rFonts w:ascii="Arial" w:hAnsi="Arial" w:cs="Arial" w:eastAsia="Arial" w:hint="default"/>
        </w:rPr>
        <w:t>5.85%</w:t>
      </w:r>
      <w:r>
        <w:rPr/>
        <w:t>。本公司已于</w:t>
      </w:r>
      <w:r>
        <w:rPr>
          <w:rFonts w:ascii="Arial" w:hAnsi="Arial" w:cs="Arial" w:eastAsia="Arial" w:hint="default"/>
        </w:rPr>
        <w:t>2012</w:t>
      </w:r>
      <w:r>
        <w:rPr/>
        <w:t>年</w:t>
      </w:r>
      <w:r>
        <w:rPr>
          <w:rFonts w:ascii="Arial" w:hAnsi="Arial" w:cs="Arial" w:eastAsia="Arial" w:hint="default"/>
        </w:rPr>
        <w:t>6</w:t>
      </w:r>
      <w:r>
        <w:rPr/>
        <w:t>月</w:t>
      </w:r>
      <w:r>
        <w:rPr>
          <w:rFonts w:ascii="Arial" w:hAnsi="Arial" w:cs="Arial" w:eastAsia="Arial" w:hint="default"/>
        </w:rPr>
        <w:t>14</w:t>
      </w:r>
      <w:r>
        <w:rPr/>
        <w:t>日偿还第一笔</w:t>
      </w:r>
      <w:r>
        <w:rPr>
          <w:w w:val="99"/>
        </w:rPr>
        <w:t> </w:t>
      </w:r>
      <w:r>
        <w:rPr/>
        <w:t>委托贷款，于</w:t>
      </w:r>
      <w:r>
        <w:rPr>
          <w:rFonts w:ascii="Arial" w:hAnsi="Arial" w:cs="Arial" w:eastAsia="Arial" w:hint="default"/>
        </w:rPr>
        <w:t>2012</w:t>
      </w:r>
      <w:r>
        <w:rPr/>
        <w:t>年</w:t>
      </w:r>
      <w:r>
        <w:rPr>
          <w:rFonts w:ascii="Arial" w:hAnsi="Arial" w:cs="Arial" w:eastAsia="Arial" w:hint="default"/>
        </w:rPr>
        <w:t>12</w:t>
      </w:r>
      <w:r>
        <w:rPr/>
        <w:t>月</w:t>
      </w:r>
      <w:r>
        <w:rPr>
          <w:rFonts w:ascii="Arial" w:hAnsi="Arial" w:cs="Arial" w:eastAsia="Arial" w:hint="default"/>
        </w:rPr>
        <w:t>28</w:t>
      </w:r>
      <w:r>
        <w:rPr/>
        <w:t>日偿还后两笔贷款。</w:t>
      </w:r>
    </w:p>
    <w:p>
      <w:pPr>
        <w:spacing w:after="0" w:line="240" w:lineRule="exact"/>
        <w:jc w:val="left"/>
        <w:sectPr>
          <w:type w:val="continuous"/>
          <w:pgSz w:w="11910" w:h="16850"/>
          <w:pgMar w:top="1020" w:bottom="280" w:left="1600" w:right="980"/>
        </w:sectPr>
      </w:pPr>
    </w:p>
    <w:p>
      <w:pPr>
        <w:spacing w:line="240" w:lineRule="auto" w:before="1"/>
        <w:rPr>
          <w:rFonts w:ascii="黑体" w:hAnsi="黑体" w:cs="黑体" w:eastAsia="黑体" w:hint="default"/>
          <w:sz w:val="16"/>
          <w:szCs w:val="16"/>
        </w:rPr>
      </w:pPr>
    </w:p>
    <w:p>
      <w:pPr>
        <w:pStyle w:val="Heading6"/>
        <w:spacing w:line="240" w:lineRule="auto"/>
        <w:ind w:right="3439"/>
        <w:jc w:val="left"/>
        <w:rPr>
          <w:b w:val="0"/>
          <w:bCs w:val="0"/>
        </w:rPr>
      </w:pPr>
      <w:r>
        <w:rPr/>
        <w:t>十三、公司财务报表主要项目注释（续）</w:t>
      </w:r>
      <w:r>
        <w:rPr>
          <w:b w:val="0"/>
          <w:bCs w:val="0"/>
        </w:rPr>
      </w:r>
    </w:p>
    <w:p>
      <w:pPr>
        <w:spacing w:line="240" w:lineRule="auto" w:before="0"/>
        <w:rPr>
          <w:rFonts w:ascii="黑体" w:hAnsi="黑体" w:cs="黑体" w:eastAsia="黑体" w:hint="default"/>
          <w:b/>
          <w:bCs/>
          <w:sz w:val="15"/>
          <w:szCs w:val="15"/>
        </w:rPr>
      </w:pPr>
    </w:p>
    <w:p>
      <w:pPr>
        <w:pStyle w:val="Heading6"/>
        <w:tabs>
          <w:tab w:pos="579" w:val="left" w:leader="none"/>
        </w:tabs>
        <w:spacing w:line="240" w:lineRule="auto" w:before="0"/>
        <w:ind w:right="3439"/>
        <w:jc w:val="left"/>
        <w:rPr>
          <w:b w:val="0"/>
          <w:bCs w:val="0"/>
        </w:rPr>
      </w:pPr>
      <w:r>
        <w:rPr>
          <w:rFonts w:ascii="Arial" w:hAnsi="Arial" w:cs="Arial" w:eastAsia="Arial" w:hint="default"/>
          <w:spacing w:val="-1"/>
          <w:w w:val="95"/>
        </w:rPr>
        <w:t>41.</w:t>
        <w:tab/>
      </w:r>
      <w:bookmarkStart w:name="41.  本公司与关联方之主要交易（续）" w:id="160"/>
      <w:bookmarkEnd w:id="160"/>
      <w:r>
        <w:rPr>
          <w:rFonts w:ascii="Arial" w:hAnsi="Arial" w:cs="Arial" w:eastAsia="Arial" w:hint="default"/>
          <w:spacing w:val="-1"/>
          <w:w w:val="95"/>
        </w:rPr>
      </w:r>
      <w:r>
        <w:rPr>
          <w:spacing w:val="1"/>
        </w:rPr>
        <w:t>本公司与关联方之主要交易（续）</w:t>
      </w:r>
      <w:r>
        <w:rPr>
          <w:b w:val="0"/>
          <w:bCs w:val="0"/>
          <w:spacing w:val="1"/>
        </w:rPr>
      </w:r>
    </w:p>
    <w:p>
      <w:pPr>
        <w:spacing w:line="240" w:lineRule="auto" w:before="8"/>
        <w:rPr>
          <w:rFonts w:ascii="黑体" w:hAnsi="黑体" w:cs="黑体" w:eastAsia="黑体" w:hint="default"/>
          <w:b/>
          <w:bCs/>
          <w:sz w:val="15"/>
          <w:szCs w:val="15"/>
        </w:rPr>
      </w:pPr>
    </w:p>
    <w:p>
      <w:pPr>
        <w:pStyle w:val="BodyText"/>
        <w:spacing w:line="240" w:lineRule="auto"/>
        <w:ind w:left="701" w:right="3439"/>
        <w:jc w:val="left"/>
      </w:pPr>
      <w:r>
        <w:rPr>
          <w:rFonts w:ascii="Arial" w:hAnsi="Arial" w:cs="Arial" w:eastAsia="Arial" w:hint="default"/>
        </w:rPr>
        <w:t>(6)</w:t>
      </w:r>
      <w:r>
        <w:rPr>
          <w:rFonts w:ascii="Arial" w:hAnsi="Arial" w:cs="Arial" w:eastAsia="Arial" w:hint="default"/>
          <w:spacing w:val="39"/>
        </w:rPr>
        <w:t> </w:t>
      </w:r>
      <w:r>
        <w:rPr/>
        <w:t>其他关联方交易</w:t>
      </w:r>
    </w:p>
    <w:p>
      <w:pPr>
        <w:spacing w:line="240" w:lineRule="auto" w:before="6"/>
        <w:rPr>
          <w:rFonts w:ascii="黑体" w:hAnsi="黑体" w:cs="黑体" w:eastAsia="黑体" w:hint="default"/>
          <w:sz w:val="21"/>
          <w:szCs w:val="21"/>
        </w:rPr>
      </w:pPr>
    </w:p>
    <w:tbl>
      <w:tblPr>
        <w:tblW w:w="0" w:type="auto"/>
        <w:jc w:val="left"/>
        <w:tblInd w:w="540" w:type="dxa"/>
        <w:tblLayout w:type="fixed"/>
        <w:tblCellMar>
          <w:top w:w="0" w:type="dxa"/>
          <w:left w:w="0" w:type="dxa"/>
          <w:bottom w:w="0" w:type="dxa"/>
          <w:right w:w="0" w:type="dxa"/>
        </w:tblCellMar>
        <w:tblLook w:val="01E0"/>
      </w:tblPr>
      <w:tblGrid>
        <w:gridCol w:w="3248"/>
        <w:gridCol w:w="1617"/>
        <w:gridCol w:w="790"/>
        <w:gridCol w:w="427"/>
        <w:gridCol w:w="1314"/>
        <w:gridCol w:w="913"/>
      </w:tblGrid>
      <w:tr>
        <w:trPr>
          <w:trHeight w:val="246" w:hRule="exact"/>
        </w:trPr>
        <w:tc>
          <w:tcPr>
            <w:tcW w:w="3248" w:type="dxa"/>
            <w:tcBorders>
              <w:top w:val="nil" w:sz="6" w:space="0" w:color="auto"/>
              <w:left w:val="nil" w:sz="6" w:space="0" w:color="auto"/>
              <w:bottom w:val="nil" w:sz="6" w:space="0" w:color="auto"/>
              <w:right w:val="nil" w:sz="6" w:space="0" w:color="auto"/>
            </w:tcBorders>
          </w:tcPr>
          <w:p>
            <w:pPr>
              <w:pStyle w:val="TableParagraph"/>
              <w:spacing w:line="199" w:lineRule="exact"/>
              <w:ind w:left="200" w:right="0"/>
              <w:jc w:val="left"/>
              <w:rPr>
                <w:rFonts w:ascii="黑体" w:hAnsi="黑体" w:cs="黑体" w:eastAsia="黑体" w:hint="default"/>
                <w:sz w:val="20"/>
                <w:szCs w:val="20"/>
              </w:rPr>
            </w:pPr>
            <w:r>
              <w:rPr>
                <w:rFonts w:ascii="黑体" w:hAnsi="黑体" w:cs="黑体" w:eastAsia="黑体" w:hint="default"/>
                <w:sz w:val="20"/>
                <w:szCs w:val="20"/>
              </w:rPr>
              <w:t>主办会议收入</w:t>
            </w:r>
          </w:p>
        </w:tc>
        <w:tc>
          <w:tcPr>
            <w:tcW w:w="1617" w:type="dxa"/>
            <w:tcBorders>
              <w:top w:val="nil" w:sz="6" w:space="0" w:color="auto"/>
              <w:left w:val="nil" w:sz="6" w:space="0" w:color="auto"/>
              <w:bottom w:val="single" w:sz="4" w:space="0" w:color="000000"/>
              <w:right w:val="nil" w:sz="6" w:space="0" w:color="auto"/>
            </w:tcBorders>
          </w:tcPr>
          <w:p>
            <w:pPr/>
          </w:p>
        </w:tc>
        <w:tc>
          <w:tcPr>
            <w:tcW w:w="790" w:type="dxa"/>
            <w:tcBorders>
              <w:top w:val="nil" w:sz="6" w:space="0" w:color="auto"/>
              <w:left w:val="nil" w:sz="6" w:space="0" w:color="auto"/>
              <w:bottom w:val="single" w:sz="4" w:space="0" w:color="000000"/>
              <w:right w:val="nil" w:sz="6" w:space="0" w:color="auto"/>
            </w:tcBorders>
          </w:tcPr>
          <w:p>
            <w:pPr>
              <w:pStyle w:val="TableParagraph"/>
              <w:spacing w:line="214" w:lineRule="exact"/>
              <w:ind w:right="11"/>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427"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single" w:sz="4" w:space="0" w:color="000000"/>
              <w:right w:val="nil" w:sz="6" w:space="0" w:color="auto"/>
            </w:tcBorders>
          </w:tcPr>
          <w:p>
            <w:pPr/>
          </w:p>
        </w:tc>
        <w:tc>
          <w:tcPr>
            <w:tcW w:w="913" w:type="dxa"/>
            <w:tcBorders>
              <w:top w:val="nil" w:sz="6" w:space="0" w:color="auto"/>
              <w:left w:val="nil" w:sz="6" w:space="0" w:color="auto"/>
              <w:bottom w:val="single" w:sz="4" w:space="0" w:color="000000"/>
              <w:right w:val="nil" w:sz="6" w:space="0" w:color="auto"/>
            </w:tcBorders>
          </w:tcPr>
          <w:p>
            <w:pPr>
              <w:pStyle w:val="TableParagraph"/>
              <w:spacing w:line="214" w:lineRule="exact"/>
              <w:ind w:right="11"/>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r>
      <w:tr>
        <w:trPr>
          <w:trHeight w:val="378" w:hRule="exact"/>
        </w:trPr>
        <w:tc>
          <w:tcPr>
            <w:tcW w:w="3248" w:type="dxa"/>
            <w:tcBorders>
              <w:top w:val="nil" w:sz="6" w:space="0" w:color="auto"/>
              <w:left w:val="nil" w:sz="6" w:space="0" w:color="auto"/>
              <w:bottom w:val="nil" w:sz="6" w:space="0" w:color="auto"/>
              <w:right w:val="nil" w:sz="6" w:space="0" w:color="auto"/>
            </w:tcBorders>
          </w:tcPr>
          <w:p>
            <w:pPr/>
          </w:p>
        </w:tc>
        <w:tc>
          <w:tcPr>
            <w:tcW w:w="1617" w:type="dxa"/>
            <w:tcBorders>
              <w:top w:val="single" w:sz="4" w:space="0" w:color="000000"/>
              <w:left w:val="nil" w:sz="6" w:space="0" w:color="auto"/>
              <w:bottom w:val="nil" w:sz="6" w:space="0" w:color="auto"/>
              <w:right w:val="nil" w:sz="6" w:space="0" w:color="auto"/>
            </w:tcBorders>
          </w:tcPr>
          <w:p>
            <w:pPr>
              <w:pStyle w:val="TableParagraph"/>
              <w:spacing w:line="213" w:lineRule="exact"/>
              <w:ind w:right="69"/>
              <w:jc w:val="right"/>
              <w:rPr>
                <w:rFonts w:ascii="黑体" w:hAnsi="黑体" w:cs="黑体" w:eastAsia="黑体" w:hint="default"/>
                <w:sz w:val="20"/>
                <w:szCs w:val="20"/>
              </w:rPr>
            </w:pPr>
            <w:r>
              <w:rPr>
                <w:rFonts w:ascii="黑体" w:hAnsi="黑体" w:cs="黑体" w:eastAsia="黑体" w:hint="default"/>
                <w:w w:val="95"/>
                <w:sz w:val="20"/>
                <w:szCs w:val="20"/>
              </w:rPr>
              <w:t>金额</w:t>
            </w:r>
            <w:r>
              <w:rPr>
                <w:rFonts w:ascii="黑体" w:hAnsi="黑体" w:cs="黑体" w:eastAsia="黑体" w:hint="default"/>
                <w:sz w:val="20"/>
                <w:szCs w:val="20"/>
              </w:rPr>
            </w:r>
          </w:p>
        </w:tc>
        <w:tc>
          <w:tcPr>
            <w:tcW w:w="790" w:type="dxa"/>
            <w:tcBorders>
              <w:top w:val="single" w:sz="4" w:space="0" w:color="000000"/>
              <w:left w:val="nil" w:sz="6" w:space="0" w:color="auto"/>
              <w:bottom w:val="nil" w:sz="6" w:space="0" w:color="auto"/>
              <w:right w:val="nil" w:sz="6" w:space="0" w:color="auto"/>
            </w:tcBorders>
          </w:tcPr>
          <w:p>
            <w:pPr>
              <w:pStyle w:val="TableParagraph"/>
              <w:spacing w:line="227" w:lineRule="exact"/>
              <w:ind w:right="8"/>
              <w:jc w:val="right"/>
              <w:rPr>
                <w:rFonts w:ascii="Arial" w:hAnsi="Arial" w:cs="Arial" w:eastAsia="Arial" w:hint="default"/>
                <w:sz w:val="20"/>
                <w:szCs w:val="20"/>
              </w:rPr>
            </w:pPr>
            <w:r>
              <w:rPr>
                <w:rFonts w:ascii="黑体" w:hAnsi="黑体" w:cs="黑体" w:eastAsia="黑体" w:hint="default"/>
                <w:w w:val="95"/>
                <w:sz w:val="20"/>
                <w:szCs w:val="20"/>
              </w:rPr>
              <w:t>比例</w:t>
            </w:r>
            <w:r>
              <w:rPr>
                <w:rFonts w:ascii="Arial" w:hAnsi="Arial" w:cs="Arial" w:eastAsia="Arial" w:hint="default"/>
                <w:w w:val="95"/>
                <w:sz w:val="20"/>
                <w:szCs w:val="20"/>
              </w:rPr>
              <w:t>(%)</w:t>
            </w:r>
            <w:r>
              <w:rPr>
                <w:rFonts w:ascii="Arial" w:hAnsi="Arial" w:cs="Arial" w:eastAsia="Arial" w:hint="default"/>
                <w:sz w:val="20"/>
                <w:szCs w:val="20"/>
              </w:rPr>
            </w:r>
          </w:p>
        </w:tc>
        <w:tc>
          <w:tcPr>
            <w:tcW w:w="427" w:type="dxa"/>
            <w:tcBorders>
              <w:top w:val="nil" w:sz="6" w:space="0" w:color="auto"/>
              <w:left w:val="nil" w:sz="6" w:space="0" w:color="auto"/>
              <w:bottom w:val="nil" w:sz="6" w:space="0" w:color="auto"/>
              <w:right w:val="nil" w:sz="6" w:space="0" w:color="auto"/>
            </w:tcBorders>
          </w:tcPr>
          <w:p>
            <w:pPr/>
          </w:p>
        </w:tc>
        <w:tc>
          <w:tcPr>
            <w:tcW w:w="1314" w:type="dxa"/>
            <w:tcBorders>
              <w:top w:val="single" w:sz="4" w:space="0" w:color="000000"/>
              <w:left w:val="nil" w:sz="6" w:space="0" w:color="auto"/>
              <w:bottom w:val="nil" w:sz="6" w:space="0" w:color="auto"/>
              <w:right w:val="nil" w:sz="6" w:space="0" w:color="auto"/>
            </w:tcBorders>
          </w:tcPr>
          <w:p>
            <w:pPr>
              <w:pStyle w:val="TableParagraph"/>
              <w:spacing w:line="213" w:lineRule="exact"/>
              <w:ind w:right="191"/>
              <w:jc w:val="right"/>
              <w:rPr>
                <w:rFonts w:ascii="黑体" w:hAnsi="黑体" w:cs="黑体" w:eastAsia="黑体" w:hint="default"/>
                <w:sz w:val="20"/>
                <w:szCs w:val="20"/>
              </w:rPr>
            </w:pPr>
            <w:r>
              <w:rPr>
                <w:rFonts w:ascii="黑体" w:hAnsi="黑体" w:cs="黑体" w:eastAsia="黑体" w:hint="default"/>
                <w:w w:val="95"/>
                <w:sz w:val="20"/>
                <w:szCs w:val="20"/>
              </w:rPr>
              <w:t>金额</w:t>
            </w:r>
            <w:r>
              <w:rPr>
                <w:rFonts w:ascii="黑体" w:hAnsi="黑体" w:cs="黑体" w:eastAsia="黑体" w:hint="default"/>
                <w:sz w:val="20"/>
                <w:szCs w:val="20"/>
              </w:rPr>
            </w:r>
          </w:p>
        </w:tc>
        <w:tc>
          <w:tcPr>
            <w:tcW w:w="913" w:type="dxa"/>
            <w:tcBorders>
              <w:top w:val="single" w:sz="4" w:space="0" w:color="000000"/>
              <w:left w:val="nil" w:sz="6" w:space="0" w:color="auto"/>
              <w:bottom w:val="nil" w:sz="6" w:space="0" w:color="auto"/>
              <w:right w:val="nil" w:sz="6" w:space="0" w:color="auto"/>
            </w:tcBorders>
          </w:tcPr>
          <w:p>
            <w:pPr>
              <w:pStyle w:val="TableParagraph"/>
              <w:spacing w:line="227" w:lineRule="exact"/>
              <w:ind w:right="8"/>
              <w:jc w:val="right"/>
              <w:rPr>
                <w:rFonts w:ascii="Arial" w:hAnsi="Arial" w:cs="Arial" w:eastAsia="Arial" w:hint="default"/>
                <w:sz w:val="20"/>
                <w:szCs w:val="20"/>
              </w:rPr>
            </w:pPr>
            <w:r>
              <w:rPr>
                <w:rFonts w:ascii="黑体" w:hAnsi="黑体" w:cs="黑体" w:eastAsia="黑体" w:hint="default"/>
                <w:w w:val="95"/>
                <w:sz w:val="20"/>
                <w:szCs w:val="20"/>
              </w:rPr>
              <w:t>比例</w:t>
            </w:r>
            <w:r>
              <w:rPr>
                <w:rFonts w:ascii="Arial" w:hAnsi="Arial" w:cs="Arial" w:eastAsia="Arial" w:hint="default"/>
                <w:w w:val="95"/>
                <w:sz w:val="20"/>
                <w:szCs w:val="20"/>
              </w:rPr>
              <w:t>(%)</w:t>
            </w:r>
            <w:r>
              <w:rPr>
                <w:rFonts w:ascii="Arial" w:hAnsi="Arial" w:cs="Arial" w:eastAsia="Arial" w:hint="default"/>
                <w:sz w:val="20"/>
                <w:szCs w:val="20"/>
              </w:rPr>
            </w:r>
          </w:p>
        </w:tc>
      </w:tr>
      <w:tr>
        <w:trPr>
          <w:trHeight w:val="383" w:hRule="exact"/>
        </w:trPr>
        <w:tc>
          <w:tcPr>
            <w:tcW w:w="3248"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00" w:right="0"/>
              <w:jc w:val="left"/>
              <w:rPr>
                <w:rFonts w:ascii="黑体" w:hAnsi="黑体" w:cs="黑体" w:eastAsia="黑体" w:hint="default"/>
                <w:sz w:val="20"/>
                <w:szCs w:val="20"/>
              </w:rPr>
            </w:pPr>
            <w:r>
              <w:rPr>
                <w:rFonts w:ascii="黑体" w:hAnsi="黑体" w:cs="黑体" w:eastAsia="黑体" w:hint="default"/>
                <w:sz w:val="20"/>
                <w:szCs w:val="20"/>
              </w:rPr>
              <w:t>用友政务</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69"/>
              <w:jc w:val="right"/>
              <w:rPr>
                <w:rFonts w:ascii="Arial" w:hAnsi="Arial" w:cs="Arial" w:eastAsia="Arial" w:hint="default"/>
                <w:sz w:val="20"/>
                <w:szCs w:val="20"/>
              </w:rPr>
            </w:pPr>
            <w:r>
              <w:rPr>
                <w:rFonts w:ascii="Arial"/>
                <w:spacing w:val="-1"/>
                <w:sz w:val="20"/>
              </w:rPr>
              <w:t>57,000</w:t>
            </w:r>
            <w:r>
              <w:rPr>
                <w:rFonts w:ascii="Arial"/>
                <w:sz w:val="20"/>
              </w:rPr>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0"/>
              <w:jc w:val="right"/>
              <w:rPr>
                <w:rFonts w:ascii="Arial" w:hAnsi="Arial" w:cs="Arial" w:eastAsia="Arial" w:hint="default"/>
                <w:sz w:val="20"/>
                <w:szCs w:val="20"/>
              </w:rPr>
            </w:pPr>
            <w:r>
              <w:rPr>
                <w:rFonts w:ascii="Arial"/>
                <w:spacing w:val="-1"/>
                <w:w w:val="95"/>
                <w:sz w:val="20"/>
              </w:rPr>
              <w:t>66</w:t>
            </w:r>
            <w:r>
              <w:rPr>
                <w:rFonts w:ascii="Arial"/>
                <w:sz w:val="20"/>
              </w:rPr>
            </w:r>
          </w:p>
        </w:tc>
        <w:tc>
          <w:tcPr>
            <w:tcW w:w="427"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91"/>
              <w:jc w:val="right"/>
              <w:rPr>
                <w:rFonts w:ascii="Arial" w:hAnsi="Arial" w:cs="Arial" w:eastAsia="Arial" w:hint="default"/>
                <w:sz w:val="20"/>
                <w:szCs w:val="20"/>
              </w:rPr>
            </w:pPr>
            <w:r>
              <w:rPr>
                <w:rFonts w:ascii="Arial"/>
                <w:spacing w:val="-1"/>
                <w:sz w:val="20"/>
              </w:rPr>
              <w:t>9,270</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7"/>
              <w:jc w:val="right"/>
              <w:rPr>
                <w:rFonts w:ascii="Arial" w:hAnsi="Arial" w:cs="Arial" w:eastAsia="Arial" w:hint="default"/>
                <w:sz w:val="20"/>
                <w:szCs w:val="20"/>
              </w:rPr>
            </w:pPr>
            <w:r>
              <w:rPr>
                <w:rFonts w:ascii="Arial"/>
                <w:w w:val="99"/>
                <w:sz w:val="20"/>
              </w:rPr>
              <w:t>6</w:t>
            </w:r>
            <w:r>
              <w:rPr>
                <w:rFonts w:ascii="Arial"/>
                <w:sz w:val="20"/>
              </w:rPr>
            </w:r>
          </w:p>
        </w:tc>
      </w:tr>
      <w:tr>
        <w:trPr>
          <w:trHeight w:val="254" w:hRule="exact"/>
        </w:trPr>
        <w:tc>
          <w:tcPr>
            <w:tcW w:w="3248"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z w:val="20"/>
                <w:szCs w:val="20"/>
              </w:rPr>
              <w:t>用友华表</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8"/>
              <w:jc w:val="right"/>
              <w:rPr>
                <w:rFonts w:ascii="Arial" w:hAnsi="Arial" w:cs="Arial" w:eastAsia="Arial" w:hint="default"/>
                <w:sz w:val="20"/>
                <w:szCs w:val="20"/>
              </w:rPr>
            </w:pPr>
            <w:r>
              <w:rPr>
                <w:rFonts w:ascii="Arial"/>
                <w:w w:val="99"/>
                <w:sz w:val="20"/>
              </w:rPr>
              <w:t>-</w:t>
            </w:r>
            <w:r>
              <w:rPr>
                <w:rFonts w:ascii="Arial"/>
                <w:sz w:val="20"/>
              </w:rPr>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
              <w:jc w:val="right"/>
              <w:rPr>
                <w:rFonts w:ascii="Arial" w:hAnsi="Arial" w:cs="Arial" w:eastAsia="Arial" w:hint="default"/>
                <w:sz w:val="20"/>
                <w:szCs w:val="20"/>
              </w:rPr>
            </w:pPr>
            <w:r>
              <w:rPr>
                <w:rFonts w:ascii="Arial"/>
                <w:w w:val="99"/>
                <w:sz w:val="20"/>
              </w:rPr>
              <w:t>-</w:t>
            </w:r>
            <w:r>
              <w:rPr>
                <w:rFonts w:ascii="Arial"/>
                <w:sz w:val="20"/>
              </w:rPr>
            </w:r>
          </w:p>
        </w:tc>
        <w:tc>
          <w:tcPr>
            <w:tcW w:w="427"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1"/>
              <w:jc w:val="right"/>
              <w:rPr>
                <w:rFonts w:ascii="Arial" w:hAnsi="Arial" w:cs="Arial" w:eastAsia="Arial" w:hint="default"/>
                <w:sz w:val="20"/>
                <w:szCs w:val="20"/>
              </w:rPr>
            </w:pPr>
            <w:r>
              <w:rPr>
                <w:rFonts w:ascii="Arial"/>
                <w:spacing w:val="-1"/>
                <w:sz w:val="20"/>
              </w:rPr>
              <w:t>4,440</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
              <w:jc w:val="right"/>
              <w:rPr>
                <w:rFonts w:ascii="Arial" w:hAnsi="Arial" w:cs="Arial" w:eastAsia="Arial" w:hint="default"/>
                <w:sz w:val="20"/>
                <w:szCs w:val="20"/>
              </w:rPr>
            </w:pPr>
            <w:r>
              <w:rPr>
                <w:rFonts w:ascii="Arial"/>
                <w:w w:val="99"/>
                <w:sz w:val="20"/>
              </w:rPr>
              <w:t>2</w:t>
            </w:r>
            <w:r>
              <w:rPr>
                <w:rFonts w:ascii="Arial"/>
                <w:sz w:val="20"/>
              </w:rPr>
            </w:r>
          </w:p>
        </w:tc>
      </w:tr>
      <w:tr>
        <w:trPr>
          <w:trHeight w:val="256" w:hRule="exact"/>
        </w:trPr>
        <w:tc>
          <w:tcPr>
            <w:tcW w:w="3248" w:type="dxa"/>
            <w:tcBorders>
              <w:top w:val="nil" w:sz="6" w:space="0" w:color="auto"/>
              <w:left w:val="nil" w:sz="6" w:space="0" w:color="auto"/>
              <w:bottom w:val="nil" w:sz="6" w:space="0" w:color="auto"/>
              <w:right w:val="nil" w:sz="6" w:space="0" w:color="auto"/>
            </w:tcBorders>
          </w:tcPr>
          <w:p>
            <w:pPr>
              <w:pStyle w:val="TableParagraph"/>
              <w:spacing w:line="222" w:lineRule="exact"/>
              <w:ind w:left="200" w:right="0"/>
              <w:jc w:val="left"/>
              <w:rPr>
                <w:rFonts w:ascii="黑体" w:hAnsi="黑体" w:cs="黑体" w:eastAsia="黑体" w:hint="default"/>
                <w:sz w:val="20"/>
                <w:szCs w:val="20"/>
              </w:rPr>
            </w:pPr>
            <w:r>
              <w:rPr>
                <w:rFonts w:ascii="黑体" w:hAnsi="黑体" w:cs="黑体" w:eastAsia="黑体" w:hint="default"/>
                <w:sz w:val="20"/>
                <w:szCs w:val="20"/>
              </w:rPr>
              <w:t>用友医疗</w:t>
            </w:r>
          </w:p>
        </w:tc>
        <w:tc>
          <w:tcPr>
            <w:tcW w:w="161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8"/>
              <w:jc w:val="right"/>
              <w:rPr>
                <w:rFonts w:ascii="Arial" w:hAnsi="Arial" w:cs="Arial" w:eastAsia="Arial" w:hint="default"/>
                <w:sz w:val="20"/>
                <w:szCs w:val="20"/>
              </w:rPr>
            </w:pPr>
            <w:r>
              <w:rPr>
                <w:rFonts w:ascii="Arial"/>
                <w:w w:val="99"/>
                <w:sz w:val="20"/>
              </w:rPr>
              <w:t>-</w:t>
            </w:r>
            <w:r>
              <w:rPr>
                <w:rFonts w:ascii="Arial"/>
                <w:sz w:val="20"/>
              </w:rPr>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8"/>
              <w:jc w:val="right"/>
              <w:rPr>
                <w:rFonts w:ascii="Arial" w:hAnsi="Arial" w:cs="Arial" w:eastAsia="Arial" w:hint="default"/>
                <w:sz w:val="20"/>
                <w:szCs w:val="20"/>
              </w:rPr>
            </w:pPr>
            <w:r>
              <w:rPr>
                <w:rFonts w:ascii="Arial"/>
                <w:w w:val="99"/>
                <w:sz w:val="20"/>
              </w:rPr>
              <w:t>-</w:t>
            </w:r>
            <w:r>
              <w:rPr>
                <w:rFonts w:ascii="Arial"/>
                <w:sz w:val="20"/>
              </w:rPr>
            </w:r>
          </w:p>
        </w:tc>
        <w:tc>
          <w:tcPr>
            <w:tcW w:w="427"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1"/>
              <w:jc w:val="right"/>
              <w:rPr>
                <w:rFonts w:ascii="Arial" w:hAnsi="Arial" w:cs="Arial" w:eastAsia="Arial" w:hint="default"/>
                <w:sz w:val="20"/>
                <w:szCs w:val="20"/>
              </w:rPr>
            </w:pPr>
            <w:r>
              <w:rPr>
                <w:rFonts w:ascii="Arial"/>
                <w:spacing w:val="-1"/>
                <w:sz w:val="20"/>
              </w:rPr>
              <w:t>4,600</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
              <w:jc w:val="right"/>
              <w:rPr>
                <w:rFonts w:ascii="Arial" w:hAnsi="Arial" w:cs="Arial" w:eastAsia="Arial" w:hint="default"/>
                <w:sz w:val="20"/>
                <w:szCs w:val="20"/>
              </w:rPr>
            </w:pPr>
            <w:r>
              <w:rPr>
                <w:rFonts w:ascii="Arial"/>
                <w:w w:val="99"/>
                <w:sz w:val="20"/>
              </w:rPr>
              <w:t>3</w:t>
            </w:r>
            <w:r>
              <w:rPr>
                <w:rFonts w:ascii="Arial"/>
                <w:sz w:val="20"/>
              </w:rPr>
            </w:r>
          </w:p>
        </w:tc>
      </w:tr>
      <w:tr>
        <w:trPr>
          <w:trHeight w:val="388" w:hRule="exact"/>
        </w:trPr>
        <w:tc>
          <w:tcPr>
            <w:tcW w:w="3248" w:type="dxa"/>
            <w:tcBorders>
              <w:top w:val="nil" w:sz="6" w:space="0" w:color="auto"/>
              <w:left w:val="nil" w:sz="6" w:space="0" w:color="auto"/>
              <w:bottom w:val="nil" w:sz="6" w:space="0" w:color="auto"/>
              <w:right w:val="nil" w:sz="6" w:space="0" w:color="auto"/>
            </w:tcBorders>
          </w:tcPr>
          <w:p>
            <w:pPr>
              <w:pStyle w:val="TableParagraph"/>
              <w:spacing w:line="223" w:lineRule="exact"/>
              <w:ind w:left="200" w:right="0"/>
              <w:jc w:val="left"/>
              <w:rPr>
                <w:rFonts w:ascii="黑体" w:hAnsi="黑体" w:cs="黑体" w:eastAsia="黑体" w:hint="default"/>
                <w:sz w:val="20"/>
                <w:szCs w:val="20"/>
              </w:rPr>
            </w:pPr>
            <w:r>
              <w:rPr>
                <w:rFonts w:ascii="黑体" w:hAnsi="黑体" w:cs="黑体" w:eastAsia="黑体" w:hint="default"/>
                <w:sz w:val="20"/>
                <w:szCs w:val="20"/>
              </w:rPr>
              <w:t>畅捷通</w:t>
            </w:r>
          </w:p>
        </w:tc>
        <w:tc>
          <w:tcPr>
            <w:tcW w:w="1617" w:type="dxa"/>
            <w:tcBorders>
              <w:top w:val="nil" w:sz="6" w:space="0" w:color="auto"/>
              <w:left w:val="nil" w:sz="6" w:space="0" w:color="auto"/>
              <w:bottom w:val="nil" w:sz="6" w:space="0" w:color="auto"/>
              <w:right w:val="nil" w:sz="6" w:space="0" w:color="auto"/>
            </w:tcBorders>
          </w:tcPr>
          <w:p>
            <w:pPr>
              <w:pStyle w:val="TableParagraph"/>
              <w:tabs>
                <w:tab w:pos="381" w:val="left" w:leader="none"/>
              </w:tabs>
              <w:spacing w:line="240" w:lineRule="auto" w:before="7"/>
              <w:ind w:right="69"/>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29,178</w:t>
            </w:r>
            <w:r>
              <w:rPr>
                <w:rFonts w:ascii="Arial"/>
                <w:spacing w:val="-1"/>
                <w:w w:val="95"/>
                <w:sz w:val="20"/>
              </w:rPr>
            </w:r>
            <w:r>
              <w:rPr>
                <w:rFonts w:ascii="Arial"/>
                <w:sz w:val="20"/>
              </w:rPr>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w w:val="95"/>
                <w:sz w:val="20"/>
                <w:u w:val="single" w:color="000000"/>
              </w:rPr>
              <w:t>34</w:t>
            </w:r>
            <w:r>
              <w:rPr>
                <w:rFonts w:ascii="Arial"/>
                <w:spacing w:val="-1"/>
                <w:w w:val="95"/>
                <w:sz w:val="20"/>
              </w:rPr>
            </w:r>
            <w:r>
              <w:rPr>
                <w:rFonts w:ascii="Arial"/>
                <w:sz w:val="20"/>
              </w:rPr>
            </w:r>
          </w:p>
        </w:tc>
        <w:tc>
          <w:tcPr>
            <w:tcW w:w="427"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91"/>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10"/>
                <w:sz w:val="20"/>
                <w:u w:val="single" w:color="000000"/>
              </w:rPr>
              <w:t> </w:t>
            </w:r>
            <w:r>
              <w:rPr>
                <w:rFonts w:ascii="Arial"/>
                <w:spacing w:val="-1"/>
                <w:w w:val="95"/>
                <w:sz w:val="20"/>
                <w:u w:val="single" w:color="000000"/>
              </w:rPr>
              <w:t>147,859</w:t>
            </w:r>
            <w:r>
              <w:rPr>
                <w:rFonts w:ascii="Arial"/>
                <w:spacing w:val="-1"/>
                <w:w w:val="95"/>
                <w:sz w:val="20"/>
              </w:rPr>
            </w:r>
            <w:r>
              <w:rPr>
                <w:rFonts w:ascii="Arial"/>
                <w:sz w:val="20"/>
              </w:rPr>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  </w:t>
            </w:r>
            <w:r>
              <w:rPr>
                <w:rFonts w:ascii="Arial"/>
                <w:spacing w:val="-28"/>
                <w:sz w:val="20"/>
                <w:u w:val="single" w:color="000000"/>
              </w:rPr>
              <w:t> </w:t>
            </w:r>
            <w:r>
              <w:rPr>
                <w:rFonts w:ascii="Arial"/>
                <w:spacing w:val="-1"/>
                <w:w w:val="95"/>
                <w:sz w:val="20"/>
                <w:u w:val="single" w:color="000000"/>
              </w:rPr>
              <w:t>89</w:t>
            </w:r>
            <w:r>
              <w:rPr>
                <w:rFonts w:ascii="Arial"/>
                <w:spacing w:val="-1"/>
                <w:w w:val="95"/>
                <w:sz w:val="20"/>
              </w:rPr>
            </w:r>
            <w:r>
              <w:rPr>
                <w:rFonts w:ascii="Arial"/>
                <w:sz w:val="20"/>
              </w:rPr>
            </w:r>
          </w:p>
        </w:tc>
      </w:tr>
      <w:tr>
        <w:trPr>
          <w:trHeight w:val="354" w:hRule="exact"/>
        </w:trPr>
        <w:tc>
          <w:tcPr>
            <w:tcW w:w="3248" w:type="dxa"/>
            <w:tcBorders>
              <w:top w:val="nil" w:sz="6" w:space="0" w:color="auto"/>
              <w:left w:val="nil" w:sz="6" w:space="0" w:color="auto"/>
              <w:bottom w:val="nil" w:sz="6" w:space="0" w:color="auto"/>
              <w:right w:val="nil" w:sz="6" w:space="0" w:color="auto"/>
            </w:tcBorders>
          </w:tcPr>
          <w:p>
            <w:pPr/>
          </w:p>
        </w:tc>
        <w:tc>
          <w:tcPr>
            <w:tcW w:w="1617" w:type="dxa"/>
            <w:tcBorders>
              <w:top w:val="nil" w:sz="6" w:space="0" w:color="auto"/>
              <w:left w:val="nil" w:sz="6" w:space="0" w:color="auto"/>
              <w:bottom w:val="nil" w:sz="6" w:space="0" w:color="auto"/>
              <w:right w:val="nil" w:sz="6" w:space="0" w:color="auto"/>
            </w:tcBorders>
          </w:tcPr>
          <w:p>
            <w:pPr>
              <w:pStyle w:val="TableParagraph"/>
              <w:tabs>
                <w:tab w:pos="381" w:val="left" w:leader="none"/>
              </w:tabs>
              <w:spacing w:line="240" w:lineRule="auto" w:before="128"/>
              <w:ind w:right="69"/>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spacing w:val="-1"/>
                <w:w w:val="95"/>
                <w:sz w:val="20"/>
                <w:u w:val="thick" w:color="000000"/>
              </w:rPr>
              <w:t>86,178</w:t>
            </w:r>
            <w:r>
              <w:rPr>
                <w:rFonts w:ascii="Arial"/>
                <w:spacing w:val="-1"/>
                <w:w w:val="95"/>
                <w:sz w:val="20"/>
              </w:rPr>
            </w:r>
            <w:r>
              <w:rPr>
                <w:rFonts w:ascii="Arial"/>
                <w:sz w:val="20"/>
              </w:rPr>
            </w:r>
          </w:p>
        </w:tc>
        <w:tc>
          <w:tcPr>
            <w:tcW w:w="790"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0"/>
              <w:jc w:val="right"/>
              <w:rPr>
                <w:rFonts w:ascii="Arial" w:hAnsi="Arial" w:cs="Arial" w:eastAsia="Arial" w:hint="default"/>
                <w:sz w:val="20"/>
                <w:szCs w:val="20"/>
              </w:rPr>
            </w:pPr>
            <w:r>
              <w:rPr>
                <w:rFonts w:ascii="Arial"/>
                <w:w w:val="99"/>
                <w:sz w:val="20"/>
              </w:rPr>
            </w:r>
            <w:r>
              <w:rPr>
                <w:rFonts w:ascii="Arial"/>
                <w:spacing w:val="-1"/>
                <w:w w:val="95"/>
                <w:sz w:val="20"/>
                <w:u w:val="thick" w:color="000000"/>
              </w:rPr>
              <w:t>100</w:t>
            </w:r>
            <w:r>
              <w:rPr>
                <w:rFonts w:ascii="Arial"/>
                <w:spacing w:val="-1"/>
                <w:w w:val="95"/>
                <w:sz w:val="20"/>
              </w:rPr>
            </w:r>
            <w:r>
              <w:rPr>
                <w:rFonts w:ascii="Arial"/>
                <w:sz w:val="20"/>
              </w:rPr>
            </w:r>
          </w:p>
        </w:tc>
        <w:tc>
          <w:tcPr>
            <w:tcW w:w="427"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tabs>
                <w:tab w:pos="256" w:val="left" w:leader="none"/>
              </w:tabs>
              <w:spacing w:line="240" w:lineRule="auto" w:before="128"/>
              <w:ind w:right="191"/>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spacing w:val="-1"/>
                <w:sz w:val="20"/>
                <w:u w:val="thick" w:color="000000"/>
              </w:rPr>
              <w:t>166,169</w:t>
            </w:r>
            <w:r>
              <w:rPr>
                <w:rFonts w:ascii="Arial"/>
                <w:spacing w:val="-1"/>
                <w:sz w:val="20"/>
              </w:rPr>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0"/>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pacing w:val="-11"/>
                <w:sz w:val="20"/>
                <w:u w:val="thick" w:color="000000"/>
              </w:rPr>
              <w:t> </w:t>
            </w:r>
            <w:r>
              <w:rPr>
                <w:rFonts w:ascii="Arial"/>
                <w:spacing w:val="-1"/>
                <w:w w:val="95"/>
                <w:sz w:val="20"/>
                <w:u w:val="thick" w:color="000000"/>
              </w:rPr>
              <w:t>100</w:t>
            </w:r>
            <w:r>
              <w:rPr>
                <w:rFonts w:ascii="Arial"/>
                <w:spacing w:val="-1"/>
                <w:w w:val="95"/>
                <w:sz w:val="20"/>
              </w:rPr>
            </w:r>
            <w:r>
              <w:rPr>
                <w:rFonts w:ascii="Arial"/>
                <w:sz w:val="20"/>
              </w:rPr>
            </w:r>
          </w:p>
        </w:tc>
      </w:tr>
    </w:tbl>
    <w:p>
      <w:pPr>
        <w:spacing w:line="240" w:lineRule="auto" w:before="11"/>
        <w:rPr>
          <w:rFonts w:ascii="黑体" w:hAnsi="黑体" w:cs="黑体" w:eastAsia="黑体" w:hint="default"/>
          <w:sz w:val="21"/>
          <w:szCs w:val="21"/>
        </w:rPr>
      </w:pPr>
    </w:p>
    <w:tbl>
      <w:tblPr>
        <w:tblW w:w="0" w:type="auto"/>
        <w:jc w:val="left"/>
        <w:tblInd w:w="520" w:type="dxa"/>
        <w:tblLayout w:type="fixed"/>
        <w:tblCellMar>
          <w:top w:w="0" w:type="dxa"/>
          <w:left w:w="0" w:type="dxa"/>
          <w:bottom w:w="0" w:type="dxa"/>
          <w:right w:w="0" w:type="dxa"/>
        </w:tblCellMar>
        <w:tblLook w:val="01E0"/>
      </w:tblPr>
      <w:tblGrid>
        <w:gridCol w:w="3267"/>
        <w:gridCol w:w="1600"/>
        <w:gridCol w:w="788"/>
        <w:gridCol w:w="420"/>
        <w:gridCol w:w="1351"/>
        <w:gridCol w:w="943"/>
      </w:tblGrid>
      <w:tr>
        <w:trPr>
          <w:trHeight w:val="246" w:hRule="exact"/>
        </w:trPr>
        <w:tc>
          <w:tcPr>
            <w:tcW w:w="3267"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single" w:sz="4" w:space="0" w:color="000000"/>
              <w:right w:val="nil" w:sz="6" w:space="0" w:color="auto"/>
            </w:tcBorders>
          </w:tcPr>
          <w:p>
            <w:pPr/>
          </w:p>
        </w:tc>
        <w:tc>
          <w:tcPr>
            <w:tcW w:w="788" w:type="dxa"/>
            <w:tcBorders>
              <w:top w:val="nil" w:sz="6" w:space="0" w:color="auto"/>
              <w:left w:val="nil" w:sz="6" w:space="0" w:color="auto"/>
              <w:bottom w:val="single" w:sz="4" w:space="0" w:color="000000"/>
              <w:right w:val="nil" w:sz="6" w:space="0" w:color="auto"/>
            </w:tcBorders>
          </w:tcPr>
          <w:p>
            <w:pPr>
              <w:pStyle w:val="TableParagraph"/>
              <w:spacing w:line="214" w:lineRule="exact"/>
              <w:ind w:right="12"/>
              <w:jc w:val="right"/>
              <w:rPr>
                <w:rFonts w:ascii="黑体" w:hAnsi="黑体" w:cs="黑体" w:eastAsia="黑体" w:hint="default"/>
                <w:sz w:val="20"/>
                <w:szCs w:val="20"/>
              </w:rPr>
            </w:pPr>
            <w:r>
              <w:rPr>
                <w:rFonts w:ascii="Arial" w:hAnsi="Arial" w:cs="Arial" w:eastAsia="Arial" w:hint="default"/>
                <w:spacing w:val="-1"/>
                <w:sz w:val="20"/>
                <w:szCs w:val="20"/>
              </w:rPr>
              <w:t>2012</w:t>
            </w:r>
            <w:r>
              <w:rPr>
                <w:rFonts w:ascii="黑体" w:hAnsi="黑体" w:cs="黑体" w:eastAsia="黑体" w:hint="default"/>
                <w:spacing w:val="-1"/>
                <w:sz w:val="20"/>
                <w:szCs w:val="20"/>
              </w:rPr>
              <w:t>年</w:t>
            </w:r>
          </w:p>
        </w:tc>
        <w:tc>
          <w:tcPr>
            <w:tcW w:w="420"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single" w:sz="4" w:space="0" w:color="000000"/>
              <w:right w:val="nil" w:sz="6" w:space="0" w:color="auto"/>
            </w:tcBorders>
          </w:tcPr>
          <w:p>
            <w:pPr/>
          </w:p>
        </w:tc>
        <w:tc>
          <w:tcPr>
            <w:tcW w:w="943" w:type="dxa"/>
            <w:tcBorders>
              <w:top w:val="nil" w:sz="6" w:space="0" w:color="auto"/>
              <w:left w:val="nil" w:sz="6" w:space="0" w:color="auto"/>
              <w:bottom w:val="single" w:sz="4" w:space="0" w:color="000000"/>
              <w:right w:val="nil" w:sz="6" w:space="0" w:color="auto"/>
            </w:tcBorders>
          </w:tcPr>
          <w:p>
            <w:pPr>
              <w:pStyle w:val="TableParagraph"/>
              <w:spacing w:line="214" w:lineRule="exact"/>
              <w:ind w:right="14"/>
              <w:jc w:val="right"/>
              <w:rPr>
                <w:rFonts w:ascii="黑体" w:hAnsi="黑体" w:cs="黑体" w:eastAsia="黑体" w:hint="default"/>
                <w:sz w:val="20"/>
                <w:szCs w:val="20"/>
              </w:rPr>
            </w:pPr>
            <w:r>
              <w:rPr>
                <w:rFonts w:ascii="Arial" w:hAnsi="Arial" w:cs="Arial" w:eastAsia="Arial" w:hint="default"/>
                <w:spacing w:val="-1"/>
                <w:sz w:val="20"/>
                <w:szCs w:val="20"/>
              </w:rPr>
              <w:t>2011</w:t>
            </w:r>
            <w:r>
              <w:rPr>
                <w:rFonts w:ascii="黑体" w:hAnsi="黑体" w:cs="黑体" w:eastAsia="黑体" w:hint="default"/>
                <w:spacing w:val="-1"/>
                <w:sz w:val="20"/>
                <w:szCs w:val="20"/>
              </w:rPr>
              <w:t>年</w:t>
            </w:r>
          </w:p>
        </w:tc>
      </w:tr>
      <w:tr>
        <w:trPr>
          <w:trHeight w:val="383" w:hRule="exact"/>
        </w:trPr>
        <w:tc>
          <w:tcPr>
            <w:tcW w:w="3267" w:type="dxa"/>
            <w:tcBorders>
              <w:top w:val="nil" w:sz="6" w:space="0" w:color="auto"/>
              <w:left w:val="nil" w:sz="6" w:space="0" w:color="auto"/>
              <w:bottom w:val="nil" w:sz="6" w:space="0" w:color="auto"/>
              <w:right w:val="nil" w:sz="6" w:space="0" w:color="auto"/>
            </w:tcBorders>
          </w:tcPr>
          <w:p>
            <w:pPr/>
          </w:p>
        </w:tc>
        <w:tc>
          <w:tcPr>
            <w:tcW w:w="1600" w:type="dxa"/>
            <w:tcBorders>
              <w:top w:val="single" w:sz="4" w:space="0" w:color="000000"/>
              <w:left w:val="nil" w:sz="6" w:space="0" w:color="auto"/>
              <w:bottom w:val="nil" w:sz="6" w:space="0" w:color="auto"/>
              <w:right w:val="nil" w:sz="6" w:space="0" w:color="auto"/>
            </w:tcBorders>
          </w:tcPr>
          <w:p>
            <w:pPr>
              <w:pStyle w:val="TableParagraph"/>
              <w:spacing w:line="215" w:lineRule="exact"/>
              <w:ind w:right="64"/>
              <w:jc w:val="right"/>
              <w:rPr>
                <w:rFonts w:ascii="黑体" w:hAnsi="黑体" w:cs="黑体" w:eastAsia="黑体" w:hint="default"/>
                <w:sz w:val="20"/>
                <w:szCs w:val="20"/>
              </w:rPr>
            </w:pPr>
            <w:r>
              <w:rPr>
                <w:rFonts w:ascii="黑体" w:hAnsi="黑体" w:cs="黑体" w:eastAsia="黑体" w:hint="default"/>
                <w:w w:val="95"/>
                <w:sz w:val="20"/>
                <w:szCs w:val="20"/>
              </w:rPr>
              <w:t>金额</w:t>
            </w:r>
            <w:r>
              <w:rPr>
                <w:rFonts w:ascii="黑体" w:hAnsi="黑体" w:cs="黑体" w:eastAsia="黑体" w:hint="default"/>
                <w:sz w:val="20"/>
                <w:szCs w:val="20"/>
              </w:rPr>
            </w:r>
          </w:p>
        </w:tc>
        <w:tc>
          <w:tcPr>
            <w:tcW w:w="788" w:type="dxa"/>
            <w:tcBorders>
              <w:top w:val="single" w:sz="4" w:space="0" w:color="000000"/>
              <w:left w:val="nil" w:sz="6" w:space="0" w:color="auto"/>
              <w:bottom w:val="nil" w:sz="6" w:space="0" w:color="auto"/>
              <w:right w:val="nil" w:sz="6" w:space="0" w:color="auto"/>
            </w:tcBorders>
          </w:tcPr>
          <w:p>
            <w:pPr>
              <w:pStyle w:val="TableParagraph"/>
              <w:spacing w:line="230" w:lineRule="exact"/>
              <w:ind w:right="13"/>
              <w:jc w:val="right"/>
              <w:rPr>
                <w:rFonts w:ascii="Arial" w:hAnsi="Arial" w:cs="Arial" w:eastAsia="Arial" w:hint="default"/>
                <w:sz w:val="20"/>
                <w:szCs w:val="20"/>
              </w:rPr>
            </w:pPr>
            <w:r>
              <w:rPr>
                <w:rFonts w:ascii="黑体" w:hAnsi="黑体" w:cs="黑体" w:eastAsia="黑体" w:hint="default"/>
                <w:w w:val="95"/>
                <w:sz w:val="20"/>
                <w:szCs w:val="20"/>
              </w:rPr>
              <w:t>比例</w:t>
            </w:r>
            <w:r>
              <w:rPr>
                <w:rFonts w:ascii="Arial" w:hAnsi="Arial" w:cs="Arial" w:eastAsia="Arial" w:hint="default"/>
                <w:w w:val="95"/>
                <w:sz w:val="20"/>
                <w:szCs w:val="20"/>
              </w:rPr>
              <w:t>(%)</w:t>
            </w:r>
            <w:r>
              <w:rPr>
                <w:rFonts w:ascii="Arial" w:hAnsi="Arial" w:cs="Arial" w:eastAsia="Arial" w:hint="default"/>
                <w:sz w:val="20"/>
                <w:szCs w:val="20"/>
              </w:rPr>
            </w:r>
          </w:p>
        </w:tc>
        <w:tc>
          <w:tcPr>
            <w:tcW w:w="420" w:type="dxa"/>
            <w:tcBorders>
              <w:top w:val="nil" w:sz="6" w:space="0" w:color="auto"/>
              <w:left w:val="nil" w:sz="6" w:space="0" w:color="auto"/>
              <w:bottom w:val="nil" w:sz="6" w:space="0" w:color="auto"/>
              <w:right w:val="nil" w:sz="6" w:space="0" w:color="auto"/>
            </w:tcBorders>
          </w:tcPr>
          <w:p>
            <w:pPr/>
          </w:p>
        </w:tc>
        <w:tc>
          <w:tcPr>
            <w:tcW w:w="1351" w:type="dxa"/>
            <w:tcBorders>
              <w:top w:val="single" w:sz="4" w:space="0" w:color="000000"/>
              <w:left w:val="nil" w:sz="6" w:space="0" w:color="auto"/>
              <w:bottom w:val="nil" w:sz="6" w:space="0" w:color="auto"/>
              <w:right w:val="nil" w:sz="6" w:space="0" w:color="auto"/>
            </w:tcBorders>
          </w:tcPr>
          <w:p>
            <w:pPr>
              <w:pStyle w:val="TableParagraph"/>
              <w:spacing w:line="215" w:lineRule="exact"/>
              <w:ind w:right="216"/>
              <w:jc w:val="right"/>
              <w:rPr>
                <w:rFonts w:ascii="黑体" w:hAnsi="黑体" w:cs="黑体" w:eastAsia="黑体" w:hint="default"/>
                <w:sz w:val="20"/>
                <w:szCs w:val="20"/>
              </w:rPr>
            </w:pPr>
            <w:r>
              <w:rPr>
                <w:rFonts w:ascii="黑体" w:hAnsi="黑体" w:cs="黑体" w:eastAsia="黑体" w:hint="default"/>
                <w:w w:val="95"/>
                <w:sz w:val="20"/>
                <w:szCs w:val="20"/>
              </w:rPr>
              <w:t>金额</w:t>
            </w:r>
            <w:r>
              <w:rPr>
                <w:rFonts w:ascii="黑体" w:hAnsi="黑体" w:cs="黑体" w:eastAsia="黑体" w:hint="default"/>
                <w:sz w:val="20"/>
                <w:szCs w:val="20"/>
              </w:rPr>
            </w:r>
          </w:p>
        </w:tc>
        <w:tc>
          <w:tcPr>
            <w:tcW w:w="943" w:type="dxa"/>
            <w:tcBorders>
              <w:top w:val="single" w:sz="4" w:space="0" w:color="000000"/>
              <w:left w:val="nil" w:sz="6" w:space="0" w:color="auto"/>
              <w:bottom w:val="nil" w:sz="6" w:space="0" w:color="auto"/>
              <w:right w:val="nil" w:sz="6" w:space="0" w:color="auto"/>
            </w:tcBorders>
          </w:tcPr>
          <w:p>
            <w:pPr>
              <w:pStyle w:val="TableParagraph"/>
              <w:spacing w:line="230" w:lineRule="exact"/>
              <w:ind w:right="13"/>
              <w:jc w:val="right"/>
              <w:rPr>
                <w:rFonts w:ascii="Arial" w:hAnsi="Arial" w:cs="Arial" w:eastAsia="Arial" w:hint="default"/>
                <w:sz w:val="20"/>
                <w:szCs w:val="20"/>
              </w:rPr>
            </w:pPr>
            <w:r>
              <w:rPr>
                <w:rFonts w:ascii="黑体" w:hAnsi="黑体" w:cs="黑体" w:eastAsia="黑体" w:hint="default"/>
                <w:w w:val="95"/>
                <w:sz w:val="20"/>
                <w:szCs w:val="20"/>
              </w:rPr>
              <w:t>比例</w:t>
            </w:r>
            <w:r>
              <w:rPr>
                <w:rFonts w:ascii="Arial" w:hAnsi="Arial" w:cs="Arial" w:eastAsia="Arial" w:hint="default"/>
                <w:w w:val="95"/>
                <w:sz w:val="20"/>
                <w:szCs w:val="20"/>
              </w:rPr>
              <w:t>(%)</w:t>
            </w:r>
            <w:r>
              <w:rPr>
                <w:rFonts w:ascii="Arial" w:hAnsi="Arial" w:cs="Arial" w:eastAsia="Arial" w:hint="default"/>
                <w:sz w:val="20"/>
                <w:szCs w:val="20"/>
              </w:rPr>
            </w:r>
          </w:p>
        </w:tc>
      </w:tr>
      <w:tr>
        <w:trPr>
          <w:trHeight w:val="602"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240" w:lineRule="exact" w:before="132"/>
              <w:ind w:left="420" w:right="266" w:hanging="221"/>
              <w:jc w:val="left"/>
              <w:rPr>
                <w:rFonts w:ascii="黑体" w:hAnsi="黑体" w:cs="黑体" w:eastAsia="黑体" w:hint="default"/>
                <w:sz w:val="20"/>
                <w:szCs w:val="20"/>
              </w:rPr>
            </w:pPr>
            <w:r>
              <w:rPr>
                <w:rFonts w:ascii="黑体" w:hAnsi="黑体" w:cs="黑体" w:eastAsia="黑体" w:hint="default"/>
                <w:sz w:val="20"/>
                <w:szCs w:val="20"/>
              </w:rPr>
              <w:t>董事、监事及关键管理人员薪酬</w:t>
            </w:r>
            <w:r>
              <w:rPr>
                <w:rFonts w:ascii="黑体" w:hAnsi="黑体" w:cs="黑体" w:eastAsia="黑体" w:hint="default"/>
                <w:w w:val="99"/>
                <w:sz w:val="20"/>
                <w:szCs w:val="20"/>
              </w:rPr>
              <w:t> </w:t>
            </w:r>
            <w:r>
              <w:rPr>
                <w:rFonts w:ascii="黑体" w:hAnsi="黑体" w:cs="黑体" w:eastAsia="黑体" w:hint="default"/>
                <w:sz w:val="20"/>
                <w:szCs w:val="20"/>
              </w:rPr>
              <w:t>支出金额</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27"/>
                <w:szCs w:val="27"/>
              </w:rPr>
            </w:pPr>
          </w:p>
          <w:p>
            <w:pPr>
              <w:pStyle w:val="TableParagraph"/>
              <w:spacing w:line="240" w:lineRule="auto"/>
              <w:ind w:right="65"/>
              <w:jc w:val="right"/>
              <w:rPr>
                <w:rFonts w:ascii="Arial" w:hAnsi="Arial" w:cs="Arial" w:eastAsia="Arial" w:hint="default"/>
                <w:sz w:val="20"/>
                <w:szCs w:val="20"/>
              </w:rPr>
            </w:pPr>
            <w:r>
              <w:rPr>
                <w:rFonts w:ascii="Arial"/>
                <w:w w:val="99"/>
                <w:sz w:val="20"/>
              </w:rPr>
            </w:r>
            <w:r>
              <w:rPr>
                <w:rFonts w:ascii="Arial"/>
                <w:spacing w:val="-1"/>
                <w:sz w:val="20"/>
                <w:u w:val="thick" w:color="000000"/>
              </w:rPr>
              <w:t>50,359,186</w:t>
            </w:r>
            <w:r>
              <w:rPr>
                <w:rFonts w:ascii="Arial"/>
                <w:spacing w:val="-1"/>
                <w:sz w:val="20"/>
              </w:rPr>
            </w:r>
            <w:r>
              <w:rPr>
                <w:rFonts w:ascii="Arial"/>
                <w:sz w:val="20"/>
              </w:rPr>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27"/>
                <w:szCs w:val="27"/>
              </w:rPr>
            </w:pPr>
          </w:p>
          <w:p>
            <w:pPr>
              <w:pStyle w:val="TableParagraph"/>
              <w:spacing w:line="240" w:lineRule="auto"/>
              <w:ind w:right="14"/>
              <w:jc w:val="right"/>
              <w:rPr>
                <w:rFonts w:ascii="Arial" w:hAnsi="Arial" w:cs="Arial" w:eastAsia="Arial" w:hint="default"/>
                <w:sz w:val="20"/>
                <w:szCs w:val="20"/>
              </w:rPr>
            </w:pPr>
            <w:r>
              <w:rPr>
                <w:rFonts w:ascii="Arial"/>
                <w:w w:val="99"/>
                <w:sz w:val="20"/>
              </w:rPr>
            </w:r>
            <w:r>
              <w:rPr>
                <w:rFonts w:ascii="Arial"/>
                <w:spacing w:val="-1"/>
                <w:w w:val="95"/>
                <w:sz w:val="20"/>
                <w:u w:val="thick" w:color="000000"/>
              </w:rPr>
              <w:t>100</w:t>
            </w:r>
            <w:r>
              <w:rPr>
                <w:rFonts w:ascii="Arial"/>
                <w:spacing w:val="-1"/>
                <w:w w:val="95"/>
                <w:sz w:val="20"/>
              </w:rPr>
            </w:r>
            <w:r>
              <w:rPr>
                <w:rFonts w:ascii="Arial"/>
                <w:sz w:val="20"/>
              </w:rPr>
            </w:r>
          </w:p>
        </w:tc>
        <w:tc>
          <w:tcPr>
            <w:tcW w:w="420"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27"/>
                <w:szCs w:val="27"/>
              </w:rPr>
            </w:pPr>
          </w:p>
          <w:p>
            <w:pPr>
              <w:pStyle w:val="TableParagraph"/>
              <w:spacing w:line="240" w:lineRule="auto"/>
              <w:ind w:right="216"/>
              <w:jc w:val="right"/>
              <w:rPr>
                <w:rFonts w:ascii="Arial" w:hAnsi="Arial" w:cs="Arial" w:eastAsia="Arial" w:hint="default"/>
                <w:sz w:val="20"/>
                <w:szCs w:val="20"/>
              </w:rPr>
            </w:pPr>
            <w:r>
              <w:rPr>
                <w:rFonts w:ascii="Arial"/>
                <w:w w:val="99"/>
                <w:sz w:val="20"/>
              </w:rPr>
            </w:r>
            <w:r>
              <w:rPr>
                <w:rFonts w:ascii="Arial"/>
                <w:spacing w:val="-1"/>
                <w:sz w:val="20"/>
                <w:u w:val="thick" w:color="000000"/>
              </w:rPr>
              <w:t>37,594,131</w:t>
            </w:r>
            <w:r>
              <w:rPr>
                <w:rFonts w:ascii="Arial"/>
                <w:spacing w:val="-1"/>
                <w:sz w:val="20"/>
              </w:rPr>
            </w:r>
            <w:r>
              <w:rPr>
                <w:rFonts w:ascii="Arial"/>
                <w:sz w:val="20"/>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黑体" w:hAnsi="黑体" w:cs="黑体" w:eastAsia="黑体" w:hint="default"/>
                <w:sz w:val="27"/>
                <w:szCs w:val="27"/>
              </w:rPr>
            </w:pPr>
          </w:p>
          <w:p>
            <w:pPr>
              <w:pStyle w:val="TableParagraph"/>
              <w:spacing w:line="240" w:lineRule="auto"/>
              <w:ind w:right="12"/>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pacing w:val="-30"/>
                <w:sz w:val="20"/>
                <w:u w:val="thick" w:color="000000"/>
              </w:rPr>
              <w:t> </w:t>
            </w:r>
            <w:r>
              <w:rPr>
                <w:rFonts w:ascii="Arial"/>
                <w:spacing w:val="-1"/>
                <w:w w:val="95"/>
                <w:sz w:val="20"/>
                <w:u w:val="thick" w:color="000000"/>
              </w:rPr>
              <w:t>100</w:t>
            </w:r>
            <w:r>
              <w:rPr>
                <w:rFonts w:ascii="Arial"/>
                <w:spacing w:val="-1"/>
                <w:w w:val="95"/>
                <w:sz w:val="20"/>
              </w:rPr>
            </w:r>
            <w:r>
              <w:rPr>
                <w:rFonts w:ascii="Arial"/>
                <w:sz w:val="20"/>
              </w:rPr>
            </w:r>
          </w:p>
        </w:tc>
      </w:tr>
      <w:tr>
        <w:trPr>
          <w:trHeight w:val="459" w:hRule="exact"/>
        </w:trPr>
        <w:tc>
          <w:tcPr>
            <w:tcW w:w="3267" w:type="dxa"/>
            <w:tcBorders>
              <w:top w:val="nil" w:sz="6" w:space="0" w:color="auto"/>
              <w:left w:val="nil" w:sz="6" w:space="0" w:color="auto"/>
              <w:bottom w:val="nil" w:sz="6" w:space="0" w:color="auto"/>
              <w:right w:val="nil" w:sz="6" w:space="0" w:color="auto"/>
            </w:tcBorders>
          </w:tcPr>
          <w:p>
            <w:pPr>
              <w:pStyle w:val="TableParagraph"/>
              <w:spacing w:line="198" w:lineRule="exact"/>
              <w:ind w:left="219" w:right="0"/>
              <w:jc w:val="left"/>
              <w:rPr>
                <w:rFonts w:ascii="黑体" w:hAnsi="黑体" w:cs="黑体" w:eastAsia="黑体" w:hint="default"/>
                <w:sz w:val="20"/>
                <w:szCs w:val="20"/>
              </w:rPr>
            </w:pPr>
            <w:r>
              <w:rPr>
                <w:rFonts w:ascii="黑体" w:hAnsi="黑体" w:cs="黑体" w:eastAsia="黑体" w:hint="default"/>
                <w:sz w:val="20"/>
                <w:szCs w:val="20"/>
              </w:rPr>
              <w:t>董事、监事及关键管理人员</w:t>
            </w:r>
          </w:p>
          <w:p>
            <w:pPr>
              <w:pStyle w:val="TableParagraph"/>
              <w:spacing w:line="265" w:lineRule="exact"/>
              <w:ind w:left="449" w:right="0"/>
              <w:jc w:val="left"/>
              <w:rPr>
                <w:rFonts w:ascii="Arial" w:hAnsi="Arial" w:cs="Arial" w:eastAsia="Arial" w:hint="default"/>
                <w:sz w:val="20"/>
                <w:szCs w:val="20"/>
              </w:rPr>
            </w:pPr>
            <w:r>
              <w:rPr>
                <w:rFonts w:ascii="黑体" w:hAnsi="黑体" w:cs="黑体" w:eastAsia="黑体" w:hint="default"/>
                <w:sz w:val="20"/>
                <w:szCs w:val="20"/>
              </w:rPr>
              <w:t>获授股票期权</w:t>
            </w:r>
            <w:r>
              <w:rPr>
                <w:rFonts w:ascii="Arial" w:hAnsi="Arial" w:cs="Arial" w:eastAsia="Arial" w:hint="default"/>
                <w:sz w:val="20"/>
                <w:szCs w:val="20"/>
              </w:rPr>
              <w:t>(2,150,000</w:t>
            </w:r>
            <w:r>
              <w:rPr>
                <w:rFonts w:ascii="黑体" w:hAnsi="黑体" w:cs="黑体" w:eastAsia="黑体" w:hint="default"/>
                <w:sz w:val="20"/>
                <w:szCs w:val="20"/>
              </w:rPr>
              <w:t>股</w:t>
            </w:r>
            <w:r>
              <w:rPr>
                <w:rFonts w:ascii="Arial" w:hAnsi="Arial" w:cs="Arial" w:eastAsia="Arial" w:hint="default"/>
                <w:sz w:val="20"/>
                <w:szCs w:val="20"/>
              </w:rPr>
              <w:t>)</w:t>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17"/>
                <w:szCs w:val="17"/>
              </w:rPr>
            </w:pPr>
          </w:p>
          <w:p>
            <w:pPr>
              <w:pStyle w:val="TableParagraph"/>
              <w:tabs>
                <w:tab w:pos="902" w:val="left" w:leader="none"/>
              </w:tabs>
              <w:spacing w:line="240" w:lineRule="auto"/>
              <w:ind w:right="60"/>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w w:val="95"/>
                <w:sz w:val="20"/>
                <w:u w:val="thick" w:color="000000"/>
              </w:rPr>
              <w:t>-</w:t>
            </w:r>
            <w:r>
              <w:rPr>
                <w:rFonts w:ascii="Arial"/>
                <w:w w:val="95"/>
                <w:sz w:val="20"/>
              </w:rPr>
            </w:r>
            <w:r>
              <w:rPr>
                <w:rFonts w:ascii="Arial"/>
                <w:sz w:val="20"/>
              </w:rPr>
            </w:r>
          </w:p>
        </w:tc>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17"/>
                <w:szCs w:val="17"/>
              </w:rPr>
            </w:pPr>
          </w:p>
          <w:p>
            <w:pPr>
              <w:pStyle w:val="TableParagraph"/>
              <w:tabs>
                <w:tab w:pos="302" w:val="left" w:leader="none"/>
              </w:tabs>
              <w:spacing w:line="240" w:lineRule="auto"/>
              <w:ind w:right="10"/>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w w:val="95"/>
                <w:sz w:val="20"/>
                <w:u w:val="thick" w:color="000000"/>
              </w:rPr>
              <w:t>-</w:t>
            </w:r>
            <w:r>
              <w:rPr>
                <w:rFonts w:ascii="Arial"/>
                <w:w w:val="95"/>
                <w:sz w:val="20"/>
              </w:rPr>
            </w:r>
            <w:r>
              <w:rPr>
                <w:rFonts w:ascii="Arial"/>
                <w:sz w:val="20"/>
              </w:rPr>
            </w:r>
          </w:p>
        </w:tc>
        <w:tc>
          <w:tcPr>
            <w:tcW w:w="420"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17"/>
                <w:szCs w:val="17"/>
              </w:rPr>
            </w:pPr>
          </w:p>
          <w:p>
            <w:pPr>
              <w:pStyle w:val="TableParagraph"/>
              <w:spacing w:line="240" w:lineRule="auto"/>
              <w:ind w:right="216"/>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pacing w:val="9"/>
                <w:sz w:val="20"/>
                <w:u w:val="thick" w:color="000000"/>
              </w:rPr>
              <w:t> </w:t>
            </w:r>
            <w:r>
              <w:rPr>
                <w:rFonts w:ascii="Arial"/>
                <w:spacing w:val="-1"/>
                <w:sz w:val="20"/>
                <w:u w:val="thick" w:color="000000"/>
              </w:rPr>
              <w:t>6,493,000</w:t>
            </w:r>
            <w:r>
              <w:rPr>
                <w:rFonts w:ascii="Arial"/>
                <w:spacing w:val="-1"/>
                <w:sz w:val="20"/>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sz w:val="17"/>
                <w:szCs w:val="17"/>
              </w:rPr>
            </w:pPr>
          </w:p>
          <w:p>
            <w:pPr>
              <w:pStyle w:val="TableParagraph"/>
              <w:spacing w:line="240" w:lineRule="auto"/>
              <w:ind w:right="14"/>
              <w:jc w:val="right"/>
              <w:rPr>
                <w:rFonts w:ascii="Arial" w:hAnsi="Arial" w:cs="Arial" w:eastAsia="Arial" w:hint="default"/>
                <w:sz w:val="20"/>
                <w:szCs w:val="20"/>
              </w:rPr>
            </w:pPr>
            <w:r>
              <w:rPr>
                <w:rFonts w:ascii="Arial"/>
                <w:w w:val="99"/>
                <w:sz w:val="20"/>
              </w:rPr>
            </w:r>
            <w:r>
              <w:rPr>
                <w:rFonts w:ascii="Arial"/>
                <w:spacing w:val="-1"/>
                <w:w w:val="95"/>
                <w:sz w:val="20"/>
                <w:u w:val="thick" w:color="000000"/>
              </w:rPr>
              <w:t>9.76</w:t>
            </w:r>
            <w:r>
              <w:rPr>
                <w:rFonts w:ascii="Arial"/>
                <w:spacing w:val="-1"/>
                <w:w w:val="95"/>
                <w:sz w:val="20"/>
              </w:rPr>
            </w:r>
            <w:r>
              <w:rPr>
                <w:rFonts w:ascii="Arial"/>
                <w:sz w:val="20"/>
              </w:rPr>
            </w:r>
          </w:p>
        </w:tc>
      </w:tr>
    </w:tbl>
    <w:p>
      <w:pPr>
        <w:spacing w:line="240" w:lineRule="auto" w:before="1"/>
        <w:rPr>
          <w:rFonts w:ascii="黑体" w:hAnsi="黑体" w:cs="黑体" w:eastAsia="黑体" w:hint="default"/>
          <w:sz w:val="13"/>
          <w:szCs w:val="13"/>
        </w:rPr>
      </w:pPr>
    </w:p>
    <w:p>
      <w:pPr>
        <w:pStyle w:val="BodyText"/>
        <w:spacing w:line="240" w:lineRule="exact" w:before="79"/>
        <w:ind w:left="730" w:right="0"/>
        <w:jc w:val="left"/>
      </w:pPr>
      <w:r>
        <w:rPr>
          <w:w w:val="95"/>
        </w:rPr>
        <w:t>董事、监事及关键管理人员的年度报酬总额包括基本工资、奖金</w:t>
      </w:r>
      <w:r>
        <w:rPr>
          <w:rFonts w:ascii="Arial" w:hAnsi="Arial" w:cs="Arial" w:eastAsia="Arial" w:hint="default"/>
          <w:w w:val="95"/>
        </w:rPr>
        <w:t>,</w:t>
      </w:r>
      <w:r>
        <w:rPr>
          <w:w w:val="95"/>
        </w:rPr>
        <w:t>各项补贴及股权激励所授予</w:t>
      </w:r>
      <w:r>
        <w:rPr>
          <w:spacing w:val="88"/>
          <w:w w:val="95"/>
        </w:rPr>
        <w:t> </w:t>
      </w:r>
      <w:r>
        <w:rPr>
          <w:spacing w:val="88"/>
          <w:w w:val="95"/>
        </w:rPr>
      </w:r>
      <w:r>
        <w:rPr/>
        <w:t>的股票期权的公允价值。该报酬总额包括本集团为其代扣代缴的个人所得税。</w:t>
      </w:r>
    </w:p>
    <w:p>
      <w:pPr>
        <w:spacing w:line="240" w:lineRule="auto" w:before="2"/>
        <w:rPr>
          <w:rFonts w:ascii="黑体" w:hAnsi="黑体" w:cs="黑体" w:eastAsia="黑体" w:hint="default"/>
          <w:sz w:val="15"/>
          <w:szCs w:val="15"/>
        </w:rPr>
      </w:pPr>
    </w:p>
    <w:p>
      <w:pPr>
        <w:pStyle w:val="BodyText"/>
        <w:spacing w:line="240" w:lineRule="auto"/>
        <w:ind w:left="730" w:right="0"/>
        <w:jc w:val="left"/>
      </w:pPr>
      <w:r>
        <w:rPr/>
        <w:t>本公司向关联方公司进行交易的价格由交易双方参照市场价格后协商确定。</w:t>
      </w:r>
    </w:p>
    <w:p>
      <w:pPr>
        <w:spacing w:after="0" w:line="240" w:lineRule="auto"/>
        <w:jc w:val="left"/>
        <w:sectPr>
          <w:pgSz w:w="11910" w:h="16850"/>
          <w:pgMar w:header="957" w:footer="473" w:top="2600" w:bottom="660" w:left="1600" w:right="1300"/>
        </w:sectPr>
      </w:pPr>
    </w:p>
    <w:p>
      <w:pPr>
        <w:spacing w:line="240" w:lineRule="auto" w:before="0"/>
        <w:rPr>
          <w:rFonts w:ascii="黑体" w:hAnsi="黑体" w:cs="黑体" w:eastAsia="黑体" w:hint="default"/>
          <w:sz w:val="19"/>
          <w:szCs w:val="19"/>
        </w:rPr>
      </w:pPr>
    </w:p>
    <w:p>
      <w:pPr>
        <w:pStyle w:val="Heading6"/>
        <w:spacing w:line="240" w:lineRule="auto"/>
        <w:ind w:left="121" w:right="94"/>
        <w:jc w:val="left"/>
        <w:rPr>
          <w:b w:val="0"/>
          <w:bCs w:val="0"/>
        </w:rPr>
      </w:pPr>
      <w:r>
        <w:rPr/>
        <w:t>十三、公司财务报表主要项目注释（续）</w:t>
      </w:r>
      <w:r>
        <w:rPr>
          <w:b w:val="0"/>
          <w:bCs w:val="0"/>
        </w:rPr>
      </w:r>
    </w:p>
    <w:p>
      <w:pPr>
        <w:spacing w:line="240" w:lineRule="auto" w:before="11"/>
        <w:rPr>
          <w:rFonts w:ascii="黑体" w:hAnsi="黑体" w:cs="黑体" w:eastAsia="黑体" w:hint="default"/>
          <w:b/>
          <w:bCs/>
          <w:sz w:val="16"/>
          <w:szCs w:val="16"/>
        </w:rPr>
      </w:pPr>
    </w:p>
    <w:p>
      <w:pPr>
        <w:pStyle w:val="Heading6"/>
        <w:tabs>
          <w:tab w:pos="750" w:val="left" w:leader="none"/>
        </w:tabs>
        <w:spacing w:line="240" w:lineRule="auto" w:before="0"/>
        <w:ind w:left="107" w:right="94"/>
        <w:jc w:val="left"/>
        <w:rPr>
          <w:b w:val="0"/>
          <w:bCs w:val="0"/>
        </w:rPr>
      </w:pPr>
      <w:r>
        <w:rPr>
          <w:rFonts w:ascii="Arial" w:hAnsi="Arial" w:cs="Arial" w:eastAsia="Arial" w:hint="default"/>
          <w:spacing w:val="-1"/>
          <w:w w:val="95"/>
        </w:rPr>
        <w:t>42.</w:t>
        <w:tab/>
      </w:r>
      <w:bookmarkStart w:name="42.    关联方应收应付款项余额" w:id="161"/>
      <w:bookmarkEnd w:id="161"/>
      <w:r>
        <w:rPr>
          <w:rFonts w:ascii="Arial" w:hAnsi="Arial" w:cs="Arial" w:eastAsia="Arial" w:hint="default"/>
          <w:spacing w:val="-1"/>
          <w:w w:val="95"/>
        </w:rPr>
      </w:r>
      <w:r>
        <w:rPr>
          <w:spacing w:val="1"/>
        </w:rPr>
        <w:t>关联方应收应付款项余额</w:t>
      </w:r>
      <w:r>
        <w:rPr>
          <w:b w:val="0"/>
          <w:bCs w:val="0"/>
        </w:rPr>
      </w:r>
    </w:p>
    <w:p>
      <w:pPr>
        <w:spacing w:line="240" w:lineRule="auto" w:before="3"/>
        <w:rPr>
          <w:rFonts w:ascii="黑体" w:hAnsi="黑体" w:cs="黑体" w:eastAsia="黑体" w:hint="default"/>
          <w:b/>
          <w:bCs/>
          <w:sz w:val="17"/>
          <w:szCs w:val="17"/>
        </w:rPr>
      </w:pPr>
    </w:p>
    <w:tbl>
      <w:tblPr>
        <w:tblW w:w="0" w:type="auto"/>
        <w:jc w:val="left"/>
        <w:tblInd w:w="526" w:type="dxa"/>
        <w:tblLayout w:type="fixed"/>
        <w:tblCellMar>
          <w:top w:w="0" w:type="dxa"/>
          <w:left w:w="0" w:type="dxa"/>
          <w:bottom w:w="0" w:type="dxa"/>
          <w:right w:w="0" w:type="dxa"/>
        </w:tblCellMar>
        <w:tblLook w:val="01E0"/>
      </w:tblPr>
      <w:tblGrid>
        <w:gridCol w:w="2564"/>
        <w:gridCol w:w="1743"/>
        <w:gridCol w:w="1288"/>
        <w:gridCol w:w="1725"/>
        <w:gridCol w:w="1208"/>
      </w:tblGrid>
      <w:tr>
        <w:trPr>
          <w:trHeight w:val="252" w:hRule="exact"/>
        </w:trPr>
        <w:tc>
          <w:tcPr>
            <w:tcW w:w="2564"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Style w:val="TableParagraph"/>
              <w:spacing w:line="214" w:lineRule="exact"/>
              <w:ind w:left="1005" w:right="0"/>
              <w:jc w:val="left"/>
              <w:rPr>
                <w:rFonts w:ascii="黑体" w:hAnsi="黑体" w:cs="黑体" w:eastAsia="黑体" w:hint="default"/>
                <w:sz w:val="20"/>
                <w:szCs w:val="20"/>
              </w:rPr>
            </w:pPr>
            <w:r>
              <w:rPr>
                <w:rFonts w:ascii="Arial" w:hAnsi="Arial" w:cs="Arial" w:eastAsia="Arial" w:hint="default"/>
                <w:sz w:val="20"/>
                <w:szCs w:val="20"/>
              </w:rPr>
              <w:t>2012</w:t>
            </w:r>
            <w:r>
              <w:rPr>
                <w:rFonts w:ascii="黑体" w:hAnsi="黑体" w:cs="黑体" w:eastAsia="黑体" w:hint="default"/>
                <w:sz w:val="20"/>
                <w:szCs w:val="20"/>
              </w:rPr>
              <w:t>年</w:t>
            </w:r>
          </w:p>
        </w:tc>
        <w:tc>
          <w:tcPr>
            <w:tcW w:w="1288" w:type="dxa"/>
            <w:tcBorders>
              <w:top w:val="nil" w:sz="6" w:space="0" w:color="auto"/>
              <w:left w:val="nil" w:sz="6" w:space="0" w:color="auto"/>
              <w:bottom w:val="nil" w:sz="6" w:space="0" w:color="auto"/>
              <w:right w:val="nil" w:sz="6" w:space="0" w:color="auto"/>
            </w:tcBorders>
          </w:tcPr>
          <w:p>
            <w:pPr/>
          </w:p>
        </w:tc>
        <w:tc>
          <w:tcPr>
            <w:tcW w:w="1725" w:type="dxa"/>
            <w:tcBorders>
              <w:top w:val="nil" w:sz="6" w:space="0" w:color="auto"/>
              <w:left w:val="nil" w:sz="6" w:space="0" w:color="auto"/>
              <w:bottom w:val="nil" w:sz="6" w:space="0" w:color="auto"/>
              <w:right w:val="nil" w:sz="6" w:space="0" w:color="auto"/>
            </w:tcBorders>
          </w:tcPr>
          <w:p>
            <w:pPr>
              <w:pStyle w:val="TableParagraph"/>
              <w:spacing w:line="214" w:lineRule="exact"/>
              <w:ind w:left="1052" w:right="0"/>
              <w:jc w:val="left"/>
              <w:rPr>
                <w:rFonts w:ascii="黑体" w:hAnsi="黑体" w:cs="黑体" w:eastAsia="黑体" w:hint="default"/>
                <w:sz w:val="20"/>
                <w:szCs w:val="20"/>
              </w:rPr>
            </w:pPr>
            <w:r>
              <w:rPr>
                <w:rFonts w:ascii="Arial" w:hAnsi="Arial" w:cs="Arial" w:eastAsia="Arial" w:hint="default"/>
                <w:sz w:val="20"/>
                <w:szCs w:val="20"/>
              </w:rPr>
              <w:t>2011</w:t>
            </w:r>
            <w:r>
              <w:rPr>
                <w:rFonts w:ascii="黑体" w:hAnsi="黑体" w:cs="黑体" w:eastAsia="黑体" w:hint="default"/>
                <w:sz w:val="20"/>
                <w:szCs w:val="20"/>
              </w:rPr>
              <w:t>年</w:t>
            </w:r>
          </w:p>
        </w:tc>
        <w:tc>
          <w:tcPr>
            <w:tcW w:w="1208" w:type="dxa"/>
            <w:tcBorders>
              <w:top w:val="nil" w:sz="6" w:space="0" w:color="auto"/>
              <w:left w:val="nil" w:sz="6" w:space="0" w:color="auto"/>
              <w:bottom w:val="nil" w:sz="6" w:space="0" w:color="auto"/>
              <w:right w:val="nil" w:sz="6" w:space="0" w:color="auto"/>
            </w:tcBorders>
          </w:tcPr>
          <w:p>
            <w:pPr/>
          </w:p>
        </w:tc>
      </w:tr>
      <w:tr>
        <w:trPr>
          <w:trHeight w:val="374" w:hRule="exact"/>
        </w:trPr>
        <w:tc>
          <w:tcPr>
            <w:tcW w:w="2564"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Style w:val="TableParagraph"/>
              <w:spacing w:line="242" w:lineRule="exact"/>
              <w:ind w:left="633" w:right="0"/>
              <w:jc w:val="left"/>
              <w:rPr>
                <w:rFonts w:ascii="黑体" w:hAnsi="黑体" w:cs="黑体" w:eastAsia="黑体" w:hint="default"/>
                <w:sz w:val="20"/>
                <w:szCs w:val="20"/>
              </w:rPr>
            </w:pPr>
            <w:r>
              <w:rPr>
                <w:rFonts w:ascii="黑体" w:hAnsi="黑体" w:cs="黑体" w:eastAsia="黑体" w:hint="default"/>
                <w:sz w:val="20"/>
                <w:szCs w:val="20"/>
              </w:rPr>
              <w:t>账面余额</w:t>
            </w:r>
          </w:p>
        </w:tc>
        <w:tc>
          <w:tcPr>
            <w:tcW w:w="1288" w:type="dxa"/>
            <w:tcBorders>
              <w:top w:val="nil" w:sz="6" w:space="0" w:color="auto"/>
              <w:left w:val="nil" w:sz="6" w:space="0" w:color="auto"/>
              <w:bottom w:val="nil" w:sz="6" w:space="0" w:color="auto"/>
              <w:right w:val="nil" w:sz="6" w:space="0" w:color="auto"/>
            </w:tcBorders>
          </w:tcPr>
          <w:p>
            <w:pPr>
              <w:pStyle w:val="TableParagraph"/>
              <w:spacing w:line="242" w:lineRule="exact"/>
              <w:ind w:right="394"/>
              <w:jc w:val="right"/>
              <w:rPr>
                <w:rFonts w:ascii="黑体" w:hAnsi="黑体" w:cs="黑体" w:eastAsia="黑体" w:hint="default"/>
                <w:sz w:val="20"/>
                <w:szCs w:val="20"/>
              </w:rPr>
            </w:pPr>
            <w:r>
              <w:rPr>
                <w:rFonts w:ascii="黑体" w:hAnsi="黑体" w:cs="黑体" w:eastAsia="黑体" w:hint="default"/>
                <w:w w:val="95"/>
                <w:sz w:val="20"/>
                <w:szCs w:val="20"/>
              </w:rPr>
              <w:t>坏账准备</w:t>
            </w:r>
            <w:r>
              <w:rPr>
                <w:rFonts w:ascii="黑体" w:hAnsi="黑体" w:cs="黑体" w:eastAsia="黑体" w:hint="default"/>
                <w:sz w:val="20"/>
                <w:szCs w:val="20"/>
              </w:rPr>
            </w:r>
          </w:p>
        </w:tc>
        <w:tc>
          <w:tcPr>
            <w:tcW w:w="1725" w:type="dxa"/>
            <w:tcBorders>
              <w:top w:val="nil" w:sz="6" w:space="0" w:color="auto"/>
              <w:left w:val="nil" w:sz="6" w:space="0" w:color="auto"/>
              <w:bottom w:val="nil" w:sz="6" w:space="0" w:color="auto"/>
              <w:right w:val="nil" w:sz="6" w:space="0" w:color="auto"/>
            </w:tcBorders>
          </w:tcPr>
          <w:p>
            <w:pPr>
              <w:pStyle w:val="TableParagraph"/>
              <w:spacing w:line="242" w:lineRule="exact"/>
              <w:ind w:left="716" w:right="0"/>
              <w:jc w:val="left"/>
              <w:rPr>
                <w:rFonts w:ascii="黑体" w:hAnsi="黑体" w:cs="黑体" w:eastAsia="黑体" w:hint="default"/>
                <w:sz w:val="20"/>
                <w:szCs w:val="20"/>
              </w:rPr>
            </w:pPr>
            <w:r>
              <w:rPr>
                <w:rFonts w:ascii="黑体" w:hAnsi="黑体" w:cs="黑体" w:eastAsia="黑体" w:hint="default"/>
                <w:sz w:val="20"/>
                <w:szCs w:val="20"/>
              </w:rPr>
              <w:t>账面余额</w:t>
            </w:r>
          </w:p>
        </w:tc>
        <w:tc>
          <w:tcPr>
            <w:tcW w:w="1208" w:type="dxa"/>
            <w:tcBorders>
              <w:top w:val="nil" w:sz="6" w:space="0" w:color="auto"/>
              <w:left w:val="nil" w:sz="6" w:space="0" w:color="auto"/>
              <w:bottom w:val="nil" w:sz="6" w:space="0" w:color="auto"/>
              <w:right w:val="nil" w:sz="6" w:space="0" w:color="auto"/>
            </w:tcBorders>
          </w:tcPr>
          <w:p>
            <w:pPr>
              <w:pStyle w:val="TableParagraph"/>
              <w:spacing w:line="242" w:lineRule="exact"/>
              <w:ind w:right="198"/>
              <w:jc w:val="right"/>
              <w:rPr>
                <w:rFonts w:ascii="黑体" w:hAnsi="黑体" w:cs="黑体" w:eastAsia="黑体" w:hint="default"/>
                <w:sz w:val="20"/>
                <w:szCs w:val="20"/>
              </w:rPr>
            </w:pPr>
            <w:r>
              <w:rPr>
                <w:rFonts w:ascii="黑体" w:hAnsi="黑体" w:cs="黑体" w:eastAsia="黑体" w:hint="default"/>
                <w:w w:val="95"/>
                <w:sz w:val="20"/>
                <w:szCs w:val="20"/>
              </w:rPr>
              <w:t>坏账准备</w:t>
            </w:r>
            <w:r>
              <w:rPr>
                <w:rFonts w:ascii="黑体" w:hAnsi="黑体" w:cs="黑体" w:eastAsia="黑体" w:hint="default"/>
                <w:sz w:val="20"/>
                <w:szCs w:val="20"/>
              </w:rPr>
            </w:r>
          </w:p>
        </w:tc>
      </w:tr>
      <w:tr>
        <w:trPr>
          <w:trHeight w:val="341" w:hRule="exact"/>
        </w:trPr>
        <w:tc>
          <w:tcPr>
            <w:tcW w:w="2564"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00" w:right="0"/>
              <w:jc w:val="left"/>
              <w:rPr>
                <w:rFonts w:ascii="黑体" w:hAnsi="黑体" w:cs="黑体" w:eastAsia="黑体" w:hint="default"/>
                <w:sz w:val="20"/>
                <w:szCs w:val="20"/>
              </w:rPr>
            </w:pPr>
            <w:r>
              <w:rPr>
                <w:rFonts w:ascii="黑体" w:hAnsi="黑体" w:cs="黑体" w:eastAsia="黑体" w:hint="default"/>
                <w:sz w:val="20"/>
                <w:szCs w:val="20"/>
              </w:rPr>
              <w:t>应收账款</w:t>
            </w:r>
          </w:p>
        </w:tc>
        <w:tc>
          <w:tcPr>
            <w:tcW w:w="1743" w:type="dxa"/>
            <w:tcBorders>
              <w:top w:val="nil" w:sz="6" w:space="0" w:color="auto"/>
              <w:left w:val="nil" w:sz="6" w:space="0" w:color="auto"/>
              <w:bottom w:val="nil" w:sz="6" w:space="0" w:color="auto"/>
              <w:right w:val="nil" w:sz="6" w:space="0" w:color="auto"/>
            </w:tcBorders>
          </w:tcPr>
          <w:p>
            <w:pPr/>
          </w:p>
        </w:tc>
        <w:tc>
          <w:tcPr>
            <w:tcW w:w="1288" w:type="dxa"/>
            <w:tcBorders>
              <w:top w:val="nil" w:sz="6" w:space="0" w:color="auto"/>
              <w:left w:val="nil" w:sz="6" w:space="0" w:color="auto"/>
              <w:bottom w:val="nil" w:sz="6" w:space="0" w:color="auto"/>
              <w:right w:val="nil" w:sz="6" w:space="0" w:color="auto"/>
            </w:tcBorders>
          </w:tcPr>
          <w:p>
            <w:pPr/>
          </w:p>
        </w:tc>
        <w:tc>
          <w:tcPr>
            <w:tcW w:w="1725"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r>
      <w:tr>
        <w:trPr>
          <w:trHeight w:val="335" w:hRule="exact"/>
        </w:trPr>
        <w:tc>
          <w:tcPr>
            <w:tcW w:w="2564" w:type="dxa"/>
            <w:tcBorders>
              <w:top w:val="nil" w:sz="6" w:space="0" w:color="auto"/>
              <w:left w:val="nil" w:sz="6" w:space="0" w:color="auto"/>
              <w:bottom w:val="nil" w:sz="6" w:space="0" w:color="auto"/>
              <w:right w:val="nil" w:sz="6" w:space="0" w:color="auto"/>
            </w:tcBorders>
          </w:tcPr>
          <w:p>
            <w:pPr>
              <w:pStyle w:val="TableParagraph"/>
              <w:spacing w:line="209" w:lineRule="exact"/>
              <w:ind w:left="392" w:right="0"/>
              <w:jc w:val="left"/>
              <w:rPr>
                <w:rFonts w:ascii="黑体" w:hAnsi="黑体" w:cs="黑体" w:eastAsia="黑体" w:hint="default"/>
                <w:sz w:val="20"/>
                <w:szCs w:val="20"/>
              </w:rPr>
            </w:pPr>
            <w:r>
              <w:rPr>
                <w:rFonts w:ascii="黑体" w:hAnsi="黑体" w:cs="黑体" w:eastAsia="黑体" w:hint="default"/>
                <w:sz w:val="20"/>
                <w:szCs w:val="20"/>
              </w:rPr>
              <w:t>致远协创</w:t>
            </w:r>
          </w:p>
        </w:tc>
        <w:tc>
          <w:tcPr>
            <w:tcW w:w="1743" w:type="dxa"/>
            <w:tcBorders>
              <w:top w:val="nil" w:sz="6" w:space="0" w:color="auto"/>
              <w:left w:val="nil" w:sz="6" w:space="0" w:color="auto"/>
              <w:bottom w:val="nil" w:sz="6" w:space="0" w:color="auto"/>
              <w:right w:val="nil" w:sz="6" w:space="0" w:color="auto"/>
            </w:tcBorders>
          </w:tcPr>
          <w:p>
            <w:pPr>
              <w:pStyle w:val="TableParagraph"/>
              <w:tabs>
                <w:tab w:pos="902" w:val="left" w:leader="none"/>
                <w:tab w:pos="2107" w:val="left" w:leader="none"/>
              </w:tabs>
              <w:spacing w:line="223" w:lineRule="exact"/>
              <w:ind w:right="-827"/>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w w:val="95"/>
                <w:sz w:val="20"/>
                <w:u w:val="thick" w:color="000000"/>
              </w:rPr>
              <w:t>-</w:t>
            </w:r>
            <w:r>
              <w:rPr>
                <w:rFonts w:ascii="Arial"/>
                <w:w w:val="95"/>
                <w:sz w:val="20"/>
              </w:rPr>
            </w:r>
            <w:r>
              <w:rPr>
                <w:rFonts w:ascii="Arial"/>
                <w:sz w:val="20"/>
              </w:rPr>
              <w:t> </w:t>
            </w:r>
            <w:r>
              <w:rPr>
                <w:rFonts w:ascii="Arial"/>
                <w:spacing w:val="26"/>
                <w:sz w:val="20"/>
              </w:rPr>
              <w:t> </w:t>
            </w:r>
            <w:r>
              <w:rPr>
                <w:rFonts w:ascii="Arial"/>
                <w:spacing w:val="26"/>
                <w:w w:val="99"/>
                <w:sz w:val="20"/>
              </w:rPr>
            </w:r>
            <w:r>
              <w:rPr>
                <w:rFonts w:ascii="Arial"/>
                <w:w w:val="99"/>
                <w:sz w:val="20"/>
                <w:u w:val="thick" w:color="000000"/>
              </w:rPr>
              <w:t> </w:t>
            </w:r>
            <w:r>
              <w:rPr>
                <w:rFonts w:ascii="Arial"/>
                <w:sz w:val="20"/>
                <w:u w:val="thick" w:color="000000"/>
              </w:rPr>
              <w:tab/>
            </w:r>
            <w:r>
              <w:rPr>
                <w:rFonts w:ascii="Arial"/>
                <w:sz w:val="20"/>
              </w:rPr>
            </w:r>
          </w:p>
        </w:tc>
        <w:tc>
          <w:tcPr>
            <w:tcW w:w="1288" w:type="dxa"/>
            <w:tcBorders>
              <w:top w:val="nil" w:sz="6" w:space="0" w:color="auto"/>
              <w:left w:val="nil" w:sz="6" w:space="0" w:color="auto"/>
              <w:bottom w:val="nil" w:sz="6" w:space="0" w:color="auto"/>
              <w:right w:val="nil" w:sz="6" w:space="0" w:color="auto"/>
            </w:tcBorders>
          </w:tcPr>
          <w:p>
            <w:pPr>
              <w:pStyle w:val="TableParagraph"/>
              <w:spacing w:line="223" w:lineRule="exact"/>
              <w:ind w:right="393"/>
              <w:jc w:val="right"/>
              <w:rPr>
                <w:rFonts w:ascii="Arial" w:hAnsi="Arial" w:cs="Arial" w:eastAsia="Arial" w:hint="default"/>
                <w:sz w:val="20"/>
                <w:szCs w:val="20"/>
              </w:rPr>
            </w:pPr>
            <w:r>
              <w:rPr>
                <w:rFonts w:ascii="Arial"/>
                <w:w w:val="99"/>
                <w:sz w:val="20"/>
              </w:rPr>
            </w:r>
            <w:r>
              <w:rPr>
                <w:rFonts w:ascii="Arial"/>
                <w:w w:val="99"/>
                <w:sz w:val="20"/>
                <w:u w:val="thick" w:color="000000"/>
              </w:rPr>
              <w:t>-</w:t>
            </w:r>
            <w:r>
              <w:rPr>
                <w:rFonts w:ascii="Arial"/>
                <w:w w:val="99"/>
                <w:sz w:val="20"/>
              </w:rPr>
            </w:r>
            <w:r>
              <w:rPr>
                <w:rFonts w:ascii="Arial"/>
                <w:sz w:val="20"/>
              </w:rPr>
            </w:r>
          </w:p>
        </w:tc>
        <w:tc>
          <w:tcPr>
            <w:tcW w:w="1725" w:type="dxa"/>
            <w:tcBorders>
              <w:top w:val="nil" w:sz="6" w:space="0" w:color="auto"/>
              <w:left w:val="nil" w:sz="6" w:space="0" w:color="auto"/>
              <w:bottom w:val="nil" w:sz="6" w:space="0" w:color="auto"/>
              <w:right w:val="nil" w:sz="6" w:space="0" w:color="auto"/>
            </w:tcBorders>
          </w:tcPr>
          <w:p>
            <w:pPr>
              <w:pStyle w:val="TableParagraph"/>
              <w:tabs>
                <w:tab w:pos="786" w:val="left" w:leader="none"/>
              </w:tabs>
              <w:spacing w:line="223" w:lineRule="exact"/>
              <w:ind w:left="383" w:right="0"/>
              <w:jc w:val="lef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t>104,290</w:t>
            </w:r>
            <w:r>
              <w:rPr>
                <w:rFonts w:ascii="Arial"/>
                <w:sz w:val="20"/>
              </w:rPr>
            </w:r>
          </w:p>
        </w:tc>
        <w:tc>
          <w:tcPr>
            <w:tcW w:w="1208" w:type="dxa"/>
            <w:tcBorders>
              <w:top w:val="nil" w:sz="6" w:space="0" w:color="auto"/>
              <w:left w:val="nil" w:sz="6" w:space="0" w:color="auto"/>
              <w:bottom w:val="nil" w:sz="6" w:space="0" w:color="auto"/>
              <w:right w:val="nil" w:sz="6" w:space="0" w:color="auto"/>
            </w:tcBorders>
          </w:tcPr>
          <w:p>
            <w:pPr>
              <w:pStyle w:val="TableParagraph"/>
              <w:tabs>
                <w:tab w:pos="861" w:val="left" w:leader="none"/>
              </w:tabs>
              <w:spacing w:line="223" w:lineRule="exact"/>
              <w:ind w:right="206"/>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w w:val="95"/>
                <w:sz w:val="20"/>
                <w:u w:val="thick" w:color="000000"/>
              </w:rPr>
              <w:t>-</w:t>
            </w:r>
            <w:r>
              <w:rPr>
                <w:rFonts w:ascii="Arial"/>
                <w:w w:val="95"/>
                <w:sz w:val="20"/>
              </w:rPr>
            </w:r>
            <w:r>
              <w:rPr>
                <w:rFonts w:ascii="Arial"/>
                <w:sz w:val="20"/>
              </w:rPr>
            </w:r>
          </w:p>
        </w:tc>
      </w:tr>
      <w:tr>
        <w:trPr>
          <w:trHeight w:val="325" w:hRule="exact"/>
        </w:trPr>
        <w:tc>
          <w:tcPr>
            <w:tcW w:w="256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00" w:right="0"/>
              <w:jc w:val="left"/>
              <w:rPr>
                <w:rFonts w:ascii="黑体" w:hAnsi="黑体" w:cs="黑体" w:eastAsia="黑体" w:hint="default"/>
                <w:sz w:val="20"/>
                <w:szCs w:val="20"/>
              </w:rPr>
            </w:pPr>
            <w:r>
              <w:rPr>
                <w:rFonts w:ascii="黑体" w:hAnsi="黑体" w:cs="黑体" w:eastAsia="黑体" w:hint="default"/>
                <w:sz w:val="20"/>
                <w:szCs w:val="20"/>
              </w:rPr>
              <w:t>其他应收款</w:t>
            </w:r>
          </w:p>
        </w:tc>
        <w:tc>
          <w:tcPr>
            <w:tcW w:w="1743" w:type="dxa"/>
            <w:tcBorders>
              <w:top w:val="nil" w:sz="6" w:space="0" w:color="auto"/>
              <w:left w:val="nil" w:sz="6" w:space="0" w:color="auto"/>
              <w:bottom w:val="nil" w:sz="6" w:space="0" w:color="auto"/>
              <w:right w:val="nil" w:sz="6" w:space="0" w:color="auto"/>
            </w:tcBorders>
          </w:tcPr>
          <w:p>
            <w:pPr/>
          </w:p>
        </w:tc>
        <w:tc>
          <w:tcPr>
            <w:tcW w:w="1288" w:type="dxa"/>
            <w:tcBorders>
              <w:top w:val="nil" w:sz="6" w:space="0" w:color="auto"/>
              <w:left w:val="nil" w:sz="6" w:space="0" w:color="auto"/>
              <w:bottom w:val="nil" w:sz="6" w:space="0" w:color="auto"/>
              <w:right w:val="nil" w:sz="6" w:space="0" w:color="auto"/>
            </w:tcBorders>
          </w:tcPr>
          <w:p>
            <w:pPr/>
          </w:p>
        </w:tc>
        <w:tc>
          <w:tcPr>
            <w:tcW w:w="1725"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r>
      <w:tr>
        <w:trPr>
          <w:trHeight w:val="224" w:hRule="exact"/>
        </w:trPr>
        <w:tc>
          <w:tcPr>
            <w:tcW w:w="2564" w:type="dxa"/>
            <w:tcBorders>
              <w:top w:val="nil" w:sz="6" w:space="0" w:color="auto"/>
              <w:left w:val="nil" w:sz="6" w:space="0" w:color="auto"/>
              <w:bottom w:val="nil" w:sz="6" w:space="0" w:color="auto"/>
              <w:right w:val="nil" w:sz="6" w:space="0" w:color="auto"/>
            </w:tcBorders>
          </w:tcPr>
          <w:p>
            <w:pPr>
              <w:pStyle w:val="TableParagraph"/>
              <w:spacing w:line="209" w:lineRule="exact"/>
              <w:ind w:left="392" w:right="0"/>
              <w:jc w:val="left"/>
              <w:rPr>
                <w:rFonts w:ascii="黑体" w:hAnsi="黑体" w:cs="黑体" w:eastAsia="黑体" w:hint="default"/>
                <w:sz w:val="20"/>
                <w:szCs w:val="20"/>
              </w:rPr>
            </w:pPr>
            <w:r>
              <w:rPr>
                <w:rFonts w:ascii="黑体" w:hAnsi="黑体" w:cs="黑体" w:eastAsia="黑体" w:hint="default"/>
                <w:sz w:val="20"/>
                <w:szCs w:val="20"/>
              </w:rPr>
              <w:t>深圳用友</w:t>
            </w:r>
          </w:p>
        </w:tc>
        <w:tc>
          <w:tcPr>
            <w:tcW w:w="1743" w:type="dxa"/>
            <w:tcBorders>
              <w:top w:val="nil" w:sz="6" w:space="0" w:color="auto"/>
              <w:left w:val="nil" w:sz="6" w:space="0" w:color="auto"/>
              <w:bottom w:val="nil" w:sz="6" w:space="0" w:color="auto"/>
              <w:right w:val="nil" w:sz="6" w:space="0" w:color="auto"/>
            </w:tcBorders>
          </w:tcPr>
          <w:p>
            <w:pPr>
              <w:pStyle w:val="TableParagraph"/>
              <w:spacing w:line="223" w:lineRule="exact"/>
              <w:ind w:left="429" w:right="0"/>
              <w:jc w:val="left"/>
              <w:rPr>
                <w:rFonts w:ascii="Arial" w:hAnsi="Arial" w:cs="Arial" w:eastAsia="Arial" w:hint="default"/>
                <w:sz w:val="20"/>
                <w:szCs w:val="20"/>
              </w:rPr>
            </w:pPr>
            <w:r>
              <w:rPr>
                <w:rFonts w:ascii="Arial"/>
                <w:sz w:val="20"/>
              </w:rPr>
              <w:t>54,526,502</w:t>
            </w:r>
          </w:p>
        </w:tc>
        <w:tc>
          <w:tcPr>
            <w:tcW w:w="1288" w:type="dxa"/>
            <w:tcBorders>
              <w:top w:val="nil" w:sz="6" w:space="0" w:color="auto"/>
              <w:left w:val="nil" w:sz="6" w:space="0" w:color="auto"/>
              <w:bottom w:val="nil" w:sz="6" w:space="0" w:color="auto"/>
              <w:right w:val="nil" w:sz="6" w:space="0" w:color="auto"/>
            </w:tcBorders>
          </w:tcPr>
          <w:p>
            <w:pPr>
              <w:pStyle w:val="TableParagraph"/>
              <w:spacing w:line="223" w:lineRule="exact"/>
              <w:ind w:right="395"/>
              <w:jc w:val="right"/>
              <w:rPr>
                <w:rFonts w:ascii="Arial" w:hAnsi="Arial" w:cs="Arial" w:eastAsia="Arial" w:hint="default"/>
                <w:sz w:val="20"/>
                <w:szCs w:val="20"/>
              </w:rPr>
            </w:pPr>
            <w:r>
              <w:rPr>
                <w:rFonts w:ascii="Arial"/>
                <w:w w:val="99"/>
                <w:sz w:val="20"/>
              </w:rPr>
              <w:t>-</w:t>
            </w:r>
            <w:r>
              <w:rPr>
                <w:rFonts w:ascii="Arial"/>
                <w:sz w:val="20"/>
              </w:rPr>
            </w:r>
          </w:p>
        </w:tc>
        <w:tc>
          <w:tcPr>
            <w:tcW w:w="1725" w:type="dxa"/>
            <w:tcBorders>
              <w:top w:val="nil" w:sz="6" w:space="0" w:color="auto"/>
              <w:left w:val="nil" w:sz="6" w:space="0" w:color="auto"/>
              <w:bottom w:val="nil" w:sz="6" w:space="0" w:color="auto"/>
              <w:right w:val="nil" w:sz="6" w:space="0" w:color="auto"/>
            </w:tcBorders>
          </w:tcPr>
          <w:p>
            <w:pPr>
              <w:pStyle w:val="TableParagraph"/>
              <w:spacing w:line="223" w:lineRule="exact"/>
              <w:ind w:left="505" w:right="0"/>
              <w:jc w:val="left"/>
              <w:rPr>
                <w:rFonts w:ascii="Arial" w:hAnsi="Arial" w:cs="Arial" w:eastAsia="Arial" w:hint="default"/>
                <w:sz w:val="20"/>
                <w:szCs w:val="20"/>
              </w:rPr>
            </w:pPr>
            <w:r>
              <w:rPr>
                <w:rFonts w:ascii="Arial"/>
                <w:sz w:val="20"/>
              </w:rPr>
              <w:t>45,483,760</w:t>
            </w:r>
          </w:p>
        </w:tc>
        <w:tc>
          <w:tcPr>
            <w:tcW w:w="1208" w:type="dxa"/>
            <w:tcBorders>
              <w:top w:val="nil" w:sz="6" w:space="0" w:color="auto"/>
              <w:left w:val="nil" w:sz="6" w:space="0" w:color="auto"/>
              <w:bottom w:val="nil" w:sz="6" w:space="0" w:color="auto"/>
              <w:right w:val="nil" w:sz="6" w:space="0" w:color="auto"/>
            </w:tcBorders>
          </w:tcPr>
          <w:p>
            <w:pPr>
              <w:pStyle w:val="TableParagraph"/>
              <w:spacing w:line="223" w:lineRule="exact"/>
              <w:ind w:right="208"/>
              <w:jc w:val="right"/>
              <w:rPr>
                <w:rFonts w:ascii="Arial" w:hAnsi="Arial" w:cs="Arial" w:eastAsia="Arial" w:hint="default"/>
                <w:sz w:val="20"/>
                <w:szCs w:val="20"/>
              </w:rPr>
            </w:pPr>
            <w:r>
              <w:rPr>
                <w:rFonts w:ascii="Arial"/>
                <w:w w:val="99"/>
                <w:sz w:val="20"/>
              </w:rPr>
              <w:t>-</w:t>
            </w:r>
            <w:r>
              <w:rPr>
                <w:rFonts w:ascii="Arial"/>
                <w:sz w:val="20"/>
              </w:rPr>
            </w:r>
          </w:p>
        </w:tc>
      </w:tr>
      <w:tr>
        <w:trPr>
          <w:trHeight w:val="221" w:hRule="exact"/>
        </w:trPr>
        <w:tc>
          <w:tcPr>
            <w:tcW w:w="2564" w:type="dxa"/>
            <w:tcBorders>
              <w:top w:val="nil" w:sz="6" w:space="0" w:color="auto"/>
              <w:left w:val="nil" w:sz="6" w:space="0" w:color="auto"/>
              <w:bottom w:val="nil" w:sz="6" w:space="0" w:color="auto"/>
              <w:right w:val="nil" w:sz="6" w:space="0" w:color="auto"/>
            </w:tcBorders>
          </w:tcPr>
          <w:p>
            <w:pPr>
              <w:pStyle w:val="TableParagraph"/>
              <w:spacing w:line="205" w:lineRule="exact"/>
              <w:ind w:left="392" w:right="0"/>
              <w:jc w:val="left"/>
              <w:rPr>
                <w:rFonts w:ascii="黑体" w:hAnsi="黑体" w:cs="黑体" w:eastAsia="黑体" w:hint="default"/>
                <w:sz w:val="20"/>
                <w:szCs w:val="20"/>
              </w:rPr>
            </w:pPr>
            <w:r>
              <w:rPr>
                <w:rFonts w:ascii="黑体" w:hAnsi="黑体" w:cs="黑体" w:eastAsia="黑体" w:hint="default"/>
                <w:sz w:val="20"/>
                <w:szCs w:val="20"/>
              </w:rPr>
              <w:t>浙江用友</w:t>
            </w:r>
          </w:p>
        </w:tc>
        <w:tc>
          <w:tcPr>
            <w:tcW w:w="1743" w:type="dxa"/>
            <w:tcBorders>
              <w:top w:val="nil" w:sz="6" w:space="0" w:color="auto"/>
              <w:left w:val="nil" w:sz="6" w:space="0" w:color="auto"/>
              <w:bottom w:val="nil" w:sz="6" w:space="0" w:color="auto"/>
              <w:right w:val="nil" w:sz="6" w:space="0" w:color="auto"/>
            </w:tcBorders>
          </w:tcPr>
          <w:p>
            <w:pPr>
              <w:pStyle w:val="TableParagraph"/>
              <w:spacing w:line="219" w:lineRule="exact"/>
              <w:ind w:left="429" w:right="0"/>
              <w:jc w:val="left"/>
              <w:rPr>
                <w:rFonts w:ascii="Arial" w:hAnsi="Arial" w:cs="Arial" w:eastAsia="Arial" w:hint="default"/>
                <w:sz w:val="20"/>
                <w:szCs w:val="20"/>
              </w:rPr>
            </w:pPr>
            <w:r>
              <w:rPr>
                <w:rFonts w:ascii="Arial"/>
                <w:sz w:val="20"/>
              </w:rPr>
              <w:t>24,534,482</w:t>
            </w:r>
          </w:p>
        </w:tc>
        <w:tc>
          <w:tcPr>
            <w:tcW w:w="1288" w:type="dxa"/>
            <w:tcBorders>
              <w:top w:val="nil" w:sz="6" w:space="0" w:color="auto"/>
              <w:left w:val="nil" w:sz="6" w:space="0" w:color="auto"/>
              <w:bottom w:val="nil" w:sz="6" w:space="0" w:color="auto"/>
              <w:right w:val="nil" w:sz="6" w:space="0" w:color="auto"/>
            </w:tcBorders>
          </w:tcPr>
          <w:p>
            <w:pPr>
              <w:pStyle w:val="TableParagraph"/>
              <w:spacing w:line="219" w:lineRule="exact"/>
              <w:ind w:right="395"/>
              <w:jc w:val="right"/>
              <w:rPr>
                <w:rFonts w:ascii="Arial" w:hAnsi="Arial" w:cs="Arial" w:eastAsia="Arial" w:hint="default"/>
                <w:sz w:val="20"/>
                <w:szCs w:val="20"/>
              </w:rPr>
            </w:pPr>
            <w:r>
              <w:rPr>
                <w:rFonts w:ascii="Arial"/>
                <w:w w:val="99"/>
                <w:sz w:val="20"/>
              </w:rPr>
              <w:t>-</w:t>
            </w:r>
            <w:r>
              <w:rPr>
                <w:rFonts w:ascii="Arial"/>
                <w:sz w:val="20"/>
              </w:rPr>
            </w:r>
          </w:p>
        </w:tc>
        <w:tc>
          <w:tcPr>
            <w:tcW w:w="1725" w:type="dxa"/>
            <w:tcBorders>
              <w:top w:val="nil" w:sz="6" w:space="0" w:color="auto"/>
              <w:left w:val="nil" w:sz="6" w:space="0" w:color="auto"/>
              <w:bottom w:val="nil" w:sz="6" w:space="0" w:color="auto"/>
              <w:right w:val="nil" w:sz="6" w:space="0" w:color="auto"/>
            </w:tcBorders>
          </w:tcPr>
          <w:p>
            <w:pPr>
              <w:pStyle w:val="TableParagraph"/>
              <w:spacing w:line="219" w:lineRule="exact"/>
              <w:ind w:left="505" w:right="0"/>
              <w:jc w:val="left"/>
              <w:rPr>
                <w:rFonts w:ascii="Arial" w:hAnsi="Arial" w:cs="Arial" w:eastAsia="Arial" w:hint="default"/>
                <w:sz w:val="20"/>
                <w:szCs w:val="20"/>
              </w:rPr>
            </w:pPr>
            <w:r>
              <w:rPr>
                <w:rFonts w:ascii="Arial"/>
                <w:sz w:val="20"/>
              </w:rPr>
              <w:t>33,095,388</w:t>
            </w:r>
          </w:p>
        </w:tc>
        <w:tc>
          <w:tcPr>
            <w:tcW w:w="1208" w:type="dxa"/>
            <w:tcBorders>
              <w:top w:val="nil" w:sz="6" w:space="0" w:color="auto"/>
              <w:left w:val="nil" w:sz="6" w:space="0" w:color="auto"/>
              <w:bottom w:val="nil" w:sz="6" w:space="0" w:color="auto"/>
              <w:right w:val="nil" w:sz="6" w:space="0" w:color="auto"/>
            </w:tcBorders>
          </w:tcPr>
          <w:p>
            <w:pPr>
              <w:pStyle w:val="TableParagraph"/>
              <w:spacing w:line="219" w:lineRule="exact"/>
              <w:ind w:right="208"/>
              <w:jc w:val="right"/>
              <w:rPr>
                <w:rFonts w:ascii="Arial" w:hAnsi="Arial" w:cs="Arial" w:eastAsia="Arial" w:hint="default"/>
                <w:sz w:val="20"/>
                <w:szCs w:val="20"/>
              </w:rPr>
            </w:pPr>
            <w:r>
              <w:rPr>
                <w:rFonts w:ascii="Arial"/>
                <w:w w:val="99"/>
                <w:sz w:val="20"/>
              </w:rPr>
              <w:t>-</w:t>
            </w:r>
            <w:r>
              <w:rPr>
                <w:rFonts w:ascii="Arial"/>
                <w:sz w:val="20"/>
              </w:rPr>
            </w:r>
          </w:p>
        </w:tc>
      </w:tr>
      <w:tr>
        <w:trPr>
          <w:trHeight w:val="220" w:hRule="exact"/>
        </w:trPr>
        <w:tc>
          <w:tcPr>
            <w:tcW w:w="2564" w:type="dxa"/>
            <w:tcBorders>
              <w:top w:val="nil" w:sz="6" w:space="0" w:color="auto"/>
              <w:left w:val="nil" w:sz="6" w:space="0" w:color="auto"/>
              <w:bottom w:val="nil" w:sz="6" w:space="0" w:color="auto"/>
              <w:right w:val="nil" w:sz="6" w:space="0" w:color="auto"/>
            </w:tcBorders>
          </w:tcPr>
          <w:p>
            <w:pPr>
              <w:pStyle w:val="TableParagraph"/>
              <w:spacing w:line="205" w:lineRule="exact"/>
              <w:ind w:left="392" w:right="0"/>
              <w:jc w:val="left"/>
              <w:rPr>
                <w:rFonts w:ascii="黑体" w:hAnsi="黑体" w:cs="黑体" w:eastAsia="黑体" w:hint="default"/>
                <w:sz w:val="20"/>
                <w:szCs w:val="20"/>
              </w:rPr>
            </w:pPr>
            <w:r>
              <w:rPr>
                <w:rFonts w:ascii="黑体" w:hAnsi="黑体" w:cs="黑体" w:eastAsia="黑体" w:hint="default"/>
                <w:sz w:val="20"/>
                <w:szCs w:val="20"/>
              </w:rPr>
              <w:t>广东用友</w:t>
            </w:r>
          </w:p>
        </w:tc>
        <w:tc>
          <w:tcPr>
            <w:tcW w:w="1743" w:type="dxa"/>
            <w:tcBorders>
              <w:top w:val="nil" w:sz="6" w:space="0" w:color="auto"/>
              <w:left w:val="nil" w:sz="6" w:space="0" w:color="auto"/>
              <w:bottom w:val="nil" w:sz="6" w:space="0" w:color="auto"/>
              <w:right w:val="nil" w:sz="6" w:space="0" w:color="auto"/>
            </w:tcBorders>
          </w:tcPr>
          <w:p>
            <w:pPr>
              <w:pStyle w:val="TableParagraph"/>
              <w:spacing w:line="219" w:lineRule="exact"/>
              <w:ind w:left="429" w:right="0"/>
              <w:jc w:val="left"/>
              <w:rPr>
                <w:rFonts w:ascii="Arial" w:hAnsi="Arial" w:cs="Arial" w:eastAsia="Arial" w:hint="default"/>
                <w:sz w:val="20"/>
                <w:szCs w:val="20"/>
              </w:rPr>
            </w:pPr>
            <w:r>
              <w:rPr>
                <w:rFonts w:ascii="Arial"/>
                <w:sz w:val="20"/>
              </w:rPr>
              <w:t>36,813,585</w:t>
            </w:r>
          </w:p>
        </w:tc>
        <w:tc>
          <w:tcPr>
            <w:tcW w:w="1288" w:type="dxa"/>
            <w:tcBorders>
              <w:top w:val="nil" w:sz="6" w:space="0" w:color="auto"/>
              <w:left w:val="nil" w:sz="6" w:space="0" w:color="auto"/>
              <w:bottom w:val="nil" w:sz="6" w:space="0" w:color="auto"/>
              <w:right w:val="nil" w:sz="6" w:space="0" w:color="auto"/>
            </w:tcBorders>
          </w:tcPr>
          <w:p>
            <w:pPr>
              <w:pStyle w:val="TableParagraph"/>
              <w:spacing w:line="219" w:lineRule="exact"/>
              <w:ind w:right="395"/>
              <w:jc w:val="right"/>
              <w:rPr>
                <w:rFonts w:ascii="Arial" w:hAnsi="Arial" w:cs="Arial" w:eastAsia="Arial" w:hint="default"/>
                <w:sz w:val="20"/>
                <w:szCs w:val="20"/>
              </w:rPr>
            </w:pPr>
            <w:r>
              <w:rPr>
                <w:rFonts w:ascii="Arial"/>
                <w:w w:val="99"/>
                <w:sz w:val="20"/>
              </w:rPr>
              <w:t>-</w:t>
            </w:r>
            <w:r>
              <w:rPr>
                <w:rFonts w:ascii="Arial"/>
                <w:sz w:val="20"/>
              </w:rPr>
            </w:r>
          </w:p>
        </w:tc>
        <w:tc>
          <w:tcPr>
            <w:tcW w:w="1725" w:type="dxa"/>
            <w:tcBorders>
              <w:top w:val="nil" w:sz="6" w:space="0" w:color="auto"/>
              <w:left w:val="nil" w:sz="6" w:space="0" w:color="auto"/>
              <w:bottom w:val="nil" w:sz="6" w:space="0" w:color="auto"/>
              <w:right w:val="nil" w:sz="6" w:space="0" w:color="auto"/>
            </w:tcBorders>
          </w:tcPr>
          <w:p>
            <w:pPr>
              <w:pStyle w:val="TableParagraph"/>
              <w:spacing w:line="219" w:lineRule="exact"/>
              <w:ind w:left="505" w:right="0"/>
              <w:jc w:val="left"/>
              <w:rPr>
                <w:rFonts w:ascii="Arial" w:hAnsi="Arial" w:cs="Arial" w:eastAsia="Arial" w:hint="default"/>
                <w:sz w:val="20"/>
                <w:szCs w:val="20"/>
              </w:rPr>
            </w:pPr>
            <w:r>
              <w:rPr>
                <w:rFonts w:ascii="Arial"/>
                <w:sz w:val="20"/>
              </w:rPr>
              <w:t>23,796,726</w:t>
            </w:r>
          </w:p>
        </w:tc>
        <w:tc>
          <w:tcPr>
            <w:tcW w:w="1208" w:type="dxa"/>
            <w:tcBorders>
              <w:top w:val="nil" w:sz="6" w:space="0" w:color="auto"/>
              <w:left w:val="nil" w:sz="6" w:space="0" w:color="auto"/>
              <w:bottom w:val="nil" w:sz="6" w:space="0" w:color="auto"/>
              <w:right w:val="nil" w:sz="6" w:space="0" w:color="auto"/>
            </w:tcBorders>
          </w:tcPr>
          <w:p>
            <w:pPr>
              <w:pStyle w:val="TableParagraph"/>
              <w:spacing w:line="219" w:lineRule="exact"/>
              <w:ind w:right="208"/>
              <w:jc w:val="right"/>
              <w:rPr>
                <w:rFonts w:ascii="Arial" w:hAnsi="Arial" w:cs="Arial" w:eastAsia="Arial" w:hint="default"/>
                <w:sz w:val="20"/>
                <w:szCs w:val="20"/>
              </w:rPr>
            </w:pPr>
            <w:r>
              <w:rPr>
                <w:rFonts w:ascii="Arial"/>
                <w:w w:val="99"/>
                <w:sz w:val="20"/>
              </w:rPr>
              <w:t>-</w:t>
            </w:r>
            <w:r>
              <w:rPr>
                <w:rFonts w:ascii="Arial"/>
                <w:sz w:val="20"/>
              </w:rPr>
            </w:r>
          </w:p>
        </w:tc>
      </w:tr>
      <w:tr>
        <w:trPr>
          <w:trHeight w:val="220" w:hRule="exact"/>
        </w:trPr>
        <w:tc>
          <w:tcPr>
            <w:tcW w:w="2564" w:type="dxa"/>
            <w:tcBorders>
              <w:top w:val="nil" w:sz="6" w:space="0" w:color="auto"/>
              <w:left w:val="nil" w:sz="6" w:space="0" w:color="auto"/>
              <w:bottom w:val="nil" w:sz="6" w:space="0" w:color="auto"/>
              <w:right w:val="nil" w:sz="6" w:space="0" w:color="auto"/>
            </w:tcBorders>
          </w:tcPr>
          <w:p>
            <w:pPr>
              <w:pStyle w:val="TableParagraph"/>
              <w:spacing w:line="204" w:lineRule="exact"/>
              <w:ind w:left="392" w:right="0"/>
              <w:jc w:val="left"/>
              <w:rPr>
                <w:rFonts w:ascii="黑体" w:hAnsi="黑体" w:cs="黑体" w:eastAsia="黑体" w:hint="default"/>
                <w:sz w:val="20"/>
                <w:szCs w:val="20"/>
              </w:rPr>
            </w:pPr>
            <w:r>
              <w:rPr>
                <w:rFonts w:ascii="黑体" w:hAnsi="黑体" w:cs="黑体" w:eastAsia="黑体" w:hint="default"/>
                <w:sz w:val="20"/>
                <w:szCs w:val="20"/>
              </w:rPr>
              <w:t>江西用友</w:t>
            </w:r>
          </w:p>
        </w:tc>
        <w:tc>
          <w:tcPr>
            <w:tcW w:w="1743" w:type="dxa"/>
            <w:tcBorders>
              <w:top w:val="nil" w:sz="6" w:space="0" w:color="auto"/>
              <w:left w:val="nil" w:sz="6" w:space="0" w:color="auto"/>
              <w:bottom w:val="nil" w:sz="6" w:space="0" w:color="auto"/>
              <w:right w:val="nil" w:sz="6" w:space="0" w:color="auto"/>
            </w:tcBorders>
          </w:tcPr>
          <w:p>
            <w:pPr>
              <w:pStyle w:val="TableParagraph"/>
              <w:spacing w:line="218" w:lineRule="exact"/>
              <w:ind w:left="429" w:right="0"/>
              <w:jc w:val="left"/>
              <w:rPr>
                <w:rFonts w:ascii="Arial" w:hAnsi="Arial" w:cs="Arial" w:eastAsia="Arial" w:hint="default"/>
                <w:sz w:val="20"/>
                <w:szCs w:val="20"/>
              </w:rPr>
            </w:pPr>
            <w:r>
              <w:rPr>
                <w:rFonts w:ascii="Arial"/>
                <w:sz w:val="20"/>
              </w:rPr>
              <w:t>44,283,417</w:t>
            </w:r>
          </w:p>
        </w:tc>
        <w:tc>
          <w:tcPr>
            <w:tcW w:w="1288" w:type="dxa"/>
            <w:tcBorders>
              <w:top w:val="nil" w:sz="6" w:space="0" w:color="auto"/>
              <w:left w:val="nil" w:sz="6" w:space="0" w:color="auto"/>
              <w:bottom w:val="nil" w:sz="6" w:space="0" w:color="auto"/>
              <w:right w:val="nil" w:sz="6" w:space="0" w:color="auto"/>
            </w:tcBorders>
          </w:tcPr>
          <w:p>
            <w:pPr>
              <w:pStyle w:val="TableParagraph"/>
              <w:spacing w:line="218" w:lineRule="exact"/>
              <w:ind w:right="395"/>
              <w:jc w:val="right"/>
              <w:rPr>
                <w:rFonts w:ascii="Arial" w:hAnsi="Arial" w:cs="Arial" w:eastAsia="Arial" w:hint="default"/>
                <w:sz w:val="20"/>
                <w:szCs w:val="20"/>
              </w:rPr>
            </w:pPr>
            <w:r>
              <w:rPr>
                <w:rFonts w:ascii="Arial"/>
                <w:w w:val="99"/>
                <w:sz w:val="20"/>
              </w:rPr>
              <w:t>-</w:t>
            </w:r>
            <w:r>
              <w:rPr>
                <w:rFonts w:ascii="Arial"/>
                <w:sz w:val="20"/>
              </w:rPr>
            </w:r>
          </w:p>
        </w:tc>
        <w:tc>
          <w:tcPr>
            <w:tcW w:w="1725" w:type="dxa"/>
            <w:tcBorders>
              <w:top w:val="nil" w:sz="6" w:space="0" w:color="auto"/>
              <w:left w:val="nil" w:sz="6" w:space="0" w:color="auto"/>
              <w:bottom w:val="nil" w:sz="6" w:space="0" w:color="auto"/>
              <w:right w:val="nil" w:sz="6" w:space="0" w:color="auto"/>
            </w:tcBorders>
          </w:tcPr>
          <w:p>
            <w:pPr>
              <w:pStyle w:val="TableParagraph"/>
              <w:spacing w:line="218" w:lineRule="exact"/>
              <w:ind w:left="505" w:right="0"/>
              <w:jc w:val="left"/>
              <w:rPr>
                <w:rFonts w:ascii="Arial" w:hAnsi="Arial" w:cs="Arial" w:eastAsia="Arial" w:hint="default"/>
                <w:sz w:val="20"/>
                <w:szCs w:val="20"/>
              </w:rPr>
            </w:pPr>
            <w:r>
              <w:rPr>
                <w:rFonts w:ascii="Arial"/>
                <w:sz w:val="20"/>
              </w:rPr>
              <w:t>23,222,300</w:t>
            </w:r>
          </w:p>
        </w:tc>
        <w:tc>
          <w:tcPr>
            <w:tcW w:w="1208" w:type="dxa"/>
            <w:tcBorders>
              <w:top w:val="nil" w:sz="6" w:space="0" w:color="auto"/>
              <w:left w:val="nil" w:sz="6" w:space="0" w:color="auto"/>
              <w:bottom w:val="nil" w:sz="6" w:space="0" w:color="auto"/>
              <w:right w:val="nil" w:sz="6" w:space="0" w:color="auto"/>
            </w:tcBorders>
          </w:tcPr>
          <w:p>
            <w:pPr>
              <w:pStyle w:val="TableParagraph"/>
              <w:spacing w:line="218" w:lineRule="exact"/>
              <w:ind w:right="208"/>
              <w:jc w:val="right"/>
              <w:rPr>
                <w:rFonts w:ascii="Arial" w:hAnsi="Arial" w:cs="Arial" w:eastAsia="Arial" w:hint="default"/>
                <w:sz w:val="20"/>
                <w:szCs w:val="20"/>
              </w:rPr>
            </w:pPr>
            <w:r>
              <w:rPr>
                <w:rFonts w:ascii="Arial"/>
                <w:w w:val="99"/>
                <w:sz w:val="20"/>
              </w:rPr>
              <w:t>-</w:t>
            </w:r>
            <w:r>
              <w:rPr>
                <w:rFonts w:ascii="Arial"/>
                <w:sz w:val="20"/>
              </w:rPr>
            </w:r>
          </w:p>
        </w:tc>
      </w:tr>
      <w:tr>
        <w:trPr>
          <w:trHeight w:val="221" w:hRule="exact"/>
        </w:trPr>
        <w:tc>
          <w:tcPr>
            <w:tcW w:w="2564" w:type="dxa"/>
            <w:tcBorders>
              <w:top w:val="nil" w:sz="6" w:space="0" w:color="auto"/>
              <w:left w:val="nil" w:sz="6" w:space="0" w:color="auto"/>
              <w:bottom w:val="nil" w:sz="6" w:space="0" w:color="auto"/>
              <w:right w:val="nil" w:sz="6" w:space="0" w:color="auto"/>
            </w:tcBorders>
          </w:tcPr>
          <w:p>
            <w:pPr>
              <w:pStyle w:val="TableParagraph"/>
              <w:spacing w:line="205" w:lineRule="exact"/>
              <w:ind w:left="392" w:right="0"/>
              <w:jc w:val="left"/>
              <w:rPr>
                <w:rFonts w:ascii="黑体" w:hAnsi="黑体" w:cs="黑体" w:eastAsia="黑体" w:hint="default"/>
                <w:sz w:val="20"/>
                <w:szCs w:val="20"/>
              </w:rPr>
            </w:pPr>
            <w:r>
              <w:rPr>
                <w:rFonts w:ascii="黑体" w:hAnsi="黑体" w:cs="黑体" w:eastAsia="黑体" w:hint="default"/>
                <w:sz w:val="20"/>
                <w:szCs w:val="20"/>
              </w:rPr>
              <w:t>用友医疗</w:t>
            </w:r>
          </w:p>
        </w:tc>
        <w:tc>
          <w:tcPr>
            <w:tcW w:w="1743" w:type="dxa"/>
            <w:tcBorders>
              <w:top w:val="nil" w:sz="6" w:space="0" w:color="auto"/>
              <w:left w:val="nil" w:sz="6" w:space="0" w:color="auto"/>
              <w:bottom w:val="nil" w:sz="6" w:space="0" w:color="auto"/>
              <w:right w:val="nil" w:sz="6" w:space="0" w:color="auto"/>
            </w:tcBorders>
          </w:tcPr>
          <w:p>
            <w:pPr>
              <w:pStyle w:val="TableParagraph"/>
              <w:spacing w:line="219" w:lineRule="exact"/>
              <w:ind w:left="429" w:right="0"/>
              <w:jc w:val="left"/>
              <w:rPr>
                <w:rFonts w:ascii="Arial" w:hAnsi="Arial" w:cs="Arial" w:eastAsia="Arial" w:hint="default"/>
                <w:sz w:val="20"/>
                <w:szCs w:val="20"/>
              </w:rPr>
            </w:pPr>
            <w:r>
              <w:rPr>
                <w:rFonts w:ascii="Arial"/>
                <w:sz w:val="20"/>
              </w:rPr>
              <w:t>58,776,321</w:t>
            </w:r>
          </w:p>
        </w:tc>
        <w:tc>
          <w:tcPr>
            <w:tcW w:w="1288" w:type="dxa"/>
            <w:tcBorders>
              <w:top w:val="nil" w:sz="6" w:space="0" w:color="auto"/>
              <w:left w:val="nil" w:sz="6" w:space="0" w:color="auto"/>
              <w:bottom w:val="nil" w:sz="6" w:space="0" w:color="auto"/>
              <w:right w:val="nil" w:sz="6" w:space="0" w:color="auto"/>
            </w:tcBorders>
          </w:tcPr>
          <w:p>
            <w:pPr>
              <w:pStyle w:val="TableParagraph"/>
              <w:spacing w:line="219" w:lineRule="exact"/>
              <w:ind w:right="395"/>
              <w:jc w:val="right"/>
              <w:rPr>
                <w:rFonts w:ascii="Arial" w:hAnsi="Arial" w:cs="Arial" w:eastAsia="Arial" w:hint="default"/>
                <w:sz w:val="20"/>
                <w:szCs w:val="20"/>
              </w:rPr>
            </w:pPr>
            <w:r>
              <w:rPr>
                <w:rFonts w:ascii="Arial"/>
                <w:w w:val="99"/>
                <w:sz w:val="20"/>
              </w:rPr>
              <w:t>-</w:t>
            </w:r>
            <w:r>
              <w:rPr>
                <w:rFonts w:ascii="Arial"/>
                <w:sz w:val="20"/>
              </w:rPr>
            </w:r>
          </w:p>
        </w:tc>
        <w:tc>
          <w:tcPr>
            <w:tcW w:w="1725" w:type="dxa"/>
            <w:tcBorders>
              <w:top w:val="nil" w:sz="6" w:space="0" w:color="auto"/>
              <w:left w:val="nil" w:sz="6" w:space="0" w:color="auto"/>
              <w:bottom w:val="nil" w:sz="6" w:space="0" w:color="auto"/>
              <w:right w:val="nil" w:sz="6" w:space="0" w:color="auto"/>
            </w:tcBorders>
          </w:tcPr>
          <w:p>
            <w:pPr>
              <w:pStyle w:val="TableParagraph"/>
              <w:spacing w:line="219" w:lineRule="exact"/>
              <w:ind w:left="505" w:right="0"/>
              <w:jc w:val="left"/>
              <w:rPr>
                <w:rFonts w:ascii="Arial" w:hAnsi="Arial" w:cs="Arial" w:eastAsia="Arial" w:hint="default"/>
                <w:sz w:val="20"/>
                <w:szCs w:val="20"/>
              </w:rPr>
            </w:pPr>
            <w:r>
              <w:rPr>
                <w:rFonts w:ascii="Arial"/>
                <w:sz w:val="20"/>
              </w:rPr>
              <w:t>17,990,000</w:t>
            </w:r>
          </w:p>
        </w:tc>
        <w:tc>
          <w:tcPr>
            <w:tcW w:w="1208" w:type="dxa"/>
            <w:tcBorders>
              <w:top w:val="nil" w:sz="6" w:space="0" w:color="auto"/>
              <w:left w:val="nil" w:sz="6" w:space="0" w:color="auto"/>
              <w:bottom w:val="nil" w:sz="6" w:space="0" w:color="auto"/>
              <w:right w:val="nil" w:sz="6" w:space="0" w:color="auto"/>
            </w:tcBorders>
          </w:tcPr>
          <w:p>
            <w:pPr>
              <w:pStyle w:val="TableParagraph"/>
              <w:spacing w:line="219" w:lineRule="exact"/>
              <w:ind w:right="208"/>
              <w:jc w:val="right"/>
              <w:rPr>
                <w:rFonts w:ascii="Arial" w:hAnsi="Arial" w:cs="Arial" w:eastAsia="Arial" w:hint="default"/>
                <w:sz w:val="20"/>
                <w:szCs w:val="20"/>
              </w:rPr>
            </w:pPr>
            <w:r>
              <w:rPr>
                <w:rFonts w:ascii="Arial"/>
                <w:w w:val="99"/>
                <w:sz w:val="20"/>
              </w:rPr>
              <w:t>-</w:t>
            </w:r>
            <w:r>
              <w:rPr>
                <w:rFonts w:ascii="Arial"/>
                <w:sz w:val="20"/>
              </w:rPr>
            </w:r>
          </w:p>
        </w:tc>
      </w:tr>
      <w:tr>
        <w:trPr>
          <w:trHeight w:val="220" w:hRule="exact"/>
        </w:trPr>
        <w:tc>
          <w:tcPr>
            <w:tcW w:w="2564" w:type="dxa"/>
            <w:tcBorders>
              <w:top w:val="nil" w:sz="6" w:space="0" w:color="auto"/>
              <w:left w:val="nil" w:sz="6" w:space="0" w:color="auto"/>
              <w:bottom w:val="nil" w:sz="6" w:space="0" w:color="auto"/>
              <w:right w:val="nil" w:sz="6" w:space="0" w:color="auto"/>
            </w:tcBorders>
          </w:tcPr>
          <w:p>
            <w:pPr>
              <w:pStyle w:val="TableParagraph"/>
              <w:spacing w:line="205" w:lineRule="exact"/>
              <w:ind w:left="392" w:right="0"/>
              <w:jc w:val="left"/>
              <w:rPr>
                <w:rFonts w:ascii="黑体" w:hAnsi="黑体" w:cs="黑体" w:eastAsia="黑体" w:hint="default"/>
                <w:sz w:val="20"/>
                <w:szCs w:val="20"/>
              </w:rPr>
            </w:pPr>
            <w:r>
              <w:rPr>
                <w:rFonts w:ascii="黑体" w:hAnsi="黑体" w:cs="黑体" w:eastAsia="黑体" w:hint="default"/>
                <w:sz w:val="20"/>
                <w:szCs w:val="20"/>
              </w:rPr>
              <w:t>沈阳用友</w:t>
            </w:r>
          </w:p>
        </w:tc>
        <w:tc>
          <w:tcPr>
            <w:tcW w:w="1743" w:type="dxa"/>
            <w:tcBorders>
              <w:top w:val="nil" w:sz="6" w:space="0" w:color="auto"/>
              <w:left w:val="nil" w:sz="6" w:space="0" w:color="auto"/>
              <w:bottom w:val="nil" w:sz="6" w:space="0" w:color="auto"/>
              <w:right w:val="nil" w:sz="6" w:space="0" w:color="auto"/>
            </w:tcBorders>
          </w:tcPr>
          <w:p>
            <w:pPr>
              <w:pStyle w:val="TableParagraph"/>
              <w:spacing w:line="219" w:lineRule="exact"/>
              <w:ind w:left="429" w:right="0"/>
              <w:jc w:val="left"/>
              <w:rPr>
                <w:rFonts w:ascii="Arial" w:hAnsi="Arial" w:cs="Arial" w:eastAsia="Arial" w:hint="default"/>
                <w:sz w:val="20"/>
                <w:szCs w:val="20"/>
              </w:rPr>
            </w:pPr>
            <w:r>
              <w:rPr>
                <w:rFonts w:ascii="Arial"/>
                <w:sz w:val="20"/>
              </w:rPr>
              <w:t>26,296,654</w:t>
            </w:r>
          </w:p>
        </w:tc>
        <w:tc>
          <w:tcPr>
            <w:tcW w:w="1288" w:type="dxa"/>
            <w:tcBorders>
              <w:top w:val="nil" w:sz="6" w:space="0" w:color="auto"/>
              <w:left w:val="nil" w:sz="6" w:space="0" w:color="auto"/>
              <w:bottom w:val="nil" w:sz="6" w:space="0" w:color="auto"/>
              <w:right w:val="nil" w:sz="6" w:space="0" w:color="auto"/>
            </w:tcBorders>
          </w:tcPr>
          <w:p>
            <w:pPr>
              <w:pStyle w:val="TableParagraph"/>
              <w:spacing w:line="219" w:lineRule="exact"/>
              <w:ind w:right="395"/>
              <w:jc w:val="right"/>
              <w:rPr>
                <w:rFonts w:ascii="Arial" w:hAnsi="Arial" w:cs="Arial" w:eastAsia="Arial" w:hint="default"/>
                <w:sz w:val="20"/>
                <w:szCs w:val="20"/>
              </w:rPr>
            </w:pPr>
            <w:r>
              <w:rPr>
                <w:rFonts w:ascii="Arial"/>
                <w:w w:val="99"/>
                <w:sz w:val="20"/>
              </w:rPr>
              <w:t>-</w:t>
            </w:r>
            <w:r>
              <w:rPr>
                <w:rFonts w:ascii="Arial"/>
                <w:sz w:val="20"/>
              </w:rPr>
            </w:r>
          </w:p>
        </w:tc>
        <w:tc>
          <w:tcPr>
            <w:tcW w:w="1725" w:type="dxa"/>
            <w:tcBorders>
              <w:top w:val="nil" w:sz="6" w:space="0" w:color="auto"/>
              <w:left w:val="nil" w:sz="6" w:space="0" w:color="auto"/>
              <w:bottom w:val="nil" w:sz="6" w:space="0" w:color="auto"/>
              <w:right w:val="nil" w:sz="6" w:space="0" w:color="auto"/>
            </w:tcBorders>
          </w:tcPr>
          <w:p>
            <w:pPr>
              <w:pStyle w:val="TableParagraph"/>
              <w:spacing w:line="219" w:lineRule="exact"/>
              <w:ind w:left="505" w:right="0"/>
              <w:jc w:val="left"/>
              <w:rPr>
                <w:rFonts w:ascii="Arial" w:hAnsi="Arial" w:cs="Arial" w:eastAsia="Arial" w:hint="default"/>
                <w:sz w:val="20"/>
                <w:szCs w:val="20"/>
              </w:rPr>
            </w:pPr>
            <w:r>
              <w:rPr>
                <w:rFonts w:ascii="Arial"/>
                <w:sz w:val="20"/>
              </w:rPr>
              <w:t>17,494,718</w:t>
            </w:r>
          </w:p>
        </w:tc>
        <w:tc>
          <w:tcPr>
            <w:tcW w:w="1208" w:type="dxa"/>
            <w:tcBorders>
              <w:top w:val="nil" w:sz="6" w:space="0" w:color="auto"/>
              <w:left w:val="nil" w:sz="6" w:space="0" w:color="auto"/>
              <w:bottom w:val="nil" w:sz="6" w:space="0" w:color="auto"/>
              <w:right w:val="nil" w:sz="6" w:space="0" w:color="auto"/>
            </w:tcBorders>
          </w:tcPr>
          <w:p>
            <w:pPr>
              <w:pStyle w:val="TableParagraph"/>
              <w:spacing w:line="219" w:lineRule="exact"/>
              <w:ind w:right="208"/>
              <w:jc w:val="right"/>
              <w:rPr>
                <w:rFonts w:ascii="Arial" w:hAnsi="Arial" w:cs="Arial" w:eastAsia="Arial" w:hint="default"/>
                <w:sz w:val="20"/>
                <w:szCs w:val="20"/>
              </w:rPr>
            </w:pPr>
            <w:r>
              <w:rPr>
                <w:rFonts w:ascii="Arial"/>
                <w:w w:val="99"/>
                <w:sz w:val="20"/>
              </w:rPr>
              <w:t>-</w:t>
            </w:r>
            <w:r>
              <w:rPr>
                <w:rFonts w:ascii="Arial"/>
                <w:sz w:val="20"/>
              </w:rPr>
            </w:r>
          </w:p>
        </w:tc>
      </w:tr>
      <w:tr>
        <w:trPr>
          <w:trHeight w:val="220" w:hRule="exact"/>
        </w:trPr>
        <w:tc>
          <w:tcPr>
            <w:tcW w:w="2564" w:type="dxa"/>
            <w:tcBorders>
              <w:top w:val="nil" w:sz="6" w:space="0" w:color="auto"/>
              <w:left w:val="nil" w:sz="6" w:space="0" w:color="auto"/>
              <w:bottom w:val="nil" w:sz="6" w:space="0" w:color="auto"/>
              <w:right w:val="nil" w:sz="6" w:space="0" w:color="auto"/>
            </w:tcBorders>
          </w:tcPr>
          <w:p>
            <w:pPr>
              <w:pStyle w:val="TableParagraph"/>
              <w:spacing w:line="204" w:lineRule="exact"/>
              <w:ind w:left="392" w:right="0"/>
              <w:jc w:val="left"/>
              <w:rPr>
                <w:rFonts w:ascii="黑体" w:hAnsi="黑体" w:cs="黑体" w:eastAsia="黑体" w:hint="default"/>
                <w:sz w:val="20"/>
                <w:szCs w:val="20"/>
              </w:rPr>
            </w:pPr>
            <w:r>
              <w:rPr>
                <w:rFonts w:ascii="黑体" w:hAnsi="黑体" w:cs="黑体" w:eastAsia="黑体" w:hint="default"/>
                <w:sz w:val="20"/>
                <w:szCs w:val="20"/>
              </w:rPr>
              <w:t>武汉用友</w:t>
            </w:r>
          </w:p>
        </w:tc>
        <w:tc>
          <w:tcPr>
            <w:tcW w:w="1743" w:type="dxa"/>
            <w:tcBorders>
              <w:top w:val="nil" w:sz="6" w:space="0" w:color="auto"/>
              <w:left w:val="nil" w:sz="6" w:space="0" w:color="auto"/>
              <w:bottom w:val="nil" w:sz="6" w:space="0" w:color="auto"/>
              <w:right w:val="nil" w:sz="6" w:space="0" w:color="auto"/>
            </w:tcBorders>
          </w:tcPr>
          <w:p>
            <w:pPr>
              <w:pStyle w:val="TableParagraph"/>
              <w:spacing w:line="218" w:lineRule="exact"/>
              <w:ind w:left="429" w:right="0"/>
              <w:jc w:val="left"/>
              <w:rPr>
                <w:rFonts w:ascii="Arial" w:hAnsi="Arial" w:cs="Arial" w:eastAsia="Arial" w:hint="default"/>
                <w:sz w:val="20"/>
                <w:szCs w:val="20"/>
              </w:rPr>
            </w:pPr>
            <w:r>
              <w:rPr>
                <w:rFonts w:ascii="Arial"/>
                <w:sz w:val="20"/>
              </w:rPr>
              <w:t>11,879,770</w:t>
            </w:r>
          </w:p>
        </w:tc>
        <w:tc>
          <w:tcPr>
            <w:tcW w:w="1288" w:type="dxa"/>
            <w:tcBorders>
              <w:top w:val="nil" w:sz="6" w:space="0" w:color="auto"/>
              <w:left w:val="nil" w:sz="6" w:space="0" w:color="auto"/>
              <w:bottom w:val="nil" w:sz="6" w:space="0" w:color="auto"/>
              <w:right w:val="nil" w:sz="6" w:space="0" w:color="auto"/>
            </w:tcBorders>
          </w:tcPr>
          <w:p>
            <w:pPr>
              <w:pStyle w:val="TableParagraph"/>
              <w:spacing w:line="218" w:lineRule="exact"/>
              <w:ind w:right="395"/>
              <w:jc w:val="right"/>
              <w:rPr>
                <w:rFonts w:ascii="Arial" w:hAnsi="Arial" w:cs="Arial" w:eastAsia="Arial" w:hint="default"/>
                <w:sz w:val="20"/>
                <w:szCs w:val="20"/>
              </w:rPr>
            </w:pPr>
            <w:r>
              <w:rPr>
                <w:rFonts w:ascii="Arial"/>
                <w:w w:val="99"/>
                <w:sz w:val="20"/>
              </w:rPr>
              <w:t>-</w:t>
            </w:r>
            <w:r>
              <w:rPr>
                <w:rFonts w:ascii="Arial"/>
                <w:sz w:val="20"/>
              </w:rPr>
            </w:r>
          </w:p>
        </w:tc>
        <w:tc>
          <w:tcPr>
            <w:tcW w:w="1725" w:type="dxa"/>
            <w:tcBorders>
              <w:top w:val="nil" w:sz="6" w:space="0" w:color="auto"/>
              <w:left w:val="nil" w:sz="6" w:space="0" w:color="auto"/>
              <w:bottom w:val="nil" w:sz="6" w:space="0" w:color="auto"/>
              <w:right w:val="nil" w:sz="6" w:space="0" w:color="auto"/>
            </w:tcBorders>
          </w:tcPr>
          <w:p>
            <w:pPr>
              <w:pStyle w:val="TableParagraph"/>
              <w:spacing w:line="218" w:lineRule="exact"/>
              <w:ind w:left="505" w:right="0"/>
              <w:jc w:val="left"/>
              <w:rPr>
                <w:rFonts w:ascii="Arial" w:hAnsi="Arial" w:cs="Arial" w:eastAsia="Arial" w:hint="default"/>
                <w:sz w:val="20"/>
                <w:szCs w:val="20"/>
              </w:rPr>
            </w:pPr>
            <w:r>
              <w:rPr>
                <w:rFonts w:ascii="Arial"/>
                <w:sz w:val="20"/>
              </w:rPr>
              <w:t>15,938,455</w:t>
            </w:r>
          </w:p>
        </w:tc>
        <w:tc>
          <w:tcPr>
            <w:tcW w:w="1208" w:type="dxa"/>
            <w:tcBorders>
              <w:top w:val="nil" w:sz="6" w:space="0" w:color="auto"/>
              <w:left w:val="nil" w:sz="6" w:space="0" w:color="auto"/>
              <w:bottom w:val="nil" w:sz="6" w:space="0" w:color="auto"/>
              <w:right w:val="nil" w:sz="6" w:space="0" w:color="auto"/>
            </w:tcBorders>
          </w:tcPr>
          <w:p>
            <w:pPr>
              <w:pStyle w:val="TableParagraph"/>
              <w:spacing w:line="218" w:lineRule="exact"/>
              <w:ind w:right="208"/>
              <w:jc w:val="right"/>
              <w:rPr>
                <w:rFonts w:ascii="Arial" w:hAnsi="Arial" w:cs="Arial" w:eastAsia="Arial" w:hint="default"/>
                <w:sz w:val="20"/>
                <w:szCs w:val="20"/>
              </w:rPr>
            </w:pPr>
            <w:r>
              <w:rPr>
                <w:rFonts w:ascii="Arial"/>
                <w:w w:val="99"/>
                <w:sz w:val="20"/>
              </w:rPr>
              <w:t>-</w:t>
            </w:r>
            <w:r>
              <w:rPr>
                <w:rFonts w:ascii="Arial"/>
                <w:sz w:val="20"/>
              </w:rPr>
            </w:r>
          </w:p>
        </w:tc>
      </w:tr>
      <w:tr>
        <w:trPr>
          <w:trHeight w:val="221" w:hRule="exact"/>
        </w:trPr>
        <w:tc>
          <w:tcPr>
            <w:tcW w:w="2564" w:type="dxa"/>
            <w:tcBorders>
              <w:top w:val="nil" w:sz="6" w:space="0" w:color="auto"/>
              <w:left w:val="nil" w:sz="6" w:space="0" w:color="auto"/>
              <w:bottom w:val="nil" w:sz="6" w:space="0" w:color="auto"/>
              <w:right w:val="nil" w:sz="6" w:space="0" w:color="auto"/>
            </w:tcBorders>
          </w:tcPr>
          <w:p>
            <w:pPr>
              <w:pStyle w:val="TableParagraph"/>
              <w:spacing w:line="205" w:lineRule="exact"/>
              <w:ind w:left="392" w:right="0"/>
              <w:jc w:val="left"/>
              <w:rPr>
                <w:rFonts w:ascii="黑体" w:hAnsi="黑体" w:cs="黑体" w:eastAsia="黑体" w:hint="default"/>
                <w:sz w:val="20"/>
                <w:szCs w:val="20"/>
              </w:rPr>
            </w:pPr>
            <w:r>
              <w:rPr>
                <w:rFonts w:ascii="黑体" w:hAnsi="黑体" w:cs="黑体" w:eastAsia="黑体" w:hint="default"/>
                <w:sz w:val="20"/>
                <w:szCs w:val="20"/>
              </w:rPr>
              <w:t>湖南用友</w:t>
            </w:r>
          </w:p>
        </w:tc>
        <w:tc>
          <w:tcPr>
            <w:tcW w:w="1743" w:type="dxa"/>
            <w:tcBorders>
              <w:top w:val="nil" w:sz="6" w:space="0" w:color="auto"/>
              <w:left w:val="nil" w:sz="6" w:space="0" w:color="auto"/>
              <w:bottom w:val="nil" w:sz="6" w:space="0" w:color="auto"/>
              <w:right w:val="nil" w:sz="6" w:space="0" w:color="auto"/>
            </w:tcBorders>
          </w:tcPr>
          <w:p>
            <w:pPr>
              <w:pStyle w:val="TableParagraph"/>
              <w:spacing w:line="219" w:lineRule="exact"/>
              <w:ind w:left="429" w:right="0"/>
              <w:jc w:val="left"/>
              <w:rPr>
                <w:rFonts w:ascii="Arial" w:hAnsi="Arial" w:cs="Arial" w:eastAsia="Arial" w:hint="default"/>
                <w:sz w:val="20"/>
                <w:szCs w:val="20"/>
              </w:rPr>
            </w:pPr>
            <w:r>
              <w:rPr>
                <w:rFonts w:ascii="Arial"/>
                <w:sz w:val="20"/>
              </w:rPr>
              <w:t>21,357,160</w:t>
            </w:r>
          </w:p>
        </w:tc>
        <w:tc>
          <w:tcPr>
            <w:tcW w:w="1288" w:type="dxa"/>
            <w:tcBorders>
              <w:top w:val="nil" w:sz="6" w:space="0" w:color="auto"/>
              <w:left w:val="nil" w:sz="6" w:space="0" w:color="auto"/>
              <w:bottom w:val="nil" w:sz="6" w:space="0" w:color="auto"/>
              <w:right w:val="nil" w:sz="6" w:space="0" w:color="auto"/>
            </w:tcBorders>
          </w:tcPr>
          <w:p>
            <w:pPr>
              <w:pStyle w:val="TableParagraph"/>
              <w:spacing w:line="219" w:lineRule="exact"/>
              <w:ind w:right="395"/>
              <w:jc w:val="right"/>
              <w:rPr>
                <w:rFonts w:ascii="Arial" w:hAnsi="Arial" w:cs="Arial" w:eastAsia="Arial" w:hint="default"/>
                <w:sz w:val="20"/>
                <w:szCs w:val="20"/>
              </w:rPr>
            </w:pPr>
            <w:r>
              <w:rPr>
                <w:rFonts w:ascii="Arial"/>
                <w:w w:val="99"/>
                <w:sz w:val="20"/>
              </w:rPr>
              <w:t>-</w:t>
            </w:r>
            <w:r>
              <w:rPr>
                <w:rFonts w:ascii="Arial"/>
                <w:sz w:val="20"/>
              </w:rPr>
            </w:r>
          </w:p>
        </w:tc>
        <w:tc>
          <w:tcPr>
            <w:tcW w:w="1725" w:type="dxa"/>
            <w:tcBorders>
              <w:top w:val="nil" w:sz="6" w:space="0" w:color="auto"/>
              <w:left w:val="nil" w:sz="6" w:space="0" w:color="auto"/>
              <w:bottom w:val="nil" w:sz="6" w:space="0" w:color="auto"/>
              <w:right w:val="nil" w:sz="6" w:space="0" w:color="auto"/>
            </w:tcBorders>
          </w:tcPr>
          <w:p>
            <w:pPr>
              <w:pStyle w:val="TableParagraph"/>
              <w:spacing w:line="219" w:lineRule="exact"/>
              <w:ind w:left="505" w:right="0"/>
              <w:jc w:val="left"/>
              <w:rPr>
                <w:rFonts w:ascii="Arial" w:hAnsi="Arial" w:cs="Arial" w:eastAsia="Arial" w:hint="default"/>
                <w:sz w:val="20"/>
                <w:szCs w:val="20"/>
              </w:rPr>
            </w:pPr>
            <w:r>
              <w:rPr>
                <w:rFonts w:ascii="Arial"/>
                <w:sz w:val="20"/>
              </w:rPr>
              <w:t>13,117,922</w:t>
            </w:r>
          </w:p>
        </w:tc>
        <w:tc>
          <w:tcPr>
            <w:tcW w:w="1208" w:type="dxa"/>
            <w:tcBorders>
              <w:top w:val="nil" w:sz="6" w:space="0" w:color="auto"/>
              <w:left w:val="nil" w:sz="6" w:space="0" w:color="auto"/>
              <w:bottom w:val="nil" w:sz="6" w:space="0" w:color="auto"/>
              <w:right w:val="nil" w:sz="6" w:space="0" w:color="auto"/>
            </w:tcBorders>
          </w:tcPr>
          <w:p>
            <w:pPr>
              <w:pStyle w:val="TableParagraph"/>
              <w:spacing w:line="219" w:lineRule="exact"/>
              <w:ind w:right="208"/>
              <w:jc w:val="right"/>
              <w:rPr>
                <w:rFonts w:ascii="Arial" w:hAnsi="Arial" w:cs="Arial" w:eastAsia="Arial" w:hint="default"/>
                <w:sz w:val="20"/>
                <w:szCs w:val="20"/>
              </w:rPr>
            </w:pPr>
            <w:r>
              <w:rPr>
                <w:rFonts w:ascii="Arial"/>
                <w:w w:val="99"/>
                <w:sz w:val="20"/>
              </w:rPr>
              <w:t>-</w:t>
            </w:r>
            <w:r>
              <w:rPr>
                <w:rFonts w:ascii="Arial"/>
                <w:sz w:val="20"/>
              </w:rPr>
            </w:r>
          </w:p>
        </w:tc>
      </w:tr>
      <w:tr>
        <w:trPr>
          <w:trHeight w:val="220" w:hRule="exact"/>
        </w:trPr>
        <w:tc>
          <w:tcPr>
            <w:tcW w:w="2564" w:type="dxa"/>
            <w:tcBorders>
              <w:top w:val="nil" w:sz="6" w:space="0" w:color="auto"/>
              <w:left w:val="nil" w:sz="6" w:space="0" w:color="auto"/>
              <w:bottom w:val="nil" w:sz="6" w:space="0" w:color="auto"/>
              <w:right w:val="nil" w:sz="6" w:space="0" w:color="auto"/>
            </w:tcBorders>
          </w:tcPr>
          <w:p>
            <w:pPr>
              <w:pStyle w:val="TableParagraph"/>
              <w:spacing w:line="205" w:lineRule="exact"/>
              <w:ind w:left="392" w:right="0"/>
              <w:jc w:val="left"/>
              <w:rPr>
                <w:rFonts w:ascii="黑体" w:hAnsi="黑体" w:cs="黑体" w:eastAsia="黑体" w:hint="default"/>
                <w:sz w:val="20"/>
                <w:szCs w:val="20"/>
              </w:rPr>
            </w:pPr>
            <w:r>
              <w:rPr>
                <w:rFonts w:ascii="黑体" w:hAnsi="黑体" w:cs="黑体" w:eastAsia="黑体" w:hint="default"/>
                <w:sz w:val="20"/>
                <w:szCs w:val="20"/>
              </w:rPr>
              <w:t>安徽用友</w:t>
            </w:r>
          </w:p>
        </w:tc>
        <w:tc>
          <w:tcPr>
            <w:tcW w:w="1743" w:type="dxa"/>
            <w:tcBorders>
              <w:top w:val="nil" w:sz="6" w:space="0" w:color="auto"/>
              <w:left w:val="nil" w:sz="6" w:space="0" w:color="auto"/>
              <w:bottom w:val="nil" w:sz="6" w:space="0" w:color="auto"/>
              <w:right w:val="nil" w:sz="6" w:space="0" w:color="auto"/>
            </w:tcBorders>
          </w:tcPr>
          <w:p>
            <w:pPr>
              <w:pStyle w:val="TableParagraph"/>
              <w:spacing w:line="219" w:lineRule="exact"/>
              <w:ind w:left="429" w:right="0"/>
              <w:jc w:val="left"/>
              <w:rPr>
                <w:rFonts w:ascii="Arial" w:hAnsi="Arial" w:cs="Arial" w:eastAsia="Arial" w:hint="default"/>
                <w:sz w:val="20"/>
                <w:szCs w:val="20"/>
              </w:rPr>
            </w:pPr>
            <w:r>
              <w:rPr>
                <w:rFonts w:ascii="Arial"/>
                <w:sz w:val="20"/>
              </w:rPr>
              <w:t>12,256,929</w:t>
            </w:r>
          </w:p>
        </w:tc>
        <w:tc>
          <w:tcPr>
            <w:tcW w:w="1288" w:type="dxa"/>
            <w:tcBorders>
              <w:top w:val="nil" w:sz="6" w:space="0" w:color="auto"/>
              <w:left w:val="nil" w:sz="6" w:space="0" w:color="auto"/>
              <w:bottom w:val="nil" w:sz="6" w:space="0" w:color="auto"/>
              <w:right w:val="nil" w:sz="6" w:space="0" w:color="auto"/>
            </w:tcBorders>
          </w:tcPr>
          <w:p>
            <w:pPr>
              <w:pStyle w:val="TableParagraph"/>
              <w:spacing w:line="219" w:lineRule="exact"/>
              <w:ind w:right="395"/>
              <w:jc w:val="right"/>
              <w:rPr>
                <w:rFonts w:ascii="Arial" w:hAnsi="Arial" w:cs="Arial" w:eastAsia="Arial" w:hint="default"/>
                <w:sz w:val="20"/>
                <w:szCs w:val="20"/>
              </w:rPr>
            </w:pPr>
            <w:r>
              <w:rPr>
                <w:rFonts w:ascii="Arial"/>
                <w:w w:val="99"/>
                <w:sz w:val="20"/>
              </w:rPr>
              <w:t>-</w:t>
            </w:r>
            <w:r>
              <w:rPr>
                <w:rFonts w:ascii="Arial"/>
                <w:sz w:val="20"/>
              </w:rPr>
            </w:r>
          </w:p>
        </w:tc>
        <w:tc>
          <w:tcPr>
            <w:tcW w:w="1725" w:type="dxa"/>
            <w:tcBorders>
              <w:top w:val="nil" w:sz="6" w:space="0" w:color="auto"/>
              <w:left w:val="nil" w:sz="6" w:space="0" w:color="auto"/>
              <w:bottom w:val="nil" w:sz="6" w:space="0" w:color="auto"/>
              <w:right w:val="nil" w:sz="6" w:space="0" w:color="auto"/>
            </w:tcBorders>
          </w:tcPr>
          <w:p>
            <w:pPr>
              <w:pStyle w:val="TableParagraph"/>
              <w:spacing w:line="219" w:lineRule="exact"/>
              <w:ind w:left="505" w:right="0"/>
              <w:jc w:val="left"/>
              <w:rPr>
                <w:rFonts w:ascii="Arial" w:hAnsi="Arial" w:cs="Arial" w:eastAsia="Arial" w:hint="default"/>
                <w:sz w:val="20"/>
                <w:szCs w:val="20"/>
              </w:rPr>
            </w:pPr>
            <w:r>
              <w:rPr>
                <w:rFonts w:ascii="Arial"/>
                <w:sz w:val="20"/>
              </w:rPr>
              <w:t>11,656,425</w:t>
            </w:r>
          </w:p>
        </w:tc>
        <w:tc>
          <w:tcPr>
            <w:tcW w:w="1208" w:type="dxa"/>
            <w:tcBorders>
              <w:top w:val="nil" w:sz="6" w:space="0" w:color="auto"/>
              <w:left w:val="nil" w:sz="6" w:space="0" w:color="auto"/>
              <w:bottom w:val="nil" w:sz="6" w:space="0" w:color="auto"/>
              <w:right w:val="nil" w:sz="6" w:space="0" w:color="auto"/>
            </w:tcBorders>
          </w:tcPr>
          <w:p>
            <w:pPr>
              <w:pStyle w:val="TableParagraph"/>
              <w:spacing w:line="219" w:lineRule="exact"/>
              <w:ind w:right="208"/>
              <w:jc w:val="right"/>
              <w:rPr>
                <w:rFonts w:ascii="Arial" w:hAnsi="Arial" w:cs="Arial" w:eastAsia="Arial" w:hint="default"/>
                <w:sz w:val="20"/>
                <w:szCs w:val="20"/>
              </w:rPr>
            </w:pPr>
            <w:r>
              <w:rPr>
                <w:rFonts w:ascii="Arial"/>
                <w:w w:val="99"/>
                <w:sz w:val="20"/>
              </w:rPr>
              <w:t>-</w:t>
            </w:r>
            <w:r>
              <w:rPr>
                <w:rFonts w:ascii="Arial"/>
                <w:sz w:val="20"/>
              </w:rPr>
            </w:r>
          </w:p>
        </w:tc>
      </w:tr>
      <w:tr>
        <w:trPr>
          <w:trHeight w:val="220" w:hRule="exact"/>
        </w:trPr>
        <w:tc>
          <w:tcPr>
            <w:tcW w:w="2564" w:type="dxa"/>
            <w:tcBorders>
              <w:top w:val="nil" w:sz="6" w:space="0" w:color="auto"/>
              <w:left w:val="nil" w:sz="6" w:space="0" w:color="auto"/>
              <w:bottom w:val="nil" w:sz="6" w:space="0" w:color="auto"/>
              <w:right w:val="nil" w:sz="6" w:space="0" w:color="auto"/>
            </w:tcBorders>
          </w:tcPr>
          <w:p>
            <w:pPr>
              <w:pStyle w:val="TableParagraph"/>
              <w:spacing w:line="204" w:lineRule="exact"/>
              <w:ind w:left="392" w:right="0"/>
              <w:jc w:val="left"/>
              <w:rPr>
                <w:rFonts w:ascii="黑体" w:hAnsi="黑体" w:cs="黑体" w:eastAsia="黑体" w:hint="default"/>
                <w:sz w:val="20"/>
                <w:szCs w:val="20"/>
              </w:rPr>
            </w:pPr>
            <w:r>
              <w:rPr>
                <w:rFonts w:ascii="黑体" w:hAnsi="黑体" w:cs="黑体" w:eastAsia="黑体" w:hint="default"/>
                <w:sz w:val="20"/>
                <w:szCs w:val="20"/>
              </w:rPr>
              <w:t>大连用友</w:t>
            </w:r>
          </w:p>
        </w:tc>
        <w:tc>
          <w:tcPr>
            <w:tcW w:w="1743" w:type="dxa"/>
            <w:tcBorders>
              <w:top w:val="nil" w:sz="6" w:space="0" w:color="auto"/>
              <w:left w:val="nil" w:sz="6" w:space="0" w:color="auto"/>
              <w:bottom w:val="nil" w:sz="6" w:space="0" w:color="auto"/>
              <w:right w:val="nil" w:sz="6" w:space="0" w:color="auto"/>
            </w:tcBorders>
          </w:tcPr>
          <w:p>
            <w:pPr>
              <w:pStyle w:val="TableParagraph"/>
              <w:spacing w:line="218" w:lineRule="exact"/>
              <w:ind w:left="539" w:right="0"/>
              <w:jc w:val="left"/>
              <w:rPr>
                <w:rFonts w:ascii="Arial" w:hAnsi="Arial" w:cs="Arial" w:eastAsia="Arial" w:hint="default"/>
                <w:sz w:val="20"/>
                <w:szCs w:val="20"/>
              </w:rPr>
            </w:pPr>
            <w:r>
              <w:rPr>
                <w:rFonts w:ascii="Arial"/>
                <w:sz w:val="20"/>
              </w:rPr>
              <w:t>7,452,071</w:t>
            </w:r>
          </w:p>
        </w:tc>
        <w:tc>
          <w:tcPr>
            <w:tcW w:w="1288" w:type="dxa"/>
            <w:tcBorders>
              <w:top w:val="nil" w:sz="6" w:space="0" w:color="auto"/>
              <w:left w:val="nil" w:sz="6" w:space="0" w:color="auto"/>
              <w:bottom w:val="nil" w:sz="6" w:space="0" w:color="auto"/>
              <w:right w:val="nil" w:sz="6" w:space="0" w:color="auto"/>
            </w:tcBorders>
          </w:tcPr>
          <w:p>
            <w:pPr>
              <w:pStyle w:val="TableParagraph"/>
              <w:spacing w:line="218" w:lineRule="exact"/>
              <w:ind w:right="395"/>
              <w:jc w:val="right"/>
              <w:rPr>
                <w:rFonts w:ascii="Arial" w:hAnsi="Arial" w:cs="Arial" w:eastAsia="Arial" w:hint="default"/>
                <w:sz w:val="20"/>
                <w:szCs w:val="20"/>
              </w:rPr>
            </w:pPr>
            <w:r>
              <w:rPr>
                <w:rFonts w:ascii="Arial"/>
                <w:w w:val="99"/>
                <w:sz w:val="20"/>
              </w:rPr>
              <w:t>-</w:t>
            </w:r>
            <w:r>
              <w:rPr>
                <w:rFonts w:ascii="Arial"/>
                <w:sz w:val="20"/>
              </w:rPr>
            </w:r>
          </w:p>
        </w:tc>
        <w:tc>
          <w:tcPr>
            <w:tcW w:w="1725" w:type="dxa"/>
            <w:tcBorders>
              <w:top w:val="nil" w:sz="6" w:space="0" w:color="auto"/>
              <w:left w:val="nil" w:sz="6" w:space="0" w:color="auto"/>
              <w:bottom w:val="nil" w:sz="6" w:space="0" w:color="auto"/>
              <w:right w:val="nil" w:sz="6" w:space="0" w:color="auto"/>
            </w:tcBorders>
          </w:tcPr>
          <w:p>
            <w:pPr>
              <w:pStyle w:val="TableParagraph"/>
              <w:spacing w:line="218" w:lineRule="exact"/>
              <w:ind w:left="505" w:right="0"/>
              <w:jc w:val="left"/>
              <w:rPr>
                <w:rFonts w:ascii="Arial" w:hAnsi="Arial" w:cs="Arial" w:eastAsia="Arial" w:hint="default"/>
                <w:sz w:val="20"/>
                <w:szCs w:val="20"/>
              </w:rPr>
            </w:pPr>
            <w:r>
              <w:rPr>
                <w:rFonts w:ascii="Arial"/>
                <w:sz w:val="20"/>
              </w:rPr>
              <w:t>10,002,345</w:t>
            </w:r>
          </w:p>
        </w:tc>
        <w:tc>
          <w:tcPr>
            <w:tcW w:w="1208" w:type="dxa"/>
            <w:tcBorders>
              <w:top w:val="nil" w:sz="6" w:space="0" w:color="auto"/>
              <w:left w:val="nil" w:sz="6" w:space="0" w:color="auto"/>
              <w:bottom w:val="nil" w:sz="6" w:space="0" w:color="auto"/>
              <w:right w:val="nil" w:sz="6" w:space="0" w:color="auto"/>
            </w:tcBorders>
          </w:tcPr>
          <w:p>
            <w:pPr>
              <w:pStyle w:val="TableParagraph"/>
              <w:spacing w:line="218" w:lineRule="exact"/>
              <w:ind w:right="208"/>
              <w:jc w:val="right"/>
              <w:rPr>
                <w:rFonts w:ascii="Arial" w:hAnsi="Arial" w:cs="Arial" w:eastAsia="Arial" w:hint="default"/>
                <w:sz w:val="20"/>
                <w:szCs w:val="20"/>
              </w:rPr>
            </w:pPr>
            <w:r>
              <w:rPr>
                <w:rFonts w:ascii="Arial"/>
                <w:w w:val="99"/>
                <w:sz w:val="20"/>
              </w:rPr>
              <w:t>-</w:t>
            </w:r>
            <w:r>
              <w:rPr>
                <w:rFonts w:ascii="Arial"/>
                <w:sz w:val="20"/>
              </w:rPr>
            </w:r>
          </w:p>
        </w:tc>
      </w:tr>
      <w:tr>
        <w:trPr>
          <w:trHeight w:val="221" w:hRule="exact"/>
        </w:trPr>
        <w:tc>
          <w:tcPr>
            <w:tcW w:w="2564" w:type="dxa"/>
            <w:tcBorders>
              <w:top w:val="nil" w:sz="6" w:space="0" w:color="auto"/>
              <w:left w:val="nil" w:sz="6" w:space="0" w:color="auto"/>
              <w:bottom w:val="nil" w:sz="6" w:space="0" w:color="auto"/>
              <w:right w:val="nil" w:sz="6" w:space="0" w:color="auto"/>
            </w:tcBorders>
          </w:tcPr>
          <w:p>
            <w:pPr>
              <w:pStyle w:val="TableParagraph"/>
              <w:spacing w:line="205" w:lineRule="exact"/>
              <w:ind w:left="392" w:right="0"/>
              <w:jc w:val="left"/>
              <w:rPr>
                <w:rFonts w:ascii="黑体" w:hAnsi="黑体" w:cs="黑体" w:eastAsia="黑体" w:hint="default"/>
                <w:sz w:val="20"/>
                <w:szCs w:val="20"/>
              </w:rPr>
            </w:pPr>
            <w:r>
              <w:rPr>
                <w:rFonts w:ascii="黑体" w:hAnsi="黑体" w:cs="黑体" w:eastAsia="黑体" w:hint="default"/>
                <w:sz w:val="20"/>
                <w:szCs w:val="20"/>
              </w:rPr>
              <w:t>重庆用友</w:t>
            </w:r>
          </w:p>
        </w:tc>
        <w:tc>
          <w:tcPr>
            <w:tcW w:w="1743" w:type="dxa"/>
            <w:tcBorders>
              <w:top w:val="nil" w:sz="6" w:space="0" w:color="auto"/>
              <w:left w:val="nil" w:sz="6" w:space="0" w:color="auto"/>
              <w:bottom w:val="nil" w:sz="6" w:space="0" w:color="auto"/>
              <w:right w:val="nil" w:sz="6" w:space="0" w:color="auto"/>
            </w:tcBorders>
          </w:tcPr>
          <w:p>
            <w:pPr>
              <w:pStyle w:val="TableParagraph"/>
              <w:spacing w:line="219" w:lineRule="exact"/>
              <w:ind w:left="429" w:right="0"/>
              <w:jc w:val="left"/>
              <w:rPr>
                <w:rFonts w:ascii="Arial" w:hAnsi="Arial" w:cs="Arial" w:eastAsia="Arial" w:hint="default"/>
                <w:sz w:val="20"/>
                <w:szCs w:val="20"/>
              </w:rPr>
            </w:pPr>
            <w:r>
              <w:rPr>
                <w:rFonts w:ascii="Arial"/>
                <w:sz w:val="20"/>
              </w:rPr>
              <w:t>17,171,316</w:t>
            </w:r>
          </w:p>
        </w:tc>
        <w:tc>
          <w:tcPr>
            <w:tcW w:w="1288" w:type="dxa"/>
            <w:tcBorders>
              <w:top w:val="nil" w:sz="6" w:space="0" w:color="auto"/>
              <w:left w:val="nil" w:sz="6" w:space="0" w:color="auto"/>
              <w:bottom w:val="nil" w:sz="6" w:space="0" w:color="auto"/>
              <w:right w:val="nil" w:sz="6" w:space="0" w:color="auto"/>
            </w:tcBorders>
          </w:tcPr>
          <w:p>
            <w:pPr>
              <w:pStyle w:val="TableParagraph"/>
              <w:spacing w:line="219" w:lineRule="exact"/>
              <w:ind w:right="395"/>
              <w:jc w:val="right"/>
              <w:rPr>
                <w:rFonts w:ascii="Arial" w:hAnsi="Arial" w:cs="Arial" w:eastAsia="Arial" w:hint="default"/>
                <w:sz w:val="20"/>
                <w:szCs w:val="20"/>
              </w:rPr>
            </w:pPr>
            <w:r>
              <w:rPr>
                <w:rFonts w:ascii="Arial"/>
                <w:w w:val="99"/>
                <w:sz w:val="20"/>
              </w:rPr>
              <w:t>-</w:t>
            </w:r>
            <w:r>
              <w:rPr>
                <w:rFonts w:ascii="Arial"/>
                <w:sz w:val="20"/>
              </w:rPr>
            </w:r>
          </w:p>
        </w:tc>
        <w:tc>
          <w:tcPr>
            <w:tcW w:w="1725" w:type="dxa"/>
            <w:tcBorders>
              <w:top w:val="nil" w:sz="6" w:space="0" w:color="auto"/>
              <w:left w:val="nil" w:sz="6" w:space="0" w:color="auto"/>
              <w:bottom w:val="nil" w:sz="6" w:space="0" w:color="auto"/>
              <w:right w:val="nil" w:sz="6" w:space="0" w:color="auto"/>
            </w:tcBorders>
          </w:tcPr>
          <w:p>
            <w:pPr>
              <w:pStyle w:val="TableParagraph"/>
              <w:spacing w:line="219" w:lineRule="exact"/>
              <w:ind w:left="616" w:right="0"/>
              <w:jc w:val="left"/>
              <w:rPr>
                <w:rFonts w:ascii="Arial" w:hAnsi="Arial" w:cs="Arial" w:eastAsia="Arial" w:hint="default"/>
                <w:sz w:val="20"/>
                <w:szCs w:val="20"/>
              </w:rPr>
            </w:pPr>
            <w:r>
              <w:rPr>
                <w:rFonts w:ascii="Arial"/>
                <w:sz w:val="20"/>
              </w:rPr>
              <w:t>9,657,903</w:t>
            </w:r>
          </w:p>
        </w:tc>
        <w:tc>
          <w:tcPr>
            <w:tcW w:w="1208" w:type="dxa"/>
            <w:tcBorders>
              <w:top w:val="nil" w:sz="6" w:space="0" w:color="auto"/>
              <w:left w:val="nil" w:sz="6" w:space="0" w:color="auto"/>
              <w:bottom w:val="nil" w:sz="6" w:space="0" w:color="auto"/>
              <w:right w:val="nil" w:sz="6" w:space="0" w:color="auto"/>
            </w:tcBorders>
          </w:tcPr>
          <w:p>
            <w:pPr>
              <w:pStyle w:val="TableParagraph"/>
              <w:spacing w:line="219" w:lineRule="exact"/>
              <w:ind w:right="208"/>
              <w:jc w:val="right"/>
              <w:rPr>
                <w:rFonts w:ascii="Arial" w:hAnsi="Arial" w:cs="Arial" w:eastAsia="Arial" w:hint="default"/>
                <w:sz w:val="20"/>
                <w:szCs w:val="20"/>
              </w:rPr>
            </w:pPr>
            <w:r>
              <w:rPr>
                <w:rFonts w:ascii="Arial"/>
                <w:w w:val="99"/>
                <w:sz w:val="20"/>
              </w:rPr>
              <w:t>-</w:t>
            </w:r>
            <w:r>
              <w:rPr>
                <w:rFonts w:ascii="Arial"/>
                <w:sz w:val="20"/>
              </w:rPr>
            </w:r>
          </w:p>
        </w:tc>
      </w:tr>
      <w:tr>
        <w:trPr>
          <w:trHeight w:val="224" w:hRule="exact"/>
        </w:trPr>
        <w:tc>
          <w:tcPr>
            <w:tcW w:w="2564" w:type="dxa"/>
            <w:tcBorders>
              <w:top w:val="nil" w:sz="6" w:space="0" w:color="auto"/>
              <w:left w:val="nil" w:sz="6" w:space="0" w:color="auto"/>
              <w:bottom w:val="nil" w:sz="6" w:space="0" w:color="auto"/>
              <w:right w:val="nil" w:sz="6" w:space="0" w:color="auto"/>
            </w:tcBorders>
          </w:tcPr>
          <w:p>
            <w:pPr>
              <w:pStyle w:val="TableParagraph"/>
              <w:spacing w:line="205" w:lineRule="exact"/>
              <w:ind w:left="392" w:right="0"/>
              <w:jc w:val="left"/>
              <w:rPr>
                <w:rFonts w:ascii="黑体" w:hAnsi="黑体" w:cs="黑体" w:eastAsia="黑体" w:hint="default"/>
                <w:sz w:val="20"/>
                <w:szCs w:val="20"/>
              </w:rPr>
            </w:pPr>
            <w:r>
              <w:rPr>
                <w:rFonts w:ascii="黑体" w:hAnsi="黑体" w:cs="黑体" w:eastAsia="黑体" w:hint="default"/>
                <w:sz w:val="20"/>
                <w:szCs w:val="20"/>
              </w:rPr>
              <w:t>用友艾福斯</w:t>
            </w:r>
          </w:p>
        </w:tc>
        <w:tc>
          <w:tcPr>
            <w:tcW w:w="1743" w:type="dxa"/>
            <w:tcBorders>
              <w:top w:val="nil" w:sz="6" w:space="0" w:color="auto"/>
              <w:left w:val="nil" w:sz="6" w:space="0" w:color="auto"/>
              <w:bottom w:val="nil" w:sz="6" w:space="0" w:color="auto"/>
              <w:right w:val="nil" w:sz="6" w:space="0" w:color="auto"/>
            </w:tcBorders>
          </w:tcPr>
          <w:p>
            <w:pPr>
              <w:pStyle w:val="TableParagraph"/>
              <w:spacing w:line="219" w:lineRule="exact"/>
              <w:ind w:left="429" w:right="0"/>
              <w:jc w:val="left"/>
              <w:rPr>
                <w:rFonts w:ascii="Arial" w:hAnsi="Arial" w:cs="Arial" w:eastAsia="Arial" w:hint="default"/>
                <w:sz w:val="20"/>
                <w:szCs w:val="20"/>
              </w:rPr>
            </w:pPr>
            <w:r>
              <w:rPr>
                <w:rFonts w:ascii="Arial"/>
                <w:sz w:val="20"/>
              </w:rPr>
              <w:t>11,578,375</w:t>
            </w:r>
          </w:p>
        </w:tc>
        <w:tc>
          <w:tcPr>
            <w:tcW w:w="1288" w:type="dxa"/>
            <w:tcBorders>
              <w:top w:val="nil" w:sz="6" w:space="0" w:color="auto"/>
              <w:left w:val="nil" w:sz="6" w:space="0" w:color="auto"/>
              <w:bottom w:val="nil" w:sz="6" w:space="0" w:color="auto"/>
              <w:right w:val="nil" w:sz="6" w:space="0" w:color="auto"/>
            </w:tcBorders>
          </w:tcPr>
          <w:p>
            <w:pPr>
              <w:pStyle w:val="TableParagraph"/>
              <w:spacing w:line="219" w:lineRule="exact"/>
              <w:ind w:right="395"/>
              <w:jc w:val="right"/>
              <w:rPr>
                <w:rFonts w:ascii="Arial" w:hAnsi="Arial" w:cs="Arial" w:eastAsia="Arial" w:hint="default"/>
                <w:sz w:val="20"/>
                <w:szCs w:val="20"/>
              </w:rPr>
            </w:pPr>
            <w:r>
              <w:rPr>
                <w:rFonts w:ascii="Arial"/>
                <w:w w:val="99"/>
                <w:sz w:val="20"/>
              </w:rPr>
              <w:t>-</w:t>
            </w:r>
            <w:r>
              <w:rPr>
                <w:rFonts w:ascii="Arial"/>
                <w:sz w:val="20"/>
              </w:rPr>
            </w:r>
          </w:p>
        </w:tc>
        <w:tc>
          <w:tcPr>
            <w:tcW w:w="1725" w:type="dxa"/>
            <w:tcBorders>
              <w:top w:val="nil" w:sz="6" w:space="0" w:color="auto"/>
              <w:left w:val="nil" w:sz="6" w:space="0" w:color="auto"/>
              <w:bottom w:val="nil" w:sz="6" w:space="0" w:color="auto"/>
              <w:right w:val="nil" w:sz="6" w:space="0" w:color="auto"/>
            </w:tcBorders>
          </w:tcPr>
          <w:p>
            <w:pPr>
              <w:pStyle w:val="TableParagraph"/>
              <w:spacing w:line="219" w:lineRule="exact"/>
              <w:ind w:left="616" w:right="0"/>
              <w:jc w:val="left"/>
              <w:rPr>
                <w:rFonts w:ascii="Arial" w:hAnsi="Arial" w:cs="Arial" w:eastAsia="Arial" w:hint="default"/>
                <w:sz w:val="20"/>
                <w:szCs w:val="20"/>
              </w:rPr>
            </w:pPr>
            <w:r>
              <w:rPr>
                <w:rFonts w:ascii="Arial"/>
                <w:sz w:val="20"/>
              </w:rPr>
              <w:t>9,578,375</w:t>
            </w:r>
          </w:p>
        </w:tc>
        <w:tc>
          <w:tcPr>
            <w:tcW w:w="1208" w:type="dxa"/>
            <w:tcBorders>
              <w:top w:val="nil" w:sz="6" w:space="0" w:color="auto"/>
              <w:left w:val="nil" w:sz="6" w:space="0" w:color="auto"/>
              <w:bottom w:val="nil" w:sz="6" w:space="0" w:color="auto"/>
              <w:right w:val="nil" w:sz="6" w:space="0" w:color="auto"/>
            </w:tcBorders>
          </w:tcPr>
          <w:p>
            <w:pPr>
              <w:pStyle w:val="TableParagraph"/>
              <w:spacing w:line="219" w:lineRule="exact"/>
              <w:ind w:right="208"/>
              <w:jc w:val="right"/>
              <w:rPr>
                <w:rFonts w:ascii="Arial" w:hAnsi="Arial" w:cs="Arial" w:eastAsia="Arial" w:hint="default"/>
                <w:sz w:val="20"/>
                <w:szCs w:val="20"/>
              </w:rPr>
            </w:pPr>
            <w:r>
              <w:rPr>
                <w:rFonts w:ascii="Arial"/>
                <w:w w:val="99"/>
                <w:sz w:val="20"/>
              </w:rPr>
              <w:t>-</w:t>
            </w:r>
            <w:r>
              <w:rPr>
                <w:rFonts w:ascii="Arial"/>
                <w:sz w:val="20"/>
              </w:rPr>
            </w:r>
          </w:p>
        </w:tc>
      </w:tr>
      <w:tr>
        <w:trPr>
          <w:trHeight w:val="436" w:hRule="exact"/>
        </w:trPr>
        <w:tc>
          <w:tcPr>
            <w:tcW w:w="2564" w:type="dxa"/>
            <w:tcBorders>
              <w:top w:val="nil" w:sz="6" w:space="0" w:color="auto"/>
              <w:left w:val="nil" w:sz="6" w:space="0" w:color="auto"/>
              <w:bottom w:val="nil" w:sz="6" w:space="0" w:color="auto"/>
              <w:right w:val="nil" w:sz="6" w:space="0" w:color="auto"/>
            </w:tcBorders>
          </w:tcPr>
          <w:p>
            <w:pPr>
              <w:pStyle w:val="TableParagraph"/>
              <w:spacing w:line="230" w:lineRule="auto"/>
              <w:ind w:left="536" w:right="427" w:hanging="101"/>
              <w:jc w:val="left"/>
              <w:rPr>
                <w:rFonts w:ascii="Arial" w:hAnsi="Arial" w:cs="Arial" w:eastAsia="Arial" w:hint="default"/>
                <w:sz w:val="20"/>
                <w:szCs w:val="20"/>
              </w:rPr>
            </w:pPr>
            <w:r>
              <w:rPr>
                <w:rFonts w:ascii="Arial"/>
                <w:sz w:val="20"/>
              </w:rPr>
              <w:t>YONYOU</w:t>
            </w:r>
            <w:r>
              <w:rPr>
                <w:rFonts w:ascii="Arial"/>
                <w:w w:val="99"/>
                <w:sz w:val="20"/>
              </w:rPr>
              <w:t> </w:t>
            </w:r>
            <w:r>
              <w:rPr>
                <w:rFonts w:ascii="Arial"/>
                <w:w w:val="95"/>
                <w:sz w:val="20"/>
              </w:rPr>
              <w:t>INTERNATIONAL</w:t>
            </w:r>
            <w:r>
              <w:rPr>
                <w:rFonts w:ascii="Arial"/>
                <w:sz w:val="20"/>
              </w:rPr>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b/>
                <w:bCs/>
                <w:sz w:val="15"/>
                <w:szCs w:val="15"/>
              </w:rPr>
            </w:pPr>
          </w:p>
          <w:p>
            <w:pPr>
              <w:pStyle w:val="TableParagraph"/>
              <w:spacing w:line="240" w:lineRule="auto"/>
              <w:ind w:left="429" w:right="0"/>
              <w:jc w:val="left"/>
              <w:rPr>
                <w:rFonts w:ascii="Arial" w:hAnsi="Arial" w:cs="Arial" w:eastAsia="Arial" w:hint="default"/>
                <w:sz w:val="20"/>
                <w:szCs w:val="20"/>
              </w:rPr>
            </w:pPr>
            <w:r>
              <w:rPr>
                <w:rFonts w:ascii="Arial"/>
                <w:sz w:val="20"/>
              </w:rPr>
              <w:t>18,268,141</w:t>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b/>
                <w:bCs/>
                <w:sz w:val="15"/>
                <w:szCs w:val="15"/>
              </w:rPr>
            </w:pPr>
          </w:p>
          <w:p>
            <w:pPr>
              <w:pStyle w:val="TableParagraph"/>
              <w:spacing w:line="240" w:lineRule="auto"/>
              <w:ind w:right="395"/>
              <w:jc w:val="right"/>
              <w:rPr>
                <w:rFonts w:ascii="Arial" w:hAnsi="Arial" w:cs="Arial" w:eastAsia="Arial" w:hint="default"/>
                <w:sz w:val="20"/>
                <w:szCs w:val="20"/>
              </w:rPr>
            </w:pPr>
            <w:r>
              <w:rPr>
                <w:rFonts w:ascii="Arial"/>
                <w:w w:val="99"/>
                <w:sz w:val="20"/>
              </w:rPr>
              <w:t>-</w:t>
            </w:r>
            <w:r>
              <w:rPr>
                <w:rFonts w:ascii="Arial"/>
                <w:sz w:val="20"/>
              </w:rPr>
            </w:r>
          </w:p>
        </w:tc>
        <w:tc>
          <w:tcPr>
            <w:tcW w:w="17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b/>
                <w:bCs/>
                <w:sz w:val="15"/>
                <w:szCs w:val="15"/>
              </w:rPr>
            </w:pPr>
          </w:p>
          <w:p>
            <w:pPr>
              <w:pStyle w:val="TableParagraph"/>
              <w:spacing w:line="240" w:lineRule="auto"/>
              <w:ind w:left="616" w:right="0"/>
              <w:jc w:val="left"/>
              <w:rPr>
                <w:rFonts w:ascii="Arial" w:hAnsi="Arial" w:cs="Arial" w:eastAsia="Arial" w:hint="default"/>
                <w:sz w:val="20"/>
                <w:szCs w:val="20"/>
              </w:rPr>
            </w:pPr>
            <w:r>
              <w:rPr>
                <w:rFonts w:ascii="Arial"/>
                <w:sz w:val="20"/>
              </w:rPr>
              <w:t>8,910,055</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黑体" w:hAnsi="黑体" w:cs="黑体" w:eastAsia="黑体" w:hint="default"/>
                <w:b/>
                <w:bCs/>
                <w:sz w:val="15"/>
                <w:szCs w:val="15"/>
              </w:rPr>
            </w:pPr>
          </w:p>
          <w:p>
            <w:pPr>
              <w:pStyle w:val="TableParagraph"/>
              <w:spacing w:line="240" w:lineRule="auto"/>
              <w:ind w:right="208"/>
              <w:jc w:val="right"/>
              <w:rPr>
                <w:rFonts w:ascii="Arial" w:hAnsi="Arial" w:cs="Arial" w:eastAsia="Arial" w:hint="default"/>
                <w:sz w:val="20"/>
                <w:szCs w:val="20"/>
              </w:rPr>
            </w:pPr>
            <w:r>
              <w:rPr>
                <w:rFonts w:ascii="Arial"/>
                <w:w w:val="99"/>
                <w:sz w:val="20"/>
              </w:rPr>
              <w:t>-</w:t>
            </w:r>
            <w:r>
              <w:rPr>
                <w:rFonts w:ascii="Arial"/>
                <w:sz w:val="20"/>
              </w:rPr>
            </w:r>
          </w:p>
        </w:tc>
      </w:tr>
      <w:tr>
        <w:trPr>
          <w:trHeight w:val="220" w:hRule="exact"/>
        </w:trPr>
        <w:tc>
          <w:tcPr>
            <w:tcW w:w="2564" w:type="dxa"/>
            <w:tcBorders>
              <w:top w:val="nil" w:sz="6" w:space="0" w:color="auto"/>
              <w:left w:val="nil" w:sz="6" w:space="0" w:color="auto"/>
              <w:bottom w:val="nil" w:sz="6" w:space="0" w:color="auto"/>
              <w:right w:val="nil" w:sz="6" w:space="0" w:color="auto"/>
            </w:tcBorders>
          </w:tcPr>
          <w:p>
            <w:pPr>
              <w:pStyle w:val="TableParagraph"/>
              <w:spacing w:line="205" w:lineRule="exact"/>
              <w:ind w:left="392" w:right="0"/>
              <w:jc w:val="left"/>
              <w:rPr>
                <w:rFonts w:ascii="黑体" w:hAnsi="黑体" w:cs="黑体" w:eastAsia="黑体" w:hint="default"/>
                <w:sz w:val="20"/>
                <w:szCs w:val="20"/>
              </w:rPr>
            </w:pPr>
            <w:r>
              <w:rPr>
                <w:rFonts w:ascii="黑体" w:hAnsi="黑体" w:cs="黑体" w:eastAsia="黑体" w:hint="default"/>
                <w:sz w:val="20"/>
                <w:szCs w:val="20"/>
              </w:rPr>
              <w:t>山东用友</w:t>
            </w:r>
          </w:p>
        </w:tc>
        <w:tc>
          <w:tcPr>
            <w:tcW w:w="1743" w:type="dxa"/>
            <w:tcBorders>
              <w:top w:val="nil" w:sz="6" w:space="0" w:color="auto"/>
              <w:left w:val="nil" w:sz="6" w:space="0" w:color="auto"/>
              <w:bottom w:val="nil" w:sz="6" w:space="0" w:color="auto"/>
              <w:right w:val="nil" w:sz="6" w:space="0" w:color="auto"/>
            </w:tcBorders>
          </w:tcPr>
          <w:p>
            <w:pPr>
              <w:pStyle w:val="TableParagraph"/>
              <w:spacing w:line="219" w:lineRule="exact"/>
              <w:ind w:left="539" w:right="0"/>
              <w:jc w:val="left"/>
              <w:rPr>
                <w:rFonts w:ascii="Arial" w:hAnsi="Arial" w:cs="Arial" w:eastAsia="Arial" w:hint="default"/>
                <w:sz w:val="20"/>
                <w:szCs w:val="20"/>
              </w:rPr>
            </w:pPr>
            <w:r>
              <w:rPr>
                <w:rFonts w:ascii="Arial"/>
                <w:sz w:val="20"/>
              </w:rPr>
              <w:t>4,865,415</w:t>
            </w:r>
          </w:p>
        </w:tc>
        <w:tc>
          <w:tcPr>
            <w:tcW w:w="1288" w:type="dxa"/>
            <w:tcBorders>
              <w:top w:val="nil" w:sz="6" w:space="0" w:color="auto"/>
              <w:left w:val="nil" w:sz="6" w:space="0" w:color="auto"/>
              <w:bottom w:val="nil" w:sz="6" w:space="0" w:color="auto"/>
              <w:right w:val="nil" w:sz="6" w:space="0" w:color="auto"/>
            </w:tcBorders>
          </w:tcPr>
          <w:p>
            <w:pPr>
              <w:pStyle w:val="TableParagraph"/>
              <w:spacing w:line="219" w:lineRule="exact"/>
              <w:ind w:right="395"/>
              <w:jc w:val="right"/>
              <w:rPr>
                <w:rFonts w:ascii="Arial" w:hAnsi="Arial" w:cs="Arial" w:eastAsia="Arial" w:hint="default"/>
                <w:sz w:val="20"/>
                <w:szCs w:val="20"/>
              </w:rPr>
            </w:pPr>
            <w:r>
              <w:rPr>
                <w:rFonts w:ascii="Arial"/>
                <w:w w:val="99"/>
                <w:sz w:val="20"/>
              </w:rPr>
              <w:t>-</w:t>
            </w:r>
            <w:r>
              <w:rPr>
                <w:rFonts w:ascii="Arial"/>
                <w:sz w:val="20"/>
              </w:rPr>
            </w:r>
          </w:p>
        </w:tc>
        <w:tc>
          <w:tcPr>
            <w:tcW w:w="1725" w:type="dxa"/>
            <w:tcBorders>
              <w:top w:val="nil" w:sz="6" w:space="0" w:color="auto"/>
              <w:left w:val="nil" w:sz="6" w:space="0" w:color="auto"/>
              <w:bottom w:val="nil" w:sz="6" w:space="0" w:color="auto"/>
              <w:right w:val="nil" w:sz="6" w:space="0" w:color="auto"/>
            </w:tcBorders>
          </w:tcPr>
          <w:p>
            <w:pPr>
              <w:pStyle w:val="TableParagraph"/>
              <w:spacing w:line="219" w:lineRule="exact"/>
              <w:ind w:left="616" w:right="0"/>
              <w:jc w:val="left"/>
              <w:rPr>
                <w:rFonts w:ascii="Arial" w:hAnsi="Arial" w:cs="Arial" w:eastAsia="Arial" w:hint="default"/>
                <w:sz w:val="20"/>
                <w:szCs w:val="20"/>
              </w:rPr>
            </w:pPr>
            <w:r>
              <w:rPr>
                <w:rFonts w:ascii="Arial"/>
                <w:sz w:val="20"/>
              </w:rPr>
              <w:t>6,856,296</w:t>
            </w:r>
          </w:p>
        </w:tc>
        <w:tc>
          <w:tcPr>
            <w:tcW w:w="1208" w:type="dxa"/>
            <w:tcBorders>
              <w:top w:val="nil" w:sz="6" w:space="0" w:color="auto"/>
              <w:left w:val="nil" w:sz="6" w:space="0" w:color="auto"/>
              <w:bottom w:val="nil" w:sz="6" w:space="0" w:color="auto"/>
              <w:right w:val="nil" w:sz="6" w:space="0" w:color="auto"/>
            </w:tcBorders>
          </w:tcPr>
          <w:p>
            <w:pPr>
              <w:pStyle w:val="TableParagraph"/>
              <w:spacing w:line="219" w:lineRule="exact"/>
              <w:ind w:right="208"/>
              <w:jc w:val="right"/>
              <w:rPr>
                <w:rFonts w:ascii="Arial" w:hAnsi="Arial" w:cs="Arial" w:eastAsia="Arial" w:hint="default"/>
                <w:sz w:val="20"/>
                <w:szCs w:val="20"/>
              </w:rPr>
            </w:pPr>
            <w:r>
              <w:rPr>
                <w:rFonts w:ascii="Arial"/>
                <w:w w:val="99"/>
                <w:sz w:val="20"/>
              </w:rPr>
              <w:t>-</w:t>
            </w:r>
            <w:r>
              <w:rPr>
                <w:rFonts w:ascii="Arial"/>
                <w:sz w:val="20"/>
              </w:rPr>
            </w:r>
          </w:p>
        </w:tc>
      </w:tr>
      <w:tr>
        <w:trPr>
          <w:trHeight w:val="220" w:hRule="exact"/>
        </w:trPr>
        <w:tc>
          <w:tcPr>
            <w:tcW w:w="2564" w:type="dxa"/>
            <w:tcBorders>
              <w:top w:val="nil" w:sz="6" w:space="0" w:color="auto"/>
              <w:left w:val="nil" w:sz="6" w:space="0" w:color="auto"/>
              <w:bottom w:val="nil" w:sz="6" w:space="0" w:color="auto"/>
              <w:right w:val="nil" w:sz="6" w:space="0" w:color="auto"/>
            </w:tcBorders>
          </w:tcPr>
          <w:p>
            <w:pPr>
              <w:pStyle w:val="TableParagraph"/>
              <w:spacing w:line="204" w:lineRule="exact"/>
              <w:ind w:left="392" w:right="0"/>
              <w:jc w:val="left"/>
              <w:rPr>
                <w:rFonts w:ascii="黑体" w:hAnsi="黑体" w:cs="黑体" w:eastAsia="黑体" w:hint="default"/>
                <w:sz w:val="20"/>
                <w:szCs w:val="20"/>
              </w:rPr>
            </w:pPr>
            <w:r>
              <w:rPr>
                <w:rFonts w:ascii="黑体" w:hAnsi="黑体" w:cs="黑体" w:eastAsia="黑体" w:hint="default"/>
                <w:sz w:val="20"/>
                <w:szCs w:val="20"/>
              </w:rPr>
              <w:t>广西用友</w:t>
            </w:r>
          </w:p>
        </w:tc>
        <w:tc>
          <w:tcPr>
            <w:tcW w:w="1743" w:type="dxa"/>
            <w:tcBorders>
              <w:top w:val="nil" w:sz="6" w:space="0" w:color="auto"/>
              <w:left w:val="nil" w:sz="6" w:space="0" w:color="auto"/>
              <w:bottom w:val="nil" w:sz="6" w:space="0" w:color="auto"/>
              <w:right w:val="nil" w:sz="6" w:space="0" w:color="auto"/>
            </w:tcBorders>
          </w:tcPr>
          <w:p>
            <w:pPr>
              <w:pStyle w:val="TableParagraph"/>
              <w:spacing w:line="218" w:lineRule="exact"/>
              <w:ind w:left="539" w:right="0"/>
              <w:jc w:val="left"/>
              <w:rPr>
                <w:rFonts w:ascii="Arial" w:hAnsi="Arial" w:cs="Arial" w:eastAsia="Arial" w:hint="default"/>
                <w:sz w:val="20"/>
                <w:szCs w:val="20"/>
              </w:rPr>
            </w:pPr>
            <w:r>
              <w:rPr>
                <w:rFonts w:ascii="Arial"/>
                <w:sz w:val="20"/>
              </w:rPr>
              <w:t>4,418,175</w:t>
            </w:r>
          </w:p>
        </w:tc>
        <w:tc>
          <w:tcPr>
            <w:tcW w:w="1288" w:type="dxa"/>
            <w:tcBorders>
              <w:top w:val="nil" w:sz="6" w:space="0" w:color="auto"/>
              <w:left w:val="nil" w:sz="6" w:space="0" w:color="auto"/>
              <w:bottom w:val="nil" w:sz="6" w:space="0" w:color="auto"/>
              <w:right w:val="nil" w:sz="6" w:space="0" w:color="auto"/>
            </w:tcBorders>
          </w:tcPr>
          <w:p>
            <w:pPr>
              <w:pStyle w:val="TableParagraph"/>
              <w:spacing w:line="218" w:lineRule="exact"/>
              <w:ind w:right="395"/>
              <w:jc w:val="right"/>
              <w:rPr>
                <w:rFonts w:ascii="Arial" w:hAnsi="Arial" w:cs="Arial" w:eastAsia="Arial" w:hint="default"/>
                <w:sz w:val="20"/>
                <w:szCs w:val="20"/>
              </w:rPr>
            </w:pPr>
            <w:r>
              <w:rPr>
                <w:rFonts w:ascii="Arial"/>
                <w:w w:val="99"/>
                <w:sz w:val="20"/>
              </w:rPr>
              <w:t>-</w:t>
            </w:r>
            <w:r>
              <w:rPr>
                <w:rFonts w:ascii="Arial"/>
                <w:sz w:val="20"/>
              </w:rPr>
            </w:r>
          </w:p>
        </w:tc>
        <w:tc>
          <w:tcPr>
            <w:tcW w:w="1725" w:type="dxa"/>
            <w:tcBorders>
              <w:top w:val="nil" w:sz="6" w:space="0" w:color="auto"/>
              <w:left w:val="nil" w:sz="6" w:space="0" w:color="auto"/>
              <w:bottom w:val="nil" w:sz="6" w:space="0" w:color="auto"/>
              <w:right w:val="nil" w:sz="6" w:space="0" w:color="auto"/>
            </w:tcBorders>
          </w:tcPr>
          <w:p>
            <w:pPr>
              <w:pStyle w:val="TableParagraph"/>
              <w:spacing w:line="218" w:lineRule="exact"/>
              <w:ind w:left="616" w:right="0"/>
              <w:jc w:val="left"/>
              <w:rPr>
                <w:rFonts w:ascii="Arial" w:hAnsi="Arial" w:cs="Arial" w:eastAsia="Arial" w:hint="default"/>
                <w:sz w:val="20"/>
                <w:szCs w:val="20"/>
              </w:rPr>
            </w:pPr>
            <w:r>
              <w:rPr>
                <w:rFonts w:ascii="Arial"/>
                <w:sz w:val="20"/>
              </w:rPr>
              <w:t>4,554,598</w:t>
            </w:r>
          </w:p>
        </w:tc>
        <w:tc>
          <w:tcPr>
            <w:tcW w:w="1208" w:type="dxa"/>
            <w:tcBorders>
              <w:top w:val="nil" w:sz="6" w:space="0" w:color="auto"/>
              <w:left w:val="nil" w:sz="6" w:space="0" w:color="auto"/>
              <w:bottom w:val="nil" w:sz="6" w:space="0" w:color="auto"/>
              <w:right w:val="nil" w:sz="6" w:space="0" w:color="auto"/>
            </w:tcBorders>
          </w:tcPr>
          <w:p>
            <w:pPr>
              <w:pStyle w:val="TableParagraph"/>
              <w:spacing w:line="218" w:lineRule="exact"/>
              <w:ind w:right="208"/>
              <w:jc w:val="right"/>
              <w:rPr>
                <w:rFonts w:ascii="Arial" w:hAnsi="Arial" w:cs="Arial" w:eastAsia="Arial" w:hint="default"/>
                <w:sz w:val="20"/>
                <w:szCs w:val="20"/>
              </w:rPr>
            </w:pPr>
            <w:r>
              <w:rPr>
                <w:rFonts w:ascii="Arial"/>
                <w:w w:val="99"/>
                <w:sz w:val="20"/>
              </w:rPr>
              <w:t>-</w:t>
            </w:r>
            <w:r>
              <w:rPr>
                <w:rFonts w:ascii="Arial"/>
                <w:sz w:val="20"/>
              </w:rPr>
            </w:r>
          </w:p>
        </w:tc>
      </w:tr>
      <w:tr>
        <w:trPr>
          <w:trHeight w:val="221" w:hRule="exact"/>
        </w:trPr>
        <w:tc>
          <w:tcPr>
            <w:tcW w:w="2564" w:type="dxa"/>
            <w:tcBorders>
              <w:top w:val="nil" w:sz="6" w:space="0" w:color="auto"/>
              <w:left w:val="nil" w:sz="6" w:space="0" w:color="auto"/>
              <w:bottom w:val="nil" w:sz="6" w:space="0" w:color="auto"/>
              <w:right w:val="nil" w:sz="6" w:space="0" w:color="auto"/>
            </w:tcBorders>
          </w:tcPr>
          <w:p>
            <w:pPr>
              <w:pStyle w:val="TableParagraph"/>
              <w:spacing w:line="219" w:lineRule="exact"/>
              <w:ind w:left="392" w:right="0"/>
              <w:jc w:val="left"/>
              <w:rPr>
                <w:rFonts w:ascii="Arial" w:hAnsi="Arial" w:cs="Arial" w:eastAsia="Arial" w:hint="default"/>
                <w:sz w:val="20"/>
                <w:szCs w:val="20"/>
              </w:rPr>
            </w:pPr>
            <w:r>
              <w:rPr>
                <w:rFonts w:ascii="黑体" w:hAnsi="黑体" w:cs="黑体" w:eastAsia="黑体" w:hint="default"/>
                <w:sz w:val="20"/>
                <w:szCs w:val="20"/>
              </w:rPr>
              <w:t>用友</w:t>
            </w:r>
            <w:r>
              <w:rPr>
                <w:rFonts w:ascii="Arial" w:hAnsi="Arial" w:cs="Arial" w:eastAsia="Arial" w:hint="default"/>
                <w:sz w:val="20"/>
                <w:szCs w:val="20"/>
              </w:rPr>
              <w:t>(</w:t>
            </w:r>
            <w:r>
              <w:rPr>
                <w:rFonts w:ascii="黑体" w:hAnsi="黑体" w:cs="黑体" w:eastAsia="黑体" w:hint="default"/>
                <w:sz w:val="20"/>
                <w:szCs w:val="20"/>
              </w:rPr>
              <w:t>南昌</w:t>
            </w:r>
            <w:r>
              <w:rPr>
                <w:rFonts w:ascii="Arial" w:hAnsi="Arial" w:cs="Arial" w:eastAsia="Arial" w:hint="default"/>
                <w:sz w:val="20"/>
                <w:szCs w:val="20"/>
              </w:rPr>
              <w:t>)</w:t>
            </w:r>
          </w:p>
        </w:tc>
        <w:tc>
          <w:tcPr>
            <w:tcW w:w="1743" w:type="dxa"/>
            <w:tcBorders>
              <w:top w:val="nil" w:sz="6" w:space="0" w:color="auto"/>
              <w:left w:val="nil" w:sz="6" w:space="0" w:color="auto"/>
              <w:bottom w:val="nil" w:sz="6" w:space="0" w:color="auto"/>
              <w:right w:val="nil" w:sz="6" w:space="0" w:color="auto"/>
            </w:tcBorders>
          </w:tcPr>
          <w:p>
            <w:pPr>
              <w:pStyle w:val="TableParagraph"/>
              <w:spacing w:line="219" w:lineRule="exact"/>
              <w:ind w:left="429" w:right="0"/>
              <w:jc w:val="left"/>
              <w:rPr>
                <w:rFonts w:ascii="Arial" w:hAnsi="Arial" w:cs="Arial" w:eastAsia="Arial" w:hint="default"/>
                <w:sz w:val="20"/>
                <w:szCs w:val="20"/>
              </w:rPr>
            </w:pPr>
            <w:r>
              <w:rPr>
                <w:rFonts w:ascii="Arial"/>
                <w:sz w:val="20"/>
              </w:rPr>
              <w:t>58,000,000</w:t>
            </w:r>
          </w:p>
        </w:tc>
        <w:tc>
          <w:tcPr>
            <w:tcW w:w="1288" w:type="dxa"/>
            <w:tcBorders>
              <w:top w:val="nil" w:sz="6" w:space="0" w:color="auto"/>
              <w:left w:val="nil" w:sz="6" w:space="0" w:color="auto"/>
              <w:bottom w:val="nil" w:sz="6" w:space="0" w:color="auto"/>
              <w:right w:val="nil" w:sz="6" w:space="0" w:color="auto"/>
            </w:tcBorders>
          </w:tcPr>
          <w:p>
            <w:pPr>
              <w:pStyle w:val="TableParagraph"/>
              <w:spacing w:line="219" w:lineRule="exact"/>
              <w:ind w:right="395"/>
              <w:jc w:val="right"/>
              <w:rPr>
                <w:rFonts w:ascii="Arial" w:hAnsi="Arial" w:cs="Arial" w:eastAsia="Arial" w:hint="default"/>
                <w:sz w:val="20"/>
                <w:szCs w:val="20"/>
              </w:rPr>
            </w:pPr>
            <w:r>
              <w:rPr>
                <w:rFonts w:ascii="Arial"/>
                <w:w w:val="99"/>
                <w:sz w:val="20"/>
              </w:rPr>
              <w:t>-</w:t>
            </w:r>
            <w:r>
              <w:rPr>
                <w:rFonts w:ascii="Arial"/>
                <w:sz w:val="20"/>
              </w:rPr>
            </w:r>
          </w:p>
        </w:tc>
        <w:tc>
          <w:tcPr>
            <w:tcW w:w="1725" w:type="dxa"/>
            <w:tcBorders>
              <w:top w:val="nil" w:sz="6" w:space="0" w:color="auto"/>
              <w:left w:val="nil" w:sz="6" w:space="0" w:color="auto"/>
              <w:bottom w:val="nil" w:sz="6" w:space="0" w:color="auto"/>
              <w:right w:val="nil" w:sz="6" w:space="0" w:color="auto"/>
            </w:tcBorders>
          </w:tcPr>
          <w:p>
            <w:pPr>
              <w:pStyle w:val="TableParagraph"/>
              <w:spacing w:line="219" w:lineRule="exact"/>
              <w:ind w:left="616" w:right="0"/>
              <w:jc w:val="left"/>
              <w:rPr>
                <w:rFonts w:ascii="Arial" w:hAnsi="Arial" w:cs="Arial" w:eastAsia="Arial" w:hint="default"/>
                <w:sz w:val="20"/>
                <w:szCs w:val="20"/>
              </w:rPr>
            </w:pPr>
            <w:r>
              <w:rPr>
                <w:rFonts w:ascii="Arial"/>
                <w:sz w:val="20"/>
              </w:rPr>
              <w:t>4,000,000</w:t>
            </w:r>
          </w:p>
        </w:tc>
        <w:tc>
          <w:tcPr>
            <w:tcW w:w="1208" w:type="dxa"/>
            <w:tcBorders>
              <w:top w:val="nil" w:sz="6" w:space="0" w:color="auto"/>
              <w:left w:val="nil" w:sz="6" w:space="0" w:color="auto"/>
              <w:bottom w:val="nil" w:sz="6" w:space="0" w:color="auto"/>
              <w:right w:val="nil" w:sz="6" w:space="0" w:color="auto"/>
            </w:tcBorders>
          </w:tcPr>
          <w:p>
            <w:pPr>
              <w:pStyle w:val="TableParagraph"/>
              <w:spacing w:line="219" w:lineRule="exact"/>
              <w:ind w:right="208"/>
              <w:jc w:val="right"/>
              <w:rPr>
                <w:rFonts w:ascii="Arial" w:hAnsi="Arial" w:cs="Arial" w:eastAsia="Arial" w:hint="default"/>
                <w:sz w:val="20"/>
                <w:szCs w:val="20"/>
              </w:rPr>
            </w:pPr>
            <w:r>
              <w:rPr>
                <w:rFonts w:ascii="Arial"/>
                <w:w w:val="99"/>
                <w:sz w:val="20"/>
              </w:rPr>
              <w:t>-</w:t>
            </w:r>
            <w:r>
              <w:rPr>
                <w:rFonts w:ascii="Arial"/>
                <w:sz w:val="20"/>
              </w:rPr>
            </w:r>
          </w:p>
        </w:tc>
      </w:tr>
      <w:tr>
        <w:trPr>
          <w:trHeight w:val="220" w:hRule="exact"/>
        </w:trPr>
        <w:tc>
          <w:tcPr>
            <w:tcW w:w="2564" w:type="dxa"/>
            <w:tcBorders>
              <w:top w:val="nil" w:sz="6" w:space="0" w:color="auto"/>
              <w:left w:val="nil" w:sz="6" w:space="0" w:color="auto"/>
              <w:bottom w:val="nil" w:sz="6" w:space="0" w:color="auto"/>
              <w:right w:val="nil" w:sz="6" w:space="0" w:color="auto"/>
            </w:tcBorders>
          </w:tcPr>
          <w:p>
            <w:pPr>
              <w:pStyle w:val="TableParagraph"/>
              <w:spacing w:line="205" w:lineRule="exact"/>
              <w:ind w:left="392" w:right="0"/>
              <w:jc w:val="left"/>
              <w:rPr>
                <w:rFonts w:ascii="黑体" w:hAnsi="黑体" w:cs="黑体" w:eastAsia="黑体" w:hint="default"/>
                <w:sz w:val="20"/>
                <w:szCs w:val="20"/>
              </w:rPr>
            </w:pPr>
            <w:r>
              <w:rPr>
                <w:rFonts w:ascii="黑体" w:hAnsi="黑体" w:cs="黑体" w:eastAsia="黑体" w:hint="default"/>
                <w:sz w:val="20"/>
                <w:szCs w:val="20"/>
              </w:rPr>
              <w:t>内蒙古用友</w:t>
            </w:r>
          </w:p>
        </w:tc>
        <w:tc>
          <w:tcPr>
            <w:tcW w:w="1743" w:type="dxa"/>
            <w:tcBorders>
              <w:top w:val="nil" w:sz="6" w:space="0" w:color="auto"/>
              <w:left w:val="nil" w:sz="6" w:space="0" w:color="auto"/>
              <w:bottom w:val="nil" w:sz="6" w:space="0" w:color="auto"/>
              <w:right w:val="nil" w:sz="6" w:space="0" w:color="auto"/>
            </w:tcBorders>
          </w:tcPr>
          <w:p>
            <w:pPr>
              <w:pStyle w:val="TableParagraph"/>
              <w:spacing w:line="219" w:lineRule="exact"/>
              <w:ind w:left="539" w:right="0"/>
              <w:jc w:val="left"/>
              <w:rPr>
                <w:rFonts w:ascii="Arial" w:hAnsi="Arial" w:cs="Arial" w:eastAsia="Arial" w:hint="default"/>
                <w:sz w:val="20"/>
                <w:szCs w:val="20"/>
              </w:rPr>
            </w:pPr>
            <w:r>
              <w:rPr>
                <w:rFonts w:ascii="Arial"/>
                <w:sz w:val="20"/>
              </w:rPr>
              <w:t>3,705,259</w:t>
            </w:r>
          </w:p>
        </w:tc>
        <w:tc>
          <w:tcPr>
            <w:tcW w:w="1288" w:type="dxa"/>
            <w:tcBorders>
              <w:top w:val="nil" w:sz="6" w:space="0" w:color="auto"/>
              <w:left w:val="nil" w:sz="6" w:space="0" w:color="auto"/>
              <w:bottom w:val="nil" w:sz="6" w:space="0" w:color="auto"/>
              <w:right w:val="nil" w:sz="6" w:space="0" w:color="auto"/>
            </w:tcBorders>
          </w:tcPr>
          <w:p>
            <w:pPr>
              <w:pStyle w:val="TableParagraph"/>
              <w:spacing w:line="219" w:lineRule="exact"/>
              <w:ind w:right="395"/>
              <w:jc w:val="right"/>
              <w:rPr>
                <w:rFonts w:ascii="Arial" w:hAnsi="Arial" w:cs="Arial" w:eastAsia="Arial" w:hint="default"/>
                <w:sz w:val="20"/>
                <w:szCs w:val="20"/>
              </w:rPr>
            </w:pPr>
            <w:r>
              <w:rPr>
                <w:rFonts w:ascii="Arial"/>
                <w:w w:val="99"/>
                <w:sz w:val="20"/>
              </w:rPr>
              <w:t>-</w:t>
            </w:r>
            <w:r>
              <w:rPr>
                <w:rFonts w:ascii="Arial"/>
                <w:sz w:val="20"/>
              </w:rPr>
            </w:r>
          </w:p>
        </w:tc>
        <w:tc>
          <w:tcPr>
            <w:tcW w:w="1725" w:type="dxa"/>
            <w:tcBorders>
              <w:top w:val="nil" w:sz="6" w:space="0" w:color="auto"/>
              <w:left w:val="nil" w:sz="6" w:space="0" w:color="auto"/>
              <w:bottom w:val="nil" w:sz="6" w:space="0" w:color="auto"/>
              <w:right w:val="nil" w:sz="6" w:space="0" w:color="auto"/>
            </w:tcBorders>
          </w:tcPr>
          <w:p>
            <w:pPr>
              <w:pStyle w:val="TableParagraph"/>
              <w:spacing w:line="219" w:lineRule="exact"/>
              <w:ind w:left="616" w:right="0"/>
              <w:jc w:val="left"/>
              <w:rPr>
                <w:rFonts w:ascii="Arial" w:hAnsi="Arial" w:cs="Arial" w:eastAsia="Arial" w:hint="default"/>
                <w:sz w:val="20"/>
                <w:szCs w:val="20"/>
              </w:rPr>
            </w:pPr>
            <w:r>
              <w:rPr>
                <w:rFonts w:ascii="Arial"/>
                <w:sz w:val="20"/>
              </w:rPr>
              <w:t>3,652,216</w:t>
            </w:r>
          </w:p>
        </w:tc>
        <w:tc>
          <w:tcPr>
            <w:tcW w:w="1208" w:type="dxa"/>
            <w:tcBorders>
              <w:top w:val="nil" w:sz="6" w:space="0" w:color="auto"/>
              <w:left w:val="nil" w:sz="6" w:space="0" w:color="auto"/>
              <w:bottom w:val="nil" w:sz="6" w:space="0" w:color="auto"/>
              <w:right w:val="nil" w:sz="6" w:space="0" w:color="auto"/>
            </w:tcBorders>
          </w:tcPr>
          <w:p>
            <w:pPr>
              <w:pStyle w:val="TableParagraph"/>
              <w:spacing w:line="219" w:lineRule="exact"/>
              <w:ind w:right="208"/>
              <w:jc w:val="right"/>
              <w:rPr>
                <w:rFonts w:ascii="Arial" w:hAnsi="Arial" w:cs="Arial" w:eastAsia="Arial" w:hint="default"/>
                <w:sz w:val="20"/>
                <w:szCs w:val="20"/>
              </w:rPr>
            </w:pPr>
            <w:r>
              <w:rPr>
                <w:rFonts w:ascii="Arial"/>
                <w:w w:val="99"/>
                <w:sz w:val="20"/>
              </w:rPr>
              <w:t>-</w:t>
            </w:r>
            <w:r>
              <w:rPr>
                <w:rFonts w:ascii="Arial"/>
                <w:sz w:val="20"/>
              </w:rPr>
            </w:r>
          </w:p>
        </w:tc>
      </w:tr>
      <w:tr>
        <w:trPr>
          <w:trHeight w:val="220" w:hRule="exact"/>
        </w:trPr>
        <w:tc>
          <w:tcPr>
            <w:tcW w:w="2564" w:type="dxa"/>
            <w:tcBorders>
              <w:top w:val="nil" w:sz="6" w:space="0" w:color="auto"/>
              <w:left w:val="nil" w:sz="6" w:space="0" w:color="auto"/>
              <w:bottom w:val="nil" w:sz="6" w:space="0" w:color="auto"/>
              <w:right w:val="nil" w:sz="6" w:space="0" w:color="auto"/>
            </w:tcBorders>
          </w:tcPr>
          <w:p>
            <w:pPr>
              <w:pStyle w:val="TableParagraph"/>
              <w:spacing w:line="204" w:lineRule="exact"/>
              <w:ind w:left="392" w:right="0"/>
              <w:jc w:val="left"/>
              <w:rPr>
                <w:rFonts w:ascii="黑体" w:hAnsi="黑体" w:cs="黑体" w:eastAsia="黑体" w:hint="default"/>
                <w:sz w:val="20"/>
                <w:szCs w:val="20"/>
              </w:rPr>
            </w:pPr>
            <w:r>
              <w:rPr>
                <w:rFonts w:ascii="黑体" w:hAnsi="黑体" w:cs="黑体" w:eastAsia="黑体" w:hint="default"/>
                <w:sz w:val="20"/>
                <w:szCs w:val="20"/>
              </w:rPr>
              <w:t>天津用友</w:t>
            </w:r>
          </w:p>
        </w:tc>
        <w:tc>
          <w:tcPr>
            <w:tcW w:w="1743" w:type="dxa"/>
            <w:tcBorders>
              <w:top w:val="nil" w:sz="6" w:space="0" w:color="auto"/>
              <w:left w:val="nil" w:sz="6" w:space="0" w:color="auto"/>
              <w:bottom w:val="nil" w:sz="6" w:space="0" w:color="auto"/>
              <w:right w:val="nil" w:sz="6" w:space="0" w:color="auto"/>
            </w:tcBorders>
          </w:tcPr>
          <w:p>
            <w:pPr>
              <w:pStyle w:val="TableParagraph"/>
              <w:spacing w:line="218" w:lineRule="exact"/>
              <w:ind w:left="818" w:right="0"/>
              <w:jc w:val="left"/>
              <w:rPr>
                <w:rFonts w:ascii="Arial" w:hAnsi="Arial" w:cs="Arial" w:eastAsia="Arial" w:hint="default"/>
                <w:sz w:val="20"/>
                <w:szCs w:val="20"/>
              </w:rPr>
            </w:pPr>
            <w:r>
              <w:rPr>
                <w:rFonts w:ascii="Arial"/>
                <w:sz w:val="20"/>
              </w:rPr>
              <w:t>14,414</w:t>
            </w:r>
          </w:p>
        </w:tc>
        <w:tc>
          <w:tcPr>
            <w:tcW w:w="1288" w:type="dxa"/>
            <w:tcBorders>
              <w:top w:val="nil" w:sz="6" w:space="0" w:color="auto"/>
              <w:left w:val="nil" w:sz="6" w:space="0" w:color="auto"/>
              <w:bottom w:val="nil" w:sz="6" w:space="0" w:color="auto"/>
              <w:right w:val="nil" w:sz="6" w:space="0" w:color="auto"/>
            </w:tcBorders>
          </w:tcPr>
          <w:p>
            <w:pPr>
              <w:pStyle w:val="TableParagraph"/>
              <w:spacing w:line="218" w:lineRule="exact"/>
              <w:ind w:right="395"/>
              <w:jc w:val="right"/>
              <w:rPr>
                <w:rFonts w:ascii="Arial" w:hAnsi="Arial" w:cs="Arial" w:eastAsia="Arial" w:hint="default"/>
                <w:sz w:val="20"/>
                <w:szCs w:val="20"/>
              </w:rPr>
            </w:pPr>
            <w:r>
              <w:rPr>
                <w:rFonts w:ascii="Arial"/>
                <w:w w:val="99"/>
                <w:sz w:val="20"/>
              </w:rPr>
              <w:t>-</w:t>
            </w:r>
            <w:r>
              <w:rPr>
                <w:rFonts w:ascii="Arial"/>
                <w:sz w:val="20"/>
              </w:rPr>
            </w:r>
          </w:p>
        </w:tc>
        <w:tc>
          <w:tcPr>
            <w:tcW w:w="1725" w:type="dxa"/>
            <w:tcBorders>
              <w:top w:val="nil" w:sz="6" w:space="0" w:color="auto"/>
              <w:left w:val="nil" w:sz="6" w:space="0" w:color="auto"/>
              <w:bottom w:val="nil" w:sz="6" w:space="0" w:color="auto"/>
              <w:right w:val="nil" w:sz="6" w:space="0" w:color="auto"/>
            </w:tcBorders>
          </w:tcPr>
          <w:p>
            <w:pPr>
              <w:pStyle w:val="TableParagraph"/>
              <w:spacing w:line="218" w:lineRule="exact"/>
              <w:ind w:left="616" w:right="0"/>
              <w:jc w:val="left"/>
              <w:rPr>
                <w:rFonts w:ascii="Arial" w:hAnsi="Arial" w:cs="Arial" w:eastAsia="Arial" w:hint="default"/>
                <w:sz w:val="20"/>
                <w:szCs w:val="20"/>
              </w:rPr>
            </w:pPr>
            <w:r>
              <w:rPr>
                <w:rFonts w:ascii="Arial"/>
                <w:sz w:val="20"/>
              </w:rPr>
              <w:t>2,516,042</w:t>
            </w:r>
          </w:p>
        </w:tc>
        <w:tc>
          <w:tcPr>
            <w:tcW w:w="1208" w:type="dxa"/>
            <w:tcBorders>
              <w:top w:val="nil" w:sz="6" w:space="0" w:color="auto"/>
              <w:left w:val="nil" w:sz="6" w:space="0" w:color="auto"/>
              <w:bottom w:val="nil" w:sz="6" w:space="0" w:color="auto"/>
              <w:right w:val="nil" w:sz="6" w:space="0" w:color="auto"/>
            </w:tcBorders>
          </w:tcPr>
          <w:p>
            <w:pPr>
              <w:pStyle w:val="TableParagraph"/>
              <w:spacing w:line="218" w:lineRule="exact"/>
              <w:ind w:right="208"/>
              <w:jc w:val="right"/>
              <w:rPr>
                <w:rFonts w:ascii="Arial" w:hAnsi="Arial" w:cs="Arial" w:eastAsia="Arial" w:hint="default"/>
                <w:sz w:val="20"/>
                <w:szCs w:val="20"/>
              </w:rPr>
            </w:pPr>
            <w:r>
              <w:rPr>
                <w:rFonts w:ascii="Arial"/>
                <w:w w:val="99"/>
                <w:sz w:val="20"/>
              </w:rPr>
              <w:t>-</w:t>
            </w:r>
            <w:r>
              <w:rPr>
                <w:rFonts w:ascii="Arial"/>
                <w:sz w:val="20"/>
              </w:rPr>
            </w:r>
          </w:p>
        </w:tc>
      </w:tr>
      <w:tr>
        <w:trPr>
          <w:trHeight w:val="221" w:hRule="exact"/>
        </w:trPr>
        <w:tc>
          <w:tcPr>
            <w:tcW w:w="2564" w:type="dxa"/>
            <w:tcBorders>
              <w:top w:val="nil" w:sz="6" w:space="0" w:color="auto"/>
              <w:left w:val="nil" w:sz="6" w:space="0" w:color="auto"/>
              <w:bottom w:val="nil" w:sz="6" w:space="0" w:color="auto"/>
              <w:right w:val="nil" w:sz="6" w:space="0" w:color="auto"/>
            </w:tcBorders>
          </w:tcPr>
          <w:p>
            <w:pPr>
              <w:pStyle w:val="TableParagraph"/>
              <w:spacing w:line="205" w:lineRule="exact"/>
              <w:ind w:left="392" w:right="0"/>
              <w:jc w:val="left"/>
              <w:rPr>
                <w:rFonts w:ascii="黑体" w:hAnsi="黑体" w:cs="黑体" w:eastAsia="黑体" w:hint="default"/>
                <w:sz w:val="20"/>
                <w:szCs w:val="20"/>
              </w:rPr>
            </w:pPr>
            <w:r>
              <w:rPr>
                <w:rFonts w:ascii="黑体" w:hAnsi="黑体" w:cs="黑体" w:eastAsia="黑体" w:hint="default"/>
                <w:sz w:val="20"/>
                <w:szCs w:val="20"/>
              </w:rPr>
              <w:t>滨海用友</w:t>
            </w:r>
          </w:p>
        </w:tc>
        <w:tc>
          <w:tcPr>
            <w:tcW w:w="1743" w:type="dxa"/>
            <w:tcBorders>
              <w:top w:val="nil" w:sz="6" w:space="0" w:color="auto"/>
              <w:left w:val="nil" w:sz="6" w:space="0" w:color="auto"/>
              <w:bottom w:val="nil" w:sz="6" w:space="0" w:color="auto"/>
              <w:right w:val="nil" w:sz="6" w:space="0" w:color="auto"/>
            </w:tcBorders>
          </w:tcPr>
          <w:p>
            <w:pPr>
              <w:pStyle w:val="TableParagraph"/>
              <w:spacing w:line="219" w:lineRule="exact"/>
              <w:ind w:right="312"/>
              <w:jc w:val="right"/>
              <w:rPr>
                <w:rFonts w:ascii="Arial" w:hAnsi="Arial" w:cs="Arial" w:eastAsia="Arial" w:hint="default"/>
                <w:sz w:val="20"/>
                <w:szCs w:val="20"/>
              </w:rPr>
            </w:pPr>
            <w:r>
              <w:rPr>
                <w:rFonts w:ascii="Arial"/>
                <w:w w:val="99"/>
                <w:sz w:val="20"/>
              </w:rPr>
              <w:t>-</w:t>
            </w:r>
            <w:r>
              <w:rPr>
                <w:rFonts w:ascii="Arial"/>
                <w:sz w:val="20"/>
              </w:rPr>
            </w:r>
          </w:p>
        </w:tc>
        <w:tc>
          <w:tcPr>
            <w:tcW w:w="1288" w:type="dxa"/>
            <w:tcBorders>
              <w:top w:val="nil" w:sz="6" w:space="0" w:color="auto"/>
              <w:left w:val="nil" w:sz="6" w:space="0" w:color="auto"/>
              <w:bottom w:val="nil" w:sz="6" w:space="0" w:color="auto"/>
              <w:right w:val="nil" w:sz="6" w:space="0" w:color="auto"/>
            </w:tcBorders>
          </w:tcPr>
          <w:p>
            <w:pPr>
              <w:pStyle w:val="TableParagraph"/>
              <w:spacing w:line="219" w:lineRule="exact"/>
              <w:ind w:right="395"/>
              <w:jc w:val="right"/>
              <w:rPr>
                <w:rFonts w:ascii="Arial" w:hAnsi="Arial" w:cs="Arial" w:eastAsia="Arial" w:hint="default"/>
                <w:sz w:val="20"/>
                <w:szCs w:val="20"/>
              </w:rPr>
            </w:pPr>
            <w:r>
              <w:rPr>
                <w:rFonts w:ascii="Arial"/>
                <w:w w:val="99"/>
                <w:sz w:val="20"/>
              </w:rPr>
              <w:t>-</w:t>
            </w:r>
            <w:r>
              <w:rPr>
                <w:rFonts w:ascii="Arial"/>
                <w:sz w:val="20"/>
              </w:rPr>
            </w:r>
          </w:p>
        </w:tc>
        <w:tc>
          <w:tcPr>
            <w:tcW w:w="1725" w:type="dxa"/>
            <w:tcBorders>
              <w:top w:val="nil" w:sz="6" w:space="0" w:color="auto"/>
              <w:left w:val="nil" w:sz="6" w:space="0" w:color="auto"/>
              <w:bottom w:val="nil" w:sz="6" w:space="0" w:color="auto"/>
              <w:right w:val="nil" w:sz="6" w:space="0" w:color="auto"/>
            </w:tcBorders>
          </w:tcPr>
          <w:p>
            <w:pPr>
              <w:pStyle w:val="TableParagraph"/>
              <w:spacing w:line="219" w:lineRule="exact"/>
              <w:ind w:left="784" w:right="0"/>
              <w:jc w:val="left"/>
              <w:rPr>
                <w:rFonts w:ascii="Arial" w:hAnsi="Arial" w:cs="Arial" w:eastAsia="Arial" w:hint="default"/>
                <w:sz w:val="20"/>
                <w:szCs w:val="20"/>
              </w:rPr>
            </w:pPr>
            <w:r>
              <w:rPr>
                <w:rFonts w:ascii="Arial"/>
                <w:sz w:val="20"/>
              </w:rPr>
              <w:t>350,000</w:t>
            </w:r>
          </w:p>
        </w:tc>
        <w:tc>
          <w:tcPr>
            <w:tcW w:w="1208" w:type="dxa"/>
            <w:tcBorders>
              <w:top w:val="nil" w:sz="6" w:space="0" w:color="auto"/>
              <w:left w:val="nil" w:sz="6" w:space="0" w:color="auto"/>
              <w:bottom w:val="nil" w:sz="6" w:space="0" w:color="auto"/>
              <w:right w:val="nil" w:sz="6" w:space="0" w:color="auto"/>
            </w:tcBorders>
          </w:tcPr>
          <w:p>
            <w:pPr>
              <w:pStyle w:val="TableParagraph"/>
              <w:spacing w:line="219" w:lineRule="exact"/>
              <w:ind w:right="208"/>
              <w:jc w:val="right"/>
              <w:rPr>
                <w:rFonts w:ascii="Arial" w:hAnsi="Arial" w:cs="Arial" w:eastAsia="Arial" w:hint="default"/>
                <w:sz w:val="20"/>
                <w:szCs w:val="20"/>
              </w:rPr>
            </w:pPr>
            <w:r>
              <w:rPr>
                <w:rFonts w:ascii="Arial"/>
                <w:w w:val="99"/>
                <w:sz w:val="20"/>
              </w:rPr>
              <w:t>-</w:t>
            </w:r>
            <w:r>
              <w:rPr>
                <w:rFonts w:ascii="Arial"/>
                <w:sz w:val="20"/>
              </w:rPr>
            </w:r>
          </w:p>
        </w:tc>
      </w:tr>
      <w:tr>
        <w:trPr>
          <w:trHeight w:val="220" w:hRule="exact"/>
        </w:trPr>
        <w:tc>
          <w:tcPr>
            <w:tcW w:w="2564" w:type="dxa"/>
            <w:tcBorders>
              <w:top w:val="nil" w:sz="6" w:space="0" w:color="auto"/>
              <w:left w:val="nil" w:sz="6" w:space="0" w:color="auto"/>
              <w:bottom w:val="nil" w:sz="6" w:space="0" w:color="auto"/>
              <w:right w:val="nil" w:sz="6" w:space="0" w:color="auto"/>
            </w:tcBorders>
          </w:tcPr>
          <w:p>
            <w:pPr>
              <w:pStyle w:val="TableParagraph"/>
              <w:spacing w:line="205" w:lineRule="exact"/>
              <w:ind w:left="392" w:right="0"/>
              <w:jc w:val="left"/>
              <w:rPr>
                <w:rFonts w:ascii="黑体" w:hAnsi="黑体" w:cs="黑体" w:eastAsia="黑体" w:hint="default"/>
                <w:sz w:val="20"/>
                <w:szCs w:val="20"/>
              </w:rPr>
            </w:pPr>
            <w:r>
              <w:rPr>
                <w:rFonts w:ascii="黑体" w:hAnsi="黑体" w:cs="黑体" w:eastAsia="黑体" w:hint="default"/>
                <w:sz w:val="20"/>
                <w:szCs w:val="20"/>
              </w:rPr>
              <w:t>长伴咨询</w:t>
            </w:r>
          </w:p>
        </w:tc>
        <w:tc>
          <w:tcPr>
            <w:tcW w:w="1743" w:type="dxa"/>
            <w:tcBorders>
              <w:top w:val="nil" w:sz="6" w:space="0" w:color="auto"/>
              <w:left w:val="nil" w:sz="6" w:space="0" w:color="auto"/>
              <w:bottom w:val="nil" w:sz="6" w:space="0" w:color="auto"/>
              <w:right w:val="nil" w:sz="6" w:space="0" w:color="auto"/>
            </w:tcBorders>
          </w:tcPr>
          <w:p>
            <w:pPr>
              <w:pStyle w:val="TableParagraph"/>
              <w:spacing w:line="219" w:lineRule="exact"/>
              <w:ind w:left="429" w:right="0"/>
              <w:jc w:val="left"/>
              <w:rPr>
                <w:rFonts w:ascii="Arial" w:hAnsi="Arial" w:cs="Arial" w:eastAsia="Arial" w:hint="default"/>
                <w:sz w:val="20"/>
                <w:szCs w:val="20"/>
              </w:rPr>
            </w:pPr>
            <w:r>
              <w:rPr>
                <w:rFonts w:ascii="Arial"/>
                <w:sz w:val="20"/>
              </w:rPr>
              <w:t>12,512,830</w:t>
            </w:r>
          </w:p>
        </w:tc>
        <w:tc>
          <w:tcPr>
            <w:tcW w:w="1288" w:type="dxa"/>
            <w:tcBorders>
              <w:top w:val="nil" w:sz="6" w:space="0" w:color="auto"/>
              <w:left w:val="nil" w:sz="6" w:space="0" w:color="auto"/>
              <w:bottom w:val="nil" w:sz="6" w:space="0" w:color="auto"/>
              <w:right w:val="nil" w:sz="6" w:space="0" w:color="auto"/>
            </w:tcBorders>
          </w:tcPr>
          <w:p>
            <w:pPr>
              <w:pStyle w:val="TableParagraph"/>
              <w:spacing w:line="219" w:lineRule="exact"/>
              <w:ind w:right="395"/>
              <w:jc w:val="right"/>
              <w:rPr>
                <w:rFonts w:ascii="Arial" w:hAnsi="Arial" w:cs="Arial" w:eastAsia="Arial" w:hint="default"/>
                <w:sz w:val="20"/>
                <w:szCs w:val="20"/>
              </w:rPr>
            </w:pPr>
            <w:r>
              <w:rPr>
                <w:rFonts w:ascii="Arial"/>
                <w:w w:val="99"/>
                <w:sz w:val="20"/>
              </w:rPr>
              <w:t>-</w:t>
            </w:r>
            <w:r>
              <w:rPr>
                <w:rFonts w:ascii="Arial"/>
                <w:sz w:val="20"/>
              </w:rPr>
            </w:r>
          </w:p>
        </w:tc>
        <w:tc>
          <w:tcPr>
            <w:tcW w:w="1725" w:type="dxa"/>
            <w:tcBorders>
              <w:top w:val="nil" w:sz="6" w:space="0" w:color="auto"/>
              <w:left w:val="nil" w:sz="6" w:space="0" w:color="auto"/>
              <w:bottom w:val="nil" w:sz="6" w:space="0" w:color="auto"/>
              <w:right w:val="nil" w:sz="6" w:space="0" w:color="auto"/>
            </w:tcBorders>
          </w:tcPr>
          <w:p>
            <w:pPr>
              <w:pStyle w:val="TableParagraph"/>
              <w:spacing w:line="219" w:lineRule="exact"/>
              <w:ind w:right="217"/>
              <w:jc w:val="right"/>
              <w:rPr>
                <w:rFonts w:ascii="Arial" w:hAnsi="Arial" w:cs="Arial" w:eastAsia="Arial" w:hint="default"/>
                <w:sz w:val="20"/>
                <w:szCs w:val="20"/>
              </w:rPr>
            </w:pPr>
            <w:r>
              <w:rPr>
                <w:rFonts w:ascii="Arial"/>
                <w:w w:val="99"/>
                <w:sz w:val="20"/>
              </w:rPr>
              <w:t>-</w:t>
            </w:r>
            <w:r>
              <w:rPr>
                <w:rFonts w:ascii="Arial"/>
                <w:sz w:val="20"/>
              </w:rPr>
            </w:r>
          </w:p>
        </w:tc>
        <w:tc>
          <w:tcPr>
            <w:tcW w:w="1208" w:type="dxa"/>
            <w:tcBorders>
              <w:top w:val="nil" w:sz="6" w:space="0" w:color="auto"/>
              <w:left w:val="nil" w:sz="6" w:space="0" w:color="auto"/>
              <w:bottom w:val="nil" w:sz="6" w:space="0" w:color="auto"/>
              <w:right w:val="nil" w:sz="6" w:space="0" w:color="auto"/>
            </w:tcBorders>
          </w:tcPr>
          <w:p>
            <w:pPr>
              <w:pStyle w:val="TableParagraph"/>
              <w:spacing w:line="219" w:lineRule="exact"/>
              <w:ind w:right="208"/>
              <w:jc w:val="right"/>
              <w:rPr>
                <w:rFonts w:ascii="Arial" w:hAnsi="Arial" w:cs="Arial" w:eastAsia="Arial" w:hint="default"/>
                <w:sz w:val="20"/>
                <w:szCs w:val="20"/>
              </w:rPr>
            </w:pPr>
            <w:r>
              <w:rPr>
                <w:rFonts w:ascii="Arial"/>
                <w:w w:val="99"/>
                <w:sz w:val="20"/>
              </w:rPr>
              <w:t>-</w:t>
            </w:r>
            <w:r>
              <w:rPr>
                <w:rFonts w:ascii="Arial"/>
                <w:sz w:val="20"/>
              </w:rPr>
            </w:r>
          </w:p>
        </w:tc>
      </w:tr>
      <w:tr>
        <w:trPr>
          <w:trHeight w:val="220" w:hRule="exact"/>
        </w:trPr>
        <w:tc>
          <w:tcPr>
            <w:tcW w:w="2564" w:type="dxa"/>
            <w:tcBorders>
              <w:top w:val="nil" w:sz="6" w:space="0" w:color="auto"/>
              <w:left w:val="nil" w:sz="6" w:space="0" w:color="auto"/>
              <w:bottom w:val="nil" w:sz="6" w:space="0" w:color="auto"/>
              <w:right w:val="nil" w:sz="6" w:space="0" w:color="auto"/>
            </w:tcBorders>
          </w:tcPr>
          <w:p>
            <w:pPr>
              <w:pStyle w:val="TableParagraph"/>
              <w:spacing w:line="204" w:lineRule="exact"/>
              <w:ind w:left="392" w:right="0"/>
              <w:jc w:val="left"/>
              <w:rPr>
                <w:rFonts w:ascii="黑体" w:hAnsi="黑体" w:cs="黑体" w:eastAsia="黑体" w:hint="default"/>
                <w:sz w:val="20"/>
                <w:szCs w:val="20"/>
              </w:rPr>
            </w:pPr>
            <w:r>
              <w:rPr>
                <w:rFonts w:ascii="黑体" w:hAnsi="黑体" w:cs="黑体" w:eastAsia="黑体" w:hint="default"/>
                <w:sz w:val="20"/>
                <w:szCs w:val="20"/>
              </w:rPr>
              <w:t>用友华表</w:t>
            </w:r>
          </w:p>
        </w:tc>
        <w:tc>
          <w:tcPr>
            <w:tcW w:w="1743" w:type="dxa"/>
            <w:tcBorders>
              <w:top w:val="nil" w:sz="6" w:space="0" w:color="auto"/>
              <w:left w:val="nil" w:sz="6" w:space="0" w:color="auto"/>
              <w:bottom w:val="nil" w:sz="6" w:space="0" w:color="auto"/>
              <w:right w:val="nil" w:sz="6" w:space="0" w:color="auto"/>
            </w:tcBorders>
          </w:tcPr>
          <w:p>
            <w:pPr>
              <w:pStyle w:val="TableParagraph"/>
              <w:spacing w:line="218" w:lineRule="exact"/>
              <w:ind w:left="539" w:right="0"/>
              <w:jc w:val="left"/>
              <w:rPr>
                <w:rFonts w:ascii="Arial" w:hAnsi="Arial" w:cs="Arial" w:eastAsia="Arial" w:hint="default"/>
                <w:sz w:val="20"/>
                <w:szCs w:val="20"/>
              </w:rPr>
            </w:pPr>
            <w:r>
              <w:rPr>
                <w:rFonts w:ascii="Arial"/>
                <w:sz w:val="20"/>
              </w:rPr>
              <w:t>8,000,000</w:t>
            </w:r>
          </w:p>
        </w:tc>
        <w:tc>
          <w:tcPr>
            <w:tcW w:w="1288" w:type="dxa"/>
            <w:tcBorders>
              <w:top w:val="nil" w:sz="6" w:space="0" w:color="auto"/>
              <w:left w:val="nil" w:sz="6" w:space="0" w:color="auto"/>
              <w:bottom w:val="nil" w:sz="6" w:space="0" w:color="auto"/>
              <w:right w:val="nil" w:sz="6" w:space="0" w:color="auto"/>
            </w:tcBorders>
          </w:tcPr>
          <w:p>
            <w:pPr>
              <w:pStyle w:val="TableParagraph"/>
              <w:spacing w:line="218" w:lineRule="exact"/>
              <w:ind w:right="395"/>
              <w:jc w:val="right"/>
              <w:rPr>
                <w:rFonts w:ascii="Arial" w:hAnsi="Arial" w:cs="Arial" w:eastAsia="Arial" w:hint="default"/>
                <w:sz w:val="20"/>
                <w:szCs w:val="20"/>
              </w:rPr>
            </w:pPr>
            <w:r>
              <w:rPr>
                <w:rFonts w:ascii="Arial"/>
                <w:w w:val="99"/>
                <w:sz w:val="20"/>
              </w:rPr>
              <w:t>-</w:t>
            </w:r>
            <w:r>
              <w:rPr>
                <w:rFonts w:ascii="Arial"/>
                <w:sz w:val="20"/>
              </w:rPr>
            </w:r>
          </w:p>
        </w:tc>
        <w:tc>
          <w:tcPr>
            <w:tcW w:w="1725" w:type="dxa"/>
            <w:tcBorders>
              <w:top w:val="nil" w:sz="6" w:space="0" w:color="auto"/>
              <w:left w:val="nil" w:sz="6" w:space="0" w:color="auto"/>
              <w:bottom w:val="nil" w:sz="6" w:space="0" w:color="auto"/>
              <w:right w:val="nil" w:sz="6" w:space="0" w:color="auto"/>
            </w:tcBorders>
          </w:tcPr>
          <w:p>
            <w:pPr>
              <w:pStyle w:val="TableParagraph"/>
              <w:spacing w:line="218" w:lineRule="exact"/>
              <w:ind w:right="217"/>
              <w:jc w:val="right"/>
              <w:rPr>
                <w:rFonts w:ascii="Arial" w:hAnsi="Arial" w:cs="Arial" w:eastAsia="Arial" w:hint="default"/>
                <w:sz w:val="20"/>
                <w:szCs w:val="20"/>
              </w:rPr>
            </w:pPr>
            <w:r>
              <w:rPr>
                <w:rFonts w:ascii="Arial"/>
                <w:w w:val="99"/>
                <w:sz w:val="20"/>
              </w:rPr>
              <w:t>-</w:t>
            </w:r>
            <w:r>
              <w:rPr>
                <w:rFonts w:ascii="Arial"/>
                <w:sz w:val="20"/>
              </w:rPr>
            </w:r>
          </w:p>
        </w:tc>
        <w:tc>
          <w:tcPr>
            <w:tcW w:w="1208" w:type="dxa"/>
            <w:tcBorders>
              <w:top w:val="nil" w:sz="6" w:space="0" w:color="auto"/>
              <w:left w:val="nil" w:sz="6" w:space="0" w:color="auto"/>
              <w:bottom w:val="nil" w:sz="6" w:space="0" w:color="auto"/>
              <w:right w:val="nil" w:sz="6" w:space="0" w:color="auto"/>
            </w:tcBorders>
          </w:tcPr>
          <w:p>
            <w:pPr>
              <w:pStyle w:val="TableParagraph"/>
              <w:spacing w:line="218" w:lineRule="exact"/>
              <w:ind w:right="208"/>
              <w:jc w:val="right"/>
              <w:rPr>
                <w:rFonts w:ascii="Arial" w:hAnsi="Arial" w:cs="Arial" w:eastAsia="Arial" w:hint="default"/>
                <w:sz w:val="20"/>
                <w:szCs w:val="20"/>
              </w:rPr>
            </w:pPr>
            <w:r>
              <w:rPr>
                <w:rFonts w:ascii="Arial"/>
                <w:w w:val="99"/>
                <w:sz w:val="20"/>
              </w:rPr>
              <w:t>-</w:t>
            </w:r>
            <w:r>
              <w:rPr>
                <w:rFonts w:ascii="Arial"/>
                <w:sz w:val="20"/>
              </w:rPr>
            </w:r>
          </w:p>
        </w:tc>
      </w:tr>
      <w:tr>
        <w:trPr>
          <w:trHeight w:val="221" w:hRule="exact"/>
        </w:trPr>
        <w:tc>
          <w:tcPr>
            <w:tcW w:w="2564" w:type="dxa"/>
            <w:tcBorders>
              <w:top w:val="nil" w:sz="6" w:space="0" w:color="auto"/>
              <w:left w:val="nil" w:sz="6" w:space="0" w:color="auto"/>
              <w:bottom w:val="nil" w:sz="6" w:space="0" w:color="auto"/>
              <w:right w:val="nil" w:sz="6" w:space="0" w:color="auto"/>
            </w:tcBorders>
          </w:tcPr>
          <w:p>
            <w:pPr>
              <w:pStyle w:val="TableParagraph"/>
              <w:spacing w:line="205" w:lineRule="exact"/>
              <w:ind w:left="392" w:right="0"/>
              <w:jc w:val="left"/>
              <w:rPr>
                <w:rFonts w:ascii="黑体" w:hAnsi="黑体" w:cs="黑体" w:eastAsia="黑体" w:hint="default"/>
                <w:sz w:val="20"/>
                <w:szCs w:val="20"/>
              </w:rPr>
            </w:pPr>
            <w:r>
              <w:rPr>
                <w:rFonts w:ascii="黑体" w:hAnsi="黑体" w:cs="黑体" w:eastAsia="黑体" w:hint="default"/>
                <w:sz w:val="20"/>
                <w:szCs w:val="20"/>
              </w:rPr>
              <w:t>北京伟库</w:t>
            </w:r>
          </w:p>
        </w:tc>
        <w:tc>
          <w:tcPr>
            <w:tcW w:w="1743" w:type="dxa"/>
            <w:tcBorders>
              <w:top w:val="nil" w:sz="6" w:space="0" w:color="auto"/>
              <w:left w:val="nil" w:sz="6" w:space="0" w:color="auto"/>
              <w:bottom w:val="nil" w:sz="6" w:space="0" w:color="auto"/>
              <w:right w:val="nil" w:sz="6" w:space="0" w:color="auto"/>
            </w:tcBorders>
          </w:tcPr>
          <w:p>
            <w:pPr>
              <w:pStyle w:val="TableParagraph"/>
              <w:spacing w:line="219" w:lineRule="exact"/>
              <w:ind w:right="312"/>
              <w:jc w:val="right"/>
              <w:rPr>
                <w:rFonts w:ascii="Arial" w:hAnsi="Arial" w:cs="Arial" w:eastAsia="Arial" w:hint="default"/>
                <w:sz w:val="20"/>
                <w:szCs w:val="20"/>
              </w:rPr>
            </w:pPr>
            <w:r>
              <w:rPr>
                <w:rFonts w:ascii="Arial"/>
                <w:w w:val="99"/>
                <w:sz w:val="20"/>
              </w:rPr>
              <w:t>-</w:t>
            </w:r>
            <w:r>
              <w:rPr>
                <w:rFonts w:ascii="Arial"/>
                <w:sz w:val="20"/>
              </w:rPr>
            </w:r>
          </w:p>
        </w:tc>
        <w:tc>
          <w:tcPr>
            <w:tcW w:w="1288" w:type="dxa"/>
            <w:tcBorders>
              <w:top w:val="nil" w:sz="6" w:space="0" w:color="auto"/>
              <w:left w:val="nil" w:sz="6" w:space="0" w:color="auto"/>
              <w:bottom w:val="nil" w:sz="6" w:space="0" w:color="auto"/>
              <w:right w:val="nil" w:sz="6" w:space="0" w:color="auto"/>
            </w:tcBorders>
          </w:tcPr>
          <w:p>
            <w:pPr>
              <w:pStyle w:val="TableParagraph"/>
              <w:spacing w:line="219" w:lineRule="exact"/>
              <w:ind w:right="395"/>
              <w:jc w:val="right"/>
              <w:rPr>
                <w:rFonts w:ascii="Arial" w:hAnsi="Arial" w:cs="Arial" w:eastAsia="Arial" w:hint="default"/>
                <w:sz w:val="20"/>
                <w:szCs w:val="20"/>
              </w:rPr>
            </w:pPr>
            <w:r>
              <w:rPr>
                <w:rFonts w:ascii="Arial"/>
                <w:w w:val="99"/>
                <w:sz w:val="20"/>
              </w:rPr>
              <w:t>-</w:t>
            </w:r>
            <w:r>
              <w:rPr>
                <w:rFonts w:ascii="Arial"/>
                <w:sz w:val="20"/>
              </w:rPr>
            </w:r>
          </w:p>
        </w:tc>
        <w:tc>
          <w:tcPr>
            <w:tcW w:w="1725" w:type="dxa"/>
            <w:tcBorders>
              <w:top w:val="nil" w:sz="6" w:space="0" w:color="auto"/>
              <w:left w:val="nil" w:sz="6" w:space="0" w:color="auto"/>
              <w:bottom w:val="nil" w:sz="6" w:space="0" w:color="auto"/>
              <w:right w:val="nil" w:sz="6" w:space="0" w:color="auto"/>
            </w:tcBorders>
          </w:tcPr>
          <w:p>
            <w:pPr>
              <w:pStyle w:val="TableParagraph"/>
              <w:spacing w:line="219" w:lineRule="exact"/>
              <w:ind w:left="784" w:right="0"/>
              <w:jc w:val="left"/>
              <w:rPr>
                <w:rFonts w:ascii="Arial" w:hAnsi="Arial" w:cs="Arial" w:eastAsia="Arial" w:hint="default"/>
                <w:sz w:val="20"/>
                <w:szCs w:val="20"/>
              </w:rPr>
            </w:pPr>
            <w:r>
              <w:rPr>
                <w:rFonts w:ascii="Arial"/>
                <w:sz w:val="20"/>
              </w:rPr>
              <w:t>642,360</w:t>
            </w:r>
          </w:p>
        </w:tc>
        <w:tc>
          <w:tcPr>
            <w:tcW w:w="1208" w:type="dxa"/>
            <w:tcBorders>
              <w:top w:val="nil" w:sz="6" w:space="0" w:color="auto"/>
              <w:left w:val="nil" w:sz="6" w:space="0" w:color="auto"/>
              <w:bottom w:val="nil" w:sz="6" w:space="0" w:color="auto"/>
              <w:right w:val="nil" w:sz="6" w:space="0" w:color="auto"/>
            </w:tcBorders>
          </w:tcPr>
          <w:p>
            <w:pPr>
              <w:pStyle w:val="TableParagraph"/>
              <w:spacing w:line="219" w:lineRule="exact"/>
              <w:ind w:right="208"/>
              <w:jc w:val="right"/>
              <w:rPr>
                <w:rFonts w:ascii="Arial" w:hAnsi="Arial" w:cs="Arial" w:eastAsia="Arial" w:hint="default"/>
                <w:sz w:val="20"/>
                <w:szCs w:val="20"/>
              </w:rPr>
            </w:pPr>
            <w:r>
              <w:rPr>
                <w:rFonts w:ascii="Arial"/>
                <w:w w:val="99"/>
                <w:sz w:val="20"/>
              </w:rPr>
              <w:t>-</w:t>
            </w:r>
            <w:r>
              <w:rPr>
                <w:rFonts w:ascii="Arial"/>
                <w:sz w:val="20"/>
              </w:rPr>
            </w:r>
          </w:p>
        </w:tc>
      </w:tr>
      <w:tr>
        <w:trPr>
          <w:trHeight w:val="220" w:hRule="exact"/>
        </w:trPr>
        <w:tc>
          <w:tcPr>
            <w:tcW w:w="2564" w:type="dxa"/>
            <w:tcBorders>
              <w:top w:val="nil" w:sz="6" w:space="0" w:color="auto"/>
              <w:left w:val="nil" w:sz="6" w:space="0" w:color="auto"/>
              <w:bottom w:val="nil" w:sz="6" w:space="0" w:color="auto"/>
              <w:right w:val="nil" w:sz="6" w:space="0" w:color="auto"/>
            </w:tcBorders>
          </w:tcPr>
          <w:p>
            <w:pPr>
              <w:pStyle w:val="TableParagraph"/>
              <w:spacing w:line="205" w:lineRule="exact"/>
              <w:ind w:right="972"/>
              <w:jc w:val="right"/>
              <w:rPr>
                <w:rFonts w:ascii="黑体" w:hAnsi="黑体" w:cs="黑体" w:eastAsia="黑体" w:hint="default"/>
                <w:sz w:val="20"/>
                <w:szCs w:val="20"/>
              </w:rPr>
            </w:pPr>
            <w:r>
              <w:rPr>
                <w:rFonts w:ascii="黑体" w:hAnsi="黑体" w:cs="黑体" w:eastAsia="黑体" w:hint="default"/>
                <w:w w:val="95"/>
                <w:sz w:val="20"/>
                <w:szCs w:val="20"/>
              </w:rPr>
              <w:t>西玛商用表单</w:t>
            </w:r>
            <w:r>
              <w:rPr>
                <w:rFonts w:ascii="黑体" w:hAnsi="黑体" w:cs="黑体" w:eastAsia="黑体" w:hint="default"/>
                <w:sz w:val="20"/>
                <w:szCs w:val="20"/>
              </w:rPr>
            </w:r>
          </w:p>
        </w:tc>
        <w:tc>
          <w:tcPr>
            <w:tcW w:w="1743" w:type="dxa"/>
            <w:tcBorders>
              <w:top w:val="nil" w:sz="6" w:space="0" w:color="auto"/>
              <w:left w:val="nil" w:sz="6" w:space="0" w:color="auto"/>
              <w:bottom w:val="nil" w:sz="6" w:space="0" w:color="auto"/>
              <w:right w:val="nil" w:sz="6" w:space="0" w:color="auto"/>
            </w:tcBorders>
          </w:tcPr>
          <w:p>
            <w:pPr>
              <w:pStyle w:val="TableParagraph"/>
              <w:spacing w:line="219" w:lineRule="exact"/>
              <w:ind w:left="1096" w:right="0"/>
              <w:jc w:val="left"/>
              <w:rPr>
                <w:rFonts w:ascii="Arial" w:hAnsi="Arial" w:cs="Arial" w:eastAsia="Arial" w:hint="default"/>
                <w:sz w:val="20"/>
                <w:szCs w:val="20"/>
              </w:rPr>
            </w:pPr>
            <w:r>
              <w:rPr>
                <w:rFonts w:ascii="Arial"/>
                <w:sz w:val="20"/>
              </w:rPr>
              <w:t>423</w:t>
            </w:r>
          </w:p>
        </w:tc>
        <w:tc>
          <w:tcPr>
            <w:tcW w:w="1288" w:type="dxa"/>
            <w:tcBorders>
              <w:top w:val="nil" w:sz="6" w:space="0" w:color="auto"/>
              <w:left w:val="nil" w:sz="6" w:space="0" w:color="auto"/>
              <w:bottom w:val="nil" w:sz="6" w:space="0" w:color="auto"/>
              <w:right w:val="nil" w:sz="6" w:space="0" w:color="auto"/>
            </w:tcBorders>
          </w:tcPr>
          <w:p>
            <w:pPr>
              <w:pStyle w:val="TableParagraph"/>
              <w:spacing w:line="219" w:lineRule="exact"/>
              <w:ind w:right="395"/>
              <w:jc w:val="right"/>
              <w:rPr>
                <w:rFonts w:ascii="Arial" w:hAnsi="Arial" w:cs="Arial" w:eastAsia="Arial" w:hint="default"/>
                <w:sz w:val="20"/>
                <w:szCs w:val="20"/>
              </w:rPr>
            </w:pPr>
            <w:r>
              <w:rPr>
                <w:rFonts w:ascii="Arial"/>
                <w:w w:val="99"/>
                <w:sz w:val="20"/>
              </w:rPr>
              <w:t>-</w:t>
            </w:r>
            <w:r>
              <w:rPr>
                <w:rFonts w:ascii="Arial"/>
                <w:sz w:val="20"/>
              </w:rPr>
            </w:r>
          </w:p>
        </w:tc>
        <w:tc>
          <w:tcPr>
            <w:tcW w:w="1725" w:type="dxa"/>
            <w:tcBorders>
              <w:top w:val="nil" w:sz="6" w:space="0" w:color="auto"/>
              <w:left w:val="nil" w:sz="6" w:space="0" w:color="auto"/>
              <w:bottom w:val="nil" w:sz="6" w:space="0" w:color="auto"/>
              <w:right w:val="nil" w:sz="6" w:space="0" w:color="auto"/>
            </w:tcBorders>
          </w:tcPr>
          <w:p>
            <w:pPr>
              <w:pStyle w:val="TableParagraph"/>
              <w:spacing w:line="219" w:lineRule="exact"/>
              <w:ind w:right="217"/>
              <w:jc w:val="right"/>
              <w:rPr>
                <w:rFonts w:ascii="Arial" w:hAnsi="Arial" w:cs="Arial" w:eastAsia="Arial" w:hint="default"/>
                <w:sz w:val="20"/>
                <w:szCs w:val="20"/>
              </w:rPr>
            </w:pPr>
            <w:r>
              <w:rPr>
                <w:rFonts w:ascii="Arial"/>
                <w:w w:val="99"/>
                <w:sz w:val="20"/>
              </w:rPr>
              <w:t>-</w:t>
            </w:r>
            <w:r>
              <w:rPr>
                <w:rFonts w:ascii="Arial"/>
                <w:sz w:val="20"/>
              </w:rPr>
            </w:r>
          </w:p>
        </w:tc>
        <w:tc>
          <w:tcPr>
            <w:tcW w:w="1208" w:type="dxa"/>
            <w:tcBorders>
              <w:top w:val="nil" w:sz="6" w:space="0" w:color="auto"/>
              <w:left w:val="nil" w:sz="6" w:space="0" w:color="auto"/>
              <w:bottom w:val="nil" w:sz="6" w:space="0" w:color="auto"/>
              <w:right w:val="nil" w:sz="6" w:space="0" w:color="auto"/>
            </w:tcBorders>
          </w:tcPr>
          <w:p>
            <w:pPr>
              <w:pStyle w:val="TableParagraph"/>
              <w:spacing w:line="219" w:lineRule="exact"/>
              <w:ind w:right="208"/>
              <w:jc w:val="right"/>
              <w:rPr>
                <w:rFonts w:ascii="Arial" w:hAnsi="Arial" w:cs="Arial" w:eastAsia="Arial" w:hint="default"/>
                <w:sz w:val="20"/>
                <w:szCs w:val="20"/>
              </w:rPr>
            </w:pPr>
            <w:r>
              <w:rPr>
                <w:rFonts w:ascii="Arial"/>
                <w:w w:val="99"/>
                <w:sz w:val="20"/>
              </w:rPr>
              <w:t>-</w:t>
            </w:r>
            <w:r>
              <w:rPr>
                <w:rFonts w:ascii="Arial"/>
                <w:sz w:val="20"/>
              </w:rPr>
            </w:r>
          </w:p>
        </w:tc>
      </w:tr>
      <w:tr>
        <w:trPr>
          <w:trHeight w:val="335" w:hRule="exact"/>
        </w:trPr>
        <w:tc>
          <w:tcPr>
            <w:tcW w:w="2564" w:type="dxa"/>
            <w:tcBorders>
              <w:top w:val="nil" w:sz="6" w:space="0" w:color="auto"/>
              <w:left w:val="nil" w:sz="6" w:space="0" w:color="auto"/>
              <w:bottom w:val="nil" w:sz="6" w:space="0" w:color="auto"/>
              <w:right w:val="nil" w:sz="6" w:space="0" w:color="auto"/>
            </w:tcBorders>
          </w:tcPr>
          <w:p>
            <w:pPr>
              <w:pStyle w:val="TableParagraph"/>
              <w:spacing w:line="204" w:lineRule="exact"/>
              <w:ind w:left="392" w:right="0"/>
              <w:jc w:val="left"/>
              <w:rPr>
                <w:rFonts w:ascii="黑体" w:hAnsi="黑体" w:cs="黑体" w:eastAsia="黑体" w:hint="default"/>
                <w:sz w:val="20"/>
                <w:szCs w:val="20"/>
              </w:rPr>
            </w:pPr>
            <w:r>
              <w:rPr>
                <w:rFonts w:ascii="黑体" w:hAnsi="黑体" w:cs="黑体" w:eastAsia="黑体" w:hint="default"/>
                <w:sz w:val="20"/>
                <w:szCs w:val="20"/>
              </w:rPr>
              <w:t>致远协创</w:t>
            </w:r>
          </w:p>
        </w:tc>
        <w:tc>
          <w:tcPr>
            <w:tcW w:w="1743" w:type="dxa"/>
            <w:tcBorders>
              <w:top w:val="nil" w:sz="6" w:space="0" w:color="auto"/>
              <w:left w:val="nil" w:sz="6" w:space="0" w:color="auto"/>
              <w:bottom w:val="nil" w:sz="6" w:space="0" w:color="auto"/>
              <w:right w:val="nil" w:sz="6" w:space="0" w:color="auto"/>
            </w:tcBorders>
          </w:tcPr>
          <w:p>
            <w:pPr>
              <w:pStyle w:val="TableParagraph"/>
              <w:tabs>
                <w:tab w:pos="602" w:val="left" w:leader="none"/>
                <w:tab w:pos="1339" w:val="left" w:leader="none"/>
                <w:tab w:pos="2241" w:val="left" w:leader="none"/>
              </w:tabs>
              <w:spacing w:line="218" w:lineRule="exact"/>
              <w:ind w:right="-827"/>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9,000</w:t>
            </w:r>
            <w:r>
              <w:rPr>
                <w:rFonts w:ascii="Arial"/>
                <w:spacing w:val="-1"/>
                <w:w w:val="95"/>
                <w:sz w:val="20"/>
              </w:rPr>
            </w:r>
            <w:r>
              <w:rPr>
                <w:rFonts w:ascii="Arial"/>
                <w:spacing w:val="-1"/>
                <w:sz w:val="20"/>
              </w:rPr>
              <w:tab/>
            </w:r>
            <w:r>
              <w:rPr>
                <w:rFonts w:ascii="Arial"/>
                <w:spacing w:val="-1"/>
                <w:w w:val="99"/>
                <w:sz w:val="20"/>
              </w:rPr>
            </w:r>
            <w:r>
              <w:rPr>
                <w:rFonts w:ascii="Arial"/>
                <w:spacing w:val="-1"/>
                <w:w w:val="99"/>
                <w:sz w:val="20"/>
                <w:u w:val="single" w:color="000000"/>
              </w:rPr>
              <w:t> </w:t>
            </w:r>
            <w:r>
              <w:rPr>
                <w:rFonts w:ascii="Arial"/>
                <w:spacing w:val="-1"/>
                <w:sz w:val="20"/>
                <w:u w:val="single" w:color="000000"/>
              </w:rPr>
              <w:tab/>
            </w:r>
            <w:r>
              <w:rPr>
                <w:rFonts w:ascii="Arial"/>
                <w:spacing w:val="-1"/>
                <w:sz w:val="20"/>
              </w:rPr>
            </w:r>
          </w:p>
        </w:tc>
        <w:tc>
          <w:tcPr>
            <w:tcW w:w="1288" w:type="dxa"/>
            <w:tcBorders>
              <w:top w:val="nil" w:sz="6" w:space="0" w:color="auto"/>
              <w:left w:val="nil" w:sz="6" w:space="0" w:color="auto"/>
              <w:bottom w:val="nil" w:sz="6" w:space="0" w:color="auto"/>
              <w:right w:val="nil" w:sz="6" w:space="0" w:color="auto"/>
            </w:tcBorders>
          </w:tcPr>
          <w:p>
            <w:pPr>
              <w:pStyle w:val="TableParagraph"/>
              <w:spacing w:line="218" w:lineRule="exact"/>
              <w:ind w:right="393"/>
              <w:jc w:val="right"/>
              <w:rPr>
                <w:rFonts w:ascii="Arial" w:hAnsi="Arial" w:cs="Arial" w:eastAsia="Arial" w:hint="default"/>
                <w:sz w:val="20"/>
                <w:szCs w:val="20"/>
              </w:rPr>
            </w:pPr>
            <w:r>
              <w:rPr>
                <w:rFonts w:ascii="Arial"/>
                <w:w w:val="99"/>
                <w:sz w:val="20"/>
              </w:rPr>
            </w:r>
            <w:r>
              <w:rPr>
                <w:rFonts w:ascii="Arial"/>
                <w:w w:val="99"/>
                <w:sz w:val="20"/>
                <w:u w:val="single" w:color="000000"/>
              </w:rPr>
              <w:t>-</w:t>
            </w:r>
            <w:r>
              <w:rPr>
                <w:rFonts w:ascii="Arial"/>
                <w:w w:val="99"/>
                <w:sz w:val="20"/>
              </w:rPr>
            </w:r>
            <w:r>
              <w:rPr>
                <w:rFonts w:ascii="Arial"/>
                <w:sz w:val="20"/>
              </w:rPr>
            </w:r>
          </w:p>
        </w:tc>
        <w:tc>
          <w:tcPr>
            <w:tcW w:w="1725" w:type="dxa"/>
            <w:tcBorders>
              <w:top w:val="nil" w:sz="6" w:space="0" w:color="auto"/>
              <w:left w:val="nil" w:sz="6" w:space="0" w:color="auto"/>
              <w:bottom w:val="nil" w:sz="6" w:space="0" w:color="auto"/>
              <w:right w:val="nil" w:sz="6" w:space="0" w:color="auto"/>
            </w:tcBorders>
          </w:tcPr>
          <w:p>
            <w:pPr>
              <w:pStyle w:val="TableParagraph"/>
              <w:tabs>
                <w:tab w:pos="896" w:val="left" w:leader="none"/>
              </w:tabs>
              <w:spacing w:line="218" w:lineRule="exact"/>
              <w:ind w:left="395" w:right="0"/>
              <w:jc w:val="lef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t>19,000</w:t>
            </w:r>
            <w:r>
              <w:rPr>
                <w:rFonts w:ascii="Arial"/>
                <w:sz w:val="20"/>
              </w:rPr>
            </w:r>
          </w:p>
        </w:tc>
        <w:tc>
          <w:tcPr>
            <w:tcW w:w="1208" w:type="dxa"/>
            <w:tcBorders>
              <w:top w:val="nil" w:sz="6" w:space="0" w:color="auto"/>
              <w:left w:val="nil" w:sz="6" w:space="0" w:color="auto"/>
              <w:bottom w:val="nil" w:sz="6" w:space="0" w:color="auto"/>
              <w:right w:val="nil" w:sz="6" w:space="0" w:color="auto"/>
            </w:tcBorders>
          </w:tcPr>
          <w:p>
            <w:pPr>
              <w:pStyle w:val="TableParagraph"/>
              <w:tabs>
                <w:tab w:pos="861" w:val="left" w:leader="none"/>
              </w:tabs>
              <w:spacing w:line="218" w:lineRule="exact"/>
              <w:ind w:right="206"/>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r>
      <w:tr>
        <w:trPr>
          <w:trHeight w:val="436" w:hRule="exact"/>
        </w:trPr>
        <w:tc>
          <w:tcPr>
            <w:tcW w:w="2564"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Style w:val="TableParagraph"/>
              <w:tabs>
                <w:tab w:pos="1348" w:val="left" w:leader="none"/>
                <w:tab w:pos="2251" w:val="left" w:leader="none"/>
              </w:tabs>
              <w:spacing w:line="240" w:lineRule="auto" w:before="95"/>
              <w:ind w:right="-827"/>
              <w:jc w:val="right"/>
              <w:rPr>
                <w:rFonts w:ascii="Arial" w:hAnsi="Arial" w:cs="Arial" w:eastAsia="Arial" w:hint="default"/>
                <w:sz w:val="20"/>
                <w:szCs w:val="20"/>
              </w:rPr>
            </w:pPr>
            <w:r>
              <w:rPr>
                <w:rFonts w:ascii="Arial"/>
                <w:w w:val="99"/>
                <w:sz w:val="20"/>
              </w:rPr>
            </w:r>
            <w:r>
              <w:rPr>
                <w:rFonts w:ascii="Arial"/>
                <w:spacing w:val="-1"/>
                <w:sz w:val="20"/>
                <w:u w:val="thick" w:color="000000"/>
              </w:rPr>
              <w:t>436,720,239</w:t>
            </w:r>
            <w:r>
              <w:rPr>
                <w:rFonts w:ascii="Arial"/>
                <w:spacing w:val="-1"/>
                <w:sz w:val="20"/>
              </w:rPr>
              <w:tab/>
            </w:r>
            <w:r>
              <w:rPr>
                <w:rFonts w:ascii="Arial"/>
                <w:spacing w:val="-1"/>
                <w:w w:val="99"/>
                <w:sz w:val="20"/>
              </w:rPr>
            </w:r>
            <w:r>
              <w:rPr>
                <w:rFonts w:ascii="Arial"/>
                <w:spacing w:val="-1"/>
                <w:w w:val="99"/>
                <w:sz w:val="20"/>
                <w:u w:val="thick" w:color="000000"/>
              </w:rPr>
              <w:t> </w:t>
            </w:r>
            <w:r>
              <w:rPr>
                <w:rFonts w:ascii="Arial"/>
                <w:spacing w:val="-1"/>
                <w:sz w:val="20"/>
                <w:u w:val="thick" w:color="000000"/>
              </w:rPr>
              <w:tab/>
            </w:r>
            <w:r>
              <w:rPr>
                <w:rFonts w:ascii="Arial"/>
                <w:spacing w:val="-1"/>
                <w:sz w:val="20"/>
              </w:rPr>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93"/>
              <w:jc w:val="right"/>
              <w:rPr>
                <w:rFonts w:ascii="Arial" w:hAnsi="Arial" w:cs="Arial" w:eastAsia="Arial" w:hint="default"/>
                <w:sz w:val="20"/>
                <w:szCs w:val="20"/>
              </w:rPr>
            </w:pPr>
            <w:r>
              <w:rPr>
                <w:rFonts w:ascii="Arial"/>
                <w:w w:val="99"/>
                <w:sz w:val="20"/>
              </w:rPr>
            </w:r>
            <w:r>
              <w:rPr>
                <w:rFonts w:ascii="Arial"/>
                <w:w w:val="99"/>
                <w:sz w:val="20"/>
                <w:u w:val="thick" w:color="000000"/>
              </w:rPr>
              <w:t>-</w:t>
            </w:r>
            <w:r>
              <w:rPr>
                <w:rFonts w:ascii="Arial"/>
                <w:w w:val="99"/>
                <w:sz w:val="20"/>
              </w:rPr>
            </w:r>
            <w:r>
              <w:rPr>
                <w:rFonts w:ascii="Arial"/>
                <w:sz w:val="20"/>
              </w:rPr>
            </w:r>
          </w:p>
        </w:tc>
        <w:tc>
          <w:tcPr>
            <w:tcW w:w="1725"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95" w:right="0"/>
              <w:jc w:val="left"/>
              <w:rPr>
                <w:rFonts w:ascii="Arial" w:hAnsi="Arial" w:cs="Arial" w:eastAsia="Arial" w:hint="default"/>
                <w:sz w:val="20"/>
                <w:szCs w:val="20"/>
              </w:rPr>
            </w:pPr>
            <w:r>
              <w:rPr>
                <w:rFonts w:ascii="Arial"/>
                <w:w w:val="99"/>
                <w:sz w:val="20"/>
              </w:rPr>
            </w:r>
            <w:r>
              <w:rPr>
                <w:rFonts w:ascii="Arial"/>
                <w:sz w:val="20"/>
                <w:u w:val="thick" w:color="000000"/>
              </w:rPr>
              <w:t>262,534,884</w:t>
            </w:r>
            <w:r>
              <w:rPr>
                <w:rFonts w:ascii="Arial"/>
                <w:sz w:val="20"/>
              </w:rPr>
            </w:r>
          </w:p>
        </w:tc>
        <w:tc>
          <w:tcPr>
            <w:tcW w:w="1208" w:type="dxa"/>
            <w:tcBorders>
              <w:top w:val="nil" w:sz="6" w:space="0" w:color="auto"/>
              <w:left w:val="nil" w:sz="6" w:space="0" w:color="auto"/>
              <w:bottom w:val="nil" w:sz="6" w:space="0" w:color="auto"/>
              <w:right w:val="nil" w:sz="6" w:space="0" w:color="auto"/>
            </w:tcBorders>
          </w:tcPr>
          <w:p>
            <w:pPr>
              <w:pStyle w:val="TableParagraph"/>
              <w:tabs>
                <w:tab w:pos="861" w:val="left" w:leader="none"/>
              </w:tabs>
              <w:spacing w:line="240" w:lineRule="auto" w:before="95"/>
              <w:ind w:right="206"/>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w w:val="95"/>
                <w:sz w:val="20"/>
                <w:u w:val="thick" w:color="000000"/>
              </w:rPr>
              <w:t>-</w:t>
            </w:r>
            <w:r>
              <w:rPr>
                <w:rFonts w:ascii="Arial"/>
                <w:w w:val="95"/>
                <w:sz w:val="20"/>
              </w:rPr>
            </w:r>
            <w:r>
              <w:rPr>
                <w:rFonts w:ascii="Arial"/>
                <w:sz w:val="20"/>
              </w:rPr>
            </w:r>
          </w:p>
        </w:tc>
      </w:tr>
      <w:tr>
        <w:trPr>
          <w:trHeight w:val="325" w:hRule="exact"/>
        </w:trPr>
        <w:tc>
          <w:tcPr>
            <w:tcW w:w="256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00" w:right="0"/>
              <w:jc w:val="left"/>
              <w:rPr>
                <w:rFonts w:ascii="黑体" w:hAnsi="黑体" w:cs="黑体" w:eastAsia="黑体" w:hint="default"/>
                <w:sz w:val="20"/>
                <w:szCs w:val="20"/>
              </w:rPr>
            </w:pPr>
            <w:r>
              <w:rPr>
                <w:rFonts w:ascii="黑体" w:hAnsi="黑体" w:cs="黑体" w:eastAsia="黑体" w:hint="default"/>
                <w:sz w:val="20"/>
                <w:szCs w:val="20"/>
              </w:rPr>
              <w:t>预付账款</w:t>
            </w:r>
          </w:p>
        </w:tc>
        <w:tc>
          <w:tcPr>
            <w:tcW w:w="1743" w:type="dxa"/>
            <w:tcBorders>
              <w:top w:val="nil" w:sz="6" w:space="0" w:color="auto"/>
              <w:left w:val="nil" w:sz="6" w:space="0" w:color="auto"/>
              <w:bottom w:val="nil" w:sz="6" w:space="0" w:color="auto"/>
              <w:right w:val="nil" w:sz="6" w:space="0" w:color="auto"/>
            </w:tcBorders>
          </w:tcPr>
          <w:p>
            <w:pPr/>
          </w:p>
        </w:tc>
        <w:tc>
          <w:tcPr>
            <w:tcW w:w="1288" w:type="dxa"/>
            <w:tcBorders>
              <w:top w:val="nil" w:sz="6" w:space="0" w:color="auto"/>
              <w:left w:val="nil" w:sz="6" w:space="0" w:color="auto"/>
              <w:bottom w:val="nil" w:sz="6" w:space="0" w:color="auto"/>
              <w:right w:val="nil" w:sz="6" w:space="0" w:color="auto"/>
            </w:tcBorders>
          </w:tcPr>
          <w:p>
            <w:pPr/>
          </w:p>
        </w:tc>
        <w:tc>
          <w:tcPr>
            <w:tcW w:w="1725"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r>
      <w:tr>
        <w:trPr>
          <w:trHeight w:val="224" w:hRule="exact"/>
        </w:trPr>
        <w:tc>
          <w:tcPr>
            <w:tcW w:w="2564" w:type="dxa"/>
            <w:tcBorders>
              <w:top w:val="nil" w:sz="6" w:space="0" w:color="auto"/>
              <w:left w:val="nil" w:sz="6" w:space="0" w:color="auto"/>
              <w:bottom w:val="nil" w:sz="6" w:space="0" w:color="auto"/>
              <w:right w:val="nil" w:sz="6" w:space="0" w:color="auto"/>
            </w:tcBorders>
          </w:tcPr>
          <w:p>
            <w:pPr>
              <w:pStyle w:val="TableParagraph"/>
              <w:spacing w:line="210" w:lineRule="exact"/>
              <w:ind w:right="972"/>
              <w:jc w:val="right"/>
              <w:rPr>
                <w:rFonts w:ascii="黑体" w:hAnsi="黑体" w:cs="黑体" w:eastAsia="黑体" w:hint="default"/>
                <w:sz w:val="20"/>
                <w:szCs w:val="20"/>
              </w:rPr>
            </w:pPr>
            <w:r>
              <w:rPr>
                <w:rFonts w:ascii="黑体" w:hAnsi="黑体" w:cs="黑体" w:eastAsia="黑体" w:hint="default"/>
                <w:w w:val="95"/>
                <w:sz w:val="20"/>
                <w:szCs w:val="20"/>
              </w:rPr>
              <w:t>西玛商用表单</w:t>
            </w:r>
            <w:r>
              <w:rPr>
                <w:rFonts w:ascii="黑体" w:hAnsi="黑体" w:cs="黑体" w:eastAsia="黑体" w:hint="default"/>
                <w:sz w:val="20"/>
                <w:szCs w:val="20"/>
              </w:rPr>
            </w:r>
          </w:p>
        </w:tc>
        <w:tc>
          <w:tcPr>
            <w:tcW w:w="1743" w:type="dxa"/>
            <w:tcBorders>
              <w:top w:val="nil" w:sz="6" w:space="0" w:color="auto"/>
              <w:left w:val="nil" w:sz="6" w:space="0" w:color="auto"/>
              <w:bottom w:val="nil" w:sz="6" w:space="0" w:color="auto"/>
              <w:right w:val="nil" w:sz="6" w:space="0" w:color="auto"/>
            </w:tcBorders>
          </w:tcPr>
          <w:p>
            <w:pPr>
              <w:pStyle w:val="TableParagraph"/>
              <w:spacing w:line="224" w:lineRule="exact"/>
              <w:ind w:left="818" w:right="0"/>
              <w:jc w:val="left"/>
              <w:rPr>
                <w:rFonts w:ascii="Arial" w:hAnsi="Arial" w:cs="Arial" w:eastAsia="Arial" w:hint="default"/>
                <w:sz w:val="20"/>
                <w:szCs w:val="20"/>
              </w:rPr>
            </w:pPr>
            <w:r>
              <w:rPr>
                <w:rFonts w:ascii="Arial"/>
                <w:sz w:val="20"/>
              </w:rPr>
              <w:t>24,596</w:t>
            </w:r>
          </w:p>
        </w:tc>
        <w:tc>
          <w:tcPr>
            <w:tcW w:w="1288" w:type="dxa"/>
            <w:tcBorders>
              <w:top w:val="nil" w:sz="6" w:space="0" w:color="auto"/>
              <w:left w:val="nil" w:sz="6" w:space="0" w:color="auto"/>
              <w:bottom w:val="nil" w:sz="6" w:space="0" w:color="auto"/>
              <w:right w:val="nil" w:sz="6" w:space="0" w:color="auto"/>
            </w:tcBorders>
          </w:tcPr>
          <w:p>
            <w:pPr>
              <w:pStyle w:val="TableParagraph"/>
              <w:spacing w:line="224" w:lineRule="exact"/>
              <w:ind w:right="395"/>
              <w:jc w:val="right"/>
              <w:rPr>
                <w:rFonts w:ascii="Arial" w:hAnsi="Arial" w:cs="Arial" w:eastAsia="Arial" w:hint="default"/>
                <w:sz w:val="20"/>
                <w:szCs w:val="20"/>
              </w:rPr>
            </w:pPr>
            <w:r>
              <w:rPr>
                <w:rFonts w:ascii="Arial"/>
                <w:w w:val="99"/>
                <w:sz w:val="20"/>
              </w:rPr>
              <w:t>-</w:t>
            </w:r>
            <w:r>
              <w:rPr>
                <w:rFonts w:ascii="Arial"/>
                <w:sz w:val="20"/>
              </w:rPr>
            </w:r>
          </w:p>
        </w:tc>
        <w:tc>
          <w:tcPr>
            <w:tcW w:w="1725" w:type="dxa"/>
            <w:tcBorders>
              <w:top w:val="nil" w:sz="6" w:space="0" w:color="auto"/>
              <w:left w:val="nil" w:sz="6" w:space="0" w:color="auto"/>
              <w:bottom w:val="nil" w:sz="6" w:space="0" w:color="auto"/>
              <w:right w:val="nil" w:sz="6" w:space="0" w:color="auto"/>
            </w:tcBorders>
          </w:tcPr>
          <w:p>
            <w:pPr>
              <w:pStyle w:val="TableParagraph"/>
              <w:spacing w:line="224" w:lineRule="exact"/>
              <w:ind w:right="218"/>
              <w:jc w:val="right"/>
              <w:rPr>
                <w:rFonts w:ascii="Arial" w:hAnsi="Arial" w:cs="Arial" w:eastAsia="Arial" w:hint="default"/>
                <w:sz w:val="20"/>
                <w:szCs w:val="20"/>
              </w:rPr>
            </w:pPr>
            <w:r>
              <w:rPr>
                <w:rFonts w:ascii="Arial"/>
                <w:spacing w:val="-1"/>
                <w:w w:val="95"/>
                <w:sz w:val="20"/>
              </w:rPr>
              <w:t>71</w:t>
            </w:r>
            <w:r>
              <w:rPr>
                <w:rFonts w:ascii="Arial"/>
                <w:sz w:val="20"/>
              </w:rPr>
            </w:r>
          </w:p>
        </w:tc>
        <w:tc>
          <w:tcPr>
            <w:tcW w:w="1208" w:type="dxa"/>
            <w:tcBorders>
              <w:top w:val="nil" w:sz="6" w:space="0" w:color="auto"/>
              <w:left w:val="nil" w:sz="6" w:space="0" w:color="auto"/>
              <w:bottom w:val="nil" w:sz="6" w:space="0" w:color="auto"/>
              <w:right w:val="nil" w:sz="6" w:space="0" w:color="auto"/>
            </w:tcBorders>
          </w:tcPr>
          <w:p>
            <w:pPr>
              <w:pStyle w:val="TableParagraph"/>
              <w:spacing w:line="224" w:lineRule="exact"/>
              <w:ind w:right="208"/>
              <w:jc w:val="right"/>
              <w:rPr>
                <w:rFonts w:ascii="Arial" w:hAnsi="Arial" w:cs="Arial" w:eastAsia="Arial" w:hint="default"/>
                <w:sz w:val="20"/>
                <w:szCs w:val="20"/>
              </w:rPr>
            </w:pPr>
            <w:r>
              <w:rPr>
                <w:rFonts w:ascii="Arial"/>
                <w:w w:val="99"/>
                <w:sz w:val="20"/>
              </w:rPr>
              <w:t>-</w:t>
            </w:r>
            <w:r>
              <w:rPr>
                <w:rFonts w:ascii="Arial"/>
                <w:sz w:val="20"/>
              </w:rPr>
            </w:r>
          </w:p>
        </w:tc>
      </w:tr>
      <w:tr>
        <w:trPr>
          <w:trHeight w:val="335" w:hRule="exact"/>
        </w:trPr>
        <w:tc>
          <w:tcPr>
            <w:tcW w:w="2564" w:type="dxa"/>
            <w:tcBorders>
              <w:top w:val="nil" w:sz="6" w:space="0" w:color="auto"/>
              <w:left w:val="nil" w:sz="6" w:space="0" w:color="auto"/>
              <w:bottom w:val="nil" w:sz="6" w:space="0" w:color="auto"/>
              <w:right w:val="nil" w:sz="6" w:space="0" w:color="auto"/>
            </w:tcBorders>
          </w:tcPr>
          <w:p>
            <w:pPr>
              <w:pStyle w:val="TableParagraph"/>
              <w:spacing w:line="204" w:lineRule="exact"/>
              <w:ind w:left="392" w:right="0"/>
              <w:jc w:val="left"/>
              <w:rPr>
                <w:rFonts w:ascii="黑体" w:hAnsi="黑体" w:cs="黑体" w:eastAsia="黑体" w:hint="default"/>
                <w:sz w:val="20"/>
                <w:szCs w:val="20"/>
              </w:rPr>
            </w:pPr>
            <w:r>
              <w:rPr>
                <w:rFonts w:ascii="黑体" w:hAnsi="黑体" w:cs="黑体" w:eastAsia="黑体" w:hint="default"/>
                <w:sz w:val="20"/>
                <w:szCs w:val="20"/>
              </w:rPr>
              <w:t>致远协创</w:t>
            </w:r>
          </w:p>
        </w:tc>
        <w:tc>
          <w:tcPr>
            <w:tcW w:w="1743" w:type="dxa"/>
            <w:tcBorders>
              <w:top w:val="nil" w:sz="6" w:space="0" w:color="auto"/>
              <w:left w:val="nil" w:sz="6" w:space="0" w:color="auto"/>
              <w:bottom w:val="nil" w:sz="6" w:space="0" w:color="auto"/>
              <w:right w:val="nil" w:sz="6" w:space="0" w:color="auto"/>
            </w:tcBorders>
          </w:tcPr>
          <w:p>
            <w:pPr>
              <w:pStyle w:val="TableParagraph"/>
              <w:tabs>
                <w:tab w:pos="501" w:val="left" w:leader="none"/>
                <w:tab w:pos="1348" w:val="left" w:leader="none"/>
                <w:tab w:pos="2251" w:val="left" w:leader="none"/>
              </w:tabs>
              <w:spacing w:line="218" w:lineRule="exact"/>
              <w:ind w:right="-827"/>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54,500</w:t>
            </w:r>
            <w:r>
              <w:rPr>
                <w:rFonts w:ascii="Arial"/>
                <w:spacing w:val="-1"/>
                <w:w w:val="95"/>
                <w:sz w:val="20"/>
              </w:rPr>
            </w:r>
            <w:r>
              <w:rPr>
                <w:rFonts w:ascii="Arial"/>
                <w:spacing w:val="-1"/>
                <w:sz w:val="20"/>
              </w:rPr>
              <w:tab/>
            </w:r>
            <w:r>
              <w:rPr>
                <w:rFonts w:ascii="Arial"/>
                <w:spacing w:val="-1"/>
                <w:w w:val="99"/>
                <w:sz w:val="20"/>
              </w:rPr>
            </w:r>
            <w:r>
              <w:rPr>
                <w:rFonts w:ascii="Arial"/>
                <w:spacing w:val="-1"/>
                <w:w w:val="99"/>
                <w:sz w:val="20"/>
                <w:u w:val="single" w:color="000000"/>
              </w:rPr>
              <w:t> </w:t>
            </w:r>
            <w:r>
              <w:rPr>
                <w:rFonts w:ascii="Arial"/>
                <w:spacing w:val="-1"/>
                <w:sz w:val="20"/>
                <w:u w:val="single" w:color="000000"/>
              </w:rPr>
              <w:tab/>
            </w:r>
            <w:r>
              <w:rPr>
                <w:rFonts w:ascii="Arial"/>
                <w:spacing w:val="-1"/>
                <w:sz w:val="20"/>
              </w:rPr>
            </w:r>
          </w:p>
        </w:tc>
        <w:tc>
          <w:tcPr>
            <w:tcW w:w="1288" w:type="dxa"/>
            <w:tcBorders>
              <w:top w:val="nil" w:sz="6" w:space="0" w:color="auto"/>
              <w:left w:val="nil" w:sz="6" w:space="0" w:color="auto"/>
              <w:bottom w:val="nil" w:sz="6" w:space="0" w:color="auto"/>
              <w:right w:val="nil" w:sz="6" w:space="0" w:color="auto"/>
            </w:tcBorders>
          </w:tcPr>
          <w:p>
            <w:pPr>
              <w:pStyle w:val="TableParagraph"/>
              <w:spacing w:line="218" w:lineRule="exact"/>
              <w:ind w:right="393"/>
              <w:jc w:val="right"/>
              <w:rPr>
                <w:rFonts w:ascii="Arial" w:hAnsi="Arial" w:cs="Arial" w:eastAsia="Arial" w:hint="default"/>
                <w:sz w:val="20"/>
                <w:szCs w:val="20"/>
              </w:rPr>
            </w:pPr>
            <w:r>
              <w:rPr>
                <w:rFonts w:ascii="Arial"/>
                <w:w w:val="99"/>
                <w:sz w:val="20"/>
              </w:rPr>
            </w:r>
            <w:r>
              <w:rPr>
                <w:rFonts w:ascii="Arial"/>
                <w:w w:val="99"/>
                <w:sz w:val="20"/>
                <w:u w:val="single" w:color="000000"/>
              </w:rPr>
              <w:t>-</w:t>
            </w:r>
            <w:r>
              <w:rPr>
                <w:rFonts w:ascii="Arial"/>
                <w:w w:val="99"/>
                <w:sz w:val="20"/>
              </w:rPr>
            </w:r>
            <w:r>
              <w:rPr>
                <w:rFonts w:ascii="Arial"/>
                <w:sz w:val="20"/>
              </w:rPr>
            </w:r>
          </w:p>
        </w:tc>
        <w:tc>
          <w:tcPr>
            <w:tcW w:w="1725" w:type="dxa"/>
            <w:tcBorders>
              <w:top w:val="nil" w:sz="6" w:space="0" w:color="auto"/>
              <w:left w:val="nil" w:sz="6" w:space="0" w:color="auto"/>
              <w:bottom w:val="nil" w:sz="6" w:space="0" w:color="auto"/>
              <w:right w:val="nil" w:sz="6" w:space="0" w:color="auto"/>
            </w:tcBorders>
          </w:tcPr>
          <w:p>
            <w:pPr>
              <w:pStyle w:val="TableParagraph"/>
              <w:tabs>
                <w:tab w:pos="896" w:val="left" w:leader="none"/>
              </w:tabs>
              <w:spacing w:line="218" w:lineRule="exact"/>
              <w:ind w:left="395" w:right="0"/>
              <w:jc w:val="lef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t>54,500</w:t>
            </w:r>
            <w:r>
              <w:rPr>
                <w:rFonts w:ascii="Arial"/>
                <w:sz w:val="20"/>
              </w:rPr>
            </w:r>
          </w:p>
        </w:tc>
        <w:tc>
          <w:tcPr>
            <w:tcW w:w="1208" w:type="dxa"/>
            <w:tcBorders>
              <w:top w:val="nil" w:sz="6" w:space="0" w:color="auto"/>
              <w:left w:val="nil" w:sz="6" w:space="0" w:color="auto"/>
              <w:bottom w:val="nil" w:sz="6" w:space="0" w:color="auto"/>
              <w:right w:val="nil" w:sz="6" w:space="0" w:color="auto"/>
            </w:tcBorders>
          </w:tcPr>
          <w:p>
            <w:pPr>
              <w:pStyle w:val="TableParagraph"/>
              <w:tabs>
                <w:tab w:pos="861" w:val="left" w:leader="none"/>
              </w:tabs>
              <w:spacing w:line="218" w:lineRule="exact"/>
              <w:ind w:right="206"/>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r>
      <w:tr>
        <w:trPr>
          <w:trHeight w:val="320" w:hRule="exact"/>
        </w:trPr>
        <w:tc>
          <w:tcPr>
            <w:tcW w:w="2564"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Style w:val="TableParagraph"/>
              <w:tabs>
                <w:tab w:pos="501" w:val="left" w:leader="none"/>
                <w:tab w:pos="1348" w:val="left" w:leader="none"/>
                <w:tab w:pos="2251" w:val="left" w:leader="none"/>
              </w:tabs>
              <w:spacing w:line="240" w:lineRule="auto" w:before="95"/>
              <w:ind w:right="-827"/>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spacing w:val="-1"/>
                <w:w w:val="95"/>
                <w:sz w:val="20"/>
                <w:u w:val="thick" w:color="000000"/>
              </w:rPr>
              <w:t>79,096</w:t>
            </w:r>
            <w:r>
              <w:rPr>
                <w:rFonts w:ascii="Arial"/>
                <w:spacing w:val="-1"/>
                <w:w w:val="95"/>
                <w:sz w:val="20"/>
              </w:rPr>
            </w:r>
            <w:r>
              <w:rPr>
                <w:rFonts w:ascii="Arial"/>
                <w:spacing w:val="-1"/>
                <w:sz w:val="20"/>
              </w:rPr>
              <w:tab/>
            </w:r>
            <w:r>
              <w:rPr>
                <w:rFonts w:ascii="Arial"/>
                <w:spacing w:val="-1"/>
                <w:w w:val="99"/>
                <w:sz w:val="20"/>
              </w:rPr>
            </w:r>
            <w:r>
              <w:rPr>
                <w:rFonts w:ascii="Arial"/>
                <w:spacing w:val="-1"/>
                <w:w w:val="99"/>
                <w:sz w:val="20"/>
                <w:u w:val="thick" w:color="000000"/>
              </w:rPr>
              <w:t> </w:t>
            </w:r>
            <w:r>
              <w:rPr>
                <w:rFonts w:ascii="Arial"/>
                <w:spacing w:val="-1"/>
                <w:sz w:val="20"/>
                <w:u w:val="thick" w:color="000000"/>
              </w:rPr>
              <w:tab/>
            </w:r>
            <w:r>
              <w:rPr>
                <w:rFonts w:ascii="Arial"/>
                <w:spacing w:val="-1"/>
                <w:sz w:val="20"/>
              </w:rPr>
            </w:r>
          </w:p>
        </w:tc>
        <w:tc>
          <w:tcPr>
            <w:tcW w:w="128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393"/>
              <w:jc w:val="right"/>
              <w:rPr>
                <w:rFonts w:ascii="Arial" w:hAnsi="Arial" w:cs="Arial" w:eastAsia="Arial" w:hint="default"/>
                <w:sz w:val="20"/>
                <w:szCs w:val="20"/>
              </w:rPr>
            </w:pPr>
            <w:r>
              <w:rPr>
                <w:rFonts w:ascii="Arial"/>
                <w:w w:val="99"/>
                <w:sz w:val="20"/>
              </w:rPr>
            </w:r>
            <w:r>
              <w:rPr>
                <w:rFonts w:ascii="Arial"/>
                <w:w w:val="99"/>
                <w:sz w:val="20"/>
                <w:u w:val="thick" w:color="000000"/>
              </w:rPr>
              <w:t>-</w:t>
            </w:r>
            <w:r>
              <w:rPr>
                <w:rFonts w:ascii="Arial"/>
                <w:w w:val="99"/>
                <w:sz w:val="20"/>
              </w:rPr>
            </w:r>
            <w:r>
              <w:rPr>
                <w:rFonts w:ascii="Arial"/>
                <w:sz w:val="20"/>
              </w:rPr>
            </w:r>
          </w:p>
        </w:tc>
        <w:tc>
          <w:tcPr>
            <w:tcW w:w="1725" w:type="dxa"/>
            <w:tcBorders>
              <w:top w:val="nil" w:sz="6" w:space="0" w:color="auto"/>
              <w:left w:val="nil" w:sz="6" w:space="0" w:color="auto"/>
              <w:bottom w:val="nil" w:sz="6" w:space="0" w:color="auto"/>
              <w:right w:val="nil" w:sz="6" w:space="0" w:color="auto"/>
            </w:tcBorders>
          </w:tcPr>
          <w:p>
            <w:pPr>
              <w:pStyle w:val="TableParagraph"/>
              <w:tabs>
                <w:tab w:pos="896" w:val="left" w:leader="none"/>
              </w:tabs>
              <w:spacing w:line="240" w:lineRule="auto" w:before="95"/>
              <w:ind w:left="395" w:right="0"/>
              <w:jc w:val="lef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t>54,571</w:t>
            </w:r>
            <w:r>
              <w:rPr>
                <w:rFonts w:ascii="Arial"/>
                <w:sz w:val="20"/>
              </w:rPr>
            </w:r>
          </w:p>
        </w:tc>
        <w:tc>
          <w:tcPr>
            <w:tcW w:w="1208" w:type="dxa"/>
            <w:tcBorders>
              <w:top w:val="nil" w:sz="6" w:space="0" w:color="auto"/>
              <w:left w:val="nil" w:sz="6" w:space="0" w:color="auto"/>
              <w:bottom w:val="nil" w:sz="6" w:space="0" w:color="auto"/>
              <w:right w:val="nil" w:sz="6" w:space="0" w:color="auto"/>
            </w:tcBorders>
          </w:tcPr>
          <w:p>
            <w:pPr>
              <w:pStyle w:val="TableParagraph"/>
              <w:tabs>
                <w:tab w:pos="861" w:val="left" w:leader="none"/>
              </w:tabs>
              <w:spacing w:line="240" w:lineRule="auto" w:before="95"/>
              <w:ind w:right="206"/>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w w:val="95"/>
                <w:sz w:val="20"/>
                <w:u w:val="thick" w:color="000000"/>
              </w:rPr>
              <w:t>-</w:t>
            </w:r>
            <w:r>
              <w:rPr>
                <w:rFonts w:ascii="Arial"/>
                <w:w w:val="95"/>
                <w:sz w:val="20"/>
              </w:rPr>
            </w:r>
            <w:r>
              <w:rPr>
                <w:rFonts w:ascii="Arial"/>
                <w:sz w:val="20"/>
              </w:rPr>
            </w:r>
          </w:p>
        </w:tc>
      </w:tr>
    </w:tbl>
    <w:p>
      <w:pPr>
        <w:spacing w:after="0" w:line="240" w:lineRule="auto"/>
        <w:jc w:val="right"/>
        <w:rPr>
          <w:rFonts w:ascii="Arial" w:hAnsi="Arial" w:cs="Arial" w:eastAsia="Arial" w:hint="default"/>
          <w:sz w:val="20"/>
          <w:szCs w:val="20"/>
        </w:rPr>
        <w:sectPr>
          <w:pgSz w:w="11910" w:h="16850"/>
          <w:pgMar w:header="957" w:footer="473" w:top="2600" w:bottom="660" w:left="1580" w:right="1160"/>
        </w:sectPr>
      </w:pPr>
    </w:p>
    <w:p>
      <w:pPr>
        <w:spacing w:line="240" w:lineRule="auto" w:before="2"/>
        <w:rPr>
          <w:rFonts w:ascii="黑体" w:hAnsi="黑体" w:cs="黑体" w:eastAsia="黑体" w:hint="default"/>
          <w:b/>
          <w:bCs/>
          <w:sz w:val="17"/>
          <w:szCs w:val="17"/>
        </w:rPr>
      </w:pPr>
    </w:p>
    <w:p>
      <w:pPr>
        <w:pStyle w:val="Heading6"/>
        <w:spacing w:line="240" w:lineRule="auto"/>
        <w:ind w:left="121" w:right="0"/>
        <w:jc w:val="left"/>
        <w:rPr>
          <w:b w:val="0"/>
          <w:bCs w:val="0"/>
        </w:rPr>
      </w:pPr>
      <w:bookmarkStart w:name="十四、比较数据" w:id="162"/>
      <w:bookmarkEnd w:id="162"/>
      <w:r>
        <w:rPr>
          <w:b w:val="0"/>
          <w:bCs w:val="0"/>
        </w:rPr>
      </w:r>
      <w:bookmarkStart w:name="十五、财务报表之批准" w:id="163"/>
      <w:bookmarkEnd w:id="163"/>
      <w:r>
        <w:rPr>
          <w:b w:val="0"/>
          <w:bCs w:val="0"/>
        </w:rPr>
      </w:r>
      <w:r>
        <w:rPr/>
        <w:t>十三、公司财务报表主要项目注释（续）</w:t>
      </w:r>
      <w:r>
        <w:rPr>
          <w:b w:val="0"/>
          <w:bCs w:val="0"/>
        </w:rPr>
      </w:r>
    </w:p>
    <w:p>
      <w:pPr>
        <w:spacing w:line="240" w:lineRule="auto" w:before="2"/>
        <w:rPr>
          <w:rFonts w:ascii="黑体" w:hAnsi="黑体" w:cs="黑体" w:eastAsia="黑体" w:hint="default"/>
          <w:b/>
          <w:bCs/>
          <w:sz w:val="18"/>
          <w:szCs w:val="18"/>
        </w:rPr>
      </w:pPr>
    </w:p>
    <w:p>
      <w:pPr>
        <w:pStyle w:val="Heading6"/>
        <w:tabs>
          <w:tab w:pos="786" w:val="left" w:leader="none"/>
        </w:tabs>
        <w:spacing w:line="240" w:lineRule="auto" w:before="0"/>
        <w:ind w:left="107" w:right="0"/>
        <w:jc w:val="left"/>
        <w:rPr>
          <w:b w:val="0"/>
          <w:bCs w:val="0"/>
        </w:rPr>
      </w:pPr>
      <w:r>
        <w:rPr>
          <w:rFonts w:ascii="Arial" w:hAnsi="Arial" w:cs="Arial" w:eastAsia="Arial" w:hint="default"/>
          <w:spacing w:val="-1"/>
          <w:w w:val="95"/>
        </w:rPr>
        <w:t>42.</w:t>
        <w:tab/>
      </w:r>
      <w:r>
        <w:rPr>
          <w:spacing w:val="1"/>
        </w:rPr>
        <w:t>关联方应收</w:t>
      </w:r>
      <w:bookmarkStart w:name="42.    关联方应收应付款项余额（续）" w:id="164"/>
      <w:bookmarkEnd w:id="164"/>
      <w:r>
        <w:rPr>
          <w:spacing w:val="1"/>
        </w:rPr>
        <w:t>应付</w:t>
      </w:r>
      <w:r>
        <w:rPr>
          <w:spacing w:val="1"/>
        </w:rPr>
        <w:t>款项余额（续）</w:t>
      </w:r>
      <w:r>
        <w:rPr>
          <w:b w:val="0"/>
          <w:bCs w:val="0"/>
          <w:spacing w:val="1"/>
        </w:rPr>
      </w:r>
    </w:p>
    <w:p>
      <w:pPr>
        <w:spacing w:line="240" w:lineRule="auto" w:before="5"/>
        <w:rPr>
          <w:rFonts w:ascii="黑体" w:hAnsi="黑体" w:cs="黑体" w:eastAsia="黑体" w:hint="default"/>
          <w:b/>
          <w:bCs/>
          <w:sz w:val="29"/>
          <w:szCs w:val="29"/>
        </w:rPr>
      </w:pPr>
    </w:p>
    <w:tbl>
      <w:tblPr>
        <w:tblW w:w="0" w:type="auto"/>
        <w:jc w:val="left"/>
        <w:tblInd w:w="526" w:type="dxa"/>
        <w:tblLayout w:type="fixed"/>
        <w:tblCellMar>
          <w:top w:w="0" w:type="dxa"/>
          <w:left w:w="0" w:type="dxa"/>
          <w:bottom w:w="0" w:type="dxa"/>
          <w:right w:w="0" w:type="dxa"/>
        </w:tblCellMar>
        <w:tblLook w:val="01E0"/>
      </w:tblPr>
      <w:tblGrid>
        <w:gridCol w:w="3134"/>
        <w:gridCol w:w="3282"/>
        <w:gridCol w:w="2060"/>
      </w:tblGrid>
      <w:tr>
        <w:trPr>
          <w:trHeight w:val="215" w:hRule="exact"/>
        </w:trPr>
        <w:tc>
          <w:tcPr>
            <w:tcW w:w="3134" w:type="dxa"/>
            <w:tcBorders>
              <w:top w:val="nil" w:sz="6" w:space="0" w:color="auto"/>
              <w:left w:val="nil" w:sz="6" w:space="0" w:color="auto"/>
              <w:bottom w:val="nil" w:sz="6" w:space="0" w:color="auto"/>
              <w:right w:val="nil" w:sz="6" w:space="0" w:color="auto"/>
            </w:tcBorders>
          </w:tcPr>
          <w:p>
            <w:pPr/>
          </w:p>
        </w:tc>
        <w:tc>
          <w:tcPr>
            <w:tcW w:w="3282" w:type="dxa"/>
            <w:tcBorders>
              <w:top w:val="nil" w:sz="6" w:space="0" w:color="auto"/>
              <w:left w:val="nil" w:sz="6" w:space="0" w:color="auto"/>
              <w:bottom w:val="nil" w:sz="6" w:space="0" w:color="auto"/>
              <w:right w:val="nil" w:sz="6" w:space="0" w:color="auto"/>
            </w:tcBorders>
          </w:tcPr>
          <w:p>
            <w:pPr>
              <w:pStyle w:val="TableParagraph"/>
              <w:spacing w:line="214" w:lineRule="exact"/>
              <w:ind w:right="737"/>
              <w:jc w:val="right"/>
              <w:rPr>
                <w:rFonts w:ascii="黑体" w:hAnsi="黑体" w:cs="黑体" w:eastAsia="黑体" w:hint="default"/>
                <w:sz w:val="20"/>
                <w:szCs w:val="20"/>
              </w:rPr>
            </w:pPr>
            <w:r>
              <w:rPr>
                <w:rFonts w:ascii="Arial" w:hAnsi="Arial" w:cs="Arial" w:eastAsia="Arial" w:hint="default"/>
                <w:sz w:val="20"/>
                <w:szCs w:val="20"/>
              </w:rPr>
              <w:t>2012</w:t>
            </w:r>
            <w:r>
              <w:rPr>
                <w:rFonts w:ascii="Arial" w:hAnsi="Arial" w:cs="Arial" w:eastAsia="Arial" w:hint="default"/>
                <w:spacing w:val="-9"/>
                <w:sz w:val="20"/>
                <w:szCs w:val="20"/>
              </w:rPr>
              <w:t> </w:t>
            </w:r>
            <w:r>
              <w:rPr>
                <w:rFonts w:ascii="黑体" w:hAnsi="黑体" w:cs="黑体" w:eastAsia="黑体" w:hint="default"/>
                <w:sz w:val="20"/>
                <w:szCs w:val="20"/>
              </w:rPr>
              <w:t>年</w:t>
            </w:r>
          </w:p>
        </w:tc>
        <w:tc>
          <w:tcPr>
            <w:tcW w:w="2060" w:type="dxa"/>
            <w:tcBorders>
              <w:top w:val="nil" w:sz="6" w:space="0" w:color="auto"/>
              <w:left w:val="nil" w:sz="6" w:space="0" w:color="auto"/>
              <w:bottom w:val="nil" w:sz="6" w:space="0" w:color="auto"/>
              <w:right w:val="nil" w:sz="6" w:space="0" w:color="auto"/>
            </w:tcBorders>
          </w:tcPr>
          <w:p>
            <w:pPr>
              <w:pStyle w:val="TableParagraph"/>
              <w:spacing w:line="214" w:lineRule="exact"/>
              <w:ind w:right="198"/>
              <w:jc w:val="right"/>
              <w:rPr>
                <w:rFonts w:ascii="黑体" w:hAnsi="黑体" w:cs="黑体" w:eastAsia="黑体" w:hint="default"/>
                <w:sz w:val="20"/>
                <w:szCs w:val="20"/>
              </w:rPr>
            </w:pPr>
            <w:r>
              <w:rPr>
                <w:rFonts w:ascii="Arial" w:hAnsi="Arial" w:cs="Arial" w:eastAsia="Arial" w:hint="default"/>
                <w:sz w:val="20"/>
                <w:szCs w:val="20"/>
              </w:rPr>
              <w:t>2011</w:t>
            </w:r>
            <w:r>
              <w:rPr>
                <w:rFonts w:ascii="Arial" w:hAnsi="Arial" w:cs="Arial" w:eastAsia="Arial" w:hint="default"/>
                <w:spacing w:val="-9"/>
                <w:sz w:val="20"/>
                <w:szCs w:val="20"/>
              </w:rPr>
              <w:t> </w:t>
            </w:r>
            <w:r>
              <w:rPr>
                <w:rFonts w:ascii="黑体" w:hAnsi="黑体" w:cs="黑体" w:eastAsia="黑体" w:hint="default"/>
                <w:sz w:val="20"/>
                <w:szCs w:val="20"/>
              </w:rPr>
              <w:t>年</w:t>
            </w:r>
          </w:p>
        </w:tc>
      </w:tr>
      <w:tr>
        <w:trPr>
          <w:trHeight w:val="325" w:hRule="exact"/>
        </w:trPr>
        <w:tc>
          <w:tcPr>
            <w:tcW w:w="3134" w:type="dxa"/>
            <w:tcBorders>
              <w:top w:val="nil" w:sz="6" w:space="0" w:color="auto"/>
              <w:left w:val="nil" w:sz="6" w:space="0" w:color="auto"/>
              <w:bottom w:val="nil" w:sz="6" w:space="0" w:color="auto"/>
              <w:right w:val="nil" w:sz="6" w:space="0" w:color="auto"/>
            </w:tcBorders>
          </w:tcPr>
          <w:p>
            <w:pPr/>
          </w:p>
        </w:tc>
        <w:tc>
          <w:tcPr>
            <w:tcW w:w="3282" w:type="dxa"/>
            <w:tcBorders>
              <w:top w:val="nil" w:sz="6" w:space="0" w:color="auto"/>
              <w:left w:val="nil" w:sz="6" w:space="0" w:color="auto"/>
              <w:bottom w:val="nil" w:sz="6" w:space="0" w:color="auto"/>
              <w:right w:val="nil" w:sz="6" w:space="0" w:color="auto"/>
            </w:tcBorders>
          </w:tcPr>
          <w:p>
            <w:pPr>
              <w:pStyle w:val="TableParagraph"/>
              <w:spacing w:line="205" w:lineRule="exact"/>
              <w:ind w:right="737"/>
              <w:jc w:val="right"/>
              <w:rPr>
                <w:rFonts w:ascii="黑体" w:hAnsi="黑体" w:cs="黑体" w:eastAsia="黑体" w:hint="default"/>
                <w:sz w:val="20"/>
                <w:szCs w:val="20"/>
              </w:rPr>
            </w:pPr>
            <w:r>
              <w:rPr>
                <w:rFonts w:ascii="黑体" w:hAnsi="黑体" w:cs="黑体" w:eastAsia="黑体" w:hint="default"/>
                <w:w w:val="95"/>
                <w:sz w:val="20"/>
                <w:szCs w:val="20"/>
              </w:rPr>
              <w:t>账面余额</w:t>
            </w:r>
            <w:r>
              <w:rPr>
                <w:rFonts w:ascii="黑体" w:hAnsi="黑体" w:cs="黑体" w:eastAsia="黑体" w:hint="default"/>
                <w:sz w:val="20"/>
                <w:szCs w:val="20"/>
              </w:rPr>
            </w:r>
          </w:p>
        </w:tc>
        <w:tc>
          <w:tcPr>
            <w:tcW w:w="2060" w:type="dxa"/>
            <w:tcBorders>
              <w:top w:val="nil" w:sz="6" w:space="0" w:color="auto"/>
              <w:left w:val="nil" w:sz="6" w:space="0" w:color="auto"/>
              <w:bottom w:val="nil" w:sz="6" w:space="0" w:color="auto"/>
              <w:right w:val="nil" w:sz="6" w:space="0" w:color="auto"/>
            </w:tcBorders>
          </w:tcPr>
          <w:p>
            <w:pPr>
              <w:pStyle w:val="TableParagraph"/>
              <w:spacing w:line="205" w:lineRule="exact"/>
              <w:ind w:right="212"/>
              <w:jc w:val="right"/>
              <w:rPr>
                <w:rFonts w:ascii="黑体" w:hAnsi="黑体" w:cs="黑体" w:eastAsia="黑体" w:hint="default"/>
                <w:sz w:val="20"/>
                <w:szCs w:val="20"/>
              </w:rPr>
            </w:pPr>
            <w:r>
              <w:rPr>
                <w:rFonts w:ascii="黑体" w:hAnsi="黑体" w:cs="黑体" w:eastAsia="黑体" w:hint="default"/>
                <w:w w:val="95"/>
                <w:sz w:val="20"/>
                <w:szCs w:val="20"/>
              </w:rPr>
              <w:t>账面余额</w:t>
            </w:r>
            <w:r>
              <w:rPr>
                <w:rFonts w:ascii="黑体" w:hAnsi="黑体" w:cs="黑体" w:eastAsia="黑体" w:hint="default"/>
                <w:sz w:val="20"/>
                <w:szCs w:val="20"/>
              </w:rPr>
            </w:r>
          </w:p>
        </w:tc>
      </w:tr>
      <w:tr>
        <w:trPr>
          <w:trHeight w:val="330" w:hRule="exact"/>
        </w:trPr>
        <w:tc>
          <w:tcPr>
            <w:tcW w:w="3134" w:type="dxa"/>
            <w:tcBorders>
              <w:top w:val="nil" w:sz="6" w:space="0" w:color="auto"/>
              <w:left w:val="nil" w:sz="6" w:space="0" w:color="auto"/>
              <w:bottom w:val="nil" w:sz="6" w:space="0" w:color="auto"/>
              <w:right w:val="nil" w:sz="6" w:space="0" w:color="auto"/>
            </w:tcBorders>
          </w:tcPr>
          <w:p>
            <w:pPr>
              <w:pStyle w:val="TableParagraph"/>
              <w:spacing w:line="240" w:lineRule="auto" w:before="57"/>
              <w:ind w:left="212" w:right="0"/>
              <w:jc w:val="left"/>
              <w:rPr>
                <w:rFonts w:ascii="黑体" w:hAnsi="黑体" w:cs="黑体" w:eastAsia="黑体" w:hint="default"/>
                <w:sz w:val="20"/>
                <w:szCs w:val="20"/>
              </w:rPr>
            </w:pPr>
            <w:r>
              <w:rPr>
                <w:rFonts w:ascii="黑体" w:hAnsi="黑体" w:cs="黑体" w:eastAsia="黑体" w:hint="default"/>
                <w:sz w:val="20"/>
                <w:szCs w:val="20"/>
              </w:rPr>
              <w:t>应付账款</w:t>
            </w:r>
          </w:p>
        </w:tc>
        <w:tc>
          <w:tcPr>
            <w:tcW w:w="3282" w:type="dxa"/>
            <w:tcBorders>
              <w:top w:val="nil" w:sz="6" w:space="0" w:color="auto"/>
              <w:left w:val="nil" w:sz="6" w:space="0" w:color="auto"/>
              <w:bottom w:val="nil" w:sz="6" w:space="0" w:color="auto"/>
              <w:right w:val="nil" w:sz="6" w:space="0" w:color="auto"/>
            </w:tcBorders>
          </w:tcPr>
          <w:p>
            <w:pPr/>
          </w:p>
        </w:tc>
        <w:tc>
          <w:tcPr>
            <w:tcW w:w="2060" w:type="dxa"/>
            <w:tcBorders>
              <w:top w:val="nil" w:sz="6" w:space="0" w:color="auto"/>
              <w:left w:val="nil" w:sz="6" w:space="0" w:color="auto"/>
              <w:bottom w:val="nil" w:sz="6" w:space="0" w:color="auto"/>
              <w:right w:val="nil" w:sz="6" w:space="0" w:color="auto"/>
            </w:tcBorders>
          </w:tcPr>
          <w:p>
            <w:pPr/>
          </w:p>
        </w:tc>
      </w:tr>
      <w:tr>
        <w:trPr>
          <w:trHeight w:val="224" w:hRule="exact"/>
        </w:trPr>
        <w:tc>
          <w:tcPr>
            <w:tcW w:w="3134" w:type="dxa"/>
            <w:tcBorders>
              <w:top w:val="nil" w:sz="6" w:space="0" w:color="auto"/>
              <w:left w:val="nil" w:sz="6" w:space="0" w:color="auto"/>
              <w:bottom w:val="nil" w:sz="6" w:space="0" w:color="auto"/>
              <w:right w:val="nil" w:sz="6" w:space="0" w:color="auto"/>
            </w:tcBorders>
          </w:tcPr>
          <w:p>
            <w:pPr>
              <w:pStyle w:val="TableParagraph"/>
              <w:spacing w:line="210" w:lineRule="exact"/>
              <w:ind w:left="392" w:right="0"/>
              <w:jc w:val="left"/>
              <w:rPr>
                <w:rFonts w:ascii="黑体" w:hAnsi="黑体" w:cs="黑体" w:eastAsia="黑体" w:hint="default"/>
                <w:sz w:val="20"/>
                <w:szCs w:val="20"/>
              </w:rPr>
            </w:pPr>
            <w:r>
              <w:rPr>
                <w:rFonts w:ascii="黑体" w:hAnsi="黑体" w:cs="黑体" w:eastAsia="黑体" w:hint="default"/>
                <w:sz w:val="20"/>
                <w:szCs w:val="20"/>
              </w:rPr>
              <w:t>用友华表</w:t>
            </w:r>
          </w:p>
        </w:tc>
        <w:tc>
          <w:tcPr>
            <w:tcW w:w="3282" w:type="dxa"/>
            <w:tcBorders>
              <w:top w:val="nil" w:sz="6" w:space="0" w:color="auto"/>
              <w:left w:val="nil" w:sz="6" w:space="0" w:color="auto"/>
              <w:bottom w:val="nil" w:sz="6" w:space="0" w:color="auto"/>
              <w:right w:val="nil" w:sz="6" w:space="0" w:color="auto"/>
            </w:tcBorders>
          </w:tcPr>
          <w:p>
            <w:pPr>
              <w:pStyle w:val="TableParagraph"/>
              <w:spacing w:line="224" w:lineRule="exact"/>
              <w:ind w:right="737"/>
              <w:jc w:val="right"/>
              <w:rPr>
                <w:rFonts w:ascii="Arial" w:hAnsi="Arial" w:cs="Arial" w:eastAsia="Arial" w:hint="default"/>
                <w:sz w:val="20"/>
                <w:szCs w:val="20"/>
              </w:rPr>
            </w:pPr>
            <w:r>
              <w:rPr>
                <w:rFonts w:ascii="Arial"/>
                <w:spacing w:val="-1"/>
                <w:sz w:val="20"/>
              </w:rPr>
              <w:t>1,486,740</w:t>
            </w:r>
          </w:p>
        </w:tc>
        <w:tc>
          <w:tcPr>
            <w:tcW w:w="2060" w:type="dxa"/>
            <w:tcBorders>
              <w:top w:val="nil" w:sz="6" w:space="0" w:color="auto"/>
              <w:left w:val="nil" w:sz="6" w:space="0" w:color="auto"/>
              <w:bottom w:val="nil" w:sz="6" w:space="0" w:color="auto"/>
              <w:right w:val="nil" w:sz="6" w:space="0" w:color="auto"/>
            </w:tcBorders>
          </w:tcPr>
          <w:p>
            <w:pPr>
              <w:pStyle w:val="TableParagraph"/>
              <w:spacing w:line="224" w:lineRule="exact"/>
              <w:ind w:right="212"/>
              <w:jc w:val="right"/>
              <w:rPr>
                <w:rFonts w:ascii="Arial" w:hAnsi="Arial" w:cs="Arial" w:eastAsia="Arial" w:hint="default"/>
                <w:sz w:val="20"/>
                <w:szCs w:val="20"/>
              </w:rPr>
            </w:pPr>
            <w:r>
              <w:rPr>
                <w:rFonts w:ascii="Arial"/>
                <w:spacing w:val="-1"/>
                <w:sz w:val="20"/>
              </w:rPr>
              <w:t>4,533,855</w:t>
            </w:r>
          </w:p>
        </w:tc>
      </w:tr>
      <w:tr>
        <w:trPr>
          <w:trHeight w:val="220" w:hRule="exact"/>
        </w:trPr>
        <w:tc>
          <w:tcPr>
            <w:tcW w:w="3134" w:type="dxa"/>
            <w:tcBorders>
              <w:top w:val="nil" w:sz="6" w:space="0" w:color="auto"/>
              <w:left w:val="nil" w:sz="6" w:space="0" w:color="auto"/>
              <w:bottom w:val="nil" w:sz="6" w:space="0" w:color="auto"/>
              <w:right w:val="nil" w:sz="6" w:space="0" w:color="auto"/>
            </w:tcBorders>
          </w:tcPr>
          <w:p>
            <w:pPr>
              <w:pStyle w:val="TableParagraph"/>
              <w:spacing w:line="204" w:lineRule="exact"/>
              <w:ind w:left="392" w:right="0"/>
              <w:jc w:val="left"/>
              <w:rPr>
                <w:rFonts w:ascii="黑体" w:hAnsi="黑体" w:cs="黑体" w:eastAsia="黑体" w:hint="default"/>
                <w:sz w:val="20"/>
                <w:szCs w:val="20"/>
              </w:rPr>
            </w:pPr>
            <w:r>
              <w:rPr>
                <w:rFonts w:ascii="黑体" w:hAnsi="黑体" w:cs="黑体" w:eastAsia="黑体" w:hint="default"/>
                <w:sz w:val="20"/>
                <w:szCs w:val="20"/>
              </w:rPr>
              <w:t>用友艾福斯</w:t>
            </w:r>
          </w:p>
        </w:tc>
        <w:tc>
          <w:tcPr>
            <w:tcW w:w="3282" w:type="dxa"/>
            <w:tcBorders>
              <w:top w:val="nil" w:sz="6" w:space="0" w:color="auto"/>
              <w:left w:val="nil" w:sz="6" w:space="0" w:color="auto"/>
              <w:bottom w:val="nil" w:sz="6" w:space="0" w:color="auto"/>
              <w:right w:val="nil" w:sz="6" w:space="0" w:color="auto"/>
            </w:tcBorders>
          </w:tcPr>
          <w:p>
            <w:pPr>
              <w:pStyle w:val="TableParagraph"/>
              <w:spacing w:line="218" w:lineRule="exact"/>
              <w:ind w:right="737"/>
              <w:jc w:val="right"/>
              <w:rPr>
                <w:rFonts w:ascii="Arial" w:hAnsi="Arial" w:cs="Arial" w:eastAsia="Arial" w:hint="default"/>
                <w:sz w:val="20"/>
                <w:szCs w:val="20"/>
              </w:rPr>
            </w:pPr>
            <w:r>
              <w:rPr>
                <w:rFonts w:ascii="Arial"/>
                <w:spacing w:val="-1"/>
                <w:sz w:val="20"/>
              </w:rPr>
              <w:t>1,240,000</w:t>
            </w:r>
          </w:p>
        </w:tc>
        <w:tc>
          <w:tcPr>
            <w:tcW w:w="2060" w:type="dxa"/>
            <w:tcBorders>
              <w:top w:val="nil" w:sz="6" w:space="0" w:color="auto"/>
              <w:left w:val="nil" w:sz="6" w:space="0" w:color="auto"/>
              <w:bottom w:val="nil" w:sz="6" w:space="0" w:color="auto"/>
              <w:right w:val="nil" w:sz="6" w:space="0" w:color="auto"/>
            </w:tcBorders>
          </w:tcPr>
          <w:p>
            <w:pPr>
              <w:pStyle w:val="TableParagraph"/>
              <w:spacing w:line="218" w:lineRule="exact"/>
              <w:ind w:right="212"/>
              <w:jc w:val="right"/>
              <w:rPr>
                <w:rFonts w:ascii="Arial" w:hAnsi="Arial" w:cs="Arial" w:eastAsia="Arial" w:hint="default"/>
                <w:sz w:val="20"/>
                <w:szCs w:val="20"/>
              </w:rPr>
            </w:pPr>
            <w:r>
              <w:rPr>
                <w:rFonts w:ascii="Arial"/>
                <w:spacing w:val="-1"/>
                <w:sz w:val="20"/>
              </w:rPr>
              <w:t>1,240,000</w:t>
            </w:r>
          </w:p>
        </w:tc>
      </w:tr>
      <w:tr>
        <w:trPr>
          <w:trHeight w:val="221" w:hRule="exact"/>
        </w:trPr>
        <w:tc>
          <w:tcPr>
            <w:tcW w:w="3134" w:type="dxa"/>
            <w:tcBorders>
              <w:top w:val="nil" w:sz="6" w:space="0" w:color="auto"/>
              <w:left w:val="nil" w:sz="6" w:space="0" w:color="auto"/>
              <w:bottom w:val="nil" w:sz="6" w:space="0" w:color="auto"/>
              <w:right w:val="nil" w:sz="6" w:space="0" w:color="auto"/>
            </w:tcBorders>
          </w:tcPr>
          <w:p>
            <w:pPr>
              <w:pStyle w:val="TableParagraph"/>
              <w:spacing w:line="205" w:lineRule="exact"/>
              <w:ind w:left="392" w:right="0"/>
              <w:jc w:val="left"/>
              <w:rPr>
                <w:rFonts w:ascii="黑体" w:hAnsi="黑体" w:cs="黑体" w:eastAsia="黑体" w:hint="default"/>
                <w:sz w:val="20"/>
                <w:szCs w:val="20"/>
              </w:rPr>
            </w:pPr>
            <w:r>
              <w:rPr>
                <w:rFonts w:ascii="黑体" w:hAnsi="黑体" w:cs="黑体" w:eastAsia="黑体" w:hint="default"/>
                <w:sz w:val="20"/>
                <w:szCs w:val="20"/>
              </w:rPr>
              <w:t>用友汽车</w:t>
            </w:r>
          </w:p>
        </w:tc>
        <w:tc>
          <w:tcPr>
            <w:tcW w:w="3282" w:type="dxa"/>
            <w:tcBorders>
              <w:top w:val="nil" w:sz="6" w:space="0" w:color="auto"/>
              <w:left w:val="nil" w:sz="6" w:space="0" w:color="auto"/>
              <w:bottom w:val="nil" w:sz="6" w:space="0" w:color="auto"/>
              <w:right w:val="nil" w:sz="6" w:space="0" w:color="auto"/>
            </w:tcBorders>
          </w:tcPr>
          <w:p>
            <w:pPr>
              <w:pStyle w:val="TableParagraph"/>
              <w:spacing w:line="219" w:lineRule="exact"/>
              <w:ind w:right="737"/>
              <w:jc w:val="right"/>
              <w:rPr>
                <w:rFonts w:ascii="Arial" w:hAnsi="Arial" w:cs="Arial" w:eastAsia="Arial" w:hint="default"/>
                <w:sz w:val="20"/>
                <w:szCs w:val="20"/>
              </w:rPr>
            </w:pPr>
            <w:r>
              <w:rPr>
                <w:rFonts w:ascii="Arial"/>
                <w:spacing w:val="-1"/>
                <w:w w:val="95"/>
                <w:sz w:val="20"/>
              </w:rPr>
              <w:t>780,000</w:t>
            </w:r>
            <w:r>
              <w:rPr>
                <w:rFonts w:ascii="Arial"/>
                <w:sz w:val="20"/>
              </w:rPr>
            </w:r>
          </w:p>
        </w:tc>
        <w:tc>
          <w:tcPr>
            <w:tcW w:w="2060" w:type="dxa"/>
            <w:tcBorders>
              <w:top w:val="nil" w:sz="6" w:space="0" w:color="auto"/>
              <w:left w:val="nil" w:sz="6" w:space="0" w:color="auto"/>
              <w:bottom w:val="nil" w:sz="6" w:space="0" w:color="auto"/>
              <w:right w:val="nil" w:sz="6" w:space="0" w:color="auto"/>
            </w:tcBorders>
          </w:tcPr>
          <w:p>
            <w:pPr>
              <w:pStyle w:val="TableParagraph"/>
              <w:spacing w:line="219" w:lineRule="exact"/>
              <w:ind w:right="212"/>
              <w:jc w:val="right"/>
              <w:rPr>
                <w:rFonts w:ascii="Arial" w:hAnsi="Arial" w:cs="Arial" w:eastAsia="Arial" w:hint="default"/>
                <w:sz w:val="20"/>
                <w:szCs w:val="20"/>
              </w:rPr>
            </w:pPr>
            <w:r>
              <w:rPr>
                <w:rFonts w:ascii="Arial"/>
                <w:spacing w:val="-1"/>
                <w:w w:val="95"/>
                <w:sz w:val="20"/>
              </w:rPr>
              <w:t>780,000</w:t>
            </w:r>
            <w:r>
              <w:rPr>
                <w:rFonts w:ascii="Arial"/>
                <w:sz w:val="20"/>
              </w:rPr>
            </w:r>
          </w:p>
        </w:tc>
      </w:tr>
      <w:tr>
        <w:trPr>
          <w:trHeight w:val="220" w:hRule="exact"/>
        </w:trPr>
        <w:tc>
          <w:tcPr>
            <w:tcW w:w="3134" w:type="dxa"/>
            <w:tcBorders>
              <w:top w:val="nil" w:sz="6" w:space="0" w:color="auto"/>
              <w:left w:val="nil" w:sz="6" w:space="0" w:color="auto"/>
              <w:bottom w:val="nil" w:sz="6" w:space="0" w:color="auto"/>
              <w:right w:val="nil" w:sz="6" w:space="0" w:color="auto"/>
            </w:tcBorders>
          </w:tcPr>
          <w:p>
            <w:pPr>
              <w:pStyle w:val="TableParagraph"/>
              <w:spacing w:line="205" w:lineRule="exact"/>
              <w:ind w:left="392" w:right="0"/>
              <w:jc w:val="left"/>
              <w:rPr>
                <w:rFonts w:ascii="黑体" w:hAnsi="黑体" w:cs="黑体" w:eastAsia="黑体" w:hint="default"/>
                <w:sz w:val="20"/>
                <w:szCs w:val="20"/>
              </w:rPr>
            </w:pPr>
            <w:r>
              <w:rPr>
                <w:rFonts w:ascii="黑体" w:hAnsi="黑体" w:cs="黑体" w:eastAsia="黑体" w:hint="default"/>
                <w:sz w:val="20"/>
                <w:szCs w:val="20"/>
              </w:rPr>
              <w:t>用友审计</w:t>
            </w:r>
          </w:p>
        </w:tc>
        <w:tc>
          <w:tcPr>
            <w:tcW w:w="3282" w:type="dxa"/>
            <w:tcBorders>
              <w:top w:val="nil" w:sz="6" w:space="0" w:color="auto"/>
              <w:left w:val="nil" w:sz="6" w:space="0" w:color="auto"/>
              <w:bottom w:val="nil" w:sz="6" w:space="0" w:color="auto"/>
              <w:right w:val="nil" w:sz="6" w:space="0" w:color="auto"/>
            </w:tcBorders>
          </w:tcPr>
          <w:p>
            <w:pPr>
              <w:pStyle w:val="TableParagraph"/>
              <w:spacing w:line="219" w:lineRule="exact"/>
              <w:ind w:right="737"/>
              <w:jc w:val="right"/>
              <w:rPr>
                <w:rFonts w:ascii="Arial" w:hAnsi="Arial" w:cs="Arial" w:eastAsia="Arial" w:hint="default"/>
                <w:sz w:val="20"/>
                <w:szCs w:val="20"/>
              </w:rPr>
            </w:pPr>
            <w:r>
              <w:rPr>
                <w:rFonts w:ascii="Arial"/>
                <w:spacing w:val="-1"/>
                <w:w w:val="95"/>
                <w:sz w:val="20"/>
              </w:rPr>
              <w:t>243,254</w:t>
            </w:r>
            <w:r>
              <w:rPr>
                <w:rFonts w:ascii="Arial"/>
                <w:sz w:val="20"/>
              </w:rPr>
            </w:r>
          </w:p>
        </w:tc>
        <w:tc>
          <w:tcPr>
            <w:tcW w:w="2060" w:type="dxa"/>
            <w:tcBorders>
              <w:top w:val="nil" w:sz="6" w:space="0" w:color="auto"/>
              <w:left w:val="nil" w:sz="6" w:space="0" w:color="auto"/>
              <w:bottom w:val="nil" w:sz="6" w:space="0" w:color="auto"/>
              <w:right w:val="nil" w:sz="6" w:space="0" w:color="auto"/>
            </w:tcBorders>
          </w:tcPr>
          <w:p>
            <w:pPr>
              <w:pStyle w:val="TableParagraph"/>
              <w:spacing w:line="219" w:lineRule="exact"/>
              <w:ind w:right="210"/>
              <w:jc w:val="right"/>
              <w:rPr>
                <w:rFonts w:ascii="Arial" w:hAnsi="Arial" w:cs="Arial" w:eastAsia="Arial" w:hint="default"/>
                <w:sz w:val="20"/>
                <w:szCs w:val="20"/>
              </w:rPr>
            </w:pPr>
            <w:r>
              <w:rPr>
                <w:rFonts w:ascii="Arial"/>
                <w:w w:val="99"/>
                <w:sz w:val="20"/>
              </w:rPr>
              <w:t>-</w:t>
            </w:r>
            <w:r>
              <w:rPr>
                <w:rFonts w:ascii="Arial"/>
                <w:sz w:val="20"/>
              </w:rPr>
            </w:r>
          </w:p>
        </w:tc>
      </w:tr>
      <w:tr>
        <w:trPr>
          <w:trHeight w:val="220" w:hRule="exact"/>
        </w:trPr>
        <w:tc>
          <w:tcPr>
            <w:tcW w:w="3134" w:type="dxa"/>
            <w:tcBorders>
              <w:top w:val="nil" w:sz="6" w:space="0" w:color="auto"/>
              <w:left w:val="nil" w:sz="6" w:space="0" w:color="auto"/>
              <w:bottom w:val="nil" w:sz="6" w:space="0" w:color="auto"/>
              <w:right w:val="nil" w:sz="6" w:space="0" w:color="auto"/>
            </w:tcBorders>
          </w:tcPr>
          <w:p>
            <w:pPr>
              <w:pStyle w:val="TableParagraph"/>
              <w:spacing w:line="204" w:lineRule="exact"/>
              <w:ind w:left="392" w:right="0"/>
              <w:jc w:val="left"/>
              <w:rPr>
                <w:rFonts w:ascii="黑体" w:hAnsi="黑体" w:cs="黑体" w:eastAsia="黑体" w:hint="default"/>
                <w:sz w:val="20"/>
                <w:szCs w:val="20"/>
              </w:rPr>
            </w:pPr>
            <w:r>
              <w:rPr>
                <w:rFonts w:ascii="黑体" w:hAnsi="黑体" w:cs="黑体" w:eastAsia="黑体" w:hint="default"/>
                <w:sz w:val="20"/>
                <w:szCs w:val="20"/>
              </w:rPr>
              <w:t>致远协创</w:t>
            </w:r>
          </w:p>
        </w:tc>
        <w:tc>
          <w:tcPr>
            <w:tcW w:w="3282" w:type="dxa"/>
            <w:tcBorders>
              <w:top w:val="nil" w:sz="6" w:space="0" w:color="auto"/>
              <w:left w:val="nil" w:sz="6" w:space="0" w:color="auto"/>
              <w:bottom w:val="nil" w:sz="6" w:space="0" w:color="auto"/>
              <w:right w:val="nil" w:sz="6" w:space="0" w:color="auto"/>
            </w:tcBorders>
          </w:tcPr>
          <w:p>
            <w:pPr>
              <w:pStyle w:val="TableParagraph"/>
              <w:spacing w:line="218" w:lineRule="exact"/>
              <w:ind w:right="737"/>
              <w:jc w:val="right"/>
              <w:rPr>
                <w:rFonts w:ascii="Arial" w:hAnsi="Arial" w:cs="Arial" w:eastAsia="Arial" w:hint="default"/>
                <w:sz w:val="20"/>
                <w:szCs w:val="20"/>
              </w:rPr>
            </w:pPr>
            <w:r>
              <w:rPr>
                <w:rFonts w:ascii="Arial"/>
                <w:spacing w:val="-1"/>
                <w:w w:val="95"/>
                <w:sz w:val="20"/>
              </w:rPr>
              <w:t>131,764</w:t>
            </w:r>
            <w:r>
              <w:rPr>
                <w:rFonts w:ascii="Arial"/>
                <w:sz w:val="20"/>
              </w:rPr>
            </w:r>
          </w:p>
        </w:tc>
        <w:tc>
          <w:tcPr>
            <w:tcW w:w="2060" w:type="dxa"/>
            <w:tcBorders>
              <w:top w:val="nil" w:sz="6" w:space="0" w:color="auto"/>
              <w:left w:val="nil" w:sz="6" w:space="0" w:color="auto"/>
              <w:bottom w:val="nil" w:sz="6" w:space="0" w:color="auto"/>
              <w:right w:val="nil" w:sz="6" w:space="0" w:color="auto"/>
            </w:tcBorders>
          </w:tcPr>
          <w:p>
            <w:pPr>
              <w:pStyle w:val="TableParagraph"/>
              <w:spacing w:line="218" w:lineRule="exact"/>
              <w:ind w:right="212"/>
              <w:jc w:val="right"/>
              <w:rPr>
                <w:rFonts w:ascii="Arial" w:hAnsi="Arial" w:cs="Arial" w:eastAsia="Arial" w:hint="default"/>
                <w:sz w:val="20"/>
                <w:szCs w:val="20"/>
              </w:rPr>
            </w:pPr>
            <w:r>
              <w:rPr>
                <w:rFonts w:ascii="Arial"/>
                <w:spacing w:val="-1"/>
                <w:w w:val="95"/>
                <w:sz w:val="20"/>
              </w:rPr>
              <w:t>102,564</w:t>
            </w:r>
            <w:r>
              <w:rPr>
                <w:rFonts w:ascii="Arial"/>
                <w:sz w:val="20"/>
              </w:rPr>
            </w:r>
          </w:p>
        </w:tc>
      </w:tr>
      <w:tr>
        <w:trPr>
          <w:trHeight w:val="221" w:hRule="exact"/>
        </w:trPr>
        <w:tc>
          <w:tcPr>
            <w:tcW w:w="3134" w:type="dxa"/>
            <w:tcBorders>
              <w:top w:val="nil" w:sz="6" w:space="0" w:color="auto"/>
              <w:left w:val="nil" w:sz="6" w:space="0" w:color="auto"/>
              <w:bottom w:val="nil" w:sz="6" w:space="0" w:color="auto"/>
              <w:right w:val="nil" w:sz="6" w:space="0" w:color="auto"/>
            </w:tcBorders>
          </w:tcPr>
          <w:p>
            <w:pPr>
              <w:pStyle w:val="TableParagraph"/>
              <w:spacing w:line="205" w:lineRule="exact"/>
              <w:ind w:left="392" w:right="0"/>
              <w:jc w:val="left"/>
              <w:rPr>
                <w:rFonts w:ascii="黑体" w:hAnsi="黑体" w:cs="黑体" w:eastAsia="黑体" w:hint="default"/>
                <w:sz w:val="20"/>
                <w:szCs w:val="20"/>
              </w:rPr>
            </w:pPr>
            <w:r>
              <w:rPr>
                <w:rFonts w:ascii="黑体" w:hAnsi="黑体" w:cs="黑体" w:eastAsia="黑体" w:hint="default"/>
                <w:sz w:val="20"/>
                <w:szCs w:val="20"/>
              </w:rPr>
              <w:t>北京伟库</w:t>
            </w:r>
          </w:p>
        </w:tc>
        <w:tc>
          <w:tcPr>
            <w:tcW w:w="3282" w:type="dxa"/>
            <w:tcBorders>
              <w:top w:val="nil" w:sz="6" w:space="0" w:color="auto"/>
              <w:left w:val="nil" w:sz="6" w:space="0" w:color="auto"/>
              <w:bottom w:val="nil" w:sz="6" w:space="0" w:color="auto"/>
              <w:right w:val="nil" w:sz="6" w:space="0" w:color="auto"/>
            </w:tcBorders>
          </w:tcPr>
          <w:p>
            <w:pPr>
              <w:pStyle w:val="TableParagraph"/>
              <w:spacing w:line="219" w:lineRule="exact"/>
              <w:ind w:right="736"/>
              <w:jc w:val="right"/>
              <w:rPr>
                <w:rFonts w:ascii="Arial" w:hAnsi="Arial" w:cs="Arial" w:eastAsia="Arial" w:hint="default"/>
                <w:sz w:val="20"/>
                <w:szCs w:val="20"/>
              </w:rPr>
            </w:pPr>
            <w:r>
              <w:rPr>
                <w:rFonts w:ascii="Arial"/>
                <w:spacing w:val="-1"/>
                <w:sz w:val="20"/>
              </w:rPr>
              <w:t>2,000</w:t>
            </w:r>
          </w:p>
        </w:tc>
        <w:tc>
          <w:tcPr>
            <w:tcW w:w="2060" w:type="dxa"/>
            <w:tcBorders>
              <w:top w:val="nil" w:sz="6" w:space="0" w:color="auto"/>
              <w:left w:val="nil" w:sz="6" w:space="0" w:color="auto"/>
              <w:bottom w:val="nil" w:sz="6" w:space="0" w:color="auto"/>
              <w:right w:val="nil" w:sz="6" w:space="0" w:color="auto"/>
            </w:tcBorders>
          </w:tcPr>
          <w:p>
            <w:pPr>
              <w:pStyle w:val="TableParagraph"/>
              <w:spacing w:line="219" w:lineRule="exact"/>
              <w:ind w:right="212"/>
              <w:jc w:val="right"/>
              <w:rPr>
                <w:rFonts w:ascii="Arial" w:hAnsi="Arial" w:cs="Arial" w:eastAsia="Arial" w:hint="default"/>
                <w:sz w:val="20"/>
                <w:szCs w:val="20"/>
              </w:rPr>
            </w:pPr>
            <w:r>
              <w:rPr>
                <w:rFonts w:ascii="Arial"/>
                <w:spacing w:val="-1"/>
                <w:sz w:val="20"/>
              </w:rPr>
              <w:t>2,000</w:t>
            </w:r>
          </w:p>
        </w:tc>
      </w:tr>
      <w:tr>
        <w:trPr>
          <w:trHeight w:val="335" w:hRule="exact"/>
        </w:trPr>
        <w:tc>
          <w:tcPr>
            <w:tcW w:w="3134" w:type="dxa"/>
            <w:tcBorders>
              <w:top w:val="nil" w:sz="6" w:space="0" w:color="auto"/>
              <w:left w:val="nil" w:sz="6" w:space="0" w:color="auto"/>
              <w:bottom w:val="nil" w:sz="6" w:space="0" w:color="auto"/>
              <w:right w:val="nil" w:sz="6" w:space="0" w:color="auto"/>
            </w:tcBorders>
          </w:tcPr>
          <w:p>
            <w:pPr>
              <w:pStyle w:val="TableParagraph"/>
              <w:spacing w:line="205" w:lineRule="exact"/>
              <w:ind w:right="1542"/>
              <w:jc w:val="right"/>
              <w:rPr>
                <w:rFonts w:ascii="黑体" w:hAnsi="黑体" w:cs="黑体" w:eastAsia="黑体" w:hint="default"/>
                <w:sz w:val="20"/>
                <w:szCs w:val="20"/>
              </w:rPr>
            </w:pPr>
            <w:r>
              <w:rPr>
                <w:rFonts w:ascii="黑体" w:hAnsi="黑体" w:cs="黑体" w:eastAsia="黑体" w:hint="default"/>
                <w:w w:val="95"/>
                <w:sz w:val="20"/>
                <w:szCs w:val="20"/>
              </w:rPr>
              <w:t>西玛商用表单</w:t>
            </w:r>
            <w:r>
              <w:rPr>
                <w:rFonts w:ascii="黑体" w:hAnsi="黑体" w:cs="黑体" w:eastAsia="黑体" w:hint="default"/>
                <w:sz w:val="20"/>
                <w:szCs w:val="20"/>
              </w:rPr>
            </w:r>
          </w:p>
        </w:tc>
        <w:tc>
          <w:tcPr>
            <w:tcW w:w="3282" w:type="dxa"/>
            <w:tcBorders>
              <w:top w:val="nil" w:sz="6" w:space="0" w:color="auto"/>
              <w:left w:val="nil" w:sz="6" w:space="0" w:color="auto"/>
              <w:bottom w:val="nil" w:sz="6" w:space="0" w:color="auto"/>
              <w:right w:val="nil" w:sz="6" w:space="0" w:color="auto"/>
            </w:tcBorders>
          </w:tcPr>
          <w:p>
            <w:pPr>
              <w:pStyle w:val="TableParagraph"/>
              <w:tabs>
                <w:tab w:pos="791" w:val="left" w:leader="none"/>
              </w:tabs>
              <w:spacing w:line="219" w:lineRule="exact"/>
              <w:ind w:right="734"/>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409</w:t>
            </w:r>
            <w:r>
              <w:rPr>
                <w:rFonts w:ascii="Arial"/>
                <w:spacing w:val="-1"/>
                <w:w w:val="95"/>
                <w:sz w:val="20"/>
              </w:rPr>
            </w:r>
            <w:r>
              <w:rPr>
                <w:rFonts w:ascii="Arial"/>
                <w:sz w:val="20"/>
              </w:rPr>
            </w:r>
          </w:p>
        </w:tc>
        <w:tc>
          <w:tcPr>
            <w:tcW w:w="2060" w:type="dxa"/>
            <w:tcBorders>
              <w:top w:val="nil" w:sz="6" w:space="0" w:color="auto"/>
              <w:left w:val="nil" w:sz="6" w:space="0" w:color="auto"/>
              <w:bottom w:val="nil" w:sz="6" w:space="0" w:color="auto"/>
              <w:right w:val="nil" w:sz="6" w:space="0" w:color="auto"/>
            </w:tcBorders>
          </w:tcPr>
          <w:p>
            <w:pPr>
              <w:pStyle w:val="TableParagraph"/>
              <w:tabs>
                <w:tab w:pos="602" w:val="left" w:leader="none"/>
              </w:tabs>
              <w:spacing w:line="219" w:lineRule="exact"/>
              <w:ind w:right="212"/>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7,152</w:t>
            </w:r>
            <w:r>
              <w:rPr>
                <w:rFonts w:ascii="Arial"/>
                <w:spacing w:val="-1"/>
                <w:w w:val="95"/>
                <w:sz w:val="20"/>
              </w:rPr>
            </w:r>
            <w:r>
              <w:rPr>
                <w:rFonts w:ascii="Arial"/>
                <w:sz w:val="20"/>
              </w:rPr>
            </w:r>
          </w:p>
        </w:tc>
      </w:tr>
      <w:tr>
        <w:trPr>
          <w:trHeight w:val="434" w:hRule="exact"/>
        </w:trPr>
        <w:tc>
          <w:tcPr>
            <w:tcW w:w="3134" w:type="dxa"/>
            <w:tcBorders>
              <w:top w:val="nil" w:sz="6" w:space="0" w:color="auto"/>
              <w:left w:val="nil" w:sz="6" w:space="0" w:color="auto"/>
              <w:bottom w:val="nil" w:sz="6" w:space="0" w:color="auto"/>
              <w:right w:val="nil" w:sz="6" w:space="0" w:color="auto"/>
            </w:tcBorders>
          </w:tcPr>
          <w:p>
            <w:pPr/>
          </w:p>
        </w:tc>
        <w:tc>
          <w:tcPr>
            <w:tcW w:w="3282" w:type="dxa"/>
            <w:tcBorders>
              <w:top w:val="nil" w:sz="6" w:space="0" w:color="auto"/>
              <w:left w:val="nil" w:sz="6" w:space="0" w:color="auto"/>
              <w:bottom w:val="nil" w:sz="6" w:space="0" w:color="auto"/>
              <w:right w:val="nil" w:sz="6" w:space="0" w:color="auto"/>
            </w:tcBorders>
          </w:tcPr>
          <w:p>
            <w:pPr>
              <w:pStyle w:val="TableParagraph"/>
              <w:tabs>
                <w:tab w:pos="256" w:val="left" w:leader="none"/>
              </w:tabs>
              <w:spacing w:line="240" w:lineRule="auto" w:before="94"/>
              <w:ind w:right="737"/>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ab/>
            </w:r>
            <w:r>
              <w:rPr>
                <w:rFonts w:ascii="Arial"/>
                <w:spacing w:val="-1"/>
                <w:w w:val="95"/>
                <w:sz w:val="20"/>
                <w:u w:val="thick" w:color="000000"/>
              </w:rPr>
              <w:t>3,884,167</w:t>
            </w:r>
            <w:r>
              <w:rPr>
                <w:rFonts w:ascii="Arial"/>
                <w:spacing w:val="-1"/>
                <w:w w:val="95"/>
                <w:sz w:val="20"/>
              </w:rPr>
            </w:r>
            <w:r>
              <w:rPr>
                <w:rFonts w:ascii="Arial"/>
                <w:sz w:val="20"/>
              </w:rPr>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12"/>
              <w:jc w:val="right"/>
              <w:rPr>
                <w:rFonts w:ascii="Arial" w:hAnsi="Arial" w:cs="Arial" w:eastAsia="Arial" w:hint="default"/>
                <w:sz w:val="20"/>
                <w:szCs w:val="20"/>
              </w:rPr>
            </w:pPr>
            <w:r>
              <w:rPr>
                <w:rFonts w:ascii="Arial"/>
                <w:w w:val="99"/>
                <w:sz w:val="20"/>
              </w:rPr>
            </w:r>
            <w:r>
              <w:rPr>
                <w:rFonts w:ascii="Arial"/>
                <w:w w:val="99"/>
                <w:sz w:val="20"/>
                <w:u w:val="thick" w:color="000000"/>
              </w:rPr>
              <w:t> </w:t>
            </w:r>
            <w:r>
              <w:rPr>
                <w:rFonts w:ascii="Arial"/>
                <w:sz w:val="20"/>
                <w:u w:val="thick" w:color="000000"/>
              </w:rPr>
              <w:t>  </w:t>
            </w:r>
            <w:r>
              <w:rPr>
                <w:rFonts w:ascii="Arial"/>
                <w:spacing w:val="-21"/>
                <w:sz w:val="20"/>
                <w:u w:val="thick" w:color="000000"/>
              </w:rPr>
              <w:t> </w:t>
            </w:r>
            <w:r>
              <w:rPr>
                <w:rFonts w:ascii="Arial"/>
                <w:spacing w:val="-1"/>
                <w:w w:val="95"/>
                <w:sz w:val="20"/>
                <w:u w:val="thick" w:color="000000"/>
              </w:rPr>
              <w:t>6,665,571</w:t>
            </w:r>
            <w:r>
              <w:rPr>
                <w:rFonts w:ascii="Arial"/>
                <w:spacing w:val="-1"/>
                <w:w w:val="95"/>
                <w:sz w:val="20"/>
              </w:rPr>
            </w:r>
            <w:r>
              <w:rPr>
                <w:rFonts w:ascii="Arial"/>
                <w:sz w:val="20"/>
              </w:rPr>
            </w:r>
          </w:p>
        </w:tc>
      </w:tr>
      <w:tr>
        <w:trPr>
          <w:trHeight w:val="325" w:hRule="exact"/>
        </w:trPr>
        <w:tc>
          <w:tcPr>
            <w:tcW w:w="3134" w:type="dxa"/>
            <w:tcBorders>
              <w:top w:val="nil" w:sz="6" w:space="0" w:color="auto"/>
              <w:left w:val="nil" w:sz="6" w:space="0" w:color="auto"/>
              <w:bottom w:val="nil" w:sz="6" w:space="0" w:color="auto"/>
              <w:right w:val="nil" w:sz="6" w:space="0" w:color="auto"/>
            </w:tcBorders>
          </w:tcPr>
          <w:p>
            <w:pPr>
              <w:pStyle w:val="TableParagraph"/>
              <w:spacing w:line="240" w:lineRule="auto" w:before="52"/>
              <w:ind w:left="200" w:right="0"/>
              <w:jc w:val="left"/>
              <w:rPr>
                <w:rFonts w:ascii="黑体" w:hAnsi="黑体" w:cs="黑体" w:eastAsia="黑体" w:hint="default"/>
                <w:sz w:val="20"/>
                <w:szCs w:val="20"/>
              </w:rPr>
            </w:pPr>
            <w:r>
              <w:rPr>
                <w:rFonts w:ascii="黑体" w:hAnsi="黑体" w:cs="黑体" w:eastAsia="黑体" w:hint="default"/>
                <w:sz w:val="20"/>
                <w:szCs w:val="20"/>
              </w:rPr>
              <w:t>其他应付款</w:t>
            </w:r>
          </w:p>
        </w:tc>
        <w:tc>
          <w:tcPr>
            <w:tcW w:w="3282" w:type="dxa"/>
            <w:tcBorders>
              <w:top w:val="nil" w:sz="6" w:space="0" w:color="auto"/>
              <w:left w:val="nil" w:sz="6" w:space="0" w:color="auto"/>
              <w:bottom w:val="nil" w:sz="6" w:space="0" w:color="auto"/>
              <w:right w:val="nil" w:sz="6" w:space="0" w:color="auto"/>
            </w:tcBorders>
          </w:tcPr>
          <w:p>
            <w:pPr/>
          </w:p>
        </w:tc>
        <w:tc>
          <w:tcPr>
            <w:tcW w:w="2060" w:type="dxa"/>
            <w:tcBorders>
              <w:top w:val="nil" w:sz="6" w:space="0" w:color="auto"/>
              <w:left w:val="nil" w:sz="6" w:space="0" w:color="auto"/>
              <w:bottom w:val="nil" w:sz="6" w:space="0" w:color="auto"/>
              <w:right w:val="nil" w:sz="6" w:space="0" w:color="auto"/>
            </w:tcBorders>
          </w:tcPr>
          <w:p>
            <w:pPr/>
          </w:p>
        </w:tc>
      </w:tr>
      <w:tr>
        <w:trPr>
          <w:trHeight w:val="226" w:hRule="exact"/>
        </w:trPr>
        <w:tc>
          <w:tcPr>
            <w:tcW w:w="3134" w:type="dxa"/>
            <w:tcBorders>
              <w:top w:val="nil" w:sz="6" w:space="0" w:color="auto"/>
              <w:left w:val="nil" w:sz="6" w:space="0" w:color="auto"/>
              <w:bottom w:val="nil" w:sz="6" w:space="0" w:color="auto"/>
              <w:right w:val="nil" w:sz="6" w:space="0" w:color="auto"/>
            </w:tcBorders>
          </w:tcPr>
          <w:p>
            <w:pPr>
              <w:pStyle w:val="TableParagraph"/>
              <w:spacing w:line="210" w:lineRule="exact"/>
              <w:ind w:left="392" w:right="0"/>
              <w:jc w:val="left"/>
              <w:rPr>
                <w:rFonts w:ascii="黑体" w:hAnsi="黑体" w:cs="黑体" w:eastAsia="黑体" w:hint="default"/>
                <w:sz w:val="20"/>
                <w:szCs w:val="20"/>
              </w:rPr>
            </w:pPr>
            <w:r>
              <w:rPr>
                <w:rFonts w:ascii="黑体" w:hAnsi="黑体" w:cs="黑体" w:eastAsia="黑体" w:hint="default"/>
                <w:sz w:val="20"/>
                <w:szCs w:val="20"/>
              </w:rPr>
              <w:t>三亚用友</w:t>
            </w:r>
          </w:p>
        </w:tc>
        <w:tc>
          <w:tcPr>
            <w:tcW w:w="3282" w:type="dxa"/>
            <w:tcBorders>
              <w:top w:val="nil" w:sz="6" w:space="0" w:color="auto"/>
              <w:left w:val="nil" w:sz="6" w:space="0" w:color="auto"/>
              <w:bottom w:val="nil" w:sz="6" w:space="0" w:color="auto"/>
              <w:right w:val="nil" w:sz="6" w:space="0" w:color="auto"/>
            </w:tcBorders>
          </w:tcPr>
          <w:p>
            <w:pPr>
              <w:pStyle w:val="TableParagraph"/>
              <w:spacing w:line="224" w:lineRule="exact"/>
              <w:ind w:right="737"/>
              <w:jc w:val="right"/>
              <w:rPr>
                <w:rFonts w:ascii="Arial" w:hAnsi="Arial" w:cs="Arial" w:eastAsia="Arial" w:hint="default"/>
                <w:sz w:val="20"/>
                <w:szCs w:val="20"/>
              </w:rPr>
            </w:pPr>
            <w:r>
              <w:rPr>
                <w:rFonts w:ascii="Arial"/>
                <w:spacing w:val="-1"/>
                <w:sz w:val="20"/>
              </w:rPr>
              <w:t>95,000,000</w:t>
            </w:r>
            <w:r>
              <w:rPr>
                <w:rFonts w:ascii="Arial"/>
                <w:sz w:val="20"/>
              </w:rPr>
            </w:r>
          </w:p>
        </w:tc>
        <w:tc>
          <w:tcPr>
            <w:tcW w:w="2060" w:type="dxa"/>
            <w:tcBorders>
              <w:top w:val="nil" w:sz="6" w:space="0" w:color="auto"/>
              <w:left w:val="nil" w:sz="6" w:space="0" w:color="auto"/>
              <w:bottom w:val="nil" w:sz="6" w:space="0" w:color="auto"/>
              <w:right w:val="nil" w:sz="6" w:space="0" w:color="auto"/>
            </w:tcBorders>
          </w:tcPr>
          <w:p>
            <w:pPr>
              <w:pStyle w:val="TableParagraph"/>
              <w:spacing w:line="224" w:lineRule="exact"/>
              <w:ind w:right="212"/>
              <w:jc w:val="right"/>
              <w:rPr>
                <w:rFonts w:ascii="Arial" w:hAnsi="Arial" w:cs="Arial" w:eastAsia="Arial" w:hint="default"/>
                <w:sz w:val="20"/>
                <w:szCs w:val="20"/>
              </w:rPr>
            </w:pPr>
            <w:r>
              <w:rPr>
                <w:rFonts w:ascii="Arial"/>
                <w:spacing w:val="-1"/>
                <w:sz w:val="20"/>
              </w:rPr>
              <w:t>98,000,000</w:t>
            </w:r>
            <w:r>
              <w:rPr>
                <w:rFonts w:ascii="Arial"/>
                <w:sz w:val="20"/>
              </w:rPr>
            </w:r>
          </w:p>
        </w:tc>
      </w:tr>
      <w:tr>
        <w:trPr>
          <w:trHeight w:val="220" w:hRule="exact"/>
        </w:trPr>
        <w:tc>
          <w:tcPr>
            <w:tcW w:w="3134" w:type="dxa"/>
            <w:tcBorders>
              <w:top w:val="nil" w:sz="6" w:space="0" w:color="auto"/>
              <w:left w:val="nil" w:sz="6" w:space="0" w:color="auto"/>
              <w:bottom w:val="nil" w:sz="6" w:space="0" w:color="auto"/>
              <w:right w:val="nil" w:sz="6" w:space="0" w:color="auto"/>
            </w:tcBorders>
          </w:tcPr>
          <w:p>
            <w:pPr>
              <w:pStyle w:val="TableParagraph"/>
              <w:spacing w:line="205" w:lineRule="exact"/>
              <w:ind w:left="392" w:right="0"/>
              <w:jc w:val="left"/>
              <w:rPr>
                <w:rFonts w:ascii="黑体" w:hAnsi="黑体" w:cs="黑体" w:eastAsia="黑体" w:hint="default"/>
                <w:sz w:val="20"/>
                <w:szCs w:val="20"/>
              </w:rPr>
            </w:pPr>
            <w:r>
              <w:rPr>
                <w:rFonts w:ascii="黑体" w:hAnsi="黑体" w:cs="黑体" w:eastAsia="黑体" w:hint="default"/>
                <w:sz w:val="20"/>
                <w:szCs w:val="20"/>
              </w:rPr>
              <w:t>用友汽车</w:t>
            </w:r>
          </w:p>
        </w:tc>
        <w:tc>
          <w:tcPr>
            <w:tcW w:w="3282" w:type="dxa"/>
            <w:tcBorders>
              <w:top w:val="nil" w:sz="6" w:space="0" w:color="auto"/>
              <w:left w:val="nil" w:sz="6" w:space="0" w:color="auto"/>
              <w:bottom w:val="nil" w:sz="6" w:space="0" w:color="auto"/>
              <w:right w:val="nil" w:sz="6" w:space="0" w:color="auto"/>
            </w:tcBorders>
          </w:tcPr>
          <w:p>
            <w:pPr>
              <w:pStyle w:val="TableParagraph"/>
              <w:spacing w:line="219" w:lineRule="exact"/>
              <w:ind w:right="737"/>
              <w:jc w:val="right"/>
              <w:rPr>
                <w:rFonts w:ascii="Arial" w:hAnsi="Arial" w:cs="Arial" w:eastAsia="Arial" w:hint="default"/>
                <w:sz w:val="20"/>
                <w:szCs w:val="20"/>
              </w:rPr>
            </w:pPr>
            <w:r>
              <w:rPr>
                <w:rFonts w:ascii="Arial"/>
                <w:spacing w:val="-1"/>
                <w:sz w:val="20"/>
              </w:rPr>
              <w:t>85,000,000</w:t>
            </w:r>
            <w:r>
              <w:rPr>
                <w:rFonts w:ascii="Arial"/>
                <w:sz w:val="20"/>
              </w:rPr>
            </w:r>
          </w:p>
        </w:tc>
        <w:tc>
          <w:tcPr>
            <w:tcW w:w="2060" w:type="dxa"/>
            <w:tcBorders>
              <w:top w:val="nil" w:sz="6" w:space="0" w:color="auto"/>
              <w:left w:val="nil" w:sz="6" w:space="0" w:color="auto"/>
              <w:bottom w:val="nil" w:sz="6" w:space="0" w:color="auto"/>
              <w:right w:val="nil" w:sz="6" w:space="0" w:color="auto"/>
            </w:tcBorders>
          </w:tcPr>
          <w:p>
            <w:pPr>
              <w:pStyle w:val="TableParagraph"/>
              <w:spacing w:line="219" w:lineRule="exact"/>
              <w:ind w:right="212"/>
              <w:jc w:val="right"/>
              <w:rPr>
                <w:rFonts w:ascii="Arial" w:hAnsi="Arial" w:cs="Arial" w:eastAsia="Arial" w:hint="default"/>
                <w:sz w:val="20"/>
                <w:szCs w:val="20"/>
              </w:rPr>
            </w:pPr>
            <w:r>
              <w:rPr>
                <w:rFonts w:ascii="Arial"/>
                <w:spacing w:val="-1"/>
                <w:sz w:val="20"/>
              </w:rPr>
              <w:t>60,000,000</w:t>
            </w:r>
            <w:r>
              <w:rPr>
                <w:rFonts w:ascii="Arial"/>
                <w:sz w:val="20"/>
              </w:rPr>
            </w:r>
          </w:p>
        </w:tc>
      </w:tr>
      <w:tr>
        <w:trPr>
          <w:trHeight w:val="220" w:hRule="exact"/>
        </w:trPr>
        <w:tc>
          <w:tcPr>
            <w:tcW w:w="3134" w:type="dxa"/>
            <w:tcBorders>
              <w:top w:val="nil" w:sz="6" w:space="0" w:color="auto"/>
              <w:left w:val="nil" w:sz="6" w:space="0" w:color="auto"/>
              <w:bottom w:val="nil" w:sz="6" w:space="0" w:color="auto"/>
              <w:right w:val="nil" w:sz="6" w:space="0" w:color="auto"/>
            </w:tcBorders>
          </w:tcPr>
          <w:p>
            <w:pPr>
              <w:pStyle w:val="TableParagraph"/>
              <w:spacing w:line="204" w:lineRule="exact"/>
              <w:ind w:left="392" w:right="0"/>
              <w:jc w:val="left"/>
              <w:rPr>
                <w:rFonts w:ascii="黑体" w:hAnsi="黑体" w:cs="黑体" w:eastAsia="黑体" w:hint="default"/>
                <w:sz w:val="20"/>
                <w:szCs w:val="20"/>
              </w:rPr>
            </w:pPr>
            <w:r>
              <w:rPr>
                <w:rFonts w:ascii="黑体" w:hAnsi="黑体" w:cs="黑体" w:eastAsia="黑体" w:hint="default"/>
                <w:sz w:val="20"/>
                <w:szCs w:val="20"/>
              </w:rPr>
              <w:t>用友金融</w:t>
            </w:r>
          </w:p>
        </w:tc>
        <w:tc>
          <w:tcPr>
            <w:tcW w:w="3282" w:type="dxa"/>
            <w:tcBorders>
              <w:top w:val="nil" w:sz="6" w:space="0" w:color="auto"/>
              <w:left w:val="nil" w:sz="6" w:space="0" w:color="auto"/>
              <w:bottom w:val="nil" w:sz="6" w:space="0" w:color="auto"/>
              <w:right w:val="nil" w:sz="6" w:space="0" w:color="auto"/>
            </w:tcBorders>
          </w:tcPr>
          <w:p>
            <w:pPr>
              <w:pStyle w:val="TableParagraph"/>
              <w:spacing w:line="218" w:lineRule="exact"/>
              <w:ind w:right="737"/>
              <w:jc w:val="right"/>
              <w:rPr>
                <w:rFonts w:ascii="Arial" w:hAnsi="Arial" w:cs="Arial" w:eastAsia="Arial" w:hint="default"/>
                <w:sz w:val="20"/>
                <w:szCs w:val="20"/>
              </w:rPr>
            </w:pPr>
            <w:r>
              <w:rPr>
                <w:rFonts w:ascii="Arial"/>
                <w:spacing w:val="-1"/>
                <w:sz w:val="20"/>
              </w:rPr>
              <w:t>44,500,000</w:t>
            </w:r>
            <w:r>
              <w:rPr>
                <w:rFonts w:ascii="Arial"/>
                <w:sz w:val="20"/>
              </w:rPr>
            </w:r>
          </w:p>
        </w:tc>
        <w:tc>
          <w:tcPr>
            <w:tcW w:w="2060" w:type="dxa"/>
            <w:tcBorders>
              <w:top w:val="nil" w:sz="6" w:space="0" w:color="auto"/>
              <w:left w:val="nil" w:sz="6" w:space="0" w:color="auto"/>
              <w:bottom w:val="nil" w:sz="6" w:space="0" w:color="auto"/>
              <w:right w:val="nil" w:sz="6" w:space="0" w:color="auto"/>
            </w:tcBorders>
          </w:tcPr>
          <w:p>
            <w:pPr>
              <w:pStyle w:val="TableParagraph"/>
              <w:spacing w:line="218" w:lineRule="exact"/>
              <w:ind w:right="212"/>
              <w:jc w:val="right"/>
              <w:rPr>
                <w:rFonts w:ascii="Arial" w:hAnsi="Arial" w:cs="Arial" w:eastAsia="Arial" w:hint="default"/>
                <w:sz w:val="20"/>
                <w:szCs w:val="20"/>
              </w:rPr>
            </w:pPr>
            <w:r>
              <w:rPr>
                <w:rFonts w:ascii="Arial"/>
                <w:spacing w:val="-1"/>
                <w:sz w:val="20"/>
              </w:rPr>
              <w:t>44,500,000</w:t>
            </w:r>
            <w:r>
              <w:rPr>
                <w:rFonts w:ascii="Arial"/>
                <w:sz w:val="20"/>
              </w:rPr>
            </w:r>
          </w:p>
        </w:tc>
      </w:tr>
      <w:tr>
        <w:trPr>
          <w:trHeight w:val="221" w:hRule="exact"/>
        </w:trPr>
        <w:tc>
          <w:tcPr>
            <w:tcW w:w="3134" w:type="dxa"/>
            <w:tcBorders>
              <w:top w:val="nil" w:sz="6" w:space="0" w:color="auto"/>
              <w:left w:val="nil" w:sz="6" w:space="0" w:color="auto"/>
              <w:bottom w:val="nil" w:sz="6" w:space="0" w:color="auto"/>
              <w:right w:val="nil" w:sz="6" w:space="0" w:color="auto"/>
            </w:tcBorders>
          </w:tcPr>
          <w:p>
            <w:pPr>
              <w:pStyle w:val="TableParagraph"/>
              <w:spacing w:line="205" w:lineRule="exact"/>
              <w:ind w:left="392" w:right="0"/>
              <w:jc w:val="left"/>
              <w:rPr>
                <w:rFonts w:ascii="黑体" w:hAnsi="黑体" w:cs="黑体" w:eastAsia="黑体" w:hint="default"/>
                <w:sz w:val="20"/>
                <w:szCs w:val="20"/>
              </w:rPr>
            </w:pPr>
            <w:r>
              <w:rPr>
                <w:rFonts w:ascii="黑体" w:hAnsi="黑体" w:cs="黑体" w:eastAsia="黑体" w:hint="default"/>
                <w:sz w:val="20"/>
                <w:szCs w:val="20"/>
              </w:rPr>
              <w:t>用友新道</w:t>
            </w:r>
          </w:p>
        </w:tc>
        <w:tc>
          <w:tcPr>
            <w:tcW w:w="3282" w:type="dxa"/>
            <w:tcBorders>
              <w:top w:val="nil" w:sz="6" w:space="0" w:color="auto"/>
              <w:left w:val="nil" w:sz="6" w:space="0" w:color="auto"/>
              <w:bottom w:val="nil" w:sz="6" w:space="0" w:color="auto"/>
              <w:right w:val="nil" w:sz="6" w:space="0" w:color="auto"/>
            </w:tcBorders>
          </w:tcPr>
          <w:p>
            <w:pPr>
              <w:pStyle w:val="TableParagraph"/>
              <w:spacing w:line="219" w:lineRule="exact"/>
              <w:ind w:right="737"/>
              <w:jc w:val="right"/>
              <w:rPr>
                <w:rFonts w:ascii="Arial" w:hAnsi="Arial" w:cs="Arial" w:eastAsia="Arial" w:hint="default"/>
                <w:sz w:val="20"/>
                <w:szCs w:val="20"/>
              </w:rPr>
            </w:pPr>
            <w:r>
              <w:rPr>
                <w:rFonts w:ascii="Arial"/>
                <w:spacing w:val="-1"/>
                <w:sz w:val="20"/>
              </w:rPr>
              <w:t>20,000,000</w:t>
            </w:r>
            <w:r>
              <w:rPr>
                <w:rFonts w:ascii="Arial"/>
                <w:sz w:val="20"/>
              </w:rPr>
            </w:r>
          </w:p>
        </w:tc>
        <w:tc>
          <w:tcPr>
            <w:tcW w:w="2060" w:type="dxa"/>
            <w:tcBorders>
              <w:top w:val="nil" w:sz="6" w:space="0" w:color="auto"/>
              <w:left w:val="nil" w:sz="6" w:space="0" w:color="auto"/>
              <w:bottom w:val="nil" w:sz="6" w:space="0" w:color="auto"/>
              <w:right w:val="nil" w:sz="6" w:space="0" w:color="auto"/>
            </w:tcBorders>
          </w:tcPr>
          <w:p>
            <w:pPr>
              <w:pStyle w:val="TableParagraph"/>
              <w:spacing w:line="219" w:lineRule="exact"/>
              <w:ind w:right="212"/>
              <w:jc w:val="right"/>
              <w:rPr>
                <w:rFonts w:ascii="Arial" w:hAnsi="Arial" w:cs="Arial" w:eastAsia="Arial" w:hint="default"/>
                <w:sz w:val="20"/>
                <w:szCs w:val="20"/>
              </w:rPr>
            </w:pPr>
            <w:r>
              <w:rPr>
                <w:rFonts w:ascii="Arial"/>
                <w:spacing w:val="-1"/>
                <w:sz w:val="20"/>
              </w:rPr>
              <w:t>20,000,000</w:t>
            </w:r>
            <w:r>
              <w:rPr>
                <w:rFonts w:ascii="Arial"/>
                <w:sz w:val="20"/>
              </w:rPr>
            </w:r>
          </w:p>
        </w:tc>
      </w:tr>
      <w:tr>
        <w:trPr>
          <w:trHeight w:val="220" w:hRule="exact"/>
        </w:trPr>
        <w:tc>
          <w:tcPr>
            <w:tcW w:w="3134" w:type="dxa"/>
            <w:tcBorders>
              <w:top w:val="nil" w:sz="6" w:space="0" w:color="auto"/>
              <w:left w:val="nil" w:sz="6" w:space="0" w:color="auto"/>
              <w:bottom w:val="nil" w:sz="6" w:space="0" w:color="auto"/>
              <w:right w:val="nil" w:sz="6" w:space="0" w:color="auto"/>
            </w:tcBorders>
          </w:tcPr>
          <w:p>
            <w:pPr>
              <w:pStyle w:val="TableParagraph"/>
              <w:spacing w:line="205" w:lineRule="exact"/>
              <w:ind w:left="392" w:right="0"/>
              <w:jc w:val="left"/>
              <w:rPr>
                <w:rFonts w:ascii="黑体" w:hAnsi="黑体" w:cs="黑体" w:eastAsia="黑体" w:hint="default"/>
                <w:sz w:val="20"/>
                <w:szCs w:val="20"/>
              </w:rPr>
            </w:pPr>
            <w:r>
              <w:rPr>
                <w:rFonts w:ascii="黑体" w:hAnsi="黑体" w:cs="黑体" w:eastAsia="黑体" w:hint="default"/>
                <w:sz w:val="20"/>
                <w:szCs w:val="20"/>
              </w:rPr>
              <w:t>长伴咨询</w:t>
            </w:r>
          </w:p>
        </w:tc>
        <w:tc>
          <w:tcPr>
            <w:tcW w:w="3282" w:type="dxa"/>
            <w:tcBorders>
              <w:top w:val="nil" w:sz="6" w:space="0" w:color="auto"/>
              <w:left w:val="nil" w:sz="6" w:space="0" w:color="auto"/>
              <w:bottom w:val="nil" w:sz="6" w:space="0" w:color="auto"/>
              <w:right w:val="nil" w:sz="6" w:space="0" w:color="auto"/>
            </w:tcBorders>
          </w:tcPr>
          <w:p>
            <w:pPr>
              <w:pStyle w:val="TableParagraph"/>
              <w:spacing w:line="219" w:lineRule="exact"/>
              <w:ind w:right="735"/>
              <w:jc w:val="right"/>
              <w:rPr>
                <w:rFonts w:ascii="Arial" w:hAnsi="Arial" w:cs="Arial" w:eastAsia="Arial" w:hint="default"/>
                <w:sz w:val="20"/>
                <w:szCs w:val="20"/>
              </w:rPr>
            </w:pPr>
            <w:r>
              <w:rPr>
                <w:rFonts w:ascii="Arial"/>
                <w:w w:val="99"/>
                <w:sz w:val="20"/>
              </w:rPr>
              <w:t>-</w:t>
            </w:r>
            <w:r>
              <w:rPr>
                <w:rFonts w:ascii="Arial"/>
                <w:sz w:val="20"/>
              </w:rPr>
            </w:r>
          </w:p>
        </w:tc>
        <w:tc>
          <w:tcPr>
            <w:tcW w:w="2060" w:type="dxa"/>
            <w:tcBorders>
              <w:top w:val="nil" w:sz="6" w:space="0" w:color="auto"/>
              <w:left w:val="nil" w:sz="6" w:space="0" w:color="auto"/>
              <w:bottom w:val="nil" w:sz="6" w:space="0" w:color="auto"/>
              <w:right w:val="nil" w:sz="6" w:space="0" w:color="auto"/>
            </w:tcBorders>
          </w:tcPr>
          <w:p>
            <w:pPr>
              <w:pStyle w:val="TableParagraph"/>
              <w:spacing w:line="219" w:lineRule="exact"/>
              <w:ind w:right="212"/>
              <w:jc w:val="right"/>
              <w:rPr>
                <w:rFonts w:ascii="Arial" w:hAnsi="Arial" w:cs="Arial" w:eastAsia="Arial" w:hint="default"/>
                <w:sz w:val="20"/>
                <w:szCs w:val="20"/>
              </w:rPr>
            </w:pPr>
            <w:r>
              <w:rPr>
                <w:rFonts w:ascii="Arial"/>
                <w:spacing w:val="-1"/>
                <w:sz w:val="20"/>
              </w:rPr>
              <w:t>7,700,000</w:t>
            </w:r>
          </w:p>
        </w:tc>
      </w:tr>
      <w:tr>
        <w:trPr>
          <w:trHeight w:val="220" w:hRule="exact"/>
        </w:trPr>
        <w:tc>
          <w:tcPr>
            <w:tcW w:w="3134" w:type="dxa"/>
            <w:tcBorders>
              <w:top w:val="nil" w:sz="6" w:space="0" w:color="auto"/>
              <w:left w:val="nil" w:sz="6" w:space="0" w:color="auto"/>
              <w:bottom w:val="nil" w:sz="6" w:space="0" w:color="auto"/>
              <w:right w:val="nil" w:sz="6" w:space="0" w:color="auto"/>
            </w:tcBorders>
          </w:tcPr>
          <w:p>
            <w:pPr>
              <w:pStyle w:val="TableParagraph"/>
              <w:spacing w:line="204" w:lineRule="exact"/>
              <w:ind w:left="392" w:right="0"/>
              <w:jc w:val="left"/>
              <w:rPr>
                <w:rFonts w:ascii="黑体" w:hAnsi="黑体" w:cs="黑体" w:eastAsia="黑体" w:hint="default"/>
                <w:sz w:val="20"/>
                <w:szCs w:val="20"/>
              </w:rPr>
            </w:pPr>
            <w:r>
              <w:rPr>
                <w:rFonts w:ascii="黑体" w:hAnsi="黑体" w:cs="黑体" w:eastAsia="黑体" w:hint="default"/>
                <w:sz w:val="20"/>
                <w:szCs w:val="20"/>
              </w:rPr>
              <w:t>创新投资</w:t>
            </w:r>
          </w:p>
        </w:tc>
        <w:tc>
          <w:tcPr>
            <w:tcW w:w="3282" w:type="dxa"/>
            <w:tcBorders>
              <w:top w:val="nil" w:sz="6" w:space="0" w:color="auto"/>
              <w:left w:val="nil" w:sz="6" w:space="0" w:color="auto"/>
              <w:bottom w:val="nil" w:sz="6" w:space="0" w:color="auto"/>
              <w:right w:val="nil" w:sz="6" w:space="0" w:color="auto"/>
            </w:tcBorders>
          </w:tcPr>
          <w:p>
            <w:pPr>
              <w:pStyle w:val="TableParagraph"/>
              <w:spacing w:line="218" w:lineRule="exact"/>
              <w:ind w:right="735"/>
              <w:jc w:val="right"/>
              <w:rPr>
                <w:rFonts w:ascii="Arial" w:hAnsi="Arial" w:cs="Arial" w:eastAsia="Arial" w:hint="default"/>
                <w:sz w:val="20"/>
                <w:szCs w:val="20"/>
              </w:rPr>
            </w:pPr>
            <w:r>
              <w:rPr>
                <w:rFonts w:ascii="Arial"/>
                <w:w w:val="99"/>
                <w:sz w:val="20"/>
              </w:rPr>
              <w:t>-</w:t>
            </w:r>
            <w:r>
              <w:rPr>
                <w:rFonts w:ascii="Arial"/>
                <w:sz w:val="20"/>
              </w:rPr>
            </w:r>
          </w:p>
        </w:tc>
        <w:tc>
          <w:tcPr>
            <w:tcW w:w="2060" w:type="dxa"/>
            <w:tcBorders>
              <w:top w:val="nil" w:sz="6" w:space="0" w:color="auto"/>
              <w:left w:val="nil" w:sz="6" w:space="0" w:color="auto"/>
              <w:bottom w:val="nil" w:sz="6" w:space="0" w:color="auto"/>
              <w:right w:val="nil" w:sz="6" w:space="0" w:color="auto"/>
            </w:tcBorders>
          </w:tcPr>
          <w:p>
            <w:pPr>
              <w:pStyle w:val="TableParagraph"/>
              <w:spacing w:line="218" w:lineRule="exact"/>
              <w:ind w:right="212"/>
              <w:jc w:val="right"/>
              <w:rPr>
                <w:rFonts w:ascii="Arial" w:hAnsi="Arial" w:cs="Arial" w:eastAsia="Arial" w:hint="default"/>
                <w:sz w:val="20"/>
                <w:szCs w:val="20"/>
              </w:rPr>
            </w:pPr>
            <w:r>
              <w:rPr>
                <w:rFonts w:ascii="Arial"/>
                <w:spacing w:val="-1"/>
                <w:sz w:val="20"/>
              </w:rPr>
              <w:t>4,000,000</w:t>
            </w:r>
          </w:p>
        </w:tc>
      </w:tr>
      <w:tr>
        <w:trPr>
          <w:trHeight w:val="221" w:hRule="exact"/>
        </w:trPr>
        <w:tc>
          <w:tcPr>
            <w:tcW w:w="3134" w:type="dxa"/>
            <w:tcBorders>
              <w:top w:val="nil" w:sz="6" w:space="0" w:color="auto"/>
              <w:left w:val="nil" w:sz="6" w:space="0" w:color="auto"/>
              <w:bottom w:val="nil" w:sz="6" w:space="0" w:color="auto"/>
              <w:right w:val="nil" w:sz="6" w:space="0" w:color="auto"/>
            </w:tcBorders>
          </w:tcPr>
          <w:p>
            <w:pPr>
              <w:pStyle w:val="TableParagraph"/>
              <w:spacing w:line="205" w:lineRule="exact"/>
              <w:ind w:left="392" w:right="0"/>
              <w:jc w:val="left"/>
              <w:rPr>
                <w:rFonts w:ascii="黑体" w:hAnsi="黑体" w:cs="黑体" w:eastAsia="黑体" w:hint="default"/>
                <w:sz w:val="20"/>
                <w:szCs w:val="20"/>
              </w:rPr>
            </w:pPr>
            <w:r>
              <w:rPr>
                <w:rFonts w:ascii="黑体" w:hAnsi="黑体" w:cs="黑体" w:eastAsia="黑体" w:hint="default"/>
                <w:sz w:val="20"/>
                <w:szCs w:val="20"/>
              </w:rPr>
              <w:t>用友华表</w:t>
            </w:r>
          </w:p>
        </w:tc>
        <w:tc>
          <w:tcPr>
            <w:tcW w:w="3282" w:type="dxa"/>
            <w:tcBorders>
              <w:top w:val="nil" w:sz="6" w:space="0" w:color="auto"/>
              <w:left w:val="nil" w:sz="6" w:space="0" w:color="auto"/>
              <w:bottom w:val="nil" w:sz="6" w:space="0" w:color="auto"/>
              <w:right w:val="nil" w:sz="6" w:space="0" w:color="auto"/>
            </w:tcBorders>
          </w:tcPr>
          <w:p>
            <w:pPr>
              <w:pStyle w:val="TableParagraph"/>
              <w:spacing w:line="219" w:lineRule="exact"/>
              <w:ind w:right="735"/>
              <w:jc w:val="right"/>
              <w:rPr>
                <w:rFonts w:ascii="Arial" w:hAnsi="Arial" w:cs="Arial" w:eastAsia="Arial" w:hint="default"/>
                <w:sz w:val="20"/>
                <w:szCs w:val="20"/>
              </w:rPr>
            </w:pPr>
            <w:r>
              <w:rPr>
                <w:rFonts w:ascii="Arial"/>
                <w:w w:val="99"/>
                <w:sz w:val="20"/>
              </w:rPr>
              <w:t>-</w:t>
            </w:r>
            <w:r>
              <w:rPr>
                <w:rFonts w:ascii="Arial"/>
                <w:sz w:val="20"/>
              </w:rPr>
            </w:r>
          </w:p>
        </w:tc>
        <w:tc>
          <w:tcPr>
            <w:tcW w:w="2060" w:type="dxa"/>
            <w:tcBorders>
              <w:top w:val="nil" w:sz="6" w:space="0" w:color="auto"/>
              <w:left w:val="nil" w:sz="6" w:space="0" w:color="auto"/>
              <w:bottom w:val="nil" w:sz="6" w:space="0" w:color="auto"/>
              <w:right w:val="nil" w:sz="6" w:space="0" w:color="auto"/>
            </w:tcBorders>
          </w:tcPr>
          <w:p>
            <w:pPr>
              <w:pStyle w:val="TableParagraph"/>
              <w:spacing w:line="219" w:lineRule="exact"/>
              <w:ind w:right="212"/>
              <w:jc w:val="right"/>
              <w:rPr>
                <w:rFonts w:ascii="Arial" w:hAnsi="Arial" w:cs="Arial" w:eastAsia="Arial" w:hint="default"/>
                <w:sz w:val="20"/>
                <w:szCs w:val="20"/>
              </w:rPr>
            </w:pPr>
            <w:r>
              <w:rPr>
                <w:rFonts w:ascii="Arial"/>
                <w:spacing w:val="-1"/>
                <w:sz w:val="20"/>
              </w:rPr>
              <w:t>4,000,000</w:t>
            </w:r>
          </w:p>
        </w:tc>
      </w:tr>
      <w:tr>
        <w:trPr>
          <w:trHeight w:val="220" w:hRule="exact"/>
        </w:trPr>
        <w:tc>
          <w:tcPr>
            <w:tcW w:w="3134" w:type="dxa"/>
            <w:tcBorders>
              <w:top w:val="nil" w:sz="6" w:space="0" w:color="auto"/>
              <w:left w:val="nil" w:sz="6" w:space="0" w:color="auto"/>
              <w:bottom w:val="nil" w:sz="6" w:space="0" w:color="auto"/>
              <w:right w:val="nil" w:sz="6" w:space="0" w:color="auto"/>
            </w:tcBorders>
          </w:tcPr>
          <w:p>
            <w:pPr>
              <w:pStyle w:val="TableParagraph"/>
              <w:spacing w:line="205" w:lineRule="exact"/>
              <w:ind w:left="392" w:right="0"/>
              <w:jc w:val="left"/>
              <w:rPr>
                <w:rFonts w:ascii="黑体" w:hAnsi="黑体" w:cs="黑体" w:eastAsia="黑体" w:hint="default"/>
                <w:sz w:val="20"/>
                <w:szCs w:val="20"/>
              </w:rPr>
            </w:pPr>
            <w:r>
              <w:rPr>
                <w:rFonts w:ascii="黑体" w:hAnsi="黑体" w:cs="黑体" w:eastAsia="黑体" w:hint="default"/>
                <w:sz w:val="20"/>
                <w:szCs w:val="20"/>
              </w:rPr>
              <w:t>深圳灏麓梵</w:t>
            </w:r>
          </w:p>
        </w:tc>
        <w:tc>
          <w:tcPr>
            <w:tcW w:w="3282" w:type="dxa"/>
            <w:tcBorders>
              <w:top w:val="nil" w:sz="6" w:space="0" w:color="auto"/>
              <w:left w:val="nil" w:sz="6" w:space="0" w:color="auto"/>
              <w:bottom w:val="nil" w:sz="6" w:space="0" w:color="auto"/>
              <w:right w:val="nil" w:sz="6" w:space="0" w:color="auto"/>
            </w:tcBorders>
          </w:tcPr>
          <w:p>
            <w:pPr>
              <w:pStyle w:val="TableParagraph"/>
              <w:spacing w:line="219" w:lineRule="exact"/>
              <w:ind w:right="737"/>
              <w:jc w:val="right"/>
              <w:rPr>
                <w:rFonts w:ascii="Arial" w:hAnsi="Arial" w:cs="Arial" w:eastAsia="Arial" w:hint="default"/>
                <w:sz w:val="20"/>
                <w:szCs w:val="20"/>
              </w:rPr>
            </w:pPr>
            <w:r>
              <w:rPr>
                <w:rFonts w:ascii="Arial"/>
                <w:spacing w:val="-1"/>
                <w:sz w:val="20"/>
              </w:rPr>
              <w:t>1,000,000</w:t>
            </w:r>
          </w:p>
        </w:tc>
        <w:tc>
          <w:tcPr>
            <w:tcW w:w="2060" w:type="dxa"/>
            <w:tcBorders>
              <w:top w:val="nil" w:sz="6" w:space="0" w:color="auto"/>
              <w:left w:val="nil" w:sz="6" w:space="0" w:color="auto"/>
              <w:bottom w:val="nil" w:sz="6" w:space="0" w:color="auto"/>
              <w:right w:val="nil" w:sz="6" w:space="0" w:color="auto"/>
            </w:tcBorders>
          </w:tcPr>
          <w:p>
            <w:pPr>
              <w:pStyle w:val="TableParagraph"/>
              <w:spacing w:line="219" w:lineRule="exact"/>
              <w:ind w:right="212"/>
              <w:jc w:val="right"/>
              <w:rPr>
                <w:rFonts w:ascii="Arial" w:hAnsi="Arial" w:cs="Arial" w:eastAsia="Arial" w:hint="default"/>
                <w:sz w:val="20"/>
                <w:szCs w:val="20"/>
              </w:rPr>
            </w:pPr>
            <w:r>
              <w:rPr>
                <w:rFonts w:ascii="Arial"/>
                <w:spacing w:val="-1"/>
                <w:sz w:val="20"/>
              </w:rPr>
              <w:t>1,000,000</w:t>
            </w:r>
          </w:p>
        </w:tc>
      </w:tr>
      <w:tr>
        <w:trPr>
          <w:trHeight w:val="220" w:hRule="exact"/>
        </w:trPr>
        <w:tc>
          <w:tcPr>
            <w:tcW w:w="3134" w:type="dxa"/>
            <w:tcBorders>
              <w:top w:val="nil" w:sz="6" w:space="0" w:color="auto"/>
              <w:left w:val="nil" w:sz="6" w:space="0" w:color="auto"/>
              <w:bottom w:val="nil" w:sz="6" w:space="0" w:color="auto"/>
              <w:right w:val="nil" w:sz="6" w:space="0" w:color="auto"/>
            </w:tcBorders>
          </w:tcPr>
          <w:p>
            <w:pPr>
              <w:pStyle w:val="TableParagraph"/>
              <w:spacing w:line="204" w:lineRule="exact"/>
              <w:ind w:left="392" w:right="0"/>
              <w:jc w:val="left"/>
              <w:rPr>
                <w:rFonts w:ascii="黑体" w:hAnsi="黑体" w:cs="黑体" w:eastAsia="黑体" w:hint="default"/>
                <w:sz w:val="20"/>
                <w:szCs w:val="20"/>
              </w:rPr>
            </w:pPr>
            <w:r>
              <w:rPr>
                <w:rFonts w:ascii="黑体" w:hAnsi="黑体" w:cs="黑体" w:eastAsia="黑体" w:hint="default"/>
                <w:sz w:val="20"/>
                <w:szCs w:val="20"/>
              </w:rPr>
              <w:t>用友政务</w:t>
            </w:r>
          </w:p>
        </w:tc>
        <w:tc>
          <w:tcPr>
            <w:tcW w:w="3282" w:type="dxa"/>
            <w:tcBorders>
              <w:top w:val="nil" w:sz="6" w:space="0" w:color="auto"/>
              <w:left w:val="nil" w:sz="6" w:space="0" w:color="auto"/>
              <w:bottom w:val="nil" w:sz="6" w:space="0" w:color="auto"/>
              <w:right w:val="nil" w:sz="6" w:space="0" w:color="auto"/>
            </w:tcBorders>
          </w:tcPr>
          <w:p>
            <w:pPr>
              <w:pStyle w:val="TableParagraph"/>
              <w:spacing w:line="218" w:lineRule="exact"/>
              <w:ind w:right="737"/>
              <w:jc w:val="right"/>
              <w:rPr>
                <w:rFonts w:ascii="Arial" w:hAnsi="Arial" w:cs="Arial" w:eastAsia="Arial" w:hint="default"/>
                <w:sz w:val="20"/>
                <w:szCs w:val="20"/>
              </w:rPr>
            </w:pPr>
            <w:r>
              <w:rPr>
                <w:rFonts w:ascii="Arial"/>
                <w:spacing w:val="-1"/>
                <w:w w:val="95"/>
                <w:sz w:val="20"/>
              </w:rPr>
              <w:t>500</w:t>
            </w:r>
            <w:r>
              <w:rPr>
                <w:rFonts w:ascii="Arial"/>
                <w:sz w:val="20"/>
              </w:rPr>
            </w:r>
          </w:p>
        </w:tc>
        <w:tc>
          <w:tcPr>
            <w:tcW w:w="2060" w:type="dxa"/>
            <w:tcBorders>
              <w:top w:val="nil" w:sz="6" w:space="0" w:color="auto"/>
              <w:left w:val="nil" w:sz="6" w:space="0" w:color="auto"/>
              <w:bottom w:val="nil" w:sz="6" w:space="0" w:color="auto"/>
              <w:right w:val="nil" w:sz="6" w:space="0" w:color="auto"/>
            </w:tcBorders>
          </w:tcPr>
          <w:p>
            <w:pPr>
              <w:pStyle w:val="TableParagraph"/>
              <w:spacing w:line="218" w:lineRule="exact"/>
              <w:ind w:right="212"/>
              <w:jc w:val="right"/>
              <w:rPr>
                <w:rFonts w:ascii="Arial" w:hAnsi="Arial" w:cs="Arial" w:eastAsia="Arial" w:hint="default"/>
                <w:sz w:val="20"/>
                <w:szCs w:val="20"/>
              </w:rPr>
            </w:pPr>
            <w:r>
              <w:rPr>
                <w:rFonts w:ascii="Arial"/>
                <w:spacing w:val="-1"/>
                <w:sz w:val="20"/>
              </w:rPr>
              <w:t>2,445,360</w:t>
            </w:r>
          </w:p>
        </w:tc>
      </w:tr>
      <w:tr>
        <w:trPr>
          <w:trHeight w:val="221" w:hRule="exact"/>
        </w:trPr>
        <w:tc>
          <w:tcPr>
            <w:tcW w:w="3134" w:type="dxa"/>
            <w:tcBorders>
              <w:top w:val="nil" w:sz="6" w:space="0" w:color="auto"/>
              <w:left w:val="nil" w:sz="6" w:space="0" w:color="auto"/>
              <w:bottom w:val="nil" w:sz="6" w:space="0" w:color="auto"/>
              <w:right w:val="nil" w:sz="6" w:space="0" w:color="auto"/>
            </w:tcBorders>
          </w:tcPr>
          <w:p>
            <w:pPr>
              <w:pStyle w:val="TableParagraph"/>
              <w:spacing w:line="205" w:lineRule="exact"/>
              <w:ind w:left="392" w:right="0"/>
              <w:jc w:val="left"/>
              <w:rPr>
                <w:rFonts w:ascii="黑体" w:hAnsi="黑体" w:cs="黑体" w:eastAsia="黑体" w:hint="default"/>
                <w:sz w:val="20"/>
                <w:szCs w:val="20"/>
              </w:rPr>
            </w:pPr>
            <w:r>
              <w:rPr>
                <w:rFonts w:ascii="黑体" w:hAnsi="黑体" w:cs="黑体" w:eastAsia="黑体" w:hint="default"/>
                <w:sz w:val="20"/>
                <w:szCs w:val="20"/>
              </w:rPr>
              <w:t>畅捷通</w:t>
            </w:r>
          </w:p>
        </w:tc>
        <w:tc>
          <w:tcPr>
            <w:tcW w:w="3282" w:type="dxa"/>
            <w:tcBorders>
              <w:top w:val="nil" w:sz="6" w:space="0" w:color="auto"/>
              <w:left w:val="nil" w:sz="6" w:space="0" w:color="auto"/>
              <w:bottom w:val="nil" w:sz="6" w:space="0" w:color="auto"/>
              <w:right w:val="nil" w:sz="6" w:space="0" w:color="auto"/>
            </w:tcBorders>
          </w:tcPr>
          <w:p>
            <w:pPr>
              <w:pStyle w:val="TableParagraph"/>
              <w:spacing w:line="219" w:lineRule="exact"/>
              <w:ind w:right="737"/>
              <w:jc w:val="right"/>
              <w:rPr>
                <w:rFonts w:ascii="Arial" w:hAnsi="Arial" w:cs="Arial" w:eastAsia="Arial" w:hint="default"/>
                <w:sz w:val="20"/>
                <w:szCs w:val="20"/>
              </w:rPr>
            </w:pPr>
            <w:r>
              <w:rPr>
                <w:rFonts w:ascii="Arial"/>
                <w:spacing w:val="-1"/>
                <w:w w:val="95"/>
                <w:sz w:val="20"/>
              </w:rPr>
              <w:t>931</w:t>
            </w:r>
            <w:r>
              <w:rPr>
                <w:rFonts w:ascii="Arial"/>
                <w:sz w:val="20"/>
              </w:rPr>
            </w:r>
          </w:p>
        </w:tc>
        <w:tc>
          <w:tcPr>
            <w:tcW w:w="2060" w:type="dxa"/>
            <w:tcBorders>
              <w:top w:val="nil" w:sz="6" w:space="0" w:color="auto"/>
              <w:left w:val="nil" w:sz="6" w:space="0" w:color="auto"/>
              <w:bottom w:val="nil" w:sz="6" w:space="0" w:color="auto"/>
              <w:right w:val="nil" w:sz="6" w:space="0" w:color="auto"/>
            </w:tcBorders>
          </w:tcPr>
          <w:p>
            <w:pPr>
              <w:pStyle w:val="TableParagraph"/>
              <w:spacing w:line="219" w:lineRule="exact"/>
              <w:ind w:right="212"/>
              <w:jc w:val="right"/>
              <w:rPr>
                <w:rFonts w:ascii="Arial" w:hAnsi="Arial" w:cs="Arial" w:eastAsia="Arial" w:hint="default"/>
                <w:sz w:val="20"/>
                <w:szCs w:val="20"/>
              </w:rPr>
            </w:pPr>
            <w:r>
              <w:rPr>
                <w:rFonts w:ascii="Arial"/>
                <w:spacing w:val="-1"/>
                <w:w w:val="95"/>
                <w:sz w:val="20"/>
              </w:rPr>
              <w:t>312,749</w:t>
            </w:r>
            <w:r>
              <w:rPr>
                <w:rFonts w:ascii="Arial"/>
                <w:sz w:val="20"/>
              </w:rPr>
            </w:r>
          </w:p>
        </w:tc>
      </w:tr>
      <w:tr>
        <w:trPr>
          <w:trHeight w:val="220" w:hRule="exact"/>
        </w:trPr>
        <w:tc>
          <w:tcPr>
            <w:tcW w:w="3134" w:type="dxa"/>
            <w:tcBorders>
              <w:top w:val="nil" w:sz="6" w:space="0" w:color="auto"/>
              <w:left w:val="nil" w:sz="6" w:space="0" w:color="auto"/>
              <w:bottom w:val="nil" w:sz="6" w:space="0" w:color="auto"/>
              <w:right w:val="nil" w:sz="6" w:space="0" w:color="auto"/>
            </w:tcBorders>
          </w:tcPr>
          <w:p>
            <w:pPr>
              <w:pStyle w:val="TableParagraph"/>
              <w:spacing w:line="205" w:lineRule="exact"/>
              <w:ind w:left="392" w:right="0"/>
              <w:jc w:val="left"/>
              <w:rPr>
                <w:rFonts w:ascii="黑体" w:hAnsi="黑体" w:cs="黑体" w:eastAsia="黑体" w:hint="default"/>
                <w:sz w:val="20"/>
                <w:szCs w:val="20"/>
              </w:rPr>
            </w:pPr>
            <w:r>
              <w:rPr>
                <w:rFonts w:ascii="黑体" w:hAnsi="黑体" w:cs="黑体" w:eastAsia="黑体" w:hint="default"/>
                <w:sz w:val="20"/>
                <w:szCs w:val="20"/>
              </w:rPr>
              <w:t>用友烟草</w:t>
            </w:r>
          </w:p>
        </w:tc>
        <w:tc>
          <w:tcPr>
            <w:tcW w:w="3282" w:type="dxa"/>
            <w:tcBorders>
              <w:top w:val="nil" w:sz="6" w:space="0" w:color="auto"/>
              <w:left w:val="nil" w:sz="6" w:space="0" w:color="auto"/>
              <w:bottom w:val="nil" w:sz="6" w:space="0" w:color="auto"/>
              <w:right w:val="nil" w:sz="6" w:space="0" w:color="auto"/>
            </w:tcBorders>
          </w:tcPr>
          <w:p>
            <w:pPr>
              <w:pStyle w:val="TableParagraph"/>
              <w:spacing w:line="219" w:lineRule="exact"/>
              <w:ind w:right="737"/>
              <w:jc w:val="right"/>
              <w:rPr>
                <w:rFonts w:ascii="Arial" w:hAnsi="Arial" w:cs="Arial" w:eastAsia="Arial" w:hint="default"/>
                <w:sz w:val="20"/>
                <w:szCs w:val="20"/>
              </w:rPr>
            </w:pPr>
            <w:r>
              <w:rPr>
                <w:rFonts w:ascii="Arial"/>
                <w:spacing w:val="-1"/>
                <w:sz w:val="20"/>
              </w:rPr>
              <w:t>40,000,000</w:t>
            </w:r>
            <w:r>
              <w:rPr>
                <w:rFonts w:ascii="Arial"/>
                <w:sz w:val="20"/>
              </w:rPr>
            </w:r>
          </w:p>
        </w:tc>
        <w:tc>
          <w:tcPr>
            <w:tcW w:w="2060" w:type="dxa"/>
            <w:tcBorders>
              <w:top w:val="nil" w:sz="6" w:space="0" w:color="auto"/>
              <w:left w:val="nil" w:sz="6" w:space="0" w:color="auto"/>
              <w:bottom w:val="nil" w:sz="6" w:space="0" w:color="auto"/>
              <w:right w:val="nil" w:sz="6" w:space="0" w:color="auto"/>
            </w:tcBorders>
          </w:tcPr>
          <w:p>
            <w:pPr>
              <w:pStyle w:val="TableParagraph"/>
              <w:spacing w:line="219" w:lineRule="exact"/>
              <w:ind w:right="210"/>
              <w:jc w:val="right"/>
              <w:rPr>
                <w:rFonts w:ascii="Arial" w:hAnsi="Arial" w:cs="Arial" w:eastAsia="Arial" w:hint="default"/>
                <w:sz w:val="20"/>
                <w:szCs w:val="20"/>
              </w:rPr>
            </w:pPr>
            <w:r>
              <w:rPr>
                <w:rFonts w:ascii="Arial"/>
                <w:w w:val="99"/>
                <w:sz w:val="20"/>
              </w:rPr>
              <w:t>-</w:t>
            </w:r>
            <w:r>
              <w:rPr>
                <w:rFonts w:ascii="Arial"/>
                <w:sz w:val="20"/>
              </w:rPr>
            </w:r>
          </w:p>
        </w:tc>
      </w:tr>
      <w:tr>
        <w:trPr>
          <w:trHeight w:val="220" w:hRule="exact"/>
        </w:trPr>
        <w:tc>
          <w:tcPr>
            <w:tcW w:w="3134" w:type="dxa"/>
            <w:tcBorders>
              <w:top w:val="nil" w:sz="6" w:space="0" w:color="auto"/>
              <w:left w:val="nil" w:sz="6" w:space="0" w:color="auto"/>
              <w:bottom w:val="nil" w:sz="6" w:space="0" w:color="auto"/>
              <w:right w:val="nil" w:sz="6" w:space="0" w:color="auto"/>
            </w:tcBorders>
          </w:tcPr>
          <w:p>
            <w:pPr>
              <w:pStyle w:val="TableParagraph"/>
              <w:spacing w:line="204" w:lineRule="exact"/>
              <w:ind w:left="392" w:right="0"/>
              <w:jc w:val="left"/>
              <w:rPr>
                <w:rFonts w:ascii="黑体" w:hAnsi="黑体" w:cs="黑体" w:eastAsia="黑体" w:hint="default"/>
                <w:sz w:val="20"/>
                <w:szCs w:val="20"/>
              </w:rPr>
            </w:pPr>
            <w:r>
              <w:rPr>
                <w:rFonts w:ascii="黑体" w:hAnsi="黑体" w:cs="黑体" w:eastAsia="黑体" w:hint="default"/>
                <w:sz w:val="20"/>
                <w:szCs w:val="20"/>
              </w:rPr>
              <w:t>用友审计</w:t>
            </w:r>
          </w:p>
        </w:tc>
        <w:tc>
          <w:tcPr>
            <w:tcW w:w="3282" w:type="dxa"/>
            <w:tcBorders>
              <w:top w:val="nil" w:sz="6" w:space="0" w:color="auto"/>
              <w:left w:val="nil" w:sz="6" w:space="0" w:color="auto"/>
              <w:bottom w:val="nil" w:sz="6" w:space="0" w:color="auto"/>
              <w:right w:val="nil" w:sz="6" w:space="0" w:color="auto"/>
            </w:tcBorders>
          </w:tcPr>
          <w:p>
            <w:pPr>
              <w:pStyle w:val="TableParagraph"/>
              <w:spacing w:line="218" w:lineRule="exact"/>
              <w:ind w:right="737"/>
              <w:jc w:val="right"/>
              <w:rPr>
                <w:rFonts w:ascii="Arial" w:hAnsi="Arial" w:cs="Arial" w:eastAsia="Arial" w:hint="default"/>
                <w:sz w:val="20"/>
                <w:szCs w:val="20"/>
              </w:rPr>
            </w:pPr>
            <w:r>
              <w:rPr>
                <w:rFonts w:ascii="Arial"/>
                <w:spacing w:val="-1"/>
                <w:sz w:val="20"/>
              </w:rPr>
              <w:t>20,000,000</w:t>
            </w:r>
            <w:r>
              <w:rPr>
                <w:rFonts w:ascii="Arial"/>
                <w:sz w:val="20"/>
              </w:rPr>
            </w:r>
          </w:p>
        </w:tc>
        <w:tc>
          <w:tcPr>
            <w:tcW w:w="2060" w:type="dxa"/>
            <w:tcBorders>
              <w:top w:val="nil" w:sz="6" w:space="0" w:color="auto"/>
              <w:left w:val="nil" w:sz="6" w:space="0" w:color="auto"/>
              <w:bottom w:val="nil" w:sz="6" w:space="0" w:color="auto"/>
              <w:right w:val="nil" w:sz="6" w:space="0" w:color="auto"/>
            </w:tcBorders>
          </w:tcPr>
          <w:p>
            <w:pPr>
              <w:pStyle w:val="TableParagraph"/>
              <w:spacing w:line="218" w:lineRule="exact"/>
              <w:ind w:right="210"/>
              <w:jc w:val="right"/>
              <w:rPr>
                <w:rFonts w:ascii="Arial" w:hAnsi="Arial" w:cs="Arial" w:eastAsia="Arial" w:hint="default"/>
                <w:sz w:val="20"/>
                <w:szCs w:val="20"/>
              </w:rPr>
            </w:pPr>
            <w:r>
              <w:rPr>
                <w:rFonts w:ascii="Arial"/>
                <w:w w:val="99"/>
                <w:sz w:val="20"/>
              </w:rPr>
              <w:t>-</w:t>
            </w:r>
            <w:r>
              <w:rPr>
                <w:rFonts w:ascii="Arial"/>
                <w:sz w:val="20"/>
              </w:rPr>
            </w:r>
          </w:p>
        </w:tc>
      </w:tr>
      <w:tr>
        <w:trPr>
          <w:trHeight w:val="221" w:hRule="exact"/>
        </w:trPr>
        <w:tc>
          <w:tcPr>
            <w:tcW w:w="3134" w:type="dxa"/>
            <w:tcBorders>
              <w:top w:val="nil" w:sz="6" w:space="0" w:color="auto"/>
              <w:left w:val="nil" w:sz="6" w:space="0" w:color="auto"/>
              <w:bottom w:val="nil" w:sz="6" w:space="0" w:color="auto"/>
              <w:right w:val="nil" w:sz="6" w:space="0" w:color="auto"/>
            </w:tcBorders>
          </w:tcPr>
          <w:p>
            <w:pPr>
              <w:pStyle w:val="TableParagraph"/>
              <w:spacing w:line="205" w:lineRule="exact"/>
              <w:ind w:left="392" w:right="0"/>
              <w:jc w:val="left"/>
              <w:rPr>
                <w:rFonts w:ascii="黑体" w:hAnsi="黑体" w:cs="黑体" w:eastAsia="黑体" w:hint="default"/>
                <w:sz w:val="20"/>
                <w:szCs w:val="20"/>
              </w:rPr>
            </w:pPr>
            <w:r>
              <w:rPr>
                <w:rFonts w:ascii="黑体" w:hAnsi="黑体" w:cs="黑体" w:eastAsia="黑体" w:hint="default"/>
                <w:sz w:val="20"/>
                <w:szCs w:val="20"/>
              </w:rPr>
              <w:t>滨海用友</w:t>
            </w:r>
          </w:p>
        </w:tc>
        <w:tc>
          <w:tcPr>
            <w:tcW w:w="3282" w:type="dxa"/>
            <w:tcBorders>
              <w:top w:val="nil" w:sz="6" w:space="0" w:color="auto"/>
              <w:left w:val="nil" w:sz="6" w:space="0" w:color="auto"/>
              <w:bottom w:val="nil" w:sz="6" w:space="0" w:color="auto"/>
              <w:right w:val="nil" w:sz="6" w:space="0" w:color="auto"/>
            </w:tcBorders>
          </w:tcPr>
          <w:p>
            <w:pPr>
              <w:pStyle w:val="TableParagraph"/>
              <w:spacing w:line="219" w:lineRule="exact"/>
              <w:ind w:right="737"/>
              <w:jc w:val="right"/>
              <w:rPr>
                <w:rFonts w:ascii="Arial" w:hAnsi="Arial" w:cs="Arial" w:eastAsia="Arial" w:hint="default"/>
                <w:sz w:val="20"/>
                <w:szCs w:val="20"/>
              </w:rPr>
            </w:pPr>
            <w:r>
              <w:rPr>
                <w:rFonts w:ascii="Arial"/>
                <w:spacing w:val="-1"/>
                <w:sz w:val="20"/>
              </w:rPr>
              <w:t>1,396,423</w:t>
            </w:r>
          </w:p>
        </w:tc>
        <w:tc>
          <w:tcPr>
            <w:tcW w:w="2060" w:type="dxa"/>
            <w:tcBorders>
              <w:top w:val="nil" w:sz="6" w:space="0" w:color="auto"/>
              <w:left w:val="nil" w:sz="6" w:space="0" w:color="auto"/>
              <w:bottom w:val="nil" w:sz="6" w:space="0" w:color="auto"/>
              <w:right w:val="nil" w:sz="6" w:space="0" w:color="auto"/>
            </w:tcBorders>
          </w:tcPr>
          <w:p>
            <w:pPr>
              <w:pStyle w:val="TableParagraph"/>
              <w:spacing w:line="219" w:lineRule="exact"/>
              <w:ind w:right="210"/>
              <w:jc w:val="right"/>
              <w:rPr>
                <w:rFonts w:ascii="Arial" w:hAnsi="Arial" w:cs="Arial" w:eastAsia="Arial" w:hint="default"/>
                <w:sz w:val="20"/>
                <w:szCs w:val="20"/>
              </w:rPr>
            </w:pPr>
            <w:r>
              <w:rPr>
                <w:rFonts w:ascii="Arial"/>
                <w:w w:val="99"/>
                <w:sz w:val="20"/>
              </w:rPr>
              <w:t>-</w:t>
            </w:r>
            <w:r>
              <w:rPr>
                <w:rFonts w:ascii="Arial"/>
                <w:sz w:val="20"/>
              </w:rPr>
            </w:r>
          </w:p>
        </w:tc>
      </w:tr>
      <w:tr>
        <w:trPr>
          <w:trHeight w:val="220" w:hRule="exact"/>
        </w:trPr>
        <w:tc>
          <w:tcPr>
            <w:tcW w:w="3134" w:type="dxa"/>
            <w:tcBorders>
              <w:top w:val="nil" w:sz="6" w:space="0" w:color="auto"/>
              <w:left w:val="nil" w:sz="6" w:space="0" w:color="auto"/>
              <w:bottom w:val="nil" w:sz="6" w:space="0" w:color="auto"/>
              <w:right w:val="nil" w:sz="6" w:space="0" w:color="auto"/>
            </w:tcBorders>
          </w:tcPr>
          <w:p>
            <w:pPr>
              <w:pStyle w:val="TableParagraph"/>
              <w:spacing w:line="205" w:lineRule="exact"/>
              <w:ind w:left="392" w:right="0"/>
              <w:jc w:val="left"/>
              <w:rPr>
                <w:rFonts w:ascii="黑体" w:hAnsi="黑体" w:cs="黑体" w:eastAsia="黑体" w:hint="default"/>
                <w:sz w:val="20"/>
                <w:szCs w:val="20"/>
              </w:rPr>
            </w:pPr>
            <w:r>
              <w:rPr>
                <w:rFonts w:ascii="黑体" w:hAnsi="黑体" w:cs="黑体" w:eastAsia="黑体" w:hint="default"/>
                <w:sz w:val="20"/>
                <w:szCs w:val="20"/>
              </w:rPr>
              <w:t>致远创协</w:t>
            </w:r>
          </w:p>
        </w:tc>
        <w:tc>
          <w:tcPr>
            <w:tcW w:w="3282" w:type="dxa"/>
            <w:tcBorders>
              <w:top w:val="nil" w:sz="6" w:space="0" w:color="auto"/>
              <w:left w:val="nil" w:sz="6" w:space="0" w:color="auto"/>
              <w:bottom w:val="nil" w:sz="6" w:space="0" w:color="auto"/>
              <w:right w:val="nil" w:sz="6" w:space="0" w:color="auto"/>
            </w:tcBorders>
          </w:tcPr>
          <w:p>
            <w:pPr>
              <w:pStyle w:val="TableParagraph"/>
              <w:spacing w:line="219" w:lineRule="exact"/>
              <w:ind w:right="737"/>
              <w:jc w:val="right"/>
              <w:rPr>
                <w:rFonts w:ascii="Arial" w:hAnsi="Arial" w:cs="Arial" w:eastAsia="Arial" w:hint="default"/>
                <w:sz w:val="20"/>
                <w:szCs w:val="20"/>
              </w:rPr>
            </w:pPr>
            <w:r>
              <w:rPr>
                <w:rFonts w:ascii="Arial"/>
                <w:spacing w:val="-1"/>
                <w:w w:val="95"/>
                <w:sz w:val="20"/>
              </w:rPr>
              <w:t>232,000</w:t>
            </w:r>
            <w:r>
              <w:rPr>
                <w:rFonts w:ascii="Arial"/>
                <w:sz w:val="20"/>
              </w:rPr>
            </w:r>
          </w:p>
        </w:tc>
        <w:tc>
          <w:tcPr>
            <w:tcW w:w="2060" w:type="dxa"/>
            <w:tcBorders>
              <w:top w:val="nil" w:sz="6" w:space="0" w:color="auto"/>
              <w:left w:val="nil" w:sz="6" w:space="0" w:color="auto"/>
              <w:bottom w:val="nil" w:sz="6" w:space="0" w:color="auto"/>
              <w:right w:val="nil" w:sz="6" w:space="0" w:color="auto"/>
            </w:tcBorders>
          </w:tcPr>
          <w:p>
            <w:pPr>
              <w:pStyle w:val="TableParagraph"/>
              <w:spacing w:line="219" w:lineRule="exact"/>
              <w:ind w:right="212"/>
              <w:jc w:val="right"/>
              <w:rPr>
                <w:rFonts w:ascii="Arial" w:hAnsi="Arial" w:cs="Arial" w:eastAsia="Arial" w:hint="default"/>
                <w:sz w:val="20"/>
                <w:szCs w:val="20"/>
              </w:rPr>
            </w:pPr>
            <w:r>
              <w:rPr>
                <w:rFonts w:ascii="Arial"/>
                <w:spacing w:val="-1"/>
                <w:sz w:val="20"/>
              </w:rPr>
              <w:t>22,000</w:t>
            </w:r>
            <w:r>
              <w:rPr>
                <w:rFonts w:ascii="Arial"/>
                <w:sz w:val="20"/>
              </w:rPr>
            </w:r>
          </w:p>
        </w:tc>
      </w:tr>
      <w:tr>
        <w:trPr>
          <w:trHeight w:val="220" w:hRule="exact"/>
        </w:trPr>
        <w:tc>
          <w:tcPr>
            <w:tcW w:w="3134" w:type="dxa"/>
            <w:tcBorders>
              <w:top w:val="nil" w:sz="6" w:space="0" w:color="auto"/>
              <w:left w:val="nil" w:sz="6" w:space="0" w:color="auto"/>
              <w:bottom w:val="nil" w:sz="6" w:space="0" w:color="auto"/>
              <w:right w:val="nil" w:sz="6" w:space="0" w:color="auto"/>
            </w:tcBorders>
          </w:tcPr>
          <w:p>
            <w:pPr>
              <w:pStyle w:val="TableParagraph"/>
              <w:spacing w:line="204" w:lineRule="exact"/>
              <w:ind w:right="1542"/>
              <w:jc w:val="right"/>
              <w:rPr>
                <w:rFonts w:ascii="黑体" w:hAnsi="黑体" w:cs="黑体" w:eastAsia="黑体" w:hint="default"/>
                <w:sz w:val="20"/>
                <w:szCs w:val="20"/>
              </w:rPr>
            </w:pPr>
            <w:r>
              <w:rPr>
                <w:rFonts w:ascii="黑体" w:hAnsi="黑体" w:cs="黑体" w:eastAsia="黑体" w:hint="default"/>
                <w:w w:val="95"/>
                <w:sz w:val="20"/>
                <w:szCs w:val="20"/>
              </w:rPr>
              <w:t>西玛商用表单</w:t>
            </w:r>
            <w:r>
              <w:rPr>
                <w:rFonts w:ascii="黑体" w:hAnsi="黑体" w:cs="黑体" w:eastAsia="黑体" w:hint="default"/>
                <w:sz w:val="20"/>
                <w:szCs w:val="20"/>
              </w:rPr>
            </w:r>
          </w:p>
        </w:tc>
        <w:tc>
          <w:tcPr>
            <w:tcW w:w="3282" w:type="dxa"/>
            <w:tcBorders>
              <w:top w:val="nil" w:sz="6" w:space="0" w:color="auto"/>
              <w:left w:val="nil" w:sz="6" w:space="0" w:color="auto"/>
              <w:bottom w:val="nil" w:sz="6" w:space="0" w:color="auto"/>
              <w:right w:val="nil" w:sz="6" w:space="0" w:color="auto"/>
            </w:tcBorders>
          </w:tcPr>
          <w:p>
            <w:pPr>
              <w:pStyle w:val="TableParagraph"/>
              <w:spacing w:line="218" w:lineRule="exact"/>
              <w:ind w:right="737"/>
              <w:jc w:val="right"/>
              <w:rPr>
                <w:rFonts w:ascii="Arial" w:hAnsi="Arial" w:cs="Arial" w:eastAsia="Arial" w:hint="default"/>
                <w:sz w:val="20"/>
                <w:szCs w:val="20"/>
              </w:rPr>
            </w:pPr>
            <w:r>
              <w:rPr>
                <w:rFonts w:ascii="Arial"/>
                <w:spacing w:val="-1"/>
                <w:w w:val="95"/>
                <w:sz w:val="20"/>
              </w:rPr>
              <w:t>31,280</w:t>
            </w:r>
            <w:r>
              <w:rPr>
                <w:rFonts w:ascii="Arial"/>
                <w:sz w:val="20"/>
              </w:rPr>
            </w:r>
          </w:p>
        </w:tc>
        <w:tc>
          <w:tcPr>
            <w:tcW w:w="2060" w:type="dxa"/>
            <w:tcBorders>
              <w:top w:val="nil" w:sz="6" w:space="0" w:color="auto"/>
              <w:left w:val="nil" w:sz="6" w:space="0" w:color="auto"/>
              <w:bottom w:val="nil" w:sz="6" w:space="0" w:color="auto"/>
              <w:right w:val="nil" w:sz="6" w:space="0" w:color="auto"/>
            </w:tcBorders>
          </w:tcPr>
          <w:p>
            <w:pPr>
              <w:pStyle w:val="TableParagraph"/>
              <w:spacing w:line="218" w:lineRule="exact"/>
              <w:ind w:right="212"/>
              <w:jc w:val="right"/>
              <w:rPr>
                <w:rFonts w:ascii="Arial" w:hAnsi="Arial" w:cs="Arial" w:eastAsia="Arial" w:hint="default"/>
                <w:sz w:val="20"/>
                <w:szCs w:val="20"/>
              </w:rPr>
            </w:pPr>
            <w:r>
              <w:rPr>
                <w:rFonts w:ascii="Arial"/>
                <w:spacing w:val="-1"/>
                <w:w w:val="95"/>
                <w:sz w:val="20"/>
              </w:rPr>
              <w:t>2,993</w:t>
            </w:r>
            <w:r>
              <w:rPr>
                <w:rFonts w:ascii="Arial"/>
                <w:sz w:val="20"/>
              </w:rPr>
            </w:r>
          </w:p>
        </w:tc>
      </w:tr>
      <w:tr>
        <w:trPr>
          <w:trHeight w:val="335" w:hRule="exact"/>
        </w:trPr>
        <w:tc>
          <w:tcPr>
            <w:tcW w:w="3134" w:type="dxa"/>
            <w:tcBorders>
              <w:top w:val="nil" w:sz="6" w:space="0" w:color="auto"/>
              <w:left w:val="nil" w:sz="6" w:space="0" w:color="auto"/>
              <w:bottom w:val="nil" w:sz="6" w:space="0" w:color="auto"/>
              <w:right w:val="nil" w:sz="6" w:space="0" w:color="auto"/>
            </w:tcBorders>
          </w:tcPr>
          <w:p>
            <w:pPr>
              <w:pStyle w:val="TableParagraph"/>
              <w:spacing w:line="205" w:lineRule="exact"/>
              <w:ind w:left="392" w:right="0"/>
              <w:jc w:val="left"/>
              <w:rPr>
                <w:rFonts w:ascii="黑体" w:hAnsi="黑体" w:cs="黑体" w:eastAsia="黑体" w:hint="default"/>
                <w:sz w:val="20"/>
                <w:szCs w:val="20"/>
              </w:rPr>
            </w:pPr>
            <w:r>
              <w:rPr>
                <w:rFonts w:ascii="黑体" w:hAnsi="黑体" w:cs="黑体" w:eastAsia="黑体" w:hint="default"/>
                <w:sz w:val="20"/>
                <w:szCs w:val="20"/>
              </w:rPr>
              <w:t>北京伟库</w:t>
            </w:r>
          </w:p>
        </w:tc>
        <w:tc>
          <w:tcPr>
            <w:tcW w:w="3282" w:type="dxa"/>
            <w:tcBorders>
              <w:top w:val="nil" w:sz="6" w:space="0" w:color="auto"/>
              <w:left w:val="nil" w:sz="6" w:space="0" w:color="auto"/>
              <w:bottom w:val="nil" w:sz="6" w:space="0" w:color="auto"/>
              <w:right w:val="nil" w:sz="6" w:space="0" w:color="auto"/>
            </w:tcBorders>
          </w:tcPr>
          <w:p>
            <w:pPr>
              <w:pStyle w:val="TableParagraph"/>
              <w:tabs>
                <w:tab w:pos="501" w:val="left" w:leader="none"/>
              </w:tabs>
              <w:spacing w:line="219" w:lineRule="exact"/>
              <w:ind w:right="737"/>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17,000</w:t>
            </w:r>
            <w:r>
              <w:rPr>
                <w:rFonts w:ascii="Arial"/>
                <w:spacing w:val="-1"/>
                <w:w w:val="95"/>
                <w:sz w:val="20"/>
              </w:rPr>
            </w:r>
            <w:r>
              <w:rPr>
                <w:rFonts w:ascii="Arial"/>
                <w:sz w:val="20"/>
              </w:rPr>
            </w:r>
          </w:p>
        </w:tc>
        <w:tc>
          <w:tcPr>
            <w:tcW w:w="2060" w:type="dxa"/>
            <w:tcBorders>
              <w:top w:val="nil" w:sz="6" w:space="0" w:color="auto"/>
              <w:left w:val="nil" w:sz="6" w:space="0" w:color="auto"/>
              <w:bottom w:val="nil" w:sz="6" w:space="0" w:color="auto"/>
              <w:right w:val="nil" w:sz="6" w:space="0" w:color="auto"/>
            </w:tcBorders>
          </w:tcPr>
          <w:p>
            <w:pPr>
              <w:pStyle w:val="TableParagraph"/>
              <w:tabs>
                <w:tab w:pos="1022" w:val="left" w:leader="none"/>
              </w:tabs>
              <w:spacing w:line="219" w:lineRule="exact"/>
              <w:ind w:right="208"/>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w w:val="95"/>
                <w:sz w:val="20"/>
                <w:u w:val="single" w:color="000000"/>
              </w:rPr>
              <w:t>-</w:t>
            </w:r>
            <w:r>
              <w:rPr>
                <w:rFonts w:ascii="Arial"/>
                <w:w w:val="95"/>
                <w:sz w:val="20"/>
              </w:rPr>
            </w:r>
            <w:r>
              <w:rPr>
                <w:rFonts w:ascii="Arial"/>
                <w:sz w:val="20"/>
              </w:rPr>
            </w:r>
          </w:p>
        </w:tc>
      </w:tr>
      <w:tr>
        <w:trPr>
          <w:trHeight w:val="319" w:hRule="exact"/>
        </w:trPr>
        <w:tc>
          <w:tcPr>
            <w:tcW w:w="3134" w:type="dxa"/>
            <w:tcBorders>
              <w:top w:val="nil" w:sz="6" w:space="0" w:color="auto"/>
              <w:left w:val="nil" w:sz="6" w:space="0" w:color="auto"/>
              <w:bottom w:val="nil" w:sz="6" w:space="0" w:color="auto"/>
              <w:right w:val="nil" w:sz="6" w:space="0" w:color="auto"/>
            </w:tcBorders>
          </w:tcPr>
          <w:p>
            <w:pPr/>
          </w:p>
        </w:tc>
        <w:tc>
          <w:tcPr>
            <w:tcW w:w="3282"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737"/>
              <w:jc w:val="right"/>
              <w:rPr>
                <w:rFonts w:ascii="Arial" w:hAnsi="Arial" w:cs="Arial" w:eastAsia="Arial" w:hint="default"/>
                <w:sz w:val="20"/>
                <w:szCs w:val="20"/>
              </w:rPr>
            </w:pPr>
            <w:r>
              <w:rPr>
                <w:rFonts w:ascii="Arial"/>
                <w:w w:val="99"/>
                <w:sz w:val="20"/>
              </w:rPr>
            </w:r>
            <w:r>
              <w:rPr>
                <w:rFonts w:ascii="Arial"/>
                <w:spacing w:val="-1"/>
                <w:sz w:val="20"/>
                <w:u w:val="thick" w:color="000000"/>
              </w:rPr>
              <w:t>307,178,134</w:t>
            </w:r>
            <w:r>
              <w:rPr>
                <w:rFonts w:ascii="Arial"/>
                <w:spacing w:val="-1"/>
                <w:sz w:val="20"/>
              </w:rPr>
            </w:r>
            <w:r>
              <w:rPr>
                <w:rFonts w:ascii="Arial"/>
                <w:sz w:val="20"/>
              </w:rPr>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12"/>
              <w:jc w:val="right"/>
              <w:rPr>
                <w:rFonts w:ascii="Arial" w:hAnsi="Arial" w:cs="Arial" w:eastAsia="Arial" w:hint="default"/>
                <w:sz w:val="20"/>
                <w:szCs w:val="20"/>
              </w:rPr>
            </w:pPr>
            <w:r>
              <w:rPr>
                <w:rFonts w:ascii="Arial"/>
                <w:w w:val="99"/>
                <w:sz w:val="20"/>
              </w:rPr>
            </w:r>
            <w:r>
              <w:rPr>
                <w:rFonts w:ascii="Arial"/>
                <w:spacing w:val="-1"/>
                <w:sz w:val="20"/>
                <w:u w:val="thick" w:color="000000"/>
              </w:rPr>
              <w:t>241,983,102</w:t>
            </w:r>
            <w:r>
              <w:rPr>
                <w:rFonts w:ascii="Arial"/>
                <w:spacing w:val="-1"/>
                <w:sz w:val="20"/>
              </w:rPr>
            </w:r>
            <w:r>
              <w:rPr>
                <w:rFonts w:ascii="Arial"/>
                <w:sz w:val="20"/>
              </w:rPr>
            </w:r>
          </w:p>
        </w:tc>
      </w:tr>
    </w:tbl>
    <w:p>
      <w:pPr>
        <w:spacing w:line="240" w:lineRule="auto" w:before="1"/>
        <w:rPr>
          <w:rFonts w:ascii="黑体" w:hAnsi="黑体" w:cs="黑体" w:eastAsia="黑体" w:hint="default"/>
          <w:b/>
          <w:bCs/>
          <w:sz w:val="11"/>
          <w:szCs w:val="11"/>
        </w:rPr>
      </w:pPr>
    </w:p>
    <w:p>
      <w:pPr>
        <w:pStyle w:val="BodyText"/>
        <w:spacing w:line="494" w:lineRule="auto" w:before="37"/>
        <w:ind w:left="164" w:right="2653" w:firstLine="669"/>
        <w:jc w:val="left"/>
        <w:rPr>
          <w:rFonts w:ascii="黑体" w:hAnsi="黑体" w:cs="黑体" w:eastAsia="黑体" w:hint="default"/>
        </w:rPr>
      </w:pPr>
      <w:r>
        <w:rPr/>
        <w:t>应收及应付关联方款项均不计利息、无抵押、且无固定还款期。</w:t>
      </w:r>
      <w:r>
        <w:rPr>
          <w:w w:val="99"/>
        </w:rPr>
        <w:t> </w:t>
      </w:r>
      <w:r>
        <w:rPr>
          <w:rFonts w:ascii="黑体" w:hAnsi="黑体" w:cs="黑体" w:eastAsia="黑体" w:hint="default"/>
          <w:b/>
          <w:bCs/>
        </w:rPr>
        <w:t>十四、比较数据</w:t>
      </w:r>
      <w:r>
        <w:rPr>
          <w:rFonts w:ascii="黑体" w:hAnsi="黑体" w:cs="黑体" w:eastAsia="黑体" w:hint="default"/>
        </w:rPr>
      </w:r>
    </w:p>
    <w:p>
      <w:pPr>
        <w:spacing w:line="453" w:lineRule="auto" w:before="6"/>
        <w:ind w:left="164" w:right="3453" w:firstLine="669"/>
        <w:jc w:val="left"/>
        <w:rPr>
          <w:rFonts w:ascii="黑体" w:hAnsi="黑体" w:cs="黑体" w:eastAsia="黑体" w:hint="default"/>
          <w:sz w:val="20"/>
          <w:szCs w:val="20"/>
        </w:rPr>
      </w:pPr>
      <w:r>
        <w:rPr>
          <w:rFonts w:ascii="黑体" w:hAnsi="黑体" w:cs="黑体" w:eastAsia="黑体" w:hint="default"/>
          <w:sz w:val="20"/>
          <w:szCs w:val="20"/>
        </w:rPr>
        <w:t>若干比较数据已经过重述，以符合本年度之列报要求。</w:t>
      </w:r>
      <w:r>
        <w:rPr>
          <w:rFonts w:ascii="黑体" w:hAnsi="黑体" w:cs="黑体" w:eastAsia="黑体" w:hint="default"/>
          <w:w w:val="99"/>
          <w:sz w:val="20"/>
          <w:szCs w:val="20"/>
        </w:rPr>
        <w:t> </w:t>
      </w:r>
      <w:r>
        <w:rPr>
          <w:rFonts w:ascii="黑体" w:hAnsi="黑体" w:cs="黑体" w:eastAsia="黑体" w:hint="default"/>
          <w:b/>
          <w:bCs/>
          <w:sz w:val="20"/>
          <w:szCs w:val="20"/>
        </w:rPr>
        <w:t>十五、财务报表之批准</w:t>
      </w:r>
      <w:r>
        <w:rPr>
          <w:rFonts w:ascii="黑体" w:hAnsi="黑体" w:cs="黑体" w:eastAsia="黑体" w:hint="default"/>
          <w:sz w:val="20"/>
          <w:szCs w:val="20"/>
        </w:rPr>
      </w:r>
    </w:p>
    <w:p>
      <w:pPr>
        <w:pStyle w:val="BodyText"/>
        <w:spacing w:line="262" w:lineRule="exact" w:before="66"/>
        <w:ind w:left="834" w:right="473"/>
        <w:jc w:val="left"/>
      </w:pPr>
      <w:r>
        <w:rPr/>
        <w:t>本财务报表业经本公司董事会于</w:t>
      </w:r>
      <w:r>
        <w:rPr>
          <w:rFonts w:ascii="Arial" w:hAnsi="Arial" w:cs="Arial" w:eastAsia="Arial" w:hint="default"/>
        </w:rPr>
        <w:t>2013</w:t>
      </w:r>
      <w:r>
        <w:rPr/>
        <w:t>年</w:t>
      </w:r>
      <w:r>
        <w:rPr>
          <w:rFonts w:ascii="Arial" w:hAnsi="Arial" w:cs="Arial" w:eastAsia="Arial" w:hint="default"/>
        </w:rPr>
        <w:t>3</w:t>
      </w:r>
      <w:r>
        <w:rPr/>
        <w:t>月</w:t>
      </w:r>
      <w:r>
        <w:rPr>
          <w:rFonts w:ascii="Arial" w:hAnsi="Arial" w:cs="Arial" w:eastAsia="Arial" w:hint="default"/>
        </w:rPr>
        <w:t>18</w:t>
      </w:r>
      <w:r>
        <w:rPr/>
        <w:t>日决议批准。根据本公司章程，本财务报表</w:t>
      </w:r>
      <w:r>
        <w:rPr>
          <w:spacing w:val="-97"/>
        </w:rPr>
        <w:t> </w:t>
      </w:r>
      <w:r>
        <w:rPr>
          <w:spacing w:val="-97"/>
        </w:rPr>
      </w:r>
      <w:r>
        <w:rPr/>
        <w:t>将提交股东会大会审议。</w:t>
      </w:r>
    </w:p>
    <w:p>
      <w:pPr>
        <w:spacing w:after="0" w:line="262" w:lineRule="exact"/>
        <w:jc w:val="left"/>
        <w:sectPr>
          <w:pgSz w:w="11910" w:h="16850"/>
          <w:pgMar w:header="957" w:footer="473" w:top="2600" w:bottom="660" w:left="1580" w:right="1220"/>
        </w:sectPr>
      </w:pPr>
    </w:p>
    <w:p>
      <w:pPr>
        <w:pStyle w:val="Heading6"/>
        <w:tabs>
          <w:tab w:pos="821" w:val="left" w:leader="none"/>
        </w:tabs>
        <w:spacing w:line="240" w:lineRule="auto" w:before="137"/>
        <w:ind w:right="232"/>
        <w:jc w:val="left"/>
        <w:rPr>
          <w:b w:val="0"/>
          <w:bCs w:val="0"/>
        </w:rPr>
      </w:pPr>
      <w:r>
        <w:rPr>
          <w:rFonts w:ascii="Arial" w:hAnsi="Arial" w:cs="Arial" w:eastAsia="Arial" w:hint="default"/>
          <w:spacing w:val="-1"/>
          <w:w w:val="95"/>
        </w:rPr>
        <w:t>1</w:t>
      </w:r>
      <w:r>
        <w:rPr>
          <w:spacing w:val="-1"/>
          <w:w w:val="95"/>
        </w:rPr>
        <w:t>、</w:t>
        <w:tab/>
      </w:r>
      <w:bookmarkStart w:name="1、 非经常性损益明细表" w:id="165"/>
      <w:bookmarkEnd w:id="165"/>
      <w:r>
        <w:rPr>
          <w:spacing w:val="1"/>
        </w:rPr>
        <w:t>非经常</w:t>
      </w:r>
      <w:r>
        <w:rPr>
          <w:spacing w:val="1"/>
        </w:rPr>
        <w:t>性损益明细表</w:t>
      </w:r>
      <w:r>
        <w:rPr>
          <w:b w:val="0"/>
          <w:bCs w:val="0"/>
        </w:rPr>
      </w:r>
    </w:p>
    <w:p>
      <w:pPr>
        <w:spacing w:line="240" w:lineRule="auto" w:before="6"/>
        <w:rPr>
          <w:rFonts w:ascii="黑体" w:hAnsi="黑体" w:cs="黑体" w:eastAsia="黑体" w:hint="default"/>
          <w:b/>
          <w:bCs/>
          <w:sz w:val="21"/>
          <w:szCs w:val="21"/>
        </w:rPr>
      </w:pPr>
    </w:p>
    <w:tbl>
      <w:tblPr>
        <w:tblW w:w="0" w:type="auto"/>
        <w:jc w:val="left"/>
        <w:tblInd w:w="609" w:type="dxa"/>
        <w:tblLayout w:type="fixed"/>
        <w:tblCellMar>
          <w:top w:w="0" w:type="dxa"/>
          <w:left w:w="0" w:type="dxa"/>
          <w:bottom w:w="0" w:type="dxa"/>
          <w:right w:w="0" w:type="dxa"/>
        </w:tblCellMar>
        <w:tblLook w:val="01E0"/>
      </w:tblPr>
      <w:tblGrid>
        <w:gridCol w:w="4524"/>
        <w:gridCol w:w="1801"/>
        <w:gridCol w:w="366"/>
        <w:gridCol w:w="1375"/>
        <w:gridCol w:w="277"/>
      </w:tblGrid>
      <w:tr>
        <w:trPr>
          <w:trHeight w:val="352" w:hRule="exact"/>
        </w:trPr>
        <w:tc>
          <w:tcPr>
            <w:tcW w:w="4524"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nil" w:sz="6" w:space="0" w:color="auto"/>
              <w:right w:val="nil" w:sz="6" w:space="0" w:color="auto"/>
            </w:tcBorders>
          </w:tcPr>
          <w:p>
            <w:pPr>
              <w:pStyle w:val="TableParagraph"/>
              <w:spacing w:line="214" w:lineRule="exact"/>
              <w:ind w:right="24"/>
              <w:jc w:val="right"/>
              <w:rPr>
                <w:rFonts w:ascii="黑体" w:hAnsi="黑体" w:cs="黑体" w:eastAsia="黑体" w:hint="default"/>
                <w:sz w:val="20"/>
                <w:szCs w:val="20"/>
              </w:rPr>
            </w:pPr>
            <w:r>
              <w:rPr>
                <w:rFonts w:ascii="Arial" w:hAnsi="Arial" w:cs="Arial" w:eastAsia="Arial" w:hint="default"/>
                <w:sz w:val="20"/>
                <w:szCs w:val="20"/>
              </w:rPr>
              <w:t>2012</w:t>
            </w:r>
            <w:r>
              <w:rPr>
                <w:rFonts w:ascii="Arial" w:hAnsi="Arial" w:cs="Arial" w:eastAsia="Arial" w:hint="default"/>
                <w:spacing w:val="-9"/>
                <w:sz w:val="20"/>
                <w:szCs w:val="20"/>
              </w:rPr>
              <w:t> </w:t>
            </w:r>
            <w:r>
              <w:rPr>
                <w:rFonts w:ascii="黑体" w:hAnsi="黑体" w:cs="黑体" w:eastAsia="黑体" w:hint="default"/>
                <w:sz w:val="20"/>
                <w:szCs w:val="20"/>
              </w:rPr>
              <w:t>年</w:t>
            </w:r>
          </w:p>
        </w:tc>
        <w:tc>
          <w:tcPr>
            <w:tcW w:w="366"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Style w:val="TableParagraph"/>
              <w:spacing w:line="214" w:lineRule="exact"/>
              <w:ind w:right="23"/>
              <w:jc w:val="right"/>
              <w:rPr>
                <w:rFonts w:ascii="黑体" w:hAnsi="黑体" w:cs="黑体" w:eastAsia="黑体" w:hint="default"/>
                <w:sz w:val="20"/>
                <w:szCs w:val="20"/>
              </w:rPr>
            </w:pPr>
            <w:r>
              <w:rPr>
                <w:rFonts w:ascii="Arial" w:hAnsi="Arial" w:cs="Arial" w:eastAsia="Arial" w:hint="default"/>
                <w:sz w:val="20"/>
                <w:szCs w:val="20"/>
              </w:rPr>
              <w:t>2011</w:t>
            </w:r>
            <w:r>
              <w:rPr>
                <w:rFonts w:ascii="Arial" w:hAnsi="Arial" w:cs="Arial" w:eastAsia="Arial" w:hint="default"/>
                <w:spacing w:val="-9"/>
                <w:sz w:val="20"/>
                <w:szCs w:val="20"/>
              </w:rPr>
              <w:t> </w:t>
            </w:r>
            <w:r>
              <w:rPr>
                <w:rFonts w:ascii="黑体" w:hAnsi="黑体" w:cs="黑体" w:eastAsia="黑体" w:hint="default"/>
                <w:sz w:val="20"/>
                <w:szCs w:val="20"/>
              </w:rPr>
              <w:t>年</w:t>
            </w:r>
          </w:p>
        </w:tc>
        <w:tc>
          <w:tcPr>
            <w:tcW w:w="277" w:type="dxa"/>
            <w:tcBorders>
              <w:top w:val="nil" w:sz="6" w:space="0" w:color="auto"/>
              <w:left w:val="nil" w:sz="6" w:space="0" w:color="auto"/>
              <w:bottom w:val="nil" w:sz="6" w:space="0" w:color="auto"/>
              <w:right w:val="nil" w:sz="6" w:space="0" w:color="auto"/>
            </w:tcBorders>
          </w:tcPr>
          <w:p>
            <w:pPr/>
          </w:p>
        </w:tc>
      </w:tr>
      <w:tr>
        <w:trPr>
          <w:trHeight w:val="377" w:hRule="exact"/>
        </w:trPr>
        <w:tc>
          <w:tcPr>
            <w:tcW w:w="4524" w:type="dxa"/>
            <w:tcBorders>
              <w:top w:val="nil" w:sz="6" w:space="0" w:color="auto"/>
              <w:left w:val="nil" w:sz="6" w:space="0" w:color="auto"/>
              <w:bottom w:val="nil" w:sz="6" w:space="0" w:color="auto"/>
              <w:right w:val="nil" w:sz="6" w:space="0" w:color="auto"/>
            </w:tcBorders>
          </w:tcPr>
          <w:p>
            <w:pPr>
              <w:pStyle w:val="TableParagraph"/>
              <w:spacing w:line="240" w:lineRule="auto" w:before="80"/>
              <w:ind w:left="200" w:right="0"/>
              <w:jc w:val="left"/>
              <w:rPr>
                <w:rFonts w:ascii="Arial" w:hAnsi="Arial" w:cs="Arial" w:eastAsia="Arial" w:hint="default"/>
                <w:sz w:val="20"/>
                <w:szCs w:val="20"/>
              </w:rPr>
            </w:pPr>
            <w:r>
              <w:rPr>
                <w:rFonts w:ascii="黑体" w:hAnsi="黑体" w:cs="黑体" w:eastAsia="黑体" w:hint="default"/>
                <w:sz w:val="20"/>
                <w:szCs w:val="20"/>
              </w:rPr>
              <w:t>处置固定资产、无形资产</w:t>
            </w:r>
            <w:r>
              <w:rPr>
                <w:rFonts w:ascii="Arial" w:hAnsi="Arial" w:cs="Arial" w:eastAsia="Arial" w:hint="default"/>
                <w:sz w:val="20"/>
                <w:szCs w:val="20"/>
              </w:rPr>
              <w:t>(</w:t>
            </w:r>
            <w:r>
              <w:rPr>
                <w:rFonts w:ascii="黑体" w:hAnsi="黑体" w:cs="黑体" w:eastAsia="黑体" w:hint="default"/>
                <w:sz w:val="20"/>
                <w:szCs w:val="20"/>
              </w:rPr>
              <w:t>损失</w:t>
            </w:r>
            <w:r>
              <w:rPr>
                <w:rFonts w:ascii="Arial" w:hAnsi="Arial" w:cs="Arial" w:eastAsia="Arial" w:hint="default"/>
                <w:sz w:val="20"/>
                <w:szCs w:val="20"/>
              </w:rPr>
              <w:t>)/</w:t>
            </w:r>
            <w:r>
              <w:rPr>
                <w:rFonts w:ascii="黑体" w:hAnsi="黑体" w:cs="黑体" w:eastAsia="黑体" w:hint="default"/>
                <w:sz w:val="20"/>
                <w:szCs w:val="20"/>
              </w:rPr>
              <w:t>收益</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1)</w:t>
            </w:r>
          </w:p>
        </w:tc>
        <w:tc>
          <w:tcPr>
            <w:tcW w:w="1801" w:type="dxa"/>
            <w:tcBorders>
              <w:top w:val="nil" w:sz="6" w:space="0" w:color="auto"/>
              <w:left w:val="nil" w:sz="6" w:space="0" w:color="auto"/>
              <w:bottom w:val="nil" w:sz="6" w:space="0" w:color="auto"/>
              <w:right w:val="nil" w:sz="6" w:space="0" w:color="auto"/>
            </w:tcBorders>
          </w:tcPr>
          <w:p>
            <w:pPr>
              <w:pStyle w:val="TableParagraph"/>
              <w:tabs>
                <w:tab w:pos="369" w:val="left" w:leader="none"/>
              </w:tabs>
              <w:spacing w:line="240" w:lineRule="auto" w:before="126"/>
              <w:ind w:right="10"/>
              <w:jc w:val="right"/>
              <w:rPr>
                <w:rFonts w:ascii="Arial" w:hAnsi="Arial" w:cs="Arial" w:eastAsia="Arial" w:hint="default"/>
                <w:sz w:val="20"/>
                <w:szCs w:val="20"/>
              </w:rPr>
            </w:pPr>
            <w:r>
              <w:rPr>
                <w:rFonts w:ascii="Arial"/>
                <w:w w:val="95"/>
                <w:sz w:val="20"/>
              </w:rPr>
              <w:t>(</w:t>
              <w:tab/>
            </w:r>
            <w:r>
              <w:rPr>
                <w:rFonts w:ascii="Arial"/>
                <w:spacing w:val="-1"/>
                <w:w w:val="95"/>
                <w:sz w:val="20"/>
              </w:rPr>
              <w:t>366,001</w:t>
            </w:r>
            <w:r>
              <w:rPr>
                <w:rFonts w:ascii="Arial"/>
                <w:sz w:val="20"/>
              </w:rPr>
            </w:r>
          </w:p>
        </w:tc>
        <w:tc>
          <w:tcPr>
            <w:tcW w:w="366"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9" w:right="0"/>
              <w:jc w:val="left"/>
              <w:rPr>
                <w:rFonts w:ascii="Arial" w:hAnsi="Arial" w:cs="Arial" w:eastAsia="Arial" w:hint="default"/>
                <w:sz w:val="20"/>
                <w:szCs w:val="20"/>
              </w:rPr>
            </w:pPr>
            <w:r>
              <w:rPr>
                <w:rFonts w:ascii="Arial"/>
                <w:w w:val="99"/>
                <w:sz w:val="20"/>
              </w:rPr>
              <w:t>)</w:t>
            </w:r>
            <w:r>
              <w:rPr>
                <w:rFonts w:ascii="Arial"/>
                <w:sz w:val="20"/>
              </w:rPr>
            </w:r>
          </w:p>
        </w:tc>
        <w:tc>
          <w:tcPr>
            <w:tcW w:w="1375" w:type="dxa"/>
            <w:tcBorders>
              <w:top w:val="nil" w:sz="6" w:space="0" w:color="auto"/>
              <w:left w:val="nil" w:sz="6" w:space="0" w:color="auto"/>
              <w:bottom w:val="nil" w:sz="6" w:space="0" w:color="auto"/>
              <w:right w:val="nil" w:sz="6" w:space="0" w:color="auto"/>
            </w:tcBorders>
          </w:tcPr>
          <w:p>
            <w:pPr>
              <w:pStyle w:val="TableParagraph"/>
              <w:tabs>
                <w:tab w:pos="467" w:val="left" w:leader="none"/>
              </w:tabs>
              <w:spacing w:line="240" w:lineRule="auto" w:before="126"/>
              <w:ind w:right="8"/>
              <w:jc w:val="right"/>
              <w:rPr>
                <w:rFonts w:ascii="Arial" w:hAnsi="Arial" w:cs="Arial" w:eastAsia="Arial" w:hint="default"/>
                <w:sz w:val="20"/>
                <w:szCs w:val="20"/>
              </w:rPr>
            </w:pPr>
            <w:r>
              <w:rPr>
                <w:rFonts w:ascii="Arial"/>
                <w:w w:val="95"/>
                <w:sz w:val="20"/>
              </w:rPr>
              <w:t>(</w:t>
              <w:tab/>
            </w:r>
            <w:r>
              <w:rPr>
                <w:rFonts w:ascii="Arial"/>
                <w:spacing w:val="-1"/>
                <w:w w:val="95"/>
                <w:sz w:val="20"/>
              </w:rPr>
              <w:t>87,473</w:t>
            </w:r>
            <w:r>
              <w:rPr>
                <w:rFonts w:ascii="Arial"/>
                <w:sz w:val="20"/>
              </w:rPr>
            </w:r>
          </w:p>
        </w:tc>
        <w:tc>
          <w:tcPr>
            <w:tcW w:w="277"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10" w:right="0"/>
              <w:jc w:val="left"/>
              <w:rPr>
                <w:rFonts w:ascii="Arial" w:hAnsi="Arial" w:cs="Arial" w:eastAsia="Arial" w:hint="default"/>
                <w:sz w:val="20"/>
                <w:szCs w:val="20"/>
              </w:rPr>
            </w:pPr>
            <w:r>
              <w:rPr>
                <w:rFonts w:ascii="Arial"/>
                <w:w w:val="99"/>
                <w:sz w:val="20"/>
              </w:rPr>
              <w:t>)</w:t>
            </w:r>
            <w:r>
              <w:rPr>
                <w:rFonts w:ascii="Arial"/>
                <w:sz w:val="20"/>
              </w:rPr>
            </w:r>
          </w:p>
        </w:tc>
      </w:tr>
      <w:tr>
        <w:trPr>
          <w:trHeight w:val="259" w:hRule="exact"/>
        </w:trPr>
        <w:tc>
          <w:tcPr>
            <w:tcW w:w="4524" w:type="dxa"/>
            <w:tcBorders>
              <w:top w:val="nil" w:sz="6" w:space="0" w:color="auto"/>
              <w:left w:val="nil" w:sz="6" w:space="0" w:color="auto"/>
              <w:bottom w:val="nil" w:sz="6" w:space="0" w:color="auto"/>
              <w:right w:val="nil" w:sz="6" w:space="0" w:color="auto"/>
            </w:tcBorders>
          </w:tcPr>
          <w:p>
            <w:pPr>
              <w:pStyle w:val="TableParagraph"/>
              <w:spacing w:line="224" w:lineRule="exact"/>
              <w:ind w:left="200" w:right="0"/>
              <w:jc w:val="left"/>
              <w:rPr>
                <w:rFonts w:ascii="黑体" w:hAnsi="黑体" w:cs="黑体" w:eastAsia="黑体" w:hint="default"/>
                <w:sz w:val="20"/>
                <w:szCs w:val="20"/>
              </w:rPr>
            </w:pPr>
            <w:r>
              <w:rPr>
                <w:rFonts w:ascii="黑体" w:hAnsi="黑体" w:cs="黑体" w:eastAsia="黑体" w:hint="default"/>
                <w:sz w:val="20"/>
                <w:szCs w:val="20"/>
              </w:rPr>
              <w:t>处置长期股权投资收益</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
              <w:jc w:val="right"/>
              <w:rPr>
                <w:rFonts w:ascii="Arial" w:hAnsi="Arial" w:cs="Arial" w:eastAsia="Arial" w:hint="default"/>
                <w:sz w:val="20"/>
                <w:szCs w:val="20"/>
              </w:rPr>
            </w:pPr>
            <w:r>
              <w:rPr>
                <w:rFonts w:ascii="Arial"/>
                <w:w w:val="99"/>
                <w:sz w:val="20"/>
              </w:rPr>
              <w:t>-</w:t>
            </w:r>
            <w:r>
              <w:rPr>
                <w:rFonts w:ascii="Arial"/>
                <w:sz w:val="20"/>
              </w:rPr>
            </w:r>
          </w:p>
        </w:tc>
        <w:tc>
          <w:tcPr>
            <w:tcW w:w="366"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8"/>
              <w:jc w:val="right"/>
              <w:rPr>
                <w:rFonts w:ascii="Arial" w:hAnsi="Arial" w:cs="Arial" w:eastAsia="Arial" w:hint="default"/>
                <w:sz w:val="20"/>
                <w:szCs w:val="20"/>
              </w:rPr>
            </w:pPr>
            <w:r>
              <w:rPr>
                <w:rFonts w:ascii="Arial"/>
                <w:spacing w:val="-1"/>
                <w:w w:val="95"/>
                <w:sz w:val="20"/>
              </w:rPr>
              <w:t>550,000</w:t>
            </w:r>
            <w:r>
              <w:rPr>
                <w:rFonts w:ascii="Arial"/>
                <w:sz w:val="20"/>
              </w:rPr>
            </w:r>
          </w:p>
        </w:tc>
        <w:tc>
          <w:tcPr>
            <w:tcW w:w="277" w:type="dxa"/>
            <w:tcBorders>
              <w:top w:val="nil" w:sz="6" w:space="0" w:color="auto"/>
              <w:left w:val="nil" w:sz="6" w:space="0" w:color="auto"/>
              <w:bottom w:val="nil" w:sz="6" w:space="0" w:color="auto"/>
              <w:right w:val="nil" w:sz="6" w:space="0" w:color="auto"/>
            </w:tcBorders>
          </w:tcPr>
          <w:p>
            <w:pPr/>
          </w:p>
        </w:tc>
      </w:tr>
      <w:tr>
        <w:trPr>
          <w:trHeight w:val="259" w:hRule="exact"/>
        </w:trPr>
        <w:tc>
          <w:tcPr>
            <w:tcW w:w="4524"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Arial" w:hAnsi="Arial" w:cs="Arial" w:eastAsia="Arial" w:hint="default"/>
                <w:sz w:val="20"/>
                <w:szCs w:val="20"/>
              </w:rPr>
            </w:pPr>
            <w:r>
              <w:rPr>
                <w:rFonts w:ascii="黑体" w:hAnsi="黑体" w:cs="黑体" w:eastAsia="黑体" w:hint="default"/>
                <w:sz w:val="20"/>
                <w:szCs w:val="20"/>
              </w:rPr>
              <w:t>计入当期损益的政府补助</w:t>
            </w:r>
            <w:r>
              <w:rPr>
                <w:rFonts w:ascii="Arial" w:hAnsi="Arial" w:cs="Arial" w:eastAsia="Arial" w:hint="default"/>
                <w:sz w:val="20"/>
                <w:szCs w:val="20"/>
              </w:rPr>
              <w:t>(</w:t>
            </w:r>
            <w:r>
              <w:rPr>
                <w:rFonts w:ascii="黑体" w:hAnsi="黑体" w:cs="黑体" w:eastAsia="黑体" w:hint="default"/>
                <w:sz w:val="20"/>
                <w:szCs w:val="20"/>
              </w:rPr>
              <w:t>注</w:t>
            </w:r>
            <w:r>
              <w:rPr>
                <w:rFonts w:ascii="Arial" w:hAnsi="Arial" w:cs="Arial" w:eastAsia="Arial" w:hint="default"/>
                <w:sz w:val="20"/>
                <w:szCs w:val="20"/>
              </w:rPr>
              <w:t>2)</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7"/>
              <w:jc w:val="right"/>
              <w:rPr>
                <w:rFonts w:ascii="Arial" w:hAnsi="Arial" w:cs="Arial" w:eastAsia="Arial" w:hint="default"/>
                <w:sz w:val="20"/>
                <w:szCs w:val="20"/>
              </w:rPr>
            </w:pPr>
            <w:r>
              <w:rPr>
                <w:rFonts w:ascii="Arial"/>
                <w:spacing w:val="-1"/>
                <w:sz w:val="20"/>
              </w:rPr>
              <w:t>35,693,305</w:t>
            </w:r>
            <w:r>
              <w:rPr>
                <w:rFonts w:ascii="Arial"/>
                <w:sz w:val="20"/>
              </w:rPr>
            </w:r>
          </w:p>
        </w:tc>
        <w:tc>
          <w:tcPr>
            <w:tcW w:w="366"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9"/>
              <w:jc w:val="right"/>
              <w:rPr>
                <w:rFonts w:ascii="Arial" w:hAnsi="Arial" w:cs="Arial" w:eastAsia="Arial" w:hint="default"/>
                <w:sz w:val="20"/>
                <w:szCs w:val="20"/>
              </w:rPr>
            </w:pPr>
            <w:r>
              <w:rPr>
                <w:rFonts w:ascii="Arial"/>
                <w:spacing w:val="-1"/>
                <w:sz w:val="20"/>
              </w:rPr>
              <w:t>48,162,007</w:t>
            </w:r>
            <w:r>
              <w:rPr>
                <w:rFonts w:ascii="Arial"/>
                <w:sz w:val="20"/>
              </w:rPr>
            </w:r>
          </w:p>
        </w:tc>
        <w:tc>
          <w:tcPr>
            <w:tcW w:w="277" w:type="dxa"/>
            <w:tcBorders>
              <w:top w:val="nil" w:sz="6" w:space="0" w:color="auto"/>
              <w:left w:val="nil" w:sz="6" w:space="0" w:color="auto"/>
              <w:bottom w:val="nil" w:sz="6" w:space="0" w:color="auto"/>
              <w:right w:val="nil" w:sz="6" w:space="0" w:color="auto"/>
            </w:tcBorders>
          </w:tcPr>
          <w:p>
            <w:pPr/>
          </w:p>
        </w:tc>
      </w:tr>
      <w:tr>
        <w:trPr>
          <w:trHeight w:val="392" w:hRule="exact"/>
        </w:trPr>
        <w:tc>
          <w:tcPr>
            <w:tcW w:w="4524" w:type="dxa"/>
            <w:tcBorders>
              <w:top w:val="nil" w:sz="6" w:space="0" w:color="auto"/>
              <w:left w:val="nil" w:sz="6" w:space="0" w:color="auto"/>
              <w:bottom w:val="nil" w:sz="6" w:space="0" w:color="auto"/>
              <w:right w:val="nil" w:sz="6" w:space="0" w:color="auto"/>
            </w:tcBorders>
          </w:tcPr>
          <w:p>
            <w:pPr>
              <w:pStyle w:val="TableParagraph"/>
              <w:spacing w:line="224" w:lineRule="exact"/>
              <w:ind w:left="200" w:right="0"/>
              <w:jc w:val="left"/>
              <w:rPr>
                <w:rFonts w:ascii="黑体" w:hAnsi="黑体" w:cs="黑体" w:eastAsia="黑体" w:hint="default"/>
                <w:sz w:val="20"/>
                <w:szCs w:val="20"/>
              </w:rPr>
            </w:pPr>
            <w:r>
              <w:rPr>
                <w:rFonts w:ascii="黑体" w:hAnsi="黑体" w:cs="黑体" w:eastAsia="黑体" w:hint="default"/>
                <w:sz w:val="20"/>
                <w:szCs w:val="20"/>
              </w:rPr>
              <w:t>除上述各项之外的其他营业外收支净额</w:t>
            </w:r>
          </w:p>
        </w:tc>
        <w:tc>
          <w:tcPr>
            <w:tcW w:w="1801" w:type="dxa"/>
            <w:tcBorders>
              <w:top w:val="nil" w:sz="6" w:space="0" w:color="auto"/>
              <w:left w:val="nil" w:sz="6" w:space="0" w:color="auto"/>
              <w:bottom w:val="nil" w:sz="6" w:space="0" w:color="auto"/>
              <w:right w:val="nil" w:sz="6" w:space="0" w:color="auto"/>
            </w:tcBorders>
          </w:tcPr>
          <w:p>
            <w:pPr>
              <w:pStyle w:val="TableParagraph"/>
              <w:tabs>
                <w:tab w:pos="283" w:val="left" w:leader="none"/>
              </w:tabs>
              <w:spacing w:line="240" w:lineRule="auto" w:before="8"/>
              <w:ind w:right="10"/>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z w:val="20"/>
                <w:u w:val="single" w:color="000000"/>
              </w:rPr>
              <w:tab/>
            </w:r>
            <w:r>
              <w:rPr>
                <w:rFonts w:ascii="Arial"/>
                <w:spacing w:val="-1"/>
                <w:w w:val="95"/>
                <w:sz w:val="20"/>
                <w:u w:val="single" w:color="000000"/>
              </w:rPr>
              <w:t>740,911</w:t>
            </w:r>
            <w:r>
              <w:rPr>
                <w:rFonts w:ascii="Arial"/>
                <w:spacing w:val="-1"/>
                <w:w w:val="95"/>
                <w:sz w:val="20"/>
              </w:rPr>
            </w:r>
            <w:r>
              <w:rPr>
                <w:rFonts w:ascii="Arial"/>
                <w:sz w:val="20"/>
              </w:rPr>
            </w:r>
          </w:p>
        </w:tc>
        <w:tc>
          <w:tcPr>
            <w:tcW w:w="366"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
              <w:jc w:val="right"/>
              <w:rPr>
                <w:rFonts w:ascii="Arial" w:hAnsi="Arial" w:cs="Arial" w:eastAsia="Arial" w:hint="default"/>
                <w:sz w:val="20"/>
                <w:szCs w:val="20"/>
              </w:rPr>
            </w:pPr>
            <w:r>
              <w:rPr>
                <w:rFonts w:ascii="Arial"/>
                <w:w w:val="99"/>
                <w:sz w:val="20"/>
              </w:rPr>
            </w:r>
            <w:r>
              <w:rPr>
                <w:rFonts w:ascii="Arial"/>
                <w:w w:val="99"/>
                <w:sz w:val="20"/>
                <w:u w:val="single" w:color="000000"/>
              </w:rPr>
              <w:t> </w:t>
            </w:r>
            <w:r>
              <w:rPr>
                <w:rFonts w:ascii="Arial"/>
                <w:spacing w:val="-11"/>
                <w:sz w:val="20"/>
                <w:u w:val="single" w:color="000000"/>
              </w:rPr>
              <w:t> </w:t>
            </w:r>
            <w:r>
              <w:rPr>
                <w:rFonts w:ascii="Arial"/>
                <w:spacing w:val="-1"/>
                <w:w w:val="95"/>
                <w:sz w:val="20"/>
                <w:u w:val="single" w:color="000000"/>
              </w:rPr>
              <w:t>1,615,284</w:t>
            </w:r>
            <w:r>
              <w:rPr>
                <w:rFonts w:ascii="Arial"/>
                <w:spacing w:val="-1"/>
                <w:w w:val="95"/>
                <w:sz w:val="20"/>
              </w:rPr>
            </w:r>
            <w:r>
              <w:rPr>
                <w:rFonts w:ascii="Arial"/>
                <w:sz w:val="20"/>
              </w:rPr>
            </w:r>
          </w:p>
        </w:tc>
        <w:tc>
          <w:tcPr>
            <w:tcW w:w="277" w:type="dxa"/>
            <w:tcBorders>
              <w:top w:val="nil" w:sz="6" w:space="0" w:color="auto"/>
              <w:left w:val="nil" w:sz="6" w:space="0" w:color="auto"/>
              <w:bottom w:val="nil" w:sz="6" w:space="0" w:color="auto"/>
              <w:right w:val="nil" w:sz="6" w:space="0" w:color="auto"/>
            </w:tcBorders>
          </w:tcPr>
          <w:p>
            <w:pPr/>
          </w:p>
        </w:tc>
      </w:tr>
      <w:tr>
        <w:trPr>
          <w:trHeight w:val="551" w:hRule="exact"/>
        </w:trPr>
        <w:tc>
          <w:tcPr>
            <w:tcW w:w="4524" w:type="dxa"/>
            <w:tcBorders>
              <w:top w:val="nil" w:sz="6" w:space="0" w:color="auto"/>
              <w:left w:val="nil" w:sz="6" w:space="0" w:color="auto"/>
              <w:bottom w:val="nil" w:sz="6" w:space="0" w:color="auto"/>
              <w:right w:val="nil" w:sz="6" w:space="0" w:color="auto"/>
            </w:tcBorders>
          </w:tcPr>
          <w:p>
            <w:pPr>
              <w:pStyle w:val="TableParagraph"/>
              <w:spacing w:line="240" w:lineRule="auto" w:before="96"/>
              <w:ind w:left="200" w:right="0"/>
              <w:jc w:val="left"/>
              <w:rPr>
                <w:rFonts w:ascii="黑体" w:hAnsi="黑体" w:cs="黑体" w:eastAsia="黑体" w:hint="default"/>
                <w:sz w:val="20"/>
                <w:szCs w:val="20"/>
              </w:rPr>
            </w:pPr>
            <w:r>
              <w:rPr>
                <w:rFonts w:ascii="黑体" w:hAnsi="黑体" w:cs="黑体" w:eastAsia="黑体" w:hint="default"/>
                <w:sz w:val="20"/>
                <w:szCs w:val="20"/>
              </w:rPr>
              <w:t>所得税影响数</w:t>
            </w: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9"/>
              <w:jc w:val="right"/>
              <w:rPr>
                <w:rFonts w:ascii="Arial" w:hAnsi="Arial" w:cs="Arial" w:eastAsia="Arial" w:hint="default"/>
                <w:sz w:val="20"/>
                <w:szCs w:val="20"/>
              </w:rPr>
            </w:pPr>
            <w:r>
              <w:rPr>
                <w:rFonts w:ascii="Arial"/>
                <w:sz w:val="20"/>
              </w:rPr>
              <w:t>( </w:t>
            </w:r>
            <w:r>
              <w:rPr>
                <w:rFonts w:ascii="Arial"/>
                <w:spacing w:val="21"/>
                <w:sz w:val="20"/>
              </w:rPr>
              <w:t> </w:t>
            </w:r>
            <w:r>
              <w:rPr>
                <w:rFonts w:ascii="Arial"/>
                <w:spacing w:val="21"/>
                <w:sz w:val="20"/>
                <w:u w:val="single" w:color="000000"/>
              </w:rPr>
              <w:t> </w:t>
            </w:r>
            <w:r>
              <w:rPr>
                <w:rFonts w:ascii="Arial"/>
                <w:sz w:val="20"/>
                <w:u w:val="single" w:color="000000"/>
              </w:rPr>
              <w:t>4,278,146</w:t>
            </w:r>
            <w:r>
              <w:rPr>
                <w:rFonts w:ascii="Arial"/>
                <w:sz w:val="20"/>
              </w:rPr>
            </w:r>
          </w:p>
        </w:tc>
        <w:tc>
          <w:tcPr>
            <w:tcW w:w="366"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9" w:right="0"/>
              <w:jc w:val="left"/>
              <w:rPr>
                <w:rFonts w:ascii="Arial" w:hAnsi="Arial" w:cs="Arial" w:eastAsia="Arial" w:hint="default"/>
                <w:sz w:val="20"/>
                <w:szCs w:val="20"/>
              </w:rPr>
            </w:pPr>
            <w:r>
              <w:rPr>
                <w:rFonts w:ascii="Arial"/>
                <w:w w:val="99"/>
                <w:sz w:val="20"/>
              </w:rPr>
              <w:t>)</w:t>
            </w:r>
            <w:r>
              <w:rPr>
                <w:rFonts w:ascii="Arial"/>
                <w:sz w:val="20"/>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9"/>
              <w:jc w:val="right"/>
              <w:rPr>
                <w:rFonts w:ascii="Arial" w:hAnsi="Arial" w:cs="Arial" w:eastAsia="Arial" w:hint="default"/>
                <w:sz w:val="20"/>
                <w:szCs w:val="20"/>
              </w:rPr>
            </w:pPr>
            <w:r>
              <w:rPr>
                <w:rFonts w:ascii="Arial"/>
                <w:sz w:val="20"/>
              </w:rPr>
              <w:t>(</w:t>
            </w:r>
            <w:r>
              <w:rPr>
                <w:rFonts w:ascii="Arial"/>
                <w:spacing w:val="34"/>
                <w:sz w:val="20"/>
              </w:rPr>
              <w:t> </w:t>
            </w:r>
            <w:r>
              <w:rPr>
                <w:rFonts w:ascii="Arial"/>
                <w:spacing w:val="34"/>
                <w:sz w:val="20"/>
                <w:u w:val="single" w:color="000000"/>
              </w:rPr>
              <w:t> </w:t>
            </w:r>
            <w:r>
              <w:rPr>
                <w:rFonts w:ascii="Arial"/>
                <w:sz w:val="20"/>
                <w:u w:val="single" w:color="000000"/>
              </w:rPr>
              <w:t>5,749,784</w:t>
            </w:r>
            <w:r>
              <w:rPr>
                <w:rFonts w:ascii="Arial"/>
                <w:sz w:val="20"/>
              </w:rPr>
            </w:r>
          </w:p>
        </w:tc>
        <w:tc>
          <w:tcPr>
            <w:tcW w:w="277"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10" w:right="0"/>
              <w:jc w:val="left"/>
              <w:rPr>
                <w:rFonts w:ascii="Arial" w:hAnsi="Arial" w:cs="Arial" w:eastAsia="Arial" w:hint="default"/>
                <w:sz w:val="20"/>
                <w:szCs w:val="20"/>
              </w:rPr>
            </w:pPr>
            <w:r>
              <w:rPr>
                <w:rFonts w:ascii="Arial"/>
                <w:w w:val="99"/>
                <w:sz w:val="20"/>
              </w:rPr>
              <w:t>)</w:t>
            </w:r>
            <w:r>
              <w:rPr>
                <w:rFonts w:ascii="Arial"/>
                <w:sz w:val="20"/>
              </w:rPr>
            </w:r>
          </w:p>
        </w:tc>
      </w:tr>
      <w:tr>
        <w:trPr>
          <w:trHeight w:val="385" w:hRule="exact"/>
        </w:trPr>
        <w:tc>
          <w:tcPr>
            <w:tcW w:w="4524"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0"/>
              <w:jc w:val="right"/>
              <w:rPr>
                <w:rFonts w:ascii="Arial" w:hAnsi="Arial" w:cs="Arial" w:eastAsia="Arial" w:hint="default"/>
                <w:sz w:val="20"/>
                <w:szCs w:val="20"/>
              </w:rPr>
            </w:pPr>
            <w:r>
              <w:rPr>
                <w:rFonts w:ascii="Arial"/>
                <w:w w:val="99"/>
                <w:sz w:val="20"/>
              </w:rPr>
            </w:r>
            <w:r>
              <w:rPr>
                <w:rFonts w:ascii="Arial"/>
                <w:spacing w:val="-1"/>
                <w:sz w:val="20"/>
                <w:u w:val="thick" w:color="000000"/>
              </w:rPr>
              <w:t>31,790,069</w:t>
            </w:r>
            <w:r>
              <w:rPr>
                <w:rFonts w:ascii="Arial"/>
                <w:spacing w:val="-1"/>
                <w:sz w:val="20"/>
              </w:rPr>
            </w:r>
            <w:r>
              <w:rPr>
                <w:rFonts w:ascii="Arial"/>
                <w:sz w:val="20"/>
              </w:rPr>
            </w:r>
          </w:p>
        </w:tc>
        <w:tc>
          <w:tcPr>
            <w:tcW w:w="366"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9"/>
              <w:jc w:val="right"/>
              <w:rPr>
                <w:rFonts w:ascii="Arial" w:hAnsi="Arial" w:cs="Arial" w:eastAsia="Arial" w:hint="default"/>
                <w:sz w:val="20"/>
                <w:szCs w:val="20"/>
              </w:rPr>
            </w:pPr>
            <w:r>
              <w:rPr>
                <w:rFonts w:ascii="Arial"/>
                <w:w w:val="99"/>
                <w:sz w:val="20"/>
              </w:rPr>
            </w:r>
            <w:r>
              <w:rPr>
                <w:rFonts w:ascii="Arial"/>
                <w:spacing w:val="-1"/>
                <w:sz w:val="20"/>
                <w:u w:val="thick" w:color="000000"/>
              </w:rPr>
              <w:t>44,490,034</w:t>
            </w:r>
            <w:r>
              <w:rPr>
                <w:rFonts w:ascii="Arial"/>
                <w:spacing w:val="-1"/>
                <w:sz w:val="20"/>
              </w:rPr>
            </w:r>
            <w:r>
              <w:rPr>
                <w:rFonts w:ascii="Arial"/>
                <w:sz w:val="20"/>
              </w:rPr>
            </w:r>
          </w:p>
        </w:tc>
        <w:tc>
          <w:tcPr>
            <w:tcW w:w="277" w:type="dxa"/>
            <w:tcBorders>
              <w:top w:val="nil" w:sz="6" w:space="0" w:color="auto"/>
              <w:left w:val="nil" w:sz="6" w:space="0" w:color="auto"/>
              <w:bottom w:val="nil" w:sz="6" w:space="0" w:color="auto"/>
              <w:right w:val="nil" w:sz="6" w:space="0" w:color="auto"/>
            </w:tcBorders>
          </w:tcPr>
          <w:p>
            <w:pPr/>
          </w:p>
        </w:tc>
      </w:tr>
    </w:tbl>
    <w:p>
      <w:pPr>
        <w:spacing w:line="240" w:lineRule="auto" w:before="9"/>
        <w:rPr>
          <w:rFonts w:ascii="黑体" w:hAnsi="黑体" w:cs="黑体" w:eastAsia="黑体" w:hint="default"/>
          <w:b/>
          <w:bCs/>
          <w:sz w:val="12"/>
          <w:szCs w:val="12"/>
        </w:rPr>
      </w:pPr>
    </w:p>
    <w:p>
      <w:pPr>
        <w:pStyle w:val="BodyText"/>
        <w:spacing w:line="258" w:lineRule="exact" w:before="37"/>
        <w:ind w:right="232"/>
        <w:jc w:val="left"/>
      </w:pPr>
      <w:r>
        <w:rPr>
          <w:spacing w:val="2"/>
        </w:rPr>
        <w:t>本集团对非经常性损益项目的确认依照《公开发行证券的公司信息披露解释性公告第</w:t>
      </w:r>
      <w:r>
        <w:rPr>
          <w:rFonts w:ascii="Arial" w:hAnsi="Arial" w:cs="Arial" w:eastAsia="Arial" w:hint="default"/>
          <w:spacing w:val="2"/>
        </w:rPr>
        <w:t>1</w:t>
      </w:r>
      <w:r>
        <w:rPr>
          <w:spacing w:val="2"/>
        </w:rPr>
        <w:t>号</w:t>
      </w:r>
    </w:p>
    <w:p>
      <w:pPr>
        <w:pStyle w:val="BodyText"/>
        <w:spacing w:line="258" w:lineRule="exact"/>
        <w:ind w:right="232"/>
        <w:jc w:val="left"/>
      </w:pPr>
      <w:r>
        <w:rPr>
          <w:rFonts w:ascii="Arial" w:hAnsi="Arial" w:cs="Arial" w:eastAsia="Arial" w:hint="default"/>
        </w:rPr>
        <w:t>——</w:t>
      </w:r>
      <w:r>
        <w:rPr/>
        <w:t>非经常性损益》</w:t>
      </w:r>
      <w:r>
        <w:rPr>
          <w:rFonts w:ascii="Arial" w:hAnsi="Arial" w:cs="Arial" w:eastAsia="Arial" w:hint="default"/>
        </w:rPr>
        <w:t>(</w:t>
      </w:r>
      <w:r>
        <w:rPr/>
        <w:t>证监会公告</w:t>
      </w:r>
      <w:r>
        <w:rPr>
          <w:rFonts w:ascii="Arial" w:hAnsi="Arial" w:cs="Arial" w:eastAsia="Arial" w:hint="default"/>
        </w:rPr>
        <w:t>[2008]43</w:t>
      </w:r>
      <w:r>
        <w:rPr/>
        <w:t>号</w:t>
      </w:r>
      <w:r>
        <w:rPr>
          <w:rFonts w:ascii="Arial" w:hAnsi="Arial" w:cs="Arial" w:eastAsia="Arial" w:hint="default"/>
        </w:rPr>
        <w:t>)</w:t>
      </w:r>
      <w:r>
        <w:rPr/>
        <w:t>的规定执行。</w:t>
      </w:r>
    </w:p>
    <w:p>
      <w:pPr>
        <w:pStyle w:val="BodyText"/>
        <w:spacing w:line="240" w:lineRule="auto" w:before="91"/>
        <w:ind w:right="232"/>
        <w:jc w:val="left"/>
      </w:pPr>
      <w:r>
        <w:rPr/>
        <w:t>重大非经常性损益项目注释：</w:t>
      </w:r>
    </w:p>
    <w:p>
      <w:pPr>
        <w:pStyle w:val="BodyText"/>
        <w:spacing w:line="240" w:lineRule="exact" w:before="144"/>
        <w:ind w:right="4476"/>
        <w:jc w:val="left"/>
      </w:pPr>
      <w:r>
        <w:rPr/>
        <w:t>注</w:t>
      </w:r>
      <w:r>
        <w:rPr>
          <w:rFonts w:ascii="Arial" w:hAnsi="Arial" w:cs="Arial" w:eastAsia="Arial" w:hint="default"/>
        </w:rPr>
        <w:t>1</w:t>
      </w:r>
      <w:r>
        <w:rPr/>
        <w:t>．参见已审财务报表附注五、</w:t>
      </w:r>
      <w:r>
        <w:rPr>
          <w:rFonts w:ascii="Arial" w:hAnsi="Arial" w:cs="Arial" w:eastAsia="Arial" w:hint="default"/>
        </w:rPr>
        <w:t>42</w:t>
      </w:r>
      <w:r>
        <w:rPr/>
        <w:t>及</w:t>
      </w:r>
      <w:r>
        <w:rPr>
          <w:rFonts w:ascii="Arial" w:hAnsi="Arial" w:cs="Arial" w:eastAsia="Arial" w:hint="default"/>
        </w:rPr>
        <w:t>43</w:t>
      </w:r>
      <w:r>
        <w:rPr/>
        <w:t>。</w:t>
      </w:r>
      <w:r>
        <w:rPr>
          <w:w w:val="99"/>
        </w:rPr>
        <w:t> </w:t>
      </w:r>
      <w:r>
        <w:rPr/>
        <w:t>注</w:t>
      </w:r>
      <w:r>
        <w:rPr>
          <w:rFonts w:ascii="Arial" w:hAnsi="Arial" w:cs="Arial" w:eastAsia="Arial" w:hint="default"/>
        </w:rPr>
        <w:t>2</w:t>
      </w:r>
      <w:r>
        <w:rPr/>
        <w:t>．参见已审财务报表附注五、</w:t>
      </w:r>
      <w:r>
        <w:rPr>
          <w:rFonts w:ascii="Arial" w:hAnsi="Arial" w:cs="Arial" w:eastAsia="Arial" w:hint="default"/>
        </w:rPr>
        <w:t>42</w:t>
      </w:r>
      <w:r>
        <w:rPr/>
        <w:t>。</w:t>
      </w:r>
    </w:p>
    <w:p>
      <w:pPr>
        <w:spacing w:line="240" w:lineRule="auto" w:before="2"/>
        <w:rPr>
          <w:rFonts w:ascii="黑体" w:hAnsi="黑体" w:cs="黑体" w:eastAsia="黑体" w:hint="default"/>
          <w:sz w:val="26"/>
          <w:szCs w:val="26"/>
        </w:rPr>
      </w:pPr>
    </w:p>
    <w:p>
      <w:pPr>
        <w:pStyle w:val="Heading6"/>
        <w:tabs>
          <w:tab w:pos="821" w:val="left" w:leader="none"/>
        </w:tabs>
        <w:spacing w:line="240" w:lineRule="auto" w:before="0"/>
        <w:ind w:right="232"/>
        <w:jc w:val="left"/>
        <w:rPr>
          <w:b w:val="0"/>
          <w:bCs w:val="0"/>
        </w:rPr>
      </w:pPr>
      <w:r>
        <w:rPr>
          <w:rFonts w:ascii="Arial" w:hAnsi="Arial" w:cs="Arial" w:eastAsia="Arial" w:hint="default"/>
          <w:spacing w:val="-1"/>
          <w:w w:val="95"/>
        </w:rPr>
        <w:t>2</w:t>
      </w:r>
      <w:r>
        <w:rPr>
          <w:spacing w:val="-1"/>
          <w:w w:val="95"/>
        </w:rPr>
        <w:t>、</w:t>
        <w:tab/>
      </w:r>
      <w:r>
        <w:rPr>
          <w:spacing w:val="1"/>
        </w:rPr>
        <w:t>净资产收益率和每股收益</w:t>
      </w:r>
      <w:r>
        <w:rPr>
          <w:b w:val="0"/>
          <w:bCs w:val="0"/>
          <w:spacing w:val="1"/>
        </w:rPr>
      </w:r>
    </w:p>
    <w:p>
      <w:pPr>
        <w:pStyle w:val="BodyText"/>
        <w:spacing w:line="240" w:lineRule="auto" w:before="110"/>
        <w:ind w:right="232"/>
        <w:jc w:val="left"/>
      </w:pPr>
      <w:r>
        <w:rPr>
          <w:rFonts w:ascii="Arial" w:hAnsi="Arial" w:cs="Arial" w:eastAsia="Arial" w:hint="default"/>
        </w:rPr>
        <w:t>2012</w:t>
      </w:r>
      <w:r>
        <w:rPr/>
        <w:t>年</w:t>
      </w:r>
    </w:p>
    <w:p>
      <w:pPr>
        <w:spacing w:line="240" w:lineRule="auto" w:before="0"/>
        <w:rPr>
          <w:rFonts w:ascii="黑体" w:hAnsi="黑体" w:cs="黑体" w:eastAsia="黑体" w:hint="default"/>
          <w:sz w:val="13"/>
          <w:szCs w:val="13"/>
        </w:rPr>
      </w:pPr>
    </w:p>
    <w:tbl>
      <w:tblPr>
        <w:tblW w:w="0" w:type="auto"/>
        <w:jc w:val="left"/>
        <w:tblInd w:w="609" w:type="dxa"/>
        <w:tblLayout w:type="fixed"/>
        <w:tblCellMar>
          <w:top w:w="0" w:type="dxa"/>
          <w:left w:w="0" w:type="dxa"/>
          <w:bottom w:w="0" w:type="dxa"/>
          <w:right w:w="0" w:type="dxa"/>
        </w:tblCellMar>
        <w:tblLook w:val="01E0"/>
      </w:tblPr>
      <w:tblGrid>
        <w:gridCol w:w="3178"/>
        <w:gridCol w:w="2551"/>
        <w:gridCol w:w="288"/>
        <w:gridCol w:w="1344"/>
        <w:gridCol w:w="778"/>
      </w:tblGrid>
      <w:tr>
        <w:trPr>
          <w:trHeight w:val="238" w:hRule="exact"/>
        </w:trPr>
        <w:tc>
          <w:tcPr>
            <w:tcW w:w="5730" w:type="dxa"/>
            <w:gridSpan w:val="2"/>
            <w:tcBorders>
              <w:top w:val="nil" w:sz="6" w:space="0" w:color="auto"/>
              <w:left w:val="nil" w:sz="6" w:space="0" w:color="auto"/>
              <w:bottom w:val="nil" w:sz="6" w:space="0" w:color="auto"/>
              <w:right w:val="nil" w:sz="6" w:space="0" w:color="auto"/>
            </w:tcBorders>
          </w:tcPr>
          <w:p>
            <w:pPr>
              <w:pStyle w:val="TableParagraph"/>
              <w:spacing w:line="214" w:lineRule="exact"/>
              <w:ind w:left="3418" w:right="0"/>
              <w:jc w:val="left"/>
              <w:rPr>
                <w:rFonts w:ascii="Arial" w:hAnsi="Arial" w:cs="Arial" w:eastAsia="Arial" w:hint="default"/>
                <w:sz w:val="20"/>
                <w:szCs w:val="20"/>
              </w:rPr>
            </w:pPr>
            <w:r>
              <w:rPr>
                <w:rFonts w:ascii="黑体" w:hAnsi="黑体" w:cs="黑体" w:eastAsia="黑体" w:hint="default"/>
                <w:w w:val="95"/>
                <w:sz w:val="20"/>
                <w:szCs w:val="20"/>
              </w:rPr>
              <w:t>加权平均净资产收益率</w:t>
            </w:r>
            <w:r>
              <w:rPr>
                <w:rFonts w:ascii="Arial" w:hAnsi="Arial" w:cs="Arial" w:eastAsia="Arial" w:hint="default"/>
                <w:w w:val="95"/>
                <w:sz w:val="20"/>
                <w:szCs w:val="20"/>
              </w:rPr>
              <w:t>(%)</w:t>
            </w:r>
            <w:r>
              <w:rPr>
                <w:rFonts w:ascii="Arial" w:hAnsi="Arial" w:cs="Arial" w:eastAsia="Arial" w:hint="default"/>
                <w:sz w:val="20"/>
                <w:szCs w:val="20"/>
              </w:rPr>
            </w:r>
          </w:p>
        </w:tc>
        <w:tc>
          <w:tcPr>
            <w:tcW w:w="2410" w:type="dxa"/>
            <w:gridSpan w:val="3"/>
            <w:tcBorders>
              <w:top w:val="nil" w:sz="6" w:space="0" w:color="auto"/>
              <w:left w:val="nil" w:sz="6" w:space="0" w:color="auto"/>
              <w:bottom w:val="nil" w:sz="6" w:space="0" w:color="auto"/>
              <w:right w:val="nil" w:sz="6" w:space="0" w:color="auto"/>
            </w:tcBorders>
          </w:tcPr>
          <w:p>
            <w:pPr>
              <w:pStyle w:val="TableParagraph"/>
              <w:spacing w:line="199" w:lineRule="exact"/>
              <w:ind w:left="1000" w:right="0"/>
              <w:jc w:val="left"/>
              <w:rPr>
                <w:rFonts w:ascii="黑体" w:hAnsi="黑体" w:cs="黑体" w:eastAsia="黑体" w:hint="default"/>
                <w:sz w:val="20"/>
                <w:szCs w:val="20"/>
              </w:rPr>
            </w:pPr>
            <w:bookmarkStart w:name="2、 净资产收益率和每股收益" w:id="166"/>
            <w:bookmarkEnd w:id="166"/>
            <w:r>
              <w:rPr/>
            </w:r>
            <w:r>
              <w:rPr>
                <w:rFonts w:ascii="黑体" w:hAnsi="黑体" w:cs="黑体" w:eastAsia="黑体" w:hint="default"/>
                <w:sz w:val="20"/>
                <w:szCs w:val="20"/>
              </w:rPr>
              <w:t>每股收益</w:t>
            </w:r>
          </w:p>
        </w:tc>
      </w:tr>
      <w:tr>
        <w:trPr>
          <w:trHeight w:val="389" w:hRule="exact"/>
        </w:trPr>
        <w:tc>
          <w:tcPr>
            <w:tcW w:w="3178" w:type="dxa"/>
            <w:tcBorders>
              <w:top w:val="nil" w:sz="6" w:space="0" w:color="auto"/>
              <w:left w:val="nil" w:sz="6" w:space="0" w:color="auto"/>
              <w:bottom w:val="nil" w:sz="6" w:space="0" w:color="auto"/>
              <w:right w:val="nil" w:sz="6" w:space="0" w:color="auto"/>
            </w:tcBorders>
          </w:tcPr>
          <w:p>
            <w:pPr/>
          </w:p>
        </w:tc>
        <w:tc>
          <w:tcPr>
            <w:tcW w:w="2551" w:type="dxa"/>
            <w:tcBorders>
              <w:top w:val="single" w:sz="4" w:space="0" w:color="000000"/>
              <w:left w:val="nil" w:sz="6" w:space="0" w:color="auto"/>
              <w:bottom w:val="nil" w:sz="6" w:space="0" w:color="auto"/>
              <w:right w:val="nil" w:sz="6" w:space="0" w:color="auto"/>
            </w:tcBorders>
          </w:tcPr>
          <w:p>
            <w:pPr/>
          </w:p>
        </w:tc>
        <w:tc>
          <w:tcPr>
            <w:tcW w:w="288" w:type="dxa"/>
            <w:tcBorders>
              <w:top w:val="nil" w:sz="6" w:space="0" w:color="auto"/>
              <w:left w:val="nil" w:sz="6" w:space="0" w:color="auto"/>
              <w:bottom w:val="nil" w:sz="6" w:space="0" w:color="auto"/>
              <w:right w:val="nil" w:sz="6" w:space="0" w:color="auto"/>
            </w:tcBorders>
          </w:tcPr>
          <w:p>
            <w:pPr/>
          </w:p>
        </w:tc>
        <w:tc>
          <w:tcPr>
            <w:tcW w:w="1344" w:type="dxa"/>
            <w:tcBorders>
              <w:top w:val="single" w:sz="4" w:space="0" w:color="000000"/>
              <w:left w:val="nil" w:sz="6" w:space="0" w:color="auto"/>
              <w:bottom w:val="nil" w:sz="6" w:space="0" w:color="auto"/>
              <w:right w:val="nil" w:sz="6" w:space="0" w:color="auto"/>
            </w:tcBorders>
          </w:tcPr>
          <w:p>
            <w:pPr>
              <w:pStyle w:val="TableParagraph"/>
              <w:spacing w:line="227" w:lineRule="exact"/>
              <w:ind w:right="359"/>
              <w:jc w:val="right"/>
              <w:rPr>
                <w:rFonts w:ascii="黑体" w:hAnsi="黑体" w:cs="黑体" w:eastAsia="黑体" w:hint="default"/>
                <w:sz w:val="20"/>
                <w:szCs w:val="20"/>
              </w:rPr>
            </w:pPr>
            <w:r>
              <w:rPr>
                <w:rFonts w:ascii="黑体" w:hAnsi="黑体" w:cs="黑体" w:eastAsia="黑体" w:hint="default"/>
                <w:w w:val="95"/>
                <w:sz w:val="20"/>
                <w:szCs w:val="20"/>
              </w:rPr>
              <w:t>基本</w:t>
            </w:r>
            <w:r>
              <w:rPr>
                <w:rFonts w:ascii="黑体" w:hAnsi="黑体" w:cs="黑体" w:eastAsia="黑体" w:hint="default"/>
                <w:sz w:val="20"/>
                <w:szCs w:val="20"/>
              </w:rPr>
            </w:r>
          </w:p>
        </w:tc>
        <w:tc>
          <w:tcPr>
            <w:tcW w:w="778" w:type="dxa"/>
            <w:tcBorders>
              <w:top w:val="single" w:sz="4" w:space="0" w:color="000000"/>
              <w:left w:val="nil" w:sz="6" w:space="0" w:color="auto"/>
              <w:bottom w:val="nil" w:sz="6" w:space="0" w:color="auto"/>
              <w:right w:val="nil" w:sz="6" w:space="0" w:color="auto"/>
            </w:tcBorders>
          </w:tcPr>
          <w:p>
            <w:pPr>
              <w:pStyle w:val="TableParagraph"/>
              <w:spacing w:line="227" w:lineRule="exact"/>
              <w:ind w:right="2"/>
              <w:jc w:val="right"/>
              <w:rPr>
                <w:rFonts w:ascii="黑体" w:hAnsi="黑体" w:cs="黑体" w:eastAsia="黑体" w:hint="default"/>
                <w:sz w:val="20"/>
                <w:szCs w:val="20"/>
              </w:rPr>
            </w:pPr>
            <w:r>
              <w:rPr>
                <w:rFonts w:ascii="黑体" w:hAnsi="黑体" w:cs="黑体" w:eastAsia="黑体" w:hint="default"/>
                <w:w w:val="95"/>
                <w:sz w:val="20"/>
                <w:szCs w:val="20"/>
              </w:rPr>
              <w:t>稀释</w:t>
            </w:r>
            <w:r>
              <w:rPr>
                <w:rFonts w:ascii="黑体" w:hAnsi="黑体" w:cs="黑体" w:eastAsia="黑体" w:hint="default"/>
                <w:sz w:val="20"/>
                <w:szCs w:val="20"/>
              </w:rPr>
            </w:r>
          </w:p>
        </w:tc>
      </w:tr>
      <w:tr>
        <w:trPr>
          <w:trHeight w:val="390" w:hRule="exact"/>
        </w:trPr>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0" w:right="0"/>
              <w:jc w:val="left"/>
              <w:rPr>
                <w:rFonts w:ascii="黑体" w:hAnsi="黑体" w:cs="黑体" w:eastAsia="黑体" w:hint="default"/>
                <w:sz w:val="20"/>
                <w:szCs w:val="20"/>
              </w:rPr>
            </w:pPr>
            <w:r>
              <w:rPr>
                <w:rFonts w:ascii="黑体" w:hAnsi="黑体" w:cs="黑体" w:eastAsia="黑体" w:hint="default"/>
                <w:sz w:val="20"/>
                <w:szCs w:val="20"/>
              </w:rPr>
              <w:t>归属于公司普通股股东的净利润</w:t>
            </w:r>
          </w:p>
        </w:tc>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26"/>
              <w:jc w:val="right"/>
              <w:rPr>
                <w:rFonts w:ascii="Arial" w:hAnsi="Arial" w:cs="Arial" w:eastAsia="Arial" w:hint="default"/>
                <w:sz w:val="20"/>
                <w:szCs w:val="20"/>
              </w:rPr>
            </w:pPr>
            <w:r>
              <w:rPr>
                <w:rFonts w:ascii="Arial"/>
                <w:w w:val="95"/>
                <w:sz w:val="20"/>
              </w:rPr>
              <w:t>12.91</w:t>
            </w:r>
            <w:r>
              <w:rPr>
                <w:rFonts w:ascii="Arial"/>
                <w:sz w:val="20"/>
              </w:rPr>
            </w:r>
          </w:p>
        </w:tc>
        <w:tc>
          <w:tcPr>
            <w:tcW w:w="288"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386"/>
              <w:jc w:val="right"/>
              <w:rPr>
                <w:rFonts w:ascii="Arial" w:hAnsi="Arial" w:cs="Arial" w:eastAsia="Arial" w:hint="default"/>
                <w:sz w:val="20"/>
                <w:szCs w:val="20"/>
              </w:rPr>
            </w:pPr>
            <w:r>
              <w:rPr>
                <w:rFonts w:ascii="Arial"/>
                <w:spacing w:val="-1"/>
                <w:w w:val="95"/>
                <w:sz w:val="20"/>
              </w:rPr>
              <w:t>0.39</w:t>
            </w:r>
            <w:r>
              <w:rPr>
                <w:rFonts w:ascii="Arial"/>
                <w:sz w:val="20"/>
              </w:rPr>
            </w: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38"/>
              <w:ind w:right="29"/>
              <w:jc w:val="right"/>
              <w:rPr>
                <w:rFonts w:ascii="Arial" w:hAnsi="Arial" w:cs="Arial" w:eastAsia="Arial" w:hint="default"/>
                <w:sz w:val="20"/>
                <w:szCs w:val="20"/>
              </w:rPr>
            </w:pPr>
            <w:r>
              <w:rPr>
                <w:rFonts w:ascii="Arial"/>
                <w:spacing w:val="-1"/>
                <w:w w:val="95"/>
                <w:sz w:val="20"/>
              </w:rPr>
              <w:t>0.39</w:t>
            </w:r>
            <w:r>
              <w:rPr>
                <w:rFonts w:ascii="Arial"/>
                <w:sz w:val="20"/>
              </w:rPr>
            </w:r>
          </w:p>
        </w:tc>
      </w:tr>
      <w:tr>
        <w:trPr>
          <w:trHeight w:val="492" w:hRule="exact"/>
        </w:trPr>
        <w:tc>
          <w:tcPr>
            <w:tcW w:w="3178" w:type="dxa"/>
            <w:tcBorders>
              <w:top w:val="nil" w:sz="6" w:space="0" w:color="auto"/>
              <w:left w:val="nil" w:sz="6" w:space="0" w:color="auto"/>
              <w:bottom w:val="nil" w:sz="6" w:space="0" w:color="auto"/>
              <w:right w:val="nil" w:sz="6" w:space="0" w:color="auto"/>
            </w:tcBorders>
          </w:tcPr>
          <w:p>
            <w:pPr>
              <w:pStyle w:val="TableParagraph"/>
              <w:spacing w:line="224" w:lineRule="exact"/>
              <w:ind w:left="200" w:right="0"/>
              <w:jc w:val="left"/>
              <w:rPr>
                <w:rFonts w:ascii="黑体" w:hAnsi="黑体" w:cs="黑体" w:eastAsia="黑体" w:hint="default"/>
                <w:sz w:val="20"/>
                <w:szCs w:val="20"/>
              </w:rPr>
            </w:pPr>
            <w:r>
              <w:rPr>
                <w:rFonts w:ascii="黑体" w:hAnsi="黑体" w:cs="黑体" w:eastAsia="黑体" w:hint="default"/>
                <w:sz w:val="20"/>
                <w:szCs w:val="20"/>
              </w:rPr>
              <w:t>扣除非经常性损益后归属于公司</w:t>
            </w:r>
          </w:p>
          <w:p>
            <w:pPr>
              <w:pStyle w:val="TableParagraph"/>
              <w:spacing w:line="260" w:lineRule="exact"/>
              <w:ind w:left="300" w:right="0"/>
              <w:jc w:val="left"/>
              <w:rPr>
                <w:rFonts w:ascii="黑体" w:hAnsi="黑体" w:cs="黑体" w:eastAsia="黑体" w:hint="default"/>
                <w:sz w:val="20"/>
                <w:szCs w:val="20"/>
              </w:rPr>
            </w:pPr>
            <w:r>
              <w:rPr>
                <w:rFonts w:ascii="黑体" w:hAnsi="黑体" w:cs="黑体" w:eastAsia="黑体" w:hint="default"/>
                <w:sz w:val="20"/>
                <w:szCs w:val="20"/>
              </w:rPr>
              <w:t>普通股股东的净利润</w:t>
            </w:r>
          </w:p>
        </w:tc>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0"/>
                <w:szCs w:val="20"/>
              </w:rPr>
            </w:pPr>
          </w:p>
          <w:p>
            <w:pPr>
              <w:pStyle w:val="TableParagraph"/>
              <w:spacing w:line="240" w:lineRule="auto"/>
              <w:ind w:right="29"/>
              <w:jc w:val="right"/>
              <w:rPr>
                <w:rFonts w:ascii="Arial" w:hAnsi="Arial" w:cs="Arial" w:eastAsia="Arial" w:hint="default"/>
                <w:sz w:val="20"/>
                <w:szCs w:val="20"/>
              </w:rPr>
            </w:pPr>
            <w:r>
              <w:rPr>
                <w:rFonts w:ascii="Arial"/>
                <w:spacing w:val="-1"/>
                <w:sz w:val="20"/>
              </w:rPr>
              <w:t>11.83</w:t>
            </w:r>
          </w:p>
        </w:tc>
        <w:tc>
          <w:tcPr>
            <w:tcW w:w="288"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0"/>
                <w:szCs w:val="20"/>
              </w:rPr>
            </w:pPr>
          </w:p>
          <w:p>
            <w:pPr>
              <w:pStyle w:val="TableParagraph"/>
              <w:spacing w:line="240" w:lineRule="auto"/>
              <w:ind w:right="386"/>
              <w:jc w:val="right"/>
              <w:rPr>
                <w:rFonts w:ascii="Arial" w:hAnsi="Arial" w:cs="Arial" w:eastAsia="Arial" w:hint="default"/>
                <w:sz w:val="20"/>
                <w:szCs w:val="20"/>
              </w:rPr>
            </w:pPr>
            <w:r>
              <w:rPr>
                <w:rFonts w:ascii="Arial"/>
                <w:spacing w:val="-1"/>
                <w:w w:val="95"/>
                <w:sz w:val="20"/>
              </w:rPr>
              <w:t>0.36</w:t>
            </w:r>
            <w:r>
              <w:rPr>
                <w:rFonts w:ascii="Arial"/>
                <w:sz w:val="20"/>
              </w:rPr>
            </w: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黑体" w:hAnsi="黑体" w:cs="黑体" w:eastAsia="黑体" w:hint="default"/>
                <w:sz w:val="20"/>
                <w:szCs w:val="20"/>
              </w:rPr>
            </w:pPr>
          </w:p>
          <w:p>
            <w:pPr>
              <w:pStyle w:val="TableParagraph"/>
              <w:spacing w:line="240" w:lineRule="auto"/>
              <w:ind w:right="29"/>
              <w:jc w:val="right"/>
              <w:rPr>
                <w:rFonts w:ascii="Arial" w:hAnsi="Arial" w:cs="Arial" w:eastAsia="Arial" w:hint="default"/>
                <w:sz w:val="20"/>
                <w:szCs w:val="20"/>
              </w:rPr>
            </w:pPr>
            <w:r>
              <w:rPr>
                <w:rFonts w:ascii="Arial"/>
                <w:spacing w:val="-1"/>
                <w:w w:val="95"/>
                <w:sz w:val="20"/>
              </w:rPr>
              <w:t>0.36</w:t>
            </w:r>
            <w:r>
              <w:rPr>
                <w:rFonts w:ascii="Arial"/>
                <w:sz w:val="20"/>
              </w:rPr>
            </w:r>
          </w:p>
        </w:tc>
      </w:tr>
    </w:tbl>
    <w:p>
      <w:pPr>
        <w:spacing w:line="240" w:lineRule="auto" w:before="13"/>
        <w:rPr>
          <w:rFonts w:ascii="黑体" w:hAnsi="黑体" w:cs="黑体" w:eastAsia="黑体" w:hint="default"/>
          <w:sz w:val="13"/>
          <w:szCs w:val="13"/>
        </w:rPr>
      </w:pPr>
    </w:p>
    <w:p>
      <w:pPr>
        <w:pStyle w:val="BodyText"/>
        <w:spacing w:line="240" w:lineRule="auto" w:before="37"/>
        <w:ind w:right="232"/>
        <w:jc w:val="left"/>
      </w:pPr>
      <w:r>
        <w:rPr>
          <w:rFonts w:ascii="Arial" w:hAnsi="Arial" w:cs="Arial" w:eastAsia="Arial" w:hint="default"/>
        </w:rPr>
        <w:t>2011</w:t>
      </w:r>
      <w:r>
        <w:rPr/>
        <w:t>年</w:t>
      </w:r>
    </w:p>
    <w:p>
      <w:pPr>
        <w:spacing w:line="240" w:lineRule="auto" w:before="1"/>
        <w:rPr>
          <w:rFonts w:ascii="黑体" w:hAnsi="黑体" w:cs="黑体" w:eastAsia="黑体" w:hint="default"/>
          <w:sz w:val="21"/>
          <w:szCs w:val="21"/>
        </w:rPr>
      </w:pPr>
    </w:p>
    <w:tbl>
      <w:tblPr>
        <w:tblW w:w="0" w:type="auto"/>
        <w:jc w:val="left"/>
        <w:tblInd w:w="609" w:type="dxa"/>
        <w:tblLayout w:type="fixed"/>
        <w:tblCellMar>
          <w:top w:w="0" w:type="dxa"/>
          <w:left w:w="0" w:type="dxa"/>
          <w:bottom w:w="0" w:type="dxa"/>
          <w:right w:w="0" w:type="dxa"/>
        </w:tblCellMar>
        <w:tblLook w:val="01E0"/>
      </w:tblPr>
      <w:tblGrid>
        <w:gridCol w:w="3178"/>
        <w:gridCol w:w="2551"/>
        <w:gridCol w:w="288"/>
        <w:gridCol w:w="1344"/>
        <w:gridCol w:w="778"/>
      </w:tblGrid>
      <w:tr>
        <w:trPr>
          <w:trHeight w:val="238" w:hRule="exact"/>
        </w:trPr>
        <w:tc>
          <w:tcPr>
            <w:tcW w:w="5730" w:type="dxa"/>
            <w:gridSpan w:val="2"/>
            <w:tcBorders>
              <w:top w:val="nil" w:sz="6" w:space="0" w:color="auto"/>
              <w:left w:val="nil" w:sz="6" w:space="0" w:color="auto"/>
              <w:bottom w:val="nil" w:sz="6" w:space="0" w:color="auto"/>
              <w:right w:val="nil" w:sz="6" w:space="0" w:color="auto"/>
            </w:tcBorders>
          </w:tcPr>
          <w:p>
            <w:pPr>
              <w:pStyle w:val="TableParagraph"/>
              <w:spacing w:line="214" w:lineRule="exact"/>
              <w:ind w:left="3418" w:right="0"/>
              <w:jc w:val="left"/>
              <w:rPr>
                <w:rFonts w:ascii="Arial" w:hAnsi="Arial" w:cs="Arial" w:eastAsia="Arial" w:hint="default"/>
                <w:sz w:val="20"/>
                <w:szCs w:val="20"/>
              </w:rPr>
            </w:pPr>
            <w:r>
              <w:rPr>
                <w:rFonts w:ascii="黑体" w:hAnsi="黑体" w:cs="黑体" w:eastAsia="黑体" w:hint="default"/>
                <w:w w:val="95"/>
                <w:sz w:val="20"/>
                <w:szCs w:val="20"/>
              </w:rPr>
              <w:t>加权平均净资产收益率</w:t>
            </w:r>
            <w:r>
              <w:rPr>
                <w:rFonts w:ascii="Arial" w:hAnsi="Arial" w:cs="Arial" w:eastAsia="Arial" w:hint="default"/>
                <w:w w:val="95"/>
                <w:sz w:val="20"/>
                <w:szCs w:val="20"/>
              </w:rPr>
              <w:t>(%)</w:t>
            </w:r>
            <w:r>
              <w:rPr>
                <w:rFonts w:ascii="Arial" w:hAnsi="Arial" w:cs="Arial" w:eastAsia="Arial" w:hint="default"/>
                <w:sz w:val="20"/>
                <w:szCs w:val="20"/>
              </w:rPr>
            </w:r>
          </w:p>
        </w:tc>
        <w:tc>
          <w:tcPr>
            <w:tcW w:w="2410" w:type="dxa"/>
            <w:gridSpan w:val="3"/>
            <w:tcBorders>
              <w:top w:val="nil" w:sz="6" w:space="0" w:color="auto"/>
              <w:left w:val="nil" w:sz="6" w:space="0" w:color="auto"/>
              <w:bottom w:val="nil" w:sz="6" w:space="0" w:color="auto"/>
              <w:right w:val="nil" w:sz="6" w:space="0" w:color="auto"/>
            </w:tcBorders>
          </w:tcPr>
          <w:p>
            <w:pPr>
              <w:pStyle w:val="TableParagraph"/>
              <w:spacing w:line="199" w:lineRule="exact"/>
              <w:ind w:left="1000" w:right="0"/>
              <w:jc w:val="left"/>
              <w:rPr>
                <w:rFonts w:ascii="黑体" w:hAnsi="黑体" w:cs="黑体" w:eastAsia="黑体" w:hint="default"/>
                <w:sz w:val="20"/>
                <w:szCs w:val="20"/>
              </w:rPr>
            </w:pPr>
            <w:r>
              <w:rPr>
                <w:rFonts w:ascii="黑体" w:hAnsi="黑体" w:cs="黑体" w:eastAsia="黑体" w:hint="default"/>
                <w:sz w:val="20"/>
                <w:szCs w:val="20"/>
              </w:rPr>
              <w:t>每股收益</w:t>
            </w:r>
          </w:p>
        </w:tc>
      </w:tr>
      <w:tr>
        <w:trPr>
          <w:trHeight w:val="387" w:hRule="exact"/>
        </w:trPr>
        <w:tc>
          <w:tcPr>
            <w:tcW w:w="3178" w:type="dxa"/>
            <w:tcBorders>
              <w:top w:val="nil" w:sz="6" w:space="0" w:color="auto"/>
              <w:left w:val="nil" w:sz="6" w:space="0" w:color="auto"/>
              <w:bottom w:val="nil" w:sz="6" w:space="0" w:color="auto"/>
              <w:right w:val="nil" w:sz="6" w:space="0" w:color="auto"/>
            </w:tcBorders>
          </w:tcPr>
          <w:p>
            <w:pPr/>
          </w:p>
        </w:tc>
        <w:tc>
          <w:tcPr>
            <w:tcW w:w="2551" w:type="dxa"/>
            <w:tcBorders>
              <w:top w:val="single" w:sz="4" w:space="0" w:color="000000"/>
              <w:left w:val="nil" w:sz="6" w:space="0" w:color="auto"/>
              <w:bottom w:val="nil" w:sz="6" w:space="0" w:color="auto"/>
              <w:right w:val="nil" w:sz="6" w:space="0" w:color="auto"/>
            </w:tcBorders>
          </w:tcPr>
          <w:p>
            <w:pPr/>
          </w:p>
        </w:tc>
        <w:tc>
          <w:tcPr>
            <w:tcW w:w="288" w:type="dxa"/>
            <w:tcBorders>
              <w:top w:val="nil" w:sz="6" w:space="0" w:color="auto"/>
              <w:left w:val="nil" w:sz="6" w:space="0" w:color="auto"/>
              <w:bottom w:val="nil" w:sz="6" w:space="0" w:color="auto"/>
              <w:right w:val="nil" w:sz="6" w:space="0" w:color="auto"/>
            </w:tcBorders>
          </w:tcPr>
          <w:p>
            <w:pPr/>
          </w:p>
        </w:tc>
        <w:tc>
          <w:tcPr>
            <w:tcW w:w="1344" w:type="dxa"/>
            <w:tcBorders>
              <w:top w:val="single" w:sz="4" w:space="0" w:color="000000"/>
              <w:left w:val="nil" w:sz="6" w:space="0" w:color="auto"/>
              <w:bottom w:val="nil" w:sz="6" w:space="0" w:color="auto"/>
              <w:right w:val="nil" w:sz="6" w:space="0" w:color="auto"/>
            </w:tcBorders>
          </w:tcPr>
          <w:p>
            <w:pPr>
              <w:pStyle w:val="TableParagraph"/>
              <w:spacing w:line="225" w:lineRule="exact"/>
              <w:ind w:right="359"/>
              <w:jc w:val="right"/>
              <w:rPr>
                <w:rFonts w:ascii="黑体" w:hAnsi="黑体" w:cs="黑体" w:eastAsia="黑体" w:hint="default"/>
                <w:sz w:val="20"/>
                <w:szCs w:val="20"/>
              </w:rPr>
            </w:pPr>
            <w:r>
              <w:rPr>
                <w:rFonts w:ascii="黑体" w:hAnsi="黑体" w:cs="黑体" w:eastAsia="黑体" w:hint="default"/>
                <w:w w:val="95"/>
                <w:sz w:val="20"/>
                <w:szCs w:val="20"/>
              </w:rPr>
              <w:t>基本</w:t>
            </w:r>
            <w:r>
              <w:rPr>
                <w:rFonts w:ascii="黑体" w:hAnsi="黑体" w:cs="黑体" w:eastAsia="黑体" w:hint="default"/>
                <w:sz w:val="20"/>
                <w:szCs w:val="20"/>
              </w:rPr>
            </w:r>
          </w:p>
        </w:tc>
        <w:tc>
          <w:tcPr>
            <w:tcW w:w="778" w:type="dxa"/>
            <w:tcBorders>
              <w:top w:val="single" w:sz="4" w:space="0" w:color="000000"/>
              <w:left w:val="nil" w:sz="6" w:space="0" w:color="auto"/>
              <w:bottom w:val="nil" w:sz="6" w:space="0" w:color="auto"/>
              <w:right w:val="nil" w:sz="6" w:space="0" w:color="auto"/>
            </w:tcBorders>
          </w:tcPr>
          <w:p>
            <w:pPr>
              <w:pStyle w:val="TableParagraph"/>
              <w:spacing w:line="225" w:lineRule="exact"/>
              <w:ind w:right="2"/>
              <w:jc w:val="right"/>
              <w:rPr>
                <w:rFonts w:ascii="黑体" w:hAnsi="黑体" w:cs="黑体" w:eastAsia="黑体" w:hint="default"/>
                <w:sz w:val="20"/>
                <w:szCs w:val="20"/>
              </w:rPr>
            </w:pPr>
            <w:r>
              <w:rPr>
                <w:rFonts w:ascii="黑体" w:hAnsi="黑体" w:cs="黑体" w:eastAsia="黑体" w:hint="default"/>
                <w:w w:val="95"/>
                <w:sz w:val="20"/>
                <w:szCs w:val="20"/>
              </w:rPr>
              <w:t>稀释</w:t>
            </w:r>
            <w:r>
              <w:rPr>
                <w:rFonts w:ascii="黑体" w:hAnsi="黑体" w:cs="黑体" w:eastAsia="黑体" w:hint="default"/>
                <w:sz w:val="20"/>
                <w:szCs w:val="20"/>
              </w:rPr>
            </w:r>
          </w:p>
        </w:tc>
      </w:tr>
      <w:tr>
        <w:trPr>
          <w:trHeight w:val="391" w:hRule="exact"/>
        </w:trPr>
        <w:tc>
          <w:tcPr>
            <w:tcW w:w="317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0" w:right="0"/>
              <w:jc w:val="left"/>
              <w:rPr>
                <w:rFonts w:ascii="黑体" w:hAnsi="黑体" w:cs="黑体" w:eastAsia="黑体" w:hint="default"/>
                <w:sz w:val="20"/>
                <w:szCs w:val="20"/>
              </w:rPr>
            </w:pPr>
            <w:r>
              <w:rPr>
                <w:rFonts w:ascii="黑体" w:hAnsi="黑体" w:cs="黑体" w:eastAsia="黑体" w:hint="default"/>
                <w:sz w:val="20"/>
                <w:szCs w:val="20"/>
              </w:rPr>
              <w:t>归属于公司普通股股东的净利润</w:t>
            </w:r>
          </w:p>
        </w:tc>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9"/>
              <w:jc w:val="right"/>
              <w:rPr>
                <w:rFonts w:ascii="Arial" w:hAnsi="Arial" w:cs="Arial" w:eastAsia="Arial" w:hint="default"/>
                <w:sz w:val="20"/>
                <w:szCs w:val="20"/>
              </w:rPr>
            </w:pPr>
            <w:r>
              <w:rPr>
                <w:rFonts w:ascii="Arial"/>
                <w:spacing w:val="-1"/>
                <w:sz w:val="20"/>
              </w:rPr>
              <w:t>19.82</w:t>
            </w:r>
          </w:p>
        </w:tc>
        <w:tc>
          <w:tcPr>
            <w:tcW w:w="288"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386"/>
              <w:jc w:val="right"/>
              <w:rPr>
                <w:rFonts w:ascii="Arial" w:hAnsi="Arial" w:cs="Arial" w:eastAsia="Arial" w:hint="default"/>
                <w:sz w:val="20"/>
                <w:szCs w:val="20"/>
              </w:rPr>
            </w:pPr>
            <w:r>
              <w:rPr>
                <w:rFonts w:ascii="Arial"/>
                <w:spacing w:val="-1"/>
                <w:w w:val="95"/>
                <w:sz w:val="20"/>
              </w:rPr>
              <w:t>0.55</w:t>
            </w:r>
            <w:r>
              <w:rPr>
                <w:rFonts w:ascii="Arial"/>
                <w:sz w:val="20"/>
              </w:rPr>
            </w: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9"/>
              <w:jc w:val="right"/>
              <w:rPr>
                <w:rFonts w:ascii="Arial" w:hAnsi="Arial" w:cs="Arial" w:eastAsia="Arial" w:hint="default"/>
                <w:sz w:val="20"/>
                <w:szCs w:val="20"/>
              </w:rPr>
            </w:pPr>
            <w:r>
              <w:rPr>
                <w:rFonts w:ascii="Arial"/>
                <w:spacing w:val="-1"/>
                <w:w w:val="95"/>
                <w:sz w:val="20"/>
              </w:rPr>
              <w:t>0.55</w:t>
            </w:r>
            <w:r>
              <w:rPr>
                <w:rFonts w:ascii="Arial"/>
                <w:sz w:val="20"/>
              </w:rPr>
            </w:r>
          </w:p>
        </w:tc>
      </w:tr>
      <w:tr>
        <w:trPr>
          <w:trHeight w:val="493" w:hRule="exact"/>
        </w:trPr>
        <w:tc>
          <w:tcPr>
            <w:tcW w:w="3178" w:type="dxa"/>
            <w:tcBorders>
              <w:top w:val="nil" w:sz="6" w:space="0" w:color="auto"/>
              <w:left w:val="nil" w:sz="6" w:space="0" w:color="auto"/>
              <w:bottom w:val="nil" w:sz="6" w:space="0" w:color="auto"/>
              <w:right w:val="nil" w:sz="6" w:space="0" w:color="auto"/>
            </w:tcBorders>
          </w:tcPr>
          <w:p>
            <w:pPr>
              <w:pStyle w:val="TableParagraph"/>
              <w:spacing w:line="224" w:lineRule="exact"/>
              <w:ind w:left="200" w:right="0"/>
              <w:jc w:val="left"/>
              <w:rPr>
                <w:rFonts w:ascii="黑体" w:hAnsi="黑体" w:cs="黑体" w:eastAsia="黑体" w:hint="default"/>
                <w:sz w:val="20"/>
                <w:szCs w:val="20"/>
              </w:rPr>
            </w:pPr>
            <w:r>
              <w:rPr>
                <w:rFonts w:ascii="黑体" w:hAnsi="黑体" w:cs="黑体" w:eastAsia="黑体" w:hint="default"/>
                <w:sz w:val="20"/>
                <w:szCs w:val="20"/>
              </w:rPr>
              <w:t>扣除非经常性损益后归属于公司</w:t>
            </w:r>
          </w:p>
          <w:p>
            <w:pPr>
              <w:pStyle w:val="TableParagraph"/>
              <w:spacing w:line="240" w:lineRule="auto"/>
              <w:ind w:left="300" w:right="0"/>
              <w:jc w:val="left"/>
              <w:rPr>
                <w:rFonts w:ascii="黑体" w:hAnsi="黑体" w:cs="黑体" w:eastAsia="黑体" w:hint="default"/>
                <w:sz w:val="20"/>
                <w:szCs w:val="20"/>
              </w:rPr>
            </w:pPr>
            <w:r>
              <w:rPr>
                <w:rFonts w:ascii="黑体" w:hAnsi="黑体" w:cs="黑体" w:eastAsia="黑体" w:hint="default"/>
                <w:sz w:val="20"/>
                <w:szCs w:val="20"/>
              </w:rPr>
              <w:t>普通股股东的净利润</w:t>
            </w:r>
          </w:p>
        </w:tc>
        <w:tc>
          <w:tcPr>
            <w:tcW w:w="255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0"/>
                <w:szCs w:val="20"/>
              </w:rPr>
            </w:pPr>
          </w:p>
          <w:p>
            <w:pPr>
              <w:pStyle w:val="TableParagraph"/>
              <w:spacing w:line="240" w:lineRule="auto"/>
              <w:ind w:right="29"/>
              <w:jc w:val="right"/>
              <w:rPr>
                <w:rFonts w:ascii="Arial" w:hAnsi="Arial" w:cs="Arial" w:eastAsia="Arial" w:hint="default"/>
                <w:sz w:val="20"/>
                <w:szCs w:val="20"/>
              </w:rPr>
            </w:pPr>
            <w:r>
              <w:rPr>
                <w:rFonts w:ascii="Arial"/>
                <w:spacing w:val="-1"/>
                <w:sz w:val="20"/>
              </w:rPr>
              <w:t>18.18</w:t>
            </w:r>
          </w:p>
        </w:tc>
        <w:tc>
          <w:tcPr>
            <w:tcW w:w="288" w:type="dxa"/>
            <w:tcBorders>
              <w:top w:val="nil" w:sz="6" w:space="0" w:color="auto"/>
              <w:left w:val="nil" w:sz="6" w:space="0" w:color="auto"/>
              <w:bottom w:val="nil" w:sz="6" w:space="0" w:color="auto"/>
              <w:right w:val="nil" w:sz="6" w:space="0" w:color="auto"/>
            </w:tcBorders>
          </w:tcPr>
          <w:p>
            <w:pP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0"/>
                <w:szCs w:val="20"/>
              </w:rPr>
            </w:pPr>
          </w:p>
          <w:p>
            <w:pPr>
              <w:pStyle w:val="TableParagraph"/>
              <w:spacing w:line="240" w:lineRule="auto"/>
              <w:ind w:right="386"/>
              <w:jc w:val="right"/>
              <w:rPr>
                <w:rFonts w:ascii="Arial" w:hAnsi="Arial" w:cs="Arial" w:eastAsia="Arial" w:hint="default"/>
                <w:sz w:val="20"/>
                <w:szCs w:val="20"/>
              </w:rPr>
            </w:pPr>
            <w:r>
              <w:rPr>
                <w:rFonts w:ascii="Arial"/>
                <w:spacing w:val="-1"/>
                <w:w w:val="95"/>
                <w:sz w:val="20"/>
              </w:rPr>
              <w:t>0.50</w:t>
            </w:r>
            <w:r>
              <w:rPr>
                <w:rFonts w:ascii="Arial"/>
                <w:sz w:val="20"/>
              </w:rPr>
            </w: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黑体" w:hAnsi="黑体" w:cs="黑体" w:eastAsia="黑体" w:hint="default"/>
                <w:sz w:val="20"/>
                <w:szCs w:val="20"/>
              </w:rPr>
            </w:pPr>
          </w:p>
          <w:p>
            <w:pPr>
              <w:pStyle w:val="TableParagraph"/>
              <w:spacing w:line="240" w:lineRule="auto"/>
              <w:ind w:right="29"/>
              <w:jc w:val="right"/>
              <w:rPr>
                <w:rFonts w:ascii="Arial" w:hAnsi="Arial" w:cs="Arial" w:eastAsia="Arial" w:hint="default"/>
                <w:sz w:val="20"/>
                <w:szCs w:val="20"/>
              </w:rPr>
            </w:pPr>
            <w:r>
              <w:rPr>
                <w:rFonts w:ascii="Arial"/>
                <w:spacing w:val="-1"/>
                <w:w w:val="95"/>
                <w:sz w:val="20"/>
              </w:rPr>
              <w:t>0.50</w:t>
            </w:r>
            <w:r>
              <w:rPr>
                <w:rFonts w:ascii="Arial"/>
                <w:sz w:val="20"/>
              </w:rPr>
            </w:r>
          </w:p>
        </w:tc>
      </w:tr>
    </w:tbl>
    <w:p>
      <w:pPr>
        <w:spacing w:line="240" w:lineRule="auto" w:before="10"/>
        <w:rPr>
          <w:rFonts w:ascii="黑体" w:hAnsi="黑体" w:cs="黑体" w:eastAsia="黑体" w:hint="default"/>
          <w:sz w:val="13"/>
          <w:szCs w:val="13"/>
        </w:rPr>
      </w:pPr>
    </w:p>
    <w:p>
      <w:pPr>
        <w:pStyle w:val="BodyText"/>
        <w:spacing w:line="240" w:lineRule="auto" w:before="37"/>
        <w:ind w:left="802" w:right="232"/>
        <w:jc w:val="left"/>
      </w:pPr>
      <w:r>
        <w:rPr/>
        <w:t>本公司无稀释性潜在普通股。</w:t>
      </w:r>
    </w:p>
    <w:p>
      <w:pPr>
        <w:spacing w:after="0" w:line="240" w:lineRule="auto"/>
        <w:jc w:val="left"/>
        <w:sectPr>
          <w:headerReference w:type="default" r:id="rId79"/>
          <w:footerReference w:type="default" r:id="rId80"/>
          <w:pgSz w:w="11910" w:h="16850"/>
          <w:pgMar w:header="957" w:footer="746" w:top="2600" w:bottom="940" w:left="1600" w:right="1240"/>
          <w:pgNumType w:start="167"/>
        </w:sectPr>
      </w:pPr>
    </w:p>
    <w:p>
      <w:pPr>
        <w:spacing w:line="240" w:lineRule="auto" w:before="1"/>
        <w:rPr>
          <w:rFonts w:ascii="黑体" w:hAnsi="黑体" w:cs="黑体" w:eastAsia="黑体" w:hint="default"/>
          <w:sz w:val="20"/>
          <w:szCs w:val="20"/>
        </w:rPr>
      </w:pPr>
    </w:p>
    <w:p>
      <w:pPr>
        <w:pStyle w:val="Heading6"/>
        <w:tabs>
          <w:tab w:pos="816" w:val="left" w:leader="none"/>
        </w:tabs>
        <w:spacing w:line="240" w:lineRule="auto"/>
        <w:ind w:right="3627"/>
        <w:jc w:val="left"/>
        <w:rPr>
          <w:b w:val="0"/>
          <w:bCs w:val="0"/>
        </w:rPr>
      </w:pPr>
      <w:r>
        <w:rPr>
          <w:rFonts w:ascii="Arial" w:hAnsi="Arial" w:cs="Arial" w:eastAsia="Arial" w:hint="default"/>
          <w:spacing w:val="-1"/>
          <w:w w:val="95"/>
        </w:rPr>
        <w:t>3</w:t>
      </w:r>
      <w:r>
        <w:rPr>
          <w:spacing w:val="-1"/>
          <w:w w:val="95"/>
        </w:rPr>
        <w:t>、</w:t>
        <w:tab/>
      </w:r>
      <w:r>
        <w:rPr>
          <w:spacing w:val="1"/>
        </w:rPr>
        <w:t>财务报表项目数据的变动分析</w:t>
      </w:r>
      <w:r>
        <w:rPr>
          <w:b w:val="0"/>
          <w:bCs w:val="0"/>
          <w:spacing w:val="1"/>
        </w:rPr>
      </w:r>
    </w:p>
    <w:p>
      <w:pPr>
        <w:spacing w:line="240" w:lineRule="auto" w:before="4"/>
        <w:rPr>
          <w:rFonts w:ascii="黑体" w:hAnsi="黑体" w:cs="黑体" w:eastAsia="黑体" w:hint="default"/>
          <w:b/>
          <w:bCs/>
          <w:sz w:val="16"/>
          <w:szCs w:val="16"/>
        </w:rPr>
      </w:pPr>
    </w:p>
    <w:p>
      <w:pPr>
        <w:pStyle w:val="BodyText"/>
        <w:spacing w:line="268" w:lineRule="exact"/>
        <w:ind w:right="194"/>
        <w:jc w:val="left"/>
      </w:pPr>
      <w:r>
        <w:rPr>
          <w:w w:val="99"/>
        </w:rPr>
        <w:t>合并财</w:t>
      </w:r>
      <w:r>
        <w:rPr>
          <w:spacing w:val="2"/>
          <w:w w:val="99"/>
        </w:rPr>
        <w:t>务</w:t>
      </w:r>
      <w:r>
        <w:rPr>
          <w:w w:val="99"/>
        </w:rPr>
        <w:t>报表</w:t>
      </w:r>
      <w:r>
        <w:rPr>
          <w:spacing w:val="2"/>
          <w:w w:val="99"/>
        </w:rPr>
        <w:t>数</w:t>
      </w:r>
      <w:r>
        <w:rPr>
          <w:w w:val="99"/>
        </w:rPr>
        <w:t>据变</w:t>
      </w:r>
      <w:r>
        <w:rPr>
          <w:spacing w:val="2"/>
          <w:w w:val="99"/>
        </w:rPr>
        <w:t>动</w:t>
      </w:r>
      <w:r>
        <w:rPr>
          <w:w w:val="99"/>
        </w:rPr>
        <w:t>幅</w:t>
      </w:r>
      <w:r>
        <w:rPr>
          <w:spacing w:val="2"/>
          <w:w w:val="99"/>
        </w:rPr>
        <w:t>度</w:t>
      </w:r>
      <w:r>
        <w:rPr>
          <w:w w:val="99"/>
        </w:rPr>
        <w:t>达</w:t>
      </w:r>
      <w:r>
        <w:rPr>
          <w:rFonts w:ascii="Arial" w:hAnsi="Arial" w:cs="Arial" w:eastAsia="Arial" w:hint="default"/>
          <w:spacing w:val="-1"/>
          <w:w w:val="99"/>
        </w:rPr>
        <w:t>30</w:t>
      </w:r>
      <w:r>
        <w:rPr>
          <w:rFonts w:ascii="Arial" w:hAnsi="Arial" w:cs="Arial" w:eastAsia="Arial" w:hint="default"/>
          <w:w w:val="99"/>
        </w:rPr>
        <w:t>%</w:t>
      </w:r>
      <w:r>
        <w:rPr>
          <w:rFonts w:ascii="Arial" w:hAnsi="Arial" w:cs="Arial" w:eastAsia="Arial" w:hint="default"/>
          <w:spacing w:val="1"/>
          <w:w w:val="99"/>
        </w:rPr>
        <w:t>(</w:t>
      </w:r>
      <w:r>
        <w:rPr>
          <w:spacing w:val="2"/>
          <w:w w:val="99"/>
        </w:rPr>
        <w:t>含</w:t>
      </w:r>
      <w:r>
        <w:rPr>
          <w:rFonts w:ascii="Arial" w:hAnsi="Arial" w:cs="Arial" w:eastAsia="Arial" w:hint="default"/>
          <w:spacing w:val="-1"/>
          <w:w w:val="99"/>
        </w:rPr>
        <w:t>30</w:t>
      </w:r>
      <w:r>
        <w:rPr>
          <w:rFonts w:ascii="Arial" w:hAnsi="Arial" w:cs="Arial" w:eastAsia="Arial" w:hint="default"/>
          <w:w w:val="99"/>
        </w:rPr>
        <w:t>%</w:t>
      </w:r>
      <w:r>
        <w:rPr>
          <w:rFonts w:ascii="Arial" w:hAnsi="Arial" w:cs="Arial" w:eastAsia="Arial" w:hint="default"/>
          <w:w w:val="99"/>
        </w:rPr>
        <w:t>)</w:t>
      </w:r>
      <w:r>
        <w:rPr>
          <w:w w:val="99"/>
        </w:rPr>
        <w:t>以</w:t>
      </w:r>
      <w:r>
        <w:rPr>
          <w:spacing w:val="2"/>
          <w:w w:val="99"/>
        </w:rPr>
        <w:t>上</w:t>
      </w:r>
      <w:r>
        <w:rPr>
          <w:spacing w:val="-99"/>
          <w:w w:val="99"/>
        </w:rPr>
        <w:t>，</w:t>
      </w:r>
      <w:r>
        <w:rPr>
          <w:w w:val="99"/>
        </w:rPr>
        <w:t>或</w:t>
      </w:r>
      <w:r>
        <w:rPr>
          <w:spacing w:val="2"/>
          <w:w w:val="99"/>
        </w:rPr>
        <w:t>占资</w:t>
      </w:r>
      <w:r>
        <w:rPr>
          <w:w w:val="99"/>
        </w:rPr>
        <w:t>产负债</w:t>
      </w:r>
      <w:r>
        <w:rPr>
          <w:spacing w:val="2"/>
          <w:w w:val="99"/>
        </w:rPr>
        <w:t>表</w:t>
      </w:r>
      <w:r>
        <w:rPr>
          <w:w w:val="99"/>
        </w:rPr>
        <w:t>日本</w:t>
      </w:r>
      <w:r>
        <w:rPr>
          <w:spacing w:val="2"/>
          <w:w w:val="99"/>
        </w:rPr>
        <w:t>集</w:t>
      </w:r>
      <w:r>
        <w:rPr>
          <w:w w:val="99"/>
        </w:rPr>
        <w:t>团资</w:t>
      </w:r>
      <w:r>
        <w:rPr>
          <w:spacing w:val="2"/>
          <w:w w:val="99"/>
        </w:rPr>
        <w:t>产</w:t>
      </w:r>
      <w:r>
        <w:rPr>
          <w:w w:val="99"/>
        </w:rPr>
        <w:t>总</w:t>
      </w:r>
      <w:r>
        <w:rPr>
          <w:spacing w:val="2"/>
          <w:w w:val="99"/>
        </w:rPr>
        <w:t>额</w:t>
      </w:r>
      <w:r>
        <w:rPr>
          <w:rFonts w:ascii="Arial" w:hAnsi="Arial" w:cs="Arial" w:eastAsia="Arial" w:hint="default"/>
          <w:spacing w:val="-1"/>
          <w:w w:val="99"/>
        </w:rPr>
        <w:t>5</w:t>
      </w:r>
      <w:r>
        <w:rPr>
          <w:rFonts w:ascii="Arial" w:hAnsi="Arial" w:cs="Arial" w:eastAsia="Arial" w:hint="default"/>
          <w:w w:val="99"/>
        </w:rPr>
        <w:t>%</w:t>
      </w:r>
      <w:r>
        <w:rPr>
          <w:rFonts w:ascii="Arial" w:hAnsi="Arial" w:cs="Arial" w:eastAsia="Arial" w:hint="default"/>
          <w:w w:val="99"/>
        </w:rPr>
        <w:t>(</w:t>
      </w:r>
      <w:r>
        <w:rPr>
          <w:w w:val="99"/>
        </w:rPr>
        <w:t>含</w:t>
      </w:r>
      <w:r>
        <w:rPr/>
      </w:r>
    </w:p>
    <w:p>
      <w:pPr>
        <w:pStyle w:val="BodyText"/>
        <w:spacing w:line="268" w:lineRule="exact"/>
        <w:ind w:right="194"/>
        <w:jc w:val="left"/>
      </w:pPr>
      <w:r>
        <w:rPr>
          <w:rFonts w:ascii="Arial" w:hAnsi="Arial" w:cs="Arial" w:eastAsia="Arial" w:hint="default"/>
        </w:rPr>
        <w:t>5%)</w:t>
      </w:r>
      <w:r>
        <w:rPr/>
        <w:t>或报告期利润总额</w:t>
      </w:r>
      <w:r>
        <w:rPr>
          <w:rFonts w:ascii="Arial" w:hAnsi="Arial" w:cs="Arial" w:eastAsia="Arial" w:hint="default"/>
        </w:rPr>
        <w:t>10%(</w:t>
      </w:r>
      <w:r>
        <w:rPr/>
        <w:t>含</w:t>
      </w:r>
      <w:r>
        <w:rPr>
          <w:rFonts w:ascii="Arial" w:hAnsi="Arial" w:cs="Arial" w:eastAsia="Arial" w:hint="default"/>
        </w:rPr>
        <w:t>10%)</w:t>
      </w:r>
      <w:r>
        <w:rPr/>
        <w:t>以上的项目分析。</w:t>
      </w:r>
    </w:p>
    <w:p>
      <w:pPr>
        <w:spacing w:line="240" w:lineRule="auto" w:before="9"/>
        <w:rPr>
          <w:rFonts w:ascii="黑体" w:hAnsi="黑体" w:cs="黑体" w:eastAsia="黑体" w:hint="default"/>
          <w:sz w:val="16"/>
          <w:szCs w:val="16"/>
        </w:rPr>
      </w:pPr>
    </w:p>
    <w:p>
      <w:pPr>
        <w:pStyle w:val="BodyText"/>
        <w:tabs>
          <w:tab w:pos="787" w:val="left" w:leader="none"/>
        </w:tabs>
        <w:spacing w:line="268" w:lineRule="exact"/>
        <w:ind w:left="101" w:right="194"/>
        <w:jc w:val="left"/>
      </w:pPr>
      <w:r>
        <w:rPr>
          <w:rFonts w:ascii="Arial" w:hAnsi="Arial" w:cs="Arial" w:eastAsia="Arial" w:hint="default"/>
          <w:spacing w:val="-1"/>
        </w:rPr>
        <w:t>1.</w:t>
        <w:tab/>
      </w:r>
      <w:r>
        <w:rPr/>
        <w:t>货币资金</w:t>
      </w:r>
      <w:r>
        <w:rPr>
          <w:spacing w:val="-47"/>
        </w:rPr>
        <w:t> </w:t>
      </w:r>
      <w:r>
        <w:rPr>
          <w:rFonts w:ascii="Arial" w:hAnsi="Arial" w:cs="Arial" w:eastAsia="Arial" w:hint="default"/>
        </w:rPr>
        <w:t>2012</w:t>
      </w:r>
      <w:r>
        <w:rPr>
          <w:rFonts w:ascii="Arial" w:hAnsi="Arial" w:cs="Arial" w:eastAsia="Arial" w:hint="default"/>
          <w:spacing w:val="-3"/>
        </w:rPr>
        <w:t> </w:t>
      </w:r>
      <w:r>
        <w:rPr/>
        <w:t>年</w:t>
      </w:r>
      <w:r>
        <w:rPr>
          <w:spacing w:val="-47"/>
        </w:rPr>
        <w:t> </w:t>
      </w:r>
      <w:r>
        <w:rPr>
          <w:rFonts w:ascii="Arial" w:hAnsi="Arial" w:cs="Arial" w:eastAsia="Arial" w:hint="default"/>
          <w:spacing w:val="-1"/>
        </w:rPr>
        <w:t>12</w:t>
      </w:r>
      <w:r>
        <w:rPr>
          <w:rFonts w:ascii="Arial" w:hAnsi="Arial" w:cs="Arial" w:eastAsia="Arial" w:hint="default"/>
          <w:spacing w:val="-3"/>
        </w:rPr>
        <w:t> </w:t>
      </w:r>
      <w:r>
        <w:rPr/>
        <w:t>月</w:t>
      </w:r>
      <w:r>
        <w:rPr>
          <w:spacing w:val="-45"/>
        </w:rPr>
        <w:t> </w:t>
      </w:r>
      <w:r>
        <w:rPr>
          <w:rFonts w:ascii="Arial" w:hAnsi="Arial" w:cs="Arial" w:eastAsia="Arial" w:hint="default"/>
          <w:spacing w:val="-1"/>
        </w:rPr>
        <w:t>31 </w:t>
      </w:r>
      <w:r>
        <w:rPr/>
        <w:t>日余额为人民币</w:t>
      </w:r>
      <w:r>
        <w:rPr>
          <w:spacing w:val="-47"/>
        </w:rPr>
        <w:t> </w:t>
      </w:r>
      <w:r>
        <w:rPr>
          <w:rFonts w:ascii="Arial" w:hAnsi="Arial" w:cs="Arial" w:eastAsia="Arial" w:hint="default"/>
        </w:rPr>
        <w:t>1,697,036,209</w:t>
      </w:r>
      <w:r>
        <w:rPr>
          <w:rFonts w:ascii="Arial" w:hAnsi="Arial" w:cs="Arial" w:eastAsia="Arial" w:hint="default"/>
          <w:spacing w:val="-3"/>
        </w:rPr>
        <w:t> </w:t>
      </w:r>
      <w:r>
        <w:rPr/>
        <w:t>元，较</w:t>
      </w:r>
      <w:r>
        <w:rPr>
          <w:spacing w:val="-45"/>
        </w:rPr>
        <w:t> </w:t>
      </w:r>
      <w:r>
        <w:rPr>
          <w:rFonts w:ascii="Arial" w:hAnsi="Arial" w:cs="Arial" w:eastAsia="Arial" w:hint="default"/>
          <w:spacing w:val="-1"/>
        </w:rPr>
        <w:t>2011</w:t>
      </w:r>
      <w:r>
        <w:rPr>
          <w:rFonts w:ascii="Arial" w:hAnsi="Arial" w:cs="Arial" w:eastAsia="Arial" w:hint="default"/>
          <w:spacing w:val="-3"/>
        </w:rPr>
        <w:t> </w:t>
      </w:r>
      <w:r>
        <w:rPr/>
        <w:t>年</w:t>
      </w:r>
      <w:r>
        <w:rPr>
          <w:spacing w:val="-45"/>
        </w:rPr>
        <w:t> </w:t>
      </w:r>
      <w:r>
        <w:rPr>
          <w:rFonts w:ascii="Arial" w:hAnsi="Arial" w:cs="Arial" w:eastAsia="Arial" w:hint="default"/>
          <w:spacing w:val="-1"/>
        </w:rPr>
        <w:t>12</w:t>
      </w:r>
      <w:r>
        <w:rPr>
          <w:rFonts w:ascii="Arial" w:hAnsi="Arial" w:cs="Arial" w:eastAsia="Arial" w:hint="default"/>
          <w:spacing w:val="-3"/>
        </w:rPr>
        <w:t> </w:t>
      </w:r>
      <w:r>
        <w:rPr/>
        <w:t>月</w:t>
      </w:r>
      <w:r>
        <w:rPr>
          <w:spacing w:val="-47"/>
        </w:rPr>
        <w:t> </w:t>
      </w:r>
      <w:r>
        <w:rPr>
          <w:rFonts w:ascii="Arial" w:hAnsi="Arial" w:cs="Arial" w:eastAsia="Arial" w:hint="default"/>
          <w:spacing w:val="1"/>
        </w:rPr>
        <w:t>31</w:t>
      </w:r>
      <w:r>
        <w:rPr>
          <w:rFonts w:ascii="Arial" w:hAnsi="Arial" w:cs="Arial" w:eastAsia="Arial" w:hint="default"/>
          <w:spacing w:val="-3"/>
        </w:rPr>
        <w:t> </w:t>
      </w:r>
      <w:r>
        <w:rPr/>
        <w:t>日余</w:t>
      </w:r>
    </w:p>
    <w:p>
      <w:pPr>
        <w:pStyle w:val="BodyText"/>
        <w:spacing w:line="268" w:lineRule="exact"/>
        <w:ind w:left="787" w:right="194"/>
        <w:jc w:val="left"/>
      </w:pPr>
      <w:r>
        <w:rPr/>
        <w:t>额增加人民币</w:t>
      </w:r>
      <w:r>
        <w:rPr>
          <w:spacing w:val="-57"/>
        </w:rPr>
        <w:t> </w:t>
      </w:r>
      <w:r>
        <w:rPr>
          <w:rFonts w:ascii="Arial" w:hAnsi="Arial" w:cs="Arial" w:eastAsia="Arial" w:hint="default"/>
        </w:rPr>
        <w:t>299,917,783</w:t>
      </w:r>
      <w:r>
        <w:rPr>
          <w:rFonts w:ascii="Arial" w:hAnsi="Arial" w:cs="Arial" w:eastAsia="Arial" w:hint="default"/>
          <w:spacing w:val="-10"/>
        </w:rPr>
        <w:t> </w:t>
      </w:r>
      <w:r>
        <w:rPr/>
        <w:t>元，详情参见合并现金流量表信息。</w:t>
      </w:r>
    </w:p>
    <w:p>
      <w:pPr>
        <w:spacing w:line="240" w:lineRule="auto" w:before="4"/>
        <w:rPr>
          <w:rFonts w:ascii="黑体" w:hAnsi="黑体" w:cs="黑体" w:eastAsia="黑体" w:hint="default"/>
          <w:sz w:val="16"/>
          <w:szCs w:val="16"/>
        </w:rPr>
      </w:pPr>
    </w:p>
    <w:p>
      <w:pPr>
        <w:pStyle w:val="BodyText"/>
        <w:tabs>
          <w:tab w:pos="804" w:val="left" w:leader="none"/>
        </w:tabs>
        <w:spacing w:line="268" w:lineRule="exact"/>
        <w:ind w:left="101" w:right="194"/>
        <w:jc w:val="left"/>
      </w:pPr>
      <w:r>
        <w:rPr>
          <w:rFonts w:ascii="Arial" w:hAnsi="Arial" w:cs="Arial" w:eastAsia="Arial" w:hint="default"/>
          <w:spacing w:val="-1"/>
          <w:w w:val="99"/>
        </w:rPr>
        <w:t>2</w:t>
      </w:r>
      <w:r>
        <w:rPr>
          <w:rFonts w:ascii="Arial" w:hAnsi="Arial" w:cs="Arial" w:eastAsia="Arial" w:hint="default"/>
          <w:w w:val="99"/>
        </w:rPr>
        <w:t>.</w:t>
      </w:r>
      <w:r>
        <w:rPr>
          <w:rFonts w:ascii="Arial" w:hAnsi="Arial" w:cs="Arial" w:eastAsia="Arial" w:hint="default"/>
        </w:rPr>
        <w:tab/>
      </w:r>
      <w:r>
        <w:rPr>
          <w:w w:val="99"/>
        </w:rPr>
        <w:t>应收票据</w:t>
      </w:r>
      <w:r>
        <w:rPr>
          <w:spacing w:val="-48"/>
        </w:rPr>
        <w:t> </w:t>
      </w:r>
      <w:r>
        <w:rPr>
          <w:rFonts w:ascii="Arial" w:hAnsi="Arial" w:cs="Arial" w:eastAsia="Arial" w:hint="default"/>
          <w:spacing w:val="-1"/>
          <w:w w:val="99"/>
        </w:rPr>
        <w:t>201</w:t>
      </w:r>
      <w:r>
        <w:rPr>
          <w:rFonts w:ascii="Arial" w:hAnsi="Arial" w:cs="Arial" w:eastAsia="Arial" w:hint="default"/>
          <w:w w:val="99"/>
        </w:rPr>
        <w:t>2</w:t>
      </w:r>
      <w:r>
        <w:rPr>
          <w:rFonts w:ascii="Arial" w:hAnsi="Arial" w:cs="Arial" w:eastAsia="Arial" w:hint="default"/>
          <w:spacing w:val="-3"/>
        </w:rPr>
        <w:t> </w:t>
      </w:r>
      <w:r>
        <w:rPr>
          <w:w w:val="99"/>
        </w:rPr>
        <w:t>年</w:t>
      </w:r>
      <w:r>
        <w:rPr>
          <w:spacing w:val="-50"/>
        </w:rPr>
        <w:t> </w:t>
      </w:r>
      <w:r>
        <w:rPr>
          <w:rFonts w:ascii="Arial" w:hAnsi="Arial" w:cs="Arial" w:eastAsia="Arial" w:hint="default"/>
          <w:spacing w:val="-1"/>
          <w:w w:val="99"/>
        </w:rPr>
        <w:t>1</w:t>
      </w:r>
      <w:r>
        <w:rPr>
          <w:rFonts w:ascii="Arial" w:hAnsi="Arial" w:cs="Arial" w:eastAsia="Arial" w:hint="default"/>
          <w:w w:val="99"/>
        </w:rPr>
        <w:t>2</w:t>
      </w:r>
      <w:r>
        <w:rPr>
          <w:rFonts w:ascii="Arial" w:hAnsi="Arial" w:cs="Arial" w:eastAsia="Arial" w:hint="default"/>
          <w:spacing w:val="-6"/>
        </w:rPr>
        <w:t> </w:t>
      </w:r>
      <w:r>
        <w:rPr>
          <w:w w:val="99"/>
        </w:rPr>
        <w:t>月</w:t>
      </w:r>
      <w:r>
        <w:rPr>
          <w:spacing w:val="-48"/>
        </w:rPr>
        <w:t> </w:t>
      </w:r>
      <w:r>
        <w:rPr>
          <w:rFonts w:ascii="Arial" w:hAnsi="Arial" w:cs="Arial" w:eastAsia="Arial" w:hint="default"/>
          <w:spacing w:val="-1"/>
          <w:w w:val="99"/>
        </w:rPr>
        <w:t>3</w:t>
      </w:r>
      <w:r>
        <w:rPr>
          <w:rFonts w:ascii="Arial" w:hAnsi="Arial" w:cs="Arial" w:eastAsia="Arial" w:hint="default"/>
          <w:w w:val="99"/>
        </w:rPr>
        <w:t>1</w:t>
      </w:r>
      <w:r>
        <w:rPr>
          <w:rFonts w:ascii="Arial" w:hAnsi="Arial" w:cs="Arial" w:eastAsia="Arial" w:hint="default"/>
          <w:spacing w:val="-4"/>
        </w:rPr>
        <w:t> </w:t>
      </w:r>
      <w:r>
        <w:rPr>
          <w:w w:val="99"/>
        </w:rPr>
        <w:t>日余额</w:t>
      </w:r>
      <w:r>
        <w:rPr>
          <w:spacing w:val="2"/>
          <w:w w:val="99"/>
        </w:rPr>
        <w:t>为</w:t>
      </w:r>
      <w:r>
        <w:rPr>
          <w:w w:val="99"/>
        </w:rPr>
        <w:t>人民币</w:t>
      </w:r>
      <w:r>
        <w:rPr>
          <w:spacing w:val="-48"/>
        </w:rPr>
        <w:t> </w:t>
      </w:r>
      <w:r>
        <w:rPr>
          <w:rFonts w:ascii="Arial" w:hAnsi="Arial" w:cs="Arial" w:eastAsia="Arial" w:hint="default"/>
          <w:spacing w:val="-1"/>
          <w:w w:val="99"/>
        </w:rPr>
        <w:t>53,</w:t>
      </w:r>
      <w:r>
        <w:rPr>
          <w:rFonts w:ascii="Arial" w:hAnsi="Arial" w:cs="Arial" w:eastAsia="Arial" w:hint="default"/>
          <w:spacing w:val="2"/>
          <w:w w:val="99"/>
        </w:rPr>
        <w:t>4</w:t>
      </w:r>
      <w:r>
        <w:rPr>
          <w:rFonts w:ascii="Arial" w:hAnsi="Arial" w:cs="Arial" w:eastAsia="Arial" w:hint="default"/>
          <w:spacing w:val="-1"/>
          <w:w w:val="99"/>
        </w:rPr>
        <w:t>28</w:t>
      </w:r>
      <w:r>
        <w:rPr>
          <w:rFonts w:ascii="Arial" w:hAnsi="Arial" w:cs="Arial" w:eastAsia="Arial" w:hint="default"/>
          <w:spacing w:val="2"/>
          <w:w w:val="99"/>
        </w:rPr>
        <w:t>,</w:t>
      </w:r>
      <w:r>
        <w:rPr>
          <w:rFonts w:ascii="Arial" w:hAnsi="Arial" w:cs="Arial" w:eastAsia="Arial" w:hint="default"/>
          <w:spacing w:val="-1"/>
          <w:w w:val="99"/>
        </w:rPr>
        <w:t>1</w:t>
      </w:r>
      <w:r>
        <w:rPr>
          <w:rFonts w:ascii="Arial" w:hAnsi="Arial" w:cs="Arial" w:eastAsia="Arial" w:hint="default"/>
          <w:spacing w:val="2"/>
          <w:w w:val="99"/>
        </w:rPr>
        <w:t>6</w:t>
      </w:r>
      <w:r>
        <w:rPr>
          <w:rFonts w:ascii="Arial" w:hAnsi="Arial" w:cs="Arial" w:eastAsia="Arial" w:hint="default"/>
          <w:w w:val="99"/>
        </w:rPr>
        <w:t>1</w:t>
      </w:r>
      <w:r>
        <w:rPr>
          <w:rFonts w:ascii="Arial" w:hAnsi="Arial" w:cs="Arial" w:eastAsia="Arial" w:hint="default"/>
          <w:spacing w:val="-6"/>
        </w:rPr>
        <w:t> </w:t>
      </w:r>
      <w:r>
        <w:rPr>
          <w:w w:val="99"/>
        </w:rPr>
        <w:t>元</w:t>
      </w:r>
      <w:r>
        <w:rPr>
          <w:spacing w:val="-80"/>
          <w:w w:val="99"/>
        </w:rPr>
        <w:t>，</w:t>
      </w:r>
      <w:r>
        <w:rPr>
          <w:w w:val="99"/>
        </w:rPr>
        <w:t>较</w:t>
      </w:r>
      <w:r>
        <w:rPr>
          <w:spacing w:val="-50"/>
        </w:rPr>
        <w:t> </w:t>
      </w:r>
      <w:r>
        <w:rPr>
          <w:rFonts w:ascii="Arial" w:hAnsi="Arial" w:cs="Arial" w:eastAsia="Arial" w:hint="default"/>
          <w:spacing w:val="2"/>
          <w:w w:val="99"/>
        </w:rPr>
        <w:t>2</w:t>
      </w:r>
      <w:r>
        <w:rPr>
          <w:rFonts w:ascii="Arial" w:hAnsi="Arial" w:cs="Arial" w:eastAsia="Arial" w:hint="default"/>
          <w:spacing w:val="-1"/>
          <w:w w:val="99"/>
        </w:rPr>
        <w:t>01</w:t>
      </w:r>
      <w:r>
        <w:rPr>
          <w:rFonts w:ascii="Arial" w:hAnsi="Arial" w:cs="Arial" w:eastAsia="Arial" w:hint="default"/>
          <w:w w:val="99"/>
        </w:rPr>
        <w:t>1</w:t>
      </w:r>
      <w:r>
        <w:rPr>
          <w:rFonts w:ascii="Arial" w:hAnsi="Arial" w:cs="Arial" w:eastAsia="Arial" w:hint="default"/>
          <w:spacing w:val="-6"/>
        </w:rPr>
        <w:t> </w:t>
      </w:r>
      <w:r>
        <w:rPr>
          <w:w w:val="99"/>
        </w:rPr>
        <w:t>年</w:t>
      </w:r>
      <w:r>
        <w:rPr>
          <w:spacing w:val="-48"/>
        </w:rPr>
        <w:t> </w:t>
      </w:r>
      <w:r>
        <w:rPr>
          <w:rFonts w:ascii="Arial" w:hAnsi="Arial" w:cs="Arial" w:eastAsia="Arial" w:hint="default"/>
          <w:spacing w:val="-1"/>
          <w:w w:val="99"/>
        </w:rPr>
        <w:t>1</w:t>
      </w:r>
      <w:r>
        <w:rPr>
          <w:rFonts w:ascii="Arial" w:hAnsi="Arial" w:cs="Arial" w:eastAsia="Arial" w:hint="default"/>
          <w:w w:val="99"/>
        </w:rPr>
        <w:t>2</w:t>
      </w:r>
      <w:r>
        <w:rPr>
          <w:rFonts w:ascii="Arial" w:hAnsi="Arial" w:cs="Arial" w:eastAsia="Arial" w:hint="default"/>
          <w:spacing w:val="-6"/>
        </w:rPr>
        <w:t> </w:t>
      </w:r>
      <w:r>
        <w:rPr>
          <w:w w:val="99"/>
        </w:rPr>
        <w:t>月</w:t>
      </w:r>
      <w:r>
        <w:rPr>
          <w:spacing w:val="-50"/>
        </w:rPr>
        <w:t> </w:t>
      </w:r>
      <w:r>
        <w:rPr>
          <w:rFonts w:ascii="Arial" w:hAnsi="Arial" w:cs="Arial" w:eastAsia="Arial" w:hint="default"/>
          <w:spacing w:val="-1"/>
          <w:w w:val="99"/>
        </w:rPr>
        <w:t>3</w:t>
      </w:r>
      <w:r>
        <w:rPr>
          <w:rFonts w:ascii="Arial" w:hAnsi="Arial" w:cs="Arial" w:eastAsia="Arial" w:hint="default"/>
          <w:w w:val="99"/>
        </w:rPr>
        <w:t>1</w:t>
      </w:r>
      <w:r>
        <w:rPr>
          <w:rFonts w:ascii="Arial" w:hAnsi="Arial" w:cs="Arial" w:eastAsia="Arial" w:hint="default"/>
          <w:spacing w:val="-4"/>
        </w:rPr>
        <w:t> </w:t>
      </w:r>
      <w:r>
        <w:rPr>
          <w:w w:val="99"/>
        </w:rPr>
        <w:t>日余额增</w:t>
      </w:r>
      <w:r>
        <w:rPr/>
      </w:r>
    </w:p>
    <w:p>
      <w:pPr>
        <w:pStyle w:val="BodyText"/>
        <w:spacing w:line="260" w:lineRule="exact" w:before="17"/>
        <w:ind w:left="820" w:right="295"/>
        <w:jc w:val="left"/>
      </w:pPr>
      <w:r>
        <w:rPr/>
        <w:t>加人民币</w:t>
      </w:r>
      <w:r>
        <w:rPr>
          <w:spacing w:val="-60"/>
        </w:rPr>
        <w:t> </w:t>
      </w:r>
      <w:r>
        <w:rPr>
          <w:rFonts w:ascii="Arial" w:hAnsi="Arial" w:cs="Arial" w:eastAsia="Arial" w:hint="default"/>
        </w:rPr>
        <w:t>40,173,780</w:t>
      </w:r>
      <w:r>
        <w:rPr>
          <w:rFonts w:ascii="Arial" w:hAnsi="Arial" w:cs="Arial" w:eastAsia="Arial" w:hint="default"/>
          <w:spacing w:val="-18"/>
        </w:rPr>
        <w:t> </w:t>
      </w:r>
      <w:r>
        <w:rPr>
          <w:spacing w:val="-4"/>
        </w:rPr>
        <w:t>元，主要是由于</w:t>
      </w:r>
      <w:r>
        <w:rPr>
          <w:spacing w:val="-62"/>
        </w:rPr>
        <w:t> </w:t>
      </w:r>
      <w:r>
        <w:rPr>
          <w:rFonts w:ascii="Arial" w:hAnsi="Arial" w:cs="Arial" w:eastAsia="Arial" w:hint="default"/>
        </w:rPr>
        <w:t>2012</w:t>
      </w:r>
      <w:r>
        <w:rPr>
          <w:rFonts w:ascii="Arial" w:hAnsi="Arial" w:cs="Arial" w:eastAsia="Arial" w:hint="default"/>
          <w:spacing w:val="-18"/>
        </w:rPr>
        <w:t> </w:t>
      </w:r>
      <w:r>
        <w:rPr/>
        <w:t>年受整体经济形势影响，部分客户资金周转紧</w:t>
      </w:r>
      <w:r>
        <w:rPr>
          <w:w w:val="99"/>
        </w:rPr>
        <w:t> </w:t>
      </w:r>
      <w:r>
        <w:rPr/>
        <w:t>张，一些客户通过票据承兑方式进行支付所致。</w:t>
      </w:r>
    </w:p>
    <w:p>
      <w:pPr>
        <w:spacing w:line="240" w:lineRule="auto" w:before="7"/>
        <w:rPr>
          <w:rFonts w:ascii="黑体" w:hAnsi="黑体" w:cs="黑体" w:eastAsia="黑体" w:hint="default"/>
          <w:sz w:val="17"/>
          <w:szCs w:val="17"/>
        </w:rPr>
      </w:pPr>
    </w:p>
    <w:p>
      <w:pPr>
        <w:pStyle w:val="BodyText"/>
        <w:tabs>
          <w:tab w:pos="803" w:val="left" w:leader="none"/>
        </w:tabs>
        <w:spacing w:line="260" w:lineRule="exact"/>
        <w:ind w:left="820" w:right="302" w:hanging="721"/>
        <w:jc w:val="left"/>
      </w:pPr>
      <w:r>
        <w:rPr>
          <w:rFonts w:ascii="Arial" w:hAnsi="Arial" w:cs="Arial" w:eastAsia="Arial" w:hint="default"/>
          <w:spacing w:val="-1"/>
        </w:rPr>
        <w:t>3.</w:t>
        <w:tab/>
      </w:r>
      <w:r>
        <w:rPr/>
        <w:t>应收账款</w:t>
      </w:r>
      <w:r>
        <w:rPr>
          <w:spacing w:val="-46"/>
        </w:rPr>
        <w:t> </w:t>
      </w:r>
      <w:r>
        <w:rPr>
          <w:rFonts w:ascii="Arial" w:hAnsi="Arial" w:cs="Arial" w:eastAsia="Arial" w:hint="default"/>
        </w:rPr>
        <w:t>2012</w:t>
      </w:r>
      <w:r>
        <w:rPr>
          <w:rFonts w:ascii="Arial" w:hAnsi="Arial" w:cs="Arial" w:eastAsia="Arial" w:hint="default"/>
          <w:spacing w:val="-4"/>
        </w:rPr>
        <w:t> </w:t>
      </w:r>
      <w:r>
        <w:rPr/>
        <w:t>年</w:t>
      </w:r>
      <w:r>
        <w:rPr>
          <w:spacing w:val="-46"/>
        </w:rPr>
        <w:t> </w:t>
      </w:r>
      <w:r>
        <w:rPr>
          <w:rFonts w:ascii="Arial" w:hAnsi="Arial" w:cs="Arial" w:eastAsia="Arial" w:hint="default"/>
          <w:spacing w:val="-1"/>
        </w:rPr>
        <w:t>12</w:t>
      </w:r>
      <w:r>
        <w:rPr>
          <w:rFonts w:ascii="Arial" w:hAnsi="Arial" w:cs="Arial" w:eastAsia="Arial" w:hint="default"/>
          <w:spacing w:val="-2"/>
        </w:rPr>
        <w:t> </w:t>
      </w:r>
      <w:r>
        <w:rPr/>
        <w:t>月</w:t>
      </w:r>
      <w:r>
        <w:rPr>
          <w:spacing w:val="-49"/>
        </w:rPr>
        <w:t> </w:t>
      </w:r>
      <w:r>
        <w:rPr>
          <w:rFonts w:ascii="Arial" w:hAnsi="Arial" w:cs="Arial" w:eastAsia="Arial" w:hint="default"/>
          <w:spacing w:val="-1"/>
        </w:rPr>
        <w:t>31</w:t>
      </w:r>
      <w:r>
        <w:rPr>
          <w:rFonts w:ascii="Arial" w:hAnsi="Arial" w:cs="Arial" w:eastAsia="Arial" w:hint="default"/>
          <w:spacing w:val="-2"/>
        </w:rPr>
        <w:t> </w:t>
      </w:r>
      <w:r>
        <w:rPr/>
        <w:t>日余额为人民币</w:t>
      </w:r>
      <w:r>
        <w:rPr>
          <w:spacing w:val="-46"/>
        </w:rPr>
        <w:t> </w:t>
      </w:r>
      <w:r>
        <w:rPr>
          <w:rFonts w:ascii="Arial" w:hAnsi="Arial" w:cs="Arial" w:eastAsia="Arial" w:hint="default"/>
          <w:spacing w:val="-1"/>
        </w:rPr>
        <w:t>1,306,428,847</w:t>
      </w:r>
      <w:r>
        <w:rPr>
          <w:rFonts w:ascii="Arial" w:hAnsi="Arial" w:cs="Arial" w:eastAsia="Arial" w:hint="default"/>
          <w:spacing w:val="-4"/>
        </w:rPr>
        <w:t> </w:t>
      </w:r>
      <w:r>
        <w:rPr/>
        <w:t>元，较</w:t>
      </w:r>
      <w:r>
        <w:rPr>
          <w:spacing w:val="-46"/>
        </w:rPr>
        <w:t> </w:t>
      </w:r>
      <w:r>
        <w:rPr>
          <w:rFonts w:ascii="Arial" w:hAnsi="Arial" w:cs="Arial" w:eastAsia="Arial" w:hint="default"/>
        </w:rPr>
        <w:t>2011</w:t>
      </w:r>
      <w:r>
        <w:rPr>
          <w:rFonts w:ascii="Arial" w:hAnsi="Arial" w:cs="Arial" w:eastAsia="Arial" w:hint="default"/>
          <w:spacing w:val="-4"/>
        </w:rPr>
        <w:t> </w:t>
      </w:r>
      <w:r>
        <w:rPr/>
        <w:t>年</w:t>
      </w:r>
      <w:r>
        <w:rPr>
          <w:spacing w:val="-46"/>
        </w:rPr>
        <w:t> </w:t>
      </w:r>
      <w:r>
        <w:rPr>
          <w:rFonts w:ascii="Arial" w:hAnsi="Arial" w:cs="Arial" w:eastAsia="Arial" w:hint="default"/>
          <w:spacing w:val="-1"/>
        </w:rPr>
        <w:t>12</w:t>
      </w:r>
      <w:r>
        <w:rPr>
          <w:rFonts w:ascii="Arial" w:hAnsi="Arial" w:cs="Arial" w:eastAsia="Arial" w:hint="default"/>
          <w:spacing w:val="-5"/>
        </w:rPr>
        <w:t> </w:t>
      </w:r>
      <w:r>
        <w:rPr/>
        <w:t>月</w:t>
      </w:r>
      <w:r>
        <w:rPr>
          <w:spacing w:val="-46"/>
        </w:rPr>
        <w:t> </w:t>
      </w:r>
      <w:r>
        <w:rPr>
          <w:rFonts w:ascii="Arial" w:hAnsi="Arial" w:cs="Arial" w:eastAsia="Arial" w:hint="default"/>
          <w:spacing w:val="1"/>
        </w:rPr>
        <w:t>31</w:t>
      </w:r>
      <w:r>
        <w:rPr>
          <w:rFonts w:ascii="Arial" w:hAnsi="Arial" w:cs="Arial" w:eastAsia="Arial" w:hint="default"/>
          <w:spacing w:val="-4"/>
        </w:rPr>
        <w:t> </w:t>
      </w:r>
      <w:r>
        <w:rPr/>
        <w:t>日余</w:t>
      </w:r>
      <w:r>
        <w:rPr>
          <w:w w:val="99"/>
        </w:rPr>
        <w:t> </w:t>
      </w:r>
      <w:r>
        <w:rPr/>
        <w:t>额增加</w:t>
      </w:r>
      <w:r>
        <w:rPr>
          <w:spacing w:val="-55"/>
        </w:rPr>
        <w:t> </w:t>
      </w:r>
      <w:r>
        <w:rPr>
          <w:rFonts w:ascii="Arial" w:hAnsi="Arial" w:cs="Arial" w:eastAsia="Arial" w:hint="default"/>
        </w:rPr>
        <w:t>3%</w:t>
      </w:r>
      <w:r>
        <w:rPr/>
        <w:t>，主要是由于收入增长导致应收款项增加所致。</w:t>
      </w:r>
    </w:p>
    <w:p>
      <w:pPr>
        <w:spacing w:line="240" w:lineRule="auto" w:before="4"/>
        <w:rPr>
          <w:rFonts w:ascii="黑体" w:hAnsi="黑体" w:cs="黑体" w:eastAsia="黑体" w:hint="default"/>
          <w:sz w:val="16"/>
          <w:szCs w:val="16"/>
        </w:rPr>
      </w:pPr>
    </w:p>
    <w:p>
      <w:pPr>
        <w:pStyle w:val="BodyText"/>
        <w:tabs>
          <w:tab w:pos="804" w:val="left" w:leader="none"/>
        </w:tabs>
        <w:spacing w:line="269" w:lineRule="exact"/>
        <w:ind w:left="101" w:right="194"/>
        <w:jc w:val="left"/>
      </w:pPr>
      <w:r>
        <w:rPr>
          <w:rFonts w:ascii="Arial" w:hAnsi="Arial" w:cs="Arial" w:eastAsia="Arial" w:hint="default"/>
          <w:spacing w:val="-1"/>
          <w:w w:val="99"/>
        </w:rPr>
        <w:t>4</w:t>
      </w:r>
      <w:r>
        <w:rPr>
          <w:rFonts w:ascii="Arial" w:hAnsi="Arial" w:cs="Arial" w:eastAsia="Arial" w:hint="default"/>
          <w:w w:val="99"/>
        </w:rPr>
        <w:t>.</w:t>
      </w:r>
      <w:r>
        <w:rPr>
          <w:rFonts w:ascii="Arial" w:hAnsi="Arial" w:cs="Arial" w:eastAsia="Arial" w:hint="default"/>
        </w:rPr>
        <w:tab/>
      </w:r>
      <w:r>
        <w:rPr>
          <w:w w:val="99"/>
        </w:rPr>
        <w:t>预付款项</w:t>
      </w:r>
      <w:r>
        <w:rPr>
          <w:spacing w:val="-48"/>
        </w:rPr>
        <w:t> </w:t>
      </w:r>
      <w:r>
        <w:rPr>
          <w:rFonts w:ascii="Arial" w:hAnsi="Arial" w:cs="Arial" w:eastAsia="Arial" w:hint="default"/>
          <w:spacing w:val="-1"/>
          <w:w w:val="99"/>
        </w:rPr>
        <w:t>201</w:t>
      </w:r>
      <w:r>
        <w:rPr>
          <w:rFonts w:ascii="Arial" w:hAnsi="Arial" w:cs="Arial" w:eastAsia="Arial" w:hint="default"/>
          <w:w w:val="99"/>
        </w:rPr>
        <w:t>2</w:t>
      </w:r>
      <w:r>
        <w:rPr>
          <w:rFonts w:ascii="Arial" w:hAnsi="Arial" w:cs="Arial" w:eastAsia="Arial" w:hint="default"/>
          <w:spacing w:val="-3"/>
        </w:rPr>
        <w:t> </w:t>
      </w:r>
      <w:r>
        <w:rPr>
          <w:w w:val="99"/>
        </w:rPr>
        <w:t>年</w:t>
      </w:r>
      <w:r>
        <w:rPr>
          <w:spacing w:val="-50"/>
        </w:rPr>
        <w:t> </w:t>
      </w:r>
      <w:r>
        <w:rPr>
          <w:rFonts w:ascii="Arial" w:hAnsi="Arial" w:cs="Arial" w:eastAsia="Arial" w:hint="default"/>
          <w:spacing w:val="-1"/>
          <w:w w:val="99"/>
        </w:rPr>
        <w:t>1</w:t>
      </w:r>
      <w:r>
        <w:rPr>
          <w:rFonts w:ascii="Arial" w:hAnsi="Arial" w:cs="Arial" w:eastAsia="Arial" w:hint="default"/>
          <w:w w:val="99"/>
        </w:rPr>
        <w:t>2</w:t>
      </w:r>
      <w:r>
        <w:rPr>
          <w:rFonts w:ascii="Arial" w:hAnsi="Arial" w:cs="Arial" w:eastAsia="Arial" w:hint="default"/>
          <w:spacing w:val="-6"/>
        </w:rPr>
        <w:t> </w:t>
      </w:r>
      <w:r>
        <w:rPr>
          <w:w w:val="99"/>
        </w:rPr>
        <w:t>月</w:t>
      </w:r>
      <w:r>
        <w:rPr>
          <w:spacing w:val="-48"/>
        </w:rPr>
        <w:t> </w:t>
      </w:r>
      <w:r>
        <w:rPr>
          <w:rFonts w:ascii="Arial" w:hAnsi="Arial" w:cs="Arial" w:eastAsia="Arial" w:hint="default"/>
          <w:spacing w:val="-1"/>
          <w:w w:val="99"/>
        </w:rPr>
        <w:t>3</w:t>
      </w:r>
      <w:r>
        <w:rPr>
          <w:rFonts w:ascii="Arial" w:hAnsi="Arial" w:cs="Arial" w:eastAsia="Arial" w:hint="default"/>
          <w:w w:val="99"/>
        </w:rPr>
        <w:t>1</w:t>
      </w:r>
      <w:r>
        <w:rPr>
          <w:rFonts w:ascii="Arial" w:hAnsi="Arial" w:cs="Arial" w:eastAsia="Arial" w:hint="default"/>
          <w:spacing w:val="-4"/>
        </w:rPr>
        <w:t> </w:t>
      </w:r>
      <w:r>
        <w:rPr>
          <w:w w:val="99"/>
        </w:rPr>
        <w:t>日余额</w:t>
      </w:r>
      <w:r>
        <w:rPr>
          <w:spacing w:val="2"/>
          <w:w w:val="99"/>
        </w:rPr>
        <w:t>为</w:t>
      </w:r>
      <w:r>
        <w:rPr>
          <w:w w:val="99"/>
        </w:rPr>
        <w:t>人民币</w:t>
      </w:r>
      <w:r>
        <w:rPr>
          <w:spacing w:val="-48"/>
        </w:rPr>
        <w:t> </w:t>
      </w:r>
      <w:r>
        <w:rPr>
          <w:rFonts w:ascii="Arial" w:hAnsi="Arial" w:cs="Arial" w:eastAsia="Arial" w:hint="default"/>
          <w:spacing w:val="-1"/>
          <w:w w:val="99"/>
        </w:rPr>
        <w:t>29,</w:t>
      </w:r>
      <w:r>
        <w:rPr>
          <w:rFonts w:ascii="Arial" w:hAnsi="Arial" w:cs="Arial" w:eastAsia="Arial" w:hint="default"/>
          <w:spacing w:val="2"/>
          <w:w w:val="99"/>
        </w:rPr>
        <w:t>3</w:t>
      </w:r>
      <w:r>
        <w:rPr>
          <w:rFonts w:ascii="Arial" w:hAnsi="Arial" w:cs="Arial" w:eastAsia="Arial" w:hint="default"/>
          <w:spacing w:val="-1"/>
          <w:w w:val="99"/>
        </w:rPr>
        <w:t>87</w:t>
      </w:r>
      <w:r>
        <w:rPr>
          <w:rFonts w:ascii="Arial" w:hAnsi="Arial" w:cs="Arial" w:eastAsia="Arial" w:hint="default"/>
          <w:spacing w:val="2"/>
          <w:w w:val="99"/>
        </w:rPr>
        <w:t>,</w:t>
      </w:r>
      <w:r>
        <w:rPr>
          <w:rFonts w:ascii="Arial" w:hAnsi="Arial" w:cs="Arial" w:eastAsia="Arial" w:hint="default"/>
          <w:spacing w:val="-1"/>
          <w:w w:val="99"/>
        </w:rPr>
        <w:t>3</w:t>
      </w:r>
      <w:r>
        <w:rPr>
          <w:rFonts w:ascii="Arial" w:hAnsi="Arial" w:cs="Arial" w:eastAsia="Arial" w:hint="default"/>
          <w:spacing w:val="2"/>
          <w:w w:val="99"/>
        </w:rPr>
        <w:t>7</w:t>
      </w:r>
      <w:r>
        <w:rPr>
          <w:rFonts w:ascii="Arial" w:hAnsi="Arial" w:cs="Arial" w:eastAsia="Arial" w:hint="default"/>
          <w:w w:val="99"/>
        </w:rPr>
        <w:t>8</w:t>
      </w:r>
      <w:r>
        <w:rPr>
          <w:rFonts w:ascii="Arial" w:hAnsi="Arial" w:cs="Arial" w:eastAsia="Arial" w:hint="default"/>
          <w:spacing w:val="-6"/>
        </w:rPr>
        <w:t> </w:t>
      </w:r>
      <w:r>
        <w:rPr>
          <w:w w:val="99"/>
        </w:rPr>
        <w:t>元</w:t>
      </w:r>
      <w:r>
        <w:rPr>
          <w:spacing w:val="-80"/>
          <w:w w:val="99"/>
        </w:rPr>
        <w:t>，</w:t>
      </w:r>
      <w:r>
        <w:rPr>
          <w:w w:val="99"/>
        </w:rPr>
        <w:t>较</w:t>
      </w:r>
      <w:r>
        <w:rPr>
          <w:spacing w:val="-50"/>
        </w:rPr>
        <w:t> </w:t>
      </w:r>
      <w:r>
        <w:rPr>
          <w:rFonts w:ascii="Arial" w:hAnsi="Arial" w:cs="Arial" w:eastAsia="Arial" w:hint="default"/>
          <w:spacing w:val="2"/>
          <w:w w:val="99"/>
        </w:rPr>
        <w:t>2</w:t>
      </w:r>
      <w:r>
        <w:rPr>
          <w:rFonts w:ascii="Arial" w:hAnsi="Arial" w:cs="Arial" w:eastAsia="Arial" w:hint="default"/>
          <w:spacing w:val="-1"/>
          <w:w w:val="99"/>
        </w:rPr>
        <w:t>01</w:t>
      </w:r>
      <w:r>
        <w:rPr>
          <w:rFonts w:ascii="Arial" w:hAnsi="Arial" w:cs="Arial" w:eastAsia="Arial" w:hint="default"/>
          <w:w w:val="99"/>
        </w:rPr>
        <w:t>1</w:t>
      </w:r>
      <w:r>
        <w:rPr>
          <w:rFonts w:ascii="Arial" w:hAnsi="Arial" w:cs="Arial" w:eastAsia="Arial" w:hint="default"/>
          <w:spacing w:val="-6"/>
        </w:rPr>
        <w:t> </w:t>
      </w:r>
      <w:r>
        <w:rPr>
          <w:w w:val="99"/>
        </w:rPr>
        <w:t>年</w:t>
      </w:r>
      <w:r>
        <w:rPr>
          <w:spacing w:val="-48"/>
        </w:rPr>
        <w:t> </w:t>
      </w:r>
      <w:r>
        <w:rPr>
          <w:rFonts w:ascii="Arial" w:hAnsi="Arial" w:cs="Arial" w:eastAsia="Arial" w:hint="default"/>
          <w:spacing w:val="-1"/>
          <w:w w:val="99"/>
        </w:rPr>
        <w:t>1</w:t>
      </w:r>
      <w:r>
        <w:rPr>
          <w:rFonts w:ascii="Arial" w:hAnsi="Arial" w:cs="Arial" w:eastAsia="Arial" w:hint="default"/>
          <w:w w:val="99"/>
        </w:rPr>
        <w:t>2</w:t>
      </w:r>
      <w:r>
        <w:rPr>
          <w:rFonts w:ascii="Arial" w:hAnsi="Arial" w:cs="Arial" w:eastAsia="Arial" w:hint="default"/>
          <w:spacing w:val="-6"/>
        </w:rPr>
        <w:t> </w:t>
      </w:r>
      <w:r>
        <w:rPr>
          <w:w w:val="99"/>
        </w:rPr>
        <w:t>月</w:t>
      </w:r>
      <w:r>
        <w:rPr>
          <w:spacing w:val="-50"/>
        </w:rPr>
        <w:t> </w:t>
      </w:r>
      <w:r>
        <w:rPr>
          <w:rFonts w:ascii="Arial" w:hAnsi="Arial" w:cs="Arial" w:eastAsia="Arial" w:hint="default"/>
          <w:spacing w:val="-1"/>
          <w:w w:val="99"/>
        </w:rPr>
        <w:t>3</w:t>
      </w:r>
      <w:r>
        <w:rPr>
          <w:rFonts w:ascii="Arial" w:hAnsi="Arial" w:cs="Arial" w:eastAsia="Arial" w:hint="default"/>
          <w:w w:val="99"/>
        </w:rPr>
        <w:t>1</w:t>
      </w:r>
      <w:r>
        <w:rPr>
          <w:rFonts w:ascii="Arial" w:hAnsi="Arial" w:cs="Arial" w:eastAsia="Arial" w:hint="default"/>
          <w:spacing w:val="-4"/>
        </w:rPr>
        <w:t> </w:t>
      </w:r>
      <w:r>
        <w:rPr>
          <w:w w:val="99"/>
        </w:rPr>
        <w:t>日余额增</w:t>
      </w:r>
      <w:r>
        <w:rPr/>
      </w:r>
    </w:p>
    <w:p>
      <w:pPr>
        <w:pStyle w:val="BodyText"/>
        <w:spacing w:line="269" w:lineRule="exact"/>
        <w:ind w:left="820" w:right="0"/>
        <w:jc w:val="left"/>
      </w:pPr>
      <w:r>
        <w:rPr/>
        <w:t>加</w:t>
      </w:r>
      <w:r>
        <w:rPr>
          <w:spacing w:val="-50"/>
        </w:rPr>
        <w:t> </w:t>
      </w:r>
      <w:r>
        <w:rPr>
          <w:rFonts w:ascii="Arial" w:hAnsi="Arial" w:cs="Arial" w:eastAsia="Arial" w:hint="default"/>
          <w:spacing w:val="-3"/>
        </w:rPr>
        <w:t>501%</w:t>
      </w:r>
      <w:r>
        <w:rPr>
          <w:spacing w:val="-3"/>
        </w:rPr>
        <w:t>，主要是由于用友政务和畅捷通预付供应商技术开发费人民币</w:t>
      </w:r>
      <w:r>
        <w:rPr>
          <w:spacing w:val="-47"/>
        </w:rPr>
        <w:t> </w:t>
      </w:r>
      <w:r>
        <w:rPr>
          <w:rFonts w:ascii="Arial" w:hAnsi="Arial" w:cs="Arial" w:eastAsia="Arial" w:hint="default"/>
        </w:rPr>
        <w:t>20,215,452</w:t>
      </w:r>
      <w:r>
        <w:rPr>
          <w:rFonts w:ascii="Arial" w:hAnsi="Arial" w:cs="Arial" w:eastAsia="Arial" w:hint="default"/>
          <w:spacing w:val="-6"/>
        </w:rPr>
        <w:t> </w:t>
      </w:r>
      <w:r>
        <w:rPr/>
        <w:t>元所致。</w:t>
      </w:r>
    </w:p>
    <w:p>
      <w:pPr>
        <w:spacing w:line="240" w:lineRule="auto" w:before="3"/>
        <w:rPr>
          <w:rFonts w:ascii="黑体" w:hAnsi="黑体" w:cs="黑体" w:eastAsia="黑体" w:hint="default"/>
          <w:sz w:val="26"/>
          <w:szCs w:val="26"/>
        </w:rPr>
      </w:pPr>
    </w:p>
    <w:p>
      <w:pPr>
        <w:pStyle w:val="BodyText"/>
        <w:tabs>
          <w:tab w:pos="803" w:val="left" w:leader="none"/>
        </w:tabs>
        <w:spacing w:line="268" w:lineRule="exact"/>
        <w:ind w:left="100" w:right="194"/>
        <w:jc w:val="left"/>
      </w:pPr>
      <w:r>
        <w:rPr>
          <w:rFonts w:ascii="Arial" w:hAnsi="Arial" w:cs="Arial" w:eastAsia="Arial" w:hint="default"/>
          <w:spacing w:val="-1"/>
        </w:rPr>
        <w:t>5.</w:t>
        <w:tab/>
      </w:r>
      <w:r>
        <w:rPr/>
        <w:t>固定资产</w:t>
      </w:r>
      <w:r>
        <w:rPr>
          <w:spacing w:val="-50"/>
        </w:rPr>
        <w:t> </w:t>
      </w:r>
      <w:r>
        <w:rPr>
          <w:rFonts w:ascii="Arial" w:hAnsi="Arial" w:cs="Arial" w:eastAsia="Arial" w:hint="default"/>
        </w:rPr>
        <w:t>2012</w:t>
      </w:r>
      <w:r>
        <w:rPr>
          <w:rFonts w:ascii="Arial" w:hAnsi="Arial" w:cs="Arial" w:eastAsia="Arial" w:hint="default"/>
          <w:spacing w:val="-8"/>
        </w:rPr>
        <w:t> </w:t>
      </w:r>
      <w:r>
        <w:rPr/>
        <w:t>年</w:t>
      </w:r>
      <w:r>
        <w:rPr>
          <w:spacing w:val="-50"/>
        </w:rPr>
        <w:t> </w:t>
      </w:r>
      <w:r>
        <w:rPr>
          <w:rFonts w:ascii="Arial" w:hAnsi="Arial" w:cs="Arial" w:eastAsia="Arial" w:hint="default"/>
          <w:spacing w:val="-1"/>
        </w:rPr>
        <w:t>12</w:t>
      </w:r>
      <w:r>
        <w:rPr>
          <w:rFonts w:ascii="Arial" w:hAnsi="Arial" w:cs="Arial" w:eastAsia="Arial" w:hint="default"/>
          <w:spacing w:val="-6"/>
        </w:rPr>
        <w:t> </w:t>
      </w:r>
      <w:r>
        <w:rPr/>
        <w:t>月</w:t>
      </w:r>
      <w:r>
        <w:rPr>
          <w:spacing w:val="-52"/>
        </w:rPr>
        <w:t> </w:t>
      </w:r>
      <w:r>
        <w:rPr>
          <w:rFonts w:ascii="Arial" w:hAnsi="Arial" w:cs="Arial" w:eastAsia="Arial" w:hint="default"/>
          <w:spacing w:val="-1"/>
        </w:rPr>
        <w:t>31</w:t>
      </w:r>
      <w:r>
        <w:rPr>
          <w:rFonts w:ascii="Arial" w:hAnsi="Arial" w:cs="Arial" w:eastAsia="Arial" w:hint="default"/>
          <w:spacing w:val="-6"/>
        </w:rPr>
        <w:t> </w:t>
      </w:r>
      <w:r>
        <w:rPr/>
        <w:t>日余额为人民币</w:t>
      </w:r>
      <w:r>
        <w:rPr>
          <w:spacing w:val="-50"/>
        </w:rPr>
        <w:t> </w:t>
      </w:r>
      <w:r>
        <w:rPr>
          <w:rFonts w:ascii="Arial" w:hAnsi="Arial" w:cs="Arial" w:eastAsia="Arial" w:hint="default"/>
        </w:rPr>
        <w:t>863,232,527</w:t>
      </w:r>
      <w:r>
        <w:rPr>
          <w:rFonts w:ascii="Arial" w:hAnsi="Arial" w:cs="Arial" w:eastAsia="Arial" w:hint="default"/>
          <w:spacing w:val="-8"/>
        </w:rPr>
        <w:t> </w:t>
      </w:r>
      <w:r>
        <w:rPr/>
        <w:t>元，较</w:t>
      </w:r>
      <w:r>
        <w:rPr>
          <w:spacing w:val="-52"/>
        </w:rPr>
        <w:t> </w:t>
      </w:r>
      <w:r>
        <w:rPr>
          <w:rFonts w:ascii="Arial" w:hAnsi="Arial" w:cs="Arial" w:eastAsia="Arial" w:hint="default"/>
        </w:rPr>
        <w:t>2011</w:t>
      </w:r>
      <w:r>
        <w:rPr>
          <w:rFonts w:ascii="Arial" w:hAnsi="Arial" w:cs="Arial" w:eastAsia="Arial" w:hint="default"/>
          <w:spacing w:val="-5"/>
        </w:rPr>
        <w:t> </w:t>
      </w:r>
      <w:r>
        <w:rPr/>
        <w:t>年</w:t>
      </w:r>
      <w:r>
        <w:rPr>
          <w:spacing w:val="-52"/>
        </w:rPr>
        <w:t> </w:t>
      </w:r>
      <w:r>
        <w:rPr>
          <w:rFonts w:ascii="Arial" w:hAnsi="Arial" w:cs="Arial" w:eastAsia="Arial" w:hint="default"/>
          <w:spacing w:val="-1"/>
        </w:rPr>
        <w:t>12</w:t>
      </w:r>
      <w:r>
        <w:rPr>
          <w:rFonts w:ascii="Arial" w:hAnsi="Arial" w:cs="Arial" w:eastAsia="Arial" w:hint="default"/>
          <w:spacing w:val="-6"/>
        </w:rPr>
        <w:t> </w:t>
      </w:r>
      <w:r>
        <w:rPr/>
        <w:t>月</w:t>
      </w:r>
      <w:r>
        <w:rPr>
          <w:spacing w:val="-52"/>
        </w:rPr>
        <w:t> </w:t>
      </w:r>
      <w:r>
        <w:rPr>
          <w:rFonts w:ascii="Arial" w:hAnsi="Arial" w:cs="Arial" w:eastAsia="Arial" w:hint="default"/>
          <w:spacing w:val="1"/>
        </w:rPr>
        <w:t>31</w:t>
      </w:r>
      <w:r>
        <w:rPr>
          <w:rFonts w:ascii="Arial" w:hAnsi="Arial" w:cs="Arial" w:eastAsia="Arial" w:hint="default"/>
          <w:spacing w:val="-5"/>
        </w:rPr>
        <w:t> </w:t>
      </w:r>
      <w:r>
        <w:rPr/>
        <w:t>日余额</w:t>
      </w:r>
    </w:p>
    <w:p>
      <w:pPr>
        <w:pStyle w:val="BodyText"/>
        <w:spacing w:line="260" w:lineRule="exact" w:before="17"/>
        <w:ind w:left="820" w:right="296"/>
        <w:jc w:val="left"/>
      </w:pPr>
      <w:r>
        <w:rPr/>
        <w:t>增加</w:t>
      </w:r>
      <w:r>
        <w:rPr>
          <w:spacing w:val="-58"/>
        </w:rPr>
        <w:t> </w:t>
      </w:r>
      <w:r>
        <w:rPr>
          <w:rFonts w:ascii="Arial" w:hAnsi="Arial" w:cs="Arial" w:eastAsia="Arial" w:hint="default"/>
        </w:rPr>
        <w:t>8%</w:t>
      </w:r>
      <w:r>
        <w:rPr/>
        <w:t>，主要是由于本公司在建工程已经达到预定可使用状态，于</w:t>
      </w:r>
      <w:r>
        <w:rPr>
          <w:spacing w:val="-56"/>
        </w:rPr>
        <w:t> </w:t>
      </w:r>
      <w:r>
        <w:rPr>
          <w:rFonts w:ascii="Arial" w:hAnsi="Arial" w:cs="Arial" w:eastAsia="Arial" w:hint="default"/>
        </w:rPr>
        <w:t>2012</w:t>
      </w:r>
      <w:r>
        <w:rPr>
          <w:rFonts w:ascii="Arial" w:hAnsi="Arial" w:cs="Arial" w:eastAsia="Arial" w:hint="default"/>
          <w:spacing w:val="-14"/>
        </w:rPr>
        <w:t> </w:t>
      </w:r>
      <w:r>
        <w:rPr/>
        <w:t>年</w:t>
      </w:r>
      <w:r>
        <w:rPr>
          <w:spacing w:val="-58"/>
        </w:rPr>
        <w:t> </w:t>
      </w:r>
      <w:r>
        <w:rPr>
          <w:rFonts w:ascii="Arial" w:hAnsi="Arial" w:cs="Arial" w:eastAsia="Arial" w:hint="default"/>
        </w:rPr>
        <w:t>10</w:t>
      </w:r>
      <w:r>
        <w:rPr>
          <w:rFonts w:ascii="Arial" w:hAnsi="Arial" w:cs="Arial" w:eastAsia="Arial" w:hint="default"/>
          <w:spacing w:val="-12"/>
        </w:rPr>
        <w:t> </w:t>
      </w:r>
      <w:r>
        <w:rPr/>
        <w:t>月转入固</w:t>
      </w:r>
      <w:r>
        <w:rPr>
          <w:w w:val="99"/>
        </w:rPr>
        <w:t> </w:t>
      </w:r>
      <w:r>
        <w:rPr/>
        <w:t>定资产所致。</w:t>
      </w:r>
    </w:p>
    <w:p>
      <w:pPr>
        <w:spacing w:line="240" w:lineRule="auto" w:before="6"/>
        <w:rPr>
          <w:rFonts w:ascii="黑体" w:hAnsi="黑体" w:cs="黑体" w:eastAsia="黑体" w:hint="default"/>
          <w:sz w:val="27"/>
          <w:szCs w:val="27"/>
        </w:rPr>
      </w:pPr>
    </w:p>
    <w:p>
      <w:pPr>
        <w:pStyle w:val="BodyText"/>
        <w:spacing w:line="260" w:lineRule="exact"/>
        <w:ind w:left="820" w:right="301" w:hanging="720"/>
        <w:jc w:val="both"/>
      </w:pPr>
      <w:r>
        <w:rPr>
          <w:rFonts w:ascii="Arial" w:hAnsi="Arial" w:cs="Arial" w:eastAsia="Arial" w:hint="default"/>
        </w:rPr>
        <w:t>6.  </w:t>
      </w:r>
      <w:r>
        <w:rPr>
          <w:rFonts w:ascii="Arial" w:hAnsi="Arial" w:cs="Arial" w:eastAsia="Arial" w:hint="default"/>
          <w:spacing w:val="25"/>
        </w:rPr>
        <w:t> </w:t>
      </w:r>
      <w:r>
        <w:rPr/>
        <w:t>在建工程</w:t>
      </w:r>
      <w:r>
        <w:rPr>
          <w:spacing w:val="-50"/>
        </w:rPr>
        <w:t> </w:t>
      </w:r>
      <w:r>
        <w:rPr>
          <w:rFonts w:ascii="Arial" w:hAnsi="Arial" w:cs="Arial" w:eastAsia="Arial" w:hint="default"/>
        </w:rPr>
        <w:t>2012</w:t>
      </w:r>
      <w:r>
        <w:rPr>
          <w:rFonts w:ascii="Arial" w:hAnsi="Arial" w:cs="Arial" w:eastAsia="Arial" w:hint="default"/>
          <w:spacing w:val="-7"/>
        </w:rPr>
        <w:t> </w:t>
      </w:r>
      <w:r>
        <w:rPr/>
        <w:t>年</w:t>
      </w:r>
      <w:r>
        <w:rPr>
          <w:spacing w:val="-50"/>
        </w:rPr>
        <w:t> </w:t>
      </w:r>
      <w:r>
        <w:rPr>
          <w:rFonts w:ascii="Arial" w:hAnsi="Arial" w:cs="Arial" w:eastAsia="Arial" w:hint="default"/>
        </w:rPr>
        <w:t>12</w:t>
      </w:r>
      <w:r>
        <w:rPr>
          <w:rFonts w:ascii="Arial" w:hAnsi="Arial" w:cs="Arial" w:eastAsia="Arial" w:hint="default"/>
          <w:spacing w:val="-6"/>
        </w:rPr>
        <w:t> </w:t>
      </w:r>
      <w:r>
        <w:rPr/>
        <w:t>月</w:t>
      </w:r>
      <w:r>
        <w:rPr>
          <w:spacing w:val="-51"/>
        </w:rPr>
        <w:t> </w:t>
      </w:r>
      <w:r>
        <w:rPr>
          <w:rFonts w:ascii="Arial" w:hAnsi="Arial" w:cs="Arial" w:eastAsia="Arial" w:hint="default"/>
        </w:rPr>
        <w:t>31</w:t>
      </w:r>
      <w:r>
        <w:rPr>
          <w:rFonts w:ascii="Arial" w:hAnsi="Arial" w:cs="Arial" w:eastAsia="Arial" w:hint="default"/>
          <w:spacing w:val="-6"/>
        </w:rPr>
        <w:t> </w:t>
      </w:r>
      <w:r>
        <w:rPr/>
        <w:t>日余额为人民币</w:t>
      </w:r>
      <w:r>
        <w:rPr>
          <w:spacing w:val="-50"/>
        </w:rPr>
        <w:t> </w:t>
      </w:r>
      <w:r>
        <w:rPr>
          <w:rFonts w:ascii="Arial" w:hAnsi="Arial" w:cs="Arial" w:eastAsia="Arial" w:hint="default"/>
        </w:rPr>
        <w:t>526,077,920</w:t>
      </w:r>
      <w:r>
        <w:rPr>
          <w:rFonts w:ascii="Arial" w:hAnsi="Arial" w:cs="Arial" w:eastAsia="Arial" w:hint="default"/>
          <w:spacing w:val="-7"/>
        </w:rPr>
        <w:t> </w:t>
      </w:r>
      <w:r>
        <w:rPr/>
        <w:t>元，较</w:t>
      </w:r>
      <w:r>
        <w:rPr>
          <w:spacing w:val="-51"/>
        </w:rPr>
        <w:t> </w:t>
      </w:r>
      <w:r>
        <w:rPr>
          <w:rFonts w:ascii="Arial" w:hAnsi="Arial" w:cs="Arial" w:eastAsia="Arial" w:hint="default"/>
        </w:rPr>
        <w:t>2011</w:t>
      </w:r>
      <w:r>
        <w:rPr>
          <w:rFonts w:ascii="Arial" w:hAnsi="Arial" w:cs="Arial" w:eastAsia="Arial" w:hint="default"/>
          <w:spacing w:val="-5"/>
        </w:rPr>
        <w:t> </w:t>
      </w:r>
      <w:r>
        <w:rPr/>
        <w:t>年</w:t>
      </w:r>
      <w:r>
        <w:rPr>
          <w:spacing w:val="-51"/>
        </w:rPr>
        <w:t> </w:t>
      </w:r>
      <w:r>
        <w:rPr>
          <w:rFonts w:ascii="Arial" w:hAnsi="Arial" w:cs="Arial" w:eastAsia="Arial" w:hint="default"/>
        </w:rPr>
        <w:t>12</w:t>
      </w:r>
      <w:r>
        <w:rPr>
          <w:rFonts w:ascii="Arial" w:hAnsi="Arial" w:cs="Arial" w:eastAsia="Arial" w:hint="default"/>
          <w:spacing w:val="-6"/>
        </w:rPr>
        <w:t> </w:t>
      </w:r>
      <w:r>
        <w:rPr/>
        <w:t>月</w:t>
      </w:r>
      <w:r>
        <w:rPr>
          <w:spacing w:val="-51"/>
        </w:rPr>
        <w:t> </w:t>
      </w:r>
      <w:r>
        <w:rPr>
          <w:rFonts w:ascii="Arial" w:hAnsi="Arial" w:cs="Arial" w:eastAsia="Arial" w:hint="default"/>
        </w:rPr>
        <w:t>31</w:t>
      </w:r>
      <w:r>
        <w:rPr>
          <w:rFonts w:ascii="Arial" w:hAnsi="Arial" w:cs="Arial" w:eastAsia="Arial" w:hint="default"/>
          <w:spacing w:val="-5"/>
        </w:rPr>
        <w:t> </w:t>
      </w:r>
      <w:r>
        <w:rPr/>
        <w:t>日余额</w:t>
      </w:r>
      <w:r>
        <w:rPr>
          <w:w w:val="99"/>
        </w:rPr>
        <w:t> </w:t>
      </w:r>
      <w:r>
        <w:rPr/>
        <w:t>增加</w:t>
      </w:r>
      <w:r>
        <w:rPr>
          <w:spacing w:val="-54"/>
        </w:rPr>
        <w:t> </w:t>
      </w:r>
      <w:r>
        <w:rPr>
          <w:rFonts w:ascii="Arial" w:hAnsi="Arial" w:cs="Arial" w:eastAsia="Arial" w:hint="default"/>
          <w:spacing w:val="-4"/>
        </w:rPr>
        <w:t>57%</w:t>
      </w:r>
      <w:r>
        <w:rPr>
          <w:spacing w:val="-4"/>
        </w:rPr>
        <w:t>，主要是由于本年在建工程投入人民币</w:t>
      </w:r>
      <w:r>
        <w:rPr>
          <w:spacing w:val="-54"/>
        </w:rPr>
        <w:t> </w:t>
      </w:r>
      <w:r>
        <w:rPr>
          <w:rFonts w:ascii="Arial" w:hAnsi="Arial" w:cs="Arial" w:eastAsia="Arial" w:hint="default"/>
        </w:rPr>
        <w:t>302,944,893</w:t>
      </w:r>
      <w:r>
        <w:rPr>
          <w:rFonts w:ascii="Arial" w:hAnsi="Arial" w:cs="Arial" w:eastAsia="Arial" w:hint="default"/>
          <w:spacing w:val="-10"/>
        </w:rPr>
        <w:t> </w:t>
      </w:r>
      <w:r>
        <w:rPr/>
        <w:t>元以及本年在建工程转入固</w:t>
      </w:r>
      <w:r>
        <w:rPr>
          <w:w w:val="99"/>
        </w:rPr>
        <w:t> </w:t>
      </w:r>
      <w:r>
        <w:rPr/>
        <w:t>定资产人民币</w:t>
      </w:r>
      <w:r>
        <w:rPr>
          <w:spacing w:val="-56"/>
        </w:rPr>
        <w:t> </w:t>
      </w:r>
      <w:r>
        <w:rPr>
          <w:rFonts w:ascii="Arial" w:hAnsi="Arial" w:cs="Arial" w:eastAsia="Arial" w:hint="default"/>
        </w:rPr>
        <w:t>112,754,773</w:t>
      </w:r>
      <w:r>
        <w:rPr>
          <w:rFonts w:ascii="Arial" w:hAnsi="Arial" w:cs="Arial" w:eastAsia="Arial" w:hint="default"/>
          <w:spacing w:val="-9"/>
        </w:rPr>
        <w:t> </w:t>
      </w:r>
      <w:r>
        <w:rPr/>
        <w:t>元所致。</w:t>
      </w:r>
    </w:p>
    <w:p>
      <w:pPr>
        <w:spacing w:line="240" w:lineRule="auto" w:before="6"/>
        <w:rPr>
          <w:rFonts w:ascii="黑体" w:hAnsi="黑体" w:cs="黑体" w:eastAsia="黑体" w:hint="default"/>
          <w:sz w:val="27"/>
          <w:szCs w:val="27"/>
        </w:rPr>
      </w:pPr>
    </w:p>
    <w:p>
      <w:pPr>
        <w:pStyle w:val="BodyText"/>
        <w:tabs>
          <w:tab w:pos="803" w:val="left" w:leader="none"/>
        </w:tabs>
        <w:spacing w:line="260" w:lineRule="exact"/>
        <w:ind w:left="819" w:right="203" w:hanging="720"/>
        <w:jc w:val="left"/>
      </w:pPr>
      <w:r>
        <w:rPr>
          <w:rFonts w:ascii="Arial" w:hAnsi="Arial" w:cs="Arial" w:eastAsia="Arial" w:hint="default"/>
          <w:spacing w:val="-1"/>
        </w:rPr>
        <w:t>7.</w:t>
        <w:tab/>
      </w:r>
      <w:r>
        <w:rPr/>
        <w:t>无形资产</w:t>
      </w:r>
      <w:r>
        <w:rPr>
          <w:spacing w:val="-50"/>
        </w:rPr>
        <w:t> </w:t>
      </w:r>
      <w:r>
        <w:rPr>
          <w:rFonts w:ascii="Arial" w:hAnsi="Arial" w:cs="Arial" w:eastAsia="Arial" w:hint="default"/>
        </w:rPr>
        <w:t>2012</w:t>
      </w:r>
      <w:r>
        <w:rPr>
          <w:rFonts w:ascii="Arial" w:hAnsi="Arial" w:cs="Arial" w:eastAsia="Arial" w:hint="default"/>
          <w:spacing w:val="-8"/>
        </w:rPr>
        <w:t> </w:t>
      </w:r>
      <w:r>
        <w:rPr/>
        <w:t>年</w:t>
      </w:r>
      <w:r>
        <w:rPr>
          <w:spacing w:val="-50"/>
        </w:rPr>
        <w:t> </w:t>
      </w:r>
      <w:r>
        <w:rPr>
          <w:rFonts w:ascii="Arial" w:hAnsi="Arial" w:cs="Arial" w:eastAsia="Arial" w:hint="default"/>
          <w:spacing w:val="-1"/>
        </w:rPr>
        <w:t>12</w:t>
      </w:r>
      <w:r>
        <w:rPr>
          <w:rFonts w:ascii="Arial" w:hAnsi="Arial" w:cs="Arial" w:eastAsia="Arial" w:hint="default"/>
          <w:spacing w:val="-6"/>
        </w:rPr>
        <w:t> </w:t>
      </w:r>
      <w:r>
        <w:rPr/>
        <w:t>月</w:t>
      </w:r>
      <w:r>
        <w:rPr>
          <w:spacing w:val="-52"/>
        </w:rPr>
        <w:t> </w:t>
      </w:r>
      <w:r>
        <w:rPr>
          <w:rFonts w:ascii="Arial" w:hAnsi="Arial" w:cs="Arial" w:eastAsia="Arial" w:hint="default"/>
          <w:spacing w:val="-1"/>
        </w:rPr>
        <w:t>31</w:t>
      </w:r>
      <w:r>
        <w:rPr>
          <w:rFonts w:ascii="Arial" w:hAnsi="Arial" w:cs="Arial" w:eastAsia="Arial" w:hint="default"/>
          <w:spacing w:val="-6"/>
        </w:rPr>
        <w:t> </w:t>
      </w:r>
      <w:r>
        <w:rPr/>
        <w:t>日余额为人民币</w:t>
      </w:r>
      <w:r>
        <w:rPr>
          <w:spacing w:val="-50"/>
        </w:rPr>
        <w:t> </w:t>
      </w:r>
      <w:r>
        <w:rPr>
          <w:rFonts w:ascii="Arial" w:hAnsi="Arial" w:cs="Arial" w:eastAsia="Arial" w:hint="default"/>
        </w:rPr>
        <w:t>374,370,913</w:t>
      </w:r>
      <w:r>
        <w:rPr>
          <w:rFonts w:ascii="Arial" w:hAnsi="Arial" w:cs="Arial" w:eastAsia="Arial" w:hint="default"/>
          <w:spacing w:val="-8"/>
        </w:rPr>
        <w:t> </w:t>
      </w:r>
      <w:r>
        <w:rPr/>
        <w:t>元，较</w:t>
      </w:r>
      <w:r>
        <w:rPr>
          <w:spacing w:val="-52"/>
        </w:rPr>
        <w:t> </w:t>
      </w:r>
      <w:r>
        <w:rPr>
          <w:rFonts w:ascii="Arial" w:hAnsi="Arial" w:cs="Arial" w:eastAsia="Arial" w:hint="default"/>
        </w:rPr>
        <w:t>2011</w:t>
      </w:r>
      <w:r>
        <w:rPr>
          <w:rFonts w:ascii="Arial" w:hAnsi="Arial" w:cs="Arial" w:eastAsia="Arial" w:hint="default"/>
          <w:spacing w:val="-5"/>
        </w:rPr>
        <w:t> </w:t>
      </w:r>
      <w:r>
        <w:rPr/>
        <w:t>年</w:t>
      </w:r>
      <w:r>
        <w:rPr>
          <w:spacing w:val="-52"/>
        </w:rPr>
        <w:t> </w:t>
      </w:r>
      <w:r>
        <w:rPr>
          <w:rFonts w:ascii="Arial" w:hAnsi="Arial" w:cs="Arial" w:eastAsia="Arial" w:hint="default"/>
          <w:spacing w:val="-1"/>
        </w:rPr>
        <w:t>12</w:t>
      </w:r>
      <w:r>
        <w:rPr>
          <w:rFonts w:ascii="Arial" w:hAnsi="Arial" w:cs="Arial" w:eastAsia="Arial" w:hint="default"/>
          <w:spacing w:val="-6"/>
        </w:rPr>
        <w:t> </w:t>
      </w:r>
      <w:r>
        <w:rPr/>
        <w:t>月</w:t>
      </w:r>
      <w:r>
        <w:rPr>
          <w:spacing w:val="-52"/>
        </w:rPr>
        <w:t> </w:t>
      </w:r>
      <w:r>
        <w:rPr>
          <w:rFonts w:ascii="Arial" w:hAnsi="Arial" w:cs="Arial" w:eastAsia="Arial" w:hint="default"/>
          <w:spacing w:val="1"/>
        </w:rPr>
        <w:t>31</w:t>
      </w:r>
      <w:r>
        <w:rPr>
          <w:rFonts w:ascii="Arial" w:hAnsi="Arial" w:cs="Arial" w:eastAsia="Arial" w:hint="default"/>
          <w:spacing w:val="-5"/>
        </w:rPr>
        <w:t> </w:t>
      </w:r>
      <w:r>
        <w:rPr/>
        <w:t>日余额</w:t>
      </w:r>
      <w:r>
        <w:rPr>
          <w:w w:val="99"/>
        </w:rPr>
        <w:t> </w:t>
      </w:r>
      <w:r>
        <w:rPr/>
        <w:t>减少</w:t>
      </w:r>
      <w:r>
        <w:rPr>
          <w:spacing w:val="-55"/>
        </w:rPr>
        <w:t> </w:t>
      </w:r>
      <w:r>
        <w:rPr>
          <w:rFonts w:ascii="Arial" w:hAnsi="Arial" w:cs="Arial" w:eastAsia="Arial" w:hint="default"/>
        </w:rPr>
        <w:t>6%</w:t>
      </w:r>
      <w:r>
        <w:rPr/>
        <w:t>，主要是由于本年摊销人民币</w:t>
      </w:r>
      <w:r>
        <w:rPr>
          <w:spacing w:val="-55"/>
        </w:rPr>
        <w:t> </w:t>
      </w:r>
      <w:r>
        <w:rPr>
          <w:rFonts w:ascii="Arial" w:hAnsi="Arial" w:cs="Arial" w:eastAsia="Arial" w:hint="default"/>
        </w:rPr>
        <w:t>25,970,054</w:t>
      </w:r>
      <w:r>
        <w:rPr>
          <w:rFonts w:ascii="Arial" w:hAnsi="Arial" w:cs="Arial" w:eastAsia="Arial" w:hint="default"/>
          <w:spacing w:val="-7"/>
        </w:rPr>
        <w:t> </w:t>
      </w:r>
      <w:r>
        <w:rPr>
          <w:spacing w:val="2"/>
        </w:rPr>
        <w:t>元所致，本年度无新增大额无形资产。</w:t>
      </w:r>
    </w:p>
    <w:p>
      <w:pPr>
        <w:spacing w:line="240" w:lineRule="auto" w:before="6"/>
        <w:rPr>
          <w:rFonts w:ascii="黑体" w:hAnsi="黑体" w:cs="黑体" w:eastAsia="黑体" w:hint="default"/>
          <w:sz w:val="27"/>
          <w:szCs w:val="27"/>
        </w:rPr>
      </w:pPr>
    </w:p>
    <w:p>
      <w:pPr>
        <w:pStyle w:val="BodyText"/>
        <w:tabs>
          <w:tab w:pos="803" w:val="left" w:leader="none"/>
        </w:tabs>
        <w:spacing w:line="260" w:lineRule="exact"/>
        <w:ind w:left="820" w:right="200" w:hanging="721"/>
        <w:jc w:val="left"/>
      </w:pPr>
      <w:r>
        <w:rPr>
          <w:rFonts w:ascii="Arial" w:hAnsi="Arial" w:cs="Arial" w:eastAsia="Arial" w:hint="default"/>
          <w:spacing w:val="-1"/>
        </w:rPr>
        <w:t>8.</w:t>
        <w:tab/>
      </w:r>
      <w:r>
        <w:rPr/>
        <w:t>开发支出</w:t>
      </w:r>
      <w:r>
        <w:rPr>
          <w:spacing w:val="-45"/>
        </w:rPr>
        <w:t> </w:t>
      </w:r>
      <w:r>
        <w:rPr>
          <w:rFonts w:ascii="Arial" w:hAnsi="Arial" w:cs="Arial" w:eastAsia="Arial" w:hint="default"/>
        </w:rPr>
        <w:t>2012</w:t>
      </w:r>
      <w:r>
        <w:rPr>
          <w:rFonts w:ascii="Arial" w:hAnsi="Arial" w:cs="Arial" w:eastAsia="Arial" w:hint="default"/>
          <w:spacing w:val="-3"/>
        </w:rPr>
        <w:t> </w:t>
      </w:r>
      <w:r>
        <w:rPr/>
        <w:t>年</w:t>
      </w:r>
      <w:r>
        <w:rPr>
          <w:spacing w:val="-45"/>
        </w:rPr>
        <w:t> </w:t>
      </w:r>
      <w:r>
        <w:rPr>
          <w:rFonts w:ascii="Arial" w:hAnsi="Arial" w:cs="Arial" w:eastAsia="Arial" w:hint="default"/>
          <w:spacing w:val="-1"/>
        </w:rPr>
        <w:t>12 </w:t>
      </w:r>
      <w:r>
        <w:rPr/>
        <w:t>月</w:t>
      </w:r>
      <w:r>
        <w:rPr>
          <w:spacing w:val="-47"/>
        </w:rPr>
        <w:t> </w:t>
      </w:r>
      <w:r>
        <w:rPr>
          <w:rFonts w:ascii="Arial" w:hAnsi="Arial" w:cs="Arial" w:eastAsia="Arial" w:hint="default"/>
          <w:spacing w:val="-1"/>
        </w:rPr>
        <w:t>31 </w:t>
      </w:r>
      <w:r>
        <w:rPr/>
        <w:t>日余额为人民币</w:t>
      </w:r>
      <w:r>
        <w:rPr>
          <w:spacing w:val="-45"/>
        </w:rPr>
        <w:t> </w:t>
      </w:r>
      <w:r>
        <w:rPr>
          <w:rFonts w:ascii="Arial" w:hAnsi="Arial" w:cs="Arial" w:eastAsia="Arial" w:hint="default"/>
        </w:rPr>
        <w:t>40,310,781</w:t>
      </w:r>
      <w:r>
        <w:rPr>
          <w:rFonts w:ascii="Arial" w:hAnsi="Arial" w:cs="Arial" w:eastAsia="Arial" w:hint="default"/>
          <w:spacing w:val="-3"/>
        </w:rPr>
        <w:t> </w:t>
      </w:r>
      <w:r>
        <w:rPr/>
        <w:t>元，</w:t>
      </w:r>
      <w:r>
        <w:rPr>
          <w:rFonts w:ascii="Arial" w:hAnsi="Arial" w:cs="Arial" w:eastAsia="Arial" w:hint="default"/>
        </w:rPr>
        <w:t>2011</w:t>
      </w:r>
      <w:r>
        <w:rPr>
          <w:rFonts w:ascii="Arial" w:hAnsi="Arial" w:cs="Arial" w:eastAsia="Arial" w:hint="default"/>
          <w:spacing w:val="-3"/>
        </w:rPr>
        <w:t> </w:t>
      </w:r>
      <w:r>
        <w:rPr/>
        <w:t>年</w:t>
      </w:r>
      <w:r>
        <w:rPr>
          <w:spacing w:val="-47"/>
        </w:rPr>
        <w:t> </w:t>
      </w:r>
      <w:r>
        <w:rPr>
          <w:rFonts w:ascii="Arial" w:hAnsi="Arial" w:cs="Arial" w:eastAsia="Arial" w:hint="default"/>
          <w:spacing w:val="1"/>
        </w:rPr>
        <w:t>12</w:t>
      </w:r>
      <w:r>
        <w:rPr>
          <w:rFonts w:ascii="Arial" w:hAnsi="Arial" w:cs="Arial" w:eastAsia="Arial" w:hint="default"/>
          <w:spacing w:val="-3"/>
        </w:rPr>
        <w:t> </w:t>
      </w:r>
      <w:r>
        <w:rPr/>
        <w:t>月</w:t>
      </w:r>
      <w:r>
        <w:rPr>
          <w:spacing w:val="-45"/>
        </w:rPr>
        <w:t> </w:t>
      </w:r>
      <w:r>
        <w:rPr>
          <w:rFonts w:ascii="Arial" w:hAnsi="Arial" w:cs="Arial" w:eastAsia="Arial" w:hint="default"/>
          <w:spacing w:val="-1"/>
        </w:rPr>
        <w:t>31</w:t>
      </w:r>
      <w:r>
        <w:rPr>
          <w:rFonts w:ascii="Arial" w:hAnsi="Arial" w:cs="Arial" w:eastAsia="Arial" w:hint="default"/>
          <w:spacing w:val="-3"/>
        </w:rPr>
        <w:t> </w:t>
      </w:r>
      <w:r>
        <w:rPr/>
        <w:t>日无余额，</w:t>
      </w:r>
      <w:r>
        <w:rPr>
          <w:w w:val="99"/>
        </w:rPr>
        <w:t> 主要是由于本年本集团</w:t>
      </w:r>
      <w:r>
        <w:rPr>
          <w:spacing w:val="-52"/>
          <w:w w:val="99"/>
        </w:rPr>
        <w:t> </w:t>
      </w:r>
      <w:r>
        <w:rPr>
          <w:rFonts w:ascii="Arial" w:hAnsi="Arial" w:cs="Arial" w:eastAsia="Arial" w:hint="default"/>
          <w:w w:val="99"/>
        </w:rPr>
        <w:t>PaaS</w:t>
      </w:r>
      <w:r>
        <w:rPr>
          <w:rFonts w:ascii="Arial" w:hAnsi="Arial" w:cs="Arial" w:eastAsia="Arial" w:hint="default"/>
          <w:spacing w:val="-8"/>
          <w:w w:val="99"/>
        </w:rPr>
        <w:t> </w:t>
      </w:r>
      <w:r>
        <w:rPr>
          <w:w w:val="99"/>
        </w:rPr>
        <w:t>云平台等</w:t>
      </w:r>
      <w:r>
        <w:rPr>
          <w:spacing w:val="-49"/>
          <w:w w:val="99"/>
        </w:rPr>
        <w:t> </w:t>
      </w:r>
      <w:r>
        <w:rPr>
          <w:rFonts w:ascii="Arial" w:hAnsi="Arial" w:cs="Arial" w:eastAsia="Arial" w:hint="default"/>
          <w:w w:val="99"/>
        </w:rPr>
        <w:t>4</w:t>
      </w:r>
      <w:r>
        <w:rPr>
          <w:rFonts w:ascii="Arial" w:hAnsi="Arial" w:cs="Arial" w:eastAsia="Arial" w:hint="default"/>
          <w:spacing w:val="-8"/>
          <w:w w:val="99"/>
        </w:rPr>
        <w:t> </w:t>
      </w:r>
      <w:r>
        <w:rPr>
          <w:spacing w:val="-4"/>
          <w:w w:val="99"/>
        </w:rPr>
        <w:t>个开发项目已进入到开发阶段、开始资本化所致。</w:t>
      </w:r>
      <w:r>
        <w:rPr>
          <w:spacing w:val="-4"/>
        </w:rPr>
      </w:r>
    </w:p>
    <w:p>
      <w:pPr>
        <w:spacing w:line="240" w:lineRule="auto" w:before="1"/>
        <w:rPr>
          <w:rFonts w:ascii="黑体" w:hAnsi="黑体" w:cs="黑体" w:eastAsia="黑体" w:hint="default"/>
          <w:sz w:val="18"/>
          <w:szCs w:val="18"/>
        </w:rPr>
      </w:pPr>
    </w:p>
    <w:p>
      <w:pPr>
        <w:pStyle w:val="BodyText"/>
        <w:tabs>
          <w:tab w:pos="803" w:val="left" w:leader="none"/>
        </w:tabs>
        <w:spacing w:line="260" w:lineRule="exact"/>
        <w:ind w:left="820" w:right="303" w:hanging="721"/>
        <w:jc w:val="left"/>
      </w:pPr>
      <w:r>
        <w:rPr>
          <w:rFonts w:ascii="Arial" w:hAnsi="Arial" w:cs="Arial" w:eastAsia="Arial" w:hint="default"/>
          <w:spacing w:val="-1"/>
        </w:rPr>
        <w:t>9.</w:t>
        <w:tab/>
      </w:r>
      <w:r>
        <w:rPr/>
        <w:t>短期借款</w:t>
      </w:r>
      <w:r>
        <w:rPr>
          <w:spacing w:val="-46"/>
        </w:rPr>
        <w:t> </w:t>
      </w:r>
      <w:r>
        <w:rPr>
          <w:rFonts w:ascii="Arial" w:hAnsi="Arial" w:cs="Arial" w:eastAsia="Arial" w:hint="default"/>
        </w:rPr>
        <w:t>2012</w:t>
      </w:r>
      <w:r>
        <w:rPr>
          <w:rFonts w:ascii="Arial" w:hAnsi="Arial" w:cs="Arial" w:eastAsia="Arial" w:hint="default"/>
          <w:spacing w:val="-4"/>
        </w:rPr>
        <w:t> </w:t>
      </w:r>
      <w:r>
        <w:rPr/>
        <w:t>年</w:t>
      </w:r>
      <w:r>
        <w:rPr>
          <w:spacing w:val="-46"/>
        </w:rPr>
        <w:t> </w:t>
      </w:r>
      <w:r>
        <w:rPr>
          <w:rFonts w:ascii="Arial" w:hAnsi="Arial" w:cs="Arial" w:eastAsia="Arial" w:hint="default"/>
          <w:spacing w:val="-1"/>
        </w:rPr>
        <w:t>12</w:t>
      </w:r>
      <w:r>
        <w:rPr>
          <w:rFonts w:ascii="Arial" w:hAnsi="Arial" w:cs="Arial" w:eastAsia="Arial" w:hint="default"/>
          <w:spacing w:val="-2"/>
        </w:rPr>
        <w:t> </w:t>
      </w:r>
      <w:r>
        <w:rPr/>
        <w:t>月</w:t>
      </w:r>
      <w:r>
        <w:rPr>
          <w:spacing w:val="-49"/>
        </w:rPr>
        <w:t> </w:t>
      </w:r>
      <w:r>
        <w:rPr>
          <w:rFonts w:ascii="Arial" w:hAnsi="Arial" w:cs="Arial" w:eastAsia="Arial" w:hint="default"/>
          <w:spacing w:val="-1"/>
        </w:rPr>
        <w:t>31</w:t>
      </w:r>
      <w:r>
        <w:rPr>
          <w:rFonts w:ascii="Arial" w:hAnsi="Arial" w:cs="Arial" w:eastAsia="Arial" w:hint="default"/>
          <w:spacing w:val="-2"/>
        </w:rPr>
        <w:t> </w:t>
      </w:r>
      <w:r>
        <w:rPr/>
        <w:t>日余额为人民币</w:t>
      </w:r>
      <w:r>
        <w:rPr>
          <w:spacing w:val="-46"/>
        </w:rPr>
        <w:t> </w:t>
      </w:r>
      <w:r>
        <w:rPr>
          <w:rFonts w:ascii="Arial" w:hAnsi="Arial" w:cs="Arial" w:eastAsia="Arial" w:hint="default"/>
          <w:spacing w:val="-1"/>
        </w:rPr>
        <w:t>1,010,000,000</w:t>
      </w:r>
      <w:r>
        <w:rPr>
          <w:rFonts w:ascii="Arial" w:hAnsi="Arial" w:cs="Arial" w:eastAsia="Arial" w:hint="default"/>
          <w:spacing w:val="-4"/>
        </w:rPr>
        <w:t> </w:t>
      </w:r>
      <w:r>
        <w:rPr/>
        <w:t>元，较</w:t>
      </w:r>
      <w:r>
        <w:rPr>
          <w:spacing w:val="-46"/>
        </w:rPr>
        <w:t> </w:t>
      </w:r>
      <w:r>
        <w:rPr>
          <w:rFonts w:ascii="Arial" w:hAnsi="Arial" w:cs="Arial" w:eastAsia="Arial" w:hint="default"/>
        </w:rPr>
        <w:t>2011</w:t>
      </w:r>
      <w:r>
        <w:rPr>
          <w:rFonts w:ascii="Arial" w:hAnsi="Arial" w:cs="Arial" w:eastAsia="Arial" w:hint="default"/>
          <w:spacing w:val="-4"/>
        </w:rPr>
        <w:t> </w:t>
      </w:r>
      <w:r>
        <w:rPr/>
        <w:t>年</w:t>
      </w:r>
      <w:r>
        <w:rPr>
          <w:spacing w:val="-46"/>
        </w:rPr>
        <w:t> </w:t>
      </w:r>
      <w:r>
        <w:rPr>
          <w:rFonts w:ascii="Arial" w:hAnsi="Arial" w:cs="Arial" w:eastAsia="Arial" w:hint="default"/>
          <w:spacing w:val="-1"/>
        </w:rPr>
        <w:t>12</w:t>
      </w:r>
      <w:r>
        <w:rPr>
          <w:rFonts w:ascii="Arial" w:hAnsi="Arial" w:cs="Arial" w:eastAsia="Arial" w:hint="default"/>
          <w:spacing w:val="-5"/>
        </w:rPr>
        <w:t> </w:t>
      </w:r>
      <w:r>
        <w:rPr/>
        <w:t>月</w:t>
      </w:r>
      <w:r>
        <w:rPr>
          <w:spacing w:val="-46"/>
        </w:rPr>
        <w:t> </w:t>
      </w:r>
      <w:r>
        <w:rPr>
          <w:rFonts w:ascii="Arial" w:hAnsi="Arial" w:cs="Arial" w:eastAsia="Arial" w:hint="default"/>
          <w:spacing w:val="1"/>
        </w:rPr>
        <w:t>31</w:t>
      </w:r>
      <w:r>
        <w:rPr>
          <w:rFonts w:ascii="Arial" w:hAnsi="Arial" w:cs="Arial" w:eastAsia="Arial" w:hint="default"/>
          <w:spacing w:val="-4"/>
        </w:rPr>
        <w:t> </w:t>
      </w:r>
      <w:r>
        <w:rPr/>
        <w:t>日余</w:t>
      </w:r>
      <w:r>
        <w:rPr>
          <w:w w:val="99"/>
        </w:rPr>
        <w:t> </w:t>
      </w:r>
      <w:r>
        <w:rPr/>
        <w:t>额增加</w:t>
      </w:r>
      <w:r>
        <w:rPr>
          <w:spacing w:val="-54"/>
        </w:rPr>
        <w:t> </w:t>
      </w:r>
      <w:r>
        <w:rPr>
          <w:rFonts w:ascii="Arial" w:hAnsi="Arial" w:cs="Arial" w:eastAsia="Arial" w:hint="default"/>
        </w:rPr>
        <w:t>106%</w:t>
      </w:r>
      <w:r>
        <w:rPr/>
        <w:t>，主要为</w:t>
      </w:r>
      <w:r>
        <w:rPr>
          <w:spacing w:val="-52"/>
        </w:rPr>
        <w:t> </w:t>
      </w:r>
      <w:r>
        <w:rPr>
          <w:rFonts w:ascii="Arial" w:hAnsi="Arial" w:cs="Arial" w:eastAsia="Arial" w:hint="default"/>
        </w:rPr>
        <w:t>2012</w:t>
      </w:r>
      <w:r>
        <w:rPr>
          <w:rFonts w:ascii="Arial" w:hAnsi="Arial" w:cs="Arial" w:eastAsia="Arial" w:hint="default"/>
          <w:spacing w:val="-10"/>
        </w:rPr>
        <w:t> </w:t>
      </w:r>
      <w:r>
        <w:rPr/>
        <w:t>年增加流动资金贷款所致。</w:t>
      </w:r>
    </w:p>
    <w:p>
      <w:pPr>
        <w:spacing w:line="240" w:lineRule="auto" w:before="2"/>
        <w:rPr>
          <w:rFonts w:ascii="黑体" w:hAnsi="黑体" w:cs="黑体" w:eastAsia="黑体" w:hint="default"/>
          <w:sz w:val="17"/>
          <w:szCs w:val="17"/>
        </w:rPr>
      </w:pPr>
    </w:p>
    <w:p>
      <w:pPr>
        <w:pStyle w:val="BodyText"/>
        <w:tabs>
          <w:tab w:pos="803" w:val="left" w:leader="none"/>
        </w:tabs>
        <w:spacing w:line="260" w:lineRule="exact"/>
        <w:ind w:left="820" w:right="300" w:hanging="720"/>
        <w:jc w:val="left"/>
      </w:pPr>
      <w:r>
        <w:rPr>
          <w:rFonts w:ascii="Arial" w:hAnsi="Arial" w:cs="Arial" w:eastAsia="Arial" w:hint="default"/>
          <w:spacing w:val="-1"/>
          <w:w w:val="95"/>
        </w:rPr>
        <w:t>10.</w:t>
        <w:tab/>
      </w:r>
      <w:r>
        <w:rPr/>
        <w:t>预收款项</w:t>
      </w:r>
      <w:r>
        <w:rPr>
          <w:spacing w:val="-50"/>
        </w:rPr>
        <w:t> </w:t>
      </w:r>
      <w:r>
        <w:rPr>
          <w:rFonts w:ascii="Arial" w:hAnsi="Arial" w:cs="Arial" w:eastAsia="Arial" w:hint="default"/>
        </w:rPr>
        <w:t>2012</w:t>
      </w:r>
      <w:r>
        <w:rPr>
          <w:rFonts w:ascii="Arial" w:hAnsi="Arial" w:cs="Arial" w:eastAsia="Arial" w:hint="default"/>
          <w:spacing w:val="-8"/>
        </w:rPr>
        <w:t> </w:t>
      </w:r>
      <w:r>
        <w:rPr/>
        <w:t>年</w:t>
      </w:r>
      <w:r>
        <w:rPr>
          <w:spacing w:val="-50"/>
        </w:rPr>
        <w:t> </w:t>
      </w:r>
      <w:r>
        <w:rPr>
          <w:rFonts w:ascii="Arial" w:hAnsi="Arial" w:cs="Arial" w:eastAsia="Arial" w:hint="default"/>
          <w:spacing w:val="-1"/>
        </w:rPr>
        <w:t>12</w:t>
      </w:r>
      <w:r>
        <w:rPr>
          <w:rFonts w:ascii="Arial" w:hAnsi="Arial" w:cs="Arial" w:eastAsia="Arial" w:hint="default"/>
          <w:spacing w:val="-6"/>
        </w:rPr>
        <w:t> </w:t>
      </w:r>
      <w:r>
        <w:rPr/>
        <w:t>月</w:t>
      </w:r>
      <w:r>
        <w:rPr>
          <w:spacing w:val="-52"/>
        </w:rPr>
        <w:t> </w:t>
      </w:r>
      <w:r>
        <w:rPr>
          <w:rFonts w:ascii="Arial" w:hAnsi="Arial" w:cs="Arial" w:eastAsia="Arial" w:hint="default"/>
          <w:spacing w:val="-1"/>
        </w:rPr>
        <w:t>31</w:t>
      </w:r>
      <w:r>
        <w:rPr>
          <w:rFonts w:ascii="Arial" w:hAnsi="Arial" w:cs="Arial" w:eastAsia="Arial" w:hint="default"/>
          <w:spacing w:val="-6"/>
        </w:rPr>
        <w:t> </w:t>
      </w:r>
      <w:r>
        <w:rPr/>
        <w:t>日余额为人民币</w:t>
      </w:r>
      <w:r>
        <w:rPr>
          <w:spacing w:val="-50"/>
        </w:rPr>
        <w:t> </w:t>
      </w:r>
      <w:r>
        <w:rPr>
          <w:rFonts w:ascii="Arial" w:hAnsi="Arial" w:cs="Arial" w:eastAsia="Arial" w:hint="default"/>
        </w:rPr>
        <w:t>532,385,527</w:t>
      </w:r>
      <w:r>
        <w:rPr>
          <w:rFonts w:ascii="Arial" w:hAnsi="Arial" w:cs="Arial" w:eastAsia="Arial" w:hint="default"/>
          <w:spacing w:val="-8"/>
        </w:rPr>
        <w:t> </w:t>
      </w:r>
      <w:r>
        <w:rPr/>
        <w:t>元，较</w:t>
      </w:r>
      <w:r>
        <w:rPr>
          <w:spacing w:val="-52"/>
        </w:rPr>
        <w:t> </w:t>
      </w:r>
      <w:r>
        <w:rPr>
          <w:rFonts w:ascii="Arial" w:hAnsi="Arial" w:cs="Arial" w:eastAsia="Arial" w:hint="default"/>
        </w:rPr>
        <w:t>2011</w:t>
      </w:r>
      <w:r>
        <w:rPr>
          <w:rFonts w:ascii="Arial" w:hAnsi="Arial" w:cs="Arial" w:eastAsia="Arial" w:hint="default"/>
          <w:spacing w:val="-5"/>
        </w:rPr>
        <w:t> </w:t>
      </w:r>
      <w:r>
        <w:rPr/>
        <w:t>年</w:t>
      </w:r>
      <w:r>
        <w:rPr>
          <w:spacing w:val="-52"/>
        </w:rPr>
        <w:t> </w:t>
      </w:r>
      <w:r>
        <w:rPr>
          <w:rFonts w:ascii="Arial" w:hAnsi="Arial" w:cs="Arial" w:eastAsia="Arial" w:hint="default"/>
          <w:spacing w:val="-1"/>
        </w:rPr>
        <w:t>12</w:t>
      </w:r>
      <w:r>
        <w:rPr>
          <w:rFonts w:ascii="Arial" w:hAnsi="Arial" w:cs="Arial" w:eastAsia="Arial" w:hint="default"/>
          <w:spacing w:val="-6"/>
        </w:rPr>
        <w:t> </w:t>
      </w:r>
      <w:r>
        <w:rPr/>
        <w:t>月</w:t>
      </w:r>
      <w:r>
        <w:rPr>
          <w:spacing w:val="-52"/>
        </w:rPr>
        <w:t> </w:t>
      </w:r>
      <w:r>
        <w:rPr>
          <w:rFonts w:ascii="Arial" w:hAnsi="Arial" w:cs="Arial" w:eastAsia="Arial" w:hint="default"/>
          <w:spacing w:val="1"/>
        </w:rPr>
        <w:t>31</w:t>
      </w:r>
      <w:r>
        <w:rPr>
          <w:rFonts w:ascii="Arial" w:hAnsi="Arial" w:cs="Arial" w:eastAsia="Arial" w:hint="default"/>
          <w:spacing w:val="-5"/>
        </w:rPr>
        <w:t> </w:t>
      </w:r>
      <w:r>
        <w:rPr/>
        <w:t>日余额</w:t>
      </w:r>
      <w:r>
        <w:rPr>
          <w:w w:val="99"/>
        </w:rPr>
        <w:t> </w:t>
      </w:r>
      <w:r>
        <w:rPr/>
        <w:t>增加</w:t>
      </w:r>
      <w:r>
        <w:rPr>
          <w:spacing w:val="-57"/>
        </w:rPr>
        <w:t> </w:t>
      </w:r>
      <w:r>
        <w:rPr>
          <w:rFonts w:ascii="Arial" w:hAnsi="Arial" w:cs="Arial" w:eastAsia="Arial" w:hint="default"/>
        </w:rPr>
        <w:t>38%</w:t>
      </w:r>
      <w:r>
        <w:rPr/>
        <w:t>，主要是由于本集团本年加强签约质量和收款管理所致。</w:t>
      </w:r>
    </w:p>
    <w:p>
      <w:pPr>
        <w:spacing w:line="240" w:lineRule="auto" w:before="2"/>
        <w:rPr>
          <w:rFonts w:ascii="黑体" w:hAnsi="黑体" w:cs="黑体" w:eastAsia="黑体" w:hint="default"/>
          <w:sz w:val="16"/>
          <w:szCs w:val="16"/>
        </w:rPr>
      </w:pPr>
    </w:p>
    <w:p>
      <w:pPr>
        <w:pStyle w:val="BodyText"/>
        <w:tabs>
          <w:tab w:pos="803" w:val="left" w:leader="none"/>
        </w:tabs>
        <w:spacing w:line="268" w:lineRule="exact"/>
        <w:ind w:left="100" w:right="194"/>
        <w:jc w:val="left"/>
      </w:pPr>
      <w:r>
        <w:rPr>
          <w:rFonts w:ascii="Arial" w:hAnsi="Arial" w:cs="Arial" w:eastAsia="Arial" w:hint="default"/>
          <w:spacing w:val="-1"/>
          <w:w w:val="95"/>
        </w:rPr>
        <w:t>11.</w:t>
        <w:tab/>
      </w:r>
      <w:r>
        <w:rPr/>
        <w:t>一年内到期的非流动负债</w:t>
      </w:r>
      <w:r>
        <w:rPr>
          <w:spacing w:val="-46"/>
        </w:rPr>
        <w:t> </w:t>
      </w:r>
      <w:r>
        <w:rPr>
          <w:rFonts w:ascii="Arial" w:hAnsi="Arial" w:cs="Arial" w:eastAsia="Arial" w:hint="default"/>
        </w:rPr>
        <w:t>2012 </w:t>
      </w:r>
      <w:r>
        <w:rPr/>
        <w:t>年</w:t>
      </w:r>
      <w:r>
        <w:rPr>
          <w:spacing w:val="-46"/>
        </w:rPr>
        <w:t> </w:t>
      </w:r>
      <w:r>
        <w:rPr>
          <w:rFonts w:ascii="Arial" w:hAnsi="Arial" w:cs="Arial" w:eastAsia="Arial" w:hint="default"/>
          <w:spacing w:val="-1"/>
        </w:rPr>
        <w:t>12</w:t>
      </w:r>
      <w:r>
        <w:rPr>
          <w:rFonts w:ascii="Arial" w:hAnsi="Arial" w:cs="Arial" w:eastAsia="Arial" w:hint="default"/>
        </w:rPr>
        <w:t> </w:t>
      </w:r>
      <w:r>
        <w:rPr/>
        <w:t>月</w:t>
      </w:r>
      <w:r>
        <w:rPr>
          <w:spacing w:val="-46"/>
        </w:rPr>
        <w:t> </w:t>
      </w:r>
      <w:r>
        <w:rPr>
          <w:rFonts w:ascii="Arial" w:hAnsi="Arial" w:cs="Arial" w:eastAsia="Arial" w:hint="default"/>
          <w:spacing w:val="1"/>
        </w:rPr>
        <w:t>31</w:t>
      </w:r>
      <w:r>
        <w:rPr>
          <w:rFonts w:ascii="Arial" w:hAnsi="Arial" w:cs="Arial" w:eastAsia="Arial" w:hint="default"/>
          <w:spacing w:val="-2"/>
        </w:rPr>
        <w:t> </w:t>
      </w:r>
      <w:r>
        <w:rPr/>
        <w:t>日余额为人民币</w:t>
      </w:r>
      <w:r>
        <w:rPr>
          <w:spacing w:val="-46"/>
        </w:rPr>
        <w:t> </w:t>
      </w:r>
      <w:r>
        <w:rPr>
          <w:rFonts w:ascii="Arial" w:hAnsi="Arial" w:cs="Arial" w:eastAsia="Arial" w:hint="default"/>
          <w:spacing w:val="-1"/>
        </w:rPr>
        <w:t>120,571,200</w:t>
      </w:r>
      <w:r>
        <w:rPr>
          <w:rFonts w:ascii="Arial" w:hAnsi="Arial" w:cs="Arial" w:eastAsia="Arial" w:hint="default"/>
          <w:spacing w:val="1"/>
        </w:rPr>
        <w:t> </w:t>
      </w:r>
      <w:r>
        <w:rPr/>
        <w:t>元，较</w:t>
      </w:r>
      <w:r>
        <w:rPr>
          <w:spacing w:val="-44"/>
        </w:rPr>
        <w:t> </w:t>
      </w:r>
      <w:r>
        <w:rPr>
          <w:rFonts w:ascii="Arial" w:hAnsi="Arial" w:cs="Arial" w:eastAsia="Arial" w:hint="default"/>
        </w:rPr>
        <w:t>2011</w:t>
      </w:r>
      <w:r>
        <w:rPr>
          <w:rFonts w:ascii="Arial" w:hAnsi="Arial" w:cs="Arial" w:eastAsia="Arial" w:hint="default"/>
          <w:spacing w:val="-2"/>
        </w:rPr>
        <w:t> </w:t>
      </w:r>
      <w:r>
        <w:rPr/>
        <w:t>年</w:t>
      </w:r>
    </w:p>
    <w:p>
      <w:pPr>
        <w:pStyle w:val="BodyText"/>
        <w:spacing w:line="259" w:lineRule="exact"/>
        <w:ind w:left="820" w:right="194"/>
        <w:jc w:val="left"/>
        <w:rPr>
          <w:rFonts w:ascii="Arial" w:hAnsi="Arial" w:cs="Arial" w:eastAsia="Arial" w:hint="default"/>
        </w:rPr>
      </w:pPr>
      <w:r>
        <w:rPr>
          <w:rFonts w:ascii="Arial" w:hAnsi="Arial" w:cs="Arial" w:eastAsia="Arial" w:hint="default"/>
          <w:spacing w:val="-1"/>
          <w:w w:val="99"/>
        </w:rPr>
        <w:t>1</w:t>
      </w:r>
      <w:r>
        <w:rPr>
          <w:rFonts w:ascii="Arial" w:hAnsi="Arial" w:cs="Arial" w:eastAsia="Arial" w:hint="default"/>
          <w:w w:val="99"/>
        </w:rPr>
        <w:t>2</w:t>
      </w:r>
      <w:r>
        <w:rPr>
          <w:rFonts w:ascii="Arial" w:hAnsi="Arial" w:cs="Arial" w:eastAsia="Arial" w:hint="default"/>
          <w:spacing w:val="-6"/>
        </w:rPr>
        <w:t> </w:t>
      </w:r>
      <w:r>
        <w:rPr>
          <w:w w:val="99"/>
        </w:rPr>
        <w:t>月</w:t>
      </w:r>
      <w:r>
        <w:rPr>
          <w:spacing w:val="-50"/>
        </w:rPr>
        <w:t> </w:t>
      </w:r>
      <w:r>
        <w:rPr>
          <w:rFonts w:ascii="Arial" w:hAnsi="Arial" w:cs="Arial" w:eastAsia="Arial" w:hint="default"/>
          <w:spacing w:val="-1"/>
          <w:w w:val="99"/>
        </w:rPr>
        <w:t>3</w:t>
      </w:r>
      <w:r>
        <w:rPr>
          <w:rFonts w:ascii="Arial" w:hAnsi="Arial" w:cs="Arial" w:eastAsia="Arial" w:hint="default"/>
          <w:w w:val="99"/>
        </w:rPr>
        <w:t>1</w:t>
      </w:r>
      <w:r>
        <w:rPr>
          <w:rFonts w:ascii="Arial" w:hAnsi="Arial" w:cs="Arial" w:eastAsia="Arial" w:hint="default"/>
          <w:spacing w:val="-4"/>
        </w:rPr>
        <w:t> </w:t>
      </w:r>
      <w:r>
        <w:rPr>
          <w:w w:val="99"/>
        </w:rPr>
        <w:t>日余</w:t>
      </w:r>
      <w:r>
        <w:rPr>
          <w:spacing w:val="2"/>
          <w:w w:val="99"/>
        </w:rPr>
        <w:t>额</w:t>
      </w:r>
      <w:r>
        <w:rPr>
          <w:w w:val="99"/>
        </w:rPr>
        <w:t>增加</w:t>
      </w:r>
      <w:r>
        <w:rPr>
          <w:spacing w:val="-50"/>
        </w:rPr>
        <w:t> </w:t>
      </w:r>
      <w:r>
        <w:rPr>
          <w:rFonts w:ascii="Arial" w:hAnsi="Arial" w:cs="Arial" w:eastAsia="Arial" w:hint="default"/>
          <w:spacing w:val="-1"/>
          <w:w w:val="99"/>
        </w:rPr>
        <w:t>7</w:t>
      </w:r>
      <w:r>
        <w:rPr>
          <w:rFonts w:ascii="Arial" w:hAnsi="Arial" w:cs="Arial" w:eastAsia="Arial" w:hint="default"/>
          <w:spacing w:val="2"/>
          <w:w w:val="99"/>
        </w:rPr>
        <w:t>4</w:t>
      </w:r>
      <w:r>
        <w:rPr>
          <w:rFonts w:ascii="Arial" w:hAnsi="Arial" w:cs="Arial" w:eastAsia="Arial" w:hint="default"/>
          <w:spacing w:val="-1"/>
          <w:w w:val="99"/>
        </w:rPr>
        <w:t>7</w:t>
      </w:r>
      <w:r>
        <w:rPr>
          <w:rFonts w:ascii="Arial" w:hAnsi="Arial" w:cs="Arial" w:eastAsia="Arial" w:hint="default"/>
          <w:spacing w:val="3"/>
          <w:w w:val="99"/>
        </w:rPr>
        <w:t>%</w:t>
      </w:r>
      <w:r>
        <w:rPr>
          <w:spacing w:val="-80"/>
          <w:w w:val="99"/>
        </w:rPr>
        <w:t>，</w:t>
      </w:r>
      <w:r>
        <w:rPr>
          <w:w w:val="99"/>
        </w:rPr>
        <w:t>主</w:t>
      </w:r>
      <w:r>
        <w:rPr>
          <w:spacing w:val="2"/>
          <w:w w:val="99"/>
        </w:rPr>
        <w:t>要</w:t>
      </w:r>
      <w:r>
        <w:rPr>
          <w:w w:val="99"/>
        </w:rPr>
        <w:t>是由</w:t>
      </w:r>
      <w:r>
        <w:rPr>
          <w:spacing w:val="2"/>
          <w:w w:val="99"/>
        </w:rPr>
        <w:t>于</w:t>
      </w:r>
      <w:r>
        <w:rPr>
          <w:w w:val="99"/>
        </w:rPr>
        <w:t>本公</w:t>
      </w:r>
      <w:r>
        <w:rPr>
          <w:spacing w:val="2"/>
          <w:w w:val="99"/>
        </w:rPr>
        <w:t>司</w:t>
      </w:r>
      <w:r>
        <w:rPr>
          <w:w w:val="99"/>
        </w:rPr>
        <w:t>长期</w:t>
      </w:r>
      <w:r>
        <w:rPr>
          <w:spacing w:val="2"/>
          <w:w w:val="99"/>
        </w:rPr>
        <w:t>借</w:t>
      </w:r>
      <w:r>
        <w:rPr>
          <w:w w:val="99"/>
        </w:rPr>
        <w:t>款人民币</w:t>
      </w:r>
      <w:r>
        <w:rPr>
          <w:spacing w:val="-47"/>
        </w:rPr>
        <w:t> </w:t>
      </w:r>
      <w:r>
        <w:rPr>
          <w:rFonts w:ascii="Arial" w:hAnsi="Arial" w:cs="Arial" w:eastAsia="Arial" w:hint="default"/>
          <w:spacing w:val="-1"/>
          <w:w w:val="99"/>
        </w:rPr>
        <w:t>100</w:t>
      </w:r>
      <w:r>
        <w:rPr>
          <w:rFonts w:ascii="Arial" w:hAnsi="Arial" w:cs="Arial" w:eastAsia="Arial" w:hint="default"/>
          <w:spacing w:val="2"/>
          <w:w w:val="99"/>
        </w:rPr>
        <w:t>,</w:t>
      </w:r>
      <w:r>
        <w:rPr>
          <w:rFonts w:ascii="Arial" w:hAnsi="Arial" w:cs="Arial" w:eastAsia="Arial" w:hint="default"/>
          <w:spacing w:val="-1"/>
          <w:w w:val="99"/>
        </w:rPr>
        <w:t>00</w:t>
      </w:r>
      <w:r>
        <w:rPr>
          <w:rFonts w:ascii="Arial" w:hAnsi="Arial" w:cs="Arial" w:eastAsia="Arial" w:hint="default"/>
          <w:spacing w:val="2"/>
          <w:w w:val="99"/>
        </w:rPr>
        <w:t>0</w:t>
      </w:r>
      <w:r>
        <w:rPr>
          <w:rFonts w:ascii="Arial" w:hAnsi="Arial" w:cs="Arial" w:eastAsia="Arial" w:hint="default"/>
          <w:spacing w:val="-1"/>
          <w:w w:val="99"/>
        </w:rPr>
        <w:t>,</w:t>
      </w:r>
      <w:r>
        <w:rPr>
          <w:rFonts w:ascii="Arial" w:hAnsi="Arial" w:cs="Arial" w:eastAsia="Arial" w:hint="default"/>
          <w:spacing w:val="-1"/>
          <w:w w:val="99"/>
        </w:rPr>
        <w:t>00</w:t>
      </w:r>
      <w:r>
        <w:rPr>
          <w:rFonts w:ascii="Arial" w:hAnsi="Arial" w:cs="Arial" w:eastAsia="Arial" w:hint="default"/>
          <w:w w:val="99"/>
        </w:rPr>
        <w:t>0</w:t>
      </w:r>
      <w:r>
        <w:rPr>
          <w:rFonts w:ascii="Arial" w:hAnsi="Arial" w:cs="Arial" w:eastAsia="Arial" w:hint="default"/>
          <w:spacing w:val="-3"/>
        </w:rPr>
        <w:t> </w:t>
      </w:r>
      <w:r>
        <w:rPr>
          <w:w w:val="99"/>
        </w:rPr>
        <w:t>元</w:t>
      </w:r>
      <w:r>
        <w:rPr>
          <w:spacing w:val="2"/>
          <w:w w:val="99"/>
        </w:rPr>
        <w:t>将</w:t>
      </w:r>
      <w:r>
        <w:rPr>
          <w:w w:val="99"/>
        </w:rPr>
        <w:t>于</w:t>
      </w:r>
      <w:r>
        <w:rPr>
          <w:spacing w:val="-50"/>
        </w:rPr>
        <w:t> </w:t>
      </w:r>
      <w:r>
        <w:rPr>
          <w:rFonts w:ascii="Arial" w:hAnsi="Arial" w:cs="Arial" w:eastAsia="Arial" w:hint="default"/>
          <w:spacing w:val="-1"/>
          <w:w w:val="99"/>
        </w:rPr>
        <w:t>20</w:t>
      </w:r>
      <w:r>
        <w:rPr>
          <w:rFonts w:ascii="Arial" w:hAnsi="Arial" w:cs="Arial" w:eastAsia="Arial" w:hint="default"/>
          <w:spacing w:val="2"/>
          <w:w w:val="99"/>
        </w:rPr>
        <w:t>1</w:t>
      </w:r>
      <w:r>
        <w:rPr>
          <w:rFonts w:ascii="Arial" w:hAnsi="Arial" w:cs="Arial" w:eastAsia="Arial" w:hint="default"/>
          <w:w w:val="99"/>
        </w:rPr>
        <w:t>3</w:t>
      </w:r>
      <w:r>
        <w:rPr>
          <w:rFonts w:ascii="Arial" w:hAnsi="Arial" w:cs="Arial" w:eastAsia="Arial" w:hint="default"/>
        </w:rPr>
      </w:r>
    </w:p>
    <w:p>
      <w:pPr>
        <w:pStyle w:val="BodyText"/>
        <w:spacing w:line="253" w:lineRule="exact"/>
        <w:ind w:left="820" w:right="3627"/>
        <w:jc w:val="left"/>
      </w:pPr>
      <w:r>
        <w:rPr/>
        <w:t>年到期所致。</w:t>
      </w:r>
    </w:p>
    <w:p>
      <w:pPr>
        <w:spacing w:line="240" w:lineRule="auto" w:before="6"/>
        <w:rPr>
          <w:rFonts w:ascii="黑体" w:hAnsi="黑体" w:cs="黑体" w:eastAsia="黑体" w:hint="default"/>
          <w:sz w:val="29"/>
          <w:szCs w:val="29"/>
        </w:rPr>
      </w:pPr>
    </w:p>
    <w:p>
      <w:pPr>
        <w:pStyle w:val="BodyText"/>
        <w:tabs>
          <w:tab w:pos="803" w:val="left" w:leader="none"/>
        </w:tabs>
        <w:spacing w:line="260" w:lineRule="exact"/>
        <w:ind w:left="819" w:right="303" w:hanging="720"/>
        <w:jc w:val="left"/>
      </w:pPr>
      <w:r>
        <w:rPr>
          <w:rFonts w:ascii="Arial" w:hAnsi="Arial" w:cs="Arial" w:eastAsia="Arial" w:hint="default"/>
          <w:spacing w:val="-1"/>
          <w:w w:val="99"/>
        </w:rPr>
        <w:t>12.</w:t>
        <w:tab/>
      </w:r>
      <w:r>
        <w:rPr>
          <w:w w:val="99"/>
        </w:rPr>
        <w:t>递延收益</w:t>
      </w:r>
      <w:r>
        <w:rPr>
          <w:spacing w:val="-47"/>
          <w:w w:val="99"/>
        </w:rPr>
        <w:t> </w:t>
      </w:r>
      <w:r>
        <w:rPr>
          <w:rFonts w:ascii="Arial" w:hAnsi="Arial" w:cs="Arial" w:eastAsia="Arial" w:hint="default"/>
          <w:spacing w:val="-1"/>
          <w:w w:val="99"/>
        </w:rPr>
        <w:t>2012</w:t>
      </w:r>
      <w:r>
        <w:rPr>
          <w:rFonts w:ascii="Arial" w:hAnsi="Arial" w:cs="Arial" w:eastAsia="Arial" w:hint="default"/>
          <w:spacing w:val="-3"/>
          <w:w w:val="99"/>
        </w:rPr>
        <w:t> </w:t>
      </w:r>
      <w:r>
        <w:rPr>
          <w:w w:val="99"/>
        </w:rPr>
        <w:t>年</w:t>
      </w:r>
      <w:r>
        <w:rPr>
          <w:spacing w:val="-50"/>
          <w:w w:val="99"/>
        </w:rPr>
        <w:t> </w:t>
      </w:r>
      <w:r>
        <w:rPr>
          <w:rFonts w:ascii="Arial" w:hAnsi="Arial" w:cs="Arial" w:eastAsia="Arial" w:hint="default"/>
          <w:spacing w:val="-1"/>
          <w:w w:val="99"/>
        </w:rPr>
        <w:t>12</w:t>
      </w:r>
      <w:r>
        <w:rPr>
          <w:rFonts w:ascii="Arial" w:hAnsi="Arial" w:cs="Arial" w:eastAsia="Arial" w:hint="default"/>
          <w:spacing w:val="-6"/>
          <w:w w:val="99"/>
        </w:rPr>
        <w:t> </w:t>
      </w:r>
      <w:r>
        <w:rPr>
          <w:w w:val="99"/>
        </w:rPr>
        <w:t>月</w:t>
      </w:r>
      <w:r>
        <w:rPr>
          <w:spacing w:val="-47"/>
          <w:w w:val="99"/>
        </w:rPr>
        <w:t> </w:t>
      </w:r>
      <w:r>
        <w:rPr>
          <w:rFonts w:ascii="Arial" w:hAnsi="Arial" w:cs="Arial" w:eastAsia="Arial" w:hint="default"/>
          <w:spacing w:val="-1"/>
          <w:w w:val="99"/>
        </w:rPr>
        <w:t>31</w:t>
      </w:r>
      <w:r>
        <w:rPr>
          <w:rFonts w:ascii="Arial" w:hAnsi="Arial" w:cs="Arial" w:eastAsia="Arial" w:hint="default"/>
          <w:spacing w:val="-4"/>
          <w:w w:val="99"/>
        </w:rPr>
        <w:t> </w:t>
      </w:r>
      <w:r>
        <w:rPr>
          <w:w w:val="99"/>
        </w:rPr>
        <w:t>日余额为人民币</w:t>
      </w:r>
      <w:r>
        <w:rPr>
          <w:spacing w:val="-47"/>
          <w:w w:val="99"/>
        </w:rPr>
        <w:t> </w:t>
      </w:r>
      <w:r>
        <w:rPr>
          <w:rFonts w:ascii="Arial" w:hAnsi="Arial" w:cs="Arial" w:eastAsia="Arial" w:hint="default"/>
          <w:w w:val="99"/>
        </w:rPr>
        <w:t>49,757,234</w:t>
      </w:r>
      <w:r>
        <w:rPr>
          <w:rFonts w:ascii="Arial" w:hAnsi="Arial" w:cs="Arial" w:eastAsia="Arial" w:hint="default"/>
          <w:spacing w:val="-6"/>
          <w:w w:val="99"/>
        </w:rPr>
        <w:t> </w:t>
      </w:r>
      <w:r>
        <w:rPr>
          <w:spacing w:val="-27"/>
          <w:w w:val="99"/>
        </w:rPr>
        <w:t>元，较</w:t>
      </w:r>
      <w:r>
        <w:rPr>
          <w:spacing w:val="-50"/>
          <w:w w:val="99"/>
        </w:rPr>
        <w:t> </w:t>
      </w:r>
      <w:r>
        <w:rPr>
          <w:rFonts w:ascii="Arial" w:hAnsi="Arial" w:cs="Arial" w:eastAsia="Arial" w:hint="default"/>
          <w:w w:val="99"/>
        </w:rPr>
        <w:t>2011</w:t>
      </w:r>
      <w:r>
        <w:rPr>
          <w:rFonts w:ascii="Arial" w:hAnsi="Arial" w:cs="Arial" w:eastAsia="Arial" w:hint="default"/>
          <w:spacing w:val="-6"/>
          <w:w w:val="99"/>
        </w:rPr>
        <w:t> </w:t>
      </w:r>
      <w:r>
        <w:rPr>
          <w:w w:val="99"/>
        </w:rPr>
        <w:t>年</w:t>
      </w:r>
      <w:r>
        <w:rPr>
          <w:spacing w:val="-47"/>
          <w:w w:val="99"/>
        </w:rPr>
        <w:t> </w:t>
      </w:r>
      <w:r>
        <w:rPr>
          <w:rFonts w:ascii="Arial" w:hAnsi="Arial" w:cs="Arial" w:eastAsia="Arial" w:hint="default"/>
          <w:spacing w:val="-1"/>
          <w:w w:val="99"/>
        </w:rPr>
        <w:t>12</w:t>
      </w:r>
      <w:r>
        <w:rPr>
          <w:rFonts w:ascii="Arial" w:hAnsi="Arial" w:cs="Arial" w:eastAsia="Arial" w:hint="default"/>
          <w:spacing w:val="-6"/>
          <w:w w:val="99"/>
        </w:rPr>
        <w:t> </w:t>
      </w:r>
      <w:r>
        <w:rPr>
          <w:w w:val="99"/>
        </w:rPr>
        <w:t>月</w:t>
      </w:r>
      <w:r>
        <w:rPr>
          <w:spacing w:val="-50"/>
          <w:w w:val="99"/>
        </w:rPr>
        <w:t> </w:t>
      </w:r>
      <w:r>
        <w:rPr>
          <w:rFonts w:ascii="Arial" w:hAnsi="Arial" w:cs="Arial" w:eastAsia="Arial" w:hint="default"/>
          <w:spacing w:val="-1"/>
          <w:w w:val="99"/>
        </w:rPr>
        <w:t>31</w:t>
      </w:r>
      <w:r>
        <w:rPr>
          <w:rFonts w:ascii="Arial" w:hAnsi="Arial" w:cs="Arial" w:eastAsia="Arial" w:hint="default"/>
          <w:spacing w:val="-4"/>
          <w:w w:val="99"/>
        </w:rPr>
        <w:t> </w:t>
      </w:r>
      <w:r>
        <w:rPr>
          <w:w w:val="99"/>
        </w:rPr>
        <w:t>日余额增 </w:t>
      </w:r>
      <w:r>
        <w:rPr/>
        <w:t>加</w:t>
      </w:r>
      <w:r>
        <w:rPr>
          <w:spacing w:val="-60"/>
        </w:rPr>
        <w:t> </w:t>
      </w:r>
      <w:r>
        <w:rPr>
          <w:rFonts w:ascii="Arial" w:hAnsi="Arial" w:cs="Arial" w:eastAsia="Arial" w:hint="default"/>
        </w:rPr>
        <w:t>374%</w:t>
      </w:r>
      <w:r>
        <w:rPr/>
        <w:t>，主要是由于本集团本年收到的政府部门拨付的用于科研开发的经费增加所致。</w:t>
      </w:r>
    </w:p>
    <w:p>
      <w:pPr>
        <w:spacing w:line="240" w:lineRule="auto" w:before="6"/>
        <w:rPr>
          <w:rFonts w:ascii="黑体" w:hAnsi="黑体" w:cs="黑体" w:eastAsia="黑体" w:hint="default"/>
          <w:sz w:val="25"/>
          <w:szCs w:val="25"/>
        </w:rPr>
      </w:pPr>
    </w:p>
    <w:p>
      <w:pPr>
        <w:pStyle w:val="BodyText"/>
        <w:tabs>
          <w:tab w:pos="803" w:val="left" w:leader="none"/>
        </w:tabs>
        <w:spacing w:line="269" w:lineRule="exact"/>
        <w:ind w:left="100" w:right="194"/>
        <w:jc w:val="left"/>
      </w:pPr>
      <w:r>
        <w:rPr>
          <w:rFonts w:ascii="Arial" w:hAnsi="Arial" w:cs="Arial" w:eastAsia="Arial" w:hint="default"/>
          <w:spacing w:val="-1"/>
          <w:w w:val="95"/>
        </w:rPr>
        <w:t>13.</w:t>
        <w:tab/>
      </w:r>
      <w:r>
        <w:rPr/>
        <w:t>股本</w:t>
      </w:r>
      <w:r>
        <w:rPr>
          <w:spacing w:val="-51"/>
        </w:rPr>
        <w:t> </w:t>
      </w:r>
      <w:r>
        <w:rPr>
          <w:rFonts w:ascii="Arial" w:hAnsi="Arial" w:cs="Arial" w:eastAsia="Arial" w:hint="default"/>
        </w:rPr>
        <w:t>2012</w:t>
      </w:r>
      <w:r>
        <w:rPr>
          <w:rFonts w:ascii="Arial" w:hAnsi="Arial" w:cs="Arial" w:eastAsia="Arial" w:hint="default"/>
          <w:spacing w:val="-4"/>
        </w:rPr>
        <w:t> </w:t>
      </w:r>
      <w:r>
        <w:rPr/>
        <w:t>年</w:t>
      </w:r>
      <w:r>
        <w:rPr>
          <w:spacing w:val="-51"/>
        </w:rPr>
        <w:t> </w:t>
      </w:r>
      <w:r>
        <w:rPr>
          <w:rFonts w:ascii="Arial" w:hAnsi="Arial" w:cs="Arial" w:eastAsia="Arial" w:hint="default"/>
          <w:spacing w:val="1"/>
        </w:rPr>
        <w:t>12</w:t>
      </w:r>
      <w:r>
        <w:rPr>
          <w:rFonts w:ascii="Arial" w:hAnsi="Arial" w:cs="Arial" w:eastAsia="Arial" w:hint="default"/>
          <w:spacing w:val="-7"/>
        </w:rPr>
        <w:t> </w:t>
      </w:r>
      <w:r>
        <w:rPr/>
        <w:t>月</w:t>
      </w:r>
      <w:r>
        <w:rPr>
          <w:spacing w:val="-51"/>
        </w:rPr>
        <w:t> </w:t>
      </w:r>
      <w:r>
        <w:rPr>
          <w:rFonts w:ascii="Arial" w:hAnsi="Arial" w:cs="Arial" w:eastAsia="Arial" w:hint="default"/>
          <w:spacing w:val="1"/>
        </w:rPr>
        <w:t>31</w:t>
      </w:r>
      <w:r>
        <w:rPr>
          <w:rFonts w:ascii="Arial" w:hAnsi="Arial" w:cs="Arial" w:eastAsia="Arial" w:hint="default"/>
          <w:spacing w:val="-7"/>
        </w:rPr>
        <w:t> </w:t>
      </w:r>
      <w:r>
        <w:rPr/>
        <w:t>日余额为人民币</w:t>
      </w:r>
      <w:r>
        <w:rPr>
          <w:spacing w:val="-51"/>
        </w:rPr>
        <w:t> </w:t>
      </w:r>
      <w:r>
        <w:rPr>
          <w:rFonts w:ascii="Arial" w:hAnsi="Arial" w:cs="Arial" w:eastAsia="Arial" w:hint="default"/>
          <w:spacing w:val="-1"/>
        </w:rPr>
        <w:t>979,084,040</w:t>
      </w:r>
      <w:r>
        <w:rPr>
          <w:rFonts w:ascii="Arial" w:hAnsi="Arial" w:cs="Arial" w:eastAsia="Arial" w:hint="default"/>
          <w:spacing w:val="-4"/>
        </w:rPr>
        <w:t> </w:t>
      </w:r>
      <w:r>
        <w:rPr/>
        <w:t>元，较</w:t>
      </w:r>
      <w:r>
        <w:rPr>
          <w:spacing w:val="-51"/>
        </w:rPr>
        <w:t> </w:t>
      </w:r>
      <w:r>
        <w:rPr>
          <w:rFonts w:ascii="Arial" w:hAnsi="Arial" w:cs="Arial" w:eastAsia="Arial" w:hint="default"/>
        </w:rPr>
        <w:t>2011</w:t>
      </w:r>
      <w:r>
        <w:rPr>
          <w:rFonts w:ascii="Arial" w:hAnsi="Arial" w:cs="Arial" w:eastAsia="Arial" w:hint="default"/>
          <w:spacing w:val="-4"/>
        </w:rPr>
        <w:t> </w:t>
      </w:r>
      <w:r>
        <w:rPr/>
        <w:t>年</w:t>
      </w:r>
      <w:r>
        <w:rPr>
          <w:spacing w:val="-51"/>
        </w:rPr>
        <w:t> </w:t>
      </w:r>
      <w:r>
        <w:rPr>
          <w:rFonts w:ascii="Arial" w:hAnsi="Arial" w:cs="Arial" w:eastAsia="Arial" w:hint="default"/>
          <w:spacing w:val="1"/>
        </w:rPr>
        <w:t>12</w:t>
      </w:r>
      <w:r>
        <w:rPr>
          <w:rFonts w:ascii="Arial" w:hAnsi="Arial" w:cs="Arial" w:eastAsia="Arial" w:hint="default"/>
          <w:spacing w:val="-7"/>
        </w:rPr>
        <w:t> </w:t>
      </w:r>
      <w:r>
        <w:rPr/>
        <w:t>月</w:t>
      </w:r>
      <w:r>
        <w:rPr>
          <w:spacing w:val="-51"/>
        </w:rPr>
        <w:t> </w:t>
      </w:r>
      <w:r>
        <w:rPr>
          <w:rFonts w:ascii="Arial" w:hAnsi="Arial" w:cs="Arial" w:eastAsia="Arial" w:hint="default"/>
          <w:spacing w:val="1"/>
        </w:rPr>
        <w:t>31</w:t>
      </w:r>
      <w:r>
        <w:rPr>
          <w:rFonts w:ascii="Arial" w:hAnsi="Arial" w:cs="Arial" w:eastAsia="Arial" w:hint="default"/>
          <w:spacing w:val="-7"/>
        </w:rPr>
        <w:t> </w:t>
      </w:r>
      <w:r>
        <w:rPr/>
        <w:t>日余额增加</w:t>
      </w:r>
    </w:p>
    <w:p>
      <w:pPr>
        <w:pStyle w:val="BodyText"/>
        <w:spacing w:line="269" w:lineRule="exact"/>
        <w:ind w:left="819" w:right="194"/>
        <w:jc w:val="left"/>
      </w:pPr>
      <w:r>
        <w:rPr>
          <w:rFonts w:ascii="Arial" w:hAnsi="Arial" w:cs="Arial" w:eastAsia="Arial" w:hint="default"/>
        </w:rPr>
        <w:t>20%</w:t>
      </w:r>
      <w:r>
        <w:rPr/>
        <w:t>，主要是由于公司本年度资本公积转增股本，共计转增</w:t>
      </w:r>
      <w:r>
        <w:rPr>
          <w:spacing w:val="-57"/>
        </w:rPr>
        <w:t> </w:t>
      </w:r>
      <w:r>
        <w:rPr>
          <w:rFonts w:ascii="Arial" w:hAnsi="Arial" w:cs="Arial" w:eastAsia="Arial" w:hint="default"/>
        </w:rPr>
        <w:t>163,180,673</w:t>
      </w:r>
      <w:r>
        <w:rPr>
          <w:rFonts w:ascii="Arial" w:hAnsi="Arial" w:cs="Arial" w:eastAsia="Arial" w:hint="default"/>
          <w:spacing w:val="-13"/>
        </w:rPr>
        <w:t> </w:t>
      </w:r>
      <w:r>
        <w:rPr/>
        <w:t>股所致。</w:t>
      </w:r>
    </w:p>
    <w:p>
      <w:pPr>
        <w:spacing w:after="0" w:line="269" w:lineRule="exact"/>
        <w:jc w:val="left"/>
        <w:sectPr>
          <w:headerReference w:type="default" r:id="rId81"/>
          <w:pgSz w:w="11910" w:h="16850"/>
          <w:pgMar w:header="957" w:footer="746" w:top="2540" w:bottom="1020" w:left="1600" w:right="1400"/>
        </w:sectPr>
      </w:pPr>
    </w:p>
    <w:p>
      <w:pPr>
        <w:spacing w:line="240" w:lineRule="auto" w:before="10"/>
        <w:rPr>
          <w:rFonts w:ascii="黑体" w:hAnsi="黑体" w:cs="黑体" w:eastAsia="黑体" w:hint="default"/>
          <w:sz w:val="28"/>
          <w:szCs w:val="28"/>
        </w:rPr>
      </w:pPr>
    </w:p>
    <w:p>
      <w:pPr>
        <w:pStyle w:val="Heading6"/>
        <w:tabs>
          <w:tab w:pos="816" w:val="left" w:leader="none"/>
        </w:tabs>
        <w:spacing w:line="240" w:lineRule="auto"/>
        <w:ind w:right="902"/>
        <w:jc w:val="left"/>
        <w:rPr>
          <w:rFonts w:ascii="Arial" w:hAnsi="Arial" w:cs="Arial" w:eastAsia="Arial" w:hint="default"/>
          <w:b w:val="0"/>
          <w:bCs w:val="0"/>
        </w:rPr>
      </w:pPr>
      <w:r>
        <w:rPr>
          <w:rFonts w:ascii="Arial" w:hAnsi="Arial" w:cs="Arial" w:eastAsia="Arial" w:hint="default"/>
          <w:spacing w:val="-1"/>
          <w:w w:val="95"/>
        </w:rPr>
        <w:t>3</w:t>
      </w:r>
      <w:r>
        <w:rPr>
          <w:spacing w:val="-1"/>
          <w:w w:val="95"/>
        </w:rPr>
        <w:t>、</w:t>
        <w:tab/>
      </w:r>
      <w:r>
        <w:rPr>
          <w:spacing w:val="1"/>
        </w:rPr>
        <w:t>财务报表项目数据的变动分析</w:t>
      </w:r>
      <w:r>
        <w:rPr>
          <w:rFonts w:ascii="Arial" w:hAnsi="Arial" w:cs="Arial" w:eastAsia="Arial" w:hint="default"/>
          <w:spacing w:val="1"/>
        </w:rPr>
        <w:t>(</w:t>
      </w:r>
      <w:r>
        <w:rPr>
          <w:spacing w:val="1"/>
        </w:rPr>
        <w:t>续</w:t>
      </w:r>
      <w:r>
        <w:rPr>
          <w:rFonts w:ascii="Arial" w:hAnsi="Arial" w:cs="Arial" w:eastAsia="Arial" w:hint="default"/>
          <w:spacing w:val="1"/>
        </w:rPr>
        <w:t>)</w:t>
      </w:r>
      <w:r>
        <w:rPr>
          <w:rFonts w:ascii="Arial" w:hAnsi="Arial" w:cs="Arial" w:eastAsia="Arial" w:hint="default"/>
          <w:b w:val="0"/>
          <w:bCs w:val="0"/>
          <w:spacing w:val="1"/>
        </w:rPr>
      </w:r>
    </w:p>
    <w:p>
      <w:pPr>
        <w:spacing w:line="240" w:lineRule="auto" w:before="0"/>
        <w:rPr>
          <w:rFonts w:ascii="Arial" w:hAnsi="Arial" w:cs="Arial" w:eastAsia="Arial" w:hint="default"/>
          <w:b/>
          <w:bCs/>
          <w:sz w:val="20"/>
          <w:szCs w:val="20"/>
        </w:rPr>
      </w:pPr>
    </w:p>
    <w:p>
      <w:pPr>
        <w:pStyle w:val="BodyText"/>
        <w:spacing w:line="260" w:lineRule="exact" w:before="167"/>
        <w:ind w:left="787" w:right="177" w:hanging="687"/>
        <w:jc w:val="both"/>
      </w:pPr>
      <w:r>
        <w:rPr>
          <w:rFonts w:ascii="Arial" w:hAnsi="Arial" w:cs="Arial" w:eastAsia="Arial" w:hint="default"/>
        </w:rPr>
        <w:t>14.</w:t>
      </w:r>
      <w:r>
        <w:rPr>
          <w:rFonts w:ascii="Arial" w:hAnsi="Arial" w:cs="Arial" w:eastAsia="Arial" w:hint="default"/>
          <w:spacing w:val="6"/>
        </w:rPr>
        <w:t> </w:t>
      </w:r>
      <w:r>
        <w:rPr/>
        <w:t>库存股</w:t>
      </w:r>
      <w:r>
        <w:rPr>
          <w:spacing w:val="-52"/>
        </w:rPr>
        <w:t> </w:t>
      </w:r>
      <w:r>
        <w:rPr>
          <w:rFonts w:ascii="Arial" w:hAnsi="Arial" w:cs="Arial" w:eastAsia="Arial" w:hint="default"/>
        </w:rPr>
        <w:t>2012</w:t>
      </w:r>
      <w:r>
        <w:rPr>
          <w:rFonts w:ascii="Arial" w:hAnsi="Arial" w:cs="Arial" w:eastAsia="Arial" w:hint="default"/>
          <w:spacing w:val="-8"/>
        </w:rPr>
        <w:t> </w:t>
      </w:r>
      <w:r>
        <w:rPr/>
        <w:t>年</w:t>
      </w:r>
      <w:r>
        <w:rPr>
          <w:spacing w:val="-50"/>
        </w:rPr>
        <w:t> </w:t>
      </w:r>
      <w:r>
        <w:rPr>
          <w:rFonts w:ascii="Arial" w:hAnsi="Arial" w:cs="Arial" w:eastAsia="Arial" w:hint="default"/>
        </w:rPr>
        <w:t>12</w:t>
      </w:r>
      <w:r>
        <w:rPr>
          <w:rFonts w:ascii="Arial" w:hAnsi="Arial" w:cs="Arial" w:eastAsia="Arial" w:hint="default"/>
          <w:spacing w:val="-8"/>
        </w:rPr>
        <w:t> </w:t>
      </w:r>
      <w:r>
        <w:rPr/>
        <w:t>月</w:t>
      </w:r>
      <w:r>
        <w:rPr>
          <w:spacing w:val="-52"/>
        </w:rPr>
        <w:t> </w:t>
      </w:r>
      <w:r>
        <w:rPr>
          <w:rFonts w:ascii="Arial" w:hAnsi="Arial" w:cs="Arial" w:eastAsia="Arial" w:hint="default"/>
        </w:rPr>
        <w:t>31</w:t>
      </w:r>
      <w:r>
        <w:rPr>
          <w:rFonts w:ascii="Arial" w:hAnsi="Arial" w:cs="Arial" w:eastAsia="Arial" w:hint="default"/>
          <w:spacing w:val="-8"/>
        </w:rPr>
        <w:t> </w:t>
      </w:r>
      <w:r>
        <w:rPr/>
        <w:t>日余额为人民币</w:t>
      </w:r>
      <w:r>
        <w:rPr>
          <w:spacing w:val="-52"/>
        </w:rPr>
        <w:t> </w:t>
      </w:r>
      <w:r>
        <w:rPr>
          <w:rFonts w:ascii="Arial" w:hAnsi="Arial" w:cs="Arial" w:eastAsia="Arial" w:hint="default"/>
        </w:rPr>
        <w:t>20,001,895</w:t>
      </w:r>
      <w:r>
        <w:rPr>
          <w:rFonts w:ascii="Arial" w:hAnsi="Arial" w:cs="Arial" w:eastAsia="Arial" w:hint="default"/>
          <w:spacing w:val="-5"/>
        </w:rPr>
        <w:t> </w:t>
      </w:r>
      <w:r>
        <w:rPr/>
        <w:t>元，</w:t>
      </w:r>
      <w:r>
        <w:rPr>
          <w:rFonts w:ascii="Arial" w:hAnsi="Arial" w:cs="Arial" w:eastAsia="Arial" w:hint="default"/>
        </w:rPr>
        <w:t>2011</w:t>
      </w:r>
      <w:r>
        <w:rPr>
          <w:rFonts w:ascii="Arial" w:hAnsi="Arial" w:cs="Arial" w:eastAsia="Arial" w:hint="default"/>
          <w:spacing w:val="-5"/>
        </w:rPr>
        <w:t> </w:t>
      </w:r>
      <w:r>
        <w:rPr/>
        <w:t>年</w:t>
      </w:r>
      <w:r>
        <w:rPr>
          <w:spacing w:val="-52"/>
        </w:rPr>
        <w:t> </w:t>
      </w:r>
      <w:r>
        <w:rPr>
          <w:rFonts w:ascii="Arial" w:hAnsi="Arial" w:cs="Arial" w:eastAsia="Arial" w:hint="default"/>
        </w:rPr>
        <w:t>12</w:t>
      </w:r>
      <w:r>
        <w:rPr>
          <w:rFonts w:ascii="Arial" w:hAnsi="Arial" w:cs="Arial" w:eastAsia="Arial" w:hint="default"/>
          <w:spacing w:val="-8"/>
        </w:rPr>
        <w:t> </w:t>
      </w:r>
      <w:r>
        <w:rPr/>
        <w:t>月</w:t>
      </w:r>
      <w:r>
        <w:rPr>
          <w:spacing w:val="-50"/>
        </w:rPr>
        <w:t> </w:t>
      </w:r>
      <w:r>
        <w:rPr>
          <w:rFonts w:ascii="Arial" w:hAnsi="Arial" w:cs="Arial" w:eastAsia="Arial" w:hint="default"/>
        </w:rPr>
        <w:t>31</w:t>
      </w:r>
      <w:r>
        <w:rPr>
          <w:rFonts w:ascii="Arial" w:hAnsi="Arial" w:cs="Arial" w:eastAsia="Arial" w:hint="default"/>
          <w:spacing w:val="-8"/>
        </w:rPr>
        <w:t> </w:t>
      </w:r>
      <w:r>
        <w:rPr/>
        <w:t>日无余额，主</w:t>
      </w:r>
      <w:r>
        <w:rPr>
          <w:w w:val="99"/>
        </w:rPr>
        <w:t> </w:t>
      </w:r>
      <w:r>
        <w:rPr/>
        <w:t>要是由于本年进行了股份回购所致。详见已审财务报表附注五、</w:t>
      </w:r>
      <w:r>
        <w:rPr>
          <w:rFonts w:ascii="Arial" w:hAnsi="Arial" w:cs="Arial" w:eastAsia="Arial" w:hint="default"/>
        </w:rPr>
        <w:t>32</w:t>
      </w:r>
      <w:r>
        <w:rPr/>
        <w:t>。</w:t>
      </w:r>
    </w:p>
    <w:p>
      <w:pPr>
        <w:spacing w:line="240" w:lineRule="auto" w:before="6"/>
        <w:rPr>
          <w:rFonts w:ascii="黑体" w:hAnsi="黑体" w:cs="黑体" w:eastAsia="黑体" w:hint="default"/>
          <w:sz w:val="27"/>
          <w:szCs w:val="27"/>
        </w:rPr>
      </w:pPr>
    </w:p>
    <w:p>
      <w:pPr>
        <w:pStyle w:val="BodyText"/>
        <w:spacing w:line="260" w:lineRule="exact"/>
        <w:ind w:left="787" w:right="180" w:hanging="687"/>
        <w:jc w:val="both"/>
      </w:pPr>
      <w:r>
        <w:rPr>
          <w:rFonts w:ascii="Arial" w:hAnsi="Arial" w:cs="Arial" w:eastAsia="Arial" w:hint="default"/>
        </w:rPr>
        <w:t>15.</w:t>
      </w:r>
      <w:r>
        <w:rPr>
          <w:rFonts w:ascii="Arial" w:hAnsi="Arial" w:cs="Arial" w:eastAsia="Arial" w:hint="default"/>
          <w:spacing w:val="9"/>
        </w:rPr>
        <w:t> </w:t>
      </w:r>
      <w:r>
        <w:rPr/>
        <w:t>盈余公积</w:t>
      </w:r>
      <w:r>
        <w:rPr>
          <w:spacing w:val="-50"/>
        </w:rPr>
        <w:t> </w:t>
      </w:r>
      <w:r>
        <w:rPr>
          <w:rFonts w:ascii="Arial" w:hAnsi="Arial" w:cs="Arial" w:eastAsia="Arial" w:hint="default"/>
        </w:rPr>
        <w:t>2012</w:t>
      </w:r>
      <w:r>
        <w:rPr>
          <w:rFonts w:ascii="Arial" w:hAnsi="Arial" w:cs="Arial" w:eastAsia="Arial" w:hint="default"/>
          <w:spacing w:val="-5"/>
        </w:rPr>
        <w:t> </w:t>
      </w:r>
      <w:r>
        <w:rPr/>
        <w:t>年</w:t>
      </w:r>
      <w:r>
        <w:rPr>
          <w:spacing w:val="-50"/>
        </w:rPr>
        <w:t> </w:t>
      </w:r>
      <w:r>
        <w:rPr>
          <w:rFonts w:ascii="Arial" w:hAnsi="Arial" w:cs="Arial" w:eastAsia="Arial" w:hint="default"/>
        </w:rPr>
        <w:t>12</w:t>
      </w:r>
      <w:r>
        <w:rPr>
          <w:rFonts w:ascii="Arial" w:hAnsi="Arial" w:cs="Arial" w:eastAsia="Arial" w:hint="default"/>
          <w:spacing w:val="-6"/>
        </w:rPr>
        <w:t> </w:t>
      </w:r>
      <w:r>
        <w:rPr/>
        <w:t>月</w:t>
      </w:r>
      <w:r>
        <w:rPr>
          <w:spacing w:val="-47"/>
        </w:rPr>
        <w:t> </w:t>
      </w:r>
      <w:r>
        <w:rPr>
          <w:rFonts w:ascii="Arial" w:hAnsi="Arial" w:cs="Arial" w:eastAsia="Arial" w:hint="default"/>
        </w:rPr>
        <w:t>31</w:t>
      </w:r>
      <w:r>
        <w:rPr>
          <w:rFonts w:ascii="Arial" w:hAnsi="Arial" w:cs="Arial" w:eastAsia="Arial" w:hint="default"/>
          <w:spacing w:val="-3"/>
        </w:rPr>
        <w:t> </w:t>
      </w:r>
      <w:r>
        <w:rPr/>
        <w:t>日余额为人民币</w:t>
      </w:r>
      <w:r>
        <w:rPr>
          <w:spacing w:val="-50"/>
        </w:rPr>
        <w:t> </w:t>
      </w:r>
      <w:r>
        <w:rPr>
          <w:rFonts w:ascii="Arial" w:hAnsi="Arial" w:cs="Arial" w:eastAsia="Arial" w:hint="default"/>
        </w:rPr>
        <w:t>455,383,772</w:t>
      </w:r>
      <w:r>
        <w:rPr>
          <w:rFonts w:ascii="Arial" w:hAnsi="Arial" w:cs="Arial" w:eastAsia="Arial" w:hint="default"/>
          <w:spacing w:val="-5"/>
        </w:rPr>
        <w:t> </w:t>
      </w:r>
      <w:r>
        <w:rPr/>
        <w:t>元，较</w:t>
      </w:r>
      <w:r>
        <w:rPr>
          <w:spacing w:val="-50"/>
        </w:rPr>
        <w:t> </w:t>
      </w:r>
      <w:r>
        <w:rPr>
          <w:rFonts w:ascii="Arial" w:hAnsi="Arial" w:cs="Arial" w:eastAsia="Arial" w:hint="default"/>
        </w:rPr>
        <w:t>2011</w:t>
      </w:r>
      <w:r>
        <w:rPr>
          <w:rFonts w:ascii="Arial" w:hAnsi="Arial" w:cs="Arial" w:eastAsia="Arial" w:hint="default"/>
          <w:spacing w:val="-5"/>
        </w:rPr>
        <w:t> </w:t>
      </w:r>
      <w:r>
        <w:rPr/>
        <w:t>年</w:t>
      </w:r>
      <w:r>
        <w:rPr>
          <w:spacing w:val="-50"/>
        </w:rPr>
        <w:t> </w:t>
      </w:r>
      <w:r>
        <w:rPr>
          <w:rFonts w:ascii="Arial" w:hAnsi="Arial" w:cs="Arial" w:eastAsia="Arial" w:hint="default"/>
        </w:rPr>
        <w:t>12</w:t>
      </w:r>
      <w:r>
        <w:rPr>
          <w:rFonts w:ascii="Arial" w:hAnsi="Arial" w:cs="Arial" w:eastAsia="Arial" w:hint="default"/>
          <w:spacing w:val="-6"/>
        </w:rPr>
        <w:t> </w:t>
      </w:r>
      <w:r>
        <w:rPr/>
        <w:t>月</w:t>
      </w:r>
      <w:r>
        <w:rPr>
          <w:spacing w:val="-50"/>
        </w:rPr>
        <w:t> </w:t>
      </w:r>
      <w:r>
        <w:rPr>
          <w:rFonts w:ascii="Arial" w:hAnsi="Arial" w:cs="Arial" w:eastAsia="Arial" w:hint="default"/>
        </w:rPr>
        <w:t>31</w:t>
      </w:r>
      <w:r>
        <w:rPr>
          <w:rFonts w:ascii="Arial" w:hAnsi="Arial" w:cs="Arial" w:eastAsia="Arial" w:hint="default"/>
          <w:spacing w:val="-3"/>
        </w:rPr>
        <w:t> </w:t>
      </w:r>
      <w:r>
        <w:rPr/>
        <w:t>日余额</w:t>
      </w:r>
      <w:r>
        <w:rPr>
          <w:w w:val="99"/>
        </w:rPr>
        <w:t> </w:t>
      </w:r>
      <w:r>
        <w:rPr/>
        <w:t>增长</w:t>
      </w:r>
      <w:r>
        <w:rPr>
          <w:spacing w:val="-61"/>
        </w:rPr>
        <w:t> </w:t>
      </w:r>
      <w:r>
        <w:rPr>
          <w:rFonts w:ascii="Arial" w:hAnsi="Arial" w:cs="Arial" w:eastAsia="Arial" w:hint="default"/>
        </w:rPr>
        <w:t>16%</w:t>
      </w:r>
      <w:r>
        <w:rPr/>
        <w:t>，主要是由于本公司根据净利润的</w:t>
      </w:r>
      <w:r>
        <w:rPr>
          <w:spacing w:val="-60"/>
        </w:rPr>
        <w:t> </w:t>
      </w:r>
      <w:r>
        <w:rPr>
          <w:rFonts w:ascii="Arial" w:hAnsi="Arial" w:cs="Arial" w:eastAsia="Arial" w:hint="default"/>
        </w:rPr>
        <w:t>10%</w:t>
      </w:r>
      <w:r>
        <w:rPr/>
        <w:t>及</w:t>
      </w:r>
      <w:r>
        <w:rPr>
          <w:spacing w:val="-60"/>
        </w:rPr>
        <w:t> </w:t>
      </w:r>
      <w:r>
        <w:rPr>
          <w:rFonts w:ascii="Arial" w:hAnsi="Arial" w:cs="Arial" w:eastAsia="Arial" w:hint="default"/>
        </w:rPr>
        <w:t>5%</w:t>
      </w:r>
      <w:r>
        <w:rPr/>
        <w:t>分别提取的法定盈余公积及任意盈</w:t>
      </w:r>
      <w:r>
        <w:rPr>
          <w:w w:val="99"/>
        </w:rPr>
        <w:t> </w:t>
      </w:r>
      <w:r>
        <w:rPr/>
        <w:t>余公积所致。</w:t>
      </w:r>
    </w:p>
    <w:p>
      <w:pPr>
        <w:spacing w:line="240" w:lineRule="auto" w:before="6"/>
        <w:rPr>
          <w:rFonts w:ascii="黑体" w:hAnsi="黑体" w:cs="黑体" w:eastAsia="黑体" w:hint="default"/>
          <w:sz w:val="27"/>
          <w:szCs w:val="27"/>
        </w:rPr>
      </w:pPr>
    </w:p>
    <w:p>
      <w:pPr>
        <w:pStyle w:val="BodyText"/>
        <w:spacing w:line="260" w:lineRule="exact"/>
        <w:ind w:left="787" w:right="171" w:hanging="687"/>
        <w:jc w:val="both"/>
      </w:pPr>
      <w:r>
        <w:rPr>
          <w:rFonts w:ascii="Arial" w:hAnsi="Arial" w:cs="Arial" w:eastAsia="Arial" w:hint="default"/>
        </w:rPr>
        <w:t>16.</w:t>
      </w:r>
      <w:r>
        <w:rPr>
          <w:rFonts w:ascii="Arial" w:hAnsi="Arial" w:cs="Arial" w:eastAsia="Arial" w:hint="default"/>
          <w:spacing w:val="8"/>
        </w:rPr>
        <w:t> </w:t>
      </w:r>
      <w:r>
        <w:rPr/>
        <w:t>未分配利润</w:t>
      </w:r>
      <w:r>
        <w:rPr>
          <w:spacing w:val="-45"/>
        </w:rPr>
        <w:t> </w:t>
      </w:r>
      <w:r>
        <w:rPr>
          <w:rFonts w:ascii="Arial" w:hAnsi="Arial" w:cs="Arial" w:eastAsia="Arial" w:hint="default"/>
        </w:rPr>
        <w:t>2012</w:t>
      </w:r>
      <w:r>
        <w:rPr>
          <w:rFonts w:ascii="Arial" w:hAnsi="Arial" w:cs="Arial" w:eastAsia="Arial" w:hint="default"/>
          <w:spacing w:val="-3"/>
        </w:rPr>
        <w:t> </w:t>
      </w:r>
      <w:r>
        <w:rPr/>
        <w:t>年</w:t>
      </w:r>
      <w:r>
        <w:rPr>
          <w:spacing w:val="-45"/>
        </w:rPr>
        <w:t> </w:t>
      </w:r>
      <w:r>
        <w:rPr>
          <w:rFonts w:ascii="Arial" w:hAnsi="Arial" w:cs="Arial" w:eastAsia="Arial" w:hint="default"/>
        </w:rPr>
        <w:t>12</w:t>
      </w:r>
      <w:r>
        <w:rPr>
          <w:rFonts w:ascii="Arial" w:hAnsi="Arial" w:cs="Arial" w:eastAsia="Arial" w:hint="default"/>
          <w:spacing w:val="-3"/>
        </w:rPr>
        <w:t> </w:t>
      </w:r>
      <w:r>
        <w:rPr/>
        <w:t>月</w:t>
      </w:r>
      <w:r>
        <w:rPr>
          <w:spacing w:val="-47"/>
        </w:rPr>
        <w:t> </w:t>
      </w:r>
      <w:r>
        <w:rPr>
          <w:rFonts w:ascii="Arial" w:hAnsi="Arial" w:cs="Arial" w:eastAsia="Arial" w:hint="default"/>
        </w:rPr>
        <w:t>31</w:t>
      </w:r>
      <w:r>
        <w:rPr>
          <w:rFonts w:ascii="Arial" w:hAnsi="Arial" w:cs="Arial" w:eastAsia="Arial" w:hint="default"/>
          <w:spacing w:val="-3"/>
        </w:rPr>
        <w:t> </w:t>
      </w:r>
      <w:r>
        <w:rPr/>
        <w:t>日余额为人民币</w:t>
      </w:r>
      <w:r>
        <w:rPr>
          <w:spacing w:val="-47"/>
        </w:rPr>
        <w:t> </w:t>
      </w:r>
      <w:r>
        <w:rPr>
          <w:rFonts w:ascii="Arial" w:hAnsi="Arial" w:cs="Arial" w:eastAsia="Arial" w:hint="default"/>
        </w:rPr>
        <w:t>1,000,370,930 </w:t>
      </w:r>
      <w:r>
        <w:rPr/>
        <w:t>元，较</w:t>
      </w:r>
      <w:r>
        <w:rPr>
          <w:spacing w:val="-47"/>
        </w:rPr>
        <w:t> </w:t>
      </w:r>
      <w:r>
        <w:rPr>
          <w:rFonts w:ascii="Arial" w:hAnsi="Arial" w:cs="Arial" w:eastAsia="Arial" w:hint="default"/>
        </w:rPr>
        <w:t>2011</w:t>
      </w:r>
      <w:r>
        <w:rPr>
          <w:rFonts w:ascii="Arial" w:hAnsi="Arial" w:cs="Arial" w:eastAsia="Arial" w:hint="default"/>
          <w:spacing w:val="-3"/>
        </w:rPr>
        <w:t> </w:t>
      </w:r>
      <w:r>
        <w:rPr/>
        <w:t>年</w:t>
      </w:r>
      <w:r>
        <w:rPr>
          <w:spacing w:val="-47"/>
        </w:rPr>
        <w:t> </w:t>
      </w:r>
      <w:r>
        <w:rPr>
          <w:rFonts w:ascii="Arial" w:hAnsi="Arial" w:cs="Arial" w:eastAsia="Arial" w:hint="default"/>
        </w:rPr>
        <w:t>12</w:t>
      </w:r>
      <w:r>
        <w:rPr>
          <w:rFonts w:ascii="Arial" w:hAnsi="Arial" w:cs="Arial" w:eastAsia="Arial" w:hint="default"/>
          <w:spacing w:val="-1"/>
        </w:rPr>
        <w:t> </w:t>
      </w:r>
      <w:r>
        <w:rPr/>
        <w:t>月</w:t>
      </w:r>
      <w:r>
        <w:rPr>
          <w:spacing w:val="-47"/>
        </w:rPr>
        <w:t> </w:t>
      </w:r>
      <w:r>
        <w:rPr>
          <w:rFonts w:ascii="Arial" w:hAnsi="Arial" w:cs="Arial" w:eastAsia="Arial" w:hint="default"/>
        </w:rPr>
        <w:t>31</w:t>
      </w:r>
      <w:r>
        <w:rPr>
          <w:rFonts w:ascii="Arial" w:hAnsi="Arial" w:cs="Arial" w:eastAsia="Arial" w:hint="default"/>
          <w:spacing w:val="-3"/>
        </w:rPr>
        <w:t> </w:t>
      </w:r>
      <w:r>
        <w:rPr/>
        <w:t>日</w:t>
      </w:r>
      <w:r>
        <w:rPr>
          <w:w w:val="99"/>
        </w:rPr>
        <w:t> </w:t>
      </w:r>
      <w:r>
        <w:rPr>
          <w:spacing w:val="3"/>
        </w:rPr>
        <w:t>减少</w:t>
      </w:r>
      <w:r>
        <w:rPr>
          <w:spacing w:val="5"/>
        </w:rPr>
        <w:t> </w:t>
      </w:r>
      <w:r>
        <w:rPr>
          <w:rFonts w:ascii="Arial" w:hAnsi="Arial" w:cs="Arial" w:eastAsia="Arial" w:hint="default"/>
          <w:spacing w:val="6"/>
        </w:rPr>
        <w:t>1%</w:t>
      </w:r>
      <w:r>
        <w:rPr>
          <w:spacing w:val="6"/>
        </w:rPr>
        <w:t>，主要是由于本年度本集团归属于母公司股东的净利润转入未分配利润人民币</w:t>
      </w:r>
      <w:r>
        <w:rPr>
          <w:spacing w:val="7"/>
          <w:w w:val="99"/>
        </w:rPr>
        <w:t> </w:t>
      </w:r>
      <w:r>
        <w:rPr>
          <w:rFonts w:ascii="Arial" w:hAnsi="Arial" w:cs="Arial" w:eastAsia="Arial" w:hint="default"/>
        </w:rPr>
        <w:t>379,601,971 </w:t>
      </w:r>
      <w:r>
        <w:rPr/>
        <w:t>元，同时本公司派发现金股利人民币 </w:t>
      </w:r>
      <w:r>
        <w:rPr>
          <w:rFonts w:ascii="Arial" w:hAnsi="Arial" w:cs="Arial" w:eastAsia="Arial" w:hint="default"/>
        </w:rPr>
        <w:t>326,361,347</w:t>
      </w:r>
      <w:r>
        <w:rPr>
          <w:rFonts w:ascii="Arial" w:hAnsi="Arial" w:cs="Arial" w:eastAsia="Arial" w:hint="default"/>
          <w:spacing w:val="-31"/>
        </w:rPr>
        <w:t> </w:t>
      </w:r>
      <w:r>
        <w:rPr/>
        <w:t>元及提取盈余公积人民币</w:t>
      </w:r>
    </w:p>
    <w:p>
      <w:pPr>
        <w:pStyle w:val="BodyText"/>
        <w:spacing w:line="250" w:lineRule="exact"/>
        <w:ind w:left="787" w:right="902"/>
        <w:jc w:val="left"/>
      </w:pPr>
      <w:r>
        <w:rPr>
          <w:rFonts w:ascii="Arial" w:hAnsi="Arial" w:cs="Arial" w:eastAsia="Arial" w:hint="default"/>
        </w:rPr>
        <w:t>63,985,770</w:t>
      </w:r>
      <w:r>
        <w:rPr>
          <w:rFonts w:ascii="Arial" w:hAnsi="Arial" w:cs="Arial" w:eastAsia="Arial" w:hint="default"/>
          <w:spacing w:val="-14"/>
        </w:rPr>
        <w:t> </w:t>
      </w:r>
      <w:r>
        <w:rPr/>
        <w:t>元共同影响所致。</w:t>
      </w:r>
    </w:p>
    <w:p>
      <w:pPr>
        <w:spacing w:line="240" w:lineRule="auto" w:before="3"/>
        <w:rPr>
          <w:rFonts w:ascii="黑体" w:hAnsi="黑体" w:cs="黑体" w:eastAsia="黑体" w:hint="default"/>
          <w:sz w:val="28"/>
          <w:szCs w:val="28"/>
        </w:rPr>
      </w:pPr>
    </w:p>
    <w:p>
      <w:pPr>
        <w:pStyle w:val="BodyText"/>
        <w:spacing w:line="260" w:lineRule="exact"/>
        <w:ind w:left="787" w:right="179" w:hanging="687"/>
        <w:jc w:val="both"/>
      </w:pPr>
      <w:r>
        <w:rPr>
          <w:rFonts w:ascii="Arial" w:hAnsi="Arial" w:cs="Arial" w:eastAsia="Arial" w:hint="default"/>
        </w:rPr>
        <w:t>17.</w:t>
      </w:r>
      <w:r>
        <w:rPr>
          <w:rFonts w:ascii="Arial" w:hAnsi="Arial" w:cs="Arial" w:eastAsia="Arial" w:hint="default"/>
          <w:spacing w:val="10"/>
        </w:rPr>
        <w:t> </w:t>
      </w:r>
      <w:r>
        <w:rPr/>
        <w:t>外币报表折算差额</w:t>
      </w:r>
      <w:r>
        <w:rPr>
          <w:spacing w:val="-52"/>
        </w:rPr>
        <w:t> </w:t>
      </w:r>
      <w:r>
        <w:rPr>
          <w:rFonts w:ascii="Arial" w:hAnsi="Arial" w:cs="Arial" w:eastAsia="Arial" w:hint="default"/>
        </w:rPr>
        <w:t>2012</w:t>
      </w:r>
      <w:r>
        <w:rPr>
          <w:rFonts w:ascii="Arial" w:hAnsi="Arial" w:cs="Arial" w:eastAsia="Arial" w:hint="default"/>
          <w:spacing w:val="-8"/>
        </w:rPr>
        <w:t> </w:t>
      </w:r>
      <w:r>
        <w:rPr/>
        <w:t>年</w:t>
      </w:r>
      <w:r>
        <w:rPr>
          <w:spacing w:val="-50"/>
        </w:rPr>
        <w:t> </w:t>
      </w:r>
      <w:r>
        <w:rPr>
          <w:rFonts w:ascii="Arial" w:hAnsi="Arial" w:cs="Arial" w:eastAsia="Arial" w:hint="default"/>
        </w:rPr>
        <w:t>12</w:t>
      </w:r>
      <w:r>
        <w:rPr>
          <w:rFonts w:ascii="Arial" w:hAnsi="Arial" w:cs="Arial" w:eastAsia="Arial" w:hint="default"/>
          <w:spacing w:val="-8"/>
        </w:rPr>
        <w:t> </w:t>
      </w:r>
      <w:r>
        <w:rPr/>
        <w:t>月</w:t>
      </w:r>
      <w:r>
        <w:rPr>
          <w:spacing w:val="-52"/>
        </w:rPr>
        <w:t> </w:t>
      </w:r>
      <w:r>
        <w:rPr>
          <w:rFonts w:ascii="Arial" w:hAnsi="Arial" w:cs="Arial" w:eastAsia="Arial" w:hint="default"/>
        </w:rPr>
        <w:t>31</w:t>
      </w:r>
      <w:r>
        <w:rPr>
          <w:rFonts w:ascii="Arial" w:hAnsi="Arial" w:cs="Arial" w:eastAsia="Arial" w:hint="default"/>
          <w:spacing w:val="-6"/>
        </w:rPr>
        <w:t> </w:t>
      </w:r>
      <w:r>
        <w:rPr/>
        <w:t>日余额为人民币</w:t>
      </w:r>
      <w:r>
        <w:rPr>
          <w:rFonts w:ascii="Arial" w:hAnsi="Arial" w:cs="Arial" w:eastAsia="Arial" w:hint="default"/>
        </w:rPr>
        <w:t>-817,282</w:t>
      </w:r>
      <w:r>
        <w:rPr>
          <w:rFonts w:ascii="Arial" w:hAnsi="Arial" w:cs="Arial" w:eastAsia="Arial" w:hint="default"/>
          <w:spacing w:val="-8"/>
        </w:rPr>
        <w:t> </w:t>
      </w:r>
      <w:r>
        <w:rPr/>
        <w:t>元，比</w:t>
      </w:r>
      <w:r>
        <w:rPr>
          <w:spacing w:val="-50"/>
        </w:rPr>
        <w:t> </w:t>
      </w:r>
      <w:r>
        <w:rPr>
          <w:rFonts w:ascii="Arial" w:hAnsi="Arial" w:cs="Arial" w:eastAsia="Arial" w:hint="default"/>
        </w:rPr>
        <w:t>2011</w:t>
      </w:r>
      <w:r>
        <w:rPr>
          <w:rFonts w:ascii="Arial" w:hAnsi="Arial" w:cs="Arial" w:eastAsia="Arial" w:hint="default"/>
          <w:spacing w:val="-8"/>
        </w:rPr>
        <w:t> </w:t>
      </w:r>
      <w:r>
        <w:rPr/>
        <w:t>年</w:t>
      </w:r>
      <w:r>
        <w:rPr>
          <w:spacing w:val="-52"/>
        </w:rPr>
        <w:t> </w:t>
      </w:r>
      <w:r>
        <w:rPr>
          <w:rFonts w:ascii="Arial" w:hAnsi="Arial" w:cs="Arial" w:eastAsia="Arial" w:hint="default"/>
        </w:rPr>
        <w:t>12</w:t>
      </w:r>
      <w:r>
        <w:rPr>
          <w:rFonts w:ascii="Arial" w:hAnsi="Arial" w:cs="Arial" w:eastAsia="Arial" w:hint="default"/>
          <w:spacing w:val="-6"/>
        </w:rPr>
        <w:t> </w:t>
      </w:r>
      <w:r>
        <w:rPr/>
        <w:t>月</w:t>
      </w:r>
      <w:r>
        <w:rPr>
          <w:spacing w:val="-52"/>
        </w:rPr>
        <w:t> </w:t>
      </w:r>
      <w:r>
        <w:rPr>
          <w:rFonts w:ascii="Arial" w:hAnsi="Arial" w:cs="Arial" w:eastAsia="Arial" w:hint="default"/>
        </w:rPr>
        <w:t>31</w:t>
      </w:r>
      <w:r>
        <w:rPr>
          <w:rFonts w:ascii="Arial" w:hAnsi="Arial" w:cs="Arial" w:eastAsia="Arial" w:hint="default"/>
          <w:spacing w:val="-8"/>
        </w:rPr>
        <w:t> </w:t>
      </w:r>
      <w:r>
        <w:rPr/>
        <w:t>日</w:t>
      </w:r>
      <w:r>
        <w:rPr>
          <w:w w:val="99"/>
        </w:rPr>
        <w:t> </w:t>
      </w:r>
      <w:r>
        <w:rPr/>
        <w:t>增长</w:t>
      </w:r>
      <w:r>
        <w:rPr>
          <w:spacing w:val="-57"/>
        </w:rPr>
        <w:t> </w:t>
      </w:r>
      <w:r>
        <w:rPr>
          <w:rFonts w:ascii="Arial" w:hAnsi="Arial" w:cs="Arial" w:eastAsia="Arial" w:hint="default"/>
        </w:rPr>
        <w:t>63%</w:t>
      </w:r>
      <w:r>
        <w:rPr/>
        <w:t>，主要是由于外币汇率波动所致。</w:t>
      </w:r>
    </w:p>
    <w:p>
      <w:pPr>
        <w:spacing w:line="240" w:lineRule="auto" w:before="6"/>
        <w:rPr>
          <w:rFonts w:ascii="黑体" w:hAnsi="黑体" w:cs="黑体" w:eastAsia="黑体" w:hint="default"/>
          <w:sz w:val="27"/>
          <w:szCs w:val="27"/>
        </w:rPr>
      </w:pPr>
    </w:p>
    <w:p>
      <w:pPr>
        <w:pStyle w:val="BodyText"/>
        <w:spacing w:line="260" w:lineRule="exact"/>
        <w:ind w:left="787" w:right="179" w:hanging="687"/>
        <w:jc w:val="both"/>
      </w:pPr>
      <w:r>
        <w:rPr>
          <w:rFonts w:ascii="Arial" w:hAnsi="Arial" w:cs="Arial" w:eastAsia="Arial" w:hint="default"/>
        </w:rPr>
        <w:t>18.</w:t>
      </w:r>
      <w:r>
        <w:rPr>
          <w:rFonts w:ascii="Arial" w:hAnsi="Arial" w:cs="Arial" w:eastAsia="Arial" w:hint="default"/>
          <w:spacing w:val="12"/>
        </w:rPr>
        <w:t> </w:t>
      </w:r>
      <w:r>
        <w:rPr/>
        <w:t>营业收入</w:t>
      </w:r>
      <w:r>
        <w:rPr>
          <w:spacing w:val="-51"/>
        </w:rPr>
        <w:t> </w:t>
      </w:r>
      <w:r>
        <w:rPr>
          <w:rFonts w:ascii="Arial" w:hAnsi="Arial" w:cs="Arial" w:eastAsia="Arial" w:hint="default"/>
        </w:rPr>
        <w:t>2012</w:t>
      </w:r>
      <w:r>
        <w:rPr>
          <w:rFonts w:ascii="Arial" w:hAnsi="Arial" w:cs="Arial" w:eastAsia="Arial" w:hint="default"/>
          <w:spacing w:val="-7"/>
        </w:rPr>
        <w:t> </w:t>
      </w:r>
      <w:r>
        <w:rPr/>
        <w:t>年为人民币</w:t>
      </w:r>
      <w:r>
        <w:rPr>
          <w:spacing w:val="-49"/>
        </w:rPr>
        <w:t> </w:t>
      </w:r>
      <w:r>
        <w:rPr>
          <w:rFonts w:ascii="Arial" w:hAnsi="Arial" w:cs="Arial" w:eastAsia="Arial" w:hint="default"/>
        </w:rPr>
        <w:t>4,235,210,610</w:t>
      </w:r>
      <w:r>
        <w:rPr>
          <w:rFonts w:ascii="Arial" w:hAnsi="Arial" w:cs="Arial" w:eastAsia="Arial" w:hint="default"/>
          <w:spacing w:val="-5"/>
        </w:rPr>
        <w:t> </w:t>
      </w:r>
      <w:r>
        <w:rPr/>
        <w:t>元，较</w:t>
      </w:r>
      <w:r>
        <w:rPr>
          <w:spacing w:val="-51"/>
        </w:rPr>
        <w:t> </w:t>
      </w:r>
      <w:r>
        <w:rPr>
          <w:rFonts w:ascii="Arial" w:hAnsi="Arial" w:cs="Arial" w:eastAsia="Arial" w:hint="default"/>
        </w:rPr>
        <w:t>2011</w:t>
      </w:r>
      <w:r>
        <w:rPr>
          <w:rFonts w:ascii="Arial" w:hAnsi="Arial" w:cs="Arial" w:eastAsia="Arial" w:hint="default"/>
          <w:spacing w:val="-7"/>
        </w:rPr>
        <w:t> </w:t>
      </w:r>
      <w:r>
        <w:rPr/>
        <w:t>年增长</w:t>
      </w:r>
      <w:r>
        <w:rPr>
          <w:spacing w:val="-49"/>
        </w:rPr>
        <w:t> </w:t>
      </w:r>
      <w:r>
        <w:rPr>
          <w:rFonts w:ascii="Arial" w:hAnsi="Arial" w:cs="Arial" w:eastAsia="Arial" w:hint="default"/>
        </w:rPr>
        <w:t>3%</w:t>
      </w:r>
      <w:r>
        <w:rPr/>
        <w:t>，主要是由于本年度主</w:t>
      </w:r>
      <w:r>
        <w:rPr>
          <w:w w:val="99"/>
        </w:rPr>
        <w:t> </w:t>
      </w:r>
      <w:r>
        <w:rPr/>
        <w:t>营业务软件产品销售收入及实施维护和培训服务收入继续取得平稳增长所致。</w:t>
      </w:r>
    </w:p>
    <w:p>
      <w:pPr>
        <w:spacing w:line="240" w:lineRule="auto" w:before="8"/>
        <w:rPr>
          <w:rFonts w:ascii="黑体" w:hAnsi="黑体" w:cs="黑体" w:eastAsia="黑体" w:hint="default"/>
          <w:sz w:val="27"/>
          <w:szCs w:val="27"/>
        </w:rPr>
      </w:pPr>
    </w:p>
    <w:p>
      <w:pPr>
        <w:pStyle w:val="BodyText"/>
        <w:spacing w:line="260" w:lineRule="exact"/>
        <w:ind w:left="787" w:right="179" w:hanging="687"/>
        <w:jc w:val="both"/>
      </w:pPr>
      <w:r>
        <w:rPr>
          <w:rFonts w:ascii="Arial" w:hAnsi="Arial" w:cs="Arial" w:eastAsia="Arial" w:hint="default"/>
        </w:rPr>
        <w:t>19. </w:t>
      </w:r>
      <w:r>
        <w:rPr/>
        <w:t>营业成本</w:t>
      </w:r>
      <w:r>
        <w:rPr>
          <w:spacing w:val="-51"/>
        </w:rPr>
        <w:t> </w:t>
      </w:r>
      <w:r>
        <w:rPr>
          <w:rFonts w:ascii="Arial" w:hAnsi="Arial" w:cs="Arial" w:eastAsia="Arial" w:hint="default"/>
        </w:rPr>
        <w:t>2012</w:t>
      </w:r>
      <w:r>
        <w:rPr>
          <w:rFonts w:ascii="Arial" w:hAnsi="Arial" w:cs="Arial" w:eastAsia="Arial" w:hint="default"/>
          <w:spacing w:val="-6"/>
        </w:rPr>
        <w:t> </w:t>
      </w:r>
      <w:r>
        <w:rPr/>
        <w:t>年为人民币</w:t>
      </w:r>
      <w:r>
        <w:rPr>
          <w:spacing w:val="-51"/>
        </w:rPr>
        <w:t> </w:t>
      </w:r>
      <w:r>
        <w:rPr>
          <w:rFonts w:ascii="Arial" w:hAnsi="Arial" w:cs="Arial" w:eastAsia="Arial" w:hint="default"/>
        </w:rPr>
        <w:t>674,885,159</w:t>
      </w:r>
      <w:r>
        <w:rPr>
          <w:rFonts w:ascii="Arial" w:hAnsi="Arial" w:cs="Arial" w:eastAsia="Arial" w:hint="default"/>
          <w:spacing w:val="-6"/>
        </w:rPr>
        <w:t> </w:t>
      </w:r>
      <w:r>
        <w:rPr>
          <w:spacing w:val="-4"/>
        </w:rPr>
        <w:t>元，较</w:t>
      </w:r>
      <w:r>
        <w:rPr>
          <w:spacing w:val="-53"/>
        </w:rPr>
        <w:t> </w:t>
      </w:r>
      <w:r>
        <w:rPr>
          <w:rFonts w:ascii="Arial" w:hAnsi="Arial" w:cs="Arial" w:eastAsia="Arial" w:hint="default"/>
        </w:rPr>
        <w:t>2011</w:t>
      </w:r>
      <w:r>
        <w:rPr>
          <w:rFonts w:ascii="Arial" w:hAnsi="Arial" w:cs="Arial" w:eastAsia="Arial" w:hint="default"/>
          <w:spacing w:val="-6"/>
        </w:rPr>
        <w:t> </w:t>
      </w:r>
      <w:r>
        <w:rPr/>
        <w:t>年增加</w:t>
      </w:r>
      <w:r>
        <w:rPr>
          <w:spacing w:val="-53"/>
        </w:rPr>
        <w:t> </w:t>
      </w:r>
      <w:r>
        <w:rPr>
          <w:rFonts w:ascii="Arial" w:hAnsi="Arial" w:cs="Arial" w:eastAsia="Arial" w:hint="default"/>
        </w:rPr>
        <w:t>8%</w:t>
      </w:r>
      <w:r>
        <w:rPr/>
        <w:t>，略高于营业收入的增长</w:t>
      </w:r>
      <w:r>
        <w:rPr>
          <w:w w:val="99"/>
        </w:rPr>
        <w:t> </w:t>
      </w:r>
      <w:r>
        <w:rPr>
          <w:w w:val="95"/>
        </w:rPr>
        <w:t>幅度</w:t>
      </w:r>
      <w:r>
        <w:rPr>
          <w:rFonts w:ascii="Arial" w:hAnsi="Arial" w:cs="Arial" w:eastAsia="Arial" w:hint="default"/>
          <w:w w:val="95"/>
        </w:rPr>
        <w:t>(3%)</w:t>
      </w:r>
      <w:r>
        <w:rPr>
          <w:w w:val="95"/>
        </w:rPr>
        <w:t>，主要是由于本集团本年度增强了外包力度，导致技术服务及培训成本增幅大于</w:t>
      </w:r>
      <w:r>
        <w:rPr>
          <w:w w:val="99"/>
        </w:rPr>
        <w:t> </w:t>
      </w:r>
      <w:r>
        <w:rPr/>
        <w:t>技术服务及培训收入增幅所致。</w:t>
      </w:r>
    </w:p>
    <w:p>
      <w:pPr>
        <w:spacing w:line="240" w:lineRule="auto" w:before="6"/>
        <w:rPr>
          <w:rFonts w:ascii="黑体" w:hAnsi="黑体" w:cs="黑体" w:eastAsia="黑体" w:hint="default"/>
          <w:sz w:val="27"/>
          <w:szCs w:val="27"/>
        </w:rPr>
      </w:pPr>
    </w:p>
    <w:p>
      <w:pPr>
        <w:pStyle w:val="BodyText"/>
        <w:spacing w:line="260" w:lineRule="exact"/>
        <w:ind w:left="787" w:right="177" w:hanging="687"/>
        <w:jc w:val="both"/>
      </w:pPr>
      <w:r>
        <w:rPr>
          <w:rFonts w:ascii="Arial" w:hAnsi="Arial" w:cs="Arial" w:eastAsia="Arial" w:hint="default"/>
        </w:rPr>
        <w:t>20.</w:t>
      </w:r>
      <w:r>
        <w:rPr>
          <w:rFonts w:ascii="Arial" w:hAnsi="Arial" w:cs="Arial" w:eastAsia="Arial" w:hint="default"/>
          <w:spacing w:val="3"/>
        </w:rPr>
        <w:t> </w:t>
      </w:r>
      <w:r>
        <w:rPr/>
        <w:t>营业税金及附加</w:t>
      </w:r>
      <w:r>
        <w:rPr>
          <w:spacing w:val="-51"/>
        </w:rPr>
        <w:t> </w:t>
      </w:r>
      <w:r>
        <w:rPr>
          <w:rFonts w:ascii="Arial" w:hAnsi="Arial" w:cs="Arial" w:eastAsia="Arial" w:hint="default"/>
        </w:rPr>
        <w:t>2012</w:t>
      </w:r>
      <w:r>
        <w:rPr>
          <w:rFonts w:ascii="Arial" w:hAnsi="Arial" w:cs="Arial" w:eastAsia="Arial" w:hint="default"/>
          <w:spacing w:val="-6"/>
        </w:rPr>
        <w:t> </w:t>
      </w:r>
      <w:r>
        <w:rPr/>
        <w:t>年为人民币</w:t>
      </w:r>
      <w:r>
        <w:rPr>
          <w:spacing w:val="-53"/>
        </w:rPr>
        <w:t> </w:t>
      </w:r>
      <w:r>
        <w:rPr>
          <w:rFonts w:ascii="Arial" w:hAnsi="Arial" w:cs="Arial" w:eastAsia="Arial" w:hint="default"/>
        </w:rPr>
        <w:t>79,729,923</w:t>
      </w:r>
      <w:r>
        <w:rPr>
          <w:rFonts w:ascii="Arial" w:hAnsi="Arial" w:cs="Arial" w:eastAsia="Arial" w:hint="default"/>
          <w:spacing w:val="-9"/>
        </w:rPr>
        <w:t> </w:t>
      </w:r>
      <w:r>
        <w:rPr>
          <w:spacing w:val="-4"/>
        </w:rPr>
        <w:t>元，较</w:t>
      </w:r>
      <w:r>
        <w:rPr>
          <w:spacing w:val="-53"/>
        </w:rPr>
        <w:t> </w:t>
      </w:r>
      <w:r>
        <w:rPr>
          <w:rFonts w:ascii="Arial" w:hAnsi="Arial" w:cs="Arial" w:eastAsia="Arial" w:hint="default"/>
        </w:rPr>
        <w:t>2011</w:t>
      </w:r>
      <w:r>
        <w:rPr>
          <w:rFonts w:ascii="Arial" w:hAnsi="Arial" w:cs="Arial" w:eastAsia="Arial" w:hint="default"/>
          <w:spacing w:val="-9"/>
        </w:rPr>
        <w:t> </w:t>
      </w:r>
      <w:r>
        <w:rPr/>
        <w:t>年减少</w:t>
      </w:r>
      <w:r>
        <w:rPr>
          <w:spacing w:val="-53"/>
        </w:rPr>
        <w:t> </w:t>
      </w:r>
      <w:r>
        <w:rPr>
          <w:rFonts w:ascii="Arial" w:hAnsi="Arial" w:cs="Arial" w:eastAsia="Arial" w:hint="default"/>
        </w:rPr>
        <w:t>43%</w:t>
      </w:r>
      <w:r>
        <w:rPr/>
        <w:t>，主要是由于本年</w:t>
      </w:r>
      <w:r>
        <w:rPr>
          <w:w w:val="99"/>
        </w:rPr>
        <w:t> </w:t>
      </w:r>
      <w:r>
        <w:rPr>
          <w:spacing w:val="2"/>
        </w:rPr>
        <w:t>度本公司</w:t>
      </w:r>
      <w:r>
        <w:rPr>
          <w:rFonts w:ascii="Arial" w:hAnsi="Arial" w:cs="Arial" w:eastAsia="Arial" w:hint="default"/>
          <w:spacing w:val="2"/>
        </w:rPr>
        <w:t>(</w:t>
      </w:r>
      <w:r>
        <w:rPr>
          <w:spacing w:val="2"/>
        </w:rPr>
        <w:t>含部分分公司</w:t>
      </w:r>
      <w:r>
        <w:rPr>
          <w:rFonts w:ascii="Arial" w:hAnsi="Arial" w:cs="Arial" w:eastAsia="Arial" w:hint="default"/>
          <w:spacing w:val="2"/>
        </w:rPr>
        <w:t>)</w:t>
      </w:r>
      <w:r>
        <w:rPr>
          <w:spacing w:val="2"/>
        </w:rPr>
        <w:t>和集团下属部分子公司实行营改增政策，服务收入全部缴纳增值</w:t>
      </w:r>
      <w:r>
        <w:rPr>
          <w:spacing w:val="2"/>
          <w:w w:val="99"/>
        </w:rPr>
        <w:t> </w:t>
      </w:r>
      <w:r>
        <w:rPr/>
        <w:t>税所致。</w:t>
      </w:r>
    </w:p>
    <w:p>
      <w:pPr>
        <w:spacing w:line="240" w:lineRule="auto" w:before="6"/>
        <w:rPr>
          <w:rFonts w:ascii="黑体" w:hAnsi="黑体" w:cs="黑体" w:eastAsia="黑体" w:hint="default"/>
          <w:sz w:val="27"/>
          <w:szCs w:val="27"/>
        </w:rPr>
      </w:pPr>
    </w:p>
    <w:p>
      <w:pPr>
        <w:pStyle w:val="BodyText"/>
        <w:spacing w:line="260" w:lineRule="exact"/>
        <w:ind w:left="788" w:right="179" w:hanging="687"/>
        <w:jc w:val="both"/>
      </w:pPr>
      <w:r>
        <w:rPr>
          <w:rFonts w:ascii="Arial" w:hAnsi="Arial" w:cs="Arial" w:eastAsia="Arial" w:hint="default"/>
        </w:rPr>
        <w:t>21.</w:t>
      </w:r>
      <w:r>
        <w:rPr>
          <w:rFonts w:ascii="Arial" w:hAnsi="Arial" w:cs="Arial" w:eastAsia="Arial" w:hint="default"/>
          <w:spacing w:val="12"/>
        </w:rPr>
        <w:t> </w:t>
      </w:r>
      <w:r>
        <w:rPr/>
        <w:t>销售费用</w:t>
      </w:r>
      <w:r>
        <w:rPr>
          <w:spacing w:val="-51"/>
        </w:rPr>
        <w:t> </w:t>
      </w:r>
      <w:r>
        <w:rPr>
          <w:rFonts w:ascii="Arial" w:hAnsi="Arial" w:cs="Arial" w:eastAsia="Arial" w:hint="default"/>
        </w:rPr>
        <w:t>2012</w:t>
      </w:r>
      <w:r>
        <w:rPr>
          <w:rFonts w:ascii="Arial" w:hAnsi="Arial" w:cs="Arial" w:eastAsia="Arial" w:hint="default"/>
          <w:spacing w:val="-7"/>
        </w:rPr>
        <w:t> </w:t>
      </w:r>
      <w:r>
        <w:rPr/>
        <w:t>年为人民币</w:t>
      </w:r>
      <w:r>
        <w:rPr>
          <w:spacing w:val="-49"/>
        </w:rPr>
        <w:t> </w:t>
      </w:r>
      <w:r>
        <w:rPr>
          <w:rFonts w:ascii="Arial" w:hAnsi="Arial" w:cs="Arial" w:eastAsia="Arial" w:hint="default"/>
        </w:rPr>
        <w:t>1,937,578,118</w:t>
      </w:r>
      <w:r>
        <w:rPr>
          <w:rFonts w:ascii="Arial" w:hAnsi="Arial" w:cs="Arial" w:eastAsia="Arial" w:hint="default"/>
          <w:spacing w:val="-5"/>
        </w:rPr>
        <w:t> </w:t>
      </w:r>
      <w:r>
        <w:rPr/>
        <w:t>元，较</w:t>
      </w:r>
      <w:r>
        <w:rPr>
          <w:spacing w:val="-51"/>
        </w:rPr>
        <w:t> </w:t>
      </w:r>
      <w:r>
        <w:rPr>
          <w:rFonts w:ascii="Arial" w:hAnsi="Arial" w:cs="Arial" w:eastAsia="Arial" w:hint="default"/>
        </w:rPr>
        <w:t>2011</w:t>
      </w:r>
      <w:r>
        <w:rPr>
          <w:rFonts w:ascii="Arial" w:hAnsi="Arial" w:cs="Arial" w:eastAsia="Arial" w:hint="default"/>
          <w:spacing w:val="-7"/>
        </w:rPr>
        <w:t> </w:t>
      </w:r>
      <w:r>
        <w:rPr/>
        <w:t>年增长</w:t>
      </w:r>
      <w:r>
        <w:rPr>
          <w:spacing w:val="-49"/>
        </w:rPr>
        <w:t> </w:t>
      </w:r>
      <w:r>
        <w:rPr>
          <w:rFonts w:ascii="Arial" w:hAnsi="Arial" w:cs="Arial" w:eastAsia="Arial" w:hint="default"/>
        </w:rPr>
        <w:t>7%</w:t>
      </w:r>
      <w:r>
        <w:rPr/>
        <w:t>，主要是由于销售人员</w:t>
      </w:r>
      <w:r>
        <w:rPr>
          <w:w w:val="99"/>
        </w:rPr>
        <w:t> </w:t>
      </w:r>
      <w:r>
        <w:rPr/>
        <w:t>工资以及社会保险和公积金费用增加所致。</w:t>
      </w:r>
    </w:p>
    <w:p>
      <w:pPr>
        <w:spacing w:line="240" w:lineRule="auto" w:before="6"/>
        <w:rPr>
          <w:rFonts w:ascii="黑体" w:hAnsi="黑体" w:cs="黑体" w:eastAsia="黑体" w:hint="default"/>
          <w:sz w:val="27"/>
          <w:szCs w:val="27"/>
        </w:rPr>
      </w:pPr>
    </w:p>
    <w:p>
      <w:pPr>
        <w:pStyle w:val="BodyText"/>
        <w:spacing w:line="260" w:lineRule="exact"/>
        <w:ind w:left="788" w:right="179" w:hanging="687"/>
        <w:jc w:val="both"/>
      </w:pPr>
      <w:r>
        <w:rPr>
          <w:rFonts w:ascii="Arial" w:hAnsi="Arial" w:cs="Arial" w:eastAsia="Arial" w:hint="default"/>
        </w:rPr>
        <w:t>22.</w:t>
      </w:r>
      <w:r>
        <w:rPr>
          <w:rFonts w:ascii="Arial" w:hAnsi="Arial" w:cs="Arial" w:eastAsia="Arial" w:hint="default"/>
          <w:spacing w:val="12"/>
        </w:rPr>
        <w:t> </w:t>
      </w:r>
      <w:r>
        <w:rPr/>
        <w:t>管理费用</w:t>
      </w:r>
      <w:r>
        <w:rPr>
          <w:spacing w:val="-51"/>
        </w:rPr>
        <w:t> </w:t>
      </w:r>
      <w:r>
        <w:rPr>
          <w:rFonts w:ascii="Arial" w:hAnsi="Arial" w:cs="Arial" w:eastAsia="Arial" w:hint="default"/>
        </w:rPr>
        <w:t>2012</w:t>
      </w:r>
      <w:r>
        <w:rPr>
          <w:rFonts w:ascii="Arial" w:hAnsi="Arial" w:cs="Arial" w:eastAsia="Arial" w:hint="default"/>
          <w:spacing w:val="-7"/>
        </w:rPr>
        <w:t> </w:t>
      </w:r>
      <w:r>
        <w:rPr/>
        <w:t>年为人民币</w:t>
      </w:r>
      <w:r>
        <w:rPr>
          <w:spacing w:val="-49"/>
        </w:rPr>
        <w:t> </w:t>
      </w:r>
      <w:r>
        <w:rPr>
          <w:rFonts w:ascii="Arial" w:hAnsi="Arial" w:cs="Arial" w:eastAsia="Arial" w:hint="default"/>
        </w:rPr>
        <w:t>1,274,911,715</w:t>
      </w:r>
      <w:r>
        <w:rPr>
          <w:rFonts w:ascii="Arial" w:hAnsi="Arial" w:cs="Arial" w:eastAsia="Arial" w:hint="default"/>
          <w:spacing w:val="-5"/>
        </w:rPr>
        <w:t> </w:t>
      </w:r>
      <w:r>
        <w:rPr/>
        <w:t>元，较</w:t>
      </w:r>
      <w:r>
        <w:rPr>
          <w:spacing w:val="-51"/>
        </w:rPr>
        <w:t> </w:t>
      </w:r>
      <w:r>
        <w:rPr>
          <w:rFonts w:ascii="Arial" w:hAnsi="Arial" w:cs="Arial" w:eastAsia="Arial" w:hint="default"/>
        </w:rPr>
        <w:t>2011</w:t>
      </w:r>
      <w:r>
        <w:rPr>
          <w:rFonts w:ascii="Arial" w:hAnsi="Arial" w:cs="Arial" w:eastAsia="Arial" w:hint="default"/>
          <w:spacing w:val="-7"/>
        </w:rPr>
        <w:t> </w:t>
      </w:r>
      <w:r>
        <w:rPr/>
        <w:t>年增长</w:t>
      </w:r>
      <w:r>
        <w:rPr>
          <w:spacing w:val="-49"/>
        </w:rPr>
        <w:t> </w:t>
      </w:r>
      <w:r>
        <w:rPr>
          <w:rFonts w:ascii="Arial" w:hAnsi="Arial" w:cs="Arial" w:eastAsia="Arial" w:hint="default"/>
        </w:rPr>
        <w:t>9%</w:t>
      </w:r>
      <w:r>
        <w:rPr/>
        <w:t>，主要是由于管理人员</w:t>
      </w:r>
      <w:r>
        <w:rPr>
          <w:w w:val="99"/>
        </w:rPr>
        <w:t> </w:t>
      </w:r>
      <w:r>
        <w:rPr/>
        <w:t>及研发人员工资以及社会保险和公积金费用增加所致。</w:t>
      </w:r>
    </w:p>
    <w:p>
      <w:pPr>
        <w:spacing w:line="240" w:lineRule="auto" w:before="7"/>
        <w:rPr>
          <w:rFonts w:ascii="黑体" w:hAnsi="黑体" w:cs="黑体" w:eastAsia="黑体" w:hint="default"/>
          <w:sz w:val="25"/>
          <w:szCs w:val="25"/>
        </w:rPr>
      </w:pPr>
    </w:p>
    <w:p>
      <w:pPr>
        <w:pStyle w:val="BodyText"/>
        <w:tabs>
          <w:tab w:pos="788" w:val="left" w:leader="none"/>
        </w:tabs>
        <w:spacing w:line="268" w:lineRule="exact"/>
        <w:ind w:left="101" w:right="0"/>
        <w:jc w:val="left"/>
      </w:pPr>
      <w:r>
        <w:rPr>
          <w:rFonts w:ascii="Arial" w:hAnsi="Arial" w:cs="Arial" w:eastAsia="Arial" w:hint="default"/>
          <w:spacing w:val="-1"/>
          <w:w w:val="95"/>
        </w:rPr>
        <w:t>23.</w:t>
        <w:tab/>
      </w:r>
      <w:r>
        <w:rPr/>
        <w:t>财务费用为净支出人民币</w:t>
      </w:r>
      <w:r>
        <w:rPr>
          <w:spacing w:val="-52"/>
        </w:rPr>
        <w:t> </w:t>
      </w:r>
      <w:r>
        <w:rPr>
          <w:rFonts w:ascii="Arial" w:hAnsi="Arial" w:cs="Arial" w:eastAsia="Arial" w:hint="default"/>
        </w:rPr>
        <w:t>56,548,249</w:t>
      </w:r>
      <w:r>
        <w:rPr>
          <w:rFonts w:ascii="Arial" w:hAnsi="Arial" w:cs="Arial" w:eastAsia="Arial" w:hint="default"/>
          <w:spacing w:val="-8"/>
        </w:rPr>
        <w:t> </w:t>
      </w:r>
      <w:r>
        <w:rPr>
          <w:spacing w:val="-14"/>
        </w:rPr>
        <w:t>元，较</w:t>
      </w:r>
      <w:r>
        <w:rPr>
          <w:spacing w:val="-50"/>
        </w:rPr>
        <w:t> </w:t>
      </w:r>
      <w:r>
        <w:rPr>
          <w:rFonts w:ascii="Arial" w:hAnsi="Arial" w:cs="Arial" w:eastAsia="Arial" w:hint="default"/>
        </w:rPr>
        <w:t>2011</w:t>
      </w:r>
      <w:r>
        <w:rPr>
          <w:rFonts w:ascii="Arial" w:hAnsi="Arial" w:cs="Arial" w:eastAsia="Arial" w:hint="default"/>
          <w:spacing w:val="-8"/>
        </w:rPr>
        <w:t> </w:t>
      </w:r>
      <w:r>
        <w:rPr/>
        <w:t>年增加</w:t>
      </w:r>
      <w:r>
        <w:rPr>
          <w:spacing w:val="-52"/>
        </w:rPr>
        <w:t> </w:t>
      </w:r>
      <w:r>
        <w:rPr>
          <w:rFonts w:ascii="Arial" w:hAnsi="Arial" w:cs="Arial" w:eastAsia="Arial" w:hint="default"/>
          <w:spacing w:val="-3"/>
        </w:rPr>
        <w:t>78%</w:t>
      </w:r>
      <w:r>
        <w:rPr>
          <w:spacing w:val="-3"/>
        </w:rPr>
        <w:t>，主要是由于本公司本年度</w:t>
      </w:r>
    </w:p>
    <w:p>
      <w:pPr>
        <w:pStyle w:val="BodyText"/>
        <w:spacing w:line="268" w:lineRule="exact"/>
        <w:ind w:left="788" w:right="902"/>
        <w:jc w:val="left"/>
      </w:pPr>
      <w:r>
        <w:rPr/>
        <w:t>向银行借款人民币</w:t>
      </w:r>
      <w:r>
        <w:rPr>
          <w:spacing w:val="-57"/>
        </w:rPr>
        <w:t> </w:t>
      </w:r>
      <w:r>
        <w:rPr>
          <w:rFonts w:ascii="Arial" w:hAnsi="Arial" w:cs="Arial" w:eastAsia="Arial" w:hint="default"/>
        </w:rPr>
        <w:t>2,310,000,000</w:t>
      </w:r>
      <w:r>
        <w:rPr>
          <w:rFonts w:ascii="Arial" w:hAnsi="Arial" w:cs="Arial" w:eastAsia="Arial" w:hint="default"/>
          <w:spacing w:val="-11"/>
        </w:rPr>
        <w:t> </w:t>
      </w:r>
      <w:r>
        <w:rPr/>
        <w:t>元而产生的利息支出所致。</w:t>
      </w:r>
    </w:p>
    <w:p>
      <w:pPr>
        <w:spacing w:line="240" w:lineRule="auto" w:before="3"/>
        <w:rPr>
          <w:rFonts w:ascii="黑体" w:hAnsi="黑体" w:cs="黑体" w:eastAsia="黑体" w:hint="default"/>
          <w:sz w:val="26"/>
          <w:szCs w:val="26"/>
        </w:rPr>
      </w:pPr>
    </w:p>
    <w:p>
      <w:pPr>
        <w:pStyle w:val="BodyText"/>
        <w:tabs>
          <w:tab w:pos="788" w:val="left" w:leader="none"/>
        </w:tabs>
        <w:spacing w:line="268" w:lineRule="exact"/>
        <w:ind w:left="101" w:right="0"/>
        <w:jc w:val="left"/>
      </w:pPr>
      <w:r>
        <w:rPr>
          <w:rFonts w:ascii="Arial" w:hAnsi="Arial" w:cs="Arial" w:eastAsia="Arial" w:hint="default"/>
          <w:spacing w:val="-1"/>
          <w:w w:val="95"/>
        </w:rPr>
        <w:t>24.</w:t>
        <w:tab/>
      </w:r>
      <w:r>
        <w:rPr/>
        <w:t>资产减值损失</w:t>
      </w:r>
      <w:r>
        <w:rPr>
          <w:spacing w:val="-52"/>
        </w:rPr>
        <w:t> </w:t>
      </w:r>
      <w:r>
        <w:rPr>
          <w:rFonts w:ascii="Arial" w:hAnsi="Arial" w:cs="Arial" w:eastAsia="Arial" w:hint="default"/>
        </w:rPr>
        <w:t>2012</w:t>
      </w:r>
      <w:r>
        <w:rPr>
          <w:rFonts w:ascii="Arial" w:hAnsi="Arial" w:cs="Arial" w:eastAsia="Arial" w:hint="default"/>
          <w:spacing w:val="-8"/>
        </w:rPr>
        <w:t> </w:t>
      </w:r>
      <w:r>
        <w:rPr/>
        <w:t>年为人民币</w:t>
      </w:r>
      <w:r>
        <w:rPr>
          <w:spacing w:val="-52"/>
        </w:rPr>
        <w:t> </w:t>
      </w:r>
      <w:r>
        <w:rPr>
          <w:rFonts w:ascii="Arial" w:hAnsi="Arial" w:cs="Arial" w:eastAsia="Arial" w:hint="default"/>
          <w:spacing w:val="-1"/>
        </w:rPr>
        <w:t>60,601,445</w:t>
      </w:r>
      <w:r>
        <w:rPr>
          <w:rFonts w:ascii="Arial" w:hAnsi="Arial" w:cs="Arial" w:eastAsia="Arial" w:hint="default"/>
          <w:spacing w:val="-5"/>
        </w:rPr>
        <w:t> </w:t>
      </w:r>
      <w:r>
        <w:rPr>
          <w:spacing w:val="-4"/>
        </w:rPr>
        <w:t>元，较</w:t>
      </w:r>
      <w:r>
        <w:rPr>
          <w:spacing w:val="-52"/>
        </w:rPr>
        <w:t> </w:t>
      </w:r>
      <w:r>
        <w:rPr>
          <w:rFonts w:ascii="Arial" w:hAnsi="Arial" w:cs="Arial" w:eastAsia="Arial" w:hint="default"/>
        </w:rPr>
        <w:t>2011</w:t>
      </w:r>
      <w:r>
        <w:rPr>
          <w:rFonts w:ascii="Arial" w:hAnsi="Arial" w:cs="Arial" w:eastAsia="Arial" w:hint="default"/>
          <w:spacing w:val="-8"/>
        </w:rPr>
        <w:t> </w:t>
      </w:r>
      <w:r>
        <w:rPr/>
        <w:t>年增长</w:t>
      </w:r>
      <w:r>
        <w:rPr>
          <w:spacing w:val="-50"/>
        </w:rPr>
        <w:t> </w:t>
      </w:r>
      <w:r>
        <w:rPr>
          <w:rFonts w:ascii="Arial" w:hAnsi="Arial" w:cs="Arial" w:eastAsia="Arial" w:hint="default"/>
          <w:spacing w:val="-1"/>
        </w:rPr>
        <w:t>60%</w:t>
      </w:r>
      <w:r>
        <w:rPr>
          <w:spacing w:val="-1"/>
        </w:rPr>
        <w:t>，主要是由于本集团</w:t>
      </w:r>
    </w:p>
    <w:p>
      <w:pPr>
        <w:pStyle w:val="BodyText"/>
        <w:spacing w:line="268" w:lineRule="exact"/>
        <w:ind w:left="788" w:right="902"/>
        <w:jc w:val="left"/>
      </w:pPr>
      <w:r>
        <w:rPr/>
        <w:t>于</w:t>
      </w:r>
      <w:r>
        <w:rPr>
          <w:spacing w:val="-54"/>
        </w:rPr>
        <w:t> </w:t>
      </w:r>
      <w:r>
        <w:rPr>
          <w:rFonts w:ascii="Arial" w:hAnsi="Arial" w:cs="Arial" w:eastAsia="Arial" w:hint="default"/>
        </w:rPr>
        <w:t>2012</w:t>
      </w:r>
      <w:r>
        <w:rPr>
          <w:rFonts w:ascii="Arial" w:hAnsi="Arial" w:cs="Arial" w:eastAsia="Arial" w:hint="default"/>
          <w:spacing w:val="-7"/>
        </w:rPr>
        <w:t> </w:t>
      </w:r>
      <w:r>
        <w:rPr/>
        <w:t>年计提应收款项坏账准备人民币</w:t>
      </w:r>
      <w:r>
        <w:rPr>
          <w:spacing w:val="-54"/>
        </w:rPr>
        <w:t> </w:t>
      </w:r>
      <w:r>
        <w:rPr>
          <w:rFonts w:ascii="Arial" w:hAnsi="Arial" w:cs="Arial" w:eastAsia="Arial" w:hint="default"/>
        </w:rPr>
        <w:t>63,037,722</w:t>
      </w:r>
      <w:r>
        <w:rPr>
          <w:rFonts w:ascii="Arial" w:hAnsi="Arial" w:cs="Arial" w:eastAsia="Arial" w:hint="default"/>
          <w:spacing w:val="-7"/>
        </w:rPr>
        <w:t> </w:t>
      </w:r>
      <w:r>
        <w:rPr/>
        <w:t>所致。</w:t>
      </w:r>
    </w:p>
    <w:p>
      <w:pPr>
        <w:spacing w:line="240" w:lineRule="auto" w:before="5"/>
        <w:rPr>
          <w:rFonts w:ascii="黑体" w:hAnsi="黑体" w:cs="黑体" w:eastAsia="黑体" w:hint="default"/>
          <w:sz w:val="28"/>
          <w:szCs w:val="28"/>
        </w:rPr>
      </w:pPr>
    </w:p>
    <w:p>
      <w:pPr>
        <w:pStyle w:val="BodyText"/>
        <w:spacing w:line="260" w:lineRule="exact"/>
        <w:ind w:left="788" w:right="179" w:hanging="687"/>
        <w:jc w:val="both"/>
      </w:pPr>
      <w:r>
        <w:rPr>
          <w:rFonts w:ascii="Arial" w:hAnsi="Arial" w:cs="Arial" w:eastAsia="Arial" w:hint="default"/>
        </w:rPr>
        <w:t>25.</w:t>
      </w:r>
      <w:r>
        <w:rPr>
          <w:rFonts w:ascii="Arial" w:hAnsi="Arial" w:cs="Arial" w:eastAsia="Arial" w:hint="default"/>
          <w:spacing w:val="4"/>
        </w:rPr>
        <w:t> </w:t>
      </w:r>
      <w:r>
        <w:rPr/>
        <w:t>营业外收入</w:t>
      </w:r>
      <w:r>
        <w:rPr>
          <w:spacing w:val="-52"/>
        </w:rPr>
        <w:t> </w:t>
      </w:r>
      <w:r>
        <w:rPr>
          <w:rFonts w:ascii="Arial" w:hAnsi="Arial" w:cs="Arial" w:eastAsia="Arial" w:hint="default"/>
        </w:rPr>
        <w:t>2012</w:t>
      </w:r>
      <w:r>
        <w:rPr>
          <w:rFonts w:ascii="Arial" w:hAnsi="Arial" w:cs="Arial" w:eastAsia="Arial" w:hint="default"/>
          <w:spacing w:val="-8"/>
        </w:rPr>
        <w:t> </w:t>
      </w:r>
      <w:r>
        <w:rPr/>
        <w:t>年为人民币</w:t>
      </w:r>
      <w:r>
        <w:rPr>
          <w:spacing w:val="-52"/>
        </w:rPr>
        <w:t> </w:t>
      </w:r>
      <w:r>
        <w:rPr>
          <w:rFonts w:ascii="Arial" w:hAnsi="Arial" w:cs="Arial" w:eastAsia="Arial" w:hint="default"/>
        </w:rPr>
        <w:t>287,007,651</w:t>
      </w:r>
      <w:r>
        <w:rPr>
          <w:rFonts w:ascii="Arial" w:hAnsi="Arial" w:cs="Arial" w:eastAsia="Arial" w:hint="default"/>
          <w:spacing w:val="-6"/>
        </w:rPr>
        <w:t> </w:t>
      </w:r>
      <w:r>
        <w:rPr>
          <w:spacing w:val="-4"/>
        </w:rPr>
        <w:t>元，较</w:t>
      </w:r>
      <w:r>
        <w:rPr>
          <w:spacing w:val="-52"/>
        </w:rPr>
        <w:t> </w:t>
      </w:r>
      <w:r>
        <w:rPr>
          <w:rFonts w:ascii="Arial" w:hAnsi="Arial" w:cs="Arial" w:eastAsia="Arial" w:hint="default"/>
        </w:rPr>
        <w:t>2011</w:t>
      </w:r>
      <w:r>
        <w:rPr>
          <w:rFonts w:ascii="Arial" w:hAnsi="Arial" w:cs="Arial" w:eastAsia="Arial" w:hint="default"/>
          <w:spacing w:val="-8"/>
        </w:rPr>
        <w:t> </w:t>
      </w:r>
      <w:r>
        <w:rPr/>
        <w:t>年减少</w:t>
      </w:r>
      <w:r>
        <w:rPr>
          <w:spacing w:val="-52"/>
        </w:rPr>
        <w:t> </w:t>
      </w:r>
      <w:r>
        <w:rPr>
          <w:rFonts w:ascii="Arial" w:hAnsi="Arial" w:cs="Arial" w:eastAsia="Arial" w:hint="default"/>
        </w:rPr>
        <w:t>3%</w:t>
      </w:r>
      <w:r>
        <w:rPr/>
        <w:t>，主要是由于政府补助</w:t>
      </w:r>
      <w:r>
        <w:rPr>
          <w:w w:val="99"/>
        </w:rPr>
        <w:t> </w:t>
      </w:r>
      <w:r>
        <w:rPr/>
        <w:t>收入减少所致。</w:t>
      </w:r>
    </w:p>
    <w:p>
      <w:pPr>
        <w:spacing w:after="0" w:line="260" w:lineRule="exact"/>
        <w:jc w:val="both"/>
        <w:sectPr>
          <w:pgSz w:w="11910" w:h="16850"/>
          <w:pgMar w:header="957" w:footer="746" w:top="2540" w:bottom="940" w:left="1600" w:right="1520"/>
        </w:sectPr>
      </w:pPr>
    </w:p>
    <w:p>
      <w:pPr>
        <w:spacing w:line="240" w:lineRule="auto" w:before="10"/>
        <w:rPr>
          <w:rFonts w:ascii="黑体" w:hAnsi="黑体" w:cs="黑体" w:eastAsia="黑体" w:hint="default"/>
          <w:sz w:val="28"/>
          <w:szCs w:val="28"/>
        </w:rPr>
      </w:pPr>
    </w:p>
    <w:p>
      <w:pPr>
        <w:pStyle w:val="Heading6"/>
        <w:tabs>
          <w:tab w:pos="876" w:val="left" w:leader="none"/>
        </w:tabs>
        <w:spacing w:line="240" w:lineRule="auto"/>
        <w:ind w:left="161" w:right="902"/>
        <w:jc w:val="left"/>
        <w:rPr>
          <w:rFonts w:ascii="Arial" w:hAnsi="Arial" w:cs="Arial" w:eastAsia="Arial" w:hint="default"/>
          <w:b w:val="0"/>
          <w:bCs w:val="0"/>
        </w:rPr>
      </w:pPr>
      <w:r>
        <w:rPr>
          <w:rFonts w:ascii="Arial" w:hAnsi="Arial" w:cs="Arial" w:eastAsia="Arial" w:hint="default"/>
          <w:spacing w:val="-1"/>
          <w:w w:val="95"/>
        </w:rPr>
        <w:t>3</w:t>
      </w:r>
      <w:r>
        <w:rPr>
          <w:spacing w:val="-1"/>
          <w:w w:val="95"/>
        </w:rPr>
        <w:t>、</w:t>
        <w:tab/>
      </w:r>
      <w:r>
        <w:rPr>
          <w:spacing w:val="1"/>
        </w:rPr>
        <w:t>财务报表项目数据的变动分析</w:t>
      </w:r>
      <w:r>
        <w:rPr>
          <w:rFonts w:ascii="Arial" w:hAnsi="Arial" w:cs="Arial" w:eastAsia="Arial" w:hint="default"/>
          <w:spacing w:val="1"/>
        </w:rPr>
        <w:t>(</w:t>
      </w:r>
      <w:r>
        <w:rPr>
          <w:spacing w:val="1"/>
        </w:rPr>
        <w:t>续</w:t>
      </w:r>
      <w:r>
        <w:rPr>
          <w:rFonts w:ascii="Arial" w:hAnsi="Arial" w:cs="Arial" w:eastAsia="Arial" w:hint="default"/>
          <w:spacing w:val="1"/>
        </w:rPr>
        <w:t>)</w:t>
      </w:r>
      <w:r>
        <w:rPr>
          <w:rFonts w:ascii="Arial" w:hAnsi="Arial" w:cs="Arial" w:eastAsia="Arial" w:hint="default"/>
          <w:b w:val="0"/>
          <w:bCs w:val="0"/>
          <w:spacing w:val="1"/>
        </w:rPr>
      </w:r>
    </w:p>
    <w:p>
      <w:pPr>
        <w:spacing w:line="240" w:lineRule="auto" w:before="1"/>
        <w:rPr>
          <w:rFonts w:ascii="Arial" w:hAnsi="Arial" w:cs="Arial" w:eastAsia="Arial" w:hint="default"/>
          <w:b/>
          <w:bCs/>
          <w:sz w:val="22"/>
          <w:szCs w:val="22"/>
        </w:rPr>
      </w:pPr>
    </w:p>
    <w:p>
      <w:pPr>
        <w:pStyle w:val="BodyText"/>
        <w:spacing w:line="225" w:lineRule="auto"/>
        <w:ind w:left="848" w:right="119" w:hanging="687"/>
        <w:jc w:val="both"/>
      </w:pPr>
      <w:r>
        <w:rPr>
          <w:rFonts w:ascii="Arial" w:hAnsi="Arial" w:cs="Arial" w:eastAsia="Arial" w:hint="default"/>
        </w:rPr>
        <w:t>26.</w:t>
      </w:r>
      <w:r>
        <w:rPr>
          <w:rFonts w:ascii="Arial" w:hAnsi="Arial" w:cs="Arial" w:eastAsia="Arial" w:hint="default"/>
          <w:spacing w:val="8"/>
        </w:rPr>
        <w:t> </w:t>
      </w:r>
      <w:r>
        <w:rPr/>
        <w:t>所得税费用</w:t>
      </w:r>
      <w:r>
        <w:rPr>
          <w:spacing w:val="-52"/>
        </w:rPr>
        <w:t> </w:t>
      </w:r>
      <w:r>
        <w:rPr>
          <w:rFonts w:ascii="Arial" w:hAnsi="Arial" w:cs="Arial" w:eastAsia="Arial" w:hint="default"/>
        </w:rPr>
        <w:t>2012</w:t>
      </w:r>
      <w:r>
        <w:rPr>
          <w:rFonts w:ascii="Arial" w:hAnsi="Arial" w:cs="Arial" w:eastAsia="Arial" w:hint="default"/>
          <w:spacing w:val="-8"/>
        </w:rPr>
        <w:t> </w:t>
      </w:r>
      <w:r>
        <w:rPr/>
        <w:t>年为人民币</w:t>
      </w:r>
      <w:r>
        <w:rPr>
          <w:spacing w:val="-52"/>
        </w:rPr>
        <w:t> </w:t>
      </w:r>
      <w:r>
        <w:rPr>
          <w:rFonts w:ascii="Arial" w:hAnsi="Arial" w:cs="Arial" w:eastAsia="Arial" w:hint="default"/>
        </w:rPr>
        <w:t>53,880,031</w:t>
      </w:r>
      <w:r>
        <w:rPr>
          <w:rFonts w:ascii="Arial" w:hAnsi="Arial" w:cs="Arial" w:eastAsia="Arial" w:hint="default"/>
          <w:spacing w:val="-8"/>
        </w:rPr>
        <w:t> </w:t>
      </w:r>
      <w:r>
        <w:rPr>
          <w:spacing w:val="-10"/>
        </w:rPr>
        <w:t>元，较</w:t>
      </w:r>
      <w:r>
        <w:rPr>
          <w:spacing w:val="-49"/>
        </w:rPr>
        <w:t> </w:t>
      </w:r>
      <w:r>
        <w:rPr>
          <w:rFonts w:ascii="Arial" w:hAnsi="Arial" w:cs="Arial" w:eastAsia="Arial" w:hint="default"/>
        </w:rPr>
        <w:t>2011</w:t>
      </w:r>
      <w:r>
        <w:rPr>
          <w:rFonts w:ascii="Arial" w:hAnsi="Arial" w:cs="Arial" w:eastAsia="Arial" w:hint="default"/>
          <w:spacing w:val="-5"/>
        </w:rPr>
        <w:t> </w:t>
      </w:r>
      <w:r>
        <w:rPr/>
        <w:t>年减少</w:t>
      </w:r>
      <w:r>
        <w:rPr>
          <w:spacing w:val="-52"/>
        </w:rPr>
        <w:t> </w:t>
      </w:r>
      <w:r>
        <w:rPr>
          <w:rFonts w:ascii="Arial" w:hAnsi="Arial" w:cs="Arial" w:eastAsia="Arial" w:hint="default"/>
          <w:spacing w:val="-3"/>
        </w:rPr>
        <w:t>2%</w:t>
      </w:r>
      <w:r>
        <w:rPr>
          <w:spacing w:val="-3"/>
        </w:rPr>
        <w:t>，主要是由于</w:t>
      </w:r>
      <w:r>
        <w:rPr>
          <w:spacing w:val="-52"/>
        </w:rPr>
        <w:t> </w:t>
      </w:r>
      <w:r>
        <w:rPr>
          <w:rFonts w:ascii="Arial" w:hAnsi="Arial" w:cs="Arial" w:eastAsia="Arial" w:hint="default"/>
        </w:rPr>
        <w:t>2012</w:t>
      </w:r>
      <w:r>
        <w:rPr>
          <w:rFonts w:ascii="Arial" w:hAnsi="Arial" w:cs="Arial" w:eastAsia="Arial" w:hint="default"/>
          <w:spacing w:val="-8"/>
        </w:rPr>
        <w:t> </w:t>
      </w:r>
      <w:r>
        <w:rPr/>
        <w:t>年利</w:t>
      </w:r>
      <w:r>
        <w:rPr>
          <w:w w:val="99"/>
        </w:rPr>
        <w:t> </w:t>
      </w:r>
      <w:r>
        <w:rPr/>
        <w:t>润总额较</w:t>
      </w:r>
      <w:r>
        <w:rPr>
          <w:spacing w:val="-50"/>
        </w:rPr>
        <w:t> </w:t>
      </w:r>
      <w:r>
        <w:rPr>
          <w:rFonts w:ascii="Arial" w:hAnsi="Arial" w:cs="Arial" w:eastAsia="Arial" w:hint="default"/>
        </w:rPr>
        <w:t>2011</w:t>
      </w:r>
      <w:r>
        <w:rPr>
          <w:rFonts w:ascii="Arial" w:hAnsi="Arial" w:cs="Arial" w:eastAsia="Arial" w:hint="default"/>
          <w:spacing w:val="-5"/>
        </w:rPr>
        <w:t> </w:t>
      </w:r>
      <w:r>
        <w:rPr/>
        <w:t>年减少</w:t>
      </w:r>
      <w:r>
        <w:rPr>
          <w:spacing w:val="-50"/>
        </w:rPr>
        <w:t> </w:t>
      </w:r>
      <w:r>
        <w:rPr>
          <w:rFonts w:ascii="Arial" w:hAnsi="Arial" w:cs="Arial" w:eastAsia="Arial" w:hint="default"/>
          <w:spacing w:val="-3"/>
        </w:rPr>
        <w:t>27%</w:t>
      </w:r>
      <w:r>
        <w:rPr>
          <w:spacing w:val="-3"/>
        </w:rPr>
        <w:t>以及本公司的子公司畅捷通享受税收优惠政策，</w:t>
      </w:r>
      <w:r>
        <w:rPr>
          <w:rFonts w:ascii="Arial" w:hAnsi="Arial" w:cs="Arial" w:eastAsia="Arial" w:hint="default"/>
          <w:spacing w:val="-3"/>
        </w:rPr>
        <w:t>2011</w:t>
      </w:r>
      <w:r>
        <w:rPr>
          <w:rFonts w:ascii="Arial" w:hAnsi="Arial" w:cs="Arial" w:eastAsia="Arial" w:hint="default"/>
          <w:spacing w:val="-8"/>
        </w:rPr>
        <w:t> </w:t>
      </w:r>
      <w:r>
        <w:rPr/>
        <w:t>年所得税</w:t>
      </w:r>
      <w:r>
        <w:rPr>
          <w:w w:val="99"/>
        </w:rPr>
        <w:t> </w:t>
      </w:r>
      <w:r>
        <w:rPr/>
        <w:t>率为零，</w:t>
      </w:r>
      <w:r>
        <w:rPr>
          <w:rFonts w:ascii="Arial" w:hAnsi="Arial" w:cs="Arial" w:eastAsia="Arial" w:hint="default"/>
        </w:rPr>
        <w:t>2012 </w:t>
      </w:r>
      <w:r>
        <w:rPr/>
        <w:t>开始按照</w:t>
      </w:r>
      <w:r>
        <w:rPr>
          <w:spacing w:val="-64"/>
        </w:rPr>
        <w:t> </w:t>
      </w:r>
      <w:r>
        <w:rPr>
          <w:rFonts w:ascii="Arial" w:hAnsi="Arial" w:cs="Arial" w:eastAsia="Arial" w:hint="default"/>
        </w:rPr>
        <w:t>10%</w:t>
      </w:r>
      <w:r>
        <w:rPr/>
        <w:t>的税率缴纳所得税所致。</w:t>
      </w:r>
    </w:p>
    <w:sectPr>
      <w:pgSz w:w="11910" w:h="16850"/>
      <w:pgMar w:header="957" w:footer="746" w:top="2540" w:bottom="940" w:left="154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040009pt;margin-top:794.545593pt;width:13.15pt;height:11pt;mso-position-horizontal-relative:page;mso-position-vertical-relative:page;z-index:-1311568"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10</w:t>
                </w:r>
                <w:r>
                  <w:rPr/>
                  <w:fldChar w:fldCharType="end"/>
                </w:r>
                <w:r>
                  <w:rPr>
                    <w:rFonts w:ascii="宋体"/>
                    <w:spacing w:val="1"/>
                    <w:sz w:val="18"/>
                  </w:rPr>
                </w:r>
                <w:r>
                  <w:rPr>
                    <w:rFonts w:ascii="宋体"/>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079987pt;margin-top:789.889221pt;width:15.05pt;height:12pt;mso-position-horizontal-relative:page;mso-position-vertical-relative:page;z-index:-1311328" type="#_x0000_t202" filled="false" stroked="false">
          <v:textbox inset="0,0,0,0">
            <w:txbxContent>
              <w:p>
                <w:pPr>
                  <w:pStyle w:val="BodyText"/>
                  <w:spacing w:line="224"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10</w:t>
                </w:r>
                <w:r>
                  <w:rPr/>
                  <w:fldChar w:fldCharType="end"/>
                </w:r>
                <w:r>
                  <w:rPr>
                    <w:rFonts w:ascii="Arial"/>
                    <w:spacing w:val="-1"/>
                  </w:rPr>
                </w:r>
                <w:r>
                  <w:rPr>
                    <w:rFonts w:ascii="Arial"/>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3.320007pt;margin-top:559.969299pt;width:15.05pt;height:12pt;mso-position-horizontal-relative:page;mso-position-vertical-relative:page;z-index:-1311280" type="#_x0000_t202" filled="false" stroked="false">
          <v:textbox inset="0,0,0,0">
            <w:txbxContent>
              <w:p>
                <w:pPr>
                  <w:pStyle w:val="BodyText"/>
                  <w:spacing w:line="224"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13</w:t>
                </w:r>
                <w:r>
                  <w:rPr/>
                  <w:fldChar w:fldCharType="end"/>
                </w:r>
                <w:r>
                  <w:rPr>
                    <w:rFonts w:ascii="Arial"/>
                    <w:spacing w:val="-1"/>
                  </w:rPr>
                </w:r>
                <w:r>
                  <w:rPr>
                    <w:rFonts w:ascii="Arial"/>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079987pt;margin-top:789.409241pt;width:15.05pt;height:12pt;mso-position-horizontal-relative:page;mso-position-vertical-relative:page;z-index:-1311232" type="#_x0000_t202" filled="false" stroked="false">
          <v:textbox inset="0,0,0,0">
            <w:txbxContent>
              <w:p>
                <w:pPr>
                  <w:pStyle w:val="BodyText"/>
                  <w:spacing w:line="224"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15</w:t>
                </w:r>
                <w:r>
                  <w:rPr/>
                  <w:fldChar w:fldCharType="end"/>
                </w:r>
                <w:r>
                  <w:rPr>
                    <w:rFonts w:ascii="Arial"/>
                    <w:spacing w:val="-1"/>
                  </w:rPr>
                </w:r>
                <w:r>
                  <w:rPr>
                    <w:rFonts w:ascii="Arial"/>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3.320007pt;margin-top:541.489258pt;width:15.05pt;height:12pt;mso-position-horizontal-relative:page;mso-position-vertical-relative:page;z-index:-1311112" type="#_x0000_t202" filled="false" stroked="false">
          <v:textbox inset="0,0,0,0">
            <w:txbxContent>
              <w:p>
                <w:pPr>
                  <w:pStyle w:val="BodyText"/>
                  <w:spacing w:line="224"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45</w:t>
                </w:r>
                <w:r>
                  <w:rPr/>
                  <w:fldChar w:fldCharType="end"/>
                </w:r>
                <w:r>
                  <w:rPr>
                    <w:rFonts w:ascii="Arial"/>
                    <w:spacing w:val="-1"/>
                  </w:rPr>
                </w:r>
                <w:r>
                  <w:rPr>
                    <w:rFonts w:ascii="Arial"/>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79987pt;margin-top:789.529236pt;width:13.05pt;height:12pt;mso-position-horizontal-relative:page;mso-position-vertical-relative:page;z-index:-1311040" type="#_x0000_t202" filled="false" stroked="false">
          <v:textbox inset="0,0,0,0">
            <w:txbxContent>
              <w:p>
                <w:pPr>
                  <w:pStyle w:val="BodyText"/>
                  <w:spacing w:line="224" w:lineRule="exact"/>
                  <w:ind w:left="20" w:right="0"/>
                  <w:jc w:val="left"/>
                  <w:rPr>
                    <w:rFonts w:ascii="Arial" w:hAnsi="Arial" w:cs="Arial" w:eastAsia="Arial" w:hint="default"/>
                  </w:rPr>
                </w:pPr>
                <w:r>
                  <w:rPr>
                    <w:rFonts w:ascii="Arial"/>
                  </w:rPr>
                  <w:t>57</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079987pt;margin-top:807.649231pt;width:15.05pt;height:12pt;mso-position-horizontal-relative:page;mso-position-vertical-relative:page;z-index:-1311016" type="#_x0000_t202" filled="false" stroked="false">
          <v:textbox inset="0,0,0,0">
            <w:txbxContent>
              <w:p>
                <w:pPr>
                  <w:pStyle w:val="BodyText"/>
                  <w:spacing w:line="224"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58</w:t>
                </w:r>
                <w:r>
                  <w:rPr/>
                  <w:fldChar w:fldCharType="end"/>
                </w:r>
                <w:r>
                  <w:rPr>
                    <w:rFonts w:ascii="Arial"/>
                    <w:spacing w:val="-1"/>
                  </w:rPr>
                </w:r>
                <w:r>
                  <w:rPr>
                    <w:rFonts w:ascii="Arial"/>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3.320007pt;margin-top:545.089294pt;width:15.05pt;height:12pt;mso-position-horizontal-relative:page;mso-position-vertical-relative:page;z-index:-1310944" type="#_x0000_t202" filled="false" stroked="false">
          <v:textbox inset="0,0,0,0">
            <w:txbxContent>
              <w:p>
                <w:pPr>
                  <w:pStyle w:val="BodyText"/>
                  <w:spacing w:line="224"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71</w:t>
                </w:r>
                <w:r>
                  <w:rPr/>
                  <w:fldChar w:fldCharType="end"/>
                </w:r>
                <w:r>
                  <w:rPr>
                    <w:rFonts w:ascii="Arial"/>
                    <w:spacing w:val="-1"/>
                  </w:rPr>
                </w:r>
                <w:r>
                  <w:rPr>
                    <w:rFonts w:ascii="Arial"/>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679993pt;margin-top:789.529236pt;width:15.05pt;height:12pt;mso-position-horizontal-relative:page;mso-position-vertical-relative:page;z-index:-1310872" type="#_x0000_t202" filled="false" stroked="false">
          <v:textbox inset="0,0,0,0">
            <w:txbxContent>
              <w:p>
                <w:pPr>
                  <w:pStyle w:val="BodyText"/>
                  <w:spacing w:line="224"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75</w:t>
                </w:r>
                <w:r>
                  <w:rPr/>
                  <w:fldChar w:fldCharType="end"/>
                </w:r>
                <w:r>
                  <w:rPr>
                    <w:rFonts w:ascii="Arial"/>
                    <w:spacing w:val="-1"/>
                  </w:rPr>
                </w:r>
                <w:r>
                  <w:rPr>
                    <w:rFonts w:ascii="Arial"/>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3.320007pt;margin-top:561.049255pt;width:15.05pt;height:12pt;mso-position-horizontal-relative:page;mso-position-vertical-relative:page;z-index:-1310800" type="#_x0000_t202" filled="false" stroked="false">
          <v:textbox inset="0,0,0,0">
            <w:txbxContent>
              <w:p>
                <w:pPr>
                  <w:pStyle w:val="BodyText"/>
                  <w:spacing w:line="224"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95</w:t>
                </w:r>
                <w:r>
                  <w:rPr/>
                  <w:fldChar w:fldCharType="end"/>
                </w:r>
                <w:r>
                  <w:rPr>
                    <w:rFonts w:ascii="Arial"/>
                    <w:spacing w:val="-1"/>
                  </w:rPr>
                </w:r>
                <w:r>
                  <w:rPr>
                    <w:rFonts w:ascii="Arial"/>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160004pt;margin-top:807.289246pt;width:15.05pt;height:12pt;mso-position-horizontal-relative:page;mso-position-vertical-relative:page;z-index:-1310728" type="#_x0000_t202" filled="false" stroked="false">
          <v:textbox inset="0,0,0,0">
            <w:txbxContent>
              <w:p>
                <w:pPr>
                  <w:pStyle w:val="BodyText"/>
                  <w:spacing w:line="224"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97</w:t>
                </w:r>
                <w:r>
                  <w:rPr/>
                  <w:fldChar w:fldCharType="end"/>
                </w:r>
                <w:r>
                  <w:rPr>
                    <w:rFonts w:ascii="Arial"/>
                    <w:spacing w:val="-1"/>
                  </w:rPr>
                </w:r>
                <w:r>
                  <w:rPr>
                    <w:rFonts w:ascii="Arial"/>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040009pt;margin-top:794.545593pt;width:13.15pt;height:11pt;mso-position-horizontal-relative:page;mso-position-vertical-relative:page;z-index:-1311544"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24</w:t>
                </w:r>
                <w:r>
                  <w:rPr/>
                  <w:fldChar w:fldCharType="end"/>
                </w:r>
                <w:r>
                  <w:rPr>
                    <w:rFonts w:ascii="宋体"/>
                    <w:spacing w:val="1"/>
                    <w:sz w:val="18"/>
                  </w:rPr>
                </w:r>
                <w:r>
                  <w:rPr>
                    <w:rFonts w:ascii="宋体"/>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399994pt;margin-top:807.289246pt;width:18.6pt;height:12pt;mso-position-horizontal-relative:page;mso-position-vertical-relative:page;z-index:-1310704" type="#_x0000_t202" filled="false" stroked="false">
          <v:textbox inset="0,0,0,0">
            <w:txbxContent>
              <w:p>
                <w:pPr>
                  <w:pStyle w:val="BodyText"/>
                  <w:spacing w:line="224" w:lineRule="exact"/>
                  <w:ind w:left="20" w:right="0"/>
                  <w:jc w:val="left"/>
                  <w:rPr>
                    <w:rFonts w:ascii="Arial" w:hAnsi="Arial" w:cs="Arial" w:eastAsia="Arial" w:hint="default"/>
                  </w:rPr>
                </w:pPr>
                <w:r>
                  <w:rPr>
                    <w:rFonts w:ascii="Arial"/>
                  </w:rPr>
                  <w:t>100</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399994pt;margin-top:807.289246pt;width:20.6pt;height:12pt;mso-position-horizontal-relative:page;mso-position-vertical-relative:page;z-index:-1310680" type="#_x0000_t202" filled="false" stroked="false">
          <v:textbox inset="0,0,0,0">
            <w:txbxContent>
              <w:p>
                <w:pPr>
                  <w:pStyle w:val="BodyText"/>
                  <w:spacing w:line="224"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105</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320007pt;margin-top:793.729248pt;width:20.6pt;height:14.85pt;mso-position-horizontal-relative:page;mso-position-vertical-relative:page;z-index:-1310632" type="#_x0000_t202" filled="false" stroked="false">
          <v:textbox inset="0,0,0,0">
            <w:txbxContent>
              <w:p>
                <w:pPr>
                  <w:pStyle w:val="BodyText"/>
                  <w:spacing w:line="240" w:lineRule="auto" w:before="51"/>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119</w:t>
                </w:r>
                <w:r>
                  <w:rPr/>
                  <w:fldChar w:fldCharType="end"/>
                </w:r>
                <w:r>
                  <w:rPr>
                    <w:rFonts w:ascii="Arial"/>
                    <w:spacing w:val="-1"/>
                  </w:rPr>
                </w:r>
                <w:r>
                  <w:rPr>
                    <w:rFonts w:ascii="Arial"/>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320007pt;margin-top:811.849243pt;width:20.6pt;height:12pt;mso-position-horizontal-relative:page;mso-position-vertical-relative:page;z-index:-1310560" type="#_x0000_t202" filled="false" stroked="false">
          <v:textbox inset="0,0,0,0">
            <w:txbxContent>
              <w:p>
                <w:pPr>
                  <w:pStyle w:val="BodyText"/>
                  <w:spacing w:line="224"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127</w:t>
                </w:r>
                <w:r>
                  <w:rPr/>
                  <w:fldChar w:fldCharType="end"/>
                </w:r>
                <w:r>
                  <w:rPr>
                    <w:rFonts w:ascii="Arial"/>
                    <w:spacing w:val="-1"/>
                  </w:rPr>
                </w:r>
                <w:r>
                  <w:rPr>
                    <w:rFonts w:ascii="Arial"/>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559998pt;margin-top:542.569275pt;width:20.7pt;height:12pt;mso-position-horizontal-relative:page;mso-position-vertical-relative:page;z-index:-1310512" type="#_x0000_t202" filled="false" stroked="false">
          <v:textbox inset="0,0,0,0">
            <w:txbxContent>
              <w:p>
                <w:pPr>
                  <w:pStyle w:val="BodyText"/>
                  <w:spacing w:line="224"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133</w:t>
                </w:r>
                <w:r>
                  <w:rPr/>
                  <w:fldChar w:fldCharType="end"/>
                </w:r>
                <w:r>
                  <w:rPr>
                    <w:rFonts w:ascii="Arial"/>
                    <w:spacing w:val="-1"/>
                  </w:rPr>
                </w:r>
                <w:r>
                  <w:rPr>
                    <w:rFonts w:ascii="Arial"/>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679993pt;margin-top:560.68927pt;width:20.6pt;height:12pt;mso-position-horizontal-relative:page;mso-position-vertical-relative:page;z-index:-1310416" type="#_x0000_t202" filled="false" stroked="false">
          <v:textbox inset="0,0,0,0">
            <w:txbxContent>
              <w:p>
                <w:pPr>
                  <w:pStyle w:val="BodyText"/>
                  <w:spacing w:line="224"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136</w:t>
                </w:r>
                <w:r>
                  <w:rPr/>
                  <w:fldChar w:fldCharType="end"/>
                </w:r>
                <w:r>
                  <w:rPr>
                    <w:rFonts w:ascii="Arial"/>
                    <w:spacing w:val="-1"/>
                  </w:rPr>
                </w:r>
                <w:r>
                  <w:rPr>
                    <w:rFonts w:ascii="Arial"/>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320007pt;margin-top:807.409241pt;width:20.6pt;height:12pt;mso-position-horizontal-relative:page;mso-position-vertical-relative:page;z-index:-1310296" type="#_x0000_t202" filled="false" stroked="false">
          <v:textbox inset="0,0,0,0">
            <w:txbxContent>
              <w:p>
                <w:pPr>
                  <w:pStyle w:val="BodyText"/>
                  <w:spacing w:line="224" w:lineRule="exact"/>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139</w:t>
                </w:r>
                <w:r>
                  <w:rPr/>
                  <w:fldChar w:fldCharType="end"/>
                </w:r>
                <w:r>
                  <w:rPr>
                    <w:rFonts w:ascii="Arial"/>
                    <w:spacing w:val="-1"/>
                  </w:rPr>
                </w:r>
                <w:r>
                  <w:rPr>
                    <w:rFonts w:ascii="Arial"/>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320007pt;margin-top:789.889221pt;width:20.6pt;height:15.8pt;mso-position-horizontal-relative:page;mso-position-vertical-relative:page;z-index:-1310224" type="#_x0000_t202" filled="false" stroked="false">
          <v:textbox inset="0,0,0,0">
            <w:txbxContent>
              <w:p>
                <w:pPr>
                  <w:pStyle w:val="BodyText"/>
                  <w:spacing w:line="240" w:lineRule="auto" w:before="70"/>
                  <w:ind w:left="40" w:right="0"/>
                  <w:jc w:val="left"/>
                  <w:rPr>
                    <w:rFonts w:ascii="Arial" w:hAnsi="Arial" w:cs="Arial" w:eastAsia="Arial" w:hint="default"/>
                  </w:rPr>
                </w:pPr>
                <w:r>
                  <w:rPr>
                    <w:rFonts w:ascii="Arial"/>
                    <w:w w:val="99"/>
                  </w:rPr>
                </w:r>
                <w:r>
                  <w:rPr/>
                  <w:fldChar w:fldCharType="begin"/>
                </w:r>
                <w:r>
                  <w:rPr>
                    <w:rFonts w:ascii="Arial"/>
                  </w:rPr>
                  <w:instrText> PAGE </w:instrText>
                </w:r>
                <w:r>
                  <w:rPr/>
                  <w:fldChar w:fldCharType="separate"/>
                </w:r>
                <w:r>
                  <w:rPr/>
                  <w:t>169</w:t>
                </w:r>
                <w:r>
                  <w:rPr/>
                  <w:fldChar w:fldCharType="end"/>
                </w:r>
                <w:r>
                  <w:rPr>
                    <w:rFonts w:ascii="Arial"/>
                    <w:spacing w:val="-1"/>
                  </w:rPr>
                </w:r>
                <w:r>
                  <w:rPr>
                    <w:rFonts w:ascii="Arial"/>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040009pt;margin-top:794.545593pt;width:13.15pt;height:11pt;mso-position-horizontal-relative:page;mso-position-vertical-relative:page;z-index:-1311520"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25</w:t>
                </w:r>
                <w:r>
                  <w:rPr/>
                  <w:fldChar w:fldCharType="end"/>
                </w:r>
                <w:r>
                  <w:rPr>
                    <w:rFonts w:ascii="宋体"/>
                    <w:spacing w:val="1"/>
                    <w:sz w:val="18"/>
                  </w:rPr>
                </w:r>
                <w:r>
                  <w:rPr>
                    <w:rFonts w:ascii="宋体"/>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040009pt;margin-top:794.545593pt;width:13.15pt;height:11pt;mso-position-horizontal-relative:page;mso-position-vertical-relative:page;z-index:-1311496" type="#_x0000_t202" filled="false" stroked="false">
          <v:textbox inset="0,0,0,0">
            <w:txbxContent>
              <w:p>
                <w:pPr>
                  <w:spacing w:line="200" w:lineRule="exact" w:before="0"/>
                  <w:ind w:left="40" w:right="0" w:firstLine="0"/>
                  <w:jc w:val="left"/>
                  <w:rPr>
                    <w:rFonts w:ascii="宋体" w:hAnsi="宋体" w:cs="宋体" w:eastAsia="宋体" w:hint="default"/>
                    <w:sz w:val="18"/>
                    <w:szCs w:val="18"/>
                  </w:rPr>
                </w:pPr>
                <w:r>
                  <w:rPr>
                    <w:rFonts w:ascii="宋体"/>
                    <w:sz w:val="18"/>
                  </w:rPr>
                </w:r>
                <w:r>
                  <w:rPr/>
                  <w:fldChar w:fldCharType="begin"/>
                </w:r>
                <w:r>
                  <w:rPr>
                    <w:rFonts w:ascii="宋体"/>
                    <w:sz w:val="18"/>
                  </w:rPr>
                  <w:instrText> PAGE </w:instrText>
                </w:r>
                <w:r>
                  <w:rPr/>
                  <w:fldChar w:fldCharType="separate"/>
                </w:r>
                <w:r>
                  <w:rPr/>
                  <w:t>26</w:t>
                </w:r>
                <w:r>
                  <w:rPr/>
                  <w:fldChar w:fldCharType="end"/>
                </w:r>
                <w:r>
                  <w:rPr>
                    <w:rFonts w:ascii="宋体"/>
                    <w:spacing w:val="1"/>
                    <w:sz w:val="18"/>
                  </w:rPr>
                </w:r>
                <w:r>
                  <w:rPr>
                    <w:rFonts w:ascii="宋体"/>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959991pt;margin-top:789.889221pt;width:9.550pt;height:12pt;mso-position-horizontal-relative:page;mso-position-vertical-relative:page;z-index:-1311472" type="#_x0000_t202" filled="false" stroked="false">
          <v:textbox inset="0,0,0,0">
            <w:txbxContent>
              <w:p>
                <w:pPr>
                  <w:pStyle w:val="BodyText"/>
                  <w:spacing w:line="224" w:lineRule="exact"/>
                  <w:ind w:left="40" w:right="0"/>
                  <w:jc w:val="left"/>
                  <w:rPr>
                    <w:rFonts w:ascii="Arial" w:hAnsi="Arial" w:cs="Arial" w:eastAsia="Arial" w:hint="default"/>
                  </w:rPr>
                </w:pPr>
                <w:r>
                  <w:rPr>
                    <w:rFonts w:ascii="Arial"/>
                    <w:w w:val="99"/>
                  </w:rPr>
                </w:r>
                <w:r>
                  <w:rPr/>
                  <w:fldChar w:fldCharType="begin"/>
                </w:r>
                <w:r>
                  <w:rPr>
                    <w:rFonts w:ascii="Arial"/>
                    <w:w w:val="99"/>
                  </w:rPr>
                  <w:instrText> PAGE </w:instrText>
                </w:r>
                <w:r>
                  <w:rPr/>
                  <w:fldChar w:fldCharType="separate"/>
                </w:r>
                <w:r>
                  <w:rPr/>
                  <w:t>1</w:t>
                </w:r>
                <w:r>
                  <w:rPr/>
                  <w:fldChar w:fldCharType="end"/>
                </w:r>
                <w:r>
                  <w:rPr>
                    <w:rFonts w:ascii="Arial"/>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959991pt;margin-top:789.889221pt;width:9.550pt;height:12pt;mso-position-horizontal-relative:page;mso-position-vertical-relative:page;z-index:-1311448" type="#_x0000_t202" filled="false" stroked="false">
          <v:textbox inset="0,0,0,0">
            <w:txbxContent>
              <w:p>
                <w:pPr>
                  <w:pStyle w:val="BodyText"/>
                  <w:spacing w:line="224" w:lineRule="exact"/>
                  <w:ind w:left="40" w:right="0"/>
                  <w:jc w:val="left"/>
                  <w:rPr>
                    <w:rFonts w:ascii="Arial" w:hAnsi="Arial" w:cs="Arial" w:eastAsia="Arial" w:hint="default"/>
                  </w:rPr>
                </w:pPr>
                <w:r>
                  <w:rPr>
                    <w:rFonts w:ascii="Arial"/>
                    <w:w w:val="99"/>
                  </w:rPr>
                </w:r>
                <w:r>
                  <w:rPr/>
                  <w:fldChar w:fldCharType="begin"/>
                </w:r>
                <w:r>
                  <w:rPr>
                    <w:rFonts w:ascii="Arial"/>
                    <w:w w:val="99"/>
                  </w:rPr>
                  <w:instrText> PAGE </w:instrText>
                </w:r>
                <w:r>
                  <w:rPr/>
                  <w:fldChar w:fldCharType="separate"/>
                </w:r>
                <w:r>
                  <w:rPr/>
                  <w:t>2</w:t>
                </w:r>
                <w:r>
                  <w:rPr/>
                  <w:fldChar w:fldCharType="end"/>
                </w:r>
                <w:r>
                  <w:rPr>
                    <w:rFonts w:ascii="Arial"/>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6.200012pt;margin-top:559.369263pt;width:9.550pt;height:12.45pt;mso-position-horizontal-relative:page;mso-position-vertical-relative:page;z-index:-1311376" type="#_x0000_t202" filled="false" stroked="false">
          <v:textbox inset="0,0,0,0">
            <w:txbxContent>
              <w:p>
                <w:pPr>
                  <w:pStyle w:val="BodyText"/>
                  <w:spacing w:line="240" w:lineRule="auto" w:before="3"/>
                  <w:ind w:left="40" w:right="0"/>
                  <w:jc w:val="left"/>
                  <w:rPr>
                    <w:rFonts w:ascii="Arial" w:hAnsi="Arial" w:cs="Arial" w:eastAsia="Arial" w:hint="default"/>
                  </w:rPr>
                </w:pPr>
                <w:r>
                  <w:rPr>
                    <w:rFonts w:ascii="Arial"/>
                    <w:w w:val="99"/>
                  </w:rPr>
                </w:r>
                <w:r>
                  <w:rPr/>
                  <w:fldChar w:fldCharType="begin"/>
                </w:r>
                <w:r>
                  <w:rPr>
                    <w:rFonts w:ascii="Arial"/>
                    <w:w w:val="99"/>
                  </w:rPr>
                  <w:instrText> PAGE </w:instrText>
                </w:r>
                <w:r>
                  <w:rPr/>
                  <w:fldChar w:fldCharType="separate"/>
                </w:r>
                <w:r>
                  <w:rPr/>
                  <w:t>6</w:t>
                </w:r>
                <w:r>
                  <w:rPr/>
                  <w:fldChar w:fldCharType="end"/>
                </w:r>
                <w:r>
                  <w:rPr>
                    <w:rFonts w:ascii="Arial"/>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9.480003pt;margin-top:50.999977pt;width:462.15pt;height:.1pt;mso-position-horizontal-relative:page;mso-position-vertical-relative:page;z-index:-1311616" coordorigin="1390,1020" coordsize="9243,2">
          <v:shape style="position:absolute;left:1390;top:1020;width:9243;height:2" coordorigin="1390,1020" coordsize="9243,0" path="m1390,1020l10632,1020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69.919998pt;margin-top:36.604977pt;width:185.85pt;height:12.6pt;mso-position-horizontal-relative:page;mso-position-vertical-relative:page;z-index:-1311592"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用友软件股份有限公司</w:t>
                </w:r>
                <w:r>
                  <w:rPr>
                    <w:rFonts w:ascii="宋体" w:hAnsi="宋体" w:cs="宋体" w:eastAsia="宋体" w:hint="default"/>
                    <w:spacing w:val="-55"/>
                    <w:sz w:val="21"/>
                    <w:szCs w:val="21"/>
                  </w:rPr>
                  <w:t> </w:t>
                </w: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1.520004pt;margin-top:46.872478pt;width:112.4pt;height:13.05pt;mso-position-horizontal-relative:page;mso-position-vertical-relative:page;z-index:-1311256" type="#_x0000_t202" filled="false" stroked="false">
          <v:textbox inset="0,0,0,0">
            <w:txbxContent>
              <w:p>
                <w:pPr>
                  <w:spacing w:line="241" w:lineRule="exact" w:before="0"/>
                  <w:ind w:left="20" w:right="0" w:firstLine="0"/>
                  <w:jc w:val="left"/>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5pt;margin-top:131.199982pt;width:426pt;height:.1pt;mso-position-horizontal-relative:page;mso-position-vertical-relative:page;z-index:-1311208" coordorigin="1710,2624" coordsize="8520,2">
          <v:shape style="position:absolute;left:1710;top:2624;width:8520;height:2" coordorigin="1710,2624" coordsize="8520,0" path="m1710,2624l10230,2624e" filled="false" stroked="true" strokeweight=".75pt" strokecolor="#000000">
            <v:path arrowok="t"/>
          </v:shape>
          <w10:wrap type="none"/>
        </v:group>
      </w:pict>
    </w:r>
    <w:r>
      <w:rPr/>
      <w:pict>
        <v:shape style="position:absolute;margin-left:241.520004pt;margin-top:46.872478pt;width:112.4pt;height:67.05pt;mso-position-horizontal-relative:page;mso-position-vertical-relative:page;z-index:-1311184" type="#_x0000_t202" filled="false" stroked="false">
          <v:textbox inset="0,0,0,0">
            <w:txbxContent>
              <w:p>
                <w:pPr>
                  <w:spacing w:line="241"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line="300" w:lineRule="auto" w:before="72"/>
                  <w:ind w:left="130" w:right="128" w:firstLine="0"/>
                  <w:jc w:val="center"/>
                  <w:rPr>
                    <w:rFonts w:ascii="黑体" w:hAnsi="黑体" w:cs="黑体" w:eastAsia="黑体" w:hint="default"/>
                    <w:sz w:val="22"/>
                    <w:szCs w:val="22"/>
                  </w:rPr>
                </w:pPr>
                <w:r>
                  <w:rPr>
                    <w:rFonts w:ascii="黑体" w:hAnsi="黑体" w:cs="黑体" w:eastAsia="黑体" w:hint="default"/>
                    <w:b/>
                    <w:bCs/>
                    <w:sz w:val="22"/>
                    <w:szCs w:val="22"/>
                  </w:rPr>
                  <w:t>财务报表附注（续）</w:t>
                </w:r>
                <w:r>
                  <w:rPr>
                    <w:rFonts w:ascii="黑体" w:hAnsi="黑体" w:cs="黑体" w:eastAsia="黑体" w:hint="default"/>
                    <w:b/>
                    <w:bCs/>
                    <w:w w:val="99"/>
                    <w:sz w:val="22"/>
                    <w:szCs w:val="22"/>
                  </w:rPr>
                  <w:t> </w:t>
                </w:r>
                <w:r>
                  <w:rPr>
                    <w:rFonts w:ascii="黑体" w:hAnsi="黑体" w:cs="黑体" w:eastAsia="黑体" w:hint="default"/>
                    <w:b/>
                    <w:bCs/>
                    <w:sz w:val="22"/>
                    <w:szCs w:val="22"/>
                  </w:rPr>
                  <w:t>2012</w:t>
                </w:r>
                <w:r>
                  <w:rPr>
                    <w:rFonts w:ascii="黑体" w:hAnsi="黑体" w:cs="黑体" w:eastAsia="黑体" w:hint="default"/>
                    <w:b/>
                    <w:bCs/>
                    <w:spacing w:val="-57"/>
                    <w:sz w:val="22"/>
                    <w:szCs w:val="22"/>
                  </w:rPr>
                  <w:t> </w:t>
                </w:r>
                <w:r>
                  <w:rPr>
                    <w:rFonts w:ascii="黑体" w:hAnsi="黑体" w:cs="黑体" w:eastAsia="黑体" w:hint="default"/>
                    <w:b/>
                    <w:bCs/>
                    <w:sz w:val="22"/>
                    <w:szCs w:val="22"/>
                  </w:rPr>
                  <w:t>年</w:t>
                </w:r>
                <w:r>
                  <w:rPr>
                    <w:rFonts w:ascii="黑体" w:hAnsi="黑体" w:cs="黑体" w:eastAsia="黑体" w:hint="default"/>
                    <w:b/>
                    <w:bCs/>
                    <w:spacing w:val="-57"/>
                    <w:sz w:val="22"/>
                    <w:szCs w:val="22"/>
                  </w:rPr>
                  <w:t> </w:t>
                </w:r>
                <w:r>
                  <w:rPr>
                    <w:rFonts w:ascii="黑体" w:hAnsi="黑体" w:cs="黑体" w:eastAsia="黑体" w:hint="default"/>
                    <w:b/>
                    <w:bCs/>
                    <w:sz w:val="22"/>
                    <w:szCs w:val="22"/>
                  </w:rPr>
                  <w:t>12</w:t>
                </w:r>
                <w:r>
                  <w:rPr>
                    <w:rFonts w:ascii="黑体" w:hAnsi="黑体" w:cs="黑体" w:eastAsia="黑体" w:hint="default"/>
                    <w:b/>
                    <w:bCs/>
                    <w:spacing w:val="-57"/>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黑体" w:hAnsi="黑体" w:cs="黑体" w:eastAsia="黑体" w:hint="default"/>
                    <w:b/>
                    <w:bCs/>
                    <w:sz w:val="22"/>
                    <w:szCs w:val="22"/>
                  </w:rPr>
                  <w:t>31</w:t>
                </w:r>
                <w:r>
                  <w:rPr>
                    <w:rFonts w:ascii="黑体" w:hAnsi="黑体" w:cs="黑体" w:eastAsia="黑体" w:hint="default"/>
                    <w:b/>
                    <w:bCs/>
                    <w:spacing w:val="-57"/>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17"/>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39.75pt;margin-top:131.950012pt;width:769.5pt;height:.1pt;mso-position-horizontal-relative:page;mso-position-vertical-relative:page;z-index:-1311160" coordorigin="795,2639" coordsize="15390,2">
          <v:shape style="position:absolute;left:795;top:2639;width:15390;height:2" coordorigin="795,2639" coordsize="15390,0" path="m795,2639l16185,2639e" filled="false" stroked="true" strokeweight=".75pt" strokecolor="#000000">
            <v:path arrowok="t"/>
          </v:shape>
          <w10:wrap type="none"/>
        </v:group>
      </w:pict>
    </w:r>
    <w:r>
      <w:rPr/>
      <w:pict>
        <v:shape style="position:absolute;margin-left:364.76001pt;margin-top:46.872509pt;width:112.4pt;height:67.05pt;mso-position-horizontal-relative:page;mso-position-vertical-relative:page;z-index:-1311136" type="#_x0000_t202" filled="false" stroked="false">
          <v:textbox inset="0,0,0,0">
            <w:txbxContent>
              <w:p>
                <w:pPr>
                  <w:spacing w:line="241"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line="300" w:lineRule="auto" w:before="72"/>
                  <w:ind w:left="130" w:right="128" w:firstLine="0"/>
                  <w:jc w:val="center"/>
                  <w:rPr>
                    <w:rFonts w:ascii="黑体" w:hAnsi="黑体" w:cs="黑体" w:eastAsia="黑体" w:hint="default"/>
                    <w:sz w:val="22"/>
                    <w:szCs w:val="22"/>
                  </w:rPr>
                </w:pPr>
                <w:r>
                  <w:rPr>
                    <w:rFonts w:ascii="黑体" w:hAnsi="黑体" w:cs="黑体" w:eastAsia="黑体" w:hint="default"/>
                    <w:b/>
                    <w:bCs/>
                    <w:sz w:val="22"/>
                    <w:szCs w:val="22"/>
                  </w:rPr>
                  <w:t>财务报表附注（续）</w:t>
                </w:r>
                <w:r>
                  <w:rPr>
                    <w:rFonts w:ascii="黑体" w:hAnsi="黑体" w:cs="黑体" w:eastAsia="黑体" w:hint="default"/>
                    <w:b/>
                    <w:bCs/>
                    <w:w w:val="99"/>
                    <w:sz w:val="22"/>
                    <w:szCs w:val="22"/>
                  </w:rPr>
                  <w:t> </w:t>
                </w:r>
                <w:r>
                  <w:rPr>
                    <w:rFonts w:ascii="黑体" w:hAnsi="黑体" w:cs="黑体" w:eastAsia="黑体" w:hint="default"/>
                    <w:b/>
                    <w:bCs/>
                    <w:sz w:val="22"/>
                    <w:szCs w:val="22"/>
                  </w:rPr>
                  <w:t>2012</w:t>
                </w:r>
                <w:r>
                  <w:rPr>
                    <w:rFonts w:ascii="黑体" w:hAnsi="黑体" w:cs="黑体" w:eastAsia="黑体" w:hint="default"/>
                    <w:b/>
                    <w:bCs/>
                    <w:spacing w:val="-57"/>
                    <w:sz w:val="22"/>
                    <w:szCs w:val="22"/>
                  </w:rPr>
                  <w:t> </w:t>
                </w:r>
                <w:r>
                  <w:rPr>
                    <w:rFonts w:ascii="黑体" w:hAnsi="黑体" w:cs="黑体" w:eastAsia="黑体" w:hint="default"/>
                    <w:b/>
                    <w:bCs/>
                    <w:sz w:val="22"/>
                    <w:szCs w:val="22"/>
                  </w:rPr>
                  <w:t>年</w:t>
                </w:r>
                <w:r>
                  <w:rPr>
                    <w:rFonts w:ascii="黑体" w:hAnsi="黑体" w:cs="黑体" w:eastAsia="黑体" w:hint="default"/>
                    <w:b/>
                    <w:bCs/>
                    <w:spacing w:val="-57"/>
                    <w:sz w:val="22"/>
                    <w:szCs w:val="22"/>
                  </w:rPr>
                  <w:t> </w:t>
                </w:r>
                <w:r>
                  <w:rPr>
                    <w:rFonts w:ascii="黑体" w:hAnsi="黑体" w:cs="黑体" w:eastAsia="黑体" w:hint="default"/>
                    <w:b/>
                    <w:bCs/>
                    <w:sz w:val="22"/>
                    <w:szCs w:val="22"/>
                  </w:rPr>
                  <w:t>12</w:t>
                </w:r>
                <w:r>
                  <w:rPr>
                    <w:rFonts w:ascii="黑体" w:hAnsi="黑体" w:cs="黑体" w:eastAsia="黑体" w:hint="default"/>
                    <w:b/>
                    <w:bCs/>
                    <w:spacing w:val="-57"/>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黑体" w:hAnsi="黑体" w:cs="黑体" w:eastAsia="黑体" w:hint="default"/>
                    <w:b/>
                    <w:bCs/>
                    <w:sz w:val="22"/>
                    <w:szCs w:val="22"/>
                  </w:rPr>
                  <w:t>31</w:t>
                </w:r>
                <w:r>
                  <w:rPr>
                    <w:rFonts w:ascii="黑体" w:hAnsi="黑体" w:cs="黑体" w:eastAsia="黑体" w:hint="default"/>
                    <w:b/>
                    <w:bCs/>
                    <w:spacing w:val="-57"/>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17"/>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4.75pt;margin-top:131.949982pt;width:426.75pt;height:.1pt;mso-position-horizontal-relative:page;mso-position-vertical-relative:page;z-index:-1311088" coordorigin="1695,2639" coordsize="8535,2">
          <v:shape style="position:absolute;left:1695;top:2639;width:8535;height:2" coordorigin="1695,2639" coordsize="8535,0" path="m1695,2639l10230,2639e" filled="false" stroked="true" strokeweight=".75pt" strokecolor="#000000">
            <v:path arrowok="t"/>
          </v:shape>
          <w10:wrap type="none"/>
        </v:group>
      </w:pict>
    </w:r>
    <w:r>
      <w:rPr/>
      <w:pict>
        <v:shape style="position:absolute;margin-left:241.520004pt;margin-top:46.872478pt;width:112.4pt;height:67.05pt;mso-position-horizontal-relative:page;mso-position-vertical-relative:page;z-index:-1311064" type="#_x0000_t202" filled="false" stroked="false">
          <v:textbox inset="0,0,0,0">
            <w:txbxContent>
              <w:p>
                <w:pPr>
                  <w:spacing w:line="241"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line="300" w:lineRule="auto" w:before="72"/>
                  <w:ind w:left="130" w:right="128" w:firstLine="0"/>
                  <w:jc w:val="center"/>
                  <w:rPr>
                    <w:rFonts w:ascii="黑体" w:hAnsi="黑体" w:cs="黑体" w:eastAsia="黑体" w:hint="default"/>
                    <w:sz w:val="22"/>
                    <w:szCs w:val="22"/>
                  </w:rPr>
                </w:pPr>
                <w:r>
                  <w:rPr>
                    <w:rFonts w:ascii="黑体" w:hAnsi="黑体" w:cs="黑体" w:eastAsia="黑体" w:hint="default"/>
                    <w:b/>
                    <w:bCs/>
                    <w:sz w:val="22"/>
                    <w:szCs w:val="22"/>
                  </w:rPr>
                  <w:t>财务报表附注（续）</w:t>
                </w:r>
                <w:r>
                  <w:rPr>
                    <w:rFonts w:ascii="黑体" w:hAnsi="黑体" w:cs="黑体" w:eastAsia="黑体" w:hint="default"/>
                    <w:b/>
                    <w:bCs/>
                    <w:w w:val="99"/>
                    <w:sz w:val="22"/>
                    <w:szCs w:val="22"/>
                  </w:rPr>
                  <w:t> </w:t>
                </w:r>
                <w:r>
                  <w:rPr>
                    <w:rFonts w:ascii="黑体" w:hAnsi="黑体" w:cs="黑体" w:eastAsia="黑体" w:hint="default"/>
                    <w:b/>
                    <w:bCs/>
                    <w:sz w:val="22"/>
                    <w:szCs w:val="22"/>
                  </w:rPr>
                  <w:t>2012</w:t>
                </w:r>
                <w:r>
                  <w:rPr>
                    <w:rFonts w:ascii="黑体" w:hAnsi="黑体" w:cs="黑体" w:eastAsia="黑体" w:hint="default"/>
                    <w:b/>
                    <w:bCs/>
                    <w:spacing w:val="-57"/>
                    <w:sz w:val="22"/>
                    <w:szCs w:val="22"/>
                  </w:rPr>
                  <w:t> </w:t>
                </w:r>
                <w:r>
                  <w:rPr>
                    <w:rFonts w:ascii="黑体" w:hAnsi="黑体" w:cs="黑体" w:eastAsia="黑体" w:hint="default"/>
                    <w:b/>
                    <w:bCs/>
                    <w:sz w:val="22"/>
                    <w:szCs w:val="22"/>
                  </w:rPr>
                  <w:t>年</w:t>
                </w:r>
                <w:r>
                  <w:rPr>
                    <w:rFonts w:ascii="黑体" w:hAnsi="黑体" w:cs="黑体" w:eastAsia="黑体" w:hint="default"/>
                    <w:b/>
                    <w:bCs/>
                    <w:spacing w:val="-57"/>
                    <w:sz w:val="22"/>
                    <w:szCs w:val="22"/>
                  </w:rPr>
                  <w:t> </w:t>
                </w:r>
                <w:r>
                  <w:rPr>
                    <w:rFonts w:ascii="黑体" w:hAnsi="黑体" w:cs="黑体" w:eastAsia="黑体" w:hint="default"/>
                    <w:b/>
                    <w:bCs/>
                    <w:sz w:val="22"/>
                    <w:szCs w:val="22"/>
                  </w:rPr>
                  <w:t>12</w:t>
                </w:r>
                <w:r>
                  <w:rPr>
                    <w:rFonts w:ascii="黑体" w:hAnsi="黑体" w:cs="黑体" w:eastAsia="黑体" w:hint="default"/>
                    <w:b/>
                    <w:bCs/>
                    <w:spacing w:val="-57"/>
                    <w:sz w:val="22"/>
                    <w:szCs w:val="22"/>
                  </w:rPr>
                  <w:t> </w:t>
                </w:r>
                <w:r>
                  <w:rPr>
                    <w:rFonts w:ascii="黑体" w:hAnsi="黑体" w:cs="黑体" w:eastAsia="黑体" w:hint="default"/>
                    <w:b/>
                    <w:bCs/>
                    <w:sz w:val="22"/>
                    <w:szCs w:val="22"/>
                  </w:rPr>
                  <w:t>月</w:t>
                </w:r>
                <w:r>
                  <w:rPr>
                    <w:rFonts w:ascii="黑体" w:hAnsi="黑体" w:cs="黑体" w:eastAsia="黑体" w:hint="default"/>
                    <w:b/>
                    <w:bCs/>
                    <w:spacing w:val="-57"/>
                    <w:sz w:val="22"/>
                    <w:szCs w:val="22"/>
                  </w:rPr>
                  <w:t> </w:t>
                </w:r>
                <w:r>
                  <w:rPr>
                    <w:rFonts w:ascii="黑体" w:hAnsi="黑体" w:cs="黑体" w:eastAsia="黑体" w:hint="default"/>
                    <w:b/>
                    <w:bCs/>
                    <w:sz w:val="22"/>
                    <w:szCs w:val="22"/>
                  </w:rPr>
                  <w:t>31</w:t>
                </w:r>
                <w:r>
                  <w:rPr>
                    <w:rFonts w:ascii="黑体" w:hAnsi="黑体" w:cs="黑体" w:eastAsia="黑体" w:hint="default"/>
                    <w:b/>
                    <w:bCs/>
                    <w:spacing w:val="-57"/>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17"/>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7.75pt;margin-top:131.950012pt;width:726.75pt;height:.1pt;mso-position-horizontal-relative:page;mso-position-vertical-relative:page;z-index:-1310992" coordorigin="1155,2639" coordsize="14535,2">
          <v:shape style="position:absolute;left:1155;top:2639;width:14535;height:2" coordorigin="1155,2639" coordsize="14535,0" path="m1155,2639l15690,2639e" filled="false" stroked="true" strokeweight=".75pt" strokecolor="#000000">
            <v:path arrowok="t"/>
          </v:shape>
          <w10:wrap type="none"/>
        </v:group>
      </w:pict>
    </w:r>
    <w:r>
      <w:rPr/>
      <w:pict>
        <v:shape style="position:absolute;margin-left:364.76001pt;margin-top:46.872509pt;width:112.4pt;height:67.05pt;mso-position-horizontal-relative:page;mso-position-vertical-relative:page;z-index:-1310968" type="#_x0000_t202" filled="false" stroked="false">
          <v:textbox inset="0,0,0,0">
            <w:txbxContent>
              <w:p>
                <w:pPr>
                  <w:spacing w:line="241"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财务报表附注（续）</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Arial" w:hAnsi="Arial" w:cs="Arial" w:eastAsia="Arial" w:hint="default"/>
                    <w:b/>
                    <w:bCs/>
                    <w:sz w:val="22"/>
                    <w:szCs w:val="22"/>
                  </w:rPr>
                  <w:t>2012</w:t>
                </w:r>
                <w:r>
                  <w:rPr>
                    <w:rFonts w:ascii="Arial" w:hAnsi="Arial" w:cs="Arial" w:eastAsia="Arial" w:hint="default"/>
                    <w:b/>
                    <w:bCs/>
                    <w:spacing w:val="-8"/>
                    <w:sz w:val="22"/>
                    <w:szCs w:val="22"/>
                  </w:rPr>
                  <w:t> </w:t>
                </w:r>
                <w:r>
                  <w:rPr>
                    <w:rFonts w:ascii="黑体" w:hAnsi="黑体" w:cs="黑体" w:eastAsia="黑体" w:hint="default"/>
                    <w:b/>
                    <w:bCs/>
                    <w:sz w:val="22"/>
                    <w:szCs w:val="22"/>
                  </w:rPr>
                  <w:t>年</w:t>
                </w:r>
                <w:r>
                  <w:rPr>
                    <w:rFonts w:ascii="黑体" w:hAnsi="黑体" w:cs="黑体" w:eastAsia="黑体" w:hint="default"/>
                    <w:b/>
                    <w:bCs/>
                    <w:spacing w:val="-55"/>
                    <w:sz w:val="22"/>
                    <w:szCs w:val="22"/>
                  </w:rPr>
                  <w:t> </w:t>
                </w:r>
                <w:r>
                  <w:rPr>
                    <w:rFonts w:ascii="Arial" w:hAnsi="Arial" w:cs="Arial" w:eastAsia="Arial" w:hint="default"/>
                    <w:b/>
                    <w:bCs/>
                    <w:sz w:val="22"/>
                    <w:szCs w:val="22"/>
                  </w:rPr>
                  <w:t>12</w:t>
                </w:r>
                <w:r>
                  <w:rPr>
                    <w:rFonts w:ascii="Arial" w:hAnsi="Arial" w:cs="Arial" w:eastAsia="Arial" w:hint="default"/>
                    <w:b/>
                    <w:bCs/>
                    <w:spacing w:val="-10"/>
                    <w:sz w:val="22"/>
                    <w:szCs w:val="22"/>
                  </w:rPr>
                  <w:t> </w:t>
                </w:r>
                <w:r>
                  <w:rPr>
                    <w:rFonts w:ascii="黑体" w:hAnsi="黑体" w:cs="黑体" w:eastAsia="黑体" w:hint="default"/>
                    <w:b/>
                    <w:bCs/>
                    <w:sz w:val="22"/>
                    <w:szCs w:val="22"/>
                  </w:rPr>
                  <w:t>月</w:t>
                </w:r>
                <w:r>
                  <w:rPr>
                    <w:rFonts w:ascii="黑体" w:hAnsi="黑体" w:cs="黑体" w:eastAsia="黑体" w:hint="default"/>
                    <w:b/>
                    <w:bCs/>
                    <w:spacing w:val="-55"/>
                    <w:sz w:val="22"/>
                    <w:szCs w:val="22"/>
                  </w:rPr>
                  <w:t> </w:t>
                </w:r>
                <w:r>
                  <w:rPr>
                    <w:rFonts w:ascii="Arial" w:hAnsi="Arial" w:cs="Arial" w:eastAsia="Arial" w:hint="default"/>
                    <w:b/>
                    <w:bCs/>
                    <w:sz w:val="22"/>
                    <w:szCs w:val="22"/>
                  </w:rPr>
                  <w:t>31</w:t>
                </w:r>
                <w:r>
                  <w:rPr>
                    <w:rFonts w:ascii="Arial" w:hAnsi="Arial" w:cs="Arial" w:eastAsia="Arial" w:hint="default"/>
                    <w:b/>
                    <w:bCs/>
                    <w:spacing w:val="-10"/>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4.75pt;margin-top:125.999977pt;width:426.75pt;height:.1pt;mso-position-horizontal-relative:page;mso-position-vertical-relative:page;z-index:-1310920" coordorigin="1695,2520" coordsize="8535,2">
          <v:shape style="position:absolute;left:1695;top:2520;width:8535;height:2" coordorigin="1695,2520" coordsize="8535,0" path="m1695,2520l10230,2520e" filled="false" stroked="true" strokeweight=".75pt" strokecolor="#000000">
            <v:path arrowok="t"/>
          </v:shape>
          <w10:wrap type="none"/>
        </v:group>
      </w:pict>
    </w:r>
    <w:r>
      <w:rPr/>
      <w:pict>
        <v:shape style="position:absolute;margin-left:245pt;margin-top:46.872478pt;width:112.4pt;height:67.05pt;mso-position-horizontal-relative:page;mso-position-vertical-relative:page;z-index:-1310896" type="#_x0000_t202" filled="false" stroked="false">
          <v:textbox inset="0,0,0,0">
            <w:txbxContent>
              <w:p>
                <w:pPr>
                  <w:spacing w:line="241"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before="72"/>
                  <w:ind w:left="2" w:right="0" w:firstLine="0"/>
                  <w:jc w:val="center"/>
                  <w:rPr>
                    <w:rFonts w:ascii="黑体" w:hAnsi="黑体" w:cs="黑体" w:eastAsia="黑体" w:hint="default"/>
                    <w:sz w:val="22"/>
                    <w:szCs w:val="22"/>
                  </w:rPr>
                </w:pPr>
                <w:r>
                  <w:rPr>
                    <w:rFonts w:ascii="黑体" w:hAnsi="黑体" w:cs="黑体" w:eastAsia="黑体" w:hint="default"/>
                    <w:b/>
                    <w:bCs/>
                    <w:sz w:val="22"/>
                    <w:szCs w:val="22"/>
                  </w:rPr>
                  <w:t>财务报表附注(续)</w:t>
                </w:r>
                <w:r>
                  <w:rPr>
                    <w:rFonts w:ascii="黑体" w:hAnsi="黑体" w:cs="黑体" w:eastAsia="黑体" w:hint="default"/>
                    <w:sz w:val="22"/>
                    <w:szCs w:val="22"/>
                  </w:rPr>
                </w:r>
              </w:p>
              <w:p>
                <w:pPr>
                  <w:spacing w:before="72"/>
                  <w:ind w:left="2" w:right="0" w:firstLine="0"/>
                  <w:jc w:val="center"/>
                  <w:rPr>
                    <w:rFonts w:ascii="黑体" w:hAnsi="黑体" w:cs="黑体" w:eastAsia="黑体" w:hint="default"/>
                    <w:sz w:val="22"/>
                    <w:szCs w:val="22"/>
                  </w:rPr>
                </w:pPr>
                <w:r>
                  <w:rPr>
                    <w:rFonts w:ascii="Arial" w:hAnsi="Arial" w:cs="Arial" w:eastAsia="Arial" w:hint="default"/>
                    <w:b/>
                    <w:bCs/>
                    <w:sz w:val="22"/>
                    <w:szCs w:val="22"/>
                  </w:rPr>
                  <w:t>2012</w:t>
                </w:r>
                <w:r>
                  <w:rPr>
                    <w:rFonts w:ascii="Arial" w:hAnsi="Arial" w:cs="Arial" w:eastAsia="Arial" w:hint="default"/>
                    <w:b/>
                    <w:bCs/>
                    <w:spacing w:val="-8"/>
                    <w:sz w:val="22"/>
                    <w:szCs w:val="22"/>
                  </w:rPr>
                  <w:t> </w:t>
                </w:r>
                <w:r>
                  <w:rPr>
                    <w:rFonts w:ascii="黑体" w:hAnsi="黑体" w:cs="黑体" w:eastAsia="黑体" w:hint="default"/>
                    <w:b/>
                    <w:bCs/>
                    <w:sz w:val="22"/>
                    <w:szCs w:val="22"/>
                  </w:rPr>
                  <w:t>年</w:t>
                </w:r>
                <w:r>
                  <w:rPr>
                    <w:rFonts w:ascii="黑体" w:hAnsi="黑体" w:cs="黑体" w:eastAsia="黑体" w:hint="default"/>
                    <w:b/>
                    <w:bCs/>
                    <w:spacing w:val="-55"/>
                    <w:sz w:val="22"/>
                    <w:szCs w:val="22"/>
                  </w:rPr>
                  <w:t> </w:t>
                </w:r>
                <w:r>
                  <w:rPr>
                    <w:rFonts w:ascii="Arial" w:hAnsi="Arial" w:cs="Arial" w:eastAsia="Arial" w:hint="default"/>
                    <w:b/>
                    <w:bCs/>
                    <w:sz w:val="22"/>
                    <w:szCs w:val="22"/>
                  </w:rPr>
                  <w:t>12</w:t>
                </w:r>
                <w:r>
                  <w:rPr>
                    <w:rFonts w:ascii="Arial" w:hAnsi="Arial" w:cs="Arial" w:eastAsia="Arial" w:hint="default"/>
                    <w:b/>
                    <w:bCs/>
                    <w:spacing w:val="-10"/>
                    <w:sz w:val="22"/>
                    <w:szCs w:val="22"/>
                  </w:rPr>
                  <w:t> </w:t>
                </w:r>
                <w:r>
                  <w:rPr>
                    <w:rFonts w:ascii="黑体" w:hAnsi="黑体" w:cs="黑体" w:eastAsia="黑体" w:hint="default"/>
                    <w:b/>
                    <w:bCs/>
                    <w:sz w:val="22"/>
                    <w:szCs w:val="22"/>
                  </w:rPr>
                  <w:t>月</w:t>
                </w:r>
                <w:r>
                  <w:rPr>
                    <w:rFonts w:ascii="黑体" w:hAnsi="黑体" w:cs="黑体" w:eastAsia="黑体" w:hint="default"/>
                    <w:b/>
                    <w:bCs/>
                    <w:spacing w:val="-55"/>
                    <w:sz w:val="22"/>
                    <w:szCs w:val="22"/>
                  </w:rPr>
                  <w:t> </w:t>
                </w:r>
                <w:r>
                  <w:rPr>
                    <w:rFonts w:ascii="Arial" w:hAnsi="Arial" w:cs="Arial" w:eastAsia="Arial" w:hint="default"/>
                    <w:b/>
                    <w:bCs/>
                    <w:sz w:val="22"/>
                    <w:szCs w:val="22"/>
                  </w:rPr>
                  <w:t>31</w:t>
                </w:r>
                <w:r>
                  <w:rPr>
                    <w:rFonts w:ascii="Arial" w:hAnsi="Arial" w:cs="Arial" w:eastAsia="Arial" w:hint="default"/>
                    <w:b/>
                    <w:bCs/>
                    <w:spacing w:val="-10"/>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9.25pt;margin-top:127.600006pt;width:724.5pt;height:.1pt;mso-position-horizontal-relative:page;mso-position-vertical-relative:page;z-index:-1310848" coordorigin="1185,2552" coordsize="14490,2">
          <v:shape style="position:absolute;left:1185;top:2552;width:14490;height:2" coordorigin="1185,2552" coordsize="14490,0" path="m1185,2552l15675,2552e" filled="false" stroked="true" strokeweight=".75pt" strokecolor="#000000">
            <v:path arrowok="t"/>
          </v:shape>
          <w10:wrap type="none"/>
        </v:group>
      </w:pict>
    </w:r>
    <w:r>
      <w:rPr/>
      <w:pict>
        <v:shape style="position:absolute;margin-left:364.76001pt;margin-top:46.872509pt;width:112.4pt;height:67.05pt;mso-position-horizontal-relative:page;mso-position-vertical-relative:page;z-index:-1310824" type="#_x0000_t202" filled="false" stroked="false">
          <v:textbox inset="0,0,0,0">
            <w:txbxContent>
              <w:p>
                <w:pPr>
                  <w:spacing w:line="241"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财务报表附注(续)</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Arial" w:hAnsi="Arial" w:cs="Arial" w:eastAsia="Arial" w:hint="default"/>
                    <w:b/>
                    <w:bCs/>
                    <w:sz w:val="22"/>
                    <w:szCs w:val="22"/>
                  </w:rPr>
                  <w:t>2012</w:t>
                </w:r>
                <w:r>
                  <w:rPr>
                    <w:rFonts w:ascii="Arial" w:hAnsi="Arial" w:cs="Arial" w:eastAsia="Arial" w:hint="default"/>
                    <w:b/>
                    <w:bCs/>
                    <w:spacing w:val="-7"/>
                    <w:sz w:val="22"/>
                    <w:szCs w:val="22"/>
                  </w:rPr>
                  <w:t> </w:t>
                </w:r>
                <w:r>
                  <w:rPr>
                    <w:rFonts w:ascii="黑体" w:hAnsi="黑体" w:cs="黑体" w:eastAsia="黑体" w:hint="default"/>
                    <w:b/>
                    <w:bCs/>
                    <w:sz w:val="22"/>
                    <w:szCs w:val="22"/>
                  </w:rPr>
                  <w:t>年</w:t>
                </w:r>
                <w:r>
                  <w:rPr>
                    <w:rFonts w:ascii="黑体" w:hAnsi="黑体" w:cs="黑体" w:eastAsia="黑体" w:hint="default"/>
                    <w:b/>
                    <w:bCs/>
                    <w:spacing w:val="-55"/>
                    <w:sz w:val="22"/>
                    <w:szCs w:val="22"/>
                  </w:rPr>
                  <w:t> </w:t>
                </w:r>
                <w:r>
                  <w:rPr>
                    <w:rFonts w:ascii="Arial" w:hAnsi="Arial" w:cs="Arial" w:eastAsia="Arial" w:hint="default"/>
                    <w:b/>
                    <w:bCs/>
                    <w:sz w:val="22"/>
                    <w:szCs w:val="22"/>
                  </w:rPr>
                  <w:t>12</w:t>
                </w:r>
                <w:r>
                  <w:rPr>
                    <w:rFonts w:ascii="Arial" w:hAnsi="Arial" w:cs="Arial" w:eastAsia="Arial" w:hint="default"/>
                    <w:b/>
                    <w:bCs/>
                    <w:spacing w:val="-10"/>
                    <w:sz w:val="22"/>
                    <w:szCs w:val="22"/>
                  </w:rPr>
                  <w:t> </w:t>
                </w:r>
                <w:r>
                  <w:rPr>
                    <w:rFonts w:ascii="黑体" w:hAnsi="黑体" w:cs="黑体" w:eastAsia="黑体" w:hint="default"/>
                    <w:b/>
                    <w:bCs/>
                    <w:sz w:val="22"/>
                    <w:szCs w:val="22"/>
                  </w:rPr>
                  <w:t>月</w:t>
                </w:r>
                <w:r>
                  <w:rPr>
                    <w:rFonts w:ascii="黑体" w:hAnsi="黑体" w:cs="黑体" w:eastAsia="黑体" w:hint="default"/>
                    <w:b/>
                    <w:bCs/>
                    <w:spacing w:val="-55"/>
                    <w:sz w:val="22"/>
                    <w:szCs w:val="22"/>
                  </w:rPr>
                  <w:t> </w:t>
                </w:r>
                <w:r>
                  <w:rPr>
                    <w:rFonts w:ascii="Arial" w:hAnsi="Arial" w:cs="Arial" w:eastAsia="Arial" w:hint="default"/>
                    <w:b/>
                    <w:bCs/>
                    <w:sz w:val="22"/>
                    <w:szCs w:val="22"/>
                  </w:rPr>
                  <w:t>31</w:t>
                </w:r>
                <w:r>
                  <w:rPr>
                    <w:rFonts w:ascii="Arial" w:hAnsi="Arial" w:cs="Arial" w:eastAsia="Arial" w:hint="default"/>
                    <w:b/>
                    <w:bCs/>
                    <w:spacing w:val="-10"/>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5.5pt;margin-top:121.04998pt;width:439.55pt;height:.1pt;mso-position-horizontal-relative:page;mso-position-vertical-relative:page;z-index:-1310776" coordorigin="1710,2421" coordsize="8791,2">
          <v:shape style="position:absolute;left:1710;top:2421;width:8791;height:2" coordorigin="1710,2421" coordsize="8791,0" path="m1710,2421l10501,2421e" filled="false" stroked="true" strokeweight=".75pt" strokecolor="#000000">
            <v:path arrowok="t"/>
          </v:shape>
          <w10:wrap type="none"/>
        </v:group>
      </w:pict>
    </w:r>
    <w:r>
      <w:rPr/>
      <w:pict>
        <v:shape style="position:absolute;margin-left:248.600006pt;margin-top:40.272484pt;width:112.4pt;height:67.05pt;mso-position-horizontal-relative:page;mso-position-vertical-relative:page;z-index:-1310752" type="#_x0000_t202" filled="false" stroked="false">
          <v:textbox inset="0,0,0,0">
            <w:txbxContent>
              <w:p>
                <w:pPr>
                  <w:spacing w:line="241"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财务报表附注(续)</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Arial" w:hAnsi="Arial" w:cs="Arial" w:eastAsia="Arial" w:hint="default"/>
                    <w:b/>
                    <w:bCs/>
                    <w:sz w:val="22"/>
                    <w:szCs w:val="22"/>
                  </w:rPr>
                  <w:t>2012</w:t>
                </w:r>
                <w:r>
                  <w:rPr>
                    <w:rFonts w:ascii="Arial" w:hAnsi="Arial" w:cs="Arial" w:eastAsia="Arial" w:hint="default"/>
                    <w:b/>
                    <w:bCs/>
                    <w:spacing w:val="-7"/>
                    <w:sz w:val="22"/>
                    <w:szCs w:val="22"/>
                  </w:rPr>
                  <w:t> </w:t>
                </w:r>
                <w:r>
                  <w:rPr>
                    <w:rFonts w:ascii="黑体" w:hAnsi="黑体" w:cs="黑体" w:eastAsia="黑体" w:hint="default"/>
                    <w:b/>
                    <w:bCs/>
                    <w:sz w:val="22"/>
                    <w:szCs w:val="22"/>
                  </w:rPr>
                  <w:t>年</w:t>
                </w:r>
                <w:r>
                  <w:rPr>
                    <w:rFonts w:ascii="黑体" w:hAnsi="黑体" w:cs="黑体" w:eastAsia="黑体" w:hint="default"/>
                    <w:b/>
                    <w:bCs/>
                    <w:spacing w:val="-55"/>
                    <w:sz w:val="22"/>
                    <w:szCs w:val="22"/>
                  </w:rPr>
                  <w:t> </w:t>
                </w:r>
                <w:r>
                  <w:rPr>
                    <w:rFonts w:ascii="Arial" w:hAnsi="Arial" w:cs="Arial" w:eastAsia="Arial" w:hint="default"/>
                    <w:b/>
                    <w:bCs/>
                    <w:sz w:val="22"/>
                    <w:szCs w:val="22"/>
                  </w:rPr>
                  <w:t>12</w:t>
                </w:r>
                <w:r>
                  <w:rPr>
                    <w:rFonts w:ascii="Arial" w:hAnsi="Arial" w:cs="Arial" w:eastAsia="Arial" w:hint="default"/>
                    <w:b/>
                    <w:bCs/>
                    <w:spacing w:val="-10"/>
                    <w:sz w:val="22"/>
                    <w:szCs w:val="22"/>
                  </w:rPr>
                  <w:t> </w:t>
                </w:r>
                <w:r>
                  <w:rPr>
                    <w:rFonts w:ascii="黑体" w:hAnsi="黑体" w:cs="黑体" w:eastAsia="黑体" w:hint="default"/>
                    <w:b/>
                    <w:bCs/>
                    <w:sz w:val="22"/>
                    <w:szCs w:val="22"/>
                  </w:rPr>
                  <w:t>月</w:t>
                </w:r>
                <w:r>
                  <w:rPr>
                    <w:rFonts w:ascii="黑体" w:hAnsi="黑体" w:cs="黑体" w:eastAsia="黑体" w:hint="default"/>
                    <w:b/>
                    <w:bCs/>
                    <w:spacing w:val="-55"/>
                    <w:sz w:val="22"/>
                    <w:szCs w:val="22"/>
                  </w:rPr>
                  <w:t> </w:t>
                </w:r>
                <w:r>
                  <w:rPr>
                    <w:rFonts w:ascii="Arial" w:hAnsi="Arial" w:cs="Arial" w:eastAsia="Arial" w:hint="default"/>
                    <w:b/>
                    <w:bCs/>
                    <w:sz w:val="22"/>
                    <w:szCs w:val="22"/>
                  </w:rPr>
                  <w:t>31</w:t>
                </w:r>
                <w:r>
                  <w:rPr>
                    <w:rFonts w:ascii="Arial" w:hAnsi="Arial" w:cs="Arial" w:eastAsia="Arial" w:hint="default"/>
                    <w:b/>
                    <w:bCs/>
                    <w:spacing w:val="-10"/>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8.600006pt;margin-top:40.272484pt;width:112.4pt;height:67.05pt;mso-position-horizontal-relative:page;mso-position-vertical-relative:page;z-index:-1310656" type="#_x0000_t202" filled="false" stroked="false">
          <v:textbox inset="0,0,0,0">
            <w:txbxContent>
              <w:p>
                <w:pPr>
                  <w:spacing w:line="241"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财务报表附注(续)</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Arial" w:hAnsi="Arial" w:cs="Arial" w:eastAsia="Arial" w:hint="default"/>
                    <w:b/>
                    <w:bCs/>
                    <w:sz w:val="22"/>
                    <w:szCs w:val="22"/>
                  </w:rPr>
                  <w:t>2012</w:t>
                </w:r>
                <w:r>
                  <w:rPr>
                    <w:rFonts w:ascii="Arial" w:hAnsi="Arial" w:cs="Arial" w:eastAsia="Arial" w:hint="default"/>
                    <w:b/>
                    <w:bCs/>
                    <w:spacing w:val="-7"/>
                    <w:sz w:val="22"/>
                    <w:szCs w:val="22"/>
                  </w:rPr>
                  <w:t> </w:t>
                </w:r>
                <w:r>
                  <w:rPr>
                    <w:rFonts w:ascii="黑体" w:hAnsi="黑体" w:cs="黑体" w:eastAsia="黑体" w:hint="default"/>
                    <w:b/>
                    <w:bCs/>
                    <w:sz w:val="22"/>
                    <w:szCs w:val="22"/>
                  </w:rPr>
                  <w:t>年</w:t>
                </w:r>
                <w:r>
                  <w:rPr>
                    <w:rFonts w:ascii="黑体" w:hAnsi="黑体" w:cs="黑体" w:eastAsia="黑体" w:hint="default"/>
                    <w:b/>
                    <w:bCs/>
                    <w:spacing w:val="-55"/>
                    <w:sz w:val="22"/>
                    <w:szCs w:val="22"/>
                  </w:rPr>
                  <w:t> </w:t>
                </w:r>
                <w:r>
                  <w:rPr>
                    <w:rFonts w:ascii="Arial" w:hAnsi="Arial" w:cs="Arial" w:eastAsia="Arial" w:hint="default"/>
                    <w:b/>
                    <w:bCs/>
                    <w:sz w:val="22"/>
                    <w:szCs w:val="22"/>
                  </w:rPr>
                  <w:t>12</w:t>
                </w:r>
                <w:r>
                  <w:rPr>
                    <w:rFonts w:ascii="Arial" w:hAnsi="Arial" w:cs="Arial" w:eastAsia="Arial" w:hint="default"/>
                    <w:b/>
                    <w:bCs/>
                    <w:spacing w:val="-10"/>
                    <w:sz w:val="22"/>
                    <w:szCs w:val="22"/>
                  </w:rPr>
                  <w:t> </w:t>
                </w:r>
                <w:r>
                  <w:rPr>
                    <w:rFonts w:ascii="黑体" w:hAnsi="黑体" w:cs="黑体" w:eastAsia="黑体" w:hint="default"/>
                    <w:b/>
                    <w:bCs/>
                    <w:sz w:val="22"/>
                    <w:szCs w:val="22"/>
                  </w:rPr>
                  <w:t>月</w:t>
                </w:r>
                <w:r>
                  <w:rPr>
                    <w:rFonts w:ascii="黑体" w:hAnsi="黑体" w:cs="黑体" w:eastAsia="黑体" w:hint="default"/>
                    <w:b/>
                    <w:bCs/>
                    <w:spacing w:val="-55"/>
                    <w:sz w:val="22"/>
                    <w:szCs w:val="22"/>
                  </w:rPr>
                  <w:t> </w:t>
                </w:r>
                <w:r>
                  <w:rPr>
                    <w:rFonts w:ascii="Arial" w:hAnsi="Arial" w:cs="Arial" w:eastAsia="Arial" w:hint="default"/>
                    <w:b/>
                    <w:bCs/>
                    <w:sz w:val="22"/>
                    <w:szCs w:val="22"/>
                  </w:rPr>
                  <w:t>31</w:t>
                </w:r>
                <w:r>
                  <w:rPr>
                    <w:rFonts w:ascii="Arial" w:hAnsi="Arial" w:cs="Arial" w:eastAsia="Arial" w:hint="default"/>
                    <w:b/>
                    <w:bCs/>
                    <w:spacing w:val="-10"/>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6.25pt;margin-top:127.79998pt;width:426.75pt;height:.1pt;mso-position-horizontal-relative:page;mso-position-vertical-relative:page;z-index:-1310608" coordorigin="1725,2556" coordsize="8535,2">
          <v:shape style="position:absolute;left:1725;top:2556;width:8535;height:2" coordorigin="1725,2556" coordsize="8535,0" path="m1725,2556l10260,2556e" filled="false" stroked="true" strokeweight=".75pt" strokecolor="#000000">
            <v:path arrowok="t"/>
          </v:shape>
          <w10:wrap type="none"/>
        </v:group>
      </w:pict>
    </w:r>
    <w:r>
      <w:rPr/>
      <w:pict>
        <v:shape style="position:absolute;margin-left:241.520004pt;margin-top:46.872478pt;width:112.4pt;height:67.05pt;mso-position-horizontal-relative:page;mso-position-vertical-relative:page;z-index:-1310584" type="#_x0000_t202" filled="false" stroked="false">
          <v:textbox inset="0,0,0,0">
            <w:txbxContent>
              <w:p>
                <w:pPr>
                  <w:spacing w:line="241"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财务报表附注(续)</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Arial" w:hAnsi="Arial" w:cs="Arial" w:eastAsia="Arial" w:hint="default"/>
                    <w:b/>
                    <w:bCs/>
                    <w:sz w:val="22"/>
                    <w:szCs w:val="22"/>
                  </w:rPr>
                  <w:t>2012</w:t>
                </w:r>
                <w:r>
                  <w:rPr>
                    <w:rFonts w:ascii="Arial" w:hAnsi="Arial" w:cs="Arial" w:eastAsia="Arial" w:hint="default"/>
                    <w:b/>
                    <w:bCs/>
                    <w:spacing w:val="-7"/>
                    <w:sz w:val="22"/>
                    <w:szCs w:val="22"/>
                  </w:rPr>
                  <w:t> </w:t>
                </w:r>
                <w:r>
                  <w:rPr>
                    <w:rFonts w:ascii="黑体" w:hAnsi="黑体" w:cs="黑体" w:eastAsia="黑体" w:hint="default"/>
                    <w:b/>
                    <w:bCs/>
                    <w:sz w:val="22"/>
                    <w:szCs w:val="22"/>
                  </w:rPr>
                  <w:t>年</w:t>
                </w:r>
                <w:r>
                  <w:rPr>
                    <w:rFonts w:ascii="黑体" w:hAnsi="黑体" w:cs="黑体" w:eastAsia="黑体" w:hint="default"/>
                    <w:b/>
                    <w:bCs/>
                    <w:spacing w:val="-55"/>
                    <w:sz w:val="22"/>
                    <w:szCs w:val="22"/>
                  </w:rPr>
                  <w:t> </w:t>
                </w:r>
                <w:r>
                  <w:rPr>
                    <w:rFonts w:ascii="Arial" w:hAnsi="Arial" w:cs="Arial" w:eastAsia="Arial" w:hint="default"/>
                    <w:b/>
                    <w:bCs/>
                    <w:sz w:val="22"/>
                    <w:szCs w:val="22"/>
                  </w:rPr>
                  <w:t>12</w:t>
                </w:r>
                <w:r>
                  <w:rPr>
                    <w:rFonts w:ascii="Arial" w:hAnsi="Arial" w:cs="Arial" w:eastAsia="Arial" w:hint="default"/>
                    <w:b/>
                    <w:bCs/>
                    <w:spacing w:val="-10"/>
                    <w:sz w:val="22"/>
                    <w:szCs w:val="22"/>
                  </w:rPr>
                  <w:t> </w:t>
                </w:r>
                <w:r>
                  <w:rPr>
                    <w:rFonts w:ascii="黑体" w:hAnsi="黑体" w:cs="黑体" w:eastAsia="黑体" w:hint="default"/>
                    <w:b/>
                    <w:bCs/>
                    <w:sz w:val="22"/>
                    <w:szCs w:val="22"/>
                  </w:rPr>
                  <w:t>月</w:t>
                </w:r>
                <w:r>
                  <w:rPr>
                    <w:rFonts w:ascii="黑体" w:hAnsi="黑体" w:cs="黑体" w:eastAsia="黑体" w:hint="default"/>
                    <w:b/>
                    <w:bCs/>
                    <w:spacing w:val="-55"/>
                    <w:sz w:val="22"/>
                    <w:szCs w:val="22"/>
                  </w:rPr>
                  <w:t> </w:t>
                </w:r>
                <w:r>
                  <w:rPr>
                    <w:rFonts w:ascii="Arial" w:hAnsi="Arial" w:cs="Arial" w:eastAsia="Arial" w:hint="default"/>
                    <w:b/>
                    <w:bCs/>
                    <w:sz w:val="22"/>
                    <w:szCs w:val="22"/>
                  </w:rPr>
                  <w:t>31</w:t>
                </w:r>
                <w:r>
                  <w:rPr>
                    <w:rFonts w:ascii="Arial" w:hAnsi="Arial" w:cs="Arial" w:eastAsia="Arial" w:hint="default"/>
                    <w:b/>
                    <w:bCs/>
                    <w:spacing w:val="-10"/>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4.76001pt;margin-top:46.872509pt;width:112.4pt;height:67.05pt;mso-position-horizontal-relative:page;mso-position-vertical-relative:page;z-index:-1310536" type="#_x0000_t202" filled="false" stroked="false">
          <v:textbox inset="0,0,0,0">
            <w:txbxContent>
              <w:p>
                <w:pPr>
                  <w:spacing w:line="241"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财务报表附注(续)</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Arial" w:hAnsi="Arial" w:cs="Arial" w:eastAsia="Arial" w:hint="default"/>
                    <w:b/>
                    <w:bCs/>
                    <w:sz w:val="22"/>
                    <w:szCs w:val="22"/>
                  </w:rPr>
                  <w:t>2012</w:t>
                </w:r>
                <w:r>
                  <w:rPr>
                    <w:rFonts w:ascii="Arial" w:hAnsi="Arial" w:cs="Arial" w:eastAsia="Arial" w:hint="default"/>
                    <w:b/>
                    <w:bCs/>
                    <w:spacing w:val="-7"/>
                    <w:sz w:val="22"/>
                    <w:szCs w:val="22"/>
                  </w:rPr>
                  <w:t> </w:t>
                </w:r>
                <w:r>
                  <w:rPr>
                    <w:rFonts w:ascii="黑体" w:hAnsi="黑体" w:cs="黑体" w:eastAsia="黑体" w:hint="default"/>
                    <w:b/>
                    <w:bCs/>
                    <w:sz w:val="22"/>
                    <w:szCs w:val="22"/>
                  </w:rPr>
                  <w:t>年</w:t>
                </w:r>
                <w:r>
                  <w:rPr>
                    <w:rFonts w:ascii="黑体" w:hAnsi="黑体" w:cs="黑体" w:eastAsia="黑体" w:hint="default"/>
                    <w:b/>
                    <w:bCs/>
                    <w:spacing w:val="-55"/>
                    <w:sz w:val="22"/>
                    <w:szCs w:val="22"/>
                  </w:rPr>
                  <w:t> </w:t>
                </w:r>
                <w:r>
                  <w:rPr>
                    <w:rFonts w:ascii="Arial" w:hAnsi="Arial" w:cs="Arial" w:eastAsia="Arial" w:hint="default"/>
                    <w:b/>
                    <w:bCs/>
                    <w:sz w:val="22"/>
                    <w:szCs w:val="22"/>
                  </w:rPr>
                  <w:t>12</w:t>
                </w:r>
                <w:r>
                  <w:rPr>
                    <w:rFonts w:ascii="Arial" w:hAnsi="Arial" w:cs="Arial" w:eastAsia="Arial" w:hint="default"/>
                    <w:b/>
                    <w:bCs/>
                    <w:spacing w:val="-10"/>
                    <w:sz w:val="22"/>
                    <w:szCs w:val="22"/>
                  </w:rPr>
                  <w:t> </w:t>
                </w:r>
                <w:r>
                  <w:rPr>
                    <w:rFonts w:ascii="黑体" w:hAnsi="黑体" w:cs="黑体" w:eastAsia="黑体" w:hint="default"/>
                    <w:b/>
                    <w:bCs/>
                    <w:sz w:val="22"/>
                    <w:szCs w:val="22"/>
                  </w:rPr>
                  <w:t>月</w:t>
                </w:r>
                <w:r>
                  <w:rPr>
                    <w:rFonts w:ascii="黑体" w:hAnsi="黑体" w:cs="黑体" w:eastAsia="黑体" w:hint="default"/>
                    <w:b/>
                    <w:bCs/>
                    <w:spacing w:val="-55"/>
                    <w:sz w:val="22"/>
                    <w:szCs w:val="22"/>
                  </w:rPr>
                  <w:t> </w:t>
                </w:r>
                <w:r>
                  <w:rPr>
                    <w:rFonts w:ascii="Arial" w:hAnsi="Arial" w:cs="Arial" w:eastAsia="Arial" w:hint="default"/>
                    <w:b/>
                    <w:bCs/>
                    <w:sz w:val="22"/>
                    <w:szCs w:val="22"/>
                  </w:rPr>
                  <w:t>31</w:t>
                </w:r>
                <w:r>
                  <w:rPr>
                    <w:rFonts w:ascii="Arial" w:hAnsi="Arial" w:cs="Arial" w:eastAsia="Arial" w:hint="default"/>
                    <w:b/>
                    <w:bCs/>
                    <w:spacing w:val="-10"/>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4pt;margin-top:121.500008pt;width:728.1pt;height:.1pt;mso-position-horizontal-relative:page;mso-position-vertical-relative:page;z-index:-1310488" coordorigin="1080,2430" coordsize="14562,2">
          <v:shape style="position:absolute;left:1080;top:2430;width:14562;height:2" coordorigin="1080,2430" coordsize="14562,0" path="m1080,2430l15642,2430e" filled="false" stroked="true" strokeweight=".75pt" strokecolor="#000000">
            <v:path arrowok="t"/>
          </v:shape>
          <w10:wrap type="none"/>
        </v:group>
      </w:pict>
    </w:r>
    <w:r>
      <w:rPr/>
      <w:pict>
        <v:shape style="position:absolute;margin-left:364.76001pt;margin-top:46.872509pt;width:112.4pt;height:67.05pt;mso-position-horizontal-relative:page;mso-position-vertical-relative:page;z-index:-1310464" type="#_x0000_t202" filled="false" stroked="false">
          <v:textbox inset="0,0,0,0">
            <w:txbxContent>
              <w:p>
                <w:pPr>
                  <w:spacing w:line="241"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财务报表附注(续)</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Arial" w:hAnsi="Arial" w:cs="Arial" w:eastAsia="Arial" w:hint="default"/>
                    <w:b/>
                    <w:bCs/>
                    <w:sz w:val="22"/>
                    <w:szCs w:val="22"/>
                  </w:rPr>
                  <w:t>2012</w:t>
                </w:r>
                <w:r>
                  <w:rPr>
                    <w:rFonts w:ascii="Arial" w:hAnsi="Arial" w:cs="Arial" w:eastAsia="Arial" w:hint="default"/>
                    <w:b/>
                    <w:bCs/>
                    <w:spacing w:val="-7"/>
                    <w:sz w:val="22"/>
                    <w:szCs w:val="22"/>
                  </w:rPr>
                  <w:t> </w:t>
                </w:r>
                <w:r>
                  <w:rPr>
                    <w:rFonts w:ascii="黑体" w:hAnsi="黑体" w:cs="黑体" w:eastAsia="黑体" w:hint="default"/>
                    <w:b/>
                    <w:bCs/>
                    <w:sz w:val="22"/>
                    <w:szCs w:val="22"/>
                  </w:rPr>
                  <w:t>年</w:t>
                </w:r>
                <w:r>
                  <w:rPr>
                    <w:rFonts w:ascii="黑体" w:hAnsi="黑体" w:cs="黑体" w:eastAsia="黑体" w:hint="default"/>
                    <w:b/>
                    <w:bCs/>
                    <w:spacing w:val="-55"/>
                    <w:sz w:val="22"/>
                    <w:szCs w:val="22"/>
                  </w:rPr>
                  <w:t> </w:t>
                </w:r>
                <w:r>
                  <w:rPr>
                    <w:rFonts w:ascii="Arial" w:hAnsi="Arial" w:cs="Arial" w:eastAsia="Arial" w:hint="default"/>
                    <w:b/>
                    <w:bCs/>
                    <w:sz w:val="22"/>
                    <w:szCs w:val="22"/>
                  </w:rPr>
                  <w:t>12</w:t>
                </w:r>
                <w:r>
                  <w:rPr>
                    <w:rFonts w:ascii="Arial" w:hAnsi="Arial" w:cs="Arial" w:eastAsia="Arial" w:hint="default"/>
                    <w:b/>
                    <w:bCs/>
                    <w:spacing w:val="-10"/>
                    <w:sz w:val="22"/>
                    <w:szCs w:val="22"/>
                  </w:rPr>
                  <w:t> </w:t>
                </w:r>
                <w:r>
                  <w:rPr>
                    <w:rFonts w:ascii="黑体" w:hAnsi="黑体" w:cs="黑体" w:eastAsia="黑体" w:hint="default"/>
                    <w:b/>
                    <w:bCs/>
                    <w:sz w:val="22"/>
                    <w:szCs w:val="22"/>
                  </w:rPr>
                  <w:t>月</w:t>
                </w:r>
                <w:r>
                  <w:rPr>
                    <w:rFonts w:ascii="黑体" w:hAnsi="黑体" w:cs="黑体" w:eastAsia="黑体" w:hint="default"/>
                    <w:b/>
                    <w:bCs/>
                    <w:spacing w:val="-55"/>
                    <w:sz w:val="22"/>
                    <w:szCs w:val="22"/>
                  </w:rPr>
                  <w:t> </w:t>
                </w:r>
                <w:r>
                  <w:rPr>
                    <w:rFonts w:ascii="Arial" w:hAnsi="Arial" w:cs="Arial" w:eastAsia="Arial" w:hint="default"/>
                    <w:b/>
                    <w:bCs/>
                    <w:sz w:val="22"/>
                    <w:szCs w:val="22"/>
                  </w:rPr>
                  <w:t>31</w:t>
                </w:r>
                <w:r>
                  <w:rPr>
                    <w:rFonts w:ascii="Arial" w:hAnsi="Arial" w:cs="Arial" w:eastAsia="Arial" w:hint="default"/>
                    <w:b/>
                    <w:bCs/>
                    <w:spacing w:val="-10"/>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4.76001pt;margin-top:46.872509pt;width:112.4pt;height:67.05pt;mso-position-horizontal-relative:page;mso-position-vertical-relative:page;z-index:-1310440" type="#_x0000_t202" filled="false" stroked="false">
          <v:textbox inset="0,0,0,0">
            <w:txbxContent>
              <w:p>
                <w:pPr>
                  <w:spacing w:line="241"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财务报表附注(续)</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Arial" w:hAnsi="Arial" w:cs="Arial" w:eastAsia="Arial" w:hint="default"/>
                    <w:b/>
                    <w:bCs/>
                    <w:sz w:val="22"/>
                    <w:szCs w:val="22"/>
                  </w:rPr>
                  <w:t>2012</w:t>
                </w:r>
                <w:r>
                  <w:rPr>
                    <w:rFonts w:ascii="Arial" w:hAnsi="Arial" w:cs="Arial" w:eastAsia="Arial" w:hint="default"/>
                    <w:b/>
                    <w:bCs/>
                    <w:spacing w:val="-7"/>
                    <w:sz w:val="22"/>
                    <w:szCs w:val="22"/>
                  </w:rPr>
                  <w:t> </w:t>
                </w:r>
                <w:r>
                  <w:rPr>
                    <w:rFonts w:ascii="黑体" w:hAnsi="黑体" w:cs="黑体" w:eastAsia="黑体" w:hint="default"/>
                    <w:b/>
                    <w:bCs/>
                    <w:sz w:val="22"/>
                    <w:szCs w:val="22"/>
                  </w:rPr>
                  <w:t>年</w:t>
                </w:r>
                <w:r>
                  <w:rPr>
                    <w:rFonts w:ascii="黑体" w:hAnsi="黑体" w:cs="黑体" w:eastAsia="黑体" w:hint="default"/>
                    <w:b/>
                    <w:bCs/>
                    <w:spacing w:val="-55"/>
                    <w:sz w:val="22"/>
                    <w:szCs w:val="22"/>
                  </w:rPr>
                  <w:t> </w:t>
                </w:r>
                <w:r>
                  <w:rPr>
                    <w:rFonts w:ascii="Arial" w:hAnsi="Arial" w:cs="Arial" w:eastAsia="Arial" w:hint="default"/>
                    <w:b/>
                    <w:bCs/>
                    <w:sz w:val="22"/>
                    <w:szCs w:val="22"/>
                  </w:rPr>
                  <w:t>12</w:t>
                </w:r>
                <w:r>
                  <w:rPr>
                    <w:rFonts w:ascii="Arial" w:hAnsi="Arial" w:cs="Arial" w:eastAsia="Arial" w:hint="default"/>
                    <w:b/>
                    <w:bCs/>
                    <w:spacing w:val="-10"/>
                    <w:sz w:val="22"/>
                    <w:szCs w:val="22"/>
                  </w:rPr>
                  <w:t> </w:t>
                </w:r>
                <w:r>
                  <w:rPr>
                    <w:rFonts w:ascii="黑体" w:hAnsi="黑体" w:cs="黑体" w:eastAsia="黑体" w:hint="default"/>
                    <w:b/>
                    <w:bCs/>
                    <w:sz w:val="22"/>
                    <w:szCs w:val="22"/>
                  </w:rPr>
                  <w:t>月</w:t>
                </w:r>
                <w:r>
                  <w:rPr>
                    <w:rFonts w:ascii="黑体" w:hAnsi="黑体" w:cs="黑体" w:eastAsia="黑体" w:hint="default"/>
                    <w:b/>
                    <w:bCs/>
                    <w:spacing w:val="-55"/>
                    <w:sz w:val="22"/>
                    <w:szCs w:val="22"/>
                  </w:rPr>
                  <w:t> </w:t>
                </w:r>
                <w:r>
                  <w:rPr>
                    <w:rFonts w:ascii="Arial" w:hAnsi="Arial" w:cs="Arial" w:eastAsia="Arial" w:hint="default"/>
                    <w:b/>
                    <w:bCs/>
                    <w:sz w:val="22"/>
                    <w:szCs w:val="22"/>
                  </w:rPr>
                  <w:t>31</w:t>
                </w:r>
                <w:r>
                  <w:rPr>
                    <w:rFonts w:ascii="Arial" w:hAnsi="Arial" w:cs="Arial" w:eastAsia="Arial" w:hint="default"/>
                    <w:b/>
                    <w:bCs/>
                    <w:spacing w:val="-10"/>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0.450001pt;margin-top:129pt;width:728.1pt;height:.1pt;mso-position-horizontal-relative:page;mso-position-vertical-relative:page;z-index:-1310392" coordorigin="1209,2580" coordsize="14562,2">
          <v:shape style="position:absolute;left:1209;top:2580;width:14562;height:2" coordorigin="1209,2580" coordsize="14562,0" path="m1209,2580l15771,2580e" filled="false" stroked="true" strokeweight=".75pt" strokecolor="#000000">
            <v:path arrowok="t"/>
          </v:shape>
          <w10:wrap type="none"/>
        </v:group>
      </w:pict>
    </w:r>
    <w:r>
      <w:rPr/>
      <w:pict>
        <v:shape style="position:absolute;margin-left:364.76001pt;margin-top:46.872509pt;width:112.4pt;height:67.05pt;mso-position-horizontal-relative:page;mso-position-vertical-relative:page;z-index:-1310368" type="#_x0000_t202" filled="false" stroked="false">
          <v:textbox inset="0,0,0,0">
            <w:txbxContent>
              <w:p>
                <w:pPr>
                  <w:spacing w:line="241"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财务报表附注(续)</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Arial" w:hAnsi="Arial" w:cs="Arial" w:eastAsia="Arial" w:hint="default"/>
                    <w:b/>
                    <w:bCs/>
                    <w:sz w:val="22"/>
                    <w:szCs w:val="22"/>
                  </w:rPr>
                  <w:t>2012</w:t>
                </w:r>
                <w:r>
                  <w:rPr>
                    <w:rFonts w:ascii="Arial" w:hAnsi="Arial" w:cs="Arial" w:eastAsia="Arial" w:hint="default"/>
                    <w:b/>
                    <w:bCs/>
                    <w:spacing w:val="-7"/>
                    <w:sz w:val="22"/>
                    <w:szCs w:val="22"/>
                  </w:rPr>
                  <w:t> </w:t>
                </w:r>
                <w:r>
                  <w:rPr>
                    <w:rFonts w:ascii="黑体" w:hAnsi="黑体" w:cs="黑体" w:eastAsia="黑体" w:hint="default"/>
                    <w:b/>
                    <w:bCs/>
                    <w:sz w:val="22"/>
                    <w:szCs w:val="22"/>
                  </w:rPr>
                  <w:t>年</w:t>
                </w:r>
                <w:r>
                  <w:rPr>
                    <w:rFonts w:ascii="黑体" w:hAnsi="黑体" w:cs="黑体" w:eastAsia="黑体" w:hint="default"/>
                    <w:b/>
                    <w:bCs/>
                    <w:spacing w:val="-55"/>
                    <w:sz w:val="22"/>
                    <w:szCs w:val="22"/>
                  </w:rPr>
                  <w:t> </w:t>
                </w:r>
                <w:r>
                  <w:rPr>
                    <w:rFonts w:ascii="Arial" w:hAnsi="Arial" w:cs="Arial" w:eastAsia="Arial" w:hint="default"/>
                    <w:b/>
                    <w:bCs/>
                    <w:sz w:val="22"/>
                    <w:szCs w:val="22"/>
                  </w:rPr>
                  <w:t>12</w:t>
                </w:r>
                <w:r>
                  <w:rPr>
                    <w:rFonts w:ascii="Arial" w:hAnsi="Arial" w:cs="Arial" w:eastAsia="Arial" w:hint="default"/>
                    <w:b/>
                    <w:bCs/>
                    <w:spacing w:val="-10"/>
                    <w:sz w:val="22"/>
                    <w:szCs w:val="22"/>
                  </w:rPr>
                  <w:t> </w:t>
                </w:r>
                <w:r>
                  <w:rPr>
                    <w:rFonts w:ascii="黑体" w:hAnsi="黑体" w:cs="黑体" w:eastAsia="黑体" w:hint="default"/>
                    <w:b/>
                    <w:bCs/>
                    <w:sz w:val="22"/>
                    <w:szCs w:val="22"/>
                  </w:rPr>
                  <w:t>月</w:t>
                </w:r>
                <w:r>
                  <w:rPr>
                    <w:rFonts w:ascii="黑体" w:hAnsi="黑体" w:cs="黑体" w:eastAsia="黑体" w:hint="default"/>
                    <w:b/>
                    <w:bCs/>
                    <w:spacing w:val="-55"/>
                    <w:sz w:val="22"/>
                    <w:szCs w:val="22"/>
                  </w:rPr>
                  <w:t> </w:t>
                </w:r>
                <w:r>
                  <w:rPr>
                    <w:rFonts w:ascii="Arial" w:hAnsi="Arial" w:cs="Arial" w:eastAsia="Arial" w:hint="default"/>
                    <w:b/>
                    <w:bCs/>
                    <w:sz w:val="22"/>
                    <w:szCs w:val="22"/>
                  </w:rPr>
                  <w:t>31</w:t>
                </w:r>
                <w:r>
                  <w:rPr>
                    <w:rFonts w:ascii="Arial" w:hAnsi="Arial" w:cs="Arial" w:eastAsia="Arial" w:hint="default"/>
                    <w:b/>
                    <w:bCs/>
                    <w:spacing w:val="-10"/>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949997pt;margin-top:129.749985pt;width:426.75pt;height:.1pt;mso-position-horizontal-relative:page;mso-position-vertical-relative:page;z-index:-1310344" coordorigin="1779,2595" coordsize="8535,2">
          <v:shape style="position:absolute;left:1779;top:2595;width:8535;height:2" coordorigin="1779,2595" coordsize="8535,0" path="m1779,2595l10314,2595e" filled="false" stroked="true" strokeweight=".75pt" strokecolor="#000000">
            <v:path arrowok="t"/>
          </v:shape>
          <w10:wrap type="none"/>
        </v:group>
      </w:pict>
    </w:r>
    <w:r>
      <w:rPr/>
      <w:pict>
        <v:shape style="position:absolute;margin-left:241.520004pt;margin-top:46.872478pt;width:112.4pt;height:67.05pt;mso-position-horizontal-relative:page;mso-position-vertical-relative:page;z-index:-1310320" type="#_x0000_t202" filled="false" stroked="false">
          <v:textbox inset="0,0,0,0">
            <w:txbxContent>
              <w:p>
                <w:pPr>
                  <w:spacing w:line="241"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财务报表附注（续）</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Arial" w:hAnsi="Arial" w:cs="Arial" w:eastAsia="Arial" w:hint="default"/>
                    <w:b/>
                    <w:bCs/>
                    <w:sz w:val="22"/>
                    <w:szCs w:val="22"/>
                  </w:rPr>
                  <w:t>2012</w:t>
                </w:r>
                <w:r>
                  <w:rPr>
                    <w:rFonts w:ascii="Arial" w:hAnsi="Arial" w:cs="Arial" w:eastAsia="Arial" w:hint="default"/>
                    <w:b/>
                    <w:bCs/>
                    <w:spacing w:val="-7"/>
                    <w:sz w:val="22"/>
                    <w:szCs w:val="22"/>
                  </w:rPr>
                  <w:t> </w:t>
                </w:r>
                <w:r>
                  <w:rPr>
                    <w:rFonts w:ascii="黑体" w:hAnsi="黑体" w:cs="黑体" w:eastAsia="黑体" w:hint="default"/>
                    <w:b/>
                    <w:bCs/>
                    <w:sz w:val="22"/>
                    <w:szCs w:val="22"/>
                  </w:rPr>
                  <w:t>年</w:t>
                </w:r>
                <w:r>
                  <w:rPr>
                    <w:rFonts w:ascii="黑体" w:hAnsi="黑体" w:cs="黑体" w:eastAsia="黑体" w:hint="default"/>
                    <w:b/>
                    <w:bCs/>
                    <w:spacing w:val="-55"/>
                    <w:sz w:val="22"/>
                    <w:szCs w:val="22"/>
                  </w:rPr>
                  <w:t> </w:t>
                </w:r>
                <w:r>
                  <w:rPr>
                    <w:rFonts w:ascii="Arial" w:hAnsi="Arial" w:cs="Arial" w:eastAsia="Arial" w:hint="default"/>
                    <w:b/>
                    <w:bCs/>
                    <w:sz w:val="22"/>
                    <w:szCs w:val="22"/>
                  </w:rPr>
                  <w:t>12</w:t>
                </w:r>
                <w:r>
                  <w:rPr>
                    <w:rFonts w:ascii="Arial" w:hAnsi="Arial" w:cs="Arial" w:eastAsia="Arial" w:hint="default"/>
                    <w:b/>
                    <w:bCs/>
                    <w:spacing w:val="-10"/>
                    <w:sz w:val="22"/>
                    <w:szCs w:val="22"/>
                  </w:rPr>
                  <w:t> </w:t>
                </w:r>
                <w:r>
                  <w:rPr>
                    <w:rFonts w:ascii="黑体" w:hAnsi="黑体" w:cs="黑体" w:eastAsia="黑体" w:hint="default"/>
                    <w:b/>
                    <w:bCs/>
                    <w:sz w:val="22"/>
                    <w:szCs w:val="22"/>
                  </w:rPr>
                  <w:t>月</w:t>
                </w:r>
                <w:r>
                  <w:rPr>
                    <w:rFonts w:ascii="黑体" w:hAnsi="黑体" w:cs="黑体" w:eastAsia="黑体" w:hint="default"/>
                    <w:b/>
                    <w:bCs/>
                    <w:spacing w:val="-55"/>
                    <w:sz w:val="22"/>
                    <w:szCs w:val="22"/>
                  </w:rPr>
                  <w:t> </w:t>
                </w:r>
                <w:r>
                  <w:rPr>
                    <w:rFonts w:ascii="Arial" w:hAnsi="Arial" w:cs="Arial" w:eastAsia="Arial" w:hint="default"/>
                    <w:b/>
                    <w:bCs/>
                    <w:sz w:val="22"/>
                    <w:szCs w:val="22"/>
                  </w:rPr>
                  <w:t>31</w:t>
                </w:r>
                <w:r>
                  <w:rPr>
                    <w:rFonts w:ascii="Arial" w:hAnsi="Arial" w:cs="Arial" w:eastAsia="Arial" w:hint="default"/>
                    <w:b/>
                    <w:bCs/>
                    <w:spacing w:val="-10"/>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7.75pt;margin-top:127.499977pt;width:426.75pt;height:.1pt;mso-position-horizontal-relative:page;mso-position-vertical-relative:page;z-index:-1310272" coordorigin="1755,2550" coordsize="8535,2">
          <v:shape style="position:absolute;left:1755;top:2550;width:8535;height:2" coordorigin="1755,2550" coordsize="8535,0" path="m1755,2550l10290,2550e" filled="false" stroked="true" strokeweight=".75pt" strokecolor="#000000">
            <v:path arrowok="t"/>
          </v:shape>
          <w10:wrap type="none"/>
        </v:group>
      </w:pict>
    </w:r>
    <w:r>
      <w:rPr/>
      <w:pict>
        <v:shape style="position:absolute;margin-left:241.520004pt;margin-top:46.872478pt;width:112.4pt;height:67.05pt;mso-position-horizontal-relative:page;mso-position-vertical-relative:page;z-index:-1310248" type="#_x0000_t202" filled="false" stroked="false">
          <v:textbox inset="0,0,0,0">
            <w:txbxContent>
              <w:p>
                <w:pPr>
                  <w:spacing w:line="241"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财务报表补充资料</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Arial" w:hAnsi="Arial" w:cs="Arial" w:eastAsia="Arial" w:hint="default"/>
                    <w:b/>
                    <w:bCs/>
                    <w:sz w:val="22"/>
                    <w:szCs w:val="22"/>
                  </w:rPr>
                  <w:t>2012</w:t>
                </w:r>
                <w:r>
                  <w:rPr>
                    <w:rFonts w:ascii="Arial" w:hAnsi="Arial" w:cs="Arial" w:eastAsia="Arial" w:hint="default"/>
                    <w:b/>
                    <w:bCs/>
                    <w:spacing w:val="-7"/>
                    <w:sz w:val="22"/>
                    <w:szCs w:val="22"/>
                  </w:rPr>
                  <w:t> </w:t>
                </w:r>
                <w:r>
                  <w:rPr>
                    <w:rFonts w:ascii="黑体" w:hAnsi="黑体" w:cs="黑体" w:eastAsia="黑体" w:hint="default"/>
                    <w:b/>
                    <w:bCs/>
                    <w:sz w:val="22"/>
                    <w:szCs w:val="22"/>
                  </w:rPr>
                  <w:t>年</w:t>
                </w:r>
                <w:r>
                  <w:rPr>
                    <w:rFonts w:ascii="黑体" w:hAnsi="黑体" w:cs="黑体" w:eastAsia="黑体" w:hint="default"/>
                    <w:b/>
                    <w:bCs/>
                    <w:spacing w:val="-55"/>
                    <w:sz w:val="22"/>
                    <w:szCs w:val="22"/>
                  </w:rPr>
                  <w:t> </w:t>
                </w:r>
                <w:r>
                  <w:rPr>
                    <w:rFonts w:ascii="Arial" w:hAnsi="Arial" w:cs="Arial" w:eastAsia="Arial" w:hint="default"/>
                    <w:b/>
                    <w:bCs/>
                    <w:sz w:val="22"/>
                    <w:szCs w:val="22"/>
                  </w:rPr>
                  <w:t>12</w:t>
                </w:r>
                <w:r>
                  <w:rPr>
                    <w:rFonts w:ascii="Arial" w:hAnsi="Arial" w:cs="Arial" w:eastAsia="Arial" w:hint="default"/>
                    <w:b/>
                    <w:bCs/>
                    <w:spacing w:val="-10"/>
                    <w:sz w:val="22"/>
                    <w:szCs w:val="22"/>
                  </w:rPr>
                  <w:t> </w:t>
                </w:r>
                <w:r>
                  <w:rPr>
                    <w:rFonts w:ascii="黑体" w:hAnsi="黑体" w:cs="黑体" w:eastAsia="黑体" w:hint="default"/>
                    <w:b/>
                    <w:bCs/>
                    <w:sz w:val="22"/>
                    <w:szCs w:val="22"/>
                  </w:rPr>
                  <w:t>月</w:t>
                </w:r>
                <w:r>
                  <w:rPr>
                    <w:rFonts w:ascii="黑体" w:hAnsi="黑体" w:cs="黑体" w:eastAsia="黑体" w:hint="default"/>
                    <w:b/>
                    <w:bCs/>
                    <w:spacing w:val="-55"/>
                    <w:sz w:val="22"/>
                    <w:szCs w:val="22"/>
                  </w:rPr>
                  <w:t> </w:t>
                </w:r>
                <w:r>
                  <w:rPr>
                    <w:rFonts w:ascii="Arial" w:hAnsi="Arial" w:cs="Arial" w:eastAsia="Arial" w:hint="default"/>
                    <w:b/>
                    <w:bCs/>
                    <w:sz w:val="22"/>
                    <w:szCs w:val="22"/>
                  </w:rPr>
                  <w:t>31</w:t>
                </w:r>
                <w:r>
                  <w:rPr>
                    <w:rFonts w:ascii="Arial" w:hAnsi="Arial" w:cs="Arial" w:eastAsia="Arial" w:hint="default"/>
                    <w:b/>
                    <w:bCs/>
                    <w:spacing w:val="-10"/>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6.25pt;margin-top:126.749977pt;width:426.75pt;height:.1pt;mso-position-horizontal-relative:page;mso-position-vertical-relative:page;z-index:-1310200" coordorigin="1725,2535" coordsize="8535,2">
          <v:shape style="position:absolute;left:1725;top:2535;width:8535;height:2" coordorigin="1725,2535" coordsize="8535,0" path="m1725,2535l10260,2535e" filled="false" stroked="true" strokeweight=".75pt" strokecolor="#000000">
            <v:path arrowok="t"/>
          </v:shape>
          <w10:wrap type="none"/>
        </v:group>
      </w:pict>
    </w:r>
    <w:r>
      <w:rPr/>
      <w:pict>
        <v:shape style="position:absolute;margin-left:236pt;margin-top:46.872478pt;width:123.45pt;height:67.05pt;mso-position-horizontal-relative:page;mso-position-vertical-relative:page;z-index:-1310176" type="#_x0000_t202" filled="false" stroked="false">
          <v:textbox inset="0,0,0,0">
            <w:txbxContent>
              <w:p>
                <w:pPr>
                  <w:spacing w:line="241" w:lineRule="exact" w:before="0"/>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财务报表补充资料（续）</w:t>
                </w:r>
                <w:r>
                  <w:rPr>
                    <w:rFonts w:ascii="黑体" w:hAnsi="黑体" w:cs="黑体" w:eastAsia="黑体" w:hint="default"/>
                    <w:sz w:val="22"/>
                    <w:szCs w:val="22"/>
                  </w:rPr>
                </w:r>
              </w:p>
              <w:p>
                <w:pPr>
                  <w:spacing w:before="72"/>
                  <w:ind w:left="0" w:right="0" w:firstLine="0"/>
                  <w:jc w:val="center"/>
                  <w:rPr>
                    <w:rFonts w:ascii="黑体" w:hAnsi="黑体" w:cs="黑体" w:eastAsia="黑体" w:hint="default"/>
                    <w:sz w:val="22"/>
                    <w:szCs w:val="22"/>
                  </w:rPr>
                </w:pPr>
                <w:r>
                  <w:rPr>
                    <w:rFonts w:ascii="Arial" w:hAnsi="Arial" w:cs="Arial" w:eastAsia="Arial" w:hint="default"/>
                    <w:b/>
                    <w:bCs/>
                    <w:sz w:val="22"/>
                    <w:szCs w:val="22"/>
                  </w:rPr>
                  <w:t>2012</w:t>
                </w:r>
                <w:r>
                  <w:rPr>
                    <w:rFonts w:ascii="Arial" w:hAnsi="Arial" w:cs="Arial" w:eastAsia="Arial" w:hint="default"/>
                    <w:b/>
                    <w:bCs/>
                    <w:spacing w:val="-7"/>
                    <w:sz w:val="22"/>
                    <w:szCs w:val="22"/>
                  </w:rPr>
                  <w:t> </w:t>
                </w:r>
                <w:r>
                  <w:rPr>
                    <w:rFonts w:ascii="黑体" w:hAnsi="黑体" w:cs="黑体" w:eastAsia="黑体" w:hint="default"/>
                    <w:b/>
                    <w:bCs/>
                    <w:sz w:val="22"/>
                    <w:szCs w:val="22"/>
                  </w:rPr>
                  <w:t>年</w:t>
                </w:r>
                <w:r>
                  <w:rPr>
                    <w:rFonts w:ascii="黑体" w:hAnsi="黑体" w:cs="黑体" w:eastAsia="黑体" w:hint="default"/>
                    <w:b/>
                    <w:bCs/>
                    <w:spacing w:val="-55"/>
                    <w:sz w:val="22"/>
                    <w:szCs w:val="22"/>
                  </w:rPr>
                  <w:t> </w:t>
                </w:r>
                <w:r>
                  <w:rPr>
                    <w:rFonts w:ascii="Arial" w:hAnsi="Arial" w:cs="Arial" w:eastAsia="Arial" w:hint="default"/>
                    <w:b/>
                    <w:bCs/>
                    <w:sz w:val="22"/>
                    <w:szCs w:val="22"/>
                  </w:rPr>
                  <w:t>12</w:t>
                </w:r>
                <w:r>
                  <w:rPr>
                    <w:rFonts w:ascii="Arial" w:hAnsi="Arial" w:cs="Arial" w:eastAsia="Arial" w:hint="default"/>
                    <w:b/>
                    <w:bCs/>
                    <w:spacing w:val="-10"/>
                    <w:sz w:val="22"/>
                    <w:szCs w:val="22"/>
                  </w:rPr>
                  <w:t> </w:t>
                </w:r>
                <w:r>
                  <w:rPr>
                    <w:rFonts w:ascii="黑体" w:hAnsi="黑体" w:cs="黑体" w:eastAsia="黑体" w:hint="default"/>
                    <w:b/>
                    <w:bCs/>
                    <w:sz w:val="22"/>
                    <w:szCs w:val="22"/>
                  </w:rPr>
                  <w:t>月</w:t>
                </w:r>
                <w:r>
                  <w:rPr>
                    <w:rFonts w:ascii="黑体" w:hAnsi="黑体" w:cs="黑体" w:eastAsia="黑体" w:hint="default"/>
                    <w:b/>
                    <w:bCs/>
                    <w:spacing w:val="-55"/>
                    <w:sz w:val="22"/>
                    <w:szCs w:val="22"/>
                  </w:rPr>
                  <w:t> </w:t>
                </w:r>
                <w:r>
                  <w:rPr>
                    <w:rFonts w:ascii="Arial" w:hAnsi="Arial" w:cs="Arial" w:eastAsia="Arial" w:hint="default"/>
                    <w:b/>
                    <w:bCs/>
                    <w:sz w:val="22"/>
                    <w:szCs w:val="22"/>
                  </w:rPr>
                  <w:t>31</w:t>
                </w:r>
                <w:r>
                  <w:rPr>
                    <w:rFonts w:ascii="Arial" w:hAnsi="Arial" w:cs="Arial" w:eastAsia="Arial" w:hint="default"/>
                    <w:b/>
                    <w:bCs/>
                    <w:spacing w:val="-10"/>
                    <w:sz w:val="22"/>
                    <w:szCs w:val="22"/>
                  </w:rPr>
                  <w:t> </w:t>
                </w:r>
                <w:r>
                  <w:rPr>
                    <w:rFonts w:ascii="黑体" w:hAnsi="黑体" w:cs="黑体" w:eastAsia="黑体" w:hint="default"/>
                    <w:b/>
                    <w:bCs/>
                    <w:sz w:val="22"/>
                    <w:szCs w:val="22"/>
                  </w:rPr>
                  <w:t>日</w:t>
                </w:r>
                <w:r>
                  <w:rPr>
                    <w:rFonts w:ascii="黑体" w:hAnsi="黑体" w:cs="黑体" w:eastAsia="黑体" w:hint="default"/>
                    <w:sz w:val="22"/>
                    <w:szCs w:val="22"/>
                  </w:rPr>
                </w:r>
              </w:p>
              <w:p>
                <w:pPr>
                  <w:spacing w:before="56"/>
                  <w:ind w:left="0" w:right="0" w:firstLine="0"/>
                  <w:jc w:val="center"/>
                  <w:rPr>
                    <w:rFonts w:ascii="黑体" w:hAnsi="黑体" w:cs="黑体" w:eastAsia="黑体" w:hint="default"/>
                    <w:sz w:val="22"/>
                    <w:szCs w:val="22"/>
                  </w:rPr>
                </w:pPr>
                <w:r>
                  <w:rPr>
                    <w:rFonts w:ascii="黑体" w:hAnsi="黑体" w:cs="黑体" w:eastAsia="黑体" w:hint="default"/>
                    <w:b/>
                    <w:bCs/>
                    <w:sz w:val="22"/>
                    <w:szCs w:val="22"/>
                  </w:rPr>
                  <w:t>人民币元</w:t>
                </w:r>
                <w:r>
                  <w:rPr>
                    <w:rFonts w:ascii="黑体" w:hAnsi="黑体" w:cs="黑体" w:eastAsia="黑体" w:hint="default"/>
                    <w:sz w:val="22"/>
                    <w:szCs w:val="22"/>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1.520004pt;margin-top:46.872478pt;width:112.4pt;height:13.05pt;mso-position-horizontal-relative:page;mso-position-vertical-relative:page;z-index:-1311424" type="#_x0000_t202" filled="false" stroked="false">
          <v:textbox inset="0,0,0,0">
            <w:txbxContent>
              <w:p>
                <w:pPr>
                  <w:spacing w:line="241" w:lineRule="exact" w:before="0"/>
                  <w:ind w:left="20" w:right="0" w:firstLine="0"/>
                  <w:jc w:val="left"/>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4.76001pt;margin-top:46.872509pt;width:112.4pt;height:13.05pt;mso-position-horizontal-relative:page;mso-position-vertical-relative:page;z-index:-1311400" type="#_x0000_t202" filled="false" stroked="false">
          <v:textbox inset="0,0,0,0">
            <w:txbxContent>
              <w:p>
                <w:pPr>
                  <w:spacing w:line="241" w:lineRule="exact" w:before="0"/>
                  <w:ind w:left="20" w:right="0" w:firstLine="0"/>
                  <w:jc w:val="left"/>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41.520004pt;margin-top:46.872478pt;width:112.4pt;height:13.05pt;mso-position-horizontal-relative:page;mso-position-vertical-relative:page;z-index:-1311352" type="#_x0000_t202" filled="false" stroked="false">
          <v:textbox inset="0,0,0,0">
            <w:txbxContent>
              <w:p>
                <w:pPr>
                  <w:spacing w:line="241" w:lineRule="exact" w:before="0"/>
                  <w:ind w:left="20" w:right="0" w:firstLine="0"/>
                  <w:jc w:val="left"/>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64.76001pt;margin-top:46.872509pt;width:112.4pt;height:13.05pt;mso-position-horizontal-relative:page;mso-position-vertical-relative:page;z-index:-1311304" type="#_x0000_t202" filled="false" stroked="false">
          <v:textbox inset="0,0,0,0">
            <w:txbxContent>
              <w:p>
                <w:pPr>
                  <w:spacing w:line="241" w:lineRule="exact" w:before="0"/>
                  <w:ind w:left="20" w:right="0" w:firstLine="0"/>
                  <w:jc w:val="left"/>
                  <w:rPr>
                    <w:rFonts w:ascii="黑体" w:hAnsi="黑体" w:cs="黑体" w:eastAsia="黑体" w:hint="default"/>
                    <w:sz w:val="22"/>
                    <w:szCs w:val="22"/>
                  </w:rPr>
                </w:pPr>
                <w:r>
                  <w:rPr>
                    <w:rFonts w:ascii="黑体" w:hAnsi="黑体" w:cs="黑体" w:eastAsia="黑体" w:hint="default"/>
                    <w:b/>
                    <w:bCs/>
                    <w:sz w:val="22"/>
                    <w:szCs w:val="22"/>
                  </w:rPr>
                  <w:t>用友软件股份有限公司</w:t>
                </w:r>
                <w:r>
                  <w:rPr>
                    <w:rFonts w:ascii="黑体" w:hAnsi="黑体" w:cs="黑体" w:eastAsia="黑体" w:hint="default"/>
                    <w:sz w:val="22"/>
                    <w:szCs w:val="22"/>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74"/>
      <w:ind w:left="138"/>
    </w:pPr>
    <w:rPr>
      <w:rFonts w:ascii="黑体" w:hAnsi="黑体" w:eastAsia="黑体"/>
      <w:b/>
      <w:bCs/>
      <w:sz w:val="24"/>
      <w:szCs w:val="24"/>
    </w:rPr>
  </w:style>
  <w:style w:styleId="BodyText" w:type="paragraph">
    <w:name w:val="Body Text"/>
    <w:basedOn w:val="Normal"/>
    <w:uiPriority w:val="1"/>
    <w:qFormat/>
    <w:pPr>
      <w:ind w:left="814"/>
    </w:pPr>
    <w:rPr>
      <w:rFonts w:ascii="黑体" w:hAnsi="黑体" w:eastAsia="黑体"/>
      <w:sz w:val="20"/>
      <w:szCs w:val="20"/>
    </w:rPr>
  </w:style>
  <w:style w:styleId="Heading1" w:type="paragraph">
    <w:name w:val="Heading 1"/>
    <w:basedOn w:val="Normal"/>
    <w:uiPriority w:val="1"/>
    <w:qFormat/>
    <w:pPr>
      <w:spacing w:before="14"/>
      <w:ind w:left="2500"/>
      <w:outlineLvl w:val="1"/>
    </w:pPr>
    <w:rPr>
      <w:rFonts w:ascii="黑体" w:hAnsi="黑体" w:eastAsia="黑体"/>
      <w:b/>
      <w:bCs/>
      <w:sz w:val="28"/>
      <w:szCs w:val="28"/>
    </w:rPr>
  </w:style>
  <w:style w:styleId="Heading2" w:type="paragraph">
    <w:name w:val="Heading 2"/>
    <w:basedOn w:val="Normal"/>
    <w:uiPriority w:val="1"/>
    <w:qFormat/>
    <w:pPr>
      <w:ind w:left="138"/>
      <w:outlineLvl w:val="2"/>
    </w:pPr>
    <w:rPr>
      <w:rFonts w:ascii="宋体" w:hAnsi="宋体" w:eastAsia="宋体"/>
      <w:b/>
      <w:bCs/>
      <w:sz w:val="24"/>
      <w:szCs w:val="24"/>
    </w:rPr>
  </w:style>
  <w:style w:styleId="Heading3" w:type="paragraph">
    <w:name w:val="Heading 3"/>
    <w:basedOn w:val="Normal"/>
    <w:uiPriority w:val="1"/>
    <w:qFormat/>
    <w:pPr>
      <w:spacing w:before="137"/>
      <w:ind w:left="138"/>
      <w:outlineLvl w:val="3"/>
    </w:pPr>
    <w:rPr>
      <w:rFonts w:ascii="宋体" w:hAnsi="宋体" w:eastAsia="宋体"/>
      <w:sz w:val="24"/>
      <w:szCs w:val="24"/>
    </w:rPr>
  </w:style>
  <w:style w:styleId="Heading4" w:type="paragraph">
    <w:name w:val="Heading 4"/>
    <w:basedOn w:val="Normal"/>
    <w:uiPriority w:val="1"/>
    <w:qFormat/>
    <w:pPr>
      <w:spacing w:before="72"/>
      <w:outlineLvl w:val="4"/>
    </w:pPr>
    <w:rPr>
      <w:rFonts w:ascii="黑体" w:hAnsi="黑体" w:eastAsia="黑体"/>
      <w:b/>
      <w:bCs/>
      <w:sz w:val="22"/>
      <w:szCs w:val="22"/>
    </w:rPr>
  </w:style>
  <w:style w:styleId="Heading5" w:type="paragraph">
    <w:name w:val="Heading 5"/>
    <w:basedOn w:val="Normal"/>
    <w:uiPriority w:val="1"/>
    <w:qFormat/>
    <w:pPr>
      <w:spacing w:before="36"/>
      <w:outlineLvl w:val="5"/>
    </w:pPr>
    <w:rPr>
      <w:rFonts w:ascii="宋体" w:hAnsi="宋体" w:eastAsia="宋体"/>
      <w:sz w:val="21"/>
      <w:szCs w:val="21"/>
    </w:rPr>
  </w:style>
  <w:style w:styleId="Heading6" w:type="paragraph">
    <w:name w:val="Heading 6"/>
    <w:basedOn w:val="Normal"/>
    <w:uiPriority w:val="1"/>
    <w:qFormat/>
    <w:pPr>
      <w:spacing w:before="37"/>
      <w:ind w:left="101"/>
      <w:outlineLvl w:val="6"/>
    </w:pPr>
    <w:rPr>
      <w:rFonts w:ascii="黑体" w:hAnsi="黑体" w:eastAsia="黑体"/>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footer" Target="footer1.xml"/><Relationship Id="rId8" Type="http://schemas.openxmlformats.org/officeDocument/2006/relationships/hyperlink" Target="mailto:ir@yonyou.com" TargetMode="External"/><Relationship Id="rId9" Type="http://schemas.openxmlformats.org/officeDocument/2006/relationships/hyperlink" Target="http://www.yonyou.com/" TargetMode="External"/><Relationship Id="rId10" Type="http://schemas.openxmlformats.org/officeDocument/2006/relationships/hyperlink" Target="http://www.sse.com.cn/"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hyperlink" Target="http://www.sse.com/" TargetMode="External"/><Relationship Id="rId34" Type="http://schemas.openxmlformats.org/officeDocument/2006/relationships/header" Target="header2.xml"/><Relationship Id="rId35" Type="http://schemas.openxmlformats.org/officeDocument/2006/relationships/footer" Target="footer5.xml"/><Relationship Id="rId36" Type="http://schemas.openxmlformats.org/officeDocument/2006/relationships/header" Target="header3.xml"/><Relationship Id="rId37" Type="http://schemas.openxmlformats.org/officeDocument/2006/relationships/footer" Target="footer6.xml"/><Relationship Id="rId38" Type="http://schemas.openxmlformats.org/officeDocument/2006/relationships/header" Target="header4.xml"/><Relationship Id="rId39" Type="http://schemas.openxmlformats.org/officeDocument/2006/relationships/footer" Target="footer7.xml"/><Relationship Id="rId40" Type="http://schemas.openxmlformats.org/officeDocument/2006/relationships/header" Target="header5.xml"/><Relationship Id="rId41" Type="http://schemas.openxmlformats.org/officeDocument/2006/relationships/footer" Target="footer8.xml"/><Relationship Id="rId42" Type="http://schemas.openxmlformats.org/officeDocument/2006/relationships/header" Target="header6.xml"/><Relationship Id="rId43" Type="http://schemas.openxmlformats.org/officeDocument/2006/relationships/header" Target="header7.xml"/><Relationship Id="rId44" Type="http://schemas.openxmlformats.org/officeDocument/2006/relationships/footer" Target="footer9.xml"/><Relationship Id="rId45" Type="http://schemas.openxmlformats.org/officeDocument/2006/relationships/header" Target="header8.xml"/><Relationship Id="rId46" Type="http://schemas.openxmlformats.org/officeDocument/2006/relationships/footer" Target="footer10.xml"/><Relationship Id="rId47" Type="http://schemas.openxmlformats.org/officeDocument/2006/relationships/header" Target="header9.xml"/><Relationship Id="rId48" Type="http://schemas.openxmlformats.org/officeDocument/2006/relationships/footer" Target="footer11.xml"/><Relationship Id="rId49" Type="http://schemas.openxmlformats.org/officeDocument/2006/relationships/header" Target="header10.xml"/><Relationship Id="rId50" Type="http://schemas.openxmlformats.org/officeDocument/2006/relationships/footer" Target="footer12.xml"/><Relationship Id="rId51" Type="http://schemas.openxmlformats.org/officeDocument/2006/relationships/header" Target="header11.xml"/><Relationship Id="rId52" Type="http://schemas.openxmlformats.org/officeDocument/2006/relationships/header" Target="header12.xml"/><Relationship Id="rId53" Type="http://schemas.openxmlformats.org/officeDocument/2006/relationships/footer" Target="footer13.xml"/><Relationship Id="rId54" Type="http://schemas.openxmlformats.org/officeDocument/2006/relationships/header" Target="header13.xml"/><Relationship Id="rId55" Type="http://schemas.openxmlformats.org/officeDocument/2006/relationships/footer" Target="footer14.xml"/><Relationship Id="rId56" Type="http://schemas.openxmlformats.org/officeDocument/2006/relationships/footer" Target="footer15.xml"/><Relationship Id="rId57" Type="http://schemas.openxmlformats.org/officeDocument/2006/relationships/header" Target="header14.xml"/><Relationship Id="rId58" Type="http://schemas.openxmlformats.org/officeDocument/2006/relationships/footer" Target="footer16.xml"/><Relationship Id="rId59" Type="http://schemas.openxmlformats.org/officeDocument/2006/relationships/header" Target="header15.xml"/><Relationship Id="rId60" Type="http://schemas.openxmlformats.org/officeDocument/2006/relationships/footer" Target="footer17.xml"/><Relationship Id="rId61" Type="http://schemas.openxmlformats.org/officeDocument/2006/relationships/header" Target="header16.xml"/><Relationship Id="rId62" Type="http://schemas.openxmlformats.org/officeDocument/2006/relationships/footer" Target="footer18.xml"/><Relationship Id="rId63" Type="http://schemas.openxmlformats.org/officeDocument/2006/relationships/header" Target="header17.xml"/><Relationship Id="rId64" Type="http://schemas.openxmlformats.org/officeDocument/2006/relationships/footer" Target="footer19.xml"/><Relationship Id="rId65" Type="http://schemas.openxmlformats.org/officeDocument/2006/relationships/footer" Target="footer20.xml"/><Relationship Id="rId66" Type="http://schemas.openxmlformats.org/officeDocument/2006/relationships/footer" Target="footer21.xml"/><Relationship Id="rId67" Type="http://schemas.openxmlformats.org/officeDocument/2006/relationships/header" Target="header18.xml"/><Relationship Id="rId68" Type="http://schemas.openxmlformats.org/officeDocument/2006/relationships/footer" Target="footer22.xml"/><Relationship Id="rId69" Type="http://schemas.openxmlformats.org/officeDocument/2006/relationships/header" Target="header19.xml"/><Relationship Id="rId70" Type="http://schemas.openxmlformats.org/officeDocument/2006/relationships/footer" Target="footer23.xml"/><Relationship Id="rId71" Type="http://schemas.openxmlformats.org/officeDocument/2006/relationships/header" Target="header20.xml"/><Relationship Id="rId72" Type="http://schemas.openxmlformats.org/officeDocument/2006/relationships/footer" Target="footer24.xml"/><Relationship Id="rId73" Type="http://schemas.openxmlformats.org/officeDocument/2006/relationships/header" Target="header21.xml"/><Relationship Id="rId74" Type="http://schemas.openxmlformats.org/officeDocument/2006/relationships/header" Target="header22.xml"/><Relationship Id="rId75" Type="http://schemas.openxmlformats.org/officeDocument/2006/relationships/footer" Target="footer25.xml"/><Relationship Id="rId76" Type="http://schemas.openxmlformats.org/officeDocument/2006/relationships/header" Target="header23.xml"/><Relationship Id="rId77" Type="http://schemas.openxmlformats.org/officeDocument/2006/relationships/header" Target="header24.xml"/><Relationship Id="rId78" Type="http://schemas.openxmlformats.org/officeDocument/2006/relationships/footer" Target="footer26.xml"/><Relationship Id="rId79" Type="http://schemas.openxmlformats.org/officeDocument/2006/relationships/header" Target="header25.xml"/><Relationship Id="rId80" Type="http://schemas.openxmlformats.org/officeDocument/2006/relationships/footer" Target="footer27.xml"/><Relationship Id="rId81" Type="http://schemas.openxmlformats.org/officeDocument/2006/relationships/header" Target="header2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.XBRL.</dc:creator>
  <dc:title>用友软件股份有限公司</dc:title>
  <dcterms:created xsi:type="dcterms:W3CDTF">2020-05-04T04:47:50Z</dcterms:created>
  <dcterms:modified xsi:type="dcterms:W3CDTF">2020-05-04T04:47:50Z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2013-03-29T00:00:00Z</vt:filetime>
  </property>
  <property fmtid="{D5CDD505-2E9C-101B-9397-08002B2CF9AE}" pid="3" name="Creator">
    <vt:lpwstr>Acrobat PDFMaker 9.1 Word 版</vt:lpwstr>
  </property>
  <property fmtid="{D5CDD505-2E9C-101B-9397-08002B2CF9AE}" pid="4" name="LastSaved">
    <vt:filetime>2020-05-03T00:00:00Z</vt:filetime>
  </property>
</Properties>
</file>